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theme/themeOverride1.xml" ContentType="application/vnd.openxmlformats-officedocument.themeOverride+xml"/>
  <Override PartName="/word/charts/chart39.xml" ContentType="application/vnd.openxmlformats-officedocument.drawingml.chart+xml"/>
  <Override PartName="/word/theme/themeOverride2.xml" ContentType="application/vnd.openxmlformats-officedocument.themeOverride+xml"/>
  <Override PartName="/word/charts/chart40.xml" ContentType="application/vnd.openxmlformats-officedocument.drawingml.chart+xml"/>
  <Override PartName="/word/charts/chart4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42.xml" ContentType="application/vnd.openxmlformats-officedocument.drawingml.chart+xml"/>
  <Override PartName="/word/charts/chart43.xml" ContentType="application/vnd.openxmlformats-officedocument.drawingml.chart+xml"/>
  <Override PartName="/word/charts/style9.xml" ContentType="application/vnd.ms-office.chartstyle+xml"/>
  <Override PartName="/word/charts/colors9.xml" ContentType="application/vnd.ms-office.chartcolorstyle+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4E765F" w14:textId="77777777" w:rsidR="00AC45DF" w:rsidRDefault="00AC45DF" w:rsidP="00D401FD">
      <w:pPr>
        <w:ind w:left="-142"/>
        <w:jc w:val="both"/>
        <w:rPr>
          <w:rFonts w:asciiTheme="majorHAnsi" w:hAnsiTheme="majorHAnsi" w:cstheme="majorHAnsi"/>
          <w:sz w:val="36"/>
          <w:szCs w:val="36"/>
        </w:rPr>
      </w:pPr>
      <w:bookmarkStart w:id="0" w:name="_GoBack"/>
      <w:bookmarkEnd w:id="0"/>
    </w:p>
    <w:p w14:paraId="2EB29EC0" w14:textId="77777777" w:rsidR="001F6078" w:rsidRDefault="001F6078" w:rsidP="001F6078">
      <w:pPr>
        <w:jc w:val="center"/>
        <w:rPr>
          <w:rFonts w:cstheme="minorHAnsi"/>
          <w:b/>
          <w:sz w:val="40"/>
          <w:szCs w:val="40"/>
        </w:rPr>
      </w:pPr>
      <w:bookmarkStart w:id="1" w:name="_Toc127593210"/>
    </w:p>
    <w:p w14:paraId="158107D7" w14:textId="77777777" w:rsidR="001F6078" w:rsidRDefault="001F6078" w:rsidP="001F6078">
      <w:pPr>
        <w:jc w:val="center"/>
        <w:rPr>
          <w:rFonts w:cstheme="minorHAnsi"/>
          <w:b/>
          <w:sz w:val="40"/>
          <w:szCs w:val="40"/>
        </w:rPr>
      </w:pPr>
    </w:p>
    <w:p w14:paraId="12167FA7" w14:textId="77777777" w:rsidR="001F6078" w:rsidRDefault="001F6078" w:rsidP="001F6078">
      <w:pPr>
        <w:jc w:val="center"/>
        <w:rPr>
          <w:rFonts w:cstheme="minorHAnsi"/>
          <w:b/>
          <w:sz w:val="40"/>
          <w:szCs w:val="40"/>
        </w:rPr>
      </w:pPr>
    </w:p>
    <w:p w14:paraId="4DD8BCE2" w14:textId="7C62A2E1" w:rsidR="00920FC7" w:rsidRPr="00010A7E" w:rsidRDefault="00920FC7" w:rsidP="00920FC7">
      <w:pPr>
        <w:ind w:left="-993" w:firstLine="851"/>
        <w:rPr>
          <w:rFonts w:asciiTheme="majorHAnsi" w:hAnsiTheme="majorHAnsi" w:cstheme="majorHAnsi"/>
          <w:sz w:val="36"/>
          <w:szCs w:val="36"/>
        </w:rPr>
      </w:pPr>
      <w:r>
        <w:rPr>
          <w:rFonts w:asciiTheme="majorHAnsi" w:hAnsiTheme="majorHAnsi" w:cstheme="majorHAnsi"/>
          <w:sz w:val="36"/>
          <w:szCs w:val="36"/>
        </w:rPr>
        <w:t>Kolégium rektora STU</w:t>
      </w:r>
    </w:p>
    <w:p w14:paraId="0ED30751" w14:textId="7F526E20" w:rsidR="00920FC7" w:rsidRPr="00010A7E" w:rsidRDefault="00920FC7" w:rsidP="00920FC7">
      <w:pPr>
        <w:ind w:left="-993" w:firstLine="851"/>
        <w:rPr>
          <w:rFonts w:asciiTheme="majorHAnsi" w:hAnsiTheme="majorHAnsi" w:cstheme="majorHAnsi"/>
          <w:sz w:val="36"/>
          <w:szCs w:val="36"/>
        </w:rPr>
      </w:pPr>
      <w:r>
        <w:rPr>
          <w:rFonts w:asciiTheme="majorHAnsi" w:hAnsiTheme="majorHAnsi" w:cstheme="majorHAnsi"/>
          <w:sz w:val="36"/>
          <w:szCs w:val="36"/>
        </w:rPr>
        <w:t>26.04.2023</w:t>
      </w:r>
    </w:p>
    <w:p w14:paraId="50CC6067" w14:textId="77777777" w:rsidR="00920FC7" w:rsidRPr="00010A7E" w:rsidRDefault="00920FC7" w:rsidP="00920FC7">
      <w:pPr>
        <w:ind w:left="-993" w:firstLine="851"/>
        <w:rPr>
          <w:rFonts w:asciiTheme="majorHAnsi" w:hAnsiTheme="majorHAnsi" w:cstheme="majorHAnsi"/>
          <w:b/>
          <w:sz w:val="36"/>
          <w:szCs w:val="36"/>
        </w:rPr>
      </w:pPr>
    </w:p>
    <w:p w14:paraId="4B9B2F2D" w14:textId="27D34CA1" w:rsidR="00920FC7" w:rsidRPr="00010A7E" w:rsidRDefault="00920FC7" w:rsidP="00920FC7">
      <w:pPr>
        <w:ind w:left="-142"/>
        <w:rPr>
          <w:rFonts w:asciiTheme="majorHAnsi" w:hAnsiTheme="majorHAnsi" w:cstheme="majorHAnsi"/>
          <w:b/>
          <w:sz w:val="36"/>
          <w:szCs w:val="36"/>
        </w:rPr>
      </w:pPr>
      <w:r w:rsidRPr="00010A7E">
        <w:rPr>
          <w:rFonts w:asciiTheme="majorHAnsi" w:hAnsiTheme="majorHAnsi" w:cstheme="majorHAnsi"/>
          <w:b/>
          <w:sz w:val="36"/>
          <w:szCs w:val="36"/>
        </w:rPr>
        <w:t xml:space="preserve">Správa o činnosti </w:t>
      </w:r>
      <w:r>
        <w:rPr>
          <w:rFonts w:asciiTheme="majorHAnsi" w:hAnsiTheme="majorHAnsi" w:cstheme="majorHAnsi"/>
          <w:b/>
          <w:sz w:val="36"/>
          <w:szCs w:val="36"/>
        </w:rPr>
        <w:t>STU za rok 2022</w:t>
      </w:r>
    </w:p>
    <w:p w14:paraId="1B6DB06F" w14:textId="77777777" w:rsidR="00920FC7" w:rsidRPr="00010A7E" w:rsidRDefault="00920FC7" w:rsidP="00920FC7">
      <w:pPr>
        <w:ind w:left="-142"/>
        <w:rPr>
          <w:rFonts w:asciiTheme="majorHAnsi" w:hAnsiTheme="majorHAnsi" w:cstheme="majorHAnsi"/>
          <w:b/>
          <w:sz w:val="36"/>
          <w:szCs w:val="36"/>
        </w:rPr>
      </w:pPr>
    </w:p>
    <w:p w14:paraId="5A16590E" w14:textId="77777777" w:rsidR="00920FC7" w:rsidRPr="00010A7E" w:rsidRDefault="00920FC7" w:rsidP="00920FC7">
      <w:pPr>
        <w:ind w:left="-142"/>
        <w:rPr>
          <w:rFonts w:asciiTheme="majorHAnsi" w:hAnsiTheme="majorHAnsi" w:cstheme="majorHAnsi"/>
          <w:b/>
        </w:rPr>
      </w:pPr>
    </w:p>
    <w:p w14:paraId="266359E9" w14:textId="77777777" w:rsidR="00920FC7" w:rsidRPr="00010A7E" w:rsidRDefault="00920FC7" w:rsidP="00920FC7">
      <w:pPr>
        <w:ind w:left="-993" w:firstLine="851"/>
        <w:rPr>
          <w:rFonts w:asciiTheme="majorHAnsi" w:hAnsiTheme="majorHAnsi" w:cstheme="majorHAnsi"/>
          <w:b/>
        </w:rPr>
      </w:pPr>
    </w:p>
    <w:p w14:paraId="4C7D01BB" w14:textId="77777777" w:rsidR="00920FC7" w:rsidRPr="0077083E" w:rsidRDefault="00920FC7" w:rsidP="00920FC7">
      <w:pPr>
        <w:pStyle w:val="Bezriadkovania"/>
        <w:jc w:val="both"/>
        <w:rPr>
          <w:rFonts w:asciiTheme="majorHAnsi" w:hAnsiTheme="majorHAnsi" w:cstheme="majorHAnsi"/>
          <w:sz w:val="24"/>
          <w:szCs w:val="24"/>
        </w:rPr>
      </w:pPr>
      <w:r w:rsidRPr="0077083E">
        <w:rPr>
          <w:rFonts w:asciiTheme="majorHAnsi" w:hAnsiTheme="majorHAnsi" w:cstheme="majorHAnsi"/>
          <w:sz w:val="24"/>
          <w:szCs w:val="24"/>
        </w:rPr>
        <w:t>Predkladá:</w:t>
      </w:r>
      <w:r w:rsidRPr="0077083E">
        <w:rPr>
          <w:rFonts w:asciiTheme="majorHAnsi" w:hAnsiTheme="majorHAnsi" w:cstheme="majorHAnsi"/>
          <w:sz w:val="24"/>
          <w:szCs w:val="24"/>
        </w:rPr>
        <w:tab/>
        <w:t xml:space="preserve">          </w:t>
      </w:r>
      <w:r>
        <w:rPr>
          <w:rFonts w:asciiTheme="majorHAnsi" w:hAnsiTheme="majorHAnsi" w:cstheme="majorHAnsi"/>
          <w:sz w:val="24"/>
          <w:szCs w:val="24"/>
        </w:rPr>
        <w:tab/>
      </w:r>
      <w:r w:rsidRPr="0077083E">
        <w:rPr>
          <w:rFonts w:asciiTheme="majorHAnsi" w:hAnsiTheme="majorHAnsi" w:cstheme="majorHAnsi"/>
          <w:b/>
          <w:sz w:val="24"/>
          <w:szCs w:val="24"/>
        </w:rPr>
        <w:t>prof. Ing. arch. Ľubica Vitková, PhD.</w:t>
      </w:r>
    </w:p>
    <w:p w14:paraId="72B844B6" w14:textId="77777777" w:rsidR="00920FC7" w:rsidRPr="0077083E" w:rsidRDefault="00920FC7" w:rsidP="00920FC7">
      <w:pPr>
        <w:pStyle w:val="Bezriadkovania"/>
        <w:jc w:val="both"/>
        <w:rPr>
          <w:rFonts w:asciiTheme="majorHAnsi" w:hAnsiTheme="majorHAnsi" w:cstheme="majorHAnsi"/>
          <w:sz w:val="24"/>
          <w:szCs w:val="24"/>
        </w:rPr>
      </w:pPr>
      <w:r w:rsidRPr="0077083E">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sidRPr="0077083E">
        <w:rPr>
          <w:rFonts w:asciiTheme="majorHAnsi" w:hAnsiTheme="majorHAnsi" w:cstheme="majorHAnsi"/>
          <w:sz w:val="24"/>
          <w:szCs w:val="24"/>
        </w:rPr>
        <w:t>prorektorka pre propagáciu a zahraničie</w:t>
      </w:r>
    </w:p>
    <w:p w14:paraId="2230FBE5" w14:textId="77777777" w:rsidR="00920FC7" w:rsidRPr="0077083E" w:rsidRDefault="00920FC7" w:rsidP="00920FC7">
      <w:pPr>
        <w:pStyle w:val="Bezriadkovania"/>
        <w:jc w:val="both"/>
        <w:rPr>
          <w:rFonts w:asciiTheme="majorHAnsi" w:hAnsiTheme="majorHAnsi" w:cstheme="majorHAnsi"/>
          <w:sz w:val="24"/>
          <w:szCs w:val="24"/>
        </w:rPr>
      </w:pPr>
    </w:p>
    <w:p w14:paraId="4C3C4ABF" w14:textId="77777777" w:rsidR="00920FC7" w:rsidRDefault="00920FC7" w:rsidP="00920FC7">
      <w:pPr>
        <w:pStyle w:val="Bezriadkovania"/>
        <w:jc w:val="both"/>
        <w:rPr>
          <w:rFonts w:asciiTheme="majorHAnsi" w:hAnsiTheme="majorHAnsi" w:cstheme="majorHAnsi"/>
          <w:b/>
          <w:bCs/>
          <w:color w:val="000000"/>
          <w:sz w:val="24"/>
          <w:szCs w:val="24"/>
        </w:rPr>
      </w:pPr>
      <w:r w:rsidRPr="0077083E">
        <w:rPr>
          <w:rFonts w:asciiTheme="majorHAnsi" w:hAnsiTheme="majorHAnsi" w:cstheme="majorHAnsi"/>
          <w:sz w:val="24"/>
          <w:szCs w:val="24"/>
        </w:rPr>
        <w:t>Vypracoval:</w:t>
      </w:r>
      <w:r w:rsidRPr="0077083E">
        <w:rPr>
          <w:rFonts w:asciiTheme="majorHAnsi" w:hAnsiTheme="majorHAnsi" w:cstheme="majorHAnsi"/>
          <w:sz w:val="24"/>
          <w:szCs w:val="24"/>
        </w:rPr>
        <w:tab/>
      </w:r>
      <w:r>
        <w:rPr>
          <w:rFonts w:asciiTheme="majorHAnsi" w:hAnsiTheme="majorHAnsi" w:cstheme="majorHAnsi"/>
          <w:sz w:val="24"/>
          <w:szCs w:val="24"/>
        </w:rPr>
        <w:tab/>
      </w:r>
      <w:r w:rsidRPr="0077083E">
        <w:rPr>
          <w:rFonts w:asciiTheme="majorHAnsi" w:hAnsiTheme="majorHAnsi" w:cstheme="majorHAnsi"/>
          <w:b/>
          <w:bCs/>
          <w:color w:val="000000"/>
          <w:sz w:val="24"/>
          <w:szCs w:val="24"/>
        </w:rPr>
        <w:t>Mgr. Marianna Michelková</w:t>
      </w:r>
    </w:p>
    <w:p w14:paraId="400C50F6" w14:textId="77777777" w:rsidR="00920FC7" w:rsidRPr="009C645E" w:rsidRDefault="00920FC7" w:rsidP="00920FC7">
      <w:pPr>
        <w:pStyle w:val="Bezriadkovania"/>
        <w:jc w:val="both"/>
        <w:rPr>
          <w:rFonts w:asciiTheme="majorHAnsi" w:hAnsiTheme="majorHAnsi" w:cstheme="majorHAnsi"/>
          <w:sz w:val="24"/>
          <w:szCs w:val="24"/>
        </w:rPr>
      </w:pPr>
      <w:r>
        <w:rPr>
          <w:rFonts w:asciiTheme="majorHAnsi" w:hAnsiTheme="majorHAnsi" w:cstheme="majorHAnsi"/>
          <w:b/>
          <w:bCs/>
          <w:color w:val="000000"/>
          <w:sz w:val="24"/>
          <w:szCs w:val="24"/>
        </w:rPr>
        <w:tab/>
      </w:r>
      <w:r>
        <w:rPr>
          <w:rFonts w:asciiTheme="majorHAnsi" w:hAnsiTheme="majorHAnsi" w:cstheme="majorHAnsi"/>
          <w:b/>
          <w:bCs/>
          <w:color w:val="000000"/>
          <w:sz w:val="24"/>
          <w:szCs w:val="24"/>
        </w:rPr>
        <w:tab/>
      </w:r>
      <w:r>
        <w:rPr>
          <w:rFonts w:asciiTheme="majorHAnsi" w:hAnsiTheme="majorHAnsi" w:cstheme="majorHAnsi"/>
          <w:b/>
          <w:bCs/>
          <w:color w:val="000000"/>
          <w:sz w:val="24"/>
          <w:szCs w:val="24"/>
        </w:rPr>
        <w:tab/>
      </w:r>
      <w:r w:rsidRPr="009C645E">
        <w:rPr>
          <w:rFonts w:asciiTheme="majorHAnsi" w:hAnsiTheme="majorHAnsi" w:cstheme="majorHAnsi"/>
          <w:bCs/>
          <w:color w:val="000000"/>
          <w:sz w:val="24"/>
          <w:szCs w:val="24"/>
        </w:rPr>
        <w:t>ÚVaSoŠ</w:t>
      </w:r>
    </w:p>
    <w:p w14:paraId="338AC376" w14:textId="77777777" w:rsidR="00920FC7" w:rsidRDefault="00920FC7" w:rsidP="00920FC7">
      <w:pPr>
        <w:pStyle w:val="Bezriadkovania"/>
        <w:jc w:val="both"/>
        <w:rPr>
          <w:rFonts w:asciiTheme="majorHAnsi" w:hAnsiTheme="majorHAnsi" w:cstheme="majorHAnsi"/>
          <w:b/>
          <w:bCs/>
          <w:color w:val="000000"/>
          <w:sz w:val="24"/>
          <w:szCs w:val="24"/>
        </w:rPr>
      </w:pPr>
      <w:r w:rsidRPr="0077083E">
        <w:rPr>
          <w:rFonts w:asciiTheme="majorHAnsi" w:hAnsiTheme="majorHAnsi" w:cstheme="majorHAnsi"/>
          <w:b/>
          <w:bCs/>
          <w:color w:val="000000"/>
          <w:sz w:val="24"/>
          <w:szCs w:val="24"/>
        </w:rPr>
        <w:t>                </w:t>
      </w:r>
      <w:r w:rsidRPr="0077083E">
        <w:rPr>
          <w:rFonts w:asciiTheme="majorHAnsi" w:hAnsiTheme="majorHAnsi" w:cstheme="majorHAnsi"/>
          <w:b/>
          <w:bCs/>
          <w:color w:val="000000"/>
          <w:sz w:val="24"/>
          <w:szCs w:val="24"/>
        </w:rPr>
        <w:tab/>
      </w:r>
      <w:r w:rsidRPr="0077083E">
        <w:rPr>
          <w:rFonts w:asciiTheme="majorHAnsi" w:hAnsiTheme="majorHAnsi" w:cstheme="majorHAnsi"/>
          <w:b/>
          <w:bCs/>
          <w:color w:val="000000"/>
          <w:sz w:val="24"/>
          <w:szCs w:val="24"/>
        </w:rPr>
        <w:tab/>
        <w:t>Mgr. Ing. Mária Búciová</w:t>
      </w:r>
    </w:p>
    <w:p w14:paraId="6D795464" w14:textId="77777777" w:rsidR="00920FC7" w:rsidRPr="009C645E" w:rsidRDefault="00920FC7" w:rsidP="00920FC7">
      <w:pPr>
        <w:pStyle w:val="Bezriadkovania"/>
        <w:jc w:val="both"/>
        <w:rPr>
          <w:rFonts w:asciiTheme="majorHAnsi" w:hAnsiTheme="majorHAnsi" w:cstheme="majorHAnsi"/>
          <w:color w:val="00000A"/>
          <w:sz w:val="24"/>
          <w:szCs w:val="24"/>
        </w:rPr>
      </w:pPr>
      <w:r>
        <w:rPr>
          <w:rFonts w:asciiTheme="majorHAnsi" w:hAnsiTheme="majorHAnsi" w:cstheme="majorHAnsi"/>
          <w:b/>
          <w:bCs/>
          <w:color w:val="000000"/>
          <w:sz w:val="24"/>
          <w:szCs w:val="24"/>
        </w:rPr>
        <w:tab/>
      </w:r>
      <w:r>
        <w:rPr>
          <w:rFonts w:asciiTheme="majorHAnsi" w:hAnsiTheme="majorHAnsi" w:cstheme="majorHAnsi"/>
          <w:b/>
          <w:bCs/>
          <w:color w:val="000000"/>
          <w:sz w:val="24"/>
          <w:szCs w:val="24"/>
        </w:rPr>
        <w:tab/>
      </w:r>
      <w:r w:rsidRPr="009C645E">
        <w:rPr>
          <w:rFonts w:asciiTheme="majorHAnsi" w:hAnsiTheme="majorHAnsi" w:cstheme="majorHAnsi"/>
          <w:bCs/>
          <w:color w:val="000000"/>
          <w:sz w:val="24"/>
          <w:szCs w:val="24"/>
        </w:rPr>
        <w:tab/>
        <w:t>ÚVaMVTS</w:t>
      </w:r>
    </w:p>
    <w:p w14:paraId="62A767F4" w14:textId="77777777" w:rsidR="00920FC7" w:rsidRDefault="00920FC7" w:rsidP="00920FC7">
      <w:pPr>
        <w:pStyle w:val="Bezriadkovania"/>
        <w:jc w:val="both"/>
        <w:rPr>
          <w:rFonts w:asciiTheme="majorHAnsi" w:hAnsiTheme="majorHAnsi" w:cstheme="majorHAnsi"/>
          <w:b/>
          <w:bCs/>
          <w:color w:val="000000"/>
          <w:sz w:val="24"/>
          <w:szCs w:val="24"/>
        </w:rPr>
      </w:pPr>
      <w:r w:rsidRPr="0077083E">
        <w:rPr>
          <w:rFonts w:asciiTheme="majorHAnsi" w:hAnsiTheme="majorHAnsi" w:cstheme="majorHAnsi"/>
          <w:b/>
          <w:bCs/>
          <w:color w:val="000000"/>
          <w:sz w:val="24"/>
          <w:szCs w:val="24"/>
        </w:rPr>
        <w:t>                 </w:t>
      </w:r>
      <w:r w:rsidRPr="0077083E">
        <w:rPr>
          <w:rFonts w:asciiTheme="majorHAnsi" w:hAnsiTheme="majorHAnsi" w:cstheme="majorHAnsi"/>
          <w:b/>
          <w:bCs/>
          <w:color w:val="000000"/>
          <w:sz w:val="24"/>
          <w:szCs w:val="24"/>
        </w:rPr>
        <w:tab/>
      </w:r>
      <w:r w:rsidRPr="0077083E">
        <w:rPr>
          <w:rFonts w:asciiTheme="majorHAnsi" w:hAnsiTheme="majorHAnsi" w:cstheme="majorHAnsi"/>
          <w:b/>
          <w:bCs/>
          <w:color w:val="000000"/>
          <w:sz w:val="24"/>
          <w:szCs w:val="24"/>
        </w:rPr>
        <w:tab/>
        <w:t>Ing. Juraj Rybanský</w:t>
      </w:r>
    </w:p>
    <w:p w14:paraId="4B4BDD92" w14:textId="77777777" w:rsidR="00920FC7" w:rsidRPr="009C645E" w:rsidRDefault="00920FC7" w:rsidP="00920FC7">
      <w:pPr>
        <w:pStyle w:val="Bezriadkovania"/>
        <w:jc w:val="both"/>
        <w:rPr>
          <w:rFonts w:asciiTheme="majorHAnsi" w:hAnsiTheme="majorHAnsi" w:cstheme="majorHAnsi"/>
          <w:bCs/>
          <w:color w:val="000000"/>
          <w:sz w:val="24"/>
          <w:szCs w:val="24"/>
        </w:rPr>
      </w:pPr>
      <w:r>
        <w:rPr>
          <w:rFonts w:asciiTheme="majorHAnsi" w:hAnsiTheme="majorHAnsi" w:cstheme="majorHAnsi"/>
          <w:b/>
          <w:bCs/>
          <w:color w:val="000000"/>
          <w:sz w:val="24"/>
          <w:szCs w:val="24"/>
        </w:rPr>
        <w:tab/>
      </w:r>
      <w:r>
        <w:rPr>
          <w:rFonts w:asciiTheme="majorHAnsi" w:hAnsiTheme="majorHAnsi" w:cstheme="majorHAnsi"/>
          <w:b/>
          <w:bCs/>
          <w:color w:val="000000"/>
          <w:sz w:val="24"/>
          <w:szCs w:val="24"/>
        </w:rPr>
        <w:tab/>
      </w:r>
      <w:r w:rsidRPr="009C645E">
        <w:rPr>
          <w:rFonts w:asciiTheme="majorHAnsi" w:hAnsiTheme="majorHAnsi" w:cstheme="majorHAnsi"/>
          <w:bCs/>
          <w:color w:val="000000"/>
          <w:sz w:val="24"/>
          <w:szCs w:val="24"/>
        </w:rPr>
        <w:tab/>
        <w:t>ÚKR</w:t>
      </w:r>
    </w:p>
    <w:p w14:paraId="38801364" w14:textId="77777777" w:rsidR="00920FC7" w:rsidRPr="0077083E" w:rsidRDefault="00920FC7" w:rsidP="00920FC7">
      <w:pPr>
        <w:pStyle w:val="Bezriadkovania"/>
        <w:jc w:val="both"/>
        <w:rPr>
          <w:rFonts w:asciiTheme="majorHAnsi" w:hAnsiTheme="majorHAnsi" w:cstheme="majorHAnsi"/>
          <w:bCs/>
          <w:color w:val="000000"/>
          <w:sz w:val="24"/>
          <w:szCs w:val="24"/>
        </w:rPr>
      </w:pPr>
    </w:p>
    <w:p w14:paraId="2474A5A4" w14:textId="663DED53" w:rsidR="00920FC7" w:rsidRPr="0077083E" w:rsidRDefault="00920FC7" w:rsidP="00920FC7">
      <w:pPr>
        <w:pStyle w:val="Bezriadkovania"/>
        <w:jc w:val="both"/>
        <w:rPr>
          <w:rFonts w:asciiTheme="majorHAnsi" w:hAnsiTheme="majorHAnsi" w:cstheme="majorHAnsi"/>
          <w:bCs/>
          <w:color w:val="000000"/>
          <w:sz w:val="24"/>
          <w:szCs w:val="24"/>
        </w:rPr>
      </w:pPr>
      <w:r w:rsidRPr="0077083E">
        <w:rPr>
          <w:rFonts w:asciiTheme="majorHAnsi" w:hAnsiTheme="majorHAnsi" w:cstheme="majorHAnsi"/>
          <w:sz w:val="24"/>
          <w:szCs w:val="24"/>
        </w:rPr>
        <w:t xml:space="preserve">Zdôvodnenie:    </w:t>
      </w:r>
      <w:r>
        <w:rPr>
          <w:rFonts w:asciiTheme="majorHAnsi" w:hAnsiTheme="majorHAnsi" w:cstheme="majorHAnsi"/>
          <w:sz w:val="24"/>
          <w:szCs w:val="24"/>
        </w:rPr>
        <w:tab/>
      </w:r>
      <w:r w:rsidRPr="0077083E">
        <w:rPr>
          <w:rFonts w:asciiTheme="majorHAnsi" w:hAnsiTheme="majorHAnsi" w:cstheme="majorHAnsi"/>
          <w:sz w:val="24"/>
          <w:szCs w:val="24"/>
        </w:rPr>
        <w:t>Materiál sa predkladá každoročne a</w:t>
      </w:r>
      <w:r>
        <w:rPr>
          <w:rFonts w:asciiTheme="majorHAnsi" w:hAnsiTheme="majorHAnsi" w:cstheme="majorHAnsi"/>
          <w:sz w:val="24"/>
          <w:szCs w:val="24"/>
        </w:rPr>
        <w:t> je zostavený podľa požiadaviek.</w:t>
      </w:r>
      <w:r w:rsidRPr="0077083E">
        <w:rPr>
          <w:rFonts w:asciiTheme="majorHAnsi" w:hAnsiTheme="majorHAnsi" w:cstheme="majorHAnsi"/>
          <w:sz w:val="24"/>
          <w:szCs w:val="24"/>
        </w:rPr>
        <w:t xml:space="preserve"> </w:t>
      </w:r>
    </w:p>
    <w:p w14:paraId="2A0354E7" w14:textId="77777777" w:rsidR="00920FC7" w:rsidRPr="0077083E" w:rsidRDefault="00920FC7" w:rsidP="00920FC7">
      <w:pPr>
        <w:pStyle w:val="Bezriadkovania"/>
        <w:ind w:left="2160"/>
        <w:jc w:val="both"/>
        <w:rPr>
          <w:rFonts w:asciiTheme="majorHAnsi" w:hAnsiTheme="majorHAnsi" w:cstheme="majorHAnsi"/>
          <w:color w:val="00000A"/>
          <w:sz w:val="24"/>
          <w:szCs w:val="24"/>
        </w:rPr>
      </w:pPr>
      <w:r w:rsidRPr="0077083E">
        <w:rPr>
          <w:rFonts w:asciiTheme="majorHAnsi" w:hAnsiTheme="majorHAnsi" w:cstheme="majorHAnsi"/>
          <w:sz w:val="24"/>
          <w:szCs w:val="24"/>
        </w:rPr>
        <w:t xml:space="preserve">Spolu s týmto dokumentom sa predkladá príloha s tabuľkami podľa požiadaviek MŠVVaŠ SR. </w:t>
      </w:r>
    </w:p>
    <w:p w14:paraId="5CDCF0F7" w14:textId="77777777" w:rsidR="00920FC7" w:rsidRPr="0077083E" w:rsidRDefault="00920FC7" w:rsidP="00920FC7">
      <w:pPr>
        <w:pStyle w:val="Bezriadkovania"/>
        <w:jc w:val="both"/>
        <w:rPr>
          <w:rFonts w:asciiTheme="majorHAnsi" w:hAnsiTheme="majorHAnsi" w:cstheme="majorHAnsi"/>
          <w:color w:val="00000A"/>
          <w:sz w:val="24"/>
          <w:szCs w:val="24"/>
        </w:rPr>
      </w:pPr>
      <w:r w:rsidRPr="0077083E">
        <w:rPr>
          <w:rFonts w:asciiTheme="majorHAnsi" w:hAnsiTheme="majorHAnsi" w:cstheme="majorHAnsi"/>
          <w:color w:val="00000A"/>
          <w:sz w:val="24"/>
          <w:szCs w:val="24"/>
        </w:rPr>
        <w:t> </w:t>
      </w:r>
    </w:p>
    <w:p w14:paraId="231525C6" w14:textId="77777777" w:rsidR="00920FC7" w:rsidRPr="0077083E" w:rsidRDefault="00920FC7" w:rsidP="00920FC7">
      <w:pPr>
        <w:pStyle w:val="Bezriadkovania"/>
        <w:jc w:val="both"/>
        <w:rPr>
          <w:rFonts w:asciiTheme="majorHAnsi" w:hAnsiTheme="majorHAnsi" w:cstheme="majorHAnsi"/>
          <w:color w:val="00000A"/>
          <w:sz w:val="24"/>
          <w:szCs w:val="24"/>
        </w:rPr>
      </w:pPr>
      <w:r w:rsidRPr="0077083E">
        <w:rPr>
          <w:rFonts w:asciiTheme="majorHAnsi" w:hAnsiTheme="majorHAnsi" w:cstheme="majorHAnsi"/>
          <w:sz w:val="24"/>
          <w:szCs w:val="24"/>
        </w:rPr>
        <w:t xml:space="preserve">                                         </w:t>
      </w:r>
    </w:p>
    <w:p w14:paraId="7D56E1EF" w14:textId="100396CF" w:rsidR="00920FC7" w:rsidRDefault="00920FC7" w:rsidP="00920FC7">
      <w:pPr>
        <w:pStyle w:val="Bezriadkovania"/>
        <w:jc w:val="both"/>
        <w:rPr>
          <w:rFonts w:asciiTheme="majorHAnsi" w:hAnsiTheme="majorHAnsi" w:cstheme="majorHAnsi"/>
          <w:sz w:val="24"/>
          <w:szCs w:val="24"/>
        </w:rPr>
      </w:pPr>
      <w:r w:rsidRPr="0077083E">
        <w:rPr>
          <w:rFonts w:asciiTheme="majorHAnsi" w:hAnsiTheme="majorHAnsi" w:cstheme="majorHAnsi"/>
          <w:sz w:val="24"/>
          <w:szCs w:val="24"/>
        </w:rPr>
        <w:t xml:space="preserve">Návrh uznesenia: </w:t>
      </w:r>
      <w:r>
        <w:rPr>
          <w:rFonts w:asciiTheme="majorHAnsi" w:hAnsiTheme="majorHAnsi" w:cstheme="majorHAnsi"/>
          <w:sz w:val="24"/>
          <w:szCs w:val="24"/>
        </w:rPr>
        <w:tab/>
        <w:t>KR</w:t>
      </w:r>
      <w:r w:rsidRPr="0077083E">
        <w:rPr>
          <w:rFonts w:asciiTheme="majorHAnsi" w:hAnsiTheme="majorHAnsi" w:cstheme="majorHAnsi"/>
          <w:sz w:val="24"/>
          <w:szCs w:val="24"/>
        </w:rPr>
        <w:t> STU schvaľuje  znenie Výročnej s</w:t>
      </w:r>
      <w:r>
        <w:rPr>
          <w:rFonts w:asciiTheme="majorHAnsi" w:hAnsiTheme="majorHAnsi" w:cstheme="majorHAnsi"/>
          <w:sz w:val="24"/>
          <w:szCs w:val="24"/>
        </w:rPr>
        <w:t>právy o činnosti STU za rok 2022</w:t>
      </w:r>
    </w:p>
    <w:p w14:paraId="09269932" w14:textId="77777777" w:rsidR="00920FC7" w:rsidRPr="0077083E" w:rsidRDefault="00920FC7" w:rsidP="00920FC7">
      <w:pPr>
        <w:pStyle w:val="Bezriadkovania"/>
        <w:jc w:val="both"/>
        <w:rPr>
          <w:rFonts w:asciiTheme="majorHAnsi" w:hAnsiTheme="majorHAnsi" w:cstheme="majorHAnsi"/>
          <w:color w:val="00000A"/>
          <w:sz w:val="24"/>
          <w:szCs w:val="24"/>
        </w:rPr>
      </w:pPr>
    </w:p>
    <w:p w14:paraId="28CFC0F2" w14:textId="77777777" w:rsidR="00920FC7" w:rsidRPr="0077083E" w:rsidRDefault="00920FC7" w:rsidP="00920FC7">
      <w:pPr>
        <w:pStyle w:val="Bezriadkovania"/>
        <w:jc w:val="both"/>
        <w:rPr>
          <w:rFonts w:asciiTheme="majorHAnsi" w:hAnsiTheme="majorHAnsi" w:cstheme="majorHAnsi"/>
          <w:color w:val="00000A"/>
          <w:sz w:val="24"/>
          <w:szCs w:val="24"/>
        </w:rPr>
      </w:pPr>
      <w:r w:rsidRPr="0077083E">
        <w:rPr>
          <w:rFonts w:asciiTheme="majorHAnsi" w:hAnsiTheme="majorHAnsi" w:cstheme="majorHAnsi"/>
          <w:sz w:val="24"/>
          <w:szCs w:val="24"/>
        </w:rPr>
        <w:t>                          </w:t>
      </w:r>
      <w:r>
        <w:rPr>
          <w:rFonts w:asciiTheme="majorHAnsi" w:hAnsiTheme="majorHAnsi" w:cstheme="majorHAnsi"/>
          <w:sz w:val="24"/>
          <w:szCs w:val="24"/>
        </w:rPr>
        <w:tab/>
      </w:r>
      <w:r>
        <w:rPr>
          <w:rFonts w:asciiTheme="majorHAnsi" w:hAnsiTheme="majorHAnsi" w:cstheme="majorHAnsi"/>
          <w:sz w:val="24"/>
          <w:szCs w:val="24"/>
        </w:rPr>
        <w:tab/>
        <w:t>a</w:t>
      </w:r>
      <w:r w:rsidRPr="0077083E">
        <w:rPr>
          <w:rFonts w:asciiTheme="majorHAnsi" w:hAnsiTheme="majorHAnsi" w:cstheme="majorHAnsi"/>
          <w:sz w:val="24"/>
          <w:szCs w:val="24"/>
        </w:rPr>
        <w:t>) s pripomienkami</w:t>
      </w:r>
    </w:p>
    <w:p w14:paraId="4529DD14" w14:textId="77777777" w:rsidR="00920FC7" w:rsidRPr="0077083E" w:rsidRDefault="00920FC7" w:rsidP="00920FC7">
      <w:pPr>
        <w:pStyle w:val="Bezriadkovania"/>
        <w:jc w:val="both"/>
        <w:rPr>
          <w:rFonts w:asciiTheme="majorHAnsi" w:hAnsiTheme="majorHAnsi" w:cstheme="majorHAnsi"/>
          <w:color w:val="00000A"/>
          <w:sz w:val="24"/>
          <w:szCs w:val="24"/>
        </w:rPr>
      </w:pPr>
      <w:r w:rsidRPr="0077083E">
        <w:rPr>
          <w:rFonts w:asciiTheme="majorHAnsi" w:hAnsiTheme="majorHAnsi" w:cstheme="majorHAnsi"/>
          <w:sz w:val="24"/>
          <w:szCs w:val="24"/>
        </w:rPr>
        <w:t xml:space="preserve">                           </w:t>
      </w:r>
      <w:r>
        <w:rPr>
          <w:rFonts w:asciiTheme="majorHAnsi" w:hAnsiTheme="majorHAnsi" w:cstheme="majorHAnsi"/>
          <w:sz w:val="24"/>
          <w:szCs w:val="24"/>
        </w:rPr>
        <w:tab/>
        <w:t>b</w:t>
      </w:r>
      <w:r w:rsidRPr="0077083E">
        <w:rPr>
          <w:rFonts w:asciiTheme="majorHAnsi" w:hAnsiTheme="majorHAnsi" w:cstheme="majorHAnsi"/>
          <w:sz w:val="24"/>
          <w:szCs w:val="24"/>
        </w:rPr>
        <w:t xml:space="preserve">) bez pripomienok. </w:t>
      </w:r>
    </w:p>
    <w:p w14:paraId="0A5020C4" w14:textId="77777777" w:rsidR="001F6078" w:rsidRDefault="001F6078" w:rsidP="001F6078">
      <w:pPr>
        <w:jc w:val="center"/>
        <w:rPr>
          <w:rFonts w:cstheme="minorHAnsi"/>
          <w:b/>
          <w:sz w:val="40"/>
          <w:szCs w:val="40"/>
        </w:rPr>
      </w:pPr>
    </w:p>
    <w:p w14:paraId="07F8A5BF" w14:textId="77777777" w:rsidR="001F6078" w:rsidRDefault="001F6078" w:rsidP="001F6078">
      <w:pPr>
        <w:jc w:val="center"/>
        <w:rPr>
          <w:rFonts w:cstheme="minorHAnsi"/>
          <w:b/>
          <w:sz w:val="40"/>
          <w:szCs w:val="40"/>
        </w:rPr>
      </w:pPr>
    </w:p>
    <w:p w14:paraId="361D8695" w14:textId="77777777" w:rsidR="001F6078" w:rsidRDefault="001F6078" w:rsidP="001F6078">
      <w:pPr>
        <w:jc w:val="center"/>
        <w:rPr>
          <w:rFonts w:cstheme="minorHAnsi"/>
          <w:b/>
          <w:sz w:val="40"/>
          <w:szCs w:val="40"/>
        </w:rPr>
      </w:pPr>
    </w:p>
    <w:p w14:paraId="6423F3B1" w14:textId="77777777" w:rsidR="001F6078" w:rsidRDefault="001F6078" w:rsidP="001F6078">
      <w:pPr>
        <w:jc w:val="center"/>
        <w:rPr>
          <w:rFonts w:cstheme="minorHAnsi"/>
          <w:b/>
          <w:sz w:val="40"/>
          <w:szCs w:val="40"/>
        </w:rPr>
      </w:pPr>
    </w:p>
    <w:p w14:paraId="2076B5A2" w14:textId="77777777" w:rsidR="001F6078" w:rsidRPr="009A2D04" w:rsidRDefault="001F6078" w:rsidP="001F6078">
      <w:pPr>
        <w:jc w:val="center"/>
        <w:rPr>
          <w:rFonts w:asciiTheme="majorHAnsi" w:hAnsiTheme="majorHAnsi" w:cstheme="majorHAnsi"/>
          <w:b/>
          <w:sz w:val="40"/>
          <w:szCs w:val="40"/>
        </w:rPr>
      </w:pPr>
    </w:p>
    <w:p w14:paraId="0522DD0D" w14:textId="77777777" w:rsidR="001F6078" w:rsidRPr="009A2D04" w:rsidRDefault="001F6078" w:rsidP="001F6078">
      <w:pPr>
        <w:jc w:val="center"/>
        <w:rPr>
          <w:rFonts w:asciiTheme="majorHAnsi" w:hAnsiTheme="majorHAnsi" w:cstheme="majorHAnsi"/>
          <w:b/>
          <w:sz w:val="40"/>
          <w:szCs w:val="40"/>
        </w:rPr>
      </w:pPr>
    </w:p>
    <w:p w14:paraId="2586DCFE" w14:textId="77777777" w:rsidR="001F6078" w:rsidRPr="009A2D04" w:rsidRDefault="001F6078" w:rsidP="001F6078">
      <w:pPr>
        <w:jc w:val="center"/>
        <w:rPr>
          <w:rFonts w:asciiTheme="majorHAnsi" w:hAnsiTheme="majorHAnsi" w:cstheme="majorHAnsi"/>
          <w:b/>
          <w:sz w:val="40"/>
          <w:szCs w:val="40"/>
        </w:rPr>
      </w:pPr>
    </w:p>
    <w:p w14:paraId="41D8C8A0" w14:textId="77777777" w:rsidR="001F6078" w:rsidRPr="009A2D04" w:rsidRDefault="001F6078" w:rsidP="001F6078">
      <w:pPr>
        <w:rPr>
          <w:rFonts w:asciiTheme="majorHAnsi" w:hAnsiTheme="majorHAnsi" w:cstheme="majorHAnsi"/>
          <w:b/>
        </w:rPr>
      </w:pPr>
    </w:p>
    <w:p w14:paraId="34957F7D" w14:textId="77777777" w:rsidR="001F6078" w:rsidRPr="009A2D04" w:rsidRDefault="001F6078" w:rsidP="001F6078">
      <w:pPr>
        <w:rPr>
          <w:rFonts w:asciiTheme="majorHAnsi" w:hAnsiTheme="majorHAnsi" w:cstheme="majorHAnsi"/>
          <w:b/>
        </w:rPr>
      </w:pPr>
    </w:p>
    <w:p w14:paraId="66489E52" w14:textId="77777777" w:rsidR="001F6078" w:rsidRPr="009A2D04" w:rsidRDefault="001F6078" w:rsidP="001F6078">
      <w:pPr>
        <w:rPr>
          <w:rFonts w:asciiTheme="majorHAnsi" w:hAnsiTheme="majorHAnsi" w:cstheme="majorHAnsi"/>
          <w:b/>
        </w:rPr>
      </w:pPr>
    </w:p>
    <w:p w14:paraId="0AEEADAC" w14:textId="77777777" w:rsidR="001F6078" w:rsidRPr="009A2D04" w:rsidRDefault="001F6078" w:rsidP="001F6078">
      <w:pPr>
        <w:rPr>
          <w:rFonts w:asciiTheme="majorHAnsi" w:hAnsiTheme="majorHAnsi" w:cstheme="majorHAnsi"/>
          <w:b/>
        </w:rPr>
      </w:pPr>
    </w:p>
    <w:p w14:paraId="4D7E5D42" w14:textId="50F663CA" w:rsidR="001F6078" w:rsidRDefault="001F6078" w:rsidP="001F6078"/>
    <w:p w14:paraId="175F2164" w14:textId="77777777" w:rsidR="00920FC7" w:rsidRDefault="00920FC7" w:rsidP="001F6078"/>
    <w:p w14:paraId="03CC9B5A" w14:textId="77777777" w:rsidR="001F6078" w:rsidRDefault="001F6078" w:rsidP="001F6078"/>
    <w:p w14:paraId="5B706E29" w14:textId="77777777" w:rsidR="001F6078" w:rsidRDefault="001F6078" w:rsidP="001F6078"/>
    <w:p w14:paraId="033F0A04" w14:textId="77777777" w:rsidR="001F6078" w:rsidRDefault="001F6078" w:rsidP="001F6078"/>
    <w:p w14:paraId="246FFD3E" w14:textId="77777777" w:rsidR="001F6078" w:rsidRDefault="001F6078" w:rsidP="001F6078"/>
    <w:p w14:paraId="7752F96E" w14:textId="77777777" w:rsidR="001F6078" w:rsidRDefault="001F6078" w:rsidP="001F6078"/>
    <w:p w14:paraId="4537F3DC" w14:textId="77777777" w:rsidR="001F6078" w:rsidRDefault="001F6078" w:rsidP="001F6078"/>
    <w:p w14:paraId="59CF7A43" w14:textId="77777777" w:rsidR="00920FC7" w:rsidRPr="0001716E" w:rsidRDefault="00920FC7" w:rsidP="00920FC7">
      <w:pPr>
        <w:jc w:val="center"/>
        <w:rPr>
          <w:rFonts w:cstheme="minorHAnsi"/>
          <w:b/>
          <w:sz w:val="40"/>
          <w:szCs w:val="40"/>
        </w:rPr>
      </w:pPr>
      <w:r w:rsidRPr="0001716E">
        <w:rPr>
          <w:rFonts w:cstheme="minorHAnsi"/>
          <w:b/>
          <w:sz w:val="40"/>
          <w:szCs w:val="40"/>
        </w:rPr>
        <w:t>Výročná s</w:t>
      </w:r>
      <w:r>
        <w:rPr>
          <w:rFonts w:cstheme="minorHAnsi"/>
          <w:b/>
          <w:sz w:val="40"/>
          <w:szCs w:val="40"/>
        </w:rPr>
        <w:t>práva o činnosti STU za rok 2022</w:t>
      </w:r>
    </w:p>
    <w:p w14:paraId="0E93255A" w14:textId="77777777" w:rsidR="001F6078" w:rsidRDefault="001F6078" w:rsidP="001F6078"/>
    <w:p w14:paraId="3E0CACC9" w14:textId="77777777" w:rsidR="001F6078" w:rsidRDefault="001F6078" w:rsidP="001F6078"/>
    <w:p w14:paraId="074D729D" w14:textId="77777777" w:rsidR="001F6078" w:rsidRDefault="001F6078" w:rsidP="001F6078"/>
    <w:p w14:paraId="4132B179" w14:textId="77777777" w:rsidR="001F6078" w:rsidRDefault="001F6078" w:rsidP="001F6078"/>
    <w:p w14:paraId="50CF50E3" w14:textId="77777777" w:rsidR="001F6078" w:rsidRDefault="001F6078" w:rsidP="001F6078"/>
    <w:p w14:paraId="3C5EFDD1" w14:textId="77777777" w:rsidR="001F6078" w:rsidRDefault="001F6078" w:rsidP="001F6078"/>
    <w:p w14:paraId="233BFD3D" w14:textId="77777777" w:rsidR="001F6078" w:rsidRDefault="001F6078" w:rsidP="001F6078"/>
    <w:p w14:paraId="4F6EDD7C" w14:textId="77777777" w:rsidR="001F6078" w:rsidRDefault="001F6078" w:rsidP="001F6078"/>
    <w:p w14:paraId="6B33AD18" w14:textId="77777777" w:rsidR="001F6078" w:rsidRDefault="001F6078" w:rsidP="001F6078"/>
    <w:p w14:paraId="388463C3" w14:textId="77777777" w:rsidR="001F6078" w:rsidRDefault="001F6078" w:rsidP="001F6078"/>
    <w:p w14:paraId="49F3F500" w14:textId="77777777" w:rsidR="001F6078" w:rsidRDefault="001F6078" w:rsidP="001F6078"/>
    <w:p w14:paraId="2F0ACD94" w14:textId="77777777" w:rsidR="001F6078" w:rsidRDefault="001F6078" w:rsidP="001F6078"/>
    <w:p w14:paraId="4C7D72AB" w14:textId="77777777" w:rsidR="001F6078" w:rsidRDefault="001F6078" w:rsidP="001F6078"/>
    <w:p w14:paraId="03A4E40A" w14:textId="77777777" w:rsidR="001F6078" w:rsidRDefault="001F6078" w:rsidP="001F6078"/>
    <w:p w14:paraId="67CD05E8" w14:textId="77777777" w:rsidR="001F6078" w:rsidRDefault="001F6078" w:rsidP="001F6078"/>
    <w:p w14:paraId="3F6890EA" w14:textId="77777777" w:rsidR="001F6078" w:rsidRDefault="001F6078" w:rsidP="001F6078"/>
    <w:p w14:paraId="298C2F9C" w14:textId="77777777" w:rsidR="001F6078" w:rsidRDefault="001F6078" w:rsidP="001F6078"/>
    <w:p w14:paraId="020B3BE8" w14:textId="77777777" w:rsidR="001F6078" w:rsidRDefault="001F6078" w:rsidP="001F6078"/>
    <w:p w14:paraId="0405EAA8" w14:textId="77777777" w:rsidR="001F6078" w:rsidRDefault="001F6078" w:rsidP="001F6078"/>
    <w:p w14:paraId="7207EB6C" w14:textId="77777777" w:rsidR="001F6078" w:rsidRDefault="001F6078" w:rsidP="001F6078"/>
    <w:p w14:paraId="34DF8E81" w14:textId="77777777" w:rsidR="001F6078" w:rsidRDefault="001F6078" w:rsidP="001F6078"/>
    <w:p w14:paraId="7F6AB45D" w14:textId="77777777" w:rsidR="001F6078" w:rsidRDefault="001F6078" w:rsidP="001F6078"/>
    <w:p w14:paraId="3B965B42" w14:textId="77777777" w:rsidR="001F6078" w:rsidRDefault="001F6078" w:rsidP="001F6078"/>
    <w:p w14:paraId="1237B60A" w14:textId="77777777" w:rsidR="001F6078" w:rsidRDefault="001F6078" w:rsidP="001F6078"/>
    <w:p w14:paraId="7E4F66E9" w14:textId="77777777" w:rsidR="001F6078" w:rsidRDefault="001F6078" w:rsidP="001F6078"/>
    <w:p w14:paraId="472BEB36" w14:textId="77777777" w:rsidR="001F6078" w:rsidRDefault="001F6078" w:rsidP="001F6078"/>
    <w:p w14:paraId="7AEB461D" w14:textId="77777777" w:rsidR="001F6078" w:rsidRDefault="001F6078" w:rsidP="001F6078"/>
    <w:p w14:paraId="2EEDBC06" w14:textId="77777777" w:rsidR="001F6078" w:rsidRDefault="001F6078" w:rsidP="001F6078"/>
    <w:p w14:paraId="715304D3" w14:textId="77777777" w:rsidR="001F6078" w:rsidRDefault="001F6078" w:rsidP="001F6078"/>
    <w:p w14:paraId="18ECF9E8" w14:textId="77777777" w:rsidR="001F6078" w:rsidRDefault="001F6078" w:rsidP="001F6078"/>
    <w:p w14:paraId="563BF872" w14:textId="77777777" w:rsidR="001F6078" w:rsidRDefault="001F6078" w:rsidP="001F6078"/>
    <w:p w14:paraId="55B70BF9" w14:textId="77777777" w:rsidR="001F6078" w:rsidRDefault="001F6078" w:rsidP="001F6078"/>
    <w:p w14:paraId="7037DF0E" w14:textId="77777777" w:rsidR="00920FC7" w:rsidRPr="0001716E" w:rsidRDefault="00920FC7" w:rsidP="00920FC7">
      <w:pPr>
        <w:rPr>
          <w:rFonts w:cstheme="minorHAnsi"/>
          <w:b/>
          <w:sz w:val="28"/>
          <w:szCs w:val="28"/>
        </w:rPr>
      </w:pPr>
      <w:r>
        <w:rPr>
          <w:rFonts w:cstheme="minorHAnsi"/>
          <w:b/>
          <w:sz w:val="28"/>
          <w:szCs w:val="28"/>
        </w:rPr>
        <w:t>Bratislava, máj 2023</w:t>
      </w:r>
    </w:p>
    <w:p w14:paraId="3CD19897" w14:textId="77777777" w:rsidR="001F6078" w:rsidRDefault="001F6078" w:rsidP="001F6078">
      <w:pPr>
        <w:rPr>
          <w:rFonts w:cstheme="minorHAnsi"/>
          <w:b/>
        </w:rPr>
      </w:pPr>
    </w:p>
    <w:p w14:paraId="6A533223" w14:textId="0E004E89" w:rsidR="001F6078" w:rsidRPr="0016545A" w:rsidRDefault="001F6078" w:rsidP="001F6078">
      <w:pPr>
        <w:rPr>
          <w:rFonts w:cstheme="minorHAnsi"/>
          <w:b/>
        </w:rPr>
      </w:pPr>
      <w:r w:rsidRPr="0016545A">
        <w:rPr>
          <w:rFonts w:cstheme="minorHAnsi"/>
          <w:b/>
        </w:rPr>
        <w:lastRenderedPageBreak/>
        <w:t xml:space="preserve">Obsah </w:t>
      </w:r>
    </w:p>
    <w:p w14:paraId="14B74B06" w14:textId="77777777" w:rsidR="001F6078" w:rsidRPr="0001716E" w:rsidRDefault="001F6078" w:rsidP="001F6078">
      <w:pPr>
        <w:rPr>
          <w:rFonts w:cstheme="minorHAnsi"/>
          <w:b/>
          <w:sz w:val="22"/>
          <w:szCs w:val="22"/>
        </w:rPr>
      </w:pPr>
    </w:p>
    <w:p w14:paraId="4D6FCC5D" w14:textId="77777777" w:rsidR="005C1E92" w:rsidRPr="0001716E" w:rsidRDefault="005C1E92" w:rsidP="005C1E92">
      <w:pPr>
        <w:jc w:val="both"/>
        <w:rPr>
          <w:rFonts w:cstheme="minorHAnsi"/>
          <w:sz w:val="22"/>
          <w:szCs w:val="22"/>
        </w:rPr>
      </w:pPr>
      <w:r w:rsidRPr="0001716E">
        <w:rPr>
          <w:rFonts w:cstheme="minorHAnsi"/>
          <w:sz w:val="22"/>
          <w:szCs w:val="22"/>
        </w:rPr>
        <w:t xml:space="preserve">1. Základné informácie o vysokej škole ..................................................................................   </w:t>
      </w:r>
      <w:r w:rsidRPr="0001716E">
        <w:rPr>
          <w:rFonts w:cstheme="minorHAnsi"/>
          <w:sz w:val="22"/>
          <w:szCs w:val="22"/>
        </w:rPr>
        <w:tab/>
        <w:t xml:space="preserve">5 </w:t>
      </w:r>
    </w:p>
    <w:p w14:paraId="54FFF3B6" w14:textId="6D8F68FF" w:rsidR="005C1E92" w:rsidRPr="0001716E" w:rsidRDefault="005C1E92" w:rsidP="005C1E92">
      <w:pPr>
        <w:jc w:val="both"/>
        <w:rPr>
          <w:rFonts w:cstheme="minorHAnsi"/>
          <w:sz w:val="22"/>
          <w:szCs w:val="22"/>
        </w:rPr>
      </w:pPr>
      <w:r w:rsidRPr="0001716E">
        <w:rPr>
          <w:rFonts w:cstheme="minorHAnsi"/>
          <w:sz w:val="22"/>
          <w:szCs w:val="22"/>
        </w:rPr>
        <w:t>2. Prehľad najdôležitejších faktov a činností ..............................................</w:t>
      </w:r>
      <w:r>
        <w:rPr>
          <w:rFonts w:cstheme="minorHAnsi"/>
          <w:sz w:val="22"/>
          <w:szCs w:val="22"/>
        </w:rPr>
        <w:t>............................            11</w:t>
      </w:r>
    </w:p>
    <w:p w14:paraId="7A35647B" w14:textId="204AC2A7" w:rsidR="005C1E92" w:rsidRPr="0001716E" w:rsidRDefault="005C1E92" w:rsidP="005C1E92">
      <w:pPr>
        <w:jc w:val="both"/>
        <w:rPr>
          <w:rFonts w:cstheme="minorHAnsi"/>
          <w:sz w:val="22"/>
          <w:szCs w:val="22"/>
        </w:rPr>
      </w:pPr>
      <w:r w:rsidRPr="0001716E">
        <w:rPr>
          <w:rFonts w:cstheme="minorHAnsi"/>
          <w:sz w:val="22"/>
          <w:szCs w:val="22"/>
        </w:rPr>
        <w:t>3. Informácie o poskytovanom vysokoškolskom vzdelávaní ......................</w:t>
      </w:r>
      <w:r>
        <w:rPr>
          <w:rFonts w:cstheme="minorHAnsi"/>
          <w:sz w:val="22"/>
          <w:szCs w:val="22"/>
        </w:rPr>
        <w:t>............................            15</w:t>
      </w:r>
    </w:p>
    <w:p w14:paraId="6D5CBAF1" w14:textId="0E214F7A" w:rsidR="005C1E92" w:rsidRPr="0001716E" w:rsidRDefault="005C1E92" w:rsidP="005C1E92">
      <w:pPr>
        <w:jc w:val="both"/>
        <w:rPr>
          <w:rFonts w:cstheme="minorHAnsi"/>
          <w:sz w:val="22"/>
          <w:szCs w:val="22"/>
        </w:rPr>
      </w:pPr>
      <w:r>
        <w:rPr>
          <w:rFonts w:cstheme="minorHAnsi"/>
          <w:sz w:val="22"/>
          <w:szCs w:val="22"/>
        </w:rPr>
        <w:t xml:space="preserve">3.1. Študijné programy na STU </w:t>
      </w:r>
      <w:r w:rsidRPr="0001716E">
        <w:rPr>
          <w:rFonts w:cstheme="minorHAnsi"/>
          <w:sz w:val="22"/>
          <w:szCs w:val="22"/>
        </w:rPr>
        <w:t>...................................................................</w:t>
      </w:r>
      <w:r>
        <w:rPr>
          <w:rFonts w:cstheme="minorHAnsi"/>
          <w:sz w:val="22"/>
          <w:szCs w:val="22"/>
        </w:rPr>
        <w:t>............................            15</w:t>
      </w:r>
    </w:p>
    <w:p w14:paraId="197C9DEC" w14:textId="77777777" w:rsidR="005C1E92" w:rsidRPr="0001716E" w:rsidRDefault="005C1E92" w:rsidP="005C1E92">
      <w:pPr>
        <w:jc w:val="both"/>
        <w:rPr>
          <w:rFonts w:cstheme="minorHAnsi"/>
          <w:sz w:val="22"/>
          <w:szCs w:val="22"/>
        </w:rPr>
      </w:pPr>
      <w:r w:rsidRPr="0001716E">
        <w:rPr>
          <w:rFonts w:cstheme="minorHAnsi"/>
          <w:sz w:val="22"/>
          <w:szCs w:val="22"/>
        </w:rPr>
        <w:t>3.2. Počty a š</w:t>
      </w:r>
      <w:r>
        <w:rPr>
          <w:rFonts w:cstheme="minorHAnsi"/>
          <w:sz w:val="22"/>
          <w:szCs w:val="22"/>
        </w:rPr>
        <w:t xml:space="preserve">truktúra študentov na STU </w:t>
      </w:r>
      <w:r w:rsidRPr="0001716E">
        <w:rPr>
          <w:rFonts w:cstheme="minorHAnsi"/>
          <w:sz w:val="22"/>
          <w:szCs w:val="22"/>
        </w:rPr>
        <w:t>.....................................................</w:t>
      </w:r>
      <w:r>
        <w:rPr>
          <w:rFonts w:cstheme="minorHAnsi"/>
          <w:sz w:val="22"/>
          <w:szCs w:val="22"/>
        </w:rPr>
        <w:t xml:space="preserve">...........................  </w:t>
      </w:r>
      <w:r>
        <w:rPr>
          <w:rFonts w:cstheme="minorHAnsi"/>
          <w:sz w:val="22"/>
          <w:szCs w:val="22"/>
        </w:rPr>
        <w:tab/>
        <w:t>21</w:t>
      </w:r>
    </w:p>
    <w:p w14:paraId="5CC32FA3" w14:textId="77777777" w:rsidR="005C1E92" w:rsidRPr="0001716E" w:rsidRDefault="005C1E92" w:rsidP="005C1E92">
      <w:pPr>
        <w:jc w:val="both"/>
        <w:rPr>
          <w:rFonts w:cstheme="minorHAnsi"/>
          <w:sz w:val="22"/>
          <w:szCs w:val="22"/>
        </w:rPr>
      </w:pPr>
      <w:r w:rsidRPr="0001716E">
        <w:rPr>
          <w:rFonts w:cstheme="minorHAnsi"/>
          <w:sz w:val="22"/>
          <w:szCs w:val="22"/>
        </w:rPr>
        <w:t>3.2.1. Prvý stupeň štúdia – počet a úbytok študentov ................................</w:t>
      </w:r>
      <w:r>
        <w:rPr>
          <w:rFonts w:cstheme="minorHAnsi"/>
          <w:sz w:val="22"/>
          <w:szCs w:val="22"/>
        </w:rPr>
        <w:t xml:space="preserve">...........................  </w:t>
      </w:r>
      <w:r>
        <w:rPr>
          <w:rFonts w:cstheme="minorHAnsi"/>
          <w:sz w:val="22"/>
          <w:szCs w:val="22"/>
        </w:rPr>
        <w:tab/>
        <w:t>26</w:t>
      </w:r>
    </w:p>
    <w:p w14:paraId="4707764D" w14:textId="77777777" w:rsidR="005C1E92" w:rsidRPr="0001716E" w:rsidRDefault="005C1E92" w:rsidP="005C1E92">
      <w:pPr>
        <w:jc w:val="both"/>
        <w:rPr>
          <w:rFonts w:cstheme="minorHAnsi"/>
          <w:sz w:val="22"/>
          <w:szCs w:val="22"/>
        </w:rPr>
      </w:pPr>
      <w:r w:rsidRPr="0001716E">
        <w:rPr>
          <w:rFonts w:cstheme="minorHAnsi"/>
          <w:sz w:val="22"/>
          <w:szCs w:val="22"/>
        </w:rPr>
        <w:t>3.2.2 Druhý stupeň štúdia – počet a úbytok študentov ..............................</w:t>
      </w:r>
      <w:r>
        <w:rPr>
          <w:rFonts w:cstheme="minorHAnsi"/>
          <w:sz w:val="22"/>
          <w:szCs w:val="22"/>
        </w:rPr>
        <w:t xml:space="preserve">...........................  </w:t>
      </w:r>
      <w:r>
        <w:rPr>
          <w:rFonts w:cstheme="minorHAnsi"/>
          <w:sz w:val="22"/>
          <w:szCs w:val="22"/>
        </w:rPr>
        <w:tab/>
        <w:t>27</w:t>
      </w:r>
    </w:p>
    <w:p w14:paraId="04524C02" w14:textId="77777777" w:rsidR="005C1E92" w:rsidRPr="0001716E" w:rsidRDefault="005C1E92" w:rsidP="005C1E92">
      <w:pPr>
        <w:jc w:val="both"/>
        <w:rPr>
          <w:rFonts w:cstheme="minorHAnsi"/>
          <w:sz w:val="22"/>
          <w:szCs w:val="22"/>
        </w:rPr>
      </w:pPr>
      <w:r w:rsidRPr="0001716E">
        <w:rPr>
          <w:rFonts w:cstheme="minorHAnsi"/>
          <w:sz w:val="22"/>
          <w:szCs w:val="22"/>
        </w:rPr>
        <w:t>3.2.3. Tretí stupeň štúdia – počet a úbytok študentov ...............................</w:t>
      </w:r>
      <w:r>
        <w:rPr>
          <w:rFonts w:cstheme="minorHAnsi"/>
          <w:sz w:val="22"/>
          <w:szCs w:val="22"/>
        </w:rPr>
        <w:t xml:space="preserve">...........................  </w:t>
      </w:r>
      <w:r>
        <w:rPr>
          <w:rFonts w:cstheme="minorHAnsi"/>
          <w:sz w:val="22"/>
          <w:szCs w:val="22"/>
        </w:rPr>
        <w:tab/>
        <w:t>28</w:t>
      </w:r>
    </w:p>
    <w:p w14:paraId="643A88A5" w14:textId="77777777" w:rsidR="005C1E92" w:rsidRPr="0001716E" w:rsidRDefault="005C1E92" w:rsidP="005C1E92">
      <w:pPr>
        <w:jc w:val="both"/>
        <w:rPr>
          <w:rFonts w:cstheme="minorHAnsi"/>
          <w:sz w:val="22"/>
          <w:szCs w:val="22"/>
        </w:rPr>
      </w:pPr>
      <w:r w:rsidRPr="0001716E">
        <w:rPr>
          <w:rFonts w:cstheme="minorHAnsi"/>
          <w:sz w:val="22"/>
          <w:szCs w:val="22"/>
        </w:rPr>
        <w:t>3.2.4. Štruktúra študentov z hľadiska krajov Slovenska ..............................</w:t>
      </w:r>
      <w:r>
        <w:rPr>
          <w:rFonts w:cstheme="minorHAnsi"/>
          <w:sz w:val="22"/>
          <w:szCs w:val="22"/>
        </w:rPr>
        <w:t xml:space="preserve">...........................  </w:t>
      </w:r>
      <w:r>
        <w:rPr>
          <w:rFonts w:cstheme="minorHAnsi"/>
          <w:sz w:val="22"/>
          <w:szCs w:val="22"/>
        </w:rPr>
        <w:tab/>
        <w:t>29</w:t>
      </w:r>
    </w:p>
    <w:p w14:paraId="34990A51" w14:textId="77777777" w:rsidR="005C1E92" w:rsidRPr="0001716E" w:rsidRDefault="005C1E92" w:rsidP="005C1E92">
      <w:pPr>
        <w:jc w:val="both"/>
        <w:rPr>
          <w:rFonts w:cstheme="minorHAnsi"/>
          <w:sz w:val="22"/>
          <w:szCs w:val="22"/>
        </w:rPr>
      </w:pPr>
      <w:r w:rsidRPr="0001716E">
        <w:rPr>
          <w:rFonts w:cstheme="minorHAnsi"/>
          <w:sz w:val="22"/>
          <w:szCs w:val="22"/>
        </w:rPr>
        <w:t>3.2.5. Zahraniční študenti ............................................................................</w:t>
      </w:r>
      <w:r>
        <w:rPr>
          <w:rFonts w:cstheme="minorHAnsi"/>
          <w:sz w:val="22"/>
          <w:szCs w:val="22"/>
        </w:rPr>
        <w:t xml:space="preserve">..........................   </w:t>
      </w:r>
      <w:r>
        <w:rPr>
          <w:rFonts w:cstheme="minorHAnsi"/>
          <w:sz w:val="22"/>
          <w:szCs w:val="22"/>
        </w:rPr>
        <w:tab/>
        <w:t>29</w:t>
      </w:r>
    </w:p>
    <w:p w14:paraId="6E2DA03D" w14:textId="77777777" w:rsidR="005C1E92" w:rsidRPr="0001716E" w:rsidRDefault="005C1E92" w:rsidP="005C1E92">
      <w:pPr>
        <w:jc w:val="both"/>
        <w:rPr>
          <w:rFonts w:cstheme="minorHAnsi"/>
          <w:sz w:val="22"/>
          <w:szCs w:val="22"/>
        </w:rPr>
      </w:pPr>
      <w:r w:rsidRPr="0001716E">
        <w:rPr>
          <w:rFonts w:cstheme="minorHAnsi"/>
          <w:sz w:val="22"/>
          <w:szCs w:val="22"/>
        </w:rPr>
        <w:t>3.3. Informácie o akademickej mobilite</w:t>
      </w:r>
      <w:r>
        <w:rPr>
          <w:rFonts w:cstheme="minorHAnsi"/>
          <w:sz w:val="22"/>
          <w:szCs w:val="22"/>
        </w:rPr>
        <w:t xml:space="preserve"> študentov na STU ...</w:t>
      </w:r>
      <w:r w:rsidRPr="0001716E">
        <w:rPr>
          <w:rFonts w:cstheme="minorHAnsi"/>
          <w:sz w:val="22"/>
          <w:szCs w:val="22"/>
        </w:rPr>
        <w:t>.......................</w:t>
      </w:r>
      <w:r>
        <w:rPr>
          <w:rFonts w:cstheme="minorHAnsi"/>
          <w:sz w:val="22"/>
          <w:szCs w:val="22"/>
        </w:rPr>
        <w:t xml:space="preserve">..........................   </w:t>
      </w:r>
      <w:r>
        <w:rPr>
          <w:rFonts w:cstheme="minorHAnsi"/>
          <w:sz w:val="22"/>
          <w:szCs w:val="22"/>
        </w:rPr>
        <w:tab/>
        <w:t>33</w:t>
      </w:r>
    </w:p>
    <w:p w14:paraId="676923B1" w14:textId="77777777" w:rsidR="005C1E92" w:rsidRPr="0001716E" w:rsidRDefault="005C1E92" w:rsidP="005C1E92">
      <w:pPr>
        <w:jc w:val="both"/>
        <w:rPr>
          <w:rFonts w:cstheme="minorHAnsi"/>
          <w:sz w:val="22"/>
          <w:szCs w:val="22"/>
        </w:rPr>
      </w:pPr>
      <w:r w:rsidRPr="0001716E">
        <w:rPr>
          <w:rFonts w:cstheme="minorHAnsi"/>
          <w:sz w:val="22"/>
          <w:szCs w:val="22"/>
        </w:rPr>
        <w:t>3.4. Informácie o záujme o štúdium a výsledkoch prijímacieho</w:t>
      </w:r>
    </w:p>
    <w:p w14:paraId="478B2DEB" w14:textId="77777777" w:rsidR="005C1E92" w:rsidRPr="0001716E" w:rsidRDefault="005C1E92" w:rsidP="005C1E92">
      <w:pPr>
        <w:rPr>
          <w:rFonts w:cstheme="minorHAnsi"/>
          <w:sz w:val="22"/>
          <w:szCs w:val="22"/>
        </w:rPr>
      </w:pPr>
      <w:r w:rsidRPr="0001716E">
        <w:rPr>
          <w:rFonts w:cstheme="minorHAnsi"/>
          <w:sz w:val="22"/>
          <w:szCs w:val="22"/>
        </w:rPr>
        <w:t xml:space="preserve"> </w:t>
      </w:r>
      <w:r>
        <w:rPr>
          <w:rFonts w:cstheme="minorHAnsi"/>
          <w:sz w:val="22"/>
          <w:szCs w:val="22"/>
        </w:rPr>
        <w:t xml:space="preserve">       konania na akad. rok 2020/2021</w:t>
      </w:r>
      <w:r w:rsidRPr="0001716E">
        <w:rPr>
          <w:rFonts w:cstheme="minorHAnsi"/>
          <w:sz w:val="22"/>
          <w:szCs w:val="22"/>
        </w:rPr>
        <w:t xml:space="preserve"> </w:t>
      </w:r>
      <w:r>
        <w:rPr>
          <w:rFonts w:cstheme="minorHAnsi"/>
          <w:sz w:val="22"/>
          <w:szCs w:val="22"/>
        </w:rPr>
        <w:t>.</w:t>
      </w:r>
      <w:r w:rsidRPr="0001716E">
        <w:rPr>
          <w:rFonts w:cstheme="minorHAnsi"/>
          <w:sz w:val="22"/>
          <w:szCs w:val="22"/>
        </w:rPr>
        <w:t>..........................................................</w:t>
      </w:r>
      <w:r>
        <w:rPr>
          <w:rFonts w:cstheme="minorHAnsi"/>
          <w:sz w:val="22"/>
          <w:szCs w:val="22"/>
        </w:rPr>
        <w:t xml:space="preserve">...........................  </w:t>
      </w:r>
      <w:r>
        <w:rPr>
          <w:rFonts w:cstheme="minorHAnsi"/>
          <w:sz w:val="22"/>
          <w:szCs w:val="22"/>
        </w:rPr>
        <w:tab/>
        <w:t>36</w:t>
      </w:r>
    </w:p>
    <w:p w14:paraId="416D6A6F" w14:textId="77777777" w:rsidR="005C1E92" w:rsidRPr="0001716E" w:rsidRDefault="005C1E92" w:rsidP="005C1E92">
      <w:pPr>
        <w:jc w:val="both"/>
        <w:rPr>
          <w:rFonts w:cstheme="minorHAnsi"/>
          <w:sz w:val="22"/>
          <w:szCs w:val="22"/>
        </w:rPr>
      </w:pPr>
      <w:r w:rsidRPr="0001716E">
        <w:rPr>
          <w:rFonts w:cstheme="minorHAnsi"/>
          <w:sz w:val="22"/>
          <w:szCs w:val="22"/>
        </w:rPr>
        <w:t>3.4.1. Prijímacie konanie na prvý stupeň štúdia ..........................................</w:t>
      </w:r>
      <w:r>
        <w:rPr>
          <w:rFonts w:cstheme="minorHAnsi"/>
          <w:sz w:val="22"/>
          <w:szCs w:val="22"/>
        </w:rPr>
        <w:t xml:space="preserve">............................ </w:t>
      </w:r>
      <w:r>
        <w:rPr>
          <w:rFonts w:cstheme="minorHAnsi"/>
          <w:sz w:val="22"/>
          <w:szCs w:val="22"/>
        </w:rPr>
        <w:tab/>
        <w:t>39</w:t>
      </w:r>
    </w:p>
    <w:p w14:paraId="1D990AE7" w14:textId="77777777" w:rsidR="005C1E92" w:rsidRPr="0001716E" w:rsidRDefault="005C1E92" w:rsidP="005C1E92">
      <w:pPr>
        <w:jc w:val="both"/>
        <w:rPr>
          <w:rFonts w:cstheme="minorHAnsi"/>
          <w:sz w:val="22"/>
          <w:szCs w:val="22"/>
        </w:rPr>
      </w:pPr>
      <w:r w:rsidRPr="0001716E">
        <w:rPr>
          <w:rFonts w:cstheme="minorHAnsi"/>
          <w:sz w:val="22"/>
          <w:szCs w:val="22"/>
        </w:rPr>
        <w:t>3.4.2. Prijímacie konanie na druhý stupeň štúdia ........................................</w:t>
      </w:r>
      <w:r>
        <w:rPr>
          <w:rFonts w:cstheme="minorHAnsi"/>
          <w:sz w:val="22"/>
          <w:szCs w:val="22"/>
        </w:rPr>
        <w:t xml:space="preserve">............................ </w:t>
      </w:r>
      <w:r>
        <w:rPr>
          <w:rFonts w:cstheme="minorHAnsi"/>
          <w:sz w:val="22"/>
          <w:szCs w:val="22"/>
        </w:rPr>
        <w:tab/>
        <w:t>44</w:t>
      </w:r>
    </w:p>
    <w:p w14:paraId="13440CF3" w14:textId="77777777" w:rsidR="005C1E92" w:rsidRPr="0001716E" w:rsidRDefault="005C1E92" w:rsidP="005C1E92">
      <w:pPr>
        <w:jc w:val="both"/>
        <w:rPr>
          <w:rFonts w:cstheme="minorHAnsi"/>
          <w:sz w:val="22"/>
          <w:szCs w:val="22"/>
        </w:rPr>
      </w:pPr>
      <w:r w:rsidRPr="0001716E">
        <w:rPr>
          <w:rFonts w:cstheme="minorHAnsi"/>
          <w:sz w:val="22"/>
          <w:szCs w:val="22"/>
        </w:rPr>
        <w:t>3.4.3. Prijímacie konanie na tretí stupeň štúdia ...........................................</w:t>
      </w:r>
      <w:r>
        <w:rPr>
          <w:rFonts w:cstheme="minorHAnsi"/>
          <w:sz w:val="22"/>
          <w:szCs w:val="22"/>
        </w:rPr>
        <w:t xml:space="preserve">............................ </w:t>
      </w:r>
      <w:r>
        <w:rPr>
          <w:rFonts w:cstheme="minorHAnsi"/>
          <w:sz w:val="22"/>
          <w:szCs w:val="22"/>
        </w:rPr>
        <w:tab/>
        <w:t>46</w:t>
      </w:r>
      <w:r w:rsidRPr="0001716E">
        <w:rPr>
          <w:rFonts w:cstheme="minorHAnsi"/>
          <w:sz w:val="22"/>
          <w:szCs w:val="22"/>
        </w:rPr>
        <w:t xml:space="preserve"> </w:t>
      </w:r>
    </w:p>
    <w:p w14:paraId="34B16F44" w14:textId="77777777" w:rsidR="005C1E92" w:rsidRPr="0001716E" w:rsidRDefault="005C1E92" w:rsidP="005C1E92">
      <w:pPr>
        <w:jc w:val="both"/>
        <w:rPr>
          <w:rFonts w:cstheme="minorHAnsi"/>
          <w:sz w:val="22"/>
          <w:szCs w:val="22"/>
        </w:rPr>
      </w:pPr>
      <w:r w:rsidRPr="0001716E">
        <w:rPr>
          <w:rFonts w:cstheme="minorHAnsi"/>
          <w:sz w:val="22"/>
          <w:szCs w:val="22"/>
        </w:rPr>
        <w:t>3.4.4. Preskúmanie rozhodnutí o výsledku prijímacieho konania ..................</w:t>
      </w:r>
      <w:r>
        <w:rPr>
          <w:rFonts w:cstheme="minorHAnsi"/>
          <w:sz w:val="22"/>
          <w:szCs w:val="22"/>
        </w:rPr>
        <w:t xml:space="preserve">.......................... </w:t>
      </w:r>
      <w:r>
        <w:rPr>
          <w:rFonts w:cstheme="minorHAnsi"/>
          <w:sz w:val="22"/>
          <w:szCs w:val="22"/>
        </w:rPr>
        <w:tab/>
        <w:t>48</w:t>
      </w:r>
    </w:p>
    <w:p w14:paraId="160644E5" w14:textId="77777777" w:rsidR="005C1E92" w:rsidRPr="0001716E" w:rsidRDefault="005C1E92" w:rsidP="005C1E92">
      <w:pPr>
        <w:jc w:val="both"/>
        <w:rPr>
          <w:rFonts w:cstheme="minorHAnsi"/>
          <w:sz w:val="22"/>
          <w:szCs w:val="22"/>
        </w:rPr>
      </w:pPr>
      <w:r w:rsidRPr="0001716E">
        <w:rPr>
          <w:rFonts w:cstheme="minorHAnsi"/>
          <w:sz w:val="22"/>
          <w:szCs w:val="22"/>
        </w:rPr>
        <w:t>3.4.5.Vyhodnotenie prijímacieh</w:t>
      </w:r>
      <w:r>
        <w:rPr>
          <w:rFonts w:cstheme="minorHAnsi"/>
          <w:sz w:val="22"/>
          <w:szCs w:val="22"/>
        </w:rPr>
        <w:t>o konania na akademický rok 2021/2022</w:t>
      </w:r>
      <w:r w:rsidRPr="0001716E">
        <w:rPr>
          <w:rFonts w:cstheme="minorHAnsi"/>
          <w:sz w:val="22"/>
          <w:szCs w:val="22"/>
        </w:rPr>
        <w:t xml:space="preserve"> ..</w:t>
      </w:r>
      <w:r>
        <w:rPr>
          <w:rFonts w:cstheme="minorHAnsi"/>
          <w:sz w:val="22"/>
          <w:szCs w:val="22"/>
        </w:rPr>
        <w:t xml:space="preserve">............................ </w:t>
      </w:r>
      <w:r>
        <w:rPr>
          <w:rFonts w:cstheme="minorHAnsi"/>
          <w:sz w:val="22"/>
          <w:szCs w:val="22"/>
        </w:rPr>
        <w:tab/>
        <w:t>48</w:t>
      </w:r>
    </w:p>
    <w:p w14:paraId="098DB9B8" w14:textId="77777777" w:rsidR="005C1E92" w:rsidRDefault="005C1E92" w:rsidP="005C1E92">
      <w:pPr>
        <w:jc w:val="both"/>
        <w:rPr>
          <w:rFonts w:cstheme="minorHAnsi"/>
          <w:sz w:val="22"/>
          <w:szCs w:val="22"/>
        </w:rPr>
      </w:pPr>
      <w:r w:rsidRPr="0001716E">
        <w:rPr>
          <w:rFonts w:cstheme="minorHAnsi"/>
          <w:sz w:val="22"/>
          <w:szCs w:val="22"/>
        </w:rPr>
        <w:t>3.5. Údaje o absolventoch vysokoškolského štúdia ....................................</w:t>
      </w:r>
      <w:r>
        <w:rPr>
          <w:rFonts w:cstheme="minorHAnsi"/>
          <w:sz w:val="22"/>
          <w:szCs w:val="22"/>
        </w:rPr>
        <w:t>.............................</w:t>
      </w:r>
      <w:r>
        <w:rPr>
          <w:rFonts w:cstheme="minorHAnsi"/>
          <w:sz w:val="22"/>
          <w:szCs w:val="22"/>
        </w:rPr>
        <w:tab/>
        <w:t>51</w:t>
      </w:r>
    </w:p>
    <w:p w14:paraId="1D1A87FC" w14:textId="119D6A58" w:rsidR="005C1E92" w:rsidRPr="007C588C" w:rsidRDefault="005C1E92" w:rsidP="005C1E92">
      <w:pPr>
        <w:rPr>
          <w:sz w:val="22"/>
          <w:szCs w:val="22"/>
        </w:rPr>
      </w:pPr>
      <w:r w:rsidRPr="007C588C">
        <w:rPr>
          <w:sz w:val="22"/>
          <w:szCs w:val="22"/>
        </w:rPr>
        <w:t>3.5.1. Údaje o odoberaní vysokoškolských titulov a neplatnosti štátnej skúšky alebo jej časti</w:t>
      </w:r>
      <w:r>
        <w:rPr>
          <w:sz w:val="22"/>
          <w:szCs w:val="22"/>
        </w:rPr>
        <w:t xml:space="preserve">          53</w:t>
      </w:r>
    </w:p>
    <w:p w14:paraId="1DDF949B" w14:textId="77777777" w:rsidR="005C1E92" w:rsidRPr="0001716E" w:rsidRDefault="005C1E92" w:rsidP="005C1E92">
      <w:pPr>
        <w:jc w:val="both"/>
        <w:rPr>
          <w:rFonts w:cstheme="minorHAnsi"/>
          <w:sz w:val="22"/>
          <w:szCs w:val="22"/>
        </w:rPr>
      </w:pPr>
      <w:r w:rsidRPr="0001716E">
        <w:rPr>
          <w:rFonts w:cstheme="minorHAnsi"/>
          <w:sz w:val="22"/>
          <w:szCs w:val="22"/>
        </w:rPr>
        <w:t xml:space="preserve">3.6. Prehľad úspechov, ktoré dosiahli študenti na národnej a medzinár. </w:t>
      </w:r>
      <w:r>
        <w:rPr>
          <w:rFonts w:cstheme="minorHAnsi"/>
          <w:sz w:val="22"/>
          <w:szCs w:val="22"/>
        </w:rPr>
        <w:t xml:space="preserve">úrovni ..................... </w:t>
      </w:r>
      <w:r>
        <w:rPr>
          <w:rFonts w:cstheme="minorHAnsi"/>
          <w:sz w:val="22"/>
          <w:szCs w:val="22"/>
        </w:rPr>
        <w:tab/>
        <w:t>53</w:t>
      </w:r>
    </w:p>
    <w:p w14:paraId="2554D1C8" w14:textId="77777777" w:rsidR="005C1E92" w:rsidRPr="0001716E" w:rsidRDefault="005C1E92" w:rsidP="005C1E92">
      <w:pPr>
        <w:jc w:val="both"/>
        <w:rPr>
          <w:rFonts w:cstheme="minorHAnsi"/>
          <w:sz w:val="22"/>
          <w:szCs w:val="22"/>
        </w:rPr>
      </w:pPr>
      <w:r w:rsidRPr="0001716E">
        <w:rPr>
          <w:rFonts w:cstheme="minorHAnsi"/>
          <w:sz w:val="22"/>
          <w:szCs w:val="22"/>
        </w:rPr>
        <w:t>3.7. Prehľad oc</w:t>
      </w:r>
      <w:r>
        <w:rPr>
          <w:rFonts w:cstheme="minorHAnsi"/>
          <w:sz w:val="22"/>
          <w:szCs w:val="22"/>
        </w:rPr>
        <w:t>enení študentov dosiahnutých v rámci STU ...</w:t>
      </w:r>
      <w:r w:rsidRPr="0001716E">
        <w:rPr>
          <w:rFonts w:cstheme="minorHAnsi"/>
          <w:sz w:val="22"/>
          <w:szCs w:val="22"/>
        </w:rPr>
        <w:t>.......................</w:t>
      </w:r>
      <w:r>
        <w:rPr>
          <w:rFonts w:cstheme="minorHAnsi"/>
          <w:sz w:val="22"/>
          <w:szCs w:val="22"/>
        </w:rPr>
        <w:t xml:space="preserve">...........................  </w:t>
      </w:r>
      <w:r>
        <w:rPr>
          <w:rFonts w:cstheme="minorHAnsi"/>
          <w:sz w:val="22"/>
          <w:szCs w:val="22"/>
        </w:rPr>
        <w:tab/>
        <w:t>57</w:t>
      </w:r>
    </w:p>
    <w:p w14:paraId="4200A678" w14:textId="77777777" w:rsidR="005C1E92" w:rsidRPr="0001716E" w:rsidRDefault="005C1E92" w:rsidP="005C1E92">
      <w:pPr>
        <w:jc w:val="both"/>
        <w:rPr>
          <w:rFonts w:cstheme="minorHAnsi"/>
          <w:sz w:val="22"/>
          <w:szCs w:val="22"/>
        </w:rPr>
      </w:pPr>
      <w:r w:rsidRPr="0001716E">
        <w:rPr>
          <w:rFonts w:cstheme="minorHAnsi"/>
          <w:sz w:val="22"/>
          <w:szCs w:val="22"/>
        </w:rPr>
        <w:t>3.8. Študentská vedec</w:t>
      </w:r>
      <w:r>
        <w:rPr>
          <w:rFonts w:cstheme="minorHAnsi"/>
          <w:sz w:val="22"/>
          <w:szCs w:val="22"/>
        </w:rPr>
        <w:t xml:space="preserve">ká odborná činnosť na STU </w:t>
      </w:r>
      <w:r w:rsidRPr="0001716E">
        <w:rPr>
          <w:rFonts w:cstheme="minorHAnsi"/>
          <w:sz w:val="22"/>
          <w:szCs w:val="22"/>
        </w:rPr>
        <w:t>.......................................</w:t>
      </w:r>
      <w:r>
        <w:rPr>
          <w:rFonts w:cstheme="minorHAnsi"/>
          <w:sz w:val="22"/>
          <w:szCs w:val="22"/>
        </w:rPr>
        <w:t xml:space="preserve">............................ </w:t>
      </w:r>
      <w:r>
        <w:rPr>
          <w:rFonts w:cstheme="minorHAnsi"/>
          <w:sz w:val="22"/>
          <w:szCs w:val="22"/>
        </w:rPr>
        <w:tab/>
        <w:t>58</w:t>
      </w:r>
      <w:r w:rsidRPr="0001716E">
        <w:rPr>
          <w:rFonts w:cstheme="minorHAnsi"/>
          <w:sz w:val="22"/>
          <w:szCs w:val="22"/>
        </w:rPr>
        <w:t xml:space="preserve"> </w:t>
      </w:r>
    </w:p>
    <w:p w14:paraId="2DFF2801" w14:textId="77777777" w:rsidR="005C1E92" w:rsidRPr="0001716E" w:rsidRDefault="005C1E92" w:rsidP="005C1E92">
      <w:pPr>
        <w:jc w:val="both"/>
        <w:rPr>
          <w:rFonts w:cstheme="minorHAnsi"/>
          <w:sz w:val="22"/>
          <w:szCs w:val="22"/>
        </w:rPr>
      </w:pPr>
      <w:r w:rsidRPr="0001716E">
        <w:rPr>
          <w:rFonts w:cstheme="minorHAnsi"/>
          <w:sz w:val="22"/>
          <w:szCs w:val="22"/>
        </w:rPr>
        <w:t>4. Informácie o poskytovaní ďalšieho vzdelávania .......................................</w:t>
      </w:r>
      <w:r>
        <w:rPr>
          <w:rFonts w:cstheme="minorHAnsi"/>
          <w:sz w:val="22"/>
          <w:szCs w:val="22"/>
        </w:rPr>
        <w:t xml:space="preserve">............................ </w:t>
      </w:r>
      <w:r>
        <w:rPr>
          <w:rFonts w:cstheme="minorHAnsi"/>
          <w:sz w:val="22"/>
          <w:szCs w:val="22"/>
        </w:rPr>
        <w:tab/>
        <w:t>59</w:t>
      </w:r>
    </w:p>
    <w:p w14:paraId="30AE831C" w14:textId="77777777" w:rsidR="005C1E92" w:rsidRPr="0001716E" w:rsidRDefault="005C1E92" w:rsidP="005C1E92">
      <w:pPr>
        <w:jc w:val="both"/>
        <w:rPr>
          <w:rFonts w:cstheme="minorHAnsi"/>
          <w:sz w:val="22"/>
          <w:szCs w:val="22"/>
        </w:rPr>
      </w:pPr>
      <w:r w:rsidRPr="0001716E">
        <w:rPr>
          <w:rFonts w:cstheme="minorHAnsi"/>
          <w:sz w:val="22"/>
          <w:szCs w:val="22"/>
        </w:rPr>
        <w:t>4.1 Ďalšie vzdelávanie na jedn</w:t>
      </w:r>
      <w:r>
        <w:rPr>
          <w:rFonts w:cstheme="minorHAnsi"/>
          <w:sz w:val="22"/>
          <w:szCs w:val="22"/>
        </w:rPr>
        <w:t>otlivých súčastiach STU ..</w:t>
      </w:r>
      <w:r w:rsidRPr="0001716E">
        <w:rPr>
          <w:rFonts w:cstheme="minorHAnsi"/>
          <w:sz w:val="22"/>
          <w:szCs w:val="22"/>
        </w:rPr>
        <w:t>..............................</w:t>
      </w:r>
      <w:r>
        <w:rPr>
          <w:rFonts w:cstheme="minorHAnsi"/>
          <w:sz w:val="22"/>
          <w:szCs w:val="22"/>
        </w:rPr>
        <w:t xml:space="preserve">............................ </w:t>
      </w:r>
      <w:r>
        <w:rPr>
          <w:rFonts w:cstheme="minorHAnsi"/>
          <w:sz w:val="22"/>
          <w:szCs w:val="22"/>
        </w:rPr>
        <w:tab/>
        <w:t>61</w:t>
      </w:r>
    </w:p>
    <w:p w14:paraId="31E88D5C" w14:textId="77777777" w:rsidR="005C1E92" w:rsidRPr="0001716E" w:rsidRDefault="005C1E92" w:rsidP="005C1E92">
      <w:pPr>
        <w:jc w:val="both"/>
        <w:rPr>
          <w:rFonts w:cstheme="minorHAnsi"/>
          <w:sz w:val="22"/>
          <w:szCs w:val="22"/>
        </w:rPr>
      </w:pPr>
      <w:r w:rsidRPr="0001716E">
        <w:rPr>
          <w:rFonts w:cstheme="minorHAnsi"/>
          <w:sz w:val="22"/>
          <w:szCs w:val="22"/>
        </w:rPr>
        <w:t>4.2 Aktivity Inštitútu celo</w:t>
      </w:r>
      <w:r>
        <w:rPr>
          <w:rFonts w:cstheme="minorHAnsi"/>
          <w:sz w:val="22"/>
          <w:szCs w:val="22"/>
        </w:rPr>
        <w:t xml:space="preserve">životného vzdelávania STU (ICV) </w:t>
      </w:r>
      <w:r w:rsidRPr="0001716E">
        <w:rPr>
          <w:rFonts w:cstheme="minorHAnsi"/>
          <w:sz w:val="22"/>
          <w:szCs w:val="22"/>
        </w:rPr>
        <w:t>.........................</w:t>
      </w:r>
      <w:r>
        <w:rPr>
          <w:rFonts w:cstheme="minorHAnsi"/>
          <w:sz w:val="22"/>
          <w:szCs w:val="22"/>
        </w:rPr>
        <w:t>.............................</w:t>
      </w:r>
      <w:r>
        <w:rPr>
          <w:rFonts w:cstheme="minorHAnsi"/>
          <w:sz w:val="22"/>
          <w:szCs w:val="22"/>
        </w:rPr>
        <w:tab/>
        <w:t>62</w:t>
      </w:r>
      <w:r w:rsidRPr="0001716E">
        <w:rPr>
          <w:rFonts w:cstheme="minorHAnsi"/>
          <w:sz w:val="22"/>
          <w:szCs w:val="22"/>
        </w:rPr>
        <w:t xml:space="preserve"> </w:t>
      </w:r>
    </w:p>
    <w:p w14:paraId="4183C123" w14:textId="77777777" w:rsidR="005C1E92" w:rsidRPr="0001716E" w:rsidRDefault="005C1E92" w:rsidP="005C1E92">
      <w:pPr>
        <w:jc w:val="both"/>
        <w:rPr>
          <w:rFonts w:cstheme="minorHAnsi"/>
          <w:sz w:val="22"/>
          <w:szCs w:val="22"/>
        </w:rPr>
      </w:pPr>
      <w:r w:rsidRPr="0001716E">
        <w:rPr>
          <w:rFonts w:cstheme="minorHAnsi"/>
          <w:sz w:val="22"/>
          <w:szCs w:val="22"/>
        </w:rPr>
        <w:t>5. Informácie a východiská výskumnej, umeleckej a ďalšej t</w:t>
      </w:r>
      <w:r>
        <w:rPr>
          <w:rFonts w:cstheme="minorHAnsi"/>
          <w:sz w:val="22"/>
          <w:szCs w:val="22"/>
        </w:rPr>
        <w:t xml:space="preserve">vorivej činnosti STU v r. 2021 ..... </w:t>
      </w:r>
      <w:r>
        <w:rPr>
          <w:rFonts w:cstheme="minorHAnsi"/>
          <w:sz w:val="22"/>
          <w:szCs w:val="22"/>
        </w:rPr>
        <w:tab/>
        <w:t>64</w:t>
      </w:r>
    </w:p>
    <w:p w14:paraId="769536D3" w14:textId="77777777" w:rsidR="005C1E92" w:rsidRPr="0001716E" w:rsidRDefault="005C1E92" w:rsidP="005C1E92">
      <w:pPr>
        <w:jc w:val="both"/>
        <w:rPr>
          <w:rFonts w:cstheme="minorHAnsi"/>
          <w:sz w:val="22"/>
          <w:szCs w:val="22"/>
        </w:rPr>
      </w:pPr>
      <w:r w:rsidRPr="0001716E">
        <w:rPr>
          <w:rFonts w:cstheme="minorHAnsi"/>
          <w:sz w:val="22"/>
          <w:szCs w:val="22"/>
        </w:rPr>
        <w:t>5.1 Granty .....................................................................................................</w:t>
      </w:r>
      <w:r>
        <w:rPr>
          <w:rFonts w:cstheme="minorHAnsi"/>
          <w:sz w:val="22"/>
          <w:szCs w:val="22"/>
        </w:rPr>
        <w:t xml:space="preserve">............................ </w:t>
      </w:r>
      <w:r>
        <w:rPr>
          <w:rFonts w:cstheme="minorHAnsi"/>
          <w:sz w:val="22"/>
          <w:szCs w:val="22"/>
        </w:rPr>
        <w:tab/>
        <w:t>65</w:t>
      </w:r>
    </w:p>
    <w:p w14:paraId="5565380F" w14:textId="77777777" w:rsidR="005C1E92" w:rsidRPr="0001716E" w:rsidRDefault="005C1E92" w:rsidP="005C1E92">
      <w:pPr>
        <w:jc w:val="both"/>
        <w:rPr>
          <w:rFonts w:cstheme="minorHAnsi"/>
          <w:sz w:val="22"/>
          <w:szCs w:val="22"/>
        </w:rPr>
      </w:pPr>
      <w:r w:rsidRPr="0001716E">
        <w:rPr>
          <w:rFonts w:cstheme="minorHAnsi"/>
          <w:sz w:val="22"/>
          <w:szCs w:val="22"/>
        </w:rPr>
        <w:t>5.1.1. Domáce grantové schémy ..................................................................</w:t>
      </w:r>
      <w:r>
        <w:rPr>
          <w:rFonts w:cstheme="minorHAnsi"/>
          <w:sz w:val="22"/>
          <w:szCs w:val="22"/>
        </w:rPr>
        <w:t xml:space="preserve">............................ </w:t>
      </w:r>
      <w:r>
        <w:rPr>
          <w:rFonts w:cstheme="minorHAnsi"/>
          <w:sz w:val="22"/>
          <w:szCs w:val="22"/>
        </w:rPr>
        <w:tab/>
        <w:t>65</w:t>
      </w:r>
    </w:p>
    <w:p w14:paraId="27247796" w14:textId="77777777" w:rsidR="005C1E92" w:rsidRPr="0001716E" w:rsidRDefault="005C1E92" w:rsidP="005C1E92">
      <w:pPr>
        <w:jc w:val="both"/>
        <w:rPr>
          <w:rFonts w:cstheme="minorHAnsi"/>
          <w:sz w:val="22"/>
          <w:szCs w:val="22"/>
        </w:rPr>
      </w:pPr>
      <w:r w:rsidRPr="0001716E">
        <w:rPr>
          <w:rFonts w:cstheme="minorHAnsi"/>
          <w:sz w:val="22"/>
          <w:szCs w:val="22"/>
        </w:rPr>
        <w:t>5.2. Zahraničné grantové schémy ................................................................</w:t>
      </w:r>
      <w:r>
        <w:rPr>
          <w:rFonts w:cstheme="minorHAnsi"/>
          <w:sz w:val="22"/>
          <w:szCs w:val="22"/>
        </w:rPr>
        <w:t xml:space="preserve">............................ </w:t>
      </w:r>
      <w:r>
        <w:rPr>
          <w:rFonts w:cstheme="minorHAnsi"/>
          <w:sz w:val="22"/>
          <w:szCs w:val="22"/>
        </w:rPr>
        <w:tab/>
        <w:t>71</w:t>
      </w:r>
    </w:p>
    <w:p w14:paraId="3D0C6AB1" w14:textId="77777777" w:rsidR="005C1E92" w:rsidRDefault="005C1E92" w:rsidP="005C1E92">
      <w:pPr>
        <w:jc w:val="both"/>
        <w:rPr>
          <w:rFonts w:cstheme="minorHAnsi"/>
          <w:sz w:val="22"/>
          <w:szCs w:val="22"/>
        </w:rPr>
      </w:pPr>
      <w:r w:rsidRPr="0001716E">
        <w:rPr>
          <w:rFonts w:cstheme="minorHAnsi"/>
          <w:sz w:val="22"/>
          <w:szCs w:val="22"/>
        </w:rPr>
        <w:t>5.3. Zmluvný výskum ...................................................................................</w:t>
      </w:r>
      <w:r>
        <w:rPr>
          <w:rFonts w:cstheme="minorHAnsi"/>
          <w:sz w:val="22"/>
          <w:szCs w:val="22"/>
        </w:rPr>
        <w:t>.............................</w:t>
      </w:r>
      <w:r>
        <w:rPr>
          <w:rFonts w:cstheme="minorHAnsi"/>
          <w:sz w:val="22"/>
          <w:szCs w:val="22"/>
        </w:rPr>
        <w:tab/>
        <w:t>75</w:t>
      </w:r>
    </w:p>
    <w:p w14:paraId="2065E0CB" w14:textId="5CA93D98" w:rsidR="005C1E92" w:rsidRPr="0001716E" w:rsidRDefault="005C1E92" w:rsidP="005C1E92">
      <w:pPr>
        <w:jc w:val="both"/>
        <w:rPr>
          <w:rFonts w:cstheme="minorHAnsi"/>
          <w:sz w:val="22"/>
          <w:szCs w:val="22"/>
        </w:rPr>
      </w:pPr>
      <w:r>
        <w:rPr>
          <w:rFonts w:cstheme="minorHAnsi"/>
          <w:sz w:val="22"/>
          <w:szCs w:val="22"/>
        </w:rPr>
        <w:t>5.4. Výstupy tvorivej činnosti ...................................................................................................          76</w:t>
      </w:r>
      <w:r w:rsidRPr="0001716E">
        <w:rPr>
          <w:rFonts w:cstheme="minorHAnsi"/>
          <w:sz w:val="22"/>
          <w:szCs w:val="22"/>
        </w:rPr>
        <w:t xml:space="preserve"> </w:t>
      </w:r>
    </w:p>
    <w:p w14:paraId="7F6D9313" w14:textId="77777777" w:rsidR="005C1E92" w:rsidRPr="0001716E" w:rsidRDefault="005C1E92" w:rsidP="005C1E92">
      <w:pPr>
        <w:contextualSpacing/>
        <w:rPr>
          <w:rFonts w:cstheme="minorHAnsi"/>
          <w:sz w:val="22"/>
          <w:szCs w:val="22"/>
        </w:rPr>
      </w:pPr>
      <w:r>
        <w:rPr>
          <w:rFonts w:cstheme="minorHAnsi"/>
          <w:sz w:val="22"/>
          <w:szCs w:val="22"/>
        </w:rPr>
        <w:t>5.5</w:t>
      </w:r>
      <w:r w:rsidRPr="0001716E">
        <w:rPr>
          <w:rFonts w:cstheme="minorHAnsi"/>
          <w:sz w:val="22"/>
          <w:szCs w:val="22"/>
        </w:rPr>
        <w:t>. Využitie dosiahnutých výsledkov vo výskume v praxi...........................</w:t>
      </w:r>
      <w:r>
        <w:rPr>
          <w:rFonts w:cstheme="minorHAnsi"/>
          <w:sz w:val="22"/>
          <w:szCs w:val="22"/>
        </w:rPr>
        <w:t>.............................</w:t>
      </w:r>
      <w:r>
        <w:rPr>
          <w:rFonts w:cstheme="minorHAnsi"/>
          <w:sz w:val="22"/>
          <w:szCs w:val="22"/>
        </w:rPr>
        <w:tab/>
        <w:t>78</w:t>
      </w:r>
    </w:p>
    <w:p w14:paraId="29B03D1C" w14:textId="77777777" w:rsidR="005C1E92" w:rsidRPr="005C1E92" w:rsidRDefault="005C1E92" w:rsidP="005C1E92">
      <w:pPr>
        <w:pStyle w:val="Bezriadkovania"/>
        <w:jc w:val="both"/>
        <w:rPr>
          <w:rFonts w:asciiTheme="majorHAnsi" w:hAnsiTheme="majorHAnsi" w:cstheme="majorHAnsi"/>
        </w:rPr>
      </w:pPr>
      <w:r w:rsidRPr="005C1E92">
        <w:rPr>
          <w:rFonts w:asciiTheme="majorHAnsi" w:hAnsiTheme="majorHAnsi" w:cstheme="majorHAnsi"/>
        </w:rPr>
        <w:t xml:space="preserve">5.5.1 </w:t>
      </w:r>
      <w:r w:rsidRPr="005C1E92">
        <w:rPr>
          <w:rFonts w:asciiTheme="majorHAnsi" w:eastAsia="MS Mincho" w:hAnsiTheme="majorHAnsi" w:cstheme="majorHAnsi"/>
        </w:rPr>
        <w:t>Kancelária spolupráce s praxou ......................................</w:t>
      </w:r>
      <w:r w:rsidRPr="005C1E92">
        <w:rPr>
          <w:rFonts w:asciiTheme="majorHAnsi" w:hAnsiTheme="majorHAnsi" w:cstheme="majorHAnsi"/>
        </w:rPr>
        <w:t>...............................................</w:t>
      </w:r>
      <w:r w:rsidRPr="005C1E92">
        <w:rPr>
          <w:rFonts w:asciiTheme="majorHAnsi" w:hAnsiTheme="majorHAnsi" w:cstheme="majorHAnsi"/>
        </w:rPr>
        <w:tab/>
        <w:t xml:space="preserve">78 </w:t>
      </w:r>
    </w:p>
    <w:p w14:paraId="692522BA" w14:textId="77777777" w:rsidR="005C1E92" w:rsidRPr="0001716E" w:rsidRDefault="005C1E92" w:rsidP="005C1E92">
      <w:pPr>
        <w:jc w:val="both"/>
        <w:rPr>
          <w:rFonts w:cstheme="minorHAnsi"/>
          <w:sz w:val="22"/>
          <w:szCs w:val="22"/>
        </w:rPr>
      </w:pPr>
      <w:r>
        <w:rPr>
          <w:rFonts w:cstheme="minorHAnsi"/>
          <w:sz w:val="22"/>
          <w:szCs w:val="22"/>
        </w:rPr>
        <w:t>5.5</w:t>
      </w:r>
      <w:r w:rsidRPr="0001716E">
        <w:rPr>
          <w:rFonts w:cstheme="minorHAnsi"/>
          <w:sz w:val="22"/>
          <w:szCs w:val="22"/>
        </w:rPr>
        <w:t>.2 Univerzitný technologický inkubátor ...................................................</w:t>
      </w:r>
      <w:r>
        <w:rPr>
          <w:rFonts w:cstheme="minorHAnsi"/>
          <w:sz w:val="22"/>
          <w:szCs w:val="22"/>
        </w:rPr>
        <w:t xml:space="preserve">............................ </w:t>
      </w:r>
      <w:r>
        <w:rPr>
          <w:rFonts w:cstheme="minorHAnsi"/>
          <w:sz w:val="22"/>
          <w:szCs w:val="22"/>
        </w:rPr>
        <w:tab/>
        <w:t>81</w:t>
      </w:r>
    </w:p>
    <w:p w14:paraId="50B22551" w14:textId="3ADB5B3C" w:rsidR="005C1E92" w:rsidRDefault="005C1E92" w:rsidP="005C1E92">
      <w:pPr>
        <w:jc w:val="both"/>
        <w:rPr>
          <w:rFonts w:cstheme="minorHAnsi"/>
          <w:sz w:val="22"/>
          <w:szCs w:val="22"/>
        </w:rPr>
      </w:pPr>
      <w:r>
        <w:rPr>
          <w:rFonts w:cstheme="minorHAnsi"/>
          <w:sz w:val="22"/>
          <w:szCs w:val="22"/>
        </w:rPr>
        <w:t>5.5</w:t>
      </w:r>
      <w:r w:rsidRPr="0001716E">
        <w:rPr>
          <w:rFonts w:cstheme="minorHAnsi"/>
          <w:sz w:val="22"/>
          <w:szCs w:val="22"/>
        </w:rPr>
        <w:t xml:space="preserve">.3 STU Scientific </w:t>
      </w:r>
      <w:r>
        <w:rPr>
          <w:rFonts w:cstheme="minorHAnsi"/>
          <w:sz w:val="22"/>
          <w:szCs w:val="22"/>
        </w:rPr>
        <w:t>...................................................................................................................</w:t>
      </w:r>
      <w:r w:rsidRPr="0001716E">
        <w:rPr>
          <w:rFonts w:cstheme="minorHAnsi"/>
          <w:sz w:val="22"/>
          <w:szCs w:val="22"/>
        </w:rPr>
        <w:t xml:space="preserve"> </w:t>
      </w:r>
      <w:r>
        <w:rPr>
          <w:rFonts w:cstheme="minorHAnsi"/>
          <w:sz w:val="22"/>
          <w:szCs w:val="22"/>
        </w:rPr>
        <w:t xml:space="preserve">      </w:t>
      </w:r>
      <w:r w:rsidR="00D1552F">
        <w:rPr>
          <w:rFonts w:cstheme="minorHAnsi"/>
          <w:sz w:val="22"/>
          <w:szCs w:val="22"/>
        </w:rPr>
        <w:t xml:space="preserve">   </w:t>
      </w:r>
      <w:r>
        <w:rPr>
          <w:rFonts w:cstheme="minorHAnsi"/>
          <w:sz w:val="22"/>
          <w:szCs w:val="22"/>
        </w:rPr>
        <w:t>82</w:t>
      </w:r>
    </w:p>
    <w:p w14:paraId="5D4E75E8" w14:textId="77777777" w:rsidR="005C1E92" w:rsidRDefault="005C1E92" w:rsidP="005C1E92">
      <w:pPr>
        <w:rPr>
          <w:rFonts w:eastAsia="Times New Roman" w:cstheme="minorHAnsi"/>
          <w:sz w:val="22"/>
          <w:szCs w:val="22"/>
          <w:lang w:eastAsia="sk-SK"/>
        </w:rPr>
      </w:pPr>
      <w:r w:rsidRPr="0001716E">
        <w:rPr>
          <w:rFonts w:eastAsia="Times New Roman" w:cstheme="minorHAnsi"/>
          <w:sz w:val="22"/>
          <w:szCs w:val="22"/>
          <w:lang w:eastAsia="sk-SK"/>
        </w:rPr>
        <w:t>5.6. Podporné služby v oblasti výskumu ......................................................</w:t>
      </w:r>
      <w:r>
        <w:rPr>
          <w:rFonts w:eastAsia="Times New Roman" w:cstheme="minorHAnsi"/>
          <w:sz w:val="22"/>
          <w:szCs w:val="22"/>
          <w:lang w:eastAsia="sk-SK"/>
        </w:rPr>
        <w:t>.............................</w:t>
      </w:r>
      <w:r>
        <w:rPr>
          <w:rFonts w:eastAsia="Times New Roman" w:cstheme="minorHAnsi"/>
          <w:sz w:val="22"/>
          <w:szCs w:val="22"/>
          <w:lang w:eastAsia="sk-SK"/>
        </w:rPr>
        <w:tab/>
        <w:t>82</w:t>
      </w:r>
    </w:p>
    <w:p w14:paraId="260E2B30" w14:textId="36155DE3" w:rsidR="005C1E92" w:rsidRPr="0001716E" w:rsidRDefault="005C1E92" w:rsidP="005C1E92">
      <w:pPr>
        <w:rPr>
          <w:rFonts w:eastAsia="Times New Roman" w:cstheme="minorHAnsi"/>
          <w:sz w:val="22"/>
          <w:szCs w:val="22"/>
          <w:lang w:eastAsia="sk-SK"/>
        </w:rPr>
      </w:pPr>
      <w:r>
        <w:rPr>
          <w:rFonts w:eastAsia="Times New Roman" w:cstheme="minorHAnsi"/>
          <w:sz w:val="22"/>
          <w:szCs w:val="22"/>
          <w:lang w:eastAsia="sk-SK"/>
        </w:rPr>
        <w:t xml:space="preserve">5.6.1. Evidencia výstupov tvorivej činnosti ...............................................................................      </w:t>
      </w:r>
      <w:r w:rsidR="00D1552F">
        <w:rPr>
          <w:rFonts w:eastAsia="Times New Roman" w:cstheme="minorHAnsi"/>
          <w:sz w:val="22"/>
          <w:szCs w:val="22"/>
          <w:lang w:eastAsia="sk-SK"/>
        </w:rPr>
        <w:t xml:space="preserve">    </w:t>
      </w:r>
      <w:r>
        <w:rPr>
          <w:rFonts w:eastAsia="Times New Roman" w:cstheme="minorHAnsi"/>
          <w:sz w:val="22"/>
          <w:szCs w:val="22"/>
          <w:lang w:eastAsia="sk-SK"/>
        </w:rPr>
        <w:t>83</w:t>
      </w:r>
    </w:p>
    <w:p w14:paraId="089B851E" w14:textId="77777777" w:rsidR="005C1E92" w:rsidRDefault="005C1E92" w:rsidP="005C1E92">
      <w:pPr>
        <w:rPr>
          <w:rFonts w:cstheme="minorHAnsi"/>
          <w:sz w:val="22"/>
          <w:szCs w:val="22"/>
        </w:rPr>
      </w:pPr>
      <w:r>
        <w:rPr>
          <w:rFonts w:cstheme="minorHAnsi"/>
          <w:sz w:val="22"/>
          <w:szCs w:val="22"/>
        </w:rPr>
        <w:t>5.6.2</w:t>
      </w:r>
      <w:r w:rsidRPr="0001716E">
        <w:rPr>
          <w:rFonts w:cstheme="minorHAnsi"/>
          <w:sz w:val="22"/>
          <w:szCs w:val="22"/>
        </w:rPr>
        <w:t xml:space="preserve">. Elektronické informačné zdroje </w:t>
      </w:r>
      <w:r>
        <w:rPr>
          <w:rFonts w:cstheme="minorHAnsi"/>
          <w:sz w:val="22"/>
          <w:szCs w:val="22"/>
        </w:rPr>
        <w:t xml:space="preserve">na STU </w:t>
      </w:r>
      <w:r w:rsidRPr="0001716E">
        <w:rPr>
          <w:rFonts w:cstheme="minorHAnsi"/>
          <w:sz w:val="22"/>
          <w:szCs w:val="22"/>
        </w:rPr>
        <w:t>.........................................................</w:t>
      </w:r>
      <w:r>
        <w:rPr>
          <w:rFonts w:cstheme="minorHAnsi"/>
          <w:sz w:val="22"/>
          <w:szCs w:val="22"/>
        </w:rPr>
        <w:t>.................</w:t>
      </w:r>
      <w:r>
        <w:rPr>
          <w:rFonts w:cstheme="minorHAnsi"/>
          <w:sz w:val="22"/>
          <w:szCs w:val="22"/>
        </w:rPr>
        <w:tab/>
        <w:t>83</w:t>
      </w:r>
    </w:p>
    <w:p w14:paraId="514E779C" w14:textId="09E86AEE" w:rsidR="005C1E92" w:rsidRPr="0001716E" w:rsidRDefault="005C1E92" w:rsidP="005C1E92">
      <w:pPr>
        <w:rPr>
          <w:rFonts w:cstheme="minorHAnsi"/>
          <w:sz w:val="22"/>
          <w:szCs w:val="22"/>
        </w:rPr>
      </w:pPr>
      <w:r>
        <w:rPr>
          <w:rFonts w:cstheme="minorHAnsi"/>
          <w:sz w:val="22"/>
          <w:szCs w:val="22"/>
        </w:rPr>
        <w:t xml:space="preserve">5.6.3. Podporné činnosti ...........................................................................................................      </w:t>
      </w:r>
      <w:r w:rsidR="00D1552F">
        <w:rPr>
          <w:rFonts w:cstheme="minorHAnsi"/>
          <w:sz w:val="22"/>
          <w:szCs w:val="22"/>
        </w:rPr>
        <w:t xml:space="preserve">   </w:t>
      </w:r>
      <w:r>
        <w:rPr>
          <w:rFonts w:cstheme="minorHAnsi"/>
          <w:sz w:val="22"/>
          <w:szCs w:val="22"/>
        </w:rPr>
        <w:t>84</w:t>
      </w:r>
    </w:p>
    <w:p w14:paraId="4A4F7FDA" w14:textId="77777777" w:rsidR="005C1E92" w:rsidRPr="0001716E" w:rsidRDefault="005C1E92" w:rsidP="005C1E92">
      <w:pPr>
        <w:jc w:val="both"/>
        <w:rPr>
          <w:rFonts w:cstheme="minorHAnsi"/>
          <w:sz w:val="22"/>
          <w:szCs w:val="22"/>
        </w:rPr>
      </w:pPr>
      <w:r>
        <w:rPr>
          <w:rFonts w:eastAsia="Times New Roman" w:cstheme="minorHAnsi"/>
          <w:sz w:val="22"/>
          <w:szCs w:val="22"/>
          <w:lang w:eastAsia="sk-SK"/>
        </w:rPr>
        <w:t>5.6.4</w:t>
      </w:r>
      <w:r w:rsidRPr="0001716E">
        <w:rPr>
          <w:rFonts w:eastAsia="Times New Roman" w:cstheme="minorHAnsi"/>
          <w:sz w:val="22"/>
          <w:szCs w:val="22"/>
          <w:lang w:eastAsia="sk-SK"/>
        </w:rPr>
        <w:t xml:space="preserve">. </w:t>
      </w:r>
      <w:r w:rsidRPr="0001716E">
        <w:rPr>
          <w:rFonts w:cstheme="minorHAnsi"/>
          <w:sz w:val="22"/>
          <w:szCs w:val="22"/>
        </w:rPr>
        <w:t>HR Excellence in Research .................................................................</w:t>
      </w:r>
      <w:r>
        <w:rPr>
          <w:rFonts w:cstheme="minorHAnsi"/>
          <w:sz w:val="22"/>
          <w:szCs w:val="22"/>
        </w:rPr>
        <w:t>.............................</w:t>
      </w:r>
      <w:r>
        <w:rPr>
          <w:rFonts w:cstheme="minorHAnsi"/>
          <w:sz w:val="22"/>
          <w:szCs w:val="22"/>
        </w:rPr>
        <w:tab/>
        <w:t>85</w:t>
      </w:r>
    </w:p>
    <w:p w14:paraId="66E8A26A" w14:textId="77777777" w:rsidR="005C1E92" w:rsidRPr="0001716E" w:rsidRDefault="005C1E92" w:rsidP="005C1E92">
      <w:pPr>
        <w:rPr>
          <w:rFonts w:cstheme="minorHAnsi"/>
          <w:sz w:val="22"/>
          <w:szCs w:val="22"/>
        </w:rPr>
      </w:pPr>
      <w:r>
        <w:rPr>
          <w:rFonts w:cstheme="minorHAnsi"/>
          <w:sz w:val="22"/>
          <w:szCs w:val="22"/>
        </w:rPr>
        <w:t>5.7. Doktorandská škola STU .</w:t>
      </w:r>
      <w:r w:rsidRPr="0001716E">
        <w:rPr>
          <w:rFonts w:cstheme="minorHAnsi"/>
          <w:sz w:val="22"/>
          <w:szCs w:val="22"/>
        </w:rPr>
        <w:t>.......................................................................</w:t>
      </w:r>
      <w:r>
        <w:rPr>
          <w:rFonts w:cstheme="minorHAnsi"/>
          <w:sz w:val="22"/>
          <w:szCs w:val="22"/>
        </w:rPr>
        <w:t>.............................</w:t>
      </w:r>
      <w:r>
        <w:rPr>
          <w:rFonts w:cstheme="minorHAnsi"/>
          <w:sz w:val="22"/>
          <w:szCs w:val="22"/>
        </w:rPr>
        <w:tab/>
        <w:t>85</w:t>
      </w:r>
    </w:p>
    <w:p w14:paraId="05AB9CA5" w14:textId="77777777" w:rsidR="005C1E92" w:rsidRPr="0001716E" w:rsidRDefault="005C1E92" w:rsidP="005C1E92">
      <w:pPr>
        <w:rPr>
          <w:rFonts w:cstheme="minorHAnsi"/>
          <w:sz w:val="22"/>
          <w:szCs w:val="22"/>
        </w:rPr>
      </w:pPr>
      <w:r>
        <w:rPr>
          <w:rFonts w:cstheme="minorHAnsi"/>
          <w:sz w:val="22"/>
          <w:szCs w:val="22"/>
        </w:rPr>
        <w:t xml:space="preserve">5.8. Ocenenia na STU </w:t>
      </w:r>
      <w:r w:rsidRPr="0001716E">
        <w:rPr>
          <w:rFonts w:cstheme="minorHAnsi"/>
          <w:sz w:val="22"/>
          <w:szCs w:val="22"/>
        </w:rPr>
        <w:t>...................................................................................</w:t>
      </w:r>
      <w:r>
        <w:rPr>
          <w:rFonts w:cstheme="minorHAnsi"/>
          <w:sz w:val="22"/>
          <w:szCs w:val="22"/>
        </w:rPr>
        <w:t>.............................</w:t>
      </w:r>
      <w:r>
        <w:rPr>
          <w:rFonts w:cstheme="minorHAnsi"/>
          <w:sz w:val="22"/>
          <w:szCs w:val="22"/>
        </w:rPr>
        <w:tab/>
        <w:t>87</w:t>
      </w:r>
    </w:p>
    <w:p w14:paraId="23A51B24" w14:textId="77777777" w:rsidR="005C1E92" w:rsidRPr="0001716E" w:rsidRDefault="005C1E92" w:rsidP="005C1E92">
      <w:pPr>
        <w:rPr>
          <w:rFonts w:cstheme="minorHAnsi"/>
          <w:sz w:val="22"/>
          <w:szCs w:val="22"/>
        </w:rPr>
      </w:pPr>
      <w:r w:rsidRPr="0001716E">
        <w:rPr>
          <w:rFonts w:eastAsiaTheme="minorHAnsi" w:cstheme="minorHAnsi"/>
          <w:bCs/>
          <w:sz w:val="22"/>
          <w:szCs w:val="22"/>
        </w:rPr>
        <w:t xml:space="preserve">5.9. </w:t>
      </w:r>
      <w:r w:rsidRPr="0001716E">
        <w:rPr>
          <w:rFonts w:cstheme="minorHAnsi"/>
          <w:bCs/>
          <w:iCs/>
          <w:sz w:val="22"/>
          <w:szCs w:val="22"/>
        </w:rPr>
        <w:t>Interné schémy p</w:t>
      </w:r>
      <w:r>
        <w:rPr>
          <w:rFonts w:cstheme="minorHAnsi"/>
          <w:bCs/>
          <w:iCs/>
          <w:sz w:val="22"/>
          <w:szCs w:val="22"/>
        </w:rPr>
        <w:t xml:space="preserve">odpory tvorivej činnosti na STU </w:t>
      </w:r>
      <w:r w:rsidRPr="0001716E">
        <w:rPr>
          <w:rFonts w:cstheme="minorHAnsi"/>
          <w:bCs/>
          <w:iCs/>
          <w:sz w:val="22"/>
          <w:szCs w:val="22"/>
        </w:rPr>
        <w:t>................................</w:t>
      </w:r>
      <w:r>
        <w:rPr>
          <w:rFonts w:cstheme="minorHAnsi"/>
          <w:bCs/>
          <w:iCs/>
          <w:sz w:val="22"/>
          <w:szCs w:val="22"/>
        </w:rPr>
        <w:t>.............................</w:t>
      </w:r>
      <w:r>
        <w:rPr>
          <w:rFonts w:cstheme="minorHAnsi"/>
          <w:bCs/>
          <w:iCs/>
          <w:sz w:val="22"/>
          <w:szCs w:val="22"/>
        </w:rPr>
        <w:tab/>
        <w:t>87</w:t>
      </w:r>
    </w:p>
    <w:p w14:paraId="100F0C92" w14:textId="0FFDC647" w:rsidR="005C1E92" w:rsidRPr="004E3FD0" w:rsidRDefault="005C1E92" w:rsidP="005C1E92">
      <w:pPr>
        <w:rPr>
          <w:sz w:val="22"/>
          <w:szCs w:val="22"/>
        </w:rPr>
      </w:pPr>
      <w:r>
        <w:rPr>
          <w:sz w:val="22"/>
          <w:szCs w:val="22"/>
        </w:rPr>
        <w:t xml:space="preserve">5.9.1. </w:t>
      </w:r>
      <w:r w:rsidRPr="004E3FD0">
        <w:rPr>
          <w:sz w:val="22"/>
          <w:szCs w:val="22"/>
        </w:rPr>
        <w:t>Projekty na podporu mladých výskumných pracovníkov ...........</w:t>
      </w:r>
      <w:r>
        <w:rPr>
          <w:sz w:val="22"/>
          <w:szCs w:val="22"/>
        </w:rPr>
        <w:t xml:space="preserve">....................................       </w:t>
      </w:r>
      <w:r w:rsidR="00D1552F">
        <w:rPr>
          <w:sz w:val="22"/>
          <w:szCs w:val="22"/>
        </w:rPr>
        <w:t xml:space="preserve">   </w:t>
      </w:r>
      <w:r>
        <w:rPr>
          <w:sz w:val="22"/>
          <w:szCs w:val="22"/>
        </w:rPr>
        <w:t>87</w:t>
      </w:r>
    </w:p>
    <w:p w14:paraId="2C62045F" w14:textId="77777777" w:rsidR="005C1E92" w:rsidRPr="00D1552F" w:rsidRDefault="005C1E92" w:rsidP="00D1552F">
      <w:pPr>
        <w:rPr>
          <w:sz w:val="22"/>
          <w:szCs w:val="22"/>
        </w:rPr>
      </w:pPr>
      <w:r w:rsidRPr="00D1552F">
        <w:rPr>
          <w:sz w:val="22"/>
          <w:szCs w:val="22"/>
        </w:rPr>
        <w:t>5.9.2. Postdoktorandské pracovné miesta ...............................................................................</w:t>
      </w:r>
      <w:r w:rsidRPr="00D1552F">
        <w:rPr>
          <w:sz w:val="22"/>
          <w:szCs w:val="22"/>
        </w:rPr>
        <w:tab/>
        <w:t>88</w:t>
      </w:r>
    </w:p>
    <w:p w14:paraId="474E875A" w14:textId="77777777" w:rsidR="005C1E92" w:rsidRPr="004E3FD0" w:rsidRDefault="005C1E92" w:rsidP="005C1E92">
      <w:pPr>
        <w:rPr>
          <w:sz w:val="22"/>
          <w:szCs w:val="22"/>
        </w:rPr>
      </w:pPr>
      <w:r>
        <w:rPr>
          <w:sz w:val="22"/>
          <w:szCs w:val="22"/>
        </w:rPr>
        <w:t xml:space="preserve">5.10. </w:t>
      </w:r>
      <w:r w:rsidRPr="004E3FD0">
        <w:rPr>
          <w:sz w:val="22"/>
          <w:szCs w:val="22"/>
        </w:rPr>
        <w:t xml:space="preserve">Významné výsledky dosiahnuté v oblasti vedy, techniky </w:t>
      </w:r>
      <w:r>
        <w:rPr>
          <w:sz w:val="22"/>
          <w:szCs w:val="22"/>
        </w:rPr>
        <w:t>a umenia na STU v r. 2022 .....</w:t>
      </w:r>
      <w:r>
        <w:rPr>
          <w:sz w:val="22"/>
          <w:szCs w:val="22"/>
        </w:rPr>
        <w:tab/>
        <w:t>89</w:t>
      </w:r>
    </w:p>
    <w:p w14:paraId="2AAB758B" w14:textId="77777777" w:rsidR="005C1E92" w:rsidRPr="0001716E" w:rsidRDefault="005C1E92" w:rsidP="005C1E92">
      <w:pPr>
        <w:jc w:val="both"/>
        <w:rPr>
          <w:rFonts w:cstheme="minorHAnsi"/>
          <w:sz w:val="22"/>
          <w:szCs w:val="22"/>
        </w:rPr>
      </w:pPr>
      <w:r w:rsidRPr="0001716E">
        <w:rPr>
          <w:rFonts w:cstheme="minorHAnsi"/>
          <w:sz w:val="22"/>
          <w:szCs w:val="22"/>
        </w:rPr>
        <w:t>6</w:t>
      </w:r>
      <w:r>
        <w:rPr>
          <w:rFonts w:cstheme="minorHAnsi"/>
          <w:sz w:val="22"/>
          <w:szCs w:val="22"/>
        </w:rPr>
        <w:t>.</w:t>
      </w:r>
      <w:r w:rsidRPr="0001716E">
        <w:rPr>
          <w:rFonts w:cstheme="minorHAnsi"/>
          <w:sz w:val="22"/>
          <w:szCs w:val="22"/>
        </w:rPr>
        <w:t xml:space="preserve"> Habilitačné konania a konania na vymenúvanie profesorov .............................................</w:t>
      </w:r>
      <w:r>
        <w:rPr>
          <w:rFonts w:cstheme="minorHAnsi"/>
          <w:sz w:val="22"/>
          <w:szCs w:val="22"/>
        </w:rPr>
        <w:t xml:space="preserve">..  </w:t>
      </w:r>
      <w:r>
        <w:rPr>
          <w:rFonts w:cstheme="minorHAnsi"/>
          <w:sz w:val="22"/>
          <w:szCs w:val="22"/>
        </w:rPr>
        <w:tab/>
        <w:t>90</w:t>
      </w:r>
    </w:p>
    <w:p w14:paraId="0EC913EA" w14:textId="77777777" w:rsidR="005C1E92" w:rsidRPr="0001716E" w:rsidRDefault="005C1E92" w:rsidP="005C1E92">
      <w:pPr>
        <w:jc w:val="both"/>
        <w:rPr>
          <w:rFonts w:cstheme="minorHAnsi"/>
          <w:sz w:val="22"/>
          <w:szCs w:val="22"/>
        </w:rPr>
      </w:pPr>
      <w:r w:rsidRPr="0001716E">
        <w:rPr>
          <w:rFonts w:cstheme="minorHAnsi"/>
          <w:sz w:val="22"/>
          <w:szCs w:val="22"/>
        </w:rPr>
        <w:t>7. Zamestnanci vysokej školy ............................................................................</w:t>
      </w:r>
      <w:r>
        <w:rPr>
          <w:rFonts w:cstheme="minorHAnsi"/>
          <w:sz w:val="22"/>
          <w:szCs w:val="22"/>
        </w:rPr>
        <w:t xml:space="preserve">.................... </w:t>
      </w:r>
      <w:r>
        <w:rPr>
          <w:rFonts w:cstheme="minorHAnsi"/>
          <w:sz w:val="22"/>
          <w:szCs w:val="22"/>
        </w:rPr>
        <w:tab/>
        <w:t>93</w:t>
      </w:r>
    </w:p>
    <w:p w14:paraId="530DB73F" w14:textId="4F08D7A6" w:rsidR="005C1E92" w:rsidRPr="0001716E" w:rsidRDefault="005C1E92" w:rsidP="005C1E92">
      <w:pPr>
        <w:jc w:val="both"/>
        <w:rPr>
          <w:rFonts w:cstheme="minorHAnsi"/>
          <w:sz w:val="22"/>
          <w:szCs w:val="22"/>
        </w:rPr>
      </w:pPr>
      <w:r w:rsidRPr="0001716E">
        <w:rPr>
          <w:rFonts w:cstheme="minorHAnsi"/>
          <w:sz w:val="22"/>
          <w:szCs w:val="22"/>
        </w:rPr>
        <w:t>8. Podpora študentov .........................................................................................</w:t>
      </w:r>
      <w:r>
        <w:rPr>
          <w:rFonts w:cstheme="minorHAnsi"/>
          <w:sz w:val="22"/>
          <w:szCs w:val="22"/>
        </w:rPr>
        <w:t xml:space="preserve">..................           </w:t>
      </w:r>
      <w:r w:rsidR="00D1552F">
        <w:rPr>
          <w:rFonts w:cstheme="minorHAnsi"/>
          <w:sz w:val="22"/>
          <w:szCs w:val="22"/>
        </w:rPr>
        <w:t xml:space="preserve">   </w:t>
      </w:r>
      <w:r>
        <w:rPr>
          <w:rFonts w:cstheme="minorHAnsi"/>
          <w:sz w:val="22"/>
          <w:szCs w:val="22"/>
        </w:rPr>
        <w:t>94</w:t>
      </w:r>
    </w:p>
    <w:p w14:paraId="503BD16A" w14:textId="6EC9700B" w:rsidR="005C1E92" w:rsidRDefault="005C1E92" w:rsidP="005C1E92">
      <w:pPr>
        <w:jc w:val="both"/>
        <w:rPr>
          <w:rFonts w:cstheme="minorHAnsi"/>
          <w:sz w:val="22"/>
          <w:szCs w:val="22"/>
        </w:rPr>
      </w:pPr>
      <w:r w:rsidRPr="0001716E">
        <w:rPr>
          <w:rFonts w:cstheme="minorHAnsi"/>
          <w:sz w:val="22"/>
          <w:szCs w:val="22"/>
        </w:rPr>
        <w:lastRenderedPageBreak/>
        <w:t>8.1. Sociálne štipendiá ........................................................................................</w:t>
      </w:r>
      <w:r>
        <w:rPr>
          <w:rFonts w:cstheme="minorHAnsi"/>
          <w:sz w:val="22"/>
          <w:szCs w:val="22"/>
        </w:rPr>
        <w:t xml:space="preserve">..................           </w:t>
      </w:r>
      <w:r w:rsidR="00D1552F">
        <w:rPr>
          <w:rFonts w:cstheme="minorHAnsi"/>
          <w:sz w:val="22"/>
          <w:szCs w:val="22"/>
        </w:rPr>
        <w:t xml:space="preserve"> </w:t>
      </w:r>
      <w:r>
        <w:rPr>
          <w:rFonts w:cstheme="minorHAnsi"/>
          <w:sz w:val="22"/>
          <w:szCs w:val="22"/>
        </w:rPr>
        <w:t>95</w:t>
      </w:r>
    </w:p>
    <w:p w14:paraId="21DDAE12" w14:textId="77777777" w:rsidR="005C1E92" w:rsidRPr="0001716E" w:rsidRDefault="005C1E92" w:rsidP="005C1E92">
      <w:pPr>
        <w:jc w:val="both"/>
        <w:rPr>
          <w:rFonts w:cstheme="minorHAnsi"/>
          <w:sz w:val="22"/>
          <w:szCs w:val="22"/>
        </w:rPr>
      </w:pPr>
      <w:r>
        <w:rPr>
          <w:rFonts w:cstheme="minorHAnsi"/>
          <w:sz w:val="22"/>
          <w:szCs w:val="22"/>
        </w:rPr>
        <w:t>8.1.1. Tehotenské štipendiá ..................................................................................................           95</w:t>
      </w:r>
    </w:p>
    <w:p w14:paraId="506BA4DB" w14:textId="17881456" w:rsidR="005C1E92" w:rsidRPr="0001716E" w:rsidRDefault="005C1E92" w:rsidP="005C1E92">
      <w:pPr>
        <w:jc w:val="both"/>
        <w:rPr>
          <w:rFonts w:cstheme="minorHAnsi"/>
          <w:sz w:val="22"/>
          <w:szCs w:val="22"/>
        </w:rPr>
      </w:pPr>
      <w:r w:rsidRPr="0001716E">
        <w:rPr>
          <w:rFonts w:cstheme="minorHAnsi"/>
          <w:sz w:val="22"/>
          <w:szCs w:val="22"/>
        </w:rPr>
        <w:t>8.2. Motivačné štipendiá a šti</w:t>
      </w:r>
      <w:r>
        <w:rPr>
          <w:rFonts w:cstheme="minorHAnsi"/>
          <w:sz w:val="22"/>
          <w:szCs w:val="22"/>
        </w:rPr>
        <w:t>pendiá z vlastných zdrojov STU .</w:t>
      </w:r>
      <w:r w:rsidRPr="0001716E">
        <w:rPr>
          <w:rFonts w:cstheme="minorHAnsi"/>
          <w:sz w:val="22"/>
          <w:szCs w:val="22"/>
        </w:rPr>
        <w:t>...........................</w:t>
      </w:r>
      <w:r>
        <w:rPr>
          <w:rFonts w:cstheme="minorHAnsi"/>
          <w:sz w:val="22"/>
          <w:szCs w:val="22"/>
        </w:rPr>
        <w:t xml:space="preserve">....................        </w:t>
      </w:r>
      <w:r w:rsidR="00D1552F">
        <w:rPr>
          <w:rFonts w:cstheme="minorHAnsi"/>
          <w:sz w:val="22"/>
          <w:szCs w:val="22"/>
        </w:rPr>
        <w:t xml:space="preserve"> </w:t>
      </w:r>
      <w:r>
        <w:rPr>
          <w:rFonts w:cstheme="minorHAnsi"/>
          <w:sz w:val="22"/>
          <w:szCs w:val="22"/>
        </w:rPr>
        <w:t>96</w:t>
      </w:r>
    </w:p>
    <w:p w14:paraId="4CA047DD" w14:textId="7038F8E3" w:rsidR="005C1E92" w:rsidRPr="0001716E" w:rsidRDefault="005C1E92" w:rsidP="005C1E92">
      <w:pPr>
        <w:jc w:val="both"/>
        <w:rPr>
          <w:rFonts w:cstheme="minorHAnsi"/>
          <w:sz w:val="22"/>
          <w:szCs w:val="22"/>
        </w:rPr>
      </w:pPr>
      <w:r w:rsidRPr="0001716E">
        <w:rPr>
          <w:rFonts w:cstheme="minorHAnsi"/>
          <w:sz w:val="22"/>
          <w:szCs w:val="22"/>
        </w:rPr>
        <w:t>8.3. Podnikové štipendiá ...............................................................................</w:t>
      </w:r>
      <w:r>
        <w:rPr>
          <w:rFonts w:cstheme="minorHAnsi"/>
          <w:sz w:val="22"/>
          <w:szCs w:val="22"/>
        </w:rPr>
        <w:t xml:space="preserve">.........................         </w:t>
      </w:r>
      <w:r w:rsidR="00D1552F">
        <w:rPr>
          <w:rFonts w:cstheme="minorHAnsi"/>
          <w:sz w:val="22"/>
          <w:szCs w:val="22"/>
        </w:rPr>
        <w:t xml:space="preserve"> </w:t>
      </w:r>
      <w:r>
        <w:rPr>
          <w:rFonts w:cstheme="minorHAnsi"/>
          <w:sz w:val="22"/>
          <w:szCs w:val="22"/>
        </w:rPr>
        <w:t>99</w:t>
      </w:r>
    </w:p>
    <w:p w14:paraId="3BF1CF1D" w14:textId="77777777" w:rsidR="005C1E92" w:rsidRPr="0001716E" w:rsidRDefault="005C1E92" w:rsidP="005C1E92">
      <w:pPr>
        <w:jc w:val="both"/>
        <w:rPr>
          <w:rFonts w:cstheme="minorHAnsi"/>
          <w:sz w:val="22"/>
          <w:szCs w:val="22"/>
        </w:rPr>
      </w:pPr>
      <w:r w:rsidRPr="0001716E">
        <w:rPr>
          <w:rFonts w:cstheme="minorHAnsi"/>
          <w:sz w:val="22"/>
          <w:szCs w:val="22"/>
        </w:rPr>
        <w:t>8.4. Pôžičky ..........................................................................................................</w:t>
      </w:r>
      <w:r>
        <w:rPr>
          <w:rFonts w:cstheme="minorHAnsi"/>
          <w:sz w:val="22"/>
          <w:szCs w:val="22"/>
        </w:rPr>
        <w:t>..................          100</w:t>
      </w:r>
    </w:p>
    <w:p w14:paraId="46A35F9B" w14:textId="77777777" w:rsidR="005C1E92" w:rsidRPr="0001716E" w:rsidRDefault="005C1E92" w:rsidP="005C1E92">
      <w:pPr>
        <w:jc w:val="both"/>
        <w:rPr>
          <w:rFonts w:cstheme="minorHAnsi"/>
          <w:sz w:val="22"/>
          <w:szCs w:val="22"/>
        </w:rPr>
      </w:pPr>
      <w:r w:rsidRPr="0001716E">
        <w:rPr>
          <w:rFonts w:cstheme="minorHAnsi"/>
          <w:sz w:val="22"/>
          <w:szCs w:val="22"/>
        </w:rPr>
        <w:t>8.5. Ubytovanie študentov ..................................................................................</w:t>
      </w:r>
      <w:r>
        <w:rPr>
          <w:rFonts w:cstheme="minorHAnsi"/>
          <w:sz w:val="22"/>
          <w:szCs w:val="22"/>
        </w:rPr>
        <w:t>..................          100</w:t>
      </w:r>
    </w:p>
    <w:p w14:paraId="04978F82" w14:textId="77777777" w:rsidR="005C1E92" w:rsidRDefault="005C1E92" w:rsidP="005C1E92">
      <w:pPr>
        <w:jc w:val="both"/>
        <w:rPr>
          <w:rFonts w:cstheme="minorHAnsi"/>
          <w:sz w:val="22"/>
          <w:szCs w:val="22"/>
        </w:rPr>
      </w:pPr>
      <w:r w:rsidRPr="0001716E">
        <w:rPr>
          <w:rFonts w:cstheme="minorHAnsi"/>
          <w:sz w:val="22"/>
          <w:szCs w:val="22"/>
        </w:rPr>
        <w:t>8.6. Stravovacia činnosť .......................................................................................</w:t>
      </w:r>
      <w:r>
        <w:rPr>
          <w:rFonts w:cstheme="minorHAnsi"/>
          <w:sz w:val="22"/>
          <w:szCs w:val="22"/>
        </w:rPr>
        <w:t>.................           103</w:t>
      </w:r>
    </w:p>
    <w:p w14:paraId="45692BAB" w14:textId="77777777" w:rsidR="005C1E92" w:rsidRDefault="005C1E92" w:rsidP="005C1E92">
      <w:pPr>
        <w:jc w:val="both"/>
        <w:rPr>
          <w:rFonts w:cstheme="minorHAnsi"/>
          <w:sz w:val="22"/>
          <w:szCs w:val="22"/>
        </w:rPr>
      </w:pPr>
      <w:r>
        <w:rPr>
          <w:rFonts w:cstheme="minorHAnsi"/>
          <w:sz w:val="22"/>
          <w:szCs w:val="22"/>
        </w:rPr>
        <w:t>8.7. Konzultantská a poradenská činnosť .............................................................................           103</w:t>
      </w:r>
    </w:p>
    <w:p w14:paraId="6EBD16DC" w14:textId="77777777" w:rsidR="005C1E92" w:rsidRPr="0001716E" w:rsidRDefault="005C1E92" w:rsidP="005C1E92">
      <w:pPr>
        <w:jc w:val="both"/>
        <w:rPr>
          <w:rFonts w:cstheme="minorHAnsi"/>
          <w:sz w:val="22"/>
          <w:szCs w:val="22"/>
        </w:rPr>
      </w:pPr>
      <w:r>
        <w:rPr>
          <w:rFonts w:cstheme="minorHAnsi"/>
          <w:sz w:val="22"/>
          <w:szCs w:val="22"/>
        </w:rPr>
        <w:t>8.8. Poradenské centrum STU ..............................................................................................           105</w:t>
      </w:r>
    </w:p>
    <w:p w14:paraId="6722EAA8" w14:textId="77777777" w:rsidR="005C1E92" w:rsidRPr="0001716E" w:rsidRDefault="005C1E92" w:rsidP="005C1E92">
      <w:pPr>
        <w:jc w:val="both"/>
        <w:rPr>
          <w:rFonts w:cstheme="minorHAnsi"/>
          <w:sz w:val="22"/>
          <w:szCs w:val="22"/>
        </w:rPr>
      </w:pPr>
      <w:r>
        <w:rPr>
          <w:rFonts w:cstheme="minorHAnsi"/>
          <w:sz w:val="22"/>
          <w:szCs w:val="22"/>
        </w:rPr>
        <w:t>8.9</w:t>
      </w:r>
      <w:r w:rsidRPr="0001716E">
        <w:rPr>
          <w:rFonts w:cstheme="minorHAnsi"/>
          <w:sz w:val="22"/>
          <w:szCs w:val="22"/>
        </w:rPr>
        <w:t>. Študentské organizácie .................................................................................</w:t>
      </w:r>
      <w:r>
        <w:rPr>
          <w:rFonts w:cstheme="minorHAnsi"/>
          <w:sz w:val="22"/>
          <w:szCs w:val="22"/>
        </w:rPr>
        <w:t>.................           108</w:t>
      </w:r>
    </w:p>
    <w:p w14:paraId="41912F3C" w14:textId="77777777" w:rsidR="005C1E92" w:rsidRPr="0001716E" w:rsidRDefault="005C1E92" w:rsidP="005C1E92">
      <w:pPr>
        <w:jc w:val="both"/>
        <w:rPr>
          <w:rFonts w:cstheme="minorHAnsi"/>
          <w:sz w:val="22"/>
          <w:szCs w:val="22"/>
        </w:rPr>
      </w:pPr>
      <w:r w:rsidRPr="0001716E">
        <w:rPr>
          <w:rFonts w:cstheme="minorHAnsi"/>
          <w:sz w:val="22"/>
          <w:szCs w:val="22"/>
        </w:rPr>
        <w:t>9. Podporné činnosti vysokej školy ......................................................................</w:t>
      </w:r>
      <w:r>
        <w:rPr>
          <w:rFonts w:cstheme="minorHAnsi"/>
          <w:sz w:val="22"/>
          <w:szCs w:val="22"/>
        </w:rPr>
        <w:t>.................           109</w:t>
      </w:r>
    </w:p>
    <w:p w14:paraId="79CDE277" w14:textId="77777777" w:rsidR="005C1E92" w:rsidRPr="0001716E" w:rsidRDefault="005C1E92" w:rsidP="005C1E92">
      <w:pPr>
        <w:jc w:val="both"/>
        <w:rPr>
          <w:rFonts w:cstheme="minorHAnsi"/>
          <w:sz w:val="22"/>
          <w:szCs w:val="22"/>
        </w:rPr>
      </w:pPr>
      <w:r w:rsidRPr="0001716E">
        <w:rPr>
          <w:rFonts w:cstheme="minorHAnsi"/>
          <w:sz w:val="22"/>
          <w:szCs w:val="22"/>
        </w:rPr>
        <w:t xml:space="preserve">9.1. Informačné a komunikačné technológie ........................................................................       </w:t>
      </w:r>
      <w:r>
        <w:rPr>
          <w:rFonts w:cstheme="minorHAnsi"/>
          <w:sz w:val="22"/>
          <w:szCs w:val="22"/>
        </w:rPr>
        <w:t xml:space="preserve">    109</w:t>
      </w:r>
      <w:r w:rsidRPr="0001716E">
        <w:rPr>
          <w:rFonts w:cstheme="minorHAnsi"/>
          <w:sz w:val="22"/>
          <w:szCs w:val="22"/>
        </w:rPr>
        <w:t xml:space="preserve"> </w:t>
      </w:r>
    </w:p>
    <w:p w14:paraId="6A75EEFB" w14:textId="77777777" w:rsidR="005C1E92" w:rsidRPr="0001716E" w:rsidRDefault="005C1E92" w:rsidP="005C1E92">
      <w:pPr>
        <w:jc w:val="both"/>
        <w:rPr>
          <w:rFonts w:cstheme="minorHAnsi"/>
          <w:sz w:val="22"/>
          <w:szCs w:val="22"/>
        </w:rPr>
      </w:pPr>
      <w:r w:rsidRPr="0001716E">
        <w:rPr>
          <w:rFonts w:cstheme="minorHAnsi"/>
          <w:sz w:val="22"/>
          <w:szCs w:val="22"/>
        </w:rPr>
        <w:t>9.2. Vysokoškolský umelecký súbor Technik .......................................................</w:t>
      </w:r>
      <w:r>
        <w:rPr>
          <w:rFonts w:cstheme="minorHAnsi"/>
          <w:sz w:val="22"/>
          <w:szCs w:val="22"/>
        </w:rPr>
        <w:t>..................           110</w:t>
      </w:r>
    </w:p>
    <w:p w14:paraId="495E07D9" w14:textId="77777777" w:rsidR="005C1E92" w:rsidRPr="0001716E" w:rsidRDefault="005C1E92" w:rsidP="005C1E92">
      <w:pPr>
        <w:jc w:val="both"/>
        <w:rPr>
          <w:rFonts w:cstheme="minorHAnsi"/>
          <w:sz w:val="22"/>
          <w:szCs w:val="22"/>
        </w:rPr>
      </w:pPr>
      <w:r w:rsidRPr="0001716E">
        <w:rPr>
          <w:rFonts w:cstheme="minorHAnsi"/>
          <w:sz w:val="22"/>
          <w:szCs w:val="22"/>
        </w:rPr>
        <w:t>9.3. Vydavateľstvo Spektrum .........................................................................................</w:t>
      </w:r>
      <w:r>
        <w:rPr>
          <w:rFonts w:cstheme="minorHAnsi"/>
          <w:sz w:val="22"/>
          <w:szCs w:val="22"/>
        </w:rPr>
        <w:t>.......           110</w:t>
      </w:r>
    </w:p>
    <w:p w14:paraId="375FE28E" w14:textId="77777777" w:rsidR="005C1E92" w:rsidRPr="0001716E" w:rsidRDefault="005C1E92" w:rsidP="005C1E92">
      <w:pPr>
        <w:jc w:val="both"/>
        <w:rPr>
          <w:rFonts w:cstheme="minorHAnsi"/>
          <w:sz w:val="22"/>
          <w:szCs w:val="22"/>
        </w:rPr>
      </w:pPr>
      <w:r w:rsidRPr="0001716E">
        <w:rPr>
          <w:rFonts w:cstheme="minorHAnsi"/>
          <w:sz w:val="22"/>
          <w:szCs w:val="22"/>
        </w:rPr>
        <w:t xml:space="preserve">9.4. </w:t>
      </w:r>
      <w:r>
        <w:rPr>
          <w:rFonts w:cstheme="minorHAnsi"/>
          <w:sz w:val="22"/>
          <w:szCs w:val="22"/>
        </w:rPr>
        <w:t>Absolventi STU</w:t>
      </w:r>
      <w:r w:rsidRPr="0001716E">
        <w:rPr>
          <w:rFonts w:cstheme="minorHAnsi"/>
          <w:sz w:val="22"/>
          <w:szCs w:val="22"/>
        </w:rPr>
        <w:t xml:space="preserve"> .........................................................................................................</w:t>
      </w:r>
      <w:r>
        <w:rPr>
          <w:rFonts w:cstheme="minorHAnsi"/>
          <w:sz w:val="22"/>
          <w:szCs w:val="22"/>
        </w:rPr>
        <w:t>......            111</w:t>
      </w:r>
    </w:p>
    <w:p w14:paraId="74832970" w14:textId="77777777" w:rsidR="005C1E92" w:rsidRPr="0001716E" w:rsidRDefault="005C1E92" w:rsidP="005C1E92">
      <w:pPr>
        <w:jc w:val="both"/>
        <w:rPr>
          <w:rFonts w:cstheme="minorHAnsi"/>
          <w:sz w:val="22"/>
          <w:szCs w:val="22"/>
        </w:rPr>
      </w:pPr>
      <w:r w:rsidRPr="0001716E">
        <w:rPr>
          <w:rFonts w:cstheme="minorHAnsi"/>
          <w:sz w:val="22"/>
          <w:szCs w:val="22"/>
        </w:rPr>
        <w:t>9.5</w:t>
      </w:r>
      <w:r>
        <w:rPr>
          <w:rFonts w:cstheme="minorHAnsi"/>
          <w:sz w:val="22"/>
          <w:szCs w:val="22"/>
        </w:rPr>
        <w:t>.</w:t>
      </w:r>
      <w:r w:rsidRPr="0001716E">
        <w:rPr>
          <w:rFonts w:cstheme="minorHAnsi"/>
          <w:sz w:val="22"/>
          <w:szCs w:val="22"/>
        </w:rPr>
        <w:t xml:space="preserve"> Nadácia STU ....................................................................................</w:t>
      </w:r>
      <w:r>
        <w:rPr>
          <w:rFonts w:cstheme="minorHAnsi"/>
          <w:sz w:val="22"/>
          <w:szCs w:val="22"/>
        </w:rPr>
        <w:t>...............................            113</w:t>
      </w:r>
    </w:p>
    <w:p w14:paraId="66D9B54E" w14:textId="77777777" w:rsidR="005C1E92" w:rsidRPr="0001716E" w:rsidRDefault="005C1E92" w:rsidP="005C1E92">
      <w:pPr>
        <w:jc w:val="both"/>
        <w:rPr>
          <w:rFonts w:cstheme="minorHAnsi"/>
          <w:sz w:val="22"/>
          <w:szCs w:val="22"/>
        </w:rPr>
      </w:pPr>
      <w:r w:rsidRPr="0001716E">
        <w:rPr>
          <w:rFonts w:cstheme="minorHAnsi"/>
          <w:sz w:val="22"/>
          <w:szCs w:val="22"/>
        </w:rPr>
        <w:t>9.6</w:t>
      </w:r>
      <w:r>
        <w:rPr>
          <w:rFonts w:cstheme="minorHAnsi"/>
          <w:sz w:val="22"/>
          <w:szCs w:val="22"/>
        </w:rPr>
        <w:t>.</w:t>
      </w:r>
      <w:r w:rsidRPr="0001716E">
        <w:rPr>
          <w:rFonts w:cstheme="minorHAnsi"/>
          <w:sz w:val="22"/>
          <w:szCs w:val="22"/>
        </w:rPr>
        <w:t xml:space="preserve"> Centrum akademického športu ......................................................</w:t>
      </w:r>
      <w:r>
        <w:rPr>
          <w:rFonts w:cstheme="minorHAnsi"/>
          <w:sz w:val="22"/>
          <w:szCs w:val="22"/>
        </w:rPr>
        <w:t>...............................            113</w:t>
      </w:r>
    </w:p>
    <w:p w14:paraId="490D68D9" w14:textId="77777777" w:rsidR="005C1E92" w:rsidRPr="0001716E" w:rsidRDefault="005C1E92" w:rsidP="005C1E92">
      <w:pPr>
        <w:jc w:val="both"/>
        <w:rPr>
          <w:rFonts w:cstheme="minorHAnsi"/>
          <w:sz w:val="22"/>
          <w:szCs w:val="22"/>
        </w:rPr>
      </w:pPr>
      <w:r w:rsidRPr="0001716E">
        <w:rPr>
          <w:rFonts w:cstheme="minorHAnsi"/>
          <w:sz w:val="22"/>
          <w:szCs w:val="22"/>
        </w:rPr>
        <w:t>9.7</w:t>
      </w:r>
      <w:r>
        <w:rPr>
          <w:rFonts w:cstheme="minorHAnsi"/>
          <w:sz w:val="22"/>
          <w:szCs w:val="22"/>
        </w:rPr>
        <w:t>.</w:t>
      </w:r>
      <w:r w:rsidRPr="0001716E">
        <w:rPr>
          <w:rFonts w:cstheme="minorHAnsi"/>
          <w:sz w:val="22"/>
          <w:szCs w:val="22"/>
        </w:rPr>
        <w:t xml:space="preserve"> Súkromná materská škola STUBAčik ...........................................................</w:t>
      </w:r>
      <w:r>
        <w:rPr>
          <w:rFonts w:cstheme="minorHAnsi"/>
          <w:sz w:val="22"/>
          <w:szCs w:val="22"/>
        </w:rPr>
        <w:t>...................            113</w:t>
      </w:r>
    </w:p>
    <w:p w14:paraId="1EB3DE1C" w14:textId="5ACD9B8A" w:rsidR="001F6078" w:rsidRPr="0001716E" w:rsidRDefault="001F6078" w:rsidP="001F6078">
      <w:pPr>
        <w:jc w:val="both"/>
        <w:rPr>
          <w:rFonts w:cstheme="minorHAnsi"/>
          <w:sz w:val="22"/>
          <w:szCs w:val="22"/>
        </w:rPr>
      </w:pPr>
      <w:r w:rsidRPr="0001716E">
        <w:rPr>
          <w:rFonts w:cstheme="minorHAnsi"/>
          <w:sz w:val="22"/>
          <w:szCs w:val="22"/>
        </w:rPr>
        <w:t>10</w:t>
      </w:r>
      <w:r>
        <w:rPr>
          <w:rFonts w:cstheme="minorHAnsi"/>
          <w:sz w:val="22"/>
          <w:szCs w:val="22"/>
        </w:rPr>
        <w:t>.</w:t>
      </w:r>
      <w:r w:rsidRPr="0001716E">
        <w:rPr>
          <w:rFonts w:cstheme="minorHAnsi"/>
          <w:sz w:val="22"/>
          <w:szCs w:val="22"/>
        </w:rPr>
        <w:t xml:space="preserve"> Rozvoj vysokej školy .....................................................................................</w:t>
      </w:r>
      <w:r>
        <w:rPr>
          <w:rFonts w:cstheme="minorHAnsi"/>
          <w:sz w:val="22"/>
          <w:szCs w:val="22"/>
        </w:rPr>
        <w:t>.</w:t>
      </w:r>
      <w:r w:rsidR="009766D1">
        <w:rPr>
          <w:rFonts w:cstheme="minorHAnsi"/>
          <w:sz w:val="22"/>
          <w:szCs w:val="22"/>
        </w:rPr>
        <w:t>..................           114</w:t>
      </w:r>
    </w:p>
    <w:p w14:paraId="755C9BAE" w14:textId="6CCC62D3" w:rsidR="001F6078" w:rsidRPr="0001716E" w:rsidRDefault="001F6078" w:rsidP="001F6078">
      <w:pPr>
        <w:jc w:val="both"/>
        <w:rPr>
          <w:rFonts w:cstheme="minorHAnsi"/>
          <w:sz w:val="22"/>
          <w:szCs w:val="22"/>
        </w:rPr>
      </w:pPr>
      <w:r w:rsidRPr="0001716E">
        <w:rPr>
          <w:rFonts w:cstheme="minorHAnsi"/>
          <w:sz w:val="22"/>
          <w:szCs w:val="22"/>
        </w:rPr>
        <w:t>11</w:t>
      </w:r>
      <w:r>
        <w:rPr>
          <w:rFonts w:cstheme="minorHAnsi"/>
          <w:sz w:val="22"/>
          <w:szCs w:val="22"/>
        </w:rPr>
        <w:t>.</w:t>
      </w:r>
      <w:r w:rsidRPr="0001716E">
        <w:rPr>
          <w:rFonts w:cstheme="minorHAnsi"/>
          <w:sz w:val="22"/>
          <w:szCs w:val="22"/>
        </w:rPr>
        <w:t xml:space="preserve"> Medzinárodné aktivity .................................................................................</w:t>
      </w:r>
      <w:r>
        <w:rPr>
          <w:rFonts w:cstheme="minorHAnsi"/>
          <w:sz w:val="22"/>
          <w:szCs w:val="22"/>
        </w:rPr>
        <w:t>..</w:t>
      </w:r>
      <w:r w:rsidR="009766D1">
        <w:rPr>
          <w:rFonts w:cstheme="minorHAnsi"/>
          <w:sz w:val="22"/>
          <w:szCs w:val="22"/>
        </w:rPr>
        <w:t>.................            115</w:t>
      </w:r>
    </w:p>
    <w:p w14:paraId="7CCD554C" w14:textId="566BE8E4" w:rsidR="001F6078" w:rsidRPr="0001716E" w:rsidRDefault="001F6078" w:rsidP="001F6078">
      <w:pPr>
        <w:jc w:val="both"/>
        <w:rPr>
          <w:rFonts w:cstheme="minorHAnsi"/>
          <w:sz w:val="22"/>
          <w:szCs w:val="22"/>
        </w:rPr>
      </w:pPr>
      <w:r w:rsidRPr="0001716E">
        <w:rPr>
          <w:rFonts w:cstheme="minorHAnsi"/>
          <w:sz w:val="22"/>
          <w:szCs w:val="22"/>
        </w:rPr>
        <w:t>11.1. Medzinárodné dohody a partnerstvá .........................................................</w:t>
      </w:r>
      <w:r>
        <w:rPr>
          <w:rFonts w:cstheme="minorHAnsi"/>
          <w:sz w:val="22"/>
          <w:szCs w:val="22"/>
        </w:rPr>
        <w:t xml:space="preserve">................    </w:t>
      </w:r>
      <w:r w:rsidR="009766D1">
        <w:rPr>
          <w:rFonts w:cstheme="minorHAnsi"/>
          <w:sz w:val="22"/>
          <w:szCs w:val="22"/>
        </w:rPr>
        <w:t xml:space="preserve">         115</w:t>
      </w:r>
    </w:p>
    <w:p w14:paraId="6C4E44CF" w14:textId="681BE84E" w:rsidR="001F6078" w:rsidRPr="0001716E" w:rsidRDefault="001F6078" w:rsidP="001F6078">
      <w:pPr>
        <w:jc w:val="both"/>
        <w:rPr>
          <w:rFonts w:cstheme="minorHAnsi"/>
          <w:sz w:val="22"/>
          <w:szCs w:val="22"/>
        </w:rPr>
      </w:pPr>
      <w:r w:rsidRPr="0001716E">
        <w:rPr>
          <w:rFonts w:cstheme="minorHAnsi"/>
          <w:sz w:val="22"/>
          <w:szCs w:val="22"/>
        </w:rPr>
        <w:t>11.2. Medzinárodné vzdelávacie projekty a siete ...............................................</w:t>
      </w:r>
      <w:r w:rsidR="009766D1">
        <w:rPr>
          <w:rFonts w:cstheme="minorHAnsi"/>
          <w:sz w:val="22"/>
          <w:szCs w:val="22"/>
        </w:rPr>
        <w:t>................             117</w:t>
      </w:r>
    </w:p>
    <w:p w14:paraId="11B2B150" w14:textId="3B341946" w:rsidR="001F6078" w:rsidRPr="0001716E" w:rsidRDefault="001F6078" w:rsidP="001F6078">
      <w:pPr>
        <w:jc w:val="both"/>
        <w:rPr>
          <w:rFonts w:cstheme="minorHAnsi"/>
          <w:sz w:val="22"/>
          <w:szCs w:val="22"/>
        </w:rPr>
      </w:pPr>
      <w:r w:rsidRPr="0001716E">
        <w:rPr>
          <w:rFonts w:cstheme="minorHAnsi"/>
          <w:sz w:val="22"/>
          <w:szCs w:val="22"/>
        </w:rPr>
        <w:t>11.3. Mobility zamestnancov ..............................................................................</w:t>
      </w:r>
      <w:r>
        <w:rPr>
          <w:rFonts w:cstheme="minorHAnsi"/>
          <w:sz w:val="22"/>
          <w:szCs w:val="22"/>
        </w:rPr>
        <w:t>.........</w:t>
      </w:r>
      <w:r w:rsidR="009766D1">
        <w:rPr>
          <w:rFonts w:cstheme="minorHAnsi"/>
          <w:sz w:val="22"/>
          <w:szCs w:val="22"/>
        </w:rPr>
        <w:t>.......             118</w:t>
      </w:r>
    </w:p>
    <w:p w14:paraId="0F490423" w14:textId="0500A720" w:rsidR="001F6078" w:rsidRPr="0001716E" w:rsidRDefault="001F6078" w:rsidP="001F6078">
      <w:pPr>
        <w:jc w:val="both"/>
        <w:rPr>
          <w:rFonts w:cstheme="minorHAnsi"/>
          <w:sz w:val="22"/>
          <w:szCs w:val="22"/>
        </w:rPr>
      </w:pPr>
      <w:r w:rsidRPr="0001716E">
        <w:rPr>
          <w:rFonts w:cstheme="minorHAnsi"/>
          <w:sz w:val="22"/>
          <w:szCs w:val="22"/>
        </w:rPr>
        <w:t>11.4. Pôsobenie STU v medzinárodných organizáciách a sieťach .......................</w:t>
      </w:r>
      <w:r w:rsidR="009766D1">
        <w:rPr>
          <w:rFonts w:cstheme="minorHAnsi"/>
          <w:sz w:val="22"/>
          <w:szCs w:val="22"/>
        </w:rPr>
        <w:t>................             119</w:t>
      </w:r>
    </w:p>
    <w:p w14:paraId="7F305D6C" w14:textId="644590ED" w:rsidR="001F6078" w:rsidRPr="0001716E" w:rsidRDefault="001F6078" w:rsidP="001F6078">
      <w:pPr>
        <w:jc w:val="both"/>
        <w:rPr>
          <w:rFonts w:cstheme="minorHAnsi"/>
          <w:sz w:val="22"/>
          <w:szCs w:val="22"/>
        </w:rPr>
      </w:pPr>
      <w:r w:rsidRPr="0001716E">
        <w:rPr>
          <w:rFonts w:cstheme="minorHAnsi"/>
          <w:sz w:val="22"/>
          <w:szCs w:val="22"/>
        </w:rPr>
        <w:t>11.5. Vycestovania zamestnancov a prijatia zahraničných hostí ........................</w:t>
      </w:r>
      <w:r>
        <w:rPr>
          <w:rFonts w:cstheme="minorHAnsi"/>
          <w:sz w:val="22"/>
          <w:szCs w:val="22"/>
        </w:rPr>
        <w:t xml:space="preserve">.................            </w:t>
      </w:r>
      <w:r w:rsidR="009766D1">
        <w:rPr>
          <w:rFonts w:cstheme="minorHAnsi"/>
          <w:sz w:val="22"/>
          <w:szCs w:val="22"/>
        </w:rPr>
        <w:t>120</w:t>
      </w:r>
    </w:p>
    <w:p w14:paraId="7D7CE69A" w14:textId="3893E11C" w:rsidR="001F6078" w:rsidRPr="0001716E" w:rsidRDefault="001F6078" w:rsidP="001F6078">
      <w:pPr>
        <w:rPr>
          <w:rFonts w:cstheme="minorHAnsi"/>
          <w:sz w:val="22"/>
          <w:szCs w:val="22"/>
        </w:rPr>
      </w:pPr>
      <w:r w:rsidRPr="0001716E">
        <w:rPr>
          <w:rFonts w:cstheme="minorHAnsi"/>
          <w:sz w:val="22"/>
          <w:szCs w:val="22"/>
        </w:rPr>
        <w:t xml:space="preserve">12. Systém hodnotenia kvality a vzdelávania </w:t>
      </w:r>
      <w:r>
        <w:rPr>
          <w:rFonts w:cstheme="minorHAnsi"/>
          <w:sz w:val="22"/>
          <w:szCs w:val="22"/>
        </w:rPr>
        <w:t>na STU .</w:t>
      </w:r>
      <w:r w:rsidRPr="0001716E">
        <w:rPr>
          <w:rFonts w:cstheme="minorHAnsi"/>
          <w:sz w:val="22"/>
          <w:szCs w:val="22"/>
        </w:rPr>
        <w:t>.......................................</w:t>
      </w:r>
      <w:r>
        <w:rPr>
          <w:rFonts w:cstheme="minorHAnsi"/>
          <w:sz w:val="22"/>
          <w:szCs w:val="22"/>
        </w:rPr>
        <w:t>..</w:t>
      </w:r>
      <w:r w:rsidR="009766D1">
        <w:rPr>
          <w:rFonts w:cstheme="minorHAnsi"/>
          <w:sz w:val="22"/>
          <w:szCs w:val="22"/>
        </w:rPr>
        <w:t xml:space="preserve">............. </w:t>
      </w:r>
      <w:r w:rsidR="009766D1">
        <w:rPr>
          <w:rFonts w:cstheme="minorHAnsi"/>
          <w:sz w:val="22"/>
          <w:szCs w:val="22"/>
        </w:rPr>
        <w:tab/>
        <w:t xml:space="preserve">            121</w:t>
      </w:r>
    </w:p>
    <w:p w14:paraId="3BA79137" w14:textId="5CE08AB6" w:rsidR="001F6078" w:rsidRDefault="001F6078" w:rsidP="001F6078">
      <w:pPr>
        <w:jc w:val="both"/>
        <w:rPr>
          <w:rFonts w:cstheme="minorHAnsi"/>
          <w:sz w:val="22"/>
          <w:szCs w:val="22"/>
        </w:rPr>
      </w:pPr>
      <w:r w:rsidRPr="0001716E">
        <w:rPr>
          <w:rFonts w:cstheme="minorHAnsi"/>
          <w:sz w:val="22"/>
          <w:szCs w:val="22"/>
        </w:rPr>
        <w:t xml:space="preserve">12.1. </w:t>
      </w:r>
      <w:r w:rsidRPr="0041401F">
        <w:rPr>
          <w:sz w:val="22"/>
          <w:szCs w:val="22"/>
        </w:rPr>
        <w:t>Návrh a schvaľovanie nových študijných programov</w:t>
      </w:r>
      <w:r>
        <w:rPr>
          <w:sz w:val="22"/>
          <w:szCs w:val="22"/>
        </w:rPr>
        <w:t xml:space="preserve"> </w:t>
      </w:r>
      <w:r>
        <w:rPr>
          <w:rFonts w:cstheme="minorHAnsi"/>
          <w:sz w:val="22"/>
          <w:szCs w:val="22"/>
        </w:rPr>
        <w:t>........</w:t>
      </w:r>
      <w:r w:rsidRPr="0001716E">
        <w:rPr>
          <w:rFonts w:cstheme="minorHAnsi"/>
          <w:sz w:val="22"/>
          <w:szCs w:val="22"/>
        </w:rPr>
        <w:t>........................</w:t>
      </w:r>
      <w:r w:rsidR="009766D1">
        <w:rPr>
          <w:rFonts w:cstheme="minorHAnsi"/>
          <w:sz w:val="22"/>
          <w:szCs w:val="22"/>
        </w:rPr>
        <w:t>.................            123</w:t>
      </w:r>
    </w:p>
    <w:p w14:paraId="267ABAC8" w14:textId="72CA2CB3" w:rsidR="001F6078" w:rsidRDefault="001F6078" w:rsidP="001F6078">
      <w:pPr>
        <w:jc w:val="both"/>
        <w:rPr>
          <w:sz w:val="22"/>
          <w:szCs w:val="22"/>
        </w:rPr>
      </w:pPr>
      <w:r>
        <w:rPr>
          <w:rFonts w:cstheme="minorHAnsi"/>
          <w:sz w:val="22"/>
          <w:szCs w:val="22"/>
        </w:rPr>
        <w:t xml:space="preserve">12.2. </w:t>
      </w:r>
      <w:r w:rsidRPr="0041401F">
        <w:rPr>
          <w:sz w:val="22"/>
          <w:szCs w:val="22"/>
        </w:rPr>
        <w:t>Posúdenie súladu študijného programu so štandardmi</w:t>
      </w:r>
      <w:r>
        <w:rPr>
          <w:sz w:val="22"/>
          <w:szCs w:val="22"/>
        </w:rPr>
        <w:t xml:space="preserve"> ............................</w:t>
      </w:r>
      <w:r w:rsidR="009766D1">
        <w:rPr>
          <w:sz w:val="22"/>
          <w:szCs w:val="22"/>
        </w:rPr>
        <w:t>.................            125</w:t>
      </w:r>
    </w:p>
    <w:p w14:paraId="4D5C4F4A" w14:textId="77777777" w:rsidR="001F6078" w:rsidRDefault="001F6078" w:rsidP="001F6078">
      <w:pPr>
        <w:jc w:val="both"/>
        <w:rPr>
          <w:sz w:val="22"/>
          <w:szCs w:val="22"/>
        </w:rPr>
      </w:pPr>
      <w:r>
        <w:rPr>
          <w:sz w:val="22"/>
          <w:szCs w:val="22"/>
        </w:rPr>
        <w:t xml:space="preserve">12.3. </w:t>
      </w:r>
      <w:r w:rsidRPr="0041401F">
        <w:rPr>
          <w:sz w:val="22"/>
          <w:szCs w:val="22"/>
        </w:rPr>
        <w:t>Zapojenie interných a externých zainteresovaných strán do prípravy tvorby a </w:t>
      </w:r>
    </w:p>
    <w:p w14:paraId="695AB268" w14:textId="16F05936" w:rsidR="001F6078" w:rsidRDefault="001F6078" w:rsidP="001F6078">
      <w:pPr>
        <w:jc w:val="both"/>
        <w:rPr>
          <w:sz w:val="22"/>
          <w:szCs w:val="22"/>
        </w:rPr>
      </w:pPr>
      <w:r>
        <w:rPr>
          <w:sz w:val="22"/>
          <w:szCs w:val="22"/>
        </w:rPr>
        <w:t xml:space="preserve">          </w:t>
      </w:r>
      <w:r w:rsidRPr="0041401F">
        <w:rPr>
          <w:sz w:val="22"/>
          <w:szCs w:val="22"/>
        </w:rPr>
        <w:t>realizácie študijných programov</w:t>
      </w:r>
      <w:r>
        <w:rPr>
          <w:sz w:val="22"/>
          <w:szCs w:val="22"/>
        </w:rPr>
        <w:t xml:space="preserve"> ................................................................</w:t>
      </w:r>
      <w:r w:rsidR="009766D1">
        <w:rPr>
          <w:sz w:val="22"/>
          <w:szCs w:val="22"/>
        </w:rPr>
        <w:t>.................            130</w:t>
      </w:r>
    </w:p>
    <w:p w14:paraId="577B2888" w14:textId="47081DFE" w:rsidR="001F6078" w:rsidRPr="0009005A" w:rsidRDefault="001F6078" w:rsidP="001F6078">
      <w:pPr>
        <w:jc w:val="both"/>
        <w:rPr>
          <w:sz w:val="22"/>
          <w:szCs w:val="22"/>
        </w:rPr>
      </w:pPr>
      <w:r w:rsidRPr="0009005A">
        <w:rPr>
          <w:sz w:val="22"/>
          <w:szCs w:val="22"/>
        </w:rPr>
        <w:t>12.4. Monitorovanie kvality vzdelávania prostredníctvom hospitácií</w:t>
      </w:r>
      <w:r>
        <w:rPr>
          <w:sz w:val="22"/>
          <w:szCs w:val="22"/>
        </w:rPr>
        <w:t xml:space="preserve"> ................</w:t>
      </w:r>
      <w:r w:rsidR="009766D1">
        <w:rPr>
          <w:sz w:val="22"/>
          <w:szCs w:val="22"/>
        </w:rPr>
        <w:t>.................            133</w:t>
      </w:r>
    </w:p>
    <w:p w14:paraId="2ACEC0B3" w14:textId="16870AFE" w:rsidR="001F6078" w:rsidRPr="0001716E" w:rsidRDefault="001F6078" w:rsidP="001F6078">
      <w:pPr>
        <w:jc w:val="both"/>
        <w:rPr>
          <w:rFonts w:cstheme="minorHAnsi"/>
          <w:sz w:val="22"/>
          <w:szCs w:val="22"/>
        </w:rPr>
      </w:pPr>
      <w:r>
        <w:rPr>
          <w:rFonts w:cstheme="minorHAnsi"/>
          <w:sz w:val="22"/>
          <w:szCs w:val="22"/>
        </w:rPr>
        <w:t>12.5</w:t>
      </w:r>
      <w:r w:rsidRPr="0001716E">
        <w:rPr>
          <w:rFonts w:cstheme="minorHAnsi"/>
          <w:sz w:val="22"/>
          <w:szCs w:val="22"/>
        </w:rPr>
        <w:t>. Hodnotenie vzdelávania študentmi ...........................................................</w:t>
      </w:r>
      <w:r w:rsidR="009766D1">
        <w:rPr>
          <w:rFonts w:cstheme="minorHAnsi"/>
          <w:sz w:val="22"/>
          <w:szCs w:val="22"/>
        </w:rPr>
        <w:t>.................            134</w:t>
      </w:r>
    </w:p>
    <w:p w14:paraId="58C35DF4" w14:textId="6F211D5A" w:rsidR="001F6078" w:rsidRPr="0001716E" w:rsidRDefault="001F6078" w:rsidP="001F6078">
      <w:pPr>
        <w:jc w:val="both"/>
        <w:rPr>
          <w:rFonts w:cstheme="minorHAnsi"/>
          <w:sz w:val="22"/>
          <w:szCs w:val="22"/>
        </w:rPr>
      </w:pPr>
      <w:r>
        <w:rPr>
          <w:rFonts w:cstheme="minorHAnsi"/>
          <w:sz w:val="22"/>
          <w:szCs w:val="22"/>
        </w:rPr>
        <w:t>12.6</w:t>
      </w:r>
      <w:r w:rsidRPr="0001716E">
        <w:rPr>
          <w:rFonts w:cstheme="minorHAnsi"/>
          <w:sz w:val="22"/>
          <w:szCs w:val="22"/>
        </w:rPr>
        <w:t>. Kvantitatívne vyhodnotenie zabezpečovania kvality vzdelávania .............</w:t>
      </w:r>
      <w:r w:rsidR="009766D1">
        <w:rPr>
          <w:rFonts w:cstheme="minorHAnsi"/>
          <w:sz w:val="22"/>
          <w:szCs w:val="22"/>
        </w:rPr>
        <w:t>.................            137</w:t>
      </w:r>
    </w:p>
    <w:p w14:paraId="59F84C0E" w14:textId="79B7CFA9" w:rsidR="001F6078" w:rsidRPr="0001716E" w:rsidRDefault="001F6078" w:rsidP="001F6078">
      <w:pPr>
        <w:jc w:val="both"/>
        <w:rPr>
          <w:rFonts w:cstheme="minorHAnsi"/>
          <w:color w:val="000000" w:themeColor="text1"/>
          <w:sz w:val="22"/>
          <w:szCs w:val="22"/>
        </w:rPr>
      </w:pPr>
      <w:r>
        <w:rPr>
          <w:rFonts w:cstheme="minorHAnsi"/>
          <w:color w:val="000000" w:themeColor="text1"/>
          <w:sz w:val="22"/>
          <w:szCs w:val="22"/>
        </w:rPr>
        <w:t>12.7</w:t>
      </w:r>
      <w:r w:rsidRPr="0001716E">
        <w:rPr>
          <w:rFonts w:cstheme="minorHAnsi"/>
          <w:color w:val="000000" w:themeColor="text1"/>
          <w:sz w:val="22"/>
          <w:szCs w:val="22"/>
        </w:rPr>
        <w:t>. Hodnotenie úrovne vzdelávacej č</w:t>
      </w:r>
      <w:r>
        <w:rPr>
          <w:rFonts w:cstheme="minorHAnsi"/>
          <w:color w:val="000000" w:themeColor="text1"/>
          <w:sz w:val="22"/>
          <w:szCs w:val="22"/>
        </w:rPr>
        <w:t xml:space="preserve">innosti na STU za rok 2021 </w:t>
      </w:r>
      <w:r w:rsidRPr="0001716E">
        <w:rPr>
          <w:rFonts w:cstheme="minorHAnsi"/>
          <w:color w:val="000000" w:themeColor="text1"/>
          <w:sz w:val="22"/>
          <w:szCs w:val="22"/>
        </w:rPr>
        <w:t>......</w:t>
      </w:r>
      <w:r>
        <w:rPr>
          <w:rFonts w:cstheme="minorHAnsi"/>
          <w:color w:val="000000" w:themeColor="text1"/>
          <w:sz w:val="22"/>
          <w:szCs w:val="22"/>
        </w:rPr>
        <w:t>.............</w:t>
      </w:r>
      <w:r w:rsidR="009766D1">
        <w:rPr>
          <w:rFonts w:cstheme="minorHAnsi"/>
          <w:color w:val="000000" w:themeColor="text1"/>
          <w:sz w:val="22"/>
          <w:szCs w:val="22"/>
        </w:rPr>
        <w:t>.................            140</w:t>
      </w:r>
    </w:p>
    <w:p w14:paraId="258A9CF0" w14:textId="01B23966" w:rsidR="001F6078" w:rsidRDefault="001F6078" w:rsidP="001F6078">
      <w:pPr>
        <w:jc w:val="both"/>
        <w:rPr>
          <w:rFonts w:cstheme="minorHAnsi"/>
          <w:sz w:val="22"/>
          <w:szCs w:val="22"/>
        </w:rPr>
      </w:pPr>
      <w:r>
        <w:rPr>
          <w:rFonts w:cstheme="minorHAnsi"/>
          <w:sz w:val="22"/>
          <w:szCs w:val="22"/>
        </w:rPr>
        <w:t>12.8</w:t>
      </w:r>
      <w:r w:rsidRPr="0001716E">
        <w:rPr>
          <w:rFonts w:cstheme="minorHAnsi"/>
          <w:sz w:val="22"/>
          <w:szCs w:val="22"/>
        </w:rPr>
        <w:t xml:space="preserve">. Hodnotenie úrovne vedeckovýskumnej </w:t>
      </w:r>
      <w:r>
        <w:rPr>
          <w:rFonts w:cstheme="minorHAnsi"/>
          <w:sz w:val="22"/>
          <w:szCs w:val="22"/>
        </w:rPr>
        <w:t>a umeleckej činnosti za rok 2021 ................            1</w:t>
      </w:r>
      <w:r w:rsidR="009766D1">
        <w:rPr>
          <w:rFonts w:cstheme="minorHAnsi"/>
          <w:sz w:val="22"/>
          <w:szCs w:val="22"/>
        </w:rPr>
        <w:t>42</w:t>
      </w:r>
    </w:p>
    <w:p w14:paraId="51B37396" w14:textId="7A89F8C3" w:rsidR="001F6078" w:rsidRPr="0009005A" w:rsidRDefault="001F6078" w:rsidP="001F6078">
      <w:pPr>
        <w:jc w:val="both"/>
        <w:rPr>
          <w:rFonts w:cstheme="minorHAnsi"/>
          <w:sz w:val="22"/>
          <w:szCs w:val="22"/>
        </w:rPr>
      </w:pPr>
      <w:r w:rsidRPr="0009005A">
        <w:rPr>
          <w:sz w:val="22"/>
          <w:szCs w:val="22"/>
        </w:rPr>
        <w:t>13. Krízová situácia v súvislosti s ochorením COVID-19</w:t>
      </w:r>
      <w:r>
        <w:rPr>
          <w:sz w:val="22"/>
          <w:szCs w:val="22"/>
        </w:rPr>
        <w:t xml:space="preserve"> ...................................................</w:t>
      </w:r>
      <w:r w:rsidR="009766D1">
        <w:rPr>
          <w:sz w:val="22"/>
          <w:szCs w:val="22"/>
        </w:rPr>
        <w:t>...             143</w:t>
      </w:r>
    </w:p>
    <w:p w14:paraId="6C661782" w14:textId="0B4044E8" w:rsidR="001F6078" w:rsidRPr="0001716E" w:rsidRDefault="001F6078" w:rsidP="001F6078">
      <w:pPr>
        <w:jc w:val="both"/>
        <w:rPr>
          <w:rFonts w:cstheme="minorHAnsi"/>
          <w:sz w:val="22"/>
          <w:szCs w:val="22"/>
        </w:rPr>
      </w:pPr>
      <w:r>
        <w:rPr>
          <w:rFonts w:cstheme="minorHAnsi"/>
          <w:sz w:val="22"/>
          <w:szCs w:val="22"/>
        </w:rPr>
        <w:t>14</w:t>
      </w:r>
      <w:r w:rsidRPr="0001716E">
        <w:rPr>
          <w:rFonts w:cstheme="minorHAnsi"/>
          <w:sz w:val="22"/>
          <w:szCs w:val="22"/>
        </w:rPr>
        <w:t>. Kontaktné údaje ............................................................................................</w:t>
      </w:r>
      <w:r w:rsidR="009766D1">
        <w:rPr>
          <w:rFonts w:cstheme="minorHAnsi"/>
          <w:sz w:val="22"/>
          <w:szCs w:val="22"/>
        </w:rPr>
        <w:t>................             144</w:t>
      </w:r>
    </w:p>
    <w:p w14:paraId="23A0C426" w14:textId="63C7913A" w:rsidR="001F6078" w:rsidRPr="0001716E" w:rsidRDefault="001F6078" w:rsidP="001F6078">
      <w:pPr>
        <w:jc w:val="both"/>
        <w:rPr>
          <w:rFonts w:cstheme="minorHAnsi"/>
          <w:sz w:val="22"/>
          <w:szCs w:val="22"/>
        </w:rPr>
      </w:pPr>
      <w:r>
        <w:rPr>
          <w:rFonts w:cstheme="minorHAnsi"/>
          <w:sz w:val="22"/>
          <w:szCs w:val="22"/>
        </w:rPr>
        <w:t>15</w:t>
      </w:r>
      <w:r w:rsidRPr="0001716E">
        <w:rPr>
          <w:rFonts w:cstheme="minorHAnsi"/>
          <w:sz w:val="22"/>
          <w:szCs w:val="22"/>
        </w:rPr>
        <w:t>. Sumár.............................................................................................................</w:t>
      </w:r>
      <w:r w:rsidR="009766D1">
        <w:rPr>
          <w:rFonts w:cstheme="minorHAnsi"/>
          <w:sz w:val="22"/>
          <w:szCs w:val="22"/>
        </w:rPr>
        <w:t>................             148</w:t>
      </w:r>
    </w:p>
    <w:p w14:paraId="6991AB43" w14:textId="77777777" w:rsidR="001F6078" w:rsidRPr="0001716E" w:rsidRDefault="001F6078" w:rsidP="001F6078">
      <w:pPr>
        <w:rPr>
          <w:rFonts w:cstheme="minorHAnsi"/>
          <w:sz w:val="22"/>
          <w:szCs w:val="22"/>
        </w:rPr>
      </w:pPr>
    </w:p>
    <w:p w14:paraId="146411CB" w14:textId="77777777" w:rsidR="001F6078" w:rsidRPr="0001716E" w:rsidRDefault="001F6078" w:rsidP="001F6078">
      <w:pPr>
        <w:rPr>
          <w:rFonts w:cstheme="minorHAnsi"/>
          <w:b/>
          <w:sz w:val="22"/>
          <w:szCs w:val="22"/>
        </w:rPr>
      </w:pPr>
      <w:r w:rsidRPr="0001716E">
        <w:rPr>
          <w:rFonts w:cstheme="minorHAnsi"/>
          <w:b/>
          <w:sz w:val="22"/>
          <w:szCs w:val="22"/>
        </w:rPr>
        <w:t xml:space="preserve">Prílohy: </w:t>
      </w:r>
    </w:p>
    <w:p w14:paraId="5E0B542A" w14:textId="77777777" w:rsidR="001F6078" w:rsidRPr="0001716E" w:rsidRDefault="001F6078" w:rsidP="001F6078">
      <w:pPr>
        <w:rPr>
          <w:rFonts w:cstheme="minorHAnsi"/>
          <w:sz w:val="22"/>
          <w:szCs w:val="22"/>
        </w:rPr>
      </w:pPr>
    </w:p>
    <w:p w14:paraId="73A8AAAB" w14:textId="3F37DA44" w:rsidR="001F6078" w:rsidRPr="0001716E" w:rsidRDefault="001F6078" w:rsidP="001F6078">
      <w:pPr>
        <w:jc w:val="both"/>
        <w:rPr>
          <w:rFonts w:cstheme="minorHAnsi"/>
          <w:sz w:val="22"/>
          <w:szCs w:val="22"/>
        </w:rPr>
      </w:pPr>
      <w:r>
        <w:rPr>
          <w:rFonts w:cstheme="minorHAnsi"/>
          <w:sz w:val="22"/>
          <w:szCs w:val="22"/>
        </w:rPr>
        <w:t>16</w:t>
      </w:r>
      <w:r w:rsidRPr="0001716E">
        <w:rPr>
          <w:rFonts w:cstheme="minorHAnsi"/>
          <w:sz w:val="22"/>
          <w:szCs w:val="22"/>
        </w:rPr>
        <w:t>. Tabuľky .........................................................................................................</w:t>
      </w:r>
      <w:r w:rsidR="009766D1">
        <w:rPr>
          <w:rFonts w:cstheme="minorHAnsi"/>
          <w:sz w:val="22"/>
          <w:szCs w:val="22"/>
        </w:rPr>
        <w:t>..................           148</w:t>
      </w:r>
    </w:p>
    <w:p w14:paraId="28A8530A" w14:textId="77777777" w:rsidR="001F6078" w:rsidRDefault="001F6078" w:rsidP="001F6078">
      <w:pPr>
        <w:rPr>
          <w:rFonts w:cstheme="minorHAnsi"/>
          <w:sz w:val="22"/>
          <w:szCs w:val="22"/>
        </w:rPr>
      </w:pPr>
    </w:p>
    <w:p w14:paraId="5C867648" w14:textId="77777777" w:rsidR="001F6078" w:rsidRDefault="001F6078" w:rsidP="001F6078">
      <w:pPr>
        <w:rPr>
          <w:rFonts w:cstheme="minorHAnsi"/>
          <w:sz w:val="22"/>
          <w:szCs w:val="22"/>
        </w:rPr>
      </w:pPr>
    </w:p>
    <w:p w14:paraId="2D748538" w14:textId="77777777" w:rsidR="001F6078" w:rsidRDefault="001F6078" w:rsidP="001F6078">
      <w:pPr>
        <w:rPr>
          <w:rFonts w:cstheme="minorHAnsi"/>
          <w:sz w:val="22"/>
          <w:szCs w:val="22"/>
        </w:rPr>
      </w:pPr>
    </w:p>
    <w:p w14:paraId="6A277FBF" w14:textId="77777777" w:rsidR="001F6078" w:rsidRDefault="001F6078" w:rsidP="001F6078">
      <w:pPr>
        <w:rPr>
          <w:rFonts w:cstheme="minorHAnsi"/>
          <w:sz w:val="22"/>
          <w:szCs w:val="22"/>
        </w:rPr>
      </w:pPr>
    </w:p>
    <w:p w14:paraId="085CAA64" w14:textId="77777777" w:rsidR="001F6078" w:rsidRDefault="001F6078" w:rsidP="001F6078">
      <w:pPr>
        <w:rPr>
          <w:rFonts w:cstheme="minorHAnsi"/>
          <w:sz w:val="22"/>
          <w:szCs w:val="22"/>
        </w:rPr>
      </w:pPr>
    </w:p>
    <w:p w14:paraId="6601764C" w14:textId="77777777" w:rsidR="001F6078" w:rsidRDefault="001F6078" w:rsidP="001F6078">
      <w:pPr>
        <w:rPr>
          <w:rFonts w:cstheme="minorHAnsi"/>
          <w:sz w:val="22"/>
          <w:szCs w:val="22"/>
        </w:rPr>
      </w:pPr>
    </w:p>
    <w:p w14:paraId="612435BF" w14:textId="77777777" w:rsidR="001F6078" w:rsidRDefault="001F6078" w:rsidP="001F6078">
      <w:pPr>
        <w:rPr>
          <w:rFonts w:cstheme="minorHAnsi"/>
          <w:sz w:val="22"/>
          <w:szCs w:val="22"/>
        </w:rPr>
      </w:pPr>
    </w:p>
    <w:p w14:paraId="452ECF0E" w14:textId="77777777" w:rsidR="001F6078" w:rsidRDefault="001F6078" w:rsidP="001F6078">
      <w:pPr>
        <w:rPr>
          <w:rFonts w:cstheme="minorHAnsi"/>
          <w:sz w:val="22"/>
          <w:szCs w:val="22"/>
        </w:rPr>
      </w:pPr>
    </w:p>
    <w:p w14:paraId="2FCA30CA" w14:textId="77777777" w:rsidR="001F6078" w:rsidRDefault="001F6078" w:rsidP="001F6078">
      <w:pPr>
        <w:rPr>
          <w:rFonts w:cstheme="minorHAnsi"/>
          <w:sz w:val="22"/>
          <w:szCs w:val="22"/>
        </w:rPr>
      </w:pPr>
    </w:p>
    <w:p w14:paraId="7ABE9404" w14:textId="77777777" w:rsidR="001F6078" w:rsidRDefault="001F6078" w:rsidP="001F6078">
      <w:pPr>
        <w:rPr>
          <w:rFonts w:cstheme="minorHAnsi"/>
          <w:sz w:val="22"/>
          <w:szCs w:val="22"/>
        </w:rPr>
      </w:pPr>
    </w:p>
    <w:p w14:paraId="7C414719" w14:textId="77777777" w:rsidR="001F6078" w:rsidRDefault="001F6078" w:rsidP="001F6078"/>
    <w:p w14:paraId="6F518EC7" w14:textId="77777777" w:rsidR="001F6078" w:rsidRPr="001F6078" w:rsidRDefault="001F6078" w:rsidP="001F6078">
      <w:pPr>
        <w:rPr>
          <w:rFonts w:asciiTheme="majorHAnsi" w:eastAsiaTheme="majorEastAsia" w:hAnsiTheme="majorHAnsi" w:cstheme="majorHAnsi"/>
          <w:b/>
          <w:bCs/>
        </w:rPr>
      </w:pPr>
      <w:r w:rsidRPr="001F6078">
        <w:rPr>
          <w:rFonts w:asciiTheme="majorHAnsi" w:hAnsiTheme="majorHAnsi" w:cstheme="majorHAnsi"/>
          <w:b/>
          <w:sz w:val="32"/>
          <w:szCs w:val="32"/>
        </w:rPr>
        <w:t>1. Základné informácie o vysokej škole</w:t>
      </w:r>
    </w:p>
    <w:p w14:paraId="26DF5C82" w14:textId="77777777" w:rsidR="001F6078" w:rsidRPr="001F6078" w:rsidRDefault="001F6078" w:rsidP="001F6078">
      <w:pPr>
        <w:jc w:val="center"/>
        <w:rPr>
          <w:rFonts w:asciiTheme="majorHAnsi" w:hAnsiTheme="majorHAnsi" w:cstheme="majorHAnsi"/>
          <w:b/>
          <w:sz w:val="28"/>
          <w:szCs w:val="28"/>
        </w:rPr>
      </w:pPr>
    </w:p>
    <w:p w14:paraId="61ECB693" w14:textId="77777777" w:rsidR="001F6078" w:rsidRPr="001F6078" w:rsidRDefault="001F6078" w:rsidP="001F6078">
      <w:pPr>
        <w:pStyle w:val="Odsekzoznamu"/>
        <w:spacing w:after="0" w:line="240" w:lineRule="auto"/>
        <w:ind w:left="0"/>
        <w:rPr>
          <w:rFonts w:asciiTheme="majorHAnsi" w:hAnsiTheme="majorHAnsi" w:cstheme="majorHAnsi"/>
          <w:sz w:val="24"/>
          <w:szCs w:val="24"/>
        </w:rPr>
      </w:pPr>
      <w:r w:rsidRPr="001F6078">
        <w:rPr>
          <w:rFonts w:asciiTheme="majorHAnsi" w:hAnsiTheme="majorHAnsi" w:cstheme="majorHAnsi"/>
          <w:b/>
          <w:sz w:val="24"/>
          <w:szCs w:val="24"/>
        </w:rPr>
        <w:t>Názov vysokej školy:</w:t>
      </w:r>
      <w:r w:rsidRPr="001F6078">
        <w:rPr>
          <w:rFonts w:asciiTheme="majorHAnsi" w:hAnsiTheme="majorHAnsi" w:cstheme="majorHAnsi"/>
          <w:sz w:val="24"/>
          <w:szCs w:val="24"/>
        </w:rPr>
        <w:t xml:space="preserve"> Slovenská technická univerzita v Bratislave</w:t>
      </w:r>
    </w:p>
    <w:p w14:paraId="51250CF4" w14:textId="77777777" w:rsidR="001F6078" w:rsidRPr="001F6078" w:rsidRDefault="001F6078" w:rsidP="001F6078">
      <w:pPr>
        <w:pStyle w:val="Odsekzoznamu"/>
        <w:spacing w:after="0" w:line="240" w:lineRule="auto"/>
        <w:ind w:left="0"/>
        <w:rPr>
          <w:rFonts w:asciiTheme="majorHAnsi" w:hAnsiTheme="majorHAnsi" w:cstheme="majorHAnsi"/>
        </w:rPr>
      </w:pPr>
    </w:p>
    <w:p w14:paraId="156EC788" w14:textId="77777777" w:rsidR="001F6078" w:rsidRPr="001F6078" w:rsidRDefault="001F6078" w:rsidP="001F6078">
      <w:pPr>
        <w:pStyle w:val="Odsekzoznamu"/>
        <w:spacing w:after="0" w:line="240" w:lineRule="auto"/>
        <w:ind w:left="0"/>
        <w:rPr>
          <w:rFonts w:asciiTheme="majorHAnsi" w:hAnsiTheme="majorHAnsi" w:cstheme="majorHAnsi"/>
          <w:sz w:val="24"/>
          <w:szCs w:val="24"/>
        </w:rPr>
      </w:pPr>
      <w:r w:rsidRPr="001F6078">
        <w:rPr>
          <w:rFonts w:asciiTheme="majorHAnsi" w:hAnsiTheme="majorHAnsi" w:cstheme="majorHAnsi"/>
          <w:b/>
          <w:sz w:val="24"/>
          <w:szCs w:val="24"/>
        </w:rPr>
        <w:t>Typ vysokej školy:</w:t>
      </w:r>
      <w:r w:rsidRPr="001F6078">
        <w:rPr>
          <w:rFonts w:asciiTheme="majorHAnsi" w:hAnsiTheme="majorHAnsi" w:cstheme="majorHAnsi"/>
          <w:sz w:val="24"/>
          <w:szCs w:val="24"/>
        </w:rPr>
        <w:t xml:space="preserve"> verejná vysoká škola</w:t>
      </w:r>
    </w:p>
    <w:p w14:paraId="55E96C8B" w14:textId="77777777" w:rsidR="001F6078" w:rsidRPr="001F6078" w:rsidRDefault="001F6078" w:rsidP="001F6078">
      <w:pPr>
        <w:pStyle w:val="Odsekzoznamu"/>
        <w:spacing w:after="0" w:line="240" w:lineRule="auto"/>
        <w:ind w:left="0"/>
        <w:rPr>
          <w:rFonts w:asciiTheme="majorHAnsi" w:hAnsiTheme="majorHAnsi" w:cstheme="majorHAnsi"/>
          <w:i/>
        </w:rPr>
      </w:pPr>
    </w:p>
    <w:p w14:paraId="76F5FCEA" w14:textId="77777777" w:rsidR="001F6078" w:rsidRPr="001F6078" w:rsidRDefault="001F6078" w:rsidP="001F6078">
      <w:pPr>
        <w:rPr>
          <w:rFonts w:asciiTheme="majorHAnsi" w:hAnsiTheme="majorHAnsi" w:cstheme="majorHAnsi"/>
        </w:rPr>
      </w:pPr>
      <w:r w:rsidRPr="001F6078">
        <w:rPr>
          <w:rFonts w:asciiTheme="majorHAnsi" w:hAnsiTheme="majorHAnsi" w:cstheme="majorHAnsi"/>
          <w:b/>
        </w:rPr>
        <w:t>Poslanie vysokej školy:</w:t>
      </w:r>
      <w:r w:rsidRPr="001F6078">
        <w:rPr>
          <w:rFonts w:asciiTheme="majorHAnsi" w:hAnsiTheme="majorHAnsi" w:cstheme="majorHAnsi"/>
        </w:rPr>
        <w:t xml:space="preserve"> </w:t>
      </w:r>
    </w:p>
    <w:p w14:paraId="55F496D7"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Poslaním STU, ako výskumne orientovanej technickej univerzity, je vedeckým výskumom, inžinierskou a ďalšou tvorivou činnosťou získavať, aplikovať a šíriť nové poznatky, vzdelávať a vychovávať mladú generáciu v duchu princípov humanizmu a ľudskosti. </w:t>
      </w:r>
    </w:p>
    <w:p w14:paraId="234B9D6F" w14:textId="77777777" w:rsidR="001F6078" w:rsidRPr="001F6078" w:rsidRDefault="001F6078" w:rsidP="001F6078">
      <w:pPr>
        <w:rPr>
          <w:rFonts w:asciiTheme="majorHAnsi" w:hAnsiTheme="majorHAnsi" w:cstheme="majorHAnsi"/>
        </w:rPr>
      </w:pPr>
    </w:p>
    <w:p w14:paraId="26E3714F" w14:textId="77777777" w:rsidR="001F6078" w:rsidRPr="001F6078" w:rsidRDefault="001F6078" w:rsidP="001F6078">
      <w:pPr>
        <w:rPr>
          <w:rFonts w:asciiTheme="majorHAnsi" w:hAnsiTheme="majorHAnsi" w:cstheme="majorHAnsi"/>
          <w:b/>
          <w:u w:val="single"/>
        </w:rPr>
      </w:pPr>
      <w:r w:rsidRPr="001F6078">
        <w:rPr>
          <w:rFonts w:asciiTheme="majorHAnsi" w:hAnsiTheme="majorHAnsi" w:cstheme="majorHAnsi"/>
          <w:b/>
          <w:u w:val="single"/>
        </w:rPr>
        <w:t>Vedenie STU:</w:t>
      </w:r>
    </w:p>
    <w:p w14:paraId="7E7EB033" w14:textId="77777777" w:rsidR="001F6078" w:rsidRPr="001F6078" w:rsidRDefault="001F6078" w:rsidP="001F6078">
      <w:pPr>
        <w:pStyle w:val="Odsekzoznamu"/>
        <w:spacing w:after="0" w:line="240" w:lineRule="auto"/>
        <w:ind w:left="0"/>
        <w:rPr>
          <w:rFonts w:asciiTheme="majorHAnsi" w:hAnsiTheme="majorHAnsi" w:cstheme="majorHAnsi"/>
        </w:rPr>
      </w:pPr>
    </w:p>
    <w:p w14:paraId="5D3A7FD3"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Dr. h. c. prof.h.c. prof. Dr. Ing. Oliver Moravčík  (od 8.9.2021)</w:t>
      </w:r>
      <w:r w:rsidRPr="001F6078">
        <w:rPr>
          <w:rFonts w:asciiTheme="majorHAnsi" w:hAnsiTheme="majorHAnsi" w:cstheme="majorHAnsi"/>
        </w:rPr>
        <w:br/>
      </w:r>
      <w:r w:rsidRPr="001F6078">
        <w:rPr>
          <w:rFonts w:asciiTheme="majorHAnsi" w:hAnsiTheme="majorHAnsi" w:cstheme="majorHAnsi"/>
          <w:i/>
        </w:rPr>
        <w:t>rektor</w:t>
      </w:r>
    </w:p>
    <w:p w14:paraId="28469FB0" w14:textId="77777777" w:rsidR="001F6078" w:rsidRPr="001F6078" w:rsidRDefault="001F6078" w:rsidP="001F6078">
      <w:pPr>
        <w:rPr>
          <w:rFonts w:asciiTheme="majorHAnsi" w:hAnsiTheme="majorHAnsi" w:cstheme="majorHAnsi"/>
        </w:rPr>
      </w:pPr>
    </w:p>
    <w:p w14:paraId="3868FB34"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doc. Ing. Mikuláš BITTERA, PhD. (od 1.11.2021)</w:t>
      </w:r>
      <w:r w:rsidRPr="001F6078">
        <w:rPr>
          <w:rFonts w:asciiTheme="majorHAnsi" w:hAnsiTheme="majorHAnsi" w:cstheme="majorHAnsi"/>
        </w:rPr>
        <w:br/>
      </w:r>
      <w:r w:rsidRPr="001F6078">
        <w:rPr>
          <w:rFonts w:asciiTheme="majorHAnsi" w:hAnsiTheme="majorHAnsi" w:cstheme="majorHAnsi"/>
          <w:i/>
        </w:rPr>
        <w:t>prorektor pre vzdelávanie a starostlivosť o študentov</w:t>
      </w:r>
    </w:p>
    <w:p w14:paraId="2E79D2AF" w14:textId="77777777" w:rsidR="001F6078" w:rsidRPr="001F6078" w:rsidRDefault="001F6078" w:rsidP="001F6078">
      <w:pPr>
        <w:rPr>
          <w:rFonts w:asciiTheme="majorHAnsi" w:hAnsiTheme="majorHAnsi" w:cstheme="majorHAnsi"/>
        </w:rPr>
      </w:pPr>
    </w:p>
    <w:p w14:paraId="1294406B" w14:textId="77777777" w:rsidR="001F6078" w:rsidRPr="001F6078" w:rsidRDefault="001F6078" w:rsidP="001F6078">
      <w:pPr>
        <w:rPr>
          <w:rFonts w:asciiTheme="majorHAnsi" w:hAnsiTheme="majorHAnsi" w:cstheme="majorHAnsi"/>
          <w:i/>
        </w:rPr>
      </w:pPr>
      <w:r w:rsidRPr="001F6078">
        <w:rPr>
          <w:rFonts w:asciiTheme="majorHAnsi" w:hAnsiTheme="majorHAnsi" w:cstheme="majorHAnsi"/>
        </w:rPr>
        <w:t>prof. Ing. Ján Híveš, PhD. (od 1.11.2021)</w:t>
      </w:r>
      <w:r w:rsidRPr="001F6078">
        <w:rPr>
          <w:rFonts w:asciiTheme="majorHAnsi" w:hAnsiTheme="majorHAnsi" w:cstheme="majorHAnsi"/>
        </w:rPr>
        <w:br/>
      </w:r>
      <w:r w:rsidRPr="001F6078">
        <w:rPr>
          <w:rFonts w:asciiTheme="majorHAnsi" w:hAnsiTheme="majorHAnsi" w:cstheme="majorHAnsi"/>
          <w:i/>
        </w:rPr>
        <w:t xml:space="preserve">prorektor pre vedu a  výskum </w:t>
      </w:r>
    </w:p>
    <w:p w14:paraId="5C780F3A" w14:textId="77777777" w:rsidR="001F6078" w:rsidRPr="001F6078" w:rsidRDefault="001F6078" w:rsidP="001F6078">
      <w:pPr>
        <w:rPr>
          <w:rFonts w:asciiTheme="majorHAnsi" w:hAnsiTheme="majorHAnsi" w:cstheme="majorHAnsi"/>
          <w:i/>
        </w:rPr>
      </w:pPr>
    </w:p>
    <w:p w14:paraId="04ED136B"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prof. Ing. Štefan STANKO, PhD. (od 1.11.2021)</w:t>
      </w:r>
    </w:p>
    <w:p w14:paraId="160EA034" w14:textId="77777777" w:rsidR="001F6078" w:rsidRPr="001F6078" w:rsidRDefault="001F6078" w:rsidP="001F6078">
      <w:pPr>
        <w:rPr>
          <w:rFonts w:asciiTheme="majorHAnsi" w:hAnsiTheme="majorHAnsi" w:cstheme="majorHAnsi"/>
          <w:i/>
        </w:rPr>
      </w:pPr>
      <w:r w:rsidRPr="001F6078">
        <w:rPr>
          <w:rFonts w:asciiTheme="majorHAnsi" w:hAnsiTheme="majorHAnsi" w:cstheme="majorHAnsi"/>
          <w:i/>
        </w:rPr>
        <w:t>prorektor pre informatizáciu a šport</w:t>
      </w:r>
    </w:p>
    <w:p w14:paraId="4A24A46F" w14:textId="77777777" w:rsidR="001F6078" w:rsidRPr="001F6078" w:rsidRDefault="001F6078" w:rsidP="001F6078">
      <w:pPr>
        <w:rPr>
          <w:rFonts w:asciiTheme="majorHAnsi" w:hAnsiTheme="majorHAnsi" w:cstheme="majorHAnsi"/>
        </w:rPr>
      </w:pPr>
    </w:p>
    <w:p w14:paraId="7AC52357"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prof. Ing. Maximilián STRÉMY, PhD. (od 1.11.2021)</w:t>
      </w:r>
    </w:p>
    <w:p w14:paraId="77E9CBD2" w14:textId="77777777" w:rsidR="001F6078" w:rsidRPr="001F6078" w:rsidRDefault="001F6078" w:rsidP="001F6078">
      <w:pPr>
        <w:rPr>
          <w:rFonts w:asciiTheme="majorHAnsi" w:hAnsiTheme="majorHAnsi" w:cstheme="majorHAnsi"/>
          <w:i/>
        </w:rPr>
      </w:pPr>
      <w:r w:rsidRPr="001F6078">
        <w:rPr>
          <w:rFonts w:asciiTheme="majorHAnsi" w:hAnsiTheme="majorHAnsi" w:cstheme="majorHAnsi"/>
          <w:i/>
        </w:rPr>
        <w:t>prorektor pre strategické projekty a rozvoj</w:t>
      </w:r>
    </w:p>
    <w:p w14:paraId="5F3D2402" w14:textId="77777777" w:rsidR="001F6078" w:rsidRPr="001F6078" w:rsidRDefault="001F6078" w:rsidP="001F6078">
      <w:pPr>
        <w:rPr>
          <w:rFonts w:asciiTheme="majorHAnsi" w:hAnsiTheme="majorHAnsi" w:cstheme="majorHAnsi"/>
        </w:rPr>
      </w:pPr>
    </w:p>
    <w:p w14:paraId="479B5025"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prof. Ing. arch. Ľubica Vitková, PhD. (od 1.11.2021)</w:t>
      </w:r>
      <w:r w:rsidRPr="001F6078">
        <w:rPr>
          <w:rFonts w:asciiTheme="majorHAnsi" w:hAnsiTheme="majorHAnsi" w:cstheme="majorHAnsi"/>
        </w:rPr>
        <w:br/>
      </w:r>
      <w:r w:rsidRPr="001F6078">
        <w:rPr>
          <w:rFonts w:asciiTheme="majorHAnsi" w:hAnsiTheme="majorHAnsi" w:cstheme="majorHAnsi"/>
          <w:i/>
        </w:rPr>
        <w:t>prorektorka pre propagáciu a zahraničie</w:t>
      </w:r>
    </w:p>
    <w:p w14:paraId="2C5E791A" w14:textId="77777777" w:rsidR="001F6078" w:rsidRPr="001F6078" w:rsidRDefault="001F6078" w:rsidP="001F6078">
      <w:pPr>
        <w:rPr>
          <w:rFonts w:asciiTheme="majorHAnsi" w:hAnsiTheme="majorHAnsi" w:cstheme="majorHAnsi"/>
        </w:rPr>
      </w:pPr>
    </w:p>
    <w:p w14:paraId="3F58B63C"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prof. Ing., Marián Peciar, PhD. (od 23. 5. 2019)</w:t>
      </w:r>
      <w:r w:rsidRPr="001F6078">
        <w:rPr>
          <w:rFonts w:asciiTheme="majorHAnsi" w:hAnsiTheme="majorHAnsi" w:cstheme="majorHAnsi"/>
        </w:rPr>
        <w:br/>
      </w:r>
      <w:r w:rsidRPr="001F6078">
        <w:rPr>
          <w:rFonts w:asciiTheme="majorHAnsi" w:hAnsiTheme="majorHAnsi" w:cstheme="majorHAnsi"/>
          <w:i/>
        </w:rPr>
        <w:t>predseda Akademického senátu STU</w:t>
      </w:r>
    </w:p>
    <w:p w14:paraId="4953E2D4" w14:textId="77777777" w:rsidR="001F6078" w:rsidRPr="001F6078" w:rsidRDefault="001F6078" w:rsidP="001F6078">
      <w:pPr>
        <w:rPr>
          <w:rFonts w:asciiTheme="majorHAnsi" w:hAnsiTheme="majorHAnsi" w:cstheme="majorHAnsi"/>
        </w:rPr>
      </w:pPr>
    </w:p>
    <w:p w14:paraId="3231C059"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Mgr. Rastislav IGLIAR (od 20.12.2021)</w:t>
      </w:r>
    </w:p>
    <w:p w14:paraId="39ACEE4C" w14:textId="77777777" w:rsidR="001F6078" w:rsidRPr="001F6078" w:rsidRDefault="001F6078" w:rsidP="001F6078">
      <w:pPr>
        <w:rPr>
          <w:rFonts w:asciiTheme="majorHAnsi" w:hAnsiTheme="majorHAnsi" w:cstheme="majorHAnsi"/>
          <w:i/>
        </w:rPr>
      </w:pPr>
      <w:r w:rsidRPr="001F6078">
        <w:rPr>
          <w:rFonts w:asciiTheme="majorHAnsi" w:hAnsiTheme="majorHAnsi" w:cstheme="majorHAnsi"/>
          <w:i/>
        </w:rPr>
        <w:t>kvestor</w:t>
      </w:r>
    </w:p>
    <w:p w14:paraId="3A3EBCE4" w14:textId="77777777" w:rsidR="001F6078" w:rsidRPr="001F6078" w:rsidRDefault="001F6078" w:rsidP="001F6078">
      <w:pPr>
        <w:rPr>
          <w:rFonts w:asciiTheme="majorHAnsi" w:hAnsiTheme="majorHAnsi" w:cstheme="majorHAnsi"/>
        </w:rPr>
      </w:pPr>
    </w:p>
    <w:p w14:paraId="13E14428" w14:textId="77777777" w:rsidR="001F6078" w:rsidRPr="001F6078" w:rsidRDefault="001F6078" w:rsidP="001F6078">
      <w:pPr>
        <w:rPr>
          <w:rFonts w:asciiTheme="majorHAnsi" w:hAnsiTheme="majorHAnsi" w:cstheme="majorHAnsi"/>
          <w:b/>
          <w:u w:val="single"/>
        </w:rPr>
      </w:pPr>
    </w:p>
    <w:p w14:paraId="44007764" w14:textId="77777777" w:rsidR="001F6078" w:rsidRPr="001F6078" w:rsidRDefault="001F6078" w:rsidP="001F6078">
      <w:pPr>
        <w:rPr>
          <w:rFonts w:asciiTheme="majorHAnsi" w:hAnsiTheme="majorHAnsi" w:cstheme="majorHAnsi"/>
          <w:b/>
          <w:u w:val="single"/>
        </w:rPr>
      </w:pPr>
      <w:r w:rsidRPr="001F6078">
        <w:rPr>
          <w:rFonts w:asciiTheme="majorHAnsi" w:hAnsiTheme="majorHAnsi" w:cstheme="majorHAnsi"/>
          <w:b/>
          <w:u w:val="single"/>
        </w:rPr>
        <w:t>Akademický senát STU:</w:t>
      </w:r>
    </w:p>
    <w:p w14:paraId="60F10E65" w14:textId="77777777" w:rsidR="001F6078" w:rsidRPr="001F6078" w:rsidRDefault="001F6078" w:rsidP="001F6078">
      <w:pPr>
        <w:rPr>
          <w:rFonts w:asciiTheme="majorHAnsi" w:hAnsiTheme="majorHAnsi" w:cstheme="majorHAnsi"/>
          <w:b/>
        </w:rPr>
      </w:pPr>
    </w:p>
    <w:p w14:paraId="1AC21515"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Style w:val="Vrazn"/>
          <w:rFonts w:asciiTheme="majorHAnsi" w:eastAsiaTheme="majorEastAsia" w:hAnsiTheme="majorHAnsi" w:cstheme="majorHAnsi"/>
        </w:rPr>
        <w:t>Predseda AS STU:</w:t>
      </w:r>
      <w:r w:rsidRPr="001F6078">
        <w:rPr>
          <w:rFonts w:asciiTheme="majorHAnsi" w:hAnsiTheme="majorHAnsi" w:cstheme="majorHAnsi"/>
        </w:rPr>
        <w:br/>
        <w:t>prof. Ing. Marián PECIAR, PhD. (SjF), funkčné obdobie 2019 – 2023, člen od 27.05.2019</w:t>
      </w:r>
    </w:p>
    <w:p w14:paraId="22AF78AF"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sz w:val="22"/>
          <w:szCs w:val="22"/>
        </w:rPr>
      </w:pPr>
    </w:p>
    <w:p w14:paraId="40B591F0" w14:textId="77777777" w:rsidR="001F6078" w:rsidRPr="001F6078" w:rsidRDefault="001F6078" w:rsidP="001F6078">
      <w:pPr>
        <w:pStyle w:val="Normlnywebov"/>
        <w:shd w:val="clear" w:color="auto" w:fill="FFFFFF"/>
        <w:spacing w:before="0" w:beforeAutospacing="0" w:after="0" w:afterAutospacing="0"/>
        <w:rPr>
          <w:rStyle w:val="Vrazn"/>
          <w:rFonts w:asciiTheme="majorHAnsi" w:eastAsiaTheme="majorEastAsia" w:hAnsiTheme="majorHAnsi" w:cstheme="majorHAnsi"/>
          <w:sz w:val="22"/>
          <w:szCs w:val="22"/>
        </w:rPr>
      </w:pPr>
      <w:r w:rsidRPr="001F6078">
        <w:rPr>
          <w:rStyle w:val="Vrazn"/>
          <w:rFonts w:asciiTheme="majorHAnsi" w:eastAsiaTheme="majorEastAsia" w:hAnsiTheme="majorHAnsi" w:cstheme="majorHAnsi"/>
        </w:rPr>
        <w:t>Podpredseda AS STU:</w:t>
      </w:r>
      <w:r w:rsidRPr="001F6078">
        <w:rPr>
          <w:rFonts w:asciiTheme="majorHAnsi" w:hAnsiTheme="majorHAnsi" w:cstheme="majorHAnsi"/>
        </w:rPr>
        <w:br/>
        <w:t xml:space="preserve">doc. Ing. arch. Milan ANDRÁŠ, PhD., (FAD), 2019 – 2023, člen od 27.5.2019 (podpredseda AS od 2.11.2021)  </w:t>
      </w:r>
    </w:p>
    <w:p w14:paraId="10AC7F27" w14:textId="77777777" w:rsidR="001F6078" w:rsidRPr="001F6078" w:rsidRDefault="001F6078" w:rsidP="001F6078">
      <w:pPr>
        <w:pStyle w:val="Bezriadkovania"/>
        <w:rPr>
          <w:rStyle w:val="Vrazn"/>
          <w:rFonts w:asciiTheme="majorHAnsi" w:eastAsiaTheme="majorEastAsia" w:hAnsiTheme="majorHAnsi" w:cstheme="majorHAnsi"/>
        </w:rPr>
      </w:pPr>
    </w:p>
    <w:p w14:paraId="4496C246" w14:textId="77777777" w:rsidR="001F6078" w:rsidRPr="001F6078" w:rsidRDefault="001F6078" w:rsidP="001F6078">
      <w:pPr>
        <w:pStyle w:val="Bezriadkovania"/>
        <w:rPr>
          <w:rFonts w:asciiTheme="majorHAnsi" w:hAnsiTheme="majorHAnsi" w:cstheme="majorHAnsi"/>
          <w:sz w:val="24"/>
          <w:szCs w:val="24"/>
        </w:rPr>
      </w:pPr>
      <w:r w:rsidRPr="001F6078">
        <w:rPr>
          <w:rStyle w:val="Vrazn"/>
          <w:rFonts w:asciiTheme="majorHAnsi" w:eastAsiaTheme="majorEastAsia" w:hAnsiTheme="majorHAnsi" w:cstheme="majorHAnsi"/>
          <w:sz w:val="24"/>
          <w:szCs w:val="24"/>
        </w:rPr>
        <w:t>Predsedníctvo Akademického senátu Slovenskej technickej univerzity (PAS) v Bratislave</w:t>
      </w:r>
    </w:p>
    <w:p w14:paraId="66A7DFBA" w14:textId="77777777" w:rsidR="001F6078" w:rsidRPr="001F6078" w:rsidRDefault="001F6078" w:rsidP="001F6078">
      <w:pPr>
        <w:pStyle w:val="Bezriadkovania"/>
        <w:rPr>
          <w:rFonts w:asciiTheme="majorHAnsi" w:hAnsiTheme="majorHAnsi" w:cstheme="majorHAnsi"/>
          <w:sz w:val="24"/>
          <w:szCs w:val="24"/>
        </w:rPr>
      </w:pPr>
      <w:r w:rsidRPr="001F6078">
        <w:rPr>
          <w:rFonts w:asciiTheme="majorHAnsi" w:hAnsiTheme="majorHAnsi" w:cstheme="majorHAnsi"/>
          <w:sz w:val="24"/>
          <w:szCs w:val="24"/>
        </w:rPr>
        <w:t>prof. Ing. Marián PECIAR, PhD. (SjF) – predseda P AS</w:t>
      </w:r>
    </w:p>
    <w:p w14:paraId="513EDCC7" w14:textId="77777777" w:rsidR="001F6078" w:rsidRPr="001F6078" w:rsidRDefault="001F6078" w:rsidP="001F6078">
      <w:pPr>
        <w:pStyle w:val="Bezriadkovania"/>
        <w:rPr>
          <w:rFonts w:asciiTheme="majorHAnsi" w:hAnsiTheme="majorHAnsi" w:cstheme="majorHAnsi"/>
          <w:b/>
          <w:sz w:val="24"/>
          <w:szCs w:val="24"/>
        </w:rPr>
      </w:pPr>
      <w:r w:rsidRPr="001F6078">
        <w:rPr>
          <w:rFonts w:asciiTheme="majorHAnsi" w:hAnsiTheme="majorHAnsi" w:cstheme="majorHAnsi"/>
          <w:sz w:val="24"/>
          <w:szCs w:val="24"/>
        </w:rPr>
        <w:t>doc. Ing. arch. Milan ANDRÁŠ, PhD., (FAD) - podpredseda</w:t>
      </w:r>
      <w:r w:rsidRPr="001F6078">
        <w:rPr>
          <w:rFonts w:asciiTheme="majorHAnsi" w:hAnsiTheme="majorHAnsi" w:cstheme="majorHAnsi"/>
          <w:b/>
          <w:sz w:val="24"/>
          <w:szCs w:val="24"/>
        </w:rPr>
        <w:t xml:space="preserve"> </w:t>
      </w:r>
      <w:r w:rsidRPr="001F6078">
        <w:rPr>
          <w:rFonts w:asciiTheme="majorHAnsi" w:hAnsiTheme="majorHAnsi" w:cstheme="majorHAnsi"/>
          <w:sz w:val="24"/>
          <w:szCs w:val="24"/>
        </w:rPr>
        <w:t>P AS</w:t>
      </w:r>
    </w:p>
    <w:p w14:paraId="73A8A1F2" w14:textId="77777777" w:rsidR="001F6078" w:rsidRPr="001F6078" w:rsidRDefault="001F6078" w:rsidP="001F6078">
      <w:pPr>
        <w:pStyle w:val="Bezriadkovania"/>
        <w:rPr>
          <w:rFonts w:asciiTheme="majorHAnsi" w:hAnsiTheme="majorHAnsi" w:cstheme="majorHAnsi"/>
          <w:sz w:val="24"/>
          <w:szCs w:val="24"/>
        </w:rPr>
      </w:pPr>
      <w:r w:rsidRPr="001F6078">
        <w:rPr>
          <w:rFonts w:asciiTheme="majorHAnsi" w:hAnsiTheme="majorHAnsi" w:cstheme="majorHAnsi"/>
          <w:sz w:val="24"/>
          <w:szCs w:val="24"/>
        </w:rPr>
        <w:t xml:space="preserve">prof. Ing. František JANÍČEK, PhD. (FEI) – člen </w:t>
      </w:r>
    </w:p>
    <w:p w14:paraId="2759B115" w14:textId="77777777" w:rsidR="001F6078" w:rsidRPr="001F6078" w:rsidRDefault="001F6078" w:rsidP="001F6078">
      <w:pPr>
        <w:pStyle w:val="Bezriadkovania"/>
        <w:rPr>
          <w:rFonts w:asciiTheme="majorHAnsi" w:hAnsiTheme="majorHAnsi" w:cstheme="majorHAnsi"/>
          <w:sz w:val="24"/>
          <w:szCs w:val="24"/>
        </w:rPr>
      </w:pPr>
      <w:r w:rsidRPr="001F6078">
        <w:rPr>
          <w:rFonts w:asciiTheme="majorHAnsi" w:hAnsiTheme="majorHAnsi" w:cstheme="majorHAnsi"/>
          <w:sz w:val="24"/>
          <w:szCs w:val="24"/>
        </w:rPr>
        <w:t>Ing. Ján LANG, PhD. (FIIT) – člen od 29.11.2021</w:t>
      </w:r>
    </w:p>
    <w:p w14:paraId="36EB4952" w14:textId="77777777" w:rsidR="001F6078" w:rsidRPr="001F6078" w:rsidRDefault="001F6078" w:rsidP="001F6078">
      <w:pPr>
        <w:pStyle w:val="Bezriadkovania"/>
        <w:rPr>
          <w:rFonts w:asciiTheme="majorHAnsi" w:hAnsiTheme="majorHAnsi" w:cstheme="majorHAnsi"/>
          <w:sz w:val="24"/>
          <w:szCs w:val="24"/>
        </w:rPr>
      </w:pPr>
      <w:r w:rsidRPr="001F6078">
        <w:rPr>
          <w:rFonts w:asciiTheme="majorHAnsi" w:hAnsiTheme="majorHAnsi" w:cstheme="majorHAnsi"/>
          <w:sz w:val="24"/>
          <w:szCs w:val="24"/>
        </w:rPr>
        <w:t>prof. Ing. Vladimír LUKEŠ, DrSc. (FCHPT) – člen od 29.11.2021</w:t>
      </w:r>
    </w:p>
    <w:p w14:paraId="7B68AEB2" w14:textId="77777777" w:rsidR="001F6078" w:rsidRPr="001F6078" w:rsidRDefault="001F6078" w:rsidP="001F6078">
      <w:pPr>
        <w:pStyle w:val="Bezriadkovania"/>
        <w:rPr>
          <w:rFonts w:asciiTheme="majorHAnsi" w:hAnsiTheme="majorHAnsi" w:cstheme="majorHAnsi"/>
          <w:sz w:val="24"/>
          <w:szCs w:val="24"/>
        </w:rPr>
      </w:pPr>
      <w:r w:rsidRPr="001F6078">
        <w:rPr>
          <w:rFonts w:asciiTheme="majorHAnsi" w:hAnsiTheme="majorHAnsi" w:cstheme="majorHAnsi"/>
          <w:sz w:val="24"/>
          <w:szCs w:val="24"/>
        </w:rPr>
        <w:t>doc. Ing. Milan NAĎ, CSc. (MTF) – člen</w:t>
      </w:r>
    </w:p>
    <w:p w14:paraId="7A02CFAE" w14:textId="77777777" w:rsidR="001F6078" w:rsidRPr="001F6078" w:rsidRDefault="001F6078" w:rsidP="001F6078">
      <w:pPr>
        <w:pStyle w:val="Bezriadkovania"/>
        <w:rPr>
          <w:rFonts w:asciiTheme="majorHAnsi" w:hAnsiTheme="majorHAnsi" w:cstheme="majorHAnsi"/>
          <w:sz w:val="24"/>
          <w:szCs w:val="24"/>
        </w:rPr>
      </w:pPr>
      <w:r w:rsidRPr="001F6078">
        <w:rPr>
          <w:rFonts w:asciiTheme="majorHAnsi" w:hAnsiTheme="majorHAnsi" w:cstheme="majorHAnsi"/>
          <w:sz w:val="24"/>
          <w:szCs w:val="24"/>
        </w:rPr>
        <w:t>prof. Ing. Ivona ŠKULTÉTYOVÁ, PhD. (SvF) – členka od 29.11.2021</w:t>
      </w:r>
    </w:p>
    <w:p w14:paraId="58E65180" w14:textId="77777777" w:rsidR="001F6078" w:rsidRPr="001F6078" w:rsidRDefault="001F6078" w:rsidP="001F6078">
      <w:pPr>
        <w:pStyle w:val="Bezriadkovania"/>
        <w:rPr>
          <w:rFonts w:asciiTheme="majorHAnsi" w:hAnsiTheme="majorHAnsi" w:cstheme="majorHAnsi"/>
          <w:sz w:val="24"/>
          <w:szCs w:val="24"/>
        </w:rPr>
      </w:pPr>
      <w:r w:rsidRPr="001F6078">
        <w:rPr>
          <w:rFonts w:asciiTheme="majorHAnsi" w:hAnsiTheme="majorHAnsi" w:cstheme="majorHAnsi"/>
          <w:sz w:val="24"/>
          <w:szCs w:val="24"/>
        </w:rPr>
        <w:t>Ing. Andrej MAJSTRÍK (SjF) – člen od 23.11.2020 do 5.12.2022</w:t>
      </w:r>
    </w:p>
    <w:p w14:paraId="16D18F1E"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 xml:space="preserve">Bc. Filip KUŠNÍR (FAD) –  člen od 31.3.2022 do 5.12.2022  </w:t>
      </w:r>
    </w:p>
    <w:p w14:paraId="006C2FCB" w14:textId="77777777" w:rsidR="001F6078" w:rsidRPr="001F6078" w:rsidRDefault="001F6078" w:rsidP="001F6078">
      <w:pPr>
        <w:pStyle w:val="Normlnywebov"/>
        <w:shd w:val="clear" w:color="auto" w:fill="FFFFFF"/>
        <w:spacing w:before="0" w:beforeAutospacing="0" w:after="0" w:afterAutospacing="0"/>
        <w:rPr>
          <w:rStyle w:val="Vrazn"/>
          <w:rFonts w:asciiTheme="majorHAnsi" w:eastAsiaTheme="majorEastAsia" w:hAnsiTheme="majorHAnsi" w:cstheme="majorHAnsi"/>
        </w:rPr>
      </w:pPr>
    </w:p>
    <w:p w14:paraId="51723392"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Style w:val="Vrazn"/>
          <w:rFonts w:asciiTheme="majorHAnsi" w:eastAsiaTheme="majorEastAsia" w:hAnsiTheme="majorHAnsi" w:cstheme="majorHAnsi"/>
        </w:rPr>
        <w:t xml:space="preserve">Členovia AS STU – zamestnanecká časť </w:t>
      </w:r>
      <w:r w:rsidRPr="001F6078">
        <w:rPr>
          <w:rFonts w:asciiTheme="majorHAnsi" w:hAnsiTheme="majorHAnsi" w:cstheme="majorHAnsi"/>
        </w:rPr>
        <w:br/>
        <w:t>doc. Ing. arch. Milan ANDRÁŠ, PhD. (FAD), funkčné obdobie 2019-2023, člen od 23.5.2019</w:t>
      </w:r>
      <w:r w:rsidRPr="001F6078">
        <w:rPr>
          <w:rFonts w:asciiTheme="majorHAnsi" w:hAnsiTheme="majorHAnsi" w:cstheme="majorHAnsi"/>
        </w:rPr>
        <w:br/>
        <w:t>Ing. Rastislav BENCEL, PhD. (FIIT), 2019-2023, od 1.9.2020</w:t>
      </w:r>
    </w:p>
    <w:p w14:paraId="2531440E"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prof. Ing. Ľubomír ČAPLOVIČ, PhD. (MTF), 2019-2023, od 23.5.2019</w:t>
      </w:r>
      <w:r w:rsidRPr="001F6078">
        <w:rPr>
          <w:rFonts w:asciiTheme="majorHAnsi" w:hAnsiTheme="majorHAnsi" w:cstheme="majorHAnsi"/>
        </w:rPr>
        <w:br/>
        <w:t>prof. Ing. Pavel ČIČÁK, PhD. (FIIT), 2019-2023, od 1.9.2020</w:t>
      </w:r>
    </w:p>
    <w:p w14:paraId="6E0C8E1F" w14:textId="77777777" w:rsidR="001F6078" w:rsidRPr="001F6078" w:rsidRDefault="001F6078" w:rsidP="001F6078">
      <w:pPr>
        <w:pStyle w:val="Normlnywebov"/>
        <w:shd w:val="clear" w:color="auto" w:fill="FFFFFF"/>
        <w:spacing w:before="0" w:beforeAutospacing="0" w:after="0" w:afterAutospacing="0"/>
        <w:ind w:right="-567"/>
        <w:rPr>
          <w:rFonts w:asciiTheme="majorHAnsi" w:hAnsiTheme="majorHAnsi" w:cstheme="majorHAnsi"/>
        </w:rPr>
      </w:pPr>
      <w:r w:rsidRPr="001F6078">
        <w:rPr>
          <w:rFonts w:asciiTheme="majorHAnsi" w:hAnsiTheme="majorHAnsi" w:cstheme="majorHAnsi"/>
        </w:rPr>
        <w:t xml:space="preserve">doc. Ing. Dana DVORANOVÁ, PhD. (FCHPT), 2019-2023, od 2.11.2021 </w:t>
      </w:r>
      <w:r w:rsidRPr="001F6078">
        <w:rPr>
          <w:rFonts w:asciiTheme="majorHAnsi" w:hAnsiTheme="majorHAnsi" w:cstheme="majorHAnsi"/>
          <w:b/>
          <w:sz w:val="22"/>
          <w:szCs w:val="22"/>
        </w:rPr>
        <w:br/>
      </w:r>
      <w:r w:rsidRPr="001F6078">
        <w:rPr>
          <w:rFonts w:asciiTheme="majorHAnsi" w:hAnsiTheme="majorHAnsi" w:cstheme="majorHAnsi"/>
        </w:rPr>
        <w:t>prof. Ing. Ladislav GULAN, PhD. (SjF), 2019-2023, od 23.5.2019</w:t>
      </w:r>
    </w:p>
    <w:p w14:paraId="72B52E93"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 xml:space="preserve">prof. Ing. Jozef HRAŠKA,  PhD. (SvF), 2019-2023, od 02.11.2021 </w:t>
      </w:r>
      <w:r w:rsidRPr="001F6078">
        <w:rPr>
          <w:rFonts w:asciiTheme="majorHAnsi" w:hAnsiTheme="majorHAnsi" w:cstheme="majorHAnsi"/>
        </w:rPr>
        <w:br/>
        <w:t>doc. Ing. Ľuboš HRUŠTINEC, PhD. (SvF), 2019-2023, od 23.5.2019</w:t>
      </w:r>
      <w:r w:rsidRPr="001F6078">
        <w:rPr>
          <w:rFonts w:asciiTheme="majorHAnsi" w:hAnsiTheme="majorHAnsi" w:cstheme="majorHAnsi"/>
        </w:rPr>
        <w:br/>
        <w:t>prof. Ing. Peter HUBINSKÝ, PhD. (FEI), 2019-2023, od 23.5.2019</w:t>
      </w:r>
      <w:r w:rsidRPr="001F6078">
        <w:rPr>
          <w:rFonts w:asciiTheme="majorHAnsi" w:hAnsiTheme="majorHAnsi" w:cstheme="majorHAnsi"/>
        </w:rPr>
        <w:br/>
        <w:t>prof. Ing. Ivan HUDEC, PhD. (FCHPT), 2019-2023, od 23.5.2019</w:t>
      </w:r>
      <w:r w:rsidRPr="001F6078">
        <w:rPr>
          <w:rFonts w:asciiTheme="majorHAnsi" w:hAnsiTheme="majorHAnsi" w:cstheme="majorHAnsi"/>
        </w:rPr>
        <w:br/>
        <w:t>doc. Ing. Vladimír CHMELKO, PhD. (SjF), 2019-2023, od 23.5.2019</w:t>
      </w:r>
      <w:r w:rsidRPr="001F6078">
        <w:rPr>
          <w:rFonts w:asciiTheme="majorHAnsi" w:hAnsiTheme="majorHAnsi" w:cstheme="majorHAnsi"/>
        </w:rPr>
        <w:br/>
        <w:t>prof. Ing. František JANÍČEK, PhD. (FEI), 2019-2023, od 23.5.2019</w:t>
      </w:r>
      <w:r w:rsidRPr="001F6078">
        <w:rPr>
          <w:rFonts w:asciiTheme="majorHAnsi" w:hAnsiTheme="majorHAnsi" w:cstheme="majorHAnsi"/>
        </w:rPr>
        <w:br/>
        <w:t>prof. Ing. Ľudovít JELEMENSKÝ, DrSc. (FCHPT), 2019-2023, od 23.5.2019</w:t>
      </w:r>
    </w:p>
    <w:p w14:paraId="2BC8AC39"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doc. Mgr. Bohuš KUBINSKÝ (FAD), 2019-2023 od 13.9.2022</w:t>
      </w:r>
    </w:p>
    <w:p w14:paraId="4C83D30F"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 xml:space="preserve">doc. Ing. Ján LANG, PhD. (FIIT), 2019-2023, od 29.11.2021 </w:t>
      </w:r>
      <w:r w:rsidRPr="001F6078">
        <w:rPr>
          <w:rFonts w:asciiTheme="majorHAnsi" w:hAnsiTheme="majorHAnsi" w:cstheme="majorHAnsi"/>
          <w:b/>
          <w:sz w:val="22"/>
          <w:szCs w:val="22"/>
        </w:rPr>
        <w:br/>
      </w:r>
      <w:r w:rsidRPr="001F6078">
        <w:rPr>
          <w:rFonts w:asciiTheme="majorHAnsi" w:hAnsiTheme="majorHAnsi" w:cstheme="majorHAnsi"/>
        </w:rPr>
        <w:t>prof. Ing. Vladimír LUKEŠ, DrSc. (FCHPT), 2019-2023, od 23.5.2019</w:t>
      </w:r>
      <w:r w:rsidRPr="001F6078">
        <w:rPr>
          <w:rFonts w:asciiTheme="majorHAnsi" w:hAnsiTheme="majorHAnsi" w:cstheme="majorHAnsi"/>
        </w:rPr>
        <w:br/>
        <w:t>doc. Ing. Milan NAĎ, CSc. (MTF), 2019-2023, od 23.5.2019</w:t>
      </w:r>
      <w:r w:rsidRPr="001F6078">
        <w:rPr>
          <w:rFonts w:asciiTheme="majorHAnsi" w:hAnsiTheme="majorHAnsi" w:cstheme="majorHAnsi"/>
        </w:rPr>
        <w:br/>
        <w:t>Ing. arch. Pavel NAHÁLKA, PhD. (FAD), 2019-2023, od 23.5.2019</w:t>
      </w:r>
      <w:r w:rsidRPr="001F6078">
        <w:rPr>
          <w:rFonts w:asciiTheme="majorHAnsi" w:hAnsiTheme="majorHAnsi" w:cstheme="majorHAnsi"/>
        </w:rPr>
        <w:br/>
        <w:t>prof. Ing. Vladimír NEČAS, PhD. (FEI), 2019-2023, od 23.5.2019</w:t>
      </w:r>
    </w:p>
    <w:p w14:paraId="7844C3CF"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prof. Ing. Marián PECIAR, PhD. (SjF), predseda AS 2019-2023, od 23.5.2019</w:t>
      </w:r>
    </w:p>
    <w:p w14:paraId="0118C27B"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doc. Ing. Peter POKORNÝ, PhD. (MTF), 2019-2023, od 23.5.2019</w:t>
      </w:r>
    </w:p>
    <w:p w14:paraId="2DE999EA"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doc. Ing. arch. Branislav PUŠKÁR, PhD. (FAD), 2019-2023, od 23.5.2019 do 12.9.2022</w:t>
      </w:r>
    </w:p>
    <w:p w14:paraId="75C26672"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doc. Ing. František RIDZOŇ, CSc. (SjF), 2019-2023, od 23.5.2019</w:t>
      </w:r>
      <w:r w:rsidRPr="001F6078">
        <w:rPr>
          <w:rFonts w:asciiTheme="majorHAnsi" w:hAnsiTheme="majorHAnsi" w:cstheme="majorHAnsi"/>
        </w:rPr>
        <w:br/>
        <w:t>doc. Ing. Róbert RIEDLMAJER, PhD. (MTF), 2019-2023, od 23.5.2019</w:t>
      </w:r>
      <w:r w:rsidRPr="001F6078">
        <w:rPr>
          <w:rFonts w:asciiTheme="majorHAnsi" w:hAnsiTheme="majorHAnsi" w:cstheme="majorHAnsi"/>
        </w:rPr>
        <w:br/>
        <w:t>doc. Ing. arch. Lea ROLLOVÁ, PhD. (FAD), 2019-2023, od 23.5.2019</w:t>
      </w:r>
    </w:p>
    <w:p w14:paraId="3DE110D9"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b/>
          <w:sz w:val="22"/>
          <w:szCs w:val="22"/>
        </w:rPr>
      </w:pPr>
      <w:r w:rsidRPr="001F6078">
        <w:rPr>
          <w:rFonts w:asciiTheme="majorHAnsi" w:hAnsiTheme="majorHAnsi" w:cstheme="majorHAnsi"/>
        </w:rPr>
        <w:t>prof. Ing. Danica ROSINOVÁ, PhD. (FEI), 2019-2023, od 2.11.2021</w:t>
      </w:r>
    </w:p>
    <w:p w14:paraId="7E502693"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prof. RNDr. Ivona ŠKULTÉTYOVÁ, PhD. (SvF), 2019-2023, od 23.5.2019</w:t>
      </w:r>
    </w:p>
    <w:p w14:paraId="63E4DC1F"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 xml:space="preserve">doc. Ing. Daniela ŠPIRKOVÁ, PhD. (ÚM), 2019-2023, od 23.5.2019 </w:t>
      </w:r>
      <w:r w:rsidRPr="001F6078">
        <w:rPr>
          <w:rFonts w:asciiTheme="majorHAnsi" w:hAnsiTheme="majorHAnsi" w:cstheme="majorHAnsi"/>
        </w:rPr>
        <w:br/>
        <w:t xml:space="preserve">doc. Ing. Peter TRÚCHLY, PhD. (FIIT), 2019-2023, od 23.5.2019 </w:t>
      </w:r>
    </w:p>
    <w:p w14:paraId="5DDD81E1"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 xml:space="preserve">JUDr. Janka ZAJACOVÁ, PhD. (SvF), 2019-2023 od 23.5.2019  </w:t>
      </w:r>
    </w:p>
    <w:p w14:paraId="15CC6ECE" w14:textId="77777777" w:rsidR="001F6078" w:rsidRPr="001F6078" w:rsidRDefault="001F6078" w:rsidP="001F6078">
      <w:pPr>
        <w:pStyle w:val="Normlnywebov"/>
        <w:shd w:val="clear" w:color="auto" w:fill="FFFFFF"/>
        <w:spacing w:before="0" w:beforeAutospacing="0" w:after="0" w:afterAutospacing="0"/>
        <w:rPr>
          <w:rStyle w:val="Vrazn"/>
          <w:rFonts w:asciiTheme="majorHAnsi" w:eastAsiaTheme="majorEastAsia" w:hAnsiTheme="majorHAnsi" w:cstheme="majorHAnsi"/>
        </w:rPr>
      </w:pPr>
    </w:p>
    <w:p w14:paraId="5EC3950C" w14:textId="77777777" w:rsidR="001F6078" w:rsidRPr="001F6078" w:rsidRDefault="001F6078" w:rsidP="001F6078">
      <w:pPr>
        <w:pStyle w:val="Normlnywebov"/>
        <w:shd w:val="clear" w:color="auto" w:fill="FFFFFF"/>
        <w:spacing w:before="0" w:beforeAutospacing="0" w:after="0" w:afterAutospacing="0"/>
        <w:rPr>
          <w:rStyle w:val="Vrazn"/>
          <w:rFonts w:asciiTheme="majorHAnsi" w:eastAsiaTheme="majorEastAsia" w:hAnsiTheme="majorHAnsi" w:cstheme="majorHAnsi"/>
        </w:rPr>
      </w:pPr>
      <w:r w:rsidRPr="001F6078">
        <w:rPr>
          <w:rStyle w:val="Vrazn"/>
          <w:rFonts w:asciiTheme="majorHAnsi" w:eastAsiaTheme="majorEastAsia" w:hAnsiTheme="majorHAnsi" w:cstheme="majorHAnsi"/>
        </w:rPr>
        <w:t>Členovia AS STU – študentská časť</w:t>
      </w:r>
    </w:p>
    <w:p w14:paraId="1039E0C1"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p>
    <w:p w14:paraId="176FF51A"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 xml:space="preserve">Andrej DORUŠINEC (SvF), 2019-2023, od 02.02.2022 </w:t>
      </w:r>
    </w:p>
    <w:p w14:paraId="3D1AA7A2"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lastRenderedPageBreak/>
        <w:t xml:space="preserve">Ing. Zuzana DYRČÍKOVÁ (FCHPT), 2019-2023, od 21.10.2021 </w:t>
      </w:r>
    </w:p>
    <w:p w14:paraId="429DCCBD"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 xml:space="preserve">Ing. Jaroslav ERDÉLYI (FIIT), 2019-2023, od 23.5.2019 do 15.6.2022 </w:t>
      </w:r>
    </w:p>
    <w:p w14:paraId="3AC4552A"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 xml:space="preserve">Bc. Martin HUDCOVSKÝ (MTF), 2019-2023, od 08.06.2021 </w:t>
      </w:r>
    </w:p>
    <w:p w14:paraId="1903F252"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Bc. Samuel JANKOVE (SjF), 2019-2023, od 03.09.2021 do 10.6.2022</w:t>
      </w:r>
    </w:p>
    <w:p w14:paraId="4773E0E5"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 xml:space="preserve">Ing. Matej JANEBA (FIIT), 2019-2023, od 28.9.2022  </w:t>
      </w:r>
      <w:r w:rsidRPr="001F6078">
        <w:rPr>
          <w:rFonts w:asciiTheme="majorHAnsi" w:hAnsiTheme="majorHAnsi" w:cstheme="majorHAnsi"/>
        </w:rPr>
        <w:br/>
        <w:t>Bc. Sandra JÁGRIKOVÁ (FAD), 2019-2023, od 18.10.2020</w:t>
      </w:r>
    </w:p>
    <w:p w14:paraId="4387985E"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 xml:space="preserve">Ing. Barbora JUNASOVÁ (SvF). 2019-2023, od 8.6.2021 do 1.2.2022 </w:t>
      </w:r>
    </w:p>
    <w:p w14:paraId="43ED2C8F"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Adam KALINA (FAD), od 11.6.2022</w:t>
      </w:r>
    </w:p>
    <w:p w14:paraId="7CD33EB1"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Ing. Vladimír KMEŤ (SjF), od 11.6.2022</w:t>
      </w:r>
    </w:p>
    <w:p w14:paraId="4F18F6D9"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 xml:space="preserve">Bc. Filip KUŠNÍR (ÚM), 2029-2023, od 31.3.2022, podpredseda ŠČ AS do 5.12.2022 </w:t>
      </w:r>
    </w:p>
    <w:p w14:paraId="0BC2C810"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Ing. Veronika KVORKOVÁ (MTF), 2019-2023, od 03.10.2021</w:t>
      </w:r>
    </w:p>
    <w:p w14:paraId="4A81D080"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Ing. Andrej MAJSTRÍK (SjF), 2019-2023,  od 23.5.2019, predseda ŠČ AS do 5.12.2022</w:t>
      </w:r>
    </w:p>
    <w:p w14:paraId="71288B4C"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Bc. Karin MALINIAKOVÁ (FIIT), 2019-2023, od 23.5.2019 do 2.6.2022</w:t>
      </w:r>
    </w:p>
    <w:p w14:paraId="3B74E9C8"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Ing. Richard NADÁNYI (FCHPT), 2019-2023, od 27.8.20225</w:t>
      </w:r>
      <w:r w:rsidRPr="001F6078">
        <w:rPr>
          <w:rFonts w:asciiTheme="majorHAnsi" w:hAnsiTheme="majorHAnsi" w:cstheme="majorHAnsi"/>
        </w:rPr>
        <w:br/>
        <w:t>Bc. Roman PÁLENÍK (FIIT) 2019-2023, od 28.9.2022</w:t>
      </w:r>
      <w:r w:rsidRPr="001F6078">
        <w:rPr>
          <w:rFonts w:asciiTheme="majorHAnsi" w:hAnsiTheme="majorHAnsi" w:cstheme="majorHAnsi"/>
        </w:rPr>
        <w:br/>
        <w:t xml:space="preserve">Ing. Michal SOBOTA (FEI), 2019-2023, od 15.10.2021 </w:t>
      </w:r>
    </w:p>
    <w:p w14:paraId="0F396B36"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 xml:space="preserve">Ing. Branislav ŠULGAN (FCHPT), 2019-2023, od 23.5.2019 do 26.8.2022 </w:t>
      </w:r>
    </w:p>
    <w:p w14:paraId="28D2AA05"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 xml:space="preserve">Tomáš TOMČO (FEI), 2019-2023, od 15.10.2021 </w:t>
      </w:r>
    </w:p>
    <w:p w14:paraId="34D14C85"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Bc. Pavol VOJTEK (FAD), 2019-2023, od 10.06.2020 do 10.6.2022</w:t>
      </w:r>
    </w:p>
    <w:p w14:paraId="5C7167D3"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Fonts w:asciiTheme="majorHAnsi" w:hAnsiTheme="majorHAnsi" w:cstheme="majorHAnsi"/>
        </w:rPr>
        <w:t xml:space="preserve">Ing. Dagmar ŽÁKOVÁ (SvF), 2019-2023, od 04.11.2021 </w:t>
      </w:r>
    </w:p>
    <w:p w14:paraId="05A8FDDF" w14:textId="77777777" w:rsidR="001F6078" w:rsidRPr="001F6078" w:rsidRDefault="001F6078" w:rsidP="001F6078">
      <w:pPr>
        <w:pStyle w:val="Normlnywebov"/>
        <w:shd w:val="clear" w:color="auto" w:fill="FFFFFF"/>
        <w:spacing w:before="0" w:beforeAutospacing="0" w:after="0" w:afterAutospacing="0"/>
        <w:rPr>
          <w:rStyle w:val="Vrazn"/>
          <w:rFonts w:asciiTheme="majorHAnsi" w:eastAsiaTheme="majorEastAsia" w:hAnsiTheme="majorHAnsi" w:cstheme="majorHAnsi"/>
        </w:rPr>
      </w:pPr>
    </w:p>
    <w:p w14:paraId="3F1FFCEC" w14:textId="77777777" w:rsidR="001F6078" w:rsidRPr="001F6078" w:rsidRDefault="001F6078" w:rsidP="001F6078">
      <w:pPr>
        <w:pStyle w:val="Normlnywebov"/>
        <w:shd w:val="clear" w:color="auto" w:fill="FFFFFF"/>
        <w:spacing w:before="0" w:beforeAutospacing="0" w:after="0" w:afterAutospacing="0"/>
        <w:rPr>
          <w:rFonts w:asciiTheme="majorHAnsi" w:hAnsiTheme="majorHAnsi" w:cstheme="majorHAnsi"/>
        </w:rPr>
      </w:pPr>
      <w:r w:rsidRPr="001F6078">
        <w:rPr>
          <w:rStyle w:val="Vrazn"/>
          <w:rFonts w:asciiTheme="majorHAnsi" w:eastAsiaTheme="majorEastAsia" w:hAnsiTheme="majorHAnsi" w:cstheme="majorHAnsi"/>
        </w:rPr>
        <w:t>Tajomníčka</w:t>
      </w:r>
      <w:r w:rsidRPr="001F6078">
        <w:rPr>
          <w:rFonts w:asciiTheme="majorHAnsi" w:hAnsiTheme="majorHAnsi" w:cstheme="majorHAnsi"/>
        </w:rPr>
        <w:br/>
        <w:t>Mgr. Magdaléna DUBECKÁ, R-STU, od 2016</w:t>
      </w:r>
    </w:p>
    <w:p w14:paraId="4936CA51" w14:textId="77777777" w:rsidR="001F6078" w:rsidRPr="001F6078" w:rsidRDefault="001F6078" w:rsidP="001F6078">
      <w:pPr>
        <w:rPr>
          <w:rFonts w:asciiTheme="majorHAnsi" w:hAnsiTheme="majorHAnsi" w:cstheme="majorHAnsi"/>
        </w:rPr>
      </w:pPr>
    </w:p>
    <w:p w14:paraId="55FC646F" w14:textId="77777777" w:rsidR="001F6078" w:rsidRPr="001F6078" w:rsidRDefault="001F6078" w:rsidP="001F6078">
      <w:pPr>
        <w:rPr>
          <w:rFonts w:asciiTheme="majorHAnsi" w:hAnsiTheme="majorHAnsi" w:cstheme="majorHAnsi"/>
        </w:rPr>
      </w:pPr>
    </w:p>
    <w:p w14:paraId="4EA5DC73" w14:textId="77777777" w:rsidR="001F6078" w:rsidRPr="001F6078" w:rsidRDefault="001F6078" w:rsidP="001F6078">
      <w:pPr>
        <w:rPr>
          <w:rFonts w:asciiTheme="majorHAnsi" w:hAnsiTheme="majorHAnsi" w:cstheme="majorHAnsi"/>
          <w:b/>
          <w:u w:val="single"/>
        </w:rPr>
      </w:pPr>
      <w:r w:rsidRPr="001F6078">
        <w:rPr>
          <w:rFonts w:asciiTheme="majorHAnsi" w:hAnsiTheme="majorHAnsi" w:cstheme="majorHAnsi"/>
          <w:b/>
          <w:u w:val="single"/>
        </w:rPr>
        <w:t xml:space="preserve">Vedecká rada STU </w:t>
      </w:r>
    </w:p>
    <w:p w14:paraId="4C0717B8" w14:textId="77777777" w:rsidR="001F6078" w:rsidRPr="001F6078" w:rsidRDefault="001F6078" w:rsidP="001F6078">
      <w:pPr>
        <w:rPr>
          <w:rFonts w:asciiTheme="majorHAnsi" w:hAnsiTheme="majorHAnsi" w:cstheme="majorHAnsi"/>
        </w:rPr>
      </w:pPr>
    </w:p>
    <w:tbl>
      <w:tblPr>
        <w:tblW w:w="9792" w:type="dxa"/>
        <w:tblCellSpacing w:w="0" w:type="dxa"/>
        <w:tblCellMar>
          <w:left w:w="0" w:type="dxa"/>
          <w:right w:w="0" w:type="dxa"/>
        </w:tblCellMar>
        <w:tblLook w:val="04A0" w:firstRow="1" w:lastRow="0" w:firstColumn="1" w:lastColumn="0" w:noHBand="0" w:noVBand="1"/>
      </w:tblPr>
      <w:tblGrid>
        <w:gridCol w:w="9786"/>
        <w:gridCol w:w="6"/>
      </w:tblGrid>
      <w:tr w:rsidR="001F6078" w:rsidRPr="001F6078" w14:paraId="3906B215" w14:textId="77777777" w:rsidTr="001F6078">
        <w:trPr>
          <w:trHeight w:val="300"/>
          <w:tblCellSpacing w:w="0" w:type="dxa"/>
        </w:trPr>
        <w:tc>
          <w:tcPr>
            <w:tcW w:w="9786" w:type="dxa"/>
          </w:tcPr>
          <w:tbl>
            <w:tblPr>
              <w:tblW w:w="9360" w:type="dxa"/>
              <w:tblCellSpacing w:w="0" w:type="dxa"/>
              <w:tblCellMar>
                <w:left w:w="0" w:type="dxa"/>
                <w:right w:w="0" w:type="dxa"/>
              </w:tblCellMar>
              <w:tblLook w:val="04A0" w:firstRow="1" w:lastRow="0" w:firstColumn="1" w:lastColumn="0" w:noHBand="0" w:noVBand="1"/>
            </w:tblPr>
            <w:tblGrid>
              <w:gridCol w:w="7230"/>
              <w:gridCol w:w="2130"/>
            </w:tblGrid>
            <w:tr w:rsidR="001F6078" w:rsidRPr="001F6078" w14:paraId="5B11510A" w14:textId="77777777" w:rsidTr="001F6078">
              <w:trPr>
                <w:trHeight w:val="528"/>
                <w:tblCellSpacing w:w="0" w:type="dxa"/>
              </w:trPr>
              <w:tc>
                <w:tcPr>
                  <w:tcW w:w="7230" w:type="dxa"/>
                  <w:vAlign w:val="center"/>
                  <w:hideMark/>
                </w:tcPr>
                <w:p w14:paraId="4725D5EB" w14:textId="77777777" w:rsidR="001F6078" w:rsidRPr="001F6078" w:rsidRDefault="001F6078" w:rsidP="001F6078">
                  <w:pPr>
                    <w:rPr>
                      <w:rFonts w:asciiTheme="majorHAnsi" w:hAnsiTheme="majorHAnsi" w:cstheme="majorHAnsi"/>
                      <w:b/>
                    </w:rPr>
                  </w:pPr>
                  <w:r w:rsidRPr="001F6078">
                    <w:rPr>
                      <w:rFonts w:asciiTheme="majorHAnsi" w:hAnsiTheme="majorHAnsi" w:cstheme="majorHAnsi"/>
                      <w:b/>
                    </w:rPr>
                    <w:t>Predseda:</w:t>
                  </w:r>
                </w:p>
                <w:p w14:paraId="118C7DAD" w14:textId="77777777" w:rsidR="001F6078" w:rsidRPr="001F6078" w:rsidRDefault="001F6078" w:rsidP="001F6078">
                  <w:pPr>
                    <w:rPr>
                      <w:rFonts w:asciiTheme="majorHAnsi" w:eastAsia="Times New Roman" w:hAnsiTheme="majorHAnsi" w:cstheme="majorHAnsi"/>
                      <w:lang w:eastAsia="sk-SK"/>
                    </w:rPr>
                  </w:pPr>
                  <w:r w:rsidRPr="001F6078">
                    <w:rPr>
                      <w:rFonts w:asciiTheme="majorHAnsi" w:eastAsia="Times New Roman" w:hAnsiTheme="majorHAnsi" w:cstheme="majorHAnsi"/>
                      <w:lang w:eastAsia="sk-SK"/>
                    </w:rPr>
                    <w:t xml:space="preserve">Dr.h.c., prof.h.c., prof. Dr. Ing. Oliver MORAVČÍK </w:t>
                  </w:r>
                </w:p>
                <w:p w14:paraId="55BE1F80" w14:textId="77777777" w:rsidR="001F6078" w:rsidRPr="001F6078" w:rsidRDefault="001F6078" w:rsidP="001F6078">
                  <w:pPr>
                    <w:rPr>
                      <w:rFonts w:asciiTheme="majorHAnsi" w:hAnsiTheme="majorHAnsi" w:cstheme="majorHAnsi"/>
                    </w:rPr>
                  </w:pPr>
                </w:p>
                <w:p w14:paraId="79CB608A" w14:textId="77777777" w:rsidR="001F6078" w:rsidRPr="001F6078" w:rsidRDefault="001F6078" w:rsidP="001F6078">
                  <w:pPr>
                    <w:rPr>
                      <w:rFonts w:asciiTheme="majorHAnsi" w:eastAsia="Times New Roman" w:hAnsiTheme="majorHAnsi" w:cstheme="majorHAnsi"/>
                      <w:b/>
                      <w:lang w:eastAsia="sk-SK"/>
                    </w:rPr>
                  </w:pPr>
                  <w:r w:rsidRPr="001F6078">
                    <w:rPr>
                      <w:rFonts w:asciiTheme="majorHAnsi" w:eastAsia="Times New Roman" w:hAnsiTheme="majorHAnsi" w:cstheme="majorHAnsi"/>
                      <w:b/>
                      <w:lang w:eastAsia="sk-SK"/>
                    </w:rPr>
                    <w:t>Podpredseda:</w:t>
                  </w:r>
                </w:p>
                <w:p w14:paraId="0A4395AF" w14:textId="77777777" w:rsidR="001F6078" w:rsidRPr="001F6078" w:rsidRDefault="001F6078" w:rsidP="001F6078">
                  <w:pPr>
                    <w:rPr>
                      <w:rFonts w:asciiTheme="majorHAnsi" w:eastAsia="Times New Roman" w:hAnsiTheme="majorHAnsi" w:cstheme="majorHAnsi"/>
                      <w:lang w:eastAsia="sk-SK"/>
                    </w:rPr>
                  </w:pPr>
                  <w:r w:rsidRPr="001F6078">
                    <w:rPr>
                      <w:rFonts w:asciiTheme="majorHAnsi" w:eastAsia="Times New Roman" w:hAnsiTheme="majorHAnsi" w:cstheme="majorHAnsi"/>
                      <w:lang w:eastAsia="sk-SK"/>
                    </w:rPr>
                    <w:t xml:space="preserve">prof. Ing. Ján HÍVEŠ, PhD., chemické technológie </w:t>
                  </w:r>
                </w:p>
                <w:p w14:paraId="5DD1FE50" w14:textId="77777777" w:rsidR="001F6078" w:rsidRPr="001F6078" w:rsidRDefault="001F6078" w:rsidP="001F6078">
                  <w:pPr>
                    <w:rPr>
                      <w:rFonts w:asciiTheme="majorHAnsi" w:hAnsiTheme="majorHAnsi" w:cstheme="majorHAnsi"/>
                    </w:rPr>
                  </w:pPr>
                </w:p>
              </w:tc>
              <w:tc>
                <w:tcPr>
                  <w:tcW w:w="2130" w:type="dxa"/>
                  <w:vAlign w:val="center"/>
                  <w:hideMark/>
                </w:tcPr>
                <w:p w14:paraId="5C16358D" w14:textId="77777777" w:rsidR="001F6078" w:rsidRPr="001F6078" w:rsidRDefault="001F6078" w:rsidP="001F6078">
                  <w:pPr>
                    <w:rPr>
                      <w:rFonts w:asciiTheme="majorHAnsi" w:hAnsiTheme="majorHAnsi" w:cstheme="majorHAnsi"/>
                    </w:rPr>
                  </w:pPr>
                </w:p>
              </w:tc>
            </w:tr>
            <w:tr w:rsidR="001F6078" w:rsidRPr="001F6078" w14:paraId="67257DB2" w14:textId="77777777" w:rsidTr="001F6078">
              <w:trPr>
                <w:trHeight w:val="300"/>
                <w:tblCellSpacing w:w="0" w:type="dxa"/>
              </w:trPr>
              <w:tc>
                <w:tcPr>
                  <w:tcW w:w="7230" w:type="dxa"/>
                  <w:vAlign w:val="center"/>
                  <w:hideMark/>
                </w:tcPr>
                <w:p w14:paraId="425EDF46" w14:textId="77777777" w:rsidR="001F6078" w:rsidRPr="001F6078" w:rsidRDefault="001F6078" w:rsidP="001F6078">
                  <w:pPr>
                    <w:rPr>
                      <w:rFonts w:asciiTheme="majorHAnsi" w:eastAsia="Times New Roman" w:hAnsiTheme="majorHAnsi" w:cstheme="majorHAnsi"/>
                      <w:b/>
                      <w:lang w:eastAsia="sk-SK"/>
                    </w:rPr>
                  </w:pPr>
                  <w:r w:rsidRPr="001F6078">
                    <w:rPr>
                      <w:rFonts w:asciiTheme="majorHAnsi" w:eastAsia="Times New Roman" w:hAnsiTheme="majorHAnsi" w:cstheme="majorHAnsi"/>
                      <w:b/>
                      <w:lang w:eastAsia="sk-SK"/>
                    </w:rPr>
                    <w:t>Tajomníčka:</w:t>
                  </w:r>
                </w:p>
                <w:p w14:paraId="4CA856D2" w14:textId="77777777" w:rsidR="001F6078" w:rsidRPr="001F6078" w:rsidRDefault="001F6078" w:rsidP="001F6078">
                  <w:pPr>
                    <w:rPr>
                      <w:rFonts w:asciiTheme="majorHAnsi" w:eastAsia="Times New Roman" w:hAnsiTheme="majorHAnsi" w:cstheme="majorHAnsi"/>
                      <w:lang w:eastAsia="sk-SK"/>
                    </w:rPr>
                  </w:pPr>
                  <w:r w:rsidRPr="001F6078">
                    <w:rPr>
                      <w:rFonts w:asciiTheme="majorHAnsi" w:eastAsia="Times New Roman" w:hAnsiTheme="majorHAnsi" w:cstheme="majorHAnsi"/>
                      <w:lang w:eastAsia="sk-SK"/>
                    </w:rPr>
                    <w:t xml:space="preserve">Erika HUBEKOVÁ </w:t>
                  </w:r>
                </w:p>
                <w:p w14:paraId="7117A0AF" w14:textId="77777777" w:rsidR="001F6078" w:rsidRPr="001F6078" w:rsidRDefault="001F6078" w:rsidP="001F6078">
                  <w:pPr>
                    <w:rPr>
                      <w:rFonts w:asciiTheme="majorHAnsi" w:hAnsiTheme="majorHAnsi" w:cstheme="majorHAnsi"/>
                    </w:rPr>
                  </w:pPr>
                </w:p>
              </w:tc>
              <w:tc>
                <w:tcPr>
                  <w:tcW w:w="2130" w:type="dxa"/>
                  <w:vAlign w:val="center"/>
                  <w:hideMark/>
                </w:tcPr>
                <w:p w14:paraId="327C5715" w14:textId="77777777" w:rsidR="001F6078" w:rsidRPr="001F6078" w:rsidRDefault="001F6078" w:rsidP="001F6078">
                  <w:pPr>
                    <w:rPr>
                      <w:rFonts w:asciiTheme="majorHAnsi" w:hAnsiTheme="majorHAnsi" w:cstheme="majorHAnsi"/>
                    </w:rPr>
                  </w:pPr>
                </w:p>
              </w:tc>
            </w:tr>
          </w:tbl>
          <w:p w14:paraId="2453F0EE" w14:textId="77777777" w:rsidR="001F6078" w:rsidRPr="001F6078" w:rsidRDefault="001F6078" w:rsidP="001F6078">
            <w:pPr>
              <w:rPr>
                <w:rFonts w:asciiTheme="majorHAnsi" w:hAnsiTheme="majorHAnsi" w:cstheme="majorHAnsi"/>
              </w:rPr>
            </w:pPr>
          </w:p>
        </w:tc>
        <w:tc>
          <w:tcPr>
            <w:tcW w:w="6" w:type="dxa"/>
            <w:vAlign w:val="center"/>
          </w:tcPr>
          <w:p w14:paraId="434E9714" w14:textId="77777777" w:rsidR="001F6078" w:rsidRPr="001F6078" w:rsidRDefault="001F6078" w:rsidP="001F6078">
            <w:pPr>
              <w:rPr>
                <w:rFonts w:asciiTheme="majorHAnsi" w:hAnsiTheme="majorHAnsi" w:cstheme="majorHAnsi"/>
              </w:rPr>
            </w:pPr>
          </w:p>
        </w:tc>
      </w:tr>
      <w:tr w:rsidR="001F6078" w:rsidRPr="001F6078" w14:paraId="3B34A9CC" w14:textId="77777777" w:rsidTr="001F6078">
        <w:trPr>
          <w:trHeight w:val="300"/>
          <w:tblCellSpacing w:w="0" w:type="dxa"/>
        </w:trPr>
        <w:tc>
          <w:tcPr>
            <w:tcW w:w="9786" w:type="dxa"/>
            <w:vAlign w:val="center"/>
            <w:hideMark/>
          </w:tcPr>
          <w:p w14:paraId="50EAA4F9" w14:textId="77777777" w:rsidR="001F6078" w:rsidRPr="001F6078" w:rsidRDefault="001F6078" w:rsidP="001F6078">
            <w:pPr>
              <w:rPr>
                <w:rFonts w:asciiTheme="majorHAnsi" w:eastAsia="Times New Roman" w:hAnsiTheme="majorHAnsi" w:cstheme="majorHAnsi"/>
                <w:b/>
                <w:lang w:eastAsia="sk-SK"/>
              </w:rPr>
            </w:pPr>
            <w:r w:rsidRPr="001F6078">
              <w:rPr>
                <w:rFonts w:asciiTheme="majorHAnsi" w:eastAsia="Times New Roman" w:hAnsiTheme="majorHAnsi" w:cstheme="majorHAnsi"/>
                <w:b/>
                <w:lang w:eastAsia="sk-SK"/>
              </w:rPr>
              <w:t>Členovia z univerzity:</w:t>
            </w:r>
          </w:p>
          <w:p w14:paraId="54C7BA06"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doc. Ing. Mikuláš BITTERA, PhD., elektrotechnika </w:t>
            </w:r>
          </w:p>
          <w:p w14:paraId="0D3862A8" w14:textId="77777777" w:rsidR="001F6078" w:rsidRPr="001F6078" w:rsidRDefault="001F6078" w:rsidP="001F6078">
            <w:pPr>
              <w:rPr>
                <w:rFonts w:asciiTheme="majorHAnsi" w:eastAsia="Times New Roman" w:hAnsiTheme="majorHAnsi" w:cstheme="majorHAnsi"/>
                <w:lang w:eastAsia="sk-SK"/>
              </w:rPr>
            </w:pPr>
            <w:r w:rsidRPr="001F6078">
              <w:rPr>
                <w:rFonts w:asciiTheme="majorHAnsi" w:eastAsia="Times New Roman" w:hAnsiTheme="majorHAnsi" w:cstheme="majorHAnsi"/>
                <w:lang w:eastAsia="sk-SK"/>
              </w:rPr>
              <w:t xml:space="preserve">prof. Ing. Miloš ČAMBÁL, CSc., priemyselné inžinierstvo       </w:t>
            </w:r>
          </w:p>
          <w:p w14:paraId="472D7EC7" w14:textId="77777777" w:rsidR="001F6078" w:rsidRPr="001F6078" w:rsidRDefault="001F6078" w:rsidP="001F6078">
            <w:pPr>
              <w:rPr>
                <w:rFonts w:asciiTheme="majorHAnsi" w:eastAsia="Times New Roman" w:hAnsiTheme="majorHAnsi" w:cstheme="majorHAnsi"/>
                <w:lang w:eastAsia="sk-SK"/>
              </w:rPr>
            </w:pPr>
            <w:r w:rsidRPr="001F6078">
              <w:rPr>
                <w:rFonts w:asciiTheme="majorHAnsi" w:eastAsia="Times New Roman" w:hAnsiTheme="majorHAnsi" w:cstheme="majorHAnsi"/>
                <w:lang w:eastAsia="sk-SK"/>
              </w:rPr>
              <w:t>prof. Ing. Ľubomír ČAPLOVIČ, PhD., materiály</w:t>
            </w:r>
          </w:p>
          <w:p w14:paraId="37657787" w14:textId="77777777" w:rsidR="001F6078" w:rsidRPr="001F6078" w:rsidRDefault="001F6078" w:rsidP="001F6078">
            <w:pPr>
              <w:rPr>
                <w:rFonts w:asciiTheme="majorHAnsi" w:eastAsia="Times New Roman" w:hAnsiTheme="majorHAnsi" w:cstheme="majorHAnsi"/>
                <w:lang w:eastAsia="sk-SK"/>
              </w:rPr>
            </w:pPr>
            <w:r w:rsidRPr="001F6078">
              <w:rPr>
                <w:rFonts w:asciiTheme="majorHAnsi" w:eastAsia="Times New Roman" w:hAnsiTheme="majorHAnsi" w:cstheme="majorHAnsi"/>
                <w:lang w:eastAsia="sk-SK"/>
              </w:rPr>
              <w:t xml:space="preserve">prof. Ing. Pavel ČIČÁK, PhD., aplikovaná informatika </w:t>
            </w:r>
          </w:p>
          <w:p w14:paraId="4AA74AB6" w14:textId="77777777" w:rsidR="001F6078" w:rsidRPr="001F6078" w:rsidRDefault="001F6078" w:rsidP="001F6078">
            <w:pPr>
              <w:rPr>
                <w:rFonts w:asciiTheme="majorHAnsi" w:eastAsia="Times New Roman" w:hAnsiTheme="majorHAnsi" w:cstheme="majorHAnsi"/>
                <w:lang w:eastAsia="sk-SK"/>
              </w:rPr>
            </w:pPr>
            <w:r w:rsidRPr="001F6078">
              <w:rPr>
                <w:rFonts w:asciiTheme="majorHAnsi" w:eastAsia="Times New Roman" w:hAnsiTheme="majorHAnsi" w:cstheme="majorHAnsi"/>
                <w:lang w:eastAsia="sk-SK"/>
              </w:rPr>
              <w:t>prof. Ing. Daniel DONOVAL, DrSc., elektronika</w:t>
            </w:r>
          </w:p>
          <w:p w14:paraId="0EEA0BB3"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prof. Ing. Stanislav ĎURIŠ, PhD., metrológia </w:t>
            </w:r>
          </w:p>
          <w:p w14:paraId="43CF94DD"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prof. Ing. Anton GATIAL, DrSc., fyzikálna chémia </w:t>
            </w:r>
          </w:p>
          <w:p w14:paraId="0D8EBD07" w14:textId="77777777" w:rsidR="001F6078" w:rsidRPr="001F6078" w:rsidRDefault="001F6078" w:rsidP="001F6078">
            <w:pPr>
              <w:rPr>
                <w:rFonts w:asciiTheme="majorHAnsi" w:hAnsiTheme="majorHAnsi" w:cstheme="majorHAnsi"/>
                <w:color w:val="000000" w:themeColor="text1"/>
              </w:rPr>
            </w:pPr>
            <w:r w:rsidRPr="001F6078">
              <w:rPr>
                <w:rFonts w:asciiTheme="majorHAnsi" w:hAnsiTheme="majorHAnsi" w:cstheme="majorHAnsi"/>
                <w:color w:val="000000" w:themeColor="text1"/>
              </w:rPr>
              <w:t>prof. Ing. arch. Pavel GREGOR, PhD., architektúra a urbanizmus</w:t>
            </w:r>
          </w:p>
          <w:p w14:paraId="37F667BF" w14:textId="77777777" w:rsidR="001F6078" w:rsidRPr="001F6078" w:rsidRDefault="001F6078" w:rsidP="001F6078">
            <w:pPr>
              <w:rPr>
                <w:rFonts w:asciiTheme="majorHAnsi" w:hAnsiTheme="majorHAnsi" w:cstheme="majorHAnsi"/>
                <w:color w:val="000000" w:themeColor="text1"/>
              </w:rPr>
            </w:pPr>
            <w:r w:rsidRPr="001F6078">
              <w:rPr>
                <w:rFonts w:asciiTheme="majorHAnsi" w:hAnsiTheme="majorHAnsi" w:cstheme="majorHAnsi"/>
                <w:color w:val="000000" w:themeColor="text1"/>
              </w:rPr>
              <w:t>prof. Ing. Kamila HLAVČOVÁ, PhD., vodné stavby, krajinárstvo</w:t>
            </w:r>
          </w:p>
          <w:p w14:paraId="02F6D8B1" w14:textId="77777777" w:rsidR="001F6078" w:rsidRPr="001F6078" w:rsidRDefault="001F6078" w:rsidP="001F6078">
            <w:pPr>
              <w:rPr>
                <w:rFonts w:asciiTheme="majorHAnsi" w:hAnsiTheme="majorHAnsi" w:cstheme="majorHAnsi"/>
                <w:color w:val="000000" w:themeColor="text1"/>
              </w:rPr>
            </w:pPr>
            <w:r w:rsidRPr="001F6078">
              <w:rPr>
                <w:rFonts w:asciiTheme="majorHAnsi" w:hAnsiTheme="majorHAnsi" w:cstheme="majorHAnsi"/>
                <w:color w:val="000000" w:themeColor="text1"/>
              </w:rPr>
              <w:t>prof. Ing. František JANÍČEK, PhD., elektroenergetika</w:t>
            </w:r>
          </w:p>
          <w:p w14:paraId="52E3AAA8" w14:textId="77777777" w:rsidR="001F6078" w:rsidRPr="001F6078" w:rsidRDefault="001F6078" w:rsidP="001F6078">
            <w:pPr>
              <w:rPr>
                <w:rFonts w:asciiTheme="majorHAnsi" w:hAnsiTheme="majorHAnsi" w:cstheme="majorHAnsi"/>
                <w:color w:val="000000" w:themeColor="text1"/>
              </w:rPr>
            </w:pPr>
            <w:r w:rsidRPr="001F6078">
              <w:rPr>
                <w:rFonts w:asciiTheme="majorHAnsi" w:eastAsia="Times New Roman" w:hAnsiTheme="majorHAnsi" w:cstheme="majorHAnsi"/>
                <w:lang w:eastAsia="sk-SK"/>
              </w:rPr>
              <w:t>prof. Ing. Alojz KOPÁČIK, PhD., geodézia a kartografia</w:t>
            </w:r>
          </w:p>
          <w:p w14:paraId="0316DD42" w14:textId="77777777" w:rsidR="001F6078" w:rsidRPr="001F6078" w:rsidRDefault="001F6078" w:rsidP="001F6078">
            <w:pPr>
              <w:rPr>
                <w:rFonts w:asciiTheme="majorHAnsi" w:eastAsia="Times New Roman" w:hAnsiTheme="majorHAnsi" w:cstheme="majorHAnsi"/>
                <w:lang w:eastAsia="sk-SK"/>
              </w:rPr>
            </w:pPr>
            <w:r w:rsidRPr="001F6078">
              <w:rPr>
                <w:rFonts w:asciiTheme="majorHAnsi" w:eastAsia="Times New Roman" w:hAnsiTheme="majorHAnsi" w:cstheme="majorHAnsi"/>
                <w:lang w:eastAsia="sk-SK"/>
              </w:rPr>
              <w:t xml:space="preserve">prof. Ing. Ivan KOTULIAK, PhD., aplikovaná informatika </w:t>
            </w:r>
          </w:p>
          <w:p w14:paraId="1F32D883"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lastRenderedPageBreak/>
              <w:t xml:space="preserve">prof. Dr. Ing. Miloš ORAVEC, kybernetika </w:t>
            </w:r>
          </w:p>
          <w:p w14:paraId="7CA8E185"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prof. Ing. Marián PECIAR, PhD., procesná technika </w:t>
            </w:r>
          </w:p>
          <w:p w14:paraId="75E0AA8B"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prof. Ing. Milan POLAKOVIČ, PhD., chemické inžinierstvo </w:t>
            </w:r>
          </w:p>
          <w:p w14:paraId="46FB80D2"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doc. Ing. arch. Branislav PUŠKÁR, PhD. architektúra (od 1.11.2022)</w:t>
            </w:r>
          </w:p>
          <w:tbl>
            <w:tblPr>
              <w:tblW w:w="9502" w:type="dxa"/>
              <w:tblCellSpacing w:w="0" w:type="dxa"/>
              <w:tblCellMar>
                <w:left w:w="0" w:type="dxa"/>
                <w:right w:w="0" w:type="dxa"/>
              </w:tblCellMar>
              <w:tblLook w:val="04A0" w:firstRow="1" w:lastRow="0" w:firstColumn="1" w:lastColumn="0" w:noHBand="0" w:noVBand="1"/>
            </w:tblPr>
            <w:tblGrid>
              <w:gridCol w:w="9502"/>
            </w:tblGrid>
            <w:tr w:rsidR="001F6078" w:rsidRPr="001F6078" w14:paraId="0B96F3C8" w14:textId="77777777" w:rsidTr="001F6078">
              <w:trPr>
                <w:trHeight w:val="300"/>
                <w:tblCellSpacing w:w="0" w:type="dxa"/>
              </w:trPr>
              <w:tc>
                <w:tcPr>
                  <w:tcW w:w="7372" w:type="dxa"/>
                  <w:vAlign w:val="center"/>
                  <w:hideMark/>
                </w:tcPr>
                <w:p w14:paraId="3989C88A" w14:textId="77777777" w:rsidR="001F6078" w:rsidRPr="001F6078" w:rsidRDefault="001F6078" w:rsidP="001F6078">
                  <w:pPr>
                    <w:rPr>
                      <w:rFonts w:asciiTheme="majorHAnsi" w:eastAsia="Times New Roman" w:hAnsiTheme="majorHAnsi" w:cstheme="majorHAnsi"/>
                      <w:lang w:eastAsia="sk-SK"/>
                    </w:rPr>
                  </w:pPr>
                  <w:r w:rsidRPr="001F6078">
                    <w:rPr>
                      <w:rFonts w:asciiTheme="majorHAnsi" w:eastAsia="Times New Roman" w:hAnsiTheme="majorHAnsi" w:cstheme="majorHAnsi"/>
                      <w:lang w:eastAsia="sk-SK"/>
                    </w:rPr>
                    <w:t xml:space="preserve">prof. Ing. Štefan STANKO, PhD., vodné stavby </w:t>
                  </w:r>
                </w:p>
                <w:p w14:paraId="75DF1E36" w14:textId="77777777" w:rsidR="001F6078" w:rsidRPr="001F6078" w:rsidRDefault="001F6078" w:rsidP="001F6078">
                  <w:pPr>
                    <w:rPr>
                      <w:rFonts w:asciiTheme="majorHAnsi" w:eastAsia="Times New Roman" w:hAnsiTheme="majorHAnsi" w:cstheme="majorHAnsi"/>
                      <w:lang w:eastAsia="sk-SK"/>
                    </w:rPr>
                  </w:pPr>
                  <w:r w:rsidRPr="001F6078">
                    <w:rPr>
                      <w:rFonts w:asciiTheme="majorHAnsi" w:eastAsia="Times New Roman" w:hAnsiTheme="majorHAnsi" w:cstheme="majorHAnsi"/>
                      <w:lang w:eastAsia="sk-SK"/>
                    </w:rPr>
                    <w:t>doc. Ing. Maximilián STRÉMY, PhD., automatizácia</w:t>
                  </w:r>
                </w:p>
              </w:tc>
            </w:tr>
            <w:tr w:rsidR="001F6078" w:rsidRPr="001F6078" w14:paraId="299B5348" w14:textId="77777777" w:rsidTr="001F6078">
              <w:trPr>
                <w:trHeight w:val="300"/>
                <w:tblCellSpacing w:w="0" w:type="dxa"/>
              </w:trPr>
              <w:tc>
                <w:tcPr>
                  <w:tcW w:w="7372" w:type="dxa"/>
                  <w:vAlign w:val="center"/>
                  <w:hideMark/>
                </w:tcPr>
                <w:p w14:paraId="3913045E" w14:textId="77777777" w:rsidR="001F6078" w:rsidRPr="001F6078" w:rsidRDefault="001F6078" w:rsidP="001F6078">
                  <w:pPr>
                    <w:rPr>
                      <w:rFonts w:asciiTheme="majorHAnsi" w:eastAsia="Times New Roman" w:hAnsiTheme="majorHAnsi" w:cstheme="majorHAnsi"/>
                      <w:lang w:eastAsia="sk-SK"/>
                    </w:rPr>
                  </w:pPr>
                  <w:r w:rsidRPr="001F6078">
                    <w:rPr>
                      <w:rFonts w:asciiTheme="majorHAnsi" w:eastAsia="Times New Roman" w:hAnsiTheme="majorHAnsi" w:cstheme="majorHAnsi"/>
                      <w:lang w:eastAsia="sk-SK"/>
                    </w:rPr>
                    <w:t>prof. Ing. Ján SZOLGAY, PhD., hydrológia a vodné hospodárstvo</w:t>
                  </w:r>
                </w:p>
              </w:tc>
            </w:tr>
          </w:tbl>
          <w:p w14:paraId="46D6AF6C"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Dr. h. c. prof. Ing. Ľubomír ŠOOŠ, PhD., výrobná technika </w:t>
            </w:r>
          </w:p>
          <w:p w14:paraId="351499E7"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prof. Ing. arch. Robert ŠPAČEK, CSc., architektúra a urbanizmus </w:t>
            </w:r>
          </w:p>
          <w:p w14:paraId="7260FA52"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doc. Ing. Daniela ŠPIRKOVÁ, PhD., ekonómia a manažment </w:t>
            </w:r>
          </w:p>
          <w:p w14:paraId="0D701FF7"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prof. Ing. Peter ŠUGÁR, CSc., strojárske technológie a materiály </w:t>
            </w:r>
          </w:p>
          <w:p w14:paraId="21870A18"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prof. Ing. František UHEREK, PhD., elektronika </w:t>
            </w:r>
          </w:p>
          <w:p w14:paraId="549AF982"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prof. Ing. Stanislav UNČÍK, PhD., stavebníctvo </w:t>
            </w:r>
          </w:p>
          <w:p w14:paraId="5862D24E" w14:textId="77777777" w:rsidR="001F6078" w:rsidRPr="001F6078" w:rsidRDefault="001F6078" w:rsidP="001F6078">
            <w:pPr>
              <w:rPr>
                <w:rFonts w:asciiTheme="majorHAnsi" w:hAnsiTheme="majorHAnsi" w:cstheme="majorHAnsi"/>
                <w:color w:val="000000" w:themeColor="text1"/>
              </w:rPr>
            </w:pPr>
            <w:r w:rsidRPr="001F6078">
              <w:rPr>
                <w:rFonts w:asciiTheme="majorHAnsi" w:hAnsiTheme="majorHAnsi" w:cstheme="majorHAnsi"/>
                <w:color w:val="000000" w:themeColor="text1"/>
              </w:rPr>
              <w:t xml:space="preserve">prof. Ing. arch. Ľubica VITKOVÁ, PhD., architektúra a urbanizmus </w:t>
            </w:r>
          </w:p>
          <w:p w14:paraId="622AF19F" w14:textId="77777777" w:rsidR="001F6078" w:rsidRPr="001F6078" w:rsidRDefault="001F6078" w:rsidP="001F6078">
            <w:pPr>
              <w:rPr>
                <w:rFonts w:asciiTheme="majorHAnsi" w:eastAsia="Times New Roman" w:hAnsiTheme="majorHAnsi" w:cstheme="majorHAnsi"/>
                <w:color w:val="000000" w:themeColor="text1"/>
                <w:lang w:eastAsia="sk-SK"/>
              </w:rPr>
            </w:pPr>
            <w:r w:rsidRPr="001F6078">
              <w:rPr>
                <w:rFonts w:asciiTheme="majorHAnsi" w:eastAsia="Times New Roman" w:hAnsiTheme="majorHAnsi" w:cstheme="majorHAnsi"/>
                <w:color w:val="000000" w:themeColor="text1"/>
                <w:lang w:eastAsia="sk-SK"/>
              </w:rPr>
              <w:t>hosť. prof. Ing. arch. Ľubomír ZÁVODNÝ, architektúra a urbanizmus</w:t>
            </w:r>
          </w:p>
          <w:p w14:paraId="24844132" w14:textId="77777777" w:rsidR="001F6078" w:rsidRPr="001F6078" w:rsidRDefault="001F6078" w:rsidP="001F6078">
            <w:pPr>
              <w:rPr>
                <w:rFonts w:asciiTheme="majorHAnsi" w:eastAsia="Times New Roman" w:hAnsiTheme="majorHAnsi" w:cstheme="majorHAnsi"/>
                <w:color w:val="000000" w:themeColor="text1"/>
                <w:lang w:eastAsia="sk-SK"/>
              </w:rPr>
            </w:pPr>
          </w:p>
          <w:p w14:paraId="00C5EC3E" w14:textId="77777777" w:rsidR="001F6078" w:rsidRPr="001F6078" w:rsidRDefault="001F6078" w:rsidP="001F6078">
            <w:pPr>
              <w:rPr>
                <w:rFonts w:asciiTheme="majorHAnsi" w:eastAsia="Times New Roman" w:hAnsiTheme="majorHAnsi" w:cstheme="majorHAnsi"/>
                <w:b/>
                <w:lang w:eastAsia="sk-SK"/>
              </w:rPr>
            </w:pPr>
            <w:r w:rsidRPr="001F6078">
              <w:rPr>
                <w:rFonts w:asciiTheme="majorHAnsi" w:eastAsia="Times New Roman" w:hAnsiTheme="majorHAnsi" w:cstheme="majorHAnsi"/>
                <w:b/>
                <w:lang w:eastAsia="sk-SK"/>
              </w:rPr>
              <w:t>Externí členovia:</w:t>
            </w:r>
          </w:p>
          <w:p w14:paraId="4404A82B" w14:textId="77777777" w:rsidR="001F6078" w:rsidRPr="001F6078" w:rsidRDefault="001F6078" w:rsidP="001F6078">
            <w:pPr>
              <w:rPr>
                <w:rFonts w:asciiTheme="majorHAnsi" w:eastAsia="Times New Roman" w:hAnsiTheme="majorHAnsi" w:cstheme="majorHAnsi"/>
                <w:b/>
                <w:lang w:eastAsia="sk-SK"/>
              </w:rPr>
            </w:pPr>
            <w:r w:rsidRPr="001F6078">
              <w:rPr>
                <w:rFonts w:asciiTheme="majorHAnsi" w:hAnsiTheme="majorHAnsi" w:cstheme="majorHAnsi"/>
              </w:rPr>
              <w:t>prof. Ing. Ján ČELKO, PhD. stavebníctvo (od 3.7.2022)</w:t>
            </w:r>
          </w:p>
          <w:p w14:paraId="01B44275"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prof. Ing. Jozef JANDAČKA, PhD., energetické stroje a zariadenia </w:t>
            </w:r>
          </w:p>
          <w:p w14:paraId="7B66305B"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doc. Ing. Ladislav JANÍČEK, PhD., MBA, ekonomika a management letecké dopravy (od 1.6.2022)</w:t>
            </w:r>
          </w:p>
          <w:p w14:paraId="1A5A198F" w14:textId="77777777" w:rsidR="001F6078" w:rsidRPr="001F6078" w:rsidRDefault="001F6078" w:rsidP="001F6078">
            <w:pPr>
              <w:rPr>
                <w:rFonts w:asciiTheme="majorHAnsi" w:hAnsiTheme="majorHAnsi" w:cstheme="majorHAnsi"/>
              </w:rPr>
            </w:pPr>
          </w:p>
          <w:p w14:paraId="0D934F28" w14:textId="77777777" w:rsidR="001F6078" w:rsidRPr="001F6078" w:rsidRDefault="001F6078" w:rsidP="001F6078">
            <w:pPr>
              <w:rPr>
                <w:rFonts w:asciiTheme="majorHAnsi" w:hAnsiTheme="majorHAnsi" w:cstheme="majorHAnsi"/>
              </w:rPr>
            </w:pPr>
          </w:p>
          <w:p w14:paraId="67505A97"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prof. Ing. Stanislav KMEŤ, CSc., inžinierske konštrukcie a dopravné stavby </w:t>
            </w:r>
          </w:p>
          <w:p w14:paraId="10B04161"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Ing. Juraj LAPIN, DrSc., materiály </w:t>
            </w:r>
          </w:p>
          <w:p w14:paraId="54C8D6A4"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Ing. Pavel LUKA, informatika </w:t>
            </w:r>
          </w:p>
          <w:p w14:paraId="37DF3875"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Ing. Peter MATIAŠOVSKÝ, CSc., stavebníctvo </w:t>
            </w:r>
          </w:p>
          <w:p w14:paraId="0985A30B"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Ing. Alexander MATUŠEK, výrobná tchnika </w:t>
            </w:r>
          </w:p>
          <w:p w14:paraId="66CC9BDC"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Ing. Mária OMASTOVÁ, DrSc., fyzikálna chémia </w:t>
            </w:r>
          </w:p>
          <w:p w14:paraId="52842FF8"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prof. RNDr. Pavol ŠAJGALÍK, DrSc., chemické technológie </w:t>
            </w:r>
          </w:p>
          <w:p w14:paraId="34313042"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prof. RNDr. Daniel ŠEVČOVIČ, DrSc., aplikovaná matematika </w:t>
            </w:r>
          </w:p>
          <w:p w14:paraId="5E1534C8"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Dr. h. c. prof. RNDr. Ing. Petr ŠTĚPÁNEK, CSc., stavebníctvo</w:t>
            </w:r>
          </w:p>
          <w:p w14:paraId="6E96D091"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prof. JUDr. Marek ŠTEVČEK, PhD., občianske právo</w:t>
            </w:r>
          </w:p>
          <w:p w14:paraId="2ACC4ACE" w14:textId="77777777" w:rsidR="001F6078" w:rsidRPr="001F6078" w:rsidRDefault="001F6078" w:rsidP="001F6078">
            <w:pPr>
              <w:rPr>
                <w:rFonts w:asciiTheme="majorHAnsi" w:hAnsiTheme="majorHAnsi" w:cstheme="majorHAnsi"/>
              </w:rPr>
            </w:pPr>
          </w:p>
          <w:p w14:paraId="74F39367" w14:textId="77777777" w:rsidR="00E054C5" w:rsidRPr="009A72D0" w:rsidRDefault="00E054C5" w:rsidP="00E054C5">
            <w:pPr>
              <w:rPr>
                <w:rFonts w:cstheme="minorHAnsi"/>
                <w:b/>
                <w:u w:val="single"/>
              </w:rPr>
            </w:pPr>
            <w:r w:rsidRPr="009A72D0">
              <w:rPr>
                <w:rFonts w:cstheme="minorHAnsi"/>
                <w:b/>
                <w:u w:val="single"/>
              </w:rPr>
              <w:t>Disciplinárna komisia vysokej školy pre študentov:</w:t>
            </w:r>
          </w:p>
          <w:p w14:paraId="3F6AD413" w14:textId="77777777" w:rsidR="00E054C5" w:rsidRPr="0001716E" w:rsidRDefault="00E054C5" w:rsidP="00E054C5">
            <w:pPr>
              <w:rPr>
                <w:rFonts w:cstheme="minorHAnsi"/>
                <w:b/>
              </w:rPr>
            </w:pPr>
          </w:p>
          <w:p w14:paraId="0056A7E9" w14:textId="77777777" w:rsidR="00E054C5" w:rsidRPr="0001716E" w:rsidRDefault="00E054C5" w:rsidP="00E054C5">
            <w:pPr>
              <w:rPr>
                <w:rFonts w:cstheme="minorHAnsi"/>
                <w:b/>
              </w:rPr>
            </w:pPr>
            <w:r w:rsidRPr="0001716E">
              <w:rPr>
                <w:rFonts w:cstheme="minorHAnsi"/>
                <w:b/>
              </w:rPr>
              <w:t xml:space="preserve">Predseda: </w:t>
            </w:r>
          </w:p>
          <w:p w14:paraId="1774424E" w14:textId="77777777" w:rsidR="00E054C5" w:rsidRPr="0001716E" w:rsidRDefault="00E054C5" w:rsidP="00E054C5">
            <w:pPr>
              <w:rPr>
                <w:rFonts w:cstheme="minorHAnsi"/>
              </w:rPr>
            </w:pPr>
            <w:r>
              <w:rPr>
                <w:rFonts w:cstheme="minorHAnsi"/>
              </w:rPr>
              <w:t>Doc. Ing. Mikuláš BITTERA, PhD.,</w:t>
            </w:r>
            <w:r w:rsidRPr="0001716E">
              <w:rPr>
                <w:rFonts w:cstheme="minorHAnsi"/>
              </w:rPr>
              <w:t xml:space="preserve"> </w:t>
            </w:r>
            <w:r w:rsidRPr="006B7D14">
              <w:t>prorektor pre vzdelávanie a starostlivosť o študentov</w:t>
            </w:r>
          </w:p>
          <w:p w14:paraId="622067B4" w14:textId="77777777" w:rsidR="00E054C5" w:rsidRPr="0001716E" w:rsidRDefault="00E054C5" w:rsidP="00E054C5">
            <w:pPr>
              <w:rPr>
                <w:rFonts w:cstheme="minorHAnsi"/>
              </w:rPr>
            </w:pPr>
          </w:p>
          <w:p w14:paraId="10374389" w14:textId="77777777" w:rsidR="00E054C5" w:rsidRPr="0001716E" w:rsidRDefault="00E054C5" w:rsidP="00E054C5">
            <w:pPr>
              <w:rPr>
                <w:rFonts w:cstheme="minorHAnsi"/>
                <w:b/>
              </w:rPr>
            </w:pPr>
            <w:r w:rsidRPr="0001716E">
              <w:rPr>
                <w:rFonts w:cstheme="minorHAnsi"/>
                <w:b/>
              </w:rPr>
              <w:t xml:space="preserve">Členovia: </w:t>
            </w:r>
          </w:p>
          <w:p w14:paraId="33268DFA" w14:textId="77777777" w:rsidR="00E054C5" w:rsidRPr="0001716E" w:rsidRDefault="00E054C5" w:rsidP="00E054C5">
            <w:pPr>
              <w:rPr>
                <w:rFonts w:cstheme="minorHAnsi"/>
              </w:rPr>
            </w:pPr>
            <w:r w:rsidRPr="0001716E">
              <w:rPr>
                <w:rFonts w:cstheme="minorHAnsi"/>
              </w:rPr>
              <w:t xml:space="preserve">prof. Ing. arch. Maroš FINKA, PhD., Ústav manažmentu STU </w:t>
            </w:r>
          </w:p>
          <w:p w14:paraId="692173EE" w14:textId="77777777" w:rsidR="00E054C5" w:rsidRPr="0001716E" w:rsidRDefault="00E054C5" w:rsidP="00E054C5">
            <w:pPr>
              <w:rPr>
                <w:rFonts w:cstheme="minorHAnsi"/>
              </w:rPr>
            </w:pPr>
            <w:r w:rsidRPr="0001716E">
              <w:rPr>
                <w:rFonts w:cstheme="minorHAnsi"/>
              </w:rPr>
              <w:t xml:space="preserve">doc. Ing. Daniela ŠPIRKOVÁ, PhD., Ústav manažmentu STU </w:t>
            </w:r>
          </w:p>
          <w:p w14:paraId="43694F92" w14:textId="77777777" w:rsidR="00E054C5" w:rsidRPr="0001716E" w:rsidRDefault="00E054C5" w:rsidP="00E054C5">
            <w:pPr>
              <w:rPr>
                <w:rFonts w:cstheme="minorHAnsi"/>
                <w:shd w:val="clear" w:color="auto" w:fill="FFFFFF"/>
              </w:rPr>
            </w:pPr>
            <w:r w:rsidRPr="006B7D14">
              <w:rPr>
                <w:rStyle w:val="Vrazn"/>
                <w:rFonts w:cstheme="minorHAnsi"/>
                <w:b w:val="0"/>
                <w:shd w:val="clear" w:color="auto" w:fill="FFFFFF"/>
              </w:rPr>
              <w:t>doc. Ing. Monika ZATROCHOVÁ, PhD.</w:t>
            </w:r>
            <w:r w:rsidRPr="006B7D14">
              <w:rPr>
                <w:rFonts w:cstheme="minorHAnsi"/>
                <w:b/>
                <w:shd w:val="clear" w:color="auto" w:fill="FFFFFF"/>
              </w:rPr>
              <w:t>,</w:t>
            </w:r>
            <w:r w:rsidRPr="0001716E">
              <w:rPr>
                <w:rFonts w:cstheme="minorHAnsi"/>
                <w:shd w:val="clear" w:color="auto" w:fill="FFFFFF"/>
              </w:rPr>
              <w:t xml:space="preserve"> Ústav manažmentu STU </w:t>
            </w:r>
          </w:p>
          <w:p w14:paraId="3A1E7346" w14:textId="77777777" w:rsidR="00E054C5" w:rsidRPr="0001716E" w:rsidRDefault="00E054C5" w:rsidP="00E054C5">
            <w:pPr>
              <w:rPr>
                <w:rFonts w:cstheme="minorHAnsi"/>
              </w:rPr>
            </w:pPr>
            <w:r>
              <w:rPr>
                <w:rFonts w:cstheme="minorHAnsi"/>
              </w:rPr>
              <w:t>Ing</w:t>
            </w:r>
            <w:r w:rsidRPr="0001716E">
              <w:rPr>
                <w:rFonts w:cstheme="minorHAnsi"/>
              </w:rPr>
              <w:t xml:space="preserve">. Barbora BRESTOVSKÁ, študentka, Ústav manažmentu STU </w:t>
            </w:r>
          </w:p>
          <w:p w14:paraId="3D391919" w14:textId="77777777" w:rsidR="00E054C5" w:rsidRPr="006B7D14" w:rsidRDefault="00E054C5" w:rsidP="00E054C5">
            <w:r>
              <w:t xml:space="preserve">Kristína HLOŽKOVÁ, študentka, </w:t>
            </w:r>
            <w:r w:rsidRPr="006B7D14">
              <w:t>Ústav manažmentu STU</w:t>
            </w:r>
          </w:p>
          <w:p w14:paraId="5284B7A9" w14:textId="77777777" w:rsidR="00E054C5" w:rsidRDefault="00E054C5" w:rsidP="00E054C5">
            <w:r>
              <w:t>Vilém HONYSZ, študent,</w:t>
            </w:r>
            <w:r w:rsidRPr="006B7D14">
              <w:t> Ústav manažmentu STU</w:t>
            </w:r>
          </w:p>
          <w:p w14:paraId="4886B798" w14:textId="77777777" w:rsidR="00E054C5" w:rsidRPr="006B7D14" w:rsidRDefault="00E054C5" w:rsidP="00E054C5">
            <w:r>
              <w:t>Bc. Marek KORČUŠKA</w:t>
            </w:r>
            <w:r w:rsidRPr="006B7D14">
              <w:t>, </w:t>
            </w:r>
            <w:r>
              <w:t xml:space="preserve">študent, </w:t>
            </w:r>
            <w:r w:rsidRPr="006B7D14">
              <w:t>Ústav manažmentu STU</w:t>
            </w:r>
          </w:p>
          <w:p w14:paraId="733E1CF4" w14:textId="77777777" w:rsidR="00E054C5" w:rsidRPr="0001716E" w:rsidRDefault="00E054C5" w:rsidP="00E054C5">
            <w:pPr>
              <w:rPr>
                <w:rFonts w:cstheme="minorHAnsi"/>
              </w:rPr>
            </w:pPr>
          </w:p>
          <w:p w14:paraId="30E9BB92" w14:textId="77777777" w:rsidR="00E054C5" w:rsidRPr="0001716E" w:rsidRDefault="00E054C5" w:rsidP="00E054C5">
            <w:pPr>
              <w:rPr>
                <w:rFonts w:cstheme="minorHAnsi"/>
                <w:b/>
              </w:rPr>
            </w:pPr>
            <w:r w:rsidRPr="0001716E">
              <w:rPr>
                <w:rFonts w:cstheme="minorHAnsi"/>
                <w:b/>
              </w:rPr>
              <w:lastRenderedPageBreak/>
              <w:t xml:space="preserve">Tajomníčka: </w:t>
            </w:r>
          </w:p>
          <w:p w14:paraId="11CD9E7E" w14:textId="77777777" w:rsidR="00E054C5" w:rsidRPr="0001716E" w:rsidRDefault="00E054C5" w:rsidP="00E054C5">
            <w:pPr>
              <w:rPr>
                <w:rFonts w:cstheme="minorHAnsi"/>
                <w:b/>
              </w:rPr>
            </w:pPr>
            <w:r w:rsidRPr="0001716E">
              <w:rPr>
                <w:rFonts w:cstheme="minorHAnsi"/>
              </w:rPr>
              <w:t>Mgr. Marianna MICHELKOVÁ</w:t>
            </w:r>
          </w:p>
          <w:p w14:paraId="2E20D91B" w14:textId="77777777" w:rsidR="001F6078" w:rsidRPr="001F6078" w:rsidRDefault="001F6078" w:rsidP="001F6078">
            <w:pPr>
              <w:rPr>
                <w:rFonts w:asciiTheme="majorHAnsi" w:hAnsiTheme="majorHAnsi" w:cstheme="majorHAnsi"/>
                <w:b/>
                <w:color w:val="FF0000"/>
                <w:u w:val="single"/>
              </w:rPr>
            </w:pPr>
          </w:p>
          <w:p w14:paraId="3D35AD76" w14:textId="77777777" w:rsidR="001F6078" w:rsidRPr="001F6078" w:rsidRDefault="001F6078" w:rsidP="001F6078">
            <w:pPr>
              <w:rPr>
                <w:rFonts w:asciiTheme="majorHAnsi" w:hAnsiTheme="majorHAnsi" w:cstheme="majorHAnsi"/>
                <w:b/>
                <w:u w:val="single"/>
              </w:rPr>
            </w:pPr>
          </w:p>
          <w:p w14:paraId="4F4C5ABD" w14:textId="77777777" w:rsidR="001F6078" w:rsidRPr="001F6078" w:rsidRDefault="001F6078" w:rsidP="001F6078">
            <w:pPr>
              <w:rPr>
                <w:rFonts w:asciiTheme="majorHAnsi" w:hAnsiTheme="majorHAnsi" w:cstheme="majorHAnsi"/>
                <w:b/>
              </w:rPr>
            </w:pPr>
            <w:r w:rsidRPr="001F6078">
              <w:rPr>
                <w:rFonts w:asciiTheme="majorHAnsi" w:hAnsiTheme="majorHAnsi" w:cstheme="majorHAnsi"/>
                <w:b/>
                <w:u w:val="single"/>
              </w:rPr>
              <w:t>Súčasti vysokej školy (fakulty):</w:t>
            </w:r>
          </w:p>
          <w:p w14:paraId="3F41DA74" w14:textId="77777777" w:rsidR="001F6078" w:rsidRPr="001F6078" w:rsidRDefault="001F6078" w:rsidP="001F6078">
            <w:pPr>
              <w:rPr>
                <w:rFonts w:asciiTheme="majorHAnsi" w:hAnsiTheme="majorHAnsi" w:cstheme="majorHAnsi"/>
                <w:b/>
              </w:rPr>
            </w:pPr>
          </w:p>
          <w:p w14:paraId="5C666D27" w14:textId="77777777" w:rsidR="001F6078" w:rsidRPr="001F6078" w:rsidRDefault="001F6078" w:rsidP="001F6078">
            <w:pPr>
              <w:rPr>
                <w:rFonts w:asciiTheme="majorHAnsi" w:hAnsiTheme="majorHAnsi" w:cstheme="majorHAnsi"/>
                <w:b/>
              </w:rPr>
            </w:pPr>
            <w:r w:rsidRPr="001F6078">
              <w:rPr>
                <w:rFonts w:asciiTheme="majorHAnsi" w:hAnsiTheme="majorHAnsi" w:cstheme="majorHAnsi"/>
                <w:b/>
              </w:rPr>
              <w:t xml:space="preserve">Stavebná fakulta (SvF) </w:t>
            </w:r>
          </w:p>
          <w:p w14:paraId="60766947" w14:textId="77777777" w:rsidR="001F6078" w:rsidRPr="001F6078" w:rsidRDefault="001F6078" w:rsidP="001F6078">
            <w:pPr>
              <w:rPr>
                <w:rFonts w:asciiTheme="majorHAnsi" w:hAnsiTheme="majorHAnsi" w:cstheme="majorHAnsi"/>
                <w:color w:val="FF0000"/>
              </w:rPr>
            </w:pPr>
            <w:r w:rsidRPr="001F6078">
              <w:rPr>
                <w:rFonts w:asciiTheme="majorHAnsi" w:hAnsiTheme="majorHAnsi" w:cstheme="majorHAnsi"/>
              </w:rPr>
              <w:t xml:space="preserve">Dekan: prof. Ing. Stanislav UNČÍK, PhD. (od 1. 2. 2015), </w:t>
            </w:r>
            <w:r w:rsidRPr="001F6078">
              <w:rPr>
                <w:rFonts w:asciiTheme="majorHAnsi" w:hAnsiTheme="majorHAnsi" w:cstheme="majorHAnsi"/>
                <w:color w:val="333333"/>
                <w:shd w:val="clear" w:color="auto" w:fill="FFFFFF"/>
              </w:rPr>
              <w:t>funkčné obdobie 2019 - 2023</w:t>
            </w:r>
          </w:p>
          <w:p w14:paraId="39B1A927" w14:textId="77777777" w:rsidR="001F6078" w:rsidRPr="001F6078" w:rsidRDefault="001F6078" w:rsidP="001F6078">
            <w:pPr>
              <w:rPr>
                <w:rFonts w:asciiTheme="majorHAnsi" w:hAnsiTheme="majorHAnsi" w:cstheme="majorHAnsi"/>
              </w:rPr>
            </w:pPr>
          </w:p>
          <w:p w14:paraId="6FB30745" w14:textId="77777777" w:rsidR="001F6078" w:rsidRPr="001F6078" w:rsidRDefault="001F6078" w:rsidP="001F6078">
            <w:pPr>
              <w:rPr>
                <w:rFonts w:asciiTheme="majorHAnsi" w:hAnsiTheme="majorHAnsi" w:cstheme="majorHAnsi"/>
                <w:b/>
              </w:rPr>
            </w:pPr>
            <w:r w:rsidRPr="001F6078">
              <w:rPr>
                <w:rFonts w:asciiTheme="majorHAnsi" w:hAnsiTheme="majorHAnsi" w:cstheme="majorHAnsi"/>
                <w:b/>
              </w:rPr>
              <w:t xml:space="preserve">Strojnícka fakulta (SjF) </w:t>
            </w:r>
          </w:p>
          <w:p w14:paraId="422AD48F" w14:textId="77777777" w:rsidR="001F6078" w:rsidRPr="001F6078" w:rsidRDefault="001F6078" w:rsidP="001F6078">
            <w:pPr>
              <w:rPr>
                <w:rFonts w:asciiTheme="majorHAnsi" w:hAnsiTheme="majorHAnsi" w:cstheme="majorHAnsi"/>
                <w:color w:val="000000" w:themeColor="text1"/>
              </w:rPr>
            </w:pPr>
            <w:r w:rsidRPr="001F6078">
              <w:rPr>
                <w:rFonts w:asciiTheme="majorHAnsi" w:hAnsiTheme="majorHAnsi" w:cstheme="majorHAnsi"/>
                <w:color w:val="000000" w:themeColor="text1"/>
              </w:rPr>
              <w:t>Dekan: Dr. h. c. prof. Ing. Ľubomír ŠOOŠ, PhD. (od 25. 4. 2017), funkčné obdobie 2021 - 2025</w:t>
            </w:r>
          </w:p>
          <w:p w14:paraId="00293A69"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 </w:t>
            </w:r>
          </w:p>
          <w:p w14:paraId="48B2740F" w14:textId="77777777" w:rsidR="001F6078" w:rsidRPr="001F6078" w:rsidRDefault="001F6078" w:rsidP="001F6078">
            <w:pPr>
              <w:rPr>
                <w:rFonts w:asciiTheme="majorHAnsi" w:hAnsiTheme="majorHAnsi" w:cstheme="majorHAnsi"/>
                <w:b/>
              </w:rPr>
            </w:pPr>
            <w:r w:rsidRPr="001F6078">
              <w:rPr>
                <w:rFonts w:asciiTheme="majorHAnsi" w:hAnsiTheme="majorHAnsi" w:cstheme="majorHAnsi"/>
                <w:b/>
              </w:rPr>
              <w:t xml:space="preserve">Fakulta elektrotechniky a informatiky (FEI) </w:t>
            </w:r>
          </w:p>
          <w:p w14:paraId="011B39D9"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Dekan: prof. Dr. Ing. Miloš ORAVEC (od 1. 2. 2015), </w:t>
            </w:r>
            <w:r w:rsidRPr="001F6078">
              <w:rPr>
                <w:rFonts w:asciiTheme="majorHAnsi" w:hAnsiTheme="majorHAnsi" w:cstheme="majorHAnsi"/>
                <w:color w:val="333333"/>
                <w:shd w:val="clear" w:color="auto" w:fill="FFFFFF"/>
              </w:rPr>
              <w:t>funkčné obdobie 2019 - 2023</w:t>
            </w:r>
            <w:r w:rsidRPr="001F6078">
              <w:rPr>
                <w:rFonts w:asciiTheme="majorHAnsi" w:hAnsiTheme="majorHAnsi" w:cstheme="majorHAnsi"/>
              </w:rPr>
              <w:t xml:space="preserve"> </w:t>
            </w:r>
          </w:p>
          <w:p w14:paraId="0C86E5E5" w14:textId="77777777" w:rsidR="001F6078" w:rsidRPr="001F6078" w:rsidRDefault="001F6078" w:rsidP="001F6078">
            <w:pPr>
              <w:rPr>
                <w:rFonts w:asciiTheme="majorHAnsi" w:hAnsiTheme="majorHAnsi" w:cstheme="majorHAnsi"/>
              </w:rPr>
            </w:pPr>
          </w:p>
          <w:p w14:paraId="2E2E2E2D" w14:textId="77777777" w:rsidR="001F6078" w:rsidRPr="001F6078" w:rsidRDefault="001F6078" w:rsidP="001F6078">
            <w:pPr>
              <w:rPr>
                <w:rFonts w:asciiTheme="majorHAnsi" w:hAnsiTheme="majorHAnsi" w:cstheme="majorHAnsi"/>
                <w:b/>
              </w:rPr>
            </w:pPr>
            <w:r w:rsidRPr="001F6078">
              <w:rPr>
                <w:rFonts w:asciiTheme="majorHAnsi" w:hAnsiTheme="majorHAnsi" w:cstheme="majorHAnsi"/>
                <w:b/>
              </w:rPr>
              <w:t xml:space="preserve">Fakulta chemickej a potravinárskej technológie (FCHPT) </w:t>
            </w:r>
          </w:p>
          <w:p w14:paraId="3CAE4B3A"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Dekan: prof. Ing. Anton GATIAL, DrSc. (od 1. 2. 2019), </w:t>
            </w:r>
            <w:r w:rsidRPr="001F6078">
              <w:rPr>
                <w:rFonts w:asciiTheme="majorHAnsi" w:hAnsiTheme="majorHAnsi" w:cstheme="majorHAnsi"/>
                <w:color w:val="333333"/>
                <w:shd w:val="clear" w:color="auto" w:fill="FFFFFF"/>
              </w:rPr>
              <w:t>funkčné obdobie od 2019 - 2023</w:t>
            </w:r>
            <w:r w:rsidRPr="001F6078">
              <w:rPr>
                <w:rFonts w:asciiTheme="majorHAnsi" w:hAnsiTheme="majorHAnsi" w:cstheme="majorHAnsi"/>
              </w:rPr>
              <w:t xml:space="preserve">  </w:t>
            </w:r>
          </w:p>
          <w:p w14:paraId="0588CE39" w14:textId="77777777" w:rsidR="001F6078" w:rsidRPr="001F6078" w:rsidRDefault="001F6078" w:rsidP="001F6078">
            <w:pPr>
              <w:rPr>
                <w:rFonts w:asciiTheme="majorHAnsi" w:hAnsiTheme="majorHAnsi" w:cstheme="majorHAnsi"/>
              </w:rPr>
            </w:pPr>
          </w:p>
          <w:p w14:paraId="6C5C09EA" w14:textId="77777777" w:rsidR="001F6078" w:rsidRPr="001F6078" w:rsidRDefault="001F6078" w:rsidP="001F6078">
            <w:pPr>
              <w:rPr>
                <w:rFonts w:asciiTheme="majorHAnsi" w:hAnsiTheme="majorHAnsi" w:cstheme="majorHAnsi"/>
                <w:b/>
              </w:rPr>
            </w:pPr>
            <w:r w:rsidRPr="001F6078">
              <w:rPr>
                <w:rFonts w:asciiTheme="majorHAnsi" w:hAnsiTheme="majorHAnsi" w:cstheme="majorHAnsi"/>
                <w:b/>
              </w:rPr>
              <w:t xml:space="preserve">Fakulta architektúry (FA) </w:t>
            </w:r>
          </w:p>
          <w:p w14:paraId="21F55277"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Dekan: prof. Ing. arch. Pavel GREGOR, PhD. (od 17. 9. 2018), funkčné obdobie 2018 – 2022, </w:t>
            </w:r>
          </w:p>
          <w:p w14:paraId="5B696DD4"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doc. Ing. arch. Branislav PUŠKÁR, PhD. (od 1.11.2022), funkčné obdobie 2022 - 2026</w:t>
            </w:r>
          </w:p>
          <w:p w14:paraId="76A74C9B" w14:textId="77777777" w:rsidR="001F6078" w:rsidRPr="001F6078" w:rsidRDefault="001F6078" w:rsidP="001F6078">
            <w:pPr>
              <w:rPr>
                <w:rFonts w:asciiTheme="majorHAnsi" w:hAnsiTheme="majorHAnsi" w:cstheme="majorHAnsi"/>
              </w:rPr>
            </w:pPr>
          </w:p>
          <w:p w14:paraId="0B32DA69" w14:textId="77777777" w:rsidR="001F6078" w:rsidRPr="001F6078" w:rsidRDefault="001F6078" w:rsidP="001F6078">
            <w:pPr>
              <w:rPr>
                <w:rFonts w:asciiTheme="majorHAnsi" w:hAnsiTheme="majorHAnsi" w:cstheme="majorHAnsi"/>
                <w:b/>
              </w:rPr>
            </w:pPr>
            <w:r w:rsidRPr="001F6078">
              <w:rPr>
                <w:rFonts w:asciiTheme="majorHAnsi" w:hAnsiTheme="majorHAnsi" w:cstheme="majorHAnsi"/>
                <w:b/>
              </w:rPr>
              <w:t xml:space="preserve">Materiálovotechnologická fakulta (MTF) </w:t>
            </w:r>
          </w:p>
          <w:p w14:paraId="38F1AA9D"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Dekan: prof. Ing. Miloš ČAMBÁL, CSc. (od 1. 10. 2018), funkčné obdobie 2018 – 2022/2022 - 2026 </w:t>
            </w:r>
          </w:p>
          <w:p w14:paraId="2A2B12EB" w14:textId="77777777" w:rsidR="001F6078" w:rsidRPr="001F6078" w:rsidRDefault="001F6078" w:rsidP="001F6078">
            <w:pPr>
              <w:rPr>
                <w:rFonts w:asciiTheme="majorHAnsi" w:hAnsiTheme="majorHAnsi" w:cstheme="majorHAnsi"/>
              </w:rPr>
            </w:pPr>
          </w:p>
          <w:p w14:paraId="51817898" w14:textId="77777777" w:rsidR="001F6078" w:rsidRPr="001F6078" w:rsidRDefault="001F6078" w:rsidP="001F6078">
            <w:pPr>
              <w:rPr>
                <w:rFonts w:asciiTheme="majorHAnsi" w:hAnsiTheme="majorHAnsi" w:cstheme="majorHAnsi"/>
                <w:b/>
              </w:rPr>
            </w:pPr>
            <w:r w:rsidRPr="001F6078">
              <w:rPr>
                <w:rFonts w:asciiTheme="majorHAnsi" w:hAnsiTheme="majorHAnsi" w:cstheme="majorHAnsi"/>
                <w:b/>
              </w:rPr>
              <w:t xml:space="preserve">Fakulta informatiky a informačných technológií (FIIT) </w:t>
            </w:r>
          </w:p>
          <w:p w14:paraId="6EFC3409" w14:textId="77777777" w:rsidR="001F6078" w:rsidRPr="001F6078" w:rsidRDefault="001F6078" w:rsidP="001F6078">
            <w:pPr>
              <w:rPr>
                <w:rFonts w:asciiTheme="majorHAnsi" w:hAnsiTheme="majorHAnsi" w:cstheme="majorHAnsi"/>
                <w:b/>
              </w:rPr>
            </w:pPr>
            <w:r w:rsidRPr="001F6078">
              <w:rPr>
                <w:rFonts w:asciiTheme="majorHAnsi" w:hAnsiTheme="majorHAnsi" w:cstheme="majorHAnsi"/>
              </w:rPr>
              <w:t>Dekan: prof. Ing. Ivan KOTULIAK, PhD. (od 3. 12. 2019), funkčné obdobie 2019 - 2023</w:t>
            </w:r>
          </w:p>
          <w:p w14:paraId="5C652EC9" w14:textId="77777777" w:rsidR="001F6078" w:rsidRPr="001F6078" w:rsidRDefault="001F6078" w:rsidP="001F6078">
            <w:pPr>
              <w:rPr>
                <w:rFonts w:asciiTheme="majorHAnsi" w:hAnsiTheme="majorHAnsi" w:cstheme="majorHAnsi"/>
                <w:b/>
              </w:rPr>
            </w:pPr>
          </w:p>
          <w:p w14:paraId="30C0B60E" w14:textId="77777777" w:rsidR="001F6078" w:rsidRPr="001F6078" w:rsidRDefault="001F6078" w:rsidP="001F6078">
            <w:pPr>
              <w:rPr>
                <w:rFonts w:asciiTheme="majorHAnsi" w:hAnsiTheme="majorHAnsi" w:cstheme="majorHAnsi"/>
                <w:b/>
              </w:rPr>
            </w:pPr>
            <w:r w:rsidRPr="001F6078">
              <w:rPr>
                <w:rFonts w:asciiTheme="majorHAnsi" w:hAnsiTheme="majorHAnsi" w:cstheme="majorHAnsi"/>
                <w:b/>
              </w:rPr>
              <w:t xml:space="preserve">Ostatné súčasti vysokej školy: </w:t>
            </w:r>
          </w:p>
          <w:p w14:paraId="6C14F32D" w14:textId="77777777" w:rsidR="001F6078" w:rsidRPr="001F6078" w:rsidRDefault="001F6078" w:rsidP="001F6078">
            <w:pPr>
              <w:rPr>
                <w:rFonts w:asciiTheme="majorHAnsi" w:hAnsiTheme="majorHAnsi" w:cstheme="majorHAnsi"/>
              </w:rPr>
            </w:pPr>
          </w:p>
          <w:p w14:paraId="7AC1F91C"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Rektorát (R STU) </w:t>
            </w:r>
          </w:p>
          <w:p w14:paraId="7E7E996F"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Centrum výpočtovej techniky (CVT STU) </w:t>
            </w:r>
          </w:p>
          <w:p w14:paraId="59D137AD"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Archív </w:t>
            </w:r>
          </w:p>
          <w:p w14:paraId="4A51C788"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Vydavateľstvo Spektrum STU </w:t>
            </w:r>
          </w:p>
          <w:p w14:paraId="3E608486"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Projektové stredisko </w:t>
            </w:r>
          </w:p>
          <w:p w14:paraId="17C8D389"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Inštitút celoživotného vzdelávania (ICV STU) </w:t>
            </w:r>
          </w:p>
          <w:p w14:paraId="0E67F3DB"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Know-how centrum: </w:t>
            </w:r>
          </w:p>
          <w:p w14:paraId="4502DE2B"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      - Kancelária spolupráce s praxou </w:t>
            </w:r>
          </w:p>
          <w:p w14:paraId="1A11E7A6"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      - Univerzitný technologický inkubátor </w:t>
            </w:r>
          </w:p>
          <w:p w14:paraId="3BF07E7B"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Ústav manažmentu (ÚM STU) </w:t>
            </w:r>
          </w:p>
          <w:p w14:paraId="143110D9"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Univerzitné vedecké parky </w:t>
            </w:r>
          </w:p>
          <w:p w14:paraId="39601858"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       - Centrá excelentnosti </w:t>
            </w:r>
          </w:p>
          <w:p w14:paraId="3692B4B2" w14:textId="77777777" w:rsidR="001F6078" w:rsidRPr="001F6078" w:rsidRDefault="001F6078" w:rsidP="001F6078">
            <w:pPr>
              <w:rPr>
                <w:rFonts w:asciiTheme="majorHAnsi" w:hAnsiTheme="majorHAnsi" w:cstheme="majorHAnsi"/>
              </w:rPr>
            </w:pPr>
          </w:p>
          <w:p w14:paraId="352AEA81"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Účelové zariadenia STU: </w:t>
            </w:r>
          </w:p>
          <w:p w14:paraId="4A732889"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Účelové zariadenie Študentské domovy a jedálne STU </w:t>
            </w:r>
          </w:p>
          <w:p w14:paraId="3EE6E929"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Účelové zariadenie STU v Gabčíkove </w:t>
            </w:r>
          </w:p>
          <w:p w14:paraId="3B8B981F"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t xml:space="preserve">Vysokoškolský umelecký súbor Technik STU </w:t>
            </w:r>
          </w:p>
          <w:p w14:paraId="7557A903" w14:textId="77777777" w:rsidR="001F6078" w:rsidRPr="001F6078" w:rsidRDefault="001F6078" w:rsidP="001F6078">
            <w:pPr>
              <w:rPr>
                <w:rFonts w:asciiTheme="majorHAnsi" w:hAnsiTheme="majorHAnsi" w:cstheme="majorHAnsi"/>
              </w:rPr>
            </w:pPr>
            <w:r w:rsidRPr="001F6078">
              <w:rPr>
                <w:rFonts w:asciiTheme="majorHAnsi" w:hAnsiTheme="majorHAnsi" w:cstheme="majorHAnsi"/>
              </w:rPr>
              <w:lastRenderedPageBreak/>
              <w:t>Centrum akademického športu STU</w:t>
            </w:r>
          </w:p>
          <w:p w14:paraId="3EFBCA6E" w14:textId="77777777" w:rsidR="001F6078" w:rsidRPr="001F6078" w:rsidRDefault="001F6078" w:rsidP="001F6078">
            <w:pPr>
              <w:shd w:val="clear" w:color="auto" w:fill="FFFFFF"/>
              <w:outlineLvl w:val="2"/>
              <w:rPr>
                <w:rFonts w:asciiTheme="majorHAnsi" w:eastAsia="Times New Roman" w:hAnsiTheme="majorHAnsi" w:cstheme="majorHAnsi"/>
                <w:bCs/>
                <w:lang w:eastAsia="sk-SK"/>
              </w:rPr>
            </w:pPr>
          </w:p>
          <w:p w14:paraId="5C91BEFE" w14:textId="77777777" w:rsidR="001F6078" w:rsidRPr="001F6078" w:rsidRDefault="001F6078" w:rsidP="001F6078">
            <w:pPr>
              <w:shd w:val="clear" w:color="auto" w:fill="FFFFFF"/>
              <w:outlineLvl w:val="2"/>
              <w:rPr>
                <w:rFonts w:asciiTheme="majorHAnsi" w:eastAsia="Times New Roman" w:hAnsiTheme="majorHAnsi" w:cstheme="majorHAnsi"/>
                <w:lang w:eastAsia="sk-SK"/>
              </w:rPr>
            </w:pPr>
            <w:r w:rsidRPr="001F6078">
              <w:rPr>
                <w:rFonts w:asciiTheme="majorHAnsi" w:eastAsia="Times New Roman" w:hAnsiTheme="majorHAnsi" w:cstheme="majorHAnsi"/>
                <w:bCs/>
                <w:lang w:eastAsia="sk-SK"/>
              </w:rPr>
              <w:t>Iné :</w:t>
            </w:r>
          </w:p>
          <w:p w14:paraId="5E58F8BA" w14:textId="77777777" w:rsidR="001F6078" w:rsidRPr="001F6078" w:rsidRDefault="00252725" w:rsidP="001F6078">
            <w:pPr>
              <w:shd w:val="clear" w:color="auto" w:fill="FFFFFF"/>
              <w:rPr>
                <w:rFonts w:asciiTheme="majorHAnsi" w:eastAsia="Times New Roman" w:hAnsiTheme="majorHAnsi" w:cstheme="majorHAnsi"/>
                <w:lang w:eastAsia="sk-SK"/>
              </w:rPr>
            </w:pPr>
            <w:hyperlink r:id="rId8" w:history="1">
              <w:r w:rsidR="001F6078" w:rsidRPr="001F6078">
                <w:rPr>
                  <w:rFonts w:asciiTheme="majorHAnsi" w:eastAsia="Times New Roman" w:hAnsiTheme="majorHAnsi" w:cstheme="majorHAnsi"/>
                  <w:lang w:eastAsia="sk-SK"/>
                </w:rPr>
                <w:t>STU Scientific</w:t>
              </w:r>
            </w:hyperlink>
          </w:p>
          <w:p w14:paraId="164AEB56" w14:textId="77777777" w:rsidR="001F6078" w:rsidRPr="001F6078" w:rsidRDefault="00252725" w:rsidP="001F6078">
            <w:pPr>
              <w:shd w:val="clear" w:color="auto" w:fill="FFFFFF"/>
              <w:rPr>
                <w:rFonts w:asciiTheme="majorHAnsi" w:eastAsia="Times New Roman" w:hAnsiTheme="majorHAnsi" w:cstheme="majorHAnsi"/>
                <w:lang w:eastAsia="sk-SK"/>
              </w:rPr>
            </w:pPr>
            <w:hyperlink r:id="rId9" w:history="1">
              <w:r w:rsidR="001F6078" w:rsidRPr="001F6078">
                <w:rPr>
                  <w:rFonts w:asciiTheme="majorHAnsi" w:eastAsia="Times New Roman" w:hAnsiTheme="majorHAnsi" w:cstheme="majorHAnsi"/>
                  <w:lang w:eastAsia="sk-SK"/>
                </w:rPr>
                <w:t>Európska aliancia pre inovácie</w:t>
              </w:r>
            </w:hyperlink>
          </w:p>
          <w:p w14:paraId="53330E12" w14:textId="77777777" w:rsidR="001F6078" w:rsidRPr="001F6078" w:rsidRDefault="00252725" w:rsidP="001F6078">
            <w:pPr>
              <w:shd w:val="clear" w:color="auto" w:fill="FFFFFF"/>
              <w:rPr>
                <w:rFonts w:asciiTheme="majorHAnsi" w:eastAsia="Times New Roman" w:hAnsiTheme="majorHAnsi" w:cstheme="majorHAnsi"/>
                <w:lang w:eastAsia="sk-SK"/>
              </w:rPr>
            </w:pPr>
            <w:hyperlink r:id="rId10" w:history="1">
              <w:r w:rsidR="001F6078" w:rsidRPr="001F6078">
                <w:rPr>
                  <w:rFonts w:asciiTheme="majorHAnsi" w:eastAsia="Times New Roman" w:hAnsiTheme="majorHAnsi" w:cstheme="majorHAnsi"/>
                  <w:lang w:eastAsia="sk-SK"/>
                </w:rPr>
                <w:t>Popredné výskumné pracoviská</w:t>
              </w:r>
            </w:hyperlink>
          </w:p>
          <w:p w14:paraId="68AF9B7C" w14:textId="77777777" w:rsidR="001F6078" w:rsidRPr="001F6078" w:rsidRDefault="00252725" w:rsidP="001F6078">
            <w:pPr>
              <w:shd w:val="clear" w:color="auto" w:fill="FFFFFF"/>
              <w:rPr>
                <w:rFonts w:asciiTheme="majorHAnsi" w:eastAsia="Times New Roman" w:hAnsiTheme="majorHAnsi" w:cstheme="majorHAnsi"/>
                <w:color w:val="000000" w:themeColor="text1"/>
                <w:lang w:eastAsia="sk-SK"/>
              </w:rPr>
            </w:pPr>
            <w:hyperlink r:id="rId11" w:history="1">
              <w:r w:rsidR="001F6078" w:rsidRPr="001F6078">
                <w:rPr>
                  <w:rFonts w:asciiTheme="majorHAnsi" w:eastAsia="Times New Roman" w:hAnsiTheme="majorHAnsi" w:cstheme="majorHAnsi"/>
                  <w:color w:val="000000" w:themeColor="text1"/>
                  <w:lang w:eastAsia="sk-SK"/>
                </w:rPr>
                <w:t>Materská škola STUBAčik</w:t>
              </w:r>
            </w:hyperlink>
            <w:r w:rsidR="001F6078" w:rsidRPr="001F6078">
              <w:rPr>
                <w:rFonts w:asciiTheme="majorHAnsi" w:eastAsia="Times New Roman" w:hAnsiTheme="majorHAnsi" w:cstheme="majorHAnsi"/>
                <w:color w:val="000000" w:themeColor="text1"/>
                <w:lang w:eastAsia="sk-SK"/>
              </w:rPr>
              <w:t> (od 1.9. 2020)</w:t>
            </w:r>
          </w:p>
          <w:p w14:paraId="33ECC0CF" w14:textId="77777777" w:rsidR="001F6078" w:rsidRPr="001F6078" w:rsidRDefault="001F6078" w:rsidP="001F6078">
            <w:pPr>
              <w:rPr>
                <w:rFonts w:asciiTheme="majorHAnsi" w:hAnsiTheme="majorHAnsi" w:cstheme="majorHAnsi"/>
              </w:rPr>
            </w:pPr>
          </w:p>
          <w:p w14:paraId="6926E296" w14:textId="77777777" w:rsidR="00790747" w:rsidRPr="00264093" w:rsidRDefault="00790747" w:rsidP="00790747">
            <w:pPr>
              <w:rPr>
                <w:rFonts w:asciiTheme="majorHAnsi" w:eastAsia="Times New Roman" w:hAnsiTheme="majorHAnsi" w:cstheme="majorHAnsi"/>
                <w:shd w:val="clear" w:color="auto" w:fill="FFFFFF"/>
                <w:lang w:eastAsia="sk-SK"/>
              </w:rPr>
            </w:pPr>
            <w:r w:rsidRPr="00264093">
              <w:rPr>
                <w:rFonts w:asciiTheme="majorHAnsi" w:eastAsia="Times New Roman" w:hAnsiTheme="majorHAnsi" w:cstheme="majorHAnsi"/>
                <w:b/>
                <w:bCs/>
                <w:u w:val="single"/>
                <w:shd w:val="clear" w:color="auto" w:fill="FFFFFF"/>
                <w:lang w:eastAsia="sk-SK"/>
              </w:rPr>
              <w:t>Správna rada STU:</w:t>
            </w:r>
          </w:p>
          <w:p w14:paraId="13CF8F01" w14:textId="77777777" w:rsidR="00790747" w:rsidRPr="00264093" w:rsidRDefault="00790747" w:rsidP="00790747">
            <w:pPr>
              <w:rPr>
                <w:rFonts w:asciiTheme="majorHAnsi" w:eastAsia="Times New Roman" w:hAnsiTheme="majorHAnsi" w:cstheme="majorHAnsi"/>
                <w:shd w:val="clear" w:color="auto" w:fill="FFFFFF"/>
                <w:lang w:eastAsia="sk-SK"/>
              </w:rPr>
            </w:pPr>
            <w:r w:rsidRPr="00264093">
              <w:rPr>
                <w:rFonts w:asciiTheme="majorHAnsi" w:eastAsia="Times New Roman" w:hAnsiTheme="majorHAnsi" w:cstheme="majorHAnsi"/>
                <w:b/>
                <w:bCs/>
                <w:shd w:val="clear" w:color="auto" w:fill="FFFFFF"/>
                <w:lang w:eastAsia="sk-SK"/>
              </w:rPr>
              <w:t> </w:t>
            </w:r>
          </w:p>
          <w:p w14:paraId="1CADCC2B" w14:textId="77777777" w:rsidR="00790747" w:rsidRPr="00264093" w:rsidRDefault="00790747" w:rsidP="00790747">
            <w:pPr>
              <w:rPr>
                <w:rFonts w:asciiTheme="majorHAnsi" w:eastAsia="Times New Roman" w:hAnsiTheme="majorHAnsi" w:cstheme="majorHAnsi"/>
                <w:sz w:val="22"/>
                <w:szCs w:val="22"/>
                <w:shd w:val="clear" w:color="auto" w:fill="FFFFFF"/>
                <w:lang w:eastAsia="sk-SK"/>
              </w:rPr>
            </w:pPr>
            <w:r w:rsidRPr="00264093">
              <w:rPr>
                <w:rFonts w:asciiTheme="majorHAnsi" w:eastAsia="Times New Roman" w:hAnsiTheme="majorHAnsi" w:cstheme="majorHAnsi"/>
                <w:b/>
                <w:bCs/>
                <w:shd w:val="clear" w:color="auto" w:fill="FFFFFF"/>
                <w:lang w:eastAsia="sk-SK"/>
              </w:rPr>
              <w:t>Členovia vymenovaní na návrh ministra školstva, vedy, výskumu a športu SR:</w:t>
            </w:r>
          </w:p>
          <w:p w14:paraId="527E46F1" w14:textId="77777777" w:rsidR="00790747" w:rsidRPr="00264093" w:rsidRDefault="00790747" w:rsidP="00790747">
            <w:pPr>
              <w:rPr>
                <w:rFonts w:asciiTheme="majorHAnsi" w:eastAsia="Times New Roman" w:hAnsiTheme="majorHAnsi" w:cstheme="majorHAnsi"/>
                <w:sz w:val="22"/>
                <w:szCs w:val="22"/>
                <w:shd w:val="clear" w:color="auto" w:fill="FFFFFF"/>
                <w:lang w:eastAsia="sk-SK"/>
              </w:rPr>
            </w:pPr>
            <w:r w:rsidRPr="00264093">
              <w:rPr>
                <w:rFonts w:asciiTheme="majorHAnsi" w:eastAsia="Times New Roman" w:hAnsiTheme="majorHAnsi" w:cstheme="majorHAnsi"/>
                <w:shd w:val="clear" w:color="auto" w:fill="FFFFFF"/>
                <w:lang w:eastAsia="sk-SK"/>
              </w:rPr>
              <w:t>MUDr. RNDr. Ľudovít PAULIS, PhD., MPH, FESC, MŠVVaŠ SR, od 20. 6. 2020</w:t>
            </w:r>
          </w:p>
          <w:p w14:paraId="517463AA" w14:textId="77777777" w:rsidR="00790747" w:rsidRPr="00264093" w:rsidRDefault="00790747" w:rsidP="00790747">
            <w:pPr>
              <w:rPr>
                <w:rFonts w:asciiTheme="majorHAnsi" w:eastAsia="Times New Roman" w:hAnsiTheme="majorHAnsi" w:cstheme="majorHAnsi"/>
                <w:sz w:val="22"/>
                <w:szCs w:val="22"/>
                <w:shd w:val="clear" w:color="auto" w:fill="FFFFFF"/>
                <w:lang w:eastAsia="sk-SK"/>
              </w:rPr>
            </w:pPr>
            <w:r w:rsidRPr="00264093">
              <w:rPr>
                <w:rFonts w:asciiTheme="majorHAnsi" w:eastAsia="Times New Roman" w:hAnsiTheme="majorHAnsi" w:cstheme="majorHAnsi"/>
                <w:shd w:val="clear" w:color="auto" w:fill="FFFFFF"/>
                <w:lang w:eastAsia="sk-SK"/>
              </w:rPr>
              <w:t>Ing. Alexej BELJAJEV, Asociácia priemyselných zväzov, od 21. 5. 2019</w:t>
            </w:r>
          </w:p>
          <w:p w14:paraId="792061F9"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Katarína SURMÍKOVÁ TATRANSKÁ, MBA, Úrad pre normalizáciu, metrológiu a skúšobníctvo SR, od 6. 10. 2021</w:t>
            </w:r>
          </w:p>
          <w:p w14:paraId="6A5B78E7"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Ing. Ján KIRÁLY, Frucona, a. s., od  6. 10. 2021</w:t>
            </w:r>
          </w:p>
          <w:p w14:paraId="523A220A"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Ing. Richard MARKO, ESET, spol. s r.o., od  14. 6. 2021</w:t>
            </w:r>
          </w:p>
          <w:p w14:paraId="1B38B798"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Dr. Ing. Robert MISTRÍK, Agentúra na podporu výskumu a vývoja, od 14. 6. 2021</w:t>
            </w:r>
          </w:p>
          <w:p w14:paraId="69E81384" w14:textId="77777777" w:rsidR="00790747" w:rsidRPr="00264093" w:rsidRDefault="00790747" w:rsidP="00790747">
            <w:pPr>
              <w:rPr>
                <w:rFonts w:asciiTheme="majorHAnsi" w:eastAsia="Times New Roman" w:hAnsiTheme="majorHAnsi" w:cstheme="majorHAnsi"/>
                <w:sz w:val="22"/>
                <w:szCs w:val="22"/>
                <w:shd w:val="clear" w:color="auto" w:fill="FFFFFF"/>
                <w:lang w:eastAsia="sk-SK"/>
              </w:rPr>
            </w:pPr>
            <w:r w:rsidRPr="00264093">
              <w:rPr>
                <w:rFonts w:asciiTheme="majorHAnsi" w:eastAsia="Times New Roman" w:hAnsiTheme="majorHAnsi" w:cstheme="majorHAnsi"/>
                <w:shd w:val="clear" w:color="auto" w:fill="FFFFFF"/>
                <w:lang w:eastAsia="sk-SK"/>
              </w:rPr>
              <w:t> </w:t>
            </w:r>
          </w:p>
          <w:p w14:paraId="07418BDE" w14:textId="77777777" w:rsidR="00790747" w:rsidRPr="00264093" w:rsidRDefault="00790747" w:rsidP="00790747">
            <w:pPr>
              <w:rPr>
                <w:rFonts w:asciiTheme="majorHAnsi" w:eastAsia="Times New Roman" w:hAnsiTheme="majorHAnsi" w:cstheme="majorHAnsi"/>
                <w:sz w:val="22"/>
                <w:szCs w:val="22"/>
                <w:shd w:val="clear" w:color="auto" w:fill="FFFFFF"/>
                <w:lang w:eastAsia="sk-SK"/>
              </w:rPr>
            </w:pPr>
            <w:r w:rsidRPr="00264093">
              <w:rPr>
                <w:rFonts w:asciiTheme="majorHAnsi" w:eastAsia="Times New Roman" w:hAnsiTheme="majorHAnsi" w:cstheme="majorHAnsi"/>
                <w:b/>
                <w:bCs/>
                <w:shd w:val="clear" w:color="auto" w:fill="FFFFFF"/>
                <w:lang w:eastAsia="sk-SK"/>
              </w:rPr>
              <w:t>Členovia vymenovaní na návrh rektora vysokej školy:</w:t>
            </w:r>
          </w:p>
          <w:p w14:paraId="789F801D"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Ing. Vladimír SLEZÁK, Siemens, s. r. o., od 6. 6. 2017, predseda od 28. 11. 2021</w:t>
            </w:r>
          </w:p>
          <w:p w14:paraId="1A02C8C8" w14:textId="77777777" w:rsidR="00790747" w:rsidRPr="00264093" w:rsidRDefault="00790747" w:rsidP="00790747">
            <w:pPr>
              <w:rPr>
                <w:rFonts w:asciiTheme="majorHAnsi" w:eastAsia="Times New Roman" w:hAnsiTheme="majorHAnsi" w:cstheme="majorHAnsi"/>
                <w:sz w:val="22"/>
                <w:szCs w:val="22"/>
                <w:shd w:val="clear" w:color="auto" w:fill="FFFFFF"/>
                <w:lang w:eastAsia="sk-SK"/>
              </w:rPr>
            </w:pPr>
            <w:r w:rsidRPr="00264093">
              <w:rPr>
                <w:rFonts w:asciiTheme="majorHAnsi" w:eastAsia="Times New Roman" w:hAnsiTheme="majorHAnsi" w:cstheme="majorHAnsi"/>
                <w:shd w:val="clear" w:color="auto" w:fill="FFFFFF"/>
                <w:lang w:eastAsia="sk-SK"/>
              </w:rPr>
              <w:t>Ing. Miroslav HAVLÍK, Evonik Fermas, s.r.o., od 2. 12. 2020, podpredseda od 28. 11. 2021</w:t>
            </w:r>
          </w:p>
          <w:p w14:paraId="77DD5806" w14:textId="77777777" w:rsidR="00790747" w:rsidRPr="00264093" w:rsidRDefault="00790747" w:rsidP="00790747">
            <w:pPr>
              <w:shd w:val="clear" w:color="auto" w:fill="FFFFFF"/>
              <w:jc w:val="both"/>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Ing. Slavomír PODMANICKÝ, </w:t>
            </w:r>
            <w:r w:rsidRPr="00264093">
              <w:rPr>
                <w:rFonts w:asciiTheme="majorHAnsi" w:eastAsia="Times New Roman" w:hAnsiTheme="majorHAnsi" w:cstheme="majorHAnsi"/>
                <w:shd w:val="clear" w:color="auto" w:fill="FFFFFF"/>
                <w:lang w:eastAsia="sk-SK"/>
              </w:rPr>
              <w:t>Poradenské služby a konzultácie v doprave,</w:t>
            </w:r>
            <w:r w:rsidRPr="00264093">
              <w:rPr>
                <w:rFonts w:asciiTheme="majorHAnsi" w:eastAsia="Times New Roman" w:hAnsiTheme="majorHAnsi" w:cstheme="majorHAnsi"/>
                <w:sz w:val="21"/>
                <w:szCs w:val="21"/>
                <w:shd w:val="clear" w:color="auto" w:fill="FFFFFF"/>
                <w:lang w:eastAsia="sk-SK"/>
              </w:rPr>
              <w:t> </w:t>
            </w:r>
            <w:r w:rsidRPr="00264093">
              <w:rPr>
                <w:rFonts w:asciiTheme="majorHAnsi" w:eastAsia="Times New Roman" w:hAnsiTheme="majorHAnsi" w:cstheme="majorHAnsi"/>
                <w:lang w:eastAsia="sk-SK"/>
              </w:rPr>
              <w:t>o.z., od 30. 3. 2022</w:t>
            </w:r>
          </w:p>
          <w:p w14:paraId="0186E74D"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Ing. Zsolt LUKÁČ, PhD., EMBA, Zväz stavebných podnikateľov Slovenska, od 6. 6. 2017</w:t>
            </w:r>
          </w:p>
          <w:p w14:paraId="2F643809" w14:textId="77777777" w:rsidR="00790747" w:rsidRPr="00264093" w:rsidRDefault="00790747" w:rsidP="00790747">
            <w:pPr>
              <w:rPr>
                <w:rFonts w:asciiTheme="majorHAnsi" w:eastAsia="Times New Roman" w:hAnsiTheme="majorHAnsi" w:cstheme="majorHAnsi"/>
                <w:sz w:val="22"/>
                <w:szCs w:val="22"/>
                <w:shd w:val="clear" w:color="auto" w:fill="FFFFFF"/>
                <w:lang w:eastAsia="sk-SK"/>
              </w:rPr>
            </w:pPr>
            <w:r w:rsidRPr="00264093">
              <w:rPr>
                <w:rFonts w:asciiTheme="majorHAnsi" w:eastAsia="Times New Roman" w:hAnsiTheme="majorHAnsi" w:cstheme="majorHAnsi"/>
                <w:shd w:val="clear" w:color="auto" w:fill="FFFFFF"/>
                <w:lang w:eastAsia="sk-SK"/>
              </w:rPr>
              <w:t>Ing. Karol PAVLŮ, PPA CONTROLL, a.s., od 17. 4. 2019</w:t>
            </w:r>
          </w:p>
          <w:p w14:paraId="32C67A8D" w14:textId="77777777" w:rsidR="00790747" w:rsidRPr="00264093" w:rsidRDefault="00790747" w:rsidP="00790747">
            <w:pPr>
              <w:rPr>
                <w:rFonts w:asciiTheme="majorHAnsi" w:eastAsia="Times New Roman" w:hAnsiTheme="majorHAnsi" w:cstheme="majorHAnsi"/>
                <w:sz w:val="22"/>
                <w:szCs w:val="22"/>
                <w:shd w:val="clear" w:color="auto" w:fill="FFFFFF"/>
                <w:lang w:eastAsia="sk-SK"/>
              </w:rPr>
            </w:pPr>
            <w:r w:rsidRPr="00264093">
              <w:rPr>
                <w:rFonts w:asciiTheme="majorHAnsi" w:eastAsia="Times New Roman" w:hAnsiTheme="majorHAnsi" w:cstheme="majorHAnsi"/>
                <w:shd w:val="clear" w:color="auto" w:fill="FFFFFF"/>
                <w:lang w:eastAsia="sk-SK"/>
              </w:rPr>
              <w:t>Ing. arch. Juraj ŠUJAN, Slovenská komora architektov, od 17. 4. 2019</w:t>
            </w:r>
          </w:p>
          <w:p w14:paraId="03584AEE" w14:textId="77777777" w:rsidR="00790747" w:rsidRPr="00264093" w:rsidRDefault="00790747" w:rsidP="00790747">
            <w:pPr>
              <w:rPr>
                <w:rFonts w:asciiTheme="majorHAnsi" w:eastAsia="Times New Roman" w:hAnsiTheme="majorHAnsi" w:cstheme="majorHAnsi"/>
                <w:sz w:val="22"/>
                <w:szCs w:val="22"/>
                <w:shd w:val="clear" w:color="auto" w:fill="FFFFFF"/>
                <w:lang w:eastAsia="sk-SK"/>
              </w:rPr>
            </w:pPr>
            <w:r w:rsidRPr="00264093">
              <w:rPr>
                <w:rFonts w:asciiTheme="majorHAnsi" w:eastAsia="Times New Roman" w:hAnsiTheme="majorHAnsi" w:cstheme="majorHAnsi"/>
                <w:shd w:val="clear" w:color="auto" w:fill="FFFFFF"/>
                <w:lang w:eastAsia="sk-SK"/>
              </w:rPr>
              <w:t> </w:t>
            </w:r>
          </w:p>
          <w:p w14:paraId="6D3F442B" w14:textId="77777777" w:rsidR="00790747" w:rsidRPr="00264093" w:rsidRDefault="00790747" w:rsidP="00790747">
            <w:pPr>
              <w:rPr>
                <w:rFonts w:asciiTheme="majorHAnsi" w:eastAsia="Times New Roman" w:hAnsiTheme="majorHAnsi" w:cstheme="majorHAnsi"/>
                <w:sz w:val="22"/>
                <w:szCs w:val="22"/>
                <w:shd w:val="clear" w:color="auto" w:fill="FFFFFF"/>
                <w:lang w:eastAsia="sk-SK"/>
              </w:rPr>
            </w:pPr>
            <w:r w:rsidRPr="00264093">
              <w:rPr>
                <w:rFonts w:asciiTheme="majorHAnsi" w:eastAsia="Times New Roman" w:hAnsiTheme="majorHAnsi" w:cstheme="majorHAnsi"/>
                <w:b/>
                <w:bCs/>
                <w:shd w:val="clear" w:color="auto" w:fill="FFFFFF"/>
                <w:lang w:eastAsia="sk-SK"/>
              </w:rPr>
              <w:t>Člen vymenovaný na návrh zamestnaneckej časti akademického senátu:</w:t>
            </w:r>
          </w:p>
          <w:p w14:paraId="2F27148E" w14:textId="77777777" w:rsidR="00790747" w:rsidRPr="00264093" w:rsidRDefault="00790747" w:rsidP="00790747">
            <w:pPr>
              <w:shd w:val="clear" w:color="auto" w:fill="FFFFFF"/>
              <w:rPr>
                <w:rFonts w:asciiTheme="majorHAnsi" w:eastAsia="Times New Roman" w:hAnsiTheme="majorHAnsi" w:cstheme="majorHAnsi"/>
                <w:lang w:eastAsia="sk-SK"/>
              </w:rPr>
            </w:pPr>
            <w:r w:rsidRPr="00264093">
              <w:rPr>
                <w:rFonts w:asciiTheme="majorHAnsi" w:eastAsia="Times New Roman" w:hAnsiTheme="majorHAnsi" w:cstheme="majorHAnsi"/>
                <w:lang w:eastAsia="sk-SK"/>
              </w:rPr>
              <w:t>doc. Ing. Ľuboš HRUŠTINEC, PhD., Stavebná fakulta STU, od 30. 3. 2022</w:t>
            </w:r>
          </w:p>
          <w:p w14:paraId="094C4F40" w14:textId="77777777" w:rsidR="00790747" w:rsidRPr="00264093" w:rsidRDefault="00790747" w:rsidP="00790747">
            <w:pPr>
              <w:rPr>
                <w:rFonts w:asciiTheme="majorHAnsi" w:eastAsia="Times New Roman" w:hAnsiTheme="majorHAnsi" w:cstheme="majorHAnsi"/>
                <w:sz w:val="22"/>
                <w:szCs w:val="22"/>
                <w:shd w:val="clear" w:color="auto" w:fill="FFFFFF"/>
                <w:lang w:eastAsia="sk-SK"/>
              </w:rPr>
            </w:pPr>
            <w:r w:rsidRPr="00264093">
              <w:rPr>
                <w:rFonts w:asciiTheme="majorHAnsi" w:eastAsia="Times New Roman" w:hAnsiTheme="majorHAnsi" w:cstheme="majorHAnsi"/>
                <w:i/>
                <w:iCs/>
                <w:shd w:val="clear" w:color="auto" w:fill="FFFFFF"/>
                <w:lang w:eastAsia="sk-SK"/>
              </w:rPr>
              <w:t> </w:t>
            </w:r>
          </w:p>
          <w:p w14:paraId="4F88FE8D" w14:textId="77777777" w:rsidR="00790747" w:rsidRPr="00264093" w:rsidRDefault="00790747" w:rsidP="00790747">
            <w:pPr>
              <w:rPr>
                <w:rFonts w:asciiTheme="majorHAnsi" w:eastAsia="Times New Roman" w:hAnsiTheme="majorHAnsi" w:cstheme="majorHAnsi"/>
                <w:sz w:val="22"/>
                <w:szCs w:val="22"/>
                <w:shd w:val="clear" w:color="auto" w:fill="FFFFFF"/>
                <w:lang w:eastAsia="sk-SK"/>
              </w:rPr>
            </w:pPr>
            <w:r w:rsidRPr="00264093">
              <w:rPr>
                <w:rFonts w:asciiTheme="majorHAnsi" w:eastAsia="Times New Roman" w:hAnsiTheme="majorHAnsi" w:cstheme="majorHAnsi"/>
                <w:b/>
                <w:bCs/>
                <w:shd w:val="clear" w:color="auto" w:fill="FFFFFF"/>
                <w:lang w:eastAsia="sk-SK"/>
              </w:rPr>
              <w:t>Člen vymenovaný na návrh študentskej časti akademického senátu:</w:t>
            </w:r>
          </w:p>
          <w:p w14:paraId="559A38D2"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Bc. Milan ŠVOLÍK, Stavebná fakulta STU, od 6. 12. 2020</w:t>
            </w:r>
          </w:p>
          <w:p w14:paraId="1882A2B7" w14:textId="77777777" w:rsidR="00790747" w:rsidRPr="00264093" w:rsidRDefault="00790747" w:rsidP="00790747">
            <w:pPr>
              <w:shd w:val="clear" w:color="auto" w:fill="FFFFFF"/>
              <w:rPr>
                <w:rFonts w:asciiTheme="majorHAnsi" w:eastAsia="Times New Roman" w:hAnsiTheme="majorHAnsi" w:cstheme="majorHAnsi"/>
                <w:lang w:eastAsia="sk-SK"/>
              </w:rPr>
            </w:pPr>
            <w:r w:rsidRPr="00264093">
              <w:rPr>
                <w:rFonts w:asciiTheme="majorHAnsi" w:eastAsia="Times New Roman" w:hAnsiTheme="majorHAnsi" w:cstheme="majorHAnsi"/>
                <w:lang w:eastAsia="sk-SK"/>
              </w:rPr>
              <w:t> </w:t>
            </w:r>
          </w:p>
          <w:p w14:paraId="66A8F276" w14:textId="77777777" w:rsidR="00790747" w:rsidRPr="00264093" w:rsidRDefault="00790747" w:rsidP="00790747">
            <w:pPr>
              <w:shd w:val="clear" w:color="auto" w:fill="FFFFFF"/>
              <w:rPr>
                <w:rFonts w:asciiTheme="majorHAnsi" w:eastAsia="Times New Roman" w:hAnsiTheme="majorHAnsi" w:cstheme="majorHAnsi"/>
                <w:lang w:eastAsia="sk-SK"/>
              </w:rPr>
            </w:pPr>
            <w:r w:rsidRPr="00264093">
              <w:rPr>
                <w:rFonts w:asciiTheme="majorHAnsi" w:eastAsia="Times New Roman" w:hAnsiTheme="majorHAnsi" w:cstheme="majorHAnsi"/>
                <w:b/>
                <w:bCs/>
                <w:lang w:eastAsia="sk-SK"/>
              </w:rPr>
              <w:t>Všetkým členom Správnej rady STU zaniklo členstvo dňa 30. novembra 2022 v súlade s novelou zákona č. 131/2002 Z. z. o vysokých školách a o zmene a doplnení niektorých zákonov v znení účinnom do 24. apríla 2022.</w:t>
            </w:r>
          </w:p>
          <w:p w14:paraId="7A6A8A9B" w14:textId="77777777" w:rsidR="00790747" w:rsidRPr="00264093" w:rsidRDefault="00790747" w:rsidP="00790747">
            <w:pPr>
              <w:rPr>
                <w:rFonts w:asciiTheme="majorHAnsi" w:eastAsia="Times New Roman" w:hAnsiTheme="majorHAnsi" w:cstheme="majorHAnsi"/>
                <w:shd w:val="clear" w:color="auto" w:fill="FFFFFF"/>
                <w:lang w:eastAsia="sk-SK"/>
              </w:rPr>
            </w:pPr>
            <w:r w:rsidRPr="00264093">
              <w:rPr>
                <w:rFonts w:asciiTheme="majorHAnsi" w:eastAsia="Times New Roman" w:hAnsiTheme="majorHAnsi" w:cstheme="majorHAnsi"/>
                <w:shd w:val="clear" w:color="auto" w:fill="FFFFFF"/>
                <w:lang w:eastAsia="sk-SK"/>
              </w:rPr>
              <w:t> </w:t>
            </w:r>
          </w:p>
          <w:p w14:paraId="6454522B" w14:textId="77777777" w:rsidR="00790747" w:rsidRPr="00264093" w:rsidRDefault="00790747" w:rsidP="00790747">
            <w:pPr>
              <w:rPr>
                <w:rFonts w:asciiTheme="majorHAnsi" w:eastAsia="Times New Roman" w:hAnsiTheme="majorHAnsi" w:cstheme="majorHAnsi"/>
                <w:sz w:val="22"/>
                <w:szCs w:val="22"/>
                <w:shd w:val="clear" w:color="auto" w:fill="FFFFFF"/>
                <w:lang w:eastAsia="sk-SK"/>
              </w:rPr>
            </w:pPr>
            <w:r w:rsidRPr="00264093">
              <w:rPr>
                <w:rFonts w:asciiTheme="majorHAnsi" w:eastAsia="Times New Roman" w:hAnsiTheme="majorHAnsi" w:cstheme="majorHAnsi"/>
                <w:b/>
                <w:bCs/>
                <w:shd w:val="clear" w:color="auto" w:fill="FFFFFF"/>
                <w:lang w:eastAsia="sk-SK"/>
              </w:rPr>
              <w:t>Členovia vymenovaní na návrh ministra školstva, vedy, výskumu a športu SR:</w:t>
            </w:r>
          </w:p>
          <w:p w14:paraId="11E13130"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Ing. Alexej BELJAJEV, Asociácia priemyselných zväzov, od 20. 12. 2022</w:t>
            </w:r>
          </w:p>
          <w:p w14:paraId="0728B1B1"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Ing. Emil FITOŠ, IT Asociácia Slovenska, od 20. 12. 2022</w:t>
            </w:r>
          </w:p>
          <w:p w14:paraId="3F359011"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Ing. Ján KIRÁLY, Frucona, a. s., od 20. 12. 2022</w:t>
            </w:r>
          </w:p>
          <w:p w14:paraId="04E4C1EF"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Mgr. Matúš MEDVEC, MBA, Úrad priemyselného vlastníctva SR, od 20. 12. 2022</w:t>
            </w:r>
          </w:p>
          <w:p w14:paraId="56F09490"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Dr. Ing. Robert MISTRÍK, Agentúra na podporu výskumu a vývoja, od 20. 12. 2022</w:t>
            </w:r>
          </w:p>
          <w:p w14:paraId="66802EA1"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Katarína SURMÍKOVÁ TATRANSKÁ, MBA, Úrad pre normalizáciu, metrológiu a skúšobníctvo SR, od 20. 12. 2022</w:t>
            </w:r>
          </w:p>
          <w:p w14:paraId="5E89B9EB"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 </w:t>
            </w:r>
          </w:p>
          <w:p w14:paraId="64AE47A2"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b/>
                <w:bCs/>
                <w:lang w:eastAsia="sk-SK"/>
              </w:rPr>
              <w:t>Členovia vymenovaní na návrh Akademického senátu STU:</w:t>
            </w:r>
          </w:p>
          <w:p w14:paraId="0CFEF4D6"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lastRenderedPageBreak/>
              <w:t>Ing. Vladimír SLEZÁK, Siemens, s. r. o., od 1. 12. 2022</w:t>
            </w:r>
          </w:p>
          <w:p w14:paraId="2C036732"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Ing. Marta ŽIAKOVÁ, CS., Úrad jadrového dozoru, od 1. 12. 2022</w:t>
            </w:r>
          </w:p>
          <w:p w14:paraId="199ABE83"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Ing. Miroslav HAVLÍK, Evonik Fermas, s.r.o., od 1. 12. 2022</w:t>
            </w:r>
          </w:p>
          <w:p w14:paraId="608B56CB"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Ing. Zsolt LUKÁČ, PhD., EMBA, Zväz stavebných podnikateľov Slovenska, od 1. 12. 2022</w:t>
            </w:r>
          </w:p>
          <w:p w14:paraId="5C8D9438"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Ing. Mgr. Tibor Gregor, Klub 500, od 1. 12. 2022</w:t>
            </w:r>
          </w:p>
          <w:p w14:paraId="3E7C0674" w14:textId="77777777" w:rsidR="00790747" w:rsidRPr="00264093" w:rsidRDefault="00790747" w:rsidP="00790747">
            <w:pPr>
              <w:shd w:val="clear" w:color="auto" w:fill="FFFFFF"/>
              <w:rPr>
                <w:rFonts w:asciiTheme="majorHAnsi" w:eastAsia="Times New Roman" w:hAnsiTheme="majorHAnsi" w:cstheme="majorHAnsi"/>
                <w:sz w:val="22"/>
                <w:szCs w:val="22"/>
                <w:lang w:eastAsia="sk-SK"/>
              </w:rPr>
            </w:pPr>
            <w:r w:rsidRPr="00264093">
              <w:rPr>
                <w:rFonts w:asciiTheme="majorHAnsi" w:eastAsia="Times New Roman" w:hAnsiTheme="majorHAnsi" w:cstheme="majorHAnsi"/>
                <w:lang w:eastAsia="sk-SK"/>
              </w:rPr>
              <w:t>prof. Ing. František Duchoň, PhD., Fakulta elektrotechniky a informatiky STU, od 1. 12. 2022</w:t>
            </w:r>
          </w:p>
          <w:p w14:paraId="05D8A5A9" w14:textId="0834EACC" w:rsidR="001F6078" w:rsidRPr="001F6078" w:rsidRDefault="001F6078" w:rsidP="001F6078">
            <w:pPr>
              <w:rPr>
                <w:rFonts w:asciiTheme="majorHAnsi" w:hAnsiTheme="majorHAnsi" w:cstheme="majorHAnsi"/>
                <w:b/>
              </w:rPr>
            </w:pPr>
          </w:p>
          <w:p w14:paraId="4364F9CF" w14:textId="77777777" w:rsidR="001F6078" w:rsidRPr="001F6078" w:rsidRDefault="001F6078" w:rsidP="009F05D6">
            <w:pPr>
              <w:rPr>
                <w:rFonts w:asciiTheme="majorHAnsi" w:hAnsiTheme="majorHAnsi" w:cstheme="majorHAnsi"/>
              </w:rPr>
            </w:pPr>
          </w:p>
        </w:tc>
        <w:tc>
          <w:tcPr>
            <w:tcW w:w="6" w:type="dxa"/>
            <w:vAlign w:val="center"/>
            <w:hideMark/>
          </w:tcPr>
          <w:p w14:paraId="13D05AB6" w14:textId="77777777" w:rsidR="001F6078" w:rsidRPr="001F6078" w:rsidRDefault="001F6078" w:rsidP="001F6078">
            <w:pPr>
              <w:rPr>
                <w:rFonts w:asciiTheme="majorHAnsi" w:hAnsiTheme="majorHAnsi" w:cstheme="majorHAnsi"/>
              </w:rPr>
            </w:pPr>
          </w:p>
        </w:tc>
      </w:tr>
    </w:tbl>
    <w:p w14:paraId="66462728" w14:textId="77777777" w:rsidR="004258D4" w:rsidRPr="006C15DF" w:rsidRDefault="004258D4" w:rsidP="004258D4">
      <w:pPr>
        <w:pStyle w:val="Nadpis1"/>
        <w:numPr>
          <w:ilvl w:val="0"/>
          <w:numId w:val="0"/>
        </w:numPr>
        <w:jc w:val="both"/>
        <w:rPr>
          <w:rFonts w:cstheme="majorHAnsi"/>
          <w:color w:val="FFFFFF" w:themeColor="background1"/>
          <w:sz w:val="10"/>
        </w:rPr>
      </w:pPr>
      <w:r w:rsidRPr="006C15DF">
        <w:rPr>
          <w:rFonts w:cstheme="majorHAnsi"/>
          <w:color w:val="FFFFFF" w:themeColor="background1"/>
          <w:sz w:val="10"/>
        </w:rPr>
        <w:lastRenderedPageBreak/>
        <w:t>OBSAH</w:t>
      </w:r>
      <w:bookmarkEnd w:id="1"/>
    </w:p>
    <w:sdt>
      <w:sdtPr>
        <w:rPr>
          <w:rFonts w:asciiTheme="majorHAnsi" w:hAnsiTheme="majorHAnsi" w:cstheme="majorHAnsi"/>
          <w:b/>
        </w:rPr>
        <w:id w:val="-825977833"/>
        <w:docPartObj>
          <w:docPartGallery w:val="Table of Contents"/>
          <w:docPartUnique/>
        </w:docPartObj>
      </w:sdtPr>
      <w:sdtEndPr>
        <w:rPr>
          <w:rFonts w:ascii="Calibri" w:hAnsi="Calibri" w:cstheme="minorBidi"/>
          <w:b w:val="0"/>
        </w:rPr>
      </w:sdtEndPr>
      <w:sdtContent>
        <w:p w14:paraId="2C5929BC" w14:textId="77777777" w:rsidR="004258D4" w:rsidRPr="0053555E" w:rsidRDefault="004258D4" w:rsidP="004258D4">
          <w:pPr>
            <w:jc w:val="both"/>
            <w:rPr>
              <w:rFonts w:asciiTheme="majorHAnsi" w:hAnsiTheme="majorHAnsi" w:cstheme="majorHAnsi"/>
              <w:sz w:val="4"/>
              <w:szCs w:val="4"/>
            </w:rPr>
          </w:pPr>
        </w:p>
        <w:p w14:paraId="7146F3E5" w14:textId="77777777" w:rsidR="00232A93" w:rsidRDefault="00252725" w:rsidP="00232A93"/>
      </w:sdtContent>
    </w:sdt>
    <w:p w14:paraId="762C5D0C" w14:textId="2A6B4BC8" w:rsidR="00232A93" w:rsidRPr="00232A93" w:rsidRDefault="00232A93" w:rsidP="00232A93">
      <w:pPr>
        <w:rPr>
          <w:rFonts w:asciiTheme="majorHAnsi" w:hAnsiTheme="majorHAnsi" w:cstheme="majorHAnsi"/>
        </w:rPr>
      </w:pPr>
      <w:r w:rsidRPr="00232A93">
        <w:rPr>
          <w:rFonts w:asciiTheme="majorHAnsi" w:hAnsiTheme="majorHAnsi" w:cstheme="majorHAnsi"/>
          <w:b/>
          <w:sz w:val="32"/>
          <w:szCs w:val="32"/>
        </w:rPr>
        <w:t>2. Prehľad najdôležitejších faktov a činností</w:t>
      </w:r>
    </w:p>
    <w:p w14:paraId="1EFA9783" w14:textId="77777777" w:rsidR="00232A93" w:rsidRPr="00232A93" w:rsidRDefault="00232A93" w:rsidP="00232A93">
      <w:pPr>
        <w:rPr>
          <w:rFonts w:asciiTheme="majorHAnsi" w:hAnsiTheme="majorHAnsi" w:cstheme="majorHAnsi"/>
          <w:b/>
        </w:rPr>
      </w:pPr>
    </w:p>
    <w:p w14:paraId="0E9343B3" w14:textId="77777777" w:rsidR="00232A93" w:rsidRPr="00232A93" w:rsidRDefault="00232A93" w:rsidP="00232A93">
      <w:pPr>
        <w:jc w:val="both"/>
        <w:rPr>
          <w:rFonts w:asciiTheme="majorHAnsi" w:hAnsiTheme="majorHAnsi" w:cstheme="majorHAnsi"/>
        </w:rPr>
      </w:pPr>
      <w:r w:rsidRPr="00232A93">
        <w:rPr>
          <w:rFonts w:asciiTheme="majorHAnsi" w:hAnsiTheme="majorHAnsi" w:cstheme="majorHAnsi"/>
        </w:rPr>
        <w:t xml:space="preserve">Slovenská technická univerzita v Bratislave si v roku 2022 pripomenula </w:t>
      </w:r>
      <w:r w:rsidRPr="00232A93">
        <w:rPr>
          <w:rFonts w:asciiTheme="majorHAnsi" w:hAnsiTheme="majorHAnsi" w:cstheme="majorHAnsi"/>
          <w:b/>
        </w:rPr>
        <w:t>85. výročie založenia</w:t>
      </w:r>
      <w:r w:rsidRPr="00232A93">
        <w:rPr>
          <w:rFonts w:asciiTheme="majorHAnsi" w:hAnsiTheme="majorHAnsi" w:cstheme="majorHAnsi"/>
        </w:rPr>
        <w:t>.</w:t>
      </w:r>
    </w:p>
    <w:p w14:paraId="4298EBF7" w14:textId="77777777" w:rsidR="00232A93" w:rsidRPr="00232A93" w:rsidRDefault="00232A93" w:rsidP="00232A93">
      <w:pPr>
        <w:jc w:val="both"/>
        <w:rPr>
          <w:rFonts w:asciiTheme="majorHAnsi" w:hAnsiTheme="majorHAnsi" w:cstheme="majorHAnsi"/>
        </w:rPr>
      </w:pPr>
      <w:r w:rsidRPr="00232A93">
        <w:rPr>
          <w:rFonts w:asciiTheme="majorHAnsi" w:hAnsiTheme="majorHAnsi" w:cstheme="majorHAnsi"/>
        </w:rPr>
        <w:t>Zriadená bola v roku 1937 pod názvom „Vysoká škola technická Dr. M. R. Štefánika“ ako prvá</w:t>
      </w:r>
    </w:p>
    <w:p w14:paraId="7FA13692" w14:textId="77777777" w:rsidR="00232A93" w:rsidRPr="00232A93" w:rsidRDefault="00232A93" w:rsidP="00232A93">
      <w:pPr>
        <w:jc w:val="both"/>
        <w:rPr>
          <w:rFonts w:asciiTheme="majorHAnsi" w:hAnsiTheme="majorHAnsi" w:cstheme="majorHAnsi"/>
        </w:rPr>
      </w:pPr>
      <w:r w:rsidRPr="00232A93">
        <w:rPr>
          <w:rFonts w:asciiTheme="majorHAnsi" w:hAnsiTheme="majorHAnsi" w:cstheme="majorHAnsi"/>
        </w:rPr>
        <w:t>technická univerzita na území Slovenska po vzniku v 1. ČSR, po 20 ročnej snahe slovenských</w:t>
      </w:r>
    </w:p>
    <w:p w14:paraId="66B7890E" w14:textId="77777777" w:rsidR="00232A93" w:rsidRPr="00232A93" w:rsidRDefault="00232A93" w:rsidP="00232A93">
      <w:pPr>
        <w:jc w:val="both"/>
        <w:rPr>
          <w:rFonts w:asciiTheme="majorHAnsi" w:hAnsiTheme="majorHAnsi" w:cstheme="majorHAnsi"/>
        </w:rPr>
      </w:pPr>
      <w:r w:rsidRPr="00232A93">
        <w:rPr>
          <w:rFonts w:asciiTheme="majorHAnsi" w:hAnsiTheme="majorHAnsi" w:cstheme="majorHAnsi"/>
        </w:rPr>
        <w:t>študentov a akademikov na čele s prvým rektorom Jurom Hroncom. Od roku 1939 niesla názov Slovenská vysoká škola technická, súčasný názov má od roku 1991. Jej tradícia však siaha až k Banskej akadémii, prvej technickej vysokej škole na dnešnom území Slovenska, založenej v roku 1762 v Banskej Štiavnici.</w:t>
      </w:r>
    </w:p>
    <w:p w14:paraId="2A11CE68" w14:textId="77777777" w:rsidR="00232A93" w:rsidRPr="00232A93" w:rsidRDefault="00232A93" w:rsidP="00232A93">
      <w:pPr>
        <w:rPr>
          <w:rFonts w:asciiTheme="majorHAnsi" w:hAnsiTheme="majorHAnsi" w:cstheme="majorHAnsi"/>
        </w:rPr>
      </w:pPr>
    </w:p>
    <w:p w14:paraId="082829FA" w14:textId="77777777" w:rsidR="00232A93" w:rsidRPr="00232A93" w:rsidRDefault="00232A93" w:rsidP="00232A93">
      <w:pPr>
        <w:tabs>
          <w:tab w:val="left" w:pos="9356"/>
        </w:tabs>
        <w:spacing w:after="120"/>
        <w:jc w:val="both"/>
        <w:rPr>
          <w:rFonts w:asciiTheme="majorHAnsi" w:eastAsia="Times New Roman" w:hAnsiTheme="majorHAnsi" w:cstheme="majorHAnsi"/>
          <w:lang w:eastAsia="sk-SK"/>
        </w:rPr>
      </w:pPr>
      <w:r w:rsidRPr="00232A93">
        <w:rPr>
          <w:rFonts w:asciiTheme="majorHAnsi" w:hAnsiTheme="majorHAnsi" w:cstheme="majorHAnsi"/>
        </w:rPr>
        <w:t xml:space="preserve">Činnosť univerzity na začiatku 2022 ešte čiastočne poznamenala </w:t>
      </w:r>
      <w:r w:rsidRPr="00232A93">
        <w:rPr>
          <w:rFonts w:asciiTheme="majorHAnsi" w:hAnsiTheme="majorHAnsi" w:cstheme="majorHAnsi"/>
          <w:b/>
        </w:rPr>
        <w:t>doznievajúca pandémia</w:t>
      </w:r>
      <w:r w:rsidRPr="00232A93">
        <w:rPr>
          <w:rFonts w:asciiTheme="majorHAnsi" w:hAnsiTheme="majorHAnsi" w:cstheme="majorHAnsi"/>
        </w:rPr>
        <w:t xml:space="preserve"> </w:t>
      </w:r>
      <w:r w:rsidRPr="00232A93">
        <w:rPr>
          <w:rFonts w:asciiTheme="majorHAnsi" w:hAnsiTheme="majorHAnsi" w:cstheme="majorHAnsi"/>
          <w:b/>
        </w:rPr>
        <w:t>COVID-19</w:t>
      </w:r>
      <w:r w:rsidRPr="00232A93">
        <w:rPr>
          <w:rFonts w:asciiTheme="majorHAnsi" w:hAnsiTheme="majorHAnsi" w:cstheme="majorHAnsi"/>
        </w:rPr>
        <w:t xml:space="preserve">. </w:t>
      </w:r>
      <w:r w:rsidRPr="00232A93">
        <w:rPr>
          <w:rFonts w:asciiTheme="majorHAnsi" w:eastAsia="Times New Roman" w:hAnsiTheme="majorHAnsi" w:cstheme="majorHAnsi"/>
          <w:lang w:eastAsia="sk-SK"/>
        </w:rPr>
        <w:t>Skúškové obdobie v zimnom semestri mohlo prebiehať dištančne, alebo prezenčne, v letnom semestri pobiehalo prezenčne. Skúšky v oboch semestroch boli organizované tak, aby boli pre všetkých študentov v rámci jednotlivých predmetov zabezpečené rovnaké podmienky a rovnaký systém realizácie skúšok počas celého skúškového obdobia v súlade so Študijným poriadkom STU. Štátne skúšky v letnom semestri vrátane obhajob záverečných prác prebiehali prezenčne.</w:t>
      </w:r>
    </w:p>
    <w:p w14:paraId="07DF0629" w14:textId="77777777" w:rsidR="00232A93" w:rsidRPr="00232A93" w:rsidRDefault="00232A93" w:rsidP="00232A93">
      <w:pPr>
        <w:spacing w:after="120"/>
        <w:jc w:val="both"/>
        <w:rPr>
          <w:rFonts w:asciiTheme="majorHAnsi" w:hAnsiTheme="majorHAnsi" w:cstheme="majorHAnsi"/>
        </w:rPr>
      </w:pPr>
      <w:r w:rsidRPr="00232A93">
        <w:rPr>
          <w:rFonts w:asciiTheme="majorHAnsi" w:hAnsiTheme="majorHAnsi" w:cstheme="majorHAnsi"/>
        </w:rPr>
        <w:t xml:space="preserve">Mnohé činnosti STU výrazne ovplyvnil </w:t>
      </w:r>
      <w:r w:rsidRPr="00232A93">
        <w:rPr>
          <w:rFonts w:asciiTheme="majorHAnsi" w:hAnsiTheme="majorHAnsi" w:cstheme="majorHAnsi"/>
          <w:b/>
        </w:rPr>
        <w:t>vojnový konflikt na Ukrajine</w:t>
      </w:r>
      <w:r w:rsidRPr="00232A93">
        <w:rPr>
          <w:rFonts w:asciiTheme="majorHAnsi" w:hAnsiTheme="majorHAnsi" w:cstheme="majorHAnsi"/>
        </w:rPr>
        <w:t>. Na STU sa takmer okamžite po jeho vypuknutí začali organizovať humanitárne a podporné aktivity na pomoc študentom STU pochádzajúcim z postihnutých regiónov, ich rodinným príslušníkom a ďalším postihnutým. STU poskytla dotknutým študentom 308</w:t>
      </w:r>
      <w:r w:rsidRPr="00232A93">
        <w:rPr>
          <w:rFonts w:asciiTheme="majorHAnsi" w:hAnsiTheme="majorHAnsi" w:cstheme="majorHAnsi"/>
          <w:b/>
        </w:rPr>
        <w:t xml:space="preserve"> </w:t>
      </w:r>
      <w:r w:rsidRPr="00232A93">
        <w:rPr>
          <w:rFonts w:asciiTheme="majorHAnsi" w:hAnsiTheme="majorHAnsi" w:cstheme="majorHAnsi"/>
        </w:rPr>
        <w:t>mimoriadnych štipendií celkovo vo výške 68 970 €</w:t>
      </w:r>
      <w:r w:rsidRPr="00232A93">
        <w:rPr>
          <w:rFonts w:asciiTheme="majorHAnsi" w:hAnsiTheme="majorHAnsi" w:cstheme="majorHAnsi"/>
          <w:b/>
        </w:rPr>
        <w:t xml:space="preserve">. </w:t>
      </w:r>
      <w:r w:rsidRPr="00232A93">
        <w:rPr>
          <w:rFonts w:asciiTheme="majorHAnsi" w:hAnsiTheme="majorHAnsi" w:cstheme="majorHAnsi"/>
        </w:rPr>
        <w:t>Prudko stúpol záujem o štúdium</w:t>
      </w:r>
      <w:r w:rsidRPr="00232A93">
        <w:rPr>
          <w:rFonts w:asciiTheme="majorHAnsi" w:hAnsiTheme="majorHAnsi" w:cstheme="majorHAnsi"/>
          <w:b/>
        </w:rPr>
        <w:t xml:space="preserve"> </w:t>
      </w:r>
      <w:r w:rsidRPr="00232A93">
        <w:rPr>
          <w:rFonts w:asciiTheme="majorHAnsi" w:hAnsiTheme="majorHAnsi" w:cstheme="majorHAnsi"/>
        </w:rPr>
        <w:t xml:space="preserve">na STU najmä zo strany ukrajinských študentov. Počas semestra sa riešil formou akademickej mobility, od začiatku akademického roka 2022/2023 boli niektorí zo študentov zapísaní na riadne štúdium zmenou študijného programu. Zároveň v prijímacom konaní výrazne narástol počet uchádzačov, najmä ukrajinských stredoškolákov, o štúdium na prvom stupni vzdelávania. Prihlášku podalo celkovo 2 424 uchádzačov z Ukrajiny, z toho 2 129 na prvý stupeň. Prijatých bolo 1 217 uchádzačov z Ukrajiny, z toho 1 121 na prvý stupeň, </w:t>
      </w:r>
      <w:r w:rsidRPr="00232A93">
        <w:rPr>
          <w:rFonts w:asciiTheme="majorHAnsi" w:hAnsiTheme="majorHAnsi" w:cstheme="majorHAnsi"/>
          <w:b/>
        </w:rPr>
        <w:t>zapísalo sa spolu 950 prijatých uchádzačov</w:t>
      </w:r>
      <w:r w:rsidRPr="00232A93">
        <w:rPr>
          <w:rFonts w:asciiTheme="majorHAnsi" w:hAnsiTheme="majorHAnsi" w:cstheme="majorHAnsi"/>
        </w:rPr>
        <w:t xml:space="preserve">, z toho 879 na prvý stupeň, 66 na druhý stupeň a 5 na tretí stupeň. </w:t>
      </w:r>
    </w:p>
    <w:p w14:paraId="11FBF810" w14:textId="77777777" w:rsidR="00232A93" w:rsidRPr="00232A93" w:rsidRDefault="00232A93" w:rsidP="00232A93">
      <w:pPr>
        <w:jc w:val="both"/>
        <w:rPr>
          <w:rFonts w:asciiTheme="majorHAnsi" w:hAnsiTheme="majorHAnsi" w:cstheme="majorHAnsi"/>
        </w:rPr>
      </w:pPr>
      <w:r w:rsidRPr="00232A93">
        <w:rPr>
          <w:rFonts w:asciiTheme="majorHAnsi" w:hAnsiTheme="majorHAnsi" w:cstheme="majorHAnsi"/>
        </w:rPr>
        <w:t xml:space="preserve">Jednotlivé súčasti STU im z dôvodu nedostatočnej jazykovej pripravenosti na štúdium v slovenskom jazyku ponúkali v letných mesiacoch alebo pred začiatkom akademického roka intenzívne kurzy slovenského jazyka a zabezpečovali aj ďalšie formy pomoci pri adaptácii. </w:t>
      </w:r>
      <w:r w:rsidRPr="00232A93">
        <w:rPr>
          <w:rFonts w:asciiTheme="majorHAnsi" w:eastAsia="Times New Roman" w:hAnsiTheme="majorHAnsi" w:cstheme="majorHAnsi"/>
          <w:color w:val="222222"/>
          <w:lang w:eastAsia="sk-SK"/>
        </w:rPr>
        <w:t xml:space="preserve">Výučba ukrajinských študentov je napriek tomu pre jazykovú bariéru zložitá, študenti nerozumejú zadaniam, následne nestíhajú v daných termínoch splniť úlohy, následne majú problém splniť podmienky pre absolvovanie predmetov a získať potrebné kredity na postup do ďalšej časti štúdia. </w:t>
      </w:r>
      <w:r w:rsidRPr="00232A93">
        <w:rPr>
          <w:rFonts w:asciiTheme="majorHAnsi" w:hAnsiTheme="majorHAnsi" w:cstheme="majorHAnsi"/>
        </w:rPr>
        <w:t xml:space="preserve">Na základe týchto skúseností STU prijala opatrenia, v rámci ktorých už v nasledujúcom prijímacom konaní bude požadovať ako ďalšiu z podmienok prijímania na štúdium študijných programov všetkých stupňov znalosť jazyka uskutočňovania študijného programu, na ktorý si uchádzač podá prihlášku, minimálne na úrovni B1. </w:t>
      </w:r>
    </w:p>
    <w:p w14:paraId="0A6834E3" w14:textId="77777777" w:rsidR="00232A93" w:rsidRPr="00232A93" w:rsidRDefault="00232A93" w:rsidP="00232A93">
      <w:pPr>
        <w:jc w:val="both"/>
        <w:rPr>
          <w:rFonts w:asciiTheme="majorHAnsi" w:hAnsiTheme="majorHAnsi" w:cstheme="majorHAnsi"/>
        </w:rPr>
      </w:pPr>
    </w:p>
    <w:p w14:paraId="5AC1AF58" w14:textId="77777777" w:rsidR="00232A93" w:rsidRPr="00232A93" w:rsidRDefault="00232A93" w:rsidP="00232A93">
      <w:pPr>
        <w:tabs>
          <w:tab w:val="left" w:pos="9356"/>
        </w:tabs>
        <w:spacing w:after="120"/>
        <w:jc w:val="both"/>
        <w:rPr>
          <w:rFonts w:asciiTheme="majorHAnsi" w:hAnsiTheme="majorHAnsi" w:cstheme="majorHAnsi"/>
        </w:rPr>
      </w:pPr>
      <w:r w:rsidRPr="00232A93">
        <w:rPr>
          <w:rFonts w:asciiTheme="majorHAnsi" w:hAnsiTheme="majorHAnsi" w:cstheme="majorHAnsi"/>
        </w:rPr>
        <w:lastRenderedPageBreak/>
        <w:t xml:space="preserve">V akademickom roku 2021/2022 sa </w:t>
      </w:r>
      <w:r w:rsidRPr="00232A93">
        <w:rPr>
          <w:rFonts w:asciiTheme="majorHAnsi" w:hAnsiTheme="majorHAnsi" w:cstheme="majorHAnsi"/>
          <w:b/>
        </w:rPr>
        <w:t>uskutočňovala výučba celkovo v</w:t>
      </w:r>
      <w:r w:rsidRPr="00232A93">
        <w:rPr>
          <w:rFonts w:asciiTheme="majorHAnsi" w:hAnsiTheme="majorHAnsi" w:cstheme="majorHAnsi"/>
        </w:rPr>
        <w:t xml:space="preserve"> </w:t>
      </w:r>
      <w:r w:rsidRPr="00232A93">
        <w:rPr>
          <w:rFonts w:asciiTheme="majorHAnsi" w:hAnsiTheme="majorHAnsi" w:cstheme="majorHAnsi"/>
          <w:b/>
        </w:rPr>
        <w:t xml:space="preserve">167 študijných programoch </w:t>
      </w:r>
      <w:r w:rsidRPr="00232A93">
        <w:rPr>
          <w:rFonts w:asciiTheme="majorHAnsi" w:hAnsiTheme="majorHAnsi" w:cstheme="majorHAnsi"/>
        </w:rPr>
        <w:t>(ŠP)</w:t>
      </w:r>
      <w:r w:rsidRPr="00232A93">
        <w:rPr>
          <w:rFonts w:asciiTheme="majorHAnsi" w:hAnsiTheme="majorHAnsi" w:cstheme="majorHAnsi"/>
          <w:b/>
        </w:rPr>
        <w:t xml:space="preserve"> v dennej forme štúdia</w:t>
      </w:r>
      <w:r w:rsidRPr="00232A93">
        <w:rPr>
          <w:rFonts w:asciiTheme="majorHAnsi" w:hAnsiTheme="majorHAnsi" w:cstheme="majorHAnsi"/>
        </w:rPr>
        <w:t xml:space="preserve"> v slovenskom jazyku alebo v jeho kombinácii s anglickým jazykom, resp. slovenského jazyka s anglickým a českým v štruktúre: 58 ŠP na prvom stupni, 57 ŠP na druhom stupni a 52 ŠP na treťom stupni.</w:t>
      </w:r>
      <w:r w:rsidRPr="00232A93">
        <w:rPr>
          <w:rFonts w:asciiTheme="majorHAnsi" w:hAnsiTheme="majorHAnsi" w:cstheme="majorHAnsi"/>
          <w:b/>
        </w:rPr>
        <w:t xml:space="preserve"> V externej forme štúdia a uskutočňovala výučba len na treťom stupni v 43 ŠP</w:t>
      </w:r>
      <w:r w:rsidRPr="00232A93">
        <w:rPr>
          <w:rFonts w:asciiTheme="majorHAnsi" w:hAnsiTheme="majorHAnsi" w:cstheme="majorHAnsi"/>
        </w:rPr>
        <w:t xml:space="preserve">. </w:t>
      </w:r>
      <w:r w:rsidRPr="00232A93">
        <w:rPr>
          <w:rFonts w:asciiTheme="majorHAnsi" w:hAnsiTheme="majorHAnsi" w:cstheme="majorHAnsi"/>
          <w:b/>
        </w:rPr>
        <w:t>V anglickom jazyku</w:t>
      </w:r>
      <w:r w:rsidRPr="00232A93">
        <w:rPr>
          <w:rFonts w:asciiTheme="majorHAnsi" w:hAnsiTheme="majorHAnsi" w:cstheme="majorHAnsi"/>
        </w:rPr>
        <w:t xml:space="preserve"> sa uskutočňovala výučba celkovo v 21 študijných programoch, z toho v dennej forme štúdia na prvom stupni 4 ŠP, na druhom stupni 4 ŠP a na treťom stupni 7 ŠP v dennej forme štúdia a 6 ŠP v externej forme štúdia.</w:t>
      </w:r>
    </w:p>
    <w:p w14:paraId="5370BCBA" w14:textId="77777777" w:rsidR="00232A93" w:rsidRPr="00232A93" w:rsidRDefault="00232A93" w:rsidP="00232A93">
      <w:pPr>
        <w:tabs>
          <w:tab w:val="left" w:pos="9356"/>
        </w:tabs>
        <w:spacing w:after="120"/>
        <w:jc w:val="both"/>
        <w:rPr>
          <w:rFonts w:asciiTheme="majorHAnsi" w:hAnsiTheme="majorHAnsi" w:cstheme="majorHAnsi"/>
        </w:rPr>
      </w:pPr>
      <w:r w:rsidRPr="00232A93">
        <w:rPr>
          <w:rFonts w:asciiTheme="majorHAnsi" w:hAnsiTheme="majorHAnsi" w:cstheme="majorHAnsi"/>
        </w:rPr>
        <w:t xml:space="preserve">STU mala </w:t>
      </w:r>
      <w:r w:rsidRPr="00232A93">
        <w:rPr>
          <w:rFonts w:asciiTheme="majorHAnsi" w:hAnsiTheme="majorHAnsi" w:cstheme="majorHAnsi"/>
          <w:b/>
        </w:rPr>
        <w:t>po zosúladení študijných programov</w:t>
      </w:r>
      <w:r w:rsidRPr="00232A93">
        <w:rPr>
          <w:rFonts w:asciiTheme="majorHAnsi" w:hAnsiTheme="majorHAnsi" w:cstheme="majorHAnsi"/>
        </w:rPr>
        <w:t xml:space="preserve"> na konci akademického roku 2021/2022 celkove </w:t>
      </w:r>
      <w:r w:rsidRPr="00232A93">
        <w:rPr>
          <w:rFonts w:asciiTheme="majorHAnsi" w:hAnsiTheme="majorHAnsi" w:cstheme="majorHAnsi"/>
          <w:b/>
        </w:rPr>
        <w:t xml:space="preserve">202 </w:t>
      </w:r>
      <w:r w:rsidRPr="00232A93">
        <w:rPr>
          <w:rFonts w:asciiTheme="majorHAnsi" w:hAnsiTheme="majorHAnsi" w:cstheme="majorHAnsi"/>
        </w:rPr>
        <w:t>akreditovaných</w:t>
      </w:r>
      <w:r w:rsidRPr="00232A93">
        <w:rPr>
          <w:rFonts w:asciiTheme="majorHAnsi" w:hAnsiTheme="majorHAnsi" w:cstheme="majorHAnsi"/>
          <w:b/>
        </w:rPr>
        <w:t xml:space="preserve"> </w:t>
      </w:r>
      <w:r w:rsidRPr="00232A93">
        <w:rPr>
          <w:rFonts w:asciiTheme="majorHAnsi" w:hAnsiTheme="majorHAnsi" w:cstheme="majorHAnsi"/>
        </w:rPr>
        <w:t xml:space="preserve">študijných programov uskutočňovaných </w:t>
      </w:r>
      <w:r w:rsidRPr="00232A93">
        <w:rPr>
          <w:rFonts w:asciiTheme="majorHAnsi" w:hAnsiTheme="majorHAnsi" w:cstheme="majorHAnsi"/>
          <w:b/>
        </w:rPr>
        <w:t>v štátnom jazyku</w:t>
      </w:r>
      <w:r w:rsidRPr="00232A93">
        <w:rPr>
          <w:rFonts w:asciiTheme="majorHAnsi" w:hAnsiTheme="majorHAnsi" w:cstheme="majorHAnsi"/>
        </w:rPr>
        <w:t xml:space="preserve"> a  </w:t>
      </w:r>
      <w:r w:rsidRPr="00232A93">
        <w:rPr>
          <w:rFonts w:asciiTheme="majorHAnsi" w:hAnsiTheme="majorHAnsi" w:cstheme="majorHAnsi"/>
          <w:b/>
        </w:rPr>
        <w:t>122</w:t>
      </w:r>
      <w:r w:rsidRPr="00232A93">
        <w:rPr>
          <w:rFonts w:asciiTheme="majorHAnsi" w:hAnsiTheme="majorHAnsi" w:cstheme="majorHAnsi"/>
        </w:rPr>
        <w:t xml:space="preserve"> študijných programov</w:t>
      </w:r>
      <w:r w:rsidRPr="00232A93">
        <w:rPr>
          <w:rFonts w:asciiTheme="majorHAnsi" w:hAnsiTheme="majorHAnsi" w:cstheme="majorHAnsi"/>
          <w:b/>
        </w:rPr>
        <w:t xml:space="preserve"> </w:t>
      </w:r>
      <w:r w:rsidRPr="00232A93">
        <w:rPr>
          <w:rFonts w:asciiTheme="majorHAnsi" w:hAnsiTheme="majorHAnsi" w:cstheme="majorHAnsi"/>
        </w:rPr>
        <w:t xml:space="preserve">uskutočňovaných </w:t>
      </w:r>
      <w:r w:rsidRPr="00232A93">
        <w:rPr>
          <w:rFonts w:asciiTheme="majorHAnsi" w:hAnsiTheme="majorHAnsi" w:cstheme="majorHAnsi"/>
          <w:b/>
        </w:rPr>
        <w:t>výlučne v anglickom jazyku</w:t>
      </w:r>
      <w:r w:rsidRPr="00232A93">
        <w:rPr>
          <w:rFonts w:asciiTheme="majorHAnsi" w:hAnsiTheme="majorHAnsi" w:cstheme="majorHAnsi"/>
        </w:rPr>
        <w:t xml:space="preserve"> v rámci všetkých troch stupňov štúdia v dennej aj externej forme (na prvom a druhom stupni štúdia len v dennej forme) v </w:t>
      </w:r>
      <w:r w:rsidRPr="00232A93">
        <w:rPr>
          <w:rFonts w:asciiTheme="majorHAnsi" w:hAnsiTheme="majorHAnsi" w:cstheme="majorHAnsi"/>
          <w:b/>
        </w:rPr>
        <w:t>17 študijných odboroch</w:t>
      </w:r>
      <w:r w:rsidRPr="00232A93">
        <w:rPr>
          <w:rFonts w:asciiTheme="majorHAnsi" w:hAnsiTheme="majorHAnsi" w:cstheme="majorHAnsi"/>
        </w:rPr>
        <w:t xml:space="preserve">. Na prvom stupni štúdia mala STU akreditovaných 52 študijných programov, na druhom stupni štúdia 52 študijných programov, na treťom stupni štúdia 51 študijných programov v dennej forme štúdia a 47 v externej forme štúdia v štátnom jazyku. Z celkového počtu akreditovaných študijných programov v štátnom jazyku bolo </w:t>
      </w:r>
      <w:r w:rsidRPr="00232A93">
        <w:rPr>
          <w:rFonts w:asciiTheme="majorHAnsi" w:hAnsiTheme="majorHAnsi" w:cstheme="majorHAnsi"/>
          <w:b/>
        </w:rPr>
        <w:t xml:space="preserve">67 nových </w:t>
      </w:r>
      <w:r w:rsidRPr="00232A93">
        <w:rPr>
          <w:rFonts w:asciiTheme="majorHAnsi" w:hAnsiTheme="majorHAnsi" w:cstheme="majorHAnsi"/>
        </w:rPr>
        <w:t>(ktoré boli akreditované ako nové a nie je možné ich upravovať)</w:t>
      </w:r>
      <w:r w:rsidRPr="00232A93">
        <w:rPr>
          <w:rFonts w:asciiTheme="majorHAnsi" w:hAnsiTheme="majorHAnsi" w:cstheme="majorHAnsi"/>
          <w:b/>
        </w:rPr>
        <w:t xml:space="preserve"> </w:t>
      </w:r>
      <w:r w:rsidRPr="00232A93">
        <w:rPr>
          <w:rFonts w:asciiTheme="majorHAnsi" w:hAnsiTheme="majorHAnsi" w:cstheme="majorHAnsi"/>
        </w:rPr>
        <w:t>a </w:t>
      </w:r>
      <w:r w:rsidRPr="00232A93">
        <w:rPr>
          <w:rFonts w:asciiTheme="majorHAnsi" w:hAnsiTheme="majorHAnsi" w:cstheme="majorHAnsi"/>
          <w:b/>
        </w:rPr>
        <w:t>135</w:t>
      </w:r>
      <w:r w:rsidRPr="00232A93">
        <w:rPr>
          <w:rFonts w:asciiTheme="majorHAnsi" w:hAnsiTheme="majorHAnsi" w:cstheme="majorHAnsi"/>
        </w:rPr>
        <w:t xml:space="preserve"> </w:t>
      </w:r>
      <w:r w:rsidRPr="00232A93">
        <w:rPr>
          <w:rFonts w:asciiTheme="majorHAnsi" w:hAnsiTheme="majorHAnsi" w:cstheme="majorHAnsi"/>
          <w:b/>
        </w:rPr>
        <w:t>existujúcich</w:t>
      </w:r>
      <w:r w:rsidRPr="00232A93">
        <w:rPr>
          <w:rFonts w:asciiTheme="majorHAnsi" w:hAnsiTheme="majorHAnsi" w:cstheme="majorHAnsi"/>
        </w:rPr>
        <w:t xml:space="preserve"> (ktoré boli reakreditované a je možné ich upravovať) študijných programov. STU má jeden </w:t>
      </w:r>
      <w:r w:rsidRPr="00232A93">
        <w:rPr>
          <w:rFonts w:asciiTheme="majorHAnsi" w:hAnsiTheme="majorHAnsi" w:cstheme="majorHAnsi"/>
          <w:b/>
        </w:rPr>
        <w:t xml:space="preserve">profesijne orientovaný bakalársky študijný program </w:t>
      </w:r>
      <w:r w:rsidRPr="00232A93">
        <w:rPr>
          <w:rFonts w:asciiTheme="majorHAnsi" w:hAnsiTheme="majorHAnsi" w:cstheme="majorHAnsi"/>
        </w:rPr>
        <w:t xml:space="preserve">„prevádzkový technik dopravnej a výrobnej techniky“ uskutočňovaný na SjF. </w:t>
      </w:r>
    </w:p>
    <w:p w14:paraId="27050BC8" w14:textId="77777777" w:rsidR="00232A93" w:rsidRPr="00232A93" w:rsidRDefault="00232A93" w:rsidP="00232A93">
      <w:pPr>
        <w:tabs>
          <w:tab w:val="left" w:pos="9356"/>
        </w:tabs>
        <w:spacing w:after="120"/>
        <w:jc w:val="both"/>
        <w:rPr>
          <w:rFonts w:asciiTheme="majorHAnsi" w:hAnsiTheme="majorHAnsi" w:cstheme="majorHAnsi"/>
          <w:b/>
        </w:rPr>
      </w:pPr>
      <w:r w:rsidRPr="00232A93">
        <w:rPr>
          <w:rFonts w:asciiTheme="majorHAnsi" w:hAnsiTheme="majorHAnsi" w:cstheme="majorHAnsi"/>
          <w:b/>
        </w:rPr>
        <w:t xml:space="preserve">Celkový počet študentov </w:t>
      </w:r>
      <w:r w:rsidRPr="00232A93">
        <w:rPr>
          <w:rFonts w:asciiTheme="majorHAnsi" w:hAnsiTheme="majorHAnsi" w:cstheme="majorHAnsi"/>
        </w:rPr>
        <w:t>na STU v akademickom roku 2021/2022 bol</w:t>
      </w:r>
      <w:r w:rsidRPr="00232A93">
        <w:rPr>
          <w:rFonts w:asciiTheme="majorHAnsi" w:hAnsiTheme="majorHAnsi" w:cstheme="majorHAnsi"/>
          <w:b/>
        </w:rPr>
        <w:t xml:space="preserve"> 10 543</w:t>
      </w:r>
      <w:r w:rsidRPr="00232A93">
        <w:rPr>
          <w:rFonts w:asciiTheme="majorHAnsi" w:hAnsiTheme="majorHAnsi" w:cstheme="majorHAnsi"/>
        </w:rPr>
        <w:t xml:space="preserve">, z toho na prvom stupni 6 842, na druhom stupni 2 923 a na treťom stupni 778, z toho 608 v dennej forme a 170 v externej forme štúdia. V porovnaní s akademickým rokom 2020/2021 STU zaznamenala </w:t>
      </w:r>
      <w:r w:rsidRPr="00232A93">
        <w:rPr>
          <w:rFonts w:asciiTheme="majorHAnsi" w:hAnsiTheme="majorHAnsi" w:cstheme="majorHAnsi"/>
          <w:b/>
        </w:rPr>
        <w:t xml:space="preserve">celkový pokles študentov o 1 %, </w:t>
      </w:r>
      <w:r w:rsidRPr="00232A93">
        <w:rPr>
          <w:rFonts w:asciiTheme="majorHAnsi" w:hAnsiTheme="majorHAnsi" w:cstheme="majorHAnsi"/>
        </w:rPr>
        <w:t xml:space="preserve">hoci </w:t>
      </w:r>
      <w:r w:rsidRPr="00232A93">
        <w:rPr>
          <w:rFonts w:asciiTheme="majorHAnsi" w:hAnsiTheme="majorHAnsi" w:cstheme="majorHAnsi"/>
          <w:b/>
        </w:rPr>
        <w:t>na treťom stupni štúdia</w:t>
      </w:r>
      <w:r w:rsidRPr="00232A93">
        <w:rPr>
          <w:rFonts w:asciiTheme="majorHAnsi" w:hAnsiTheme="majorHAnsi" w:cstheme="majorHAnsi"/>
        </w:rPr>
        <w:t xml:space="preserve"> bol v akademickom roku 2021/2022 zaznamenaný</w:t>
      </w:r>
      <w:r w:rsidRPr="00232A93">
        <w:rPr>
          <w:rFonts w:asciiTheme="majorHAnsi" w:hAnsiTheme="majorHAnsi" w:cstheme="majorHAnsi"/>
          <w:b/>
        </w:rPr>
        <w:t xml:space="preserve"> mierny medziročný nárast </w:t>
      </w:r>
      <w:r w:rsidRPr="00232A93">
        <w:rPr>
          <w:rFonts w:asciiTheme="majorHAnsi" w:hAnsiTheme="majorHAnsi" w:cstheme="majorHAnsi"/>
        </w:rPr>
        <w:t>počtu študentov</w:t>
      </w:r>
      <w:r w:rsidRPr="00232A93">
        <w:rPr>
          <w:rFonts w:asciiTheme="majorHAnsi" w:hAnsiTheme="majorHAnsi" w:cstheme="majorHAnsi"/>
          <w:b/>
        </w:rPr>
        <w:t xml:space="preserve"> o necelé 4 %.</w:t>
      </w:r>
    </w:p>
    <w:p w14:paraId="07A1B3D4" w14:textId="614D576D" w:rsidR="00232A93" w:rsidRPr="00232A93" w:rsidRDefault="00232A93" w:rsidP="00232A93">
      <w:pPr>
        <w:tabs>
          <w:tab w:val="left" w:pos="9356"/>
          <w:tab w:val="left" w:pos="9498"/>
        </w:tabs>
        <w:jc w:val="both"/>
        <w:rPr>
          <w:rFonts w:asciiTheme="majorHAnsi" w:hAnsiTheme="majorHAnsi" w:cstheme="majorHAnsi"/>
        </w:rPr>
      </w:pPr>
      <w:r w:rsidRPr="00232A93">
        <w:rPr>
          <w:rFonts w:asciiTheme="majorHAnsi" w:hAnsiTheme="majorHAnsi" w:cstheme="majorHAnsi"/>
          <w:b/>
        </w:rPr>
        <w:t>V prijímacom konaní 2022/2023 sa do prvých ročníkov celkovo zapísalo 5 167 nových študentov;</w:t>
      </w:r>
      <w:r w:rsidRPr="00232A93">
        <w:rPr>
          <w:rFonts w:asciiTheme="majorHAnsi" w:hAnsiTheme="majorHAnsi" w:cstheme="majorHAnsi"/>
        </w:rPr>
        <w:t xml:space="preserve"> na prvom stupni štúdia 3 491 študentov, 1 510 študentov na druhom stupni štúdia a na treťom stupni štúdia 166 študentov, z toho 125 v dennej forme a 41 v  externej. Oproti akademickému roku 2021/2022 to znamená </w:t>
      </w:r>
      <w:r w:rsidRPr="00232A93">
        <w:rPr>
          <w:rFonts w:asciiTheme="majorHAnsi" w:hAnsiTheme="majorHAnsi" w:cstheme="majorHAnsi"/>
          <w:b/>
        </w:rPr>
        <w:t>nárast o 25 %</w:t>
      </w:r>
      <w:r w:rsidRPr="00232A93">
        <w:rPr>
          <w:rFonts w:asciiTheme="majorHAnsi" w:hAnsiTheme="majorHAnsi" w:cstheme="majorHAnsi"/>
        </w:rPr>
        <w:t xml:space="preserve"> n</w:t>
      </w:r>
      <w:r w:rsidR="00FE5EFF">
        <w:rPr>
          <w:rFonts w:asciiTheme="majorHAnsi" w:hAnsiTheme="majorHAnsi" w:cstheme="majorHAnsi"/>
        </w:rPr>
        <w:t>a prvom stupni štúdia,</w:t>
      </w:r>
      <w:r w:rsidRPr="00232A93">
        <w:rPr>
          <w:rFonts w:asciiTheme="majorHAnsi" w:hAnsiTheme="majorHAnsi" w:cstheme="majorHAnsi"/>
        </w:rPr>
        <w:t xml:space="preserve"> pokles </w:t>
      </w:r>
      <w:r w:rsidRPr="00232A93">
        <w:rPr>
          <w:rFonts w:asciiTheme="majorHAnsi" w:hAnsiTheme="majorHAnsi" w:cstheme="majorHAnsi"/>
          <w:b/>
        </w:rPr>
        <w:t>o 4 %</w:t>
      </w:r>
      <w:r w:rsidRPr="00232A93">
        <w:rPr>
          <w:rFonts w:asciiTheme="majorHAnsi" w:hAnsiTheme="majorHAnsi" w:cstheme="majorHAnsi"/>
        </w:rPr>
        <w:t xml:space="preserve"> na druhom stupni a </w:t>
      </w:r>
      <w:r w:rsidRPr="00232A93">
        <w:rPr>
          <w:rFonts w:asciiTheme="majorHAnsi" w:hAnsiTheme="majorHAnsi" w:cstheme="majorHAnsi"/>
          <w:b/>
        </w:rPr>
        <w:t xml:space="preserve">o 20 % </w:t>
      </w:r>
      <w:r w:rsidRPr="00232A93">
        <w:rPr>
          <w:rFonts w:asciiTheme="majorHAnsi" w:hAnsiTheme="majorHAnsi" w:cstheme="majorHAnsi"/>
        </w:rPr>
        <w:t>na</w:t>
      </w:r>
      <w:r w:rsidRPr="00232A93">
        <w:rPr>
          <w:rFonts w:asciiTheme="majorHAnsi" w:hAnsiTheme="majorHAnsi" w:cstheme="majorHAnsi"/>
          <w:b/>
        </w:rPr>
        <w:t xml:space="preserve"> </w:t>
      </w:r>
      <w:r w:rsidRPr="00232A93">
        <w:rPr>
          <w:rFonts w:asciiTheme="majorHAnsi" w:hAnsiTheme="majorHAnsi" w:cstheme="majorHAnsi"/>
        </w:rPr>
        <w:t>treťom stupni štúdia. Počet zapísaných študentov na prvom stupni vzrástol vďaka vyššiemu počtu zahraničných uchádzačov, najmä z Ukrajiny.</w:t>
      </w:r>
    </w:p>
    <w:p w14:paraId="617C7A05" w14:textId="77777777" w:rsidR="00232A93" w:rsidRPr="00232A93" w:rsidRDefault="00232A93" w:rsidP="00232A93">
      <w:pPr>
        <w:tabs>
          <w:tab w:val="left" w:pos="9356"/>
          <w:tab w:val="left" w:pos="9498"/>
        </w:tabs>
        <w:jc w:val="both"/>
        <w:rPr>
          <w:rFonts w:asciiTheme="majorHAnsi" w:hAnsiTheme="majorHAnsi" w:cstheme="majorHAnsi"/>
        </w:rPr>
      </w:pPr>
    </w:p>
    <w:p w14:paraId="7F61FFE2" w14:textId="77777777" w:rsidR="00232A93" w:rsidRPr="00232A93" w:rsidRDefault="00232A93" w:rsidP="00232A93">
      <w:pPr>
        <w:tabs>
          <w:tab w:val="left" w:pos="9356"/>
          <w:tab w:val="left" w:pos="9498"/>
        </w:tabs>
        <w:jc w:val="both"/>
        <w:rPr>
          <w:rFonts w:asciiTheme="majorHAnsi" w:hAnsiTheme="majorHAnsi" w:cstheme="majorHAnsi"/>
        </w:rPr>
      </w:pPr>
      <w:r w:rsidRPr="00232A93">
        <w:rPr>
          <w:rFonts w:asciiTheme="majorHAnsi" w:hAnsiTheme="majorHAnsi" w:cstheme="majorHAnsi"/>
          <w:b/>
        </w:rPr>
        <w:t xml:space="preserve">Celoslovenský záber STU </w:t>
      </w:r>
      <w:r w:rsidRPr="00232A93">
        <w:rPr>
          <w:rFonts w:asciiTheme="majorHAnsi" w:hAnsiTheme="majorHAnsi" w:cstheme="majorHAnsi"/>
        </w:rPr>
        <w:t xml:space="preserve">dokumentuje fakt, že len 18,7 % študentov je z Bratislavského kraja (z Trnavského kraja, kde má sídlo MTF STU, je 16,3 % študentov). </w:t>
      </w:r>
    </w:p>
    <w:p w14:paraId="6DA27AC8" w14:textId="77777777" w:rsidR="00232A93" w:rsidRPr="00232A93" w:rsidRDefault="00232A93" w:rsidP="00232A93">
      <w:pPr>
        <w:tabs>
          <w:tab w:val="left" w:pos="9356"/>
        </w:tabs>
        <w:spacing w:after="120"/>
        <w:jc w:val="both"/>
        <w:rPr>
          <w:rFonts w:asciiTheme="majorHAnsi" w:hAnsiTheme="majorHAnsi" w:cstheme="majorHAnsi"/>
        </w:rPr>
      </w:pPr>
      <w:r w:rsidRPr="00232A93">
        <w:rPr>
          <w:rFonts w:asciiTheme="majorHAnsi" w:hAnsiTheme="majorHAnsi" w:cstheme="majorHAnsi"/>
          <w:b/>
        </w:rPr>
        <w:t>Zahraničných študentov</w:t>
      </w:r>
      <w:r w:rsidRPr="00232A93">
        <w:rPr>
          <w:rFonts w:asciiTheme="majorHAnsi" w:hAnsiTheme="majorHAnsi" w:cstheme="majorHAnsi"/>
        </w:rPr>
        <w:t xml:space="preserve"> riadneho štúdia v porovnaní s akademickým rokom 2020/2021 </w:t>
      </w:r>
      <w:r w:rsidRPr="00232A93">
        <w:rPr>
          <w:rFonts w:asciiTheme="majorHAnsi" w:hAnsiTheme="majorHAnsi" w:cstheme="majorHAnsi"/>
          <w:b/>
        </w:rPr>
        <w:t>pribudlo o</w:t>
      </w:r>
      <w:r w:rsidRPr="00232A93">
        <w:rPr>
          <w:rFonts w:asciiTheme="majorHAnsi" w:hAnsiTheme="majorHAnsi" w:cstheme="majorHAnsi"/>
        </w:rPr>
        <w:t xml:space="preserve"> </w:t>
      </w:r>
      <w:r w:rsidRPr="00232A93">
        <w:rPr>
          <w:rFonts w:asciiTheme="majorHAnsi" w:hAnsiTheme="majorHAnsi" w:cstheme="majorHAnsi"/>
          <w:b/>
        </w:rPr>
        <w:t>34 %,</w:t>
      </w:r>
      <w:r w:rsidRPr="00232A93">
        <w:rPr>
          <w:rFonts w:asciiTheme="majorHAnsi" w:hAnsiTheme="majorHAnsi" w:cstheme="majorHAnsi"/>
        </w:rPr>
        <w:t xml:space="preserve"> v akademickom roku 2021/2022 ich bolo </w:t>
      </w:r>
      <w:r w:rsidRPr="00232A93">
        <w:rPr>
          <w:rFonts w:asciiTheme="majorHAnsi" w:hAnsiTheme="majorHAnsi" w:cstheme="majorHAnsi"/>
          <w:b/>
        </w:rPr>
        <w:t>9,4 %</w:t>
      </w:r>
      <w:r w:rsidRPr="00232A93">
        <w:rPr>
          <w:rFonts w:asciiTheme="majorHAnsi" w:hAnsiTheme="majorHAnsi" w:cstheme="majorHAnsi"/>
        </w:rPr>
        <w:t xml:space="preserve"> z celkového počtu študentov STU, najviac z Ukrajiny (489 z celkového počtu 987 zahraničných študentov).</w:t>
      </w:r>
    </w:p>
    <w:p w14:paraId="0D4D4A43" w14:textId="77777777" w:rsidR="00232A93" w:rsidRPr="00232A93" w:rsidRDefault="00232A93" w:rsidP="00232A93">
      <w:pPr>
        <w:tabs>
          <w:tab w:val="left" w:pos="9356"/>
        </w:tabs>
        <w:spacing w:after="120"/>
        <w:jc w:val="both"/>
        <w:rPr>
          <w:rFonts w:asciiTheme="majorHAnsi" w:hAnsiTheme="majorHAnsi" w:cstheme="majorHAnsi"/>
        </w:rPr>
      </w:pPr>
      <w:r w:rsidRPr="00232A93">
        <w:rPr>
          <w:rFonts w:asciiTheme="majorHAnsi" w:hAnsiTheme="majorHAnsi" w:cstheme="majorHAnsi"/>
        </w:rPr>
        <w:t xml:space="preserve">V rámci medzinárodných akademických mobilít bol zaznamenaný </w:t>
      </w:r>
      <w:r w:rsidRPr="00232A93">
        <w:rPr>
          <w:rFonts w:asciiTheme="majorHAnsi" w:hAnsiTheme="majorHAnsi" w:cstheme="majorHAnsi"/>
          <w:b/>
        </w:rPr>
        <w:t>nárast prijatých</w:t>
      </w:r>
      <w:r w:rsidRPr="00232A93">
        <w:rPr>
          <w:rFonts w:asciiTheme="majorHAnsi" w:hAnsiTheme="majorHAnsi" w:cstheme="majorHAnsi"/>
        </w:rPr>
        <w:t xml:space="preserve"> študentov</w:t>
      </w:r>
      <w:r w:rsidRPr="00232A93">
        <w:rPr>
          <w:rFonts w:asciiTheme="majorHAnsi" w:hAnsiTheme="majorHAnsi" w:cstheme="majorHAnsi"/>
          <w:b/>
        </w:rPr>
        <w:t xml:space="preserve"> o 37 % </w:t>
      </w:r>
      <w:r w:rsidRPr="00232A93">
        <w:rPr>
          <w:rFonts w:asciiTheme="majorHAnsi" w:hAnsiTheme="majorHAnsi" w:cstheme="majorHAnsi"/>
        </w:rPr>
        <w:t>a </w:t>
      </w:r>
      <w:r w:rsidRPr="00232A93">
        <w:rPr>
          <w:rFonts w:asciiTheme="majorHAnsi" w:hAnsiTheme="majorHAnsi" w:cstheme="majorHAnsi"/>
          <w:b/>
        </w:rPr>
        <w:t>vyslaných</w:t>
      </w:r>
      <w:r w:rsidRPr="00232A93">
        <w:rPr>
          <w:rFonts w:asciiTheme="majorHAnsi" w:hAnsiTheme="majorHAnsi" w:cstheme="majorHAnsi"/>
        </w:rPr>
        <w:t xml:space="preserve"> </w:t>
      </w:r>
      <w:r w:rsidRPr="00232A93">
        <w:rPr>
          <w:rFonts w:asciiTheme="majorHAnsi" w:hAnsiTheme="majorHAnsi" w:cstheme="majorHAnsi"/>
          <w:b/>
        </w:rPr>
        <w:t>o</w:t>
      </w:r>
      <w:r w:rsidRPr="00232A93">
        <w:rPr>
          <w:rFonts w:asciiTheme="majorHAnsi" w:hAnsiTheme="majorHAnsi" w:cstheme="majorHAnsi"/>
        </w:rPr>
        <w:t xml:space="preserve"> </w:t>
      </w:r>
      <w:r w:rsidRPr="00232A93">
        <w:rPr>
          <w:rFonts w:asciiTheme="majorHAnsi" w:hAnsiTheme="majorHAnsi" w:cstheme="majorHAnsi"/>
          <w:b/>
        </w:rPr>
        <w:t>67 %</w:t>
      </w:r>
      <w:r w:rsidRPr="00232A93">
        <w:rPr>
          <w:rFonts w:asciiTheme="majorHAnsi" w:hAnsiTheme="majorHAnsi" w:cstheme="majorHAnsi"/>
        </w:rPr>
        <w:t xml:space="preserve"> oproti akademickému roku 2020/2021. V akademickom roku 2021/2022 v rámci výmenného programu ERASMUS+ vycestovalo </w:t>
      </w:r>
      <w:r w:rsidRPr="00232A93">
        <w:rPr>
          <w:rFonts w:asciiTheme="majorHAnsi" w:hAnsiTheme="majorHAnsi" w:cstheme="majorHAnsi"/>
          <w:b/>
        </w:rPr>
        <w:t>252</w:t>
      </w:r>
      <w:r w:rsidRPr="00232A93">
        <w:rPr>
          <w:rFonts w:asciiTheme="majorHAnsi" w:hAnsiTheme="majorHAnsi" w:cstheme="majorHAnsi"/>
        </w:rPr>
        <w:t xml:space="preserve"> študentov STU a pricestovalo </w:t>
      </w:r>
      <w:r w:rsidRPr="00232A93">
        <w:rPr>
          <w:rFonts w:asciiTheme="majorHAnsi" w:hAnsiTheme="majorHAnsi" w:cstheme="majorHAnsi"/>
          <w:b/>
        </w:rPr>
        <w:t>208</w:t>
      </w:r>
      <w:r w:rsidRPr="00232A93">
        <w:rPr>
          <w:rFonts w:asciiTheme="majorHAnsi" w:hAnsiTheme="majorHAnsi" w:cstheme="majorHAnsi"/>
        </w:rPr>
        <w:t xml:space="preserve"> študentov iných vysokých škôl. Súviselo to s uvoľňovaním pandemických obmedzení.</w:t>
      </w:r>
    </w:p>
    <w:p w14:paraId="6926ACB3" w14:textId="77777777" w:rsidR="00232A93" w:rsidRPr="00232A93" w:rsidRDefault="00232A93" w:rsidP="00232A93">
      <w:pPr>
        <w:shd w:val="clear" w:color="auto" w:fill="FFFFFF"/>
        <w:tabs>
          <w:tab w:val="left" w:pos="9356"/>
        </w:tabs>
        <w:spacing w:after="120"/>
        <w:jc w:val="both"/>
        <w:rPr>
          <w:rFonts w:asciiTheme="majorHAnsi" w:hAnsiTheme="majorHAnsi" w:cstheme="majorHAnsi"/>
        </w:rPr>
      </w:pPr>
      <w:r w:rsidRPr="00232A93">
        <w:rPr>
          <w:rFonts w:asciiTheme="majorHAnsi" w:hAnsiTheme="majorHAnsi" w:cstheme="majorHAnsi"/>
          <w:shd w:val="clear" w:color="auto" w:fill="FFFFFF"/>
        </w:rPr>
        <w:t xml:space="preserve">V akademickom roku 2021/2022 na STU riadne </w:t>
      </w:r>
      <w:r w:rsidRPr="00232A93">
        <w:rPr>
          <w:rFonts w:asciiTheme="majorHAnsi" w:hAnsiTheme="majorHAnsi" w:cstheme="majorHAnsi"/>
          <w:b/>
          <w:shd w:val="clear" w:color="auto" w:fill="FFFFFF"/>
        </w:rPr>
        <w:t>skončilo štúdium 2 689 absolventov</w:t>
      </w:r>
      <w:r w:rsidRPr="00232A93">
        <w:rPr>
          <w:rFonts w:asciiTheme="majorHAnsi" w:hAnsiTheme="majorHAnsi" w:cstheme="majorHAnsi"/>
          <w:shd w:val="clear" w:color="auto" w:fill="FFFFFF"/>
        </w:rPr>
        <w:t>, z toho na prvom stupni 1 386 absolventov, na druhom stupni 1 172 absolventov a na treťom stupni 131 absolventov, z toho 109 v dennej forme a 22 v externej forme štúdia</w:t>
      </w:r>
      <w:r w:rsidRPr="00232A93">
        <w:rPr>
          <w:rFonts w:asciiTheme="majorHAnsi" w:hAnsiTheme="majorHAnsi" w:cstheme="majorHAnsi"/>
        </w:rPr>
        <w:t xml:space="preserve">. STU má od svojho vzniku do konca roku 2022 poskytla vysokoškolské vzdelanie </w:t>
      </w:r>
      <w:r w:rsidRPr="00232A93">
        <w:rPr>
          <w:rFonts w:asciiTheme="majorHAnsi" w:hAnsiTheme="majorHAnsi" w:cstheme="majorHAnsi"/>
          <w:b/>
          <w:shd w:val="clear" w:color="auto" w:fill="FFFFFF"/>
        </w:rPr>
        <w:t xml:space="preserve">174 133 absolventom, </w:t>
      </w:r>
      <w:r w:rsidRPr="00232A93">
        <w:rPr>
          <w:rFonts w:asciiTheme="majorHAnsi" w:hAnsiTheme="majorHAnsi" w:cstheme="majorHAnsi"/>
          <w:shd w:val="clear" w:color="auto" w:fill="FFFFFF"/>
        </w:rPr>
        <w:t>z toho 45 094 na prvom stupni, 124 908 na druhom stupni a 4 131 na treťom stupni štúdia.</w:t>
      </w:r>
      <w:r w:rsidRPr="00232A93">
        <w:rPr>
          <w:rFonts w:asciiTheme="majorHAnsi" w:hAnsiTheme="majorHAnsi" w:cstheme="majorHAnsi"/>
        </w:rPr>
        <w:t xml:space="preserve"> </w:t>
      </w:r>
    </w:p>
    <w:p w14:paraId="0BBC505B" w14:textId="77777777" w:rsidR="00232A93" w:rsidRPr="00232A93" w:rsidRDefault="00232A93" w:rsidP="00232A93">
      <w:pPr>
        <w:shd w:val="clear" w:color="auto" w:fill="FFFFFF"/>
        <w:tabs>
          <w:tab w:val="left" w:pos="9356"/>
        </w:tabs>
        <w:spacing w:after="120"/>
        <w:jc w:val="both"/>
        <w:rPr>
          <w:rFonts w:asciiTheme="majorHAnsi" w:hAnsiTheme="majorHAnsi" w:cstheme="majorHAnsi"/>
        </w:rPr>
      </w:pPr>
      <w:r w:rsidRPr="00232A93">
        <w:rPr>
          <w:rFonts w:asciiTheme="majorHAnsi" w:hAnsiTheme="majorHAnsi" w:cstheme="majorHAnsi"/>
          <w:b/>
        </w:rPr>
        <w:lastRenderedPageBreak/>
        <w:t xml:space="preserve">STU patrí medzi najúspešnejšie vysoké školy na Slovensku v uplatniteľnosti absolventov. </w:t>
      </w:r>
      <w:r w:rsidRPr="00232A93">
        <w:rPr>
          <w:rFonts w:asciiTheme="majorHAnsi" w:hAnsiTheme="majorHAnsi" w:cstheme="majorHAnsi"/>
        </w:rPr>
        <w:t xml:space="preserve">Atraktívnosť a kvalitu poskytovaného vysokoškolského vzdelávania vidieť z percenta evidovaných nezamestnaných absolventov vysokých škôl, ktoré si STU udržiava dlhodobo medzi najnižšími </w:t>
      </w:r>
      <w:r w:rsidRPr="00232A93">
        <w:rPr>
          <w:rFonts w:asciiTheme="majorHAnsi" w:hAnsiTheme="majorHAnsi" w:cstheme="majorHAnsi"/>
          <w:b/>
        </w:rPr>
        <w:t>(5,1 %)</w:t>
      </w:r>
      <w:r w:rsidRPr="00232A93">
        <w:rPr>
          <w:rFonts w:asciiTheme="majorHAnsi" w:hAnsiTheme="majorHAnsi" w:cstheme="majorHAnsi"/>
        </w:rPr>
        <w:t xml:space="preserve"> v porovnaní s ostatnými verejnými vysokými školami. </w:t>
      </w:r>
    </w:p>
    <w:p w14:paraId="52637A2A" w14:textId="77777777" w:rsidR="00232A93" w:rsidRPr="00232A93" w:rsidRDefault="00232A93" w:rsidP="00232A93">
      <w:pPr>
        <w:tabs>
          <w:tab w:val="left" w:pos="9356"/>
        </w:tabs>
        <w:spacing w:after="120"/>
        <w:jc w:val="both"/>
        <w:rPr>
          <w:rFonts w:asciiTheme="majorHAnsi" w:hAnsiTheme="majorHAnsi" w:cstheme="majorHAnsi"/>
        </w:rPr>
      </w:pPr>
      <w:r w:rsidRPr="00232A93">
        <w:rPr>
          <w:rFonts w:asciiTheme="majorHAnsi" w:hAnsiTheme="majorHAnsi" w:cstheme="majorHAnsi"/>
          <w:b/>
        </w:rPr>
        <w:t>Študenti STU získali</w:t>
      </w:r>
      <w:r w:rsidRPr="00232A93">
        <w:rPr>
          <w:rFonts w:asciiTheme="majorHAnsi" w:hAnsiTheme="majorHAnsi" w:cstheme="majorHAnsi"/>
        </w:rPr>
        <w:t xml:space="preserve"> v akademickom roku 2021/2022 </w:t>
      </w:r>
      <w:r w:rsidRPr="00232A93">
        <w:rPr>
          <w:rFonts w:asciiTheme="majorHAnsi" w:hAnsiTheme="majorHAnsi" w:cstheme="majorHAnsi"/>
          <w:b/>
        </w:rPr>
        <w:t xml:space="preserve">spolu 152 významných ocenení na národnej úrovni mimo univerzity a 22 ocenení na medzinárodnej úrovni. </w:t>
      </w:r>
      <w:r w:rsidRPr="00232A93">
        <w:rPr>
          <w:rFonts w:asciiTheme="majorHAnsi" w:hAnsiTheme="majorHAnsi" w:cstheme="majorHAnsi"/>
          <w:shd w:val="clear" w:color="auto" w:fill="FFFFFF"/>
        </w:rPr>
        <w:t>Celkový počet ocenení, ktoré získali jednotliví študenti alebo kolektívy študentov v rámci STU, bol v hodnotenom akademickom roku 554. V porovnaní s akademickým rokom 2020/2021 bolo v rámci univerzity udelených o 147 ocenení menej.</w:t>
      </w:r>
    </w:p>
    <w:p w14:paraId="4D52858F" w14:textId="77777777" w:rsidR="00232A93" w:rsidRPr="00232A93" w:rsidRDefault="00232A93" w:rsidP="00232A93">
      <w:pPr>
        <w:jc w:val="both"/>
        <w:rPr>
          <w:rFonts w:asciiTheme="majorHAnsi" w:hAnsiTheme="majorHAnsi" w:cstheme="majorHAnsi"/>
        </w:rPr>
      </w:pPr>
      <w:r w:rsidRPr="00232A93">
        <w:rPr>
          <w:rFonts w:asciiTheme="majorHAnsi" w:hAnsiTheme="majorHAnsi" w:cstheme="majorHAnsi"/>
          <w:b/>
        </w:rPr>
        <w:t>Slovenská technická univerzita dlhoročne patrí medzi popredné výskumné univerzity</w:t>
      </w:r>
      <w:r w:rsidRPr="00232A93">
        <w:rPr>
          <w:rFonts w:asciiTheme="majorHAnsi" w:hAnsiTheme="majorHAnsi" w:cstheme="majorHAnsi"/>
        </w:rPr>
        <w:t xml:space="preserve"> na Slovensku, čo potvrdzuje jej postavenie vo svetových rebríčkoch univerzít. Univerzita sa umiestnila v troch významných svetových rebríčkoch: najlepšie v rebríčku QS World University Rankings® na pozícii 801 – 1000 z 1422 hodnotených univerzít, pričom sa v rebríčku okrem STU umiestnilo ďalších 5 slovenských univerzít. V THE World University Rankings sa STU umiestnila na pozícii 1501 –  1800 z 2345 hodnotených univerzít, pričom sa v rebríčku okrem STU umiestnilo ďalších 8 univerzít. U.S. News Best Global Universities už 30 rokov porovnávajú americké univerzity so svetom. V tomto rebríčku sa umiestnilo päť univerzít zo Slovenska vrátane STU. Okrem THE hodnotia ostatné rebríčky STU ako najlepšiu univerzitu s technickým zameraním na Slovensku. STU sa umiestnila na druhom mieste z 32 hodnotených univerzít na Slovensku v rebríčku UniRank, ktorý hodnotí kvalitu, dôveryhodnosť a popularitu webov a profilov univerzít na sociálnych sieťach.</w:t>
      </w:r>
    </w:p>
    <w:p w14:paraId="71DA92CB" w14:textId="77777777" w:rsidR="00232A93" w:rsidRPr="00232A93" w:rsidRDefault="00232A93" w:rsidP="00232A93">
      <w:pPr>
        <w:jc w:val="both"/>
        <w:rPr>
          <w:rFonts w:asciiTheme="majorHAnsi" w:hAnsiTheme="majorHAnsi" w:cstheme="majorHAnsi"/>
        </w:rPr>
      </w:pPr>
    </w:p>
    <w:p w14:paraId="693E5966" w14:textId="77777777" w:rsidR="00232A93" w:rsidRPr="00232A93" w:rsidRDefault="00232A93" w:rsidP="00232A93">
      <w:pPr>
        <w:jc w:val="both"/>
        <w:rPr>
          <w:rFonts w:asciiTheme="majorHAnsi" w:hAnsiTheme="majorHAnsi" w:cstheme="majorHAnsi"/>
        </w:rPr>
      </w:pPr>
      <w:r w:rsidRPr="00232A93">
        <w:rPr>
          <w:rFonts w:asciiTheme="majorHAnsi" w:eastAsia="Times New Roman" w:hAnsiTheme="majorHAnsi" w:cstheme="majorHAnsi"/>
          <w:b/>
          <w:lang w:eastAsia="sk-SK"/>
        </w:rPr>
        <w:t>Koncom novembra 2022 sa STU úspešne pripojila</w:t>
      </w:r>
      <w:r w:rsidRPr="00232A93">
        <w:rPr>
          <w:rFonts w:asciiTheme="majorHAnsi" w:eastAsia="Times New Roman" w:hAnsiTheme="majorHAnsi" w:cstheme="majorHAnsi"/>
          <w:lang w:eastAsia="sk-SK"/>
        </w:rPr>
        <w:t xml:space="preserve"> k vedeckým inštitúciám Európskej Únie, ktoré získali značku </w:t>
      </w:r>
      <w:r w:rsidRPr="00232A93">
        <w:rPr>
          <w:rFonts w:asciiTheme="majorHAnsi" w:eastAsia="Times New Roman" w:hAnsiTheme="majorHAnsi" w:cstheme="majorHAnsi"/>
          <w:b/>
          <w:lang w:eastAsia="sk-SK"/>
        </w:rPr>
        <w:t>„HR Excellence in Research“</w:t>
      </w:r>
      <w:r w:rsidRPr="00232A93">
        <w:rPr>
          <w:rFonts w:asciiTheme="majorHAnsi" w:eastAsia="Times New Roman" w:hAnsiTheme="majorHAnsi" w:cstheme="majorHAnsi"/>
          <w:lang w:eastAsia="sk-SK"/>
        </w:rPr>
        <w:t>. Ide o </w:t>
      </w:r>
      <w:r w:rsidRPr="00232A93">
        <w:rPr>
          <w:rFonts w:asciiTheme="majorHAnsi" w:eastAsia="Times New Roman" w:hAnsiTheme="majorHAnsi" w:cstheme="majorHAnsi"/>
          <w:b/>
          <w:lang w:eastAsia="sk-SK"/>
        </w:rPr>
        <w:t>prestížne ocenenie</w:t>
      </w:r>
      <w:r w:rsidRPr="00232A93">
        <w:rPr>
          <w:rFonts w:asciiTheme="majorHAnsi" w:eastAsia="Times New Roman" w:hAnsiTheme="majorHAnsi" w:cstheme="majorHAnsi"/>
          <w:lang w:eastAsia="sk-SK"/>
        </w:rPr>
        <w:t xml:space="preserve"> udeľované Európskou komisiou inštitúciám, ktoré preukázali svoj záväzok dodržiavať 40 princípov a zásad</w:t>
      </w:r>
      <w:r w:rsidRPr="00232A93">
        <w:rPr>
          <w:rFonts w:asciiTheme="majorHAnsi" w:hAnsiTheme="majorHAnsi" w:cstheme="majorHAnsi"/>
        </w:rPr>
        <w:t xml:space="preserve"> Európskej charty výskumných pracovníkov a Kódexu správania pre nábor výskumných pracovníkov v rámci Stratégie ľudských zdrojov vo výskume (Human Resources Strategy for Researchers – HRS4R).</w:t>
      </w:r>
    </w:p>
    <w:p w14:paraId="17F88E60" w14:textId="77777777" w:rsidR="00232A93" w:rsidRPr="00232A93" w:rsidRDefault="00232A93" w:rsidP="00232A93">
      <w:pPr>
        <w:jc w:val="both"/>
        <w:rPr>
          <w:rFonts w:asciiTheme="majorHAnsi" w:hAnsiTheme="majorHAnsi" w:cstheme="majorHAnsi"/>
        </w:rPr>
      </w:pPr>
    </w:p>
    <w:p w14:paraId="357AB711" w14:textId="77777777" w:rsidR="00232A93" w:rsidRPr="00232A93" w:rsidRDefault="00232A93" w:rsidP="00232A93">
      <w:pPr>
        <w:jc w:val="both"/>
        <w:rPr>
          <w:rFonts w:asciiTheme="majorHAnsi" w:hAnsiTheme="majorHAnsi" w:cstheme="majorHAnsi"/>
        </w:rPr>
      </w:pPr>
      <w:r w:rsidRPr="00232A93">
        <w:rPr>
          <w:rFonts w:asciiTheme="majorHAnsi" w:hAnsiTheme="majorHAnsi" w:cstheme="majorHAnsi"/>
          <w:b/>
        </w:rPr>
        <w:t>V domácich výskumných grantoch</w:t>
      </w:r>
      <w:r w:rsidRPr="00232A93">
        <w:rPr>
          <w:rFonts w:asciiTheme="majorHAnsi" w:hAnsiTheme="majorHAnsi" w:cstheme="majorHAnsi"/>
        </w:rPr>
        <w:t xml:space="preserve"> spolu 7 vysokých škôl získalo 81 % podiel na získaných finančných prostriedkoch a </w:t>
      </w:r>
      <w:r w:rsidRPr="00232A93">
        <w:rPr>
          <w:rFonts w:asciiTheme="majorHAnsi" w:hAnsiTheme="majorHAnsi" w:cstheme="majorHAnsi"/>
          <w:b/>
        </w:rPr>
        <w:t>STU získala 18 % z celkového objemu prostriedkov</w:t>
      </w:r>
      <w:r w:rsidRPr="00232A93">
        <w:rPr>
          <w:rFonts w:asciiTheme="majorHAnsi" w:hAnsiTheme="majorHAnsi" w:cstheme="majorHAnsi"/>
        </w:rPr>
        <w:t xml:space="preserve">. V </w:t>
      </w:r>
      <w:r w:rsidRPr="00232A93">
        <w:rPr>
          <w:rFonts w:asciiTheme="majorHAnsi" w:hAnsiTheme="majorHAnsi" w:cstheme="majorHAnsi"/>
          <w:b/>
        </w:rPr>
        <w:t>zahraničných výskumných grantoch</w:t>
      </w:r>
      <w:r w:rsidRPr="00232A93">
        <w:rPr>
          <w:rFonts w:asciiTheme="majorHAnsi" w:hAnsiTheme="majorHAnsi" w:cstheme="majorHAnsi"/>
        </w:rPr>
        <w:t xml:space="preserve"> sa len 7 vysokých škôl podieľa na 83 % z objemu získaných finančných prostriedkov. </w:t>
      </w:r>
      <w:r w:rsidRPr="00232A93">
        <w:rPr>
          <w:rFonts w:asciiTheme="majorHAnsi" w:hAnsiTheme="majorHAnsi" w:cstheme="majorHAnsi"/>
          <w:b/>
        </w:rPr>
        <w:t>STU má 18 % podiel</w:t>
      </w:r>
      <w:r w:rsidRPr="00232A93">
        <w:rPr>
          <w:rFonts w:asciiTheme="majorHAnsi" w:hAnsiTheme="majorHAnsi" w:cstheme="majorHAnsi"/>
        </w:rPr>
        <w:t xml:space="preserve">. </w:t>
      </w:r>
    </w:p>
    <w:p w14:paraId="3FCDD7E0" w14:textId="77777777" w:rsidR="00232A93" w:rsidRPr="00232A93" w:rsidRDefault="00232A93" w:rsidP="00232A93">
      <w:pPr>
        <w:jc w:val="both"/>
        <w:rPr>
          <w:rFonts w:asciiTheme="majorHAnsi" w:hAnsiTheme="majorHAnsi" w:cstheme="majorHAnsi"/>
        </w:rPr>
      </w:pPr>
      <w:r w:rsidRPr="00232A93">
        <w:rPr>
          <w:rFonts w:asciiTheme="majorHAnsi" w:hAnsiTheme="majorHAnsi" w:cstheme="majorHAnsi"/>
        </w:rPr>
        <w:t xml:space="preserve">STU sa dlhoročne zapája do </w:t>
      </w:r>
      <w:r w:rsidRPr="00232A93">
        <w:rPr>
          <w:rFonts w:asciiTheme="majorHAnsi" w:hAnsiTheme="majorHAnsi" w:cstheme="majorHAnsi"/>
          <w:b/>
        </w:rPr>
        <w:t>medzinárodných vedecko-výskumných programov a patrí medzi najúspešnejšie</w:t>
      </w:r>
      <w:r w:rsidRPr="00232A93">
        <w:rPr>
          <w:rFonts w:asciiTheme="majorHAnsi" w:hAnsiTheme="majorHAnsi" w:cstheme="majorHAnsi"/>
        </w:rPr>
        <w:t xml:space="preserve"> organizácie na Slovensku </w:t>
      </w:r>
      <w:r w:rsidRPr="00232A93">
        <w:rPr>
          <w:rFonts w:asciiTheme="majorHAnsi" w:eastAsia="Times New Roman" w:hAnsiTheme="majorHAnsi" w:cstheme="majorHAnsi"/>
          <w:b/>
          <w:lang w:eastAsia="sk-SK"/>
        </w:rPr>
        <w:t>v počte financovaných projektov i v objeme získaného príspevku z EK v rámcových programoch Horizont 2020 a Horizont Európa</w:t>
      </w:r>
      <w:r w:rsidRPr="00232A93">
        <w:rPr>
          <w:rFonts w:asciiTheme="majorHAnsi" w:hAnsiTheme="majorHAnsi" w:cstheme="majorHAnsi"/>
        </w:rPr>
        <w:t xml:space="preserve">. </w:t>
      </w:r>
    </w:p>
    <w:p w14:paraId="56DF77E7" w14:textId="77777777" w:rsidR="00232A93" w:rsidRPr="00232A93" w:rsidRDefault="00232A93" w:rsidP="00232A93">
      <w:pPr>
        <w:jc w:val="both"/>
        <w:rPr>
          <w:rFonts w:asciiTheme="majorHAnsi" w:hAnsiTheme="majorHAnsi" w:cstheme="majorHAnsi"/>
        </w:rPr>
      </w:pPr>
      <w:r w:rsidRPr="00232A93">
        <w:rPr>
          <w:rFonts w:asciiTheme="majorHAnsi" w:hAnsiTheme="majorHAnsi" w:cstheme="majorHAnsi"/>
        </w:rPr>
        <w:t>V roku 2022 bola STU aktívna v 27 projektoch Horizont 2020 a v 10 projektoch Horizont Európa.</w:t>
      </w:r>
    </w:p>
    <w:p w14:paraId="5607B65A" w14:textId="77777777" w:rsidR="00232A93" w:rsidRPr="00232A93" w:rsidRDefault="00232A93" w:rsidP="00232A93">
      <w:pPr>
        <w:jc w:val="both"/>
        <w:rPr>
          <w:rFonts w:asciiTheme="majorHAnsi" w:hAnsiTheme="majorHAnsi" w:cstheme="majorHAnsi"/>
        </w:rPr>
      </w:pPr>
    </w:p>
    <w:p w14:paraId="00EB87F2" w14:textId="77777777" w:rsidR="00232A93" w:rsidRPr="00232A93" w:rsidRDefault="00232A93" w:rsidP="00232A93">
      <w:pPr>
        <w:jc w:val="both"/>
        <w:rPr>
          <w:rFonts w:asciiTheme="majorHAnsi" w:hAnsiTheme="majorHAnsi" w:cstheme="majorHAnsi"/>
        </w:rPr>
      </w:pPr>
      <w:r w:rsidRPr="00232A93">
        <w:rPr>
          <w:rFonts w:asciiTheme="majorHAnsi" w:hAnsiTheme="majorHAnsi" w:cstheme="majorHAnsi"/>
        </w:rPr>
        <w:t xml:space="preserve">Rektor STU udelil v roku 2022 </w:t>
      </w:r>
      <w:r w:rsidRPr="00232A93">
        <w:rPr>
          <w:rFonts w:asciiTheme="majorHAnsi" w:hAnsiTheme="majorHAnsi" w:cstheme="majorHAnsi"/>
          <w:b/>
        </w:rPr>
        <w:t>Plaketu STU</w:t>
      </w:r>
      <w:r w:rsidRPr="00232A93">
        <w:rPr>
          <w:rFonts w:asciiTheme="majorHAnsi" w:hAnsiTheme="majorHAnsi" w:cstheme="majorHAnsi"/>
        </w:rPr>
        <w:t xml:space="preserve"> </w:t>
      </w:r>
      <w:r w:rsidRPr="00232A93">
        <w:rPr>
          <w:rFonts w:asciiTheme="majorHAnsi" w:hAnsiTheme="majorHAnsi" w:cstheme="majorHAnsi"/>
          <w:b/>
          <w:color w:val="333333"/>
          <w:shd w:val="clear" w:color="auto" w:fill="FFFFFF"/>
        </w:rPr>
        <w:t>prof. Ing. Pavlovi Fellnerovi, DrSc.</w:t>
      </w:r>
      <w:r w:rsidRPr="00232A93">
        <w:rPr>
          <w:rFonts w:asciiTheme="majorHAnsi" w:hAnsiTheme="majorHAnsi" w:cstheme="majorHAnsi"/>
        </w:rPr>
        <w:t xml:space="preserve"> Cenu „</w:t>
      </w:r>
      <w:r w:rsidRPr="00232A93">
        <w:rPr>
          <w:rFonts w:asciiTheme="majorHAnsi" w:hAnsiTheme="majorHAnsi" w:cstheme="majorHAnsi"/>
          <w:b/>
        </w:rPr>
        <w:t>Vedecká osobnosť roka STU za rok 2022</w:t>
      </w:r>
      <w:r w:rsidRPr="00232A93">
        <w:rPr>
          <w:rFonts w:asciiTheme="majorHAnsi" w:hAnsiTheme="majorHAnsi" w:cstheme="majorHAnsi"/>
        </w:rPr>
        <w:t xml:space="preserve">“ v kategórii </w:t>
      </w:r>
      <w:r w:rsidRPr="00232A93">
        <w:rPr>
          <w:rFonts w:asciiTheme="majorHAnsi" w:hAnsiTheme="majorHAnsi" w:cstheme="majorHAnsi"/>
          <w:b/>
        </w:rPr>
        <w:t>Významný vedecký prínos</w:t>
      </w:r>
      <w:r w:rsidRPr="00232A93">
        <w:rPr>
          <w:rFonts w:asciiTheme="majorHAnsi" w:hAnsiTheme="majorHAnsi" w:cstheme="majorHAnsi"/>
        </w:rPr>
        <w:t xml:space="preserve"> získal </w:t>
      </w:r>
      <w:r w:rsidRPr="00232A93">
        <w:rPr>
          <w:rFonts w:asciiTheme="majorHAnsi" w:hAnsiTheme="majorHAnsi" w:cstheme="majorHAnsi"/>
          <w:b/>
          <w:bCs/>
        </w:rPr>
        <w:t>doc. Ing. Tomáš Mackuľak, PhD.</w:t>
      </w:r>
      <w:r w:rsidRPr="00232A93">
        <w:rPr>
          <w:rFonts w:asciiTheme="majorHAnsi" w:hAnsiTheme="majorHAnsi" w:cstheme="majorHAnsi"/>
        </w:rPr>
        <w:t>, Fakulta chemickej a potravinárskej technológie.</w:t>
      </w:r>
    </w:p>
    <w:p w14:paraId="66CAFBF2" w14:textId="77777777" w:rsidR="00232A93" w:rsidRPr="00232A93" w:rsidRDefault="00232A93" w:rsidP="00232A93">
      <w:pPr>
        <w:jc w:val="both"/>
        <w:rPr>
          <w:rFonts w:asciiTheme="majorHAnsi" w:hAnsiTheme="majorHAnsi" w:cstheme="majorHAnsi"/>
        </w:rPr>
      </w:pPr>
      <w:r w:rsidRPr="00232A93">
        <w:rPr>
          <w:rFonts w:asciiTheme="majorHAnsi" w:hAnsiTheme="majorHAnsi" w:cstheme="majorHAnsi"/>
        </w:rPr>
        <w:t xml:space="preserve">Cenu Vedecká osobnosť roka STU za rok 2022 v kategórii </w:t>
      </w:r>
      <w:r w:rsidRPr="00232A93">
        <w:rPr>
          <w:rFonts w:asciiTheme="majorHAnsi" w:hAnsiTheme="majorHAnsi" w:cstheme="majorHAnsi"/>
          <w:b/>
        </w:rPr>
        <w:t xml:space="preserve">Mladý vedec </w:t>
      </w:r>
      <w:r w:rsidRPr="00232A93">
        <w:rPr>
          <w:rFonts w:asciiTheme="majorHAnsi" w:hAnsiTheme="majorHAnsi" w:cstheme="majorHAnsi"/>
        </w:rPr>
        <w:t xml:space="preserve">získali  </w:t>
      </w:r>
      <w:r w:rsidRPr="00232A93">
        <w:rPr>
          <w:rFonts w:asciiTheme="majorHAnsi" w:hAnsiTheme="majorHAnsi" w:cstheme="majorHAnsi"/>
          <w:b/>
          <w:bCs/>
        </w:rPr>
        <w:t>Ing. Anton Kuzma, PhD.</w:t>
      </w:r>
      <w:r w:rsidRPr="00232A93">
        <w:rPr>
          <w:rFonts w:asciiTheme="majorHAnsi" w:hAnsiTheme="majorHAnsi" w:cstheme="majorHAnsi"/>
          <w:bCs/>
        </w:rPr>
        <w:t>,</w:t>
      </w:r>
      <w:r w:rsidRPr="00232A93">
        <w:rPr>
          <w:rFonts w:asciiTheme="majorHAnsi" w:hAnsiTheme="majorHAnsi" w:cstheme="majorHAnsi"/>
          <w:b/>
          <w:bCs/>
        </w:rPr>
        <w:t xml:space="preserve"> </w:t>
      </w:r>
      <w:r w:rsidRPr="00232A93">
        <w:rPr>
          <w:rFonts w:asciiTheme="majorHAnsi" w:hAnsiTheme="majorHAnsi" w:cstheme="majorHAnsi"/>
          <w:bCs/>
        </w:rPr>
        <w:t>Fakulta elektrotechniky a informatiky a</w:t>
      </w:r>
      <w:r w:rsidRPr="00232A93">
        <w:rPr>
          <w:rFonts w:asciiTheme="majorHAnsi" w:hAnsiTheme="majorHAnsi" w:cstheme="majorHAnsi"/>
          <w:b/>
          <w:bCs/>
        </w:rPr>
        <w:t xml:space="preserve"> Ing. Ján Janošovský, PhD.</w:t>
      </w:r>
      <w:r w:rsidRPr="00232A93">
        <w:rPr>
          <w:rFonts w:asciiTheme="majorHAnsi" w:hAnsiTheme="majorHAnsi" w:cstheme="majorHAnsi"/>
          <w:bCs/>
        </w:rPr>
        <w:t xml:space="preserve">, </w:t>
      </w:r>
      <w:r w:rsidRPr="00232A93">
        <w:rPr>
          <w:rFonts w:asciiTheme="majorHAnsi" w:hAnsiTheme="majorHAnsi" w:cstheme="majorHAnsi"/>
        </w:rPr>
        <w:t>Fakulta chemickej a potravinárskej technológie.</w:t>
      </w:r>
    </w:p>
    <w:p w14:paraId="14305320" w14:textId="77777777" w:rsidR="00232A93" w:rsidRPr="00232A93" w:rsidRDefault="00232A93" w:rsidP="00232A93">
      <w:pPr>
        <w:jc w:val="both"/>
        <w:rPr>
          <w:rFonts w:asciiTheme="majorHAnsi" w:hAnsiTheme="majorHAnsi" w:cstheme="majorHAnsi"/>
        </w:rPr>
      </w:pPr>
    </w:p>
    <w:p w14:paraId="1CF1BA42" w14:textId="77777777" w:rsidR="00232A93" w:rsidRPr="00232A93" w:rsidRDefault="00232A93" w:rsidP="00232A93">
      <w:pPr>
        <w:jc w:val="both"/>
        <w:rPr>
          <w:rFonts w:asciiTheme="majorHAnsi" w:hAnsiTheme="majorHAnsi" w:cstheme="majorHAnsi"/>
          <w:b/>
          <w:bCs/>
        </w:rPr>
      </w:pPr>
      <w:r w:rsidRPr="00232A93">
        <w:rPr>
          <w:rStyle w:val="Vrazn"/>
          <w:rFonts w:asciiTheme="majorHAnsi" w:hAnsiTheme="majorHAnsi" w:cstheme="majorHAnsi"/>
        </w:rPr>
        <w:t xml:space="preserve">V Programe L'Oréal - UNESCO Pre ženy vo vede na Slovensku </w:t>
      </w:r>
      <w:r w:rsidRPr="00232A93">
        <w:rPr>
          <w:rFonts w:asciiTheme="majorHAnsi" w:hAnsiTheme="majorHAnsi" w:cstheme="majorHAnsi"/>
          <w:b/>
        </w:rPr>
        <w:t>zvíťazila v kategórii inžinierske vedy a technológie Bc. Xiaolu Hou, Ph.D., ktorá pôsobí na FIIT STU a s</w:t>
      </w:r>
      <w:r w:rsidRPr="00232A93">
        <w:rPr>
          <w:rFonts w:asciiTheme="majorHAnsi" w:hAnsiTheme="majorHAnsi" w:cstheme="majorHAnsi"/>
        </w:rPr>
        <w:t xml:space="preserve">kúma možné útoky a protiopatrenia na implementáciu umelej inteligencie vo vstavaných zariadeniach. </w:t>
      </w:r>
      <w:r w:rsidRPr="00232A93">
        <w:rPr>
          <w:rFonts w:asciiTheme="majorHAnsi" w:hAnsiTheme="majorHAnsi" w:cstheme="majorHAnsi"/>
          <w:b/>
        </w:rPr>
        <w:t xml:space="preserve">Finalistkou kategórie Výnimočná </w:t>
      </w:r>
      <w:r w:rsidRPr="00232A93">
        <w:rPr>
          <w:rFonts w:asciiTheme="majorHAnsi" w:hAnsiTheme="majorHAnsi" w:cstheme="majorHAnsi"/>
          <w:b/>
        </w:rPr>
        <w:lastRenderedPageBreak/>
        <w:t>osobnosť vysokoškolského vzdelávania</w:t>
      </w:r>
      <w:r w:rsidRPr="00232A93">
        <w:rPr>
          <w:rFonts w:asciiTheme="majorHAnsi" w:hAnsiTheme="majorHAnsi" w:cstheme="majorHAnsi"/>
        </w:rPr>
        <w:t xml:space="preserve"> 2022, ocenenia </w:t>
      </w:r>
      <w:r w:rsidRPr="00232A93">
        <w:rPr>
          <w:rFonts w:asciiTheme="majorHAnsi" w:hAnsiTheme="majorHAnsi" w:cstheme="majorHAnsi"/>
          <w:b/>
        </w:rPr>
        <w:t xml:space="preserve">ESET Science Award </w:t>
      </w:r>
      <w:r w:rsidRPr="00232A93">
        <w:rPr>
          <w:rFonts w:asciiTheme="majorHAnsi" w:hAnsiTheme="majorHAnsi" w:cstheme="majorHAnsi"/>
        </w:rPr>
        <w:t xml:space="preserve">bola </w:t>
      </w:r>
      <w:r w:rsidRPr="00232A93">
        <w:rPr>
          <w:rFonts w:asciiTheme="majorHAnsi" w:hAnsiTheme="majorHAnsi" w:cstheme="majorHAnsi"/>
          <w:b/>
        </w:rPr>
        <w:t>doc. Ing. Andrea Šagátová, PhD., z FEI STU</w:t>
      </w:r>
      <w:r w:rsidRPr="00232A93">
        <w:rPr>
          <w:rFonts w:asciiTheme="majorHAnsi" w:hAnsiTheme="majorHAnsi" w:cstheme="majorHAnsi"/>
        </w:rPr>
        <w:t xml:space="preserve">, ktorá sa </w:t>
      </w:r>
      <w:r w:rsidRPr="00232A93">
        <w:rPr>
          <w:rFonts w:asciiTheme="majorHAnsi" w:hAnsiTheme="majorHAnsi" w:cstheme="majorHAnsi"/>
          <w:color w:val="333333"/>
        </w:rPr>
        <w:t xml:space="preserve">primárne venuje témam jadrovej fyziky a techniky. </w:t>
      </w:r>
      <w:r w:rsidRPr="00232A93">
        <w:rPr>
          <w:rFonts w:asciiTheme="majorHAnsi" w:hAnsiTheme="majorHAnsi" w:cstheme="majorHAnsi"/>
        </w:rPr>
        <w:t xml:space="preserve">Úrad pre normalizáciu, metrológiu a skúšobníctvo Slovenskej republiky vyhodnotil ako </w:t>
      </w:r>
      <w:r w:rsidRPr="00232A93">
        <w:rPr>
          <w:rFonts w:asciiTheme="majorHAnsi" w:hAnsiTheme="majorHAnsi" w:cstheme="majorHAnsi"/>
          <w:b/>
        </w:rPr>
        <w:t>najlepší vedecký príspevok v oblasti kvality</w:t>
      </w:r>
      <w:r w:rsidRPr="00232A93">
        <w:rPr>
          <w:rFonts w:asciiTheme="majorHAnsi" w:hAnsiTheme="majorHAnsi" w:cstheme="majorHAnsi"/>
        </w:rPr>
        <w:t xml:space="preserve"> za rok 2022 príspevok zástupcov </w:t>
      </w:r>
      <w:r w:rsidRPr="00232A93">
        <w:rPr>
          <w:rFonts w:asciiTheme="majorHAnsi" w:hAnsiTheme="majorHAnsi" w:cstheme="majorHAnsi"/>
          <w:b/>
        </w:rPr>
        <w:t xml:space="preserve">Ústavu výrobných systémov, environmentálnej techniky a manažmentu kvality Strojníckej fakulty STU. </w:t>
      </w:r>
      <w:r w:rsidRPr="00232A93">
        <w:rPr>
          <w:rFonts w:asciiTheme="majorHAnsi" w:hAnsiTheme="majorHAnsi" w:cstheme="majorHAnsi"/>
          <w:b/>
          <w:bCs/>
        </w:rPr>
        <w:t xml:space="preserve">Slovenská zváračská spoločnosť </w:t>
      </w:r>
      <w:r w:rsidRPr="00232A93">
        <w:rPr>
          <w:rFonts w:asciiTheme="majorHAnsi" w:hAnsiTheme="majorHAnsi" w:cstheme="majorHAnsi"/>
          <w:bCs/>
        </w:rPr>
        <w:t>ako člen Zväzu slovenských vedeckotechnických spoločností</w:t>
      </w:r>
      <w:r w:rsidRPr="00232A93">
        <w:rPr>
          <w:rFonts w:asciiTheme="majorHAnsi" w:hAnsiTheme="majorHAnsi" w:cstheme="majorHAnsi"/>
        </w:rPr>
        <w:t xml:space="preserve">, udelila ocenenie v kategórii </w:t>
      </w:r>
      <w:r w:rsidRPr="00232A93">
        <w:rPr>
          <w:rFonts w:asciiTheme="majorHAnsi" w:hAnsiTheme="majorHAnsi" w:cstheme="majorHAnsi"/>
          <w:b/>
        </w:rPr>
        <w:t>„</w:t>
      </w:r>
      <w:r w:rsidRPr="00232A93">
        <w:rPr>
          <w:rFonts w:asciiTheme="majorHAnsi" w:hAnsiTheme="majorHAnsi" w:cstheme="majorHAnsi"/>
          <w:b/>
          <w:bCs/>
        </w:rPr>
        <w:t>NAJoriginálnejší príspevok</w:t>
      </w:r>
      <w:r w:rsidRPr="00232A93">
        <w:rPr>
          <w:rFonts w:asciiTheme="majorHAnsi" w:hAnsiTheme="majorHAnsi" w:cstheme="majorHAnsi"/>
          <w:b/>
        </w:rPr>
        <w:t xml:space="preserve">“ za rok 2021 </w:t>
      </w:r>
      <w:r w:rsidRPr="00232A93">
        <w:rPr>
          <w:rFonts w:asciiTheme="majorHAnsi" w:hAnsiTheme="majorHAnsi" w:cstheme="majorHAnsi"/>
          <w:b/>
          <w:bCs/>
        </w:rPr>
        <w:t>prof. Ing. Romanovi Koleňákovi, PhD., z MTF STU.</w:t>
      </w:r>
    </w:p>
    <w:p w14:paraId="00834255" w14:textId="77777777" w:rsidR="00232A93" w:rsidRPr="00232A93" w:rsidRDefault="00232A93" w:rsidP="00232A93">
      <w:pPr>
        <w:jc w:val="both"/>
        <w:rPr>
          <w:rFonts w:asciiTheme="majorHAnsi" w:hAnsiTheme="majorHAnsi" w:cstheme="majorHAnsi"/>
          <w:b/>
          <w:bCs/>
        </w:rPr>
      </w:pPr>
      <w:r w:rsidRPr="00232A93">
        <w:rPr>
          <w:rFonts w:asciiTheme="majorHAnsi" w:hAnsiTheme="majorHAnsi" w:cstheme="majorHAnsi"/>
          <w:b/>
        </w:rPr>
        <w:t>Ing. Miroslava Mališová</w:t>
      </w:r>
      <w:r w:rsidRPr="00232A93">
        <w:rPr>
          <w:rFonts w:asciiTheme="majorHAnsi" w:hAnsiTheme="majorHAnsi" w:cstheme="majorHAnsi"/>
        </w:rPr>
        <w:t xml:space="preserve">, študentka tretieho ročníka doktorandského štúdia na FCHPT STU, získala </w:t>
      </w:r>
      <w:r w:rsidRPr="00232A93">
        <w:rPr>
          <w:rFonts w:asciiTheme="majorHAnsi" w:hAnsiTheme="majorHAnsi" w:cstheme="majorHAnsi"/>
          <w:b/>
        </w:rPr>
        <w:t>Cenu sv. Gorazda</w:t>
      </w:r>
      <w:r w:rsidRPr="00232A93">
        <w:rPr>
          <w:rFonts w:asciiTheme="majorHAnsi" w:hAnsiTheme="majorHAnsi" w:cstheme="majorHAnsi"/>
        </w:rPr>
        <w:t>.</w:t>
      </w:r>
    </w:p>
    <w:p w14:paraId="46946DE0" w14:textId="77777777" w:rsidR="00232A93" w:rsidRPr="00232A93" w:rsidRDefault="00232A93" w:rsidP="00232A93">
      <w:pPr>
        <w:jc w:val="both"/>
        <w:rPr>
          <w:rFonts w:asciiTheme="majorHAnsi" w:hAnsiTheme="majorHAnsi" w:cstheme="majorHAnsi"/>
          <w:b/>
          <w:bCs/>
        </w:rPr>
      </w:pPr>
    </w:p>
    <w:p w14:paraId="474810A7" w14:textId="77777777" w:rsidR="00232A93" w:rsidRPr="00232A93" w:rsidRDefault="00232A93" w:rsidP="00232A93">
      <w:pPr>
        <w:jc w:val="both"/>
        <w:rPr>
          <w:rFonts w:asciiTheme="majorHAnsi" w:hAnsiTheme="majorHAnsi" w:cstheme="majorHAnsi"/>
        </w:rPr>
      </w:pPr>
      <w:r w:rsidRPr="00232A93">
        <w:rPr>
          <w:rFonts w:asciiTheme="majorHAnsi" w:hAnsiTheme="majorHAnsi" w:cstheme="majorHAnsi"/>
        </w:rPr>
        <w:t>Na zasadnutiach Vedeckej rady STU boli s</w:t>
      </w:r>
      <w:r w:rsidRPr="00232A93">
        <w:rPr>
          <w:rFonts w:asciiTheme="majorHAnsi" w:hAnsiTheme="majorHAnsi" w:cstheme="majorHAnsi"/>
          <w:b/>
        </w:rPr>
        <w:t>chválené štyri návrhy na vymenovanie za profesora</w:t>
      </w:r>
      <w:r w:rsidRPr="00232A93">
        <w:rPr>
          <w:rFonts w:asciiTheme="majorHAnsi" w:hAnsiTheme="majorHAnsi" w:cstheme="majorHAnsi"/>
        </w:rPr>
        <w:t>. Na zasadnutí Vedeckej rady STU dňa 19.10.2022 boli prerokované a schválené návrhy na udelenie titulu „doctor honoris causa“ nositeľom Nobelovej ceny</w:t>
      </w:r>
      <w:r w:rsidRPr="00232A93">
        <w:rPr>
          <w:rFonts w:asciiTheme="majorHAnsi" w:hAnsiTheme="majorHAnsi" w:cstheme="majorHAnsi"/>
          <w:b/>
        </w:rPr>
        <w:t xml:space="preserve"> prof. Bernardovi L. Feringovi a prof. Jean-Marie Lehnovi.</w:t>
      </w:r>
      <w:r w:rsidRPr="00232A93">
        <w:rPr>
          <w:rFonts w:asciiTheme="majorHAnsi" w:hAnsiTheme="majorHAnsi" w:cstheme="majorHAnsi"/>
        </w:rPr>
        <w:t xml:space="preserve"> Odovzdanie čestného titulu sa uskutočnilo v marci 2023. </w:t>
      </w:r>
      <w:r w:rsidRPr="00232A93">
        <w:rPr>
          <w:rFonts w:asciiTheme="majorHAnsi" w:hAnsiTheme="majorHAnsi" w:cstheme="majorHAnsi"/>
          <w:b/>
        </w:rPr>
        <w:t xml:space="preserve">V roku 2022 rektor STU vymenoval 15 docentov, </w:t>
      </w:r>
      <w:r w:rsidRPr="00232A93">
        <w:rPr>
          <w:rFonts w:asciiTheme="majorHAnsi" w:hAnsiTheme="majorHAnsi" w:cstheme="majorHAnsi"/>
        </w:rPr>
        <w:t>z toho 6 mužov a 9 žien.</w:t>
      </w:r>
    </w:p>
    <w:p w14:paraId="32B3B9A6" w14:textId="77777777" w:rsidR="00232A93" w:rsidRPr="00232A93" w:rsidRDefault="00232A93" w:rsidP="00232A93">
      <w:pPr>
        <w:jc w:val="both"/>
        <w:rPr>
          <w:rFonts w:asciiTheme="majorHAnsi" w:hAnsiTheme="majorHAnsi" w:cstheme="majorHAnsi"/>
        </w:rPr>
      </w:pPr>
    </w:p>
    <w:p w14:paraId="33E5ED1F" w14:textId="77777777" w:rsidR="00232A93" w:rsidRPr="00232A93" w:rsidRDefault="00232A93" w:rsidP="00232A93">
      <w:pPr>
        <w:pStyle w:val="Bezriadkovania"/>
        <w:jc w:val="both"/>
        <w:rPr>
          <w:rFonts w:asciiTheme="majorHAnsi" w:hAnsiTheme="majorHAnsi" w:cstheme="majorHAnsi"/>
          <w:sz w:val="24"/>
          <w:szCs w:val="24"/>
        </w:rPr>
      </w:pPr>
      <w:r w:rsidRPr="00232A93">
        <w:rPr>
          <w:rFonts w:asciiTheme="majorHAnsi" w:hAnsiTheme="majorHAnsi" w:cstheme="majorHAnsi"/>
          <w:sz w:val="24"/>
          <w:szCs w:val="24"/>
        </w:rPr>
        <w:t>V roku 2022 bolo Kancelárii spolupráce s praxou doručených 39 Oznámení pôvodcu o vytvorení predmetu priemyselného vlastníctva, bolo 25 podaných patentových prihlášok na Úrad priemyselného vlastníctva SR. Počet udelených patentov bol 17. Počet podaných prihlášok úžitkových vzorov na Úrad priemyselného vlastníctva SR v roku 2022 bol 31. Počet zapísaných úžitkových vzorov bol 27. V roku 2022 boli udelené 2 patenty v Českej republike.</w:t>
      </w:r>
    </w:p>
    <w:p w14:paraId="16C6939C" w14:textId="77777777" w:rsidR="00232A93" w:rsidRPr="00232A93" w:rsidRDefault="00232A93" w:rsidP="00232A93">
      <w:pPr>
        <w:pStyle w:val="Bezriadkovania"/>
        <w:jc w:val="both"/>
        <w:rPr>
          <w:rFonts w:asciiTheme="majorHAnsi" w:hAnsiTheme="majorHAnsi" w:cstheme="majorHAnsi"/>
          <w:sz w:val="24"/>
          <w:szCs w:val="24"/>
        </w:rPr>
      </w:pPr>
      <w:r w:rsidRPr="00232A93">
        <w:rPr>
          <w:rFonts w:asciiTheme="majorHAnsi" w:hAnsiTheme="majorHAnsi" w:cstheme="majorHAnsi"/>
          <w:b/>
          <w:sz w:val="24"/>
          <w:szCs w:val="24"/>
        </w:rPr>
        <w:t>V roku 2022 bola podpísaná historicky prvá licenčná zmluva</w:t>
      </w:r>
      <w:r w:rsidRPr="00232A93">
        <w:rPr>
          <w:rFonts w:asciiTheme="majorHAnsi" w:hAnsiTheme="majorHAnsi" w:cstheme="majorHAnsi"/>
          <w:sz w:val="24"/>
          <w:szCs w:val="24"/>
        </w:rPr>
        <w:t xml:space="preserve"> na využitie vynálezu, konkrétne Granulátora partikulárneho materiálu s matricou, na ktorom sa spoločne podieľali zamestnanci Strojníckej fakulty STU. </w:t>
      </w:r>
    </w:p>
    <w:p w14:paraId="5B1976E0" w14:textId="77777777" w:rsidR="00232A93" w:rsidRPr="00232A93" w:rsidRDefault="00232A93" w:rsidP="00232A93">
      <w:pPr>
        <w:pStyle w:val="Bezriadkovania"/>
        <w:jc w:val="both"/>
        <w:rPr>
          <w:rFonts w:asciiTheme="majorHAnsi" w:hAnsiTheme="majorHAnsi" w:cstheme="majorHAnsi"/>
          <w:sz w:val="24"/>
          <w:szCs w:val="24"/>
        </w:rPr>
      </w:pPr>
    </w:p>
    <w:p w14:paraId="7AF259D8" w14:textId="77777777" w:rsidR="00232A93" w:rsidRPr="00232A93" w:rsidRDefault="00232A93" w:rsidP="00232A93">
      <w:pPr>
        <w:pStyle w:val="Bezriadkovania"/>
        <w:jc w:val="both"/>
        <w:rPr>
          <w:rFonts w:asciiTheme="majorHAnsi" w:hAnsiTheme="majorHAnsi" w:cstheme="majorHAnsi"/>
          <w:sz w:val="24"/>
          <w:szCs w:val="24"/>
        </w:rPr>
      </w:pPr>
      <w:r w:rsidRPr="00232A93">
        <w:rPr>
          <w:rFonts w:asciiTheme="majorHAnsi" w:hAnsiTheme="majorHAnsi" w:cstheme="majorHAnsi"/>
          <w:sz w:val="24"/>
          <w:szCs w:val="24"/>
        </w:rPr>
        <w:t>Akademický rok 2021/2022 bol rokom implementácie a dolaďovania Vnútorného systému kvality. VSK sa doplnil o posledný predpis o pravidlách priebežného monitorovania, periodického hodnotenia a periodického schvaľovania študijných programov, habilitačných a inauguračných konaní a tvorivej činnosti na STU a zároveň bol upravený vnútorný predpis Rada pre vnútorný systém zabezpečovania kvality na STU.</w:t>
      </w:r>
    </w:p>
    <w:p w14:paraId="0AB970B7" w14:textId="71B896A4" w:rsidR="009D3620" w:rsidRPr="00842E60" w:rsidRDefault="009D3620" w:rsidP="00324438">
      <w:pPr>
        <w:jc w:val="both"/>
        <w:rPr>
          <w:rFonts w:asciiTheme="majorHAnsi" w:hAnsiTheme="majorHAnsi" w:cstheme="majorHAnsi"/>
          <w:color w:val="00B050"/>
        </w:rPr>
        <w:sectPr w:rsidR="009D3620" w:rsidRPr="00842E60" w:rsidSect="004F39ED">
          <w:footerReference w:type="default" r:id="rId12"/>
          <w:headerReference w:type="first" r:id="rId13"/>
          <w:pgSz w:w="11906" w:h="16838"/>
          <w:pgMar w:top="1418" w:right="992" w:bottom="1418" w:left="1247" w:header="142" w:footer="386" w:gutter="0"/>
          <w:cols w:space="708"/>
          <w:titlePg/>
          <w:docGrid w:linePitch="326"/>
        </w:sectPr>
      </w:pPr>
    </w:p>
    <w:p w14:paraId="7ADA7C07" w14:textId="1EA2FCE7" w:rsidR="00842E60" w:rsidRPr="00842E60" w:rsidRDefault="00842E60" w:rsidP="00842E60">
      <w:pPr>
        <w:pStyle w:val="Nadpis1"/>
        <w:numPr>
          <w:ilvl w:val="0"/>
          <w:numId w:val="0"/>
        </w:numPr>
        <w:tabs>
          <w:tab w:val="clear" w:pos="426"/>
          <w:tab w:val="left" w:pos="567"/>
          <w:tab w:val="left" w:pos="9356"/>
        </w:tabs>
        <w:spacing w:after="120"/>
        <w:jc w:val="both"/>
        <w:rPr>
          <w:rFonts w:cstheme="majorHAnsi"/>
          <w:color w:val="auto"/>
          <w:sz w:val="32"/>
          <w:szCs w:val="32"/>
        </w:rPr>
      </w:pPr>
      <w:bookmarkStart w:id="2" w:name="_Študijné_programy_na"/>
      <w:bookmarkStart w:id="3" w:name="_Ref95746611"/>
      <w:bookmarkStart w:id="4" w:name="_Toc127593214"/>
      <w:bookmarkEnd w:id="2"/>
      <w:r w:rsidRPr="00842E60">
        <w:rPr>
          <w:rFonts w:cstheme="majorHAnsi"/>
          <w:color w:val="auto"/>
          <w:sz w:val="32"/>
          <w:szCs w:val="32"/>
        </w:rPr>
        <w:lastRenderedPageBreak/>
        <w:t>3. Informácie o poskytovanom vysokoškolskom vzdelávaní</w:t>
      </w:r>
    </w:p>
    <w:p w14:paraId="0960D462" w14:textId="176CA222" w:rsidR="003B5AB8" w:rsidRPr="0053555E" w:rsidRDefault="00842E60" w:rsidP="00842E60">
      <w:pPr>
        <w:pStyle w:val="Nadpis1"/>
        <w:numPr>
          <w:ilvl w:val="0"/>
          <w:numId w:val="0"/>
        </w:numPr>
        <w:tabs>
          <w:tab w:val="clear" w:pos="426"/>
          <w:tab w:val="left" w:pos="567"/>
          <w:tab w:val="left" w:pos="9356"/>
        </w:tabs>
        <w:spacing w:after="120"/>
        <w:jc w:val="both"/>
        <w:rPr>
          <w:rFonts w:cstheme="majorHAnsi"/>
          <w:color w:val="auto"/>
          <w:sz w:val="26"/>
          <w:szCs w:val="26"/>
        </w:rPr>
      </w:pPr>
      <w:r>
        <w:rPr>
          <w:rFonts w:cstheme="majorHAnsi"/>
          <w:color w:val="auto"/>
          <w:sz w:val="26"/>
          <w:szCs w:val="26"/>
        </w:rPr>
        <w:t xml:space="preserve">3.1. </w:t>
      </w:r>
      <w:r w:rsidR="003B5AB8" w:rsidRPr="0053555E">
        <w:rPr>
          <w:rFonts w:cstheme="majorHAnsi"/>
          <w:color w:val="auto"/>
          <w:sz w:val="26"/>
          <w:szCs w:val="26"/>
        </w:rPr>
        <w:t>Študijné programy na STU</w:t>
      </w:r>
      <w:bookmarkEnd w:id="3"/>
      <w:bookmarkEnd w:id="4"/>
    </w:p>
    <w:p w14:paraId="62C06175" w14:textId="7594C725" w:rsidR="003B5AB8" w:rsidRPr="0053555E" w:rsidRDefault="003B5AB8" w:rsidP="003B5AB8">
      <w:pPr>
        <w:tabs>
          <w:tab w:val="left" w:pos="9356"/>
        </w:tabs>
        <w:spacing w:after="120"/>
        <w:jc w:val="both"/>
        <w:rPr>
          <w:rFonts w:asciiTheme="majorHAnsi" w:hAnsiTheme="majorHAnsi" w:cstheme="majorHAnsi"/>
          <w:shd w:val="clear" w:color="auto" w:fill="FFFFFF"/>
        </w:rPr>
      </w:pPr>
      <w:r w:rsidRPr="0053555E">
        <w:rPr>
          <w:rFonts w:asciiTheme="majorHAnsi" w:hAnsiTheme="majorHAnsi" w:cstheme="majorHAnsi"/>
        </w:rPr>
        <w:t xml:space="preserve">STU </w:t>
      </w:r>
      <w:r w:rsidR="00762E40" w:rsidRPr="00762E40">
        <w:rPr>
          <w:rFonts w:asciiTheme="majorHAnsi" w:hAnsiTheme="majorHAnsi" w:cstheme="majorHAnsi"/>
        </w:rPr>
        <w:t>poskytuj</w:t>
      </w:r>
      <w:r w:rsidR="00762E40">
        <w:rPr>
          <w:rFonts w:asciiTheme="majorHAnsi" w:hAnsiTheme="majorHAnsi" w:cstheme="majorHAnsi"/>
        </w:rPr>
        <w:t>e</w:t>
      </w:r>
      <w:r w:rsidR="00762E40" w:rsidRPr="00762E40">
        <w:rPr>
          <w:rFonts w:asciiTheme="majorHAnsi" w:hAnsiTheme="majorHAnsi" w:cstheme="majorHAnsi"/>
        </w:rPr>
        <w:t>, organizuj</w:t>
      </w:r>
      <w:r w:rsidR="00975238">
        <w:rPr>
          <w:rFonts w:asciiTheme="majorHAnsi" w:hAnsiTheme="majorHAnsi" w:cstheme="majorHAnsi"/>
        </w:rPr>
        <w:t>e</w:t>
      </w:r>
      <w:r w:rsidR="00762E40" w:rsidRPr="00762E40">
        <w:rPr>
          <w:rFonts w:asciiTheme="majorHAnsi" w:hAnsiTheme="majorHAnsi" w:cstheme="majorHAnsi"/>
        </w:rPr>
        <w:t xml:space="preserve"> a zabezpečuj</w:t>
      </w:r>
      <w:r w:rsidR="00975238">
        <w:rPr>
          <w:rFonts w:asciiTheme="majorHAnsi" w:hAnsiTheme="majorHAnsi" w:cstheme="majorHAnsi"/>
        </w:rPr>
        <w:t>e</w:t>
      </w:r>
      <w:r w:rsidR="00762E40" w:rsidRPr="00762E40">
        <w:rPr>
          <w:rFonts w:asciiTheme="majorHAnsi" w:hAnsiTheme="majorHAnsi" w:cstheme="majorHAnsi"/>
        </w:rPr>
        <w:t xml:space="preserve"> vysokoškolské vzdelávanie v rámci akreditovaných študijných programov</w:t>
      </w:r>
      <w:r w:rsidR="00975238">
        <w:rPr>
          <w:rFonts w:asciiTheme="majorHAnsi" w:hAnsiTheme="majorHAnsi" w:cstheme="majorHAnsi"/>
        </w:rPr>
        <w:t xml:space="preserve"> </w:t>
      </w:r>
      <w:r w:rsidR="00FB1CB8" w:rsidRPr="0053555E">
        <w:rPr>
          <w:rFonts w:asciiTheme="majorHAnsi" w:hAnsiTheme="majorHAnsi" w:cstheme="majorHAnsi"/>
        </w:rPr>
        <w:t>(ďalej tiež „ŠP“)</w:t>
      </w:r>
      <w:r w:rsidR="00FB1CB8" w:rsidRPr="0053555E">
        <w:rPr>
          <w:rFonts w:asciiTheme="majorHAnsi" w:hAnsiTheme="majorHAnsi" w:cstheme="majorHAnsi"/>
          <w:shd w:val="clear" w:color="auto" w:fill="FFFFFF"/>
        </w:rPr>
        <w:t xml:space="preserve"> </w:t>
      </w:r>
      <w:r w:rsidR="00975238">
        <w:rPr>
          <w:rFonts w:asciiTheme="majorHAnsi" w:hAnsiTheme="majorHAnsi" w:cstheme="majorHAnsi"/>
        </w:rPr>
        <w:t>vo všetkých troch stupňoch štúdia</w:t>
      </w:r>
      <w:r w:rsidR="006C48F7" w:rsidRPr="006C48F7">
        <w:rPr>
          <w:rFonts w:asciiTheme="majorHAnsi" w:hAnsiTheme="majorHAnsi" w:cstheme="majorHAnsi"/>
        </w:rPr>
        <w:t xml:space="preserve"> </w:t>
      </w:r>
      <w:r w:rsidR="000A4049">
        <w:rPr>
          <w:rFonts w:asciiTheme="majorHAnsi" w:hAnsiTheme="majorHAnsi" w:cstheme="majorHAnsi"/>
        </w:rPr>
        <w:t>v zmysle</w:t>
      </w:r>
      <w:r w:rsidR="006C48F7">
        <w:rPr>
          <w:rFonts w:asciiTheme="majorHAnsi" w:hAnsiTheme="majorHAnsi" w:cstheme="majorHAnsi"/>
        </w:rPr>
        <w:t xml:space="preserve"> </w:t>
      </w:r>
      <w:r w:rsidR="006C48F7" w:rsidRPr="0053555E">
        <w:rPr>
          <w:rFonts w:asciiTheme="majorHAnsi" w:hAnsiTheme="majorHAnsi" w:cstheme="majorHAnsi"/>
        </w:rPr>
        <w:t>zákon</w:t>
      </w:r>
      <w:r w:rsidR="00073C84">
        <w:rPr>
          <w:rFonts w:asciiTheme="majorHAnsi" w:hAnsiTheme="majorHAnsi" w:cstheme="majorHAnsi"/>
        </w:rPr>
        <w:t>a</w:t>
      </w:r>
      <w:r w:rsidR="006C48F7" w:rsidRPr="0053555E">
        <w:rPr>
          <w:rFonts w:asciiTheme="majorHAnsi" w:hAnsiTheme="majorHAnsi" w:cstheme="majorHAnsi"/>
        </w:rPr>
        <w:t xml:space="preserve"> o</w:t>
      </w:r>
      <w:r w:rsidR="00D06C64">
        <w:rPr>
          <w:rFonts w:asciiTheme="majorHAnsi" w:hAnsiTheme="majorHAnsi" w:cstheme="majorHAnsi"/>
        </w:rPr>
        <w:t> </w:t>
      </w:r>
      <w:r w:rsidR="006C48F7" w:rsidRPr="0053555E">
        <w:rPr>
          <w:rFonts w:asciiTheme="majorHAnsi" w:hAnsiTheme="majorHAnsi" w:cstheme="majorHAnsi"/>
        </w:rPr>
        <w:t>vysokých školách</w:t>
      </w:r>
      <w:r w:rsidR="00975238">
        <w:rPr>
          <w:rFonts w:asciiTheme="majorHAnsi" w:hAnsiTheme="majorHAnsi" w:cstheme="majorHAnsi"/>
        </w:rPr>
        <w:t>.</w:t>
      </w:r>
      <w:r w:rsidR="00FB1CB8">
        <w:rPr>
          <w:rFonts w:asciiTheme="majorHAnsi" w:hAnsiTheme="majorHAnsi" w:cstheme="majorHAnsi"/>
        </w:rPr>
        <w:t xml:space="preserve"> Študijné programy </w:t>
      </w:r>
      <w:r w:rsidR="006E0E7E">
        <w:rPr>
          <w:rFonts w:asciiTheme="majorHAnsi" w:hAnsiTheme="majorHAnsi" w:cstheme="majorHAnsi"/>
        </w:rPr>
        <w:t xml:space="preserve">sa uskutočňujú </w:t>
      </w:r>
      <w:r w:rsidRPr="0053555E">
        <w:rPr>
          <w:rFonts w:asciiTheme="majorHAnsi" w:hAnsiTheme="majorHAnsi" w:cstheme="majorHAnsi"/>
        </w:rPr>
        <w:t xml:space="preserve">v súlade s Bolonským procesom s uplatňovaním kreditového systému štúdia. </w:t>
      </w:r>
    </w:p>
    <w:p w14:paraId="0967A5A4" w14:textId="14650E7C" w:rsidR="003B5AB8" w:rsidRPr="0053555E" w:rsidRDefault="007C5A92" w:rsidP="003B5AB8">
      <w:pPr>
        <w:tabs>
          <w:tab w:val="left" w:pos="9356"/>
        </w:tabs>
        <w:spacing w:after="120"/>
        <w:jc w:val="both"/>
        <w:rPr>
          <w:rFonts w:asciiTheme="majorHAnsi" w:hAnsiTheme="majorHAnsi" w:cstheme="majorHAnsi"/>
        </w:rPr>
      </w:pPr>
      <w:r>
        <w:rPr>
          <w:rFonts w:asciiTheme="majorHAnsi" w:hAnsiTheme="majorHAnsi" w:cstheme="majorHAnsi"/>
        </w:rPr>
        <w:t>Z</w:t>
      </w:r>
      <w:r w:rsidR="000F3EF4" w:rsidRPr="0053555E">
        <w:rPr>
          <w:rFonts w:asciiTheme="majorHAnsi" w:hAnsiTheme="majorHAnsi" w:cstheme="majorHAnsi"/>
        </w:rPr>
        <w:t>meny zákona o vysokých školách a</w:t>
      </w:r>
      <w:r w:rsidR="00D61670" w:rsidRPr="0053555E">
        <w:rPr>
          <w:rFonts w:asciiTheme="majorHAnsi" w:hAnsiTheme="majorHAnsi" w:cstheme="majorHAnsi"/>
        </w:rPr>
        <w:t xml:space="preserve"> nadobudnutie účinnosti </w:t>
      </w:r>
      <w:r w:rsidR="000F3EF4" w:rsidRPr="0053555E">
        <w:rPr>
          <w:rFonts w:asciiTheme="majorHAnsi" w:hAnsiTheme="majorHAnsi" w:cstheme="majorHAnsi"/>
        </w:rPr>
        <w:t>nov</w:t>
      </w:r>
      <w:r w:rsidR="00D61670" w:rsidRPr="0053555E">
        <w:rPr>
          <w:rFonts w:asciiTheme="majorHAnsi" w:hAnsiTheme="majorHAnsi" w:cstheme="majorHAnsi"/>
        </w:rPr>
        <w:t xml:space="preserve">ého </w:t>
      </w:r>
      <w:r w:rsidR="000F3EF4" w:rsidRPr="0053555E">
        <w:rPr>
          <w:rFonts w:asciiTheme="majorHAnsi" w:hAnsiTheme="majorHAnsi" w:cstheme="majorHAnsi"/>
        </w:rPr>
        <w:t>zákon</w:t>
      </w:r>
      <w:r w:rsidR="00D61670" w:rsidRPr="0053555E">
        <w:rPr>
          <w:rFonts w:asciiTheme="majorHAnsi" w:hAnsiTheme="majorHAnsi" w:cstheme="majorHAnsi"/>
        </w:rPr>
        <w:t>a</w:t>
      </w:r>
      <w:r w:rsidR="00B016C5" w:rsidRPr="0053555E">
        <w:rPr>
          <w:rFonts w:asciiTheme="majorHAnsi" w:hAnsiTheme="majorHAnsi" w:cstheme="majorHAnsi"/>
        </w:rPr>
        <w:t xml:space="preserve"> o zabezpečovaní kvality</w:t>
      </w:r>
      <w:r>
        <w:rPr>
          <w:rFonts w:asciiTheme="majorHAnsi" w:hAnsiTheme="majorHAnsi" w:cstheme="majorHAnsi"/>
        </w:rPr>
        <w:t xml:space="preserve"> </w:t>
      </w:r>
      <w:r w:rsidR="00F71D51">
        <w:rPr>
          <w:rFonts w:asciiTheme="majorHAnsi" w:hAnsiTheme="majorHAnsi" w:cstheme="majorHAnsi"/>
        </w:rPr>
        <w:t xml:space="preserve">mali veľký vplyv na </w:t>
      </w:r>
      <w:r w:rsidR="006510E2" w:rsidRPr="0053555E">
        <w:rPr>
          <w:rFonts w:asciiTheme="majorHAnsi" w:hAnsiTheme="majorHAnsi" w:cstheme="majorHAnsi"/>
        </w:rPr>
        <w:t xml:space="preserve">činnosť STU v akademickom roku </w:t>
      </w:r>
      <w:r w:rsidR="00EA24BA" w:rsidRPr="0053555E">
        <w:rPr>
          <w:rFonts w:asciiTheme="majorHAnsi" w:hAnsiTheme="majorHAnsi" w:cstheme="majorHAnsi"/>
        </w:rPr>
        <w:t>2021/2022</w:t>
      </w:r>
      <w:r w:rsidR="006510E2" w:rsidRPr="0053555E">
        <w:rPr>
          <w:rFonts w:asciiTheme="majorHAnsi" w:hAnsiTheme="majorHAnsi" w:cstheme="majorHAnsi"/>
        </w:rPr>
        <w:t xml:space="preserve"> a </w:t>
      </w:r>
      <w:r w:rsidR="003B5AB8" w:rsidRPr="0053555E">
        <w:rPr>
          <w:rFonts w:asciiTheme="majorHAnsi" w:hAnsiTheme="majorHAnsi" w:cstheme="majorHAnsi"/>
        </w:rPr>
        <w:t>v najbližších rokoch zásadne ovplyvn</w:t>
      </w:r>
      <w:r w:rsidR="00270F63" w:rsidRPr="0053555E">
        <w:rPr>
          <w:rFonts w:asciiTheme="majorHAnsi" w:hAnsiTheme="majorHAnsi" w:cstheme="majorHAnsi"/>
        </w:rPr>
        <w:t>ia</w:t>
      </w:r>
      <w:r w:rsidR="003B5AB8" w:rsidRPr="0053555E">
        <w:rPr>
          <w:rFonts w:asciiTheme="majorHAnsi" w:hAnsiTheme="majorHAnsi" w:cstheme="majorHAnsi"/>
        </w:rPr>
        <w:t xml:space="preserve"> poskytovanie vysokoškolského vzdelávania v</w:t>
      </w:r>
      <w:r w:rsidR="00F71D51">
        <w:rPr>
          <w:rFonts w:asciiTheme="majorHAnsi" w:hAnsiTheme="majorHAnsi" w:cstheme="majorHAnsi"/>
        </w:rPr>
        <w:t xml:space="preserve"> rámci celej </w:t>
      </w:r>
      <w:r w:rsidR="003B5AB8" w:rsidRPr="0053555E">
        <w:rPr>
          <w:rFonts w:asciiTheme="majorHAnsi" w:hAnsiTheme="majorHAnsi" w:cstheme="majorHAnsi"/>
        </w:rPr>
        <w:t>Slovenskej republik</w:t>
      </w:r>
      <w:r w:rsidR="00F71D51">
        <w:rPr>
          <w:rFonts w:asciiTheme="majorHAnsi" w:hAnsiTheme="majorHAnsi" w:cstheme="majorHAnsi"/>
        </w:rPr>
        <w:t>y</w:t>
      </w:r>
      <w:r w:rsidR="006B7683" w:rsidRPr="0053555E">
        <w:rPr>
          <w:rFonts w:asciiTheme="majorHAnsi" w:hAnsiTheme="majorHAnsi" w:cstheme="majorHAnsi"/>
        </w:rPr>
        <w:t xml:space="preserve">. </w:t>
      </w:r>
      <w:r w:rsidR="00DC37CE">
        <w:rPr>
          <w:rFonts w:asciiTheme="majorHAnsi" w:hAnsiTheme="majorHAnsi" w:cstheme="majorHAnsi"/>
        </w:rPr>
        <w:t>Nové právne predpisy</w:t>
      </w:r>
      <w:r w:rsidR="006B7683" w:rsidRPr="0053555E">
        <w:rPr>
          <w:rFonts w:asciiTheme="majorHAnsi" w:hAnsiTheme="majorHAnsi" w:cstheme="majorHAnsi"/>
        </w:rPr>
        <w:t xml:space="preserve"> </w:t>
      </w:r>
      <w:r w:rsidR="006D586E">
        <w:rPr>
          <w:rFonts w:asciiTheme="majorHAnsi" w:hAnsiTheme="majorHAnsi" w:cstheme="majorHAnsi"/>
        </w:rPr>
        <w:t xml:space="preserve">zaviedli </w:t>
      </w:r>
      <w:r w:rsidR="003B5AB8" w:rsidRPr="0053555E">
        <w:rPr>
          <w:rFonts w:asciiTheme="majorHAnsi" w:hAnsiTheme="majorHAnsi" w:cstheme="majorHAnsi"/>
        </w:rPr>
        <w:t>nov</w:t>
      </w:r>
      <w:r w:rsidR="006B7683" w:rsidRPr="0053555E">
        <w:rPr>
          <w:rFonts w:asciiTheme="majorHAnsi" w:hAnsiTheme="majorHAnsi" w:cstheme="majorHAnsi"/>
        </w:rPr>
        <w:t>é</w:t>
      </w:r>
      <w:r w:rsidR="003B5AB8" w:rsidRPr="0053555E">
        <w:rPr>
          <w:rFonts w:asciiTheme="majorHAnsi" w:hAnsiTheme="majorHAnsi" w:cstheme="majorHAnsi"/>
        </w:rPr>
        <w:t xml:space="preserve"> pravid</w:t>
      </w:r>
      <w:r w:rsidR="006B7683" w:rsidRPr="0053555E">
        <w:rPr>
          <w:rFonts w:asciiTheme="majorHAnsi" w:hAnsiTheme="majorHAnsi" w:cstheme="majorHAnsi"/>
        </w:rPr>
        <w:t>lá</w:t>
      </w:r>
      <w:r w:rsidR="003B5AB8" w:rsidRPr="0053555E">
        <w:rPr>
          <w:rFonts w:asciiTheme="majorHAnsi" w:hAnsiTheme="majorHAnsi" w:cstheme="majorHAnsi"/>
        </w:rPr>
        <w:t xml:space="preserve"> </w:t>
      </w:r>
      <w:r w:rsidR="00A36312" w:rsidRPr="0053555E">
        <w:rPr>
          <w:rFonts w:asciiTheme="majorHAnsi" w:hAnsiTheme="majorHAnsi" w:cstheme="majorHAnsi"/>
        </w:rPr>
        <w:t xml:space="preserve">uskutočňovania študijných programov, </w:t>
      </w:r>
      <w:r w:rsidR="003B5AB8" w:rsidRPr="0053555E">
        <w:rPr>
          <w:rFonts w:asciiTheme="majorHAnsi" w:hAnsiTheme="majorHAnsi" w:cstheme="majorHAnsi"/>
        </w:rPr>
        <w:t>akreditácie študijných programov</w:t>
      </w:r>
      <w:r w:rsidR="0021393E" w:rsidRPr="0053555E">
        <w:rPr>
          <w:rFonts w:asciiTheme="majorHAnsi" w:hAnsiTheme="majorHAnsi" w:cstheme="majorHAnsi"/>
        </w:rPr>
        <w:t xml:space="preserve"> alebo ich vytvárania priamo vysokými </w:t>
      </w:r>
      <w:r w:rsidR="00A36312" w:rsidRPr="0053555E">
        <w:rPr>
          <w:rFonts w:asciiTheme="majorHAnsi" w:hAnsiTheme="majorHAnsi" w:cstheme="majorHAnsi"/>
        </w:rPr>
        <w:t>ško</w:t>
      </w:r>
      <w:r w:rsidR="00577707">
        <w:rPr>
          <w:rFonts w:asciiTheme="majorHAnsi" w:hAnsiTheme="majorHAnsi" w:cstheme="majorHAnsi"/>
        </w:rPr>
        <w:t>l</w:t>
      </w:r>
      <w:r w:rsidR="00A36312" w:rsidRPr="0053555E">
        <w:rPr>
          <w:rFonts w:asciiTheme="majorHAnsi" w:hAnsiTheme="majorHAnsi" w:cstheme="majorHAnsi"/>
        </w:rPr>
        <w:t>ami</w:t>
      </w:r>
      <w:r w:rsidR="0021393E" w:rsidRPr="0053555E">
        <w:rPr>
          <w:rFonts w:asciiTheme="majorHAnsi" w:hAnsiTheme="majorHAnsi" w:cstheme="majorHAnsi"/>
        </w:rPr>
        <w:t>, ich úpravy</w:t>
      </w:r>
      <w:r w:rsidR="003B5AB8" w:rsidRPr="0053555E">
        <w:rPr>
          <w:rFonts w:asciiTheme="majorHAnsi" w:hAnsiTheme="majorHAnsi" w:cstheme="majorHAnsi"/>
        </w:rPr>
        <w:t xml:space="preserve"> a</w:t>
      </w:r>
      <w:r w:rsidR="005C07C6" w:rsidRPr="0053555E">
        <w:rPr>
          <w:rFonts w:asciiTheme="majorHAnsi" w:hAnsiTheme="majorHAnsi" w:cstheme="majorHAnsi"/>
        </w:rPr>
        <w:t> </w:t>
      </w:r>
      <w:r w:rsidR="003B5AB8" w:rsidRPr="0053555E">
        <w:rPr>
          <w:rFonts w:asciiTheme="majorHAnsi" w:hAnsiTheme="majorHAnsi" w:cstheme="majorHAnsi"/>
        </w:rPr>
        <w:t>pravid</w:t>
      </w:r>
      <w:r w:rsidR="005C07C6" w:rsidRPr="0053555E">
        <w:rPr>
          <w:rFonts w:asciiTheme="majorHAnsi" w:hAnsiTheme="majorHAnsi" w:cstheme="majorHAnsi"/>
        </w:rPr>
        <w:t xml:space="preserve">lá </w:t>
      </w:r>
      <w:r w:rsidR="003B5AB8" w:rsidRPr="0053555E">
        <w:rPr>
          <w:rFonts w:asciiTheme="majorHAnsi" w:hAnsiTheme="majorHAnsi" w:cstheme="majorHAnsi"/>
        </w:rPr>
        <w:t>posudzovania vnútorného systému zabezpečovania kvality vysokoškolského vzdelávania.</w:t>
      </w:r>
      <w:r w:rsidR="00D61670" w:rsidRPr="0053555E">
        <w:rPr>
          <w:rFonts w:asciiTheme="majorHAnsi" w:hAnsiTheme="majorHAnsi" w:cstheme="majorHAnsi"/>
        </w:rPr>
        <w:t xml:space="preserve"> </w:t>
      </w:r>
      <w:r w:rsidR="00270F63" w:rsidRPr="0053555E">
        <w:rPr>
          <w:rFonts w:asciiTheme="majorHAnsi" w:hAnsiTheme="majorHAnsi" w:cstheme="majorHAnsi"/>
        </w:rPr>
        <w:t>Obidva spomínané zákony prešli aj v rok</w:t>
      </w:r>
      <w:r w:rsidR="009165BA">
        <w:rPr>
          <w:rFonts w:asciiTheme="majorHAnsi" w:hAnsiTheme="majorHAnsi" w:cstheme="majorHAnsi"/>
        </w:rPr>
        <w:t>och</w:t>
      </w:r>
      <w:r w:rsidR="00270F63" w:rsidRPr="0053555E">
        <w:rPr>
          <w:rFonts w:asciiTheme="majorHAnsi" w:hAnsiTheme="majorHAnsi" w:cstheme="majorHAnsi"/>
        </w:rPr>
        <w:t xml:space="preserve"> 202</w:t>
      </w:r>
      <w:r w:rsidR="00466616">
        <w:rPr>
          <w:rFonts w:asciiTheme="majorHAnsi" w:hAnsiTheme="majorHAnsi" w:cstheme="majorHAnsi"/>
        </w:rPr>
        <w:t>1</w:t>
      </w:r>
      <w:r w:rsidR="00270F63" w:rsidRPr="0053555E">
        <w:rPr>
          <w:rFonts w:asciiTheme="majorHAnsi" w:hAnsiTheme="majorHAnsi" w:cstheme="majorHAnsi"/>
        </w:rPr>
        <w:t xml:space="preserve"> a</w:t>
      </w:r>
      <w:r w:rsidR="008E1904" w:rsidRPr="0053555E">
        <w:rPr>
          <w:rFonts w:asciiTheme="majorHAnsi" w:hAnsiTheme="majorHAnsi" w:cstheme="majorHAnsi"/>
        </w:rPr>
        <w:t> </w:t>
      </w:r>
      <w:r w:rsidR="00270F63" w:rsidRPr="0053555E">
        <w:rPr>
          <w:rFonts w:asciiTheme="majorHAnsi" w:hAnsiTheme="majorHAnsi" w:cstheme="majorHAnsi"/>
        </w:rPr>
        <w:t>202</w:t>
      </w:r>
      <w:r w:rsidR="00466616">
        <w:rPr>
          <w:rFonts w:asciiTheme="majorHAnsi" w:hAnsiTheme="majorHAnsi" w:cstheme="majorHAnsi"/>
        </w:rPr>
        <w:t>2</w:t>
      </w:r>
      <w:r w:rsidR="008E1904" w:rsidRPr="0053555E">
        <w:rPr>
          <w:rFonts w:asciiTheme="majorHAnsi" w:hAnsiTheme="majorHAnsi" w:cstheme="majorHAnsi"/>
        </w:rPr>
        <w:t xml:space="preserve"> ďalšími právnymi úpravami</w:t>
      </w:r>
      <w:r w:rsidR="003B5AB8" w:rsidRPr="0053555E">
        <w:rPr>
          <w:rFonts w:asciiTheme="majorHAnsi" w:hAnsiTheme="majorHAnsi" w:cstheme="majorHAnsi"/>
        </w:rPr>
        <w:t xml:space="preserve">, ktoré </w:t>
      </w:r>
      <w:r w:rsidR="00BC10C8">
        <w:rPr>
          <w:rFonts w:asciiTheme="majorHAnsi" w:hAnsiTheme="majorHAnsi" w:cstheme="majorHAnsi"/>
        </w:rPr>
        <w:t>sú</w:t>
      </w:r>
      <w:r w:rsidR="003B5AB8" w:rsidRPr="0053555E">
        <w:rPr>
          <w:rFonts w:asciiTheme="majorHAnsi" w:hAnsiTheme="majorHAnsi" w:cstheme="majorHAnsi"/>
        </w:rPr>
        <w:t xml:space="preserve"> uvedené v ďalších častiach tejto správy. </w:t>
      </w:r>
    </w:p>
    <w:p w14:paraId="684A39C6" w14:textId="1953C06B" w:rsidR="003F23D6" w:rsidRPr="0053555E" w:rsidRDefault="00955DB7" w:rsidP="003B5AB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Akademický rok </w:t>
      </w:r>
      <w:r w:rsidR="00EA24BA" w:rsidRPr="0053555E">
        <w:rPr>
          <w:rFonts w:asciiTheme="majorHAnsi" w:hAnsiTheme="majorHAnsi" w:cstheme="majorHAnsi"/>
        </w:rPr>
        <w:t>2021/2022</w:t>
      </w:r>
      <w:r w:rsidRPr="0053555E">
        <w:rPr>
          <w:rFonts w:asciiTheme="majorHAnsi" w:hAnsiTheme="majorHAnsi" w:cstheme="majorHAnsi"/>
        </w:rPr>
        <w:t xml:space="preserve"> bol pre STU </w:t>
      </w:r>
      <w:r w:rsidR="003B6831" w:rsidRPr="0053555E">
        <w:rPr>
          <w:rFonts w:asciiTheme="majorHAnsi" w:hAnsiTheme="majorHAnsi" w:cstheme="majorHAnsi"/>
        </w:rPr>
        <w:t>významný</w:t>
      </w:r>
      <w:r w:rsidRPr="0053555E">
        <w:rPr>
          <w:rFonts w:asciiTheme="majorHAnsi" w:hAnsiTheme="majorHAnsi" w:cstheme="majorHAnsi"/>
        </w:rPr>
        <w:t xml:space="preserve"> najmä z pohľadu </w:t>
      </w:r>
      <w:r w:rsidR="000C284E">
        <w:rPr>
          <w:rFonts w:asciiTheme="majorHAnsi" w:hAnsiTheme="majorHAnsi" w:cstheme="majorHAnsi"/>
        </w:rPr>
        <w:t>zosúlaďovania</w:t>
      </w:r>
      <w:r w:rsidR="00075C0C" w:rsidRPr="0053555E">
        <w:rPr>
          <w:rFonts w:asciiTheme="majorHAnsi" w:hAnsiTheme="majorHAnsi" w:cstheme="majorHAnsi"/>
        </w:rPr>
        <w:t xml:space="preserve"> nového </w:t>
      </w:r>
      <w:r w:rsidRPr="0053555E">
        <w:rPr>
          <w:rFonts w:asciiTheme="majorHAnsi" w:hAnsiTheme="majorHAnsi" w:cstheme="majorHAnsi"/>
        </w:rPr>
        <w:t xml:space="preserve">vnútorného systému zabezpečovania kvality </w:t>
      </w:r>
      <w:r w:rsidR="00D8469D" w:rsidRPr="0053555E">
        <w:rPr>
          <w:rFonts w:asciiTheme="majorHAnsi" w:hAnsiTheme="majorHAnsi" w:cstheme="majorHAnsi"/>
        </w:rPr>
        <w:t>vysokoškolského vzdelávania na STU</w:t>
      </w:r>
      <w:r w:rsidR="007C5A92">
        <w:rPr>
          <w:rFonts w:asciiTheme="majorHAnsi" w:hAnsiTheme="majorHAnsi" w:cstheme="majorHAnsi"/>
        </w:rPr>
        <w:t>.</w:t>
      </w:r>
      <w:r w:rsidR="00D8469D" w:rsidRPr="0053555E">
        <w:rPr>
          <w:rFonts w:asciiTheme="majorHAnsi" w:hAnsiTheme="majorHAnsi" w:cstheme="majorHAnsi"/>
        </w:rPr>
        <w:t xml:space="preserve"> </w:t>
      </w:r>
    </w:p>
    <w:p w14:paraId="02975FCA" w14:textId="77777777" w:rsidR="00ED7FBB" w:rsidRPr="0053555E" w:rsidRDefault="004A218A" w:rsidP="003B5AB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V </w:t>
      </w:r>
      <w:r w:rsidR="003B5AB8" w:rsidRPr="0053555E">
        <w:rPr>
          <w:rFonts w:asciiTheme="majorHAnsi" w:hAnsiTheme="majorHAnsi" w:cstheme="majorHAnsi"/>
        </w:rPr>
        <w:t xml:space="preserve">zmysle prechodných ustanovení zákona o zabezpečovaní kvality sa práva STU udeľovať absolventom študijných programov akademické tituly priznané podľa právnych predpisov účinných do 31. 10. 2018 považujú za akreditácie študijných programov podľa právnych predpisov účinných od 1. 11. 2018. </w:t>
      </w:r>
    </w:p>
    <w:p w14:paraId="0442695B" w14:textId="27A73F49" w:rsidR="003B5AB8" w:rsidRPr="0053555E" w:rsidRDefault="0061169C" w:rsidP="004355DD">
      <w:pPr>
        <w:tabs>
          <w:tab w:val="left" w:pos="9356"/>
        </w:tabs>
        <w:spacing w:after="120"/>
        <w:jc w:val="both"/>
        <w:rPr>
          <w:rFonts w:asciiTheme="majorHAnsi" w:hAnsiTheme="majorHAnsi" w:cstheme="majorHAnsi"/>
        </w:rPr>
      </w:pPr>
      <w:r>
        <w:rPr>
          <w:rFonts w:asciiTheme="majorHAnsi" w:hAnsiTheme="majorHAnsi" w:cstheme="majorHAnsi"/>
        </w:rPr>
        <w:t>Študijn</w:t>
      </w:r>
      <w:r w:rsidR="00F02B54">
        <w:rPr>
          <w:rFonts w:asciiTheme="majorHAnsi" w:hAnsiTheme="majorHAnsi" w:cstheme="majorHAnsi"/>
        </w:rPr>
        <w:t>é</w:t>
      </w:r>
      <w:r>
        <w:rPr>
          <w:rFonts w:asciiTheme="majorHAnsi" w:hAnsiTheme="majorHAnsi" w:cstheme="majorHAnsi"/>
        </w:rPr>
        <w:t xml:space="preserve"> program</w:t>
      </w:r>
      <w:r w:rsidR="00F02B54">
        <w:rPr>
          <w:rFonts w:asciiTheme="majorHAnsi" w:hAnsiTheme="majorHAnsi" w:cstheme="majorHAnsi"/>
        </w:rPr>
        <w:t>y, ktorým boli</w:t>
      </w:r>
      <w:r w:rsidR="003B5AB8" w:rsidRPr="0053555E">
        <w:rPr>
          <w:rFonts w:asciiTheme="majorHAnsi" w:hAnsiTheme="majorHAnsi" w:cstheme="majorHAnsi"/>
        </w:rPr>
        <w:t xml:space="preserve"> priznané práv</w:t>
      </w:r>
      <w:r w:rsidR="00F02B54">
        <w:rPr>
          <w:rFonts w:asciiTheme="majorHAnsi" w:hAnsiTheme="majorHAnsi" w:cstheme="majorHAnsi"/>
        </w:rPr>
        <w:t>a</w:t>
      </w:r>
      <w:r w:rsidR="003B5AB8" w:rsidRPr="0053555E">
        <w:rPr>
          <w:rFonts w:asciiTheme="majorHAnsi" w:hAnsiTheme="majorHAnsi" w:cstheme="majorHAnsi"/>
        </w:rPr>
        <w:t xml:space="preserve"> </w:t>
      </w:r>
      <w:r w:rsidR="003B5AB8" w:rsidRPr="0053555E">
        <w:rPr>
          <w:rFonts w:asciiTheme="majorHAnsi" w:hAnsiTheme="majorHAnsi" w:cstheme="majorHAnsi"/>
          <w:b/>
        </w:rPr>
        <w:t>bez časového obmedzenia</w:t>
      </w:r>
      <w:r w:rsidR="003B5AB8" w:rsidRPr="0053555E">
        <w:rPr>
          <w:rFonts w:asciiTheme="majorHAnsi" w:hAnsiTheme="majorHAnsi" w:cstheme="majorHAnsi"/>
        </w:rPr>
        <w:t xml:space="preserve">, </w:t>
      </w:r>
      <w:r w:rsidR="00F02B54" w:rsidRPr="0053555E">
        <w:rPr>
          <w:rFonts w:asciiTheme="majorHAnsi" w:hAnsiTheme="majorHAnsi" w:cstheme="majorHAnsi"/>
        </w:rPr>
        <w:t xml:space="preserve">sa </w:t>
      </w:r>
      <w:r w:rsidR="003B5AB8" w:rsidRPr="0053555E">
        <w:rPr>
          <w:rFonts w:asciiTheme="majorHAnsi" w:hAnsiTheme="majorHAnsi" w:cstheme="majorHAnsi"/>
        </w:rPr>
        <w:t>považuj</w:t>
      </w:r>
      <w:r w:rsidR="00F02B54">
        <w:rPr>
          <w:rFonts w:asciiTheme="majorHAnsi" w:hAnsiTheme="majorHAnsi" w:cstheme="majorHAnsi"/>
        </w:rPr>
        <w:t>ú</w:t>
      </w:r>
      <w:r w:rsidR="003B5AB8" w:rsidRPr="0053555E">
        <w:rPr>
          <w:rFonts w:asciiTheme="majorHAnsi" w:hAnsiTheme="majorHAnsi" w:cstheme="majorHAnsi"/>
        </w:rPr>
        <w:t xml:space="preserve"> za </w:t>
      </w:r>
      <w:r w:rsidR="003B5AB8" w:rsidRPr="0053555E">
        <w:rPr>
          <w:rFonts w:asciiTheme="majorHAnsi" w:hAnsiTheme="majorHAnsi" w:cstheme="majorHAnsi"/>
          <w:b/>
        </w:rPr>
        <w:t>akredit</w:t>
      </w:r>
      <w:r w:rsidR="00F60720">
        <w:rPr>
          <w:rFonts w:asciiTheme="majorHAnsi" w:hAnsiTheme="majorHAnsi" w:cstheme="majorHAnsi"/>
          <w:b/>
        </w:rPr>
        <w:t>ované</w:t>
      </w:r>
      <w:r w:rsidR="003B5AB8" w:rsidRPr="0053555E">
        <w:rPr>
          <w:rFonts w:asciiTheme="majorHAnsi" w:hAnsiTheme="majorHAnsi" w:cstheme="majorHAnsi"/>
          <w:b/>
        </w:rPr>
        <w:t xml:space="preserve"> po potvrdení súladu</w:t>
      </w:r>
      <w:r w:rsidR="003B5AB8" w:rsidRPr="0053555E">
        <w:rPr>
          <w:rFonts w:asciiTheme="majorHAnsi" w:hAnsiTheme="majorHAnsi" w:cstheme="majorHAnsi"/>
        </w:rPr>
        <w:t xml:space="preserve"> agentúr</w:t>
      </w:r>
      <w:r w:rsidR="0041482F" w:rsidRPr="0053555E">
        <w:rPr>
          <w:rFonts w:asciiTheme="majorHAnsi" w:hAnsiTheme="majorHAnsi" w:cstheme="majorHAnsi"/>
        </w:rPr>
        <w:t>ou</w:t>
      </w:r>
      <w:r w:rsidR="006E012C">
        <w:rPr>
          <w:rFonts w:asciiTheme="majorHAnsi" w:hAnsiTheme="majorHAnsi" w:cstheme="majorHAnsi"/>
        </w:rPr>
        <w:t>, pričom</w:t>
      </w:r>
      <w:r w:rsidR="003B5AB8" w:rsidRPr="0053555E">
        <w:rPr>
          <w:rFonts w:asciiTheme="majorHAnsi" w:hAnsiTheme="majorHAnsi" w:cstheme="majorHAnsi"/>
        </w:rPr>
        <w:t xml:space="preserve"> STU je oprávnená tak</w:t>
      </w:r>
      <w:r w:rsidR="006E012C">
        <w:rPr>
          <w:rFonts w:asciiTheme="majorHAnsi" w:hAnsiTheme="majorHAnsi" w:cstheme="majorHAnsi"/>
        </w:rPr>
        <w:t>éto</w:t>
      </w:r>
      <w:r w:rsidR="003B5AB8" w:rsidRPr="0053555E">
        <w:rPr>
          <w:rFonts w:asciiTheme="majorHAnsi" w:hAnsiTheme="majorHAnsi" w:cstheme="majorHAnsi"/>
        </w:rPr>
        <w:t xml:space="preserve"> študijn</w:t>
      </w:r>
      <w:r w:rsidR="006E012C">
        <w:rPr>
          <w:rFonts w:asciiTheme="majorHAnsi" w:hAnsiTheme="majorHAnsi" w:cstheme="majorHAnsi"/>
        </w:rPr>
        <w:t>é</w:t>
      </w:r>
      <w:r w:rsidR="003B5AB8" w:rsidRPr="0053555E">
        <w:rPr>
          <w:rFonts w:asciiTheme="majorHAnsi" w:hAnsiTheme="majorHAnsi" w:cstheme="majorHAnsi"/>
        </w:rPr>
        <w:t xml:space="preserve"> program</w:t>
      </w:r>
      <w:r w:rsidR="006E012C">
        <w:rPr>
          <w:rFonts w:asciiTheme="majorHAnsi" w:hAnsiTheme="majorHAnsi" w:cstheme="majorHAnsi"/>
        </w:rPr>
        <w:t>y</w:t>
      </w:r>
      <w:r w:rsidR="003B5AB8" w:rsidRPr="0053555E">
        <w:rPr>
          <w:rFonts w:asciiTheme="majorHAnsi" w:hAnsiTheme="majorHAnsi" w:cstheme="majorHAnsi"/>
        </w:rPr>
        <w:t xml:space="preserve"> upravovať</w:t>
      </w:r>
      <w:r w:rsidR="002715BC" w:rsidRPr="0053555E">
        <w:rPr>
          <w:rFonts w:asciiTheme="majorHAnsi" w:hAnsiTheme="majorHAnsi" w:cstheme="majorHAnsi"/>
          <w:b/>
        </w:rPr>
        <w:t xml:space="preserve"> </w:t>
      </w:r>
      <w:r w:rsidR="002715BC" w:rsidRPr="0053555E">
        <w:rPr>
          <w:rFonts w:asciiTheme="majorHAnsi" w:hAnsiTheme="majorHAnsi" w:cstheme="majorHAnsi"/>
        </w:rPr>
        <w:t>(ďalej tiež</w:t>
      </w:r>
      <w:r w:rsidR="002715BC" w:rsidRPr="0053555E">
        <w:rPr>
          <w:rFonts w:asciiTheme="majorHAnsi" w:hAnsiTheme="majorHAnsi" w:cstheme="majorHAnsi"/>
          <w:b/>
        </w:rPr>
        <w:t xml:space="preserve"> „existujúc</w:t>
      </w:r>
      <w:r w:rsidR="004355DD">
        <w:rPr>
          <w:rFonts w:asciiTheme="majorHAnsi" w:hAnsiTheme="majorHAnsi" w:cstheme="majorHAnsi"/>
          <w:b/>
        </w:rPr>
        <w:t>e</w:t>
      </w:r>
      <w:r w:rsidR="002715BC" w:rsidRPr="0053555E">
        <w:rPr>
          <w:rFonts w:asciiTheme="majorHAnsi" w:hAnsiTheme="majorHAnsi" w:cstheme="majorHAnsi"/>
          <w:b/>
        </w:rPr>
        <w:t xml:space="preserve"> študijn</w:t>
      </w:r>
      <w:r w:rsidR="004355DD">
        <w:rPr>
          <w:rFonts w:asciiTheme="majorHAnsi" w:hAnsiTheme="majorHAnsi" w:cstheme="majorHAnsi"/>
          <w:b/>
        </w:rPr>
        <w:t>é</w:t>
      </w:r>
      <w:r w:rsidR="002715BC" w:rsidRPr="0053555E">
        <w:rPr>
          <w:rFonts w:asciiTheme="majorHAnsi" w:hAnsiTheme="majorHAnsi" w:cstheme="majorHAnsi"/>
          <w:b/>
        </w:rPr>
        <w:t xml:space="preserve"> program</w:t>
      </w:r>
      <w:r w:rsidR="004355DD">
        <w:rPr>
          <w:rFonts w:asciiTheme="majorHAnsi" w:hAnsiTheme="majorHAnsi" w:cstheme="majorHAnsi"/>
          <w:b/>
        </w:rPr>
        <w:t>y</w:t>
      </w:r>
      <w:r w:rsidR="002715BC" w:rsidRPr="0053555E">
        <w:rPr>
          <w:rFonts w:asciiTheme="majorHAnsi" w:hAnsiTheme="majorHAnsi" w:cstheme="majorHAnsi"/>
          <w:b/>
        </w:rPr>
        <w:t>“</w:t>
      </w:r>
      <w:r w:rsidR="002715BC" w:rsidRPr="0053555E">
        <w:rPr>
          <w:rFonts w:asciiTheme="majorHAnsi" w:hAnsiTheme="majorHAnsi" w:cstheme="majorHAnsi"/>
        </w:rPr>
        <w:t>)</w:t>
      </w:r>
      <w:r w:rsidR="003B5AB8" w:rsidRPr="0053555E">
        <w:rPr>
          <w:rFonts w:asciiTheme="majorHAnsi" w:hAnsiTheme="majorHAnsi" w:cstheme="majorHAnsi"/>
        </w:rPr>
        <w:t xml:space="preserve">. Úpravou študijného programu sa podľa § 2 písm. </w:t>
      </w:r>
      <w:r w:rsidR="006E012C">
        <w:rPr>
          <w:rFonts w:asciiTheme="majorHAnsi" w:hAnsiTheme="majorHAnsi" w:cstheme="majorHAnsi"/>
        </w:rPr>
        <w:t>h</w:t>
      </w:r>
      <w:r w:rsidR="003B5AB8" w:rsidRPr="0053555E">
        <w:rPr>
          <w:rFonts w:asciiTheme="majorHAnsi" w:hAnsiTheme="majorHAnsi" w:cstheme="majorHAnsi"/>
        </w:rPr>
        <w:t xml:space="preserve">) zákona o zabezpečovaní kvality rozumie </w:t>
      </w:r>
      <w:r w:rsidR="004355DD" w:rsidRPr="004355DD">
        <w:rPr>
          <w:rFonts w:asciiTheme="majorHAnsi" w:hAnsiTheme="majorHAnsi" w:cstheme="majorHAnsi"/>
        </w:rPr>
        <w:t>doplnenie alebo vypustenie povinných predmetov alebo povinne voliteľných predmetov, zmena podmienok na</w:t>
      </w:r>
      <w:r w:rsidR="004355DD">
        <w:rPr>
          <w:rFonts w:asciiTheme="majorHAnsi" w:hAnsiTheme="majorHAnsi" w:cstheme="majorHAnsi"/>
        </w:rPr>
        <w:t> </w:t>
      </w:r>
      <w:r w:rsidR="004355DD" w:rsidRPr="004355DD">
        <w:rPr>
          <w:rFonts w:asciiTheme="majorHAnsi" w:hAnsiTheme="majorHAnsi" w:cstheme="majorHAnsi"/>
        </w:rPr>
        <w:t>riadne skončenie štúdia alebo úprava informačného listu povinného predmetu alebo povinne voliteľného predmetu okrem</w:t>
      </w:r>
      <w:r w:rsidR="00C90CDD">
        <w:rPr>
          <w:rFonts w:asciiTheme="majorHAnsi" w:hAnsiTheme="majorHAnsi" w:cstheme="majorHAnsi"/>
        </w:rPr>
        <w:t xml:space="preserve"> </w:t>
      </w:r>
      <w:r w:rsidR="004355DD" w:rsidRPr="004355DD">
        <w:rPr>
          <w:rFonts w:asciiTheme="majorHAnsi" w:hAnsiTheme="majorHAnsi" w:cstheme="majorHAnsi"/>
        </w:rPr>
        <w:t>aktualizácie vyučujúceho,</w:t>
      </w:r>
      <w:r w:rsidR="00C90CDD">
        <w:rPr>
          <w:rFonts w:asciiTheme="majorHAnsi" w:hAnsiTheme="majorHAnsi" w:cstheme="majorHAnsi"/>
        </w:rPr>
        <w:t xml:space="preserve"> </w:t>
      </w:r>
      <w:r w:rsidR="004355DD" w:rsidRPr="004355DD">
        <w:rPr>
          <w:rFonts w:asciiTheme="majorHAnsi" w:hAnsiTheme="majorHAnsi" w:cstheme="majorHAnsi"/>
        </w:rPr>
        <w:t>odporúčanej literatúry a</w:t>
      </w:r>
      <w:r w:rsidR="00C90CDD">
        <w:rPr>
          <w:rFonts w:asciiTheme="majorHAnsi" w:hAnsiTheme="majorHAnsi" w:cstheme="majorHAnsi"/>
        </w:rPr>
        <w:t xml:space="preserve"> </w:t>
      </w:r>
      <w:r w:rsidR="004355DD" w:rsidRPr="004355DD">
        <w:rPr>
          <w:rFonts w:asciiTheme="majorHAnsi" w:hAnsiTheme="majorHAnsi" w:cstheme="majorHAnsi"/>
        </w:rPr>
        <w:t>druhu, rozsahu a</w:t>
      </w:r>
      <w:r w:rsidR="00C90CDD">
        <w:rPr>
          <w:rFonts w:asciiTheme="majorHAnsi" w:hAnsiTheme="majorHAnsi" w:cstheme="majorHAnsi"/>
        </w:rPr>
        <w:t> </w:t>
      </w:r>
      <w:r w:rsidR="004355DD" w:rsidRPr="004355DD">
        <w:rPr>
          <w:rFonts w:asciiTheme="majorHAnsi" w:hAnsiTheme="majorHAnsi" w:cstheme="majorHAnsi"/>
        </w:rPr>
        <w:t>metódy vzdelávacích činností.</w:t>
      </w:r>
    </w:p>
    <w:p w14:paraId="02D0788B" w14:textId="177E521D" w:rsidR="003B5AB8" w:rsidRPr="0053555E" w:rsidRDefault="002E205F" w:rsidP="003B5AB8">
      <w:pPr>
        <w:tabs>
          <w:tab w:val="left" w:pos="9356"/>
        </w:tabs>
        <w:spacing w:after="120"/>
        <w:jc w:val="both"/>
        <w:rPr>
          <w:rFonts w:asciiTheme="majorHAnsi" w:hAnsiTheme="majorHAnsi" w:cstheme="majorHAnsi"/>
        </w:rPr>
      </w:pPr>
      <w:r>
        <w:rPr>
          <w:rFonts w:asciiTheme="majorHAnsi" w:hAnsiTheme="majorHAnsi" w:cstheme="majorHAnsi"/>
        </w:rPr>
        <w:t>Študijn</w:t>
      </w:r>
      <w:r w:rsidR="00464D90">
        <w:rPr>
          <w:rFonts w:asciiTheme="majorHAnsi" w:hAnsiTheme="majorHAnsi" w:cstheme="majorHAnsi"/>
        </w:rPr>
        <w:t>ým</w:t>
      </w:r>
      <w:r>
        <w:rPr>
          <w:rFonts w:asciiTheme="majorHAnsi" w:hAnsiTheme="majorHAnsi" w:cstheme="majorHAnsi"/>
        </w:rPr>
        <w:t xml:space="preserve"> program</w:t>
      </w:r>
      <w:r w:rsidR="00464D90">
        <w:rPr>
          <w:rFonts w:asciiTheme="majorHAnsi" w:hAnsiTheme="majorHAnsi" w:cstheme="majorHAnsi"/>
        </w:rPr>
        <w:t>om</w:t>
      </w:r>
      <w:r>
        <w:rPr>
          <w:rFonts w:asciiTheme="majorHAnsi" w:hAnsiTheme="majorHAnsi" w:cstheme="majorHAnsi"/>
        </w:rPr>
        <w:t>, ktorým boli</w:t>
      </w:r>
      <w:r w:rsidR="003B5AB8" w:rsidRPr="0053555E">
        <w:rPr>
          <w:rFonts w:asciiTheme="majorHAnsi" w:hAnsiTheme="majorHAnsi" w:cstheme="majorHAnsi"/>
        </w:rPr>
        <w:t xml:space="preserve"> priznané práv</w:t>
      </w:r>
      <w:r>
        <w:rPr>
          <w:rFonts w:asciiTheme="majorHAnsi" w:hAnsiTheme="majorHAnsi" w:cstheme="majorHAnsi"/>
        </w:rPr>
        <w:t>a</w:t>
      </w:r>
      <w:r w:rsidR="003B5AB8" w:rsidRPr="0053555E">
        <w:rPr>
          <w:rFonts w:asciiTheme="majorHAnsi" w:hAnsiTheme="majorHAnsi" w:cstheme="majorHAnsi"/>
        </w:rPr>
        <w:t xml:space="preserve"> </w:t>
      </w:r>
      <w:r w:rsidR="003B5AB8" w:rsidRPr="0053555E">
        <w:rPr>
          <w:rFonts w:asciiTheme="majorHAnsi" w:hAnsiTheme="majorHAnsi" w:cstheme="majorHAnsi"/>
          <w:b/>
        </w:rPr>
        <w:t>s časovým obmedzením</w:t>
      </w:r>
      <w:r w:rsidR="003B5AB8" w:rsidRPr="0053555E">
        <w:rPr>
          <w:rFonts w:asciiTheme="majorHAnsi" w:hAnsiTheme="majorHAnsi" w:cstheme="majorHAnsi"/>
        </w:rPr>
        <w:t xml:space="preserve"> </w:t>
      </w:r>
      <w:r w:rsidR="003B5AB8" w:rsidRPr="0053555E">
        <w:rPr>
          <w:rFonts w:asciiTheme="majorHAnsi" w:hAnsiTheme="majorHAnsi" w:cstheme="majorHAnsi"/>
          <w:b/>
        </w:rPr>
        <w:t>z dôvodu, že išlo o nov</w:t>
      </w:r>
      <w:r>
        <w:rPr>
          <w:rFonts w:asciiTheme="majorHAnsi" w:hAnsiTheme="majorHAnsi" w:cstheme="majorHAnsi"/>
          <w:b/>
        </w:rPr>
        <w:t>é</w:t>
      </w:r>
      <w:r w:rsidR="003B5AB8" w:rsidRPr="0053555E">
        <w:rPr>
          <w:rFonts w:asciiTheme="majorHAnsi" w:hAnsiTheme="majorHAnsi" w:cstheme="majorHAnsi"/>
          <w:b/>
        </w:rPr>
        <w:t xml:space="preserve"> študijn</w:t>
      </w:r>
      <w:r>
        <w:rPr>
          <w:rFonts w:asciiTheme="majorHAnsi" w:hAnsiTheme="majorHAnsi" w:cstheme="majorHAnsi"/>
          <w:b/>
        </w:rPr>
        <w:t>é</w:t>
      </w:r>
      <w:r w:rsidR="003B5AB8" w:rsidRPr="0053555E">
        <w:rPr>
          <w:rFonts w:asciiTheme="majorHAnsi" w:hAnsiTheme="majorHAnsi" w:cstheme="majorHAnsi"/>
          <w:b/>
        </w:rPr>
        <w:t xml:space="preserve"> program</w:t>
      </w:r>
      <w:r>
        <w:rPr>
          <w:rFonts w:asciiTheme="majorHAnsi" w:hAnsiTheme="majorHAnsi" w:cstheme="majorHAnsi"/>
          <w:b/>
        </w:rPr>
        <w:t>y</w:t>
      </w:r>
      <w:r w:rsidR="000C5017">
        <w:rPr>
          <w:rFonts w:asciiTheme="majorHAnsi" w:hAnsiTheme="majorHAnsi" w:cstheme="majorHAnsi"/>
          <w:b/>
        </w:rPr>
        <w:t>,</w:t>
      </w:r>
      <w:r>
        <w:rPr>
          <w:rFonts w:asciiTheme="majorHAnsi" w:hAnsiTheme="majorHAnsi" w:cstheme="majorHAnsi"/>
          <w:b/>
        </w:rPr>
        <w:t xml:space="preserve"> </w:t>
      </w:r>
      <w:r w:rsidRPr="008C5060">
        <w:rPr>
          <w:rFonts w:asciiTheme="majorHAnsi" w:hAnsiTheme="majorHAnsi" w:cstheme="majorHAnsi"/>
        </w:rPr>
        <w:t xml:space="preserve">boli </w:t>
      </w:r>
      <w:r w:rsidR="008C5060" w:rsidRPr="008C5060">
        <w:rPr>
          <w:rFonts w:asciiTheme="majorHAnsi" w:hAnsiTheme="majorHAnsi" w:cstheme="majorHAnsi"/>
        </w:rPr>
        <w:t>časové</w:t>
      </w:r>
      <w:r w:rsidR="003B5AB8" w:rsidRPr="0053555E">
        <w:rPr>
          <w:rFonts w:asciiTheme="majorHAnsi" w:hAnsiTheme="majorHAnsi" w:cstheme="majorHAnsi"/>
        </w:rPr>
        <w:t xml:space="preserve"> obmedzeni</w:t>
      </w:r>
      <w:r w:rsidR="008C5060">
        <w:rPr>
          <w:rFonts w:asciiTheme="majorHAnsi" w:hAnsiTheme="majorHAnsi" w:cstheme="majorHAnsi"/>
        </w:rPr>
        <w:t>a</w:t>
      </w:r>
      <w:r w:rsidR="003B5AB8" w:rsidRPr="0053555E">
        <w:rPr>
          <w:rFonts w:asciiTheme="majorHAnsi" w:hAnsiTheme="majorHAnsi" w:cstheme="majorHAnsi"/>
        </w:rPr>
        <w:t xml:space="preserve"> od 1. 11. 2018 zruš</w:t>
      </w:r>
      <w:r w:rsidR="0084098F">
        <w:rPr>
          <w:rFonts w:asciiTheme="majorHAnsi" w:hAnsiTheme="majorHAnsi" w:cstheme="majorHAnsi"/>
        </w:rPr>
        <w:t>ené</w:t>
      </w:r>
      <w:r w:rsidR="00AB13A3" w:rsidRPr="0053555E">
        <w:rPr>
          <w:rFonts w:asciiTheme="majorHAnsi" w:hAnsiTheme="majorHAnsi" w:cstheme="majorHAnsi"/>
        </w:rPr>
        <w:t xml:space="preserve"> (ex offo)</w:t>
      </w:r>
      <w:r w:rsidR="003B5AB8" w:rsidRPr="0053555E">
        <w:rPr>
          <w:rFonts w:asciiTheme="majorHAnsi" w:hAnsiTheme="majorHAnsi" w:cstheme="majorHAnsi"/>
        </w:rPr>
        <w:t>, pričom sa považuj</w:t>
      </w:r>
      <w:r w:rsidR="0084098F">
        <w:rPr>
          <w:rFonts w:asciiTheme="majorHAnsi" w:hAnsiTheme="majorHAnsi" w:cstheme="majorHAnsi"/>
        </w:rPr>
        <w:t xml:space="preserve">ú </w:t>
      </w:r>
      <w:r w:rsidR="003B5AB8" w:rsidRPr="0053555E">
        <w:rPr>
          <w:rFonts w:asciiTheme="majorHAnsi" w:hAnsiTheme="majorHAnsi" w:cstheme="majorHAnsi"/>
        </w:rPr>
        <w:t xml:space="preserve">za </w:t>
      </w:r>
      <w:r w:rsidR="003B5AB8" w:rsidRPr="00E605F0">
        <w:rPr>
          <w:rFonts w:asciiTheme="majorHAnsi" w:hAnsiTheme="majorHAnsi" w:cstheme="majorHAnsi"/>
        </w:rPr>
        <w:t>akredit</w:t>
      </w:r>
      <w:r w:rsidR="00464D90">
        <w:rPr>
          <w:rFonts w:asciiTheme="majorHAnsi" w:hAnsiTheme="majorHAnsi" w:cstheme="majorHAnsi"/>
        </w:rPr>
        <w:t>ované</w:t>
      </w:r>
      <w:r w:rsidR="003B5AB8" w:rsidRPr="00E605F0">
        <w:rPr>
          <w:rFonts w:asciiTheme="majorHAnsi" w:hAnsiTheme="majorHAnsi" w:cstheme="majorHAnsi"/>
        </w:rPr>
        <w:t xml:space="preserve"> pred potvrdením súladu agentúr</w:t>
      </w:r>
      <w:r w:rsidR="0084098F" w:rsidRPr="00E605F0">
        <w:rPr>
          <w:rFonts w:asciiTheme="majorHAnsi" w:hAnsiTheme="majorHAnsi" w:cstheme="majorHAnsi"/>
        </w:rPr>
        <w:t>ou</w:t>
      </w:r>
      <w:r w:rsidR="003B5AB8" w:rsidRPr="00E605F0">
        <w:rPr>
          <w:rFonts w:asciiTheme="majorHAnsi" w:hAnsiTheme="majorHAnsi" w:cstheme="majorHAnsi"/>
        </w:rPr>
        <w:t xml:space="preserve">. </w:t>
      </w:r>
      <w:r w:rsidR="00B47C1B" w:rsidRPr="00E605F0">
        <w:rPr>
          <w:rFonts w:asciiTheme="majorHAnsi" w:hAnsiTheme="majorHAnsi" w:cstheme="majorHAnsi"/>
        </w:rPr>
        <w:t xml:space="preserve">Uvedené sa vzťahuje aj na </w:t>
      </w:r>
      <w:r w:rsidR="003A2C16" w:rsidRPr="00E605F0">
        <w:rPr>
          <w:rFonts w:asciiTheme="majorHAnsi" w:hAnsiTheme="majorHAnsi" w:cstheme="majorHAnsi"/>
        </w:rPr>
        <w:t>nov</w:t>
      </w:r>
      <w:r w:rsidR="00E81C92" w:rsidRPr="00E605F0">
        <w:rPr>
          <w:rFonts w:asciiTheme="majorHAnsi" w:hAnsiTheme="majorHAnsi" w:cstheme="majorHAnsi"/>
        </w:rPr>
        <w:t>é</w:t>
      </w:r>
      <w:r w:rsidR="00B47C1B" w:rsidRPr="00E605F0">
        <w:rPr>
          <w:rFonts w:asciiTheme="majorHAnsi" w:hAnsiTheme="majorHAnsi" w:cstheme="majorHAnsi"/>
        </w:rPr>
        <w:t xml:space="preserve"> študijn</w:t>
      </w:r>
      <w:r w:rsidR="00E81C92" w:rsidRPr="00E605F0">
        <w:rPr>
          <w:rFonts w:asciiTheme="majorHAnsi" w:hAnsiTheme="majorHAnsi" w:cstheme="majorHAnsi"/>
        </w:rPr>
        <w:t>é</w:t>
      </w:r>
      <w:r w:rsidR="008E080A" w:rsidRPr="00E605F0">
        <w:rPr>
          <w:rFonts w:asciiTheme="majorHAnsi" w:hAnsiTheme="majorHAnsi" w:cstheme="majorHAnsi"/>
        </w:rPr>
        <w:t xml:space="preserve"> </w:t>
      </w:r>
      <w:r w:rsidR="00B47C1B" w:rsidRPr="00E605F0">
        <w:rPr>
          <w:rFonts w:asciiTheme="majorHAnsi" w:hAnsiTheme="majorHAnsi" w:cstheme="majorHAnsi"/>
        </w:rPr>
        <w:t>program</w:t>
      </w:r>
      <w:r w:rsidR="00E81C92" w:rsidRPr="00E605F0">
        <w:rPr>
          <w:rFonts w:asciiTheme="majorHAnsi" w:hAnsiTheme="majorHAnsi" w:cstheme="majorHAnsi"/>
        </w:rPr>
        <w:t>y</w:t>
      </w:r>
      <w:r w:rsidR="003A2C16" w:rsidRPr="00E605F0">
        <w:rPr>
          <w:rFonts w:asciiTheme="majorHAnsi" w:hAnsiTheme="majorHAnsi" w:cstheme="majorHAnsi"/>
        </w:rPr>
        <w:t>, ktor</w:t>
      </w:r>
      <w:r w:rsidR="00E81C92" w:rsidRPr="00E605F0">
        <w:rPr>
          <w:rFonts w:asciiTheme="majorHAnsi" w:hAnsiTheme="majorHAnsi" w:cstheme="majorHAnsi"/>
        </w:rPr>
        <w:t>ým</w:t>
      </w:r>
      <w:r w:rsidR="003A2C16" w:rsidRPr="00E605F0">
        <w:rPr>
          <w:rFonts w:asciiTheme="majorHAnsi" w:hAnsiTheme="majorHAnsi" w:cstheme="majorHAnsi"/>
        </w:rPr>
        <w:t xml:space="preserve"> bol</w:t>
      </w:r>
      <w:r w:rsidR="00E81C92" w:rsidRPr="00E605F0">
        <w:rPr>
          <w:rFonts w:asciiTheme="majorHAnsi" w:hAnsiTheme="majorHAnsi" w:cstheme="majorHAnsi"/>
        </w:rPr>
        <w:t>i</w:t>
      </w:r>
      <w:r w:rsidR="00B47C1B" w:rsidRPr="00E605F0">
        <w:rPr>
          <w:rFonts w:asciiTheme="majorHAnsi" w:hAnsiTheme="majorHAnsi" w:cstheme="majorHAnsi"/>
        </w:rPr>
        <w:t xml:space="preserve"> </w:t>
      </w:r>
      <w:r w:rsidR="003A2C16" w:rsidRPr="00E605F0">
        <w:rPr>
          <w:rFonts w:asciiTheme="majorHAnsi" w:hAnsiTheme="majorHAnsi" w:cstheme="majorHAnsi"/>
        </w:rPr>
        <w:t>priznané práv</w:t>
      </w:r>
      <w:r w:rsidR="00E81C92" w:rsidRPr="00E605F0">
        <w:rPr>
          <w:rFonts w:asciiTheme="majorHAnsi" w:hAnsiTheme="majorHAnsi" w:cstheme="majorHAnsi"/>
        </w:rPr>
        <w:t>a</w:t>
      </w:r>
      <w:r w:rsidR="003A2C16" w:rsidRPr="00E605F0">
        <w:rPr>
          <w:rFonts w:asciiTheme="majorHAnsi" w:hAnsiTheme="majorHAnsi" w:cstheme="majorHAnsi"/>
        </w:rPr>
        <w:t xml:space="preserve"> bez časového obmedzenia </w:t>
      </w:r>
      <w:r w:rsidR="00030734" w:rsidRPr="00E605F0">
        <w:rPr>
          <w:rFonts w:asciiTheme="majorHAnsi" w:hAnsiTheme="majorHAnsi" w:cstheme="majorHAnsi"/>
        </w:rPr>
        <w:t>po </w:t>
      </w:r>
      <w:r w:rsidR="00D94947" w:rsidRPr="00E605F0">
        <w:rPr>
          <w:rFonts w:asciiTheme="majorHAnsi" w:hAnsiTheme="majorHAnsi" w:cstheme="majorHAnsi"/>
        </w:rPr>
        <w:t>1. novembri 2018</w:t>
      </w:r>
      <w:r w:rsidR="00D94947" w:rsidRPr="0053555E">
        <w:rPr>
          <w:rFonts w:asciiTheme="majorHAnsi" w:hAnsiTheme="majorHAnsi" w:cstheme="majorHAnsi"/>
        </w:rPr>
        <w:t>.</w:t>
      </w:r>
      <w:r w:rsidR="003A2C16" w:rsidRPr="0053555E">
        <w:rPr>
          <w:rFonts w:asciiTheme="majorHAnsi" w:hAnsiTheme="majorHAnsi" w:cstheme="majorHAnsi"/>
        </w:rPr>
        <w:t xml:space="preserve"> </w:t>
      </w:r>
      <w:r w:rsidR="003B5AB8" w:rsidRPr="0053555E">
        <w:rPr>
          <w:rFonts w:asciiTheme="majorHAnsi" w:hAnsiTheme="majorHAnsi" w:cstheme="majorHAnsi"/>
        </w:rPr>
        <w:t>STU nie je oprávnená tak</w:t>
      </w:r>
      <w:r w:rsidR="00E605F0">
        <w:rPr>
          <w:rFonts w:asciiTheme="majorHAnsi" w:hAnsiTheme="majorHAnsi" w:cstheme="majorHAnsi"/>
        </w:rPr>
        <w:t>é</w:t>
      </w:r>
      <w:r w:rsidR="003B5AB8" w:rsidRPr="0053555E">
        <w:rPr>
          <w:rFonts w:asciiTheme="majorHAnsi" w:hAnsiTheme="majorHAnsi" w:cstheme="majorHAnsi"/>
        </w:rPr>
        <w:t>to študijn</w:t>
      </w:r>
      <w:r w:rsidR="00E605F0">
        <w:rPr>
          <w:rFonts w:asciiTheme="majorHAnsi" w:hAnsiTheme="majorHAnsi" w:cstheme="majorHAnsi"/>
        </w:rPr>
        <w:t>é</w:t>
      </w:r>
      <w:r w:rsidR="003B5AB8" w:rsidRPr="0053555E">
        <w:rPr>
          <w:rFonts w:asciiTheme="majorHAnsi" w:hAnsiTheme="majorHAnsi" w:cstheme="majorHAnsi"/>
        </w:rPr>
        <w:t xml:space="preserve"> program</w:t>
      </w:r>
      <w:r w:rsidR="00E605F0">
        <w:rPr>
          <w:rFonts w:asciiTheme="majorHAnsi" w:hAnsiTheme="majorHAnsi" w:cstheme="majorHAnsi"/>
        </w:rPr>
        <w:t>y</w:t>
      </w:r>
      <w:r w:rsidR="003B5AB8" w:rsidRPr="0053555E">
        <w:rPr>
          <w:rFonts w:asciiTheme="majorHAnsi" w:hAnsiTheme="majorHAnsi" w:cstheme="majorHAnsi"/>
        </w:rPr>
        <w:t xml:space="preserve"> upravovať </w:t>
      </w:r>
      <w:r w:rsidR="00DF7879" w:rsidRPr="0053555E">
        <w:rPr>
          <w:rFonts w:asciiTheme="majorHAnsi" w:hAnsiTheme="majorHAnsi" w:cstheme="majorHAnsi"/>
        </w:rPr>
        <w:t>bez </w:t>
      </w:r>
      <w:r w:rsidR="007A4A93" w:rsidRPr="0053555E">
        <w:rPr>
          <w:rFonts w:asciiTheme="majorHAnsi" w:hAnsiTheme="majorHAnsi" w:cstheme="majorHAnsi"/>
        </w:rPr>
        <w:t>predchádzajúceho súhlasu agentúry</w:t>
      </w:r>
      <w:r w:rsidR="0064623D" w:rsidRPr="0053555E">
        <w:rPr>
          <w:rFonts w:asciiTheme="majorHAnsi" w:hAnsiTheme="majorHAnsi" w:cstheme="majorHAnsi"/>
        </w:rPr>
        <w:t xml:space="preserve"> (ďalej tiež </w:t>
      </w:r>
      <w:r w:rsidR="0064623D" w:rsidRPr="0053555E">
        <w:rPr>
          <w:rFonts w:asciiTheme="majorHAnsi" w:hAnsiTheme="majorHAnsi" w:cstheme="majorHAnsi"/>
          <w:b/>
        </w:rPr>
        <w:t>„NŠP“</w:t>
      </w:r>
      <w:r w:rsidR="000261E0" w:rsidRPr="0053555E">
        <w:rPr>
          <w:rFonts w:asciiTheme="majorHAnsi" w:hAnsiTheme="majorHAnsi" w:cstheme="majorHAnsi"/>
          <w:b/>
        </w:rPr>
        <w:t xml:space="preserve"> </w:t>
      </w:r>
      <w:r w:rsidR="009A04EE" w:rsidRPr="0053555E">
        <w:rPr>
          <w:rFonts w:asciiTheme="majorHAnsi" w:hAnsiTheme="majorHAnsi" w:cstheme="majorHAnsi"/>
        </w:rPr>
        <w:t>alebo </w:t>
      </w:r>
      <w:r w:rsidR="000261E0" w:rsidRPr="0053555E">
        <w:rPr>
          <w:rFonts w:asciiTheme="majorHAnsi" w:hAnsiTheme="majorHAnsi" w:cstheme="majorHAnsi"/>
          <w:b/>
        </w:rPr>
        <w:t>„</w:t>
      </w:r>
      <w:r w:rsidR="0064623D" w:rsidRPr="0053555E">
        <w:rPr>
          <w:rFonts w:asciiTheme="majorHAnsi" w:hAnsiTheme="majorHAnsi" w:cstheme="majorHAnsi"/>
          <w:b/>
        </w:rPr>
        <w:t>nov</w:t>
      </w:r>
      <w:r w:rsidR="00E605F0">
        <w:rPr>
          <w:rFonts w:asciiTheme="majorHAnsi" w:hAnsiTheme="majorHAnsi" w:cstheme="majorHAnsi"/>
          <w:b/>
        </w:rPr>
        <w:t>é</w:t>
      </w:r>
      <w:r w:rsidR="0064623D" w:rsidRPr="0053555E">
        <w:rPr>
          <w:rFonts w:asciiTheme="majorHAnsi" w:hAnsiTheme="majorHAnsi" w:cstheme="majorHAnsi"/>
          <w:b/>
        </w:rPr>
        <w:t xml:space="preserve"> študijn</w:t>
      </w:r>
      <w:r w:rsidR="00E605F0">
        <w:rPr>
          <w:rFonts w:asciiTheme="majorHAnsi" w:hAnsiTheme="majorHAnsi" w:cstheme="majorHAnsi"/>
          <w:b/>
        </w:rPr>
        <w:t>é</w:t>
      </w:r>
      <w:r w:rsidR="0064623D" w:rsidRPr="0053555E">
        <w:rPr>
          <w:rFonts w:asciiTheme="majorHAnsi" w:hAnsiTheme="majorHAnsi" w:cstheme="majorHAnsi"/>
          <w:b/>
        </w:rPr>
        <w:t xml:space="preserve"> program</w:t>
      </w:r>
      <w:r w:rsidR="00E605F0">
        <w:rPr>
          <w:rFonts w:asciiTheme="majorHAnsi" w:hAnsiTheme="majorHAnsi" w:cstheme="majorHAnsi"/>
          <w:b/>
        </w:rPr>
        <w:t>y</w:t>
      </w:r>
      <w:r w:rsidR="0064623D" w:rsidRPr="0053555E">
        <w:rPr>
          <w:rFonts w:asciiTheme="majorHAnsi" w:hAnsiTheme="majorHAnsi" w:cstheme="majorHAnsi"/>
          <w:b/>
        </w:rPr>
        <w:t>“</w:t>
      </w:r>
      <w:r w:rsidR="0064623D" w:rsidRPr="0053555E">
        <w:rPr>
          <w:rFonts w:asciiTheme="majorHAnsi" w:hAnsiTheme="majorHAnsi" w:cstheme="majorHAnsi"/>
        </w:rPr>
        <w:t>)</w:t>
      </w:r>
      <w:r w:rsidR="003B5AB8" w:rsidRPr="0053555E">
        <w:rPr>
          <w:rFonts w:asciiTheme="majorHAnsi" w:hAnsiTheme="majorHAnsi" w:cstheme="majorHAnsi"/>
        </w:rPr>
        <w:t>.</w:t>
      </w:r>
    </w:p>
    <w:p w14:paraId="2F696B5C" w14:textId="7C10ECBD" w:rsidR="00464D90" w:rsidRDefault="00B02F5E" w:rsidP="00803C34">
      <w:pPr>
        <w:tabs>
          <w:tab w:val="left" w:pos="9356"/>
        </w:tabs>
        <w:spacing w:after="120"/>
        <w:jc w:val="both"/>
        <w:rPr>
          <w:rFonts w:asciiTheme="majorHAnsi" w:hAnsiTheme="majorHAnsi" w:cstheme="majorHAnsi"/>
        </w:rPr>
      </w:pPr>
      <w:r w:rsidRPr="0053555E">
        <w:rPr>
          <w:rFonts w:asciiTheme="majorHAnsi" w:hAnsiTheme="majorHAnsi" w:cstheme="majorHAnsi"/>
        </w:rPr>
        <w:t>Od 1. novembra 2018 do nadobudnutia právoplatnosti rozhodnutia agentúry o</w:t>
      </w:r>
      <w:r w:rsidR="00AA50DB" w:rsidRPr="0053555E">
        <w:rPr>
          <w:rFonts w:asciiTheme="majorHAnsi" w:hAnsiTheme="majorHAnsi" w:cstheme="majorHAnsi"/>
        </w:rPr>
        <w:t xml:space="preserve"> prvom </w:t>
      </w:r>
      <w:r w:rsidRPr="0053555E">
        <w:rPr>
          <w:rFonts w:asciiTheme="majorHAnsi" w:hAnsiTheme="majorHAnsi" w:cstheme="majorHAnsi"/>
        </w:rPr>
        <w:t xml:space="preserve">posúdení </w:t>
      </w:r>
      <w:r w:rsidR="00AA50DB" w:rsidRPr="0053555E">
        <w:rPr>
          <w:rFonts w:asciiTheme="majorHAnsi" w:hAnsiTheme="majorHAnsi" w:cstheme="majorHAnsi"/>
        </w:rPr>
        <w:t>VSK nem</w:t>
      </w:r>
      <w:r w:rsidR="004F5E26" w:rsidRPr="0053555E">
        <w:rPr>
          <w:rFonts w:asciiTheme="majorHAnsi" w:hAnsiTheme="majorHAnsi" w:cstheme="majorHAnsi"/>
        </w:rPr>
        <w:t>á</w:t>
      </w:r>
      <w:r w:rsidR="00AA50DB" w:rsidRPr="0053555E">
        <w:rPr>
          <w:rFonts w:asciiTheme="majorHAnsi" w:hAnsiTheme="majorHAnsi" w:cstheme="majorHAnsi"/>
        </w:rPr>
        <w:t xml:space="preserve"> </w:t>
      </w:r>
      <w:r w:rsidR="004F5E26" w:rsidRPr="0053555E">
        <w:rPr>
          <w:rFonts w:asciiTheme="majorHAnsi" w:hAnsiTheme="majorHAnsi" w:cstheme="majorHAnsi"/>
        </w:rPr>
        <w:t>STU</w:t>
      </w:r>
      <w:r w:rsidR="00AA50DB" w:rsidRPr="0053555E">
        <w:rPr>
          <w:rFonts w:asciiTheme="majorHAnsi" w:hAnsiTheme="majorHAnsi" w:cstheme="majorHAnsi"/>
        </w:rPr>
        <w:t xml:space="preserve"> právo </w:t>
      </w:r>
      <w:r w:rsidRPr="0053555E">
        <w:rPr>
          <w:rFonts w:asciiTheme="majorHAnsi" w:hAnsiTheme="majorHAnsi" w:cstheme="majorHAnsi"/>
        </w:rPr>
        <w:t>samostatne vytvárať študijné programy v žiadnom študijnom odbore a</w:t>
      </w:r>
      <w:r w:rsidR="000F7838" w:rsidRPr="0053555E">
        <w:rPr>
          <w:rFonts w:asciiTheme="majorHAnsi" w:hAnsiTheme="majorHAnsi" w:cstheme="majorHAnsi"/>
        </w:rPr>
        <w:t> </w:t>
      </w:r>
      <w:r w:rsidRPr="0053555E">
        <w:rPr>
          <w:rFonts w:asciiTheme="majorHAnsi" w:hAnsiTheme="majorHAnsi" w:cstheme="majorHAnsi"/>
        </w:rPr>
        <w:t>stupni</w:t>
      </w:r>
      <w:r w:rsidR="000F7838" w:rsidRPr="0053555E">
        <w:rPr>
          <w:rFonts w:asciiTheme="majorHAnsi" w:hAnsiTheme="majorHAnsi" w:cstheme="majorHAnsi"/>
        </w:rPr>
        <w:t>. Uvedené neplatí v prípade</w:t>
      </w:r>
      <w:r w:rsidR="006E3CA7" w:rsidRPr="0053555E">
        <w:rPr>
          <w:rFonts w:asciiTheme="majorHAnsi" w:hAnsiTheme="majorHAnsi" w:cstheme="majorHAnsi"/>
        </w:rPr>
        <w:t xml:space="preserve"> </w:t>
      </w:r>
      <w:r w:rsidRPr="0053555E">
        <w:rPr>
          <w:rFonts w:asciiTheme="majorHAnsi" w:hAnsiTheme="majorHAnsi" w:cstheme="majorHAnsi"/>
        </w:rPr>
        <w:t>žiados</w:t>
      </w:r>
      <w:r w:rsidR="00533272" w:rsidRPr="0053555E">
        <w:rPr>
          <w:rFonts w:asciiTheme="majorHAnsi" w:hAnsiTheme="majorHAnsi" w:cstheme="majorHAnsi"/>
        </w:rPr>
        <w:t>ti</w:t>
      </w:r>
      <w:r w:rsidRPr="0053555E">
        <w:rPr>
          <w:rFonts w:asciiTheme="majorHAnsi" w:hAnsiTheme="majorHAnsi" w:cstheme="majorHAnsi"/>
        </w:rPr>
        <w:t xml:space="preserve"> o udelenie akreditácie študijného programu </w:t>
      </w:r>
      <w:r w:rsidR="000939A5" w:rsidRPr="0053555E">
        <w:rPr>
          <w:rFonts w:asciiTheme="majorHAnsi" w:hAnsiTheme="majorHAnsi" w:cstheme="majorHAnsi"/>
        </w:rPr>
        <w:t>podľa § </w:t>
      </w:r>
      <w:r w:rsidRPr="0053555E">
        <w:rPr>
          <w:rFonts w:asciiTheme="majorHAnsi" w:hAnsiTheme="majorHAnsi" w:cstheme="majorHAnsi"/>
        </w:rPr>
        <w:t>30</w:t>
      </w:r>
      <w:r w:rsidR="00533272" w:rsidRPr="0053555E">
        <w:rPr>
          <w:rFonts w:asciiTheme="majorHAnsi" w:hAnsiTheme="majorHAnsi" w:cstheme="majorHAnsi"/>
        </w:rPr>
        <w:t xml:space="preserve"> zákona o zabezpečovaní kvality v študijnom odbore a stupni, v ktorom </w:t>
      </w:r>
      <w:r w:rsidR="004F5E26" w:rsidRPr="0053555E">
        <w:rPr>
          <w:rFonts w:asciiTheme="majorHAnsi" w:hAnsiTheme="majorHAnsi" w:cstheme="majorHAnsi"/>
        </w:rPr>
        <w:t>STU</w:t>
      </w:r>
      <w:r w:rsidR="00162FD1" w:rsidRPr="0053555E">
        <w:rPr>
          <w:rFonts w:asciiTheme="majorHAnsi" w:hAnsiTheme="majorHAnsi" w:cstheme="majorHAnsi"/>
        </w:rPr>
        <w:t xml:space="preserve"> </w:t>
      </w:r>
      <w:r w:rsidR="007210AC" w:rsidRPr="0053555E">
        <w:rPr>
          <w:rFonts w:asciiTheme="majorHAnsi" w:hAnsiTheme="majorHAnsi" w:cstheme="majorHAnsi"/>
        </w:rPr>
        <w:t>zatiaľ nemá oprávnenie uskutočňovať študijné programy</w:t>
      </w:r>
      <w:r w:rsidR="00BD570D" w:rsidRPr="0053555E">
        <w:rPr>
          <w:rFonts w:asciiTheme="majorHAnsi" w:hAnsiTheme="majorHAnsi" w:cstheme="majorHAnsi"/>
        </w:rPr>
        <w:t xml:space="preserve">. </w:t>
      </w:r>
      <w:r w:rsidR="003B023C" w:rsidRPr="0053555E">
        <w:rPr>
          <w:rFonts w:asciiTheme="majorHAnsi" w:hAnsiTheme="majorHAnsi" w:cstheme="majorHAnsi"/>
        </w:rPr>
        <w:t xml:space="preserve">Vysoké školy </w:t>
      </w:r>
      <w:r w:rsidR="0086485C" w:rsidRPr="0053555E">
        <w:rPr>
          <w:rFonts w:asciiTheme="majorHAnsi" w:hAnsiTheme="majorHAnsi" w:cstheme="majorHAnsi"/>
        </w:rPr>
        <w:t xml:space="preserve">mohli </w:t>
      </w:r>
      <w:r w:rsidR="00D229D5" w:rsidRPr="0053555E">
        <w:rPr>
          <w:rFonts w:asciiTheme="majorHAnsi" w:hAnsiTheme="majorHAnsi" w:cstheme="majorHAnsi"/>
        </w:rPr>
        <w:t xml:space="preserve">do 31. marca 2021 </w:t>
      </w:r>
      <w:r w:rsidR="0086485C" w:rsidRPr="0053555E">
        <w:rPr>
          <w:rFonts w:asciiTheme="majorHAnsi" w:hAnsiTheme="majorHAnsi" w:cstheme="majorHAnsi"/>
        </w:rPr>
        <w:t xml:space="preserve">požiadať agentúru o </w:t>
      </w:r>
      <w:r w:rsidR="007210AC" w:rsidRPr="0053555E">
        <w:rPr>
          <w:rFonts w:asciiTheme="majorHAnsi" w:hAnsiTheme="majorHAnsi" w:cstheme="majorHAnsi"/>
        </w:rPr>
        <w:t xml:space="preserve">udelenie akreditácie študijného programu podľa § 30 </w:t>
      </w:r>
      <w:r w:rsidR="00F35E83" w:rsidRPr="0053555E">
        <w:rPr>
          <w:rFonts w:asciiTheme="majorHAnsi" w:hAnsiTheme="majorHAnsi" w:cstheme="majorHAnsi"/>
        </w:rPr>
        <w:t xml:space="preserve">zákona o zabezpečovaní kvality </w:t>
      </w:r>
      <w:r w:rsidR="00040A0E" w:rsidRPr="0053555E">
        <w:rPr>
          <w:rFonts w:asciiTheme="majorHAnsi" w:hAnsiTheme="majorHAnsi" w:cstheme="majorHAnsi"/>
        </w:rPr>
        <w:t xml:space="preserve">aj </w:t>
      </w:r>
      <w:r w:rsidR="00F35E83" w:rsidRPr="0053555E">
        <w:rPr>
          <w:rFonts w:asciiTheme="majorHAnsi" w:hAnsiTheme="majorHAnsi" w:cstheme="majorHAnsi"/>
        </w:rPr>
        <w:t>v </w:t>
      </w:r>
      <w:r w:rsidR="002E223A" w:rsidRPr="0053555E">
        <w:rPr>
          <w:rFonts w:asciiTheme="majorHAnsi" w:hAnsiTheme="majorHAnsi" w:cstheme="majorHAnsi"/>
        </w:rPr>
        <w:t xml:space="preserve">študijnom odbore a stupni, v ktorom </w:t>
      </w:r>
      <w:r w:rsidR="00F35E83" w:rsidRPr="0053555E">
        <w:rPr>
          <w:rFonts w:asciiTheme="majorHAnsi" w:hAnsiTheme="majorHAnsi" w:cstheme="majorHAnsi"/>
        </w:rPr>
        <w:t>mali</w:t>
      </w:r>
      <w:r w:rsidR="002E223A" w:rsidRPr="0053555E">
        <w:rPr>
          <w:rFonts w:asciiTheme="majorHAnsi" w:hAnsiTheme="majorHAnsi" w:cstheme="majorHAnsi"/>
        </w:rPr>
        <w:t xml:space="preserve"> oprávnenie uskut</w:t>
      </w:r>
      <w:r w:rsidR="000939A5" w:rsidRPr="0053555E">
        <w:rPr>
          <w:rFonts w:asciiTheme="majorHAnsi" w:hAnsiTheme="majorHAnsi" w:cstheme="majorHAnsi"/>
        </w:rPr>
        <w:t>očňovať študijné programy k </w:t>
      </w:r>
      <w:r w:rsidR="00D229D5" w:rsidRPr="0053555E">
        <w:rPr>
          <w:rFonts w:asciiTheme="majorHAnsi" w:hAnsiTheme="majorHAnsi" w:cstheme="majorHAnsi"/>
        </w:rPr>
        <w:t>31. </w:t>
      </w:r>
      <w:r w:rsidR="002E223A" w:rsidRPr="0053555E">
        <w:rPr>
          <w:rFonts w:asciiTheme="majorHAnsi" w:hAnsiTheme="majorHAnsi" w:cstheme="majorHAnsi"/>
        </w:rPr>
        <w:t>októbru 2018</w:t>
      </w:r>
      <w:r w:rsidR="00D229D5" w:rsidRPr="0053555E">
        <w:rPr>
          <w:rFonts w:asciiTheme="majorHAnsi" w:hAnsiTheme="majorHAnsi" w:cstheme="majorHAnsi"/>
        </w:rPr>
        <w:t>.</w:t>
      </w:r>
      <w:r w:rsidR="00040A0E" w:rsidRPr="0053555E">
        <w:rPr>
          <w:rFonts w:asciiTheme="majorHAnsi" w:hAnsiTheme="majorHAnsi" w:cstheme="majorHAnsi"/>
        </w:rPr>
        <w:t xml:space="preserve"> </w:t>
      </w:r>
    </w:p>
    <w:p w14:paraId="3056FC0F" w14:textId="77777777" w:rsidR="00464D90" w:rsidRDefault="00464D90">
      <w:pPr>
        <w:rPr>
          <w:rFonts w:asciiTheme="majorHAnsi" w:hAnsiTheme="majorHAnsi" w:cstheme="majorHAnsi"/>
        </w:rPr>
      </w:pPr>
      <w:r>
        <w:rPr>
          <w:rFonts w:asciiTheme="majorHAnsi" w:hAnsiTheme="majorHAnsi" w:cstheme="majorHAnsi"/>
        </w:rPr>
        <w:br w:type="page"/>
      </w:r>
    </w:p>
    <w:p w14:paraId="7A486252" w14:textId="57926250" w:rsidR="00A553D4" w:rsidRPr="0053555E" w:rsidRDefault="00A553D4" w:rsidP="008C0DB1">
      <w:pPr>
        <w:tabs>
          <w:tab w:val="left" w:pos="9356"/>
        </w:tabs>
        <w:spacing w:after="120"/>
        <w:jc w:val="both"/>
        <w:rPr>
          <w:rFonts w:asciiTheme="majorHAnsi" w:hAnsiTheme="majorHAnsi" w:cstheme="majorHAnsi"/>
        </w:rPr>
      </w:pPr>
      <w:r w:rsidRPr="0053555E">
        <w:rPr>
          <w:rFonts w:asciiTheme="majorHAnsi" w:hAnsiTheme="majorHAnsi" w:cstheme="majorHAnsi"/>
        </w:rPr>
        <w:lastRenderedPageBreak/>
        <w:t>STU</w:t>
      </w:r>
      <w:r w:rsidR="00437ABE">
        <w:rPr>
          <w:rFonts w:asciiTheme="majorHAnsi" w:hAnsiTheme="majorHAnsi" w:cstheme="majorHAnsi"/>
        </w:rPr>
        <w:t xml:space="preserve"> </w:t>
      </w:r>
      <w:r w:rsidRPr="0053555E">
        <w:rPr>
          <w:rFonts w:asciiTheme="majorHAnsi" w:hAnsiTheme="majorHAnsi" w:cstheme="majorHAnsi"/>
        </w:rPr>
        <w:t xml:space="preserve">predložila agentúre </w:t>
      </w:r>
      <w:r w:rsidRPr="0053555E">
        <w:rPr>
          <w:rFonts w:asciiTheme="majorHAnsi" w:hAnsiTheme="majorHAnsi" w:cstheme="majorHAnsi"/>
          <w:b/>
        </w:rPr>
        <w:t>10 žiadostí o akreditáciu študijných programov</w:t>
      </w:r>
      <w:r w:rsidRPr="0053555E">
        <w:rPr>
          <w:rFonts w:asciiTheme="majorHAnsi" w:hAnsiTheme="majorHAnsi" w:cstheme="majorHAnsi"/>
        </w:rPr>
        <w:t xml:space="preserve"> v študijnom odbore a</w:t>
      </w:r>
      <w:r w:rsidR="00DA30CC">
        <w:rPr>
          <w:rFonts w:asciiTheme="majorHAnsi" w:hAnsiTheme="majorHAnsi" w:cstheme="majorHAnsi"/>
        </w:rPr>
        <w:t> </w:t>
      </w:r>
      <w:r w:rsidRPr="0053555E">
        <w:rPr>
          <w:rFonts w:asciiTheme="majorHAnsi" w:hAnsiTheme="majorHAnsi" w:cstheme="majorHAnsi"/>
        </w:rPr>
        <w:t xml:space="preserve">stupni, v ktorom mala oprávnenie uskutočňovať študijné programy k 31. októbru 2018. Podaniu žiadostí o akreditáciu študijných programov predchádzal proces prípravy a schvaľovania </w:t>
      </w:r>
      <w:r w:rsidR="00F60B4A" w:rsidRPr="0053555E">
        <w:rPr>
          <w:rFonts w:asciiTheme="majorHAnsi" w:hAnsiTheme="majorHAnsi" w:cstheme="majorHAnsi"/>
        </w:rPr>
        <w:t xml:space="preserve">študijných programov </w:t>
      </w:r>
      <w:r w:rsidRPr="0053555E">
        <w:rPr>
          <w:rFonts w:asciiTheme="majorHAnsi" w:hAnsiTheme="majorHAnsi" w:cstheme="majorHAnsi"/>
        </w:rPr>
        <w:t>v súlade so štandardami pre študijný program vydanými agentúrou</w:t>
      </w:r>
      <w:r w:rsidR="00941387">
        <w:rPr>
          <w:rFonts w:asciiTheme="majorHAnsi" w:hAnsiTheme="majorHAnsi" w:cstheme="majorHAnsi"/>
        </w:rPr>
        <w:t xml:space="preserve"> a s pripravovaným novým VSK</w:t>
      </w:r>
      <w:r w:rsidRPr="0053555E">
        <w:rPr>
          <w:rFonts w:asciiTheme="majorHAnsi" w:hAnsiTheme="majorHAnsi" w:cstheme="majorHAnsi"/>
        </w:rPr>
        <w:t xml:space="preserve">. </w:t>
      </w:r>
      <w:r w:rsidR="00625E0B" w:rsidRPr="0053555E">
        <w:rPr>
          <w:rFonts w:asciiTheme="majorHAnsi" w:hAnsiTheme="majorHAnsi" w:cstheme="majorHAnsi"/>
        </w:rPr>
        <w:t xml:space="preserve">Agentúra po </w:t>
      </w:r>
      <w:r w:rsidR="0043272B" w:rsidRPr="0053555E">
        <w:rPr>
          <w:rFonts w:asciiTheme="majorHAnsi" w:hAnsiTheme="majorHAnsi" w:cstheme="majorHAnsi"/>
        </w:rPr>
        <w:t xml:space="preserve">posúdení </w:t>
      </w:r>
      <w:r w:rsidR="00AE7193" w:rsidRPr="0053555E">
        <w:rPr>
          <w:rFonts w:asciiTheme="majorHAnsi" w:hAnsiTheme="majorHAnsi" w:cstheme="majorHAnsi"/>
        </w:rPr>
        <w:t xml:space="preserve">pracovnými skupinami </w:t>
      </w:r>
      <w:r w:rsidR="007D5ACF" w:rsidRPr="0053555E">
        <w:rPr>
          <w:rFonts w:asciiTheme="majorHAnsi" w:hAnsiTheme="majorHAnsi" w:cstheme="majorHAnsi"/>
        </w:rPr>
        <w:t>rozhod</w:t>
      </w:r>
      <w:r w:rsidR="00105709" w:rsidRPr="0053555E">
        <w:rPr>
          <w:rFonts w:asciiTheme="majorHAnsi" w:hAnsiTheme="majorHAnsi" w:cstheme="majorHAnsi"/>
        </w:rPr>
        <w:t xml:space="preserve">la </w:t>
      </w:r>
      <w:r w:rsidR="007D5ACF" w:rsidRPr="0053555E">
        <w:rPr>
          <w:rFonts w:asciiTheme="majorHAnsi" w:hAnsiTheme="majorHAnsi" w:cstheme="majorHAnsi"/>
        </w:rPr>
        <w:t xml:space="preserve">o akreditácii </w:t>
      </w:r>
      <w:r w:rsidR="00CA6200" w:rsidRPr="0053555E">
        <w:rPr>
          <w:rFonts w:asciiTheme="majorHAnsi" w:hAnsiTheme="majorHAnsi" w:cstheme="majorHAnsi"/>
        </w:rPr>
        <w:t>všetkých 10 nových študijných programov</w:t>
      </w:r>
      <w:r w:rsidR="00073302">
        <w:rPr>
          <w:rFonts w:asciiTheme="majorHAnsi" w:hAnsiTheme="majorHAnsi" w:cstheme="majorHAnsi"/>
        </w:rPr>
        <w:t xml:space="preserve">, </w:t>
      </w:r>
      <w:r w:rsidR="00595CD0">
        <w:rPr>
          <w:rFonts w:asciiTheme="majorHAnsi" w:hAnsiTheme="majorHAnsi" w:cstheme="majorHAnsi"/>
        </w:rPr>
        <w:t>z ktorých boli</w:t>
      </w:r>
      <w:r w:rsidR="000A0DA5" w:rsidRPr="000A0DA5">
        <w:rPr>
          <w:rFonts w:asciiTheme="majorHAnsi" w:hAnsiTheme="majorHAnsi" w:cstheme="majorHAnsi"/>
        </w:rPr>
        <w:t xml:space="preserve"> </w:t>
      </w:r>
      <w:r w:rsidR="000A0DA5" w:rsidRPr="0053555E">
        <w:rPr>
          <w:rFonts w:asciiTheme="majorHAnsi" w:hAnsiTheme="majorHAnsi" w:cstheme="majorHAnsi"/>
        </w:rPr>
        <w:t>4 bakalársk</w:t>
      </w:r>
      <w:r w:rsidR="00595CD0">
        <w:rPr>
          <w:rFonts w:asciiTheme="majorHAnsi" w:hAnsiTheme="majorHAnsi" w:cstheme="majorHAnsi"/>
        </w:rPr>
        <w:t>e</w:t>
      </w:r>
      <w:r w:rsidR="000A0DA5" w:rsidRPr="0053555E">
        <w:rPr>
          <w:rFonts w:asciiTheme="majorHAnsi" w:hAnsiTheme="majorHAnsi" w:cstheme="majorHAnsi"/>
        </w:rPr>
        <w:t xml:space="preserve"> študijn</w:t>
      </w:r>
      <w:r w:rsidR="00595CD0">
        <w:rPr>
          <w:rFonts w:asciiTheme="majorHAnsi" w:hAnsiTheme="majorHAnsi" w:cstheme="majorHAnsi"/>
        </w:rPr>
        <w:t xml:space="preserve">é </w:t>
      </w:r>
      <w:r w:rsidR="000A0DA5" w:rsidRPr="0053555E">
        <w:rPr>
          <w:rFonts w:asciiTheme="majorHAnsi" w:hAnsiTheme="majorHAnsi" w:cstheme="majorHAnsi"/>
        </w:rPr>
        <w:t>program</w:t>
      </w:r>
      <w:r w:rsidR="00595CD0">
        <w:rPr>
          <w:rFonts w:asciiTheme="majorHAnsi" w:hAnsiTheme="majorHAnsi" w:cstheme="majorHAnsi"/>
        </w:rPr>
        <w:t>y</w:t>
      </w:r>
      <w:r w:rsidR="000A0DA5" w:rsidRPr="0053555E">
        <w:rPr>
          <w:rFonts w:asciiTheme="majorHAnsi" w:hAnsiTheme="majorHAnsi" w:cstheme="majorHAnsi"/>
        </w:rPr>
        <w:t xml:space="preserve"> na FCHPT a 6 študijných programov na FEI, z toho 1 bakalársk</w:t>
      </w:r>
      <w:r w:rsidR="00F540FB">
        <w:rPr>
          <w:rFonts w:asciiTheme="majorHAnsi" w:hAnsiTheme="majorHAnsi" w:cstheme="majorHAnsi"/>
        </w:rPr>
        <w:t>y</w:t>
      </w:r>
      <w:r w:rsidR="000A0DA5" w:rsidRPr="0053555E">
        <w:rPr>
          <w:rFonts w:asciiTheme="majorHAnsi" w:hAnsiTheme="majorHAnsi" w:cstheme="majorHAnsi"/>
        </w:rPr>
        <w:t>, 3 inžiniersk</w:t>
      </w:r>
      <w:r w:rsidR="00F540FB">
        <w:rPr>
          <w:rFonts w:asciiTheme="majorHAnsi" w:hAnsiTheme="majorHAnsi" w:cstheme="majorHAnsi"/>
        </w:rPr>
        <w:t>e</w:t>
      </w:r>
      <w:r w:rsidR="000A0DA5" w:rsidRPr="0053555E">
        <w:rPr>
          <w:rFonts w:asciiTheme="majorHAnsi" w:hAnsiTheme="majorHAnsi" w:cstheme="majorHAnsi"/>
        </w:rPr>
        <w:t xml:space="preserve"> a</w:t>
      </w:r>
      <w:r w:rsidR="00F540FB">
        <w:rPr>
          <w:rFonts w:asciiTheme="majorHAnsi" w:hAnsiTheme="majorHAnsi" w:cstheme="majorHAnsi"/>
        </w:rPr>
        <w:t> </w:t>
      </w:r>
      <w:r w:rsidR="000A0DA5" w:rsidRPr="0053555E">
        <w:rPr>
          <w:rFonts w:asciiTheme="majorHAnsi" w:hAnsiTheme="majorHAnsi" w:cstheme="majorHAnsi"/>
        </w:rPr>
        <w:t>2</w:t>
      </w:r>
      <w:r w:rsidR="00F540FB">
        <w:rPr>
          <w:rFonts w:asciiTheme="majorHAnsi" w:hAnsiTheme="majorHAnsi" w:cstheme="majorHAnsi"/>
        </w:rPr>
        <w:t> </w:t>
      </w:r>
      <w:r w:rsidR="000A0DA5" w:rsidRPr="0053555E">
        <w:rPr>
          <w:rFonts w:asciiTheme="majorHAnsi" w:hAnsiTheme="majorHAnsi" w:cstheme="majorHAnsi"/>
        </w:rPr>
        <w:t>doktorandsk</w:t>
      </w:r>
      <w:r w:rsidR="00F540FB">
        <w:rPr>
          <w:rFonts w:asciiTheme="majorHAnsi" w:hAnsiTheme="majorHAnsi" w:cstheme="majorHAnsi"/>
        </w:rPr>
        <w:t>é</w:t>
      </w:r>
      <w:r w:rsidR="000A0DA5" w:rsidRPr="0053555E">
        <w:rPr>
          <w:rFonts w:asciiTheme="majorHAnsi" w:hAnsiTheme="majorHAnsi" w:cstheme="majorHAnsi"/>
        </w:rPr>
        <w:t xml:space="preserve"> </w:t>
      </w:r>
      <w:r w:rsidR="000A0DA5" w:rsidRPr="0053555E">
        <w:rPr>
          <w:rFonts w:asciiTheme="majorHAnsi" w:hAnsiTheme="majorHAnsi" w:cstheme="majorHAnsi"/>
          <w:sz w:val="20"/>
          <w:szCs w:val="20"/>
        </w:rPr>
        <w:t>(</w:t>
      </w:r>
      <w:r w:rsidR="001B62BF" w:rsidRPr="001B62BF">
        <w:rPr>
          <w:rFonts w:asciiTheme="majorHAnsi" w:hAnsiTheme="majorHAnsi" w:cstheme="majorHAnsi"/>
          <w:sz w:val="16"/>
          <w:szCs w:val="20"/>
        </w:rPr>
        <w:fldChar w:fldCharType="begin"/>
      </w:r>
      <w:r w:rsidR="001B62BF" w:rsidRPr="001B62BF">
        <w:rPr>
          <w:rFonts w:asciiTheme="majorHAnsi" w:hAnsiTheme="majorHAnsi" w:cstheme="majorHAnsi"/>
          <w:sz w:val="16"/>
          <w:szCs w:val="20"/>
        </w:rPr>
        <w:instrText xml:space="preserve"> REF _Ref127186051 \h  \* MERGEFORMAT </w:instrText>
      </w:r>
      <w:r w:rsidR="001B62BF" w:rsidRPr="001B62BF">
        <w:rPr>
          <w:rFonts w:asciiTheme="majorHAnsi" w:hAnsiTheme="majorHAnsi" w:cstheme="majorHAnsi"/>
          <w:sz w:val="16"/>
          <w:szCs w:val="20"/>
        </w:rPr>
      </w:r>
      <w:r w:rsidR="001B62BF" w:rsidRPr="001B62BF">
        <w:rPr>
          <w:rFonts w:asciiTheme="majorHAnsi" w:hAnsiTheme="majorHAnsi" w:cstheme="majorHAnsi"/>
          <w:sz w:val="16"/>
          <w:szCs w:val="20"/>
        </w:rPr>
        <w:fldChar w:fldCharType="separate"/>
      </w:r>
      <w:r w:rsidR="001B62BF" w:rsidRPr="001B62BF">
        <w:rPr>
          <w:sz w:val="20"/>
        </w:rPr>
        <w:t xml:space="preserve">Tab. č. </w:t>
      </w:r>
      <w:r w:rsidR="001B62BF" w:rsidRPr="001B62BF">
        <w:rPr>
          <w:noProof/>
          <w:sz w:val="20"/>
        </w:rPr>
        <w:t>1</w:t>
      </w:r>
      <w:r w:rsidR="001B62BF" w:rsidRPr="001B62BF">
        <w:rPr>
          <w:rFonts w:asciiTheme="majorHAnsi" w:hAnsiTheme="majorHAnsi" w:cstheme="majorHAnsi"/>
          <w:sz w:val="16"/>
          <w:szCs w:val="20"/>
        </w:rPr>
        <w:fldChar w:fldCharType="end"/>
      </w:r>
      <w:r w:rsidR="000A0DA5" w:rsidRPr="0053555E">
        <w:rPr>
          <w:rFonts w:asciiTheme="majorHAnsi" w:hAnsiTheme="majorHAnsi" w:cstheme="majorHAnsi"/>
          <w:sz w:val="20"/>
          <w:szCs w:val="20"/>
        </w:rPr>
        <w:t>)</w:t>
      </w:r>
      <w:r w:rsidR="00105709" w:rsidRPr="0053555E">
        <w:rPr>
          <w:rFonts w:asciiTheme="majorHAnsi" w:hAnsiTheme="majorHAnsi" w:cstheme="majorHAnsi"/>
        </w:rPr>
        <w:t>. Rozhodnutia o akreditácii boli STU doručené</w:t>
      </w:r>
      <w:r w:rsidR="00CA6200" w:rsidRPr="0053555E">
        <w:rPr>
          <w:rFonts w:asciiTheme="majorHAnsi" w:hAnsiTheme="majorHAnsi" w:cstheme="majorHAnsi"/>
        </w:rPr>
        <w:t xml:space="preserve"> </w:t>
      </w:r>
      <w:r w:rsidR="007D5ACF" w:rsidRPr="0053555E">
        <w:rPr>
          <w:rFonts w:asciiTheme="majorHAnsi" w:hAnsiTheme="majorHAnsi" w:cstheme="majorHAnsi"/>
        </w:rPr>
        <w:t>v priebehu októbra a novembra 2021</w:t>
      </w:r>
      <w:r w:rsidR="00F540FB">
        <w:rPr>
          <w:rFonts w:asciiTheme="majorHAnsi" w:hAnsiTheme="majorHAnsi" w:cstheme="majorHAnsi"/>
        </w:rPr>
        <w:t>.</w:t>
      </w:r>
      <w:r w:rsidR="00C46942" w:rsidRPr="00C46942">
        <w:rPr>
          <w:rFonts w:asciiTheme="majorHAnsi" w:hAnsiTheme="majorHAnsi" w:cstheme="majorHAnsi"/>
        </w:rPr>
        <w:t xml:space="preserve"> </w:t>
      </w:r>
    </w:p>
    <w:p w14:paraId="33240EA1" w14:textId="25D27C4B" w:rsidR="004F76A2" w:rsidRDefault="006A63F1" w:rsidP="00AA21C5">
      <w:pPr>
        <w:tabs>
          <w:tab w:val="left" w:pos="9356"/>
        </w:tabs>
        <w:spacing w:after="120"/>
        <w:jc w:val="both"/>
        <w:rPr>
          <w:rFonts w:asciiTheme="majorHAnsi" w:hAnsiTheme="majorHAnsi" w:cstheme="majorHAnsi"/>
        </w:rPr>
      </w:pPr>
      <w:r>
        <w:rPr>
          <w:rFonts w:asciiTheme="majorHAnsi" w:hAnsiTheme="majorHAnsi" w:cstheme="majorHAnsi"/>
        </w:rPr>
        <w:t>V</w:t>
      </w:r>
      <w:r w:rsidR="00765046">
        <w:rPr>
          <w:rFonts w:asciiTheme="majorHAnsi" w:hAnsiTheme="majorHAnsi" w:cstheme="majorHAnsi"/>
        </w:rPr>
        <w:t> </w:t>
      </w:r>
      <w:r w:rsidR="00316C17">
        <w:rPr>
          <w:rFonts w:asciiTheme="majorHAnsi" w:hAnsiTheme="majorHAnsi" w:cstheme="majorHAnsi"/>
        </w:rPr>
        <w:t>priebeh</w:t>
      </w:r>
      <w:r w:rsidR="001B62BF">
        <w:rPr>
          <w:rFonts w:asciiTheme="majorHAnsi" w:hAnsiTheme="majorHAnsi" w:cstheme="majorHAnsi"/>
        </w:rPr>
        <w:t>u</w:t>
      </w:r>
      <w:r w:rsidR="00765046">
        <w:rPr>
          <w:rFonts w:asciiTheme="majorHAnsi" w:hAnsiTheme="majorHAnsi" w:cstheme="majorHAnsi"/>
        </w:rPr>
        <w:t xml:space="preserve"> akademického roka 2021/2022 </w:t>
      </w:r>
      <w:r>
        <w:rPr>
          <w:rFonts w:asciiTheme="majorHAnsi" w:hAnsiTheme="majorHAnsi" w:cstheme="majorHAnsi"/>
        </w:rPr>
        <w:t xml:space="preserve">agentúra </w:t>
      </w:r>
      <w:r w:rsidR="0024112E">
        <w:rPr>
          <w:rFonts w:asciiTheme="majorHAnsi" w:hAnsiTheme="majorHAnsi" w:cstheme="majorHAnsi"/>
        </w:rPr>
        <w:t xml:space="preserve">udelila súhlas </w:t>
      </w:r>
      <w:r w:rsidR="00765046">
        <w:rPr>
          <w:rFonts w:asciiTheme="majorHAnsi" w:hAnsiTheme="majorHAnsi" w:cstheme="majorHAnsi"/>
        </w:rPr>
        <w:t xml:space="preserve">s úpravou </w:t>
      </w:r>
      <w:r w:rsidR="00522672">
        <w:rPr>
          <w:rFonts w:asciiTheme="majorHAnsi" w:hAnsiTheme="majorHAnsi" w:cstheme="majorHAnsi"/>
        </w:rPr>
        <w:t>3</w:t>
      </w:r>
      <w:r w:rsidR="0024112E">
        <w:rPr>
          <w:rFonts w:asciiTheme="majorHAnsi" w:hAnsiTheme="majorHAnsi" w:cstheme="majorHAnsi"/>
        </w:rPr>
        <w:t xml:space="preserve"> študijný</w:t>
      </w:r>
      <w:r w:rsidR="000B0EBD">
        <w:rPr>
          <w:rFonts w:asciiTheme="majorHAnsi" w:hAnsiTheme="majorHAnsi" w:cstheme="majorHAnsi"/>
        </w:rPr>
        <w:t xml:space="preserve">ch </w:t>
      </w:r>
      <w:r w:rsidR="0024112E">
        <w:rPr>
          <w:rFonts w:asciiTheme="majorHAnsi" w:hAnsiTheme="majorHAnsi" w:cstheme="majorHAnsi"/>
        </w:rPr>
        <w:t>programo</w:t>
      </w:r>
      <w:r w:rsidR="000B0EBD">
        <w:rPr>
          <w:rFonts w:asciiTheme="majorHAnsi" w:hAnsiTheme="majorHAnsi" w:cstheme="majorHAnsi"/>
        </w:rPr>
        <w:t>v</w:t>
      </w:r>
      <w:r w:rsidR="00183EAA">
        <w:rPr>
          <w:rFonts w:asciiTheme="majorHAnsi" w:hAnsiTheme="majorHAnsi" w:cstheme="majorHAnsi"/>
        </w:rPr>
        <w:t xml:space="preserve">, ku ktorým </w:t>
      </w:r>
      <w:r w:rsidR="0094533D">
        <w:rPr>
          <w:rFonts w:asciiTheme="majorHAnsi" w:hAnsiTheme="majorHAnsi" w:cstheme="majorHAnsi"/>
        </w:rPr>
        <w:t xml:space="preserve">bola </w:t>
      </w:r>
      <w:r w:rsidR="00DA30CC">
        <w:rPr>
          <w:rFonts w:asciiTheme="majorHAnsi" w:hAnsiTheme="majorHAnsi" w:cstheme="majorHAnsi"/>
        </w:rPr>
        <w:t xml:space="preserve">STU </w:t>
      </w:r>
      <w:r w:rsidR="0094533D">
        <w:rPr>
          <w:rFonts w:asciiTheme="majorHAnsi" w:hAnsiTheme="majorHAnsi" w:cstheme="majorHAnsi"/>
        </w:rPr>
        <w:t>povinná</w:t>
      </w:r>
      <w:r w:rsidR="00B6297D">
        <w:rPr>
          <w:rFonts w:asciiTheme="majorHAnsi" w:hAnsiTheme="majorHAnsi" w:cstheme="majorHAnsi"/>
        </w:rPr>
        <w:t xml:space="preserve"> </w:t>
      </w:r>
      <w:r w:rsidR="001F73AC">
        <w:rPr>
          <w:rFonts w:asciiTheme="majorHAnsi" w:hAnsiTheme="majorHAnsi" w:cstheme="majorHAnsi"/>
        </w:rPr>
        <w:t>podať</w:t>
      </w:r>
      <w:r w:rsidR="00B6297D">
        <w:rPr>
          <w:rFonts w:asciiTheme="majorHAnsi" w:hAnsiTheme="majorHAnsi" w:cstheme="majorHAnsi"/>
        </w:rPr>
        <w:t xml:space="preserve"> </w:t>
      </w:r>
      <w:r w:rsidR="00A044EC">
        <w:rPr>
          <w:rFonts w:asciiTheme="majorHAnsi" w:hAnsiTheme="majorHAnsi" w:cstheme="majorHAnsi"/>
        </w:rPr>
        <w:t xml:space="preserve">agentúre </w:t>
      </w:r>
      <w:r w:rsidR="00B6297D">
        <w:rPr>
          <w:rFonts w:asciiTheme="majorHAnsi" w:hAnsiTheme="majorHAnsi" w:cstheme="majorHAnsi"/>
        </w:rPr>
        <w:t xml:space="preserve">návrh úpravy podľa § </w:t>
      </w:r>
      <w:r w:rsidR="0082297B">
        <w:rPr>
          <w:rFonts w:asciiTheme="majorHAnsi" w:hAnsiTheme="majorHAnsi" w:cstheme="majorHAnsi"/>
        </w:rPr>
        <w:t>35 ods. 7 zákona o zabezpečovaní kvality</w:t>
      </w:r>
      <w:r w:rsidR="00DB34D0">
        <w:rPr>
          <w:rFonts w:asciiTheme="majorHAnsi" w:hAnsiTheme="majorHAnsi" w:cstheme="majorHAnsi"/>
        </w:rPr>
        <w:t>,</w:t>
      </w:r>
      <w:r w:rsidR="00DB34D0" w:rsidRPr="00DB34D0">
        <w:rPr>
          <w:rFonts w:asciiTheme="majorHAnsi" w:hAnsiTheme="majorHAnsi" w:cstheme="majorHAnsi"/>
        </w:rPr>
        <w:t xml:space="preserve"> </w:t>
      </w:r>
      <w:r w:rsidR="00DB34D0">
        <w:rPr>
          <w:rFonts w:asciiTheme="majorHAnsi" w:hAnsiTheme="majorHAnsi" w:cstheme="majorHAnsi"/>
        </w:rPr>
        <w:t xml:space="preserve">z toho </w:t>
      </w:r>
      <w:r w:rsidR="00522672">
        <w:rPr>
          <w:rFonts w:asciiTheme="majorHAnsi" w:hAnsiTheme="majorHAnsi" w:cstheme="majorHAnsi"/>
        </w:rPr>
        <w:t>bol 1</w:t>
      </w:r>
      <w:r w:rsidR="00DB34D0">
        <w:rPr>
          <w:rFonts w:asciiTheme="majorHAnsi" w:hAnsiTheme="majorHAnsi" w:cstheme="majorHAnsi"/>
        </w:rPr>
        <w:t xml:space="preserve"> inžiniersk</w:t>
      </w:r>
      <w:r w:rsidR="00522672">
        <w:rPr>
          <w:rFonts w:asciiTheme="majorHAnsi" w:hAnsiTheme="majorHAnsi" w:cstheme="majorHAnsi"/>
        </w:rPr>
        <w:t>y</w:t>
      </w:r>
      <w:r w:rsidR="00DB34D0">
        <w:rPr>
          <w:rFonts w:asciiTheme="majorHAnsi" w:hAnsiTheme="majorHAnsi" w:cstheme="majorHAnsi"/>
        </w:rPr>
        <w:t xml:space="preserve"> </w:t>
      </w:r>
      <w:r w:rsidR="00522672">
        <w:rPr>
          <w:rFonts w:asciiTheme="majorHAnsi" w:hAnsiTheme="majorHAnsi" w:cstheme="majorHAnsi"/>
        </w:rPr>
        <w:t>ŠP</w:t>
      </w:r>
      <w:r w:rsidR="00197341">
        <w:rPr>
          <w:rFonts w:asciiTheme="majorHAnsi" w:hAnsiTheme="majorHAnsi" w:cstheme="majorHAnsi"/>
        </w:rPr>
        <w:t xml:space="preserve"> </w:t>
      </w:r>
      <w:r w:rsidR="00DB34D0">
        <w:rPr>
          <w:rFonts w:asciiTheme="majorHAnsi" w:hAnsiTheme="majorHAnsi" w:cstheme="majorHAnsi"/>
        </w:rPr>
        <w:t>na SvF a</w:t>
      </w:r>
      <w:r w:rsidR="00522672">
        <w:rPr>
          <w:rFonts w:asciiTheme="majorHAnsi" w:hAnsiTheme="majorHAnsi" w:cstheme="majorHAnsi"/>
        </w:rPr>
        <w:t xml:space="preserve"> 2 </w:t>
      </w:r>
      <w:r w:rsidR="00DB34D0">
        <w:rPr>
          <w:rFonts w:asciiTheme="majorHAnsi" w:hAnsiTheme="majorHAnsi" w:cstheme="majorHAnsi"/>
        </w:rPr>
        <w:t>doktorandsk</w:t>
      </w:r>
      <w:r w:rsidR="00F17964">
        <w:rPr>
          <w:rFonts w:asciiTheme="majorHAnsi" w:hAnsiTheme="majorHAnsi" w:cstheme="majorHAnsi"/>
        </w:rPr>
        <w:t>é ŠP</w:t>
      </w:r>
      <w:r w:rsidR="00DB34D0">
        <w:rPr>
          <w:rFonts w:asciiTheme="majorHAnsi" w:hAnsiTheme="majorHAnsi" w:cstheme="majorHAnsi"/>
        </w:rPr>
        <w:t xml:space="preserve"> na ÚM</w:t>
      </w:r>
      <w:r w:rsidR="00765046">
        <w:rPr>
          <w:rFonts w:asciiTheme="majorHAnsi" w:hAnsiTheme="majorHAnsi" w:cstheme="majorHAnsi"/>
        </w:rPr>
        <w:t>.</w:t>
      </w:r>
      <w:r w:rsidR="00D617C2" w:rsidRPr="0024112E">
        <w:rPr>
          <w:rFonts w:asciiTheme="majorHAnsi" w:hAnsiTheme="majorHAnsi" w:cstheme="majorHAnsi"/>
        </w:rPr>
        <w:t xml:space="preserve"> </w:t>
      </w:r>
      <w:r w:rsidR="006E4ECF">
        <w:rPr>
          <w:rFonts w:asciiTheme="majorHAnsi" w:hAnsiTheme="majorHAnsi" w:cstheme="majorHAnsi"/>
        </w:rPr>
        <w:t xml:space="preserve">STU upravila </w:t>
      </w:r>
      <w:r w:rsidR="009E7544">
        <w:rPr>
          <w:rFonts w:asciiTheme="majorHAnsi" w:hAnsiTheme="majorHAnsi" w:cstheme="majorHAnsi"/>
        </w:rPr>
        <w:t xml:space="preserve">predmetné </w:t>
      </w:r>
      <w:r w:rsidR="006E4ECF">
        <w:rPr>
          <w:rFonts w:asciiTheme="majorHAnsi" w:hAnsiTheme="majorHAnsi" w:cstheme="majorHAnsi"/>
        </w:rPr>
        <w:t>študijné programy</w:t>
      </w:r>
      <w:r w:rsidR="009E7544">
        <w:rPr>
          <w:rFonts w:asciiTheme="majorHAnsi" w:hAnsiTheme="majorHAnsi" w:cstheme="majorHAnsi"/>
        </w:rPr>
        <w:t>,</w:t>
      </w:r>
      <w:r w:rsidR="006E4ECF">
        <w:rPr>
          <w:rFonts w:asciiTheme="majorHAnsi" w:hAnsiTheme="majorHAnsi" w:cstheme="majorHAnsi"/>
        </w:rPr>
        <w:t xml:space="preserve"> </w:t>
      </w:r>
      <w:r w:rsidR="004E05C5">
        <w:rPr>
          <w:rFonts w:asciiTheme="majorHAnsi" w:hAnsiTheme="majorHAnsi" w:cstheme="majorHAnsi"/>
        </w:rPr>
        <w:t xml:space="preserve">o čom </w:t>
      </w:r>
      <w:r w:rsidR="00672B16">
        <w:rPr>
          <w:rFonts w:asciiTheme="majorHAnsi" w:hAnsiTheme="majorHAnsi" w:cstheme="majorHAnsi"/>
        </w:rPr>
        <w:t xml:space="preserve">bezodkladne </w:t>
      </w:r>
      <w:r w:rsidR="006E4ECF">
        <w:rPr>
          <w:rFonts w:asciiTheme="majorHAnsi" w:hAnsiTheme="majorHAnsi" w:cstheme="majorHAnsi"/>
        </w:rPr>
        <w:t>informovala agentúru</w:t>
      </w:r>
      <w:r w:rsidR="00D207DF">
        <w:rPr>
          <w:rFonts w:asciiTheme="majorHAnsi" w:hAnsiTheme="majorHAnsi" w:cstheme="majorHAnsi"/>
        </w:rPr>
        <w:t xml:space="preserve">. Agentúra </w:t>
      </w:r>
      <w:r w:rsidR="009E7544">
        <w:rPr>
          <w:rFonts w:asciiTheme="majorHAnsi" w:hAnsiTheme="majorHAnsi" w:cstheme="majorHAnsi"/>
        </w:rPr>
        <w:t xml:space="preserve">následne </w:t>
      </w:r>
      <w:r w:rsidR="00D207DF">
        <w:rPr>
          <w:rFonts w:asciiTheme="majorHAnsi" w:hAnsiTheme="majorHAnsi" w:cstheme="majorHAnsi"/>
        </w:rPr>
        <w:t>zrušila časové obmedzenie uvedeným študijným programom v registri študijných programov</w:t>
      </w:r>
      <w:r w:rsidR="00B5154E">
        <w:rPr>
          <w:rFonts w:asciiTheme="majorHAnsi" w:hAnsiTheme="majorHAnsi" w:cstheme="majorHAnsi"/>
        </w:rPr>
        <w:t xml:space="preserve"> vo februári 2022.</w:t>
      </w:r>
      <w:r w:rsidR="00A044EC">
        <w:rPr>
          <w:rFonts w:asciiTheme="majorHAnsi" w:hAnsiTheme="majorHAnsi" w:cstheme="majorHAnsi"/>
        </w:rPr>
        <w:t xml:space="preserve"> </w:t>
      </w:r>
    </w:p>
    <w:p w14:paraId="00FAA70D" w14:textId="7428D400" w:rsidR="00F551C6" w:rsidRDefault="00C50D32" w:rsidP="00AD63D3">
      <w:pPr>
        <w:tabs>
          <w:tab w:val="left" w:pos="9356"/>
        </w:tabs>
        <w:spacing w:after="120"/>
        <w:ind w:right="68"/>
        <w:jc w:val="both"/>
        <w:rPr>
          <w:rFonts w:asciiTheme="majorHAnsi" w:hAnsiTheme="majorHAnsi" w:cstheme="majorHAnsi"/>
        </w:rPr>
      </w:pPr>
      <w:r w:rsidRPr="0053555E">
        <w:rPr>
          <w:rFonts w:asciiTheme="majorHAnsi" w:hAnsiTheme="majorHAnsi" w:cstheme="majorHAnsi"/>
        </w:rPr>
        <w:t xml:space="preserve">Od 1. </w:t>
      </w:r>
      <w:r w:rsidR="005C3245" w:rsidRPr="0053555E">
        <w:rPr>
          <w:rFonts w:asciiTheme="majorHAnsi" w:hAnsiTheme="majorHAnsi" w:cstheme="majorHAnsi"/>
        </w:rPr>
        <w:t>septembra</w:t>
      </w:r>
      <w:r w:rsidRPr="0053555E">
        <w:rPr>
          <w:rFonts w:asciiTheme="majorHAnsi" w:hAnsiTheme="majorHAnsi" w:cstheme="majorHAnsi"/>
        </w:rPr>
        <w:t xml:space="preserve"> 202</w:t>
      </w:r>
      <w:r w:rsidR="001A22A0">
        <w:rPr>
          <w:rFonts w:asciiTheme="majorHAnsi" w:hAnsiTheme="majorHAnsi" w:cstheme="majorHAnsi"/>
        </w:rPr>
        <w:t>1</w:t>
      </w:r>
      <w:r w:rsidRPr="0053555E">
        <w:rPr>
          <w:rFonts w:asciiTheme="majorHAnsi" w:hAnsiTheme="majorHAnsi" w:cstheme="majorHAnsi"/>
        </w:rPr>
        <w:t xml:space="preserve"> do konca roku 202</w:t>
      </w:r>
      <w:r w:rsidR="009C6BB7">
        <w:rPr>
          <w:rFonts w:asciiTheme="majorHAnsi" w:hAnsiTheme="majorHAnsi" w:cstheme="majorHAnsi"/>
        </w:rPr>
        <w:t>2</w:t>
      </w:r>
      <w:r w:rsidR="00F551C6" w:rsidRPr="0053555E">
        <w:rPr>
          <w:rFonts w:asciiTheme="majorHAnsi" w:hAnsiTheme="majorHAnsi" w:cstheme="majorHAnsi"/>
        </w:rPr>
        <w:t xml:space="preserve"> boli STU </w:t>
      </w:r>
      <w:r w:rsidR="000D00BD" w:rsidRPr="0053555E">
        <w:rPr>
          <w:rFonts w:asciiTheme="majorHAnsi" w:hAnsiTheme="majorHAnsi" w:cstheme="majorHAnsi"/>
        </w:rPr>
        <w:t>doručené rozhodnutia agentúry</w:t>
      </w:r>
      <w:r w:rsidRPr="0053555E">
        <w:rPr>
          <w:rFonts w:asciiTheme="majorHAnsi" w:hAnsiTheme="majorHAnsi" w:cstheme="majorHAnsi"/>
        </w:rPr>
        <w:t xml:space="preserve"> celkove pre </w:t>
      </w:r>
      <w:r w:rsidR="00490DA5">
        <w:rPr>
          <w:rFonts w:asciiTheme="majorHAnsi" w:hAnsiTheme="majorHAnsi" w:cstheme="majorHAnsi"/>
          <w:b/>
        </w:rPr>
        <w:t>13</w:t>
      </w:r>
      <w:r w:rsidR="00F551C6" w:rsidRPr="0053555E">
        <w:rPr>
          <w:rFonts w:asciiTheme="majorHAnsi" w:hAnsiTheme="majorHAnsi" w:cstheme="majorHAnsi"/>
          <w:b/>
        </w:rPr>
        <w:t xml:space="preserve"> študijných programov</w:t>
      </w:r>
      <w:r w:rsidR="00CE1966" w:rsidRPr="0053555E">
        <w:rPr>
          <w:rFonts w:asciiTheme="majorHAnsi" w:hAnsiTheme="majorHAnsi" w:cstheme="majorHAnsi"/>
        </w:rPr>
        <w:t xml:space="preserve"> </w:t>
      </w:r>
      <w:r w:rsidR="000D3133" w:rsidRPr="00232A93">
        <w:rPr>
          <w:rFonts w:asciiTheme="majorHAnsi" w:hAnsiTheme="majorHAnsi" w:cstheme="majorHAnsi"/>
        </w:rPr>
        <w:t>(</w:t>
      </w:r>
      <w:r w:rsidR="00AE36C0" w:rsidRPr="00232A93">
        <w:rPr>
          <w:rFonts w:asciiTheme="majorHAnsi" w:hAnsiTheme="majorHAnsi" w:cstheme="majorHAnsi"/>
        </w:rPr>
        <w:fldChar w:fldCharType="begin"/>
      </w:r>
      <w:r w:rsidR="00AE36C0" w:rsidRPr="00232A93">
        <w:rPr>
          <w:rFonts w:asciiTheme="majorHAnsi" w:hAnsiTheme="majorHAnsi" w:cstheme="majorHAnsi"/>
        </w:rPr>
        <w:instrText xml:space="preserve"> REF _Ref127186051 \h  \* MERGEFORMAT </w:instrText>
      </w:r>
      <w:r w:rsidR="00AE36C0" w:rsidRPr="00232A93">
        <w:rPr>
          <w:rFonts w:asciiTheme="majorHAnsi" w:hAnsiTheme="majorHAnsi" w:cstheme="majorHAnsi"/>
        </w:rPr>
      </w:r>
      <w:r w:rsidR="00AE36C0" w:rsidRPr="00232A93">
        <w:rPr>
          <w:rFonts w:asciiTheme="majorHAnsi" w:hAnsiTheme="majorHAnsi" w:cstheme="majorHAnsi"/>
        </w:rPr>
        <w:fldChar w:fldCharType="separate"/>
      </w:r>
      <w:r w:rsidR="00EE1B59" w:rsidRPr="00232A93">
        <w:t xml:space="preserve">Tab. č. </w:t>
      </w:r>
      <w:r w:rsidR="00EE1B59" w:rsidRPr="00232A93">
        <w:rPr>
          <w:noProof/>
        </w:rPr>
        <w:t>1</w:t>
      </w:r>
      <w:r w:rsidR="00AE36C0" w:rsidRPr="00232A93">
        <w:rPr>
          <w:rFonts w:asciiTheme="majorHAnsi" w:hAnsiTheme="majorHAnsi" w:cstheme="majorHAnsi"/>
        </w:rPr>
        <w:fldChar w:fldCharType="end"/>
      </w:r>
      <w:r w:rsidR="000D3133" w:rsidRPr="00232A93">
        <w:rPr>
          <w:rFonts w:asciiTheme="majorHAnsi" w:hAnsiTheme="majorHAnsi" w:cstheme="majorHAnsi"/>
        </w:rPr>
        <w:t>)</w:t>
      </w:r>
      <w:r w:rsidR="00AD63D3" w:rsidRPr="00232A93">
        <w:rPr>
          <w:rFonts w:asciiTheme="majorHAnsi" w:hAnsiTheme="majorHAnsi" w:cstheme="majorHAnsi"/>
        </w:rPr>
        <w:t>.</w:t>
      </w:r>
      <w:r w:rsidR="00AD63D3">
        <w:rPr>
          <w:rFonts w:asciiTheme="majorHAnsi" w:hAnsiTheme="majorHAnsi" w:cstheme="majorHAnsi"/>
        </w:rPr>
        <w:t xml:space="preserve"> </w:t>
      </w:r>
    </w:p>
    <w:p w14:paraId="5D59FAC3" w14:textId="77777777" w:rsidR="00850C5E" w:rsidRPr="0053555E" w:rsidRDefault="00850C5E" w:rsidP="00AD63D3">
      <w:pPr>
        <w:tabs>
          <w:tab w:val="left" w:pos="9356"/>
        </w:tabs>
        <w:spacing w:after="120"/>
        <w:ind w:right="68"/>
        <w:jc w:val="both"/>
        <w:rPr>
          <w:rFonts w:asciiTheme="majorHAnsi" w:hAnsiTheme="majorHAnsi" w:cstheme="majorHAnsi"/>
        </w:rPr>
      </w:pPr>
    </w:p>
    <w:p w14:paraId="236C73A0" w14:textId="60E7BE15" w:rsidR="00AA21C5" w:rsidRPr="0053555E" w:rsidRDefault="001A4844" w:rsidP="000E3322">
      <w:pPr>
        <w:pStyle w:val="Popis"/>
      </w:pPr>
      <w:bookmarkStart w:id="5" w:name="_Ref127186051"/>
      <w:bookmarkStart w:id="6" w:name="_Ref94620920"/>
      <w:bookmarkStart w:id="7" w:name="_Toc127593264"/>
      <w:r>
        <w:t xml:space="preserve">Tab. č. </w:t>
      </w:r>
      <w:r w:rsidR="007B5953">
        <w:fldChar w:fldCharType="begin"/>
      </w:r>
      <w:r w:rsidR="007B5953">
        <w:instrText xml:space="preserve"> SEQ Tab._č. \* ARABIC </w:instrText>
      </w:r>
      <w:r w:rsidR="007B5953">
        <w:fldChar w:fldCharType="separate"/>
      </w:r>
      <w:r w:rsidR="00EE1B59">
        <w:rPr>
          <w:noProof/>
        </w:rPr>
        <w:t>1</w:t>
      </w:r>
      <w:r w:rsidR="007B5953">
        <w:rPr>
          <w:noProof/>
        </w:rPr>
        <w:fldChar w:fldCharType="end"/>
      </w:r>
      <w:bookmarkEnd w:id="5"/>
      <w:r w:rsidR="00C82E39" w:rsidRPr="0053555E">
        <w:t xml:space="preserve">: </w:t>
      </w:r>
      <w:bookmarkEnd w:id="6"/>
      <w:r w:rsidR="00D33BD0" w:rsidRPr="0053555E">
        <w:t xml:space="preserve">Prehľad získaných akreditácií nových študijných programov </w:t>
      </w:r>
      <w:r w:rsidR="00AE36C0">
        <w:t xml:space="preserve">a zrušenia časových obmedzení </w:t>
      </w:r>
      <w:r w:rsidR="00987738">
        <w:t xml:space="preserve">existujúcich študijných programov </w:t>
      </w:r>
      <w:r w:rsidR="000B70FA" w:rsidRPr="0053555E">
        <w:t>na základe rozhodnutia agentúry</w:t>
      </w:r>
      <w:r w:rsidR="00D33BD0" w:rsidRPr="0053555E">
        <w:t xml:space="preserve"> v</w:t>
      </w:r>
      <w:r w:rsidR="000B70FA" w:rsidRPr="0053555E">
        <w:t> </w:t>
      </w:r>
      <w:r w:rsidR="00D33BD0" w:rsidRPr="0053555E">
        <w:t xml:space="preserve">akademickom roku </w:t>
      </w:r>
      <w:r w:rsidR="00EA24BA" w:rsidRPr="0053555E">
        <w:t>2021/2022</w:t>
      </w:r>
      <w:bookmarkEnd w:id="7"/>
      <w:r w:rsidR="00982458">
        <w:t xml:space="preserve"> </w:t>
      </w:r>
    </w:p>
    <w:tbl>
      <w:tblPr>
        <w:tblW w:w="8931" w:type="dxa"/>
        <w:tblInd w:w="-10" w:type="dxa"/>
        <w:tblLayout w:type="fixed"/>
        <w:tblCellMar>
          <w:left w:w="70" w:type="dxa"/>
          <w:right w:w="70" w:type="dxa"/>
        </w:tblCellMar>
        <w:tblLook w:val="04A0" w:firstRow="1" w:lastRow="0" w:firstColumn="1" w:lastColumn="0" w:noHBand="0" w:noVBand="1"/>
      </w:tblPr>
      <w:tblGrid>
        <w:gridCol w:w="851"/>
        <w:gridCol w:w="1349"/>
        <w:gridCol w:w="1349"/>
        <w:gridCol w:w="1349"/>
        <w:gridCol w:w="1347"/>
        <w:gridCol w:w="1347"/>
        <w:gridCol w:w="1339"/>
      </w:tblGrid>
      <w:tr w:rsidR="00B2126B" w:rsidRPr="0053555E" w14:paraId="3EB4C57F" w14:textId="77777777" w:rsidTr="00B274F0">
        <w:trPr>
          <w:trHeight w:val="20"/>
        </w:trPr>
        <w:tc>
          <w:tcPr>
            <w:tcW w:w="851"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29C7384" w14:textId="77777777" w:rsidR="00B2126B" w:rsidRPr="0053555E" w:rsidRDefault="00B2126B" w:rsidP="00765893">
            <w:pPr>
              <w:rPr>
                <w:rFonts w:eastAsia="Times New Roman" w:cs="Calibri"/>
                <w:b/>
                <w:bCs/>
                <w:sz w:val="20"/>
                <w:szCs w:val="18"/>
                <w:lang w:eastAsia="sk-SK"/>
              </w:rPr>
            </w:pPr>
            <w:r w:rsidRPr="0053555E">
              <w:rPr>
                <w:rFonts w:eastAsia="Times New Roman" w:cs="Calibri"/>
                <w:b/>
                <w:bCs/>
                <w:sz w:val="20"/>
                <w:szCs w:val="18"/>
                <w:lang w:eastAsia="sk-SK"/>
              </w:rPr>
              <w:t>Súčasť STU</w:t>
            </w:r>
          </w:p>
        </w:tc>
        <w:tc>
          <w:tcPr>
            <w:tcW w:w="4047" w:type="dxa"/>
            <w:gridSpan w:val="3"/>
            <w:tcBorders>
              <w:top w:val="single" w:sz="8" w:space="0" w:color="auto"/>
              <w:left w:val="nil"/>
              <w:bottom w:val="single" w:sz="4" w:space="0" w:color="auto"/>
              <w:right w:val="single" w:sz="4" w:space="0" w:color="auto"/>
            </w:tcBorders>
            <w:shd w:val="clear" w:color="auto" w:fill="auto"/>
            <w:vAlign w:val="center"/>
            <w:hideMark/>
          </w:tcPr>
          <w:p w14:paraId="17085B7F" w14:textId="41E626C2" w:rsidR="00B2126B" w:rsidRPr="0053555E" w:rsidRDefault="00B2126B" w:rsidP="00765893">
            <w:pPr>
              <w:jc w:val="center"/>
              <w:rPr>
                <w:rFonts w:eastAsia="Times New Roman" w:cs="Calibri"/>
                <w:sz w:val="18"/>
                <w:szCs w:val="18"/>
                <w:lang w:eastAsia="sk-SK"/>
              </w:rPr>
            </w:pPr>
            <w:r w:rsidRPr="0053555E">
              <w:rPr>
                <w:rFonts w:eastAsia="Times New Roman" w:cs="Calibri"/>
                <w:sz w:val="18"/>
                <w:szCs w:val="18"/>
                <w:lang w:eastAsia="sk-SK"/>
              </w:rPr>
              <w:t xml:space="preserve">akreditácie NŠP podľa § 36 ods. 1 v spojení s § 30  zákona </w:t>
            </w:r>
            <w:r>
              <w:rPr>
                <w:rFonts w:eastAsia="Times New Roman" w:cs="Calibri"/>
                <w:sz w:val="18"/>
                <w:szCs w:val="18"/>
                <w:lang w:eastAsia="sk-SK"/>
              </w:rPr>
              <w:t>o zabezpečovaní kvality</w:t>
            </w:r>
          </w:p>
        </w:tc>
        <w:tc>
          <w:tcPr>
            <w:tcW w:w="2694" w:type="dxa"/>
            <w:gridSpan w:val="2"/>
            <w:tcBorders>
              <w:top w:val="single" w:sz="4" w:space="0" w:color="auto"/>
              <w:left w:val="single" w:sz="4" w:space="0" w:color="auto"/>
              <w:bottom w:val="single" w:sz="4" w:space="0" w:color="auto"/>
              <w:right w:val="single" w:sz="4" w:space="0" w:color="auto"/>
            </w:tcBorders>
          </w:tcPr>
          <w:p w14:paraId="2F30015B" w14:textId="20019B4A" w:rsidR="00B2126B" w:rsidRPr="0053555E" w:rsidRDefault="00B2126B" w:rsidP="00BD453B">
            <w:pPr>
              <w:jc w:val="center"/>
              <w:rPr>
                <w:rFonts w:eastAsia="Times New Roman" w:cs="Calibri"/>
                <w:sz w:val="18"/>
                <w:szCs w:val="18"/>
                <w:lang w:eastAsia="sk-SK"/>
              </w:rPr>
            </w:pPr>
            <w:r>
              <w:rPr>
                <w:rFonts w:eastAsia="Times New Roman" w:cs="Calibri"/>
                <w:sz w:val="18"/>
                <w:szCs w:val="18"/>
                <w:lang w:eastAsia="sk-SK"/>
              </w:rPr>
              <w:t>súhlas s úpravou ŠP a zrušenie časového obmedzenia podľa § 27</w:t>
            </w:r>
            <w:r w:rsidRPr="0053555E">
              <w:rPr>
                <w:rFonts w:eastAsia="Times New Roman" w:cs="Calibri"/>
                <w:sz w:val="18"/>
                <w:szCs w:val="18"/>
                <w:lang w:eastAsia="sk-SK"/>
              </w:rPr>
              <w:t xml:space="preserve"> zákona </w:t>
            </w:r>
            <w:r>
              <w:rPr>
                <w:rFonts w:eastAsia="Times New Roman" w:cs="Calibri"/>
                <w:sz w:val="18"/>
                <w:szCs w:val="18"/>
                <w:lang w:eastAsia="sk-SK"/>
              </w:rPr>
              <w:t>o zabezpečovaní kvality</w:t>
            </w:r>
          </w:p>
        </w:tc>
        <w:tc>
          <w:tcPr>
            <w:tcW w:w="1339" w:type="dxa"/>
            <w:vMerge w:val="restart"/>
            <w:tcBorders>
              <w:top w:val="single" w:sz="8" w:space="0" w:color="auto"/>
              <w:left w:val="single" w:sz="4" w:space="0" w:color="auto"/>
              <w:right w:val="single" w:sz="8" w:space="0" w:color="auto"/>
            </w:tcBorders>
            <w:shd w:val="clear" w:color="auto" w:fill="EEECE1" w:themeFill="background2"/>
            <w:vAlign w:val="center"/>
            <w:hideMark/>
          </w:tcPr>
          <w:p w14:paraId="351D438A" w14:textId="2B77D4EB" w:rsidR="00B2126B" w:rsidRPr="0053555E" w:rsidRDefault="00B2126B" w:rsidP="00BD453B">
            <w:pPr>
              <w:jc w:val="center"/>
              <w:rPr>
                <w:rFonts w:eastAsia="Times New Roman" w:cs="Calibri"/>
                <w:sz w:val="18"/>
                <w:szCs w:val="18"/>
                <w:lang w:eastAsia="sk-SK"/>
              </w:rPr>
            </w:pPr>
            <w:r w:rsidRPr="0053555E">
              <w:rPr>
                <w:rFonts w:eastAsia="Times New Roman" w:cs="Calibri"/>
                <w:sz w:val="18"/>
                <w:szCs w:val="18"/>
                <w:lang w:eastAsia="sk-SK"/>
              </w:rPr>
              <w:t>celkom počet študijných programov</w:t>
            </w:r>
          </w:p>
        </w:tc>
      </w:tr>
      <w:tr w:rsidR="00BA4BEB" w:rsidRPr="0053555E" w14:paraId="7A255051" w14:textId="77777777" w:rsidTr="00B274F0">
        <w:trPr>
          <w:trHeight w:val="20"/>
        </w:trPr>
        <w:tc>
          <w:tcPr>
            <w:tcW w:w="851" w:type="dxa"/>
            <w:vMerge/>
            <w:tcBorders>
              <w:top w:val="single" w:sz="8" w:space="0" w:color="auto"/>
              <w:left w:val="single" w:sz="8" w:space="0" w:color="auto"/>
              <w:bottom w:val="single" w:sz="4" w:space="0" w:color="000000"/>
              <w:right w:val="single" w:sz="8" w:space="0" w:color="auto"/>
            </w:tcBorders>
            <w:vAlign w:val="center"/>
            <w:hideMark/>
          </w:tcPr>
          <w:p w14:paraId="3809741A" w14:textId="77777777" w:rsidR="00BA4BEB" w:rsidRPr="0053555E" w:rsidRDefault="00BA4BEB" w:rsidP="00F842FC">
            <w:pPr>
              <w:rPr>
                <w:rFonts w:eastAsia="Times New Roman" w:cs="Calibri"/>
                <w:b/>
                <w:bCs/>
                <w:sz w:val="20"/>
                <w:szCs w:val="18"/>
                <w:lang w:eastAsia="sk-SK"/>
              </w:rPr>
            </w:pPr>
          </w:p>
        </w:tc>
        <w:tc>
          <w:tcPr>
            <w:tcW w:w="1349" w:type="dxa"/>
            <w:tcBorders>
              <w:top w:val="nil"/>
              <w:left w:val="nil"/>
              <w:bottom w:val="single" w:sz="4" w:space="0" w:color="auto"/>
              <w:right w:val="nil"/>
            </w:tcBorders>
            <w:shd w:val="clear" w:color="auto" w:fill="auto"/>
            <w:vAlign w:val="center"/>
            <w:hideMark/>
          </w:tcPr>
          <w:p w14:paraId="5DB7D08D" w14:textId="77777777" w:rsidR="00BA4BEB" w:rsidRPr="0053555E" w:rsidRDefault="00BA4BEB" w:rsidP="00F842FC">
            <w:pPr>
              <w:jc w:val="center"/>
              <w:rPr>
                <w:rFonts w:eastAsia="Times New Roman" w:cs="Calibri"/>
                <w:sz w:val="16"/>
                <w:szCs w:val="18"/>
                <w:lang w:eastAsia="sk-SK"/>
              </w:rPr>
            </w:pPr>
            <w:r w:rsidRPr="0053555E">
              <w:rPr>
                <w:rFonts w:eastAsia="Times New Roman" w:cs="Calibri"/>
                <w:sz w:val="16"/>
                <w:szCs w:val="18"/>
                <w:lang w:eastAsia="sk-SK"/>
              </w:rPr>
              <w:t>počet ŠP I. stupeň</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6FC89985" w14:textId="77777777" w:rsidR="00BA4BEB" w:rsidRPr="0053555E" w:rsidRDefault="00BA4BEB" w:rsidP="00F842FC">
            <w:pPr>
              <w:jc w:val="center"/>
              <w:rPr>
                <w:rFonts w:eastAsia="Times New Roman" w:cs="Calibri"/>
                <w:sz w:val="16"/>
                <w:szCs w:val="18"/>
                <w:lang w:eastAsia="sk-SK"/>
              </w:rPr>
            </w:pPr>
            <w:r w:rsidRPr="0053555E">
              <w:rPr>
                <w:rFonts w:eastAsia="Times New Roman" w:cs="Calibri"/>
                <w:sz w:val="16"/>
                <w:szCs w:val="18"/>
                <w:lang w:eastAsia="sk-SK"/>
              </w:rPr>
              <w:t>počet ŠP II. stupeň</w:t>
            </w:r>
          </w:p>
        </w:tc>
        <w:tc>
          <w:tcPr>
            <w:tcW w:w="1349" w:type="dxa"/>
            <w:tcBorders>
              <w:top w:val="single" w:sz="4" w:space="0" w:color="auto"/>
              <w:left w:val="nil"/>
              <w:bottom w:val="single" w:sz="4" w:space="0" w:color="auto"/>
              <w:right w:val="single" w:sz="4" w:space="0" w:color="auto"/>
            </w:tcBorders>
            <w:shd w:val="clear" w:color="auto" w:fill="auto"/>
            <w:vAlign w:val="center"/>
            <w:hideMark/>
          </w:tcPr>
          <w:p w14:paraId="7DB67D85" w14:textId="77777777" w:rsidR="00BA4BEB" w:rsidRPr="0053555E" w:rsidRDefault="00BA4BEB" w:rsidP="00F842FC">
            <w:pPr>
              <w:jc w:val="center"/>
              <w:rPr>
                <w:rFonts w:eastAsia="Times New Roman" w:cs="Calibri"/>
                <w:sz w:val="16"/>
                <w:szCs w:val="18"/>
                <w:lang w:eastAsia="sk-SK"/>
              </w:rPr>
            </w:pPr>
            <w:r w:rsidRPr="0053555E">
              <w:rPr>
                <w:rFonts w:eastAsia="Times New Roman" w:cs="Calibri"/>
                <w:sz w:val="16"/>
                <w:szCs w:val="18"/>
                <w:lang w:eastAsia="sk-SK"/>
              </w:rPr>
              <w:t>počet ŠP III. stupeň</w:t>
            </w:r>
          </w:p>
        </w:tc>
        <w:tc>
          <w:tcPr>
            <w:tcW w:w="1347" w:type="dxa"/>
            <w:tcBorders>
              <w:top w:val="single" w:sz="4" w:space="0" w:color="auto"/>
              <w:left w:val="single" w:sz="4" w:space="0" w:color="auto"/>
              <w:bottom w:val="single" w:sz="4" w:space="0" w:color="auto"/>
              <w:right w:val="single" w:sz="4" w:space="0" w:color="auto"/>
            </w:tcBorders>
            <w:vAlign w:val="center"/>
          </w:tcPr>
          <w:p w14:paraId="2D9886E6" w14:textId="7F2270CE" w:rsidR="00BA4BEB" w:rsidRPr="0053555E" w:rsidRDefault="00BA4BEB" w:rsidP="00F842FC">
            <w:pPr>
              <w:rPr>
                <w:rFonts w:eastAsia="Times New Roman" w:cs="Calibri"/>
                <w:sz w:val="18"/>
                <w:szCs w:val="18"/>
                <w:lang w:eastAsia="sk-SK"/>
              </w:rPr>
            </w:pPr>
            <w:r w:rsidRPr="0053555E">
              <w:rPr>
                <w:rFonts w:eastAsia="Times New Roman" w:cs="Calibri"/>
                <w:sz w:val="16"/>
                <w:szCs w:val="18"/>
                <w:lang w:eastAsia="sk-SK"/>
              </w:rPr>
              <w:t>počet ŠP II. stupeň</w:t>
            </w:r>
          </w:p>
        </w:tc>
        <w:tc>
          <w:tcPr>
            <w:tcW w:w="1347" w:type="dxa"/>
            <w:tcBorders>
              <w:top w:val="single" w:sz="4" w:space="0" w:color="auto"/>
              <w:left w:val="single" w:sz="4" w:space="0" w:color="auto"/>
              <w:bottom w:val="single" w:sz="4" w:space="0" w:color="auto"/>
              <w:right w:val="single" w:sz="4" w:space="0" w:color="auto"/>
            </w:tcBorders>
            <w:vAlign w:val="center"/>
          </w:tcPr>
          <w:p w14:paraId="1CA47540" w14:textId="674E9242" w:rsidR="00BA4BEB" w:rsidRPr="0053555E" w:rsidRDefault="00BA4BEB" w:rsidP="00F842FC">
            <w:pPr>
              <w:rPr>
                <w:rFonts w:eastAsia="Times New Roman" w:cs="Calibri"/>
                <w:sz w:val="18"/>
                <w:szCs w:val="18"/>
                <w:lang w:eastAsia="sk-SK"/>
              </w:rPr>
            </w:pPr>
            <w:r w:rsidRPr="0053555E">
              <w:rPr>
                <w:rFonts w:eastAsia="Times New Roman" w:cs="Calibri"/>
                <w:sz w:val="16"/>
                <w:szCs w:val="18"/>
                <w:lang w:eastAsia="sk-SK"/>
              </w:rPr>
              <w:t>počet ŠP III. stupeň</w:t>
            </w:r>
          </w:p>
        </w:tc>
        <w:tc>
          <w:tcPr>
            <w:tcW w:w="1339" w:type="dxa"/>
            <w:vMerge/>
            <w:tcBorders>
              <w:left w:val="single" w:sz="4" w:space="0" w:color="auto"/>
              <w:bottom w:val="single" w:sz="4" w:space="0" w:color="000000"/>
              <w:right w:val="single" w:sz="8" w:space="0" w:color="auto"/>
            </w:tcBorders>
            <w:shd w:val="clear" w:color="auto" w:fill="EEECE1" w:themeFill="background2"/>
            <w:vAlign w:val="center"/>
            <w:hideMark/>
          </w:tcPr>
          <w:p w14:paraId="5A93FB87" w14:textId="5FB0CC8F" w:rsidR="00BA4BEB" w:rsidRPr="0053555E" w:rsidRDefault="00BA4BEB" w:rsidP="00F842FC">
            <w:pPr>
              <w:rPr>
                <w:rFonts w:eastAsia="Times New Roman" w:cs="Calibri"/>
                <w:sz w:val="18"/>
                <w:szCs w:val="18"/>
                <w:lang w:eastAsia="sk-SK"/>
              </w:rPr>
            </w:pPr>
          </w:p>
        </w:tc>
      </w:tr>
      <w:tr w:rsidR="00BA4BEB" w:rsidRPr="00B274F0" w14:paraId="55F0EBD6" w14:textId="77777777" w:rsidTr="00B274F0">
        <w:trPr>
          <w:trHeight w:val="20"/>
        </w:trPr>
        <w:tc>
          <w:tcPr>
            <w:tcW w:w="851" w:type="dxa"/>
            <w:tcBorders>
              <w:top w:val="nil"/>
              <w:left w:val="single" w:sz="8" w:space="0" w:color="auto"/>
              <w:bottom w:val="single" w:sz="4" w:space="0" w:color="auto"/>
              <w:right w:val="single" w:sz="8" w:space="0" w:color="auto"/>
            </w:tcBorders>
            <w:shd w:val="clear" w:color="auto" w:fill="auto"/>
            <w:noWrap/>
            <w:hideMark/>
          </w:tcPr>
          <w:p w14:paraId="097EC96D" w14:textId="704137C3" w:rsidR="00BA4BEB" w:rsidRPr="00B274F0" w:rsidRDefault="00BA4BEB" w:rsidP="00F842FC">
            <w:pPr>
              <w:rPr>
                <w:rFonts w:eastAsia="Times New Roman" w:cs="Calibri"/>
                <w:b/>
                <w:bCs/>
                <w:sz w:val="22"/>
                <w:szCs w:val="22"/>
                <w:lang w:eastAsia="sk-SK"/>
              </w:rPr>
            </w:pPr>
            <w:r w:rsidRPr="00B274F0">
              <w:rPr>
                <w:rFonts w:eastAsia="Times New Roman" w:cs="Calibri"/>
                <w:b/>
                <w:bCs/>
                <w:sz w:val="22"/>
                <w:szCs w:val="22"/>
                <w:lang w:eastAsia="sk-SK"/>
              </w:rPr>
              <w:t>SvF</w:t>
            </w:r>
          </w:p>
        </w:tc>
        <w:tc>
          <w:tcPr>
            <w:tcW w:w="1349" w:type="dxa"/>
            <w:tcBorders>
              <w:top w:val="nil"/>
              <w:left w:val="nil"/>
              <w:bottom w:val="single" w:sz="4" w:space="0" w:color="auto"/>
              <w:right w:val="single" w:sz="4" w:space="0" w:color="auto"/>
            </w:tcBorders>
            <w:shd w:val="clear" w:color="auto" w:fill="auto"/>
            <w:noWrap/>
            <w:vAlign w:val="center"/>
            <w:hideMark/>
          </w:tcPr>
          <w:p w14:paraId="6002109F" w14:textId="6D4BDE3C" w:rsidR="00BA4BEB" w:rsidRPr="00B274F0" w:rsidRDefault="00BA4BEB" w:rsidP="00F842FC">
            <w:pPr>
              <w:jc w:val="center"/>
              <w:rPr>
                <w:rFonts w:asciiTheme="majorHAnsi" w:eastAsia="Times New Roman" w:hAnsiTheme="majorHAnsi" w:cstheme="majorHAnsi"/>
                <w:sz w:val="22"/>
                <w:szCs w:val="22"/>
                <w:lang w:eastAsia="sk-SK"/>
              </w:rPr>
            </w:pPr>
          </w:p>
        </w:tc>
        <w:tc>
          <w:tcPr>
            <w:tcW w:w="1349" w:type="dxa"/>
            <w:tcBorders>
              <w:top w:val="nil"/>
              <w:left w:val="nil"/>
              <w:bottom w:val="single" w:sz="4" w:space="0" w:color="auto"/>
              <w:right w:val="single" w:sz="4" w:space="0" w:color="auto"/>
            </w:tcBorders>
            <w:shd w:val="clear" w:color="auto" w:fill="auto"/>
            <w:noWrap/>
            <w:vAlign w:val="center"/>
          </w:tcPr>
          <w:p w14:paraId="4A447C2D" w14:textId="2730540C" w:rsidR="00BA4BEB" w:rsidRPr="00B274F0" w:rsidRDefault="00BA4BEB" w:rsidP="00F842FC">
            <w:pPr>
              <w:jc w:val="center"/>
              <w:rPr>
                <w:rFonts w:asciiTheme="majorHAnsi" w:eastAsia="Times New Roman" w:hAnsiTheme="majorHAnsi" w:cstheme="majorHAnsi"/>
                <w:sz w:val="22"/>
                <w:szCs w:val="22"/>
                <w:lang w:eastAsia="sk-SK"/>
              </w:rPr>
            </w:pPr>
          </w:p>
        </w:tc>
        <w:tc>
          <w:tcPr>
            <w:tcW w:w="1349" w:type="dxa"/>
            <w:tcBorders>
              <w:top w:val="nil"/>
              <w:left w:val="nil"/>
              <w:bottom w:val="single" w:sz="4" w:space="0" w:color="auto"/>
              <w:right w:val="single" w:sz="4" w:space="0" w:color="auto"/>
            </w:tcBorders>
            <w:shd w:val="clear" w:color="auto" w:fill="auto"/>
            <w:noWrap/>
            <w:vAlign w:val="center"/>
          </w:tcPr>
          <w:p w14:paraId="405CB113" w14:textId="1299892E" w:rsidR="00BA4BEB" w:rsidRPr="00B274F0" w:rsidRDefault="00BA4BEB" w:rsidP="00F842FC">
            <w:pPr>
              <w:jc w:val="center"/>
              <w:rPr>
                <w:rFonts w:asciiTheme="majorHAnsi" w:eastAsia="Times New Roman" w:hAnsiTheme="majorHAnsi" w:cstheme="majorHAnsi"/>
                <w:sz w:val="22"/>
                <w:szCs w:val="22"/>
                <w:lang w:eastAsia="sk-SK"/>
              </w:rPr>
            </w:pPr>
          </w:p>
        </w:tc>
        <w:tc>
          <w:tcPr>
            <w:tcW w:w="1347" w:type="dxa"/>
            <w:tcBorders>
              <w:top w:val="single" w:sz="4" w:space="0" w:color="auto"/>
              <w:left w:val="single" w:sz="8" w:space="0" w:color="auto"/>
              <w:bottom w:val="single" w:sz="4" w:space="0" w:color="auto"/>
              <w:right w:val="single" w:sz="8" w:space="0" w:color="auto"/>
            </w:tcBorders>
          </w:tcPr>
          <w:p w14:paraId="5F6F807D" w14:textId="2352F11A" w:rsidR="00BA4BEB" w:rsidRPr="00B274F0" w:rsidRDefault="00BA4BEB" w:rsidP="00F842FC">
            <w:pPr>
              <w:jc w:val="center"/>
              <w:rPr>
                <w:rFonts w:asciiTheme="majorHAnsi" w:eastAsia="Times New Roman" w:hAnsiTheme="majorHAnsi" w:cstheme="majorHAnsi"/>
                <w:bCs/>
                <w:sz w:val="22"/>
                <w:szCs w:val="22"/>
                <w:lang w:eastAsia="sk-SK"/>
              </w:rPr>
            </w:pPr>
            <w:r w:rsidRPr="00B274F0">
              <w:rPr>
                <w:rFonts w:asciiTheme="majorHAnsi" w:eastAsia="Times New Roman" w:hAnsiTheme="majorHAnsi" w:cstheme="majorHAnsi"/>
                <w:bCs/>
                <w:sz w:val="22"/>
                <w:szCs w:val="22"/>
                <w:lang w:eastAsia="sk-SK"/>
              </w:rPr>
              <w:t>1</w:t>
            </w:r>
          </w:p>
        </w:tc>
        <w:tc>
          <w:tcPr>
            <w:tcW w:w="1347" w:type="dxa"/>
            <w:tcBorders>
              <w:top w:val="single" w:sz="4" w:space="0" w:color="auto"/>
              <w:left w:val="single" w:sz="8" w:space="0" w:color="auto"/>
              <w:bottom w:val="single" w:sz="4" w:space="0" w:color="auto"/>
              <w:right w:val="single" w:sz="8" w:space="0" w:color="auto"/>
            </w:tcBorders>
          </w:tcPr>
          <w:p w14:paraId="745F68FF" w14:textId="4F7BE791" w:rsidR="00BA4BEB" w:rsidRPr="00B274F0" w:rsidRDefault="00BA4BEB" w:rsidP="00F842FC">
            <w:pPr>
              <w:jc w:val="center"/>
              <w:rPr>
                <w:rFonts w:asciiTheme="majorHAnsi" w:eastAsia="Times New Roman" w:hAnsiTheme="majorHAnsi" w:cstheme="majorHAnsi"/>
                <w:bCs/>
                <w:sz w:val="22"/>
                <w:szCs w:val="22"/>
                <w:lang w:eastAsia="sk-SK"/>
              </w:rPr>
            </w:pPr>
          </w:p>
        </w:tc>
        <w:tc>
          <w:tcPr>
            <w:tcW w:w="1339" w:type="dxa"/>
            <w:tcBorders>
              <w:top w:val="nil"/>
              <w:left w:val="single" w:sz="8" w:space="0" w:color="auto"/>
              <w:bottom w:val="single" w:sz="4" w:space="0" w:color="auto"/>
              <w:right w:val="single" w:sz="8" w:space="0" w:color="auto"/>
            </w:tcBorders>
            <w:shd w:val="clear" w:color="auto" w:fill="EEECE1" w:themeFill="background2"/>
            <w:noWrap/>
            <w:vAlign w:val="center"/>
            <w:hideMark/>
          </w:tcPr>
          <w:p w14:paraId="6EBCA41D" w14:textId="2FE1A8BE" w:rsidR="00BA4BEB" w:rsidRPr="00B274F0" w:rsidRDefault="00BA4BEB" w:rsidP="00F842FC">
            <w:pPr>
              <w:jc w:val="center"/>
              <w:rPr>
                <w:rFonts w:asciiTheme="majorHAnsi" w:eastAsia="Times New Roman" w:hAnsiTheme="majorHAnsi" w:cstheme="majorHAnsi"/>
                <w:b/>
                <w:bCs/>
                <w:sz w:val="22"/>
                <w:szCs w:val="22"/>
                <w:lang w:eastAsia="sk-SK"/>
              </w:rPr>
            </w:pPr>
            <w:r w:rsidRPr="00B274F0">
              <w:rPr>
                <w:rFonts w:asciiTheme="majorHAnsi" w:eastAsia="Times New Roman" w:hAnsiTheme="majorHAnsi" w:cstheme="majorHAnsi"/>
                <w:b/>
                <w:bCs/>
                <w:sz w:val="22"/>
                <w:szCs w:val="22"/>
                <w:lang w:eastAsia="sk-SK"/>
              </w:rPr>
              <w:t>1</w:t>
            </w:r>
          </w:p>
        </w:tc>
      </w:tr>
      <w:tr w:rsidR="00BA4BEB" w:rsidRPr="00B274F0" w14:paraId="1949E233" w14:textId="77777777" w:rsidTr="00B274F0">
        <w:trPr>
          <w:trHeight w:val="20"/>
        </w:trPr>
        <w:tc>
          <w:tcPr>
            <w:tcW w:w="851" w:type="dxa"/>
            <w:tcBorders>
              <w:top w:val="nil"/>
              <w:left w:val="single" w:sz="8" w:space="0" w:color="auto"/>
              <w:bottom w:val="single" w:sz="4" w:space="0" w:color="auto"/>
              <w:right w:val="single" w:sz="8" w:space="0" w:color="auto"/>
            </w:tcBorders>
            <w:shd w:val="clear" w:color="auto" w:fill="auto"/>
            <w:noWrap/>
          </w:tcPr>
          <w:p w14:paraId="4E47C6C6" w14:textId="48B73107" w:rsidR="00BA4BEB" w:rsidRPr="00B274F0" w:rsidRDefault="00BA4BEB" w:rsidP="00F842FC">
            <w:pPr>
              <w:rPr>
                <w:rFonts w:eastAsia="Times New Roman" w:cs="Calibri"/>
                <w:b/>
                <w:bCs/>
                <w:sz w:val="22"/>
                <w:szCs w:val="22"/>
                <w:lang w:eastAsia="sk-SK"/>
              </w:rPr>
            </w:pPr>
            <w:r w:rsidRPr="00B274F0">
              <w:rPr>
                <w:rFonts w:eastAsia="Times New Roman" w:cs="Calibri"/>
                <w:b/>
                <w:bCs/>
                <w:sz w:val="22"/>
                <w:szCs w:val="22"/>
                <w:lang w:eastAsia="sk-SK"/>
              </w:rPr>
              <w:t>FEI</w:t>
            </w:r>
          </w:p>
        </w:tc>
        <w:tc>
          <w:tcPr>
            <w:tcW w:w="1349" w:type="dxa"/>
            <w:tcBorders>
              <w:top w:val="nil"/>
              <w:left w:val="nil"/>
              <w:bottom w:val="single" w:sz="4" w:space="0" w:color="auto"/>
              <w:right w:val="single" w:sz="4" w:space="0" w:color="auto"/>
            </w:tcBorders>
            <w:shd w:val="clear" w:color="auto" w:fill="auto"/>
            <w:noWrap/>
            <w:vAlign w:val="center"/>
          </w:tcPr>
          <w:p w14:paraId="32A1890D" w14:textId="7F134129" w:rsidR="00BA4BEB" w:rsidRPr="00B274F0" w:rsidRDefault="00BA4BEB" w:rsidP="00F842FC">
            <w:pPr>
              <w:jc w:val="center"/>
              <w:rPr>
                <w:rFonts w:asciiTheme="majorHAnsi" w:eastAsia="Times New Roman" w:hAnsiTheme="majorHAnsi" w:cstheme="majorHAnsi"/>
                <w:sz w:val="22"/>
                <w:szCs w:val="22"/>
                <w:lang w:eastAsia="sk-SK"/>
              </w:rPr>
            </w:pPr>
            <w:r w:rsidRPr="00B274F0">
              <w:rPr>
                <w:rFonts w:asciiTheme="majorHAnsi" w:eastAsia="Times New Roman" w:hAnsiTheme="majorHAnsi" w:cstheme="majorHAnsi"/>
                <w:sz w:val="22"/>
                <w:szCs w:val="22"/>
                <w:lang w:eastAsia="sk-SK"/>
              </w:rPr>
              <w:t>1</w:t>
            </w:r>
          </w:p>
        </w:tc>
        <w:tc>
          <w:tcPr>
            <w:tcW w:w="1349" w:type="dxa"/>
            <w:tcBorders>
              <w:top w:val="nil"/>
              <w:left w:val="nil"/>
              <w:bottom w:val="single" w:sz="4" w:space="0" w:color="auto"/>
              <w:right w:val="single" w:sz="4" w:space="0" w:color="auto"/>
            </w:tcBorders>
            <w:shd w:val="clear" w:color="auto" w:fill="auto"/>
            <w:noWrap/>
            <w:vAlign w:val="center"/>
          </w:tcPr>
          <w:p w14:paraId="7A137982" w14:textId="20B7AE51" w:rsidR="00BA4BEB" w:rsidRPr="00B274F0" w:rsidRDefault="00BA4BEB" w:rsidP="00F842FC">
            <w:pPr>
              <w:jc w:val="center"/>
              <w:rPr>
                <w:rFonts w:asciiTheme="majorHAnsi" w:eastAsia="Times New Roman" w:hAnsiTheme="majorHAnsi" w:cstheme="majorHAnsi"/>
                <w:sz w:val="22"/>
                <w:szCs w:val="22"/>
                <w:lang w:eastAsia="sk-SK"/>
              </w:rPr>
            </w:pPr>
            <w:r w:rsidRPr="00B274F0">
              <w:rPr>
                <w:rFonts w:asciiTheme="majorHAnsi" w:eastAsia="Times New Roman" w:hAnsiTheme="majorHAnsi" w:cstheme="majorHAnsi"/>
                <w:sz w:val="22"/>
                <w:szCs w:val="22"/>
                <w:lang w:eastAsia="sk-SK"/>
              </w:rPr>
              <w:t>3</w:t>
            </w:r>
          </w:p>
        </w:tc>
        <w:tc>
          <w:tcPr>
            <w:tcW w:w="1349" w:type="dxa"/>
            <w:tcBorders>
              <w:top w:val="nil"/>
              <w:left w:val="nil"/>
              <w:bottom w:val="single" w:sz="4" w:space="0" w:color="auto"/>
              <w:right w:val="single" w:sz="4" w:space="0" w:color="auto"/>
            </w:tcBorders>
            <w:shd w:val="clear" w:color="auto" w:fill="auto"/>
            <w:noWrap/>
            <w:vAlign w:val="center"/>
          </w:tcPr>
          <w:p w14:paraId="58295C7F" w14:textId="41A72CF9" w:rsidR="00BA4BEB" w:rsidRPr="00B274F0" w:rsidRDefault="00BA4BEB" w:rsidP="00F842FC">
            <w:pPr>
              <w:jc w:val="center"/>
              <w:rPr>
                <w:rFonts w:asciiTheme="majorHAnsi" w:eastAsia="Times New Roman" w:hAnsiTheme="majorHAnsi" w:cstheme="majorHAnsi"/>
                <w:sz w:val="22"/>
                <w:szCs w:val="22"/>
                <w:lang w:eastAsia="sk-SK"/>
              </w:rPr>
            </w:pPr>
            <w:r w:rsidRPr="00B274F0">
              <w:rPr>
                <w:rFonts w:asciiTheme="majorHAnsi" w:eastAsia="Times New Roman" w:hAnsiTheme="majorHAnsi" w:cstheme="majorHAnsi"/>
                <w:sz w:val="22"/>
                <w:szCs w:val="22"/>
                <w:lang w:eastAsia="sk-SK"/>
              </w:rPr>
              <w:t>2</w:t>
            </w:r>
          </w:p>
        </w:tc>
        <w:tc>
          <w:tcPr>
            <w:tcW w:w="1347" w:type="dxa"/>
            <w:tcBorders>
              <w:top w:val="nil"/>
              <w:left w:val="single" w:sz="8" w:space="0" w:color="auto"/>
              <w:bottom w:val="single" w:sz="4" w:space="0" w:color="auto"/>
              <w:right w:val="single" w:sz="8" w:space="0" w:color="auto"/>
            </w:tcBorders>
          </w:tcPr>
          <w:p w14:paraId="66938017" w14:textId="5CF43E20" w:rsidR="00BA4BEB" w:rsidRPr="00B274F0" w:rsidRDefault="00BA4BEB" w:rsidP="00F842FC">
            <w:pPr>
              <w:jc w:val="center"/>
              <w:rPr>
                <w:rFonts w:asciiTheme="majorHAnsi" w:eastAsia="Times New Roman" w:hAnsiTheme="majorHAnsi" w:cstheme="majorHAnsi"/>
                <w:bCs/>
                <w:sz w:val="22"/>
                <w:szCs w:val="22"/>
                <w:lang w:eastAsia="sk-SK"/>
              </w:rPr>
            </w:pPr>
          </w:p>
        </w:tc>
        <w:tc>
          <w:tcPr>
            <w:tcW w:w="1347" w:type="dxa"/>
            <w:tcBorders>
              <w:top w:val="nil"/>
              <w:left w:val="single" w:sz="8" w:space="0" w:color="auto"/>
              <w:bottom w:val="single" w:sz="4" w:space="0" w:color="auto"/>
              <w:right w:val="single" w:sz="8" w:space="0" w:color="auto"/>
            </w:tcBorders>
          </w:tcPr>
          <w:p w14:paraId="7D59D167" w14:textId="53A11AF1" w:rsidR="00BA4BEB" w:rsidRPr="00B274F0" w:rsidRDefault="00BA4BEB" w:rsidP="00F842FC">
            <w:pPr>
              <w:jc w:val="center"/>
              <w:rPr>
                <w:rFonts w:asciiTheme="majorHAnsi" w:eastAsia="Times New Roman" w:hAnsiTheme="majorHAnsi" w:cstheme="majorHAnsi"/>
                <w:bCs/>
                <w:sz w:val="22"/>
                <w:szCs w:val="22"/>
                <w:lang w:eastAsia="sk-SK"/>
              </w:rPr>
            </w:pPr>
          </w:p>
        </w:tc>
        <w:tc>
          <w:tcPr>
            <w:tcW w:w="1339" w:type="dxa"/>
            <w:tcBorders>
              <w:top w:val="nil"/>
              <w:left w:val="single" w:sz="8" w:space="0" w:color="auto"/>
              <w:bottom w:val="single" w:sz="4" w:space="0" w:color="auto"/>
              <w:right w:val="single" w:sz="8" w:space="0" w:color="auto"/>
            </w:tcBorders>
            <w:shd w:val="clear" w:color="auto" w:fill="EEECE1" w:themeFill="background2"/>
            <w:noWrap/>
            <w:vAlign w:val="center"/>
          </w:tcPr>
          <w:p w14:paraId="45CE601C" w14:textId="4575143D" w:rsidR="00BA4BEB" w:rsidRPr="00B274F0" w:rsidRDefault="00BA4BEB" w:rsidP="00F842FC">
            <w:pPr>
              <w:jc w:val="center"/>
              <w:rPr>
                <w:rFonts w:asciiTheme="majorHAnsi" w:eastAsia="Times New Roman" w:hAnsiTheme="majorHAnsi" w:cstheme="majorHAnsi"/>
                <w:b/>
                <w:bCs/>
                <w:sz w:val="22"/>
                <w:szCs w:val="22"/>
                <w:lang w:eastAsia="sk-SK"/>
              </w:rPr>
            </w:pPr>
            <w:r w:rsidRPr="00B274F0">
              <w:rPr>
                <w:rFonts w:asciiTheme="majorHAnsi" w:eastAsia="Times New Roman" w:hAnsiTheme="majorHAnsi" w:cstheme="majorHAnsi"/>
                <w:b/>
                <w:bCs/>
                <w:sz w:val="22"/>
                <w:szCs w:val="22"/>
                <w:lang w:eastAsia="sk-SK"/>
              </w:rPr>
              <w:t>6</w:t>
            </w:r>
          </w:p>
        </w:tc>
      </w:tr>
      <w:tr w:rsidR="00BA4BEB" w:rsidRPr="00B274F0" w14:paraId="42048ECD" w14:textId="77777777" w:rsidTr="00B274F0">
        <w:trPr>
          <w:trHeight w:val="20"/>
        </w:trPr>
        <w:tc>
          <w:tcPr>
            <w:tcW w:w="851" w:type="dxa"/>
            <w:tcBorders>
              <w:top w:val="nil"/>
              <w:left w:val="single" w:sz="8" w:space="0" w:color="auto"/>
              <w:bottom w:val="single" w:sz="4" w:space="0" w:color="auto"/>
              <w:right w:val="single" w:sz="8" w:space="0" w:color="auto"/>
            </w:tcBorders>
            <w:shd w:val="clear" w:color="auto" w:fill="auto"/>
            <w:noWrap/>
          </w:tcPr>
          <w:p w14:paraId="1853F9BF" w14:textId="0E223C6B" w:rsidR="00BA4BEB" w:rsidRPr="00B274F0" w:rsidRDefault="00BA4BEB" w:rsidP="00F842FC">
            <w:pPr>
              <w:rPr>
                <w:rFonts w:eastAsia="Times New Roman" w:cs="Calibri"/>
                <w:b/>
                <w:bCs/>
                <w:sz w:val="22"/>
                <w:szCs w:val="22"/>
                <w:lang w:eastAsia="sk-SK"/>
              </w:rPr>
            </w:pPr>
            <w:r w:rsidRPr="00B274F0">
              <w:rPr>
                <w:rFonts w:eastAsia="Times New Roman" w:cs="Calibri"/>
                <w:b/>
                <w:bCs/>
                <w:sz w:val="22"/>
                <w:szCs w:val="22"/>
                <w:lang w:eastAsia="sk-SK"/>
              </w:rPr>
              <w:t>FCHPT</w:t>
            </w:r>
          </w:p>
        </w:tc>
        <w:tc>
          <w:tcPr>
            <w:tcW w:w="1349" w:type="dxa"/>
            <w:tcBorders>
              <w:top w:val="nil"/>
              <w:left w:val="nil"/>
              <w:bottom w:val="single" w:sz="4" w:space="0" w:color="auto"/>
              <w:right w:val="single" w:sz="4" w:space="0" w:color="auto"/>
            </w:tcBorders>
            <w:shd w:val="clear" w:color="auto" w:fill="auto"/>
            <w:noWrap/>
            <w:vAlign w:val="center"/>
          </w:tcPr>
          <w:p w14:paraId="68A0CD54" w14:textId="37964273" w:rsidR="00BA4BEB" w:rsidRPr="00B274F0" w:rsidRDefault="00BA4BEB" w:rsidP="00F842FC">
            <w:pPr>
              <w:jc w:val="center"/>
              <w:rPr>
                <w:rFonts w:asciiTheme="majorHAnsi" w:eastAsia="Times New Roman" w:hAnsiTheme="majorHAnsi" w:cstheme="majorHAnsi"/>
                <w:sz w:val="22"/>
                <w:szCs w:val="22"/>
                <w:lang w:eastAsia="sk-SK"/>
              </w:rPr>
            </w:pPr>
            <w:r w:rsidRPr="00B274F0">
              <w:rPr>
                <w:rFonts w:asciiTheme="majorHAnsi" w:eastAsia="Times New Roman" w:hAnsiTheme="majorHAnsi" w:cstheme="majorHAnsi"/>
                <w:sz w:val="22"/>
                <w:szCs w:val="22"/>
                <w:lang w:eastAsia="sk-SK"/>
              </w:rPr>
              <w:t>4</w:t>
            </w:r>
          </w:p>
        </w:tc>
        <w:tc>
          <w:tcPr>
            <w:tcW w:w="1349" w:type="dxa"/>
            <w:tcBorders>
              <w:top w:val="nil"/>
              <w:left w:val="nil"/>
              <w:bottom w:val="single" w:sz="4" w:space="0" w:color="auto"/>
              <w:right w:val="single" w:sz="4" w:space="0" w:color="auto"/>
            </w:tcBorders>
            <w:shd w:val="clear" w:color="auto" w:fill="auto"/>
            <w:noWrap/>
            <w:vAlign w:val="center"/>
          </w:tcPr>
          <w:p w14:paraId="7BF21183" w14:textId="77777777" w:rsidR="00BA4BEB" w:rsidRPr="00B274F0" w:rsidRDefault="00BA4BEB" w:rsidP="00F842FC">
            <w:pPr>
              <w:jc w:val="center"/>
              <w:rPr>
                <w:rFonts w:asciiTheme="majorHAnsi" w:eastAsia="Times New Roman" w:hAnsiTheme="majorHAnsi" w:cstheme="majorHAnsi"/>
                <w:sz w:val="22"/>
                <w:szCs w:val="22"/>
                <w:lang w:eastAsia="sk-SK"/>
              </w:rPr>
            </w:pPr>
          </w:p>
        </w:tc>
        <w:tc>
          <w:tcPr>
            <w:tcW w:w="1349" w:type="dxa"/>
            <w:tcBorders>
              <w:top w:val="nil"/>
              <w:left w:val="nil"/>
              <w:bottom w:val="single" w:sz="4" w:space="0" w:color="auto"/>
              <w:right w:val="single" w:sz="4" w:space="0" w:color="auto"/>
            </w:tcBorders>
            <w:shd w:val="clear" w:color="auto" w:fill="auto"/>
            <w:noWrap/>
            <w:vAlign w:val="center"/>
          </w:tcPr>
          <w:p w14:paraId="1096D46A" w14:textId="77777777" w:rsidR="00BA4BEB" w:rsidRPr="00B274F0" w:rsidRDefault="00BA4BEB" w:rsidP="00F842FC">
            <w:pPr>
              <w:jc w:val="center"/>
              <w:rPr>
                <w:rFonts w:asciiTheme="majorHAnsi" w:eastAsia="Times New Roman" w:hAnsiTheme="majorHAnsi" w:cstheme="majorHAnsi"/>
                <w:sz w:val="22"/>
                <w:szCs w:val="22"/>
                <w:lang w:eastAsia="sk-SK"/>
              </w:rPr>
            </w:pPr>
          </w:p>
        </w:tc>
        <w:tc>
          <w:tcPr>
            <w:tcW w:w="1347" w:type="dxa"/>
            <w:tcBorders>
              <w:top w:val="nil"/>
              <w:left w:val="single" w:sz="8" w:space="0" w:color="auto"/>
              <w:bottom w:val="single" w:sz="4" w:space="0" w:color="auto"/>
              <w:right w:val="single" w:sz="8" w:space="0" w:color="auto"/>
            </w:tcBorders>
          </w:tcPr>
          <w:p w14:paraId="4F547543" w14:textId="22A696D4" w:rsidR="00BA4BEB" w:rsidRPr="00B274F0" w:rsidRDefault="00BA4BEB" w:rsidP="00F842FC">
            <w:pPr>
              <w:jc w:val="center"/>
              <w:rPr>
                <w:rFonts w:asciiTheme="majorHAnsi" w:eastAsia="Times New Roman" w:hAnsiTheme="majorHAnsi" w:cstheme="majorHAnsi"/>
                <w:bCs/>
                <w:sz w:val="22"/>
                <w:szCs w:val="22"/>
                <w:lang w:eastAsia="sk-SK"/>
              </w:rPr>
            </w:pPr>
          </w:p>
        </w:tc>
        <w:tc>
          <w:tcPr>
            <w:tcW w:w="1347" w:type="dxa"/>
            <w:tcBorders>
              <w:top w:val="nil"/>
              <w:left w:val="single" w:sz="8" w:space="0" w:color="auto"/>
              <w:bottom w:val="single" w:sz="4" w:space="0" w:color="auto"/>
              <w:right w:val="single" w:sz="8" w:space="0" w:color="auto"/>
            </w:tcBorders>
          </w:tcPr>
          <w:p w14:paraId="53A8D568" w14:textId="43A5EBD0" w:rsidR="00BA4BEB" w:rsidRPr="00B274F0" w:rsidRDefault="00BA4BEB" w:rsidP="00F842FC">
            <w:pPr>
              <w:jc w:val="center"/>
              <w:rPr>
                <w:rFonts w:asciiTheme="majorHAnsi" w:eastAsia="Times New Roman" w:hAnsiTheme="majorHAnsi" w:cstheme="majorHAnsi"/>
                <w:bCs/>
                <w:sz w:val="22"/>
                <w:szCs w:val="22"/>
                <w:lang w:eastAsia="sk-SK"/>
              </w:rPr>
            </w:pPr>
          </w:p>
        </w:tc>
        <w:tc>
          <w:tcPr>
            <w:tcW w:w="1339" w:type="dxa"/>
            <w:tcBorders>
              <w:top w:val="nil"/>
              <w:left w:val="single" w:sz="8" w:space="0" w:color="auto"/>
              <w:bottom w:val="single" w:sz="4" w:space="0" w:color="auto"/>
              <w:right w:val="single" w:sz="8" w:space="0" w:color="auto"/>
            </w:tcBorders>
            <w:shd w:val="clear" w:color="auto" w:fill="EEECE1" w:themeFill="background2"/>
            <w:noWrap/>
            <w:vAlign w:val="center"/>
          </w:tcPr>
          <w:p w14:paraId="055FA9DF" w14:textId="1A800AE6" w:rsidR="00BA4BEB" w:rsidRPr="00B274F0" w:rsidRDefault="00BA4BEB" w:rsidP="00F842FC">
            <w:pPr>
              <w:jc w:val="center"/>
              <w:rPr>
                <w:rFonts w:asciiTheme="majorHAnsi" w:eastAsia="Times New Roman" w:hAnsiTheme="majorHAnsi" w:cstheme="majorHAnsi"/>
                <w:b/>
                <w:bCs/>
                <w:sz w:val="22"/>
                <w:szCs w:val="22"/>
                <w:lang w:eastAsia="sk-SK"/>
              </w:rPr>
            </w:pPr>
            <w:r w:rsidRPr="00B274F0">
              <w:rPr>
                <w:rFonts w:asciiTheme="majorHAnsi" w:eastAsia="Times New Roman" w:hAnsiTheme="majorHAnsi" w:cstheme="majorHAnsi"/>
                <w:b/>
                <w:bCs/>
                <w:sz w:val="22"/>
                <w:szCs w:val="22"/>
                <w:lang w:eastAsia="sk-SK"/>
              </w:rPr>
              <w:t>4</w:t>
            </w:r>
          </w:p>
        </w:tc>
      </w:tr>
      <w:tr w:rsidR="00BA4BEB" w:rsidRPr="00B274F0" w14:paraId="75881028" w14:textId="77777777" w:rsidTr="00B274F0">
        <w:trPr>
          <w:trHeight w:val="20"/>
        </w:trPr>
        <w:tc>
          <w:tcPr>
            <w:tcW w:w="851" w:type="dxa"/>
            <w:tcBorders>
              <w:top w:val="nil"/>
              <w:left w:val="single" w:sz="8" w:space="0" w:color="auto"/>
              <w:bottom w:val="single" w:sz="4" w:space="0" w:color="auto"/>
              <w:right w:val="single" w:sz="8" w:space="0" w:color="auto"/>
            </w:tcBorders>
            <w:shd w:val="clear" w:color="auto" w:fill="auto"/>
            <w:noWrap/>
          </w:tcPr>
          <w:p w14:paraId="761B27C9" w14:textId="48BF340A" w:rsidR="00BA4BEB" w:rsidRPr="00B274F0" w:rsidRDefault="00BA4BEB" w:rsidP="00F842FC">
            <w:pPr>
              <w:rPr>
                <w:rFonts w:eastAsia="Times New Roman" w:cs="Calibri"/>
                <w:b/>
                <w:bCs/>
                <w:sz w:val="22"/>
                <w:szCs w:val="22"/>
                <w:lang w:eastAsia="sk-SK"/>
              </w:rPr>
            </w:pPr>
            <w:r w:rsidRPr="00B274F0">
              <w:rPr>
                <w:rFonts w:eastAsia="Times New Roman" w:cs="Calibri"/>
                <w:b/>
                <w:bCs/>
                <w:sz w:val="22"/>
                <w:szCs w:val="22"/>
                <w:lang w:eastAsia="sk-SK"/>
              </w:rPr>
              <w:t>ÚM</w:t>
            </w:r>
          </w:p>
        </w:tc>
        <w:tc>
          <w:tcPr>
            <w:tcW w:w="1349" w:type="dxa"/>
            <w:tcBorders>
              <w:top w:val="nil"/>
              <w:left w:val="nil"/>
              <w:bottom w:val="single" w:sz="4" w:space="0" w:color="auto"/>
              <w:right w:val="single" w:sz="4" w:space="0" w:color="auto"/>
            </w:tcBorders>
            <w:shd w:val="clear" w:color="auto" w:fill="auto"/>
            <w:noWrap/>
            <w:vAlign w:val="center"/>
          </w:tcPr>
          <w:p w14:paraId="0AD24B46" w14:textId="77777777" w:rsidR="00BA4BEB" w:rsidRPr="00B274F0" w:rsidRDefault="00BA4BEB" w:rsidP="00F842FC">
            <w:pPr>
              <w:jc w:val="center"/>
              <w:rPr>
                <w:rFonts w:asciiTheme="majorHAnsi" w:eastAsia="Times New Roman" w:hAnsiTheme="majorHAnsi" w:cstheme="majorHAnsi"/>
                <w:sz w:val="22"/>
                <w:szCs w:val="22"/>
                <w:lang w:eastAsia="sk-SK"/>
              </w:rPr>
            </w:pPr>
          </w:p>
        </w:tc>
        <w:tc>
          <w:tcPr>
            <w:tcW w:w="1349" w:type="dxa"/>
            <w:tcBorders>
              <w:top w:val="nil"/>
              <w:left w:val="nil"/>
              <w:bottom w:val="single" w:sz="4" w:space="0" w:color="auto"/>
              <w:right w:val="single" w:sz="4" w:space="0" w:color="auto"/>
            </w:tcBorders>
            <w:shd w:val="clear" w:color="auto" w:fill="auto"/>
            <w:noWrap/>
            <w:vAlign w:val="center"/>
          </w:tcPr>
          <w:p w14:paraId="409E7CA5" w14:textId="77777777" w:rsidR="00BA4BEB" w:rsidRPr="00B274F0" w:rsidRDefault="00BA4BEB" w:rsidP="00F842FC">
            <w:pPr>
              <w:jc w:val="center"/>
              <w:rPr>
                <w:rFonts w:asciiTheme="majorHAnsi" w:eastAsia="Times New Roman" w:hAnsiTheme="majorHAnsi" w:cstheme="majorHAnsi"/>
                <w:sz w:val="22"/>
                <w:szCs w:val="22"/>
                <w:lang w:eastAsia="sk-SK"/>
              </w:rPr>
            </w:pPr>
          </w:p>
        </w:tc>
        <w:tc>
          <w:tcPr>
            <w:tcW w:w="1349" w:type="dxa"/>
            <w:tcBorders>
              <w:top w:val="nil"/>
              <w:left w:val="nil"/>
              <w:bottom w:val="single" w:sz="4" w:space="0" w:color="auto"/>
              <w:right w:val="single" w:sz="4" w:space="0" w:color="auto"/>
            </w:tcBorders>
            <w:shd w:val="clear" w:color="auto" w:fill="auto"/>
            <w:noWrap/>
            <w:vAlign w:val="center"/>
          </w:tcPr>
          <w:p w14:paraId="1B2092F8" w14:textId="77777777" w:rsidR="00BA4BEB" w:rsidRPr="00B274F0" w:rsidRDefault="00BA4BEB" w:rsidP="00F842FC">
            <w:pPr>
              <w:jc w:val="center"/>
              <w:rPr>
                <w:rFonts w:asciiTheme="majorHAnsi" w:eastAsia="Times New Roman" w:hAnsiTheme="majorHAnsi" w:cstheme="majorHAnsi"/>
                <w:sz w:val="22"/>
                <w:szCs w:val="22"/>
                <w:lang w:eastAsia="sk-SK"/>
              </w:rPr>
            </w:pPr>
          </w:p>
        </w:tc>
        <w:tc>
          <w:tcPr>
            <w:tcW w:w="1347" w:type="dxa"/>
            <w:tcBorders>
              <w:top w:val="nil"/>
              <w:left w:val="single" w:sz="8" w:space="0" w:color="auto"/>
              <w:bottom w:val="single" w:sz="4" w:space="0" w:color="auto"/>
              <w:right w:val="single" w:sz="8" w:space="0" w:color="auto"/>
            </w:tcBorders>
          </w:tcPr>
          <w:p w14:paraId="2D97ED9A" w14:textId="77777777" w:rsidR="00BA4BEB" w:rsidRPr="00B274F0" w:rsidRDefault="00BA4BEB" w:rsidP="00F842FC">
            <w:pPr>
              <w:jc w:val="center"/>
              <w:rPr>
                <w:rFonts w:asciiTheme="majorHAnsi" w:eastAsia="Times New Roman" w:hAnsiTheme="majorHAnsi" w:cstheme="majorHAnsi"/>
                <w:bCs/>
                <w:sz w:val="22"/>
                <w:szCs w:val="22"/>
                <w:lang w:eastAsia="sk-SK"/>
              </w:rPr>
            </w:pPr>
          </w:p>
        </w:tc>
        <w:tc>
          <w:tcPr>
            <w:tcW w:w="1347" w:type="dxa"/>
            <w:tcBorders>
              <w:top w:val="nil"/>
              <w:left w:val="single" w:sz="8" w:space="0" w:color="auto"/>
              <w:bottom w:val="single" w:sz="4" w:space="0" w:color="auto"/>
              <w:right w:val="single" w:sz="8" w:space="0" w:color="auto"/>
            </w:tcBorders>
          </w:tcPr>
          <w:p w14:paraId="388307D6" w14:textId="3D2EDA38" w:rsidR="00BA4BEB" w:rsidRPr="00B274F0" w:rsidRDefault="00BA4BEB" w:rsidP="00F842FC">
            <w:pPr>
              <w:jc w:val="center"/>
              <w:rPr>
                <w:rFonts w:asciiTheme="majorHAnsi" w:eastAsia="Times New Roman" w:hAnsiTheme="majorHAnsi" w:cstheme="majorHAnsi"/>
                <w:bCs/>
                <w:sz w:val="22"/>
                <w:szCs w:val="22"/>
                <w:lang w:eastAsia="sk-SK"/>
              </w:rPr>
            </w:pPr>
            <w:r w:rsidRPr="00B274F0">
              <w:rPr>
                <w:rFonts w:asciiTheme="majorHAnsi" w:eastAsia="Times New Roman" w:hAnsiTheme="majorHAnsi" w:cstheme="majorHAnsi"/>
                <w:bCs/>
                <w:sz w:val="22"/>
                <w:szCs w:val="22"/>
                <w:lang w:eastAsia="sk-SK"/>
              </w:rPr>
              <w:t>2</w:t>
            </w:r>
          </w:p>
        </w:tc>
        <w:tc>
          <w:tcPr>
            <w:tcW w:w="1339" w:type="dxa"/>
            <w:tcBorders>
              <w:top w:val="nil"/>
              <w:left w:val="single" w:sz="8" w:space="0" w:color="auto"/>
              <w:bottom w:val="single" w:sz="4" w:space="0" w:color="auto"/>
              <w:right w:val="single" w:sz="8" w:space="0" w:color="auto"/>
            </w:tcBorders>
            <w:shd w:val="clear" w:color="auto" w:fill="EEECE1" w:themeFill="background2"/>
            <w:noWrap/>
            <w:vAlign w:val="center"/>
          </w:tcPr>
          <w:p w14:paraId="15D05CE2" w14:textId="44CC698E" w:rsidR="00BA4BEB" w:rsidRPr="00B274F0" w:rsidRDefault="003731FD" w:rsidP="00F842FC">
            <w:pPr>
              <w:jc w:val="center"/>
              <w:rPr>
                <w:rFonts w:asciiTheme="majorHAnsi" w:eastAsia="Times New Roman" w:hAnsiTheme="majorHAnsi" w:cstheme="majorHAnsi"/>
                <w:b/>
                <w:bCs/>
                <w:sz w:val="22"/>
                <w:szCs w:val="22"/>
                <w:lang w:eastAsia="sk-SK"/>
              </w:rPr>
            </w:pPr>
            <w:r w:rsidRPr="00B274F0">
              <w:rPr>
                <w:rFonts w:asciiTheme="majorHAnsi" w:eastAsia="Times New Roman" w:hAnsiTheme="majorHAnsi" w:cstheme="majorHAnsi"/>
                <w:b/>
                <w:bCs/>
                <w:sz w:val="22"/>
                <w:szCs w:val="22"/>
                <w:lang w:eastAsia="sk-SK"/>
              </w:rPr>
              <w:t>2</w:t>
            </w:r>
          </w:p>
        </w:tc>
      </w:tr>
      <w:tr w:rsidR="00BA4BEB" w:rsidRPr="00B274F0" w14:paraId="17531204" w14:textId="77777777" w:rsidTr="00B274F0">
        <w:trPr>
          <w:trHeight w:val="20"/>
        </w:trPr>
        <w:tc>
          <w:tcPr>
            <w:tcW w:w="851" w:type="dxa"/>
            <w:tcBorders>
              <w:top w:val="nil"/>
              <w:left w:val="single" w:sz="8" w:space="0" w:color="auto"/>
              <w:bottom w:val="single" w:sz="4" w:space="0" w:color="auto"/>
              <w:right w:val="single" w:sz="8" w:space="0" w:color="auto"/>
            </w:tcBorders>
            <w:shd w:val="clear" w:color="auto" w:fill="auto"/>
            <w:noWrap/>
          </w:tcPr>
          <w:p w14:paraId="08858587" w14:textId="0870A13A" w:rsidR="00BA4BEB" w:rsidRPr="00B274F0" w:rsidRDefault="00BA4BEB" w:rsidP="00F842FC">
            <w:pPr>
              <w:rPr>
                <w:rFonts w:eastAsia="Times New Roman" w:cs="Calibri"/>
                <w:b/>
                <w:bCs/>
                <w:sz w:val="22"/>
                <w:szCs w:val="22"/>
                <w:lang w:eastAsia="sk-SK"/>
              </w:rPr>
            </w:pPr>
            <w:r w:rsidRPr="00B274F0">
              <w:rPr>
                <w:rFonts w:eastAsia="Times New Roman" w:cs="Calibri"/>
                <w:b/>
                <w:bCs/>
                <w:sz w:val="22"/>
                <w:szCs w:val="22"/>
                <w:lang w:eastAsia="sk-SK"/>
              </w:rPr>
              <w:t>STU</w:t>
            </w:r>
          </w:p>
        </w:tc>
        <w:tc>
          <w:tcPr>
            <w:tcW w:w="1349" w:type="dxa"/>
            <w:tcBorders>
              <w:top w:val="nil"/>
              <w:left w:val="nil"/>
              <w:bottom w:val="single" w:sz="4" w:space="0" w:color="auto"/>
              <w:right w:val="single" w:sz="4" w:space="0" w:color="auto"/>
            </w:tcBorders>
            <w:shd w:val="clear" w:color="auto" w:fill="EEECE1" w:themeFill="background2"/>
            <w:noWrap/>
            <w:vAlign w:val="center"/>
          </w:tcPr>
          <w:p w14:paraId="05604D76" w14:textId="38DBB0E7" w:rsidR="00BA4BEB" w:rsidRPr="00B274F0" w:rsidRDefault="003731FD" w:rsidP="00F842FC">
            <w:pPr>
              <w:jc w:val="center"/>
              <w:rPr>
                <w:rFonts w:asciiTheme="majorHAnsi" w:eastAsia="Times New Roman" w:hAnsiTheme="majorHAnsi" w:cstheme="majorHAnsi"/>
                <w:b/>
                <w:sz w:val="22"/>
                <w:szCs w:val="22"/>
                <w:lang w:eastAsia="sk-SK"/>
              </w:rPr>
            </w:pPr>
            <w:r w:rsidRPr="00B274F0">
              <w:rPr>
                <w:rFonts w:asciiTheme="majorHAnsi" w:eastAsia="Times New Roman" w:hAnsiTheme="majorHAnsi" w:cstheme="majorHAnsi"/>
                <w:b/>
                <w:sz w:val="22"/>
                <w:szCs w:val="22"/>
                <w:lang w:eastAsia="sk-SK"/>
              </w:rPr>
              <w:t>5</w:t>
            </w:r>
          </w:p>
        </w:tc>
        <w:tc>
          <w:tcPr>
            <w:tcW w:w="1349" w:type="dxa"/>
            <w:tcBorders>
              <w:top w:val="nil"/>
              <w:left w:val="nil"/>
              <w:bottom w:val="single" w:sz="4" w:space="0" w:color="auto"/>
              <w:right w:val="single" w:sz="4" w:space="0" w:color="auto"/>
            </w:tcBorders>
            <w:shd w:val="clear" w:color="auto" w:fill="EEECE1" w:themeFill="background2"/>
            <w:noWrap/>
            <w:vAlign w:val="center"/>
          </w:tcPr>
          <w:p w14:paraId="5A884AEF" w14:textId="5F1E54CC" w:rsidR="00BA4BEB" w:rsidRPr="00B274F0" w:rsidRDefault="003731FD" w:rsidP="00F842FC">
            <w:pPr>
              <w:jc w:val="center"/>
              <w:rPr>
                <w:rFonts w:asciiTheme="majorHAnsi" w:eastAsia="Times New Roman" w:hAnsiTheme="majorHAnsi" w:cstheme="majorHAnsi"/>
                <w:b/>
                <w:sz w:val="22"/>
                <w:szCs w:val="22"/>
                <w:lang w:eastAsia="sk-SK"/>
              </w:rPr>
            </w:pPr>
            <w:r w:rsidRPr="00B274F0">
              <w:rPr>
                <w:rFonts w:asciiTheme="majorHAnsi" w:eastAsia="Times New Roman" w:hAnsiTheme="majorHAnsi" w:cstheme="majorHAnsi"/>
                <w:b/>
                <w:sz w:val="22"/>
                <w:szCs w:val="22"/>
                <w:lang w:eastAsia="sk-SK"/>
              </w:rPr>
              <w:t>3</w:t>
            </w:r>
          </w:p>
        </w:tc>
        <w:tc>
          <w:tcPr>
            <w:tcW w:w="1349" w:type="dxa"/>
            <w:tcBorders>
              <w:top w:val="nil"/>
              <w:left w:val="nil"/>
              <w:bottom w:val="single" w:sz="4" w:space="0" w:color="auto"/>
              <w:right w:val="single" w:sz="4" w:space="0" w:color="auto"/>
            </w:tcBorders>
            <w:shd w:val="clear" w:color="auto" w:fill="EEECE1" w:themeFill="background2"/>
            <w:noWrap/>
            <w:vAlign w:val="center"/>
          </w:tcPr>
          <w:p w14:paraId="39AF8CF7" w14:textId="29A80FDF" w:rsidR="00BA4BEB" w:rsidRPr="00B274F0" w:rsidRDefault="003731FD" w:rsidP="00F842FC">
            <w:pPr>
              <w:jc w:val="center"/>
              <w:rPr>
                <w:rFonts w:asciiTheme="majorHAnsi" w:eastAsia="Times New Roman" w:hAnsiTheme="majorHAnsi" w:cstheme="majorHAnsi"/>
                <w:b/>
                <w:sz w:val="22"/>
                <w:szCs w:val="22"/>
                <w:lang w:eastAsia="sk-SK"/>
              </w:rPr>
            </w:pPr>
            <w:r w:rsidRPr="00B274F0">
              <w:rPr>
                <w:rFonts w:asciiTheme="majorHAnsi" w:eastAsia="Times New Roman" w:hAnsiTheme="majorHAnsi" w:cstheme="majorHAnsi"/>
                <w:b/>
                <w:sz w:val="22"/>
                <w:szCs w:val="22"/>
                <w:lang w:eastAsia="sk-SK"/>
              </w:rPr>
              <w:t>2</w:t>
            </w:r>
          </w:p>
        </w:tc>
        <w:tc>
          <w:tcPr>
            <w:tcW w:w="1347" w:type="dxa"/>
            <w:tcBorders>
              <w:top w:val="nil"/>
              <w:left w:val="single" w:sz="8" w:space="0" w:color="auto"/>
              <w:bottom w:val="single" w:sz="4" w:space="0" w:color="auto"/>
              <w:right w:val="single" w:sz="8" w:space="0" w:color="auto"/>
            </w:tcBorders>
            <w:shd w:val="clear" w:color="auto" w:fill="EEECE1" w:themeFill="background2"/>
          </w:tcPr>
          <w:p w14:paraId="397327EA" w14:textId="2F7597DC" w:rsidR="00BA4BEB" w:rsidRPr="00B274F0" w:rsidRDefault="003731FD" w:rsidP="00F842FC">
            <w:pPr>
              <w:jc w:val="center"/>
              <w:rPr>
                <w:rFonts w:asciiTheme="majorHAnsi" w:eastAsia="Times New Roman" w:hAnsiTheme="majorHAnsi" w:cstheme="majorHAnsi"/>
                <w:b/>
                <w:bCs/>
                <w:sz w:val="22"/>
                <w:szCs w:val="22"/>
                <w:lang w:eastAsia="sk-SK"/>
              </w:rPr>
            </w:pPr>
            <w:r w:rsidRPr="00B274F0">
              <w:rPr>
                <w:rFonts w:asciiTheme="majorHAnsi" w:eastAsia="Times New Roman" w:hAnsiTheme="majorHAnsi" w:cstheme="majorHAnsi"/>
                <w:b/>
                <w:bCs/>
                <w:sz w:val="22"/>
                <w:szCs w:val="22"/>
                <w:lang w:eastAsia="sk-SK"/>
              </w:rPr>
              <w:t>1</w:t>
            </w:r>
          </w:p>
        </w:tc>
        <w:tc>
          <w:tcPr>
            <w:tcW w:w="1347" w:type="dxa"/>
            <w:tcBorders>
              <w:top w:val="nil"/>
              <w:left w:val="single" w:sz="8" w:space="0" w:color="auto"/>
              <w:bottom w:val="single" w:sz="4" w:space="0" w:color="auto"/>
              <w:right w:val="single" w:sz="8" w:space="0" w:color="auto"/>
            </w:tcBorders>
            <w:shd w:val="clear" w:color="auto" w:fill="EEECE1" w:themeFill="background2"/>
          </w:tcPr>
          <w:p w14:paraId="11CF0BBC" w14:textId="4D4F8F17" w:rsidR="00BA4BEB" w:rsidRPr="00B274F0" w:rsidRDefault="003731FD" w:rsidP="00F842FC">
            <w:pPr>
              <w:jc w:val="center"/>
              <w:rPr>
                <w:rFonts w:asciiTheme="majorHAnsi" w:eastAsia="Times New Roman" w:hAnsiTheme="majorHAnsi" w:cstheme="majorHAnsi"/>
                <w:b/>
                <w:bCs/>
                <w:sz w:val="22"/>
                <w:szCs w:val="22"/>
                <w:lang w:eastAsia="sk-SK"/>
              </w:rPr>
            </w:pPr>
            <w:r w:rsidRPr="00B274F0">
              <w:rPr>
                <w:rFonts w:asciiTheme="majorHAnsi" w:eastAsia="Times New Roman" w:hAnsiTheme="majorHAnsi" w:cstheme="majorHAnsi"/>
                <w:b/>
                <w:bCs/>
                <w:sz w:val="22"/>
                <w:szCs w:val="22"/>
                <w:lang w:eastAsia="sk-SK"/>
              </w:rPr>
              <w:t>2</w:t>
            </w:r>
          </w:p>
        </w:tc>
        <w:tc>
          <w:tcPr>
            <w:tcW w:w="1339" w:type="dxa"/>
            <w:tcBorders>
              <w:top w:val="nil"/>
              <w:left w:val="single" w:sz="8" w:space="0" w:color="auto"/>
              <w:bottom w:val="single" w:sz="4" w:space="0" w:color="auto"/>
              <w:right w:val="single" w:sz="8" w:space="0" w:color="auto"/>
            </w:tcBorders>
            <w:shd w:val="clear" w:color="auto" w:fill="EEECE1" w:themeFill="background2"/>
            <w:noWrap/>
            <w:vAlign w:val="center"/>
          </w:tcPr>
          <w:p w14:paraId="4F01E8F6" w14:textId="4DE80433" w:rsidR="00BA4BEB" w:rsidRPr="00B274F0" w:rsidRDefault="003731FD" w:rsidP="00F842FC">
            <w:pPr>
              <w:jc w:val="center"/>
              <w:rPr>
                <w:rFonts w:asciiTheme="majorHAnsi" w:eastAsia="Times New Roman" w:hAnsiTheme="majorHAnsi" w:cstheme="majorHAnsi"/>
                <w:b/>
                <w:bCs/>
                <w:sz w:val="22"/>
                <w:szCs w:val="22"/>
                <w:lang w:eastAsia="sk-SK"/>
              </w:rPr>
            </w:pPr>
            <w:r w:rsidRPr="00B274F0">
              <w:rPr>
                <w:rFonts w:asciiTheme="majorHAnsi" w:eastAsia="Times New Roman" w:hAnsiTheme="majorHAnsi" w:cstheme="majorHAnsi"/>
                <w:b/>
                <w:bCs/>
                <w:sz w:val="22"/>
                <w:szCs w:val="22"/>
                <w:lang w:eastAsia="sk-SK"/>
              </w:rPr>
              <w:t>13</w:t>
            </w:r>
          </w:p>
        </w:tc>
      </w:tr>
    </w:tbl>
    <w:p w14:paraId="15DDAC54" w14:textId="77777777" w:rsidR="00850C5E" w:rsidRDefault="00850C5E" w:rsidP="0036466F">
      <w:pPr>
        <w:tabs>
          <w:tab w:val="left" w:pos="9356"/>
        </w:tabs>
        <w:spacing w:before="120"/>
        <w:jc w:val="both"/>
        <w:rPr>
          <w:rFonts w:asciiTheme="majorHAnsi" w:hAnsiTheme="majorHAnsi" w:cstheme="majorHAnsi"/>
        </w:rPr>
      </w:pPr>
    </w:p>
    <w:p w14:paraId="08DB80A1" w14:textId="2B731007" w:rsidR="004B0BD2" w:rsidRDefault="0036466F" w:rsidP="0036466F">
      <w:pPr>
        <w:tabs>
          <w:tab w:val="left" w:pos="9356"/>
        </w:tabs>
        <w:spacing w:before="120"/>
        <w:jc w:val="both"/>
        <w:rPr>
          <w:rFonts w:asciiTheme="majorHAnsi" w:hAnsiTheme="majorHAnsi" w:cstheme="majorHAnsi"/>
        </w:rPr>
      </w:pPr>
      <w:r w:rsidRPr="0024112E">
        <w:rPr>
          <w:rFonts w:asciiTheme="majorHAnsi" w:hAnsiTheme="majorHAnsi" w:cstheme="majorHAnsi"/>
        </w:rPr>
        <w:t>Študijné programy, ktoré už STU v budúcnosti nebude ďalej uskutočňovať, neboli</w:t>
      </w:r>
      <w:r w:rsidRPr="0053555E">
        <w:rPr>
          <w:rFonts w:asciiTheme="majorHAnsi" w:hAnsiTheme="majorHAnsi" w:cstheme="majorHAnsi"/>
        </w:rPr>
        <w:t xml:space="preserve"> zosúlaďované</w:t>
      </w:r>
      <w:r>
        <w:rPr>
          <w:rFonts w:asciiTheme="majorHAnsi" w:hAnsiTheme="majorHAnsi" w:cstheme="majorHAnsi"/>
        </w:rPr>
        <w:t xml:space="preserve">. STU </w:t>
      </w:r>
      <w:r w:rsidRPr="001A22A0">
        <w:rPr>
          <w:rFonts w:asciiTheme="majorHAnsi" w:hAnsiTheme="majorHAnsi" w:cstheme="majorHAnsi"/>
          <w:b/>
        </w:rPr>
        <w:t>zrušila 109 nezosúladených študijných programov</w:t>
      </w:r>
      <w:r>
        <w:rPr>
          <w:rFonts w:asciiTheme="majorHAnsi" w:hAnsiTheme="majorHAnsi" w:cstheme="majorHAnsi"/>
        </w:rPr>
        <w:t xml:space="preserve"> v priebehu júla a augusta</w:t>
      </w:r>
      <w:r w:rsidRPr="0053555E">
        <w:rPr>
          <w:rFonts w:asciiTheme="majorHAnsi" w:hAnsiTheme="majorHAnsi" w:cstheme="majorHAnsi"/>
        </w:rPr>
        <w:t xml:space="preserve"> 2022</w:t>
      </w:r>
      <w:r w:rsidR="0014729D">
        <w:rPr>
          <w:rFonts w:asciiTheme="majorHAnsi" w:hAnsiTheme="majorHAnsi" w:cstheme="majorHAnsi"/>
        </w:rPr>
        <w:t xml:space="preserve"> </w:t>
      </w:r>
      <w:r w:rsidR="0014729D" w:rsidRPr="0014729D">
        <w:rPr>
          <w:rFonts w:asciiTheme="majorHAnsi" w:hAnsiTheme="majorHAnsi" w:cstheme="majorHAnsi"/>
          <w:sz w:val="20"/>
        </w:rPr>
        <w:t>(</w:t>
      </w:r>
      <w:r w:rsidR="0014729D" w:rsidRPr="0014729D">
        <w:rPr>
          <w:rFonts w:asciiTheme="majorHAnsi" w:hAnsiTheme="majorHAnsi" w:cstheme="majorHAnsi"/>
          <w:sz w:val="20"/>
        </w:rPr>
        <w:fldChar w:fldCharType="begin"/>
      </w:r>
      <w:r w:rsidR="0014729D" w:rsidRPr="0014729D">
        <w:rPr>
          <w:rFonts w:asciiTheme="majorHAnsi" w:hAnsiTheme="majorHAnsi" w:cstheme="majorHAnsi"/>
          <w:sz w:val="20"/>
        </w:rPr>
        <w:instrText xml:space="preserve"> REF _Ref127110965 \h  \* MERGEFORMAT </w:instrText>
      </w:r>
      <w:r w:rsidR="0014729D" w:rsidRPr="0014729D">
        <w:rPr>
          <w:rFonts w:asciiTheme="majorHAnsi" w:hAnsiTheme="majorHAnsi" w:cstheme="majorHAnsi"/>
          <w:sz w:val="20"/>
        </w:rPr>
      </w:r>
      <w:r w:rsidR="0014729D" w:rsidRPr="0014729D">
        <w:rPr>
          <w:rFonts w:asciiTheme="majorHAnsi" w:hAnsiTheme="majorHAnsi" w:cstheme="majorHAnsi"/>
          <w:sz w:val="20"/>
        </w:rPr>
        <w:fldChar w:fldCharType="separate"/>
      </w:r>
      <w:r w:rsidR="00EE1B59" w:rsidRPr="00EE1B59">
        <w:rPr>
          <w:sz w:val="20"/>
        </w:rPr>
        <w:t xml:space="preserve">Tab. č. </w:t>
      </w:r>
      <w:r w:rsidR="00EE1B59" w:rsidRPr="00EE1B59">
        <w:rPr>
          <w:noProof/>
          <w:sz w:val="20"/>
        </w:rPr>
        <w:t>57</w:t>
      </w:r>
      <w:r w:rsidR="0014729D" w:rsidRPr="0014729D">
        <w:rPr>
          <w:rFonts w:asciiTheme="majorHAnsi" w:hAnsiTheme="majorHAnsi" w:cstheme="majorHAnsi"/>
          <w:sz w:val="20"/>
        </w:rPr>
        <w:fldChar w:fldCharType="end"/>
      </w:r>
      <w:r w:rsidR="0014729D" w:rsidRPr="0014729D">
        <w:rPr>
          <w:rFonts w:asciiTheme="majorHAnsi" w:hAnsiTheme="majorHAnsi" w:cstheme="majorHAnsi"/>
          <w:sz w:val="20"/>
        </w:rPr>
        <w:t>)</w:t>
      </w:r>
      <w:r>
        <w:rPr>
          <w:rFonts w:asciiTheme="majorHAnsi" w:hAnsiTheme="majorHAnsi" w:cstheme="majorHAnsi"/>
        </w:rPr>
        <w:t xml:space="preserve"> a </w:t>
      </w:r>
      <w:r w:rsidRPr="00A72332">
        <w:rPr>
          <w:rFonts w:asciiTheme="majorHAnsi" w:hAnsiTheme="majorHAnsi" w:cstheme="majorHAnsi"/>
          <w:b/>
        </w:rPr>
        <w:t>1 študijný program</w:t>
      </w:r>
      <w:r>
        <w:rPr>
          <w:rFonts w:asciiTheme="majorHAnsi" w:hAnsiTheme="majorHAnsi" w:cstheme="majorHAnsi"/>
        </w:rPr>
        <w:t xml:space="preserve"> v decembri 2022</w:t>
      </w:r>
      <w:r w:rsidRPr="0053555E">
        <w:rPr>
          <w:rFonts w:asciiTheme="majorHAnsi" w:hAnsiTheme="majorHAnsi" w:cstheme="majorHAnsi"/>
        </w:rPr>
        <w:t xml:space="preserve">. Podrobnejšie </w:t>
      </w:r>
      <w:r w:rsidR="00E2452C">
        <w:rPr>
          <w:rFonts w:asciiTheme="majorHAnsi" w:hAnsiTheme="majorHAnsi" w:cstheme="majorHAnsi"/>
        </w:rPr>
        <w:t xml:space="preserve">sa </w:t>
      </w:r>
      <w:r w:rsidR="007129C2">
        <w:rPr>
          <w:rFonts w:asciiTheme="majorHAnsi" w:hAnsiTheme="majorHAnsi" w:cstheme="majorHAnsi"/>
        </w:rPr>
        <w:t>o procese zosúlaďovania VSK uv</w:t>
      </w:r>
      <w:r w:rsidR="00E2452C">
        <w:rPr>
          <w:rFonts w:asciiTheme="majorHAnsi" w:hAnsiTheme="majorHAnsi" w:cstheme="majorHAnsi"/>
        </w:rPr>
        <w:t>ádza</w:t>
      </w:r>
      <w:r w:rsidRPr="0053555E">
        <w:rPr>
          <w:rFonts w:asciiTheme="majorHAnsi" w:hAnsiTheme="majorHAnsi" w:cstheme="majorHAnsi"/>
        </w:rPr>
        <w:t xml:space="preserve"> v</w:t>
      </w:r>
      <w:r w:rsidR="007129C2">
        <w:rPr>
          <w:rFonts w:asciiTheme="majorHAnsi" w:hAnsiTheme="majorHAnsi" w:cstheme="majorHAnsi"/>
        </w:rPr>
        <w:t> </w:t>
      </w:r>
      <w:r w:rsidRPr="0053555E">
        <w:rPr>
          <w:rFonts w:asciiTheme="majorHAnsi" w:hAnsiTheme="majorHAnsi" w:cstheme="majorHAnsi"/>
        </w:rPr>
        <w:t xml:space="preserve">časti </w:t>
      </w:r>
      <w:r w:rsidR="00167228">
        <w:rPr>
          <w:rFonts w:asciiTheme="majorHAnsi" w:hAnsiTheme="majorHAnsi" w:cstheme="majorHAnsi"/>
          <w:u w:val="single"/>
        </w:rPr>
        <w:fldChar w:fldCharType="begin"/>
      </w:r>
      <w:r w:rsidR="00167228">
        <w:rPr>
          <w:rFonts w:asciiTheme="majorHAnsi" w:hAnsiTheme="majorHAnsi" w:cstheme="majorHAnsi"/>
        </w:rPr>
        <w:instrText xml:space="preserve"> REF _Ref127530025 \h </w:instrText>
      </w:r>
      <w:r w:rsidR="00167228">
        <w:rPr>
          <w:rFonts w:asciiTheme="majorHAnsi" w:hAnsiTheme="majorHAnsi" w:cstheme="majorHAnsi"/>
          <w:u w:val="single"/>
        </w:rPr>
      </w:r>
      <w:r w:rsidR="00167228">
        <w:rPr>
          <w:rFonts w:asciiTheme="majorHAnsi" w:hAnsiTheme="majorHAnsi" w:cstheme="majorHAnsi"/>
          <w:u w:val="single"/>
        </w:rPr>
        <w:fldChar w:fldCharType="separate"/>
      </w:r>
      <w:r w:rsidR="00EE1B59" w:rsidRPr="0053555E">
        <w:rPr>
          <w:rFonts w:cstheme="majorHAnsi"/>
          <w:shd w:val="clear" w:color="auto" w:fill="FFFFFF"/>
        </w:rPr>
        <w:t>Návrh a schvaľovanie nových študijných programov, posúdenie súladu študijných programov so štandardmi a zrušenie študijných programov</w:t>
      </w:r>
      <w:r w:rsidR="00167228">
        <w:rPr>
          <w:rFonts w:asciiTheme="majorHAnsi" w:hAnsiTheme="majorHAnsi" w:cstheme="majorHAnsi"/>
          <w:u w:val="single"/>
        </w:rPr>
        <w:fldChar w:fldCharType="end"/>
      </w:r>
      <w:r w:rsidR="00D417A9" w:rsidRPr="00D417A9">
        <w:rPr>
          <w:rFonts w:asciiTheme="majorHAnsi" w:hAnsiTheme="majorHAnsi" w:cstheme="majorHAnsi"/>
        </w:rPr>
        <w:t xml:space="preserve"> v časti </w:t>
      </w:r>
      <w:r w:rsidR="00167228">
        <w:rPr>
          <w:rFonts w:asciiTheme="majorHAnsi" w:hAnsiTheme="majorHAnsi" w:cstheme="majorHAnsi"/>
          <w:u w:val="single"/>
        </w:rPr>
        <w:fldChar w:fldCharType="begin"/>
      </w:r>
      <w:r w:rsidR="00167228">
        <w:rPr>
          <w:rFonts w:asciiTheme="majorHAnsi" w:hAnsiTheme="majorHAnsi" w:cstheme="majorHAnsi"/>
          <w:u w:val="single"/>
        </w:rPr>
        <w:instrText xml:space="preserve"> REF _Ref127530030 \r \h </w:instrText>
      </w:r>
      <w:r w:rsidR="00167228">
        <w:rPr>
          <w:rFonts w:asciiTheme="majorHAnsi" w:hAnsiTheme="majorHAnsi" w:cstheme="majorHAnsi"/>
          <w:u w:val="single"/>
        </w:rPr>
      </w:r>
      <w:r w:rsidR="00167228">
        <w:rPr>
          <w:rFonts w:asciiTheme="majorHAnsi" w:hAnsiTheme="majorHAnsi" w:cstheme="majorHAnsi"/>
          <w:u w:val="single"/>
        </w:rPr>
        <w:fldChar w:fldCharType="separate"/>
      </w:r>
      <w:r w:rsidR="00EE1B59">
        <w:rPr>
          <w:rFonts w:asciiTheme="majorHAnsi" w:hAnsiTheme="majorHAnsi" w:cstheme="majorHAnsi"/>
          <w:u w:val="single"/>
        </w:rPr>
        <w:t>12.1</w:t>
      </w:r>
      <w:r w:rsidR="00167228">
        <w:rPr>
          <w:rFonts w:asciiTheme="majorHAnsi" w:hAnsiTheme="majorHAnsi" w:cstheme="majorHAnsi"/>
          <w:u w:val="single"/>
        </w:rPr>
        <w:fldChar w:fldCharType="end"/>
      </w:r>
      <w:r w:rsidR="00167228">
        <w:rPr>
          <w:rFonts w:asciiTheme="majorHAnsi" w:hAnsiTheme="majorHAnsi" w:cstheme="majorHAnsi"/>
          <w:u w:val="single"/>
        </w:rPr>
        <w:t xml:space="preserve"> </w:t>
      </w:r>
      <w:r w:rsidRPr="0053555E">
        <w:rPr>
          <w:rFonts w:asciiTheme="majorHAnsi" w:hAnsiTheme="majorHAnsi" w:cstheme="majorHAnsi"/>
        </w:rPr>
        <w:t>tejto správy.</w:t>
      </w:r>
      <w:r>
        <w:rPr>
          <w:rFonts w:asciiTheme="majorHAnsi" w:hAnsiTheme="majorHAnsi" w:cstheme="majorHAnsi"/>
        </w:rPr>
        <w:t xml:space="preserve"> </w:t>
      </w:r>
    </w:p>
    <w:p w14:paraId="751AD97D" w14:textId="77777777" w:rsidR="0041329F" w:rsidRDefault="0036466F" w:rsidP="0036466F">
      <w:pPr>
        <w:tabs>
          <w:tab w:val="left" w:pos="9356"/>
        </w:tabs>
        <w:spacing w:before="120"/>
        <w:jc w:val="both"/>
        <w:rPr>
          <w:rFonts w:asciiTheme="majorHAnsi" w:hAnsiTheme="majorHAnsi" w:cstheme="majorHAnsi"/>
        </w:rPr>
      </w:pPr>
      <w:r>
        <w:rPr>
          <w:rFonts w:asciiTheme="majorHAnsi" w:hAnsiTheme="majorHAnsi" w:cstheme="majorHAnsi"/>
        </w:rPr>
        <w:t xml:space="preserve">STU </w:t>
      </w:r>
      <w:r w:rsidR="006F0E07">
        <w:rPr>
          <w:rFonts w:asciiTheme="majorHAnsi" w:hAnsiTheme="majorHAnsi" w:cstheme="majorHAnsi"/>
        </w:rPr>
        <w:t xml:space="preserve">pred zrušením študijných programov </w:t>
      </w:r>
      <w:r>
        <w:rPr>
          <w:rFonts w:asciiTheme="majorHAnsi" w:hAnsiTheme="majorHAnsi" w:cstheme="majorHAnsi"/>
        </w:rPr>
        <w:t>zabezpečila všetkým študentom zapísaným na </w:t>
      </w:r>
      <w:r w:rsidR="006F0E07">
        <w:rPr>
          <w:rFonts w:asciiTheme="majorHAnsi" w:hAnsiTheme="majorHAnsi" w:cstheme="majorHAnsi"/>
        </w:rPr>
        <w:t xml:space="preserve">týchto </w:t>
      </w:r>
      <w:r>
        <w:rPr>
          <w:rFonts w:asciiTheme="majorHAnsi" w:hAnsiTheme="majorHAnsi" w:cstheme="majorHAnsi"/>
        </w:rPr>
        <w:t xml:space="preserve">študijných programoch </w:t>
      </w:r>
      <w:r w:rsidRPr="00F47CE1">
        <w:rPr>
          <w:rFonts w:asciiTheme="majorHAnsi" w:hAnsiTheme="majorHAnsi" w:cstheme="majorHAnsi"/>
        </w:rPr>
        <w:t>možnosť pokračovať v štúdiu v študijnom programe uskutočňovanom v</w:t>
      </w:r>
      <w:r w:rsidR="006F0E07">
        <w:rPr>
          <w:rFonts w:asciiTheme="majorHAnsi" w:hAnsiTheme="majorHAnsi" w:cstheme="majorHAnsi"/>
        </w:rPr>
        <w:t> </w:t>
      </w:r>
      <w:r w:rsidRPr="00F47CE1">
        <w:rPr>
          <w:rFonts w:asciiTheme="majorHAnsi" w:hAnsiTheme="majorHAnsi" w:cstheme="majorHAnsi"/>
        </w:rPr>
        <w:t xml:space="preserve">rovnakom študijnom odbore na </w:t>
      </w:r>
      <w:r>
        <w:rPr>
          <w:rFonts w:asciiTheme="majorHAnsi" w:hAnsiTheme="majorHAnsi" w:cstheme="majorHAnsi"/>
        </w:rPr>
        <w:t xml:space="preserve">príslušnej fakulte alebo </w:t>
      </w:r>
      <w:r w:rsidR="00571236">
        <w:rPr>
          <w:rFonts w:asciiTheme="majorHAnsi" w:hAnsiTheme="majorHAnsi" w:cstheme="majorHAnsi"/>
        </w:rPr>
        <w:t xml:space="preserve">inej fakulte v rámci </w:t>
      </w:r>
      <w:r>
        <w:rPr>
          <w:rFonts w:asciiTheme="majorHAnsi" w:hAnsiTheme="majorHAnsi" w:cstheme="majorHAnsi"/>
        </w:rPr>
        <w:t>STU</w:t>
      </w:r>
      <w:r w:rsidRPr="00F47CE1">
        <w:rPr>
          <w:rFonts w:asciiTheme="majorHAnsi" w:hAnsiTheme="majorHAnsi" w:cstheme="majorHAnsi"/>
        </w:rPr>
        <w:t>.</w:t>
      </w:r>
      <w:r>
        <w:rPr>
          <w:rFonts w:asciiTheme="majorHAnsi" w:hAnsiTheme="majorHAnsi" w:cstheme="majorHAnsi"/>
        </w:rPr>
        <w:t xml:space="preserve"> Zmeny študijných programov boli vykonané </w:t>
      </w:r>
      <w:r w:rsidR="005D3428">
        <w:rPr>
          <w:rFonts w:asciiTheme="majorHAnsi" w:hAnsiTheme="majorHAnsi" w:cstheme="majorHAnsi"/>
        </w:rPr>
        <w:t>najmä</w:t>
      </w:r>
      <w:r>
        <w:rPr>
          <w:rFonts w:asciiTheme="majorHAnsi" w:hAnsiTheme="majorHAnsi" w:cstheme="majorHAnsi"/>
        </w:rPr>
        <w:t xml:space="preserve"> na</w:t>
      </w:r>
      <w:r w:rsidR="00571236">
        <w:rPr>
          <w:rFonts w:asciiTheme="majorHAnsi" w:hAnsiTheme="majorHAnsi" w:cstheme="majorHAnsi"/>
        </w:rPr>
        <w:t> </w:t>
      </w:r>
      <w:r>
        <w:rPr>
          <w:rFonts w:asciiTheme="majorHAnsi" w:hAnsiTheme="majorHAnsi" w:cstheme="majorHAnsi"/>
        </w:rPr>
        <w:t>začiatku akademického roka 2021/2022 alebo po</w:t>
      </w:r>
      <w:r w:rsidR="008D6236">
        <w:rPr>
          <w:rFonts w:asciiTheme="majorHAnsi" w:hAnsiTheme="majorHAnsi" w:cstheme="majorHAnsi"/>
        </w:rPr>
        <w:t> </w:t>
      </w:r>
      <w:r>
        <w:rPr>
          <w:rFonts w:asciiTheme="majorHAnsi" w:hAnsiTheme="majorHAnsi" w:cstheme="majorHAnsi"/>
        </w:rPr>
        <w:t>skončení skúškového obdobia v letnom semestri 2021/2022. Študentom boli uznané úspešne absolvované predmety z predchádzajúceho štúdia v súlade s pravidlami príslušného študijného programu, na ktorý sa zapísa</w:t>
      </w:r>
      <w:r w:rsidR="005D3428">
        <w:rPr>
          <w:rFonts w:asciiTheme="majorHAnsi" w:hAnsiTheme="majorHAnsi" w:cstheme="majorHAnsi"/>
        </w:rPr>
        <w:t>li</w:t>
      </w:r>
      <w:r>
        <w:rPr>
          <w:rFonts w:asciiTheme="majorHAnsi" w:hAnsiTheme="majorHAnsi" w:cstheme="majorHAnsi"/>
        </w:rPr>
        <w:t xml:space="preserve"> po zmene študijného programu, a v súlade so Študijným poriadkom STU. Niektorí študenti doktorandských študijných programov v externej forme štúdia možnosť pokračovať v štúdiu, ktorú im STU ponúkla, nevyužili a ich štúdium bolo skončené zrušením študijného programu podľa § 66 ods. 1 písm. g) zákona o vysokých školách.</w:t>
      </w:r>
      <w:r w:rsidR="005C0D7C">
        <w:rPr>
          <w:rFonts w:asciiTheme="majorHAnsi" w:hAnsiTheme="majorHAnsi" w:cstheme="majorHAnsi"/>
        </w:rPr>
        <w:t xml:space="preserve"> </w:t>
      </w:r>
    </w:p>
    <w:p w14:paraId="349AE547" w14:textId="7B465841" w:rsidR="0036466F" w:rsidRPr="0053555E" w:rsidRDefault="0041329F" w:rsidP="0036466F">
      <w:pPr>
        <w:tabs>
          <w:tab w:val="left" w:pos="9356"/>
        </w:tabs>
        <w:spacing w:before="120"/>
        <w:jc w:val="both"/>
        <w:rPr>
          <w:rFonts w:asciiTheme="majorHAnsi" w:hAnsiTheme="majorHAnsi" w:cstheme="majorHAnsi"/>
        </w:rPr>
      </w:pPr>
      <w:r>
        <w:rPr>
          <w:rFonts w:asciiTheme="majorHAnsi" w:hAnsiTheme="majorHAnsi" w:cstheme="majorHAnsi"/>
        </w:rPr>
        <w:lastRenderedPageBreak/>
        <w:t>Zrušením všetkých študijných programov v dvoch študijných odboroch</w:t>
      </w:r>
      <w:r w:rsidR="007F3AE8">
        <w:rPr>
          <w:rFonts w:asciiTheme="majorHAnsi" w:hAnsiTheme="majorHAnsi" w:cstheme="majorHAnsi"/>
        </w:rPr>
        <w:t xml:space="preserve"> -</w:t>
      </w:r>
      <w:r>
        <w:rPr>
          <w:rFonts w:asciiTheme="majorHAnsi" w:hAnsiTheme="majorHAnsi" w:cstheme="majorHAnsi"/>
        </w:rPr>
        <w:t xml:space="preserve"> doprava a</w:t>
      </w:r>
      <w:r w:rsidR="007F3AE8">
        <w:rPr>
          <w:rFonts w:asciiTheme="majorHAnsi" w:hAnsiTheme="majorHAnsi" w:cstheme="majorHAnsi"/>
        </w:rPr>
        <w:t> </w:t>
      </w:r>
      <w:r>
        <w:rPr>
          <w:rFonts w:asciiTheme="majorHAnsi" w:hAnsiTheme="majorHAnsi" w:cstheme="majorHAnsi"/>
        </w:rPr>
        <w:t>fyzika</w:t>
      </w:r>
      <w:r w:rsidR="007F3AE8">
        <w:rPr>
          <w:rFonts w:asciiTheme="majorHAnsi" w:hAnsiTheme="majorHAnsi" w:cstheme="majorHAnsi"/>
        </w:rPr>
        <w:t xml:space="preserve"> -</w:t>
      </w:r>
      <w:r>
        <w:rPr>
          <w:rFonts w:asciiTheme="majorHAnsi" w:hAnsiTheme="majorHAnsi" w:cstheme="majorHAnsi"/>
        </w:rPr>
        <w:t xml:space="preserve"> </w:t>
      </w:r>
      <w:r w:rsidR="005C0D7C">
        <w:rPr>
          <w:rFonts w:asciiTheme="majorHAnsi" w:hAnsiTheme="majorHAnsi" w:cstheme="majorHAnsi"/>
        </w:rPr>
        <w:t xml:space="preserve">STU prestala poskytovať vysokoškolské </w:t>
      </w:r>
      <w:r w:rsidR="00BE1E1C">
        <w:rPr>
          <w:rFonts w:asciiTheme="majorHAnsi" w:hAnsiTheme="majorHAnsi" w:cstheme="majorHAnsi"/>
        </w:rPr>
        <w:t>vzdelávanie týchto študijných odboroch</w:t>
      </w:r>
      <w:r w:rsidR="005C0D7C">
        <w:rPr>
          <w:rFonts w:asciiTheme="majorHAnsi" w:hAnsiTheme="majorHAnsi" w:cstheme="majorHAnsi"/>
        </w:rPr>
        <w:t>.</w:t>
      </w:r>
    </w:p>
    <w:p w14:paraId="2B13FFBE" w14:textId="09B38A5D" w:rsidR="00AB43C4" w:rsidRDefault="007D5786" w:rsidP="008B4F6A">
      <w:pPr>
        <w:tabs>
          <w:tab w:val="left" w:pos="9356"/>
        </w:tabs>
        <w:spacing w:before="120"/>
        <w:jc w:val="both"/>
        <w:rPr>
          <w:rFonts w:asciiTheme="majorHAnsi" w:hAnsiTheme="majorHAnsi" w:cstheme="majorHAnsi"/>
        </w:rPr>
      </w:pPr>
      <w:r>
        <w:rPr>
          <w:rFonts w:asciiTheme="majorHAnsi" w:hAnsiTheme="majorHAnsi" w:cstheme="majorHAnsi"/>
        </w:rPr>
        <w:t xml:space="preserve">V máji </w:t>
      </w:r>
      <w:r w:rsidR="00AB43C4">
        <w:rPr>
          <w:rFonts w:asciiTheme="majorHAnsi" w:hAnsiTheme="majorHAnsi" w:cstheme="majorHAnsi"/>
        </w:rPr>
        <w:t>2021 začala agentúra konanie z vlastného podnetu</w:t>
      </w:r>
      <w:r w:rsidR="00AB43C4" w:rsidRPr="00AB43C4">
        <w:t xml:space="preserve"> </w:t>
      </w:r>
      <w:r w:rsidR="00AB43C4" w:rsidRPr="00AB43C4">
        <w:rPr>
          <w:rFonts w:asciiTheme="majorHAnsi" w:hAnsiTheme="majorHAnsi" w:cstheme="majorHAnsi"/>
        </w:rPr>
        <w:t>vo veci</w:t>
      </w:r>
      <w:r w:rsidR="00AB43C4">
        <w:rPr>
          <w:rFonts w:asciiTheme="majorHAnsi" w:hAnsiTheme="majorHAnsi" w:cstheme="majorHAnsi"/>
        </w:rPr>
        <w:t xml:space="preserve"> </w:t>
      </w:r>
      <w:r w:rsidR="00AB43C4" w:rsidRPr="00AB43C4">
        <w:rPr>
          <w:rFonts w:asciiTheme="majorHAnsi" w:hAnsiTheme="majorHAnsi" w:cstheme="majorHAnsi"/>
        </w:rPr>
        <w:t xml:space="preserve">preverenia dodržiavania právnych predpisov a vnútorných predpisov </w:t>
      </w:r>
      <w:r w:rsidR="00ED64B1">
        <w:rPr>
          <w:rFonts w:asciiTheme="majorHAnsi" w:hAnsiTheme="majorHAnsi" w:cstheme="majorHAnsi"/>
        </w:rPr>
        <w:t>STU predmetom</w:t>
      </w:r>
      <w:r w:rsidR="0013777F">
        <w:rPr>
          <w:rFonts w:asciiTheme="majorHAnsi" w:hAnsiTheme="majorHAnsi" w:cstheme="majorHAnsi"/>
        </w:rPr>
        <w:t>,</w:t>
      </w:r>
      <w:r w:rsidR="00ED64B1">
        <w:rPr>
          <w:rFonts w:asciiTheme="majorHAnsi" w:hAnsiTheme="majorHAnsi" w:cstheme="majorHAnsi"/>
        </w:rPr>
        <w:t xml:space="preserve"> ktorého bolo </w:t>
      </w:r>
      <w:r w:rsidR="008B4F6A" w:rsidRPr="008B4F6A">
        <w:rPr>
          <w:rFonts w:asciiTheme="majorHAnsi" w:hAnsiTheme="majorHAnsi" w:cstheme="majorHAnsi"/>
        </w:rPr>
        <w:t>posúdenie a</w:t>
      </w:r>
      <w:r w:rsidR="008B4F6A">
        <w:rPr>
          <w:rFonts w:asciiTheme="majorHAnsi" w:hAnsiTheme="majorHAnsi" w:cstheme="majorHAnsi"/>
        </w:rPr>
        <w:t> </w:t>
      </w:r>
      <w:r w:rsidR="008B4F6A" w:rsidRPr="008B4F6A">
        <w:rPr>
          <w:rFonts w:asciiTheme="majorHAnsi" w:hAnsiTheme="majorHAnsi" w:cstheme="majorHAnsi"/>
        </w:rPr>
        <w:t xml:space="preserve">vyhodnotenie spôsobu a úrovne uskutočňovania akreditovaných študijných programov </w:t>
      </w:r>
      <w:r w:rsidR="008B4F6A">
        <w:rPr>
          <w:rFonts w:asciiTheme="majorHAnsi" w:hAnsiTheme="majorHAnsi" w:cstheme="majorHAnsi"/>
        </w:rPr>
        <w:t>tretieho</w:t>
      </w:r>
      <w:r w:rsidR="008B4F6A" w:rsidRPr="008B4F6A">
        <w:rPr>
          <w:rFonts w:asciiTheme="majorHAnsi" w:hAnsiTheme="majorHAnsi" w:cstheme="majorHAnsi"/>
        </w:rPr>
        <w:t xml:space="preserve"> stupňa vysokoškolského vzdelávania uskutočňovaných na </w:t>
      </w:r>
      <w:r w:rsidR="008B4F6A">
        <w:rPr>
          <w:rFonts w:asciiTheme="majorHAnsi" w:hAnsiTheme="majorHAnsi" w:cstheme="majorHAnsi"/>
        </w:rPr>
        <w:t>MTF</w:t>
      </w:r>
      <w:r w:rsidR="008B4F6A" w:rsidRPr="008B4F6A">
        <w:rPr>
          <w:rFonts w:asciiTheme="majorHAnsi" w:hAnsiTheme="majorHAnsi" w:cstheme="majorHAnsi"/>
        </w:rPr>
        <w:t>.</w:t>
      </w:r>
      <w:r w:rsidR="008B4F6A">
        <w:rPr>
          <w:rFonts w:asciiTheme="majorHAnsi" w:hAnsiTheme="majorHAnsi" w:cstheme="majorHAnsi"/>
        </w:rPr>
        <w:t xml:space="preserve"> </w:t>
      </w:r>
      <w:r w:rsidR="008B4F6A" w:rsidRPr="008B4F6A">
        <w:rPr>
          <w:rFonts w:asciiTheme="majorHAnsi" w:hAnsiTheme="majorHAnsi" w:cstheme="majorHAnsi"/>
        </w:rPr>
        <w:t>Agentúra na základe uznesenia výkonnej rady č. VR-46/10/2022 zo dňa 16. júna 2022 konštatovala, že v rámci konania v</w:t>
      </w:r>
      <w:r w:rsidR="009B52E3">
        <w:rPr>
          <w:rFonts w:asciiTheme="majorHAnsi" w:hAnsiTheme="majorHAnsi" w:cstheme="majorHAnsi"/>
        </w:rPr>
        <w:t> </w:t>
      </w:r>
      <w:r w:rsidR="008B4F6A" w:rsidRPr="008B4F6A">
        <w:rPr>
          <w:rFonts w:asciiTheme="majorHAnsi" w:hAnsiTheme="majorHAnsi" w:cstheme="majorHAnsi"/>
        </w:rPr>
        <w:t xml:space="preserve">predmetnej veci zistila nedostatky, ktoré sa vyskytli v predchádzajúcom období, avšak súčasne konštatovala, že </w:t>
      </w:r>
      <w:r w:rsidR="00696183">
        <w:rPr>
          <w:rFonts w:asciiTheme="majorHAnsi" w:hAnsiTheme="majorHAnsi" w:cstheme="majorHAnsi"/>
        </w:rPr>
        <w:t>STU</w:t>
      </w:r>
      <w:r w:rsidR="008B4F6A" w:rsidRPr="008B4F6A">
        <w:rPr>
          <w:rFonts w:asciiTheme="majorHAnsi" w:hAnsiTheme="majorHAnsi" w:cstheme="majorHAnsi"/>
        </w:rPr>
        <w:t xml:space="preserve"> už prijala zodpovedajúce opatrenia v</w:t>
      </w:r>
      <w:r w:rsidR="00696183">
        <w:rPr>
          <w:rFonts w:asciiTheme="majorHAnsi" w:hAnsiTheme="majorHAnsi" w:cstheme="majorHAnsi"/>
        </w:rPr>
        <w:t> </w:t>
      </w:r>
      <w:r w:rsidR="008B4F6A" w:rsidRPr="008B4F6A">
        <w:rPr>
          <w:rFonts w:asciiTheme="majorHAnsi" w:hAnsiTheme="majorHAnsi" w:cstheme="majorHAnsi"/>
        </w:rPr>
        <w:t>súvislosti</w:t>
      </w:r>
      <w:r w:rsidR="00696183">
        <w:rPr>
          <w:rFonts w:asciiTheme="majorHAnsi" w:hAnsiTheme="majorHAnsi" w:cstheme="majorHAnsi"/>
        </w:rPr>
        <w:t xml:space="preserve"> </w:t>
      </w:r>
      <w:r w:rsidR="008B4F6A" w:rsidRPr="008B4F6A">
        <w:rPr>
          <w:rFonts w:asciiTheme="majorHAnsi" w:hAnsiTheme="majorHAnsi" w:cstheme="majorHAnsi"/>
        </w:rPr>
        <w:t>s uskutočňovaním posudzovaných študijných programov</w:t>
      </w:r>
      <w:r w:rsidR="00696183">
        <w:rPr>
          <w:rFonts w:asciiTheme="majorHAnsi" w:hAnsiTheme="majorHAnsi" w:cstheme="majorHAnsi"/>
        </w:rPr>
        <w:t xml:space="preserve"> a predmetné </w:t>
      </w:r>
      <w:r w:rsidR="003B0FF7">
        <w:rPr>
          <w:rFonts w:asciiTheme="majorHAnsi" w:hAnsiTheme="majorHAnsi" w:cstheme="majorHAnsi"/>
        </w:rPr>
        <w:t>konanie</w:t>
      </w:r>
      <w:r w:rsidR="00696183">
        <w:rPr>
          <w:rFonts w:asciiTheme="majorHAnsi" w:hAnsiTheme="majorHAnsi" w:cstheme="majorHAnsi"/>
        </w:rPr>
        <w:t xml:space="preserve"> ukončila v auguste 2022</w:t>
      </w:r>
      <w:r w:rsidR="008B4F6A" w:rsidRPr="008B4F6A">
        <w:rPr>
          <w:rFonts w:asciiTheme="majorHAnsi" w:hAnsiTheme="majorHAnsi" w:cstheme="majorHAnsi"/>
        </w:rPr>
        <w:t>.</w:t>
      </w:r>
    </w:p>
    <w:p w14:paraId="6F171633" w14:textId="1D12E2D5" w:rsidR="00AB43C4" w:rsidRDefault="003B0FF7" w:rsidP="00C1186D">
      <w:pPr>
        <w:tabs>
          <w:tab w:val="left" w:pos="9356"/>
        </w:tabs>
        <w:spacing w:before="120"/>
        <w:jc w:val="both"/>
        <w:rPr>
          <w:rFonts w:asciiTheme="majorHAnsi" w:hAnsiTheme="majorHAnsi" w:cstheme="majorHAnsi"/>
        </w:rPr>
      </w:pPr>
      <w:r>
        <w:rPr>
          <w:rFonts w:asciiTheme="majorHAnsi" w:hAnsiTheme="majorHAnsi" w:cstheme="majorHAnsi"/>
        </w:rPr>
        <w:t xml:space="preserve">Súčasne </w:t>
      </w:r>
      <w:r w:rsidR="00A77B70">
        <w:rPr>
          <w:rFonts w:asciiTheme="majorHAnsi" w:hAnsiTheme="majorHAnsi" w:cstheme="majorHAnsi"/>
        </w:rPr>
        <w:t>v máji 2021 začala agentúra konanie z vlastného podnetu</w:t>
      </w:r>
      <w:r w:rsidR="00A77B70" w:rsidRPr="00A77B70">
        <w:rPr>
          <w:rFonts w:asciiTheme="majorHAnsi" w:hAnsiTheme="majorHAnsi" w:cstheme="majorHAnsi"/>
        </w:rPr>
        <w:t xml:space="preserve"> </w:t>
      </w:r>
      <w:r w:rsidR="00A77B70" w:rsidRPr="00AB43C4">
        <w:rPr>
          <w:rFonts w:asciiTheme="majorHAnsi" w:hAnsiTheme="majorHAnsi" w:cstheme="majorHAnsi"/>
        </w:rPr>
        <w:t>vo veci</w:t>
      </w:r>
      <w:r w:rsidR="00A77B70">
        <w:rPr>
          <w:rFonts w:asciiTheme="majorHAnsi" w:hAnsiTheme="majorHAnsi" w:cstheme="majorHAnsi"/>
        </w:rPr>
        <w:t xml:space="preserve"> </w:t>
      </w:r>
      <w:r w:rsidR="00A77B70" w:rsidRPr="00AB43C4">
        <w:rPr>
          <w:rFonts w:asciiTheme="majorHAnsi" w:hAnsiTheme="majorHAnsi" w:cstheme="majorHAnsi"/>
        </w:rPr>
        <w:t xml:space="preserve">preverenia dodržiavania právnych predpisov a vnútorných predpisov </w:t>
      </w:r>
      <w:r w:rsidR="00A77B70">
        <w:rPr>
          <w:rFonts w:asciiTheme="majorHAnsi" w:hAnsiTheme="majorHAnsi" w:cstheme="majorHAnsi"/>
        </w:rPr>
        <w:t>STU</w:t>
      </w:r>
      <w:r w:rsidR="0013777F">
        <w:rPr>
          <w:rFonts w:asciiTheme="majorHAnsi" w:hAnsiTheme="majorHAnsi" w:cstheme="majorHAnsi"/>
        </w:rPr>
        <w:t xml:space="preserve"> predmetom, ktorého</w:t>
      </w:r>
      <w:r w:rsidR="00854A31" w:rsidRPr="00854A31">
        <w:t xml:space="preserve"> </w:t>
      </w:r>
      <w:r w:rsidR="00434497">
        <w:t xml:space="preserve">bolo </w:t>
      </w:r>
      <w:r w:rsidR="00854A31">
        <w:t xml:space="preserve">posúdenie a vyhodnotenie </w:t>
      </w:r>
      <w:r w:rsidR="00854A31" w:rsidRPr="00854A31">
        <w:rPr>
          <w:rFonts w:asciiTheme="majorHAnsi" w:hAnsiTheme="majorHAnsi" w:cstheme="majorHAnsi"/>
        </w:rPr>
        <w:t>spôsobu a úrovne uskutočňovania akreditovaných študijných programov na</w:t>
      </w:r>
      <w:r w:rsidR="00C1186D">
        <w:rPr>
          <w:rFonts w:asciiTheme="majorHAnsi" w:hAnsiTheme="majorHAnsi" w:cstheme="majorHAnsi"/>
        </w:rPr>
        <w:t xml:space="preserve"> FIIT. Agentúra </w:t>
      </w:r>
      <w:r w:rsidR="003D1431">
        <w:rPr>
          <w:rFonts w:asciiTheme="majorHAnsi" w:hAnsiTheme="majorHAnsi" w:cstheme="majorHAnsi"/>
        </w:rPr>
        <w:t>napriek</w:t>
      </w:r>
      <w:r w:rsidR="004514F4">
        <w:rPr>
          <w:rFonts w:asciiTheme="majorHAnsi" w:hAnsiTheme="majorHAnsi" w:cstheme="majorHAnsi"/>
        </w:rPr>
        <w:t xml:space="preserve"> posudzovaniu a</w:t>
      </w:r>
      <w:r w:rsidR="003D1431">
        <w:rPr>
          <w:rFonts w:asciiTheme="majorHAnsi" w:hAnsiTheme="majorHAnsi" w:cstheme="majorHAnsi"/>
        </w:rPr>
        <w:t xml:space="preserve"> </w:t>
      </w:r>
      <w:r w:rsidR="004C23A2">
        <w:rPr>
          <w:rFonts w:asciiTheme="majorHAnsi" w:hAnsiTheme="majorHAnsi" w:cstheme="majorHAnsi"/>
        </w:rPr>
        <w:t>záverom</w:t>
      </w:r>
      <w:r w:rsidR="003D1431">
        <w:rPr>
          <w:rFonts w:asciiTheme="majorHAnsi" w:hAnsiTheme="majorHAnsi" w:cstheme="majorHAnsi"/>
        </w:rPr>
        <w:t xml:space="preserve"> pracovnej skupiny </w:t>
      </w:r>
      <w:r w:rsidR="006364AD">
        <w:rPr>
          <w:rFonts w:asciiTheme="majorHAnsi" w:hAnsiTheme="majorHAnsi" w:cstheme="majorHAnsi"/>
        </w:rPr>
        <w:t xml:space="preserve">výkonnej rady agentúry </w:t>
      </w:r>
      <w:r w:rsidR="00C1186D">
        <w:rPr>
          <w:rFonts w:asciiTheme="majorHAnsi" w:hAnsiTheme="majorHAnsi" w:cstheme="majorHAnsi"/>
        </w:rPr>
        <w:t xml:space="preserve">rozhodla o pozastavení </w:t>
      </w:r>
      <w:r w:rsidR="00483A41">
        <w:rPr>
          <w:rFonts w:asciiTheme="majorHAnsi" w:hAnsiTheme="majorHAnsi" w:cstheme="majorHAnsi"/>
        </w:rPr>
        <w:t>6</w:t>
      </w:r>
      <w:r w:rsidR="006364AD">
        <w:rPr>
          <w:rFonts w:asciiTheme="majorHAnsi" w:hAnsiTheme="majorHAnsi" w:cstheme="majorHAnsi"/>
        </w:rPr>
        <w:t xml:space="preserve"> </w:t>
      </w:r>
      <w:r w:rsidR="003D1431">
        <w:rPr>
          <w:rFonts w:asciiTheme="majorHAnsi" w:hAnsiTheme="majorHAnsi" w:cstheme="majorHAnsi"/>
        </w:rPr>
        <w:t>doktorandských</w:t>
      </w:r>
      <w:r w:rsidR="00C1186D">
        <w:rPr>
          <w:rFonts w:asciiTheme="majorHAnsi" w:hAnsiTheme="majorHAnsi" w:cstheme="majorHAnsi"/>
        </w:rPr>
        <w:t xml:space="preserve"> študijných </w:t>
      </w:r>
      <w:r w:rsidR="003D1431">
        <w:rPr>
          <w:rFonts w:asciiTheme="majorHAnsi" w:hAnsiTheme="majorHAnsi" w:cstheme="majorHAnsi"/>
        </w:rPr>
        <w:t>programov</w:t>
      </w:r>
      <w:r w:rsidR="00C1186D">
        <w:rPr>
          <w:rFonts w:asciiTheme="majorHAnsi" w:hAnsiTheme="majorHAnsi" w:cstheme="majorHAnsi"/>
        </w:rPr>
        <w:t xml:space="preserve"> na FIIT</w:t>
      </w:r>
      <w:r w:rsidR="003829D4">
        <w:rPr>
          <w:rFonts w:asciiTheme="majorHAnsi" w:hAnsiTheme="majorHAnsi" w:cstheme="majorHAnsi"/>
        </w:rPr>
        <w:t>, z toho dva</w:t>
      </w:r>
      <w:r w:rsidR="0032625F">
        <w:rPr>
          <w:rFonts w:asciiTheme="majorHAnsi" w:hAnsiTheme="majorHAnsi" w:cstheme="majorHAnsi"/>
        </w:rPr>
        <w:t xml:space="preserve"> z nich</w:t>
      </w:r>
      <w:r w:rsidR="003829D4">
        <w:rPr>
          <w:rFonts w:asciiTheme="majorHAnsi" w:hAnsiTheme="majorHAnsi" w:cstheme="majorHAnsi"/>
        </w:rPr>
        <w:t xml:space="preserve"> boli v čase doručenia rozhodnutí </w:t>
      </w:r>
      <w:r w:rsidR="0032625F">
        <w:rPr>
          <w:rFonts w:asciiTheme="majorHAnsi" w:hAnsiTheme="majorHAnsi" w:cstheme="majorHAnsi"/>
        </w:rPr>
        <w:t xml:space="preserve">agentúry </w:t>
      </w:r>
      <w:r w:rsidR="003829D4">
        <w:rPr>
          <w:rFonts w:asciiTheme="majorHAnsi" w:hAnsiTheme="majorHAnsi" w:cstheme="majorHAnsi"/>
        </w:rPr>
        <w:t>zrušené</w:t>
      </w:r>
      <w:r w:rsidR="004514F4">
        <w:rPr>
          <w:rFonts w:asciiTheme="majorHAnsi" w:hAnsiTheme="majorHAnsi" w:cstheme="majorHAnsi"/>
        </w:rPr>
        <w:t>. STU podala</w:t>
      </w:r>
      <w:r w:rsidR="003D1431">
        <w:rPr>
          <w:rFonts w:asciiTheme="majorHAnsi" w:hAnsiTheme="majorHAnsi" w:cstheme="majorHAnsi"/>
        </w:rPr>
        <w:t xml:space="preserve"> voči</w:t>
      </w:r>
      <w:r w:rsidR="0032625F">
        <w:rPr>
          <w:rFonts w:asciiTheme="majorHAnsi" w:hAnsiTheme="majorHAnsi" w:cstheme="majorHAnsi"/>
        </w:rPr>
        <w:t xml:space="preserve"> 4</w:t>
      </w:r>
      <w:r w:rsidR="003D1431">
        <w:rPr>
          <w:rFonts w:asciiTheme="majorHAnsi" w:hAnsiTheme="majorHAnsi" w:cstheme="majorHAnsi"/>
        </w:rPr>
        <w:t xml:space="preserve"> </w:t>
      </w:r>
      <w:r w:rsidR="007104EB">
        <w:rPr>
          <w:rFonts w:asciiTheme="majorHAnsi" w:hAnsiTheme="majorHAnsi" w:cstheme="majorHAnsi"/>
        </w:rPr>
        <w:t>rozhodnutiam</w:t>
      </w:r>
      <w:r w:rsidR="003D1431">
        <w:rPr>
          <w:rFonts w:asciiTheme="majorHAnsi" w:hAnsiTheme="majorHAnsi" w:cstheme="majorHAnsi"/>
        </w:rPr>
        <w:t xml:space="preserve"> </w:t>
      </w:r>
      <w:r w:rsidR="001A7617">
        <w:rPr>
          <w:rFonts w:asciiTheme="majorHAnsi" w:hAnsiTheme="majorHAnsi" w:cstheme="majorHAnsi"/>
        </w:rPr>
        <w:t xml:space="preserve">agentúry </w:t>
      </w:r>
      <w:r w:rsidR="003D1431">
        <w:rPr>
          <w:rFonts w:asciiTheme="majorHAnsi" w:hAnsiTheme="majorHAnsi" w:cstheme="majorHAnsi"/>
        </w:rPr>
        <w:t>námietk</w:t>
      </w:r>
      <w:r w:rsidR="007104EB">
        <w:rPr>
          <w:rFonts w:asciiTheme="majorHAnsi" w:hAnsiTheme="majorHAnsi" w:cstheme="majorHAnsi"/>
        </w:rPr>
        <w:t>y</w:t>
      </w:r>
      <w:r w:rsidR="003D1431">
        <w:rPr>
          <w:rFonts w:asciiTheme="majorHAnsi" w:hAnsiTheme="majorHAnsi" w:cstheme="majorHAnsi"/>
        </w:rPr>
        <w:t>.</w:t>
      </w:r>
      <w:r w:rsidR="007104EB">
        <w:rPr>
          <w:rFonts w:asciiTheme="majorHAnsi" w:hAnsiTheme="majorHAnsi" w:cstheme="majorHAnsi"/>
        </w:rPr>
        <w:t xml:space="preserve"> Konanie v predmetnej veci nebolo do konca roka 2022 ukončené.</w:t>
      </w:r>
    </w:p>
    <w:p w14:paraId="2BA35E8F" w14:textId="374CBA1D" w:rsidR="003B5AB8" w:rsidRPr="0053555E" w:rsidRDefault="00561847" w:rsidP="004C403B">
      <w:pPr>
        <w:tabs>
          <w:tab w:val="left" w:pos="9356"/>
        </w:tabs>
        <w:spacing w:before="120"/>
        <w:jc w:val="both"/>
        <w:rPr>
          <w:rFonts w:asciiTheme="majorHAnsi" w:hAnsiTheme="majorHAnsi" w:cstheme="majorHAnsi"/>
        </w:rPr>
      </w:pPr>
      <w:r w:rsidRPr="0053555E">
        <w:rPr>
          <w:rFonts w:asciiTheme="majorHAnsi" w:hAnsiTheme="majorHAnsi" w:cstheme="majorHAnsi"/>
        </w:rPr>
        <w:t>Kvantitatívny prehľad</w:t>
      </w:r>
      <w:r w:rsidR="003B5AB8" w:rsidRPr="0053555E">
        <w:rPr>
          <w:rFonts w:asciiTheme="majorHAnsi" w:hAnsiTheme="majorHAnsi" w:cstheme="majorHAnsi"/>
        </w:rPr>
        <w:t xml:space="preserve"> akreditovaných študijných programov na začiatku akademického roka </w:t>
      </w:r>
      <w:r w:rsidR="00EA24BA" w:rsidRPr="0053555E">
        <w:rPr>
          <w:rFonts w:asciiTheme="majorHAnsi" w:hAnsiTheme="majorHAnsi" w:cstheme="majorHAnsi"/>
        </w:rPr>
        <w:t>2021/2022</w:t>
      </w:r>
      <w:r w:rsidR="003B5AB8" w:rsidRPr="0053555E">
        <w:rPr>
          <w:rFonts w:asciiTheme="majorHAnsi" w:hAnsiTheme="majorHAnsi" w:cstheme="majorHAnsi"/>
        </w:rPr>
        <w:t xml:space="preserve"> a študijných programov, v ktorých bolo v akademickom roku </w:t>
      </w:r>
      <w:r w:rsidR="00EA24BA" w:rsidRPr="0053555E">
        <w:rPr>
          <w:rFonts w:asciiTheme="majorHAnsi" w:hAnsiTheme="majorHAnsi" w:cstheme="majorHAnsi"/>
        </w:rPr>
        <w:t>2021/2022</w:t>
      </w:r>
      <w:r w:rsidR="003B5AB8" w:rsidRPr="0053555E">
        <w:rPr>
          <w:rFonts w:asciiTheme="majorHAnsi" w:hAnsiTheme="majorHAnsi" w:cstheme="majorHAnsi"/>
        </w:rPr>
        <w:t xml:space="preserve"> reálne uskutočňované vysokoškolské štúdium (realizované), je uvedený v </w:t>
      </w:r>
      <w:r w:rsidR="00BA27B7" w:rsidRPr="0053555E">
        <w:rPr>
          <w:rFonts w:asciiTheme="majorHAnsi" w:hAnsiTheme="majorHAnsi" w:cstheme="majorHAnsi"/>
        </w:rPr>
        <w:t xml:space="preserve"> </w:t>
      </w:r>
      <w:r w:rsidR="001E7C97" w:rsidRPr="00CA7EEB">
        <w:rPr>
          <w:rFonts w:asciiTheme="majorHAnsi" w:hAnsiTheme="majorHAnsi" w:cstheme="majorHAnsi"/>
          <w:sz w:val="16"/>
          <w:szCs w:val="20"/>
        </w:rPr>
        <w:fldChar w:fldCharType="begin"/>
      </w:r>
      <w:r w:rsidR="001E7C97" w:rsidRPr="00CA7EEB">
        <w:rPr>
          <w:rFonts w:asciiTheme="majorHAnsi" w:hAnsiTheme="majorHAnsi" w:cstheme="majorHAnsi"/>
          <w:sz w:val="16"/>
          <w:szCs w:val="20"/>
        </w:rPr>
        <w:instrText xml:space="preserve"> REF _Ref94190768 \h  \* MERGEFORMAT </w:instrText>
      </w:r>
      <w:r w:rsidR="001E7C97" w:rsidRPr="00CA7EEB">
        <w:rPr>
          <w:rFonts w:asciiTheme="majorHAnsi" w:hAnsiTheme="majorHAnsi" w:cstheme="majorHAnsi"/>
          <w:sz w:val="16"/>
          <w:szCs w:val="20"/>
        </w:rPr>
      </w:r>
      <w:r w:rsidR="001E7C97" w:rsidRPr="00CA7EEB">
        <w:rPr>
          <w:rFonts w:asciiTheme="majorHAnsi" w:hAnsiTheme="majorHAnsi" w:cstheme="majorHAnsi"/>
          <w:sz w:val="16"/>
          <w:szCs w:val="20"/>
        </w:rPr>
        <w:fldChar w:fldCharType="separate"/>
      </w:r>
      <w:r w:rsidR="000E5EAF" w:rsidRPr="00232A93">
        <w:rPr>
          <w:rFonts w:asciiTheme="majorHAnsi" w:hAnsiTheme="majorHAnsi" w:cstheme="majorHAnsi"/>
          <w:b/>
          <w:bCs/>
        </w:rPr>
        <w:fldChar w:fldCharType="begin"/>
      </w:r>
      <w:r w:rsidR="000E5EAF" w:rsidRPr="00232A93">
        <w:rPr>
          <w:rFonts w:asciiTheme="majorHAnsi" w:hAnsiTheme="majorHAnsi" w:cstheme="majorHAnsi"/>
        </w:rPr>
        <w:instrText xml:space="preserve"> REF _Ref127189433 \h </w:instrText>
      </w:r>
      <w:r w:rsidR="000E5EAF" w:rsidRPr="00232A93">
        <w:rPr>
          <w:rFonts w:asciiTheme="majorHAnsi" w:hAnsiTheme="majorHAnsi" w:cstheme="majorHAnsi"/>
          <w:b/>
          <w:bCs/>
        </w:rPr>
        <w:instrText xml:space="preserve"> \* MERGEFORMAT </w:instrText>
      </w:r>
      <w:r w:rsidR="000E5EAF" w:rsidRPr="00232A93">
        <w:rPr>
          <w:rFonts w:asciiTheme="majorHAnsi" w:hAnsiTheme="majorHAnsi" w:cstheme="majorHAnsi"/>
          <w:b/>
          <w:bCs/>
        </w:rPr>
      </w:r>
      <w:r w:rsidR="000E5EAF" w:rsidRPr="00232A93">
        <w:rPr>
          <w:rFonts w:asciiTheme="majorHAnsi" w:hAnsiTheme="majorHAnsi" w:cstheme="majorHAnsi"/>
          <w:b/>
          <w:bCs/>
        </w:rPr>
        <w:fldChar w:fldCharType="separate"/>
      </w:r>
      <w:r w:rsidR="000E5EAF" w:rsidRPr="00232A93">
        <w:t xml:space="preserve">Tab. č. </w:t>
      </w:r>
      <w:r w:rsidR="000E5EAF" w:rsidRPr="00232A93">
        <w:rPr>
          <w:noProof/>
        </w:rPr>
        <w:t>2</w:t>
      </w:r>
      <w:r w:rsidR="000E5EAF" w:rsidRPr="00232A93">
        <w:rPr>
          <w:rFonts w:asciiTheme="majorHAnsi" w:hAnsiTheme="majorHAnsi" w:cstheme="majorHAnsi"/>
          <w:b/>
          <w:bCs/>
        </w:rPr>
        <w:fldChar w:fldCharType="end"/>
      </w:r>
      <w:r w:rsidR="00EE1B59" w:rsidRPr="00C11110">
        <w:rPr>
          <w:rFonts w:asciiTheme="majorHAnsi" w:hAnsiTheme="majorHAnsi" w:cstheme="majorHAnsi"/>
          <w:b/>
          <w:bCs/>
          <w:szCs w:val="20"/>
        </w:rPr>
        <w:t>.</w:t>
      </w:r>
      <w:r w:rsidR="001E7C97" w:rsidRPr="00CA7EEB">
        <w:rPr>
          <w:rFonts w:asciiTheme="majorHAnsi" w:hAnsiTheme="majorHAnsi" w:cstheme="majorHAnsi"/>
          <w:sz w:val="16"/>
          <w:szCs w:val="20"/>
        </w:rPr>
        <w:fldChar w:fldCharType="end"/>
      </w:r>
      <w:r w:rsidR="001E7C97" w:rsidRPr="0053555E">
        <w:rPr>
          <w:rFonts w:asciiTheme="majorHAnsi" w:hAnsiTheme="majorHAnsi" w:cstheme="majorHAnsi"/>
        </w:rPr>
        <w:t xml:space="preserve"> </w:t>
      </w:r>
      <w:r w:rsidR="00687B42" w:rsidRPr="0053555E">
        <w:rPr>
          <w:rFonts w:asciiTheme="majorHAnsi" w:hAnsiTheme="majorHAnsi" w:cstheme="majorHAnsi"/>
        </w:rPr>
        <w:t>Prehľad uvádza len </w:t>
      </w:r>
      <w:r w:rsidR="003B5AB8" w:rsidRPr="0053555E">
        <w:rPr>
          <w:rFonts w:asciiTheme="majorHAnsi" w:hAnsiTheme="majorHAnsi" w:cstheme="majorHAnsi"/>
        </w:rPr>
        <w:t xml:space="preserve">študijné programy v dennej forme štúdia </w:t>
      </w:r>
      <w:r w:rsidR="005F5714" w:rsidRPr="0053555E">
        <w:rPr>
          <w:rFonts w:asciiTheme="majorHAnsi" w:hAnsiTheme="majorHAnsi" w:cstheme="majorHAnsi"/>
        </w:rPr>
        <w:t>uskutočňovan</w:t>
      </w:r>
      <w:r w:rsidR="005F5714">
        <w:rPr>
          <w:rFonts w:asciiTheme="majorHAnsi" w:hAnsiTheme="majorHAnsi" w:cstheme="majorHAnsi"/>
        </w:rPr>
        <w:t>é</w:t>
      </w:r>
      <w:r w:rsidR="005F5714" w:rsidRPr="0053555E">
        <w:rPr>
          <w:rFonts w:asciiTheme="majorHAnsi" w:hAnsiTheme="majorHAnsi" w:cstheme="majorHAnsi"/>
        </w:rPr>
        <w:t xml:space="preserve"> </w:t>
      </w:r>
      <w:r w:rsidR="003B5AB8" w:rsidRPr="0053555E">
        <w:rPr>
          <w:rFonts w:asciiTheme="majorHAnsi" w:hAnsiTheme="majorHAnsi" w:cstheme="majorHAnsi"/>
        </w:rPr>
        <w:t>v </w:t>
      </w:r>
      <w:r w:rsidR="00F20B15" w:rsidRPr="0053555E">
        <w:rPr>
          <w:rFonts w:asciiTheme="majorHAnsi" w:hAnsiTheme="majorHAnsi" w:cstheme="majorHAnsi"/>
        </w:rPr>
        <w:t>štátnom</w:t>
      </w:r>
      <w:r w:rsidR="003B5AB8" w:rsidRPr="0053555E">
        <w:rPr>
          <w:rFonts w:asciiTheme="majorHAnsi" w:hAnsiTheme="majorHAnsi" w:cstheme="majorHAnsi"/>
        </w:rPr>
        <w:t xml:space="preserve"> jazyku.</w:t>
      </w:r>
    </w:p>
    <w:p w14:paraId="356F6F4A" w14:textId="41C93483" w:rsidR="00926804" w:rsidRPr="0053555E" w:rsidRDefault="00926804">
      <w:pPr>
        <w:rPr>
          <w:rFonts w:asciiTheme="majorHAnsi" w:hAnsiTheme="majorHAnsi" w:cstheme="majorHAnsi"/>
        </w:rPr>
      </w:pPr>
    </w:p>
    <w:p w14:paraId="0F0D2D79" w14:textId="397D2EBF" w:rsidR="003B5AB8" w:rsidRPr="0053555E" w:rsidRDefault="007E59F8" w:rsidP="000E3322">
      <w:pPr>
        <w:pStyle w:val="Popis"/>
      </w:pPr>
      <w:bookmarkStart w:id="8" w:name="_Ref127189433"/>
      <w:bookmarkStart w:id="9" w:name="_Ref31705454"/>
      <w:bookmarkStart w:id="10" w:name="_Toc127593265"/>
      <w:r w:rsidRPr="0053555E">
        <w:t xml:space="preserve">Tab. č. </w:t>
      </w:r>
      <w:r w:rsidR="007B5953">
        <w:fldChar w:fldCharType="begin"/>
      </w:r>
      <w:r w:rsidR="007B5953">
        <w:instrText xml:space="preserve"> SEQ Tab._č. \* ARABIC </w:instrText>
      </w:r>
      <w:r w:rsidR="007B5953">
        <w:fldChar w:fldCharType="separate"/>
      </w:r>
      <w:r w:rsidR="00EE1B59">
        <w:rPr>
          <w:noProof/>
        </w:rPr>
        <w:t>2</w:t>
      </w:r>
      <w:r w:rsidR="007B5953">
        <w:rPr>
          <w:noProof/>
        </w:rPr>
        <w:fldChar w:fldCharType="end"/>
      </w:r>
      <w:bookmarkEnd w:id="8"/>
      <w:r w:rsidR="00C82E39" w:rsidRPr="0053555E">
        <w:t>:</w:t>
      </w:r>
      <w:r w:rsidR="001E7C97" w:rsidRPr="0053555E">
        <w:t xml:space="preserve"> </w:t>
      </w:r>
      <w:r w:rsidR="003B5AB8" w:rsidRPr="0053555E">
        <w:t xml:space="preserve">Akreditované a reálne uskutočňované (realizované) študijné programy v štátnom jazyku v dennej forme štúdia v akademickom roku </w:t>
      </w:r>
      <w:r w:rsidR="00EA24BA" w:rsidRPr="0053555E">
        <w:t>2021/2022</w:t>
      </w:r>
      <w:bookmarkEnd w:id="9"/>
      <w:bookmarkEnd w:id="10"/>
      <w:r w:rsidR="003B5AB8" w:rsidRPr="0053555E">
        <w:t xml:space="preserve"> </w:t>
      </w:r>
    </w:p>
    <w:tbl>
      <w:tblPr>
        <w:tblW w:w="9351" w:type="dxa"/>
        <w:tblLayout w:type="fixed"/>
        <w:tblCellMar>
          <w:left w:w="70" w:type="dxa"/>
          <w:right w:w="70" w:type="dxa"/>
        </w:tblCellMar>
        <w:tblLook w:val="04A0" w:firstRow="1" w:lastRow="0" w:firstColumn="1" w:lastColumn="0" w:noHBand="0" w:noVBand="1"/>
      </w:tblPr>
      <w:tblGrid>
        <w:gridCol w:w="846"/>
        <w:gridCol w:w="956"/>
        <w:gridCol w:w="957"/>
        <w:gridCol w:w="957"/>
        <w:gridCol w:w="957"/>
        <w:gridCol w:w="956"/>
        <w:gridCol w:w="957"/>
        <w:gridCol w:w="957"/>
        <w:gridCol w:w="957"/>
        <w:gridCol w:w="851"/>
      </w:tblGrid>
      <w:tr w:rsidR="005C555B" w:rsidRPr="0053555E" w14:paraId="163D346C" w14:textId="77777777" w:rsidTr="00687B42">
        <w:trPr>
          <w:trHeight w:val="2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96284B" w14:textId="77777777" w:rsidR="005C555B" w:rsidRPr="0053555E" w:rsidRDefault="005C555B" w:rsidP="005C555B">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Súčasť STU</w:t>
            </w:r>
          </w:p>
        </w:tc>
        <w:tc>
          <w:tcPr>
            <w:tcW w:w="1913" w:type="dxa"/>
            <w:gridSpan w:val="2"/>
            <w:tcBorders>
              <w:top w:val="single" w:sz="4" w:space="0" w:color="auto"/>
              <w:left w:val="nil"/>
              <w:bottom w:val="single" w:sz="4" w:space="0" w:color="auto"/>
              <w:right w:val="single" w:sz="4" w:space="0" w:color="000000"/>
            </w:tcBorders>
            <w:shd w:val="clear" w:color="auto" w:fill="auto"/>
            <w:vAlign w:val="center"/>
            <w:hideMark/>
          </w:tcPr>
          <w:p w14:paraId="2694749A" w14:textId="77777777" w:rsidR="005C555B" w:rsidRPr="0053555E" w:rsidRDefault="005C555B" w:rsidP="005C555B">
            <w:pPr>
              <w:tabs>
                <w:tab w:val="left" w:pos="9356"/>
              </w:tabs>
              <w:jc w:val="center"/>
              <w:rPr>
                <w:rFonts w:asciiTheme="majorHAnsi" w:eastAsia="Times New Roman" w:hAnsiTheme="majorHAnsi" w:cstheme="majorHAnsi"/>
                <w:b/>
                <w:bCs/>
                <w:sz w:val="20"/>
                <w:szCs w:val="20"/>
                <w:lang w:eastAsia="sk-SK"/>
              </w:rPr>
            </w:pPr>
            <w:r w:rsidRPr="0053555E">
              <w:rPr>
                <w:rFonts w:cs="Calibri"/>
                <w:b/>
                <w:bCs/>
                <w:sz w:val="20"/>
                <w:szCs w:val="20"/>
              </w:rPr>
              <w:t>I. stupeň</w:t>
            </w:r>
          </w:p>
        </w:tc>
        <w:tc>
          <w:tcPr>
            <w:tcW w:w="1914" w:type="dxa"/>
            <w:gridSpan w:val="2"/>
            <w:tcBorders>
              <w:top w:val="single" w:sz="4" w:space="0" w:color="auto"/>
              <w:left w:val="nil"/>
              <w:bottom w:val="single" w:sz="4" w:space="0" w:color="auto"/>
              <w:right w:val="single" w:sz="4" w:space="0" w:color="000000"/>
            </w:tcBorders>
            <w:shd w:val="clear" w:color="auto" w:fill="auto"/>
            <w:vAlign w:val="center"/>
            <w:hideMark/>
          </w:tcPr>
          <w:p w14:paraId="284A09FE" w14:textId="77777777" w:rsidR="005C555B" w:rsidRPr="0053555E" w:rsidRDefault="005C555B" w:rsidP="005C555B">
            <w:pPr>
              <w:tabs>
                <w:tab w:val="left" w:pos="9356"/>
              </w:tabs>
              <w:jc w:val="center"/>
              <w:rPr>
                <w:rFonts w:asciiTheme="majorHAnsi" w:eastAsia="Times New Roman" w:hAnsiTheme="majorHAnsi" w:cstheme="majorHAnsi"/>
                <w:b/>
                <w:bCs/>
                <w:sz w:val="20"/>
                <w:szCs w:val="20"/>
                <w:lang w:eastAsia="sk-SK"/>
              </w:rPr>
            </w:pPr>
            <w:r w:rsidRPr="0053555E">
              <w:rPr>
                <w:rFonts w:cs="Calibri"/>
                <w:b/>
                <w:bCs/>
                <w:sz w:val="20"/>
                <w:szCs w:val="20"/>
              </w:rPr>
              <w:t>II. stupeň</w:t>
            </w:r>
          </w:p>
        </w:tc>
        <w:tc>
          <w:tcPr>
            <w:tcW w:w="1913" w:type="dxa"/>
            <w:gridSpan w:val="2"/>
            <w:tcBorders>
              <w:top w:val="single" w:sz="4" w:space="0" w:color="auto"/>
              <w:left w:val="nil"/>
              <w:bottom w:val="single" w:sz="4" w:space="0" w:color="auto"/>
              <w:right w:val="single" w:sz="4" w:space="0" w:color="000000"/>
            </w:tcBorders>
            <w:shd w:val="clear" w:color="auto" w:fill="auto"/>
            <w:vAlign w:val="center"/>
            <w:hideMark/>
          </w:tcPr>
          <w:p w14:paraId="3B6E2B24" w14:textId="77777777" w:rsidR="005C555B" w:rsidRPr="0053555E" w:rsidRDefault="005C555B" w:rsidP="005C555B">
            <w:pPr>
              <w:tabs>
                <w:tab w:val="left" w:pos="9356"/>
              </w:tabs>
              <w:jc w:val="center"/>
              <w:rPr>
                <w:rFonts w:asciiTheme="majorHAnsi" w:eastAsia="Times New Roman" w:hAnsiTheme="majorHAnsi" w:cstheme="majorHAnsi"/>
                <w:b/>
                <w:bCs/>
                <w:sz w:val="20"/>
                <w:szCs w:val="20"/>
                <w:lang w:eastAsia="sk-SK"/>
              </w:rPr>
            </w:pPr>
            <w:r w:rsidRPr="0053555E">
              <w:rPr>
                <w:rFonts w:cs="Calibri"/>
                <w:b/>
                <w:bCs/>
                <w:sz w:val="20"/>
                <w:szCs w:val="20"/>
              </w:rPr>
              <w:t>III. stupeň</w:t>
            </w:r>
          </w:p>
        </w:tc>
        <w:tc>
          <w:tcPr>
            <w:tcW w:w="1914" w:type="dxa"/>
            <w:gridSpan w:val="2"/>
            <w:tcBorders>
              <w:top w:val="single" w:sz="4" w:space="0" w:color="auto"/>
              <w:left w:val="nil"/>
              <w:bottom w:val="single" w:sz="4" w:space="0" w:color="auto"/>
              <w:right w:val="single" w:sz="4" w:space="0" w:color="000000"/>
            </w:tcBorders>
            <w:shd w:val="clear" w:color="auto" w:fill="auto"/>
            <w:vAlign w:val="center"/>
            <w:hideMark/>
          </w:tcPr>
          <w:p w14:paraId="0C79E411" w14:textId="77777777" w:rsidR="005C555B" w:rsidRPr="0053555E" w:rsidRDefault="005C555B" w:rsidP="005C555B">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Σ</w:t>
            </w:r>
          </w:p>
        </w:tc>
        <w:tc>
          <w:tcPr>
            <w:tcW w:w="851" w:type="dxa"/>
            <w:vMerge w:val="restart"/>
            <w:tcBorders>
              <w:top w:val="single" w:sz="4" w:space="0" w:color="auto"/>
              <w:left w:val="nil"/>
              <w:right w:val="single" w:sz="4" w:space="0" w:color="000000"/>
            </w:tcBorders>
            <w:shd w:val="clear" w:color="auto" w:fill="auto"/>
            <w:vAlign w:val="center"/>
          </w:tcPr>
          <w:p w14:paraId="3B2F0770" w14:textId="77777777" w:rsidR="005C555B" w:rsidRPr="0053555E" w:rsidRDefault="005C555B" w:rsidP="005C555B">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ŠO</w:t>
            </w:r>
          </w:p>
        </w:tc>
      </w:tr>
      <w:tr w:rsidR="003B5AB8" w:rsidRPr="0053555E" w14:paraId="3F5EF5CB" w14:textId="77777777" w:rsidTr="00687B42">
        <w:trPr>
          <w:trHeight w:val="20"/>
        </w:trPr>
        <w:tc>
          <w:tcPr>
            <w:tcW w:w="846" w:type="dxa"/>
            <w:vMerge/>
            <w:tcBorders>
              <w:left w:val="single" w:sz="4" w:space="0" w:color="auto"/>
              <w:bottom w:val="single" w:sz="4" w:space="0" w:color="auto"/>
              <w:right w:val="single" w:sz="4" w:space="0" w:color="auto"/>
            </w:tcBorders>
            <w:shd w:val="clear" w:color="auto" w:fill="auto"/>
            <w:vAlign w:val="center"/>
            <w:hideMark/>
          </w:tcPr>
          <w:p w14:paraId="4510D9D1" w14:textId="77777777" w:rsidR="003B5AB8" w:rsidRPr="0053555E" w:rsidRDefault="003B5AB8" w:rsidP="001605FB">
            <w:pPr>
              <w:tabs>
                <w:tab w:val="left" w:pos="9356"/>
              </w:tabs>
              <w:jc w:val="both"/>
              <w:rPr>
                <w:rFonts w:asciiTheme="majorHAnsi" w:eastAsia="Times New Roman" w:hAnsiTheme="majorHAnsi" w:cstheme="majorHAnsi"/>
                <w:b/>
                <w:bCs/>
                <w:sz w:val="20"/>
                <w:szCs w:val="20"/>
                <w:lang w:eastAsia="sk-SK"/>
              </w:rPr>
            </w:pPr>
          </w:p>
        </w:tc>
        <w:tc>
          <w:tcPr>
            <w:tcW w:w="956" w:type="dxa"/>
            <w:tcBorders>
              <w:top w:val="nil"/>
              <w:left w:val="nil"/>
              <w:bottom w:val="single" w:sz="4" w:space="0" w:color="auto"/>
              <w:right w:val="single" w:sz="4" w:space="0" w:color="auto"/>
            </w:tcBorders>
            <w:shd w:val="clear" w:color="auto" w:fill="auto"/>
            <w:vAlign w:val="center"/>
            <w:hideMark/>
          </w:tcPr>
          <w:p w14:paraId="328104D0" w14:textId="77777777" w:rsidR="003B5AB8" w:rsidRPr="0053555E" w:rsidRDefault="003B5AB8"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akredito</w:t>
            </w:r>
            <w:r w:rsidRPr="0053555E">
              <w:rPr>
                <w:rFonts w:asciiTheme="majorHAnsi" w:eastAsia="Times New Roman" w:hAnsiTheme="majorHAnsi" w:cstheme="majorHAnsi"/>
                <w:sz w:val="20"/>
                <w:szCs w:val="20"/>
                <w:lang w:eastAsia="sk-SK"/>
              </w:rPr>
              <w:softHyphen/>
              <w:t>vané</w:t>
            </w:r>
          </w:p>
        </w:tc>
        <w:tc>
          <w:tcPr>
            <w:tcW w:w="957" w:type="dxa"/>
            <w:tcBorders>
              <w:top w:val="nil"/>
              <w:left w:val="nil"/>
              <w:bottom w:val="single" w:sz="4" w:space="0" w:color="auto"/>
              <w:right w:val="single" w:sz="4" w:space="0" w:color="auto"/>
            </w:tcBorders>
            <w:shd w:val="clear" w:color="auto" w:fill="EEECE1" w:themeFill="background2"/>
            <w:vAlign w:val="center"/>
            <w:hideMark/>
          </w:tcPr>
          <w:p w14:paraId="1AA269E5" w14:textId="77777777" w:rsidR="003B5AB8" w:rsidRPr="0053555E" w:rsidRDefault="003B5AB8" w:rsidP="001605FB">
            <w:pPr>
              <w:jc w:val="center"/>
              <w:rPr>
                <w:rFonts w:asciiTheme="majorHAnsi" w:eastAsia="Times New Roman" w:hAnsiTheme="majorHAnsi" w:cstheme="majorHAnsi"/>
                <w:b/>
                <w:bCs/>
                <w:sz w:val="20"/>
                <w:szCs w:val="20"/>
                <w:lang w:eastAsia="sk-SK"/>
              </w:rPr>
            </w:pPr>
            <w:r w:rsidRPr="0053555E">
              <w:rPr>
                <w:rFonts w:asciiTheme="majorHAnsi" w:hAnsiTheme="majorHAnsi" w:cstheme="majorHAnsi"/>
                <w:b/>
                <w:bCs/>
                <w:sz w:val="20"/>
                <w:szCs w:val="20"/>
              </w:rPr>
              <w:t>realizo</w:t>
            </w:r>
            <w:r w:rsidRPr="0053555E">
              <w:rPr>
                <w:rFonts w:asciiTheme="majorHAnsi" w:hAnsiTheme="majorHAnsi" w:cstheme="majorHAnsi"/>
                <w:b/>
                <w:bCs/>
                <w:sz w:val="20"/>
                <w:szCs w:val="20"/>
              </w:rPr>
              <w:softHyphen/>
              <w:t>vané</w:t>
            </w:r>
          </w:p>
        </w:tc>
        <w:tc>
          <w:tcPr>
            <w:tcW w:w="957" w:type="dxa"/>
            <w:tcBorders>
              <w:top w:val="nil"/>
              <w:left w:val="nil"/>
              <w:bottom w:val="single" w:sz="4" w:space="0" w:color="auto"/>
              <w:right w:val="single" w:sz="4" w:space="0" w:color="auto"/>
            </w:tcBorders>
            <w:shd w:val="clear" w:color="auto" w:fill="auto"/>
            <w:vAlign w:val="center"/>
            <w:hideMark/>
          </w:tcPr>
          <w:p w14:paraId="63C530DC" w14:textId="77777777" w:rsidR="003B5AB8" w:rsidRPr="0053555E" w:rsidRDefault="003B5AB8"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akredito</w:t>
            </w:r>
            <w:r w:rsidRPr="0053555E">
              <w:rPr>
                <w:rFonts w:asciiTheme="majorHAnsi" w:eastAsia="Times New Roman" w:hAnsiTheme="majorHAnsi" w:cstheme="majorHAnsi"/>
                <w:sz w:val="20"/>
                <w:szCs w:val="20"/>
                <w:lang w:eastAsia="sk-SK"/>
              </w:rPr>
              <w:softHyphen/>
              <w:t>vané</w:t>
            </w:r>
          </w:p>
        </w:tc>
        <w:tc>
          <w:tcPr>
            <w:tcW w:w="957" w:type="dxa"/>
            <w:tcBorders>
              <w:top w:val="nil"/>
              <w:left w:val="nil"/>
              <w:bottom w:val="single" w:sz="4" w:space="0" w:color="auto"/>
              <w:right w:val="single" w:sz="4" w:space="0" w:color="auto"/>
            </w:tcBorders>
            <w:shd w:val="clear" w:color="auto" w:fill="EEECE1" w:themeFill="background2"/>
            <w:vAlign w:val="center"/>
            <w:hideMark/>
          </w:tcPr>
          <w:p w14:paraId="1EF04A61" w14:textId="77777777" w:rsidR="003B5AB8" w:rsidRPr="0053555E" w:rsidRDefault="003B5AB8" w:rsidP="001605FB">
            <w:pPr>
              <w:jc w:val="center"/>
              <w:rPr>
                <w:rFonts w:asciiTheme="majorHAnsi" w:eastAsia="Times New Roman" w:hAnsiTheme="majorHAnsi" w:cstheme="majorHAnsi"/>
                <w:b/>
                <w:bCs/>
                <w:sz w:val="20"/>
                <w:szCs w:val="20"/>
                <w:lang w:eastAsia="sk-SK"/>
              </w:rPr>
            </w:pPr>
            <w:r w:rsidRPr="0053555E">
              <w:rPr>
                <w:rFonts w:asciiTheme="majorHAnsi" w:hAnsiTheme="majorHAnsi" w:cstheme="majorHAnsi"/>
                <w:b/>
                <w:bCs/>
                <w:sz w:val="20"/>
                <w:szCs w:val="20"/>
              </w:rPr>
              <w:t>realizo</w:t>
            </w:r>
            <w:r w:rsidRPr="0053555E">
              <w:rPr>
                <w:rFonts w:asciiTheme="majorHAnsi" w:hAnsiTheme="majorHAnsi" w:cstheme="majorHAnsi"/>
                <w:b/>
                <w:bCs/>
                <w:sz w:val="20"/>
                <w:szCs w:val="20"/>
              </w:rPr>
              <w:softHyphen/>
              <w:t>vané</w:t>
            </w:r>
          </w:p>
        </w:tc>
        <w:tc>
          <w:tcPr>
            <w:tcW w:w="956" w:type="dxa"/>
            <w:tcBorders>
              <w:top w:val="nil"/>
              <w:left w:val="nil"/>
              <w:bottom w:val="single" w:sz="4" w:space="0" w:color="auto"/>
              <w:right w:val="single" w:sz="4" w:space="0" w:color="auto"/>
            </w:tcBorders>
            <w:shd w:val="clear" w:color="auto" w:fill="auto"/>
            <w:vAlign w:val="center"/>
            <w:hideMark/>
          </w:tcPr>
          <w:p w14:paraId="036238A5" w14:textId="77777777" w:rsidR="003B5AB8" w:rsidRPr="0053555E" w:rsidRDefault="003B5AB8"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akredito</w:t>
            </w:r>
            <w:r w:rsidRPr="0053555E">
              <w:rPr>
                <w:rFonts w:asciiTheme="majorHAnsi" w:eastAsia="Times New Roman" w:hAnsiTheme="majorHAnsi" w:cstheme="majorHAnsi"/>
                <w:sz w:val="20"/>
                <w:szCs w:val="20"/>
                <w:lang w:eastAsia="sk-SK"/>
              </w:rPr>
              <w:softHyphen/>
              <w:t>vané</w:t>
            </w:r>
          </w:p>
        </w:tc>
        <w:tc>
          <w:tcPr>
            <w:tcW w:w="957" w:type="dxa"/>
            <w:tcBorders>
              <w:top w:val="nil"/>
              <w:left w:val="nil"/>
              <w:bottom w:val="single" w:sz="4" w:space="0" w:color="auto"/>
              <w:right w:val="single" w:sz="4" w:space="0" w:color="auto"/>
            </w:tcBorders>
            <w:shd w:val="clear" w:color="auto" w:fill="EEECE1" w:themeFill="background2"/>
            <w:vAlign w:val="center"/>
            <w:hideMark/>
          </w:tcPr>
          <w:p w14:paraId="6A23B767" w14:textId="77777777" w:rsidR="003B5AB8" w:rsidRPr="0053555E" w:rsidRDefault="003B5AB8" w:rsidP="001605FB">
            <w:pPr>
              <w:jc w:val="center"/>
              <w:rPr>
                <w:rFonts w:asciiTheme="majorHAnsi" w:eastAsia="Times New Roman" w:hAnsiTheme="majorHAnsi" w:cstheme="majorHAnsi"/>
                <w:b/>
                <w:bCs/>
                <w:sz w:val="20"/>
                <w:szCs w:val="20"/>
                <w:lang w:eastAsia="sk-SK"/>
              </w:rPr>
            </w:pPr>
            <w:r w:rsidRPr="0053555E">
              <w:rPr>
                <w:rFonts w:asciiTheme="majorHAnsi" w:hAnsiTheme="majorHAnsi" w:cstheme="majorHAnsi"/>
                <w:b/>
                <w:bCs/>
                <w:sz w:val="20"/>
                <w:szCs w:val="20"/>
              </w:rPr>
              <w:t>realizo</w:t>
            </w:r>
            <w:r w:rsidRPr="0053555E">
              <w:rPr>
                <w:rFonts w:asciiTheme="majorHAnsi" w:hAnsiTheme="majorHAnsi" w:cstheme="majorHAnsi"/>
                <w:b/>
                <w:bCs/>
                <w:sz w:val="20"/>
                <w:szCs w:val="20"/>
              </w:rPr>
              <w:softHyphen/>
              <w:t>vané</w:t>
            </w:r>
          </w:p>
        </w:tc>
        <w:tc>
          <w:tcPr>
            <w:tcW w:w="957" w:type="dxa"/>
            <w:tcBorders>
              <w:top w:val="nil"/>
              <w:left w:val="nil"/>
              <w:bottom w:val="single" w:sz="4" w:space="0" w:color="auto"/>
              <w:right w:val="single" w:sz="4" w:space="0" w:color="auto"/>
            </w:tcBorders>
            <w:shd w:val="clear" w:color="auto" w:fill="auto"/>
            <w:vAlign w:val="center"/>
            <w:hideMark/>
          </w:tcPr>
          <w:p w14:paraId="773FE3B9" w14:textId="77777777" w:rsidR="003B5AB8" w:rsidRPr="0053555E" w:rsidRDefault="003B5AB8"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akredito</w:t>
            </w:r>
            <w:r w:rsidRPr="0053555E">
              <w:rPr>
                <w:rFonts w:asciiTheme="majorHAnsi" w:eastAsia="Times New Roman" w:hAnsiTheme="majorHAnsi" w:cstheme="majorHAnsi"/>
                <w:sz w:val="20"/>
                <w:szCs w:val="20"/>
                <w:lang w:eastAsia="sk-SK"/>
              </w:rPr>
              <w:softHyphen/>
              <w:t>vané</w:t>
            </w:r>
          </w:p>
        </w:tc>
        <w:tc>
          <w:tcPr>
            <w:tcW w:w="957" w:type="dxa"/>
            <w:tcBorders>
              <w:top w:val="nil"/>
              <w:left w:val="nil"/>
              <w:bottom w:val="single" w:sz="4" w:space="0" w:color="auto"/>
              <w:right w:val="single" w:sz="4" w:space="0" w:color="auto"/>
            </w:tcBorders>
            <w:shd w:val="clear" w:color="auto" w:fill="EEECE1" w:themeFill="background2"/>
            <w:vAlign w:val="center"/>
            <w:hideMark/>
          </w:tcPr>
          <w:p w14:paraId="69103354" w14:textId="77777777" w:rsidR="003B5AB8" w:rsidRPr="0053555E" w:rsidRDefault="003B5AB8" w:rsidP="001605FB">
            <w:pPr>
              <w:jc w:val="center"/>
              <w:rPr>
                <w:rFonts w:asciiTheme="majorHAnsi" w:eastAsia="Times New Roman" w:hAnsiTheme="majorHAnsi" w:cstheme="majorHAnsi"/>
                <w:b/>
                <w:bCs/>
                <w:sz w:val="20"/>
                <w:szCs w:val="20"/>
                <w:lang w:eastAsia="sk-SK"/>
              </w:rPr>
            </w:pPr>
            <w:r w:rsidRPr="0053555E">
              <w:rPr>
                <w:rFonts w:asciiTheme="majorHAnsi" w:hAnsiTheme="majorHAnsi" w:cstheme="majorHAnsi"/>
                <w:b/>
                <w:bCs/>
                <w:sz w:val="20"/>
                <w:szCs w:val="20"/>
              </w:rPr>
              <w:t>realizo</w:t>
            </w:r>
            <w:r w:rsidRPr="0053555E">
              <w:rPr>
                <w:rFonts w:asciiTheme="majorHAnsi" w:hAnsiTheme="majorHAnsi" w:cstheme="majorHAnsi"/>
                <w:b/>
                <w:bCs/>
                <w:sz w:val="20"/>
                <w:szCs w:val="20"/>
              </w:rPr>
              <w:softHyphen/>
              <w:t>vané</w:t>
            </w:r>
          </w:p>
        </w:tc>
        <w:tc>
          <w:tcPr>
            <w:tcW w:w="851" w:type="dxa"/>
            <w:vMerge/>
            <w:tcBorders>
              <w:left w:val="nil"/>
              <w:bottom w:val="single" w:sz="4" w:space="0" w:color="auto"/>
              <w:right w:val="single" w:sz="4" w:space="0" w:color="000000"/>
            </w:tcBorders>
            <w:shd w:val="clear" w:color="auto" w:fill="auto"/>
          </w:tcPr>
          <w:p w14:paraId="2D8E18ED" w14:textId="77777777" w:rsidR="003B5AB8" w:rsidRPr="0053555E" w:rsidRDefault="003B5AB8" w:rsidP="001605FB">
            <w:pPr>
              <w:jc w:val="center"/>
              <w:rPr>
                <w:rFonts w:asciiTheme="majorHAnsi" w:hAnsiTheme="majorHAnsi" w:cstheme="majorHAnsi"/>
                <w:b/>
                <w:bCs/>
                <w:sz w:val="20"/>
                <w:szCs w:val="20"/>
              </w:rPr>
            </w:pPr>
          </w:p>
        </w:tc>
      </w:tr>
      <w:tr w:rsidR="00F2303A" w:rsidRPr="0053555E" w14:paraId="3E9A55C5" w14:textId="77777777" w:rsidTr="00687B42">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9084157" w14:textId="77777777" w:rsidR="00F2303A" w:rsidRPr="0053555E" w:rsidRDefault="00F2303A" w:rsidP="00F2303A">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SvF</w:t>
            </w:r>
          </w:p>
        </w:tc>
        <w:tc>
          <w:tcPr>
            <w:tcW w:w="956" w:type="dxa"/>
            <w:tcBorders>
              <w:top w:val="nil"/>
              <w:left w:val="nil"/>
              <w:bottom w:val="single" w:sz="4" w:space="0" w:color="auto"/>
              <w:right w:val="single" w:sz="4" w:space="0" w:color="auto"/>
            </w:tcBorders>
            <w:shd w:val="clear" w:color="auto" w:fill="auto"/>
            <w:noWrap/>
            <w:vAlign w:val="center"/>
            <w:hideMark/>
          </w:tcPr>
          <w:p w14:paraId="0CBF8338" w14:textId="7332AA58" w:rsidR="00F2303A" w:rsidRPr="0053555E" w:rsidRDefault="00F2303A" w:rsidP="00F2303A">
            <w:pPr>
              <w:jc w:val="center"/>
              <w:rPr>
                <w:rFonts w:asciiTheme="majorHAnsi" w:hAnsiTheme="majorHAnsi" w:cstheme="majorHAnsi"/>
                <w:sz w:val="20"/>
                <w:szCs w:val="20"/>
              </w:rPr>
            </w:pPr>
            <w:r w:rsidRPr="0053555E">
              <w:rPr>
                <w:rFonts w:cs="Arial"/>
                <w:sz w:val="20"/>
                <w:szCs w:val="20"/>
              </w:rPr>
              <w:t>10</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2A19C24D" w14:textId="052EA8B0" w:rsidR="00F2303A" w:rsidRPr="0053555E" w:rsidRDefault="00F2303A" w:rsidP="00F2303A">
            <w:pPr>
              <w:jc w:val="center"/>
              <w:rPr>
                <w:rFonts w:asciiTheme="majorHAnsi" w:hAnsiTheme="majorHAnsi" w:cstheme="majorHAnsi"/>
                <w:sz w:val="20"/>
                <w:szCs w:val="20"/>
              </w:rPr>
            </w:pPr>
            <w:r w:rsidRPr="0053555E">
              <w:rPr>
                <w:rFonts w:cs="Arial"/>
                <w:sz w:val="20"/>
                <w:szCs w:val="20"/>
              </w:rPr>
              <w:t>9</w:t>
            </w:r>
          </w:p>
        </w:tc>
        <w:tc>
          <w:tcPr>
            <w:tcW w:w="957" w:type="dxa"/>
            <w:tcBorders>
              <w:top w:val="nil"/>
              <w:left w:val="nil"/>
              <w:bottom w:val="single" w:sz="4" w:space="0" w:color="auto"/>
              <w:right w:val="single" w:sz="4" w:space="0" w:color="auto"/>
            </w:tcBorders>
            <w:shd w:val="clear" w:color="auto" w:fill="auto"/>
            <w:noWrap/>
            <w:vAlign w:val="center"/>
            <w:hideMark/>
          </w:tcPr>
          <w:p w14:paraId="393FDE56" w14:textId="1E57DF60" w:rsidR="00F2303A" w:rsidRPr="0053555E" w:rsidRDefault="00F2303A" w:rsidP="00F2303A">
            <w:pPr>
              <w:jc w:val="center"/>
              <w:rPr>
                <w:rFonts w:asciiTheme="majorHAnsi" w:hAnsiTheme="majorHAnsi" w:cstheme="majorHAnsi"/>
                <w:sz w:val="20"/>
                <w:szCs w:val="20"/>
              </w:rPr>
            </w:pPr>
            <w:r w:rsidRPr="0053555E">
              <w:rPr>
                <w:rFonts w:cs="Arial"/>
                <w:sz w:val="20"/>
                <w:szCs w:val="20"/>
              </w:rPr>
              <w:t>11</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62416554" w14:textId="0F2C4878" w:rsidR="00F2303A" w:rsidRPr="0053555E" w:rsidRDefault="00F2303A" w:rsidP="00F2303A">
            <w:pPr>
              <w:jc w:val="center"/>
              <w:rPr>
                <w:rFonts w:asciiTheme="majorHAnsi" w:hAnsiTheme="majorHAnsi" w:cstheme="majorHAnsi"/>
                <w:sz w:val="20"/>
                <w:szCs w:val="20"/>
              </w:rPr>
            </w:pPr>
            <w:r w:rsidRPr="0053555E">
              <w:rPr>
                <w:rFonts w:cs="Arial"/>
                <w:sz w:val="20"/>
                <w:szCs w:val="20"/>
              </w:rPr>
              <w:t>10</w:t>
            </w:r>
          </w:p>
        </w:tc>
        <w:tc>
          <w:tcPr>
            <w:tcW w:w="956" w:type="dxa"/>
            <w:tcBorders>
              <w:top w:val="nil"/>
              <w:left w:val="nil"/>
              <w:bottom w:val="single" w:sz="4" w:space="0" w:color="auto"/>
              <w:right w:val="single" w:sz="4" w:space="0" w:color="auto"/>
            </w:tcBorders>
            <w:shd w:val="clear" w:color="auto" w:fill="auto"/>
            <w:noWrap/>
            <w:vAlign w:val="center"/>
            <w:hideMark/>
          </w:tcPr>
          <w:p w14:paraId="01D92A6D" w14:textId="59D03488" w:rsidR="00F2303A" w:rsidRPr="0053555E" w:rsidRDefault="00F2303A" w:rsidP="00F2303A">
            <w:pPr>
              <w:jc w:val="center"/>
              <w:rPr>
                <w:rFonts w:asciiTheme="majorHAnsi" w:hAnsiTheme="majorHAnsi" w:cstheme="majorHAnsi"/>
                <w:sz w:val="20"/>
                <w:szCs w:val="20"/>
              </w:rPr>
            </w:pPr>
            <w:r w:rsidRPr="0053555E">
              <w:rPr>
                <w:rFonts w:cs="Arial"/>
                <w:sz w:val="20"/>
                <w:szCs w:val="20"/>
              </w:rPr>
              <w:t>9</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033D4216" w14:textId="6EE0E1DD" w:rsidR="00F2303A" w:rsidRPr="0053555E" w:rsidRDefault="00F2303A" w:rsidP="00F2303A">
            <w:pPr>
              <w:jc w:val="center"/>
              <w:rPr>
                <w:rFonts w:asciiTheme="majorHAnsi" w:hAnsiTheme="majorHAnsi" w:cstheme="majorHAnsi"/>
                <w:sz w:val="20"/>
                <w:szCs w:val="20"/>
              </w:rPr>
            </w:pPr>
            <w:r w:rsidRPr="0053555E">
              <w:rPr>
                <w:rFonts w:cs="Arial"/>
                <w:sz w:val="20"/>
                <w:szCs w:val="20"/>
              </w:rPr>
              <w:t>8</w:t>
            </w:r>
          </w:p>
        </w:tc>
        <w:tc>
          <w:tcPr>
            <w:tcW w:w="957" w:type="dxa"/>
            <w:tcBorders>
              <w:top w:val="nil"/>
              <w:left w:val="nil"/>
              <w:bottom w:val="single" w:sz="4" w:space="0" w:color="auto"/>
              <w:right w:val="single" w:sz="4" w:space="0" w:color="auto"/>
            </w:tcBorders>
            <w:shd w:val="clear" w:color="auto" w:fill="auto"/>
            <w:noWrap/>
            <w:vAlign w:val="center"/>
            <w:hideMark/>
          </w:tcPr>
          <w:p w14:paraId="601CF918" w14:textId="433687DF" w:rsidR="00F2303A" w:rsidRPr="0053555E" w:rsidRDefault="00F2303A" w:rsidP="00F2303A">
            <w:pPr>
              <w:jc w:val="center"/>
              <w:rPr>
                <w:rFonts w:asciiTheme="majorHAnsi" w:hAnsiTheme="majorHAnsi" w:cstheme="majorHAnsi"/>
                <w:sz w:val="20"/>
                <w:szCs w:val="20"/>
              </w:rPr>
            </w:pPr>
            <w:r w:rsidRPr="0053555E">
              <w:rPr>
                <w:rFonts w:cs="Arial"/>
                <w:sz w:val="20"/>
                <w:szCs w:val="20"/>
              </w:rPr>
              <w:t>30</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528CF9E9" w14:textId="168FB266" w:rsidR="00F2303A" w:rsidRPr="0053555E" w:rsidRDefault="00F2303A" w:rsidP="00F2303A">
            <w:pPr>
              <w:jc w:val="center"/>
              <w:rPr>
                <w:rFonts w:asciiTheme="majorHAnsi" w:hAnsiTheme="majorHAnsi" w:cstheme="majorHAnsi"/>
                <w:sz w:val="20"/>
                <w:szCs w:val="20"/>
              </w:rPr>
            </w:pPr>
            <w:r w:rsidRPr="0053555E">
              <w:rPr>
                <w:rFonts w:cs="Arial"/>
                <w:sz w:val="20"/>
                <w:szCs w:val="20"/>
              </w:rPr>
              <w:t>27</w:t>
            </w:r>
          </w:p>
        </w:tc>
        <w:tc>
          <w:tcPr>
            <w:tcW w:w="851" w:type="dxa"/>
            <w:tcBorders>
              <w:top w:val="nil"/>
              <w:left w:val="nil"/>
              <w:bottom w:val="single" w:sz="4" w:space="0" w:color="auto"/>
              <w:right w:val="single" w:sz="4" w:space="0" w:color="auto"/>
            </w:tcBorders>
            <w:shd w:val="clear" w:color="auto" w:fill="auto"/>
            <w:vAlign w:val="center"/>
          </w:tcPr>
          <w:p w14:paraId="055C3CEF" w14:textId="3ACA74B8" w:rsidR="00F2303A" w:rsidRPr="0053555E" w:rsidRDefault="00F2303A" w:rsidP="00F2303A">
            <w:pPr>
              <w:jc w:val="center"/>
              <w:rPr>
                <w:rFonts w:asciiTheme="majorHAnsi" w:hAnsiTheme="majorHAnsi" w:cstheme="majorHAnsi"/>
                <w:b/>
                <w:sz w:val="20"/>
                <w:szCs w:val="20"/>
              </w:rPr>
            </w:pPr>
            <w:r w:rsidRPr="0053555E">
              <w:rPr>
                <w:rFonts w:cs="Arial"/>
                <w:sz w:val="20"/>
                <w:szCs w:val="20"/>
              </w:rPr>
              <w:t>6</w:t>
            </w:r>
          </w:p>
        </w:tc>
      </w:tr>
      <w:tr w:rsidR="00F2303A" w:rsidRPr="0053555E" w14:paraId="43404829" w14:textId="77777777" w:rsidTr="00687B42">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1D94234" w14:textId="77777777" w:rsidR="00F2303A" w:rsidRPr="0053555E" w:rsidRDefault="00F2303A" w:rsidP="00F2303A">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SjF</w:t>
            </w:r>
          </w:p>
        </w:tc>
        <w:tc>
          <w:tcPr>
            <w:tcW w:w="956" w:type="dxa"/>
            <w:tcBorders>
              <w:top w:val="nil"/>
              <w:left w:val="nil"/>
              <w:bottom w:val="single" w:sz="4" w:space="0" w:color="auto"/>
              <w:right w:val="single" w:sz="4" w:space="0" w:color="auto"/>
            </w:tcBorders>
            <w:shd w:val="clear" w:color="auto" w:fill="auto"/>
            <w:noWrap/>
            <w:vAlign w:val="center"/>
            <w:hideMark/>
          </w:tcPr>
          <w:p w14:paraId="46CDA459" w14:textId="264931CF" w:rsidR="00F2303A" w:rsidRPr="0053555E" w:rsidRDefault="00F2303A" w:rsidP="00F2303A">
            <w:pPr>
              <w:jc w:val="center"/>
              <w:rPr>
                <w:rFonts w:asciiTheme="majorHAnsi" w:hAnsiTheme="majorHAnsi" w:cstheme="majorHAnsi"/>
                <w:sz w:val="20"/>
                <w:szCs w:val="20"/>
              </w:rPr>
            </w:pPr>
            <w:r w:rsidRPr="0053555E">
              <w:rPr>
                <w:rFonts w:cs="Arial"/>
                <w:sz w:val="20"/>
                <w:szCs w:val="20"/>
              </w:rPr>
              <w:t>10</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5A26D3E8" w14:textId="1FD4A5D3" w:rsidR="00F2303A" w:rsidRPr="0053555E" w:rsidRDefault="00F2303A" w:rsidP="00F2303A">
            <w:pPr>
              <w:jc w:val="center"/>
              <w:rPr>
                <w:rFonts w:asciiTheme="majorHAnsi" w:hAnsiTheme="majorHAnsi" w:cstheme="majorHAnsi"/>
                <w:sz w:val="20"/>
                <w:szCs w:val="20"/>
              </w:rPr>
            </w:pPr>
            <w:r w:rsidRPr="0053555E">
              <w:rPr>
                <w:rFonts w:cs="Arial"/>
                <w:sz w:val="20"/>
                <w:szCs w:val="20"/>
              </w:rPr>
              <w:t>9</w:t>
            </w:r>
          </w:p>
        </w:tc>
        <w:tc>
          <w:tcPr>
            <w:tcW w:w="957" w:type="dxa"/>
            <w:tcBorders>
              <w:top w:val="nil"/>
              <w:left w:val="nil"/>
              <w:bottom w:val="single" w:sz="4" w:space="0" w:color="auto"/>
              <w:right w:val="single" w:sz="4" w:space="0" w:color="auto"/>
            </w:tcBorders>
            <w:shd w:val="clear" w:color="auto" w:fill="auto"/>
            <w:noWrap/>
            <w:vAlign w:val="center"/>
            <w:hideMark/>
          </w:tcPr>
          <w:p w14:paraId="1E9C4280" w14:textId="24B97F30" w:rsidR="00F2303A" w:rsidRPr="0053555E" w:rsidRDefault="00F2303A" w:rsidP="00F2303A">
            <w:pPr>
              <w:jc w:val="center"/>
              <w:rPr>
                <w:rFonts w:asciiTheme="majorHAnsi" w:hAnsiTheme="majorHAnsi" w:cstheme="majorHAnsi"/>
                <w:sz w:val="20"/>
                <w:szCs w:val="20"/>
              </w:rPr>
            </w:pPr>
            <w:r w:rsidRPr="0053555E">
              <w:rPr>
                <w:rFonts w:cs="Arial"/>
                <w:sz w:val="20"/>
                <w:szCs w:val="20"/>
              </w:rPr>
              <w:t>10</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6BAFEC75" w14:textId="72F65C25" w:rsidR="00F2303A" w:rsidRPr="0053555E" w:rsidRDefault="00F2303A" w:rsidP="00F2303A">
            <w:pPr>
              <w:jc w:val="center"/>
              <w:rPr>
                <w:rFonts w:asciiTheme="majorHAnsi" w:hAnsiTheme="majorHAnsi" w:cstheme="majorHAnsi"/>
                <w:sz w:val="20"/>
                <w:szCs w:val="20"/>
              </w:rPr>
            </w:pPr>
            <w:r w:rsidRPr="0053555E">
              <w:rPr>
                <w:rFonts w:cs="Arial"/>
                <w:sz w:val="20"/>
                <w:szCs w:val="20"/>
              </w:rPr>
              <w:t>9</w:t>
            </w:r>
          </w:p>
        </w:tc>
        <w:tc>
          <w:tcPr>
            <w:tcW w:w="956" w:type="dxa"/>
            <w:tcBorders>
              <w:top w:val="nil"/>
              <w:left w:val="nil"/>
              <w:bottom w:val="single" w:sz="4" w:space="0" w:color="auto"/>
              <w:right w:val="single" w:sz="4" w:space="0" w:color="auto"/>
            </w:tcBorders>
            <w:shd w:val="clear" w:color="auto" w:fill="auto"/>
            <w:noWrap/>
            <w:vAlign w:val="center"/>
            <w:hideMark/>
          </w:tcPr>
          <w:p w14:paraId="570F3B0A" w14:textId="79FE10C6" w:rsidR="00F2303A" w:rsidRPr="0053555E" w:rsidRDefault="00F2303A" w:rsidP="00F2303A">
            <w:pPr>
              <w:jc w:val="center"/>
              <w:rPr>
                <w:rFonts w:asciiTheme="majorHAnsi" w:hAnsiTheme="majorHAnsi" w:cstheme="majorHAnsi"/>
                <w:sz w:val="20"/>
                <w:szCs w:val="20"/>
              </w:rPr>
            </w:pPr>
            <w:r w:rsidRPr="0053555E">
              <w:rPr>
                <w:rFonts w:cs="Arial"/>
                <w:sz w:val="20"/>
                <w:szCs w:val="20"/>
              </w:rPr>
              <w:t>8</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7E58D641" w14:textId="16CFD3D9" w:rsidR="00F2303A" w:rsidRPr="0053555E" w:rsidRDefault="00F2303A" w:rsidP="00F2303A">
            <w:pPr>
              <w:jc w:val="center"/>
              <w:rPr>
                <w:rFonts w:asciiTheme="majorHAnsi" w:hAnsiTheme="majorHAnsi" w:cstheme="majorHAnsi"/>
                <w:sz w:val="20"/>
                <w:szCs w:val="20"/>
              </w:rPr>
            </w:pPr>
            <w:r w:rsidRPr="0053555E">
              <w:rPr>
                <w:rFonts w:cs="Arial"/>
                <w:sz w:val="20"/>
                <w:szCs w:val="20"/>
              </w:rPr>
              <w:t>8</w:t>
            </w:r>
          </w:p>
        </w:tc>
        <w:tc>
          <w:tcPr>
            <w:tcW w:w="957" w:type="dxa"/>
            <w:tcBorders>
              <w:top w:val="nil"/>
              <w:left w:val="nil"/>
              <w:bottom w:val="single" w:sz="4" w:space="0" w:color="auto"/>
              <w:right w:val="single" w:sz="4" w:space="0" w:color="auto"/>
            </w:tcBorders>
            <w:shd w:val="clear" w:color="auto" w:fill="auto"/>
            <w:noWrap/>
            <w:vAlign w:val="center"/>
            <w:hideMark/>
          </w:tcPr>
          <w:p w14:paraId="312083D6" w14:textId="75149384" w:rsidR="00F2303A" w:rsidRPr="0053555E" w:rsidRDefault="00F2303A" w:rsidP="00F2303A">
            <w:pPr>
              <w:jc w:val="center"/>
              <w:rPr>
                <w:rFonts w:asciiTheme="majorHAnsi" w:hAnsiTheme="majorHAnsi" w:cstheme="majorHAnsi"/>
                <w:sz w:val="20"/>
                <w:szCs w:val="20"/>
              </w:rPr>
            </w:pPr>
            <w:r w:rsidRPr="0053555E">
              <w:rPr>
                <w:rFonts w:cs="Arial"/>
                <w:sz w:val="20"/>
                <w:szCs w:val="20"/>
              </w:rPr>
              <w:t>28</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476E64E9" w14:textId="1CF29385" w:rsidR="00F2303A" w:rsidRPr="0053555E" w:rsidRDefault="00F2303A" w:rsidP="00F2303A">
            <w:pPr>
              <w:jc w:val="center"/>
              <w:rPr>
                <w:rFonts w:asciiTheme="majorHAnsi" w:hAnsiTheme="majorHAnsi" w:cstheme="majorHAnsi"/>
                <w:sz w:val="20"/>
                <w:szCs w:val="20"/>
              </w:rPr>
            </w:pPr>
            <w:r w:rsidRPr="0053555E">
              <w:rPr>
                <w:rFonts w:cs="Arial"/>
                <w:sz w:val="20"/>
                <w:szCs w:val="20"/>
              </w:rPr>
              <w:t>26</w:t>
            </w:r>
          </w:p>
        </w:tc>
        <w:tc>
          <w:tcPr>
            <w:tcW w:w="851" w:type="dxa"/>
            <w:tcBorders>
              <w:top w:val="nil"/>
              <w:left w:val="nil"/>
              <w:bottom w:val="single" w:sz="4" w:space="0" w:color="auto"/>
              <w:right w:val="single" w:sz="4" w:space="0" w:color="auto"/>
            </w:tcBorders>
            <w:shd w:val="clear" w:color="auto" w:fill="auto"/>
            <w:vAlign w:val="center"/>
          </w:tcPr>
          <w:p w14:paraId="71221303" w14:textId="506311D1" w:rsidR="00F2303A" w:rsidRPr="0053555E" w:rsidRDefault="00F2303A" w:rsidP="00F2303A">
            <w:pPr>
              <w:jc w:val="center"/>
              <w:rPr>
                <w:rFonts w:asciiTheme="majorHAnsi" w:hAnsiTheme="majorHAnsi" w:cstheme="majorHAnsi"/>
                <w:b/>
                <w:sz w:val="20"/>
                <w:szCs w:val="20"/>
              </w:rPr>
            </w:pPr>
            <w:r w:rsidRPr="0053555E">
              <w:rPr>
                <w:rFonts w:cs="Arial"/>
                <w:sz w:val="20"/>
                <w:szCs w:val="20"/>
              </w:rPr>
              <w:t>2</w:t>
            </w:r>
          </w:p>
        </w:tc>
      </w:tr>
      <w:tr w:rsidR="00F2303A" w:rsidRPr="0053555E" w14:paraId="00BCBB6C" w14:textId="77777777" w:rsidTr="00687B42">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41D204B" w14:textId="77777777" w:rsidR="00F2303A" w:rsidRPr="0053555E" w:rsidRDefault="00F2303A" w:rsidP="00F2303A">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FEI</w:t>
            </w:r>
          </w:p>
        </w:tc>
        <w:tc>
          <w:tcPr>
            <w:tcW w:w="956" w:type="dxa"/>
            <w:tcBorders>
              <w:top w:val="nil"/>
              <w:left w:val="nil"/>
              <w:bottom w:val="single" w:sz="4" w:space="0" w:color="auto"/>
              <w:right w:val="single" w:sz="4" w:space="0" w:color="auto"/>
            </w:tcBorders>
            <w:shd w:val="clear" w:color="auto" w:fill="auto"/>
            <w:noWrap/>
            <w:vAlign w:val="center"/>
            <w:hideMark/>
          </w:tcPr>
          <w:p w14:paraId="3C6C9717" w14:textId="79A80077" w:rsidR="00F2303A" w:rsidRPr="0053555E" w:rsidRDefault="00F2303A" w:rsidP="00F2303A">
            <w:pPr>
              <w:jc w:val="center"/>
              <w:rPr>
                <w:rFonts w:asciiTheme="majorHAnsi" w:hAnsiTheme="majorHAnsi" w:cstheme="majorHAnsi"/>
                <w:sz w:val="20"/>
                <w:szCs w:val="20"/>
              </w:rPr>
            </w:pPr>
            <w:r w:rsidRPr="0053555E">
              <w:rPr>
                <w:rFonts w:cs="Arial"/>
                <w:sz w:val="20"/>
                <w:szCs w:val="20"/>
              </w:rPr>
              <w:t>9</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2CED2FE3" w14:textId="15DF74C3" w:rsidR="00F2303A" w:rsidRPr="0053555E" w:rsidRDefault="00F2303A" w:rsidP="00F2303A">
            <w:pPr>
              <w:jc w:val="center"/>
              <w:rPr>
                <w:rFonts w:asciiTheme="majorHAnsi" w:hAnsiTheme="majorHAnsi" w:cstheme="majorHAnsi"/>
                <w:sz w:val="20"/>
                <w:szCs w:val="20"/>
              </w:rPr>
            </w:pPr>
            <w:r w:rsidRPr="0053555E">
              <w:rPr>
                <w:rFonts w:cs="Arial"/>
                <w:sz w:val="20"/>
                <w:szCs w:val="20"/>
              </w:rPr>
              <w:t>8</w:t>
            </w:r>
          </w:p>
        </w:tc>
        <w:tc>
          <w:tcPr>
            <w:tcW w:w="957" w:type="dxa"/>
            <w:tcBorders>
              <w:top w:val="nil"/>
              <w:left w:val="nil"/>
              <w:bottom w:val="single" w:sz="4" w:space="0" w:color="auto"/>
              <w:right w:val="single" w:sz="4" w:space="0" w:color="auto"/>
            </w:tcBorders>
            <w:shd w:val="clear" w:color="auto" w:fill="auto"/>
            <w:noWrap/>
            <w:vAlign w:val="center"/>
            <w:hideMark/>
          </w:tcPr>
          <w:p w14:paraId="2252EBD6" w14:textId="639CE328" w:rsidR="00F2303A" w:rsidRPr="0053555E" w:rsidRDefault="00F2303A" w:rsidP="00F2303A">
            <w:pPr>
              <w:jc w:val="center"/>
              <w:rPr>
                <w:rFonts w:asciiTheme="majorHAnsi" w:hAnsiTheme="majorHAnsi" w:cstheme="majorHAnsi"/>
                <w:sz w:val="20"/>
                <w:szCs w:val="20"/>
              </w:rPr>
            </w:pPr>
            <w:r w:rsidRPr="0053555E">
              <w:rPr>
                <w:rFonts w:cs="Arial"/>
                <w:sz w:val="20"/>
                <w:szCs w:val="20"/>
              </w:rPr>
              <w:t>11</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622E3872" w14:textId="25F3883A" w:rsidR="00F2303A" w:rsidRPr="0053555E" w:rsidRDefault="00F2303A" w:rsidP="00F2303A">
            <w:pPr>
              <w:jc w:val="center"/>
              <w:rPr>
                <w:rFonts w:asciiTheme="majorHAnsi" w:hAnsiTheme="majorHAnsi" w:cstheme="majorHAnsi"/>
                <w:sz w:val="20"/>
                <w:szCs w:val="20"/>
              </w:rPr>
            </w:pPr>
            <w:r w:rsidRPr="0053555E">
              <w:rPr>
                <w:rFonts w:cs="Arial"/>
                <w:sz w:val="20"/>
                <w:szCs w:val="20"/>
              </w:rPr>
              <w:t>9</w:t>
            </w:r>
          </w:p>
        </w:tc>
        <w:tc>
          <w:tcPr>
            <w:tcW w:w="956" w:type="dxa"/>
            <w:tcBorders>
              <w:top w:val="nil"/>
              <w:left w:val="nil"/>
              <w:bottom w:val="single" w:sz="4" w:space="0" w:color="auto"/>
              <w:right w:val="single" w:sz="4" w:space="0" w:color="auto"/>
            </w:tcBorders>
            <w:shd w:val="clear" w:color="auto" w:fill="auto"/>
            <w:noWrap/>
            <w:vAlign w:val="center"/>
            <w:hideMark/>
          </w:tcPr>
          <w:p w14:paraId="2238671A" w14:textId="2FD57797" w:rsidR="00F2303A" w:rsidRPr="0053555E" w:rsidRDefault="00F2303A" w:rsidP="00F2303A">
            <w:pPr>
              <w:jc w:val="center"/>
              <w:rPr>
                <w:rFonts w:asciiTheme="majorHAnsi" w:hAnsiTheme="majorHAnsi" w:cstheme="majorHAnsi"/>
                <w:sz w:val="20"/>
                <w:szCs w:val="20"/>
              </w:rPr>
            </w:pPr>
            <w:r w:rsidRPr="0053555E">
              <w:rPr>
                <w:rFonts w:cs="Arial"/>
                <w:sz w:val="20"/>
                <w:szCs w:val="20"/>
              </w:rPr>
              <w:t>12</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68D80352" w14:textId="2B20A4E6" w:rsidR="00F2303A" w:rsidRPr="0053555E" w:rsidRDefault="00F2303A" w:rsidP="00F2303A">
            <w:pPr>
              <w:jc w:val="center"/>
              <w:rPr>
                <w:rFonts w:asciiTheme="majorHAnsi" w:hAnsiTheme="majorHAnsi" w:cstheme="majorHAnsi"/>
                <w:sz w:val="20"/>
                <w:szCs w:val="20"/>
              </w:rPr>
            </w:pPr>
            <w:r w:rsidRPr="0053555E">
              <w:rPr>
                <w:rFonts w:cs="Arial"/>
                <w:sz w:val="20"/>
                <w:szCs w:val="20"/>
              </w:rPr>
              <w:t>10</w:t>
            </w:r>
          </w:p>
        </w:tc>
        <w:tc>
          <w:tcPr>
            <w:tcW w:w="957" w:type="dxa"/>
            <w:tcBorders>
              <w:top w:val="nil"/>
              <w:left w:val="nil"/>
              <w:bottom w:val="single" w:sz="4" w:space="0" w:color="auto"/>
              <w:right w:val="single" w:sz="4" w:space="0" w:color="auto"/>
            </w:tcBorders>
            <w:shd w:val="clear" w:color="auto" w:fill="auto"/>
            <w:noWrap/>
            <w:vAlign w:val="center"/>
            <w:hideMark/>
          </w:tcPr>
          <w:p w14:paraId="42044771" w14:textId="50C55F5B" w:rsidR="00F2303A" w:rsidRPr="0053555E" w:rsidRDefault="00F2303A" w:rsidP="00F2303A">
            <w:pPr>
              <w:jc w:val="center"/>
              <w:rPr>
                <w:rFonts w:asciiTheme="majorHAnsi" w:hAnsiTheme="majorHAnsi" w:cstheme="majorHAnsi"/>
                <w:sz w:val="20"/>
                <w:szCs w:val="20"/>
              </w:rPr>
            </w:pPr>
            <w:r w:rsidRPr="0053555E">
              <w:rPr>
                <w:rFonts w:cs="Arial"/>
                <w:sz w:val="20"/>
                <w:szCs w:val="20"/>
              </w:rPr>
              <w:t>32</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39358E0C" w14:textId="68A6A5D1" w:rsidR="00F2303A" w:rsidRPr="0053555E" w:rsidRDefault="00F2303A" w:rsidP="00F2303A">
            <w:pPr>
              <w:jc w:val="center"/>
              <w:rPr>
                <w:rFonts w:asciiTheme="majorHAnsi" w:hAnsiTheme="majorHAnsi" w:cstheme="majorHAnsi"/>
                <w:sz w:val="20"/>
                <w:szCs w:val="20"/>
              </w:rPr>
            </w:pPr>
            <w:r w:rsidRPr="0053555E">
              <w:rPr>
                <w:rFonts w:cs="Arial"/>
                <w:sz w:val="20"/>
                <w:szCs w:val="20"/>
              </w:rPr>
              <w:t>27</w:t>
            </w:r>
          </w:p>
        </w:tc>
        <w:tc>
          <w:tcPr>
            <w:tcW w:w="851" w:type="dxa"/>
            <w:tcBorders>
              <w:top w:val="nil"/>
              <w:left w:val="nil"/>
              <w:bottom w:val="single" w:sz="4" w:space="0" w:color="auto"/>
              <w:right w:val="single" w:sz="4" w:space="0" w:color="auto"/>
            </w:tcBorders>
            <w:shd w:val="clear" w:color="auto" w:fill="auto"/>
            <w:vAlign w:val="center"/>
          </w:tcPr>
          <w:p w14:paraId="56972D96" w14:textId="56BBF750" w:rsidR="00F2303A" w:rsidRPr="0053555E" w:rsidRDefault="00F2303A" w:rsidP="00F2303A">
            <w:pPr>
              <w:jc w:val="center"/>
              <w:rPr>
                <w:rFonts w:asciiTheme="majorHAnsi" w:hAnsiTheme="majorHAnsi" w:cstheme="majorHAnsi"/>
                <w:b/>
                <w:sz w:val="20"/>
                <w:szCs w:val="20"/>
              </w:rPr>
            </w:pPr>
            <w:r w:rsidRPr="0053555E">
              <w:rPr>
                <w:rFonts w:cs="Arial"/>
                <w:sz w:val="20"/>
                <w:szCs w:val="20"/>
              </w:rPr>
              <w:t>5</w:t>
            </w:r>
          </w:p>
        </w:tc>
      </w:tr>
      <w:tr w:rsidR="00F2303A" w:rsidRPr="0053555E" w14:paraId="782916CF" w14:textId="77777777" w:rsidTr="00687B42">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36ECF3C" w14:textId="77777777" w:rsidR="00F2303A" w:rsidRPr="0053555E" w:rsidRDefault="00F2303A" w:rsidP="00F2303A">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FCHPT</w:t>
            </w:r>
          </w:p>
        </w:tc>
        <w:tc>
          <w:tcPr>
            <w:tcW w:w="956" w:type="dxa"/>
            <w:tcBorders>
              <w:top w:val="nil"/>
              <w:left w:val="nil"/>
              <w:bottom w:val="single" w:sz="4" w:space="0" w:color="auto"/>
              <w:right w:val="single" w:sz="4" w:space="0" w:color="auto"/>
            </w:tcBorders>
            <w:shd w:val="clear" w:color="auto" w:fill="auto"/>
            <w:noWrap/>
            <w:vAlign w:val="center"/>
            <w:hideMark/>
          </w:tcPr>
          <w:p w14:paraId="2D11290F" w14:textId="4D086426" w:rsidR="00F2303A" w:rsidRPr="0053555E" w:rsidRDefault="00F2303A" w:rsidP="00F2303A">
            <w:pPr>
              <w:jc w:val="center"/>
              <w:rPr>
                <w:rFonts w:asciiTheme="majorHAnsi" w:hAnsiTheme="majorHAnsi" w:cstheme="majorHAnsi"/>
                <w:sz w:val="20"/>
                <w:szCs w:val="20"/>
              </w:rPr>
            </w:pPr>
            <w:r w:rsidRPr="0053555E">
              <w:rPr>
                <w:rFonts w:cs="Arial"/>
                <w:sz w:val="20"/>
                <w:szCs w:val="20"/>
              </w:rPr>
              <w:t>16</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0660F7D9" w14:textId="791FC36E" w:rsidR="00F2303A" w:rsidRPr="0053555E" w:rsidRDefault="00F2303A" w:rsidP="00F2303A">
            <w:pPr>
              <w:jc w:val="center"/>
              <w:rPr>
                <w:rFonts w:asciiTheme="majorHAnsi" w:hAnsiTheme="majorHAnsi" w:cstheme="majorHAnsi"/>
                <w:sz w:val="20"/>
                <w:szCs w:val="20"/>
              </w:rPr>
            </w:pPr>
            <w:r w:rsidRPr="0053555E">
              <w:rPr>
                <w:rFonts w:cs="Arial"/>
                <w:sz w:val="20"/>
                <w:szCs w:val="20"/>
              </w:rPr>
              <w:t>14</w:t>
            </w:r>
          </w:p>
        </w:tc>
        <w:tc>
          <w:tcPr>
            <w:tcW w:w="957" w:type="dxa"/>
            <w:tcBorders>
              <w:top w:val="nil"/>
              <w:left w:val="nil"/>
              <w:bottom w:val="single" w:sz="4" w:space="0" w:color="auto"/>
              <w:right w:val="single" w:sz="4" w:space="0" w:color="auto"/>
            </w:tcBorders>
            <w:shd w:val="clear" w:color="auto" w:fill="auto"/>
            <w:noWrap/>
            <w:vAlign w:val="center"/>
            <w:hideMark/>
          </w:tcPr>
          <w:p w14:paraId="5110F9AD" w14:textId="60B9112D" w:rsidR="00F2303A" w:rsidRPr="0053555E" w:rsidRDefault="00F2303A" w:rsidP="00F2303A">
            <w:pPr>
              <w:jc w:val="center"/>
              <w:rPr>
                <w:rFonts w:asciiTheme="majorHAnsi" w:hAnsiTheme="majorHAnsi" w:cstheme="majorHAnsi"/>
                <w:sz w:val="20"/>
                <w:szCs w:val="20"/>
              </w:rPr>
            </w:pPr>
            <w:r w:rsidRPr="0053555E">
              <w:rPr>
                <w:rFonts w:cs="Arial"/>
                <w:sz w:val="20"/>
                <w:szCs w:val="20"/>
              </w:rPr>
              <w:t>12</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13474462" w14:textId="1DFC18D3" w:rsidR="00F2303A" w:rsidRPr="0053555E" w:rsidRDefault="00F2303A" w:rsidP="00F2303A">
            <w:pPr>
              <w:jc w:val="center"/>
              <w:rPr>
                <w:rFonts w:asciiTheme="majorHAnsi" w:hAnsiTheme="majorHAnsi" w:cstheme="majorHAnsi"/>
                <w:sz w:val="20"/>
                <w:szCs w:val="20"/>
              </w:rPr>
            </w:pPr>
            <w:r w:rsidRPr="0053555E">
              <w:rPr>
                <w:rFonts w:cs="Arial"/>
                <w:sz w:val="20"/>
                <w:szCs w:val="20"/>
              </w:rPr>
              <w:t>10</w:t>
            </w:r>
          </w:p>
        </w:tc>
        <w:tc>
          <w:tcPr>
            <w:tcW w:w="956" w:type="dxa"/>
            <w:tcBorders>
              <w:top w:val="nil"/>
              <w:left w:val="nil"/>
              <w:bottom w:val="single" w:sz="4" w:space="0" w:color="auto"/>
              <w:right w:val="single" w:sz="4" w:space="0" w:color="auto"/>
            </w:tcBorders>
            <w:shd w:val="clear" w:color="auto" w:fill="auto"/>
            <w:noWrap/>
            <w:vAlign w:val="center"/>
            <w:hideMark/>
          </w:tcPr>
          <w:p w14:paraId="3017119C" w14:textId="20D8B053" w:rsidR="00F2303A" w:rsidRPr="0053555E" w:rsidRDefault="00F2303A" w:rsidP="00F2303A">
            <w:pPr>
              <w:jc w:val="center"/>
              <w:rPr>
                <w:rFonts w:asciiTheme="majorHAnsi" w:hAnsiTheme="majorHAnsi" w:cstheme="majorHAnsi"/>
                <w:sz w:val="20"/>
                <w:szCs w:val="20"/>
              </w:rPr>
            </w:pPr>
            <w:r w:rsidRPr="0053555E">
              <w:rPr>
                <w:rFonts w:cs="Arial"/>
                <w:sz w:val="20"/>
                <w:szCs w:val="20"/>
              </w:rPr>
              <w:t>20</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000B5562" w14:textId="4411C792" w:rsidR="00F2303A" w:rsidRPr="0053555E" w:rsidRDefault="00F2303A" w:rsidP="00F2303A">
            <w:pPr>
              <w:jc w:val="center"/>
              <w:rPr>
                <w:rFonts w:asciiTheme="majorHAnsi" w:hAnsiTheme="majorHAnsi" w:cstheme="majorHAnsi"/>
                <w:sz w:val="20"/>
                <w:szCs w:val="20"/>
              </w:rPr>
            </w:pPr>
            <w:r w:rsidRPr="0053555E">
              <w:rPr>
                <w:rFonts w:cs="Arial"/>
                <w:sz w:val="20"/>
                <w:szCs w:val="20"/>
              </w:rPr>
              <w:t>14</w:t>
            </w:r>
          </w:p>
        </w:tc>
        <w:tc>
          <w:tcPr>
            <w:tcW w:w="957" w:type="dxa"/>
            <w:tcBorders>
              <w:top w:val="nil"/>
              <w:left w:val="nil"/>
              <w:bottom w:val="single" w:sz="4" w:space="0" w:color="auto"/>
              <w:right w:val="single" w:sz="4" w:space="0" w:color="auto"/>
            </w:tcBorders>
            <w:shd w:val="clear" w:color="auto" w:fill="auto"/>
            <w:noWrap/>
            <w:vAlign w:val="center"/>
            <w:hideMark/>
          </w:tcPr>
          <w:p w14:paraId="4DD73D8F" w14:textId="2B760153" w:rsidR="00F2303A" w:rsidRPr="0053555E" w:rsidRDefault="00F2303A" w:rsidP="00F2303A">
            <w:pPr>
              <w:jc w:val="center"/>
              <w:rPr>
                <w:rFonts w:asciiTheme="majorHAnsi" w:hAnsiTheme="majorHAnsi" w:cstheme="majorHAnsi"/>
                <w:sz w:val="20"/>
                <w:szCs w:val="20"/>
              </w:rPr>
            </w:pPr>
            <w:r w:rsidRPr="0053555E">
              <w:rPr>
                <w:rFonts w:cs="Arial"/>
                <w:sz w:val="20"/>
                <w:szCs w:val="20"/>
              </w:rPr>
              <w:t>48</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55617030" w14:textId="2CB6E855" w:rsidR="00F2303A" w:rsidRPr="0053555E" w:rsidRDefault="00F2303A" w:rsidP="00F2303A">
            <w:pPr>
              <w:jc w:val="center"/>
              <w:rPr>
                <w:rFonts w:asciiTheme="majorHAnsi" w:hAnsiTheme="majorHAnsi" w:cstheme="majorHAnsi"/>
                <w:sz w:val="20"/>
                <w:szCs w:val="20"/>
              </w:rPr>
            </w:pPr>
            <w:r w:rsidRPr="0053555E">
              <w:rPr>
                <w:rFonts w:cs="Arial"/>
                <w:sz w:val="20"/>
                <w:szCs w:val="20"/>
              </w:rPr>
              <w:t>38</w:t>
            </w:r>
          </w:p>
        </w:tc>
        <w:tc>
          <w:tcPr>
            <w:tcW w:w="851" w:type="dxa"/>
            <w:tcBorders>
              <w:top w:val="nil"/>
              <w:left w:val="nil"/>
              <w:bottom w:val="single" w:sz="4" w:space="0" w:color="auto"/>
              <w:right w:val="single" w:sz="4" w:space="0" w:color="auto"/>
            </w:tcBorders>
            <w:shd w:val="clear" w:color="auto" w:fill="auto"/>
            <w:vAlign w:val="center"/>
          </w:tcPr>
          <w:p w14:paraId="1619D5BB" w14:textId="7B995627" w:rsidR="00F2303A" w:rsidRPr="0053555E" w:rsidRDefault="00F2303A" w:rsidP="00F2303A">
            <w:pPr>
              <w:jc w:val="center"/>
              <w:rPr>
                <w:rFonts w:asciiTheme="majorHAnsi" w:hAnsiTheme="majorHAnsi" w:cstheme="majorHAnsi"/>
                <w:b/>
                <w:sz w:val="20"/>
                <w:szCs w:val="20"/>
              </w:rPr>
            </w:pPr>
            <w:r w:rsidRPr="0053555E">
              <w:rPr>
                <w:rFonts w:cs="Arial"/>
                <w:sz w:val="20"/>
                <w:szCs w:val="20"/>
              </w:rPr>
              <w:t>7</w:t>
            </w:r>
          </w:p>
        </w:tc>
      </w:tr>
      <w:tr w:rsidR="00F2303A" w:rsidRPr="0053555E" w14:paraId="69E93952" w14:textId="77777777" w:rsidTr="00687B42">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B5D0606" w14:textId="77777777" w:rsidR="00F2303A" w:rsidRPr="0053555E" w:rsidRDefault="00F2303A" w:rsidP="00F2303A">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FAD</w:t>
            </w:r>
          </w:p>
        </w:tc>
        <w:tc>
          <w:tcPr>
            <w:tcW w:w="956" w:type="dxa"/>
            <w:tcBorders>
              <w:top w:val="nil"/>
              <w:left w:val="nil"/>
              <w:bottom w:val="single" w:sz="4" w:space="0" w:color="auto"/>
              <w:right w:val="single" w:sz="4" w:space="0" w:color="auto"/>
            </w:tcBorders>
            <w:shd w:val="clear" w:color="auto" w:fill="auto"/>
            <w:noWrap/>
            <w:vAlign w:val="center"/>
            <w:hideMark/>
          </w:tcPr>
          <w:p w14:paraId="1ABCF3B7" w14:textId="24EC2306" w:rsidR="00F2303A" w:rsidRPr="0053555E" w:rsidRDefault="00F2303A" w:rsidP="00F2303A">
            <w:pPr>
              <w:jc w:val="center"/>
              <w:rPr>
                <w:rFonts w:asciiTheme="majorHAnsi" w:hAnsiTheme="majorHAnsi" w:cstheme="majorHAnsi"/>
                <w:sz w:val="20"/>
                <w:szCs w:val="20"/>
              </w:rPr>
            </w:pPr>
            <w:r w:rsidRPr="0053555E">
              <w:rPr>
                <w:rFonts w:cs="Arial"/>
                <w:sz w:val="20"/>
                <w:szCs w:val="20"/>
              </w:rPr>
              <w:t>2</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5DDE7DA8" w14:textId="647B29A8" w:rsidR="00F2303A" w:rsidRPr="0053555E" w:rsidRDefault="00F2303A" w:rsidP="00F2303A">
            <w:pPr>
              <w:jc w:val="center"/>
              <w:rPr>
                <w:rFonts w:asciiTheme="majorHAnsi" w:hAnsiTheme="majorHAnsi" w:cstheme="majorHAnsi"/>
                <w:sz w:val="20"/>
                <w:szCs w:val="20"/>
              </w:rPr>
            </w:pPr>
            <w:r w:rsidRPr="0053555E">
              <w:rPr>
                <w:rFonts w:cs="Arial"/>
                <w:sz w:val="20"/>
                <w:szCs w:val="20"/>
              </w:rPr>
              <w:t>2</w:t>
            </w:r>
          </w:p>
        </w:tc>
        <w:tc>
          <w:tcPr>
            <w:tcW w:w="957" w:type="dxa"/>
            <w:tcBorders>
              <w:top w:val="nil"/>
              <w:left w:val="nil"/>
              <w:bottom w:val="single" w:sz="4" w:space="0" w:color="auto"/>
              <w:right w:val="single" w:sz="4" w:space="0" w:color="auto"/>
            </w:tcBorders>
            <w:shd w:val="clear" w:color="auto" w:fill="auto"/>
            <w:noWrap/>
            <w:vAlign w:val="center"/>
            <w:hideMark/>
          </w:tcPr>
          <w:p w14:paraId="3B878F7E" w14:textId="0A7246CB" w:rsidR="00F2303A" w:rsidRPr="0053555E" w:rsidRDefault="00F2303A" w:rsidP="00F2303A">
            <w:pPr>
              <w:jc w:val="center"/>
              <w:rPr>
                <w:rFonts w:asciiTheme="majorHAnsi" w:hAnsiTheme="majorHAnsi" w:cstheme="majorHAnsi"/>
                <w:sz w:val="20"/>
                <w:szCs w:val="20"/>
              </w:rPr>
            </w:pPr>
            <w:r w:rsidRPr="0053555E">
              <w:rPr>
                <w:rFonts w:cs="Arial"/>
                <w:sz w:val="20"/>
                <w:szCs w:val="20"/>
              </w:rPr>
              <w:t>3</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5A98991B" w14:textId="2C0E31E3" w:rsidR="00F2303A" w:rsidRPr="0053555E" w:rsidRDefault="00F2303A" w:rsidP="00F2303A">
            <w:pPr>
              <w:jc w:val="center"/>
              <w:rPr>
                <w:rFonts w:asciiTheme="majorHAnsi" w:hAnsiTheme="majorHAnsi" w:cstheme="majorHAnsi"/>
                <w:sz w:val="20"/>
                <w:szCs w:val="20"/>
              </w:rPr>
            </w:pPr>
            <w:r w:rsidRPr="0053555E">
              <w:rPr>
                <w:rFonts w:cs="Arial"/>
                <w:sz w:val="20"/>
                <w:szCs w:val="20"/>
              </w:rPr>
              <w:t>3</w:t>
            </w:r>
          </w:p>
        </w:tc>
        <w:tc>
          <w:tcPr>
            <w:tcW w:w="956" w:type="dxa"/>
            <w:tcBorders>
              <w:top w:val="nil"/>
              <w:left w:val="nil"/>
              <w:bottom w:val="single" w:sz="4" w:space="0" w:color="auto"/>
              <w:right w:val="single" w:sz="4" w:space="0" w:color="auto"/>
            </w:tcBorders>
            <w:shd w:val="clear" w:color="auto" w:fill="auto"/>
            <w:noWrap/>
            <w:vAlign w:val="center"/>
            <w:hideMark/>
          </w:tcPr>
          <w:p w14:paraId="2B3693D3" w14:textId="10E5FB31" w:rsidR="00F2303A" w:rsidRPr="0053555E" w:rsidRDefault="00F2303A" w:rsidP="00F2303A">
            <w:pPr>
              <w:jc w:val="center"/>
              <w:rPr>
                <w:rFonts w:asciiTheme="majorHAnsi" w:hAnsiTheme="majorHAnsi" w:cstheme="majorHAnsi"/>
                <w:sz w:val="20"/>
                <w:szCs w:val="20"/>
              </w:rPr>
            </w:pPr>
            <w:r w:rsidRPr="0053555E">
              <w:rPr>
                <w:rFonts w:cs="Arial"/>
                <w:sz w:val="20"/>
                <w:szCs w:val="20"/>
              </w:rPr>
              <w:t>3</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67D1D885" w14:textId="3FC59D40" w:rsidR="00F2303A" w:rsidRPr="0053555E" w:rsidRDefault="00F2303A" w:rsidP="00F2303A">
            <w:pPr>
              <w:jc w:val="center"/>
              <w:rPr>
                <w:rFonts w:asciiTheme="majorHAnsi" w:hAnsiTheme="majorHAnsi" w:cstheme="majorHAnsi"/>
                <w:sz w:val="20"/>
                <w:szCs w:val="20"/>
              </w:rPr>
            </w:pPr>
            <w:r w:rsidRPr="0053555E">
              <w:rPr>
                <w:rFonts w:cs="Arial"/>
                <w:sz w:val="20"/>
                <w:szCs w:val="20"/>
              </w:rPr>
              <w:t>3</w:t>
            </w:r>
          </w:p>
        </w:tc>
        <w:tc>
          <w:tcPr>
            <w:tcW w:w="957" w:type="dxa"/>
            <w:tcBorders>
              <w:top w:val="nil"/>
              <w:left w:val="nil"/>
              <w:bottom w:val="single" w:sz="4" w:space="0" w:color="auto"/>
              <w:right w:val="single" w:sz="4" w:space="0" w:color="auto"/>
            </w:tcBorders>
            <w:shd w:val="clear" w:color="auto" w:fill="auto"/>
            <w:noWrap/>
            <w:vAlign w:val="center"/>
            <w:hideMark/>
          </w:tcPr>
          <w:p w14:paraId="786C6278" w14:textId="5E319701" w:rsidR="00F2303A" w:rsidRPr="0053555E" w:rsidRDefault="00F2303A" w:rsidP="00F2303A">
            <w:pPr>
              <w:jc w:val="center"/>
              <w:rPr>
                <w:rFonts w:asciiTheme="majorHAnsi" w:hAnsiTheme="majorHAnsi" w:cstheme="majorHAnsi"/>
                <w:sz w:val="20"/>
                <w:szCs w:val="20"/>
              </w:rPr>
            </w:pPr>
            <w:r w:rsidRPr="0053555E">
              <w:rPr>
                <w:rFonts w:cs="Arial"/>
                <w:sz w:val="20"/>
                <w:szCs w:val="20"/>
              </w:rPr>
              <w:t>8</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710A94F8" w14:textId="1968B259" w:rsidR="00F2303A" w:rsidRPr="0053555E" w:rsidRDefault="00F2303A" w:rsidP="00F2303A">
            <w:pPr>
              <w:jc w:val="center"/>
              <w:rPr>
                <w:rFonts w:asciiTheme="majorHAnsi" w:hAnsiTheme="majorHAnsi" w:cstheme="majorHAnsi"/>
                <w:sz w:val="20"/>
                <w:szCs w:val="20"/>
              </w:rPr>
            </w:pPr>
            <w:r w:rsidRPr="0053555E">
              <w:rPr>
                <w:rFonts w:cs="Arial"/>
                <w:sz w:val="20"/>
                <w:szCs w:val="20"/>
              </w:rPr>
              <w:t>8</w:t>
            </w:r>
          </w:p>
        </w:tc>
        <w:tc>
          <w:tcPr>
            <w:tcW w:w="851" w:type="dxa"/>
            <w:tcBorders>
              <w:top w:val="nil"/>
              <w:left w:val="nil"/>
              <w:bottom w:val="single" w:sz="4" w:space="0" w:color="auto"/>
              <w:right w:val="single" w:sz="4" w:space="0" w:color="auto"/>
            </w:tcBorders>
            <w:shd w:val="clear" w:color="auto" w:fill="auto"/>
            <w:vAlign w:val="center"/>
          </w:tcPr>
          <w:p w14:paraId="3E01E634" w14:textId="5DD13B27" w:rsidR="00F2303A" w:rsidRPr="0053555E" w:rsidRDefault="00F2303A" w:rsidP="00F2303A">
            <w:pPr>
              <w:jc w:val="center"/>
              <w:rPr>
                <w:rFonts w:asciiTheme="majorHAnsi" w:hAnsiTheme="majorHAnsi" w:cstheme="majorHAnsi"/>
                <w:b/>
                <w:sz w:val="20"/>
                <w:szCs w:val="20"/>
              </w:rPr>
            </w:pPr>
            <w:r w:rsidRPr="0053555E">
              <w:rPr>
                <w:rFonts w:cs="Arial"/>
                <w:sz w:val="20"/>
                <w:szCs w:val="20"/>
              </w:rPr>
              <w:t>2</w:t>
            </w:r>
          </w:p>
        </w:tc>
      </w:tr>
      <w:tr w:rsidR="00F2303A" w:rsidRPr="0053555E" w14:paraId="4EC3D31C" w14:textId="77777777" w:rsidTr="00687B42">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348F63A" w14:textId="77777777" w:rsidR="00F2303A" w:rsidRPr="0053555E" w:rsidRDefault="00F2303A" w:rsidP="00F2303A">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MTF</w:t>
            </w:r>
          </w:p>
        </w:tc>
        <w:tc>
          <w:tcPr>
            <w:tcW w:w="956" w:type="dxa"/>
            <w:tcBorders>
              <w:top w:val="nil"/>
              <w:left w:val="nil"/>
              <w:bottom w:val="single" w:sz="4" w:space="0" w:color="auto"/>
              <w:right w:val="single" w:sz="4" w:space="0" w:color="auto"/>
            </w:tcBorders>
            <w:shd w:val="clear" w:color="auto" w:fill="auto"/>
            <w:noWrap/>
            <w:vAlign w:val="center"/>
            <w:hideMark/>
          </w:tcPr>
          <w:p w14:paraId="111AD714" w14:textId="62500AE6" w:rsidR="00F2303A" w:rsidRPr="0053555E" w:rsidRDefault="00F2303A" w:rsidP="00F2303A">
            <w:pPr>
              <w:jc w:val="center"/>
              <w:rPr>
                <w:rFonts w:asciiTheme="majorHAnsi" w:hAnsiTheme="majorHAnsi" w:cstheme="majorHAnsi"/>
                <w:sz w:val="20"/>
                <w:szCs w:val="20"/>
              </w:rPr>
            </w:pPr>
            <w:r w:rsidRPr="0053555E">
              <w:rPr>
                <w:rFonts w:cs="Arial"/>
                <w:sz w:val="20"/>
                <w:szCs w:val="20"/>
              </w:rPr>
              <w:t>10</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4DB9E318" w14:textId="4399ECAD" w:rsidR="00F2303A" w:rsidRPr="0053555E" w:rsidRDefault="00F2303A" w:rsidP="00F2303A">
            <w:pPr>
              <w:jc w:val="center"/>
              <w:rPr>
                <w:rFonts w:asciiTheme="majorHAnsi" w:hAnsiTheme="majorHAnsi" w:cstheme="majorHAnsi"/>
                <w:sz w:val="20"/>
                <w:szCs w:val="20"/>
              </w:rPr>
            </w:pPr>
            <w:r w:rsidRPr="0053555E">
              <w:rPr>
                <w:rFonts w:cs="Arial"/>
                <w:sz w:val="20"/>
                <w:szCs w:val="20"/>
              </w:rPr>
              <w:t>8</w:t>
            </w:r>
          </w:p>
        </w:tc>
        <w:tc>
          <w:tcPr>
            <w:tcW w:w="957" w:type="dxa"/>
            <w:tcBorders>
              <w:top w:val="nil"/>
              <w:left w:val="nil"/>
              <w:bottom w:val="single" w:sz="4" w:space="0" w:color="auto"/>
              <w:right w:val="single" w:sz="4" w:space="0" w:color="auto"/>
            </w:tcBorders>
            <w:shd w:val="clear" w:color="auto" w:fill="auto"/>
            <w:noWrap/>
            <w:vAlign w:val="center"/>
            <w:hideMark/>
          </w:tcPr>
          <w:p w14:paraId="6F49FED6" w14:textId="05EAFDC6" w:rsidR="00F2303A" w:rsidRPr="0053555E" w:rsidRDefault="00F2303A" w:rsidP="00F2303A">
            <w:pPr>
              <w:jc w:val="center"/>
              <w:rPr>
                <w:rFonts w:asciiTheme="majorHAnsi" w:hAnsiTheme="majorHAnsi" w:cstheme="majorHAnsi"/>
                <w:sz w:val="20"/>
                <w:szCs w:val="20"/>
              </w:rPr>
            </w:pPr>
            <w:r w:rsidRPr="0053555E">
              <w:rPr>
                <w:rFonts w:cs="Arial"/>
                <w:sz w:val="20"/>
                <w:szCs w:val="20"/>
              </w:rPr>
              <w:t>10</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04C23FE5" w14:textId="2BBBE5BB" w:rsidR="00F2303A" w:rsidRPr="0053555E" w:rsidRDefault="00F2303A" w:rsidP="00F2303A">
            <w:pPr>
              <w:jc w:val="center"/>
              <w:rPr>
                <w:rFonts w:asciiTheme="majorHAnsi" w:hAnsiTheme="majorHAnsi" w:cstheme="majorHAnsi"/>
                <w:sz w:val="20"/>
                <w:szCs w:val="20"/>
              </w:rPr>
            </w:pPr>
            <w:r w:rsidRPr="0053555E">
              <w:rPr>
                <w:rFonts w:cs="Arial"/>
                <w:sz w:val="20"/>
                <w:szCs w:val="20"/>
              </w:rPr>
              <w:t>8</w:t>
            </w:r>
          </w:p>
        </w:tc>
        <w:tc>
          <w:tcPr>
            <w:tcW w:w="956" w:type="dxa"/>
            <w:tcBorders>
              <w:top w:val="nil"/>
              <w:left w:val="nil"/>
              <w:bottom w:val="single" w:sz="4" w:space="0" w:color="auto"/>
              <w:right w:val="single" w:sz="4" w:space="0" w:color="auto"/>
            </w:tcBorders>
            <w:shd w:val="clear" w:color="auto" w:fill="auto"/>
            <w:noWrap/>
            <w:vAlign w:val="center"/>
            <w:hideMark/>
          </w:tcPr>
          <w:p w14:paraId="2B19FA40" w14:textId="6EF9B41C" w:rsidR="00F2303A" w:rsidRPr="0053555E" w:rsidRDefault="00F2303A" w:rsidP="00F2303A">
            <w:pPr>
              <w:jc w:val="center"/>
              <w:rPr>
                <w:rFonts w:asciiTheme="majorHAnsi" w:hAnsiTheme="majorHAnsi" w:cstheme="majorHAnsi"/>
                <w:sz w:val="20"/>
                <w:szCs w:val="20"/>
              </w:rPr>
            </w:pPr>
            <w:r w:rsidRPr="0053555E">
              <w:rPr>
                <w:rFonts w:cs="Arial"/>
                <w:sz w:val="20"/>
                <w:szCs w:val="20"/>
              </w:rPr>
              <w:t>8</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1EA23CB9" w14:textId="4462A1F0" w:rsidR="00F2303A" w:rsidRPr="0053555E" w:rsidRDefault="00F2303A" w:rsidP="00F2303A">
            <w:pPr>
              <w:jc w:val="center"/>
              <w:rPr>
                <w:rFonts w:asciiTheme="majorHAnsi" w:hAnsiTheme="majorHAnsi" w:cstheme="majorHAnsi"/>
                <w:sz w:val="20"/>
                <w:szCs w:val="20"/>
              </w:rPr>
            </w:pPr>
            <w:r w:rsidRPr="0053555E">
              <w:rPr>
                <w:rFonts w:cs="Arial"/>
                <w:sz w:val="20"/>
                <w:szCs w:val="20"/>
              </w:rPr>
              <w:t>5</w:t>
            </w:r>
          </w:p>
        </w:tc>
        <w:tc>
          <w:tcPr>
            <w:tcW w:w="957" w:type="dxa"/>
            <w:tcBorders>
              <w:top w:val="nil"/>
              <w:left w:val="nil"/>
              <w:bottom w:val="single" w:sz="4" w:space="0" w:color="auto"/>
              <w:right w:val="single" w:sz="4" w:space="0" w:color="auto"/>
            </w:tcBorders>
            <w:shd w:val="clear" w:color="auto" w:fill="auto"/>
            <w:noWrap/>
            <w:vAlign w:val="center"/>
            <w:hideMark/>
          </w:tcPr>
          <w:p w14:paraId="51004605" w14:textId="5ACFC337" w:rsidR="00F2303A" w:rsidRPr="0053555E" w:rsidRDefault="00F2303A" w:rsidP="00F2303A">
            <w:pPr>
              <w:jc w:val="center"/>
              <w:rPr>
                <w:rFonts w:asciiTheme="majorHAnsi" w:hAnsiTheme="majorHAnsi" w:cstheme="majorHAnsi"/>
                <w:sz w:val="20"/>
                <w:szCs w:val="20"/>
              </w:rPr>
            </w:pPr>
            <w:r w:rsidRPr="0053555E">
              <w:rPr>
                <w:rFonts w:cs="Arial"/>
                <w:sz w:val="20"/>
                <w:szCs w:val="20"/>
              </w:rPr>
              <w:t>28</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128B0C3B" w14:textId="42EBE237" w:rsidR="00F2303A" w:rsidRPr="0053555E" w:rsidRDefault="00F2303A" w:rsidP="00F2303A">
            <w:pPr>
              <w:jc w:val="center"/>
              <w:rPr>
                <w:rFonts w:asciiTheme="majorHAnsi" w:hAnsiTheme="majorHAnsi" w:cstheme="majorHAnsi"/>
                <w:sz w:val="20"/>
                <w:szCs w:val="20"/>
              </w:rPr>
            </w:pPr>
            <w:r w:rsidRPr="0053555E">
              <w:rPr>
                <w:rFonts w:cs="Arial"/>
                <w:sz w:val="20"/>
                <w:szCs w:val="20"/>
              </w:rPr>
              <w:t>21</w:t>
            </w:r>
          </w:p>
        </w:tc>
        <w:tc>
          <w:tcPr>
            <w:tcW w:w="851" w:type="dxa"/>
            <w:tcBorders>
              <w:top w:val="nil"/>
              <w:left w:val="nil"/>
              <w:bottom w:val="single" w:sz="4" w:space="0" w:color="auto"/>
              <w:right w:val="single" w:sz="4" w:space="0" w:color="auto"/>
            </w:tcBorders>
            <w:shd w:val="clear" w:color="auto" w:fill="auto"/>
            <w:vAlign w:val="center"/>
          </w:tcPr>
          <w:p w14:paraId="7B60E1D0" w14:textId="63EC0456" w:rsidR="00F2303A" w:rsidRPr="0053555E" w:rsidRDefault="00F2303A" w:rsidP="00F2303A">
            <w:pPr>
              <w:jc w:val="center"/>
              <w:rPr>
                <w:rFonts w:asciiTheme="majorHAnsi" w:hAnsiTheme="majorHAnsi" w:cstheme="majorHAnsi"/>
                <w:b/>
                <w:sz w:val="20"/>
                <w:szCs w:val="20"/>
              </w:rPr>
            </w:pPr>
            <w:r w:rsidRPr="0053555E">
              <w:rPr>
                <w:rFonts w:cs="Arial"/>
                <w:sz w:val="20"/>
                <w:szCs w:val="20"/>
              </w:rPr>
              <w:t>4</w:t>
            </w:r>
          </w:p>
        </w:tc>
      </w:tr>
      <w:tr w:rsidR="00F2303A" w:rsidRPr="0053555E" w14:paraId="23552334" w14:textId="77777777" w:rsidTr="00687B42">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986BE66" w14:textId="77777777" w:rsidR="00F2303A" w:rsidRPr="0053555E" w:rsidRDefault="00F2303A" w:rsidP="00F2303A">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FIIT</w:t>
            </w:r>
          </w:p>
        </w:tc>
        <w:tc>
          <w:tcPr>
            <w:tcW w:w="956" w:type="dxa"/>
            <w:tcBorders>
              <w:top w:val="nil"/>
              <w:left w:val="nil"/>
              <w:bottom w:val="single" w:sz="4" w:space="0" w:color="auto"/>
              <w:right w:val="single" w:sz="4" w:space="0" w:color="auto"/>
            </w:tcBorders>
            <w:shd w:val="clear" w:color="auto" w:fill="auto"/>
            <w:noWrap/>
            <w:vAlign w:val="center"/>
            <w:hideMark/>
          </w:tcPr>
          <w:p w14:paraId="5143381A" w14:textId="77BD21A3" w:rsidR="00F2303A" w:rsidRPr="0053555E" w:rsidRDefault="00F2303A" w:rsidP="00F2303A">
            <w:pPr>
              <w:jc w:val="center"/>
              <w:rPr>
                <w:rFonts w:asciiTheme="majorHAnsi" w:hAnsiTheme="majorHAnsi" w:cstheme="majorHAnsi"/>
                <w:sz w:val="20"/>
                <w:szCs w:val="20"/>
              </w:rPr>
            </w:pPr>
            <w:r w:rsidRPr="0053555E">
              <w:rPr>
                <w:rFonts w:cs="Arial"/>
                <w:sz w:val="20"/>
                <w:szCs w:val="20"/>
              </w:rPr>
              <w:t>6</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1ACC309D" w14:textId="4AEA4F2B" w:rsidR="00F2303A" w:rsidRPr="0053555E" w:rsidRDefault="00F2303A" w:rsidP="00F2303A">
            <w:pPr>
              <w:jc w:val="center"/>
              <w:rPr>
                <w:rFonts w:asciiTheme="majorHAnsi" w:hAnsiTheme="majorHAnsi" w:cstheme="majorHAnsi"/>
                <w:sz w:val="20"/>
                <w:szCs w:val="20"/>
              </w:rPr>
            </w:pPr>
            <w:r w:rsidRPr="0053555E">
              <w:rPr>
                <w:rFonts w:cs="Arial"/>
                <w:sz w:val="20"/>
                <w:szCs w:val="20"/>
              </w:rPr>
              <w:t>6</w:t>
            </w:r>
          </w:p>
        </w:tc>
        <w:tc>
          <w:tcPr>
            <w:tcW w:w="957" w:type="dxa"/>
            <w:tcBorders>
              <w:top w:val="nil"/>
              <w:left w:val="nil"/>
              <w:bottom w:val="single" w:sz="4" w:space="0" w:color="auto"/>
              <w:right w:val="single" w:sz="4" w:space="0" w:color="auto"/>
            </w:tcBorders>
            <w:shd w:val="clear" w:color="auto" w:fill="auto"/>
            <w:noWrap/>
            <w:vAlign w:val="center"/>
            <w:hideMark/>
          </w:tcPr>
          <w:p w14:paraId="2671B17B" w14:textId="0D8AE6AC" w:rsidR="00F2303A" w:rsidRPr="0053555E" w:rsidRDefault="00F2303A" w:rsidP="00F2303A">
            <w:pPr>
              <w:jc w:val="center"/>
              <w:rPr>
                <w:rFonts w:asciiTheme="majorHAnsi" w:hAnsiTheme="majorHAnsi" w:cstheme="majorHAnsi"/>
                <w:sz w:val="20"/>
                <w:szCs w:val="20"/>
              </w:rPr>
            </w:pPr>
            <w:r w:rsidRPr="0053555E">
              <w:rPr>
                <w:rFonts w:cs="Arial"/>
                <w:sz w:val="20"/>
                <w:szCs w:val="20"/>
              </w:rPr>
              <w:t>10</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72B2893B" w14:textId="768B13B3" w:rsidR="00F2303A" w:rsidRPr="0053555E" w:rsidRDefault="00F2303A" w:rsidP="00F2303A">
            <w:pPr>
              <w:jc w:val="center"/>
              <w:rPr>
                <w:rFonts w:asciiTheme="majorHAnsi" w:hAnsiTheme="majorHAnsi" w:cstheme="majorHAnsi"/>
                <w:sz w:val="20"/>
                <w:szCs w:val="20"/>
              </w:rPr>
            </w:pPr>
            <w:r w:rsidRPr="0053555E">
              <w:rPr>
                <w:rFonts w:cs="Arial"/>
                <w:sz w:val="20"/>
                <w:szCs w:val="20"/>
              </w:rPr>
              <w:t>6</w:t>
            </w:r>
          </w:p>
        </w:tc>
        <w:tc>
          <w:tcPr>
            <w:tcW w:w="956" w:type="dxa"/>
            <w:tcBorders>
              <w:top w:val="nil"/>
              <w:left w:val="nil"/>
              <w:bottom w:val="single" w:sz="4" w:space="0" w:color="auto"/>
              <w:right w:val="single" w:sz="4" w:space="0" w:color="auto"/>
            </w:tcBorders>
            <w:shd w:val="clear" w:color="auto" w:fill="auto"/>
            <w:noWrap/>
            <w:vAlign w:val="center"/>
            <w:hideMark/>
          </w:tcPr>
          <w:p w14:paraId="46479C90" w14:textId="4D82ED7D" w:rsidR="00F2303A" w:rsidRPr="0053555E" w:rsidRDefault="00F2303A" w:rsidP="00F2303A">
            <w:pPr>
              <w:jc w:val="center"/>
              <w:rPr>
                <w:rFonts w:asciiTheme="majorHAnsi" w:hAnsiTheme="majorHAnsi" w:cstheme="majorHAnsi"/>
                <w:sz w:val="20"/>
                <w:szCs w:val="20"/>
              </w:rPr>
            </w:pPr>
            <w:r w:rsidRPr="0053555E">
              <w:rPr>
                <w:rFonts w:cs="Arial"/>
                <w:sz w:val="20"/>
                <w:szCs w:val="20"/>
              </w:rPr>
              <w:t>2</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444E0B2A" w14:textId="004F9DF3" w:rsidR="00F2303A" w:rsidRPr="0053555E" w:rsidRDefault="00F2303A" w:rsidP="00F2303A">
            <w:pPr>
              <w:jc w:val="center"/>
              <w:rPr>
                <w:rFonts w:asciiTheme="majorHAnsi" w:hAnsiTheme="majorHAnsi" w:cstheme="majorHAnsi"/>
                <w:sz w:val="20"/>
                <w:szCs w:val="20"/>
              </w:rPr>
            </w:pPr>
            <w:r w:rsidRPr="0053555E">
              <w:rPr>
                <w:rFonts w:cs="Arial"/>
                <w:sz w:val="20"/>
                <w:szCs w:val="20"/>
              </w:rPr>
              <w:t>2</w:t>
            </w:r>
          </w:p>
        </w:tc>
        <w:tc>
          <w:tcPr>
            <w:tcW w:w="957" w:type="dxa"/>
            <w:tcBorders>
              <w:top w:val="nil"/>
              <w:left w:val="nil"/>
              <w:bottom w:val="single" w:sz="4" w:space="0" w:color="auto"/>
              <w:right w:val="single" w:sz="4" w:space="0" w:color="auto"/>
            </w:tcBorders>
            <w:shd w:val="clear" w:color="auto" w:fill="auto"/>
            <w:noWrap/>
            <w:vAlign w:val="center"/>
            <w:hideMark/>
          </w:tcPr>
          <w:p w14:paraId="010F35B6" w14:textId="6C67868E" w:rsidR="00F2303A" w:rsidRPr="0053555E" w:rsidRDefault="00F2303A" w:rsidP="00F2303A">
            <w:pPr>
              <w:jc w:val="center"/>
              <w:rPr>
                <w:rFonts w:asciiTheme="majorHAnsi" w:hAnsiTheme="majorHAnsi" w:cstheme="majorHAnsi"/>
                <w:sz w:val="20"/>
                <w:szCs w:val="20"/>
              </w:rPr>
            </w:pPr>
            <w:r w:rsidRPr="0053555E">
              <w:rPr>
                <w:rFonts w:cs="Arial"/>
                <w:sz w:val="20"/>
                <w:szCs w:val="20"/>
              </w:rPr>
              <w:t>18</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3F8C265D" w14:textId="101176B5" w:rsidR="00F2303A" w:rsidRPr="0053555E" w:rsidRDefault="00F2303A" w:rsidP="00F2303A">
            <w:pPr>
              <w:jc w:val="center"/>
              <w:rPr>
                <w:rFonts w:asciiTheme="majorHAnsi" w:hAnsiTheme="majorHAnsi" w:cstheme="majorHAnsi"/>
                <w:sz w:val="20"/>
                <w:szCs w:val="20"/>
              </w:rPr>
            </w:pPr>
            <w:r w:rsidRPr="0053555E">
              <w:rPr>
                <w:rFonts w:cs="Arial"/>
                <w:sz w:val="20"/>
                <w:szCs w:val="20"/>
              </w:rPr>
              <w:t>14</w:t>
            </w:r>
          </w:p>
        </w:tc>
        <w:tc>
          <w:tcPr>
            <w:tcW w:w="851" w:type="dxa"/>
            <w:tcBorders>
              <w:top w:val="nil"/>
              <w:left w:val="nil"/>
              <w:bottom w:val="single" w:sz="4" w:space="0" w:color="auto"/>
              <w:right w:val="single" w:sz="4" w:space="0" w:color="auto"/>
            </w:tcBorders>
            <w:shd w:val="clear" w:color="auto" w:fill="auto"/>
            <w:vAlign w:val="center"/>
          </w:tcPr>
          <w:p w14:paraId="7EA88DCE" w14:textId="6F878106" w:rsidR="00F2303A" w:rsidRPr="0053555E" w:rsidRDefault="00F2303A" w:rsidP="00F2303A">
            <w:pPr>
              <w:jc w:val="center"/>
              <w:rPr>
                <w:rFonts w:asciiTheme="majorHAnsi" w:hAnsiTheme="majorHAnsi" w:cstheme="majorHAnsi"/>
                <w:b/>
                <w:sz w:val="20"/>
                <w:szCs w:val="20"/>
              </w:rPr>
            </w:pPr>
            <w:r w:rsidRPr="0053555E">
              <w:rPr>
                <w:rFonts w:cs="Arial"/>
                <w:sz w:val="20"/>
                <w:szCs w:val="20"/>
              </w:rPr>
              <w:t>1</w:t>
            </w:r>
          </w:p>
        </w:tc>
      </w:tr>
      <w:tr w:rsidR="00F2303A" w:rsidRPr="0053555E" w14:paraId="59F8FF11" w14:textId="77777777" w:rsidTr="00687B42">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434560A" w14:textId="77777777" w:rsidR="00F2303A" w:rsidRPr="0053555E" w:rsidRDefault="00F2303A" w:rsidP="00F2303A">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ÚM</w:t>
            </w:r>
          </w:p>
        </w:tc>
        <w:tc>
          <w:tcPr>
            <w:tcW w:w="956" w:type="dxa"/>
            <w:tcBorders>
              <w:top w:val="nil"/>
              <w:left w:val="nil"/>
              <w:bottom w:val="single" w:sz="4" w:space="0" w:color="auto"/>
              <w:right w:val="single" w:sz="4" w:space="0" w:color="auto"/>
            </w:tcBorders>
            <w:shd w:val="clear" w:color="auto" w:fill="auto"/>
            <w:noWrap/>
            <w:vAlign w:val="center"/>
            <w:hideMark/>
          </w:tcPr>
          <w:p w14:paraId="36D5706F" w14:textId="56EDDACD" w:rsidR="00F2303A" w:rsidRPr="0053555E" w:rsidRDefault="00F2303A" w:rsidP="00F2303A">
            <w:pPr>
              <w:jc w:val="center"/>
              <w:rPr>
                <w:rFonts w:asciiTheme="majorHAnsi" w:hAnsiTheme="majorHAnsi" w:cstheme="majorHAnsi"/>
                <w:sz w:val="20"/>
                <w:szCs w:val="20"/>
              </w:rPr>
            </w:pPr>
            <w:r w:rsidRPr="0053555E">
              <w:rPr>
                <w:rFonts w:cs="Arial"/>
                <w:sz w:val="20"/>
                <w:szCs w:val="20"/>
              </w:rPr>
              <w:t>2</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35473202" w14:textId="7624F65F" w:rsidR="00F2303A" w:rsidRPr="0053555E" w:rsidRDefault="00F2303A" w:rsidP="00F2303A">
            <w:pPr>
              <w:jc w:val="center"/>
              <w:rPr>
                <w:rFonts w:asciiTheme="majorHAnsi" w:hAnsiTheme="majorHAnsi" w:cstheme="majorHAnsi"/>
                <w:sz w:val="20"/>
                <w:szCs w:val="20"/>
              </w:rPr>
            </w:pPr>
            <w:r w:rsidRPr="0053555E">
              <w:rPr>
                <w:rFonts w:cs="Arial"/>
                <w:sz w:val="20"/>
                <w:szCs w:val="20"/>
              </w:rPr>
              <w:t>2</w:t>
            </w:r>
          </w:p>
        </w:tc>
        <w:tc>
          <w:tcPr>
            <w:tcW w:w="957" w:type="dxa"/>
            <w:tcBorders>
              <w:top w:val="nil"/>
              <w:left w:val="nil"/>
              <w:bottom w:val="single" w:sz="4" w:space="0" w:color="auto"/>
              <w:right w:val="single" w:sz="4" w:space="0" w:color="auto"/>
            </w:tcBorders>
            <w:shd w:val="clear" w:color="auto" w:fill="auto"/>
            <w:noWrap/>
            <w:vAlign w:val="center"/>
            <w:hideMark/>
          </w:tcPr>
          <w:p w14:paraId="07564ED9" w14:textId="166CE6A9" w:rsidR="00F2303A" w:rsidRPr="0053555E" w:rsidRDefault="00F2303A" w:rsidP="00F2303A">
            <w:pPr>
              <w:jc w:val="center"/>
              <w:rPr>
                <w:rFonts w:asciiTheme="majorHAnsi" w:hAnsiTheme="majorHAnsi" w:cstheme="majorHAnsi"/>
                <w:sz w:val="20"/>
                <w:szCs w:val="20"/>
              </w:rPr>
            </w:pPr>
            <w:r w:rsidRPr="0053555E">
              <w:rPr>
                <w:rFonts w:cs="Arial"/>
                <w:sz w:val="20"/>
                <w:szCs w:val="20"/>
              </w:rPr>
              <w:t>2</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151B7F53" w14:textId="3975E913" w:rsidR="00F2303A" w:rsidRPr="0053555E" w:rsidRDefault="00F2303A" w:rsidP="00F2303A">
            <w:pPr>
              <w:jc w:val="center"/>
              <w:rPr>
                <w:rFonts w:asciiTheme="majorHAnsi" w:hAnsiTheme="majorHAnsi" w:cstheme="majorHAnsi"/>
                <w:sz w:val="20"/>
                <w:szCs w:val="20"/>
              </w:rPr>
            </w:pPr>
            <w:r w:rsidRPr="0053555E">
              <w:rPr>
                <w:rFonts w:cs="Arial"/>
                <w:sz w:val="20"/>
                <w:szCs w:val="20"/>
              </w:rPr>
              <w:t>2</w:t>
            </w:r>
          </w:p>
        </w:tc>
        <w:tc>
          <w:tcPr>
            <w:tcW w:w="956" w:type="dxa"/>
            <w:tcBorders>
              <w:top w:val="nil"/>
              <w:left w:val="nil"/>
              <w:bottom w:val="single" w:sz="4" w:space="0" w:color="auto"/>
              <w:right w:val="single" w:sz="4" w:space="0" w:color="auto"/>
            </w:tcBorders>
            <w:shd w:val="clear" w:color="auto" w:fill="auto"/>
            <w:noWrap/>
            <w:vAlign w:val="center"/>
            <w:hideMark/>
          </w:tcPr>
          <w:p w14:paraId="5AF0583C" w14:textId="43AE7F0B" w:rsidR="00F2303A" w:rsidRPr="0053555E" w:rsidRDefault="00F2303A" w:rsidP="00F2303A">
            <w:pPr>
              <w:jc w:val="center"/>
              <w:rPr>
                <w:rFonts w:asciiTheme="majorHAnsi" w:hAnsiTheme="majorHAnsi" w:cstheme="majorHAnsi"/>
                <w:sz w:val="20"/>
                <w:szCs w:val="20"/>
              </w:rPr>
            </w:pPr>
            <w:r w:rsidRPr="0053555E">
              <w:rPr>
                <w:rFonts w:cs="Arial"/>
                <w:sz w:val="20"/>
                <w:szCs w:val="20"/>
              </w:rPr>
              <w:t>2</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5175E1C5" w14:textId="4F54BA4F" w:rsidR="00F2303A" w:rsidRPr="0053555E" w:rsidRDefault="00F2303A" w:rsidP="00F2303A">
            <w:pPr>
              <w:jc w:val="center"/>
              <w:rPr>
                <w:rFonts w:asciiTheme="majorHAnsi" w:hAnsiTheme="majorHAnsi" w:cstheme="majorHAnsi"/>
                <w:sz w:val="20"/>
                <w:szCs w:val="20"/>
              </w:rPr>
            </w:pPr>
            <w:r w:rsidRPr="0053555E">
              <w:rPr>
                <w:rFonts w:cs="Arial"/>
                <w:sz w:val="20"/>
                <w:szCs w:val="20"/>
              </w:rPr>
              <w:t>2</w:t>
            </w:r>
          </w:p>
        </w:tc>
        <w:tc>
          <w:tcPr>
            <w:tcW w:w="957" w:type="dxa"/>
            <w:tcBorders>
              <w:top w:val="nil"/>
              <w:left w:val="nil"/>
              <w:bottom w:val="single" w:sz="4" w:space="0" w:color="auto"/>
              <w:right w:val="single" w:sz="4" w:space="0" w:color="auto"/>
            </w:tcBorders>
            <w:shd w:val="clear" w:color="auto" w:fill="auto"/>
            <w:noWrap/>
            <w:vAlign w:val="center"/>
            <w:hideMark/>
          </w:tcPr>
          <w:p w14:paraId="32631297" w14:textId="3C6D1EA6" w:rsidR="00F2303A" w:rsidRPr="0053555E" w:rsidRDefault="00F2303A" w:rsidP="00F2303A">
            <w:pPr>
              <w:jc w:val="center"/>
              <w:rPr>
                <w:rFonts w:asciiTheme="majorHAnsi" w:hAnsiTheme="majorHAnsi" w:cstheme="majorHAnsi"/>
                <w:sz w:val="20"/>
                <w:szCs w:val="20"/>
              </w:rPr>
            </w:pPr>
            <w:r w:rsidRPr="0053555E">
              <w:rPr>
                <w:rFonts w:cs="Arial"/>
                <w:sz w:val="20"/>
                <w:szCs w:val="20"/>
              </w:rPr>
              <w:t>6</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1DCD0466" w14:textId="70EE2E56" w:rsidR="00F2303A" w:rsidRPr="0053555E" w:rsidRDefault="00F2303A" w:rsidP="00F2303A">
            <w:pPr>
              <w:jc w:val="center"/>
              <w:rPr>
                <w:rFonts w:asciiTheme="majorHAnsi" w:hAnsiTheme="majorHAnsi" w:cstheme="majorHAnsi"/>
                <w:sz w:val="20"/>
                <w:szCs w:val="20"/>
              </w:rPr>
            </w:pPr>
            <w:r w:rsidRPr="0053555E">
              <w:rPr>
                <w:rFonts w:cs="Arial"/>
                <w:sz w:val="20"/>
                <w:szCs w:val="20"/>
              </w:rPr>
              <w:t>6</w:t>
            </w:r>
          </w:p>
        </w:tc>
        <w:tc>
          <w:tcPr>
            <w:tcW w:w="851" w:type="dxa"/>
            <w:tcBorders>
              <w:top w:val="nil"/>
              <w:left w:val="nil"/>
              <w:bottom w:val="single" w:sz="4" w:space="0" w:color="auto"/>
              <w:right w:val="single" w:sz="4" w:space="0" w:color="auto"/>
            </w:tcBorders>
            <w:shd w:val="clear" w:color="auto" w:fill="auto"/>
            <w:vAlign w:val="center"/>
          </w:tcPr>
          <w:p w14:paraId="5D2E72DA" w14:textId="2107128A" w:rsidR="00F2303A" w:rsidRPr="0053555E" w:rsidRDefault="00F2303A" w:rsidP="00F2303A">
            <w:pPr>
              <w:jc w:val="center"/>
              <w:rPr>
                <w:rFonts w:asciiTheme="majorHAnsi" w:hAnsiTheme="majorHAnsi" w:cstheme="majorHAnsi"/>
                <w:b/>
                <w:sz w:val="20"/>
                <w:szCs w:val="20"/>
              </w:rPr>
            </w:pPr>
            <w:r w:rsidRPr="0053555E">
              <w:rPr>
                <w:rFonts w:cs="Arial"/>
                <w:sz w:val="20"/>
                <w:szCs w:val="20"/>
              </w:rPr>
              <w:t>2</w:t>
            </w:r>
          </w:p>
        </w:tc>
      </w:tr>
      <w:tr w:rsidR="00F2303A" w:rsidRPr="0053555E" w14:paraId="6CDB4E65" w14:textId="77777777" w:rsidTr="00687B42">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05E2244" w14:textId="77777777" w:rsidR="00F2303A" w:rsidRPr="0053555E" w:rsidRDefault="00F2303A" w:rsidP="00F2303A">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STU</w:t>
            </w:r>
          </w:p>
        </w:tc>
        <w:tc>
          <w:tcPr>
            <w:tcW w:w="956" w:type="dxa"/>
            <w:tcBorders>
              <w:top w:val="nil"/>
              <w:left w:val="nil"/>
              <w:bottom w:val="single" w:sz="4" w:space="0" w:color="auto"/>
              <w:right w:val="single" w:sz="4" w:space="0" w:color="auto"/>
            </w:tcBorders>
            <w:shd w:val="clear" w:color="auto" w:fill="auto"/>
            <w:noWrap/>
            <w:vAlign w:val="center"/>
            <w:hideMark/>
          </w:tcPr>
          <w:p w14:paraId="7655648A" w14:textId="01367DB1" w:rsidR="00F2303A" w:rsidRPr="0053555E" w:rsidRDefault="00F2303A" w:rsidP="00F2303A">
            <w:pPr>
              <w:jc w:val="center"/>
              <w:rPr>
                <w:rFonts w:asciiTheme="majorHAnsi" w:hAnsiTheme="majorHAnsi" w:cstheme="majorHAnsi"/>
                <w:b/>
                <w:bCs/>
                <w:sz w:val="20"/>
                <w:szCs w:val="20"/>
              </w:rPr>
            </w:pPr>
            <w:r w:rsidRPr="0053555E">
              <w:rPr>
                <w:rFonts w:cs="Arial"/>
                <w:b/>
                <w:bCs/>
                <w:sz w:val="20"/>
                <w:szCs w:val="20"/>
              </w:rPr>
              <w:t>65</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44FEFA2B" w14:textId="39FD5478" w:rsidR="00F2303A" w:rsidRPr="0053555E" w:rsidRDefault="00F2303A" w:rsidP="00F2303A">
            <w:pPr>
              <w:jc w:val="center"/>
              <w:rPr>
                <w:rFonts w:asciiTheme="majorHAnsi" w:hAnsiTheme="majorHAnsi" w:cstheme="majorHAnsi"/>
                <w:b/>
                <w:bCs/>
                <w:sz w:val="20"/>
                <w:szCs w:val="20"/>
              </w:rPr>
            </w:pPr>
            <w:r w:rsidRPr="0053555E">
              <w:rPr>
                <w:rFonts w:cs="Arial"/>
                <w:b/>
                <w:bCs/>
                <w:sz w:val="20"/>
                <w:szCs w:val="20"/>
              </w:rPr>
              <w:t>58</w:t>
            </w:r>
          </w:p>
        </w:tc>
        <w:tc>
          <w:tcPr>
            <w:tcW w:w="957" w:type="dxa"/>
            <w:tcBorders>
              <w:top w:val="nil"/>
              <w:left w:val="nil"/>
              <w:bottom w:val="single" w:sz="4" w:space="0" w:color="auto"/>
              <w:right w:val="single" w:sz="4" w:space="0" w:color="auto"/>
            </w:tcBorders>
            <w:shd w:val="clear" w:color="auto" w:fill="auto"/>
            <w:noWrap/>
            <w:vAlign w:val="center"/>
            <w:hideMark/>
          </w:tcPr>
          <w:p w14:paraId="04D01D2A" w14:textId="43BB9A64" w:rsidR="00F2303A" w:rsidRPr="0053555E" w:rsidRDefault="00F2303A" w:rsidP="00F2303A">
            <w:pPr>
              <w:jc w:val="center"/>
              <w:rPr>
                <w:rFonts w:asciiTheme="majorHAnsi" w:hAnsiTheme="majorHAnsi" w:cstheme="majorHAnsi"/>
                <w:b/>
                <w:bCs/>
                <w:sz w:val="20"/>
                <w:szCs w:val="20"/>
              </w:rPr>
            </w:pPr>
            <w:r w:rsidRPr="0053555E">
              <w:rPr>
                <w:rFonts w:cs="Arial"/>
                <w:b/>
                <w:bCs/>
                <w:sz w:val="20"/>
                <w:szCs w:val="20"/>
              </w:rPr>
              <w:t>69</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3EFB8A0F" w14:textId="2C229D96" w:rsidR="00F2303A" w:rsidRPr="0053555E" w:rsidRDefault="00F2303A" w:rsidP="00F2303A">
            <w:pPr>
              <w:jc w:val="center"/>
              <w:rPr>
                <w:rFonts w:asciiTheme="majorHAnsi" w:hAnsiTheme="majorHAnsi" w:cstheme="majorHAnsi"/>
                <w:b/>
                <w:bCs/>
                <w:sz w:val="20"/>
                <w:szCs w:val="20"/>
              </w:rPr>
            </w:pPr>
            <w:r w:rsidRPr="0053555E">
              <w:rPr>
                <w:rFonts w:cs="Arial"/>
                <w:b/>
                <w:bCs/>
                <w:sz w:val="20"/>
                <w:szCs w:val="20"/>
              </w:rPr>
              <w:t>57</w:t>
            </w:r>
          </w:p>
        </w:tc>
        <w:tc>
          <w:tcPr>
            <w:tcW w:w="956" w:type="dxa"/>
            <w:tcBorders>
              <w:top w:val="nil"/>
              <w:left w:val="nil"/>
              <w:bottom w:val="single" w:sz="4" w:space="0" w:color="auto"/>
              <w:right w:val="single" w:sz="4" w:space="0" w:color="auto"/>
            </w:tcBorders>
            <w:shd w:val="clear" w:color="auto" w:fill="auto"/>
            <w:noWrap/>
            <w:vAlign w:val="center"/>
            <w:hideMark/>
          </w:tcPr>
          <w:p w14:paraId="52EC24F5" w14:textId="0B32F1F0" w:rsidR="00F2303A" w:rsidRPr="0053555E" w:rsidRDefault="00F2303A" w:rsidP="00F2303A">
            <w:pPr>
              <w:jc w:val="center"/>
              <w:rPr>
                <w:rFonts w:asciiTheme="majorHAnsi" w:hAnsiTheme="majorHAnsi" w:cstheme="majorHAnsi"/>
                <w:b/>
                <w:bCs/>
                <w:sz w:val="20"/>
                <w:szCs w:val="20"/>
              </w:rPr>
            </w:pPr>
            <w:r w:rsidRPr="0053555E">
              <w:rPr>
                <w:rFonts w:cs="Arial"/>
                <w:b/>
                <w:bCs/>
                <w:sz w:val="20"/>
                <w:szCs w:val="20"/>
              </w:rPr>
              <w:t>64</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4852BE18" w14:textId="6A6C8CE5" w:rsidR="00F2303A" w:rsidRPr="0053555E" w:rsidRDefault="00F2303A" w:rsidP="00F2303A">
            <w:pPr>
              <w:jc w:val="center"/>
              <w:rPr>
                <w:rFonts w:asciiTheme="majorHAnsi" w:hAnsiTheme="majorHAnsi" w:cstheme="majorHAnsi"/>
                <w:b/>
                <w:bCs/>
                <w:sz w:val="20"/>
                <w:szCs w:val="20"/>
              </w:rPr>
            </w:pPr>
            <w:r w:rsidRPr="0053555E">
              <w:rPr>
                <w:rFonts w:cs="Arial"/>
                <w:b/>
                <w:bCs/>
                <w:sz w:val="20"/>
                <w:szCs w:val="20"/>
              </w:rPr>
              <w:t>52</w:t>
            </w:r>
          </w:p>
        </w:tc>
        <w:tc>
          <w:tcPr>
            <w:tcW w:w="957" w:type="dxa"/>
            <w:tcBorders>
              <w:top w:val="nil"/>
              <w:left w:val="nil"/>
              <w:bottom w:val="single" w:sz="4" w:space="0" w:color="auto"/>
              <w:right w:val="single" w:sz="4" w:space="0" w:color="auto"/>
            </w:tcBorders>
            <w:shd w:val="clear" w:color="auto" w:fill="auto"/>
            <w:noWrap/>
            <w:vAlign w:val="center"/>
            <w:hideMark/>
          </w:tcPr>
          <w:p w14:paraId="2953788F" w14:textId="243977C9" w:rsidR="00F2303A" w:rsidRPr="0053555E" w:rsidRDefault="00F2303A" w:rsidP="00F2303A">
            <w:pPr>
              <w:jc w:val="center"/>
              <w:rPr>
                <w:rFonts w:asciiTheme="majorHAnsi" w:hAnsiTheme="majorHAnsi" w:cstheme="majorHAnsi"/>
                <w:b/>
                <w:bCs/>
                <w:sz w:val="20"/>
                <w:szCs w:val="20"/>
              </w:rPr>
            </w:pPr>
            <w:r w:rsidRPr="0053555E">
              <w:rPr>
                <w:rFonts w:cs="Arial"/>
                <w:b/>
                <w:bCs/>
                <w:sz w:val="20"/>
                <w:szCs w:val="20"/>
              </w:rPr>
              <w:t>198</w:t>
            </w:r>
          </w:p>
        </w:tc>
        <w:tc>
          <w:tcPr>
            <w:tcW w:w="957" w:type="dxa"/>
            <w:tcBorders>
              <w:top w:val="nil"/>
              <w:left w:val="nil"/>
              <w:bottom w:val="single" w:sz="4" w:space="0" w:color="auto"/>
              <w:right w:val="single" w:sz="4" w:space="0" w:color="auto"/>
            </w:tcBorders>
            <w:shd w:val="clear" w:color="auto" w:fill="EEECE1" w:themeFill="background2"/>
            <w:noWrap/>
            <w:vAlign w:val="center"/>
            <w:hideMark/>
          </w:tcPr>
          <w:p w14:paraId="0244D7A0" w14:textId="7D1B4410" w:rsidR="00F2303A" w:rsidRPr="0053555E" w:rsidRDefault="00F2303A" w:rsidP="00F2303A">
            <w:pPr>
              <w:jc w:val="center"/>
              <w:rPr>
                <w:rFonts w:asciiTheme="majorHAnsi" w:hAnsiTheme="majorHAnsi" w:cstheme="majorHAnsi"/>
                <w:b/>
                <w:bCs/>
                <w:sz w:val="20"/>
                <w:szCs w:val="20"/>
              </w:rPr>
            </w:pPr>
            <w:r w:rsidRPr="0053555E">
              <w:rPr>
                <w:rFonts w:cs="Arial"/>
                <w:b/>
                <w:bCs/>
                <w:sz w:val="20"/>
                <w:szCs w:val="20"/>
              </w:rPr>
              <w:t>167</w:t>
            </w:r>
          </w:p>
        </w:tc>
        <w:tc>
          <w:tcPr>
            <w:tcW w:w="851" w:type="dxa"/>
            <w:tcBorders>
              <w:top w:val="nil"/>
              <w:left w:val="nil"/>
              <w:bottom w:val="single" w:sz="4" w:space="0" w:color="auto"/>
              <w:right w:val="single" w:sz="4" w:space="0" w:color="auto"/>
            </w:tcBorders>
            <w:shd w:val="clear" w:color="auto" w:fill="auto"/>
            <w:vAlign w:val="center"/>
          </w:tcPr>
          <w:p w14:paraId="2610C827" w14:textId="4EEA6E45" w:rsidR="00F2303A" w:rsidRPr="0053555E" w:rsidRDefault="00F2303A" w:rsidP="00F2303A">
            <w:pPr>
              <w:jc w:val="center"/>
              <w:rPr>
                <w:rFonts w:asciiTheme="majorHAnsi" w:hAnsiTheme="majorHAnsi" w:cstheme="majorHAnsi"/>
                <w:b/>
                <w:bCs/>
                <w:sz w:val="20"/>
                <w:szCs w:val="20"/>
              </w:rPr>
            </w:pPr>
            <w:r w:rsidRPr="0053555E">
              <w:rPr>
                <w:rFonts w:cs="Arial"/>
                <w:b/>
                <w:bCs/>
                <w:sz w:val="20"/>
                <w:szCs w:val="20"/>
              </w:rPr>
              <w:t>19</w:t>
            </w:r>
          </w:p>
        </w:tc>
      </w:tr>
    </w:tbl>
    <w:p w14:paraId="345B5B73" w14:textId="77777777" w:rsidR="003B5AB8" w:rsidRPr="0053555E" w:rsidRDefault="003B5AB8" w:rsidP="003B5AB8">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Vysvetlivky:</w:t>
      </w:r>
    </w:p>
    <w:p w14:paraId="2FD00DD7" w14:textId="56BD1D1A" w:rsidR="003B5AB8" w:rsidRPr="0053555E" w:rsidRDefault="003B5AB8" w:rsidP="003B5AB8">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akreditované – počet akreditovaných študijných programov na začiatku akademického roka; stav k 1. 9. 202</w:t>
      </w:r>
      <w:r w:rsidR="00764160">
        <w:rPr>
          <w:rFonts w:asciiTheme="majorHAnsi" w:eastAsia="Times New Roman" w:hAnsiTheme="majorHAnsi" w:cstheme="majorHAnsi"/>
          <w:sz w:val="20"/>
          <w:szCs w:val="20"/>
          <w:lang w:eastAsia="sk-SK"/>
        </w:rPr>
        <w:t>1</w:t>
      </w:r>
    </w:p>
    <w:p w14:paraId="5BAFBA62" w14:textId="7CE80F1A" w:rsidR="003B5AB8" w:rsidRPr="0053555E" w:rsidRDefault="003B5AB8" w:rsidP="003B5AB8">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 xml:space="preserve">realizované – reálne uskutočňované študijné programy v akademickom roku </w:t>
      </w:r>
      <w:r w:rsidR="00EA24BA" w:rsidRPr="0053555E">
        <w:rPr>
          <w:rFonts w:asciiTheme="majorHAnsi" w:eastAsia="Times New Roman" w:hAnsiTheme="majorHAnsi" w:cstheme="majorHAnsi"/>
          <w:sz w:val="20"/>
          <w:szCs w:val="20"/>
          <w:lang w:eastAsia="sk-SK"/>
        </w:rPr>
        <w:t>2021/2022</w:t>
      </w:r>
      <w:r w:rsidRPr="0053555E">
        <w:rPr>
          <w:rFonts w:asciiTheme="majorHAnsi" w:eastAsia="Times New Roman" w:hAnsiTheme="majorHAnsi" w:cstheme="majorHAnsi"/>
          <w:sz w:val="20"/>
          <w:szCs w:val="20"/>
          <w:lang w:eastAsia="sk-SK"/>
        </w:rPr>
        <w:t xml:space="preserve"> (zdroj: AIS štatistiky počtu študentov)</w:t>
      </w:r>
    </w:p>
    <w:p w14:paraId="7F8E342A" w14:textId="1AA5E2C5" w:rsidR="003B5AB8" w:rsidRDefault="003B5AB8" w:rsidP="00E54142">
      <w:pPr>
        <w:tabs>
          <w:tab w:val="left" w:pos="9356"/>
        </w:tabs>
        <w:spacing w:after="120"/>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 xml:space="preserve">ŠO – študijné odbory, v ktorých boli v akademickom roku </w:t>
      </w:r>
      <w:r w:rsidR="00EA24BA" w:rsidRPr="0053555E">
        <w:rPr>
          <w:rFonts w:asciiTheme="majorHAnsi" w:eastAsia="Times New Roman" w:hAnsiTheme="majorHAnsi" w:cstheme="majorHAnsi"/>
          <w:sz w:val="20"/>
          <w:szCs w:val="20"/>
          <w:lang w:eastAsia="sk-SK"/>
        </w:rPr>
        <w:t>2021/2022</w:t>
      </w:r>
      <w:r w:rsidRPr="0053555E">
        <w:rPr>
          <w:rFonts w:asciiTheme="majorHAnsi" w:eastAsia="Times New Roman" w:hAnsiTheme="majorHAnsi" w:cstheme="majorHAnsi"/>
          <w:sz w:val="20"/>
          <w:szCs w:val="20"/>
          <w:lang w:eastAsia="sk-SK"/>
        </w:rPr>
        <w:t xml:space="preserve"> uskutočňované študijné programy na príslušnej súčasti STU, v prípade študijných programov v kombinácii dvoch študijných odborov, v počte sú zohľadnené obidva študijné odbory samostatne pre príslušnú súčasť STU</w:t>
      </w:r>
    </w:p>
    <w:p w14:paraId="1E598760" w14:textId="46984801" w:rsidR="00E54142" w:rsidRPr="0053555E" w:rsidRDefault="00E54142" w:rsidP="00E54142">
      <w:pPr>
        <w:tabs>
          <w:tab w:val="left" w:pos="9356"/>
        </w:tabs>
        <w:spacing w:after="120"/>
        <w:jc w:val="both"/>
        <w:rPr>
          <w:rFonts w:asciiTheme="majorHAnsi" w:hAnsiTheme="majorHAnsi" w:cstheme="majorHAnsi"/>
        </w:rPr>
      </w:pPr>
      <w:r w:rsidRPr="0053555E">
        <w:rPr>
          <w:rFonts w:asciiTheme="majorHAnsi" w:hAnsiTheme="majorHAnsi" w:cstheme="majorHAnsi"/>
        </w:rPr>
        <w:t>V akademickom roku 2021/2022 sa uskutočňovala výučba celkovo v </w:t>
      </w:r>
      <w:r w:rsidRPr="0053555E">
        <w:rPr>
          <w:rFonts w:asciiTheme="majorHAnsi" w:hAnsiTheme="majorHAnsi" w:cstheme="majorHAnsi"/>
          <w:b/>
        </w:rPr>
        <w:t>1</w:t>
      </w:r>
      <w:r>
        <w:rPr>
          <w:rFonts w:asciiTheme="majorHAnsi" w:hAnsiTheme="majorHAnsi" w:cstheme="majorHAnsi"/>
          <w:b/>
        </w:rPr>
        <w:t>6</w:t>
      </w:r>
      <w:r w:rsidRPr="0053555E">
        <w:rPr>
          <w:rFonts w:asciiTheme="majorHAnsi" w:hAnsiTheme="majorHAnsi" w:cstheme="majorHAnsi"/>
          <w:b/>
        </w:rPr>
        <w:t>7 študijných programoch v dennej forme štúdia v štátnom jazyku</w:t>
      </w:r>
      <w:r w:rsidRPr="0053555E">
        <w:rPr>
          <w:rFonts w:asciiTheme="majorHAnsi" w:hAnsiTheme="majorHAnsi" w:cstheme="majorHAnsi"/>
        </w:rPr>
        <w:t xml:space="preserve"> v štruktúre: </w:t>
      </w:r>
      <w:r>
        <w:rPr>
          <w:rFonts w:asciiTheme="majorHAnsi" w:hAnsiTheme="majorHAnsi" w:cstheme="majorHAnsi"/>
          <w:b/>
        </w:rPr>
        <w:t>58</w:t>
      </w:r>
      <w:r w:rsidRPr="0053555E">
        <w:rPr>
          <w:rFonts w:asciiTheme="majorHAnsi" w:hAnsiTheme="majorHAnsi" w:cstheme="majorHAnsi"/>
          <w:b/>
        </w:rPr>
        <w:t xml:space="preserve"> </w:t>
      </w:r>
      <w:r w:rsidRPr="0053555E">
        <w:rPr>
          <w:rFonts w:asciiTheme="majorHAnsi" w:hAnsiTheme="majorHAnsi" w:cstheme="majorHAnsi"/>
        </w:rPr>
        <w:t>ŠP na prvom stupni (Bc.)</w:t>
      </w:r>
      <w:r w:rsidRPr="002A389A">
        <w:rPr>
          <w:rFonts w:asciiTheme="majorHAnsi" w:hAnsiTheme="majorHAnsi" w:cstheme="majorHAnsi"/>
        </w:rPr>
        <w:t>,</w:t>
      </w:r>
      <w:r w:rsidRPr="0053555E">
        <w:rPr>
          <w:rFonts w:asciiTheme="majorHAnsi" w:hAnsiTheme="majorHAnsi" w:cstheme="majorHAnsi"/>
          <w:b/>
        </w:rPr>
        <w:t xml:space="preserve"> </w:t>
      </w:r>
      <w:r>
        <w:rPr>
          <w:rFonts w:asciiTheme="majorHAnsi" w:hAnsiTheme="majorHAnsi" w:cstheme="majorHAnsi"/>
          <w:b/>
        </w:rPr>
        <w:t>57</w:t>
      </w:r>
      <w:r w:rsidRPr="0053555E">
        <w:rPr>
          <w:rFonts w:asciiTheme="majorHAnsi" w:hAnsiTheme="majorHAnsi" w:cstheme="majorHAnsi"/>
          <w:b/>
        </w:rPr>
        <w:t xml:space="preserve"> </w:t>
      </w:r>
      <w:r w:rsidRPr="0053555E">
        <w:rPr>
          <w:rFonts w:asciiTheme="majorHAnsi" w:hAnsiTheme="majorHAnsi" w:cstheme="majorHAnsi"/>
        </w:rPr>
        <w:t>ŠP na druhom stupni (Ing./Mgr. art.),</w:t>
      </w:r>
      <w:r w:rsidRPr="0053555E">
        <w:rPr>
          <w:rFonts w:asciiTheme="majorHAnsi" w:hAnsiTheme="majorHAnsi" w:cstheme="majorHAnsi"/>
          <w:b/>
        </w:rPr>
        <w:t xml:space="preserve"> </w:t>
      </w:r>
      <w:r>
        <w:rPr>
          <w:rFonts w:asciiTheme="majorHAnsi" w:hAnsiTheme="majorHAnsi" w:cstheme="majorHAnsi"/>
          <w:b/>
        </w:rPr>
        <w:t>52</w:t>
      </w:r>
      <w:r w:rsidRPr="0053555E">
        <w:rPr>
          <w:rFonts w:asciiTheme="majorHAnsi" w:hAnsiTheme="majorHAnsi" w:cstheme="majorHAnsi"/>
          <w:b/>
        </w:rPr>
        <w:t xml:space="preserve"> </w:t>
      </w:r>
      <w:r w:rsidRPr="0053555E">
        <w:rPr>
          <w:rFonts w:asciiTheme="majorHAnsi" w:hAnsiTheme="majorHAnsi" w:cstheme="majorHAnsi"/>
        </w:rPr>
        <w:t xml:space="preserve">ŠP na treťom stupni (PhD./ArtD.) vysokoškolského vzdelávania. Ponuka študijných programov v rámci univerzity je na prvých dvoch stupňoch štúdia vyrovnaná, na treťom stupni </w:t>
      </w:r>
      <w:r>
        <w:rPr>
          <w:rFonts w:asciiTheme="majorHAnsi" w:hAnsiTheme="majorHAnsi" w:cstheme="majorHAnsi"/>
        </w:rPr>
        <w:t>bol</w:t>
      </w:r>
      <w:r w:rsidRPr="0053555E">
        <w:rPr>
          <w:rFonts w:asciiTheme="majorHAnsi" w:hAnsiTheme="majorHAnsi" w:cstheme="majorHAnsi"/>
        </w:rPr>
        <w:t xml:space="preserve"> počet realizovaných študijných programov nižší </w:t>
      </w:r>
      <w:r w:rsidRPr="00232A93">
        <w:rPr>
          <w:rFonts w:asciiTheme="majorHAnsi" w:hAnsiTheme="majorHAnsi" w:cstheme="majorHAnsi"/>
        </w:rPr>
        <w:t>(</w:t>
      </w:r>
      <w:r w:rsidRPr="00232A93">
        <w:rPr>
          <w:rFonts w:asciiTheme="majorHAnsi" w:hAnsiTheme="majorHAnsi" w:cstheme="majorHAnsi"/>
        </w:rPr>
        <w:fldChar w:fldCharType="begin"/>
      </w:r>
      <w:r w:rsidRPr="00232A93">
        <w:rPr>
          <w:rFonts w:asciiTheme="majorHAnsi" w:hAnsiTheme="majorHAnsi" w:cstheme="majorHAnsi"/>
        </w:rPr>
        <w:instrText xml:space="preserve"> REF _Ref474770970 \h  \* MERGEFORMAT </w:instrText>
      </w:r>
      <w:r w:rsidRPr="00232A93">
        <w:rPr>
          <w:rFonts w:asciiTheme="majorHAnsi" w:hAnsiTheme="majorHAnsi" w:cstheme="majorHAnsi"/>
        </w:rPr>
      </w:r>
      <w:r w:rsidRPr="00232A93">
        <w:rPr>
          <w:rFonts w:asciiTheme="majorHAnsi" w:hAnsiTheme="majorHAnsi" w:cstheme="majorHAnsi"/>
        </w:rPr>
        <w:fldChar w:fldCharType="separate"/>
      </w:r>
      <w:r w:rsidR="00EE1B59" w:rsidRPr="00232A93">
        <w:rPr>
          <w:rFonts w:asciiTheme="majorHAnsi" w:hAnsiTheme="majorHAnsi" w:cstheme="majorHAnsi"/>
        </w:rPr>
        <w:t>Graf č. 1</w:t>
      </w:r>
      <w:r w:rsidRPr="00232A93">
        <w:rPr>
          <w:rFonts w:asciiTheme="majorHAnsi" w:hAnsiTheme="majorHAnsi" w:cstheme="majorHAnsi"/>
        </w:rPr>
        <w:fldChar w:fldCharType="end"/>
      </w:r>
      <w:r w:rsidRPr="00232A93">
        <w:rPr>
          <w:rFonts w:asciiTheme="majorHAnsi" w:hAnsiTheme="majorHAnsi" w:cstheme="majorHAnsi"/>
        </w:rPr>
        <w:t>).</w:t>
      </w:r>
    </w:p>
    <w:p w14:paraId="024CAB67" w14:textId="6C798D6B" w:rsidR="00E54142" w:rsidRPr="0053555E" w:rsidRDefault="00E54142" w:rsidP="007F3AE8">
      <w:pPr>
        <w:tabs>
          <w:tab w:val="left" w:pos="9356"/>
        </w:tabs>
        <w:spacing w:after="120"/>
        <w:jc w:val="both"/>
        <w:rPr>
          <w:rFonts w:asciiTheme="majorHAnsi" w:hAnsiTheme="majorHAnsi" w:cstheme="majorHAnsi"/>
        </w:rPr>
      </w:pPr>
      <w:r w:rsidRPr="0053555E">
        <w:rPr>
          <w:rFonts w:asciiTheme="majorHAnsi" w:hAnsiTheme="majorHAnsi" w:cstheme="majorHAnsi"/>
        </w:rPr>
        <w:lastRenderedPageBreak/>
        <w:t xml:space="preserve">Väčšina študijných programov na STU bola uskutočňovaná v štátnom jazyku, aj napriek ponuke akreditovaných študijných programov v anglickom jazyku </w:t>
      </w:r>
      <w:r w:rsidRPr="0053555E">
        <w:rPr>
          <w:rFonts w:asciiTheme="majorHAnsi" w:hAnsiTheme="majorHAnsi" w:cstheme="majorHAnsi"/>
          <w:sz w:val="20"/>
        </w:rPr>
        <w:t>(</w:t>
      </w:r>
      <w:r w:rsidRPr="0053555E">
        <w:rPr>
          <w:rFonts w:asciiTheme="majorHAnsi" w:hAnsiTheme="majorHAnsi" w:cstheme="majorHAnsi"/>
          <w:sz w:val="20"/>
        </w:rPr>
        <w:fldChar w:fldCharType="begin"/>
      </w:r>
      <w:r w:rsidRPr="0053555E">
        <w:rPr>
          <w:rFonts w:asciiTheme="majorHAnsi" w:hAnsiTheme="majorHAnsi" w:cstheme="majorHAnsi"/>
          <w:sz w:val="20"/>
        </w:rPr>
        <w:instrText xml:space="preserve"> REF _Ref31705828 \h  \* MERGEFORMAT </w:instrText>
      </w:r>
      <w:r w:rsidRPr="0053555E">
        <w:rPr>
          <w:rFonts w:asciiTheme="majorHAnsi" w:hAnsiTheme="majorHAnsi" w:cstheme="majorHAnsi"/>
          <w:sz w:val="20"/>
        </w:rPr>
      </w:r>
      <w:r w:rsidRPr="0053555E">
        <w:rPr>
          <w:rFonts w:asciiTheme="majorHAnsi" w:hAnsiTheme="majorHAnsi" w:cstheme="majorHAnsi"/>
          <w:sz w:val="20"/>
        </w:rPr>
        <w:fldChar w:fldCharType="separate"/>
      </w:r>
      <w:r w:rsidR="00EE1B59" w:rsidRPr="00EE1B59">
        <w:rPr>
          <w:rFonts w:asciiTheme="majorHAnsi" w:hAnsiTheme="majorHAnsi" w:cstheme="majorHAnsi"/>
          <w:sz w:val="20"/>
        </w:rPr>
        <w:t>Tab. č. 4</w:t>
      </w:r>
      <w:r w:rsidRPr="0053555E">
        <w:rPr>
          <w:rFonts w:asciiTheme="majorHAnsi" w:hAnsiTheme="majorHAnsi" w:cstheme="majorHAnsi"/>
          <w:sz w:val="20"/>
        </w:rPr>
        <w:fldChar w:fldCharType="end"/>
      </w:r>
      <w:r w:rsidRPr="0053555E">
        <w:rPr>
          <w:rFonts w:asciiTheme="majorHAnsi" w:hAnsiTheme="majorHAnsi" w:cstheme="majorHAnsi"/>
          <w:sz w:val="20"/>
        </w:rPr>
        <w:t>)</w:t>
      </w:r>
      <w:r w:rsidR="007F3AE8">
        <w:rPr>
          <w:rFonts w:asciiTheme="majorHAnsi" w:hAnsiTheme="majorHAnsi" w:cstheme="majorHAnsi"/>
        </w:rPr>
        <w:t xml:space="preserve">. </w:t>
      </w:r>
      <w:r w:rsidRPr="0053555E">
        <w:rPr>
          <w:rFonts w:asciiTheme="majorHAnsi" w:hAnsiTheme="majorHAnsi" w:cstheme="majorHAnsi"/>
          <w:b/>
        </w:rPr>
        <w:t>V externej forme štúdia v štátnom jazyku</w:t>
      </w:r>
      <w:r w:rsidRPr="0053555E">
        <w:rPr>
          <w:rFonts w:asciiTheme="majorHAnsi" w:hAnsiTheme="majorHAnsi" w:cstheme="majorHAnsi"/>
        </w:rPr>
        <w:t xml:space="preserve"> sa uskutočňovala výučba celkovo v </w:t>
      </w:r>
      <w:r>
        <w:rPr>
          <w:rFonts w:asciiTheme="majorHAnsi" w:hAnsiTheme="majorHAnsi" w:cstheme="majorHAnsi"/>
          <w:b/>
        </w:rPr>
        <w:t>43</w:t>
      </w:r>
      <w:r w:rsidRPr="0053555E">
        <w:rPr>
          <w:rFonts w:asciiTheme="majorHAnsi" w:hAnsiTheme="majorHAnsi" w:cstheme="majorHAnsi"/>
          <w:b/>
        </w:rPr>
        <w:t xml:space="preserve"> doktorandských študijných programoch</w:t>
      </w:r>
      <w:r w:rsidRPr="0053555E">
        <w:rPr>
          <w:rFonts w:asciiTheme="majorHAnsi" w:hAnsiTheme="majorHAnsi" w:cstheme="majorHAnsi"/>
        </w:rPr>
        <w:t>.</w:t>
      </w:r>
    </w:p>
    <w:p w14:paraId="68F95E94" w14:textId="77777777" w:rsidR="00E54142" w:rsidRPr="0053555E" w:rsidRDefault="00E54142" w:rsidP="003B5AB8">
      <w:pPr>
        <w:tabs>
          <w:tab w:val="left" w:pos="9356"/>
        </w:tabs>
        <w:jc w:val="both"/>
        <w:rPr>
          <w:rFonts w:asciiTheme="majorHAnsi" w:eastAsia="Times New Roman" w:hAnsiTheme="majorHAnsi" w:cstheme="majorHAnsi"/>
          <w:sz w:val="20"/>
          <w:szCs w:val="20"/>
          <w:lang w:eastAsia="sk-SK"/>
        </w:rPr>
      </w:pPr>
    </w:p>
    <w:p w14:paraId="3A58CCB9" w14:textId="38369C2D" w:rsidR="003B5AB8" w:rsidRPr="0053555E" w:rsidRDefault="007E59F8" w:rsidP="000E3322">
      <w:pPr>
        <w:pStyle w:val="Popis"/>
      </w:pPr>
      <w:bookmarkStart w:id="11" w:name="_Ref474770970"/>
      <w:bookmarkStart w:id="12" w:name="_Ref127110826"/>
      <w:bookmarkStart w:id="13" w:name="_Toc127593329"/>
      <w:r w:rsidRPr="0053555E">
        <w:t xml:space="preserve">Graf č. </w:t>
      </w:r>
      <w:r w:rsidR="007B5953">
        <w:fldChar w:fldCharType="begin"/>
      </w:r>
      <w:r w:rsidR="007B5953">
        <w:instrText xml:space="preserve"> SEQ Graf_č. \* ARABIC </w:instrText>
      </w:r>
      <w:r w:rsidR="007B5953">
        <w:fldChar w:fldCharType="separate"/>
      </w:r>
      <w:r w:rsidR="00EE1B59">
        <w:rPr>
          <w:noProof/>
        </w:rPr>
        <w:t>1</w:t>
      </w:r>
      <w:r w:rsidR="007B5953">
        <w:rPr>
          <w:noProof/>
        </w:rPr>
        <w:fldChar w:fldCharType="end"/>
      </w:r>
      <w:bookmarkEnd w:id="11"/>
      <w:r w:rsidR="003B5AB8" w:rsidRPr="0053555E">
        <w:t xml:space="preserve">: Študijné programy v dennej forme, v ktorých bola uskutočňovaná výučba v akademickom roku </w:t>
      </w:r>
      <w:r w:rsidR="00EA24BA" w:rsidRPr="0053555E">
        <w:t>2021/2022</w:t>
      </w:r>
      <w:bookmarkEnd w:id="12"/>
      <w:bookmarkEnd w:id="13"/>
      <w:r w:rsidR="003B5AB8" w:rsidRPr="0053555E">
        <w:t xml:space="preserve"> </w:t>
      </w:r>
    </w:p>
    <w:p w14:paraId="0B957191" w14:textId="45199962" w:rsidR="008D0C72" w:rsidRDefault="008D0C72" w:rsidP="00B733B7">
      <w:pPr>
        <w:jc w:val="center"/>
      </w:pPr>
      <w:r w:rsidRPr="0053555E">
        <w:rPr>
          <w:noProof/>
          <w:lang w:eastAsia="sk-SK"/>
        </w:rPr>
        <w:drawing>
          <wp:inline distT="0" distB="0" distL="0" distR="0" wp14:anchorId="5710571F" wp14:editId="01FF8E5D">
            <wp:extent cx="4023360" cy="2512612"/>
            <wp:effectExtent l="0" t="0" r="0" b="2540"/>
            <wp:docPr id="20" name="Graf 2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2747BF" w14:textId="01A441CD" w:rsidR="003B5AB8" w:rsidRDefault="003B5AB8" w:rsidP="005C555B">
      <w:pPr>
        <w:tabs>
          <w:tab w:val="left" w:pos="9356"/>
        </w:tabs>
        <w:spacing w:after="120"/>
        <w:jc w:val="both"/>
        <w:rPr>
          <w:rFonts w:asciiTheme="majorHAnsi" w:hAnsiTheme="majorHAnsi" w:cstheme="majorHAnsi"/>
        </w:rPr>
      </w:pPr>
      <w:r w:rsidRPr="0053555E">
        <w:rPr>
          <w:rFonts w:asciiTheme="majorHAnsi" w:hAnsiTheme="majorHAnsi" w:cstheme="majorHAnsi"/>
        </w:rPr>
        <w:t xml:space="preserve">Celkový prehľad študijných programov uskutočňovaných </w:t>
      </w:r>
      <w:r w:rsidR="007F3AE8">
        <w:rPr>
          <w:rFonts w:asciiTheme="majorHAnsi" w:hAnsiTheme="majorHAnsi" w:cstheme="majorHAnsi"/>
        </w:rPr>
        <w:t>v štátnom a</w:t>
      </w:r>
      <w:r w:rsidRPr="0053555E">
        <w:rPr>
          <w:rFonts w:asciiTheme="majorHAnsi" w:hAnsiTheme="majorHAnsi" w:cstheme="majorHAnsi"/>
        </w:rPr>
        <w:t xml:space="preserve"> anglickom jazyku v akademickom roku </w:t>
      </w:r>
      <w:r w:rsidR="00EA24BA" w:rsidRPr="0053555E">
        <w:rPr>
          <w:rFonts w:asciiTheme="majorHAnsi" w:hAnsiTheme="majorHAnsi" w:cstheme="majorHAnsi"/>
        </w:rPr>
        <w:t>2021/2022</w:t>
      </w:r>
      <w:r w:rsidRPr="0053555E">
        <w:rPr>
          <w:rFonts w:asciiTheme="majorHAnsi" w:hAnsiTheme="majorHAnsi" w:cstheme="majorHAnsi"/>
        </w:rPr>
        <w:t xml:space="preserve"> na jednotlivých stupňoch štúdia je uvedený v</w:t>
      </w:r>
      <w:r w:rsidR="00AA6753">
        <w:rPr>
          <w:rFonts w:asciiTheme="majorHAnsi" w:hAnsiTheme="majorHAnsi" w:cstheme="majorHAnsi"/>
        </w:rPr>
        <w:t xml:space="preserve"> </w:t>
      </w:r>
      <w:r w:rsidR="00AA6753" w:rsidRPr="00232A93">
        <w:rPr>
          <w:rFonts w:asciiTheme="majorHAnsi" w:hAnsiTheme="majorHAnsi" w:cstheme="majorHAnsi"/>
        </w:rPr>
        <w:fldChar w:fldCharType="begin"/>
      </w:r>
      <w:r w:rsidR="00AA6753" w:rsidRPr="00232A93">
        <w:rPr>
          <w:rFonts w:asciiTheme="majorHAnsi" w:hAnsiTheme="majorHAnsi" w:cstheme="majorHAnsi"/>
        </w:rPr>
        <w:instrText xml:space="preserve"> REF _Ref127191158 \h  \* MERGEFORMAT </w:instrText>
      </w:r>
      <w:r w:rsidR="00AA6753" w:rsidRPr="00232A93">
        <w:rPr>
          <w:rFonts w:asciiTheme="majorHAnsi" w:hAnsiTheme="majorHAnsi" w:cstheme="majorHAnsi"/>
        </w:rPr>
      </w:r>
      <w:r w:rsidR="00AA6753" w:rsidRPr="00232A93">
        <w:rPr>
          <w:rFonts w:asciiTheme="majorHAnsi" w:hAnsiTheme="majorHAnsi" w:cstheme="majorHAnsi"/>
        </w:rPr>
        <w:fldChar w:fldCharType="separate"/>
      </w:r>
      <w:r w:rsidR="00EE1B59" w:rsidRPr="00232A93">
        <w:t xml:space="preserve">Tab. č. </w:t>
      </w:r>
      <w:r w:rsidR="00EE1B59" w:rsidRPr="00232A93">
        <w:rPr>
          <w:noProof/>
        </w:rPr>
        <w:t>3</w:t>
      </w:r>
      <w:r w:rsidR="00AA6753" w:rsidRPr="00232A93">
        <w:rPr>
          <w:rFonts w:asciiTheme="majorHAnsi" w:hAnsiTheme="majorHAnsi" w:cstheme="majorHAnsi"/>
        </w:rPr>
        <w:fldChar w:fldCharType="end"/>
      </w:r>
      <w:r w:rsidRPr="00232A93">
        <w:rPr>
          <w:rFonts w:asciiTheme="majorHAnsi" w:hAnsiTheme="majorHAnsi" w:cstheme="majorHAnsi"/>
        </w:rPr>
        <w:t>.</w:t>
      </w:r>
    </w:p>
    <w:p w14:paraId="2DF86D37" w14:textId="70320971" w:rsidR="003B5AB8" w:rsidRPr="0053555E" w:rsidRDefault="007E59F8" w:rsidP="000E3322">
      <w:pPr>
        <w:pStyle w:val="Popis"/>
      </w:pPr>
      <w:bookmarkStart w:id="14" w:name="_Ref127191158"/>
      <w:bookmarkStart w:id="15" w:name="_Toc127593266"/>
      <w:r w:rsidRPr="0053555E">
        <w:t xml:space="preserve">Tab. č. </w:t>
      </w:r>
      <w:r w:rsidR="007B5953">
        <w:fldChar w:fldCharType="begin"/>
      </w:r>
      <w:r w:rsidR="007B5953">
        <w:instrText xml:space="preserve"> SEQ Tab._č. \* ARABIC </w:instrText>
      </w:r>
      <w:r w:rsidR="007B5953">
        <w:fldChar w:fldCharType="separate"/>
      </w:r>
      <w:r w:rsidR="00EE1B59">
        <w:rPr>
          <w:noProof/>
        </w:rPr>
        <w:t>3</w:t>
      </w:r>
      <w:r w:rsidR="007B5953">
        <w:rPr>
          <w:noProof/>
        </w:rPr>
        <w:fldChar w:fldCharType="end"/>
      </w:r>
      <w:bookmarkEnd w:id="14"/>
      <w:r w:rsidR="00C82E39" w:rsidRPr="0053555E">
        <w:t xml:space="preserve">: </w:t>
      </w:r>
      <w:r w:rsidR="003B5AB8" w:rsidRPr="0053555E">
        <w:t xml:space="preserve">Prehľad študijných programov podľa jazyka, v ktorom boli uskutočňované v akademickom roku </w:t>
      </w:r>
      <w:r w:rsidR="00EA24BA" w:rsidRPr="0053555E">
        <w:t>2021/2022</w:t>
      </w:r>
      <w:bookmarkEnd w:id="15"/>
    </w:p>
    <w:tbl>
      <w:tblPr>
        <w:tblW w:w="9493" w:type="dxa"/>
        <w:tblLayout w:type="fixed"/>
        <w:tblCellMar>
          <w:left w:w="70" w:type="dxa"/>
          <w:right w:w="70" w:type="dxa"/>
        </w:tblCellMar>
        <w:tblLook w:val="04A0" w:firstRow="1" w:lastRow="0" w:firstColumn="1" w:lastColumn="0" w:noHBand="0" w:noVBand="1"/>
      </w:tblPr>
      <w:tblGrid>
        <w:gridCol w:w="1900"/>
        <w:gridCol w:w="1265"/>
        <w:gridCol w:w="1266"/>
        <w:gridCol w:w="1265"/>
        <w:gridCol w:w="1266"/>
        <w:gridCol w:w="1265"/>
        <w:gridCol w:w="1266"/>
      </w:tblGrid>
      <w:tr w:rsidR="003B5AB8" w:rsidRPr="0053555E" w14:paraId="0DBE136E" w14:textId="77777777" w:rsidTr="00850C5E">
        <w:trPr>
          <w:trHeight w:val="255"/>
        </w:trPr>
        <w:tc>
          <w:tcPr>
            <w:tcW w:w="1900" w:type="dxa"/>
            <w:vMerge w:val="restart"/>
            <w:tcBorders>
              <w:top w:val="single" w:sz="4" w:space="0" w:color="auto"/>
              <w:left w:val="single" w:sz="4" w:space="0" w:color="auto"/>
              <w:right w:val="single" w:sz="4" w:space="0" w:color="auto"/>
            </w:tcBorders>
            <w:shd w:val="clear" w:color="auto" w:fill="auto"/>
            <w:vAlign w:val="center"/>
          </w:tcPr>
          <w:p w14:paraId="2E829027" w14:textId="77777777" w:rsidR="003B5AB8" w:rsidRPr="0053555E" w:rsidRDefault="003B5AB8" w:rsidP="001605FB">
            <w:pPr>
              <w:tabs>
                <w:tab w:val="left" w:pos="9356"/>
              </w:tabs>
              <w:jc w:val="both"/>
              <w:rPr>
                <w:rFonts w:asciiTheme="majorHAnsi" w:eastAsia="Times New Roman" w:hAnsiTheme="majorHAnsi" w:cstheme="majorHAnsi"/>
                <w:b/>
                <w:bCs/>
                <w:sz w:val="20"/>
                <w:szCs w:val="20"/>
                <w:lang w:eastAsia="sk-SK"/>
              </w:rPr>
            </w:pPr>
          </w:p>
        </w:tc>
        <w:tc>
          <w:tcPr>
            <w:tcW w:w="7593" w:type="dxa"/>
            <w:gridSpan w:val="6"/>
            <w:tcBorders>
              <w:top w:val="single" w:sz="4" w:space="0" w:color="auto"/>
              <w:left w:val="nil"/>
              <w:bottom w:val="single" w:sz="4" w:space="0" w:color="auto"/>
              <w:right w:val="single" w:sz="4" w:space="0" w:color="000000"/>
            </w:tcBorders>
            <w:shd w:val="clear" w:color="auto" w:fill="auto"/>
            <w:vAlign w:val="center"/>
            <w:hideMark/>
          </w:tcPr>
          <w:p w14:paraId="61E0F258" w14:textId="77777777" w:rsidR="003B5AB8" w:rsidRPr="0053555E" w:rsidRDefault="003B5AB8" w:rsidP="001605FB">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Študijný program</w:t>
            </w:r>
          </w:p>
        </w:tc>
      </w:tr>
      <w:tr w:rsidR="003B5AB8" w:rsidRPr="0053555E" w14:paraId="3386FA29" w14:textId="77777777" w:rsidTr="00850C5E">
        <w:trPr>
          <w:trHeight w:val="255"/>
        </w:trPr>
        <w:tc>
          <w:tcPr>
            <w:tcW w:w="1900" w:type="dxa"/>
            <w:vMerge/>
            <w:tcBorders>
              <w:left w:val="single" w:sz="4" w:space="0" w:color="auto"/>
              <w:right w:val="single" w:sz="4" w:space="0" w:color="auto"/>
            </w:tcBorders>
            <w:vAlign w:val="center"/>
          </w:tcPr>
          <w:p w14:paraId="4FFC274B" w14:textId="77777777" w:rsidR="003B5AB8" w:rsidRPr="0053555E" w:rsidRDefault="003B5AB8" w:rsidP="001605FB">
            <w:pPr>
              <w:tabs>
                <w:tab w:val="left" w:pos="9356"/>
              </w:tabs>
              <w:jc w:val="both"/>
              <w:rPr>
                <w:rFonts w:asciiTheme="majorHAnsi" w:eastAsia="Times New Roman" w:hAnsiTheme="majorHAnsi" w:cstheme="majorHAnsi"/>
                <w:b/>
                <w:bCs/>
                <w:sz w:val="20"/>
                <w:szCs w:val="20"/>
                <w:lang w:eastAsia="sk-SK"/>
              </w:rPr>
            </w:pPr>
          </w:p>
        </w:tc>
        <w:tc>
          <w:tcPr>
            <w:tcW w:w="2531" w:type="dxa"/>
            <w:gridSpan w:val="2"/>
            <w:tcBorders>
              <w:top w:val="single" w:sz="4" w:space="0" w:color="auto"/>
              <w:left w:val="nil"/>
              <w:bottom w:val="single" w:sz="4" w:space="0" w:color="auto"/>
              <w:right w:val="single" w:sz="4" w:space="0" w:color="000000"/>
            </w:tcBorders>
            <w:shd w:val="clear" w:color="auto" w:fill="auto"/>
            <w:vAlign w:val="center"/>
            <w:hideMark/>
          </w:tcPr>
          <w:p w14:paraId="177C5B44" w14:textId="77777777" w:rsidR="003B5AB8" w:rsidRPr="0053555E" w:rsidRDefault="0033409F" w:rsidP="0033409F">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I.</w:t>
            </w:r>
            <w:r w:rsidRPr="0053555E">
              <w:rPr>
                <w:rFonts w:asciiTheme="majorHAnsi" w:hAnsiTheme="majorHAnsi" w:cstheme="majorHAnsi"/>
                <w:b/>
                <w:bCs/>
                <w:sz w:val="20"/>
                <w:szCs w:val="20"/>
              </w:rPr>
              <w:t xml:space="preserve"> stupeň</w:t>
            </w:r>
          </w:p>
        </w:tc>
        <w:tc>
          <w:tcPr>
            <w:tcW w:w="2531" w:type="dxa"/>
            <w:gridSpan w:val="2"/>
            <w:tcBorders>
              <w:top w:val="single" w:sz="4" w:space="0" w:color="auto"/>
              <w:left w:val="nil"/>
              <w:bottom w:val="single" w:sz="4" w:space="0" w:color="auto"/>
              <w:right w:val="single" w:sz="4" w:space="0" w:color="000000"/>
            </w:tcBorders>
            <w:shd w:val="clear" w:color="auto" w:fill="auto"/>
            <w:vAlign w:val="center"/>
            <w:hideMark/>
          </w:tcPr>
          <w:p w14:paraId="18C5EC37" w14:textId="77777777" w:rsidR="003B5AB8" w:rsidRPr="0053555E" w:rsidRDefault="0033409F" w:rsidP="001605FB">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II. stupeň</w:t>
            </w:r>
          </w:p>
        </w:tc>
        <w:tc>
          <w:tcPr>
            <w:tcW w:w="2531" w:type="dxa"/>
            <w:gridSpan w:val="2"/>
            <w:tcBorders>
              <w:top w:val="single" w:sz="4" w:space="0" w:color="auto"/>
              <w:left w:val="nil"/>
              <w:bottom w:val="single" w:sz="4" w:space="0" w:color="auto"/>
              <w:right w:val="single" w:sz="4" w:space="0" w:color="000000"/>
            </w:tcBorders>
            <w:shd w:val="clear" w:color="auto" w:fill="auto"/>
            <w:vAlign w:val="center"/>
            <w:hideMark/>
          </w:tcPr>
          <w:p w14:paraId="7C03A968" w14:textId="77777777" w:rsidR="003B5AB8" w:rsidRPr="0053555E" w:rsidRDefault="0033409F" w:rsidP="001605FB">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III. stupeň</w:t>
            </w:r>
          </w:p>
        </w:tc>
      </w:tr>
      <w:tr w:rsidR="003B5AB8" w:rsidRPr="0053555E" w14:paraId="74A3AF27" w14:textId="77777777" w:rsidTr="00850C5E">
        <w:trPr>
          <w:trHeight w:val="255"/>
        </w:trPr>
        <w:tc>
          <w:tcPr>
            <w:tcW w:w="1900" w:type="dxa"/>
            <w:vMerge/>
            <w:tcBorders>
              <w:left w:val="single" w:sz="4" w:space="0" w:color="auto"/>
              <w:bottom w:val="single" w:sz="4" w:space="0" w:color="auto"/>
              <w:right w:val="single" w:sz="4" w:space="0" w:color="auto"/>
            </w:tcBorders>
            <w:shd w:val="clear" w:color="auto" w:fill="auto"/>
            <w:noWrap/>
            <w:vAlign w:val="center"/>
          </w:tcPr>
          <w:p w14:paraId="5C37C8A4" w14:textId="77777777" w:rsidR="003B5AB8" w:rsidRPr="0053555E" w:rsidRDefault="003B5AB8" w:rsidP="001605FB">
            <w:pPr>
              <w:tabs>
                <w:tab w:val="left" w:pos="9356"/>
              </w:tabs>
              <w:jc w:val="both"/>
              <w:rPr>
                <w:rFonts w:asciiTheme="majorHAnsi" w:eastAsia="Times New Roman" w:hAnsiTheme="majorHAnsi" w:cstheme="majorHAnsi"/>
                <w:sz w:val="20"/>
                <w:szCs w:val="20"/>
                <w:lang w:eastAsia="sk-SK"/>
              </w:rPr>
            </w:pPr>
          </w:p>
        </w:tc>
        <w:tc>
          <w:tcPr>
            <w:tcW w:w="1265" w:type="dxa"/>
            <w:tcBorders>
              <w:top w:val="nil"/>
              <w:left w:val="nil"/>
              <w:bottom w:val="single" w:sz="4" w:space="0" w:color="auto"/>
              <w:right w:val="single" w:sz="4" w:space="0" w:color="auto"/>
            </w:tcBorders>
            <w:shd w:val="clear" w:color="auto" w:fill="auto"/>
            <w:vAlign w:val="center"/>
            <w:hideMark/>
          </w:tcPr>
          <w:p w14:paraId="63191BEF" w14:textId="77777777" w:rsidR="003B5AB8" w:rsidRPr="0053555E" w:rsidRDefault="003B5AB8"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štátny</w:t>
            </w:r>
          </w:p>
          <w:p w14:paraId="5551904A" w14:textId="77777777" w:rsidR="003B5AB8" w:rsidRPr="0053555E" w:rsidRDefault="003B5AB8"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jazyk</w:t>
            </w:r>
          </w:p>
        </w:tc>
        <w:tc>
          <w:tcPr>
            <w:tcW w:w="1266" w:type="dxa"/>
            <w:tcBorders>
              <w:top w:val="nil"/>
              <w:left w:val="nil"/>
              <w:bottom w:val="single" w:sz="4" w:space="0" w:color="auto"/>
              <w:right w:val="single" w:sz="4" w:space="0" w:color="auto"/>
            </w:tcBorders>
            <w:shd w:val="clear" w:color="auto" w:fill="auto"/>
            <w:vAlign w:val="center"/>
            <w:hideMark/>
          </w:tcPr>
          <w:p w14:paraId="35195960" w14:textId="77777777" w:rsidR="003B5AB8" w:rsidRPr="0053555E" w:rsidRDefault="003B5AB8"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anglický jazyk</w:t>
            </w:r>
          </w:p>
        </w:tc>
        <w:tc>
          <w:tcPr>
            <w:tcW w:w="1265" w:type="dxa"/>
            <w:tcBorders>
              <w:top w:val="nil"/>
              <w:left w:val="nil"/>
              <w:bottom w:val="single" w:sz="4" w:space="0" w:color="auto"/>
              <w:right w:val="single" w:sz="4" w:space="0" w:color="auto"/>
            </w:tcBorders>
            <w:shd w:val="clear" w:color="auto" w:fill="auto"/>
            <w:vAlign w:val="center"/>
            <w:hideMark/>
          </w:tcPr>
          <w:p w14:paraId="28868055" w14:textId="77777777" w:rsidR="003B5AB8" w:rsidRPr="0053555E" w:rsidRDefault="003B5AB8"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štátny</w:t>
            </w:r>
          </w:p>
          <w:p w14:paraId="4AF60928" w14:textId="77777777" w:rsidR="003B5AB8" w:rsidRPr="0053555E" w:rsidRDefault="003B5AB8"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jazyk</w:t>
            </w:r>
          </w:p>
        </w:tc>
        <w:tc>
          <w:tcPr>
            <w:tcW w:w="1266" w:type="dxa"/>
            <w:tcBorders>
              <w:top w:val="nil"/>
              <w:left w:val="nil"/>
              <w:bottom w:val="single" w:sz="4" w:space="0" w:color="auto"/>
              <w:right w:val="single" w:sz="4" w:space="0" w:color="auto"/>
            </w:tcBorders>
            <w:shd w:val="clear" w:color="auto" w:fill="auto"/>
            <w:vAlign w:val="center"/>
            <w:hideMark/>
          </w:tcPr>
          <w:p w14:paraId="5BCA19EC" w14:textId="77777777" w:rsidR="003B5AB8" w:rsidRPr="0053555E" w:rsidRDefault="003B5AB8"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anglický jazyk</w:t>
            </w:r>
          </w:p>
        </w:tc>
        <w:tc>
          <w:tcPr>
            <w:tcW w:w="1265" w:type="dxa"/>
            <w:tcBorders>
              <w:top w:val="nil"/>
              <w:left w:val="nil"/>
              <w:bottom w:val="single" w:sz="4" w:space="0" w:color="auto"/>
              <w:right w:val="single" w:sz="4" w:space="0" w:color="auto"/>
            </w:tcBorders>
            <w:shd w:val="clear" w:color="auto" w:fill="auto"/>
            <w:vAlign w:val="center"/>
            <w:hideMark/>
          </w:tcPr>
          <w:p w14:paraId="73515D21" w14:textId="77777777" w:rsidR="003B5AB8" w:rsidRPr="0053555E" w:rsidRDefault="003B5AB8"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štátny</w:t>
            </w:r>
          </w:p>
          <w:p w14:paraId="136EB87F" w14:textId="77777777" w:rsidR="003B5AB8" w:rsidRPr="0053555E" w:rsidRDefault="003B5AB8"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jazyk</w:t>
            </w:r>
          </w:p>
        </w:tc>
        <w:tc>
          <w:tcPr>
            <w:tcW w:w="1266" w:type="dxa"/>
            <w:tcBorders>
              <w:top w:val="nil"/>
              <w:left w:val="nil"/>
              <w:bottom w:val="single" w:sz="4" w:space="0" w:color="auto"/>
              <w:right w:val="single" w:sz="4" w:space="0" w:color="auto"/>
            </w:tcBorders>
            <w:shd w:val="clear" w:color="auto" w:fill="auto"/>
            <w:vAlign w:val="center"/>
            <w:hideMark/>
          </w:tcPr>
          <w:p w14:paraId="19A89D35" w14:textId="77777777" w:rsidR="003B5AB8" w:rsidRPr="0053555E" w:rsidRDefault="003B5AB8"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anglický jazyk</w:t>
            </w:r>
          </w:p>
        </w:tc>
      </w:tr>
      <w:tr w:rsidR="00530474" w:rsidRPr="0053555E" w14:paraId="38907D4A" w14:textId="77777777" w:rsidTr="00850C5E">
        <w:trPr>
          <w:trHeight w:val="255"/>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6834E26" w14:textId="77777777" w:rsidR="00530474" w:rsidRPr="0053555E" w:rsidRDefault="00530474" w:rsidP="00530474">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STU (denná forma)</w:t>
            </w:r>
          </w:p>
        </w:tc>
        <w:tc>
          <w:tcPr>
            <w:tcW w:w="1265" w:type="dxa"/>
            <w:tcBorders>
              <w:top w:val="nil"/>
              <w:left w:val="nil"/>
              <w:bottom w:val="single" w:sz="4" w:space="0" w:color="auto"/>
              <w:right w:val="single" w:sz="4" w:space="0" w:color="auto"/>
            </w:tcBorders>
            <w:shd w:val="clear" w:color="auto" w:fill="auto"/>
            <w:noWrap/>
            <w:vAlign w:val="center"/>
            <w:hideMark/>
          </w:tcPr>
          <w:p w14:paraId="3659DFB2" w14:textId="0A0FC285" w:rsidR="00530474" w:rsidRPr="0053555E" w:rsidRDefault="00530474" w:rsidP="00530474">
            <w:pPr>
              <w:jc w:val="center"/>
              <w:rPr>
                <w:rFonts w:asciiTheme="majorHAnsi" w:hAnsiTheme="majorHAnsi" w:cstheme="majorHAnsi"/>
                <w:sz w:val="20"/>
                <w:szCs w:val="20"/>
              </w:rPr>
            </w:pPr>
            <w:r w:rsidRPr="0053555E">
              <w:rPr>
                <w:rFonts w:cs="Arial"/>
                <w:sz w:val="20"/>
                <w:szCs w:val="20"/>
              </w:rPr>
              <w:t>58</w:t>
            </w:r>
          </w:p>
        </w:tc>
        <w:tc>
          <w:tcPr>
            <w:tcW w:w="1266" w:type="dxa"/>
            <w:tcBorders>
              <w:top w:val="nil"/>
              <w:left w:val="nil"/>
              <w:bottom w:val="single" w:sz="4" w:space="0" w:color="auto"/>
              <w:right w:val="single" w:sz="4" w:space="0" w:color="auto"/>
            </w:tcBorders>
            <w:shd w:val="clear" w:color="auto" w:fill="auto"/>
            <w:noWrap/>
            <w:vAlign w:val="center"/>
            <w:hideMark/>
          </w:tcPr>
          <w:p w14:paraId="30E78BFA" w14:textId="1698D47F" w:rsidR="00530474" w:rsidRPr="0053555E" w:rsidRDefault="00530474" w:rsidP="00530474">
            <w:pPr>
              <w:jc w:val="center"/>
              <w:rPr>
                <w:rFonts w:asciiTheme="majorHAnsi" w:hAnsiTheme="majorHAnsi" w:cstheme="majorHAnsi"/>
                <w:sz w:val="20"/>
                <w:szCs w:val="20"/>
              </w:rPr>
            </w:pPr>
            <w:r w:rsidRPr="0053555E">
              <w:rPr>
                <w:rFonts w:cs="Arial"/>
                <w:sz w:val="20"/>
                <w:szCs w:val="20"/>
              </w:rPr>
              <w:t>4</w:t>
            </w:r>
          </w:p>
        </w:tc>
        <w:tc>
          <w:tcPr>
            <w:tcW w:w="1265" w:type="dxa"/>
            <w:tcBorders>
              <w:top w:val="nil"/>
              <w:left w:val="nil"/>
              <w:bottom w:val="single" w:sz="4" w:space="0" w:color="auto"/>
              <w:right w:val="single" w:sz="4" w:space="0" w:color="auto"/>
            </w:tcBorders>
            <w:shd w:val="clear" w:color="auto" w:fill="auto"/>
            <w:noWrap/>
            <w:vAlign w:val="center"/>
            <w:hideMark/>
          </w:tcPr>
          <w:p w14:paraId="3DF1C745" w14:textId="6A995413" w:rsidR="00530474" w:rsidRPr="0053555E" w:rsidRDefault="00530474" w:rsidP="00530474">
            <w:pPr>
              <w:jc w:val="center"/>
              <w:rPr>
                <w:rFonts w:asciiTheme="majorHAnsi" w:hAnsiTheme="majorHAnsi" w:cstheme="majorHAnsi"/>
                <w:sz w:val="20"/>
                <w:szCs w:val="20"/>
              </w:rPr>
            </w:pPr>
            <w:r w:rsidRPr="0053555E">
              <w:rPr>
                <w:rFonts w:cs="Arial"/>
                <w:sz w:val="20"/>
                <w:szCs w:val="20"/>
              </w:rPr>
              <w:t>57</w:t>
            </w:r>
          </w:p>
        </w:tc>
        <w:tc>
          <w:tcPr>
            <w:tcW w:w="1266" w:type="dxa"/>
            <w:tcBorders>
              <w:top w:val="nil"/>
              <w:left w:val="nil"/>
              <w:bottom w:val="single" w:sz="4" w:space="0" w:color="auto"/>
              <w:right w:val="single" w:sz="4" w:space="0" w:color="auto"/>
            </w:tcBorders>
            <w:shd w:val="clear" w:color="auto" w:fill="auto"/>
            <w:noWrap/>
            <w:vAlign w:val="center"/>
            <w:hideMark/>
          </w:tcPr>
          <w:p w14:paraId="7F76668C" w14:textId="596D2C04" w:rsidR="00530474" w:rsidRPr="0053555E" w:rsidRDefault="00530474" w:rsidP="00530474">
            <w:pPr>
              <w:jc w:val="center"/>
              <w:rPr>
                <w:rFonts w:asciiTheme="majorHAnsi" w:hAnsiTheme="majorHAnsi" w:cstheme="majorHAnsi"/>
                <w:sz w:val="20"/>
                <w:szCs w:val="20"/>
              </w:rPr>
            </w:pPr>
            <w:r w:rsidRPr="0053555E">
              <w:rPr>
                <w:rFonts w:cs="Arial"/>
                <w:sz w:val="20"/>
                <w:szCs w:val="20"/>
              </w:rPr>
              <w:t>4</w:t>
            </w:r>
          </w:p>
        </w:tc>
        <w:tc>
          <w:tcPr>
            <w:tcW w:w="1265" w:type="dxa"/>
            <w:tcBorders>
              <w:top w:val="nil"/>
              <w:left w:val="nil"/>
              <w:bottom w:val="single" w:sz="4" w:space="0" w:color="auto"/>
              <w:right w:val="single" w:sz="4" w:space="0" w:color="auto"/>
            </w:tcBorders>
            <w:shd w:val="clear" w:color="auto" w:fill="auto"/>
            <w:noWrap/>
            <w:vAlign w:val="center"/>
            <w:hideMark/>
          </w:tcPr>
          <w:p w14:paraId="7C4909CF" w14:textId="12C77BD8" w:rsidR="00530474" w:rsidRPr="0053555E" w:rsidRDefault="00530474" w:rsidP="00530474">
            <w:pPr>
              <w:jc w:val="center"/>
              <w:rPr>
                <w:rFonts w:asciiTheme="majorHAnsi" w:hAnsiTheme="majorHAnsi" w:cstheme="majorHAnsi"/>
                <w:sz w:val="20"/>
                <w:szCs w:val="20"/>
              </w:rPr>
            </w:pPr>
            <w:r w:rsidRPr="0053555E">
              <w:rPr>
                <w:rFonts w:cs="Arial"/>
                <w:sz w:val="20"/>
                <w:szCs w:val="20"/>
              </w:rPr>
              <w:t>52</w:t>
            </w:r>
          </w:p>
        </w:tc>
        <w:tc>
          <w:tcPr>
            <w:tcW w:w="1266" w:type="dxa"/>
            <w:tcBorders>
              <w:top w:val="nil"/>
              <w:left w:val="nil"/>
              <w:bottom w:val="single" w:sz="4" w:space="0" w:color="auto"/>
              <w:right w:val="single" w:sz="4" w:space="0" w:color="auto"/>
            </w:tcBorders>
            <w:shd w:val="clear" w:color="auto" w:fill="auto"/>
            <w:noWrap/>
            <w:vAlign w:val="center"/>
            <w:hideMark/>
          </w:tcPr>
          <w:p w14:paraId="190A3B45" w14:textId="742BB998" w:rsidR="00530474" w:rsidRPr="0053555E" w:rsidRDefault="00530474" w:rsidP="00530474">
            <w:pPr>
              <w:jc w:val="center"/>
              <w:rPr>
                <w:rFonts w:asciiTheme="majorHAnsi" w:hAnsiTheme="majorHAnsi" w:cstheme="majorHAnsi"/>
                <w:sz w:val="20"/>
                <w:szCs w:val="20"/>
              </w:rPr>
            </w:pPr>
            <w:r w:rsidRPr="0053555E">
              <w:rPr>
                <w:rFonts w:cs="Arial"/>
                <w:sz w:val="20"/>
                <w:szCs w:val="20"/>
              </w:rPr>
              <w:t>7</w:t>
            </w:r>
          </w:p>
        </w:tc>
      </w:tr>
      <w:tr w:rsidR="00530474" w:rsidRPr="0053555E" w14:paraId="3FEC5EBC" w14:textId="77777777" w:rsidTr="00850C5E">
        <w:trPr>
          <w:trHeight w:val="255"/>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A2354B4" w14:textId="77777777" w:rsidR="00530474" w:rsidRPr="0053555E" w:rsidRDefault="00530474" w:rsidP="00530474">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STU (externá forma)</w:t>
            </w:r>
          </w:p>
        </w:tc>
        <w:tc>
          <w:tcPr>
            <w:tcW w:w="1265" w:type="dxa"/>
            <w:tcBorders>
              <w:top w:val="nil"/>
              <w:left w:val="nil"/>
              <w:bottom w:val="single" w:sz="4" w:space="0" w:color="auto"/>
              <w:right w:val="single" w:sz="4" w:space="0" w:color="auto"/>
            </w:tcBorders>
            <w:shd w:val="clear" w:color="auto" w:fill="auto"/>
            <w:noWrap/>
            <w:vAlign w:val="center"/>
            <w:hideMark/>
          </w:tcPr>
          <w:p w14:paraId="5875488B" w14:textId="47A45A31" w:rsidR="00530474" w:rsidRPr="0053555E" w:rsidRDefault="00530474" w:rsidP="00530474">
            <w:pPr>
              <w:jc w:val="center"/>
              <w:rPr>
                <w:rFonts w:asciiTheme="majorHAnsi" w:hAnsiTheme="majorHAnsi" w:cstheme="majorHAnsi"/>
                <w:sz w:val="20"/>
                <w:szCs w:val="20"/>
              </w:rPr>
            </w:pPr>
            <w:r w:rsidRPr="0053555E">
              <w:rPr>
                <w:rFonts w:cs="Arial"/>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14:paraId="266CDD75" w14:textId="2C5506BA" w:rsidR="00530474" w:rsidRPr="0053555E" w:rsidRDefault="00530474" w:rsidP="00530474">
            <w:pPr>
              <w:jc w:val="center"/>
              <w:rPr>
                <w:rFonts w:asciiTheme="majorHAnsi" w:hAnsiTheme="majorHAnsi" w:cstheme="majorHAnsi"/>
                <w:sz w:val="20"/>
                <w:szCs w:val="20"/>
              </w:rPr>
            </w:pPr>
            <w:r w:rsidRPr="0053555E">
              <w:rPr>
                <w:rFonts w:cs="Arial"/>
                <w:sz w:val="20"/>
                <w:szCs w:val="20"/>
              </w:rPr>
              <w:t>0</w:t>
            </w:r>
          </w:p>
        </w:tc>
        <w:tc>
          <w:tcPr>
            <w:tcW w:w="1265" w:type="dxa"/>
            <w:tcBorders>
              <w:top w:val="nil"/>
              <w:left w:val="nil"/>
              <w:bottom w:val="single" w:sz="4" w:space="0" w:color="auto"/>
              <w:right w:val="single" w:sz="4" w:space="0" w:color="auto"/>
            </w:tcBorders>
            <w:shd w:val="clear" w:color="auto" w:fill="auto"/>
            <w:noWrap/>
            <w:vAlign w:val="center"/>
            <w:hideMark/>
          </w:tcPr>
          <w:p w14:paraId="397886A1" w14:textId="10C46D62" w:rsidR="00530474" w:rsidRPr="0053555E" w:rsidRDefault="00530474" w:rsidP="00530474">
            <w:pPr>
              <w:jc w:val="center"/>
              <w:rPr>
                <w:rFonts w:asciiTheme="majorHAnsi" w:hAnsiTheme="majorHAnsi" w:cstheme="majorHAnsi"/>
                <w:sz w:val="20"/>
                <w:szCs w:val="20"/>
              </w:rPr>
            </w:pPr>
            <w:r w:rsidRPr="0053555E">
              <w:rPr>
                <w:rFonts w:cs="Arial"/>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14:paraId="5FD1A002" w14:textId="06CBF86A" w:rsidR="00530474" w:rsidRPr="0053555E" w:rsidRDefault="00530474" w:rsidP="00530474">
            <w:pPr>
              <w:jc w:val="center"/>
              <w:rPr>
                <w:rFonts w:asciiTheme="majorHAnsi" w:hAnsiTheme="majorHAnsi" w:cstheme="majorHAnsi"/>
                <w:sz w:val="20"/>
                <w:szCs w:val="20"/>
              </w:rPr>
            </w:pPr>
            <w:r w:rsidRPr="0053555E">
              <w:rPr>
                <w:rFonts w:cs="Arial"/>
                <w:sz w:val="20"/>
                <w:szCs w:val="20"/>
              </w:rPr>
              <w:t>0</w:t>
            </w:r>
          </w:p>
        </w:tc>
        <w:tc>
          <w:tcPr>
            <w:tcW w:w="1265" w:type="dxa"/>
            <w:tcBorders>
              <w:top w:val="nil"/>
              <w:left w:val="nil"/>
              <w:bottom w:val="single" w:sz="4" w:space="0" w:color="auto"/>
              <w:right w:val="single" w:sz="4" w:space="0" w:color="auto"/>
            </w:tcBorders>
            <w:shd w:val="clear" w:color="auto" w:fill="auto"/>
            <w:noWrap/>
            <w:vAlign w:val="center"/>
            <w:hideMark/>
          </w:tcPr>
          <w:p w14:paraId="07F45E8C" w14:textId="2840BF17" w:rsidR="00530474" w:rsidRPr="0053555E" w:rsidRDefault="00530474" w:rsidP="00530474">
            <w:pPr>
              <w:jc w:val="center"/>
              <w:rPr>
                <w:rFonts w:asciiTheme="majorHAnsi" w:hAnsiTheme="majorHAnsi" w:cstheme="majorHAnsi"/>
                <w:sz w:val="20"/>
                <w:szCs w:val="20"/>
              </w:rPr>
            </w:pPr>
            <w:r w:rsidRPr="0053555E">
              <w:rPr>
                <w:rFonts w:cs="Arial"/>
                <w:sz w:val="20"/>
                <w:szCs w:val="20"/>
              </w:rPr>
              <w:t>43</w:t>
            </w:r>
          </w:p>
        </w:tc>
        <w:tc>
          <w:tcPr>
            <w:tcW w:w="1266" w:type="dxa"/>
            <w:tcBorders>
              <w:top w:val="nil"/>
              <w:left w:val="nil"/>
              <w:bottom w:val="single" w:sz="4" w:space="0" w:color="auto"/>
              <w:right w:val="single" w:sz="4" w:space="0" w:color="auto"/>
            </w:tcBorders>
            <w:shd w:val="clear" w:color="auto" w:fill="auto"/>
            <w:noWrap/>
            <w:vAlign w:val="center"/>
            <w:hideMark/>
          </w:tcPr>
          <w:p w14:paraId="44DBD0F7" w14:textId="40CB293F" w:rsidR="00530474" w:rsidRPr="0053555E" w:rsidRDefault="00530474" w:rsidP="00530474">
            <w:pPr>
              <w:jc w:val="center"/>
              <w:rPr>
                <w:rFonts w:asciiTheme="majorHAnsi" w:hAnsiTheme="majorHAnsi" w:cstheme="majorHAnsi"/>
                <w:sz w:val="20"/>
                <w:szCs w:val="20"/>
              </w:rPr>
            </w:pPr>
            <w:r w:rsidRPr="0053555E">
              <w:rPr>
                <w:rFonts w:cs="Arial"/>
                <w:sz w:val="20"/>
                <w:szCs w:val="20"/>
              </w:rPr>
              <w:t>6</w:t>
            </w:r>
          </w:p>
        </w:tc>
      </w:tr>
    </w:tbl>
    <w:p w14:paraId="69FB2551" w14:textId="77777777" w:rsidR="003B5AB8" w:rsidRPr="0053555E" w:rsidRDefault="003B5AB8" w:rsidP="003B5AB8">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Zdroj: AIS štatistiky počtu študentov</w:t>
      </w:r>
    </w:p>
    <w:p w14:paraId="62D37827" w14:textId="5747689B" w:rsidR="003B5AB8" w:rsidRDefault="003B5AB8" w:rsidP="003B5AB8">
      <w:pPr>
        <w:tabs>
          <w:tab w:val="left" w:pos="9356"/>
        </w:tabs>
        <w:jc w:val="both"/>
        <w:rPr>
          <w:rFonts w:asciiTheme="majorHAnsi" w:eastAsia="Times New Roman" w:hAnsiTheme="majorHAnsi" w:cstheme="majorHAnsi"/>
          <w:sz w:val="20"/>
          <w:szCs w:val="20"/>
          <w:lang w:eastAsia="sk-SK"/>
        </w:rPr>
      </w:pPr>
    </w:p>
    <w:p w14:paraId="6984D7F3" w14:textId="77777777" w:rsidR="000418CB" w:rsidRPr="0053555E" w:rsidRDefault="000418CB" w:rsidP="003B5AB8">
      <w:pPr>
        <w:tabs>
          <w:tab w:val="left" w:pos="9356"/>
        </w:tabs>
        <w:jc w:val="both"/>
        <w:rPr>
          <w:rFonts w:asciiTheme="majorHAnsi" w:eastAsia="Times New Roman" w:hAnsiTheme="majorHAnsi" w:cstheme="majorHAnsi"/>
          <w:sz w:val="20"/>
          <w:szCs w:val="20"/>
          <w:lang w:eastAsia="sk-SK"/>
        </w:rPr>
      </w:pPr>
    </w:p>
    <w:p w14:paraId="65B5674D" w14:textId="77777777" w:rsidR="003B5AB8" w:rsidRPr="0053555E" w:rsidRDefault="003B5AB8" w:rsidP="003B5AB8">
      <w:pPr>
        <w:tabs>
          <w:tab w:val="left" w:pos="9356"/>
        </w:tabs>
        <w:jc w:val="both"/>
        <w:rPr>
          <w:rFonts w:asciiTheme="majorHAnsi" w:hAnsiTheme="majorHAnsi" w:cstheme="majorHAnsi"/>
        </w:rPr>
      </w:pPr>
      <w:r w:rsidRPr="0053555E">
        <w:rPr>
          <w:rFonts w:asciiTheme="majorHAnsi" w:hAnsiTheme="majorHAnsi" w:cstheme="majorHAnsi"/>
        </w:rPr>
        <w:t>Aktuálny prehľad všetkých akreditovaných študijných programov na STU je akademickej obci, ako aj verejnosti</w:t>
      </w:r>
      <w:r w:rsidR="00183E58" w:rsidRPr="0053555E">
        <w:rPr>
          <w:rFonts w:asciiTheme="majorHAnsi" w:hAnsiTheme="majorHAnsi" w:cstheme="majorHAnsi"/>
        </w:rPr>
        <w:t>,</w:t>
      </w:r>
      <w:r w:rsidRPr="0053555E">
        <w:rPr>
          <w:rFonts w:asciiTheme="majorHAnsi" w:hAnsiTheme="majorHAnsi" w:cstheme="majorHAnsi"/>
        </w:rPr>
        <w:t xml:space="preserve"> k dispozícii v registri študijných programov na webovej adrese:</w:t>
      </w:r>
    </w:p>
    <w:p w14:paraId="7B48EDD4" w14:textId="1F16F4BD" w:rsidR="003B5AB8" w:rsidRPr="0053555E" w:rsidRDefault="00252725" w:rsidP="003B5AB8">
      <w:pPr>
        <w:tabs>
          <w:tab w:val="left" w:pos="9356"/>
        </w:tabs>
        <w:spacing w:after="120"/>
        <w:jc w:val="both"/>
        <w:rPr>
          <w:rStyle w:val="Hypertextovprepojenie"/>
          <w:rFonts w:asciiTheme="majorHAnsi" w:hAnsiTheme="majorHAnsi" w:cstheme="majorHAnsi"/>
          <w:color w:val="auto"/>
        </w:rPr>
      </w:pPr>
      <w:hyperlink r:id="rId15" w:history="1">
        <w:r w:rsidR="003B5AB8" w:rsidRPr="0053555E">
          <w:rPr>
            <w:rStyle w:val="Hypertextovprepojenie"/>
            <w:rFonts w:asciiTheme="majorHAnsi" w:hAnsiTheme="majorHAnsi" w:cstheme="majorHAnsi"/>
            <w:color w:val="auto"/>
          </w:rPr>
          <w:t>https://www.portalvs.sk/sk/morho</w:t>
        </w:r>
      </w:hyperlink>
      <w:r w:rsidR="003B5AB8" w:rsidRPr="0053555E">
        <w:rPr>
          <w:rFonts w:asciiTheme="majorHAnsi" w:hAnsiTheme="majorHAnsi" w:cstheme="majorHAnsi"/>
        </w:rPr>
        <w:t>.</w:t>
      </w:r>
    </w:p>
    <w:p w14:paraId="37D8DDB2" w14:textId="6AE7FAC3" w:rsidR="003B5AB8" w:rsidRPr="0053555E" w:rsidRDefault="003B5AB8" w:rsidP="003B5AB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STU mala </w:t>
      </w:r>
      <w:r w:rsidR="003D157E">
        <w:rPr>
          <w:rFonts w:asciiTheme="majorHAnsi" w:hAnsiTheme="majorHAnsi" w:cstheme="majorHAnsi"/>
        </w:rPr>
        <w:t>na</w:t>
      </w:r>
      <w:r w:rsidRPr="0053555E">
        <w:rPr>
          <w:rFonts w:asciiTheme="majorHAnsi" w:hAnsiTheme="majorHAnsi" w:cstheme="majorHAnsi"/>
        </w:rPr>
        <w:t xml:space="preserve"> konc</w:t>
      </w:r>
      <w:r w:rsidR="003D157E">
        <w:rPr>
          <w:rFonts w:asciiTheme="majorHAnsi" w:hAnsiTheme="majorHAnsi" w:cstheme="majorHAnsi"/>
        </w:rPr>
        <w:t>i</w:t>
      </w:r>
      <w:r w:rsidRPr="0053555E">
        <w:rPr>
          <w:rFonts w:asciiTheme="majorHAnsi" w:hAnsiTheme="majorHAnsi" w:cstheme="majorHAnsi"/>
        </w:rPr>
        <w:t xml:space="preserve"> akademického roka </w:t>
      </w:r>
      <w:r w:rsidR="00EA24BA" w:rsidRPr="0053555E">
        <w:rPr>
          <w:rFonts w:asciiTheme="majorHAnsi" w:hAnsiTheme="majorHAnsi" w:cstheme="majorHAnsi"/>
        </w:rPr>
        <w:t>2021/2022</w:t>
      </w:r>
      <w:r w:rsidRPr="0053555E">
        <w:rPr>
          <w:rFonts w:asciiTheme="majorHAnsi" w:hAnsiTheme="majorHAnsi" w:cstheme="majorHAnsi"/>
        </w:rPr>
        <w:t xml:space="preserve"> celkovo </w:t>
      </w:r>
      <w:r w:rsidR="009E6CA7">
        <w:rPr>
          <w:rFonts w:asciiTheme="majorHAnsi" w:hAnsiTheme="majorHAnsi" w:cstheme="majorHAnsi"/>
          <w:b/>
        </w:rPr>
        <w:t>202</w:t>
      </w:r>
      <w:r w:rsidRPr="0053555E">
        <w:rPr>
          <w:rFonts w:asciiTheme="majorHAnsi" w:hAnsiTheme="majorHAnsi" w:cstheme="majorHAnsi"/>
          <w:b/>
        </w:rPr>
        <w:t xml:space="preserve"> </w:t>
      </w:r>
      <w:r w:rsidRPr="0053555E">
        <w:rPr>
          <w:rFonts w:asciiTheme="majorHAnsi" w:hAnsiTheme="majorHAnsi" w:cstheme="majorHAnsi"/>
        </w:rPr>
        <w:t>akreditovaných</w:t>
      </w:r>
      <w:r w:rsidRPr="0053555E">
        <w:rPr>
          <w:rFonts w:asciiTheme="majorHAnsi" w:hAnsiTheme="majorHAnsi" w:cstheme="majorHAnsi"/>
          <w:b/>
        </w:rPr>
        <w:t xml:space="preserve"> </w:t>
      </w:r>
      <w:r w:rsidRPr="0053555E">
        <w:rPr>
          <w:rFonts w:asciiTheme="majorHAnsi" w:hAnsiTheme="majorHAnsi" w:cstheme="majorHAnsi"/>
        </w:rPr>
        <w:t xml:space="preserve">študijných programov </w:t>
      </w:r>
      <w:r w:rsidR="0080289B" w:rsidRPr="0053555E">
        <w:rPr>
          <w:rFonts w:asciiTheme="majorHAnsi" w:hAnsiTheme="majorHAnsi" w:cstheme="majorHAnsi"/>
        </w:rPr>
        <w:t>uskutočňovan</w:t>
      </w:r>
      <w:r w:rsidR="0080289B">
        <w:rPr>
          <w:rFonts w:asciiTheme="majorHAnsi" w:hAnsiTheme="majorHAnsi" w:cstheme="majorHAnsi"/>
        </w:rPr>
        <w:t>ých</w:t>
      </w:r>
      <w:r w:rsidR="0080289B" w:rsidRPr="0053555E">
        <w:rPr>
          <w:rFonts w:asciiTheme="majorHAnsi" w:hAnsiTheme="majorHAnsi" w:cstheme="majorHAnsi"/>
          <w:b/>
        </w:rPr>
        <w:t xml:space="preserve"> </w:t>
      </w:r>
      <w:r w:rsidRPr="0053555E">
        <w:rPr>
          <w:rFonts w:asciiTheme="majorHAnsi" w:hAnsiTheme="majorHAnsi" w:cstheme="majorHAnsi"/>
          <w:b/>
        </w:rPr>
        <w:t>v štátnom jazyku</w:t>
      </w:r>
      <w:r w:rsidRPr="0053555E">
        <w:rPr>
          <w:rFonts w:asciiTheme="majorHAnsi" w:hAnsiTheme="majorHAnsi" w:cstheme="majorHAnsi"/>
        </w:rPr>
        <w:t xml:space="preserve"> a </w:t>
      </w:r>
      <w:r w:rsidRPr="0053555E">
        <w:rPr>
          <w:rFonts w:asciiTheme="majorHAnsi" w:hAnsiTheme="majorHAnsi" w:cstheme="majorHAnsi"/>
          <w:b/>
        </w:rPr>
        <w:t>1</w:t>
      </w:r>
      <w:r w:rsidR="0080289B">
        <w:rPr>
          <w:rFonts w:asciiTheme="majorHAnsi" w:hAnsiTheme="majorHAnsi" w:cstheme="majorHAnsi"/>
          <w:b/>
        </w:rPr>
        <w:t>22</w:t>
      </w:r>
      <w:r w:rsidRPr="0053555E">
        <w:rPr>
          <w:rFonts w:asciiTheme="majorHAnsi" w:hAnsiTheme="majorHAnsi" w:cstheme="majorHAnsi"/>
          <w:b/>
        </w:rPr>
        <w:t xml:space="preserve"> </w:t>
      </w:r>
      <w:r w:rsidRPr="0053555E">
        <w:rPr>
          <w:rFonts w:asciiTheme="majorHAnsi" w:hAnsiTheme="majorHAnsi" w:cstheme="majorHAnsi"/>
        </w:rPr>
        <w:t>akreditovaných</w:t>
      </w:r>
      <w:r w:rsidRPr="0053555E">
        <w:rPr>
          <w:rFonts w:asciiTheme="majorHAnsi" w:hAnsiTheme="majorHAnsi" w:cstheme="majorHAnsi"/>
          <w:b/>
        </w:rPr>
        <w:t xml:space="preserve"> </w:t>
      </w:r>
      <w:r w:rsidRPr="0053555E">
        <w:rPr>
          <w:rFonts w:asciiTheme="majorHAnsi" w:hAnsiTheme="majorHAnsi" w:cstheme="majorHAnsi"/>
        </w:rPr>
        <w:t xml:space="preserve">študijných programov </w:t>
      </w:r>
      <w:r w:rsidR="0080289B" w:rsidRPr="0053555E">
        <w:rPr>
          <w:rFonts w:asciiTheme="majorHAnsi" w:hAnsiTheme="majorHAnsi" w:cstheme="majorHAnsi"/>
        </w:rPr>
        <w:t>uskutočňova</w:t>
      </w:r>
      <w:r w:rsidR="0080289B">
        <w:rPr>
          <w:rFonts w:asciiTheme="majorHAnsi" w:hAnsiTheme="majorHAnsi" w:cstheme="majorHAnsi"/>
        </w:rPr>
        <w:t>ných</w:t>
      </w:r>
      <w:r w:rsidR="0080289B" w:rsidRPr="0053555E">
        <w:rPr>
          <w:rFonts w:asciiTheme="majorHAnsi" w:hAnsiTheme="majorHAnsi" w:cstheme="majorHAnsi"/>
          <w:b/>
        </w:rPr>
        <w:t xml:space="preserve"> </w:t>
      </w:r>
      <w:r w:rsidRPr="0053555E">
        <w:rPr>
          <w:rFonts w:asciiTheme="majorHAnsi" w:hAnsiTheme="majorHAnsi" w:cstheme="majorHAnsi"/>
          <w:b/>
        </w:rPr>
        <w:t>v anglickom jazyku</w:t>
      </w:r>
      <w:r w:rsidRPr="0053555E">
        <w:rPr>
          <w:rFonts w:asciiTheme="majorHAnsi" w:hAnsiTheme="majorHAnsi" w:cstheme="majorHAnsi"/>
        </w:rPr>
        <w:t xml:space="preserve"> vo všetkých troch stupňoch štúdia v dennej aj v externej forme štúdia v </w:t>
      </w:r>
      <w:r w:rsidRPr="0053555E">
        <w:rPr>
          <w:rFonts w:asciiTheme="majorHAnsi" w:hAnsiTheme="majorHAnsi" w:cstheme="majorHAnsi"/>
          <w:b/>
        </w:rPr>
        <w:t>1</w:t>
      </w:r>
      <w:r w:rsidR="003D157E">
        <w:rPr>
          <w:rFonts w:asciiTheme="majorHAnsi" w:hAnsiTheme="majorHAnsi" w:cstheme="majorHAnsi"/>
          <w:b/>
        </w:rPr>
        <w:t>7</w:t>
      </w:r>
      <w:r w:rsidRPr="0053555E">
        <w:rPr>
          <w:rFonts w:asciiTheme="majorHAnsi" w:hAnsiTheme="majorHAnsi" w:cstheme="majorHAnsi"/>
          <w:b/>
        </w:rPr>
        <w:t xml:space="preserve"> študijných odboroch</w:t>
      </w:r>
      <w:r w:rsidRPr="0053555E">
        <w:rPr>
          <w:rFonts w:asciiTheme="majorHAnsi" w:hAnsiTheme="majorHAnsi" w:cstheme="majorHAnsi"/>
        </w:rPr>
        <w:t xml:space="preserve">. Na prvom a druhom stupni štúdia mala </w:t>
      </w:r>
      <w:r w:rsidR="004B7B54" w:rsidRPr="0053555E">
        <w:rPr>
          <w:rFonts w:asciiTheme="majorHAnsi" w:hAnsiTheme="majorHAnsi" w:cstheme="majorHAnsi"/>
        </w:rPr>
        <w:t xml:space="preserve">STU </w:t>
      </w:r>
      <w:r w:rsidRPr="0053555E">
        <w:rPr>
          <w:rFonts w:asciiTheme="majorHAnsi" w:hAnsiTheme="majorHAnsi" w:cstheme="majorHAnsi"/>
        </w:rPr>
        <w:t xml:space="preserve">akreditované študijné programy len pre dennú formu štúdia, na treťom stupni štúdia pre dennú aj externú formu štúdia. </w:t>
      </w:r>
    </w:p>
    <w:p w14:paraId="15BDBCEC" w14:textId="287857B1" w:rsidR="003B5AB8" w:rsidRPr="0053555E" w:rsidRDefault="003B5AB8" w:rsidP="009D0DF6">
      <w:pPr>
        <w:tabs>
          <w:tab w:val="left" w:pos="9356"/>
        </w:tabs>
        <w:spacing w:after="120"/>
        <w:jc w:val="both"/>
        <w:rPr>
          <w:rFonts w:asciiTheme="majorHAnsi" w:hAnsiTheme="majorHAnsi" w:cstheme="majorHAnsi"/>
        </w:rPr>
      </w:pPr>
      <w:r w:rsidRPr="0053555E">
        <w:rPr>
          <w:rFonts w:asciiTheme="majorHAnsi" w:hAnsiTheme="majorHAnsi" w:cstheme="majorHAnsi"/>
        </w:rPr>
        <w:t xml:space="preserve">Na prvom stupni štúdia mala STU </w:t>
      </w:r>
      <w:r w:rsidR="000C7860">
        <w:rPr>
          <w:rFonts w:asciiTheme="majorHAnsi" w:hAnsiTheme="majorHAnsi" w:cstheme="majorHAnsi"/>
          <w:b/>
        </w:rPr>
        <w:t>52</w:t>
      </w:r>
      <w:r w:rsidRPr="0053555E">
        <w:rPr>
          <w:rFonts w:asciiTheme="majorHAnsi" w:hAnsiTheme="majorHAnsi" w:cstheme="majorHAnsi"/>
        </w:rPr>
        <w:t xml:space="preserve"> akreditovaných študijných programov, na druhom stupni štúdia </w:t>
      </w:r>
      <w:r w:rsidR="000C7860">
        <w:rPr>
          <w:rFonts w:asciiTheme="majorHAnsi" w:hAnsiTheme="majorHAnsi" w:cstheme="majorHAnsi"/>
          <w:b/>
        </w:rPr>
        <w:t>52</w:t>
      </w:r>
      <w:r w:rsidRPr="0053555E">
        <w:rPr>
          <w:rFonts w:asciiTheme="majorHAnsi" w:hAnsiTheme="majorHAnsi" w:cstheme="majorHAnsi"/>
        </w:rPr>
        <w:t xml:space="preserve">, na treťom stupni štúdia </w:t>
      </w:r>
      <w:r w:rsidR="000A2230">
        <w:rPr>
          <w:rFonts w:asciiTheme="majorHAnsi" w:hAnsiTheme="majorHAnsi" w:cstheme="majorHAnsi"/>
          <w:b/>
        </w:rPr>
        <w:t>51</w:t>
      </w:r>
      <w:r w:rsidRPr="0053555E">
        <w:rPr>
          <w:rFonts w:asciiTheme="majorHAnsi" w:hAnsiTheme="majorHAnsi" w:cstheme="majorHAnsi"/>
        </w:rPr>
        <w:t xml:space="preserve"> akreditovaných študijných programov v dennej forme štúdia a </w:t>
      </w:r>
      <w:r w:rsidR="000A2230">
        <w:rPr>
          <w:rFonts w:asciiTheme="majorHAnsi" w:hAnsiTheme="majorHAnsi" w:cstheme="majorHAnsi"/>
          <w:b/>
        </w:rPr>
        <w:t>47</w:t>
      </w:r>
      <w:r w:rsidRPr="0053555E">
        <w:rPr>
          <w:rFonts w:asciiTheme="majorHAnsi" w:hAnsiTheme="majorHAnsi" w:cstheme="majorHAnsi"/>
        </w:rPr>
        <w:t xml:space="preserve"> v externej forme štúdia </w:t>
      </w:r>
      <w:r w:rsidRPr="0053555E">
        <w:rPr>
          <w:rFonts w:asciiTheme="majorHAnsi" w:hAnsiTheme="majorHAnsi" w:cstheme="majorHAnsi"/>
          <w:b/>
        </w:rPr>
        <w:t>v štátnom jazyku</w:t>
      </w:r>
      <w:r w:rsidRPr="0053555E">
        <w:rPr>
          <w:rFonts w:asciiTheme="majorHAnsi" w:hAnsiTheme="majorHAnsi" w:cstheme="majorHAnsi"/>
        </w:rPr>
        <w:t xml:space="preserve">. Z celkového počtu akreditovaných študijných programov v štátnom jazyku mala STU </w:t>
      </w:r>
      <w:r w:rsidRPr="0053555E">
        <w:rPr>
          <w:rFonts w:asciiTheme="majorHAnsi" w:hAnsiTheme="majorHAnsi" w:cstheme="majorHAnsi"/>
          <w:b/>
        </w:rPr>
        <w:t>1</w:t>
      </w:r>
      <w:r w:rsidR="000526F2">
        <w:rPr>
          <w:rFonts w:asciiTheme="majorHAnsi" w:hAnsiTheme="majorHAnsi" w:cstheme="majorHAnsi"/>
          <w:b/>
        </w:rPr>
        <w:t>35</w:t>
      </w:r>
      <w:r w:rsidRPr="0053555E">
        <w:rPr>
          <w:rFonts w:asciiTheme="majorHAnsi" w:hAnsiTheme="majorHAnsi" w:cstheme="majorHAnsi"/>
          <w:b/>
        </w:rPr>
        <w:t xml:space="preserve"> existujúcich </w:t>
      </w:r>
      <w:r w:rsidRPr="0053555E">
        <w:rPr>
          <w:rFonts w:asciiTheme="majorHAnsi" w:hAnsiTheme="majorHAnsi" w:cstheme="majorHAnsi"/>
        </w:rPr>
        <w:t>študijných programov s</w:t>
      </w:r>
      <w:r w:rsidR="00B058BC">
        <w:rPr>
          <w:rFonts w:asciiTheme="majorHAnsi" w:hAnsiTheme="majorHAnsi" w:cstheme="majorHAnsi"/>
        </w:rPr>
        <w:t xml:space="preserve"> pôvodne </w:t>
      </w:r>
      <w:r w:rsidRPr="0053555E">
        <w:rPr>
          <w:rFonts w:asciiTheme="majorHAnsi" w:hAnsiTheme="majorHAnsi" w:cstheme="majorHAnsi"/>
        </w:rPr>
        <w:t>priznanými právami bez časového obmedzenia a</w:t>
      </w:r>
      <w:r w:rsidR="00B058BC">
        <w:rPr>
          <w:rFonts w:asciiTheme="majorHAnsi" w:hAnsiTheme="majorHAnsi" w:cstheme="majorHAnsi"/>
        </w:rPr>
        <w:t> </w:t>
      </w:r>
      <w:r w:rsidR="000526F2">
        <w:rPr>
          <w:rFonts w:asciiTheme="majorHAnsi" w:hAnsiTheme="majorHAnsi" w:cstheme="majorHAnsi"/>
          <w:b/>
        </w:rPr>
        <w:t>67</w:t>
      </w:r>
      <w:r w:rsidRPr="0053555E">
        <w:rPr>
          <w:rFonts w:asciiTheme="majorHAnsi" w:hAnsiTheme="majorHAnsi" w:cstheme="majorHAnsi"/>
          <w:b/>
        </w:rPr>
        <w:t xml:space="preserve"> nových </w:t>
      </w:r>
      <w:r w:rsidRPr="0053555E">
        <w:rPr>
          <w:rFonts w:asciiTheme="majorHAnsi" w:hAnsiTheme="majorHAnsi" w:cstheme="majorHAnsi"/>
        </w:rPr>
        <w:t xml:space="preserve">študijných programov. </w:t>
      </w:r>
      <w:r w:rsidR="00D36631" w:rsidRPr="0053555E">
        <w:rPr>
          <w:rFonts w:asciiTheme="majorHAnsi" w:hAnsiTheme="majorHAnsi" w:cstheme="majorHAnsi"/>
        </w:rPr>
        <w:t xml:space="preserve">STU má jeden </w:t>
      </w:r>
      <w:r w:rsidRPr="0053555E">
        <w:rPr>
          <w:rFonts w:asciiTheme="majorHAnsi" w:hAnsiTheme="majorHAnsi" w:cstheme="majorHAnsi"/>
          <w:b/>
        </w:rPr>
        <w:t xml:space="preserve">profesijne orientovaný bakalársky študijný program </w:t>
      </w:r>
      <w:r w:rsidRPr="0053555E">
        <w:rPr>
          <w:rFonts w:asciiTheme="majorHAnsi" w:hAnsiTheme="majorHAnsi" w:cstheme="majorHAnsi"/>
        </w:rPr>
        <w:t xml:space="preserve">„prevádzkový technik dopravnej a výrobnej </w:t>
      </w:r>
      <w:r w:rsidRPr="0053555E">
        <w:rPr>
          <w:rFonts w:asciiTheme="majorHAnsi" w:hAnsiTheme="majorHAnsi" w:cstheme="majorHAnsi"/>
        </w:rPr>
        <w:lastRenderedPageBreak/>
        <w:t>techniky“ uskutočňovaný na Sj</w:t>
      </w:r>
      <w:r w:rsidR="004C36C0" w:rsidRPr="0053555E">
        <w:rPr>
          <w:rFonts w:asciiTheme="majorHAnsi" w:hAnsiTheme="majorHAnsi" w:cstheme="majorHAnsi"/>
        </w:rPr>
        <w:t xml:space="preserve">F v spolupráci </w:t>
      </w:r>
      <w:r w:rsidR="009D0DF6" w:rsidRPr="009D0DF6">
        <w:rPr>
          <w:rFonts w:asciiTheme="majorHAnsi" w:hAnsiTheme="majorHAnsi" w:cstheme="majorHAnsi"/>
        </w:rPr>
        <w:t>so zmluvnými partnermi</w:t>
      </w:r>
      <w:r w:rsidR="003B3429">
        <w:rPr>
          <w:rFonts w:asciiTheme="majorHAnsi" w:hAnsiTheme="majorHAnsi" w:cstheme="majorHAnsi"/>
        </w:rPr>
        <w:t xml:space="preserve">, ktorými sú </w:t>
      </w:r>
      <w:r w:rsidR="003B3429" w:rsidRPr="003B3429">
        <w:rPr>
          <w:rFonts w:asciiTheme="majorHAnsi" w:hAnsiTheme="majorHAnsi" w:cstheme="majorHAnsi"/>
        </w:rPr>
        <w:t>Volkswagen Slovakia</w:t>
      </w:r>
      <w:r w:rsidR="00CC6F57">
        <w:rPr>
          <w:rFonts w:asciiTheme="majorHAnsi" w:hAnsiTheme="majorHAnsi" w:cstheme="majorHAnsi"/>
        </w:rPr>
        <w:t>,</w:t>
      </w:r>
      <w:r w:rsidR="003B3429" w:rsidRPr="003B3429">
        <w:rPr>
          <w:rFonts w:asciiTheme="majorHAnsi" w:hAnsiTheme="majorHAnsi" w:cstheme="majorHAnsi"/>
        </w:rPr>
        <w:t xml:space="preserve"> a.</w:t>
      </w:r>
      <w:r w:rsidR="00CC6F57">
        <w:rPr>
          <w:rFonts w:asciiTheme="majorHAnsi" w:hAnsiTheme="majorHAnsi" w:cstheme="majorHAnsi"/>
        </w:rPr>
        <w:t xml:space="preserve"> </w:t>
      </w:r>
      <w:r w:rsidR="003B3429" w:rsidRPr="003B3429">
        <w:rPr>
          <w:rFonts w:asciiTheme="majorHAnsi" w:hAnsiTheme="majorHAnsi" w:cstheme="majorHAnsi"/>
        </w:rPr>
        <w:t>s.</w:t>
      </w:r>
      <w:r w:rsidR="00CC6F57">
        <w:rPr>
          <w:rFonts w:asciiTheme="majorHAnsi" w:hAnsiTheme="majorHAnsi" w:cstheme="majorHAnsi"/>
        </w:rPr>
        <w:t>;</w:t>
      </w:r>
      <w:r w:rsidR="003B3429" w:rsidRPr="003B3429">
        <w:rPr>
          <w:rFonts w:asciiTheme="majorHAnsi" w:hAnsiTheme="majorHAnsi" w:cstheme="majorHAnsi"/>
        </w:rPr>
        <w:t xml:space="preserve"> ZF Slovakia</w:t>
      </w:r>
      <w:r w:rsidR="00CC6F57">
        <w:rPr>
          <w:rFonts w:asciiTheme="majorHAnsi" w:hAnsiTheme="majorHAnsi" w:cstheme="majorHAnsi"/>
        </w:rPr>
        <w:t>,</w:t>
      </w:r>
      <w:r w:rsidR="003B3429" w:rsidRPr="003B3429">
        <w:rPr>
          <w:rFonts w:asciiTheme="majorHAnsi" w:hAnsiTheme="majorHAnsi" w:cstheme="majorHAnsi"/>
        </w:rPr>
        <w:t xml:space="preserve"> a.</w:t>
      </w:r>
      <w:r w:rsidR="00CC6F57">
        <w:rPr>
          <w:rFonts w:asciiTheme="majorHAnsi" w:hAnsiTheme="majorHAnsi" w:cstheme="majorHAnsi"/>
        </w:rPr>
        <w:t xml:space="preserve"> </w:t>
      </w:r>
      <w:r w:rsidR="003B3429" w:rsidRPr="003B3429">
        <w:rPr>
          <w:rFonts w:asciiTheme="majorHAnsi" w:hAnsiTheme="majorHAnsi" w:cstheme="majorHAnsi"/>
        </w:rPr>
        <w:t>s.</w:t>
      </w:r>
      <w:r w:rsidR="00CC6F57">
        <w:rPr>
          <w:rFonts w:asciiTheme="majorHAnsi" w:hAnsiTheme="majorHAnsi" w:cstheme="majorHAnsi"/>
        </w:rPr>
        <w:t>;</w:t>
      </w:r>
      <w:r w:rsidR="003B3429" w:rsidRPr="003B3429">
        <w:rPr>
          <w:rFonts w:asciiTheme="majorHAnsi" w:hAnsiTheme="majorHAnsi" w:cstheme="majorHAnsi"/>
        </w:rPr>
        <w:t xml:space="preserve"> ZKW Slovakia</w:t>
      </w:r>
      <w:r w:rsidR="00CC6F57">
        <w:rPr>
          <w:rFonts w:asciiTheme="majorHAnsi" w:hAnsiTheme="majorHAnsi" w:cstheme="majorHAnsi"/>
        </w:rPr>
        <w:t>,</w:t>
      </w:r>
      <w:r w:rsidR="003B3429" w:rsidRPr="003B3429">
        <w:rPr>
          <w:rFonts w:asciiTheme="majorHAnsi" w:hAnsiTheme="majorHAnsi" w:cstheme="majorHAnsi"/>
        </w:rPr>
        <w:t xml:space="preserve"> s.</w:t>
      </w:r>
      <w:r w:rsidR="00CC6F57">
        <w:rPr>
          <w:rFonts w:asciiTheme="majorHAnsi" w:hAnsiTheme="majorHAnsi" w:cstheme="majorHAnsi"/>
        </w:rPr>
        <w:t> </w:t>
      </w:r>
      <w:r w:rsidR="003B3429" w:rsidRPr="003B3429">
        <w:rPr>
          <w:rFonts w:asciiTheme="majorHAnsi" w:hAnsiTheme="majorHAnsi" w:cstheme="majorHAnsi"/>
        </w:rPr>
        <w:t>r.</w:t>
      </w:r>
      <w:r w:rsidR="00CC6F57">
        <w:rPr>
          <w:rFonts w:asciiTheme="majorHAnsi" w:hAnsiTheme="majorHAnsi" w:cstheme="majorHAnsi"/>
        </w:rPr>
        <w:t xml:space="preserve"> </w:t>
      </w:r>
      <w:r w:rsidR="003B3429" w:rsidRPr="003B3429">
        <w:rPr>
          <w:rFonts w:asciiTheme="majorHAnsi" w:hAnsiTheme="majorHAnsi" w:cstheme="majorHAnsi"/>
        </w:rPr>
        <w:t>o.</w:t>
      </w:r>
      <w:r w:rsidR="00CC6F57">
        <w:rPr>
          <w:rFonts w:asciiTheme="majorHAnsi" w:hAnsiTheme="majorHAnsi" w:cstheme="majorHAnsi"/>
        </w:rPr>
        <w:t>;</w:t>
      </w:r>
      <w:r w:rsidR="003B3429" w:rsidRPr="003B3429">
        <w:rPr>
          <w:rFonts w:asciiTheme="majorHAnsi" w:hAnsiTheme="majorHAnsi" w:cstheme="majorHAnsi"/>
        </w:rPr>
        <w:t xml:space="preserve"> Boge Elastmetal Slovakia</w:t>
      </w:r>
      <w:r w:rsidR="00CC6F57">
        <w:rPr>
          <w:rFonts w:asciiTheme="majorHAnsi" w:hAnsiTheme="majorHAnsi" w:cstheme="majorHAnsi"/>
        </w:rPr>
        <w:t>,</w:t>
      </w:r>
      <w:r w:rsidR="003B3429" w:rsidRPr="003B3429">
        <w:rPr>
          <w:rFonts w:asciiTheme="majorHAnsi" w:hAnsiTheme="majorHAnsi" w:cstheme="majorHAnsi"/>
        </w:rPr>
        <w:t xml:space="preserve"> a.</w:t>
      </w:r>
      <w:r w:rsidR="00CC6F57">
        <w:rPr>
          <w:rFonts w:asciiTheme="majorHAnsi" w:hAnsiTheme="majorHAnsi" w:cstheme="majorHAnsi"/>
        </w:rPr>
        <w:t xml:space="preserve"> </w:t>
      </w:r>
      <w:r w:rsidR="003B3429" w:rsidRPr="003B3429">
        <w:rPr>
          <w:rFonts w:asciiTheme="majorHAnsi" w:hAnsiTheme="majorHAnsi" w:cstheme="majorHAnsi"/>
        </w:rPr>
        <w:t>s.</w:t>
      </w:r>
      <w:r w:rsidR="00CC6F57">
        <w:rPr>
          <w:rFonts w:asciiTheme="majorHAnsi" w:hAnsiTheme="majorHAnsi" w:cstheme="majorHAnsi"/>
        </w:rPr>
        <w:t>;</w:t>
      </w:r>
      <w:r w:rsidR="003B3429" w:rsidRPr="003B3429">
        <w:rPr>
          <w:rFonts w:asciiTheme="majorHAnsi" w:hAnsiTheme="majorHAnsi" w:cstheme="majorHAnsi"/>
        </w:rPr>
        <w:t xml:space="preserve"> Continental Automotive System Slovakia</w:t>
      </w:r>
      <w:r w:rsidR="00CC6F57">
        <w:rPr>
          <w:rFonts w:asciiTheme="majorHAnsi" w:hAnsiTheme="majorHAnsi" w:cstheme="majorHAnsi"/>
        </w:rPr>
        <w:t>,</w:t>
      </w:r>
      <w:r w:rsidR="003B3429" w:rsidRPr="003B3429">
        <w:rPr>
          <w:rFonts w:asciiTheme="majorHAnsi" w:hAnsiTheme="majorHAnsi" w:cstheme="majorHAnsi"/>
        </w:rPr>
        <w:t xml:space="preserve"> s.</w:t>
      </w:r>
      <w:r w:rsidR="00CC6F57">
        <w:rPr>
          <w:rFonts w:asciiTheme="majorHAnsi" w:hAnsiTheme="majorHAnsi" w:cstheme="majorHAnsi"/>
        </w:rPr>
        <w:t xml:space="preserve"> </w:t>
      </w:r>
      <w:r w:rsidR="003B3429" w:rsidRPr="003B3429">
        <w:rPr>
          <w:rFonts w:asciiTheme="majorHAnsi" w:hAnsiTheme="majorHAnsi" w:cstheme="majorHAnsi"/>
        </w:rPr>
        <w:t>r.</w:t>
      </w:r>
      <w:r w:rsidR="00CC6F57">
        <w:rPr>
          <w:rFonts w:asciiTheme="majorHAnsi" w:hAnsiTheme="majorHAnsi" w:cstheme="majorHAnsi"/>
        </w:rPr>
        <w:t xml:space="preserve"> </w:t>
      </w:r>
      <w:r w:rsidR="003B3429" w:rsidRPr="003B3429">
        <w:rPr>
          <w:rFonts w:asciiTheme="majorHAnsi" w:hAnsiTheme="majorHAnsi" w:cstheme="majorHAnsi"/>
        </w:rPr>
        <w:t>o.</w:t>
      </w:r>
      <w:r w:rsidR="00CC6F57">
        <w:rPr>
          <w:rFonts w:asciiTheme="majorHAnsi" w:hAnsiTheme="majorHAnsi" w:cstheme="majorHAnsi"/>
        </w:rPr>
        <w:t>;</w:t>
      </w:r>
      <w:r w:rsidR="003B3429" w:rsidRPr="003B3429">
        <w:rPr>
          <w:rFonts w:asciiTheme="majorHAnsi" w:hAnsiTheme="majorHAnsi" w:cstheme="majorHAnsi"/>
        </w:rPr>
        <w:t xml:space="preserve"> Brose Prievidza</w:t>
      </w:r>
      <w:r w:rsidR="00CC6F57">
        <w:rPr>
          <w:rFonts w:asciiTheme="majorHAnsi" w:hAnsiTheme="majorHAnsi" w:cstheme="majorHAnsi"/>
        </w:rPr>
        <w:t>,</w:t>
      </w:r>
      <w:r w:rsidR="003B3429" w:rsidRPr="003B3429">
        <w:rPr>
          <w:rFonts w:asciiTheme="majorHAnsi" w:hAnsiTheme="majorHAnsi" w:cstheme="majorHAnsi"/>
        </w:rPr>
        <w:t xml:space="preserve"> s.</w:t>
      </w:r>
      <w:r w:rsidR="00CC6F57">
        <w:rPr>
          <w:rFonts w:asciiTheme="majorHAnsi" w:hAnsiTheme="majorHAnsi" w:cstheme="majorHAnsi"/>
        </w:rPr>
        <w:t xml:space="preserve"> </w:t>
      </w:r>
      <w:r w:rsidR="003B3429" w:rsidRPr="003B3429">
        <w:rPr>
          <w:rFonts w:asciiTheme="majorHAnsi" w:hAnsiTheme="majorHAnsi" w:cstheme="majorHAnsi"/>
        </w:rPr>
        <w:t>r.</w:t>
      </w:r>
      <w:r w:rsidR="00CC6F57">
        <w:rPr>
          <w:rFonts w:asciiTheme="majorHAnsi" w:hAnsiTheme="majorHAnsi" w:cstheme="majorHAnsi"/>
        </w:rPr>
        <w:t xml:space="preserve"> </w:t>
      </w:r>
      <w:r w:rsidR="003B3429" w:rsidRPr="003B3429">
        <w:rPr>
          <w:rFonts w:asciiTheme="majorHAnsi" w:hAnsiTheme="majorHAnsi" w:cstheme="majorHAnsi"/>
        </w:rPr>
        <w:t>o.</w:t>
      </w:r>
      <w:r w:rsidR="009D7640">
        <w:rPr>
          <w:rFonts w:asciiTheme="majorHAnsi" w:hAnsiTheme="majorHAnsi" w:cstheme="majorHAnsi"/>
        </w:rPr>
        <w:t xml:space="preserve"> a </w:t>
      </w:r>
      <w:r w:rsidR="003B3429" w:rsidRPr="003B3429">
        <w:rPr>
          <w:rFonts w:asciiTheme="majorHAnsi" w:hAnsiTheme="majorHAnsi" w:cstheme="majorHAnsi"/>
        </w:rPr>
        <w:t>Schaeffler Skalica</w:t>
      </w:r>
      <w:r w:rsidR="00CC6F57">
        <w:rPr>
          <w:rFonts w:asciiTheme="majorHAnsi" w:hAnsiTheme="majorHAnsi" w:cstheme="majorHAnsi"/>
        </w:rPr>
        <w:t>,</w:t>
      </w:r>
      <w:r w:rsidR="003B3429" w:rsidRPr="003B3429">
        <w:rPr>
          <w:rFonts w:asciiTheme="majorHAnsi" w:hAnsiTheme="majorHAnsi" w:cstheme="majorHAnsi"/>
        </w:rPr>
        <w:t xml:space="preserve"> s.</w:t>
      </w:r>
      <w:r w:rsidR="00CC6F57">
        <w:rPr>
          <w:rFonts w:asciiTheme="majorHAnsi" w:hAnsiTheme="majorHAnsi" w:cstheme="majorHAnsi"/>
        </w:rPr>
        <w:t xml:space="preserve"> </w:t>
      </w:r>
      <w:r w:rsidR="003B3429" w:rsidRPr="003B3429">
        <w:rPr>
          <w:rFonts w:asciiTheme="majorHAnsi" w:hAnsiTheme="majorHAnsi" w:cstheme="majorHAnsi"/>
        </w:rPr>
        <w:t>r.</w:t>
      </w:r>
      <w:r w:rsidR="00CC6F57">
        <w:rPr>
          <w:rFonts w:asciiTheme="majorHAnsi" w:hAnsiTheme="majorHAnsi" w:cstheme="majorHAnsi"/>
        </w:rPr>
        <w:t xml:space="preserve"> </w:t>
      </w:r>
      <w:r w:rsidR="003B3429" w:rsidRPr="003B3429">
        <w:rPr>
          <w:rFonts w:asciiTheme="majorHAnsi" w:hAnsiTheme="majorHAnsi" w:cstheme="majorHAnsi"/>
        </w:rPr>
        <w:t>o.</w:t>
      </w:r>
      <w:r w:rsidRPr="0053555E">
        <w:rPr>
          <w:rFonts w:asciiTheme="majorHAnsi" w:hAnsiTheme="majorHAnsi" w:cstheme="majorHAnsi"/>
        </w:rPr>
        <w:t xml:space="preserve"> </w:t>
      </w:r>
    </w:p>
    <w:p w14:paraId="0C172147" w14:textId="3220D6D8" w:rsidR="003B5AB8" w:rsidRPr="0053555E" w:rsidRDefault="003B5AB8" w:rsidP="009D7640">
      <w:pPr>
        <w:pStyle w:val="Normlnywebov"/>
        <w:spacing w:before="0" w:beforeAutospacing="0"/>
        <w:jc w:val="both"/>
        <w:rPr>
          <w:rFonts w:asciiTheme="majorHAnsi" w:hAnsiTheme="majorHAnsi" w:cstheme="majorHAnsi"/>
        </w:rPr>
      </w:pPr>
      <w:r w:rsidRPr="0053555E">
        <w:rPr>
          <w:rFonts w:asciiTheme="majorHAnsi" w:hAnsiTheme="majorHAnsi" w:cstheme="majorHAnsi"/>
        </w:rPr>
        <w:t xml:space="preserve">Sumárny prehľad akreditovaných študijných programov na všetkých stupňoch štúdia v dennej a externej forme na jednotlivých súčastiach STU na konci akademického roka </w:t>
      </w:r>
      <w:r w:rsidR="00EA24BA" w:rsidRPr="0053555E">
        <w:rPr>
          <w:rFonts w:asciiTheme="majorHAnsi" w:hAnsiTheme="majorHAnsi" w:cstheme="majorHAnsi"/>
        </w:rPr>
        <w:t>2021/2022</w:t>
      </w:r>
      <w:r w:rsidRPr="0053555E">
        <w:rPr>
          <w:rFonts w:asciiTheme="majorHAnsi" w:hAnsiTheme="majorHAnsi" w:cstheme="majorHAnsi"/>
        </w:rPr>
        <w:t xml:space="preserve"> </w:t>
      </w:r>
      <w:r w:rsidR="004F557C" w:rsidRPr="0053555E">
        <w:rPr>
          <w:rFonts w:asciiTheme="majorHAnsi" w:hAnsiTheme="majorHAnsi" w:cstheme="majorHAnsi"/>
        </w:rPr>
        <w:t>a </w:t>
      </w:r>
      <w:r w:rsidR="009C3E56" w:rsidRPr="0053555E">
        <w:rPr>
          <w:rFonts w:asciiTheme="majorHAnsi" w:hAnsiTheme="majorHAnsi" w:cstheme="majorHAnsi"/>
        </w:rPr>
        <w:t xml:space="preserve">rozloženie študijných odborov podľa súčastí STU </w:t>
      </w:r>
      <w:r w:rsidRPr="0053555E">
        <w:rPr>
          <w:rFonts w:asciiTheme="majorHAnsi" w:hAnsiTheme="majorHAnsi" w:cstheme="majorHAnsi"/>
        </w:rPr>
        <w:t xml:space="preserve">uvádza </w:t>
      </w:r>
      <w:r w:rsidRPr="00232A93">
        <w:rPr>
          <w:rFonts w:asciiTheme="majorHAnsi" w:hAnsiTheme="majorHAnsi" w:cstheme="majorHAnsi"/>
        </w:rPr>
        <w:fldChar w:fldCharType="begin"/>
      </w:r>
      <w:r w:rsidRPr="00232A93">
        <w:rPr>
          <w:rFonts w:asciiTheme="majorHAnsi" w:hAnsiTheme="majorHAnsi" w:cstheme="majorHAnsi"/>
        </w:rPr>
        <w:instrText xml:space="preserve"> REF _Ref31705828 \h  \* MERGEFORMAT </w:instrText>
      </w:r>
      <w:r w:rsidRPr="00232A93">
        <w:rPr>
          <w:rFonts w:asciiTheme="majorHAnsi" w:hAnsiTheme="majorHAnsi" w:cstheme="majorHAnsi"/>
        </w:rPr>
      </w:r>
      <w:r w:rsidRPr="00232A93">
        <w:rPr>
          <w:rFonts w:asciiTheme="majorHAnsi" w:hAnsiTheme="majorHAnsi" w:cstheme="majorHAnsi"/>
        </w:rPr>
        <w:fldChar w:fldCharType="separate"/>
      </w:r>
      <w:r w:rsidR="00EE1B59" w:rsidRPr="00232A93">
        <w:rPr>
          <w:rFonts w:asciiTheme="majorHAnsi" w:hAnsiTheme="majorHAnsi" w:cstheme="majorHAnsi"/>
        </w:rPr>
        <w:t>Tab. č. 4</w:t>
      </w:r>
      <w:r w:rsidRPr="00232A93">
        <w:rPr>
          <w:rFonts w:asciiTheme="majorHAnsi" w:hAnsiTheme="majorHAnsi" w:cstheme="majorHAnsi"/>
        </w:rPr>
        <w:fldChar w:fldCharType="end"/>
      </w:r>
      <w:r w:rsidRPr="00232A93">
        <w:rPr>
          <w:rFonts w:asciiTheme="majorHAnsi" w:hAnsiTheme="majorHAnsi" w:cstheme="majorHAnsi"/>
        </w:rPr>
        <w:t>.</w:t>
      </w:r>
    </w:p>
    <w:p w14:paraId="6E645ED5" w14:textId="77777777" w:rsidR="003B5AB8" w:rsidRPr="0053555E" w:rsidRDefault="003B5AB8" w:rsidP="003B5AB8">
      <w:pPr>
        <w:jc w:val="both"/>
        <w:rPr>
          <w:rFonts w:asciiTheme="majorHAnsi" w:hAnsiTheme="majorHAnsi" w:cstheme="majorHAnsi"/>
        </w:rPr>
      </w:pPr>
    </w:p>
    <w:p w14:paraId="1B96FA81" w14:textId="77777777" w:rsidR="003B5AB8" w:rsidRPr="0053555E" w:rsidRDefault="003B5AB8" w:rsidP="003B5AB8">
      <w:pPr>
        <w:framePr w:hSpace="141" w:wrap="around" w:vAnchor="text" w:hAnchor="margin" w:x="-590" w:y="116"/>
        <w:tabs>
          <w:tab w:val="left" w:pos="9356"/>
        </w:tabs>
        <w:jc w:val="both"/>
        <w:rPr>
          <w:rFonts w:asciiTheme="majorHAnsi" w:hAnsiTheme="majorHAnsi" w:cstheme="majorHAnsi"/>
        </w:rPr>
        <w:sectPr w:rsidR="003B5AB8" w:rsidRPr="0053555E" w:rsidSect="002206F0">
          <w:headerReference w:type="first" r:id="rId16"/>
          <w:pgSz w:w="11906" w:h="16838"/>
          <w:pgMar w:top="1418" w:right="1247" w:bottom="993" w:left="1247" w:header="284" w:footer="391" w:gutter="0"/>
          <w:cols w:space="708"/>
          <w:docGrid w:linePitch="326"/>
        </w:sectPr>
      </w:pPr>
    </w:p>
    <w:p w14:paraId="0A14FAB6" w14:textId="7574B905" w:rsidR="003B5AB8" w:rsidRPr="0053555E" w:rsidRDefault="007E59F8" w:rsidP="000E3322">
      <w:pPr>
        <w:pStyle w:val="Popis"/>
        <w:rPr>
          <w:rStyle w:val="Zvraznenie"/>
        </w:rPr>
      </w:pPr>
      <w:bookmarkStart w:id="16" w:name="_Ref31705828"/>
      <w:bookmarkStart w:id="17" w:name="_Ref474776540"/>
      <w:bookmarkStart w:id="18" w:name="_Toc127593267"/>
      <w:r w:rsidRPr="0053555E">
        <w:lastRenderedPageBreak/>
        <w:t xml:space="preserve">Tab. č. </w:t>
      </w:r>
      <w:r w:rsidR="007B5953">
        <w:fldChar w:fldCharType="begin"/>
      </w:r>
      <w:r w:rsidR="007B5953">
        <w:instrText xml:space="preserve"> SEQ Tab._č. \* ARABIC </w:instrText>
      </w:r>
      <w:r w:rsidR="007B5953">
        <w:fldChar w:fldCharType="separate"/>
      </w:r>
      <w:r w:rsidR="00EE1B59">
        <w:rPr>
          <w:noProof/>
        </w:rPr>
        <w:t>4</w:t>
      </w:r>
      <w:r w:rsidR="007B5953">
        <w:rPr>
          <w:noProof/>
        </w:rPr>
        <w:fldChar w:fldCharType="end"/>
      </w:r>
      <w:bookmarkEnd w:id="16"/>
      <w:r w:rsidR="003B5AB8" w:rsidRPr="0053555E">
        <w:rPr>
          <w:lang w:eastAsia="sk-SK"/>
        </w:rPr>
        <w:t>: Prehľad akreditovaných študijných programov</w:t>
      </w:r>
      <w:bookmarkEnd w:id="17"/>
      <w:r w:rsidR="003B5AB8" w:rsidRPr="0053555E">
        <w:rPr>
          <w:lang w:eastAsia="sk-SK"/>
        </w:rPr>
        <w:t xml:space="preserve"> v akademickom roku </w:t>
      </w:r>
      <w:r w:rsidR="00EA24BA" w:rsidRPr="0053555E">
        <w:rPr>
          <w:lang w:eastAsia="sk-SK"/>
        </w:rPr>
        <w:t>2021/2022</w:t>
      </w:r>
      <w:bookmarkEnd w:id="18"/>
    </w:p>
    <w:tbl>
      <w:tblPr>
        <w:tblpPr w:leftFromText="141" w:rightFromText="141" w:vertAnchor="text" w:horzAnchor="margin" w:tblpY="99"/>
        <w:tblW w:w="15145" w:type="dxa"/>
        <w:tblLayout w:type="fixed"/>
        <w:tblCellMar>
          <w:left w:w="70" w:type="dxa"/>
          <w:right w:w="70" w:type="dxa"/>
        </w:tblCellMar>
        <w:tblLook w:val="04A0" w:firstRow="1" w:lastRow="0" w:firstColumn="1" w:lastColumn="0" w:noHBand="0" w:noVBand="1"/>
      </w:tblPr>
      <w:tblGrid>
        <w:gridCol w:w="683"/>
        <w:gridCol w:w="712"/>
        <w:gridCol w:w="425"/>
        <w:gridCol w:w="567"/>
        <w:gridCol w:w="420"/>
        <w:gridCol w:w="572"/>
        <w:gridCol w:w="426"/>
        <w:gridCol w:w="567"/>
        <w:gridCol w:w="425"/>
        <w:gridCol w:w="709"/>
        <w:gridCol w:w="425"/>
        <w:gridCol w:w="699"/>
        <w:gridCol w:w="425"/>
        <w:gridCol w:w="719"/>
        <w:gridCol w:w="425"/>
        <w:gridCol w:w="567"/>
        <w:gridCol w:w="425"/>
        <w:gridCol w:w="720"/>
        <w:gridCol w:w="567"/>
        <w:gridCol w:w="701"/>
        <w:gridCol w:w="564"/>
        <w:gridCol w:w="720"/>
        <w:gridCol w:w="567"/>
        <w:gridCol w:w="708"/>
        <w:gridCol w:w="698"/>
        <w:gridCol w:w="709"/>
      </w:tblGrid>
      <w:tr w:rsidR="007718BC" w:rsidRPr="0053555E" w14:paraId="0CFF0022" w14:textId="77777777" w:rsidTr="009166EA">
        <w:trPr>
          <w:trHeight w:val="315"/>
        </w:trPr>
        <w:tc>
          <w:tcPr>
            <w:tcW w:w="683" w:type="dxa"/>
            <w:vMerge w:val="restart"/>
            <w:tcBorders>
              <w:top w:val="double" w:sz="6" w:space="0" w:color="auto"/>
              <w:left w:val="double" w:sz="6" w:space="0" w:color="auto"/>
              <w:bottom w:val="double" w:sz="6" w:space="0" w:color="000000"/>
              <w:right w:val="double" w:sz="6" w:space="0" w:color="auto"/>
            </w:tcBorders>
            <w:shd w:val="clear" w:color="auto" w:fill="auto"/>
            <w:vAlign w:val="bottom"/>
            <w:hideMark/>
          </w:tcPr>
          <w:p w14:paraId="61E2D568" w14:textId="77777777" w:rsidR="007718BC" w:rsidRPr="0053555E" w:rsidRDefault="007718BC" w:rsidP="001605FB">
            <w:pPr>
              <w:tabs>
                <w:tab w:val="left" w:pos="9356"/>
              </w:tabs>
              <w:ind w:left="-14"/>
              <w:jc w:val="both"/>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Súčasť STU</w:t>
            </w:r>
          </w:p>
        </w:tc>
        <w:tc>
          <w:tcPr>
            <w:tcW w:w="13753" w:type="dxa"/>
            <w:gridSpan w:val="24"/>
            <w:tcBorders>
              <w:top w:val="double" w:sz="6" w:space="0" w:color="auto"/>
              <w:left w:val="nil"/>
              <w:bottom w:val="single" w:sz="4" w:space="0" w:color="auto"/>
              <w:right w:val="single" w:sz="12" w:space="0" w:color="auto"/>
            </w:tcBorders>
          </w:tcPr>
          <w:p w14:paraId="09939246" w14:textId="4B7E3DE4"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Akreditované študijné programy</w:t>
            </w:r>
          </w:p>
        </w:tc>
        <w:tc>
          <w:tcPr>
            <w:tcW w:w="709" w:type="dxa"/>
            <w:vMerge w:val="restart"/>
            <w:tcBorders>
              <w:top w:val="double" w:sz="6" w:space="0" w:color="auto"/>
              <w:left w:val="single" w:sz="12" w:space="0" w:color="auto"/>
              <w:right w:val="double" w:sz="6" w:space="0" w:color="000000"/>
            </w:tcBorders>
            <w:shd w:val="clear" w:color="auto" w:fill="EEECE1" w:themeFill="background2"/>
            <w:vAlign w:val="center"/>
          </w:tcPr>
          <w:p w14:paraId="6DA5CEE4" w14:textId="77777777"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ŠO</w:t>
            </w:r>
          </w:p>
        </w:tc>
      </w:tr>
      <w:tr w:rsidR="007718BC" w:rsidRPr="0053555E" w14:paraId="75F235E0" w14:textId="77777777" w:rsidTr="009166EA">
        <w:trPr>
          <w:trHeight w:val="149"/>
        </w:trPr>
        <w:tc>
          <w:tcPr>
            <w:tcW w:w="683" w:type="dxa"/>
            <w:vMerge/>
            <w:tcBorders>
              <w:top w:val="double" w:sz="6" w:space="0" w:color="auto"/>
              <w:left w:val="double" w:sz="6" w:space="0" w:color="auto"/>
              <w:bottom w:val="double" w:sz="6" w:space="0" w:color="000000"/>
              <w:right w:val="double" w:sz="6" w:space="0" w:color="auto"/>
            </w:tcBorders>
            <w:vAlign w:val="center"/>
            <w:hideMark/>
          </w:tcPr>
          <w:p w14:paraId="2DB4E335" w14:textId="77777777" w:rsidR="007718BC" w:rsidRPr="0053555E" w:rsidRDefault="007718BC" w:rsidP="001605FB">
            <w:pPr>
              <w:tabs>
                <w:tab w:val="left" w:pos="9356"/>
              </w:tabs>
              <w:ind w:left="-14"/>
              <w:jc w:val="both"/>
              <w:rPr>
                <w:rFonts w:asciiTheme="majorHAnsi" w:eastAsia="Times New Roman" w:hAnsiTheme="majorHAnsi" w:cstheme="majorHAnsi"/>
                <w:b/>
                <w:bCs/>
                <w:sz w:val="18"/>
                <w:szCs w:val="18"/>
                <w:lang w:eastAsia="sk-SK"/>
              </w:rPr>
            </w:pPr>
          </w:p>
        </w:tc>
        <w:tc>
          <w:tcPr>
            <w:tcW w:w="4114" w:type="dxa"/>
            <w:gridSpan w:val="8"/>
            <w:tcBorders>
              <w:top w:val="single" w:sz="4" w:space="0" w:color="auto"/>
              <w:left w:val="double" w:sz="6" w:space="0" w:color="auto"/>
              <w:bottom w:val="single" w:sz="4" w:space="0" w:color="auto"/>
              <w:right w:val="single" w:sz="12" w:space="0" w:color="auto"/>
            </w:tcBorders>
            <w:shd w:val="clear" w:color="auto" w:fill="auto"/>
            <w:noWrap/>
            <w:vAlign w:val="center"/>
            <w:hideMark/>
          </w:tcPr>
          <w:p w14:paraId="0F7D2D57" w14:textId="77777777"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len v dennej forme štúdia</w:t>
            </w:r>
          </w:p>
        </w:tc>
        <w:tc>
          <w:tcPr>
            <w:tcW w:w="2258" w:type="dxa"/>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14:paraId="50412837" w14:textId="77777777"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v dennej forme štúdia</w:t>
            </w:r>
          </w:p>
        </w:tc>
        <w:tc>
          <w:tcPr>
            <w:tcW w:w="2136" w:type="dxa"/>
            <w:gridSpan w:val="4"/>
            <w:tcBorders>
              <w:top w:val="single" w:sz="4" w:space="0" w:color="auto"/>
              <w:left w:val="single" w:sz="12" w:space="0" w:color="auto"/>
              <w:bottom w:val="single" w:sz="4" w:space="0" w:color="auto"/>
              <w:right w:val="single" w:sz="12" w:space="0" w:color="auto"/>
            </w:tcBorders>
            <w:vAlign w:val="center"/>
          </w:tcPr>
          <w:p w14:paraId="6EB09600" w14:textId="77777777"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v externej forme štúdia</w:t>
            </w:r>
          </w:p>
        </w:tc>
        <w:tc>
          <w:tcPr>
            <w:tcW w:w="2552" w:type="dxa"/>
            <w:gridSpan w:val="4"/>
            <w:vMerge w:val="restart"/>
            <w:tcBorders>
              <w:top w:val="single" w:sz="4" w:space="0" w:color="auto"/>
              <w:left w:val="single" w:sz="12" w:space="0" w:color="auto"/>
              <w:bottom w:val="single" w:sz="4" w:space="0" w:color="000000"/>
              <w:right w:val="single" w:sz="12" w:space="0" w:color="auto"/>
            </w:tcBorders>
            <w:shd w:val="clear" w:color="auto" w:fill="auto"/>
            <w:vAlign w:val="center"/>
            <w:hideMark/>
          </w:tcPr>
          <w:p w14:paraId="07777DE8" w14:textId="77777777"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spolu denná forma štúdia</w:t>
            </w:r>
          </w:p>
          <w:p w14:paraId="0E25E328" w14:textId="77777777"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všetky stupne</w:t>
            </w:r>
          </w:p>
        </w:tc>
        <w:tc>
          <w:tcPr>
            <w:tcW w:w="2693" w:type="dxa"/>
            <w:gridSpan w:val="4"/>
            <w:vMerge w:val="restart"/>
            <w:tcBorders>
              <w:top w:val="single" w:sz="4" w:space="0" w:color="auto"/>
              <w:left w:val="single" w:sz="12" w:space="0" w:color="auto"/>
              <w:right w:val="single" w:sz="12" w:space="0" w:color="auto"/>
            </w:tcBorders>
            <w:vAlign w:val="center"/>
          </w:tcPr>
          <w:p w14:paraId="1A1BE6F6" w14:textId="24F0BA37"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spolu denná a externá forma štúdia všetky stupne</w:t>
            </w:r>
          </w:p>
        </w:tc>
        <w:tc>
          <w:tcPr>
            <w:tcW w:w="709" w:type="dxa"/>
            <w:vMerge/>
            <w:tcBorders>
              <w:left w:val="single" w:sz="12" w:space="0" w:color="auto"/>
              <w:right w:val="double" w:sz="6" w:space="0" w:color="000000"/>
            </w:tcBorders>
            <w:shd w:val="clear" w:color="auto" w:fill="EEECE1" w:themeFill="background2"/>
            <w:vAlign w:val="center"/>
            <w:hideMark/>
          </w:tcPr>
          <w:p w14:paraId="2C0C7BB2" w14:textId="77777777"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p>
        </w:tc>
      </w:tr>
      <w:tr w:rsidR="007718BC" w:rsidRPr="0053555E" w14:paraId="281338EF" w14:textId="77777777" w:rsidTr="009166EA">
        <w:trPr>
          <w:trHeight w:val="323"/>
        </w:trPr>
        <w:tc>
          <w:tcPr>
            <w:tcW w:w="683" w:type="dxa"/>
            <w:vMerge/>
            <w:tcBorders>
              <w:top w:val="double" w:sz="6" w:space="0" w:color="auto"/>
              <w:left w:val="double" w:sz="6" w:space="0" w:color="auto"/>
              <w:bottom w:val="double" w:sz="6" w:space="0" w:color="000000"/>
              <w:right w:val="double" w:sz="6" w:space="0" w:color="auto"/>
            </w:tcBorders>
            <w:vAlign w:val="center"/>
            <w:hideMark/>
          </w:tcPr>
          <w:p w14:paraId="6809C6E3" w14:textId="77777777" w:rsidR="007718BC" w:rsidRPr="0053555E" w:rsidRDefault="007718BC" w:rsidP="001605FB">
            <w:pPr>
              <w:tabs>
                <w:tab w:val="left" w:pos="9356"/>
              </w:tabs>
              <w:ind w:left="-14"/>
              <w:jc w:val="both"/>
              <w:rPr>
                <w:rFonts w:asciiTheme="majorHAnsi" w:eastAsia="Times New Roman" w:hAnsiTheme="majorHAnsi" w:cstheme="majorHAnsi"/>
                <w:b/>
                <w:bCs/>
                <w:sz w:val="18"/>
                <w:szCs w:val="18"/>
                <w:lang w:eastAsia="sk-SK"/>
              </w:rPr>
            </w:pPr>
          </w:p>
        </w:tc>
        <w:tc>
          <w:tcPr>
            <w:tcW w:w="2124" w:type="dxa"/>
            <w:gridSpan w:val="4"/>
            <w:tcBorders>
              <w:top w:val="single" w:sz="4" w:space="0" w:color="auto"/>
              <w:left w:val="double" w:sz="6" w:space="0" w:color="auto"/>
              <w:bottom w:val="single" w:sz="4" w:space="0" w:color="auto"/>
              <w:right w:val="single" w:sz="12" w:space="0" w:color="auto"/>
            </w:tcBorders>
            <w:shd w:val="clear" w:color="auto" w:fill="auto"/>
            <w:noWrap/>
            <w:vAlign w:val="center"/>
            <w:hideMark/>
          </w:tcPr>
          <w:p w14:paraId="5A1FDDB0" w14:textId="77777777"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I. stupeň</w:t>
            </w:r>
          </w:p>
        </w:tc>
        <w:tc>
          <w:tcPr>
            <w:tcW w:w="1990"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13888002" w14:textId="77777777"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II. stupeň</w:t>
            </w:r>
          </w:p>
        </w:tc>
        <w:tc>
          <w:tcPr>
            <w:tcW w:w="2258"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76A382BF" w14:textId="77777777"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III. stupeň</w:t>
            </w:r>
          </w:p>
        </w:tc>
        <w:tc>
          <w:tcPr>
            <w:tcW w:w="2136" w:type="dxa"/>
            <w:gridSpan w:val="4"/>
            <w:tcBorders>
              <w:top w:val="nil"/>
              <w:left w:val="single" w:sz="12" w:space="0" w:color="auto"/>
              <w:bottom w:val="single" w:sz="4" w:space="0" w:color="auto"/>
              <w:right w:val="single" w:sz="12" w:space="0" w:color="auto"/>
            </w:tcBorders>
            <w:vAlign w:val="center"/>
          </w:tcPr>
          <w:p w14:paraId="79DBD82A" w14:textId="77777777"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III. stupeň</w:t>
            </w:r>
          </w:p>
        </w:tc>
        <w:tc>
          <w:tcPr>
            <w:tcW w:w="2552" w:type="dxa"/>
            <w:gridSpan w:val="4"/>
            <w:vMerge/>
            <w:tcBorders>
              <w:top w:val="single" w:sz="4" w:space="0" w:color="auto"/>
              <w:left w:val="single" w:sz="12" w:space="0" w:color="auto"/>
              <w:bottom w:val="single" w:sz="4" w:space="0" w:color="000000"/>
              <w:right w:val="single" w:sz="12" w:space="0" w:color="auto"/>
            </w:tcBorders>
            <w:shd w:val="clear" w:color="auto" w:fill="auto"/>
            <w:vAlign w:val="center"/>
            <w:hideMark/>
          </w:tcPr>
          <w:p w14:paraId="0200A9FD" w14:textId="77777777"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p>
        </w:tc>
        <w:tc>
          <w:tcPr>
            <w:tcW w:w="2693" w:type="dxa"/>
            <w:gridSpan w:val="4"/>
            <w:vMerge/>
            <w:tcBorders>
              <w:left w:val="single" w:sz="12" w:space="0" w:color="auto"/>
              <w:bottom w:val="nil"/>
              <w:right w:val="single" w:sz="12" w:space="0" w:color="auto"/>
            </w:tcBorders>
            <w:vAlign w:val="center"/>
          </w:tcPr>
          <w:p w14:paraId="347AE5DE" w14:textId="77777777"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p>
        </w:tc>
        <w:tc>
          <w:tcPr>
            <w:tcW w:w="709" w:type="dxa"/>
            <w:vMerge/>
            <w:tcBorders>
              <w:left w:val="single" w:sz="12" w:space="0" w:color="auto"/>
              <w:right w:val="double" w:sz="6" w:space="0" w:color="000000"/>
            </w:tcBorders>
            <w:shd w:val="clear" w:color="auto" w:fill="EEECE1" w:themeFill="background2"/>
            <w:vAlign w:val="center"/>
            <w:hideMark/>
          </w:tcPr>
          <w:p w14:paraId="26445F92" w14:textId="77777777" w:rsidR="007718BC" w:rsidRPr="0053555E" w:rsidRDefault="007718BC" w:rsidP="001605FB">
            <w:pPr>
              <w:tabs>
                <w:tab w:val="left" w:pos="9356"/>
              </w:tabs>
              <w:ind w:left="-14"/>
              <w:jc w:val="center"/>
              <w:rPr>
                <w:rFonts w:asciiTheme="majorHAnsi" w:eastAsia="Times New Roman" w:hAnsiTheme="majorHAnsi" w:cstheme="majorHAnsi"/>
                <w:b/>
                <w:bCs/>
                <w:sz w:val="18"/>
                <w:szCs w:val="18"/>
                <w:lang w:eastAsia="sk-SK"/>
              </w:rPr>
            </w:pPr>
          </w:p>
        </w:tc>
      </w:tr>
      <w:tr w:rsidR="007718BC" w:rsidRPr="0053555E" w14:paraId="29B7E886" w14:textId="77777777" w:rsidTr="0087574E">
        <w:trPr>
          <w:trHeight w:val="173"/>
        </w:trPr>
        <w:tc>
          <w:tcPr>
            <w:tcW w:w="683" w:type="dxa"/>
            <w:vMerge/>
            <w:tcBorders>
              <w:top w:val="double" w:sz="6" w:space="0" w:color="auto"/>
              <w:left w:val="double" w:sz="6" w:space="0" w:color="auto"/>
              <w:bottom w:val="double" w:sz="6" w:space="0" w:color="000000"/>
              <w:right w:val="double" w:sz="6" w:space="0" w:color="auto"/>
            </w:tcBorders>
            <w:vAlign w:val="center"/>
          </w:tcPr>
          <w:p w14:paraId="047BFAF3" w14:textId="77777777" w:rsidR="007718BC" w:rsidRPr="0053555E" w:rsidRDefault="007718BC" w:rsidP="005E4B8A">
            <w:pPr>
              <w:tabs>
                <w:tab w:val="left" w:pos="9356"/>
              </w:tabs>
              <w:ind w:left="-14"/>
              <w:jc w:val="both"/>
              <w:rPr>
                <w:rFonts w:asciiTheme="majorHAnsi" w:eastAsia="Times New Roman" w:hAnsiTheme="majorHAnsi" w:cstheme="majorHAnsi"/>
                <w:b/>
                <w:bCs/>
                <w:sz w:val="18"/>
                <w:szCs w:val="18"/>
                <w:lang w:eastAsia="sk-SK"/>
              </w:rPr>
            </w:pPr>
          </w:p>
        </w:tc>
        <w:tc>
          <w:tcPr>
            <w:tcW w:w="1137" w:type="dxa"/>
            <w:gridSpan w:val="2"/>
            <w:tcBorders>
              <w:top w:val="nil"/>
              <w:left w:val="double" w:sz="6" w:space="0" w:color="auto"/>
              <w:bottom w:val="single" w:sz="4" w:space="0" w:color="auto"/>
              <w:right w:val="single" w:sz="4" w:space="0" w:color="auto"/>
            </w:tcBorders>
            <w:shd w:val="clear" w:color="auto" w:fill="auto"/>
            <w:noWrap/>
            <w:vAlign w:val="bottom"/>
          </w:tcPr>
          <w:p w14:paraId="2356F2C1"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SJ</w:t>
            </w:r>
          </w:p>
        </w:tc>
        <w:tc>
          <w:tcPr>
            <w:tcW w:w="567" w:type="dxa"/>
            <w:tcBorders>
              <w:top w:val="nil"/>
              <w:left w:val="nil"/>
              <w:bottom w:val="single" w:sz="4" w:space="0" w:color="auto"/>
              <w:right w:val="single" w:sz="8" w:space="0" w:color="auto"/>
            </w:tcBorders>
            <w:shd w:val="clear" w:color="auto" w:fill="auto"/>
            <w:noWrap/>
            <w:vAlign w:val="bottom"/>
          </w:tcPr>
          <w:p w14:paraId="59AB8B9C"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AJ</w:t>
            </w:r>
          </w:p>
        </w:tc>
        <w:tc>
          <w:tcPr>
            <w:tcW w:w="420" w:type="dxa"/>
            <w:vMerge w:val="restart"/>
            <w:tcBorders>
              <w:top w:val="nil"/>
              <w:left w:val="nil"/>
              <w:right w:val="single" w:sz="12" w:space="0" w:color="auto"/>
            </w:tcBorders>
            <w:shd w:val="clear" w:color="auto" w:fill="auto"/>
            <w:noWrap/>
            <w:vAlign w:val="center"/>
          </w:tcPr>
          <w:p w14:paraId="2517D40A"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Σ</w:t>
            </w:r>
            <w:r w:rsidRPr="0053555E">
              <w:rPr>
                <w:rFonts w:asciiTheme="majorHAnsi" w:eastAsia="Times New Roman" w:hAnsiTheme="majorHAnsi" w:cstheme="majorHAnsi"/>
                <w:b/>
                <w:bCs/>
                <w:sz w:val="18"/>
                <w:szCs w:val="18"/>
                <w:vertAlign w:val="subscript"/>
                <w:lang w:eastAsia="sk-SK"/>
              </w:rPr>
              <w:t>1</w:t>
            </w:r>
          </w:p>
        </w:tc>
        <w:tc>
          <w:tcPr>
            <w:tcW w:w="998" w:type="dxa"/>
            <w:gridSpan w:val="2"/>
            <w:tcBorders>
              <w:top w:val="nil"/>
              <w:left w:val="single" w:sz="12" w:space="0" w:color="auto"/>
              <w:bottom w:val="single" w:sz="4" w:space="0" w:color="auto"/>
              <w:right w:val="single" w:sz="4" w:space="0" w:color="auto"/>
            </w:tcBorders>
            <w:shd w:val="clear" w:color="auto" w:fill="auto"/>
            <w:noWrap/>
            <w:vAlign w:val="bottom"/>
          </w:tcPr>
          <w:p w14:paraId="1E2E3A7C"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SJ</w:t>
            </w:r>
          </w:p>
        </w:tc>
        <w:tc>
          <w:tcPr>
            <w:tcW w:w="567" w:type="dxa"/>
            <w:tcBorders>
              <w:top w:val="nil"/>
              <w:left w:val="nil"/>
              <w:bottom w:val="single" w:sz="4" w:space="0" w:color="auto"/>
              <w:right w:val="single" w:sz="8" w:space="0" w:color="auto"/>
            </w:tcBorders>
            <w:shd w:val="clear" w:color="auto" w:fill="auto"/>
            <w:noWrap/>
            <w:vAlign w:val="bottom"/>
          </w:tcPr>
          <w:p w14:paraId="6E865906"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AJ</w:t>
            </w:r>
          </w:p>
        </w:tc>
        <w:tc>
          <w:tcPr>
            <w:tcW w:w="425" w:type="dxa"/>
            <w:vMerge w:val="restart"/>
            <w:tcBorders>
              <w:top w:val="nil"/>
              <w:left w:val="nil"/>
              <w:right w:val="single" w:sz="12" w:space="0" w:color="auto"/>
            </w:tcBorders>
            <w:shd w:val="clear" w:color="auto" w:fill="auto"/>
            <w:noWrap/>
            <w:vAlign w:val="center"/>
          </w:tcPr>
          <w:p w14:paraId="33121AF0"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Σ</w:t>
            </w:r>
            <w:r w:rsidRPr="0053555E">
              <w:rPr>
                <w:rFonts w:asciiTheme="majorHAnsi" w:eastAsia="Times New Roman" w:hAnsiTheme="majorHAnsi" w:cstheme="majorHAnsi"/>
                <w:b/>
                <w:bCs/>
                <w:sz w:val="18"/>
                <w:szCs w:val="18"/>
                <w:vertAlign w:val="subscript"/>
                <w:lang w:eastAsia="sk-SK"/>
              </w:rPr>
              <w:t>2</w:t>
            </w:r>
          </w:p>
        </w:tc>
        <w:tc>
          <w:tcPr>
            <w:tcW w:w="1134" w:type="dxa"/>
            <w:gridSpan w:val="2"/>
            <w:tcBorders>
              <w:top w:val="nil"/>
              <w:left w:val="single" w:sz="12" w:space="0" w:color="auto"/>
              <w:bottom w:val="single" w:sz="4" w:space="0" w:color="auto"/>
              <w:right w:val="single" w:sz="4" w:space="0" w:color="auto"/>
            </w:tcBorders>
            <w:shd w:val="clear" w:color="auto" w:fill="auto"/>
            <w:noWrap/>
            <w:vAlign w:val="bottom"/>
          </w:tcPr>
          <w:p w14:paraId="58A0486C"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SJ</w:t>
            </w:r>
          </w:p>
        </w:tc>
        <w:tc>
          <w:tcPr>
            <w:tcW w:w="699" w:type="dxa"/>
            <w:tcBorders>
              <w:top w:val="nil"/>
              <w:left w:val="nil"/>
              <w:bottom w:val="single" w:sz="4" w:space="0" w:color="auto"/>
              <w:right w:val="single" w:sz="8" w:space="0" w:color="auto"/>
            </w:tcBorders>
            <w:shd w:val="clear" w:color="auto" w:fill="auto"/>
            <w:noWrap/>
            <w:vAlign w:val="bottom"/>
          </w:tcPr>
          <w:p w14:paraId="18072BE8"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AJ</w:t>
            </w:r>
          </w:p>
        </w:tc>
        <w:tc>
          <w:tcPr>
            <w:tcW w:w="425" w:type="dxa"/>
            <w:vMerge w:val="restart"/>
            <w:tcBorders>
              <w:top w:val="nil"/>
              <w:left w:val="nil"/>
              <w:right w:val="single" w:sz="12" w:space="0" w:color="auto"/>
            </w:tcBorders>
            <w:shd w:val="clear" w:color="auto" w:fill="auto"/>
            <w:noWrap/>
            <w:vAlign w:val="center"/>
          </w:tcPr>
          <w:p w14:paraId="662C207F"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Σ</w:t>
            </w:r>
            <w:r w:rsidRPr="0053555E">
              <w:rPr>
                <w:rFonts w:asciiTheme="majorHAnsi" w:eastAsia="Times New Roman" w:hAnsiTheme="majorHAnsi" w:cstheme="majorHAnsi"/>
                <w:b/>
                <w:bCs/>
                <w:sz w:val="18"/>
                <w:szCs w:val="18"/>
                <w:vertAlign w:val="subscript"/>
                <w:lang w:eastAsia="sk-SK"/>
              </w:rPr>
              <w:t>3d</w:t>
            </w:r>
          </w:p>
        </w:tc>
        <w:tc>
          <w:tcPr>
            <w:tcW w:w="1144" w:type="dxa"/>
            <w:gridSpan w:val="2"/>
            <w:tcBorders>
              <w:top w:val="nil"/>
              <w:left w:val="single" w:sz="12" w:space="0" w:color="auto"/>
              <w:bottom w:val="single" w:sz="4" w:space="0" w:color="auto"/>
              <w:right w:val="single" w:sz="4" w:space="0" w:color="auto"/>
            </w:tcBorders>
            <w:shd w:val="clear" w:color="auto" w:fill="auto"/>
            <w:noWrap/>
            <w:vAlign w:val="bottom"/>
          </w:tcPr>
          <w:p w14:paraId="45E79156"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SJ</w:t>
            </w:r>
          </w:p>
        </w:tc>
        <w:tc>
          <w:tcPr>
            <w:tcW w:w="567" w:type="dxa"/>
            <w:tcBorders>
              <w:top w:val="nil"/>
              <w:left w:val="nil"/>
              <w:bottom w:val="single" w:sz="4" w:space="0" w:color="auto"/>
              <w:right w:val="single" w:sz="8" w:space="0" w:color="auto"/>
            </w:tcBorders>
            <w:shd w:val="clear" w:color="auto" w:fill="auto"/>
            <w:noWrap/>
            <w:vAlign w:val="bottom"/>
          </w:tcPr>
          <w:p w14:paraId="5FBF6AFB"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AJ</w:t>
            </w:r>
          </w:p>
        </w:tc>
        <w:tc>
          <w:tcPr>
            <w:tcW w:w="425" w:type="dxa"/>
            <w:vMerge w:val="restart"/>
            <w:tcBorders>
              <w:top w:val="nil"/>
              <w:left w:val="single" w:sz="4" w:space="0" w:color="auto"/>
              <w:right w:val="single" w:sz="12" w:space="0" w:color="auto"/>
            </w:tcBorders>
            <w:shd w:val="clear" w:color="auto" w:fill="auto"/>
            <w:noWrap/>
            <w:vAlign w:val="center"/>
          </w:tcPr>
          <w:p w14:paraId="4D77F7C0" w14:textId="77777777" w:rsidR="007718BC" w:rsidRPr="0053555E" w:rsidRDefault="007718BC" w:rsidP="005E4B8A">
            <w:pPr>
              <w:tabs>
                <w:tab w:val="left" w:pos="9356"/>
              </w:tabs>
              <w:ind w:left="-14"/>
              <w:jc w:val="center"/>
              <w:rPr>
                <w:rFonts w:asciiTheme="majorHAnsi" w:hAnsiTheme="majorHAnsi" w:cstheme="majorHAnsi"/>
                <w:b/>
                <w:bCs/>
                <w:sz w:val="18"/>
                <w:szCs w:val="18"/>
              </w:rPr>
            </w:pPr>
            <w:r w:rsidRPr="0053555E">
              <w:rPr>
                <w:rFonts w:asciiTheme="majorHAnsi" w:hAnsiTheme="majorHAnsi" w:cstheme="majorHAnsi"/>
                <w:b/>
                <w:bCs/>
                <w:sz w:val="18"/>
                <w:szCs w:val="18"/>
              </w:rPr>
              <w:t>Σ</w:t>
            </w:r>
            <w:r w:rsidRPr="0053555E">
              <w:rPr>
                <w:rFonts w:asciiTheme="majorHAnsi" w:hAnsiTheme="majorHAnsi" w:cstheme="majorHAnsi"/>
                <w:b/>
                <w:bCs/>
                <w:sz w:val="18"/>
                <w:szCs w:val="18"/>
                <w:vertAlign w:val="subscript"/>
              </w:rPr>
              <w:t>3e</w:t>
            </w:r>
          </w:p>
        </w:tc>
        <w:tc>
          <w:tcPr>
            <w:tcW w:w="1287" w:type="dxa"/>
            <w:gridSpan w:val="2"/>
            <w:tcBorders>
              <w:top w:val="nil"/>
              <w:left w:val="single" w:sz="12" w:space="0" w:color="auto"/>
              <w:bottom w:val="single" w:sz="4" w:space="0" w:color="auto"/>
              <w:right w:val="single" w:sz="4" w:space="0" w:color="auto"/>
            </w:tcBorders>
            <w:shd w:val="clear" w:color="auto" w:fill="auto"/>
            <w:noWrap/>
            <w:vAlign w:val="bottom"/>
          </w:tcPr>
          <w:p w14:paraId="0E684F0E"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SJ</w:t>
            </w:r>
          </w:p>
        </w:tc>
        <w:tc>
          <w:tcPr>
            <w:tcW w:w="701" w:type="dxa"/>
            <w:tcBorders>
              <w:top w:val="nil"/>
              <w:left w:val="nil"/>
              <w:bottom w:val="single" w:sz="4" w:space="0" w:color="auto"/>
              <w:right w:val="single" w:sz="8" w:space="0" w:color="auto"/>
            </w:tcBorders>
            <w:shd w:val="clear" w:color="auto" w:fill="auto"/>
            <w:noWrap/>
            <w:vAlign w:val="bottom"/>
          </w:tcPr>
          <w:p w14:paraId="52AD7871"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AJ</w:t>
            </w:r>
          </w:p>
        </w:tc>
        <w:tc>
          <w:tcPr>
            <w:tcW w:w="564" w:type="dxa"/>
            <w:vMerge w:val="restart"/>
            <w:tcBorders>
              <w:top w:val="nil"/>
              <w:left w:val="nil"/>
              <w:right w:val="single" w:sz="12" w:space="0" w:color="auto"/>
            </w:tcBorders>
            <w:shd w:val="clear" w:color="auto" w:fill="auto"/>
            <w:noWrap/>
            <w:vAlign w:val="center"/>
          </w:tcPr>
          <w:p w14:paraId="63F27545" w14:textId="77777777" w:rsidR="007718BC" w:rsidRPr="0053555E" w:rsidRDefault="007718BC" w:rsidP="005E4B8A">
            <w:pPr>
              <w:tabs>
                <w:tab w:val="left" w:pos="9356"/>
              </w:tabs>
              <w:ind w:left="-14"/>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Σ</w:t>
            </w:r>
            <w:r w:rsidRPr="0053555E">
              <w:rPr>
                <w:rFonts w:asciiTheme="majorHAnsi" w:eastAsia="Times New Roman" w:hAnsiTheme="majorHAnsi" w:cstheme="majorHAnsi"/>
                <w:sz w:val="18"/>
                <w:szCs w:val="18"/>
                <w:vertAlign w:val="subscript"/>
                <w:lang w:eastAsia="sk-SK"/>
              </w:rPr>
              <w:t>DF</w:t>
            </w:r>
          </w:p>
        </w:tc>
        <w:tc>
          <w:tcPr>
            <w:tcW w:w="1287"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6789B952"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SJ</w:t>
            </w:r>
          </w:p>
        </w:tc>
        <w:tc>
          <w:tcPr>
            <w:tcW w:w="708" w:type="dxa"/>
            <w:tcBorders>
              <w:top w:val="single" w:sz="4" w:space="0" w:color="auto"/>
              <w:left w:val="nil"/>
              <w:bottom w:val="single" w:sz="4" w:space="0" w:color="auto"/>
              <w:right w:val="single" w:sz="8" w:space="0" w:color="auto"/>
            </w:tcBorders>
            <w:shd w:val="clear" w:color="auto" w:fill="auto"/>
            <w:noWrap/>
            <w:vAlign w:val="bottom"/>
          </w:tcPr>
          <w:p w14:paraId="29977627"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AJ</w:t>
            </w:r>
          </w:p>
        </w:tc>
        <w:tc>
          <w:tcPr>
            <w:tcW w:w="698" w:type="dxa"/>
            <w:vMerge w:val="restart"/>
            <w:tcBorders>
              <w:top w:val="single" w:sz="8" w:space="0" w:color="auto"/>
              <w:left w:val="nil"/>
              <w:right w:val="single" w:sz="4" w:space="0" w:color="auto"/>
            </w:tcBorders>
            <w:shd w:val="clear" w:color="auto" w:fill="EEECE1" w:themeFill="background2"/>
            <w:vAlign w:val="center"/>
          </w:tcPr>
          <w:p w14:paraId="329C7735" w14:textId="716258EB" w:rsidR="007718BC" w:rsidRPr="0053555E" w:rsidRDefault="007718BC" w:rsidP="0087574E">
            <w:pPr>
              <w:jc w:val="center"/>
              <w:rPr>
                <w:rFonts w:cs="Calibri"/>
                <w:b/>
                <w:bCs/>
                <w:sz w:val="20"/>
                <w:szCs w:val="22"/>
              </w:rPr>
            </w:pPr>
            <w:r w:rsidRPr="0053555E">
              <w:rPr>
                <w:rFonts w:cs="Calibri"/>
                <w:b/>
                <w:bCs/>
                <w:sz w:val="20"/>
                <w:szCs w:val="22"/>
              </w:rPr>
              <w:t>Σ</w:t>
            </w:r>
            <w:r w:rsidRPr="0053555E">
              <w:rPr>
                <w:rFonts w:cs="Calibri"/>
                <w:b/>
                <w:bCs/>
                <w:sz w:val="20"/>
                <w:szCs w:val="22"/>
                <w:vertAlign w:val="subscript"/>
              </w:rPr>
              <w:t>SP</w:t>
            </w:r>
          </w:p>
        </w:tc>
        <w:tc>
          <w:tcPr>
            <w:tcW w:w="709" w:type="dxa"/>
            <w:vMerge/>
            <w:tcBorders>
              <w:left w:val="single" w:sz="12" w:space="0" w:color="auto"/>
              <w:right w:val="double" w:sz="6" w:space="0" w:color="000000"/>
            </w:tcBorders>
            <w:shd w:val="clear" w:color="auto" w:fill="EEECE1" w:themeFill="background2"/>
            <w:vAlign w:val="center"/>
          </w:tcPr>
          <w:p w14:paraId="0F862EA3"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p>
        </w:tc>
      </w:tr>
      <w:tr w:rsidR="007718BC" w:rsidRPr="0053555E" w14:paraId="54496680" w14:textId="77777777" w:rsidTr="0087574E">
        <w:trPr>
          <w:trHeight w:val="173"/>
        </w:trPr>
        <w:tc>
          <w:tcPr>
            <w:tcW w:w="683" w:type="dxa"/>
            <w:vMerge/>
            <w:tcBorders>
              <w:top w:val="double" w:sz="6" w:space="0" w:color="auto"/>
              <w:left w:val="double" w:sz="6" w:space="0" w:color="auto"/>
              <w:bottom w:val="double" w:sz="6" w:space="0" w:color="000000"/>
              <w:right w:val="double" w:sz="6" w:space="0" w:color="auto"/>
            </w:tcBorders>
            <w:vAlign w:val="center"/>
            <w:hideMark/>
          </w:tcPr>
          <w:p w14:paraId="0F603732" w14:textId="77777777" w:rsidR="007718BC" w:rsidRPr="0053555E" w:rsidRDefault="007718BC" w:rsidP="005E4B8A">
            <w:pPr>
              <w:tabs>
                <w:tab w:val="left" w:pos="9356"/>
              </w:tabs>
              <w:ind w:left="-14"/>
              <w:jc w:val="both"/>
              <w:rPr>
                <w:rFonts w:asciiTheme="majorHAnsi" w:eastAsia="Times New Roman" w:hAnsiTheme="majorHAnsi" w:cstheme="majorHAnsi"/>
                <w:b/>
                <w:bCs/>
                <w:sz w:val="18"/>
                <w:szCs w:val="18"/>
                <w:lang w:eastAsia="sk-SK"/>
              </w:rPr>
            </w:pPr>
          </w:p>
        </w:tc>
        <w:tc>
          <w:tcPr>
            <w:tcW w:w="712"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14:paraId="79323CD2"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E/N</w:t>
            </w:r>
          </w:p>
        </w:tc>
        <w:tc>
          <w:tcPr>
            <w:tcW w:w="425" w:type="dxa"/>
            <w:tcBorders>
              <w:top w:val="single" w:sz="4" w:space="0" w:color="auto"/>
              <w:left w:val="nil"/>
              <w:bottom w:val="double" w:sz="6" w:space="0" w:color="auto"/>
              <w:right w:val="single" w:sz="4" w:space="0" w:color="auto"/>
            </w:tcBorders>
            <w:shd w:val="clear" w:color="auto" w:fill="EEECE1" w:themeFill="background2"/>
            <w:noWrap/>
            <w:vAlign w:val="bottom"/>
            <w:hideMark/>
          </w:tcPr>
          <w:p w14:paraId="17544552"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Σ</w:t>
            </w:r>
            <w:r w:rsidRPr="0053555E">
              <w:rPr>
                <w:rFonts w:asciiTheme="majorHAnsi" w:eastAsia="Times New Roman" w:hAnsiTheme="majorHAnsi" w:cstheme="majorHAnsi"/>
                <w:b/>
                <w:bCs/>
                <w:sz w:val="18"/>
                <w:szCs w:val="18"/>
                <w:vertAlign w:val="subscript"/>
                <w:lang w:eastAsia="sk-SK"/>
              </w:rPr>
              <w:t>SJ</w:t>
            </w:r>
          </w:p>
        </w:tc>
        <w:tc>
          <w:tcPr>
            <w:tcW w:w="567" w:type="dxa"/>
            <w:tcBorders>
              <w:top w:val="single" w:sz="4" w:space="0" w:color="auto"/>
              <w:left w:val="nil"/>
              <w:bottom w:val="double" w:sz="6" w:space="0" w:color="auto"/>
              <w:right w:val="single" w:sz="8" w:space="0" w:color="auto"/>
            </w:tcBorders>
            <w:shd w:val="clear" w:color="auto" w:fill="auto"/>
            <w:noWrap/>
            <w:vAlign w:val="bottom"/>
            <w:hideMark/>
          </w:tcPr>
          <w:p w14:paraId="16F4062D" w14:textId="77777777" w:rsidR="007718BC" w:rsidRPr="0053555E" w:rsidRDefault="007718BC" w:rsidP="005E4B8A">
            <w:pPr>
              <w:tabs>
                <w:tab w:val="left" w:pos="9356"/>
              </w:tabs>
              <w:ind w:left="-14"/>
              <w:jc w:val="center"/>
              <w:rPr>
                <w:rFonts w:asciiTheme="majorHAnsi" w:eastAsia="Times New Roman" w:hAnsiTheme="majorHAnsi" w:cstheme="majorHAnsi"/>
                <w:bCs/>
                <w:sz w:val="18"/>
                <w:szCs w:val="18"/>
                <w:lang w:eastAsia="sk-SK"/>
              </w:rPr>
            </w:pPr>
            <w:r w:rsidRPr="0053555E">
              <w:rPr>
                <w:rFonts w:asciiTheme="majorHAnsi" w:eastAsia="Times New Roman" w:hAnsiTheme="majorHAnsi" w:cstheme="majorHAnsi"/>
                <w:bCs/>
                <w:sz w:val="18"/>
                <w:szCs w:val="18"/>
                <w:lang w:eastAsia="sk-SK"/>
              </w:rPr>
              <w:t>E/N</w:t>
            </w:r>
          </w:p>
        </w:tc>
        <w:tc>
          <w:tcPr>
            <w:tcW w:w="420" w:type="dxa"/>
            <w:vMerge/>
            <w:tcBorders>
              <w:left w:val="nil"/>
              <w:bottom w:val="double" w:sz="6" w:space="0" w:color="auto"/>
              <w:right w:val="single" w:sz="12" w:space="0" w:color="auto"/>
            </w:tcBorders>
            <w:shd w:val="clear" w:color="auto" w:fill="auto"/>
            <w:noWrap/>
            <w:vAlign w:val="bottom"/>
            <w:hideMark/>
          </w:tcPr>
          <w:p w14:paraId="2A9DA658"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p>
        </w:tc>
        <w:tc>
          <w:tcPr>
            <w:tcW w:w="572" w:type="dxa"/>
            <w:tcBorders>
              <w:top w:val="single" w:sz="4" w:space="0" w:color="auto"/>
              <w:left w:val="single" w:sz="12" w:space="0" w:color="auto"/>
              <w:bottom w:val="double" w:sz="6" w:space="0" w:color="auto"/>
              <w:right w:val="single" w:sz="4" w:space="0" w:color="auto"/>
            </w:tcBorders>
            <w:shd w:val="clear" w:color="auto" w:fill="auto"/>
            <w:noWrap/>
            <w:vAlign w:val="bottom"/>
          </w:tcPr>
          <w:p w14:paraId="7D034812"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E/N</w:t>
            </w:r>
          </w:p>
        </w:tc>
        <w:tc>
          <w:tcPr>
            <w:tcW w:w="426" w:type="dxa"/>
            <w:tcBorders>
              <w:top w:val="single" w:sz="4" w:space="0" w:color="auto"/>
              <w:left w:val="nil"/>
              <w:bottom w:val="double" w:sz="6" w:space="0" w:color="auto"/>
              <w:right w:val="single" w:sz="4" w:space="0" w:color="auto"/>
            </w:tcBorders>
            <w:shd w:val="clear" w:color="auto" w:fill="EEECE1" w:themeFill="background2"/>
            <w:noWrap/>
            <w:vAlign w:val="bottom"/>
            <w:hideMark/>
          </w:tcPr>
          <w:p w14:paraId="01F0CD09"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Σ</w:t>
            </w:r>
            <w:r w:rsidRPr="0053555E">
              <w:rPr>
                <w:rFonts w:asciiTheme="majorHAnsi" w:eastAsia="Times New Roman" w:hAnsiTheme="majorHAnsi" w:cstheme="majorHAnsi"/>
                <w:b/>
                <w:bCs/>
                <w:sz w:val="18"/>
                <w:szCs w:val="18"/>
                <w:vertAlign w:val="subscript"/>
                <w:lang w:eastAsia="sk-SK"/>
              </w:rPr>
              <w:t>SJ</w:t>
            </w:r>
          </w:p>
        </w:tc>
        <w:tc>
          <w:tcPr>
            <w:tcW w:w="567" w:type="dxa"/>
            <w:tcBorders>
              <w:top w:val="single" w:sz="4" w:space="0" w:color="auto"/>
              <w:left w:val="nil"/>
              <w:bottom w:val="double" w:sz="6" w:space="0" w:color="auto"/>
              <w:right w:val="single" w:sz="8" w:space="0" w:color="auto"/>
            </w:tcBorders>
            <w:shd w:val="clear" w:color="auto" w:fill="auto"/>
            <w:noWrap/>
            <w:vAlign w:val="bottom"/>
            <w:hideMark/>
          </w:tcPr>
          <w:p w14:paraId="0DF6745E"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E/N</w:t>
            </w:r>
          </w:p>
        </w:tc>
        <w:tc>
          <w:tcPr>
            <w:tcW w:w="425" w:type="dxa"/>
            <w:vMerge/>
            <w:tcBorders>
              <w:left w:val="nil"/>
              <w:bottom w:val="double" w:sz="6" w:space="0" w:color="auto"/>
              <w:right w:val="single" w:sz="12" w:space="0" w:color="auto"/>
            </w:tcBorders>
            <w:shd w:val="clear" w:color="auto" w:fill="auto"/>
            <w:noWrap/>
            <w:vAlign w:val="bottom"/>
            <w:hideMark/>
          </w:tcPr>
          <w:p w14:paraId="42DAE011"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p>
        </w:tc>
        <w:tc>
          <w:tcPr>
            <w:tcW w:w="709" w:type="dxa"/>
            <w:tcBorders>
              <w:top w:val="single" w:sz="4" w:space="0" w:color="auto"/>
              <w:left w:val="single" w:sz="12" w:space="0" w:color="auto"/>
              <w:bottom w:val="double" w:sz="6" w:space="0" w:color="auto"/>
              <w:right w:val="single" w:sz="4" w:space="0" w:color="auto"/>
            </w:tcBorders>
            <w:shd w:val="clear" w:color="auto" w:fill="auto"/>
            <w:noWrap/>
            <w:vAlign w:val="bottom"/>
            <w:hideMark/>
          </w:tcPr>
          <w:p w14:paraId="61D2B335"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E/N</w:t>
            </w:r>
          </w:p>
        </w:tc>
        <w:tc>
          <w:tcPr>
            <w:tcW w:w="425" w:type="dxa"/>
            <w:tcBorders>
              <w:top w:val="single" w:sz="4" w:space="0" w:color="auto"/>
              <w:left w:val="nil"/>
              <w:bottom w:val="double" w:sz="6" w:space="0" w:color="auto"/>
              <w:right w:val="single" w:sz="4" w:space="0" w:color="auto"/>
            </w:tcBorders>
            <w:shd w:val="clear" w:color="auto" w:fill="EEECE1" w:themeFill="background2"/>
            <w:noWrap/>
            <w:vAlign w:val="bottom"/>
            <w:hideMark/>
          </w:tcPr>
          <w:p w14:paraId="6B31D995"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Σ</w:t>
            </w:r>
            <w:r w:rsidRPr="0053555E">
              <w:rPr>
                <w:rFonts w:asciiTheme="majorHAnsi" w:eastAsia="Times New Roman" w:hAnsiTheme="majorHAnsi" w:cstheme="majorHAnsi"/>
                <w:b/>
                <w:bCs/>
                <w:sz w:val="18"/>
                <w:szCs w:val="18"/>
                <w:vertAlign w:val="subscript"/>
                <w:lang w:eastAsia="sk-SK"/>
              </w:rPr>
              <w:t>SJ</w:t>
            </w:r>
          </w:p>
        </w:tc>
        <w:tc>
          <w:tcPr>
            <w:tcW w:w="699" w:type="dxa"/>
            <w:tcBorders>
              <w:top w:val="single" w:sz="4" w:space="0" w:color="auto"/>
              <w:left w:val="nil"/>
              <w:bottom w:val="double" w:sz="6" w:space="0" w:color="auto"/>
              <w:right w:val="single" w:sz="8" w:space="0" w:color="auto"/>
            </w:tcBorders>
            <w:shd w:val="clear" w:color="auto" w:fill="auto"/>
            <w:noWrap/>
            <w:vAlign w:val="bottom"/>
            <w:hideMark/>
          </w:tcPr>
          <w:p w14:paraId="72752775"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E/N</w:t>
            </w:r>
          </w:p>
        </w:tc>
        <w:tc>
          <w:tcPr>
            <w:tcW w:w="425" w:type="dxa"/>
            <w:vMerge/>
            <w:tcBorders>
              <w:left w:val="nil"/>
              <w:bottom w:val="double" w:sz="6" w:space="0" w:color="auto"/>
              <w:right w:val="single" w:sz="12" w:space="0" w:color="auto"/>
            </w:tcBorders>
            <w:shd w:val="clear" w:color="auto" w:fill="auto"/>
            <w:noWrap/>
            <w:vAlign w:val="bottom"/>
            <w:hideMark/>
          </w:tcPr>
          <w:p w14:paraId="137796F0"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p>
        </w:tc>
        <w:tc>
          <w:tcPr>
            <w:tcW w:w="719" w:type="dxa"/>
            <w:tcBorders>
              <w:top w:val="single" w:sz="4" w:space="0" w:color="auto"/>
              <w:left w:val="single" w:sz="12" w:space="0" w:color="auto"/>
              <w:bottom w:val="double" w:sz="6" w:space="0" w:color="auto"/>
              <w:right w:val="single" w:sz="4" w:space="0" w:color="auto"/>
            </w:tcBorders>
            <w:shd w:val="clear" w:color="auto" w:fill="auto"/>
            <w:noWrap/>
            <w:vAlign w:val="center"/>
            <w:hideMark/>
          </w:tcPr>
          <w:p w14:paraId="6DE62A29"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E/N</w:t>
            </w:r>
          </w:p>
        </w:tc>
        <w:tc>
          <w:tcPr>
            <w:tcW w:w="425" w:type="dxa"/>
            <w:tcBorders>
              <w:top w:val="single" w:sz="4" w:space="0" w:color="auto"/>
              <w:left w:val="nil"/>
              <w:bottom w:val="double" w:sz="6" w:space="0" w:color="auto"/>
              <w:right w:val="single" w:sz="4" w:space="0" w:color="auto"/>
            </w:tcBorders>
            <w:shd w:val="clear" w:color="auto" w:fill="EEECE1" w:themeFill="background2"/>
            <w:noWrap/>
            <w:vAlign w:val="bottom"/>
            <w:hideMark/>
          </w:tcPr>
          <w:p w14:paraId="31EC50D8"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Σ</w:t>
            </w:r>
            <w:r w:rsidRPr="0053555E">
              <w:rPr>
                <w:rFonts w:asciiTheme="majorHAnsi" w:eastAsia="Times New Roman" w:hAnsiTheme="majorHAnsi" w:cstheme="majorHAnsi"/>
                <w:b/>
                <w:bCs/>
                <w:sz w:val="18"/>
                <w:szCs w:val="18"/>
                <w:vertAlign w:val="subscript"/>
                <w:lang w:eastAsia="sk-SK"/>
              </w:rPr>
              <w:t>SJ</w:t>
            </w:r>
          </w:p>
        </w:tc>
        <w:tc>
          <w:tcPr>
            <w:tcW w:w="567" w:type="dxa"/>
            <w:tcBorders>
              <w:top w:val="single" w:sz="4" w:space="0" w:color="auto"/>
              <w:left w:val="nil"/>
              <w:bottom w:val="double" w:sz="6" w:space="0" w:color="auto"/>
              <w:right w:val="single" w:sz="8" w:space="0" w:color="auto"/>
            </w:tcBorders>
            <w:shd w:val="clear" w:color="auto" w:fill="auto"/>
            <w:noWrap/>
            <w:vAlign w:val="bottom"/>
            <w:hideMark/>
          </w:tcPr>
          <w:p w14:paraId="51E64250"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E/N</w:t>
            </w:r>
          </w:p>
        </w:tc>
        <w:tc>
          <w:tcPr>
            <w:tcW w:w="425" w:type="dxa"/>
            <w:vMerge/>
            <w:tcBorders>
              <w:left w:val="single" w:sz="4" w:space="0" w:color="auto"/>
              <w:bottom w:val="double" w:sz="6" w:space="0" w:color="auto"/>
              <w:right w:val="single" w:sz="12" w:space="0" w:color="auto"/>
            </w:tcBorders>
            <w:shd w:val="clear" w:color="auto" w:fill="auto"/>
            <w:noWrap/>
            <w:vAlign w:val="bottom"/>
            <w:hideMark/>
          </w:tcPr>
          <w:p w14:paraId="098ADAB9" w14:textId="77777777" w:rsidR="007718BC" w:rsidRPr="0053555E" w:rsidRDefault="007718BC" w:rsidP="005E4B8A">
            <w:pPr>
              <w:tabs>
                <w:tab w:val="left" w:pos="9356"/>
              </w:tabs>
              <w:ind w:left="-14"/>
              <w:jc w:val="center"/>
              <w:rPr>
                <w:rFonts w:asciiTheme="majorHAnsi" w:hAnsiTheme="majorHAnsi" w:cstheme="majorHAnsi"/>
                <w:b/>
                <w:bCs/>
                <w:sz w:val="18"/>
                <w:szCs w:val="18"/>
              </w:rPr>
            </w:pPr>
          </w:p>
        </w:tc>
        <w:tc>
          <w:tcPr>
            <w:tcW w:w="720" w:type="dxa"/>
            <w:tcBorders>
              <w:top w:val="single" w:sz="4" w:space="0" w:color="auto"/>
              <w:left w:val="single" w:sz="12" w:space="0" w:color="auto"/>
              <w:bottom w:val="double" w:sz="6" w:space="0" w:color="auto"/>
              <w:right w:val="single" w:sz="4" w:space="0" w:color="auto"/>
            </w:tcBorders>
            <w:shd w:val="clear" w:color="auto" w:fill="auto"/>
            <w:noWrap/>
            <w:vAlign w:val="bottom"/>
            <w:hideMark/>
          </w:tcPr>
          <w:p w14:paraId="2EF58EA6"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E/N</w:t>
            </w:r>
          </w:p>
        </w:tc>
        <w:tc>
          <w:tcPr>
            <w:tcW w:w="567" w:type="dxa"/>
            <w:tcBorders>
              <w:top w:val="single" w:sz="4" w:space="0" w:color="auto"/>
              <w:left w:val="nil"/>
              <w:bottom w:val="double" w:sz="6" w:space="0" w:color="auto"/>
              <w:right w:val="single" w:sz="4" w:space="0" w:color="auto"/>
            </w:tcBorders>
            <w:shd w:val="clear" w:color="auto" w:fill="EEECE1" w:themeFill="background2"/>
            <w:noWrap/>
            <w:vAlign w:val="center"/>
            <w:hideMark/>
          </w:tcPr>
          <w:p w14:paraId="1D6E4CED"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Σ</w:t>
            </w:r>
            <w:r w:rsidRPr="0053555E">
              <w:rPr>
                <w:rFonts w:asciiTheme="majorHAnsi" w:eastAsia="Times New Roman" w:hAnsiTheme="majorHAnsi" w:cstheme="majorHAnsi"/>
                <w:b/>
                <w:bCs/>
                <w:sz w:val="18"/>
                <w:szCs w:val="18"/>
                <w:vertAlign w:val="subscript"/>
                <w:lang w:eastAsia="sk-SK"/>
              </w:rPr>
              <w:t>SJ</w:t>
            </w:r>
          </w:p>
        </w:tc>
        <w:tc>
          <w:tcPr>
            <w:tcW w:w="701" w:type="dxa"/>
            <w:tcBorders>
              <w:top w:val="single" w:sz="4" w:space="0" w:color="auto"/>
              <w:left w:val="nil"/>
              <w:bottom w:val="double" w:sz="6" w:space="0" w:color="auto"/>
              <w:right w:val="single" w:sz="8" w:space="0" w:color="auto"/>
            </w:tcBorders>
            <w:shd w:val="clear" w:color="auto" w:fill="auto"/>
            <w:noWrap/>
            <w:vAlign w:val="bottom"/>
            <w:hideMark/>
          </w:tcPr>
          <w:p w14:paraId="2B89D2AD"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E/N</w:t>
            </w:r>
          </w:p>
        </w:tc>
        <w:tc>
          <w:tcPr>
            <w:tcW w:w="564" w:type="dxa"/>
            <w:vMerge/>
            <w:tcBorders>
              <w:left w:val="nil"/>
              <w:bottom w:val="nil"/>
              <w:right w:val="single" w:sz="12" w:space="0" w:color="auto"/>
            </w:tcBorders>
            <w:shd w:val="clear" w:color="auto" w:fill="auto"/>
            <w:noWrap/>
            <w:vAlign w:val="center"/>
            <w:hideMark/>
          </w:tcPr>
          <w:p w14:paraId="616401A0" w14:textId="77777777" w:rsidR="007718BC" w:rsidRPr="0053555E" w:rsidRDefault="007718BC" w:rsidP="005E4B8A">
            <w:pPr>
              <w:tabs>
                <w:tab w:val="left" w:pos="9356"/>
              </w:tabs>
              <w:ind w:left="-14"/>
              <w:jc w:val="center"/>
              <w:rPr>
                <w:rFonts w:asciiTheme="majorHAnsi" w:eastAsia="Times New Roman" w:hAnsiTheme="majorHAnsi" w:cstheme="majorHAnsi"/>
                <w:sz w:val="18"/>
                <w:szCs w:val="18"/>
                <w:lang w:eastAsia="sk-SK"/>
              </w:rPr>
            </w:pPr>
          </w:p>
        </w:tc>
        <w:tc>
          <w:tcPr>
            <w:tcW w:w="720" w:type="dxa"/>
            <w:tcBorders>
              <w:top w:val="single" w:sz="4" w:space="0" w:color="auto"/>
              <w:left w:val="single" w:sz="12" w:space="0" w:color="auto"/>
              <w:bottom w:val="double" w:sz="6" w:space="0" w:color="auto"/>
              <w:right w:val="single" w:sz="4" w:space="0" w:color="auto"/>
            </w:tcBorders>
            <w:shd w:val="clear" w:color="auto" w:fill="auto"/>
            <w:noWrap/>
            <w:vAlign w:val="bottom"/>
            <w:hideMark/>
          </w:tcPr>
          <w:p w14:paraId="549F3B9A"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E/N</w:t>
            </w:r>
          </w:p>
        </w:tc>
        <w:tc>
          <w:tcPr>
            <w:tcW w:w="567" w:type="dxa"/>
            <w:tcBorders>
              <w:top w:val="single" w:sz="4" w:space="0" w:color="auto"/>
              <w:left w:val="nil"/>
              <w:bottom w:val="double" w:sz="6" w:space="0" w:color="auto"/>
              <w:right w:val="single" w:sz="4" w:space="0" w:color="auto"/>
            </w:tcBorders>
            <w:shd w:val="clear" w:color="auto" w:fill="EEECE1" w:themeFill="background2"/>
            <w:noWrap/>
            <w:vAlign w:val="bottom"/>
            <w:hideMark/>
          </w:tcPr>
          <w:p w14:paraId="7BBE7309"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Σ</w:t>
            </w:r>
            <w:r w:rsidRPr="0053555E">
              <w:rPr>
                <w:rFonts w:asciiTheme="majorHAnsi" w:eastAsia="Times New Roman" w:hAnsiTheme="majorHAnsi" w:cstheme="majorHAnsi"/>
                <w:b/>
                <w:bCs/>
                <w:sz w:val="18"/>
                <w:szCs w:val="18"/>
                <w:vertAlign w:val="subscript"/>
                <w:lang w:eastAsia="sk-SK"/>
              </w:rPr>
              <w:t>SJ</w:t>
            </w:r>
          </w:p>
        </w:tc>
        <w:tc>
          <w:tcPr>
            <w:tcW w:w="708" w:type="dxa"/>
            <w:tcBorders>
              <w:top w:val="single" w:sz="4" w:space="0" w:color="auto"/>
              <w:left w:val="nil"/>
              <w:bottom w:val="double" w:sz="6" w:space="0" w:color="auto"/>
              <w:right w:val="single" w:sz="8" w:space="0" w:color="auto"/>
            </w:tcBorders>
            <w:shd w:val="clear" w:color="auto" w:fill="auto"/>
            <w:noWrap/>
            <w:vAlign w:val="bottom"/>
            <w:hideMark/>
          </w:tcPr>
          <w:p w14:paraId="54501648"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E/N</w:t>
            </w:r>
          </w:p>
        </w:tc>
        <w:tc>
          <w:tcPr>
            <w:tcW w:w="698" w:type="dxa"/>
            <w:vMerge/>
            <w:tcBorders>
              <w:left w:val="nil"/>
              <w:bottom w:val="double" w:sz="6" w:space="0" w:color="auto"/>
              <w:right w:val="single" w:sz="4" w:space="0" w:color="auto"/>
            </w:tcBorders>
            <w:shd w:val="clear" w:color="auto" w:fill="EEECE1" w:themeFill="background2"/>
            <w:vAlign w:val="bottom"/>
          </w:tcPr>
          <w:p w14:paraId="1F73A54B" w14:textId="77777777" w:rsidR="007718BC" w:rsidRPr="0053555E" w:rsidRDefault="007718BC" w:rsidP="0087574E">
            <w:pPr>
              <w:jc w:val="center"/>
              <w:rPr>
                <w:rFonts w:cs="Calibri"/>
                <w:b/>
                <w:bCs/>
                <w:sz w:val="20"/>
                <w:szCs w:val="22"/>
              </w:rPr>
            </w:pPr>
          </w:p>
        </w:tc>
        <w:tc>
          <w:tcPr>
            <w:tcW w:w="709" w:type="dxa"/>
            <w:vMerge/>
            <w:tcBorders>
              <w:left w:val="single" w:sz="12" w:space="0" w:color="auto"/>
              <w:bottom w:val="double" w:sz="6" w:space="0" w:color="auto"/>
              <w:right w:val="double" w:sz="6" w:space="0" w:color="000000"/>
            </w:tcBorders>
            <w:shd w:val="clear" w:color="auto" w:fill="EEECE1" w:themeFill="background2"/>
            <w:vAlign w:val="center"/>
            <w:hideMark/>
          </w:tcPr>
          <w:p w14:paraId="32933447" w14:textId="77777777" w:rsidR="007718BC" w:rsidRPr="0053555E" w:rsidRDefault="007718BC" w:rsidP="005E4B8A">
            <w:pPr>
              <w:tabs>
                <w:tab w:val="left" w:pos="9356"/>
              </w:tabs>
              <w:ind w:left="-14"/>
              <w:jc w:val="center"/>
              <w:rPr>
                <w:rFonts w:asciiTheme="majorHAnsi" w:eastAsia="Times New Roman" w:hAnsiTheme="majorHAnsi" w:cstheme="majorHAnsi"/>
                <w:b/>
                <w:bCs/>
                <w:sz w:val="18"/>
                <w:szCs w:val="18"/>
                <w:lang w:eastAsia="sk-SK"/>
              </w:rPr>
            </w:pPr>
          </w:p>
        </w:tc>
      </w:tr>
      <w:tr w:rsidR="00E25689" w:rsidRPr="0053555E" w14:paraId="1083D540" w14:textId="77777777" w:rsidTr="0087574E">
        <w:trPr>
          <w:trHeight w:val="315"/>
        </w:trPr>
        <w:tc>
          <w:tcPr>
            <w:tcW w:w="683" w:type="dxa"/>
            <w:tcBorders>
              <w:top w:val="nil"/>
              <w:left w:val="double" w:sz="6" w:space="0" w:color="auto"/>
              <w:bottom w:val="single" w:sz="4" w:space="0" w:color="auto"/>
              <w:right w:val="double" w:sz="6" w:space="0" w:color="auto"/>
            </w:tcBorders>
            <w:shd w:val="clear" w:color="auto" w:fill="auto"/>
            <w:noWrap/>
            <w:vAlign w:val="center"/>
            <w:hideMark/>
          </w:tcPr>
          <w:p w14:paraId="1EEE2D1F" w14:textId="77777777" w:rsidR="00E25689" w:rsidRPr="0053555E" w:rsidRDefault="00E25689" w:rsidP="00E25689">
            <w:pPr>
              <w:tabs>
                <w:tab w:val="left" w:pos="9356"/>
              </w:tabs>
              <w:ind w:left="-14"/>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SvF</w:t>
            </w:r>
          </w:p>
        </w:tc>
        <w:tc>
          <w:tcPr>
            <w:tcW w:w="712" w:type="dxa"/>
            <w:tcBorders>
              <w:top w:val="nil"/>
              <w:left w:val="nil"/>
              <w:bottom w:val="single" w:sz="4" w:space="0" w:color="auto"/>
              <w:right w:val="single" w:sz="4" w:space="0" w:color="auto"/>
            </w:tcBorders>
            <w:shd w:val="clear" w:color="auto" w:fill="auto"/>
            <w:noWrap/>
            <w:vAlign w:val="center"/>
            <w:hideMark/>
          </w:tcPr>
          <w:p w14:paraId="3245B1F7" w14:textId="78EC1F9A"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6/3</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14:paraId="36C910F2" w14:textId="47FC0CF0" w:rsidR="00E25689" w:rsidRPr="0053555E" w:rsidRDefault="00E25689" w:rsidP="00E25689">
            <w:pPr>
              <w:jc w:val="center"/>
              <w:rPr>
                <w:rFonts w:asciiTheme="majorHAnsi" w:hAnsiTheme="majorHAnsi" w:cstheme="majorHAnsi"/>
                <w:bCs/>
                <w:sz w:val="20"/>
                <w:szCs w:val="20"/>
              </w:rPr>
            </w:pPr>
            <w:r w:rsidRPr="0053555E">
              <w:rPr>
                <w:rFonts w:cs="Arial"/>
                <w:sz w:val="20"/>
                <w:szCs w:val="20"/>
              </w:rPr>
              <w:t>9</w:t>
            </w:r>
          </w:p>
        </w:tc>
        <w:tc>
          <w:tcPr>
            <w:tcW w:w="567" w:type="dxa"/>
            <w:tcBorders>
              <w:top w:val="nil"/>
              <w:left w:val="nil"/>
              <w:bottom w:val="single" w:sz="4" w:space="0" w:color="auto"/>
              <w:right w:val="single" w:sz="8" w:space="0" w:color="auto"/>
            </w:tcBorders>
            <w:shd w:val="clear" w:color="auto" w:fill="auto"/>
            <w:noWrap/>
            <w:vAlign w:val="center"/>
            <w:hideMark/>
          </w:tcPr>
          <w:p w14:paraId="5A9BE0F0" w14:textId="21FF9151"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0/1</w:t>
            </w:r>
          </w:p>
        </w:tc>
        <w:tc>
          <w:tcPr>
            <w:tcW w:w="420" w:type="dxa"/>
            <w:tcBorders>
              <w:top w:val="nil"/>
              <w:left w:val="nil"/>
              <w:bottom w:val="single" w:sz="4" w:space="0" w:color="auto"/>
              <w:right w:val="single" w:sz="12" w:space="0" w:color="auto"/>
            </w:tcBorders>
            <w:shd w:val="clear" w:color="auto" w:fill="auto"/>
            <w:noWrap/>
            <w:vAlign w:val="center"/>
            <w:hideMark/>
          </w:tcPr>
          <w:p w14:paraId="29114CE7" w14:textId="181EF5C1"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0"/>
              </w:rPr>
              <w:t>10</w:t>
            </w:r>
          </w:p>
        </w:tc>
        <w:tc>
          <w:tcPr>
            <w:tcW w:w="572" w:type="dxa"/>
            <w:tcBorders>
              <w:top w:val="nil"/>
              <w:left w:val="single" w:sz="12" w:space="0" w:color="auto"/>
              <w:bottom w:val="single" w:sz="4" w:space="0" w:color="auto"/>
              <w:right w:val="single" w:sz="4" w:space="0" w:color="auto"/>
            </w:tcBorders>
            <w:shd w:val="clear" w:color="auto" w:fill="auto"/>
            <w:noWrap/>
            <w:vAlign w:val="center"/>
            <w:hideMark/>
          </w:tcPr>
          <w:p w14:paraId="17BFFB1C" w14:textId="27AC7F79"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10/0</w:t>
            </w:r>
          </w:p>
        </w:tc>
        <w:tc>
          <w:tcPr>
            <w:tcW w:w="426" w:type="dxa"/>
            <w:tcBorders>
              <w:top w:val="nil"/>
              <w:left w:val="nil"/>
              <w:bottom w:val="single" w:sz="4" w:space="0" w:color="auto"/>
              <w:right w:val="single" w:sz="4" w:space="0" w:color="auto"/>
            </w:tcBorders>
            <w:shd w:val="clear" w:color="auto" w:fill="EEECE1" w:themeFill="background2"/>
            <w:noWrap/>
            <w:vAlign w:val="center"/>
            <w:hideMark/>
          </w:tcPr>
          <w:p w14:paraId="3B1115B2" w14:textId="0616E7F1" w:rsidR="00E25689" w:rsidRPr="0053555E" w:rsidRDefault="00E25689" w:rsidP="00E25689">
            <w:pPr>
              <w:jc w:val="center"/>
              <w:rPr>
                <w:rFonts w:asciiTheme="majorHAnsi" w:hAnsiTheme="majorHAnsi" w:cstheme="majorHAnsi"/>
                <w:bCs/>
                <w:sz w:val="20"/>
                <w:szCs w:val="20"/>
              </w:rPr>
            </w:pPr>
            <w:r w:rsidRPr="0053555E">
              <w:rPr>
                <w:rFonts w:cs="Calibri"/>
                <w:sz w:val="20"/>
                <w:szCs w:val="20"/>
              </w:rPr>
              <w:t>10</w:t>
            </w:r>
          </w:p>
        </w:tc>
        <w:tc>
          <w:tcPr>
            <w:tcW w:w="567" w:type="dxa"/>
            <w:tcBorders>
              <w:top w:val="nil"/>
              <w:left w:val="nil"/>
              <w:bottom w:val="single" w:sz="4" w:space="0" w:color="auto"/>
              <w:right w:val="single" w:sz="8" w:space="0" w:color="auto"/>
            </w:tcBorders>
            <w:shd w:val="clear" w:color="auto" w:fill="auto"/>
            <w:noWrap/>
            <w:vAlign w:val="center"/>
            <w:hideMark/>
          </w:tcPr>
          <w:p w14:paraId="197A342B" w14:textId="3BA903E5"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1/0</w:t>
            </w:r>
          </w:p>
        </w:tc>
        <w:tc>
          <w:tcPr>
            <w:tcW w:w="425" w:type="dxa"/>
            <w:tcBorders>
              <w:top w:val="nil"/>
              <w:left w:val="nil"/>
              <w:bottom w:val="single" w:sz="4" w:space="0" w:color="auto"/>
              <w:right w:val="single" w:sz="12" w:space="0" w:color="auto"/>
            </w:tcBorders>
            <w:shd w:val="clear" w:color="auto" w:fill="auto"/>
            <w:noWrap/>
            <w:vAlign w:val="center"/>
            <w:hideMark/>
          </w:tcPr>
          <w:p w14:paraId="00301BAF" w14:textId="5863C69C" w:rsidR="00E25689" w:rsidRPr="0053555E" w:rsidRDefault="00E25689" w:rsidP="00E25689">
            <w:pPr>
              <w:jc w:val="center"/>
              <w:rPr>
                <w:rFonts w:asciiTheme="majorHAnsi" w:hAnsiTheme="majorHAnsi" w:cstheme="majorHAnsi"/>
                <w:bCs/>
                <w:sz w:val="20"/>
                <w:szCs w:val="20"/>
              </w:rPr>
            </w:pPr>
            <w:r w:rsidRPr="0053555E">
              <w:rPr>
                <w:rFonts w:cs="Calibri"/>
                <w:b/>
                <w:bCs/>
                <w:sz w:val="20"/>
                <w:szCs w:val="22"/>
              </w:rPr>
              <w:t>11</w:t>
            </w:r>
          </w:p>
        </w:tc>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50A2B5AE" w14:textId="1C70CBA1"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7/1</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14:paraId="0D20BB64" w14:textId="2CC920E7"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8</w:t>
            </w:r>
          </w:p>
        </w:tc>
        <w:tc>
          <w:tcPr>
            <w:tcW w:w="699" w:type="dxa"/>
            <w:tcBorders>
              <w:top w:val="nil"/>
              <w:left w:val="nil"/>
              <w:bottom w:val="single" w:sz="4" w:space="0" w:color="auto"/>
              <w:right w:val="single" w:sz="8" w:space="0" w:color="auto"/>
            </w:tcBorders>
            <w:shd w:val="clear" w:color="auto" w:fill="auto"/>
            <w:noWrap/>
            <w:vAlign w:val="center"/>
            <w:hideMark/>
          </w:tcPr>
          <w:p w14:paraId="3BC1B1C3" w14:textId="441644AE"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7/1</w:t>
            </w:r>
          </w:p>
        </w:tc>
        <w:tc>
          <w:tcPr>
            <w:tcW w:w="425" w:type="dxa"/>
            <w:tcBorders>
              <w:top w:val="nil"/>
              <w:left w:val="nil"/>
              <w:bottom w:val="single" w:sz="4" w:space="0" w:color="auto"/>
              <w:right w:val="single" w:sz="12" w:space="0" w:color="auto"/>
            </w:tcBorders>
            <w:shd w:val="clear" w:color="auto" w:fill="auto"/>
            <w:noWrap/>
            <w:vAlign w:val="center"/>
            <w:hideMark/>
          </w:tcPr>
          <w:p w14:paraId="10CD55CB" w14:textId="0C2D224D"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16</w:t>
            </w:r>
          </w:p>
        </w:tc>
        <w:tc>
          <w:tcPr>
            <w:tcW w:w="719" w:type="dxa"/>
            <w:tcBorders>
              <w:top w:val="nil"/>
              <w:left w:val="single" w:sz="12" w:space="0" w:color="auto"/>
              <w:bottom w:val="single" w:sz="4" w:space="0" w:color="auto"/>
              <w:right w:val="single" w:sz="4" w:space="0" w:color="auto"/>
            </w:tcBorders>
            <w:shd w:val="clear" w:color="auto" w:fill="auto"/>
            <w:noWrap/>
            <w:vAlign w:val="center"/>
          </w:tcPr>
          <w:p w14:paraId="3060F8F4" w14:textId="74A24AD3"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7/1</w:t>
            </w:r>
          </w:p>
        </w:tc>
        <w:tc>
          <w:tcPr>
            <w:tcW w:w="425" w:type="dxa"/>
            <w:tcBorders>
              <w:top w:val="nil"/>
              <w:left w:val="nil"/>
              <w:bottom w:val="single" w:sz="4" w:space="0" w:color="auto"/>
              <w:right w:val="single" w:sz="4" w:space="0" w:color="auto"/>
            </w:tcBorders>
            <w:shd w:val="clear" w:color="auto" w:fill="EEECE1" w:themeFill="background2"/>
            <w:noWrap/>
            <w:vAlign w:val="center"/>
          </w:tcPr>
          <w:p w14:paraId="133B88ED" w14:textId="348F2368"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8</w:t>
            </w:r>
          </w:p>
        </w:tc>
        <w:tc>
          <w:tcPr>
            <w:tcW w:w="567" w:type="dxa"/>
            <w:tcBorders>
              <w:top w:val="nil"/>
              <w:left w:val="nil"/>
              <w:bottom w:val="single" w:sz="4" w:space="0" w:color="auto"/>
              <w:right w:val="single" w:sz="8" w:space="0" w:color="auto"/>
            </w:tcBorders>
            <w:shd w:val="clear" w:color="auto" w:fill="auto"/>
            <w:noWrap/>
            <w:vAlign w:val="center"/>
          </w:tcPr>
          <w:p w14:paraId="6E00AF3B" w14:textId="0006D2CC"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7/1</w:t>
            </w:r>
          </w:p>
        </w:tc>
        <w:tc>
          <w:tcPr>
            <w:tcW w:w="425" w:type="dxa"/>
            <w:tcBorders>
              <w:top w:val="nil"/>
              <w:left w:val="single" w:sz="4" w:space="0" w:color="auto"/>
              <w:bottom w:val="single" w:sz="4" w:space="0" w:color="auto"/>
              <w:right w:val="single" w:sz="12" w:space="0" w:color="auto"/>
            </w:tcBorders>
            <w:shd w:val="clear" w:color="auto" w:fill="auto"/>
            <w:noWrap/>
            <w:vAlign w:val="center"/>
          </w:tcPr>
          <w:p w14:paraId="2B4F610C" w14:textId="73B61896"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16</w:t>
            </w:r>
          </w:p>
        </w:tc>
        <w:tc>
          <w:tcPr>
            <w:tcW w:w="720" w:type="dxa"/>
            <w:tcBorders>
              <w:top w:val="nil"/>
              <w:left w:val="single" w:sz="12" w:space="0" w:color="auto"/>
              <w:bottom w:val="single" w:sz="4" w:space="0" w:color="auto"/>
              <w:right w:val="single" w:sz="4" w:space="0" w:color="auto"/>
            </w:tcBorders>
            <w:shd w:val="clear" w:color="auto" w:fill="auto"/>
            <w:noWrap/>
            <w:vAlign w:val="center"/>
          </w:tcPr>
          <w:p w14:paraId="1F4AD185" w14:textId="4131086F"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23/4</w:t>
            </w:r>
          </w:p>
        </w:tc>
        <w:tc>
          <w:tcPr>
            <w:tcW w:w="567" w:type="dxa"/>
            <w:tcBorders>
              <w:top w:val="nil"/>
              <w:left w:val="nil"/>
              <w:bottom w:val="single" w:sz="4" w:space="0" w:color="auto"/>
              <w:right w:val="single" w:sz="4" w:space="0" w:color="auto"/>
            </w:tcBorders>
            <w:shd w:val="clear" w:color="auto" w:fill="EEECE1" w:themeFill="background2"/>
            <w:noWrap/>
            <w:vAlign w:val="center"/>
          </w:tcPr>
          <w:p w14:paraId="14548BB9" w14:textId="2DC7637D" w:rsidR="00E25689" w:rsidRPr="00833E12" w:rsidRDefault="00E25689" w:rsidP="00E25689">
            <w:pPr>
              <w:jc w:val="center"/>
              <w:rPr>
                <w:rFonts w:asciiTheme="majorHAnsi" w:hAnsiTheme="majorHAnsi" w:cstheme="majorHAnsi"/>
                <w:b/>
                <w:bCs/>
                <w:sz w:val="20"/>
                <w:szCs w:val="20"/>
              </w:rPr>
            </w:pPr>
            <w:r w:rsidRPr="00833E12">
              <w:rPr>
                <w:rFonts w:cs="Calibri"/>
                <w:b/>
                <w:bCs/>
                <w:sz w:val="20"/>
                <w:szCs w:val="22"/>
              </w:rPr>
              <w:t>27</w:t>
            </w:r>
          </w:p>
        </w:tc>
        <w:tc>
          <w:tcPr>
            <w:tcW w:w="701" w:type="dxa"/>
            <w:tcBorders>
              <w:top w:val="nil"/>
              <w:left w:val="nil"/>
              <w:bottom w:val="single" w:sz="4" w:space="0" w:color="auto"/>
              <w:right w:val="single" w:sz="8" w:space="0" w:color="auto"/>
            </w:tcBorders>
            <w:shd w:val="clear" w:color="auto" w:fill="auto"/>
            <w:noWrap/>
            <w:vAlign w:val="center"/>
          </w:tcPr>
          <w:p w14:paraId="0A80F8B9" w14:textId="7DECAF9F"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8/2</w:t>
            </w:r>
          </w:p>
        </w:tc>
        <w:tc>
          <w:tcPr>
            <w:tcW w:w="564" w:type="dxa"/>
            <w:tcBorders>
              <w:top w:val="double" w:sz="6" w:space="0" w:color="auto"/>
              <w:left w:val="nil"/>
              <w:bottom w:val="single" w:sz="4" w:space="0" w:color="auto"/>
              <w:right w:val="single" w:sz="12" w:space="0" w:color="auto"/>
            </w:tcBorders>
            <w:shd w:val="clear" w:color="auto" w:fill="auto"/>
            <w:noWrap/>
            <w:vAlign w:val="center"/>
          </w:tcPr>
          <w:p w14:paraId="10D293BF" w14:textId="78EDDD18"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37</w:t>
            </w:r>
          </w:p>
        </w:tc>
        <w:tc>
          <w:tcPr>
            <w:tcW w:w="720" w:type="dxa"/>
            <w:tcBorders>
              <w:top w:val="nil"/>
              <w:left w:val="single" w:sz="12" w:space="0" w:color="auto"/>
              <w:bottom w:val="single" w:sz="4" w:space="0" w:color="auto"/>
              <w:right w:val="single" w:sz="4" w:space="0" w:color="auto"/>
            </w:tcBorders>
            <w:shd w:val="clear" w:color="auto" w:fill="auto"/>
            <w:noWrap/>
            <w:vAlign w:val="center"/>
          </w:tcPr>
          <w:p w14:paraId="797AC540" w14:textId="386FAB78"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30/5</w:t>
            </w:r>
          </w:p>
        </w:tc>
        <w:tc>
          <w:tcPr>
            <w:tcW w:w="567" w:type="dxa"/>
            <w:tcBorders>
              <w:top w:val="nil"/>
              <w:left w:val="nil"/>
              <w:bottom w:val="single" w:sz="4" w:space="0" w:color="auto"/>
              <w:right w:val="single" w:sz="4" w:space="0" w:color="auto"/>
            </w:tcBorders>
            <w:shd w:val="clear" w:color="auto" w:fill="EEECE1" w:themeFill="background2"/>
            <w:noWrap/>
            <w:vAlign w:val="center"/>
          </w:tcPr>
          <w:p w14:paraId="75EE114C" w14:textId="5227A68D"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35</w:t>
            </w:r>
          </w:p>
        </w:tc>
        <w:tc>
          <w:tcPr>
            <w:tcW w:w="708" w:type="dxa"/>
            <w:tcBorders>
              <w:top w:val="nil"/>
              <w:left w:val="nil"/>
              <w:bottom w:val="single" w:sz="4" w:space="0" w:color="auto"/>
              <w:right w:val="single" w:sz="8" w:space="0" w:color="auto"/>
            </w:tcBorders>
            <w:shd w:val="clear" w:color="auto" w:fill="auto"/>
            <w:noWrap/>
            <w:vAlign w:val="center"/>
          </w:tcPr>
          <w:p w14:paraId="491A83EC" w14:textId="7748898A"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15/3</w:t>
            </w:r>
          </w:p>
        </w:tc>
        <w:tc>
          <w:tcPr>
            <w:tcW w:w="698" w:type="dxa"/>
            <w:tcBorders>
              <w:top w:val="nil"/>
              <w:left w:val="nil"/>
              <w:bottom w:val="single" w:sz="4" w:space="0" w:color="auto"/>
              <w:right w:val="single" w:sz="4" w:space="0" w:color="auto"/>
            </w:tcBorders>
            <w:shd w:val="clear" w:color="auto" w:fill="EEECE1" w:themeFill="background2"/>
            <w:vAlign w:val="center"/>
          </w:tcPr>
          <w:p w14:paraId="1943E38E" w14:textId="68BEB5B4" w:rsidR="00E25689" w:rsidRPr="0053555E" w:rsidRDefault="00E25689" w:rsidP="00E25689">
            <w:pPr>
              <w:jc w:val="center"/>
              <w:rPr>
                <w:rFonts w:cs="Calibri"/>
                <w:b/>
                <w:bCs/>
                <w:sz w:val="20"/>
                <w:szCs w:val="22"/>
              </w:rPr>
            </w:pPr>
            <w:r w:rsidRPr="0053555E">
              <w:rPr>
                <w:rFonts w:cs="Calibri"/>
                <w:b/>
                <w:bCs/>
                <w:sz w:val="20"/>
                <w:szCs w:val="22"/>
              </w:rPr>
              <w:t>53</w:t>
            </w:r>
          </w:p>
        </w:tc>
        <w:tc>
          <w:tcPr>
            <w:tcW w:w="709" w:type="dxa"/>
            <w:tcBorders>
              <w:top w:val="nil"/>
              <w:left w:val="single" w:sz="12" w:space="0" w:color="auto"/>
              <w:bottom w:val="single" w:sz="4" w:space="0" w:color="auto"/>
              <w:right w:val="double" w:sz="6" w:space="0" w:color="auto"/>
            </w:tcBorders>
            <w:shd w:val="clear" w:color="auto" w:fill="EEECE1" w:themeFill="background2"/>
            <w:noWrap/>
            <w:vAlign w:val="center"/>
          </w:tcPr>
          <w:p w14:paraId="574516AD" w14:textId="7E10FDE6" w:rsidR="00E25689" w:rsidRPr="0053555E" w:rsidRDefault="00E25689" w:rsidP="00E25689">
            <w:pPr>
              <w:jc w:val="center"/>
              <w:rPr>
                <w:rFonts w:asciiTheme="majorHAnsi" w:hAnsiTheme="majorHAnsi" w:cstheme="majorHAnsi"/>
                <w:b/>
                <w:bCs/>
                <w:sz w:val="20"/>
                <w:szCs w:val="20"/>
              </w:rPr>
            </w:pPr>
            <w:r w:rsidRPr="0053555E">
              <w:rPr>
                <w:rFonts w:cs="Calibri"/>
                <w:b/>
                <w:bCs/>
                <w:sz w:val="22"/>
                <w:szCs w:val="22"/>
              </w:rPr>
              <w:t>5</w:t>
            </w:r>
          </w:p>
        </w:tc>
      </w:tr>
      <w:tr w:rsidR="00E25689" w:rsidRPr="0053555E" w14:paraId="0E1BA023" w14:textId="77777777" w:rsidTr="0087574E">
        <w:trPr>
          <w:trHeight w:val="300"/>
        </w:trPr>
        <w:tc>
          <w:tcPr>
            <w:tcW w:w="683" w:type="dxa"/>
            <w:tcBorders>
              <w:top w:val="nil"/>
              <w:left w:val="double" w:sz="6" w:space="0" w:color="auto"/>
              <w:bottom w:val="single" w:sz="4" w:space="0" w:color="auto"/>
              <w:right w:val="double" w:sz="6" w:space="0" w:color="auto"/>
            </w:tcBorders>
            <w:shd w:val="clear" w:color="auto" w:fill="auto"/>
            <w:noWrap/>
            <w:vAlign w:val="center"/>
            <w:hideMark/>
          </w:tcPr>
          <w:p w14:paraId="2C98A908" w14:textId="77777777" w:rsidR="00E25689" w:rsidRPr="0053555E" w:rsidRDefault="00E25689" w:rsidP="00E25689">
            <w:pPr>
              <w:tabs>
                <w:tab w:val="left" w:pos="9356"/>
              </w:tabs>
              <w:ind w:left="-14"/>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SjF</w:t>
            </w:r>
          </w:p>
        </w:tc>
        <w:tc>
          <w:tcPr>
            <w:tcW w:w="712" w:type="dxa"/>
            <w:tcBorders>
              <w:top w:val="nil"/>
              <w:left w:val="nil"/>
              <w:bottom w:val="single" w:sz="4" w:space="0" w:color="auto"/>
              <w:right w:val="single" w:sz="4" w:space="0" w:color="auto"/>
            </w:tcBorders>
            <w:shd w:val="clear" w:color="auto" w:fill="auto"/>
            <w:noWrap/>
            <w:vAlign w:val="center"/>
            <w:hideMark/>
          </w:tcPr>
          <w:p w14:paraId="779954E5"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3/6</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14:paraId="505ACFD9" w14:textId="48775861" w:rsidR="00E25689" w:rsidRPr="0053555E" w:rsidRDefault="00E25689" w:rsidP="00E25689">
            <w:pPr>
              <w:jc w:val="center"/>
              <w:rPr>
                <w:rFonts w:asciiTheme="majorHAnsi" w:hAnsiTheme="majorHAnsi" w:cstheme="majorHAnsi"/>
                <w:bCs/>
                <w:sz w:val="20"/>
                <w:szCs w:val="20"/>
              </w:rPr>
            </w:pPr>
            <w:r w:rsidRPr="0053555E">
              <w:rPr>
                <w:rFonts w:cs="Arial"/>
                <w:sz w:val="20"/>
                <w:szCs w:val="20"/>
              </w:rPr>
              <w:t>9</w:t>
            </w:r>
          </w:p>
        </w:tc>
        <w:tc>
          <w:tcPr>
            <w:tcW w:w="567" w:type="dxa"/>
            <w:tcBorders>
              <w:top w:val="nil"/>
              <w:left w:val="nil"/>
              <w:bottom w:val="single" w:sz="4" w:space="0" w:color="auto"/>
              <w:right w:val="single" w:sz="8" w:space="0" w:color="auto"/>
            </w:tcBorders>
            <w:shd w:val="clear" w:color="auto" w:fill="auto"/>
            <w:noWrap/>
            <w:vAlign w:val="center"/>
            <w:hideMark/>
          </w:tcPr>
          <w:p w14:paraId="46E49F02" w14:textId="360FF74E"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2/1</w:t>
            </w:r>
          </w:p>
        </w:tc>
        <w:tc>
          <w:tcPr>
            <w:tcW w:w="420" w:type="dxa"/>
            <w:tcBorders>
              <w:top w:val="nil"/>
              <w:left w:val="nil"/>
              <w:bottom w:val="single" w:sz="4" w:space="0" w:color="auto"/>
              <w:right w:val="single" w:sz="12" w:space="0" w:color="auto"/>
            </w:tcBorders>
            <w:shd w:val="clear" w:color="auto" w:fill="auto"/>
            <w:noWrap/>
            <w:vAlign w:val="center"/>
            <w:hideMark/>
          </w:tcPr>
          <w:p w14:paraId="4BB4EE23" w14:textId="3F7E3656"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0"/>
              </w:rPr>
              <w:t>12</w:t>
            </w:r>
          </w:p>
        </w:tc>
        <w:tc>
          <w:tcPr>
            <w:tcW w:w="572" w:type="dxa"/>
            <w:tcBorders>
              <w:top w:val="nil"/>
              <w:left w:val="single" w:sz="12" w:space="0" w:color="auto"/>
              <w:bottom w:val="single" w:sz="4" w:space="0" w:color="auto"/>
              <w:right w:val="single" w:sz="4" w:space="0" w:color="auto"/>
            </w:tcBorders>
            <w:shd w:val="clear" w:color="auto" w:fill="auto"/>
            <w:noWrap/>
            <w:vAlign w:val="center"/>
            <w:hideMark/>
          </w:tcPr>
          <w:p w14:paraId="77208975"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8/1</w:t>
            </w:r>
          </w:p>
        </w:tc>
        <w:tc>
          <w:tcPr>
            <w:tcW w:w="426" w:type="dxa"/>
            <w:tcBorders>
              <w:top w:val="nil"/>
              <w:left w:val="nil"/>
              <w:bottom w:val="single" w:sz="4" w:space="0" w:color="auto"/>
              <w:right w:val="single" w:sz="4" w:space="0" w:color="auto"/>
            </w:tcBorders>
            <w:shd w:val="clear" w:color="auto" w:fill="EEECE1" w:themeFill="background2"/>
            <w:noWrap/>
            <w:vAlign w:val="center"/>
            <w:hideMark/>
          </w:tcPr>
          <w:p w14:paraId="3646380E" w14:textId="41E0BD88" w:rsidR="00E25689" w:rsidRPr="0053555E" w:rsidRDefault="00E25689" w:rsidP="00E25689">
            <w:pPr>
              <w:jc w:val="center"/>
              <w:rPr>
                <w:rFonts w:asciiTheme="majorHAnsi" w:hAnsiTheme="majorHAnsi" w:cstheme="majorHAnsi"/>
                <w:bCs/>
                <w:sz w:val="20"/>
                <w:szCs w:val="20"/>
              </w:rPr>
            </w:pPr>
            <w:r w:rsidRPr="0053555E">
              <w:rPr>
                <w:rFonts w:cs="Calibri"/>
                <w:sz w:val="20"/>
                <w:szCs w:val="20"/>
              </w:rPr>
              <w:t>9</w:t>
            </w:r>
          </w:p>
        </w:tc>
        <w:tc>
          <w:tcPr>
            <w:tcW w:w="567" w:type="dxa"/>
            <w:tcBorders>
              <w:top w:val="nil"/>
              <w:left w:val="nil"/>
              <w:bottom w:val="single" w:sz="4" w:space="0" w:color="auto"/>
              <w:right w:val="single" w:sz="8" w:space="0" w:color="auto"/>
            </w:tcBorders>
            <w:shd w:val="clear" w:color="auto" w:fill="auto"/>
            <w:noWrap/>
            <w:vAlign w:val="center"/>
            <w:hideMark/>
          </w:tcPr>
          <w:p w14:paraId="3EE12FF3" w14:textId="557795DB"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1/2</w:t>
            </w:r>
          </w:p>
        </w:tc>
        <w:tc>
          <w:tcPr>
            <w:tcW w:w="425" w:type="dxa"/>
            <w:tcBorders>
              <w:top w:val="nil"/>
              <w:left w:val="nil"/>
              <w:bottom w:val="single" w:sz="4" w:space="0" w:color="auto"/>
              <w:right w:val="single" w:sz="12" w:space="0" w:color="auto"/>
            </w:tcBorders>
            <w:shd w:val="clear" w:color="auto" w:fill="auto"/>
            <w:noWrap/>
            <w:vAlign w:val="center"/>
            <w:hideMark/>
          </w:tcPr>
          <w:p w14:paraId="5FF96653" w14:textId="2321C77A" w:rsidR="00E25689" w:rsidRPr="0053555E" w:rsidRDefault="00E25689" w:rsidP="00E25689">
            <w:pPr>
              <w:jc w:val="center"/>
              <w:rPr>
                <w:rFonts w:asciiTheme="majorHAnsi" w:hAnsiTheme="majorHAnsi" w:cstheme="majorHAnsi"/>
                <w:bCs/>
                <w:sz w:val="20"/>
                <w:szCs w:val="20"/>
              </w:rPr>
            </w:pPr>
            <w:r w:rsidRPr="0053555E">
              <w:rPr>
                <w:rFonts w:cs="Calibri"/>
                <w:b/>
                <w:bCs/>
                <w:sz w:val="20"/>
                <w:szCs w:val="22"/>
              </w:rPr>
              <w:t>12</w:t>
            </w:r>
          </w:p>
        </w:tc>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7DD77150"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6/2</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14:paraId="4D23113C" w14:textId="08B6F78A"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8</w:t>
            </w:r>
          </w:p>
        </w:tc>
        <w:tc>
          <w:tcPr>
            <w:tcW w:w="699" w:type="dxa"/>
            <w:tcBorders>
              <w:top w:val="nil"/>
              <w:left w:val="nil"/>
              <w:bottom w:val="single" w:sz="4" w:space="0" w:color="auto"/>
              <w:right w:val="single" w:sz="8" w:space="0" w:color="auto"/>
            </w:tcBorders>
            <w:shd w:val="clear" w:color="auto" w:fill="auto"/>
            <w:noWrap/>
            <w:vAlign w:val="center"/>
            <w:hideMark/>
          </w:tcPr>
          <w:p w14:paraId="5558F859"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2/1</w:t>
            </w:r>
          </w:p>
        </w:tc>
        <w:tc>
          <w:tcPr>
            <w:tcW w:w="425" w:type="dxa"/>
            <w:tcBorders>
              <w:top w:val="nil"/>
              <w:left w:val="nil"/>
              <w:bottom w:val="single" w:sz="4" w:space="0" w:color="auto"/>
              <w:right w:val="single" w:sz="12" w:space="0" w:color="auto"/>
            </w:tcBorders>
            <w:shd w:val="clear" w:color="auto" w:fill="auto"/>
            <w:noWrap/>
            <w:vAlign w:val="center"/>
            <w:hideMark/>
          </w:tcPr>
          <w:p w14:paraId="513C4818" w14:textId="4C9D9BC6"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11</w:t>
            </w:r>
          </w:p>
        </w:tc>
        <w:tc>
          <w:tcPr>
            <w:tcW w:w="719" w:type="dxa"/>
            <w:tcBorders>
              <w:top w:val="nil"/>
              <w:left w:val="single" w:sz="12" w:space="0" w:color="auto"/>
              <w:bottom w:val="single" w:sz="4" w:space="0" w:color="auto"/>
              <w:right w:val="single" w:sz="4" w:space="0" w:color="auto"/>
            </w:tcBorders>
            <w:shd w:val="clear" w:color="auto" w:fill="auto"/>
            <w:noWrap/>
            <w:vAlign w:val="center"/>
          </w:tcPr>
          <w:p w14:paraId="10A6B1CA"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2/6</w:t>
            </w:r>
          </w:p>
        </w:tc>
        <w:tc>
          <w:tcPr>
            <w:tcW w:w="425" w:type="dxa"/>
            <w:tcBorders>
              <w:top w:val="nil"/>
              <w:left w:val="nil"/>
              <w:bottom w:val="single" w:sz="4" w:space="0" w:color="auto"/>
              <w:right w:val="single" w:sz="4" w:space="0" w:color="auto"/>
            </w:tcBorders>
            <w:shd w:val="clear" w:color="auto" w:fill="EEECE1" w:themeFill="background2"/>
            <w:noWrap/>
            <w:vAlign w:val="center"/>
          </w:tcPr>
          <w:p w14:paraId="65FF4987" w14:textId="370D82E6"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8</w:t>
            </w:r>
          </w:p>
        </w:tc>
        <w:tc>
          <w:tcPr>
            <w:tcW w:w="567" w:type="dxa"/>
            <w:tcBorders>
              <w:top w:val="nil"/>
              <w:left w:val="nil"/>
              <w:bottom w:val="single" w:sz="4" w:space="0" w:color="auto"/>
              <w:right w:val="single" w:sz="8" w:space="0" w:color="auto"/>
            </w:tcBorders>
            <w:shd w:val="clear" w:color="auto" w:fill="auto"/>
            <w:noWrap/>
            <w:vAlign w:val="center"/>
          </w:tcPr>
          <w:p w14:paraId="0DB4B443" w14:textId="4A849D25"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1/2</w:t>
            </w:r>
          </w:p>
        </w:tc>
        <w:tc>
          <w:tcPr>
            <w:tcW w:w="425" w:type="dxa"/>
            <w:tcBorders>
              <w:top w:val="nil"/>
              <w:left w:val="single" w:sz="4" w:space="0" w:color="auto"/>
              <w:bottom w:val="single" w:sz="4" w:space="0" w:color="auto"/>
              <w:right w:val="single" w:sz="12" w:space="0" w:color="auto"/>
            </w:tcBorders>
            <w:shd w:val="clear" w:color="auto" w:fill="auto"/>
            <w:noWrap/>
            <w:vAlign w:val="center"/>
          </w:tcPr>
          <w:p w14:paraId="68741740" w14:textId="6B95B6E5"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11</w:t>
            </w:r>
          </w:p>
        </w:tc>
        <w:tc>
          <w:tcPr>
            <w:tcW w:w="720" w:type="dxa"/>
            <w:tcBorders>
              <w:top w:val="nil"/>
              <w:left w:val="single" w:sz="12" w:space="0" w:color="auto"/>
              <w:bottom w:val="single" w:sz="4" w:space="0" w:color="auto"/>
              <w:right w:val="single" w:sz="4" w:space="0" w:color="auto"/>
            </w:tcBorders>
            <w:shd w:val="clear" w:color="auto" w:fill="auto"/>
            <w:noWrap/>
            <w:vAlign w:val="center"/>
          </w:tcPr>
          <w:p w14:paraId="48ACD2D5"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17/9</w:t>
            </w:r>
          </w:p>
        </w:tc>
        <w:tc>
          <w:tcPr>
            <w:tcW w:w="567" w:type="dxa"/>
            <w:tcBorders>
              <w:top w:val="nil"/>
              <w:left w:val="nil"/>
              <w:bottom w:val="single" w:sz="4" w:space="0" w:color="auto"/>
              <w:right w:val="single" w:sz="4" w:space="0" w:color="auto"/>
            </w:tcBorders>
            <w:shd w:val="clear" w:color="auto" w:fill="EEECE1" w:themeFill="background2"/>
            <w:noWrap/>
            <w:vAlign w:val="center"/>
          </w:tcPr>
          <w:p w14:paraId="29211464" w14:textId="23DC1844" w:rsidR="00E25689" w:rsidRPr="00833E12" w:rsidRDefault="00E25689" w:rsidP="00E25689">
            <w:pPr>
              <w:jc w:val="center"/>
              <w:rPr>
                <w:rFonts w:asciiTheme="majorHAnsi" w:hAnsiTheme="majorHAnsi" w:cstheme="majorHAnsi"/>
                <w:b/>
                <w:bCs/>
                <w:sz w:val="20"/>
                <w:szCs w:val="20"/>
              </w:rPr>
            </w:pPr>
            <w:r w:rsidRPr="00833E12">
              <w:rPr>
                <w:rFonts w:cs="Calibri"/>
                <w:b/>
                <w:bCs/>
                <w:sz w:val="20"/>
                <w:szCs w:val="22"/>
              </w:rPr>
              <w:t>26</w:t>
            </w:r>
          </w:p>
        </w:tc>
        <w:tc>
          <w:tcPr>
            <w:tcW w:w="701" w:type="dxa"/>
            <w:tcBorders>
              <w:top w:val="nil"/>
              <w:left w:val="nil"/>
              <w:bottom w:val="single" w:sz="4" w:space="0" w:color="auto"/>
              <w:right w:val="single" w:sz="8" w:space="0" w:color="auto"/>
            </w:tcBorders>
            <w:shd w:val="clear" w:color="auto" w:fill="auto"/>
            <w:noWrap/>
            <w:vAlign w:val="center"/>
          </w:tcPr>
          <w:p w14:paraId="75180017" w14:textId="2C8EF165"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5/4</w:t>
            </w:r>
          </w:p>
        </w:tc>
        <w:tc>
          <w:tcPr>
            <w:tcW w:w="564" w:type="dxa"/>
            <w:tcBorders>
              <w:top w:val="nil"/>
              <w:left w:val="nil"/>
              <w:bottom w:val="single" w:sz="4" w:space="0" w:color="auto"/>
              <w:right w:val="single" w:sz="12" w:space="0" w:color="auto"/>
            </w:tcBorders>
            <w:shd w:val="clear" w:color="auto" w:fill="auto"/>
            <w:noWrap/>
            <w:vAlign w:val="center"/>
          </w:tcPr>
          <w:p w14:paraId="34C8624D" w14:textId="56E1416E"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35</w:t>
            </w:r>
          </w:p>
        </w:tc>
        <w:tc>
          <w:tcPr>
            <w:tcW w:w="720" w:type="dxa"/>
            <w:tcBorders>
              <w:top w:val="nil"/>
              <w:left w:val="single" w:sz="12" w:space="0" w:color="auto"/>
              <w:bottom w:val="single" w:sz="4" w:space="0" w:color="auto"/>
              <w:right w:val="single" w:sz="4" w:space="0" w:color="auto"/>
            </w:tcBorders>
            <w:shd w:val="clear" w:color="auto" w:fill="auto"/>
            <w:noWrap/>
            <w:vAlign w:val="center"/>
          </w:tcPr>
          <w:p w14:paraId="066FE5D7"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19/15</w:t>
            </w:r>
          </w:p>
        </w:tc>
        <w:tc>
          <w:tcPr>
            <w:tcW w:w="567" w:type="dxa"/>
            <w:tcBorders>
              <w:top w:val="nil"/>
              <w:left w:val="nil"/>
              <w:bottom w:val="single" w:sz="4" w:space="0" w:color="auto"/>
              <w:right w:val="single" w:sz="4" w:space="0" w:color="auto"/>
            </w:tcBorders>
            <w:shd w:val="clear" w:color="auto" w:fill="EEECE1" w:themeFill="background2"/>
            <w:noWrap/>
            <w:vAlign w:val="center"/>
          </w:tcPr>
          <w:p w14:paraId="0DD10F9F" w14:textId="22EB55E4"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34</w:t>
            </w:r>
          </w:p>
        </w:tc>
        <w:tc>
          <w:tcPr>
            <w:tcW w:w="708" w:type="dxa"/>
            <w:tcBorders>
              <w:top w:val="nil"/>
              <w:left w:val="nil"/>
              <w:bottom w:val="single" w:sz="4" w:space="0" w:color="auto"/>
              <w:right w:val="single" w:sz="8" w:space="0" w:color="auto"/>
            </w:tcBorders>
            <w:shd w:val="clear" w:color="auto" w:fill="auto"/>
            <w:noWrap/>
            <w:vAlign w:val="center"/>
          </w:tcPr>
          <w:p w14:paraId="2851082D" w14:textId="0E6549EA"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6/6</w:t>
            </w:r>
          </w:p>
        </w:tc>
        <w:tc>
          <w:tcPr>
            <w:tcW w:w="698" w:type="dxa"/>
            <w:tcBorders>
              <w:top w:val="nil"/>
              <w:left w:val="nil"/>
              <w:bottom w:val="single" w:sz="4" w:space="0" w:color="auto"/>
              <w:right w:val="single" w:sz="4" w:space="0" w:color="auto"/>
            </w:tcBorders>
            <w:shd w:val="clear" w:color="auto" w:fill="EEECE1" w:themeFill="background2"/>
            <w:vAlign w:val="center"/>
          </w:tcPr>
          <w:p w14:paraId="47B36FC7" w14:textId="781997A2" w:rsidR="00E25689" w:rsidRPr="0053555E" w:rsidRDefault="00E25689" w:rsidP="00E25689">
            <w:pPr>
              <w:jc w:val="center"/>
              <w:rPr>
                <w:rFonts w:cs="Calibri"/>
                <w:b/>
                <w:bCs/>
                <w:sz w:val="20"/>
                <w:szCs w:val="22"/>
              </w:rPr>
            </w:pPr>
            <w:r w:rsidRPr="0053555E">
              <w:rPr>
                <w:rFonts w:cs="Calibri"/>
                <w:b/>
                <w:bCs/>
                <w:sz w:val="20"/>
                <w:szCs w:val="22"/>
              </w:rPr>
              <w:t>46</w:t>
            </w:r>
          </w:p>
        </w:tc>
        <w:tc>
          <w:tcPr>
            <w:tcW w:w="709" w:type="dxa"/>
            <w:tcBorders>
              <w:top w:val="nil"/>
              <w:left w:val="single" w:sz="12" w:space="0" w:color="auto"/>
              <w:bottom w:val="single" w:sz="4" w:space="0" w:color="auto"/>
              <w:right w:val="double" w:sz="6" w:space="0" w:color="auto"/>
            </w:tcBorders>
            <w:shd w:val="clear" w:color="auto" w:fill="EEECE1" w:themeFill="background2"/>
            <w:noWrap/>
            <w:vAlign w:val="center"/>
          </w:tcPr>
          <w:p w14:paraId="64FB0C81" w14:textId="507C80DC" w:rsidR="00E25689" w:rsidRPr="0053555E" w:rsidRDefault="00E25689" w:rsidP="00E25689">
            <w:pPr>
              <w:jc w:val="center"/>
              <w:rPr>
                <w:rFonts w:asciiTheme="majorHAnsi" w:hAnsiTheme="majorHAnsi" w:cstheme="majorHAnsi"/>
                <w:b/>
                <w:bCs/>
                <w:sz w:val="20"/>
                <w:szCs w:val="20"/>
              </w:rPr>
            </w:pPr>
            <w:r w:rsidRPr="0053555E">
              <w:rPr>
                <w:rFonts w:cs="Calibri"/>
                <w:b/>
                <w:bCs/>
                <w:sz w:val="22"/>
                <w:szCs w:val="22"/>
              </w:rPr>
              <w:t>2</w:t>
            </w:r>
          </w:p>
        </w:tc>
      </w:tr>
      <w:tr w:rsidR="00E25689" w:rsidRPr="0053555E" w14:paraId="1979AF74" w14:textId="77777777" w:rsidTr="0087574E">
        <w:trPr>
          <w:trHeight w:val="300"/>
        </w:trPr>
        <w:tc>
          <w:tcPr>
            <w:tcW w:w="683" w:type="dxa"/>
            <w:tcBorders>
              <w:top w:val="nil"/>
              <w:left w:val="double" w:sz="6" w:space="0" w:color="auto"/>
              <w:bottom w:val="single" w:sz="4" w:space="0" w:color="auto"/>
              <w:right w:val="double" w:sz="6" w:space="0" w:color="auto"/>
            </w:tcBorders>
            <w:shd w:val="clear" w:color="auto" w:fill="auto"/>
            <w:noWrap/>
            <w:vAlign w:val="center"/>
            <w:hideMark/>
          </w:tcPr>
          <w:p w14:paraId="54DB0813" w14:textId="77777777" w:rsidR="00E25689" w:rsidRPr="0053555E" w:rsidRDefault="00E25689" w:rsidP="00E25689">
            <w:pPr>
              <w:tabs>
                <w:tab w:val="left" w:pos="9356"/>
              </w:tabs>
              <w:ind w:left="-14"/>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FEI</w:t>
            </w:r>
          </w:p>
        </w:tc>
        <w:tc>
          <w:tcPr>
            <w:tcW w:w="712" w:type="dxa"/>
            <w:tcBorders>
              <w:top w:val="nil"/>
              <w:left w:val="nil"/>
              <w:bottom w:val="single" w:sz="4" w:space="0" w:color="auto"/>
              <w:right w:val="single" w:sz="4" w:space="0" w:color="auto"/>
            </w:tcBorders>
            <w:shd w:val="clear" w:color="auto" w:fill="auto"/>
            <w:noWrap/>
            <w:vAlign w:val="center"/>
            <w:hideMark/>
          </w:tcPr>
          <w:p w14:paraId="71D1A4EE" w14:textId="0466DA3B"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7/1</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14:paraId="12B12B1C" w14:textId="2E1EC2EA" w:rsidR="00E25689" w:rsidRPr="0053555E" w:rsidRDefault="00E25689" w:rsidP="00E25689">
            <w:pPr>
              <w:jc w:val="center"/>
              <w:rPr>
                <w:rFonts w:asciiTheme="majorHAnsi" w:hAnsiTheme="majorHAnsi" w:cstheme="majorHAnsi"/>
                <w:bCs/>
                <w:sz w:val="20"/>
                <w:szCs w:val="20"/>
              </w:rPr>
            </w:pPr>
            <w:r w:rsidRPr="0053555E">
              <w:rPr>
                <w:rFonts w:cs="Arial"/>
                <w:sz w:val="20"/>
                <w:szCs w:val="20"/>
              </w:rPr>
              <w:t>8</w:t>
            </w:r>
          </w:p>
        </w:tc>
        <w:tc>
          <w:tcPr>
            <w:tcW w:w="567" w:type="dxa"/>
            <w:tcBorders>
              <w:top w:val="nil"/>
              <w:left w:val="nil"/>
              <w:bottom w:val="single" w:sz="4" w:space="0" w:color="auto"/>
              <w:right w:val="single" w:sz="8" w:space="0" w:color="auto"/>
            </w:tcBorders>
            <w:shd w:val="clear" w:color="auto" w:fill="auto"/>
            <w:noWrap/>
            <w:vAlign w:val="center"/>
            <w:hideMark/>
          </w:tcPr>
          <w:p w14:paraId="31CF9356" w14:textId="1D7D141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0</w:t>
            </w:r>
          </w:p>
        </w:tc>
        <w:tc>
          <w:tcPr>
            <w:tcW w:w="420" w:type="dxa"/>
            <w:tcBorders>
              <w:top w:val="nil"/>
              <w:left w:val="nil"/>
              <w:bottom w:val="single" w:sz="4" w:space="0" w:color="auto"/>
              <w:right w:val="single" w:sz="12" w:space="0" w:color="auto"/>
            </w:tcBorders>
            <w:shd w:val="clear" w:color="auto" w:fill="auto"/>
            <w:noWrap/>
            <w:vAlign w:val="center"/>
            <w:hideMark/>
          </w:tcPr>
          <w:p w14:paraId="03540CA2" w14:textId="14F5A2C1"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0"/>
              </w:rPr>
              <w:t>8</w:t>
            </w:r>
          </w:p>
        </w:tc>
        <w:tc>
          <w:tcPr>
            <w:tcW w:w="572" w:type="dxa"/>
            <w:tcBorders>
              <w:top w:val="nil"/>
              <w:left w:val="single" w:sz="12" w:space="0" w:color="auto"/>
              <w:bottom w:val="single" w:sz="4" w:space="0" w:color="auto"/>
              <w:right w:val="single" w:sz="4" w:space="0" w:color="auto"/>
            </w:tcBorders>
            <w:shd w:val="clear" w:color="auto" w:fill="auto"/>
            <w:noWrap/>
            <w:vAlign w:val="center"/>
            <w:hideMark/>
          </w:tcPr>
          <w:p w14:paraId="4A7553C8" w14:textId="1B32C3AA"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6/3</w:t>
            </w:r>
          </w:p>
        </w:tc>
        <w:tc>
          <w:tcPr>
            <w:tcW w:w="426" w:type="dxa"/>
            <w:tcBorders>
              <w:top w:val="nil"/>
              <w:left w:val="nil"/>
              <w:bottom w:val="single" w:sz="4" w:space="0" w:color="auto"/>
              <w:right w:val="single" w:sz="4" w:space="0" w:color="auto"/>
            </w:tcBorders>
            <w:shd w:val="clear" w:color="auto" w:fill="EEECE1" w:themeFill="background2"/>
            <w:noWrap/>
            <w:vAlign w:val="center"/>
            <w:hideMark/>
          </w:tcPr>
          <w:p w14:paraId="121BEA97" w14:textId="0C35DE95" w:rsidR="00E25689" w:rsidRPr="0053555E" w:rsidRDefault="00E25689" w:rsidP="00E25689">
            <w:pPr>
              <w:jc w:val="center"/>
              <w:rPr>
                <w:rFonts w:asciiTheme="majorHAnsi" w:hAnsiTheme="majorHAnsi" w:cstheme="majorHAnsi"/>
                <w:bCs/>
                <w:sz w:val="20"/>
                <w:szCs w:val="20"/>
              </w:rPr>
            </w:pPr>
            <w:r w:rsidRPr="0053555E">
              <w:rPr>
                <w:rFonts w:cs="Calibri"/>
                <w:sz w:val="20"/>
                <w:szCs w:val="20"/>
              </w:rPr>
              <w:t>9</w:t>
            </w:r>
          </w:p>
        </w:tc>
        <w:tc>
          <w:tcPr>
            <w:tcW w:w="567" w:type="dxa"/>
            <w:tcBorders>
              <w:top w:val="nil"/>
              <w:left w:val="nil"/>
              <w:bottom w:val="single" w:sz="4" w:space="0" w:color="auto"/>
              <w:right w:val="single" w:sz="8" w:space="0" w:color="auto"/>
            </w:tcBorders>
            <w:shd w:val="clear" w:color="auto" w:fill="auto"/>
            <w:noWrap/>
            <w:vAlign w:val="center"/>
            <w:hideMark/>
          </w:tcPr>
          <w:p w14:paraId="54035F8C" w14:textId="401AEB40"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2/1</w:t>
            </w:r>
          </w:p>
        </w:tc>
        <w:tc>
          <w:tcPr>
            <w:tcW w:w="425" w:type="dxa"/>
            <w:tcBorders>
              <w:top w:val="nil"/>
              <w:left w:val="nil"/>
              <w:bottom w:val="single" w:sz="4" w:space="0" w:color="auto"/>
              <w:right w:val="single" w:sz="12" w:space="0" w:color="auto"/>
            </w:tcBorders>
            <w:shd w:val="clear" w:color="auto" w:fill="auto"/>
            <w:noWrap/>
            <w:vAlign w:val="center"/>
            <w:hideMark/>
          </w:tcPr>
          <w:p w14:paraId="20755CA5" w14:textId="104C4D2F" w:rsidR="00E25689" w:rsidRPr="0053555E" w:rsidRDefault="00E25689" w:rsidP="00E25689">
            <w:pPr>
              <w:jc w:val="center"/>
              <w:rPr>
                <w:rFonts w:asciiTheme="majorHAnsi" w:hAnsiTheme="majorHAnsi" w:cstheme="majorHAnsi"/>
                <w:bCs/>
                <w:sz w:val="20"/>
                <w:szCs w:val="20"/>
              </w:rPr>
            </w:pPr>
            <w:r w:rsidRPr="0053555E">
              <w:rPr>
                <w:rFonts w:cs="Calibri"/>
                <w:b/>
                <w:bCs/>
                <w:sz w:val="20"/>
                <w:szCs w:val="22"/>
              </w:rPr>
              <w:t>12</w:t>
            </w:r>
          </w:p>
        </w:tc>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516FF72A" w14:textId="7F8C314D"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3/7</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14:paraId="4F69DC33" w14:textId="1EAAA9FC"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10</w:t>
            </w:r>
          </w:p>
        </w:tc>
        <w:tc>
          <w:tcPr>
            <w:tcW w:w="699" w:type="dxa"/>
            <w:tcBorders>
              <w:top w:val="nil"/>
              <w:left w:val="nil"/>
              <w:bottom w:val="single" w:sz="4" w:space="0" w:color="auto"/>
              <w:right w:val="single" w:sz="8" w:space="0" w:color="auto"/>
            </w:tcBorders>
            <w:shd w:val="clear" w:color="auto" w:fill="auto"/>
            <w:noWrap/>
            <w:vAlign w:val="center"/>
            <w:hideMark/>
          </w:tcPr>
          <w:p w14:paraId="2B31777B" w14:textId="5BAFDC6B"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3/7</w:t>
            </w:r>
          </w:p>
        </w:tc>
        <w:tc>
          <w:tcPr>
            <w:tcW w:w="425" w:type="dxa"/>
            <w:tcBorders>
              <w:top w:val="nil"/>
              <w:left w:val="nil"/>
              <w:bottom w:val="single" w:sz="4" w:space="0" w:color="auto"/>
              <w:right w:val="single" w:sz="12" w:space="0" w:color="auto"/>
            </w:tcBorders>
            <w:shd w:val="clear" w:color="auto" w:fill="auto"/>
            <w:noWrap/>
            <w:vAlign w:val="center"/>
            <w:hideMark/>
          </w:tcPr>
          <w:p w14:paraId="23C17331" w14:textId="742EBCB7"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20</w:t>
            </w:r>
          </w:p>
        </w:tc>
        <w:tc>
          <w:tcPr>
            <w:tcW w:w="719" w:type="dxa"/>
            <w:tcBorders>
              <w:top w:val="nil"/>
              <w:left w:val="single" w:sz="12" w:space="0" w:color="auto"/>
              <w:bottom w:val="single" w:sz="4" w:space="0" w:color="auto"/>
              <w:right w:val="single" w:sz="4" w:space="0" w:color="auto"/>
            </w:tcBorders>
            <w:shd w:val="clear" w:color="auto" w:fill="auto"/>
            <w:noWrap/>
            <w:vAlign w:val="center"/>
          </w:tcPr>
          <w:p w14:paraId="4F6CD98B" w14:textId="2F9DF4A8"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3/6</w:t>
            </w:r>
          </w:p>
        </w:tc>
        <w:tc>
          <w:tcPr>
            <w:tcW w:w="425" w:type="dxa"/>
            <w:tcBorders>
              <w:top w:val="nil"/>
              <w:left w:val="nil"/>
              <w:bottom w:val="single" w:sz="4" w:space="0" w:color="auto"/>
              <w:right w:val="single" w:sz="4" w:space="0" w:color="auto"/>
            </w:tcBorders>
            <w:shd w:val="clear" w:color="auto" w:fill="EEECE1" w:themeFill="background2"/>
            <w:noWrap/>
            <w:vAlign w:val="center"/>
          </w:tcPr>
          <w:p w14:paraId="1DE292EC" w14:textId="2E891A2A"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9</w:t>
            </w:r>
          </w:p>
        </w:tc>
        <w:tc>
          <w:tcPr>
            <w:tcW w:w="567" w:type="dxa"/>
            <w:tcBorders>
              <w:top w:val="nil"/>
              <w:left w:val="nil"/>
              <w:bottom w:val="single" w:sz="4" w:space="0" w:color="auto"/>
              <w:right w:val="single" w:sz="8" w:space="0" w:color="auto"/>
            </w:tcBorders>
            <w:shd w:val="clear" w:color="auto" w:fill="auto"/>
            <w:noWrap/>
            <w:vAlign w:val="center"/>
          </w:tcPr>
          <w:p w14:paraId="182B3104" w14:textId="4E313895"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3/6</w:t>
            </w:r>
          </w:p>
        </w:tc>
        <w:tc>
          <w:tcPr>
            <w:tcW w:w="425" w:type="dxa"/>
            <w:tcBorders>
              <w:top w:val="nil"/>
              <w:left w:val="single" w:sz="4" w:space="0" w:color="auto"/>
              <w:bottom w:val="single" w:sz="4" w:space="0" w:color="auto"/>
              <w:right w:val="single" w:sz="12" w:space="0" w:color="auto"/>
            </w:tcBorders>
            <w:shd w:val="clear" w:color="auto" w:fill="auto"/>
            <w:noWrap/>
            <w:vAlign w:val="center"/>
          </w:tcPr>
          <w:p w14:paraId="4C0432A8" w14:textId="46A49C68"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18</w:t>
            </w:r>
          </w:p>
        </w:tc>
        <w:tc>
          <w:tcPr>
            <w:tcW w:w="720" w:type="dxa"/>
            <w:tcBorders>
              <w:top w:val="nil"/>
              <w:left w:val="single" w:sz="12" w:space="0" w:color="auto"/>
              <w:bottom w:val="single" w:sz="4" w:space="0" w:color="auto"/>
              <w:right w:val="single" w:sz="4" w:space="0" w:color="auto"/>
            </w:tcBorders>
            <w:shd w:val="clear" w:color="auto" w:fill="auto"/>
            <w:noWrap/>
            <w:vAlign w:val="center"/>
          </w:tcPr>
          <w:p w14:paraId="58182674" w14:textId="6B3E9B68"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16/11</w:t>
            </w:r>
          </w:p>
        </w:tc>
        <w:tc>
          <w:tcPr>
            <w:tcW w:w="567" w:type="dxa"/>
            <w:tcBorders>
              <w:top w:val="nil"/>
              <w:left w:val="nil"/>
              <w:bottom w:val="single" w:sz="4" w:space="0" w:color="auto"/>
              <w:right w:val="single" w:sz="4" w:space="0" w:color="auto"/>
            </w:tcBorders>
            <w:shd w:val="clear" w:color="auto" w:fill="EEECE1" w:themeFill="background2"/>
            <w:noWrap/>
            <w:vAlign w:val="center"/>
          </w:tcPr>
          <w:p w14:paraId="31881EA9" w14:textId="6969985A" w:rsidR="00E25689" w:rsidRPr="00833E12" w:rsidRDefault="00E25689" w:rsidP="00E25689">
            <w:pPr>
              <w:jc w:val="center"/>
              <w:rPr>
                <w:rFonts w:asciiTheme="majorHAnsi" w:hAnsiTheme="majorHAnsi" w:cstheme="majorHAnsi"/>
                <w:b/>
                <w:bCs/>
                <w:sz w:val="20"/>
                <w:szCs w:val="20"/>
              </w:rPr>
            </w:pPr>
            <w:r w:rsidRPr="00833E12">
              <w:rPr>
                <w:rFonts w:cs="Calibri"/>
                <w:b/>
                <w:bCs/>
                <w:sz w:val="20"/>
                <w:szCs w:val="22"/>
              </w:rPr>
              <w:t>27</w:t>
            </w:r>
          </w:p>
        </w:tc>
        <w:tc>
          <w:tcPr>
            <w:tcW w:w="701" w:type="dxa"/>
            <w:tcBorders>
              <w:top w:val="nil"/>
              <w:left w:val="nil"/>
              <w:bottom w:val="single" w:sz="4" w:space="0" w:color="auto"/>
              <w:right w:val="single" w:sz="8" w:space="0" w:color="auto"/>
            </w:tcBorders>
            <w:shd w:val="clear" w:color="auto" w:fill="auto"/>
            <w:noWrap/>
            <w:vAlign w:val="center"/>
          </w:tcPr>
          <w:p w14:paraId="4E0D1029" w14:textId="35940173"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5/8</w:t>
            </w:r>
          </w:p>
        </w:tc>
        <w:tc>
          <w:tcPr>
            <w:tcW w:w="564" w:type="dxa"/>
            <w:tcBorders>
              <w:top w:val="nil"/>
              <w:left w:val="nil"/>
              <w:bottom w:val="single" w:sz="4" w:space="0" w:color="auto"/>
              <w:right w:val="single" w:sz="12" w:space="0" w:color="auto"/>
            </w:tcBorders>
            <w:shd w:val="clear" w:color="auto" w:fill="auto"/>
            <w:noWrap/>
            <w:vAlign w:val="center"/>
          </w:tcPr>
          <w:p w14:paraId="6631DBC5" w14:textId="5594AE40"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40</w:t>
            </w:r>
          </w:p>
        </w:tc>
        <w:tc>
          <w:tcPr>
            <w:tcW w:w="720" w:type="dxa"/>
            <w:tcBorders>
              <w:top w:val="nil"/>
              <w:left w:val="single" w:sz="12" w:space="0" w:color="auto"/>
              <w:bottom w:val="single" w:sz="4" w:space="0" w:color="auto"/>
              <w:right w:val="single" w:sz="4" w:space="0" w:color="auto"/>
            </w:tcBorders>
            <w:shd w:val="clear" w:color="auto" w:fill="auto"/>
            <w:noWrap/>
            <w:vAlign w:val="center"/>
          </w:tcPr>
          <w:p w14:paraId="21C8FD78" w14:textId="0D75B631"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19/17</w:t>
            </w:r>
          </w:p>
        </w:tc>
        <w:tc>
          <w:tcPr>
            <w:tcW w:w="567" w:type="dxa"/>
            <w:tcBorders>
              <w:top w:val="nil"/>
              <w:left w:val="nil"/>
              <w:bottom w:val="single" w:sz="4" w:space="0" w:color="auto"/>
              <w:right w:val="single" w:sz="4" w:space="0" w:color="auto"/>
            </w:tcBorders>
            <w:shd w:val="clear" w:color="auto" w:fill="EEECE1" w:themeFill="background2"/>
            <w:noWrap/>
            <w:vAlign w:val="center"/>
          </w:tcPr>
          <w:p w14:paraId="36B0A376" w14:textId="06882342"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36</w:t>
            </w:r>
          </w:p>
        </w:tc>
        <w:tc>
          <w:tcPr>
            <w:tcW w:w="708" w:type="dxa"/>
            <w:tcBorders>
              <w:top w:val="nil"/>
              <w:left w:val="nil"/>
              <w:bottom w:val="single" w:sz="4" w:space="0" w:color="auto"/>
              <w:right w:val="single" w:sz="8" w:space="0" w:color="auto"/>
            </w:tcBorders>
            <w:shd w:val="clear" w:color="auto" w:fill="auto"/>
            <w:noWrap/>
            <w:vAlign w:val="center"/>
          </w:tcPr>
          <w:p w14:paraId="317BA88E" w14:textId="071AF2B2"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8/14</w:t>
            </w:r>
          </w:p>
        </w:tc>
        <w:tc>
          <w:tcPr>
            <w:tcW w:w="698" w:type="dxa"/>
            <w:tcBorders>
              <w:top w:val="nil"/>
              <w:left w:val="nil"/>
              <w:bottom w:val="single" w:sz="4" w:space="0" w:color="auto"/>
              <w:right w:val="single" w:sz="4" w:space="0" w:color="auto"/>
            </w:tcBorders>
            <w:shd w:val="clear" w:color="auto" w:fill="EEECE1" w:themeFill="background2"/>
            <w:vAlign w:val="center"/>
          </w:tcPr>
          <w:p w14:paraId="6FFE1C63" w14:textId="5A9C3A7C" w:rsidR="00E25689" w:rsidRPr="0053555E" w:rsidRDefault="00E25689" w:rsidP="00E25689">
            <w:pPr>
              <w:jc w:val="center"/>
              <w:rPr>
                <w:rFonts w:cs="Calibri"/>
                <w:b/>
                <w:bCs/>
                <w:sz w:val="20"/>
                <w:szCs w:val="22"/>
              </w:rPr>
            </w:pPr>
            <w:r w:rsidRPr="0053555E">
              <w:rPr>
                <w:rFonts w:cs="Calibri"/>
                <w:b/>
                <w:bCs/>
                <w:sz w:val="20"/>
                <w:szCs w:val="22"/>
              </w:rPr>
              <w:t>58</w:t>
            </w:r>
          </w:p>
        </w:tc>
        <w:tc>
          <w:tcPr>
            <w:tcW w:w="709" w:type="dxa"/>
            <w:tcBorders>
              <w:top w:val="nil"/>
              <w:left w:val="single" w:sz="12" w:space="0" w:color="auto"/>
              <w:bottom w:val="single" w:sz="4" w:space="0" w:color="auto"/>
              <w:right w:val="double" w:sz="6" w:space="0" w:color="auto"/>
            </w:tcBorders>
            <w:shd w:val="clear" w:color="auto" w:fill="EEECE1" w:themeFill="background2"/>
            <w:noWrap/>
            <w:vAlign w:val="center"/>
          </w:tcPr>
          <w:p w14:paraId="7E6F937A" w14:textId="66431E6C" w:rsidR="00E25689" w:rsidRPr="0053555E" w:rsidRDefault="00E25689" w:rsidP="00E25689">
            <w:pPr>
              <w:jc w:val="center"/>
              <w:rPr>
                <w:rFonts w:asciiTheme="majorHAnsi" w:hAnsiTheme="majorHAnsi" w:cstheme="majorHAnsi"/>
                <w:b/>
                <w:bCs/>
                <w:sz w:val="20"/>
                <w:szCs w:val="20"/>
              </w:rPr>
            </w:pPr>
            <w:r w:rsidRPr="0053555E">
              <w:rPr>
                <w:rFonts w:cs="Calibri"/>
                <w:b/>
                <w:bCs/>
                <w:sz w:val="22"/>
                <w:szCs w:val="22"/>
              </w:rPr>
              <w:t>3</w:t>
            </w:r>
          </w:p>
        </w:tc>
      </w:tr>
      <w:tr w:rsidR="00E25689" w:rsidRPr="0053555E" w14:paraId="0EA44C76" w14:textId="77777777" w:rsidTr="0087574E">
        <w:trPr>
          <w:trHeight w:val="300"/>
        </w:trPr>
        <w:tc>
          <w:tcPr>
            <w:tcW w:w="683" w:type="dxa"/>
            <w:tcBorders>
              <w:top w:val="nil"/>
              <w:left w:val="double" w:sz="6" w:space="0" w:color="auto"/>
              <w:bottom w:val="single" w:sz="4" w:space="0" w:color="auto"/>
              <w:right w:val="double" w:sz="6" w:space="0" w:color="auto"/>
            </w:tcBorders>
            <w:shd w:val="clear" w:color="auto" w:fill="auto"/>
            <w:noWrap/>
            <w:vAlign w:val="center"/>
            <w:hideMark/>
          </w:tcPr>
          <w:p w14:paraId="6C4CB08E" w14:textId="77777777" w:rsidR="00E25689" w:rsidRPr="0053555E" w:rsidRDefault="00E25689" w:rsidP="00E25689">
            <w:pPr>
              <w:tabs>
                <w:tab w:val="left" w:pos="9356"/>
              </w:tabs>
              <w:ind w:left="-14"/>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FCHPT</w:t>
            </w:r>
          </w:p>
        </w:tc>
        <w:tc>
          <w:tcPr>
            <w:tcW w:w="712" w:type="dxa"/>
            <w:tcBorders>
              <w:top w:val="nil"/>
              <w:left w:val="nil"/>
              <w:bottom w:val="single" w:sz="4" w:space="0" w:color="auto"/>
              <w:right w:val="single" w:sz="4" w:space="0" w:color="auto"/>
            </w:tcBorders>
            <w:shd w:val="clear" w:color="auto" w:fill="auto"/>
            <w:noWrap/>
            <w:vAlign w:val="center"/>
            <w:hideMark/>
          </w:tcPr>
          <w:p w14:paraId="551E395C" w14:textId="61B4EA94"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3/9</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14:paraId="038B6F58" w14:textId="3E956E54" w:rsidR="00E25689" w:rsidRPr="0053555E" w:rsidRDefault="00E25689" w:rsidP="00E25689">
            <w:pPr>
              <w:jc w:val="center"/>
              <w:rPr>
                <w:rFonts w:asciiTheme="majorHAnsi" w:hAnsiTheme="majorHAnsi" w:cstheme="majorHAnsi"/>
                <w:bCs/>
                <w:sz w:val="20"/>
                <w:szCs w:val="20"/>
              </w:rPr>
            </w:pPr>
            <w:r w:rsidRPr="0053555E">
              <w:rPr>
                <w:rFonts w:cs="Arial"/>
                <w:sz w:val="20"/>
                <w:szCs w:val="20"/>
              </w:rPr>
              <w:t>12</w:t>
            </w:r>
          </w:p>
        </w:tc>
        <w:tc>
          <w:tcPr>
            <w:tcW w:w="567" w:type="dxa"/>
            <w:tcBorders>
              <w:top w:val="nil"/>
              <w:left w:val="nil"/>
              <w:bottom w:val="single" w:sz="4" w:space="0" w:color="auto"/>
              <w:right w:val="single" w:sz="8" w:space="0" w:color="auto"/>
            </w:tcBorders>
            <w:shd w:val="clear" w:color="auto" w:fill="auto"/>
            <w:noWrap/>
            <w:vAlign w:val="center"/>
            <w:hideMark/>
          </w:tcPr>
          <w:p w14:paraId="173B2C2F" w14:textId="2B542E4F"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3/9</w:t>
            </w:r>
          </w:p>
        </w:tc>
        <w:tc>
          <w:tcPr>
            <w:tcW w:w="420" w:type="dxa"/>
            <w:tcBorders>
              <w:top w:val="nil"/>
              <w:left w:val="nil"/>
              <w:bottom w:val="single" w:sz="4" w:space="0" w:color="auto"/>
              <w:right w:val="single" w:sz="12" w:space="0" w:color="auto"/>
            </w:tcBorders>
            <w:shd w:val="clear" w:color="auto" w:fill="auto"/>
            <w:noWrap/>
            <w:vAlign w:val="center"/>
            <w:hideMark/>
          </w:tcPr>
          <w:p w14:paraId="541AB6CD" w14:textId="55E47E67"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0"/>
              </w:rPr>
              <w:t>24</w:t>
            </w:r>
          </w:p>
        </w:tc>
        <w:tc>
          <w:tcPr>
            <w:tcW w:w="572" w:type="dxa"/>
            <w:tcBorders>
              <w:top w:val="nil"/>
              <w:left w:val="single" w:sz="12" w:space="0" w:color="auto"/>
              <w:bottom w:val="single" w:sz="4" w:space="0" w:color="auto"/>
              <w:right w:val="single" w:sz="4" w:space="0" w:color="auto"/>
            </w:tcBorders>
            <w:shd w:val="clear" w:color="auto" w:fill="auto"/>
            <w:noWrap/>
            <w:vAlign w:val="center"/>
            <w:hideMark/>
          </w:tcPr>
          <w:p w14:paraId="1FE3CB5D" w14:textId="2AECC3E3"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10/0</w:t>
            </w:r>
          </w:p>
        </w:tc>
        <w:tc>
          <w:tcPr>
            <w:tcW w:w="426" w:type="dxa"/>
            <w:tcBorders>
              <w:top w:val="nil"/>
              <w:left w:val="nil"/>
              <w:bottom w:val="single" w:sz="4" w:space="0" w:color="auto"/>
              <w:right w:val="single" w:sz="4" w:space="0" w:color="auto"/>
            </w:tcBorders>
            <w:shd w:val="clear" w:color="auto" w:fill="EEECE1" w:themeFill="background2"/>
            <w:noWrap/>
            <w:vAlign w:val="center"/>
            <w:hideMark/>
          </w:tcPr>
          <w:p w14:paraId="00FD700D" w14:textId="25137C43" w:rsidR="00E25689" w:rsidRPr="0053555E" w:rsidRDefault="00E25689" w:rsidP="00E25689">
            <w:pPr>
              <w:jc w:val="center"/>
              <w:rPr>
                <w:rFonts w:asciiTheme="majorHAnsi" w:hAnsiTheme="majorHAnsi" w:cstheme="majorHAnsi"/>
                <w:bCs/>
                <w:sz w:val="20"/>
                <w:szCs w:val="20"/>
              </w:rPr>
            </w:pPr>
            <w:r w:rsidRPr="0053555E">
              <w:rPr>
                <w:rFonts w:cs="Calibri"/>
                <w:sz w:val="20"/>
                <w:szCs w:val="20"/>
              </w:rPr>
              <w:t>10</w:t>
            </w:r>
          </w:p>
        </w:tc>
        <w:tc>
          <w:tcPr>
            <w:tcW w:w="567" w:type="dxa"/>
            <w:tcBorders>
              <w:top w:val="nil"/>
              <w:left w:val="nil"/>
              <w:bottom w:val="single" w:sz="4" w:space="0" w:color="auto"/>
              <w:right w:val="single" w:sz="8" w:space="0" w:color="auto"/>
            </w:tcBorders>
            <w:shd w:val="clear" w:color="auto" w:fill="auto"/>
            <w:noWrap/>
            <w:vAlign w:val="center"/>
            <w:hideMark/>
          </w:tcPr>
          <w:p w14:paraId="15C05E38" w14:textId="52E379E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10/0</w:t>
            </w:r>
          </w:p>
        </w:tc>
        <w:tc>
          <w:tcPr>
            <w:tcW w:w="425" w:type="dxa"/>
            <w:tcBorders>
              <w:top w:val="nil"/>
              <w:left w:val="nil"/>
              <w:bottom w:val="single" w:sz="4" w:space="0" w:color="auto"/>
              <w:right w:val="single" w:sz="12" w:space="0" w:color="auto"/>
            </w:tcBorders>
            <w:shd w:val="clear" w:color="auto" w:fill="auto"/>
            <w:noWrap/>
            <w:vAlign w:val="center"/>
            <w:hideMark/>
          </w:tcPr>
          <w:p w14:paraId="0FEB465E" w14:textId="76A4A6F7" w:rsidR="00E25689" w:rsidRPr="0053555E" w:rsidRDefault="00E25689" w:rsidP="00E25689">
            <w:pPr>
              <w:jc w:val="center"/>
              <w:rPr>
                <w:rFonts w:asciiTheme="majorHAnsi" w:hAnsiTheme="majorHAnsi" w:cstheme="majorHAnsi"/>
                <w:bCs/>
                <w:sz w:val="20"/>
                <w:szCs w:val="20"/>
              </w:rPr>
            </w:pPr>
            <w:r w:rsidRPr="0053555E">
              <w:rPr>
                <w:rFonts w:cs="Calibri"/>
                <w:b/>
                <w:bCs/>
                <w:sz w:val="20"/>
                <w:szCs w:val="22"/>
              </w:rPr>
              <w:t>20</w:t>
            </w:r>
          </w:p>
        </w:tc>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4FF72FB8" w14:textId="372A515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12/3</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14:paraId="58EE8471" w14:textId="27967866"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15</w:t>
            </w:r>
          </w:p>
        </w:tc>
        <w:tc>
          <w:tcPr>
            <w:tcW w:w="699" w:type="dxa"/>
            <w:tcBorders>
              <w:top w:val="nil"/>
              <w:left w:val="nil"/>
              <w:bottom w:val="single" w:sz="4" w:space="0" w:color="auto"/>
              <w:right w:val="single" w:sz="8" w:space="0" w:color="auto"/>
            </w:tcBorders>
            <w:shd w:val="clear" w:color="auto" w:fill="auto"/>
            <w:noWrap/>
            <w:vAlign w:val="center"/>
            <w:hideMark/>
          </w:tcPr>
          <w:p w14:paraId="515BB612" w14:textId="688D7142"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12/2</w:t>
            </w:r>
          </w:p>
        </w:tc>
        <w:tc>
          <w:tcPr>
            <w:tcW w:w="425" w:type="dxa"/>
            <w:tcBorders>
              <w:top w:val="nil"/>
              <w:left w:val="nil"/>
              <w:bottom w:val="single" w:sz="4" w:space="0" w:color="auto"/>
              <w:right w:val="single" w:sz="12" w:space="0" w:color="auto"/>
            </w:tcBorders>
            <w:shd w:val="clear" w:color="auto" w:fill="auto"/>
            <w:noWrap/>
            <w:vAlign w:val="center"/>
            <w:hideMark/>
          </w:tcPr>
          <w:p w14:paraId="4664B445" w14:textId="74453B5F"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29</w:t>
            </w:r>
          </w:p>
        </w:tc>
        <w:tc>
          <w:tcPr>
            <w:tcW w:w="719" w:type="dxa"/>
            <w:tcBorders>
              <w:top w:val="nil"/>
              <w:left w:val="single" w:sz="12" w:space="0" w:color="auto"/>
              <w:bottom w:val="single" w:sz="4" w:space="0" w:color="auto"/>
              <w:right w:val="single" w:sz="4" w:space="0" w:color="auto"/>
            </w:tcBorders>
            <w:shd w:val="clear" w:color="auto" w:fill="auto"/>
            <w:noWrap/>
            <w:vAlign w:val="center"/>
          </w:tcPr>
          <w:p w14:paraId="20648BD7" w14:textId="0BD64764"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12/0</w:t>
            </w:r>
          </w:p>
        </w:tc>
        <w:tc>
          <w:tcPr>
            <w:tcW w:w="425" w:type="dxa"/>
            <w:tcBorders>
              <w:top w:val="nil"/>
              <w:left w:val="nil"/>
              <w:bottom w:val="single" w:sz="4" w:space="0" w:color="auto"/>
              <w:right w:val="single" w:sz="4" w:space="0" w:color="auto"/>
            </w:tcBorders>
            <w:shd w:val="clear" w:color="auto" w:fill="EEECE1" w:themeFill="background2"/>
            <w:noWrap/>
            <w:vAlign w:val="center"/>
          </w:tcPr>
          <w:p w14:paraId="4C55899A" w14:textId="6BD6DFBE"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12</w:t>
            </w:r>
          </w:p>
        </w:tc>
        <w:tc>
          <w:tcPr>
            <w:tcW w:w="567" w:type="dxa"/>
            <w:tcBorders>
              <w:top w:val="nil"/>
              <w:left w:val="nil"/>
              <w:bottom w:val="single" w:sz="4" w:space="0" w:color="auto"/>
              <w:right w:val="single" w:sz="8" w:space="0" w:color="auto"/>
            </w:tcBorders>
            <w:shd w:val="clear" w:color="auto" w:fill="auto"/>
            <w:noWrap/>
            <w:vAlign w:val="center"/>
          </w:tcPr>
          <w:p w14:paraId="088CB243" w14:textId="39719E4E"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12/0</w:t>
            </w:r>
          </w:p>
        </w:tc>
        <w:tc>
          <w:tcPr>
            <w:tcW w:w="425" w:type="dxa"/>
            <w:tcBorders>
              <w:top w:val="nil"/>
              <w:left w:val="single" w:sz="4" w:space="0" w:color="auto"/>
              <w:bottom w:val="single" w:sz="4" w:space="0" w:color="auto"/>
              <w:right w:val="single" w:sz="12" w:space="0" w:color="auto"/>
            </w:tcBorders>
            <w:shd w:val="clear" w:color="auto" w:fill="auto"/>
            <w:noWrap/>
            <w:vAlign w:val="center"/>
          </w:tcPr>
          <w:p w14:paraId="189F7B99" w14:textId="1104016D"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24</w:t>
            </w:r>
          </w:p>
        </w:tc>
        <w:tc>
          <w:tcPr>
            <w:tcW w:w="720" w:type="dxa"/>
            <w:tcBorders>
              <w:top w:val="nil"/>
              <w:left w:val="single" w:sz="12" w:space="0" w:color="auto"/>
              <w:bottom w:val="single" w:sz="4" w:space="0" w:color="auto"/>
              <w:right w:val="single" w:sz="4" w:space="0" w:color="auto"/>
            </w:tcBorders>
            <w:shd w:val="clear" w:color="auto" w:fill="auto"/>
            <w:noWrap/>
            <w:vAlign w:val="center"/>
          </w:tcPr>
          <w:p w14:paraId="39556C75" w14:textId="46A50B95"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25/12</w:t>
            </w:r>
          </w:p>
        </w:tc>
        <w:tc>
          <w:tcPr>
            <w:tcW w:w="567" w:type="dxa"/>
            <w:tcBorders>
              <w:top w:val="nil"/>
              <w:left w:val="nil"/>
              <w:bottom w:val="single" w:sz="4" w:space="0" w:color="auto"/>
              <w:right w:val="single" w:sz="4" w:space="0" w:color="auto"/>
            </w:tcBorders>
            <w:shd w:val="clear" w:color="auto" w:fill="EEECE1" w:themeFill="background2"/>
            <w:noWrap/>
            <w:vAlign w:val="center"/>
          </w:tcPr>
          <w:p w14:paraId="1D2E901C" w14:textId="7E070A65" w:rsidR="00E25689" w:rsidRPr="00833E12" w:rsidRDefault="00E25689" w:rsidP="00E25689">
            <w:pPr>
              <w:jc w:val="center"/>
              <w:rPr>
                <w:rFonts w:asciiTheme="majorHAnsi" w:hAnsiTheme="majorHAnsi" w:cstheme="majorHAnsi"/>
                <w:b/>
                <w:bCs/>
                <w:sz w:val="20"/>
                <w:szCs w:val="20"/>
              </w:rPr>
            </w:pPr>
            <w:r w:rsidRPr="00833E12">
              <w:rPr>
                <w:rFonts w:cs="Calibri"/>
                <w:b/>
                <w:bCs/>
                <w:sz w:val="20"/>
                <w:szCs w:val="22"/>
              </w:rPr>
              <w:t>37</w:t>
            </w:r>
          </w:p>
        </w:tc>
        <w:tc>
          <w:tcPr>
            <w:tcW w:w="701" w:type="dxa"/>
            <w:tcBorders>
              <w:top w:val="nil"/>
              <w:left w:val="nil"/>
              <w:bottom w:val="single" w:sz="4" w:space="0" w:color="auto"/>
              <w:right w:val="single" w:sz="8" w:space="0" w:color="auto"/>
            </w:tcBorders>
            <w:shd w:val="clear" w:color="auto" w:fill="auto"/>
            <w:noWrap/>
            <w:vAlign w:val="center"/>
          </w:tcPr>
          <w:p w14:paraId="1E5B4037" w14:textId="0EBA26E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25/11</w:t>
            </w:r>
          </w:p>
        </w:tc>
        <w:tc>
          <w:tcPr>
            <w:tcW w:w="564" w:type="dxa"/>
            <w:tcBorders>
              <w:top w:val="nil"/>
              <w:left w:val="nil"/>
              <w:bottom w:val="single" w:sz="4" w:space="0" w:color="auto"/>
              <w:right w:val="single" w:sz="12" w:space="0" w:color="auto"/>
            </w:tcBorders>
            <w:shd w:val="clear" w:color="auto" w:fill="auto"/>
            <w:noWrap/>
            <w:vAlign w:val="center"/>
          </w:tcPr>
          <w:p w14:paraId="2DBB40BE" w14:textId="1223ED05"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73</w:t>
            </w:r>
          </w:p>
        </w:tc>
        <w:tc>
          <w:tcPr>
            <w:tcW w:w="720" w:type="dxa"/>
            <w:tcBorders>
              <w:top w:val="nil"/>
              <w:left w:val="single" w:sz="12" w:space="0" w:color="auto"/>
              <w:bottom w:val="single" w:sz="4" w:space="0" w:color="auto"/>
              <w:right w:val="single" w:sz="4" w:space="0" w:color="auto"/>
            </w:tcBorders>
            <w:shd w:val="clear" w:color="auto" w:fill="auto"/>
            <w:noWrap/>
            <w:vAlign w:val="center"/>
          </w:tcPr>
          <w:p w14:paraId="03AF8CCC" w14:textId="4A7EF42B"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37/12</w:t>
            </w:r>
          </w:p>
        </w:tc>
        <w:tc>
          <w:tcPr>
            <w:tcW w:w="567" w:type="dxa"/>
            <w:tcBorders>
              <w:top w:val="nil"/>
              <w:left w:val="nil"/>
              <w:bottom w:val="single" w:sz="4" w:space="0" w:color="auto"/>
              <w:right w:val="single" w:sz="4" w:space="0" w:color="auto"/>
            </w:tcBorders>
            <w:shd w:val="clear" w:color="auto" w:fill="EEECE1" w:themeFill="background2"/>
            <w:noWrap/>
            <w:vAlign w:val="center"/>
          </w:tcPr>
          <w:p w14:paraId="00B92470" w14:textId="0C2FAD0D"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49</w:t>
            </w:r>
          </w:p>
        </w:tc>
        <w:tc>
          <w:tcPr>
            <w:tcW w:w="708" w:type="dxa"/>
            <w:tcBorders>
              <w:top w:val="nil"/>
              <w:left w:val="nil"/>
              <w:bottom w:val="single" w:sz="4" w:space="0" w:color="auto"/>
              <w:right w:val="single" w:sz="8" w:space="0" w:color="auto"/>
            </w:tcBorders>
            <w:shd w:val="clear" w:color="auto" w:fill="auto"/>
            <w:noWrap/>
            <w:vAlign w:val="center"/>
          </w:tcPr>
          <w:p w14:paraId="59B78440" w14:textId="4A3AE3AB"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37/11</w:t>
            </w:r>
          </w:p>
        </w:tc>
        <w:tc>
          <w:tcPr>
            <w:tcW w:w="698" w:type="dxa"/>
            <w:tcBorders>
              <w:top w:val="nil"/>
              <w:left w:val="nil"/>
              <w:bottom w:val="single" w:sz="4" w:space="0" w:color="auto"/>
              <w:right w:val="single" w:sz="4" w:space="0" w:color="auto"/>
            </w:tcBorders>
            <w:shd w:val="clear" w:color="auto" w:fill="EEECE1" w:themeFill="background2"/>
            <w:vAlign w:val="center"/>
          </w:tcPr>
          <w:p w14:paraId="7059617E" w14:textId="64B94FFC" w:rsidR="00E25689" w:rsidRPr="0053555E" w:rsidRDefault="00E25689" w:rsidP="00E25689">
            <w:pPr>
              <w:jc w:val="center"/>
              <w:rPr>
                <w:rFonts w:cs="Calibri"/>
                <w:b/>
                <w:bCs/>
                <w:sz w:val="20"/>
                <w:szCs w:val="22"/>
              </w:rPr>
            </w:pPr>
            <w:r w:rsidRPr="0053555E">
              <w:rPr>
                <w:rFonts w:cs="Calibri"/>
                <w:b/>
                <w:bCs/>
                <w:sz w:val="20"/>
                <w:szCs w:val="22"/>
              </w:rPr>
              <w:t>97</w:t>
            </w:r>
          </w:p>
        </w:tc>
        <w:tc>
          <w:tcPr>
            <w:tcW w:w="709" w:type="dxa"/>
            <w:tcBorders>
              <w:top w:val="nil"/>
              <w:left w:val="single" w:sz="12" w:space="0" w:color="auto"/>
              <w:bottom w:val="single" w:sz="4" w:space="0" w:color="auto"/>
              <w:right w:val="double" w:sz="6" w:space="0" w:color="auto"/>
            </w:tcBorders>
            <w:shd w:val="clear" w:color="auto" w:fill="EEECE1" w:themeFill="background2"/>
            <w:noWrap/>
            <w:vAlign w:val="center"/>
          </w:tcPr>
          <w:p w14:paraId="3F53D878" w14:textId="7EA4F3BE" w:rsidR="00E25689" w:rsidRPr="0053555E" w:rsidRDefault="00E25689" w:rsidP="00E25689">
            <w:pPr>
              <w:jc w:val="center"/>
              <w:rPr>
                <w:rFonts w:asciiTheme="majorHAnsi" w:hAnsiTheme="majorHAnsi" w:cstheme="majorHAnsi"/>
                <w:b/>
                <w:bCs/>
                <w:sz w:val="20"/>
                <w:szCs w:val="20"/>
              </w:rPr>
            </w:pPr>
            <w:r w:rsidRPr="0053555E">
              <w:rPr>
                <w:rFonts w:cs="Calibri"/>
                <w:b/>
                <w:bCs/>
                <w:sz w:val="22"/>
                <w:szCs w:val="22"/>
              </w:rPr>
              <w:t>5</w:t>
            </w:r>
          </w:p>
        </w:tc>
      </w:tr>
      <w:tr w:rsidR="00E25689" w:rsidRPr="0053555E" w14:paraId="10E1FD30" w14:textId="77777777" w:rsidTr="0087574E">
        <w:trPr>
          <w:trHeight w:val="300"/>
        </w:trPr>
        <w:tc>
          <w:tcPr>
            <w:tcW w:w="683" w:type="dxa"/>
            <w:tcBorders>
              <w:top w:val="nil"/>
              <w:left w:val="double" w:sz="6" w:space="0" w:color="auto"/>
              <w:bottom w:val="single" w:sz="4" w:space="0" w:color="auto"/>
              <w:right w:val="double" w:sz="6" w:space="0" w:color="auto"/>
            </w:tcBorders>
            <w:shd w:val="clear" w:color="auto" w:fill="auto"/>
            <w:noWrap/>
            <w:vAlign w:val="center"/>
            <w:hideMark/>
          </w:tcPr>
          <w:p w14:paraId="50160EAD" w14:textId="77777777" w:rsidR="00E25689" w:rsidRPr="0053555E" w:rsidRDefault="00E25689" w:rsidP="00E25689">
            <w:pPr>
              <w:tabs>
                <w:tab w:val="left" w:pos="9356"/>
              </w:tabs>
              <w:ind w:left="-14"/>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FAD</w:t>
            </w:r>
          </w:p>
        </w:tc>
        <w:tc>
          <w:tcPr>
            <w:tcW w:w="712" w:type="dxa"/>
            <w:tcBorders>
              <w:top w:val="nil"/>
              <w:left w:val="nil"/>
              <w:bottom w:val="single" w:sz="4" w:space="0" w:color="auto"/>
              <w:right w:val="single" w:sz="4" w:space="0" w:color="auto"/>
            </w:tcBorders>
            <w:shd w:val="clear" w:color="auto" w:fill="auto"/>
            <w:noWrap/>
            <w:vAlign w:val="center"/>
            <w:hideMark/>
          </w:tcPr>
          <w:p w14:paraId="793DEB72"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1/1</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14:paraId="577E6422" w14:textId="400BD38B" w:rsidR="00E25689" w:rsidRPr="0053555E" w:rsidRDefault="00E25689" w:rsidP="00E25689">
            <w:pPr>
              <w:jc w:val="center"/>
              <w:rPr>
                <w:rFonts w:asciiTheme="majorHAnsi" w:hAnsiTheme="majorHAnsi" w:cstheme="majorHAnsi"/>
                <w:bCs/>
                <w:sz w:val="20"/>
                <w:szCs w:val="20"/>
              </w:rPr>
            </w:pPr>
            <w:r w:rsidRPr="0053555E">
              <w:rPr>
                <w:rFonts w:cs="Arial"/>
                <w:sz w:val="20"/>
                <w:szCs w:val="20"/>
              </w:rPr>
              <w:t>2</w:t>
            </w:r>
          </w:p>
        </w:tc>
        <w:tc>
          <w:tcPr>
            <w:tcW w:w="567" w:type="dxa"/>
            <w:tcBorders>
              <w:top w:val="nil"/>
              <w:left w:val="nil"/>
              <w:bottom w:val="single" w:sz="4" w:space="0" w:color="auto"/>
              <w:right w:val="single" w:sz="8" w:space="0" w:color="auto"/>
            </w:tcBorders>
            <w:shd w:val="clear" w:color="auto" w:fill="auto"/>
            <w:noWrap/>
            <w:vAlign w:val="center"/>
            <w:hideMark/>
          </w:tcPr>
          <w:p w14:paraId="26D43F99"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1/0</w:t>
            </w:r>
          </w:p>
        </w:tc>
        <w:tc>
          <w:tcPr>
            <w:tcW w:w="420" w:type="dxa"/>
            <w:tcBorders>
              <w:top w:val="nil"/>
              <w:left w:val="nil"/>
              <w:bottom w:val="single" w:sz="4" w:space="0" w:color="auto"/>
              <w:right w:val="single" w:sz="12" w:space="0" w:color="auto"/>
            </w:tcBorders>
            <w:shd w:val="clear" w:color="auto" w:fill="auto"/>
            <w:noWrap/>
            <w:vAlign w:val="center"/>
            <w:hideMark/>
          </w:tcPr>
          <w:p w14:paraId="3798A2DB" w14:textId="49A33407"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0"/>
              </w:rPr>
              <w:t>3</w:t>
            </w:r>
          </w:p>
        </w:tc>
        <w:tc>
          <w:tcPr>
            <w:tcW w:w="572" w:type="dxa"/>
            <w:tcBorders>
              <w:top w:val="nil"/>
              <w:left w:val="single" w:sz="12" w:space="0" w:color="auto"/>
              <w:bottom w:val="single" w:sz="4" w:space="0" w:color="auto"/>
              <w:right w:val="single" w:sz="4" w:space="0" w:color="auto"/>
            </w:tcBorders>
            <w:shd w:val="clear" w:color="auto" w:fill="auto"/>
            <w:noWrap/>
            <w:vAlign w:val="center"/>
            <w:hideMark/>
          </w:tcPr>
          <w:p w14:paraId="75AC6FF7" w14:textId="5E6DC3DB"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2/0</w:t>
            </w:r>
          </w:p>
        </w:tc>
        <w:tc>
          <w:tcPr>
            <w:tcW w:w="426" w:type="dxa"/>
            <w:tcBorders>
              <w:top w:val="nil"/>
              <w:left w:val="nil"/>
              <w:bottom w:val="single" w:sz="4" w:space="0" w:color="auto"/>
              <w:right w:val="single" w:sz="4" w:space="0" w:color="auto"/>
            </w:tcBorders>
            <w:shd w:val="clear" w:color="auto" w:fill="EEECE1" w:themeFill="background2"/>
            <w:noWrap/>
            <w:vAlign w:val="center"/>
            <w:hideMark/>
          </w:tcPr>
          <w:p w14:paraId="735050B6" w14:textId="57325321" w:rsidR="00E25689" w:rsidRPr="0053555E" w:rsidRDefault="00E25689" w:rsidP="00E25689">
            <w:pPr>
              <w:jc w:val="center"/>
              <w:rPr>
                <w:rFonts w:asciiTheme="majorHAnsi" w:hAnsiTheme="majorHAnsi" w:cstheme="majorHAnsi"/>
                <w:bCs/>
                <w:sz w:val="20"/>
                <w:szCs w:val="20"/>
              </w:rPr>
            </w:pPr>
            <w:r w:rsidRPr="0053555E">
              <w:rPr>
                <w:rFonts w:cs="Calibri"/>
                <w:sz w:val="20"/>
                <w:szCs w:val="20"/>
              </w:rPr>
              <w:t>2</w:t>
            </w:r>
          </w:p>
        </w:tc>
        <w:tc>
          <w:tcPr>
            <w:tcW w:w="567" w:type="dxa"/>
            <w:tcBorders>
              <w:top w:val="nil"/>
              <w:left w:val="nil"/>
              <w:bottom w:val="single" w:sz="4" w:space="0" w:color="auto"/>
              <w:right w:val="single" w:sz="8" w:space="0" w:color="auto"/>
            </w:tcBorders>
            <w:shd w:val="clear" w:color="auto" w:fill="auto"/>
            <w:noWrap/>
            <w:vAlign w:val="center"/>
            <w:hideMark/>
          </w:tcPr>
          <w:p w14:paraId="6B354B3A"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1/0</w:t>
            </w:r>
          </w:p>
        </w:tc>
        <w:tc>
          <w:tcPr>
            <w:tcW w:w="425" w:type="dxa"/>
            <w:tcBorders>
              <w:top w:val="nil"/>
              <w:left w:val="nil"/>
              <w:bottom w:val="single" w:sz="4" w:space="0" w:color="auto"/>
              <w:right w:val="single" w:sz="12" w:space="0" w:color="auto"/>
            </w:tcBorders>
            <w:shd w:val="clear" w:color="auto" w:fill="auto"/>
            <w:noWrap/>
            <w:vAlign w:val="center"/>
            <w:hideMark/>
          </w:tcPr>
          <w:p w14:paraId="7693ECAC" w14:textId="76A54689" w:rsidR="00E25689" w:rsidRPr="0053555E" w:rsidRDefault="00E25689" w:rsidP="00E25689">
            <w:pPr>
              <w:jc w:val="center"/>
              <w:rPr>
                <w:rFonts w:asciiTheme="majorHAnsi" w:hAnsiTheme="majorHAnsi" w:cstheme="majorHAnsi"/>
                <w:bCs/>
                <w:sz w:val="20"/>
                <w:szCs w:val="20"/>
              </w:rPr>
            </w:pPr>
            <w:r w:rsidRPr="0053555E">
              <w:rPr>
                <w:rFonts w:cs="Calibri"/>
                <w:b/>
                <w:bCs/>
                <w:sz w:val="20"/>
                <w:szCs w:val="22"/>
              </w:rPr>
              <w:t>3</w:t>
            </w:r>
          </w:p>
        </w:tc>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23EB8563" w14:textId="448961C3"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2/0</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14:paraId="1D68E708" w14:textId="54947BD9"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2</w:t>
            </w:r>
          </w:p>
        </w:tc>
        <w:tc>
          <w:tcPr>
            <w:tcW w:w="699" w:type="dxa"/>
            <w:tcBorders>
              <w:top w:val="nil"/>
              <w:left w:val="nil"/>
              <w:bottom w:val="single" w:sz="4" w:space="0" w:color="auto"/>
              <w:right w:val="single" w:sz="8" w:space="0" w:color="auto"/>
            </w:tcBorders>
            <w:shd w:val="clear" w:color="auto" w:fill="auto"/>
            <w:noWrap/>
            <w:vAlign w:val="center"/>
            <w:hideMark/>
          </w:tcPr>
          <w:p w14:paraId="5C73DCFF" w14:textId="293EB454"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1/0</w:t>
            </w:r>
          </w:p>
        </w:tc>
        <w:tc>
          <w:tcPr>
            <w:tcW w:w="425" w:type="dxa"/>
            <w:tcBorders>
              <w:top w:val="nil"/>
              <w:left w:val="nil"/>
              <w:bottom w:val="single" w:sz="4" w:space="0" w:color="auto"/>
              <w:right w:val="single" w:sz="12" w:space="0" w:color="auto"/>
            </w:tcBorders>
            <w:shd w:val="clear" w:color="auto" w:fill="auto"/>
            <w:noWrap/>
            <w:vAlign w:val="center"/>
            <w:hideMark/>
          </w:tcPr>
          <w:p w14:paraId="63F1FA3A" w14:textId="6BBCB331"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3</w:t>
            </w:r>
          </w:p>
        </w:tc>
        <w:tc>
          <w:tcPr>
            <w:tcW w:w="719" w:type="dxa"/>
            <w:tcBorders>
              <w:top w:val="nil"/>
              <w:left w:val="single" w:sz="12" w:space="0" w:color="auto"/>
              <w:bottom w:val="single" w:sz="4" w:space="0" w:color="auto"/>
              <w:right w:val="single" w:sz="4" w:space="0" w:color="auto"/>
            </w:tcBorders>
            <w:shd w:val="clear" w:color="auto" w:fill="auto"/>
            <w:noWrap/>
            <w:vAlign w:val="center"/>
          </w:tcPr>
          <w:p w14:paraId="551969DF" w14:textId="7AE7DC28"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0/2</w:t>
            </w:r>
          </w:p>
        </w:tc>
        <w:tc>
          <w:tcPr>
            <w:tcW w:w="425" w:type="dxa"/>
            <w:tcBorders>
              <w:top w:val="nil"/>
              <w:left w:val="nil"/>
              <w:bottom w:val="single" w:sz="4" w:space="0" w:color="auto"/>
              <w:right w:val="single" w:sz="4" w:space="0" w:color="auto"/>
            </w:tcBorders>
            <w:shd w:val="clear" w:color="auto" w:fill="EEECE1" w:themeFill="background2"/>
            <w:noWrap/>
            <w:vAlign w:val="center"/>
          </w:tcPr>
          <w:p w14:paraId="4AFF71F1" w14:textId="4BB1C5A7"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2</w:t>
            </w:r>
          </w:p>
        </w:tc>
        <w:tc>
          <w:tcPr>
            <w:tcW w:w="567" w:type="dxa"/>
            <w:tcBorders>
              <w:top w:val="nil"/>
              <w:left w:val="nil"/>
              <w:bottom w:val="single" w:sz="4" w:space="0" w:color="auto"/>
              <w:right w:val="single" w:sz="8" w:space="0" w:color="auto"/>
            </w:tcBorders>
            <w:shd w:val="clear" w:color="auto" w:fill="auto"/>
            <w:noWrap/>
            <w:vAlign w:val="center"/>
          </w:tcPr>
          <w:p w14:paraId="44C313E6" w14:textId="747A49D8"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0/1</w:t>
            </w:r>
          </w:p>
        </w:tc>
        <w:tc>
          <w:tcPr>
            <w:tcW w:w="425" w:type="dxa"/>
            <w:tcBorders>
              <w:top w:val="nil"/>
              <w:left w:val="single" w:sz="4" w:space="0" w:color="auto"/>
              <w:bottom w:val="single" w:sz="4" w:space="0" w:color="auto"/>
              <w:right w:val="single" w:sz="12" w:space="0" w:color="auto"/>
            </w:tcBorders>
            <w:shd w:val="clear" w:color="auto" w:fill="auto"/>
            <w:noWrap/>
            <w:vAlign w:val="center"/>
          </w:tcPr>
          <w:p w14:paraId="0ADF473C" w14:textId="54F60B83"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3</w:t>
            </w:r>
          </w:p>
        </w:tc>
        <w:tc>
          <w:tcPr>
            <w:tcW w:w="720" w:type="dxa"/>
            <w:tcBorders>
              <w:top w:val="nil"/>
              <w:left w:val="single" w:sz="12" w:space="0" w:color="auto"/>
              <w:bottom w:val="single" w:sz="4" w:space="0" w:color="auto"/>
              <w:right w:val="single" w:sz="4" w:space="0" w:color="auto"/>
            </w:tcBorders>
            <w:shd w:val="clear" w:color="auto" w:fill="auto"/>
            <w:noWrap/>
            <w:vAlign w:val="center"/>
          </w:tcPr>
          <w:p w14:paraId="32BC72C2" w14:textId="361F6EF9"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5/1</w:t>
            </w:r>
          </w:p>
        </w:tc>
        <w:tc>
          <w:tcPr>
            <w:tcW w:w="567" w:type="dxa"/>
            <w:tcBorders>
              <w:top w:val="nil"/>
              <w:left w:val="nil"/>
              <w:bottom w:val="single" w:sz="4" w:space="0" w:color="auto"/>
              <w:right w:val="single" w:sz="4" w:space="0" w:color="auto"/>
            </w:tcBorders>
            <w:shd w:val="clear" w:color="auto" w:fill="EEECE1" w:themeFill="background2"/>
            <w:noWrap/>
            <w:vAlign w:val="center"/>
          </w:tcPr>
          <w:p w14:paraId="028B4B88" w14:textId="3C34442F" w:rsidR="00E25689" w:rsidRPr="00833E12" w:rsidRDefault="00E25689" w:rsidP="00E25689">
            <w:pPr>
              <w:jc w:val="center"/>
              <w:rPr>
                <w:rFonts w:asciiTheme="majorHAnsi" w:hAnsiTheme="majorHAnsi" w:cstheme="majorHAnsi"/>
                <w:b/>
                <w:bCs/>
                <w:sz w:val="20"/>
                <w:szCs w:val="20"/>
              </w:rPr>
            </w:pPr>
            <w:r w:rsidRPr="00833E12">
              <w:rPr>
                <w:rFonts w:cs="Calibri"/>
                <w:b/>
                <w:bCs/>
                <w:sz w:val="20"/>
                <w:szCs w:val="22"/>
              </w:rPr>
              <w:t>6</w:t>
            </w:r>
          </w:p>
        </w:tc>
        <w:tc>
          <w:tcPr>
            <w:tcW w:w="701" w:type="dxa"/>
            <w:tcBorders>
              <w:top w:val="nil"/>
              <w:left w:val="nil"/>
              <w:bottom w:val="single" w:sz="4" w:space="0" w:color="auto"/>
              <w:right w:val="single" w:sz="8" w:space="0" w:color="auto"/>
            </w:tcBorders>
            <w:shd w:val="clear" w:color="auto" w:fill="auto"/>
            <w:noWrap/>
            <w:vAlign w:val="center"/>
          </w:tcPr>
          <w:p w14:paraId="34DD45B9" w14:textId="5A123128"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3/0</w:t>
            </w:r>
          </w:p>
        </w:tc>
        <w:tc>
          <w:tcPr>
            <w:tcW w:w="564" w:type="dxa"/>
            <w:tcBorders>
              <w:top w:val="nil"/>
              <w:left w:val="nil"/>
              <w:bottom w:val="single" w:sz="4" w:space="0" w:color="auto"/>
              <w:right w:val="single" w:sz="12" w:space="0" w:color="auto"/>
            </w:tcBorders>
            <w:shd w:val="clear" w:color="auto" w:fill="auto"/>
            <w:noWrap/>
            <w:vAlign w:val="center"/>
          </w:tcPr>
          <w:p w14:paraId="27C88F38" w14:textId="03B6DC62"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9</w:t>
            </w:r>
          </w:p>
        </w:tc>
        <w:tc>
          <w:tcPr>
            <w:tcW w:w="720" w:type="dxa"/>
            <w:tcBorders>
              <w:top w:val="nil"/>
              <w:left w:val="single" w:sz="12" w:space="0" w:color="auto"/>
              <w:bottom w:val="single" w:sz="4" w:space="0" w:color="auto"/>
              <w:right w:val="single" w:sz="4" w:space="0" w:color="auto"/>
            </w:tcBorders>
            <w:shd w:val="clear" w:color="auto" w:fill="auto"/>
            <w:noWrap/>
            <w:vAlign w:val="center"/>
          </w:tcPr>
          <w:p w14:paraId="542B2CFC" w14:textId="4ECA0D83"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5/3</w:t>
            </w:r>
          </w:p>
        </w:tc>
        <w:tc>
          <w:tcPr>
            <w:tcW w:w="567" w:type="dxa"/>
            <w:tcBorders>
              <w:top w:val="nil"/>
              <w:left w:val="nil"/>
              <w:bottom w:val="single" w:sz="4" w:space="0" w:color="auto"/>
              <w:right w:val="single" w:sz="4" w:space="0" w:color="auto"/>
            </w:tcBorders>
            <w:shd w:val="clear" w:color="auto" w:fill="EEECE1" w:themeFill="background2"/>
            <w:noWrap/>
            <w:vAlign w:val="center"/>
          </w:tcPr>
          <w:p w14:paraId="1769B0FE" w14:textId="71528ECB"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8</w:t>
            </w:r>
          </w:p>
        </w:tc>
        <w:tc>
          <w:tcPr>
            <w:tcW w:w="708" w:type="dxa"/>
            <w:tcBorders>
              <w:top w:val="nil"/>
              <w:left w:val="nil"/>
              <w:bottom w:val="single" w:sz="4" w:space="0" w:color="auto"/>
              <w:right w:val="single" w:sz="8" w:space="0" w:color="auto"/>
            </w:tcBorders>
            <w:shd w:val="clear" w:color="auto" w:fill="auto"/>
            <w:noWrap/>
            <w:vAlign w:val="center"/>
          </w:tcPr>
          <w:p w14:paraId="4CB7B3E6" w14:textId="44E8AAD1"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3/1</w:t>
            </w:r>
          </w:p>
        </w:tc>
        <w:tc>
          <w:tcPr>
            <w:tcW w:w="698" w:type="dxa"/>
            <w:tcBorders>
              <w:top w:val="nil"/>
              <w:left w:val="nil"/>
              <w:bottom w:val="single" w:sz="4" w:space="0" w:color="auto"/>
              <w:right w:val="single" w:sz="4" w:space="0" w:color="auto"/>
            </w:tcBorders>
            <w:shd w:val="clear" w:color="auto" w:fill="EEECE1" w:themeFill="background2"/>
            <w:vAlign w:val="center"/>
          </w:tcPr>
          <w:p w14:paraId="3E7D5E2A" w14:textId="575683D9" w:rsidR="00E25689" w:rsidRPr="0053555E" w:rsidRDefault="00E25689" w:rsidP="00E25689">
            <w:pPr>
              <w:jc w:val="center"/>
              <w:rPr>
                <w:rFonts w:cs="Calibri"/>
                <w:b/>
                <w:bCs/>
                <w:sz w:val="20"/>
                <w:szCs w:val="22"/>
              </w:rPr>
            </w:pPr>
            <w:r w:rsidRPr="0053555E">
              <w:rPr>
                <w:rFonts w:cs="Calibri"/>
                <w:b/>
                <w:bCs/>
                <w:sz w:val="20"/>
                <w:szCs w:val="22"/>
              </w:rPr>
              <w:t>12</w:t>
            </w:r>
          </w:p>
        </w:tc>
        <w:tc>
          <w:tcPr>
            <w:tcW w:w="709" w:type="dxa"/>
            <w:tcBorders>
              <w:top w:val="nil"/>
              <w:left w:val="single" w:sz="12" w:space="0" w:color="auto"/>
              <w:bottom w:val="single" w:sz="4" w:space="0" w:color="auto"/>
              <w:right w:val="double" w:sz="6" w:space="0" w:color="auto"/>
            </w:tcBorders>
            <w:shd w:val="clear" w:color="auto" w:fill="EEECE1" w:themeFill="background2"/>
            <w:noWrap/>
            <w:vAlign w:val="center"/>
          </w:tcPr>
          <w:p w14:paraId="080A5EC2" w14:textId="24038E75" w:rsidR="00E25689" w:rsidRPr="0053555E" w:rsidRDefault="00E25689" w:rsidP="00E25689">
            <w:pPr>
              <w:jc w:val="center"/>
              <w:rPr>
                <w:rFonts w:asciiTheme="majorHAnsi" w:hAnsiTheme="majorHAnsi" w:cstheme="majorHAnsi"/>
                <w:b/>
                <w:bCs/>
                <w:sz w:val="20"/>
                <w:szCs w:val="20"/>
              </w:rPr>
            </w:pPr>
            <w:r w:rsidRPr="0053555E">
              <w:rPr>
                <w:rFonts w:cs="Calibri"/>
                <w:b/>
                <w:bCs/>
                <w:sz w:val="22"/>
                <w:szCs w:val="22"/>
              </w:rPr>
              <w:t>2</w:t>
            </w:r>
          </w:p>
        </w:tc>
      </w:tr>
      <w:tr w:rsidR="00E25689" w:rsidRPr="0053555E" w14:paraId="02F39430" w14:textId="77777777" w:rsidTr="0087574E">
        <w:trPr>
          <w:trHeight w:val="300"/>
        </w:trPr>
        <w:tc>
          <w:tcPr>
            <w:tcW w:w="683" w:type="dxa"/>
            <w:tcBorders>
              <w:top w:val="nil"/>
              <w:left w:val="double" w:sz="6" w:space="0" w:color="auto"/>
              <w:bottom w:val="single" w:sz="4" w:space="0" w:color="auto"/>
              <w:right w:val="double" w:sz="6" w:space="0" w:color="auto"/>
            </w:tcBorders>
            <w:shd w:val="clear" w:color="auto" w:fill="auto"/>
            <w:noWrap/>
            <w:vAlign w:val="center"/>
            <w:hideMark/>
          </w:tcPr>
          <w:p w14:paraId="48BAE391" w14:textId="77777777" w:rsidR="00E25689" w:rsidRPr="0053555E" w:rsidRDefault="00E25689" w:rsidP="00E25689">
            <w:pPr>
              <w:tabs>
                <w:tab w:val="left" w:pos="9356"/>
              </w:tabs>
              <w:ind w:left="-14"/>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MTF</w:t>
            </w:r>
          </w:p>
        </w:tc>
        <w:tc>
          <w:tcPr>
            <w:tcW w:w="712" w:type="dxa"/>
            <w:tcBorders>
              <w:top w:val="nil"/>
              <w:left w:val="nil"/>
              <w:bottom w:val="single" w:sz="4" w:space="0" w:color="auto"/>
              <w:right w:val="single" w:sz="4" w:space="0" w:color="auto"/>
            </w:tcBorders>
            <w:shd w:val="clear" w:color="auto" w:fill="auto"/>
            <w:noWrap/>
            <w:vAlign w:val="center"/>
            <w:hideMark/>
          </w:tcPr>
          <w:p w14:paraId="44B9164E" w14:textId="7F9DA268"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6/2</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14:paraId="0B998601" w14:textId="66F49904" w:rsidR="00E25689" w:rsidRPr="0053555E" w:rsidRDefault="00E25689" w:rsidP="00E25689">
            <w:pPr>
              <w:jc w:val="center"/>
              <w:rPr>
                <w:rFonts w:asciiTheme="majorHAnsi" w:hAnsiTheme="majorHAnsi" w:cstheme="majorHAnsi"/>
                <w:bCs/>
                <w:sz w:val="20"/>
                <w:szCs w:val="20"/>
              </w:rPr>
            </w:pPr>
            <w:r w:rsidRPr="0053555E">
              <w:rPr>
                <w:rFonts w:cs="Arial"/>
                <w:sz w:val="20"/>
                <w:szCs w:val="20"/>
              </w:rPr>
              <w:t>8</w:t>
            </w:r>
          </w:p>
        </w:tc>
        <w:tc>
          <w:tcPr>
            <w:tcW w:w="567" w:type="dxa"/>
            <w:tcBorders>
              <w:top w:val="nil"/>
              <w:left w:val="nil"/>
              <w:bottom w:val="single" w:sz="4" w:space="0" w:color="auto"/>
              <w:right w:val="single" w:sz="8" w:space="0" w:color="auto"/>
            </w:tcBorders>
            <w:shd w:val="clear" w:color="auto" w:fill="auto"/>
            <w:noWrap/>
            <w:vAlign w:val="center"/>
            <w:hideMark/>
          </w:tcPr>
          <w:p w14:paraId="1BB69BC6"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0</w:t>
            </w:r>
          </w:p>
        </w:tc>
        <w:tc>
          <w:tcPr>
            <w:tcW w:w="420" w:type="dxa"/>
            <w:tcBorders>
              <w:top w:val="nil"/>
              <w:left w:val="nil"/>
              <w:bottom w:val="single" w:sz="4" w:space="0" w:color="auto"/>
              <w:right w:val="single" w:sz="12" w:space="0" w:color="auto"/>
            </w:tcBorders>
            <w:shd w:val="clear" w:color="auto" w:fill="auto"/>
            <w:noWrap/>
            <w:vAlign w:val="center"/>
            <w:hideMark/>
          </w:tcPr>
          <w:p w14:paraId="4782B260" w14:textId="1C5D860C"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0"/>
              </w:rPr>
              <w:t>8</w:t>
            </w:r>
          </w:p>
        </w:tc>
        <w:tc>
          <w:tcPr>
            <w:tcW w:w="572" w:type="dxa"/>
            <w:tcBorders>
              <w:top w:val="nil"/>
              <w:left w:val="single" w:sz="12" w:space="0" w:color="auto"/>
              <w:bottom w:val="single" w:sz="4" w:space="0" w:color="auto"/>
              <w:right w:val="single" w:sz="4" w:space="0" w:color="auto"/>
            </w:tcBorders>
            <w:shd w:val="clear" w:color="auto" w:fill="auto"/>
            <w:noWrap/>
            <w:vAlign w:val="center"/>
            <w:hideMark/>
          </w:tcPr>
          <w:p w14:paraId="7C01F698" w14:textId="1CC96192"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6/0</w:t>
            </w:r>
          </w:p>
        </w:tc>
        <w:tc>
          <w:tcPr>
            <w:tcW w:w="426" w:type="dxa"/>
            <w:tcBorders>
              <w:top w:val="nil"/>
              <w:left w:val="nil"/>
              <w:bottom w:val="single" w:sz="4" w:space="0" w:color="auto"/>
              <w:right w:val="single" w:sz="4" w:space="0" w:color="auto"/>
            </w:tcBorders>
            <w:shd w:val="clear" w:color="auto" w:fill="EEECE1" w:themeFill="background2"/>
            <w:noWrap/>
            <w:vAlign w:val="center"/>
            <w:hideMark/>
          </w:tcPr>
          <w:p w14:paraId="725E30BC" w14:textId="20757658" w:rsidR="00E25689" w:rsidRPr="0053555E" w:rsidRDefault="00E25689" w:rsidP="00E25689">
            <w:pPr>
              <w:jc w:val="center"/>
              <w:rPr>
                <w:rFonts w:asciiTheme="majorHAnsi" w:hAnsiTheme="majorHAnsi" w:cstheme="majorHAnsi"/>
                <w:bCs/>
                <w:sz w:val="20"/>
                <w:szCs w:val="20"/>
              </w:rPr>
            </w:pPr>
            <w:r w:rsidRPr="0053555E">
              <w:rPr>
                <w:rFonts w:cs="Calibri"/>
                <w:sz w:val="20"/>
                <w:szCs w:val="20"/>
              </w:rPr>
              <w:t>6</w:t>
            </w:r>
          </w:p>
        </w:tc>
        <w:tc>
          <w:tcPr>
            <w:tcW w:w="567" w:type="dxa"/>
            <w:tcBorders>
              <w:top w:val="nil"/>
              <w:left w:val="nil"/>
              <w:bottom w:val="single" w:sz="4" w:space="0" w:color="auto"/>
              <w:right w:val="single" w:sz="8" w:space="0" w:color="auto"/>
            </w:tcBorders>
            <w:shd w:val="clear" w:color="auto" w:fill="auto"/>
            <w:noWrap/>
            <w:vAlign w:val="center"/>
            <w:hideMark/>
          </w:tcPr>
          <w:p w14:paraId="22807E88"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0</w:t>
            </w:r>
          </w:p>
        </w:tc>
        <w:tc>
          <w:tcPr>
            <w:tcW w:w="425" w:type="dxa"/>
            <w:tcBorders>
              <w:top w:val="nil"/>
              <w:left w:val="nil"/>
              <w:bottom w:val="single" w:sz="4" w:space="0" w:color="auto"/>
              <w:right w:val="single" w:sz="12" w:space="0" w:color="auto"/>
            </w:tcBorders>
            <w:shd w:val="clear" w:color="auto" w:fill="auto"/>
            <w:noWrap/>
            <w:vAlign w:val="center"/>
            <w:hideMark/>
          </w:tcPr>
          <w:p w14:paraId="3682DFFA" w14:textId="5335ED4F" w:rsidR="00E25689" w:rsidRPr="0053555E" w:rsidRDefault="00E25689" w:rsidP="00E25689">
            <w:pPr>
              <w:jc w:val="center"/>
              <w:rPr>
                <w:rFonts w:asciiTheme="majorHAnsi" w:hAnsiTheme="majorHAnsi" w:cstheme="majorHAnsi"/>
                <w:bCs/>
                <w:sz w:val="20"/>
                <w:szCs w:val="20"/>
              </w:rPr>
            </w:pPr>
            <w:r w:rsidRPr="0053555E">
              <w:rPr>
                <w:rFonts w:cs="Calibri"/>
                <w:b/>
                <w:bCs/>
                <w:sz w:val="20"/>
                <w:szCs w:val="22"/>
              </w:rPr>
              <w:t>6</w:t>
            </w:r>
          </w:p>
        </w:tc>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55D758FA" w14:textId="7B56A541"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2/3</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14:paraId="417D62E2" w14:textId="01C2DF21"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5</w:t>
            </w:r>
          </w:p>
        </w:tc>
        <w:tc>
          <w:tcPr>
            <w:tcW w:w="699" w:type="dxa"/>
            <w:tcBorders>
              <w:top w:val="nil"/>
              <w:left w:val="nil"/>
              <w:bottom w:val="single" w:sz="4" w:space="0" w:color="auto"/>
              <w:right w:val="single" w:sz="8" w:space="0" w:color="auto"/>
            </w:tcBorders>
            <w:shd w:val="clear" w:color="auto" w:fill="auto"/>
            <w:noWrap/>
            <w:vAlign w:val="center"/>
            <w:hideMark/>
          </w:tcPr>
          <w:p w14:paraId="02475FCE" w14:textId="2DB0D6F0"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2/2</w:t>
            </w:r>
          </w:p>
        </w:tc>
        <w:tc>
          <w:tcPr>
            <w:tcW w:w="425" w:type="dxa"/>
            <w:tcBorders>
              <w:top w:val="nil"/>
              <w:left w:val="nil"/>
              <w:bottom w:val="single" w:sz="4" w:space="0" w:color="auto"/>
              <w:right w:val="single" w:sz="12" w:space="0" w:color="auto"/>
            </w:tcBorders>
            <w:shd w:val="clear" w:color="auto" w:fill="auto"/>
            <w:noWrap/>
            <w:vAlign w:val="center"/>
            <w:hideMark/>
          </w:tcPr>
          <w:p w14:paraId="0733244D" w14:textId="692FADEF"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9</w:t>
            </w:r>
          </w:p>
        </w:tc>
        <w:tc>
          <w:tcPr>
            <w:tcW w:w="719" w:type="dxa"/>
            <w:tcBorders>
              <w:top w:val="nil"/>
              <w:left w:val="single" w:sz="12" w:space="0" w:color="auto"/>
              <w:bottom w:val="single" w:sz="4" w:space="0" w:color="auto"/>
              <w:right w:val="single" w:sz="4" w:space="0" w:color="auto"/>
            </w:tcBorders>
            <w:shd w:val="clear" w:color="auto" w:fill="auto"/>
            <w:noWrap/>
            <w:vAlign w:val="center"/>
          </w:tcPr>
          <w:p w14:paraId="500455DF" w14:textId="24F350A6"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2/3</w:t>
            </w:r>
          </w:p>
        </w:tc>
        <w:tc>
          <w:tcPr>
            <w:tcW w:w="425" w:type="dxa"/>
            <w:tcBorders>
              <w:top w:val="nil"/>
              <w:left w:val="nil"/>
              <w:bottom w:val="single" w:sz="4" w:space="0" w:color="auto"/>
              <w:right w:val="single" w:sz="4" w:space="0" w:color="auto"/>
            </w:tcBorders>
            <w:shd w:val="clear" w:color="auto" w:fill="EEECE1" w:themeFill="background2"/>
            <w:noWrap/>
            <w:vAlign w:val="center"/>
          </w:tcPr>
          <w:p w14:paraId="515F29D0" w14:textId="3D868CA7"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5</w:t>
            </w:r>
          </w:p>
        </w:tc>
        <w:tc>
          <w:tcPr>
            <w:tcW w:w="567" w:type="dxa"/>
            <w:tcBorders>
              <w:top w:val="nil"/>
              <w:left w:val="nil"/>
              <w:bottom w:val="single" w:sz="4" w:space="0" w:color="auto"/>
              <w:right w:val="single" w:sz="8" w:space="0" w:color="auto"/>
            </w:tcBorders>
            <w:shd w:val="clear" w:color="auto" w:fill="auto"/>
            <w:noWrap/>
            <w:vAlign w:val="center"/>
          </w:tcPr>
          <w:p w14:paraId="4AD3EB00" w14:textId="6A5E4524"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2/2</w:t>
            </w:r>
          </w:p>
        </w:tc>
        <w:tc>
          <w:tcPr>
            <w:tcW w:w="425" w:type="dxa"/>
            <w:tcBorders>
              <w:top w:val="nil"/>
              <w:left w:val="single" w:sz="4" w:space="0" w:color="auto"/>
              <w:bottom w:val="single" w:sz="4" w:space="0" w:color="auto"/>
              <w:right w:val="single" w:sz="12" w:space="0" w:color="auto"/>
            </w:tcBorders>
            <w:shd w:val="clear" w:color="auto" w:fill="auto"/>
            <w:noWrap/>
            <w:vAlign w:val="center"/>
          </w:tcPr>
          <w:p w14:paraId="3EEB420E" w14:textId="5945B673"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9</w:t>
            </w:r>
          </w:p>
        </w:tc>
        <w:tc>
          <w:tcPr>
            <w:tcW w:w="720" w:type="dxa"/>
            <w:tcBorders>
              <w:top w:val="nil"/>
              <w:left w:val="single" w:sz="12" w:space="0" w:color="auto"/>
              <w:bottom w:val="single" w:sz="4" w:space="0" w:color="auto"/>
              <w:right w:val="single" w:sz="4" w:space="0" w:color="auto"/>
            </w:tcBorders>
            <w:shd w:val="clear" w:color="auto" w:fill="auto"/>
            <w:noWrap/>
            <w:vAlign w:val="center"/>
          </w:tcPr>
          <w:p w14:paraId="6251F1DE" w14:textId="7A777C3C"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14/5</w:t>
            </w:r>
          </w:p>
        </w:tc>
        <w:tc>
          <w:tcPr>
            <w:tcW w:w="567" w:type="dxa"/>
            <w:tcBorders>
              <w:top w:val="nil"/>
              <w:left w:val="nil"/>
              <w:bottom w:val="single" w:sz="4" w:space="0" w:color="auto"/>
              <w:right w:val="single" w:sz="4" w:space="0" w:color="auto"/>
            </w:tcBorders>
            <w:shd w:val="clear" w:color="auto" w:fill="EEECE1" w:themeFill="background2"/>
            <w:noWrap/>
            <w:vAlign w:val="center"/>
          </w:tcPr>
          <w:p w14:paraId="7CB8C93B" w14:textId="7CCF970E" w:rsidR="00E25689" w:rsidRPr="00833E12" w:rsidRDefault="00E25689" w:rsidP="00E25689">
            <w:pPr>
              <w:jc w:val="center"/>
              <w:rPr>
                <w:rFonts w:asciiTheme="majorHAnsi" w:hAnsiTheme="majorHAnsi" w:cstheme="majorHAnsi"/>
                <w:b/>
                <w:bCs/>
                <w:sz w:val="20"/>
                <w:szCs w:val="20"/>
              </w:rPr>
            </w:pPr>
            <w:r w:rsidRPr="00833E12">
              <w:rPr>
                <w:rFonts w:cs="Calibri"/>
                <w:b/>
                <w:bCs/>
                <w:sz w:val="20"/>
                <w:szCs w:val="22"/>
              </w:rPr>
              <w:t>19</w:t>
            </w:r>
          </w:p>
        </w:tc>
        <w:tc>
          <w:tcPr>
            <w:tcW w:w="701" w:type="dxa"/>
            <w:tcBorders>
              <w:top w:val="nil"/>
              <w:left w:val="nil"/>
              <w:bottom w:val="single" w:sz="4" w:space="0" w:color="auto"/>
              <w:right w:val="single" w:sz="8" w:space="0" w:color="auto"/>
            </w:tcBorders>
            <w:shd w:val="clear" w:color="auto" w:fill="auto"/>
            <w:noWrap/>
            <w:vAlign w:val="center"/>
          </w:tcPr>
          <w:p w14:paraId="580CD8BD" w14:textId="7181CA4E"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2/2</w:t>
            </w:r>
          </w:p>
        </w:tc>
        <w:tc>
          <w:tcPr>
            <w:tcW w:w="564" w:type="dxa"/>
            <w:tcBorders>
              <w:top w:val="nil"/>
              <w:left w:val="nil"/>
              <w:bottom w:val="single" w:sz="4" w:space="0" w:color="auto"/>
              <w:right w:val="single" w:sz="12" w:space="0" w:color="auto"/>
            </w:tcBorders>
            <w:shd w:val="clear" w:color="auto" w:fill="auto"/>
            <w:noWrap/>
            <w:vAlign w:val="center"/>
          </w:tcPr>
          <w:p w14:paraId="7FE3B1AF" w14:textId="10C545B2"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23</w:t>
            </w:r>
          </w:p>
        </w:tc>
        <w:tc>
          <w:tcPr>
            <w:tcW w:w="720" w:type="dxa"/>
            <w:tcBorders>
              <w:top w:val="nil"/>
              <w:left w:val="single" w:sz="12" w:space="0" w:color="auto"/>
              <w:bottom w:val="single" w:sz="4" w:space="0" w:color="auto"/>
              <w:right w:val="single" w:sz="4" w:space="0" w:color="auto"/>
            </w:tcBorders>
            <w:shd w:val="clear" w:color="auto" w:fill="auto"/>
            <w:noWrap/>
            <w:vAlign w:val="center"/>
          </w:tcPr>
          <w:p w14:paraId="5D247D69" w14:textId="24258ABE"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16/8</w:t>
            </w:r>
          </w:p>
        </w:tc>
        <w:tc>
          <w:tcPr>
            <w:tcW w:w="567" w:type="dxa"/>
            <w:tcBorders>
              <w:top w:val="nil"/>
              <w:left w:val="nil"/>
              <w:bottom w:val="single" w:sz="4" w:space="0" w:color="auto"/>
              <w:right w:val="single" w:sz="4" w:space="0" w:color="auto"/>
            </w:tcBorders>
            <w:shd w:val="clear" w:color="auto" w:fill="EEECE1" w:themeFill="background2"/>
            <w:noWrap/>
            <w:vAlign w:val="center"/>
          </w:tcPr>
          <w:p w14:paraId="5BEC0247" w14:textId="4A163DE2"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24</w:t>
            </w:r>
          </w:p>
        </w:tc>
        <w:tc>
          <w:tcPr>
            <w:tcW w:w="708" w:type="dxa"/>
            <w:tcBorders>
              <w:top w:val="nil"/>
              <w:left w:val="nil"/>
              <w:bottom w:val="single" w:sz="4" w:space="0" w:color="auto"/>
              <w:right w:val="single" w:sz="8" w:space="0" w:color="auto"/>
            </w:tcBorders>
            <w:shd w:val="clear" w:color="auto" w:fill="auto"/>
            <w:noWrap/>
            <w:vAlign w:val="center"/>
          </w:tcPr>
          <w:p w14:paraId="08205588" w14:textId="3F6842A2"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4/4</w:t>
            </w:r>
          </w:p>
        </w:tc>
        <w:tc>
          <w:tcPr>
            <w:tcW w:w="698" w:type="dxa"/>
            <w:tcBorders>
              <w:top w:val="nil"/>
              <w:left w:val="nil"/>
              <w:bottom w:val="single" w:sz="4" w:space="0" w:color="auto"/>
              <w:right w:val="single" w:sz="4" w:space="0" w:color="auto"/>
            </w:tcBorders>
            <w:shd w:val="clear" w:color="auto" w:fill="EEECE1" w:themeFill="background2"/>
            <w:vAlign w:val="center"/>
          </w:tcPr>
          <w:p w14:paraId="5B7DFFEC" w14:textId="6867148E" w:rsidR="00E25689" w:rsidRPr="0053555E" w:rsidRDefault="00E25689" w:rsidP="00E25689">
            <w:pPr>
              <w:jc w:val="center"/>
              <w:rPr>
                <w:rFonts w:cs="Calibri"/>
                <w:b/>
                <w:bCs/>
                <w:sz w:val="20"/>
                <w:szCs w:val="22"/>
              </w:rPr>
            </w:pPr>
            <w:r w:rsidRPr="0053555E">
              <w:rPr>
                <w:rFonts w:cs="Calibri"/>
                <w:b/>
                <w:bCs/>
                <w:sz w:val="20"/>
                <w:szCs w:val="22"/>
              </w:rPr>
              <w:t>32</w:t>
            </w:r>
          </w:p>
        </w:tc>
        <w:tc>
          <w:tcPr>
            <w:tcW w:w="709" w:type="dxa"/>
            <w:tcBorders>
              <w:top w:val="nil"/>
              <w:left w:val="single" w:sz="12" w:space="0" w:color="auto"/>
              <w:bottom w:val="single" w:sz="4" w:space="0" w:color="auto"/>
              <w:right w:val="double" w:sz="6" w:space="0" w:color="auto"/>
            </w:tcBorders>
            <w:shd w:val="clear" w:color="auto" w:fill="EEECE1" w:themeFill="background2"/>
            <w:noWrap/>
            <w:vAlign w:val="center"/>
          </w:tcPr>
          <w:p w14:paraId="40BBE2AB" w14:textId="4F618460" w:rsidR="00E25689" w:rsidRPr="0053555E" w:rsidRDefault="00E25689" w:rsidP="00E25689">
            <w:pPr>
              <w:jc w:val="center"/>
              <w:rPr>
                <w:rFonts w:asciiTheme="majorHAnsi" w:hAnsiTheme="majorHAnsi" w:cstheme="majorHAnsi"/>
                <w:b/>
                <w:bCs/>
                <w:sz w:val="20"/>
                <w:szCs w:val="20"/>
              </w:rPr>
            </w:pPr>
            <w:r w:rsidRPr="0053555E">
              <w:rPr>
                <w:rFonts w:cs="Calibri"/>
                <w:b/>
                <w:bCs/>
                <w:sz w:val="22"/>
                <w:szCs w:val="22"/>
              </w:rPr>
              <w:t>4</w:t>
            </w:r>
          </w:p>
        </w:tc>
      </w:tr>
      <w:tr w:rsidR="00E25689" w:rsidRPr="0053555E" w14:paraId="564707C9" w14:textId="77777777" w:rsidTr="0087574E">
        <w:trPr>
          <w:trHeight w:val="300"/>
        </w:trPr>
        <w:tc>
          <w:tcPr>
            <w:tcW w:w="683" w:type="dxa"/>
            <w:tcBorders>
              <w:top w:val="nil"/>
              <w:left w:val="double" w:sz="6" w:space="0" w:color="auto"/>
              <w:bottom w:val="single" w:sz="4" w:space="0" w:color="auto"/>
              <w:right w:val="double" w:sz="6" w:space="0" w:color="auto"/>
            </w:tcBorders>
            <w:shd w:val="clear" w:color="auto" w:fill="auto"/>
            <w:noWrap/>
            <w:vAlign w:val="center"/>
            <w:hideMark/>
          </w:tcPr>
          <w:p w14:paraId="5588B5A6" w14:textId="77777777" w:rsidR="00E25689" w:rsidRPr="0053555E" w:rsidRDefault="00E25689" w:rsidP="00E25689">
            <w:pPr>
              <w:tabs>
                <w:tab w:val="left" w:pos="9356"/>
              </w:tabs>
              <w:ind w:left="-14"/>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FIIT</w:t>
            </w:r>
          </w:p>
        </w:tc>
        <w:tc>
          <w:tcPr>
            <w:tcW w:w="712" w:type="dxa"/>
            <w:tcBorders>
              <w:top w:val="nil"/>
              <w:left w:val="nil"/>
              <w:bottom w:val="single" w:sz="4" w:space="0" w:color="auto"/>
              <w:right w:val="single" w:sz="4" w:space="0" w:color="auto"/>
            </w:tcBorders>
            <w:shd w:val="clear" w:color="auto" w:fill="auto"/>
            <w:noWrap/>
            <w:vAlign w:val="center"/>
            <w:hideMark/>
          </w:tcPr>
          <w:p w14:paraId="78AD94B2" w14:textId="21C8287A"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2/0</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14:paraId="362E5704" w14:textId="034F916B" w:rsidR="00E25689" w:rsidRPr="0053555E" w:rsidRDefault="00E25689" w:rsidP="00E25689">
            <w:pPr>
              <w:jc w:val="center"/>
              <w:rPr>
                <w:rFonts w:asciiTheme="majorHAnsi" w:hAnsiTheme="majorHAnsi" w:cstheme="majorHAnsi"/>
                <w:bCs/>
                <w:sz w:val="20"/>
                <w:szCs w:val="20"/>
              </w:rPr>
            </w:pPr>
            <w:r w:rsidRPr="0053555E">
              <w:rPr>
                <w:rFonts w:cs="Arial"/>
                <w:sz w:val="20"/>
                <w:szCs w:val="20"/>
              </w:rPr>
              <w:t>2</w:t>
            </w:r>
          </w:p>
        </w:tc>
        <w:tc>
          <w:tcPr>
            <w:tcW w:w="567" w:type="dxa"/>
            <w:tcBorders>
              <w:top w:val="nil"/>
              <w:left w:val="nil"/>
              <w:bottom w:val="single" w:sz="4" w:space="0" w:color="auto"/>
              <w:right w:val="single" w:sz="8" w:space="0" w:color="auto"/>
            </w:tcBorders>
            <w:shd w:val="clear" w:color="auto" w:fill="auto"/>
            <w:noWrap/>
            <w:vAlign w:val="center"/>
            <w:hideMark/>
          </w:tcPr>
          <w:p w14:paraId="2ACD1317"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0</w:t>
            </w:r>
          </w:p>
        </w:tc>
        <w:tc>
          <w:tcPr>
            <w:tcW w:w="420" w:type="dxa"/>
            <w:tcBorders>
              <w:top w:val="nil"/>
              <w:left w:val="nil"/>
              <w:bottom w:val="single" w:sz="4" w:space="0" w:color="auto"/>
              <w:right w:val="single" w:sz="12" w:space="0" w:color="auto"/>
            </w:tcBorders>
            <w:shd w:val="clear" w:color="auto" w:fill="auto"/>
            <w:noWrap/>
            <w:vAlign w:val="center"/>
            <w:hideMark/>
          </w:tcPr>
          <w:p w14:paraId="18621CA5" w14:textId="65BD8D56"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0"/>
              </w:rPr>
              <w:t>2</w:t>
            </w:r>
          </w:p>
        </w:tc>
        <w:tc>
          <w:tcPr>
            <w:tcW w:w="572" w:type="dxa"/>
            <w:tcBorders>
              <w:top w:val="nil"/>
              <w:left w:val="single" w:sz="12" w:space="0" w:color="auto"/>
              <w:bottom w:val="single" w:sz="4" w:space="0" w:color="auto"/>
              <w:right w:val="single" w:sz="4" w:space="0" w:color="auto"/>
            </w:tcBorders>
            <w:shd w:val="clear" w:color="auto" w:fill="auto"/>
            <w:noWrap/>
            <w:vAlign w:val="center"/>
            <w:hideMark/>
          </w:tcPr>
          <w:p w14:paraId="06F19DC4" w14:textId="5F2BEEDD"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2/2</w:t>
            </w:r>
          </w:p>
        </w:tc>
        <w:tc>
          <w:tcPr>
            <w:tcW w:w="426" w:type="dxa"/>
            <w:tcBorders>
              <w:top w:val="nil"/>
              <w:left w:val="nil"/>
              <w:bottom w:val="single" w:sz="4" w:space="0" w:color="auto"/>
              <w:right w:val="single" w:sz="4" w:space="0" w:color="auto"/>
            </w:tcBorders>
            <w:shd w:val="clear" w:color="auto" w:fill="EEECE1" w:themeFill="background2"/>
            <w:noWrap/>
            <w:vAlign w:val="center"/>
            <w:hideMark/>
          </w:tcPr>
          <w:p w14:paraId="7E3E280A" w14:textId="0BD3A9F7" w:rsidR="00E25689" w:rsidRPr="0053555E" w:rsidRDefault="00E25689" w:rsidP="00E25689">
            <w:pPr>
              <w:jc w:val="center"/>
              <w:rPr>
                <w:rFonts w:asciiTheme="majorHAnsi" w:hAnsiTheme="majorHAnsi" w:cstheme="majorHAnsi"/>
                <w:bCs/>
                <w:sz w:val="20"/>
                <w:szCs w:val="20"/>
              </w:rPr>
            </w:pPr>
            <w:r w:rsidRPr="0053555E">
              <w:rPr>
                <w:rFonts w:cs="Calibri"/>
                <w:sz w:val="20"/>
                <w:szCs w:val="20"/>
              </w:rPr>
              <w:t>4</w:t>
            </w:r>
          </w:p>
        </w:tc>
        <w:tc>
          <w:tcPr>
            <w:tcW w:w="567" w:type="dxa"/>
            <w:tcBorders>
              <w:top w:val="nil"/>
              <w:left w:val="nil"/>
              <w:bottom w:val="single" w:sz="4" w:space="0" w:color="auto"/>
              <w:right w:val="single" w:sz="8" w:space="0" w:color="auto"/>
            </w:tcBorders>
            <w:shd w:val="clear" w:color="auto" w:fill="auto"/>
            <w:noWrap/>
            <w:vAlign w:val="center"/>
            <w:hideMark/>
          </w:tcPr>
          <w:p w14:paraId="3192FE8C"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0</w:t>
            </w:r>
          </w:p>
        </w:tc>
        <w:tc>
          <w:tcPr>
            <w:tcW w:w="425" w:type="dxa"/>
            <w:tcBorders>
              <w:top w:val="nil"/>
              <w:left w:val="nil"/>
              <w:bottom w:val="single" w:sz="4" w:space="0" w:color="auto"/>
              <w:right w:val="single" w:sz="12" w:space="0" w:color="auto"/>
            </w:tcBorders>
            <w:shd w:val="clear" w:color="auto" w:fill="auto"/>
            <w:noWrap/>
            <w:vAlign w:val="center"/>
            <w:hideMark/>
          </w:tcPr>
          <w:p w14:paraId="6F3BFE86" w14:textId="170D9359" w:rsidR="00E25689" w:rsidRPr="0053555E" w:rsidRDefault="00E25689" w:rsidP="00E25689">
            <w:pPr>
              <w:jc w:val="center"/>
              <w:rPr>
                <w:rFonts w:asciiTheme="majorHAnsi" w:hAnsiTheme="majorHAnsi" w:cstheme="majorHAnsi"/>
                <w:bCs/>
                <w:sz w:val="20"/>
                <w:szCs w:val="20"/>
              </w:rPr>
            </w:pPr>
            <w:r w:rsidRPr="0053555E">
              <w:rPr>
                <w:rFonts w:cs="Calibri"/>
                <w:b/>
                <w:bCs/>
                <w:sz w:val="20"/>
                <w:szCs w:val="22"/>
              </w:rPr>
              <w:t>4</w:t>
            </w:r>
          </w:p>
        </w:tc>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6BA04753" w14:textId="3C177E04"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1/0</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14:paraId="7EDD23AC" w14:textId="2E4E0A11"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1</w:t>
            </w:r>
          </w:p>
        </w:tc>
        <w:tc>
          <w:tcPr>
            <w:tcW w:w="699" w:type="dxa"/>
            <w:tcBorders>
              <w:top w:val="nil"/>
              <w:left w:val="nil"/>
              <w:bottom w:val="single" w:sz="4" w:space="0" w:color="auto"/>
              <w:right w:val="single" w:sz="8" w:space="0" w:color="auto"/>
            </w:tcBorders>
            <w:shd w:val="clear" w:color="auto" w:fill="auto"/>
            <w:noWrap/>
            <w:vAlign w:val="center"/>
            <w:hideMark/>
          </w:tcPr>
          <w:p w14:paraId="04AE8CAD" w14:textId="50AEC7D9"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1/0</w:t>
            </w:r>
          </w:p>
        </w:tc>
        <w:tc>
          <w:tcPr>
            <w:tcW w:w="425" w:type="dxa"/>
            <w:tcBorders>
              <w:top w:val="nil"/>
              <w:left w:val="nil"/>
              <w:bottom w:val="single" w:sz="4" w:space="0" w:color="auto"/>
              <w:right w:val="single" w:sz="12" w:space="0" w:color="auto"/>
            </w:tcBorders>
            <w:shd w:val="clear" w:color="auto" w:fill="auto"/>
            <w:noWrap/>
            <w:vAlign w:val="center"/>
            <w:hideMark/>
          </w:tcPr>
          <w:p w14:paraId="375780D2" w14:textId="168D4501"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2</w:t>
            </w:r>
          </w:p>
        </w:tc>
        <w:tc>
          <w:tcPr>
            <w:tcW w:w="719" w:type="dxa"/>
            <w:tcBorders>
              <w:top w:val="nil"/>
              <w:left w:val="single" w:sz="12" w:space="0" w:color="auto"/>
              <w:bottom w:val="single" w:sz="4" w:space="0" w:color="auto"/>
              <w:right w:val="single" w:sz="4" w:space="0" w:color="auto"/>
            </w:tcBorders>
            <w:shd w:val="clear" w:color="auto" w:fill="auto"/>
            <w:noWrap/>
            <w:vAlign w:val="center"/>
          </w:tcPr>
          <w:p w14:paraId="32F5C611" w14:textId="64941519"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0/1</w:t>
            </w:r>
          </w:p>
        </w:tc>
        <w:tc>
          <w:tcPr>
            <w:tcW w:w="425" w:type="dxa"/>
            <w:tcBorders>
              <w:top w:val="nil"/>
              <w:left w:val="nil"/>
              <w:bottom w:val="single" w:sz="4" w:space="0" w:color="auto"/>
              <w:right w:val="single" w:sz="4" w:space="0" w:color="auto"/>
            </w:tcBorders>
            <w:shd w:val="clear" w:color="auto" w:fill="EEECE1" w:themeFill="background2"/>
            <w:noWrap/>
            <w:vAlign w:val="center"/>
          </w:tcPr>
          <w:p w14:paraId="19BC427C" w14:textId="2CA4759C"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1</w:t>
            </w:r>
          </w:p>
        </w:tc>
        <w:tc>
          <w:tcPr>
            <w:tcW w:w="567" w:type="dxa"/>
            <w:tcBorders>
              <w:top w:val="nil"/>
              <w:left w:val="nil"/>
              <w:bottom w:val="single" w:sz="4" w:space="0" w:color="auto"/>
              <w:right w:val="single" w:sz="8" w:space="0" w:color="auto"/>
            </w:tcBorders>
            <w:shd w:val="clear" w:color="auto" w:fill="auto"/>
            <w:noWrap/>
            <w:vAlign w:val="center"/>
          </w:tcPr>
          <w:p w14:paraId="664F4D63" w14:textId="4285E7AB"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0/1</w:t>
            </w:r>
          </w:p>
        </w:tc>
        <w:tc>
          <w:tcPr>
            <w:tcW w:w="425" w:type="dxa"/>
            <w:tcBorders>
              <w:top w:val="nil"/>
              <w:left w:val="single" w:sz="4" w:space="0" w:color="auto"/>
              <w:bottom w:val="single" w:sz="4" w:space="0" w:color="auto"/>
              <w:right w:val="single" w:sz="12" w:space="0" w:color="auto"/>
            </w:tcBorders>
            <w:shd w:val="clear" w:color="auto" w:fill="auto"/>
            <w:noWrap/>
            <w:vAlign w:val="center"/>
          </w:tcPr>
          <w:p w14:paraId="0B58AD9A" w14:textId="4760AE04"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2</w:t>
            </w:r>
          </w:p>
        </w:tc>
        <w:tc>
          <w:tcPr>
            <w:tcW w:w="720" w:type="dxa"/>
            <w:tcBorders>
              <w:top w:val="nil"/>
              <w:left w:val="single" w:sz="12" w:space="0" w:color="auto"/>
              <w:bottom w:val="single" w:sz="4" w:space="0" w:color="auto"/>
              <w:right w:val="single" w:sz="4" w:space="0" w:color="auto"/>
            </w:tcBorders>
            <w:shd w:val="clear" w:color="auto" w:fill="auto"/>
            <w:noWrap/>
            <w:vAlign w:val="center"/>
          </w:tcPr>
          <w:p w14:paraId="6408B03B" w14:textId="1D0A43FE"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5/2</w:t>
            </w:r>
          </w:p>
        </w:tc>
        <w:tc>
          <w:tcPr>
            <w:tcW w:w="567" w:type="dxa"/>
            <w:tcBorders>
              <w:top w:val="nil"/>
              <w:left w:val="nil"/>
              <w:bottom w:val="single" w:sz="4" w:space="0" w:color="auto"/>
              <w:right w:val="single" w:sz="4" w:space="0" w:color="auto"/>
            </w:tcBorders>
            <w:shd w:val="clear" w:color="auto" w:fill="EEECE1" w:themeFill="background2"/>
            <w:noWrap/>
            <w:vAlign w:val="center"/>
          </w:tcPr>
          <w:p w14:paraId="3C5DA59E" w14:textId="17A5CDED" w:rsidR="00E25689" w:rsidRPr="00833E12" w:rsidRDefault="00E25689" w:rsidP="00E25689">
            <w:pPr>
              <w:jc w:val="center"/>
              <w:rPr>
                <w:rFonts w:asciiTheme="majorHAnsi" w:hAnsiTheme="majorHAnsi" w:cstheme="majorHAnsi"/>
                <w:b/>
                <w:bCs/>
                <w:sz w:val="20"/>
                <w:szCs w:val="20"/>
              </w:rPr>
            </w:pPr>
            <w:r w:rsidRPr="00833E12">
              <w:rPr>
                <w:rFonts w:cs="Calibri"/>
                <w:b/>
                <w:bCs/>
                <w:sz w:val="20"/>
                <w:szCs w:val="22"/>
              </w:rPr>
              <w:t>7</w:t>
            </w:r>
          </w:p>
        </w:tc>
        <w:tc>
          <w:tcPr>
            <w:tcW w:w="701" w:type="dxa"/>
            <w:tcBorders>
              <w:top w:val="nil"/>
              <w:left w:val="nil"/>
              <w:bottom w:val="single" w:sz="4" w:space="0" w:color="auto"/>
              <w:right w:val="single" w:sz="8" w:space="0" w:color="auto"/>
            </w:tcBorders>
            <w:shd w:val="clear" w:color="auto" w:fill="auto"/>
            <w:noWrap/>
            <w:vAlign w:val="center"/>
          </w:tcPr>
          <w:p w14:paraId="6FA78499" w14:textId="3FD0BD18"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1/0</w:t>
            </w:r>
          </w:p>
        </w:tc>
        <w:tc>
          <w:tcPr>
            <w:tcW w:w="564" w:type="dxa"/>
            <w:tcBorders>
              <w:top w:val="nil"/>
              <w:left w:val="nil"/>
              <w:bottom w:val="single" w:sz="4" w:space="0" w:color="auto"/>
              <w:right w:val="single" w:sz="12" w:space="0" w:color="auto"/>
            </w:tcBorders>
            <w:shd w:val="clear" w:color="auto" w:fill="auto"/>
            <w:noWrap/>
            <w:vAlign w:val="center"/>
          </w:tcPr>
          <w:p w14:paraId="0896D87F" w14:textId="1A99A212"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8</w:t>
            </w:r>
          </w:p>
        </w:tc>
        <w:tc>
          <w:tcPr>
            <w:tcW w:w="720" w:type="dxa"/>
            <w:tcBorders>
              <w:top w:val="nil"/>
              <w:left w:val="single" w:sz="12" w:space="0" w:color="auto"/>
              <w:bottom w:val="single" w:sz="4" w:space="0" w:color="auto"/>
              <w:right w:val="single" w:sz="4" w:space="0" w:color="auto"/>
            </w:tcBorders>
            <w:shd w:val="clear" w:color="auto" w:fill="auto"/>
            <w:noWrap/>
            <w:vAlign w:val="center"/>
          </w:tcPr>
          <w:p w14:paraId="1DFC3DCE" w14:textId="6966F132"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5/3</w:t>
            </w:r>
          </w:p>
        </w:tc>
        <w:tc>
          <w:tcPr>
            <w:tcW w:w="567" w:type="dxa"/>
            <w:tcBorders>
              <w:top w:val="nil"/>
              <w:left w:val="nil"/>
              <w:bottom w:val="single" w:sz="4" w:space="0" w:color="auto"/>
              <w:right w:val="single" w:sz="4" w:space="0" w:color="auto"/>
            </w:tcBorders>
            <w:shd w:val="clear" w:color="auto" w:fill="EEECE1" w:themeFill="background2"/>
            <w:noWrap/>
            <w:vAlign w:val="center"/>
          </w:tcPr>
          <w:p w14:paraId="70DBCE1E" w14:textId="05B259A1"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8</w:t>
            </w:r>
          </w:p>
        </w:tc>
        <w:tc>
          <w:tcPr>
            <w:tcW w:w="708" w:type="dxa"/>
            <w:tcBorders>
              <w:top w:val="nil"/>
              <w:left w:val="nil"/>
              <w:bottom w:val="single" w:sz="4" w:space="0" w:color="auto"/>
              <w:right w:val="single" w:sz="8" w:space="0" w:color="auto"/>
            </w:tcBorders>
            <w:shd w:val="clear" w:color="auto" w:fill="auto"/>
            <w:noWrap/>
            <w:vAlign w:val="center"/>
          </w:tcPr>
          <w:p w14:paraId="3B7F3D46" w14:textId="79D18BC8"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1/1</w:t>
            </w:r>
          </w:p>
        </w:tc>
        <w:tc>
          <w:tcPr>
            <w:tcW w:w="698" w:type="dxa"/>
            <w:tcBorders>
              <w:top w:val="nil"/>
              <w:left w:val="nil"/>
              <w:bottom w:val="single" w:sz="4" w:space="0" w:color="auto"/>
              <w:right w:val="single" w:sz="4" w:space="0" w:color="auto"/>
            </w:tcBorders>
            <w:shd w:val="clear" w:color="auto" w:fill="EEECE1" w:themeFill="background2"/>
            <w:vAlign w:val="center"/>
          </w:tcPr>
          <w:p w14:paraId="1B5E8152" w14:textId="097D1159" w:rsidR="00E25689" w:rsidRPr="0053555E" w:rsidRDefault="00E25689" w:rsidP="00E25689">
            <w:pPr>
              <w:jc w:val="center"/>
              <w:rPr>
                <w:rFonts w:cs="Calibri"/>
                <w:b/>
                <w:bCs/>
                <w:sz w:val="20"/>
                <w:szCs w:val="22"/>
              </w:rPr>
            </w:pPr>
            <w:r w:rsidRPr="0053555E">
              <w:rPr>
                <w:rFonts w:cs="Calibri"/>
                <w:b/>
                <w:bCs/>
                <w:sz w:val="20"/>
                <w:szCs w:val="22"/>
              </w:rPr>
              <w:t>10</w:t>
            </w:r>
          </w:p>
        </w:tc>
        <w:tc>
          <w:tcPr>
            <w:tcW w:w="709" w:type="dxa"/>
            <w:tcBorders>
              <w:top w:val="nil"/>
              <w:left w:val="single" w:sz="12" w:space="0" w:color="auto"/>
              <w:bottom w:val="single" w:sz="4" w:space="0" w:color="auto"/>
              <w:right w:val="double" w:sz="6" w:space="0" w:color="auto"/>
            </w:tcBorders>
            <w:shd w:val="clear" w:color="auto" w:fill="EEECE1" w:themeFill="background2"/>
            <w:noWrap/>
            <w:vAlign w:val="center"/>
          </w:tcPr>
          <w:p w14:paraId="2C0EFE85" w14:textId="4C6CD47D" w:rsidR="00E25689" w:rsidRPr="0053555E" w:rsidRDefault="00E25689" w:rsidP="00E25689">
            <w:pPr>
              <w:jc w:val="center"/>
              <w:rPr>
                <w:rFonts w:asciiTheme="majorHAnsi" w:hAnsiTheme="majorHAnsi" w:cstheme="majorHAnsi"/>
                <w:b/>
                <w:bCs/>
                <w:sz w:val="20"/>
                <w:szCs w:val="20"/>
              </w:rPr>
            </w:pPr>
            <w:r w:rsidRPr="0053555E">
              <w:rPr>
                <w:rFonts w:cs="Calibri"/>
                <w:b/>
                <w:bCs/>
                <w:sz w:val="22"/>
                <w:szCs w:val="22"/>
              </w:rPr>
              <w:t>1</w:t>
            </w:r>
          </w:p>
        </w:tc>
      </w:tr>
      <w:tr w:rsidR="00E25689" w:rsidRPr="0053555E" w14:paraId="26492C83" w14:textId="77777777" w:rsidTr="0087574E">
        <w:trPr>
          <w:trHeight w:val="315"/>
        </w:trPr>
        <w:tc>
          <w:tcPr>
            <w:tcW w:w="683" w:type="dxa"/>
            <w:tcBorders>
              <w:top w:val="nil"/>
              <w:left w:val="double" w:sz="6" w:space="0" w:color="auto"/>
              <w:bottom w:val="double" w:sz="6" w:space="0" w:color="auto"/>
              <w:right w:val="double" w:sz="6" w:space="0" w:color="auto"/>
            </w:tcBorders>
            <w:shd w:val="clear" w:color="auto" w:fill="auto"/>
            <w:noWrap/>
            <w:vAlign w:val="center"/>
            <w:hideMark/>
          </w:tcPr>
          <w:p w14:paraId="7E029131" w14:textId="77777777" w:rsidR="00E25689" w:rsidRPr="0053555E" w:rsidRDefault="00E25689" w:rsidP="00E25689">
            <w:pPr>
              <w:tabs>
                <w:tab w:val="left" w:pos="9356"/>
              </w:tabs>
              <w:ind w:left="-14"/>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ÚM</w:t>
            </w:r>
          </w:p>
        </w:tc>
        <w:tc>
          <w:tcPr>
            <w:tcW w:w="712" w:type="dxa"/>
            <w:tcBorders>
              <w:top w:val="nil"/>
              <w:left w:val="nil"/>
              <w:bottom w:val="double" w:sz="6" w:space="0" w:color="auto"/>
              <w:right w:val="single" w:sz="4" w:space="0" w:color="auto"/>
            </w:tcBorders>
            <w:shd w:val="clear" w:color="auto" w:fill="auto"/>
            <w:noWrap/>
            <w:vAlign w:val="center"/>
            <w:hideMark/>
          </w:tcPr>
          <w:p w14:paraId="43890993"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1/1</w:t>
            </w:r>
          </w:p>
        </w:tc>
        <w:tc>
          <w:tcPr>
            <w:tcW w:w="425" w:type="dxa"/>
            <w:tcBorders>
              <w:top w:val="nil"/>
              <w:left w:val="nil"/>
              <w:bottom w:val="double" w:sz="6" w:space="0" w:color="auto"/>
              <w:right w:val="single" w:sz="4" w:space="0" w:color="auto"/>
            </w:tcBorders>
            <w:shd w:val="clear" w:color="auto" w:fill="EEECE1" w:themeFill="background2"/>
            <w:noWrap/>
            <w:vAlign w:val="center"/>
            <w:hideMark/>
          </w:tcPr>
          <w:p w14:paraId="7B412125" w14:textId="3E06D7DF" w:rsidR="00E25689" w:rsidRPr="0053555E" w:rsidRDefault="00E25689" w:rsidP="00E25689">
            <w:pPr>
              <w:jc w:val="center"/>
              <w:rPr>
                <w:rFonts w:asciiTheme="majorHAnsi" w:hAnsiTheme="majorHAnsi" w:cstheme="majorHAnsi"/>
                <w:bCs/>
                <w:sz w:val="20"/>
                <w:szCs w:val="20"/>
              </w:rPr>
            </w:pPr>
            <w:r w:rsidRPr="0053555E">
              <w:rPr>
                <w:rFonts w:cs="Arial"/>
                <w:sz w:val="20"/>
                <w:szCs w:val="20"/>
              </w:rPr>
              <w:t>2</w:t>
            </w:r>
          </w:p>
        </w:tc>
        <w:tc>
          <w:tcPr>
            <w:tcW w:w="567" w:type="dxa"/>
            <w:tcBorders>
              <w:top w:val="nil"/>
              <w:left w:val="nil"/>
              <w:bottom w:val="double" w:sz="6" w:space="0" w:color="auto"/>
              <w:right w:val="single" w:sz="8" w:space="0" w:color="auto"/>
            </w:tcBorders>
            <w:shd w:val="clear" w:color="auto" w:fill="auto"/>
            <w:noWrap/>
            <w:vAlign w:val="center"/>
            <w:hideMark/>
          </w:tcPr>
          <w:p w14:paraId="0CA172FE"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1/1</w:t>
            </w:r>
          </w:p>
        </w:tc>
        <w:tc>
          <w:tcPr>
            <w:tcW w:w="420" w:type="dxa"/>
            <w:tcBorders>
              <w:top w:val="nil"/>
              <w:left w:val="nil"/>
              <w:bottom w:val="single" w:sz="4" w:space="0" w:color="auto"/>
              <w:right w:val="single" w:sz="12" w:space="0" w:color="auto"/>
            </w:tcBorders>
            <w:shd w:val="clear" w:color="auto" w:fill="auto"/>
            <w:noWrap/>
            <w:vAlign w:val="center"/>
            <w:hideMark/>
          </w:tcPr>
          <w:p w14:paraId="28C53924" w14:textId="507D5A96"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0"/>
              </w:rPr>
              <w:t>4</w:t>
            </w:r>
          </w:p>
        </w:tc>
        <w:tc>
          <w:tcPr>
            <w:tcW w:w="572" w:type="dxa"/>
            <w:tcBorders>
              <w:top w:val="nil"/>
              <w:left w:val="single" w:sz="12" w:space="0" w:color="auto"/>
              <w:bottom w:val="nil"/>
              <w:right w:val="single" w:sz="4" w:space="0" w:color="auto"/>
            </w:tcBorders>
            <w:shd w:val="clear" w:color="auto" w:fill="auto"/>
            <w:noWrap/>
            <w:vAlign w:val="center"/>
            <w:hideMark/>
          </w:tcPr>
          <w:p w14:paraId="312DDCC4"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1/1</w:t>
            </w:r>
          </w:p>
        </w:tc>
        <w:tc>
          <w:tcPr>
            <w:tcW w:w="426" w:type="dxa"/>
            <w:tcBorders>
              <w:top w:val="nil"/>
              <w:left w:val="nil"/>
              <w:bottom w:val="nil"/>
              <w:right w:val="single" w:sz="4" w:space="0" w:color="auto"/>
            </w:tcBorders>
            <w:shd w:val="clear" w:color="auto" w:fill="EEECE1" w:themeFill="background2"/>
            <w:noWrap/>
            <w:vAlign w:val="center"/>
            <w:hideMark/>
          </w:tcPr>
          <w:p w14:paraId="477B1801" w14:textId="02EC5BCA" w:rsidR="00E25689" w:rsidRPr="0053555E" w:rsidRDefault="00E25689" w:rsidP="00E25689">
            <w:pPr>
              <w:jc w:val="center"/>
              <w:rPr>
                <w:rFonts w:asciiTheme="majorHAnsi" w:hAnsiTheme="majorHAnsi" w:cstheme="majorHAnsi"/>
                <w:bCs/>
                <w:sz w:val="20"/>
                <w:szCs w:val="20"/>
              </w:rPr>
            </w:pPr>
            <w:r w:rsidRPr="0053555E">
              <w:rPr>
                <w:rFonts w:cs="Calibri"/>
                <w:sz w:val="20"/>
                <w:szCs w:val="20"/>
              </w:rPr>
              <w:t>2</w:t>
            </w:r>
          </w:p>
        </w:tc>
        <w:tc>
          <w:tcPr>
            <w:tcW w:w="567" w:type="dxa"/>
            <w:tcBorders>
              <w:top w:val="nil"/>
              <w:left w:val="nil"/>
              <w:bottom w:val="double" w:sz="6" w:space="0" w:color="auto"/>
              <w:right w:val="single" w:sz="8" w:space="0" w:color="auto"/>
            </w:tcBorders>
            <w:shd w:val="clear" w:color="auto" w:fill="auto"/>
            <w:noWrap/>
            <w:vAlign w:val="center"/>
            <w:hideMark/>
          </w:tcPr>
          <w:p w14:paraId="5854BF2B"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1/1</w:t>
            </w:r>
          </w:p>
        </w:tc>
        <w:tc>
          <w:tcPr>
            <w:tcW w:w="425" w:type="dxa"/>
            <w:tcBorders>
              <w:top w:val="nil"/>
              <w:left w:val="nil"/>
              <w:bottom w:val="single" w:sz="4" w:space="0" w:color="auto"/>
              <w:right w:val="single" w:sz="12" w:space="0" w:color="auto"/>
            </w:tcBorders>
            <w:shd w:val="clear" w:color="auto" w:fill="auto"/>
            <w:noWrap/>
            <w:vAlign w:val="center"/>
            <w:hideMark/>
          </w:tcPr>
          <w:p w14:paraId="4636C889" w14:textId="1FF246AC" w:rsidR="00E25689" w:rsidRPr="0053555E" w:rsidRDefault="00E25689" w:rsidP="00E25689">
            <w:pPr>
              <w:jc w:val="center"/>
              <w:rPr>
                <w:rFonts w:asciiTheme="majorHAnsi" w:hAnsiTheme="majorHAnsi" w:cstheme="majorHAnsi"/>
                <w:bCs/>
                <w:sz w:val="20"/>
                <w:szCs w:val="20"/>
              </w:rPr>
            </w:pPr>
            <w:r w:rsidRPr="0053555E">
              <w:rPr>
                <w:rFonts w:cs="Calibri"/>
                <w:b/>
                <w:bCs/>
                <w:sz w:val="20"/>
                <w:szCs w:val="22"/>
              </w:rPr>
              <w:t>4</w:t>
            </w:r>
          </w:p>
        </w:tc>
        <w:tc>
          <w:tcPr>
            <w:tcW w:w="709" w:type="dxa"/>
            <w:tcBorders>
              <w:top w:val="nil"/>
              <w:left w:val="single" w:sz="12" w:space="0" w:color="auto"/>
              <w:bottom w:val="nil"/>
              <w:right w:val="single" w:sz="4" w:space="0" w:color="auto"/>
            </w:tcBorders>
            <w:shd w:val="clear" w:color="auto" w:fill="auto"/>
            <w:noWrap/>
            <w:vAlign w:val="center"/>
            <w:hideMark/>
          </w:tcPr>
          <w:p w14:paraId="3EB80989"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1/1</w:t>
            </w:r>
          </w:p>
        </w:tc>
        <w:tc>
          <w:tcPr>
            <w:tcW w:w="425" w:type="dxa"/>
            <w:tcBorders>
              <w:top w:val="nil"/>
              <w:left w:val="nil"/>
              <w:bottom w:val="nil"/>
              <w:right w:val="single" w:sz="4" w:space="0" w:color="auto"/>
            </w:tcBorders>
            <w:shd w:val="clear" w:color="auto" w:fill="EEECE1" w:themeFill="background2"/>
            <w:noWrap/>
            <w:vAlign w:val="center"/>
            <w:hideMark/>
          </w:tcPr>
          <w:p w14:paraId="35529779" w14:textId="22892BA4"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2</w:t>
            </w:r>
          </w:p>
        </w:tc>
        <w:tc>
          <w:tcPr>
            <w:tcW w:w="699" w:type="dxa"/>
            <w:tcBorders>
              <w:top w:val="nil"/>
              <w:left w:val="nil"/>
              <w:bottom w:val="double" w:sz="6" w:space="0" w:color="auto"/>
              <w:right w:val="single" w:sz="8" w:space="0" w:color="auto"/>
            </w:tcBorders>
            <w:shd w:val="clear" w:color="auto" w:fill="auto"/>
            <w:noWrap/>
            <w:vAlign w:val="center"/>
            <w:hideMark/>
          </w:tcPr>
          <w:p w14:paraId="3C89DA78"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1/1</w:t>
            </w:r>
          </w:p>
        </w:tc>
        <w:tc>
          <w:tcPr>
            <w:tcW w:w="425" w:type="dxa"/>
            <w:tcBorders>
              <w:top w:val="nil"/>
              <w:left w:val="nil"/>
              <w:bottom w:val="single" w:sz="4" w:space="0" w:color="auto"/>
              <w:right w:val="single" w:sz="12" w:space="0" w:color="auto"/>
            </w:tcBorders>
            <w:shd w:val="clear" w:color="auto" w:fill="auto"/>
            <w:noWrap/>
            <w:vAlign w:val="center"/>
            <w:hideMark/>
          </w:tcPr>
          <w:p w14:paraId="0F8EFB73" w14:textId="52B36E3C"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4</w:t>
            </w:r>
          </w:p>
        </w:tc>
        <w:tc>
          <w:tcPr>
            <w:tcW w:w="719" w:type="dxa"/>
            <w:tcBorders>
              <w:top w:val="nil"/>
              <w:left w:val="single" w:sz="12" w:space="0" w:color="auto"/>
              <w:bottom w:val="nil"/>
              <w:right w:val="single" w:sz="4" w:space="0" w:color="auto"/>
            </w:tcBorders>
            <w:shd w:val="clear" w:color="auto" w:fill="auto"/>
            <w:noWrap/>
            <w:vAlign w:val="center"/>
          </w:tcPr>
          <w:p w14:paraId="7B5113AF" w14:textId="66FCD729"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1/1</w:t>
            </w:r>
          </w:p>
        </w:tc>
        <w:tc>
          <w:tcPr>
            <w:tcW w:w="425" w:type="dxa"/>
            <w:tcBorders>
              <w:top w:val="nil"/>
              <w:left w:val="nil"/>
              <w:bottom w:val="nil"/>
              <w:right w:val="single" w:sz="4" w:space="0" w:color="auto"/>
            </w:tcBorders>
            <w:shd w:val="clear" w:color="auto" w:fill="EEECE1" w:themeFill="background2"/>
            <w:noWrap/>
            <w:vAlign w:val="center"/>
          </w:tcPr>
          <w:p w14:paraId="706D2784" w14:textId="1974ED21" w:rsidR="00E25689" w:rsidRPr="0053555E" w:rsidRDefault="00E25689" w:rsidP="00E25689">
            <w:pPr>
              <w:jc w:val="center"/>
              <w:rPr>
                <w:rFonts w:asciiTheme="majorHAnsi" w:hAnsiTheme="majorHAnsi" w:cstheme="majorHAnsi"/>
                <w:bCs/>
                <w:sz w:val="20"/>
                <w:szCs w:val="20"/>
              </w:rPr>
            </w:pPr>
            <w:r w:rsidRPr="0053555E">
              <w:rPr>
                <w:rFonts w:cs="Calibri"/>
                <w:sz w:val="20"/>
                <w:szCs w:val="22"/>
              </w:rPr>
              <w:t>2</w:t>
            </w:r>
          </w:p>
        </w:tc>
        <w:tc>
          <w:tcPr>
            <w:tcW w:w="567" w:type="dxa"/>
            <w:tcBorders>
              <w:top w:val="nil"/>
              <w:left w:val="nil"/>
              <w:bottom w:val="double" w:sz="6" w:space="0" w:color="auto"/>
              <w:right w:val="single" w:sz="8" w:space="0" w:color="auto"/>
            </w:tcBorders>
            <w:shd w:val="clear" w:color="auto" w:fill="auto"/>
            <w:noWrap/>
            <w:vAlign w:val="center"/>
          </w:tcPr>
          <w:p w14:paraId="2691F867" w14:textId="203B5EAD"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1/1</w:t>
            </w:r>
          </w:p>
        </w:tc>
        <w:tc>
          <w:tcPr>
            <w:tcW w:w="425" w:type="dxa"/>
            <w:tcBorders>
              <w:top w:val="nil"/>
              <w:left w:val="single" w:sz="4" w:space="0" w:color="auto"/>
              <w:bottom w:val="single" w:sz="4" w:space="0" w:color="auto"/>
              <w:right w:val="single" w:sz="12" w:space="0" w:color="auto"/>
            </w:tcBorders>
            <w:shd w:val="clear" w:color="auto" w:fill="auto"/>
            <w:noWrap/>
            <w:vAlign w:val="center"/>
          </w:tcPr>
          <w:p w14:paraId="48F34E3A" w14:textId="2B76F367"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4</w:t>
            </w:r>
          </w:p>
        </w:tc>
        <w:tc>
          <w:tcPr>
            <w:tcW w:w="720" w:type="dxa"/>
            <w:tcBorders>
              <w:top w:val="nil"/>
              <w:left w:val="single" w:sz="12" w:space="0" w:color="auto"/>
              <w:bottom w:val="nil"/>
              <w:right w:val="single" w:sz="4" w:space="0" w:color="auto"/>
            </w:tcBorders>
            <w:shd w:val="clear" w:color="auto" w:fill="auto"/>
            <w:noWrap/>
            <w:vAlign w:val="center"/>
          </w:tcPr>
          <w:p w14:paraId="390CD37F"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3/3</w:t>
            </w:r>
          </w:p>
        </w:tc>
        <w:tc>
          <w:tcPr>
            <w:tcW w:w="567" w:type="dxa"/>
            <w:tcBorders>
              <w:top w:val="nil"/>
              <w:left w:val="nil"/>
              <w:bottom w:val="nil"/>
              <w:right w:val="single" w:sz="4" w:space="0" w:color="auto"/>
            </w:tcBorders>
            <w:shd w:val="clear" w:color="auto" w:fill="EEECE1" w:themeFill="background2"/>
            <w:noWrap/>
            <w:vAlign w:val="center"/>
          </w:tcPr>
          <w:p w14:paraId="3C1A9377" w14:textId="11BF18E9" w:rsidR="00E25689" w:rsidRPr="00833E12" w:rsidRDefault="00E25689" w:rsidP="00E25689">
            <w:pPr>
              <w:jc w:val="center"/>
              <w:rPr>
                <w:rFonts w:asciiTheme="majorHAnsi" w:hAnsiTheme="majorHAnsi" w:cstheme="majorHAnsi"/>
                <w:b/>
                <w:bCs/>
                <w:sz w:val="20"/>
                <w:szCs w:val="20"/>
              </w:rPr>
            </w:pPr>
            <w:r w:rsidRPr="00833E12">
              <w:rPr>
                <w:rFonts w:cs="Calibri"/>
                <w:b/>
                <w:bCs/>
                <w:sz w:val="20"/>
                <w:szCs w:val="22"/>
              </w:rPr>
              <w:t>6</w:t>
            </w:r>
          </w:p>
        </w:tc>
        <w:tc>
          <w:tcPr>
            <w:tcW w:w="701" w:type="dxa"/>
            <w:tcBorders>
              <w:top w:val="nil"/>
              <w:left w:val="nil"/>
              <w:bottom w:val="nil"/>
              <w:right w:val="single" w:sz="8" w:space="0" w:color="auto"/>
            </w:tcBorders>
            <w:shd w:val="clear" w:color="auto" w:fill="auto"/>
            <w:noWrap/>
            <w:vAlign w:val="center"/>
          </w:tcPr>
          <w:p w14:paraId="62981E62" w14:textId="77777777"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bCs/>
                <w:sz w:val="20"/>
                <w:szCs w:val="20"/>
              </w:rPr>
              <w:t>3/3</w:t>
            </w:r>
          </w:p>
        </w:tc>
        <w:tc>
          <w:tcPr>
            <w:tcW w:w="564" w:type="dxa"/>
            <w:tcBorders>
              <w:top w:val="nil"/>
              <w:left w:val="nil"/>
              <w:bottom w:val="single" w:sz="4" w:space="0" w:color="auto"/>
              <w:right w:val="single" w:sz="12" w:space="0" w:color="auto"/>
            </w:tcBorders>
            <w:shd w:val="clear" w:color="auto" w:fill="auto"/>
            <w:noWrap/>
            <w:vAlign w:val="center"/>
          </w:tcPr>
          <w:p w14:paraId="00D293DC" w14:textId="696D83CF"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12</w:t>
            </w:r>
          </w:p>
        </w:tc>
        <w:tc>
          <w:tcPr>
            <w:tcW w:w="720" w:type="dxa"/>
            <w:tcBorders>
              <w:top w:val="nil"/>
              <w:left w:val="single" w:sz="12" w:space="0" w:color="auto"/>
              <w:bottom w:val="nil"/>
              <w:right w:val="single" w:sz="4" w:space="0" w:color="auto"/>
            </w:tcBorders>
            <w:shd w:val="clear" w:color="auto" w:fill="auto"/>
            <w:noWrap/>
            <w:vAlign w:val="center"/>
          </w:tcPr>
          <w:p w14:paraId="297F14DF" w14:textId="66F8FB12"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4/4</w:t>
            </w:r>
          </w:p>
        </w:tc>
        <w:tc>
          <w:tcPr>
            <w:tcW w:w="567" w:type="dxa"/>
            <w:tcBorders>
              <w:top w:val="nil"/>
              <w:left w:val="nil"/>
              <w:bottom w:val="nil"/>
              <w:right w:val="single" w:sz="4" w:space="0" w:color="auto"/>
            </w:tcBorders>
            <w:shd w:val="clear" w:color="auto" w:fill="EEECE1" w:themeFill="background2"/>
            <w:noWrap/>
            <w:vAlign w:val="center"/>
          </w:tcPr>
          <w:p w14:paraId="0B508077" w14:textId="7AE93A2A"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8</w:t>
            </w:r>
          </w:p>
        </w:tc>
        <w:tc>
          <w:tcPr>
            <w:tcW w:w="708" w:type="dxa"/>
            <w:tcBorders>
              <w:top w:val="nil"/>
              <w:left w:val="nil"/>
              <w:bottom w:val="double" w:sz="6" w:space="0" w:color="auto"/>
              <w:right w:val="single" w:sz="8" w:space="0" w:color="auto"/>
            </w:tcBorders>
            <w:shd w:val="clear" w:color="auto" w:fill="auto"/>
            <w:noWrap/>
            <w:vAlign w:val="center"/>
          </w:tcPr>
          <w:p w14:paraId="2A5CFEDB" w14:textId="158B47F1" w:rsidR="00E25689" w:rsidRPr="0053555E" w:rsidRDefault="00E25689" w:rsidP="00E25689">
            <w:pPr>
              <w:jc w:val="center"/>
              <w:rPr>
                <w:rFonts w:asciiTheme="majorHAnsi" w:hAnsiTheme="majorHAnsi" w:cstheme="majorHAnsi"/>
                <w:bCs/>
                <w:sz w:val="20"/>
                <w:szCs w:val="20"/>
              </w:rPr>
            </w:pPr>
            <w:r w:rsidRPr="0053555E">
              <w:rPr>
                <w:rFonts w:asciiTheme="majorHAnsi" w:hAnsiTheme="majorHAnsi" w:cstheme="majorHAnsi"/>
                <w:sz w:val="20"/>
                <w:szCs w:val="20"/>
              </w:rPr>
              <w:t>4/4</w:t>
            </w:r>
          </w:p>
        </w:tc>
        <w:tc>
          <w:tcPr>
            <w:tcW w:w="698" w:type="dxa"/>
            <w:tcBorders>
              <w:top w:val="nil"/>
              <w:left w:val="nil"/>
              <w:bottom w:val="single" w:sz="4" w:space="0" w:color="auto"/>
              <w:right w:val="single" w:sz="4" w:space="0" w:color="auto"/>
            </w:tcBorders>
            <w:shd w:val="clear" w:color="auto" w:fill="EEECE1" w:themeFill="background2"/>
            <w:vAlign w:val="center"/>
          </w:tcPr>
          <w:p w14:paraId="4CA9DA6F" w14:textId="46B9ABC3" w:rsidR="00E25689" w:rsidRPr="0053555E" w:rsidRDefault="00E25689" w:rsidP="00E25689">
            <w:pPr>
              <w:jc w:val="center"/>
              <w:rPr>
                <w:rFonts w:cs="Calibri"/>
                <w:b/>
                <w:bCs/>
                <w:sz w:val="20"/>
                <w:szCs w:val="22"/>
              </w:rPr>
            </w:pPr>
            <w:r w:rsidRPr="0053555E">
              <w:rPr>
                <w:rFonts w:cs="Calibri"/>
                <w:b/>
                <w:bCs/>
                <w:sz w:val="20"/>
                <w:szCs w:val="22"/>
              </w:rPr>
              <w:t>16</w:t>
            </w:r>
          </w:p>
        </w:tc>
        <w:tc>
          <w:tcPr>
            <w:tcW w:w="709" w:type="dxa"/>
            <w:tcBorders>
              <w:top w:val="nil"/>
              <w:left w:val="single" w:sz="12" w:space="0" w:color="auto"/>
              <w:bottom w:val="nil"/>
              <w:right w:val="double" w:sz="6" w:space="0" w:color="auto"/>
            </w:tcBorders>
            <w:shd w:val="clear" w:color="auto" w:fill="EEECE1" w:themeFill="background2"/>
            <w:noWrap/>
            <w:vAlign w:val="center"/>
          </w:tcPr>
          <w:p w14:paraId="10479C70" w14:textId="2D19AD1C" w:rsidR="00E25689" w:rsidRPr="0053555E" w:rsidRDefault="00E25689" w:rsidP="00E25689">
            <w:pPr>
              <w:jc w:val="center"/>
              <w:rPr>
                <w:rFonts w:asciiTheme="majorHAnsi" w:hAnsiTheme="majorHAnsi" w:cstheme="majorHAnsi"/>
                <w:b/>
                <w:bCs/>
                <w:sz w:val="20"/>
                <w:szCs w:val="20"/>
              </w:rPr>
            </w:pPr>
            <w:r w:rsidRPr="0053555E">
              <w:rPr>
                <w:rFonts w:cs="Calibri"/>
                <w:b/>
                <w:bCs/>
                <w:sz w:val="22"/>
                <w:szCs w:val="22"/>
              </w:rPr>
              <w:t>2</w:t>
            </w:r>
          </w:p>
        </w:tc>
      </w:tr>
      <w:tr w:rsidR="00E25689" w:rsidRPr="0053555E" w14:paraId="59E49C47" w14:textId="77777777" w:rsidTr="009166EA">
        <w:trPr>
          <w:trHeight w:val="330"/>
        </w:trPr>
        <w:tc>
          <w:tcPr>
            <w:tcW w:w="683" w:type="dxa"/>
            <w:tcBorders>
              <w:top w:val="nil"/>
              <w:left w:val="double" w:sz="6" w:space="0" w:color="auto"/>
              <w:bottom w:val="double" w:sz="6" w:space="0" w:color="auto"/>
              <w:right w:val="double" w:sz="6" w:space="0" w:color="auto"/>
            </w:tcBorders>
            <w:shd w:val="clear" w:color="auto" w:fill="EEECE1" w:themeFill="background2"/>
            <w:noWrap/>
            <w:vAlign w:val="center"/>
            <w:hideMark/>
          </w:tcPr>
          <w:p w14:paraId="603D5D6D" w14:textId="77777777" w:rsidR="00E25689" w:rsidRPr="0053555E" w:rsidRDefault="00E25689" w:rsidP="00E25689">
            <w:pPr>
              <w:tabs>
                <w:tab w:val="left" w:pos="9356"/>
              </w:tabs>
              <w:ind w:left="-14"/>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STU</w:t>
            </w:r>
          </w:p>
        </w:tc>
        <w:tc>
          <w:tcPr>
            <w:tcW w:w="712" w:type="dxa"/>
            <w:tcBorders>
              <w:top w:val="nil"/>
              <w:left w:val="nil"/>
              <w:bottom w:val="double" w:sz="6" w:space="0" w:color="auto"/>
              <w:right w:val="single" w:sz="4" w:space="0" w:color="auto"/>
            </w:tcBorders>
            <w:shd w:val="clear" w:color="auto" w:fill="EEECE1" w:themeFill="background2"/>
            <w:noWrap/>
            <w:vAlign w:val="center"/>
            <w:hideMark/>
          </w:tcPr>
          <w:p w14:paraId="2D361583" w14:textId="5A749D35" w:rsidR="00E25689" w:rsidRPr="0053555E" w:rsidRDefault="00E25689" w:rsidP="00E25689">
            <w:pPr>
              <w:jc w:val="center"/>
              <w:rPr>
                <w:rFonts w:asciiTheme="majorHAnsi" w:hAnsiTheme="majorHAnsi" w:cstheme="majorHAnsi"/>
                <w:b/>
                <w:bCs/>
                <w:sz w:val="20"/>
                <w:szCs w:val="20"/>
              </w:rPr>
            </w:pPr>
            <w:r w:rsidRPr="0053555E">
              <w:rPr>
                <w:rFonts w:asciiTheme="majorHAnsi" w:hAnsiTheme="majorHAnsi" w:cstheme="majorHAnsi"/>
                <w:b/>
                <w:sz w:val="20"/>
                <w:szCs w:val="20"/>
              </w:rPr>
              <w:t>29/23</w:t>
            </w:r>
          </w:p>
        </w:tc>
        <w:tc>
          <w:tcPr>
            <w:tcW w:w="425" w:type="dxa"/>
            <w:tcBorders>
              <w:top w:val="nil"/>
              <w:left w:val="nil"/>
              <w:bottom w:val="double" w:sz="6" w:space="0" w:color="auto"/>
              <w:right w:val="single" w:sz="4" w:space="0" w:color="auto"/>
            </w:tcBorders>
            <w:shd w:val="clear" w:color="auto" w:fill="EEECE1" w:themeFill="background2"/>
            <w:noWrap/>
            <w:vAlign w:val="center"/>
            <w:hideMark/>
          </w:tcPr>
          <w:p w14:paraId="0EE4002F" w14:textId="7FF1F999" w:rsidR="00E25689" w:rsidRPr="0053555E" w:rsidRDefault="00E25689" w:rsidP="00E25689">
            <w:pPr>
              <w:jc w:val="center"/>
              <w:rPr>
                <w:rFonts w:asciiTheme="majorHAnsi" w:hAnsiTheme="majorHAnsi" w:cstheme="majorHAnsi"/>
                <w:b/>
                <w:bCs/>
                <w:sz w:val="20"/>
                <w:szCs w:val="20"/>
              </w:rPr>
            </w:pPr>
            <w:r w:rsidRPr="0053555E">
              <w:rPr>
                <w:rFonts w:cs="Arial"/>
                <w:b/>
                <w:bCs/>
                <w:sz w:val="20"/>
                <w:szCs w:val="20"/>
              </w:rPr>
              <w:t>52</w:t>
            </w:r>
          </w:p>
        </w:tc>
        <w:tc>
          <w:tcPr>
            <w:tcW w:w="567" w:type="dxa"/>
            <w:tcBorders>
              <w:top w:val="nil"/>
              <w:left w:val="nil"/>
              <w:bottom w:val="double" w:sz="6" w:space="0" w:color="auto"/>
              <w:right w:val="single" w:sz="8" w:space="0" w:color="auto"/>
            </w:tcBorders>
            <w:shd w:val="clear" w:color="auto" w:fill="EEECE1" w:themeFill="background2"/>
            <w:noWrap/>
            <w:vAlign w:val="center"/>
            <w:hideMark/>
          </w:tcPr>
          <w:p w14:paraId="5BE7CA63" w14:textId="1618D4A6" w:rsidR="00E25689" w:rsidRPr="0053555E" w:rsidRDefault="00E25689" w:rsidP="00E25689">
            <w:pPr>
              <w:ind w:right="-70" w:hanging="76"/>
              <w:jc w:val="center"/>
              <w:rPr>
                <w:rFonts w:asciiTheme="majorHAnsi" w:hAnsiTheme="majorHAnsi" w:cstheme="majorHAnsi"/>
                <w:b/>
                <w:bCs/>
                <w:sz w:val="20"/>
                <w:szCs w:val="20"/>
              </w:rPr>
            </w:pPr>
            <w:r w:rsidRPr="0053555E">
              <w:rPr>
                <w:rFonts w:asciiTheme="majorHAnsi" w:hAnsiTheme="majorHAnsi" w:cstheme="majorHAnsi"/>
                <w:b/>
                <w:bCs/>
                <w:sz w:val="20"/>
                <w:szCs w:val="20"/>
              </w:rPr>
              <w:t>7/12</w:t>
            </w:r>
          </w:p>
        </w:tc>
        <w:tc>
          <w:tcPr>
            <w:tcW w:w="420" w:type="dxa"/>
            <w:tcBorders>
              <w:top w:val="double" w:sz="6" w:space="0" w:color="auto"/>
              <w:left w:val="nil"/>
              <w:bottom w:val="double" w:sz="6" w:space="0" w:color="auto"/>
              <w:right w:val="single" w:sz="12" w:space="0" w:color="auto"/>
            </w:tcBorders>
            <w:shd w:val="clear" w:color="auto" w:fill="EEECE1" w:themeFill="background2"/>
            <w:noWrap/>
            <w:vAlign w:val="center"/>
            <w:hideMark/>
          </w:tcPr>
          <w:p w14:paraId="664C2476" w14:textId="3BD09A84" w:rsidR="00E25689" w:rsidRPr="0053555E" w:rsidRDefault="00E25689" w:rsidP="00E25689">
            <w:pPr>
              <w:jc w:val="center"/>
              <w:rPr>
                <w:rFonts w:asciiTheme="majorHAnsi" w:hAnsiTheme="majorHAnsi" w:cstheme="majorHAnsi"/>
                <w:b/>
                <w:bCs/>
                <w:sz w:val="20"/>
                <w:szCs w:val="20"/>
              </w:rPr>
            </w:pPr>
            <w:r w:rsidRPr="0053555E">
              <w:rPr>
                <w:rFonts w:asciiTheme="majorHAnsi" w:hAnsiTheme="majorHAnsi" w:cstheme="majorHAnsi"/>
                <w:b/>
                <w:sz w:val="20"/>
                <w:szCs w:val="20"/>
              </w:rPr>
              <w:t>71</w:t>
            </w:r>
          </w:p>
        </w:tc>
        <w:tc>
          <w:tcPr>
            <w:tcW w:w="572" w:type="dxa"/>
            <w:tcBorders>
              <w:top w:val="double" w:sz="6" w:space="0" w:color="auto"/>
              <w:left w:val="single" w:sz="12" w:space="0" w:color="auto"/>
              <w:bottom w:val="double" w:sz="6" w:space="0" w:color="auto"/>
              <w:right w:val="single" w:sz="4" w:space="0" w:color="auto"/>
            </w:tcBorders>
            <w:shd w:val="clear" w:color="auto" w:fill="EEECE1" w:themeFill="background2"/>
            <w:noWrap/>
            <w:vAlign w:val="center"/>
            <w:hideMark/>
          </w:tcPr>
          <w:p w14:paraId="121F9D4F" w14:textId="63D174CA" w:rsidR="00E25689" w:rsidRPr="0053555E" w:rsidRDefault="00E25689" w:rsidP="00E25689">
            <w:pPr>
              <w:jc w:val="center"/>
              <w:rPr>
                <w:rFonts w:asciiTheme="majorHAnsi" w:hAnsiTheme="majorHAnsi" w:cstheme="majorHAnsi"/>
                <w:b/>
                <w:bCs/>
                <w:sz w:val="20"/>
                <w:szCs w:val="20"/>
              </w:rPr>
            </w:pPr>
            <w:r w:rsidRPr="0053555E">
              <w:rPr>
                <w:rFonts w:asciiTheme="majorHAnsi" w:hAnsiTheme="majorHAnsi" w:cstheme="majorHAnsi"/>
                <w:b/>
                <w:sz w:val="20"/>
                <w:szCs w:val="20"/>
              </w:rPr>
              <w:t>45/7</w:t>
            </w:r>
          </w:p>
        </w:tc>
        <w:tc>
          <w:tcPr>
            <w:tcW w:w="426" w:type="dxa"/>
            <w:tcBorders>
              <w:top w:val="double" w:sz="6" w:space="0" w:color="auto"/>
              <w:left w:val="single" w:sz="4" w:space="0" w:color="auto"/>
              <w:bottom w:val="double" w:sz="6" w:space="0" w:color="auto"/>
              <w:right w:val="nil"/>
            </w:tcBorders>
            <w:shd w:val="clear" w:color="auto" w:fill="EEECE1" w:themeFill="background2"/>
            <w:noWrap/>
            <w:vAlign w:val="center"/>
            <w:hideMark/>
          </w:tcPr>
          <w:p w14:paraId="61E29C64" w14:textId="6626F1E4"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0"/>
              </w:rPr>
              <w:t>52</w:t>
            </w:r>
          </w:p>
        </w:tc>
        <w:tc>
          <w:tcPr>
            <w:tcW w:w="567" w:type="dxa"/>
            <w:tcBorders>
              <w:top w:val="nil"/>
              <w:left w:val="single" w:sz="4" w:space="0" w:color="auto"/>
              <w:bottom w:val="double" w:sz="6" w:space="0" w:color="auto"/>
              <w:right w:val="single" w:sz="8" w:space="0" w:color="auto"/>
            </w:tcBorders>
            <w:shd w:val="clear" w:color="auto" w:fill="EEECE1" w:themeFill="background2"/>
            <w:noWrap/>
            <w:vAlign w:val="center"/>
            <w:hideMark/>
          </w:tcPr>
          <w:p w14:paraId="4D96871D" w14:textId="4723478F" w:rsidR="00E25689" w:rsidRPr="0053555E" w:rsidRDefault="00E25689" w:rsidP="00E25689">
            <w:pPr>
              <w:jc w:val="center"/>
              <w:rPr>
                <w:rFonts w:asciiTheme="majorHAnsi" w:hAnsiTheme="majorHAnsi" w:cstheme="majorHAnsi"/>
                <w:b/>
                <w:bCs/>
                <w:sz w:val="20"/>
                <w:szCs w:val="20"/>
              </w:rPr>
            </w:pPr>
            <w:r w:rsidRPr="0053555E">
              <w:rPr>
                <w:rFonts w:asciiTheme="majorHAnsi" w:hAnsiTheme="majorHAnsi" w:cstheme="majorHAnsi"/>
                <w:b/>
                <w:bCs/>
                <w:sz w:val="20"/>
                <w:szCs w:val="20"/>
              </w:rPr>
              <w:t>16/4</w:t>
            </w:r>
          </w:p>
        </w:tc>
        <w:tc>
          <w:tcPr>
            <w:tcW w:w="425" w:type="dxa"/>
            <w:tcBorders>
              <w:top w:val="double" w:sz="6" w:space="0" w:color="auto"/>
              <w:left w:val="nil"/>
              <w:bottom w:val="double" w:sz="6" w:space="0" w:color="auto"/>
              <w:right w:val="single" w:sz="12" w:space="0" w:color="auto"/>
            </w:tcBorders>
            <w:shd w:val="clear" w:color="auto" w:fill="EEECE1" w:themeFill="background2"/>
            <w:noWrap/>
            <w:vAlign w:val="center"/>
            <w:hideMark/>
          </w:tcPr>
          <w:p w14:paraId="22CA34C2" w14:textId="2FDC8AAF"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0"/>
              </w:rPr>
              <w:t>72</w:t>
            </w:r>
          </w:p>
        </w:tc>
        <w:tc>
          <w:tcPr>
            <w:tcW w:w="709" w:type="dxa"/>
            <w:tcBorders>
              <w:top w:val="double" w:sz="6" w:space="0" w:color="auto"/>
              <w:left w:val="single" w:sz="12" w:space="0" w:color="auto"/>
              <w:bottom w:val="double" w:sz="6" w:space="0" w:color="auto"/>
              <w:right w:val="nil"/>
            </w:tcBorders>
            <w:shd w:val="clear" w:color="auto" w:fill="EEECE1" w:themeFill="background2"/>
            <w:noWrap/>
            <w:vAlign w:val="center"/>
            <w:hideMark/>
          </w:tcPr>
          <w:p w14:paraId="4256CC6B" w14:textId="4BDFF6F0" w:rsidR="00E25689" w:rsidRPr="0053555E" w:rsidRDefault="00E25689" w:rsidP="00E25689">
            <w:pPr>
              <w:jc w:val="center"/>
              <w:rPr>
                <w:rFonts w:asciiTheme="majorHAnsi" w:hAnsiTheme="majorHAnsi" w:cstheme="majorHAnsi"/>
                <w:b/>
                <w:bCs/>
                <w:sz w:val="20"/>
                <w:szCs w:val="20"/>
              </w:rPr>
            </w:pPr>
            <w:r w:rsidRPr="0053555E">
              <w:rPr>
                <w:rFonts w:asciiTheme="majorHAnsi" w:hAnsiTheme="majorHAnsi" w:cstheme="majorHAnsi"/>
                <w:b/>
                <w:sz w:val="20"/>
                <w:szCs w:val="20"/>
              </w:rPr>
              <w:t>34/17</w:t>
            </w:r>
          </w:p>
        </w:tc>
        <w:tc>
          <w:tcPr>
            <w:tcW w:w="425" w:type="dxa"/>
            <w:tcBorders>
              <w:top w:val="double" w:sz="6" w:space="0" w:color="auto"/>
              <w:left w:val="single" w:sz="4" w:space="0" w:color="auto"/>
              <w:bottom w:val="double" w:sz="6" w:space="0" w:color="auto"/>
              <w:right w:val="nil"/>
            </w:tcBorders>
            <w:shd w:val="clear" w:color="auto" w:fill="EEECE1" w:themeFill="background2"/>
            <w:noWrap/>
            <w:vAlign w:val="center"/>
            <w:hideMark/>
          </w:tcPr>
          <w:p w14:paraId="16ED0BD3" w14:textId="7CF0B212"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51</w:t>
            </w:r>
          </w:p>
        </w:tc>
        <w:tc>
          <w:tcPr>
            <w:tcW w:w="699" w:type="dxa"/>
            <w:tcBorders>
              <w:top w:val="nil"/>
              <w:left w:val="single" w:sz="4" w:space="0" w:color="auto"/>
              <w:bottom w:val="double" w:sz="6" w:space="0" w:color="auto"/>
              <w:right w:val="single" w:sz="8" w:space="0" w:color="auto"/>
            </w:tcBorders>
            <w:shd w:val="clear" w:color="auto" w:fill="EEECE1" w:themeFill="background2"/>
            <w:noWrap/>
            <w:vAlign w:val="center"/>
            <w:hideMark/>
          </w:tcPr>
          <w:p w14:paraId="1EEB6729" w14:textId="6CF5F035" w:rsidR="00E25689" w:rsidRPr="0053555E" w:rsidRDefault="00E25689" w:rsidP="00E25689">
            <w:pPr>
              <w:jc w:val="center"/>
              <w:rPr>
                <w:rFonts w:asciiTheme="majorHAnsi" w:hAnsiTheme="majorHAnsi" w:cstheme="majorHAnsi"/>
                <w:b/>
                <w:bCs/>
                <w:sz w:val="20"/>
                <w:szCs w:val="20"/>
              </w:rPr>
            </w:pPr>
            <w:r w:rsidRPr="0053555E">
              <w:rPr>
                <w:rFonts w:asciiTheme="majorHAnsi" w:hAnsiTheme="majorHAnsi" w:cstheme="majorHAnsi"/>
                <w:b/>
                <w:bCs/>
                <w:sz w:val="20"/>
                <w:szCs w:val="20"/>
              </w:rPr>
              <w:t>29/14</w:t>
            </w:r>
          </w:p>
        </w:tc>
        <w:tc>
          <w:tcPr>
            <w:tcW w:w="425" w:type="dxa"/>
            <w:tcBorders>
              <w:top w:val="double" w:sz="6" w:space="0" w:color="auto"/>
              <w:left w:val="nil"/>
              <w:bottom w:val="double" w:sz="6" w:space="0" w:color="auto"/>
              <w:right w:val="single" w:sz="12" w:space="0" w:color="auto"/>
            </w:tcBorders>
            <w:shd w:val="clear" w:color="auto" w:fill="EEECE1" w:themeFill="background2"/>
            <w:noWrap/>
            <w:vAlign w:val="center"/>
            <w:hideMark/>
          </w:tcPr>
          <w:p w14:paraId="47E14AA3" w14:textId="2940D5F3" w:rsidR="00E25689" w:rsidRPr="0053555E" w:rsidRDefault="00E25689" w:rsidP="00E25689">
            <w:pPr>
              <w:ind w:hanging="68"/>
              <w:jc w:val="center"/>
              <w:rPr>
                <w:rFonts w:asciiTheme="majorHAnsi" w:hAnsiTheme="majorHAnsi" w:cstheme="majorHAnsi"/>
                <w:b/>
                <w:bCs/>
                <w:sz w:val="20"/>
                <w:szCs w:val="20"/>
              </w:rPr>
            </w:pPr>
            <w:r w:rsidRPr="0053555E">
              <w:rPr>
                <w:rFonts w:cs="Calibri"/>
                <w:b/>
                <w:sz w:val="20"/>
                <w:szCs w:val="22"/>
              </w:rPr>
              <w:t>94</w:t>
            </w:r>
          </w:p>
        </w:tc>
        <w:tc>
          <w:tcPr>
            <w:tcW w:w="719" w:type="dxa"/>
            <w:tcBorders>
              <w:top w:val="double" w:sz="6" w:space="0" w:color="auto"/>
              <w:left w:val="single" w:sz="12" w:space="0" w:color="auto"/>
              <w:bottom w:val="double" w:sz="6" w:space="0" w:color="auto"/>
              <w:right w:val="nil"/>
            </w:tcBorders>
            <w:shd w:val="clear" w:color="auto" w:fill="EEECE1" w:themeFill="background2"/>
            <w:noWrap/>
            <w:vAlign w:val="center"/>
            <w:hideMark/>
          </w:tcPr>
          <w:p w14:paraId="28F938A4" w14:textId="10C737F9" w:rsidR="00E25689" w:rsidRPr="0053555E" w:rsidRDefault="00E25689" w:rsidP="00E25689">
            <w:pPr>
              <w:jc w:val="center"/>
              <w:rPr>
                <w:rFonts w:asciiTheme="majorHAnsi" w:hAnsiTheme="majorHAnsi" w:cstheme="majorHAnsi"/>
                <w:b/>
                <w:bCs/>
                <w:sz w:val="20"/>
                <w:szCs w:val="20"/>
              </w:rPr>
            </w:pPr>
            <w:r w:rsidRPr="0053555E">
              <w:rPr>
                <w:rFonts w:asciiTheme="majorHAnsi" w:hAnsiTheme="majorHAnsi" w:cstheme="majorHAnsi"/>
                <w:b/>
                <w:sz w:val="20"/>
                <w:szCs w:val="20"/>
              </w:rPr>
              <w:t>27/20</w:t>
            </w:r>
          </w:p>
        </w:tc>
        <w:tc>
          <w:tcPr>
            <w:tcW w:w="425" w:type="dxa"/>
            <w:tcBorders>
              <w:top w:val="double" w:sz="6" w:space="0" w:color="auto"/>
              <w:left w:val="single" w:sz="4" w:space="0" w:color="auto"/>
              <w:bottom w:val="double" w:sz="6" w:space="0" w:color="auto"/>
              <w:right w:val="nil"/>
            </w:tcBorders>
            <w:shd w:val="clear" w:color="auto" w:fill="EEECE1" w:themeFill="background2"/>
            <w:noWrap/>
            <w:vAlign w:val="center"/>
            <w:hideMark/>
          </w:tcPr>
          <w:p w14:paraId="7BFEB4DB" w14:textId="31DDEC21"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47</w:t>
            </w:r>
          </w:p>
        </w:tc>
        <w:tc>
          <w:tcPr>
            <w:tcW w:w="567" w:type="dxa"/>
            <w:tcBorders>
              <w:top w:val="nil"/>
              <w:left w:val="single" w:sz="4" w:space="0" w:color="auto"/>
              <w:bottom w:val="double" w:sz="6" w:space="0" w:color="auto"/>
              <w:right w:val="single" w:sz="8" w:space="0" w:color="auto"/>
            </w:tcBorders>
            <w:shd w:val="clear" w:color="auto" w:fill="EEECE1" w:themeFill="background2"/>
            <w:noWrap/>
            <w:vAlign w:val="center"/>
            <w:hideMark/>
          </w:tcPr>
          <w:p w14:paraId="756D281F" w14:textId="1236B6FC" w:rsidR="00E25689" w:rsidRPr="0053555E" w:rsidRDefault="00E25689" w:rsidP="00E25689">
            <w:pPr>
              <w:ind w:right="-74" w:hanging="72"/>
              <w:jc w:val="center"/>
              <w:rPr>
                <w:rFonts w:asciiTheme="majorHAnsi" w:hAnsiTheme="majorHAnsi" w:cstheme="majorHAnsi"/>
                <w:b/>
                <w:bCs/>
                <w:sz w:val="20"/>
                <w:szCs w:val="20"/>
              </w:rPr>
            </w:pPr>
            <w:r w:rsidRPr="0053555E">
              <w:rPr>
                <w:rFonts w:asciiTheme="majorHAnsi" w:hAnsiTheme="majorHAnsi" w:cstheme="majorHAnsi"/>
                <w:b/>
                <w:bCs/>
                <w:sz w:val="20"/>
                <w:szCs w:val="20"/>
              </w:rPr>
              <w:t>26/14</w:t>
            </w:r>
          </w:p>
        </w:tc>
        <w:tc>
          <w:tcPr>
            <w:tcW w:w="425" w:type="dxa"/>
            <w:tcBorders>
              <w:top w:val="double" w:sz="6" w:space="0" w:color="auto"/>
              <w:left w:val="single" w:sz="4" w:space="0" w:color="auto"/>
              <w:bottom w:val="double" w:sz="6" w:space="0" w:color="auto"/>
              <w:right w:val="single" w:sz="12" w:space="0" w:color="auto"/>
            </w:tcBorders>
            <w:shd w:val="clear" w:color="auto" w:fill="EEECE1" w:themeFill="background2"/>
            <w:noWrap/>
            <w:vAlign w:val="center"/>
            <w:hideMark/>
          </w:tcPr>
          <w:p w14:paraId="77A9231F" w14:textId="637562E0" w:rsidR="00E25689" w:rsidRPr="0053555E" w:rsidRDefault="00E25689" w:rsidP="00E25689">
            <w:pPr>
              <w:ind w:hanging="62"/>
              <w:jc w:val="center"/>
              <w:rPr>
                <w:rFonts w:asciiTheme="majorHAnsi" w:hAnsiTheme="majorHAnsi" w:cstheme="majorHAnsi"/>
                <w:b/>
                <w:bCs/>
                <w:sz w:val="20"/>
                <w:szCs w:val="20"/>
              </w:rPr>
            </w:pPr>
            <w:r w:rsidRPr="0053555E">
              <w:rPr>
                <w:rFonts w:cs="Calibri"/>
                <w:b/>
                <w:bCs/>
                <w:sz w:val="20"/>
                <w:szCs w:val="22"/>
              </w:rPr>
              <w:t>87</w:t>
            </w:r>
          </w:p>
        </w:tc>
        <w:tc>
          <w:tcPr>
            <w:tcW w:w="720" w:type="dxa"/>
            <w:tcBorders>
              <w:top w:val="double" w:sz="6" w:space="0" w:color="auto"/>
              <w:left w:val="single" w:sz="12" w:space="0" w:color="auto"/>
              <w:bottom w:val="double" w:sz="6" w:space="0" w:color="auto"/>
              <w:right w:val="nil"/>
            </w:tcBorders>
            <w:shd w:val="clear" w:color="auto" w:fill="EEECE1" w:themeFill="background2"/>
            <w:noWrap/>
            <w:vAlign w:val="center"/>
            <w:hideMark/>
          </w:tcPr>
          <w:p w14:paraId="2EB551D3" w14:textId="3964E1C1" w:rsidR="00E25689" w:rsidRPr="0053555E" w:rsidRDefault="00E25689" w:rsidP="00E25689">
            <w:pPr>
              <w:ind w:right="-65" w:hanging="66"/>
              <w:jc w:val="center"/>
              <w:rPr>
                <w:rFonts w:asciiTheme="majorHAnsi" w:hAnsiTheme="majorHAnsi" w:cstheme="majorHAnsi"/>
                <w:b/>
                <w:bCs/>
                <w:sz w:val="20"/>
                <w:szCs w:val="20"/>
              </w:rPr>
            </w:pPr>
            <w:r w:rsidRPr="0053555E">
              <w:rPr>
                <w:rFonts w:asciiTheme="majorHAnsi" w:hAnsiTheme="majorHAnsi" w:cstheme="majorHAnsi"/>
                <w:b/>
                <w:sz w:val="20"/>
                <w:szCs w:val="20"/>
              </w:rPr>
              <w:t>108/47</w:t>
            </w:r>
          </w:p>
        </w:tc>
        <w:tc>
          <w:tcPr>
            <w:tcW w:w="567" w:type="dxa"/>
            <w:tcBorders>
              <w:top w:val="double" w:sz="6" w:space="0" w:color="auto"/>
              <w:left w:val="single" w:sz="4" w:space="0" w:color="auto"/>
              <w:bottom w:val="double" w:sz="6" w:space="0" w:color="auto"/>
              <w:right w:val="nil"/>
            </w:tcBorders>
            <w:shd w:val="clear" w:color="auto" w:fill="EEECE1" w:themeFill="background2"/>
            <w:noWrap/>
            <w:vAlign w:val="center"/>
            <w:hideMark/>
          </w:tcPr>
          <w:p w14:paraId="7D10E557" w14:textId="7BCCAFD0" w:rsidR="00E25689" w:rsidRPr="00833E12" w:rsidRDefault="00E25689" w:rsidP="00E25689">
            <w:pPr>
              <w:jc w:val="center"/>
              <w:rPr>
                <w:rFonts w:asciiTheme="majorHAnsi" w:hAnsiTheme="majorHAnsi" w:cstheme="majorHAnsi"/>
                <w:b/>
                <w:bCs/>
                <w:sz w:val="20"/>
                <w:szCs w:val="20"/>
              </w:rPr>
            </w:pPr>
            <w:r w:rsidRPr="00833E12">
              <w:rPr>
                <w:rFonts w:cs="Calibri"/>
                <w:b/>
                <w:bCs/>
                <w:sz w:val="20"/>
                <w:szCs w:val="22"/>
              </w:rPr>
              <w:t>155</w:t>
            </w:r>
          </w:p>
        </w:tc>
        <w:tc>
          <w:tcPr>
            <w:tcW w:w="701" w:type="dxa"/>
            <w:tcBorders>
              <w:top w:val="double" w:sz="6" w:space="0" w:color="auto"/>
              <w:left w:val="single" w:sz="4" w:space="0" w:color="auto"/>
              <w:bottom w:val="double" w:sz="6" w:space="0" w:color="auto"/>
              <w:right w:val="single" w:sz="8" w:space="0" w:color="auto"/>
            </w:tcBorders>
            <w:shd w:val="clear" w:color="auto" w:fill="EEECE1" w:themeFill="background2"/>
            <w:noWrap/>
            <w:vAlign w:val="center"/>
            <w:hideMark/>
          </w:tcPr>
          <w:p w14:paraId="0C3B24B5" w14:textId="51A6FD76" w:rsidR="00E25689" w:rsidRPr="0053555E" w:rsidRDefault="00E25689" w:rsidP="00E25689">
            <w:pPr>
              <w:ind w:right="-74" w:hanging="64"/>
              <w:jc w:val="center"/>
              <w:rPr>
                <w:rFonts w:asciiTheme="majorHAnsi" w:hAnsiTheme="majorHAnsi" w:cstheme="majorHAnsi"/>
                <w:b/>
                <w:bCs/>
                <w:sz w:val="20"/>
                <w:szCs w:val="20"/>
              </w:rPr>
            </w:pPr>
            <w:r w:rsidRPr="0053555E">
              <w:rPr>
                <w:rFonts w:asciiTheme="majorHAnsi" w:hAnsiTheme="majorHAnsi" w:cstheme="majorHAnsi"/>
                <w:b/>
                <w:bCs/>
                <w:sz w:val="20"/>
                <w:szCs w:val="20"/>
              </w:rPr>
              <w:t>52/30</w:t>
            </w:r>
          </w:p>
        </w:tc>
        <w:tc>
          <w:tcPr>
            <w:tcW w:w="564" w:type="dxa"/>
            <w:tcBorders>
              <w:top w:val="double" w:sz="6" w:space="0" w:color="auto"/>
              <w:left w:val="nil"/>
              <w:bottom w:val="double" w:sz="6" w:space="0" w:color="auto"/>
              <w:right w:val="single" w:sz="12" w:space="0" w:color="auto"/>
            </w:tcBorders>
            <w:shd w:val="clear" w:color="auto" w:fill="EEECE1" w:themeFill="background2"/>
            <w:noWrap/>
            <w:vAlign w:val="center"/>
            <w:hideMark/>
          </w:tcPr>
          <w:p w14:paraId="53FBEF05" w14:textId="5CB3D951" w:rsidR="00E25689" w:rsidRPr="0053555E" w:rsidRDefault="00E25689" w:rsidP="00E25689">
            <w:pPr>
              <w:jc w:val="center"/>
              <w:rPr>
                <w:rFonts w:asciiTheme="majorHAnsi" w:hAnsiTheme="majorHAnsi" w:cstheme="majorHAnsi"/>
                <w:b/>
                <w:bCs/>
                <w:sz w:val="20"/>
                <w:szCs w:val="20"/>
              </w:rPr>
            </w:pPr>
            <w:r w:rsidRPr="0053555E">
              <w:rPr>
                <w:rFonts w:cs="Calibri"/>
                <w:b/>
                <w:sz w:val="20"/>
                <w:szCs w:val="22"/>
              </w:rPr>
              <w:t>237</w:t>
            </w:r>
          </w:p>
        </w:tc>
        <w:tc>
          <w:tcPr>
            <w:tcW w:w="720" w:type="dxa"/>
            <w:tcBorders>
              <w:top w:val="double" w:sz="6" w:space="0" w:color="auto"/>
              <w:left w:val="single" w:sz="12" w:space="0" w:color="auto"/>
              <w:bottom w:val="double" w:sz="6" w:space="0" w:color="auto"/>
              <w:right w:val="nil"/>
            </w:tcBorders>
            <w:shd w:val="clear" w:color="auto" w:fill="EEECE1" w:themeFill="background2"/>
            <w:noWrap/>
            <w:vAlign w:val="center"/>
            <w:hideMark/>
          </w:tcPr>
          <w:p w14:paraId="030D86A9" w14:textId="3C861FB0" w:rsidR="00E25689" w:rsidRPr="0053555E" w:rsidRDefault="00E25689" w:rsidP="00E25689">
            <w:pPr>
              <w:ind w:right="-75" w:hanging="131"/>
              <w:jc w:val="center"/>
              <w:rPr>
                <w:rFonts w:asciiTheme="majorHAnsi" w:hAnsiTheme="majorHAnsi" w:cstheme="majorHAnsi"/>
                <w:b/>
                <w:bCs/>
                <w:sz w:val="20"/>
                <w:szCs w:val="20"/>
              </w:rPr>
            </w:pPr>
            <w:r w:rsidRPr="0053555E">
              <w:rPr>
                <w:rFonts w:asciiTheme="majorHAnsi" w:hAnsiTheme="majorHAnsi" w:cstheme="majorHAnsi"/>
                <w:b/>
                <w:sz w:val="20"/>
                <w:szCs w:val="20"/>
              </w:rPr>
              <w:t>135/67</w:t>
            </w:r>
          </w:p>
        </w:tc>
        <w:tc>
          <w:tcPr>
            <w:tcW w:w="567" w:type="dxa"/>
            <w:tcBorders>
              <w:top w:val="double" w:sz="6" w:space="0" w:color="auto"/>
              <w:left w:val="single" w:sz="4" w:space="0" w:color="auto"/>
              <w:bottom w:val="double" w:sz="6" w:space="0" w:color="auto"/>
              <w:right w:val="nil"/>
            </w:tcBorders>
            <w:shd w:val="clear" w:color="auto" w:fill="EEECE1" w:themeFill="background2"/>
            <w:noWrap/>
            <w:vAlign w:val="center"/>
            <w:hideMark/>
          </w:tcPr>
          <w:p w14:paraId="38F3ADD4" w14:textId="46F0D5A5"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202</w:t>
            </w:r>
          </w:p>
        </w:tc>
        <w:tc>
          <w:tcPr>
            <w:tcW w:w="708" w:type="dxa"/>
            <w:tcBorders>
              <w:top w:val="nil"/>
              <w:left w:val="single" w:sz="4" w:space="0" w:color="auto"/>
              <w:bottom w:val="double" w:sz="6" w:space="0" w:color="auto"/>
              <w:right w:val="single" w:sz="8" w:space="0" w:color="auto"/>
            </w:tcBorders>
            <w:shd w:val="clear" w:color="auto" w:fill="EEECE1" w:themeFill="background2"/>
            <w:noWrap/>
            <w:vAlign w:val="center"/>
            <w:hideMark/>
          </w:tcPr>
          <w:p w14:paraId="77606CD7" w14:textId="14AACC1B" w:rsidR="00E25689" w:rsidRPr="0053555E" w:rsidRDefault="00E25689" w:rsidP="00E25689">
            <w:pPr>
              <w:ind w:right="-150" w:hanging="62"/>
              <w:jc w:val="center"/>
              <w:rPr>
                <w:rFonts w:asciiTheme="majorHAnsi" w:hAnsiTheme="majorHAnsi" w:cstheme="majorHAnsi"/>
                <w:b/>
                <w:bCs/>
                <w:sz w:val="20"/>
                <w:szCs w:val="20"/>
              </w:rPr>
            </w:pPr>
            <w:r w:rsidRPr="0053555E">
              <w:rPr>
                <w:rFonts w:asciiTheme="majorHAnsi" w:hAnsiTheme="majorHAnsi" w:cstheme="majorHAnsi"/>
                <w:b/>
                <w:sz w:val="20"/>
                <w:szCs w:val="20"/>
              </w:rPr>
              <w:t>78/44</w:t>
            </w:r>
          </w:p>
        </w:tc>
        <w:tc>
          <w:tcPr>
            <w:tcW w:w="698" w:type="dxa"/>
            <w:tcBorders>
              <w:top w:val="double" w:sz="6" w:space="0" w:color="auto"/>
              <w:left w:val="nil"/>
              <w:bottom w:val="double" w:sz="6" w:space="0" w:color="auto"/>
              <w:right w:val="single" w:sz="4" w:space="0" w:color="auto"/>
            </w:tcBorders>
            <w:shd w:val="clear" w:color="auto" w:fill="EEECE1" w:themeFill="background2"/>
            <w:vAlign w:val="center"/>
          </w:tcPr>
          <w:p w14:paraId="493C683E" w14:textId="682491C0" w:rsidR="00E25689" w:rsidRPr="0053555E" w:rsidRDefault="00E25689" w:rsidP="00E25689">
            <w:pPr>
              <w:jc w:val="center"/>
              <w:rPr>
                <w:rFonts w:asciiTheme="majorHAnsi" w:hAnsiTheme="majorHAnsi" w:cstheme="majorHAnsi"/>
                <w:b/>
                <w:bCs/>
                <w:sz w:val="20"/>
                <w:szCs w:val="20"/>
              </w:rPr>
            </w:pPr>
            <w:r w:rsidRPr="0053555E">
              <w:rPr>
                <w:rFonts w:cs="Calibri"/>
                <w:b/>
                <w:bCs/>
                <w:sz w:val="20"/>
                <w:szCs w:val="22"/>
              </w:rPr>
              <w:t>324</w:t>
            </w:r>
          </w:p>
        </w:tc>
        <w:tc>
          <w:tcPr>
            <w:tcW w:w="709" w:type="dxa"/>
            <w:tcBorders>
              <w:top w:val="double" w:sz="6" w:space="0" w:color="auto"/>
              <w:left w:val="single" w:sz="12" w:space="0" w:color="auto"/>
              <w:bottom w:val="double" w:sz="6" w:space="0" w:color="auto"/>
              <w:right w:val="double" w:sz="6" w:space="0" w:color="auto"/>
            </w:tcBorders>
            <w:shd w:val="clear" w:color="auto" w:fill="EEECE1" w:themeFill="background2"/>
            <w:noWrap/>
            <w:vAlign w:val="center"/>
          </w:tcPr>
          <w:p w14:paraId="6FD8593E" w14:textId="690AF435" w:rsidR="00E25689" w:rsidRPr="0053555E" w:rsidRDefault="00E25689" w:rsidP="00E25689">
            <w:pPr>
              <w:jc w:val="center"/>
              <w:rPr>
                <w:rFonts w:asciiTheme="majorHAnsi" w:hAnsiTheme="majorHAnsi" w:cstheme="majorHAnsi"/>
                <w:b/>
                <w:bCs/>
                <w:sz w:val="20"/>
                <w:szCs w:val="20"/>
              </w:rPr>
            </w:pPr>
            <w:r w:rsidRPr="0053555E">
              <w:rPr>
                <w:rFonts w:cs="Calibri"/>
                <w:b/>
                <w:bCs/>
                <w:sz w:val="22"/>
                <w:szCs w:val="22"/>
              </w:rPr>
              <w:t>17</w:t>
            </w:r>
          </w:p>
        </w:tc>
      </w:tr>
    </w:tbl>
    <w:p w14:paraId="324C3A44" w14:textId="55D7E15A" w:rsidR="003B5AB8" w:rsidRPr="0053555E" w:rsidRDefault="003B5AB8" w:rsidP="003B5AB8">
      <w:pPr>
        <w:tabs>
          <w:tab w:val="left" w:pos="9356"/>
        </w:tabs>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Stav k 31. 08. 20</w:t>
      </w:r>
      <w:r w:rsidR="00FC6179" w:rsidRPr="0053555E">
        <w:rPr>
          <w:rFonts w:asciiTheme="majorHAnsi" w:eastAsia="Times New Roman" w:hAnsiTheme="majorHAnsi" w:cstheme="majorHAnsi"/>
          <w:sz w:val="20"/>
          <w:szCs w:val="22"/>
          <w:lang w:eastAsia="sk-SK"/>
        </w:rPr>
        <w:t>22</w:t>
      </w:r>
    </w:p>
    <w:p w14:paraId="316420D0" w14:textId="77777777" w:rsidR="003B5AB8" w:rsidRPr="0053555E" w:rsidRDefault="003B5AB8" w:rsidP="003B5AB8">
      <w:pPr>
        <w:tabs>
          <w:tab w:val="left" w:pos="9356"/>
        </w:tabs>
        <w:jc w:val="both"/>
        <w:rPr>
          <w:rFonts w:asciiTheme="majorHAnsi" w:hAnsiTheme="majorHAnsi" w:cstheme="majorHAnsi"/>
          <w:sz w:val="18"/>
          <w:szCs w:val="20"/>
        </w:rPr>
      </w:pPr>
      <w:r w:rsidRPr="0053555E">
        <w:rPr>
          <w:rFonts w:asciiTheme="majorHAnsi" w:eastAsia="Times New Roman" w:hAnsiTheme="majorHAnsi" w:cstheme="majorHAnsi"/>
          <w:sz w:val="20"/>
          <w:szCs w:val="22"/>
          <w:lang w:eastAsia="sk-SK"/>
        </w:rPr>
        <w:t>Vysvetlivky:</w:t>
      </w:r>
    </w:p>
    <w:p w14:paraId="694BAACB" w14:textId="77777777" w:rsidR="003B5AB8" w:rsidRPr="0053555E" w:rsidRDefault="003B5AB8" w:rsidP="003B5AB8">
      <w:pPr>
        <w:tabs>
          <w:tab w:val="left" w:pos="9356"/>
        </w:tabs>
        <w:ind w:right="-597"/>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 xml:space="preserve">E - existujúci študijný program </w:t>
      </w:r>
    </w:p>
    <w:p w14:paraId="16E428C8" w14:textId="77777777" w:rsidR="003B5AB8" w:rsidRPr="0053555E" w:rsidRDefault="003B5AB8" w:rsidP="003B5AB8">
      <w:pPr>
        <w:tabs>
          <w:tab w:val="left" w:pos="9356"/>
        </w:tabs>
        <w:ind w:right="-597"/>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 xml:space="preserve">N - nový študijný program </w:t>
      </w:r>
    </w:p>
    <w:p w14:paraId="49FD3DDF" w14:textId="77777777" w:rsidR="003B5AB8" w:rsidRPr="0053555E" w:rsidRDefault="003B5AB8" w:rsidP="003B5AB8">
      <w:pPr>
        <w:tabs>
          <w:tab w:val="left" w:pos="9356"/>
        </w:tabs>
        <w:ind w:right="-597"/>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SJ - študijný program uskutočňovaný v štátnom jazyku (slovenský jazyk alebo kombinácia slovenského jazyka s anglickým jazykom, českým jazykom)</w:t>
      </w:r>
    </w:p>
    <w:p w14:paraId="133B7D37" w14:textId="77777777" w:rsidR="003B5AB8" w:rsidRPr="0053555E" w:rsidRDefault="003B5AB8" w:rsidP="003B5AB8">
      <w:pPr>
        <w:tabs>
          <w:tab w:val="left" w:pos="9356"/>
        </w:tabs>
        <w:ind w:right="-597"/>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AJ - študijný program uskutočňovaný výlučne v anglickom jazyku</w:t>
      </w:r>
    </w:p>
    <w:p w14:paraId="55A08A9F" w14:textId="77777777" w:rsidR="003B5AB8" w:rsidRPr="0053555E" w:rsidRDefault="003B5AB8" w:rsidP="003B5AB8">
      <w:pPr>
        <w:tabs>
          <w:tab w:val="left" w:pos="9356"/>
        </w:tabs>
        <w:ind w:right="-597"/>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bCs/>
          <w:sz w:val="20"/>
          <w:szCs w:val="18"/>
          <w:lang w:eastAsia="sk-SK"/>
        </w:rPr>
        <w:t>Σ</w:t>
      </w:r>
      <w:r w:rsidRPr="0053555E">
        <w:rPr>
          <w:rFonts w:asciiTheme="majorHAnsi" w:eastAsia="Times New Roman" w:hAnsiTheme="majorHAnsi" w:cstheme="majorHAnsi"/>
          <w:bCs/>
          <w:sz w:val="20"/>
          <w:szCs w:val="18"/>
          <w:vertAlign w:val="subscript"/>
          <w:lang w:eastAsia="sk-SK"/>
        </w:rPr>
        <w:t>SJ</w:t>
      </w:r>
      <w:r w:rsidRPr="0053555E">
        <w:rPr>
          <w:rFonts w:asciiTheme="majorHAnsi" w:eastAsia="Times New Roman" w:hAnsiTheme="majorHAnsi" w:cstheme="majorHAnsi"/>
          <w:sz w:val="22"/>
          <w:szCs w:val="22"/>
          <w:lang w:eastAsia="sk-SK"/>
        </w:rPr>
        <w:t xml:space="preserve"> </w:t>
      </w:r>
      <w:r w:rsidRPr="0053555E">
        <w:rPr>
          <w:rFonts w:asciiTheme="majorHAnsi" w:eastAsia="Times New Roman" w:hAnsiTheme="majorHAnsi" w:cstheme="majorHAnsi"/>
          <w:sz w:val="20"/>
          <w:szCs w:val="22"/>
          <w:lang w:eastAsia="sk-SK"/>
        </w:rPr>
        <w:t xml:space="preserve">- súčet existujúcich a nových študijných programov uskutočňovaných v štátnom jazyku </w:t>
      </w:r>
    </w:p>
    <w:p w14:paraId="0AF2EA94" w14:textId="77777777" w:rsidR="003B5AB8" w:rsidRPr="0053555E" w:rsidRDefault="003B5AB8" w:rsidP="003B5AB8">
      <w:pPr>
        <w:tabs>
          <w:tab w:val="left" w:pos="9356"/>
        </w:tabs>
        <w:ind w:right="-597"/>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Σ</w:t>
      </w:r>
      <w:r w:rsidRPr="0053555E">
        <w:rPr>
          <w:rFonts w:asciiTheme="majorHAnsi" w:eastAsia="Times New Roman" w:hAnsiTheme="majorHAnsi" w:cstheme="majorHAnsi"/>
          <w:sz w:val="20"/>
          <w:szCs w:val="22"/>
          <w:vertAlign w:val="subscript"/>
          <w:lang w:eastAsia="sk-SK"/>
        </w:rPr>
        <w:t>1</w:t>
      </w:r>
      <w:r w:rsidRPr="0053555E">
        <w:rPr>
          <w:rFonts w:asciiTheme="majorHAnsi" w:eastAsia="Times New Roman" w:hAnsiTheme="majorHAnsi" w:cstheme="majorHAnsi"/>
          <w:sz w:val="20"/>
          <w:szCs w:val="22"/>
          <w:lang w:eastAsia="sk-SK"/>
        </w:rPr>
        <w:t xml:space="preserve"> - súčet všetkých študijných programov prvého stupňa</w:t>
      </w:r>
    </w:p>
    <w:p w14:paraId="241DEA10" w14:textId="77777777" w:rsidR="003B5AB8" w:rsidRPr="0053555E" w:rsidRDefault="003B5AB8" w:rsidP="003B5AB8">
      <w:pPr>
        <w:tabs>
          <w:tab w:val="left" w:pos="9356"/>
        </w:tabs>
        <w:ind w:right="-597"/>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Σ</w:t>
      </w:r>
      <w:r w:rsidRPr="0053555E">
        <w:rPr>
          <w:rFonts w:asciiTheme="majorHAnsi" w:eastAsia="Times New Roman" w:hAnsiTheme="majorHAnsi" w:cstheme="majorHAnsi"/>
          <w:sz w:val="20"/>
          <w:szCs w:val="22"/>
          <w:vertAlign w:val="subscript"/>
          <w:lang w:eastAsia="sk-SK"/>
        </w:rPr>
        <w:t>2</w:t>
      </w:r>
      <w:r w:rsidRPr="0053555E">
        <w:rPr>
          <w:rFonts w:asciiTheme="majorHAnsi" w:eastAsia="Times New Roman" w:hAnsiTheme="majorHAnsi" w:cstheme="majorHAnsi"/>
          <w:sz w:val="20"/>
          <w:szCs w:val="22"/>
          <w:lang w:eastAsia="sk-SK"/>
        </w:rPr>
        <w:t xml:space="preserve"> - súčet všetkých študijných programov druhého stupňa</w:t>
      </w:r>
    </w:p>
    <w:p w14:paraId="2AA9276E" w14:textId="77777777" w:rsidR="003B5AB8" w:rsidRPr="0053555E" w:rsidRDefault="003B5AB8" w:rsidP="003B5AB8">
      <w:pPr>
        <w:tabs>
          <w:tab w:val="left" w:pos="9356"/>
        </w:tabs>
        <w:ind w:right="-597"/>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Σ</w:t>
      </w:r>
      <w:r w:rsidRPr="0053555E">
        <w:rPr>
          <w:rFonts w:asciiTheme="majorHAnsi" w:eastAsia="Times New Roman" w:hAnsiTheme="majorHAnsi" w:cstheme="majorHAnsi"/>
          <w:sz w:val="20"/>
          <w:szCs w:val="22"/>
          <w:vertAlign w:val="subscript"/>
          <w:lang w:eastAsia="sk-SK"/>
        </w:rPr>
        <w:t>3d</w:t>
      </w:r>
      <w:r w:rsidRPr="0053555E">
        <w:rPr>
          <w:rFonts w:asciiTheme="majorHAnsi" w:eastAsia="Times New Roman" w:hAnsiTheme="majorHAnsi" w:cstheme="majorHAnsi"/>
          <w:sz w:val="20"/>
          <w:szCs w:val="22"/>
          <w:lang w:eastAsia="sk-SK"/>
        </w:rPr>
        <w:t xml:space="preserve"> - súčet všetkých študijných programov tretieho stupňa denná forma</w:t>
      </w:r>
    </w:p>
    <w:p w14:paraId="365A629B" w14:textId="615F858B" w:rsidR="003B5AB8" w:rsidRPr="0053555E" w:rsidRDefault="003B5AB8" w:rsidP="003B5AB8">
      <w:pPr>
        <w:tabs>
          <w:tab w:val="left" w:pos="9356"/>
        </w:tabs>
        <w:ind w:right="-597"/>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Σ</w:t>
      </w:r>
      <w:r w:rsidRPr="0053555E">
        <w:rPr>
          <w:rFonts w:asciiTheme="majorHAnsi" w:eastAsia="Times New Roman" w:hAnsiTheme="majorHAnsi" w:cstheme="majorHAnsi"/>
          <w:sz w:val="20"/>
          <w:szCs w:val="22"/>
          <w:vertAlign w:val="subscript"/>
          <w:lang w:eastAsia="sk-SK"/>
        </w:rPr>
        <w:t>3e</w:t>
      </w:r>
      <w:r w:rsidRPr="0053555E">
        <w:rPr>
          <w:rFonts w:asciiTheme="majorHAnsi" w:eastAsia="Times New Roman" w:hAnsiTheme="majorHAnsi" w:cstheme="majorHAnsi"/>
          <w:sz w:val="20"/>
          <w:szCs w:val="22"/>
          <w:lang w:eastAsia="sk-SK"/>
        </w:rPr>
        <w:t xml:space="preserve"> - súčet všetkých študijných programov tretieho stupňa externá forma </w:t>
      </w:r>
    </w:p>
    <w:p w14:paraId="44859E43" w14:textId="77777777" w:rsidR="003B5AB8" w:rsidRPr="0053555E" w:rsidRDefault="003B5AB8" w:rsidP="003B5AB8">
      <w:pPr>
        <w:tabs>
          <w:tab w:val="left" w:pos="9356"/>
        </w:tabs>
        <w:ind w:right="-597"/>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Σ</w:t>
      </w:r>
      <w:r w:rsidRPr="0053555E">
        <w:rPr>
          <w:rFonts w:asciiTheme="majorHAnsi" w:eastAsia="Times New Roman" w:hAnsiTheme="majorHAnsi" w:cstheme="majorHAnsi"/>
          <w:sz w:val="20"/>
          <w:szCs w:val="22"/>
          <w:vertAlign w:val="subscript"/>
          <w:lang w:eastAsia="sk-SK"/>
        </w:rPr>
        <w:t>DF</w:t>
      </w:r>
      <w:r w:rsidRPr="0053555E">
        <w:rPr>
          <w:rFonts w:asciiTheme="majorHAnsi" w:eastAsia="Times New Roman" w:hAnsiTheme="majorHAnsi" w:cstheme="majorHAnsi"/>
          <w:sz w:val="20"/>
          <w:szCs w:val="22"/>
          <w:lang w:eastAsia="sk-SK"/>
        </w:rPr>
        <w:t xml:space="preserve"> - súčet všetkých študijných programov denná forma (Σ</w:t>
      </w:r>
      <w:r w:rsidRPr="0053555E">
        <w:rPr>
          <w:rFonts w:asciiTheme="majorHAnsi" w:eastAsia="Times New Roman" w:hAnsiTheme="majorHAnsi" w:cstheme="majorHAnsi"/>
          <w:sz w:val="20"/>
          <w:szCs w:val="22"/>
          <w:vertAlign w:val="subscript"/>
          <w:lang w:eastAsia="sk-SK"/>
        </w:rPr>
        <w:t>1</w:t>
      </w:r>
      <w:r w:rsidRPr="0053555E">
        <w:rPr>
          <w:rFonts w:asciiTheme="majorHAnsi" w:eastAsia="Times New Roman" w:hAnsiTheme="majorHAnsi" w:cstheme="majorHAnsi"/>
          <w:sz w:val="20"/>
          <w:szCs w:val="22"/>
          <w:lang w:eastAsia="sk-SK"/>
        </w:rPr>
        <w:t>+Σ</w:t>
      </w:r>
      <w:r w:rsidRPr="0053555E">
        <w:rPr>
          <w:rFonts w:asciiTheme="majorHAnsi" w:eastAsia="Times New Roman" w:hAnsiTheme="majorHAnsi" w:cstheme="majorHAnsi"/>
          <w:sz w:val="20"/>
          <w:szCs w:val="22"/>
          <w:vertAlign w:val="subscript"/>
          <w:lang w:eastAsia="sk-SK"/>
        </w:rPr>
        <w:t>2</w:t>
      </w:r>
      <w:r w:rsidRPr="0053555E">
        <w:rPr>
          <w:rFonts w:asciiTheme="majorHAnsi" w:eastAsia="Times New Roman" w:hAnsiTheme="majorHAnsi" w:cstheme="majorHAnsi"/>
          <w:sz w:val="20"/>
          <w:szCs w:val="22"/>
          <w:lang w:eastAsia="sk-SK"/>
        </w:rPr>
        <w:t>+Σ</w:t>
      </w:r>
      <w:r w:rsidRPr="0053555E">
        <w:rPr>
          <w:rFonts w:asciiTheme="majorHAnsi" w:eastAsia="Times New Roman" w:hAnsiTheme="majorHAnsi" w:cstheme="majorHAnsi"/>
          <w:sz w:val="20"/>
          <w:szCs w:val="22"/>
          <w:vertAlign w:val="subscript"/>
          <w:lang w:eastAsia="sk-SK"/>
        </w:rPr>
        <w:t>3d</w:t>
      </w:r>
      <w:r w:rsidRPr="0053555E">
        <w:rPr>
          <w:rFonts w:asciiTheme="majorHAnsi" w:eastAsia="Times New Roman" w:hAnsiTheme="majorHAnsi" w:cstheme="majorHAnsi"/>
          <w:sz w:val="20"/>
          <w:szCs w:val="22"/>
          <w:lang w:eastAsia="sk-SK"/>
        </w:rPr>
        <w:t>)</w:t>
      </w:r>
    </w:p>
    <w:p w14:paraId="551554E5" w14:textId="7D8453B6" w:rsidR="003B5AB8" w:rsidRPr="0053555E" w:rsidRDefault="003B5AB8" w:rsidP="003B5AB8">
      <w:pPr>
        <w:tabs>
          <w:tab w:val="left" w:pos="9356"/>
        </w:tabs>
        <w:ind w:right="-597"/>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Σ</w:t>
      </w:r>
      <w:r w:rsidRPr="0053555E">
        <w:rPr>
          <w:rFonts w:asciiTheme="majorHAnsi" w:eastAsia="Times New Roman" w:hAnsiTheme="majorHAnsi" w:cstheme="majorHAnsi"/>
          <w:sz w:val="20"/>
          <w:szCs w:val="22"/>
          <w:vertAlign w:val="subscript"/>
          <w:lang w:eastAsia="sk-SK"/>
        </w:rPr>
        <w:t>SP</w:t>
      </w:r>
      <w:r w:rsidRPr="0053555E">
        <w:rPr>
          <w:rFonts w:asciiTheme="majorHAnsi" w:eastAsia="Times New Roman" w:hAnsiTheme="majorHAnsi" w:cstheme="majorHAnsi"/>
          <w:sz w:val="20"/>
          <w:szCs w:val="22"/>
          <w:lang w:eastAsia="sk-SK"/>
        </w:rPr>
        <w:t xml:space="preserve"> - súčet všetkých </w:t>
      </w:r>
      <w:r w:rsidR="006B33F9" w:rsidRPr="0053555E">
        <w:rPr>
          <w:rFonts w:asciiTheme="majorHAnsi" w:eastAsia="Times New Roman" w:hAnsiTheme="majorHAnsi" w:cstheme="majorHAnsi"/>
          <w:sz w:val="20"/>
          <w:szCs w:val="22"/>
          <w:lang w:eastAsia="sk-SK"/>
        </w:rPr>
        <w:t xml:space="preserve">akreditovaných </w:t>
      </w:r>
      <w:r w:rsidRPr="0053555E">
        <w:rPr>
          <w:rFonts w:asciiTheme="majorHAnsi" w:eastAsia="Times New Roman" w:hAnsiTheme="majorHAnsi" w:cstheme="majorHAnsi"/>
          <w:sz w:val="20"/>
          <w:szCs w:val="22"/>
          <w:lang w:eastAsia="sk-SK"/>
        </w:rPr>
        <w:t>študijných programov denná a externá forma (Σ</w:t>
      </w:r>
      <w:r w:rsidRPr="0053555E">
        <w:rPr>
          <w:rFonts w:asciiTheme="majorHAnsi" w:eastAsia="Times New Roman" w:hAnsiTheme="majorHAnsi" w:cstheme="majorHAnsi"/>
          <w:sz w:val="20"/>
          <w:szCs w:val="22"/>
          <w:vertAlign w:val="subscript"/>
          <w:lang w:eastAsia="sk-SK"/>
        </w:rPr>
        <w:t>1</w:t>
      </w:r>
      <w:r w:rsidRPr="0053555E">
        <w:rPr>
          <w:rFonts w:asciiTheme="majorHAnsi" w:eastAsia="Times New Roman" w:hAnsiTheme="majorHAnsi" w:cstheme="majorHAnsi"/>
          <w:sz w:val="20"/>
          <w:szCs w:val="22"/>
          <w:lang w:eastAsia="sk-SK"/>
        </w:rPr>
        <w:t>+Σ</w:t>
      </w:r>
      <w:r w:rsidRPr="0053555E">
        <w:rPr>
          <w:rFonts w:asciiTheme="majorHAnsi" w:eastAsia="Times New Roman" w:hAnsiTheme="majorHAnsi" w:cstheme="majorHAnsi"/>
          <w:sz w:val="20"/>
          <w:szCs w:val="22"/>
          <w:vertAlign w:val="subscript"/>
          <w:lang w:eastAsia="sk-SK"/>
        </w:rPr>
        <w:t>2</w:t>
      </w:r>
      <w:r w:rsidRPr="0053555E">
        <w:rPr>
          <w:rFonts w:asciiTheme="majorHAnsi" w:eastAsia="Times New Roman" w:hAnsiTheme="majorHAnsi" w:cstheme="majorHAnsi"/>
          <w:sz w:val="20"/>
          <w:szCs w:val="22"/>
          <w:lang w:eastAsia="sk-SK"/>
        </w:rPr>
        <w:t>+Σ</w:t>
      </w:r>
      <w:r w:rsidRPr="0053555E">
        <w:rPr>
          <w:rFonts w:asciiTheme="majorHAnsi" w:eastAsia="Times New Roman" w:hAnsiTheme="majorHAnsi" w:cstheme="majorHAnsi"/>
          <w:sz w:val="20"/>
          <w:szCs w:val="22"/>
          <w:vertAlign w:val="subscript"/>
          <w:lang w:eastAsia="sk-SK"/>
        </w:rPr>
        <w:t>3d</w:t>
      </w:r>
      <w:r w:rsidRPr="0053555E">
        <w:rPr>
          <w:rFonts w:asciiTheme="majorHAnsi" w:eastAsia="Times New Roman" w:hAnsiTheme="majorHAnsi" w:cstheme="majorHAnsi"/>
          <w:sz w:val="20"/>
          <w:szCs w:val="22"/>
          <w:lang w:eastAsia="sk-SK"/>
        </w:rPr>
        <w:t>+Σ</w:t>
      </w:r>
      <w:r w:rsidRPr="0053555E">
        <w:rPr>
          <w:rFonts w:asciiTheme="majorHAnsi" w:eastAsia="Times New Roman" w:hAnsiTheme="majorHAnsi" w:cstheme="majorHAnsi"/>
          <w:sz w:val="20"/>
          <w:szCs w:val="22"/>
          <w:vertAlign w:val="subscript"/>
          <w:lang w:eastAsia="sk-SK"/>
        </w:rPr>
        <w:t>3e</w:t>
      </w:r>
      <w:r w:rsidRPr="0053555E">
        <w:rPr>
          <w:rFonts w:asciiTheme="majorHAnsi" w:eastAsia="Times New Roman" w:hAnsiTheme="majorHAnsi" w:cstheme="majorHAnsi"/>
          <w:sz w:val="20"/>
          <w:szCs w:val="22"/>
          <w:lang w:eastAsia="sk-SK"/>
        </w:rPr>
        <w:t>)</w:t>
      </w:r>
    </w:p>
    <w:p w14:paraId="2E66A5E4" w14:textId="77777777" w:rsidR="003B5AB8" w:rsidRPr="0053555E" w:rsidRDefault="003B5AB8" w:rsidP="003B5AB8">
      <w:pPr>
        <w:tabs>
          <w:tab w:val="left" w:pos="9356"/>
        </w:tabs>
        <w:ind w:right="-597"/>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Študijné programy v prvom a druhom stupni štúdia sú akreditované len v dennej forme štúdia. Študijné programy v treťom stupni štúdia sú akreditované v dennej aj externej forme štúdia.</w:t>
      </w:r>
    </w:p>
    <w:p w14:paraId="32F6E75B" w14:textId="28F01320" w:rsidR="003B5AB8" w:rsidRPr="0053555E" w:rsidRDefault="003B5AB8" w:rsidP="003B5AB8">
      <w:pPr>
        <w:tabs>
          <w:tab w:val="left" w:pos="9356"/>
        </w:tabs>
        <w:ind w:right="-597"/>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 xml:space="preserve">ŠO – študijný odbor podľa sústavy študijných odborov SR platnej od 01. 09. 2019, ak </w:t>
      </w:r>
      <w:r w:rsidR="00823E5A">
        <w:rPr>
          <w:rFonts w:asciiTheme="majorHAnsi" w:eastAsia="Times New Roman" w:hAnsiTheme="majorHAnsi" w:cstheme="majorHAnsi"/>
          <w:sz w:val="20"/>
          <w:szCs w:val="22"/>
          <w:lang w:eastAsia="sk-SK"/>
        </w:rPr>
        <w:t xml:space="preserve">sa </w:t>
      </w:r>
      <w:r w:rsidRPr="0053555E">
        <w:rPr>
          <w:rFonts w:asciiTheme="majorHAnsi" w:eastAsia="Times New Roman" w:hAnsiTheme="majorHAnsi" w:cstheme="majorHAnsi"/>
          <w:sz w:val="20"/>
          <w:szCs w:val="22"/>
          <w:lang w:eastAsia="sk-SK"/>
        </w:rPr>
        <w:t xml:space="preserve">študijný program uskutočňuje v kombinácii dvoch študijných odborov, započítané sú v rámci príslušnej súčasti STU obidva študijné odbory samostatne. </w:t>
      </w:r>
    </w:p>
    <w:p w14:paraId="45166B7F" w14:textId="77777777" w:rsidR="003B5AB8" w:rsidRPr="0053555E" w:rsidRDefault="003B5AB8" w:rsidP="003B5AB8">
      <w:pPr>
        <w:tabs>
          <w:tab w:val="left" w:pos="9356"/>
        </w:tabs>
        <w:jc w:val="both"/>
        <w:rPr>
          <w:rFonts w:asciiTheme="majorHAnsi" w:hAnsiTheme="majorHAnsi" w:cstheme="majorHAnsi"/>
        </w:rPr>
        <w:sectPr w:rsidR="003B5AB8" w:rsidRPr="0053555E" w:rsidSect="0054078E">
          <w:headerReference w:type="default" r:id="rId17"/>
          <w:pgSz w:w="16838" w:h="11906" w:orient="landscape"/>
          <w:pgMar w:top="1418" w:right="1559" w:bottom="851" w:left="567" w:header="284" w:footer="544" w:gutter="0"/>
          <w:cols w:space="708"/>
        </w:sectPr>
      </w:pPr>
    </w:p>
    <w:p w14:paraId="0826AE06" w14:textId="334B5AE2" w:rsidR="0042210A" w:rsidRPr="000E4D8E" w:rsidRDefault="000E4D8E" w:rsidP="000E4D8E">
      <w:pPr>
        <w:rPr>
          <w:b/>
          <w:sz w:val="28"/>
          <w:szCs w:val="28"/>
        </w:rPr>
      </w:pPr>
      <w:bookmarkStart w:id="19" w:name="_Počty_a_štruktúra_1"/>
      <w:bookmarkStart w:id="20" w:name="_Toc127593215"/>
      <w:bookmarkEnd w:id="19"/>
      <w:r w:rsidRPr="000E4D8E">
        <w:rPr>
          <w:b/>
          <w:sz w:val="28"/>
          <w:szCs w:val="28"/>
        </w:rPr>
        <w:lastRenderedPageBreak/>
        <w:t xml:space="preserve">3.2. </w:t>
      </w:r>
      <w:r w:rsidR="00F2366F" w:rsidRPr="000E4D8E">
        <w:rPr>
          <w:b/>
          <w:sz w:val="28"/>
          <w:szCs w:val="28"/>
        </w:rPr>
        <w:t>P</w:t>
      </w:r>
      <w:r w:rsidR="0042210A" w:rsidRPr="000E4D8E">
        <w:rPr>
          <w:b/>
          <w:sz w:val="28"/>
          <w:szCs w:val="28"/>
        </w:rPr>
        <w:t>očty a štruktúra študentov na STU</w:t>
      </w:r>
      <w:bookmarkEnd w:id="20"/>
    </w:p>
    <w:p w14:paraId="6CEA4C31" w14:textId="77777777" w:rsidR="000E4D8E" w:rsidRPr="000E4D8E" w:rsidRDefault="000E4D8E" w:rsidP="000E4D8E"/>
    <w:p w14:paraId="4EEEC936" w14:textId="3797EF75" w:rsidR="0042210A" w:rsidRPr="0053555E" w:rsidRDefault="0042210A" w:rsidP="0042210A">
      <w:pPr>
        <w:tabs>
          <w:tab w:val="left" w:pos="9498"/>
        </w:tabs>
        <w:jc w:val="both"/>
        <w:rPr>
          <w:rFonts w:asciiTheme="majorHAnsi" w:hAnsiTheme="majorHAnsi" w:cstheme="majorHAnsi"/>
        </w:rPr>
      </w:pPr>
      <w:r w:rsidRPr="0053555E">
        <w:rPr>
          <w:rFonts w:asciiTheme="majorHAnsi" w:hAnsiTheme="majorHAnsi" w:cstheme="majorHAnsi"/>
        </w:rPr>
        <w:t xml:space="preserve">STU mala v akademickom roku </w:t>
      </w:r>
      <w:r w:rsidR="00EA24BA" w:rsidRPr="0053555E">
        <w:rPr>
          <w:rFonts w:asciiTheme="majorHAnsi" w:hAnsiTheme="majorHAnsi" w:cstheme="majorHAnsi"/>
        </w:rPr>
        <w:t>2021/2022</w:t>
      </w:r>
      <w:r w:rsidRPr="0053555E">
        <w:rPr>
          <w:rFonts w:asciiTheme="majorHAnsi" w:hAnsiTheme="majorHAnsi" w:cstheme="majorHAnsi"/>
        </w:rPr>
        <w:t xml:space="preserve"> (stav k 31. 10. 20</w:t>
      </w:r>
      <w:r w:rsidR="00EA03B3" w:rsidRPr="0053555E">
        <w:rPr>
          <w:rFonts w:asciiTheme="majorHAnsi" w:hAnsiTheme="majorHAnsi" w:cstheme="majorHAnsi"/>
        </w:rPr>
        <w:t>2</w:t>
      </w:r>
      <w:r w:rsidR="004A5C7E">
        <w:rPr>
          <w:rFonts w:asciiTheme="majorHAnsi" w:hAnsiTheme="majorHAnsi" w:cstheme="majorHAnsi"/>
        </w:rPr>
        <w:t>1</w:t>
      </w:r>
      <w:r w:rsidRPr="0053555E">
        <w:rPr>
          <w:rFonts w:asciiTheme="majorHAnsi" w:hAnsiTheme="majorHAnsi" w:cstheme="majorHAnsi"/>
        </w:rPr>
        <w:t xml:space="preserve">) celkovo </w:t>
      </w:r>
      <w:r w:rsidRPr="0053555E">
        <w:rPr>
          <w:rFonts w:asciiTheme="majorHAnsi" w:hAnsiTheme="majorHAnsi" w:cstheme="majorHAnsi"/>
          <w:b/>
        </w:rPr>
        <w:t xml:space="preserve">10 </w:t>
      </w:r>
      <w:r w:rsidR="004A5C7E">
        <w:rPr>
          <w:rFonts w:asciiTheme="majorHAnsi" w:hAnsiTheme="majorHAnsi" w:cstheme="majorHAnsi"/>
          <w:b/>
        </w:rPr>
        <w:t>543</w:t>
      </w:r>
      <w:r w:rsidRPr="0053555E">
        <w:rPr>
          <w:rFonts w:asciiTheme="majorHAnsi" w:hAnsiTheme="majorHAnsi" w:cstheme="majorHAnsi"/>
          <w:b/>
        </w:rPr>
        <w:t xml:space="preserve"> študentov (z toho 3 </w:t>
      </w:r>
      <w:r w:rsidR="00C052DB" w:rsidRPr="0053555E">
        <w:rPr>
          <w:rFonts w:asciiTheme="majorHAnsi" w:hAnsiTheme="majorHAnsi" w:cstheme="majorHAnsi"/>
          <w:b/>
        </w:rPr>
        <w:t>3</w:t>
      </w:r>
      <w:r w:rsidR="00EF3A5B">
        <w:rPr>
          <w:rFonts w:asciiTheme="majorHAnsi" w:hAnsiTheme="majorHAnsi" w:cstheme="majorHAnsi"/>
          <w:b/>
        </w:rPr>
        <w:t>4</w:t>
      </w:r>
      <w:r w:rsidRPr="0053555E">
        <w:rPr>
          <w:rFonts w:asciiTheme="majorHAnsi" w:hAnsiTheme="majorHAnsi" w:cstheme="majorHAnsi"/>
          <w:b/>
        </w:rPr>
        <w:t>5 žien)</w:t>
      </w:r>
      <w:r w:rsidRPr="0053555E">
        <w:rPr>
          <w:rFonts w:asciiTheme="majorHAnsi" w:hAnsiTheme="majorHAnsi" w:cstheme="majorHAnsi"/>
        </w:rPr>
        <w:t xml:space="preserve">; </w:t>
      </w:r>
      <w:r w:rsidRPr="0053555E">
        <w:rPr>
          <w:rFonts w:asciiTheme="majorHAnsi" w:hAnsiTheme="majorHAnsi" w:cstheme="majorHAnsi"/>
          <w:b/>
        </w:rPr>
        <w:t xml:space="preserve">6 </w:t>
      </w:r>
      <w:r w:rsidR="00F8105E">
        <w:rPr>
          <w:rFonts w:asciiTheme="majorHAnsi" w:hAnsiTheme="majorHAnsi" w:cstheme="majorHAnsi"/>
          <w:b/>
        </w:rPr>
        <w:t>842</w:t>
      </w:r>
      <w:r w:rsidRPr="0053555E">
        <w:rPr>
          <w:rFonts w:asciiTheme="majorHAnsi" w:hAnsiTheme="majorHAnsi" w:cstheme="majorHAnsi"/>
          <w:b/>
        </w:rPr>
        <w:t xml:space="preserve"> na prvom stupni (z toho 2 </w:t>
      </w:r>
      <w:r w:rsidR="001D1BCA">
        <w:rPr>
          <w:rFonts w:asciiTheme="majorHAnsi" w:hAnsiTheme="majorHAnsi" w:cstheme="majorHAnsi"/>
          <w:b/>
        </w:rPr>
        <w:t>105</w:t>
      </w:r>
      <w:r w:rsidRPr="0053555E">
        <w:rPr>
          <w:rFonts w:asciiTheme="majorHAnsi" w:hAnsiTheme="majorHAnsi" w:cstheme="majorHAnsi"/>
          <w:b/>
        </w:rPr>
        <w:t xml:space="preserve"> žien), </w:t>
      </w:r>
      <w:r w:rsidR="00C661E9" w:rsidRPr="0053555E">
        <w:rPr>
          <w:rFonts w:asciiTheme="majorHAnsi" w:hAnsiTheme="majorHAnsi" w:cstheme="majorHAnsi"/>
          <w:b/>
        </w:rPr>
        <w:t>2</w:t>
      </w:r>
      <w:r w:rsidRPr="0053555E">
        <w:rPr>
          <w:rFonts w:asciiTheme="majorHAnsi" w:hAnsiTheme="majorHAnsi" w:cstheme="majorHAnsi"/>
          <w:b/>
        </w:rPr>
        <w:t> </w:t>
      </w:r>
      <w:r w:rsidR="00C661E9" w:rsidRPr="0053555E">
        <w:rPr>
          <w:rFonts w:asciiTheme="majorHAnsi" w:hAnsiTheme="majorHAnsi" w:cstheme="majorHAnsi"/>
          <w:b/>
        </w:rPr>
        <w:t>9</w:t>
      </w:r>
      <w:r w:rsidR="001D1BCA">
        <w:rPr>
          <w:rFonts w:asciiTheme="majorHAnsi" w:hAnsiTheme="majorHAnsi" w:cstheme="majorHAnsi"/>
          <w:b/>
        </w:rPr>
        <w:t>23</w:t>
      </w:r>
      <w:r w:rsidRPr="0053555E">
        <w:rPr>
          <w:rFonts w:asciiTheme="majorHAnsi" w:hAnsiTheme="majorHAnsi" w:cstheme="majorHAnsi"/>
          <w:b/>
        </w:rPr>
        <w:t xml:space="preserve"> na druhom stupni (z toho </w:t>
      </w:r>
      <w:r w:rsidR="00C661E9" w:rsidRPr="0053555E">
        <w:rPr>
          <w:rFonts w:asciiTheme="majorHAnsi" w:hAnsiTheme="majorHAnsi" w:cstheme="majorHAnsi"/>
          <w:b/>
        </w:rPr>
        <w:t>9</w:t>
      </w:r>
      <w:r w:rsidR="001D1BCA">
        <w:rPr>
          <w:rFonts w:asciiTheme="majorHAnsi" w:hAnsiTheme="majorHAnsi" w:cstheme="majorHAnsi"/>
          <w:b/>
        </w:rPr>
        <w:t>52</w:t>
      </w:r>
      <w:r w:rsidRPr="0053555E">
        <w:rPr>
          <w:rFonts w:asciiTheme="majorHAnsi" w:hAnsiTheme="majorHAnsi" w:cstheme="majorHAnsi"/>
          <w:b/>
        </w:rPr>
        <w:t xml:space="preserve"> žien) a 7</w:t>
      </w:r>
      <w:r w:rsidR="001D1BCA">
        <w:rPr>
          <w:rFonts w:asciiTheme="majorHAnsi" w:hAnsiTheme="majorHAnsi" w:cstheme="majorHAnsi"/>
          <w:b/>
        </w:rPr>
        <w:t>78</w:t>
      </w:r>
      <w:r w:rsidRPr="0053555E">
        <w:rPr>
          <w:rFonts w:asciiTheme="majorHAnsi" w:hAnsiTheme="majorHAnsi" w:cstheme="majorHAnsi"/>
          <w:b/>
        </w:rPr>
        <w:t xml:space="preserve"> na treťom stupni štúdia (z toho 2</w:t>
      </w:r>
      <w:r w:rsidR="001D1BCA">
        <w:rPr>
          <w:rFonts w:asciiTheme="majorHAnsi" w:hAnsiTheme="majorHAnsi" w:cstheme="majorHAnsi"/>
          <w:b/>
        </w:rPr>
        <w:t>88</w:t>
      </w:r>
      <w:r w:rsidRPr="0053555E">
        <w:rPr>
          <w:rFonts w:asciiTheme="majorHAnsi" w:hAnsiTheme="majorHAnsi" w:cstheme="majorHAnsi"/>
          <w:b/>
        </w:rPr>
        <w:t xml:space="preserve"> žien). V dennej forme študovalo </w:t>
      </w:r>
      <w:r w:rsidR="00C57A60">
        <w:rPr>
          <w:rFonts w:asciiTheme="majorHAnsi" w:hAnsiTheme="majorHAnsi" w:cstheme="majorHAnsi"/>
          <w:b/>
        </w:rPr>
        <w:t>608</w:t>
      </w:r>
      <w:r w:rsidRPr="0053555E">
        <w:rPr>
          <w:rFonts w:asciiTheme="majorHAnsi" w:hAnsiTheme="majorHAnsi" w:cstheme="majorHAnsi"/>
          <w:b/>
        </w:rPr>
        <w:t xml:space="preserve"> doktorandov (z toho </w:t>
      </w:r>
      <w:r w:rsidR="00C57A60">
        <w:rPr>
          <w:rFonts w:asciiTheme="majorHAnsi" w:hAnsiTheme="majorHAnsi" w:cstheme="majorHAnsi"/>
          <w:b/>
        </w:rPr>
        <w:t>237</w:t>
      </w:r>
      <w:r w:rsidRPr="0053555E">
        <w:rPr>
          <w:rFonts w:asciiTheme="majorHAnsi" w:hAnsiTheme="majorHAnsi" w:cstheme="majorHAnsi"/>
          <w:b/>
        </w:rPr>
        <w:t xml:space="preserve"> žien) a v externej forme študovalo </w:t>
      </w:r>
      <w:r w:rsidR="00C57A60">
        <w:rPr>
          <w:rFonts w:asciiTheme="majorHAnsi" w:hAnsiTheme="majorHAnsi" w:cstheme="majorHAnsi"/>
          <w:b/>
        </w:rPr>
        <w:t>170</w:t>
      </w:r>
      <w:r w:rsidRPr="0053555E">
        <w:rPr>
          <w:rFonts w:asciiTheme="majorHAnsi" w:hAnsiTheme="majorHAnsi" w:cstheme="majorHAnsi"/>
          <w:b/>
        </w:rPr>
        <w:t xml:space="preserve"> doktorandov (z toho </w:t>
      </w:r>
      <w:r w:rsidR="00C57A60">
        <w:rPr>
          <w:rFonts w:asciiTheme="majorHAnsi" w:hAnsiTheme="majorHAnsi" w:cstheme="majorHAnsi"/>
          <w:b/>
        </w:rPr>
        <w:t>51</w:t>
      </w:r>
      <w:r w:rsidRPr="0053555E">
        <w:rPr>
          <w:rFonts w:asciiTheme="majorHAnsi" w:hAnsiTheme="majorHAnsi" w:cstheme="majorHAnsi"/>
          <w:b/>
        </w:rPr>
        <w:t xml:space="preserve"> žien)</w:t>
      </w:r>
      <w:r w:rsidRPr="0053555E">
        <w:rPr>
          <w:rFonts w:asciiTheme="majorHAnsi" w:hAnsiTheme="majorHAnsi" w:cstheme="majorHAnsi"/>
        </w:rPr>
        <w:t>. Prehľad o počtoch a štruktúre študentov v akad</w:t>
      </w:r>
      <w:r w:rsidR="00C57A60">
        <w:rPr>
          <w:rFonts w:asciiTheme="majorHAnsi" w:hAnsiTheme="majorHAnsi" w:cstheme="majorHAnsi"/>
        </w:rPr>
        <w:t>emickom</w:t>
      </w:r>
      <w:r w:rsidRPr="0053555E">
        <w:rPr>
          <w:rFonts w:asciiTheme="majorHAnsi" w:hAnsiTheme="majorHAnsi" w:cstheme="majorHAnsi"/>
        </w:rPr>
        <w:t xml:space="preserve"> roku </w:t>
      </w:r>
      <w:r w:rsidR="00EA24BA" w:rsidRPr="0053555E">
        <w:rPr>
          <w:rFonts w:asciiTheme="majorHAnsi" w:hAnsiTheme="majorHAnsi" w:cstheme="majorHAnsi"/>
        </w:rPr>
        <w:t>2021/2022</w:t>
      </w:r>
      <w:r w:rsidRPr="0053555E">
        <w:rPr>
          <w:rFonts w:asciiTheme="majorHAnsi" w:hAnsiTheme="majorHAnsi" w:cstheme="majorHAnsi"/>
        </w:rPr>
        <w:t xml:space="preserve"> uvádza </w:t>
      </w:r>
      <w:r w:rsidRPr="0053555E">
        <w:rPr>
          <w:rFonts w:asciiTheme="majorHAnsi" w:eastAsia="Times New Roman" w:hAnsiTheme="majorHAnsi" w:cstheme="majorHAnsi"/>
          <w:sz w:val="20"/>
          <w:szCs w:val="22"/>
          <w:lang w:eastAsia="sk-SK"/>
        </w:rPr>
        <w:fldChar w:fldCharType="begin"/>
      </w:r>
      <w:r w:rsidRPr="0053555E">
        <w:rPr>
          <w:rFonts w:asciiTheme="majorHAnsi" w:eastAsia="Times New Roman" w:hAnsiTheme="majorHAnsi" w:cstheme="majorHAnsi"/>
          <w:sz w:val="20"/>
          <w:szCs w:val="22"/>
          <w:lang w:eastAsia="sk-SK"/>
        </w:rPr>
        <w:instrText xml:space="preserve"> REF _Ref31707092 \h  \* MERGEFORMAT </w:instrText>
      </w:r>
      <w:r w:rsidRPr="0053555E">
        <w:rPr>
          <w:rFonts w:asciiTheme="majorHAnsi" w:eastAsia="Times New Roman" w:hAnsiTheme="majorHAnsi" w:cstheme="majorHAnsi"/>
          <w:sz w:val="20"/>
          <w:szCs w:val="22"/>
          <w:lang w:eastAsia="sk-SK"/>
        </w:rPr>
      </w:r>
      <w:r w:rsidRPr="0053555E">
        <w:rPr>
          <w:rFonts w:asciiTheme="majorHAnsi" w:eastAsia="Times New Roman" w:hAnsiTheme="majorHAnsi" w:cstheme="majorHAnsi"/>
          <w:sz w:val="20"/>
          <w:szCs w:val="22"/>
          <w:lang w:eastAsia="sk-SK"/>
        </w:rPr>
        <w:fldChar w:fldCharType="separate"/>
      </w:r>
      <w:r w:rsidR="00EE1B59" w:rsidRPr="00EE1B59">
        <w:rPr>
          <w:rFonts w:asciiTheme="majorHAnsi" w:eastAsia="Times New Roman" w:hAnsiTheme="majorHAnsi" w:cstheme="majorHAnsi"/>
          <w:sz w:val="20"/>
          <w:szCs w:val="22"/>
          <w:lang w:eastAsia="sk-SK"/>
        </w:rPr>
        <w:t>Tab. č. 5</w:t>
      </w:r>
      <w:r w:rsidRPr="0053555E">
        <w:rPr>
          <w:rFonts w:asciiTheme="majorHAnsi" w:eastAsia="Times New Roman" w:hAnsiTheme="majorHAnsi" w:cstheme="majorHAnsi"/>
          <w:sz w:val="20"/>
          <w:szCs w:val="22"/>
          <w:lang w:eastAsia="sk-SK"/>
        </w:rPr>
        <w:fldChar w:fldCharType="end"/>
      </w:r>
      <w:r w:rsidRPr="0053555E">
        <w:rPr>
          <w:rFonts w:asciiTheme="majorHAnsi" w:eastAsia="Times New Roman" w:hAnsiTheme="majorHAnsi" w:cstheme="majorHAnsi"/>
          <w:sz w:val="20"/>
          <w:szCs w:val="22"/>
          <w:lang w:eastAsia="sk-SK"/>
        </w:rPr>
        <w:t xml:space="preserve">. </w:t>
      </w:r>
      <w:r w:rsidRPr="0053555E">
        <w:rPr>
          <w:rFonts w:asciiTheme="majorHAnsi" w:hAnsiTheme="majorHAnsi" w:cstheme="majorHAnsi"/>
          <w:b/>
        </w:rPr>
        <w:t xml:space="preserve">V ďalšom texte sa bude bližšie analyzovať stav študentov v akademickom roku </w:t>
      </w:r>
      <w:r w:rsidR="00EA24BA" w:rsidRPr="0053555E">
        <w:rPr>
          <w:rFonts w:asciiTheme="majorHAnsi" w:hAnsiTheme="majorHAnsi" w:cstheme="majorHAnsi"/>
          <w:b/>
        </w:rPr>
        <w:t>2021/2022</w:t>
      </w:r>
      <w:r w:rsidRPr="0053555E">
        <w:rPr>
          <w:rFonts w:asciiTheme="majorHAnsi" w:hAnsiTheme="majorHAnsi" w:cstheme="majorHAnsi"/>
          <w:b/>
        </w:rPr>
        <w:t>,</w:t>
      </w:r>
      <w:r w:rsidRPr="0053555E">
        <w:rPr>
          <w:rFonts w:asciiTheme="majorHAnsi" w:hAnsiTheme="majorHAnsi" w:cstheme="majorHAnsi"/>
        </w:rPr>
        <w:t xml:space="preserve"> avšak pre porovnanie je v </w:t>
      </w:r>
      <w:r w:rsidRPr="0053555E">
        <w:rPr>
          <w:rFonts w:asciiTheme="majorHAnsi" w:eastAsia="Times New Roman" w:hAnsiTheme="majorHAnsi" w:cstheme="majorHAnsi"/>
          <w:sz w:val="20"/>
          <w:szCs w:val="22"/>
          <w:lang w:eastAsia="sk-SK"/>
        </w:rPr>
        <w:fldChar w:fldCharType="begin"/>
      </w:r>
      <w:r w:rsidRPr="0053555E">
        <w:rPr>
          <w:rFonts w:asciiTheme="majorHAnsi" w:eastAsia="Times New Roman" w:hAnsiTheme="majorHAnsi" w:cstheme="majorHAnsi"/>
          <w:sz w:val="20"/>
          <w:szCs w:val="22"/>
          <w:lang w:eastAsia="sk-SK"/>
        </w:rPr>
        <w:instrText xml:space="preserve"> REF _Ref31707073 \h  \* MERGEFORMAT </w:instrText>
      </w:r>
      <w:r w:rsidRPr="0053555E">
        <w:rPr>
          <w:rFonts w:asciiTheme="majorHAnsi" w:eastAsia="Times New Roman" w:hAnsiTheme="majorHAnsi" w:cstheme="majorHAnsi"/>
          <w:sz w:val="20"/>
          <w:szCs w:val="22"/>
          <w:lang w:eastAsia="sk-SK"/>
        </w:rPr>
      </w:r>
      <w:r w:rsidRPr="0053555E">
        <w:rPr>
          <w:rFonts w:asciiTheme="majorHAnsi" w:eastAsia="Times New Roman" w:hAnsiTheme="majorHAnsi" w:cstheme="majorHAnsi"/>
          <w:sz w:val="20"/>
          <w:szCs w:val="22"/>
          <w:lang w:eastAsia="sk-SK"/>
        </w:rPr>
        <w:fldChar w:fldCharType="separate"/>
      </w:r>
      <w:r w:rsidR="00EE1B59" w:rsidRPr="00EE1B59">
        <w:rPr>
          <w:rFonts w:asciiTheme="majorHAnsi" w:eastAsia="Times New Roman" w:hAnsiTheme="majorHAnsi" w:cstheme="majorHAnsi"/>
          <w:sz w:val="20"/>
          <w:szCs w:val="22"/>
          <w:lang w:eastAsia="sk-SK"/>
        </w:rPr>
        <w:t>Tab. č</w:t>
      </w:r>
      <w:r w:rsidR="00EE1B59" w:rsidRPr="00EE1B59">
        <w:rPr>
          <w:rFonts w:asciiTheme="majorHAnsi" w:hAnsiTheme="majorHAnsi" w:cstheme="majorHAnsi"/>
          <w:sz w:val="20"/>
        </w:rPr>
        <w:t>.</w:t>
      </w:r>
      <w:r w:rsidR="00EE1B59" w:rsidRPr="00EE1B59">
        <w:rPr>
          <w:noProof/>
          <w:sz w:val="20"/>
        </w:rPr>
        <w:t xml:space="preserve"> 6</w:t>
      </w:r>
      <w:r w:rsidRPr="0053555E">
        <w:rPr>
          <w:rFonts w:asciiTheme="majorHAnsi" w:eastAsia="Times New Roman" w:hAnsiTheme="majorHAnsi" w:cstheme="majorHAnsi"/>
          <w:sz w:val="20"/>
          <w:szCs w:val="22"/>
          <w:lang w:eastAsia="sk-SK"/>
        </w:rPr>
        <w:fldChar w:fldCharType="end"/>
      </w:r>
      <w:r w:rsidRPr="0053555E">
        <w:rPr>
          <w:rFonts w:asciiTheme="majorHAnsi" w:eastAsia="Times New Roman" w:hAnsiTheme="majorHAnsi" w:cstheme="majorHAnsi"/>
          <w:sz w:val="20"/>
          <w:szCs w:val="22"/>
          <w:lang w:eastAsia="sk-SK"/>
        </w:rPr>
        <w:t xml:space="preserve"> </w:t>
      </w:r>
      <w:r w:rsidRPr="0053555E">
        <w:rPr>
          <w:rFonts w:asciiTheme="majorHAnsi" w:hAnsiTheme="majorHAnsi" w:cstheme="majorHAnsi"/>
        </w:rPr>
        <w:t xml:space="preserve">uvedený aj prehľad o počtoch a štruktúre študentov v akademickom roku </w:t>
      </w:r>
      <w:r w:rsidR="00EA24BA" w:rsidRPr="0053555E">
        <w:rPr>
          <w:rFonts w:asciiTheme="majorHAnsi" w:hAnsiTheme="majorHAnsi" w:cstheme="majorHAnsi"/>
        </w:rPr>
        <w:t>2022/2023</w:t>
      </w:r>
      <w:r w:rsidRPr="0053555E">
        <w:rPr>
          <w:rFonts w:asciiTheme="majorHAnsi" w:hAnsiTheme="majorHAnsi" w:cstheme="majorHAnsi"/>
        </w:rPr>
        <w:t xml:space="preserve"> a rovnako pri niektorých ďalších ukazovateľoch sa uvádzajú aj informácie platné pre akademický rok </w:t>
      </w:r>
      <w:r w:rsidR="00EA24BA" w:rsidRPr="0053555E">
        <w:rPr>
          <w:rFonts w:asciiTheme="majorHAnsi" w:hAnsiTheme="majorHAnsi" w:cstheme="majorHAnsi"/>
        </w:rPr>
        <w:t>2022/2023</w:t>
      </w:r>
      <w:r w:rsidRPr="0053555E">
        <w:rPr>
          <w:rFonts w:asciiTheme="majorHAnsi" w:hAnsiTheme="majorHAnsi" w:cstheme="majorHAnsi"/>
        </w:rPr>
        <w:t xml:space="preserve">. </w:t>
      </w:r>
    </w:p>
    <w:p w14:paraId="39A9FCD3" w14:textId="77777777" w:rsidR="0042210A" w:rsidRPr="0053555E" w:rsidRDefault="0042210A" w:rsidP="0042210A">
      <w:pPr>
        <w:tabs>
          <w:tab w:val="left" w:pos="9356"/>
        </w:tabs>
        <w:jc w:val="both"/>
        <w:rPr>
          <w:rFonts w:asciiTheme="majorHAnsi" w:hAnsiTheme="majorHAnsi" w:cstheme="majorHAnsi"/>
          <w:sz w:val="22"/>
        </w:rPr>
      </w:pPr>
    </w:p>
    <w:p w14:paraId="0DB92005" w14:textId="1A87928F" w:rsidR="008E3C7B" w:rsidRPr="0053555E" w:rsidRDefault="0042210A" w:rsidP="000E3322">
      <w:pPr>
        <w:pStyle w:val="Popis"/>
      </w:pPr>
      <w:bookmarkStart w:id="21" w:name="_Ref31707092"/>
      <w:bookmarkStart w:id="22" w:name="_Ref474776608"/>
      <w:bookmarkStart w:id="23" w:name="_Toc127593268"/>
      <w:r w:rsidRPr="0053555E">
        <w:t xml:space="preserve">Tab. č. </w:t>
      </w:r>
      <w:r w:rsidR="007B5953">
        <w:fldChar w:fldCharType="begin"/>
      </w:r>
      <w:r w:rsidR="007B5953">
        <w:instrText xml:space="preserve"> SEQ Tab._č. \* ARABIC </w:instrText>
      </w:r>
      <w:r w:rsidR="007B5953">
        <w:fldChar w:fldCharType="separate"/>
      </w:r>
      <w:r w:rsidR="00EE1B59">
        <w:rPr>
          <w:noProof/>
        </w:rPr>
        <w:t>5</w:t>
      </w:r>
      <w:r w:rsidR="007B5953">
        <w:rPr>
          <w:noProof/>
        </w:rPr>
        <w:fldChar w:fldCharType="end"/>
      </w:r>
      <w:bookmarkEnd w:id="21"/>
      <w:r w:rsidRPr="0053555E">
        <w:rPr>
          <w:rFonts w:eastAsia="Times New Roman"/>
          <w:szCs w:val="22"/>
          <w:lang w:eastAsia="sk-SK"/>
        </w:rPr>
        <w:t xml:space="preserve">: </w:t>
      </w:r>
      <w:bookmarkEnd w:id="22"/>
      <w:r w:rsidRPr="0053555E">
        <w:t xml:space="preserve">Počet študentov STU v akademickom roku </w:t>
      </w:r>
      <w:r w:rsidR="00EA24BA" w:rsidRPr="0053555E">
        <w:rPr>
          <w:b/>
        </w:rPr>
        <w:t>2021/2022</w:t>
      </w:r>
      <w:r w:rsidRPr="0053555E">
        <w:t xml:space="preserve"> k 31. 10. 20</w:t>
      </w:r>
      <w:r w:rsidR="0048732B" w:rsidRPr="0053555E">
        <w:t>2</w:t>
      </w:r>
      <w:r w:rsidR="000F678F" w:rsidRPr="0053555E">
        <w:t>1</w:t>
      </w:r>
      <w:bookmarkEnd w:id="23"/>
    </w:p>
    <w:tbl>
      <w:tblPr>
        <w:tblpPr w:leftFromText="141" w:rightFromText="141" w:vertAnchor="text" w:horzAnchor="margin" w:tblpY="139"/>
        <w:tblW w:w="9495" w:type="dxa"/>
        <w:tblLayout w:type="fixed"/>
        <w:tblCellMar>
          <w:left w:w="70" w:type="dxa"/>
          <w:right w:w="70" w:type="dxa"/>
        </w:tblCellMar>
        <w:tblLook w:val="04A0" w:firstRow="1" w:lastRow="0" w:firstColumn="1" w:lastColumn="0" w:noHBand="0" w:noVBand="1"/>
      </w:tblPr>
      <w:tblGrid>
        <w:gridCol w:w="959"/>
        <w:gridCol w:w="1144"/>
        <w:gridCol w:w="1144"/>
        <w:gridCol w:w="1003"/>
        <w:gridCol w:w="992"/>
        <w:gridCol w:w="992"/>
        <w:gridCol w:w="993"/>
        <w:gridCol w:w="850"/>
        <w:gridCol w:w="1418"/>
      </w:tblGrid>
      <w:tr w:rsidR="000F678F" w:rsidRPr="0053555E" w14:paraId="0E04C98B" w14:textId="77777777" w:rsidTr="000F678F">
        <w:trPr>
          <w:trHeight w:val="636"/>
        </w:trPr>
        <w:tc>
          <w:tcPr>
            <w:tcW w:w="959" w:type="dxa"/>
            <w:vMerge w:val="restart"/>
            <w:tcBorders>
              <w:top w:val="single" w:sz="4" w:space="0" w:color="auto"/>
              <w:left w:val="single" w:sz="4" w:space="0" w:color="auto"/>
              <w:bottom w:val="single" w:sz="4" w:space="0" w:color="000000"/>
              <w:right w:val="single" w:sz="4" w:space="0" w:color="auto"/>
            </w:tcBorders>
            <w:vAlign w:val="bottom"/>
            <w:hideMark/>
          </w:tcPr>
          <w:p w14:paraId="0D22E453" w14:textId="77777777" w:rsidR="000F678F" w:rsidRPr="0053555E" w:rsidRDefault="000F678F" w:rsidP="000F678F">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Súčasť STU</w:t>
            </w:r>
          </w:p>
        </w:tc>
        <w:tc>
          <w:tcPr>
            <w:tcW w:w="3291" w:type="dxa"/>
            <w:gridSpan w:val="3"/>
            <w:tcBorders>
              <w:top w:val="single" w:sz="4" w:space="0" w:color="auto"/>
              <w:left w:val="nil"/>
              <w:bottom w:val="single" w:sz="4" w:space="0" w:color="auto"/>
              <w:right w:val="single" w:sz="8" w:space="0" w:color="000000"/>
            </w:tcBorders>
            <w:vAlign w:val="center"/>
            <w:hideMark/>
          </w:tcPr>
          <w:p w14:paraId="0E9E0558" w14:textId="77777777" w:rsidR="000F678F" w:rsidRPr="0053555E" w:rsidRDefault="000F678F" w:rsidP="000F678F">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Denné štúdium</w:t>
            </w:r>
          </w:p>
          <w:p w14:paraId="5F3FB57E" w14:textId="77777777" w:rsidR="000F678F" w:rsidRPr="0053555E" w:rsidRDefault="000F678F" w:rsidP="000F678F">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(občania SR + cudzinci)</w:t>
            </w:r>
          </w:p>
        </w:tc>
        <w:tc>
          <w:tcPr>
            <w:tcW w:w="2977" w:type="dxa"/>
            <w:gridSpan w:val="3"/>
            <w:tcBorders>
              <w:top w:val="single" w:sz="4" w:space="0" w:color="auto"/>
              <w:left w:val="nil"/>
              <w:bottom w:val="single" w:sz="4" w:space="0" w:color="auto"/>
              <w:right w:val="single" w:sz="4" w:space="0" w:color="auto"/>
            </w:tcBorders>
            <w:vAlign w:val="center"/>
            <w:hideMark/>
          </w:tcPr>
          <w:p w14:paraId="2A228947" w14:textId="77777777" w:rsidR="000F678F" w:rsidRPr="0053555E" w:rsidRDefault="000F678F" w:rsidP="000F678F">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Externé štúdium</w:t>
            </w:r>
          </w:p>
          <w:p w14:paraId="09F92EDB" w14:textId="77777777" w:rsidR="000F678F" w:rsidRPr="0053555E" w:rsidRDefault="000F678F" w:rsidP="000F678F">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(občania SR + cudzinci)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8734AB" w14:textId="77777777" w:rsidR="000F678F" w:rsidRPr="0053555E" w:rsidRDefault="000F678F" w:rsidP="000F678F">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Cudzinci všetky stupne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8FC44EF" w14:textId="77777777" w:rsidR="000F678F" w:rsidRPr="0053555E" w:rsidRDefault="000F678F" w:rsidP="000F678F">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b/>
                <w:sz w:val="18"/>
                <w:szCs w:val="18"/>
                <w:lang w:eastAsia="sk-SK"/>
              </w:rPr>
              <w:t xml:space="preserve">STU celkom </w:t>
            </w:r>
            <w:r w:rsidRPr="0053555E">
              <w:rPr>
                <w:rFonts w:asciiTheme="majorHAnsi" w:eastAsia="Times New Roman" w:hAnsiTheme="majorHAnsi" w:cstheme="majorHAnsi"/>
                <w:sz w:val="18"/>
                <w:szCs w:val="18"/>
                <w:lang w:eastAsia="sk-SK"/>
              </w:rPr>
              <w:t>(občania SR i</w:t>
            </w:r>
          </w:p>
          <w:p w14:paraId="60ED633B" w14:textId="77777777" w:rsidR="000F678F" w:rsidRPr="0053555E" w:rsidRDefault="000F678F" w:rsidP="000F678F">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18"/>
                <w:szCs w:val="18"/>
                <w:lang w:eastAsia="sk-SK"/>
              </w:rPr>
              <w:t>+ cudzinci)</w:t>
            </w:r>
          </w:p>
        </w:tc>
      </w:tr>
      <w:tr w:rsidR="000F678F" w:rsidRPr="0053555E" w14:paraId="362A6DA1" w14:textId="77777777" w:rsidTr="000F678F">
        <w:trPr>
          <w:trHeight w:val="300"/>
        </w:trPr>
        <w:tc>
          <w:tcPr>
            <w:tcW w:w="959" w:type="dxa"/>
            <w:vMerge/>
            <w:tcBorders>
              <w:top w:val="single" w:sz="4" w:space="0" w:color="auto"/>
              <w:left w:val="single" w:sz="4" w:space="0" w:color="auto"/>
              <w:bottom w:val="single" w:sz="4" w:space="0" w:color="000000"/>
              <w:right w:val="single" w:sz="4" w:space="0" w:color="auto"/>
            </w:tcBorders>
            <w:vAlign w:val="center"/>
            <w:hideMark/>
          </w:tcPr>
          <w:p w14:paraId="68B49DAE" w14:textId="77777777" w:rsidR="000F678F" w:rsidRPr="0053555E" w:rsidRDefault="000F678F" w:rsidP="000F678F">
            <w:pPr>
              <w:tabs>
                <w:tab w:val="left" w:pos="9356"/>
              </w:tabs>
              <w:jc w:val="both"/>
              <w:rPr>
                <w:rFonts w:asciiTheme="majorHAnsi" w:eastAsia="Times New Roman" w:hAnsiTheme="majorHAnsi" w:cstheme="majorHAnsi"/>
                <w:sz w:val="22"/>
                <w:szCs w:val="22"/>
                <w:lang w:eastAsia="sk-SK"/>
              </w:rPr>
            </w:pPr>
          </w:p>
        </w:tc>
        <w:tc>
          <w:tcPr>
            <w:tcW w:w="1144" w:type="dxa"/>
            <w:tcBorders>
              <w:top w:val="nil"/>
              <w:left w:val="nil"/>
              <w:bottom w:val="single" w:sz="4" w:space="0" w:color="auto"/>
              <w:right w:val="single" w:sz="4" w:space="0" w:color="auto"/>
            </w:tcBorders>
            <w:noWrap/>
            <w:vAlign w:val="bottom"/>
            <w:hideMark/>
          </w:tcPr>
          <w:p w14:paraId="74120149" w14:textId="77777777" w:rsidR="000F678F" w:rsidRPr="0053555E" w:rsidRDefault="000F678F" w:rsidP="000F678F">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I. stupeň</w:t>
            </w:r>
          </w:p>
        </w:tc>
        <w:tc>
          <w:tcPr>
            <w:tcW w:w="1144" w:type="dxa"/>
            <w:tcBorders>
              <w:top w:val="nil"/>
              <w:left w:val="nil"/>
              <w:bottom w:val="single" w:sz="4" w:space="0" w:color="auto"/>
              <w:right w:val="single" w:sz="4" w:space="0" w:color="auto"/>
            </w:tcBorders>
            <w:noWrap/>
            <w:vAlign w:val="bottom"/>
            <w:hideMark/>
          </w:tcPr>
          <w:p w14:paraId="71C84EFE" w14:textId="77777777" w:rsidR="000F678F" w:rsidRPr="0053555E" w:rsidRDefault="000F678F" w:rsidP="000F678F">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II. stupeň</w:t>
            </w:r>
          </w:p>
        </w:tc>
        <w:tc>
          <w:tcPr>
            <w:tcW w:w="1003" w:type="dxa"/>
            <w:tcBorders>
              <w:top w:val="nil"/>
              <w:left w:val="nil"/>
              <w:bottom w:val="single" w:sz="4" w:space="0" w:color="auto"/>
              <w:right w:val="single" w:sz="8" w:space="0" w:color="auto"/>
            </w:tcBorders>
            <w:noWrap/>
            <w:vAlign w:val="bottom"/>
            <w:hideMark/>
          </w:tcPr>
          <w:p w14:paraId="2C8B61AF" w14:textId="77777777" w:rsidR="000F678F" w:rsidRPr="0053555E" w:rsidRDefault="000F678F" w:rsidP="000F678F">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III. stupeň</w:t>
            </w:r>
          </w:p>
        </w:tc>
        <w:tc>
          <w:tcPr>
            <w:tcW w:w="992" w:type="dxa"/>
            <w:tcBorders>
              <w:top w:val="nil"/>
              <w:left w:val="nil"/>
              <w:bottom w:val="single" w:sz="4" w:space="0" w:color="auto"/>
              <w:right w:val="single" w:sz="4" w:space="0" w:color="auto"/>
            </w:tcBorders>
            <w:noWrap/>
            <w:vAlign w:val="bottom"/>
            <w:hideMark/>
          </w:tcPr>
          <w:p w14:paraId="7A2F3057" w14:textId="77777777" w:rsidR="000F678F" w:rsidRPr="0053555E" w:rsidRDefault="000F678F" w:rsidP="000F678F">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I. stupeň</w:t>
            </w:r>
          </w:p>
        </w:tc>
        <w:tc>
          <w:tcPr>
            <w:tcW w:w="992" w:type="dxa"/>
            <w:tcBorders>
              <w:top w:val="nil"/>
              <w:left w:val="nil"/>
              <w:bottom w:val="single" w:sz="4" w:space="0" w:color="auto"/>
              <w:right w:val="single" w:sz="4" w:space="0" w:color="auto"/>
            </w:tcBorders>
            <w:noWrap/>
            <w:vAlign w:val="bottom"/>
            <w:hideMark/>
          </w:tcPr>
          <w:p w14:paraId="7F5E7B87" w14:textId="77777777" w:rsidR="000F678F" w:rsidRPr="0053555E" w:rsidRDefault="000F678F" w:rsidP="000F678F">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II. stupeň</w:t>
            </w:r>
          </w:p>
        </w:tc>
        <w:tc>
          <w:tcPr>
            <w:tcW w:w="993" w:type="dxa"/>
            <w:tcBorders>
              <w:top w:val="nil"/>
              <w:left w:val="nil"/>
              <w:bottom w:val="single" w:sz="4" w:space="0" w:color="auto"/>
              <w:right w:val="single" w:sz="4" w:space="0" w:color="auto"/>
            </w:tcBorders>
            <w:noWrap/>
            <w:vAlign w:val="bottom"/>
            <w:hideMark/>
          </w:tcPr>
          <w:p w14:paraId="66B5E90B" w14:textId="77777777" w:rsidR="000F678F" w:rsidRPr="0053555E" w:rsidRDefault="000F678F" w:rsidP="000F678F">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III. stupeň</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BBA46B3" w14:textId="77777777" w:rsidR="000F678F" w:rsidRPr="0053555E" w:rsidRDefault="000F678F" w:rsidP="000F678F">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D+E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64373CF5" w14:textId="77777777" w:rsidR="000F678F" w:rsidRPr="0053555E" w:rsidRDefault="000F678F" w:rsidP="000F678F">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D+E</w:t>
            </w:r>
          </w:p>
        </w:tc>
      </w:tr>
      <w:tr w:rsidR="000F678F" w:rsidRPr="0053555E" w14:paraId="1E26B1A4" w14:textId="77777777" w:rsidTr="000F678F">
        <w:trPr>
          <w:trHeight w:val="300"/>
        </w:trPr>
        <w:tc>
          <w:tcPr>
            <w:tcW w:w="959" w:type="dxa"/>
            <w:tcBorders>
              <w:top w:val="nil"/>
              <w:left w:val="single" w:sz="4" w:space="0" w:color="auto"/>
              <w:bottom w:val="single" w:sz="4" w:space="0" w:color="auto"/>
              <w:right w:val="single" w:sz="4" w:space="0" w:color="auto"/>
            </w:tcBorders>
            <w:noWrap/>
            <w:vAlign w:val="bottom"/>
            <w:hideMark/>
          </w:tcPr>
          <w:p w14:paraId="14BC7F2D" w14:textId="77777777" w:rsidR="000F678F" w:rsidRPr="0053555E" w:rsidRDefault="000F678F" w:rsidP="000F678F">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SvF</w:t>
            </w:r>
          </w:p>
        </w:tc>
        <w:tc>
          <w:tcPr>
            <w:tcW w:w="1144" w:type="dxa"/>
            <w:tcBorders>
              <w:top w:val="nil"/>
              <w:left w:val="nil"/>
              <w:bottom w:val="single" w:sz="4" w:space="0" w:color="auto"/>
              <w:right w:val="single" w:sz="4" w:space="0" w:color="auto"/>
            </w:tcBorders>
            <w:noWrap/>
            <w:vAlign w:val="bottom"/>
            <w:hideMark/>
          </w:tcPr>
          <w:p w14:paraId="1E6791FA"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1 581</w:t>
            </w:r>
          </w:p>
        </w:tc>
        <w:tc>
          <w:tcPr>
            <w:tcW w:w="1144" w:type="dxa"/>
            <w:tcBorders>
              <w:top w:val="nil"/>
              <w:left w:val="nil"/>
              <w:bottom w:val="single" w:sz="4" w:space="0" w:color="auto"/>
              <w:right w:val="single" w:sz="4" w:space="0" w:color="auto"/>
            </w:tcBorders>
            <w:noWrap/>
            <w:vAlign w:val="bottom"/>
            <w:hideMark/>
          </w:tcPr>
          <w:p w14:paraId="0657F93E"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475</w:t>
            </w:r>
          </w:p>
        </w:tc>
        <w:tc>
          <w:tcPr>
            <w:tcW w:w="1003" w:type="dxa"/>
            <w:tcBorders>
              <w:top w:val="nil"/>
              <w:left w:val="nil"/>
              <w:bottom w:val="single" w:sz="4" w:space="0" w:color="auto"/>
              <w:right w:val="single" w:sz="8" w:space="0" w:color="auto"/>
            </w:tcBorders>
            <w:noWrap/>
            <w:vAlign w:val="bottom"/>
            <w:hideMark/>
          </w:tcPr>
          <w:p w14:paraId="780175B2"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140</w:t>
            </w:r>
          </w:p>
        </w:tc>
        <w:tc>
          <w:tcPr>
            <w:tcW w:w="992" w:type="dxa"/>
            <w:tcBorders>
              <w:top w:val="nil"/>
              <w:left w:val="nil"/>
              <w:bottom w:val="single" w:sz="4" w:space="0" w:color="auto"/>
              <w:right w:val="single" w:sz="4" w:space="0" w:color="auto"/>
            </w:tcBorders>
            <w:noWrap/>
            <w:vAlign w:val="bottom"/>
            <w:hideMark/>
          </w:tcPr>
          <w:p w14:paraId="6B0D1404"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2" w:type="dxa"/>
            <w:tcBorders>
              <w:top w:val="nil"/>
              <w:left w:val="nil"/>
              <w:bottom w:val="single" w:sz="4" w:space="0" w:color="auto"/>
              <w:right w:val="single" w:sz="4" w:space="0" w:color="auto"/>
            </w:tcBorders>
            <w:noWrap/>
            <w:vAlign w:val="bottom"/>
            <w:hideMark/>
          </w:tcPr>
          <w:p w14:paraId="6FC5BC16"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3" w:type="dxa"/>
            <w:tcBorders>
              <w:top w:val="nil"/>
              <w:left w:val="nil"/>
              <w:bottom w:val="single" w:sz="4" w:space="0" w:color="auto"/>
              <w:right w:val="single" w:sz="4" w:space="0" w:color="auto"/>
            </w:tcBorders>
            <w:noWrap/>
            <w:vAlign w:val="bottom"/>
            <w:hideMark/>
          </w:tcPr>
          <w:p w14:paraId="0FCD81B8"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18</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9F62EB5"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210</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546ABECD"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2 214</w:t>
            </w:r>
          </w:p>
        </w:tc>
      </w:tr>
      <w:tr w:rsidR="000F678F" w:rsidRPr="0053555E" w14:paraId="3E5737BA" w14:textId="77777777" w:rsidTr="000F678F">
        <w:trPr>
          <w:trHeight w:val="300"/>
        </w:trPr>
        <w:tc>
          <w:tcPr>
            <w:tcW w:w="959" w:type="dxa"/>
            <w:tcBorders>
              <w:top w:val="nil"/>
              <w:left w:val="single" w:sz="4" w:space="0" w:color="auto"/>
              <w:bottom w:val="single" w:sz="4" w:space="0" w:color="auto"/>
              <w:right w:val="single" w:sz="4" w:space="0" w:color="auto"/>
            </w:tcBorders>
            <w:noWrap/>
            <w:vAlign w:val="bottom"/>
            <w:hideMark/>
          </w:tcPr>
          <w:p w14:paraId="4D799B06" w14:textId="77777777" w:rsidR="000F678F" w:rsidRPr="0053555E" w:rsidRDefault="000F678F" w:rsidP="000F678F">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SjF</w:t>
            </w:r>
          </w:p>
        </w:tc>
        <w:tc>
          <w:tcPr>
            <w:tcW w:w="1144" w:type="dxa"/>
            <w:tcBorders>
              <w:top w:val="nil"/>
              <w:left w:val="nil"/>
              <w:bottom w:val="single" w:sz="4" w:space="0" w:color="auto"/>
              <w:right w:val="single" w:sz="4" w:space="0" w:color="auto"/>
            </w:tcBorders>
            <w:noWrap/>
            <w:vAlign w:val="bottom"/>
            <w:hideMark/>
          </w:tcPr>
          <w:p w14:paraId="4D3D02BB"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455</w:t>
            </w:r>
          </w:p>
        </w:tc>
        <w:tc>
          <w:tcPr>
            <w:tcW w:w="1144" w:type="dxa"/>
            <w:tcBorders>
              <w:top w:val="nil"/>
              <w:left w:val="nil"/>
              <w:bottom w:val="single" w:sz="4" w:space="0" w:color="auto"/>
              <w:right w:val="single" w:sz="4" w:space="0" w:color="auto"/>
            </w:tcBorders>
            <w:noWrap/>
            <w:vAlign w:val="bottom"/>
            <w:hideMark/>
          </w:tcPr>
          <w:p w14:paraId="389E99B3"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260</w:t>
            </w:r>
          </w:p>
        </w:tc>
        <w:tc>
          <w:tcPr>
            <w:tcW w:w="1003" w:type="dxa"/>
            <w:tcBorders>
              <w:top w:val="nil"/>
              <w:left w:val="nil"/>
              <w:bottom w:val="single" w:sz="4" w:space="0" w:color="auto"/>
              <w:right w:val="single" w:sz="8" w:space="0" w:color="auto"/>
            </w:tcBorders>
            <w:noWrap/>
            <w:vAlign w:val="bottom"/>
            <w:hideMark/>
          </w:tcPr>
          <w:p w14:paraId="377B32BB"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44</w:t>
            </w:r>
          </w:p>
        </w:tc>
        <w:tc>
          <w:tcPr>
            <w:tcW w:w="992" w:type="dxa"/>
            <w:tcBorders>
              <w:top w:val="nil"/>
              <w:left w:val="nil"/>
              <w:bottom w:val="single" w:sz="4" w:space="0" w:color="auto"/>
              <w:right w:val="single" w:sz="4" w:space="0" w:color="auto"/>
            </w:tcBorders>
            <w:noWrap/>
            <w:vAlign w:val="bottom"/>
            <w:hideMark/>
          </w:tcPr>
          <w:p w14:paraId="0C560D73"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2" w:type="dxa"/>
            <w:tcBorders>
              <w:top w:val="nil"/>
              <w:left w:val="nil"/>
              <w:bottom w:val="single" w:sz="4" w:space="0" w:color="auto"/>
              <w:right w:val="single" w:sz="4" w:space="0" w:color="auto"/>
            </w:tcBorders>
            <w:noWrap/>
            <w:vAlign w:val="bottom"/>
            <w:hideMark/>
          </w:tcPr>
          <w:p w14:paraId="5C4E9C43"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3" w:type="dxa"/>
            <w:tcBorders>
              <w:top w:val="nil"/>
              <w:left w:val="nil"/>
              <w:bottom w:val="single" w:sz="4" w:space="0" w:color="auto"/>
              <w:right w:val="single" w:sz="4" w:space="0" w:color="auto"/>
            </w:tcBorders>
            <w:noWrap/>
            <w:vAlign w:val="bottom"/>
            <w:hideMark/>
          </w:tcPr>
          <w:p w14:paraId="4ECDABFA"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26</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34B7667"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97</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410A2C6D"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785</w:t>
            </w:r>
          </w:p>
        </w:tc>
      </w:tr>
      <w:tr w:rsidR="000F678F" w:rsidRPr="0053555E" w14:paraId="34926FB9" w14:textId="77777777" w:rsidTr="000F678F">
        <w:trPr>
          <w:trHeight w:val="300"/>
        </w:trPr>
        <w:tc>
          <w:tcPr>
            <w:tcW w:w="959" w:type="dxa"/>
            <w:tcBorders>
              <w:top w:val="nil"/>
              <w:left w:val="single" w:sz="4" w:space="0" w:color="auto"/>
              <w:bottom w:val="single" w:sz="4" w:space="0" w:color="auto"/>
              <w:right w:val="single" w:sz="4" w:space="0" w:color="auto"/>
            </w:tcBorders>
            <w:noWrap/>
            <w:vAlign w:val="bottom"/>
            <w:hideMark/>
          </w:tcPr>
          <w:p w14:paraId="3301A427" w14:textId="77777777" w:rsidR="000F678F" w:rsidRPr="0053555E" w:rsidRDefault="000F678F" w:rsidP="000F678F">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FEI</w:t>
            </w:r>
          </w:p>
        </w:tc>
        <w:tc>
          <w:tcPr>
            <w:tcW w:w="1144" w:type="dxa"/>
            <w:tcBorders>
              <w:top w:val="nil"/>
              <w:left w:val="nil"/>
              <w:bottom w:val="single" w:sz="4" w:space="0" w:color="auto"/>
              <w:right w:val="single" w:sz="4" w:space="0" w:color="auto"/>
            </w:tcBorders>
            <w:noWrap/>
            <w:vAlign w:val="bottom"/>
            <w:hideMark/>
          </w:tcPr>
          <w:p w14:paraId="61032DE1"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1 539</w:t>
            </w:r>
          </w:p>
        </w:tc>
        <w:tc>
          <w:tcPr>
            <w:tcW w:w="1144" w:type="dxa"/>
            <w:tcBorders>
              <w:top w:val="nil"/>
              <w:left w:val="nil"/>
              <w:bottom w:val="single" w:sz="4" w:space="0" w:color="auto"/>
              <w:right w:val="single" w:sz="4" w:space="0" w:color="auto"/>
            </w:tcBorders>
            <w:noWrap/>
            <w:vAlign w:val="bottom"/>
            <w:hideMark/>
          </w:tcPr>
          <w:p w14:paraId="5203F60A"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642</w:t>
            </w:r>
          </w:p>
        </w:tc>
        <w:tc>
          <w:tcPr>
            <w:tcW w:w="1003" w:type="dxa"/>
            <w:tcBorders>
              <w:top w:val="nil"/>
              <w:left w:val="nil"/>
              <w:bottom w:val="single" w:sz="4" w:space="0" w:color="auto"/>
              <w:right w:val="single" w:sz="8" w:space="0" w:color="auto"/>
            </w:tcBorders>
            <w:noWrap/>
            <w:vAlign w:val="bottom"/>
            <w:hideMark/>
          </w:tcPr>
          <w:p w14:paraId="7D02CDA6"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100</w:t>
            </w:r>
          </w:p>
        </w:tc>
        <w:tc>
          <w:tcPr>
            <w:tcW w:w="992" w:type="dxa"/>
            <w:tcBorders>
              <w:top w:val="nil"/>
              <w:left w:val="nil"/>
              <w:bottom w:val="single" w:sz="4" w:space="0" w:color="auto"/>
              <w:right w:val="single" w:sz="4" w:space="0" w:color="auto"/>
            </w:tcBorders>
            <w:noWrap/>
            <w:vAlign w:val="bottom"/>
            <w:hideMark/>
          </w:tcPr>
          <w:p w14:paraId="6F984859"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2" w:type="dxa"/>
            <w:tcBorders>
              <w:top w:val="nil"/>
              <w:left w:val="nil"/>
              <w:bottom w:val="single" w:sz="4" w:space="0" w:color="auto"/>
              <w:right w:val="single" w:sz="4" w:space="0" w:color="auto"/>
            </w:tcBorders>
            <w:noWrap/>
            <w:vAlign w:val="bottom"/>
            <w:hideMark/>
          </w:tcPr>
          <w:p w14:paraId="401C5FAA"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3" w:type="dxa"/>
            <w:tcBorders>
              <w:top w:val="nil"/>
              <w:left w:val="nil"/>
              <w:bottom w:val="single" w:sz="4" w:space="0" w:color="auto"/>
              <w:right w:val="single" w:sz="4" w:space="0" w:color="auto"/>
            </w:tcBorders>
            <w:noWrap/>
            <w:vAlign w:val="bottom"/>
            <w:hideMark/>
          </w:tcPr>
          <w:p w14:paraId="1B8ED4CD"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33</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186805B"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240</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2FF712A1"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2 314</w:t>
            </w:r>
          </w:p>
        </w:tc>
      </w:tr>
      <w:tr w:rsidR="000F678F" w:rsidRPr="0053555E" w14:paraId="221B3205" w14:textId="77777777" w:rsidTr="000F678F">
        <w:trPr>
          <w:trHeight w:val="300"/>
        </w:trPr>
        <w:tc>
          <w:tcPr>
            <w:tcW w:w="959" w:type="dxa"/>
            <w:tcBorders>
              <w:top w:val="nil"/>
              <w:left w:val="single" w:sz="4" w:space="0" w:color="auto"/>
              <w:bottom w:val="single" w:sz="4" w:space="0" w:color="auto"/>
              <w:right w:val="single" w:sz="4" w:space="0" w:color="auto"/>
            </w:tcBorders>
            <w:noWrap/>
            <w:vAlign w:val="bottom"/>
            <w:hideMark/>
          </w:tcPr>
          <w:p w14:paraId="70D4DFC0" w14:textId="77777777" w:rsidR="000F678F" w:rsidRPr="0053555E" w:rsidRDefault="000F678F" w:rsidP="000F678F">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FCHPT</w:t>
            </w:r>
          </w:p>
        </w:tc>
        <w:tc>
          <w:tcPr>
            <w:tcW w:w="1144" w:type="dxa"/>
            <w:tcBorders>
              <w:top w:val="nil"/>
              <w:left w:val="nil"/>
              <w:bottom w:val="single" w:sz="4" w:space="0" w:color="auto"/>
              <w:right w:val="single" w:sz="4" w:space="0" w:color="auto"/>
            </w:tcBorders>
            <w:noWrap/>
            <w:vAlign w:val="bottom"/>
            <w:hideMark/>
          </w:tcPr>
          <w:p w14:paraId="3198B6E5"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745</w:t>
            </w:r>
          </w:p>
        </w:tc>
        <w:tc>
          <w:tcPr>
            <w:tcW w:w="1144" w:type="dxa"/>
            <w:tcBorders>
              <w:top w:val="nil"/>
              <w:left w:val="nil"/>
              <w:bottom w:val="single" w:sz="4" w:space="0" w:color="auto"/>
              <w:right w:val="single" w:sz="4" w:space="0" w:color="auto"/>
            </w:tcBorders>
            <w:noWrap/>
            <w:vAlign w:val="bottom"/>
            <w:hideMark/>
          </w:tcPr>
          <w:p w14:paraId="4AAD49A1"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345</w:t>
            </w:r>
          </w:p>
        </w:tc>
        <w:tc>
          <w:tcPr>
            <w:tcW w:w="1003" w:type="dxa"/>
            <w:tcBorders>
              <w:top w:val="nil"/>
              <w:left w:val="nil"/>
              <w:bottom w:val="single" w:sz="4" w:space="0" w:color="auto"/>
              <w:right w:val="single" w:sz="8" w:space="0" w:color="auto"/>
            </w:tcBorders>
            <w:noWrap/>
            <w:vAlign w:val="bottom"/>
            <w:hideMark/>
          </w:tcPr>
          <w:p w14:paraId="74EE888A"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166</w:t>
            </w:r>
          </w:p>
        </w:tc>
        <w:tc>
          <w:tcPr>
            <w:tcW w:w="992" w:type="dxa"/>
            <w:tcBorders>
              <w:top w:val="nil"/>
              <w:left w:val="nil"/>
              <w:bottom w:val="single" w:sz="4" w:space="0" w:color="auto"/>
              <w:right w:val="single" w:sz="4" w:space="0" w:color="auto"/>
            </w:tcBorders>
            <w:noWrap/>
            <w:vAlign w:val="bottom"/>
            <w:hideMark/>
          </w:tcPr>
          <w:p w14:paraId="7DF91B47"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2" w:type="dxa"/>
            <w:tcBorders>
              <w:top w:val="nil"/>
              <w:left w:val="nil"/>
              <w:bottom w:val="single" w:sz="4" w:space="0" w:color="auto"/>
              <w:right w:val="single" w:sz="4" w:space="0" w:color="auto"/>
            </w:tcBorders>
            <w:noWrap/>
            <w:vAlign w:val="bottom"/>
            <w:hideMark/>
          </w:tcPr>
          <w:p w14:paraId="58986A74"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3" w:type="dxa"/>
            <w:tcBorders>
              <w:top w:val="nil"/>
              <w:left w:val="nil"/>
              <w:bottom w:val="single" w:sz="4" w:space="0" w:color="auto"/>
              <w:right w:val="single" w:sz="4" w:space="0" w:color="auto"/>
            </w:tcBorders>
            <w:noWrap/>
            <w:vAlign w:val="bottom"/>
            <w:hideMark/>
          </w:tcPr>
          <w:p w14:paraId="6A38C120"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30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E55D26D"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194</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5D76655B"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1 286</w:t>
            </w:r>
          </w:p>
        </w:tc>
      </w:tr>
      <w:tr w:rsidR="000F678F" w:rsidRPr="0053555E" w14:paraId="3CF84F41" w14:textId="77777777" w:rsidTr="000F678F">
        <w:trPr>
          <w:trHeight w:val="300"/>
        </w:trPr>
        <w:tc>
          <w:tcPr>
            <w:tcW w:w="959" w:type="dxa"/>
            <w:tcBorders>
              <w:top w:val="nil"/>
              <w:left w:val="single" w:sz="4" w:space="0" w:color="auto"/>
              <w:bottom w:val="single" w:sz="4" w:space="0" w:color="auto"/>
              <w:right w:val="single" w:sz="4" w:space="0" w:color="auto"/>
            </w:tcBorders>
            <w:noWrap/>
            <w:vAlign w:val="bottom"/>
            <w:hideMark/>
          </w:tcPr>
          <w:p w14:paraId="085ABB1E" w14:textId="77777777" w:rsidR="000F678F" w:rsidRPr="0053555E" w:rsidRDefault="000F678F" w:rsidP="000F678F">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FAD</w:t>
            </w:r>
          </w:p>
        </w:tc>
        <w:tc>
          <w:tcPr>
            <w:tcW w:w="1144" w:type="dxa"/>
            <w:tcBorders>
              <w:top w:val="nil"/>
              <w:left w:val="nil"/>
              <w:bottom w:val="single" w:sz="4" w:space="0" w:color="auto"/>
              <w:right w:val="single" w:sz="4" w:space="0" w:color="auto"/>
            </w:tcBorders>
            <w:noWrap/>
            <w:vAlign w:val="bottom"/>
            <w:hideMark/>
          </w:tcPr>
          <w:p w14:paraId="1BC92473"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626</w:t>
            </w:r>
          </w:p>
        </w:tc>
        <w:tc>
          <w:tcPr>
            <w:tcW w:w="1144" w:type="dxa"/>
            <w:tcBorders>
              <w:top w:val="nil"/>
              <w:left w:val="nil"/>
              <w:bottom w:val="single" w:sz="4" w:space="0" w:color="auto"/>
              <w:right w:val="single" w:sz="4" w:space="0" w:color="auto"/>
            </w:tcBorders>
            <w:noWrap/>
            <w:vAlign w:val="bottom"/>
            <w:hideMark/>
          </w:tcPr>
          <w:p w14:paraId="0E880C3F"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232</w:t>
            </w:r>
          </w:p>
        </w:tc>
        <w:tc>
          <w:tcPr>
            <w:tcW w:w="1003" w:type="dxa"/>
            <w:tcBorders>
              <w:top w:val="nil"/>
              <w:left w:val="nil"/>
              <w:bottom w:val="single" w:sz="4" w:space="0" w:color="auto"/>
              <w:right w:val="single" w:sz="8" w:space="0" w:color="auto"/>
            </w:tcBorders>
            <w:noWrap/>
            <w:vAlign w:val="bottom"/>
            <w:hideMark/>
          </w:tcPr>
          <w:p w14:paraId="144A96C5"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56</w:t>
            </w:r>
          </w:p>
        </w:tc>
        <w:tc>
          <w:tcPr>
            <w:tcW w:w="992" w:type="dxa"/>
            <w:tcBorders>
              <w:top w:val="nil"/>
              <w:left w:val="nil"/>
              <w:bottom w:val="single" w:sz="4" w:space="0" w:color="auto"/>
              <w:right w:val="single" w:sz="4" w:space="0" w:color="auto"/>
            </w:tcBorders>
            <w:noWrap/>
            <w:vAlign w:val="bottom"/>
            <w:hideMark/>
          </w:tcPr>
          <w:p w14:paraId="0C86BACB"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2" w:type="dxa"/>
            <w:tcBorders>
              <w:top w:val="nil"/>
              <w:left w:val="nil"/>
              <w:bottom w:val="single" w:sz="4" w:space="0" w:color="auto"/>
              <w:right w:val="single" w:sz="4" w:space="0" w:color="auto"/>
            </w:tcBorders>
            <w:noWrap/>
            <w:vAlign w:val="bottom"/>
            <w:hideMark/>
          </w:tcPr>
          <w:p w14:paraId="27B8AC34"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3" w:type="dxa"/>
            <w:tcBorders>
              <w:top w:val="nil"/>
              <w:left w:val="nil"/>
              <w:bottom w:val="single" w:sz="4" w:space="0" w:color="auto"/>
              <w:right w:val="single" w:sz="4" w:space="0" w:color="auto"/>
            </w:tcBorders>
            <w:noWrap/>
            <w:vAlign w:val="bottom"/>
            <w:hideMark/>
          </w:tcPr>
          <w:p w14:paraId="72B3120A"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15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AC810F4"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42</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483F3C47"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929</w:t>
            </w:r>
          </w:p>
        </w:tc>
      </w:tr>
      <w:tr w:rsidR="000F678F" w:rsidRPr="0053555E" w14:paraId="16EFC6A4" w14:textId="77777777" w:rsidTr="000F678F">
        <w:trPr>
          <w:trHeight w:val="300"/>
        </w:trPr>
        <w:tc>
          <w:tcPr>
            <w:tcW w:w="959" w:type="dxa"/>
            <w:tcBorders>
              <w:top w:val="nil"/>
              <w:left w:val="single" w:sz="4" w:space="0" w:color="auto"/>
              <w:bottom w:val="single" w:sz="4" w:space="0" w:color="auto"/>
              <w:right w:val="single" w:sz="4" w:space="0" w:color="auto"/>
            </w:tcBorders>
            <w:noWrap/>
            <w:vAlign w:val="bottom"/>
            <w:hideMark/>
          </w:tcPr>
          <w:p w14:paraId="1D0533D4" w14:textId="77777777" w:rsidR="000F678F" w:rsidRPr="0053555E" w:rsidRDefault="000F678F" w:rsidP="000F678F">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MTF</w:t>
            </w:r>
          </w:p>
        </w:tc>
        <w:tc>
          <w:tcPr>
            <w:tcW w:w="1144" w:type="dxa"/>
            <w:tcBorders>
              <w:top w:val="nil"/>
              <w:left w:val="nil"/>
              <w:bottom w:val="single" w:sz="4" w:space="0" w:color="auto"/>
              <w:right w:val="single" w:sz="4" w:space="0" w:color="auto"/>
            </w:tcBorders>
            <w:noWrap/>
            <w:vAlign w:val="bottom"/>
            <w:hideMark/>
          </w:tcPr>
          <w:p w14:paraId="6BA1FCDE"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979</w:t>
            </w:r>
          </w:p>
        </w:tc>
        <w:tc>
          <w:tcPr>
            <w:tcW w:w="1144" w:type="dxa"/>
            <w:tcBorders>
              <w:top w:val="nil"/>
              <w:left w:val="nil"/>
              <w:bottom w:val="single" w:sz="4" w:space="0" w:color="auto"/>
              <w:right w:val="single" w:sz="4" w:space="0" w:color="auto"/>
            </w:tcBorders>
            <w:noWrap/>
            <w:vAlign w:val="bottom"/>
            <w:hideMark/>
          </w:tcPr>
          <w:p w14:paraId="406EBAF9"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631</w:t>
            </w:r>
          </w:p>
        </w:tc>
        <w:tc>
          <w:tcPr>
            <w:tcW w:w="1003" w:type="dxa"/>
            <w:tcBorders>
              <w:top w:val="nil"/>
              <w:left w:val="nil"/>
              <w:bottom w:val="single" w:sz="4" w:space="0" w:color="auto"/>
              <w:right w:val="single" w:sz="8" w:space="0" w:color="auto"/>
            </w:tcBorders>
            <w:noWrap/>
            <w:vAlign w:val="bottom"/>
            <w:hideMark/>
          </w:tcPr>
          <w:p w14:paraId="7307B2B4"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60</w:t>
            </w:r>
          </w:p>
        </w:tc>
        <w:tc>
          <w:tcPr>
            <w:tcW w:w="992" w:type="dxa"/>
            <w:tcBorders>
              <w:top w:val="nil"/>
              <w:left w:val="nil"/>
              <w:bottom w:val="single" w:sz="4" w:space="0" w:color="auto"/>
              <w:right w:val="single" w:sz="4" w:space="0" w:color="auto"/>
            </w:tcBorders>
            <w:noWrap/>
            <w:vAlign w:val="bottom"/>
            <w:hideMark/>
          </w:tcPr>
          <w:p w14:paraId="095F91D7"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2" w:type="dxa"/>
            <w:tcBorders>
              <w:top w:val="nil"/>
              <w:left w:val="nil"/>
              <w:bottom w:val="single" w:sz="4" w:space="0" w:color="auto"/>
              <w:right w:val="single" w:sz="4" w:space="0" w:color="auto"/>
            </w:tcBorders>
            <w:noWrap/>
            <w:vAlign w:val="bottom"/>
            <w:hideMark/>
          </w:tcPr>
          <w:p w14:paraId="326A8EB1"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3" w:type="dxa"/>
            <w:tcBorders>
              <w:top w:val="nil"/>
              <w:left w:val="nil"/>
              <w:bottom w:val="single" w:sz="4" w:space="0" w:color="auto"/>
              <w:right w:val="single" w:sz="4" w:space="0" w:color="auto"/>
            </w:tcBorders>
            <w:noWrap/>
            <w:vAlign w:val="bottom"/>
            <w:hideMark/>
          </w:tcPr>
          <w:p w14:paraId="3CF0EEDF"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30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208C14C"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34</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24EC43BF"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1 700</w:t>
            </w:r>
          </w:p>
        </w:tc>
      </w:tr>
      <w:tr w:rsidR="000F678F" w:rsidRPr="0053555E" w14:paraId="5546DFD4" w14:textId="77777777" w:rsidTr="000F678F">
        <w:trPr>
          <w:trHeight w:val="300"/>
        </w:trPr>
        <w:tc>
          <w:tcPr>
            <w:tcW w:w="959" w:type="dxa"/>
            <w:tcBorders>
              <w:top w:val="nil"/>
              <w:left w:val="single" w:sz="4" w:space="0" w:color="auto"/>
              <w:bottom w:val="single" w:sz="4" w:space="0" w:color="auto"/>
              <w:right w:val="single" w:sz="4" w:space="0" w:color="auto"/>
            </w:tcBorders>
            <w:noWrap/>
            <w:vAlign w:val="bottom"/>
            <w:hideMark/>
          </w:tcPr>
          <w:p w14:paraId="07A43A4D" w14:textId="77777777" w:rsidR="000F678F" w:rsidRPr="0053555E" w:rsidRDefault="000F678F" w:rsidP="000F678F">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FIIT</w:t>
            </w:r>
          </w:p>
        </w:tc>
        <w:tc>
          <w:tcPr>
            <w:tcW w:w="1144" w:type="dxa"/>
            <w:tcBorders>
              <w:top w:val="nil"/>
              <w:left w:val="nil"/>
              <w:bottom w:val="single" w:sz="4" w:space="0" w:color="auto"/>
              <w:right w:val="single" w:sz="4" w:space="0" w:color="auto"/>
            </w:tcBorders>
            <w:noWrap/>
            <w:vAlign w:val="bottom"/>
            <w:hideMark/>
          </w:tcPr>
          <w:p w14:paraId="425D62B5"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814</w:t>
            </w:r>
          </w:p>
        </w:tc>
        <w:tc>
          <w:tcPr>
            <w:tcW w:w="1144" w:type="dxa"/>
            <w:tcBorders>
              <w:top w:val="nil"/>
              <w:left w:val="nil"/>
              <w:bottom w:val="single" w:sz="4" w:space="0" w:color="auto"/>
              <w:right w:val="single" w:sz="4" w:space="0" w:color="auto"/>
            </w:tcBorders>
            <w:noWrap/>
            <w:vAlign w:val="bottom"/>
            <w:hideMark/>
          </w:tcPr>
          <w:p w14:paraId="13A07F37"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282</w:t>
            </w:r>
          </w:p>
        </w:tc>
        <w:tc>
          <w:tcPr>
            <w:tcW w:w="1003" w:type="dxa"/>
            <w:tcBorders>
              <w:top w:val="nil"/>
              <w:left w:val="nil"/>
              <w:bottom w:val="single" w:sz="4" w:space="0" w:color="auto"/>
              <w:right w:val="single" w:sz="8" w:space="0" w:color="auto"/>
            </w:tcBorders>
            <w:noWrap/>
            <w:vAlign w:val="bottom"/>
            <w:hideMark/>
          </w:tcPr>
          <w:p w14:paraId="0F3D2312"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30</w:t>
            </w:r>
          </w:p>
        </w:tc>
        <w:tc>
          <w:tcPr>
            <w:tcW w:w="992" w:type="dxa"/>
            <w:tcBorders>
              <w:top w:val="nil"/>
              <w:left w:val="nil"/>
              <w:bottom w:val="single" w:sz="4" w:space="0" w:color="auto"/>
              <w:right w:val="single" w:sz="4" w:space="0" w:color="auto"/>
            </w:tcBorders>
            <w:noWrap/>
            <w:vAlign w:val="bottom"/>
            <w:hideMark/>
          </w:tcPr>
          <w:p w14:paraId="377724F5"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2" w:type="dxa"/>
            <w:tcBorders>
              <w:top w:val="nil"/>
              <w:left w:val="nil"/>
              <w:bottom w:val="single" w:sz="4" w:space="0" w:color="auto"/>
              <w:right w:val="single" w:sz="4" w:space="0" w:color="auto"/>
            </w:tcBorders>
            <w:noWrap/>
            <w:vAlign w:val="bottom"/>
            <w:hideMark/>
          </w:tcPr>
          <w:p w14:paraId="70D1A66A"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3" w:type="dxa"/>
            <w:tcBorders>
              <w:top w:val="nil"/>
              <w:left w:val="nil"/>
              <w:bottom w:val="single" w:sz="4" w:space="0" w:color="auto"/>
              <w:right w:val="single" w:sz="4" w:space="0" w:color="auto"/>
            </w:tcBorders>
            <w:noWrap/>
            <w:vAlign w:val="bottom"/>
            <w:hideMark/>
          </w:tcPr>
          <w:p w14:paraId="35EA216D"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7</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211223E"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133</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165BA7F3"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1 133</w:t>
            </w:r>
          </w:p>
        </w:tc>
      </w:tr>
      <w:tr w:rsidR="000F678F" w:rsidRPr="0053555E" w14:paraId="5A99EAE3" w14:textId="77777777" w:rsidTr="000F678F">
        <w:trPr>
          <w:trHeight w:val="300"/>
        </w:trPr>
        <w:tc>
          <w:tcPr>
            <w:tcW w:w="959" w:type="dxa"/>
            <w:tcBorders>
              <w:top w:val="nil"/>
              <w:left w:val="single" w:sz="4" w:space="0" w:color="auto"/>
              <w:bottom w:val="single" w:sz="4" w:space="0" w:color="auto"/>
              <w:right w:val="single" w:sz="4" w:space="0" w:color="auto"/>
            </w:tcBorders>
            <w:noWrap/>
            <w:vAlign w:val="bottom"/>
            <w:hideMark/>
          </w:tcPr>
          <w:p w14:paraId="1B05BDF5" w14:textId="77777777" w:rsidR="000F678F" w:rsidRPr="0053555E" w:rsidRDefault="000F678F" w:rsidP="000F678F">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ÚM</w:t>
            </w:r>
          </w:p>
        </w:tc>
        <w:tc>
          <w:tcPr>
            <w:tcW w:w="1144" w:type="dxa"/>
            <w:tcBorders>
              <w:top w:val="nil"/>
              <w:left w:val="nil"/>
              <w:bottom w:val="single" w:sz="4" w:space="0" w:color="auto"/>
              <w:right w:val="single" w:sz="4" w:space="0" w:color="auto"/>
            </w:tcBorders>
            <w:noWrap/>
            <w:vAlign w:val="bottom"/>
            <w:hideMark/>
          </w:tcPr>
          <w:p w14:paraId="46550FBC"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103</w:t>
            </w:r>
          </w:p>
        </w:tc>
        <w:tc>
          <w:tcPr>
            <w:tcW w:w="1144" w:type="dxa"/>
            <w:tcBorders>
              <w:top w:val="nil"/>
              <w:left w:val="nil"/>
              <w:bottom w:val="single" w:sz="4" w:space="0" w:color="auto"/>
              <w:right w:val="single" w:sz="4" w:space="0" w:color="auto"/>
            </w:tcBorders>
            <w:noWrap/>
            <w:vAlign w:val="bottom"/>
            <w:hideMark/>
          </w:tcPr>
          <w:p w14:paraId="48496DD2"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56</w:t>
            </w:r>
          </w:p>
        </w:tc>
        <w:tc>
          <w:tcPr>
            <w:tcW w:w="1003" w:type="dxa"/>
            <w:tcBorders>
              <w:top w:val="nil"/>
              <w:left w:val="nil"/>
              <w:bottom w:val="single" w:sz="4" w:space="0" w:color="auto"/>
              <w:right w:val="single" w:sz="8" w:space="0" w:color="auto"/>
            </w:tcBorders>
            <w:noWrap/>
            <w:vAlign w:val="bottom"/>
            <w:hideMark/>
          </w:tcPr>
          <w:p w14:paraId="4406F8EA"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12</w:t>
            </w:r>
          </w:p>
        </w:tc>
        <w:tc>
          <w:tcPr>
            <w:tcW w:w="992" w:type="dxa"/>
            <w:tcBorders>
              <w:top w:val="nil"/>
              <w:left w:val="nil"/>
              <w:bottom w:val="single" w:sz="4" w:space="0" w:color="auto"/>
              <w:right w:val="single" w:sz="4" w:space="0" w:color="auto"/>
            </w:tcBorders>
            <w:noWrap/>
            <w:vAlign w:val="bottom"/>
            <w:hideMark/>
          </w:tcPr>
          <w:p w14:paraId="5A880ADD"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2" w:type="dxa"/>
            <w:tcBorders>
              <w:top w:val="nil"/>
              <w:left w:val="nil"/>
              <w:bottom w:val="single" w:sz="4" w:space="0" w:color="auto"/>
              <w:right w:val="single" w:sz="4" w:space="0" w:color="auto"/>
            </w:tcBorders>
            <w:noWrap/>
            <w:vAlign w:val="bottom"/>
            <w:hideMark/>
          </w:tcPr>
          <w:p w14:paraId="3015A2AB"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0</w:t>
            </w:r>
          </w:p>
        </w:tc>
        <w:tc>
          <w:tcPr>
            <w:tcW w:w="993" w:type="dxa"/>
            <w:tcBorders>
              <w:top w:val="nil"/>
              <w:left w:val="nil"/>
              <w:bottom w:val="single" w:sz="4" w:space="0" w:color="auto"/>
              <w:right w:val="single" w:sz="4" w:space="0" w:color="auto"/>
            </w:tcBorders>
            <w:noWrap/>
            <w:vAlign w:val="bottom"/>
            <w:hideMark/>
          </w:tcPr>
          <w:p w14:paraId="490E408E"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11</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2CF5789" w14:textId="77777777" w:rsidR="000F678F" w:rsidRPr="0053555E" w:rsidRDefault="000F678F" w:rsidP="000F678F">
            <w:pPr>
              <w:jc w:val="center"/>
              <w:rPr>
                <w:rFonts w:asciiTheme="majorHAnsi" w:hAnsiTheme="majorHAnsi" w:cstheme="majorHAnsi"/>
                <w:sz w:val="22"/>
                <w:szCs w:val="22"/>
              </w:rPr>
            </w:pPr>
            <w:r w:rsidRPr="0053555E">
              <w:rPr>
                <w:rFonts w:cs="Calibri"/>
                <w:sz w:val="22"/>
                <w:szCs w:val="22"/>
              </w:rPr>
              <w:t>37</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275DF558"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182</w:t>
            </w:r>
          </w:p>
        </w:tc>
      </w:tr>
      <w:tr w:rsidR="000F678F" w:rsidRPr="0053555E" w14:paraId="4319CDC6" w14:textId="77777777" w:rsidTr="000F678F">
        <w:trPr>
          <w:trHeight w:val="300"/>
        </w:trPr>
        <w:tc>
          <w:tcPr>
            <w:tcW w:w="959"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5DD4EFF6" w14:textId="77777777" w:rsidR="000F678F" w:rsidRPr="0053555E" w:rsidRDefault="000F678F" w:rsidP="000F678F">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STU</w:t>
            </w:r>
          </w:p>
        </w:tc>
        <w:tc>
          <w:tcPr>
            <w:tcW w:w="1144" w:type="dxa"/>
            <w:tcBorders>
              <w:top w:val="nil"/>
              <w:left w:val="nil"/>
              <w:bottom w:val="single" w:sz="4" w:space="0" w:color="auto"/>
              <w:right w:val="single" w:sz="4" w:space="0" w:color="auto"/>
            </w:tcBorders>
            <w:shd w:val="clear" w:color="auto" w:fill="EEECE1" w:themeFill="background2"/>
            <w:noWrap/>
            <w:vAlign w:val="bottom"/>
            <w:hideMark/>
          </w:tcPr>
          <w:p w14:paraId="4D06A6FA"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6 842</w:t>
            </w:r>
          </w:p>
        </w:tc>
        <w:tc>
          <w:tcPr>
            <w:tcW w:w="1144" w:type="dxa"/>
            <w:tcBorders>
              <w:top w:val="nil"/>
              <w:left w:val="nil"/>
              <w:bottom w:val="single" w:sz="4" w:space="0" w:color="auto"/>
              <w:right w:val="single" w:sz="4" w:space="0" w:color="auto"/>
            </w:tcBorders>
            <w:shd w:val="clear" w:color="auto" w:fill="EEECE1" w:themeFill="background2"/>
            <w:noWrap/>
            <w:vAlign w:val="bottom"/>
            <w:hideMark/>
          </w:tcPr>
          <w:p w14:paraId="1340B345"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2 923</w:t>
            </w:r>
          </w:p>
        </w:tc>
        <w:tc>
          <w:tcPr>
            <w:tcW w:w="1003" w:type="dxa"/>
            <w:tcBorders>
              <w:top w:val="nil"/>
              <w:left w:val="nil"/>
              <w:bottom w:val="single" w:sz="4" w:space="0" w:color="auto"/>
              <w:right w:val="single" w:sz="8" w:space="0" w:color="auto"/>
            </w:tcBorders>
            <w:shd w:val="clear" w:color="auto" w:fill="EEECE1" w:themeFill="background2"/>
            <w:noWrap/>
            <w:vAlign w:val="bottom"/>
            <w:hideMark/>
          </w:tcPr>
          <w:p w14:paraId="342A0781"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608</w:t>
            </w:r>
          </w:p>
        </w:tc>
        <w:tc>
          <w:tcPr>
            <w:tcW w:w="992" w:type="dxa"/>
            <w:tcBorders>
              <w:top w:val="nil"/>
              <w:left w:val="nil"/>
              <w:bottom w:val="single" w:sz="4" w:space="0" w:color="auto"/>
              <w:right w:val="single" w:sz="4" w:space="0" w:color="auto"/>
            </w:tcBorders>
            <w:shd w:val="clear" w:color="auto" w:fill="EEECE1" w:themeFill="background2"/>
            <w:noWrap/>
            <w:vAlign w:val="bottom"/>
            <w:hideMark/>
          </w:tcPr>
          <w:p w14:paraId="4B6EA47F"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0</w:t>
            </w:r>
          </w:p>
        </w:tc>
        <w:tc>
          <w:tcPr>
            <w:tcW w:w="992" w:type="dxa"/>
            <w:tcBorders>
              <w:top w:val="nil"/>
              <w:left w:val="nil"/>
              <w:bottom w:val="single" w:sz="4" w:space="0" w:color="auto"/>
              <w:right w:val="single" w:sz="4" w:space="0" w:color="auto"/>
            </w:tcBorders>
            <w:shd w:val="clear" w:color="auto" w:fill="EEECE1" w:themeFill="background2"/>
            <w:noWrap/>
            <w:vAlign w:val="bottom"/>
            <w:hideMark/>
          </w:tcPr>
          <w:p w14:paraId="6EA984A9"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0</w:t>
            </w:r>
          </w:p>
        </w:tc>
        <w:tc>
          <w:tcPr>
            <w:tcW w:w="993" w:type="dxa"/>
            <w:tcBorders>
              <w:top w:val="nil"/>
              <w:left w:val="nil"/>
              <w:bottom w:val="single" w:sz="4" w:space="0" w:color="auto"/>
              <w:right w:val="single" w:sz="4" w:space="0" w:color="auto"/>
            </w:tcBorders>
            <w:shd w:val="clear" w:color="auto" w:fill="EEECE1" w:themeFill="background2"/>
            <w:noWrap/>
            <w:vAlign w:val="bottom"/>
            <w:hideMark/>
          </w:tcPr>
          <w:p w14:paraId="78533024"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170</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2A6AD2E2"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987</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5F29010A" w14:textId="77777777" w:rsidR="000F678F" w:rsidRPr="0053555E" w:rsidRDefault="000F678F" w:rsidP="000F678F">
            <w:pPr>
              <w:jc w:val="center"/>
              <w:rPr>
                <w:rFonts w:asciiTheme="majorHAnsi" w:hAnsiTheme="majorHAnsi" w:cstheme="majorHAnsi"/>
                <w:b/>
                <w:bCs/>
                <w:sz w:val="22"/>
                <w:szCs w:val="22"/>
              </w:rPr>
            </w:pPr>
            <w:r w:rsidRPr="0053555E">
              <w:rPr>
                <w:rFonts w:cs="Calibri"/>
                <w:b/>
                <w:bCs/>
                <w:sz w:val="22"/>
                <w:szCs w:val="22"/>
              </w:rPr>
              <w:t>10 543</w:t>
            </w:r>
          </w:p>
        </w:tc>
      </w:tr>
    </w:tbl>
    <w:p w14:paraId="11D66C11" w14:textId="69FC88FD" w:rsidR="005D4665" w:rsidRPr="0053555E" w:rsidRDefault="005D4665" w:rsidP="005D4665"/>
    <w:p w14:paraId="0B8B2F0A" w14:textId="2BB9779F" w:rsidR="000F678F" w:rsidRPr="0053555E" w:rsidRDefault="000F678F" w:rsidP="000E3322">
      <w:pPr>
        <w:pStyle w:val="Popis"/>
      </w:pPr>
      <w:bookmarkStart w:id="24" w:name="_Ref31707073"/>
      <w:bookmarkStart w:id="25" w:name="_Ref474776621"/>
      <w:bookmarkStart w:id="26" w:name="_Toc127593269"/>
      <w:r w:rsidRPr="0053555E">
        <w:t xml:space="preserve">Tab. č. </w:t>
      </w:r>
      <w:r w:rsidR="007B5953">
        <w:fldChar w:fldCharType="begin"/>
      </w:r>
      <w:r w:rsidR="007B5953">
        <w:instrText xml:space="preserve"> SEQ Tab._č. \* ARABIC </w:instrText>
      </w:r>
      <w:r w:rsidR="007B5953">
        <w:fldChar w:fldCharType="separate"/>
      </w:r>
      <w:r w:rsidR="00EE1B59">
        <w:rPr>
          <w:noProof/>
        </w:rPr>
        <w:t>6</w:t>
      </w:r>
      <w:r w:rsidR="007B5953">
        <w:rPr>
          <w:noProof/>
        </w:rPr>
        <w:fldChar w:fldCharType="end"/>
      </w:r>
      <w:bookmarkEnd w:id="24"/>
      <w:r w:rsidRPr="0053555E">
        <w:rPr>
          <w:rFonts w:eastAsia="Times New Roman"/>
          <w:szCs w:val="22"/>
          <w:lang w:eastAsia="sk-SK"/>
        </w:rPr>
        <w:t>:</w:t>
      </w:r>
      <w:bookmarkEnd w:id="25"/>
      <w:r w:rsidRPr="0053555E">
        <w:t xml:space="preserve"> Počet študentov STU v akademickom roku </w:t>
      </w:r>
      <w:r w:rsidRPr="0053555E">
        <w:rPr>
          <w:b/>
        </w:rPr>
        <w:t>2022/2023</w:t>
      </w:r>
      <w:r w:rsidRPr="0053555E">
        <w:t xml:space="preserve"> k 31. 10. 2022</w:t>
      </w:r>
      <w:bookmarkEnd w:id="26"/>
    </w:p>
    <w:tbl>
      <w:tblPr>
        <w:tblW w:w="9498" w:type="dxa"/>
        <w:tblInd w:w="-5" w:type="dxa"/>
        <w:tblLayout w:type="fixed"/>
        <w:tblCellMar>
          <w:left w:w="70" w:type="dxa"/>
          <w:right w:w="70" w:type="dxa"/>
        </w:tblCellMar>
        <w:tblLook w:val="04A0" w:firstRow="1" w:lastRow="0" w:firstColumn="1" w:lastColumn="0" w:noHBand="0" w:noVBand="1"/>
      </w:tblPr>
      <w:tblGrid>
        <w:gridCol w:w="960"/>
        <w:gridCol w:w="1145"/>
        <w:gridCol w:w="1145"/>
        <w:gridCol w:w="1003"/>
        <w:gridCol w:w="992"/>
        <w:gridCol w:w="992"/>
        <w:gridCol w:w="993"/>
        <w:gridCol w:w="850"/>
        <w:gridCol w:w="1418"/>
      </w:tblGrid>
      <w:tr w:rsidR="0042210A" w:rsidRPr="0053555E" w14:paraId="54CEFD59" w14:textId="77777777" w:rsidTr="001605FB">
        <w:trPr>
          <w:trHeight w:val="636"/>
        </w:trPr>
        <w:tc>
          <w:tcPr>
            <w:tcW w:w="960" w:type="dxa"/>
            <w:vMerge w:val="restart"/>
            <w:tcBorders>
              <w:top w:val="single" w:sz="4" w:space="0" w:color="auto"/>
              <w:left w:val="single" w:sz="4" w:space="0" w:color="auto"/>
              <w:right w:val="single" w:sz="4" w:space="0" w:color="auto"/>
            </w:tcBorders>
            <w:shd w:val="clear" w:color="auto" w:fill="auto"/>
            <w:vAlign w:val="bottom"/>
            <w:hideMark/>
          </w:tcPr>
          <w:p w14:paraId="5EE79871" w14:textId="77777777" w:rsidR="0042210A" w:rsidRPr="0053555E" w:rsidRDefault="0042210A" w:rsidP="001605FB">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Súčasť STU</w:t>
            </w:r>
          </w:p>
        </w:tc>
        <w:tc>
          <w:tcPr>
            <w:tcW w:w="3293" w:type="dxa"/>
            <w:gridSpan w:val="3"/>
            <w:tcBorders>
              <w:top w:val="single" w:sz="4" w:space="0" w:color="auto"/>
              <w:left w:val="nil"/>
              <w:bottom w:val="single" w:sz="4" w:space="0" w:color="auto"/>
              <w:right w:val="single" w:sz="8" w:space="0" w:color="000000"/>
            </w:tcBorders>
            <w:shd w:val="clear" w:color="auto" w:fill="auto"/>
            <w:vAlign w:val="center"/>
            <w:hideMark/>
          </w:tcPr>
          <w:p w14:paraId="75D0151E" w14:textId="77777777" w:rsidR="0042210A" w:rsidRPr="0053555E" w:rsidRDefault="0042210A" w:rsidP="001605FB">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Denné štúdium</w:t>
            </w:r>
          </w:p>
          <w:p w14:paraId="4AC71995" w14:textId="77777777" w:rsidR="0042210A" w:rsidRPr="0053555E" w:rsidRDefault="0042210A" w:rsidP="001605FB">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(občania SR + cudzinci)</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532D425E" w14:textId="77777777" w:rsidR="0042210A" w:rsidRPr="0053555E" w:rsidRDefault="0042210A" w:rsidP="001605FB">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Externé štúdium</w:t>
            </w:r>
          </w:p>
          <w:p w14:paraId="0A57F6CE" w14:textId="77777777" w:rsidR="0042210A" w:rsidRPr="0053555E" w:rsidRDefault="0042210A" w:rsidP="001605FB">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(občania SR + cudzinci)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3EA77"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Cudzinci všetky stupne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A66C8D3"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b/>
                <w:sz w:val="18"/>
                <w:szCs w:val="18"/>
                <w:lang w:eastAsia="sk-SK"/>
              </w:rPr>
              <w:t xml:space="preserve">STU celkom </w:t>
            </w:r>
            <w:r w:rsidRPr="0053555E">
              <w:rPr>
                <w:rFonts w:asciiTheme="majorHAnsi" w:eastAsia="Times New Roman" w:hAnsiTheme="majorHAnsi" w:cstheme="majorHAnsi"/>
                <w:sz w:val="18"/>
                <w:szCs w:val="18"/>
                <w:lang w:eastAsia="sk-SK"/>
              </w:rPr>
              <w:t>(občania SR i</w:t>
            </w:r>
          </w:p>
          <w:p w14:paraId="24330837"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 cudzinci)</w:t>
            </w:r>
          </w:p>
        </w:tc>
      </w:tr>
      <w:tr w:rsidR="0042210A" w:rsidRPr="0053555E" w14:paraId="49346197" w14:textId="77777777" w:rsidTr="001605FB">
        <w:trPr>
          <w:trHeight w:val="300"/>
        </w:trPr>
        <w:tc>
          <w:tcPr>
            <w:tcW w:w="960" w:type="dxa"/>
            <w:vMerge/>
            <w:tcBorders>
              <w:left w:val="single" w:sz="4" w:space="0" w:color="auto"/>
              <w:bottom w:val="single" w:sz="4" w:space="0" w:color="000000"/>
              <w:right w:val="single" w:sz="4" w:space="0" w:color="auto"/>
            </w:tcBorders>
            <w:shd w:val="clear" w:color="auto" w:fill="auto"/>
            <w:vAlign w:val="center"/>
            <w:hideMark/>
          </w:tcPr>
          <w:p w14:paraId="23DA113B" w14:textId="77777777" w:rsidR="0042210A" w:rsidRPr="0053555E" w:rsidRDefault="0042210A" w:rsidP="001605FB">
            <w:pPr>
              <w:tabs>
                <w:tab w:val="left" w:pos="9356"/>
              </w:tabs>
              <w:jc w:val="both"/>
              <w:rPr>
                <w:rFonts w:asciiTheme="majorHAnsi" w:eastAsia="Times New Roman" w:hAnsiTheme="majorHAnsi" w:cstheme="majorHAnsi"/>
                <w:sz w:val="22"/>
                <w:szCs w:val="22"/>
                <w:lang w:eastAsia="sk-SK"/>
              </w:rPr>
            </w:pPr>
          </w:p>
        </w:tc>
        <w:tc>
          <w:tcPr>
            <w:tcW w:w="1145" w:type="dxa"/>
            <w:tcBorders>
              <w:top w:val="nil"/>
              <w:left w:val="nil"/>
              <w:bottom w:val="single" w:sz="4" w:space="0" w:color="auto"/>
              <w:right w:val="single" w:sz="4" w:space="0" w:color="auto"/>
            </w:tcBorders>
            <w:shd w:val="clear" w:color="auto" w:fill="auto"/>
            <w:noWrap/>
            <w:vAlign w:val="bottom"/>
            <w:hideMark/>
          </w:tcPr>
          <w:p w14:paraId="7FD3CC5C" w14:textId="77777777" w:rsidR="0042210A" w:rsidRPr="0053555E" w:rsidRDefault="0042210A" w:rsidP="001605FB">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I. stupeň</w:t>
            </w:r>
          </w:p>
        </w:tc>
        <w:tc>
          <w:tcPr>
            <w:tcW w:w="1145" w:type="dxa"/>
            <w:tcBorders>
              <w:top w:val="nil"/>
              <w:left w:val="nil"/>
              <w:bottom w:val="single" w:sz="4" w:space="0" w:color="auto"/>
              <w:right w:val="single" w:sz="4" w:space="0" w:color="auto"/>
            </w:tcBorders>
            <w:shd w:val="clear" w:color="auto" w:fill="auto"/>
            <w:noWrap/>
            <w:vAlign w:val="bottom"/>
            <w:hideMark/>
          </w:tcPr>
          <w:p w14:paraId="7B53F402" w14:textId="77777777" w:rsidR="0042210A" w:rsidRPr="0053555E" w:rsidRDefault="0042210A" w:rsidP="001605FB">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II. stupeň</w:t>
            </w:r>
          </w:p>
        </w:tc>
        <w:tc>
          <w:tcPr>
            <w:tcW w:w="1003" w:type="dxa"/>
            <w:tcBorders>
              <w:top w:val="nil"/>
              <w:left w:val="nil"/>
              <w:bottom w:val="single" w:sz="4" w:space="0" w:color="auto"/>
              <w:right w:val="single" w:sz="8" w:space="0" w:color="auto"/>
            </w:tcBorders>
            <w:shd w:val="clear" w:color="auto" w:fill="auto"/>
            <w:noWrap/>
            <w:vAlign w:val="bottom"/>
            <w:hideMark/>
          </w:tcPr>
          <w:p w14:paraId="5EC4E40A" w14:textId="77777777" w:rsidR="0042210A" w:rsidRPr="0053555E" w:rsidRDefault="0042210A" w:rsidP="001605FB">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III. stupeň</w:t>
            </w:r>
          </w:p>
        </w:tc>
        <w:tc>
          <w:tcPr>
            <w:tcW w:w="992" w:type="dxa"/>
            <w:tcBorders>
              <w:top w:val="nil"/>
              <w:left w:val="nil"/>
              <w:bottom w:val="single" w:sz="4" w:space="0" w:color="auto"/>
              <w:right w:val="single" w:sz="4" w:space="0" w:color="auto"/>
            </w:tcBorders>
            <w:shd w:val="clear" w:color="auto" w:fill="auto"/>
            <w:noWrap/>
            <w:vAlign w:val="bottom"/>
            <w:hideMark/>
          </w:tcPr>
          <w:p w14:paraId="426D4274" w14:textId="77777777" w:rsidR="0042210A" w:rsidRPr="0053555E" w:rsidRDefault="0042210A" w:rsidP="001605FB">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I. stupeň</w:t>
            </w:r>
          </w:p>
        </w:tc>
        <w:tc>
          <w:tcPr>
            <w:tcW w:w="992" w:type="dxa"/>
            <w:tcBorders>
              <w:top w:val="nil"/>
              <w:left w:val="nil"/>
              <w:bottom w:val="single" w:sz="4" w:space="0" w:color="auto"/>
              <w:right w:val="single" w:sz="4" w:space="0" w:color="auto"/>
            </w:tcBorders>
            <w:shd w:val="clear" w:color="auto" w:fill="auto"/>
            <w:noWrap/>
            <w:vAlign w:val="bottom"/>
            <w:hideMark/>
          </w:tcPr>
          <w:p w14:paraId="749B286A" w14:textId="77777777" w:rsidR="0042210A" w:rsidRPr="0053555E" w:rsidRDefault="0042210A" w:rsidP="001605FB">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II. stupeň</w:t>
            </w:r>
          </w:p>
        </w:tc>
        <w:tc>
          <w:tcPr>
            <w:tcW w:w="993" w:type="dxa"/>
            <w:tcBorders>
              <w:top w:val="nil"/>
              <w:left w:val="nil"/>
              <w:bottom w:val="single" w:sz="4" w:space="0" w:color="auto"/>
              <w:right w:val="single" w:sz="4" w:space="0" w:color="auto"/>
            </w:tcBorders>
            <w:shd w:val="clear" w:color="auto" w:fill="auto"/>
            <w:noWrap/>
            <w:vAlign w:val="bottom"/>
            <w:hideMark/>
          </w:tcPr>
          <w:p w14:paraId="7F6A6743" w14:textId="77777777" w:rsidR="0042210A" w:rsidRPr="0053555E" w:rsidRDefault="0042210A" w:rsidP="001605FB">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III. stupeň</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85FD0" w14:textId="77777777" w:rsidR="0042210A" w:rsidRPr="0053555E" w:rsidRDefault="0042210A" w:rsidP="001605FB">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D+E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4C508CBF" w14:textId="77777777" w:rsidR="0042210A" w:rsidRPr="0053555E" w:rsidRDefault="0042210A" w:rsidP="001605FB">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D+E</w:t>
            </w:r>
          </w:p>
        </w:tc>
      </w:tr>
      <w:tr w:rsidR="00BA6F72" w:rsidRPr="0053555E" w14:paraId="0148DD02" w14:textId="77777777" w:rsidTr="001605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90AE66" w14:textId="77777777" w:rsidR="00BA6F72" w:rsidRPr="0053555E" w:rsidRDefault="00BA6F72" w:rsidP="00BA6F72">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SvF</w:t>
            </w:r>
          </w:p>
        </w:tc>
        <w:tc>
          <w:tcPr>
            <w:tcW w:w="1145" w:type="dxa"/>
            <w:tcBorders>
              <w:top w:val="nil"/>
              <w:left w:val="nil"/>
              <w:bottom w:val="single" w:sz="4" w:space="0" w:color="auto"/>
              <w:right w:val="single" w:sz="4" w:space="0" w:color="auto"/>
            </w:tcBorders>
            <w:shd w:val="clear" w:color="auto" w:fill="auto"/>
            <w:noWrap/>
            <w:vAlign w:val="bottom"/>
            <w:hideMark/>
          </w:tcPr>
          <w:p w14:paraId="3E7F895F" w14:textId="1BF7BD39"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1 749</w:t>
            </w:r>
          </w:p>
        </w:tc>
        <w:tc>
          <w:tcPr>
            <w:tcW w:w="1145" w:type="dxa"/>
            <w:tcBorders>
              <w:top w:val="nil"/>
              <w:left w:val="nil"/>
              <w:bottom w:val="single" w:sz="4" w:space="0" w:color="auto"/>
              <w:right w:val="single" w:sz="4" w:space="0" w:color="auto"/>
            </w:tcBorders>
            <w:shd w:val="clear" w:color="auto" w:fill="auto"/>
            <w:noWrap/>
            <w:vAlign w:val="bottom"/>
            <w:hideMark/>
          </w:tcPr>
          <w:p w14:paraId="3DC5E757" w14:textId="7B22442E"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511</w:t>
            </w:r>
          </w:p>
        </w:tc>
        <w:tc>
          <w:tcPr>
            <w:tcW w:w="1003" w:type="dxa"/>
            <w:tcBorders>
              <w:top w:val="nil"/>
              <w:left w:val="nil"/>
              <w:bottom w:val="single" w:sz="4" w:space="0" w:color="auto"/>
              <w:right w:val="single" w:sz="8" w:space="0" w:color="auto"/>
            </w:tcBorders>
            <w:shd w:val="clear" w:color="auto" w:fill="auto"/>
            <w:noWrap/>
            <w:vAlign w:val="bottom"/>
            <w:hideMark/>
          </w:tcPr>
          <w:p w14:paraId="6C48C8AC" w14:textId="182F9F48"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129</w:t>
            </w:r>
          </w:p>
        </w:tc>
        <w:tc>
          <w:tcPr>
            <w:tcW w:w="992" w:type="dxa"/>
            <w:tcBorders>
              <w:top w:val="nil"/>
              <w:left w:val="nil"/>
              <w:bottom w:val="single" w:sz="4" w:space="0" w:color="auto"/>
              <w:right w:val="single" w:sz="4" w:space="0" w:color="auto"/>
            </w:tcBorders>
            <w:shd w:val="clear" w:color="auto" w:fill="auto"/>
            <w:noWrap/>
            <w:vAlign w:val="bottom"/>
            <w:hideMark/>
          </w:tcPr>
          <w:p w14:paraId="3F47670B" w14:textId="38413EA9"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3148F4E0" w14:textId="37CD770F"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14:paraId="56E71415" w14:textId="77CDA8AC"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A5A3E" w14:textId="75C91733"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376</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1464FCF4" w14:textId="1C3796C0"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2 405</w:t>
            </w:r>
          </w:p>
        </w:tc>
      </w:tr>
      <w:tr w:rsidR="00BA6F72" w:rsidRPr="0053555E" w14:paraId="37BB476F" w14:textId="77777777" w:rsidTr="001605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534A53" w14:textId="77777777" w:rsidR="00BA6F72" w:rsidRPr="0053555E" w:rsidRDefault="00BA6F72" w:rsidP="00BA6F72">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SjF</w:t>
            </w:r>
          </w:p>
        </w:tc>
        <w:tc>
          <w:tcPr>
            <w:tcW w:w="1145" w:type="dxa"/>
            <w:tcBorders>
              <w:top w:val="nil"/>
              <w:left w:val="nil"/>
              <w:bottom w:val="single" w:sz="4" w:space="0" w:color="auto"/>
              <w:right w:val="single" w:sz="4" w:space="0" w:color="auto"/>
            </w:tcBorders>
            <w:shd w:val="clear" w:color="auto" w:fill="auto"/>
            <w:noWrap/>
            <w:vAlign w:val="bottom"/>
            <w:hideMark/>
          </w:tcPr>
          <w:p w14:paraId="0D573FA1" w14:textId="3C9EDC52"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513</w:t>
            </w:r>
          </w:p>
        </w:tc>
        <w:tc>
          <w:tcPr>
            <w:tcW w:w="1145" w:type="dxa"/>
            <w:tcBorders>
              <w:top w:val="nil"/>
              <w:left w:val="nil"/>
              <w:bottom w:val="single" w:sz="4" w:space="0" w:color="auto"/>
              <w:right w:val="single" w:sz="4" w:space="0" w:color="auto"/>
            </w:tcBorders>
            <w:shd w:val="clear" w:color="auto" w:fill="auto"/>
            <w:noWrap/>
            <w:vAlign w:val="bottom"/>
            <w:hideMark/>
          </w:tcPr>
          <w:p w14:paraId="6730AA86" w14:textId="3282D1F7"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263</w:t>
            </w:r>
          </w:p>
        </w:tc>
        <w:tc>
          <w:tcPr>
            <w:tcW w:w="1003" w:type="dxa"/>
            <w:tcBorders>
              <w:top w:val="nil"/>
              <w:left w:val="nil"/>
              <w:bottom w:val="single" w:sz="4" w:space="0" w:color="auto"/>
              <w:right w:val="single" w:sz="8" w:space="0" w:color="auto"/>
            </w:tcBorders>
            <w:shd w:val="clear" w:color="auto" w:fill="auto"/>
            <w:noWrap/>
            <w:vAlign w:val="bottom"/>
            <w:hideMark/>
          </w:tcPr>
          <w:p w14:paraId="510AC8DF" w14:textId="0CE64DAD"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39</w:t>
            </w:r>
          </w:p>
        </w:tc>
        <w:tc>
          <w:tcPr>
            <w:tcW w:w="992" w:type="dxa"/>
            <w:tcBorders>
              <w:top w:val="nil"/>
              <w:left w:val="nil"/>
              <w:bottom w:val="single" w:sz="4" w:space="0" w:color="auto"/>
              <w:right w:val="single" w:sz="4" w:space="0" w:color="auto"/>
            </w:tcBorders>
            <w:shd w:val="clear" w:color="auto" w:fill="auto"/>
            <w:noWrap/>
            <w:vAlign w:val="bottom"/>
            <w:hideMark/>
          </w:tcPr>
          <w:p w14:paraId="25C8E5F6" w14:textId="4CF1C951"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272AC4C4" w14:textId="0CFA251A"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14:paraId="2ECB6819" w14:textId="5D858B2B"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21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55934" w14:textId="08266945"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192</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671BFCBA" w14:textId="7437155C"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836</w:t>
            </w:r>
          </w:p>
        </w:tc>
      </w:tr>
      <w:tr w:rsidR="00BA6F72" w:rsidRPr="0053555E" w14:paraId="515E3AF5" w14:textId="77777777" w:rsidTr="001605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B03B54" w14:textId="77777777" w:rsidR="00BA6F72" w:rsidRPr="0053555E" w:rsidRDefault="00BA6F72" w:rsidP="00BA6F72">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FEI</w:t>
            </w:r>
          </w:p>
        </w:tc>
        <w:tc>
          <w:tcPr>
            <w:tcW w:w="1145" w:type="dxa"/>
            <w:tcBorders>
              <w:top w:val="nil"/>
              <w:left w:val="nil"/>
              <w:bottom w:val="single" w:sz="4" w:space="0" w:color="auto"/>
              <w:right w:val="single" w:sz="4" w:space="0" w:color="auto"/>
            </w:tcBorders>
            <w:shd w:val="clear" w:color="auto" w:fill="auto"/>
            <w:noWrap/>
            <w:vAlign w:val="bottom"/>
            <w:hideMark/>
          </w:tcPr>
          <w:p w14:paraId="51E0BC5D" w14:textId="7F0C752F"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1 638</w:t>
            </w:r>
          </w:p>
        </w:tc>
        <w:tc>
          <w:tcPr>
            <w:tcW w:w="1145" w:type="dxa"/>
            <w:tcBorders>
              <w:top w:val="nil"/>
              <w:left w:val="nil"/>
              <w:bottom w:val="single" w:sz="4" w:space="0" w:color="auto"/>
              <w:right w:val="single" w:sz="4" w:space="0" w:color="auto"/>
            </w:tcBorders>
            <w:shd w:val="clear" w:color="auto" w:fill="auto"/>
            <w:noWrap/>
            <w:vAlign w:val="bottom"/>
            <w:hideMark/>
          </w:tcPr>
          <w:p w14:paraId="35A71420" w14:textId="282A8B5D"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648</w:t>
            </w:r>
          </w:p>
        </w:tc>
        <w:tc>
          <w:tcPr>
            <w:tcW w:w="1003" w:type="dxa"/>
            <w:tcBorders>
              <w:top w:val="nil"/>
              <w:left w:val="nil"/>
              <w:bottom w:val="single" w:sz="4" w:space="0" w:color="auto"/>
              <w:right w:val="single" w:sz="8" w:space="0" w:color="auto"/>
            </w:tcBorders>
            <w:shd w:val="clear" w:color="auto" w:fill="auto"/>
            <w:noWrap/>
            <w:vAlign w:val="bottom"/>
            <w:hideMark/>
          </w:tcPr>
          <w:p w14:paraId="65BBEF62" w14:textId="116BF9F3"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114</w:t>
            </w:r>
          </w:p>
        </w:tc>
        <w:tc>
          <w:tcPr>
            <w:tcW w:w="992" w:type="dxa"/>
            <w:tcBorders>
              <w:top w:val="nil"/>
              <w:left w:val="nil"/>
              <w:bottom w:val="single" w:sz="4" w:space="0" w:color="auto"/>
              <w:right w:val="single" w:sz="4" w:space="0" w:color="auto"/>
            </w:tcBorders>
            <w:shd w:val="clear" w:color="auto" w:fill="auto"/>
            <w:noWrap/>
            <w:vAlign w:val="bottom"/>
            <w:hideMark/>
          </w:tcPr>
          <w:p w14:paraId="75DB61AF" w14:textId="75D051E9"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7C3F63AB" w14:textId="50AB943D"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14:paraId="26DF82F2" w14:textId="247CEE64"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F4013" w14:textId="05687159"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419</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493A01A7" w14:textId="77DE11F7"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2 427</w:t>
            </w:r>
          </w:p>
        </w:tc>
      </w:tr>
      <w:tr w:rsidR="00BA6F72" w:rsidRPr="0053555E" w14:paraId="6F0B18F3" w14:textId="77777777" w:rsidTr="001605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08BA4C" w14:textId="77777777" w:rsidR="00BA6F72" w:rsidRPr="0053555E" w:rsidRDefault="00BA6F72" w:rsidP="00BA6F72">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FCHPT</w:t>
            </w:r>
          </w:p>
        </w:tc>
        <w:tc>
          <w:tcPr>
            <w:tcW w:w="1145" w:type="dxa"/>
            <w:tcBorders>
              <w:top w:val="nil"/>
              <w:left w:val="nil"/>
              <w:bottom w:val="single" w:sz="4" w:space="0" w:color="auto"/>
              <w:right w:val="single" w:sz="4" w:space="0" w:color="auto"/>
            </w:tcBorders>
            <w:shd w:val="clear" w:color="auto" w:fill="auto"/>
            <w:noWrap/>
            <w:vAlign w:val="bottom"/>
            <w:hideMark/>
          </w:tcPr>
          <w:p w14:paraId="14DFC1AA" w14:textId="289EE806"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769</w:t>
            </w:r>
          </w:p>
        </w:tc>
        <w:tc>
          <w:tcPr>
            <w:tcW w:w="1145" w:type="dxa"/>
            <w:tcBorders>
              <w:top w:val="nil"/>
              <w:left w:val="nil"/>
              <w:bottom w:val="single" w:sz="4" w:space="0" w:color="auto"/>
              <w:right w:val="single" w:sz="4" w:space="0" w:color="auto"/>
            </w:tcBorders>
            <w:shd w:val="clear" w:color="auto" w:fill="auto"/>
            <w:noWrap/>
            <w:vAlign w:val="bottom"/>
            <w:hideMark/>
          </w:tcPr>
          <w:p w14:paraId="6715583E" w14:textId="437F48B1"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356</w:t>
            </w:r>
          </w:p>
        </w:tc>
        <w:tc>
          <w:tcPr>
            <w:tcW w:w="1003" w:type="dxa"/>
            <w:tcBorders>
              <w:top w:val="nil"/>
              <w:left w:val="nil"/>
              <w:bottom w:val="single" w:sz="4" w:space="0" w:color="auto"/>
              <w:right w:val="single" w:sz="8" w:space="0" w:color="auto"/>
            </w:tcBorders>
            <w:shd w:val="clear" w:color="auto" w:fill="auto"/>
            <w:noWrap/>
            <w:vAlign w:val="bottom"/>
            <w:hideMark/>
          </w:tcPr>
          <w:p w14:paraId="38E73949" w14:textId="00DCD190"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155</w:t>
            </w:r>
          </w:p>
        </w:tc>
        <w:tc>
          <w:tcPr>
            <w:tcW w:w="992" w:type="dxa"/>
            <w:tcBorders>
              <w:top w:val="nil"/>
              <w:left w:val="nil"/>
              <w:bottom w:val="single" w:sz="4" w:space="0" w:color="auto"/>
              <w:right w:val="single" w:sz="4" w:space="0" w:color="auto"/>
            </w:tcBorders>
            <w:shd w:val="clear" w:color="auto" w:fill="auto"/>
            <w:noWrap/>
            <w:vAlign w:val="bottom"/>
            <w:hideMark/>
          </w:tcPr>
          <w:p w14:paraId="198D7B8A" w14:textId="3003F8FD"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63C924B0" w14:textId="2C4852F1"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14:paraId="36915FAF" w14:textId="132371A5"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28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09E0F" w14:textId="056C34D3"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300</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528C64FD" w14:textId="7DE72AB6"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1 308</w:t>
            </w:r>
          </w:p>
        </w:tc>
      </w:tr>
      <w:tr w:rsidR="00BA6F72" w:rsidRPr="0053555E" w14:paraId="55E3F46F" w14:textId="77777777" w:rsidTr="001605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C9075C" w14:textId="77777777" w:rsidR="00BA6F72" w:rsidRPr="0053555E" w:rsidRDefault="00BA6F72" w:rsidP="00BA6F72">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FAD</w:t>
            </w:r>
          </w:p>
        </w:tc>
        <w:tc>
          <w:tcPr>
            <w:tcW w:w="1145" w:type="dxa"/>
            <w:tcBorders>
              <w:top w:val="nil"/>
              <w:left w:val="nil"/>
              <w:bottom w:val="single" w:sz="4" w:space="0" w:color="auto"/>
              <w:right w:val="single" w:sz="4" w:space="0" w:color="auto"/>
            </w:tcBorders>
            <w:shd w:val="clear" w:color="auto" w:fill="auto"/>
            <w:noWrap/>
            <w:vAlign w:val="bottom"/>
            <w:hideMark/>
          </w:tcPr>
          <w:p w14:paraId="162C0940" w14:textId="4ACC2420"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612</w:t>
            </w:r>
          </w:p>
        </w:tc>
        <w:tc>
          <w:tcPr>
            <w:tcW w:w="1145" w:type="dxa"/>
            <w:tcBorders>
              <w:top w:val="nil"/>
              <w:left w:val="nil"/>
              <w:bottom w:val="single" w:sz="4" w:space="0" w:color="auto"/>
              <w:right w:val="single" w:sz="4" w:space="0" w:color="auto"/>
            </w:tcBorders>
            <w:shd w:val="clear" w:color="auto" w:fill="auto"/>
            <w:noWrap/>
            <w:vAlign w:val="bottom"/>
            <w:hideMark/>
          </w:tcPr>
          <w:p w14:paraId="326B91E6" w14:textId="5D436BFE"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248</w:t>
            </w:r>
          </w:p>
        </w:tc>
        <w:tc>
          <w:tcPr>
            <w:tcW w:w="1003" w:type="dxa"/>
            <w:tcBorders>
              <w:top w:val="nil"/>
              <w:left w:val="nil"/>
              <w:bottom w:val="single" w:sz="4" w:space="0" w:color="auto"/>
              <w:right w:val="single" w:sz="8" w:space="0" w:color="auto"/>
            </w:tcBorders>
            <w:shd w:val="clear" w:color="auto" w:fill="auto"/>
            <w:noWrap/>
            <w:vAlign w:val="bottom"/>
            <w:hideMark/>
          </w:tcPr>
          <w:p w14:paraId="63C9007D" w14:textId="64AF5BDD"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49</w:t>
            </w:r>
          </w:p>
        </w:tc>
        <w:tc>
          <w:tcPr>
            <w:tcW w:w="992" w:type="dxa"/>
            <w:tcBorders>
              <w:top w:val="nil"/>
              <w:left w:val="nil"/>
              <w:bottom w:val="single" w:sz="4" w:space="0" w:color="auto"/>
              <w:right w:val="single" w:sz="4" w:space="0" w:color="auto"/>
            </w:tcBorders>
            <w:shd w:val="clear" w:color="auto" w:fill="auto"/>
            <w:noWrap/>
            <w:vAlign w:val="bottom"/>
            <w:hideMark/>
          </w:tcPr>
          <w:p w14:paraId="3124B6BE" w14:textId="386C1189"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6883701C" w14:textId="2F8982EA"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14:paraId="1570E141" w14:textId="6B400D29"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E307D" w14:textId="791E8592"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74</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5216F5E3" w14:textId="7CF3CCDC"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925</w:t>
            </w:r>
          </w:p>
        </w:tc>
      </w:tr>
      <w:tr w:rsidR="00BA6F72" w:rsidRPr="0053555E" w14:paraId="477DCB58" w14:textId="77777777" w:rsidTr="001605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25208A" w14:textId="77777777" w:rsidR="00BA6F72" w:rsidRPr="0053555E" w:rsidRDefault="00BA6F72" w:rsidP="00BA6F72">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MTF</w:t>
            </w:r>
          </w:p>
        </w:tc>
        <w:tc>
          <w:tcPr>
            <w:tcW w:w="1145" w:type="dxa"/>
            <w:tcBorders>
              <w:top w:val="nil"/>
              <w:left w:val="nil"/>
              <w:bottom w:val="single" w:sz="4" w:space="0" w:color="auto"/>
              <w:right w:val="single" w:sz="4" w:space="0" w:color="auto"/>
            </w:tcBorders>
            <w:shd w:val="clear" w:color="auto" w:fill="auto"/>
            <w:noWrap/>
            <w:vAlign w:val="bottom"/>
            <w:hideMark/>
          </w:tcPr>
          <w:p w14:paraId="1C5E1C49" w14:textId="1B39FA56"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915</w:t>
            </w:r>
          </w:p>
        </w:tc>
        <w:tc>
          <w:tcPr>
            <w:tcW w:w="1145" w:type="dxa"/>
            <w:tcBorders>
              <w:top w:val="nil"/>
              <w:left w:val="nil"/>
              <w:bottom w:val="single" w:sz="4" w:space="0" w:color="auto"/>
              <w:right w:val="single" w:sz="4" w:space="0" w:color="auto"/>
            </w:tcBorders>
            <w:shd w:val="clear" w:color="auto" w:fill="auto"/>
            <w:noWrap/>
            <w:vAlign w:val="bottom"/>
            <w:hideMark/>
          </w:tcPr>
          <w:p w14:paraId="616FE14D" w14:textId="765BAF28"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580</w:t>
            </w:r>
          </w:p>
        </w:tc>
        <w:tc>
          <w:tcPr>
            <w:tcW w:w="1003" w:type="dxa"/>
            <w:tcBorders>
              <w:top w:val="nil"/>
              <w:left w:val="nil"/>
              <w:bottom w:val="single" w:sz="4" w:space="0" w:color="auto"/>
              <w:right w:val="single" w:sz="8" w:space="0" w:color="auto"/>
            </w:tcBorders>
            <w:shd w:val="clear" w:color="auto" w:fill="auto"/>
            <w:noWrap/>
            <w:vAlign w:val="bottom"/>
            <w:hideMark/>
          </w:tcPr>
          <w:p w14:paraId="1C233D70" w14:textId="6FAB2538"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59</w:t>
            </w:r>
          </w:p>
        </w:tc>
        <w:tc>
          <w:tcPr>
            <w:tcW w:w="992" w:type="dxa"/>
            <w:tcBorders>
              <w:top w:val="nil"/>
              <w:left w:val="nil"/>
              <w:bottom w:val="single" w:sz="4" w:space="0" w:color="auto"/>
              <w:right w:val="single" w:sz="4" w:space="0" w:color="auto"/>
            </w:tcBorders>
            <w:shd w:val="clear" w:color="auto" w:fill="auto"/>
            <w:noWrap/>
            <w:vAlign w:val="bottom"/>
            <w:hideMark/>
          </w:tcPr>
          <w:p w14:paraId="0EF8ABD6" w14:textId="40425B43"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74E4E26B" w14:textId="2C65B5D4"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14:paraId="0BCF0D1F" w14:textId="133FB52E"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7279E" w14:textId="0A4E7947"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123</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5BF7AB91" w14:textId="372BA7B7"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1 581</w:t>
            </w:r>
          </w:p>
        </w:tc>
      </w:tr>
      <w:tr w:rsidR="00BA6F72" w:rsidRPr="0053555E" w14:paraId="24C0C7EF" w14:textId="77777777" w:rsidTr="001605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EEB780" w14:textId="77777777" w:rsidR="00BA6F72" w:rsidRPr="0053555E" w:rsidRDefault="00BA6F72" w:rsidP="00BA6F72">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FIIT</w:t>
            </w:r>
          </w:p>
        </w:tc>
        <w:tc>
          <w:tcPr>
            <w:tcW w:w="1145" w:type="dxa"/>
            <w:tcBorders>
              <w:top w:val="nil"/>
              <w:left w:val="nil"/>
              <w:bottom w:val="single" w:sz="4" w:space="0" w:color="auto"/>
              <w:right w:val="single" w:sz="4" w:space="0" w:color="auto"/>
            </w:tcBorders>
            <w:shd w:val="clear" w:color="auto" w:fill="auto"/>
            <w:noWrap/>
            <w:vAlign w:val="bottom"/>
            <w:hideMark/>
          </w:tcPr>
          <w:p w14:paraId="44027CBF" w14:textId="14964C28"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831</w:t>
            </w:r>
          </w:p>
        </w:tc>
        <w:tc>
          <w:tcPr>
            <w:tcW w:w="1145" w:type="dxa"/>
            <w:tcBorders>
              <w:top w:val="nil"/>
              <w:left w:val="nil"/>
              <w:bottom w:val="single" w:sz="4" w:space="0" w:color="auto"/>
              <w:right w:val="single" w:sz="4" w:space="0" w:color="auto"/>
            </w:tcBorders>
            <w:shd w:val="clear" w:color="auto" w:fill="auto"/>
            <w:noWrap/>
            <w:vAlign w:val="bottom"/>
            <w:hideMark/>
          </w:tcPr>
          <w:p w14:paraId="2E787DA9" w14:textId="0F0A8A3E"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328</w:t>
            </w:r>
          </w:p>
        </w:tc>
        <w:tc>
          <w:tcPr>
            <w:tcW w:w="1003" w:type="dxa"/>
            <w:tcBorders>
              <w:top w:val="nil"/>
              <w:left w:val="nil"/>
              <w:bottom w:val="single" w:sz="4" w:space="0" w:color="auto"/>
              <w:right w:val="single" w:sz="8" w:space="0" w:color="auto"/>
            </w:tcBorders>
            <w:shd w:val="clear" w:color="auto" w:fill="auto"/>
            <w:noWrap/>
            <w:vAlign w:val="bottom"/>
            <w:hideMark/>
          </w:tcPr>
          <w:p w14:paraId="5F7980CD" w14:textId="42B873BE"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31</w:t>
            </w:r>
          </w:p>
        </w:tc>
        <w:tc>
          <w:tcPr>
            <w:tcW w:w="992" w:type="dxa"/>
            <w:tcBorders>
              <w:top w:val="nil"/>
              <w:left w:val="nil"/>
              <w:bottom w:val="single" w:sz="4" w:space="0" w:color="auto"/>
              <w:right w:val="single" w:sz="4" w:space="0" w:color="auto"/>
            </w:tcBorders>
            <w:shd w:val="clear" w:color="auto" w:fill="auto"/>
            <w:noWrap/>
            <w:vAlign w:val="bottom"/>
            <w:hideMark/>
          </w:tcPr>
          <w:p w14:paraId="534F3274" w14:textId="7666D85A"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204F8141" w14:textId="6F036693"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14:paraId="251E70C8" w14:textId="6D7C68AD"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97E27" w14:textId="226FB82B"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189</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01C95B50" w14:textId="16AD8743"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1 196</w:t>
            </w:r>
          </w:p>
        </w:tc>
      </w:tr>
      <w:tr w:rsidR="00BA6F72" w:rsidRPr="0053555E" w14:paraId="3ABDBA3E" w14:textId="77777777" w:rsidTr="001605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C2D453" w14:textId="77777777" w:rsidR="00BA6F72" w:rsidRPr="0053555E" w:rsidRDefault="00BA6F72" w:rsidP="00BA6F72">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ÚM</w:t>
            </w:r>
          </w:p>
        </w:tc>
        <w:tc>
          <w:tcPr>
            <w:tcW w:w="1145" w:type="dxa"/>
            <w:tcBorders>
              <w:top w:val="nil"/>
              <w:left w:val="nil"/>
              <w:bottom w:val="single" w:sz="4" w:space="0" w:color="auto"/>
              <w:right w:val="single" w:sz="4" w:space="0" w:color="auto"/>
            </w:tcBorders>
            <w:shd w:val="clear" w:color="auto" w:fill="auto"/>
            <w:noWrap/>
            <w:vAlign w:val="bottom"/>
            <w:hideMark/>
          </w:tcPr>
          <w:p w14:paraId="57583CFB" w14:textId="7A018215"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222</w:t>
            </w:r>
          </w:p>
        </w:tc>
        <w:tc>
          <w:tcPr>
            <w:tcW w:w="1145" w:type="dxa"/>
            <w:tcBorders>
              <w:top w:val="nil"/>
              <w:left w:val="nil"/>
              <w:bottom w:val="single" w:sz="4" w:space="0" w:color="auto"/>
              <w:right w:val="single" w:sz="4" w:space="0" w:color="auto"/>
            </w:tcBorders>
            <w:shd w:val="clear" w:color="auto" w:fill="auto"/>
            <w:noWrap/>
            <w:vAlign w:val="bottom"/>
            <w:hideMark/>
          </w:tcPr>
          <w:p w14:paraId="6F28584D" w14:textId="38DA00EC"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51</w:t>
            </w:r>
          </w:p>
        </w:tc>
        <w:tc>
          <w:tcPr>
            <w:tcW w:w="1003" w:type="dxa"/>
            <w:tcBorders>
              <w:top w:val="nil"/>
              <w:left w:val="nil"/>
              <w:bottom w:val="single" w:sz="4" w:space="0" w:color="auto"/>
              <w:right w:val="single" w:sz="8" w:space="0" w:color="auto"/>
            </w:tcBorders>
            <w:shd w:val="clear" w:color="auto" w:fill="auto"/>
            <w:noWrap/>
            <w:vAlign w:val="bottom"/>
            <w:hideMark/>
          </w:tcPr>
          <w:p w14:paraId="79D06A1F" w14:textId="3646133E"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11</w:t>
            </w:r>
          </w:p>
        </w:tc>
        <w:tc>
          <w:tcPr>
            <w:tcW w:w="992" w:type="dxa"/>
            <w:tcBorders>
              <w:top w:val="nil"/>
              <w:left w:val="nil"/>
              <w:bottom w:val="single" w:sz="4" w:space="0" w:color="auto"/>
              <w:right w:val="single" w:sz="4" w:space="0" w:color="auto"/>
            </w:tcBorders>
            <w:shd w:val="clear" w:color="auto" w:fill="auto"/>
            <w:noWrap/>
            <w:vAlign w:val="bottom"/>
            <w:hideMark/>
          </w:tcPr>
          <w:p w14:paraId="4B8413AF" w14:textId="40D4A89B"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24F3F41F" w14:textId="0FBE5FA5"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14:paraId="3DE9110B" w14:textId="51E34EFF"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FAD49" w14:textId="5FB840E1" w:rsidR="00BA6F72" w:rsidRPr="0053555E" w:rsidRDefault="00BA6F72" w:rsidP="00BA6F72">
            <w:pPr>
              <w:jc w:val="center"/>
              <w:rPr>
                <w:rFonts w:asciiTheme="majorHAnsi" w:hAnsiTheme="majorHAnsi" w:cstheme="majorHAnsi"/>
                <w:sz w:val="22"/>
                <w:szCs w:val="22"/>
              </w:rPr>
            </w:pPr>
            <w:r w:rsidRPr="0053555E">
              <w:rPr>
                <w:rFonts w:asciiTheme="majorHAnsi" w:hAnsiTheme="majorHAnsi" w:cstheme="majorHAnsi"/>
                <w:sz w:val="22"/>
                <w:szCs w:val="22"/>
              </w:rPr>
              <w:t>140</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72E79EA3" w14:textId="53F3C722"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298</w:t>
            </w:r>
          </w:p>
        </w:tc>
      </w:tr>
      <w:tr w:rsidR="00BA6F72" w:rsidRPr="0053555E" w14:paraId="3C5A3849" w14:textId="77777777" w:rsidTr="001605FB">
        <w:trPr>
          <w:trHeight w:val="300"/>
        </w:trPr>
        <w:tc>
          <w:tcPr>
            <w:tcW w:w="960"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1B9EAD13" w14:textId="77777777" w:rsidR="00BA6F72" w:rsidRPr="0053555E" w:rsidRDefault="00BA6F72" w:rsidP="00BA6F72">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STU</w:t>
            </w:r>
          </w:p>
        </w:tc>
        <w:tc>
          <w:tcPr>
            <w:tcW w:w="1145" w:type="dxa"/>
            <w:tcBorders>
              <w:top w:val="nil"/>
              <w:left w:val="nil"/>
              <w:bottom w:val="single" w:sz="4" w:space="0" w:color="auto"/>
              <w:right w:val="single" w:sz="4" w:space="0" w:color="auto"/>
            </w:tcBorders>
            <w:shd w:val="clear" w:color="auto" w:fill="EEECE1" w:themeFill="background2"/>
            <w:noWrap/>
            <w:vAlign w:val="bottom"/>
            <w:hideMark/>
          </w:tcPr>
          <w:p w14:paraId="31626F7F" w14:textId="7B32CBCD"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7 249</w:t>
            </w:r>
          </w:p>
        </w:tc>
        <w:tc>
          <w:tcPr>
            <w:tcW w:w="1145" w:type="dxa"/>
            <w:tcBorders>
              <w:top w:val="nil"/>
              <w:left w:val="nil"/>
              <w:bottom w:val="single" w:sz="4" w:space="0" w:color="auto"/>
              <w:right w:val="single" w:sz="4" w:space="0" w:color="auto"/>
            </w:tcBorders>
            <w:shd w:val="clear" w:color="auto" w:fill="EEECE1" w:themeFill="background2"/>
            <w:noWrap/>
            <w:vAlign w:val="bottom"/>
            <w:hideMark/>
          </w:tcPr>
          <w:p w14:paraId="285C1A74" w14:textId="26586230"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2 985</w:t>
            </w:r>
          </w:p>
        </w:tc>
        <w:tc>
          <w:tcPr>
            <w:tcW w:w="1003" w:type="dxa"/>
            <w:tcBorders>
              <w:top w:val="nil"/>
              <w:left w:val="nil"/>
              <w:bottom w:val="single" w:sz="4" w:space="0" w:color="auto"/>
              <w:right w:val="single" w:sz="8" w:space="0" w:color="auto"/>
            </w:tcBorders>
            <w:shd w:val="clear" w:color="auto" w:fill="EEECE1" w:themeFill="background2"/>
            <w:noWrap/>
            <w:vAlign w:val="bottom"/>
            <w:hideMark/>
          </w:tcPr>
          <w:p w14:paraId="706F9A45" w14:textId="6011BC64"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587</w:t>
            </w:r>
          </w:p>
        </w:tc>
        <w:tc>
          <w:tcPr>
            <w:tcW w:w="992" w:type="dxa"/>
            <w:tcBorders>
              <w:top w:val="nil"/>
              <w:left w:val="nil"/>
              <w:bottom w:val="single" w:sz="4" w:space="0" w:color="auto"/>
              <w:right w:val="single" w:sz="4" w:space="0" w:color="auto"/>
            </w:tcBorders>
            <w:shd w:val="clear" w:color="auto" w:fill="EEECE1" w:themeFill="background2"/>
            <w:noWrap/>
            <w:vAlign w:val="bottom"/>
            <w:hideMark/>
          </w:tcPr>
          <w:p w14:paraId="047E49DF" w14:textId="642D496E"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0</w:t>
            </w:r>
          </w:p>
        </w:tc>
        <w:tc>
          <w:tcPr>
            <w:tcW w:w="992" w:type="dxa"/>
            <w:tcBorders>
              <w:top w:val="nil"/>
              <w:left w:val="nil"/>
              <w:bottom w:val="single" w:sz="4" w:space="0" w:color="auto"/>
              <w:right w:val="single" w:sz="4" w:space="0" w:color="auto"/>
            </w:tcBorders>
            <w:shd w:val="clear" w:color="auto" w:fill="EEECE1" w:themeFill="background2"/>
            <w:noWrap/>
            <w:vAlign w:val="bottom"/>
            <w:hideMark/>
          </w:tcPr>
          <w:p w14:paraId="7BE4ACC6" w14:textId="62231FBF"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0</w:t>
            </w:r>
          </w:p>
        </w:tc>
        <w:tc>
          <w:tcPr>
            <w:tcW w:w="993" w:type="dxa"/>
            <w:tcBorders>
              <w:top w:val="nil"/>
              <w:left w:val="nil"/>
              <w:bottom w:val="single" w:sz="4" w:space="0" w:color="auto"/>
              <w:right w:val="single" w:sz="4" w:space="0" w:color="auto"/>
            </w:tcBorders>
            <w:shd w:val="clear" w:color="auto" w:fill="EEECE1" w:themeFill="background2"/>
            <w:noWrap/>
            <w:vAlign w:val="bottom"/>
            <w:hideMark/>
          </w:tcPr>
          <w:p w14:paraId="0EC5340D" w14:textId="424CF84C"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155</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3E6A7D9C" w14:textId="7427FDF7"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1 813</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1661ADEE" w14:textId="644A2696" w:rsidR="00BA6F72" w:rsidRPr="0053555E" w:rsidRDefault="00BA6F72" w:rsidP="00BA6F72">
            <w:pPr>
              <w:jc w:val="center"/>
              <w:rPr>
                <w:rFonts w:asciiTheme="majorHAnsi" w:hAnsiTheme="majorHAnsi" w:cstheme="majorHAnsi"/>
                <w:b/>
                <w:bCs/>
                <w:sz w:val="22"/>
                <w:szCs w:val="22"/>
              </w:rPr>
            </w:pPr>
            <w:r w:rsidRPr="0053555E">
              <w:rPr>
                <w:rFonts w:asciiTheme="majorHAnsi" w:hAnsiTheme="majorHAnsi" w:cstheme="majorHAnsi"/>
                <w:b/>
                <w:bCs/>
                <w:sz w:val="22"/>
                <w:szCs w:val="22"/>
              </w:rPr>
              <w:t>10 976</w:t>
            </w:r>
          </w:p>
        </w:tc>
      </w:tr>
    </w:tbl>
    <w:p w14:paraId="6C2E2487" w14:textId="77777777" w:rsidR="0042210A" w:rsidRPr="0053555E" w:rsidRDefault="0042210A" w:rsidP="0042210A">
      <w:pPr>
        <w:tabs>
          <w:tab w:val="left" w:pos="9356"/>
        </w:tabs>
        <w:jc w:val="both"/>
        <w:rPr>
          <w:rFonts w:asciiTheme="majorHAnsi" w:hAnsiTheme="majorHAnsi" w:cstheme="majorHAnsi"/>
        </w:rPr>
      </w:pPr>
    </w:p>
    <w:p w14:paraId="6B442D1A" w14:textId="0306138B" w:rsidR="0042210A" w:rsidRPr="0053555E" w:rsidRDefault="0042210A" w:rsidP="0042210A">
      <w:pPr>
        <w:tabs>
          <w:tab w:val="left" w:pos="9356"/>
        </w:tabs>
        <w:jc w:val="both"/>
        <w:rPr>
          <w:rFonts w:asciiTheme="majorHAnsi" w:hAnsiTheme="majorHAnsi" w:cstheme="majorHAnsi"/>
          <w:sz w:val="20"/>
          <w:szCs w:val="20"/>
        </w:rPr>
      </w:pPr>
      <w:r w:rsidRPr="0053555E">
        <w:rPr>
          <w:rFonts w:asciiTheme="majorHAnsi" w:hAnsiTheme="majorHAnsi" w:cstheme="majorHAnsi"/>
        </w:rPr>
        <w:t xml:space="preserve">Porovnanie počtu študentov k počtu zamestnancov (počet vysokoškolských učiteľov a výskumných a umeleckých pracovníkov) v akademických rokoch </w:t>
      </w:r>
      <w:r w:rsidR="00EA24BA" w:rsidRPr="0053555E">
        <w:rPr>
          <w:rFonts w:asciiTheme="majorHAnsi" w:hAnsiTheme="majorHAnsi" w:cstheme="majorHAnsi"/>
        </w:rPr>
        <w:t>2021/2022</w:t>
      </w:r>
      <w:r w:rsidRPr="0053555E">
        <w:rPr>
          <w:rFonts w:asciiTheme="majorHAnsi" w:hAnsiTheme="majorHAnsi" w:cstheme="majorHAnsi"/>
        </w:rPr>
        <w:t xml:space="preserve"> a </w:t>
      </w:r>
      <w:r w:rsidR="00EA24BA" w:rsidRPr="0053555E">
        <w:rPr>
          <w:rFonts w:asciiTheme="majorHAnsi" w:hAnsiTheme="majorHAnsi" w:cstheme="majorHAnsi"/>
        </w:rPr>
        <w:t>2022/2023</w:t>
      </w:r>
      <w:r w:rsidRPr="0053555E">
        <w:rPr>
          <w:rFonts w:asciiTheme="majorHAnsi" w:hAnsiTheme="majorHAnsi" w:cstheme="majorHAnsi"/>
        </w:rPr>
        <w:t xml:space="preserve"> (stav k 31. 10. príslušného akademického roka) na jednotlivých súčastiach STU je uvedené </w:t>
      </w:r>
      <w:r w:rsidRPr="0053555E">
        <w:rPr>
          <w:rFonts w:asciiTheme="majorHAnsi" w:hAnsiTheme="majorHAnsi" w:cstheme="majorHAnsi"/>
          <w:sz w:val="20"/>
          <w:szCs w:val="20"/>
        </w:rPr>
        <w:t>v </w:t>
      </w:r>
      <w:r w:rsidR="006105BB" w:rsidRPr="0053555E">
        <w:rPr>
          <w:rFonts w:asciiTheme="majorHAnsi" w:hAnsiTheme="majorHAnsi" w:cstheme="majorHAnsi"/>
          <w:sz w:val="20"/>
          <w:szCs w:val="20"/>
        </w:rPr>
        <w:fldChar w:fldCharType="begin"/>
      </w:r>
      <w:r w:rsidR="006105BB" w:rsidRPr="0053555E">
        <w:rPr>
          <w:rFonts w:asciiTheme="majorHAnsi" w:hAnsiTheme="majorHAnsi" w:cstheme="majorHAnsi"/>
          <w:sz w:val="20"/>
          <w:szCs w:val="20"/>
        </w:rPr>
        <w:instrText xml:space="preserve"> REF _Ref64644952 \h  \* MERGEFORMAT </w:instrText>
      </w:r>
      <w:r w:rsidR="006105BB" w:rsidRPr="0053555E">
        <w:rPr>
          <w:rFonts w:asciiTheme="majorHAnsi" w:hAnsiTheme="majorHAnsi" w:cstheme="majorHAnsi"/>
          <w:sz w:val="20"/>
          <w:szCs w:val="20"/>
        </w:rPr>
      </w:r>
      <w:r w:rsidR="006105BB" w:rsidRPr="0053555E">
        <w:rPr>
          <w:rFonts w:asciiTheme="majorHAnsi" w:hAnsiTheme="majorHAnsi" w:cstheme="majorHAnsi"/>
          <w:sz w:val="20"/>
          <w:szCs w:val="20"/>
        </w:rPr>
        <w:fldChar w:fldCharType="separate"/>
      </w:r>
      <w:r w:rsidR="00EE1B59" w:rsidRPr="00EE1B59">
        <w:rPr>
          <w:rFonts w:asciiTheme="majorHAnsi" w:hAnsiTheme="majorHAnsi" w:cstheme="majorHAnsi"/>
          <w:sz w:val="20"/>
          <w:szCs w:val="20"/>
        </w:rPr>
        <w:t>Tab. č. 7</w:t>
      </w:r>
      <w:r w:rsidR="006105BB" w:rsidRPr="0053555E">
        <w:rPr>
          <w:rFonts w:asciiTheme="majorHAnsi" w:hAnsiTheme="majorHAnsi" w:cstheme="majorHAnsi"/>
          <w:sz w:val="20"/>
          <w:szCs w:val="20"/>
        </w:rPr>
        <w:fldChar w:fldCharType="end"/>
      </w:r>
      <w:r w:rsidRPr="0053555E">
        <w:rPr>
          <w:rFonts w:asciiTheme="majorHAnsi" w:hAnsiTheme="majorHAnsi" w:cstheme="majorHAnsi"/>
          <w:sz w:val="20"/>
          <w:szCs w:val="20"/>
        </w:rPr>
        <w:t>.</w:t>
      </w:r>
    </w:p>
    <w:p w14:paraId="31833C70" w14:textId="77777777" w:rsidR="0042210A" w:rsidRPr="0053555E" w:rsidRDefault="0042210A" w:rsidP="0042210A">
      <w:pPr>
        <w:tabs>
          <w:tab w:val="left" w:pos="9356"/>
        </w:tabs>
        <w:jc w:val="both"/>
        <w:rPr>
          <w:rFonts w:asciiTheme="majorHAnsi" w:hAnsiTheme="majorHAnsi" w:cstheme="majorHAnsi"/>
        </w:rPr>
        <w:sectPr w:rsidR="0042210A" w:rsidRPr="0053555E" w:rsidSect="00413D0E">
          <w:headerReference w:type="default" r:id="rId18"/>
          <w:pgSz w:w="11906" w:h="16838"/>
          <w:pgMar w:top="1560" w:right="991" w:bottom="851" w:left="1417" w:header="708" w:footer="545" w:gutter="0"/>
          <w:cols w:space="708"/>
        </w:sectPr>
      </w:pPr>
    </w:p>
    <w:p w14:paraId="12B26BD5" w14:textId="26E79E94" w:rsidR="0042210A" w:rsidRPr="0053555E" w:rsidRDefault="0042210A" w:rsidP="000E3322">
      <w:pPr>
        <w:pStyle w:val="Popis"/>
      </w:pPr>
      <w:bookmarkStart w:id="27" w:name="_Ref64644952"/>
      <w:bookmarkStart w:id="28" w:name="_Ref474776672"/>
      <w:bookmarkStart w:id="29" w:name="_Ref64644941"/>
      <w:bookmarkStart w:id="30" w:name="_Ref64644946"/>
      <w:bookmarkStart w:id="31" w:name="_Toc127593270"/>
      <w:r w:rsidRPr="0053555E">
        <w:lastRenderedPageBreak/>
        <w:t xml:space="preserve">Tab. č. </w:t>
      </w:r>
      <w:r w:rsidR="007B5953">
        <w:fldChar w:fldCharType="begin"/>
      </w:r>
      <w:r w:rsidR="007B5953">
        <w:instrText xml:space="preserve"> SEQ Tab._č. \* ARABIC </w:instrText>
      </w:r>
      <w:r w:rsidR="007B5953">
        <w:fldChar w:fldCharType="separate"/>
      </w:r>
      <w:r w:rsidR="00EE1B59">
        <w:rPr>
          <w:noProof/>
        </w:rPr>
        <w:t>7</w:t>
      </w:r>
      <w:r w:rsidR="007B5953">
        <w:rPr>
          <w:noProof/>
        </w:rPr>
        <w:fldChar w:fldCharType="end"/>
      </w:r>
      <w:bookmarkEnd w:id="27"/>
      <w:r w:rsidRPr="0053555E">
        <w:rPr>
          <w:rFonts w:eastAsia="Times New Roman"/>
          <w:szCs w:val="22"/>
          <w:lang w:eastAsia="sk-SK"/>
        </w:rPr>
        <w:t>:</w:t>
      </w:r>
      <w:bookmarkEnd w:id="28"/>
      <w:r w:rsidRPr="0053555E">
        <w:t xml:space="preserve"> Prehľad počtu študentov a zamestnancov STU v akademick</w:t>
      </w:r>
      <w:r w:rsidR="001E348F" w:rsidRPr="0053555E">
        <w:t>ých</w:t>
      </w:r>
      <w:r w:rsidRPr="0053555E">
        <w:t xml:space="preserve"> rok</w:t>
      </w:r>
      <w:r w:rsidR="001E348F" w:rsidRPr="0053555E">
        <w:t>och</w:t>
      </w:r>
      <w:r w:rsidRPr="0053555E">
        <w:t xml:space="preserve"> </w:t>
      </w:r>
      <w:r w:rsidR="00EA24BA" w:rsidRPr="0053555E">
        <w:t>2021/2022</w:t>
      </w:r>
      <w:r w:rsidRPr="0053555E">
        <w:t xml:space="preserve"> a </w:t>
      </w:r>
      <w:r w:rsidR="00EA24BA" w:rsidRPr="0053555E">
        <w:t>2022/2023</w:t>
      </w:r>
      <w:bookmarkEnd w:id="29"/>
      <w:bookmarkEnd w:id="30"/>
      <w:bookmarkEnd w:id="31"/>
    </w:p>
    <w:tbl>
      <w:tblPr>
        <w:tblW w:w="15147" w:type="dxa"/>
        <w:tblInd w:w="-10" w:type="dxa"/>
        <w:tblLayout w:type="fixed"/>
        <w:tblCellMar>
          <w:left w:w="70" w:type="dxa"/>
          <w:right w:w="70" w:type="dxa"/>
        </w:tblCellMar>
        <w:tblLook w:val="04A0" w:firstRow="1" w:lastRow="0" w:firstColumn="1" w:lastColumn="0" w:noHBand="0" w:noVBand="1"/>
      </w:tblPr>
      <w:tblGrid>
        <w:gridCol w:w="851"/>
        <w:gridCol w:w="792"/>
        <w:gridCol w:w="792"/>
        <w:gridCol w:w="844"/>
        <w:gridCol w:w="844"/>
        <w:gridCol w:w="844"/>
        <w:gridCol w:w="845"/>
        <w:gridCol w:w="1067"/>
        <w:gridCol w:w="1068"/>
        <w:gridCol w:w="849"/>
        <w:gridCol w:w="849"/>
        <w:gridCol w:w="849"/>
        <w:gridCol w:w="849"/>
        <w:gridCol w:w="849"/>
        <w:gridCol w:w="849"/>
        <w:gridCol w:w="1053"/>
        <w:gridCol w:w="1053"/>
      </w:tblGrid>
      <w:tr w:rsidR="0042210A" w:rsidRPr="0053555E" w14:paraId="7C3A92A0" w14:textId="77777777" w:rsidTr="004630DE">
        <w:trPr>
          <w:trHeight w:val="300"/>
        </w:trPr>
        <w:tc>
          <w:tcPr>
            <w:tcW w:w="851" w:type="dxa"/>
            <w:vMerge w:val="restart"/>
            <w:tcBorders>
              <w:top w:val="single" w:sz="8" w:space="0" w:color="auto"/>
              <w:left w:val="single" w:sz="8" w:space="0" w:color="auto"/>
              <w:bottom w:val="single" w:sz="4" w:space="0" w:color="000000"/>
              <w:right w:val="double" w:sz="6" w:space="0" w:color="auto"/>
            </w:tcBorders>
            <w:noWrap/>
            <w:vAlign w:val="bottom"/>
          </w:tcPr>
          <w:p w14:paraId="61DF875E" w14:textId="2BED49D6" w:rsidR="0042210A" w:rsidRPr="0053555E" w:rsidRDefault="004630DE" w:rsidP="001605FB">
            <w:pPr>
              <w:tabs>
                <w:tab w:val="left" w:pos="9356"/>
              </w:tabs>
              <w:jc w:val="both"/>
              <w:rPr>
                <w:rFonts w:asciiTheme="majorHAnsi" w:eastAsia="Times New Roman" w:hAnsiTheme="majorHAnsi" w:cstheme="majorHAnsi"/>
                <w:sz w:val="22"/>
                <w:szCs w:val="22"/>
                <w:lang w:eastAsia="sk-SK"/>
              </w:rPr>
            </w:pPr>
            <w:r>
              <w:rPr>
                <w:rFonts w:asciiTheme="majorHAnsi" w:eastAsia="Times New Roman" w:hAnsiTheme="majorHAnsi" w:cstheme="majorHAnsi"/>
                <w:sz w:val="22"/>
                <w:szCs w:val="22"/>
                <w:lang w:eastAsia="sk-SK"/>
              </w:rPr>
              <w:t>Súčasť STU</w:t>
            </w:r>
          </w:p>
        </w:tc>
        <w:tc>
          <w:tcPr>
            <w:tcW w:w="7096" w:type="dxa"/>
            <w:gridSpan w:val="8"/>
            <w:tcBorders>
              <w:top w:val="single" w:sz="8" w:space="0" w:color="auto"/>
              <w:left w:val="nil"/>
              <w:bottom w:val="single" w:sz="4" w:space="0" w:color="auto"/>
              <w:right w:val="double" w:sz="6" w:space="0" w:color="000000"/>
            </w:tcBorders>
            <w:noWrap/>
            <w:vAlign w:val="bottom"/>
            <w:hideMark/>
          </w:tcPr>
          <w:p w14:paraId="57591BCE" w14:textId="47F7C0FA" w:rsidR="0042210A" w:rsidRPr="0053555E" w:rsidRDefault="00EA24BA" w:rsidP="001605FB">
            <w:pPr>
              <w:tabs>
                <w:tab w:val="left" w:pos="9356"/>
              </w:tabs>
              <w:jc w:val="center"/>
              <w:rPr>
                <w:rFonts w:asciiTheme="majorHAnsi" w:hAnsiTheme="majorHAnsi" w:cstheme="majorHAnsi"/>
                <w:b/>
                <w:bCs/>
                <w:sz w:val="22"/>
                <w:szCs w:val="22"/>
              </w:rPr>
            </w:pPr>
            <w:r w:rsidRPr="0053555E">
              <w:rPr>
                <w:rFonts w:asciiTheme="majorHAnsi" w:hAnsiTheme="majorHAnsi" w:cstheme="majorHAnsi"/>
                <w:b/>
                <w:bCs/>
                <w:sz w:val="22"/>
                <w:szCs w:val="22"/>
              </w:rPr>
              <w:t>2021/2022</w:t>
            </w:r>
          </w:p>
        </w:tc>
        <w:tc>
          <w:tcPr>
            <w:tcW w:w="7200" w:type="dxa"/>
            <w:gridSpan w:val="8"/>
            <w:tcBorders>
              <w:top w:val="single" w:sz="8" w:space="0" w:color="auto"/>
              <w:left w:val="nil"/>
              <w:bottom w:val="single" w:sz="4" w:space="0" w:color="auto"/>
              <w:right w:val="double" w:sz="6" w:space="0" w:color="000000"/>
            </w:tcBorders>
            <w:noWrap/>
            <w:vAlign w:val="bottom"/>
          </w:tcPr>
          <w:p w14:paraId="108C94F1" w14:textId="1A49C595" w:rsidR="0042210A" w:rsidRPr="0053555E" w:rsidRDefault="00EA24BA" w:rsidP="001605FB">
            <w:pPr>
              <w:tabs>
                <w:tab w:val="left" w:pos="9356"/>
              </w:tabs>
              <w:jc w:val="center"/>
              <w:rPr>
                <w:rFonts w:asciiTheme="majorHAnsi" w:hAnsiTheme="majorHAnsi" w:cstheme="majorHAnsi"/>
                <w:b/>
                <w:bCs/>
                <w:sz w:val="22"/>
                <w:szCs w:val="22"/>
              </w:rPr>
            </w:pPr>
            <w:r w:rsidRPr="0053555E">
              <w:rPr>
                <w:rFonts w:asciiTheme="majorHAnsi" w:hAnsiTheme="majorHAnsi" w:cstheme="majorHAnsi"/>
                <w:b/>
                <w:bCs/>
                <w:sz w:val="22"/>
                <w:szCs w:val="22"/>
              </w:rPr>
              <w:t>2022/2023</w:t>
            </w:r>
          </w:p>
        </w:tc>
      </w:tr>
      <w:tr w:rsidR="00076C7A" w:rsidRPr="0053555E" w14:paraId="7BB44782" w14:textId="77777777" w:rsidTr="002277F9">
        <w:trPr>
          <w:trHeight w:val="550"/>
        </w:trPr>
        <w:tc>
          <w:tcPr>
            <w:tcW w:w="851" w:type="dxa"/>
            <w:vMerge/>
            <w:tcBorders>
              <w:top w:val="single" w:sz="8" w:space="0" w:color="auto"/>
              <w:left w:val="single" w:sz="8" w:space="0" w:color="auto"/>
              <w:bottom w:val="single" w:sz="4" w:space="0" w:color="000000"/>
              <w:right w:val="double" w:sz="6" w:space="0" w:color="auto"/>
            </w:tcBorders>
            <w:vAlign w:val="center"/>
            <w:hideMark/>
          </w:tcPr>
          <w:p w14:paraId="6E18035A" w14:textId="77777777" w:rsidR="00076C7A" w:rsidRPr="0053555E" w:rsidRDefault="00076C7A" w:rsidP="00076C7A">
            <w:pPr>
              <w:tabs>
                <w:tab w:val="left" w:pos="9356"/>
              </w:tabs>
              <w:jc w:val="both"/>
              <w:rPr>
                <w:rFonts w:asciiTheme="majorHAnsi" w:eastAsia="Times New Roman" w:hAnsiTheme="majorHAnsi" w:cstheme="majorHAnsi"/>
                <w:sz w:val="22"/>
                <w:szCs w:val="22"/>
                <w:lang w:eastAsia="sk-SK"/>
              </w:rPr>
            </w:pPr>
          </w:p>
        </w:tc>
        <w:tc>
          <w:tcPr>
            <w:tcW w:w="1584" w:type="dxa"/>
            <w:gridSpan w:val="2"/>
            <w:tcBorders>
              <w:top w:val="single" w:sz="4" w:space="0" w:color="auto"/>
              <w:left w:val="nil"/>
              <w:bottom w:val="single" w:sz="4" w:space="0" w:color="auto"/>
              <w:right w:val="single" w:sz="8" w:space="0" w:color="000000"/>
            </w:tcBorders>
            <w:vAlign w:val="center"/>
            <w:hideMark/>
          </w:tcPr>
          <w:p w14:paraId="2A457E05" w14:textId="77777777" w:rsidR="00076C7A" w:rsidRPr="0053555E" w:rsidRDefault="00076C7A" w:rsidP="002277F9">
            <w:pPr>
              <w:tabs>
                <w:tab w:val="left" w:pos="9356"/>
              </w:tabs>
              <w:jc w:val="center"/>
              <w:rPr>
                <w:rFonts w:cs="Calibri"/>
                <w:b/>
                <w:bCs/>
                <w:sz w:val="20"/>
                <w:szCs w:val="20"/>
              </w:rPr>
            </w:pPr>
            <w:r w:rsidRPr="0053555E">
              <w:rPr>
                <w:rFonts w:cs="Calibri"/>
                <w:b/>
                <w:bCs/>
                <w:sz w:val="20"/>
                <w:szCs w:val="20"/>
              </w:rPr>
              <w:t>VŠ učitelia</w:t>
            </w:r>
          </w:p>
          <w:p w14:paraId="47005611" w14:textId="6C37CC12" w:rsidR="00076C7A" w:rsidRPr="0053555E" w:rsidRDefault="00076C7A" w:rsidP="002277F9">
            <w:pPr>
              <w:tabs>
                <w:tab w:val="left" w:pos="9356"/>
              </w:tabs>
              <w:jc w:val="center"/>
              <w:rPr>
                <w:rFonts w:asciiTheme="majorHAnsi" w:eastAsia="Times New Roman" w:hAnsiTheme="majorHAnsi" w:cstheme="majorHAnsi"/>
                <w:b/>
                <w:bCs/>
                <w:sz w:val="18"/>
                <w:szCs w:val="18"/>
                <w:lang w:eastAsia="sk-SK"/>
              </w:rPr>
            </w:pPr>
            <w:r w:rsidRPr="0053555E">
              <w:rPr>
                <w:rFonts w:cs="Calibri"/>
                <w:b/>
                <w:bCs/>
                <w:sz w:val="20"/>
                <w:szCs w:val="20"/>
              </w:rPr>
              <w:t>k 31.10.202</w:t>
            </w:r>
            <w:r w:rsidR="00861867">
              <w:rPr>
                <w:rFonts w:cs="Calibri"/>
                <w:b/>
                <w:bCs/>
                <w:sz w:val="20"/>
                <w:szCs w:val="20"/>
              </w:rPr>
              <w:t>1</w:t>
            </w:r>
          </w:p>
        </w:tc>
        <w:tc>
          <w:tcPr>
            <w:tcW w:w="1688" w:type="dxa"/>
            <w:gridSpan w:val="2"/>
            <w:tcBorders>
              <w:top w:val="single" w:sz="4" w:space="0" w:color="auto"/>
              <w:left w:val="nil"/>
              <w:bottom w:val="single" w:sz="4" w:space="0" w:color="auto"/>
              <w:right w:val="single" w:sz="8" w:space="0" w:color="000000"/>
            </w:tcBorders>
            <w:vAlign w:val="center"/>
            <w:hideMark/>
          </w:tcPr>
          <w:p w14:paraId="72F29241" w14:textId="21B9E084" w:rsidR="00076C7A" w:rsidRPr="0053555E" w:rsidRDefault="00076C7A" w:rsidP="002277F9">
            <w:pPr>
              <w:tabs>
                <w:tab w:val="left" w:pos="9356"/>
              </w:tabs>
              <w:jc w:val="center"/>
              <w:rPr>
                <w:rFonts w:asciiTheme="majorHAnsi" w:eastAsia="Times New Roman" w:hAnsiTheme="majorHAnsi" w:cstheme="majorHAnsi"/>
                <w:b/>
                <w:bCs/>
                <w:sz w:val="18"/>
                <w:szCs w:val="18"/>
                <w:lang w:eastAsia="sk-SK"/>
              </w:rPr>
            </w:pPr>
            <w:r w:rsidRPr="0053555E">
              <w:rPr>
                <w:rFonts w:cs="Calibri"/>
                <w:b/>
                <w:bCs/>
                <w:sz w:val="20"/>
                <w:szCs w:val="20"/>
              </w:rPr>
              <w:t>VUP 31.10.202</w:t>
            </w:r>
            <w:r w:rsidR="00861867">
              <w:rPr>
                <w:rFonts w:cs="Calibri"/>
                <w:b/>
                <w:bCs/>
                <w:sz w:val="20"/>
                <w:szCs w:val="20"/>
              </w:rPr>
              <w:t>1</w:t>
            </w:r>
          </w:p>
        </w:tc>
        <w:tc>
          <w:tcPr>
            <w:tcW w:w="1689" w:type="dxa"/>
            <w:gridSpan w:val="2"/>
            <w:tcBorders>
              <w:top w:val="single" w:sz="4" w:space="0" w:color="auto"/>
              <w:left w:val="single" w:sz="4" w:space="0" w:color="auto"/>
              <w:bottom w:val="single" w:sz="4" w:space="0" w:color="auto"/>
              <w:right w:val="single" w:sz="8" w:space="0" w:color="000000"/>
            </w:tcBorders>
            <w:vAlign w:val="center"/>
            <w:hideMark/>
          </w:tcPr>
          <w:p w14:paraId="5EE1BDC6" w14:textId="1D3ABF9C" w:rsidR="00076C7A" w:rsidRPr="0053555E" w:rsidRDefault="00076C7A" w:rsidP="002277F9">
            <w:pPr>
              <w:tabs>
                <w:tab w:val="left" w:pos="9356"/>
              </w:tabs>
              <w:jc w:val="center"/>
              <w:rPr>
                <w:rFonts w:asciiTheme="majorHAnsi" w:eastAsia="Times New Roman" w:hAnsiTheme="majorHAnsi" w:cstheme="majorHAnsi"/>
                <w:b/>
                <w:bCs/>
                <w:sz w:val="18"/>
                <w:szCs w:val="18"/>
                <w:lang w:eastAsia="sk-SK"/>
              </w:rPr>
            </w:pPr>
            <w:r w:rsidRPr="0053555E">
              <w:rPr>
                <w:rFonts w:cs="Calibri"/>
                <w:b/>
                <w:bCs/>
                <w:sz w:val="20"/>
                <w:szCs w:val="20"/>
              </w:rPr>
              <w:t xml:space="preserve">spolu zamestnanci </w:t>
            </w:r>
            <w:r w:rsidRPr="0053555E">
              <w:rPr>
                <w:rFonts w:cs="Calibri"/>
                <w:b/>
                <w:bCs/>
                <w:sz w:val="20"/>
                <w:szCs w:val="20"/>
              </w:rPr>
              <w:br/>
              <w:t>(VŠ učitelia a VUP) 31.10.202</w:t>
            </w:r>
            <w:r w:rsidR="00861867">
              <w:rPr>
                <w:rFonts w:cs="Calibri"/>
                <w:b/>
                <w:bCs/>
                <w:sz w:val="20"/>
                <w:szCs w:val="20"/>
              </w:rPr>
              <w:t>1</w:t>
            </w:r>
          </w:p>
        </w:tc>
        <w:tc>
          <w:tcPr>
            <w:tcW w:w="1067" w:type="dxa"/>
            <w:vMerge w:val="restart"/>
            <w:tcBorders>
              <w:top w:val="nil"/>
              <w:left w:val="single" w:sz="8" w:space="0" w:color="auto"/>
              <w:right w:val="single" w:sz="4" w:space="0" w:color="auto"/>
            </w:tcBorders>
            <w:vAlign w:val="center"/>
            <w:hideMark/>
          </w:tcPr>
          <w:p w14:paraId="153A4001" w14:textId="77777777" w:rsidR="00076C7A" w:rsidRPr="0053555E" w:rsidRDefault="00076C7A" w:rsidP="00076C7A">
            <w:pPr>
              <w:tabs>
                <w:tab w:val="left" w:pos="9356"/>
              </w:tabs>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počet študent.</w:t>
            </w:r>
          </w:p>
          <w:p w14:paraId="76B62F7E" w14:textId="27EF1FF5" w:rsidR="00076C7A" w:rsidRPr="0053555E" w:rsidRDefault="00076C7A" w:rsidP="00076C7A">
            <w:pPr>
              <w:tabs>
                <w:tab w:val="left" w:pos="9356"/>
              </w:tabs>
              <w:ind w:hanging="68"/>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k 31.10.202</w:t>
            </w:r>
            <w:r w:rsidR="00861867">
              <w:rPr>
                <w:rFonts w:asciiTheme="majorHAnsi" w:eastAsia="Times New Roman" w:hAnsiTheme="majorHAnsi" w:cstheme="majorHAnsi"/>
                <w:b/>
                <w:bCs/>
                <w:sz w:val="18"/>
                <w:szCs w:val="18"/>
                <w:lang w:eastAsia="sk-SK"/>
              </w:rPr>
              <w:t>1</w:t>
            </w:r>
          </w:p>
        </w:tc>
        <w:tc>
          <w:tcPr>
            <w:tcW w:w="1068" w:type="dxa"/>
            <w:vMerge w:val="restart"/>
            <w:tcBorders>
              <w:top w:val="nil"/>
              <w:left w:val="nil"/>
              <w:right w:val="double" w:sz="6" w:space="0" w:color="auto"/>
            </w:tcBorders>
            <w:shd w:val="clear" w:color="auto" w:fill="EEECE1" w:themeFill="background2"/>
            <w:vAlign w:val="center"/>
            <w:hideMark/>
          </w:tcPr>
          <w:p w14:paraId="4648D967" w14:textId="77777777" w:rsidR="00076C7A" w:rsidRPr="0053555E" w:rsidRDefault="00076C7A" w:rsidP="00076C7A">
            <w:pPr>
              <w:tabs>
                <w:tab w:val="left" w:pos="9356"/>
              </w:tabs>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pomer študentov</w:t>
            </w:r>
          </w:p>
          <w:p w14:paraId="73C91C28" w14:textId="77777777" w:rsidR="00076C7A" w:rsidRPr="0053555E" w:rsidRDefault="00076C7A" w:rsidP="00076C7A">
            <w:pPr>
              <w:tabs>
                <w:tab w:val="left" w:pos="9356"/>
              </w:tabs>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k prepoč. počtu zamestn.</w:t>
            </w:r>
          </w:p>
        </w:tc>
        <w:tc>
          <w:tcPr>
            <w:tcW w:w="1698" w:type="dxa"/>
            <w:gridSpan w:val="2"/>
            <w:tcBorders>
              <w:top w:val="single" w:sz="4" w:space="0" w:color="auto"/>
              <w:left w:val="single" w:sz="8" w:space="0" w:color="auto"/>
              <w:bottom w:val="single" w:sz="4" w:space="0" w:color="auto"/>
              <w:right w:val="single" w:sz="8" w:space="0" w:color="000000"/>
            </w:tcBorders>
            <w:vAlign w:val="center"/>
            <w:hideMark/>
          </w:tcPr>
          <w:p w14:paraId="054A1F46" w14:textId="77777777" w:rsidR="00076C7A" w:rsidRPr="0053555E" w:rsidRDefault="00076C7A" w:rsidP="00076C7A">
            <w:pPr>
              <w:tabs>
                <w:tab w:val="left" w:pos="9356"/>
              </w:tabs>
              <w:jc w:val="center"/>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VŠ učitelia</w:t>
            </w:r>
          </w:p>
          <w:p w14:paraId="079E73E9" w14:textId="6D2235B3" w:rsidR="00076C7A" w:rsidRPr="0053555E" w:rsidRDefault="00076C7A" w:rsidP="00076C7A">
            <w:pPr>
              <w:tabs>
                <w:tab w:val="left" w:pos="9356"/>
              </w:tabs>
              <w:jc w:val="center"/>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k 31.10.202</w:t>
            </w:r>
            <w:r w:rsidR="005A4ED4">
              <w:rPr>
                <w:rFonts w:asciiTheme="majorHAnsi" w:eastAsia="Times New Roman" w:hAnsiTheme="majorHAnsi" w:cstheme="majorHAnsi"/>
                <w:b/>
                <w:bCs/>
                <w:sz w:val="20"/>
                <w:szCs w:val="18"/>
                <w:lang w:eastAsia="sk-SK"/>
              </w:rPr>
              <w:t>2</w:t>
            </w:r>
          </w:p>
        </w:tc>
        <w:tc>
          <w:tcPr>
            <w:tcW w:w="1698" w:type="dxa"/>
            <w:gridSpan w:val="2"/>
            <w:tcBorders>
              <w:top w:val="single" w:sz="4" w:space="0" w:color="auto"/>
              <w:left w:val="nil"/>
              <w:bottom w:val="single" w:sz="4" w:space="0" w:color="auto"/>
              <w:right w:val="single" w:sz="8" w:space="0" w:color="000000"/>
            </w:tcBorders>
            <w:vAlign w:val="center"/>
            <w:hideMark/>
          </w:tcPr>
          <w:p w14:paraId="64D15CF3" w14:textId="0A36A345" w:rsidR="00076C7A" w:rsidRPr="0053555E" w:rsidRDefault="00076C7A" w:rsidP="00076C7A">
            <w:pPr>
              <w:tabs>
                <w:tab w:val="left" w:pos="9356"/>
              </w:tabs>
              <w:jc w:val="center"/>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VUP 31.10.202</w:t>
            </w:r>
            <w:r w:rsidR="005A4ED4">
              <w:rPr>
                <w:rFonts w:asciiTheme="majorHAnsi" w:eastAsia="Times New Roman" w:hAnsiTheme="majorHAnsi" w:cstheme="majorHAnsi"/>
                <w:b/>
                <w:bCs/>
                <w:sz w:val="20"/>
                <w:szCs w:val="18"/>
                <w:lang w:eastAsia="sk-SK"/>
              </w:rPr>
              <w:t>2</w:t>
            </w:r>
          </w:p>
        </w:tc>
        <w:tc>
          <w:tcPr>
            <w:tcW w:w="1698" w:type="dxa"/>
            <w:gridSpan w:val="2"/>
            <w:tcBorders>
              <w:top w:val="single" w:sz="4" w:space="0" w:color="auto"/>
              <w:left w:val="nil"/>
              <w:bottom w:val="single" w:sz="4" w:space="0" w:color="auto"/>
              <w:right w:val="single" w:sz="8" w:space="0" w:color="000000"/>
            </w:tcBorders>
            <w:vAlign w:val="center"/>
            <w:hideMark/>
          </w:tcPr>
          <w:p w14:paraId="4EE7D608" w14:textId="0AF805AB" w:rsidR="00076C7A" w:rsidRPr="0053555E" w:rsidRDefault="00076C7A" w:rsidP="00076C7A">
            <w:pPr>
              <w:tabs>
                <w:tab w:val="left" w:pos="9356"/>
              </w:tabs>
              <w:jc w:val="center"/>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spolu zamestnanci (VŠ učitelia a VUP) 31.10.202</w:t>
            </w:r>
          </w:p>
        </w:tc>
        <w:tc>
          <w:tcPr>
            <w:tcW w:w="1053" w:type="dxa"/>
            <w:vMerge w:val="restart"/>
            <w:tcBorders>
              <w:top w:val="nil"/>
              <w:left w:val="single" w:sz="8" w:space="0" w:color="auto"/>
              <w:right w:val="single" w:sz="4" w:space="0" w:color="auto"/>
            </w:tcBorders>
            <w:vAlign w:val="center"/>
            <w:hideMark/>
          </w:tcPr>
          <w:p w14:paraId="2F0ABF22" w14:textId="77777777" w:rsidR="00076C7A" w:rsidRPr="0053555E" w:rsidRDefault="00076C7A" w:rsidP="00076C7A">
            <w:pPr>
              <w:tabs>
                <w:tab w:val="left" w:pos="9356"/>
              </w:tabs>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počet študentov</w:t>
            </w:r>
          </w:p>
          <w:p w14:paraId="4A53471B" w14:textId="1AA6C094" w:rsidR="00076C7A" w:rsidRPr="0053555E" w:rsidRDefault="00076C7A" w:rsidP="00076C7A">
            <w:pPr>
              <w:tabs>
                <w:tab w:val="left" w:pos="9356"/>
              </w:tabs>
              <w:ind w:hanging="75"/>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k 31.10.202</w:t>
            </w:r>
            <w:r w:rsidR="005A4ED4">
              <w:rPr>
                <w:rFonts w:asciiTheme="majorHAnsi" w:eastAsia="Times New Roman" w:hAnsiTheme="majorHAnsi" w:cstheme="majorHAnsi"/>
                <w:b/>
                <w:bCs/>
                <w:sz w:val="18"/>
                <w:szCs w:val="18"/>
                <w:lang w:eastAsia="sk-SK"/>
              </w:rPr>
              <w:t>2</w:t>
            </w:r>
          </w:p>
        </w:tc>
        <w:tc>
          <w:tcPr>
            <w:tcW w:w="1053" w:type="dxa"/>
            <w:vMerge w:val="restart"/>
            <w:tcBorders>
              <w:top w:val="nil"/>
              <w:left w:val="single" w:sz="4" w:space="0" w:color="auto"/>
              <w:right w:val="double" w:sz="6" w:space="0" w:color="auto"/>
            </w:tcBorders>
            <w:shd w:val="clear" w:color="auto" w:fill="EEECE1" w:themeFill="background2"/>
            <w:vAlign w:val="center"/>
            <w:hideMark/>
          </w:tcPr>
          <w:p w14:paraId="77DBA2C8" w14:textId="77777777" w:rsidR="00076C7A" w:rsidRPr="0053555E" w:rsidRDefault="00076C7A" w:rsidP="00076C7A">
            <w:pPr>
              <w:tabs>
                <w:tab w:val="left" w:pos="9356"/>
              </w:tabs>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pomer študentov</w:t>
            </w:r>
          </w:p>
          <w:p w14:paraId="4000D9E7" w14:textId="77777777" w:rsidR="00076C7A" w:rsidRPr="0053555E" w:rsidRDefault="00076C7A" w:rsidP="00076C7A">
            <w:pPr>
              <w:tabs>
                <w:tab w:val="left" w:pos="9356"/>
              </w:tabs>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k prepoč. počtu zamestn.</w:t>
            </w:r>
          </w:p>
        </w:tc>
      </w:tr>
      <w:tr w:rsidR="0042210A" w:rsidRPr="0053555E" w14:paraId="63C91411" w14:textId="77777777" w:rsidTr="001605FB">
        <w:trPr>
          <w:trHeight w:val="302"/>
        </w:trPr>
        <w:tc>
          <w:tcPr>
            <w:tcW w:w="851" w:type="dxa"/>
            <w:vMerge/>
            <w:tcBorders>
              <w:top w:val="single" w:sz="8" w:space="0" w:color="auto"/>
              <w:left w:val="single" w:sz="8" w:space="0" w:color="auto"/>
              <w:bottom w:val="single" w:sz="4" w:space="0" w:color="000000"/>
              <w:right w:val="double" w:sz="6" w:space="0" w:color="auto"/>
            </w:tcBorders>
            <w:vAlign w:val="center"/>
            <w:hideMark/>
          </w:tcPr>
          <w:p w14:paraId="4E284933" w14:textId="77777777" w:rsidR="0042210A" w:rsidRPr="0053555E" w:rsidRDefault="0042210A" w:rsidP="001605FB">
            <w:pPr>
              <w:tabs>
                <w:tab w:val="left" w:pos="9356"/>
              </w:tabs>
              <w:jc w:val="both"/>
              <w:rPr>
                <w:rFonts w:asciiTheme="majorHAnsi" w:eastAsia="Times New Roman" w:hAnsiTheme="majorHAnsi" w:cstheme="majorHAnsi"/>
                <w:sz w:val="22"/>
                <w:szCs w:val="22"/>
                <w:lang w:eastAsia="sk-SK"/>
              </w:rPr>
            </w:pPr>
          </w:p>
        </w:tc>
        <w:tc>
          <w:tcPr>
            <w:tcW w:w="792" w:type="dxa"/>
            <w:tcBorders>
              <w:top w:val="nil"/>
              <w:left w:val="nil"/>
              <w:bottom w:val="single" w:sz="4" w:space="0" w:color="auto"/>
              <w:right w:val="single" w:sz="4" w:space="0" w:color="auto"/>
            </w:tcBorders>
            <w:vAlign w:val="bottom"/>
            <w:hideMark/>
          </w:tcPr>
          <w:p w14:paraId="7A8D16D8" w14:textId="77777777" w:rsidR="0042210A" w:rsidRPr="0053555E" w:rsidRDefault="0042210A"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fyzické osoby</w:t>
            </w:r>
          </w:p>
        </w:tc>
        <w:tc>
          <w:tcPr>
            <w:tcW w:w="792" w:type="dxa"/>
            <w:tcBorders>
              <w:top w:val="nil"/>
              <w:left w:val="nil"/>
              <w:bottom w:val="single" w:sz="4" w:space="0" w:color="auto"/>
              <w:right w:val="single" w:sz="8" w:space="0" w:color="auto"/>
            </w:tcBorders>
            <w:vAlign w:val="bottom"/>
            <w:hideMark/>
          </w:tcPr>
          <w:p w14:paraId="11B25D33" w14:textId="77777777" w:rsidR="0042210A" w:rsidRPr="0053555E" w:rsidRDefault="0042210A"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prepoč. počet</w:t>
            </w:r>
          </w:p>
        </w:tc>
        <w:tc>
          <w:tcPr>
            <w:tcW w:w="844" w:type="dxa"/>
            <w:tcBorders>
              <w:top w:val="nil"/>
              <w:left w:val="nil"/>
              <w:bottom w:val="single" w:sz="4" w:space="0" w:color="auto"/>
              <w:right w:val="single" w:sz="4" w:space="0" w:color="auto"/>
            </w:tcBorders>
            <w:vAlign w:val="bottom"/>
            <w:hideMark/>
          </w:tcPr>
          <w:p w14:paraId="02AE2368" w14:textId="77777777" w:rsidR="0042210A" w:rsidRPr="0053555E" w:rsidRDefault="0042210A"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fyzické osoby</w:t>
            </w:r>
          </w:p>
        </w:tc>
        <w:tc>
          <w:tcPr>
            <w:tcW w:w="844" w:type="dxa"/>
            <w:tcBorders>
              <w:top w:val="nil"/>
              <w:left w:val="nil"/>
              <w:bottom w:val="single" w:sz="4" w:space="0" w:color="auto"/>
              <w:right w:val="single" w:sz="8" w:space="0" w:color="auto"/>
            </w:tcBorders>
            <w:vAlign w:val="bottom"/>
            <w:hideMark/>
          </w:tcPr>
          <w:p w14:paraId="6D90F0E5" w14:textId="77777777" w:rsidR="0042210A" w:rsidRPr="0053555E" w:rsidRDefault="0042210A"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prepoč. počet</w:t>
            </w:r>
          </w:p>
        </w:tc>
        <w:tc>
          <w:tcPr>
            <w:tcW w:w="844" w:type="dxa"/>
            <w:tcBorders>
              <w:top w:val="nil"/>
              <w:left w:val="single" w:sz="4" w:space="0" w:color="auto"/>
              <w:bottom w:val="single" w:sz="4" w:space="0" w:color="auto"/>
              <w:right w:val="single" w:sz="4" w:space="0" w:color="auto"/>
            </w:tcBorders>
            <w:vAlign w:val="bottom"/>
            <w:hideMark/>
          </w:tcPr>
          <w:p w14:paraId="6C767029" w14:textId="77777777" w:rsidR="0042210A" w:rsidRPr="0053555E" w:rsidRDefault="0042210A"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fyzické osoby</w:t>
            </w:r>
          </w:p>
        </w:tc>
        <w:tc>
          <w:tcPr>
            <w:tcW w:w="845" w:type="dxa"/>
            <w:tcBorders>
              <w:top w:val="nil"/>
              <w:left w:val="nil"/>
              <w:bottom w:val="single" w:sz="4" w:space="0" w:color="auto"/>
              <w:right w:val="single" w:sz="8" w:space="0" w:color="auto"/>
            </w:tcBorders>
            <w:vAlign w:val="bottom"/>
            <w:hideMark/>
          </w:tcPr>
          <w:p w14:paraId="16B9C61D" w14:textId="77777777" w:rsidR="0042210A" w:rsidRPr="0053555E" w:rsidRDefault="0042210A"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prepoč. počet</w:t>
            </w:r>
          </w:p>
        </w:tc>
        <w:tc>
          <w:tcPr>
            <w:tcW w:w="1067" w:type="dxa"/>
            <w:vMerge/>
            <w:tcBorders>
              <w:left w:val="single" w:sz="8" w:space="0" w:color="auto"/>
              <w:bottom w:val="single" w:sz="4" w:space="0" w:color="auto"/>
              <w:right w:val="single" w:sz="4" w:space="0" w:color="auto"/>
            </w:tcBorders>
            <w:vAlign w:val="center"/>
            <w:hideMark/>
          </w:tcPr>
          <w:p w14:paraId="6FF20BB1" w14:textId="77777777" w:rsidR="0042210A" w:rsidRPr="0053555E" w:rsidRDefault="0042210A" w:rsidP="001605FB">
            <w:pPr>
              <w:tabs>
                <w:tab w:val="left" w:pos="9356"/>
              </w:tabs>
              <w:jc w:val="center"/>
              <w:rPr>
                <w:rFonts w:asciiTheme="majorHAnsi" w:eastAsia="Times New Roman" w:hAnsiTheme="majorHAnsi" w:cstheme="majorHAnsi"/>
                <w:sz w:val="20"/>
                <w:szCs w:val="20"/>
                <w:lang w:eastAsia="sk-SK"/>
              </w:rPr>
            </w:pPr>
          </w:p>
        </w:tc>
        <w:tc>
          <w:tcPr>
            <w:tcW w:w="1068" w:type="dxa"/>
            <w:vMerge/>
            <w:tcBorders>
              <w:left w:val="nil"/>
              <w:bottom w:val="single" w:sz="4" w:space="0" w:color="auto"/>
              <w:right w:val="double" w:sz="6" w:space="0" w:color="auto"/>
            </w:tcBorders>
            <w:shd w:val="clear" w:color="auto" w:fill="EEECE1" w:themeFill="background2"/>
            <w:vAlign w:val="center"/>
            <w:hideMark/>
          </w:tcPr>
          <w:p w14:paraId="33B7783E" w14:textId="77777777" w:rsidR="0042210A" w:rsidRPr="0053555E" w:rsidRDefault="0042210A" w:rsidP="001605FB">
            <w:pPr>
              <w:tabs>
                <w:tab w:val="left" w:pos="9356"/>
              </w:tabs>
              <w:jc w:val="center"/>
              <w:rPr>
                <w:rFonts w:asciiTheme="majorHAnsi" w:hAnsiTheme="majorHAnsi" w:cstheme="majorHAnsi"/>
                <w:sz w:val="20"/>
                <w:szCs w:val="20"/>
                <w:lang w:eastAsia="sk-SK"/>
              </w:rPr>
            </w:pPr>
          </w:p>
        </w:tc>
        <w:tc>
          <w:tcPr>
            <w:tcW w:w="849" w:type="dxa"/>
            <w:tcBorders>
              <w:top w:val="nil"/>
              <w:left w:val="nil"/>
              <w:bottom w:val="single" w:sz="4" w:space="0" w:color="auto"/>
              <w:right w:val="single" w:sz="4" w:space="0" w:color="auto"/>
            </w:tcBorders>
            <w:vAlign w:val="bottom"/>
            <w:hideMark/>
          </w:tcPr>
          <w:p w14:paraId="208CAE94" w14:textId="77777777" w:rsidR="0042210A" w:rsidRPr="0053555E" w:rsidRDefault="0042210A"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fyzické osoby</w:t>
            </w:r>
          </w:p>
        </w:tc>
        <w:tc>
          <w:tcPr>
            <w:tcW w:w="849" w:type="dxa"/>
            <w:tcBorders>
              <w:top w:val="nil"/>
              <w:left w:val="nil"/>
              <w:bottom w:val="single" w:sz="4" w:space="0" w:color="auto"/>
              <w:right w:val="single" w:sz="8" w:space="0" w:color="auto"/>
            </w:tcBorders>
            <w:vAlign w:val="bottom"/>
            <w:hideMark/>
          </w:tcPr>
          <w:p w14:paraId="50122541" w14:textId="77777777" w:rsidR="0042210A" w:rsidRPr="0053555E" w:rsidRDefault="0042210A"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prepoč. počet</w:t>
            </w:r>
          </w:p>
        </w:tc>
        <w:tc>
          <w:tcPr>
            <w:tcW w:w="849" w:type="dxa"/>
            <w:tcBorders>
              <w:top w:val="nil"/>
              <w:left w:val="nil"/>
              <w:bottom w:val="single" w:sz="4" w:space="0" w:color="auto"/>
              <w:right w:val="single" w:sz="4" w:space="0" w:color="auto"/>
            </w:tcBorders>
            <w:vAlign w:val="bottom"/>
            <w:hideMark/>
          </w:tcPr>
          <w:p w14:paraId="632BFF02" w14:textId="77777777" w:rsidR="0042210A" w:rsidRPr="0053555E" w:rsidRDefault="0042210A"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fyzické osoby</w:t>
            </w:r>
          </w:p>
        </w:tc>
        <w:tc>
          <w:tcPr>
            <w:tcW w:w="849" w:type="dxa"/>
            <w:tcBorders>
              <w:top w:val="nil"/>
              <w:left w:val="nil"/>
              <w:bottom w:val="single" w:sz="4" w:space="0" w:color="auto"/>
              <w:right w:val="single" w:sz="8" w:space="0" w:color="auto"/>
            </w:tcBorders>
            <w:vAlign w:val="bottom"/>
            <w:hideMark/>
          </w:tcPr>
          <w:p w14:paraId="29E2EC1C" w14:textId="77777777" w:rsidR="0042210A" w:rsidRPr="0053555E" w:rsidRDefault="0042210A"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prepoč. počet</w:t>
            </w:r>
          </w:p>
        </w:tc>
        <w:tc>
          <w:tcPr>
            <w:tcW w:w="849" w:type="dxa"/>
            <w:tcBorders>
              <w:top w:val="nil"/>
              <w:left w:val="single" w:sz="4" w:space="0" w:color="auto"/>
              <w:bottom w:val="single" w:sz="4" w:space="0" w:color="auto"/>
              <w:right w:val="single" w:sz="4" w:space="0" w:color="auto"/>
            </w:tcBorders>
            <w:vAlign w:val="bottom"/>
            <w:hideMark/>
          </w:tcPr>
          <w:p w14:paraId="0188B5BC" w14:textId="77777777" w:rsidR="0042210A" w:rsidRPr="0053555E" w:rsidRDefault="0042210A"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fyzické osoby</w:t>
            </w:r>
          </w:p>
        </w:tc>
        <w:tc>
          <w:tcPr>
            <w:tcW w:w="849" w:type="dxa"/>
            <w:tcBorders>
              <w:top w:val="nil"/>
              <w:left w:val="nil"/>
              <w:bottom w:val="single" w:sz="4" w:space="0" w:color="auto"/>
              <w:right w:val="single" w:sz="8" w:space="0" w:color="auto"/>
            </w:tcBorders>
            <w:vAlign w:val="bottom"/>
            <w:hideMark/>
          </w:tcPr>
          <w:p w14:paraId="74B08C50" w14:textId="77777777" w:rsidR="0042210A" w:rsidRPr="0053555E" w:rsidRDefault="0042210A" w:rsidP="001605FB">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prepoč. počet</w:t>
            </w:r>
          </w:p>
        </w:tc>
        <w:tc>
          <w:tcPr>
            <w:tcW w:w="1053" w:type="dxa"/>
            <w:vMerge/>
            <w:tcBorders>
              <w:left w:val="single" w:sz="8" w:space="0" w:color="auto"/>
              <w:bottom w:val="single" w:sz="4" w:space="0" w:color="auto"/>
              <w:right w:val="single" w:sz="4" w:space="0" w:color="auto"/>
            </w:tcBorders>
            <w:vAlign w:val="center"/>
            <w:hideMark/>
          </w:tcPr>
          <w:p w14:paraId="3403E0E9" w14:textId="77777777" w:rsidR="0042210A" w:rsidRPr="0053555E" w:rsidRDefault="0042210A" w:rsidP="001605FB">
            <w:pPr>
              <w:tabs>
                <w:tab w:val="left" w:pos="9356"/>
              </w:tabs>
              <w:jc w:val="center"/>
              <w:rPr>
                <w:rFonts w:asciiTheme="majorHAnsi" w:eastAsia="Times New Roman" w:hAnsiTheme="majorHAnsi" w:cstheme="majorHAnsi"/>
                <w:sz w:val="20"/>
                <w:szCs w:val="20"/>
                <w:lang w:eastAsia="sk-SK"/>
              </w:rPr>
            </w:pPr>
          </w:p>
        </w:tc>
        <w:tc>
          <w:tcPr>
            <w:tcW w:w="1053" w:type="dxa"/>
            <w:vMerge/>
            <w:tcBorders>
              <w:left w:val="single" w:sz="4" w:space="0" w:color="auto"/>
              <w:bottom w:val="single" w:sz="4" w:space="0" w:color="auto"/>
              <w:right w:val="double" w:sz="6" w:space="0" w:color="auto"/>
            </w:tcBorders>
            <w:shd w:val="clear" w:color="auto" w:fill="EEECE1" w:themeFill="background2"/>
            <w:vAlign w:val="center"/>
            <w:hideMark/>
          </w:tcPr>
          <w:p w14:paraId="13D815CD" w14:textId="77777777" w:rsidR="0042210A" w:rsidRPr="0053555E" w:rsidRDefault="0042210A" w:rsidP="001605FB">
            <w:pPr>
              <w:tabs>
                <w:tab w:val="left" w:pos="9356"/>
              </w:tabs>
              <w:jc w:val="center"/>
              <w:rPr>
                <w:rFonts w:asciiTheme="majorHAnsi" w:hAnsiTheme="majorHAnsi" w:cstheme="majorHAnsi"/>
                <w:sz w:val="20"/>
                <w:szCs w:val="20"/>
                <w:lang w:eastAsia="sk-SK"/>
              </w:rPr>
            </w:pPr>
          </w:p>
        </w:tc>
      </w:tr>
      <w:tr w:rsidR="003F376F" w:rsidRPr="0053555E" w14:paraId="330AAE02" w14:textId="77777777" w:rsidTr="00297D91">
        <w:trPr>
          <w:trHeight w:val="300"/>
        </w:trPr>
        <w:tc>
          <w:tcPr>
            <w:tcW w:w="851" w:type="dxa"/>
            <w:tcBorders>
              <w:top w:val="nil"/>
              <w:left w:val="single" w:sz="8" w:space="0" w:color="auto"/>
              <w:bottom w:val="single" w:sz="4" w:space="0" w:color="auto"/>
              <w:right w:val="double" w:sz="6" w:space="0" w:color="auto"/>
            </w:tcBorders>
            <w:noWrap/>
            <w:vAlign w:val="bottom"/>
            <w:hideMark/>
          </w:tcPr>
          <w:p w14:paraId="3413ABAA" w14:textId="77777777" w:rsidR="003F376F" w:rsidRPr="004630DE" w:rsidRDefault="003F376F" w:rsidP="003F376F">
            <w:pPr>
              <w:tabs>
                <w:tab w:val="left" w:pos="9356"/>
              </w:tabs>
              <w:jc w:val="both"/>
              <w:rPr>
                <w:rFonts w:asciiTheme="majorHAnsi" w:eastAsia="Times New Roman" w:hAnsiTheme="majorHAnsi" w:cstheme="majorHAnsi"/>
                <w:sz w:val="22"/>
                <w:szCs w:val="20"/>
                <w:lang w:eastAsia="sk-SK"/>
              </w:rPr>
            </w:pPr>
            <w:r w:rsidRPr="004630DE">
              <w:rPr>
                <w:rFonts w:asciiTheme="majorHAnsi" w:eastAsia="Times New Roman" w:hAnsiTheme="majorHAnsi" w:cstheme="majorHAnsi"/>
                <w:sz w:val="22"/>
                <w:szCs w:val="20"/>
                <w:lang w:eastAsia="sk-SK"/>
              </w:rPr>
              <w:t>SvF</w:t>
            </w:r>
          </w:p>
        </w:tc>
        <w:tc>
          <w:tcPr>
            <w:tcW w:w="792" w:type="dxa"/>
            <w:tcBorders>
              <w:top w:val="nil"/>
              <w:left w:val="nil"/>
              <w:bottom w:val="single" w:sz="4" w:space="0" w:color="auto"/>
              <w:right w:val="single" w:sz="4" w:space="0" w:color="auto"/>
            </w:tcBorders>
            <w:noWrap/>
            <w:vAlign w:val="bottom"/>
          </w:tcPr>
          <w:p w14:paraId="71AD6A47" w14:textId="65F4FEB7"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194</w:t>
            </w:r>
          </w:p>
        </w:tc>
        <w:tc>
          <w:tcPr>
            <w:tcW w:w="792" w:type="dxa"/>
            <w:tcBorders>
              <w:top w:val="nil"/>
              <w:left w:val="nil"/>
              <w:bottom w:val="single" w:sz="4" w:space="0" w:color="auto"/>
              <w:right w:val="single" w:sz="8" w:space="0" w:color="auto"/>
            </w:tcBorders>
            <w:noWrap/>
            <w:vAlign w:val="bottom"/>
          </w:tcPr>
          <w:p w14:paraId="24D3179C" w14:textId="02DCA49A"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186,8</w:t>
            </w:r>
          </w:p>
        </w:tc>
        <w:tc>
          <w:tcPr>
            <w:tcW w:w="844" w:type="dxa"/>
            <w:tcBorders>
              <w:top w:val="nil"/>
              <w:left w:val="nil"/>
              <w:bottom w:val="single" w:sz="4" w:space="0" w:color="auto"/>
              <w:right w:val="single" w:sz="4" w:space="0" w:color="auto"/>
            </w:tcBorders>
            <w:noWrap/>
            <w:vAlign w:val="bottom"/>
          </w:tcPr>
          <w:p w14:paraId="513D9237" w14:textId="65A34D8F"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62</w:t>
            </w:r>
          </w:p>
        </w:tc>
        <w:tc>
          <w:tcPr>
            <w:tcW w:w="844" w:type="dxa"/>
            <w:tcBorders>
              <w:top w:val="nil"/>
              <w:left w:val="nil"/>
              <w:bottom w:val="single" w:sz="4" w:space="0" w:color="auto"/>
              <w:right w:val="single" w:sz="8" w:space="0" w:color="auto"/>
            </w:tcBorders>
            <w:noWrap/>
            <w:vAlign w:val="bottom"/>
          </w:tcPr>
          <w:p w14:paraId="421F19F4" w14:textId="44E347D5"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40,9</w:t>
            </w:r>
          </w:p>
        </w:tc>
        <w:tc>
          <w:tcPr>
            <w:tcW w:w="844" w:type="dxa"/>
            <w:tcBorders>
              <w:top w:val="single" w:sz="4" w:space="0" w:color="auto"/>
              <w:left w:val="single" w:sz="4" w:space="0" w:color="auto"/>
              <w:bottom w:val="single" w:sz="4" w:space="0" w:color="auto"/>
              <w:right w:val="single" w:sz="4" w:space="0" w:color="auto"/>
            </w:tcBorders>
            <w:noWrap/>
            <w:vAlign w:val="bottom"/>
          </w:tcPr>
          <w:p w14:paraId="3E33748A" w14:textId="5E47A1E6"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256</w:t>
            </w:r>
          </w:p>
        </w:tc>
        <w:tc>
          <w:tcPr>
            <w:tcW w:w="845" w:type="dxa"/>
            <w:tcBorders>
              <w:top w:val="single" w:sz="4" w:space="0" w:color="auto"/>
              <w:left w:val="nil"/>
              <w:bottom w:val="single" w:sz="4" w:space="0" w:color="auto"/>
              <w:right w:val="single" w:sz="8" w:space="0" w:color="auto"/>
            </w:tcBorders>
            <w:noWrap/>
            <w:vAlign w:val="bottom"/>
          </w:tcPr>
          <w:p w14:paraId="570AB63C" w14:textId="7D1AE77E"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227,7</w:t>
            </w:r>
          </w:p>
        </w:tc>
        <w:tc>
          <w:tcPr>
            <w:tcW w:w="1067" w:type="dxa"/>
            <w:tcBorders>
              <w:top w:val="single" w:sz="4" w:space="0" w:color="auto"/>
              <w:left w:val="nil"/>
              <w:bottom w:val="single" w:sz="4" w:space="0" w:color="auto"/>
              <w:right w:val="single" w:sz="4" w:space="0" w:color="auto"/>
            </w:tcBorders>
            <w:noWrap/>
            <w:vAlign w:val="bottom"/>
          </w:tcPr>
          <w:p w14:paraId="50FE0F69" w14:textId="0C2FBF0B"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2 214</w:t>
            </w:r>
          </w:p>
        </w:tc>
        <w:tc>
          <w:tcPr>
            <w:tcW w:w="1068" w:type="dxa"/>
            <w:tcBorders>
              <w:top w:val="single" w:sz="4" w:space="0" w:color="auto"/>
              <w:left w:val="nil"/>
              <w:bottom w:val="single" w:sz="4" w:space="0" w:color="auto"/>
              <w:right w:val="double" w:sz="6" w:space="0" w:color="auto"/>
            </w:tcBorders>
            <w:shd w:val="clear" w:color="auto" w:fill="EEECE1" w:themeFill="background2"/>
            <w:noWrap/>
            <w:vAlign w:val="bottom"/>
          </w:tcPr>
          <w:p w14:paraId="3DA21366" w14:textId="1EC0BCA0"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9,7</w:t>
            </w:r>
          </w:p>
        </w:tc>
        <w:tc>
          <w:tcPr>
            <w:tcW w:w="849" w:type="dxa"/>
            <w:tcBorders>
              <w:top w:val="single" w:sz="4" w:space="0" w:color="auto"/>
              <w:left w:val="nil"/>
              <w:bottom w:val="single" w:sz="4" w:space="0" w:color="auto"/>
              <w:right w:val="single" w:sz="4" w:space="0" w:color="auto"/>
            </w:tcBorders>
            <w:noWrap/>
            <w:vAlign w:val="bottom"/>
          </w:tcPr>
          <w:p w14:paraId="0DCF0B3F" w14:textId="0F26E9FA" w:rsidR="003F376F" w:rsidRPr="005A4ED4" w:rsidRDefault="003F376F" w:rsidP="003F376F">
            <w:pPr>
              <w:jc w:val="center"/>
              <w:rPr>
                <w:rFonts w:asciiTheme="majorHAnsi" w:hAnsiTheme="majorHAnsi" w:cstheme="majorHAnsi"/>
                <w:sz w:val="22"/>
                <w:szCs w:val="20"/>
              </w:rPr>
            </w:pPr>
            <w:r w:rsidRPr="005A4ED4">
              <w:rPr>
                <w:rFonts w:cs="Calibri"/>
                <w:sz w:val="22"/>
                <w:szCs w:val="20"/>
              </w:rPr>
              <w:t>176</w:t>
            </w:r>
          </w:p>
        </w:tc>
        <w:tc>
          <w:tcPr>
            <w:tcW w:w="849" w:type="dxa"/>
            <w:tcBorders>
              <w:top w:val="single" w:sz="4" w:space="0" w:color="auto"/>
              <w:left w:val="nil"/>
              <w:bottom w:val="single" w:sz="4" w:space="0" w:color="auto"/>
              <w:right w:val="single" w:sz="8" w:space="0" w:color="auto"/>
            </w:tcBorders>
            <w:noWrap/>
            <w:vAlign w:val="bottom"/>
          </w:tcPr>
          <w:p w14:paraId="5AEF2589" w14:textId="62EAD6A3" w:rsidR="003F376F" w:rsidRPr="005A4ED4" w:rsidRDefault="003F376F" w:rsidP="003F376F">
            <w:pPr>
              <w:jc w:val="center"/>
              <w:rPr>
                <w:rFonts w:asciiTheme="majorHAnsi" w:hAnsiTheme="majorHAnsi" w:cstheme="majorHAnsi"/>
                <w:sz w:val="22"/>
                <w:szCs w:val="20"/>
              </w:rPr>
            </w:pPr>
            <w:r w:rsidRPr="005A4ED4">
              <w:rPr>
                <w:rFonts w:cs="Calibri"/>
                <w:sz w:val="22"/>
                <w:szCs w:val="20"/>
              </w:rPr>
              <w:t>168,9</w:t>
            </w:r>
          </w:p>
        </w:tc>
        <w:tc>
          <w:tcPr>
            <w:tcW w:w="849" w:type="dxa"/>
            <w:tcBorders>
              <w:top w:val="single" w:sz="4" w:space="0" w:color="auto"/>
              <w:left w:val="nil"/>
              <w:bottom w:val="single" w:sz="4" w:space="0" w:color="auto"/>
              <w:right w:val="single" w:sz="4" w:space="0" w:color="auto"/>
            </w:tcBorders>
            <w:noWrap/>
            <w:vAlign w:val="bottom"/>
          </w:tcPr>
          <w:p w14:paraId="237FD4B5" w14:textId="66391B9B" w:rsidR="003F376F" w:rsidRPr="005A4ED4" w:rsidRDefault="003F376F" w:rsidP="003F376F">
            <w:pPr>
              <w:jc w:val="center"/>
              <w:rPr>
                <w:rFonts w:asciiTheme="majorHAnsi" w:hAnsiTheme="majorHAnsi" w:cstheme="majorHAnsi"/>
                <w:sz w:val="22"/>
                <w:szCs w:val="20"/>
              </w:rPr>
            </w:pPr>
            <w:r w:rsidRPr="005A4ED4">
              <w:rPr>
                <w:rFonts w:cs="Calibri"/>
                <w:sz w:val="22"/>
                <w:szCs w:val="20"/>
              </w:rPr>
              <w:t>72</w:t>
            </w:r>
          </w:p>
        </w:tc>
        <w:tc>
          <w:tcPr>
            <w:tcW w:w="849" w:type="dxa"/>
            <w:tcBorders>
              <w:top w:val="single" w:sz="4" w:space="0" w:color="auto"/>
              <w:left w:val="nil"/>
              <w:bottom w:val="single" w:sz="4" w:space="0" w:color="auto"/>
              <w:right w:val="single" w:sz="8" w:space="0" w:color="auto"/>
            </w:tcBorders>
            <w:noWrap/>
            <w:vAlign w:val="bottom"/>
          </w:tcPr>
          <w:p w14:paraId="7A0FF8B8" w14:textId="37E4F4D5" w:rsidR="003F376F" w:rsidRPr="005A4ED4" w:rsidRDefault="003F376F" w:rsidP="003F376F">
            <w:pPr>
              <w:jc w:val="center"/>
              <w:rPr>
                <w:rFonts w:asciiTheme="majorHAnsi" w:hAnsiTheme="majorHAnsi" w:cstheme="majorHAnsi"/>
                <w:sz w:val="22"/>
                <w:szCs w:val="20"/>
              </w:rPr>
            </w:pPr>
            <w:r w:rsidRPr="005A4ED4">
              <w:rPr>
                <w:rFonts w:cs="Calibri"/>
                <w:sz w:val="22"/>
                <w:szCs w:val="20"/>
              </w:rPr>
              <w:t>49,4</w:t>
            </w:r>
          </w:p>
        </w:tc>
        <w:tc>
          <w:tcPr>
            <w:tcW w:w="849" w:type="dxa"/>
            <w:tcBorders>
              <w:top w:val="single" w:sz="4" w:space="0" w:color="auto"/>
              <w:left w:val="single" w:sz="4" w:space="0" w:color="auto"/>
              <w:bottom w:val="single" w:sz="4" w:space="0" w:color="auto"/>
              <w:right w:val="single" w:sz="4" w:space="0" w:color="auto"/>
            </w:tcBorders>
            <w:noWrap/>
            <w:vAlign w:val="bottom"/>
          </w:tcPr>
          <w:p w14:paraId="51C5AA4C" w14:textId="65915BF4" w:rsidR="003F376F" w:rsidRPr="005A4ED4" w:rsidRDefault="003F376F" w:rsidP="003F376F">
            <w:pPr>
              <w:jc w:val="center"/>
              <w:rPr>
                <w:rFonts w:asciiTheme="majorHAnsi" w:hAnsiTheme="majorHAnsi" w:cstheme="majorHAnsi"/>
                <w:sz w:val="22"/>
                <w:szCs w:val="20"/>
              </w:rPr>
            </w:pPr>
            <w:r w:rsidRPr="005A4ED4">
              <w:rPr>
                <w:rFonts w:cs="Calibri"/>
                <w:sz w:val="22"/>
                <w:szCs w:val="20"/>
              </w:rPr>
              <w:t>248</w:t>
            </w:r>
          </w:p>
        </w:tc>
        <w:tc>
          <w:tcPr>
            <w:tcW w:w="849" w:type="dxa"/>
            <w:tcBorders>
              <w:top w:val="single" w:sz="4" w:space="0" w:color="auto"/>
              <w:left w:val="nil"/>
              <w:bottom w:val="single" w:sz="4" w:space="0" w:color="auto"/>
              <w:right w:val="single" w:sz="8" w:space="0" w:color="auto"/>
            </w:tcBorders>
            <w:noWrap/>
            <w:vAlign w:val="bottom"/>
          </w:tcPr>
          <w:p w14:paraId="2722FE67" w14:textId="148191E9" w:rsidR="003F376F" w:rsidRPr="005A4ED4" w:rsidRDefault="003F376F" w:rsidP="003F376F">
            <w:pPr>
              <w:jc w:val="center"/>
              <w:rPr>
                <w:rFonts w:asciiTheme="majorHAnsi" w:hAnsiTheme="majorHAnsi" w:cstheme="majorHAnsi"/>
                <w:sz w:val="22"/>
                <w:szCs w:val="20"/>
              </w:rPr>
            </w:pPr>
            <w:r w:rsidRPr="005A4ED4">
              <w:rPr>
                <w:rFonts w:cs="Calibri"/>
                <w:sz w:val="22"/>
                <w:szCs w:val="20"/>
              </w:rPr>
              <w:t>218,3</w:t>
            </w:r>
          </w:p>
        </w:tc>
        <w:tc>
          <w:tcPr>
            <w:tcW w:w="1053" w:type="dxa"/>
            <w:tcBorders>
              <w:top w:val="single" w:sz="4" w:space="0" w:color="auto"/>
              <w:left w:val="nil"/>
              <w:bottom w:val="single" w:sz="4" w:space="0" w:color="auto"/>
              <w:right w:val="single" w:sz="4" w:space="0" w:color="auto"/>
            </w:tcBorders>
            <w:noWrap/>
            <w:vAlign w:val="bottom"/>
          </w:tcPr>
          <w:p w14:paraId="04867244" w14:textId="49C74B32" w:rsidR="003F376F" w:rsidRPr="005A4ED4" w:rsidRDefault="003F376F" w:rsidP="003F376F">
            <w:pPr>
              <w:jc w:val="center"/>
              <w:rPr>
                <w:rFonts w:asciiTheme="majorHAnsi" w:hAnsiTheme="majorHAnsi" w:cstheme="majorHAnsi"/>
                <w:sz w:val="22"/>
                <w:szCs w:val="20"/>
              </w:rPr>
            </w:pPr>
            <w:r w:rsidRPr="005A4ED4">
              <w:rPr>
                <w:rFonts w:cs="Calibri"/>
                <w:sz w:val="22"/>
                <w:szCs w:val="20"/>
              </w:rPr>
              <w:t>2 405</w:t>
            </w:r>
          </w:p>
        </w:tc>
        <w:tc>
          <w:tcPr>
            <w:tcW w:w="1053" w:type="dxa"/>
            <w:tcBorders>
              <w:top w:val="single" w:sz="4" w:space="0" w:color="auto"/>
              <w:left w:val="nil"/>
              <w:bottom w:val="single" w:sz="4" w:space="0" w:color="auto"/>
              <w:right w:val="double" w:sz="6" w:space="0" w:color="auto"/>
            </w:tcBorders>
            <w:shd w:val="clear" w:color="auto" w:fill="EEECE1" w:themeFill="background2"/>
            <w:noWrap/>
            <w:vAlign w:val="bottom"/>
          </w:tcPr>
          <w:p w14:paraId="34DA3AB3" w14:textId="7D9C95CD" w:rsidR="003F376F" w:rsidRPr="005A4ED4" w:rsidRDefault="003F376F" w:rsidP="003F376F">
            <w:pPr>
              <w:jc w:val="center"/>
              <w:rPr>
                <w:rFonts w:asciiTheme="majorHAnsi" w:hAnsiTheme="majorHAnsi" w:cstheme="majorHAnsi"/>
                <w:sz w:val="22"/>
                <w:szCs w:val="20"/>
              </w:rPr>
            </w:pPr>
            <w:r w:rsidRPr="005A4ED4">
              <w:rPr>
                <w:rFonts w:cs="Calibri"/>
                <w:sz w:val="22"/>
                <w:szCs w:val="20"/>
              </w:rPr>
              <w:t>11,0</w:t>
            </w:r>
          </w:p>
        </w:tc>
      </w:tr>
      <w:tr w:rsidR="003F376F" w:rsidRPr="0053555E" w14:paraId="439AA86C" w14:textId="77777777" w:rsidTr="00297D91">
        <w:trPr>
          <w:trHeight w:val="300"/>
        </w:trPr>
        <w:tc>
          <w:tcPr>
            <w:tcW w:w="851" w:type="dxa"/>
            <w:tcBorders>
              <w:top w:val="nil"/>
              <w:left w:val="single" w:sz="8" w:space="0" w:color="auto"/>
              <w:bottom w:val="single" w:sz="4" w:space="0" w:color="auto"/>
              <w:right w:val="double" w:sz="6" w:space="0" w:color="auto"/>
            </w:tcBorders>
            <w:noWrap/>
            <w:vAlign w:val="bottom"/>
            <w:hideMark/>
          </w:tcPr>
          <w:p w14:paraId="3BC2596B" w14:textId="77777777" w:rsidR="003F376F" w:rsidRPr="004630DE" w:rsidRDefault="003F376F" w:rsidP="003F376F">
            <w:pPr>
              <w:tabs>
                <w:tab w:val="left" w:pos="9356"/>
              </w:tabs>
              <w:jc w:val="both"/>
              <w:rPr>
                <w:rFonts w:asciiTheme="majorHAnsi" w:eastAsia="Times New Roman" w:hAnsiTheme="majorHAnsi" w:cstheme="majorHAnsi"/>
                <w:sz w:val="22"/>
                <w:szCs w:val="20"/>
                <w:lang w:eastAsia="sk-SK"/>
              </w:rPr>
            </w:pPr>
            <w:r w:rsidRPr="004630DE">
              <w:rPr>
                <w:rFonts w:asciiTheme="majorHAnsi" w:eastAsia="Times New Roman" w:hAnsiTheme="majorHAnsi" w:cstheme="majorHAnsi"/>
                <w:sz w:val="22"/>
                <w:szCs w:val="20"/>
                <w:lang w:eastAsia="sk-SK"/>
              </w:rPr>
              <w:t>SjF</w:t>
            </w:r>
          </w:p>
        </w:tc>
        <w:tc>
          <w:tcPr>
            <w:tcW w:w="792" w:type="dxa"/>
            <w:tcBorders>
              <w:top w:val="nil"/>
              <w:left w:val="nil"/>
              <w:bottom w:val="single" w:sz="4" w:space="0" w:color="auto"/>
              <w:right w:val="single" w:sz="4" w:space="0" w:color="auto"/>
            </w:tcBorders>
            <w:noWrap/>
            <w:vAlign w:val="bottom"/>
          </w:tcPr>
          <w:p w14:paraId="29ED3DC8" w14:textId="6310FF5E"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93</w:t>
            </w:r>
          </w:p>
        </w:tc>
        <w:tc>
          <w:tcPr>
            <w:tcW w:w="792" w:type="dxa"/>
            <w:tcBorders>
              <w:top w:val="nil"/>
              <w:left w:val="nil"/>
              <w:bottom w:val="single" w:sz="4" w:space="0" w:color="auto"/>
              <w:right w:val="single" w:sz="8" w:space="0" w:color="auto"/>
            </w:tcBorders>
            <w:noWrap/>
            <w:vAlign w:val="bottom"/>
          </w:tcPr>
          <w:p w14:paraId="0D67E851" w14:textId="1E21B0A9"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89,8</w:t>
            </w:r>
          </w:p>
        </w:tc>
        <w:tc>
          <w:tcPr>
            <w:tcW w:w="844" w:type="dxa"/>
            <w:tcBorders>
              <w:top w:val="nil"/>
              <w:left w:val="nil"/>
              <w:bottom w:val="single" w:sz="4" w:space="0" w:color="auto"/>
              <w:right w:val="single" w:sz="4" w:space="0" w:color="auto"/>
            </w:tcBorders>
            <w:noWrap/>
            <w:vAlign w:val="bottom"/>
          </w:tcPr>
          <w:p w14:paraId="664829EA" w14:textId="0D83125F"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26</w:t>
            </w:r>
          </w:p>
        </w:tc>
        <w:tc>
          <w:tcPr>
            <w:tcW w:w="844" w:type="dxa"/>
            <w:tcBorders>
              <w:top w:val="nil"/>
              <w:left w:val="nil"/>
              <w:bottom w:val="single" w:sz="4" w:space="0" w:color="auto"/>
              <w:right w:val="single" w:sz="8" w:space="0" w:color="auto"/>
            </w:tcBorders>
            <w:noWrap/>
            <w:vAlign w:val="bottom"/>
          </w:tcPr>
          <w:p w14:paraId="797CE293" w14:textId="78648B38"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23,1</w:t>
            </w:r>
          </w:p>
        </w:tc>
        <w:tc>
          <w:tcPr>
            <w:tcW w:w="844" w:type="dxa"/>
            <w:tcBorders>
              <w:top w:val="nil"/>
              <w:left w:val="single" w:sz="4" w:space="0" w:color="auto"/>
              <w:bottom w:val="single" w:sz="4" w:space="0" w:color="auto"/>
              <w:right w:val="single" w:sz="4" w:space="0" w:color="auto"/>
            </w:tcBorders>
            <w:noWrap/>
            <w:vAlign w:val="bottom"/>
          </w:tcPr>
          <w:p w14:paraId="470D292C" w14:textId="443DD2D6"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119</w:t>
            </w:r>
          </w:p>
        </w:tc>
        <w:tc>
          <w:tcPr>
            <w:tcW w:w="845" w:type="dxa"/>
            <w:tcBorders>
              <w:top w:val="nil"/>
              <w:left w:val="nil"/>
              <w:bottom w:val="single" w:sz="4" w:space="0" w:color="auto"/>
              <w:right w:val="single" w:sz="8" w:space="0" w:color="auto"/>
            </w:tcBorders>
            <w:noWrap/>
            <w:vAlign w:val="bottom"/>
          </w:tcPr>
          <w:p w14:paraId="5EF15BEB" w14:textId="12CE4060"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112,9</w:t>
            </w:r>
          </w:p>
        </w:tc>
        <w:tc>
          <w:tcPr>
            <w:tcW w:w="1067" w:type="dxa"/>
            <w:tcBorders>
              <w:top w:val="nil"/>
              <w:left w:val="nil"/>
              <w:bottom w:val="single" w:sz="4" w:space="0" w:color="auto"/>
              <w:right w:val="single" w:sz="4" w:space="0" w:color="auto"/>
            </w:tcBorders>
            <w:noWrap/>
            <w:vAlign w:val="bottom"/>
          </w:tcPr>
          <w:p w14:paraId="6C602587" w14:textId="0D88542E"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785</w:t>
            </w:r>
          </w:p>
        </w:tc>
        <w:tc>
          <w:tcPr>
            <w:tcW w:w="1068" w:type="dxa"/>
            <w:tcBorders>
              <w:top w:val="nil"/>
              <w:left w:val="nil"/>
              <w:bottom w:val="single" w:sz="4" w:space="0" w:color="auto"/>
              <w:right w:val="double" w:sz="6" w:space="0" w:color="auto"/>
            </w:tcBorders>
            <w:shd w:val="clear" w:color="auto" w:fill="EEECE1" w:themeFill="background2"/>
            <w:noWrap/>
            <w:vAlign w:val="bottom"/>
          </w:tcPr>
          <w:p w14:paraId="3F8CA01B" w14:textId="4212301E"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7,0</w:t>
            </w:r>
          </w:p>
        </w:tc>
        <w:tc>
          <w:tcPr>
            <w:tcW w:w="849" w:type="dxa"/>
            <w:tcBorders>
              <w:top w:val="nil"/>
              <w:left w:val="nil"/>
              <w:bottom w:val="single" w:sz="4" w:space="0" w:color="auto"/>
              <w:right w:val="single" w:sz="4" w:space="0" w:color="auto"/>
            </w:tcBorders>
            <w:noWrap/>
            <w:vAlign w:val="bottom"/>
          </w:tcPr>
          <w:p w14:paraId="10E71396" w14:textId="7B2BD51A" w:rsidR="003F376F" w:rsidRPr="005A4ED4" w:rsidRDefault="003F376F" w:rsidP="003F376F">
            <w:pPr>
              <w:jc w:val="center"/>
              <w:rPr>
                <w:rFonts w:asciiTheme="majorHAnsi" w:hAnsiTheme="majorHAnsi" w:cstheme="majorHAnsi"/>
                <w:sz w:val="22"/>
                <w:szCs w:val="20"/>
              </w:rPr>
            </w:pPr>
            <w:r w:rsidRPr="005A4ED4">
              <w:rPr>
                <w:rFonts w:cs="Calibri"/>
                <w:sz w:val="22"/>
                <w:szCs w:val="20"/>
              </w:rPr>
              <w:t>90</w:t>
            </w:r>
          </w:p>
        </w:tc>
        <w:tc>
          <w:tcPr>
            <w:tcW w:w="849" w:type="dxa"/>
            <w:tcBorders>
              <w:top w:val="nil"/>
              <w:left w:val="nil"/>
              <w:bottom w:val="single" w:sz="4" w:space="0" w:color="auto"/>
              <w:right w:val="single" w:sz="8" w:space="0" w:color="auto"/>
            </w:tcBorders>
            <w:noWrap/>
            <w:vAlign w:val="bottom"/>
          </w:tcPr>
          <w:p w14:paraId="0BE72AED" w14:textId="5B9B3B8F" w:rsidR="003F376F" w:rsidRPr="005A4ED4" w:rsidRDefault="003F376F" w:rsidP="003F376F">
            <w:pPr>
              <w:jc w:val="center"/>
              <w:rPr>
                <w:rFonts w:asciiTheme="majorHAnsi" w:hAnsiTheme="majorHAnsi" w:cstheme="majorHAnsi"/>
                <w:sz w:val="22"/>
                <w:szCs w:val="20"/>
              </w:rPr>
            </w:pPr>
            <w:r w:rsidRPr="005A4ED4">
              <w:rPr>
                <w:rFonts w:cs="Calibri"/>
                <w:sz w:val="22"/>
                <w:szCs w:val="20"/>
              </w:rPr>
              <w:t>87,2</w:t>
            </w:r>
          </w:p>
        </w:tc>
        <w:tc>
          <w:tcPr>
            <w:tcW w:w="849" w:type="dxa"/>
            <w:tcBorders>
              <w:top w:val="nil"/>
              <w:left w:val="nil"/>
              <w:bottom w:val="single" w:sz="4" w:space="0" w:color="auto"/>
              <w:right w:val="single" w:sz="4" w:space="0" w:color="auto"/>
            </w:tcBorders>
            <w:noWrap/>
            <w:vAlign w:val="bottom"/>
          </w:tcPr>
          <w:p w14:paraId="3E6679E0" w14:textId="6D48B330" w:rsidR="003F376F" w:rsidRPr="005A4ED4" w:rsidRDefault="003F376F" w:rsidP="003F376F">
            <w:pPr>
              <w:jc w:val="center"/>
              <w:rPr>
                <w:rFonts w:asciiTheme="majorHAnsi" w:hAnsiTheme="majorHAnsi" w:cstheme="majorHAnsi"/>
                <w:sz w:val="22"/>
                <w:szCs w:val="20"/>
              </w:rPr>
            </w:pPr>
            <w:r w:rsidRPr="005A4ED4">
              <w:rPr>
                <w:rFonts w:cs="Calibri"/>
                <w:sz w:val="22"/>
                <w:szCs w:val="20"/>
              </w:rPr>
              <w:t>27</w:t>
            </w:r>
          </w:p>
        </w:tc>
        <w:tc>
          <w:tcPr>
            <w:tcW w:w="849" w:type="dxa"/>
            <w:tcBorders>
              <w:top w:val="nil"/>
              <w:left w:val="nil"/>
              <w:bottom w:val="single" w:sz="4" w:space="0" w:color="auto"/>
              <w:right w:val="single" w:sz="8" w:space="0" w:color="auto"/>
            </w:tcBorders>
            <w:noWrap/>
            <w:vAlign w:val="bottom"/>
          </w:tcPr>
          <w:p w14:paraId="7C5E4D8E" w14:textId="190F3B44" w:rsidR="003F376F" w:rsidRPr="005A4ED4" w:rsidRDefault="003F376F" w:rsidP="003F376F">
            <w:pPr>
              <w:jc w:val="center"/>
              <w:rPr>
                <w:rFonts w:asciiTheme="majorHAnsi" w:hAnsiTheme="majorHAnsi" w:cstheme="majorHAnsi"/>
                <w:sz w:val="22"/>
                <w:szCs w:val="20"/>
              </w:rPr>
            </w:pPr>
            <w:r w:rsidRPr="005A4ED4">
              <w:rPr>
                <w:rFonts w:cs="Calibri"/>
                <w:sz w:val="22"/>
                <w:szCs w:val="20"/>
              </w:rPr>
              <w:t>22,2</w:t>
            </w:r>
          </w:p>
        </w:tc>
        <w:tc>
          <w:tcPr>
            <w:tcW w:w="849" w:type="dxa"/>
            <w:tcBorders>
              <w:top w:val="nil"/>
              <w:left w:val="single" w:sz="4" w:space="0" w:color="auto"/>
              <w:bottom w:val="single" w:sz="4" w:space="0" w:color="auto"/>
              <w:right w:val="single" w:sz="4" w:space="0" w:color="auto"/>
            </w:tcBorders>
            <w:noWrap/>
            <w:vAlign w:val="bottom"/>
          </w:tcPr>
          <w:p w14:paraId="48D22FDB" w14:textId="786158DF" w:rsidR="003F376F" w:rsidRPr="005A4ED4" w:rsidRDefault="003F376F" w:rsidP="003F376F">
            <w:pPr>
              <w:jc w:val="center"/>
              <w:rPr>
                <w:rFonts w:asciiTheme="majorHAnsi" w:hAnsiTheme="majorHAnsi" w:cstheme="majorHAnsi"/>
                <w:sz w:val="22"/>
                <w:szCs w:val="20"/>
              </w:rPr>
            </w:pPr>
            <w:r w:rsidRPr="005A4ED4">
              <w:rPr>
                <w:rFonts w:cs="Calibri"/>
                <w:sz w:val="22"/>
                <w:szCs w:val="20"/>
              </w:rPr>
              <w:t>117</w:t>
            </w:r>
          </w:p>
        </w:tc>
        <w:tc>
          <w:tcPr>
            <w:tcW w:w="849" w:type="dxa"/>
            <w:tcBorders>
              <w:top w:val="nil"/>
              <w:left w:val="nil"/>
              <w:bottom w:val="single" w:sz="4" w:space="0" w:color="auto"/>
              <w:right w:val="single" w:sz="8" w:space="0" w:color="auto"/>
            </w:tcBorders>
            <w:noWrap/>
            <w:vAlign w:val="bottom"/>
          </w:tcPr>
          <w:p w14:paraId="4282B45B" w14:textId="499B538E" w:rsidR="003F376F" w:rsidRPr="005A4ED4" w:rsidRDefault="003F376F" w:rsidP="003F376F">
            <w:pPr>
              <w:jc w:val="center"/>
              <w:rPr>
                <w:rFonts w:asciiTheme="majorHAnsi" w:hAnsiTheme="majorHAnsi" w:cstheme="majorHAnsi"/>
                <w:sz w:val="22"/>
                <w:szCs w:val="20"/>
              </w:rPr>
            </w:pPr>
            <w:r w:rsidRPr="005A4ED4">
              <w:rPr>
                <w:rFonts w:cs="Calibri"/>
                <w:sz w:val="22"/>
                <w:szCs w:val="20"/>
              </w:rPr>
              <w:t>109,4</w:t>
            </w:r>
          </w:p>
        </w:tc>
        <w:tc>
          <w:tcPr>
            <w:tcW w:w="1053" w:type="dxa"/>
            <w:tcBorders>
              <w:top w:val="nil"/>
              <w:left w:val="nil"/>
              <w:bottom w:val="single" w:sz="4" w:space="0" w:color="auto"/>
              <w:right w:val="single" w:sz="4" w:space="0" w:color="auto"/>
            </w:tcBorders>
            <w:noWrap/>
            <w:vAlign w:val="bottom"/>
          </w:tcPr>
          <w:p w14:paraId="2B4DF20F" w14:textId="66E141D4" w:rsidR="003F376F" w:rsidRPr="005A4ED4" w:rsidRDefault="003F376F" w:rsidP="003F376F">
            <w:pPr>
              <w:jc w:val="center"/>
              <w:rPr>
                <w:rFonts w:asciiTheme="majorHAnsi" w:hAnsiTheme="majorHAnsi" w:cstheme="majorHAnsi"/>
                <w:sz w:val="22"/>
                <w:szCs w:val="20"/>
              </w:rPr>
            </w:pPr>
            <w:r w:rsidRPr="005A4ED4">
              <w:rPr>
                <w:rFonts w:cs="Calibri"/>
                <w:sz w:val="22"/>
                <w:szCs w:val="20"/>
              </w:rPr>
              <w:t>836</w:t>
            </w:r>
          </w:p>
        </w:tc>
        <w:tc>
          <w:tcPr>
            <w:tcW w:w="1053" w:type="dxa"/>
            <w:tcBorders>
              <w:top w:val="nil"/>
              <w:left w:val="nil"/>
              <w:bottom w:val="single" w:sz="4" w:space="0" w:color="auto"/>
              <w:right w:val="double" w:sz="6" w:space="0" w:color="auto"/>
            </w:tcBorders>
            <w:shd w:val="clear" w:color="auto" w:fill="EEECE1" w:themeFill="background2"/>
            <w:noWrap/>
            <w:vAlign w:val="bottom"/>
          </w:tcPr>
          <w:p w14:paraId="684BEB9C" w14:textId="6AA75AA6" w:rsidR="003F376F" w:rsidRPr="005A4ED4" w:rsidRDefault="003F376F" w:rsidP="003F376F">
            <w:pPr>
              <w:jc w:val="center"/>
              <w:rPr>
                <w:rFonts w:asciiTheme="majorHAnsi" w:hAnsiTheme="majorHAnsi" w:cstheme="majorHAnsi"/>
                <w:sz w:val="22"/>
                <w:szCs w:val="20"/>
              </w:rPr>
            </w:pPr>
            <w:r w:rsidRPr="005A4ED4">
              <w:rPr>
                <w:rFonts w:cs="Calibri"/>
                <w:sz w:val="22"/>
                <w:szCs w:val="20"/>
              </w:rPr>
              <w:t>7,6</w:t>
            </w:r>
          </w:p>
        </w:tc>
      </w:tr>
      <w:tr w:rsidR="003F376F" w:rsidRPr="0053555E" w14:paraId="121B2CDB" w14:textId="77777777" w:rsidTr="00297D91">
        <w:trPr>
          <w:trHeight w:val="300"/>
        </w:trPr>
        <w:tc>
          <w:tcPr>
            <w:tcW w:w="851" w:type="dxa"/>
            <w:tcBorders>
              <w:top w:val="nil"/>
              <w:left w:val="single" w:sz="8" w:space="0" w:color="auto"/>
              <w:bottom w:val="single" w:sz="4" w:space="0" w:color="auto"/>
              <w:right w:val="double" w:sz="6" w:space="0" w:color="auto"/>
            </w:tcBorders>
            <w:noWrap/>
            <w:vAlign w:val="bottom"/>
            <w:hideMark/>
          </w:tcPr>
          <w:p w14:paraId="1F3C0E87" w14:textId="77777777" w:rsidR="003F376F" w:rsidRPr="004630DE" w:rsidRDefault="003F376F" w:rsidP="003F376F">
            <w:pPr>
              <w:tabs>
                <w:tab w:val="left" w:pos="9356"/>
              </w:tabs>
              <w:jc w:val="both"/>
              <w:rPr>
                <w:rFonts w:asciiTheme="majorHAnsi" w:eastAsia="Times New Roman" w:hAnsiTheme="majorHAnsi" w:cstheme="majorHAnsi"/>
                <w:sz w:val="22"/>
                <w:szCs w:val="20"/>
                <w:lang w:eastAsia="sk-SK"/>
              </w:rPr>
            </w:pPr>
            <w:r w:rsidRPr="004630DE">
              <w:rPr>
                <w:rFonts w:asciiTheme="majorHAnsi" w:eastAsia="Times New Roman" w:hAnsiTheme="majorHAnsi" w:cstheme="majorHAnsi"/>
                <w:sz w:val="22"/>
                <w:szCs w:val="20"/>
                <w:lang w:eastAsia="sk-SK"/>
              </w:rPr>
              <w:t>FEI</w:t>
            </w:r>
          </w:p>
        </w:tc>
        <w:tc>
          <w:tcPr>
            <w:tcW w:w="792" w:type="dxa"/>
            <w:tcBorders>
              <w:top w:val="nil"/>
              <w:left w:val="nil"/>
              <w:bottom w:val="single" w:sz="4" w:space="0" w:color="auto"/>
              <w:right w:val="single" w:sz="4" w:space="0" w:color="auto"/>
            </w:tcBorders>
            <w:noWrap/>
            <w:vAlign w:val="bottom"/>
          </w:tcPr>
          <w:p w14:paraId="5E061BF8" w14:textId="4ECCCCB5"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166</w:t>
            </w:r>
          </w:p>
        </w:tc>
        <w:tc>
          <w:tcPr>
            <w:tcW w:w="792" w:type="dxa"/>
            <w:tcBorders>
              <w:top w:val="nil"/>
              <w:left w:val="nil"/>
              <w:bottom w:val="single" w:sz="4" w:space="0" w:color="auto"/>
              <w:right w:val="single" w:sz="8" w:space="0" w:color="auto"/>
            </w:tcBorders>
            <w:noWrap/>
            <w:vAlign w:val="bottom"/>
          </w:tcPr>
          <w:p w14:paraId="2B6BEB83" w14:textId="21D6257B"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154,6</w:t>
            </w:r>
          </w:p>
        </w:tc>
        <w:tc>
          <w:tcPr>
            <w:tcW w:w="844" w:type="dxa"/>
            <w:tcBorders>
              <w:top w:val="nil"/>
              <w:left w:val="nil"/>
              <w:bottom w:val="single" w:sz="4" w:space="0" w:color="auto"/>
              <w:right w:val="single" w:sz="4" w:space="0" w:color="auto"/>
            </w:tcBorders>
            <w:noWrap/>
            <w:vAlign w:val="bottom"/>
          </w:tcPr>
          <w:p w14:paraId="6636C213" w14:textId="2F689E7A"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116</w:t>
            </w:r>
          </w:p>
        </w:tc>
        <w:tc>
          <w:tcPr>
            <w:tcW w:w="844" w:type="dxa"/>
            <w:tcBorders>
              <w:top w:val="nil"/>
              <w:left w:val="nil"/>
              <w:bottom w:val="single" w:sz="4" w:space="0" w:color="auto"/>
              <w:right w:val="single" w:sz="8" w:space="0" w:color="auto"/>
            </w:tcBorders>
            <w:noWrap/>
            <w:vAlign w:val="bottom"/>
          </w:tcPr>
          <w:p w14:paraId="5DC049AA" w14:textId="5B946A09"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82,6</w:t>
            </w:r>
          </w:p>
        </w:tc>
        <w:tc>
          <w:tcPr>
            <w:tcW w:w="844" w:type="dxa"/>
            <w:tcBorders>
              <w:top w:val="nil"/>
              <w:left w:val="single" w:sz="4" w:space="0" w:color="auto"/>
              <w:bottom w:val="single" w:sz="4" w:space="0" w:color="auto"/>
              <w:right w:val="single" w:sz="4" w:space="0" w:color="auto"/>
            </w:tcBorders>
            <w:noWrap/>
            <w:vAlign w:val="bottom"/>
          </w:tcPr>
          <w:p w14:paraId="34D6D4C7" w14:textId="67B4D28E"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282</w:t>
            </w:r>
          </w:p>
        </w:tc>
        <w:tc>
          <w:tcPr>
            <w:tcW w:w="845" w:type="dxa"/>
            <w:tcBorders>
              <w:top w:val="nil"/>
              <w:left w:val="nil"/>
              <w:bottom w:val="single" w:sz="4" w:space="0" w:color="auto"/>
              <w:right w:val="single" w:sz="8" w:space="0" w:color="auto"/>
            </w:tcBorders>
            <w:noWrap/>
            <w:vAlign w:val="bottom"/>
          </w:tcPr>
          <w:p w14:paraId="30AD9DDA" w14:textId="1EFE7205"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237,2</w:t>
            </w:r>
          </w:p>
        </w:tc>
        <w:tc>
          <w:tcPr>
            <w:tcW w:w="1067" w:type="dxa"/>
            <w:tcBorders>
              <w:top w:val="nil"/>
              <w:left w:val="nil"/>
              <w:bottom w:val="single" w:sz="4" w:space="0" w:color="auto"/>
              <w:right w:val="single" w:sz="4" w:space="0" w:color="auto"/>
            </w:tcBorders>
            <w:noWrap/>
            <w:vAlign w:val="bottom"/>
          </w:tcPr>
          <w:p w14:paraId="0F8D7995" w14:textId="2268FAE4"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2 314</w:t>
            </w:r>
          </w:p>
        </w:tc>
        <w:tc>
          <w:tcPr>
            <w:tcW w:w="1068" w:type="dxa"/>
            <w:tcBorders>
              <w:top w:val="nil"/>
              <w:left w:val="nil"/>
              <w:bottom w:val="single" w:sz="4" w:space="0" w:color="auto"/>
              <w:right w:val="double" w:sz="6" w:space="0" w:color="auto"/>
            </w:tcBorders>
            <w:shd w:val="clear" w:color="auto" w:fill="EEECE1" w:themeFill="background2"/>
            <w:noWrap/>
            <w:vAlign w:val="bottom"/>
          </w:tcPr>
          <w:p w14:paraId="417E043F" w14:textId="306DC4D6"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9,8</w:t>
            </w:r>
          </w:p>
        </w:tc>
        <w:tc>
          <w:tcPr>
            <w:tcW w:w="849" w:type="dxa"/>
            <w:tcBorders>
              <w:top w:val="nil"/>
              <w:left w:val="nil"/>
              <w:bottom w:val="single" w:sz="4" w:space="0" w:color="auto"/>
              <w:right w:val="single" w:sz="4" w:space="0" w:color="auto"/>
            </w:tcBorders>
            <w:noWrap/>
            <w:vAlign w:val="bottom"/>
          </w:tcPr>
          <w:p w14:paraId="1A75CACB" w14:textId="314D7D14" w:rsidR="003F376F" w:rsidRPr="005A4ED4" w:rsidRDefault="003F376F" w:rsidP="003F376F">
            <w:pPr>
              <w:jc w:val="center"/>
              <w:rPr>
                <w:rFonts w:asciiTheme="majorHAnsi" w:hAnsiTheme="majorHAnsi" w:cstheme="majorHAnsi"/>
                <w:sz w:val="22"/>
                <w:szCs w:val="20"/>
              </w:rPr>
            </w:pPr>
            <w:r w:rsidRPr="005A4ED4">
              <w:rPr>
                <w:rFonts w:cs="Calibri"/>
                <w:sz w:val="22"/>
                <w:szCs w:val="20"/>
              </w:rPr>
              <w:t>149</w:t>
            </w:r>
          </w:p>
        </w:tc>
        <w:tc>
          <w:tcPr>
            <w:tcW w:w="849" w:type="dxa"/>
            <w:tcBorders>
              <w:top w:val="nil"/>
              <w:left w:val="nil"/>
              <w:bottom w:val="single" w:sz="4" w:space="0" w:color="auto"/>
              <w:right w:val="single" w:sz="8" w:space="0" w:color="auto"/>
            </w:tcBorders>
            <w:noWrap/>
            <w:vAlign w:val="bottom"/>
          </w:tcPr>
          <w:p w14:paraId="33F1826C" w14:textId="04C43BE4" w:rsidR="003F376F" w:rsidRPr="005A4ED4" w:rsidRDefault="003F376F" w:rsidP="003F376F">
            <w:pPr>
              <w:jc w:val="center"/>
              <w:rPr>
                <w:rFonts w:asciiTheme="majorHAnsi" w:hAnsiTheme="majorHAnsi" w:cstheme="majorHAnsi"/>
                <w:sz w:val="22"/>
                <w:szCs w:val="20"/>
              </w:rPr>
            </w:pPr>
            <w:r w:rsidRPr="005A4ED4">
              <w:rPr>
                <w:rFonts w:cs="Calibri"/>
                <w:sz w:val="22"/>
                <w:szCs w:val="20"/>
              </w:rPr>
              <w:t>142,4</w:t>
            </w:r>
          </w:p>
        </w:tc>
        <w:tc>
          <w:tcPr>
            <w:tcW w:w="849" w:type="dxa"/>
            <w:tcBorders>
              <w:top w:val="nil"/>
              <w:left w:val="nil"/>
              <w:bottom w:val="single" w:sz="4" w:space="0" w:color="auto"/>
              <w:right w:val="single" w:sz="4" w:space="0" w:color="auto"/>
            </w:tcBorders>
            <w:noWrap/>
            <w:vAlign w:val="bottom"/>
          </w:tcPr>
          <w:p w14:paraId="5325374F" w14:textId="773A4236" w:rsidR="003F376F" w:rsidRPr="005A4ED4" w:rsidRDefault="003F376F" w:rsidP="003F376F">
            <w:pPr>
              <w:jc w:val="center"/>
              <w:rPr>
                <w:rFonts w:asciiTheme="majorHAnsi" w:hAnsiTheme="majorHAnsi" w:cstheme="majorHAnsi"/>
                <w:sz w:val="22"/>
                <w:szCs w:val="20"/>
              </w:rPr>
            </w:pPr>
            <w:r w:rsidRPr="005A4ED4">
              <w:rPr>
                <w:rFonts w:cs="Calibri"/>
                <w:sz w:val="22"/>
                <w:szCs w:val="20"/>
              </w:rPr>
              <w:t>140</w:t>
            </w:r>
          </w:p>
        </w:tc>
        <w:tc>
          <w:tcPr>
            <w:tcW w:w="849" w:type="dxa"/>
            <w:tcBorders>
              <w:top w:val="nil"/>
              <w:left w:val="nil"/>
              <w:bottom w:val="single" w:sz="4" w:space="0" w:color="auto"/>
              <w:right w:val="single" w:sz="8" w:space="0" w:color="auto"/>
            </w:tcBorders>
            <w:noWrap/>
            <w:vAlign w:val="bottom"/>
          </w:tcPr>
          <w:p w14:paraId="55C7B5E1" w14:textId="110B0E27" w:rsidR="003F376F" w:rsidRPr="005A4ED4" w:rsidRDefault="003F376F" w:rsidP="003F376F">
            <w:pPr>
              <w:jc w:val="center"/>
              <w:rPr>
                <w:rFonts w:asciiTheme="majorHAnsi" w:hAnsiTheme="majorHAnsi" w:cstheme="majorHAnsi"/>
                <w:sz w:val="22"/>
                <w:szCs w:val="20"/>
              </w:rPr>
            </w:pPr>
            <w:r w:rsidRPr="005A4ED4">
              <w:rPr>
                <w:rFonts w:cs="Calibri"/>
                <w:sz w:val="22"/>
                <w:szCs w:val="20"/>
              </w:rPr>
              <w:t>96,3</w:t>
            </w:r>
          </w:p>
        </w:tc>
        <w:tc>
          <w:tcPr>
            <w:tcW w:w="849" w:type="dxa"/>
            <w:tcBorders>
              <w:top w:val="nil"/>
              <w:left w:val="single" w:sz="4" w:space="0" w:color="auto"/>
              <w:bottom w:val="single" w:sz="4" w:space="0" w:color="auto"/>
              <w:right w:val="single" w:sz="4" w:space="0" w:color="auto"/>
            </w:tcBorders>
            <w:noWrap/>
            <w:vAlign w:val="bottom"/>
          </w:tcPr>
          <w:p w14:paraId="69994CF5" w14:textId="702A9D72" w:rsidR="003F376F" w:rsidRPr="005A4ED4" w:rsidRDefault="003F376F" w:rsidP="003F376F">
            <w:pPr>
              <w:jc w:val="center"/>
              <w:rPr>
                <w:rFonts w:asciiTheme="majorHAnsi" w:hAnsiTheme="majorHAnsi" w:cstheme="majorHAnsi"/>
                <w:sz w:val="22"/>
                <w:szCs w:val="20"/>
              </w:rPr>
            </w:pPr>
            <w:r w:rsidRPr="005A4ED4">
              <w:rPr>
                <w:rFonts w:cs="Calibri"/>
                <w:sz w:val="22"/>
                <w:szCs w:val="20"/>
              </w:rPr>
              <w:t>289</w:t>
            </w:r>
          </w:p>
        </w:tc>
        <w:tc>
          <w:tcPr>
            <w:tcW w:w="849" w:type="dxa"/>
            <w:tcBorders>
              <w:top w:val="nil"/>
              <w:left w:val="nil"/>
              <w:bottom w:val="single" w:sz="4" w:space="0" w:color="auto"/>
              <w:right w:val="single" w:sz="8" w:space="0" w:color="auto"/>
            </w:tcBorders>
            <w:noWrap/>
            <w:vAlign w:val="bottom"/>
          </w:tcPr>
          <w:p w14:paraId="392A3323" w14:textId="2DE70FDB" w:rsidR="003F376F" w:rsidRPr="005A4ED4" w:rsidRDefault="003F376F" w:rsidP="003F376F">
            <w:pPr>
              <w:jc w:val="center"/>
              <w:rPr>
                <w:rFonts w:asciiTheme="majorHAnsi" w:hAnsiTheme="majorHAnsi" w:cstheme="majorHAnsi"/>
                <w:sz w:val="22"/>
                <w:szCs w:val="20"/>
              </w:rPr>
            </w:pPr>
            <w:r w:rsidRPr="005A4ED4">
              <w:rPr>
                <w:rFonts w:cs="Calibri"/>
                <w:sz w:val="22"/>
                <w:szCs w:val="20"/>
              </w:rPr>
              <w:t>238,7</w:t>
            </w:r>
          </w:p>
        </w:tc>
        <w:tc>
          <w:tcPr>
            <w:tcW w:w="1053" w:type="dxa"/>
            <w:tcBorders>
              <w:top w:val="nil"/>
              <w:left w:val="nil"/>
              <w:bottom w:val="single" w:sz="4" w:space="0" w:color="auto"/>
              <w:right w:val="single" w:sz="4" w:space="0" w:color="auto"/>
            </w:tcBorders>
            <w:noWrap/>
            <w:vAlign w:val="bottom"/>
          </w:tcPr>
          <w:p w14:paraId="22F8A148" w14:textId="14581EB3" w:rsidR="003F376F" w:rsidRPr="005A4ED4" w:rsidRDefault="003F376F" w:rsidP="003F376F">
            <w:pPr>
              <w:jc w:val="center"/>
              <w:rPr>
                <w:rFonts w:asciiTheme="majorHAnsi" w:hAnsiTheme="majorHAnsi" w:cstheme="majorHAnsi"/>
                <w:sz w:val="22"/>
                <w:szCs w:val="20"/>
              </w:rPr>
            </w:pPr>
            <w:r w:rsidRPr="005A4ED4">
              <w:rPr>
                <w:rFonts w:cs="Calibri"/>
                <w:sz w:val="22"/>
                <w:szCs w:val="20"/>
              </w:rPr>
              <w:t>2 427</w:t>
            </w:r>
          </w:p>
        </w:tc>
        <w:tc>
          <w:tcPr>
            <w:tcW w:w="1053" w:type="dxa"/>
            <w:tcBorders>
              <w:top w:val="nil"/>
              <w:left w:val="nil"/>
              <w:bottom w:val="single" w:sz="4" w:space="0" w:color="auto"/>
              <w:right w:val="double" w:sz="6" w:space="0" w:color="auto"/>
            </w:tcBorders>
            <w:shd w:val="clear" w:color="auto" w:fill="EEECE1" w:themeFill="background2"/>
            <w:noWrap/>
            <w:vAlign w:val="bottom"/>
          </w:tcPr>
          <w:p w14:paraId="374FF949" w14:textId="139E8036" w:rsidR="003F376F" w:rsidRPr="005A4ED4" w:rsidRDefault="003F376F" w:rsidP="003F376F">
            <w:pPr>
              <w:jc w:val="center"/>
              <w:rPr>
                <w:rFonts w:asciiTheme="majorHAnsi" w:hAnsiTheme="majorHAnsi" w:cstheme="majorHAnsi"/>
                <w:sz w:val="22"/>
                <w:szCs w:val="20"/>
              </w:rPr>
            </w:pPr>
            <w:r w:rsidRPr="005A4ED4">
              <w:rPr>
                <w:rFonts w:cs="Calibri"/>
                <w:sz w:val="22"/>
                <w:szCs w:val="20"/>
              </w:rPr>
              <w:t>10,2</w:t>
            </w:r>
          </w:p>
        </w:tc>
      </w:tr>
      <w:tr w:rsidR="003F376F" w:rsidRPr="0053555E" w14:paraId="20A5D87E" w14:textId="77777777" w:rsidTr="00297D91">
        <w:trPr>
          <w:trHeight w:val="300"/>
        </w:trPr>
        <w:tc>
          <w:tcPr>
            <w:tcW w:w="851" w:type="dxa"/>
            <w:tcBorders>
              <w:top w:val="nil"/>
              <w:left w:val="single" w:sz="8" w:space="0" w:color="auto"/>
              <w:bottom w:val="single" w:sz="4" w:space="0" w:color="auto"/>
              <w:right w:val="double" w:sz="6" w:space="0" w:color="auto"/>
            </w:tcBorders>
            <w:noWrap/>
            <w:vAlign w:val="bottom"/>
            <w:hideMark/>
          </w:tcPr>
          <w:p w14:paraId="37947E0A" w14:textId="77777777" w:rsidR="003F376F" w:rsidRPr="004630DE" w:rsidRDefault="003F376F" w:rsidP="003F376F">
            <w:pPr>
              <w:tabs>
                <w:tab w:val="left" w:pos="9356"/>
              </w:tabs>
              <w:jc w:val="both"/>
              <w:rPr>
                <w:rFonts w:asciiTheme="majorHAnsi" w:eastAsia="Times New Roman" w:hAnsiTheme="majorHAnsi" w:cstheme="majorHAnsi"/>
                <w:sz w:val="22"/>
                <w:szCs w:val="20"/>
                <w:lang w:eastAsia="sk-SK"/>
              </w:rPr>
            </w:pPr>
            <w:r w:rsidRPr="004630DE">
              <w:rPr>
                <w:rFonts w:asciiTheme="majorHAnsi" w:eastAsia="Times New Roman" w:hAnsiTheme="majorHAnsi" w:cstheme="majorHAnsi"/>
                <w:sz w:val="22"/>
                <w:szCs w:val="20"/>
                <w:lang w:eastAsia="sk-SK"/>
              </w:rPr>
              <w:t>FCHPT</w:t>
            </w:r>
          </w:p>
        </w:tc>
        <w:tc>
          <w:tcPr>
            <w:tcW w:w="792" w:type="dxa"/>
            <w:tcBorders>
              <w:top w:val="nil"/>
              <w:left w:val="nil"/>
              <w:bottom w:val="single" w:sz="4" w:space="0" w:color="auto"/>
              <w:right w:val="single" w:sz="4" w:space="0" w:color="auto"/>
            </w:tcBorders>
            <w:noWrap/>
            <w:vAlign w:val="bottom"/>
          </w:tcPr>
          <w:p w14:paraId="56B40D1D" w14:textId="7E250E92"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194</w:t>
            </w:r>
          </w:p>
        </w:tc>
        <w:tc>
          <w:tcPr>
            <w:tcW w:w="792" w:type="dxa"/>
            <w:tcBorders>
              <w:top w:val="nil"/>
              <w:left w:val="nil"/>
              <w:bottom w:val="single" w:sz="4" w:space="0" w:color="auto"/>
              <w:right w:val="single" w:sz="8" w:space="0" w:color="auto"/>
            </w:tcBorders>
            <w:noWrap/>
            <w:vAlign w:val="bottom"/>
          </w:tcPr>
          <w:p w14:paraId="5467F650" w14:textId="6EACE628"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177,9</w:t>
            </w:r>
          </w:p>
        </w:tc>
        <w:tc>
          <w:tcPr>
            <w:tcW w:w="844" w:type="dxa"/>
            <w:tcBorders>
              <w:top w:val="nil"/>
              <w:left w:val="nil"/>
              <w:bottom w:val="single" w:sz="4" w:space="0" w:color="auto"/>
              <w:right w:val="single" w:sz="4" w:space="0" w:color="auto"/>
            </w:tcBorders>
            <w:noWrap/>
            <w:vAlign w:val="bottom"/>
          </w:tcPr>
          <w:p w14:paraId="336140AB" w14:textId="7A0674C1"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134</w:t>
            </w:r>
          </w:p>
        </w:tc>
        <w:tc>
          <w:tcPr>
            <w:tcW w:w="844" w:type="dxa"/>
            <w:tcBorders>
              <w:top w:val="nil"/>
              <w:left w:val="nil"/>
              <w:bottom w:val="single" w:sz="4" w:space="0" w:color="auto"/>
              <w:right w:val="single" w:sz="8" w:space="0" w:color="auto"/>
            </w:tcBorders>
            <w:noWrap/>
            <w:vAlign w:val="bottom"/>
          </w:tcPr>
          <w:p w14:paraId="34FA9F49" w14:textId="64BA036D"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102,1</w:t>
            </w:r>
          </w:p>
        </w:tc>
        <w:tc>
          <w:tcPr>
            <w:tcW w:w="844" w:type="dxa"/>
            <w:tcBorders>
              <w:top w:val="nil"/>
              <w:left w:val="single" w:sz="4" w:space="0" w:color="auto"/>
              <w:bottom w:val="single" w:sz="4" w:space="0" w:color="auto"/>
              <w:right w:val="single" w:sz="4" w:space="0" w:color="auto"/>
            </w:tcBorders>
            <w:noWrap/>
            <w:vAlign w:val="bottom"/>
          </w:tcPr>
          <w:p w14:paraId="0DBD9215" w14:textId="4F225B6A"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328</w:t>
            </w:r>
          </w:p>
        </w:tc>
        <w:tc>
          <w:tcPr>
            <w:tcW w:w="845" w:type="dxa"/>
            <w:tcBorders>
              <w:top w:val="nil"/>
              <w:left w:val="nil"/>
              <w:bottom w:val="single" w:sz="4" w:space="0" w:color="auto"/>
              <w:right w:val="single" w:sz="8" w:space="0" w:color="auto"/>
            </w:tcBorders>
            <w:noWrap/>
            <w:vAlign w:val="bottom"/>
          </w:tcPr>
          <w:p w14:paraId="3C99EBF2" w14:textId="7419E425"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280,0</w:t>
            </w:r>
          </w:p>
        </w:tc>
        <w:tc>
          <w:tcPr>
            <w:tcW w:w="1067" w:type="dxa"/>
            <w:tcBorders>
              <w:top w:val="nil"/>
              <w:left w:val="nil"/>
              <w:bottom w:val="single" w:sz="4" w:space="0" w:color="auto"/>
              <w:right w:val="single" w:sz="4" w:space="0" w:color="auto"/>
            </w:tcBorders>
            <w:noWrap/>
            <w:vAlign w:val="bottom"/>
          </w:tcPr>
          <w:p w14:paraId="77FD8538" w14:textId="20525C33"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1 286</w:t>
            </w:r>
          </w:p>
        </w:tc>
        <w:tc>
          <w:tcPr>
            <w:tcW w:w="1068" w:type="dxa"/>
            <w:tcBorders>
              <w:top w:val="nil"/>
              <w:left w:val="nil"/>
              <w:bottom w:val="single" w:sz="4" w:space="0" w:color="auto"/>
              <w:right w:val="double" w:sz="6" w:space="0" w:color="auto"/>
            </w:tcBorders>
            <w:shd w:val="clear" w:color="auto" w:fill="EEECE1" w:themeFill="background2"/>
            <w:noWrap/>
            <w:vAlign w:val="bottom"/>
          </w:tcPr>
          <w:p w14:paraId="53EC9B2C" w14:textId="12A7D4A4"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4,6</w:t>
            </w:r>
          </w:p>
        </w:tc>
        <w:tc>
          <w:tcPr>
            <w:tcW w:w="849" w:type="dxa"/>
            <w:tcBorders>
              <w:top w:val="nil"/>
              <w:left w:val="nil"/>
              <w:bottom w:val="single" w:sz="4" w:space="0" w:color="auto"/>
              <w:right w:val="single" w:sz="4" w:space="0" w:color="auto"/>
            </w:tcBorders>
            <w:noWrap/>
            <w:vAlign w:val="bottom"/>
          </w:tcPr>
          <w:p w14:paraId="3709BB21" w14:textId="42A96086" w:rsidR="003F376F" w:rsidRPr="005A4ED4" w:rsidRDefault="003F376F" w:rsidP="003F376F">
            <w:pPr>
              <w:jc w:val="center"/>
              <w:rPr>
                <w:rFonts w:asciiTheme="majorHAnsi" w:hAnsiTheme="majorHAnsi" w:cstheme="majorHAnsi"/>
                <w:sz w:val="22"/>
                <w:szCs w:val="20"/>
              </w:rPr>
            </w:pPr>
            <w:r w:rsidRPr="005A4ED4">
              <w:rPr>
                <w:rFonts w:cs="Calibri"/>
                <w:sz w:val="22"/>
                <w:szCs w:val="20"/>
              </w:rPr>
              <w:t>185</w:t>
            </w:r>
          </w:p>
        </w:tc>
        <w:tc>
          <w:tcPr>
            <w:tcW w:w="849" w:type="dxa"/>
            <w:tcBorders>
              <w:top w:val="nil"/>
              <w:left w:val="nil"/>
              <w:bottom w:val="single" w:sz="4" w:space="0" w:color="auto"/>
              <w:right w:val="single" w:sz="8" w:space="0" w:color="auto"/>
            </w:tcBorders>
            <w:noWrap/>
            <w:vAlign w:val="bottom"/>
          </w:tcPr>
          <w:p w14:paraId="0B5CBA28" w14:textId="76E8C466" w:rsidR="003F376F" w:rsidRPr="005A4ED4" w:rsidRDefault="003F376F" w:rsidP="003F376F">
            <w:pPr>
              <w:jc w:val="center"/>
              <w:rPr>
                <w:rFonts w:asciiTheme="majorHAnsi" w:hAnsiTheme="majorHAnsi" w:cstheme="majorHAnsi"/>
                <w:sz w:val="22"/>
                <w:szCs w:val="20"/>
              </w:rPr>
            </w:pPr>
            <w:r w:rsidRPr="005A4ED4">
              <w:rPr>
                <w:rFonts w:cs="Calibri"/>
                <w:sz w:val="22"/>
                <w:szCs w:val="20"/>
              </w:rPr>
              <w:t>175,8</w:t>
            </w:r>
          </w:p>
        </w:tc>
        <w:tc>
          <w:tcPr>
            <w:tcW w:w="849" w:type="dxa"/>
            <w:tcBorders>
              <w:top w:val="nil"/>
              <w:left w:val="nil"/>
              <w:bottom w:val="single" w:sz="4" w:space="0" w:color="auto"/>
              <w:right w:val="single" w:sz="4" w:space="0" w:color="auto"/>
            </w:tcBorders>
            <w:noWrap/>
            <w:vAlign w:val="bottom"/>
          </w:tcPr>
          <w:p w14:paraId="7F5E49D9" w14:textId="5AC38772" w:rsidR="003F376F" w:rsidRPr="005A4ED4" w:rsidRDefault="003F376F" w:rsidP="003F376F">
            <w:pPr>
              <w:jc w:val="center"/>
              <w:rPr>
                <w:rFonts w:asciiTheme="majorHAnsi" w:hAnsiTheme="majorHAnsi" w:cstheme="majorHAnsi"/>
                <w:sz w:val="22"/>
                <w:szCs w:val="20"/>
              </w:rPr>
            </w:pPr>
            <w:r w:rsidRPr="005A4ED4">
              <w:rPr>
                <w:rFonts w:cs="Calibri"/>
                <w:sz w:val="22"/>
                <w:szCs w:val="20"/>
              </w:rPr>
              <w:t>141</w:t>
            </w:r>
          </w:p>
        </w:tc>
        <w:tc>
          <w:tcPr>
            <w:tcW w:w="849" w:type="dxa"/>
            <w:tcBorders>
              <w:top w:val="nil"/>
              <w:left w:val="nil"/>
              <w:bottom w:val="single" w:sz="4" w:space="0" w:color="auto"/>
              <w:right w:val="single" w:sz="8" w:space="0" w:color="auto"/>
            </w:tcBorders>
            <w:noWrap/>
            <w:vAlign w:val="bottom"/>
          </w:tcPr>
          <w:p w14:paraId="5F44084F" w14:textId="1A300D23" w:rsidR="003F376F" w:rsidRPr="005A4ED4" w:rsidRDefault="003F376F" w:rsidP="003F376F">
            <w:pPr>
              <w:jc w:val="center"/>
              <w:rPr>
                <w:rFonts w:asciiTheme="majorHAnsi" w:hAnsiTheme="majorHAnsi" w:cstheme="majorHAnsi"/>
                <w:sz w:val="22"/>
                <w:szCs w:val="20"/>
              </w:rPr>
            </w:pPr>
            <w:r w:rsidRPr="005A4ED4">
              <w:rPr>
                <w:rFonts w:cs="Calibri"/>
                <w:sz w:val="22"/>
                <w:szCs w:val="20"/>
              </w:rPr>
              <w:t>106,5</w:t>
            </w:r>
          </w:p>
        </w:tc>
        <w:tc>
          <w:tcPr>
            <w:tcW w:w="849" w:type="dxa"/>
            <w:tcBorders>
              <w:top w:val="nil"/>
              <w:left w:val="single" w:sz="4" w:space="0" w:color="auto"/>
              <w:bottom w:val="single" w:sz="4" w:space="0" w:color="auto"/>
              <w:right w:val="single" w:sz="4" w:space="0" w:color="auto"/>
            </w:tcBorders>
            <w:noWrap/>
            <w:vAlign w:val="bottom"/>
          </w:tcPr>
          <w:p w14:paraId="4FFFAFEA" w14:textId="4074C0B2" w:rsidR="003F376F" w:rsidRPr="005A4ED4" w:rsidRDefault="003F376F" w:rsidP="003F376F">
            <w:pPr>
              <w:jc w:val="center"/>
              <w:rPr>
                <w:rFonts w:asciiTheme="majorHAnsi" w:hAnsiTheme="majorHAnsi" w:cstheme="majorHAnsi"/>
                <w:sz w:val="22"/>
                <w:szCs w:val="20"/>
              </w:rPr>
            </w:pPr>
            <w:r w:rsidRPr="005A4ED4">
              <w:rPr>
                <w:rFonts w:cs="Calibri"/>
                <w:sz w:val="22"/>
                <w:szCs w:val="20"/>
              </w:rPr>
              <w:t>326</w:t>
            </w:r>
          </w:p>
        </w:tc>
        <w:tc>
          <w:tcPr>
            <w:tcW w:w="849" w:type="dxa"/>
            <w:tcBorders>
              <w:top w:val="nil"/>
              <w:left w:val="nil"/>
              <w:bottom w:val="single" w:sz="4" w:space="0" w:color="auto"/>
              <w:right w:val="single" w:sz="8" w:space="0" w:color="auto"/>
            </w:tcBorders>
            <w:noWrap/>
            <w:vAlign w:val="bottom"/>
          </w:tcPr>
          <w:p w14:paraId="1F0C8F75" w14:textId="5A11435B" w:rsidR="003F376F" w:rsidRPr="005A4ED4" w:rsidRDefault="003F376F" w:rsidP="003F376F">
            <w:pPr>
              <w:jc w:val="center"/>
              <w:rPr>
                <w:rFonts w:asciiTheme="majorHAnsi" w:hAnsiTheme="majorHAnsi" w:cstheme="majorHAnsi"/>
                <w:sz w:val="22"/>
                <w:szCs w:val="20"/>
              </w:rPr>
            </w:pPr>
            <w:r w:rsidRPr="005A4ED4">
              <w:rPr>
                <w:rFonts w:cs="Calibri"/>
                <w:sz w:val="22"/>
                <w:szCs w:val="20"/>
              </w:rPr>
              <w:t>282,3</w:t>
            </w:r>
          </w:p>
        </w:tc>
        <w:tc>
          <w:tcPr>
            <w:tcW w:w="1053" w:type="dxa"/>
            <w:tcBorders>
              <w:top w:val="nil"/>
              <w:left w:val="nil"/>
              <w:bottom w:val="single" w:sz="4" w:space="0" w:color="auto"/>
              <w:right w:val="single" w:sz="4" w:space="0" w:color="auto"/>
            </w:tcBorders>
            <w:noWrap/>
            <w:vAlign w:val="bottom"/>
          </w:tcPr>
          <w:p w14:paraId="3FE8411D" w14:textId="6351D9F7" w:rsidR="003F376F" w:rsidRPr="005A4ED4" w:rsidRDefault="003F376F" w:rsidP="003F376F">
            <w:pPr>
              <w:jc w:val="center"/>
              <w:rPr>
                <w:rFonts w:asciiTheme="majorHAnsi" w:hAnsiTheme="majorHAnsi" w:cstheme="majorHAnsi"/>
                <w:sz w:val="22"/>
                <w:szCs w:val="20"/>
              </w:rPr>
            </w:pPr>
            <w:r w:rsidRPr="005A4ED4">
              <w:rPr>
                <w:rFonts w:cs="Calibri"/>
                <w:sz w:val="22"/>
                <w:szCs w:val="20"/>
              </w:rPr>
              <w:t>1 308</w:t>
            </w:r>
          </w:p>
        </w:tc>
        <w:tc>
          <w:tcPr>
            <w:tcW w:w="1053" w:type="dxa"/>
            <w:tcBorders>
              <w:top w:val="nil"/>
              <w:left w:val="nil"/>
              <w:bottom w:val="single" w:sz="4" w:space="0" w:color="auto"/>
              <w:right w:val="double" w:sz="6" w:space="0" w:color="auto"/>
            </w:tcBorders>
            <w:shd w:val="clear" w:color="auto" w:fill="EEECE1" w:themeFill="background2"/>
            <w:noWrap/>
            <w:vAlign w:val="bottom"/>
          </w:tcPr>
          <w:p w14:paraId="4C16C58F" w14:textId="5623C5C0" w:rsidR="003F376F" w:rsidRPr="005A4ED4" w:rsidRDefault="003F376F" w:rsidP="003F376F">
            <w:pPr>
              <w:jc w:val="center"/>
              <w:rPr>
                <w:rFonts w:asciiTheme="majorHAnsi" w:hAnsiTheme="majorHAnsi" w:cstheme="majorHAnsi"/>
                <w:sz w:val="22"/>
                <w:szCs w:val="20"/>
              </w:rPr>
            </w:pPr>
            <w:r w:rsidRPr="005A4ED4">
              <w:rPr>
                <w:rFonts w:cs="Calibri"/>
                <w:sz w:val="22"/>
                <w:szCs w:val="20"/>
              </w:rPr>
              <w:t>4,6</w:t>
            </w:r>
          </w:p>
        </w:tc>
      </w:tr>
      <w:tr w:rsidR="003F376F" w:rsidRPr="0053555E" w14:paraId="2EE37C66" w14:textId="77777777" w:rsidTr="00297D91">
        <w:trPr>
          <w:trHeight w:val="300"/>
        </w:trPr>
        <w:tc>
          <w:tcPr>
            <w:tcW w:w="851" w:type="dxa"/>
            <w:tcBorders>
              <w:top w:val="nil"/>
              <w:left w:val="single" w:sz="8" w:space="0" w:color="auto"/>
              <w:bottom w:val="nil"/>
              <w:right w:val="double" w:sz="6" w:space="0" w:color="auto"/>
            </w:tcBorders>
            <w:noWrap/>
            <w:vAlign w:val="bottom"/>
            <w:hideMark/>
          </w:tcPr>
          <w:p w14:paraId="156F0F93" w14:textId="77777777" w:rsidR="003F376F" w:rsidRPr="004630DE" w:rsidRDefault="003F376F" w:rsidP="003F376F">
            <w:pPr>
              <w:tabs>
                <w:tab w:val="left" w:pos="9356"/>
              </w:tabs>
              <w:jc w:val="both"/>
              <w:rPr>
                <w:rFonts w:asciiTheme="majorHAnsi" w:eastAsia="Times New Roman" w:hAnsiTheme="majorHAnsi" w:cstheme="majorHAnsi"/>
                <w:sz w:val="22"/>
                <w:szCs w:val="20"/>
                <w:lang w:eastAsia="sk-SK"/>
              </w:rPr>
            </w:pPr>
            <w:r w:rsidRPr="004630DE">
              <w:rPr>
                <w:rFonts w:asciiTheme="majorHAnsi" w:eastAsia="Times New Roman" w:hAnsiTheme="majorHAnsi" w:cstheme="majorHAnsi"/>
                <w:sz w:val="22"/>
                <w:szCs w:val="20"/>
                <w:lang w:eastAsia="sk-SK"/>
              </w:rPr>
              <w:t>FAD</w:t>
            </w:r>
          </w:p>
        </w:tc>
        <w:tc>
          <w:tcPr>
            <w:tcW w:w="792" w:type="dxa"/>
            <w:tcBorders>
              <w:top w:val="nil"/>
              <w:left w:val="nil"/>
              <w:bottom w:val="single" w:sz="4" w:space="0" w:color="auto"/>
              <w:right w:val="single" w:sz="4" w:space="0" w:color="auto"/>
            </w:tcBorders>
            <w:noWrap/>
            <w:vAlign w:val="bottom"/>
          </w:tcPr>
          <w:p w14:paraId="60B53DE9" w14:textId="4B954F53"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101</w:t>
            </w:r>
          </w:p>
        </w:tc>
        <w:tc>
          <w:tcPr>
            <w:tcW w:w="792" w:type="dxa"/>
            <w:tcBorders>
              <w:top w:val="nil"/>
              <w:left w:val="nil"/>
              <w:bottom w:val="single" w:sz="4" w:space="0" w:color="auto"/>
              <w:right w:val="single" w:sz="8" w:space="0" w:color="auto"/>
            </w:tcBorders>
            <w:noWrap/>
            <w:vAlign w:val="bottom"/>
          </w:tcPr>
          <w:p w14:paraId="241506BD" w14:textId="3A110263"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87,5</w:t>
            </w:r>
          </w:p>
        </w:tc>
        <w:tc>
          <w:tcPr>
            <w:tcW w:w="844" w:type="dxa"/>
            <w:tcBorders>
              <w:top w:val="nil"/>
              <w:left w:val="nil"/>
              <w:bottom w:val="single" w:sz="4" w:space="0" w:color="auto"/>
              <w:right w:val="single" w:sz="4" w:space="0" w:color="auto"/>
            </w:tcBorders>
            <w:noWrap/>
            <w:vAlign w:val="bottom"/>
          </w:tcPr>
          <w:p w14:paraId="55B03423" w14:textId="399564A2"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21</w:t>
            </w:r>
          </w:p>
        </w:tc>
        <w:tc>
          <w:tcPr>
            <w:tcW w:w="844" w:type="dxa"/>
            <w:tcBorders>
              <w:top w:val="nil"/>
              <w:left w:val="nil"/>
              <w:bottom w:val="single" w:sz="4" w:space="0" w:color="auto"/>
              <w:right w:val="single" w:sz="8" w:space="0" w:color="auto"/>
            </w:tcBorders>
            <w:noWrap/>
            <w:vAlign w:val="bottom"/>
          </w:tcPr>
          <w:p w14:paraId="63CCF463" w14:textId="33427E6F"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20,0</w:t>
            </w:r>
          </w:p>
        </w:tc>
        <w:tc>
          <w:tcPr>
            <w:tcW w:w="844" w:type="dxa"/>
            <w:tcBorders>
              <w:top w:val="nil"/>
              <w:left w:val="single" w:sz="4" w:space="0" w:color="auto"/>
              <w:bottom w:val="single" w:sz="4" w:space="0" w:color="auto"/>
              <w:right w:val="single" w:sz="4" w:space="0" w:color="auto"/>
            </w:tcBorders>
            <w:noWrap/>
            <w:vAlign w:val="bottom"/>
          </w:tcPr>
          <w:p w14:paraId="48C8535B" w14:textId="18F92B2A"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122</w:t>
            </w:r>
          </w:p>
        </w:tc>
        <w:tc>
          <w:tcPr>
            <w:tcW w:w="845" w:type="dxa"/>
            <w:tcBorders>
              <w:top w:val="nil"/>
              <w:left w:val="nil"/>
              <w:bottom w:val="single" w:sz="4" w:space="0" w:color="auto"/>
              <w:right w:val="single" w:sz="8" w:space="0" w:color="auto"/>
            </w:tcBorders>
            <w:noWrap/>
            <w:vAlign w:val="bottom"/>
          </w:tcPr>
          <w:p w14:paraId="48329849" w14:textId="29F99EA2"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107,5</w:t>
            </w:r>
          </w:p>
        </w:tc>
        <w:tc>
          <w:tcPr>
            <w:tcW w:w="1067" w:type="dxa"/>
            <w:tcBorders>
              <w:top w:val="nil"/>
              <w:left w:val="nil"/>
              <w:bottom w:val="single" w:sz="4" w:space="0" w:color="auto"/>
              <w:right w:val="single" w:sz="4" w:space="0" w:color="auto"/>
            </w:tcBorders>
            <w:noWrap/>
            <w:vAlign w:val="bottom"/>
          </w:tcPr>
          <w:p w14:paraId="5808F445" w14:textId="6847856A"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929</w:t>
            </w:r>
          </w:p>
        </w:tc>
        <w:tc>
          <w:tcPr>
            <w:tcW w:w="1068" w:type="dxa"/>
            <w:tcBorders>
              <w:top w:val="nil"/>
              <w:left w:val="nil"/>
              <w:bottom w:val="single" w:sz="4" w:space="0" w:color="auto"/>
              <w:right w:val="double" w:sz="6" w:space="0" w:color="auto"/>
            </w:tcBorders>
            <w:shd w:val="clear" w:color="auto" w:fill="EEECE1" w:themeFill="background2"/>
            <w:noWrap/>
            <w:vAlign w:val="bottom"/>
          </w:tcPr>
          <w:p w14:paraId="6A8FED68" w14:textId="1AD6282C"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8,6</w:t>
            </w:r>
          </w:p>
        </w:tc>
        <w:tc>
          <w:tcPr>
            <w:tcW w:w="849" w:type="dxa"/>
            <w:tcBorders>
              <w:top w:val="nil"/>
              <w:left w:val="nil"/>
              <w:bottom w:val="single" w:sz="4" w:space="0" w:color="auto"/>
              <w:right w:val="single" w:sz="4" w:space="0" w:color="auto"/>
            </w:tcBorders>
            <w:noWrap/>
            <w:vAlign w:val="bottom"/>
          </w:tcPr>
          <w:p w14:paraId="2E938FAA" w14:textId="35663B9B" w:rsidR="003F376F" w:rsidRPr="005A4ED4" w:rsidRDefault="003F376F" w:rsidP="003F376F">
            <w:pPr>
              <w:jc w:val="center"/>
              <w:rPr>
                <w:rFonts w:asciiTheme="majorHAnsi" w:hAnsiTheme="majorHAnsi" w:cstheme="majorHAnsi"/>
                <w:sz w:val="22"/>
                <w:szCs w:val="20"/>
              </w:rPr>
            </w:pPr>
            <w:r w:rsidRPr="005A4ED4">
              <w:rPr>
                <w:rFonts w:cs="Calibri"/>
                <w:sz w:val="22"/>
                <w:szCs w:val="20"/>
              </w:rPr>
              <w:t>94</w:t>
            </w:r>
          </w:p>
        </w:tc>
        <w:tc>
          <w:tcPr>
            <w:tcW w:w="849" w:type="dxa"/>
            <w:tcBorders>
              <w:top w:val="nil"/>
              <w:left w:val="nil"/>
              <w:bottom w:val="single" w:sz="4" w:space="0" w:color="auto"/>
              <w:right w:val="single" w:sz="8" w:space="0" w:color="auto"/>
            </w:tcBorders>
            <w:noWrap/>
            <w:vAlign w:val="bottom"/>
          </w:tcPr>
          <w:p w14:paraId="6DFB4146" w14:textId="2E096F85" w:rsidR="003F376F" w:rsidRPr="005A4ED4" w:rsidRDefault="003F376F" w:rsidP="003F376F">
            <w:pPr>
              <w:jc w:val="center"/>
              <w:rPr>
                <w:rFonts w:asciiTheme="majorHAnsi" w:hAnsiTheme="majorHAnsi" w:cstheme="majorHAnsi"/>
                <w:sz w:val="22"/>
                <w:szCs w:val="20"/>
              </w:rPr>
            </w:pPr>
            <w:r w:rsidRPr="005A4ED4">
              <w:rPr>
                <w:rFonts w:cs="Calibri"/>
                <w:sz w:val="22"/>
                <w:szCs w:val="20"/>
              </w:rPr>
              <w:t>85,3</w:t>
            </w:r>
          </w:p>
        </w:tc>
        <w:tc>
          <w:tcPr>
            <w:tcW w:w="849" w:type="dxa"/>
            <w:tcBorders>
              <w:top w:val="nil"/>
              <w:left w:val="nil"/>
              <w:bottom w:val="single" w:sz="4" w:space="0" w:color="auto"/>
              <w:right w:val="single" w:sz="4" w:space="0" w:color="auto"/>
            </w:tcBorders>
            <w:noWrap/>
            <w:vAlign w:val="bottom"/>
          </w:tcPr>
          <w:p w14:paraId="5B04166F" w14:textId="3B07FC5C" w:rsidR="003F376F" w:rsidRPr="005A4ED4" w:rsidRDefault="003F376F" w:rsidP="003F376F">
            <w:pPr>
              <w:jc w:val="center"/>
              <w:rPr>
                <w:rFonts w:asciiTheme="majorHAnsi" w:hAnsiTheme="majorHAnsi" w:cstheme="majorHAnsi"/>
                <w:sz w:val="22"/>
                <w:szCs w:val="20"/>
              </w:rPr>
            </w:pPr>
            <w:r w:rsidRPr="005A4ED4">
              <w:rPr>
                <w:rFonts w:cs="Calibri"/>
                <w:sz w:val="22"/>
                <w:szCs w:val="20"/>
              </w:rPr>
              <w:t>20</w:t>
            </w:r>
          </w:p>
        </w:tc>
        <w:tc>
          <w:tcPr>
            <w:tcW w:w="849" w:type="dxa"/>
            <w:tcBorders>
              <w:top w:val="nil"/>
              <w:left w:val="nil"/>
              <w:bottom w:val="single" w:sz="4" w:space="0" w:color="auto"/>
              <w:right w:val="single" w:sz="8" w:space="0" w:color="auto"/>
            </w:tcBorders>
            <w:noWrap/>
            <w:vAlign w:val="bottom"/>
          </w:tcPr>
          <w:p w14:paraId="46DD91D7" w14:textId="3C69345B" w:rsidR="003F376F" w:rsidRPr="005A4ED4" w:rsidRDefault="003F376F" w:rsidP="003F376F">
            <w:pPr>
              <w:jc w:val="center"/>
              <w:rPr>
                <w:rFonts w:asciiTheme="majorHAnsi" w:hAnsiTheme="majorHAnsi" w:cstheme="majorHAnsi"/>
                <w:sz w:val="22"/>
                <w:szCs w:val="20"/>
              </w:rPr>
            </w:pPr>
            <w:r w:rsidRPr="005A4ED4">
              <w:rPr>
                <w:rFonts w:cs="Calibri"/>
                <w:sz w:val="22"/>
                <w:szCs w:val="20"/>
              </w:rPr>
              <w:t>17,3</w:t>
            </w:r>
          </w:p>
        </w:tc>
        <w:tc>
          <w:tcPr>
            <w:tcW w:w="849" w:type="dxa"/>
            <w:tcBorders>
              <w:top w:val="nil"/>
              <w:left w:val="single" w:sz="4" w:space="0" w:color="auto"/>
              <w:bottom w:val="single" w:sz="4" w:space="0" w:color="auto"/>
              <w:right w:val="single" w:sz="4" w:space="0" w:color="auto"/>
            </w:tcBorders>
            <w:noWrap/>
            <w:vAlign w:val="bottom"/>
          </w:tcPr>
          <w:p w14:paraId="3D30C610" w14:textId="2B0A6638" w:rsidR="003F376F" w:rsidRPr="005A4ED4" w:rsidRDefault="003F376F" w:rsidP="003F376F">
            <w:pPr>
              <w:jc w:val="center"/>
              <w:rPr>
                <w:rFonts w:asciiTheme="majorHAnsi" w:hAnsiTheme="majorHAnsi" w:cstheme="majorHAnsi"/>
                <w:sz w:val="22"/>
                <w:szCs w:val="20"/>
              </w:rPr>
            </w:pPr>
            <w:r w:rsidRPr="005A4ED4">
              <w:rPr>
                <w:rFonts w:cs="Calibri"/>
                <w:sz w:val="22"/>
                <w:szCs w:val="20"/>
              </w:rPr>
              <w:t>114</w:t>
            </w:r>
          </w:p>
        </w:tc>
        <w:tc>
          <w:tcPr>
            <w:tcW w:w="849" w:type="dxa"/>
            <w:tcBorders>
              <w:top w:val="nil"/>
              <w:left w:val="nil"/>
              <w:bottom w:val="single" w:sz="4" w:space="0" w:color="auto"/>
              <w:right w:val="single" w:sz="8" w:space="0" w:color="auto"/>
            </w:tcBorders>
            <w:noWrap/>
            <w:vAlign w:val="bottom"/>
          </w:tcPr>
          <w:p w14:paraId="132B2F4E" w14:textId="4900400B" w:rsidR="003F376F" w:rsidRPr="005A4ED4" w:rsidRDefault="003F376F" w:rsidP="003F376F">
            <w:pPr>
              <w:jc w:val="center"/>
              <w:rPr>
                <w:rFonts w:asciiTheme="majorHAnsi" w:hAnsiTheme="majorHAnsi" w:cstheme="majorHAnsi"/>
                <w:sz w:val="22"/>
                <w:szCs w:val="20"/>
              </w:rPr>
            </w:pPr>
            <w:r w:rsidRPr="005A4ED4">
              <w:rPr>
                <w:rFonts w:cs="Calibri"/>
                <w:sz w:val="22"/>
                <w:szCs w:val="20"/>
              </w:rPr>
              <w:t>102,6</w:t>
            </w:r>
          </w:p>
        </w:tc>
        <w:tc>
          <w:tcPr>
            <w:tcW w:w="1053" w:type="dxa"/>
            <w:tcBorders>
              <w:top w:val="nil"/>
              <w:left w:val="nil"/>
              <w:bottom w:val="single" w:sz="4" w:space="0" w:color="auto"/>
              <w:right w:val="single" w:sz="4" w:space="0" w:color="auto"/>
            </w:tcBorders>
            <w:noWrap/>
            <w:vAlign w:val="bottom"/>
          </w:tcPr>
          <w:p w14:paraId="7AC26E7E" w14:textId="29A5CDB3" w:rsidR="003F376F" w:rsidRPr="005A4ED4" w:rsidRDefault="003F376F" w:rsidP="003F376F">
            <w:pPr>
              <w:jc w:val="center"/>
              <w:rPr>
                <w:rFonts w:asciiTheme="majorHAnsi" w:hAnsiTheme="majorHAnsi" w:cstheme="majorHAnsi"/>
                <w:sz w:val="22"/>
                <w:szCs w:val="20"/>
              </w:rPr>
            </w:pPr>
            <w:r w:rsidRPr="005A4ED4">
              <w:rPr>
                <w:rFonts w:cs="Calibri"/>
                <w:sz w:val="22"/>
                <w:szCs w:val="20"/>
              </w:rPr>
              <w:t>925</w:t>
            </w:r>
          </w:p>
        </w:tc>
        <w:tc>
          <w:tcPr>
            <w:tcW w:w="1053" w:type="dxa"/>
            <w:tcBorders>
              <w:top w:val="nil"/>
              <w:left w:val="nil"/>
              <w:bottom w:val="single" w:sz="4" w:space="0" w:color="auto"/>
              <w:right w:val="double" w:sz="6" w:space="0" w:color="auto"/>
            </w:tcBorders>
            <w:shd w:val="clear" w:color="auto" w:fill="EEECE1" w:themeFill="background2"/>
            <w:noWrap/>
            <w:vAlign w:val="bottom"/>
          </w:tcPr>
          <w:p w14:paraId="1015C998" w14:textId="58D10E7D" w:rsidR="003F376F" w:rsidRPr="005A4ED4" w:rsidRDefault="003F376F" w:rsidP="003F376F">
            <w:pPr>
              <w:jc w:val="center"/>
              <w:rPr>
                <w:rFonts w:asciiTheme="majorHAnsi" w:hAnsiTheme="majorHAnsi" w:cstheme="majorHAnsi"/>
                <w:sz w:val="22"/>
                <w:szCs w:val="20"/>
              </w:rPr>
            </w:pPr>
            <w:r w:rsidRPr="005A4ED4">
              <w:rPr>
                <w:rFonts w:cs="Calibri"/>
                <w:sz w:val="22"/>
                <w:szCs w:val="20"/>
              </w:rPr>
              <w:t>9,0</w:t>
            </w:r>
          </w:p>
        </w:tc>
      </w:tr>
      <w:tr w:rsidR="003F376F" w:rsidRPr="0053555E" w14:paraId="1ACD2C2F" w14:textId="77777777" w:rsidTr="00297D91">
        <w:trPr>
          <w:trHeight w:val="300"/>
        </w:trPr>
        <w:tc>
          <w:tcPr>
            <w:tcW w:w="851" w:type="dxa"/>
            <w:tcBorders>
              <w:top w:val="single" w:sz="4" w:space="0" w:color="auto"/>
              <w:left w:val="single" w:sz="8" w:space="0" w:color="auto"/>
              <w:bottom w:val="single" w:sz="4" w:space="0" w:color="auto"/>
              <w:right w:val="double" w:sz="6" w:space="0" w:color="auto"/>
            </w:tcBorders>
            <w:noWrap/>
            <w:vAlign w:val="bottom"/>
            <w:hideMark/>
          </w:tcPr>
          <w:p w14:paraId="68282706" w14:textId="77777777" w:rsidR="003F376F" w:rsidRPr="004630DE" w:rsidRDefault="003F376F" w:rsidP="003F376F">
            <w:pPr>
              <w:tabs>
                <w:tab w:val="left" w:pos="9356"/>
              </w:tabs>
              <w:jc w:val="both"/>
              <w:rPr>
                <w:rFonts w:asciiTheme="majorHAnsi" w:eastAsia="Times New Roman" w:hAnsiTheme="majorHAnsi" w:cstheme="majorHAnsi"/>
                <w:sz w:val="22"/>
                <w:szCs w:val="20"/>
                <w:lang w:eastAsia="sk-SK"/>
              </w:rPr>
            </w:pPr>
            <w:r w:rsidRPr="004630DE">
              <w:rPr>
                <w:rFonts w:asciiTheme="majorHAnsi" w:eastAsia="Times New Roman" w:hAnsiTheme="majorHAnsi" w:cstheme="majorHAnsi"/>
                <w:sz w:val="22"/>
                <w:szCs w:val="20"/>
                <w:lang w:eastAsia="sk-SK"/>
              </w:rPr>
              <w:t>MTF</w:t>
            </w:r>
          </w:p>
        </w:tc>
        <w:tc>
          <w:tcPr>
            <w:tcW w:w="792" w:type="dxa"/>
            <w:tcBorders>
              <w:top w:val="nil"/>
              <w:left w:val="nil"/>
              <w:bottom w:val="single" w:sz="4" w:space="0" w:color="auto"/>
              <w:right w:val="single" w:sz="4" w:space="0" w:color="auto"/>
            </w:tcBorders>
            <w:noWrap/>
            <w:vAlign w:val="bottom"/>
          </w:tcPr>
          <w:p w14:paraId="676E0671" w14:textId="24CFF2B5"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145</w:t>
            </w:r>
          </w:p>
        </w:tc>
        <w:tc>
          <w:tcPr>
            <w:tcW w:w="792" w:type="dxa"/>
            <w:tcBorders>
              <w:top w:val="nil"/>
              <w:left w:val="nil"/>
              <w:bottom w:val="single" w:sz="4" w:space="0" w:color="auto"/>
              <w:right w:val="single" w:sz="8" w:space="0" w:color="auto"/>
            </w:tcBorders>
            <w:noWrap/>
            <w:vAlign w:val="bottom"/>
          </w:tcPr>
          <w:p w14:paraId="02FA0129" w14:textId="589ED19C"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136,2</w:t>
            </w:r>
          </w:p>
        </w:tc>
        <w:tc>
          <w:tcPr>
            <w:tcW w:w="844" w:type="dxa"/>
            <w:tcBorders>
              <w:top w:val="nil"/>
              <w:left w:val="nil"/>
              <w:bottom w:val="single" w:sz="4" w:space="0" w:color="auto"/>
              <w:right w:val="single" w:sz="4" w:space="0" w:color="auto"/>
            </w:tcBorders>
            <w:noWrap/>
            <w:vAlign w:val="bottom"/>
          </w:tcPr>
          <w:p w14:paraId="4C0B28C8" w14:textId="5FDC2EED"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67</w:t>
            </w:r>
          </w:p>
        </w:tc>
        <w:tc>
          <w:tcPr>
            <w:tcW w:w="844" w:type="dxa"/>
            <w:tcBorders>
              <w:top w:val="nil"/>
              <w:left w:val="nil"/>
              <w:bottom w:val="single" w:sz="4" w:space="0" w:color="auto"/>
              <w:right w:val="single" w:sz="8" w:space="0" w:color="auto"/>
            </w:tcBorders>
            <w:noWrap/>
            <w:vAlign w:val="bottom"/>
          </w:tcPr>
          <w:p w14:paraId="632864E9" w14:textId="1D013176"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62,3</w:t>
            </w:r>
          </w:p>
        </w:tc>
        <w:tc>
          <w:tcPr>
            <w:tcW w:w="844" w:type="dxa"/>
            <w:tcBorders>
              <w:top w:val="nil"/>
              <w:left w:val="single" w:sz="4" w:space="0" w:color="auto"/>
              <w:bottom w:val="single" w:sz="4" w:space="0" w:color="auto"/>
              <w:right w:val="single" w:sz="4" w:space="0" w:color="auto"/>
            </w:tcBorders>
            <w:noWrap/>
            <w:vAlign w:val="bottom"/>
          </w:tcPr>
          <w:p w14:paraId="1FB430D6" w14:textId="51D33CE7"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212</w:t>
            </w:r>
          </w:p>
        </w:tc>
        <w:tc>
          <w:tcPr>
            <w:tcW w:w="845" w:type="dxa"/>
            <w:tcBorders>
              <w:top w:val="nil"/>
              <w:left w:val="nil"/>
              <w:bottom w:val="single" w:sz="4" w:space="0" w:color="auto"/>
              <w:right w:val="single" w:sz="8" w:space="0" w:color="auto"/>
            </w:tcBorders>
            <w:noWrap/>
            <w:vAlign w:val="bottom"/>
          </w:tcPr>
          <w:p w14:paraId="5EC254B0" w14:textId="2FD45D3C"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198,5</w:t>
            </w:r>
          </w:p>
        </w:tc>
        <w:tc>
          <w:tcPr>
            <w:tcW w:w="1067" w:type="dxa"/>
            <w:tcBorders>
              <w:top w:val="nil"/>
              <w:left w:val="nil"/>
              <w:bottom w:val="single" w:sz="4" w:space="0" w:color="auto"/>
              <w:right w:val="single" w:sz="4" w:space="0" w:color="auto"/>
            </w:tcBorders>
            <w:noWrap/>
            <w:vAlign w:val="bottom"/>
          </w:tcPr>
          <w:p w14:paraId="6037C0B2" w14:textId="01098F2F"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1 700</w:t>
            </w:r>
          </w:p>
        </w:tc>
        <w:tc>
          <w:tcPr>
            <w:tcW w:w="1068" w:type="dxa"/>
            <w:tcBorders>
              <w:top w:val="nil"/>
              <w:left w:val="nil"/>
              <w:bottom w:val="single" w:sz="4" w:space="0" w:color="auto"/>
              <w:right w:val="double" w:sz="6" w:space="0" w:color="auto"/>
            </w:tcBorders>
            <w:shd w:val="clear" w:color="auto" w:fill="EEECE1" w:themeFill="background2"/>
            <w:noWrap/>
            <w:vAlign w:val="bottom"/>
          </w:tcPr>
          <w:p w14:paraId="55E867EC" w14:textId="66C69D04"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8,6</w:t>
            </w:r>
          </w:p>
        </w:tc>
        <w:tc>
          <w:tcPr>
            <w:tcW w:w="849" w:type="dxa"/>
            <w:tcBorders>
              <w:top w:val="nil"/>
              <w:left w:val="nil"/>
              <w:bottom w:val="single" w:sz="4" w:space="0" w:color="auto"/>
              <w:right w:val="single" w:sz="4" w:space="0" w:color="auto"/>
            </w:tcBorders>
            <w:noWrap/>
            <w:vAlign w:val="bottom"/>
          </w:tcPr>
          <w:p w14:paraId="4FE79ADB" w14:textId="6725AFAB" w:rsidR="003F376F" w:rsidRPr="005A4ED4" w:rsidRDefault="003F376F" w:rsidP="003F376F">
            <w:pPr>
              <w:jc w:val="center"/>
              <w:rPr>
                <w:rFonts w:asciiTheme="majorHAnsi" w:hAnsiTheme="majorHAnsi" w:cstheme="majorHAnsi"/>
                <w:sz w:val="22"/>
                <w:szCs w:val="20"/>
              </w:rPr>
            </w:pPr>
            <w:r w:rsidRPr="005A4ED4">
              <w:rPr>
                <w:rFonts w:cs="Calibri"/>
                <w:sz w:val="22"/>
                <w:szCs w:val="20"/>
              </w:rPr>
              <w:t>137</w:t>
            </w:r>
          </w:p>
        </w:tc>
        <w:tc>
          <w:tcPr>
            <w:tcW w:w="849" w:type="dxa"/>
            <w:tcBorders>
              <w:top w:val="nil"/>
              <w:left w:val="nil"/>
              <w:bottom w:val="single" w:sz="4" w:space="0" w:color="auto"/>
              <w:right w:val="single" w:sz="8" w:space="0" w:color="auto"/>
            </w:tcBorders>
            <w:noWrap/>
            <w:vAlign w:val="bottom"/>
          </w:tcPr>
          <w:p w14:paraId="032CA066" w14:textId="2BD1204B" w:rsidR="003F376F" w:rsidRPr="005A4ED4" w:rsidRDefault="003F376F" w:rsidP="003F376F">
            <w:pPr>
              <w:jc w:val="center"/>
              <w:rPr>
                <w:rFonts w:asciiTheme="majorHAnsi" w:hAnsiTheme="majorHAnsi" w:cstheme="majorHAnsi"/>
                <w:sz w:val="22"/>
                <w:szCs w:val="20"/>
              </w:rPr>
            </w:pPr>
            <w:r w:rsidRPr="005A4ED4">
              <w:rPr>
                <w:rFonts w:cs="Calibri"/>
                <w:sz w:val="22"/>
                <w:szCs w:val="20"/>
              </w:rPr>
              <w:t>126,9</w:t>
            </w:r>
          </w:p>
        </w:tc>
        <w:tc>
          <w:tcPr>
            <w:tcW w:w="849" w:type="dxa"/>
            <w:tcBorders>
              <w:top w:val="nil"/>
              <w:left w:val="nil"/>
              <w:bottom w:val="single" w:sz="4" w:space="0" w:color="auto"/>
              <w:right w:val="single" w:sz="4" w:space="0" w:color="auto"/>
            </w:tcBorders>
            <w:noWrap/>
            <w:vAlign w:val="bottom"/>
          </w:tcPr>
          <w:p w14:paraId="62121E8D" w14:textId="10D0A9AD" w:rsidR="003F376F" w:rsidRPr="005A4ED4" w:rsidRDefault="003F376F" w:rsidP="003F376F">
            <w:pPr>
              <w:jc w:val="center"/>
              <w:rPr>
                <w:rFonts w:asciiTheme="majorHAnsi" w:hAnsiTheme="majorHAnsi" w:cstheme="majorHAnsi"/>
                <w:sz w:val="22"/>
                <w:szCs w:val="20"/>
              </w:rPr>
            </w:pPr>
            <w:r w:rsidRPr="005A4ED4">
              <w:rPr>
                <w:rFonts w:cs="Calibri"/>
                <w:sz w:val="22"/>
                <w:szCs w:val="20"/>
              </w:rPr>
              <w:t>58</w:t>
            </w:r>
          </w:p>
        </w:tc>
        <w:tc>
          <w:tcPr>
            <w:tcW w:w="849" w:type="dxa"/>
            <w:tcBorders>
              <w:top w:val="nil"/>
              <w:left w:val="nil"/>
              <w:bottom w:val="single" w:sz="4" w:space="0" w:color="auto"/>
              <w:right w:val="single" w:sz="8" w:space="0" w:color="auto"/>
            </w:tcBorders>
            <w:noWrap/>
            <w:vAlign w:val="bottom"/>
          </w:tcPr>
          <w:p w14:paraId="6C2AFB96" w14:textId="300A0FD1" w:rsidR="003F376F" w:rsidRPr="005A4ED4" w:rsidRDefault="003F376F" w:rsidP="003F376F">
            <w:pPr>
              <w:jc w:val="center"/>
              <w:rPr>
                <w:rFonts w:asciiTheme="majorHAnsi" w:hAnsiTheme="majorHAnsi" w:cstheme="majorHAnsi"/>
                <w:sz w:val="22"/>
                <w:szCs w:val="20"/>
              </w:rPr>
            </w:pPr>
            <w:r w:rsidRPr="005A4ED4">
              <w:rPr>
                <w:rFonts w:cs="Calibri"/>
                <w:sz w:val="22"/>
                <w:szCs w:val="20"/>
              </w:rPr>
              <w:t>52,4</w:t>
            </w:r>
          </w:p>
        </w:tc>
        <w:tc>
          <w:tcPr>
            <w:tcW w:w="849" w:type="dxa"/>
            <w:tcBorders>
              <w:top w:val="nil"/>
              <w:left w:val="single" w:sz="4" w:space="0" w:color="auto"/>
              <w:bottom w:val="single" w:sz="4" w:space="0" w:color="auto"/>
              <w:right w:val="single" w:sz="4" w:space="0" w:color="auto"/>
            </w:tcBorders>
            <w:noWrap/>
            <w:vAlign w:val="bottom"/>
          </w:tcPr>
          <w:p w14:paraId="48029DB5" w14:textId="0D0D80B9" w:rsidR="003F376F" w:rsidRPr="005A4ED4" w:rsidRDefault="003F376F" w:rsidP="003F376F">
            <w:pPr>
              <w:jc w:val="center"/>
              <w:rPr>
                <w:rFonts w:asciiTheme="majorHAnsi" w:hAnsiTheme="majorHAnsi" w:cstheme="majorHAnsi"/>
                <w:sz w:val="22"/>
                <w:szCs w:val="20"/>
              </w:rPr>
            </w:pPr>
            <w:r w:rsidRPr="005A4ED4">
              <w:rPr>
                <w:rFonts w:cs="Calibri"/>
                <w:sz w:val="22"/>
                <w:szCs w:val="20"/>
              </w:rPr>
              <w:t>195</w:t>
            </w:r>
          </w:p>
        </w:tc>
        <w:tc>
          <w:tcPr>
            <w:tcW w:w="849" w:type="dxa"/>
            <w:tcBorders>
              <w:top w:val="nil"/>
              <w:left w:val="nil"/>
              <w:bottom w:val="single" w:sz="4" w:space="0" w:color="auto"/>
              <w:right w:val="single" w:sz="8" w:space="0" w:color="auto"/>
            </w:tcBorders>
            <w:noWrap/>
            <w:vAlign w:val="bottom"/>
          </w:tcPr>
          <w:p w14:paraId="2768F81B" w14:textId="5A0FEABC" w:rsidR="003F376F" w:rsidRPr="005A4ED4" w:rsidRDefault="003F376F" w:rsidP="003F376F">
            <w:pPr>
              <w:jc w:val="center"/>
              <w:rPr>
                <w:rFonts w:asciiTheme="majorHAnsi" w:hAnsiTheme="majorHAnsi" w:cstheme="majorHAnsi"/>
                <w:sz w:val="22"/>
                <w:szCs w:val="20"/>
              </w:rPr>
            </w:pPr>
            <w:r w:rsidRPr="005A4ED4">
              <w:rPr>
                <w:rFonts w:cs="Calibri"/>
                <w:sz w:val="22"/>
                <w:szCs w:val="20"/>
              </w:rPr>
              <w:t>179,3</w:t>
            </w:r>
          </w:p>
        </w:tc>
        <w:tc>
          <w:tcPr>
            <w:tcW w:w="1053" w:type="dxa"/>
            <w:tcBorders>
              <w:top w:val="nil"/>
              <w:left w:val="nil"/>
              <w:bottom w:val="single" w:sz="4" w:space="0" w:color="auto"/>
              <w:right w:val="single" w:sz="4" w:space="0" w:color="auto"/>
            </w:tcBorders>
            <w:noWrap/>
            <w:vAlign w:val="bottom"/>
          </w:tcPr>
          <w:p w14:paraId="0102E500" w14:textId="2FAD0A9C" w:rsidR="003F376F" w:rsidRPr="005A4ED4" w:rsidRDefault="003F376F" w:rsidP="003F376F">
            <w:pPr>
              <w:jc w:val="center"/>
              <w:rPr>
                <w:rFonts w:asciiTheme="majorHAnsi" w:hAnsiTheme="majorHAnsi" w:cstheme="majorHAnsi"/>
                <w:sz w:val="22"/>
                <w:szCs w:val="20"/>
              </w:rPr>
            </w:pPr>
            <w:r w:rsidRPr="005A4ED4">
              <w:rPr>
                <w:rFonts w:cs="Calibri"/>
                <w:sz w:val="22"/>
                <w:szCs w:val="20"/>
              </w:rPr>
              <w:t>1 581</w:t>
            </w:r>
          </w:p>
        </w:tc>
        <w:tc>
          <w:tcPr>
            <w:tcW w:w="1053" w:type="dxa"/>
            <w:tcBorders>
              <w:top w:val="nil"/>
              <w:left w:val="nil"/>
              <w:bottom w:val="single" w:sz="4" w:space="0" w:color="auto"/>
              <w:right w:val="double" w:sz="6" w:space="0" w:color="auto"/>
            </w:tcBorders>
            <w:shd w:val="clear" w:color="auto" w:fill="EEECE1" w:themeFill="background2"/>
            <w:noWrap/>
            <w:vAlign w:val="bottom"/>
          </w:tcPr>
          <w:p w14:paraId="6717E586" w14:textId="1C7CD41F" w:rsidR="003F376F" w:rsidRPr="005A4ED4" w:rsidRDefault="003F376F" w:rsidP="003F376F">
            <w:pPr>
              <w:jc w:val="center"/>
              <w:rPr>
                <w:rFonts w:asciiTheme="majorHAnsi" w:hAnsiTheme="majorHAnsi" w:cstheme="majorHAnsi"/>
                <w:sz w:val="22"/>
                <w:szCs w:val="20"/>
              </w:rPr>
            </w:pPr>
            <w:r w:rsidRPr="005A4ED4">
              <w:rPr>
                <w:rFonts w:cs="Calibri"/>
                <w:sz w:val="22"/>
                <w:szCs w:val="20"/>
              </w:rPr>
              <w:t>8,8</w:t>
            </w:r>
          </w:p>
        </w:tc>
      </w:tr>
      <w:tr w:rsidR="003F376F" w:rsidRPr="0053555E" w14:paraId="709C4954" w14:textId="77777777" w:rsidTr="003F376F">
        <w:trPr>
          <w:trHeight w:val="300"/>
        </w:trPr>
        <w:tc>
          <w:tcPr>
            <w:tcW w:w="851" w:type="dxa"/>
            <w:tcBorders>
              <w:top w:val="nil"/>
              <w:left w:val="single" w:sz="8" w:space="0" w:color="auto"/>
              <w:bottom w:val="single" w:sz="4" w:space="0" w:color="auto"/>
              <w:right w:val="double" w:sz="6" w:space="0" w:color="auto"/>
            </w:tcBorders>
            <w:noWrap/>
            <w:vAlign w:val="bottom"/>
            <w:hideMark/>
          </w:tcPr>
          <w:p w14:paraId="4C24D899" w14:textId="77777777" w:rsidR="003F376F" w:rsidRPr="004630DE" w:rsidRDefault="003F376F" w:rsidP="003F376F">
            <w:pPr>
              <w:tabs>
                <w:tab w:val="left" w:pos="9356"/>
              </w:tabs>
              <w:jc w:val="both"/>
              <w:rPr>
                <w:rFonts w:asciiTheme="majorHAnsi" w:eastAsia="Times New Roman" w:hAnsiTheme="majorHAnsi" w:cstheme="majorHAnsi"/>
                <w:sz w:val="22"/>
                <w:szCs w:val="20"/>
                <w:lang w:eastAsia="sk-SK"/>
              </w:rPr>
            </w:pPr>
            <w:r w:rsidRPr="004630DE">
              <w:rPr>
                <w:rFonts w:asciiTheme="majorHAnsi" w:eastAsia="Times New Roman" w:hAnsiTheme="majorHAnsi" w:cstheme="majorHAnsi"/>
                <w:sz w:val="22"/>
                <w:szCs w:val="20"/>
                <w:lang w:eastAsia="sk-SK"/>
              </w:rPr>
              <w:t>FIIT</w:t>
            </w:r>
          </w:p>
        </w:tc>
        <w:tc>
          <w:tcPr>
            <w:tcW w:w="792" w:type="dxa"/>
            <w:tcBorders>
              <w:top w:val="nil"/>
              <w:left w:val="nil"/>
              <w:bottom w:val="single" w:sz="4" w:space="0" w:color="auto"/>
              <w:right w:val="single" w:sz="4" w:space="0" w:color="auto"/>
            </w:tcBorders>
            <w:noWrap/>
            <w:vAlign w:val="bottom"/>
          </w:tcPr>
          <w:p w14:paraId="3C963109" w14:textId="6C82A354"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44</w:t>
            </w:r>
          </w:p>
        </w:tc>
        <w:tc>
          <w:tcPr>
            <w:tcW w:w="792" w:type="dxa"/>
            <w:tcBorders>
              <w:top w:val="nil"/>
              <w:left w:val="nil"/>
              <w:bottom w:val="single" w:sz="4" w:space="0" w:color="auto"/>
              <w:right w:val="single" w:sz="8" w:space="0" w:color="auto"/>
            </w:tcBorders>
            <w:noWrap/>
            <w:vAlign w:val="bottom"/>
          </w:tcPr>
          <w:p w14:paraId="68E3FCBC" w14:textId="6AC0C300"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32,3</w:t>
            </w:r>
          </w:p>
        </w:tc>
        <w:tc>
          <w:tcPr>
            <w:tcW w:w="844" w:type="dxa"/>
            <w:tcBorders>
              <w:top w:val="nil"/>
              <w:left w:val="nil"/>
              <w:bottom w:val="single" w:sz="4" w:space="0" w:color="auto"/>
              <w:right w:val="single" w:sz="4" w:space="0" w:color="auto"/>
            </w:tcBorders>
            <w:noWrap/>
            <w:vAlign w:val="bottom"/>
          </w:tcPr>
          <w:p w14:paraId="0D63A9AB" w14:textId="0005D003"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31</w:t>
            </w:r>
          </w:p>
        </w:tc>
        <w:tc>
          <w:tcPr>
            <w:tcW w:w="844" w:type="dxa"/>
            <w:tcBorders>
              <w:top w:val="nil"/>
              <w:left w:val="nil"/>
              <w:bottom w:val="single" w:sz="4" w:space="0" w:color="auto"/>
              <w:right w:val="single" w:sz="8" w:space="0" w:color="auto"/>
            </w:tcBorders>
            <w:noWrap/>
            <w:vAlign w:val="bottom"/>
          </w:tcPr>
          <w:p w14:paraId="4370B1C7" w14:textId="7A09C3F9"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19,1</w:t>
            </w:r>
          </w:p>
        </w:tc>
        <w:tc>
          <w:tcPr>
            <w:tcW w:w="844" w:type="dxa"/>
            <w:tcBorders>
              <w:top w:val="nil"/>
              <w:left w:val="single" w:sz="4" w:space="0" w:color="auto"/>
              <w:bottom w:val="single" w:sz="4" w:space="0" w:color="auto"/>
              <w:right w:val="single" w:sz="4" w:space="0" w:color="auto"/>
            </w:tcBorders>
            <w:noWrap/>
            <w:vAlign w:val="bottom"/>
          </w:tcPr>
          <w:p w14:paraId="55610306" w14:textId="63B03333"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75</w:t>
            </w:r>
          </w:p>
        </w:tc>
        <w:tc>
          <w:tcPr>
            <w:tcW w:w="845" w:type="dxa"/>
            <w:tcBorders>
              <w:top w:val="nil"/>
              <w:left w:val="nil"/>
              <w:bottom w:val="single" w:sz="4" w:space="0" w:color="auto"/>
              <w:right w:val="single" w:sz="8" w:space="0" w:color="auto"/>
            </w:tcBorders>
            <w:noWrap/>
            <w:vAlign w:val="bottom"/>
          </w:tcPr>
          <w:p w14:paraId="05BDCDF5" w14:textId="79A90A02"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51,4</w:t>
            </w:r>
          </w:p>
        </w:tc>
        <w:tc>
          <w:tcPr>
            <w:tcW w:w="1067" w:type="dxa"/>
            <w:tcBorders>
              <w:top w:val="nil"/>
              <w:left w:val="nil"/>
              <w:bottom w:val="single" w:sz="4" w:space="0" w:color="auto"/>
              <w:right w:val="single" w:sz="4" w:space="0" w:color="auto"/>
            </w:tcBorders>
            <w:noWrap/>
            <w:vAlign w:val="bottom"/>
          </w:tcPr>
          <w:p w14:paraId="5D92DC23" w14:textId="64F1F0CD"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1 133</w:t>
            </w:r>
          </w:p>
        </w:tc>
        <w:tc>
          <w:tcPr>
            <w:tcW w:w="1068" w:type="dxa"/>
            <w:tcBorders>
              <w:top w:val="nil"/>
              <w:left w:val="nil"/>
              <w:bottom w:val="single" w:sz="4" w:space="0" w:color="auto"/>
              <w:right w:val="double" w:sz="6" w:space="0" w:color="auto"/>
            </w:tcBorders>
            <w:shd w:val="clear" w:color="auto" w:fill="EEECE1" w:themeFill="background2"/>
            <w:noWrap/>
            <w:vAlign w:val="bottom"/>
          </w:tcPr>
          <w:p w14:paraId="66140407" w14:textId="30AFCEE7"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22,0</w:t>
            </w:r>
          </w:p>
        </w:tc>
        <w:tc>
          <w:tcPr>
            <w:tcW w:w="849" w:type="dxa"/>
            <w:tcBorders>
              <w:top w:val="nil"/>
              <w:left w:val="nil"/>
              <w:bottom w:val="single" w:sz="4" w:space="0" w:color="auto"/>
              <w:right w:val="single" w:sz="4" w:space="0" w:color="auto"/>
            </w:tcBorders>
            <w:noWrap/>
            <w:vAlign w:val="bottom"/>
          </w:tcPr>
          <w:p w14:paraId="28EB6E2A" w14:textId="7BE26DBE" w:rsidR="003F376F" w:rsidRPr="005A4ED4" w:rsidRDefault="003F376F" w:rsidP="003F376F">
            <w:pPr>
              <w:jc w:val="center"/>
              <w:rPr>
                <w:rFonts w:asciiTheme="majorHAnsi" w:hAnsiTheme="majorHAnsi" w:cstheme="majorHAnsi"/>
                <w:sz w:val="22"/>
                <w:szCs w:val="20"/>
              </w:rPr>
            </w:pPr>
            <w:r w:rsidRPr="005A4ED4">
              <w:rPr>
                <w:rFonts w:cs="Calibri"/>
                <w:sz w:val="22"/>
                <w:szCs w:val="20"/>
              </w:rPr>
              <w:t>47</w:t>
            </w:r>
          </w:p>
        </w:tc>
        <w:tc>
          <w:tcPr>
            <w:tcW w:w="849" w:type="dxa"/>
            <w:tcBorders>
              <w:top w:val="nil"/>
              <w:left w:val="nil"/>
              <w:bottom w:val="single" w:sz="4" w:space="0" w:color="auto"/>
              <w:right w:val="single" w:sz="8" w:space="0" w:color="auto"/>
            </w:tcBorders>
            <w:noWrap/>
            <w:vAlign w:val="bottom"/>
          </w:tcPr>
          <w:p w14:paraId="6AEE1121" w14:textId="389912FA" w:rsidR="003F376F" w:rsidRPr="005A4ED4" w:rsidRDefault="003F376F" w:rsidP="003F376F">
            <w:pPr>
              <w:jc w:val="center"/>
              <w:rPr>
                <w:rFonts w:asciiTheme="majorHAnsi" w:hAnsiTheme="majorHAnsi" w:cstheme="majorHAnsi"/>
                <w:sz w:val="22"/>
                <w:szCs w:val="20"/>
              </w:rPr>
            </w:pPr>
            <w:r w:rsidRPr="005A4ED4">
              <w:rPr>
                <w:rFonts w:cs="Calibri"/>
                <w:sz w:val="22"/>
                <w:szCs w:val="20"/>
              </w:rPr>
              <w:t>35,1</w:t>
            </w:r>
          </w:p>
        </w:tc>
        <w:tc>
          <w:tcPr>
            <w:tcW w:w="849" w:type="dxa"/>
            <w:tcBorders>
              <w:top w:val="nil"/>
              <w:left w:val="nil"/>
              <w:bottom w:val="single" w:sz="4" w:space="0" w:color="auto"/>
              <w:right w:val="single" w:sz="4" w:space="0" w:color="auto"/>
            </w:tcBorders>
            <w:noWrap/>
            <w:vAlign w:val="bottom"/>
          </w:tcPr>
          <w:p w14:paraId="4A1410F4" w14:textId="6379CB86" w:rsidR="003F376F" w:rsidRPr="005A4ED4" w:rsidRDefault="003F376F" w:rsidP="003F376F">
            <w:pPr>
              <w:jc w:val="center"/>
              <w:rPr>
                <w:rFonts w:asciiTheme="majorHAnsi" w:hAnsiTheme="majorHAnsi" w:cstheme="majorHAnsi"/>
                <w:sz w:val="22"/>
                <w:szCs w:val="20"/>
              </w:rPr>
            </w:pPr>
            <w:r w:rsidRPr="005A4ED4">
              <w:rPr>
                <w:rFonts w:cs="Calibri"/>
                <w:sz w:val="22"/>
                <w:szCs w:val="20"/>
              </w:rPr>
              <w:t>25</w:t>
            </w:r>
          </w:p>
        </w:tc>
        <w:tc>
          <w:tcPr>
            <w:tcW w:w="849" w:type="dxa"/>
            <w:tcBorders>
              <w:top w:val="nil"/>
              <w:left w:val="nil"/>
              <w:bottom w:val="single" w:sz="4" w:space="0" w:color="auto"/>
              <w:right w:val="single" w:sz="8" w:space="0" w:color="auto"/>
            </w:tcBorders>
            <w:noWrap/>
            <w:vAlign w:val="bottom"/>
          </w:tcPr>
          <w:p w14:paraId="7EDB451E" w14:textId="5281B130" w:rsidR="003F376F" w:rsidRPr="005A4ED4" w:rsidRDefault="003F376F" w:rsidP="003F376F">
            <w:pPr>
              <w:jc w:val="center"/>
              <w:rPr>
                <w:rFonts w:asciiTheme="majorHAnsi" w:hAnsiTheme="majorHAnsi" w:cstheme="majorHAnsi"/>
                <w:sz w:val="22"/>
                <w:szCs w:val="20"/>
              </w:rPr>
            </w:pPr>
            <w:r w:rsidRPr="005A4ED4">
              <w:rPr>
                <w:rFonts w:cs="Calibri"/>
                <w:sz w:val="22"/>
                <w:szCs w:val="20"/>
              </w:rPr>
              <w:t>19,4</w:t>
            </w:r>
          </w:p>
        </w:tc>
        <w:tc>
          <w:tcPr>
            <w:tcW w:w="849" w:type="dxa"/>
            <w:tcBorders>
              <w:top w:val="nil"/>
              <w:left w:val="single" w:sz="4" w:space="0" w:color="auto"/>
              <w:bottom w:val="single" w:sz="4" w:space="0" w:color="auto"/>
              <w:right w:val="single" w:sz="4" w:space="0" w:color="auto"/>
            </w:tcBorders>
            <w:noWrap/>
            <w:vAlign w:val="bottom"/>
          </w:tcPr>
          <w:p w14:paraId="3CF77FFE" w14:textId="547772A6" w:rsidR="003F376F" w:rsidRPr="005A4ED4" w:rsidRDefault="003F376F" w:rsidP="003F376F">
            <w:pPr>
              <w:jc w:val="center"/>
              <w:rPr>
                <w:rFonts w:asciiTheme="majorHAnsi" w:hAnsiTheme="majorHAnsi" w:cstheme="majorHAnsi"/>
                <w:sz w:val="22"/>
                <w:szCs w:val="20"/>
              </w:rPr>
            </w:pPr>
            <w:r w:rsidRPr="005A4ED4">
              <w:rPr>
                <w:rFonts w:cs="Calibri"/>
                <w:sz w:val="22"/>
                <w:szCs w:val="20"/>
              </w:rPr>
              <w:t>72</w:t>
            </w:r>
          </w:p>
        </w:tc>
        <w:tc>
          <w:tcPr>
            <w:tcW w:w="849" w:type="dxa"/>
            <w:tcBorders>
              <w:top w:val="nil"/>
              <w:left w:val="nil"/>
              <w:bottom w:val="single" w:sz="4" w:space="0" w:color="auto"/>
              <w:right w:val="single" w:sz="8" w:space="0" w:color="auto"/>
            </w:tcBorders>
            <w:noWrap/>
            <w:vAlign w:val="bottom"/>
          </w:tcPr>
          <w:p w14:paraId="7DF602EB" w14:textId="05763FF2" w:rsidR="003F376F" w:rsidRPr="005A4ED4" w:rsidRDefault="003F376F" w:rsidP="003F376F">
            <w:pPr>
              <w:jc w:val="center"/>
              <w:rPr>
                <w:rFonts w:asciiTheme="majorHAnsi" w:hAnsiTheme="majorHAnsi" w:cstheme="majorHAnsi"/>
                <w:sz w:val="22"/>
                <w:szCs w:val="20"/>
              </w:rPr>
            </w:pPr>
            <w:r w:rsidRPr="005A4ED4">
              <w:rPr>
                <w:rFonts w:cs="Calibri"/>
                <w:sz w:val="22"/>
                <w:szCs w:val="20"/>
              </w:rPr>
              <w:t>54,5</w:t>
            </w:r>
          </w:p>
        </w:tc>
        <w:tc>
          <w:tcPr>
            <w:tcW w:w="1053" w:type="dxa"/>
            <w:tcBorders>
              <w:top w:val="nil"/>
              <w:left w:val="nil"/>
              <w:bottom w:val="single" w:sz="4" w:space="0" w:color="auto"/>
              <w:right w:val="single" w:sz="4" w:space="0" w:color="auto"/>
            </w:tcBorders>
            <w:noWrap/>
            <w:vAlign w:val="bottom"/>
          </w:tcPr>
          <w:p w14:paraId="61DAF4CB" w14:textId="247FE123" w:rsidR="003F376F" w:rsidRPr="005A4ED4" w:rsidRDefault="003F376F" w:rsidP="003F376F">
            <w:pPr>
              <w:jc w:val="center"/>
              <w:rPr>
                <w:rFonts w:asciiTheme="majorHAnsi" w:hAnsiTheme="majorHAnsi" w:cstheme="majorHAnsi"/>
                <w:sz w:val="22"/>
                <w:szCs w:val="20"/>
              </w:rPr>
            </w:pPr>
            <w:r w:rsidRPr="005A4ED4">
              <w:rPr>
                <w:rFonts w:cs="Calibri"/>
                <w:sz w:val="22"/>
                <w:szCs w:val="20"/>
              </w:rPr>
              <w:t>1 196</w:t>
            </w:r>
          </w:p>
        </w:tc>
        <w:tc>
          <w:tcPr>
            <w:tcW w:w="1053" w:type="dxa"/>
            <w:tcBorders>
              <w:top w:val="nil"/>
              <w:left w:val="nil"/>
              <w:bottom w:val="single" w:sz="4" w:space="0" w:color="auto"/>
              <w:right w:val="double" w:sz="6" w:space="0" w:color="auto"/>
            </w:tcBorders>
            <w:shd w:val="clear" w:color="auto" w:fill="EEECE1" w:themeFill="background2"/>
            <w:noWrap/>
            <w:vAlign w:val="bottom"/>
          </w:tcPr>
          <w:p w14:paraId="27EE00AA" w14:textId="58ECB45C" w:rsidR="003F376F" w:rsidRPr="005A4ED4" w:rsidRDefault="003F376F" w:rsidP="003F376F">
            <w:pPr>
              <w:jc w:val="center"/>
              <w:rPr>
                <w:rFonts w:asciiTheme="majorHAnsi" w:hAnsiTheme="majorHAnsi" w:cstheme="majorHAnsi"/>
                <w:sz w:val="22"/>
                <w:szCs w:val="20"/>
              </w:rPr>
            </w:pPr>
            <w:r w:rsidRPr="005A4ED4">
              <w:rPr>
                <w:rFonts w:cs="Calibri"/>
                <w:sz w:val="22"/>
                <w:szCs w:val="20"/>
              </w:rPr>
              <w:t>21,9</w:t>
            </w:r>
          </w:p>
        </w:tc>
      </w:tr>
      <w:tr w:rsidR="003F376F" w:rsidRPr="0053555E" w14:paraId="0D84DEBA" w14:textId="77777777" w:rsidTr="003F376F">
        <w:trPr>
          <w:trHeight w:val="300"/>
        </w:trPr>
        <w:tc>
          <w:tcPr>
            <w:tcW w:w="851" w:type="dxa"/>
            <w:tcBorders>
              <w:top w:val="nil"/>
              <w:left w:val="single" w:sz="8" w:space="0" w:color="auto"/>
              <w:bottom w:val="nil"/>
              <w:right w:val="double" w:sz="6" w:space="0" w:color="auto"/>
            </w:tcBorders>
            <w:noWrap/>
            <w:vAlign w:val="bottom"/>
            <w:hideMark/>
          </w:tcPr>
          <w:p w14:paraId="36B617F9" w14:textId="77777777" w:rsidR="003F376F" w:rsidRPr="004630DE" w:rsidRDefault="003F376F" w:rsidP="003F376F">
            <w:pPr>
              <w:tabs>
                <w:tab w:val="left" w:pos="9356"/>
              </w:tabs>
              <w:jc w:val="both"/>
              <w:rPr>
                <w:rFonts w:asciiTheme="majorHAnsi" w:eastAsia="Times New Roman" w:hAnsiTheme="majorHAnsi" w:cstheme="majorHAnsi"/>
                <w:sz w:val="22"/>
                <w:szCs w:val="20"/>
                <w:lang w:eastAsia="sk-SK"/>
              </w:rPr>
            </w:pPr>
            <w:r w:rsidRPr="004630DE">
              <w:rPr>
                <w:rFonts w:asciiTheme="majorHAnsi" w:eastAsia="Times New Roman" w:hAnsiTheme="majorHAnsi" w:cstheme="majorHAnsi"/>
                <w:sz w:val="22"/>
                <w:szCs w:val="20"/>
                <w:lang w:eastAsia="sk-SK"/>
              </w:rPr>
              <w:t>ÚM</w:t>
            </w:r>
          </w:p>
        </w:tc>
        <w:tc>
          <w:tcPr>
            <w:tcW w:w="792" w:type="dxa"/>
            <w:tcBorders>
              <w:top w:val="nil"/>
              <w:left w:val="nil"/>
              <w:bottom w:val="nil"/>
              <w:right w:val="single" w:sz="4" w:space="0" w:color="auto"/>
            </w:tcBorders>
            <w:noWrap/>
            <w:vAlign w:val="bottom"/>
          </w:tcPr>
          <w:p w14:paraId="02C27A10" w14:textId="63A13301"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35</w:t>
            </w:r>
          </w:p>
        </w:tc>
        <w:tc>
          <w:tcPr>
            <w:tcW w:w="792" w:type="dxa"/>
            <w:tcBorders>
              <w:top w:val="nil"/>
              <w:left w:val="nil"/>
              <w:bottom w:val="nil"/>
              <w:right w:val="single" w:sz="8" w:space="0" w:color="auto"/>
            </w:tcBorders>
            <w:noWrap/>
            <w:vAlign w:val="bottom"/>
          </w:tcPr>
          <w:p w14:paraId="79D159AD" w14:textId="3A2EAB52"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31,3</w:t>
            </w:r>
          </w:p>
        </w:tc>
        <w:tc>
          <w:tcPr>
            <w:tcW w:w="844" w:type="dxa"/>
            <w:tcBorders>
              <w:top w:val="nil"/>
              <w:left w:val="nil"/>
              <w:bottom w:val="nil"/>
              <w:right w:val="single" w:sz="4" w:space="0" w:color="auto"/>
            </w:tcBorders>
            <w:noWrap/>
            <w:vAlign w:val="bottom"/>
          </w:tcPr>
          <w:p w14:paraId="6F6A45F2" w14:textId="2B6F293B"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3</w:t>
            </w:r>
          </w:p>
        </w:tc>
        <w:tc>
          <w:tcPr>
            <w:tcW w:w="844" w:type="dxa"/>
            <w:tcBorders>
              <w:top w:val="nil"/>
              <w:left w:val="nil"/>
              <w:bottom w:val="nil"/>
              <w:right w:val="single" w:sz="8" w:space="0" w:color="auto"/>
            </w:tcBorders>
            <w:noWrap/>
            <w:vAlign w:val="bottom"/>
          </w:tcPr>
          <w:p w14:paraId="5B0A4EAC" w14:textId="628D7800"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2,5</w:t>
            </w:r>
          </w:p>
        </w:tc>
        <w:tc>
          <w:tcPr>
            <w:tcW w:w="844" w:type="dxa"/>
            <w:tcBorders>
              <w:top w:val="nil"/>
              <w:left w:val="single" w:sz="4" w:space="0" w:color="auto"/>
              <w:bottom w:val="single" w:sz="4" w:space="0" w:color="auto"/>
              <w:right w:val="single" w:sz="4" w:space="0" w:color="auto"/>
            </w:tcBorders>
            <w:noWrap/>
            <w:vAlign w:val="bottom"/>
          </w:tcPr>
          <w:p w14:paraId="3578FCC5" w14:textId="68418159"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38</w:t>
            </w:r>
          </w:p>
        </w:tc>
        <w:tc>
          <w:tcPr>
            <w:tcW w:w="845" w:type="dxa"/>
            <w:tcBorders>
              <w:top w:val="nil"/>
              <w:left w:val="nil"/>
              <w:bottom w:val="single" w:sz="4" w:space="0" w:color="auto"/>
              <w:right w:val="single" w:sz="8" w:space="0" w:color="auto"/>
            </w:tcBorders>
            <w:noWrap/>
            <w:vAlign w:val="bottom"/>
          </w:tcPr>
          <w:p w14:paraId="7D85D4B3" w14:textId="340C1C02"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33,8</w:t>
            </w:r>
          </w:p>
        </w:tc>
        <w:tc>
          <w:tcPr>
            <w:tcW w:w="1067" w:type="dxa"/>
            <w:tcBorders>
              <w:top w:val="nil"/>
              <w:left w:val="nil"/>
              <w:bottom w:val="single" w:sz="4" w:space="0" w:color="auto"/>
              <w:right w:val="single" w:sz="4" w:space="0" w:color="auto"/>
            </w:tcBorders>
            <w:noWrap/>
            <w:vAlign w:val="bottom"/>
          </w:tcPr>
          <w:p w14:paraId="123DCDA4" w14:textId="4F9B490D"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182</w:t>
            </w:r>
          </w:p>
        </w:tc>
        <w:tc>
          <w:tcPr>
            <w:tcW w:w="1068" w:type="dxa"/>
            <w:tcBorders>
              <w:top w:val="nil"/>
              <w:left w:val="nil"/>
              <w:bottom w:val="single" w:sz="4" w:space="0" w:color="auto"/>
              <w:right w:val="double" w:sz="6" w:space="0" w:color="auto"/>
            </w:tcBorders>
            <w:shd w:val="clear" w:color="auto" w:fill="EEECE1" w:themeFill="background2"/>
            <w:noWrap/>
            <w:vAlign w:val="bottom"/>
          </w:tcPr>
          <w:p w14:paraId="6806D4BB" w14:textId="134E46C6" w:rsidR="003F376F" w:rsidRPr="005A4ED4" w:rsidRDefault="003F376F" w:rsidP="003F376F">
            <w:pPr>
              <w:jc w:val="center"/>
              <w:rPr>
                <w:rFonts w:asciiTheme="majorHAnsi" w:hAnsiTheme="majorHAnsi" w:cstheme="majorHAnsi"/>
                <w:sz w:val="22"/>
                <w:szCs w:val="20"/>
              </w:rPr>
            </w:pPr>
            <w:r w:rsidRPr="005A4ED4">
              <w:rPr>
                <w:rFonts w:asciiTheme="majorHAnsi" w:hAnsiTheme="majorHAnsi" w:cstheme="majorHAnsi"/>
                <w:sz w:val="22"/>
                <w:szCs w:val="20"/>
              </w:rPr>
              <w:t>5,4</w:t>
            </w:r>
          </w:p>
        </w:tc>
        <w:tc>
          <w:tcPr>
            <w:tcW w:w="849" w:type="dxa"/>
            <w:tcBorders>
              <w:top w:val="nil"/>
              <w:left w:val="nil"/>
              <w:bottom w:val="nil"/>
              <w:right w:val="single" w:sz="4" w:space="0" w:color="auto"/>
            </w:tcBorders>
            <w:noWrap/>
            <w:vAlign w:val="bottom"/>
          </w:tcPr>
          <w:p w14:paraId="691C0710" w14:textId="0BD0138D" w:rsidR="003F376F" w:rsidRPr="005A4ED4" w:rsidRDefault="003F376F" w:rsidP="003F376F">
            <w:pPr>
              <w:jc w:val="center"/>
              <w:rPr>
                <w:rFonts w:asciiTheme="majorHAnsi" w:hAnsiTheme="majorHAnsi" w:cstheme="majorHAnsi"/>
                <w:sz w:val="22"/>
                <w:szCs w:val="20"/>
              </w:rPr>
            </w:pPr>
            <w:r w:rsidRPr="005A4ED4">
              <w:rPr>
                <w:rFonts w:cs="Calibri"/>
                <w:sz w:val="22"/>
                <w:szCs w:val="20"/>
              </w:rPr>
              <w:t>32</w:t>
            </w:r>
          </w:p>
        </w:tc>
        <w:tc>
          <w:tcPr>
            <w:tcW w:w="849" w:type="dxa"/>
            <w:tcBorders>
              <w:top w:val="nil"/>
              <w:left w:val="nil"/>
              <w:bottom w:val="nil"/>
              <w:right w:val="single" w:sz="8" w:space="0" w:color="auto"/>
            </w:tcBorders>
            <w:noWrap/>
            <w:vAlign w:val="bottom"/>
          </w:tcPr>
          <w:p w14:paraId="7347D7B0" w14:textId="488AD1CD" w:rsidR="003F376F" w:rsidRPr="005A4ED4" w:rsidRDefault="003F376F" w:rsidP="003F376F">
            <w:pPr>
              <w:jc w:val="center"/>
              <w:rPr>
                <w:rFonts w:asciiTheme="majorHAnsi" w:hAnsiTheme="majorHAnsi" w:cstheme="majorHAnsi"/>
                <w:sz w:val="22"/>
                <w:szCs w:val="20"/>
              </w:rPr>
            </w:pPr>
            <w:r w:rsidRPr="005A4ED4">
              <w:rPr>
                <w:rFonts w:cs="Calibri"/>
                <w:sz w:val="22"/>
                <w:szCs w:val="20"/>
              </w:rPr>
              <w:t>28,1</w:t>
            </w:r>
          </w:p>
        </w:tc>
        <w:tc>
          <w:tcPr>
            <w:tcW w:w="849" w:type="dxa"/>
            <w:tcBorders>
              <w:top w:val="nil"/>
              <w:left w:val="nil"/>
              <w:bottom w:val="nil"/>
              <w:right w:val="single" w:sz="4" w:space="0" w:color="auto"/>
            </w:tcBorders>
            <w:noWrap/>
            <w:vAlign w:val="bottom"/>
          </w:tcPr>
          <w:p w14:paraId="262A63D7" w14:textId="109F8D8D" w:rsidR="003F376F" w:rsidRPr="005A4ED4" w:rsidRDefault="003F376F" w:rsidP="003F376F">
            <w:pPr>
              <w:jc w:val="center"/>
              <w:rPr>
                <w:rFonts w:asciiTheme="majorHAnsi" w:hAnsiTheme="majorHAnsi" w:cstheme="majorHAnsi"/>
                <w:sz w:val="22"/>
                <w:szCs w:val="20"/>
              </w:rPr>
            </w:pPr>
            <w:r w:rsidRPr="005A4ED4">
              <w:rPr>
                <w:rFonts w:cs="Calibri"/>
                <w:sz w:val="22"/>
                <w:szCs w:val="20"/>
              </w:rPr>
              <w:t>4</w:t>
            </w:r>
          </w:p>
        </w:tc>
        <w:tc>
          <w:tcPr>
            <w:tcW w:w="849" w:type="dxa"/>
            <w:tcBorders>
              <w:top w:val="single" w:sz="4" w:space="0" w:color="auto"/>
              <w:left w:val="nil"/>
              <w:bottom w:val="single" w:sz="4" w:space="0" w:color="auto"/>
              <w:right w:val="single" w:sz="8" w:space="0" w:color="auto"/>
            </w:tcBorders>
            <w:noWrap/>
            <w:vAlign w:val="bottom"/>
          </w:tcPr>
          <w:p w14:paraId="4344EDF8" w14:textId="54061929" w:rsidR="003F376F" w:rsidRPr="005A4ED4" w:rsidRDefault="003F376F" w:rsidP="003F376F">
            <w:pPr>
              <w:jc w:val="center"/>
              <w:rPr>
                <w:rFonts w:asciiTheme="majorHAnsi" w:hAnsiTheme="majorHAnsi" w:cstheme="majorHAnsi"/>
                <w:sz w:val="22"/>
                <w:szCs w:val="20"/>
              </w:rPr>
            </w:pPr>
            <w:r w:rsidRPr="005A4ED4">
              <w:rPr>
                <w:rFonts w:cs="Calibri"/>
                <w:sz w:val="22"/>
                <w:szCs w:val="20"/>
              </w:rPr>
              <w:t>3,3</w:t>
            </w:r>
          </w:p>
        </w:tc>
        <w:tc>
          <w:tcPr>
            <w:tcW w:w="849" w:type="dxa"/>
            <w:tcBorders>
              <w:top w:val="nil"/>
              <w:left w:val="single" w:sz="4" w:space="0" w:color="auto"/>
              <w:bottom w:val="single" w:sz="4" w:space="0" w:color="auto"/>
              <w:right w:val="single" w:sz="4" w:space="0" w:color="auto"/>
            </w:tcBorders>
            <w:noWrap/>
            <w:vAlign w:val="bottom"/>
          </w:tcPr>
          <w:p w14:paraId="466A2C25" w14:textId="090029EA" w:rsidR="003F376F" w:rsidRPr="005A4ED4" w:rsidRDefault="003F376F" w:rsidP="003F376F">
            <w:pPr>
              <w:jc w:val="center"/>
              <w:rPr>
                <w:rFonts w:asciiTheme="majorHAnsi" w:hAnsiTheme="majorHAnsi" w:cstheme="majorHAnsi"/>
                <w:sz w:val="22"/>
                <w:szCs w:val="20"/>
              </w:rPr>
            </w:pPr>
            <w:r w:rsidRPr="005A4ED4">
              <w:rPr>
                <w:rFonts w:cs="Calibri"/>
                <w:sz w:val="22"/>
                <w:szCs w:val="20"/>
              </w:rPr>
              <w:t>36</w:t>
            </w:r>
          </w:p>
        </w:tc>
        <w:tc>
          <w:tcPr>
            <w:tcW w:w="849" w:type="dxa"/>
            <w:tcBorders>
              <w:top w:val="nil"/>
              <w:left w:val="nil"/>
              <w:bottom w:val="single" w:sz="4" w:space="0" w:color="auto"/>
              <w:right w:val="single" w:sz="8" w:space="0" w:color="auto"/>
            </w:tcBorders>
            <w:noWrap/>
            <w:vAlign w:val="bottom"/>
          </w:tcPr>
          <w:p w14:paraId="722C543D" w14:textId="6654BEB0" w:rsidR="003F376F" w:rsidRPr="005A4ED4" w:rsidRDefault="003F376F" w:rsidP="003F376F">
            <w:pPr>
              <w:jc w:val="center"/>
              <w:rPr>
                <w:rFonts w:asciiTheme="majorHAnsi" w:hAnsiTheme="majorHAnsi" w:cstheme="majorHAnsi"/>
                <w:sz w:val="22"/>
                <w:szCs w:val="20"/>
              </w:rPr>
            </w:pPr>
            <w:r w:rsidRPr="005A4ED4">
              <w:rPr>
                <w:rFonts w:cs="Calibri"/>
                <w:sz w:val="22"/>
                <w:szCs w:val="20"/>
              </w:rPr>
              <w:t>31,4</w:t>
            </w:r>
          </w:p>
        </w:tc>
        <w:tc>
          <w:tcPr>
            <w:tcW w:w="1053" w:type="dxa"/>
            <w:tcBorders>
              <w:top w:val="nil"/>
              <w:left w:val="nil"/>
              <w:bottom w:val="single" w:sz="4" w:space="0" w:color="auto"/>
              <w:right w:val="single" w:sz="4" w:space="0" w:color="auto"/>
            </w:tcBorders>
            <w:noWrap/>
            <w:vAlign w:val="bottom"/>
          </w:tcPr>
          <w:p w14:paraId="29A8AF55" w14:textId="5C24471E" w:rsidR="003F376F" w:rsidRPr="005A4ED4" w:rsidRDefault="003F376F" w:rsidP="003F376F">
            <w:pPr>
              <w:jc w:val="center"/>
              <w:rPr>
                <w:rFonts w:asciiTheme="majorHAnsi" w:hAnsiTheme="majorHAnsi" w:cstheme="majorHAnsi"/>
                <w:sz w:val="22"/>
                <w:szCs w:val="20"/>
              </w:rPr>
            </w:pPr>
            <w:r w:rsidRPr="005A4ED4">
              <w:rPr>
                <w:rFonts w:cs="Calibri"/>
                <w:sz w:val="22"/>
                <w:szCs w:val="20"/>
              </w:rPr>
              <w:t>298</w:t>
            </w:r>
          </w:p>
        </w:tc>
        <w:tc>
          <w:tcPr>
            <w:tcW w:w="1053" w:type="dxa"/>
            <w:tcBorders>
              <w:top w:val="nil"/>
              <w:left w:val="nil"/>
              <w:bottom w:val="single" w:sz="4" w:space="0" w:color="auto"/>
              <w:right w:val="double" w:sz="6" w:space="0" w:color="auto"/>
            </w:tcBorders>
            <w:shd w:val="clear" w:color="auto" w:fill="EEECE1" w:themeFill="background2"/>
            <w:noWrap/>
            <w:vAlign w:val="bottom"/>
          </w:tcPr>
          <w:p w14:paraId="475B1D6E" w14:textId="76C93A4A" w:rsidR="003F376F" w:rsidRPr="005A4ED4" w:rsidRDefault="003F376F" w:rsidP="003F376F">
            <w:pPr>
              <w:jc w:val="center"/>
              <w:rPr>
                <w:rFonts w:asciiTheme="majorHAnsi" w:hAnsiTheme="majorHAnsi" w:cstheme="majorHAnsi"/>
                <w:sz w:val="22"/>
                <w:szCs w:val="20"/>
              </w:rPr>
            </w:pPr>
            <w:r w:rsidRPr="005A4ED4">
              <w:rPr>
                <w:rFonts w:cs="Calibri"/>
                <w:sz w:val="22"/>
                <w:szCs w:val="20"/>
              </w:rPr>
              <w:t>9,5</w:t>
            </w:r>
          </w:p>
        </w:tc>
      </w:tr>
      <w:tr w:rsidR="003F376F" w:rsidRPr="0053555E" w14:paraId="6AE7510A" w14:textId="77777777" w:rsidTr="003F376F">
        <w:trPr>
          <w:trHeight w:val="315"/>
        </w:trPr>
        <w:tc>
          <w:tcPr>
            <w:tcW w:w="851" w:type="dxa"/>
            <w:tcBorders>
              <w:top w:val="single" w:sz="8" w:space="0" w:color="auto"/>
              <w:left w:val="single" w:sz="8" w:space="0" w:color="auto"/>
              <w:bottom w:val="single" w:sz="8" w:space="0" w:color="auto"/>
              <w:right w:val="double" w:sz="6" w:space="0" w:color="auto"/>
            </w:tcBorders>
            <w:noWrap/>
            <w:vAlign w:val="bottom"/>
            <w:hideMark/>
          </w:tcPr>
          <w:p w14:paraId="26DCEC91" w14:textId="77777777" w:rsidR="003F376F" w:rsidRPr="004630DE" w:rsidRDefault="003F376F" w:rsidP="003F376F">
            <w:pPr>
              <w:tabs>
                <w:tab w:val="left" w:pos="9356"/>
              </w:tabs>
              <w:jc w:val="both"/>
              <w:rPr>
                <w:rFonts w:asciiTheme="majorHAnsi" w:eastAsia="Times New Roman" w:hAnsiTheme="majorHAnsi" w:cstheme="majorHAnsi"/>
                <w:b/>
                <w:bCs/>
                <w:sz w:val="22"/>
                <w:szCs w:val="20"/>
                <w:lang w:eastAsia="sk-SK"/>
              </w:rPr>
            </w:pPr>
            <w:r w:rsidRPr="004630DE">
              <w:rPr>
                <w:rFonts w:asciiTheme="majorHAnsi" w:eastAsia="Times New Roman" w:hAnsiTheme="majorHAnsi" w:cstheme="majorHAnsi"/>
                <w:b/>
                <w:bCs/>
                <w:sz w:val="22"/>
                <w:szCs w:val="20"/>
                <w:lang w:eastAsia="sk-SK"/>
              </w:rPr>
              <w:t>SPOLU</w:t>
            </w:r>
          </w:p>
        </w:tc>
        <w:tc>
          <w:tcPr>
            <w:tcW w:w="792" w:type="dxa"/>
            <w:tcBorders>
              <w:top w:val="single" w:sz="8" w:space="0" w:color="auto"/>
              <w:left w:val="nil"/>
              <w:bottom w:val="single" w:sz="8" w:space="0" w:color="auto"/>
              <w:right w:val="nil"/>
            </w:tcBorders>
            <w:noWrap/>
            <w:vAlign w:val="bottom"/>
          </w:tcPr>
          <w:p w14:paraId="046C4BF3" w14:textId="3CFDE59C" w:rsidR="003F376F" w:rsidRPr="005A4ED4" w:rsidRDefault="003F376F" w:rsidP="003F376F">
            <w:pPr>
              <w:jc w:val="center"/>
              <w:rPr>
                <w:rFonts w:asciiTheme="majorHAnsi" w:hAnsiTheme="majorHAnsi" w:cstheme="majorHAnsi"/>
                <w:b/>
                <w:bCs/>
                <w:sz w:val="22"/>
                <w:szCs w:val="20"/>
              </w:rPr>
            </w:pPr>
            <w:r w:rsidRPr="005A4ED4">
              <w:rPr>
                <w:rFonts w:asciiTheme="majorHAnsi" w:hAnsiTheme="majorHAnsi" w:cstheme="majorHAnsi"/>
                <w:b/>
                <w:bCs/>
                <w:sz w:val="22"/>
                <w:szCs w:val="20"/>
              </w:rPr>
              <w:t>972</w:t>
            </w:r>
          </w:p>
        </w:tc>
        <w:tc>
          <w:tcPr>
            <w:tcW w:w="792" w:type="dxa"/>
            <w:tcBorders>
              <w:top w:val="single" w:sz="8" w:space="0" w:color="auto"/>
              <w:left w:val="single" w:sz="4" w:space="0" w:color="auto"/>
              <w:bottom w:val="single" w:sz="8" w:space="0" w:color="auto"/>
              <w:right w:val="single" w:sz="8" w:space="0" w:color="auto"/>
            </w:tcBorders>
            <w:noWrap/>
            <w:vAlign w:val="bottom"/>
          </w:tcPr>
          <w:p w14:paraId="49AA5183" w14:textId="735E56AE" w:rsidR="003F376F" w:rsidRPr="005A4ED4" w:rsidRDefault="003F376F" w:rsidP="003F376F">
            <w:pPr>
              <w:jc w:val="center"/>
              <w:rPr>
                <w:rFonts w:asciiTheme="majorHAnsi" w:hAnsiTheme="majorHAnsi" w:cstheme="majorHAnsi"/>
                <w:b/>
                <w:bCs/>
                <w:sz w:val="22"/>
                <w:szCs w:val="20"/>
              </w:rPr>
            </w:pPr>
            <w:r w:rsidRPr="005A4ED4">
              <w:rPr>
                <w:rFonts w:asciiTheme="majorHAnsi" w:hAnsiTheme="majorHAnsi" w:cstheme="majorHAnsi"/>
                <w:b/>
                <w:bCs/>
                <w:sz w:val="22"/>
                <w:szCs w:val="20"/>
              </w:rPr>
              <w:t>896,4</w:t>
            </w:r>
          </w:p>
        </w:tc>
        <w:tc>
          <w:tcPr>
            <w:tcW w:w="844" w:type="dxa"/>
            <w:tcBorders>
              <w:top w:val="single" w:sz="8" w:space="0" w:color="auto"/>
              <w:left w:val="nil"/>
              <w:bottom w:val="single" w:sz="8" w:space="0" w:color="auto"/>
              <w:right w:val="nil"/>
            </w:tcBorders>
            <w:noWrap/>
            <w:vAlign w:val="bottom"/>
          </w:tcPr>
          <w:p w14:paraId="2605FD30" w14:textId="05303638" w:rsidR="003F376F" w:rsidRPr="005A4ED4" w:rsidRDefault="003F376F" w:rsidP="003F376F">
            <w:pPr>
              <w:jc w:val="center"/>
              <w:rPr>
                <w:rFonts w:asciiTheme="majorHAnsi" w:hAnsiTheme="majorHAnsi" w:cstheme="majorHAnsi"/>
                <w:b/>
                <w:bCs/>
                <w:sz w:val="22"/>
                <w:szCs w:val="20"/>
              </w:rPr>
            </w:pPr>
            <w:r w:rsidRPr="005A4ED4">
              <w:rPr>
                <w:rFonts w:asciiTheme="majorHAnsi" w:hAnsiTheme="majorHAnsi" w:cstheme="majorHAnsi"/>
                <w:b/>
                <w:bCs/>
                <w:sz w:val="22"/>
                <w:szCs w:val="20"/>
              </w:rPr>
              <w:t>460</w:t>
            </w:r>
          </w:p>
        </w:tc>
        <w:tc>
          <w:tcPr>
            <w:tcW w:w="844" w:type="dxa"/>
            <w:tcBorders>
              <w:top w:val="single" w:sz="8" w:space="0" w:color="auto"/>
              <w:left w:val="single" w:sz="4" w:space="0" w:color="auto"/>
              <w:bottom w:val="single" w:sz="8" w:space="0" w:color="auto"/>
              <w:right w:val="single" w:sz="8" w:space="0" w:color="auto"/>
            </w:tcBorders>
            <w:noWrap/>
            <w:vAlign w:val="bottom"/>
          </w:tcPr>
          <w:p w14:paraId="4ECED1CF" w14:textId="259CB020" w:rsidR="003F376F" w:rsidRPr="005A4ED4" w:rsidRDefault="003F376F" w:rsidP="003F376F">
            <w:pPr>
              <w:jc w:val="center"/>
              <w:rPr>
                <w:rFonts w:asciiTheme="majorHAnsi" w:hAnsiTheme="majorHAnsi" w:cstheme="majorHAnsi"/>
                <w:b/>
                <w:bCs/>
                <w:sz w:val="22"/>
                <w:szCs w:val="20"/>
              </w:rPr>
            </w:pPr>
            <w:r w:rsidRPr="005A4ED4">
              <w:rPr>
                <w:rFonts w:asciiTheme="majorHAnsi" w:hAnsiTheme="majorHAnsi" w:cstheme="majorHAnsi"/>
                <w:b/>
                <w:bCs/>
                <w:sz w:val="22"/>
                <w:szCs w:val="20"/>
              </w:rPr>
              <w:t>352,6</w:t>
            </w:r>
          </w:p>
        </w:tc>
        <w:tc>
          <w:tcPr>
            <w:tcW w:w="844" w:type="dxa"/>
            <w:tcBorders>
              <w:top w:val="single" w:sz="8" w:space="0" w:color="auto"/>
              <w:left w:val="nil"/>
              <w:bottom w:val="single" w:sz="8" w:space="0" w:color="auto"/>
              <w:right w:val="nil"/>
            </w:tcBorders>
            <w:noWrap/>
            <w:vAlign w:val="bottom"/>
          </w:tcPr>
          <w:p w14:paraId="6F53D4F4" w14:textId="071D94CB" w:rsidR="003F376F" w:rsidRPr="005A4ED4" w:rsidRDefault="003F376F" w:rsidP="003F376F">
            <w:pPr>
              <w:jc w:val="center"/>
              <w:rPr>
                <w:rFonts w:asciiTheme="majorHAnsi" w:hAnsiTheme="majorHAnsi" w:cstheme="majorHAnsi"/>
                <w:b/>
                <w:bCs/>
                <w:sz w:val="22"/>
                <w:szCs w:val="20"/>
              </w:rPr>
            </w:pPr>
            <w:r w:rsidRPr="005A4ED4">
              <w:rPr>
                <w:rFonts w:asciiTheme="majorHAnsi" w:hAnsiTheme="majorHAnsi" w:cstheme="majorHAnsi"/>
                <w:b/>
                <w:bCs/>
                <w:sz w:val="22"/>
                <w:szCs w:val="20"/>
              </w:rPr>
              <w:t>1 432</w:t>
            </w:r>
          </w:p>
        </w:tc>
        <w:tc>
          <w:tcPr>
            <w:tcW w:w="845" w:type="dxa"/>
            <w:tcBorders>
              <w:top w:val="single" w:sz="8" w:space="0" w:color="auto"/>
              <w:left w:val="single" w:sz="4" w:space="0" w:color="auto"/>
              <w:bottom w:val="single" w:sz="8" w:space="0" w:color="auto"/>
              <w:right w:val="single" w:sz="8" w:space="0" w:color="auto"/>
            </w:tcBorders>
            <w:noWrap/>
            <w:vAlign w:val="bottom"/>
          </w:tcPr>
          <w:p w14:paraId="7E1D7DE9" w14:textId="14E1E912" w:rsidR="003F376F" w:rsidRPr="005A4ED4" w:rsidRDefault="003F376F" w:rsidP="003F376F">
            <w:pPr>
              <w:jc w:val="center"/>
              <w:rPr>
                <w:rFonts w:asciiTheme="majorHAnsi" w:hAnsiTheme="majorHAnsi" w:cstheme="majorHAnsi"/>
                <w:b/>
                <w:bCs/>
                <w:sz w:val="22"/>
                <w:szCs w:val="20"/>
              </w:rPr>
            </w:pPr>
            <w:r w:rsidRPr="005A4ED4">
              <w:rPr>
                <w:rFonts w:asciiTheme="majorHAnsi" w:hAnsiTheme="majorHAnsi" w:cstheme="majorHAnsi"/>
                <w:b/>
                <w:bCs/>
                <w:sz w:val="22"/>
                <w:szCs w:val="20"/>
              </w:rPr>
              <w:t>1 249,0</w:t>
            </w:r>
          </w:p>
        </w:tc>
        <w:tc>
          <w:tcPr>
            <w:tcW w:w="1067" w:type="dxa"/>
            <w:tcBorders>
              <w:top w:val="single" w:sz="8" w:space="0" w:color="auto"/>
              <w:left w:val="nil"/>
              <w:bottom w:val="single" w:sz="8" w:space="0" w:color="auto"/>
              <w:right w:val="nil"/>
            </w:tcBorders>
            <w:noWrap/>
            <w:vAlign w:val="bottom"/>
          </w:tcPr>
          <w:p w14:paraId="4C745BCA" w14:textId="39B7094B" w:rsidR="003F376F" w:rsidRPr="005A4ED4" w:rsidRDefault="003F376F" w:rsidP="003F376F">
            <w:pPr>
              <w:jc w:val="center"/>
              <w:rPr>
                <w:rFonts w:asciiTheme="majorHAnsi" w:hAnsiTheme="majorHAnsi" w:cstheme="majorHAnsi"/>
                <w:b/>
                <w:bCs/>
                <w:sz w:val="22"/>
                <w:szCs w:val="20"/>
              </w:rPr>
            </w:pPr>
            <w:r w:rsidRPr="005A4ED4">
              <w:rPr>
                <w:rFonts w:asciiTheme="majorHAnsi" w:hAnsiTheme="majorHAnsi" w:cstheme="majorHAnsi"/>
                <w:b/>
                <w:bCs/>
                <w:sz w:val="22"/>
                <w:szCs w:val="20"/>
              </w:rPr>
              <w:t>10 543</w:t>
            </w:r>
          </w:p>
        </w:tc>
        <w:tc>
          <w:tcPr>
            <w:tcW w:w="1068" w:type="dxa"/>
            <w:tcBorders>
              <w:top w:val="single" w:sz="8" w:space="0" w:color="auto"/>
              <w:left w:val="single" w:sz="4" w:space="0" w:color="auto"/>
              <w:bottom w:val="single" w:sz="8" w:space="0" w:color="auto"/>
              <w:right w:val="double" w:sz="6" w:space="0" w:color="auto"/>
            </w:tcBorders>
            <w:shd w:val="clear" w:color="auto" w:fill="EEECE1" w:themeFill="background2"/>
            <w:noWrap/>
            <w:vAlign w:val="bottom"/>
          </w:tcPr>
          <w:p w14:paraId="26F22FDF" w14:textId="3DEC4D1A" w:rsidR="003F376F" w:rsidRPr="005A4ED4" w:rsidRDefault="003F376F" w:rsidP="003F376F">
            <w:pPr>
              <w:jc w:val="center"/>
              <w:rPr>
                <w:rFonts w:asciiTheme="majorHAnsi" w:hAnsiTheme="majorHAnsi" w:cstheme="majorHAnsi"/>
                <w:b/>
                <w:bCs/>
                <w:sz w:val="22"/>
                <w:szCs w:val="20"/>
              </w:rPr>
            </w:pPr>
            <w:r w:rsidRPr="005A4ED4">
              <w:rPr>
                <w:rFonts w:asciiTheme="majorHAnsi" w:hAnsiTheme="majorHAnsi" w:cstheme="majorHAnsi"/>
                <w:b/>
                <w:bCs/>
                <w:sz w:val="22"/>
                <w:szCs w:val="20"/>
              </w:rPr>
              <w:t>8,4</w:t>
            </w:r>
          </w:p>
        </w:tc>
        <w:tc>
          <w:tcPr>
            <w:tcW w:w="849" w:type="dxa"/>
            <w:tcBorders>
              <w:top w:val="single" w:sz="8" w:space="0" w:color="auto"/>
              <w:left w:val="nil"/>
              <w:bottom w:val="single" w:sz="8" w:space="0" w:color="auto"/>
              <w:right w:val="nil"/>
            </w:tcBorders>
            <w:noWrap/>
            <w:vAlign w:val="bottom"/>
          </w:tcPr>
          <w:p w14:paraId="34234F89" w14:textId="028BEF5B" w:rsidR="003F376F" w:rsidRPr="005A4ED4" w:rsidRDefault="003F376F" w:rsidP="003F376F">
            <w:pPr>
              <w:jc w:val="center"/>
              <w:rPr>
                <w:rFonts w:asciiTheme="majorHAnsi" w:hAnsiTheme="majorHAnsi" w:cstheme="majorHAnsi"/>
                <w:b/>
                <w:bCs/>
                <w:sz w:val="22"/>
                <w:szCs w:val="20"/>
              </w:rPr>
            </w:pPr>
            <w:r w:rsidRPr="005A4ED4">
              <w:rPr>
                <w:rFonts w:cs="Calibri"/>
                <w:b/>
                <w:bCs/>
                <w:sz w:val="22"/>
                <w:szCs w:val="20"/>
              </w:rPr>
              <w:t>910</w:t>
            </w:r>
          </w:p>
        </w:tc>
        <w:tc>
          <w:tcPr>
            <w:tcW w:w="849" w:type="dxa"/>
            <w:tcBorders>
              <w:top w:val="single" w:sz="8" w:space="0" w:color="auto"/>
              <w:left w:val="single" w:sz="4" w:space="0" w:color="auto"/>
              <w:bottom w:val="single" w:sz="8" w:space="0" w:color="auto"/>
              <w:right w:val="single" w:sz="8" w:space="0" w:color="auto"/>
            </w:tcBorders>
            <w:noWrap/>
            <w:vAlign w:val="bottom"/>
          </w:tcPr>
          <w:p w14:paraId="49AF0639" w14:textId="4D6A29E9" w:rsidR="003F376F" w:rsidRPr="005A4ED4" w:rsidRDefault="003F376F" w:rsidP="003F376F">
            <w:pPr>
              <w:jc w:val="center"/>
              <w:rPr>
                <w:rFonts w:asciiTheme="majorHAnsi" w:hAnsiTheme="majorHAnsi" w:cstheme="majorHAnsi"/>
                <w:b/>
                <w:bCs/>
                <w:sz w:val="22"/>
                <w:szCs w:val="20"/>
              </w:rPr>
            </w:pPr>
            <w:r w:rsidRPr="005A4ED4">
              <w:rPr>
                <w:rFonts w:cs="Calibri"/>
                <w:b/>
                <w:bCs/>
                <w:sz w:val="22"/>
                <w:szCs w:val="20"/>
              </w:rPr>
              <w:t>849,7</w:t>
            </w:r>
          </w:p>
        </w:tc>
        <w:tc>
          <w:tcPr>
            <w:tcW w:w="849" w:type="dxa"/>
            <w:tcBorders>
              <w:top w:val="single" w:sz="8" w:space="0" w:color="auto"/>
              <w:left w:val="nil"/>
              <w:bottom w:val="single" w:sz="8" w:space="0" w:color="auto"/>
              <w:right w:val="nil"/>
            </w:tcBorders>
            <w:noWrap/>
            <w:vAlign w:val="bottom"/>
          </w:tcPr>
          <w:p w14:paraId="5A8E8F2C" w14:textId="7CD69DCB" w:rsidR="003F376F" w:rsidRPr="005A4ED4" w:rsidRDefault="003F376F" w:rsidP="003F376F">
            <w:pPr>
              <w:jc w:val="center"/>
              <w:rPr>
                <w:rFonts w:asciiTheme="majorHAnsi" w:hAnsiTheme="majorHAnsi" w:cstheme="majorHAnsi"/>
                <w:b/>
                <w:bCs/>
                <w:sz w:val="22"/>
                <w:szCs w:val="20"/>
              </w:rPr>
            </w:pPr>
            <w:r w:rsidRPr="005A4ED4">
              <w:rPr>
                <w:rFonts w:cs="Calibri"/>
                <w:b/>
                <w:bCs/>
                <w:sz w:val="22"/>
                <w:szCs w:val="20"/>
              </w:rPr>
              <w:t>487</w:t>
            </w:r>
          </w:p>
        </w:tc>
        <w:tc>
          <w:tcPr>
            <w:tcW w:w="849" w:type="dxa"/>
            <w:tcBorders>
              <w:top w:val="single" w:sz="4" w:space="0" w:color="auto"/>
              <w:left w:val="single" w:sz="4" w:space="0" w:color="auto"/>
              <w:bottom w:val="single" w:sz="8" w:space="0" w:color="auto"/>
              <w:right w:val="single" w:sz="8" w:space="0" w:color="auto"/>
            </w:tcBorders>
            <w:noWrap/>
            <w:vAlign w:val="bottom"/>
          </w:tcPr>
          <w:p w14:paraId="2A177C5A" w14:textId="507076E5" w:rsidR="003F376F" w:rsidRPr="005A4ED4" w:rsidRDefault="003F376F" w:rsidP="003F376F">
            <w:pPr>
              <w:jc w:val="center"/>
              <w:rPr>
                <w:rFonts w:asciiTheme="majorHAnsi" w:hAnsiTheme="majorHAnsi" w:cstheme="majorHAnsi"/>
                <w:b/>
                <w:bCs/>
                <w:sz w:val="22"/>
                <w:szCs w:val="20"/>
              </w:rPr>
            </w:pPr>
            <w:r w:rsidRPr="005A4ED4">
              <w:rPr>
                <w:rFonts w:cs="Calibri"/>
                <w:b/>
                <w:bCs/>
                <w:sz w:val="22"/>
                <w:szCs w:val="20"/>
              </w:rPr>
              <w:t>366,8</w:t>
            </w:r>
          </w:p>
        </w:tc>
        <w:tc>
          <w:tcPr>
            <w:tcW w:w="849" w:type="dxa"/>
            <w:tcBorders>
              <w:top w:val="single" w:sz="8" w:space="0" w:color="auto"/>
              <w:left w:val="nil"/>
              <w:bottom w:val="single" w:sz="8" w:space="0" w:color="auto"/>
              <w:right w:val="nil"/>
            </w:tcBorders>
            <w:noWrap/>
            <w:vAlign w:val="bottom"/>
          </w:tcPr>
          <w:p w14:paraId="620A5BB7" w14:textId="058E1CAA" w:rsidR="003F376F" w:rsidRPr="005A4ED4" w:rsidRDefault="003F376F" w:rsidP="003F376F">
            <w:pPr>
              <w:jc w:val="center"/>
              <w:rPr>
                <w:rFonts w:asciiTheme="majorHAnsi" w:hAnsiTheme="majorHAnsi" w:cstheme="majorHAnsi"/>
                <w:b/>
                <w:bCs/>
                <w:sz w:val="22"/>
                <w:szCs w:val="20"/>
              </w:rPr>
            </w:pPr>
            <w:r w:rsidRPr="005A4ED4">
              <w:rPr>
                <w:rFonts w:cs="Calibri"/>
                <w:b/>
                <w:bCs/>
                <w:sz w:val="22"/>
                <w:szCs w:val="20"/>
              </w:rPr>
              <w:t>1 397</w:t>
            </w:r>
          </w:p>
        </w:tc>
        <w:tc>
          <w:tcPr>
            <w:tcW w:w="849" w:type="dxa"/>
            <w:tcBorders>
              <w:top w:val="single" w:sz="8" w:space="0" w:color="auto"/>
              <w:left w:val="single" w:sz="4" w:space="0" w:color="auto"/>
              <w:bottom w:val="single" w:sz="8" w:space="0" w:color="auto"/>
              <w:right w:val="single" w:sz="8" w:space="0" w:color="auto"/>
            </w:tcBorders>
            <w:noWrap/>
            <w:vAlign w:val="bottom"/>
          </w:tcPr>
          <w:p w14:paraId="426D5F36" w14:textId="37EE67B2" w:rsidR="003F376F" w:rsidRPr="005A4ED4" w:rsidRDefault="003F376F" w:rsidP="003F376F">
            <w:pPr>
              <w:jc w:val="center"/>
              <w:rPr>
                <w:rFonts w:asciiTheme="majorHAnsi" w:hAnsiTheme="majorHAnsi" w:cstheme="majorHAnsi"/>
                <w:b/>
                <w:bCs/>
                <w:sz w:val="22"/>
                <w:szCs w:val="20"/>
              </w:rPr>
            </w:pPr>
            <w:r w:rsidRPr="005A4ED4">
              <w:rPr>
                <w:rFonts w:cs="Calibri"/>
                <w:b/>
                <w:bCs/>
                <w:sz w:val="22"/>
                <w:szCs w:val="20"/>
              </w:rPr>
              <w:t>1 216,5</w:t>
            </w:r>
          </w:p>
        </w:tc>
        <w:tc>
          <w:tcPr>
            <w:tcW w:w="1053" w:type="dxa"/>
            <w:tcBorders>
              <w:top w:val="single" w:sz="8" w:space="0" w:color="auto"/>
              <w:left w:val="nil"/>
              <w:bottom w:val="single" w:sz="8" w:space="0" w:color="auto"/>
              <w:right w:val="nil"/>
            </w:tcBorders>
            <w:noWrap/>
            <w:vAlign w:val="bottom"/>
          </w:tcPr>
          <w:p w14:paraId="78EA6B63" w14:textId="500CEB82" w:rsidR="003F376F" w:rsidRPr="005A4ED4" w:rsidRDefault="003F376F" w:rsidP="003F376F">
            <w:pPr>
              <w:jc w:val="center"/>
              <w:rPr>
                <w:rFonts w:asciiTheme="majorHAnsi" w:hAnsiTheme="majorHAnsi" w:cstheme="majorHAnsi"/>
                <w:b/>
                <w:bCs/>
                <w:sz w:val="22"/>
                <w:szCs w:val="20"/>
              </w:rPr>
            </w:pPr>
            <w:r w:rsidRPr="005A4ED4">
              <w:rPr>
                <w:rFonts w:cs="Calibri"/>
                <w:b/>
                <w:bCs/>
                <w:sz w:val="22"/>
                <w:szCs w:val="20"/>
              </w:rPr>
              <w:t>10 976</w:t>
            </w:r>
          </w:p>
        </w:tc>
        <w:tc>
          <w:tcPr>
            <w:tcW w:w="1053" w:type="dxa"/>
            <w:tcBorders>
              <w:top w:val="single" w:sz="8" w:space="0" w:color="auto"/>
              <w:left w:val="single" w:sz="4" w:space="0" w:color="auto"/>
              <w:bottom w:val="single" w:sz="8" w:space="0" w:color="auto"/>
              <w:right w:val="double" w:sz="6" w:space="0" w:color="auto"/>
            </w:tcBorders>
            <w:shd w:val="clear" w:color="auto" w:fill="EEECE1" w:themeFill="background2"/>
            <w:noWrap/>
            <w:vAlign w:val="bottom"/>
          </w:tcPr>
          <w:p w14:paraId="5426ADD3" w14:textId="1AB3BDE2" w:rsidR="003F376F" w:rsidRPr="005A4ED4" w:rsidRDefault="003F376F" w:rsidP="003F376F">
            <w:pPr>
              <w:jc w:val="center"/>
              <w:rPr>
                <w:rFonts w:asciiTheme="majorHAnsi" w:hAnsiTheme="majorHAnsi" w:cstheme="majorHAnsi"/>
                <w:b/>
                <w:bCs/>
                <w:sz w:val="22"/>
                <w:szCs w:val="20"/>
              </w:rPr>
            </w:pPr>
            <w:r w:rsidRPr="005A4ED4">
              <w:rPr>
                <w:rFonts w:cs="Calibri"/>
                <w:b/>
                <w:bCs/>
                <w:sz w:val="22"/>
                <w:szCs w:val="20"/>
              </w:rPr>
              <w:t>9,0</w:t>
            </w:r>
          </w:p>
        </w:tc>
      </w:tr>
    </w:tbl>
    <w:p w14:paraId="471CE139" w14:textId="77777777" w:rsidR="0042210A" w:rsidRPr="0053555E" w:rsidRDefault="0042210A" w:rsidP="0042210A">
      <w:pPr>
        <w:tabs>
          <w:tab w:val="left" w:pos="9356"/>
        </w:tabs>
        <w:jc w:val="both"/>
        <w:rPr>
          <w:rFonts w:asciiTheme="majorHAnsi" w:hAnsiTheme="majorHAnsi" w:cstheme="majorHAnsi"/>
          <w:sz w:val="20"/>
          <w:szCs w:val="20"/>
        </w:rPr>
      </w:pPr>
    </w:p>
    <w:p w14:paraId="39F91376" w14:textId="77777777" w:rsidR="0042210A" w:rsidRPr="0053555E" w:rsidRDefault="0042210A" w:rsidP="0042210A">
      <w:pPr>
        <w:tabs>
          <w:tab w:val="left" w:pos="9356"/>
        </w:tabs>
        <w:jc w:val="both"/>
        <w:rPr>
          <w:rFonts w:asciiTheme="majorHAnsi" w:hAnsiTheme="majorHAnsi" w:cstheme="majorHAnsi"/>
          <w:sz w:val="22"/>
          <w:szCs w:val="22"/>
        </w:rPr>
      </w:pPr>
      <w:r w:rsidRPr="0053555E">
        <w:rPr>
          <w:rFonts w:asciiTheme="majorHAnsi" w:hAnsiTheme="majorHAnsi" w:cstheme="majorHAnsi"/>
          <w:sz w:val="22"/>
          <w:szCs w:val="22"/>
        </w:rPr>
        <w:t>Vysvetlivky:</w:t>
      </w:r>
      <w:r w:rsidRPr="0053555E">
        <w:rPr>
          <w:rFonts w:asciiTheme="majorHAnsi" w:hAnsiTheme="majorHAnsi" w:cstheme="majorHAnsi"/>
          <w:sz w:val="22"/>
          <w:szCs w:val="22"/>
        </w:rPr>
        <w:tab/>
      </w:r>
    </w:p>
    <w:p w14:paraId="236C61D9" w14:textId="77777777" w:rsidR="0042210A" w:rsidRPr="0053555E" w:rsidRDefault="0042210A" w:rsidP="0042210A">
      <w:pPr>
        <w:tabs>
          <w:tab w:val="left" w:pos="9356"/>
        </w:tabs>
        <w:jc w:val="both"/>
        <w:rPr>
          <w:rFonts w:asciiTheme="majorHAnsi" w:hAnsiTheme="majorHAnsi" w:cstheme="majorHAnsi"/>
          <w:sz w:val="22"/>
          <w:szCs w:val="22"/>
        </w:rPr>
      </w:pPr>
      <w:r w:rsidRPr="0053555E">
        <w:rPr>
          <w:rFonts w:asciiTheme="majorHAnsi" w:hAnsiTheme="majorHAnsi" w:cstheme="majorHAnsi"/>
          <w:sz w:val="22"/>
          <w:szCs w:val="22"/>
        </w:rPr>
        <w:t>Zdroj: Počty študentov - AIS k 31. 10. príslušného akademického roka; Počty zamestnancov - IS MAGION k 31. 10. príslušného akademického roka</w:t>
      </w:r>
    </w:p>
    <w:p w14:paraId="0FF27C5B" w14:textId="77777777" w:rsidR="0042210A" w:rsidRPr="0053555E" w:rsidRDefault="0042210A" w:rsidP="0042210A">
      <w:pPr>
        <w:tabs>
          <w:tab w:val="left" w:pos="9356"/>
        </w:tabs>
        <w:jc w:val="both"/>
        <w:rPr>
          <w:rFonts w:asciiTheme="majorHAnsi" w:hAnsiTheme="majorHAnsi" w:cstheme="majorHAnsi"/>
          <w:sz w:val="22"/>
          <w:szCs w:val="22"/>
        </w:rPr>
      </w:pPr>
      <w:r w:rsidRPr="0053555E">
        <w:rPr>
          <w:rFonts w:asciiTheme="majorHAnsi" w:hAnsiTheme="majorHAnsi" w:cstheme="majorHAnsi"/>
          <w:sz w:val="22"/>
          <w:szCs w:val="22"/>
        </w:rPr>
        <w:t>prepočítaný počet - počet zamestnancov v evidenčnom stave prepočítaný na plný úväzok (ustanovený týždenný pracovný čas) zaokrúhlený na 1 desatinné miesto</w:t>
      </w:r>
    </w:p>
    <w:p w14:paraId="64995D36" w14:textId="323C26CD" w:rsidR="0042210A" w:rsidRPr="0053555E" w:rsidRDefault="0042210A" w:rsidP="0042210A">
      <w:pPr>
        <w:tabs>
          <w:tab w:val="left" w:pos="9356"/>
        </w:tabs>
        <w:jc w:val="both"/>
        <w:rPr>
          <w:rFonts w:asciiTheme="majorHAnsi" w:hAnsiTheme="majorHAnsi" w:cstheme="majorHAnsi"/>
          <w:sz w:val="22"/>
          <w:szCs w:val="22"/>
        </w:rPr>
      </w:pPr>
      <w:r w:rsidRPr="0053555E">
        <w:rPr>
          <w:rFonts w:asciiTheme="majorHAnsi" w:hAnsiTheme="majorHAnsi" w:cstheme="majorHAnsi"/>
          <w:sz w:val="22"/>
          <w:szCs w:val="22"/>
        </w:rPr>
        <w:t>VŠ učitelia – podľa § 75 ods. 1 zákona (</w:t>
      </w:r>
      <w:r w:rsidR="00301131">
        <w:rPr>
          <w:rFonts w:asciiTheme="majorHAnsi" w:hAnsiTheme="majorHAnsi" w:cstheme="majorHAnsi"/>
          <w:sz w:val="22"/>
          <w:szCs w:val="22"/>
        </w:rPr>
        <w:t xml:space="preserve">na funkčných </w:t>
      </w:r>
      <w:r w:rsidR="009C760A">
        <w:rPr>
          <w:rFonts w:asciiTheme="majorHAnsi" w:hAnsiTheme="majorHAnsi" w:cstheme="majorHAnsi"/>
          <w:sz w:val="22"/>
          <w:szCs w:val="22"/>
        </w:rPr>
        <w:t>m</w:t>
      </w:r>
      <w:r w:rsidR="00301131">
        <w:rPr>
          <w:rFonts w:asciiTheme="majorHAnsi" w:hAnsiTheme="majorHAnsi" w:cstheme="majorHAnsi"/>
          <w:sz w:val="22"/>
          <w:szCs w:val="22"/>
        </w:rPr>
        <w:t xml:space="preserve">iestach </w:t>
      </w:r>
      <w:r w:rsidRPr="0053555E">
        <w:rPr>
          <w:rFonts w:asciiTheme="majorHAnsi" w:hAnsiTheme="majorHAnsi" w:cstheme="majorHAnsi"/>
          <w:sz w:val="22"/>
          <w:szCs w:val="22"/>
        </w:rPr>
        <w:t>profesor, hosťujúci profesor, docent, odborný asistent, asistent a lektor)</w:t>
      </w:r>
    </w:p>
    <w:p w14:paraId="6A99DC9F" w14:textId="77777777" w:rsidR="0042210A" w:rsidRPr="0053555E" w:rsidRDefault="0042210A" w:rsidP="0042210A">
      <w:pPr>
        <w:tabs>
          <w:tab w:val="left" w:pos="9356"/>
        </w:tabs>
        <w:jc w:val="both"/>
        <w:rPr>
          <w:rFonts w:asciiTheme="majorHAnsi" w:hAnsiTheme="majorHAnsi" w:cstheme="majorHAnsi"/>
          <w:sz w:val="22"/>
          <w:szCs w:val="22"/>
        </w:rPr>
      </w:pPr>
      <w:r w:rsidRPr="0053555E">
        <w:rPr>
          <w:rFonts w:asciiTheme="majorHAnsi" w:hAnsiTheme="majorHAnsi" w:cstheme="majorHAnsi"/>
          <w:sz w:val="22"/>
          <w:szCs w:val="22"/>
        </w:rPr>
        <w:t>VUP – podľa § 80 zákona (zahŕňa len výskumných pracovníkov a umeleckých pracovníkov s vysokoškolským vzdelaním I., II. alebo III. stupňa)</w:t>
      </w:r>
    </w:p>
    <w:p w14:paraId="5AE7F1E1" w14:textId="77777777" w:rsidR="0042210A" w:rsidRPr="0053555E" w:rsidRDefault="0042210A" w:rsidP="0042210A">
      <w:pPr>
        <w:tabs>
          <w:tab w:val="left" w:pos="9356"/>
        </w:tabs>
        <w:jc w:val="both"/>
        <w:rPr>
          <w:rFonts w:asciiTheme="majorHAnsi" w:hAnsiTheme="majorHAnsi" w:cstheme="majorHAnsi"/>
          <w:sz w:val="20"/>
          <w:szCs w:val="20"/>
        </w:rPr>
      </w:pPr>
    </w:p>
    <w:p w14:paraId="0F37245A" w14:textId="77777777" w:rsidR="0042210A" w:rsidRPr="0053555E" w:rsidRDefault="0042210A" w:rsidP="0042210A">
      <w:pPr>
        <w:tabs>
          <w:tab w:val="left" w:pos="9356"/>
        </w:tabs>
        <w:jc w:val="both"/>
        <w:rPr>
          <w:rFonts w:asciiTheme="majorHAnsi" w:hAnsiTheme="majorHAnsi" w:cstheme="majorHAnsi"/>
        </w:rPr>
      </w:pPr>
    </w:p>
    <w:p w14:paraId="517A3B7B" w14:textId="77777777" w:rsidR="0042210A" w:rsidRPr="0053555E" w:rsidRDefault="0042210A" w:rsidP="0042210A">
      <w:pPr>
        <w:tabs>
          <w:tab w:val="left" w:pos="9356"/>
        </w:tabs>
        <w:jc w:val="both"/>
        <w:rPr>
          <w:rFonts w:asciiTheme="majorHAnsi" w:hAnsiTheme="majorHAnsi" w:cstheme="majorHAnsi"/>
        </w:rPr>
      </w:pPr>
    </w:p>
    <w:p w14:paraId="5948ACA8" w14:textId="77777777" w:rsidR="0042210A" w:rsidRPr="0053555E" w:rsidRDefault="0042210A" w:rsidP="0042210A">
      <w:pPr>
        <w:tabs>
          <w:tab w:val="left" w:pos="9356"/>
        </w:tabs>
        <w:jc w:val="both"/>
        <w:rPr>
          <w:rFonts w:asciiTheme="majorHAnsi" w:hAnsiTheme="majorHAnsi" w:cstheme="majorHAnsi"/>
        </w:rPr>
        <w:sectPr w:rsidR="0042210A" w:rsidRPr="0053555E" w:rsidSect="00F21752">
          <w:headerReference w:type="default" r:id="rId19"/>
          <w:pgSz w:w="16838" w:h="11906" w:orient="landscape"/>
          <w:pgMar w:top="1560" w:right="1560" w:bottom="991" w:left="851" w:header="705" w:footer="545" w:gutter="0"/>
          <w:cols w:space="708"/>
          <w:docGrid w:linePitch="326"/>
        </w:sectPr>
      </w:pPr>
    </w:p>
    <w:p w14:paraId="5414941A" w14:textId="2EC97D6E" w:rsidR="0042210A" w:rsidRPr="0053555E" w:rsidRDefault="0042210A" w:rsidP="0042210A">
      <w:pPr>
        <w:jc w:val="both"/>
        <w:rPr>
          <w:rFonts w:asciiTheme="majorHAnsi" w:hAnsiTheme="majorHAnsi" w:cstheme="majorHAnsi"/>
        </w:rPr>
      </w:pPr>
      <w:r w:rsidRPr="004B1E60">
        <w:rPr>
          <w:rFonts w:asciiTheme="majorHAnsi" w:hAnsiTheme="majorHAnsi" w:cstheme="majorHAnsi"/>
        </w:rPr>
        <w:lastRenderedPageBreak/>
        <w:t xml:space="preserve">Porovnanie počtu študentov na tvorivého zamestnanca na vybraných vysokých školách v Slovenskej republike </w:t>
      </w:r>
      <w:r w:rsidR="00A41727" w:rsidRPr="004B1E60">
        <w:rPr>
          <w:rFonts w:asciiTheme="majorHAnsi" w:hAnsiTheme="majorHAnsi" w:cstheme="majorHAnsi"/>
        </w:rPr>
        <w:t>za ostatných desať</w:t>
      </w:r>
      <w:r w:rsidRPr="004B1E60">
        <w:rPr>
          <w:rFonts w:asciiTheme="majorHAnsi" w:hAnsiTheme="majorHAnsi" w:cstheme="majorHAnsi"/>
        </w:rPr>
        <w:t xml:space="preserve"> akademick</w:t>
      </w:r>
      <w:r w:rsidR="00A41727" w:rsidRPr="004B1E60">
        <w:rPr>
          <w:rFonts w:asciiTheme="majorHAnsi" w:hAnsiTheme="majorHAnsi" w:cstheme="majorHAnsi"/>
        </w:rPr>
        <w:t>ých</w:t>
      </w:r>
      <w:r w:rsidRPr="004B1E60">
        <w:rPr>
          <w:rFonts w:asciiTheme="majorHAnsi" w:hAnsiTheme="majorHAnsi" w:cstheme="majorHAnsi"/>
        </w:rPr>
        <w:t xml:space="preserve"> rok</w:t>
      </w:r>
      <w:r w:rsidR="00A41727" w:rsidRPr="004B1E60">
        <w:rPr>
          <w:rFonts w:asciiTheme="majorHAnsi" w:hAnsiTheme="majorHAnsi" w:cstheme="majorHAnsi"/>
        </w:rPr>
        <w:t xml:space="preserve">ov </w:t>
      </w:r>
      <w:r w:rsidRPr="004B1E60">
        <w:rPr>
          <w:rFonts w:asciiTheme="majorHAnsi" w:hAnsiTheme="majorHAnsi" w:cstheme="majorHAnsi"/>
        </w:rPr>
        <w:t xml:space="preserve">uvádza </w:t>
      </w:r>
      <w:r w:rsidRPr="00232A93">
        <w:rPr>
          <w:rFonts w:asciiTheme="majorHAnsi" w:hAnsiTheme="majorHAnsi" w:cstheme="majorHAnsi"/>
        </w:rPr>
        <w:fldChar w:fldCharType="begin"/>
      </w:r>
      <w:r w:rsidRPr="00232A93">
        <w:rPr>
          <w:rFonts w:asciiTheme="majorHAnsi" w:hAnsiTheme="majorHAnsi" w:cstheme="majorHAnsi"/>
        </w:rPr>
        <w:instrText xml:space="preserve"> REF _Ref64881206 \h  \* MERGEFORMAT </w:instrText>
      </w:r>
      <w:r w:rsidRPr="00232A93">
        <w:rPr>
          <w:rFonts w:asciiTheme="majorHAnsi" w:hAnsiTheme="majorHAnsi" w:cstheme="majorHAnsi"/>
        </w:rPr>
      </w:r>
      <w:r w:rsidRPr="00232A93">
        <w:rPr>
          <w:rFonts w:asciiTheme="majorHAnsi" w:hAnsiTheme="majorHAnsi" w:cstheme="majorHAnsi"/>
        </w:rPr>
        <w:fldChar w:fldCharType="separate"/>
      </w:r>
      <w:r w:rsidR="00EE1B59" w:rsidRPr="00232A93">
        <w:rPr>
          <w:rFonts w:asciiTheme="majorHAnsi" w:hAnsiTheme="majorHAnsi" w:cstheme="majorHAnsi"/>
        </w:rPr>
        <w:t>Graf č. 2</w:t>
      </w:r>
      <w:r w:rsidRPr="00232A93">
        <w:rPr>
          <w:rFonts w:asciiTheme="majorHAnsi" w:hAnsiTheme="majorHAnsi" w:cstheme="majorHAnsi"/>
        </w:rPr>
        <w:fldChar w:fldCharType="end"/>
      </w:r>
      <w:r w:rsidRPr="00232A93">
        <w:rPr>
          <w:rFonts w:asciiTheme="majorHAnsi" w:hAnsiTheme="majorHAnsi" w:cstheme="majorHAnsi"/>
        </w:rPr>
        <w:t>.</w:t>
      </w:r>
    </w:p>
    <w:p w14:paraId="348298F1" w14:textId="77777777" w:rsidR="0042210A" w:rsidRPr="0053555E" w:rsidRDefault="0042210A" w:rsidP="0042210A">
      <w:pPr>
        <w:rPr>
          <w:rFonts w:asciiTheme="majorHAnsi" w:hAnsiTheme="majorHAnsi" w:cstheme="majorHAnsi"/>
        </w:rPr>
      </w:pPr>
    </w:p>
    <w:p w14:paraId="113213D2" w14:textId="0AD9D5D3" w:rsidR="0042210A" w:rsidRPr="0053555E" w:rsidRDefault="0042210A" w:rsidP="000E3322">
      <w:pPr>
        <w:pStyle w:val="Popis"/>
      </w:pPr>
      <w:bookmarkStart w:id="32" w:name="_Ref64881206"/>
      <w:bookmarkStart w:id="33" w:name="_Toc127593330"/>
      <w:r w:rsidRPr="0053555E">
        <w:t xml:space="preserve">Graf č. </w:t>
      </w:r>
      <w:r w:rsidR="007B5953">
        <w:fldChar w:fldCharType="begin"/>
      </w:r>
      <w:r w:rsidR="007B5953">
        <w:instrText xml:space="preserve"> SEQ Graf_č. \* ARABIC </w:instrText>
      </w:r>
      <w:r w:rsidR="007B5953">
        <w:fldChar w:fldCharType="separate"/>
      </w:r>
      <w:r w:rsidR="00EE1B59">
        <w:rPr>
          <w:noProof/>
        </w:rPr>
        <w:t>2</w:t>
      </w:r>
      <w:r w:rsidR="007B5953">
        <w:rPr>
          <w:noProof/>
        </w:rPr>
        <w:fldChar w:fldCharType="end"/>
      </w:r>
      <w:bookmarkEnd w:id="32"/>
      <w:r w:rsidRPr="0053555E">
        <w:t xml:space="preserve">: Vývoj počtu študentov na tvorivého zamestnanca na vybraných vysokých školách </w:t>
      </w:r>
      <w:r w:rsidR="00932D50" w:rsidRPr="0053555E">
        <w:t>za ostatných desať</w:t>
      </w:r>
      <w:r w:rsidRPr="0053555E">
        <w:t xml:space="preserve"> akademick</w:t>
      </w:r>
      <w:r w:rsidR="00932D50" w:rsidRPr="0053555E">
        <w:t>ých</w:t>
      </w:r>
      <w:r w:rsidRPr="0053555E">
        <w:t xml:space="preserve"> rok</w:t>
      </w:r>
      <w:r w:rsidR="00932D50" w:rsidRPr="0053555E">
        <w:t>ov</w:t>
      </w:r>
      <w:bookmarkEnd w:id="33"/>
    </w:p>
    <w:p w14:paraId="74BEEA9A" w14:textId="3B1E7816" w:rsidR="00626F0F" w:rsidRPr="0053555E" w:rsidRDefault="00626F0F" w:rsidP="00F205EF">
      <w:pPr>
        <w:jc w:val="center"/>
      </w:pPr>
      <w:r w:rsidRPr="0053555E">
        <w:rPr>
          <w:noProof/>
          <w:lang w:eastAsia="sk-SK"/>
        </w:rPr>
        <w:drawing>
          <wp:inline distT="0" distB="0" distL="0" distR="0" wp14:anchorId="1AF1AE19" wp14:editId="27C8E39B">
            <wp:extent cx="5374257" cy="3165894"/>
            <wp:effectExtent l="0" t="0" r="0" b="0"/>
            <wp:docPr id="25" name="Graf 25">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A67A2D" w14:textId="3275C8A5" w:rsidR="00A42EA4" w:rsidRPr="0053555E" w:rsidRDefault="00A42EA4" w:rsidP="00A36CD4">
      <w:pPr>
        <w:jc w:val="center"/>
      </w:pPr>
    </w:p>
    <w:p w14:paraId="2D9C5EA0" w14:textId="77777777" w:rsidR="0042210A" w:rsidRPr="0053555E" w:rsidRDefault="0042210A" w:rsidP="0042210A">
      <w:pPr>
        <w:tabs>
          <w:tab w:val="left" w:pos="9356"/>
        </w:tabs>
        <w:jc w:val="both"/>
        <w:rPr>
          <w:rFonts w:asciiTheme="majorHAnsi" w:hAnsiTheme="majorHAnsi" w:cstheme="majorHAnsi"/>
        </w:rPr>
      </w:pPr>
    </w:p>
    <w:p w14:paraId="62E6FDEF" w14:textId="77777777" w:rsidR="0042210A" w:rsidRPr="0053555E" w:rsidRDefault="0042210A" w:rsidP="0042210A">
      <w:pPr>
        <w:tabs>
          <w:tab w:val="left" w:pos="9356"/>
        </w:tabs>
        <w:jc w:val="both"/>
        <w:rPr>
          <w:rFonts w:asciiTheme="majorHAnsi" w:hAnsiTheme="majorHAnsi" w:cstheme="majorHAnsi"/>
          <w:sz w:val="22"/>
        </w:rPr>
      </w:pPr>
      <w:r w:rsidRPr="0053555E">
        <w:rPr>
          <w:rFonts w:asciiTheme="majorHAnsi" w:hAnsiTheme="majorHAnsi" w:cstheme="majorHAnsi"/>
          <w:sz w:val="22"/>
        </w:rPr>
        <w:t>Vysvetlivky:</w:t>
      </w:r>
    </w:p>
    <w:p w14:paraId="52A8A38C" w14:textId="77777777" w:rsidR="0042210A" w:rsidRPr="0053555E" w:rsidRDefault="0042210A" w:rsidP="0042210A">
      <w:pPr>
        <w:jc w:val="both"/>
        <w:rPr>
          <w:rFonts w:asciiTheme="majorHAnsi" w:hAnsiTheme="majorHAnsi" w:cstheme="majorHAnsi"/>
          <w:sz w:val="22"/>
          <w:szCs w:val="20"/>
        </w:rPr>
      </w:pPr>
      <w:r w:rsidRPr="0053555E">
        <w:rPr>
          <w:rFonts w:asciiTheme="majorHAnsi" w:hAnsiTheme="majorHAnsi" w:cstheme="majorHAnsi"/>
          <w:sz w:val="22"/>
          <w:szCs w:val="20"/>
        </w:rPr>
        <w:t>UK</w:t>
      </w:r>
      <w:r w:rsidRPr="0053555E">
        <w:rPr>
          <w:rFonts w:asciiTheme="majorHAnsi" w:hAnsiTheme="majorHAnsi" w:cstheme="majorHAnsi"/>
          <w:sz w:val="22"/>
          <w:szCs w:val="20"/>
        </w:rPr>
        <w:tab/>
        <w:t xml:space="preserve">Univerzita Komenského v Bratislave </w:t>
      </w:r>
    </w:p>
    <w:p w14:paraId="2A971704" w14:textId="77777777" w:rsidR="0042210A" w:rsidRPr="0053555E" w:rsidRDefault="0042210A" w:rsidP="0042210A">
      <w:pPr>
        <w:jc w:val="both"/>
        <w:rPr>
          <w:rFonts w:asciiTheme="majorHAnsi" w:hAnsiTheme="majorHAnsi" w:cstheme="majorHAnsi"/>
          <w:sz w:val="22"/>
          <w:szCs w:val="20"/>
        </w:rPr>
      </w:pPr>
      <w:r w:rsidRPr="0053555E">
        <w:rPr>
          <w:rFonts w:asciiTheme="majorHAnsi" w:hAnsiTheme="majorHAnsi" w:cstheme="majorHAnsi"/>
          <w:sz w:val="22"/>
          <w:szCs w:val="20"/>
        </w:rPr>
        <w:t>STU</w:t>
      </w:r>
      <w:r w:rsidRPr="0053555E">
        <w:rPr>
          <w:rFonts w:asciiTheme="majorHAnsi" w:hAnsiTheme="majorHAnsi" w:cstheme="majorHAnsi"/>
          <w:sz w:val="22"/>
          <w:szCs w:val="20"/>
        </w:rPr>
        <w:tab/>
        <w:t>Slovenská technická univerzita v Bratislave</w:t>
      </w:r>
    </w:p>
    <w:p w14:paraId="015AB02D" w14:textId="77777777" w:rsidR="0042210A" w:rsidRPr="0053555E" w:rsidRDefault="0042210A" w:rsidP="0042210A">
      <w:pPr>
        <w:jc w:val="both"/>
        <w:rPr>
          <w:rFonts w:asciiTheme="majorHAnsi" w:hAnsiTheme="majorHAnsi" w:cstheme="majorHAnsi"/>
          <w:sz w:val="22"/>
          <w:szCs w:val="20"/>
        </w:rPr>
      </w:pPr>
      <w:r w:rsidRPr="0053555E">
        <w:rPr>
          <w:rFonts w:asciiTheme="majorHAnsi" w:hAnsiTheme="majorHAnsi" w:cstheme="majorHAnsi"/>
          <w:sz w:val="22"/>
          <w:szCs w:val="20"/>
        </w:rPr>
        <w:t>TU KE</w:t>
      </w:r>
      <w:r w:rsidRPr="0053555E">
        <w:rPr>
          <w:rFonts w:asciiTheme="majorHAnsi" w:hAnsiTheme="majorHAnsi" w:cstheme="majorHAnsi"/>
          <w:sz w:val="22"/>
          <w:szCs w:val="20"/>
        </w:rPr>
        <w:tab/>
        <w:t>Technická univerzita v Košiciach</w:t>
      </w:r>
    </w:p>
    <w:p w14:paraId="0F2558E9" w14:textId="77777777" w:rsidR="0042210A" w:rsidRPr="0053555E" w:rsidRDefault="0042210A" w:rsidP="0042210A">
      <w:pPr>
        <w:jc w:val="both"/>
        <w:rPr>
          <w:rFonts w:asciiTheme="majorHAnsi" w:hAnsiTheme="majorHAnsi" w:cstheme="majorHAnsi"/>
          <w:sz w:val="22"/>
          <w:szCs w:val="20"/>
        </w:rPr>
      </w:pPr>
      <w:r w:rsidRPr="0053555E">
        <w:rPr>
          <w:rFonts w:asciiTheme="majorHAnsi" w:hAnsiTheme="majorHAnsi" w:cstheme="majorHAnsi"/>
          <w:sz w:val="22"/>
          <w:szCs w:val="20"/>
        </w:rPr>
        <w:t xml:space="preserve">ŽU </w:t>
      </w:r>
      <w:r w:rsidRPr="0053555E">
        <w:rPr>
          <w:rFonts w:asciiTheme="majorHAnsi" w:hAnsiTheme="majorHAnsi" w:cstheme="majorHAnsi"/>
          <w:sz w:val="22"/>
          <w:szCs w:val="20"/>
        </w:rPr>
        <w:tab/>
        <w:t>Žilinská univerzita v Žiline</w:t>
      </w:r>
    </w:p>
    <w:p w14:paraId="26D09CB8" w14:textId="77777777" w:rsidR="0042210A" w:rsidRPr="0053555E" w:rsidRDefault="0042210A" w:rsidP="0042210A">
      <w:pPr>
        <w:jc w:val="both"/>
        <w:rPr>
          <w:rFonts w:asciiTheme="majorHAnsi" w:hAnsiTheme="majorHAnsi" w:cstheme="majorHAnsi"/>
          <w:sz w:val="22"/>
          <w:szCs w:val="20"/>
        </w:rPr>
      </w:pPr>
      <w:r w:rsidRPr="0053555E">
        <w:rPr>
          <w:rFonts w:asciiTheme="majorHAnsi" w:hAnsiTheme="majorHAnsi" w:cstheme="majorHAnsi"/>
          <w:sz w:val="22"/>
          <w:szCs w:val="20"/>
        </w:rPr>
        <w:t>SPU</w:t>
      </w:r>
      <w:r w:rsidRPr="0053555E">
        <w:rPr>
          <w:rFonts w:asciiTheme="majorHAnsi" w:hAnsiTheme="majorHAnsi" w:cstheme="majorHAnsi"/>
          <w:sz w:val="22"/>
          <w:szCs w:val="20"/>
        </w:rPr>
        <w:tab/>
        <w:t>Slovenská poľnohospodárska univerzita v Nitre</w:t>
      </w:r>
    </w:p>
    <w:p w14:paraId="2C18F50E" w14:textId="77777777" w:rsidR="0042210A" w:rsidRPr="0053555E" w:rsidRDefault="0042210A" w:rsidP="0042210A">
      <w:pPr>
        <w:jc w:val="both"/>
        <w:rPr>
          <w:rFonts w:asciiTheme="majorHAnsi" w:hAnsiTheme="majorHAnsi" w:cstheme="majorHAnsi"/>
          <w:sz w:val="22"/>
          <w:szCs w:val="20"/>
        </w:rPr>
      </w:pPr>
      <w:r w:rsidRPr="0053555E">
        <w:rPr>
          <w:rFonts w:asciiTheme="majorHAnsi" w:hAnsiTheme="majorHAnsi" w:cstheme="majorHAnsi"/>
          <w:sz w:val="22"/>
          <w:szCs w:val="20"/>
        </w:rPr>
        <w:t>TU ZV</w:t>
      </w:r>
      <w:r w:rsidRPr="0053555E">
        <w:rPr>
          <w:rFonts w:asciiTheme="majorHAnsi" w:hAnsiTheme="majorHAnsi" w:cstheme="majorHAnsi"/>
          <w:sz w:val="22"/>
          <w:szCs w:val="20"/>
        </w:rPr>
        <w:tab/>
        <w:t xml:space="preserve">Technická univerzita vo Zvolene </w:t>
      </w:r>
    </w:p>
    <w:p w14:paraId="547DF0BD" w14:textId="77777777" w:rsidR="0042210A" w:rsidRPr="0053555E" w:rsidRDefault="0042210A" w:rsidP="0042210A">
      <w:pPr>
        <w:tabs>
          <w:tab w:val="left" w:pos="9356"/>
        </w:tabs>
        <w:jc w:val="both"/>
        <w:rPr>
          <w:rFonts w:asciiTheme="majorHAnsi" w:hAnsiTheme="majorHAnsi" w:cstheme="majorHAnsi"/>
          <w:sz w:val="22"/>
        </w:rPr>
      </w:pPr>
    </w:p>
    <w:p w14:paraId="7E897243" w14:textId="075B229D" w:rsidR="0042210A" w:rsidRPr="0053555E" w:rsidRDefault="0042210A" w:rsidP="0042210A">
      <w:pPr>
        <w:tabs>
          <w:tab w:val="left" w:pos="9356"/>
        </w:tabs>
        <w:jc w:val="both"/>
        <w:rPr>
          <w:rFonts w:asciiTheme="majorHAnsi" w:hAnsiTheme="majorHAnsi" w:cstheme="majorHAnsi"/>
          <w:sz w:val="22"/>
          <w:szCs w:val="22"/>
        </w:rPr>
      </w:pPr>
      <w:r w:rsidRPr="0053555E">
        <w:rPr>
          <w:rFonts w:asciiTheme="majorHAnsi" w:hAnsiTheme="majorHAnsi" w:cstheme="majorHAnsi"/>
          <w:b/>
          <w:sz w:val="22"/>
          <w:szCs w:val="22"/>
        </w:rPr>
        <w:t>Počet študentov</w:t>
      </w:r>
      <w:r w:rsidRPr="0053555E">
        <w:rPr>
          <w:rFonts w:asciiTheme="majorHAnsi" w:hAnsiTheme="majorHAnsi" w:cstheme="majorHAnsi"/>
          <w:sz w:val="22"/>
          <w:szCs w:val="22"/>
        </w:rPr>
        <w:t xml:space="preserve"> - zahŕňa študentov všetkých troch stupňov štúdia v dennej a externej forme štúdia na príslušnej vysokej škole k 31. 10. aktuálneho akademického roka podľa štatistík počtu študentov</w:t>
      </w:r>
      <w:r w:rsidRPr="0053555E">
        <w:rPr>
          <w:rFonts w:asciiTheme="majorHAnsi" w:hAnsiTheme="majorHAnsi" w:cstheme="majorHAnsi"/>
          <w:sz w:val="22"/>
          <w:szCs w:val="22"/>
        </w:rPr>
        <w:br/>
        <w:t xml:space="preserve">CVTI (štatistické ročenky - vysoké školy: </w:t>
      </w:r>
      <w:hyperlink r:id="rId21" w:history="1">
        <w:r w:rsidR="00833C02" w:rsidRPr="002E27C6">
          <w:rPr>
            <w:rStyle w:val="Hypertextovprepojenie"/>
            <w:rFonts w:asciiTheme="majorHAnsi" w:hAnsiTheme="majorHAnsi" w:cstheme="majorHAnsi"/>
            <w:sz w:val="22"/>
            <w:szCs w:val="22"/>
          </w:rPr>
          <w:t>https://www.cvtisr.sk/cvti-sr-vedecka-kniznica/informacie-o-skolstve/statistiky/statisticka-rocenka-publikacia/statisticka-rocenka-vysoke-skoly.html?page_id=9596</w:t>
        </w:r>
      </w:hyperlink>
      <w:r w:rsidRPr="0053555E">
        <w:rPr>
          <w:rFonts w:asciiTheme="majorHAnsi" w:hAnsiTheme="majorHAnsi" w:cstheme="majorHAnsi"/>
          <w:sz w:val="22"/>
          <w:szCs w:val="22"/>
        </w:rPr>
        <w:t>).</w:t>
      </w:r>
    </w:p>
    <w:p w14:paraId="79F17690" w14:textId="77777777" w:rsidR="0042210A" w:rsidRPr="0053555E" w:rsidRDefault="0042210A" w:rsidP="0042210A">
      <w:pPr>
        <w:tabs>
          <w:tab w:val="left" w:pos="9356"/>
        </w:tabs>
        <w:jc w:val="both"/>
        <w:rPr>
          <w:rFonts w:asciiTheme="majorHAnsi" w:hAnsiTheme="majorHAnsi" w:cstheme="majorHAnsi"/>
          <w:b/>
          <w:sz w:val="22"/>
          <w:szCs w:val="22"/>
        </w:rPr>
      </w:pPr>
    </w:p>
    <w:p w14:paraId="574DBD7E" w14:textId="26E97AF2" w:rsidR="00833C02" w:rsidRDefault="0042210A" w:rsidP="0042210A">
      <w:pPr>
        <w:tabs>
          <w:tab w:val="left" w:pos="9356"/>
        </w:tabs>
        <w:jc w:val="both"/>
        <w:rPr>
          <w:rFonts w:asciiTheme="majorHAnsi" w:hAnsiTheme="majorHAnsi" w:cstheme="majorHAnsi"/>
          <w:sz w:val="22"/>
          <w:szCs w:val="22"/>
        </w:rPr>
      </w:pPr>
      <w:r w:rsidRPr="0053555E">
        <w:rPr>
          <w:rFonts w:asciiTheme="majorHAnsi" w:hAnsiTheme="majorHAnsi" w:cstheme="majorHAnsi"/>
          <w:b/>
          <w:sz w:val="22"/>
          <w:szCs w:val="22"/>
        </w:rPr>
        <w:t>Počet tvorivých zamestnancov</w:t>
      </w:r>
      <w:r w:rsidRPr="0053555E">
        <w:rPr>
          <w:rFonts w:asciiTheme="majorHAnsi" w:hAnsiTheme="majorHAnsi" w:cstheme="majorHAnsi"/>
          <w:sz w:val="22"/>
          <w:szCs w:val="22"/>
        </w:rPr>
        <w:t xml:space="preserve"> - zahŕňa počet vysokoškolských učiteľov podľa § 75 ods. 1 zákona </w:t>
      </w:r>
      <w:r w:rsidR="00833C02">
        <w:rPr>
          <w:rFonts w:asciiTheme="majorHAnsi" w:hAnsiTheme="majorHAnsi" w:cstheme="majorHAnsi"/>
          <w:sz w:val="22"/>
          <w:szCs w:val="22"/>
        </w:rPr>
        <w:t xml:space="preserve">o vysokých školách </w:t>
      </w:r>
      <w:r w:rsidRPr="0053555E">
        <w:rPr>
          <w:rFonts w:asciiTheme="majorHAnsi" w:hAnsiTheme="majorHAnsi" w:cstheme="majorHAnsi"/>
          <w:sz w:val="22"/>
          <w:szCs w:val="22"/>
        </w:rPr>
        <w:t>(</w:t>
      </w:r>
      <w:r w:rsidR="00833C02">
        <w:rPr>
          <w:rFonts w:asciiTheme="majorHAnsi" w:hAnsiTheme="majorHAnsi" w:cstheme="majorHAnsi"/>
          <w:sz w:val="22"/>
          <w:szCs w:val="22"/>
        </w:rPr>
        <w:t xml:space="preserve">na funkčnom mieste </w:t>
      </w:r>
      <w:r w:rsidRPr="0053555E">
        <w:rPr>
          <w:rFonts w:asciiTheme="majorHAnsi" w:hAnsiTheme="majorHAnsi" w:cstheme="majorHAnsi"/>
          <w:sz w:val="22"/>
          <w:szCs w:val="22"/>
        </w:rPr>
        <w:t xml:space="preserve">hosťujúci </w:t>
      </w:r>
      <w:r w:rsidR="00833C02">
        <w:rPr>
          <w:rFonts w:asciiTheme="majorHAnsi" w:hAnsiTheme="majorHAnsi" w:cstheme="majorHAnsi"/>
          <w:sz w:val="22"/>
          <w:szCs w:val="22"/>
        </w:rPr>
        <w:t xml:space="preserve">profesor </w:t>
      </w:r>
      <w:r w:rsidRPr="0053555E">
        <w:rPr>
          <w:rFonts w:asciiTheme="majorHAnsi" w:hAnsiTheme="majorHAnsi" w:cstheme="majorHAnsi"/>
          <w:sz w:val="22"/>
          <w:szCs w:val="22"/>
        </w:rPr>
        <w:t xml:space="preserve">1H, profesor 1P, docent 2D, odborný asistent 3O, asistent 4A a lektor 5L) a výskumných pracovníkov (výskumník 6V) k 31. 10 aktuálneho akademického roka (osoby, ktorých pracovný pomer bol v tomto období aktívny) podľa Registra zamestnancov VS/Grafy a reporty/Počet zamestnancov VŠ/Podľa funkčného zaradenia: </w:t>
      </w:r>
    </w:p>
    <w:p w14:paraId="3F5E66D4" w14:textId="4E4BA718" w:rsidR="0042210A" w:rsidRPr="0053555E" w:rsidRDefault="0042210A" w:rsidP="0042210A">
      <w:pPr>
        <w:tabs>
          <w:tab w:val="left" w:pos="9356"/>
        </w:tabs>
        <w:jc w:val="both"/>
        <w:rPr>
          <w:rFonts w:asciiTheme="majorHAnsi" w:hAnsiTheme="majorHAnsi" w:cstheme="majorHAnsi"/>
          <w:sz w:val="22"/>
          <w:szCs w:val="22"/>
        </w:rPr>
      </w:pPr>
      <w:r w:rsidRPr="0053555E">
        <w:rPr>
          <w:rFonts w:asciiTheme="majorHAnsi" w:hAnsiTheme="majorHAnsi" w:cstheme="majorHAnsi"/>
          <w:sz w:val="22"/>
          <w:szCs w:val="22"/>
        </w:rPr>
        <w:t>(</w:t>
      </w:r>
      <w:hyperlink r:id="rId22" w:history="1">
        <w:r w:rsidR="00EC35DA" w:rsidRPr="002E27C6">
          <w:rPr>
            <w:rStyle w:val="Hypertextovprepojenie"/>
            <w:rFonts w:asciiTheme="majorHAnsi" w:hAnsiTheme="majorHAnsi" w:cstheme="majorHAnsi"/>
            <w:sz w:val="22"/>
            <w:szCs w:val="22"/>
          </w:rPr>
          <w:t>https://www.portalvs.sk/regzam/stats/?date=2022-10-31</w:t>
        </w:r>
      </w:hyperlink>
      <w:r w:rsidRPr="0053555E">
        <w:rPr>
          <w:rFonts w:asciiTheme="majorHAnsi" w:hAnsiTheme="majorHAnsi" w:cstheme="majorHAnsi"/>
          <w:sz w:val="22"/>
          <w:szCs w:val="22"/>
        </w:rPr>
        <w:t>).</w:t>
      </w:r>
    </w:p>
    <w:p w14:paraId="239B97E0" w14:textId="18009C1B" w:rsidR="0042210A" w:rsidRPr="0053555E" w:rsidRDefault="0042210A" w:rsidP="0042210A">
      <w:pPr>
        <w:tabs>
          <w:tab w:val="left" w:pos="9356"/>
        </w:tabs>
        <w:jc w:val="both"/>
        <w:rPr>
          <w:rFonts w:asciiTheme="majorHAnsi" w:hAnsiTheme="majorHAnsi" w:cstheme="majorHAnsi"/>
          <w:sz w:val="22"/>
          <w:szCs w:val="22"/>
        </w:rPr>
      </w:pPr>
      <w:r w:rsidRPr="0053555E">
        <w:rPr>
          <w:rFonts w:asciiTheme="majorHAnsi" w:hAnsiTheme="majorHAnsi" w:cstheme="majorHAnsi"/>
          <w:sz w:val="22"/>
          <w:szCs w:val="22"/>
        </w:rPr>
        <w:t xml:space="preserve">Zohľadnené počty tvorivých zamestnancov nemusia odpovedať fyzickému počtu zamestnancov na vysokej škole. Čísla sú počítané podľa kategórie pracovného pomeru. Ak ten istý zamestnanec má pracovný pomer na viacerých fakultách, </w:t>
      </w:r>
      <w:r w:rsidR="00EC35DA">
        <w:rPr>
          <w:rFonts w:asciiTheme="majorHAnsi" w:hAnsiTheme="majorHAnsi" w:cstheme="majorHAnsi"/>
          <w:sz w:val="22"/>
          <w:szCs w:val="22"/>
        </w:rPr>
        <w:t>potom</w:t>
      </w:r>
      <w:r w:rsidRPr="0053555E">
        <w:rPr>
          <w:rFonts w:asciiTheme="majorHAnsi" w:hAnsiTheme="majorHAnsi" w:cstheme="majorHAnsi"/>
          <w:sz w:val="22"/>
          <w:szCs w:val="22"/>
        </w:rPr>
        <w:t xml:space="preserve"> bude započítaný v každej z nich. Zároveň ten istý zamestnanec môže mať pracovný pomer a zároveň dohodu na tej istej fakulte. </w:t>
      </w:r>
    </w:p>
    <w:p w14:paraId="231E4372" w14:textId="77777777" w:rsidR="006C7715" w:rsidRPr="0053555E" w:rsidRDefault="006C7715">
      <w:pPr>
        <w:rPr>
          <w:rFonts w:asciiTheme="majorHAnsi" w:hAnsiTheme="majorHAnsi" w:cstheme="majorHAnsi"/>
        </w:rPr>
      </w:pPr>
      <w:r w:rsidRPr="0053555E">
        <w:rPr>
          <w:rFonts w:asciiTheme="majorHAnsi" w:hAnsiTheme="majorHAnsi" w:cstheme="majorHAnsi"/>
        </w:rPr>
        <w:br w:type="page"/>
      </w:r>
    </w:p>
    <w:p w14:paraId="5B0E2270" w14:textId="7D395645" w:rsidR="0042210A" w:rsidRPr="0053555E" w:rsidRDefault="0042210A" w:rsidP="0042210A">
      <w:pPr>
        <w:tabs>
          <w:tab w:val="left" w:pos="9356"/>
        </w:tabs>
        <w:jc w:val="both"/>
        <w:rPr>
          <w:rFonts w:asciiTheme="majorHAnsi" w:hAnsiTheme="majorHAnsi" w:cstheme="majorHAnsi"/>
        </w:rPr>
      </w:pPr>
      <w:r w:rsidRPr="0053555E">
        <w:rPr>
          <w:rFonts w:asciiTheme="majorHAnsi" w:hAnsiTheme="majorHAnsi" w:cstheme="majorHAnsi"/>
        </w:rPr>
        <w:lastRenderedPageBreak/>
        <w:t xml:space="preserve">Porovnanie celkového počtu študentov na vybraných vysokých školách v Slovenskej republike </w:t>
      </w:r>
      <w:r w:rsidR="00E05B28" w:rsidRPr="0053555E">
        <w:rPr>
          <w:rFonts w:asciiTheme="majorHAnsi" w:hAnsiTheme="majorHAnsi" w:cstheme="majorHAnsi"/>
        </w:rPr>
        <w:t xml:space="preserve">za ostatných </w:t>
      </w:r>
      <w:r w:rsidR="0094376B" w:rsidRPr="0053555E">
        <w:rPr>
          <w:rFonts w:asciiTheme="majorHAnsi" w:hAnsiTheme="majorHAnsi" w:cstheme="majorHAnsi"/>
        </w:rPr>
        <w:t>desať akademických rokov</w:t>
      </w:r>
      <w:r w:rsidRPr="0053555E">
        <w:rPr>
          <w:rFonts w:asciiTheme="majorHAnsi" w:hAnsiTheme="majorHAnsi" w:cstheme="majorHAnsi"/>
        </w:rPr>
        <w:t xml:space="preserve"> znázorňuje </w:t>
      </w:r>
      <w:r w:rsidRPr="0053555E">
        <w:rPr>
          <w:rFonts w:asciiTheme="majorHAnsi" w:hAnsiTheme="majorHAnsi" w:cstheme="majorHAnsi"/>
        </w:rPr>
        <w:fldChar w:fldCharType="begin"/>
      </w:r>
      <w:r w:rsidRPr="0053555E">
        <w:rPr>
          <w:rFonts w:asciiTheme="majorHAnsi" w:hAnsiTheme="majorHAnsi" w:cstheme="majorHAnsi"/>
        </w:rPr>
        <w:instrText xml:space="preserve"> REF _Ref474779611 \h  \* MERGEFORMAT </w:instrText>
      </w:r>
      <w:r w:rsidRPr="0053555E">
        <w:rPr>
          <w:rFonts w:asciiTheme="majorHAnsi" w:hAnsiTheme="majorHAnsi" w:cstheme="majorHAnsi"/>
        </w:rPr>
      </w:r>
      <w:r w:rsidRPr="0053555E">
        <w:rPr>
          <w:rFonts w:asciiTheme="majorHAnsi" w:hAnsiTheme="majorHAnsi" w:cstheme="majorHAnsi"/>
        </w:rPr>
        <w:fldChar w:fldCharType="separate"/>
      </w:r>
      <w:r w:rsidR="00EE1B59" w:rsidRPr="00EE1B59">
        <w:rPr>
          <w:rFonts w:asciiTheme="majorHAnsi" w:hAnsiTheme="majorHAnsi" w:cstheme="majorHAnsi"/>
          <w:bCs/>
          <w:sz w:val="20"/>
          <w:szCs w:val="20"/>
        </w:rPr>
        <w:t xml:space="preserve">Graf č. </w:t>
      </w:r>
      <w:r w:rsidR="00EE1B59" w:rsidRPr="00EE1B59">
        <w:rPr>
          <w:rFonts w:asciiTheme="majorHAnsi" w:hAnsiTheme="majorHAnsi" w:cstheme="majorHAnsi"/>
          <w:sz w:val="20"/>
          <w:szCs w:val="20"/>
        </w:rPr>
        <w:t>3</w:t>
      </w:r>
      <w:r w:rsidRPr="0053555E">
        <w:rPr>
          <w:rFonts w:asciiTheme="majorHAnsi" w:hAnsiTheme="majorHAnsi" w:cstheme="majorHAnsi"/>
        </w:rPr>
        <w:fldChar w:fldCharType="end"/>
      </w:r>
      <w:r w:rsidRPr="0053555E">
        <w:rPr>
          <w:rFonts w:asciiTheme="majorHAnsi" w:hAnsiTheme="majorHAnsi" w:cstheme="majorHAnsi"/>
        </w:rPr>
        <w:t>.</w:t>
      </w:r>
    </w:p>
    <w:p w14:paraId="484BFB1A" w14:textId="77777777" w:rsidR="0042210A" w:rsidRPr="0053555E" w:rsidRDefault="0042210A" w:rsidP="0042210A">
      <w:pPr>
        <w:tabs>
          <w:tab w:val="left" w:pos="9356"/>
        </w:tabs>
        <w:jc w:val="both"/>
        <w:rPr>
          <w:rFonts w:asciiTheme="majorHAnsi" w:hAnsiTheme="majorHAnsi" w:cstheme="majorHAnsi"/>
        </w:rPr>
      </w:pPr>
    </w:p>
    <w:p w14:paraId="25ECFB2D" w14:textId="13DE1695" w:rsidR="0042210A" w:rsidRPr="0053555E" w:rsidRDefault="0042210A" w:rsidP="000E3322">
      <w:pPr>
        <w:pStyle w:val="Popis"/>
      </w:pPr>
      <w:bookmarkStart w:id="34" w:name="_Ref474779611"/>
      <w:bookmarkStart w:id="35" w:name="_Toc127593331"/>
      <w:r w:rsidRPr="0053555E">
        <w:t xml:space="preserve">Graf č. </w:t>
      </w:r>
      <w:r w:rsidR="007B5953">
        <w:fldChar w:fldCharType="begin"/>
      </w:r>
      <w:r w:rsidR="007B5953">
        <w:instrText xml:space="preserve"> SEQ Graf_č. \* ARABIC </w:instrText>
      </w:r>
      <w:r w:rsidR="007B5953">
        <w:fldChar w:fldCharType="separate"/>
      </w:r>
      <w:r w:rsidR="00EE1B59">
        <w:rPr>
          <w:noProof/>
        </w:rPr>
        <w:t>3</w:t>
      </w:r>
      <w:r w:rsidR="007B5953">
        <w:rPr>
          <w:noProof/>
        </w:rPr>
        <w:fldChar w:fldCharType="end"/>
      </w:r>
      <w:bookmarkEnd w:id="34"/>
      <w:r w:rsidRPr="0053555E">
        <w:t>: Porovnanie celkového počtu študentov na vybraných vysokých školách v SR</w:t>
      </w:r>
      <w:bookmarkEnd w:id="35"/>
      <w:r w:rsidRPr="0053555E">
        <w:t xml:space="preserve"> </w:t>
      </w:r>
    </w:p>
    <w:p w14:paraId="330B3D0F" w14:textId="628B2A7E" w:rsidR="007A1298" w:rsidRPr="0053555E" w:rsidRDefault="007A1298" w:rsidP="00A52B73">
      <w:pPr>
        <w:jc w:val="center"/>
      </w:pPr>
      <w:r w:rsidRPr="0053555E">
        <w:rPr>
          <w:noProof/>
          <w:lang w:eastAsia="sk-SK"/>
        </w:rPr>
        <w:drawing>
          <wp:inline distT="0" distB="0" distL="0" distR="0" wp14:anchorId="0FEA0628" wp14:editId="31CE01B2">
            <wp:extent cx="5677232" cy="2687541"/>
            <wp:effectExtent l="0" t="0" r="0" b="0"/>
            <wp:docPr id="3" name="Graf 3">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67CDE7" w14:textId="77777777" w:rsidR="0042210A" w:rsidRPr="0053555E" w:rsidRDefault="0042210A" w:rsidP="0042210A">
      <w:pPr>
        <w:jc w:val="both"/>
        <w:rPr>
          <w:rFonts w:asciiTheme="majorHAnsi" w:hAnsiTheme="majorHAnsi" w:cstheme="majorHAnsi"/>
          <w:sz w:val="22"/>
          <w:szCs w:val="20"/>
        </w:rPr>
      </w:pPr>
      <w:r w:rsidRPr="0053555E">
        <w:rPr>
          <w:rFonts w:asciiTheme="majorHAnsi" w:hAnsiTheme="majorHAnsi" w:cstheme="majorHAnsi"/>
          <w:sz w:val="22"/>
          <w:szCs w:val="22"/>
        </w:rPr>
        <w:t>Vysvetlivky</w:t>
      </w:r>
      <w:r w:rsidRPr="0053555E">
        <w:rPr>
          <w:rFonts w:asciiTheme="majorHAnsi" w:hAnsiTheme="majorHAnsi" w:cstheme="majorHAnsi"/>
          <w:sz w:val="22"/>
          <w:szCs w:val="20"/>
        </w:rPr>
        <w:t>:</w:t>
      </w:r>
      <w:r w:rsidRPr="0053555E">
        <w:rPr>
          <w:rFonts w:asciiTheme="majorHAnsi" w:hAnsiTheme="majorHAnsi" w:cstheme="majorHAnsi"/>
          <w:sz w:val="22"/>
          <w:szCs w:val="20"/>
        </w:rPr>
        <w:tab/>
      </w:r>
    </w:p>
    <w:p w14:paraId="2452EAC4" w14:textId="60533B2C" w:rsidR="0042210A" w:rsidRPr="0053555E" w:rsidRDefault="0042210A" w:rsidP="0042210A">
      <w:pPr>
        <w:jc w:val="both"/>
        <w:rPr>
          <w:rFonts w:asciiTheme="majorHAnsi" w:hAnsiTheme="majorHAnsi" w:cstheme="majorHAnsi"/>
          <w:sz w:val="22"/>
          <w:szCs w:val="22"/>
        </w:rPr>
      </w:pPr>
      <w:r w:rsidRPr="0053555E">
        <w:rPr>
          <w:rFonts w:asciiTheme="majorHAnsi" w:hAnsiTheme="majorHAnsi" w:cstheme="majorHAnsi"/>
          <w:sz w:val="22"/>
          <w:szCs w:val="22"/>
        </w:rPr>
        <w:t>Zdroj:</w:t>
      </w:r>
      <w:r w:rsidRPr="0053555E">
        <w:rPr>
          <w:rFonts w:asciiTheme="majorHAnsi" w:hAnsiTheme="majorHAnsi" w:cstheme="majorHAnsi"/>
          <w:sz w:val="22"/>
          <w:szCs w:val="22"/>
        </w:rPr>
        <w:tab/>
        <w:t xml:space="preserve">Štatistické ročenky CVTI SR, </w:t>
      </w:r>
      <w:hyperlink r:id="rId24" w:history="1">
        <w:r w:rsidRPr="0053555E">
          <w:rPr>
            <w:rStyle w:val="Hypertextovprepojenie"/>
            <w:rFonts w:asciiTheme="majorHAnsi" w:hAnsiTheme="majorHAnsi" w:cstheme="majorHAnsi"/>
            <w:color w:val="auto"/>
            <w:sz w:val="22"/>
            <w:szCs w:val="22"/>
          </w:rPr>
          <w:t>www.cvtisr.sk</w:t>
        </w:r>
      </w:hyperlink>
      <w:r w:rsidRPr="0053555E">
        <w:rPr>
          <w:rFonts w:asciiTheme="majorHAnsi" w:hAnsiTheme="majorHAnsi" w:cstheme="majorHAnsi"/>
          <w:sz w:val="22"/>
          <w:szCs w:val="22"/>
        </w:rPr>
        <w:t xml:space="preserve">  </w:t>
      </w:r>
    </w:p>
    <w:p w14:paraId="1C051E7F" w14:textId="77777777" w:rsidR="0042210A" w:rsidRPr="0053555E" w:rsidRDefault="0042210A" w:rsidP="0042210A">
      <w:pPr>
        <w:tabs>
          <w:tab w:val="left" w:pos="9356"/>
        </w:tabs>
        <w:jc w:val="both"/>
        <w:rPr>
          <w:rFonts w:asciiTheme="majorHAnsi" w:hAnsiTheme="majorHAnsi" w:cstheme="majorHAnsi"/>
          <w:sz w:val="20"/>
          <w:szCs w:val="20"/>
        </w:rPr>
      </w:pPr>
    </w:p>
    <w:p w14:paraId="57F06F2B" w14:textId="196FEBBE" w:rsidR="0042210A" w:rsidRPr="00232A93" w:rsidRDefault="0042210A" w:rsidP="0042210A">
      <w:pPr>
        <w:tabs>
          <w:tab w:val="left" w:pos="9356"/>
        </w:tabs>
        <w:jc w:val="both"/>
        <w:rPr>
          <w:rFonts w:asciiTheme="majorHAnsi" w:eastAsia="Times New Roman" w:hAnsiTheme="majorHAnsi" w:cstheme="majorHAnsi"/>
          <w:lang w:eastAsia="sk-SK"/>
        </w:rPr>
      </w:pPr>
      <w:r w:rsidRPr="0053555E">
        <w:rPr>
          <w:rFonts w:asciiTheme="majorHAnsi" w:hAnsiTheme="majorHAnsi" w:cstheme="majorHAnsi"/>
        </w:rPr>
        <w:t xml:space="preserve">Vývoj celkového počtu študentov STU a počtov študentov v dennej forme štúdia a externej forme štúdia v jednotlivých stupňoch vysokoškolského vzdelávania </w:t>
      </w:r>
      <w:r w:rsidR="002C4EB0" w:rsidRPr="0053555E">
        <w:rPr>
          <w:rFonts w:asciiTheme="majorHAnsi" w:hAnsiTheme="majorHAnsi" w:cstheme="majorHAnsi"/>
        </w:rPr>
        <w:t>za ostatných sedem</w:t>
      </w:r>
      <w:r w:rsidRPr="0053555E">
        <w:rPr>
          <w:rFonts w:asciiTheme="majorHAnsi" w:hAnsiTheme="majorHAnsi" w:cstheme="majorHAnsi"/>
        </w:rPr>
        <w:t xml:space="preserve"> akademick</w:t>
      </w:r>
      <w:r w:rsidR="002C4EB0" w:rsidRPr="0053555E">
        <w:rPr>
          <w:rFonts w:asciiTheme="majorHAnsi" w:hAnsiTheme="majorHAnsi" w:cstheme="majorHAnsi"/>
        </w:rPr>
        <w:t xml:space="preserve">ých </w:t>
      </w:r>
      <w:r w:rsidRPr="0053555E">
        <w:rPr>
          <w:rFonts w:asciiTheme="majorHAnsi" w:hAnsiTheme="majorHAnsi" w:cstheme="majorHAnsi"/>
        </w:rPr>
        <w:t>rok</w:t>
      </w:r>
      <w:r w:rsidR="002C4EB0" w:rsidRPr="0053555E">
        <w:rPr>
          <w:rFonts w:asciiTheme="majorHAnsi" w:hAnsiTheme="majorHAnsi" w:cstheme="majorHAnsi"/>
        </w:rPr>
        <w:t>ov</w:t>
      </w:r>
      <w:r w:rsidRPr="0053555E">
        <w:rPr>
          <w:rFonts w:asciiTheme="majorHAnsi" w:hAnsiTheme="majorHAnsi" w:cstheme="majorHAnsi"/>
        </w:rPr>
        <w:t xml:space="preserve"> uvádzajú </w:t>
      </w:r>
      <w:r w:rsidRPr="00232A93">
        <w:rPr>
          <w:rFonts w:asciiTheme="majorHAnsi" w:eastAsia="Times New Roman" w:hAnsiTheme="majorHAnsi" w:cstheme="majorHAnsi"/>
          <w:lang w:eastAsia="sk-SK"/>
        </w:rPr>
        <w:fldChar w:fldCharType="begin"/>
      </w:r>
      <w:r w:rsidRPr="00232A93">
        <w:rPr>
          <w:rFonts w:asciiTheme="majorHAnsi" w:eastAsia="Times New Roman" w:hAnsiTheme="majorHAnsi" w:cstheme="majorHAnsi"/>
          <w:lang w:eastAsia="sk-SK"/>
        </w:rPr>
        <w:instrText xml:space="preserve"> REF _Ref64645190 \h  \* MERGEFORMAT </w:instrText>
      </w:r>
      <w:r w:rsidRPr="00232A93">
        <w:rPr>
          <w:rFonts w:asciiTheme="majorHAnsi" w:eastAsia="Times New Roman" w:hAnsiTheme="majorHAnsi" w:cstheme="majorHAnsi"/>
          <w:lang w:eastAsia="sk-SK"/>
        </w:rPr>
      </w:r>
      <w:r w:rsidRPr="00232A93">
        <w:rPr>
          <w:rFonts w:asciiTheme="majorHAnsi" w:eastAsia="Times New Roman" w:hAnsiTheme="majorHAnsi" w:cstheme="majorHAnsi"/>
          <w:lang w:eastAsia="sk-SK"/>
        </w:rPr>
        <w:fldChar w:fldCharType="separate"/>
      </w:r>
      <w:r w:rsidR="00EE1B59" w:rsidRPr="00232A93">
        <w:rPr>
          <w:rFonts w:asciiTheme="majorHAnsi" w:eastAsia="Times New Roman" w:hAnsiTheme="majorHAnsi" w:cstheme="majorHAnsi"/>
          <w:lang w:eastAsia="sk-SK"/>
        </w:rPr>
        <w:t>Tab. č. 8</w:t>
      </w:r>
      <w:r w:rsidRPr="00232A93">
        <w:rPr>
          <w:rFonts w:asciiTheme="majorHAnsi" w:eastAsia="Times New Roman" w:hAnsiTheme="majorHAnsi" w:cstheme="majorHAnsi"/>
          <w:lang w:eastAsia="sk-SK"/>
        </w:rPr>
        <w:fldChar w:fldCharType="end"/>
      </w:r>
      <w:r w:rsidRPr="00232A93">
        <w:rPr>
          <w:rFonts w:asciiTheme="majorHAnsi" w:eastAsia="Times New Roman" w:hAnsiTheme="majorHAnsi" w:cstheme="majorHAnsi"/>
          <w:lang w:eastAsia="sk-SK"/>
        </w:rPr>
        <w:t xml:space="preserve">, </w:t>
      </w:r>
      <w:r w:rsidRPr="00232A93">
        <w:rPr>
          <w:rFonts w:asciiTheme="majorHAnsi" w:eastAsia="Times New Roman" w:hAnsiTheme="majorHAnsi" w:cstheme="majorHAnsi"/>
          <w:lang w:eastAsia="sk-SK"/>
        </w:rPr>
        <w:fldChar w:fldCharType="begin"/>
      </w:r>
      <w:r w:rsidRPr="00232A93">
        <w:rPr>
          <w:rFonts w:asciiTheme="majorHAnsi" w:eastAsia="Times New Roman" w:hAnsiTheme="majorHAnsi" w:cstheme="majorHAnsi"/>
          <w:lang w:eastAsia="sk-SK"/>
        </w:rPr>
        <w:instrText xml:space="preserve"> REF _Ref31707237 \h  \* MERGEFORMAT </w:instrText>
      </w:r>
      <w:r w:rsidRPr="00232A93">
        <w:rPr>
          <w:rFonts w:asciiTheme="majorHAnsi" w:eastAsia="Times New Roman" w:hAnsiTheme="majorHAnsi" w:cstheme="majorHAnsi"/>
          <w:lang w:eastAsia="sk-SK"/>
        </w:rPr>
      </w:r>
      <w:r w:rsidRPr="00232A93">
        <w:rPr>
          <w:rFonts w:asciiTheme="majorHAnsi" w:eastAsia="Times New Roman" w:hAnsiTheme="majorHAnsi" w:cstheme="majorHAnsi"/>
          <w:lang w:eastAsia="sk-SK"/>
        </w:rPr>
        <w:fldChar w:fldCharType="separate"/>
      </w:r>
      <w:r w:rsidR="00EE1B59" w:rsidRPr="00232A93">
        <w:rPr>
          <w:rFonts w:asciiTheme="majorHAnsi" w:eastAsia="Times New Roman" w:hAnsiTheme="majorHAnsi" w:cstheme="majorHAnsi"/>
          <w:lang w:eastAsia="sk-SK"/>
        </w:rPr>
        <w:t>Tab. č. 9</w:t>
      </w:r>
      <w:r w:rsidRPr="00232A93">
        <w:rPr>
          <w:rFonts w:asciiTheme="majorHAnsi" w:eastAsia="Times New Roman" w:hAnsiTheme="majorHAnsi" w:cstheme="majorHAnsi"/>
          <w:lang w:eastAsia="sk-SK"/>
        </w:rPr>
        <w:fldChar w:fldCharType="end"/>
      </w:r>
      <w:r w:rsidRPr="00232A93">
        <w:rPr>
          <w:rFonts w:asciiTheme="majorHAnsi" w:eastAsia="Times New Roman" w:hAnsiTheme="majorHAnsi" w:cstheme="majorHAnsi"/>
          <w:lang w:eastAsia="sk-SK"/>
        </w:rPr>
        <w:t xml:space="preserve"> a</w:t>
      </w:r>
      <w:r w:rsidR="00B64A36" w:rsidRPr="00232A93">
        <w:rPr>
          <w:rFonts w:asciiTheme="majorHAnsi" w:eastAsia="Times New Roman" w:hAnsiTheme="majorHAnsi" w:cstheme="majorHAnsi"/>
          <w:lang w:eastAsia="sk-SK"/>
        </w:rPr>
        <w:t xml:space="preserve"> </w:t>
      </w:r>
      <w:r w:rsidR="00B64A36" w:rsidRPr="00232A93">
        <w:rPr>
          <w:rFonts w:asciiTheme="majorHAnsi" w:eastAsia="Times New Roman" w:hAnsiTheme="majorHAnsi" w:cstheme="majorHAnsi"/>
          <w:lang w:eastAsia="sk-SK"/>
        </w:rPr>
        <w:fldChar w:fldCharType="begin"/>
      </w:r>
      <w:r w:rsidR="00B64A36" w:rsidRPr="00232A93">
        <w:rPr>
          <w:rFonts w:asciiTheme="majorHAnsi" w:eastAsia="Times New Roman" w:hAnsiTheme="majorHAnsi" w:cstheme="majorHAnsi"/>
          <w:lang w:eastAsia="sk-SK"/>
        </w:rPr>
        <w:instrText xml:space="preserve"> REF _Ref127207645 \h  \* MERGEFORMAT </w:instrText>
      </w:r>
      <w:r w:rsidR="00B64A36" w:rsidRPr="00232A93">
        <w:rPr>
          <w:rFonts w:asciiTheme="majorHAnsi" w:eastAsia="Times New Roman" w:hAnsiTheme="majorHAnsi" w:cstheme="majorHAnsi"/>
          <w:lang w:eastAsia="sk-SK"/>
        </w:rPr>
      </w:r>
      <w:r w:rsidR="00B64A36" w:rsidRPr="00232A93">
        <w:rPr>
          <w:rFonts w:asciiTheme="majorHAnsi" w:eastAsia="Times New Roman" w:hAnsiTheme="majorHAnsi" w:cstheme="majorHAnsi"/>
          <w:lang w:eastAsia="sk-SK"/>
        </w:rPr>
        <w:fldChar w:fldCharType="separate"/>
      </w:r>
      <w:r w:rsidR="00EE1B59" w:rsidRPr="00232A93">
        <w:t xml:space="preserve">Graf č. </w:t>
      </w:r>
      <w:r w:rsidR="00EE1B59" w:rsidRPr="00232A93">
        <w:rPr>
          <w:noProof/>
        </w:rPr>
        <w:t>4</w:t>
      </w:r>
      <w:r w:rsidR="00B64A36" w:rsidRPr="00232A93">
        <w:rPr>
          <w:rFonts w:asciiTheme="majorHAnsi" w:eastAsia="Times New Roman" w:hAnsiTheme="majorHAnsi" w:cstheme="majorHAnsi"/>
          <w:lang w:eastAsia="sk-SK"/>
        </w:rPr>
        <w:fldChar w:fldCharType="end"/>
      </w:r>
      <w:r w:rsidRPr="00232A93">
        <w:rPr>
          <w:rFonts w:asciiTheme="majorHAnsi" w:eastAsia="Times New Roman" w:hAnsiTheme="majorHAnsi" w:cstheme="majorHAnsi"/>
          <w:lang w:eastAsia="sk-SK"/>
        </w:rPr>
        <w:t xml:space="preserve">, </w:t>
      </w:r>
      <w:r w:rsidRPr="00232A93">
        <w:rPr>
          <w:rFonts w:asciiTheme="majorHAnsi" w:eastAsia="Times New Roman" w:hAnsiTheme="majorHAnsi" w:cstheme="majorHAnsi"/>
          <w:lang w:eastAsia="sk-SK"/>
        </w:rPr>
        <w:fldChar w:fldCharType="begin"/>
      </w:r>
      <w:r w:rsidRPr="00232A93">
        <w:rPr>
          <w:rFonts w:asciiTheme="majorHAnsi" w:eastAsia="Times New Roman" w:hAnsiTheme="majorHAnsi" w:cstheme="majorHAnsi"/>
          <w:lang w:eastAsia="sk-SK"/>
        </w:rPr>
        <w:instrText xml:space="preserve"> REF _Ref474779684 \h  \* MERGEFORMAT </w:instrText>
      </w:r>
      <w:r w:rsidRPr="00232A93">
        <w:rPr>
          <w:rFonts w:asciiTheme="majorHAnsi" w:eastAsia="Times New Roman" w:hAnsiTheme="majorHAnsi" w:cstheme="majorHAnsi"/>
          <w:lang w:eastAsia="sk-SK"/>
        </w:rPr>
      </w:r>
      <w:r w:rsidRPr="00232A93">
        <w:rPr>
          <w:rFonts w:asciiTheme="majorHAnsi" w:eastAsia="Times New Roman" w:hAnsiTheme="majorHAnsi" w:cstheme="majorHAnsi"/>
          <w:lang w:eastAsia="sk-SK"/>
        </w:rPr>
        <w:fldChar w:fldCharType="separate"/>
      </w:r>
      <w:r w:rsidR="00EE1B59" w:rsidRPr="00232A93">
        <w:rPr>
          <w:rFonts w:asciiTheme="majorHAnsi" w:eastAsia="Times New Roman" w:hAnsiTheme="majorHAnsi" w:cstheme="majorHAnsi"/>
          <w:lang w:eastAsia="sk-SK"/>
        </w:rPr>
        <w:t>Graf č. 5</w:t>
      </w:r>
      <w:r w:rsidRPr="00232A93">
        <w:rPr>
          <w:rFonts w:asciiTheme="majorHAnsi" w:eastAsia="Times New Roman" w:hAnsiTheme="majorHAnsi" w:cstheme="majorHAnsi"/>
          <w:lang w:eastAsia="sk-SK"/>
        </w:rPr>
        <w:fldChar w:fldCharType="end"/>
      </w:r>
      <w:r w:rsidRPr="00232A93">
        <w:rPr>
          <w:rFonts w:asciiTheme="majorHAnsi" w:eastAsia="Times New Roman" w:hAnsiTheme="majorHAnsi" w:cstheme="majorHAnsi"/>
          <w:lang w:eastAsia="sk-SK"/>
        </w:rPr>
        <w:t xml:space="preserve"> a </w:t>
      </w:r>
      <w:r w:rsidRPr="00232A93">
        <w:rPr>
          <w:rFonts w:asciiTheme="majorHAnsi" w:eastAsia="Times New Roman" w:hAnsiTheme="majorHAnsi" w:cstheme="majorHAnsi"/>
          <w:lang w:eastAsia="sk-SK"/>
        </w:rPr>
        <w:fldChar w:fldCharType="begin"/>
      </w:r>
      <w:r w:rsidRPr="00232A93">
        <w:rPr>
          <w:rFonts w:asciiTheme="majorHAnsi" w:eastAsia="Times New Roman" w:hAnsiTheme="majorHAnsi" w:cstheme="majorHAnsi"/>
          <w:lang w:eastAsia="sk-SK"/>
        </w:rPr>
        <w:instrText xml:space="preserve"> REF _Ref474779701 \h  \* MERGEFORMAT </w:instrText>
      </w:r>
      <w:r w:rsidRPr="00232A93">
        <w:rPr>
          <w:rFonts w:asciiTheme="majorHAnsi" w:eastAsia="Times New Roman" w:hAnsiTheme="majorHAnsi" w:cstheme="majorHAnsi"/>
          <w:lang w:eastAsia="sk-SK"/>
        </w:rPr>
      </w:r>
      <w:r w:rsidRPr="00232A93">
        <w:rPr>
          <w:rFonts w:asciiTheme="majorHAnsi" w:eastAsia="Times New Roman" w:hAnsiTheme="majorHAnsi" w:cstheme="majorHAnsi"/>
          <w:lang w:eastAsia="sk-SK"/>
        </w:rPr>
        <w:fldChar w:fldCharType="separate"/>
      </w:r>
      <w:r w:rsidR="00EE1B59" w:rsidRPr="00232A93">
        <w:rPr>
          <w:rFonts w:asciiTheme="majorHAnsi" w:eastAsia="Times New Roman" w:hAnsiTheme="majorHAnsi" w:cstheme="majorHAnsi"/>
          <w:lang w:eastAsia="sk-SK"/>
        </w:rPr>
        <w:t>Graf č. 6</w:t>
      </w:r>
      <w:r w:rsidRPr="00232A93">
        <w:rPr>
          <w:rFonts w:asciiTheme="majorHAnsi" w:eastAsia="Times New Roman" w:hAnsiTheme="majorHAnsi" w:cstheme="majorHAnsi"/>
          <w:lang w:eastAsia="sk-SK"/>
        </w:rPr>
        <w:fldChar w:fldCharType="end"/>
      </w:r>
      <w:r w:rsidRPr="00232A93">
        <w:rPr>
          <w:rFonts w:asciiTheme="majorHAnsi" w:eastAsia="Times New Roman" w:hAnsiTheme="majorHAnsi" w:cstheme="majorHAnsi"/>
          <w:lang w:eastAsia="sk-SK"/>
        </w:rPr>
        <w:t>.</w:t>
      </w:r>
    </w:p>
    <w:p w14:paraId="3DE59D90" w14:textId="77777777" w:rsidR="0042210A" w:rsidRPr="0053555E" w:rsidRDefault="0042210A" w:rsidP="0042210A">
      <w:pPr>
        <w:tabs>
          <w:tab w:val="left" w:pos="9356"/>
        </w:tabs>
        <w:jc w:val="both"/>
        <w:rPr>
          <w:rFonts w:asciiTheme="majorHAnsi" w:eastAsia="Times New Roman" w:hAnsiTheme="majorHAnsi" w:cstheme="majorHAnsi"/>
          <w:sz w:val="20"/>
          <w:szCs w:val="22"/>
          <w:lang w:eastAsia="sk-SK"/>
        </w:rPr>
      </w:pPr>
    </w:p>
    <w:p w14:paraId="2CDA6818" w14:textId="07ED5C4E" w:rsidR="0042210A" w:rsidRPr="0053555E" w:rsidRDefault="0042210A" w:rsidP="000E3322">
      <w:pPr>
        <w:pStyle w:val="Popis"/>
        <w:rPr>
          <w:lang w:eastAsia="sk-SK"/>
        </w:rPr>
      </w:pPr>
      <w:bookmarkStart w:id="36" w:name="_Ref64645190"/>
      <w:bookmarkStart w:id="37" w:name="_Ref474776703"/>
      <w:bookmarkStart w:id="38" w:name="_Toc127593271"/>
      <w:r w:rsidRPr="0053555E">
        <w:t xml:space="preserve">Tab. č. </w:t>
      </w:r>
      <w:r w:rsidR="007B5953">
        <w:fldChar w:fldCharType="begin"/>
      </w:r>
      <w:r w:rsidR="007B5953">
        <w:instrText xml:space="preserve"> SEQ Tab._č. \* ARABIC </w:instrText>
      </w:r>
      <w:r w:rsidR="007B5953">
        <w:fldChar w:fldCharType="separate"/>
      </w:r>
      <w:r w:rsidR="00EE1B59">
        <w:rPr>
          <w:noProof/>
        </w:rPr>
        <w:t>8</w:t>
      </w:r>
      <w:r w:rsidR="007B5953">
        <w:rPr>
          <w:noProof/>
        </w:rPr>
        <w:fldChar w:fldCharType="end"/>
      </w:r>
      <w:bookmarkEnd w:id="36"/>
      <w:r w:rsidRPr="0053555E">
        <w:rPr>
          <w:lang w:eastAsia="sk-SK"/>
        </w:rPr>
        <w:t>:</w:t>
      </w:r>
      <w:bookmarkEnd w:id="37"/>
      <w:r w:rsidRPr="0053555E">
        <w:rPr>
          <w:lang w:eastAsia="sk-SK"/>
        </w:rPr>
        <w:t xml:space="preserve"> Porovnanie celkového počtu študentov STU na jednotlivých stupňoch štúdia</w:t>
      </w:r>
      <w:bookmarkEnd w:id="38"/>
    </w:p>
    <w:tbl>
      <w:tblPr>
        <w:tblW w:w="9438" w:type="dxa"/>
        <w:tblInd w:w="55" w:type="dxa"/>
        <w:tblLayout w:type="fixed"/>
        <w:tblCellMar>
          <w:left w:w="70" w:type="dxa"/>
          <w:right w:w="70" w:type="dxa"/>
        </w:tblCellMar>
        <w:tblLook w:val="04A0" w:firstRow="1" w:lastRow="0" w:firstColumn="1" w:lastColumn="0" w:noHBand="0" w:noVBand="1"/>
      </w:tblPr>
      <w:tblGrid>
        <w:gridCol w:w="1074"/>
        <w:gridCol w:w="1194"/>
        <w:gridCol w:w="1195"/>
        <w:gridCol w:w="1195"/>
        <w:gridCol w:w="1195"/>
        <w:gridCol w:w="1195"/>
        <w:gridCol w:w="1195"/>
        <w:gridCol w:w="1195"/>
      </w:tblGrid>
      <w:tr w:rsidR="00F74424" w:rsidRPr="0053555E" w14:paraId="17496212" w14:textId="77777777" w:rsidTr="00744012">
        <w:trPr>
          <w:trHeight w:val="315"/>
        </w:trPr>
        <w:tc>
          <w:tcPr>
            <w:tcW w:w="1074" w:type="dxa"/>
            <w:tcBorders>
              <w:top w:val="single" w:sz="4" w:space="0" w:color="auto"/>
              <w:left w:val="single" w:sz="4" w:space="0" w:color="auto"/>
              <w:bottom w:val="single" w:sz="4" w:space="0" w:color="auto"/>
              <w:right w:val="single" w:sz="4" w:space="0" w:color="auto"/>
            </w:tcBorders>
            <w:noWrap/>
            <w:vAlign w:val="bottom"/>
            <w:hideMark/>
          </w:tcPr>
          <w:p w14:paraId="51D81ED5" w14:textId="77777777" w:rsidR="00F74424" w:rsidRPr="0053555E" w:rsidRDefault="00F74424" w:rsidP="00F74424">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Stupeň</w:t>
            </w:r>
          </w:p>
        </w:tc>
        <w:tc>
          <w:tcPr>
            <w:tcW w:w="1194" w:type="dxa"/>
            <w:tcBorders>
              <w:top w:val="single" w:sz="4" w:space="0" w:color="auto"/>
              <w:left w:val="nil"/>
              <w:bottom w:val="single" w:sz="4" w:space="0" w:color="auto"/>
              <w:right w:val="single" w:sz="4" w:space="0" w:color="auto"/>
            </w:tcBorders>
            <w:vAlign w:val="center"/>
          </w:tcPr>
          <w:p w14:paraId="6B23C178" w14:textId="20415190" w:rsidR="00F74424" w:rsidRPr="0053555E" w:rsidRDefault="00F74424" w:rsidP="00F74424">
            <w:pPr>
              <w:jc w:val="center"/>
              <w:rPr>
                <w:rFonts w:asciiTheme="majorHAnsi" w:hAnsiTheme="majorHAnsi" w:cstheme="majorHAnsi"/>
                <w:sz w:val="22"/>
              </w:rPr>
            </w:pPr>
            <w:r w:rsidRPr="0053555E">
              <w:rPr>
                <w:rFonts w:cs="Calibri"/>
                <w:sz w:val="22"/>
              </w:rPr>
              <w:t>2015/2016</w:t>
            </w:r>
          </w:p>
        </w:tc>
        <w:tc>
          <w:tcPr>
            <w:tcW w:w="1195" w:type="dxa"/>
            <w:tcBorders>
              <w:top w:val="single" w:sz="4" w:space="0" w:color="auto"/>
              <w:left w:val="single" w:sz="4" w:space="0" w:color="auto"/>
              <w:bottom w:val="single" w:sz="4" w:space="0" w:color="auto"/>
              <w:right w:val="single" w:sz="4" w:space="0" w:color="auto"/>
            </w:tcBorders>
            <w:vAlign w:val="center"/>
          </w:tcPr>
          <w:p w14:paraId="55C20E9B" w14:textId="09862C51" w:rsidR="00F74424" w:rsidRPr="0053555E" w:rsidRDefault="00F74424" w:rsidP="00F74424">
            <w:pPr>
              <w:jc w:val="center"/>
              <w:rPr>
                <w:rFonts w:asciiTheme="majorHAnsi" w:hAnsiTheme="majorHAnsi" w:cstheme="majorHAnsi"/>
                <w:sz w:val="22"/>
              </w:rPr>
            </w:pPr>
            <w:r w:rsidRPr="0053555E">
              <w:rPr>
                <w:rFonts w:cs="Calibri"/>
                <w:sz w:val="22"/>
              </w:rPr>
              <w:t>2016/2017</w:t>
            </w:r>
          </w:p>
        </w:tc>
        <w:tc>
          <w:tcPr>
            <w:tcW w:w="1195" w:type="dxa"/>
            <w:tcBorders>
              <w:top w:val="single" w:sz="4" w:space="0" w:color="auto"/>
              <w:left w:val="single" w:sz="4" w:space="0" w:color="auto"/>
              <w:bottom w:val="single" w:sz="4" w:space="0" w:color="auto"/>
              <w:right w:val="single" w:sz="4" w:space="0" w:color="auto"/>
            </w:tcBorders>
            <w:noWrap/>
            <w:vAlign w:val="center"/>
            <w:hideMark/>
          </w:tcPr>
          <w:p w14:paraId="10B72D73" w14:textId="7E524AA8" w:rsidR="00F74424" w:rsidRPr="0053555E" w:rsidRDefault="00F74424" w:rsidP="00F74424">
            <w:pPr>
              <w:jc w:val="center"/>
              <w:rPr>
                <w:rFonts w:asciiTheme="majorHAnsi" w:hAnsiTheme="majorHAnsi" w:cstheme="majorHAnsi"/>
                <w:sz w:val="22"/>
              </w:rPr>
            </w:pPr>
            <w:r w:rsidRPr="0053555E">
              <w:rPr>
                <w:rFonts w:cs="Calibri"/>
                <w:sz w:val="22"/>
              </w:rPr>
              <w:t>2017/2018</w:t>
            </w:r>
          </w:p>
        </w:tc>
        <w:tc>
          <w:tcPr>
            <w:tcW w:w="1195" w:type="dxa"/>
            <w:tcBorders>
              <w:top w:val="single" w:sz="4" w:space="0" w:color="auto"/>
              <w:left w:val="nil"/>
              <w:bottom w:val="single" w:sz="4" w:space="0" w:color="auto"/>
              <w:right w:val="single" w:sz="4" w:space="0" w:color="auto"/>
            </w:tcBorders>
            <w:noWrap/>
            <w:vAlign w:val="center"/>
            <w:hideMark/>
          </w:tcPr>
          <w:p w14:paraId="5E573FC9" w14:textId="4E5FD0AD" w:rsidR="00F74424" w:rsidRPr="0053555E" w:rsidRDefault="00B64A36" w:rsidP="00F74424">
            <w:pPr>
              <w:jc w:val="center"/>
              <w:rPr>
                <w:rFonts w:asciiTheme="majorHAnsi" w:hAnsiTheme="majorHAnsi" w:cstheme="majorHAnsi"/>
                <w:sz w:val="22"/>
              </w:rPr>
            </w:pPr>
            <w:r>
              <w:rPr>
                <w:rFonts w:asciiTheme="majorHAnsi" w:hAnsiTheme="majorHAnsi" w:cstheme="majorHAnsi"/>
                <w:sz w:val="22"/>
              </w:rPr>
              <w:t>2018/2019</w:t>
            </w:r>
          </w:p>
        </w:tc>
        <w:tc>
          <w:tcPr>
            <w:tcW w:w="1195" w:type="dxa"/>
            <w:tcBorders>
              <w:top w:val="single" w:sz="4" w:space="0" w:color="auto"/>
              <w:left w:val="nil"/>
              <w:bottom w:val="single" w:sz="4" w:space="0" w:color="auto"/>
              <w:right w:val="single" w:sz="4" w:space="0" w:color="auto"/>
            </w:tcBorders>
            <w:noWrap/>
            <w:vAlign w:val="center"/>
            <w:hideMark/>
          </w:tcPr>
          <w:p w14:paraId="5436E5E6" w14:textId="572D6381" w:rsidR="00F74424" w:rsidRPr="0053555E" w:rsidRDefault="00F74424" w:rsidP="00F74424">
            <w:pPr>
              <w:jc w:val="center"/>
              <w:rPr>
                <w:rFonts w:asciiTheme="majorHAnsi" w:hAnsiTheme="majorHAnsi" w:cstheme="majorHAnsi"/>
                <w:sz w:val="22"/>
              </w:rPr>
            </w:pPr>
            <w:r w:rsidRPr="0053555E">
              <w:rPr>
                <w:rFonts w:cs="Calibri"/>
                <w:sz w:val="22"/>
              </w:rPr>
              <w:t>2019/2020</w:t>
            </w:r>
          </w:p>
        </w:tc>
        <w:tc>
          <w:tcPr>
            <w:tcW w:w="1195" w:type="dxa"/>
            <w:tcBorders>
              <w:top w:val="single" w:sz="4" w:space="0" w:color="auto"/>
              <w:left w:val="nil"/>
              <w:bottom w:val="single" w:sz="4" w:space="0" w:color="auto"/>
              <w:right w:val="single" w:sz="4" w:space="0" w:color="auto"/>
            </w:tcBorders>
            <w:noWrap/>
            <w:vAlign w:val="center"/>
            <w:hideMark/>
          </w:tcPr>
          <w:p w14:paraId="591E8743" w14:textId="11A4F6B1" w:rsidR="00F74424" w:rsidRPr="0053555E" w:rsidRDefault="00F74424" w:rsidP="00F74424">
            <w:pPr>
              <w:jc w:val="center"/>
              <w:rPr>
                <w:rFonts w:asciiTheme="majorHAnsi" w:hAnsiTheme="majorHAnsi" w:cstheme="majorHAnsi"/>
                <w:sz w:val="22"/>
              </w:rPr>
            </w:pPr>
            <w:r w:rsidRPr="0053555E">
              <w:rPr>
                <w:rFonts w:cs="Calibri"/>
                <w:sz w:val="22"/>
              </w:rPr>
              <w:t>2020/2021</w:t>
            </w:r>
          </w:p>
        </w:tc>
        <w:tc>
          <w:tcPr>
            <w:tcW w:w="1195" w:type="dxa"/>
            <w:tcBorders>
              <w:top w:val="single" w:sz="4" w:space="0" w:color="auto"/>
              <w:left w:val="nil"/>
              <w:bottom w:val="single" w:sz="4" w:space="0" w:color="auto"/>
              <w:right w:val="single" w:sz="4" w:space="0" w:color="auto"/>
            </w:tcBorders>
            <w:noWrap/>
            <w:vAlign w:val="center"/>
            <w:hideMark/>
          </w:tcPr>
          <w:p w14:paraId="033805F6" w14:textId="78B039B7" w:rsidR="00F74424" w:rsidRPr="0053555E" w:rsidRDefault="00F74424" w:rsidP="00F74424">
            <w:pPr>
              <w:jc w:val="center"/>
              <w:rPr>
                <w:rFonts w:asciiTheme="majorHAnsi" w:hAnsiTheme="majorHAnsi" w:cstheme="majorHAnsi"/>
                <w:sz w:val="22"/>
              </w:rPr>
            </w:pPr>
            <w:r w:rsidRPr="0053555E">
              <w:rPr>
                <w:rFonts w:cs="Calibri"/>
                <w:sz w:val="22"/>
              </w:rPr>
              <w:t>2021/2022</w:t>
            </w:r>
          </w:p>
        </w:tc>
      </w:tr>
      <w:tr w:rsidR="00F74424" w:rsidRPr="0053555E" w14:paraId="450C6EBB" w14:textId="77777777" w:rsidTr="00744012">
        <w:trPr>
          <w:trHeight w:val="315"/>
        </w:trPr>
        <w:tc>
          <w:tcPr>
            <w:tcW w:w="1074" w:type="dxa"/>
            <w:tcBorders>
              <w:top w:val="nil"/>
              <w:left w:val="single" w:sz="4" w:space="0" w:color="auto"/>
              <w:bottom w:val="single" w:sz="4" w:space="0" w:color="auto"/>
              <w:right w:val="single" w:sz="4" w:space="0" w:color="auto"/>
            </w:tcBorders>
            <w:noWrap/>
            <w:vAlign w:val="bottom"/>
            <w:hideMark/>
          </w:tcPr>
          <w:p w14:paraId="75440CC1" w14:textId="77777777" w:rsidR="00F74424" w:rsidRPr="0053555E" w:rsidRDefault="00F74424" w:rsidP="00F74424">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I. stupeň</w:t>
            </w:r>
          </w:p>
        </w:tc>
        <w:tc>
          <w:tcPr>
            <w:tcW w:w="1194" w:type="dxa"/>
            <w:tcBorders>
              <w:top w:val="single" w:sz="4" w:space="0" w:color="auto"/>
              <w:left w:val="nil"/>
              <w:bottom w:val="single" w:sz="4" w:space="0" w:color="auto"/>
              <w:right w:val="single" w:sz="4" w:space="0" w:color="auto"/>
            </w:tcBorders>
            <w:vAlign w:val="bottom"/>
          </w:tcPr>
          <w:p w14:paraId="4EAA2C24" w14:textId="5B8C9CA7" w:rsidR="00F74424" w:rsidRPr="0053555E" w:rsidRDefault="00F74424" w:rsidP="00F74424">
            <w:pPr>
              <w:jc w:val="center"/>
              <w:rPr>
                <w:rFonts w:asciiTheme="majorHAnsi" w:hAnsiTheme="majorHAnsi" w:cstheme="majorHAnsi"/>
                <w:sz w:val="22"/>
              </w:rPr>
            </w:pPr>
            <w:r w:rsidRPr="0053555E">
              <w:rPr>
                <w:rFonts w:cs="Calibri"/>
                <w:sz w:val="22"/>
              </w:rPr>
              <w:t>8 977</w:t>
            </w:r>
          </w:p>
        </w:tc>
        <w:tc>
          <w:tcPr>
            <w:tcW w:w="1195" w:type="dxa"/>
            <w:tcBorders>
              <w:top w:val="single" w:sz="4" w:space="0" w:color="auto"/>
              <w:left w:val="single" w:sz="4" w:space="0" w:color="auto"/>
              <w:bottom w:val="single" w:sz="4" w:space="0" w:color="auto"/>
              <w:right w:val="single" w:sz="4" w:space="0" w:color="auto"/>
            </w:tcBorders>
            <w:vAlign w:val="bottom"/>
          </w:tcPr>
          <w:p w14:paraId="716C4DCC" w14:textId="2E476B49" w:rsidR="00F74424" w:rsidRPr="0053555E" w:rsidRDefault="00F74424" w:rsidP="00F74424">
            <w:pPr>
              <w:jc w:val="center"/>
              <w:rPr>
                <w:rFonts w:asciiTheme="majorHAnsi" w:hAnsiTheme="majorHAnsi" w:cstheme="majorHAnsi"/>
                <w:sz w:val="22"/>
              </w:rPr>
            </w:pPr>
            <w:r w:rsidRPr="0053555E">
              <w:rPr>
                <w:rFonts w:cs="Calibri"/>
                <w:sz w:val="22"/>
              </w:rPr>
              <w:t>8 020</w:t>
            </w:r>
          </w:p>
        </w:tc>
        <w:tc>
          <w:tcPr>
            <w:tcW w:w="1195" w:type="dxa"/>
            <w:tcBorders>
              <w:top w:val="single" w:sz="4" w:space="0" w:color="auto"/>
              <w:left w:val="single" w:sz="4" w:space="0" w:color="auto"/>
              <w:bottom w:val="single" w:sz="4" w:space="0" w:color="auto"/>
              <w:right w:val="single" w:sz="4" w:space="0" w:color="auto"/>
            </w:tcBorders>
            <w:noWrap/>
            <w:vAlign w:val="bottom"/>
            <w:hideMark/>
          </w:tcPr>
          <w:p w14:paraId="62F17A73" w14:textId="5C494892" w:rsidR="00F74424" w:rsidRPr="0053555E" w:rsidRDefault="00F74424" w:rsidP="00F74424">
            <w:pPr>
              <w:jc w:val="center"/>
              <w:rPr>
                <w:rFonts w:asciiTheme="majorHAnsi" w:hAnsiTheme="majorHAnsi" w:cstheme="majorHAnsi"/>
                <w:sz w:val="22"/>
              </w:rPr>
            </w:pPr>
            <w:r w:rsidRPr="0053555E">
              <w:rPr>
                <w:rFonts w:cs="Calibri"/>
                <w:sz w:val="22"/>
              </w:rPr>
              <w:t>7 136</w:t>
            </w:r>
          </w:p>
        </w:tc>
        <w:tc>
          <w:tcPr>
            <w:tcW w:w="1195" w:type="dxa"/>
            <w:tcBorders>
              <w:top w:val="nil"/>
              <w:left w:val="nil"/>
              <w:bottom w:val="single" w:sz="4" w:space="0" w:color="auto"/>
              <w:right w:val="single" w:sz="4" w:space="0" w:color="auto"/>
            </w:tcBorders>
            <w:noWrap/>
            <w:vAlign w:val="bottom"/>
            <w:hideMark/>
          </w:tcPr>
          <w:p w14:paraId="64F38AFB" w14:textId="699D5AEE" w:rsidR="00F74424" w:rsidRPr="0053555E" w:rsidRDefault="00F74424" w:rsidP="00F74424">
            <w:pPr>
              <w:jc w:val="center"/>
              <w:rPr>
                <w:rFonts w:asciiTheme="majorHAnsi" w:hAnsiTheme="majorHAnsi" w:cstheme="majorHAnsi"/>
                <w:sz w:val="22"/>
              </w:rPr>
            </w:pPr>
            <w:r w:rsidRPr="0053555E">
              <w:rPr>
                <w:rFonts w:cs="Calibri"/>
                <w:sz w:val="22"/>
              </w:rPr>
              <w:t>6 918</w:t>
            </w:r>
          </w:p>
        </w:tc>
        <w:tc>
          <w:tcPr>
            <w:tcW w:w="1195" w:type="dxa"/>
            <w:tcBorders>
              <w:top w:val="nil"/>
              <w:left w:val="nil"/>
              <w:bottom w:val="single" w:sz="4" w:space="0" w:color="auto"/>
              <w:right w:val="single" w:sz="4" w:space="0" w:color="auto"/>
            </w:tcBorders>
            <w:noWrap/>
            <w:vAlign w:val="bottom"/>
            <w:hideMark/>
          </w:tcPr>
          <w:p w14:paraId="6E27AD07" w14:textId="6F679876" w:rsidR="00F74424" w:rsidRPr="0053555E" w:rsidRDefault="00F74424" w:rsidP="00F74424">
            <w:pPr>
              <w:jc w:val="center"/>
              <w:rPr>
                <w:rFonts w:asciiTheme="majorHAnsi" w:hAnsiTheme="majorHAnsi" w:cstheme="majorHAnsi"/>
                <w:sz w:val="22"/>
              </w:rPr>
            </w:pPr>
            <w:r w:rsidRPr="0053555E">
              <w:rPr>
                <w:rFonts w:cs="Calibri"/>
                <w:sz w:val="22"/>
              </w:rPr>
              <w:t>6 924</w:t>
            </w:r>
          </w:p>
        </w:tc>
        <w:tc>
          <w:tcPr>
            <w:tcW w:w="1195" w:type="dxa"/>
            <w:tcBorders>
              <w:top w:val="nil"/>
              <w:left w:val="nil"/>
              <w:bottom w:val="single" w:sz="4" w:space="0" w:color="auto"/>
              <w:right w:val="single" w:sz="4" w:space="0" w:color="auto"/>
            </w:tcBorders>
            <w:noWrap/>
            <w:vAlign w:val="bottom"/>
            <w:hideMark/>
          </w:tcPr>
          <w:p w14:paraId="0325CA53" w14:textId="5CCF0587" w:rsidR="00F74424" w:rsidRPr="0053555E" w:rsidRDefault="00F74424" w:rsidP="00F74424">
            <w:pPr>
              <w:jc w:val="center"/>
              <w:rPr>
                <w:rFonts w:asciiTheme="majorHAnsi" w:hAnsiTheme="majorHAnsi" w:cstheme="majorHAnsi"/>
                <w:sz w:val="22"/>
              </w:rPr>
            </w:pPr>
            <w:r w:rsidRPr="0053555E">
              <w:rPr>
                <w:rFonts w:cs="Calibri"/>
                <w:sz w:val="22"/>
              </w:rPr>
              <w:t>6 969</w:t>
            </w:r>
          </w:p>
        </w:tc>
        <w:tc>
          <w:tcPr>
            <w:tcW w:w="1195" w:type="dxa"/>
            <w:tcBorders>
              <w:top w:val="nil"/>
              <w:left w:val="nil"/>
              <w:bottom w:val="single" w:sz="4" w:space="0" w:color="auto"/>
              <w:right w:val="single" w:sz="4" w:space="0" w:color="auto"/>
            </w:tcBorders>
            <w:noWrap/>
            <w:vAlign w:val="bottom"/>
            <w:hideMark/>
          </w:tcPr>
          <w:p w14:paraId="5BCF9177" w14:textId="532135D6" w:rsidR="00F74424" w:rsidRPr="0053555E" w:rsidRDefault="00F74424" w:rsidP="00F74424">
            <w:pPr>
              <w:jc w:val="center"/>
              <w:rPr>
                <w:rFonts w:asciiTheme="majorHAnsi" w:hAnsiTheme="majorHAnsi" w:cstheme="majorHAnsi"/>
                <w:sz w:val="22"/>
              </w:rPr>
            </w:pPr>
            <w:r w:rsidRPr="0053555E">
              <w:rPr>
                <w:rFonts w:cs="Calibri"/>
                <w:sz w:val="22"/>
              </w:rPr>
              <w:t>6 842</w:t>
            </w:r>
          </w:p>
        </w:tc>
      </w:tr>
      <w:tr w:rsidR="00F74424" w:rsidRPr="0053555E" w14:paraId="58496FC6" w14:textId="77777777" w:rsidTr="00744012">
        <w:trPr>
          <w:trHeight w:val="79"/>
        </w:trPr>
        <w:tc>
          <w:tcPr>
            <w:tcW w:w="1074" w:type="dxa"/>
            <w:tcBorders>
              <w:top w:val="nil"/>
              <w:left w:val="single" w:sz="4" w:space="0" w:color="auto"/>
              <w:bottom w:val="single" w:sz="4" w:space="0" w:color="auto"/>
              <w:right w:val="single" w:sz="4" w:space="0" w:color="auto"/>
            </w:tcBorders>
            <w:noWrap/>
            <w:vAlign w:val="bottom"/>
            <w:hideMark/>
          </w:tcPr>
          <w:p w14:paraId="0900C704" w14:textId="77777777" w:rsidR="00F74424" w:rsidRPr="0053555E" w:rsidRDefault="00F74424" w:rsidP="00F74424">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II. stupeň</w:t>
            </w:r>
          </w:p>
        </w:tc>
        <w:tc>
          <w:tcPr>
            <w:tcW w:w="1194" w:type="dxa"/>
            <w:tcBorders>
              <w:top w:val="single" w:sz="4" w:space="0" w:color="auto"/>
              <w:left w:val="nil"/>
              <w:bottom w:val="single" w:sz="4" w:space="0" w:color="auto"/>
              <w:right w:val="single" w:sz="4" w:space="0" w:color="auto"/>
            </w:tcBorders>
            <w:vAlign w:val="bottom"/>
          </w:tcPr>
          <w:p w14:paraId="7DDF9813" w14:textId="7B674C54" w:rsidR="00F74424" w:rsidRPr="0053555E" w:rsidRDefault="00F74424" w:rsidP="00F74424">
            <w:pPr>
              <w:jc w:val="center"/>
              <w:rPr>
                <w:rFonts w:asciiTheme="majorHAnsi" w:hAnsiTheme="majorHAnsi" w:cstheme="majorHAnsi"/>
                <w:sz w:val="22"/>
              </w:rPr>
            </w:pPr>
            <w:r w:rsidRPr="0053555E">
              <w:rPr>
                <w:rFonts w:cs="Calibri"/>
                <w:sz w:val="22"/>
              </w:rPr>
              <w:t>4 289</w:t>
            </w:r>
          </w:p>
        </w:tc>
        <w:tc>
          <w:tcPr>
            <w:tcW w:w="1195" w:type="dxa"/>
            <w:tcBorders>
              <w:top w:val="single" w:sz="4" w:space="0" w:color="auto"/>
              <w:left w:val="single" w:sz="4" w:space="0" w:color="auto"/>
              <w:bottom w:val="single" w:sz="4" w:space="0" w:color="auto"/>
              <w:right w:val="single" w:sz="4" w:space="0" w:color="auto"/>
            </w:tcBorders>
            <w:vAlign w:val="bottom"/>
          </w:tcPr>
          <w:p w14:paraId="05DA16E1" w14:textId="1BD4843F" w:rsidR="00F74424" w:rsidRPr="0053555E" w:rsidRDefault="00F74424" w:rsidP="00F74424">
            <w:pPr>
              <w:jc w:val="center"/>
              <w:rPr>
                <w:rFonts w:asciiTheme="majorHAnsi" w:hAnsiTheme="majorHAnsi" w:cstheme="majorHAnsi"/>
                <w:sz w:val="22"/>
              </w:rPr>
            </w:pPr>
            <w:r w:rsidRPr="0053555E">
              <w:rPr>
                <w:rFonts w:cs="Calibri"/>
                <w:sz w:val="22"/>
              </w:rPr>
              <w:t>4 205</w:t>
            </w:r>
          </w:p>
        </w:tc>
        <w:tc>
          <w:tcPr>
            <w:tcW w:w="1195" w:type="dxa"/>
            <w:tcBorders>
              <w:top w:val="single" w:sz="4" w:space="0" w:color="auto"/>
              <w:left w:val="single" w:sz="4" w:space="0" w:color="auto"/>
              <w:bottom w:val="single" w:sz="4" w:space="0" w:color="auto"/>
              <w:right w:val="single" w:sz="4" w:space="0" w:color="auto"/>
            </w:tcBorders>
            <w:noWrap/>
            <w:vAlign w:val="bottom"/>
            <w:hideMark/>
          </w:tcPr>
          <w:p w14:paraId="1AAC6086" w14:textId="7A1D734D" w:rsidR="00F74424" w:rsidRPr="0053555E" w:rsidRDefault="00F74424" w:rsidP="00F74424">
            <w:pPr>
              <w:jc w:val="center"/>
              <w:rPr>
                <w:rFonts w:asciiTheme="majorHAnsi" w:hAnsiTheme="majorHAnsi" w:cstheme="majorHAnsi"/>
                <w:sz w:val="22"/>
              </w:rPr>
            </w:pPr>
            <w:r w:rsidRPr="0053555E">
              <w:rPr>
                <w:rFonts w:cs="Calibri"/>
                <w:sz w:val="22"/>
              </w:rPr>
              <w:t>3 815</w:t>
            </w:r>
          </w:p>
        </w:tc>
        <w:tc>
          <w:tcPr>
            <w:tcW w:w="1195" w:type="dxa"/>
            <w:tcBorders>
              <w:top w:val="nil"/>
              <w:left w:val="nil"/>
              <w:bottom w:val="single" w:sz="4" w:space="0" w:color="auto"/>
              <w:right w:val="single" w:sz="4" w:space="0" w:color="auto"/>
            </w:tcBorders>
            <w:noWrap/>
            <w:vAlign w:val="bottom"/>
            <w:hideMark/>
          </w:tcPr>
          <w:p w14:paraId="61FFC3A7" w14:textId="0537C93D" w:rsidR="00F74424" w:rsidRPr="0053555E" w:rsidRDefault="00F74424" w:rsidP="00F74424">
            <w:pPr>
              <w:jc w:val="center"/>
              <w:rPr>
                <w:rFonts w:asciiTheme="majorHAnsi" w:hAnsiTheme="majorHAnsi" w:cstheme="majorHAnsi"/>
                <w:sz w:val="22"/>
              </w:rPr>
            </w:pPr>
            <w:r w:rsidRPr="0053555E">
              <w:rPr>
                <w:rFonts w:cs="Calibri"/>
                <w:sz w:val="22"/>
              </w:rPr>
              <w:t>3 430</w:t>
            </w:r>
          </w:p>
        </w:tc>
        <w:tc>
          <w:tcPr>
            <w:tcW w:w="1195" w:type="dxa"/>
            <w:tcBorders>
              <w:top w:val="nil"/>
              <w:left w:val="nil"/>
              <w:bottom w:val="single" w:sz="4" w:space="0" w:color="auto"/>
              <w:right w:val="single" w:sz="4" w:space="0" w:color="auto"/>
            </w:tcBorders>
            <w:noWrap/>
            <w:vAlign w:val="bottom"/>
            <w:hideMark/>
          </w:tcPr>
          <w:p w14:paraId="2C01C8BE" w14:textId="6C9DE880" w:rsidR="00F74424" w:rsidRPr="0053555E" w:rsidRDefault="00F74424" w:rsidP="00F74424">
            <w:pPr>
              <w:jc w:val="center"/>
              <w:rPr>
                <w:rFonts w:asciiTheme="majorHAnsi" w:hAnsiTheme="majorHAnsi" w:cstheme="majorHAnsi"/>
                <w:sz w:val="22"/>
              </w:rPr>
            </w:pPr>
            <w:r w:rsidRPr="0053555E">
              <w:rPr>
                <w:rFonts w:cs="Calibri"/>
                <w:sz w:val="22"/>
              </w:rPr>
              <w:t>3 285</w:t>
            </w:r>
          </w:p>
        </w:tc>
        <w:tc>
          <w:tcPr>
            <w:tcW w:w="1195" w:type="dxa"/>
            <w:tcBorders>
              <w:top w:val="nil"/>
              <w:left w:val="nil"/>
              <w:bottom w:val="single" w:sz="4" w:space="0" w:color="auto"/>
              <w:right w:val="single" w:sz="4" w:space="0" w:color="auto"/>
            </w:tcBorders>
            <w:noWrap/>
            <w:vAlign w:val="bottom"/>
            <w:hideMark/>
          </w:tcPr>
          <w:p w14:paraId="5B7EEA27" w14:textId="2E91245A" w:rsidR="00F74424" w:rsidRPr="0053555E" w:rsidRDefault="00F74424" w:rsidP="00F74424">
            <w:pPr>
              <w:jc w:val="center"/>
              <w:rPr>
                <w:rFonts w:asciiTheme="majorHAnsi" w:hAnsiTheme="majorHAnsi" w:cstheme="majorHAnsi"/>
                <w:sz w:val="22"/>
              </w:rPr>
            </w:pPr>
            <w:r w:rsidRPr="0053555E">
              <w:rPr>
                <w:rFonts w:cs="Calibri"/>
                <w:sz w:val="22"/>
              </w:rPr>
              <w:t>2 964</w:t>
            </w:r>
          </w:p>
        </w:tc>
        <w:tc>
          <w:tcPr>
            <w:tcW w:w="1195" w:type="dxa"/>
            <w:tcBorders>
              <w:top w:val="nil"/>
              <w:left w:val="nil"/>
              <w:bottom w:val="single" w:sz="4" w:space="0" w:color="auto"/>
              <w:right w:val="single" w:sz="4" w:space="0" w:color="auto"/>
            </w:tcBorders>
            <w:noWrap/>
            <w:vAlign w:val="bottom"/>
            <w:hideMark/>
          </w:tcPr>
          <w:p w14:paraId="2EE9BECC" w14:textId="6E031DD5" w:rsidR="00F74424" w:rsidRPr="0053555E" w:rsidRDefault="00F74424" w:rsidP="00F74424">
            <w:pPr>
              <w:jc w:val="center"/>
              <w:rPr>
                <w:rFonts w:asciiTheme="majorHAnsi" w:hAnsiTheme="majorHAnsi" w:cstheme="majorHAnsi"/>
                <w:sz w:val="22"/>
              </w:rPr>
            </w:pPr>
            <w:r w:rsidRPr="0053555E">
              <w:rPr>
                <w:rFonts w:cs="Calibri"/>
                <w:sz w:val="22"/>
              </w:rPr>
              <w:t>2 923</w:t>
            </w:r>
          </w:p>
        </w:tc>
      </w:tr>
      <w:tr w:rsidR="00F74424" w:rsidRPr="0053555E" w14:paraId="22C9C9B5" w14:textId="77777777" w:rsidTr="00744012">
        <w:trPr>
          <w:trHeight w:val="315"/>
        </w:trPr>
        <w:tc>
          <w:tcPr>
            <w:tcW w:w="1074" w:type="dxa"/>
            <w:tcBorders>
              <w:top w:val="nil"/>
              <w:left w:val="single" w:sz="4" w:space="0" w:color="auto"/>
              <w:bottom w:val="single" w:sz="4" w:space="0" w:color="auto"/>
              <w:right w:val="single" w:sz="4" w:space="0" w:color="auto"/>
            </w:tcBorders>
            <w:noWrap/>
            <w:vAlign w:val="bottom"/>
            <w:hideMark/>
          </w:tcPr>
          <w:p w14:paraId="1451ECB4" w14:textId="77777777" w:rsidR="00F74424" w:rsidRPr="0053555E" w:rsidRDefault="00F74424" w:rsidP="00F74424">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III. stupeň</w:t>
            </w:r>
          </w:p>
        </w:tc>
        <w:tc>
          <w:tcPr>
            <w:tcW w:w="1194" w:type="dxa"/>
            <w:tcBorders>
              <w:top w:val="single" w:sz="4" w:space="0" w:color="auto"/>
              <w:left w:val="nil"/>
              <w:bottom w:val="single" w:sz="4" w:space="0" w:color="auto"/>
              <w:right w:val="single" w:sz="4" w:space="0" w:color="auto"/>
            </w:tcBorders>
            <w:vAlign w:val="bottom"/>
          </w:tcPr>
          <w:p w14:paraId="25F26CD7" w14:textId="71A662A3" w:rsidR="00F74424" w:rsidRPr="0053555E" w:rsidRDefault="00F74424" w:rsidP="00F74424">
            <w:pPr>
              <w:jc w:val="center"/>
              <w:rPr>
                <w:rFonts w:asciiTheme="majorHAnsi" w:hAnsiTheme="majorHAnsi" w:cstheme="majorHAnsi"/>
                <w:sz w:val="22"/>
              </w:rPr>
            </w:pPr>
            <w:r w:rsidRPr="0053555E">
              <w:rPr>
                <w:rFonts w:cs="Calibri"/>
                <w:sz w:val="22"/>
              </w:rPr>
              <w:t>1 020</w:t>
            </w:r>
          </w:p>
        </w:tc>
        <w:tc>
          <w:tcPr>
            <w:tcW w:w="1195" w:type="dxa"/>
            <w:tcBorders>
              <w:top w:val="single" w:sz="4" w:space="0" w:color="auto"/>
              <w:left w:val="single" w:sz="4" w:space="0" w:color="auto"/>
              <w:bottom w:val="single" w:sz="4" w:space="0" w:color="auto"/>
              <w:right w:val="single" w:sz="4" w:space="0" w:color="auto"/>
            </w:tcBorders>
            <w:vAlign w:val="bottom"/>
          </w:tcPr>
          <w:p w14:paraId="60463777" w14:textId="35B5477C" w:rsidR="00F74424" w:rsidRPr="0053555E" w:rsidRDefault="00F74424" w:rsidP="00F74424">
            <w:pPr>
              <w:jc w:val="center"/>
              <w:rPr>
                <w:rFonts w:asciiTheme="majorHAnsi" w:hAnsiTheme="majorHAnsi" w:cstheme="majorHAnsi"/>
                <w:sz w:val="22"/>
              </w:rPr>
            </w:pPr>
            <w:r w:rsidRPr="0053555E">
              <w:rPr>
                <w:rFonts w:cs="Calibri"/>
                <w:sz w:val="22"/>
              </w:rPr>
              <w:t>883</w:t>
            </w:r>
          </w:p>
        </w:tc>
        <w:tc>
          <w:tcPr>
            <w:tcW w:w="1195" w:type="dxa"/>
            <w:tcBorders>
              <w:top w:val="single" w:sz="4" w:space="0" w:color="auto"/>
              <w:left w:val="single" w:sz="4" w:space="0" w:color="auto"/>
              <w:bottom w:val="single" w:sz="4" w:space="0" w:color="auto"/>
              <w:right w:val="single" w:sz="4" w:space="0" w:color="auto"/>
            </w:tcBorders>
            <w:noWrap/>
            <w:vAlign w:val="bottom"/>
            <w:hideMark/>
          </w:tcPr>
          <w:p w14:paraId="00CAB563" w14:textId="176045A7" w:rsidR="00F74424" w:rsidRPr="0053555E" w:rsidRDefault="00F74424" w:rsidP="00F74424">
            <w:pPr>
              <w:jc w:val="center"/>
              <w:rPr>
                <w:rFonts w:asciiTheme="majorHAnsi" w:hAnsiTheme="majorHAnsi" w:cstheme="majorHAnsi"/>
                <w:sz w:val="22"/>
              </w:rPr>
            </w:pPr>
            <w:r w:rsidRPr="0053555E">
              <w:rPr>
                <w:rFonts w:cs="Calibri"/>
                <w:sz w:val="22"/>
              </w:rPr>
              <w:t>797</w:t>
            </w:r>
          </w:p>
        </w:tc>
        <w:tc>
          <w:tcPr>
            <w:tcW w:w="1195" w:type="dxa"/>
            <w:tcBorders>
              <w:top w:val="nil"/>
              <w:left w:val="nil"/>
              <w:bottom w:val="single" w:sz="4" w:space="0" w:color="auto"/>
              <w:right w:val="single" w:sz="4" w:space="0" w:color="auto"/>
            </w:tcBorders>
            <w:noWrap/>
            <w:vAlign w:val="bottom"/>
            <w:hideMark/>
          </w:tcPr>
          <w:p w14:paraId="7B9D52AE" w14:textId="79F87B77" w:rsidR="00F74424" w:rsidRPr="0053555E" w:rsidRDefault="00F74424" w:rsidP="00F74424">
            <w:pPr>
              <w:jc w:val="center"/>
              <w:rPr>
                <w:rFonts w:asciiTheme="majorHAnsi" w:hAnsiTheme="majorHAnsi" w:cstheme="majorHAnsi"/>
                <w:sz w:val="22"/>
              </w:rPr>
            </w:pPr>
            <w:r w:rsidRPr="0053555E">
              <w:rPr>
                <w:rFonts w:cs="Calibri"/>
                <w:sz w:val="22"/>
              </w:rPr>
              <w:t>782</w:t>
            </w:r>
          </w:p>
        </w:tc>
        <w:tc>
          <w:tcPr>
            <w:tcW w:w="1195" w:type="dxa"/>
            <w:tcBorders>
              <w:top w:val="nil"/>
              <w:left w:val="nil"/>
              <w:bottom w:val="single" w:sz="4" w:space="0" w:color="auto"/>
              <w:right w:val="single" w:sz="4" w:space="0" w:color="auto"/>
            </w:tcBorders>
            <w:noWrap/>
            <w:vAlign w:val="bottom"/>
            <w:hideMark/>
          </w:tcPr>
          <w:p w14:paraId="5D79D47F" w14:textId="01AEAC7E" w:rsidR="00F74424" w:rsidRPr="0053555E" w:rsidRDefault="00F74424" w:rsidP="00F74424">
            <w:pPr>
              <w:jc w:val="center"/>
              <w:rPr>
                <w:rFonts w:asciiTheme="majorHAnsi" w:hAnsiTheme="majorHAnsi" w:cstheme="majorHAnsi"/>
                <w:sz w:val="22"/>
              </w:rPr>
            </w:pPr>
            <w:r w:rsidRPr="0053555E">
              <w:rPr>
                <w:rFonts w:cs="Calibri"/>
                <w:sz w:val="22"/>
              </w:rPr>
              <w:t>767</w:t>
            </w:r>
          </w:p>
        </w:tc>
        <w:tc>
          <w:tcPr>
            <w:tcW w:w="1195" w:type="dxa"/>
            <w:tcBorders>
              <w:top w:val="nil"/>
              <w:left w:val="nil"/>
              <w:bottom w:val="single" w:sz="4" w:space="0" w:color="auto"/>
              <w:right w:val="single" w:sz="4" w:space="0" w:color="auto"/>
            </w:tcBorders>
            <w:noWrap/>
            <w:vAlign w:val="bottom"/>
            <w:hideMark/>
          </w:tcPr>
          <w:p w14:paraId="25D9F81C" w14:textId="3E255493" w:rsidR="00F74424" w:rsidRPr="0053555E" w:rsidRDefault="00F74424" w:rsidP="00F74424">
            <w:pPr>
              <w:jc w:val="center"/>
              <w:rPr>
                <w:rFonts w:asciiTheme="majorHAnsi" w:hAnsiTheme="majorHAnsi" w:cstheme="majorHAnsi"/>
                <w:sz w:val="22"/>
              </w:rPr>
            </w:pPr>
            <w:r w:rsidRPr="0053555E">
              <w:rPr>
                <w:rFonts w:cs="Calibri"/>
                <w:sz w:val="22"/>
              </w:rPr>
              <w:t>745</w:t>
            </w:r>
          </w:p>
        </w:tc>
        <w:tc>
          <w:tcPr>
            <w:tcW w:w="1195" w:type="dxa"/>
            <w:tcBorders>
              <w:top w:val="nil"/>
              <w:left w:val="nil"/>
              <w:bottom w:val="single" w:sz="4" w:space="0" w:color="auto"/>
              <w:right w:val="single" w:sz="4" w:space="0" w:color="auto"/>
            </w:tcBorders>
            <w:noWrap/>
            <w:vAlign w:val="bottom"/>
            <w:hideMark/>
          </w:tcPr>
          <w:p w14:paraId="36101A32" w14:textId="2ABFCA18" w:rsidR="00F74424" w:rsidRPr="0053555E" w:rsidRDefault="00F74424" w:rsidP="00F74424">
            <w:pPr>
              <w:jc w:val="center"/>
              <w:rPr>
                <w:rFonts w:asciiTheme="majorHAnsi" w:hAnsiTheme="majorHAnsi" w:cstheme="majorHAnsi"/>
                <w:sz w:val="22"/>
              </w:rPr>
            </w:pPr>
            <w:r w:rsidRPr="0053555E">
              <w:rPr>
                <w:rFonts w:cs="Calibri"/>
                <w:sz w:val="22"/>
              </w:rPr>
              <w:t>778</w:t>
            </w:r>
          </w:p>
        </w:tc>
      </w:tr>
      <w:tr w:rsidR="00F74424" w:rsidRPr="0053555E" w14:paraId="598AFDBE" w14:textId="77777777" w:rsidTr="00744012">
        <w:trPr>
          <w:trHeight w:val="315"/>
        </w:trPr>
        <w:tc>
          <w:tcPr>
            <w:tcW w:w="1074"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324BDA8E" w14:textId="77777777" w:rsidR="00F74424" w:rsidRPr="0053555E" w:rsidRDefault="00F74424" w:rsidP="00F74424">
            <w:pPr>
              <w:tabs>
                <w:tab w:val="left" w:pos="9356"/>
              </w:tabs>
              <w:jc w:val="both"/>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Spolu</w:t>
            </w:r>
          </w:p>
        </w:tc>
        <w:tc>
          <w:tcPr>
            <w:tcW w:w="1194" w:type="dxa"/>
            <w:tcBorders>
              <w:top w:val="single" w:sz="4" w:space="0" w:color="auto"/>
              <w:left w:val="nil"/>
              <w:bottom w:val="single" w:sz="4" w:space="0" w:color="auto"/>
              <w:right w:val="single" w:sz="4" w:space="0" w:color="auto"/>
            </w:tcBorders>
            <w:shd w:val="clear" w:color="auto" w:fill="EEECE1" w:themeFill="background2"/>
            <w:vAlign w:val="bottom"/>
          </w:tcPr>
          <w:p w14:paraId="230C3D19" w14:textId="3C5B2AAE" w:rsidR="00F74424" w:rsidRPr="0053555E" w:rsidRDefault="00F74424" w:rsidP="00F74424">
            <w:pPr>
              <w:jc w:val="center"/>
              <w:rPr>
                <w:rFonts w:asciiTheme="majorHAnsi" w:hAnsiTheme="majorHAnsi" w:cstheme="majorHAnsi"/>
                <w:b/>
                <w:sz w:val="22"/>
              </w:rPr>
            </w:pPr>
            <w:r w:rsidRPr="0053555E">
              <w:rPr>
                <w:rFonts w:cs="Calibri"/>
                <w:b/>
                <w:sz w:val="22"/>
              </w:rPr>
              <w:t>14 286</w:t>
            </w:r>
          </w:p>
        </w:tc>
        <w:tc>
          <w:tcPr>
            <w:tcW w:w="1195"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2790B4CF" w14:textId="43AF7D28" w:rsidR="00F74424" w:rsidRPr="0053555E" w:rsidRDefault="00F74424" w:rsidP="00F74424">
            <w:pPr>
              <w:jc w:val="center"/>
              <w:rPr>
                <w:rFonts w:asciiTheme="majorHAnsi" w:hAnsiTheme="majorHAnsi" w:cstheme="majorHAnsi"/>
                <w:b/>
                <w:sz w:val="22"/>
              </w:rPr>
            </w:pPr>
            <w:r w:rsidRPr="0053555E">
              <w:rPr>
                <w:rFonts w:cs="Calibri"/>
                <w:b/>
                <w:sz w:val="22"/>
              </w:rPr>
              <w:t>13 108</w:t>
            </w:r>
          </w:p>
        </w:tc>
        <w:tc>
          <w:tcPr>
            <w:tcW w:w="1195"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75754309" w14:textId="3620D3A6" w:rsidR="00F74424" w:rsidRPr="0053555E" w:rsidRDefault="00F74424" w:rsidP="00F74424">
            <w:pPr>
              <w:jc w:val="center"/>
              <w:rPr>
                <w:rFonts w:asciiTheme="majorHAnsi" w:hAnsiTheme="majorHAnsi" w:cstheme="majorHAnsi"/>
                <w:b/>
                <w:sz w:val="22"/>
              </w:rPr>
            </w:pPr>
            <w:r w:rsidRPr="0053555E">
              <w:rPr>
                <w:rFonts w:cs="Calibri"/>
                <w:b/>
                <w:sz w:val="22"/>
              </w:rPr>
              <w:t>11 748</w:t>
            </w:r>
          </w:p>
        </w:tc>
        <w:tc>
          <w:tcPr>
            <w:tcW w:w="1195" w:type="dxa"/>
            <w:tcBorders>
              <w:top w:val="nil"/>
              <w:left w:val="nil"/>
              <w:bottom w:val="single" w:sz="4" w:space="0" w:color="auto"/>
              <w:right w:val="single" w:sz="4" w:space="0" w:color="auto"/>
            </w:tcBorders>
            <w:shd w:val="clear" w:color="auto" w:fill="EEECE1" w:themeFill="background2"/>
            <w:noWrap/>
            <w:vAlign w:val="bottom"/>
            <w:hideMark/>
          </w:tcPr>
          <w:p w14:paraId="2E99A84E" w14:textId="36B3BF5C" w:rsidR="00F74424" w:rsidRPr="0053555E" w:rsidRDefault="00F74424" w:rsidP="00F74424">
            <w:pPr>
              <w:jc w:val="center"/>
              <w:rPr>
                <w:rFonts w:asciiTheme="majorHAnsi" w:hAnsiTheme="majorHAnsi" w:cstheme="majorHAnsi"/>
                <w:b/>
                <w:sz w:val="22"/>
              </w:rPr>
            </w:pPr>
            <w:r w:rsidRPr="0053555E">
              <w:rPr>
                <w:rFonts w:cs="Calibri"/>
                <w:b/>
                <w:sz w:val="22"/>
              </w:rPr>
              <w:t>11 130</w:t>
            </w:r>
          </w:p>
        </w:tc>
        <w:tc>
          <w:tcPr>
            <w:tcW w:w="1195" w:type="dxa"/>
            <w:tcBorders>
              <w:top w:val="nil"/>
              <w:left w:val="nil"/>
              <w:bottom w:val="single" w:sz="4" w:space="0" w:color="auto"/>
              <w:right w:val="single" w:sz="4" w:space="0" w:color="auto"/>
            </w:tcBorders>
            <w:shd w:val="clear" w:color="auto" w:fill="EEECE1" w:themeFill="background2"/>
            <w:noWrap/>
            <w:vAlign w:val="bottom"/>
            <w:hideMark/>
          </w:tcPr>
          <w:p w14:paraId="57DA91E0" w14:textId="0FACCEEE" w:rsidR="00F74424" w:rsidRPr="0053555E" w:rsidRDefault="00F74424" w:rsidP="00F74424">
            <w:pPr>
              <w:jc w:val="center"/>
              <w:rPr>
                <w:rFonts w:asciiTheme="majorHAnsi" w:hAnsiTheme="majorHAnsi" w:cstheme="majorHAnsi"/>
                <w:b/>
                <w:sz w:val="22"/>
              </w:rPr>
            </w:pPr>
            <w:r w:rsidRPr="0053555E">
              <w:rPr>
                <w:rFonts w:cs="Calibri"/>
                <w:b/>
                <w:sz w:val="22"/>
              </w:rPr>
              <w:t>10 976</w:t>
            </w:r>
          </w:p>
        </w:tc>
        <w:tc>
          <w:tcPr>
            <w:tcW w:w="1195" w:type="dxa"/>
            <w:tcBorders>
              <w:top w:val="nil"/>
              <w:left w:val="nil"/>
              <w:bottom w:val="single" w:sz="4" w:space="0" w:color="auto"/>
              <w:right w:val="single" w:sz="4" w:space="0" w:color="auto"/>
            </w:tcBorders>
            <w:shd w:val="clear" w:color="auto" w:fill="EEECE1" w:themeFill="background2"/>
            <w:noWrap/>
            <w:vAlign w:val="bottom"/>
            <w:hideMark/>
          </w:tcPr>
          <w:p w14:paraId="771B1A89" w14:textId="3EBBCB34" w:rsidR="00F74424" w:rsidRPr="0053555E" w:rsidRDefault="00F74424" w:rsidP="00F74424">
            <w:pPr>
              <w:jc w:val="center"/>
              <w:rPr>
                <w:rFonts w:asciiTheme="majorHAnsi" w:hAnsiTheme="majorHAnsi" w:cstheme="majorHAnsi"/>
                <w:b/>
                <w:sz w:val="22"/>
              </w:rPr>
            </w:pPr>
            <w:r w:rsidRPr="0053555E">
              <w:rPr>
                <w:rFonts w:cs="Calibri"/>
                <w:b/>
                <w:sz w:val="22"/>
              </w:rPr>
              <w:t>10 678</w:t>
            </w:r>
          </w:p>
        </w:tc>
        <w:tc>
          <w:tcPr>
            <w:tcW w:w="1195" w:type="dxa"/>
            <w:tcBorders>
              <w:top w:val="nil"/>
              <w:left w:val="nil"/>
              <w:bottom w:val="single" w:sz="4" w:space="0" w:color="auto"/>
              <w:right w:val="single" w:sz="4" w:space="0" w:color="auto"/>
            </w:tcBorders>
            <w:shd w:val="clear" w:color="auto" w:fill="EEECE1" w:themeFill="background2"/>
            <w:noWrap/>
            <w:vAlign w:val="bottom"/>
            <w:hideMark/>
          </w:tcPr>
          <w:p w14:paraId="65D5E3A4" w14:textId="5E09C654" w:rsidR="00F74424" w:rsidRPr="0053555E" w:rsidRDefault="00F74424" w:rsidP="00F74424">
            <w:pPr>
              <w:jc w:val="center"/>
              <w:rPr>
                <w:rFonts w:asciiTheme="majorHAnsi" w:hAnsiTheme="majorHAnsi" w:cstheme="majorHAnsi"/>
                <w:b/>
                <w:sz w:val="22"/>
              </w:rPr>
            </w:pPr>
            <w:r w:rsidRPr="0053555E">
              <w:rPr>
                <w:rFonts w:cs="Calibri"/>
                <w:b/>
                <w:sz w:val="22"/>
              </w:rPr>
              <w:t>10 543</w:t>
            </w:r>
          </w:p>
        </w:tc>
      </w:tr>
    </w:tbl>
    <w:p w14:paraId="443542D5" w14:textId="77777777" w:rsidR="00181FCA" w:rsidRPr="0053555E" w:rsidRDefault="00181FCA" w:rsidP="00181FCA">
      <w:bookmarkStart w:id="39" w:name="_Ref64645292"/>
    </w:p>
    <w:p w14:paraId="4A51B2EE" w14:textId="30F473FB" w:rsidR="0042210A" w:rsidRPr="0053555E" w:rsidRDefault="0042210A" w:rsidP="000E3322">
      <w:pPr>
        <w:pStyle w:val="Popis"/>
      </w:pPr>
      <w:bookmarkStart w:id="40" w:name="_Ref127207645"/>
      <w:bookmarkStart w:id="41" w:name="_Ref127207632"/>
      <w:bookmarkStart w:id="42" w:name="_Toc127593332"/>
      <w:r w:rsidRPr="0053555E">
        <w:t xml:space="preserve">Graf č. </w:t>
      </w:r>
      <w:r w:rsidR="007B5953">
        <w:fldChar w:fldCharType="begin"/>
      </w:r>
      <w:r w:rsidR="007B5953">
        <w:instrText xml:space="preserve"> SEQ Graf_č. \* ARABIC </w:instrText>
      </w:r>
      <w:r w:rsidR="007B5953">
        <w:fldChar w:fldCharType="separate"/>
      </w:r>
      <w:r w:rsidR="00EE1B59">
        <w:rPr>
          <w:noProof/>
        </w:rPr>
        <w:t>4</w:t>
      </w:r>
      <w:r w:rsidR="007B5953">
        <w:rPr>
          <w:noProof/>
        </w:rPr>
        <w:fldChar w:fldCharType="end"/>
      </w:r>
      <w:bookmarkEnd w:id="39"/>
      <w:bookmarkEnd w:id="40"/>
      <w:r w:rsidRPr="0053555E">
        <w:t>: Vývoj celkového počtu študentov STU na jednotlivých stupňoch štúdia</w:t>
      </w:r>
      <w:bookmarkEnd w:id="41"/>
      <w:bookmarkEnd w:id="42"/>
    </w:p>
    <w:p w14:paraId="3B4A2E3A" w14:textId="77777777" w:rsidR="009C47BC" w:rsidRPr="0053555E" w:rsidRDefault="005458CA" w:rsidP="00037DC6">
      <w:pPr>
        <w:jc w:val="center"/>
      </w:pPr>
      <w:r w:rsidRPr="0053555E">
        <w:rPr>
          <w:rFonts w:asciiTheme="majorHAnsi" w:hAnsiTheme="majorHAnsi" w:cstheme="majorHAnsi"/>
          <w:noProof/>
          <w:sz w:val="18"/>
          <w:szCs w:val="18"/>
          <w:lang w:eastAsia="sk-SK"/>
        </w:rPr>
        <w:drawing>
          <wp:inline distT="0" distB="0" distL="0" distR="0" wp14:anchorId="30BA4522" wp14:editId="60835E17">
            <wp:extent cx="5208104" cy="2782957"/>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9C47BC" w:rsidRPr="0053555E">
        <w:rPr>
          <w:rFonts w:asciiTheme="majorHAnsi" w:hAnsiTheme="majorHAnsi" w:cstheme="majorHAnsi"/>
          <w:bCs/>
          <w:sz w:val="20"/>
          <w:szCs w:val="20"/>
        </w:rPr>
        <w:br w:type="page"/>
      </w:r>
    </w:p>
    <w:p w14:paraId="27DC31C7" w14:textId="4F3B3FC2" w:rsidR="0042210A" w:rsidRPr="0053555E" w:rsidRDefault="0042210A" w:rsidP="000E3322">
      <w:pPr>
        <w:pStyle w:val="Popis"/>
      </w:pPr>
      <w:bookmarkStart w:id="43" w:name="_Ref31707237"/>
      <w:bookmarkStart w:id="44" w:name="_Ref474776741"/>
      <w:bookmarkStart w:id="45" w:name="_Toc127593272"/>
      <w:r w:rsidRPr="0053555E">
        <w:lastRenderedPageBreak/>
        <w:t xml:space="preserve">Tab. č. </w:t>
      </w:r>
      <w:r w:rsidR="007B5953">
        <w:fldChar w:fldCharType="begin"/>
      </w:r>
      <w:r w:rsidR="007B5953">
        <w:instrText xml:space="preserve"> SEQ Tab._č. \* ARABIC </w:instrText>
      </w:r>
      <w:r w:rsidR="007B5953">
        <w:fldChar w:fldCharType="separate"/>
      </w:r>
      <w:r w:rsidR="00EE1B59">
        <w:rPr>
          <w:noProof/>
        </w:rPr>
        <w:t>9</w:t>
      </w:r>
      <w:r w:rsidR="007B5953">
        <w:rPr>
          <w:noProof/>
        </w:rPr>
        <w:fldChar w:fldCharType="end"/>
      </w:r>
      <w:bookmarkEnd w:id="43"/>
      <w:r w:rsidRPr="0053555E">
        <w:t>:</w:t>
      </w:r>
      <w:bookmarkEnd w:id="44"/>
      <w:r w:rsidRPr="0053555E">
        <w:t xml:space="preserve"> Porovnanie počtu študentov STU v dennej forme štúdia</w:t>
      </w:r>
      <w:bookmarkEnd w:id="45"/>
    </w:p>
    <w:tbl>
      <w:tblPr>
        <w:tblW w:w="9438" w:type="dxa"/>
        <w:tblInd w:w="55" w:type="dxa"/>
        <w:tblCellMar>
          <w:left w:w="70" w:type="dxa"/>
          <w:right w:w="70" w:type="dxa"/>
        </w:tblCellMar>
        <w:tblLook w:val="04A0" w:firstRow="1" w:lastRow="0" w:firstColumn="1" w:lastColumn="0" w:noHBand="0" w:noVBand="1"/>
      </w:tblPr>
      <w:tblGrid>
        <w:gridCol w:w="1074"/>
        <w:gridCol w:w="1194"/>
        <w:gridCol w:w="1195"/>
        <w:gridCol w:w="1195"/>
        <w:gridCol w:w="1195"/>
        <w:gridCol w:w="1195"/>
        <w:gridCol w:w="1195"/>
        <w:gridCol w:w="1195"/>
      </w:tblGrid>
      <w:tr w:rsidR="00682073" w:rsidRPr="0053555E" w14:paraId="715884DD" w14:textId="77777777" w:rsidTr="00744012">
        <w:trPr>
          <w:trHeight w:val="315"/>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E5671" w14:textId="77777777" w:rsidR="00682073" w:rsidRPr="0053555E" w:rsidRDefault="00682073" w:rsidP="00682073">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Stupeň</w:t>
            </w:r>
          </w:p>
        </w:tc>
        <w:tc>
          <w:tcPr>
            <w:tcW w:w="1194" w:type="dxa"/>
            <w:tcBorders>
              <w:top w:val="single" w:sz="4" w:space="0" w:color="auto"/>
              <w:left w:val="single" w:sz="4" w:space="0" w:color="auto"/>
              <w:bottom w:val="single" w:sz="4" w:space="0" w:color="auto"/>
              <w:right w:val="single" w:sz="4" w:space="0" w:color="auto"/>
            </w:tcBorders>
            <w:vAlign w:val="center"/>
          </w:tcPr>
          <w:p w14:paraId="34F6FAE7" w14:textId="3901986C" w:rsidR="00682073" w:rsidRPr="0053555E" w:rsidRDefault="00682073" w:rsidP="00682073">
            <w:pPr>
              <w:jc w:val="center"/>
              <w:rPr>
                <w:rFonts w:asciiTheme="majorHAnsi" w:hAnsiTheme="majorHAnsi" w:cstheme="majorHAnsi"/>
                <w:sz w:val="22"/>
              </w:rPr>
            </w:pPr>
            <w:r w:rsidRPr="0053555E">
              <w:rPr>
                <w:rFonts w:cs="Calibri"/>
                <w:sz w:val="22"/>
              </w:rPr>
              <w:t>2015/2016</w:t>
            </w:r>
          </w:p>
        </w:tc>
        <w:tc>
          <w:tcPr>
            <w:tcW w:w="1195" w:type="dxa"/>
            <w:tcBorders>
              <w:top w:val="single" w:sz="4" w:space="0" w:color="auto"/>
              <w:left w:val="single" w:sz="4" w:space="0" w:color="auto"/>
              <w:bottom w:val="single" w:sz="4" w:space="0" w:color="auto"/>
              <w:right w:val="single" w:sz="4" w:space="0" w:color="auto"/>
            </w:tcBorders>
            <w:vAlign w:val="center"/>
          </w:tcPr>
          <w:p w14:paraId="02043F32" w14:textId="1B4AA900" w:rsidR="00682073" w:rsidRPr="0053555E" w:rsidRDefault="00682073" w:rsidP="00682073">
            <w:pPr>
              <w:jc w:val="center"/>
              <w:rPr>
                <w:rFonts w:asciiTheme="majorHAnsi" w:hAnsiTheme="majorHAnsi" w:cstheme="majorHAnsi"/>
                <w:sz w:val="22"/>
              </w:rPr>
            </w:pPr>
            <w:r w:rsidRPr="0053555E">
              <w:rPr>
                <w:rFonts w:cs="Calibri"/>
                <w:sz w:val="22"/>
              </w:rPr>
              <w:t>2016/2017</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91B61" w14:textId="75ABE6BD" w:rsidR="00682073" w:rsidRPr="0053555E" w:rsidRDefault="00682073" w:rsidP="00682073">
            <w:pPr>
              <w:jc w:val="center"/>
              <w:rPr>
                <w:rFonts w:asciiTheme="majorHAnsi" w:hAnsiTheme="majorHAnsi" w:cstheme="majorHAnsi"/>
                <w:sz w:val="22"/>
              </w:rPr>
            </w:pPr>
            <w:r w:rsidRPr="0053555E">
              <w:rPr>
                <w:rFonts w:cs="Calibri"/>
                <w:sz w:val="22"/>
              </w:rPr>
              <w:t>2017/2018</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2A9C5D9D" w14:textId="001447A1" w:rsidR="00682073" w:rsidRPr="0053555E" w:rsidRDefault="00682073" w:rsidP="00682073">
            <w:pPr>
              <w:jc w:val="center"/>
              <w:rPr>
                <w:rFonts w:asciiTheme="majorHAnsi" w:hAnsiTheme="majorHAnsi" w:cstheme="majorHAnsi"/>
                <w:sz w:val="22"/>
              </w:rPr>
            </w:pPr>
            <w:r w:rsidRPr="0053555E">
              <w:rPr>
                <w:rFonts w:cs="Calibri"/>
                <w:sz w:val="22"/>
              </w:rPr>
              <w:t>2018/2019</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4BC026E0" w14:textId="6E32F2CF" w:rsidR="00682073" w:rsidRPr="0053555E" w:rsidRDefault="00682073" w:rsidP="00682073">
            <w:pPr>
              <w:jc w:val="center"/>
              <w:rPr>
                <w:rFonts w:asciiTheme="majorHAnsi" w:hAnsiTheme="majorHAnsi" w:cstheme="majorHAnsi"/>
                <w:sz w:val="22"/>
              </w:rPr>
            </w:pPr>
            <w:r w:rsidRPr="0053555E">
              <w:rPr>
                <w:rFonts w:cs="Calibri"/>
                <w:sz w:val="22"/>
              </w:rPr>
              <w:t>2019/2020</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25A04D39" w14:textId="3248C256" w:rsidR="00682073" w:rsidRPr="0053555E" w:rsidRDefault="00682073" w:rsidP="00682073">
            <w:pPr>
              <w:jc w:val="center"/>
              <w:rPr>
                <w:rFonts w:asciiTheme="majorHAnsi" w:hAnsiTheme="majorHAnsi" w:cstheme="majorHAnsi"/>
                <w:sz w:val="22"/>
              </w:rPr>
            </w:pPr>
            <w:r w:rsidRPr="0053555E">
              <w:rPr>
                <w:rFonts w:cs="Calibri"/>
                <w:sz w:val="22"/>
              </w:rPr>
              <w:t>2020/2021</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11BF4220" w14:textId="362B0E4B" w:rsidR="00682073" w:rsidRPr="0053555E" w:rsidRDefault="00682073" w:rsidP="00682073">
            <w:pPr>
              <w:jc w:val="center"/>
              <w:rPr>
                <w:rFonts w:asciiTheme="majorHAnsi" w:hAnsiTheme="majorHAnsi" w:cstheme="majorHAnsi"/>
                <w:sz w:val="22"/>
              </w:rPr>
            </w:pPr>
            <w:r w:rsidRPr="0053555E">
              <w:rPr>
                <w:rFonts w:cs="Calibri"/>
                <w:sz w:val="22"/>
              </w:rPr>
              <w:t>2021/2022</w:t>
            </w:r>
          </w:p>
        </w:tc>
      </w:tr>
      <w:tr w:rsidR="00682073" w:rsidRPr="0053555E" w14:paraId="23C7BA18" w14:textId="77777777" w:rsidTr="00744012">
        <w:trPr>
          <w:trHeight w:val="315"/>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DF7D0" w14:textId="77777777" w:rsidR="00682073" w:rsidRPr="0053555E" w:rsidRDefault="00682073" w:rsidP="00682073">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I. stupeň</w:t>
            </w:r>
          </w:p>
        </w:tc>
        <w:tc>
          <w:tcPr>
            <w:tcW w:w="1194" w:type="dxa"/>
            <w:tcBorders>
              <w:top w:val="single" w:sz="4" w:space="0" w:color="auto"/>
              <w:left w:val="single" w:sz="4" w:space="0" w:color="auto"/>
              <w:bottom w:val="single" w:sz="4" w:space="0" w:color="auto"/>
              <w:right w:val="single" w:sz="4" w:space="0" w:color="auto"/>
            </w:tcBorders>
            <w:vAlign w:val="bottom"/>
          </w:tcPr>
          <w:p w14:paraId="2348C533" w14:textId="47676D4C" w:rsidR="00682073" w:rsidRPr="0053555E" w:rsidRDefault="00682073" w:rsidP="00682073">
            <w:pPr>
              <w:jc w:val="center"/>
              <w:rPr>
                <w:rFonts w:asciiTheme="majorHAnsi" w:hAnsiTheme="majorHAnsi" w:cstheme="majorHAnsi"/>
                <w:sz w:val="22"/>
              </w:rPr>
            </w:pPr>
            <w:r w:rsidRPr="0053555E">
              <w:rPr>
                <w:rFonts w:cs="Calibri"/>
                <w:sz w:val="22"/>
              </w:rPr>
              <w:t>8 977</w:t>
            </w:r>
          </w:p>
        </w:tc>
        <w:tc>
          <w:tcPr>
            <w:tcW w:w="1195" w:type="dxa"/>
            <w:tcBorders>
              <w:top w:val="single" w:sz="4" w:space="0" w:color="auto"/>
              <w:left w:val="single" w:sz="4" w:space="0" w:color="auto"/>
              <w:bottom w:val="single" w:sz="4" w:space="0" w:color="auto"/>
              <w:right w:val="single" w:sz="4" w:space="0" w:color="auto"/>
            </w:tcBorders>
            <w:vAlign w:val="bottom"/>
          </w:tcPr>
          <w:p w14:paraId="39C1F8E3" w14:textId="496E798C" w:rsidR="00682073" w:rsidRPr="0053555E" w:rsidRDefault="00682073" w:rsidP="00682073">
            <w:pPr>
              <w:jc w:val="center"/>
              <w:rPr>
                <w:rFonts w:asciiTheme="majorHAnsi" w:hAnsiTheme="majorHAnsi" w:cstheme="majorHAnsi"/>
                <w:sz w:val="22"/>
              </w:rPr>
            </w:pPr>
            <w:r w:rsidRPr="0053555E">
              <w:rPr>
                <w:rFonts w:cs="Calibri"/>
                <w:sz w:val="22"/>
              </w:rPr>
              <w:t>8 020</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6019E" w14:textId="783E1DBE" w:rsidR="00682073" w:rsidRPr="0053555E" w:rsidRDefault="00682073" w:rsidP="00682073">
            <w:pPr>
              <w:jc w:val="center"/>
              <w:rPr>
                <w:rFonts w:asciiTheme="majorHAnsi" w:hAnsiTheme="majorHAnsi" w:cstheme="majorHAnsi"/>
                <w:sz w:val="22"/>
              </w:rPr>
            </w:pPr>
            <w:r w:rsidRPr="0053555E">
              <w:rPr>
                <w:rFonts w:cs="Calibri"/>
                <w:sz w:val="22"/>
              </w:rPr>
              <w:t>7 136</w:t>
            </w:r>
          </w:p>
        </w:tc>
        <w:tc>
          <w:tcPr>
            <w:tcW w:w="1195" w:type="dxa"/>
            <w:tcBorders>
              <w:top w:val="nil"/>
              <w:left w:val="nil"/>
              <w:bottom w:val="single" w:sz="4" w:space="0" w:color="auto"/>
              <w:right w:val="single" w:sz="4" w:space="0" w:color="auto"/>
            </w:tcBorders>
            <w:shd w:val="clear" w:color="auto" w:fill="auto"/>
            <w:noWrap/>
            <w:vAlign w:val="bottom"/>
            <w:hideMark/>
          </w:tcPr>
          <w:p w14:paraId="0728EC7C" w14:textId="063674D2" w:rsidR="00682073" w:rsidRPr="0053555E" w:rsidRDefault="00682073" w:rsidP="00682073">
            <w:pPr>
              <w:jc w:val="center"/>
              <w:rPr>
                <w:rFonts w:asciiTheme="majorHAnsi" w:hAnsiTheme="majorHAnsi" w:cstheme="majorHAnsi"/>
                <w:sz w:val="22"/>
              </w:rPr>
            </w:pPr>
            <w:r w:rsidRPr="0053555E">
              <w:rPr>
                <w:rFonts w:cs="Calibri"/>
                <w:sz w:val="22"/>
              </w:rPr>
              <w:t>6 918</w:t>
            </w:r>
          </w:p>
        </w:tc>
        <w:tc>
          <w:tcPr>
            <w:tcW w:w="1195" w:type="dxa"/>
            <w:tcBorders>
              <w:top w:val="nil"/>
              <w:left w:val="nil"/>
              <w:bottom w:val="single" w:sz="4" w:space="0" w:color="auto"/>
              <w:right w:val="single" w:sz="4" w:space="0" w:color="auto"/>
            </w:tcBorders>
            <w:shd w:val="clear" w:color="auto" w:fill="auto"/>
            <w:noWrap/>
            <w:vAlign w:val="bottom"/>
            <w:hideMark/>
          </w:tcPr>
          <w:p w14:paraId="4804FB9B" w14:textId="2A478BFF" w:rsidR="00682073" w:rsidRPr="0053555E" w:rsidRDefault="00682073" w:rsidP="00682073">
            <w:pPr>
              <w:jc w:val="center"/>
              <w:rPr>
                <w:rFonts w:asciiTheme="majorHAnsi" w:hAnsiTheme="majorHAnsi" w:cstheme="majorHAnsi"/>
                <w:sz w:val="22"/>
              </w:rPr>
            </w:pPr>
            <w:r w:rsidRPr="0053555E">
              <w:rPr>
                <w:rFonts w:cs="Calibri"/>
                <w:sz w:val="22"/>
              </w:rPr>
              <w:t>6 924</w:t>
            </w:r>
          </w:p>
        </w:tc>
        <w:tc>
          <w:tcPr>
            <w:tcW w:w="1195" w:type="dxa"/>
            <w:tcBorders>
              <w:top w:val="nil"/>
              <w:left w:val="nil"/>
              <w:bottom w:val="single" w:sz="4" w:space="0" w:color="auto"/>
              <w:right w:val="single" w:sz="4" w:space="0" w:color="auto"/>
            </w:tcBorders>
            <w:shd w:val="clear" w:color="auto" w:fill="auto"/>
            <w:noWrap/>
            <w:vAlign w:val="bottom"/>
            <w:hideMark/>
          </w:tcPr>
          <w:p w14:paraId="023549BF" w14:textId="49DCCCBC" w:rsidR="00682073" w:rsidRPr="0053555E" w:rsidRDefault="00682073" w:rsidP="00682073">
            <w:pPr>
              <w:jc w:val="center"/>
              <w:rPr>
                <w:rFonts w:asciiTheme="majorHAnsi" w:hAnsiTheme="majorHAnsi" w:cstheme="majorHAnsi"/>
                <w:sz w:val="22"/>
              </w:rPr>
            </w:pPr>
            <w:r w:rsidRPr="0053555E">
              <w:rPr>
                <w:rFonts w:cs="Calibri"/>
                <w:sz w:val="22"/>
              </w:rPr>
              <w:t>6 969</w:t>
            </w:r>
          </w:p>
        </w:tc>
        <w:tc>
          <w:tcPr>
            <w:tcW w:w="1195" w:type="dxa"/>
            <w:tcBorders>
              <w:top w:val="nil"/>
              <w:left w:val="nil"/>
              <w:bottom w:val="single" w:sz="4" w:space="0" w:color="auto"/>
              <w:right w:val="single" w:sz="4" w:space="0" w:color="auto"/>
            </w:tcBorders>
            <w:shd w:val="clear" w:color="auto" w:fill="auto"/>
            <w:noWrap/>
            <w:vAlign w:val="bottom"/>
            <w:hideMark/>
          </w:tcPr>
          <w:p w14:paraId="515ACF18" w14:textId="4387F963" w:rsidR="00682073" w:rsidRPr="0053555E" w:rsidRDefault="00682073" w:rsidP="00682073">
            <w:pPr>
              <w:jc w:val="center"/>
              <w:rPr>
                <w:rFonts w:asciiTheme="majorHAnsi" w:hAnsiTheme="majorHAnsi" w:cstheme="majorHAnsi"/>
                <w:sz w:val="22"/>
              </w:rPr>
            </w:pPr>
            <w:r w:rsidRPr="0053555E">
              <w:rPr>
                <w:rFonts w:cs="Calibri"/>
                <w:sz w:val="22"/>
              </w:rPr>
              <w:t>6 842</w:t>
            </w:r>
          </w:p>
        </w:tc>
      </w:tr>
      <w:tr w:rsidR="00682073" w:rsidRPr="0053555E" w14:paraId="68F481B2" w14:textId="77777777" w:rsidTr="00744012">
        <w:trPr>
          <w:trHeight w:val="315"/>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AE430" w14:textId="77777777" w:rsidR="00682073" w:rsidRPr="0053555E" w:rsidRDefault="00682073" w:rsidP="00682073">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II. stupeň</w:t>
            </w:r>
          </w:p>
        </w:tc>
        <w:tc>
          <w:tcPr>
            <w:tcW w:w="1194" w:type="dxa"/>
            <w:tcBorders>
              <w:top w:val="single" w:sz="4" w:space="0" w:color="auto"/>
              <w:left w:val="single" w:sz="4" w:space="0" w:color="auto"/>
              <w:bottom w:val="single" w:sz="4" w:space="0" w:color="auto"/>
              <w:right w:val="single" w:sz="4" w:space="0" w:color="auto"/>
            </w:tcBorders>
            <w:vAlign w:val="bottom"/>
          </w:tcPr>
          <w:p w14:paraId="2E50EB7E" w14:textId="4260E6C3" w:rsidR="00682073" w:rsidRPr="0053555E" w:rsidRDefault="00682073" w:rsidP="00682073">
            <w:pPr>
              <w:jc w:val="center"/>
              <w:rPr>
                <w:rFonts w:asciiTheme="majorHAnsi" w:hAnsiTheme="majorHAnsi" w:cstheme="majorHAnsi"/>
                <w:sz w:val="22"/>
              </w:rPr>
            </w:pPr>
            <w:r w:rsidRPr="0053555E">
              <w:rPr>
                <w:rFonts w:cs="Calibri"/>
                <w:sz w:val="22"/>
              </w:rPr>
              <w:t>4 289</w:t>
            </w:r>
          </w:p>
        </w:tc>
        <w:tc>
          <w:tcPr>
            <w:tcW w:w="1195" w:type="dxa"/>
            <w:tcBorders>
              <w:top w:val="single" w:sz="4" w:space="0" w:color="auto"/>
              <w:left w:val="single" w:sz="4" w:space="0" w:color="auto"/>
              <w:bottom w:val="single" w:sz="4" w:space="0" w:color="auto"/>
              <w:right w:val="single" w:sz="4" w:space="0" w:color="auto"/>
            </w:tcBorders>
            <w:vAlign w:val="bottom"/>
          </w:tcPr>
          <w:p w14:paraId="71670362" w14:textId="7B9BF242" w:rsidR="00682073" w:rsidRPr="0053555E" w:rsidRDefault="00682073" w:rsidP="00682073">
            <w:pPr>
              <w:jc w:val="center"/>
              <w:rPr>
                <w:rFonts w:asciiTheme="majorHAnsi" w:hAnsiTheme="majorHAnsi" w:cstheme="majorHAnsi"/>
                <w:sz w:val="22"/>
              </w:rPr>
            </w:pPr>
            <w:r w:rsidRPr="0053555E">
              <w:rPr>
                <w:rFonts w:cs="Calibri"/>
                <w:sz w:val="22"/>
              </w:rPr>
              <w:t>4 205</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9B2CD" w14:textId="12946C46" w:rsidR="00682073" w:rsidRPr="0053555E" w:rsidRDefault="00682073" w:rsidP="00682073">
            <w:pPr>
              <w:jc w:val="center"/>
              <w:rPr>
                <w:rFonts w:asciiTheme="majorHAnsi" w:hAnsiTheme="majorHAnsi" w:cstheme="majorHAnsi"/>
                <w:sz w:val="22"/>
              </w:rPr>
            </w:pPr>
            <w:r w:rsidRPr="0053555E">
              <w:rPr>
                <w:rFonts w:cs="Calibri"/>
                <w:sz w:val="22"/>
              </w:rPr>
              <w:t>3 815</w:t>
            </w:r>
          </w:p>
        </w:tc>
        <w:tc>
          <w:tcPr>
            <w:tcW w:w="1195" w:type="dxa"/>
            <w:tcBorders>
              <w:top w:val="nil"/>
              <w:left w:val="nil"/>
              <w:bottom w:val="single" w:sz="4" w:space="0" w:color="auto"/>
              <w:right w:val="single" w:sz="4" w:space="0" w:color="auto"/>
            </w:tcBorders>
            <w:shd w:val="clear" w:color="auto" w:fill="auto"/>
            <w:noWrap/>
            <w:vAlign w:val="bottom"/>
            <w:hideMark/>
          </w:tcPr>
          <w:p w14:paraId="614D2109" w14:textId="256D8A83" w:rsidR="00682073" w:rsidRPr="0053555E" w:rsidRDefault="00682073" w:rsidP="00682073">
            <w:pPr>
              <w:jc w:val="center"/>
              <w:rPr>
                <w:rFonts w:asciiTheme="majorHAnsi" w:hAnsiTheme="majorHAnsi" w:cstheme="majorHAnsi"/>
                <w:sz w:val="22"/>
              </w:rPr>
            </w:pPr>
            <w:r w:rsidRPr="0053555E">
              <w:rPr>
                <w:rFonts w:cs="Calibri"/>
                <w:sz w:val="22"/>
              </w:rPr>
              <w:t>3 430</w:t>
            </w:r>
          </w:p>
        </w:tc>
        <w:tc>
          <w:tcPr>
            <w:tcW w:w="1195" w:type="dxa"/>
            <w:tcBorders>
              <w:top w:val="nil"/>
              <w:left w:val="nil"/>
              <w:bottom w:val="single" w:sz="4" w:space="0" w:color="auto"/>
              <w:right w:val="single" w:sz="4" w:space="0" w:color="auto"/>
            </w:tcBorders>
            <w:shd w:val="clear" w:color="auto" w:fill="auto"/>
            <w:noWrap/>
            <w:vAlign w:val="bottom"/>
            <w:hideMark/>
          </w:tcPr>
          <w:p w14:paraId="66F949CF" w14:textId="7B9A29F9" w:rsidR="00682073" w:rsidRPr="0053555E" w:rsidRDefault="00682073" w:rsidP="00682073">
            <w:pPr>
              <w:jc w:val="center"/>
              <w:rPr>
                <w:rFonts w:asciiTheme="majorHAnsi" w:hAnsiTheme="majorHAnsi" w:cstheme="majorHAnsi"/>
                <w:sz w:val="22"/>
              </w:rPr>
            </w:pPr>
            <w:r w:rsidRPr="0053555E">
              <w:rPr>
                <w:rFonts w:cs="Calibri"/>
                <w:sz w:val="22"/>
              </w:rPr>
              <w:t>3 285</w:t>
            </w:r>
          </w:p>
        </w:tc>
        <w:tc>
          <w:tcPr>
            <w:tcW w:w="1195" w:type="dxa"/>
            <w:tcBorders>
              <w:top w:val="nil"/>
              <w:left w:val="nil"/>
              <w:bottom w:val="single" w:sz="4" w:space="0" w:color="auto"/>
              <w:right w:val="single" w:sz="4" w:space="0" w:color="auto"/>
            </w:tcBorders>
            <w:shd w:val="clear" w:color="auto" w:fill="auto"/>
            <w:noWrap/>
            <w:vAlign w:val="bottom"/>
            <w:hideMark/>
          </w:tcPr>
          <w:p w14:paraId="0491677D" w14:textId="6585BE32" w:rsidR="00682073" w:rsidRPr="0053555E" w:rsidRDefault="00682073" w:rsidP="00682073">
            <w:pPr>
              <w:jc w:val="center"/>
              <w:rPr>
                <w:rFonts w:asciiTheme="majorHAnsi" w:hAnsiTheme="majorHAnsi" w:cstheme="majorHAnsi"/>
                <w:sz w:val="22"/>
              </w:rPr>
            </w:pPr>
            <w:r w:rsidRPr="0053555E">
              <w:rPr>
                <w:rFonts w:cs="Calibri"/>
                <w:sz w:val="22"/>
              </w:rPr>
              <w:t>2 964</w:t>
            </w:r>
          </w:p>
        </w:tc>
        <w:tc>
          <w:tcPr>
            <w:tcW w:w="1195" w:type="dxa"/>
            <w:tcBorders>
              <w:top w:val="nil"/>
              <w:left w:val="nil"/>
              <w:bottom w:val="single" w:sz="4" w:space="0" w:color="auto"/>
              <w:right w:val="single" w:sz="4" w:space="0" w:color="auto"/>
            </w:tcBorders>
            <w:shd w:val="clear" w:color="auto" w:fill="auto"/>
            <w:noWrap/>
            <w:vAlign w:val="bottom"/>
            <w:hideMark/>
          </w:tcPr>
          <w:p w14:paraId="593BDF5B" w14:textId="2CA67414" w:rsidR="00682073" w:rsidRPr="0053555E" w:rsidRDefault="00682073" w:rsidP="00682073">
            <w:pPr>
              <w:jc w:val="center"/>
              <w:rPr>
                <w:rFonts w:asciiTheme="majorHAnsi" w:hAnsiTheme="majorHAnsi" w:cstheme="majorHAnsi"/>
                <w:sz w:val="22"/>
              </w:rPr>
            </w:pPr>
            <w:r w:rsidRPr="0053555E">
              <w:rPr>
                <w:rFonts w:cs="Calibri"/>
                <w:sz w:val="22"/>
              </w:rPr>
              <w:t>2 923</w:t>
            </w:r>
          </w:p>
        </w:tc>
      </w:tr>
      <w:tr w:rsidR="00682073" w:rsidRPr="0053555E" w14:paraId="0D8F3ADA" w14:textId="77777777" w:rsidTr="00744012">
        <w:trPr>
          <w:trHeight w:val="315"/>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06920" w14:textId="77777777" w:rsidR="00682073" w:rsidRPr="0053555E" w:rsidRDefault="00682073" w:rsidP="00682073">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III. stupeň</w:t>
            </w:r>
          </w:p>
        </w:tc>
        <w:tc>
          <w:tcPr>
            <w:tcW w:w="1194" w:type="dxa"/>
            <w:tcBorders>
              <w:top w:val="single" w:sz="4" w:space="0" w:color="auto"/>
              <w:left w:val="single" w:sz="4" w:space="0" w:color="auto"/>
              <w:bottom w:val="single" w:sz="4" w:space="0" w:color="auto"/>
              <w:right w:val="single" w:sz="4" w:space="0" w:color="auto"/>
            </w:tcBorders>
            <w:vAlign w:val="bottom"/>
          </w:tcPr>
          <w:p w14:paraId="016DB3D7" w14:textId="46BCF93C" w:rsidR="00682073" w:rsidRPr="0053555E" w:rsidRDefault="00682073" w:rsidP="00682073">
            <w:pPr>
              <w:jc w:val="center"/>
              <w:rPr>
                <w:rFonts w:asciiTheme="majorHAnsi" w:hAnsiTheme="majorHAnsi" w:cstheme="majorHAnsi"/>
                <w:sz w:val="22"/>
              </w:rPr>
            </w:pPr>
            <w:r w:rsidRPr="0053555E">
              <w:rPr>
                <w:rFonts w:cs="Calibri"/>
                <w:sz w:val="22"/>
              </w:rPr>
              <w:t>717</w:t>
            </w:r>
          </w:p>
        </w:tc>
        <w:tc>
          <w:tcPr>
            <w:tcW w:w="1195" w:type="dxa"/>
            <w:tcBorders>
              <w:top w:val="single" w:sz="4" w:space="0" w:color="auto"/>
              <w:left w:val="single" w:sz="4" w:space="0" w:color="auto"/>
              <w:bottom w:val="single" w:sz="4" w:space="0" w:color="auto"/>
              <w:right w:val="single" w:sz="4" w:space="0" w:color="auto"/>
            </w:tcBorders>
            <w:vAlign w:val="bottom"/>
          </w:tcPr>
          <w:p w14:paraId="6898EFF5" w14:textId="02B1D7BB" w:rsidR="00682073" w:rsidRPr="0053555E" w:rsidRDefault="00682073" w:rsidP="00682073">
            <w:pPr>
              <w:jc w:val="center"/>
              <w:rPr>
                <w:rFonts w:asciiTheme="majorHAnsi" w:hAnsiTheme="majorHAnsi" w:cstheme="majorHAnsi"/>
                <w:sz w:val="22"/>
              </w:rPr>
            </w:pPr>
            <w:r w:rsidRPr="0053555E">
              <w:rPr>
                <w:rFonts w:cs="Calibri"/>
                <w:sz w:val="22"/>
              </w:rPr>
              <w:t>635</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A7454" w14:textId="56673591" w:rsidR="00682073" w:rsidRPr="0053555E" w:rsidRDefault="00682073" w:rsidP="00682073">
            <w:pPr>
              <w:jc w:val="center"/>
              <w:rPr>
                <w:rFonts w:asciiTheme="majorHAnsi" w:hAnsiTheme="majorHAnsi" w:cstheme="majorHAnsi"/>
                <w:sz w:val="22"/>
              </w:rPr>
            </w:pPr>
            <w:r w:rsidRPr="0053555E">
              <w:rPr>
                <w:rFonts w:cs="Calibri"/>
                <w:sz w:val="22"/>
              </w:rPr>
              <w:t>576</w:t>
            </w:r>
          </w:p>
        </w:tc>
        <w:tc>
          <w:tcPr>
            <w:tcW w:w="1195" w:type="dxa"/>
            <w:tcBorders>
              <w:top w:val="nil"/>
              <w:left w:val="nil"/>
              <w:bottom w:val="single" w:sz="4" w:space="0" w:color="auto"/>
              <w:right w:val="single" w:sz="4" w:space="0" w:color="auto"/>
            </w:tcBorders>
            <w:shd w:val="clear" w:color="auto" w:fill="auto"/>
            <w:noWrap/>
            <w:vAlign w:val="bottom"/>
            <w:hideMark/>
          </w:tcPr>
          <w:p w14:paraId="338D9627" w14:textId="30DCCC12" w:rsidR="00682073" w:rsidRPr="0053555E" w:rsidRDefault="00682073" w:rsidP="00682073">
            <w:pPr>
              <w:jc w:val="center"/>
              <w:rPr>
                <w:rFonts w:asciiTheme="majorHAnsi" w:hAnsiTheme="majorHAnsi" w:cstheme="majorHAnsi"/>
                <w:sz w:val="22"/>
              </w:rPr>
            </w:pPr>
            <w:r w:rsidRPr="0053555E">
              <w:rPr>
                <w:rFonts w:cs="Calibri"/>
                <w:sz w:val="22"/>
              </w:rPr>
              <w:t>578</w:t>
            </w:r>
          </w:p>
        </w:tc>
        <w:tc>
          <w:tcPr>
            <w:tcW w:w="1195" w:type="dxa"/>
            <w:tcBorders>
              <w:top w:val="nil"/>
              <w:left w:val="nil"/>
              <w:bottom w:val="single" w:sz="4" w:space="0" w:color="auto"/>
              <w:right w:val="single" w:sz="4" w:space="0" w:color="auto"/>
            </w:tcBorders>
            <w:shd w:val="clear" w:color="auto" w:fill="auto"/>
            <w:noWrap/>
            <w:vAlign w:val="bottom"/>
            <w:hideMark/>
          </w:tcPr>
          <w:p w14:paraId="59C635A0" w14:textId="4E93502C" w:rsidR="00682073" w:rsidRPr="0053555E" w:rsidRDefault="00682073" w:rsidP="00682073">
            <w:pPr>
              <w:jc w:val="center"/>
              <w:rPr>
                <w:rFonts w:asciiTheme="majorHAnsi" w:hAnsiTheme="majorHAnsi" w:cstheme="majorHAnsi"/>
                <w:sz w:val="22"/>
              </w:rPr>
            </w:pPr>
            <w:r w:rsidRPr="0053555E">
              <w:rPr>
                <w:rFonts w:cs="Calibri"/>
                <w:sz w:val="22"/>
              </w:rPr>
              <w:t>583</w:t>
            </w:r>
          </w:p>
        </w:tc>
        <w:tc>
          <w:tcPr>
            <w:tcW w:w="1195" w:type="dxa"/>
            <w:tcBorders>
              <w:top w:val="nil"/>
              <w:left w:val="nil"/>
              <w:bottom w:val="single" w:sz="4" w:space="0" w:color="auto"/>
              <w:right w:val="single" w:sz="4" w:space="0" w:color="auto"/>
            </w:tcBorders>
            <w:shd w:val="clear" w:color="auto" w:fill="auto"/>
            <w:noWrap/>
            <w:vAlign w:val="bottom"/>
            <w:hideMark/>
          </w:tcPr>
          <w:p w14:paraId="240424B3" w14:textId="7B1AA686" w:rsidR="00682073" w:rsidRPr="0053555E" w:rsidRDefault="00682073" w:rsidP="00682073">
            <w:pPr>
              <w:jc w:val="center"/>
              <w:rPr>
                <w:rFonts w:asciiTheme="majorHAnsi" w:hAnsiTheme="majorHAnsi" w:cstheme="majorHAnsi"/>
                <w:sz w:val="22"/>
              </w:rPr>
            </w:pPr>
            <w:r w:rsidRPr="0053555E">
              <w:rPr>
                <w:rFonts w:cs="Calibri"/>
                <w:sz w:val="22"/>
              </w:rPr>
              <w:t>579</w:t>
            </w:r>
          </w:p>
        </w:tc>
        <w:tc>
          <w:tcPr>
            <w:tcW w:w="1195" w:type="dxa"/>
            <w:tcBorders>
              <w:top w:val="nil"/>
              <w:left w:val="nil"/>
              <w:bottom w:val="single" w:sz="4" w:space="0" w:color="auto"/>
              <w:right w:val="single" w:sz="4" w:space="0" w:color="auto"/>
            </w:tcBorders>
            <w:shd w:val="clear" w:color="auto" w:fill="auto"/>
            <w:noWrap/>
            <w:vAlign w:val="bottom"/>
            <w:hideMark/>
          </w:tcPr>
          <w:p w14:paraId="4E00BE3E" w14:textId="0C4699A1" w:rsidR="00682073" w:rsidRPr="0053555E" w:rsidRDefault="00682073" w:rsidP="00682073">
            <w:pPr>
              <w:jc w:val="center"/>
              <w:rPr>
                <w:rFonts w:asciiTheme="majorHAnsi" w:hAnsiTheme="majorHAnsi" w:cstheme="majorHAnsi"/>
                <w:sz w:val="22"/>
              </w:rPr>
            </w:pPr>
            <w:r w:rsidRPr="0053555E">
              <w:rPr>
                <w:rFonts w:cs="Calibri"/>
                <w:sz w:val="22"/>
              </w:rPr>
              <w:t>608</w:t>
            </w:r>
          </w:p>
        </w:tc>
      </w:tr>
      <w:tr w:rsidR="00682073" w:rsidRPr="0053555E" w14:paraId="6BCFF4AD" w14:textId="77777777" w:rsidTr="00744012">
        <w:trPr>
          <w:trHeight w:val="315"/>
        </w:trPr>
        <w:tc>
          <w:tcPr>
            <w:tcW w:w="107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4AD16701" w14:textId="77777777" w:rsidR="00682073" w:rsidRPr="0053555E" w:rsidRDefault="00682073" w:rsidP="00682073">
            <w:pPr>
              <w:tabs>
                <w:tab w:val="left" w:pos="9356"/>
              </w:tabs>
              <w:jc w:val="both"/>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Spolu</w:t>
            </w:r>
          </w:p>
        </w:tc>
        <w:tc>
          <w:tcPr>
            <w:tcW w:w="1194"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5E6978D6" w14:textId="59DCEB2B" w:rsidR="00682073" w:rsidRPr="0053555E" w:rsidRDefault="00682073" w:rsidP="00682073">
            <w:pPr>
              <w:jc w:val="center"/>
              <w:rPr>
                <w:rFonts w:asciiTheme="majorHAnsi" w:hAnsiTheme="majorHAnsi" w:cstheme="majorHAnsi"/>
                <w:b/>
                <w:sz w:val="22"/>
              </w:rPr>
            </w:pPr>
            <w:r w:rsidRPr="0053555E">
              <w:rPr>
                <w:rFonts w:cs="Calibri"/>
                <w:b/>
                <w:sz w:val="22"/>
              </w:rPr>
              <w:t>13 983</w:t>
            </w:r>
          </w:p>
        </w:tc>
        <w:tc>
          <w:tcPr>
            <w:tcW w:w="1195"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0F4DA407" w14:textId="4A4D6D04" w:rsidR="00682073" w:rsidRPr="0053555E" w:rsidRDefault="00682073" w:rsidP="00682073">
            <w:pPr>
              <w:jc w:val="center"/>
              <w:rPr>
                <w:rFonts w:asciiTheme="majorHAnsi" w:hAnsiTheme="majorHAnsi" w:cstheme="majorHAnsi"/>
                <w:b/>
                <w:sz w:val="22"/>
              </w:rPr>
            </w:pPr>
            <w:r w:rsidRPr="0053555E">
              <w:rPr>
                <w:rFonts w:cs="Calibri"/>
                <w:b/>
                <w:sz w:val="22"/>
              </w:rPr>
              <w:t>12 860</w:t>
            </w:r>
          </w:p>
        </w:tc>
        <w:tc>
          <w:tcPr>
            <w:tcW w:w="1195"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309A64CE" w14:textId="3F875F7B" w:rsidR="00682073" w:rsidRPr="0053555E" w:rsidRDefault="00682073" w:rsidP="00682073">
            <w:pPr>
              <w:jc w:val="center"/>
              <w:rPr>
                <w:rFonts w:asciiTheme="majorHAnsi" w:hAnsiTheme="majorHAnsi" w:cstheme="majorHAnsi"/>
                <w:b/>
                <w:sz w:val="22"/>
              </w:rPr>
            </w:pPr>
            <w:r w:rsidRPr="0053555E">
              <w:rPr>
                <w:rFonts w:cs="Calibri"/>
                <w:b/>
                <w:sz w:val="22"/>
              </w:rPr>
              <w:t>11 527</w:t>
            </w:r>
          </w:p>
        </w:tc>
        <w:tc>
          <w:tcPr>
            <w:tcW w:w="1195" w:type="dxa"/>
            <w:tcBorders>
              <w:top w:val="nil"/>
              <w:left w:val="nil"/>
              <w:bottom w:val="single" w:sz="4" w:space="0" w:color="auto"/>
              <w:right w:val="single" w:sz="4" w:space="0" w:color="auto"/>
            </w:tcBorders>
            <w:shd w:val="clear" w:color="auto" w:fill="EEECE1" w:themeFill="background2"/>
            <w:noWrap/>
            <w:vAlign w:val="bottom"/>
            <w:hideMark/>
          </w:tcPr>
          <w:p w14:paraId="2E19F885" w14:textId="4DFF40D3" w:rsidR="00682073" w:rsidRPr="0053555E" w:rsidRDefault="00682073" w:rsidP="00682073">
            <w:pPr>
              <w:jc w:val="center"/>
              <w:rPr>
                <w:rFonts w:asciiTheme="majorHAnsi" w:hAnsiTheme="majorHAnsi" w:cstheme="majorHAnsi"/>
                <w:b/>
                <w:sz w:val="22"/>
              </w:rPr>
            </w:pPr>
            <w:r w:rsidRPr="0053555E">
              <w:rPr>
                <w:rFonts w:cs="Calibri"/>
                <w:b/>
                <w:sz w:val="22"/>
              </w:rPr>
              <w:t>10 926</w:t>
            </w:r>
          </w:p>
        </w:tc>
        <w:tc>
          <w:tcPr>
            <w:tcW w:w="1195" w:type="dxa"/>
            <w:tcBorders>
              <w:top w:val="nil"/>
              <w:left w:val="nil"/>
              <w:bottom w:val="single" w:sz="4" w:space="0" w:color="auto"/>
              <w:right w:val="single" w:sz="4" w:space="0" w:color="auto"/>
            </w:tcBorders>
            <w:shd w:val="clear" w:color="auto" w:fill="EEECE1" w:themeFill="background2"/>
            <w:noWrap/>
            <w:vAlign w:val="bottom"/>
            <w:hideMark/>
          </w:tcPr>
          <w:p w14:paraId="355FDD4F" w14:textId="0510DC51" w:rsidR="00682073" w:rsidRPr="0053555E" w:rsidRDefault="00682073" w:rsidP="00682073">
            <w:pPr>
              <w:jc w:val="center"/>
              <w:rPr>
                <w:rFonts w:asciiTheme="majorHAnsi" w:hAnsiTheme="majorHAnsi" w:cstheme="majorHAnsi"/>
                <w:b/>
                <w:sz w:val="22"/>
              </w:rPr>
            </w:pPr>
            <w:r w:rsidRPr="0053555E">
              <w:rPr>
                <w:rFonts w:cs="Calibri"/>
                <w:b/>
                <w:sz w:val="22"/>
              </w:rPr>
              <w:t>10 792</w:t>
            </w:r>
          </w:p>
        </w:tc>
        <w:tc>
          <w:tcPr>
            <w:tcW w:w="1195" w:type="dxa"/>
            <w:tcBorders>
              <w:top w:val="nil"/>
              <w:left w:val="nil"/>
              <w:bottom w:val="single" w:sz="4" w:space="0" w:color="auto"/>
              <w:right w:val="single" w:sz="4" w:space="0" w:color="auto"/>
            </w:tcBorders>
            <w:shd w:val="clear" w:color="auto" w:fill="EEECE1" w:themeFill="background2"/>
            <w:noWrap/>
            <w:vAlign w:val="bottom"/>
            <w:hideMark/>
          </w:tcPr>
          <w:p w14:paraId="39B9F51E" w14:textId="360BEDC9" w:rsidR="00682073" w:rsidRPr="0053555E" w:rsidRDefault="00682073" w:rsidP="00682073">
            <w:pPr>
              <w:jc w:val="center"/>
              <w:rPr>
                <w:rFonts w:asciiTheme="majorHAnsi" w:hAnsiTheme="majorHAnsi" w:cstheme="majorHAnsi"/>
                <w:b/>
                <w:sz w:val="22"/>
              </w:rPr>
            </w:pPr>
            <w:r w:rsidRPr="0053555E">
              <w:rPr>
                <w:rFonts w:cs="Calibri"/>
                <w:b/>
                <w:sz w:val="22"/>
              </w:rPr>
              <w:t>10 512</w:t>
            </w:r>
          </w:p>
        </w:tc>
        <w:tc>
          <w:tcPr>
            <w:tcW w:w="1195" w:type="dxa"/>
            <w:tcBorders>
              <w:top w:val="nil"/>
              <w:left w:val="nil"/>
              <w:bottom w:val="single" w:sz="4" w:space="0" w:color="auto"/>
              <w:right w:val="single" w:sz="4" w:space="0" w:color="auto"/>
            </w:tcBorders>
            <w:shd w:val="clear" w:color="auto" w:fill="EEECE1" w:themeFill="background2"/>
            <w:noWrap/>
            <w:vAlign w:val="bottom"/>
            <w:hideMark/>
          </w:tcPr>
          <w:p w14:paraId="2DFD5C70" w14:textId="6A54BD93" w:rsidR="00682073" w:rsidRPr="0053555E" w:rsidRDefault="00682073" w:rsidP="00682073">
            <w:pPr>
              <w:jc w:val="center"/>
              <w:rPr>
                <w:rFonts w:asciiTheme="majorHAnsi" w:hAnsiTheme="majorHAnsi" w:cstheme="majorHAnsi"/>
                <w:b/>
                <w:sz w:val="22"/>
              </w:rPr>
            </w:pPr>
            <w:r w:rsidRPr="0053555E">
              <w:rPr>
                <w:rFonts w:cs="Calibri"/>
                <w:b/>
                <w:sz w:val="22"/>
              </w:rPr>
              <w:t>10 373</w:t>
            </w:r>
          </w:p>
        </w:tc>
      </w:tr>
    </w:tbl>
    <w:p w14:paraId="23EA6F56" w14:textId="77777777" w:rsidR="0042210A" w:rsidRPr="0053555E" w:rsidRDefault="0042210A" w:rsidP="0042210A">
      <w:pPr>
        <w:tabs>
          <w:tab w:val="left" w:pos="9356"/>
        </w:tabs>
        <w:jc w:val="both"/>
        <w:rPr>
          <w:rFonts w:asciiTheme="majorHAnsi" w:hAnsiTheme="majorHAnsi" w:cstheme="majorHAnsi"/>
        </w:rPr>
      </w:pPr>
    </w:p>
    <w:p w14:paraId="73BDEBAA" w14:textId="77777777" w:rsidR="0042210A" w:rsidRPr="0053555E" w:rsidRDefault="0042210A" w:rsidP="0042210A">
      <w:pPr>
        <w:tabs>
          <w:tab w:val="left" w:pos="9356"/>
        </w:tabs>
        <w:jc w:val="both"/>
        <w:rPr>
          <w:rFonts w:asciiTheme="majorHAnsi" w:hAnsiTheme="majorHAnsi" w:cstheme="majorHAnsi"/>
        </w:rPr>
      </w:pPr>
    </w:p>
    <w:p w14:paraId="5806C627" w14:textId="30E8F0B1" w:rsidR="0042210A" w:rsidRPr="0053555E" w:rsidRDefault="0042210A" w:rsidP="000E3322">
      <w:pPr>
        <w:pStyle w:val="Popis"/>
      </w:pPr>
      <w:bookmarkStart w:id="46" w:name="_Ref474779684"/>
      <w:bookmarkStart w:id="47" w:name="_Toc127593333"/>
      <w:r w:rsidRPr="0053555E">
        <w:t xml:space="preserve">Graf č. </w:t>
      </w:r>
      <w:r w:rsidR="007B5953">
        <w:fldChar w:fldCharType="begin"/>
      </w:r>
      <w:r w:rsidR="007B5953">
        <w:instrText xml:space="preserve"> SEQ Graf_č. \* ARABIC </w:instrText>
      </w:r>
      <w:r w:rsidR="007B5953">
        <w:fldChar w:fldCharType="separate"/>
      </w:r>
      <w:r w:rsidR="00EE1B59">
        <w:rPr>
          <w:noProof/>
        </w:rPr>
        <w:t>5</w:t>
      </w:r>
      <w:r w:rsidR="007B5953">
        <w:rPr>
          <w:noProof/>
        </w:rPr>
        <w:fldChar w:fldCharType="end"/>
      </w:r>
      <w:bookmarkEnd w:id="46"/>
      <w:r w:rsidRPr="0053555E">
        <w:t>: Vývoj počtu študentov STU dennej formy na jednotlivých stupňoch štúdia</w:t>
      </w:r>
      <w:bookmarkEnd w:id="47"/>
      <w:r w:rsidRPr="0053555E">
        <w:t xml:space="preserve"> </w:t>
      </w:r>
    </w:p>
    <w:p w14:paraId="16ECA781" w14:textId="77777777" w:rsidR="00B81EE6" w:rsidRPr="0053555E" w:rsidRDefault="00B81EE6" w:rsidP="003E79C3">
      <w:pPr>
        <w:jc w:val="center"/>
      </w:pPr>
      <w:r w:rsidRPr="0053555E">
        <w:rPr>
          <w:rFonts w:asciiTheme="majorHAnsi" w:hAnsiTheme="majorHAnsi" w:cstheme="majorHAnsi"/>
          <w:noProof/>
          <w:sz w:val="22"/>
          <w:lang w:eastAsia="sk-SK"/>
        </w:rPr>
        <w:drawing>
          <wp:inline distT="0" distB="0" distL="0" distR="0" wp14:anchorId="5BFB68E1" wp14:editId="7B49F0D2">
            <wp:extent cx="5267325" cy="3305175"/>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E2B178" w14:textId="77777777" w:rsidR="0042210A" w:rsidRPr="0053555E" w:rsidRDefault="0042210A" w:rsidP="0042210A">
      <w:pPr>
        <w:tabs>
          <w:tab w:val="left" w:pos="9356"/>
        </w:tabs>
        <w:jc w:val="both"/>
        <w:rPr>
          <w:rFonts w:asciiTheme="majorHAnsi" w:hAnsiTheme="majorHAnsi" w:cstheme="majorHAnsi"/>
          <w:sz w:val="20"/>
          <w:szCs w:val="20"/>
          <w14:shadow w14:blurRad="63500" w14:dist="0" w14:dir="0" w14:sx="102000" w14:sy="102000" w14:kx="0" w14:ky="0" w14:algn="ctr">
            <w14:srgbClr w14:val="000000">
              <w14:alpha w14:val="60000"/>
            </w14:srgbClr>
          </w14:shadow>
        </w:rPr>
      </w:pPr>
    </w:p>
    <w:p w14:paraId="06BF0584" w14:textId="24567B92" w:rsidR="0042210A" w:rsidRPr="0053555E" w:rsidRDefault="0042210A" w:rsidP="0042210A">
      <w:pPr>
        <w:tabs>
          <w:tab w:val="left" w:pos="9356"/>
        </w:tabs>
        <w:spacing w:after="120"/>
        <w:jc w:val="both"/>
        <w:rPr>
          <w:rFonts w:asciiTheme="majorHAnsi" w:hAnsiTheme="majorHAnsi" w:cstheme="majorHAnsi"/>
        </w:rPr>
      </w:pPr>
      <w:r w:rsidRPr="0053555E">
        <w:rPr>
          <w:rFonts w:asciiTheme="majorHAnsi" w:hAnsiTheme="majorHAnsi" w:cstheme="majorHAnsi"/>
        </w:rPr>
        <w:t>Z grafov je vidieť dlhodobý pokles celkového počtu študentov. Hoci na prvom stupni štúdia</w:t>
      </w:r>
      <w:r w:rsidR="00AA7AE6" w:rsidRPr="0053555E">
        <w:rPr>
          <w:rFonts w:asciiTheme="majorHAnsi" w:hAnsiTheme="majorHAnsi" w:cstheme="majorHAnsi"/>
          <w:b/>
        </w:rPr>
        <w:t xml:space="preserve"> </w:t>
      </w:r>
      <w:r w:rsidRPr="0053555E">
        <w:rPr>
          <w:rFonts w:asciiTheme="majorHAnsi" w:hAnsiTheme="majorHAnsi" w:cstheme="majorHAnsi"/>
        </w:rPr>
        <w:t xml:space="preserve">bol </w:t>
      </w:r>
      <w:r w:rsidR="00C2230B">
        <w:rPr>
          <w:rFonts w:asciiTheme="majorHAnsi" w:hAnsiTheme="majorHAnsi" w:cstheme="majorHAnsi"/>
        </w:rPr>
        <w:t xml:space="preserve">v predchádzajúcich troch </w:t>
      </w:r>
      <w:r w:rsidRPr="0053555E">
        <w:rPr>
          <w:rFonts w:asciiTheme="majorHAnsi" w:hAnsiTheme="majorHAnsi" w:cstheme="majorHAnsi"/>
        </w:rPr>
        <w:t>akademick</w:t>
      </w:r>
      <w:r w:rsidR="00C2230B">
        <w:rPr>
          <w:rFonts w:asciiTheme="majorHAnsi" w:hAnsiTheme="majorHAnsi" w:cstheme="majorHAnsi"/>
        </w:rPr>
        <w:t>ých</w:t>
      </w:r>
      <w:r w:rsidRPr="0053555E">
        <w:rPr>
          <w:rFonts w:asciiTheme="majorHAnsi" w:hAnsiTheme="majorHAnsi" w:cstheme="majorHAnsi"/>
        </w:rPr>
        <w:t xml:space="preserve"> rok</w:t>
      </w:r>
      <w:r w:rsidR="00C2230B">
        <w:rPr>
          <w:rFonts w:asciiTheme="majorHAnsi" w:hAnsiTheme="majorHAnsi" w:cstheme="majorHAnsi"/>
        </w:rPr>
        <w:t>och</w:t>
      </w:r>
      <w:r w:rsidRPr="0053555E">
        <w:rPr>
          <w:rFonts w:asciiTheme="majorHAnsi" w:hAnsiTheme="majorHAnsi" w:cstheme="majorHAnsi"/>
        </w:rPr>
        <w:t xml:space="preserve"> zaznamenaný mierny medziročný nárast počtu študentov</w:t>
      </w:r>
      <w:r w:rsidR="00C2230B">
        <w:rPr>
          <w:rFonts w:asciiTheme="majorHAnsi" w:hAnsiTheme="majorHAnsi" w:cstheme="majorHAnsi"/>
        </w:rPr>
        <w:t>, v akademickom roku 2021/2022 bol znovu pokles</w:t>
      </w:r>
      <w:r w:rsidR="0080581E" w:rsidRPr="0053555E">
        <w:rPr>
          <w:rFonts w:asciiTheme="majorHAnsi" w:hAnsiTheme="majorHAnsi" w:cstheme="majorHAnsi"/>
        </w:rPr>
        <w:t xml:space="preserve"> </w:t>
      </w:r>
      <w:r w:rsidR="0080581E" w:rsidRPr="0053555E">
        <w:rPr>
          <w:rFonts w:asciiTheme="majorHAnsi" w:hAnsiTheme="majorHAnsi" w:cstheme="majorHAnsi"/>
          <w:b/>
        </w:rPr>
        <w:t>o</w:t>
      </w:r>
      <w:r w:rsidR="001A7AC4" w:rsidRPr="0053555E">
        <w:rPr>
          <w:rFonts w:asciiTheme="majorHAnsi" w:hAnsiTheme="majorHAnsi" w:cstheme="majorHAnsi"/>
          <w:b/>
        </w:rPr>
        <w:t xml:space="preserve">  </w:t>
      </w:r>
      <w:r w:rsidR="00C2230B">
        <w:rPr>
          <w:rFonts w:asciiTheme="majorHAnsi" w:hAnsiTheme="majorHAnsi" w:cstheme="majorHAnsi"/>
          <w:b/>
        </w:rPr>
        <w:t>2</w:t>
      </w:r>
      <w:r w:rsidR="00C3070A" w:rsidRPr="0053555E">
        <w:rPr>
          <w:rFonts w:asciiTheme="majorHAnsi" w:hAnsiTheme="majorHAnsi" w:cstheme="majorHAnsi"/>
          <w:b/>
        </w:rPr>
        <w:t xml:space="preserve"> %</w:t>
      </w:r>
      <w:r w:rsidR="00124271" w:rsidRPr="0053555E">
        <w:rPr>
          <w:rFonts w:asciiTheme="majorHAnsi" w:hAnsiTheme="majorHAnsi" w:cstheme="majorHAnsi"/>
          <w:b/>
        </w:rPr>
        <w:t xml:space="preserve"> </w:t>
      </w:r>
      <w:r w:rsidR="00124271" w:rsidRPr="0053555E">
        <w:rPr>
          <w:rFonts w:asciiTheme="majorHAnsi" w:hAnsiTheme="majorHAnsi" w:cstheme="majorHAnsi"/>
        </w:rPr>
        <w:t>(</w:t>
      </w:r>
      <w:r w:rsidR="00A31625">
        <w:rPr>
          <w:rFonts w:asciiTheme="majorHAnsi" w:hAnsiTheme="majorHAnsi" w:cstheme="majorHAnsi"/>
        </w:rPr>
        <w:t>127</w:t>
      </w:r>
      <w:r w:rsidRPr="0053555E">
        <w:rPr>
          <w:rFonts w:asciiTheme="majorHAnsi" w:hAnsiTheme="majorHAnsi" w:cstheme="majorHAnsi"/>
        </w:rPr>
        <w:t xml:space="preserve"> v absolútnych číslach</w:t>
      </w:r>
      <w:r w:rsidR="00124271" w:rsidRPr="0053555E">
        <w:rPr>
          <w:rFonts w:asciiTheme="majorHAnsi" w:hAnsiTheme="majorHAnsi" w:cstheme="majorHAnsi"/>
        </w:rPr>
        <w:t>)</w:t>
      </w:r>
      <w:r w:rsidR="00F54B9A" w:rsidRPr="0053555E">
        <w:rPr>
          <w:rFonts w:asciiTheme="majorHAnsi" w:hAnsiTheme="majorHAnsi" w:cstheme="majorHAnsi"/>
        </w:rPr>
        <w:t xml:space="preserve">. </w:t>
      </w:r>
      <w:r w:rsidR="00F94647" w:rsidRPr="0053555E">
        <w:rPr>
          <w:rFonts w:asciiTheme="majorHAnsi" w:hAnsiTheme="majorHAnsi" w:cstheme="majorHAnsi"/>
        </w:rPr>
        <w:t>N</w:t>
      </w:r>
      <w:r w:rsidRPr="0053555E">
        <w:rPr>
          <w:rFonts w:asciiTheme="majorHAnsi" w:hAnsiTheme="majorHAnsi" w:cstheme="majorHAnsi"/>
        </w:rPr>
        <w:t xml:space="preserve">a druhom stupni </w:t>
      </w:r>
      <w:r w:rsidR="00F94647" w:rsidRPr="0053555E">
        <w:rPr>
          <w:rFonts w:asciiTheme="majorHAnsi" w:hAnsiTheme="majorHAnsi" w:cstheme="majorHAnsi"/>
        </w:rPr>
        <w:t xml:space="preserve">štúdia </w:t>
      </w:r>
      <w:r w:rsidRPr="0053555E">
        <w:rPr>
          <w:rFonts w:asciiTheme="majorHAnsi" w:hAnsiTheme="majorHAnsi" w:cstheme="majorHAnsi"/>
        </w:rPr>
        <w:t xml:space="preserve">bol zaznamenaný </w:t>
      </w:r>
      <w:r w:rsidRPr="0053555E">
        <w:rPr>
          <w:rFonts w:asciiTheme="majorHAnsi" w:hAnsiTheme="majorHAnsi" w:cstheme="majorHAnsi"/>
          <w:b/>
        </w:rPr>
        <w:t>pokles študentov o </w:t>
      </w:r>
      <w:r w:rsidR="00124271" w:rsidRPr="0053555E">
        <w:rPr>
          <w:rFonts w:asciiTheme="majorHAnsi" w:hAnsiTheme="majorHAnsi" w:cstheme="majorHAnsi"/>
          <w:b/>
        </w:rPr>
        <w:t>1</w:t>
      </w:r>
      <w:r w:rsidRPr="0053555E">
        <w:rPr>
          <w:rFonts w:asciiTheme="majorHAnsi" w:hAnsiTheme="majorHAnsi" w:cstheme="majorHAnsi"/>
          <w:b/>
        </w:rPr>
        <w:t xml:space="preserve"> % </w:t>
      </w:r>
      <w:r w:rsidRPr="0053555E">
        <w:rPr>
          <w:rFonts w:asciiTheme="majorHAnsi" w:hAnsiTheme="majorHAnsi" w:cstheme="majorHAnsi"/>
        </w:rPr>
        <w:t>(</w:t>
      </w:r>
      <w:r w:rsidR="00A31625">
        <w:rPr>
          <w:rFonts w:asciiTheme="majorHAnsi" w:hAnsiTheme="majorHAnsi" w:cstheme="majorHAnsi"/>
        </w:rPr>
        <w:t>4</w:t>
      </w:r>
      <w:r w:rsidR="00F94647" w:rsidRPr="0053555E">
        <w:rPr>
          <w:rFonts w:asciiTheme="majorHAnsi" w:hAnsiTheme="majorHAnsi" w:cstheme="majorHAnsi"/>
        </w:rPr>
        <w:t>1</w:t>
      </w:r>
      <w:r w:rsidR="00253D27" w:rsidRPr="0053555E">
        <w:rPr>
          <w:rFonts w:asciiTheme="majorHAnsi" w:hAnsiTheme="majorHAnsi" w:cstheme="majorHAnsi"/>
        </w:rPr>
        <w:t>) a</w:t>
      </w:r>
      <w:r w:rsidR="00A31625">
        <w:rPr>
          <w:rFonts w:asciiTheme="majorHAnsi" w:hAnsiTheme="majorHAnsi" w:cstheme="majorHAnsi"/>
        </w:rPr>
        <w:t> </w:t>
      </w:r>
      <w:r w:rsidR="00253D27" w:rsidRPr="0053555E">
        <w:rPr>
          <w:rFonts w:asciiTheme="majorHAnsi" w:hAnsiTheme="majorHAnsi" w:cstheme="majorHAnsi"/>
        </w:rPr>
        <w:t>na</w:t>
      </w:r>
      <w:r w:rsidR="00A31625">
        <w:rPr>
          <w:rFonts w:asciiTheme="majorHAnsi" w:hAnsiTheme="majorHAnsi" w:cstheme="majorHAnsi"/>
        </w:rPr>
        <w:t> </w:t>
      </w:r>
      <w:r w:rsidR="00F94647" w:rsidRPr="0053555E">
        <w:rPr>
          <w:rFonts w:asciiTheme="majorHAnsi" w:hAnsiTheme="majorHAnsi" w:cstheme="majorHAnsi"/>
        </w:rPr>
        <w:t xml:space="preserve">treťom stupni štúdia </w:t>
      </w:r>
      <w:r w:rsidR="00A31625">
        <w:rPr>
          <w:rFonts w:asciiTheme="majorHAnsi" w:hAnsiTheme="majorHAnsi" w:cstheme="majorHAnsi"/>
          <w:b/>
        </w:rPr>
        <w:t>mierny nárast</w:t>
      </w:r>
      <w:r w:rsidR="00253D27" w:rsidRPr="0053555E">
        <w:rPr>
          <w:rFonts w:asciiTheme="majorHAnsi" w:hAnsiTheme="majorHAnsi" w:cstheme="majorHAnsi"/>
          <w:b/>
        </w:rPr>
        <w:t xml:space="preserve"> študentov o </w:t>
      </w:r>
      <w:r w:rsidR="00A31625">
        <w:rPr>
          <w:rFonts w:asciiTheme="majorHAnsi" w:hAnsiTheme="majorHAnsi" w:cstheme="majorHAnsi"/>
          <w:b/>
        </w:rPr>
        <w:t>4</w:t>
      </w:r>
      <w:r w:rsidR="00253D27" w:rsidRPr="0053555E">
        <w:rPr>
          <w:rFonts w:asciiTheme="majorHAnsi" w:hAnsiTheme="majorHAnsi" w:cstheme="majorHAnsi"/>
          <w:b/>
        </w:rPr>
        <w:t xml:space="preserve"> % </w:t>
      </w:r>
      <w:r w:rsidR="00253D27" w:rsidRPr="0053555E">
        <w:rPr>
          <w:rFonts w:asciiTheme="majorHAnsi" w:hAnsiTheme="majorHAnsi" w:cstheme="majorHAnsi"/>
        </w:rPr>
        <w:t>(</w:t>
      </w:r>
      <w:r w:rsidR="00851CE8">
        <w:rPr>
          <w:rFonts w:asciiTheme="majorHAnsi" w:hAnsiTheme="majorHAnsi" w:cstheme="majorHAnsi"/>
        </w:rPr>
        <w:t>33</w:t>
      </w:r>
      <w:r w:rsidR="00253D27" w:rsidRPr="0053555E">
        <w:rPr>
          <w:rFonts w:asciiTheme="majorHAnsi" w:hAnsiTheme="majorHAnsi" w:cstheme="majorHAnsi"/>
        </w:rPr>
        <w:t>)</w:t>
      </w:r>
      <w:r w:rsidR="00BF6188" w:rsidRPr="0053555E">
        <w:rPr>
          <w:rFonts w:asciiTheme="majorHAnsi" w:hAnsiTheme="majorHAnsi" w:cstheme="majorHAnsi"/>
        </w:rPr>
        <w:t>. V porovnaní s akademickým rokom 20</w:t>
      </w:r>
      <w:r w:rsidR="00851CE8">
        <w:rPr>
          <w:rFonts w:asciiTheme="majorHAnsi" w:hAnsiTheme="majorHAnsi" w:cstheme="majorHAnsi"/>
        </w:rPr>
        <w:t>20</w:t>
      </w:r>
      <w:r w:rsidR="00BF6188" w:rsidRPr="0053555E">
        <w:rPr>
          <w:rFonts w:asciiTheme="majorHAnsi" w:hAnsiTheme="majorHAnsi" w:cstheme="majorHAnsi"/>
        </w:rPr>
        <w:t>/202</w:t>
      </w:r>
      <w:r w:rsidR="00851CE8">
        <w:rPr>
          <w:rFonts w:asciiTheme="majorHAnsi" w:hAnsiTheme="majorHAnsi" w:cstheme="majorHAnsi"/>
        </w:rPr>
        <w:t xml:space="preserve">1 </w:t>
      </w:r>
      <w:r w:rsidR="00BF6188" w:rsidRPr="0053555E">
        <w:rPr>
          <w:rFonts w:asciiTheme="majorHAnsi" w:hAnsiTheme="majorHAnsi" w:cstheme="majorHAnsi"/>
        </w:rPr>
        <w:t xml:space="preserve">STU zaznamenala </w:t>
      </w:r>
      <w:r w:rsidR="00BF6188" w:rsidRPr="0053555E">
        <w:rPr>
          <w:rFonts w:asciiTheme="majorHAnsi" w:hAnsiTheme="majorHAnsi" w:cstheme="majorHAnsi"/>
          <w:b/>
        </w:rPr>
        <w:t xml:space="preserve">celkový pokles študentov o </w:t>
      </w:r>
      <w:r w:rsidR="00851CE8">
        <w:rPr>
          <w:rFonts w:asciiTheme="majorHAnsi" w:hAnsiTheme="majorHAnsi" w:cstheme="majorHAnsi"/>
          <w:b/>
        </w:rPr>
        <w:t>1</w:t>
      </w:r>
      <w:r w:rsidR="00BF6188" w:rsidRPr="0053555E">
        <w:rPr>
          <w:rFonts w:asciiTheme="majorHAnsi" w:hAnsiTheme="majorHAnsi" w:cstheme="majorHAnsi"/>
          <w:b/>
        </w:rPr>
        <w:t xml:space="preserve"> %.</w:t>
      </w:r>
    </w:p>
    <w:p w14:paraId="53F7DF3B" w14:textId="1C4D6A3B" w:rsidR="0042210A" w:rsidRPr="0053555E" w:rsidRDefault="0042210A" w:rsidP="00E00A32">
      <w:pPr>
        <w:tabs>
          <w:tab w:val="left" w:pos="9356"/>
        </w:tabs>
        <w:spacing w:after="120"/>
        <w:jc w:val="both"/>
        <w:rPr>
          <w:rFonts w:asciiTheme="majorHAnsi" w:hAnsiTheme="majorHAnsi" w:cstheme="majorHAnsi"/>
        </w:rPr>
      </w:pPr>
      <w:r w:rsidRPr="0053555E">
        <w:rPr>
          <w:rFonts w:asciiTheme="majorHAnsi" w:hAnsiTheme="majorHAnsi" w:cstheme="majorHAnsi"/>
        </w:rPr>
        <w:t>STU uskutočňuje externú formu štúdia od akademického roku 2015/2016 len na treťom stupni</w:t>
      </w:r>
      <w:r w:rsidR="00BF0370" w:rsidRPr="0053555E">
        <w:rPr>
          <w:rFonts w:asciiTheme="majorHAnsi" w:hAnsiTheme="majorHAnsi" w:cstheme="majorHAnsi"/>
        </w:rPr>
        <w:t xml:space="preserve"> štúdia</w:t>
      </w:r>
      <w:r w:rsidRPr="0053555E">
        <w:rPr>
          <w:rFonts w:asciiTheme="majorHAnsi" w:hAnsiTheme="majorHAnsi" w:cstheme="majorHAnsi"/>
        </w:rPr>
        <w:t>. Celkovo sa znížil počet študentov doktorandských študijných programov v externej forme za sledovaných 7 rokov o </w:t>
      </w:r>
      <w:r w:rsidR="000856D7">
        <w:rPr>
          <w:rFonts w:asciiTheme="majorHAnsi" w:hAnsiTheme="majorHAnsi" w:cstheme="majorHAnsi"/>
        </w:rPr>
        <w:t>44</w:t>
      </w:r>
      <w:r w:rsidRPr="0053555E">
        <w:rPr>
          <w:rFonts w:asciiTheme="majorHAnsi" w:hAnsiTheme="majorHAnsi" w:cstheme="majorHAnsi"/>
        </w:rPr>
        <w:t xml:space="preserve"> %</w:t>
      </w:r>
      <w:r w:rsidR="000856D7">
        <w:rPr>
          <w:rFonts w:asciiTheme="majorHAnsi" w:hAnsiTheme="majorHAnsi" w:cstheme="majorHAnsi"/>
        </w:rPr>
        <w:t xml:space="preserve"> </w:t>
      </w:r>
      <w:r w:rsidR="000856D7" w:rsidRPr="000856D7">
        <w:rPr>
          <w:rFonts w:asciiTheme="majorHAnsi" w:hAnsiTheme="majorHAnsi" w:cstheme="majorHAnsi"/>
          <w:sz w:val="20"/>
        </w:rPr>
        <w:t>(</w:t>
      </w:r>
      <w:r w:rsidR="000856D7" w:rsidRPr="000856D7">
        <w:rPr>
          <w:rFonts w:asciiTheme="majorHAnsi" w:hAnsiTheme="majorHAnsi" w:cstheme="majorHAnsi"/>
          <w:sz w:val="20"/>
        </w:rPr>
        <w:fldChar w:fldCharType="begin"/>
      </w:r>
      <w:r w:rsidR="000856D7" w:rsidRPr="000856D7">
        <w:rPr>
          <w:rFonts w:asciiTheme="majorHAnsi" w:hAnsiTheme="majorHAnsi" w:cstheme="majorHAnsi"/>
          <w:sz w:val="20"/>
        </w:rPr>
        <w:instrText xml:space="preserve"> REF _Ref474779701 \h  \* MERGEFORMAT </w:instrText>
      </w:r>
      <w:r w:rsidR="000856D7" w:rsidRPr="000856D7">
        <w:rPr>
          <w:rFonts w:asciiTheme="majorHAnsi" w:hAnsiTheme="majorHAnsi" w:cstheme="majorHAnsi"/>
          <w:sz w:val="20"/>
        </w:rPr>
      </w:r>
      <w:r w:rsidR="000856D7" w:rsidRPr="000856D7">
        <w:rPr>
          <w:rFonts w:asciiTheme="majorHAnsi" w:hAnsiTheme="majorHAnsi" w:cstheme="majorHAnsi"/>
          <w:sz w:val="20"/>
        </w:rPr>
        <w:fldChar w:fldCharType="separate"/>
      </w:r>
      <w:r w:rsidR="00EE1B59" w:rsidRPr="00EE1B59">
        <w:rPr>
          <w:sz w:val="20"/>
        </w:rPr>
        <w:t xml:space="preserve">Graf č. </w:t>
      </w:r>
      <w:r w:rsidR="00EE1B59" w:rsidRPr="00EE1B59">
        <w:rPr>
          <w:noProof/>
          <w:sz w:val="20"/>
        </w:rPr>
        <w:t>6</w:t>
      </w:r>
      <w:r w:rsidR="000856D7" w:rsidRPr="000856D7">
        <w:rPr>
          <w:rFonts w:asciiTheme="majorHAnsi" w:hAnsiTheme="majorHAnsi" w:cstheme="majorHAnsi"/>
          <w:sz w:val="20"/>
        </w:rPr>
        <w:fldChar w:fldCharType="end"/>
      </w:r>
      <w:r w:rsidR="000856D7" w:rsidRPr="000856D7">
        <w:rPr>
          <w:rFonts w:asciiTheme="majorHAnsi" w:hAnsiTheme="majorHAnsi" w:cstheme="majorHAnsi"/>
          <w:sz w:val="20"/>
        </w:rPr>
        <w:t>)</w:t>
      </w:r>
      <w:r w:rsidRPr="000856D7">
        <w:rPr>
          <w:rFonts w:asciiTheme="majorHAnsi" w:hAnsiTheme="majorHAnsi" w:cstheme="majorHAnsi"/>
          <w:sz w:val="20"/>
        </w:rPr>
        <w:t xml:space="preserve">. </w:t>
      </w:r>
    </w:p>
    <w:p w14:paraId="068342AB" w14:textId="289CBFBC" w:rsidR="00BF6188" w:rsidRPr="0053555E" w:rsidRDefault="00BF6188">
      <w:pPr>
        <w:rPr>
          <w:rFonts w:asciiTheme="majorHAnsi" w:hAnsiTheme="majorHAnsi" w:cstheme="majorHAnsi"/>
          <w:sz w:val="20"/>
          <w:szCs w:val="20"/>
        </w:rPr>
      </w:pPr>
    </w:p>
    <w:p w14:paraId="74A14D98" w14:textId="49F978EB" w:rsidR="0042210A" w:rsidRPr="0053555E" w:rsidRDefault="0042210A" w:rsidP="000E3322">
      <w:pPr>
        <w:pStyle w:val="Popis"/>
      </w:pPr>
      <w:bookmarkStart w:id="48" w:name="_Ref474779701"/>
      <w:bookmarkStart w:id="49" w:name="_Toc127593334"/>
      <w:r w:rsidRPr="0053555E">
        <w:lastRenderedPageBreak/>
        <w:t xml:space="preserve">Graf č. </w:t>
      </w:r>
      <w:r w:rsidR="007B5953">
        <w:fldChar w:fldCharType="begin"/>
      </w:r>
      <w:r w:rsidR="007B5953">
        <w:instrText xml:space="preserve"> SEQ Graf_č. \* ARABIC </w:instrText>
      </w:r>
      <w:r w:rsidR="007B5953">
        <w:fldChar w:fldCharType="separate"/>
      </w:r>
      <w:r w:rsidR="00EE1B59">
        <w:rPr>
          <w:noProof/>
        </w:rPr>
        <w:t>6</w:t>
      </w:r>
      <w:r w:rsidR="007B5953">
        <w:rPr>
          <w:noProof/>
        </w:rPr>
        <w:fldChar w:fldCharType="end"/>
      </w:r>
      <w:bookmarkEnd w:id="48"/>
      <w:r w:rsidRPr="0053555E">
        <w:t xml:space="preserve">: Vývoj počtu študentov </w:t>
      </w:r>
      <w:r w:rsidR="00D96A65" w:rsidRPr="0053555E">
        <w:t xml:space="preserve">tretieho stupňa štúdia v </w:t>
      </w:r>
      <w:r w:rsidRPr="0053555E">
        <w:t>externej form</w:t>
      </w:r>
      <w:r w:rsidR="00D96A65" w:rsidRPr="0053555E">
        <w:t>e</w:t>
      </w:r>
      <w:r w:rsidRPr="0053555E">
        <w:t xml:space="preserve"> </w:t>
      </w:r>
      <w:r w:rsidR="00CA599A" w:rsidRPr="0053555E">
        <w:t>za ostatných sedem akademických rokov</w:t>
      </w:r>
      <w:bookmarkEnd w:id="49"/>
    </w:p>
    <w:p w14:paraId="6B2AB840" w14:textId="77777777" w:rsidR="00EB1A23" w:rsidRPr="0053555E" w:rsidRDefault="00EB1A23" w:rsidP="003E79C3">
      <w:pPr>
        <w:jc w:val="center"/>
      </w:pPr>
      <w:r w:rsidRPr="0053555E">
        <w:rPr>
          <w:noProof/>
          <w:lang w:eastAsia="sk-SK"/>
        </w:rPr>
        <w:drawing>
          <wp:inline distT="0" distB="0" distL="0" distR="0" wp14:anchorId="5098163F" wp14:editId="0A4AD1F6">
            <wp:extent cx="4761781" cy="3001993"/>
            <wp:effectExtent l="0" t="0" r="1270" b="825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EB6F27" w14:textId="77777777" w:rsidR="0042210A" w:rsidRPr="0053555E" w:rsidRDefault="0042210A" w:rsidP="0042210A">
      <w:pPr>
        <w:tabs>
          <w:tab w:val="left" w:pos="9356"/>
        </w:tabs>
        <w:jc w:val="both"/>
        <w:rPr>
          <w:rFonts w:asciiTheme="majorHAnsi" w:hAnsiTheme="majorHAnsi" w:cstheme="majorHAnsi"/>
          <w:sz w:val="20"/>
          <w:szCs w:val="20"/>
        </w:rPr>
      </w:pPr>
    </w:p>
    <w:p w14:paraId="43140768" w14:textId="16C898DB" w:rsidR="0042210A" w:rsidRPr="0053555E" w:rsidRDefault="000755C8" w:rsidP="0042210A">
      <w:pPr>
        <w:tabs>
          <w:tab w:val="left" w:pos="9356"/>
        </w:tabs>
        <w:spacing w:after="120"/>
        <w:jc w:val="both"/>
        <w:rPr>
          <w:rFonts w:asciiTheme="majorHAnsi" w:hAnsiTheme="majorHAnsi" w:cstheme="majorHAnsi"/>
        </w:rPr>
      </w:pPr>
      <w:r w:rsidRPr="0053555E">
        <w:rPr>
          <w:rFonts w:asciiTheme="majorHAnsi" w:hAnsiTheme="majorHAnsi" w:cstheme="majorHAnsi"/>
        </w:rPr>
        <w:t>STU prestala poskytovať prvý a druhý stupeň štúdia</w:t>
      </w:r>
      <w:r w:rsidR="0042210A" w:rsidRPr="0053555E">
        <w:rPr>
          <w:rFonts w:asciiTheme="majorHAnsi" w:hAnsiTheme="majorHAnsi" w:cstheme="majorHAnsi"/>
        </w:rPr>
        <w:t xml:space="preserve"> v externej forme z dôvodu špecifických nárokov </w:t>
      </w:r>
      <w:r w:rsidR="0041586F" w:rsidRPr="0053555E">
        <w:rPr>
          <w:rFonts w:asciiTheme="majorHAnsi" w:hAnsiTheme="majorHAnsi" w:cstheme="majorHAnsi"/>
        </w:rPr>
        <w:t xml:space="preserve">na </w:t>
      </w:r>
      <w:r w:rsidR="0042210A" w:rsidRPr="0053555E">
        <w:rPr>
          <w:rFonts w:asciiTheme="majorHAnsi" w:hAnsiTheme="majorHAnsi" w:cstheme="majorHAnsi"/>
        </w:rPr>
        <w:t>štúdi</w:t>
      </w:r>
      <w:r w:rsidR="000856D7">
        <w:rPr>
          <w:rFonts w:asciiTheme="majorHAnsi" w:hAnsiTheme="majorHAnsi" w:cstheme="majorHAnsi"/>
        </w:rPr>
        <w:t>um</w:t>
      </w:r>
      <w:r w:rsidR="0042210A" w:rsidRPr="0053555E">
        <w:rPr>
          <w:rFonts w:asciiTheme="majorHAnsi" w:hAnsiTheme="majorHAnsi" w:cstheme="majorHAnsi"/>
        </w:rPr>
        <w:t xml:space="preserve"> v technických študijných odboroch na laboratórnu a seminárnu prácu, ktorej organizácia je pri veľkých počtoch externých študentov náročná. Pokles študentov doktorandských študijných programov v externej forme štúdia </w:t>
      </w:r>
      <w:r w:rsidR="00E027DC">
        <w:rPr>
          <w:rFonts w:asciiTheme="majorHAnsi" w:hAnsiTheme="majorHAnsi" w:cstheme="majorHAnsi"/>
        </w:rPr>
        <w:t>môže byť aj</w:t>
      </w:r>
      <w:r w:rsidR="0042210A" w:rsidRPr="0053555E">
        <w:rPr>
          <w:rFonts w:asciiTheme="majorHAnsi" w:hAnsiTheme="majorHAnsi" w:cstheme="majorHAnsi"/>
        </w:rPr>
        <w:t xml:space="preserve"> dôsledkom spoplatnenia externého štúdia, ktoré je od akademického roku 2011/2012 upravené zákonom o vysokých školách.</w:t>
      </w:r>
    </w:p>
    <w:p w14:paraId="726CEB42" w14:textId="77777777" w:rsidR="00B41AC9" w:rsidRPr="0053555E" w:rsidRDefault="0042210A" w:rsidP="0042210A">
      <w:pPr>
        <w:tabs>
          <w:tab w:val="left" w:pos="9356"/>
        </w:tabs>
        <w:jc w:val="both"/>
        <w:rPr>
          <w:rFonts w:asciiTheme="majorHAnsi" w:hAnsiTheme="majorHAnsi" w:cstheme="majorHAnsi"/>
        </w:rPr>
      </w:pPr>
      <w:r w:rsidRPr="0053555E">
        <w:rPr>
          <w:rFonts w:asciiTheme="majorHAnsi" w:hAnsiTheme="majorHAnsi" w:cstheme="majorHAnsi"/>
        </w:rPr>
        <w:t>Podrobnejší pohľad na štruktúru a počet študentov na STU v jednotlivých stupňoch a formách štúdia a pohľad na ich úbytok po jednotlivých rokoch štúdia je uvedený v nasledujúcich častiach.</w:t>
      </w:r>
    </w:p>
    <w:p w14:paraId="578A31F2" w14:textId="77777777" w:rsidR="00B41AC9" w:rsidRPr="0053555E" w:rsidRDefault="00B41AC9" w:rsidP="0042210A">
      <w:pPr>
        <w:tabs>
          <w:tab w:val="left" w:pos="9356"/>
        </w:tabs>
        <w:jc w:val="both"/>
        <w:rPr>
          <w:rFonts w:asciiTheme="majorHAnsi" w:hAnsiTheme="majorHAnsi" w:cstheme="majorHAnsi"/>
        </w:rPr>
      </w:pPr>
    </w:p>
    <w:p w14:paraId="6BAAEB33" w14:textId="77777777" w:rsidR="0042210A" w:rsidRPr="0053555E" w:rsidRDefault="0042210A" w:rsidP="0042210A">
      <w:pPr>
        <w:tabs>
          <w:tab w:val="left" w:pos="9356"/>
        </w:tabs>
        <w:jc w:val="both"/>
        <w:rPr>
          <w:rFonts w:asciiTheme="majorHAnsi" w:hAnsiTheme="majorHAnsi" w:cstheme="majorHAnsi"/>
        </w:rPr>
      </w:pPr>
    </w:p>
    <w:p w14:paraId="170DFF03" w14:textId="766F6486" w:rsidR="0042210A" w:rsidRDefault="000E4D8E" w:rsidP="000E4D8E">
      <w:pPr>
        <w:rPr>
          <w:b/>
          <w:sz w:val="28"/>
          <w:szCs w:val="28"/>
        </w:rPr>
      </w:pPr>
      <w:bookmarkStart w:id="50" w:name="_Prvý_stupeň_štúdia"/>
      <w:bookmarkStart w:id="51" w:name="_Toc127593216"/>
      <w:bookmarkEnd w:id="50"/>
      <w:r w:rsidRPr="000E4D8E">
        <w:rPr>
          <w:b/>
          <w:sz w:val="28"/>
          <w:szCs w:val="28"/>
        </w:rPr>
        <w:t xml:space="preserve">3.2.1. </w:t>
      </w:r>
      <w:r w:rsidR="0042210A" w:rsidRPr="000E4D8E">
        <w:rPr>
          <w:b/>
          <w:sz w:val="28"/>
          <w:szCs w:val="28"/>
        </w:rPr>
        <w:t>Prvý stupeň štúdia - počet a úbytok študentov</w:t>
      </w:r>
      <w:bookmarkEnd w:id="51"/>
    </w:p>
    <w:p w14:paraId="2A7067E9" w14:textId="77777777" w:rsidR="000E4D8E" w:rsidRPr="000E4D8E" w:rsidRDefault="000E4D8E" w:rsidP="000E4D8E">
      <w:pPr>
        <w:rPr>
          <w:b/>
          <w:sz w:val="28"/>
          <w:szCs w:val="28"/>
        </w:rPr>
      </w:pPr>
    </w:p>
    <w:p w14:paraId="0EFCD6C2" w14:textId="12F35AE2" w:rsidR="0042210A" w:rsidRPr="0053555E" w:rsidRDefault="0042210A" w:rsidP="000E3322">
      <w:pPr>
        <w:pStyle w:val="Popis"/>
      </w:pPr>
      <w:bookmarkStart w:id="52" w:name="_Ref31707596"/>
      <w:bookmarkStart w:id="53" w:name="_Toc127593273"/>
      <w:r w:rsidRPr="0053555E">
        <w:t xml:space="preserve">Tab. č. </w:t>
      </w:r>
      <w:r w:rsidR="007B5953">
        <w:fldChar w:fldCharType="begin"/>
      </w:r>
      <w:r w:rsidR="007B5953">
        <w:instrText xml:space="preserve"> SEQ Tab._č. \* ARABIC </w:instrText>
      </w:r>
      <w:r w:rsidR="007B5953">
        <w:fldChar w:fldCharType="separate"/>
      </w:r>
      <w:r w:rsidR="00EE1B59">
        <w:rPr>
          <w:noProof/>
        </w:rPr>
        <w:t>10</w:t>
      </w:r>
      <w:r w:rsidR="007B5953">
        <w:rPr>
          <w:noProof/>
        </w:rPr>
        <w:fldChar w:fldCharType="end"/>
      </w:r>
      <w:bookmarkEnd w:id="52"/>
      <w:r w:rsidRPr="0053555E">
        <w:t>: Počet a úbytok študentov prvého stupňa štúdia v dennej forme v akademickom roku </w:t>
      </w:r>
      <w:r w:rsidR="00EA24BA" w:rsidRPr="0053555E">
        <w:t>2021/2022</w:t>
      </w:r>
      <w:bookmarkEnd w:id="53"/>
    </w:p>
    <w:tbl>
      <w:tblPr>
        <w:tblW w:w="9433" w:type="dxa"/>
        <w:tblInd w:w="55" w:type="dxa"/>
        <w:tblLayout w:type="fixed"/>
        <w:tblCellMar>
          <w:left w:w="70" w:type="dxa"/>
          <w:right w:w="70" w:type="dxa"/>
        </w:tblCellMar>
        <w:tblLook w:val="04A0" w:firstRow="1" w:lastRow="0" w:firstColumn="1" w:lastColumn="0" w:noHBand="0" w:noVBand="1"/>
      </w:tblPr>
      <w:tblGrid>
        <w:gridCol w:w="673"/>
        <w:gridCol w:w="812"/>
        <w:gridCol w:w="723"/>
        <w:gridCol w:w="851"/>
        <w:gridCol w:w="850"/>
        <w:gridCol w:w="804"/>
        <w:gridCol w:w="805"/>
        <w:gridCol w:w="805"/>
        <w:gridCol w:w="804"/>
        <w:gridCol w:w="805"/>
        <w:gridCol w:w="805"/>
        <w:gridCol w:w="696"/>
      </w:tblGrid>
      <w:tr w:rsidR="0082583E" w:rsidRPr="0053555E" w14:paraId="332757D8" w14:textId="77777777" w:rsidTr="00FE3BEF">
        <w:trPr>
          <w:trHeight w:val="20"/>
        </w:trPr>
        <w:tc>
          <w:tcPr>
            <w:tcW w:w="67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4C77A97" w14:textId="77777777" w:rsidR="0082583E" w:rsidRPr="0053555E" w:rsidRDefault="0082583E" w:rsidP="001605FB">
            <w:pPr>
              <w:tabs>
                <w:tab w:val="left" w:pos="9356"/>
              </w:tabs>
              <w:jc w:val="both"/>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Súčasť STU</w:t>
            </w:r>
          </w:p>
        </w:tc>
        <w:tc>
          <w:tcPr>
            <w:tcW w:w="3236" w:type="dxa"/>
            <w:gridSpan w:val="4"/>
            <w:tcBorders>
              <w:top w:val="single" w:sz="4" w:space="0" w:color="auto"/>
              <w:left w:val="nil"/>
              <w:bottom w:val="single" w:sz="4" w:space="0" w:color="auto"/>
              <w:right w:val="single" w:sz="4" w:space="0" w:color="auto"/>
            </w:tcBorders>
            <w:shd w:val="clear" w:color="000000" w:fill="FFFFFF"/>
            <w:vAlign w:val="center"/>
            <w:hideMark/>
          </w:tcPr>
          <w:p w14:paraId="43B6A97A" w14:textId="77777777" w:rsidR="0082583E" w:rsidRPr="0053555E" w:rsidRDefault="0082583E" w:rsidP="001605FB">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1. rok</w:t>
            </w:r>
          </w:p>
        </w:tc>
        <w:tc>
          <w:tcPr>
            <w:tcW w:w="1609" w:type="dxa"/>
            <w:gridSpan w:val="2"/>
            <w:tcBorders>
              <w:top w:val="single" w:sz="4" w:space="0" w:color="auto"/>
              <w:left w:val="nil"/>
              <w:bottom w:val="single" w:sz="4" w:space="0" w:color="auto"/>
              <w:right w:val="single" w:sz="4" w:space="0" w:color="000000"/>
            </w:tcBorders>
            <w:shd w:val="clear" w:color="000000" w:fill="FFFFFF"/>
            <w:vAlign w:val="center"/>
            <w:hideMark/>
          </w:tcPr>
          <w:p w14:paraId="5190971E" w14:textId="77777777" w:rsidR="0082583E" w:rsidRPr="0053555E" w:rsidRDefault="0082583E" w:rsidP="001605FB">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2. rok</w:t>
            </w:r>
          </w:p>
        </w:tc>
        <w:tc>
          <w:tcPr>
            <w:tcW w:w="1609" w:type="dxa"/>
            <w:gridSpan w:val="2"/>
            <w:tcBorders>
              <w:top w:val="single" w:sz="4" w:space="0" w:color="auto"/>
              <w:left w:val="single" w:sz="4" w:space="0" w:color="auto"/>
              <w:bottom w:val="single" w:sz="4" w:space="0" w:color="000000"/>
              <w:right w:val="single" w:sz="4" w:space="0" w:color="auto"/>
            </w:tcBorders>
            <w:shd w:val="clear" w:color="000000" w:fill="FFFFFF"/>
            <w:vAlign w:val="center"/>
            <w:hideMark/>
          </w:tcPr>
          <w:p w14:paraId="33024605" w14:textId="77777777" w:rsidR="0082583E" w:rsidRPr="0053555E" w:rsidRDefault="0082583E" w:rsidP="001605FB">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 xml:space="preserve">3. rok </w:t>
            </w:r>
          </w:p>
        </w:tc>
        <w:tc>
          <w:tcPr>
            <w:tcW w:w="16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9450BC6" w14:textId="77777777" w:rsidR="0082583E" w:rsidRPr="0053555E" w:rsidRDefault="0082583E" w:rsidP="001605FB">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 xml:space="preserve">4. rok </w:t>
            </w:r>
          </w:p>
        </w:tc>
        <w:tc>
          <w:tcPr>
            <w:tcW w:w="6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E1A297" w14:textId="77777777" w:rsidR="0082583E" w:rsidRPr="0053555E" w:rsidRDefault="0082583E" w:rsidP="001605FB">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w:t>
            </w:r>
            <w:r w:rsidRPr="0053555E">
              <w:rPr>
                <w:rFonts w:asciiTheme="majorHAnsi" w:eastAsia="Times New Roman" w:hAnsiTheme="majorHAnsi" w:cstheme="majorHAnsi"/>
                <w:bCs/>
                <w:sz w:val="20"/>
                <w:szCs w:val="20"/>
                <w:vertAlign w:val="subscript"/>
                <w:lang w:eastAsia="sk-SK"/>
              </w:rPr>
              <w:t>Z</w:t>
            </w:r>
          </w:p>
        </w:tc>
      </w:tr>
      <w:tr w:rsidR="00D919E0" w:rsidRPr="0053555E" w14:paraId="21417C5A" w14:textId="77777777" w:rsidTr="00FE3BEF">
        <w:trPr>
          <w:trHeight w:val="423"/>
        </w:trPr>
        <w:tc>
          <w:tcPr>
            <w:tcW w:w="673" w:type="dxa"/>
            <w:vMerge/>
            <w:tcBorders>
              <w:top w:val="single" w:sz="4" w:space="0" w:color="auto"/>
              <w:left w:val="single" w:sz="4" w:space="0" w:color="auto"/>
              <w:bottom w:val="single" w:sz="4" w:space="0" w:color="000000"/>
              <w:right w:val="single" w:sz="4" w:space="0" w:color="auto"/>
            </w:tcBorders>
            <w:vAlign w:val="center"/>
            <w:hideMark/>
          </w:tcPr>
          <w:p w14:paraId="0761BCE8" w14:textId="77777777" w:rsidR="0082583E" w:rsidRPr="0053555E" w:rsidRDefault="0082583E" w:rsidP="001605FB">
            <w:pPr>
              <w:tabs>
                <w:tab w:val="left" w:pos="9356"/>
              </w:tabs>
              <w:jc w:val="both"/>
              <w:rPr>
                <w:rFonts w:asciiTheme="majorHAnsi" w:eastAsia="Times New Roman" w:hAnsiTheme="majorHAnsi" w:cstheme="majorHAnsi"/>
                <w:b/>
                <w:bCs/>
                <w:sz w:val="20"/>
                <w:szCs w:val="20"/>
                <w:lang w:eastAsia="sk-SK"/>
              </w:rPr>
            </w:pPr>
          </w:p>
        </w:tc>
        <w:tc>
          <w:tcPr>
            <w:tcW w:w="81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98D60A" w14:textId="77777777" w:rsidR="0082583E" w:rsidRPr="0053555E" w:rsidRDefault="0082583E" w:rsidP="001605FB">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Zapísaní</w:t>
            </w:r>
          </w:p>
        </w:tc>
        <w:tc>
          <w:tcPr>
            <w:tcW w:w="1574" w:type="dxa"/>
            <w:gridSpan w:val="2"/>
            <w:tcBorders>
              <w:top w:val="single" w:sz="4" w:space="0" w:color="auto"/>
              <w:left w:val="nil"/>
              <w:bottom w:val="single" w:sz="4" w:space="0" w:color="auto"/>
              <w:right w:val="single" w:sz="4" w:space="0" w:color="auto"/>
            </w:tcBorders>
            <w:shd w:val="clear" w:color="auto" w:fill="auto"/>
            <w:vAlign w:val="center"/>
            <w:hideMark/>
          </w:tcPr>
          <w:p w14:paraId="41581B98" w14:textId="77777777" w:rsidR="0082583E" w:rsidRPr="0053555E" w:rsidRDefault="0082583E" w:rsidP="001605FB">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Úbytok</w:t>
            </w:r>
          </w:p>
        </w:tc>
        <w:tc>
          <w:tcPr>
            <w:tcW w:w="850" w:type="dxa"/>
            <w:vMerge w:val="restart"/>
            <w:tcBorders>
              <w:top w:val="nil"/>
              <w:left w:val="single" w:sz="4" w:space="0" w:color="auto"/>
              <w:bottom w:val="single" w:sz="4" w:space="0" w:color="000000"/>
              <w:right w:val="single" w:sz="4" w:space="0" w:color="auto"/>
            </w:tcBorders>
            <w:shd w:val="clear" w:color="auto" w:fill="EEECE1" w:themeFill="background2"/>
            <w:vAlign w:val="center"/>
            <w:hideMark/>
          </w:tcPr>
          <w:p w14:paraId="6C276783" w14:textId="77777777" w:rsidR="0082583E" w:rsidRPr="0053555E" w:rsidRDefault="0082583E" w:rsidP="00E826FC">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Celkový úbytok po 1. roku</w:t>
            </w:r>
          </w:p>
        </w:tc>
        <w:tc>
          <w:tcPr>
            <w:tcW w:w="80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BB0FDD" w14:textId="77777777" w:rsidR="0082583E" w:rsidRPr="0053555E" w:rsidRDefault="0082583E" w:rsidP="005964B1">
            <w:pPr>
              <w:tabs>
                <w:tab w:val="left" w:pos="9356"/>
              </w:tabs>
              <w:ind w:hanging="65"/>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Zapísaní</w:t>
            </w:r>
          </w:p>
        </w:tc>
        <w:tc>
          <w:tcPr>
            <w:tcW w:w="805" w:type="dxa"/>
            <w:vMerge w:val="restart"/>
            <w:tcBorders>
              <w:top w:val="nil"/>
              <w:left w:val="single" w:sz="4" w:space="0" w:color="auto"/>
              <w:bottom w:val="single" w:sz="4" w:space="0" w:color="000000"/>
              <w:right w:val="single" w:sz="4" w:space="0" w:color="auto"/>
            </w:tcBorders>
            <w:shd w:val="clear" w:color="auto" w:fill="EEECE1" w:themeFill="background2"/>
            <w:vAlign w:val="center"/>
            <w:hideMark/>
          </w:tcPr>
          <w:p w14:paraId="295C741E" w14:textId="77777777" w:rsidR="0082583E" w:rsidRPr="0053555E" w:rsidRDefault="0082583E" w:rsidP="001605FB">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Úbytok</w:t>
            </w:r>
          </w:p>
          <w:p w14:paraId="5ADF6CC7" w14:textId="77777777" w:rsidR="0082583E" w:rsidRPr="0053555E" w:rsidRDefault="0082583E" w:rsidP="001605FB">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
                <w:bCs/>
                <w:sz w:val="20"/>
                <w:szCs w:val="20"/>
                <w:lang w:eastAsia="sk-SK"/>
              </w:rPr>
              <w:t>po 2. roku</w:t>
            </w:r>
          </w:p>
        </w:tc>
        <w:tc>
          <w:tcPr>
            <w:tcW w:w="805" w:type="dxa"/>
            <w:vMerge w:val="restart"/>
            <w:tcBorders>
              <w:top w:val="single" w:sz="4" w:space="0" w:color="auto"/>
              <w:left w:val="single" w:sz="4" w:space="0" w:color="auto"/>
              <w:right w:val="single" w:sz="4" w:space="0" w:color="auto"/>
            </w:tcBorders>
            <w:shd w:val="clear" w:color="000000" w:fill="FFFFFF"/>
            <w:vAlign w:val="center"/>
            <w:hideMark/>
          </w:tcPr>
          <w:p w14:paraId="485CEBE1" w14:textId="77777777" w:rsidR="0082583E" w:rsidRPr="0053555E" w:rsidRDefault="005964B1" w:rsidP="006E4299">
            <w:pPr>
              <w:tabs>
                <w:tab w:val="left" w:pos="9356"/>
              </w:tabs>
              <w:ind w:right="-64" w:hanging="125"/>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Z</w:t>
            </w:r>
            <w:r w:rsidR="0082583E" w:rsidRPr="0053555E">
              <w:rPr>
                <w:rFonts w:asciiTheme="majorHAnsi" w:eastAsia="Times New Roman" w:hAnsiTheme="majorHAnsi" w:cstheme="majorHAnsi"/>
                <w:bCs/>
                <w:sz w:val="20"/>
                <w:szCs w:val="20"/>
                <w:lang w:eastAsia="sk-SK"/>
              </w:rPr>
              <w:t>apísaní</w:t>
            </w:r>
          </w:p>
        </w:tc>
        <w:tc>
          <w:tcPr>
            <w:tcW w:w="804" w:type="dxa"/>
            <w:vMerge w:val="restart"/>
            <w:tcBorders>
              <w:top w:val="single" w:sz="4" w:space="0" w:color="auto"/>
              <w:left w:val="single" w:sz="4" w:space="0" w:color="auto"/>
              <w:right w:val="single" w:sz="4" w:space="0" w:color="auto"/>
            </w:tcBorders>
            <w:shd w:val="clear" w:color="auto" w:fill="EEECE1" w:themeFill="background2"/>
            <w:vAlign w:val="center"/>
          </w:tcPr>
          <w:p w14:paraId="2FD1EB8F" w14:textId="77777777" w:rsidR="0082583E" w:rsidRPr="0053555E" w:rsidRDefault="0082583E" w:rsidP="0082583E">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Úbytok</w:t>
            </w:r>
          </w:p>
          <w:p w14:paraId="2346981B" w14:textId="77777777" w:rsidR="0082583E" w:rsidRPr="0053555E" w:rsidRDefault="0082583E" w:rsidP="0082583E">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po 3. roku</w:t>
            </w:r>
          </w:p>
        </w:tc>
        <w:tc>
          <w:tcPr>
            <w:tcW w:w="805" w:type="dxa"/>
            <w:vMerge w:val="restart"/>
            <w:tcBorders>
              <w:top w:val="single" w:sz="4" w:space="0" w:color="auto"/>
              <w:left w:val="single" w:sz="4" w:space="0" w:color="auto"/>
              <w:right w:val="single" w:sz="4" w:space="0" w:color="auto"/>
            </w:tcBorders>
            <w:shd w:val="clear" w:color="000000" w:fill="FFFFFF"/>
            <w:vAlign w:val="center"/>
            <w:hideMark/>
          </w:tcPr>
          <w:p w14:paraId="6645FE67" w14:textId="77777777" w:rsidR="0082583E" w:rsidRPr="0053555E" w:rsidRDefault="0082583E" w:rsidP="005964B1">
            <w:pPr>
              <w:tabs>
                <w:tab w:val="left" w:pos="9356"/>
              </w:tabs>
              <w:ind w:hanging="29"/>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Cs/>
                <w:sz w:val="20"/>
                <w:szCs w:val="20"/>
                <w:lang w:eastAsia="sk-SK"/>
              </w:rPr>
              <w:t>Zapísaní</w:t>
            </w:r>
          </w:p>
        </w:tc>
        <w:tc>
          <w:tcPr>
            <w:tcW w:w="805" w:type="dxa"/>
            <w:vMerge w:val="restart"/>
            <w:tcBorders>
              <w:top w:val="single" w:sz="4" w:space="0" w:color="auto"/>
              <w:left w:val="single" w:sz="4" w:space="0" w:color="auto"/>
              <w:right w:val="single" w:sz="4" w:space="0" w:color="auto"/>
            </w:tcBorders>
            <w:shd w:val="clear" w:color="auto" w:fill="EEECE1" w:themeFill="background2"/>
            <w:vAlign w:val="center"/>
          </w:tcPr>
          <w:p w14:paraId="263D90E8" w14:textId="77777777" w:rsidR="009837AB" w:rsidRPr="0053555E" w:rsidRDefault="009837AB" w:rsidP="009837AB">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Úbytok</w:t>
            </w:r>
          </w:p>
          <w:p w14:paraId="22ECE5CE" w14:textId="77777777" w:rsidR="0082583E" w:rsidRPr="0053555E" w:rsidRDefault="009837AB" w:rsidP="009837AB">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po 4. roku</w:t>
            </w:r>
          </w:p>
        </w:tc>
        <w:tc>
          <w:tcPr>
            <w:tcW w:w="696" w:type="dxa"/>
            <w:vMerge/>
            <w:tcBorders>
              <w:top w:val="single" w:sz="4" w:space="0" w:color="auto"/>
              <w:left w:val="single" w:sz="4" w:space="0" w:color="auto"/>
              <w:bottom w:val="single" w:sz="4" w:space="0" w:color="auto"/>
              <w:right w:val="single" w:sz="4" w:space="0" w:color="auto"/>
            </w:tcBorders>
            <w:vAlign w:val="center"/>
            <w:hideMark/>
          </w:tcPr>
          <w:p w14:paraId="7538DB49" w14:textId="77777777" w:rsidR="0082583E" w:rsidRPr="0053555E" w:rsidRDefault="0082583E" w:rsidP="001605FB">
            <w:pPr>
              <w:tabs>
                <w:tab w:val="left" w:pos="9356"/>
              </w:tabs>
              <w:jc w:val="center"/>
              <w:rPr>
                <w:rFonts w:asciiTheme="majorHAnsi" w:eastAsia="Times New Roman" w:hAnsiTheme="majorHAnsi" w:cstheme="majorHAnsi"/>
                <w:b/>
                <w:bCs/>
                <w:sz w:val="20"/>
                <w:szCs w:val="20"/>
                <w:lang w:eastAsia="sk-SK"/>
              </w:rPr>
            </w:pPr>
          </w:p>
        </w:tc>
      </w:tr>
      <w:tr w:rsidR="00D919E0" w:rsidRPr="0053555E" w14:paraId="232D165A" w14:textId="77777777" w:rsidTr="00FE3BEF">
        <w:trPr>
          <w:trHeight w:val="20"/>
        </w:trPr>
        <w:tc>
          <w:tcPr>
            <w:tcW w:w="673" w:type="dxa"/>
            <w:vMerge/>
            <w:tcBorders>
              <w:top w:val="single" w:sz="4" w:space="0" w:color="auto"/>
              <w:left w:val="single" w:sz="4" w:space="0" w:color="auto"/>
              <w:bottom w:val="single" w:sz="4" w:space="0" w:color="000000"/>
              <w:right w:val="single" w:sz="4" w:space="0" w:color="auto"/>
            </w:tcBorders>
            <w:vAlign w:val="center"/>
            <w:hideMark/>
          </w:tcPr>
          <w:p w14:paraId="684C53D9" w14:textId="77777777" w:rsidR="0082583E" w:rsidRPr="0053555E" w:rsidRDefault="0082583E" w:rsidP="001605FB">
            <w:pPr>
              <w:tabs>
                <w:tab w:val="left" w:pos="9356"/>
              </w:tabs>
              <w:jc w:val="both"/>
              <w:rPr>
                <w:rFonts w:asciiTheme="majorHAnsi" w:eastAsia="Times New Roman" w:hAnsiTheme="majorHAnsi" w:cstheme="majorHAnsi"/>
                <w:b/>
                <w:bCs/>
                <w:sz w:val="20"/>
                <w:szCs w:val="20"/>
                <w:lang w:eastAsia="sk-SK"/>
              </w:rPr>
            </w:pPr>
          </w:p>
        </w:tc>
        <w:tc>
          <w:tcPr>
            <w:tcW w:w="812" w:type="dxa"/>
            <w:vMerge/>
            <w:tcBorders>
              <w:top w:val="nil"/>
              <w:left w:val="single" w:sz="4" w:space="0" w:color="auto"/>
              <w:bottom w:val="single" w:sz="4" w:space="0" w:color="000000"/>
              <w:right w:val="single" w:sz="4" w:space="0" w:color="auto"/>
            </w:tcBorders>
            <w:vAlign w:val="center"/>
            <w:hideMark/>
          </w:tcPr>
          <w:p w14:paraId="53398CCA" w14:textId="77777777" w:rsidR="0082583E" w:rsidRPr="0053555E" w:rsidRDefault="0082583E" w:rsidP="001605FB">
            <w:pPr>
              <w:tabs>
                <w:tab w:val="left" w:pos="9356"/>
              </w:tabs>
              <w:jc w:val="center"/>
              <w:rPr>
                <w:rFonts w:asciiTheme="majorHAnsi" w:eastAsia="Times New Roman" w:hAnsiTheme="majorHAnsi" w:cstheme="majorHAnsi"/>
                <w:b/>
                <w:bCs/>
                <w:sz w:val="20"/>
                <w:szCs w:val="20"/>
                <w:lang w:eastAsia="sk-SK"/>
              </w:rPr>
            </w:pPr>
          </w:p>
        </w:tc>
        <w:tc>
          <w:tcPr>
            <w:tcW w:w="723" w:type="dxa"/>
            <w:tcBorders>
              <w:top w:val="nil"/>
              <w:left w:val="nil"/>
              <w:bottom w:val="single" w:sz="4" w:space="0" w:color="auto"/>
              <w:right w:val="single" w:sz="4" w:space="0" w:color="auto"/>
            </w:tcBorders>
            <w:shd w:val="clear" w:color="auto" w:fill="auto"/>
            <w:vAlign w:val="center"/>
            <w:hideMark/>
          </w:tcPr>
          <w:p w14:paraId="61DAFCDE" w14:textId="77777777" w:rsidR="0082583E" w:rsidRPr="0053555E" w:rsidRDefault="0082583E" w:rsidP="001605FB">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po ZS</w:t>
            </w:r>
          </w:p>
        </w:tc>
        <w:tc>
          <w:tcPr>
            <w:tcW w:w="851" w:type="dxa"/>
            <w:tcBorders>
              <w:top w:val="nil"/>
              <w:left w:val="nil"/>
              <w:bottom w:val="single" w:sz="4" w:space="0" w:color="auto"/>
              <w:right w:val="single" w:sz="4" w:space="0" w:color="auto"/>
            </w:tcBorders>
            <w:shd w:val="clear" w:color="auto" w:fill="auto"/>
            <w:vAlign w:val="center"/>
            <w:hideMark/>
          </w:tcPr>
          <w:p w14:paraId="2923C889" w14:textId="77777777" w:rsidR="0082583E" w:rsidRPr="0053555E" w:rsidRDefault="0082583E" w:rsidP="001605FB">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po LS</w:t>
            </w:r>
          </w:p>
        </w:tc>
        <w:tc>
          <w:tcPr>
            <w:tcW w:w="850" w:type="dxa"/>
            <w:vMerge/>
            <w:tcBorders>
              <w:top w:val="nil"/>
              <w:left w:val="single" w:sz="4" w:space="0" w:color="auto"/>
              <w:bottom w:val="single" w:sz="4" w:space="0" w:color="000000"/>
              <w:right w:val="single" w:sz="4" w:space="0" w:color="auto"/>
            </w:tcBorders>
            <w:shd w:val="clear" w:color="auto" w:fill="EEECE1" w:themeFill="background2"/>
            <w:vAlign w:val="center"/>
            <w:hideMark/>
          </w:tcPr>
          <w:p w14:paraId="5CD0FB39" w14:textId="77777777" w:rsidR="0082583E" w:rsidRPr="0053555E" w:rsidRDefault="0082583E" w:rsidP="001605FB">
            <w:pPr>
              <w:tabs>
                <w:tab w:val="left" w:pos="9356"/>
              </w:tabs>
              <w:jc w:val="center"/>
              <w:rPr>
                <w:rFonts w:asciiTheme="majorHAnsi" w:eastAsia="Times New Roman" w:hAnsiTheme="majorHAnsi" w:cstheme="majorHAnsi"/>
                <w:b/>
                <w:bCs/>
                <w:sz w:val="20"/>
                <w:szCs w:val="20"/>
                <w:lang w:eastAsia="sk-SK"/>
              </w:rPr>
            </w:pPr>
          </w:p>
        </w:tc>
        <w:tc>
          <w:tcPr>
            <w:tcW w:w="804" w:type="dxa"/>
            <w:vMerge/>
            <w:tcBorders>
              <w:top w:val="nil"/>
              <w:left w:val="single" w:sz="4" w:space="0" w:color="auto"/>
              <w:bottom w:val="single" w:sz="4" w:space="0" w:color="000000"/>
              <w:right w:val="single" w:sz="4" w:space="0" w:color="auto"/>
            </w:tcBorders>
            <w:vAlign w:val="center"/>
            <w:hideMark/>
          </w:tcPr>
          <w:p w14:paraId="5842902C" w14:textId="77777777" w:rsidR="0082583E" w:rsidRPr="0053555E" w:rsidRDefault="0082583E" w:rsidP="001605FB">
            <w:pPr>
              <w:tabs>
                <w:tab w:val="left" w:pos="9356"/>
              </w:tabs>
              <w:jc w:val="center"/>
              <w:rPr>
                <w:rFonts w:asciiTheme="majorHAnsi" w:eastAsia="Times New Roman" w:hAnsiTheme="majorHAnsi" w:cstheme="majorHAnsi"/>
                <w:b/>
                <w:bCs/>
                <w:sz w:val="20"/>
                <w:szCs w:val="20"/>
                <w:lang w:eastAsia="sk-SK"/>
              </w:rPr>
            </w:pPr>
          </w:p>
        </w:tc>
        <w:tc>
          <w:tcPr>
            <w:tcW w:w="805" w:type="dxa"/>
            <w:vMerge/>
            <w:tcBorders>
              <w:top w:val="nil"/>
              <w:left w:val="single" w:sz="4" w:space="0" w:color="auto"/>
              <w:bottom w:val="single" w:sz="4" w:space="0" w:color="000000"/>
              <w:right w:val="single" w:sz="4" w:space="0" w:color="auto"/>
            </w:tcBorders>
            <w:shd w:val="clear" w:color="auto" w:fill="EEECE1" w:themeFill="background2"/>
            <w:vAlign w:val="center"/>
            <w:hideMark/>
          </w:tcPr>
          <w:p w14:paraId="0CA1D95B" w14:textId="77777777" w:rsidR="0082583E" w:rsidRPr="0053555E" w:rsidRDefault="0082583E" w:rsidP="001605FB">
            <w:pPr>
              <w:tabs>
                <w:tab w:val="left" w:pos="9356"/>
              </w:tabs>
              <w:jc w:val="center"/>
              <w:rPr>
                <w:rFonts w:asciiTheme="majorHAnsi" w:eastAsia="Times New Roman" w:hAnsiTheme="majorHAnsi" w:cstheme="majorHAnsi"/>
                <w:b/>
                <w:bCs/>
                <w:sz w:val="20"/>
                <w:szCs w:val="20"/>
                <w:lang w:eastAsia="sk-SK"/>
              </w:rPr>
            </w:pPr>
          </w:p>
        </w:tc>
        <w:tc>
          <w:tcPr>
            <w:tcW w:w="805" w:type="dxa"/>
            <w:vMerge/>
            <w:tcBorders>
              <w:left w:val="single" w:sz="4" w:space="0" w:color="auto"/>
              <w:bottom w:val="single" w:sz="4" w:space="0" w:color="000000"/>
              <w:right w:val="single" w:sz="4" w:space="0" w:color="auto"/>
            </w:tcBorders>
            <w:shd w:val="clear" w:color="000000" w:fill="FFFFFF"/>
            <w:vAlign w:val="center"/>
            <w:hideMark/>
          </w:tcPr>
          <w:p w14:paraId="381C24B7" w14:textId="77777777" w:rsidR="0082583E" w:rsidRPr="0053555E" w:rsidRDefault="0082583E" w:rsidP="001605FB">
            <w:pPr>
              <w:tabs>
                <w:tab w:val="left" w:pos="9356"/>
              </w:tabs>
              <w:jc w:val="center"/>
              <w:rPr>
                <w:rFonts w:asciiTheme="majorHAnsi" w:eastAsia="Times New Roman" w:hAnsiTheme="majorHAnsi" w:cstheme="majorHAnsi"/>
                <w:b/>
                <w:bCs/>
                <w:sz w:val="20"/>
                <w:szCs w:val="20"/>
                <w:lang w:eastAsia="sk-SK"/>
              </w:rPr>
            </w:pPr>
          </w:p>
        </w:tc>
        <w:tc>
          <w:tcPr>
            <w:tcW w:w="804" w:type="dxa"/>
            <w:vMerge/>
            <w:tcBorders>
              <w:left w:val="single" w:sz="4" w:space="0" w:color="auto"/>
              <w:bottom w:val="single" w:sz="4" w:space="0" w:color="auto"/>
              <w:right w:val="single" w:sz="4" w:space="0" w:color="auto"/>
            </w:tcBorders>
            <w:shd w:val="clear" w:color="auto" w:fill="EEECE1" w:themeFill="background2"/>
          </w:tcPr>
          <w:p w14:paraId="2AB96436" w14:textId="77777777" w:rsidR="0082583E" w:rsidRPr="0053555E" w:rsidRDefault="0082583E" w:rsidP="001605FB">
            <w:pPr>
              <w:tabs>
                <w:tab w:val="left" w:pos="9356"/>
              </w:tabs>
              <w:jc w:val="center"/>
              <w:rPr>
                <w:rFonts w:asciiTheme="majorHAnsi" w:eastAsia="Times New Roman" w:hAnsiTheme="majorHAnsi" w:cstheme="majorHAnsi"/>
                <w:b/>
                <w:bCs/>
                <w:sz w:val="20"/>
                <w:szCs w:val="20"/>
                <w:lang w:eastAsia="sk-SK"/>
              </w:rPr>
            </w:pPr>
          </w:p>
        </w:tc>
        <w:tc>
          <w:tcPr>
            <w:tcW w:w="805" w:type="dxa"/>
            <w:vMerge/>
            <w:tcBorders>
              <w:left w:val="single" w:sz="4" w:space="0" w:color="auto"/>
              <w:bottom w:val="single" w:sz="4" w:space="0" w:color="auto"/>
              <w:right w:val="single" w:sz="4" w:space="0" w:color="auto"/>
            </w:tcBorders>
            <w:shd w:val="clear" w:color="000000" w:fill="FFFFFF"/>
            <w:vAlign w:val="center"/>
            <w:hideMark/>
          </w:tcPr>
          <w:p w14:paraId="25463C64" w14:textId="77777777" w:rsidR="0082583E" w:rsidRPr="0053555E" w:rsidRDefault="0082583E" w:rsidP="001605FB">
            <w:pPr>
              <w:tabs>
                <w:tab w:val="left" w:pos="9356"/>
              </w:tabs>
              <w:jc w:val="center"/>
              <w:rPr>
                <w:rFonts w:asciiTheme="majorHAnsi" w:eastAsia="Times New Roman" w:hAnsiTheme="majorHAnsi" w:cstheme="majorHAnsi"/>
                <w:b/>
                <w:bCs/>
                <w:sz w:val="20"/>
                <w:szCs w:val="20"/>
                <w:lang w:eastAsia="sk-SK"/>
              </w:rPr>
            </w:pPr>
          </w:p>
        </w:tc>
        <w:tc>
          <w:tcPr>
            <w:tcW w:w="805" w:type="dxa"/>
            <w:vMerge/>
            <w:tcBorders>
              <w:left w:val="single" w:sz="4" w:space="0" w:color="auto"/>
              <w:bottom w:val="single" w:sz="4" w:space="0" w:color="auto"/>
              <w:right w:val="single" w:sz="4" w:space="0" w:color="auto"/>
            </w:tcBorders>
            <w:shd w:val="clear" w:color="auto" w:fill="EEECE1" w:themeFill="background2"/>
          </w:tcPr>
          <w:p w14:paraId="12879AD4" w14:textId="77777777" w:rsidR="0082583E" w:rsidRPr="0053555E" w:rsidRDefault="0082583E" w:rsidP="001605FB">
            <w:pPr>
              <w:tabs>
                <w:tab w:val="left" w:pos="9356"/>
              </w:tabs>
              <w:jc w:val="center"/>
              <w:rPr>
                <w:rFonts w:asciiTheme="majorHAnsi" w:eastAsia="Times New Roman" w:hAnsiTheme="majorHAnsi" w:cstheme="majorHAnsi"/>
                <w:b/>
                <w:bCs/>
                <w:sz w:val="20"/>
                <w:szCs w:val="20"/>
                <w:lang w:eastAsia="sk-SK"/>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14:paraId="774B69F7" w14:textId="77777777" w:rsidR="0082583E" w:rsidRPr="0053555E" w:rsidRDefault="0082583E" w:rsidP="001605FB">
            <w:pPr>
              <w:tabs>
                <w:tab w:val="left" w:pos="9356"/>
              </w:tabs>
              <w:jc w:val="center"/>
              <w:rPr>
                <w:rFonts w:asciiTheme="majorHAnsi" w:eastAsia="Times New Roman" w:hAnsiTheme="majorHAnsi" w:cstheme="majorHAnsi"/>
                <w:b/>
                <w:bCs/>
                <w:sz w:val="20"/>
                <w:szCs w:val="20"/>
                <w:lang w:eastAsia="sk-SK"/>
              </w:rPr>
            </w:pPr>
          </w:p>
        </w:tc>
      </w:tr>
      <w:tr w:rsidR="00991194" w:rsidRPr="0053555E" w14:paraId="2C3081AA" w14:textId="77777777" w:rsidTr="00FE3BEF">
        <w:trPr>
          <w:trHeight w:val="20"/>
        </w:trPr>
        <w:tc>
          <w:tcPr>
            <w:tcW w:w="673" w:type="dxa"/>
            <w:tcBorders>
              <w:top w:val="nil"/>
              <w:left w:val="single" w:sz="4" w:space="0" w:color="auto"/>
              <w:bottom w:val="single" w:sz="4" w:space="0" w:color="auto"/>
              <w:right w:val="single" w:sz="4" w:space="0" w:color="auto"/>
            </w:tcBorders>
            <w:shd w:val="clear" w:color="000000" w:fill="FFFFFF"/>
            <w:vAlign w:val="center"/>
            <w:hideMark/>
          </w:tcPr>
          <w:p w14:paraId="13BF4AA6" w14:textId="77777777" w:rsidR="00991194" w:rsidRPr="0053555E" w:rsidRDefault="00991194" w:rsidP="00991194">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SvF</w:t>
            </w:r>
          </w:p>
        </w:tc>
        <w:tc>
          <w:tcPr>
            <w:tcW w:w="812" w:type="dxa"/>
            <w:tcBorders>
              <w:top w:val="nil"/>
              <w:left w:val="nil"/>
              <w:bottom w:val="single" w:sz="4" w:space="0" w:color="auto"/>
              <w:right w:val="single" w:sz="4" w:space="0" w:color="auto"/>
            </w:tcBorders>
            <w:shd w:val="clear" w:color="000000" w:fill="FFFFFF"/>
            <w:vAlign w:val="center"/>
            <w:hideMark/>
          </w:tcPr>
          <w:p w14:paraId="2C9F6E84" w14:textId="7A96D381" w:rsidR="00991194" w:rsidRPr="0053555E" w:rsidRDefault="00991194" w:rsidP="00991194">
            <w:pPr>
              <w:jc w:val="center"/>
              <w:rPr>
                <w:rFonts w:asciiTheme="majorHAnsi" w:hAnsiTheme="majorHAnsi" w:cstheme="majorHAnsi"/>
                <w:sz w:val="20"/>
                <w:szCs w:val="20"/>
              </w:rPr>
            </w:pPr>
            <w:r w:rsidRPr="0053555E">
              <w:rPr>
                <w:rFonts w:cs="Calibri"/>
                <w:sz w:val="20"/>
                <w:szCs w:val="20"/>
              </w:rPr>
              <w:t>633</w:t>
            </w:r>
          </w:p>
        </w:tc>
        <w:tc>
          <w:tcPr>
            <w:tcW w:w="723" w:type="dxa"/>
            <w:tcBorders>
              <w:top w:val="nil"/>
              <w:left w:val="nil"/>
              <w:bottom w:val="single" w:sz="4" w:space="0" w:color="auto"/>
              <w:right w:val="single" w:sz="4" w:space="0" w:color="auto"/>
            </w:tcBorders>
            <w:shd w:val="clear" w:color="auto" w:fill="auto"/>
            <w:vAlign w:val="center"/>
            <w:hideMark/>
          </w:tcPr>
          <w:p w14:paraId="7B5F77DF" w14:textId="465D4F6D" w:rsidR="00991194" w:rsidRPr="0053555E" w:rsidRDefault="00991194" w:rsidP="00991194">
            <w:pPr>
              <w:jc w:val="center"/>
              <w:rPr>
                <w:rFonts w:asciiTheme="majorHAnsi" w:hAnsiTheme="majorHAnsi" w:cstheme="majorHAnsi"/>
                <w:sz w:val="20"/>
                <w:szCs w:val="20"/>
              </w:rPr>
            </w:pPr>
            <w:r w:rsidRPr="0053555E">
              <w:rPr>
                <w:rFonts w:cs="Calibri"/>
                <w:sz w:val="20"/>
                <w:szCs w:val="20"/>
              </w:rPr>
              <w:t>24%</w:t>
            </w:r>
          </w:p>
        </w:tc>
        <w:tc>
          <w:tcPr>
            <w:tcW w:w="851" w:type="dxa"/>
            <w:tcBorders>
              <w:top w:val="nil"/>
              <w:left w:val="nil"/>
              <w:bottom w:val="single" w:sz="4" w:space="0" w:color="auto"/>
              <w:right w:val="single" w:sz="4" w:space="0" w:color="auto"/>
            </w:tcBorders>
            <w:shd w:val="clear" w:color="auto" w:fill="auto"/>
            <w:vAlign w:val="center"/>
            <w:hideMark/>
          </w:tcPr>
          <w:p w14:paraId="18868F83" w14:textId="5F21FF05" w:rsidR="00991194" w:rsidRPr="0053555E" w:rsidRDefault="00991194" w:rsidP="00991194">
            <w:pPr>
              <w:jc w:val="center"/>
              <w:rPr>
                <w:rFonts w:asciiTheme="majorHAnsi" w:hAnsiTheme="majorHAnsi" w:cstheme="majorHAnsi"/>
                <w:sz w:val="20"/>
                <w:szCs w:val="20"/>
              </w:rPr>
            </w:pPr>
            <w:r w:rsidRPr="0053555E">
              <w:rPr>
                <w:rFonts w:cs="Calibri"/>
                <w:sz w:val="20"/>
                <w:szCs w:val="20"/>
              </w:rPr>
              <w:t>15%</w:t>
            </w:r>
          </w:p>
        </w:tc>
        <w:tc>
          <w:tcPr>
            <w:tcW w:w="850" w:type="dxa"/>
            <w:tcBorders>
              <w:top w:val="nil"/>
              <w:left w:val="nil"/>
              <w:bottom w:val="single" w:sz="4" w:space="0" w:color="auto"/>
              <w:right w:val="single" w:sz="4" w:space="0" w:color="auto"/>
            </w:tcBorders>
            <w:shd w:val="clear" w:color="auto" w:fill="EEECE1" w:themeFill="background2"/>
            <w:vAlign w:val="center"/>
            <w:hideMark/>
          </w:tcPr>
          <w:p w14:paraId="7D3C64D6" w14:textId="043388A1" w:rsidR="00991194" w:rsidRPr="0053555E" w:rsidRDefault="00991194" w:rsidP="00991194">
            <w:pPr>
              <w:jc w:val="center"/>
              <w:rPr>
                <w:rFonts w:asciiTheme="majorHAnsi" w:hAnsiTheme="majorHAnsi" w:cstheme="majorHAnsi"/>
                <w:b/>
                <w:sz w:val="20"/>
                <w:szCs w:val="20"/>
              </w:rPr>
            </w:pPr>
            <w:r w:rsidRPr="0053555E">
              <w:rPr>
                <w:rFonts w:cs="Calibri"/>
                <w:sz w:val="20"/>
                <w:szCs w:val="20"/>
              </w:rPr>
              <w:t>39</w:t>
            </w:r>
            <w:r w:rsidR="00435863" w:rsidRPr="0053555E">
              <w:rPr>
                <w:rFonts w:cs="Calibri"/>
                <w:sz w:val="20"/>
                <w:szCs w:val="20"/>
              </w:rPr>
              <w:t xml:space="preserve"> </w:t>
            </w:r>
            <w:r w:rsidRPr="0053555E">
              <w:rPr>
                <w:rFonts w:cs="Calibri"/>
                <w:sz w:val="20"/>
                <w:szCs w:val="20"/>
              </w:rPr>
              <w:t>%</w:t>
            </w:r>
          </w:p>
        </w:tc>
        <w:tc>
          <w:tcPr>
            <w:tcW w:w="804" w:type="dxa"/>
            <w:tcBorders>
              <w:top w:val="nil"/>
              <w:left w:val="nil"/>
              <w:bottom w:val="single" w:sz="4" w:space="0" w:color="auto"/>
              <w:right w:val="single" w:sz="4" w:space="0" w:color="auto"/>
            </w:tcBorders>
            <w:shd w:val="clear" w:color="000000" w:fill="FFFFFF"/>
            <w:vAlign w:val="center"/>
            <w:hideMark/>
          </w:tcPr>
          <w:p w14:paraId="10F55431" w14:textId="788CF641" w:rsidR="00991194" w:rsidRPr="0053555E" w:rsidRDefault="00991194" w:rsidP="00991194">
            <w:pPr>
              <w:jc w:val="center"/>
              <w:rPr>
                <w:rFonts w:asciiTheme="majorHAnsi" w:hAnsiTheme="majorHAnsi" w:cstheme="majorHAnsi"/>
                <w:sz w:val="20"/>
                <w:szCs w:val="20"/>
              </w:rPr>
            </w:pPr>
            <w:r w:rsidRPr="0053555E">
              <w:rPr>
                <w:rFonts w:cs="Calibri"/>
                <w:sz w:val="20"/>
                <w:szCs w:val="20"/>
              </w:rPr>
              <w:t>366</w:t>
            </w:r>
          </w:p>
        </w:tc>
        <w:tc>
          <w:tcPr>
            <w:tcW w:w="805" w:type="dxa"/>
            <w:tcBorders>
              <w:top w:val="nil"/>
              <w:left w:val="nil"/>
              <w:bottom w:val="single" w:sz="4" w:space="0" w:color="auto"/>
              <w:right w:val="single" w:sz="4" w:space="0" w:color="auto"/>
            </w:tcBorders>
            <w:shd w:val="clear" w:color="auto" w:fill="EEECE1" w:themeFill="background2"/>
            <w:vAlign w:val="center"/>
            <w:hideMark/>
          </w:tcPr>
          <w:p w14:paraId="2EAB8563" w14:textId="5090FFCA" w:rsidR="00991194" w:rsidRPr="0053555E" w:rsidRDefault="00991194" w:rsidP="00991194">
            <w:pPr>
              <w:jc w:val="center"/>
              <w:rPr>
                <w:rFonts w:asciiTheme="majorHAnsi" w:hAnsiTheme="majorHAnsi" w:cstheme="majorHAnsi"/>
                <w:b/>
                <w:sz w:val="20"/>
                <w:szCs w:val="20"/>
              </w:rPr>
            </w:pPr>
            <w:r w:rsidRPr="0053555E">
              <w:rPr>
                <w:rFonts w:cs="Calibri"/>
                <w:sz w:val="20"/>
                <w:szCs w:val="20"/>
              </w:rPr>
              <w:t>24</w:t>
            </w:r>
            <w:r w:rsidR="007D2399" w:rsidRPr="0053555E">
              <w:rPr>
                <w:rFonts w:cs="Calibri"/>
                <w:sz w:val="20"/>
                <w:szCs w:val="20"/>
              </w:rPr>
              <w:t xml:space="preserve"> </w:t>
            </w:r>
            <w:r w:rsidRPr="0053555E">
              <w:rPr>
                <w:rFonts w:cs="Calibri"/>
                <w:sz w:val="20"/>
                <w:szCs w:val="20"/>
              </w:rPr>
              <w:t>%</w:t>
            </w:r>
          </w:p>
        </w:tc>
        <w:tc>
          <w:tcPr>
            <w:tcW w:w="805" w:type="dxa"/>
            <w:tcBorders>
              <w:top w:val="nil"/>
              <w:left w:val="nil"/>
              <w:bottom w:val="single" w:sz="4" w:space="0" w:color="auto"/>
              <w:right w:val="single" w:sz="4" w:space="0" w:color="auto"/>
            </w:tcBorders>
            <w:shd w:val="clear" w:color="000000" w:fill="FFFFFF"/>
            <w:vAlign w:val="center"/>
            <w:hideMark/>
          </w:tcPr>
          <w:p w14:paraId="0528F98A" w14:textId="272888B9" w:rsidR="00991194" w:rsidRPr="0053555E" w:rsidRDefault="00991194" w:rsidP="00991194">
            <w:pPr>
              <w:jc w:val="center"/>
              <w:rPr>
                <w:rFonts w:asciiTheme="majorHAnsi" w:hAnsiTheme="majorHAnsi" w:cstheme="majorHAnsi"/>
                <w:sz w:val="20"/>
                <w:szCs w:val="20"/>
              </w:rPr>
            </w:pPr>
            <w:r w:rsidRPr="0053555E">
              <w:rPr>
                <w:rFonts w:cs="Calibri"/>
                <w:sz w:val="20"/>
                <w:szCs w:val="20"/>
              </w:rPr>
              <w:t>381</w:t>
            </w:r>
          </w:p>
        </w:tc>
        <w:tc>
          <w:tcPr>
            <w:tcW w:w="804" w:type="dxa"/>
            <w:tcBorders>
              <w:top w:val="single" w:sz="4" w:space="0" w:color="auto"/>
              <w:left w:val="nil"/>
              <w:bottom w:val="single" w:sz="4" w:space="0" w:color="auto"/>
              <w:right w:val="single" w:sz="4" w:space="0" w:color="auto"/>
            </w:tcBorders>
            <w:shd w:val="clear" w:color="auto" w:fill="EEECE1" w:themeFill="background2"/>
            <w:vAlign w:val="center"/>
          </w:tcPr>
          <w:p w14:paraId="0FF9DD0E" w14:textId="65B1CCB6" w:rsidR="00991194" w:rsidRPr="0053555E" w:rsidRDefault="00991194" w:rsidP="00991194">
            <w:pPr>
              <w:jc w:val="center"/>
              <w:rPr>
                <w:rFonts w:asciiTheme="majorHAnsi" w:hAnsiTheme="majorHAnsi" w:cstheme="majorHAnsi"/>
                <w:b/>
                <w:sz w:val="20"/>
                <w:szCs w:val="20"/>
              </w:rPr>
            </w:pPr>
            <w:r w:rsidRPr="0053555E">
              <w:rPr>
                <w:rFonts w:cs="Calibri"/>
                <w:sz w:val="20"/>
                <w:szCs w:val="20"/>
              </w:rPr>
              <w:t>17</w:t>
            </w:r>
            <w:r w:rsidR="007D2399" w:rsidRPr="0053555E">
              <w:rPr>
                <w:rFonts w:cs="Calibri"/>
                <w:sz w:val="20"/>
                <w:szCs w:val="20"/>
              </w:rPr>
              <w:t xml:space="preserve"> </w:t>
            </w:r>
            <w:r w:rsidRPr="0053555E">
              <w:rPr>
                <w:rFonts w:cs="Calibri"/>
                <w:sz w:val="20"/>
                <w:szCs w:val="20"/>
              </w:rPr>
              <w:t>%</w:t>
            </w:r>
          </w:p>
        </w:tc>
        <w:tc>
          <w:tcPr>
            <w:tcW w:w="805" w:type="dxa"/>
            <w:tcBorders>
              <w:top w:val="nil"/>
              <w:left w:val="single" w:sz="4" w:space="0" w:color="auto"/>
              <w:bottom w:val="single" w:sz="4" w:space="0" w:color="auto"/>
              <w:right w:val="single" w:sz="4" w:space="0" w:color="auto"/>
            </w:tcBorders>
            <w:shd w:val="clear" w:color="000000" w:fill="FFFFFF"/>
            <w:vAlign w:val="center"/>
            <w:hideMark/>
          </w:tcPr>
          <w:p w14:paraId="7FA22538" w14:textId="07B94ADB" w:rsidR="00991194" w:rsidRPr="0053555E" w:rsidRDefault="00991194" w:rsidP="00991194">
            <w:pPr>
              <w:jc w:val="center"/>
              <w:rPr>
                <w:rFonts w:asciiTheme="majorHAnsi" w:hAnsiTheme="majorHAnsi" w:cstheme="majorHAnsi"/>
                <w:sz w:val="20"/>
                <w:szCs w:val="20"/>
              </w:rPr>
            </w:pPr>
            <w:r w:rsidRPr="0053555E">
              <w:rPr>
                <w:rFonts w:cs="Calibri"/>
                <w:sz w:val="20"/>
                <w:szCs w:val="20"/>
              </w:rPr>
              <w:t>201</w:t>
            </w:r>
          </w:p>
        </w:tc>
        <w:tc>
          <w:tcPr>
            <w:tcW w:w="805" w:type="dxa"/>
            <w:tcBorders>
              <w:top w:val="single" w:sz="4" w:space="0" w:color="auto"/>
              <w:left w:val="nil"/>
              <w:bottom w:val="single" w:sz="4" w:space="0" w:color="auto"/>
              <w:right w:val="single" w:sz="4" w:space="0" w:color="auto"/>
            </w:tcBorders>
            <w:shd w:val="clear" w:color="auto" w:fill="EEECE1" w:themeFill="background2"/>
            <w:vAlign w:val="center"/>
          </w:tcPr>
          <w:p w14:paraId="0A7ACBF5" w14:textId="2CB79539" w:rsidR="00991194" w:rsidRPr="0053555E" w:rsidRDefault="00991194" w:rsidP="00991194">
            <w:pPr>
              <w:jc w:val="center"/>
              <w:rPr>
                <w:rFonts w:asciiTheme="majorHAnsi" w:hAnsiTheme="majorHAnsi" w:cstheme="majorHAnsi"/>
                <w:b/>
                <w:sz w:val="20"/>
                <w:szCs w:val="20"/>
              </w:rPr>
            </w:pPr>
            <w:r w:rsidRPr="0053555E">
              <w:rPr>
                <w:rFonts w:cs="Calibri"/>
                <w:sz w:val="20"/>
                <w:szCs w:val="20"/>
              </w:rPr>
              <w:t>13</w:t>
            </w:r>
            <w:r w:rsidR="007D2399" w:rsidRPr="0053555E">
              <w:rPr>
                <w:rFonts w:cs="Calibri"/>
                <w:sz w:val="20"/>
                <w:szCs w:val="20"/>
              </w:rPr>
              <w:t xml:space="preserve"> </w:t>
            </w:r>
            <w:r w:rsidRPr="0053555E">
              <w:rPr>
                <w:rFonts w:cs="Calibri"/>
                <w:sz w:val="20"/>
                <w:szCs w:val="20"/>
              </w:rPr>
              <w:t>%</w:t>
            </w:r>
          </w:p>
        </w:tc>
        <w:tc>
          <w:tcPr>
            <w:tcW w:w="696" w:type="dxa"/>
            <w:tcBorders>
              <w:top w:val="nil"/>
              <w:left w:val="single" w:sz="4" w:space="0" w:color="auto"/>
              <w:bottom w:val="single" w:sz="4" w:space="0" w:color="auto"/>
              <w:right w:val="single" w:sz="8" w:space="0" w:color="auto"/>
            </w:tcBorders>
            <w:shd w:val="clear" w:color="000000" w:fill="FFFFFF"/>
            <w:vAlign w:val="center"/>
            <w:hideMark/>
          </w:tcPr>
          <w:p w14:paraId="23EF3E29" w14:textId="1025ADB1" w:rsidR="00991194" w:rsidRPr="0053555E" w:rsidRDefault="00991194" w:rsidP="00991194">
            <w:pPr>
              <w:jc w:val="center"/>
              <w:rPr>
                <w:rFonts w:asciiTheme="majorHAnsi" w:hAnsiTheme="majorHAnsi" w:cstheme="majorHAnsi"/>
                <w:sz w:val="20"/>
                <w:szCs w:val="20"/>
              </w:rPr>
            </w:pPr>
            <w:r w:rsidRPr="0053555E">
              <w:rPr>
                <w:rFonts w:cs="Calibri"/>
                <w:sz w:val="20"/>
                <w:szCs w:val="20"/>
              </w:rPr>
              <w:t>1 581</w:t>
            </w:r>
          </w:p>
        </w:tc>
      </w:tr>
      <w:tr w:rsidR="00991194" w:rsidRPr="0053555E" w14:paraId="26AE8974" w14:textId="77777777" w:rsidTr="00FE3BEF">
        <w:trPr>
          <w:trHeight w:val="20"/>
        </w:trPr>
        <w:tc>
          <w:tcPr>
            <w:tcW w:w="673" w:type="dxa"/>
            <w:tcBorders>
              <w:top w:val="nil"/>
              <w:left w:val="single" w:sz="4" w:space="0" w:color="auto"/>
              <w:bottom w:val="single" w:sz="4" w:space="0" w:color="auto"/>
              <w:right w:val="single" w:sz="4" w:space="0" w:color="auto"/>
            </w:tcBorders>
            <w:shd w:val="clear" w:color="000000" w:fill="FFFFFF"/>
            <w:vAlign w:val="center"/>
            <w:hideMark/>
          </w:tcPr>
          <w:p w14:paraId="5BEB1745" w14:textId="77777777" w:rsidR="00991194" w:rsidRPr="0053555E" w:rsidRDefault="00991194" w:rsidP="00991194">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SjF</w:t>
            </w:r>
          </w:p>
        </w:tc>
        <w:tc>
          <w:tcPr>
            <w:tcW w:w="812" w:type="dxa"/>
            <w:tcBorders>
              <w:top w:val="nil"/>
              <w:left w:val="nil"/>
              <w:bottom w:val="single" w:sz="4" w:space="0" w:color="auto"/>
              <w:right w:val="single" w:sz="4" w:space="0" w:color="auto"/>
            </w:tcBorders>
            <w:shd w:val="clear" w:color="auto" w:fill="auto"/>
            <w:vAlign w:val="center"/>
            <w:hideMark/>
          </w:tcPr>
          <w:p w14:paraId="64E89AF7" w14:textId="5DAC7CC3" w:rsidR="00991194" w:rsidRPr="0053555E" w:rsidRDefault="00991194" w:rsidP="00991194">
            <w:pPr>
              <w:jc w:val="center"/>
              <w:rPr>
                <w:rFonts w:asciiTheme="majorHAnsi" w:hAnsiTheme="majorHAnsi" w:cstheme="majorHAnsi"/>
                <w:sz w:val="20"/>
                <w:szCs w:val="20"/>
              </w:rPr>
            </w:pPr>
            <w:r w:rsidRPr="0053555E">
              <w:rPr>
                <w:rFonts w:cs="Calibri"/>
                <w:sz w:val="20"/>
                <w:szCs w:val="20"/>
              </w:rPr>
              <w:t>189</w:t>
            </w:r>
          </w:p>
        </w:tc>
        <w:tc>
          <w:tcPr>
            <w:tcW w:w="723" w:type="dxa"/>
            <w:tcBorders>
              <w:top w:val="nil"/>
              <w:left w:val="nil"/>
              <w:bottom w:val="single" w:sz="4" w:space="0" w:color="auto"/>
              <w:right w:val="single" w:sz="4" w:space="0" w:color="auto"/>
            </w:tcBorders>
            <w:shd w:val="clear" w:color="auto" w:fill="auto"/>
            <w:vAlign w:val="center"/>
            <w:hideMark/>
          </w:tcPr>
          <w:p w14:paraId="4A8DDAF5" w14:textId="241CBC75" w:rsidR="00991194" w:rsidRPr="0053555E" w:rsidRDefault="00991194" w:rsidP="00991194">
            <w:pPr>
              <w:jc w:val="center"/>
              <w:rPr>
                <w:rFonts w:asciiTheme="majorHAnsi" w:hAnsiTheme="majorHAnsi" w:cstheme="majorHAnsi"/>
                <w:sz w:val="20"/>
                <w:szCs w:val="20"/>
              </w:rPr>
            </w:pPr>
            <w:r w:rsidRPr="0053555E">
              <w:rPr>
                <w:rFonts w:cs="Calibri"/>
                <w:sz w:val="20"/>
                <w:szCs w:val="20"/>
              </w:rPr>
              <w:t>23%</w:t>
            </w:r>
          </w:p>
        </w:tc>
        <w:tc>
          <w:tcPr>
            <w:tcW w:w="851" w:type="dxa"/>
            <w:tcBorders>
              <w:top w:val="nil"/>
              <w:left w:val="nil"/>
              <w:bottom w:val="single" w:sz="4" w:space="0" w:color="auto"/>
              <w:right w:val="single" w:sz="4" w:space="0" w:color="auto"/>
            </w:tcBorders>
            <w:shd w:val="clear" w:color="auto" w:fill="auto"/>
            <w:vAlign w:val="center"/>
            <w:hideMark/>
          </w:tcPr>
          <w:p w14:paraId="3F15D20E" w14:textId="49BB3DCB" w:rsidR="00991194" w:rsidRPr="0053555E" w:rsidRDefault="00991194" w:rsidP="00991194">
            <w:pPr>
              <w:jc w:val="center"/>
              <w:rPr>
                <w:rFonts w:asciiTheme="majorHAnsi" w:hAnsiTheme="majorHAnsi" w:cstheme="majorHAnsi"/>
                <w:sz w:val="20"/>
                <w:szCs w:val="20"/>
              </w:rPr>
            </w:pPr>
            <w:r w:rsidRPr="0053555E">
              <w:rPr>
                <w:rFonts w:cs="Calibri"/>
                <w:sz w:val="20"/>
                <w:szCs w:val="20"/>
              </w:rPr>
              <w:t>20%</w:t>
            </w:r>
          </w:p>
        </w:tc>
        <w:tc>
          <w:tcPr>
            <w:tcW w:w="850" w:type="dxa"/>
            <w:tcBorders>
              <w:top w:val="nil"/>
              <w:left w:val="nil"/>
              <w:bottom w:val="single" w:sz="4" w:space="0" w:color="auto"/>
              <w:right w:val="single" w:sz="4" w:space="0" w:color="auto"/>
            </w:tcBorders>
            <w:shd w:val="clear" w:color="auto" w:fill="EEECE1" w:themeFill="background2"/>
            <w:vAlign w:val="center"/>
            <w:hideMark/>
          </w:tcPr>
          <w:p w14:paraId="43282FE3" w14:textId="480D4D46" w:rsidR="00991194" w:rsidRPr="0053555E" w:rsidRDefault="00991194" w:rsidP="00991194">
            <w:pPr>
              <w:jc w:val="center"/>
              <w:rPr>
                <w:rFonts w:asciiTheme="majorHAnsi" w:hAnsiTheme="majorHAnsi" w:cstheme="majorHAnsi"/>
                <w:b/>
                <w:sz w:val="20"/>
                <w:szCs w:val="20"/>
              </w:rPr>
            </w:pPr>
            <w:r w:rsidRPr="0053555E">
              <w:rPr>
                <w:rFonts w:cs="Calibri"/>
                <w:sz w:val="20"/>
                <w:szCs w:val="20"/>
              </w:rPr>
              <w:t>43</w:t>
            </w:r>
            <w:r w:rsidR="00435863" w:rsidRPr="0053555E">
              <w:rPr>
                <w:rFonts w:cs="Calibri"/>
                <w:sz w:val="20"/>
                <w:szCs w:val="20"/>
              </w:rPr>
              <w:t xml:space="preserve"> </w:t>
            </w:r>
            <w:r w:rsidRPr="0053555E">
              <w:rPr>
                <w:rFonts w:cs="Calibri"/>
                <w:sz w:val="20"/>
                <w:szCs w:val="20"/>
              </w:rPr>
              <w:t>%</w:t>
            </w:r>
          </w:p>
        </w:tc>
        <w:tc>
          <w:tcPr>
            <w:tcW w:w="804" w:type="dxa"/>
            <w:tcBorders>
              <w:top w:val="nil"/>
              <w:left w:val="nil"/>
              <w:bottom w:val="single" w:sz="4" w:space="0" w:color="auto"/>
              <w:right w:val="single" w:sz="4" w:space="0" w:color="auto"/>
            </w:tcBorders>
            <w:shd w:val="clear" w:color="auto" w:fill="auto"/>
            <w:vAlign w:val="center"/>
            <w:hideMark/>
          </w:tcPr>
          <w:p w14:paraId="77C1F845" w14:textId="19893347" w:rsidR="00991194" w:rsidRPr="0053555E" w:rsidRDefault="00991194" w:rsidP="00991194">
            <w:pPr>
              <w:jc w:val="center"/>
              <w:rPr>
                <w:rFonts w:asciiTheme="majorHAnsi" w:hAnsiTheme="majorHAnsi" w:cstheme="majorHAnsi"/>
                <w:sz w:val="20"/>
                <w:szCs w:val="20"/>
              </w:rPr>
            </w:pPr>
            <w:r w:rsidRPr="0053555E">
              <w:rPr>
                <w:rFonts w:cs="Calibri"/>
                <w:sz w:val="20"/>
                <w:szCs w:val="20"/>
              </w:rPr>
              <w:t>98</w:t>
            </w:r>
          </w:p>
        </w:tc>
        <w:tc>
          <w:tcPr>
            <w:tcW w:w="805" w:type="dxa"/>
            <w:tcBorders>
              <w:top w:val="nil"/>
              <w:left w:val="nil"/>
              <w:bottom w:val="single" w:sz="4" w:space="0" w:color="auto"/>
              <w:right w:val="single" w:sz="4" w:space="0" w:color="auto"/>
            </w:tcBorders>
            <w:shd w:val="clear" w:color="auto" w:fill="EEECE1" w:themeFill="background2"/>
            <w:vAlign w:val="center"/>
            <w:hideMark/>
          </w:tcPr>
          <w:p w14:paraId="675E62FA" w14:textId="26A83E11" w:rsidR="00991194" w:rsidRPr="0053555E" w:rsidRDefault="00991194" w:rsidP="00991194">
            <w:pPr>
              <w:jc w:val="center"/>
              <w:rPr>
                <w:rFonts w:asciiTheme="majorHAnsi" w:hAnsiTheme="majorHAnsi" w:cstheme="majorHAnsi"/>
                <w:b/>
                <w:sz w:val="20"/>
                <w:szCs w:val="20"/>
              </w:rPr>
            </w:pPr>
            <w:r w:rsidRPr="0053555E">
              <w:rPr>
                <w:rFonts w:cs="Calibri"/>
                <w:sz w:val="20"/>
                <w:szCs w:val="20"/>
              </w:rPr>
              <w:t>55</w:t>
            </w:r>
            <w:r w:rsidR="00435863" w:rsidRPr="0053555E">
              <w:rPr>
                <w:rFonts w:cs="Calibri"/>
                <w:sz w:val="20"/>
                <w:szCs w:val="20"/>
              </w:rPr>
              <w:t xml:space="preserve"> </w:t>
            </w:r>
            <w:r w:rsidRPr="0053555E">
              <w:rPr>
                <w:rFonts w:cs="Calibri"/>
                <w:sz w:val="20"/>
                <w:szCs w:val="20"/>
              </w:rPr>
              <w:t>%</w:t>
            </w:r>
          </w:p>
        </w:tc>
        <w:tc>
          <w:tcPr>
            <w:tcW w:w="805" w:type="dxa"/>
            <w:tcBorders>
              <w:top w:val="nil"/>
              <w:left w:val="nil"/>
              <w:bottom w:val="single" w:sz="4" w:space="0" w:color="auto"/>
              <w:right w:val="single" w:sz="4" w:space="0" w:color="auto"/>
            </w:tcBorders>
            <w:shd w:val="clear" w:color="auto" w:fill="auto"/>
            <w:vAlign w:val="center"/>
            <w:hideMark/>
          </w:tcPr>
          <w:p w14:paraId="2B081106" w14:textId="3924C253" w:rsidR="00991194" w:rsidRPr="0053555E" w:rsidRDefault="00991194" w:rsidP="00991194">
            <w:pPr>
              <w:jc w:val="center"/>
              <w:rPr>
                <w:rFonts w:asciiTheme="majorHAnsi" w:hAnsiTheme="majorHAnsi" w:cstheme="majorHAnsi"/>
                <w:sz w:val="20"/>
                <w:szCs w:val="20"/>
              </w:rPr>
            </w:pPr>
            <w:r w:rsidRPr="0053555E">
              <w:rPr>
                <w:rFonts w:cs="Calibri"/>
                <w:sz w:val="20"/>
                <w:szCs w:val="20"/>
              </w:rPr>
              <w:t>161</w:t>
            </w:r>
          </w:p>
        </w:tc>
        <w:tc>
          <w:tcPr>
            <w:tcW w:w="804" w:type="dxa"/>
            <w:tcBorders>
              <w:top w:val="single" w:sz="4" w:space="0" w:color="auto"/>
              <w:left w:val="nil"/>
              <w:bottom w:val="single" w:sz="4" w:space="0" w:color="auto"/>
              <w:right w:val="single" w:sz="4" w:space="0" w:color="auto"/>
            </w:tcBorders>
            <w:shd w:val="clear" w:color="auto" w:fill="EEECE1" w:themeFill="background2"/>
            <w:vAlign w:val="center"/>
          </w:tcPr>
          <w:p w14:paraId="6F81E4D9" w14:textId="71074445" w:rsidR="00991194" w:rsidRPr="0053555E" w:rsidRDefault="00991194" w:rsidP="00991194">
            <w:pPr>
              <w:jc w:val="center"/>
              <w:rPr>
                <w:rFonts w:asciiTheme="majorHAnsi" w:hAnsiTheme="majorHAnsi" w:cstheme="majorHAnsi"/>
                <w:b/>
                <w:sz w:val="20"/>
                <w:szCs w:val="20"/>
              </w:rPr>
            </w:pPr>
            <w:r w:rsidRPr="0053555E">
              <w:rPr>
                <w:rFonts w:cs="Calibri"/>
                <w:sz w:val="20"/>
                <w:szCs w:val="20"/>
              </w:rPr>
              <w:t>31</w:t>
            </w:r>
            <w:r w:rsidR="007D2399" w:rsidRPr="0053555E">
              <w:rPr>
                <w:rFonts w:cs="Calibri"/>
                <w:sz w:val="20"/>
                <w:szCs w:val="20"/>
              </w:rPr>
              <w:t xml:space="preserve"> </w:t>
            </w:r>
            <w:r w:rsidRPr="0053555E">
              <w:rPr>
                <w:rFonts w:cs="Calibri"/>
                <w:sz w:val="20"/>
                <w:szCs w:val="20"/>
              </w:rPr>
              <w:t>%</w:t>
            </w:r>
          </w:p>
        </w:tc>
        <w:tc>
          <w:tcPr>
            <w:tcW w:w="805" w:type="dxa"/>
            <w:tcBorders>
              <w:top w:val="nil"/>
              <w:left w:val="single" w:sz="4" w:space="0" w:color="auto"/>
              <w:bottom w:val="single" w:sz="4" w:space="0" w:color="auto"/>
              <w:right w:val="single" w:sz="4" w:space="0" w:color="auto"/>
            </w:tcBorders>
            <w:shd w:val="clear" w:color="auto" w:fill="auto"/>
            <w:vAlign w:val="center"/>
            <w:hideMark/>
          </w:tcPr>
          <w:p w14:paraId="65355895" w14:textId="39277913" w:rsidR="00991194" w:rsidRPr="0053555E" w:rsidRDefault="00991194" w:rsidP="00991194">
            <w:pPr>
              <w:jc w:val="center"/>
              <w:rPr>
                <w:rFonts w:asciiTheme="majorHAnsi" w:hAnsiTheme="majorHAnsi" w:cstheme="majorHAnsi"/>
                <w:sz w:val="20"/>
                <w:szCs w:val="20"/>
              </w:rPr>
            </w:pPr>
            <w:r w:rsidRPr="0053555E">
              <w:rPr>
                <w:rFonts w:cs="Calibri"/>
                <w:sz w:val="20"/>
                <w:szCs w:val="20"/>
              </w:rPr>
              <w:t>7</w:t>
            </w:r>
          </w:p>
        </w:tc>
        <w:tc>
          <w:tcPr>
            <w:tcW w:w="805" w:type="dxa"/>
            <w:tcBorders>
              <w:top w:val="single" w:sz="4" w:space="0" w:color="auto"/>
              <w:left w:val="nil"/>
              <w:bottom w:val="single" w:sz="4" w:space="0" w:color="auto"/>
              <w:right w:val="single" w:sz="4" w:space="0" w:color="auto"/>
            </w:tcBorders>
            <w:shd w:val="clear" w:color="auto" w:fill="EEECE1" w:themeFill="background2"/>
            <w:vAlign w:val="center"/>
          </w:tcPr>
          <w:p w14:paraId="4A9440CB" w14:textId="19E46900" w:rsidR="00991194" w:rsidRPr="0053555E" w:rsidRDefault="00991194" w:rsidP="00991194">
            <w:pPr>
              <w:jc w:val="center"/>
              <w:rPr>
                <w:rFonts w:asciiTheme="majorHAnsi" w:hAnsiTheme="majorHAnsi" w:cstheme="majorHAnsi"/>
                <w:b/>
                <w:sz w:val="20"/>
                <w:szCs w:val="20"/>
              </w:rPr>
            </w:pPr>
            <w:r w:rsidRPr="0053555E">
              <w:rPr>
                <w:rFonts w:cs="Calibri"/>
                <w:sz w:val="20"/>
                <w:szCs w:val="20"/>
              </w:rPr>
              <w:t>14</w:t>
            </w:r>
            <w:r w:rsidR="007D2399" w:rsidRPr="0053555E">
              <w:rPr>
                <w:rFonts w:cs="Calibri"/>
                <w:sz w:val="20"/>
                <w:szCs w:val="20"/>
              </w:rPr>
              <w:t xml:space="preserve"> </w:t>
            </w:r>
            <w:r w:rsidRPr="0053555E">
              <w:rPr>
                <w:rFonts w:cs="Calibri"/>
                <w:sz w:val="20"/>
                <w:szCs w:val="20"/>
              </w:rPr>
              <w:t>%</w:t>
            </w:r>
          </w:p>
        </w:tc>
        <w:tc>
          <w:tcPr>
            <w:tcW w:w="696" w:type="dxa"/>
            <w:tcBorders>
              <w:top w:val="nil"/>
              <w:left w:val="single" w:sz="4" w:space="0" w:color="auto"/>
              <w:bottom w:val="single" w:sz="4" w:space="0" w:color="auto"/>
              <w:right w:val="single" w:sz="8" w:space="0" w:color="auto"/>
            </w:tcBorders>
            <w:shd w:val="clear" w:color="auto" w:fill="auto"/>
            <w:vAlign w:val="center"/>
            <w:hideMark/>
          </w:tcPr>
          <w:p w14:paraId="34867E78" w14:textId="70F8695E" w:rsidR="00991194" w:rsidRPr="0053555E" w:rsidRDefault="00991194" w:rsidP="00991194">
            <w:pPr>
              <w:jc w:val="center"/>
              <w:rPr>
                <w:rFonts w:asciiTheme="majorHAnsi" w:hAnsiTheme="majorHAnsi" w:cstheme="majorHAnsi"/>
                <w:sz w:val="20"/>
                <w:szCs w:val="20"/>
              </w:rPr>
            </w:pPr>
            <w:r w:rsidRPr="0053555E">
              <w:rPr>
                <w:rFonts w:cs="Calibri"/>
                <w:sz w:val="20"/>
                <w:szCs w:val="20"/>
              </w:rPr>
              <w:t>455</w:t>
            </w:r>
          </w:p>
        </w:tc>
      </w:tr>
      <w:tr w:rsidR="00991194" w:rsidRPr="0053555E" w14:paraId="108B50F7" w14:textId="77777777" w:rsidTr="00FE3BEF">
        <w:trPr>
          <w:trHeight w:val="20"/>
        </w:trPr>
        <w:tc>
          <w:tcPr>
            <w:tcW w:w="673" w:type="dxa"/>
            <w:tcBorders>
              <w:top w:val="nil"/>
              <w:left w:val="single" w:sz="4" w:space="0" w:color="auto"/>
              <w:bottom w:val="single" w:sz="4" w:space="0" w:color="auto"/>
              <w:right w:val="single" w:sz="4" w:space="0" w:color="auto"/>
            </w:tcBorders>
            <w:shd w:val="clear" w:color="auto" w:fill="auto"/>
            <w:vAlign w:val="center"/>
            <w:hideMark/>
          </w:tcPr>
          <w:p w14:paraId="10DBE20A" w14:textId="77777777" w:rsidR="00991194" w:rsidRPr="0053555E" w:rsidRDefault="00991194" w:rsidP="00991194">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FEI</w:t>
            </w:r>
          </w:p>
        </w:tc>
        <w:tc>
          <w:tcPr>
            <w:tcW w:w="812" w:type="dxa"/>
            <w:tcBorders>
              <w:top w:val="nil"/>
              <w:left w:val="nil"/>
              <w:bottom w:val="single" w:sz="4" w:space="0" w:color="auto"/>
              <w:right w:val="single" w:sz="4" w:space="0" w:color="auto"/>
            </w:tcBorders>
            <w:shd w:val="clear" w:color="auto" w:fill="auto"/>
            <w:vAlign w:val="center"/>
            <w:hideMark/>
          </w:tcPr>
          <w:p w14:paraId="5E7B4444" w14:textId="6857825B" w:rsidR="00991194" w:rsidRPr="0053555E" w:rsidRDefault="00991194" w:rsidP="00991194">
            <w:pPr>
              <w:jc w:val="center"/>
              <w:rPr>
                <w:rFonts w:asciiTheme="majorHAnsi" w:hAnsiTheme="majorHAnsi" w:cstheme="majorHAnsi"/>
                <w:sz w:val="20"/>
                <w:szCs w:val="20"/>
              </w:rPr>
            </w:pPr>
            <w:r w:rsidRPr="0053555E">
              <w:rPr>
                <w:rFonts w:cs="Calibri"/>
                <w:sz w:val="20"/>
                <w:szCs w:val="20"/>
              </w:rPr>
              <w:t>535</w:t>
            </w:r>
          </w:p>
        </w:tc>
        <w:tc>
          <w:tcPr>
            <w:tcW w:w="723" w:type="dxa"/>
            <w:tcBorders>
              <w:top w:val="nil"/>
              <w:left w:val="nil"/>
              <w:bottom w:val="single" w:sz="4" w:space="0" w:color="auto"/>
              <w:right w:val="single" w:sz="4" w:space="0" w:color="auto"/>
            </w:tcBorders>
            <w:shd w:val="clear" w:color="auto" w:fill="auto"/>
            <w:vAlign w:val="center"/>
            <w:hideMark/>
          </w:tcPr>
          <w:p w14:paraId="39F6CC1B" w14:textId="6958368B" w:rsidR="00991194" w:rsidRPr="0053555E" w:rsidRDefault="00991194" w:rsidP="00991194">
            <w:pPr>
              <w:jc w:val="center"/>
              <w:rPr>
                <w:rFonts w:asciiTheme="majorHAnsi" w:hAnsiTheme="majorHAnsi" w:cstheme="majorHAnsi"/>
                <w:sz w:val="20"/>
                <w:szCs w:val="20"/>
              </w:rPr>
            </w:pPr>
            <w:r w:rsidRPr="0053555E">
              <w:rPr>
                <w:rFonts w:cs="Calibri"/>
                <w:sz w:val="20"/>
                <w:szCs w:val="20"/>
              </w:rPr>
              <w:t>19%</w:t>
            </w:r>
          </w:p>
        </w:tc>
        <w:tc>
          <w:tcPr>
            <w:tcW w:w="851" w:type="dxa"/>
            <w:tcBorders>
              <w:top w:val="nil"/>
              <w:left w:val="nil"/>
              <w:bottom w:val="single" w:sz="4" w:space="0" w:color="auto"/>
              <w:right w:val="single" w:sz="4" w:space="0" w:color="auto"/>
            </w:tcBorders>
            <w:shd w:val="clear" w:color="auto" w:fill="auto"/>
            <w:vAlign w:val="center"/>
            <w:hideMark/>
          </w:tcPr>
          <w:p w14:paraId="4C00F4C2" w14:textId="170AF6A3" w:rsidR="00991194" w:rsidRPr="0053555E" w:rsidRDefault="00991194" w:rsidP="00991194">
            <w:pPr>
              <w:jc w:val="center"/>
              <w:rPr>
                <w:rFonts w:asciiTheme="majorHAnsi" w:hAnsiTheme="majorHAnsi" w:cstheme="majorHAnsi"/>
                <w:sz w:val="20"/>
                <w:szCs w:val="20"/>
              </w:rPr>
            </w:pPr>
            <w:r w:rsidRPr="0053555E">
              <w:rPr>
                <w:rFonts w:cs="Calibri"/>
                <w:sz w:val="20"/>
                <w:szCs w:val="20"/>
              </w:rPr>
              <w:t>11%</w:t>
            </w:r>
          </w:p>
        </w:tc>
        <w:tc>
          <w:tcPr>
            <w:tcW w:w="850" w:type="dxa"/>
            <w:tcBorders>
              <w:top w:val="nil"/>
              <w:left w:val="nil"/>
              <w:bottom w:val="single" w:sz="4" w:space="0" w:color="auto"/>
              <w:right w:val="single" w:sz="4" w:space="0" w:color="auto"/>
            </w:tcBorders>
            <w:shd w:val="clear" w:color="auto" w:fill="EEECE1" w:themeFill="background2"/>
            <w:vAlign w:val="center"/>
            <w:hideMark/>
          </w:tcPr>
          <w:p w14:paraId="5BBAA538" w14:textId="415A4687" w:rsidR="00991194" w:rsidRPr="0053555E" w:rsidRDefault="00991194" w:rsidP="00991194">
            <w:pPr>
              <w:jc w:val="center"/>
              <w:rPr>
                <w:rFonts w:asciiTheme="majorHAnsi" w:hAnsiTheme="majorHAnsi" w:cstheme="majorHAnsi"/>
                <w:b/>
                <w:sz w:val="20"/>
                <w:szCs w:val="20"/>
              </w:rPr>
            </w:pPr>
            <w:r w:rsidRPr="0053555E">
              <w:rPr>
                <w:rFonts w:cs="Calibri"/>
                <w:sz w:val="20"/>
                <w:szCs w:val="20"/>
              </w:rPr>
              <w:t>30</w:t>
            </w:r>
            <w:r w:rsidR="00435863" w:rsidRPr="0053555E">
              <w:rPr>
                <w:rFonts w:cs="Calibri"/>
                <w:sz w:val="20"/>
                <w:szCs w:val="20"/>
              </w:rPr>
              <w:t xml:space="preserve"> </w:t>
            </w:r>
            <w:r w:rsidRPr="0053555E">
              <w:rPr>
                <w:rFonts w:cs="Calibri"/>
                <w:sz w:val="20"/>
                <w:szCs w:val="20"/>
              </w:rPr>
              <w:t>%</w:t>
            </w:r>
          </w:p>
        </w:tc>
        <w:tc>
          <w:tcPr>
            <w:tcW w:w="804" w:type="dxa"/>
            <w:tcBorders>
              <w:top w:val="nil"/>
              <w:left w:val="nil"/>
              <w:bottom w:val="single" w:sz="4" w:space="0" w:color="auto"/>
              <w:right w:val="single" w:sz="4" w:space="0" w:color="auto"/>
            </w:tcBorders>
            <w:shd w:val="clear" w:color="auto" w:fill="auto"/>
            <w:vAlign w:val="center"/>
            <w:hideMark/>
          </w:tcPr>
          <w:p w14:paraId="22614105" w14:textId="7E342266" w:rsidR="00991194" w:rsidRPr="0053555E" w:rsidRDefault="00991194" w:rsidP="00991194">
            <w:pPr>
              <w:jc w:val="center"/>
              <w:rPr>
                <w:rFonts w:asciiTheme="majorHAnsi" w:hAnsiTheme="majorHAnsi" w:cstheme="majorHAnsi"/>
                <w:sz w:val="20"/>
                <w:szCs w:val="20"/>
              </w:rPr>
            </w:pPr>
            <w:r w:rsidRPr="0053555E">
              <w:rPr>
                <w:rFonts w:cs="Calibri"/>
                <w:sz w:val="20"/>
                <w:szCs w:val="20"/>
              </w:rPr>
              <w:t>521</w:t>
            </w:r>
          </w:p>
        </w:tc>
        <w:tc>
          <w:tcPr>
            <w:tcW w:w="805" w:type="dxa"/>
            <w:tcBorders>
              <w:top w:val="nil"/>
              <w:left w:val="nil"/>
              <w:bottom w:val="single" w:sz="4" w:space="0" w:color="auto"/>
              <w:right w:val="single" w:sz="4" w:space="0" w:color="auto"/>
            </w:tcBorders>
            <w:shd w:val="clear" w:color="auto" w:fill="EEECE1" w:themeFill="background2"/>
            <w:noWrap/>
            <w:vAlign w:val="center"/>
            <w:hideMark/>
          </w:tcPr>
          <w:p w14:paraId="080810F8" w14:textId="1F61D19B" w:rsidR="00991194" w:rsidRPr="0053555E" w:rsidRDefault="00991194" w:rsidP="00991194">
            <w:pPr>
              <w:jc w:val="center"/>
              <w:rPr>
                <w:rFonts w:asciiTheme="majorHAnsi" w:hAnsiTheme="majorHAnsi" w:cstheme="majorHAnsi"/>
                <w:b/>
                <w:sz w:val="20"/>
                <w:szCs w:val="20"/>
              </w:rPr>
            </w:pPr>
            <w:r w:rsidRPr="0053555E">
              <w:rPr>
                <w:rFonts w:cs="Calibri"/>
                <w:sz w:val="20"/>
                <w:szCs w:val="20"/>
              </w:rPr>
              <w:t>12</w:t>
            </w:r>
            <w:r w:rsidR="00435863" w:rsidRPr="0053555E">
              <w:rPr>
                <w:rFonts w:cs="Calibri"/>
                <w:sz w:val="20"/>
                <w:szCs w:val="20"/>
              </w:rPr>
              <w:t xml:space="preserve"> </w:t>
            </w:r>
            <w:r w:rsidRPr="0053555E">
              <w:rPr>
                <w:rFonts w:cs="Calibri"/>
                <w:sz w:val="20"/>
                <w:szCs w:val="20"/>
              </w:rPr>
              <w:t>%</w:t>
            </w:r>
          </w:p>
        </w:tc>
        <w:tc>
          <w:tcPr>
            <w:tcW w:w="805" w:type="dxa"/>
            <w:tcBorders>
              <w:top w:val="nil"/>
              <w:left w:val="nil"/>
              <w:bottom w:val="single" w:sz="4" w:space="0" w:color="auto"/>
              <w:right w:val="single" w:sz="4" w:space="0" w:color="auto"/>
            </w:tcBorders>
            <w:shd w:val="clear" w:color="auto" w:fill="auto"/>
            <w:vAlign w:val="center"/>
            <w:hideMark/>
          </w:tcPr>
          <w:p w14:paraId="387FBDC1" w14:textId="39D73EEC" w:rsidR="00991194" w:rsidRPr="0053555E" w:rsidRDefault="00991194" w:rsidP="00991194">
            <w:pPr>
              <w:jc w:val="center"/>
              <w:rPr>
                <w:rFonts w:asciiTheme="majorHAnsi" w:hAnsiTheme="majorHAnsi" w:cstheme="majorHAnsi"/>
                <w:sz w:val="20"/>
                <w:szCs w:val="20"/>
              </w:rPr>
            </w:pPr>
            <w:r w:rsidRPr="0053555E">
              <w:rPr>
                <w:rFonts w:cs="Calibri"/>
                <w:sz w:val="20"/>
                <w:szCs w:val="20"/>
              </w:rPr>
              <w:t>483</w:t>
            </w:r>
          </w:p>
        </w:tc>
        <w:tc>
          <w:tcPr>
            <w:tcW w:w="804" w:type="dxa"/>
            <w:tcBorders>
              <w:top w:val="single" w:sz="4" w:space="0" w:color="auto"/>
              <w:left w:val="nil"/>
              <w:bottom w:val="single" w:sz="4" w:space="0" w:color="auto"/>
              <w:right w:val="single" w:sz="4" w:space="0" w:color="auto"/>
            </w:tcBorders>
            <w:shd w:val="clear" w:color="auto" w:fill="EEECE1" w:themeFill="background2"/>
            <w:vAlign w:val="center"/>
          </w:tcPr>
          <w:p w14:paraId="179F6FC8" w14:textId="3ED30952" w:rsidR="00991194" w:rsidRPr="0053555E" w:rsidRDefault="00991194" w:rsidP="00991194">
            <w:pPr>
              <w:jc w:val="center"/>
              <w:rPr>
                <w:rFonts w:asciiTheme="majorHAnsi" w:hAnsiTheme="majorHAnsi" w:cstheme="majorHAnsi"/>
                <w:b/>
                <w:sz w:val="20"/>
                <w:szCs w:val="20"/>
              </w:rPr>
            </w:pPr>
            <w:r w:rsidRPr="0053555E">
              <w:rPr>
                <w:rFonts w:cs="Calibri"/>
                <w:sz w:val="20"/>
                <w:szCs w:val="20"/>
              </w:rPr>
              <w:t>12</w:t>
            </w:r>
            <w:r w:rsidR="007D2399" w:rsidRPr="0053555E">
              <w:rPr>
                <w:rFonts w:cs="Calibri"/>
                <w:sz w:val="20"/>
                <w:szCs w:val="20"/>
              </w:rPr>
              <w:t xml:space="preserve"> </w:t>
            </w:r>
            <w:r w:rsidRPr="0053555E">
              <w:rPr>
                <w:rFonts w:cs="Calibri"/>
                <w:sz w:val="20"/>
                <w:szCs w:val="20"/>
              </w:rPr>
              <w:t>%</w:t>
            </w:r>
          </w:p>
        </w:tc>
        <w:tc>
          <w:tcPr>
            <w:tcW w:w="805" w:type="dxa"/>
            <w:tcBorders>
              <w:top w:val="nil"/>
              <w:left w:val="single" w:sz="4" w:space="0" w:color="auto"/>
              <w:bottom w:val="single" w:sz="4" w:space="0" w:color="auto"/>
              <w:right w:val="single" w:sz="4" w:space="0" w:color="auto"/>
            </w:tcBorders>
            <w:shd w:val="clear" w:color="auto" w:fill="auto"/>
            <w:vAlign w:val="center"/>
            <w:hideMark/>
          </w:tcPr>
          <w:p w14:paraId="5A8FF6E3" w14:textId="11CC59C3" w:rsidR="00991194" w:rsidRPr="0053555E" w:rsidRDefault="00991194" w:rsidP="00991194">
            <w:pPr>
              <w:jc w:val="center"/>
              <w:rPr>
                <w:rFonts w:asciiTheme="majorHAnsi" w:hAnsiTheme="majorHAnsi" w:cstheme="majorHAnsi"/>
                <w:sz w:val="20"/>
                <w:szCs w:val="20"/>
              </w:rPr>
            </w:pPr>
          </w:p>
        </w:tc>
        <w:tc>
          <w:tcPr>
            <w:tcW w:w="805" w:type="dxa"/>
            <w:tcBorders>
              <w:top w:val="single" w:sz="4" w:space="0" w:color="auto"/>
              <w:left w:val="nil"/>
              <w:bottom w:val="single" w:sz="4" w:space="0" w:color="auto"/>
              <w:right w:val="single" w:sz="4" w:space="0" w:color="auto"/>
            </w:tcBorders>
            <w:shd w:val="clear" w:color="auto" w:fill="EEECE1" w:themeFill="background2"/>
            <w:vAlign w:val="center"/>
          </w:tcPr>
          <w:p w14:paraId="5FFF5B3F" w14:textId="4BAAF48C" w:rsidR="00991194" w:rsidRPr="0053555E" w:rsidRDefault="00991194" w:rsidP="00991194">
            <w:pPr>
              <w:jc w:val="center"/>
              <w:rPr>
                <w:rFonts w:asciiTheme="majorHAnsi" w:hAnsiTheme="majorHAnsi" w:cstheme="majorHAnsi"/>
                <w:b/>
                <w:sz w:val="20"/>
                <w:szCs w:val="20"/>
              </w:rPr>
            </w:pPr>
          </w:p>
        </w:tc>
        <w:tc>
          <w:tcPr>
            <w:tcW w:w="696" w:type="dxa"/>
            <w:tcBorders>
              <w:top w:val="nil"/>
              <w:left w:val="single" w:sz="4" w:space="0" w:color="auto"/>
              <w:bottom w:val="single" w:sz="4" w:space="0" w:color="auto"/>
              <w:right w:val="single" w:sz="8" w:space="0" w:color="auto"/>
            </w:tcBorders>
            <w:shd w:val="clear" w:color="auto" w:fill="auto"/>
            <w:vAlign w:val="center"/>
            <w:hideMark/>
          </w:tcPr>
          <w:p w14:paraId="625C7898" w14:textId="20A0D039" w:rsidR="00991194" w:rsidRPr="0053555E" w:rsidRDefault="00991194" w:rsidP="00991194">
            <w:pPr>
              <w:jc w:val="center"/>
              <w:rPr>
                <w:rFonts w:asciiTheme="majorHAnsi" w:hAnsiTheme="majorHAnsi" w:cstheme="majorHAnsi"/>
                <w:sz w:val="20"/>
                <w:szCs w:val="20"/>
              </w:rPr>
            </w:pPr>
            <w:r w:rsidRPr="0053555E">
              <w:rPr>
                <w:rFonts w:cs="Calibri"/>
                <w:sz w:val="20"/>
                <w:szCs w:val="20"/>
              </w:rPr>
              <w:t>1 539</w:t>
            </w:r>
          </w:p>
        </w:tc>
      </w:tr>
      <w:tr w:rsidR="00991194" w:rsidRPr="0053555E" w14:paraId="345E2EF9" w14:textId="77777777" w:rsidTr="00FE3BEF">
        <w:trPr>
          <w:trHeight w:val="20"/>
        </w:trPr>
        <w:tc>
          <w:tcPr>
            <w:tcW w:w="673" w:type="dxa"/>
            <w:tcBorders>
              <w:top w:val="nil"/>
              <w:left w:val="single" w:sz="4" w:space="0" w:color="auto"/>
              <w:bottom w:val="single" w:sz="4" w:space="0" w:color="auto"/>
              <w:right w:val="single" w:sz="4" w:space="0" w:color="auto"/>
            </w:tcBorders>
            <w:shd w:val="clear" w:color="000000" w:fill="FFFFFF"/>
            <w:vAlign w:val="center"/>
            <w:hideMark/>
          </w:tcPr>
          <w:p w14:paraId="4BADBCDE" w14:textId="77777777" w:rsidR="00991194" w:rsidRPr="0053555E" w:rsidRDefault="00991194" w:rsidP="00991194">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FCHPT</w:t>
            </w:r>
          </w:p>
        </w:tc>
        <w:tc>
          <w:tcPr>
            <w:tcW w:w="812" w:type="dxa"/>
            <w:tcBorders>
              <w:top w:val="nil"/>
              <w:left w:val="nil"/>
              <w:bottom w:val="single" w:sz="4" w:space="0" w:color="auto"/>
              <w:right w:val="single" w:sz="4" w:space="0" w:color="auto"/>
            </w:tcBorders>
            <w:shd w:val="clear" w:color="000000" w:fill="FFFFFF"/>
            <w:vAlign w:val="center"/>
            <w:hideMark/>
          </w:tcPr>
          <w:p w14:paraId="63335FC5" w14:textId="20CFD2E1" w:rsidR="00991194" w:rsidRPr="0053555E" w:rsidRDefault="00991194" w:rsidP="00991194">
            <w:pPr>
              <w:jc w:val="center"/>
              <w:rPr>
                <w:rFonts w:asciiTheme="majorHAnsi" w:hAnsiTheme="majorHAnsi" w:cstheme="majorHAnsi"/>
                <w:sz w:val="20"/>
                <w:szCs w:val="20"/>
              </w:rPr>
            </w:pPr>
            <w:r w:rsidRPr="0053555E">
              <w:rPr>
                <w:rFonts w:cs="Calibri"/>
                <w:sz w:val="20"/>
                <w:szCs w:val="20"/>
              </w:rPr>
              <w:t>322</w:t>
            </w:r>
          </w:p>
        </w:tc>
        <w:tc>
          <w:tcPr>
            <w:tcW w:w="723" w:type="dxa"/>
            <w:tcBorders>
              <w:top w:val="nil"/>
              <w:left w:val="nil"/>
              <w:bottom w:val="single" w:sz="4" w:space="0" w:color="auto"/>
              <w:right w:val="single" w:sz="4" w:space="0" w:color="auto"/>
            </w:tcBorders>
            <w:shd w:val="clear" w:color="auto" w:fill="auto"/>
            <w:vAlign w:val="center"/>
            <w:hideMark/>
          </w:tcPr>
          <w:p w14:paraId="44EE0193" w14:textId="3E96AA51" w:rsidR="00991194" w:rsidRPr="0053555E" w:rsidRDefault="00991194" w:rsidP="00991194">
            <w:pPr>
              <w:jc w:val="center"/>
              <w:rPr>
                <w:rFonts w:asciiTheme="majorHAnsi" w:hAnsiTheme="majorHAnsi" w:cstheme="majorHAnsi"/>
                <w:sz w:val="20"/>
                <w:szCs w:val="20"/>
              </w:rPr>
            </w:pPr>
            <w:r w:rsidRPr="0053555E">
              <w:rPr>
                <w:rFonts w:cs="Calibri"/>
                <w:sz w:val="20"/>
                <w:szCs w:val="20"/>
              </w:rPr>
              <w:t>24%</w:t>
            </w:r>
          </w:p>
        </w:tc>
        <w:tc>
          <w:tcPr>
            <w:tcW w:w="851" w:type="dxa"/>
            <w:tcBorders>
              <w:top w:val="nil"/>
              <w:left w:val="nil"/>
              <w:bottom w:val="single" w:sz="4" w:space="0" w:color="auto"/>
              <w:right w:val="single" w:sz="4" w:space="0" w:color="auto"/>
            </w:tcBorders>
            <w:shd w:val="clear" w:color="auto" w:fill="auto"/>
            <w:vAlign w:val="center"/>
            <w:hideMark/>
          </w:tcPr>
          <w:p w14:paraId="79BF4BA6" w14:textId="5CF1179C" w:rsidR="00991194" w:rsidRPr="0053555E" w:rsidRDefault="00991194" w:rsidP="00991194">
            <w:pPr>
              <w:jc w:val="center"/>
              <w:rPr>
                <w:rFonts w:asciiTheme="majorHAnsi" w:hAnsiTheme="majorHAnsi" w:cstheme="majorHAnsi"/>
                <w:sz w:val="20"/>
                <w:szCs w:val="20"/>
              </w:rPr>
            </w:pPr>
            <w:r w:rsidRPr="0053555E">
              <w:rPr>
                <w:rFonts w:cs="Calibri"/>
                <w:sz w:val="20"/>
                <w:szCs w:val="20"/>
              </w:rPr>
              <w:t>29%</w:t>
            </w:r>
          </w:p>
        </w:tc>
        <w:tc>
          <w:tcPr>
            <w:tcW w:w="850" w:type="dxa"/>
            <w:tcBorders>
              <w:top w:val="nil"/>
              <w:left w:val="nil"/>
              <w:bottom w:val="single" w:sz="4" w:space="0" w:color="auto"/>
              <w:right w:val="single" w:sz="4" w:space="0" w:color="auto"/>
            </w:tcBorders>
            <w:shd w:val="clear" w:color="auto" w:fill="EEECE1" w:themeFill="background2"/>
            <w:vAlign w:val="center"/>
            <w:hideMark/>
          </w:tcPr>
          <w:p w14:paraId="3AC62B0C" w14:textId="3F50898D" w:rsidR="00991194" w:rsidRPr="0053555E" w:rsidRDefault="00991194" w:rsidP="00991194">
            <w:pPr>
              <w:jc w:val="center"/>
              <w:rPr>
                <w:rFonts w:asciiTheme="majorHAnsi" w:hAnsiTheme="majorHAnsi" w:cstheme="majorHAnsi"/>
                <w:b/>
                <w:sz w:val="20"/>
                <w:szCs w:val="20"/>
              </w:rPr>
            </w:pPr>
            <w:r w:rsidRPr="0053555E">
              <w:rPr>
                <w:rFonts w:cs="Calibri"/>
                <w:sz w:val="20"/>
                <w:szCs w:val="20"/>
              </w:rPr>
              <w:t>52</w:t>
            </w:r>
            <w:r w:rsidR="00435863" w:rsidRPr="0053555E">
              <w:rPr>
                <w:rFonts w:cs="Calibri"/>
                <w:sz w:val="20"/>
                <w:szCs w:val="20"/>
              </w:rPr>
              <w:t xml:space="preserve"> </w:t>
            </w:r>
            <w:r w:rsidRPr="0053555E">
              <w:rPr>
                <w:rFonts w:cs="Calibri"/>
                <w:sz w:val="20"/>
                <w:szCs w:val="20"/>
              </w:rPr>
              <w:t>%</w:t>
            </w:r>
          </w:p>
        </w:tc>
        <w:tc>
          <w:tcPr>
            <w:tcW w:w="804" w:type="dxa"/>
            <w:tcBorders>
              <w:top w:val="nil"/>
              <w:left w:val="nil"/>
              <w:bottom w:val="single" w:sz="4" w:space="0" w:color="auto"/>
              <w:right w:val="single" w:sz="4" w:space="0" w:color="auto"/>
            </w:tcBorders>
            <w:shd w:val="clear" w:color="000000" w:fill="FFFFFF"/>
            <w:vAlign w:val="center"/>
            <w:hideMark/>
          </w:tcPr>
          <w:p w14:paraId="5F6E3C0E" w14:textId="2E381D4D" w:rsidR="00991194" w:rsidRPr="0053555E" w:rsidRDefault="00991194" w:rsidP="00991194">
            <w:pPr>
              <w:jc w:val="center"/>
              <w:rPr>
                <w:rFonts w:asciiTheme="majorHAnsi" w:hAnsiTheme="majorHAnsi" w:cstheme="majorHAnsi"/>
                <w:sz w:val="20"/>
                <w:szCs w:val="20"/>
              </w:rPr>
            </w:pPr>
            <w:r w:rsidRPr="0053555E">
              <w:rPr>
                <w:rFonts w:cs="Calibri"/>
                <w:sz w:val="20"/>
                <w:szCs w:val="20"/>
              </w:rPr>
              <w:t>187</w:t>
            </w:r>
          </w:p>
        </w:tc>
        <w:tc>
          <w:tcPr>
            <w:tcW w:w="805" w:type="dxa"/>
            <w:tcBorders>
              <w:top w:val="nil"/>
              <w:left w:val="nil"/>
              <w:bottom w:val="single" w:sz="4" w:space="0" w:color="auto"/>
              <w:right w:val="single" w:sz="4" w:space="0" w:color="auto"/>
            </w:tcBorders>
            <w:shd w:val="clear" w:color="auto" w:fill="EEECE1" w:themeFill="background2"/>
            <w:vAlign w:val="center"/>
            <w:hideMark/>
          </w:tcPr>
          <w:p w14:paraId="2302D6FB" w14:textId="06B2E4B7" w:rsidR="00991194" w:rsidRPr="0053555E" w:rsidRDefault="00991194" w:rsidP="00991194">
            <w:pPr>
              <w:jc w:val="center"/>
              <w:rPr>
                <w:rFonts w:asciiTheme="majorHAnsi" w:hAnsiTheme="majorHAnsi" w:cstheme="majorHAnsi"/>
                <w:b/>
                <w:sz w:val="20"/>
                <w:szCs w:val="20"/>
              </w:rPr>
            </w:pPr>
            <w:r w:rsidRPr="0053555E">
              <w:rPr>
                <w:rFonts w:cs="Calibri"/>
                <w:sz w:val="20"/>
                <w:szCs w:val="20"/>
              </w:rPr>
              <w:t>22</w:t>
            </w:r>
            <w:r w:rsidR="00435863" w:rsidRPr="0053555E">
              <w:rPr>
                <w:rFonts w:cs="Calibri"/>
                <w:sz w:val="20"/>
                <w:szCs w:val="20"/>
              </w:rPr>
              <w:t xml:space="preserve"> </w:t>
            </w:r>
            <w:r w:rsidRPr="0053555E">
              <w:rPr>
                <w:rFonts w:cs="Calibri"/>
                <w:sz w:val="20"/>
                <w:szCs w:val="20"/>
              </w:rPr>
              <w:t>%</w:t>
            </w:r>
          </w:p>
        </w:tc>
        <w:tc>
          <w:tcPr>
            <w:tcW w:w="805" w:type="dxa"/>
            <w:tcBorders>
              <w:top w:val="nil"/>
              <w:left w:val="nil"/>
              <w:bottom w:val="single" w:sz="4" w:space="0" w:color="auto"/>
              <w:right w:val="single" w:sz="4" w:space="0" w:color="auto"/>
            </w:tcBorders>
            <w:shd w:val="clear" w:color="000000" w:fill="FFFFFF"/>
            <w:vAlign w:val="center"/>
            <w:hideMark/>
          </w:tcPr>
          <w:p w14:paraId="3EFE1242" w14:textId="284678CA" w:rsidR="00991194" w:rsidRPr="0053555E" w:rsidRDefault="00991194" w:rsidP="00991194">
            <w:pPr>
              <w:jc w:val="center"/>
              <w:rPr>
                <w:rFonts w:asciiTheme="majorHAnsi" w:hAnsiTheme="majorHAnsi" w:cstheme="majorHAnsi"/>
                <w:sz w:val="20"/>
                <w:szCs w:val="20"/>
              </w:rPr>
            </w:pPr>
            <w:r w:rsidRPr="0053555E">
              <w:rPr>
                <w:rFonts w:cs="Calibri"/>
                <w:sz w:val="20"/>
                <w:szCs w:val="20"/>
              </w:rPr>
              <w:t>214</w:t>
            </w:r>
          </w:p>
        </w:tc>
        <w:tc>
          <w:tcPr>
            <w:tcW w:w="804" w:type="dxa"/>
            <w:tcBorders>
              <w:top w:val="single" w:sz="4" w:space="0" w:color="auto"/>
              <w:left w:val="nil"/>
              <w:bottom w:val="single" w:sz="4" w:space="0" w:color="auto"/>
              <w:right w:val="single" w:sz="4" w:space="0" w:color="auto"/>
            </w:tcBorders>
            <w:shd w:val="clear" w:color="auto" w:fill="EEECE1" w:themeFill="background2"/>
            <w:vAlign w:val="center"/>
          </w:tcPr>
          <w:p w14:paraId="340F34DC" w14:textId="41196B2D" w:rsidR="00991194" w:rsidRPr="0053555E" w:rsidRDefault="00991194" w:rsidP="00991194">
            <w:pPr>
              <w:jc w:val="center"/>
              <w:rPr>
                <w:rFonts w:asciiTheme="majorHAnsi" w:hAnsiTheme="majorHAnsi" w:cstheme="majorHAnsi"/>
                <w:b/>
                <w:sz w:val="20"/>
                <w:szCs w:val="20"/>
              </w:rPr>
            </w:pPr>
            <w:r w:rsidRPr="0053555E">
              <w:rPr>
                <w:rFonts w:cs="Calibri"/>
                <w:sz w:val="20"/>
                <w:szCs w:val="20"/>
              </w:rPr>
              <w:t>11</w:t>
            </w:r>
            <w:r w:rsidR="007D2399" w:rsidRPr="0053555E">
              <w:rPr>
                <w:rFonts w:cs="Calibri"/>
                <w:sz w:val="20"/>
                <w:szCs w:val="20"/>
              </w:rPr>
              <w:t xml:space="preserve"> </w:t>
            </w:r>
            <w:r w:rsidRPr="0053555E">
              <w:rPr>
                <w:rFonts w:cs="Calibri"/>
                <w:sz w:val="20"/>
                <w:szCs w:val="20"/>
              </w:rPr>
              <w:t>%</w:t>
            </w:r>
          </w:p>
        </w:tc>
        <w:tc>
          <w:tcPr>
            <w:tcW w:w="805" w:type="dxa"/>
            <w:tcBorders>
              <w:top w:val="nil"/>
              <w:left w:val="single" w:sz="4" w:space="0" w:color="auto"/>
              <w:bottom w:val="single" w:sz="4" w:space="0" w:color="auto"/>
              <w:right w:val="single" w:sz="4" w:space="0" w:color="auto"/>
            </w:tcBorders>
            <w:shd w:val="clear" w:color="000000" w:fill="FFFFFF"/>
            <w:vAlign w:val="center"/>
            <w:hideMark/>
          </w:tcPr>
          <w:p w14:paraId="466BAF51" w14:textId="61F79BB1" w:rsidR="00991194" w:rsidRPr="0053555E" w:rsidRDefault="00991194" w:rsidP="00991194">
            <w:pPr>
              <w:jc w:val="center"/>
              <w:rPr>
                <w:rFonts w:asciiTheme="majorHAnsi" w:hAnsiTheme="majorHAnsi" w:cstheme="majorHAnsi"/>
                <w:sz w:val="20"/>
                <w:szCs w:val="20"/>
              </w:rPr>
            </w:pPr>
            <w:r w:rsidRPr="0053555E">
              <w:rPr>
                <w:rFonts w:cs="Calibri"/>
                <w:sz w:val="20"/>
                <w:szCs w:val="20"/>
              </w:rPr>
              <w:t>22</w:t>
            </w:r>
          </w:p>
        </w:tc>
        <w:tc>
          <w:tcPr>
            <w:tcW w:w="805" w:type="dxa"/>
            <w:tcBorders>
              <w:top w:val="single" w:sz="4" w:space="0" w:color="auto"/>
              <w:left w:val="nil"/>
              <w:bottom w:val="single" w:sz="4" w:space="0" w:color="auto"/>
              <w:right w:val="single" w:sz="4" w:space="0" w:color="auto"/>
            </w:tcBorders>
            <w:shd w:val="clear" w:color="auto" w:fill="EEECE1" w:themeFill="background2"/>
            <w:vAlign w:val="center"/>
          </w:tcPr>
          <w:p w14:paraId="2C3196A3" w14:textId="6A9CEECD" w:rsidR="00991194" w:rsidRPr="0053555E" w:rsidRDefault="00991194" w:rsidP="00991194">
            <w:pPr>
              <w:jc w:val="center"/>
              <w:rPr>
                <w:rFonts w:asciiTheme="majorHAnsi" w:hAnsiTheme="majorHAnsi" w:cstheme="majorHAnsi"/>
                <w:b/>
                <w:sz w:val="20"/>
                <w:szCs w:val="20"/>
              </w:rPr>
            </w:pPr>
            <w:r w:rsidRPr="0053555E">
              <w:rPr>
                <w:rFonts w:cs="Calibri"/>
                <w:sz w:val="20"/>
                <w:szCs w:val="20"/>
              </w:rPr>
              <w:t>9</w:t>
            </w:r>
            <w:r w:rsidR="007D2399" w:rsidRPr="0053555E">
              <w:rPr>
                <w:rFonts w:cs="Calibri"/>
                <w:sz w:val="20"/>
                <w:szCs w:val="20"/>
              </w:rPr>
              <w:t xml:space="preserve"> </w:t>
            </w:r>
            <w:r w:rsidRPr="0053555E">
              <w:rPr>
                <w:rFonts w:cs="Calibri"/>
                <w:sz w:val="20"/>
                <w:szCs w:val="20"/>
              </w:rPr>
              <w:t>%</w:t>
            </w:r>
          </w:p>
        </w:tc>
        <w:tc>
          <w:tcPr>
            <w:tcW w:w="696" w:type="dxa"/>
            <w:tcBorders>
              <w:top w:val="nil"/>
              <w:left w:val="single" w:sz="4" w:space="0" w:color="auto"/>
              <w:bottom w:val="single" w:sz="4" w:space="0" w:color="auto"/>
              <w:right w:val="single" w:sz="8" w:space="0" w:color="auto"/>
            </w:tcBorders>
            <w:shd w:val="clear" w:color="000000" w:fill="FFFFFF"/>
            <w:vAlign w:val="center"/>
            <w:hideMark/>
          </w:tcPr>
          <w:p w14:paraId="056CA763" w14:textId="58139A95" w:rsidR="00991194" w:rsidRPr="0053555E" w:rsidRDefault="00991194" w:rsidP="00991194">
            <w:pPr>
              <w:jc w:val="center"/>
              <w:rPr>
                <w:rFonts w:asciiTheme="majorHAnsi" w:hAnsiTheme="majorHAnsi" w:cstheme="majorHAnsi"/>
                <w:sz w:val="20"/>
                <w:szCs w:val="20"/>
              </w:rPr>
            </w:pPr>
            <w:r w:rsidRPr="0053555E">
              <w:rPr>
                <w:rFonts w:cs="Calibri"/>
                <w:sz w:val="20"/>
                <w:szCs w:val="20"/>
              </w:rPr>
              <w:t>745</w:t>
            </w:r>
          </w:p>
        </w:tc>
      </w:tr>
      <w:tr w:rsidR="00991194" w:rsidRPr="0053555E" w14:paraId="21F9E63C" w14:textId="77777777" w:rsidTr="00FE3BEF">
        <w:trPr>
          <w:trHeight w:val="20"/>
        </w:trPr>
        <w:tc>
          <w:tcPr>
            <w:tcW w:w="673" w:type="dxa"/>
            <w:tcBorders>
              <w:top w:val="nil"/>
              <w:left w:val="single" w:sz="4" w:space="0" w:color="auto"/>
              <w:bottom w:val="single" w:sz="4" w:space="0" w:color="auto"/>
              <w:right w:val="single" w:sz="4" w:space="0" w:color="auto"/>
            </w:tcBorders>
            <w:shd w:val="clear" w:color="000000" w:fill="FFFFFF"/>
            <w:vAlign w:val="center"/>
            <w:hideMark/>
          </w:tcPr>
          <w:p w14:paraId="1C3CCE2A" w14:textId="77777777" w:rsidR="00991194" w:rsidRPr="0053555E" w:rsidRDefault="00991194" w:rsidP="00991194">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FAD</w:t>
            </w:r>
          </w:p>
        </w:tc>
        <w:tc>
          <w:tcPr>
            <w:tcW w:w="812" w:type="dxa"/>
            <w:tcBorders>
              <w:top w:val="nil"/>
              <w:left w:val="nil"/>
              <w:bottom w:val="single" w:sz="4" w:space="0" w:color="auto"/>
              <w:right w:val="single" w:sz="4" w:space="0" w:color="auto"/>
            </w:tcBorders>
            <w:shd w:val="clear" w:color="000000" w:fill="FFFFFF"/>
            <w:vAlign w:val="center"/>
            <w:hideMark/>
          </w:tcPr>
          <w:p w14:paraId="63BDF494" w14:textId="392CD731" w:rsidR="00991194" w:rsidRPr="0053555E" w:rsidRDefault="00991194" w:rsidP="00991194">
            <w:pPr>
              <w:jc w:val="center"/>
              <w:rPr>
                <w:rFonts w:asciiTheme="majorHAnsi" w:hAnsiTheme="majorHAnsi" w:cstheme="majorHAnsi"/>
                <w:sz w:val="20"/>
                <w:szCs w:val="20"/>
              </w:rPr>
            </w:pPr>
            <w:r w:rsidRPr="0053555E">
              <w:rPr>
                <w:rFonts w:cs="Calibri"/>
                <w:sz w:val="20"/>
                <w:szCs w:val="20"/>
              </w:rPr>
              <w:t>151</w:t>
            </w:r>
          </w:p>
        </w:tc>
        <w:tc>
          <w:tcPr>
            <w:tcW w:w="723" w:type="dxa"/>
            <w:tcBorders>
              <w:top w:val="nil"/>
              <w:left w:val="nil"/>
              <w:bottom w:val="single" w:sz="4" w:space="0" w:color="auto"/>
              <w:right w:val="single" w:sz="4" w:space="0" w:color="auto"/>
            </w:tcBorders>
            <w:shd w:val="clear" w:color="auto" w:fill="auto"/>
            <w:vAlign w:val="center"/>
            <w:hideMark/>
          </w:tcPr>
          <w:p w14:paraId="095CAB02" w14:textId="595D907E" w:rsidR="00991194" w:rsidRPr="0053555E" w:rsidRDefault="00991194" w:rsidP="00991194">
            <w:pPr>
              <w:jc w:val="center"/>
              <w:rPr>
                <w:rFonts w:asciiTheme="majorHAnsi" w:hAnsiTheme="majorHAnsi" w:cstheme="majorHAnsi"/>
                <w:sz w:val="20"/>
                <w:szCs w:val="20"/>
              </w:rPr>
            </w:pPr>
            <w:r w:rsidRPr="0053555E">
              <w:rPr>
                <w:rFonts w:cs="Calibri"/>
                <w:sz w:val="20"/>
                <w:szCs w:val="20"/>
              </w:rPr>
              <w:t>8%</w:t>
            </w:r>
          </w:p>
        </w:tc>
        <w:tc>
          <w:tcPr>
            <w:tcW w:w="851" w:type="dxa"/>
            <w:tcBorders>
              <w:top w:val="nil"/>
              <w:left w:val="nil"/>
              <w:bottom w:val="single" w:sz="4" w:space="0" w:color="auto"/>
              <w:right w:val="single" w:sz="4" w:space="0" w:color="auto"/>
            </w:tcBorders>
            <w:shd w:val="clear" w:color="auto" w:fill="auto"/>
            <w:vAlign w:val="center"/>
            <w:hideMark/>
          </w:tcPr>
          <w:p w14:paraId="43192C04" w14:textId="5AF6A367" w:rsidR="00991194" w:rsidRPr="0053555E" w:rsidRDefault="00991194" w:rsidP="00991194">
            <w:pPr>
              <w:jc w:val="center"/>
              <w:rPr>
                <w:rFonts w:asciiTheme="majorHAnsi" w:hAnsiTheme="majorHAnsi" w:cstheme="majorHAnsi"/>
                <w:sz w:val="20"/>
                <w:szCs w:val="20"/>
              </w:rPr>
            </w:pPr>
            <w:r w:rsidRPr="0053555E">
              <w:rPr>
                <w:rFonts w:cs="Calibri"/>
                <w:sz w:val="20"/>
                <w:szCs w:val="20"/>
              </w:rPr>
              <w:t>7%</w:t>
            </w:r>
          </w:p>
        </w:tc>
        <w:tc>
          <w:tcPr>
            <w:tcW w:w="850" w:type="dxa"/>
            <w:tcBorders>
              <w:top w:val="nil"/>
              <w:left w:val="nil"/>
              <w:bottom w:val="single" w:sz="4" w:space="0" w:color="auto"/>
              <w:right w:val="single" w:sz="4" w:space="0" w:color="auto"/>
            </w:tcBorders>
            <w:shd w:val="clear" w:color="auto" w:fill="EEECE1" w:themeFill="background2"/>
            <w:vAlign w:val="center"/>
            <w:hideMark/>
          </w:tcPr>
          <w:p w14:paraId="37BA6973" w14:textId="0FB9BE44" w:rsidR="00991194" w:rsidRPr="0053555E" w:rsidRDefault="00991194" w:rsidP="00991194">
            <w:pPr>
              <w:jc w:val="center"/>
              <w:rPr>
                <w:rFonts w:asciiTheme="majorHAnsi" w:hAnsiTheme="majorHAnsi" w:cstheme="majorHAnsi"/>
                <w:b/>
                <w:sz w:val="20"/>
                <w:szCs w:val="20"/>
              </w:rPr>
            </w:pPr>
            <w:r w:rsidRPr="0053555E">
              <w:rPr>
                <w:rFonts w:cs="Calibri"/>
                <w:sz w:val="20"/>
                <w:szCs w:val="20"/>
              </w:rPr>
              <w:t>15</w:t>
            </w:r>
            <w:r w:rsidR="00435863" w:rsidRPr="0053555E">
              <w:rPr>
                <w:rFonts w:cs="Calibri"/>
                <w:sz w:val="20"/>
                <w:szCs w:val="20"/>
              </w:rPr>
              <w:t xml:space="preserve"> </w:t>
            </w:r>
            <w:r w:rsidRPr="0053555E">
              <w:rPr>
                <w:rFonts w:cs="Calibri"/>
                <w:sz w:val="20"/>
                <w:szCs w:val="20"/>
              </w:rPr>
              <w:t>%</w:t>
            </w:r>
          </w:p>
        </w:tc>
        <w:tc>
          <w:tcPr>
            <w:tcW w:w="804" w:type="dxa"/>
            <w:tcBorders>
              <w:top w:val="nil"/>
              <w:left w:val="nil"/>
              <w:bottom w:val="single" w:sz="4" w:space="0" w:color="auto"/>
              <w:right w:val="single" w:sz="4" w:space="0" w:color="auto"/>
            </w:tcBorders>
            <w:shd w:val="clear" w:color="000000" w:fill="FFFFFF"/>
            <w:vAlign w:val="center"/>
            <w:hideMark/>
          </w:tcPr>
          <w:p w14:paraId="056C2C02" w14:textId="226059DE" w:rsidR="00991194" w:rsidRPr="0053555E" w:rsidRDefault="00991194" w:rsidP="00991194">
            <w:pPr>
              <w:jc w:val="center"/>
              <w:rPr>
                <w:rFonts w:asciiTheme="majorHAnsi" w:hAnsiTheme="majorHAnsi" w:cstheme="majorHAnsi"/>
                <w:sz w:val="20"/>
                <w:szCs w:val="20"/>
              </w:rPr>
            </w:pPr>
            <w:r w:rsidRPr="0053555E">
              <w:rPr>
                <w:rFonts w:cs="Calibri"/>
                <w:sz w:val="20"/>
                <w:szCs w:val="20"/>
              </w:rPr>
              <w:t>191</w:t>
            </w:r>
          </w:p>
        </w:tc>
        <w:tc>
          <w:tcPr>
            <w:tcW w:w="805" w:type="dxa"/>
            <w:tcBorders>
              <w:top w:val="nil"/>
              <w:left w:val="nil"/>
              <w:bottom w:val="single" w:sz="4" w:space="0" w:color="auto"/>
              <w:right w:val="single" w:sz="4" w:space="0" w:color="auto"/>
            </w:tcBorders>
            <w:shd w:val="clear" w:color="auto" w:fill="EEECE1" w:themeFill="background2"/>
            <w:vAlign w:val="center"/>
            <w:hideMark/>
          </w:tcPr>
          <w:p w14:paraId="21E10A4A" w14:textId="67430C64" w:rsidR="00991194" w:rsidRPr="0053555E" w:rsidRDefault="00991194" w:rsidP="00991194">
            <w:pPr>
              <w:jc w:val="center"/>
              <w:rPr>
                <w:rFonts w:asciiTheme="majorHAnsi" w:hAnsiTheme="majorHAnsi" w:cstheme="majorHAnsi"/>
                <w:b/>
                <w:sz w:val="20"/>
                <w:szCs w:val="20"/>
              </w:rPr>
            </w:pPr>
            <w:r w:rsidRPr="0053555E">
              <w:rPr>
                <w:rFonts w:cs="Calibri"/>
                <w:sz w:val="20"/>
                <w:szCs w:val="20"/>
              </w:rPr>
              <w:t>7</w:t>
            </w:r>
            <w:r w:rsidR="00435863" w:rsidRPr="0053555E">
              <w:rPr>
                <w:rFonts w:cs="Calibri"/>
                <w:sz w:val="20"/>
                <w:szCs w:val="20"/>
              </w:rPr>
              <w:t xml:space="preserve"> </w:t>
            </w:r>
            <w:r w:rsidRPr="0053555E">
              <w:rPr>
                <w:rFonts w:cs="Calibri"/>
                <w:sz w:val="20"/>
                <w:szCs w:val="20"/>
              </w:rPr>
              <w:t>%</w:t>
            </w:r>
          </w:p>
        </w:tc>
        <w:tc>
          <w:tcPr>
            <w:tcW w:w="805" w:type="dxa"/>
            <w:tcBorders>
              <w:top w:val="nil"/>
              <w:left w:val="nil"/>
              <w:bottom w:val="single" w:sz="4" w:space="0" w:color="auto"/>
              <w:right w:val="single" w:sz="4" w:space="0" w:color="auto"/>
            </w:tcBorders>
            <w:shd w:val="clear" w:color="000000" w:fill="FFFFFF"/>
            <w:vAlign w:val="center"/>
            <w:hideMark/>
          </w:tcPr>
          <w:p w14:paraId="51549040" w14:textId="3E6D4BE6" w:rsidR="00991194" w:rsidRPr="0053555E" w:rsidRDefault="00991194" w:rsidP="00991194">
            <w:pPr>
              <w:jc w:val="center"/>
              <w:rPr>
                <w:rFonts w:asciiTheme="majorHAnsi" w:hAnsiTheme="majorHAnsi" w:cstheme="majorHAnsi"/>
                <w:sz w:val="20"/>
                <w:szCs w:val="20"/>
              </w:rPr>
            </w:pPr>
            <w:r w:rsidRPr="0053555E">
              <w:rPr>
                <w:rFonts w:cs="Calibri"/>
                <w:sz w:val="20"/>
                <w:szCs w:val="20"/>
              </w:rPr>
              <w:t>146</w:t>
            </w:r>
          </w:p>
        </w:tc>
        <w:tc>
          <w:tcPr>
            <w:tcW w:w="804" w:type="dxa"/>
            <w:tcBorders>
              <w:top w:val="single" w:sz="4" w:space="0" w:color="auto"/>
              <w:left w:val="nil"/>
              <w:bottom w:val="single" w:sz="4" w:space="0" w:color="auto"/>
              <w:right w:val="single" w:sz="4" w:space="0" w:color="auto"/>
            </w:tcBorders>
            <w:shd w:val="clear" w:color="auto" w:fill="EEECE1" w:themeFill="background2"/>
            <w:vAlign w:val="center"/>
          </w:tcPr>
          <w:p w14:paraId="342EB926" w14:textId="073175C4" w:rsidR="00991194" w:rsidRPr="0053555E" w:rsidRDefault="00991194" w:rsidP="00991194">
            <w:pPr>
              <w:jc w:val="center"/>
              <w:rPr>
                <w:rFonts w:asciiTheme="majorHAnsi" w:hAnsiTheme="majorHAnsi" w:cstheme="majorHAnsi"/>
                <w:b/>
                <w:sz w:val="20"/>
                <w:szCs w:val="20"/>
              </w:rPr>
            </w:pPr>
            <w:r w:rsidRPr="0053555E">
              <w:rPr>
                <w:rFonts w:cs="Calibri"/>
                <w:sz w:val="20"/>
                <w:szCs w:val="20"/>
              </w:rPr>
              <w:t>2</w:t>
            </w:r>
            <w:r w:rsidR="007D2399" w:rsidRPr="0053555E">
              <w:rPr>
                <w:rFonts w:cs="Calibri"/>
                <w:sz w:val="20"/>
                <w:szCs w:val="20"/>
              </w:rPr>
              <w:t xml:space="preserve"> </w:t>
            </w:r>
            <w:r w:rsidRPr="0053555E">
              <w:rPr>
                <w:rFonts w:cs="Calibri"/>
                <w:sz w:val="20"/>
                <w:szCs w:val="20"/>
              </w:rPr>
              <w:t>%</w:t>
            </w:r>
          </w:p>
        </w:tc>
        <w:tc>
          <w:tcPr>
            <w:tcW w:w="805" w:type="dxa"/>
            <w:tcBorders>
              <w:top w:val="nil"/>
              <w:left w:val="single" w:sz="4" w:space="0" w:color="auto"/>
              <w:bottom w:val="single" w:sz="4" w:space="0" w:color="auto"/>
              <w:right w:val="single" w:sz="4" w:space="0" w:color="auto"/>
            </w:tcBorders>
            <w:shd w:val="clear" w:color="000000" w:fill="FFFFFF"/>
            <w:vAlign w:val="center"/>
            <w:hideMark/>
          </w:tcPr>
          <w:p w14:paraId="7F81AEBB" w14:textId="12B98E33" w:rsidR="00991194" w:rsidRPr="0053555E" w:rsidRDefault="00991194" w:rsidP="00991194">
            <w:pPr>
              <w:jc w:val="center"/>
              <w:rPr>
                <w:rFonts w:asciiTheme="majorHAnsi" w:hAnsiTheme="majorHAnsi" w:cstheme="majorHAnsi"/>
                <w:sz w:val="20"/>
                <w:szCs w:val="20"/>
              </w:rPr>
            </w:pPr>
            <w:r w:rsidRPr="0053555E">
              <w:rPr>
                <w:rFonts w:cs="Calibri"/>
                <w:sz w:val="20"/>
                <w:szCs w:val="20"/>
              </w:rPr>
              <w:t>138</w:t>
            </w:r>
          </w:p>
        </w:tc>
        <w:tc>
          <w:tcPr>
            <w:tcW w:w="805" w:type="dxa"/>
            <w:tcBorders>
              <w:top w:val="single" w:sz="4" w:space="0" w:color="auto"/>
              <w:left w:val="nil"/>
              <w:bottom w:val="single" w:sz="4" w:space="0" w:color="auto"/>
              <w:right w:val="single" w:sz="4" w:space="0" w:color="auto"/>
            </w:tcBorders>
            <w:shd w:val="clear" w:color="auto" w:fill="EEECE1" w:themeFill="background2"/>
            <w:vAlign w:val="center"/>
          </w:tcPr>
          <w:p w14:paraId="2D194A86" w14:textId="21822B75" w:rsidR="00991194" w:rsidRPr="0053555E" w:rsidRDefault="00991194" w:rsidP="00991194">
            <w:pPr>
              <w:jc w:val="center"/>
              <w:rPr>
                <w:rFonts w:asciiTheme="majorHAnsi" w:hAnsiTheme="majorHAnsi" w:cstheme="majorHAnsi"/>
                <w:b/>
                <w:sz w:val="20"/>
                <w:szCs w:val="20"/>
              </w:rPr>
            </w:pPr>
            <w:r w:rsidRPr="0053555E">
              <w:rPr>
                <w:rFonts w:cs="Calibri"/>
                <w:sz w:val="20"/>
                <w:szCs w:val="20"/>
              </w:rPr>
              <w:t>0</w:t>
            </w:r>
            <w:r w:rsidR="007D2399" w:rsidRPr="0053555E">
              <w:rPr>
                <w:rFonts w:cs="Calibri"/>
                <w:sz w:val="20"/>
                <w:szCs w:val="20"/>
              </w:rPr>
              <w:t xml:space="preserve"> </w:t>
            </w:r>
            <w:r w:rsidRPr="0053555E">
              <w:rPr>
                <w:rFonts w:cs="Calibri"/>
                <w:sz w:val="20"/>
                <w:szCs w:val="20"/>
              </w:rPr>
              <w:t>%</w:t>
            </w:r>
          </w:p>
        </w:tc>
        <w:tc>
          <w:tcPr>
            <w:tcW w:w="696" w:type="dxa"/>
            <w:tcBorders>
              <w:top w:val="nil"/>
              <w:left w:val="single" w:sz="4" w:space="0" w:color="auto"/>
              <w:bottom w:val="single" w:sz="4" w:space="0" w:color="auto"/>
              <w:right w:val="single" w:sz="8" w:space="0" w:color="auto"/>
            </w:tcBorders>
            <w:shd w:val="clear" w:color="000000" w:fill="FFFFFF"/>
            <w:vAlign w:val="center"/>
            <w:hideMark/>
          </w:tcPr>
          <w:p w14:paraId="3E4CC3A2" w14:textId="66D6BE3A" w:rsidR="00991194" w:rsidRPr="0053555E" w:rsidRDefault="00991194" w:rsidP="00991194">
            <w:pPr>
              <w:jc w:val="center"/>
              <w:rPr>
                <w:rFonts w:asciiTheme="majorHAnsi" w:hAnsiTheme="majorHAnsi" w:cstheme="majorHAnsi"/>
                <w:sz w:val="20"/>
                <w:szCs w:val="20"/>
              </w:rPr>
            </w:pPr>
            <w:r w:rsidRPr="0053555E">
              <w:rPr>
                <w:rFonts w:cs="Calibri"/>
                <w:sz w:val="20"/>
                <w:szCs w:val="20"/>
              </w:rPr>
              <w:t>626</w:t>
            </w:r>
          </w:p>
        </w:tc>
      </w:tr>
      <w:tr w:rsidR="00991194" w:rsidRPr="0053555E" w14:paraId="69F69FAC" w14:textId="77777777" w:rsidTr="00FE3BEF">
        <w:trPr>
          <w:trHeight w:val="20"/>
        </w:trPr>
        <w:tc>
          <w:tcPr>
            <w:tcW w:w="673" w:type="dxa"/>
            <w:tcBorders>
              <w:top w:val="nil"/>
              <w:left w:val="single" w:sz="4" w:space="0" w:color="auto"/>
              <w:bottom w:val="single" w:sz="4" w:space="0" w:color="auto"/>
              <w:right w:val="single" w:sz="4" w:space="0" w:color="auto"/>
            </w:tcBorders>
            <w:shd w:val="clear" w:color="000000" w:fill="FFFFFF"/>
            <w:vAlign w:val="center"/>
            <w:hideMark/>
          </w:tcPr>
          <w:p w14:paraId="0B02511C" w14:textId="77777777" w:rsidR="00991194" w:rsidRPr="0053555E" w:rsidRDefault="00991194" w:rsidP="00991194">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MTF</w:t>
            </w:r>
          </w:p>
        </w:tc>
        <w:tc>
          <w:tcPr>
            <w:tcW w:w="812" w:type="dxa"/>
            <w:tcBorders>
              <w:top w:val="nil"/>
              <w:left w:val="nil"/>
              <w:bottom w:val="single" w:sz="4" w:space="0" w:color="auto"/>
              <w:right w:val="single" w:sz="4" w:space="0" w:color="auto"/>
            </w:tcBorders>
            <w:shd w:val="clear" w:color="auto" w:fill="auto"/>
            <w:vAlign w:val="center"/>
            <w:hideMark/>
          </w:tcPr>
          <w:p w14:paraId="72EE5352" w14:textId="31B5F16B" w:rsidR="00991194" w:rsidRPr="0053555E" w:rsidRDefault="00991194" w:rsidP="00991194">
            <w:pPr>
              <w:jc w:val="center"/>
              <w:rPr>
                <w:rFonts w:asciiTheme="majorHAnsi" w:hAnsiTheme="majorHAnsi" w:cstheme="majorHAnsi"/>
                <w:sz w:val="20"/>
                <w:szCs w:val="20"/>
              </w:rPr>
            </w:pPr>
            <w:r w:rsidRPr="0053555E">
              <w:rPr>
                <w:rFonts w:cs="Calibri"/>
                <w:sz w:val="20"/>
                <w:szCs w:val="20"/>
              </w:rPr>
              <w:t>375</w:t>
            </w:r>
          </w:p>
        </w:tc>
        <w:tc>
          <w:tcPr>
            <w:tcW w:w="723" w:type="dxa"/>
            <w:tcBorders>
              <w:top w:val="nil"/>
              <w:left w:val="nil"/>
              <w:bottom w:val="single" w:sz="4" w:space="0" w:color="auto"/>
              <w:right w:val="single" w:sz="4" w:space="0" w:color="auto"/>
            </w:tcBorders>
            <w:shd w:val="clear" w:color="auto" w:fill="auto"/>
            <w:vAlign w:val="center"/>
            <w:hideMark/>
          </w:tcPr>
          <w:p w14:paraId="3BFF5AD0" w14:textId="65EE4253" w:rsidR="00991194" w:rsidRPr="0053555E" w:rsidRDefault="00991194" w:rsidP="00991194">
            <w:pPr>
              <w:jc w:val="center"/>
              <w:rPr>
                <w:rFonts w:asciiTheme="majorHAnsi" w:hAnsiTheme="majorHAnsi" w:cstheme="majorHAnsi"/>
                <w:sz w:val="20"/>
                <w:szCs w:val="20"/>
              </w:rPr>
            </w:pPr>
            <w:r w:rsidRPr="0053555E">
              <w:rPr>
                <w:rFonts w:cs="Calibri"/>
                <w:sz w:val="20"/>
                <w:szCs w:val="20"/>
              </w:rPr>
              <w:t>26%</w:t>
            </w:r>
          </w:p>
        </w:tc>
        <w:tc>
          <w:tcPr>
            <w:tcW w:w="851" w:type="dxa"/>
            <w:tcBorders>
              <w:top w:val="nil"/>
              <w:left w:val="nil"/>
              <w:bottom w:val="single" w:sz="4" w:space="0" w:color="auto"/>
              <w:right w:val="single" w:sz="4" w:space="0" w:color="auto"/>
            </w:tcBorders>
            <w:shd w:val="clear" w:color="auto" w:fill="auto"/>
            <w:vAlign w:val="center"/>
            <w:hideMark/>
          </w:tcPr>
          <w:p w14:paraId="4E4BB84D" w14:textId="641D9540" w:rsidR="00991194" w:rsidRPr="0053555E" w:rsidRDefault="00991194" w:rsidP="00991194">
            <w:pPr>
              <w:jc w:val="center"/>
              <w:rPr>
                <w:rFonts w:asciiTheme="majorHAnsi" w:hAnsiTheme="majorHAnsi" w:cstheme="majorHAnsi"/>
                <w:sz w:val="20"/>
                <w:szCs w:val="20"/>
              </w:rPr>
            </w:pPr>
            <w:r w:rsidRPr="0053555E">
              <w:rPr>
                <w:rFonts w:cs="Calibri"/>
                <w:sz w:val="20"/>
                <w:szCs w:val="20"/>
              </w:rPr>
              <w:t>10%</w:t>
            </w:r>
          </w:p>
        </w:tc>
        <w:tc>
          <w:tcPr>
            <w:tcW w:w="850" w:type="dxa"/>
            <w:tcBorders>
              <w:top w:val="nil"/>
              <w:left w:val="nil"/>
              <w:bottom w:val="single" w:sz="4" w:space="0" w:color="auto"/>
              <w:right w:val="single" w:sz="4" w:space="0" w:color="auto"/>
            </w:tcBorders>
            <w:shd w:val="clear" w:color="auto" w:fill="EEECE1" w:themeFill="background2"/>
            <w:vAlign w:val="center"/>
            <w:hideMark/>
          </w:tcPr>
          <w:p w14:paraId="49EA3A8A" w14:textId="63C4FA96" w:rsidR="00991194" w:rsidRPr="0053555E" w:rsidRDefault="00991194" w:rsidP="00991194">
            <w:pPr>
              <w:jc w:val="center"/>
              <w:rPr>
                <w:rFonts w:asciiTheme="majorHAnsi" w:hAnsiTheme="majorHAnsi" w:cstheme="majorHAnsi"/>
                <w:b/>
                <w:sz w:val="20"/>
                <w:szCs w:val="20"/>
              </w:rPr>
            </w:pPr>
            <w:r w:rsidRPr="0053555E">
              <w:rPr>
                <w:rFonts w:cs="Calibri"/>
                <w:sz w:val="20"/>
                <w:szCs w:val="20"/>
              </w:rPr>
              <w:t>37</w:t>
            </w:r>
            <w:r w:rsidR="00435863" w:rsidRPr="0053555E">
              <w:rPr>
                <w:rFonts w:cs="Calibri"/>
                <w:sz w:val="20"/>
                <w:szCs w:val="20"/>
              </w:rPr>
              <w:t xml:space="preserve"> </w:t>
            </w:r>
            <w:r w:rsidRPr="0053555E">
              <w:rPr>
                <w:rFonts w:cs="Calibri"/>
                <w:sz w:val="20"/>
                <w:szCs w:val="20"/>
              </w:rPr>
              <w:t>%</w:t>
            </w:r>
          </w:p>
        </w:tc>
        <w:tc>
          <w:tcPr>
            <w:tcW w:w="804" w:type="dxa"/>
            <w:tcBorders>
              <w:top w:val="nil"/>
              <w:left w:val="nil"/>
              <w:bottom w:val="single" w:sz="4" w:space="0" w:color="auto"/>
              <w:right w:val="single" w:sz="4" w:space="0" w:color="auto"/>
            </w:tcBorders>
            <w:shd w:val="clear" w:color="auto" w:fill="auto"/>
            <w:vAlign w:val="center"/>
            <w:hideMark/>
          </w:tcPr>
          <w:p w14:paraId="39D48E6F" w14:textId="18F9DA9B" w:rsidR="00991194" w:rsidRPr="0053555E" w:rsidRDefault="00991194" w:rsidP="00991194">
            <w:pPr>
              <w:jc w:val="center"/>
              <w:rPr>
                <w:rFonts w:asciiTheme="majorHAnsi" w:hAnsiTheme="majorHAnsi" w:cstheme="majorHAnsi"/>
                <w:sz w:val="20"/>
                <w:szCs w:val="20"/>
              </w:rPr>
            </w:pPr>
            <w:r w:rsidRPr="0053555E">
              <w:rPr>
                <w:rFonts w:cs="Calibri"/>
                <w:sz w:val="20"/>
                <w:szCs w:val="20"/>
              </w:rPr>
              <w:t>285</w:t>
            </w:r>
          </w:p>
        </w:tc>
        <w:tc>
          <w:tcPr>
            <w:tcW w:w="805" w:type="dxa"/>
            <w:tcBorders>
              <w:top w:val="nil"/>
              <w:left w:val="nil"/>
              <w:bottom w:val="single" w:sz="4" w:space="0" w:color="auto"/>
              <w:right w:val="single" w:sz="4" w:space="0" w:color="auto"/>
            </w:tcBorders>
            <w:shd w:val="clear" w:color="auto" w:fill="EEECE1" w:themeFill="background2"/>
            <w:vAlign w:val="center"/>
            <w:hideMark/>
          </w:tcPr>
          <w:p w14:paraId="2A690B0C" w14:textId="123F443A" w:rsidR="00991194" w:rsidRPr="0053555E" w:rsidRDefault="00991194" w:rsidP="00991194">
            <w:pPr>
              <w:jc w:val="center"/>
              <w:rPr>
                <w:rFonts w:asciiTheme="majorHAnsi" w:hAnsiTheme="majorHAnsi" w:cstheme="majorHAnsi"/>
                <w:b/>
                <w:sz w:val="20"/>
                <w:szCs w:val="20"/>
              </w:rPr>
            </w:pPr>
            <w:r w:rsidRPr="0053555E">
              <w:rPr>
                <w:rFonts w:cs="Calibri"/>
                <w:sz w:val="20"/>
                <w:szCs w:val="20"/>
              </w:rPr>
              <w:t>20</w:t>
            </w:r>
            <w:r w:rsidR="00435863" w:rsidRPr="0053555E">
              <w:rPr>
                <w:rFonts w:cs="Calibri"/>
                <w:sz w:val="20"/>
                <w:szCs w:val="20"/>
              </w:rPr>
              <w:t xml:space="preserve"> </w:t>
            </w:r>
            <w:r w:rsidRPr="0053555E">
              <w:rPr>
                <w:rFonts w:cs="Calibri"/>
                <w:sz w:val="20"/>
                <w:szCs w:val="20"/>
              </w:rPr>
              <w:t>%</w:t>
            </w:r>
          </w:p>
        </w:tc>
        <w:tc>
          <w:tcPr>
            <w:tcW w:w="805" w:type="dxa"/>
            <w:tcBorders>
              <w:top w:val="nil"/>
              <w:left w:val="nil"/>
              <w:bottom w:val="single" w:sz="4" w:space="0" w:color="auto"/>
              <w:right w:val="single" w:sz="4" w:space="0" w:color="auto"/>
            </w:tcBorders>
            <w:shd w:val="clear" w:color="auto" w:fill="auto"/>
            <w:vAlign w:val="center"/>
            <w:hideMark/>
          </w:tcPr>
          <w:p w14:paraId="1AD99338" w14:textId="078EA28C" w:rsidR="00991194" w:rsidRPr="0053555E" w:rsidRDefault="00991194" w:rsidP="00991194">
            <w:pPr>
              <w:jc w:val="center"/>
              <w:rPr>
                <w:rFonts w:asciiTheme="majorHAnsi" w:hAnsiTheme="majorHAnsi" w:cstheme="majorHAnsi"/>
                <w:sz w:val="20"/>
                <w:szCs w:val="20"/>
              </w:rPr>
            </w:pPr>
            <w:r w:rsidRPr="0053555E">
              <w:rPr>
                <w:rFonts w:cs="Calibri"/>
                <w:sz w:val="20"/>
                <w:szCs w:val="20"/>
              </w:rPr>
              <w:t>319</w:t>
            </w:r>
          </w:p>
        </w:tc>
        <w:tc>
          <w:tcPr>
            <w:tcW w:w="804" w:type="dxa"/>
            <w:tcBorders>
              <w:top w:val="single" w:sz="4" w:space="0" w:color="auto"/>
              <w:left w:val="nil"/>
              <w:bottom w:val="single" w:sz="4" w:space="0" w:color="auto"/>
              <w:right w:val="single" w:sz="4" w:space="0" w:color="auto"/>
            </w:tcBorders>
            <w:shd w:val="clear" w:color="auto" w:fill="EEECE1" w:themeFill="background2"/>
            <w:vAlign w:val="center"/>
          </w:tcPr>
          <w:p w14:paraId="27F1863D" w14:textId="0F7FA092" w:rsidR="00991194" w:rsidRPr="0053555E" w:rsidRDefault="00991194" w:rsidP="00991194">
            <w:pPr>
              <w:jc w:val="center"/>
              <w:rPr>
                <w:rFonts w:asciiTheme="majorHAnsi" w:hAnsiTheme="majorHAnsi" w:cstheme="majorHAnsi"/>
                <w:b/>
                <w:sz w:val="20"/>
                <w:szCs w:val="20"/>
              </w:rPr>
            </w:pPr>
            <w:r w:rsidRPr="0053555E">
              <w:rPr>
                <w:rFonts w:cs="Calibri"/>
                <w:sz w:val="20"/>
                <w:szCs w:val="20"/>
              </w:rPr>
              <w:t>15</w:t>
            </w:r>
            <w:r w:rsidR="007D2399" w:rsidRPr="0053555E">
              <w:rPr>
                <w:rFonts w:cs="Calibri"/>
                <w:sz w:val="20"/>
                <w:szCs w:val="20"/>
              </w:rPr>
              <w:t xml:space="preserve"> </w:t>
            </w:r>
            <w:r w:rsidRPr="0053555E">
              <w:rPr>
                <w:rFonts w:cs="Calibri"/>
                <w:sz w:val="20"/>
                <w:szCs w:val="20"/>
              </w:rPr>
              <w:t>%</w:t>
            </w:r>
          </w:p>
        </w:tc>
        <w:tc>
          <w:tcPr>
            <w:tcW w:w="805" w:type="dxa"/>
            <w:tcBorders>
              <w:top w:val="nil"/>
              <w:left w:val="single" w:sz="4" w:space="0" w:color="auto"/>
              <w:bottom w:val="single" w:sz="4" w:space="0" w:color="auto"/>
              <w:right w:val="single" w:sz="4" w:space="0" w:color="auto"/>
            </w:tcBorders>
            <w:shd w:val="clear" w:color="auto" w:fill="auto"/>
            <w:vAlign w:val="center"/>
            <w:hideMark/>
          </w:tcPr>
          <w:p w14:paraId="77B7A328" w14:textId="679C4968" w:rsidR="00991194" w:rsidRPr="0053555E" w:rsidRDefault="00991194" w:rsidP="00991194">
            <w:pPr>
              <w:jc w:val="center"/>
              <w:rPr>
                <w:rFonts w:asciiTheme="majorHAnsi" w:hAnsiTheme="majorHAnsi" w:cstheme="majorHAnsi"/>
                <w:sz w:val="20"/>
                <w:szCs w:val="20"/>
              </w:rPr>
            </w:pPr>
          </w:p>
        </w:tc>
        <w:tc>
          <w:tcPr>
            <w:tcW w:w="805" w:type="dxa"/>
            <w:tcBorders>
              <w:top w:val="single" w:sz="4" w:space="0" w:color="auto"/>
              <w:left w:val="nil"/>
              <w:bottom w:val="single" w:sz="4" w:space="0" w:color="auto"/>
              <w:right w:val="single" w:sz="4" w:space="0" w:color="auto"/>
            </w:tcBorders>
            <w:shd w:val="clear" w:color="auto" w:fill="EEECE1" w:themeFill="background2"/>
            <w:vAlign w:val="center"/>
          </w:tcPr>
          <w:p w14:paraId="5AFB1CEE" w14:textId="7536A027" w:rsidR="00991194" w:rsidRPr="0053555E" w:rsidRDefault="00991194" w:rsidP="00991194">
            <w:pPr>
              <w:jc w:val="center"/>
              <w:rPr>
                <w:rFonts w:asciiTheme="majorHAnsi" w:hAnsiTheme="majorHAnsi" w:cstheme="majorHAnsi"/>
                <w:b/>
                <w:sz w:val="20"/>
                <w:szCs w:val="20"/>
              </w:rPr>
            </w:pPr>
          </w:p>
        </w:tc>
        <w:tc>
          <w:tcPr>
            <w:tcW w:w="696" w:type="dxa"/>
            <w:tcBorders>
              <w:top w:val="nil"/>
              <w:left w:val="single" w:sz="4" w:space="0" w:color="auto"/>
              <w:bottom w:val="single" w:sz="4" w:space="0" w:color="auto"/>
              <w:right w:val="single" w:sz="8" w:space="0" w:color="auto"/>
            </w:tcBorders>
            <w:shd w:val="clear" w:color="auto" w:fill="auto"/>
            <w:vAlign w:val="center"/>
            <w:hideMark/>
          </w:tcPr>
          <w:p w14:paraId="6E91C9C6" w14:textId="2DF096C4" w:rsidR="00991194" w:rsidRPr="0053555E" w:rsidRDefault="00991194" w:rsidP="00991194">
            <w:pPr>
              <w:jc w:val="center"/>
              <w:rPr>
                <w:rFonts w:asciiTheme="majorHAnsi" w:hAnsiTheme="majorHAnsi" w:cstheme="majorHAnsi"/>
                <w:sz w:val="20"/>
                <w:szCs w:val="20"/>
              </w:rPr>
            </w:pPr>
            <w:r w:rsidRPr="0053555E">
              <w:rPr>
                <w:rFonts w:cs="Calibri"/>
                <w:sz w:val="20"/>
                <w:szCs w:val="20"/>
              </w:rPr>
              <w:t>979</w:t>
            </w:r>
          </w:p>
        </w:tc>
      </w:tr>
      <w:tr w:rsidR="00991194" w:rsidRPr="0053555E" w14:paraId="5E577C80" w14:textId="77777777" w:rsidTr="00FE3BEF">
        <w:trPr>
          <w:trHeight w:val="20"/>
        </w:trPr>
        <w:tc>
          <w:tcPr>
            <w:tcW w:w="673" w:type="dxa"/>
            <w:tcBorders>
              <w:top w:val="nil"/>
              <w:left w:val="single" w:sz="4" w:space="0" w:color="auto"/>
              <w:bottom w:val="single" w:sz="4" w:space="0" w:color="auto"/>
              <w:right w:val="single" w:sz="4" w:space="0" w:color="auto"/>
            </w:tcBorders>
            <w:shd w:val="clear" w:color="000000" w:fill="FFFFFF"/>
            <w:vAlign w:val="center"/>
            <w:hideMark/>
          </w:tcPr>
          <w:p w14:paraId="3558754F" w14:textId="77777777" w:rsidR="00991194" w:rsidRPr="0053555E" w:rsidRDefault="00991194" w:rsidP="00991194">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FIIT</w:t>
            </w:r>
          </w:p>
        </w:tc>
        <w:tc>
          <w:tcPr>
            <w:tcW w:w="812" w:type="dxa"/>
            <w:tcBorders>
              <w:top w:val="nil"/>
              <w:left w:val="nil"/>
              <w:bottom w:val="single" w:sz="4" w:space="0" w:color="auto"/>
              <w:right w:val="single" w:sz="4" w:space="0" w:color="auto"/>
            </w:tcBorders>
            <w:shd w:val="clear" w:color="000000" w:fill="FFFFFF"/>
            <w:vAlign w:val="center"/>
            <w:hideMark/>
          </w:tcPr>
          <w:p w14:paraId="1D9919CA" w14:textId="54D01D16" w:rsidR="00991194" w:rsidRPr="0053555E" w:rsidRDefault="00991194" w:rsidP="00991194">
            <w:pPr>
              <w:jc w:val="center"/>
              <w:rPr>
                <w:rFonts w:asciiTheme="majorHAnsi" w:hAnsiTheme="majorHAnsi" w:cstheme="majorHAnsi"/>
                <w:sz w:val="20"/>
                <w:szCs w:val="20"/>
              </w:rPr>
            </w:pPr>
            <w:r w:rsidRPr="0053555E">
              <w:rPr>
                <w:rFonts w:cs="Calibri"/>
                <w:sz w:val="20"/>
                <w:szCs w:val="20"/>
              </w:rPr>
              <w:t>282</w:t>
            </w:r>
          </w:p>
        </w:tc>
        <w:tc>
          <w:tcPr>
            <w:tcW w:w="723" w:type="dxa"/>
            <w:tcBorders>
              <w:top w:val="nil"/>
              <w:left w:val="nil"/>
              <w:bottom w:val="single" w:sz="4" w:space="0" w:color="auto"/>
              <w:right w:val="single" w:sz="4" w:space="0" w:color="auto"/>
            </w:tcBorders>
            <w:shd w:val="clear" w:color="auto" w:fill="auto"/>
            <w:vAlign w:val="center"/>
            <w:hideMark/>
          </w:tcPr>
          <w:p w14:paraId="157F15CE" w14:textId="369FBB50" w:rsidR="00991194" w:rsidRPr="0053555E" w:rsidRDefault="00991194" w:rsidP="00991194">
            <w:pPr>
              <w:jc w:val="center"/>
              <w:rPr>
                <w:rFonts w:asciiTheme="majorHAnsi" w:hAnsiTheme="majorHAnsi" w:cstheme="majorHAnsi"/>
                <w:sz w:val="20"/>
                <w:szCs w:val="20"/>
              </w:rPr>
            </w:pPr>
            <w:r w:rsidRPr="0053555E">
              <w:rPr>
                <w:rFonts w:cs="Calibri"/>
                <w:sz w:val="20"/>
                <w:szCs w:val="20"/>
              </w:rPr>
              <w:t>21%</w:t>
            </w:r>
          </w:p>
        </w:tc>
        <w:tc>
          <w:tcPr>
            <w:tcW w:w="851" w:type="dxa"/>
            <w:tcBorders>
              <w:top w:val="nil"/>
              <w:left w:val="nil"/>
              <w:bottom w:val="single" w:sz="4" w:space="0" w:color="auto"/>
              <w:right w:val="single" w:sz="4" w:space="0" w:color="auto"/>
            </w:tcBorders>
            <w:shd w:val="clear" w:color="auto" w:fill="auto"/>
            <w:vAlign w:val="center"/>
            <w:hideMark/>
          </w:tcPr>
          <w:p w14:paraId="477434E3" w14:textId="759AC14E" w:rsidR="00991194" w:rsidRPr="0053555E" w:rsidRDefault="00991194" w:rsidP="00991194">
            <w:pPr>
              <w:jc w:val="center"/>
              <w:rPr>
                <w:rFonts w:asciiTheme="majorHAnsi" w:hAnsiTheme="majorHAnsi" w:cstheme="majorHAnsi"/>
                <w:sz w:val="20"/>
                <w:szCs w:val="20"/>
              </w:rPr>
            </w:pPr>
            <w:r w:rsidRPr="0053555E">
              <w:rPr>
                <w:rFonts w:cs="Calibri"/>
                <w:sz w:val="20"/>
                <w:szCs w:val="20"/>
              </w:rPr>
              <w:t>11%</w:t>
            </w:r>
          </w:p>
        </w:tc>
        <w:tc>
          <w:tcPr>
            <w:tcW w:w="850" w:type="dxa"/>
            <w:tcBorders>
              <w:top w:val="nil"/>
              <w:left w:val="nil"/>
              <w:bottom w:val="single" w:sz="4" w:space="0" w:color="auto"/>
              <w:right w:val="single" w:sz="4" w:space="0" w:color="auto"/>
            </w:tcBorders>
            <w:shd w:val="clear" w:color="auto" w:fill="EEECE1" w:themeFill="background2"/>
            <w:vAlign w:val="center"/>
            <w:hideMark/>
          </w:tcPr>
          <w:p w14:paraId="501DB305" w14:textId="16CE3C10" w:rsidR="00991194" w:rsidRPr="0053555E" w:rsidRDefault="00991194" w:rsidP="00991194">
            <w:pPr>
              <w:jc w:val="center"/>
              <w:rPr>
                <w:rFonts w:asciiTheme="majorHAnsi" w:hAnsiTheme="majorHAnsi" w:cstheme="majorHAnsi"/>
                <w:b/>
                <w:sz w:val="20"/>
                <w:szCs w:val="20"/>
              </w:rPr>
            </w:pPr>
            <w:r w:rsidRPr="0053555E">
              <w:rPr>
                <w:rFonts w:cs="Calibri"/>
                <w:sz w:val="20"/>
                <w:szCs w:val="20"/>
              </w:rPr>
              <w:t>32</w:t>
            </w:r>
            <w:r w:rsidR="00435863" w:rsidRPr="0053555E">
              <w:rPr>
                <w:rFonts w:cs="Calibri"/>
                <w:sz w:val="20"/>
                <w:szCs w:val="20"/>
              </w:rPr>
              <w:t xml:space="preserve"> </w:t>
            </w:r>
            <w:r w:rsidRPr="0053555E">
              <w:rPr>
                <w:rFonts w:cs="Calibri"/>
                <w:sz w:val="20"/>
                <w:szCs w:val="20"/>
              </w:rPr>
              <w:t>%</w:t>
            </w:r>
          </w:p>
        </w:tc>
        <w:tc>
          <w:tcPr>
            <w:tcW w:w="804" w:type="dxa"/>
            <w:tcBorders>
              <w:top w:val="nil"/>
              <w:left w:val="nil"/>
              <w:bottom w:val="single" w:sz="4" w:space="0" w:color="auto"/>
              <w:right w:val="single" w:sz="4" w:space="0" w:color="auto"/>
            </w:tcBorders>
            <w:shd w:val="clear" w:color="000000" w:fill="FFFFFF"/>
            <w:vAlign w:val="center"/>
            <w:hideMark/>
          </w:tcPr>
          <w:p w14:paraId="1E699665" w14:textId="20A7B088" w:rsidR="00991194" w:rsidRPr="0053555E" w:rsidRDefault="00991194" w:rsidP="00991194">
            <w:pPr>
              <w:jc w:val="center"/>
              <w:rPr>
                <w:rFonts w:asciiTheme="majorHAnsi" w:hAnsiTheme="majorHAnsi" w:cstheme="majorHAnsi"/>
                <w:sz w:val="20"/>
                <w:szCs w:val="20"/>
              </w:rPr>
            </w:pPr>
            <w:r w:rsidRPr="0053555E">
              <w:rPr>
                <w:rFonts w:cs="Calibri"/>
                <w:sz w:val="20"/>
                <w:szCs w:val="20"/>
              </w:rPr>
              <w:t>202</w:t>
            </w:r>
          </w:p>
        </w:tc>
        <w:tc>
          <w:tcPr>
            <w:tcW w:w="805" w:type="dxa"/>
            <w:tcBorders>
              <w:top w:val="nil"/>
              <w:left w:val="nil"/>
              <w:bottom w:val="single" w:sz="4" w:space="0" w:color="auto"/>
              <w:right w:val="single" w:sz="4" w:space="0" w:color="auto"/>
            </w:tcBorders>
            <w:shd w:val="clear" w:color="auto" w:fill="EEECE1" w:themeFill="background2"/>
            <w:vAlign w:val="center"/>
            <w:hideMark/>
          </w:tcPr>
          <w:p w14:paraId="53BB506B" w14:textId="20292E21" w:rsidR="00991194" w:rsidRPr="0053555E" w:rsidRDefault="00991194" w:rsidP="00991194">
            <w:pPr>
              <w:jc w:val="center"/>
              <w:rPr>
                <w:rFonts w:asciiTheme="majorHAnsi" w:hAnsiTheme="majorHAnsi" w:cstheme="majorHAnsi"/>
                <w:b/>
                <w:sz w:val="20"/>
                <w:szCs w:val="20"/>
              </w:rPr>
            </w:pPr>
            <w:r w:rsidRPr="0053555E">
              <w:rPr>
                <w:rFonts w:cs="Calibri"/>
                <w:sz w:val="20"/>
                <w:szCs w:val="20"/>
              </w:rPr>
              <w:t>20</w:t>
            </w:r>
            <w:r w:rsidR="00435863" w:rsidRPr="0053555E">
              <w:rPr>
                <w:rFonts w:cs="Calibri"/>
                <w:sz w:val="20"/>
                <w:szCs w:val="20"/>
              </w:rPr>
              <w:t xml:space="preserve"> </w:t>
            </w:r>
            <w:r w:rsidRPr="0053555E">
              <w:rPr>
                <w:rFonts w:cs="Calibri"/>
                <w:sz w:val="20"/>
                <w:szCs w:val="20"/>
              </w:rPr>
              <w:t>%</w:t>
            </w:r>
          </w:p>
        </w:tc>
        <w:tc>
          <w:tcPr>
            <w:tcW w:w="805" w:type="dxa"/>
            <w:tcBorders>
              <w:top w:val="nil"/>
              <w:left w:val="nil"/>
              <w:bottom w:val="single" w:sz="4" w:space="0" w:color="auto"/>
              <w:right w:val="single" w:sz="4" w:space="0" w:color="auto"/>
            </w:tcBorders>
            <w:shd w:val="clear" w:color="000000" w:fill="FFFFFF"/>
            <w:vAlign w:val="center"/>
            <w:hideMark/>
          </w:tcPr>
          <w:p w14:paraId="54090DC2" w14:textId="1ED10A31" w:rsidR="00991194" w:rsidRPr="0053555E" w:rsidRDefault="00991194" w:rsidP="00991194">
            <w:pPr>
              <w:jc w:val="center"/>
              <w:rPr>
                <w:rFonts w:asciiTheme="majorHAnsi" w:hAnsiTheme="majorHAnsi" w:cstheme="majorHAnsi"/>
                <w:sz w:val="20"/>
                <w:szCs w:val="20"/>
              </w:rPr>
            </w:pPr>
            <w:r w:rsidRPr="0053555E">
              <w:rPr>
                <w:rFonts w:cs="Calibri"/>
                <w:sz w:val="20"/>
                <w:szCs w:val="20"/>
              </w:rPr>
              <w:t>249</w:t>
            </w:r>
          </w:p>
        </w:tc>
        <w:tc>
          <w:tcPr>
            <w:tcW w:w="804" w:type="dxa"/>
            <w:tcBorders>
              <w:top w:val="single" w:sz="4" w:space="0" w:color="auto"/>
              <w:left w:val="nil"/>
              <w:bottom w:val="single" w:sz="4" w:space="0" w:color="auto"/>
              <w:right w:val="single" w:sz="4" w:space="0" w:color="auto"/>
            </w:tcBorders>
            <w:shd w:val="clear" w:color="auto" w:fill="EEECE1" w:themeFill="background2"/>
            <w:vAlign w:val="center"/>
          </w:tcPr>
          <w:p w14:paraId="7A61B319" w14:textId="2E3FB5A4" w:rsidR="00991194" w:rsidRPr="0053555E" w:rsidRDefault="00991194" w:rsidP="00991194">
            <w:pPr>
              <w:jc w:val="center"/>
              <w:rPr>
                <w:rFonts w:asciiTheme="majorHAnsi" w:hAnsiTheme="majorHAnsi" w:cstheme="majorHAnsi"/>
                <w:b/>
                <w:sz w:val="20"/>
                <w:szCs w:val="20"/>
              </w:rPr>
            </w:pPr>
            <w:r w:rsidRPr="0053555E">
              <w:rPr>
                <w:rFonts w:cs="Calibri"/>
                <w:sz w:val="20"/>
                <w:szCs w:val="20"/>
              </w:rPr>
              <w:t>6</w:t>
            </w:r>
            <w:r w:rsidR="007D2399" w:rsidRPr="0053555E">
              <w:rPr>
                <w:rFonts w:cs="Calibri"/>
                <w:sz w:val="20"/>
                <w:szCs w:val="20"/>
              </w:rPr>
              <w:t xml:space="preserve"> </w:t>
            </w:r>
            <w:r w:rsidRPr="0053555E">
              <w:rPr>
                <w:rFonts w:cs="Calibri"/>
                <w:sz w:val="20"/>
                <w:szCs w:val="20"/>
              </w:rPr>
              <w:t>%</w:t>
            </w:r>
          </w:p>
        </w:tc>
        <w:tc>
          <w:tcPr>
            <w:tcW w:w="805" w:type="dxa"/>
            <w:tcBorders>
              <w:top w:val="nil"/>
              <w:left w:val="single" w:sz="4" w:space="0" w:color="auto"/>
              <w:bottom w:val="single" w:sz="4" w:space="0" w:color="auto"/>
              <w:right w:val="single" w:sz="4" w:space="0" w:color="auto"/>
            </w:tcBorders>
            <w:shd w:val="clear" w:color="000000" w:fill="FFFFFF"/>
            <w:vAlign w:val="center"/>
            <w:hideMark/>
          </w:tcPr>
          <w:p w14:paraId="1120CE4E" w14:textId="3F14666A" w:rsidR="00991194" w:rsidRPr="0053555E" w:rsidRDefault="00991194" w:rsidP="00991194">
            <w:pPr>
              <w:jc w:val="center"/>
              <w:rPr>
                <w:rFonts w:asciiTheme="majorHAnsi" w:hAnsiTheme="majorHAnsi" w:cstheme="majorHAnsi"/>
                <w:sz w:val="20"/>
                <w:szCs w:val="20"/>
              </w:rPr>
            </w:pPr>
            <w:r w:rsidRPr="0053555E">
              <w:rPr>
                <w:rFonts w:cs="Calibri"/>
                <w:sz w:val="20"/>
                <w:szCs w:val="20"/>
              </w:rPr>
              <w:t>81</w:t>
            </w:r>
          </w:p>
        </w:tc>
        <w:tc>
          <w:tcPr>
            <w:tcW w:w="805" w:type="dxa"/>
            <w:tcBorders>
              <w:top w:val="single" w:sz="4" w:space="0" w:color="auto"/>
              <w:left w:val="nil"/>
              <w:bottom w:val="single" w:sz="4" w:space="0" w:color="auto"/>
              <w:right w:val="single" w:sz="4" w:space="0" w:color="auto"/>
            </w:tcBorders>
            <w:shd w:val="clear" w:color="auto" w:fill="EEECE1" w:themeFill="background2"/>
            <w:vAlign w:val="center"/>
          </w:tcPr>
          <w:p w14:paraId="32974281" w14:textId="19C9DA15" w:rsidR="00991194" w:rsidRPr="0053555E" w:rsidRDefault="00991194" w:rsidP="00991194">
            <w:pPr>
              <w:jc w:val="center"/>
              <w:rPr>
                <w:rFonts w:asciiTheme="majorHAnsi" w:hAnsiTheme="majorHAnsi" w:cstheme="majorHAnsi"/>
                <w:b/>
                <w:sz w:val="20"/>
                <w:szCs w:val="20"/>
              </w:rPr>
            </w:pPr>
            <w:r w:rsidRPr="0053555E">
              <w:rPr>
                <w:rFonts w:cs="Calibri"/>
                <w:sz w:val="20"/>
                <w:szCs w:val="20"/>
              </w:rPr>
              <w:t>4</w:t>
            </w:r>
            <w:r w:rsidR="007D2399" w:rsidRPr="0053555E">
              <w:rPr>
                <w:rFonts w:cs="Calibri"/>
                <w:sz w:val="20"/>
                <w:szCs w:val="20"/>
              </w:rPr>
              <w:t xml:space="preserve"> </w:t>
            </w:r>
            <w:r w:rsidRPr="0053555E">
              <w:rPr>
                <w:rFonts w:cs="Calibri"/>
                <w:sz w:val="20"/>
                <w:szCs w:val="20"/>
              </w:rPr>
              <w:t>%</w:t>
            </w:r>
          </w:p>
        </w:tc>
        <w:tc>
          <w:tcPr>
            <w:tcW w:w="696" w:type="dxa"/>
            <w:tcBorders>
              <w:top w:val="nil"/>
              <w:left w:val="single" w:sz="4" w:space="0" w:color="auto"/>
              <w:bottom w:val="single" w:sz="4" w:space="0" w:color="auto"/>
              <w:right w:val="single" w:sz="8" w:space="0" w:color="auto"/>
            </w:tcBorders>
            <w:shd w:val="clear" w:color="000000" w:fill="FFFFFF"/>
            <w:vAlign w:val="center"/>
            <w:hideMark/>
          </w:tcPr>
          <w:p w14:paraId="6FDF233B" w14:textId="00221C99" w:rsidR="00991194" w:rsidRPr="0053555E" w:rsidRDefault="00991194" w:rsidP="00991194">
            <w:pPr>
              <w:jc w:val="center"/>
              <w:rPr>
                <w:rFonts w:asciiTheme="majorHAnsi" w:hAnsiTheme="majorHAnsi" w:cstheme="majorHAnsi"/>
                <w:sz w:val="20"/>
                <w:szCs w:val="20"/>
              </w:rPr>
            </w:pPr>
            <w:r w:rsidRPr="0053555E">
              <w:rPr>
                <w:rFonts w:cs="Calibri"/>
                <w:sz w:val="20"/>
                <w:szCs w:val="20"/>
              </w:rPr>
              <w:t>814</w:t>
            </w:r>
          </w:p>
        </w:tc>
      </w:tr>
      <w:tr w:rsidR="00991194" w:rsidRPr="0053555E" w14:paraId="66962C6E" w14:textId="77777777" w:rsidTr="0040148C">
        <w:trPr>
          <w:trHeight w:val="20"/>
        </w:trPr>
        <w:tc>
          <w:tcPr>
            <w:tcW w:w="673" w:type="dxa"/>
            <w:tcBorders>
              <w:top w:val="nil"/>
              <w:left w:val="single" w:sz="4" w:space="0" w:color="auto"/>
              <w:bottom w:val="single" w:sz="4" w:space="0" w:color="auto"/>
              <w:right w:val="single" w:sz="4" w:space="0" w:color="auto"/>
            </w:tcBorders>
            <w:shd w:val="clear" w:color="000000" w:fill="FFFFFF"/>
            <w:vAlign w:val="center"/>
            <w:hideMark/>
          </w:tcPr>
          <w:p w14:paraId="5D503442" w14:textId="77777777" w:rsidR="00991194" w:rsidRPr="0053555E" w:rsidRDefault="00991194" w:rsidP="00991194">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ÚM</w:t>
            </w:r>
          </w:p>
        </w:tc>
        <w:tc>
          <w:tcPr>
            <w:tcW w:w="812" w:type="dxa"/>
            <w:tcBorders>
              <w:top w:val="nil"/>
              <w:left w:val="nil"/>
              <w:bottom w:val="single" w:sz="4" w:space="0" w:color="auto"/>
              <w:right w:val="single" w:sz="4" w:space="0" w:color="auto"/>
            </w:tcBorders>
            <w:shd w:val="clear" w:color="000000" w:fill="FFFFFF"/>
            <w:vAlign w:val="center"/>
            <w:hideMark/>
          </w:tcPr>
          <w:p w14:paraId="68F1A82F" w14:textId="6B77E25A" w:rsidR="00991194" w:rsidRPr="0053555E" w:rsidRDefault="00991194" w:rsidP="00991194">
            <w:pPr>
              <w:jc w:val="center"/>
              <w:rPr>
                <w:rFonts w:asciiTheme="majorHAnsi" w:hAnsiTheme="majorHAnsi" w:cstheme="majorHAnsi"/>
                <w:sz w:val="20"/>
                <w:szCs w:val="20"/>
              </w:rPr>
            </w:pPr>
            <w:r w:rsidRPr="0053555E">
              <w:rPr>
                <w:rFonts w:cs="Calibri"/>
                <w:sz w:val="20"/>
                <w:szCs w:val="20"/>
              </w:rPr>
              <w:t>59</w:t>
            </w:r>
          </w:p>
        </w:tc>
        <w:tc>
          <w:tcPr>
            <w:tcW w:w="723" w:type="dxa"/>
            <w:tcBorders>
              <w:top w:val="nil"/>
              <w:left w:val="nil"/>
              <w:bottom w:val="single" w:sz="4" w:space="0" w:color="auto"/>
              <w:right w:val="single" w:sz="4" w:space="0" w:color="auto"/>
            </w:tcBorders>
            <w:shd w:val="clear" w:color="auto" w:fill="auto"/>
            <w:vAlign w:val="center"/>
            <w:hideMark/>
          </w:tcPr>
          <w:p w14:paraId="19CDF59C" w14:textId="62D1EBA4" w:rsidR="00991194" w:rsidRPr="0053555E" w:rsidRDefault="00991194" w:rsidP="00991194">
            <w:pPr>
              <w:jc w:val="center"/>
              <w:rPr>
                <w:rFonts w:asciiTheme="majorHAnsi" w:hAnsiTheme="majorHAnsi" w:cstheme="majorHAnsi"/>
                <w:sz w:val="20"/>
                <w:szCs w:val="20"/>
              </w:rPr>
            </w:pPr>
            <w:r w:rsidRPr="0053555E">
              <w:rPr>
                <w:rFonts w:cs="Calibri"/>
                <w:sz w:val="20"/>
                <w:szCs w:val="20"/>
              </w:rPr>
              <w:t>8%</w:t>
            </w:r>
          </w:p>
        </w:tc>
        <w:tc>
          <w:tcPr>
            <w:tcW w:w="851" w:type="dxa"/>
            <w:tcBorders>
              <w:top w:val="nil"/>
              <w:left w:val="nil"/>
              <w:bottom w:val="single" w:sz="4" w:space="0" w:color="auto"/>
              <w:right w:val="single" w:sz="4" w:space="0" w:color="auto"/>
            </w:tcBorders>
            <w:shd w:val="clear" w:color="auto" w:fill="auto"/>
            <w:vAlign w:val="center"/>
            <w:hideMark/>
          </w:tcPr>
          <w:p w14:paraId="0D540FAE" w14:textId="715E3B0D" w:rsidR="00991194" w:rsidRPr="0053555E" w:rsidRDefault="00991194" w:rsidP="00991194">
            <w:pPr>
              <w:jc w:val="center"/>
              <w:rPr>
                <w:rFonts w:asciiTheme="majorHAnsi" w:hAnsiTheme="majorHAnsi" w:cstheme="majorHAnsi"/>
                <w:sz w:val="20"/>
                <w:szCs w:val="20"/>
              </w:rPr>
            </w:pPr>
            <w:r w:rsidRPr="0053555E">
              <w:rPr>
                <w:rFonts w:cs="Calibri"/>
                <w:sz w:val="20"/>
                <w:szCs w:val="20"/>
              </w:rPr>
              <w:t>3%</w:t>
            </w:r>
          </w:p>
        </w:tc>
        <w:tc>
          <w:tcPr>
            <w:tcW w:w="850" w:type="dxa"/>
            <w:tcBorders>
              <w:top w:val="nil"/>
              <w:left w:val="nil"/>
              <w:bottom w:val="single" w:sz="4" w:space="0" w:color="auto"/>
              <w:right w:val="single" w:sz="4" w:space="0" w:color="auto"/>
            </w:tcBorders>
            <w:shd w:val="clear" w:color="auto" w:fill="EEECE1" w:themeFill="background2"/>
            <w:vAlign w:val="center"/>
            <w:hideMark/>
          </w:tcPr>
          <w:p w14:paraId="6CEA4DEA" w14:textId="00E2F70D" w:rsidR="00991194" w:rsidRPr="0053555E" w:rsidRDefault="00991194" w:rsidP="00991194">
            <w:pPr>
              <w:jc w:val="center"/>
              <w:rPr>
                <w:rFonts w:asciiTheme="majorHAnsi" w:hAnsiTheme="majorHAnsi" w:cstheme="majorHAnsi"/>
                <w:b/>
                <w:sz w:val="20"/>
                <w:szCs w:val="20"/>
              </w:rPr>
            </w:pPr>
            <w:r w:rsidRPr="0053555E">
              <w:rPr>
                <w:rFonts w:cs="Calibri"/>
                <w:sz w:val="20"/>
                <w:szCs w:val="20"/>
              </w:rPr>
              <w:t>12</w:t>
            </w:r>
            <w:r w:rsidR="00435863" w:rsidRPr="0053555E">
              <w:rPr>
                <w:rFonts w:cs="Calibri"/>
                <w:sz w:val="20"/>
                <w:szCs w:val="20"/>
              </w:rPr>
              <w:t xml:space="preserve"> </w:t>
            </w:r>
            <w:r w:rsidRPr="0053555E">
              <w:rPr>
                <w:rFonts w:cs="Calibri"/>
                <w:sz w:val="20"/>
                <w:szCs w:val="20"/>
              </w:rPr>
              <w:t>%</w:t>
            </w:r>
          </w:p>
        </w:tc>
        <w:tc>
          <w:tcPr>
            <w:tcW w:w="804" w:type="dxa"/>
            <w:tcBorders>
              <w:top w:val="nil"/>
              <w:left w:val="nil"/>
              <w:bottom w:val="single" w:sz="4" w:space="0" w:color="auto"/>
              <w:right w:val="single" w:sz="4" w:space="0" w:color="auto"/>
            </w:tcBorders>
            <w:shd w:val="clear" w:color="000000" w:fill="FFFFFF"/>
            <w:vAlign w:val="center"/>
            <w:hideMark/>
          </w:tcPr>
          <w:p w14:paraId="73BC03B0" w14:textId="578D6AEA" w:rsidR="00991194" w:rsidRPr="0053555E" w:rsidRDefault="00991194" w:rsidP="00991194">
            <w:pPr>
              <w:jc w:val="center"/>
              <w:rPr>
                <w:rFonts w:asciiTheme="majorHAnsi" w:hAnsiTheme="majorHAnsi" w:cstheme="majorHAnsi"/>
                <w:sz w:val="20"/>
                <w:szCs w:val="20"/>
              </w:rPr>
            </w:pPr>
            <w:r w:rsidRPr="0053555E">
              <w:rPr>
                <w:rFonts w:cs="Calibri"/>
                <w:sz w:val="20"/>
                <w:szCs w:val="20"/>
              </w:rPr>
              <w:t>23</w:t>
            </w:r>
          </w:p>
        </w:tc>
        <w:tc>
          <w:tcPr>
            <w:tcW w:w="805" w:type="dxa"/>
            <w:tcBorders>
              <w:top w:val="nil"/>
              <w:left w:val="nil"/>
              <w:bottom w:val="single" w:sz="4" w:space="0" w:color="auto"/>
              <w:right w:val="single" w:sz="4" w:space="0" w:color="auto"/>
            </w:tcBorders>
            <w:shd w:val="clear" w:color="auto" w:fill="EEECE1" w:themeFill="background2"/>
            <w:vAlign w:val="center"/>
            <w:hideMark/>
          </w:tcPr>
          <w:p w14:paraId="0EE6768B" w14:textId="66DB5F49" w:rsidR="00991194" w:rsidRPr="0053555E" w:rsidRDefault="00991194" w:rsidP="00991194">
            <w:pPr>
              <w:jc w:val="center"/>
              <w:rPr>
                <w:rFonts w:asciiTheme="majorHAnsi" w:hAnsiTheme="majorHAnsi" w:cstheme="majorHAnsi"/>
                <w:b/>
                <w:sz w:val="20"/>
                <w:szCs w:val="20"/>
              </w:rPr>
            </w:pPr>
            <w:r w:rsidRPr="0053555E">
              <w:rPr>
                <w:rFonts w:cs="Calibri"/>
                <w:sz w:val="20"/>
                <w:szCs w:val="20"/>
              </w:rPr>
              <w:t>4</w:t>
            </w:r>
            <w:r w:rsidR="00435863" w:rsidRPr="0053555E">
              <w:rPr>
                <w:rFonts w:cs="Calibri"/>
                <w:sz w:val="20"/>
                <w:szCs w:val="20"/>
              </w:rPr>
              <w:t xml:space="preserve"> </w:t>
            </w:r>
            <w:r w:rsidRPr="0053555E">
              <w:rPr>
                <w:rFonts w:cs="Calibri"/>
                <w:sz w:val="20"/>
                <w:szCs w:val="20"/>
              </w:rPr>
              <w:t>%</w:t>
            </w:r>
          </w:p>
        </w:tc>
        <w:tc>
          <w:tcPr>
            <w:tcW w:w="805" w:type="dxa"/>
            <w:tcBorders>
              <w:top w:val="nil"/>
              <w:left w:val="nil"/>
              <w:bottom w:val="single" w:sz="4" w:space="0" w:color="auto"/>
              <w:right w:val="single" w:sz="4" w:space="0" w:color="auto"/>
            </w:tcBorders>
            <w:shd w:val="clear" w:color="000000" w:fill="FFFFFF"/>
            <w:vAlign w:val="center"/>
            <w:hideMark/>
          </w:tcPr>
          <w:p w14:paraId="3A5E72DC" w14:textId="7B67D7C3" w:rsidR="00991194" w:rsidRPr="0053555E" w:rsidRDefault="00991194" w:rsidP="00991194">
            <w:pPr>
              <w:jc w:val="center"/>
              <w:rPr>
                <w:rFonts w:asciiTheme="majorHAnsi" w:hAnsiTheme="majorHAnsi" w:cstheme="majorHAnsi"/>
                <w:sz w:val="20"/>
                <w:szCs w:val="20"/>
              </w:rPr>
            </w:pPr>
            <w:r w:rsidRPr="0053555E">
              <w:rPr>
                <w:rFonts w:cs="Calibri"/>
                <w:sz w:val="20"/>
                <w:szCs w:val="20"/>
              </w:rPr>
              <w:t>21</w:t>
            </w:r>
          </w:p>
        </w:tc>
        <w:tc>
          <w:tcPr>
            <w:tcW w:w="804" w:type="dxa"/>
            <w:tcBorders>
              <w:top w:val="single" w:sz="4" w:space="0" w:color="auto"/>
              <w:left w:val="nil"/>
              <w:bottom w:val="single" w:sz="4" w:space="0" w:color="auto"/>
              <w:right w:val="single" w:sz="4" w:space="0" w:color="auto"/>
            </w:tcBorders>
            <w:shd w:val="clear" w:color="auto" w:fill="EEECE1" w:themeFill="background2"/>
            <w:vAlign w:val="center"/>
          </w:tcPr>
          <w:p w14:paraId="54693CE2" w14:textId="5D281BAF" w:rsidR="00991194" w:rsidRPr="0053555E" w:rsidRDefault="00991194" w:rsidP="00991194">
            <w:pPr>
              <w:jc w:val="center"/>
              <w:rPr>
                <w:rFonts w:asciiTheme="majorHAnsi" w:hAnsiTheme="majorHAnsi" w:cstheme="majorHAnsi"/>
                <w:b/>
                <w:sz w:val="20"/>
                <w:szCs w:val="20"/>
              </w:rPr>
            </w:pPr>
            <w:r w:rsidRPr="0053555E">
              <w:rPr>
                <w:rFonts w:cs="Calibri"/>
                <w:sz w:val="20"/>
                <w:szCs w:val="20"/>
              </w:rPr>
              <w:t>5</w:t>
            </w:r>
            <w:r w:rsidR="007D2399" w:rsidRPr="0053555E">
              <w:rPr>
                <w:rFonts w:cs="Calibri"/>
                <w:sz w:val="20"/>
                <w:szCs w:val="20"/>
              </w:rPr>
              <w:t xml:space="preserve"> </w:t>
            </w:r>
            <w:r w:rsidRPr="0053555E">
              <w:rPr>
                <w:rFonts w:cs="Calibri"/>
                <w:sz w:val="20"/>
                <w:szCs w:val="20"/>
              </w:rPr>
              <w:t>%</w:t>
            </w:r>
          </w:p>
        </w:tc>
        <w:tc>
          <w:tcPr>
            <w:tcW w:w="805" w:type="dxa"/>
            <w:tcBorders>
              <w:top w:val="nil"/>
              <w:left w:val="single" w:sz="4" w:space="0" w:color="auto"/>
              <w:bottom w:val="single" w:sz="4" w:space="0" w:color="auto"/>
              <w:right w:val="single" w:sz="4" w:space="0" w:color="auto"/>
            </w:tcBorders>
            <w:shd w:val="clear" w:color="000000" w:fill="FFFFFF"/>
            <w:vAlign w:val="center"/>
          </w:tcPr>
          <w:p w14:paraId="64519792" w14:textId="61E04EA9" w:rsidR="00991194" w:rsidRPr="0053555E" w:rsidRDefault="00991194" w:rsidP="00991194">
            <w:pPr>
              <w:jc w:val="center"/>
              <w:rPr>
                <w:rFonts w:asciiTheme="majorHAnsi" w:hAnsiTheme="majorHAnsi" w:cstheme="majorHAnsi"/>
                <w:sz w:val="20"/>
                <w:szCs w:val="20"/>
              </w:rPr>
            </w:pPr>
          </w:p>
        </w:tc>
        <w:tc>
          <w:tcPr>
            <w:tcW w:w="805" w:type="dxa"/>
            <w:tcBorders>
              <w:top w:val="single" w:sz="4" w:space="0" w:color="auto"/>
              <w:left w:val="nil"/>
              <w:bottom w:val="single" w:sz="4" w:space="0" w:color="auto"/>
              <w:right w:val="single" w:sz="4" w:space="0" w:color="auto"/>
            </w:tcBorders>
            <w:shd w:val="clear" w:color="auto" w:fill="EEECE1" w:themeFill="background2"/>
            <w:vAlign w:val="center"/>
          </w:tcPr>
          <w:p w14:paraId="2930A457" w14:textId="71B90421" w:rsidR="00991194" w:rsidRPr="0053555E" w:rsidRDefault="00991194" w:rsidP="00991194">
            <w:pPr>
              <w:jc w:val="center"/>
              <w:rPr>
                <w:rFonts w:asciiTheme="majorHAnsi" w:hAnsiTheme="majorHAnsi" w:cstheme="majorHAnsi"/>
                <w:b/>
                <w:sz w:val="20"/>
                <w:szCs w:val="20"/>
              </w:rPr>
            </w:pPr>
          </w:p>
        </w:tc>
        <w:tc>
          <w:tcPr>
            <w:tcW w:w="696" w:type="dxa"/>
            <w:tcBorders>
              <w:top w:val="nil"/>
              <w:left w:val="single" w:sz="4" w:space="0" w:color="auto"/>
              <w:bottom w:val="single" w:sz="4" w:space="0" w:color="auto"/>
              <w:right w:val="single" w:sz="8" w:space="0" w:color="auto"/>
            </w:tcBorders>
            <w:shd w:val="clear" w:color="000000" w:fill="FFFFFF"/>
            <w:vAlign w:val="center"/>
            <w:hideMark/>
          </w:tcPr>
          <w:p w14:paraId="4A1D7173" w14:textId="6FBAE9B5" w:rsidR="00991194" w:rsidRPr="0053555E" w:rsidRDefault="00991194" w:rsidP="00991194">
            <w:pPr>
              <w:jc w:val="center"/>
              <w:rPr>
                <w:rFonts w:asciiTheme="majorHAnsi" w:hAnsiTheme="majorHAnsi" w:cstheme="majorHAnsi"/>
                <w:sz w:val="20"/>
                <w:szCs w:val="20"/>
              </w:rPr>
            </w:pPr>
            <w:r w:rsidRPr="0053555E">
              <w:rPr>
                <w:rFonts w:cs="Calibri"/>
                <w:sz w:val="20"/>
                <w:szCs w:val="20"/>
              </w:rPr>
              <w:t>103</w:t>
            </w:r>
          </w:p>
        </w:tc>
      </w:tr>
      <w:tr w:rsidR="00991194" w:rsidRPr="0053555E" w14:paraId="2F225B5A" w14:textId="77777777" w:rsidTr="00FE3BEF">
        <w:trPr>
          <w:trHeight w:val="20"/>
        </w:trPr>
        <w:tc>
          <w:tcPr>
            <w:tcW w:w="673" w:type="dxa"/>
            <w:tcBorders>
              <w:top w:val="nil"/>
              <w:left w:val="single" w:sz="4" w:space="0" w:color="auto"/>
              <w:bottom w:val="single" w:sz="4" w:space="0" w:color="auto"/>
              <w:right w:val="single" w:sz="4" w:space="0" w:color="auto"/>
            </w:tcBorders>
            <w:shd w:val="clear" w:color="auto" w:fill="EEECE1" w:themeFill="background2"/>
            <w:vAlign w:val="center"/>
            <w:hideMark/>
          </w:tcPr>
          <w:p w14:paraId="2A336821" w14:textId="77777777" w:rsidR="00991194" w:rsidRPr="0053555E" w:rsidRDefault="00991194" w:rsidP="00991194">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STU</w:t>
            </w:r>
          </w:p>
        </w:tc>
        <w:tc>
          <w:tcPr>
            <w:tcW w:w="812" w:type="dxa"/>
            <w:tcBorders>
              <w:top w:val="nil"/>
              <w:left w:val="nil"/>
              <w:bottom w:val="single" w:sz="4" w:space="0" w:color="auto"/>
              <w:right w:val="single" w:sz="4" w:space="0" w:color="auto"/>
            </w:tcBorders>
            <w:shd w:val="clear" w:color="auto" w:fill="EEECE1" w:themeFill="background2"/>
            <w:vAlign w:val="center"/>
            <w:hideMark/>
          </w:tcPr>
          <w:p w14:paraId="112E909C" w14:textId="7BE58B22" w:rsidR="00991194" w:rsidRPr="0053555E" w:rsidRDefault="00991194" w:rsidP="00991194">
            <w:pPr>
              <w:jc w:val="center"/>
              <w:rPr>
                <w:rFonts w:asciiTheme="majorHAnsi" w:hAnsiTheme="majorHAnsi" w:cstheme="majorHAnsi"/>
                <w:b/>
                <w:bCs/>
                <w:sz w:val="20"/>
                <w:szCs w:val="20"/>
              </w:rPr>
            </w:pPr>
            <w:r w:rsidRPr="0053555E">
              <w:rPr>
                <w:rFonts w:cs="Calibri"/>
                <w:b/>
                <w:bCs/>
                <w:sz w:val="20"/>
                <w:szCs w:val="20"/>
              </w:rPr>
              <w:t>2 546</w:t>
            </w:r>
          </w:p>
        </w:tc>
        <w:tc>
          <w:tcPr>
            <w:tcW w:w="723" w:type="dxa"/>
            <w:tcBorders>
              <w:top w:val="nil"/>
              <w:left w:val="nil"/>
              <w:bottom w:val="single" w:sz="4" w:space="0" w:color="auto"/>
              <w:right w:val="single" w:sz="4" w:space="0" w:color="auto"/>
            </w:tcBorders>
            <w:shd w:val="clear" w:color="auto" w:fill="EEECE1" w:themeFill="background2"/>
            <w:vAlign w:val="center"/>
            <w:hideMark/>
          </w:tcPr>
          <w:p w14:paraId="426E6340" w14:textId="114994ED" w:rsidR="00991194" w:rsidRPr="0053555E" w:rsidRDefault="00991194" w:rsidP="00991194">
            <w:pPr>
              <w:jc w:val="center"/>
              <w:rPr>
                <w:rFonts w:asciiTheme="majorHAnsi" w:hAnsiTheme="majorHAnsi" w:cstheme="majorHAnsi"/>
                <w:b/>
                <w:bCs/>
                <w:sz w:val="20"/>
                <w:szCs w:val="20"/>
              </w:rPr>
            </w:pPr>
            <w:r w:rsidRPr="0053555E">
              <w:rPr>
                <w:rFonts w:cs="Calibri"/>
                <w:b/>
                <w:bCs/>
                <w:sz w:val="20"/>
                <w:szCs w:val="20"/>
              </w:rPr>
              <w:t>21%</w:t>
            </w:r>
          </w:p>
        </w:tc>
        <w:tc>
          <w:tcPr>
            <w:tcW w:w="851" w:type="dxa"/>
            <w:tcBorders>
              <w:top w:val="nil"/>
              <w:left w:val="nil"/>
              <w:bottom w:val="single" w:sz="4" w:space="0" w:color="auto"/>
              <w:right w:val="single" w:sz="4" w:space="0" w:color="auto"/>
            </w:tcBorders>
            <w:shd w:val="clear" w:color="auto" w:fill="EEECE1" w:themeFill="background2"/>
            <w:vAlign w:val="center"/>
            <w:hideMark/>
          </w:tcPr>
          <w:p w14:paraId="1FE25908" w14:textId="763B982A" w:rsidR="00991194" w:rsidRPr="0053555E" w:rsidRDefault="00991194" w:rsidP="00991194">
            <w:pPr>
              <w:jc w:val="center"/>
              <w:rPr>
                <w:rFonts w:asciiTheme="majorHAnsi" w:hAnsiTheme="majorHAnsi" w:cstheme="majorHAnsi"/>
                <w:b/>
                <w:bCs/>
                <w:sz w:val="20"/>
                <w:szCs w:val="20"/>
              </w:rPr>
            </w:pPr>
            <w:r w:rsidRPr="0053555E">
              <w:rPr>
                <w:rFonts w:cs="Calibri"/>
                <w:b/>
                <w:bCs/>
                <w:sz w:val="20"/>
                <w:szCs w:val="20"/>
              </w:rPr>
              <w:t>14%</w:t>
            </w:r>
          </w:p>
        </w:tc>
        <w:tc>
          <w:tcPr>
            <w:tcW w:w="850" w:type="dxa"/>
            <w:tcBorders>
              <w:top w:val="nil"/>
              <w:left w:val="nil"/>
              <w:bottom w:val="single" w:sz="4" w:space="0" w:color="auto"/>
              <w:right w:val="single" w:sz="4" w:space="0" w:color="auto"/>
            </w:tcBorders>
            <w:shd w:val="clear" w:color="auto" w:fill="EEECE1" w:themeFill="background2"/>
            <w:vAlign w:val="center"/>
            <w:hideMark/>
          </w:tcPr>
          <w:p w14:paraId="497E4606" w14:textId="1E2C5AE8" w:rsidR="00991194" w:rsidRPr="0053555E" w:rsidRDefault="00991194" w:rsidP="00991194">
            <w:pPr>
              <w:jc w:val="center"/>
              <w:rPr>
                <w:rFonts w:asciiTheme="majorHAnsi" w:hAnsiTheme="majorHAnsi" w:cstheme="majorHAnsi"/>
                <w:b/>
                <w:sz w:val="20"/>
                <w:szCs w:val="20"/>
              </w:rPr>
            </w:pPr>
            <w:r w:rsidRPr="0053555E">
              <w:rPr>
                <w:rFonts w:cs="Calibri"/>
                <w:b/>
                <w:sz w:val="20"/>
                <w:szCs w:val="20"/>
              </w:rPr>
              <w:t>36</w:t>
            </w:r>
            <w:r w:rsidR="00435863" w:rsidRPr="0053555E">
              <w:rPr>
                <w:rFonts w:cs="Calibri"/>
                <w:b/>
                <w:sz w:val="20"/>
                <w:szCs w:val="20"/>
              </w:rPr>
              <w:t xml:space="preserve"> </w:t>
            </w:r>
            <w:r w:rsidRPr="0053555E">
              <w:rPr>
                <w:rFonts w:cs="Calibri"/>
                <w:b/>
                <w:sz w:val="20"/>
                <w:szCs w:val="20"/>
              </w:rPr>
              <w:t>%</w:t>
            </w:r>
          </w:p>
        </w:tc>
        <w:tc>
          <w:tcPr>
            <w:tcW w:w="804" w:type="dxa"/>
            <w:tcBorders>
              <w:top w:val="nil"/>
              <w:left w:val="nil"/>
              <w:bottom w:val="single" w:sz="4" w:space="0" w:color="auto"/>
              <w:right w:val="single" w:sz="4" w:space="0" w:color="auto"/>
            </w:tcBorders>
            <w:shd w:val="clear" w:color="auto" w:fill="EEECE1" w:themeFill="background2"/>
            <w:vAlign w:val="center"/>
            <w:hideMark/>
          </w:tcPr>
          <w:p w14:paraId="0C511DEA" w14:textId="304AF597" w:rsidR="00991194" w:rsidRPr="0053555E" w:rsidRDefault="00991194" w:rsidP="00991194">
            <w:pPr>
              <w:jc w:val="center"/>
              <w:rPr>
                <w:rFonts w:asciiTheme="majorHAnsi" w:hAnsiTheme="majorHAnsi" w:cstheme="majorHAnsi"/>
                <w:b/>
                <w:bCs/>
                <w:sz w:val="20"/>
                <w:szCs w:val="20"/>
              </w:rPr>
            </w:pPr>
            <w:r w:rsidRPr="0053555E">
              <w:rPr>
                <w:rFonts w:cs="Calibri"/>
                <w:b/>
                <w:bCs/>
                <w:sz w:val="20"/>
                <w:szCs w:val="20"/>
              </w:rPr>
              <w:t>1 873</w:t>
            </w:r>
          </w:p>
        </w:tc>
        <w:tc>
          <w:tcPr>
            <w:tcW w:w="805" w:type="dxa"/>
            <w:tcBorders>
              <w:top w:val="nil"/>
              <w:left w:val="nil"/>
              <w:bottom w:val="single" w:sz="4" w:space="0" w:color="auto"/>
              <w:right w:val="single" w:sz="4" w:space="0" w:color="auto"/>
            </w:tcBorders>
            <w:shd w:val="clear" w:color="auto" w:fill="EEECE1" w:themeFill="background2"/>
            <w:vAlign w:val="center"/>
            <w:hideMark/>
          </w:tcPr>
          <w:p w14:paraId="1EF5434C" w14:textId="08E34F4F" w:rsidR="00991194" w:rsidRPr="0053555E" w:rsidRDefault="00991194" w:rsidP="00991194">
            <w:pPr>
              <w:jc w:val="center"/>
              <w:rPr>
                <w:rFonts w:asciiTheme="majorHAnsi" w:hAnsiTheme="majorHAnsi" w:cstheme="majorHAnsi"/>
                <w:b/>
                <w:bCs/>
                <w:sz w:val="20"/>
                <w:szCs w:val="20"/>
              </w:rPr>
            </w:pPr>
            <w:r w:rsidRPr="0053555E">
              <w:rPr>
                <w:rFonts w:cs="Calibri"/>
                <w:b/>
                <w:bCs/>
                <w:sz w:val="20"/>
                <w:szCs w:val="20"/>
              </w:rPr>
              <w:t>19</w:t>
            </w:r>
            <w:r w:rsidR="00435863" w:rsidRPr="0053555E">
              <w:rPr>
                <w:rFonts w:cs="Calibri"/>
                <w:b/>
                <w:bCs/>
                <w:sz w:val="20"/>
                <w:szCs w:val="20"/>
              </w:rPr>
              <w:t xml:space="preserve"> </w:t>
            </w:r>
            <w:r w:rsidRPr="0053555E">
              <w:rPr>
                <w:rFonts w:cs="Calibri"/>
                <w:b/>
                <w:bCs/>
                <w:sz w:val="20"/>
                <w:szCs w:val="20"/>
              </w:rPr>
              <w:t>%</w:t>
            </w:r>
          </w:p>
        </w:tc>
        <w:tc>
          <w:tcPr>
            <w:tcW w:w="805" w:type="dxa"/>
            <w:tcBorders>
              <w:top w:val="nil"/>
              <w:left w:val="nil"/>
              <w:bottom w:val="single" w:sz="4" w:space="0" w:color="auto"/>
              <w:right w:val="single" w:sz="4" w:space="0" w:color="auto"/>
            </w:tcBorders>
            <w:shd w:val="clear" w:color="auto" w:fill="EEECE1" w:themeFill="background2"/>
            <w:vAlign w:val="center"/>
            <w:hideMark/>
          </w:tcPr>
          <w:p w14:paraId="4223714F" w14:textId="6B7EB1ED" w:rsidR="00991194" w:rsidRPr="0053555E" w:rsidRDefault="00991194" w:rsidP="00991194">
            <w:pPr>
              <w:jc w:val="center"/>
              <w:rPr>
                <w:rFonts w:asciiTheme="majorHAnsi" w:hAnsiTheme="majorHAnsi" w:cstheme="majorHAnsi"/>
                <w:b/>
                <w:bCs/>
                <w:sz w:val="20"/>
                <w:szCs w:val="20"/>
              </w:rPr>
            </w:pPr>
            <w:r w:rsidRPr="0053555E">
              <w:rPr>
                <w:rFonts w:cs="Calibri"/>
                <w:b/>
                <w:bCs/>
                <w:sz w:val="20"/>
                <w:szCs w:val="20"/>
              </w:rPr>
              <w:t>1 974</w:t>
            </w:r>
          </w:p>
        </w:tc>
        <w:tc>
          <w:tcPr>
            <w:tcW w:w="804" w:type="dxa"/>
            <w:tcBorders>
              <w:top w:val="single" w:sz="4" w:space="0" w:color="auto"/>
              <w:left w:val="nil"/>
              <w:bottom w:val="single" w:sz="4" w:space="0" w:color="auto"/>
              <w:right w:val="single" w:sz="4" w:space="0" w:color="auto"/>
            </w:tcBorders>
            <w:shd w:val="clear" w:color="auto" w:fill="EEECE1" w:themeFill="background2"/>
            <w:vAlign w:val="center"/>
          </w:tcPr>
          <w:p w14:paraId="64BEAE1A" w14:textId="66BAF0DF" w:rsidR="00991194" w:rsidRPr="0053555E" w:rsidRDefault="00991194" w:rsidP="00991194">
            <w:pPr>
              <w:jc w:val="center"/>
              <w:rPr>
                <w:rFonts w:asciiTheme="majorHAnsi" w:hAnsiTheme="majorHAnsi" w:cstheme="majorHAnsi"/>
                <w:b/>
                <w:bCs/>
                <w:sz w:val="20"/>
                <w:szCs w:val="20"/>
              </w:rPr>
            </w:pPr>
            <w:r w:rsidRPr="0053555E">
              <w:rPr>
                <w:rFonts w:cs="Calibri"/>
                <w:b/>
                <w:bCs/>
                <w:sz w:val="20"/>
                <w:szCs w:val="20"/>
              </w:rPr>
              <w:t>13</w:t>
            </w:r>
            <w:r w:rsidR="007D2399" w:rsidRPr="0053555E">
              <w:rPr>
                <w:rFonts w:cs="Calibri"/>
                <w:b/>
                <w:bCs/>
                <w:sz w:val="20"/>
                <w:szCs w:val="20"/>
              </w:rPr>
              <w:t xml:space="preserve"> </w:t>
            </w:r>
            <w:r w:rsidRPr="0053555E">
              <w:rPr>
                <w:rFonts w:cs="Calibri"/>
                <w:b/>
                <w:bCs/>
                <w:sz w:val="20"/>
                <w:szCs w:val="20"/>
              </w:rPr>
              <w:t>%</w:t>
            </w:r>
          </w:p>
        </w:tc>
        <w:tc>
          <w:tcPr>
            <w:tcW w:w="805"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2A0373" w14:textId="7E2BCDC9" w:rsidR="00991194" w:rsidRPr="0053555E" w:rsidRDefault="00991194" w:rsidP="00991194">
            <w:pPr>
              <w:jc w:val="center"/>
              <w:rPr>
                <w:rFonts w:asciiTheme="majorHAnsi" w:hAnsiTheme="majorHAnsi" w:cstheme="majorHAnsi"/>
                <w:b/>
                <w:bCs/>
                <w:sz w:val="20"/>
                <w:szCs w:val="20"/>
              </w:rPr>
            </w:pPr>
            <w:r w:rsidRPr="0053555E">
              <w:rPr>
                <w:rFonts w:cs="Calibri"/>
                <w:b/>
                <w:bCs/>
                <w:sz w:val="20"/>
                <w:szCs w:val="20"/>
              </w:rPr>
              <w:t>449</w:t>
            </w:r>
          </w:p>
        </w:tc>
        <w:tc>
          <w:tcPr>
            <w:tcW w:w="805" w:type="dxa"/>
            <w:tcBorders>
              <w:top w:val="single" w:sz="4" w:space="0" w:color="auto"/>
              <w:left w:val="nil"/>
              <w:bottom w:val="single" w:sz="4" w:space="0" w:color="auto"/>
              <w:right w:val="single" w:sz="4" w:space="0" w:color="auto"/>
            </w:tcBorders>
            <w:shd w:val="clear" w:color="auto" w:fill="EEECE1" w:themeFill="background2"/>
            <w:vAlign w:val="center"/>
          </w:tcPr>
          <w:p w14:paraId="20D30AC0" w14:textId="6FC02268" w:rsidR="00991194" w:rsidRPr="0053555E" w:rsidRDefault="00991194" w:rsidP="00991194">
            <w:pPr>
              <w:jc w:val="center"/>
              <w:rPr>
                <w:rFonts w:asciiTheme="majorHAnsi" w:hAnsiTheme="majorHAnsi" w:cstheme="majorHAnsi"/>
                <w:b/>
                <w:bCs/>
                <w:sz w:val="20"/>
                <w:szCs w:val="20"/>
              </w:rPr>
            </w:pPr>
            <w:r w:rsidRPr="0053555E">
              <w:rPr>
                <w:rFonts w:cs="Calibri"/>
                <w:b/>
                <w:bCs/>
                <w:sz w:val="20"/>
                <w:szCs w:val="20"/>
              </w:rPr>
              <w:t>7</w:t>
            </w:r>
            <w:r w:rsidR="007D2399" w:rsidRPr="0053555E">
              <w:rPr>
                <w:rFonts w:cs="Calibri"/>
                <w:b/>
                <w:bCs/>
                <w:sz w:val="20"/>
                <w:szCs w:val="20"/>
              </w:rPr>
              <w:t xml:space="preserve"> </w:t>
            </w:r>
            <w:r w:rsidRPr="0053555E">
              <w:rPr>
                <w:rFonts w:cs="Calibri"/>
                <w:b/>
                <w:bCs/>
                <w:sz w:val="20"/>
                <w:szCs w:val="20"/>
              </w:rPr>
              <w:t>%</w:t>
            </w:r>
          </w:p>
        </w:tc>
        <w:tc>
          <w:tcPr>
            <w:tcW w:w="696" w:type="dxa"/>
            <w:tcBorders>
              <w:top w:val="nil"/>
              <w:left w:val="single" w:sz="4" w:space="0" w:color="auto"/>
              <w:bottom w:val="single" w:sz="4" w:space="0" w:color="auto"/>
              <w:right w:val="single" w:sz="8" w:space="0" w:color="auto"/>
            </w:tcBorders>
            <w:shd w:val="clear" w:color="auto" w:fill="EEECE1" w:themeFill="background2"/>
            <w:vAlign w:val="center"/>
            <w:hideMark/>
          </w:tcPr>
          <w:p w14:paraId="5B503587" w14:textId="0770C415" w:rsidR="00991194" w:rsidRPr="0053555E" w:rsidRDefault="00991194" w:rsidP="00991194">
            <w:pPr>
              <w:jc w:val="center"/>
              <w:rPr>
                <w:rFonts w:asciiTheme="majorHAnsi" w:hAnsiTheme="majorHAnsi" w:cstheme="majorHAnsi"/>
                <w:b/>
                <w:bCs/>
                <w:sz w:val="20"/>
                <w:szCs w:val="20"/>
              </w:rPr>
            </w:pPr>
            <w:r w:rsidRPr="0053555E">
              <w:rPr>
                <w:rFonts w:cs="Calibri"/>
                <w:b/>
                <w:bCs/>
                <w:sz w:val="20"/>
                <w:szCs w:val="20"/>
              </w:rPr>
              <w:t>6 842</w:t>
            </w:r>
          </w:p>
        </w:tc>
      </w:tr>
    </w:tbl>
    <w:p w14:paraId="54176755" w14:textId="77777777" w:rsidR="0042210A" w:rsidRPr="0053555E" w:rsidRDefault="0042210A" w:rsidP="0042210A">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Vysvetlivky:</w:t>
      </w:r>
    </w:p>
    <w:p w14:paraId="20E40757" w14:textId="22D9131E" w:rsidR="0042210A" w:rsidRPr="0053555E" w:rsidRDefault="0042210A" w:rsidP="0042210A">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w:t>
      </w:r>
      <w:r w:rsidRPr="0053555E">
        <w:rPr>
          <w:rFonts w:asciiTheme="majorHAnsi" w:eastAsia="Times New Roman" w:hAnsiTheme="majorHAnsi" w:cstheme="majorHAnsi"/>
          <w:sz w:val="20"/>
          <w:szCs w:val="20"/>
          <w:vertAlign w:val="subscript"/>
          <w:lang w:eastAsia="sk-SK"/>
        </w:rPr>
        <w:t>Z</w:t>
      </w:r>
      <w:r w:rsidRPr="0053555E">
        <w:rPr>
          <w:rFonts w:asciiTheme="majorHAnsi" w:eastAsia="Times New Roman" w:hAnsiTheme="majorHAnsi" w:cstheme="majorHAnsi"/>
          <w:sz w:val="20"/>
          <w:szCs w:val="20"/>
          <w:lang w:eastAsia="sk-SK"/>
        </w:rPr>
        <w:t xml:space="preserve"> -  celkový počet zapísaných študentov na prvom stupni štúdia k 31. 10. 20</w:t>
      </w:r>
      <w:r w:rsidR="00BF3878" w:rsidRPr="0053555E">
        <w:rPr>
          <w:rFonts w:asciiTheme="majorHAnsi" w:eastAsia="Times New Roman" w:hAnsiTheme="majorHAnsi" w:cstheme="majorHAnsi"/>
          <w:sz w:val="20"/>
          <w:szCs w:val="20"/>
          <w:lang w:eastAsia="sk-SK"/>
        </w:rPr>
        <w:t>2</w:t>
      </w:r>
      <w:r w:rsidR="000F463E" w:rsidRPr="0053555E">
        <w:rPr>
          <w:rFonts w:asciiTheme="majorHAnsi" w:eastAsia="Times New Roman" w:hAnsiTheme="majorHAnsi" w:cstheme="majorHAnsi"/>
          <w:sz w:val="20"/>
          <w:szCs w:val="20"/>
          <w:lang w:eastAsia="sk-SK"/>
        </w:rPr>
        <w:t>1</w:t>
      </w:r>
    </w:p>
    <w:p w14:paraId="66FA57D0" w14:textId="77777777" w:rsidR="0042210A" w:rsidRPr="0053555E" w:rsidRDefault="0042210A" w:rsidP="0042210A">
      <w:pPr>
        <w:tabs>
          <w:tab w:val="left" w:pos="9356"/>
        </w:tabs>
        <w:jc w:val="both"/>
        <w:rPr>
          <w:rFonts w:asciiTheme="majorHAnsi" w:hAnsiTheme="majorHAnsi" w:cstheme="majorHAnsi"/>
          <w:sz w:val="20"/>
          <w:szCs w:val="20"/>
        </w:rPr>
      </w:pPr>
      <w:r w:rsidRPr="0053555E">
        <w:rPr>
          <w:rFonts w:asciiTheme="majorHAnsi" w:hAnsiTheme="majorHAnsi" w:cstheme="majorHAnsi"/>
          <w:sz w:val="20"/>
          <w:szCs w:val="20"/>
        </w:rPr>
        <w:t>LS – letný semester, ZS – zimný semester</w:t>
      </w:r>
    </w:p>
    <w:p w14:paraId="2D07C425" w14:textId="4EEBF39E" w:rsidR="0042210A" w:rsidRPr="0053555E" w:rsidRDefault="0042210A" w:rsidP="0042210A">
      <w:pPr>
        <w:tabs>
          <w:tab w:val="left" w:pos="9356"/>
        </w:tabs>
        <w:jc w:val="both"/>
        <w:rPr>
          <w:rFonts w:asciiTheme="majorHAnsi" w:hAnsiTheme="majorHAnsi" w:cstheme="majorHAnsi"/>
          <w:sz w:val="20"/>
          <w:szCs w:val="20"/>
        </w:rPr>
      </w:pPr>
      <w:r w:rsidRPr="0053555E">
        <w:rPr>
          <w:rFonts w:asciiTheme="majorHAnsi" w:hAnsiTheme="majorHAnsi" w:cstheme="majorHAnsi"/>
          <w:sz w:val="20"/>
          <w:szCs w:val="20"/>
        </w:rPr>
        <w:t>Úbytok študentov po zimnom semestri a na konci akademického roka k 31.</w:t>
      </w:r>
      <w:r w:rsidR="00BF3878" w:rsidRPr="0053555E">
        <w:rPr>
          <w:rFonts w:asciiTheme="majorHAnsi" w:hAnsiTheme="majorHAnsi" w:cstheme="majorHAnsi"/>
          <w:sz w:val="20"/>
          <w:szCs w:val="20"/>
        </w:rPr>
        <w:t xml:space="preserve"> </w:t>
      </w:r>
      <w:r w:rsidRPr="0053555E">
        <w:rPr>
          <w:rFonts w:asciiTheme="majorHAnsi" w:hAnsiTheme="majorHAnsi" w:cstheme="majorHAnsi"/>
          <w:sz w:val="20"/>
          <w:szCs w:val="20"/>
        </w:rPr>
        <w:t>08.</w:t>
      </w:r>
      <w:r w:rsidR="00BF3878" w:rsidRPr="0053555E">
        <w:rPr>
          <w:rFonts w:asciiTheme="majorHAnsi" w:hAnsiTheme="majorHAnsi" w:cstheme="majorHAnsi"/>
          <w:sz w:val="20"/>
          <w:szCs w:val="20"/>
        </w:rPr>
        <w:t xml:space="preserve"> </w:t>
      </w:r>
      <w:r w:rsidRPr="0053555E">
        <w:rPr>
          <w:rFonts w:asciiTheme="majorHAnsi" w:hAnsiTheme="majorHAnsi" w:cstheme="majorHAnsi"/>
          <w:sz w:val="20"/>
          <w:szCs w:val="20"/>
        </w:rPr>
        <w:t>202</w:t>
      </w:r>
      <w:r w:rsidR="000F463E" w:rsidRPr="0053555E">
        <w:rPr>
          <w:rFonts w:asciiTheme="majorHAnsi" w:hAnsiTheme="majorHAnsi" w:cstheme="majorHAnsi"/>
          <w:sz w:val="20"/>
          <w:szCs w:val="20"/>
        </w:rPr>
        <w:t>2</w:t>
      </w:r>
    </w:p>
    <w:p w14:paraId="7B49D697" w14:textId="77474CD1" w:rsidR="0042210A" w:rsidRPr="00232A93" w:rsidRDefault="00B41AC9" w:rsidP="00232A93">
      <w:pPr>
        <w:rPr>
          <w:rFonts w:asciiTheme="majorHAnsi" w:hAnsiTheme="majorHAnsi" w:cstheme="majorHAnsi"/>
          <w:sz w:val="20"/>
          <w:szCs w:val="20"/>
        </w:rPr>
      </w:pPr>
      <w:r w:rsidRPr="0053555E">
        <w:rPr>
          <w:rFonts w:asciiTheme="majorHAnsi" w:hAnsiTheme="majorHAnsi" w:cstheme="majorHAnsi"/>
          <w:sz w:val="20"/>
          <w:szCs w:val="20"/>
        </w:rPr>
        <w:br w:type="page"/>
      </w:r>
      <w:r w:rsidR="0042210A" w:rsidRPr="0053555E">
        <w:rPr>
          <w:rFonts w:asciiTheme="majorHAnsi" w:hAnsiTheme="majorHAnsi" w:cstheme="majorHAnsi"/>
        </w:rPr>
        <w:lastRenderedPageBreak/>
        <w:t xml:space="preserve">Celkový </w:t>
      </w:r>
      <w:r w:rsidR="0042210A" w:rsidRPr="0053555E">
        <w:rPr>
          <w:rFonts w:asciiTheme="majorHAnsi" w:hAnsiTheme="majorHAnsi" w:cstheme="majorHAnsi"/>
          <w:b/>
        </w:rPr>
        <w:t>počet zapísaných študentov na prvom stupni</w:t>
      </w:r>
      <w:r w:rsidR="0042210A" w:rsidRPr="0053555E">
        <w:rPr>
          <w:rFonts w:asciiTheme="majorHAnsi" w:hAnsiTheme="majorHAnsi" w:cstheme="majorHAnsi"/>
        </w:rPr>
        <w:t xml:space="preserve"> </w:t>
      </w:r>
      <w:r w:rsidR="0042210A" w:rsidRPr="0053555E">
        <w:rPr>
          <w:rFonts w:asciiTheme="majorHAnsi" w:hAnsiTheme="majorHAnsi" w:cstheme="majorHAnsi"/>
          <w:b/>
        </w:rPr>
        <w:t>štúdia</w:t>
      </w:r>
      <w:r w:rsidR="0042210A" w:rsidRPr="0053555E">
        <w:rPr>
          <w:rFonts w:asciiTheme="majorHAnsi" w:hAnsiTheme="majorHAnsi" w:cstheme="majorHAnsi"/>
        </w:rPr>
        <w:t xml:space="preserve"> v dennej forme v akademickom roku </w:t>
      </w:r>
      <w:r w:rsidR="00EA24BA" w:rsidRPr="0053555E">
        <w:rPr>
          <w:rFonts w:asciiTheme="majorHAnsi" w:hAnsiTheme="majorHAnsi" w:cstheme="majorHAnsi"/>
        </w:rPr>
        <w:t>2021/2022</w:t>
      </w:r>
      <w:r w:rsidR="0042210A" w:rsidRPr="0053555E">
        <w:rPr>
          <w:rFonts w:asciiTheme="majorHAnsi" w:hAnsiTheme="majorHAnsi" w:cstheme="majorHAnsi"/>
        </w:rPr>
        <w:t xml:space="preserve"> bol </w:t>
      </w:r>
      <w:r w:rsidR="0042210A" w:rsidRPr="0053555E">
        <w:rPr>
          <w:rFonts w:asciiTheme="majorHAnsi" w:hAnsiTheme="majorHAnsi" w:cstheme="majorHAnsi"/>
          <w:b/>
        </w:rPr>
        <w:t xml:space="preserve">6 </w:t>
      </w:r>
      <w:r w:rsidR="00E027DC">
        <w:rPr>
          <w:rFonts w:asciiTheme="majorHAnsi" w:hAnsiTheme="majorHAnsi" w:cstheme="majorHAnsi"/>
          <w:b/>
        </w:rPr>
        <w:t>842</w:t>
      </w:r>
      <w:r w:rsidR="0042210A" w:rsidRPr="0053555E">
        <w:rPr>
          <w:rFonts w:asciiTheme="majorHAnsi" w:hAnsiTheme="majorHAnsi" w:cstheme="majorHAnsi"/>
          <w:b/>
        </w:rPr>
        <w:t>,</w:t>
      </w:r>
      <w:r w:rsidR="0042210A" w:rsidRPr="0053555E">
        <w:rPr>
          <w:rFonts w:asciiTheme="majorHAnsi" w:hAnsiTheme="majorHAnsi" w:cstheme="majorHAnsi"/>
        </w:rPr>
        <w:t xml:space="preserve"> čo predstavuje už spomínaný </w:t>
      </w:r>
      <w:r w:rsidR="00037834">
        <w:rPr>
          <w:rFonts w:asciiTheme="majorHAnsi" w:hAnsiTheme="majorHAnsi" w:cstheme="majorHAnsi"/>
          <w:b/>
        </w:rPr>
        <w:t>pokles</w:t>
      </w:r>
      <w:r w:rsidR="0042210A" w:rsidRPr="0053555E">
        <w:rPr>
          <w:rFonts w:asciiTheme="majorHAnsi" w:hAnsiTheme="majorHAnsi" w:cstheme="majorHAnsi"/>
        </w:rPr>
        <w:t xml:space="preserve"> oproti akademickému roku 20</w:t>
      </w:r>
      <w:r w:rsidR="00037834">
        <w:rPr>
          <w:rFonts w:asciiTheme="majorHAnsi" w:hAnsiTheme="majorHAnsi" w:cstheme="majorHAnsi"/>
        </w:rPr>
        <w:t>20</w:t>
      </w:r>
      <w:r w:rsidR="0042210A" w:rsidRPr="0053555E">
        <w:rPr>
          <w:rFonts w:asciiTheme="majorHAnsi" w:hAnsiTheme="majorHAnsi" w:cstheme="majorHAnsi"/>
        </w:rPr>
        <w:t>/20</w:t>
      </w:r>
      <w:r w:rsidR="00B60153" w:rsidRPr="0053555E">
        <w:rPr>
          <w:rFonts w:asciiTheme="majorHAnsi" w:hAnsiTheme="majorHAnsi" w:cstheme="majorHAnsi"/>
        </w:rPr>
        <w:t>2</w:t>
      </w:r>
      <w:r w:rsidR="00037834">
        <w:rPr>
          <w:rFonts w:asciiTheme="majorHAnsi" w:hAnsiTheme="majorHAnsi" w:cstheme="majorHAnsi"/>
        </w:rPr>
        <w:t>1</w:t>
      </w:r>
      <w:r w:rsidR="0042210A" w:rsidRPr="0053555E">
        <w:rPr>
          <w:rFonts w:asciiTheme="majorHAnsi" w:hAnsiTheme="majorHAnsi" w:cstheme="majorHAnsi"/>
        </w:rPr>
        <w:t xml:space="preserve"> </w:t>
      </w:r>
      <w:r w:rsidR="0042210A" w:rsidRPr="0053555E">
        <w:rPr>
          <w:rFonts w:asciiTheme="majorHAnsi" w:hAnsiTheme="majorHAnsi" w:cstheme="majorHAnsi"/>
          <w:b/>
        </w:rPr>
        <w:t>o </w:t>
      </w:r>
      <w:r w:rsidR="00037834">
        <w:rPr>
          <w:rFonts w:asciiTheme="majorHAnsi" w:hAnsiTheme="majorHAnsi" w:cstheme="majorHAnsi"/>
          <w:b/>
        </w:rPr>
        <w:t>127</w:t>
      </w:r>
      <w:r w:rsidR="0042210A" w:rsidRPr="0053555E">
        <w:rPr>
          <w:rFonts w:asciiTheme="majorHAnsi" w:hAnsiTheme="majorHAnsi" w:cstheme="majorHAnsi"/>
          <w:b/>
        </w:rPr>
        <w:t xml:space="preserve"> študentov</w:t>
      </w:r>
      <w:r w:rsidR="0042210A" w:rsidRPr="0053555E">
        <w:rPr>
          <w:rFonts w:asciiTheme="majorHAnsi" w:hAnsiTheme="majorHAnsi" w:cstheme="majorHAnsi"/>
        </w:rPr>
        <w:t>. Z </w:t>
      </w:r>
      <w:r w:rsidR="0042210A" w:rsidRPr="00232A93">
        <w:rPr>
          <w:rFonts w:asciiTheme="majorHAnsi" w:hAnsiTheme="majorHAnsi" w:cstheme="majorHAnsi"/>
        </w:rPr>
        <w:fldChar w:fldCharType="begin"/>
      </w:r>
      <w:r w:rsidR="0042210A" w:rsidRPr="00232A93">
        <w:rPr>
          <w:rFonts w:asciiTheme="majorHAnsi" w:hAnsiTheme="majorHAnsi" w:cstheme="majorHAnsi"/>
        </w:rPr>
        <w:instrText xml:space="preserve"> REF _Ref31707596 \h  \* MERGEFORMAT </w:instrText>
      </w:r>
      <w:r w:rsidR="0042210A" w:rsidRPr="00232A93">
        <w:rPr>
          <w:rFonts w:asciiTheme="majorHAnsi" w:hAnsiTheme="majorHAnsi" w:cstheme="majorHAnsi"/>
        </w:rPr>
      </w:r>
      <w:r w:rsidR="0042210A" w:rsidRPr="00232A93">
        <w:rPr>
          <w:rFonts w:asciiTheme="majorHAnsi" w:hAnsiTheme="majorHAnsi" w:cstheme="majorHAnsi"/>
        </w:rPr>
        <w:fldChar w:fldCharType="separate"/>
      </w:r>
      <w:r w:rsidR="00EE1B59" w:rsidRPr="00232A93">
        <w:rPr>
          <w:rFonts w:asciiTheme="majorHAnsi" w:eastAsia="Times New Roman" w:hAnsiTheme="majorHAnsi" w:cstheme="majorHAnsi"/>
          <w:lang w:eastAsia="sk-SK"/>
        </w:rPr>
        <w:t>Tab. č. 10</w:t>
      </w:r>
      <w:r w:rsidR="0042210A" w:rsidRPr="00232A93">
        <w:rPr>
          <w:rFonts w:asciiTheme="majorHAnsi" w:hAnsiTheme="majorHAnsi" w:cstheme="majorHAnsi"/>
        </w:rPr>
        <w:fldChar w:fldCharType="end"/>
      </w:r>
      <w:r w:rsidR="0042210A" w:rsidRPr="0053555E">
        <w:rPr>
          <w:rFonts w:asciiTheme="majorHAnsi" w:hAnsiTheme="majorHAnsi" w:cstheme="majorHAnsi"/>
          <w:sz w:val="20"/>
          <w:szCs w:val="20"/>
        </w:rPr>
        <w:t xml:space="preserve"> </w:t>
      </w:r>
      <w:r w:rsidR="0042210A" w:rsidRPr="0053555E">
        <w:rPr>
          <w:rFonts w:asciiTheme="majorHAnsi" w:hAnsiTheme="majorHAnsi" w:cstheme="majorHAnsi"/>
        </w:rPr>
        <w:t>je možné pozorovať úbytok študentov vyjadrený v % na</w:t>
      </w:r>
      <w:r w:rsidR="00037834">
        <w:rPr>
          <w:rFonts w:asciiTheme="majorHAnsi" w:hAnsiTheme="majorHAnsi" w:cstheme="majorHAnsi"/>
        </w:rPr>
        <w:t> </w:t>
      </w:r>
      <w:r w:rsidR="0042210A" w:rsidRPr="0053555E">
        <w:rPr>
          <w:rFonts w:asciiTheme="majorHAnsi" w:hAnsiTheme="majorHAnsi" w:cstheme="majorHAnsi"/>
        </w:rPr>
        <w:t xml:space="preserve">prvom stupni po </w:t>
      </w:r>
      <w:r w:rsidR="00037834">
        <w:rPr>
          <w:rFonts w:asciiTheme="majorHAnsi" w:hAnsiTheme="majorHAnsi" w:cstheme="majorHAnsi"/>
        </w:rPr>
        <w:t>jednotlivých</w:t>
      </w:r>
      <w:r w:rsidR="0042210A" w:rsidRPr="0053555E">
        <w:rPr>
          <w:rFonts w:asciiTheme="majorHAnsi" w:hAnsiTheme="majorHAnsi" w:cstheme="majorHAnsi"/>
        </w:rPr>
        <w:t xml:space="preserve"> rokoch štúdia. Je zrejmé, že prvý rok štúdia je pre študentov kritický z hľadiska ich úspešného zotrvania v štúdiu, pretože </w:t>
      </w:r>
      <w:r w:rsidR="0042210A" w:rsidRPr="0053555E">
        <w:rPr>
          <w:rFonts w:asciiTheme="majorHAnsi" w:hAnsiTheme="majorHAnsi" w:cstheme="majorHAnsi"/>
          <w:b/>
        </w:rPr>
        <w:t>3</w:t>
      </w:r>
      <w:r w:rsidR="00E86030">
        <w:rPr>
          <w:rFonts w:asciiTheme="majorHAnsi" w:hAnsiTheme="majorHAnsi" w:cstheme="majorHAnsi"/>
          <w:b/>
        </w:rPr>
        <w:t>6</w:t>
      </w:r>
      <w:r w:rsidR="0042210A" w:rsidRPr="0053555E">
        <w:rPr>
          <w:rFonts w:asciiTheme="majorHAnsi" w:hAnsiTheme="majorHAnsi" w:cstheme="majorHAnsi"/>
          <w:b/>
        </w:rPr>
        <w:t xml:space="preserve"> %</w:t>
      </w:r>
      <w:r w:rsidR="0060589F" w:rsidRPr="0053555E">
        <w:rPr>
          <w:rFonts w:asciiTheme="majorHAnsi" w:hAnsiTheme="majorHAnsi" w:cstheme="majorHAnsi"/>
        </w:rPr>
        <w:t xml:space="preserve"> študentov na </w:t>
      </w:r>
      <w:r w:rsidR="0042210A" w:rsidRPr="0053555E">
        <w:rPr>
          <w:rFonts w:asciiTheme="majorHAnsi" w:hAnsiTheme="majorHAnsi" w:cstheme="majorHAnsi"/>
        </w:rPr>
        <w:t xml:space="preserve">prvom stupni štúdia v priemere za univerzitu nezvládlo prvý rok štúdia v akademickom roku </w:t>
      </w:r>
      <w:r w:rsidR="00EA24BA" w:rsidRPr="0053555E">
        <w:rPr>
          <w:rFonts w:asciiTheme="majorHAnsi" w:hAnsiTheme="majorHAnsi" w:cstheme="majorHAnsi"/>
        </w:rPr>
        <w:t>2021/2022</w:t>
      </w:r>
      <w:r w:rsidR="0042210A" w:rsidRPr="0053555E">
        <w:rPr>
          <w:rFonts w:asciiTheme="majorHAnsi" w:hAnsiTheme="majorHAnsi" w:cstheme="majorHAnsi"/>
        </w:rPr>
        <w:t>. Medzi najčastejšie príčiny úbytku študentov po prvom roku štúdia patria najmä dlhodobo nedostatočná príprava na strednej škole na štúdium technického zamerania (</w:t>
      </w:r>
      <w:r w:rsidR="0042210A" w:rsidRPr="0053555E">
        <w:rPr>
          <w:rFonts w:asciiTheme="majorHAnsi" w:hAnsiTheme="majorHAnsi" w:cstheme="majorHAnsi"/>
          <w:b/>
        </w:rPr>
        <w:t xml:space="preserve">znižovanie rozsahu a úrovne výučby </w:t>
      </w:r>
      <w:r w:rsidR="000E4D8E">
        <w:rPr>
          <w:rFonts w:asciiTheme="majorHAnsi" w:hAnsiTheme="majorHAnsi" w:cstheme="majorHAnsi"/>
          <w:b/>
        </w:rPr>
        <w:t>najmä</w:t>
      </w:r>
      <w:r w:rsidR="0042210A" w:rsidRPr="0053555E">
        <w:rPr>
          <w:rFonts w:asciiTheme="majorHAnsi" w:hAnsiTheme="majorHAnsi" w:cstheme="majorHAnsi"/>
          <w:b/>
        </w:rPr>
        <w:t xml:space="preserve"> prírodovedných predmetov</w:t>
      </w:r>
      <w:r w:rsidR="0042210A" w:rsidRPr="0053555E">
        <w:rPr>
          <w:rFonts w:asciiTheme="majorHAnsi" w:hAnsiTheme="majorHAnsi" w:cstheme="majorHAnsi"/>
        </w:rPr>
        <w:t xml:space="preserve">), </w:t>
      </w:r>
      <w:r w:rsidR="0042210A" w:rsidRPr="0053555E">
        <w:rPr>
          <w:rFonts w:asciiTheme="majorHAnsi" w:hAnsiTheme="majorHAnsi" w:cstheme="majorHAnsi"/>
          <w:b/>
        </w:rPr>
        <w:t>dlhodobo</w:t>
      </w:r>
      <w:r w:rsidR="0042210A" w:rsidRPr="0053555E">
        <w:rPr>
          <w:rFonts w:asciiTheme="majorHAnsi" w:hAnsiTheme="majorHAnsi" w:cstheme="majorHAnsi"/>
        </w:rPr>
        <w:t xml:space="preserve"> </w:t>
      </w:r>
      <w:r w:rsidR="0042210A" w:rsidRPr="0053555E">
        <w:rPr>
          <w:rFonts w:asciiTheme="majorHAnsi" w:hAnsiTheme="majorHAnsi" w:cstheme="majorHAnsi"/>
          <w:b/>
        </w:rPr>
        <w:t xml:space="preserve">klesajúci počet študentov maturujúcich z matematiky </w:t>
      </w:r>
      <w:r w:rsidR="0042210A" w:rsidRPr="0053555E">
        <w:rPr>
          <w:rFonts w:asciiTheme="majorHAnsi" w:hAnsiTheme="majorHAnsi" w:cstheme="majorHAnsi"/>
        </w:rPr>
        <w:t xml:space="preserve">a tým aj slabšia pripravenosť na zvládnutie technických predmetov na STU, ďalej tiež zmena prostredia a iný systém vzdelávania na </w:t>
      </w:r>
      <w:r w:rsidR="00EF1989" w:rsidRPr="0053555E">
        <w:rPr>
          <w:rFonts w:asciiTheme="majorHAnsi" w:hAnsiTheme="majorHAnsi" w:cstheme="majorHAnsi"/>
        </w:rPr>
        <w:t>vysokej škole</w:t>
      </w:r>
      <w:r w:rsidR="0042210A" w:rsidRPr="0053555E">
        <w:rPr>
          <w:rFonts w:asciiTheme="majorHAnsi" w:hAnsiTheme="majorHAnsi" w:cstheme="majorHAnsi"/>
        </w:rPr>
        <w:t xml:space="preserve"> oproti stredoškolskému štúdiu</w:t>
      </w:r>
      <w:r w:rsidR="000E4D8E">
        <w:rPr>
          <w:rFonts w:asciiTheme="majorHAnsi" w:hAnsiTheme="majorHAnsi" w:cstheme="majorHAnsi"/>
        </w:rPr>
        <w:t xml:space="preserve"> a v neposlednom</w:t>
      </w:r>
      <w:r w:rsidR="00E86030">
        <w:rPr>
          <w:rFonts w:asciiTheme="majorHAnsi" w:hAnsiTheme="majorHAnsi" w:cstheme="majorHAnsi"/>
        </w:rPr>
        <w:t xml:space="preserve"> rade dôsledky predchádzajúceho obdobia pandémie COVID-19</w:t>
      </w:r>
      <w:r w:rsidR="0042210A" w:rsidRPr="0053555E">
        <w:rPr>
          <w:rFonts w:asciiTheme="majorHAnsi" w:hAnsiTheme="majorHAnsi" w:cstheme="majorHAnsi"/>
        </w:rPr>
        <w:t xml:space="preserve">. Významnú úlohu hrá aj fakt, že uchádzači sú prijímaní zväčša bez prijímacej skúšky. Zimný semester 1. roka štúdia tak predstavuje akési predĺženie prijímacieho konania, v ktorom si uchádzači overujú schopnosti a záujem o ďalšie štúdium na vysokej škole. </w:t>
      </w:r>
    </w:p>
    <w:p w14:paraId="5ABA4655" w14:textId="52E96206" w:rsidR="0042210A" w:rsidRPr="0053555E" w:rsidRDefault="0042210A" w:rsidP="0042210A">
      <w:pPr>
        <w:tabs>
          <w:tab w:val="left" w:pos="9356"/>
        </w:tabs>
        <w:spacing w:after="120"/>
        <w:jc w:val="both"/>
        <w:rPr>
          <w:rFonts w:asciiTheme="majorHAnsi" w:hAnsiTheme="majorHAnsi" w:cstheme="majorHAnsi"/>
        </w:rPr>
      </w:pPr>
      <w:r w:rsidRPr="0053555E">
        <w:rPr>
          <w:rFonts w:asciiTheme="majorHAnsi" w:hAnsiTheme="majorHAnsi" w:cstheme="majorHAnsi"/>
          <w:b/>
        </w:rPr>
        <w:t>Celkový</w:t>
      </w:r>
      <w:r w:rsidRPr="0053555E">
        <w:rPr>
          <w:rFonts w:asciiTheme="majorHAnsi" w:hAnsiTheme="majorHAnsi" w:cstheme="majorHAnsi"/>
        </w:rPr>
        <w:t xml:space="preserve"> </w:t>
      </w:r>
      <w:r w:rsidRPr="0053555E">
        <w:rPr>
          <w:rFonts w:asciiTheme="majorHAnsi" w:hAnsiTheme="majorHAnsi" w:cstheme="majorHAnsi"/>
          <w:b/>
        </w:rPr>
        <w:t xml:space="preserve">úbytok študentov </w:t>
      </w:r>
      <w:r w:rsidRPr="0053555E">
        <w:rPr>
          <w:rFonts w:asciiTheme="majorHAnsi" w:hAnsiTheme="majorHAnsi" w:cstheme="majorHAnsi"/>
        </w:rPr>
        <w:t>na prvom stupni štúdia</w:t>
      </w:r>
      <w:r w:rsidRPr="0053555E">
        <w:rPr>
          <w:rFonts w:asciiTheme="majorHAnsi" w:hAnsiTheme="majorHAnsi" w:cstheme="majorHAnsi"/>
          <w:b/>
        </w:rPr>
        <w:t xml:space="preserve"> po prvom roku </w:t>
      </w:r>
      <w:r w:rsidRPr="0053555E">
        <w:rPr>
          <w:rFonts w:asciiTheme="majorHAnsi" w:hAnsiTheme="majorHAnsi" w:cstheme="majorHAnsi"/>
        </w:rPr>
        <w:t xml:space="preserve">sa </w:t>
      </w:r>
      <w:r w:rsidR="005E6C6F">
        <w:rPr>
          <w:rFonts w:asciiTheme="majorHAnsi" w:hAnsiTheme="majorHAnsi" w:cstheme="majorHAnsi"/>
        </w:rPr>
        <w:t>v porovnaní s akademickým rokom</w:t>
      </w:r>
      <w:r w:rsidRPr="0053555E">
        <w:rPr>
          <w:rFonts w:asciiTheme="majorHAnsi" w:hAnsiTheme="majorHAnsi" w:cstheme="majorHAnsi"/>
        </w:rPr>
        <w:t xml:space="preserve"> 20</w:t>
      </w:r>
      <w:r w:rsidR="00457236">
        <w:rPr>
          <w:rFonts w:asciiTheme="majorHAnsi" w:hAnsiTheme="majorHAnsi" w:cstheme="majorHAnsi"/>
        </w:rPr>
        <w:t>20</w:t>
      </w:r>
      <w:r w:rsidRPr="0053555E">
        <w:rPr>
          <w:rFonts w:asciiTheme="majorHAnsi" w:hAnsiTheme="majorHAnsi" w:cstheme="majorHAnsi"/>
        </w:rPr>
        <w:t>/20</w:t>
      </w:r>
      <w:r w:rsidR="001819B3" w:rsidRPr="0053555E">
        <w:rPr>
          <w:rFonts w:asciiTheme="majorHAnsi" w:hAnsiTheme="majorHAnsi" w:cstheme="majorHAnsi"/>
        </w:rPr>
        <w:t>2</w:t>
      </w:r>
      <w:r w:rsidR="00457236">
        <w:rPr>
          <w:rFonts w:asciiTheme="majorHAnsi" w:hAnsiTheme="majorHAnsi" w:cstheme="majorHAnsi"/>
        </w:rPr>
        <w:t>1</w:t>
      </w:r>
      <w:r w:rsidRPr="0053555E">
        <w:rPr>
          <w:rFonts w:asciiTheme="majorHAnsi" w:hAnsiTheme="majorHAnsi" w:cstheme="majorHAnsi"/>
          <w:b/>
        </w:rPr>
        <w:t xml:space="preserve"> </w:t>
      </w:r>
      <w:r w:rsidR="00457236">
        <w:rPr>
          <w:rFonts w:asciiTheme="majorHAnsi" w:hAnsiTheme="majorHAnsi" w:cstheme="majorHAnsi"/>
          <w:b/>
        </w:rPr>
        <w:t>zvýšil</w:t>
      </w:r>
      <w:r w:rsidRPr="0053555E">
        <w:rPr>
          <w:rFonts w:asciiTheme="majorHAnsi" w:hAnsiTheme="majorHAnsi" w:cstheme="majorHAnsi"/>
          <w:b/>
        </w:rPr>
        <w:t xml:space="preserve"> </w:t>
      </w:r>
      <w:r w:rsidRPr="0053555E">
        <w:rPr>
          <w:rFonts w:asciiTheme="majorHAnsi" w:hAnsiTheme="majorHAnsi" w:cstheme="majorHAnsi"/>
        </w:rPr>
        <w:t>na väčšine súčastí STU</w:t>
      </w:r>
      <w:r w:rsidRPr="0053555E">
        <w:rPr>
          <w:rFonts w:asciiTheme="majorHAnsi" w:hAnsiTheme="majorHAnsi" w:cstheme="majorHAnsi"/>
          <w:b/>
        </w:rPr>
        <w:t xml:space="preserve">, celkove </w:t>
      </w:r>
      <w:r w:rsidR="00457236">
        <w:rPr>
          <w:rFonts w:asciiTheme="majorHAnsi" w:hAnsiTheme="majorHAnsi" w:cstheme="majorHAnsi"/>
          <w:b/>
        </w:rPr>
        <w:t xml:space="preserve">na STU </w:t>
      </w:r>
      <w:r w:rsidRPr="0053555E">
        <w:rPr>
          <w:rFonts w:asciiTheme="majorHAnsi" w:hAnsiTheme="majorHAnsi" w:cstheme="majorHAnsi"/>
          <w:b/>
        </w:rPr>
        <w:t>o </w:t>
      </w:r>
      <w:r w:rsidR="001517FF" w:rsidRPr="0053555E">
        <w:rPr>
          <w:rFonts w:asciiTheme="majorHAnsi" w:hAnsiTheme="majorHAnsi" w:cstheme="majorHAnsi"/>
          <w:b/>
        </w:rPr>
        <w:t>4</w:t>
      </w:r>
      <w:r w:rsidRPr="0053555E">
        <w:rPr>
          <w:rFonts w:asciiTheme="majorHAnsi" w:hAnsiTheme="majorHAnsi" w:cstheme="majorHAnsi"/>
          <w:b/>
        </w:rPr>
        <w:t xml:space="preserve"> %</w:t>
      </w:r>
      <w:r w:rsidRPr="0053555E">
        <w:rPr>
          <w:rFonts w:asciiTheme="majorHAnsi" w:hAnsiTheme="majorHAnsi" w:cstheme="majorHAnsi"/>
        </w:rPr>
        <w:t xml:space="preserve">. </w:t>
      </w:r>
      <w:r w:rsidR="00FE37A0" w:rsidRPr="0053555E">
        <w:rPr>
          <w:rFonts w:asciiTheme="majorHAnsi" w:hAnsiTheme="majorHAnsi" w:cstheme="majorHAnsi"/>
        </w:rPr>
        <w:t xml:space="preserve">Úbytok študentov po prvom roku štúdia sa znížil na </w:t>
      </w:r>
      <w:r w:rsidR="00457236">
        <w:rPr>
          <w:rFonts w:asciiTheme="majorHAnsi" w:hAnsiTheme="majorHAnsi" w:cstheme="majorHAnsi"/>
        </w:rPr>
        <w:t>FEI</w:t>
      </w:r>
      <w:r w:rsidR="00FE37A0" w:rsidRPr="0053555E">
        <w:rPr>
          <w:rFonts w:asciiTheme="majorHAnsi" w:hAnsiTheme="majorHAnsi" w:cstheme="majorHAnsi"/>
        </w:rPr>
        <w:t xml:space="preserve"> z 3</w:t>
      </w:r>
      <w:r w:rsidR="00457236">
        <w:rPr>
          <w:rFonts w:asciiTheme="majorHAnsi" w:hAnsiTheme="majorHAnsi" w:cstheme="majorHAnsi"/>
        </w:rPr>
        <w:t>4</w:t>
      </w:r>
      <w:r w:rsidR="00FE37A0" w:rsidRPr="0053555E">
        <w:rPr>
          <w:rFonts w:asciiTheme="majorHAnsi" w:hAnsiTheme="majorHAnsi" w:cstheme="majorHAnsi"/>
        </w:rPr>
        <w:t xml:space="preserve"> % na </w:t>
      </w:r>
      <w:r w:rsidR="00457236">
        <w:rPr>
          <w:rFonts w:asciiTheme="majorHAnsi" w:hAnsiTheme="majorHAnsi" w:cstheme="majorHAnsi"/>
        </w:rPr>
        <w:t>30</w:t>
      </w:r>
      <w:r w:rsidR="00FE37A0" w:rsidRPr="0053555E">
        <w:rPr>
          <w:rFonts w:asciiTheme="majorHAnsi" w:hAnsiTheme="majorHAnsi" w:cstheme="majorHAnsi"/>
        </w:rPr>
        <w:t xml:space="preserve"> %</w:t>
      </w:r>
      <w:r w:rsidR="00457236">
        <w:rPr>
          <w:rFonts w:asciiTheme="majorHAnsi" w:hAnsiTheme="majorHAnsi" w:cstheme="majorHAnsi"/>
        </w:rPr>
        <w:t xml:space="preserve"> a</w:t>
      </w:r>
      <w:r w:rsidR="00051109">
        <w:rPr>
          <w:rFonts w:asciiTheme="majorHAnsi" w:hAnsiTheme="majorHAnsi" w:cstheme="majorHAnsi"/>
        </w:rPr>
        <w:t xml:space="preserve"> významne </w:t>
      </w:r>
      <w:r w:rsidR="00457236">
        <w:rPr>
          <w:rFonts w:asciiTheme="majorHAnsi" w:hAnsiTheme="majorHAnsi" w:cstheme="majorHAnsi"/>
        </w:rPr>
        <w:t>na ÚM zo 46 % na 12 %</w:t>
      </w:r>
      <w:r w:rsidR="00FE37A0" w:rsidRPr="0053555E">
        <w:rPr>
          <w:rFonts w:asciiTheme="majorHAnsi" w:hAnsiTheme="majorHAnsi" w:cstheme="majorHAnsi"/>
        </w:rPr>
        <w:t>.</w:t>
      </w:r>
      <w:r w:rsidRPr="0053555E">
        <w:rPr>
          <w:rFonts w:asciiTheme="majorHAnsi" w:hAnsiTheme="majorHAnsi" w:cstheme="majorHAnsi"/>
        </w:rPr>
        <w:t xml:space="preserve"> </w:t>
      </w:r>
    </w:p>
    <w:p w14:paraId="3728FEE0" w14:textId="3E5EA3BD" w:rsidR="0042210A" w:rsidRPr="0053555E" w:rsidRDefault="0042210A" w:rsidP="0042210A">
      <w:pPr>
        <w:tabs>
          <w:tab w:val="left" w:pos="9356"/>
        </w:tabs>
        <w:spacing w:after="120"/>
        <w:jc w:val="both"/>
        <w:rPr>
          <w:rFonts w:asciiTheme="majorHAnsi" w:hAnsiTheme="majorHAnsi" w:cstheme="majorHAnsi"/>
        </w:rPr>
      </w:pPr>
      <w:r w:rsidRPr="0053555E">
        <w:rPr>
          <w:rFonts w:asciiTheme="majorHAnsi" w:hAnsiTheme="majorHAnsi" w:cstheme="majorHAnsi"/>
          <w:b/>
        </w:rPr>
        <w:t>Úbytok študentov po druhom roku štúdia</w:t>
      </w:r>
      <w:r w:rsidRPr="0053555E">
        <w:rPr>
          <w:rFonts w:asciiTheme="majorHAnsi" w:hAnsiTheme="majorHAnsi" w:cstheme="majorHAnsi"/>
        </w:rPr>
        <w:t xml:space="preserve"> je podstatne </w:t>
      </w:r>
      <w:r w:rsidRPr="0053555E">
        <w:rPr>
          <w:rFonts w:asciiTheme="majorHAnsi" w:hAnsiTheme="majorHAnsi" w:cstheme="majorHAnsi"/>
          <w:b/>
        </w:rPr>
        <w:t>nižší</w:t>
      </w:r>
      <w:r w:rsidRPr="0053555E">
        <w:rPr>
          <w:rFonts w:asciiTheme="majorHAnsi" w:hAnsiTheme="majorHAnsi" w:cstheme="majorHAnsi"/>
        </w:rPr>
        <w:t xml:space="preserve"> ako po prvom roku štúdia a celkove za univerzitu </w:t>
      </w:r>
      <w:r w:rsidRPr="0053555E">
        <w:rPr>
          <w:rFonts w:asciiTheme="majorHAnsi" w:hAnsiTheme="majorHAnsi" w:cstheme="majorHAnsi"/>
          <w:b/>
        </w:rPr>
        <w:t>predstavuje 1</w:t>
      </w:r>
      <w:r w:rsidR="00051109">
        <w:rPr>
          <w:rFonts w:asciiTheme="majorHAnsi" w:hAnsiTheme="majorHAnsi" w:cstheme="majorHAnsi"/>
          <w:b/>
        </w:rPr>
        <w:t>9</w:t>
      </w:r>
      <w:r w:rsidRPr="0053555E">
        <w:rPr>
          <w:rFonts w:asciiTheme="majorHAnsi" w:hAnsiTheme="majorHAnsi" w:cstheme="majorHAnsi"/>
          <w:b/>
        </w:rPr>
        <w:t xml:space="preserve">  %</w:t>
      </w:r>
      <w:r w:rsidR="00CA077D">
        <w:rPr>
          <w:rFonts w:asciiTheme="majorHAnsi" w:hAnsiTheme="majorHAnsi" w:cstheme="majorHAnsi"/>
          <w:b/>
        </w:rPr>
        <w:t xml:space="preserve">, čo je </w:t>
      </w:r>
      <w:r w:rsidR="00051109" w:rsidRPr="001C6ABC">
        <w:rPr>
          <w:rFonts w:asciiTheme="majorHAnsi" w:hAnsiTheme="majorHAnsi" w:cstheme="majorHAnsi"/>
          <w:b/>
        </w:rPr>
        <w:t>nárast o 6 %</w:t>
      </w:r>
      <w:r w:rsidR="007D697A" w:rsidRPr="0053555E">
        <w:rPr>
          <w:rFonts w:asciiTheme="majorHAnsi" w:hAnsiTheme="majorHAnsi" w:cstheme="majorHAnsi"/>
        </w:rPr>
        <w:t xml:space="preserve"> </w:t>
      </w:r>
      <w:r w:rsidR="001C6ABC">
        <w:rPr>
          <w:rFonts w:asciiTheme="majorHAnsi" w:hAnsiTheme="majorHAnsi" w:cstheme="majorHAnsi"/>
        </w:rPr>
        <w:t xml:space="preserve">oproti </w:t>
      </w:r>
      <w:r w:rsidR="007D697A" w:rsidRPr="0053555E">
        <w:rPr>
          <w:rFonts w:asciiTheme="majorHAnsi" w:hAnsiTheme="majorHAnsi" w:cstheme="majorHAnsi"/>
        </w:rPr>
        <w:t>a</w:t>
      </w:r>
      <w:r w:rsidRPr="0053555E">
        <w:rPr>
          <w:rFonts w:asciiTheme="majorHAnsi" w:hAnsiTheme="majorHAnsi" w:cstheme="majorHAnsi"/>
        </w:rPr>
        <w:t>kademick</w:t>
      </w:r>
      <w:r w:rsidR="001C6ABC">
        <w:rPr>
          <w:rFonts w:asciiTheme="majorHAnsi" w:hAnsiTheme="majorHAnsi" w:cstheme="majorHAnsi"/>
        </w:rPr>
        <w:t>ému</w:t>
      </w:r>
      <w:r w:rsidRPr="0053555E">
        <w:rPr>
          <w:rFonts w:asciiTheme="majorHAnsi" w:hAnsiTheme="majorHAnsi" w:cstheme="majorHAnsi"/>
        </w:rPr>
        <w:t xml:space="preserve"> roku 20</w:t>
      </w:r>
      <w:r w:rsidR="001C6ABC">
        <w:rPr>
          <w:rFonts w:asciiTheme="majorHAnsi" w:hAnsiTheme="majorHAnsi" w:cstheme="majorHAnsi"/>
        </w:rPr>
        <w:t>20</w:t>
      </w:r>
      <w:r w:rsidR="00A77819" w:rsidRPr="0053555E">
        <w:rPr>
          <w:rFonts w:asciiTheme="majorHAnsi" w:hAnsiTheme="majorHAnsi" w:cstheme="majorHAnsi"/>
        </w:rPr>
        <w:t>/202</w:t>
      </w:r>
      <w:r w:rsidR="001C6ABC">
        <w:rPr>
          <w:rFonts w:asciiTheme="majorHAnsi" w:hAnsiTheme="majorHAnsi" w:cstheme="majorHAnsi"/>
        </w:rPr>
        <w:t>1</w:t>
      </w:r>
      <w:r w:rsidRPr="0053555E">
        <w:rPr>
          <w:rFonts w:asciiTheme="majorHAnsi" w:hAnsiTheme="majorHAnsi" w:cstheme="majorHAnsi"/>
        </w:rPr>
        <w:t xml:space="preserve">. Častou príčinou zanechania alebo vylúčenia zo štúdia vo vyššom roku štúdia je práve neúspešné absolvovanie predmetov prenesených z prvého roku štúdia (opakovane zapísaných predmetov), čo len </w:t>
      </w:r>
      <w:r w:rsidR="00BA220B">
        <w:rPr>
          <w:rFonts w:asciiTheme="majorHAnsi" w:hAnsiTheme="majorHAnsi" w:cstheme="majorHAnsi"/>
        </w:rPr>
        <w:t>zdôrazňuje</w:t>
      </w:r>
      <w:r w:rsidRPr="0053555E">
        <w:rPr>
          <w:rFonts w:asciiTheme="majorHAnsi" w:hAnsiTheme="majorHAnsi" w:cstheme="majorHAnsi"/>
        </w:rPr>
        <w:t xml:space="preserve"> </w:t>
      </w:r>
      <w:r w:rsidR="00BA220B">
        <w:rPr>
          <w:rFonts w:asciiTheme="majorHAnsi" w:hAnsiTheme="majorHAnsi" w:cstheme="majorHAnsi"/>
        </w:rPr>
        <w:t>náročnosť</w:t>
      </w:r>
      <w:r w:rsidRPr="0053555E">
        <w:rPr>
          <w:rFonts w:asciiTheme="majorHAnsi" w:hAnsiTheme="majorHAnsi" w:cstheme="majorHAnsi"/>
        </w:rPr>
        <w:t xml:space="preserve"> prvého roku štúdia na technickej univerzite. </w:t>
      </w:r>
    </w:p>
    <w:p w14:paraId="3AC6A29B" w14:textId="24CD6B0F" w:rsidR="00A70507" w:rsidRDefault="00A70507">
      <w:pPr>
        <w:rPr>
          <w:rFonts w:asciiTheme="majorHAnsi" w:hAnsiTheme="majorHAnsi" w:cstheme="majorHAnsi"/>
        </w:rPr>
      </w:pPr>
    </w:p>
    <w:p w14:paraId="12EFC1AD" w14:textId="6376DB80" w:rsidR="00A246D3" w:rsidRDefault="000E4D8E" w:rsidP="000E4D8E">
      <w:pPr>
        <w:rPr>
          <w:b/>
          <w:sz w:val="28"/>
          <w:szCs w:val="28"/>
        </w:rPr>
      </w:pPr>
      <w:bookmarkStart w:id="54" w:name="_Toc127593220"/>
      <w:bookmarkStart w:id="55" w:name="_Toc127593217"/>
      <w:r w:rsidRPr="000E4D8E">
        <w:rPr>
          <w:b/>
          <w:sz w:val="28"/>
          <w:szCs w:val="28"/>
        </w:rPr>
        <w:t xml:space="preserve">3.2.2. </w:t>
      </w:r>
      <w:r w:rsidR="00A246D3" w:rsidRPr="000E4D8E">
        <w:rPr>
          <w:b/>
          <w:sz w:val="28"/>
          <w:szCs w:val="28"/>
        </w:rPr>
        <w:t>Druhý stupeň štúdia - počet a úbytok študentov</w:t>
      </w:r>
      <w:bookmarkEnd w:id="54"/>
    </w:p>
    <w:p w14:paraId="61CFB7DB" w14:textId="77777777" w:rsidR="000E4D8E" w:rsidRPr="000E4D8E" w:rsidRDefault="000E4D8E" w:rsidP="000E4D8E">
      <w:pPr>
        <w:rPr>
          <w:b/>
          <w:sz w:val="28"/>
          <w:szCs w:val="28"/>
        </w:rPr>
      </w:pPr>
    </w:p>
    <w:p w14:paraId="12E5C86A" w14:textId="77777777" w:rsidR="00A246D3" w:rsidRPr="0053555E" w:rsidRDefault="00A246D3" w:rsidP="000E3322">
      <w:pPr>
        <w:pStyle w:val="Popis"/>
      </w:pPr>
      <w:bookmarkStart w:id="56" w:name="_Ref31707671"/>
      <w:bookmarkStart w:id="57" w:name="_Toc127593279"/>
      <w:r w:rsidRPr="0053555E">
        <w:t xml:space="preserve">Tab. č. </w:t>
      </w:r>
      <w:r w:rsidR="007B5953">
        <w:fldChar w:fldCharType="begin"/>
      </w:r>
      <w:r w:rsidR="007B5953">
        <w:instrText xml:space="preserve"> SEQ Tab._č. \* ARABIC </w:instrText>
      </w:r>
      <w:r w:rsidR="007B5953">
        <w:fldChar w:fldCharType="separate"/>
      </w:r>
      <w:r>
        <w:rPr>
          <w:noProof/>
        </w:rPr>
        <w:t>16</w:t>
      </w:r>
      <w:r w:rsidR="007B5953">
        <w:rPr>
          <w:noProof/>
        </w:rPr>
        <w:fldChar w:fldCharType="end"/>
      </w:r>
      <w:bookmarkEnd w:id="56"/>
      <w:r w:rsidRPr="0053555E">
        <w:t>: Počet a úbytok študentov druhého stupňa štúdia v dennej forme v akademickom roku 2021/2022</w:t>
      </w:r>
      <w:bookmarkEnd w:id="57"/>
      <w:r w:rsidRPr="0053555E">
        <w:t xml:space="preserve"> </w:t>
      </w:r>
    </w:p>
    <w:tbl>
      <w:tblPr>
        <w:tblW w:w="8445" w:type="dxa"/>
        <w:tblInd w:w="55" w:type="dxa"/>
        <w:tblCellMar>
          <w:left w:w="70" w:type="dxa"/>
          <w:right w:w="70" w:type="dxa"/>
        </w:tblCellMar>
        <w:tblLook w:val="04A0" w:firstRow="1" w:lastRow="0" w:firstColumn="1" w:lastColumn="0" w:noHBand="0" w:noVBand="1"/>
      </w:tblPr>
      <w:tblGrid>
        <w:gridCol w:w="960"/>
        <w:gridCol w:w="1107"/>
        <w:gridCol w:w="1336"/>
        <w:gridCol w:w="1215"/>
        <w:gridCol w:w="1351"/>
        <w:gridCol w:w="1238"/>
        <w:gridCol w:w="1238"/>
      </w:tblGrid>
      <w:tr w:rsidR="00A246D3" w:rsidRPr="0053555E" w14:paraId="56340C5C" w14:textId="77777777" w:rsidTr="006326ED">
        <w:trPr>
          <w:trHeight w:val="20"/>
        </w:trPr>
        <w:tc>
          <w:tcPr>
            <w:tcW w:w="960" w:type="dxa"/>
            <w:vMerge w:val="restart"/>
            <w:tcBorders>
              <w:top w:val="single" w:sz="4" w:space="0" w:color="auto"/>
              <w:left w:val="single" w:sz="4" w:space="0" w:color="auto"/>
              <w:right w:val="single" w:sz="4" w:space="0" w:color="auto"/>
            </w:tcBorders>
            <w:shd w:val="clear" w:color="000000" w:fill="FFFFFF"/>
            <w:vAlign w:val="center"/>
            <w:hideMark/>
          </w:tcPr>
          <w:p w14:paraId="144657B0" w14:textId="77777777" w:rsidR="00A246D3" w:rsidRPr="0053555E" w:rsidRDefault="00A246D3" w:rsidP="006326ED">
            <w:pPr>
              <w:tabs>
                <w:tab w:val="left" w:pos="9356"/>
              </w:tabs>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Súčasť STU</w:t>
            </w:r>
          </w:p>
        </w:tc>
        <w:tc>
          <w:tcPr>
            <w:tcW w:w="2443" w:type="dxa"/>
            <w:gridSpan w:val="2"/>
            <w:tcBorders>
              <w:top w:val="single" w:sz="4" w:space="0" w:color="auto"/>
              <w:left w:val="nil"/>
              <w:bottom w:val="single" w:sz="4" w:space="0" w:color="auto"/>
              <w:right w:val="single" w:sz="4" w:space="0" w:color="auto"/>
            </w:tcBorders>
            <w:shd w:val="clear" w:color="000000" w:fill="FFFFFF"/>
            <w:vAlign w:val="center"/>
            <w:hideMark/>
          </w:tcPr>
          <w:p w14:paraId="699EB1DC" w14:textId="77777777" w:rsidR="00A246D3" w:rsidRPr="0053555E" w:rsidRDefault="00A246D3" w:rsidP="006326ED">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1. rok</w:t>
            </w:r>
          </w:p>
        </w:tc>
        <w:tc>
          <w:tcPr>
            <w:tcW w:w="2566" w:type="dxa"/>
            <w:gridSpan w:val="2"/>
            <w:tcBorders>
              <w:top w:val="single" w:sz="4" w:space="0" w:color="auto"/>
              <w:left w:val="nil"/>
              <w:bottom w:val="single" w:sz="4" w:space="0" w:color="auto"/>
              <w:right w:val="single" w:sz="4" w:space="0" w:color="000000"/>
            </w:tcBorders>
            <w:shd w:val="clear" w:color="000000" w:fill="FFFFFF"/>
            <w:vAlign w:val="center"/>
            <w:hideMark/>
          </w:tcPr>
          <w:p w14:paraId="081A243C" w14:textId="77777777" w:rsidR="00A246D3" w:rsidRPr="0053555E" w:rsidRDefault="00A246D3" w:rsidP="006326ED">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2. rok</w:t>
            </w:r>
          </w:p>
        </w:tc>
        <w:tc>
          <w:tcPr>
            <w:tcW w:w="1238" w:type="dxa"/>
            <w:vMerge w:val="restart"/>
            <w:tcBorders>
              <w:top w:val="single" w:sz="4" w:space="0" w:color="auto"/>
              <w:left w:val="single" w:sz="4" w:space="0" w:color="auto"/>
              <w:right w:val="single" w:sz="4" w:space="0" w:color="auto"/>
            </w:tcBorders>
            <w:shd w:val="clear" w:color="000000" w:fill="FFFFFF"/>
            <w:vAlign w:val="center"/>
          </w:tcPr>
          <w:p w14:paraId="6DECC712" w14:textId="77777777" w:rsidR="00A246D3" w:rsidRPr="0053555E" w:rsidRDefault="00A246D3" w:rsidP="006326ED">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3. rok</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9DDD00" w14:textId="77777777" w:rsidR="00A246D3" w:rsidRPr="0053555E" w:rsidRDefault="00A246D3" w:rsidP="006326ED">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w:t>
            </w:r>
            <w:r w:rsidRPr="0053555E">
              <w:rPr>
                <w:rFonts w:asciiTheme="majorHAnsi" w:eastAsia="Times New Roman" w:hAnsiTheme="majorHAnsi" w:cstheme="majorHAnsi"/>
                <w:b/>
                <w:bCs/>
                <w:sz w:val="20"/>
                <w:szCs w:val="22"/>
                <w:vertAlign w:val="subscript"/>
                <w:lang w:eastAsia="sk-SK"/>
              </w:rPr>
              <w:t>Z</w:t>
            </w:r>
          </w:p>
        </w:tc>
      </w:tr>
      <w:tr w:rsidR="00A246D3" w:rsidRPr="0053555E" w14:paraId="3B1BCA4B" w14:textId="77777777" w:rsidTr="006326ED">
        <w:trPr>
          <w:trHeight w:val="20"/>
        </w:trPr>
        <w:tc>
          <w:tcPr>
            <w:tcW w:w="960" w:type="dxa"/>
            <w:vMerge/>
            <w:tcBorders>
              <w:left w:val="single" w:sz="4" w:space="0" w:color="auto"/>
              <w:bottom w:val="single" w:sz="4" w:space="0" w:color="auto"/>
              <w:right w:val="single" w:sz="4" w:space="0" w:color="auto"/>
            </w:tcBorders>
            <w:shd w:val="clear" w:color="000000" w:fill="FFFFFF"/>
            <w:vAlign w:val="center"/>
            <w:hideMark/>
          </w:tcPr>
          <w:p w14:paraId="25CB0A94" w14:textId="77777777" w:rsidR="00A246D3" w:rsidRPr="0053555E" w:rsidRDefault="00A246D3" w:rsidP="006326ED">
            <w:pPr>
              <w:tabs>
                <w:tab w:val="left" w:pos="9356"/>
              </w:tabs>
              <w:jc w:val="both"/>
              <w:rPr>
                <w:rFonts w:asciiTheme="majorHAnsi" w:eastAsia="Times New Roman" w:hAnsiTheme="majorHAnsi" w:cstheme="majorHAnsi"/>
                <w:b/>
                <w:bCs/>
                <w:sz w:val="20"/>
                <w:szCs w:val="22"/>
                <w:lang w:eastAsia="sk-SK"/>
              </w:rPr>
            </w:pPr>
          </w:p>
        </w:tc>
        <w:tc>
          <w:tcPr>
            <w:tcW w:w="1107" w:type="dxa"/>
            <w:tcBorders>
              <w:top w:val="nil"/>
              <w:left w:val="nil"/>
              <w:bottom w:val="single" w:sz="4" w:space="0" w:color="auto"/>
              <w:right w:val="single" w:sz="4" w:space="0" w:color="auto"/>
            </w:tcBorders>
            <w:shd w:val="clear" w:color="000000" w:fill="FFFFFF"/>
            <w:vAlign w:val="center"/>
            <w:hideMark/>
          </w:tcPr>
          <w:p w14:paraId="79618B7B" w14:textId="77777777" w:rsidR="00A246D3" w:rsidRPr="0053555E" w:rsidRDefault="00A246D3" w:rsidP="006326ED">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zapísaní</w:t>
            </w:r>
          </w:p>
        </w:tc>
        <w:tc>
          <w:tcPr>
            <w:tcW w:w="1336" w:type="dxa"/>
            <w:tcBorders>
              <w:top w:val="nil"/>
              <w:left w:val="nil"/>
              <w:bottom w:val="single" w:sz="4" w:space="0" w:color="auto"/>
              <w:right w:val="single" w:sz="4" w:space="0" w:color="auto"/>
            </w:tcBorders>
            <w:shd w:val="clear" w:color="auto" w:fill="EEECE1" w:themeFill="background2"/>
            <w:vAlign w:val="center"/>
            <w:hideMark/>
          </w:tcPr>
          <w:p w14:paraId="2E30E4F9" w14:textId="77777777" w:rsidR="00A246D3" w:rsidRPr="0053555E" w:rsidRDefault="00A246D3" w:rsidP="006326ED">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z toho úbytok po 1. roku</w:t>
            </w:r>
          </w:p>
        </w:tc>
        <w:tc>
          <w:tcPr>
            <w:tcW w:w="1215" w:type="dxa"/>
            <w:tcBorders>
              <w:top w:val="nil"/>
              <w:left w:val="nil"/>
              <w:bottom w:val="single" w:sz="4" w:space="0" w:color="auto"/>
              <w:right w:val="single" w:sz="4" w:space="0" w:color="auto"/>
            </w:tcBorders>
            <w:shd w:val="clear" w:color="000000" w:fill="FFFFFF"/>
            <w:vAlign w:val="center"/>
            <w:hideMark/>
          </w:tcPr>
          <w:p w14:paraId="24CCDE87" w14:textId="77777777" w:rsidR="00A246D3" w:rsidRPr="0053555E" w:rsidRDefault="00A246D3" w:rsidP="006326ED">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zapísaní</w:t>
            </w:r>
          </w:p>
        </w:tc>
        <w:tc>
          <w:tcPr>
            <w:tcW w:w="1351" w:type="dxa"/>
            <w:tcBorders>
              <w:top w:val="nil"/>
              <w:left w:val="nil"/>
              <w:bottom w:val="single" w:sz="4" w:space="0" w:color="auto"/>
              <w:right w:val="single" w:sz="4" w:space="0" w:color="auto"/>
            </w:tcBorders>
            <w:shd w:val="clear" w:color="auto" w:fill="EEECE1" w:themeFill="background2"/>
            <w:vAlign w:val="center"/>
            <w:hideMark/>
          </w:tcPr>
          <w:p w14:paraId="6281B21D" w14:textId="77777777" w:rsidR="00A246D3" w:rsidRPr="0053555E" w:rsidRDefault="00A246D3" w:rsidP="006326ED">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z toho úbytok po 2. roku</w:t>
            </w:r>
          </w:p>
        </w:tc>
        <w:tc>
          <w:tcPr>
            <w:tcW w:w="1238" w:type="dxa"/>
            <w:vMerge/>
            <w:tcBorders>
              <w:left w:val="single" w:sz="4" w:space="0" w:color="auto"/>
              <w:bottom w:val="single" w:sz="4" w:space="0" w:color="auto"/>
              <w:right w:val="single" w:sz="4" w:space="0" w:color="auto"/>
            </w:tcBorders>
          </w:tcPr>
          <w:p w14:paraId="249AF0E8" w14:textId="77777777" w:rsidR="00A246D3" w:rsidRPr="0053555E" w:rsidRDefault="00A246D3" w:rsidP="006326ED">
            <w:pPr>
              <w:tabs>
                <w:tab w:val="left" w:pos="9356"/>
              </w:tabs>
              <w:jc w:val="center"/>
              <w:rPr>
                <w:rFonts w:asciiTheme="majorHAnsi" w:eastAsia="Times New Roman" w:hAnsiTheme="majorHAnsi" w:cstheme="majorHAnsi"/>
                <w:b/>
                <w:bCs/>
                <w:sz w:val="20"/>
                <w:szCs w:val="22"/>
                <w:lang w:eastAsia="sk-SK"/>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6718BD1C" w14:textId="77777777" w:rsidR="00A246D3" w:rsidRPr="0053555E" w:rsidRDefault="00A246D3" w:rsidP="006326ED">
            <w:pPr>
              <w:tabs>
                <w:tab w:val="left" w:pos="9356"/>
              </w:tabs>
              <w:jc w:val="center"/>
              <w:rPr>
                <w:rFonts w:asciiTheme="majorHAnsi" w:eastAsia="Times New Roman" w:hAnsiTheme="majorHAnsi" w:cstheme="majorHAnsi"/>
                <w:b/>
                <w:bCs/>
                <w:sz w:val="20"/>
                <w:szCs w:val="22"/>
                <w:lang w:eastAsia="sk-SK"/>
              </w:rPr>
            </w:pPr>
          </w:p>
        </w:tc>
      </w:tr>
      <w:tr w:rsidR="00A246D3" w:rsidRPr="0053555E" w14:paraId="4D4C11E5" w14:textId="77777777" w:rsidTr="006326ED">
        <w:trPr>
          <w:trHeight w:val="2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42C6109" w14:textId="77777777" w:rsidR="00A246D3" w:rsidRPr="0053555E" w:rsidRDefault="00A246D3" w:rsidP="006326ED">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SvF</w:t>
            </w:r>
          </w:p>
        </w:tc>
        <w:tc>
          <w:tcPr>
            <w:tcW w:w="1107" w:type="dxa"/>
            <w:tcBorders>
              <w:top w:val="nil"/>
              <w:left w:val="nil"/>
              <w:bottom w:val="single" w:sz="4" w:space="0" w:color="auto"/>
              <w:right w:val="single" w:sz="4" w:space="0" w:color="auto"/>
            </w:tcBorders>
            <w:shd w:val="clear" w:color="000000" w:fill="FFFFFF"/>
            <w:vAlign w:val="center"/>
            <w:hideMark/>
          </w:tcPr>
          <w:p w14:paraId="25935C2E"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228</w:t>
            </w:r>
          </w:p>
        </w:tc>
        <w:tc>
          <w:tcPr>
            <w:tcW w:w="1336" w:type="dxa"/>
            <w:tcBorders>
              <w:top w:val="nil"/>
              <w:left w:val="nil"/>
              <w:bottom w:val="single" w:sz="4" w:space="0" w:color="auto"/>
              <w:right w:val="single" w:sz="4" w:space="0" w:color="auto"/>
            </w:tcBorders>
            <w:shd w:val="clear" w:color="auto" w:fill="EEECE1" w:themeFill="background2"/>
            <w:vAlign w:val="center"/>
            <w:hideMark/>
          </w:tcPr>
          <w:p w14:paraId="2144163F"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11 %</w:t>
            </w:r>
          </w:p>
        </w:tc>
        <w:tc>
          <w:tcPr>
            <w:tcW w:w="1215" w:type="dxa"/>
            <w:tcBorders>
              <w:top w:val="nil"/>
              <w:left w:val="nil"/>
              <w:bottom w:val="single" w:sz="4" w:space="0" w:color="auto"/>
              <w:right w:val="single" w:sz="4" w:space="0" w:color="auto"/>
            </w:tcBorders>
            <w:shd w:val="clear" w:color="000000" w:fill="FFFFFF"/>
            <w:vAlign w:val="center"/>
            <w:hideMark/>
          </w:tcPr>
          <w:p w14:paraId="4C1637F1"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247</w:t>
            </w:r>
          </w:p>
        </w:tc>
        <w:tc>
          <w:tcPr>
            <w:tcW w:w="1351" w:type="dxa"/>
            <w:tcBorders>
              <w:top w:val="nil"/>
              <w:left w:val="nil"/>
              <w:bottom w:val="single" w:sz="4" w:space="0" w:color="auto"/>
              <w:right w:val="single" w:sz="4" w:space="0" w:color="auto"/>
            </w:tcBorders>
            <w:shd w:val="clear" w:color="auto" w:fill="EEECE1" w:themeFill="background2"/>
            <w:vAlign w:val="center"/>
            <w:hideMark/>
          </w:tcPr>
          <w:p w14:paraId="0B6CF637"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9 %</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6E2E5167" w14:textId="77777777" w:rsidR="00A246D3" w:rsidRPr="0053555E" w:rsidRDefault="00A246D3" w:rsidP="006326ED">
            <w:pPr>
              <w:jc w:val="center"/>
              <w:rPr>
                <w:rFonts w:asciiTheme="majorHAnsi" w:hAnsiTheme="majorHAnsi" w:cstheme="majorHAnsi"/>
                <w:sz w:val="22"/>
                <w:szCs w:val="22"/>
              </w:rPr>
            </w:pPr>
          </w:p>
        </w:tc>
        <w:tc>
          <w:tcPr>
            <w:tcW w:w="1238" w:type="dxa"/>
            <w:tcBorders>
              <w:top w:val="nil"/>
              <w:left w:val="single" w:sz="4" w:space="0" w:color="auto"/>
              <w:bottom w:val="single" w:sz="4" w:space="0" w:color="auto"/>
              <w:right w:val="single" w:sz="4" w:space="0" w:color="auto"/>
            </w:tcBorders>
            <w:shd w:val="clear" w:color="000000" w:fill="FFFFFF"/>
            <w:vAlign w:val="center"/>
            <w:hideMark/>
          </w:tcPr>
          <w:p w14:paraId="01F5C9D1" w14:textId="77777777" w:rsidR="00A246D3" w:rsidRPr="0053555E" w:rsidRDefault="00A246D3" w:rsidP="006326ED">
            <w:pPr>
              <w:jc w:val="center"/>
              <w:rPr>
                <w:rFonts w:asciiTheme="majorHAnsi" w:hAnsiTheme="majorHAnsi" w:cstheme="majorHAnsi"/>
                <w:b/>
                <w:bCs/>
                <w:sz w:val="22"/>
                <w:szCs w:val="22"/>
              </w:rPr>
            </w:pPr>
            <w:r w:rsidRPr="0053555E">
              <w:rPr>
                <w:rFonts w:cs="Calibri"/>
                <w:b/>
                <w:bCs/>
                <w:sz w:val="22"/>
                <w:szCs w:val="20"/>
              </w:rPr>
              <w:t>475</w:t>
            </w:r>
          </w:p>
        </w:tc>
      </w:tr>
      <w:tr w:rsidR="00A246D3" w:rsidRPr="0053555E" w14:paraId="6F380ACF" w14:textId="77777777" w:rsidTr="006326E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575628" w14:textId="77777777" w:rsidR="00A246D3" w:rsidRPr="0053555E" w:rsidRDefault="00A246D3" w:rsidP="006326ED">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SjF</w:t>
            </w:r>
          </w:p>
        </w:tc>
        <w:tc>
          <w:tcPr>
            <w:tcW w:w="1107" w:type="dxa"/>
            <w:tcBorders>
              <w:top w:val="nil"/>
              <w:left w:val="nil"/>
              <w:bottom w:val="single" w:sz="4" w:space="0" w:color="auto"/>
              <w:right w:val="single" w:sz="4" w:space="0" w:color="auto"/>
            </w:tcBorders>
            <w:shd w:val="clear" w:color="000000" w:fill="FFFFFF"/>
            <w:vAlign w:val="center"/>
            <w:hideMark/>
          </w:tcPr>
          <w:p w14:paraId="039136D1"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147</w:t>
            </w:r>
          </w:p>
        </w:tc>
        <w:tc>
          <w:tcPr>
            <w:tcW w:w="1336" w:type="dxa"/>
            <w:tcBorders>
              <w:top w:val="nil"/>
              <w:left w:val="nil"/>
              <w:bottom w:val="single" w:sz="4" w:space="0" w:color="auto"/>
              <w:right w:val="single" w:sz="4" w:space="0" w:color="auto"/>
            </w:tcBorders>
            <w:shd w:val="clear" w:color="auto" w:fill="EEECE1" w:themeFill="background2"/>
            <w:vAlign w:val="center"/>
            <w:hideMark/>
          </w:tcPr>
          <w:p w14:paraId="74F0B42F"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11 %</w:t>
            </w:r>
          </w:p>
        </w:tc>
        <w:tc>
          <w:tcPr>
            <w:tcW w:w="1215" w:type="dxa"/>
            <w:tcBorders>
              <w:top w:val="nil"/>
              <w:left w:val="nil"/>
              <w:bottom w:val="single" w:sz="4" w:space="0" w:color="auto"/>
              <w:right w:val="single" w:sz="4" w:space="0" w:color="auto"/>
            </w:tcBorders>
            <w:shd w:val="clear" w:color="000000" w:fill="FFFFFF"/>
            <w:vAlign w:val="center"/>
            <w:hideMark/>
          </w:tcPr>
          <w:p w14:paraId="513D5B1F"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113</w:t>
            </w:r>
          </w:p>
        </w:tc>
        <w:tc>
          <w:tcPr>
            <w:tcW w:w="1351" w:type="dxa"/>
            <w:tcBorders>
              <w:top w:val="nil"/>
              <w:left w:val="nil"/>
              <w:bottom w:val="single" w:sz="4" w:space="0" w:color="auto"/>
              <w:right w:val="single" w:sz="4" w:space="0" w:color="auto"/>
            </w:tcBorders>
            <w:shd w:val="clear" w:color="auto" w:fill="EEECE1" w:themeFill="background2"/>
            <w:vAlign w:val="center"/>
            <w:hideMark/>
          </w:tcPr>
          <w:p w14:paraId="39DD8B67"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9 %</w:t>
            </w:r>
          </w:p>
        </w:tc>
        <w:tc>
          <w:tcPr>
            <w:tcW w:w="1238" w:type="dxa"/>
            <w:tcBorders>
              <w:top w:val="single" w:sz="4" w:space="0" w:color="auto"/>
              <w:left w:val="nil"/>
              <w:bottom w:val="single" w:sz="4" w:space="0" w:color="auto"/>
              <w:right w:val="single" w:sz="4" w:space="0" w:color="auto"/>
            </w:tcBorders>
            <w:vAlign w:val="center"/>
          </w:tcPr>
          <w:p w14:paraId="0339D1C7" w14:textId="77777777" w:rsidR="00A246D3" w:rsidRPr="0053555E" w:rsidRDefault="00A246D3" w:rsidP="006326ED">
            <w:pPr>
              <w:jc w:val="center"/>
              <w:rPr>
                <w:rFonts w:asciiTheme="majorHAnsi" w:hAnsiTheme="majorHAnsi" w:cstheme="majorHAnsi"/>
                <w:sz w:val="22"/>
                <w:szCs w:val="22"/>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14:paraId="5C316D39" w14:textId="77777777" w:rsidR="00A246D3" w:rsidRPr="0053555E" w:rsidRDefault="00A246D3" w:rsidP="006326ED">
            <w:pPr>
              <w:jc w:val="center"/>
              <w:rPr>
                <w:rFonts w:asciiTheme="majorHAnsi" w:hAnsiTheme="majorHAnsi" w:cstheme="majorHAnsi"/>
                <w:b/>
                <w:bCs/>
                <w:sz w:val="22"/>
                <w:szCs w:val="22"/>
              </w:rPr>
            </w:pPr>
            <w:r w:rsidRPr="0053555E">
              <w:rPr>
                <w:rFonts w:cs="Calibri"/>
                <w:b/>
                <w:bCs/>
                <w:sz w:val="22"/>
                <w:szCs w:val="20"/>
              </w:rPr>
              <w:t>260</w:t>
            </w:r>
          </w:p>
        </w:tc>
      </w:tr>
      <w:tr w:rsidR="00A246D3" w:rsidRPr="0053555E" w14:paraId="0A0C1B64" w14:textId="77777777" w:rsidTr="006326ED">
        <w:trPr>
          <w:trHeight w:val="2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40395A5" w14:textId="77777777" w:rsidR="00A246D3" w:rsidRPr="0053555E" w:rsidRDefault="00A246D3" w:rsidP="006326ED">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FEI</w:t>
            </w:r>
          </w:p>
        </w:tc>
        <w:tc>
          <w:tcPr>
            <w:tcW w:w="1107" w:type="dxa"/>
            <w:tcBorders>
              <w:top w:val="nil"/>
              <w:left w:val="nil"/>
              <w:bottom w:val="single" w:sz="4" w:space="0" w:color="auto"/>
              <w:right w:val="single" w:sz="4" w:space="0" w:color="auto"/>
            </w:tcBorders>
            <w:shd w:val="clear" w:color="000000" w:fill="FFFFFF"/>
            <w:vAlign w:val="center"/>
            <w:hideMark/>
          </w:tcPr>
          <w:p w14:paraId="2890AAE4"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370</w:t>
            </w:r>
          </w:p>
        </w:tc>
        <w:tc>
          <w:tcPr>
            <w:tcW w:w="1336" w:type="dxa"/>
            <w:tcBorders>
              <w:top w:val="nil"/>
              <w:left w:val="nil"/>
              <w:bottom w:val="single" w:sz="4" w:space="0" w:color="auto"/>
              <w:right w:val="single" w:sz="4" w:space="0" w:color="auto"/>
            </w:tcBorders>
            <w:shd w:val="clear" w:color="auto" w:fill="EEECE1" w:themeFill="background2"/>
            <w:vAlign w:val="center"/>
            <w:hideMark/>
          </w:tcPr>
          <w:p w14:paraId="50F8BF66"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4 %</w:t>
            </w:r>
          </w:p>
        </w:tc>
        <w:tc>
          <w:tcPr>
            <w:tcW w:w="1215" w:type="dxa"/>
            <w:tcBorders>
              <w:top w:val="nil"/>
              <w:left w:val="nil"/>
              <w:bottom w:val="single" w:sz="4" w:space="0" w:color="auto"/>
              <w:right w:val="single" w:sz="4" w:space="0" w:color="auto"/>
            </w:tcBorders>
            <w:shd w:val="clear" w:color="000000" w:fill="FFFFFF"/>
            <w:vAlign w:val="center"/>
            <w:hideMark/>
          </w:tcPr>
          <w:p w14:paraId="71D38C56"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272</w:t>
            </w:r>
          </w:p>
        </w:tc>
        <w:tc>
          <w:tcPr>
            <w:tcW w:w="1351" w:type="dxa"/>
            <w:tcBorders>
              <w:top w:val="nil"/>
              <w:left w:val="nil"/>
              <w:bottom w:val="single" w:sz="4" w:space="0" w:color="auto"/>
              <w:right w:val="single" w:sz="4" w:space="0" w:color="auto"/>
            </w:tcBorders>
            <w:shd w:val="clear" w:color="auto" w:fill="EEECE1" w:themeFill="background2"/>
            <w:vAlign w:val="center"/>
            <w:hideMark/>
          </w:tcPr>
          <w:p w14:paraId="5BBBA8BD"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4 %</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49455145" w14:textId="77777777" w:rsidR="00A246D3" w:rsidRPr="0053555E" w:rsidRDefault="00A246D3" w:rsidP="006326ED">
            <w:pPr>
              <w:jc w:val="center"/>
              <w:rPr>
                <w:rFonts w:asciiTheme="majorHAnsi" w:hAnsiTheme="majorHAnsi" w:cstheme="majorHAnsi"/>
                <w:sz w:val="22"/>
                <w:szCs w:val="22"/>
              </w:rPr>
            </w:pPr>
          </w:p>
        </w:tc>
        <w:tc>
          <w:tcPr>
            <w:tcW w:w="1238" w:type="dxa"/>
            <w:tcBorders>
              <w:top w:val="nil"/>
              <w:left w:val="single" w:sz="4" w:space="0" w:color="auto"/>
              <w:bottom w:val="single" w:sz="4" w:space="0" w:color="auto"/>
              <w:right w:val="single" w:sz="4" w:space="0" w:color="auto"/>
            </w:tcBorders>
            <w:shd w:val="clear" w:color="000000" w:fill="FFFFFF"/>
            <w:vAlign w:val="center"/>
            <w:hideMark/>
          </w:tcPr>
          <w:p w14:paraId="034BB284" w14:textId="77777777" w:rsidR="00A246D3" w:rsidRPr="0053555E" w:rsidRDefault="00A246D3" w:rsidP="006326ED">
            <w:pPr>
              <w:jc w:val="center"/>
              <w:rPr>
                <w:rFonts w:asciiTheme="majorHAnsi" w:hAnsiTheme="majorHAnsi" w:cstheme="majorHAnsi"/>
                <w:b/>
                <w:bCs/>
                <w:sz w:val="22"/>
                <w:szCs w:val="22"/>
              </w:rPr>
            </w:pPr>
            <w:r w:rsidRPr="0053555E">
              <w:rPr>
                <w:rFonts w:cs="Calibri"/>
                <w:b/>
                <w:bCs/>
                <w:sz w:val="22"/>
                <w:szCs w:val="20"/>
              </w:rPr>
              <w:t>642</w:t>
            </w:r>
          </w:p>
        </w:tc>
      </w:tr>
      <w:tr w:rsidR="00A246D3" w:rsidRPr="0053555E" w14:paraId="49139D8F" w14:textId="77777777" w:rsidTr="006326ED">
        <w:trPr>
          <w:trHeight w:val="2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D838FF8" w14:textId="77777777" w:rsidR="00A246D3" w:rsidRPr="0053555E" w:rsidRDefault="00A246D3" w:rsidP="006326ED">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FCHPT</w:t>
            </w:r>
          </w:p>
        </w:tc>
        <w:tc>
          <w:tcPr>
            <w:tcW w:w="1107" w:type="dxa"/>
            <w:tcBorders>
              <w:top w:val="nil"/>
              <w:left w:val="nil"/>
              <w:bottom w:val="single" w:sz="4" w:space="0" w:color="auto"/>
              <w:right w:val="single" w:sz="4" w:space="0" w:color="auto"/>
            </w:tcBorders>
            <w:shd w:val="clear" w:color="000000" w:fill="FFFFFF"/>
            <w:vAlign w:val="center"/>
            <w:hideMark/>
          </w:tcPr>
          <w:p w14:paraId="0B36CFE4"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179</w:t>
            </w:r>
          </w:p>
        </w:tc>
        <w:tc>
          <w:tcPr>
            <w:tcW w:w="1336" w:type="dxa"/>
            <w:tcBorders>
              <w:top w:val="nil"/>
              <w:left w:val="nil"/>
              <w:bottom w:val="single" w:sz="4" w:space="0" w:color="auto"/>
              <w:right w:val="single" w:sz="4" w:space="0" w:color="auto"/>
            </w:tcBorders>
            <w:shd w:val="clear" w:color="auto" w:fill="EEECE1" w:themeFill="background2"/>
            <w:vAlign w:val="center"/>
            <w:hideMark/>
          </w:tcPr>
          <w:p w14:paraId="50D207E6"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6 %</w:t>
            </w:r>
          </w:p>
        </w:tc>
        <w:tc>
          <w:tcPr>
            <w:tcW w:w="1215" w:type="dxa"/>
            <w:tcBorders>
              <w:top w:val="nil"/>
              <w:left w:val="nil"/>
              <w:bottom w:val="single" w:sz="4" w:space="0" w:color="auto"/>
              <w:right w:val="single" w:sz="4" w:space="0" w:color="auto"/>
            </w:tcBorders>
            <w:shd w:val="clear" w:color="000000" w:fill="FFFFFF"/>
            <w:vAlign w:val="center"/>
            <w:hideMark/>
          </w:tcPr>
          <w:p w14:paraId="2485EF3D"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166</w:t>
            </w:r>
          </w:p>
        </w:tc>
        <w:tc>
          <w:tcPr>
            <w:tcW w:w="1351" w:type="dxa"/>
            <w:tcBorders>
              <w:top w:val="nil"/>
              <w:left w:val="nil"/>
              <w:bottom w:val="single" w:sz="4" w:space="0" w:color="auto"/>
              <w:right w:val="single" w:sz="4" w:space="0" w:color="auto"/>
            </w:tcBorders>
            <w:shd w:val="clear" w:color="auto" w:fill="EEECE1" w:themeFill="background2"/>
            <w:vAlign w:val="center"/>
            <w:hideMark/>
          </w:tcPr>
          <w:p w14:paraId="4137CFE0"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5 %</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152EA09D" w14:textId="77777777" w:rsidR="00A246D3" w:rsidRPr="0053555E" w:rsidRDefault="00A246D3" w:rsidP="006326ED">
            <w:pPr>
              <w:jc w:val="center"/>
              <w:rPr>
                <w:rFonts w:asciiTheme="majorHAnsi" w:hAnsiTheme="majorHAnsi" w:cstheme="majorHAnsi"/>
                <w:sz w:val="22"/>
                <w:szCs w:val="22"/>
              </w:rPr>
            </w:pPr>
          </w:p>
        </w:tc>
        <w:tc>
          <w:tcPr>
            <w:tcW w:w="1238" w:type="dxa"/>
            <w:tcBorders>
              <w:top w:val="nil"/>
              <w:left w:val="single" w:sz="4" w:space="0" w:color="auto"/>
              <w:bottom w:val="single" w:sz="4" w:space="0" w:color="auto"/>
              <w:right w:val="single" w:sz="4" w:space="0" w:color="auto"/>
            </w:tcBorders>
            <w:shd w:val="clear" w:color="000000" w:fill="FFFFFF"/>
            <w:vAlign w:val="center"/>
            <w:hideMark/>
          </w:tcPr>
          <w:p w14:paraId="38D47184" w14:textId="77777777" w:rsidR="00A246D3" w:rsidRPr="0053555E" w:rsidRDefault="00A246D3" w:rsidP="006326ED">
            <w:pPr>
              <w:jc w:val="center"/>
              <w:rPr>
                <w:rFonts w:asciiTheme="majorHAnsi" w:hAnsiTheme="majorHAnsi" w:cstheme="majorHAnsi"/>
                <w:b/>
                <w:bCs/>
                <w:sz w:val="22"/>
                <w:szCs w:val="22"/>
              </w:rPr>
            </w:pPr>
            <w:r w:rsidRPr="0053555E">
              <w:rPr>
                <w:rFonts w:cs="Calibri"/>
                <w:b/>
                <w:bCs/>
                <w:sz w:val="22"/>
                <w:szCs w:val="20"/>
              </w:rPr>
              <w:t>345</w:t>
            </w:r>
          </w:p>
        </w:tc>
      </w:tr>
      <w:tr w:rsidR="00A246D3" w:rsidRPr="0053555E" w14:paraId="75038497" w14:textId="77777777" w:rsidTr="006326E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90512B" w14:textId="77777777" w:rsidR="00A246D3" w:rsidRPr="0053555E" w:rsidRDefault="00A246D3" w:rsidP="006326ED">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FAD</w:t>
            </w:r>
          </w:p>
        </w:tc>
        <w:tc>
          <w:tcPr>
            <w:tcW w:w="1107" w:type="dxa"/>
            <w:tcBorders>
              <w:top w:val="nil"/>
              <w:left w:val="nil"/>
              <w:bottom w:val="single" w:sz="4" w:space="0" w:color="auto"/>
              <w:right w:val="single" w:sz="4" w:space="0" w:color="auto"/>
            </w:tcBorders>
            <w:shd w:val="clear" w:color="000000" w:fill="FFFFFF"/>
            <w:vAlign w:val="center"/>
            <w:hideMark/>
          </w:tcPr>
          <w:p w14:paraId="0B868669"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117</w:t>
            </w:r>
          </w:p>
        </w:tc>
        <w:tc>
          <w:tcPr>
            <w:tcW w:w="1336" w:type="dxa"/>
            <w:tcBorders>
              <w:top w:val="nil"/>
              <w:left w:val="nil"/>
              <w:bottom w:val="single" w:sz="4" w:space="0" w:color="auto"/>
              <w:right w:val="single" w:sz="4" w:space="0" w:color="auto"/>
            </w:tcBorders>
            <w:shd w:val="clear" w:color="auto" w:fill="EEECE1" w:themeFill="background2"/>
            <w:vAlign w:val="center"/>
            <w:hideMark/>
          </w:tcPr>
          <w:p w14:paraId="42DF2EEE"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2 %</w:t>
            </w:r>
          </w:p>
        </w:tc>
        <w:tc>
          <w:tcPr>
            <w:tcW w:w="1215" w:type="dxa"/>
            <w:tcBorders>
              <w:top w:val="nil"/>
              <w:left w:val="nil"/>
              <w:bottom w:val="single" w:sz="4" w:space="0" w:color="auto"/>
              <w:right w:val="single" w:sz="4" w:space="0" w:color="auto"/>
            </w:tcBorders>
            <w:shd w:val="clear" w:color="000000" w:fill="FFFFFF"/>
            <w:vAlign w:val="center"/>
            <w:hideMark/>
          </w:tcPr>
          <w:p w14:paraId="07183090"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115</w:t>
            </w:r>
          </w:p>
        </w:tc>
        <w:tc>
          <w:tcPr>
            <w:tcW w:w="1351" w:type="dxa"/>
            <w:tcBorders>
              <w:top w:val="nil"/>
              <w:left w:val="nil"/>
              <w:bottom w:val="single" w:sz="4" w:space="0" w:color="auto"/>
              <w:right w:val="single" w:sz="4" w:space="0" w:color="auto"/>
            </w:tcBorders>
            <w:shd w:val="clear" w:color="auto" w:fill="EEECE1" w:themeFill="background2"/>
            <w:vAlign w:val="center"/>
            <w:hideMark/>
          </w:tcPr>
          <w:p w14:paraId="460BBE75"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1 %</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4B96668B" w14:textId="77777777" w:rsidR="00A246D3" w:rsidRPr="0053555E" w:rsidRDefault="00A246D3" w:rsidP="006326ED">
            <w:pPr>
              <w:jc w:val="center"/>
              <w:rPr>
                <w:rFonts w:asciiTheme="majorHAnsi" w:hAnsiTheme="majorHAnsi" w:cstheme="majorHAnsi"/>
                <w:sz w:val="22"/>
                <w:szCs w:val="22"/>
              </w:rPr>
            </w:pPr>
          </w:p>
        </w:tc>
        <w:tc>
          <w:tcPr>
            <w:tcW w:w="1238" w:type="dxa"/>
            <w:tcBorders>
              <w:top w:val="nil"/>
              <w:left w:val="single" w:sz="4" w:space="0" w:color="auto"/>
              <w:bottom w:val="single" w:sz="4" w:space="0" w:color="auto"/>
              <w:right w:val="single" w:sz="4" w:space="0" w:color="auto"/>
            </w:tcBorders>
            <w:shd w:val="clear" w:color="000000" w:fill="FFFFFF"/>
            <w:vAlign w:val="center"/>
            <w:hideMark/>
          </w:tcPr>
          <w:p w14:paraId="63E8CCBE" w14:textId="77777777" w:rsidR="00A246D3" w:rsidRPr="0053555E" w:rsidRDefault="00A246D3" w:rsidP="006326ED">
            <w:pPr>
              <w:jc w:val="center"/>
              <w:rPr>
                <w:rFonts w:asciiTheme="majorHAnsi" w:hAnsiTheme="majorHAnsi" w:cstheme="majorHAnsi"/>
                <w:b/>
                <w:bCs/>
                <w:sz w:val="22"/>
                <w:szCs w:val="22"/>
              </w:rPr>
            </w:pPr>
            <w:r w:rsidRPr="0053555E">
              <w:rPr>
                <w:rFonts w:cs="Calibri"/>
                <w:b/>
                <w:bCs/>
                <w:sz w:val="22"/>
                <w:szCs w:val="20"/>
              </w:rPr>
              <w:t>232</w:t>
            </w:r>
          </w:p>
        </w:tc>
      </w:tr>
      <w:tr w:rsidR="00A246D3" w:rsidRPr="0053555E" w14:paraId="51CF46C8" w14:textId="77777777" w:rsidTr="006326E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028074" w14:textId="77777777" w:rsidR="00A246D3" w:rsidRPr="0053555E" w:rsidRDefault="00A246D3" w:rsidP="006326ED">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MTF</w:t>
            </w:r>
          </w:p>
        </w:tc>
        <w:tc>
          <w:tcPr>
            <w:tcW w:w="1107" w:type="dxa"/>
            <w:tcBorders>
              <w:top w:val="nil"/>
              <w:left w:val="nil"/>
              <w:bottom w:val="single" w:sz="4" w:space="0" w:color="auto"/>
              <w:right w:val="single" w:sz="4" w:space="0" w:color="auto"/>
            </w:tcBorders>
            <w:shd w:val="clear" w:color="auto" w:fill="auto"/>
            <w:vAlign w:val="center"/>
            <w:hideMark/>
          </w:tcPr>
          <w:p w14:paraId="3206B5B0"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301</w:t>
            </w:r>
          </w:p>
        </w:tc>
        <w:tc>
          <w:tcPr>
            <w:tcW w:w="1336" w:type="dxa"/>
            <w:tcBorders>
              <w:top w:val="nil"/>
              <w:left w:val="nil"/>
              <w:bottom w:val="single" w:sz="4" w:space="0" w:color="auto"/>
              <w:right w:val="single" w:sz="4" w:space="0" w:color="auto"/>
            </w:tcBorders>
            <w:shd w:val="clear" w:color="auto" w:fill="EEECE1" w:themeFill="background2"/>
            <w:vAlign w:val="center"/>
            <w:hideMark/>
          </w:tcPr>
          <w:p w14:paraId="4674E8B8"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17 %</w:t>
            </w:r>
          </w:p>
        </w:tc>
        <w:tc>
          <w:tcPr>
            <w:tcW w:w="1215" w:type="dxa"/>
            <w:tcBorders>
              <w:top w:val="nil"/>
              <w:left w:val="nil"/>
              <w:bottom w:val="single" w:sz="4" w:space="0" w:color="auto"/>
              <w:right w:val="single" w:sz="4" w:space="0" w:color="auto"/>
            </w:tcBorders>
            <w:shd w:val="clear" w:color="auto" w:fill="auto"/>
            <w:vAlign w:val="center"/>
            <w:hideMark/>
          </w:tcPr>
          <w:p w14:paraId="0E10B523"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330</w:t>
            </w:r>
          </w:p>
        </w:tc>
        <w:tc>
          <w:tcPr>
            <w:tcW w:w="1351" w:type="dxa"/>
            <w:tcBorders>
              <w:top w:val="nil"/>
              <w:left w:val="nil"/>
              <w:bottom w:val="single" w:sz="4" w:space="0" w:color="auto"/>
              <w:right w:val="single" w:sz="4" w:space="0" w:color="auto"/>
            </w:tcBorders>
            <w:shd w:val="clear" w:color="auto" w:fill="EEECE1" w:themeFill="background2"/>
            <w:vAlign w:val="center"/>
            <w:hideMark/>
          </w:tcPr>
          <w:p w14:paraId="3201AE79"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13 %</w:t>
            </w:r>
          </w:p>
        </w:tc>
        <w:tc>
          <w:tcPr>
            <w:tcW w:w="1238" w:type="dxa"/>
            <w:tcBorders>
              <w:top w:val="single" w:sz="4" w:space="0" w:color="auto"/>
              <w:left w:val="nil"/>
              <w:bottom w:val="single" w:sz="4" w:space="0" w:color="auto"/>
              <w:right w:val="single" w:sz="4" w:space="0" w:color="auto"/>
            </w:tcBorders>
            <w:vAlign w:val="center"/>
          </w:tcPr>
          <w:p w14:paraId="058F18A0" w14:textId="77777777" w:rsidR="00A246D3" w:rsidRPr="0053555E" w:rsidRDefault="00A246D3" w:rsidP="006326ED">
            <w:pPr>
              <w:jc w:val="center"/>
              <w:rPr>
                <w:rFonts w:asciiTheme="majorHAnsi" w:hAnsiTheme="majorHAnsi" w:cstheme="majorHAnsi"/>
                <w:sz w:val="22"/>
                <w:szCs w:val="22"/>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14:paraId="5DB05C3C" w14:textId="77777777" w:rsidR="00A246D3" w:rsidRPr="0053555E" w:rsidRDefault="00A246D3" w:rsidP="006326ED">
            <w:pPr>
              <w:jc w:val="center"/>
              <w:rPr>
                <w:rFonts w:asciiTheme="majorHAnsi" w:hAnsiTheme="majorHAnsi" w:cstheme="majorHAnsi"/>
                <w:b/>
                <w:bCs/>
                <w:sz w:val="22"/>
                <w:szCs w:val="22"/>
              </w:rPr>
            </w:pPr>
            <w:r w:rsidRPr="0053555E">
              <w:rPr>
                <w:rFonts w:cs="Calibri"/>
                <w:b/>
                <w:bCs/>
                <w:sz w:val="22"/>
                <w:szCs w:val="20"/>
              </w:rPr>
              <w:t>631</w:t>
            </w:r>
          </w:p>
        </w:tc>
      </w:tr>
      <w:tr w:rsidR="00A246D3" w:rsidRPr="0053555E" w14:paraId="025E8973" w14:textId="77777777" w:rsidTr="006326E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7DB5075" w14:textId="77777777" w:rsidR="00A246D3" w:rsidRPr="0053555E" w:rsidRDefault="00A246D3" w:rsidP="006326ED">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FIIT</w:t>
            </w:r>
          </w:p>
        </w:tc>
        <w:tc>
          <w:tcPr>
            <w:tcW w:w="1107" w:type="dxa"/>
            <w:tcBorders>
              <w:top w:val="nil"/>
              <w:left w:val="nil"/>
              <w:bottom w:val="single" w:sz="4" w:space="0" w:color="auto"/>
              <w:right w:val="single" w:sz="4" w:space="0" w:color="auto"/>
            </w:tcBorders>
            <w:shd w:val="clear" w:color="auto" w:fill="auto"/>
            <w:vAlign w:val="center"/>
            <w:hideMark/>
          </w:tcPr>
          <w:p w14:paraId="53AA5E43"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131</w:t>
            </w:r>
          </w:p>
        </w:tc>
        <w:tc>
          <w:tcPr>
            <w:tcW w:w="1336" w:type="dxa"/>
            <w:tcBorders>
              <w:top w:val="nil"/>
              <w:left w:val="nil"/>
              <w:bottom w:val="single" w:sz="4" w:space="0" w:color="auto"/>
              <w:right w:val="single" w:sz="4" w:space="0" w:color="auto"/>
            </w:tcBorders>
            <w:shd w:val="clear" w:color="auto" w:fill="EEECE1" w:themeFill="background2"/>
            <w:vAlign w:val="center"/>
            <w:hideMark/>
          </w:tcPr>
          <w:p w14:paraId="49EF0E4D"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7 %</w:t>
            </w:r>
          </w:p>
        </w:tc>
        <w:tc>
          <w:tcPr>
            <w:tcW w:w="1215" w:type="dxa"/>
            <w:tcBorders>
              <w:top w:val="nil"/>
              <w:left w:val="nil"/>
              <w:bottom w:val="single" w:sz="4" w:space="0" w:color="auto"/>
              <w:right w:val="single" w:sz="4" w:space="0" w:color="auto"/>
            </w:tcBorders>
            <w:shd w:val="clear" w:color="auto" w:fill="auto"/>
            <w:vAlign w:val="center"/>
            <w:hideMark/>
          </w:tcPr>
          <w:p w14:paraId="73047144"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147</w:t>
            </w:r>
          </w:p>
        </w:tc>
        <w:tc>
          <w:tcPr>
            <w:tcW w:w="1351" w:type="dxa"/>
            <w:tcBorders>
              <w:top w:val="nil"/>
              <w:left w:val="nil"/>
              <w:bottom w:val="single" w:sz="4" w:space="0" w:color="auto"/>
              <w:right w:val="single" w:sz="4" w:space="0" w:color="auto"/>
            </w:tcBorders>
            <w:shd w:val="clear" w:color="auto" w:fill="EEECE1" w:themeFill="background2"/>
            <w:vAlign w:val="center"/>
            <w:hideMark/>
          </w:tcPr>
          <w:p w14:paraId="0C7A40FB"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10 %</w:t>
            </w:r>
          </w:p>
        </w:tc>
        <w:tc>
          <w:tcPr>
            <w:tcW w:w="1238" w:type="dxa"/>
            <w:tcBorders>
              <w:top w:val="single" w:sz="4" w:space="0" w:color="auto"/>
              <w:left w:val="nil"/>
              <w:bottom w:val="single" w:sz="4" w:space="0" w:color="auto"/>
              <w:right w:val="single" w:sz="4" w:space="0" w:color="auto"/>
            </w:tcBorders>
            <w:vAlign w:val="center"/>
          </w:tcPr>
          <w:p w14:paraId="491B99A7"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4</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14:paraId="42E2658C" w14:textId="77777777" w:rsidR="00A246D3" w:rsidRPr="0053555E" w:rsidRDefault="00A246D3" w:rsidP="006326ED">
            <w:pPr>
              <w:jc w:val="center"/>
              <w:rPr>
                <w:rFonts w:asciiTheme="majorHAnsi" w:hAnsiTheme="majorHAnsi" w:cstheme="majorHAnsi"/>
                <w:b/>
                <w:bCs/>
                <w:sz w:val="22"/>
                <w:szCs w:val="22"/>
              </w:rPr>
            </w:pPr>
            <w:r w:rsidRPr="0053555E">
              <w:rPr>
                <w:rFonts w:cs="Calibri"/>
                <w:b/>
                <w:bCs/>
                <w:sz w:val="22"/>
                <w:szCs w:val="20"/>
              </w:rPr>
              <w:t>282</w:t>
            </w:r>
          </w:p>
        </w:tc>
      </w:tr>
      <w:tr w:rsidR="00A246D3" w:rsidRPr="0053555E" w14:paraId="694E002A" w14:textId="77777777" w:rsidTr="006326ED">
        <w:trPr>
          <w:trHeight w:val="2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FCBAF3B" w14:textId="77777777" w:rsidR="00A246D3" w:rsidRPr="0053555E" w:rsidRDefault="00A246D3" w:rsidP="006326ED">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ÚM</w:t>
            </w:r>
          </w:p>
        </w:tc>
        <w:tc>
          <w:tcPr>
            <w:tcW w:w="1107" w:type="dxa"/>
            <w:tcBorders>
              <w:top w:val="nil"/>
              <w:left w:val="nil"/>
              <w:bottom w:val="single" w:sz="4" w:space="0" w:color="auto"/>
              <w:right w:val="single" w:sz="4" w:space="0" w:color="auto"/>
            </w:tcBorders>
            <w:shd w:val="clear" w:color="000000" w:fill="FFFFFF"/>
            <w:vAlign w:val="center"/>
            <w:hideMark/>
          </w:tcPr>
          <w:p w14:paraId="440E5BF4"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31</w:t>
            </w:r>
          </w:p>
        </w:tc>
        <w:tc>
          <w:tcPr>
            <w:tcW w:w="1336" w:type="dxa"/>
            <w:tcBorders>
              <w:top w:val="nil"/>
              <w:left w:val="nil"/>
              <w:bottom w:val="single" w:sz="4" w:space="0" w:color="auto"/>
              <w:right w:val="single" w:sz="4" w:space="0" w:color="auto"/>
            </w:tcBorders>
            <w:shd w:val="clear" w:color="auto" w:fill="EEECE1" w:themeFill="background2"/>
            <w:vAlign w:val="center"/>
            <w:hideMark/>
          </w:tcPr>
          <w:p w14:paraId="75EA713C"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16 %</w:t>
            </w:r>
          </w:p>
        </w:tc>
        <w:tc>
          <w:tcPr>
            <w:tcW w:w="1215" w:type="dxa"/>
            <w:tcBorders>
              <w:top w:val="nil"/>
              <w:left w:val="nil"/>
              <w:bottom w:val="single" w:sz="4" w:space="0" w:color="auto"/>
              <w:right w:val="single" w:sz="4" w:space="0" w:color="auto"/>
            </w:tcBorders>
            <w:shd w:val="clear" w:color="000000" w:fill="FFFFFF"/>
            <w:vAlign w:val="center"/>
            <w:hideMark/>
          </w:tcPr>
          <w:p w14:paraId="3E070395" w14:textId="77777777" w:rsidR="00A246D3" w:rsidRPr="0053555E" w:rsidRDefault="00A246D3" w:rsidP="006326ED">
            <w:pPr>
              <w:jc w:val="center"/>
              <w:rPr>
                <w:rFonts w:asciiTheme="majorHAnsi" w:hAnsiTheme="majorHAnsi" w:cstheme="majorHAnsi"/>
                <w:sz w:val="22"/>
                <w:szCs w:val="22"/>
              </w:rPr>
            </w:pPr>
            <w:r w:rsidRPr="0053555E">
              <w:rPr>
                <w:rFonts w:cs="Calibri"/>
                <w:sz w:val="22"/>
                <w:szCs w:val="20"/>
              </w:rPr>
              <w:t>25</w:t>
            </w:r>
          </w:p>
        </w:tc>
        <w:tc>
          <w:tcPr>
            <w:tcW w:w="1351" w:type="dxa"/>
            <w:tcBorders>
              <w:top w:val="nil"/>
              <w:left w:val="nil"/>
              <w:bottom w:val="single" w:sz="4" w:space="0" w:color="auto"/>
              <w:right w:val="single" w:sz="4" w:space="0" w:color="auto"/>
            </w:tcBorders>
            <w:shd w:val="clear" w:color="auto" w:fill="EEECE1" w:themeFill="background2"/>
            <w:vAlign w:val="center"/>
            <w:hideMark/>
          </w:tcPr>
          <w:p w14:paraId="2E213D7A" w14:textId="77777777" w:rsidR="00A246D3" w:rsidRPr="0053555E" w:rsidRDefault="00A246D3" w:rsidP="006326ED">
            <w:pPr>
              <w:jc w:val="center"/>
              <w:rPr>
                <w:rFonts w:asciiTheme="majorHAnsi" w:hAnsiTheme="majorHAnsi" w:cstheme="majorHAnsi"/>
                <w:b/>
                <w:sz w:val="22"/>
                <w:szCs w:val="22"/>
              </w:rPr>
            </w:pPr>
            <w:r w:rsidRPr="0053555E">
              <w:rPr>
                <w:rFonts w:cs="Calibri"/>
                <w:sz w:val="22"/>
                <w:szCs w:val="20"/>
              </w:rPr>
              <w:t>0 %</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4C403CB3" w14:textId="77777777" w:rsidR="00A246D3" w:rsidRPr="0053555E" w:rsidRDefault="00A246D3" w:rsidP="006326ED">
            <w:pPr>
              <w:jc w:val="center"/>
              <w:rPr>
                <w:rFonts w:asciiTheme="majorHAnsi" w:hAnsiTheme="majorHAnsi" w:cstheme="majorHAnsi"/>
                <w:sz w:val="22"/>
                <w:szCs w:val="22"/>
              </w:rPr>
            </w:pPr>
          </w:p>
        </w:tc>
        <w:tc>
          <w:tcPr>
            <w:tcW w:w="1238" w:type="dxa"/>
            <w:tcBorders>
              <w:top w:val="nil"/>
              <w:left w:val="single" w:sz="4" w:space="0" w:color="auto"/>
              <w:bottom w:val="single" w:sz="4" w:space="0" w:color="auto"/>
              <w:right w:val="single" w:sz="4" w:space="0" w:color="auto"/>
            </w:tcBorders>
            <w:shd w:val="clear" w:color="000000" w:fill="FFFFFF"/>
            <w:vAlign w:val="center"/>
            <w:hideMark/>
          </w:tcPr>
          <w:p w14:paraId="57656E86" w14:textId="77777777" w:rsidR="00A246D3" w:rsidRPr="0053555E" w:rsidRDefault="00A246D3" w:rsidP="006326ED">
            <w:pPr>
              <w:jc w:val="center"/>
              <w:rPr>
                <w:rFonts w:asciiTheme="majorHAnsi" w:hAnsiTheme="majorHAnsi" w:cstheme="majorHAnsi"/>
                <w:b/>
                <w:bCs/>
                <w:sz w:val="22"/>
                <w:szCs w:val="22"/>
              </w:rPr>
            </w:pPr>
            <w:r w:rsidRPr="0053555E">
              <w:rPr>
                <w:rFonts w:cs="Calibri"/>
                <w:b/>
                <w:bCs/>
                <w:sz w:val="22"/>
                <w:szCs w:val="20"/>
              </w:rPr>
              <w:t>56</w:t>
            </w:r>
          </w:p>
        </w:tc>
      </w:tr>
      <w:tr w:rsidR="00A246D3" w:rsidRPr="0053555E" w14:paraId="1CC87548" w14:textId="77777777" w:rsidTr="006326ED">
        <w:trPr>
          <w:trHeight w:val="20"/>
        </w:trPr>
        <w:tc>
          <w:tcPr>
            <w:tcW w:w="96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694444" w14:textId="77777777" w:rsidR="00A246D3" w:rsidRPr="0053555E" w:rsidRDefault="00A246D3" w:rsidP="006326ED">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STU</w:t>
            </w:r>
          </w:p>
        </w:tc>
        <w:tc>
          <w:tcPr>
            <w:tcW w:w="1107" w:type="dxa"/>
            <w:tcBorders>
              <w:top w:val="nil"/>
              <w:left w:val="nil"/>
              <w:bottom w:val="single" w:sz="4" w:space="0" w:color="auto"/>
              <w:right w:val="single" w:sz="4" w:space="0" w:color="auto"/>
            </w:tcBorders>
            <w:shd w:val="clear" w:color="auto" w:fill="EEECE1" w:themeFill="background2"/>
            <w:vAlign w:val="center"/>
            <w:hideMark/>
          </w:tcPr>
          <w:p w14:paraId="116CCBF5" w14:textId="77777777" w:rsidR="00A246D3" w:rsidRPr="0053555E" w:rsidRDefault="00A246D3" w:rsidP="006326ED">
            <w:pPr>
              <w:jc w:val="center"/>
              <w:rPr>
                <w:rFonts w:asciiTheme="majorHAnsi" w:hAnsiTheme="majorHAnsi" w:cstheme="majorHAnsi"/>
                <w:b/>
                <w:bCs/>
                <w:sz w:val="22"/>
                <w:szCs w:val="22"/>
              </w:rPr>
            </w:pPr>
            <w:r w:rsidRPr="0053555E">
              <w:rPr>
                <w:rFonts w:cs="Calibri"/>
                <w:b/>
                <w:bCs/>
                <w:sz w:val="22"/>
                <w:szCs w:val="20"/>
              </w:rPr>
              <w:t>1 504</w:t>
            </w:r>
          </w:p>
        </w:tc>
        <w:tc>
          <w:tcPr>
            <w:tcW w:w="1336" w:type="dxa"/>
            <w:tcBorders>
              <w:top w:val="nil"/>
              <w:left w:val="nil"/>
              <w:bottom w:val="single" w:sz="4" w:space="0" w:color="auto"/>
              <w:right w:val="single" w:sz="4" w:space="0" w:color="auto"/>
            </w:tcBorders>
            <w:shd w:val="clear" w:color="auto" w:fill="EEECE1" w:themeFill="background2"/>
            <w:vAlign w:val="center"/>
            <w:hideMark/>
          </w:tcPr>
          <w:p w14:paraId="15D9352C" w14:textId="77777777" w:rsidR="00A246D3" w:rsidRPr="0053555E" w:rsidRDefault="00A246D3" w:rsidP="006326ED">
            <w:pPr>
              <w:jc w:val="center"/>
              <w:rPr>
                <w:rFonts w:asciiTheme="majorHAnsi" w:hAnsiTheme="majorHAnsi" w:cstheme="majorHAnsi"/>
                <w:b/>
                <w:bCs/>
                <w:sz w:val="22"/>
                <w:szCs w:val="22"/>
              </w:rPr>
            </w:pPr>
            <w:r w:rsidRPr="0053555E">
              <w:rPr>
                <w:rFonts w:cs="Calibri"/>
                <w:b/>
                <w:bCs/>
                <w:sz w:val="22"/>
                <w:szCs w:val="20"/>
              </w:rPr>
              <w:t>9 %</w:t>
            </w:r>
          </w:p>
        </w:tc>
        <w:tc>
          <w:tcPr>
            <w:tcW w:w="1215" w:type="dxa"/>
            <w:tcBorders>
              <w:top w:val="nil"/>
              <w:left w:val="nil"/>
              <w:bottom w:val="single" w:sz="4" w:space="0" w:color="auto"/>
              <w:right w:val="single" w:sz="4" w:space="0" w:color="auto"/>
            </w:tcBorders>
            <w:shd w:val="clear" w:color="auto" w:fill="EEECE1" w:themeFill="background2"/>
            <w:vAlign w:val="center"/>
            <w:hideMark/>
          </w:tcPr>
          <w:p w14:paraId="48D9912E" w14:textId="77777777" w:rsidR="00A246D3" w:rsidRPr="0053555E" w:rsidRDefault="00A246D3" w:rsidP="006326ED">
            <w:pPr>
              <w:jc w:val="center"/>
              <w:rPr>
                <w:rFonts w:asciiTheme="majorHAnsi" w:hAnsiTheme="majorHAnsi" w:cstheme="majorHAnsi"/>
                <w:b/>
                <w:bCs/>
                <w:sz w:val="22"/>
                <w:szCs w:val="22"/>
              </w:rPr>
            </w:pPr>
            <w:r w:rsidRPr="0053555E">
              <w:rPr>
                <w:rFonts w:cs="Calibri"/>
                <w:b/>
                <w:bCs/>
                <w:sz w:val="22"/>
                <w:szCs w:val="20"/>
              </w:rPr>
              <w:t>1 415</w:t>
            </w:r>
          </w:p>
        </w:tc>
        <w:tc>
          <w:tcPr>
            <w:tcW w:w="1351" w:type="dxa"/>
            <w:tcBorders>
              <w:top w:val="nil"/>
              <w:left w:val="nil"/>
              <w:bottom w:val="single" w:sz="4" w:space="0" w:color="auto"/>
              <w:right w:val="single" w:sz="4" w:space="0" w:color="auto"/>
            </w:tcBorders>
            <w:shd w:val="clear" w:color="auto" w:fill="EEECE1" w:themeFill="background2"/>
            <w:vAlign w:val="center"/>
            <w:hideMark/>
          </w:tcPr>
          <w:p w14:paraId="5DA37464" w14:textId="77777777" w:rsidR="00A246D3" w:rsidRPr="0053555E" w:rsidRDefault="00A246D3" w:rsidP="006326ED">
            <w:pPr>
              <w:jc w:val="center"/>
              <w:rPr>
                <w:rFonts w:asciiTheme="majorHAnsi" w:hAnsiTheme="majorHAnsi" w:cstheme="majorHAnsi"/>
                <w:b/>
                <w:bCs/>
                <w:sz w:val="22"/>
                <w:szCs w:val="22"/>
              </w:rPr>
            </w:pPr>
            <w:r w:rsidRPr="0053555E">
              <w:rPr>
                <w:rFonts w:cs="Calibri"/>
                <w:b/>
                <w:bCs/>
                <w:sz w:val="22"/>
                <w:szCs w:val="20"/>
              </w:rPr>
              <w:t>8 %</w:t>
            </w:r>
          </w:p>
        </w:tc>
        <w:tc>
          <w:tcPr>
            <w:tcW w:w="1238" w:type="dxa"/>
            <w:tcBorders>
              <w:top w:val="single" w:sz="4" w:space="0" w:color="auto"/>
              <w:left w:val="nil"/>
              <w:bottom w:val="single" w:sz="4" w:space="0" w:color="auto"/>
              <w:right w:val="single" w:sz="4" w:space="0" w:color="auto"/>
            </w:tcBorders>
            <w:shd w:val="clear" w:color="auto" w:fill="EEECE1" w:themeFill="background2"/>
            <w:vAlign w:val="center"/>
          </w:tcPr>
          <w:p w14:paraId="62B502A2" w14:textId="77777777" w:rsidR="00A246D3" w:rsidRPr="0053555E" w:rsidRDefault="00A246D3" w:rsidP="006326ED">
            <w:pPr>
              <w:jc w:val="center"/>
              <w:rPr>
                <w:rFonts w:asciiTheme="majorHAnsi" w:hAnsiTheme="majorHAnsi" w:cstheme="majorHAnsi"/>
                <w:b/>
                <w:bCs/>
                <w:sz w:val="22"/>
                <w:szCs w:val="22"/>
              </w:rPr>
            </w:pPr>
            <w:r w:rsidRPr="0053555E">
              <w:rPr>
                <w:rFonts w:cs="Calibri"/>
                <w:b/>
                <w:bCs/>
                <w:sz w:val="22"/>
                <w:szCs w:val="20"/>
              </w:rPr>
              <w:t>4</w:t>
            </w:r>
          </w:p>
        </w:tc>
        <w:tc>
          <w:tcPr>
            <w:tcW w:w="1238"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32E6AE" w14:textId="77777777" w:rsidR="00A246D3" w:rsidRPr="0053555E" w:rsidRDefault="00A246D3" w:rsidP="006326ED">
            <w:pPr>
              <w:jc w:val="center"/>
              <w:rPr>
                <w:rFonts w:asciiTheme="majorHAnsi" w:hAnsiTheme="majorHAnsi" w:cstheme="majorHAnsi"/>
                <w:b/>
                <w:bCs/>
                <w:sz w:val="22"/>
                <w:szCs w:val="22"/>
              </w:rPr>
            </w:pPr>
            <w:r w:rsidRPr="0053555E">
              <w:rPr>
                <w:rFonts w:cs="Calibri"/>
                <w:b/>
                <w:bCs/>
                <w:sz w:val="22"/>
                <w:szCs w:val="20"/>
              </w:rPr>
              <w:t>2 923</w:t>
            </w:r>
          </w:p>
        </w:tc>
      </w:tr>
    </w:tbl>
    <w:p w14:paraId="51481D5A" w14:textId="77777777" w:rsidR="00A246D3" w:rsidRPr="0053555E" w:rsidRDefault="00A246D3" w:rsidP="00A246D3">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Vysvetlivky:</w:t>
      </w:r>
    </w:p>
    <w:p w14:paraId="569AE980" w14:textId="77777777" w:rsidR="00A246D3" w:rsidRPr="0053555E" w:rsidRDefault="00A246D3" w:rsidP="00A246D3">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w:t>
      </w:r>
      <w:r w:rsidRPr="0053555E">
        <w:rPr>
          <w:rFonts w:asciiTheme="majorHAnsi" w:eastAsia="Times New Roman" w:hAnsiTheme="majorHAnsi" w:cstheme="majorHAnsi"/>
          <w:sz w:val="20"/>
          <w:szCs w:val="20"/>
          <w:vertAlign w:val="subscript"/>
          <w:lang w:eastAsia="sk-SK"/>
        </w:rPr>
        <w:t xml:space="preserve">Z </w:t>
      </w:r>
      <w:r w:rsidRPr="0053555E">
        <w:rPr>
          <w:rFonts w:asciiTheme="majorHAnsi" w:eastAsia="Times New Roman" w:hAnsiTheme="majorHAnsi" w:cstheme="majorHAnsi"/>
          <w:sz w:val="20"/>
          <w:szCs w:val="20"/>
          <w:lang w:eastAsia="sk-SK"/>
        </w:rPr>
        <w:t>-  celkový počet zapísaných študentov na druhom stupni štúdia stav k 31. 10. 2021</w:t>
      </w:r>
    </w:p>
    <w:p w14:paraId="0FFCAB3F" w14:textId="77777777" w:rsidR="00A246D3" w:rsidRDefault="00A246D3" w:rsidP="00A246D3">
      <w:pPr>
        <w:tabs>
          <w:tab w:val="left" w:pos="9356"/>
        </w:tabs>
        <w:jc w:val="both"/>
        <w:rPr>
          <w:rFonts w:asciiTheme="majorHAnsi" w:hAnsiTheme="majorHAnsi" w:cstheme="majorHAnsi"/>
          <w:sz w:val="20"/>
          <w:szCs w:val="20"/>
        </w:rPr>
      </w:pPr>
      <w:r w:rsidRPr="0053555E">
        <w:rPr>
          <w:rFonts w:asciiTheme="majorHAnsi" w:hAnsiTheme="majorHAnsi" w:cstheme="majorHAnsi"/>
          <w:sz w:val="20"/>
          <w:szCs w:val="20"/>
        </w:rPr>
        <w:t>Úbytok študentov na konci akademického roka k 31. 08. 2022</w:t>
      </w:r>
    </w:p>
    <w:p w14:paraId="6B4237E5" w14:textId="77777777" w:rsidR="00A246D3" w:rsidRPr="0053555E" w:rsidRDefault="00A246D3" w:rsidP="00A246D3">
      <w:pPr>
        <w:tabs>
          <w:tab w:val="left" w:pos="9356"/>
        </w:tabs>
        <w:jc w:val="both"/>
        <w:rPr>
          <w:rFonts w:asciiTheme="majorHAnsi" w:hAnsiTheme="majorHAnsi" w:cstheme="majorHAnsi"/>
          <w:sz w:val="20"/>
          <w:szCs w:val="20"/>
        </w:rPr>
      </w:pPr>
    </w:p>
    <w:p w14:paraId="66674C3E" w14:textId="55A87DCC" w:rsidR="00A246D3" w:rsidRPr="0053555E" w:rsidRDefault="00A246D3" w:rsidP="00A246D3">
      <w:pPr>
        <w:tabs>
          <w:tab w:val="left" w:pos="9356"/>
        </w:tabs>
        <w:jc w:val="both"/>
        <w:rPr>
          <w:rFonts w:asciiTheme="majorHAnsi" w:hAnsiTheme="majorHAnsi" w:cstheme="majorHAnsi"/>
        </w:rPr>
      </w:pPr>
      <w:r w:rsidRPr="0053555E">
        <w:rPr>
          <w:rFonts w:asciiTheme="majorHAnsi" w:hAnsiTheme="majorHAnsi" w:cstheme="majorHAnsi"/>
        </w:rPr>
        <w:t xml:space="preserve">Celkový </w:t>
      </w:r>
      <w:r w:rsidRPr="0053555E">
        <w:rPr>
          <w:rFonts w:asciiTheme="majorHAnsi" w:hAnsiTheme="majorHAnsi" w:cstheme="majorHAnsi"/>
          <w:b/>
        </w:rPr>
        <w:t>počet zapísaných študentov na druhom stupni štúdia</w:t>
      </w:r>
      <w:r w:rsidRPr="0053555E">
        <w:rPr>
          <w:rFonts w:asciiTheme="majorHAnsi" w:hAnsiTheme="majorHAnsi" w:cstheme="majorHAnsi"/>
        </w:rPr>
        <w:t xml:space="preserve"> v dennej forme v akademickom roku 2021/2022 bol </w:t>
      </w:r>
      <w:r w:rsidRPr="0053555E">
        <w:rPr>
          <w:rFonts w:asciiTheme="majorHAnsi" w:hAnsiTheme="majorHAnsi" w:cstheme="majorHAnsi"/>
          <w:b/>
        </w:rPr>
        <w:t>2 9</w:t>
      </w:r>
      <w:r>
        <w:rPr>
          <w:rFonts w:asciiTheme="majorHAnsi" w:hAnsiTheme="majorHAnsi" w:cstheme="majorHAnsi"/>
          <w:b/>
        </w:rPr>
        <w:t>23</w:t>
      </w:r>
      <w:r w:rsidRPr="0053555E">
        <w:rPr>
          <w:rFonts w:asciiTheme="majorHAnsi" w:hAnsiTheme="majorHAnsi" w:cstheme="majorHAnsi"/>
          <w:b/>
        </w:rPr>
        <w:t xml:space="preserve">, </w:t>
      </w:r>
      <w:r w:rsidRPr="0053555E">
        <w:rPr>
          <w:rFonts w:asciiTheme="majorHAnsi" w:hAnsiTheme="majorHAnsi" w:cstheme="majorHAnsi"/>
        </w:rPr>
        <w:t>čo predstavuje</w:t>
      </w:r>
      <w:r w:rsidRPr="0053555E">
        <w:rPr>
          <w:rFonts w:asciiTheme="majorHAnsi" w:hAnsiTheme="majorHAnsi" w:cstheme="majorHAnsi"/>
          <w:b/>
        </w:rPr>
        <w:t xml:space="preserve"> pokles </w:t>
      </w:r>
      <w:r w:rsidRPr="0053555E">
        <w:rPr>
          <w:rFonts w:asciiTheme="majorHAnsi" w:hAnsiTheme="majorHAnsi" w:cstheme="majorHAnsi"/>
        </w:rPr>
        <w:t>oproti akademickému roku 20</w:t>
      </w:r>
      <w:r>
        <w:rPr>
          <w:rFonts w:asciiTheme="majorHAnsi" w:hAnsiTheme="majorHAnsi" w:cstheme="majorHAnsi"/>
        </w:rPr>
        <w:t>20</w:t>
      </w:r>
      <w:r w:rsidRPr="0053555E">
        <w:rPr>
          <w:rFonts w:asciiTheme="majorHAnsi" w:hAnsiTheme="majorHAnsi" w:cstheme="majorHAnsi"/>
        </w:rPr>
        <w:t>/202</w:t>
      </w:r>
      <w:r>
        <w:rPr>
          <w:rFonts w:asciiTheme="majorHAnsi" w:hAnsiTheme="majorHAnsi" w:cstheme="majorHAnsi"/>
        </w:rPr>
        <w:t>1</w:t>
      </w:r>
      <w:r w:rsidRPr="0053555E">
        <w:rPr>
          <w:rFonts w:asciiTheme="majorHAnsi" w:hAnsiTheme="majorHAnsi" w:cstheme="majorHAnsi"/>
          <w:b/>
        </w:rPr>
        <w:t xml:space="preserve"> o 1 % </w:t>
      </w:r>
      <w:r w:rsidRPr="0053555E">
        <w:rPr>
          <w:rFonts w:asciiTheme="majorHAnsi" w:hAnsiTheme="majorHAnsi" w:cstheme="majorHAnsi"/>
        </w:rPr>
        <w:t xml:space="preserve">(už uvádzaných </w:t>
      </w:r>
      <w:r>
        <w:rPr>
          <w:rFonts w:asciiTheme="majorHAnsi" w:hAnsiTheme="majorHAnsi" w:cstheme="majorHAnsi"/>
        </w:rPr>
        <w:t>41</w:t>
      </w:r>
      <w:r w:rsidRPr="0053555E">
        <w:rPr>
          <w:rFonts w:asciiTheme="majorHAnsi" w:hAnsiTheme="majorHAnsi" w:cstheme="majorHAnsi"/>
        </w:rPr>
        <w:t xml:space="preserve"> študentov). Z </w:t>
      </w:r>
      <w:r w:rsidRPr="0053555E">
        <w:rPr>
          <w:rFonts w:asciiTheme="majorHAnsi" w:hAnsiTheme="majorHAnsi" w:cstheme="majorHAnsi"/>
          <w:sz w:val="20"/>
          <w:szCs w:val="20"/>
        </w:rPr>
        <w:fldChar w:fldCharType="begin"/>
      </w:r>
      <w:r w:rsidRPr="0053555E">
        <w:rPr>
          <w:rFonts w:asciiTheme="majorHAnsi" w:hAnsiTheme="majorHAnsi" w:cstheme="majorHAnsi"/>
          <w:sz w:val="20"/>
          <w:szCs w:val="20"/>
        </w:rPr>
        <w:instrText xml:space="preserve"> REF _Ref31707671 \h  \* MERGEFORMAT </w:instrText>
      </w:r>
      <w:r w:rsidRPr="0053555E">
        <w:rPr>
          <w:rFonts w:asciiTheme="majorHAnsi" w:hAnsiTheme="majorHAnsi" w:cstheme="majorHAnsi"/>
          <w:sz w:val="20"/>
          <w:szCs w:val="20"/>
        </w:rPr>
      </w:r>
      <w:r w:rsidRPr="0053555E">
        <w:rPr>
          <w:rFonts w:asciiTheme="majorHAnsi" w:hAnsiTheme="majorHAnsi" w:cstheme="majorHAnsi"/>
          <w:sz w:val="20"/>
          <w:szCs w:val="20"/>
        </w:rPr>
        <w:fldChar w:fldCharType="separate"/>
      </w:r>
      <w:r w:rsidRPr="00EE1B59">
        <w:rPr>
          <w:rFonts w:asciiTheme="majorHAnsi" w:hAnsiTheme="majorHAnsi" w:cstheme="majorHAnsi"/>
          <w:sz w:val="20"/>
          <w:szCs w:val="20"/>
        </w:rPr>
        <w:t>Tab. č. 16</w:t>
      </w:r>
      <w:r w:rsidRPr="0053555E">
        <w:rPr>
          <w:rFonts w:asciiTheme="majorHAnsi" w:hAnsiTheme="majorHAnsi" w:cstheme="majorHAnsi"/>
          <w:sz w:val="20"/>
          <w:szCs w:val="20"/>
        </w:rPr>
        <w:fldChar w:fldCharType="end"/>
      </w:r>
      <w:r w:rsidRPr="0053555E">
        <w:rPr>
          <w:rFonts w:asciiTheme="majorHAnsi" w:hAnsiTheme="majorHAnsi" w:cstheme="majorHAnsi"/>
        </w:rPr>
        <w:t xml:space="preserve"> je možné pozorovať, že úbytok študentov nie je až taký výrazný</w:t>
      </w:r>
      <w:r w:rsidR="000E4D8E">
        <w:rPr>
          <w:rFonts w:asciiTheme="majorHAnsi" w:hAnsiTheme="majorHAnsi" w:cstheme="majorHAnsi"/>
        </w:rPr>
        <w:t>,</w:t>
      </w:r>
      <w:r w:rsidRPr="0053555E">
        <w:rPr>
          <w:rFonts w:asciiTheme="majorHAnsi" w:hAnsiTheme="majorHAnsi" w:cstheme="majorHAnsi"/>
        </w:rPr>
        <w:t xml:space="preserve"> ako na prvom stupni štúdia, po prvom</w:t>
      </w:r>
      <w:r w:rsidR="005E6C6F">
        <w:rPr>
          <w:rFonts w:asciiTheme="majorHAnsi" w:hAnsiTheme="majorHAnsi" w:cstheme="majorHAnsi"/>
        </w:rPr>
        <w:t xml:space="preserve"> roku štúdia predstavuje celkovo</w:t>
      </w:r>
      <w:r w:rsidRPr="0053555E">
        <w:rPr>
          <w:rFonts w:asciiTheme="majorHAnsi" w:hAnsiTheme="majorHAnsi" w:cstheme="majorHAnsi"/>
        </w:rPr>
        <w:t xml:space="preserve"> za univerzitu </w:t>
      </w:r>
      <w:r>
        <w:rPr>
          <w:rFonts w:asciiTheme="majorHAnsi" w:hAnsiTheme="majorHAnsi" w:cstheme="majorHAnsi"/>
          <w:b/>
        </w:rPr>
        <w:t>9</w:t>
      </w:r>
      <w:r w:rsidRPr="0053555E">
        <w:rPr>
          <w:rFonts w:asciiTheme="majorHAnsi" w:hAnsiTheme="majorHAnsi" w:cstheme="majorHAnsi"/>
          <w:b/>
        </w:rPr>
        <w:t xml:space="preserve"> % </w:t>
      </w:r>
      <w:r w:rsidRPr="0053555E">
        <w:rPr>
          <w:rFonts w:asciiTheme="majorHAnsi" w:hAnsiTheme="majorHAnsi" w:cstheme="majorHAnsi"/>
        </w:rPr>
        <w:t>a po druhom</w:t>
      </w:r>
      <w:r w:rsidR="005E6C6F">
        <w:rPr>
          <w:rFonts w:asciiTheme="majorHAnsi" w:hAnsiTheme="majorHAnsi" w:cstheme="majorHAnsi"/>
        </w:rPr>
        <w:t xml:space="preserve"> roku štúdia predstavuje celkovo</w:t>
      </w:r>
      <w:r w:rsidRPr="0053555E">
        <w:rPr>
          <w:rFonts w:asciiTheme="majorHAnsi" w:hAnsiTheme="majorHAnsi" w:cstheme="majorHAnsi"/>
        </w:rPr>
        <w:t xml:space="preserve"> za univerzitu </w:t>
      </w:r>
      <w:r w:rsidRPr="0053555E">
        <w:rPr>
          <w:rFonts w:asciiTheme="majorHAnsi" w:hAnsiTheme="majorHAnsi" w:cstheme="majorHAnsi"/>
          <w:b/>
        </w:rPr>
        <w:t>8 %</w:t>
      </w:r>
      <w:r w:rsidRPr="0053555E">
        <w:rPr>
          <w:rFonts w:asciiTheme="majorHAnsi" w:hAnsiTheme="majorHAnsi" w:cstheme="majorHAnsi"/>
        </w:rPr>
        <w:t xml:space="preserve">. Dôvody úbytku sú </w:t>
      </w:r>
      <w:r w:rsidR="005E6C6F">
        <w:rPr>
          <w:rFonts w:asciiTheme="majorHAnsi" w:hAnsiTheme="majorHAnsi" w:cstheme="majorHAnsi"/>
        </w:rPr>
        <w:t>najmä</w:t>
      </w:r>
      <w:r w:rsidRPr="0053555E">
        <w:rPr>
          <w:rFonts w:asciiTheme="majorHAnsi" w:hAnsiTheme="majorHAnsi" w:cstheme="majorHAnsi"/>
        </w:rPr>
        <w:t xml:space="preserve"> v osobnej </w:t>
      </w:r>
      <w:r w:rsidRPr="0053555E">
        <w:rPr>
          <w:rFonts w:asciiTheme="majorHAnsi" w:hAnsiTheme="majorHAnsi" w:cstheme="majorHAnsi"/>
        </w:rPr>
        <w:lastRenderedPageBreak/>
        <w:t xml:space="preserve">rovine študentov (napr. nájdenie si zamestnania). Na druhej strane </w:t>
      </w:r>
      <w:r w:rsidR="005E6C6F">
        <w:rPr>
          <w:rFonts w:asciiTheme="majorHAnsi" w:hAnsiTheme="majorHAnsi" w:cstheme="majorHAnsi"/>
        </w:rPr>
        <w:t>je fakt</w:t>
      </w:r>
      <w:r w:rsidRPr="0053555E">
        <w:rPr>
          <w:rFonts w:asciiTheme="majorHAnsi" w:hAnsiTheme="majorHAnsi" w:cstheme="majorHAnsi"/>
        </w:rPr>
        <w:t xml:space="preserve">, že vzťah k štúdiu a motivácia úspešne skončiť štúdium </w:t>
      </w:r>
      <w:r w:rsidR="00832591">
        <w:rPr>
          <w:rFonts w:asciiTheme="majorHAnsi" w:hAnsiTheme="majorHAnsi" w:cstheme="majorHAnsi"/>
        </w:rPr>
        <w:t>sú</w:t>
      </w:r>
      <w:r w:rsidRPr="0053555E">
        <w:rPr>
          <w:rFonts w:asciiTheme="majorHAnsi" w:hAnsiTheme="majorHAnsi" w:cstheme="majorHAnsi"/>
        </w:rPr>
        <w:t xml:space="preserve"> u študentov druhého stupňa štúdia </w:t>
      </w:r>
      <w:r w:rsidR="00EB58C4">
        <w:rPr>
          <w:rFonts w:asciiTheme="majorHAnsi" w:hAnsiTheme="majorHAnsi" w:cstheme="majorHAnsi"/>
        </w:rPr>
        <w:t>väčšie</w:t>
      </w:r>
      <w:r w:rsidR="005E6C6F">
        <w:rPr>
          <w:rFonts w:asciiTheme="majorHAnsi" w:hAnsiTheme="majorHAnsi" w:cstheme="majorHAnsi"/>
        </w:rPr>
        <w:t>,</w:t>
      </w:r>
      <w:r w:rsidRPr="0053555E">
        <w:rPr>
          <w:rFonts w:asciiTheme="majorHAnsi" w:hAnsiTheme="majorHAnsi" w:cstheme="majorHAnsi"/>
        </w:rPr>
        <w:t xml:space="preserve"> ako u študentov prvého stupňa štúdia. </w:t>
      </w:r>
    </w:p>
    <w:p w14:paraId="23E4D0B3" w14:textId="77777777" w:rsidR="00A246D3" w:rsidRPr="0053555E" w:rsidRDefault="00A246D3" w:rsidP="00A246D3">
      <w:pPr>
        <w:tabs>
          <w:tab w:val="left" w:pos="9356"/>
        </w:tabs>
        <w:jc w:val="both"/>
        <w:rPr>
          <w:rFonts w:asciiTheme="majorHAnsi" w:hAnsiTheme="majorHAnsi" w:cstheme="majorHAnsi"/>
        </w:rPr>
      </w:pPr>
      <w:r w:rsidRPr="0053555E">
        <w:rPr>
          <w:rFonts w:asciiTheme="majorHAnsi" w:hAnsiTheme="majorHAnsi" w:cstheme="majorHAnsi"/>
        </w:rPr>
        <w:t>V porovnaní s akademickým rokom 20</w:t>
      </w:r>
      <w:r>
        <w:rPr>
          <w:rFonts w:asciiTheme="majorHAnsi" w:hAnsiTheme="majorHAnsi" w:cstheme="majorHAnsi"/>
        </w:rPr>
        <w:t>20</w:t>
      </w:r>
      <w:r w:rsidRPr="0053555E">
        <w:rPr>
          <w:rFonts w:asciiTheme="majorHAnsi" w:hAnsiTheme="majorHAnsi" w:cstheme="majorHAnsi"/>
        </w:rPr>
        <w:t>/202</w:t>
      </w:r>
      <w:r>
        <w:rPr>
          <w:rFonts w:asciiTheme="majorHAnsi" w:hAnsiTheme="majorHAnsi" w:cstheme="majorHAnsi"/>
        </w:rPr>
        <w:t>1</w:t>
      </w:r>
      <w:r w:rsidRPr="0053555E">
        <w:rPr>
          <w:rFonts w:asciiTheme="majorHAnsi" w:hAnsiTheme="majorHAnsi" w:cstheme="majorHAnsi"/>
        </w:rPr>
        <w:t xml:space="preserve"> úbytok študentov na druhom stupni štúdia po</w:t>
      </w:r>
      <w:r>
        <w:rPr>
          <w:rFonts w:asciiTheme="majorHAnsi" w:hAnsiTheme="majorHAnsi" w:cstheme="majorHAnsi"/>
        </w:rPr>
        <w:t> </w:t>
      </w:r>
      <w:r w:rsidRPr="0053555E">
        <w:rPr>
          <w:rFonts w:asciiTheme="majorHAnsi" w:hAnsiTheme="majorHAnsi" w:cstheme="majorHAnsi"/>
        </w:rPr>
        <w:t xml:space="preserve">prvom roku štúdia zaznamenal medziročný </w:t>
      </w:r>
      <w:r>
        <w:rPr>
          <w:rFonts w:asciiTheme="majorHAnsi" w:hAnsiTheme="majorHAnsi" w:cstheme="majorHAnsi"/>
          <w:b/>
        </w:rPr>
        <w:t>nárast</w:t>
      </w:r>
      <w:r w:rsidRPr="0053555E">
        <w:rPr>
          <w:rFonts w:asciiTheme="majorHAnsi" w:hAnsiTheme="majorHAnsi" w:cstheme="majorHAnsi"/>
          <w:b/>
        </w:rPr>
        <w:t xml:space="preserve"> o </w:t>
      </w:r>
      <w:r>
        <w:rPr>
          <w:rFonts w:asciiTheme="majorHAnsi" w:hAnsiTheme="majorHAnsi" w:cstheme="majorHAnsi"/>
          <w:b/>
        </w:rPr>
        <w:t>4</w:t>
      </w:r>
      <w:r w:rsidRPr="0053555E">
        <w:rPr>
          <w:rFonts w:asciiTheme="majorHAnsi" w:hAnsiTheme="majorHAnsi" w:cstheme="majorHAnsi"/>
          <w:b/>
        </w:rPr>
        <w:t xml:space="preserve"> %</w:t>
      </w:r>
      <w:r w:rsidRPr="0053555E">
        <w:rPr>
          <w:rFonts w:asciiTheme="majorHAnsi" w:hAnsiTheme="majorHAnsi" w:cstheme="majorHAnsi"/>
        </w:rPr>
        <w:t xml:space="preserve"> a po druhom roku štúdia </w:t>
      </w:r>
      <w:r>
        <w:rPr>
          <w:rFonts w:asciiTheme="majorHAnsi" w:hAnsiTheme="majorHAnsi" w:cstheme="majorHAnsi"/>
        </w:rPr>
        <w:t>zostal nezmenený</w:t>
      </w:r>
      <w:r w:rsidRPr="0053555E">
        <w:rPr>
          <w:rFonts w:asciiTheme="majorHAnsi" w:hAnsiTheme="majorHAnsi" w:cstheme="majorHAnsi"/>
        </w:rPr>
        <w:t>.</w:t>
      </w:r>
    </w:p>
    <w:p w14:paraId="1C272544" w14:textId="77777777" w:rsidR="00A246D3" w:rsidRPr="0053555E" w:rsidRDefault="00A246D3" w:rsidP="00A246D3">
      <w:pPr>
        <w:tabs>
          <w:tab w:val="left" w:pos="9356"/>
        </w:tabs>
        <w:jc w:val="both"/>
        <w:rPr>
          <w:rFonts w:asciiTheme="majorHAnsi" w:hAnsiTheme="majorHAnsi" w:cstheme="majorHAnsi"/>
        </w:rPr>
      </w:pPr>
    </w:p>
    <w:p w14:paraId="1C689D5D" w14:textId="6EC833E1" w:rsidR="0042210A" w:rsidRDefault="000E4D8E" w:rsidP="000E4D8E">
      <w:pPr>
        <w:rPr>
          <w:b/>
          <w:sz w:val="28"/>
          <w:szCs w:val="28"/>
        </w:rPr>
      </w:pPr>
      <w:r w:rsidRPr="000E4D8E">
        <w:rPr>
          <w:b/>
          <w:sz w:val="28"/>
          <w:szCs w:val="28"/>
        </w:rPr>
        <w:t xml:space="preserve">3.2.3. </w:t>
      </w:r>
      <w:r w:rsidR="0042210A" w:rsidRPr="000E4D8E">
        <w:rPr>
          <w:b/>
          <w:sz w:val="28"/>
          <w:szCs w:val="28"/>
        </w:rPr>
        <w:t>Tretí stupeň štúdia - počet a úbytok študentov</w:t>
      </w:r>
      <w:bookmarkEnd w:id="55"/>
    </w:p>
    <w:p w14:paraId="117B314F" w14:textId="77777777" w:rsidR="000E4D8E" w:rsidRPr="0072770E" w:rsidRDefault="000E4D8E" w:rsidP="000E4D8E">
      <w:pPr>
        <w:rPr>
          <w:b/>
        </w:rPr>
      </w:pPr>
    </w:p>
    <w:p w14:paraId="7469C86E" w14:textId="28D05CD7" w:rsidR="0042210A" w:rsidRDefault="0042210A" w:rsidP="0042210A">
      <w:pPr>
        <w:tabs>
          <w:tab w:val="left" w:pos="9356"/>
        </w:tabs>
        <w:spacing w:after="120"/>
        <w:jc w:val="both"/>
        <w:rPr>
          <w:rFonts w:asciiTheme="majorHAnsi" w:hAnsiTheme="majorHAnsi" w:cstheme="majorHAnsi"/>
        </w:rPr>
      </w:pPr>
      <w:r w:rsidRPr="0053555E">
        <w:rPr>
          <w:rFonts w:asciiTheme="majorHAnsi" w:hAnsiTheme="majorHAnsi" w:cstheme="majorHAnsi"/>
        </w:rPr>
        <w:t>Prehľad počtu študentov tretieho stupňa štúdia a úbytok v jednotlivých rokoch štúdia v dennej a externej forme uvádza  </w:t>
      </w:r>
      <w:r w:rsidRPr="0053555E">
        <w:rPr>
          <w:rFonts w:asciiTheme="majorHAnsi" w:hAnsiTheme="majorHAnsi" w:cstheme="majorHAnsi"/>
        </w:rPr>
        <w:fldChar w:fldCharType="begin"/>
      </w:r>
      <w:r w:rsidRPr="0053555E">
        <w:rPr>
          <w:rFonts w:asciiTheme="majorHAnsi" w:hAnsiTheme="majorHAnsi" w:cstheme="majorHAnsi"/>
        </w:rPr>
        <w:instrText xml:space="preserve"> REF _Ref31707710 \h  \* MERGEFORMAT </w:instrText>
      </w:r>
      <w:r w:rsidRPr="0053555E">
        <w:rPr>
          <w:rFonts w:asciiTheme="majorHAnsi" w:hAnsiTheme="majorHAnsi" w:cstheme="majorHAnsi"/>
        </w:rPr>
      </w:r>
      <w:r w:rsidRPr="0053555E">
        <w:rPr>
          <w:rFonts w:asciiTheme="majorHAnsi" w:hAnsiTheme="majorHAnsi" w:cstheme="majorHAnsi"/>
        </w:rPr>
        <w:fldChar w:fldCharType="separate"/>
      </w:r>
      <w:r w:rsidR="00EE1B59" w:rsidRPr="00EE1B59">
        <w:rPr>
          <w:rFonts w:asciiTheme="majorHAnsi" w:hAnsiTheme="majorHAnsi" w:cstheme="majorHAnsi"/>
          <w:sz w:val="20"/>
          <w:szCs w:val="20"/>
        </w:rPr>
        <w:t>Tab. č. 11</w:t>
      </w:r>
      <w:r w:rsidRPr="0053555E">
        <w:rPr>
          <w:rFonts w:asciiTheme="majorHAnsi" w:hAnsiTheme="majorHAnsi" w:cstheme="majorHAnsi"/>
        </w:rPr>
        <w:fldChar w:fldCharType="end"/>
      </w:r>
      <w:r w:rsidRPr="0053555E">
        <w:rPr>
          <w:rFonts w:asciiTheme="majorHAnsi" w:hAnsiTheme="majorHAnsi" w:cstheme="majorHAnsi"/>
        </w:rPr>
        <w:t xml:space="preserve"> </w:t>
      </w:r>
      <w:r w:rsidRPr="0053555E">
        <w:rPr>
          <w:rFonts w:asciiTheme="majorHAnsi" w:hAnsiTheme="majorHAnsi" w:cstheme="majorHAnsi"/>
          <w:szCs w:val="20"/>
        </w:rPr>
        <w:t>a</w:t>
      </w:r>
      <w:r w:rsidRPr="0053555E">
        <w:rPr>
          <w:rFonts w:asciiTheme="majorHAnsi" w:hAnsiTheme="majorHAnsi" w:cstheme="majorHAnsi"/>
          <w:sz w:val="20"/>
          <w:szCs w:val="20"/>
        </w:rPr>
        <w:t xml:space="preserve"> </w:t>
      </w:r>
      <w:r w:rsidRPr="0053555E">
        <w:rPr>
          <w:rFonts w:asciiTheme="majorHAnsi" w:hAnsiTheme="majorHAnsi" w:cstheme="majorHAnsi"/>
          <w:sz w:val="20"/>
          <w:szCs w:val="20"/>
        </w:rPr>
        <w:fldChar w:fldCharType="begin"/>
      </w:r>
      <w:r w:rsidRPr="0053555E">
        <w:rPr>
          <w:rFonts w:asciiTheme="majorHAnsi" w:hAnsiTheme="majorHAnsi" w:cstheme="majorHAnsi"/>
          <w:sz w:val="20"/>
          <w:szCs w:val="20"/>
        </w:rPr>
        <w:instrText xml:space="preserve"> REF _Ref64646130 \h  \* MERGEFORMAT </w:instrText>
      </w:r>
      <w:r w:rsidRPr="0053555E">
        <w:rPr>
          <w:rFonts w:asciiTheme="majorHAnsi" w:hAnsiTheme="majorHAnsi" w:cstheme="majorHAnsi"/>
          <w:sz w:val="20"/>
          <w:szCs w:val="20"/>
        </w:rPr>
      </w:r>
      <w:r w:rsidRPr="0053555E">
        <w:rPr>
          <w:rFonts w:asciiTheme="majorHAnsi" w:hAnsiTheme="majorHAnsi" w:cstheme="majorHAnsi"/>
          <w:sz w:val="20"/>
          <w:szCs w:val="20"/>
        </w:rPr>
        <w:fldChar w:fldCharType="separate"/>
      </w:r>
      <w:r w:rsidR="00EE1B59" w:rsidRPr="00EE1B59">
        <w:rPr>
          <w:rFonts w:asciiTheme="majorHAnsi" w:hAnsiTheme="majorHAnsi" w:cstheme="majorHAnsi"/>
          <w:sz w:val="20"/>
          <w:szCs w:val="20"/>
        </w:rPr>
        <w:t>Tab. č.12</w:t>
      </w:r>
      <w:r w:rsidRPr="0053555E">
        <w:rPr>
          <w:rFonts w:asciiTheme="majorHAnsi" w:hAnsiTheme="majorHAnsi" w:cstheme="majorHAnsi"/>
          <w:sz w:val="20"/>
          <w:szCs w:val="20"/>
        </w:rPr>
        <w:fldChar w:fldCharType="end"/>
      </w:r>
      <w:r w:rsidRPr="0053555E">
        <w:rPr>
          <w:rFonts w:asciiTheme="majorHAnsi" w:hAnsiTheme="majorHAnsi" w:cstheme="majorHAnsi"/>
          <w:sz w:val="20"/>
          <w:szCs w:val="20"/>
        </w:rPr>
        <w:t xml:space="preserve">. </w:t>
      </w:r>
      <w:r w:rsidRPr="0053555E">
        <w:rPr>
          <w:rFonts w:asciiTheme="majorHAnsi" w:hAnsiTheme="majorHAnsi" w:cstheme="majorHAnsi"/>
        </w:rPr>
        <w:t xml:space="preserve">Celkový </w:t>
      </w:r>
      <w:r w:rsidRPr="0053555E">
        <w:rPr>
          <w:rFonts w:asciiTheme="majorHAnsi" w:hAnsiTheme="majorHAnsi" w:cstheme="majorHAnsi"/>
          <w:b/>
        </w:rPr>
        <w:t>počet zapísaných študentov na treťom stupni štúdia</w:t>
      </w:r>
      <w:r w:rsidRPr="0053555E">
        <w:rPr>
          <w:rFonts w:asciiTheme="majorHAnsi" w:hAnsiTheme="majorHAnsi" w:cstheme="majorHAnsi"/>
        </w:rPr>
        <w:t xml:space="preserve"> v dennej forme a externej forme v akademickom roku </w:t>
      </w:r>
      <w:r w:rsidR="00EA24BA" w:rsidRPr="0053555E">
        <w:rPr>
          <w:rFonts w:asciiTheme="majorHAnsi" w:hAnsiTheme="majorHAnsi" w:cstheme="majorHAnsi"/>
        </w:rPr>
        <w:t>2021/2022</w:t>
      </w:r>
      <w:r w:rsidRPr="0053555E">
        <w:rPr>
          <w:rFonts w:asciiTheme="majorHAnsi" w:hAnsiTheme="majorHAnsi" w:cstheme="majorHAnsi"/>
        </w:rPr>
        <w:t xml:space="preserve"> bol </w:t>
      </w:r>
      <w:r w:rsidRPr="0053555E">
        <w:rPr>
          <w:rFonts w:asciiTheme="majorHAnsi" w:hAnsiTheme="majorHAnsi" w:cstheme="majorHAnsi"/>
          <w:b/>
        </w:rPr>
        <w:t>7</w:t>
      </w:r>
      <w:r w:rsidR="000656A2">
        <w:rPr>
          <w:rFonts w:asciiTheme="majorHAnsi" w:hAnsiTheme="majorHAnsi" w:cstheme="majorHAnsi"/>
          <w:b/>
        </w:rPr>
        <w:t>78</w:t>
      </w:r>
      <w:r w:rsidRPr="0053555E">
        <w:rPr>
          <w:rFonts w:asciiTheme="majorHAnsi" w:hAnsiTheme="majorHAnsi" w:cstheme="majorHAnsi"/>
          <w:b/>
        </w:rPr>
        <w:t xml:space="preserve"> </w:t>
      </w:r>
      <w:r w:rsidRPr="0053555E">
        <w:rPr>
          <w:rFonts w:asciiTheme="majorHAnsi" w:hAnsiTheme="majorHAnsi" w:cstheme="majorHAnsi"/>
        </w:rPr>
        <w:t xml:space="preserve">vrátane študentov prihlásených na tému dizertačnej práce vypísanú externou vzdelávacou inštitúciou (ďalej len „EVI“). </w:t>
      </w:r>
    </w:p>
    <w:p w14:paraId="5128956D" w14:textId="77777777" w:rsidR="00E14578" w:rsidRPr="0053555E" w:rsidRDefault="00E14578" w:rsidP="00E14578">
      <w:pPr>
        <w:tabs>
          <w:tab w:val="left" w:pos="9356"/>
        </w:tabs>
        <w:jc w:val="both"/>
        <w:rPr>
          <w:rFonts w:asciiTheme="majorHAnsi" w:hAnsiTheme="majorHAnsi" w:cstheme="majorHAnsi"/>
        </w:rPr>
      </w:pPr>
    </w:p>
    <w:p w14:paraId="193B2763" w14:textId="68631738" w:rsidR="0042210A" w:rsidRPr="0053555E" w:rsidRDefault="0042210A" w:rsidP="000E3322">
      <w:pPr>
        <w:pStyle w:val="Popis"/>
      </w:pPr>
      <w:bookmarkStart w:id="58" w:name="_Ref31707710"/>
      <w:bookmarkStart w:id="59" w:name="_Toc127593274"/>
      <w:r w:rsidRPr="0053555E">
        <w:t xml:space="preserve">Tab. č. </w:t>
      </w:r>
      <w:r w:rsidR="007B5953">
        <w:fldChar w:fldCharType="begin"/>
      </w:r>
      <w:r w:rsidR="007B5953">
        <w:instrText xml:space="preserve"> SEQ Tab._č. \* ARABIC </w:instrText>
      </w:r>
      <w:r w:rsidR="007B5953">
        <w:fldChar w:fldCharType="separate"/>
      </w:r>
      <w:r w:rsidR="00EE1B59">
        <w:rPr>
          <w:noProof/>
        </w:rPr>
        <w:t>11</w:t>
      </w:r>
      <w:r w:rsidR="007B5953">
        <w:rPr>
          <w:noProof/>
        </w:rPr>
        <w:fldChar w:fldCharType="end"/>
      </w:r>
      <w:bookmarkEnd w:id="58"/>
      <w:r w:rsidRPr="0053555E">
        <w:t>: Počet a úbytok študentov tretieho stupňa štúdia v dennej forme v akademickom roku </w:t>
      </w:r>
      <w:r w:rsidR="00EA24BA" w:rsidRPr="0053555E">
        <w:t>2021/2022</w:t>
      </w:r>
      <w:bookmarkEnd w:id="59"/>
    </w:p>
    <w:tbl>
      <w:tblPr>
        <w:tblW w:w="8020" w:type="dxa"/>
        <w:tblInd w:w="55" w:type="dxa"/>
        <w:tblLayout w:type="fixed"/>
        <w:tblCellMar>
          <w:left w:w="70" w:type="dxa"/>
          <w:right w:w="70" w:type="dxa"/>
        </w:tblCellMar>
        <w:tblLook w:val="04A0" w:firstRow="1" w:lastRow="0" w:firstColumn="1" w:lastColumn="0" w:noHBand="0" w:noVBand="1"/>
      </w:tblPr>
      <w:tblGrid>
        <w:gridCol w:w="866"/>
        <w:gridCol w:w="1059"/>
        <w:gridCol w:w="859"/>
        <w:gridCol w:w="960"/>
        <w:gridCol w:w="1069"/>
        <w:gridCol w:w="1069"/>
        <w:gridCol w:w="1069"/>
        <w:gridCol w:w="1069"/>
      </w:tblGrid>
      <w:tr w:rsidR="0042210A" w:rsidRPr="0053555E" w14:paraId="33068843" w14:textId="77777777" w:rsidTr="001605FB">
        <w:trPr>
          <w:trHeight w:val="20"/>
        </w:trPr>
        <w:tc>
          <w:tcPr>
            <w:tcW w:w="866" w:type="dxa"/>
            <w:vMerge w:val="restart"/>
            <w:tcBorders>
              <w:top w:val="single" w:sz="4" w:space="0" w:color="auto"/>
              <w:left w:val="single" w:sz="4" w:space="0" w:color="auto"/>
              <w:right w:val="single" w:sz="4" w:space="0" w:color="auto"/>
            </w:tcBorders>
            <w:shd w:val="clear" w:color="auto" w:fill="auto"/>
            <w:noWrap/>
            <w:vAlign w:val="center"/>
            <w:hideMark/>
          </w:tcPr>
          <w:p w14:paraId="0D62CB86" w14:textId="77777777" w:rsidR="0042210A" w:rsidRPr="0053555E" w:rsidRDefault="0042210A" w:rsidP="001605FB">
            <w:pPr>
              <w:tabs>
                <w:tab w:val="left" w:pos="9356"/>
              </w:tabs>
              <w:jc w:val="both"/>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Súčasť STU</w:t>
            </w:r>
          </w:p>
        </w:tc>
        <w:tc>
          <w:tcPr>
            <w:tcW w:w="2878" w:type="dxa"/>
            <w:gridSpan w:val="3"/>
            <w:tcBorders>
              <w:top w:val="single" w:sz="4" w:space="0" w:color="auto"/>
              <w:left w:val="nil"/>
              <w:bottom w:val="single" w:sz="4" w:space="0" w:color="auto"/>
              <w:right w:val="nil"/>
            </w:tcBorders>
            <w:shd w:val="clear" w:color="auto" w:fill="auto"/>
            <w:noWrap/>
            <w:hideMark/>
          </w:tcPr>
          <w:p w14:paraId="22267CE4" w14:textId="77777777" w:rsidR="0042210A" w:rsidRPr="0053555E" w:rsidRDefault="0042210A" w:rsidP="001605FB">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Zapísaní študenti</w:t>
            </w:r>
          </w:p>
        </w:tc>
        <w:tc>
          <w:tcPr>
            <w:tcW w:w="4276"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39920CEC" w14:textId="77777777" w:rsidR="0042210A" w:rsidRPr="0053555E" w:rsidRDefault="0042210A" w:rsidP="001605FB">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 xml:space="preserve">Úbytok študentov </w:t>
            </w:r>
            <w:r w:rsidRPr="0053555E">
              <w:rPr>
                <w:rFonts w:asciiTheme="majorHAnsi" w:eastAsia="Times New Roman" w:hAnsiTheme="majorHAnsi" w:cstheme="majorHAnsi"/>
                <w:bCs/>
                <w:sz w:val="20"/>
                <w:szCs w:val="22"/>
                <w:lang w:eastAsia="sk-SK"/>
              </w:rPr>
              <w:t>(v absolútnych číslach)</w:t>
            </w:r>
          </w:p>
        </w:tc>
      </w:tr>
      <w:tr w:rsidR="0042210A" w:rsidRPr="0053555E" w14:paraId="19DF0FAB" w14:textId="77777777" w:rsidTr="001605FB">
        <w:trPr>
          <w:trHeight w:val="20"/>
        </w:trPr>
        <w:tc>
          <w:tcPr>
            <w:tcW w:w="866" w:type="dxa"/>
            <w:vMerge/>
            <w:tcBorders>
              <w:left w:val="single" w:sz="4" w:space="0" w:color="auto"/>
              <w:bottom w:val="single" w:sz="4" w:space="0" w:color="auto"/>
              <w:right w:val="single" w:sz="4" w:space="0" w:color="auto"/>
            </w:tcBorders>
            <w:shd w:val="clear" w:color="000000" w:fill="FFFFFF"/>
            <w:vAlign w:val="center"/>
          </w:tcPr>
          <w:p w14:paraId="1CA6339B" w14:textId="77777777" w:rsidR="0042210A" w:rsidRPr="0053555E" w:rsidRDefault="0042210A" w:rsidP="001605FB">
            <w:pPr>
              <w:tabs>
                <w:tab w:val="left" w:pos="9356"/>
              </w:tabs>
              <w:jc w:val="both"/>
              <w:rPr>
                <w:rFonts w:asciiTheme="majorHAnsi" w:eastAsia="Times New Roman" w:hAnsiTheme="majorHAnsi" w:cstheme="majorHAnsi"/>
                <w:b/>
                <w:bCs/>
                <w:sz w:val="20"/>
                <w:szCs w:val="22"/>
                <w:lang w:eastAsia="sk-SK"/>
              </w:rPr>
            </w:pPr>
          </w:p>
        </w:tc>
        <w:tc>
          <w:tcPr>
            <w:tcW w:w="1059" w:type="dxa"/>
            <w:tcBorders>
              <w:top w:val="nil"/>
              <w:left w:val="nil"/>
              <w:bottom w:val="single" w:sz="4" w:space="0" w:color="auto"/>
              <w:right w:val="single" w:sz="4" w:space="0" w:color="auto"/>
            </w:tcBorders>
            <w:shd w:val="clear" w:color="000000" w:fill="FFFFFF"/>
            <w:vAlign w:val="center"/>
          </w:tcPr>
          <w:p w14:paraId="2F167CCE" w14:textId="77777777" w:rsidR="0042210A" w:rsidRPr="0053555E" w:rsidRDefault="0042210A" w:rsidP="001605FB">
            <w:pPr>
              <w:jc w:val="center"/>
              <w:rPr>
                <w:rFonts w:asciiTheme="majorHAnsi" w:hAnsiTheme="majorHAnsi" w:cstheme="majorHAnsi"/>
                <w:sz w:val="20"/>
              </w:rPr>
            </w:pPr>
            <w:r w:rsidRPr="0053555E">
              <w:rPr>
                <w:rFonts w:asciiTheme="majorHAnsi" w:hAnsiTheme="majorHAnsi" w:cstheme="majorHAnsi"/>
                <w:sz w:val="20"/>
              </w:rPr>
              <w:t>na fakulte</w:t>
            </w:r>
          </w:p>
        </w:tc>
        <w:tc>
          <w:tcPr>
            <w:tcW w:w="859" w:type="dxa"/>
            <w:tcBorders>
              <w:top w:val="nil"/>
              <w:left w:val="nil"/>
              <w:bottom w:val="single" w:sz="4" w:space="0" w:color="auto"/>
              <w:right w:val="single" w:sz="4" w:space="0" w:color="auto"/>
            </w:tcBorders>
            <w:shd w:val="clear" w:color="000000" w:fill="FFFFFF"/>
            <w:vAlign w:val="center"/>
          </w:tcPr>
          <w:p w14:paraId="0CBEA6DB" w14:textId="77777777" w:rsidR="0042210A" w:rsidRPr="0053555E" w:rsidRDefault="0042210A" w:rsidP="001605FB">
            <w:pPr>
              <w:jc w:val="center"/>
              <w:rPr>
                <w:rFonts w:asciiTheme="majorHAnsi" w:hAnsiTheme="majorHAnsi" w:cstheme="majorHAnsi"/>
                <w:sz w:val="20"/>
              </w:rPr>
            </w:pPr>
            <w:r w:rsidRPr="0053555E">
              <w:rPr>
                <w:rFonts w:asciiTheme="majorHAnsi" w:hAnsiTheme="majorHAnsi" w:cstheme="majorHAnsi"/>
                <w:sz w:val="20"/>
              </w:rPr>
              <w:t>na EVI</w:t>
            </w:r>
          </w:p>
        </w:tc>
        <w:tc>
          <w:tcPr>
            <w:tcW w:w="960" w:type="dxa"/>
            <w:tcBorders>
              <w:top w:val="nil"/>
              <w:left w:val="nil"/>
              <w:bottom w:val="single" w:sz="4" w:space="0" w:color="auto"/>
              <w:right w:val="single" w:sz="4" w:space="0" w:color="auto"/>
            </w:tcBorders>
            <w:shd w:val="clear" w:color="auto" w:fill="EEECE1" w:themeFill="background2"/>
            <w:vAlign w:val="center"/>
          </w:tcPr>
          <w:p w14:paraId="0913E5FF" w14:textId="77777777" w:rsidR="0042210A" w:rsidRPr="0053555E" w:rsidRDefault="0042210A" w:rsidP="001605FB">
            <w:pPr>
              <w:jc w:val="center"/>
              <w:rPr>
                <w:rFonts w:asciiTheme="majorHAnsi" w:hAnsiTheme="majorHAnsi" w:cstheme="majorHAnsi"/>
                <w:sz w:val="20"/>
              </w:rPr>
            </w:pPr>
            <w:r w:rsidRPr="0053555E">
              <w:rPr>
                <w:rFonts w:asciiTheme="majorHAnsi" w:hAnsiTheme="majorHAnsi" w:cstheme="majorHAnsi"/>
                <w:sz w:val="20"/>
              </w:rPr>
              <w:t>∑</w:t>
            </w:r>
            <w:r w:rsidRPr="0053555E">
              <w:rPr>
                <w:rFonts w:asciiTheme="majorHAnsi" w:hAnsiTheme="majorHAnsi" w:cstheme="majorHAnsi"/>
                <w:sz w:val="20"/>
                <w:vertAlign w:val="subscript"/>
              </w:rPr>
              <w:t>z</w:t>
            </w:r>
          </w:p>
        </w:tc>
        <w:tc>
          <w:tcPr>
            <w:tcW w:w="1069" w:type="dxa"/>
            <w:tcBorders>
              <w:top w:val="nil"/>
              <w:left w:val="nil"/>
              <w:bottom w:val="single" w:sz="4" w:space="0" w:color="auto"/>
              <w:right w:val="single" w:sz="4" w:space="0" w:color="auto"/>
            </w:tcBorders>
            <w:shd w:val="clear" w:color="000000" w:fill="FFFFFF"/>
            <w:vAlign w:val="center"/>
          </w:tcPr>
          <w:p w14:paraId="5B6B1138" w14:textId="77777777" w:rsidR="0042210A" w:rsidRPr="0053555E" w:rsidRDefault="0042210A" w:rsidP="001605FB">
            <w:pPr>
              <w:jc w:val="center"/>
              <w:rPr>
                <w:rFonts w:asciiTheme="majorHAnsi" w:hAnsiTheme="majorHAnsi" w:cstheme="majorHAnsi"/>
                <w:sz w:val="20"/>
              </w:rPr>
            </w:pPr>
            <w:r w:rsidRPr="0053555E">
              <w:rPr>
                <w:rFonts w:asciiTheme="majorHAnsi" w:hAnsiTheme="majorHAnsi" w:cstheme="majorHAnsi"/>
                <w:sz w:val="20"/>
              </w:rPr>
              <w:t>po 1. roku</w:t>
            </w:r>
          </w:p>
        </w:tc>
        <w:tc>
          <w:tcPr>
            <w:tcW w:w="1069" w:type="dxa"/>
            <w:tcBorders>
              <w:top w:val="nil"/>
              <w:left w:val="nil"/>
              <w:bottom w:val="single" w:sz="4" w:space="0" w:color="auto"/>
              <w:right w:val="single" w:sz="4" w:space="0" w:color="auto"/>
            </w:tcBorders>
            <w:shd w:val="clear" w:color="auto" w:fill="auto"/>
            <w:noWrap/>
            <w:vAlign w:val="center"/>
          </w:tcPr>
          <w:p w14:paraId="35808A47" w14:textId="77777777" w:rsidR="0042210A" w:rsidRPr="0053555E" w:rsidRDefault="0042210A" w:rsidP="001605FB">
            <w:pPr>
              <w:jc w:val="center"/>
              <w:rPr>
                <w:rFonts w:asciiTheme="majorHAnsi" w:hAnsiTheme="majorHAnsi" w:cstheme="majorHAnsi"/>
                <w:sz w:val="20"/>
              </w:rPr>
            </w:pPr>
            <w:r w:rsidRPr="0053555E">
              <w:rPr>
                <w:rFonts w:asciiTheme="majorHAnsi" w:hAnsiTheme="majorHAnsi" w:cstheme="majorHAnsi"/>
                <w:sz w:val="20"/>
              </w:rPr>
              <w:t>po 2. roku</w:t>
            </w:r>
          </w:p>
        </w:tc>
        <w:tc>
          <w:tcPr>
            <w:tcW w:w="1069" w:type="dxa"/>
            <w:tcBorders>
              <w:top w:val="nil"/>
              <w:left w:val="nil"/>
              <w:bottom w:val="single" w:sz="4" w:space="0" w:color="auto"/>
              <w:right w:val="single" w:sz="4" w:space="0" w:color="auto"/>
            </w:tcBorders>
            <w:shd w:val="clear" w:color="auto" w:fill="auto"/>
            <w:noWrap/>
            <w:vAlign w:val="center"/>
          </w:tcPr>
          <w:p w14:paraId="1F45A614" w14:textId="77777777" w:rsidR="0042210A" w:rsidRPr="0053555E" w:rsidRDefault="0042210A" w:rsidP="001605FB">
            <w:pPr>
              <w:jc w:val="center"/>
              <w:rPr>
                <w:rFonts w:asciiTheme="majorHAnsi" w:hAnsiTheme="majorHAnsi" w:cstheme="majorHAnsi"/>
                <w:sz w:val="20"/>
              </w:rPr>
            </w:pPr>
            <w:r w:rsidRPr="0053555E">
              <w:rPr>
                <w:rFonts w:asciiTheme="majorHAnsi" w:hAnsiTheme="majorHAnsi" w:cstheme="majorHAnsi"/>
                <w:sz w:val="20"/>
              </w:rPr>
              <w:t>po 3. roku</w:t>
            </w:r>
          </w:p>
        </w:tc>
        <w:tc>
          <w:tcPr>
            <w:tcW w:w="1069" w:type="dxa"/>
            <w:tcBorders>
              <w:top w:val="nil"/>
              <w:left w:val="nil"/>
              <w:bottom w:val="single" w:sz="4" w:space="0" w:color="auto"/>
              <w:right w:val="single" w:sz="4" w:space="0" w:color="auto"/>
            </w:tcBorders>
            <w:shd w:val="clear" w:color="auto" w:fill="auto"/>
            <w:noWrap/>
            <w:vAlign w:val="center"/>
          </w:tcPr>
          <w:p w14:paraId="4E011067" w14:textId="77777777" w:rsidR="0042210A" w:rsidRPr="0053555E" w:rsidRDefault="0042210A" w:rsidP="001605FB">
            <w:pPr>
              <w:jc w:val="center"/>
              <w:rPr>
                <w:rFonts w:asciiTheme="majorHAnsi" w:hAnsiTheme="majorHAnsi" w:cstheme="majorHAnsi"/>
                <w:sz w:val="20"/>
              </w:rPr>
            </w:pPr>
            <w:r w:rsidRPr="0053555E">
              <w:rPr>
                <w:rFonts w:asciiTheme="majorHAnsi" w:hAnsiTheme="majorHAnsi" w:cstheme="majorHAnsi"/>
                <w:sz w:val="20"/>
              </w:rPr>
              <w:t>po 4. roku</w:t>
            </w:r>
          </w:p>
        </w:tc>
      </w:tr>
      <w:tr w:rsidR="00A924AE" w:rsidRPr="0053555E" w14:paraId="127C9D21" w14:textId="77777777" w:rsidTr="001605FB">
        <w:trPr>
          <w:trHeight w:val="20"/>
        </w:trPr>
        <w:tc>
          <w:tcPr>
            <w:tcW w:w="866" w:type="dxa"/>
            <w:tcBorders>
              <w:top w:val="nil"/>
              <w:left w:val="single" w:sz="4" w:space="0" w:color="auto"/>
              <w:bottom w:val="single" w:sz="4" w:space="0" w:color="auto"/>
              <w:right w:val="single" w:sz="4" w:space="0" w:color="auto"/>
            </w:tcBorders>
            <w:shd w:val="clear" w:color="000000" w:fill="FFFFFF"/>
            <w:hideMark/>
          </w:tcPr>
          <w:p w14:paraId="1D68DB34" w14:textId="77777777" w:rsidR="00A924AE" w:rsidRPr="0053555E" w:rsidRDefault="00A924AE" w:rsidP="00A924A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SvF</w:t>
            </w:r>
          </w:p>
        </w:tc>
        <w:tc>
          <w:tcPr>
            <w:tcW w:w="1059" w:type="dxa"/>
            <w:tcBorders>
              <w:top w:val="nil"/>
              <w:left w:val="nil"/>
              <w:bottom w:val="single" w:sz="4" w:space="0" w:color="auto"/>
              <w:right w:val="single" w:sz="4" w:space="0" w:color="auto"/>
            </w:tcBorders>
            <w:shd w:val="clear" w:color="000000" w:fill="FFFFFF"/>
            <w:hideMark/>
          </w:tcPr>
          <w:p w14:paraId="5AAE29B0" w14:textId="62486745" w:rsidR="00A924AE" w:rsidRPr="0053555E" w:rsidRDefault="00A924AE" w:rsidP="00A924AE">
            <w:pPr>
              <w:jc w:val="center"/>
              <w:rPr>
                <w:rFonts w:asciiTheme="majorHAnsi" w:hAnsiTheme="majorHAnsi" w:cstheme="majorHAnsi"/>
                <w:sz w:val="22"/>
                <w:szCs w:val="22"/>
              </w:rPr>
            </w:pPr>
            <w:r w:rsidRPr="0053555E">
              <w:rPr>
                <w:rFonts w:cs="Calibri"/>
                <w:sz w:val="22"/>
                <w:szCs w:val="20"/>
              </w:rPr>
              <w:t>138</w:t>
            </w:r>
          </w:p>
        </w:tc>
        <w:tc>
          <w:tcPr>
            <w:tcW w:w="859" w:type="dxa"/>
            <w:tcBorders>
              <w:top w:val="nil"/>
              <w:left w:val="nil"/>
              <w:bottom w:val="single" w:sz="4" w:space="0" w:color="auto"/>
              <w:right w:val="single" w:sz="4" w:space="0" w:color="auto"/>
            </w:tcBorders>
            <w:shd w:val="clear" w:color="000000" w:fill="FFFFFF"/>
            <w:hideMark/>
          </w:tcPr>
          <w:p w14:paraId="66822FEF" w14:textId="5CFE952D" w:rsidR="00A924AE" w:rsidRPr="0053555E" w:rsidRDefault="00A924AE" w:rsidP="00A924AE">
            <w:pPr>
              <w:jc w:val="center"/>
              <w:rPr>
                <w:rFonts w:asciiTheme="majorHAnsi" w:hAnsiTheme="majorHAnsi" w:cstheme="majorHAnsi"/>
                <w:sz w:val="22"/>
                <w:szCs w:val="22"/>
              </w:rPr>
            </w:pPr>
            <w:r w:rsidRPr="0053555E">
              <w:rPr>
                <w:rFonts w:cs="Calibri"/>
                <w:sz w:val="22"/>
                <w:szCs w:val="20"/>
              </w:rPr>
              <w:t>2</w:t>
            </w:r>
          </w:p>
        </w:tc>
        <w:tc>
          <w:tcPr>
            <w:tcW w:w="960" w:type="dxa"/>
            <w:tcBorders>
              <w:top w:val="nil"/>
              <w:left w:val="nil"/>
              <w:bottom w:val="single" w:sz="4" w:space="0" w:color="auto"/>
              <w:right w:val="single" w:sz="4" w:space="0" w:color="auto"/>
            </w:tcBorders>
            <w:shd w:val="clear" w:color="auto" w:fill="EEECE1" w:themeFill="background2"/>
            <w:hideMark/>
          </w:tcPr>
          <w:p w14:paraId="2B75CC5A" w14:textId="7BF9BFDE" w:rsidR="00A924AE" w:rsidRPr="0053555E" w:rsidRDefault="00A924AE" w:rsidP="00A924AE">
            <w:pPr>
              <w:jc w:val="center"/>
              <w:rPr>
                <w:rFonts w:asciiTheme="majorHAnsi" w:hAnsiTheme="majorHAnsi" w:cstheme="majorHAnsi"/>
                <w:b/>
                <w:bCs/>
                <w:sz w:val="22"/>
                <w:szCs w:val="22"/>
              </w:rPr>
            </w:pPr>
            <w:r w:rsidRPr="0053555E">
              <w:rPr>
                <w:rFonts w:cs="Calibri"/>
                <w:b/>
                <w:bCs/>
                <w:sz w:val="22"/>
                <w:szCs w:val="20"/>
              </w:rPr>
              <w:t>140</w:t>
            </w:r>
          </w:p>
        </w:tc>
        <w:tc>
          <w:tcPr>
            <w:tcW w:w="1069" w:type="dxa"/>
            <w:tcBorders>
              <w:top w:val="nil"/>
              <w:left w:val="nil"/>
              <w:bottom w:val="single" w:sz="4" w:space="0" w:color="auto"/>
              <w:right w:val="single" w:sz="4" w:space="0" w:color="auto"/>
            </w:tcBorders>
            <w:shd w:val="clear" w:color="000000" w:fill="FFFFFF"/>
            <w:hideMark/>
          </w:tcPr>
          <w:p w14:paraId="612D5B15" w14:textId="0FEC8D73" w:rsidR="00A924AE" w:rsidRPr="0053555E" w:rsidRDefault="00A924AE" w:rsidP="00A924AE">
            <w:pPr>
              <w:jc w:val="center"/>
              <w:rPr>
                <w:rFonts w:asciiTheme="majorHAnsi" w:hAnsiTheme="majorHAnsi" w:cstheme="majorHAnsi"/>
                <w:sz w:val="22"/>
                <w:szCs w:val="22"/>
              </w:rPr>
            </w:pPr>
            <w:r w:rsidRPr="0053555E">
              <w:rPr>
                <w:rFonts w:cs="Calibri"/>
                <w:sz w:val="22"/>
                <w:szCs w:val="20"/>
              </w:rPr>
              <w:t>0</w:t>
            </w:r>
          </w:p>
        </w:tc>
        <w:tc>
          <w:tcPr>
            <w:tcW w:w="1069" w:type="dxa"/>
            <w:tcBorders>
              <w:top w:val="nil"/>
              <w:left w:val="nil"/>
              <w:bottom w:val="single" w:sz="4" w:space="0" w:color="auto"/>
              <w:right w:val="single" w:sz="4" w:space="0" w:color="auto"/>
            </w:tcBorders>
            <w:shd w:val="clear" w:color="auto" w:fill="auto"/>
            <w:noWrap/>
            <w:vAlign w:val="bottom"/>
            <w:hideMark/>
          </w:tcPr>
          <w:p w14:paraId="240C0BEC" w14:textId="401E61F2" w:rsidR="00A924AE" w:rsidRPr="0053555E" w:rsidRDefault="00A924AE" w:rsidP="00A924AE">
            <w:pPr>
              <w:jc w:val="center"/>
              <w:rPr>
                <w:rFonts w:asciiTheme="majorHAnsi" w:hAnsiTheme="majorHAnsi" w:cstheme="majorHAnsi"/>
                <w:sz w:val="22"/>
                <w:szCs w:val="22"/>
              </w:rPr>
            </w:pPr>
            <w:r w:rsidRPr="0053555E">
              <w:rPr>
                <w:rFonts w:cs="Calibri"/>
                <w:sz w:val="22"/>
                <w:szCs w:val="20"/>
              </w:rPr>
              <w:t>2</w:t>
            </w:r>
          </w:p>
        </w:tc>
        <w:tc>
          <w:tcPr>
            <w:tcW w:w="1069" w:type="dxa"/>
            <w:tcBorders>
              <w:top w:val="nil"/>
              <w:left w:val="nil"/>
              <w:bottom w:val="single" w:sz="4" w:space="0" w:color="auto"/>
              <w:right w:val="single" w:sz="4" w:space="0" w:color="auto"/>
            </w:tcBorders>
            <w:shd w:val="clear" w:color="auto" w:fill="auto"/>
            <w:noWrap/>
            <w:vAlign w:val="bottom"/>
            <w:hideMark/>
          </w:tcPr>
          <w:p w14:paraId="7D3227A9" w14:textId="6C4A89CA" w:rsidR="00A924AE" w:rsidRPr="0053555E" w:rsidRDefault="00A924AE" w:rsidP="00A924AE">
            <w:pPr>
              <w:jc w:val="center"/>
              <w:rPr>
                <w:rFonts w:asciiTheme="majorHAnsi" w:hAnsiTheme="majorHAnsi" w:cstheme="majorHAnsi"/>
                <w:sz w:val="22"/>
                <w:szCs w:val="22"/>
              </w:rPr>
            </w:pPr>
            <w:r w:rsidRPr="0053555E">
              <w:rPr>
                <w:rFonts w:cs="Calibri"/>
                <w:sz w:val="22"/>
                <w:szCs w:val="20"/>
              </w:rPr>
              <w:t>3</w:t>
            </w:r>
          </w:p>
        </w:tc>
        <w:tc>
          <w:tcPr>
            <w:tcW w:w="1069" w:type="dxa"/>
            <w:tcBorders>
              <w:top w:val="nil"/>
              <w:left w:val="nil"/>
              <w:bottom w:val="single" w:sz="4" w:space="0" w:color="auto"/>
              <w:right w:val="single" w:sz="4" w:space="0" w:color="auto"/>
            </w:tcBorders>
            <w:shd w:val="clear" w:color="auto" w:fill="auto"/>
            <w:noWrap/>
            <w:vAlign w:val="bottom"/>
            <w:hideMark/>
          </w:tcPr>
          <w:p w14:paraId="082870D0" w14:textId="269C5E17" w:rsidR="00A924AE" w:rsidRPr="0053555E" w:rsidRDefault="00A924AE" w:rsidP="00A924AE">
            <w:pPr>
              <w:jc w:val="center"/>
              <w:rPr>
                <w:rFonts w:asciiTheme="majorHAnsi" w:hAnsiTheme="majorHAnsi" w:cstheme="majorHAnsi"/>
                <w:sz w:val="22"/>
                <w:szCs w:val="22"/>
              </w:rPr>
            </w:pPr>
            <w:r w:rsidRPr="0053555E">
              <w:rPr>
                <w:rFonts w:cs="Calibri"/>
                <w:sz w:val="22"/>
                <w:szCs w:val="20"/>
              </w:rPr>
              <w:t>2</w:t>
            </w:r>
          </w:p>
        </w:tc>
      </w:tr>
      <w:tr w:rsidR="00A924AE" w:rsidRPr="0053555E" w14:paraId="263645F0" w14:textId="77777777" w:rsidTr="00A924AE">
        <w:trPr>
          <w:trHeight w:val="20"/>
        </w:trPr>
        <w:tc>
          <w:tcPr>
            <w:tcW w:w="866" w:type="dxa"/>
            <w:tcBorders>
              <w:top w:val="nil"/>
              <w:left w:val="single" w:sz="4" w:space="0" w:color="auto"/>
              <w:bottom w:val="single" w:sz="4" w:space="0" w:color="auto"/>
              <w:right w:val="single" w:sz="4" w:space="0" w:color="auto"/>
            </w:tcBorders>
            <w:shd w:val="clear" w:color="auto" w:fill="auto"/>
            <w:hideMark/>
          </w:tcPr>
          <w:p w14:paraId="51A4ABFE" w14:textId="77777777" w:rsidR="00A924AE" w:rsidRPr="0053555E" w:rsidRDefault="00A924AE" w:rsidP="00A924A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SjF</w:t>
            </w:r>
          </w:p>
        </w:tc>
        <w:tc>
          <w:tcPr>
            <w:tcW w:w="1059" w:type="dxa"/>
            <w:tcBorders>
              <w:top w:val="nil"/>
              <w:left w:val="nil"/>
              <w:bottom w:val="single" w:sz="4" w:space="0" w:color="auto"/>
              <w:right w:val="single" w:sz="4" w:space="0" w:color="auto"/>
            </w:tcBorders>
            <w:shd w:val="clear" w:color="000000" w:fill="FFFFFF"/>
            <w:hideMark/>
          </w:tcPr>
          <w:p w14:paraId="3567012C" w14:textId="3EF83666" w:rsidR="00A924AE" w:rsidRPr="0053555E" w:rsidRDefault="00A924AE" w:rsidP="00A924AE">
            <w:pPr>
              <w:jc w:val="center"/>
              <w:rPr>
                <w:rFonts w:asciiTheme="majorHAnsi" w:hAnsiTheme="majorHAnsi" w:cstheme="majorHAnsi"/>
                <w:sz w:val="22"/>
                <w:szCs w:val="22"/>
              </w:rPr>
            </w:pPr>
            <w:r w:rsidRPr="0053555E">
              <w:rPr>
                <w:rFonts w:cs="Calibri"/>
                <w:sz w:val="22"/>
                <w:szCs w:val="20"/>
              </w:rPr>
              <w:t>43</w:t>
            </w:r>
          </w:p>
        </w:tc>
        <w:tc>
          <w:tcPr>
            <w:tcW w:w="859" w:type="dxa"/>
            <w:tcBorders>
              <w:top w:val="nil"/>
              <w:left w:val="nil"/>
              <w:bottom w:val="single" w:sz="4" w:space="0" w:color="auto"/>
              <w:right w:val="single" w:sz="4" w:space="0" w:color="auto"/>
            </w:tcBorders>
            <w:shd w:val="clear" w:color="000000" w:fill="FFFFFF"/>
            <w:hideMark/>
          </w:tcPr>
          <w:p w14:paraId="4BA4BCEA" w14:textId="1E560A4B" w:rsidR="00A924AE" w:rsidRPr="0053555E" w:rsidRDefault="00A924AE" w:rsidP="00A924AE">
            <w:pPr>
              <w:jc w:val="center"/>
              <w:rPr>
                <w:rFonts w:asciiTheme="majorHAnsi" w:hAnsiTheme="majorHAnsi" w:cstheme="majorHAnsi"/>
                <w:sz w:val="22"/>
                <w:szCs w:val="22"/>
              </w:rPr>
            </w:pPr>
            <w:r w:rsidRPr="0053555E">
              <w:rPr>
                <w:rFonts w:cs="Calibri"/>
                <w:sz w:val="22"/>
                <w:szCs w:val="20"/>
              </w:rPr>
              <w:t>1</w:t>
            </w:r>
          </w:p>
        </w:tc>
        <w:tc>
          <w:tcPr>
            <w:tcW w:w="960" w:type="dxa"/>
            <w:tcBorders>
              <w:top w:val="nil"/>
              <w:left w:val="nil"/>
              <w:bottom w:val="single" w:sz="4" w:space="0" w:color="auto"/>
              <w:right w:val="single" w:sz="4" w:space="0" w:color="auto"/>
            </w:tcBorders>
            <w:shd w:val="clear" w:color="auto" w:fill="EEECE1" w:themeFill="background2"/>
            <w:hideMark/>
          </w:tcPr>
          <w:p w14:paraId="09F0453D" w14:textId="50BD6E99" w:rsidR="00A924AE" w:rsidRPr="0053555E" w:rsidRDefault="00A924AE" w:rsidP="00A924AE">
            <w:pPr>
              <w:jc w:val="center"/>
              <w:rPr>
                <w:rFonts w:asciiTheme="majorHAnsi" w:hAnsiTheme="majorHAnsi" w:cstheme="majorHAnsi"/>
                <w:b/>
                <w:bCs/>
                <w:sz w:val="22"/>
                <w:szCs w:val="22"/>
              </w:rPr>
            </w:pPr>
            <w:r w:rsidRPr="0053555E">
              <w:rPr>
                <w:rFonts w:cs="Calibri"/>
                <w:b/>
                <w:bCs/>
                <w:sz w:val="22"/>
                <w:szCs w:val="20"/>
              </w:rPr>
              <w:t>44</w:t>
            </w:r>
          </w:p>
        </w:tc>
        <w:tc>
          <w:tcPr>
            <w:tcW w:w="1069" w:type="dxa"/>
            <w:tcBorders>
              <w:top w:val="nil"/>
              <w:left w:val="nil"/>
              <w:bottom w:val="single" w:sz="4" w:space="0" w:color="auto"/>
              <w:right w:val="single" w:sz="4" w:space="0" w:color="auto"/>
            </w:tcBorders>
            <w:shd w:val="clear" w:color="000000" w:fill="FFFFFF"/>
            <w:hideMark/>
          </w:tcPr>
          <w:p w14:paraId="619CDBAC" w14:textId="18B15D3C" w:rsidR="00A924AE" w:rsidRPr="0053555E" w:rsidRDefault="00A924AE" w:rsidP="00A924AE">
            <w:pPr>
              <w:jc w:val="center"/>
              <w:rPr>
                <w:rFonts w:asciiTheme="majorHAnsi" w:hAnsiTheme="majorHAnsi" w:cstheme="majorHAnsi"/>
                <w:sz w:val="22"/>
                <w:szCs w:val="22"/>
              </w:rPr>
            </w:pPr>
            <w:r w:rsidRPr="0053555E">
              <w:rPr>
                <w:rFonts w:cs="Calibri"/>
                <w:sz w:val="22"/>
                <w:szCs w:val="20"/>
              </w:rPr>
              <w:t>1</w:t>
            </w:r>
          </w:p>
        </w:tc>
        <w:tc>
          <w:tcPr>
            <w:tcW w:w="1069" w:type="dxa"/>
            <w:tcBorders>
              <w:top w:val="nil"/>
              <w:left w:val="nil"/>
              <w:bottom w:val="single" w:sz="4" w:space="0" w:color="auto"/>
              <w:right w:val="single" w:sz="4" w:space="0" w:color="auto"/>
            </w:tcBorders>
            <w:shd w:val="clear" w:color="auto" w:fill="auto"/>
            <w:noWrap/>
            <w:vAlign w:val="bottom"/>
            <w:hideMark/>
          </w:tcPr>
          <w:p w14:paraId="59A43D42" w14:textId="64D00294" w:rsidR="00A924AE" w:rsidRPr="0053555E" w:rsidRDefault="00A924AE" w:rsidP="00A924AE">
            <w:pPr>
              <w:jc w:val="center"/>
              <w:rPr>
                <w:rFonts w:asciiTheme="majorHAnsi" w:hAnsiTheme="majorHAnsi" w:cstheme="majorHAnsi"/>
                <w:sz w:val="22"/>
                <w:szCs w:val="22"/>
              </w:rPr>
            </w:pPr>
            <w:r w:rsidRPr="0053555E">
              <w:rPr>
                <w:rFonts w:cs="Calibri"/>
                <w:sz w:val="22"/>
                <w:szCs w:val="20"/>
              </w:rPr>
              <w:t>2</w:t>
            </w:r>
          </w:p>
        </w:tc>
        <w:tc>
          <w:tcPr>
            <w:tcW w:w="1069" w:type="dxa"/>
            <w:tcBorders>
              <w:top w:val="nil"/>
              <w:left w:val="nil"/>
              <w:bottom w:val="single" w:sz="4" w:space="0" w:color="auto"/>
              <w:right w:val="single" w:sz="4" w:space="0" w:color="auto"/>
            </w:tcBorders>
            <w:shd w:val="clear" w:color="auto" w:fill="auto"/>
            <w:noWrap/>
            <w:vAlign w:val="bottom"/>
            <w:hideMark/>
          </w:tcPr>
          <w:p w14:paraId="0CCEFCC6" w14:textId="645C3ED1" w:rsidR="00A924AE" w:rsidRPr="0053555E" w:rsidRDefault="00A924AE" w:rsidP="00A924AE">
            <w:pPr>
              <w:jc w:val="center"/>
              <w:rPr>
                <w:rFonts w:asciiTheme="majorHAnsi" w:hAnsiTheme="majorHAnsi" w:cstheme="majorHAnsi"/>
                <w:sz w:val="22"/>
                <w:szCs w:val="22"/>
              </w:rPr>
            </w:pPr>
            <w:r w:rsidRPr="0053555E">
              <w:rPr>
                <w:rFonts w:cs="Calibri"/>
                <w:sz w:val="22"/>
                <w:szCs w:val="20"/>
              </w:rPr>
              <w:t>2</w:t>
            </w:r>
          </w:p>
        </w:tc>
        <w:tc>
          <w:tcPr>
            <w:tcW w:w="1069" w:type="dxa"/>
            <w:tcBorders>
              <w:top w:val="nil"/>
              <w:left w:val="nil"/>
              <w:bottom w:val="single" w:sz="4" w:space="0" w:color="auto"/>
              <w:right w:val="single" w:sz="4" w:space="0" w:color="auto"/>
            </w:tcBorders>
            <w:shd w:val="clear" w:color="auto" w:fill="auto"/>
            <w:noWrap/>
            <w:vAlign w:val="bottom"/>
          </w:tcPr>
          <w:p w14:paraId="7BC3EBB4" w14:textId="23CFB72F" w:rsidR="00A924AE" w:rsidRPr="0053555E" w:rsidRDefault="00A924AE" w:rsidP="00A924AE">
            <w:pPr>
              <w:jc w:val="center"/>
              <w:rPr>
                <w:rFonts w:asciiTheme="majorHAnsi" w:hAnsiTheme="majorHAnsi" w:cstheme="majorHAnsi"/>
                <w:sz w:val="22"/>
                <w:szCs w:val="22"/>
              </w:rPr>
            </w:pPr>
          </w:p>
        </w:tc>
      </w:tr>
      <w:tr w:rsidR="00A924AE" w:rsidRPr="0053555E" w14:paraId="03B9C01E" w14:textId="77777777" w:rsidTr="00A924AE">
        <w:trPr>
          <w:trHeight w:val="20"/>
        </w:trPr>
        <w:tc>
          <w:tcPr>
            <w:tcW w:w="866" w:type="dxa"/>
            <w:tcBorders>
              <w:top w:val="nil"/>
              <w:left w:val="single" w:sz="4" w:space="0" w:color="auto"/>
              <w:bottom w:val="single" w:sz="4" w:space="0" w:color="auto"/>
              <w:right w:val="single" w:sz="4" w:space="0" w:color="auto"/>
            </w:tcBorders>
            <w:shd w:val="clear" w:color="auto" w:fill="auto"/>
            <w:hideMark/>
          </w:tcPr>
          <w:p w14:paraId="0B25D13F" w14:textId="77777777" w:rsidR="00A924AE" w:rsidRPr="0053555E" w:rsidRDefault="00A924AE" w:rsidP="00A924A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FEI</w:t>
            </w:r>
          </w:p>
        </w:tc>
        <w:tc>
          <w:tcPr>
            <w:tcW w:w="1059" w:type="dxa"/>
            <w:tcBorders>
              <w:top w:val="nil"/>
              <w:left w:val="nil"/>
              <w:bottom w:val="single" w:sz="4" w:space="0" w:color="auto"/>
              <w:right w:val="single" w:sz="4" w:space="0" w:color="auto"/>
            </w:tcBorders>
            <w:shd w:val="clear" w:color="000000" w:fill="FFFFFF"/>
            <w:hideMark/>
          </w:tcPr>
          <w:p w14:paraId="44D9152F" w14:textId="52E33900" w:rsidR="00A924AE" w:rsidRPr="0053555E" w:rsidRDefault="00A924AE" w:rsidP="00A924AE">
            <w:pPr>
              <w:jc w:val="center"/>
              <w:rPr>
                <w:rFonts w:asciiTheme="majorHAnsi" w:hAnsiTheme="majorHAnsi" w:cstheme="majorHAnsi"/>
                <w:sz w:val="22"/>
                <w:szCs w:val="22"/>
              </w:rPr>
            </w:pPr>
            <w:r w:rsidRPr="0053555E">
              <w:rPr>
                <w:rFonts w:cs="Calibri"/>
                <w:sz w:val="22"/>
                <w:szCs w:val="20"/>
              </w:rPr>
              <w:t>86</w:t>
            </w:r>
          </w:p>
        </w:tc>
        <w:tc>
          <w:tcPr>
            <w:tcW w:w="859" w:type="dxa"/>
            <w:tcBorders>
              <w:top w:val="nil"/>
              <w:left w:val="nil"/>
              <w:bottom w:val="single" w:sz="4" w:space="0" w:color="auto"/>
              <w:right w:val="single" w:sz="4" w:space="0" w:color="auto"/>
            </w:tcBorders>
            <w:shd w:val="clear" w:color="000000" w:fill="FFFFFF"/>
            <w:hideMark/>
          </w:tcPr>
          <w:p w14:paraId="570E87DC" w14:textId="3420190E" w:rsidR="00A924AE" w:rsidRPr="0053555E" w:rsidRDefault="00A924AE" w:rsidP="00A924AE">
            <w:pPr>
              <w:jc w:val="center"/>
              <w:rPr>
                <w:rFonts w:asciiTheme="majorHAnsi" w:hAnsiTheme="majorHAnsi" w:cstheme="majorHAnsi"/>
                <w:sz w:val="22"/>
                <w:szCs w:val="22"/>
              </w:rPr>
            </w:pPr>
            <w:r w:rsidRPr="0053555E">
              <w:rPr>
                <w:rFonts w:cs="Calibri"/>
                <w:sz w:val="22"/>
                <w:szCs w:val="20"/>
              </w:rPr>
              <w:t>14</w:t>
            </w:r>
          </w:p>
        </w:tc>
        <w:tc>
          <w:tcPr>
            <w:tcW w:w="960" w:type="dxa"/>
            <w:tcBorders>
              <w:top w:val="nil"/>
              <w:left w:val="nil"/>
              <w:bottom w:val="single" w:sz="4" w:space="0" w:color="auto"/>
              <w:right w:val="single" w:sz="4" w:space="0" w:color="auto"/>
            </w:tcBorders>
            <w:shd w:val="clear" w:color="auto" w:fill="EEECE1" w:themeFill="background2"/>
            <w:hideMark/>
          </w:tcPr>
          <w:p w14:paraId="637EF051" w14:textId="6AC90815" w:rsidR="00A924AE" w:rsidRPr="0053555E" w:rsidRDefault="00A924AE" w:rsidP="00A924AE">
            <w:pPr>
              <w:jc w:val="center"/>
              <w:rPr>
                <w:rFonts w:asciiTheme="majorHAnsi" w:hAnsiTheme="majorHAnsi" w:cstheme="majorHAnsi"/>
                <w:b/>
                <w:bCs/>
                <w:sz w:val="22"/>
                <w:szCs w:val="22"/>
              </w:rPr>
            </w:pPr>
            <w:r w:rsidRPr="0053555E">
              <w:rPr>
                <w:rFonts w:cs="Calibri"/>
                <w:b/>
                <w:bCs/>
                <w:sz w:val="22"/>
                <w:szCs w:val="20"/>
              </w:rPr>
              <w:t>100</w:t>
            </w:r>
          </w:p>
        </w:tc>
        <w:tc>
          <w:tcPr>
            <w:tcW w:w="1069" w:type="dxa"/>
            <w:tcBorders>
              <w:top w:val="nil"/>
              <w:left w:val="nil"/>
              <w:bottom w:val="single" w:sz="4" w:space="0" w:color="auto"/>
              <w:right w:val="single" w:sz="4" w:space="0" w:color="auto"/>
            </w:tcBorders>
            <w:shd w:val="clear" w:color="auto" w:fill="auto"/>
            <w:hideMark/>
          </w:tcPr>
          <w:p w14:paraId="17D634C3" w14:textId="0E3C4DAB" w:rsidR="00A924AE" w:rsidRPr="0053555E" w:rsidRDefault="00A924AE" w:rsidP="00A924AE">
            <w:pPr>
              <w:jc w:val="center"/>
              <w:rPr>
                <w:rFonts w:asciiTheme="majorHAnsi" w:hAnsiTheme="majorHAnsi" w:cstheme="majorHAnsi"/>
                <w:sz w:val="22"/>
                <w:szCs w:val="22"/>
              </w:rPr>
            </w:pPr>
            <w:r w:rsidRPr="0053555E">
              <w:rPr>
                <w:rFonts w:cs="Calibri"/>
                <w:sz w:val="22"/>
                <w:szCs w:val="20"/>
              </w:rPr>
              <w:t>2</w:t>
            </w:r>
          </w:p>
        </w:tc>
        <w:tc>
          <w:tcPr>
            <w:tcW w:w="1069" w:type="dxa"/>
            <w:tcBorders>
              <w:top w:val="nil"/>
              <w:left w:val="nil"/>
              <w:bottom w:val="single" w:sz="4" w:space="0" w:color="auto"/>
              <w:right w:val="single" w:sz="4" w:space="0" w:color="auto"/>
            </w:tcBorders>
            <w:shd w:val="clear" w:color="auto" w:fill="auto"/>
            <w:noWrap/>
            <w:vAlign w:val="bottom"/>
            <w:hideMark/>
          </w:tcPr>
          <w:p w14:paraId="0FB2CE72" w14:textId="4BF84DBF" w:rsidR="00A924AE" w:rsidRPr="0053555E" w:rsidRDefault="00A924AE" w:rsidP="00A924AE">
            <w:pPr>
              <w:jc w:val="center"/>
              <w:rPr>
                <w:rFonts w:asciiTheme="majorHAnsi" w:hAnsiTheme="majorHAnsi" w:cstheme="majorHAnsi"/>
                <w:sz w:val="22"/>
                <w:szCs w:val="22"/>
              </w:rPr>
            </w:pPr>
            <w:r w:rsidRPr="0053555E">
              <w:rPr>
                <w:rFonts w:cs="Calibri"/>
                <w:sz w:val="22"/>
                <w:szCs w:val="20"/>
              </w:rPr>
              <w:t>6</w:t>
            </w:r>
          </w:p>
        </w:tc>
        <w:tc>
          <w:tcPr>
            <w:tcW w:w="1069" w:type="dxa"/>
            <w:tcBorders>
              <w:top w:val="nil"/>
              <w:left w:val="nil"/>
              <w:bottom w:val="single" w:sz="4" w:space="0" w:color="auto"/>
              <w:right w:val="single" w:sz="4" w:space="0" w:color="auto"/>
            </w:tcBorders>
            <w:shd w:val="clear" w:color="auto" w:fill="auto"/>
            <w:noWrap/>
            <w:vAlign w:val="bottom"/>
            <w:hideMark/>
          </w:tcPr>
          <w:p w14:paraId="59A6A854" w14:textId="0CEC7599" w:rsidR="00A924AE" w:rsidRPr="0053555E" w:rsidRDefault="00A924AE" w:rsidP="00A924AE">
            <w:pPr>
              <w:jc w:val="center"/>
              <w:rPr>
                <w:rFonts w:asciiTheme="majorHAnsi" w:hAnsiTheme="majorHAnsi" w:cstheme="majorHAnsi"/>
                <w:sz w:val="22"/>
                <w:szCs w:val="22"/>
              </w:rPr>
            </w:pPr>
            <w:r w:rsidRPr="0053555E">
              <w:rPr>
                <w:rFonts w:cs="Calibri"/>
                <w:sz w:val="22"/>
                <w:szCs w:val="20"/>
              </w:rPr>
              <w:t>8</w:t>
            </w:r>
          </w:p>
        </w:tc>
        <w:tc>
          <w:tcPr>
            <w:tcW w:w="1069" w:type="dxa"/>
            <w:tcBorders>
              <w:top w:val="nil"/>
              <w:left w:val="nil"/>
              <w:bottom w:val="single" w:sz="4" w:space="0" w:color="auto"/>
              <w:right w:val="single" w:sz="4" w:space="0" w:color="auto"/>
            </w:tcBorders>
            <w:shd w:val="clear" w:color="auto" w:fill="auto"/>
            <w:noWrap/>
            <w:vAlign w:val="bottom"/>
          </w:tcPr>
          <w:p w14:paraId="69949234" w14:textId="72B33C3F" w:rsidR="00A924AE" w:rsidRPr="0053555E" w:rsidRDefault="00A924AE" w:rsidP="00A924AE">
            <w:pPr>
              <w:jc w:val="center"/>
              <w:rPr>
                <w:rFonts w:asciiTheme="majorHAnsi" w:hAnsiTheme="majorHAnsi" w:cstheme="majorHAnsi"/>
                <w:sz w:val="22"/>
                <w:szCs w:val="22"/>
              </w:rPr>
            </w:pPr>
          </w:p>
        </w:tc>
      </w:tr>
      <w:tr w:rsidR="00A924AE" w:rsidRPr="0053555E" w14:paraId="7001FC47" w14:textId="77777777" w:rsidTr="001605FB">
        <w:trPr>
          <w:trHeight w:val="20"/>
        </w:trPr>
        <w:tc>
          <w:tcPr>
            <w:tcW w:w="866" w:type="dxa"/>
            <w:tcBorders>
              <w:top w:val="nil"/>
              <w:left w:val="single" w:sz="4" w:space="0" w:color="auto"/>
              <w:bottom w:val="single" w:sz="4" w:space="0" w:color="auto"/>
              <w:right w:val="single" w:sz="4" w:space="0" w:color="auto"/>
            </w:tcBorders>
            <w:shd w:val="clear" w:color="auto" w:fill="auto"/>
            <w:hideMark/>
          </w:tcPr>
          <w:p w14:paraId="080BEF9B" w14:textId="77777777" w:rsidR="00A924AE" w:rsidRPr="0053555E" w:rsidRDefault="00A924AE" w:rsidP="00A924A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FCHPT</w:t>
            </w:r>
          </w:p>
        </w:tc>
        <w:tc>
          <w:tcPr>
            <w:tcW w:w="1059" w:type="dxa"/>
            <w:tcBorders>
              <w:top w:val="nil"/>
              <w:left w:val="nil"/>
              <w:bottom w:val="single" w:sz="4" w:space="0" w:color="auto"/>
              <w:right w:val="single" w:sz="4" w:space="0" w:color="auto"/>
            </w:tcBorders>
            <w:shd w:val="clear" w:color="000000" w:fill="FFFFFF"/>
            <w:hideMark/>
          </w:tcPr>
          <w:p w14:paraId="4CF3C355" w14:textId="618414F3" w:rsidR="00A924AE" w:rsidRPr="0053555E" w:rsidRDefault="00A924AE" w:rsidP="00A924AE">
            <w:pPr>
              <w:jc w:val="center"/>
              <w:rPr>
                <w:rFonts w:asciiTheme="majorHAnsi" w:hAnsiTheme="majorHAnsi" w:cstheme="majorHAnsi"/>
                <w:sz w:val="22"/>
                <w:szCs w:val="22"/>
              </w:rPr>
            </w:pPr>
            <w:r w:rsidRPr="0053555E">
              <w:rPr>
                <w:rFonts w:cs="Calibri"/>
                <w:sz w:val="22"/>
                <w:szCs w:val="20"/>
              </w:rPr>
              <w:t>131</w:t>
            </w:r>
          </w:p>
        </w:tc>
        <w:tc>
          <w:tcPr>
            <w:tcW w:w="859" w:type="dxa"/>
            <w:tcBorders>
              <w:top w:val="nil"/>
              <w:left w:val="nil"/>
              <w:bottom w:val="single" w:sz="4" w:space="0" w:color="auto"/>
              <w:right w:val="single" w:sz="4" w:space="0" w:color="auto"/>
            </w:tcBorders>
            <w:shd w:val="clear" w:color="000000" w:fill="FFFFFF"/>
            <w:hideMark/>
          </w:tcPr>
          <w:p w14:paraId="3E996C4B" w14:textId="50D65B66" w:rsidR="00A924AE" w:rsidRPr="0053555E" w:rsidRDefault="00A924AE" w:rsidP="00A924AE">
            <w:pPr>
              <w:jc w:val="center"/>
              <w:rPr>
                <w:rFonts w:asciiTheme="majorHAnsi" w:hAnsiTheme="majorHAnsi" w:cstheme="majorHAnsi"/>
                <w:sz w:val="22"/>
                <w:szCs w:val="22"/>
              </w:rPr>
            </w:pPr>
            <w:r w:rsidRPr="0053555E">
              <w:rPr>
                <w:rFonts w:cs="Calibri"/>
                <w:sz w:val="22"/>
                <w:szCs w:val="20"/>
              </w:rPr>
              <w:t>35</w:t>
            </w:r>
          </w:p>
        </w:tc>
        <w:tc>
          <w:tcPr>
            <w:tcW w:w="960" w:type="dxa"/>
            <w:tcBorders>
              <w:top w:val="nil"/>
              <w:left w:val="nil"/>
              <w:bottom w:val="single" w:sz="4" w:space="0" w:color="auto"/>
              <w:right w:val="single" w:sz="4" w:space="0" w:color="auto"/>
            </w:tcBorders>
            <w:shd w:val="clear" w:color="auto" w:fill="EEECE1" w:themeFill="background2"/>
            <w:hideMark/>
          </w:tcPr>
          <w:p w14:paraId="1EDC5FFA" w14:textId="40F58418" w:rsidR="00A924AE" w:rsidRPr="0053555E" w:rsidRDefault="00A924AE" w:rsidP="00A924AE">
            <w:pPr>
              <w:jc w:val="center"/>
              <w:rPr>
                <w:rFonts w:asciiTheme="majorHAnsi" w:hAnsiTheme="majorHAnsi" w:cstheme="majorHAnsi"/>
                <w:b/>
                <w:bCs/>
                <w:sz w:val="22"/>
                <w:szCs w:val="22"/>
              </w:rPr>
            </w:pPr>
            <w:r w:rsidRPr="0053555E">
              <w:rPr>
                <w:rFonts w:cs="Calibri"/>
                <w:b/>
                <w:bCs/>
                <w:sz w:val="22"/>
                <w:szCs w:val="20"/>
              </w:rPr>
              <w:t>166</w:t>
            </w:r>
          </w:p>
        </w:tc>
        <w:tc>
          <w:tcPr>
            <w:tcW w:w="1069" w:type="dxa"/>
            <w:tcBorders>
              <w:top w:val="nil"/>
              <w:left w:val="nil"/>
              <w:bottom w:val="single" w:sz="4" w:space="0" w:color="auto"/>
              <w:right w:val="single" w:sz="4" w:space="0" w:color="auto"/>
            </w:tcBorders>
            <w:shd w:val="clear" w:color="000000" w:fill="FFFFFF"/>
            <w:hideMark/>
          </w:tcPr>
          <w:p w14:paraId="075AAE6C" w14:textId="21799F87" w:rsidR="00A924AE" w:rsidRPr="0053555E" w:rsidRDefault="00A924AE" w:rsidP="00A924AE">
            <w:pPr>
              <w:jc w:val="center"/>
              <w:rPr>
                <w:rFonts w:asciiTheme="majorHAnsi" w:hAnsiTheme="majorHAnsi" w:cstheme="majorHAnsi"/>
                <w:sz w:val="22"/>
                <w:szCs w:val="22"/>
              </w:rPr>
            </w:pPr>
            <w:r w:rsidRPr="0053555E">
              <w:rPr>
                <w:rFonts w:cs="Calibri"/>
                <w:sz w:val="22"/>
                <w:szCs w:val="20"/>
              </w:rPr>
              <w:t>4</w:t>
            </w:r>
          </w:p>
        </w:tc>
        <w:tc>
          <w:tcPr>
            <w:tcW w:w="1069" w:type="dxa"/>
            <w:tcBorders>
              <w:top w:val="nil"/>
              <w:left w:val="nil"/>
              <w:bottom w:val="single" w:sz="4" w:space="0" w:color="auto"/>
              <w:right w:val="single" w:sz="4" w:space="0" w:color="auto"/>
            </w:tcBorders>
            <w:shd w:val="clear" w:color="auto" w:fill="auto"/>
            <w:noWrap/>
            <w:vAlign w:val="bottom"/>
            <w:hideMark/>
          </w:tcPr>
          <w:p w14:paraId="3CE22C58" w14:textId="0EE71A7F" w:rsidR="00A924AE" w:rsidRPr="0053555E" w:rsidRDefault="00A924AE" w:rsidP="00A924AE">
            <w:pPr>
              <w:jc w:val="center"/>
              <w:rPr>
                <w:rFonts w:asciiTheme="majorHAnsi" w:hAnsiTheme="majorHAnsi" w:cstheme="majorHAnsi"/>
                <w:sz w:val="22"/>
                <w:szCs w:val="22"/>
              </w:rPr>
            </w:pPr>
            <w:r w:rsidRPr="0053555E">
              <w:rPr>
                <w:rFonts w:cs="Calibri"/>
                <w:sz w:val="22"/>
                <w:szCs w:val="20"/>
              </w:rPr>
              <w:t>2</w:t>
            </w:r>
          </w:p>
        </w:tc>
        <w:tc>
          <w:tcPr>
            <w:tcW w:w="1069" w:type="dxa"/>
            <w:tcBorders>
              <w:top w:val="nil"/>
              <w:left w:val="nil"/>
              <w:bottom w:val="single" w:sz="4" w:space="0" w:color="auto"/>
              <w:right w:val="single" w:sz="4" w:space="0" w:color="auto"/>
            </w:tcBorders>
            <w:shd w:val="clear" w:color="auto" w:fill="auto"/>
            <w:noWrap/>
            <w:vAlign w:val="bottom"/>
            <w:hideMark/>
          </w:tcPr>
          <w:p w14:paraId="4BCBEDE8" w14:textId="66AD6831" w:rsidR="00A924AE" w:rsidRPr="0053555E" w:rsidRDefault="00A924AE" w:rsidP="00A924AE">
            <w:pPr>
              <w:jc w:val="center"/>
              <w:rPr>
                <w:rFonts w:asciiTheme="majorHAnsi" w:hAnsiTheme="majorHAnsi" w:cstheme="majorHAnsi"/>
                <w:sz w:val="22"/>
                <w:szCs w:val="22"/>
              </w:rPr>
            </w:pPr>
            <w:r w:rsidRPr="0053555E">
              <w:rPr>
                <w:rFonts w:cs="Calibri"/>
                <w:sz w:val="22"/>
                <w:szCs w:val="20"/>
              </w:rPr>
              <w:t>0</w:t>
            </w:r>
          </w:p>
        </w:tc>
        <w:tc>
          <w:tcPr>
            <w:tcW w:w="1069" w:type="dxa"/>
            <w:tcBorders>
              <w:top w:val="nil"/>
              <w:left w:val="nil"/>
              <w:bottom w:val="single" w:sz="4" w:space="0" w:color="auto"/>
              <w:right w:val="single" w:sz="4" w:space="0" w:color="auto"/>
            </w:tcBorders>
            <w:shd w:val="clear" w:color="auto" w:fill="auto"/>
            <w:noWrap/>
            <w:vAlign w:val="bottom"/>
            <w:hideMark/>
          </w:tcPr>
          <w:p w14:paraId="6972B120" w14:textId="2F9858C2" w:rsidR="00A924AE" w:rsidRPr="0053555E" w:rsidRDefault="00A924AE" w:rsidP="00A924AE">
            <w:pPr>
              <w:jc w:val="center"/>
              <w:rPr>
                <w:rFonts w:asciiTheme="majorHAnsi" w:hAnsiTheme="majorHAnsi" w:cstheme="majorHAnsi"/>
                <w:sz w:val="22"/>
                <w:szCs w:val="22"/>
              </w:rPr>
            </w:pPr>
            <w:r w:rsidRPr="0053555E">
              <w:rPr>
                <w:rFonts w:cs="Calibri"/>
                <w:sz w:val="22"/>
                <w:szCs w:val="20"/>
              </w:rPr>
              <w:t>1</w:t>
            </w:r>
          </w:p>
        </w:tc>
      </w:tr>
      <w:tr w:rsidR="00A924AE" w:rsidRPr="0053555E" w14:paraId="6EEEAFFB" w14:textId="77777777" w:rsidTr="001605FB">
        <w:trPr>
          <w:trHeight w:val="20"/>
        </w:trPr>
        <w:tc>
          <w:tcPr>
            <w:tcW w:w="866" w:type="dxa"/>
            <w:tcBorders>
              <w:top w:val="nil"/>
              <w:left w:val="single" w:sz="4" w:space="0" w:color="auto"/>
              <w:bottom w:val="single" w:sz="4" w:space="0" w:color="auto"/>
              <w:right w:val="single" w:sz="4" w:space="0" w:color="auto"/>
            </w:tcBorders>
            <w:shd w:val="clear" w:color="auto" w:fill="auto"/>
            <w:hideMark/>
          </w:tcPr>
          <w:p w14:paraId="17381FF7" w14:textId="77777777" w:rsidR="00A924AE" w:rsidRPr="0053555E" w:rsidRDefault="00A924AE" w:rsidP="00A924A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FAD</w:t>
            </w:r>
          </w:p>
        </w:tc>
        <w:tc>
          <w:tcPr>
            <w:tcW w:w="1059" w:type="dxa"/>
            <w:tcBorders>
              <w:top w:val="nil"/>
              <w:left w:val="nil"/>
              <w:bottom w:val="single" w:sz="4" w:space="0" w:color="auto"/>
              <w:right w:val="single" w:sz="4" w:space="0" w:color="auto"/>
            </w:tcBorders>
            <w:shd w:val="clear" w:color="000000" w:fill="FFFFFF"/>
            <w:hideMark/>
          </w:tcPr>
          <w:p w14:paraId="5F2EF70F" w14:textId="2D256052" w:rsidR="00A924AE" w:rsidRPr="0053555E" w:rsidRDefault="00A924AE" w:rsidP="00A924AE">
            <w:pPr>
              <w:jc w:val="center"/>
              <w:rPr>
                <w:rFonts w:asciiTheme="majorHAnsi" w:hAnsiTheme="majorHAnsi" w:cstheme="majorHAnsi"/>
                <w:sz w:val="22"/>
                <w:szCs w:val="22"/>
              </w:rPr>
            </w:pPr>
            <w:r w:rsidRPr="0053555E">
              <w:rPr>
                <w:rFonts w:cs="Calibri"/>
                <w:sz w:val="22"/>
                <w:szCs w:val="20"/>
              </w:rPr>
              <w:t>56</w:t>
            </w:r>
          </w:p>
        </w:tc>
        <w:tc>
          <w:tcPr>
            <w:tcW w:w="859" w:type="dxa"/>
            <w:tcBorders>
              <w:top w:val="nil"/>
              <w:left w:val="nil"/>
              <w:bottom w:val="single" w:sz="4" w:space="0" w:color="auto"/>
              <w:right w:val="single" w:sz="4" w:space="0" w:color="auto"/>
            </w:tcBorders>
            <w:shd w:val="clear" w:color="000000" w:fill="FFFFFF"/>
            <w:hideMark/>
          </w:tcPr>
          <w:p w14:paraId="27C8DA5C" w14:textId="57DF499A" w:rsidR="00A924AE" w:rsidRPr="0053555E" w:rsidRDefault="00A924AE" w:rsidP="00A924AE">
            <w:pPr>
              <w:jc w:val="center"/>
              <w:rPr>
                <w:rFonts w:asciiTheme="majorHAnsi" w:hAnsiTheme="majorHAnsi" w:cstheme="majorHAnsi"/>
                <w:sz w:val="22"/>
                <w:szCs w:val="22"/>
              </w:rPr>
            </w:pPr>
            <w:r w:rsidRPr="0053555E">
              <w:rPr>
                <w:rFonts w:cs="Calibri"/>
                <w:sz w:val="22"/>
                <w:szCs w:val="20"/>
              </w:rPr>
              <w:t> </w:t>
            </w:r>
          </w:p>
        </w:tc>
        <w:tc>
          <w:tcPr>
            <w:tcW w:w="960" w:type="dxa"/>
            <w:tcBorders>
              <w:top w:val="nil"/>
              <w:left w:val="nil"/>
              <w:bottom w:val="single" w:sz="4" w:space="0" w:color="auto"/>
              <w:right w:val="single" w:sz="4" w:space="0" w:color="auto"/>
            </w:tcBorders>
            <w:shd w:val="clear" w:color="auto" w:fill="EEECE1" w:themeFill="background2"/>
            <w:hideMark/>
          </w:tcPr>
          <w:p w14:paraId="5F6DC214" w14:textId="1E053361" w:rsidR="00A924AE" w:rsidRPr="0053555E" w:rsidRDefault="00A924AE" w:rsidP="00A924AE">
            <w:pPr>
              <w:jc w:val="center"/>
              <w:rPr>
                <w:rFonts w:asciiTheme="majorHAnsi" w:hAnsiTheme="majorHAnsi" w:cstheme="majorHAnsi"/>
                <w:b/>
                <w:bCs/>
                <w:sz w:val="22"/>
                <w:szCs w:val="22"/>
              </w:rPr>
            </w:pPr>
            <w:r w:rsidRPr="0053555E">
              <w:rPr>
                <w:rFonts w:cs="Calibri"/>
                <w:b/>
                <w:bCs/>
                <w:sz w:val="22"/>
                <w:szCs w:val="20"/>
              </w:rPr>
              <w:t>56</w:t>
            </w:r>
          </w:p>
        </w:tc>
        <w:tc>
          <w:tcPr>
            <w:tcW w:w="1069" w:type="dxa"/>
            <w:tcBorders>
              <w:top w:val="nil"/>
              <w:left w:val="nil"/>
              <w:bottom w:val="single" w:sz="4" w:space="0" w:color="auto"/>
              <w:right w:val="single" w:sz="4" w:space="0" w:color="auto"/>
            </w:tcBorders>
            <w:shd w:val="clear" w:color="auto" w:fill="auto"/>
            <w:hideMark/>
          </w:tcPr>
          <w:p w14:paraId="10BB5E1F" w14:textId="7699BF2A" w:rsidR="00A924AE" w:rsidRPr="0053555E" w:rsidRDefault="00A924AE" w:rsidP="00A924AE">
            <w:pPr>
              <w:jc w:val="center"/>
              <w:rPr>
                <w:rFonts w:asciiTheme="majorHAnsi" w:hAnsiTheme="majorHAnsi" w:cstheme="majorHAnsi"/>
                <w:sz w:val="22"/>
                <w:szCs w:val="22"/>
              </w:rPr>
            </w:pPr>
            <w:r w:rsidRPr="0053555E">
              <w:rPr>
                <w:rFonts w:cs="Calibri"/>
                <w:sz w:val="22"/>
                <w:szCs w:val="20"/>
              </w:rPr>
              <w:t>0</w:t>
            </w:r>
          </w:p>
        </w:tc>
        <w:tc>
          <w:tcPr>
            <w:tcW w:w="1069" w:type="dxa"/>
            <w:tcBorders>
              <w:top w:val="nil"/>
              <w:left w:val="nil"/>
              <w:bottom w:val="single" w:sz="4" w:space="0" w:color="auto"/>
              <w:right w:val="single" w:sz="4" w:space="0" w:color="auto"/>
            </w:tcBorders>
            <w:shd w:val="clear" w:color="auto" w:fill="auto"/>
            <w:noWrap/>
            <w:vAlign w:val="bottom"/>
            <w:hideMark/>
          </w:tcPr>
          <w:p w14:paraId="7F169177" w14:textId="6E6A48B8" w:rsidR="00A924AE" w:rsidRPr="0053555E" w:rsidRDefault="00A924AE" w:rsidP="00A924AE">
            <w:pPr>
              <w:jc w:val="center"/>
              <w:rPr>
                <w:rFonts w:asciiTheme="majorHAnsi" w:hAnsiTheme="majorHAnsi" w:cstheme="majorHAnsi"/>
                <w:sz w:val="22"/>
                <w:szCs w:val="22"/>
              </w:rPr>
            </w:pPr>
            <w:r w:rsidRPr="0053555E">
              <w:rPr>
                <w:rFonts w:cs="Calibri"/>
                <w:sz w:val="22"/>
                <w:szCs w:val="20"/>
              </w:rPr>
              <w:t>4</w:t>
            </w:r>
          </w:p>
        </w:tc>
        <w:tc>
          <w:tcPr>
            <w:tcW w:w="1069" w:type="dxa"/>
            <w:tcBorders>
              <w:top w:val="nil"/>
              <w:left w:val="nil"/>
              <w:bottom w:val="single" w:sz="4" w:space="0" w:color="auto"/>
              <w:right w:val="single" w:sz="4" w:space="0" w:color="auto"/>
            </w:tcBorders>
            <w:shd w:val="clear" w:color="auto" w:fill="auto"/>
            <w:noWrap/>
            <w:vAlign w:val="bottom"/>
            <w:hideMark/>
          </w:tcPr>
          <w:p w14:paraId="1FD78A01" w14:textId="5AAC787C" w:rsidR="00A924AE" w:rsidRPr="0053555E" w:rsidRDefault="00A924AE" w:rsidP="00A924AE">
            <w:pPr>
              <w:jc w:val="center"/>
              <w:rPr>
                <w:rFonts w:asciiTheme="majorHAnsi" w:hAnsiTheme="majorHAnsi" w:cstheme="majorHAnsi"/>
                <w:sz w:val="22"/>
                <w:szCs w:val="22"/>
              </w:rPr>
            </w:pPr>
            <w:r w:rsidRPr="0053555E">
              <w:rPr>
                <w:rFonts w:cs="Calibri"/>
                <w:sz w:val="22"/>
                <w:szCs w:val="20"/>
              </w:rPr>
              <w:t>9</w:t>
            </w:r>
          </w:p>
        </w:tc>
        <w:tc>
          <w:tcPr>
            <w:tcW w:w="1069" w:type="dxa"/>
            <w:tcBorders>
              <w:top w:val="nil"/>
              <w:left w:val="nil"/>
              <w:bottom w:val="single" w:sz="4" w:space="0" w:color="auto"/>
              <w:right w:val="single" w:sz="4" w:space="0" w:color="auto"/>
            </w:tcBorders>
            <w:shd w:val="clear" w:color="auto" w:fill="auto"/>
            <w:noWrap/>
            <w:vAlign w:val="bottom"/>
            <w:hideMark/>
          </w:tcPr>
          <w:p w14:paraId="2AD600F0" w14:textId="611B233D" w:rsidR="00A924AE" w:rsidRPr="0053555E" w:rsidRDefault="00A924AE" w:rsidP="00A924AE">
            <w:pPr>
              <w:jc w:val="center"/>
              <w:rPr>
                <w:rFonts w:asciiTheme="majorHAnsi" w:hAnsiTheme="majorHAnsi" w:cstheme="majorHAnsi"/>
                <w:sz w:val="22"/>
                <w:szCs w:val="22"/>
              </w:rPr>
            </w:pPr>
          </w:p>
        </w:tc>
      </w:tr>
      <w:tr w:rsidR="00A924AE" w:rsidRPr="0053555E" w14:paraId="6E542A9C" w14:textId="77777777" w:rsidTr="001605FB">
        <w:trPr>
          <w:trHeight w:val="20"/>
        </w:trPr>
        <w:tc>
          <w:tcPr>
            <w:tcW w:w="866" w:type="dxa"/>
            <w:tcBorders>
              <w:top w:val="nil"/>
              <w:left w:val="single" w:sz="4" w:space="0" w:color="auto"/>
              <w:bottom w:val="single" w:sz="4" w:space="0" w:color="auto"/>
              <w:right w:val="single" w:sz="4" w:space="0" w:color="auto"/>
            </w:tcBorders>
            <w:shd w:val="clear" w:color="auto" w:fill="auto"/>
            <w:hideMark/>
          </w:tcPr>
          <w:p w14:paraId="55E2243F" w14:textId="77777777" w:rsidR="00A924AE" w:rsidRPr="0053555E" w:rsidRDefault="00A924AE" w:rsidP="00A924A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MTF</w:t>
            </w:r>
          </w:p>
        </w:tc>
        <w:tc>
          <w:tcPr>
            <w:tcW w:w="1059" w:type="dxa"/>
            <w:tcBorders>
              <w:top w:val="nil"/>
              <w:left w:val="nil"/>
              <w:bottom w:val="single" w:sz="4" w:space="0" w:color="auto"/>
              <w:right w:val="single" w:sz="4" w:space="0" w:color="auto"/>
            </w:tcBorders>
            <w:shd w:val="clear" w:color="000000" w:fill="FFFFFF"/>
            <w:hideMark/>
          </w:tcPr>
          <w:p w14:paraId="5F956CA9" w14:textId="49F983DC" w:rsidR="00A924AE" w:rsidRPr="0053555E" w:rsidRDefault="00A924AE" w:rsidP="00A924AE">
            <w:pPr>
              <w:jc w:val="center"/>
              <w:rPr>
                <w:rFonts w:asciiTheme="majorHAnsi" w:hAnsiTheme="majorHAnsi" w:cstheme="majorHAnsi"/>
                <w:sz w:val="22"/>
                <w:szCs w:val="22"/>
              </w:rPr>
            </w:pPr>
            <w:r w:rsidRPr="0053555E">
              <w:rPr>
                <w:rFonts w:cs="Calibri"/>
                <w:sz w:val="22"/>
                <w:szCs w:val="20"/>
              </w:rPr>
              <w:t>58</w:t>
            </w:r>
          </w:p>
        </w:tc>
        <w:tc>
          <w:tcPr>
            <w:tcW w:w="859" w:type="dxa"/>
            <w:tcBorders>
              <w:top w:val="nil"/>
              <w:left w:val="nil"/>
              <w:bottom w:val="single" w:sz="4" w:space="0" w:color="auto"/>
              <w:right w:val="single" w:sz="4" w:space="0" w:color="auto"/>
            </w:tcBorders>
            <w:shd w:val="clear" w:color="000000" w:fill="FFFFFF"/>
            <w:hideMark/>
          </w:tcPr>
          <w:p w14:paraId="02767F31" w14:textId="4ECD1A03" w:rsidR="00A924AE" w:rsidRPr="0053555E" w:rsidRDefault="00A924AE" w:rsidP="00A924AE">
            <w:pPr>
              <w:jc w:val="center"/>
              <w:rPr>
                <w:rFonts w:asciiTheme="majorHAnsi" w:hAnsiTheme="majorHAnsi" w:cstheme="majorHAnsi"/>
                <w:sz w:val="22"/>
                <w:szCs w:val="22"/>
              </w:rPr>
            </w:pPr>
            <w:r w:rsidRPr="0053555E">
              <w:rPr>
                <w:rFonts w:cs="Calibri"/>
                <w:sz w:val="22"/>
                <w:szCs w:val="20"/>
              </w:rPr>
              <w:t>2</w:t>
            </w:r>
          </w:p>
        </w:tc>
        <w:tc>
          <w:tcPr>
            <w:tcW w:w="960" w:type="dxa"/>
            <w:tcBorders>
              <w:top w:val="nil"/>
              <w:left w:val="nil"/>
              <w:bottom w:val="single" w:sz="4" w:space="0" w:color="auto"/>
              <w:right w:val="single" w:sz="4" w:space="0" w:color="auto"/>
            </w:tcBorders>
            <w:shd w:val="clear" w:color="auto" w:fill="EEECE1" w:themeFill="background2"/>
            <w:hideMark/>
          </w:tcPr>
          <w:p w14:paraId="16FA2E94" w14:textId="1ACA73A7" w:rsidR="00A924AE" w:rsidRPr="0053555E" w:rsidRDefault="00A924AE" w:rsidP="00A924AE">
            <w:pPr>
              <w:jc w:val="center"/>
              <w:rPr>
                <w:rFonts w:asciiTheme="majorHAnsi" w:hAnsiTheme="majorHAnsi" w:cstheme="majorHAnsi"/>
                <w:b/>
                <w:bCs/>
                <w:sz w:val="22"/>
                <w:szCs w:val="22"/>
              </w:rPr>
            </w:pPr>
            <w:r w:rsidRPr="0053555E">
              <w:rPr>
                <w:rFonts w:cs="Calibri"/>
                <w:b/>
                <w:bCs/>
                <w:sz w:val="22"/>
                <w:szCs w:val="20"/>
              </w:rPr>
              <w:t>60</w:t>
            </w:r>
          </w:p>
        </w:tc>
        <w:tc>
          <w:tcPr>
            <w:tcW w:w="1069" w:type="dxa"/>
            <w:tcBorders>
              <w:top w:val="nil"/>
              <w:left w:val="nil"/>
              <w:bottom w:val="single" w:sz="4" w:space="0" w:color="auto"/>
              <w:right w:val="single" w:sz="4" w:space="0" w:color="auto"/>
            </w:tcBorders>
            <w:shd w:val="clear" w:color="auto" w:fill="auto"/>
            <w:hideMark/>
          </w:tcPr>
          <w:p w14:paraId="16D9AAF4" w14:textId="5DFEFCF5" w:rsidR="00A924AE" w:rsidRPr="0053555E" w:rsidRDefault="00A924AE" w:rsidP="00A924AE">
            <w:pPr>
              <w:jc w:val="center"/>
              <w:rPr>
                <w:rFonts w:asciiTheme="majorHAnsi" w:hAnsiTheme="majorHAnsi" w:cstheme="majorHAnsi"/>
                <w:sz w:val="22"/>
                <w:szCs w:val="22"/>
              </w:rPr>
            </w:pPr>
            <w:r w:rsidRPr="0053555E">
              <w:rPr>
                <w:rFonts w:cs="Calibri"/>
                <w:sz w:val="22"/>
                <w:szCs w:val="20"/>
              </w:rPr>
              <w:t>1</w:t>
            </w:r>
          </w:p>
        </w:tc>
        <w:tc>
          <w:tcPr>
            <w:tcW w:w="1069" w:type="dxa"/>
            <w:tcBorders>
              <w:top w:val="nil"/>
              <w:left w:val="nil"/>
              <w:bottom w:val="single" w:sz="4" w:space="0" w:color="auto"/>
              <w:right w:val="single" w:sz="4" w:space="0" w:color="auto"/>
            </w:tcBorders>
            <w:shd w:val="clear" w:color="auto" w:fill="auto"/>
            <w:noWrap/>
            <w:vAlign w:val="bottom"/>
            <w:hideMark/>
          </w:tcPr>
          <w:p w14:paraId="37800C30" w14:textId="6AD3C4DC" w:rsidR="00A924AE" w:rsidRPr="0053555E" w:rsidRDefault="00A924AE" w:rsidP="00A924AE">
            <w:pPr>
              <w:jc w:val="center"/>
              <w:rPr>
                <w:rFonts w:asciiTheme="majorHAnsi" w:hAnsiTheme="majorHAnsi" w:cstheme="majorHAnsi"/>
                <w:sz w:val="22"/>
                <w:szCs w:val="22"/>
              </w:rPr>
            </w:pPr>
            <w:r w:rsidRPr="0053555E">
              <w:rPr>
                <w:rFonts w:cs="Calibri"/>
                <w:sz w:val="22"/>
                <w:szCs w:val="20"/>
              </w:rPr>
              <w:t>4</w:t>
            </w:r>
          </w:p>
        </w:tc>
        <w:tc>
          <w:tcPr>
            <w:tcW w:w="1069" w:type="dxa"/>
            <w:tcBorders>
              <w:top w:val="nil"/>
              <w:left w:val="nil"/>
              <w:bottom w:val="single" w:sz="4" w:space="0" w:color="auto"/>
              <w:right w:val="single" w:sz="4" w:space="0" w:color="auto"/>
            </w:tcBorders>
            <w:shd w:val="clear" w:color="auto" w:fill="auto"/>
            <w:noWrap/>
            <w:vAlign w:val="bottom"/>
            <w:hideMark/>
          </w:tcPr>
          <w:p w14:paraId="46605418" w14:textId="3F8DF064" w:rsidR="00A924AE" w:rsidRPr="0053555E" w:rsidRDefault="00A924AE" w:rsidP="00A924AE">
            <w:pPr>
              <w:jc w:val="center"/>
              <w:rPr>
                <w:rFonts w:asciiTheme="majorHAnsi" w:hAnsiTheme="majorHAnsi" w:cstheme="majorHAnsi"/>
                <w:sz w:val="22"/>
                <w:szCs w:val="22"/>
              </w:rPr>
            </w:pPr>
            <w:r w:rsidRPr="0053555E">
              <w:rPr>
                <w:rFonts w:cs="Calibri"/>
                <w:sz w:val="22"/>
                <w:szCs w:val="20"/>
              </w:rPr>
              <w:t>2</w:t>
            </w:r>
          </w:p>
        </w:tc>
        <w:tc>
          <w:tcPr>
            <w:tcW w:w="1069" w:type="dxa"/>
            <w:tcBorders>
              <w:top w:val="nil"/>
              <w:left w:val="nil"/>
              <w:bottom w:val="single" w:sz="4" w:space="0" w:color="auto"/>
              <w:right w:val="single" w:sz="4" w:space="0" w:color="auto"/>
            </w:tcBorders>
            <w:shd w:val="clear" w:color="auto" w:fill="auto"/>
            <w:noWrap/>
            <w:vAlign w:val="bottom"/>
            <w:hideMark/>
          </w:tcPr>
          <w:p w14:paraId="78870192" w14:textId="5841BE06" w:rsidR="00A924AE" w:rsidRPr="0053555E" w:rsidRDefault="00A924AE" w:rsidP="00A924AE">
            <w:pPr>
              <w:jc w:val="center"/>
              <w:rPr>
                <w:rFonts w:asciiTheme="majorHAnsi" w:hAnsiTheme="majorHAnsi" w:cstheme="majorHAnsi"/>
                <w:sz w:val="22"/>
                <w:szCs w:val="22"/>
              </w:rPr>
            </w:pPr>
            <w:r w:rsidRPr="0053555E">
              <w:rPr>
                <w:rFonts w:cs="Calibri"/>
                <w:sz w:val="22"/>
                <w:szCs w:val="20"/>
              </w:rPr>
              <w:t>6</w:t>
            </w:r>
          </w:p>
        </w:tc>
      </w:tr>
      <w:tr w:rsidR="00A924AE" w:rsidRPr="0053555E" w14:paraId="72773742" w14:textId="77777777" w:rsidTr="00A924AE">
        <w:trPr>
          <w:trHeight w:val="20"/>
        </w:trPr>
        <w:tc>
          <w:tcPr>
            <w:tcW w:w="866" w:type="dxa"/>
            <w:tcBorders>
              <w:top w:val="nil"/>
              <w:left w:val="single" w:sz="4" w:space="0" w:color="auto"/>
              <w:bottom w:val="single" w:sz="4" w:space="0" w:color="auto"/>
              <w:right w:val="single" w:sz="4" w:space="0" w:color="auto"/>
            </w:tcBorders>
            <w:shd w:val="clear" w:color="auto" w:fill="auto"/>
            <w:hideMark/>
          </w:tcPr>
          <w:p w14:paraId="2DF38428" w14:textId="77777777" w:rsidR="00A924AE" w:rsidRPr="0053555E" w:rsidRDefault="00A924AE" w:rsidP="00A924A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FIIT</w:t>
            </w:r>
          </w:p>
        </w:tc>
        <w:tc>
          <w:tcPr>
            <w:tcW w:w="1059" w:type="dxa"/>
            <w:tcBorders>
              <w:top w:val="nil"/>
              <w:left w:val="nil"/>
              <w:bottom w:val="single" w:sz="4" w:space="0" w:color="auto"/>
              <w:right w:val="single" w:sz="4" w:space="0" w:color="auto"/>
            </w:tcBorders>
            <w:shd w:val="clear" w:color="000000" w:fill="FFFFFF"/>
            <w:hideMark/>
          </w:tcPr>
          <w:p w14:paraId="7221B225" w14:textId="1056A0A8" w:rsidR="00A924AE" w:rsidRPr="0053555E" w:rsidRDefault="00A924AE" w:rsidP="00A924AE">
            <w:pPr>
              <w:jc w:val="center"/>
              <w:rPr>
                <w:rFonts w:asciiTheme="majorHAnsi" w:hAnsiTheme="majorHAnsi" w:cstheme="majorHAnsi"/>
                <w:sz w:val="22"/>
                <w:szCs w:val="22"/>
              </w:rPr>
            </w:pPr>
            <w:r w:rsidRPr="0053555E">
              <w:rPr>
                <w:rFonts w:cs="Calibri"/>
                <w:sz w:val="22"/>
                <w:szCs w:val="20"/>
              </w:rPr>
              <w:t>28</w:t>
            </w:r>
          </w:p>
        </w:tc>
        <w:tc>
          <w:tcPr>
            <w:tcW w:w="859" w:type="dxa"/>
            <w:tcBorders>
              <w:top w:val="nil"/>
              <w:left w:val="nil"/>
              <w:bottom w:val="single" w:sz="4" w:space="0" w:color="auto"/>
              <w:right w:val="single" w:sz="4" w:space="0" w:color="auto"/>
            </w:tcBorders>
            <w:shd w:val="clear" w:color="000000" w:fill="FFFFFF"/>
            <w:hideMark/>
          </w:tcPr>
          <w:p w14:paraId="11BC1773" w14:textId="3F070FBE" w:rsidR="00A924AE" w:rsidRPr="0053555E" w:rsidRDefault="00A924AE" w:rsidP="00A924AE">
            <w:pPr>
              <w:jc w:val="center"/>
              <w:rPr>
                <w:rFonts w:asciiTheme="majorHAnsi" w:hAnsiTheme="majorHAnsi" w:cstheme="majorHAnsi"/>
                <w:sz w:val="22"/>
                <w:szCs w:val="22"/>
              </w:rPr>
            </w:pPr>
            <w:r w:rsidRPr="0053555E">
              <w:rPr>
                <w:rFonts w:cs="Calibri"/>
                <w:sz w:val="22"/>
                <w:szCs w:val="20"/>
              </w:rPr>
              <w:t>2</w:t>
            </w:r>
          </w:p>
        </w:tc>
        <w:tc>
          <w:tcPr>
            <w:tcW w:w="960" w:type="dxa"/>
            <w:tcBorders>
              <w:top w:val="nil"/>
              <w:left w:val="nil"/>
              <w:bottom w:val="single" w:sz="4" w:space="0" w:color="auto"/>
              <w:right w:val="single" w:sz="4" w:space="0" w:color="auto"/>
            </w:tcBorders>
            <w:shd w:val="clear" w:color="auto" w:fill="EEECE1" w:themeFill="background2"/>
            <w:hideMark/>
          </w:tcPr>
          <w:p w14:paraId="77DC60BA" w14:textId="00FFE9AF" w:rsidR="00A924AE" w:rsidRPr="0053555E" w:rsidRDefault="00A924AE" w:rsidP="00A924AE">
            <w:pPr>
              <w:jc w:val="center"/>
              <w:rPr>
                <w:rFonts w:asciiTheme="majorHAnsi" w:hAnsiTheme="majorHAnsi" w:cstheme="majorHAnsi"/>
                <w:b/>
                <w:bCs/>
                <w:sz w:val="22"/>
                <w:szCs w:val="22"/>
              </w:rPr>
            </w:pPr>
            <w:r w:rsidRPr="0053555E">
              <w:rPr>
                <w:rFonts w:cs="Calibri"/>
                <w:b/>
                <w:bCs/>
                <w:sz w:val="22"/>
                <w:szCs w:val="20"/>
              </w:rPr>
              <w:t>30</w:t>
            </w:r>
          </w:p>
        </w:tc>
        <w:tc>
          <w:tcPr>
            <w:tcW w:w="1069" w:type="dxa"/>
            <w:tcBorders>
              <w:top w:val="nil"/>
              <w:left w:val="nil"/>
              <w:bottom w:val="single" w:sz="4" w:space="0" w:color="auto"/>
              <w:right w:val="single" w:sz="4" w:space="0" w:color="auto"/>
            </w:tcBorders>
            <w:shd w:val="clear" w:color="auto" w:fill="auto"/>
            <w:hideMark/>
          </w:tcPr>
          <w:p w14:paraId="5C77CA7C" w14:textId="4C54256A" w:rsidR="00A924AE" w:rsidRPr="0053555E" w:rsidRDefault="00A924AE" w:rsidP="00A924AE">
            <w:pPr>
              <w:jc w:val="center"/>
              <w:rPr>
                <w:rFonts w:asciiTheme="majorHAnsi" w:hAnsiTheme="majorHAnsi" w:cstheme="majorHAnsi"/>
                <w:sz w:val="22"/>
                <w:szCs w:val="22"/>
              </w:rPr>
            </w:pPr>
            <w:r w:rsidRPr="0053555E">
              <w:rPr>
                <w:rFonts w:cs="Calibri"/>
                <w:sz w:val="22"/>
                <w:szCs w:val="20"/>
              </w:rPr>
              <w:t>2</w:t>
            </w:r>
          </w:p>
        </w:tc>
        <w:tc>
          <w:tcPr>
            <w:tcW w:w="1069" w:type="dxa"/>
            <w:tcBorders>
              <w:top w:val="nil"/>
              <w:left w:val="nil"/>
              <w:bottom w:val="single" w:sz="4" w:space="0" w:color="auto"/>
              <w:right w:val="single" w:sz="4" w:space="0" w:color="auto"/>
            </w:tcBorders>
            <w:shd w:val="clear" w:color="auto" w:fill="auto"/>
            <w:noWrap/>
            <w:vAlign w:val="bottom"/>
            <w:hideMark/>
          </w:tcPr>
          <w:p w14:paraId="7A9FEE41" w14:textId="633025D8" w:rsidR="00A924AE" w:rsidRPr="0053555E" w:rsidRDefault="00A924AE" w:rsidP="00A924AE">
            <w:pPr>
              <w:jc w:val="center"/>
              <w:rPr>
                <w:rFonts w:asciiTheme="majorHAnsi" w:hAnsiTheme="majorHAnsi" w:cstheme="majorHAnsi"/>
                <w:sz w:val="22"/>
                <w:szCs w:val="22"/>
              </w:rPr>
            </w:pPr>
            <w:r w:rsidRPr="0053555E">
              <w:rPr>
                <w:rFonts w:cs="Calibri"/>
                <w:sz w:val="22"/>
                <w:szCs w:val="20"/>
              </w:rPr>
              <w:t>6</w:t>
            </w:r>
          </w:p>
        </w:tc>
        <w:tc>
          <w:tcPr>
            <w:tcW w:w="1069" w:type="dxa"/>
            <w:tcBorders>
              <w:top w:val="nil"/>
              <w:left w:val="nil"/>
              <w:bottom w:val="single" w:sz="4" w:space="0" w:color="auto"/>
              <w:right w:val="single" w:sz="4" w:space="0" w:color="auto"/>
            </w:tcBorders>
            <w:shd w:val="clear" w:color="auto" w:fill="auto"/>
            <w:noWrap/>
            <w:vAlign w:val="bottom"/>
            <w:hideMark/>
          </w:tcPr>
          <w:p w14:paraId="64843370" w14:textId="3A6C70EC" w:rsidR="00A924AE" w:rsidRPr="0053555E" w:rsidRDefault="00A924AE" w:rsidP="00A924AE">
            <w:pPr>
              <w:jc w:val="center"/>
              <w:rPr>
                <w:rFonts w:asciiTheme="majorHAnsi" w:hAnsiTheme="majorHAnsi" w:cstheme="majorHAnsi"/>
                <w:sz w:val="22"/>
                <w:szCs w:val="22"/>
              </w:rPr>
            </w:pPr>
            <w:r w:rsidRPr="0053555E">
              <w:rPr>
                <w:rFonts w:cs="Calibri"/>
                <w:sz w:val="22"/>
                <w:szCs w:val="20"/>
              </w:rPr>
              <w:t>9</w:t>
            </w:r>
          </w:p>
        </w:tc>
        <w:tc>
          <w:tcPr>
            <w:tcW w:w="1069" w:type="dxa"/>
            <w:tcBorders>
              <w:top w:val="nil"/>
              <w:left w:val="nil"/>
              <w:bottom w:val="single" w:sz="4" w:space="0" w:color="auto"/>
              <w:right w:val="single" w:sz="4" w:space="0" w:color="auto"/>
            </w:tcBorders>
            <w:shd w:val="clear" w:color="auto" w:fill="auto"/>
            <w:noWrap/>
            <w:vAlign w:val="bottom"/>
          </w:tcPr>
          <w:p w14:paraId="3EB64B65" w14:textId="6923B9CB" w:rsidR="00A924AE" w:rsidRPr="0053555E" w:rsidRDefault="00A924AE" w:rsidP="00A924AE">
            <w:pPr>
              <w:jc w:val="center"/>
              <w:rPr>
                <w:rFonts w:asciiTheme="majorHAnsi" w:hAnsiTheme="majorHAnsi" w:cstheme="majorHAnsi"/>
                <w:sz w:val="22"/>
                <w:szCs w:val="22"/>
              </w:rPr>
            </w:pPr>
          </w:p>
        </w:tc>
      </w:tr>
      <w:tr w:rsidR="00A924AE" w:rsidRPr="0053555E" w14:paraId="3393737B" w14:textId="77777777" w:rsidTr="00A924AE">
        <w:trPr>
          <w:trHeight w:val="20"/>
        </w:trPr>
        <w:tc>
          <w:tcPr>
            <w:tcW w:w="866" w:type="dxa"/>
            <w:tcBorders>
              <w:top w:val="nil"/>
              <w:left w:val="single" w:sz="4" w:space="0" w:color="auto"/>
              <w:bottom w:val="single" w:sz="4" w:space="0" w:color="auto"/>
              <w:right w:val="single" w:sz="4" w:space="0" w:color="auto"/>
            </w:tcBorders>
            <w:shd w:val="clear" w:color="auto" w:fill="auto"/>
            <w:hideMark/>
          </w:tcPr>
          <w:p w14:paraId="628FC973" w14:textId="77777777" w:rsidR="00A924AE" w:rsidRPr="0053555E" w:rsidRDefault="00A924AE" w:rsidP="00A924A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ÚM</w:t>
            </w:r>
          </w:p>
        </w:tc>
        <w:tc>
          <w:tcPr>
            <w:tcW w:w="1059" w:type="dxa"/>
            <w:tcBorders>
              <w:top w:val="nil"/>
              <w:left w:val="nil"/>
              <w:bottom w:val="single" w:sz="4" w:space="0" w:color="auto"/>
              <w:right w:val="single" w:sz="4" w:space="0" w:color="auto"/>
            </w:tcBorders>
            <w:shd w:val="clear" w:color="000000" w:fill="FFFFFF"/>
            <w:hideMark/>
          </w:tcPr>
          <w:p w14:paraId="41301EF6" w14:textId="4EEA368F" w:rsidR="00A924AE" w:rsidRPr="0053555E" w:rsidRDefault="00A924AE" w:rsidP="00A924AE">
            <w:pPr>
              <w:jc w:val="center"/>
              <w:rPr>
                <w:rFonts w:asciiTheme="majorHAnsi" w:hAnsiTheme="majorHAnsi" w:cstheme="majorHAnsi"/>
                <w:sz w:val="22"/>
                <w:szCs w:val="22"/>
              </w:rPr>
            </w:pPr>
            <w:r w:rsidRPr="0053555E">
              <w:rPr>
                <w:rFonts w:cs="Calibri"/>
                <w:sz w:val="22"/>
                <w:szCs w:val="20"/>
              </w:rPr>
              <w:t>12</w:t>
            </w:r>
          </w:p>
        </w:tc>
        <w:tc>
          <w:tcPr>
            <w:tcW w:w="859" w:type="dxa"/>
            <w:tcBorders>
              <w:top w:val="nil"/>
              <w:left w:val="nil"/>
              <w:bottom w:val="single" w:sz="4" w:space="0" w:color="auto"/>
              <w:right w:val="single" w:sz="4" w:space="0" w:color="auto"/>
            </w:tcBorders>
            <w:shd w:val="clear" w:color="000000" w:fill="FFFFFF"/>
            <w:hideMark/>
          </w:tcPr>
          <w:p w14:paraId="6E20A991" w14:textId="367E0CF8" w:rsidR="00A924AE" w:rsidRPr="0053555E" w:rsidRDefault="00A924AE" w:rsidP="00A924AE">
            <w:pPr>
              <w:jc w:val="center"/>
              <w:rPr>
                <w:rFonts w:asciiTheme="majorHAnsi" w:hAnsiTheme="majorHAnsi" w:cstheme="majorHAnsi"/>
                <w:sz w:val="22"/>
                <w:szCs w:val="22"/>
              </w:rPr>
            </w:pPr>
            <w:r w:rsidRPr="0053555E">
              <w:rPr>
                <w:rFonts w:cs="Calibri"/>
                <w:sz w:val="22"/>
                <w:szCs w:val="20"/>
              </w:rPr>
              <w:t> </w:t>
            </w:r>
          </w:p>
        </w:tc>
        <w:tc>
          <w:tcPr>
            <w:tcW w:w="960" w:type="dxa"/>
            <w:tcBorders>
              <w:top w:val="nil"/>
              <w:left w:val="nil"/>
              <w:bottom w:val="single" w:sz="4" w:space="0" w:color="auto"/>
              <w:right w:val="single" w:sz="4" w:space="0" w:color="auto"/>
            </w:tcBorders>
            <w:shd w:val="clear" w:color="auto" w:fill="EEECE1" w:themeFill="background2"/>
            <w:hideMark/>
          </w:tcPr>
          <w:p w14:paraId="76161696" w14:textId="3508A0D7" w:rsidR="00A924AE" w:rsidRPr="0053555E" w:rsidRDefault="00A924AE" w:rsidP="00A924AE">
            <w:pPr>
              <w:jc w:val="center"/>
              <w:rPr>
                <w:rFonts w:asciiTheme="majorHAnsi" w:hAnsiTheme="majorHAnsi" w:cstheme="majorHAnsi"/>
                <w:b/>
                <w:bCs/>
                <w:sz w:val="22"/>
                <w:szCs w:val="22"/>
              </w:rPr>
            </w:pPr>
            <w:r w:rsidRPr="0053555E">
              <w:rPr>
                <w:rFonts w:cs="Calibri"/>
                <w:b/>
                <w:bCs/>
                <w:sz w:val="22"/>
                <w:szCs w:val="20"/>
              </w:rPr>
              <w:t>12</w:t>
            </w:r>
          </w:p>
        </w:tc>
        <w:tc>
          <w:tcPr>
            <w:tcW w:w="1069" w:type="dxa"/>
            <w:tcBorders>
              <w:top w:val="nil"/>
              <w:left w:val="nil"/>
              <w:bottom w:val="single" w:sz="4" w:space="0" w:color="auto"/>
              <w:right w:val="single" w:sz="4" w:space="0" w:color="auto"/>
            </w:tcBorders>
            <w:shd w:val="clear" w:color="auto" w:fill="auto"/>
            <w:hideMark/>
          </w:tcPr>
          <w:p w14:paraId="486D5C85" w14:textId="0DAE1A92" w:rsidR="00A924AE" w:rsidRPr="0053555E" w:rsidRDefault="00A924AE" w:rsidP="00A924AE">
            <w:pPr>
              <w:jc w:val="center"/>
              <w:rPr>
                <w:rFonts w:asciiTheme="majorHAnsi" w:hAnsiTheme="majorHAnsi" w:cstheme="majorHAnsi"/>
                <w:sz w:val="22"/>
                <w:szCs w:val="22"/>
              </w:rPr>
            </w:pPr>
            <w:r w:rsidRPr="0053555E">
              <w:rPr>
                <w:rFonts w:cs="Calibri"/>
                <w:sz w:val="22"/>
                <w:szCs w:val="20"/>
              </w:rPr>
              <w:t>0</w:t>
            </w:r>
          </w:p>
        </w:tc>
        <w:tc>
          <w:tcPr>
            <w:tcW w:w="1069" w:type="dxa"/>
            <w:tcBorders>
              <w:top w:val="nil"/>
              <w:left w:val="nil"/>
              <w:bottom w:val="single" w:sz="4" w:space="0" w:color="auto"/>
              <w:right w:val="single" w:sz="4" w:space="0" w:color="auto"/>
            </w:tcBorders>
            <w:shd w:val="clear" w:color="auto" w:fill="auto"/>
            <w:noWrap/>
            <w:vAlign w:val="bottom"/>
            <w:hideMark/>
          </w:tcPr>
          <w:p w14:paraId="2683470A" w14:textId="476FB1E6" w:rsidR="00A924AE" w:rsidRPr="0053555E" w:rsidRDefault="00A924AE" w:rsidP="00A924AE">
            <w:pPr>
              <w:jc w:val="center"/>
              <w:rPr>
                <w:rFonts w:asciiTheme="majorHAnsi" w:hAnsiTheme="majorHAnsi" w:cstheme="majorHAnsi"/>
                <w:sz w:val="22"/>
                <w:szCs w:val="22"/>
              </w:rPr>
            </w:pPr>
            <w:r w:rsidRPr="0053555E">
              <w:rPr>
                <w:rFonts w:cs="Calibri"/>
                <w:sz w:val="22"/>
                <w:szCs w:val="20"/>
              </w:rPr>
              <w:t>0</w:t>
            </w:r>
          </w:p>
        </w:tc>
        <w:tc>
          <w:tcPr>
            <w:tcW w:w="1069" w:type="dxa"/>
            <w:tcBorders>
              <w:top w:val="nil"/>
              <w:left w:val="nil"/>
              <w:bottom w:val="single" w:sz="4" w:space="0" w:color="auto"/>
              <w:right w:val="single" w:sz="4" w:space="0" w:color="auto"/>
            </w:tcBorders>
            <w:shd w:val="clear" w:color="auto" w:fill="auto"/>
            <w:noWrap/>
            <w:vAlign w:val="bottom"/>
            <w:hideMark/>
          </w:tcPr>
          <w:p w14:paraId="1549139E" w14:textId="1C60DDFD" w:rsidR="00A924AE" w:rsidRPr="0053555E" w:rsidRDefault="00A924AE" w:rsidP="00A924AE">
            <w:pPr>
              <w:jc w:val="center"/>
              <w:rPr>
                <w:rFonts w:asciiTheme="majorHAnsi" w:hAnsiTheme="majorHAnsi" w:cstheme="majorHAnsi"/>
                <w:sz w:val="22"/>
                <w:szCs w:val="22"/>
              </w:rPr>
            </w:pPr>
            <w:r w:rsidRPr="0053555E">
              <w:rPr>
                <w:rFonts w:cs="Calibri"/>
                <w:sz w:val="22"/>
                <w:szCs w:val="20"/>
              </w:rPr>
              <w:t>1</w:t>
            </w:r>
          </w:p>
        </w:tc>
        <w:tc>
          <w:tcPr>
            <w:tcW w:w="1069" w:type="dxa"/>
            <w:tcBorders>
              <w:top w:val="nil"/>
              <w:left w:val="nil"/>
              <w:bottom w:val="single" w:sz="4" w:space="0" w:color="auto"/>
              <w:right w:val="single" w:sz="4" w:space="0" w:color="auto"/>
            </w:tcBorders>
            <w:shd w:val="clear" w:color="auto" w:fill="auto"/>
            <w:noWrap/>
            <w:vAlign w:val="bottom"/>
          </w:tcPr>
          <w:p w14:paraId="2F8244BB" w14:textId="1A9B8A66" w:rsidR="00A924AE" w:rsidRPr="0053555E" w:rsidRDefault="00A924AE" w:rsidP="00A924AE">
            <w:pPr>
              <w:jc w:val="center"/>
              <w:rPr>
                <w:rFonts w:asciiTheme="majorHAnsi" w:hAnsiTheme="majorHAnsi" w:cstheme="majorHAnsi"/>
                <w:sz w:val="22"/>
                <w:szCs w:val="22"/>
              </w:rPr>
            </w:pPr>
          </w:p>
        </w:tc>
      </w:tr>
      <w:tr w:rsidR="00A924AE" w:rsidRPr="0053555E" w14:paraId="61E2AB53" w14:textId="77777777" w:rsidTr="001605FB">
        <w:trPr>
          <w:trHeight w:val="20"/>
        </w:trPr>
        <w:tc>
          <w:tcPr>
            <w:tcW w:w="866" w:type="dxa"/>
            <w:tcBorders>
              <w:top w:val="nil"/>
              <w:left w:val="single" w:sz="4" w:space="0" w:color="auto"/>
              <w:bottom w:val="single" w:sz="4" w:space="0" w:color="auto"/>
              <w:right w:val="single" w:sz="4" w:space="0" w:color="auto"/>
            </w:tcBorders>
            <w:shd w:val="clear" w:color="auto" w:fill="EEECE1" w:themeFill="background2"/>
            <w:hideMark/>
          </w:tcPr>
          <w:p w14:paraId="3AC1FC57" w14:textId="77777777" w:rsidR="00A924AE" w:rsidRPr="0053555E" w:rsidRDefault="00A924AE" w:rsidP="00A924A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STU</w:t>
            </w:r>
          </w:p>
        </w:tc>
        <w:tc>
          <w:tcPr>
            <w:tcW w:w="1059" w:type="dxa"/>
            <w:tcBorders>
              <w:top w:val="nil"/>
              <w:left w:val="nil"/>
              <w:bottom w:val="single" w:sz="4" w:space="0" w:color="auto"/>
              <w:right w:val="single" w:sz="4" w:space="0" w:color="auto"/>
            </w:tcBorders>
            <w:shd w:val="clear" w:color="auto" w:fill="EEECE1" w:themeFill="background2"/>
            <w:hideMark/>
          </w:tcPr>
          <w:p w14:paraId="3EFA7A76" w14:textId="031F7322" w:rsidR="00A924AE" w:rsidRPr="0053555E" w:rsidRDefault="00A924AE" w:rsidP="00A924AE">
            <w:pPr>
              <w:jc w:val="center"/>
              <w:rPr>
                <w:rFonts w:asciiTheme="majorHAnsi" w:hAnsiTheme="majorHAnsi" w:cstheme="majorHAnsi"/>
                <w:b/>
                <w:bCs/>
                <w:sz w:val="22"/>
                <w:szCs w:val="22"/>
              </w:rPr>
            </w:pPr>
            <w:r w:rsidRPr="0053555E">
              <w:rPr>
                <w:rFonts w:cs="Calibri"/>
                <w:b/>
                <w:bCs/>
                <w:sz w:val="22"/>
                <w:szCs w:val="20"/>
              </w:rPr>
              <w:t>552</w:t>
            </w:r>
          </w:p>
        </w:tc>
        <w:tc>
          <w:tcPr>
            <w:tcW w:w="859" w:type="dxa"/>
            <w:tcBorders>
              <w:top w:val="nil"/>
              <w:left w:val="nil"/>
              <w:bottom w:val="single" w:sz="4" w:space="0" w:color="auto"/>
              <w:right w:val="single" w:sz="4" w:space="0" w:color="auto"/>
            </w:tcBorders>
            <w:shd w:val="clear" w:color="auto" w:fill="EEECE1" w:themeFill="background2"/>
            <w:hideMark/>
          </w:tcPr>
          <w:p w14:paraId="2A38C714" w14:textId="0C552C97" w:rsidR="00A924AE" w:rsidRPr="0053555E" w:rsidRDefault="00A924AE" w:rsidP="00A924AE">
            <w:pPr>
              <w:jc w:val="center"/>
              <w:rPr>
                <w:rFonts w:asciiTheme="majorHAnsi" w:hAnsiTheme="majorHAnsi" w:cstheme="majorHAnsi"/>
                <w:b/>
                <w:bCs/>
                <w:sz w:val="22"/>
                <w:szCs w:val="22"/>
              </w:rPr>
            </w:pPr>
            <w:r w:rsidRPr="0053555E">
              <w:rPr>
                <w:rFonts w:cs="Calibri"/>
                <w:b/>
                <w:bCs/>
                <w:sz w:val="22"/>
                <w:szCs w:val="20"/>
              </w:rPr>
              <w:t>56</w:t>
            </w:r>
          </w:p>
        </w:tc>
        <w:tc>
          <w:tcPr>
            <w:tcW w:w="960" w:type="dxa"/>
            <w:tcBorders>
              <w:top w:val="nil"/>
              <w:left w:val="nil"/>
              <w:bottom w:val="single" w:sz="4" w:space="0" w:color="auto"/>
              <w:right w:val="single" w:sz="4" w:space="0" w:color="auto"/>
            </w:tcBorders>
            <w:shd w:val="clear" w:color="auto" w:fill="EEECE1" w:themeFill="background2"/>
            <w:hideMark/>
          </w:tcPr>
          <w:p w14:paraId="5F3A054F" w14:textId="1C775F63" w:rsidR="00A924AE" w:rsidRPr="0053555E" w:rsidRDefault="00A924AE" w:rsidP="00A924AE">
            <w:pPr>
              <w:jc w:val="center"/>
              <w:rPr>
                <w:rFonts w:asciiTheme="majorHAnsi" w:hAnsiTheme="majorHAnsi" w:cstheme="majorHAnsi"/>
                <w:b/>
                <w:bCs/>
                <w:sz w:val="22"/>
                <w:szCs w:val="22"/>
              </w:rPr>
            </w:pPr>
            <w:r w:rsidRPr="0053555E">
              <w:rPr>
                <w:rFonts w:cs="Calibri"/>
                <w:b/>
                <w:bCs/>
                <w:sz w:val="22"/>
                <w:szCs w:val="20"/>
              </w:rPr>
              <w:t>608</w:t>
            </w:r>
          </w:p>
        </w:tc>
        <w:tc>
          <w:tcPr>
            <w:tcW w:w="1069" w:type="dxa"/>
            <w:tcBorders>
              <w:top w:val="nil"/>
              <w:left w:val="nil"/>
              <w:bottom w:val="single" w:sz="4" w:space="0" w:color="auto"/>
              <w:right w:val="single" w:sz="4" w:space="0" w:color="auto"/>
            </w:tcBorders>
            <w:shd w:val="clear" w:color="auto" w:fill="EEECE1" w:themeFill="background2"/>
            <w:hideMark/>
          </w:tcPr>
          <w:p w14:paraId="4FEA86A2" w14:textId="66E3B620" w:rsidR="00A924AE" w:rsidRPr="0053555E" w:rsidRDefault="00A924AE" w:rsidP="00A924AE">
            <w:pPr>
              <w:jc w:val="center"/>
              <w:rPr>
                <w:rFonts w:asciiTheme="majorHAnsi" w:hAnsiTheme="majorHAnsi" w:cstheme="majorHAnsi"/>
                <w:b/>
                <w:bCs/>
                <w:sz w:val="22"/>
                <w:szCs w:val="22"/>
              </w:rPr>
            </w:pPr>
            <w:r w:rsidRPr="0053555E">
              <w:rPr>
                <w:rFonts w:cs="Calibri"/>
                <w:b/>
                <w:bCs/>
                <w:sz w:val="22"/>
                <w:szCs w:val="20"/>
              </w:rPr>
              <w:t>10</w:t>
            </w:r>
          </w:p>
        </w:tc>
        <w:tc>
          <w:tcPr>
            <w:tcW w:w="1069" w:type="dxa"/>
            <w:tcBorders>
              <w:top w:val="nil"/>
              <w:left w:val="nil"/>
              <w:bottom w:val="single" w:sz="4" w:space="0" w:color="auto"/>
              <w:right w:val="single" w:sz="4" w:space="0" w:color="auto"/>
            </w:tcBorders>
            <w:shd w:val="clear" w:color="auto" w:fill="EEECE1" w:themeFill="background2"/>
            <w:noWrap/>
            <w:vAlign w:val="bottom"/>
            <w:hideMark/>
          </w:tcPr>
          <w:p w14:paraId="733BD402" w14:textId="421BBC26" w:rsidR="00A924AE" w:rsidRPr="0053555E" w:rsidRDefault="00A924AE" w:rsidP="00A924AE">
            <w:pPr>
              <w:jc w:val="center"/>
              <w:rPr>
                <w:rFonts w:asciiTheme="majorHAnsi" w:hAnsiTheme="majorHAnsi" w:cstheme="majorHAnsi"/>
                <w:b/>
                <w:bCs/>
                <w:sz w:val="22"/>
                <w:szCs w:val="22"/>
              </w:rPr>
            </w:pPr>
            <w:r w:rsidRPr="0053555E">
              <w:rPr>
                <w:rFonts w:cs="Calibri"/>
                <w:b/>
                <w:bCs/>
                <w:sz w:val="22"/>
                <w:szCs w:val="20"/>
              </w:rPr>
              <w:t>26</w:t>
            </w:r>
          </w:p>
        </w:tc>
        <w:tc>
          <w:tcPr>
            <w:tcW w:w="1069" w:type="dxa"/>
            <w:tcBorders>
              <w:top w:val="nil"/>
              <w:left w:val="nil"/>
              <w:bottom w:val="single" w:sz="4" w:space="0" w:color="auto"/>
              <w:right w:val="single" w:sz="4" w:space="0" w:color="auto"/>
            </w:tcBorders>
            <w:shd w:val="clear" w:color="auto" w:fill="EEECE1" w:themeFill="background2"/>
            <w:noWrap/>
            <w:vAlign w:val="bottom"/>
            <w:hideMark/>
          </w:tcPr>
          <w:p w14:paraId="594144CA" w14:textId="56CEC9D8" w:rsidR="00A924AE" w:rsidRPr="0053555E" w:rsidRDefault="00A924AE" w:rsidP="00A924AE">
            <w:pPr>
              <w:jc w:val="center"/>
              <w:rPr>
                <w:rFonts w:asciiTheme="majorHAnsi" w:hAnsiTheme="majorHAnsi" w:cstheme="majorHAnsi"/>
                <w:b/>
                <w:bCs/>
                <w:sz w:val="22"/>
                <w:szCs w:val="22"/>
              </w:rPr>
            </w:pPr>
            <w:r w:rsidRPr="0053555E">
              <w:rPr>
                <w:rFonts w:cs="Calibri"/>
                <w:b/>
                <w:bCs/>
                <w:sz w:val="22"/>
                <w:szCs w:val="20"/>
              </w:rPr>
              <w:t>34</w:t>
            </w:r>
          </w:p>
        </w:tc>
        <w:tc>
          <w:tcPr>
            <w:tcW w:w="1069" w:type="dxa"/>
            <w:tcBorders>
              <w:top w:val="nil"/>
              <w:left w:val="nil"/>
              <w:bottom w:val="single" w:sz="4" w:space="0" w:color="auto"/>
              <w:right w:val="single" w:sz="4" w:space="0" w:color="auto"/>
            </w:tcBorders>
            <w:shd w:val="clear" w:color="auto" w:fill="EEECE1" w:themeFill="background2"/>
            <w:noWrap/>
            <w:vAlign w:val="bottom"/>
            <w:hideMark/>
          </w:tcPr>
          <w:p w14:paraId="37F8E129" w14:textId="7E7684C0" w:rsidR="00A924AE" w:rsidRPr="0053555E" w:rsidRDefault="00A924AE" w:rsidP="00A924AE">
            <w:pPr>
              <w:jc w:val="center"/>
              <w:rPr>
                <w:rFonts w:asciiTheme="majorHAnsi" w:hAnsiTheme="majorHAnsi" w:cstheme="majorHAnsi"/>
                <w:b/>
                <w:bCs/>
                <w:sz w:val="22"/>
                <w:szCs w:val="22"/>
              </w:rPr>
            </w:pPr>
            <w:r w:rsidRPr="0053555E">
              <w:rPr>
                <w:rFonts w:cs="Calibri"/>
                <w:b/>
                <w:bCs/>
                <w:sz w:val="22"/>
                <w:szCs w:val="20"/>
              </w:rPr>
              <w:t>9</w:t>
            </w:r>
          </w:p>
        </w:tc>
      </w:tr>
    </w:tbl>
    <w:p w14:paraId="4FD3694A" w14:textId="77777777" w:rsidR="0042210A" w:rsidRPr="0053555E" w:rsidRDefault="0042210A" w:rsidP="0042210A">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 xml:space="preserve">Vysvetlivky: </w:t>
      </w:r>
    </w:p>
    <w:p w14:paraId="7C7B296D" w14:textId="25EDC83B" w:rsidR="0042210A" w:rsidRPr="0053555E" w:rsidRDefault="0042210A" w:rsidP="0042210A">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w:t>
      </w:r>
      <w:r w:rsidRPr="0053555E">
        <w:rPr>
          <w:rFonts w:asciiTheme="majorHAnsi" w:eastAsia="Times New Roman" w:hAnsiTheme="majorHAnsi" w:cstheme="majorHAnsi"/>
          <w:sz w:val="20"/>
          <w:szCs w:val="20"/>
          <w:vertAlign w:val="subscript"/>
          <w:lang w:eastAsia="sk-SK"/>
        </w:rPr>
        <w:t>Z</w:t>
      </w:r>
      <w:r w:rsidRPr="0053555E">
        <w:rPr>
          <w:rFonts w:asciiTheme="majorHAnsi" w:eastAsia="Times New Roman" w:hAnsiTheme="majorHAnsi" w:cstheme="majorHAnsi"/>
          <w:sz w:val="20"/>
          <w:szCs w:val="20"/>
          <w:lang w:eastAsia="sk-SK"/>
        </w:rPr>
        <w:t xml:space="preserve"> -  celkový počet zapísaných študentov (na súčasti STU + na EVI) stav k 31. 10. 20</w:t>
      </w:r>
      <w:r w:rsidR="0078425B" w:rsidRPr="0053555E">
        <w:rPr>
          <w:rFonts w:asciiTheme="majorHAnsi" w:eastAsia="Times New Roman" w:hAnsiTheme="majorHAnsi" w:cstheme="majorHAnsi"/>
          <w:sz w:val="20"/>
          <w:szCs w:val="20"/>
          <w:lang w:eastAsia="sk-SK"/>
        </w:rPr>
        <w:t>2</w:t>
      </w:r>
      <w:r w:rsidR="00830BE7" w:rsidRPr="0053555E">
        <w:rPr>
          <w:rFonts w:asciiTheme="majorHAnsi" w:eastAsia="Times New Roman" w:hAnsiTheme="majorHAnsi" w:cstheme="majorHAnsi"/>
          <w:sz w:val="20"/>
          <w:szCs w:val="20"/>
          <w:lang w:eastAsia="sk-SK"/>
        </w:rPr>
        <w:t>1</w:t>
      </w:r>
    </w:p>
    <w:p w14:paraId="1BF129DE" w14:textId="35F8D41A" w:rsidR="00B41AC9" w:rsidRPr="0053555E" w:rsidRDefault="0042210A" w:rsidP="0042210A">
      <w:pPr>
        <w:tabs>
          <w:tab w:val="left" w:pos="9356"/>
        </w:tabs>
        <w:jc w:val="both"/>
        <w:rPr>
          <w:rFonts w:asciiTheme="majorHAnsi" w:hAnsiTheme="majorHAnsi" w:cstheme="majorHAnsi"/>
          <w:sz w:val="20"/>
          <w:szCs w:val="20"/>
        </w:rPr>
      </w:pPr>
      <w:r w:rsidRPr="0053555E">
        <w:rPr>
          <w:rFonts w:asciiTheme="majorHAnsi" w:hAnsiTheme="majorHAnsi" w:cstheme="majorHAnsi"/>
          <w:sz w:val="20"/>
          <w:szCs w:val="20"/>
        </w:rPr>
        <w:t>Úbytok študentov na konci akademického roka k 31.</w:t>
      </w:r>
      <w:r w:rsidR="0078425B" w:rsidRPr="0053555E">
        <w:rPr>
          <w:rFonts w:asciiTheme="majorHAnsi" w:hAnsiTheme="majorHAnsi" w:cstheme="majorHAnsi"/>
          <w:sz w:val="20"/>
          <w:szCs w:val="20"/>
        </w:rPr>
        <w:t xml:space="preserve"> </w:t>
      </w:r>
      <w:r w:rsidRPr="0053555E">
        <w:rPr>
          <w:rFonts w:asciiTheme="majorHAnsi" w:hAnsiTheme="majorHAnsi" w:cstheme="majorHAnsi"/>
          <w:sz w:val="20"/>
          <w:szCs w:val="20"/>
        </w:rPr>
        <w:t>08.</w:t>
      </w:r>
      <w:r w:rsidR="0078425B" w:rsidRPr="0053555E">
        <w:rPr>
          <w:rFonts w:asciiTheme="majorHAnsi" w:hAnsiTheme="majorHAnsi" w:cstheme="majorHAnsi"/>
          <w:sz w:val="20"/>
          <w:szCs w:val="20"/>
        </w:rPr>
        <w:t xml:space="preserve"> </w:t>
      </w:r>
      <w:r w:rsidRPr="0053555E">
        <w:rPr>
          <w:rFonts w:asciiTheme="majorHAnsi" w:hAnsiTheme="majorHAnsi" w:cstheme="majorHAnsi"/>
          <w:sz w:val="20"/>
          <w:szCs w:val="20"/>
        </w:rPr>
        <w:t>202</w:t>
      </w:r>
      <w:r w:rsidR="00830BE7" w:rsidRPr="0053555E">
        <w:rPr>
          <w:rFonts w:asciiTheme="majorHAnsi" w:hAnsiTheme="majorHAnsi" w:cstheme="majorHAnsi"/>
          <w:sz w:val="20"/>
          <w:szCs w:val="20"/>
        </w:rPr>
        <w:t>2</w:t>
      </w:r>
    </w:p>
    <w:p w14:paraId="0DDFF973" w14:textId="357DCE96" w:rsidR="0042210A" w:rsidRDefault="0042210A" w:rsidP="0042210A">
      <w:pPr>
        <w:tabs>
          <w:tab w:val="left" w:pos="9356"/>
        </w:tabs>
        <w:jc w:val="both"/>
        <w:rPr>
          <w:rFonts w:asciiTheme="majorHAnsi" w:hAnsiTheme="majorHAnsi" w:cstheme="majorHAnsi"/>
          <w:sz w:val="20"/>
          <w:szCs w:val="20"/>
        </w:rPr>
      </w:pPr>
    </w:p>
    <w:p w14:paraId="366B25FC" w14:textId="77777777" w:rsidR="00E14578" w:rsidRPr="0053555E" w:rsidRDefault="00E14578" w:rsidP="0042210A">
      <w:pPr>
        <w:tabs>
          <w:tab w:val="left" w:pos="9356"/>
        </w:tabs>
        <w:jc w:val="both"/>
        <w:rPr>
          <w:rFonts w:asciiTheme="majorHAnsi" w:hAnsiTheme="majorHAnsi" w:cstheme="majorHAnsi"/>
          <w:sz w:val="20"/>
          <w:szCs w:val="20"/>
        </w:rPr>
      </w:pPr>
    </w:p>
    <w:p w14:paraId="64717569" w14:textId="18423E2B" w:rsidR="0042210A" w:rsidRPr="0053555E" w:rsidRDefault="0042210A" w:rsidP="000E3322">
      <w:pPr>
        <w:pStyle w:val="Popis"/>
      </w:pPr>
      <w:bookmarkStart w:id="60" w:name="_Ref474776914"/>
      <w:bookmarkStart w:id="61" w:name="_Ref64646130"/>
      <w:bookmarkStart w:id="62" w:name="_Ref31711566"/>
      <w:bookmarkStart w:id="63" w:name="_Toc127593275"/>
      <w:r w:rsidRPr="0053555E">
        <w:t>Tab. č.</w:t>
      </w:r>
      <w:r w:rsidR="007B5953">
        <w:fldChar w:fldCharType="begin"/>
      </w:r>
      <w:r w:rsidR="007B5953">
        <w:instrText xml:space="preserve"> SEQ Tab._č. \* ARABIC </w:instrText>
      </w:r>
      <w:r w:rsidR="007B5953">
        <w:fldChar w:fldCharType="separate"/>
      </w:r>
      <w:r w:rsidR="00EE1B59">
        <w:rPr>
          <w:noProof/>
        </w:rPr>
        <w:t>12</w:t>
      </w:r>
      <w:r w:rsidR="007B5953">
        <w:rPr>
          <w:noProof/>
        </w:rPr>
        <w:fldChar w:fldCharType="end"/>
      </w:r>
      <w:bookmarkEnd w:id="60"/>
      <w:bookmarkEnd w:id="61"/>
      <w:r w:rsidRPr="0053555E">
        <w:t xml:space="preserve">: Počet a úbytok študentov </w:t>
      </w:r>
      <w:r w:rsidRPr="00004D48">
        <w:t>tretieho stupňa štúdia v externej forme</w:t>
      </w:r>
      <w:r w:rsidRPr="0053555E">
        <w:rPr>
          <w:b/>
        </w:rPr>
        <w:t xml:space="preserve"> </w:t>
      </w:r>
      <w:r w:rsidRPr="0053555E">
        <w:t xml:space="preserve">v akademickom roku </w:t>
      </w:r>
      <w:r w:rsidR="00EA24BA" w:rsidRPr="0053555E">
        <w:t>2021/2022</w:t>
      </w:r>
      <w:bookmarkEnd w:id="62"/>
      <w:bookmarkEnd w:id="63"/>
    </w:p>
    <w:tbl>
      <w:tblPr>
        <w:tblW w:w="8871" w:type="dxa"/>
        <w:tblInd w:w="55" w:type="dxa"/>
        <w:tblCellMar>
          <w:left w:w="70" w:type="dxa"/>
          <w:right w:w="70" w:type="dxa"/>
        </w:tblCellMar>
        <w:tblLook w:val="04A0" w:firstRow="1" w:lastRow="0" w:firstColumn="1" w:lastColumn="0" w:noHBand="0" w:noVBand="1"/>
      </w:tblPr>
      <w:tblGrid>
        <w:gridCol w:w="862"/>
        <w:gridCol w:w="1063"/>
        <w:gridCol w:w="850"/>
        <w:gridCol w:w="993"/>
        <w:gridCol w:w="1020"/>
        <w:gridCol w:w="1021"/>
        <w:gridCol w:w="1020"/>
        <w:gridCol w:w="1021"/>
        <w:gridCol w:w="1021"/>
      </w:tblGrid>
      <w:tr w:rsidR="0042210A" w:rsidRPr="0053555E" w14:paraId="6EC3B601" w14:textId="77777777" w:rsidTr="00AD2379">
        <w:trPr>
          <w:trHeight w:val="255"/>
        </w:trPr>
        <w:tc>
          <w:tcPr>
            <w:tcW w:w="862" w:type="dxa"/>
            <w:vMerge w:val="restart"/>
            <w:tcBorders>
              <w:top w:val="single" w:sz="4" w:space="0" w:color="auto"/>
              <w:left w:val="single" w:sz="4" w:space="0" w:color="auto"/>
              <w:right w:val="single" w:sz="4" w:space="0" w:color="auto"/>
            </w:tcBorders>
            <w:shd w:val="clear" w:color="000000" w:fill="FFFFFF"/>
            <w:vAlign w:val="center"/>
            <w:hideMark/>
          </w:tcPr>
          <w:p w14:paraId="6FB225AB" w14:textId="77777777" w:rsidR="0042210A" w:rsidRPr="0053555E" w:rsidRDefault="0042210A" w:rsidP="001605FB">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Súčasť STU </w:t>
            </w:r>
          </w:p>
        </w:tc>
        <w:tc>
          <w:tcPr>
            <w:tcW w:w="2906" w:type="dxa"/>
            <w:gridSpan w:val="3"/>
            <w:tcBorders>
              <w:top w:val="single" w:sz="4" w:space="0" w:color="auto"/>
              <w:left w:val="nil"/>
              <w:bottom w:val="single" w:sz="4" w:space="0" w:color="auto"/>
              <w:right w:val="single" w:sz="4" w:space="0" w:color="000000"/>
            </w:tcBorders>
            <w:shd w:val="clear" w:color="000000" w:fill="FFFFFF"/>
            <w:vAlign w:val="center"/>
            <w:hideMark/>
          </w:tcPr>
          <w:p w14:paraId="205BF9E0" w14:textId="77777777" w:rsidR="0042210A" w:rsidRPr="0053555E" w:rsidRDefault="0042210A" w:rsidP="001605FB">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Zapísaní študenti</w:t>
            </w:r>
          </w:p>
        </w:tc>
        <w:tc>
          <w:tcPr>
            <w:tcW w:w="5103"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038DB775" w14:textId="77777777" w:rsidR="0042210A" w:rsidRPr="0053555E" w:rsidRDefault="0042210A" w:rsidP="001605FB">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 xml:space="preserve">Úbytok študentov </w:t>
            </w:r>
            <w:r w:rsidRPr="0053555E">
              <w:rPr>
                <w:rFonts w:asciiTheme="majorHAnsi" w:eastAsia="Times New Roman" w:hAnsiTheme="majorHAnsi" w:cstheme="majorHAnsi"/>
                <w:bCs/>
                <w:sz w:val="20"/>
                <w:szCs w:val="20"/>
                <w:lang w:eastAsia="sk-SK"/>
              </w:rPr>
              <w:t>(v absolútnych číslach)</w:t>
            </w:r>
          </w:p>
        </w:tc>
      </w:tr>
      <w:tr w:rsidR="0042210A" w:rsidRPr="0053555E" w14:paraId="3E65D973" w14:textId="77777777" w:rsidTr="00AD2379">
        <w:trPr>
          <w:trHeight w:val="188"/>
        </w:trPr>
        <w:tc>
          <w:tcPr>
            <w:tcW w:w="862" w:type="dxa"/>
            <w:vMerge/>
            <w:tcBorders>
              <w:left w:val="single" w:sz="4" w:space="0" w:color="auto"/>
              <w:bottom w:val="single" w:sz="4" w:space="0" w:color="auto"/>
              <w:right w:val="single" w:sz="4" w:space="0" w:color="auto"/>
            </w:tcBorders>
            <w:shd w:val="clear" w:color="000000" w:fill="FFFFFF"/>
            <w:vAlign w:val="center"/>
            <w:hideMark/>
          </w:tcPr>
          <w:p w14:paraId="652A2E89" w14:textId="77777777" w:rsidR="0042210A" w:rsidRPr="0053555E" w:rsidRDefault="0042210A" w:rsidP="001605FB">
            <w:pPr>
              <w:tabs>
                <w:tab w:val="left" w:pos="9356"/>
              </w:tabs>
              <w:jc w:val="both"/>
              <w:rPr>
                <w:rFonts w:asciiTheme="majorHAnsi" w:eastAsia="Times New Roman" w:hAnsiTheme="majorHAnsi" w:cstheme="majorHAnsi"/>
                <w:b/>
                <w:bCs/>
                <w:sz w:val="22"/>
                <w:szCs w:val="22"/>
                <w:lang w:eastAsia="sk-SK"/>
              </w:rPr>
            </w:pPr>
          </w:p>
        </w:tc>
        <w:tc>
          <w:tcPr>
            <w:tcW w:w="1063" w:type="dxa"/>
            <w:tcBorders>
              <w:top w:val="nil"/>
              <w:left w:val="single" w:sz="4" w:space="0" w:color="auto"/>
              <w:bottom w:val="single" w:sz="4" w:space="0" w:color="000000"/>
              <w:right w:val="single" w:sz="4" w:space="0" w:color="auto"/>
            </w:tcBorders>
            <w:shd w:val="clear" w:color="auto" w:fill="auto"/>
            <w:noWrap/>
            <w:vAlign w:val="center"/>
            <w:hideMark/>
          </w:tcPr>
          <w:p w14:paraId="1E482672" w14:textId="77777777" w:rsidR="0042210A" w:rsidRPr="0053555E" w:rsidRDefault="0042210A" w:rsidP="001605FB">
            <w:pPr>
              <w:tabs>
                <w:tab w:val="left" w:pos="9356"/>
              </w:tabs>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na fakulte</w:t>
            </w:r>
          </w:p>
        </w:tc>
        <w:tc>
          <w:tcPr>
            <w:tcW w:w="850" w:type="dxa"/>
            <w:tcBorders>
              <w:top w:val="nil"/>
              <w:left w:val="single" w:sz="4" w:space="0" w:color="auto"/>
              <w:bottom w:val="single" w:sz="4" w:space="0" w:color="000000"/>
              <w:right w:val="single" w:sz="4" w:space="0" w:color="auto"/>
            </w:tcBorders>
            <w:shd w:val="clear" w:color="auto" w:fill="auto"/>
            <w:noWrap/>
            <w:vAlign w:val="center"/>
            <w:hideMark/>
          </w:tcPr>
          <w:p w14:paraId="50F7B3BD" w14:textId="77777777" w:rsidR="0042210A" w:rsidRPr="0053555E" w:rsidRDefault="0042210A" w:rsidP="001605FB">
            <w:pPr>
              <w:tabs>
                <w:tab w:val="left" w:pos="9356"/>
              </w:tabs>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na EVI</w:t>
            </w:r>
          </w:p>
        </w:tc>
        <w:tc>
          <w:tcPr>
            <w:tcW w:w="993" w:type="dxa"/>
            <w:tcBorders>
              <w:top w:val="nil"/>
              <w:left w:val="single" w:sz="4" w:space="0" w:color="auto"/>
              <w:bottom w:val="single" w:sz="4" w:space="0" w:color="000000"/>
              <w:right w:val="single" w:sz="4" w:space="0" w:color="auto"/>
            </w:tcBorders>
            <w:shd w:val="clear" w:color="auto" w:fill="EEECE1" w:themeFill="background2"/>
            <w:vAlign w:val="center"/>
            <w:hideMark/>
          </w:tcPr>
          <w:p w14:paraId="49B728B6" w14:textId="77777777" w:rsidR="0042210A" w:rsidRPr="0053555E" w:rsidRDefault="0042210A" w:rsidP="001605FB">
            <w:pPr>
              <w:tabs>
                <w:tab w:val="left" w:pos="9356"/>
              </w:tabs>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w:t>
            </w:r>
            <w:r w:rsidRPr="0053555E">
              <w:rPr>
                <w:rFonts w:asciiTheme="majorHAnsi" w:eastAsia="Times New Roman" w:hAnsiTheme="majorHAnsi" w:cstheme="majorHAnsi"/>
                <w:bCs/>
                <w:sz w:val="20"/>
                <w:szCs w:val="22"/>
                <w:vertAlign w:val="subscript"/>
                <w:lang w:eastAsia="sk-SK"/>
              </w:rPr>
              <w:t>Z</w:t>
            </w:r>
          </w:p>
        </w:tc>
        <w:tc>
          <w:tcPr>
            <w:tcW w:w="1020" w:type="dxa"/>
            <w:tcBorders>
              <w:top w:val="nil"/>
              <w:left w:val="single" w:sz="4" w:space="0" w:color="auto"/>
              <w:bottom w:val="single" w:sz="4" w:space="0" w:color="auto"/>
              <w:right w:val="single" w:sz="4" w:space="0" w:color="auto"/>
            </w:tcBorders>
            <w:shd w:val="clear" w:color="000000" w:fill="FFFFFF"/>
            <w:vAlign w:val="center"/>
            <w:hideMark/>
          </w:tcPr>
          <w:p w14:paraId="12A199CC" w14:textId="77777777" w:rsidR="0042210A" w:rsidRPr="0053555E" w:rsidRDefault="0042210A" w:rsidP="001605FB">
            <w:pPr>
              <w:tabs>
                <w:tab w:val="left" w:pos="9356"/>
              </w:tabs>
              <w:ind w:hanging="70"/>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po 1. roku</w:t>
            </w:r>
          </w:p>
        </w:tc>
        <w:tc>
          <w:tcPr>
            <w:tcW w:w="1021" w:type="dxa"/>
            <w:tcBorders>
              <w:top w:val="nil"/>
              <w:left w:val="single" w:sz="4" w:space="0" w:color="auto"/>
              <w:bottom w:val="single" w:sz="4" w:space="0" w:color="auto"/>
              <w:right w:val="single" w:sz="4" w:space="0" w:color="auto"/>
            </w:tcBorders>
            <w:shd w:val="clear" w:color="000000" w:fill="FFFFFF"/>
            <w:vAlign w:val="center"/>
            <w:hideMark/>
          </w:tcPr>
          <w:p w14:paraId="5C95EC1E" w14:textId="77777777" w:rsidR="0042210A" w:rsidRPr="0053555E" w:rsidRDefault="0042210A" w:rsidP="001605FB">
            <w:pPr>
              <w:tabs>
                <w:tab w:val="left" w:pos="9356"/>
              </w:tabs>
              <w:ind w:hanging="42"/>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po 2. roku</w:t>
            </w:r>
          </w:p>
        </w:tc>
        <w:tc>
          <w:tcPr>
            <w:tcW w:w="1020" w:type="dxa"/>
            <w:tcBorders>
              <w:top w:val="nil"/>
              <w:left w:val="single" w:sz="4" w:space="0" w:color="auto"/>
              <w:bottom w:val="single" w:sz="4" w:space="0" w:color="auto"/>
              <w:right w:val="single" w:sz="4" w:space="0" w:color="auto"/>
            </w:tcBorders>
            <w:shd w:val="clear" w:color="000000" w:fill="FFFFFF"/>
            <w:vAlign w:val="center"/>
            <w:hideMark/>
          </w:tcPr>
          <w:p w14:paraId="7E901FE6" w14:textId="77777777" w:rsidR="0042210A" w:rsidRPr="0053555E" w:rsidRDefault="0042210A" w:rsidP="001605FB">
            <w:pPr>
              <w:tabs>
                <w:tab w:val="left" w:pos="9356"/>
              </w:tabs>
              <w:ind w:hanging="14"/>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po 3. roku</w:t>
            </w:r>
          </w:p>
        </w:tc>
        <w:tc>
          <w:tcPr>
            <w:tcW w:w="1021" w:type="dxa"/>
            <w:tcBorders>
              <w:top w:val="nil"/>
              <w:left w:val="single" w:sz="4" w:space="0" w:color="auto"/>
              <w:bottom w:val="single" w:sz="4" w:space="0" w:color="auto"/>
              <w:right w:val="single" w:sz="4" w:space="0" w:color="auto"/>
            </w:tcBorders>
            <w:shd w:val="clear" w:color="000000" w:fill="FFFFFF"/>
            <w:vAlign w:val="center"/>
            <w:hideMark/>
          </w:tcPr>
          <w:p w14:paraId="7A24B50F" w14:textId="77777777" w:rsidR="0042210A" w:rsidRPr="0053555E" w:rsidRDefault="0042210A" w:rsidP="001605FB">
            <w:pPr>
              <w:tabs>
                <w:tab w:val="left" w:pos="9356"/>
              </w:tabs>
              <w:ind w:right="-37"/>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po 4. roku</w:t>
            </w:r>
          </w:p>
        </w:tc>
        <w:tc>
          <w:tcPr>
            <w:tcW w:w="1021" w:type="dxa"/>
            <w:tcBorders>
              <w:top w:val="nil"/>
              <w:left w:val="single" w:sz="4" w:space="0" w:color="auto"/>
              <w:bottom w:val="single" w:sz="4" w:space="0" w:color="auto"/>
              <w:right w:val="single" w:sz="4" w:space="0" w:color="auto"/>
            </w:tcBorders>
            <w:shd w:val="clear" w:color="000000" w:fill="FFFFFF"/>
            <w:vAlign w:val="center"/>
            <w:hideMark/>
          </w:tcPr>
          <w:p w14:paraId="6D43000D" w14:textId="77777777" w:rsidR="0042210A" w:rsidRPr="0053555E" w:rsidRDefault="0042210A" w:rsidP="001605FB">
            <w:pPr>
              <w:tabs>
                <w:tab w:val="left" w:pos="9356"/>
              </w:tabs>
              <w:ind w:hanging="100"/>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po 5. roku</w:t>
            </w:r>
          </w:p>
        </w:tc>
      </w:tr>
      <w:tr w:rsidR="00830BE7" w:rsidRPr="0053555E" w14:paraId="480EB7B5" w14:textId="77777777" w:rsidTr="00AD2379">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6453EBD0" w14:textId="77777777" w:rsidR="00830BE7" w:rsidRPr="0053555E" w:rsidRDefault="00830BE7" w:rsidP="00830BE7">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SvF</w:t>
            </w:r>
          </w:p>
        </w:tc>
        <w:tc>
          <w:tcPr>
            <w:tcW w:w="1063" w:type="dxa"/>
            <w:tcBorders>
              <w:top w:val="nil"/>
              <w:left w:val="nil"/>
              <w:bottom w:val="single" w:sz="4" w:space="0" w:color="auto"/>
              <w:right w:val="single" w:sz="4" w:space="0" w:color="auto"/>
            </w:tcBorders>
            <w:shd w:val="clear" w:color="auto" w:fill="auto"/>
            <w:noWrap/>
            <w:vAlign w:val="center"/>
            <w:hideMark/>
          </w:tcPr>
          <w:p w14:paraId="028A7F01" w14:textId="6B4D77FB" w:rsidR="00830BE7" w:rsidRPr="0053555E" w:rsidRDefault="00830BE7" w:rsidP="00830BE7">
            <w:pPr>
              <w:jc w:val="center"/>
              <w:rPr>
                <w:rFonts w:asciiTheme="majorHAnsi" w:hAnsiTheme="majorHAnsi" w:cstheme="majorHAnsi"/>
                <w:sz w:val="22"/>
                <w:szCs w:val="22"/>
              </w:rPr>
            </w:pPr>
            <w:r w:rsidRPr="0053555E">
              <w:rPr>
                <w:rFonts w:cs="Calibri"/>
                <w:sz w:val="22"/>
                <w:szCs w:val="20"/>
              </w:rPr>
              <w:t>17</w:t>
            </w:r>
          </w:p>
        </w:tc>
        <w:tc>
          <w:tcPr>
            <w:tcW w:w="850" w:type="dxa"/>
            <w:tcBorders>
              <w:top w:val="nil"/>
              <w:left w:val="nil"/>
              <w:bottom w:val="single" w:sz="4" w:space="0" w:color="auto"/>
              <w:right w:val="single" w:sz="4" w:space="0" w:color="auto"/>
            </w:tcBorders>
            <w:shd w:val="clear" w:color="auto" w:fill="auto"/>
            <w:noWrap/>
            <w:vAlign w:val="center"/>
            <w:hideMark/>
          </w:tcPr>
          <w:p w14:paraId="1637072F" w14:textId="34ABD710"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c>
          <w:tcPr>
            <w:tcW w:w="993" w:type="dxa"/>
            <w:tcBorders>
              <w:top w:val="nil"/>
              <w:left w:val="nil"/>
              <w:bottom w:val="single" w:sz="4" w:space="0" w:color="auto"/>
              <w:right w:val="single" w:sz="4" w:space="0" w:color="auto"/>
            </w:tcBorders>
            <w:shd w:val="clear" w:color="auto" w:fill="EEECE1" w:themeFill="background2"/>
            <w:vAlign w:val="center"/>
            <w:hideMark/>
          </w:tcPr>
          <w:p w14:paraId="581B43EE" w14:textId="558820A4"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18</w:t>
            </w:r>
          </w:p>
        </w:tc>
        <w:tc>
          <w:tcPr>
            <w:tcW w:w="1020" w:type="dxa"/>
            <w:tcBorders>
              <w:top w:val="nil"/>
              <w:left w:val="nil"/>
              <w:bottom w:val="single" w:sz="4" w:space="0" w:color="auto"/>
              <w:right w:val="single" w:sz="4" w:space="0" w:color="auto"/>
            </w:tcBorders>
            <w:shd w:val="clear" w:color="000000" w:fill="FFFFFF"/>
            <w:vAlign w:val="center"/>
            <w:hideMark/>
          </w:tcPr>
          <w:p w14:paraId="2909F899" w14:textId="0CFFF813" w:rsidR="00830BE7" w:rsidRPr="0053555E" w:rsidRDefault="00830BE7" w:rsidP="00830BE7">
            <w:pPr>
              <w:jc w:val="center"/>
              <w:rPr>
                <w:rFonts w:asciiTheme="majorHAnsi" w:hAnsiTheme="majorHAnsi" w:cstheme="majorHAnsi"/>
                <w:sz w:val="22"/>
                <w:szCs w:val="22"/>
              </w:rPr>
            </w:pPr>
            <w:r w:rsidRPr="0053555E">
              <w:rPr>
                <w:rFonts w:cs="Calibri"/>
                <w:sz w:val="22"/>
                <w:szCs w:val="20"/>
              </w:rPr>
              <w:t>2</w:t>
            </w:r>
          </w:p>
        </w:tc>
        <w:tc>
          <w:tcPr>
            <w:tcW w:w="1021" w:type="dxa"/>
            <w:tcBorders>
              <w:top w:val="nil"/>
              <w:left w:val="nil"/>
              <w:bottom w:val="single" w:sz="4" w:space="0" w:color="auto"/>
              <w:right w:val="single" w:sz="4" w:space="0" w:color="auto"/>
            </w:tcBorders>
            <w:shd w:val="clear" w:color="000000" w:fill="FFFFFF"/>
            <w:vAlign w:val="center"/>
            <w:hideMark/>
          </w:tcPr>
          <w:p w14:paraId="7E92D813" w14:textId="74281F97"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c>
          <w:tcPr>
            <w:tcW w:w="1020" w:type="dxa"/>
            <w:tcBorders>
              <w:top w:val="nil"/>
              <w:left w:val="nil"/>
              <w:bottom w:val="single" w:sz="4" w:space="0" w:color="auto"/>
              <w:right w:val="single" w:sz="4" w:space="0" w:color="auto"/>
            </w:tcBorders>
            <w:shd w:val="clear" w:color="000000" w:fill="FFFFFF"/>
            <w:vAlign w:val="center"/>
            <w:hideMark/>
          </w:tcPr>
          <w:p w14:paraId="62785094" w14:textId="3AB46781" w:rsidR="00830BE7" w:rsidRPr="0053555E" w:rsidRDefault="00830BE7" w:rsidP="00830BE7">
            <w:pPr>
              <w:jc w:val="center"/>
              <w:rPr>
                <w:rFonts w:asciiTheme="majorHAnsi" w:hAnsiTheme="majorHAnsi" w:cstheme="majorHAnsi"/>
                <w:sz w:val="22"/>
                <w:szCs w:val="22"/>
              </w:rPr>
            </w:pPr>
          </w:p>
        </w:tc>
        <w:tc>
          <w:tcPr>
            <w:tcW w:w="1021" w:type="dxa"/>
            <w:tcBorders>
              <w:top w:val="nil"/>
              <w:left w:val="nil"/>
              <w:bottom w:val="single" w:sz="4" w:space="0" w:color="auto"/>
              <w:right w:val="single" w:sz="4" w:space="0" w:color="auto"/>
            </w:tcBorders>
            <w:shd w:val="clear" w:color="000000" w:fill="FFFFFF"/>
            <w:vAlign w:val="center"/>
            <w:hideMark/>
          </w:tcPr>
          <w:p w14:paraId="3CB82B63" w14:textId="7BBDA7DF"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c>
          <w:tcPr>
            <w:tcW w:w="1021" w:type="dxa"/>
            <w:tcBorders>
              <w:top w:val="nil"/>
              <w:left w:val="nil"/>
              <w:bottom w:val="single" w:sz="4" w:space="0" w:color="auto"/>
              <w:right w:val="single" w:sz="4" w:space="0" w:color="auto"/>
            </w:tcBorders>
            <w:shd w:val="clear" w:color="000000" w:fill="FFFFFF"/>
            <w:vAlign w:val="center"/>
            <w:hideMark/>
          </w:tcPr>
          <w:p w14:paraId="006544D8" w14:textId="235D7549"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r>
      <w:tr w:rsidR="00830BE7" w:rsidRPr="0053555E" w14:paraId="6EE72808" w14:textId="77777777" w:rsidTr="00830BE7">
        <w:trPr>
          <w:trHeight w:val="300"/>
        </w:trPr>
        <w:tc>
          <w:tcPr>
            <w:tcW w:w="862" w:type="dxa"/>
            <w:tcBorders>
              <w:top w:val="nil"/>
              <w:left w:val="single" w:sz="4" w:space="0" w:color="auto"/>
              <w:bottom w:val="single" w:sz="4" w:space="0" w:color="auto"/>
              <w:right w:val="single" w:sz="4" w:space="0" w:color="auto"/>
            </w:tcBorders>
            <w:shd w:val="clear" w:color="000000" w:fill="FFFFFF"/>
            <w:vAlign w:val="center"/>
            <w:hideMark/>
          </w:tcPr>
          <w:p w14:paraId="77AA7F28" w14:textId="77777777" w:rsidR="00830BE7" w:rsidRPr="0053555E" w:rsidRDefault="00830BE7" w:rsidP="00830BE7">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SjF</w:t>
            </w:r>
          </w:p>
        </w:tc>
        <w:tc>
          <w:tcPr>
            <w:tcW w:w="1063" w:type="dxa"/>
            <w:tcBorders>
              <w:top w:val="nil"/>
              <w:left w:val="nil"/>
              <w:bottom w:val="single" w:sz="4" w:space="0" w:color="auto"/>
              <w:right w:val="single" w:sz="4" w:space="0" w:color="auto"/>
            </w:tcBorders>
            <w:shd w:val="clear" w:color="auto" w:fill="auto"/>
            <w:noWrap/>
            <w:vAlign w:val="center"/>
            <w:hideMark/>
          </w:tcPr>
          <w:p w14:paraId="62DD190A" w14:textId="059D26B7" w:rsidR="00830BE7" w:rsidRPr="0053555E" w:rsidRDefault="00830BE7" w:rsidP="00830BE7">
            <w:pPr>
              <w:jc w:val="center"/>
              <w:rPr>
                <w:rFonts w:asciiTheme="majorHAnsi" w:hAnsiTheme="majorHAnsi" w:cstheme="majorHAnsi"/>
                <w:sz w:val="22"/>
                <w:szCs w:val="22"/>
              </w:rPr>
            </w:pPr>
            <w:r w:rsidRPr="0053555E">
              <w:rPr>
                <w:rFonts w:cs="Calibri"/>
                <w:sz w:val="22"/>
                <w:szCs w:val="20"/>
              </w:rPr>
              <w:t>25</w:t>
            </w:r>
          </w:p>
        </w:tc>
        <w:tc>
          <w:tcPr>
            <w:tcW w:w="850" w:type="dxa"/>
            <w:tcBorders>
              <w:top w:val="nil"/>
              <w:left w:val="nil"/>
              <w:bottom w:val="single" w:sz="4" w:space="0" w:color="auto"/>
              <w:right w:val="single" w:sz="4" w:space="0" w:color="auto"/>
            </w:tcBorders>
            <w:shd w:val="clear" w:color="auto" w:fill="auto"/>
            <w:noWrap/>
            <w:vAlign w:val="center"/>
            <w:hideMark/>
          </w:tcPr>
          <w:p w14:paraId="57168A0B" w14:textId="35177E72"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c>
          <w:tcPr>
            <w:tcW w:w="993" w:type="dxa"/>
            <w:tcBorders>
              <w:top w:val="nil"/>
              <w:left w:val="nil"/>
              <w:bottom w:val="single" w:sz="4" w:space="0" w:color="auto"/>
              <w:right w:val="single" w:sz="4" w:space="0" w:color="auto"/>
            </w:tcBorders>
            <w:shd w:val="clear" w:color="auto" w:fill="EEECE1" w:themeFill="background2"/>
            <w:vAlign w:val="center"/>
            <w:hideMark/>
          </w:tcPr>
          <w:p w14:paraId="16BABA0A" w14:textId="6BE8FE53"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26</w:t>
            </w:r>
          </w:p>
        </w:tc>
        <w:tc>
          <w:tcPr>
            <w:tcW w:w="1020" w:type="dxa"/>
            <w:tcBorders>
              <w:top w:val="nil"/>
              <w:left w:val="nil"/>
              <w:bottom w:val="single" w:sz="4" w:space="0" w:color="auto"/>
              <w:right w:val="single" w:sz="4" w:space="0" w:color="auto"/>
            </w:tcBorders>
            <w:shd w:val="clear" w:color="000000" w:fill="FFFFFF"/>
            <w:vAlign w:val="center"/>
            <w:hideMark/>
          </w:tcPr>
          <w:p w14:paraId="147FD6A5" w14:textId="750105C2" w:rsidR="00830BE7" w:rsidRPr="0053555E" w:rsidRDefault="00830BE7" w:rsidP="00830BE7">
            <w:pPr>
              <w:jc w:val="center"/>
              <w:rPr>
                <w:rFonts w:asciiTheme="majorHAnsi" w:hAnsiTheme="majorHAnsi" w:cstheme="majorHAnsi"/>
                <w:sz w:val="22"/>
                <w:szCs w:val="22"/>
              </w:rPr>
            </w:pPr>
            <w:r w:rsidRPr="0053555E">
              <w:rPr>
                <w:rFonts w:cs="Calibri"/>
                <w:sz w:val="22"/>
                <w:szCs w:val="20"/>
              </w:rPr>
              <w:t>3</w:t>
            </w:r>
          </w:p>
        </w:tc>
        <w:tc>
          <w:tcPr>
            <w:tcW w:w="1021" w:type="dxa"/>
            <w:tcBorders>
              <w:top w:val="nil"/>
              <w:left w:val="nil"/>
              <w:bottom w:val="single" w:sz="4" w:space="0" w:color="auto"/>
              <w:right w:val="single" w:sz="4" w:space="0" w:color="auto"/>
            </w:tcBorders>
            <w:shd w:val="clear" w:color="000000" w:fill="FFFFFF"/>
            <w:vAlign w:val="center"/>
            <w:hideMark/>
          </w:tcPr>
          <w:p w14:paraId="075A3696" w14:textId="0EB0DD62"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c>
          <w:tcPr>
            <w:tcW w:w="1020" w:type="dxa"/>
            <w:tcBorders>
              <w:top w:val="nil"/>
              <w:left w:val="nil"/>
              <w:bottom w:val="single" w:sz="4" w:space="0" w:color="auto"/>
              <w:right w:val="single" w:sz="4" w:space="0" w:color="auto"/>
            </w:tcBorders>
            <w:shd w:val="clear" w:color="000000" w:fill="FFFFFF"/>
            <w:vAlign w:val="center"/>
            <w:hideMark/>
          </w:tcPr>
          <w:p w14:paraId="2AECC646" w14:textId="02A4797C"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c>
          <w:tcPr>
            <w:tcW w:w="1021" w:type="dxa"/>
            <w:tcBorders>
              <w:top w:val="nil"/>
              <w:left w:val="nil"/>
              <w:bottom w:val="single" w:sz="4" w:space="0" w:color="auto"/>
              <w:right w:val="single" w:sz="4" w:space="0" w:color="auto"/>
            </w:tcBorders>
            <w:shd w:val="clear" w:color="000000" w:fill="FFFFFF"/>
            <w:vAlign w:val="center"/>
            <w:hideMark/>
          </w:tcPr>
          <w:p w14:paraId="587F4498" w14:textId="63FED453"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c>
          <w:tcPr>
            <w:tcW w:w="1021" w:type="dxa"/>
            <w:tcBorders>
              <w:top w:val="nil"/>
              <w:left w:val="nil"/>
              <w:bottom w:val="single" w:sz="4" w:space="0" w:color="auto"/>
              <w:right w:val="single" w:sz="4" w:space="0" w:color="auto"/>
            </w:tcBorders>
            <w:shd w:val="clear" w:color="000000" w:fill="FFFFFF"/>
            <w:vAlign w:val="center"/>
          </w:tcPr>
          <w:p w14:paraId="25775AE7" w14:textId="3F2F24CD" w:rsidR="00830BE7" w:rsidRPr="0053555E" w:rsidRDefault="00830BE7" w:rsidP="00830BE7">
            <w:pPr>
              <w:jc w:val="center"/>
              <w:rPr>
                <w:rFonts w:asciiTheme="majorHAnsi" w:hAnsiTheme="majorHAnsi" w:cstheme="majorHAnsi"/>
                <w:sz w:val="22"/>
                <w:szCs w:val="22"/>
              </w:rPr>
            </w:pPr>
          </w:p>
        </w:tc>
      </w:tr>
      <w:tr w:rsidR="00830BE7" w:rsidRPr="0053555E" w14:paraId="5552C844" w14:textId="77777777" w:rsidTr="00830BE7">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34F7AC20" w14:textId="77777777" w:rsidR="00830BE7" w:rsidRPr="0053555E" w:rsidRDefault="00830BE7" w:rsidP="00830BE7">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FEI</w:t>
            </w:r>
          </w:p>
        </w:tc>
        <w:tc>
          <w:tcPr>
            <w:tcW w:w="1063" w:type="dxa"/>
            <w:tcBorders>
              <w:top w:val="nil"/>
              <w:left w:val="nil"/>
              <w:bottom w:val="single" w:sz="4" w:space="0" w:color="auto"/>
              <w:right w:val="single" w:sz="4" w:space="0" w:color="auto"/>
            </w:tcBorders>
            <w:shd w:val="clear" w:color="auto" w:fill="auto"/>
            <w:noWrap/>
            <w:vAlign w:val="center"/>
            <w:hideMark/>
          </w:tcPr>
          <w:p w14:paraId="1C930CC9" w14:textId="15091FC2" w:rsidR="00830BE7" w:rsidRPr="0053555E" w:rsidRDefault="00830BE7" w:rsidP="00830BE7">
            <w:pPr>
              <w:jc w:val="center"/>
              <w:rPr>
                <w:rFonts w:asciiTheme="majorHAnsi" w:hAnsiTheme="majorHAnsi" w:cstheme="majorHAnsi"/>
                <w:sz w:val="22"/>
                <w:szCs w:val="22"/>
              </w:rPr>
            </w:pPr>
            <w:r w:rsidRPr="0053555E">
              <w:rPr>
                <w:rFonts w:cs="Calibri"/>
                <w:sz w:val="22"/>
                <w:szCs w:val="20"/>
              </w:rPr>
              <w:t>32</w:t>
            </w:r>
          </w:p>
        </w:tc>
        <w:tc>
          <w:tcPr>
            <w:tcW w:w="850" w:type="dxa"/>
            <w:tcBorders>
              <w:top w:val="nil"/>
              <w:left w:val="nil"/>
              <w:bottom w:val="single" w:sz="4" w:space="0" w:color="auto"/>
              <w:right w:val="single" w:sz="4" w:space="0" w:color="auto"/>
            </w:tcBorders>
            <w:shd w:val="clear" w:color="auto" w:fill="auto"/>
            <w:noWrap/>
            <w:vAlign w:val="center"/>
            <w:hideMark/>
          </w:tcPr>
          <w:p w14:paraId="505E4798" w14:textId="0ED8FC9B"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c>
          <w:tcPr>
            <w:tcW w:w="993" w:type="dxa"/>
            <w:tcBorders>
              <w:top w:val="nil"/>
              <w:left w:val="nil"/>
              <w:bottom w:val="single" w:sz="4" w:space="0" w:color="auto"/>
              <w:right w:val="single" w:sz="4" w:space="0" w:color="auto"/>
            </w:tcBorders>
            <w:shd w:val="clear" w:color="auto" w:fill="EEECE1" w:themeFill="background2"/>
            <w:vAlign w:val="center"/>
            <w:hideMark/>
          </w:tcPr>
          <w:p w14:paraId="4BED847C" w14:textId="2E453DDC"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33</w:t>
            </w:r>
          </w:p>
        </w:tc>
        <w:tc>
          <w:tcPr>
            <w:tcW w:w="1020" w:type="dxa"/>
            <w:tcBorders>
              <w:top w:val="nil"/>
              <w:left w:val="nil"/>
              <w:bottom w:val="single" w:sz="4" w:space="0" w:color="auto"/>
              <w:right w:val="single" w:sz="4" w:space="0" w:color="auto"/>
            </w:tcBorders>
            <w:shd w:val="clear" w:color="000000" w:fill="FFFFFF"/>
            <w:vAlign w:val="center"/>
            <w:hideMark/>
          </w:tcPr>
          <w:p w14:paraId="720062F5" w14:textId="3CAB22FA" w:rsidR="00830BE7" w:rsidRPr="0053555E" w:rsidRDefault="00830BE7" w:rsidP="00830BE7">
            <w:pPr>
              <w:jc w:val="center"/>
              <w:rPr>
                <w:rFonts w:asciiTheme="majorHAnsi" w:hAnsiTheme="majorHAnsi" w:cstheme="majorHAnsi"/>
                <w:sz w:val="22"/>
                <w:szCs w:val="22"/>
              </w:rPr>
            </w:pPr>
            <w:r w:rsidRPr="0053555E">
              <w:rPr>
                <w:rFonts w:cs="Calibri"/>
                <w:sz w:val="22"/>
                <w:szCs w:val="20"/>
              </w:rPr>
              <w:t>3</w:t>
            </w:r>
          </w:p>
        </w:tc>
        <w:tc>
          <w:tcPr>
            <w:tcW w:w="1021" w:type="dxa"/>
            <w:tcBorders>
              <w:top w:val="nil"/>
              <w:left w:val="nil"/>
              <w:bottom w:val="single" w:sz="4" w:space="0" w:color="auto"/>
              <w:right w:val="single" w:sz="4" w:space="0" w:color="auto"/>
            </w:tcBorders>
            <w:shd w:val="clear" w:color="000000" w:fill="FFFFFF"/>
            <w:vAlign w:val="center"/>
            <w:hideMark/>
          </w:tcPr>
          <w:p w14:paraId="13E15003" w14:textId="4ED5CF45" w:rsidR="00830BE7" w:rsidRPr="0053555E" w:rsidRDefault="00830BE7" w:rsidP="00830BE7">
            <w:pPr>
              <w:jc w:val="center"/>
              <w:rPr>
                <w:rFonts w:asciiTheme="majorHAnsi" w:hAnsiTheme="majorHAnsi" w:cstheme="majorHAnsi"/>
                <w:sz w:val="22"/>
                <w:szCs w:val="22"/>
              </w:rPr>
            </w:pPr>
            <w:r w:rsidRPr="0053555E">
              <w:rPr>
                <w:rFonts w:cs="Calibri"/>
                <w:sz w:val="22"/>
                <w:szCs w:val="20"/>
              </w:rPr>
              <w:t>2</w:t>
            </w:r>
          </w:p>
        </w:tc>
        <w:tc>
          <w:tcPr>
            <w:tcW w:w="1020" w:type="dxa"/>
            <w:tcBorders>
              <w:top w:val="nil"/>
              <w:left w:val="nil"/>
              <w:bottom w:val="single" w:sz="4" w:space="0" w:color="auto"/>
              <w:right w:val="single" w:sz="4" w:space="0" w:color="auto"/>
            </w:tcBorders>
            <w:shd w:val="clear" w:color="000000" w:fill="FFFFFF"/>
            <w:vAlign w:val="center"/>
            <w:hideMark/>
          </w:tcPr>
          <w:p w14:paraId="45C73212" w14:textId="15B63E36" w:rsidR="00830BE7" w:rsidRPr="0053555E" w:rsidRDefault="00830BE7" w:rsidP="00830BE7">
            <w:pPr>
              <w:jc w:val="center"/>
              <w:rPr>
                <w:rFonts w:asciiTheme="majorHAnsi" w:hAnsiTheme="majorHAnsi" w:cstheme="majorHAnsi"/>
                <w:sz w:val="22"/>
                <w:szCs w:val="22"/>
              </w:rPr>
            </w:pPr>
            <w:r w:rsidRPr="0053555E">
              <w:rPr>
                <w:rFonts w:cs="Calibri"/>
                <w:sz w:val="22"/>
                <w:szCs w:val="20"/>
              </w:rPr>
              <w:t>3</w:t>
            </w:r>
          </w:p>
        </w:tc>
        <w:tc>
          <w:tcPr>
            <w:tcW w:w="1021" w:type="dxa"/>
            <w:tcBorders>
              <w:top w:val="nil"/>
              <w:left w:val="nil"/>
              <w:bottom w:val="single" w:sz="4" w:space="0" w:color="auto"/>
              <w:right w:val="single" w:sz="4" w:space="0" w:color="auto"/>
            </w:tcBorders>
            <w:shd w:val="clear" w:color="000000" w:fill="FFFFFF"/>
            <w:vAlign w:val="center"/>
            <w:hideMark/>
          </w:tcPr>
          <w:p w14:paraId="05D8B21C" w14:textId="65E1263F" w:rsidR="00830BE7" w:rsidRPr="0053555E" w:rsidRDefault="00830BE7" w:rsidP="00830BE7">
            <w:pPr>
              <w:jc w:val="center"/>
              <w:rPr>
                <w:rFonts w:asciiTheme="majorHAnsi" w:hAnsiTheme="majorHAnsi" w:cstheme="majorHAnsi"/>
                <w:sz w:val="22"/>
                <w:szCs w:val="22"/>
              </w:rPr>
            </w:pPr>
            <w:r w:rsidRPr="0053555E">
              <w:rPr>
                <w:rFonts w:cs="Calibri"/>
                <w:sz w:val="22"/>
                <w:szCs w:val="20"/>
              </w:rPr>
              <w:t>2</w:t>
            </w:r>
          </w:p>
        </w:tc>
        <w:tc>
          <w:tcPr>
            <w:tcW w:w="1021" w:type="dxa"/>
            <w:tcBorders>
              <w:top w:val="nil"/>
              <w:left w:val="nil"/>
              <w:bottom w:val="single" w:sz="4" w:space="0" w:color="auto"/>
              <w:right w:val="single" w:sz="4" w:space="0" w:color="auto"/>
            </w:tcBorders>
            <w:shd w:val="clear" w:color="000000" w:fill="FFFFFF"/>
            <w:vAlign w:val="center"/>
          </w:tcPr>
          <w:p w14:paraId="6535A048" w14:textId="0EA39A1A" w:rsidR="00830BE7" w:rsidRPr="0053555E" w:rsidRDefault="00830BE7" w:rsidP="00830BE7">
            <w:pPr>
              <w:jc w:val="center"/>
              <w:rPr>
                <w:rFonts w:asciiTheme="majorHAnsi" w:hAnsiTheme="majorHAnsi" w:cstheme="majorHAnsi"/>
                <w:sz w:val="22"/>
                <w:szCs w:val="22"/>
              </w:rPr>
            </w:pPr>
          </w:p>
        </w:tc>
      </w:tr>
      <w:tr w:rsidR="00830BE7" w:rsidRPr="0053555E" w14:paraId="551B4404" w14:textId="77777777" w:rsidTr="00830BE7">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63D9B7EF" w14:textId="77777777" w:rsidR="00830BE7" w:rsidRPr="0053555E" w:rsidRDefault="00830BE7" w:rsidP="00830BE7">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FCHPT</w:t>
            </w:r>
          </w:p>
        </w:tc>
        <w:tc>
          <w:tcPr>
            <w:tcW w:w="1063" w:type="dxa"/>
            <w:tcBorders>
              <w:top w:val="nil"/>
              <w:left w:val="nil"/>
              <w:bottom w:val="single" w:sz="4" w:space="0" w:color="auto"/>
              <w:right w:val="single" w:sz="4" w:space="0" w:color="auto"/>
            </w:tcBorders>
            <w:shd w:val="clear" w:color="auto" w:fill="auto"/>
            <w:noWrap/>
            <w:vAlign w:val="center"/>
            <w:hideMark/>
          </w:tcPr>
          <w:p w14:paraId="327246DC" w14:textId="3608F8AC" w:rsidR="00830BE7" w:rsidRPr="0053555E" w:rsidRDefault="00830BE7" w:rsidP="00830BE7">
            <w:pPr>
              <w:jc w:val="center"/>
              <w:rPr>
                <w:rFonts w:asciiTheme="majorHAnsi" w:hAnsiTheme="majorHAnsi" w:cstheme="majorHAnsi"/>
                <w:sz w:val="22"/>
                <w:szCs w:val="22"/>
              </w:rPr>
            </w:pPr>
            <w:r w:rsidRPr="0053555E">
              <w:rPr>
                <w:rFonts w:cs="Calibri"/>
                <w:sz w:val="22"/>
                <w:szCs w:val="20"/>
              </w:rPr>
              <w:t>29</w:t>
            </w:r>
          </w:p>
        </w:tc>
        <w:tc>
          <w:tcPr>
            <w:tcW w:w="850" w:type="dxa"/>
            <w:tcBorders>
              <w:top w:val="nil"/>
              <w:left w:val="nil"/>
              <w:bottom w:val="single" w:sz="4" w:space="0" w:color="auto"/>
              <w:right w:val="single" w:sz="4" w:space="0" w:color="auto"/>
            </w:tcBorders>
            <w:shd w:val="clear" w:color="auto" w:fill="auto"/>
            <w:noWrap/>
            <w:vAlign w:val="center"/>
            <w:hideMark/>
          </w:tcPr>
          <w:p w14:paraId="65152323" w14:textId="4682EB27"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c>
          <w:tcPr>
            <w:tcW w:w="993" w:type="dxa"/>
            <w:tcBorders>
              <w:top w:val="nil"/>
              <w:left w:val="nil"/>
              <w:bottom w:val="single" w:sz="4" w:space="0" w:color="auto"/>
              <w:right w:val="single" w:sz="4" w:space="0" w:color="auto"/>
            </w:tcBorders>
            <w:shd w:val="clear" w:color="auto" w:fill="EEECE1" w:themeFill="background2"/>
            <w:vAlign w:val="center"/>
            <w:hideMark/>
          </w:tcPr>
          <w:p w14:paraId="76F1DEE9" w14:textId="12C0B20E"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30</w:t>
            </w:r>
          </w:p>
        </w:tc>
        <w:tc>
          <w:tcPr>
            <w:tcW w:w="1020" w:type="dxa"/>
            <w:tcBorders>
              <w:top w:val="nil"/>
              <w:left w:val="nil"/>
              <w:bottom w:val="single" w:sz="4" w:space="0" w:color="auto"/>
              <w:right w:val="single" w:sz="4" w:space="0" w:color="auto"/>
            </w:tcBorders>
            <w:shd w:val="clear" w:color="000000" w:fill="FFFFFF"/>
            <w:vAlign w:val="center"/>
            <w:hideMark/>
          </w:tcPr>
          <w:p w14:paraId="380191BF" w14:textId="6C1E8861" w:rsidR="00830BE7" w:rsidRPr="0053555E" w:rsidRDefault="00830BE7" w:rsidP="00830BE7">
            <w:pPr>
              <w:jc w:val="center"/>
              <w:rPr>
                <w:rFonts w:asciiTheme="majorHAnsi" w:hAnsiTheme="majorHAnsi" w:cstheme="majorHAnsi"/>
                <w:sz w:val="22"/>
                <w:szCs w:val="22"/>
              </w:rPr>
            </w:pPr>
            <w:r w:rsidRPr="0053555E">
              <w:rPr>
                <w:rFonts w:cs="Calibri"/>
                <w:sz w:val="22"/>
                <w:szCs w:val="20"/>
              </w:rPr>
              <w:t>3</w:t>
            </w:r>
          </w:p>
        </w:tc>
        <w:tc>
          <w:tcPr>
            <w:tcW w:w="1021" w:type="dxa"/>
            <w:tcBorders>
              <w:top w:val="nil"/>
              <w:left w:val="nil"/>
              <w:bottom w:val="single" w:sz="4" w:space="0" w:color="auto"/>
              <w:right w:val="single" w:sz="4" w:space="0" w:color="auto"/>
            </w:tcBorders>
            <w:shd w:val="clear" w:color="000000" w:fill="FFFFFF"/>
            <w:vAlign w:val="center"/>
            <w:hideMark/>
          </w:tcPr>
          <w:p w14:paraId="2F412507" w14:textId="6EC46597"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c>
          <w:tcPr>
            <w:tcW w:w="1020" w:type="dxa"/>
            <w:tcBorders>
              <w:top w:val="nil"/>
              <w:left w:val="nil"/>
              <w:bottom w:val="single" w:sz="4" w:space="0" w:color="auto"/>
              <w:right w:val="single" w:sz="4" w:space="0" w:color="auto"/>
            </w:tcBorders>
            <w:shd w:val="clear" w:color="000000" w:fill="FFFFFF"/>
            <w:vAlign w:val="center"/>
            <w:hideMark/>
          </w:tcPr>
          <w:p w14:paraId="713652CF" w14:textId="124BFF8B" w:rsidR="00830BE7" w:rsidRPr="0053555E" w:rsidRDefault="00830BE7" w:rsidP="00830BE7">
            <w:pPr>
              <w:jc w:val="center"/>
              <w:rPr>
                <w:rFonts w:asciiTheme="majorHAnsi" w:hAnsiTheme="majorHAnsi" w:cstheme="majorHAnsi"/>
                <w:sz w:val="22"/>
                <w:szCs w:val="22"/>
              </w:rPr>
            </w:pPr>
            <w:r w:rsidRPr="0053555E">
              <w:rPr>
                <w:rFonts w:cs="Calibri"/>
                <w:sz w:val="22"/>
                <w:szCs w:val="20"/>
              </w:rPr>
              <w:t>2</w:t>
            </w:r>
          </w:p>
        </w:tc>
        <w:tc>
          <w:tcPr>
            <w:tcW w:w="1021" w:type="dxa"/>
            <w:tcBorders>
              <w:top w:val="nil"/>
              <w:left w:val="nil"/>
              <w:bottom w:val="single" w:sz="4" w:space="0" w:color="auto"/>
              <w:right w:val="single" w:sz="4" w:space="0" w:color="auto"/>
            </w:tcBorders>
            <w:shd w:val="clear" w:color="000000" w:fill="FFFFFF"/>
            <w:vAlign w:val="center"/>
          </w:tcPr>
          <w:p w14:paraId="4C13C429" w14:textId="68E54905" w:rsidR="00830BE7" w:rsidRPr="0053555E" w:rsidRDefault="00830BE7" w:rsidP="00830BE7">
            <w:pPr>
              <w:jc w:val="center"/>
              <w:rPr>
                <w:rFonts w:asciiTheme="majorHAnsi" w:hAnsiTheme="majorHAnsi" w:cstheme="majorHAnsi"/>
                <w:sz w:val="22"/>
                <w:szCs w:val="22"/>
              </w:rPr>
            </w:pPr>
          </w:p>
        </w:tc>
        <w:tc>
          <w:tcPr>
            <w:tcW w:w="1021" w:type="dxa"/>
            <w:tcBorders>
              <w:top w:val="nil"/>
              <w:left w:val="nil"/>
              <w:bottom w:val="single" w:sz="4" w:space="0" w:color="auto"/>
              <w:right w:val="single" w:sz="4" w:space="0" w:color="auto"/>
            </w:tcBorders>
            <w:shd w:val="clear" w:color="000000" w:fill="FFFFFF"/>
            <w:vAlign w:val="center"/>
          </w:tcPr>
          <w:p w14:paraId="2D594791" w14:textId="35D5DF53" w:rsidR="00830BE7" w:rsidRPr="0053555E" w:rsidRDefault="00830BE7" w:rsidP="00830BE7">
            <w:pPr>
              <w:jc w:val="center"/>
              <w:rPr>
                <w:rFonts w:asciiTheme="majorHAnsi" w:hAnsiTheme="majorHAnsi" w:cstheme="majorHAnsi"/>
                <w:sz w:val="22"/>
                <w:szCs w:val="22"/>
              </w:rPr>
            </w:pPr>
          </w:p>
        </w:tc>
      </w:tr>
      <w:tr w:rsidR="00830BE7" w:rsidRPr="0053555E" w14:paraId="204B2ABA" w14:textId="77777777" w:rsidTr="00830BE7">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120D2C17" w14:textId="77777777" w:rsidR="00830BE7" w:rsidRPr="0053555E" w:rsidRDefault="00830BE7" w:rsidP="00830BE7">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FAD</w:t>
            </w:r>
          </w:p>
        </w:tc>
        <w:tc>
          <w:tcPr>
            <w:tcW w:w="1063" w:type="dxa"/>
            <w:tcBorders>
              <w:top w:val="nil"/>
              <w:left w:val="nil"/>
              <w:bottom w:val="single" w:sz="4" w:space="0" w:color="auto"/>
              <w:right w:val="single" w:sz="4" w:space="0" w:color="auto"/>
            </w:tcBorders>
            <w:shd w:val="clear" w:color="auto" w:fill="auto"/>
            <w:noWrap/>
            <w:vAlign w:val="center"/>
            <w:hideMark/>
          </w:tcPr>
          <w:p w14:paraId="1E6131A5" w14:textId="0E560265" w:rsidR="00830BE7" w:rsidRPr="0053555E" w:rsidRDefault="00830BE7" w:rsidP="00830BE7">
            <w:pPr>
              <w:jc w:val="center"/>
              <w:rPr>
                <w:rFonts w:asciiTheme="majorHAnsi" w:hAnsiTheme="majorHAnsi" w:cstheme="majorHAnsi"/>
                <w:sz w:val="22"/>
                <w:szCs w:val="22"/>
              </w:rPr>
            </w:pPr>
            <w:r w:rsidRPr="0053555E">
              <w:rPr>
                <w:rFonts w:cs="Calibri"/>
                <w:sz w:val="22"/>
                <w:szCs w:val="20"/>
              </w:rPr>
              <w:t>15</w:t>
            </w:r>
          </w:p>
        </w:tc>
        <w:tc>
          <w:tcPr>
            <w:tcW w:w="850" w:type="dxa"/>
            <w:tcBorders>
              <w:top w:val="nil"/>
              <w:left w:val="nil"/>
              <w:bottom w:val="single" w:sz="4" w:space="0" w:color="auto"/>
              <w:right w:val="single" w:sz="4" w:space="0" w:color="auto"/>
            </w:tcBorders>
            <w:shd w:val="clear" w:color="auto" w:fill="auto"/>
            <w:noWrap/>
            <w:vAlign w:val="center"/>
          </w:tcPr>
          <w:p w14:paraId="11BA3EC4" w14:textId="478407F3" w:rsidR="00830BE7" w:rsidRPr="0053555E" w:rsidRDefault="00830BE7" w:rsidP="00830BE7">
            <w:pPr>
              <w:jc w:val="center"/>
              <w:rPr>
                <w:rFonts w:asciiTheme="majorHAnsi" w:hAnsiTheme="majorHAnsi" w:cstheme="majorHAnsi"/>
                <w:sz w:val="22"/>
                <w:szCs w:val="22"/>
              </w:rPr>
            </w:pPr>
          </w:p>
        </w:tc>
        <w:tc>
          <w:tcPr>
            <w:tcW w:w="993" w:type="dxa"/>
            <w:tcBorders>
              <w:top w:val="nil"/>
              <w:left w:val="nil"/>
              <w:bottom w:val="single" w:sz="4" w:space="0" w:color="auto"/>
              <w:right w:val="single" w:sz="4" w:space="0" w:color="auto"/>
            </w:tcBorders>
            <w:shd w:val="clear" w:color="auto" w:fill="EEECE1" w:themeFill="background2"/>
            <w:vAlign w:val="center"/>
            <w:hideMark/>
          </w:tcPr>
          <w:p w14:paraId="3106A50B" w14:textId="5D3F9F89"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15</w:t>
            </w:r>
          </w:p>
        </w:tc>
        <w:tc>
          <w:tcPr>
            <w:tcW w:w="1020" w:type="dxa"/>
            <w:tcBorders>
              <w:top w:val="nil"/>
              <w:left w:val="nil"/>
              <w:bottom w:val="single" w:sz="4" w:space="0" w:color="auto"/>
              <w:right w:val="single" w:sz="4" w:space="0" w:color="auto"/>
            </w:tcBorders>
            <w:shd w:val="clear" w:color="000000" w:fill="FFFFFF"/>
            <w:vAlign w:val="center"/>
            <w:hideMark/>
          </w:tcPr>
          <w:p w14:paraId="66F6678B" w14:textId="185ECCD4" w:rsidR="00830BE7" w:rsidRPr="0053555E" w:rsidRDefault="00830BE7" w:rsidP="00830BE7">
            <w:pPr>
              <w:jc w:val="center"/>
              <w:rPr>
                <w:rFonts w:asciiTheme="majorHAnsi" w:hAnsiTheme="majorHAnsi" w:cstheme="majorHAnsi"/>
                <w:sz w:val="22"/>
                <w:szCs w:val="22"/>
              </w:rPr>
            </w:pPr>
          </w:p>
        </w:tc>
        <w:tc>
          <w:tcPr>
            <w:tcW w:w="1021" w:type="dxa"/>
            <w:tcBorders>
              <w:top w:val="nil"/>
              <w:left w:val="nil"/>
              <w:bottom w:val="single" w:sz="4" w:space="0" w:color="auto"/>
              <w:right w:val="single" w:sz="4" w:space="0" w:color="auto"/>
            </w:tcBorders>
            <w:shd w:val="clear" w:color="000000" w:fill="FFFFFF"/>
            <w:vAlign w:val="center"/>
          </w:tcPr>
          <w:p w14:paraId="15EF2374" w14:textId="5F36011F" w:rsidR="00830BE7" w:rsidRPr="0053555E" w:rsidRDefault="00830BE7" w:rsidP="00830BE7">
            <w:pPr>
              <w:jc w:val="center"/>
              <w:rPr>
                <w:rFonts w:asciiTheme="majorHAnsi" w:hAnsiTheme="majorHAnsi" w:cstheme="majorHAnsi"/>
                <w:sz w:val="22"/>
                <w:szCs w:val="22"/>
              </w:rPr>
            </w:pPr>
          </w:p>
        </w:tc>
        <w:tc>
          <w:tcPr>
            <w:tcW w:w="1020" w:type="dxa"/>
            <w:tcBorders>
              <w:top w:val="nil"/>
              <w:left w:val="nil"/>
              <w:bottom w:val="single" w:sz="4" w:space="0" w:color="auto"/>
              <w:right w:val="single" w:sz="4" w:space="0" w:color="auto"/>
            </w:tcBorders>
            <w:shd w:val="clear" w:color="000000" w:fill="FFFFFF"/>
            <w:vAlign w:val="center"/>
          </w:tcPr>
          <w:p w14:paraId="122FD875" w14:textId="017ACDCE" w:rsidR="00830BE7" w:rsidRPr="0053555E" w:rsidRDefault="00830BE7" w:rsidP="00830BE7">
            <w:pPr>
              <w:jc w:val="center"/>
              <w:rPr>
                <w:rFonts w:asciiTheme="majorHAnsi" w:hAnsiTheme="majorHAnsi" w:cstheme="majorHAnsi"/>
                <w:sz w:val="22"/>
                <w:szCs w:val="22"/>
              </w:rPr>
            </w:pPr>
          </w:p>
        </w:tc>
        <w:tc>
          <w:tcPr>
            <w:tcW w:w="1021" w:type="dxa"/>
            <w:tcBorders>
              <w:top w:val="nil"/>
              <w:left w:val="nil"/>
              <w:bottom w:val="single" w:sz="4" w:space="0" w:color="auto"/>
              <w:right w:val="single" w:sz="4" w:space="0" w:color="auto"/>
            </w:tcBorders>
            <w:shd w:val="clear" w:color="000000" w:fill="FFFFFF"/>
            <w:vAlign w:val="center"/>
          </w:tcPr>
          <w:p w14:paraId="508FC6A3" w14:textId="6A9F6F39" w:rsidR="00830BE7" w:rsidRPr="0053555E" w:rsidRDefault="00830BE7" w:rsidP="00830BE7">
            <w:pPr>
              <w:jc w:val="center"/>
              <w:rPr>
                <w:rFonts w:asciiTheme="majorHAnsi" w:hAnsiTheme="majorHAnsi" w:cstheme="majorHAnsi"/>
                <w:sz w:val="22"/>
                <w:szCs w:val="22"/>
              </w:rPr>
            </w:pPr>
          </w:p>
        </w:tc>
        <w:tc>
          <w:tcPr>
            <w:tcW w:w="1021" w:type="dxa"/>
            <w:tcBorders>
              <w:top w:val="nil"/>
              <w:left w:val="nil"/>
              <w:bottom w:val="single" w:sz="4" w:space="0" w:color="auto"/>
              <w:right w:val="single" w:sz="4" w:space="0" w:color="auto"/>
            </w:tcBorders>
            <w:shd w:val="clear" w:color="000000" w:fill="FFFFFF"/>
            <w:vAlign w:val="center"/>
          </w:tcPr>
          <w:p w14:paraId="36C435A7" w14:textId="07E4ABCC" w:rsidR="00830BE7" w:rsidRPr="0053555E" w:rsidRDefault="00830BE7" w:rsidP="00830BE7">
            <w:pPr>
              <w:jc w:val="center"/>
              <w:rPr>
                <w:rFonts w:asciiTheme="majorHAnsi" w:hAnsiTheme="majorHAnsi" w:cstheme="majorHAnsi"/>
                <w:sz w:val="22"/>
                <w:szCs w:val="22"/>
              </w:rPr>
            </w:pPr>
          </w:p>
        </w:tc>
      </w:tr>
      <w:tr w:rsidR="00830BE7" w:rsidRPr="0053555E" w14:paraId="41B0BE9C" w14:textId="77777777" w:rsidTr="00830BE7">
        <w:trPr>
          <w:trHeight w:val="300"/>
        </w:trPr>
        <w:tc>
          <w:tcPr>
            <w:tcW w:w="862" w:type="dxa"/>
            <w:tcBorders>
              <w:top w:val="nil"/>
              <w:left w:val="single" w:sz="4" w:space="0" w:color="auto"/>
              <w:bottom w:val="single" w:sz="4" w:space="0" w:color="auto"/>
              <w:right w:val="single" w:sz="4" w:space="0" w:color="auto"/>
            </w:tcBorders>
            <w:shd w:val="clear" w:color="000000" w:fill="FFFFFF"/>
            <w:vAlign w:val="center"/>
            <w:hideMark/>
          </w:tcPr>
          <w:p w14:paraId="7EB2D9FD" w14:textId="77777777" w:rsidR="00830BE7" w:rsidRPr="0053555E" w:rsidRDefault="00830BE7" w:rsidP="00830BE7">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MTF</w:t>
            </w:r>
          </w:p>
        </w:tc>
        <w:tc>
          <w:tcPr>
            <w:tcW w:w="1063" w:type="dxa"/>
            <w:tcBorders>
              <w:top w:val="nil"/>
              <w:left w:val="nil"/>
              <w:bottom w:val="single" w:sz="4" w:space="0" w:color="auto"/>
              <w:right w:val="single" w:sz="4" w:space="0" w:color="auto"/>
            </w:tcBorders>
            <w:shd w:val="clear" w:color="auto" w:fill="auto"/>
            <w:noWrap/>
            <w:vAlign w:val="center"/>
            <w:hideMark/>
          </w:tcPr>
          <w:p w14:paraId="2E61B67F" w14:textId="7E36B719" w:rsidR="00830BE7" w:rsidRPr="0053555E" w:rsidRDefault="00830BE7" w:rsidP="00830BE7">
            <w:pPr>
              <w:jc w:val="center"/>
              <w:rPr>
                <w:rFonts w:asciiTheme="majorHAnsi" w:hAnsiTheme="majorHAnsi" w:cstheme="majorHAnsi"/>
                <w:sz w:val="22"/>
                <w:szCs w:val="22"/>
              </w:rPr>
            </w:pPr>
            <w:r w:rsidRPr="0053555E">
              <w:rPr>
                <w:rFonts w:cs="Calibri"/>
                <w:sz w:val="22"/>
                <w:szCs w:val="20"/>
              </w:rPr>
              <w:t>30</w:t>
            </w:r>
          </w:p>
        </w:tc>
        <w:tc>
          <w:tcPr>
            <w:tcW w:w="850" w:type="dxa"/>
            <w:tcBorders>
              <w:top w:val="nil"/>
              <w:left w:val="nil"/>
              <w:bottom w:val="single" w:sz="4" w:space="0" w:color="auto"/>
              <w:right w:val="single" w:sz="4" w:space="0" w:color="auto"/>
            </w:tcBorders>
            <w:shd w:val="clear" w:color="auto" w:fill="auto"/>
            <w:noWrap/>
            <w:vAlign w:val="center"/>
          </w:tcPr>
          <w:p w14:paraId="75A2FC14" w14:textId="2F31BF15" w:rsidR="00830BE7" w:rsidRPr="0053555E" w:rsidRDefault="00830BE7" w:rsidP="00830BE7">
            <w:pPr>
              <w:jc w:val="center"/>
              <w:rPr>
                <w:rFonts w:asciiTheme="majorHAnsi" w:hAnsiTheme="majorHAnsi" w:cstheme="majorHAnsi"/>
                <w:sz w:val="22"/>
                <w:szCs w:val="22"/>
              </w:rPr>
            </w:pPr>
          </w:p>
        </w:tc>
        <w:tc>
          <w:tcPr>
            <w:tcW w:w="993" w:type="dxa"/>
            <w:tcBorders>
              <w:top w:val="nil"/>
              <w:left w:val="nil"/>
              <w:bottom w:val="single" w:sz="4" w:space="0" w:color="auto"/>
              <w:right w:val="single" w:sz="4" w:space="0" w:color="auto"/>
            </w:tcBorders>
            <w:shd w:val="clear" w:color="auto" w:fill="EEECE1" w:themeFill="background2"/>
            <w:vAlign w:val="center"/>
            <w:hideMark/>
          </w:tcPr>
          <w:p w14:paraId="08AD7239" w14:textId="0D84032B"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30</w:t>
            </w:r>
          </w:p>
        </w:tc>
        <w:tc>
          <w:tcPr>
            <w:tcW w:w="1020" w:type="dxa"/>
            <w:tcBorders>
              <w:top w:val="nil"/>
              <w:left w:val="nil"/>
              <w:bottom w:val="single" w:sz="4" w:space="0" w:color="auto"/>
              <w:right w:val="single" w:sz="4" w:space="0" w:color="auto"/>
            </w:tcBorders>
            <w:shd w:val="clear" w:color="auto" w:fill="auto"/>
            <w:vAlign w:val="center"/>
            <w:hideMark/>
          </w:tcPr>
          <w:p w14:paraId="01039801" w14:textId="1A90E38A" w:rsidR="00830BE7" w:rsidRPr="0053555E" w:rsidRDefault="00830BE7" w:rsidP="00830BE7">
            <w:pPr>
              <w:jc w:val="center"/>
              <w:rPr>
                <w:rFonts w:asciiTheme="majorHAnsi" w:hAnsiTheme="majorHAnsi" w:cstheme="majorHAnsi"/>
                <w:sz w:val="22"/>
                <w:szCs w:val="22"/>
              </w:rPr>
            </w:pPr>
            <w:r w:rsidRPr="0053555E">
              <w:rPr>
                <w:rFonts w:cs="Calibri"/>
                <w:sz w:val="22"/>
                <w:szCs w:val="20"/>
              </w:rPr>
              <w:t>3</w:t>
            </w:r>
          </w:p>
        </w:tc>
        <w:tc>
          <w:tcPr>
            <w:tcW w:w="1021" w:type="dxa"/>
            <w:tcBorders>
              <w:top w:val="nil"/>
              <w:left w:val="nil"/>
              <w:bottom w:val="single" w:sz="4" w:space="0" w:color="auto"/>
              <w:right w:val="single" w:sz="4" w:space="0" w:color="auto"/>
            </w:tcBorders>
            <w:shd w:val="clear" w:color="auto" w:fill="auto"/>
            <w:vAlign w:val="center"/>
            <w:hideMark/>
          </w:tcPr>
          <w:p w14:paraId="01EB00AF" w14:textId="1B4007A1" w:rsidR="00830BE7" w:rsidRPr="0053555E" w:rsidRDefault="00830BE7" w:rsidP="00830BE7">
            <w:pPr>
              <w:jc w:val="center"/>
              <w:rPr>
                <w:rFonts w:asciiTheme="majorHAnsi" w:hAnsiTheme="majorHAnsi" w:cstheme="majorHAnsi"/>
                <w:sz w:val="22"/>
                <w:szCs w:val="22"/>
              </w:rPr>
            </w:pPr>
            <w:r w:rsidRPr="0053555E">
              <w:rPr>
                <w:rFonts w:cs="Calibri"/>
                <w:sz w:val="22"/>
                <w:szCs w:val="20"/>
              </w:rPr>
              <w:t>2</w:t>
            </w:r>
          </w:p>
        </w:tc>
        <w:tc>
          <w:tcPr>
            <w:tcW w:w="1020" w:type="dxa"/>
            <w:tcBorders>
              <w:top w:val="nil"/>
              <w:left w:val="nil"/>
              <w:bottom w:val="single" w:sz="4" w:space="0" w:color="auto"/>
              <w:right w:val="single" w:sz="4" w:space="0" w:color="auto"/>
            </w:tcBorders>
            <w:shd w:val="clear" w:color="auto" w:fill="auto"/>
            <w:vAlign w:val="center"/>
          </w:tcPr>
          <w:p w14:paraId="2F85F465" w14:textId="14F5C583" w:rsidR="00830BE7" w:rsidRPr="0053555E" w:rsidRDefault="00830BE7" w:rsidP="00830BE7">
            <w:pPr>
              <w:jc w:val="center"/>
              <w:rPr>
                <w:rFonts w:asciiTheme="majorHAnsi" w:hAnsiTheme="majorHAnsi" w:cstheme="majorHAnsi"/>
                <w:sz w:val="22"/>
                <w:szCs w:val="22"/>
              </w:rPr>
            </w:pPr>
          </w:p>
        </w:tc>
        <w:tc>
          <w:tcPr>
            <w:tcW w:w="1021" w:type="dxa"/>
            <w:tcBorders>
              <w:top w:val="nil"/>
              <w:left w:val="nil"/>
              <w:bottom w:val="single" w:sz="4" w:space="0" w:color="auto"/>
              <w:right w:val="single" w:sz="4" w:space="0" w:color="auto"/>
            </w:tcBorders>
            <w:shd w:val="clear" w:color="auto" w:fill="auto"/>
            <w:vAlign w:val="center"/>
          </w:tcPr>
          <w:p w14:paraId="40FD9C38" w14:textId="355B91D1" w:rsidR="00830BE7" w:rsidRPr="0053555E" w:rsidRDefault="00830BE7" w:rsidP="00830BE7">
            <w:pPr>
              <w:jc w:val="center"/>
              <w:rPr>
                <w:rFonts w:asciiTheme="majorHAnsi" w:hAnsiTheme="majorHAnsi" w:cstheme="majorHAnsi"/>
                <w:sz w:val="22"/>
                <w:szCs w:val="22"/>
              </w:rPr>
            </w:pPr>
          </w:p>
        </w:tc>
        <w:tc>
          <w:tcPr>
            <w:tcW w:w="1021" w:type="dxa"/>
            <w:tcBorders>
              <w:top w:val="nil"/>
              <w:left w:val="nil"/>
              <w:bottom w:val="single" w:sz="4" w:space="0" w:color="auto"/>
              <w:right w:val="single" w:sz="4" w:space="0" w:color="auto"/>
            </w:tcBorders>
            <w:shd w:val="clear" w:color="auto" w:fill="auto"/>
            <w:vAlign w:val="center"/>
            <w:hideMark/>
          </w:tcPr>
          <w:p w14:paraId="5C5EF383" w14:textId="712D4205"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r>
      <w:tr w:rsidR="00830BE7" w:rsidRPr="0053555E" w14:paraId="5AC6B8B7" w14:textId="77777777" w:rsidTr="00830BE7">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348D2E3B" w14:textId="77777777" w:rsidR="00830BE7" w:rsidRPr="0053555E" w:rsidRDefault="00830BE7" w:rsidP="00830BE7">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FIIT</w:t>
            </w:r>
          </w:p>
        </w:tc>
        <w:tc>
          <w:tcPr>
            <w:tcW w:w="1063" w:type="dxa"/>
            <w:tcBorders>
              <w:top w:val="nil"/>
              <w:left w:val="nil"/>
              <w:bottom w:val="single" w:sz="4" w:space="0" w:color="auto"/>
              <w:right w:val="single" w:sz="4" w:space="0" w:color="auto"/>
            </w:tcBorders>
            <w:shd w:val="clear" w:color="auto" w:fill="auto"/>
            <w:noWrap/>
            <w:vAlign w:val="center"/>
            <w:hideMark/>
          </w:tcPr>
          <w:p w14:paraId="273352D2" w14:textId="7AE3C52F" w:rsidR="00830BE7" w:rsidRPr="0053555E" w:rsidRDefault="00830BE7" w:rsidP="00830BE7">
            <w:pPr>
              <w:jc w:val="center"/>
              <w:rPr>
                <w:rFonts w:asciiTheme="majorHAnsi" w:hAnsiTheme="majorHAnsi" w:cstheme="majorHAnsi"/>
                <w:sz w:val="22"/>
                <w:szCs w:val="22"/>
              </w:rPr>
            </w:pPr>
            <w:r w:rsidRPr="0053555E">
              <w:rPr>
                <w:rFonts w:cs="Calibri"/>
                <w:sz w:val="22"/>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14:paraId="76FCFD68" w14:textId="0BDD9AD1" w:rsidR="00830BE7" w:rsidRPr="0053555E" w:rsidRDefault="00830BE7" w:rsidP="00830BE7">
            <w:pPr>
              <w:jc w:val="center"/>
              <w:rPr>
                <w:rFonts w:asciiTheme="majorHAnsi" w:hAnsiTheme="majorHAnsi" w:cstheme="majorHAnsi"/>
                <w:sz w:val="22"/>
                <w:szCs w:val="22"/>
              </w:rPr>
            </w:pPr>
            <w:r w:rsidRPr="0053555E">
              <w:rPr>
                <w:rFonts w:cs="Calibri"/>
                <w:sz w:val="22"/>
                <w:szCs w:val="20"/>
              </w:rPr>
              <w:t>2</w:t>
            </w:r>
          </w:p>
        </w:tc>
        <w:tc>
          <w:tcPr>
            <w:tcW w:w="993" w:type="dxa"/>
            <w:tcBorders>
              <w:top w:val="nil"/>
              <w:left w:val="nil"/>
              <w:bottom w:val="single" w:sz="4" w:space="0" w:color="auto"/>
              <w:right w:val="single" w:sz="4" w:space="0" w:color="auto"/>
            </w:tcBorders>
            <w:shd w:val="clear" w:color="auto" w:fill="EEECE1" w:themeFill="background2"/>
            <w:vAlign w:val="center"/>
            <w:hideMark/>
          </w:tcPr>
          <w:p w14:paraId="629264AF" w14:textId="57E3756C"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7</w:t>
            </w:r>
          </w:p>
        </w:tc>
        <w:tc>
          <w:tcPr>
            <w:tcW w:w="1020" w:type="dxa"/>
            <w:tcBorders>
              <w:top w:val="nil"/>
              <w:left w:val="nil"/>
              <w:bottom w:val="single" w:sz="4" w:space="0" w:color="auto"/>
              <w:right w:val="single" w:sz="4" w:space="0" w:color="auto"/>
            </w:tcBorders>
            <w:shd w:val="clear" w:color="000000" w:fill="FFFFFF"/>
            <w:vAlign w:val="center"/>
            <w:hideMark/>
          </w:tcPr>
          <w:p w14:paraId="252D689D" w14:textId="7D29353C"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c>
          <w:tcPr>
            <w:tcW w:w="1021" w:type="dxa"/>
            <w:tcBorders>
              <w:top w:val="nil"/>
              <w:left w:val="nil"/>
              <w:bottom w:val="single" w:sz="4" w:space="0" w:color="auto"/>
              <w:right w:val="single" w:sz="4" w:space="0" w:color="auto"/>
            </w:tcBorders>
            <w:shd w:val="clear" w:color="000000" w:fill="FFFFFF"/>
            <w:vAlign w:val="center"/>
            <w:hideMark/>
          </w:tcPr>
          <w:p w14:paraId="5A131D1C" w14:textId="734AC888"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c>
          <w:tcPr>
            <w:tcW w:w="1020" w:type="dxa"/>
            <w:tcBorders>
              <w:top w:val="nil"/>
              <w:left w:val="nil"/>
              <w:bottom w:val="single" w:sz="4" w:space="0" w:color="auto"/>
              <w:right w:val="single" w:sz="4" w:space="0" w:color="auto"/>
            </w:tcBorders>
            <w:shd w:val="clear" w:color="000000" w:fill="FFFFFF"/>
            <w:vAlign w:val="center"/>
            <w:hideMark/>
          </w:tcPr>
          <w:p w14:paraId="2A509F5A" w14:textId="5EE10DCB" w:rsidR="00830BE7" w:rsidRPr="0053555E" w:rsidRDefault="00830BE7" w:rsidP="00830BE7">
            <w:pPr>
              <w:jc w:val="center"/>
              <w:rPr>
                <w:rFonts w:asciiTheme="majorHAnsi" w:hAnsiTheme="majorHAnsi" w:cstheme="majorHAnsi"/>
                <w:sz w:val="22"/>
                <w:szCs w:val="22"/>
              </w:rPr>
            </w:pPr>
            <w:r w:rsidRPr="0053555E">
              <w:rPr>
                <w:rFonts w:cs="Calibri"/>
                <w:sz w:val="22"/>
                <w:szCs w:val="20"/>
              </w:rPr>
              <w:t>2</w:t>
            </w:r>
          </w:p>
        </w:tc>
        <w:tc>
          <w:tcPr>
            <w:tcW w:w="1021" w:type="dxa"/>
            <w:tcBorders>
              <w:top w:val="nil"/>
              <w:left w:val="nil"/>
              <w:bottom w:val="single" w:sz="4" w:space="0" w:color="auto"/>
              <w:right w:val="single" w:sz="4" w:space="0" w:color="auto"/>
            </w:tcBorders>
            <w:shd w:val="clear" w:color="000000" w:fill="FFFFFF"/>
            <w:vAlign w:val="center"/>
            <w:hideMark/>
          </w:tcPr>
          <w:p w14:paraId="71FE13E9" w14:textId="40179EA3"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c>
          <w:tcPr>
            <w:tcW w:w="1021" w:type="dxa"/>
            <w:tcBorders>
              <w:top w:val="nil"/>
              <w:left w:val="nil"/>
              <w:bottom w:val="single" w:sz="4" w:space="0" w:color="auto"/>
              <w:right w:val="single" w:sz="4" w:space="0" w:color="auto"/>
            </w:tcBorders>
            <w:shd w:val="clear" w:color="000000" w:fill="FFFFFF"/>
            <w:vAlign w:val="center"/>
          </w:tcPr>
          <w:p w14:paraId="3B4ED824" w14:textId="33A6EA1D" w:rsidR="00830BE7" w:rsidRPr="0053555E" w:rsidRDefault="00830BE7" w:rsidP="00830BE7">
            <w:pPr>
              <w:jc w:val="center"/>
              <w:rPr>
                <w:rFonts w:asciiTheme="majorHAnsi" w:hAnsiTheme="majorHAnsi" w:cstheme="majorHAnsi"/>
                <w:sz w:val="22"/>
                <w:szCs w:val="22"/>
              </w:rPr>
            </w:pPr>
          </w:p>
        </w:tc>
      </w:tr>
      <w:tr w:rsidR="00830BE7" w:rsidRPr="0053555E" w14:paraId="4583FD47" w14:textId="77777777" w:rsidTr="00830BE7">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14A923F1" w14:textId="77777777" w:rsidR="00830BE7" w:rsidRPr="0053555E" w:rsidRDefault="00830BE7" w:rsidP="00830BE7">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ÚM</w:t>
            </w:r>
          </w:p>
        </w:tc>
        <w:tc>
          <w:tcPr>
            <w:tcW w:w="1063" w:type="dxa"/>
            <w:tcBorders>
              <w:top w:val="nil"/>
              <w:left w:val="nil"/>
              <w:bottom w:val="single" w:sz="4" w:space="0" w:color="auto"/>
              <w:right w:val="single" w:sz="4" w:space="0" w:color="auto"/>
            </w:tcBorders>
            <w:shd w:val="clear" w:color="auto" w:fill="auto"/>
            <w:noWrap/>
            <w:vAlign w:val="center"/>
            <w:hideMark/>
          </w:tcPr>
          <w:p w14:paraId="37D497C3" w14:textId="44A194F2" w:rsidR="00830BE7" w:rsidRPr="0053555E" w:rsidRDefault="00830BE7" w:rsidP="00830BE7">
            <w:pPr>
              <w:jc w:val="center"/>
              <w:rPr>
                <w:rFonts w:asciiTheme="majorHAnsi" w:hAnsiTheme="majorHAnsi" w:cstheme="majorHAnsi"/>
                <w:sz w:val="22"/>
                <w:szCs w:val="22"/>
              </w:rPr>
            </w:pPr>
            <w:r w:rsidRPr="0053555E">
              <w:rPr>
                <w:rFonts w:cs="Calibri"/>
                <w:sz w:val="22"/>
                <w:szCs w:val="20"/>
              </w:rPr>
              <w:t>11</w:t>
            </w:r>
          </w:p>
        </w:tc>
        <w:tc>
          <w:tcPr>
            <w:tcW w:w="850" w:type="dxa"/>
            <w:tcBorders>
              <w:top w:val="nil"/>
              <w:left w:val="nil"/>
              <w:bottom w:val="single" w:sz="4" w:space="0" w:color="auto"/>
              <w:right w:val="single" w:sz="4" w:space="0" w:color="auto"/>
            </w:tcBorders>
            <w:shd w:val="clear" w:color="auto" w:fill="auto"/>
            <w:noWrap/>
            <w:vAlign w:val="center"/>
            <w:hideMark/>
          </w:tcPr>
          <w:p w14:paraId="71CEEB0E" w14:textId="227C5F40" w:rsidR="00830BE7" w:rsidRPr="0053555E" w:rsidRDefault="00830BE7" w:rsidP="00830BE7">
            <w:pPr>
              <w:jc w:val="center"/>
              <w:rPr>
                <w:rFonts w:asciiTheme="majorHAnsi" w:hAnsiTheme="majorHAnsi" w:cstheme="majorHAnsi"/>
                <w:sz w:val="22"/>
                <w:szCs w:val="22"/>
              </w:rPr>
            </w:pPr>
          </w:p>
        </w:tc>
        <w:tc>
          <w:tcPr>
            <w:tcW w:w="993" w:type="dxa"/>
            <w:tcBorders>
              <w:top w:val="nil"/>
              <w:left w:val="nil"/>
              <w:bottom w:val="single" w:sz="4" w:space="0" w:color="auto"/>
              <w:right w:val="single" w:sz="4" w:space="0" w:color="auto"/>
            </w:tcBorders>
            <w:shd w:val="clear" w:color="auto" w:fill="EEECE1" w:themeFill="background2"/>
            <w:vAlign w:val="center"/>
            <w:hideMark/>
          </w:tcPr>
          <w:p w14:paraId="2A1C6269" w14:textId="6ADCFCA0"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11</w:t>
            </w:r>
          </w:p>
        </w:tc>
        <w:tc>
          <w:tcPr>
            <w:tcW w:w="1020" w:type="dxa"/>
            <w:tcBorders>
              <w:top w:val="nil"/>
              <w:left w:val="nil"/>
              <w:bottom w:val="single" w:sz="4" w:space="0" w:color="auto"/>
              <w:right w:val="single" w:sz="4" w:space="0" w:color="auto"/>
            </w:tcBorders>
            <w:shd w:val="clear" w:color="auto" w:fill="auto"/>
            <w:vAlign w:val="center"/>
            <w:hideMark/>
          </w:tcPr>
          <w:p w14:paraId="1DF82665" w14:textId="04FBA43C" w:rsidR="00830BE7" w:rsidRPr="0053555E" w:rsidRDefault="00830BE7" w:rsidP="00830BE7">
            <w:pPr>
              <w:jc w:val="center"/>
              <w:rPr>
                <w:rFonts w:asciiTheme="majorHAnsi" w:hAnsiTheme="majorHAnsi" w:cstheme="majorHAnsi"/>
                <w:sz w:val="22"/>
                <w:szCs w:val="22"/>
              </w:rPr>
            </w:pPr>
            <w:r w:rsidRPr="0053555E">
              <w:rPr>
                <w:rFonts w:cs="Calibri"/>
                <w:sz w:val="22"/>
                <w:szCs w:val="20"/>
              </w:rPr>
              <w:t>1</w:t>
            </w:r>
          </w:p>
        </w:tc>
        <w:tc>
          <w:tcPr>
            <w:tcW w:w="1021" w:type="dxa"/>
            <w:tcBorders>
              <w:top w:val="nil"/>
              <w:left w:val="nil"/>
              <w:bottom w:val="single" w:sz="4" w:space="0" w:color="auto"/>
              <w:right w:val="single" w:sz="4" w:space="0" w:color="auto"/>
            </w:tcBorders>
            <w:shd w:val="clear" w:color="auto" w:fill="auto"/>
            <w:vAlign w:val="center"/>
            <w:hideMark/>
          </w:tcPr>
          <w:p w14:paraId="53E5B8C6" w14:textId="36960F3C" w:rsidR="00830BE7" w:rsidRPr="0053555E" w:rsidRDefault="00830BE7" w:rsidP="00830BE7">
            <w:pPr>
              <w:jc w:val="center"/>
              <w:rPr>
                <w:rFonts w:asciiTheme="majorHAnsi" w:hAnsiTheme="majorHAnsi" w:cstheme="majorHAnsi"/>
                <w:sz w:val="22"/>
                <w:szCs w:val="22"/>
              </w:rPr>
            </w:pPr>
            <w:r w:rsidRPr="0053555E">
              <w:rPr>
                <w:rFonts w:cs="Calibri"/>
                <w:sz w:val="22"/>
                <w:szCs w:val="20"/>
              </w:rPr>
              <w:t>2</w:t>
            </w:r>
          </w:p>
        </w:tc>
        <w:tc>
          <w:tcPr>
            <w:tcW w:w="1020" w:type="dxa"/>
            <w:tcBorders>
              <w:top w:val="nil"/>
              <w:left w:val="nil"/>
              <w:bottom w:val="single" w:sz="4" w:space="0" w:color="auto"/>
              <w:right w:val="single" w:sz="4" w:space="0" w:color="auto"/>
            </w:tcBorders>
            <w:shd w:val="clear" w:color="auto" w:fill="auto"/>
            <w:vAlign w:val="center"/>
          </w:tcPr>
          <w:p w14:paraId="2EEE53BB" w14:textId="5A48ECE1" w:rsidR="00830BE7" w:rsidRPr="0053555E" w:rsidRDefault="00830BE7" w:rsidP="00830BE7">
            <w:pPr>
              <w:jc w:val="center"/>
              <w:rPr>
                <w:rFonts w:asciiTheme="majorHAnsi" w:hAnsiTheme="majorHAnsi" w:cstheme="majorHAnsi"/>
                <w:sz w:val="22"/>
                <w:szCs w:val="22"/>
              </w:rPr>
            </w:pPr>
          </w:p>
        </w:tc>
        <w:tc>
          <w:tcPr>
            <w:tcW w:w="1021" w:type="dxa"/>
            <w:tcBorders>
              <w:top w:val="nil"/>
              <w:left w:val="nil"/>
              <w:bottom w:val="single" w:sz="4" w:space="0" w:color="auto"/>
              <w:right w:val="single" w:sz="4" w:space="0" w:color="auto"/>
            </w:tcBorders>
            <w:shd w:val="clear" w:color="auto" w:fill="auto"/>
            <w:vAlign w:val="center"/>
          </w:tcPr>
          <w:p w14:paraId="080EF192" w14:textId="5A431351" w:rsidR="00830BE7" w:rsidRPr="0053555E" w:rsidRDefault="00830BE7" w:rsidP="00830BE7">
            <w:pPr>
              <w:jc w:val="center"/>
              <w:rPr>
                <w:rFonts w:asciiTheme="majorHAnsi" w:hAnsiTheme="majorHAnsi" w:cstheme="majorHAnsi"/>
                <w:sz w:val="22"/>
                <w:szCs w:val="22"/>
              </w:rPr>
            </w:pPr>
          </w:p>
        </w:tc>
        <w:tc>
          <w:tcPr>
            <w:tcW w:w="1021" w:type="dxa"/>
            <w:tcBorders>
              <w:top w:val="nil"/>
              <w:left w:val="nil"/>
              <w:bottom w:val="single" w:sz="4" w:space="0" w:color="auto"/>
              <w:right w:val="single" w:sz="4" w:space="0" w:color="auto"/>
            </w:tcBorders>
            <w:shd w:val="clear" w:color="auto" w:fill="auto"/>
            <w:vAlign w:val="center"/>
          </w:tcPr>
          <w:p w14:paraId="40563033" w14:textId="257024DE" w:rsidR="00830BE7" w:rsidRPr="0053555E" w:rsidRDefault="00830BE7" w:rsidP="00830BE7">
            <w:pPr>
              <w:jc w:val="center"/>
              <w:rPr>
                <w:rFonts w:asciiTheme="majorHAnsi" w:hAnsiTheme="majorHAnsi" w:cstheme="majorHAnsi"/>
                <w:sz w:val="22"/>
                <w:szCs w:val="22"/>
              </w:rPr>
            </w:pPr>
          </w:p>
        </w:tc>
      </w:tr>
      <w:tr w:rsidR="00830BE7" w:rsidRPr="0053555E" w14:paraId="4DBD799D" w14:textId="77777777" w:rsidTr="00AD2379">
        <w:trPr>
          <w:trHeight w:val="300"/>
        </w:trPr>
        <w:tc>
          <w:tcPr>
            <w:tcW w:w="862" w:type="dxa"/>
            <w:tcBorders>
              <w:top w:val="nil"/>
              <w:left w:val="single" w:sz="4" w:space="0" w:color="auto"/>
              <w:bottom w:val="single" w:sz="4" w:space="0" w:color="auto"/>
              <w:right w:val="single" w:sz="4" w:space="0" w:color="auto"/>
            </w:tcBorders>
            <w:shd w:val="clear" w:color="auto" w:fill="EEECE1" w:themeFill="background2"/>
            <w:vAlign w:val="center"/>
            <w:hideMark/>
          </w:tcPr>
          <w:p w14:paraId="73986415" w14:textId="77777777" w:rsidR="00830BE7" w:rsidRPr="0053555E" w:rsidRDefault="00830BE7" w:rsidP="00830BE7">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STU</w:t>
            </w:r>
          </w:p>
        </w:tc>
        <w:tc>
          <w:tcPr>
            <w:tcW w:w="1063" w:type="dxa"/>
            <w:tcBorders>
              <w:top w:val="nil"/>
              <w:left w:val="nil"/>
              <w:bottom w:val="single" w:sz="4" w:space="0" w:color="auto"/>
              <w:right w:val="single" w:sz="4" w:space="0" w:color="auto"/>
            </w:tcBorders>
            <w:shd w:val="clear" w:color="auto" w:fill="EEECE1" w:themeFill="background2"/>
            <w:noWrap/>
            <w:vAlign w:val="center"/>
            <w:hideMark/>
          </w:tcPr>
          <w:p w14:paraId="38446AEC" w14:textId="55E7443B"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164</w:t>
            </w: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33C6ABCA" w14:textId="18F53E5A"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6</w:t>
            </w:r>
          </w:p>
        </w:tc>
        <w:tc>
          <w:tcPr>
            <w:tcW w:w="993" w:type="dxa"/>
            <w:tcBorders>
              <w:top w:val="nil"/>
              <w:left w:val="nil"/>
              <w:bottom w:val="single" w:sz="4" w:space="0" w:color="auto"/>
              <w:right w:val="single" w:sz="4" w:space="0" w:color="auto"/>
            </w:tcBorders>
            <w:shd w:val="clear" w:color="auto" w:fill="EEECE1" w:themeFill="background2"/>
            <w:vAlign w:val="center"/>
            <w:hideMark/>
          </w:tcPr>
          <w:p w14:paraId="67B925DE" w14:textId="3FC2AAE4"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170</w:t>
            </w:r>
          </w:p>
        </w:tc>
        <w:tc>
          <w:tcPr>
            <w:tcW w:w="1020" w:type="dxa"/>
            <w:tcBorders>
              <w:top w:val="nil"/>
              <w:left w:val="nil"/>
              <w:bottom w:val="single" w:sz="4" w:space="0" w:color="auto"/>
              <w:right w:val="single" w:sz="4" w:space="0" w:color="auto"/>
            </w:tcBorders>
            <w:shd w:val="clear" w:color="auto" w:fill="EEECE1" w:themeFill="background2"/>
            <w:vAlign w:val="center"/>
            <w:hideMark/>
          </w:tcPr>
          <w:p w14:paraId="44EEAC69" w14:textId="114C5565"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16</w:t>
            </w:r>
          </w:p>
        </w:tc>
        <w:tc>
          <w:tcPr>
            <w:tcW w:w="1021" w:type="dxa"/>
            <w:tcBorders>
              <w:top w:val="nil"/>
              <w:left w:val="nil"/>
              <w:bottom w:val="single" w:sz="4" w:space="0" w:color="auto"/>
              <w:right w:val="single" w:sz="4" w:space="0" w:color="auto"/>
            </w:tcBorders>
            <w:shd w:val="clear" w:color="auto" w:fill="EEECE1" w:themeFill="background2"/>
            <w:vAlign w:val="center"/>
            <w:hideMark/>
          </w:tcPr>
          <w:p w14:paraId="13590E2A" w14:textId="70396313"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10</w:t>
            </w:r>
          </w:p>
        </w:tc>
        <w:tc>
          <w:tcPr>
            <w:tcW w:w="1020" w:type="dxa"/>
            <w:tcBorders>
              <w:top w:val="nil"/>
              <w:left w:val="nil"/>
              <w:bottom w:val="single" w:sz="4" w:space="0" w:color="auto"/>
              <w:right w:val="single" w:sz="4" w:space="0" w:color="auto"/>
            </w:tcBorders>
            <w:shd w:val="clear" w:color="auto" w:fill="EEECE1" w:themeFill="background2"/>
            <w:vAlign w:val="center"/>
            <w:hideMark/>
          </w:tcPr>
          <w:p w14:paraId="5A8128D0" w14:textId="21F7CFF1"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8</w:t>
            </w:r>
          </w:p>
        </w:tc>
        <w:tc>
          <w:tcPr>
            <w:tcW w:w="1021" w:type="dxa"/>
            <w:tcBorders>
              <w:top w:val="nil"/>
              <w:left w:val="nil"/>
              <w:bottom w:val="single" w:sz="4" w:space="0" w:color="auto"/>
              <w:right w:val="single" w:sz="4" w:space="0" w:color="auto"/>
            </w:tcBorders>
            <w:shd w:val="clear" w:color="auto" w:fill="EEECE1" w:themeFill="background2"/>
            <w:vAlign w:val="center"/>
            <w:hideMark/>
          </w:tcPr>
          <w:p w14:paraId="28079F50" w14:textId="4B5F7046"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5</w:t>
            </w:r>
          </w:p>
        </w:tc>
        <w:tc>
          <w:tcPr>
            <w:tcW w:w="1021" w:type="dxa"/>
            <w:tcBorders>
              <w:top w:val="nil"/>
              <w:left w:val="nil"/>
              <w:bottom w:val="single" w:sz="4" w:space="0" w:color="auto"/>
              <w:right w:val="single" w:sz="4" w:space="0" w:color="auto"/>
            </w:tcBorders>
            <w:shd w:val="clear" w:color="auto" w:fill="EEECE1" w:themeFill="background2"/>
            <w:vAlign w:val="center"/>
            <w:hideMark/>
          </w:tcPr>
          <w:p w14:paraId="47777B2E" w14:textId="1F457AC8" w:rsidR="00830BE7" w:rsidRPr="0053555E" w:rsidRDefault="00830BE7" w:rsidP="00830BE7">
            <w:pPr>
              <w:jc w:val="center"/>
              <w:rPr>
                <w:rFonts w:asciiTheme="majorHAnsi" w:hAnsiTheme="majorHAnsi" w:cstheme="majorHAnsi"/>
                <w:b/>
                <w:bCs/>
                <w:sz w:val="22"/>
                <w:szCs w:val="22"/>
              </w:rPr>
            </w:pPr>
            <w:r w:rsidRPr="0053555E">
              <w:rPr>
                <w:rFonts w:cs="Calibri"/>
                <w:b/>
                <w:bCs/>
                <w:sz w:val="22"/>
                <w:szCs w:val="20"/>
              </w:rPr>
              <w:t>2</w:t>
            </w:r>
          </w:p>
        </w:tc>
      </w:tr>
    </w:tbl>
    <w:p w14:paraId="78EF5712" w14:textId="77777777" w:rsidR="0042210A" w:rsidRPr="0053555E" w:rsidRDefault="0042210A" w:rsidP="0042210A">
      <w:pPr>
        <w:tabs>
          <w:tab w:val="left" w:pos="3722"/>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 xml:space="preserve">Vysvetlivky: </w:t>
      </w:r>
    </w:p>
    <w:p w14:paraId="10EC41FB" w14:textId="1D524181" w:rsidR="0042210A" w:rsidRPr="0053555E" w:rsidRDefault="0042210A" w:rsidP="0042210A">
      <w:pPr>
        <w:tabs>
          <w:tab w:val="left" w:pos="3722"/>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w:t>
      </w:r>
      <w:r w:rsidRPr="0053555E">
        <w:rPr>
          <w:rFonts w:asciiTheme="majorHAnsi" w:eastAsia="Times New Roman" w:hAnsiTheme="majorHAnsi" w:cstheme="majorHAnsi"/>
          <w:sz w:val="20"/>
          <w:szCs w:val="20"/>
          <w:vertAlign w:val="subscript"/>
          <w:lang w:eastAsia="sk-SK"/>
        </w:rPr>
        <w:t>Z</w:t>
      </w:r>
      <w:r w:rsidRPr="0053555E">
        <w:rPr>
          <w:rFonts w:asciiTheme="majorHAnsi" w:eastAsia="Times New Roman" w:hAnsiTheme="majorHAnsi" w:cstheme="majorHAnsi"/>
          <w:sz w:val="20"/>
          <w:szCs w:val="20"/>
          <w:lang w:eastAsia="sk-SK"/>
        </w:rPr>
        <w:t xml:space="preserve"> -  celkový počet zapísaných študentov (na súčasti STU + na EVI) stav k 31. 10. 20</w:t>
      </w:r>
      <w:r w:rsidR="0078425B" w:rsidRPr="0053555E">
        <w:rPr>
          <w:rFonts w:asciiTheme="majorHAnsi" w:eastAsia="Times New Roman" w:hAnsiTheme="majorHAnsi" w:cstheme="majorHAnsi"/>
          <w:sz w:val="20"/>
          <w:szCs w:val="20"/>
          <w:lang w:eastAsia="sk-SK"/>
        </w:rPr>
        <w:t>2</w:t>
      </w:r>
      <w:r w:rsidR="006A13E5" w:rsidRPr="0053555E">
        <w:rPr>
          <w:rFonts w:asciiTheme="majorHAnsi" w:eastAsia="Times New Roman" w:hAnsiTheme="majorHAnsi" w:cstheme="majorHAnsi"/>
          <w:sz w:val="20"/>
          <w:szCs w:val="20"/>
          <w:lang w:eastAsia="sk-SK"/>
        </w:rPr>
        <w:t>1</w:t>
      </w:r>
    </w:p>
    <w:p w14:paraId="2A5BABF6" w14:textId="73659046" w:rsidR="00B41AC9" w:rsidRPr="0053555E" w:rsidRDefault="0042210A" w:rsidP="005B47DB">
      <w:pPr>
        <w:tabs>
          <w:tab w:val="left" w:pos="9356"/>
        </w:tabs>
        <w:spacing w:after="120"/>
        <w:jc w:val="both"/>
        <w:rPr>
          <w:rFonts w:asciiTheme="majorHAnsi" w:hAnsiTheme="majorHAnsi" w:cstheme="majorHAnsi"/>
          <w:sz w:val="20"/>
          <w:szCs w:val="20"/>
        </w:rPr>
      </w:pPr>
      <w:r w:rsidRPr="0053555E">
        <w:rPr>
          <w:rFonts w:asciiTheme="majorHAnsi" w:hAnsiTheme="majorHAnsi" w:cstheme="majorHAnsi"/>
          <w:sz w:val="20"/>
          <w:szCs w:val="20"/>
        </w:rPr>
        <w:t>Úbytok študentov na konci akademického roka k 31.</w:t>
      </w:r>
      <w:r w:rsidR="0078425B" w:rsidRPr="0053555E">
        <w:rPr>
          <w:rFonts w:asciiTheme="majorHAnsi" w:hAnsiTheme="majorHAnsi" w:cstheme="majorHAnsi"/>
          <w:sz w:val="20"/>
          <w:szCs w:val="20"/>
        </w:rPr>
        <w:t xml:space="preserve"> </w:t>
      </w:r>
      <w:r w:rsidRPr="0053555E">
        <w:rPr>
          <w:rFonts w:asciiTheme="majorHAnsi" w:hAnsiTheme="majorHAnsi" w:cstheme="majorHAnsi"/>
          <w:sz w:val="20"/>
          <w:szCs w:val="20"/>
        </w:rPr>
        <w:t>08.</w:t>
      </w:r>
      <w:r w:rsidR="0078425B" w:rsidRPr="0053555E">
        <w:rPr>
          <w:rFonts w:asciiTheme="majorHAnsi" w:hAnsiTheme="majorHAnsi" w:cstheme="majorHAnsi"/>
          <w:sz w:val="20"/>
          <w:szCs w:val="20"/>
        </w:rPr>
        <w:t xml:space="preserve"> </w:t>
      </w:r>
      <w:r w:rsidRPr="0053555E">
        <w:rPr>
          <w:rFonts w:asciiTheme="majorHAnsi" w:hAnsiTheme="majorHAnsi" w:cstheme="majorHAnsi"/>
          <w:sz w:val="20"/>
          <w:szCs w:val="20"/>
        </w:rPr>
        <w:t>202</w:t>
      </w:r>
      <w:r w:rsidR="006A13E5" w:rsidRPr="0053555E">
        <w:rPr>
          <w:rFonts w:asciiTheme="majorHAnsi" w:hAnsiTheme="majorHAnsi" w:cstheme="majorHAnsi"/>
          <w:sz w:val="20"/>
          <w:szCs w:val="20"/>
        </w:rPr>
        <w:t>2</w:t>
      </w:r>
    </w:p>
    <w:p w14:paraId="19E0D443" w14:textId="11DFED3A" w:rsidR="0042210A" w:rsidRPr="0053555E" w:rsidRDefault="0042210A" w:rsidP="0042210A">
      <w:pPr>
        <w:tabs>
          <w:tab w:val="left" w:pos="9356"/>
        </w:tabs>
        <w:spacing w:after="120"/>
        <w:jc w:val="both"/>
        <w:rPr>
          <w:rFonts w:asciiTheme="majorHAnsi" w:hAnsiTheme="majorHAnsi" w:cstheme="majorHAnsi"/>
        </w:rPr>
      </w:pPr>
      <w:r w:rsidRPr="0053555E">
        <w:rPr>
          <w:rFonts w:asciiTheme="majorHAnsi" w:hAnsiTheme="majorHAnsi" w:cstheme="majorHAnsi"/>
        </w:rPr>
        <w:lastRenderedPageBreak/>
        <w:t xml:space="preserve">Úbytky študentov tretieho stupňa štúdia v tabuľkách </w:t>
      </w:r>
      <w:r w:rsidRPr="0053555E">
        <w:rPr>
          <w:rFonts w:asciiTheme="majorHAnsi" w:hAnsiTheme="majorHAnsi" w:cstheme="majorHAnsi"/>
          <w:b/>
        </w:rPr>
        <w:t>nie sú uvedené v percentách, ale v </w:t>
      </w:r>
      <w:r w:rsidR="0072770E" w:rsidRPr="0072770E">
        <w:rPr>
          <w:rFonts w:asciiTheme="majorHAnsi" w:hAnsiTheme="majorHAnsi" w:cstheme="majorHAnsi"/>
          <w:b/>
        </w:rPr>
        <w:t>absolútnych číslach</w:t>
      </w:r>
      <w:r w:rsidR="0072770E">
        <w:rPr>
          <w:rFonts w:asciiTheme="majorHAnsi" w:hAnsiTheme="majorHAnsi" w:cstheme="majorHAnsi"/>
        </w:rPr>
        <w:t>. Z</w:t>
      </w:r>
      <w:r w:rsidRPr="0053555E">
        <w:rPr>
          <w:rFonts w:asciiTheme="majorHAnsi" w:hAnsiTheme="majorHAnsi" w:cstheme="majorHAnsi"/>
        </w:rPr>
        <w:t xml:space="preserve"> </w:t>
      </w:r>
      <w:r w:rsidRPr="003E74C6">
        <w:rPr>
          <w:rFonts w:asciiTheme="majorHAnsi" w:hAnsiTheme="majorHAnsi" w:cstheme="majorHAnsi"/>
        </w:rPr>
        <w:fldChar w:fldCharType="begin"/>
      </w:r>
      <w:r w:rsidRPr="003E74C6">
        <w:rPr>
          <w:rFonts w:asciiTheme="majorHAnsi" w:hAnsiTheme="majorHAnsi" w:cstheme="majorHAnsi"/>
        </w:rPr>
        <w:instrText xml:space="preserve"> REF _Ref31707710 \h  \* MERGEFORMAT </w:instrText>
      </w:r>
      <w:r w:rsidRPr="003E74C6">
        <w:rPr>
          <w:rFonts w:asciiTheme="majorHAnsi" w:hAnsiTheme="majorHAnsi" w:cstheme="majorHAnsi"/>
        </w:rPr>
      </w:r>
      <w:r w:rsidRPr="003E74C6">
        <w:rPr>
          <w:rFonts w:asciiTheme="majorHAnsi" w:hAnsiTheme="majorHAnsi" w:cstheme="majorHAnsi"/>
        </w:rPr>
        <w:fldChar w:fldCharType="separate"/>
      </w:r>
      <w:r w:rsidR="00EE1B59" w:rsidRPr="003E74C6">
        <w:rPr>
          <w:rFonts w:asciiTheme="majorHAnsi" w:eastAsia="Times New Roman" w:hAnsiTheme="majorHAnsi" w:cstheme="majorHAnsi"/>
          <w:lang w:eastAsia="sk-SK"/>
        </w:rPr>
        <w:t>Tab. č. 11</w:t>
      </w:r>
      <w:r w:rsidRPr="003E74C6">
        <w:rPr>
          <w:rFonts w:asciiTheme="majorHAnsi" w:hAnsiTheme="majorHAnsi" w:cstheme="majorHAnsi"/>
        </w:rPr>
        <w:fldChar w:fldCharType="end"/>
      </w:r>
      <w:r w:rsidRPr="003E74C6">
        <w:rPr>
          <w:rFonts w:asciiTheme="majorHAnsi" w:hAnsiTheme="majorHAnsi" w:cstheme="majorHAnsi"/>
        </w:rPr>
        <w:t xml:space="preserve"> a </w:t>
      </w:r>
      <w:r w:rsidRPr="003E74C6">
        <w:rPr>
          <w:rFonts w:asciiTheme="majorHAnsi" w:hAnsiTheme="majorHAnsi" w:cstheme="majorHAnsi"/>
        </w:rPr>
        <w:fldChar w:fldCharType="begin"/>
      </w:r>
      <w:r w:rsidRPr="003E74C6">
        <w:rPr>
          <w:rFonts w:asciiTheme="majorHAnsi" w:hAnsiTheme="majorHAnsi" w:cstheme="majorHAnsi"/>
        </w:rPr>
        <w:instrText xml:space="preserve"> REF _Ref474776914 \h  \* MERGEFORMAT </w:instrText>
      </w:r>
      <w:r w:rsidRPr="003E74C6">
        <w:rPr>
          <w:rFonts w:asciiTheme="majorHAnsi" w:hAnsiTheme="majorHAnsi" w:cstheme="majorHAnsi"/>
        </w:rPr>
      </w:r>
      <w:r w:rsidRPr="003E74C6">
        <w:rPr>
          <w:rFonts w:asciiTheme="majorHAnsi" w:hAnsiTheme="majorHAnsi" w:cstheme="majorHAnsi"/>
        </w:rPr>
        <w:fldChar w:fldCharType="separate"/>
      </w:r>
      <w:r w:rsidR="00EE1B59" w:rsidRPr="003E74C6">
        <w:rPr>
          <w:rFonts w:asciiTheme="majorHAnsi" w:hAnsiTheme="majorHAnsi" w:cstheme="majorHAnsi"/>
        </w:rPr>
        <w:t>Tab. č.12</w:t>
      </w:r>
      <w:r w:rsidRPr="003E74C6">
        <w:rPr>
          <w:rFonts w:asciiTheme="majorHAnsi" w:hAnsiTheme="majorHAnsi" w:cstheme="majorHAnsi"/>
        </w:rPr>
        <w:fldChar w:fldCharType="end"/>
      </w:r>
      <w:r w:rsidRPr="0053555E">
        <w:rPr>
          <w:rFonts w:asciiTheme="majorHAnsi" w:hAnsiTheme="majorHAnsi" w:cstheme="majorHAnsi"/>
        </w:rPr>
        <w:t xml:space="preserve"> </w:t>
      </w:r>
      <w:r w:rsidR="0072770E">
        <w:rPr>
          <w:rFonts w:asciiTheme="majorHAnsi" w:hAnsiTheme="majorHAnsi" w:cstheme="majorHAnsi"/>
        </w:rPr>
        <w:t xml:space="preserve">je </w:t>
      </w:r>
      <w:r w:rsidRPr="0053555E">
        <w:rPr>
          <w:rFonts w:asciiTheme="majorHAnsi" w:hAnsiTheme="majorHAnsi" w:cstheme="majorHAnsi"/>
        </w:rPr>
        <w:t xml:space="preserve">zrejmé, </w:t>
      </w:r>
      <w:r w:rsidR="0072770E">
        <w:rPr>
          <w:rFonts w:asciiTheme="majorHAnsi" w:hAnsiTheme="majorHAnsi" w:cstheme="majorHAnsi"/>
        </w:rPr>
        <w:t xml:space="preserve">že </w:t>
      </w:r>
      <w:r w:rsidRPr="0053555E">
        <w:rPr>
          <w:rFonts w:asciiTheme="majorHAnsi" w:hAnsiTheme="majorHAnsi" w:cstheme="majorHAnsi"/>
        </w:rPr>
        <w:t xml:space="preserve">celkový úbytok študentov v dennej forme štúdia je na prvý pohľad vyšší ako v externej forme štúdia, avšak celkový úbytok študentov v dennej forme štúdia predstavuje </w:t>
      </w:r>
      <w:r w:rsidR="00D02F8B" w:rsidRPr="0053555E">
        <w:rPr>
          <w:rFonts w:asciiTheme="majorHAnsi" w:hAnsiTheme="majorHAnsi" w:cstheme="majorHAnsi"/>
          <w:b/>
        </w:rPr>
        <w:t>1</w:t>
      </w:r>
      <w:r w:rsidR="00004D48">
        <w:rPr>
          <w:rFonts w:asciiTheme="majorHAnsi" w:hAnsiTheme="majorHAnsi" w:cstheme="majorHAnsi"/>
          <w:b/>
        </w:rPr>
        <w:t>3</w:t>
      </w:r>
      <w:r w:rsidRPr="0053555E">
        <w:rPr>
          <w:rFonts w:asciiTheme="majorHAnsi" w:hAnsiTheme="majorHAnsi" w:cstheme="majorHAnsi"/>
          <w:b/>
        </w:rPr>
        <w:t xml:space="preserve"> % zo všetkých zapísaných denných doktorandov</w:t>
      </w:r>
      <w:r w:rsidR="00D02F8B" w:rsidRPr="0053555E">
        <w:rPr>
          <w:rFonts w:asciiTheme="majorHAnsi" w:hAnsiTheme="majorHAnsi" w:cstheme="majorHAnsi"/>
        </w:rPr>
        <w:t xml:space="preserve"> a </w:t>
      </w:r>
      <w:r w:rsidRPr="0053555E">
        <w:rPr>
          <w:rFonts w:asciiTheme="majorHAnsi" w:hAnsiTheme="majorHAnsi" w:cstheme="majorHAnsi"/>
        </w:rPr>
        <w:t xml:space="preserve">v externej forme štúdia predstavuje </w:t>
      </w:r>
      <w:r w:rsidR="00D02F8B" w:rsidRPr="0053555E">
        <w:rPr>
          <w:rFonts w:asciiTheme="majorHAnsi" w:hAnsiTheme="majorHAnsi" w:cstheme="majorHAnsi"/>
          <w:b/>
        </w:rPr>
        <w:t>2</w:t>
      </w:r>
      <w:r w:rsidR="00004D48">
        <w:rPr>
          <w:rFonts w:asciiTheme="majorHAnsi" w:hAnsiTheme="majorHAnsi" w:cstheme="majorHAnsi"/>
          <w:b/>
        </w:rPr>
        <w:t>4</w:t>
      </w:r>
      <w:r w:rsidRPr="0053555E">
        <w:rPr>
          <w:rFonts w:asciiTheme="majorHAnsi" w:hAnsiTheme="majorHAnsi" w:cstheme="majorHAnsi"/>
          <w:b/>
        </w:rPr>
        <w:t xml:space="preserve"> % zo všetkých zapísaných externých doktorandov</w:t>
      </w:r>
      <w:r w:rsidR="00174DE1">
        <w:rPr>
          <w:rFonts w:asciiTheme="majorHAnsi" w:hAnsiTheme="majorHAnsi" w:cstheme="majorHAnsi"/>
          <w:b/>
        </w:rPr>
        <w:t xml:space="preserve">, </w:t>
      </w:r>
      <w:r w:rsidR="00174DE1" w:rsidRPr="00800233">
        <w:rPr>
          <w:rFonts w:asciiTheme="majorHAnsi" w:hAnsiTheme="majorHAnsi" w:cstheme="majorHAnsi"/>
        </w:rPr>
        <w:t xml:space="preserve">čo je medziročný </w:t>
      </w:r>
      <w:r w:rsidR="00174DE1" w:rsidRPr="00800233">
        <w:rPr>
          <w:rFonts w:asciiTheme="majorHAnsi" w:hAnsiTheme="majorHAnsi" w:cstheme="majorHAnsi"/>
          <w:b/>
        </w:rPr>
        <w:t>nárast o 3 % v dennej forme a o 1 %</w:t>
      </w:r>
      <w:r w:rsidR="00800233" w:rsidRPr="00800233">
        <w:rPr>
          <w:rFonts w:asciiTheme="majorHAnsi" w:hAnsiTheme="majorHAnsi" w:cstheme="majorHAnsi"/>
          <w:b/>
        </w:rPr>
        <w:t xml:space="preserve"> v externej forme</w:t>
      </w:r>
      <w:r w:rsidR="00174DE1" w:rsidRPr="00800233">
        <w:rPr>
          <w:rFonts w:asciiTheme="majorHAnsi" w:hAnsiTheme="majorHAnsi" w:cstheme="majorHAnsi"/>
        </w:rPr>
        <w:t xml:space="preserve"> </w:t>
      </w:r>
      <w:r w:rsidRPr="00800233">
        <w:rPr>
          <w:rFonts w:asciiTheme="majorHAnsi" w:hAnsiTheme="majorHAnsi" w:cstheme="majorHAnsi"/>
        </w:rPr>
        <w:t>. Čiastočne je úbytok na treťom</w:t>
      </w:r>
      <w:r w:rsidRPr="0053555E">
        <w:rPr>
          <w:rFonts w:asciiTheme="majorHAnsi" w:hAnsiTheme="majorHAnsi" w:cstheme="majorHAnsi"/>
        </w:rPr>
        <w:t xml:space="preserve"> stupni štúdia spôsobený aj neskončením štúdia v lehote ustanovenej zákonom o vysokých školách.</w:t>
      </w:r>
    </w:p>
    <w:p w14:paraId="613BC449" w14:textId="36738FE3" w:rsidR="0042210A" w:rsidRPr="0053555E" w:rsidRDefault="0042210A" w:rsidP="0042210A">
      <w:pPr>
        <w:tabs>
          <w:tab w:val="left" w:pos="9356"/>
        </w:tabs>
        <w:jc w:val="both"/>
        <w:rPr>
          <w:rFonts w:asciiTheme="majorHAnsi" w:hAnsiTheme="majorHAnsi" w:cstheme="majorHAnsi"/>
        </w:rPr>
      </w:pPr>
      <w:r w:rsidRPr="0053555E">
        <w:rPr>
          <w:rFonts w:asciiTheme="majorHAnsi" w:hAnsiTheme="majorHAnsi" w:cstheme="majorHAnsi"/>
        </w:rPr>
        <w:t>Študenti dennej formy štúdia často počas štúdia realizujú študijné pobyty</w:t>
      </w:r>
      <w:r w:rsidR="00DE4EAE" w:rsidRPr="0053555E">
        <w:rPr>
          <w:rFonts w:asciiTheme="majorHAnsi" w:hAnsiTheme="majorHAnsi" w:cstheme="majorHAnsi"/>
        </w:rPr>
        <w:t xml:space="preserve"> alebo pracovné stáže</w:t>
      </w:r>
      <w:r w:rsidRPr="0053555E">
        <w:rPr>
          <w:rFonts w:asciiTheme="majorHAnsi" w:hAnsiTheme="majorHAnsi" w:cstheme="majorHAnsi"/>
        </w:rPr>
        <w:t xml:space="preserve"> v zahraničí v rámci akademickej mobility</w:t>
      </w:r>
      <w:r w:rsidR="00800233">
        <w:rPr>
          <w:rFonts w:asciiTheme="majorHAnsi" w:hAnsiTheme="majorHAnsi" w:cstheme="majorHAnsi"/>
        </w:rPr>
        <w:t>, čo môže byť príčinou predĺženia štúdia nad rámec štandardnej dĺžky štúdia</w:t>
      </w:r>
      <w:r w:rsidRPr="0053555E">
        <w:rPr>
          <w:rFonts w:asciiTheme="majorHAnsi" w:hAnsiTheme="majorHAnsi" w:cstheme="majorHAnsi"/>
        </w:rPr>
        <w:t xml:space="preserve">. Z celkového počtu denných doktorandov v akademickom roku </w:t>
      </w:r>
      <w:r w:rsidR="00EA24BA" w:rsidRPr="0053555E">
        <w:rPr>
          <w:rFonts w:asciiTheme="majorHAnsi" w:hAnsiTheme="majorHAnsi" w:cstheme="majorHAnsi"/>
        </w:rPr>
        <w:t>2021/2022</w:t>
      </w:r>
      <w:r w:rsidRPr="0053555E">
        <w:rPr>
          <w:rFonts w:asciiTheme="majorHAnsi" w:hAnsiTheme="majorHAnsi" w:cstheme="majorHAnsi"/>
        </w:rPr>
        <w:t xml:space="preserve"> prekročilo štandardnú dĺžku štúdia 1</w:t>
      </w:r>
      <w:r w:rsidR="00174DE1">
        <w:rPr>
          <w:rFonts w:asciiTheme="majorHAnsi" w:hAnsiTheme="majorHAnsi" w:cstheme="majorHAnsi"/>
        </w:rPr>
        <w:t>2</w:t>
      </w:r>
      <w:r w:rsidRPr="0053555E">
        <w:rPr>
          <w:rFonts w:asciiTheme="majorHAnsi" w:hAnsiTheme="majorHAnsi" w:cstheme="majorHAnsi"/>
        </w:rPr>
        <w:t xml:space="preserve"> % študentov. V akademickom roku </w:t>
      </w:r>
      <w:r w:rsidR="00EA24BA" w:rsidRPr="0053555E">
        <w:rPr>
          <w:rFonts w:asciiTheme="majorHAnsi" w:hAnsiTheme="majorHAnsi" w:cstheme="majorHAnsi"/>
        </w:rPr>
        <w:t>2021/2022</w:t>
      </w:r>
      <w:r w:rsidRPr="0053555E">
        <w:rPr>
          <w:rFonts w:asciiTheme="majorHAnsi" w:hAnsiTheme="majorHAnsi" w:cstheme="majorHAnsi"/>
        </w:rPr>
        <w:t xml:space="preserve"> </w:t>
      </w:r>
      <w:r w:rsidR="00174DE1">
        <w:rPr>
          <w:rFonts w:asciiTheme="majorHAnsi" w:hAnsiTheme="majorHAnsi" w:cstheme="majorHAnsi"/>
        </w:rPr>
        <w:t>3</w:t>
      </w:r>
      <w:r w:rsidRPr="0053555E">
        <w:rPr>
          <w:rFonts w:asciiTheme="majorHAnsi" w:hAnsiTheme="majorHAnsi" w:cstheme="majorHAnsi"/>
        </w:rPr>
        <w:t xml:space="preserve"> % denných doktorandov zmenilo študijný program uskutočňovaný v dennej forme </w:t>
      </w:r>
      <w:r w:rsidR="00174DE1">
        <w:rPr>
          <w:rFonts w:asciiTheme="majorHAnsi" w:hAnsiTheme="majorHAnsi" w:cstheme="majorHAnsi"/>
        </w:rPr>
        <w:t xml:space="preserve">štúdia </w:t>
      </w:r>
      <w:r w:rsidRPr="0053555E">
        <w:rPr>
          <w:rFonts w:asciiTheme="majorHAnsi" w:hAnsiTheme="majorHAnsi" w:cstheme="majorHAnsi"/>
        </w:rPr>
        <w:t xml:space="preserve">na externú formu štúdia. </w:t>
      </w:r>
    </w:p>
    <w:p w14:paraId="4CE61C54" w14:textId="77777777" w:rsidR="0042210A" w:rsidRPr="0053555E" w:rsidRDefault="0042210A" w:rsidP="0042210A">
      <w:pPr>
        <w:tabs>
          <w:tab w:val="left" w:pos="9356"/>
        </w:tabs>
        <w:jc w:val="both"/>
        <w:rPr>
          <w:rFonts w:asciiTheme="majorHAnsi" w:eastAsia="Calibri" w:hAnsiTheme="majorHAnsi" w:cstheme="majorHAnsi"/>
          <w:sz w:val="22"/>
          <w:szCs w:val="20"/>
        </w:rPr>
      </w:pPr>
    </w:p>
    <w:p w14:paraId="63DCA35F" w14:textId="6E3992BC" w:rsidR="0042210A" w:rsidRPr="0072770E" w:rsidRDefault="0072770E" w:rsidP="0072770E">
      <w:pPr>
        <w:rPr>
          <w:b/>
          <w:sz w:val="28"/>
          <w:szCs w:val="28"/>
        </w:rPr>
      </w:pPr>
      <w:bookmarkStart w:id="64" w:name="_Toc127593218"/>
      <w:r w:rsidRPr="0072770E">
        <w:rPr>
          <w:b/>
          <w:sz w:val="28"/>
          <w:szCs w:val="28"/>
        </w:rPr>
        <w:t xml:space="preserve">3.2.4. </w:t>
      </w:r>
      <w:r w:rsidR="0042210A" w:rsidRPr="0072770E">
        <w:rPr>
          <w:b/>
          <w:sz w:val="28"/>
          <w:szCs w:val="28"/>
        </w:rPr>
        <w:t>Štruktúra študentov z hľadiska krajov Slovenska</w:t>
      </w:r>
      <w:bookmarkEnd w:id="64"/>
    </w:p>
    <w:p w14:paraId="31BF3381" w14:textId="77777777" w:rsidR="0072770E" w:rsidRPr="0072770E" w:rsidRDefault="0072770E" w:rsidP="0072770E"/>
    <w:p w14:paraId="22746481" w14:textId="1E47BE97" w:rsidR="0042210A" w:rsidRPr="0053555E" w:rsidRDefault="0042210A" w:rsidP="0042210A">
      <w:pPr>
        <w:tabs>
          <w:tab w:val="left" w:pos="9356"/>
        </w:tabs>
        <w:jc w:val="both"/>
        <w:rPr>
          <w:rFonts w:asciiTheme="majorHAnsi" w:hAnsiTheme="majorHAnsi" w:cstheme="majorHAnsi"/>
        </w:rPr>
      </w:pPr>
      <w:r w:rsidRPr="0053555E">
        <w:rPr>
          <w:rFonts w:asciiTheme="majorHAnsi" w:hAnsiTheme="majorHAnsi" w:cstheme="majorHAnsi"/>
        </w:rPr>
        <w:t>Prehľad štruktúry študentov z hľadiska krajov trvalého bydliska v rámci Slovenska s osobitným zastúpením bratislavských študentov a zahraničných študentov za ostatných päť akademických rokov znázorňuje </w:t>
      </w:r>
      <w:r w:rsidRPr="003E74C6">
        <w:rPr>
          <w:rFonts w:asciiTheme="majorHAnsi" w:hAnsiTheme="majorHAnsi" w:cstheme="majorHAnsi"/>
        </w:rPr>
        <w:fldChar w:fldCharType="begin"/>
      </w:r>
      <w:r w:rsidRPr="003E74C6">
        <w:rPr>
          <w:rFonts w:asciiTheme="majorHAnsi" w:hAnsiTheme="majorHAnsi" w:cstheme="majorHAnsi"/>
        </w:rPr>
        <w:instrText xml:space="preserve"> REF _Ref31711921 \h  \* MERGEFORMAT </w:instrText>
      </w:r>
      <w:r w:rsidRPr="003E74C6">
        <w:rPr>
          <w:rFonts w:asciiTheme="majorHAnsi" w:hAnsiTheme="majorHAnsi" w:cstheme="majorHAnsi"/>
        </w:rPr>
      </w:r>
      <w:r w:rsidRPr="003E74C6">
        <w:rPr>
          <w:rFonts w:asciiTheme="majorHAnsi" w:hAnsiTheme="majorHAnsi" w:cstheme="majorHAnsi"/>
        </w:rPr>
        <w:fldChar w:fldCharType="separate"/>
      </w:r>
      <w:r w:rsidR="00EE1B59" w:rsidRPr="003E74C6">
        <w:rPr>
          <w:rFonts w:asciiTheme="majorHAnsi" w:hAnsiTheme="majorHAnsi" w:cstheme="majorHAnsi"/>
        </w:rPr>
        <w:t>Tab. č. 13</w:t>
      </w:r>
      <w:r w:rsidRPr="003E74C6">
        <w:rPr>
          <w:rFonts w:asciiTheme="majorHAnsi" w:hAnsiTheme="majorHAnsi" w:cstheme="majorHAnsi"/>
        </w:rPr>
        <w:fldChar w:fldCharType="end"/>
      </w:r>
      <w:r w:rsidRPr="003E74C6">
        <w:rPr>
          <w:rFonts w:asciiTheme="majorHAnsi" w:hAnsiTheme="majorHAnsi" w:cstheme="majorHAnsi"/>
        </w:rPr>
        <w:t>.</w:t>
      </w:r>
    </w:p>
    <w:p w14:paraId="66407F67" w14:textId="77777777" w:rsidR="0042210A" w:rsidRPr="0053555E" w:rsidRDefault="0042210A" w:rsidP="0042210A">
      <w:pPr>
        <w:tabs>
          <w:tab w:val="left" w:pos="9356"/>
        </w:tabs>
        <w:jc w:val="both"/>
        <w:rPr>
          <w:rFonts w:asciiTheme="majorHAnsi" w:hAnsiTheme="majorHAnsi" w:cstheme="majorHAnsi"/>
        </w:rPr>
      </w:pPr>
    </w:p>
    <w:p w14:paraId="53648AC0" w14:textId="2F79355A" w:rsidR="0042210A" w:rsidRPr="0053555E" w:rsidRDefault="0042210A" w:rsidP="000E3322">
      <w:pPr>
        <w:pStyle w:val="Popis"/>
      </w:pPr>
      <w:bookmarkStart w:id="65" w:name="_Ref31711921"/>
      <w:bookmarkStart w:id="66" w:name="_Toc127593276"/>
      <w:r w:rsidRPr="0053555E">
        <w:t xml:space="preserve">Tab. č. </w:t>
      </w:r>
      <w:r w:rsidR="007B5953">
        <w:fldChar w:fldCharType="begin"/>
      </w:r>
      <w:r w:rsidR="007B5953">
        <w:instrText xml:space="preserve"> SEQ Tab._č. \* ARABIC </w:instrText>
      </w:r>
      <w:r w:rsidR="007B5953">
        <w:fldChar w:fldCharType="separate"/>
      </w:r>
      <w:r w:rsidR="00EE1B59">
        <w:rPr>
          <w:noProof/>
        </w:rPr>
        <w:t>13</w:t>
      </w:r>
      <w:r w:rsidR="007B5953">
        <w:rPr>
          <w:noProof/>
        </w:rPr>
        <w:fldChar w:fldCharType="end"/>
      </w:r>
      <w:bookmarkEnd w:id="65"/>
      <w:r w:rsidRPr="0053555E">
        <w:t>: Štruktúra študentov z hľadiska kraja trvalého bydliska k 31. 10. daného akademického roka</w:t>
      </w:r>
      <w:bookmarkEnd w:id="66"/>
    </w:p>
    <w:tbl>
      <w:tblPr>
        <w:tblW w:w="944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47"/>
        <w:gridCol w:w="1219"/>
        <w:gridCol w:w="1219"/>
        <w:gridCol w:w="1219"/>
        <w:gridCol w:w="1219"/>
        <w:gridCol w:w="1220"/>
      </w:tblGrid>
      <w:tr w:rsidR="00355EEE" w:rsidRPr="0053555E" w14:paraId="14110C2E" w14:textId="77777777" w:rsidTr="001605FB">
        <w:trPr>
          <w:trHeight w:val="270"/>
        </w:trPr>
        <w:tc>
          <w:tcPr>
            <w:tcW w:w="3347" w:type="dxa"/>
            <w:shd w:val="clear" w:color="auto" w:fill="auto"/>
            <w:vAlign w:val="center"/>
            <w:hideMark/>
          </w:tcPr>
          <w:p w14:paraId="532BDD03" w14:textId="77777777" w:rsidR="00355EEE" w:rsidRPr="0053555E" w:rsidRDefault="00355EEE" w:rsidP="00355EE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miesto trvalého bydliska</w:t>
            </w:r>
          </w:p>
        </w:tc>
        <w:tc>
          <w:tcPr>
            <w:tcW w:w="1219" w:type="dxa"/>
            <w:shd w:val="clear" w:color="auto" w:fill="auto"/>
            <w:vAlign w:val="center"/>
            <w:hideMark/>
          </w:tcPr>
          <w:p w14:paraId="54CAA031" w14:textId="52789CB4" w:rsidR="00355EEE" w:rsidRPr="0053555E" w:rsidRDefault="00355EEE" w:rsidP="00355EEE">
            <w:pPr>
              <w:jc w:val="right"/>
              <w:rPr>
                <w:rFonts w:asciiTheme="majorHAnsi" w:hAnsiTheme="majorHAnsi" w:cstheme="majorHAnsi"/>
                <w:b/>
                <w:bCs/>
                <w:sz w:val="22"/>
                <w:szCs w:val="22"/>
              </w:rPr>
            </w:pPr>
            <w:r w:rsidRPr="0053555E">
              <w:rPr>
                <w:rFonts w:cs="Calibri"/>
                <w:b/>
                <w:bCs/>
                <w:sz w:val="22"/>
                <w:szCs w:val="20"/>
              </w:rPr>
              <w:t>31.10.2017</w:t>
            </w:r>
          </w:p>
        </w:tc>
        <w:tc>
          <w:tcPr>
            <w:tcW w:w="1219" w:type="dxa"/>
            <w:shd w:val="clear" w:color="auto" w:fill="auto"/>
            <w:vAlign w:val="center"/>
            <w:hideMark/>
          </w:tcPr>
          <w:p w14:paraId="7C706B69" w14:textId="12E5DECA" w:rsidR="00355EEE" w:rsidRPr="0053555E" w:rsidRDefault="00355EEE" w:rsidP="00355EEE">
            <w:pPr>
              <w:jc w:val="right"/>
              <w:rPr>
                <w:rFonts w:asciiTheme="majorHAnsi" w:hAnsiTheme="majorHAnsi" w:cstheme="majorHAnsi"/>
                <w:b/>
                <w:bCs/>
                <w:sz w:val="22"/>
                <w:szCs w:val="22"/>
              </w:rPr>
            </w:pPr>
            <w:r w:rsidRPr="0053555E">
              <w:rPr>
                <w:rFonts w:cs="Calibri"/>
                <w:b/>
                <w:bCs/>
                <w:sz w:val="22"/>
                <w:szCs w:val="20"/>
              </w:rPr>
              <w:t>31.10.2018</w:t>
            </w:r>
          </w:p>
        </w:tc>
        <w:tc>
          <w:tcPr>
            <w:tcW w:w="1219" w:type="dxa"/>
            <w:shd w:val="clear" w:color="auto" w:fill="auto"/>
            <w:vAlign w:val="center"/>
            <w:hideMark/>
          </w:tcPr>
          <w:p w14:paraId="7FD5A5C2" w14:textId="078DF483" w:rsidR="00355EEE" w:rsidRPr="0053555E" w:rsidRDefault="00355EEE" w:rsidP="00355EEE">
            <w:pPr>
              <w:jc w:val="right"/>
              <w:rPr>
                <w:rFonts w:asciiTheme="majorHAnsi" w:hAnsiTheme="majorHAnsi" w:cstheme="majorHAnsi"/>
                <w:b/>
                <w:bCs/>
                <w:sz w:val="22"/>
                <w:szCs w:val="22"/>
              </w:rPr>
            </w:pPr>
            <w:r w:rsidRPr="0053555E">
              <w:rPr>
                <w:rFonts w:cs="Calibri"/>
                <w:b/>
                <w:bCs/>
                <w:sz w:val="22"/>
                <w:szCs w:val="20"/>
              </w:rPr>
              <w:t>31.10.2019</w:t>
            </w:r>
          </w:p>
        </w:tc>
        <w:tc>
          <w:tcPr>
            <w:tcW w:w="1219" w:type="dxa"/>
            <w:shd w:val="clear" w:color="auto" w:fill="auto"/>
            <w:vAlign w:val="center"/>
            <w:hideMark/>
          </w:tcPr>
          <w:p w14:paraId="4245052D" w14:textId="0A6C4E32" w:rsidR="00355EEE" w:rsidRPr="0053555E" w:rsidRDefault="00355EEE" w:rsidP="00355EEE">
            <w:pPr>
              <w:jc w:val="right"/>
              <w:rPr>
                <w:rFonts w:asciiTheme="majorHAnsi" w:hAnsiTheme="majorHAnsi" w:cstheme="majorHAnsi"/>
                <w:b/>
                <w:bCs/>
                <w:sz w:val="22"/>
                <w:szCs w:val="22"/>
              </w:rPr>
            </w:pPr>
            <w:r w:rsidRPr="0053555E">
              <w:rPr>
                <w:rFonts w:cs="Calibri"/>
                <w:b/>
                <w:bCs/>
                <w:sz w:val="22"/>
                <w:szCs w:val="20"/>
              </w:rPr>
              <w:t>31.10.2020</w:t>
            </w:r>
          </w:p>
        </w:tc>
        <w:tc>
          <w:tcPr>
            <w:tcW w:w="1220" w:type="dxa"/>
            <w:shd w:val="clear" w:color="auto" w:fill="auto"/>
            <w:vAlign w:val="center"/>
            <w:hideMark/>
          </w:tcPr>
          <w:p w14:paraId="6CE4795E" w14:textId="481867F9" w:rsidR="00355EEE" w:rsidRPr="0053555E" w:rsidRDefault="00355EEE" w:rsidP="00355EEE">
            <w:pPr>
              <w:jc w:val="right"/>
              <w:rPr>
                <w:rFonts w:asciiTheme="majorHAnsi" w:hAnsiTheme="majorHAnsi" w:cstheme="majorHAnsi"/>
                <w:b/>
                <w:bCs/>
                <w:sz w:val="22"/>
                <w:szCs w:val="22"/>
              </w:rPr>
            </w:pPr>
            <w:r w:rsidRPr="0053555E">
              <w:rPr>
                <w:rFonts w:cs="Calibri"/>
                <w:b/>
                <w:bCs/>
                <w:sz w:val="22"/>
                <w:szCs w:val="20"/>
              </w:rPr>
              <w:t>31.10.2021</w:t>
            </w:r>
          </w:p>
        </w:tc>
      </w:tr>
      <w:tr w:rsidR="00355EEE" w:rsidRPr="0053555E" w14:paraId="15EE7EFE" w14:textId="77777777" w:rsidTr="00C92665">
        <w:trPr>
          <w:trHeight w:val="270"/>
        </w:trPr>
        <w:tc>
          <w:tcPr>
            <w:tcW w:w="3347" w:type="dxa"/>
            <w:shd w:val="clear" w:color="auto" w:fill="EEECE1" w:themeFill="background2"/>
            <w:vAlign w:val="center"/>
            <w:hideMark/>
          </w:tcPr>
          <w:p w14:paraId="6D0CEC18" w14:textId="77777777" w:rsidR="00355EEE" w:rsidRPr="0053555E" w:rsidRDefault="00355EEE" w:rsidP="00355EEE">
            <w:pPr>
              <w:tabs>
                <w:tab w:val="left" w:pos="9356"/>
              </w:tabs>
              <w:jc w:val="both"/>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Bratislavský kraj</w:t>
            </w:r>
          </w:p>
        </w:tc>
        <w:tc>
          <w:tcPr>
            <w:tcW w:w="1219" w:type="dxa"/>
            <w:shd w:val="clear" w:color="auto" w:fill="EEECE1" w:themeFill="background2"/>
            <w:vAlign w:val="center"/>
            <w:hideMark/>
          </w:tcPr>
          <w:p w14:paraId="23CA3514" w14:textId="001A8166" w:rsidR="00355EEE" w:rsidRPr="0053555E" w:rsidRDefault="00355EEE" w:rsidP="00355EEE">
            <w:pPr>
              <w:jc w:val="center"/>
              <w:rPr>
                <w:rFonts w:asciiTheme="majorHAnsi" w:hAnsiTheme="majorHAnsi" w:cstheme="majorHAnsi"/>
                <w:b/>
                <w:sz w:val="22"/>
                <w:szCs w:val="22"/>
              </w:rPr>
            </w:pPr>
            <w:r w:rsidRPr="0053555E">
              <w:rPr>
                <w:rFonts w:cs="Calibri"/>
                <w:b/>
                <w:sz w:val="22"/>
                <w:szCs w:val="20"/>
              </w:rPr>
              <w:t>19,6</w:t>
            </w:r>
            <w:r w:rsidR="00510F81" w:rsidRPr="0053555E">
              <w:rPr>
                <w:rFonts w:cs="Calibri"/>
                <w:b/>
                <w:sz w:val="22"/>
                <w:szCs w:val="20"/>
              </w:rPr>
              <w:t xml:space="preserve"> </w:t>
            </w:r>
            <w:r w:rsidRPr="0053555E">
              <w:rPr>
                <w:rFonts w:cs="Calibri"/>
                <w:b/>
                <w:sz w:val="22"/>
                <w:szCs w:val="20"/>
              </w:rPr>
              <w:t>%</w:t>
            </w:r>
          </w:p>
        </w:tc>
        <w:tc>
          <w:tcPr>
            <w:tcW w:w="1219" w:type="dxa"/>
            <w:shd w:val="clear" w:color="auto" w:fill="EEECE1" w:themeFill="background2"/>
            <w:vAlign w:val="center"/>
            <w:hideMark/>
          </w:tcPr>
          <w:p w14:paraId="1F630A86" w14:textId="7E0BA4B8" w:rsidR="00355EEE" w:rsidRPr="0053555E" w:rsidRDefault="00355EEE" w:rsidP="00355EEE">
            <w:pPr>
              <w:jc w:val="center"/>
              <w:rPr>
                <w:rFonts w:asciiTheme="majorHAnsi" w:hAnsiTheme="majorHAnsi" w:cstheme="majorHAnsi"/>
                <w:b/>
                <w:sz w:val="22"/>
                <w:szCs w:val="22"/>
              </w:rPr>
            </w:pPr>
            <w:r w:rsidRPr="0053555E">
              <w:rPr>
                <w:rFonts w:cs="Calibri"/>
                <w:b/>
                <w:sz w:val="22"/>
                <w:szCs w:val="20"/>
              </w:rPr>
              <w:t>19,2</w:t>
            </w:r>
            <w:r w:rsidR="00510F81" w:rsidRPr="0053555E">
              <w:rPr>
                <w:rFonts w:cs="Calibri"/>
                <w:b/>
                <w:sz w:val="22"/>
                <w:szCs w:val="20"/>
              </w:rPr>
              <w:t xml:space="preserve"> </w:t>
            </w:r>
            <w:r w:rsidRPr="0053555E">
              <w:rPr>
                <w:rFonts w:cs="Calibri"/>
                <w:b/>
                <w:sz w:val="22"/>
                <w:szCs w:val="20"/>
              </w:rPr>
              <w:t>%</w:t>
            </w:r>
          </w:p>
        </w:tc>
        <w:tc>
          <w:tcPr>
            <w:tcW w:w="1219" w:type="dxa"/>
            <w:shd w:val="clear" w:color="auto" w:fill="EEECE1" w:themeFill="background2"/>
            <w:vAlign w:val="center"/>
            <w:hideMark/>
          </w:tcPr>
          <w:p w14:paraId="35976A62" w14:textId="1BAD18A3" w:rsidR="00355EEE" w:rsidRPr="0053555E" w:rsidRDefault="00355EEE" w:rsidP="00355EEE">
            <w:pPr>
              <w:jc w:val="center"/>
              <w:rPr>
                <w:rFonts w:asciiTheme="majorHAnsi" w:hAnsiTheme="majorHAnsi" w:cstheme="majorHAnsi"/>
                <w:b/>
                <w:sz w:val="22"/>
                <w:szCs w:val="22"/>
              </w:rPr>
            </w:pPr>
            <w:r w:rsidRPr="0053555E">
              <w:rPr>
                <w:rFonts w:cs="Calibri"/>
                <w:b/>
                <w:sz w:val="22"/>
                <w:szCs w:val="20"/>
              </w:rPr>
              <w:t>19,5</w:t>
            </w:r>
            <w:r w:rsidR="00510F81" w:rsidRPr="0053555E">
              <w:rPr>
                <w:rFonts w:cs="Calibri"/>
                <w:b/>
                <w:sz w:val="22"/>
                <w:szCs w:val="20"/>
              </w:rPr>
              <w:t xml:space="preserve"> </w:t>
            </w:r>
            <w:r w:rsidRPr="0053555E">
              <w:rPr>
                <w:rFonts w:cs="Calibri"/>
                <w:b/>
                <w:sz w:val="22"/>
                <w:szCs w:val="20"/>
              </w:rPr>
              <w:t>%</w:t>
            </w:r>
          </w:p>
        </w:tc>
        <w:tc>
          <w:tcPr>
            <w:tcW w:w="1219" w:type="dxa"/>
            <w:shd w:val="clear" w:color="auto" w:fill="EEECE1" w:themeFill="background2"/>
            <w:vAlign w:val="bottom"/>
            <w:hideMark/>
          </w:tcPr>
          <w:p w14:paraId="0CD8F1D2" w14:textId="679D3382" w:rsidR="00355EEE" w:rsidRPr="0053555E" w:rsidRDefault="00355EEE" w:rsidP="00355EEE">
            <w:pPr>
              <w:jc w:val="center"/>
              <w:rPr>
                <w:rFonts w:asciiTheme="majorHAnsi" w:hAnsiTheme="majorHAnsi" w:cstheme="majorHAnsi"/>
                <w:b/>
                <w:sz w:val="22"/>
                <w:szCs w:val="22"/>
              </w:rPr>
            </w:pPr>
            <w:r w:rsidRPr="0053555E">
              <w:rPr>
                <w:rFonts w:cs="Calibri"/>
                <w:b/>
                <w:sz w:val="22"/>
                <w:szCs w:val="20"/>
              </w:rPr>
              <w:t>19,6</w:t>
            </w:r>
            <w:r w:rsidR="00510F81" w:rsidRPr="0053555E">
              <w:rPr>
                <w:rFonts w:cs="Calibri"/>
                <w:b/>
                <w:sz w:val="22"/>
                <w:szCs w:val="20"/>
              </w:rPr>
              <w:t xml:space="preserve"> </w:t>
            </w:r>
            <w:r w:rsidRPr="0053555E">
              <w:rPr>
                <w:rFonts w:cs="Calibri"/>
                <w:b/>
                <w:sz w:val="22"/>
                <w:szCs w:val="20"/>
              </w:rPr>
              <w:t>%</w:t>
            </w:r>
          </w:p>
        </w:tc>
        <w:tc>
          <w:tcPr>
            <w:tcW w:w="1220" w:type="dxa"/>
            <w:shd w:val="clear" w:color="auto" w:fill="EEECE1" w:themeFill="background2"/>
            <w:vAlign w:val="bottom"/>
            <w:hideMark/>
          </w:tcPr>
          <w:p w14:paraId="79C1ABF3" w14:textId="78FA8709" w:rsidR="00355EEE" w:rsidRPr="0053555E" w:rsidRDefault="00355EEE" w:rsidP="00355EEE">
            <w:pPr>
              <w:jc w:val="center"/>
              <w:rPr>
                <w:rFonts w:asciiTheme="majorHAnsi" w:hAnsiTheme="majorHAnsi" w:cstheme="majorHAnsi"/>
                <w:b/>
                <w:sz w:val="22"/>
                <w:szCs w:val="22"/>
              </w:rPr>
            </w:pPr>
            <w:r w:rsidRPr="0053555E">
              <w:rPr>
                <w:rFonts w:cs="Calibri"/>
                <w:b/>
                <w:sz w:val="22"/>
                <w:szCs w:val="20"/>
              </w:rPr>
              <w:t>19,3</w:t>
            </w:r>
            <w:r w:rsidR="00435863" w:rsidRPr="0053555E">
              <w:rPr>
                <w:rFonts w:cs="Calibri"/>
                <w:b/>
                <w:sz w:val="22"/>
                <w:szCs w:val="20"/>
              </w:rPr>
              <w:t xml:space="preserve"> </w:t>
            </w:r>
            <w:r w:rsidRPr="0053555E">
              <w:rPr>
                <w:rFonts w:cs="Calibri"/>
                <w:b/>
                <w:sz w:val="22"/>
                <w:szCs w:val="20"/>
              </w:rPr>
              <w:t>%</w:t>
            </w:r>
          </w:p>
        </w:tc>
      </w:tr>
      <w:tr w:rsidR="00355EEE" w:rsidRPr="0053555E" w14:paraId="36E089D2" w14:textId="77777777" w:rsidTr="001605FB">
        <w:trPr>
          <w:trHeight w:val="270"/>
        </w:trPr>
        <w:tc>
          <w:tcPr>
            <w:tcW w:w="3347" w:type="dxa"/>
            <w:shd w:val="clear" w:color="auto" w:fill="auto"/>
            <w:vAlign w:val="center"/>
          </w:tcPr>
          <w:p w14:paraId="798A9788" w14:textId="77777777" w:rsidR="00355EEE" w:rsidRPr="0053555E" w:rsidRDefault="00355EEE" w:rsidP="00355EEE">
            <w:pPr>
              <w:tabs>
                <w:tab w:val="left" w:pos="9356"/>
              </w:tabs>
              <w:jc w:val="both"/>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 xml:space="preserve">z toho Bratislava </w:t>
            </w:r>
          </w:p>
          <w:p w14:paraId="54E444A0" w14:textId="77777777" w:rsidR="00355EEE" w:rsidRPr="0053555E" w:rsidRDefault="00355EEE" w:rsidP="00355EEE">
            <w:pPr>
              <w:tabs>
                <w:tab w:val="left" w:pos="9356"/>
              </w:tabs>
              <w:jc w:val="both"/>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(okres Bratislava I - V)</w:t>
            </w:r>
          </w:p>
        </w:tc>
        <w:tc>
          <w:tcPr>
            <w:tcW w:w="1219" w:type="dxa"/>
            <w:shd w:val="clear" w:color="auto" w:fill="auto"/>
            <w:vAlign w:val="center"/>
          </w:tcPr>
          <w:p w14:paraId="542990A8" w14:textId="13E2DA82" w:rsidR="00355EEE" w:rsidRPr="0053555E" w:rsidRDefault="00355EEE" w:rsidP="00355EEE">
            <w:pPr>
              <w:jc w:val="center"/>
              <w:rPr>
                <w:rFonts w:asciiTheme="majorHAnsi" w:hAnsiTheme="majorHAnsi" w:cstheme="majorHAnsi"/>
                <w:sz w:val="22"/>
                <w:szCs w:val="22"/>
              </w:rPr>
            </w:pPr>
            <w:r w:rsidRPr="0053555E">
              <w:rPr>
                <w:rFonts w:cs="Calibri"/>
                <w:sz w:val="22"/>
                <w:szCs w:val="20"/>
              </w:rPr>
              <w:t>13,2</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center"/>
          </w:tcPr>
          <w:p w14:paraId="599F5166" w14:textId="1FBB210E" w:rsidR="00355EEE" w:rsidRPr="0053555E" w:rsidRDefault="00355EEE" w:rsidP="00355EEE">
            <w:pPr>
              <w:jc w:val="center"/>
              <w:rPr>
                <w:rFonts w:asciiTheme="majorHAnsi" w:hAnsiTheme="majorHAnsi" w:cstheme="majorHAnsi"/>
                <w:sz w:val="22"/>
                <w:szCs w:val="22"/>
              </w:rPr>
            </w:pPr>
            <w:r w:rsidRPr="0053555E">
              <w:rPr>
                <w:rFonts w:cs="Calibri"/>
                <w:sz w:val="22"/>
                <w:szCs w:val="20"/>
              </w:rPr>
              <w:t>12,7</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center"/>
          </w:tcPr>
          <w:p w14:paraId="5002A420" w14:textId="5A96E760" w:rsidR="00355EEE" w:rsidRPr="0053555E" w:rsidRDefault="00355EEE" w:rsidP="00355EEE">
            <w:pPr>
              <w:jc w:val="center"/>
              <w:rPr>
                <w:rFonts w:asciiTheme="majorHAnsi" w:hAnsiTheme="majorHAnsi" w:cstheme="majorHAnsi"/>
                <w:sz w:val="22"/>
                <w:szCs w:val="22"/>
              </w:rPr>
            </w:pPr>
            <w:r w:rsidRPr="0053555E">
              <w:rPr>
                <w:rFonts w:cs="Calibri"/>
                <w:sz w:val="22"/>
                <w:szCs w:val="20"/>
              </w:rPr>
              <w:t>12,4</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center"/>
          </w:tcPr>
          <w:p w14:paraId="105F32F3" w14:textId="14CDE403" w:rsidR="00355EEE" w:rsidRPr="0053555E" w:rsidRDefault="00355EEE" w:rsidP="00355EEE">
            <w:pPr>
              <w:jc w:val="center"/>
              <w:rPr>
                <w:rFonts w:asciiTheme="majorHAnsi" w:hAnsiTheme="majorHAnsi" w:cstheme="majorHAnsi"/>
                <w:sz w:val="22"/>
                <w:szCs w:val="22"/>
              </w:rPr>
            </w:pPr>
            <w:r w:rsidRPr="0053555E">
              <w:rPr>
                <w:rFonts w:cs="Calibri"/>
                <w:sz w:val="22"/>
                <w:szCs w:val="20"/>
              </w:rPr>
              <w:t>12,5</w:t>
            </w:r>
            <w:r w:rsidR="00510F81" w:rsidRPr="0053555E">
              <w:rPr>
                <w:rFonts w:cs="Calibri"/>
                <w:sz w:val="22"/>
                <w:szCs w:val="20"/>
              </w:rPr>
              <w:t xml:space="preserve"> </w:t>
            </w:r>
            <w:r w:rsidRPr="0053555E">
              <w:rPr>
                <w:rFonts w:cs="Calibri"/>
                <w:sz w:val="22"/>
                <w:szCs w:val="20"/>
              </w:rPr>
              <w:t>%</w:t>
            </w:r>
          </w:p>
        </w:tc>
        <w:tc>
          <w:tcPr>
            <w:tcW w:w="1220" w:type="dxa"/>
            <w:shd w:val="clear" w:color="auto" w:fill="auto"/>
            <w:vAlign w:val="center"/>
          </w:tcPr>
          <w:p w14:paraId="2F324728" w14:textId="3E1B57CF" w:rsidR="00355EEE" w:rsidRPr="0053555E" w:rsidRDefault="00355EEE" w:rsidP="00355EEE">
            <w:pPr>
              <w:jc w:val="center"/>
              <w:rPr>
                <w:rFonts w:asciiTheme="majorHAnsi" w:hAnsiTheme="majorHAnsi" w:cstheme="majorHAnsi"/>
                <w:sz w:val="22"/>
                <w:szCs w:val="22"/>
              </w:rPr>
            </w:pPr>
            <w:r w:rsidRPr="0053555E">
              <w:rPr>
                <w:rFonts w:cs="Calibri"/>
                <w:sz w:val="22"/>
                <w:szCs w:val="20"/>
              </w:rPr>
              <w:t>12,1</w:t>
            </w:r>
            <w:r w:rsidR="00435863" w:rsidRPr="0053555E">
              <w:rPr>
                <w:rFonts w:cs="Calibri"/>
                <w:sz w:val="22"/>
                <w:szCs w:val="20"/>
              </w:rPr>
              <w:t xml:space="preserve"> </w:t>
            </w:r>
            <w:r w:rsidRPr="0053555E">
              <w:rPr>
                <w:rFonts w:cs="Calibri"/>
                <w:sz w:val="22"/>
                <w:szCs w:val="20"/>
              </w:rPr>
              <w:t>%</w:t>
            </w:r>
          </w:p>
        </w:tc>
      </w:tr>
      <w:tr w:rsidR="00355EEE" w:rsidRPr="0053555E" w14:paraId="17696E4B" w14:textId="77777777" w:rsidTr="001605FB">
        <w:trPr>
          <w:trHeight w:val="270"/>
        </w:trPr>
        <w:tc>
          <w:tcPr>
            <w:tcW w:w="3347" w:type="dxa"/>
            <w:shd w:val="clear" w:color="auto" w:fill="auto"/>
            <w:vAlign w:val="center"/>
          </w:tcPr>
          <w:p w14:paraId="5F141148" w14:textId="77777777" w:rsidR="00355EEE" w:rsidRPr="0053555E" w:rsidRDefault="00355EEE" w:rsidP="00355EEE">
            <w:pPr>
              <w:tabs>
                <w:tab w:val="left" w:pos="9356"/>
              </w:tabs>
              <w:jc w:val="both"/>
              <w:rPr>
                <w:rFonts w:asciiTheme="majorHAnsi" w:eastAsia="Times New Roman" w:hAnsiTheme="majorHAnsi" w:cstheme="majorHAnsi"/>
                <w:sz w:val="22"/>
                <w:szCs w:val="22"/>
                <w:lang w:eastAsia="sk-SK"/>
              </w:rPr>
            </w:pPr>
            <w:r w:rsidRPr="0053555E">
              <w:rPr>
                <w:rFonts w:asciiTheme="majorHAnsi" w:hAnsiTheme="majorHAnsi" w:cstheme="majorHAnsi"/>
                <w:sz w:val="22"/>
                <w:szCs w:val="22"/>
              </w:rPr>
              <w:t>Trnavský kraj</w:t>
            </w:r>
          </w:p>
        </w:tc>
        <w:tc>
          <w:tcPr>
            <w:tcW w:w="1219" w:type="dxa"/>
            <w:shd w:val="clear" w:color="auto" w:fill="auto"/>
            <w:vAlign w:val="bottom"/>
          </w:tcPr>
          <w:p w14:paraId="1FE7E8C0" w14:textId="00E56667" w:rsidR="00355EEE" w:rsidRPr="0053555E" w:rsidRDefault="00355EEE" w:rsidP="00355EEE">
            <w:pPr>
              <w:jc w:val="center"/>
              <w:rPr>
                <w:rFonts w:asciiTheme="majorHAnsi" w:hAnsiTheme="majorHAnsi" w:cstheme="majorHAnsi"/>
                <w:sz w:val="22"/>
                <w:szCs w:val="22"/>
              </w:rPr>
            </w:pPr>
            <w:r w:rsidRPr="0053555E">
              <w:rPr>
                <w:rFonts w:cs="Calibri"/>
                <w:sz w:val="22"/>
                <w:szCs w:val="20"/>
              </w:rPr>
              <w:t>19,7</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1ED8CF51" w14:textId="68EFD373" w:rsidR="00355EEE" w:rsidRPr="0053555E" w:rsidRDefault="00355EEE" w:rsidP="00355EEE">
            <w:pPr>
              <w:jc w:val="center"/>
              <w:rPr>
                <w:rFonts w:asciiTheme="majorHAnsi" w:hAnsiTheme="majorHAnsi" w:cstheme="majorHAnsi"/>
                <w:sz w:val="22"/>
                <w:szCs w:val="22"/>
              </w:rPr>
            </w:pPr>
            <w:r w:rsidRPr="0053555E">
              <w:rPr>
                <w:rFonts w:cs="Calibri"/>
                <w:sz w:val="22"/>
                <w:szCs w:val="20"/>
              </w:rPr>
              <w:t>19,3</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7E96076D" w14:textId="6A37369F" w:rsidR="00355EEE" w:rsidRPr="0053555E" w:rsidRDefault="00355EEE" w:rsidP="00355EEE">
            <w:pPr>
              <w:jc w:val="center"/>
              <w:rPr>
                <w:rFonts w:asciiTheme="majorHAnsi" w:hAnsiTheme="majorHAnsi" w:cstheme="majorHAnsi"/>
                <w:sz w:val="22"/>
                <w:szCs w:val="22"/>
              </w:rPr>
            </w:pPr>
            <w:r w:rsidRPr="0053555E">
              <w:rPr>
                <w:rFonts w:cs="Calibri"/>
                <w:sz w:val="22"/>
                <w:szCs w:val="20"/>
              </w:rPr>
              <w:t>18,5</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5CA7D8DB" w14:textId="39B0FC24" w:rsidR="00355EEE" w:rsidRPr="0053555E" w:rsidRDefault="00355EEE" w:rsidP="00355EEE">
            <w:pPr>
              <w:jc w:val="center"/>
              <w:rPr>
                <w:rFonts w:asciiTheme="majorHAnsi" w:hAnsiTheme="majorHAnsi" w:cstheme="majorHAnsi"/>
                <w:sz w:val="22"/>
                <w:szCs w:val="22"/>
              </w:rPr>
            </w:pPr>
            <w:r w:rsidRPr="0053555E">
              <w:rPr>
                <w:rFonts w:cs="Calibri"/>
                <w:sz w:val="22"/>
                <w:szCs w:val="20"/>
              </w:rPr>
              <w:t>18,4</w:t>
            </w:r>
            <w:r w:rsidR="00510F81" w:rsidRPr="0053555E">
              <w:rPr>
                <w:rFonts w:cs="Calibri"/>
                <w:sz w:val="22"/>
                <w:szCs w:val="20"/>
              </w:rPr>
              <w:t xml:space="preserve"> </w:t>
            </w:r>
            <w:r w:rsidRPr="0053555E">
              <w:rPr>
                <w:rFonts w:cs="Calibri"/>
                <w:sz w:val="22"/>
                <w:szCs w:val="20"/>
              </w:rPr>
              <w:t>%</w:t>
            </w:r>
          </w:p>
        </w:tc>
        <w:tc>
          <w:tcPr>
            <w:tcW w:w="1220" w:type="dxa"/>
            <w:shd w:val="clear" w:color="auto" w:fill="auto"/>
            <w:vAlign w:val="bottom"/>
          </w:tcPr>
          <w:p w14:paraId="2E3737EE" w14:textId="3A047DA3" w:rsidR="00355EEE" w:rsidRPr="0053555E" w:rsidRDefault="00355EEE" w:rsidP="00355EEE">
            <w:pPr>
              <w:jc w:val="center"/>
              <w:rPr>
                <w:rFonts w:asciiTheme="majorHAnsi" w:hAnsiTheme="majorHAnsi" w:cstheme="majorHAnsi"/>
                <w:sz w:val="22"/>
                <w:szCs w:val="22"/>
              </w:rPr>
            </w:pPr>
            <w:r w:rsidRPr="0053555E">
              <w:rPr>
                <w:rFonts w:cs="Calibri"/>
                <w:sz w:val="22"/>
                <w:szCs w:val="20"/>
              </w:rPr>
              <w:t>17,9</w:t>
            </w:r>
            <w:r w:rsidR="00435863" w:rsidRPr="0053555E">
              <w:rPr>
                <w:rFonts w:cs="Calibri"/>
                <w:sz w:val="22"/>
                <w:szCs w:val="20"/>
              </w:rPr>
              <w:t xml:space="preserve"> </w:t>
            </w:r>
            <w:r w:rsidRPr="0053555E">
              <w:rPr>
                <w:rFonts w:cs="Calibri"/>
                <w:sz w:val="22"/>
                <w:szCs w:val="20"/>
              </w:rPr>
              <w:t>%</w:t>
            </w:r>
          </w:p>
        </w:tc>
      </w:tr>
      <w:tr w:rsidR="00355EEE" w:rsidRPr="0053555E" w14:paraId="407A0C2E" w14:textId="77777777" w:rsidTr="001605FB">
        <w:trPr>
          <w:trHeight w:val="270"/>
        </w:trPr>
        <w:tc>
          <w:tcPr>
            <w:tcW w:w="3347" w:type="dxa"/>
            <w:shd w:val="clear" w:color="auto" w:fill="auto"/>
            <w:vAlign w:val="center"/>
          </w:tcPr>
          <w:p w14:paraId="42B8FC00" w14:textId="77777777" w:rsidR="00355EEE" w:rsidRPr="0053555E" w:rsidRDefault="00355EEE" w:rsidP="00355EEE">
            <w:pPr>
              <w:tabs>
                <w:tab w:val="left" w:pos="9356"/>
              </w:tabs>
              <w:jc w:val="both"/>
              <w:rPr>
                <w:rFonts w:asciiTheme="majorHAnsi" w:eastAsia="Times New Roman" w:hAnsiTheme="majorHAnsi" w:cstheme="majorHAnsi"/>
                <w:b/>
                <w:sz w:val="22"/>
                <w:szCs w:val="22"/>
                <w:lang w:eastAsia="sk-SK"/>
              </w:rPr>
            </w:pPr>
            <w:r w:rsidRPr="0053555E">
              <w:rPr>
                <w:rFonts w:asciiTheme="majorHAnsi" w:hAnsiTheme="majorHAnsi" w:cstheme="majorHAnsi"/>
                <w:sz w:val="22"/>
                <w:szCs w:val="22"/>
              </w:rPr>
              <w:t>Trenčiansky kraj</w:t>
            </w:r>
          </w:p>
        </w:tc>
        <w:tc>
          <w:tcPr>
            <w:tcW w:w="1219" w:type="dxa"/>
            <w:shd w:val="clear" w:color="auto" w:fill="auto"/>
            <w:vAlign w:val="bottom"/>
          </w:tcPr>
          <w:p w14:paraId="4DA87426" w14:textId="7B962F99" w:rsidR="00355EEE" w:rsidRPr="0053555E" w:rsidRDefault="00355EEE" w:rsidP="00355EEE">
            <w:pPr>
              <w:jc w:val="center"/>
              <w:rPr>
                <w:rFonts w:asciiTheme="majorHAnsi" w:hAnsiTheme="majorHAnsi" w:cstheme="majorHAnsi"/>
                <w:sz w:val="22"/>
                <w:szCs w:val="22"/>
              </w:rPr>
            </w:pPr>
            <w:r w:rsidRPr="0053555E">
              <w:rPr>
                <w:rFonts w:cs="Calibri"/>
                <w:sz w:val="22"/>
                <w:szCs w:val="20"/>
              </w:rPr>
              <w:t>12,7</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527CC213" w14:textId="538FD9EA" w:rsidR="00355EEE" w:rsidRPr="0053555E" w:rsidRDefault="00355EEE" w:rsidP="00355EEE">
            <w:pPr>
              <w:jc w:val="center"/>
              <w:rPr>
                <w:rFonts w:asciiTheme="majorHAnsi" w:hAnsiTheme="majorHAnsi" w:cstheme="majorHAnsi"/>
                <w:sz w:val="22"/>
                <w:szCs w:val="22"/>
              </w:rPr>
            </w:pPr>
            <w:r w:rsidRPr="0053555E">
              <w:rPr>
                <w:rFonts w:cs="Calibri"/>
                <w:sz w:val="22"/>
                <w:szCs w:val="20"/>
              </w:rPr>
              <w:t>12,8</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172E3ECD" w14:textId="63376F6A" w:rsidR="00355EEE" w:rsidRPr="0053555E" w:rsidRDefault="00355EEE" w:rsidP="00355EEE">
            <w:pPr>
              <w:jc w:val="center"/>
              <w:rPr>
                <w:rFonts w:asciiTheme="majorHAnsi" w:hAnsiTheme="majorHAnsi" w:cstheme="majorHAnsi"/>
                <w:sz w:val="22"/>
                <w:szCs w:val="22"/>
              </w:rPr>
            </w:pPr>
            <w:r w:rsidRPr="0053555E">
              <w:rPr>
                <w:rFonts w:cs="Calibri"/>
                <w:sz w:val="22"/>
                <w:szCs w:val="20"/>
              </w:rPr>
              <w:t>12,8</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642C0787" w14:textId="55C5BBA1" w:rsidR="00355EEE" w:rsidRPr="0053555E" w:rsidRDefault="00355EEE" w:rsidP="00355EEE">
            <w:pPr>
              <w:jc w:val="center"/>
              <w:rPr>
                <w:rFonts w:asciiTheme="majorHAnsi" w:hAnsiTheme="majorHAnsi" w:cstheme="majorHAnsi"/>
                <w:sz w:val="22"/>
                <w:szCs w:val="22"/>
              </w:rPr>
            </w:pPr>
            <w:r w:rsidRPr="0053555E">
              <w:rPr>
                <w:rFonts w:cs="Calibri"/>
                <w:sz w:val="22"/>
                <w:szCs w:val="20"/>
              </w:rPr>
              <w:t>11,9</w:t>
            </w:r>
            <w:r w:rsidR="00510F81" w:rsidRPr="0053555E">
              <w:rPr>
                <w:rFonts w:cs="Calibri"/>
                <w:sz w:val="22"/>
                <w:szCs w:val="20"/>
              </w:rPr>
              <w:t xml:space="preserve"> </w:t>
            </w:r>
            <w:r w:rsidRPr="0053555E">
              <w:rPr>
                <w:rFonts w:cs="Calibri"/>
                <w:sz w:val="22"/>
                <w:szCs w:val="20"/>
              </w:rPr>
              <w:t>%</w:t>
            </w:r>
          </w:p>
        </w:tc>
        <w:tc>
          <w:tcPr>
            <w:tcW w:w="1220" w:type="dxa"/>
            <w:shd w:val="clear" w:color="auto" w:fill="auto"/>
            <w:vAlign w:val="bottom"/>
          </w:tcPr>
          <w:p w14:paraId="0829A3B5" w14:textId="59549D19" w:rsidR="00355EEE" w:rsidRPr="0053555E" w:rsidRDefault="00355EEE" w:rsidP="00355EEE">
            <w:pPr>
              <w:jc w:val="center"/>
              <w:rPr>
                <w:rFonts w:asciiTheme="majorHAnsi" w:hAnsiTheme="majorHAnsi" w:cstheme="majorHAnsi"/>
                <w:sz w:val="22"/>
                <w:szCs w:val="22"/>
              </w:rPr>
            </w:pPr>
            <w:r w:rsidRPr="0053555E">
              <w:rPr>
                <w:rFonts w:cs="Calibri"/>
                <w:sz w:val="22"/>
                <w:szCs w:val="20"/>
              </w:rPr>
              <w:t>11,8</w:t>
            </w:r>
            <w:r w:rsidR="00435863" w:rsidRPr="0053555E">
              <w:rPr>
                <w:rFonts w:cs="Calibri"/>
                <w:sz w:val="22"/>
                <w:szCs w:val="20"/>
              </w:rPr>
              <w:t xml:space="preserve"> </w:t>
            </w:r>
            <w:r w:rsidRPr="0053555E">
              <w:rPr>
                <w:rFonts w:cs="Calibri"/>
                <w:sz w:val="22"/>
                <w:szCs w:val="20"/>
              </w:rPr>
              <w:t>%</w:t>
            </w:r>
          </w:p>
        </w:tc>
      </w:tr>
      <w:tr w:rsidR="00355EEE" w:rsidRPr="0053555E" w14:paraId="6B7C1315" w14:textId="77777777" w:rsidTr="001605FB">
        <w:trPr>
          <w:trHeight w:val="270"/>
        </w:trPr>
        <w:tc>
          <w:tcPr>
            <w:tcW w:w="3347" w:type="dxa"/>
            <w:shd w:val="clear" w:color="auto" w:fill="auto"/>
            <w:vAlign w:val="center"/>
          </w:tcPr>
          <w:p w14:paraId="253207BF" w14:textId="77777777" w:rsidR="00355EEE" w:rsidRPr="0053555E" w:rsidRDefault="00355EEE" w:rsidP="00355EEE">
            <w:pPr>
              <w:tabs>
                <w:tab w:val="left" w:pos="9356"/>
              </w:tabs>
              <w:jc w:val="both"/>
              <w:rPr>
                <w:rFonts w:asciiTheme="majorHAnsi" w:eastAsia="Times New Roman" w:hAnsiTheme="majorHAnsi" w:cstheme="majorHAnsi"/>
                <w:b/>
                <w:sz w:val="22"/>
                <w:szCs w:val="22"/>
                <w:lang w:eastAsia="sk-SK"/>
              </w:rPr>
            </w:pPr>
            <w:r w:rsidRPr="0053555E">
              <w:rPr>
                <w:rFonts w:asciiTheme="majorHAnsi" w:hAnsiTheme="majorHAnsi" w:cstheme="majorHAnsi"/>
                <w:sz w:val="22"/>
                <w:szCs w:val="22"/>
              </w:rPr>
              <w:t>Nitriansky kraj</w:t>
            </w:r>
          </w:p>
        </w:tc>
        <w:tc>
          <w:tcPr>
            <w:tcW w:w="1219" w:type="dxa"/>
            <w:shd w:val="clear" w:color="auto" w:fill="auto"/>
            <w:vAlign w:val="bottom"/>
          </w:tcPr>
          <w:p w14:paraId="0B5FE55C" w14:textId="4BACFD18" w:rsidR="00355EEE" w:rsidRPr="0053555E" w:rsidRDefault="00355EEE" w:rsidP="00355EEE">
            <w:pPr>
              <w:jc w:val="center"/>
              <w:rPr>
                <w:rFonts w:asciiTheme="majorHAnsi" w:hAnsiTheme="majorHAnsi" w:cstheme="majorHAnsi"/>
                <w:sz w:val="22"/>
                <w:szCs w:val="22"/>
              </w:rPr>
            </w:pPr>
            <w:r w:rsidRPr="0053555E">
              <w:rPr>
                <w:rFonts w:cs="Calibri"/>
                <w:sz w:val="22"/>
                <w:szCs w:val="20"/>
              </w:rPr>
              <w:t>14,0</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78EEAC05" w14:textId="50A7B881" w:rsidR="00355EEE" w:rsidRPr="0053555E" w:rsidRDefault="00355EEE" w:rsidP="00355EEE">
            <w:pPr>
              <w:jc w:val="center"/>
              <w:rPr>
                <w:rFonts w:asciiTheme="majorHAnsi" w:hAnsiTheme="majorHAnsi" w:cstheme="majorHAnsi"/>
                <w:sz w:val="22"/>
                <w:szCs w:val="22"/>
              </w:rPr>
            </w:pPr>
            <w:r w:rsidRPr="0053555E">
              <w:rPr>
                <w:rFonts w:cs="Calibri"/>
                <w:sz w:val="22"/>
                <w:szCs w:val="20"/>
              </w:rPr>
              <w:t>14,1</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774A4575" w14:textId="60BA26CC" w:rsidR="00355EEE" w:rsidRPr="0053555E" w:rsidRDefault="00355EEE" w:rsidP="00355EEE">
            <w:pPr>
              <w:jc w:val="center"/>
              <w:rPr>
                <w:rFonts w:asciiTheme="majorHAnsi" w:hAnsiTheme="majorHAnsi" w:cstheme="majorHAnsi"/>
                <w:sz w:val="22"/>
                <w:szCs w:val="22"/>
              </w:rPr>
            </w:pPr>
            <w:r w:rsidRPr="0053555E">
              <w:rPr>
                <w:rFonts w:cs="Calibri"/>
                <w:sz w:val="22"/>
                <w:szCs w:val="20"/>
              </w:rPr>
              <w:t>13,8</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77578D44" w14:textId="1DBC056E" w:rsidR="00355EEE" w:rsidRPr="0053555E" w:rsidRDefault="00355EEE" w:rsidP="00355EEE">
            <w:pPr>
              <w:jc w:val="center"/>
              <w:rPr>
                <w:rFonts w:asciiTheme="majorHAnsi" w:hAnsiTheme="majorHAnsi" w:cstheme="majorHAnsi"/>
                <w:sz w:val="22"/>
                <w:szCs w:val="22"/>
              </w:rPr>
            </w:pPr>
            <w:r w:rsidRPr="0053555E">
              <w:rPr>
                <w:rFonts w:cs="Calibri"/>
                <w:sz w:val="22"/>
                <w:szCs w:val="20"/>
              </w:rPr>
              <w:t>13,6</w:t>
            </w:r>
            <w:r w:rsidR="00510F81" w:rsidRPr="0053555E">
              <w:rPr>
                <w:rFonts w:cs="Calibri"/>
                <w:sz w:val="22"/>
                <w:szCs w:val="20"/>
              </w:rPr>
              <w:t xml:space="preserve"> </w:t>
            </w:r>
            <w:r w:rsidRPr="0053555E">
              <w:rPr>
                <w:rFonts w:cs="Calibri"/>
                <w:sz w:val="22"/>
                <w:szCs w:val="20"/>
              </w:rPr>
              <w:t>%</w:t>
            </w:r>
          </w:p>
        </w:tc>
        <w:tc>
          <w:tcPr>
            <w:tcW w:w="1220" w:type="dxa"/>
            <w:shd w:val="clear" w:color="auto" w:fill="auto"/>
            <w:vAlign w:val="bottom"/>
          </w:tcPr>
          <w:p w14:paraId="74D35BF7" w14:textId="1E1B9B7B" w:rsidR="00355EEE" w:rsidRPr="0053555E" w:rsidRDefault="00355EEE" w:rsidP="00355EEE">
            <w:pPr>
              <w:jc w:val="center"/>
              <w:rPr>
                <w:rFonts w:asciiTheme="majorHAnsi" w:hAnsiTheme="majorHAnsi" w:cstheme="majorHAnsi"/>
                <w:sz w:val="22"/>
                <w:szCs w:val="22"/>
              </w:rPr>
            </w:pPr>
            <w:r w:rsidRPr="0053555E">
              <w:rPr>
                <w:rFonts w:cs="Calibri"/>
                <w:sz w:val="22"/>
                <w:szCs w:val="20"/>
              </w:rPr>
              <w:t>13,3</w:t>
            </w:r>
            <w:r w:rsidR="00435863" w:rsidRPr="0053555E">
              <w:rPr>
                <w:rFonts w:cs="Calibri"/>
                <w:sz w:val="22"/>
                <w:szCs w:val="20"/>
              </w:rPr>
              <w:t xml:space="preserve"> </w:t>
            </w:r>
            <w:r w:rsidRPr="0053555E">
              <w:rPr>
                <w:rFonts w:cs="Calibri"/>
                <w:sz w:val="22"/>
                <w:szCs w:val="20"/>
              </w:rPr>
              <w:t>%</w:t>
            </w:r>
          </w:p>
        </w:tc>
      </w:tr>
      <w:tr w:rsidR="00355EEE" w:rsidRPr="0053555E" w14:paraId="0D0FD8EC" w14:textId="77777777" w:rsidTr="001605FB">
        <w:trPr>
          <w:trHeight w:val="270"/>
        </w:trPr>
        <w:tc>
          <w:tcPr>
            <w:tcW w:w="3347" w:type="dxa"/>
            <w:shd w:val="clear" w:color="auto" w:fill="auto"/>
            <w:vAlign w:val="center"/>
          </w:tcPr>
          <w:p w14:paraId="11F4EC51" w14:textId="77777777" w:rsidR="00355EEE" w:rsidRPr="0053555E" w:rsidRDefault="00355EEE" w:rsidP="00355EEE">
            <w:pPr>
              <w:tabs>
                <w:tab w:val="left" w:pos="9356"/>
              </w:tabs>
              <w:jc w:val="both"/>
              <w:rPr>
                <w:rFonts w:asciiTheme="majorHAnsi" w:eastAsia="Times New Roman" w:hAnsiTheme="majorHAnsi" w:cstheme="majorHAnsi"/>
                <w:b/>
                <w:sz w:val="22"/>
                <w:szCs w:val="22"/>
                <w:lang w:eastAsia="sk-SK"/>
              </w:rPr>
            </w:pPr>
            <w:r w:rsidRPr="0053555E">
              <w:rPr>
                <w:rFonts w:asciiTheme="majorHAnsi" w:hAnsiTheme="majorHAnsi" w:cstheme="majorHAnsi"/>
                <w:sz w:val="22"/>
                <w:szCs w:val="22"/>
              </w:rPr>
              <w:t>Žilinský kraj</w:t>
            </w:r>
          </w:p>
        </w:tc>
        <w:tc>
          <w:tcPr>
            <w:tcW w:w="1219" w:type="dxa"/>
            <w:shd w:val="clear" w:color="auto" w:fill="auto"/>
            <w:vAlign w:val="bottom"/>
          </w:tcPr>
          <w:p w14:paraId="7C1A9140" w14:textId="46766AB1" w:rsidR="00355EEE" w:rsidRPr="0053555E" w:rsidRDefault="00355EEE" w:rsidP="00355EEE">
            <w:pPr>
              <w:jc w:val="center"/>
              <w:rPr>
                <w:rFonts w:asciiTheme="majorHAnsi" w:hAnsiTheme="majorHAnsi" w:cstheme="majorHAnsi"/>
                <w:sz w:val="22"/>
                <w:szCs w:val="22"/>
              </w:rPr>
            </w:pPr>
            <w:r w:rsidRPr="0053555E">
              <w:rPr>
                <w:rFonts w:cs="Calibri"/>
                <w:sz w:val="22"/>
                <w:szCs w:val="20"/>
              </w:rPr>
              <w:t>10,6</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22433C70" w14:textId="4D5E062D" w:rsidR="00355EEE" w:rsidRPr="0053555E" w:rsidRDefault="00355EEE" w:rsidP="00355EEE">
            <w:pPr>
              <w:jc w:val="center"/>
              <w:rPr>
                <w:rFonts w:asciiTheme="majorHAnsi" w:hAnsiTheme="majorHAnsi" w:cstheme="majorHAnsi"/>
                <w:sz w:val="22"/>
                <w:szCs w:val="22"/>
              </w:rPr>
            </w:pPr>
            <w:r w:rsidRPr="0053555E">
              <w:rPr>
                <w:rFonts w:cs="Calibri"/>
                <w:sz w:val="22"/>
                <w:szCs w:val="20"/>
              </w:rPr>
              <w:t>10,3</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087255A7" w14:textId="606F5286" w:rsidR="00355EEE" w:rsidRPr="0053555E" w:rsidRDefault="00355EEE" w:rsidP="00355EEE">
            <w:pPr>
              <w:jc w:val="center"/>
              <w:rPr>
                <w:rFonts w:asciiTheme="majorHAnsi" w:hAnsiTheme="majorHAnsi" w:cstheme="majorHAnsi"/>
                <w:sz w:val="22"/>
                <w:szCs w:val="22"/>
              </w:rPr>
            </w:pPr>
            <w:r w:rsidRPr="0053555E">
              <w:rPr>
                <w:rFonts w:cs="Calibri"/>
                <w:sz w:val="22"/>
                <w:szCs w:val="20"/>
              </w:rPr>
              <w:t>10,2</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254CADA7" w14:textId="5128FCB1" w:rsidR="00355EEE" w:rsidRPr="0053555E" w:rsidRDefault="00355EEE" w:rsidP="00355EEE">
            <w:pPr>
              <w:jc w:val="center"/>
              <w:rPr>
                <w:rFonts w:asciiTheme="majorHAnsi" w:hAnsiTheme="majorHAnsi" w:cstheme="majorHAnsi"/>
                <w:sz w:val="22"/>
                <w:szCs w:val="22"/>
              </w:rPr>
            </w:pPr>
            <w:r w:rsidRPr="0053555E">
              <w:rPr>
                <w:rFonts w:cs="Calibri"/>
                <w:sz w:val="22"/>
                <w:szCs w:val="20"/>
              </w:rPr>
              <w:t>10,1</w:t>
            </w:r>
            <w:r w:rsidR="00510F81" w:rsidRPr="0053555E">
              <w:rPr>
                <w:rFonts w:cs="Calibri"/>
                <w:sz w:val="22"/>
                <w:szCs w:val="20"/>
              </w:rPr>
              <w:t xml:space="preserve"> </w:t>
            </w:r>
            <w:r w:rsidRPr="0053555E">
              <w:rPr>
                <w:rFonts w:cs="Calibri"/>
                <w:sz w:val="22"/>
                <w:szCs w:val="20"/>
              </w:rPr>
              <w:t>%</w:t>
            </w:r>
          </w:p>
        </w:tc>
        <w:tc>
          <w:tcPr>
            <w:tcW w:w="1220" w:type="dxa"/>
            <w:shd w:val="clear" w:color="auto" w:fill="auto"/>
            <w:vAlign w:val="bottom"/>
          </w:tcPr>
          <w:p w14:paraId="09AEAC2C" w14:textId="24287788" w:rsidR="00355EEE" w:rsidRPr="0053555E" w:rsidRDefault="00355EEE" w:rsidP="00355EEE">
            <w:pPr>
              <w:jc w:val="center"/>
              <w:rPr>
                <w:rFonts w:asciiTheme="majorHAnsi" w:hAnsiTheme="majorHAnsi" w:cstheme="majorHAnsi"/>
                <w:sz w:val="22"/>
                <w:szCs w:val="22"/>
              </w:rPr>
            </w:pPr>
            <w:r w:rsidRPr="0053555E">
              <w:rPr>
                <w:rFonts w:cs="Calibri"/>
                <w:sz w:val="22"/>
                <w:szCs w:val="20"/>
              </w:rPr>
              <w:t>9,7</w:t>
            </w:r>
            <w:r w:rsidR="00435863" w:rsidRPr="0053555E">
              <w:rPr>
                <w:rFonts w:cs="Calibri"/>
                <w:sz w:val="22"/>
                <w:szCs w:val="20"/>
              </w:rPr>
              <w:t xml:space="preserve"> </w:t>
            </w:r>
            <w:r w:rsidRPr="0053555E">
              <w:rPr>
                <w:rFonts w:cs="Calibri"/>
                <w:sz w:val="22"/>
                <w:szCs w:val="20"/>
              </w:rPr>
              <w:t>%</w:t>
            </w:r>
          </w:p>
        </w:tc>
      </w:tr>
      <w:tr w:rsidR="00355EEE" w:rsidRPr="0053555E" w14:paraId="3D0D5752" w14:textId="77777777" w:rsidTr="001605FB">
        <w:trPr>
          <w:trHeight w:val="270"/>
        </w:trPr>
        <w:tc>
          <w:tcPr>
            <w:tcW w:w="3347" w:type="dxa"/>
            <w:shd w:val="clear" w:color="auto" w:fill="auto"/>
            <w:vAlign w:val="center"/>
          </w:tcPr>
          <w:p w14:paraId="34018D68" w14:textId="77777777" w:rsidR="00355EEE" w:rsidRPr="0053555E" w:rsidRDefault="00355EEE" w:rsidP="00355EEE">
            <w:pPr>
              <w:tabs>
                <w:tab w:val="left" w:pos="9356"/>
              </w:tabs>
              <w:jc w:val="both"/>
              <w:rPr>
                <w:rFonts w:asciiTheme="majorHAnsi" w:eastAsia="Times New Roman" w:hAnsiTheme="majorHAnsi" w:cstheme="majorHAnsi"/>
                <w:b/>
                <w:sz w:val="22"/>
                <w:szCs w:val="22"/>
                <w:lang w:eastAsia="sk-SK"/>
              </w:rPr>
            </w:pPr>
            <w:r w:rsidRPr="0053555E">
              <w:rPr>
                <w:rFonts w:asciiTheme="majorHAnsi" w:hAnsiTheme="majorHAnsi" w:cstheme="majorHAnsi"/>
                <w:sz w:val="22"/>
                <w:szCs w:val="22"/>
              </w:rPr>
              <w:t>Banskobystrický kraj</w:t>
            </w:r>
          </w:p>
        </w:tc>
        <w:tc>
          <w:tcPr>
            <w:tcW w:w="1219" w:type="dxa"/>
            <w:shd w:val="clear" w:color="auto" w:fill="auto"/>
            <w:vAlign w:val="bottom"/>
          </w:tcPr>
          <w:p w14:paraId="3A9AA70C" w14:textId="73190659" w:rsidR="00355EEE" w:rsidRPr="0053555E" w:rsidRDefault="00355EEE" w:rsidP="00355EEE">
            <w:pPr>
              <w:jc w:val="center"/>
              <w:rPr>
                <w:rFonts w:asciiTheme="majorHAnsi" w:hAnsiTheme="majorHAnsi" w:cstheme="majorHAnsi"/>
                <w:sz w:val="22"/>
                <w:szCs w:val="22"/>
              </w:rPr>
            </w:pPr>
            <w:r w:rsidRPr="0053555E">
              <w:rPr>
                <w:rFonts w:cs="Calibri"/>
                <w:sz w:val="22"/>
                <w:szCs w:val="20"/>
              </w:rPr>
              <w:t>8,2</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5A075026" w14:textId="2B1FD9F8" w:rsidR="00355EEE" w:rsidRPr="0053555E" w:rsidRDefault="00355EEE" w:rsidP="00355EEE">
            <w:pPr>
              <w:jc w:val="center"/>
              <w:rPr>
                <w:rFonts w:asciiTheme="majorHAnsi" w:hAnsiTheme="majorHAnsi" w:cstheme="majorHAnsi"/>
                <w:sz w:val="22"/>
                <w:szCs w:val="22"/>
              </w:rPr>
            </w:pPr>
            <w:r w:rsidRPr="0053555E">
              <w:rPr>
                <w:rFonts w:cs="Calibri"/>
                <w:sz w:val="22"/>
                <w:szCs w:val="20"/>
              </w:rPr>
              <w:t>8,4</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659AA502" w14:textId="29BDC688" w:rsidR="00355EEE" w:rsidRPr="0053555E" w:rsidRDefault="00355EEE" w:rsidP="00355EEE">
            <w:pPr>
              <w:jc w:val="center"/>
              <w:rPr>
                <w:rFonts w:asciiTheme="majorHAnsi" w:hAnsiTheme="majorHAnsi" w:cstheme="majorHAnsi"/>
                <w:sz w:val="22"/>
                <w:szCs w:val="22"/>
              </w:rPr>
            </w:pPr>
            <w:r w:rsidRPr="0053555E">
              <w:rPr>
                <w:rFonts w:cs="Calibri"/>
                <w:sz w:val="22"/>
                <w:szCs w:val="20"/>
              </w:rPr>
              <w:t>8,2</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78B92A72" w14:textId="4E27E647" w:rsidR="00355EEE" w:rsidRPr="0053555E" w:rsidRDefault="00355EEE" w:rsidP="00355EEE">
            <w:pPr>
              <w:jc w:val="center"/>
              <w:rPr>
                <w:rFonts w:asciiTheme="majorHAnsi" w:hAnsiTheme="majorHAnsi" w:cstheme="majorHAnsi"/>
                <w:sz w:val="22"/>
                <w:szCs w:val="22"/>
              </w:rPr>
            </w:pPr>
            <w:r w:rsidRPr="0053555E">
              <w:rPr>
                <w:rFonts w:cs="Calibri"/>
                <w:sz w:val="22"/>
                <w:szCs w:val="20"/>
              </w:rPr>
              <w:t>8,3%</w:t>
            </w:r>
          </w:p>
        </w:tc>
        <w:tc>
          <w:tcPr>
            <w:tcW w:w="1220" w:type="dxa"/>
            <w:shd w:val="clear" w:color="auto" w:fill="auto"/>
            <w:vAlign w:val="bottom"/>
          </w:tcPr>
          <w:p w14:paraId="729E46C1" w14:textId="3F7E5893" w:rsidR="00355EEE" w:rsidRPr="0053555E" w:rsidRDefault="00355EEE" w:rsidP="00355EEE">
            <w:pPr>
              <w:jc w:val="center"/>
              <w:rPr>
                <w:rFonts w:asciiTheme="majorHAnsi" w:hAnsiTheme="majorHAnsi" w:cstheme="majorHAnsi"/>
                <w:sz w:val="22"/>
                <w:szCs w:val="22"/>
              </w:rPr>
            </w:pPr>
            <w:r w:rsidRPr="0053555E">
              <w:rPr>
                <w:rFonts w:cs="Calibri"/>
                <w:sz w:val="22"/>
                <w:szCs w:val="20"/>
              </w:rPr>
              <w:t>7,9</w:t>
            </w:r>
            <w:r w:rsidR="00435863" w:rsidRPr="0053555E">
              <w:rPr>
                <w:rFonts w:cs="Calibri"/>
                <w:sz w:val="22"/>
                <w:szCs w:val="20"/>
              </w:rPr>
              <w:t xml:space="preserve"> </w:t>
            </w:r>
            <w:r w:rsidRPr="0053555E">
              <w:rPr>
                <w:rFonts w:cs="Calibri"/>
                <w:sz w:val="22"/>
                <w:szCs w:val="20"/>
              </w:rPr>
              <w:t>%</w:t>
            </w:r>
          </w:p>
        </w:tc>
      </w:tr>
      <w:tr w:rsidR="00355EEE" w:rsidRPr="0053555E" w14:paraId="5D095047" w14:textId="77777777" w:rsidTr="001605FB">
        <w:trPr>
          <w:trHeight w:val="270"/>
        </w:trPr>
        <w:tc>
          <w:tcPr>
            <w:tcW w:w="3347" w:type="dxa"/>
            <w:shd w:val="clear" w:color="auto" w:fill="auto"/>
            <w:vAlign w:val="bottom"/>
          </w:tcPr>
          <w:p w14:paraId="43DBAC58" w14:textId="77777777" w:rsidR="00355EEE" w:rsidRPr="0053555E" w:rsidRDefault="00355EEE" w:rsidP="00355EEE">
            <w:pPr>
              <w:tabs>
                <w:tab w:val="left" w:pos="9356"/>
              </w:tabs>
              <w:jc w:val="both"/>
              <w:rPr>
                <w:rFonts w:asciiTheme="majorHAnsi" w:eastAsia="Times New Roman" w:hAnsiTheme="majorHAnsi" w:cstheme="majorHAnsi"/>
                <w:b/>
                <w:sz w:val="22"/>
                <w:szCs w:val="22"/>
                <w:lang w:eastAsia="sk-SK"/>
              </w:rPr>
            </w:pPr>
            <w:r w:rsidRPr="0053555E">
              <w:rPr>
                <w:rFonts w:asciiTheme="majorHAnsi" w:hAnsiTheme="majorHAnsi" w:cstheme="majorHAnsi"/>
                <w:sz w:val="22"/>
                <w:szCs w:val="22"/>
              </w:rPr>
              <w:t>Prešovský kraj</w:t>
            </w:r>
          </w:p>
        </w:tc>
        <w:tc>
          <w:tcPr>
            <w:tcW w:w="1219" w:type="dxa"/>
            <w:shd w:val="clear" w:color="auto" w:fill="auto"/>
            <w:vAlign w:val="bottom"/>
          </w:tcPr>
          <w:p w14:paraId="5D6F97B7" w14:textId="221587FC" w:rsidR="00355EEE" w:rsidRPr="0053555E" w:rsidRDefault="00355EEE" w:rsidP="00355EEE">
            <w:pPr>
              <w:jc w:val="center"/>
              <w:rPr>
                <w:rFonts w:asciiTheme="majorHAnsi" w:hAnsiTheme="majorHAnsi" w:cstheme="majorHAnsi"/>
                <w:sz w:val="22"/>
                <w:szCs w:val="22"/>
              </w:rPr>
            </w:pPr>
            <w:r w:rsidRPr="0053555E">
              <w:rPr>
                <w:rFonts w:cs="Calibri"/>
                <w:sz w:val="22"/>
                <w:szCs w:val="20"/>
              </w:rPr>
              <w:t>8,8</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1D1C28F7" w14:textId="7FF9CEF7" w:rsidR="00355EEE" w:rsidRPr="0053555E" w:rsidRDefault="00355EEE" w:rsidP="00355EEE">
            <w:pPr>
              <w:jc w:val="center"/>
              <w:rPr>
                <w:rFonts w:asciiTheme="majorHAnsi" w:hAnsiTheme="majorHAnsi" w:cstheme="majorHAnsi"/>
                <w:sz w:val="22"/>
                <w:szCs w:val="22"/>
              </w:rPr>
            </w:pPr>
            <w:r w:rsidRPr="0053555E">
              <w:rPr>
                <w:rFonts w:cs="Calibri"/>
                <w:sz w:val="22"/>
                <w:szCs w:val="20"/>
              </w:rPr>
              <w:t>8,8</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5C5C4B45" w14:textId="70761FCD" w:rsidR="00355EEE" w:rsidRPr="0053555E" w:rsidRDefault="00355EEE" w:rsidP="00355EEE">
            <w:pPr>
              <w:jc w:val="center"/>
              <w:rPr>
                <w:rFonts w:asciiTheme="majorHAnsi" w:hAnsiTheme="majorHAnsi" w:cstheme="majorHAnsi"/>
                <w:sz w:val="22"/>
                <w:szCs w:val="22"/>
              </w:rPr>
            </w:pPr>
            <w:r w:rsidRPr="0053555E">
              <w:rPr>
                <w:rFonts w:cs="Calibri"/>
                <w:sz w:val="22"/>
                <w:szCs w:val="20"/>
              </w:rPr>
              <w:t>8,6</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5BC0711A" w14:textId="6BBA13A6" w:rsidR="00355EEE" w:rsidRPr="0053555E" w:rsidRDefault="00355EEE" w:rsidP="00355EEE">
            <w:pPr>
              <w:jc w:val="center"/>
              <w:rPr>
                <w:rFonts w:asciiTheme="majorHAnsi" w:hAnsiTheme="majorHAnsi" w:cstheme="majorHAnsi"/>
                <w:sz w:val="22"/>
                <w:szCs w:val="22"/>
              </w:rPr>
            </w:pPr>
            <w:r w:rsidRPr="0053555E">
              <w:rPr>
                <w:rFonts w:cs="Calibri"/>
                <w:sz w:val="22"/>
                <w:szCs w:val="20"/>
              </w:rPr>
              <w:t>8,5</w:t>
            </w:r>
            <w:r w:rsidR="00510F81" w:rsidRPr="0053555E">
              <w:rPr>
                <w:rFonts w:cs="Calibri"/>
                <w:sz w:val="22"/>
                <w:szCs w:val="20"/>
              </w:rPr>
              <w:t xml:space="preserve"> </w:t>
            </w:r>
            <w:r w:rsidRPr="0053555E">
              <w:rPr>
                <w:rFonts w:cs="Calibri"/>
                <w:sz w:val="22"/>
                <w:szCs w:val="20"/>
              </w:rPr>
              <w:t>%</w:t>
            </w:r>
          </w:p>
        </w:tc>
        <w:tc>
          <w:tcPr>
            <w:tcW w:w="1220" w:type="dxa"/>
            <w:shd w:val="clear" w:color="auto" w:fill="auto"/>
            <w:vAlign w:val="bottom"/>
          </w:tcPr>
          <w:p w14:paraId="00BFE6E3" w14:textId="6D18D3C5" w:rsidR="00355EEE" w:rsidRPr="0053555E" w:rsidRDefault="00355EEE" w:rsidP="00355EEE">
            <w:pPr>
              <w:jc w:val="center"/>
              <w:rPr>
                <w:rFonts w:asciiTheme="majorHAnsi" w:hAnsiTheme="majorHAnsi" w:cstheme="majorHAnsi"/>
                <w:sz w:val="22"/>
                <w:szCs w:val="22"/>
              </w:rPr>
            </w:pPr>
            <w:r w:rsidRPr="0053555E">
              <w:rPr>
                <w:rFonts w:cs="Calibri"/>
                <w:sz w:val="22"/>
                <w:szCs w:val="20"/>
              </w:rPr>
              <w:t>7,9</w:t>
            </w:r>
            <w:r w:rsidR="00435863" w:rsidRPr="0053555E">
              <w:rPr>
                <w:rFonts w:cs="Calibri"/>
                <w:sz w:val="22"/>
                <w:szCs w:val="20"/>
              </w:rPr>
              <w:t xml:space="preserve"> </w:t>
            </w:r>
            <w:r w:rsidRPr="0053555E">
              <w:rPr>
                <w:rFonts w:cs="Calibri"/>
                <w:sz w:val="22"/>
                <w:szCs w:val="20"/>
              </w:rPr>
              <w:t>%</w:t>
            </w:r>
          </w:p>
        </w:tc>
      </w:tr>
      <w:tr w:rsidR="00355EEE" w:rsidRPr="0053555E" w14:paraId="25597D40" w14:textId="77777777" w:rsidTr="001605FB">
        <w:trPr>
          <w:trHeight w:val="270"/>
        </w:trPr>
        <w:tc>
          <w:tcPr>
            <w:tcW w:w="3347" w:type="dxa"/>
            <w:shd w:val="clear" w:color="auto" w:fill="auto"/>
            <w:vAlign w:val="bottom"/>
          </w:tcPr>
          <w:p w14:paraId="4959AE60" w14:textId="77777777" w:rsidR="00355EEE" w:rsidRPr="0053555E" w:rsidRDefault="00355EEE" w:rsidP="00355EEE">
            <w:pPr>
              <w:tabs>
                <w:tab w:val="left" w:pos="9356"/>
              </w:tabs>
              <w:jc w:val="both"/>
              <w:rPr>
                <w:rFonts w:asciiTheme="majorHAnsi" w:eastAsia="Times New Roman" w:hAnsiTheme="majorHAnsi" w:cstheme="majorHAnsi"/>
                <w:b/>
                <w:sz w:val="22"/>
                <w:szCs w:val="22"/>
                <w:lang w:eastAsia="sk-SK"/>
              </w:rPr>
            </w:pPr>
            <w:r w:rsidRPr="0053555E">
              <w:rPr>
                <w:rFonts w:asciiTheme="majorHAnsi" w:hAnsiTheme="majorHAnsi" w:cstheme="majorHAnsi"/>
                <w:sz w:val="22"/>
                <w:szCs w:val="22"/>
              </w:rPr>
              <w:t>Košický kraj</w:t>
            </w:r>
          </w:p>
        </w:tc>
        <w:tc>
          <w:tcPr>
            <w:tcW w:w="1219" w:type="dxa"/>
            <w:shd w:val="clear" w:color="auto" w:fill="auto"/>
            <w:vAlign w:val="bottom"/>
          </w:tcPr>
          <w:p w14:paraId="1083847A" w14:textId="2F0E8792" w:rsidR="00355EEE" w:rsidRPr="0053555E" w:rsidRDefault="00355EEE" w:rsidP="00355EEE">
            <w:pPr>
              <w:jc w:val="center"/>
              <w:rPr>
                <w:rFonts w:asciiTheme="majorHAnsi" w:hAnsiTheme="majorHAnsi" w:cstheme="majorHAnsi"/>
                <w:sz w:val="22"/>
                <w:szCs w:val="22"/>
              </w:rPr>
            </w:pPr>
            <w:r w:rsidRPr="0053555E">
              <w:rPr>
                <w:rFonts w:cs="Calibri"/>
                <w:sz w:val="22"/>
                <w:szCs w:val="20"/>
              </w:rPr>
              <w:t>3,1</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207DE981" w14:textId="2D85CBB3" w:rsidR="00355EEE" w:rsidRPr="0053555E" w:rsidRDefault="00355EEE" w:rsidP="00355EEE">
            <w:pPr>
              <w:jc w:val="center"/>
              <w:rPr>
                <w:rFonts w:asciiTheme="majorHAnsi" w:hAnsiTheme="majorHAnsi" w:cstheme="majorHAnsi"/>
                <w:sz w:val="22"/>
                <w:szCs w:val="22"/>
              </w:rPr>
            </w:pPr>
            <w:r w:rsidRPr="0053555E">
              <w:rPr>
                <w:rFonts w:cs="Calibri"/>
                <w:sz w:val="22"/>
                <w:szCs w:val="20"/>
              </w:rPr>
              <w:t>3,1</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1973C1A6" w14:textId="7EAEF7DA" w:rsidR="00355EEE" w:rsidRPr="0053555E" w:rsidRDefault="00355EEE" w:rsidP="00355EEE">
            <w:pPr>
              <w:jc w:val="center"/>
              <w:rPr>
                <w:rFonts w:asciiTheme="majorHAnsi" w:hAnsiTheme="majorHAnsi" w:cstheme="majorHAnsi"/>
                <w:sz w:val="22"/>
                <w:szCs w:val="22"/>
              </w:rPr>
            </w:pPr>
            <w:r w:rsidRPr="0053555E">
              <w:rPr>
                <w:rFonts w:cs="Calibri"/>
                <w:sz w:val="22"/>
                <w:szCs w:val="20"/>
              </w:rPr>
              <w:t>3,0</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08D8B13C" w14:textId="5C90A9AF" w:rsidR="00355EEE" w:rsidRPr="0053555E" w:rsidRDefault="00355EEE" w:rsidP="00355EEE">
            <w:pPr>
              <w:jc w:val="center"/>
              <w:rPr>
                <w:rFonts w:asciiTheme="majorHAnsi" w:hAnsiTheme="majorHAnsi" w:cstheme="majorHAnsi"/>
                <w:sz w:val="22"/>
                <w:szCs w:val="22"/>
              </w:rPr>
            </w:pPr>
            <w:r w:rsidRPr="0053555E">
              <w:rPr>
                <w:rFonts w:cs="Calibri"/>
                <w:sz w:val="22"/>
                <w:szCs w:val="20"/>
              </w:rPr>
              <w:t>2,9</w:t>
            </w:r>
            <w:r w:rsidR="00510F81" w:rsidRPr="0053555E">
              <w:rPr>
                <w:rFonts w:cs="Calibri"/>
                <w:sz w:val="22"/>
                <w:szCs w:val="20"/>
              </w:rPr>
              <w:t xml:space="preserve"> </w:t>
            </w:r>
            <w:r w:rsidRPr="0053555E">
              <w:rPr>
                <w:rFonts w:cs="Calibri"/>
                <w:sz w:val="22"/>
                <w:szCs w:val="20"/>
              </w:rPr>
              <w:t>%</w:t>
            </w:r>
          </w:p>
        </w:tc>
        <w:tc>
          <w:tcPr>
            <w:tcW w:w="1220" w:type="dxa"/>
            <w:shd w:val="clear" w:color="auto" w:fill="auto"/>
            <w:vAlign w:val="bottom"/>
          </w:tcPr>
          <w:p w14:paraId="7C13F98C" w14:textId="6C811AA2" w:rsidR="00355EEE" w:rsidRPr="0053555E" w:rsidRDefault="00355EEE" w:rsidP="00355EEE">
            <w:pPr>
              <w:jc w:val="center"/>
              <w:rPr>
                <w:rFonts w:asciiTheme="majorHAnsi" w:hAnsiTheme="majorHAnsi" w:cstheme="majorHAnsi"/>
                <w:sz w:val="22"/>
                <w:szCs w:val="22"/>
              </w:rPr>
            </w:pPr>
            <w:r w:rsidRPr="0053555E">
              <w:rPr>
                <w:rFonts w:cs="Calibri"/>
                <w:sz w:val="22"/>
                <w:szCs w:val="20"/>
              </w:rPr>
              <w:t>2,8</w:t>
            </w:r>
            <w:r w:rsidR="00435863" w:rsidRPr="0053555E">
              <w:rPr>
                <w:rFonts w:cs="Calibri"/>
                <w:sz w:val="22"/>
                <w:szCs w:val="20"/>
              </w:rPr>
              <w:t xml:space="preserve"> </w:t>
            </w:r>
            <w:r w:rsidRPr="0053555E">
              <w:rPr>
                <w:rFonts w:cs="Calibri"/>
                <w:sz w:val="22"/>
                <w:szCs w:val="20"/>
              </w:rPr>
              <w:t>%</w:t>
            </w:r>
          </w:p>
        </w:tc>
      </w:tr>
      <w:tr w:rsidR="00355EEE" w:rsidRPr="0053555E" w14:paraId="4244F048" w14:textId="77777777" w:rsidTr="001605FB">
        <w:trPr>
          <w:trHeight w:val="270"/>
        </w:trPr>
        <w:tc>
          <w:tcPr>
            <w:tcW w:w="3347" w:type="dxa"/>
            <w:shd w:val="clear" w:color="auto" w:fill="auto"/>
            <w:vAlign w:val="center"/>
          </w:tcPr>
          <w:p w14:paraId="7526D0CC" w14:textId="77777777" w:rsidR="00355EEE" w:rsidRPr="0053555E" w:rsidRDefault="00355EEE" w:rsidP="00355EEE">
            <w:pPr>
              <w:tabs>
                <w:tab w:val="left" w:pos="9356"/>
              </w:tabs>
              <w:jc w:val="both"/>
              <w:rPr>
                <w:rFonts w:asciiTheme="majorHAnsi" w:eastAsia="Times New Roman" w:hAnsiTheme="majorHAnsi" w:cstheme="majorHAnsi"/>
                <w:b/>
                <w:sz w:val="22"/>
                <w:szCs w:val="22"/>
                <w:lang w:eastAsia="sk-SK"/>
              </w:rPr>
            </w:pPr>
            <w:r w:rsidRPr="0053555E">
              <w:rPr>
                <w:rFonts w:asciiTheme="majorHAnsi" w:hAnsiTheme="majorHAnsi" w:cstheme="majorHAnsi"/>
                <w:sz w:val="22"/>
                <w:szCs w:val="22"/>
              </w:rPr>
              <w:t xml:space="preserve">mimo SR (zahraniční študenti) </w:t>
            </w:r>
          </w:p>
        </w:tc>
        <w:tc>
          <w:tcPr>
            <w:tcW w:w="1219" w:type="dxa"/>
            <w:shd w:val="clear" w:color="auto" w:fill="auto"/>
            <w:vAlign w:val="bottom"/>
          </w:tcPr>
          <w:p w14:paraId="6D250610" w14:textId="5B73A848" w:rsidR="00355EEE" w:rsidRPr="0053555E" w:rsidRDefault="00355EEE" w:rsidP="00355EEE">
            <w:pPr>
              <w:jc w:val="center"/>
              <w:rPr>
                <w:rFonts w:asciiTheme="majorHAnsi" w:hAnsiTheme="majorHAnsi" w:cstheme="majorHAnsi"/>
                <w:sz w:val="22"/>
                <w:szCs w:val="22"/>
              </w:rPr>
            </w:pPr>
            <w:r w:rsidRPr="0053555E">
              <w:rPr>
                <w:rFonts w:cs="Calibri"/>
                <w:sz w:val="22"/>
                <w:szCs w:val="20"/>
              </w:rPr>
              <w:t>3,3</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406679A4" w14:textId="00E45026" w:rsidR="00355EEE" w:rsidRPr="0053555E" w:rsidRDefault="00355EEE" w:rsidP="00355EEE">
            <w:pPr>
              <w:jc w:val="center"/>
              <w:rPr>
                <w:rFonts w:asciiTheme="majorHAnsi" w:hAnsiTheme="majorHAnsi" w:cstheme="majorHAnsi"/>
                <w:sz w:val="22"/>
                <w:szCs w:val="22"/>
              </w:rPr>
            </w:pPr>
            <w:r w:rsidRPr="0053555E">
              <w:rPr>
                <w:rFonts w:cs="Calibri"/>
                <w:sz w:val="22"/>
                <w:szCs w:val="20"/>
              </w:rPr>
              <w:t>4,0</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36555CB9" w14:textId="1967541E" w:rsidR="00355EEE" w:rsidRPr="0053555E" w:rsidRDefault="00355EEE" w:rsidP="00355EEE">
            <w:pPr>
              <w:jc w:val="center"/>
              <w:rPr>
                <w:rFonts w:asciiTheme="majorHAnsi" w:hAnsiTheme="majorHAnsi" w:cstheme="majorHAnsi"/>
                <w:sz w:val="22"/>
                <w:szCs w:val="22"/>
              </w:rPr>
            </w:pPr>
            <w:r w:rsidRPr="0053555E">
              <w:rPr>
                <w:rFonts w:cs="Calibri"/>
                <w:sz w:val="22"/>
                <w:szCs w:val="20"/>
              </w:rPr>
              <w:t>5,4</w:t>
            </w:r>
            <w:r w:rsidR="00510F81" w:rsidRPr="0053555E">
              <w:rPr>
                <w:rFonts w:cs="Calibri"/>
                <w:sz w:val="22"/>
                <w:szCs w:val="20"/>
              </w:rPr>
              <w:t xml:space="preserve"> </w:t>
            </w:r>
            <w:r w:rsidRPr="0053555E">
              <w:rPr>
                <w:rFonts w:cs="Calibri"/>
                <w:sz w:val="22"/>
                <w:szCs w:val="20"/>
              </w:rPr>
              <w:t>%</w:t>
            </w:r>
          </w:p>
        </w:tc>
        <w:tc>
          <w:tcPr>
            <w:tcW w:w="1219" w:type="dxa"/>
            <w:shd w:val="clear" w:color="auto" w:fill="auto"/>
            <w:vAlign w:val="bottom"/>
          </w:tcPr>
          <w:p w14:paraId="03D2FE60" w14:textId="34CA8B72" w:rsidR="00355EEE" w:rsidRPr="0053555E" w:rsidRDefault="00355EEE" w:rsidP="00355EEE">
            <w:pPr>
              <w:jc w:val="center"/>
              <w:rPr>
                <w:rFonts w:asciiTheme="majorHAnsi" w:hAnsiTheme="majorHAnsi" w:cstheme="majorHAnsi"/>
                <w:sz w:val="22"/>
                <w:szCs w:val="22"/>
              </w:rPr>
            </w:pPr>
            <w:r w:rsidRPr="0053555E">
              <w:rPr>
                <w:rFonts w:cs="Calibri"/>
                <w:sz w:val="22"/>
                <w:szCs w:val="20"/>
              </w:rPr>
              <w:t>6,7</w:t>
            </w:r>
            <w:r w:rsidR="00510F81" w:rsidRPr="0053555E">
              <w:rPr>
                <w:rFonts w:cs="Calibri"/>
                <w:sz w:val="22"/>
                <w:szCs w:val="20"/>
              </w:rPr>
              <w:t xml:space="preserve"> </w:t>
            </w:r>
            <w:r w:rsidRPr="0053555E">
              <w:rPr>
                <w:rFonts w:cs="Calibri"/>
                <w:sz w:val="22"/>
                <w:szCs w:val="20"/>
              </w:rPr>
              <w:t>%</w:t>
            </w:r>
          </w:p>
        </w:tc>
        <w:tc>
          <w:tcPr>
            <w:tcW w:w="1220" w:type="dxa"/>
            <w:shd w:val="clear" w:color="auto" w:fill="auto"/>
            <w:vAlign w:val="bottom"/>
          </w:tcPr>
          <w:p w14:paraId="50756232" w14:textId="2FE7B29D" w:rsidR="00355EEE" w:rsidRPr="0053555E" w:rsidRDefault="00355EEE" w:rsidP="00355EEE">
            <w:pPr>
              <w:jc w:val="center"/>
              <w:rPr>
                <w:rFonts w:asciiTheme="majorHAnsi" w:hAnsiTheme="majorHAnsi" w:cstheme="majorHAnsi"/>
                <w:sz w:val="22"/>
                <w:szCs w:val="22"/>
              </w:rPr>
            </w:pPr>
            <w:r w:rsidRPr="0053555E">
              <w:rPr>
                <w:rFonts w:cs="Calibri"/>
                <w:sz w:val="22"/>
                <w:szCs w:val="20"/>
              </w:rPr>
              <w:t>9,4</w:t>
            </w:r>
            <w:r w:rsidR="00435863" w:rsidRPr="0053555E">
              <w:rPr>
                <w:rFonts w:cs="Calibri"/>
                <w:sz w:val="22"/>
                <w:szCs w:val="20"/>
              </w:rPr>
              <w:t xml:space="preserve"> </w:t>
            </w:r>
            <w:r w:rsidRPr="0053555E">
              <w:rPr>
                <w:rFonts w:cs="Calibri"/>
                <w:sz w:val="22"/>
                <w:szCs w:val="20"/>
              </w:rPr>
              <w:t>%</w:t>
            </w:r>
          </w:p>
        </w:tc>
      </w:tr>
      <w:tr w:rsidR="00355EEE" w:rsidRPr="0053555E" w14:paraId="7EAA1D75" w14:textId="77777777" w:rsidTr="001605FB">
        <w:trPr>
          <w:trHeight w:val="525"/>
        </w:trPr>
        <w:tc>
          <w:tcPr>
            <w:tcW w:w="334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9C2C502" w14:textId="0FFAD58A" w:rsidR="00355EEE" w:rsidRPr="0053555E" w:rsidRDefault="00355EEE" w:rsidP="00355EEE">
            <w:pPr>
              <w:tabs>
                <w:tab w:val="left" w:pos="9356"/>
              </w:tabs>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 xml:space="preserve">mimo </w:t>
            </w:r>
            <w:r w:rsidR="00BD1D45">
              <w:rPr>
                <w:rFonts w:asciiTheme="majorHAnsi" w:eastAsia="Times New Roman" w:hAnsiTheme="majorHAnsi" w:cstheme="majorHAnsi"/>
                <w:b/>
                <w:sz w:val="22"/>
                <w:szCs w:val="22"/>
                <w:lang w:eastAsia="sk-SK"/>
              </w:rPr>
              <w:t>B</w:t>
            </w:r>
            <w:r w:rsidRPr="0053555E">
              <w:rPr>
                <w:rFonts w:asciiTheme="majorHAnsi" w:eastAsia="Times New Roman" w:hAnsiTheme="majorHAnsi" w:cstheme="majorHAnsi"/>
                <w:b/>
                <w:sz w:val="22"/>
                <w:szCs w:val="22"/>
                <w:lang w:eastAsia="sk-SK"/>
              </w:rPr>
              <w:t>ratislavské kraje spolu (vrátane zahraničných študentov)</w:t>
            </w:r>
          </w:p>
        </w:tc>
        <w:tc>
          <w:tcPr>
            <w:tcW w:w="121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00CC92C" w14:textId="7F0BAD7E" w:rsidR="00355EEE" w:rsidRPr="0053555E" w:rsidRDefault="00355EEE" w:rsidP="00355EEE">
            <w:pPr>
              <w:jc w:val="center"/>
              <w:rPr>
                <w:rFonts w:asciiTheme="majorHAnsi" w:hAnsiTheme="majorHAnsi" w:cstheme="majorHAnsi"/>
                <w:b/>
                <w:sz w:val="22"/>
                <w:szCs w:val="22"/>
              </w:rPr>
            </w:pPr>
            <w:r w:rsidRPr="0053555E">
              <w:rPr>
                <w:rFonts w:cs="Calibri"/>
                <w:b/>
                <w:sz w:val="22"/>
                <w:szCs w:val="20"/>
              </w:rPr>
              <w:t>80,4</w:t>
            </w:r>
            <w:r w:rsidR="00510F81" w:rsidRPr="0053555E">
              <w:rPr>
                <w:rFonts w:cs="Calibri"/>
                <w:b/>
                <w:sz w:val="22"/>
                <w:szCs w:val="20"/>
              </w:rPr>
              <w:t xml:space="preserve"> </w:t>
            </w:r>
            <w:r w:rsidRPr="0053555E">
              <w:rPr>
                <w:rFonts w:cs="Calibri"/>
                <w:b/>
                <w:sz w:val="22"/>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58E88F5" w14:textId="51E3652C" w:rsidR="00355EEE" w:rsidRPr="0053555E" w:rsidRDefault="00355EEE" w:rsidP="00355EEE">
            <w:pPr>
              <w:jc w:val="center"/>
              <w:rPr>
                <w:rFonts w:asciiTheme="majorHAnsi" w:hAnsiTheme="majorHAnsi" w:cstheme="majorHAnsi"/>
                <w:b/>
                <w:sz w:val="22"/>
                <w:szCs w:val="22"/>
              </w:rPr>
            </w:pPr>
            <w:r w:rsidRPr="0053555E">
              <w:rPr>
                <w:rFonts w:cs="Calibri"/>
                <w:b/>
                <w:sz w:val="22"/>
                <w:szCs w:val="20"/>
              </w:rPr>
              <w:t>80,8</w:t>
            </w:r>
            <w:r w:rsidR="00510F81" w:rsidRPr="0053555E">
              <w:rPr>
                <w:rFonts w:cs="Calibri"/>
                <w:b/>
                <w:sz w:val="22"/>
                <w:szCs w:val="20"/>
              </w:rPr>
              <w:t xml:space="preserve"> </w:t>
            </w:r>
            <w:r w:rsidRPr="0053555E">
              <w:rPr>
                <w:rFonts w:cs="Calibri"/>
                <w:b/>
                <w:sz w:val="22"/>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828EF1A" w14:textId="2C12C85C" w:rsidR="00355EEE" w:rsidRPr="0053555E" w:rsidRDefault="00355EEE" w:rsidP="00355EEE">
            <w:pPr>
              <w:jc w:val="center"/>
              <w:rPr>
                <w:rFonts w:asciiTheme="majorHAnsi" w:hAnsiTheme="majorHAnsi" w:cstheme="majorHAnsi"/>
                <w:b/>
                <w:sz w:val="22"/>
                <w:szCs w:val="22"/>
              </w:rPr>
            </w:pPr>
            <w:r w:rsidRPr="0053555E">
              <w:rPr>
                <w:rFonts w:cs="Calibri"/>
                <w:b/>
                <w:sz w:val="22"/>
                <w:szCs w:val="20"/>
              </w:rPr>
              <w:t>80,5</w:t>
            </w:r>
            <w:r w:rsidR="00510F81" w:rsidRPr="0053555E">
              <w:rPr>
                <w:rFonts w:cs="Calibri"/>
                <w:b/>
                <w:sz w:val="22"/>
                <w:szCs w:val="20"/>
              </w:rPr>
              <w:t xml:space="preserve"> </w:t>
            </w:r>
            <w:r w:rsidRPr="0053555E">
              <w:rPr>
                <w:rFonts w:cs="Calibri"/>
                <w:b/>
                <w:sz w:val="22"/>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56998F5" w14:textId="653947F3" w:rsidR="00355EEE" w:rsidRPr="0053555E" w:rsidRDefault="00355EEE" w:rsidP="00355EEE">
            <w:pPr>
              <w:jc w:val="center"/>
              <w:rPr>
                <w:rFonts w:asciiTheme="majorHAnsi" w:hAnsiTheme="majorHAnsi" w:cstheme="majorHAnsi"/>
                <w:b/>
                <w:sz w:val="22"/>
                <w:szCs w:val="22"/>
              </w:rPr>
            </w:pPr>
            <w:r w:rsidRPr="0053555E">
              <w:rPr>
                <w:rFonts w:cs="Calibri"/>
                <w:b/>
                <w:sz w:val="22"/>
                <w:szCs w:val="20"/>
              </w:rPr>
              <w:t>80,4</w:t>
            </w:r>
            <w:r w:rsidR="00435863" w:rsidRPr="0053555E">
              <w:rPr>
                <w:rFonts w:cs="Calibri"/>
                <w:b/>
                <w:sz w:val="22"/>
                <w:szCs w:val="20"/>
              </w:rPr>
              <w:t xml:space="preserve"> </w:t>
            </w:r>
            <w:r w:rsidRPr="0053555E">
              <w:rPr>
                <w:rFonts w:cs="Calibri"/>
                <w:b/>
                <w:sz w:val="22"/>
                <w:szCs w:val="20"/>
              </w:rPr>
              <w:t>%</w:t>
            </w:r>
          </w:p>
        </w:tc>
        <w:tc>
          <w:tcPr>
            <w:tcW w:w="12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F1DA0AF" w14:textId="66BBEAF4" w:rsidR="00355EEE" w:rsidRPr="0053555E" w:rsidRDefault="00355EEE" w:rsidP="00355EEE">
            <w:pPr>
              <w:jc w:val="center"/>
              <w:rPr>
                <w:rFonts w:asciiTheme="majorHAnsi" w:hAnsiTheme="majorHAnsi" w:cstheme="majorHAnsi"/>
                <w:b/>
                <w:sz w:val="22"/>
                <w:szCs w:val="22"/>
              </w:rPr>
            </w:pPr>
            <w:r w:rsidRPr="0053555E">
              <w:rPr>
                <w:rFonts w:cs="Calibri"/>
                <w:b/>
                <w:sz w:val="22"/>
                <w:szCs w:val="20"/>
              </w:rPr>
              <w:t>80,7</w:t>
            </w:r>
            <w:r w:rsidR="00435863" w:rsidRPr="0053555E">
              <w:rPr>
                <w:rFonts w:cs="Calibri"/>
                <w:b/>
                <w:sz w:val="22"/>
                <w:szCs w:val="20"/>
              </w:rPr>
              <w:t xml:space="preserve"> </w:t>
            </w:r>
            <w:r w:rsidRPr="0053555E">
              <w:rPr>
                <w:rFonts w:cs="Calibri"/>
                <w:b/>
                <w:sz w:val="22"/>
                <w:szCs w:val="20"/>
              </w:rPr>
              <w:t>%</w:t>
            </w:r>
          </w:p>
        </w:tc>
      </w:tr>
    </w:tbl>
    <w:p w14:paraId="5F390112" w14:textId="77777777" w:rsidR="00D57EFC" w:rsidRPr="0053555E" w:rsidRDefault="00D57EFC" w:rsidP="0042210A">
      <w:pPr>
        <w:tabs>
          <w:tab w:val="left" w:pos="9356"/>
        </w:tabs>
        <w:jc w:val="both"/>
        <w:rPr>
          <w:rFonts w:asciiTheme="majorHAnsi" w:hAnsiTheme="majorHAnsi" w:cstheme="majorHAnsi"/>
          <w:b/>
        </w:rPr>
      </w:pPr>
    </w:p>
    <w:p w14:paraId="28EAFB36" w14:textId="338EAE66" w:rsidR="0042210A" w:rsidRPr="0053555E" w:rsidRDefault="0042210A" w:rsidP="0042210A">
      <w:pPr>
        <w:tabs>
          <w:tab w:val="left" w:pos="9356"/>
        </w:tabs>
        <w:jc w:val="both"/>
        <w:rPr>
          <w:rFonts w:asciiTheme="majorHAnsi" w:hAnsiTheme="majorHAnsi" w:cstheme="majorHAnsi"/>
        </w:rPr>
      </w:pPr>
      <w:r w:rsidRPr="0053555E">
        <w:rPr>
          <w:rFonts w:asciiTheme="majorHAnsi" w:hAnsiTheme="majorHAnsi" w:cstheme="majorHAnsi"/>
          <w:b/>
        </w:rPr>
        <w:t>Z uvedeného prehľadu je zrejm</w:t>
      </w:r>
      <w:r w:rsidR="00A559BF">
        <w:rPr>
          <w:rFonts w:asciiTheme="majorHAnsi" w:hAnsiTheme="majorHAnsi" w:cstheme="majorHAnsi"/>
          <w:b/>
        </w:rPr>
        <w:t>é</w:t>
      </w:r>
      <w:r w:rsidRPr="0053555E">
        <w:rPr>
          <w:rFonts w:asciiTheme="majorHAnsi" w:hAnsiTheme="majorHAnsi" w:cstheme="majorHAnsi"/>
          <w:b/>
        </w:rPr>
        <w:t xml:space="preserve"> výrazn</w:t>
      </w:r>
      <w:r w:rsidR="00A559BF">
        <w:rPr>
          <w:rFonts w:asciiTheme="majorHAnsi" w:hAnsiTheme="majorHAnsi" w:cstheme="majorHAnsi"/>
          <w:b/>
        </w:rPr>
        <w:t>é</w:t>
      </w:r>
      <w:r w:rsidRPr="0053555E">
        <w:rPr>
          <w:rFonts w:asciiTheme="majorHAnsi" w:hAnsiTheme="majorHAnsi" w:cstheme="majorHAnsi"/>
          <w:b/>
        </w:rPr>
        <w:t xml:space="preserve"> celoslovensk</w:t>
      </w:r>
      <w:r w:rsidR="00A559BF">
        <w:rPr>
          <w:rFonts w:asciiTheme="majorHAnsi" w:hAnsiTheme="majorHAnsi" w:cstheme="majorHAnsi"/>
          <w:b/>
        </w:rPr>
        <w:t>é</w:t>
      </w:r>
      <w:r w:rsidRPr="0053555E">
        <w:rPr>
          <w:rFonts w:asciiTheme="majorHAnsi" w:hAnsiTheme="majorHAnsi" w:cstheme="majorHAnsi"/>
          <w:b/>
        </w:rPr>
        <w:t xml:space="preserve"> </w:t>
      </w:r>
      <w:r w:rsidR="00A559BF">
        <w:rPr>
          <w:rFonts w:asciiTheme="majorHAnsi" w:hAnsiTheme="majorHAnsi" w:cstheme="majorHAnsi"/>
          <w:b/>
        </w:rPr>
        <w:t>zastúpenie študentov</w:t>
      </w:r>
      <w:r w:rsidRPr="0053555E">
        <w:rPr>
          <w:rFonts w:asciiTheme="majorHAnsi" w:hAnsiTheme="majorHAnsi" w:cstheme="majorHAnsi"/>
          <w:b/>
        </w:rPr>
        <w:t xml:space="preserve"> STU</w:t>
      </w:r>
      <w:r w:rsidRPr="0053555E">
        <w:rPr>
          <w:rFonts w:asciiTheme="majorHAnsi" w:hAnsiTheme="majorHAnsi" w:cstheme="majorHAnsi"/>
        </w:rPr>
        <w:t>, ktor</w:t>
      </w:r>
      <w:r w:rsidR="00A559BF">
        <w:rPr>
          <w:rFonts w:asciiTheme="majorHAnsi" w:hAnsiTheme="majorHAnsi" w:cstheme="majorHAnsi"/>
        </w:rPr>
        <w:t>é</w:t>
      </w:r>
      <w:r w:rsidRPr="0053555E">
        <w:rPr>
          <w:rFonts w:asciiTheme="majorHAnsi" w:hAnsiTheme="majorHAnsi" w:cstheme="majorHAnsi"/>
        </w:rPr>
        <w:t xml:space="preserve"> je dlhodobo stabiln</w:t>
      </w:r>
      <w:r w:rsidR="00A559BF">
        <w:rPr>
          <w:rFonts w:asciiTheme="majorHAnsi" w:hAnsiTheme="majorHAnsi" w:cstheme="majorHAnsi"/>
        </w:rPr>
        <w:t xml:space="preserve">é </w:t>
      </w:r>
      <w:r w:rsidRPr="0053555E">
        <w:rPr>
          <w:rFonts w:asciiTheme="majorHAnsi" w:hAnsiTheme="majorHAnsi" w:cstheme="majorHAnsi"/>
        </w:rPr>
        <w:t xml:space="preserve">– </w:t>
      </w:r>
      <w:r w:rsidR="005E6C6F">
        <w:rPr>
          <w:rFonts w:asciiTheme="majorHAnsi" w:hAnsiTheme="majorHAnsi" w:cstheme="majorHAnsi"/>
        </w:rPr>
        <w:t>len</w:t>
      </w:r>
      <w:r w:rsidRPr="0053555E">
        <w:rPr>
          <w:rFonts w:asciiTheme="majorHAnsi" w:hAnsiTheme="majorHAnsi" w:cstheme="majorHAnsi"/>
        </w:rPr>
        <w:t xml:space="preserve"> 1/5 študentov STU</w:t>
      </w:r>
      <w:r w:rsidR="005E6C6F">
        <w:rPr>
          <w:rFonts w:asciiTheme="majorHAnsi" w:hAnsiTheme="majorHAnsi" w:cstheme="majorHAnsi"/>
        </w:rPr>
        <w:t xml:space="preserve"> je</w:t>
      </w:r>
      <w:r w:rsidRPr="0053555E">
        <w:rPr>
          <w:rFonts w:asciiTheme="majorHAnsi" w:hAnsiTheme="majorHAnsi" w:cstheme="majorHAnsi"/>
        </w:rPr>
        <w:t xml:space="preserve"> z Bratislavského kraja. Okresy Bratislava I až V boli v akademickom roku </w:t>
      </w:r>
      <w:r w:rsidR="00EA24BA" w:rsidRPr="0053555E">
        <w:rPr>
          <w:rFonts w:asciiTheme="majorHAnsi" w:hAnsiTheme="majorHAnsi" w:cstheme="majorHAnsi"/>
        </w:rPr>
        <w:t>2021/2022</w:t>
      </w:r>
      <w:r w:rsidRPr="0053555E">
        <w:rPr>
          <w:rFonts w:asciiTheme="majorHAnsi" w:hAnsiTheme="majorHAnsi" w:cstheme="majorHAnsi"/>
        </w:rPr>
        <w:t xml:space="preserve"> zastúpené </w:t>
      </w:r>
      <w:r w:rsidRPr="0053555E">
        <w:rPr>
          <w:rFonts w:asciiTheme="majorHAnsi" w:hAnsiTheme="majorHAnsi" w:cstheme="majorHAnsi"/>
          <w:b/>
        </w:rPr>
        <w:t>12,</w:t>
      </w:r>
      <w:r w:rsidR="00A559BF">
        <w:rPr>
          <w:rFonts w:asciiTheme="majorHAnsi" w:hAnsiTheme="majorHAnsi" w:cstheme="majorHAnsi"/>
          <w:b/>
        </w:rPr>
        <w:t>1</w:t>
      </w:r>
      <w:r w:rsidRPr="0053555E">
        <w:rPr>
          <w:rFonts w:asciiTheme="majorHAnsi" w:hAnsiTheme="majorHAnsi" w:cstheme="majorHAnsi"/>
          <w:b/>
        </w:rPr>
        <w:t xml:space="preserve"> % </w:t>
      </w:r>
      <w:r w:rsidRPr="0053555E">
        <w:rPr>
          <w:rFonts w:asciiTheme="majorHAnsi" w:hAnsiTheme="majorHAnsi" w:cstheme="majorHAnsi"/>
        </w:rPr>
        <w:t xml:space="preserve">študentov z celkového počtu študentov STU, pričom za ostatných päť akademických rokov bol zaznamenaný pokles počtu študentov </w:t>
      </w:r>
      <w:r w:rsidR="000C002C">
        <w:rPr>
          <w:rFonts w:asciiTheme="majorHAnsi" w:hAnsiTheme="majorHAnsi" w:cstheme="majorHAnsi"/>
        </w:rPr>
        <w:t>z</w:t>
      </w:r>
      <w:r w:rsidRPr="0053555E">
        <w:rPr>
          <w:rFonts w:asciiTheme="majorHAnsi" w:hAnsiTheme="majorHAnsi" w:cstheme="majorHAnsi"/>
        </w:rPr>
        <w:t xml:space="preserve"> Bratislavy, tento pokles sa prejavil </w:t>
      </w:r>
      <w:r w:rsidR="00D14E8F">
        <w:rPr>
          <w:rFonts w:asciiTheme="majorHAnsi" w:hAnsiTheme="majorHAnsi" w:cstheme="majorHAnsi"/>
        </w:rPr>
        <w:t xml:space="preserve">aj </w:t>
      </w:r>
      <w:r w:rsidRPr="0053555E">
        <w:rPr>
          <w:rFonts w:asciiTheme="majorHAnsi" w:hAnsiTheme="majorHAnsi" w:cstheme="majorHAnsi"/>
        </w:rPr>
        <w:t xml:space="preserve">na zastúpení študentov s trvalým bydliskom v Bratislavskom kraji. Z Trnavského kraja, kde má STU </w:t>
      </w:r>
      <w:r w:rsidR="0093239F" w:rsidRPr="0053555E">
        <w:rPr>
          <w:rFonts w:asciiTheme="majorHAnsi" w:hAnsiTheme="majorHAnsi" w:cstheme="majorHAnsi"/>
        </w:rPr>
        <w:t xml:space="preserve">sídlo </w:t>
      </w:r>
      <w:r w:rsidRPr="0053555E">
        <w:rPr>
          <w:rFonts w:asciiTheme="majorHAnsi" w:hAnsiTheme="majorHAnsi" w:cstheme="majorHAnsi"/>
        </w:rPr>
        <w:t>jedn</w:t>
      </w:r>
      <w:r w:rsidR="0093239F" w:rsidRPr="0053555E">
        <w:rPr>
          <w:rFonts w:asciiTheme="majorHAnsi" w:hAnsiTheme="majorHAnsi" w:cstheme="majorHAnsi"/>
        </w:rPr>
        <w:t>ej z fakúlt</w:t>
      </w:r>
      <w:r w:rsidRPr="0053555E">
        <w:rPr>
          <w:rFonts w:asciiTheme="majorHAnsi" w:hAnsiTheme="majorHAnsi" w:cstheme="majorHAnsi"/>
        </w:rPr>
        <w:t xml:space="preserve">, je </w:t>
      </w:r>
      <w:r w:rsidR="00D14E8F">
        <w:rPr>
          <w:rFonts w:asciiTheme="majorHAnsi" w:hAnsiTheme="majorHAnsi" w:cstheme="majorHAnsi"/>
          <w:b/>
        </w:rPr>
        <w:t>17</w:t>
      </w:r>
      <w:r w:rsidRPr="0053555E">
        <w:rPr>
          <w:rFonts w:asciiTheme="majorHAnsi" w:hAnsiTheme="majorHAnsi" w:cstheme="majorHAnsi"/>
          <w:b/>
        </w:rPr>
        <w:t>,</w:t>
      </w:r>
      <w:r w:rsidR="00D14E8F">
        <w:rPr>
          <w:rFonts w:asciiTheme="majorHAnsi" w:hAnsiTheme="majorHAnsi" w:cstheme="majorHAnsi"/>
          <w:b/>
        </w:rPr>
        <w:t>9</w:t>
      </w:r>
      <w:r w:rsidRPr="0053555E">
        <w:rPr>
          <w:rFonts w:asciiTheme="majorHAnsi" w:hAnsiTheme="majorHAnsi" w:cstheme="majorHAnsi"/>
          <w:b/>
        </w:rPr>
        <w:t> %</w:t>
      </w:r>
      <w:r w:rsidRPr="0053555E">
        <w:rPr>
          <w:rFonts w:asciiTheme="majorHAnsi" w:hAnsiTheme="majorHAnsi" w:cstheme="majorHAnsi"/>
        </w:rPr>
        <w:t xml:space="preserve"> študentov.</w:t>
      </w:r>
    </w:p>
    <w:p w14:paraId="654928DD" w14:textId="77777777" w:rsidR="00E14578" w:rsidRPr="0053555E" w:rsidRDefault="00E14578">
      <w:pPr>
        <w:rPr>
          <w:rFonts w:asciiTheme="majorHAnsi" w:hAnsiTheme="majorHAnsi" w:cstheme="majorHAnsi"/>
        </w:rPr>
      </w:pPr>
    </w:p>
    <w:p w14:paraId="20FD22C1" w14:textId="7EAEE8A2" w:rsidR="0042210A" w:rsidRPr="0072770E" w:rsidRDefault="0072770E" w:rsidP="0072770E">
      <w:pPr>
        <w:rPr>
          <w:b/>
          <w:sz w:val="28"/>
          <w:szCs w:val="28"/>
        </w:rPr>
      </w:pPr>
      <w:bookmarkStart w:id="67" w:name="_Toc127593219"/>
      <w:r w:rsidRPr="0072770E">
        <w:rPr>
          <w:b/>
          <w:sz w:val="28"/>
          <w:szCs w:val="28"/>
        </w:rPr>
        <w:t xml:space="preserve">3.2.5. </w:t>
      </w:r>
      <w:r w:rsidR="0042210A" w:rsidRPr="0072770E">
        <w:rPr>
          <w:b/>
          <w:sz w:val="28"/>
          <w:szCs w:val="28"/>
        </w:rPr>
        <w:t>Zahraniční študenti</w:t>
      </w:r>
      <w:bookmarkEnd w:id="67"/>
    </w:p>
    <w:p w14:paraId="1BF2540F" w14:textId="77777777" w:rsidR="0072770E" w:rsidRPr="0072770E" w:rsidRDefault="0072770E" w:rsidP="0072770E"/>
    <w:p w14:paraId="2A2B17DD" w14:textId="1DEABA59" w:rsidR="00E14578" w:rsidRPr="000C002C" w:rsidRDefault="0042210A" w:rsidP="0042210A">
      <w:pPr>
        <w:tabs>
          <w:tab w:val="left" w:pos="9356"/>
        </w:tabs>
        <w:spacing w:after="120"/>
        <w:jc w:val="both"/>
        <w:rPr>
          <w:rFonts w:asciiTheme="majorHAnsi" w:hAnsiTheme="majorHAnsi" w:cstheme="majorHAnsi"/>
        </w:rPr>
      </w:pPr>
      <w:r w:rsidRPr="0053555E">
        <w:rPr>
          <w:rFonts w:asciiTheme="majorHAnsi" w:hAnsiTheme="majorHAnsi" w:cstheme="majorHAnsi"/>
          <w:b/>
        </w:rPr>
        <w:t>Zahraniční študenti</w:t>
      </w:r>
      <w:r w:rsidRPr="0053555E">
        <w:rPr>
          <w:rFonts w:asciiTheme="majorHAnsi" w:hAnsiTheme="majorHAnsi" w:cstheme="majorHAnsi"/>
        </w:rPr>
        <w:t xml:space="preserve"> študujú na STU na všetkých troch stupňoch vysokoškolského štúdia. Počet zahraničných študentov, ktorý nezahŕňa krátkodobé študijné pobyty (študentov študujúcich v rámci akademickej mobility), za obdobie </w:t>
      </w:r>
      <w:r w:rsidR="00916E9F" w:rsidRPr="0053555E">
        <w:rPr>
          <w:rFonts w:asciiTheme="majorHAnsi" w:hAnsiTheme="majorHAnsi" w:cstheme="majorHAnsi"/>
        </w:rPr>
        <w:t xml:space="preserve">ostatných sedem </w:t>
      </w:r>
      <w:r w:rsidRPr="0053555E">
        <w:rPr>
          <w:rFonts w:asciiTheme="majorHAnsi" w:hAnsiTheme="majorHAnsi" w:cstheme="majorHAnsi"/>
        </w:rPr>
        <w:t>akademick</w:t>
      </w:r>
      <w:r w:rsidR="00916E9F" w:rsidRPr="0053555E">
        <w:rPr>
          <w:rFonts w:asciiTheme="majorHAnsi" w:hAnsiTheme="majorHAnsi" w:cstheme="majorHAnsi"/>
        </w:rPr>
        <w:t>ých rokov</w:t>
      </w:r>
      <w:r w:rsidRPr="0053555E">
        <w:rPr>
          <w:rFonts w:asciiTheme="majorHAnsi" w:hAnsiTheme="majorHAnsi" w:cstheme="majorHAnsi"/>
        </w:rPr>
        <w:t xml:space="preserve"> uvádza </w:t>
      </w:r>
      <w:r w:rsidRPr="003E74C6">
        <w:rPr>
          <w:rFonts w:asciiTheme="majorHAnsi" w:hAnsiTheme="majorHAnsi" w:cstheme="majorHAnsi"/>
        </w:rPr>
        <w:fldChar w:fldCharType="begin"/>
      </w:r>
      <w:r w:rsidRPr="003E74C6">
        <w:rPr>
          <w:rFonts w:asciiTheme="majorHAnsi" w:hAnsiTheme="majorHAnsi" w:cstheme="majorHAnsi"/>
        </w:rPr>
        <w:instrText xml:space="preserve"> REF _Ref31711974 \h  \* MERGEFORMAT </w:instrText>
      </w:r>
      <w:r w:rsidRPr="003E74C6">
        <w:rPr>
          <w:rFonts w:asciiTheme="majorHAnsi" w:hAnsiTheme="majorHAnsi" w:cstheme="majorHAnsi"/>
        </w:rPr>
      </w:r>
      <w:r w:rsidRPr="003E74C6">
        <w:rPr>
          <w:rFonts w:asciiTheme="majorHAnsi" w:hAnsiTheme="majorHAnsi" w:cstheme="majorHAnsi"/>
        </w:rPr>
        <w:fldChar w:fldCharType="separate"/>
      </w:r>
      <w:r w:rsidR="00EE1B59" w:rsidRPr="003E74C6">
        <w:rPr>
          <w:rFonts w:asciiTheme="majorHAnsi" w:hAnsiTheme="majorHAnsi" w:cstheme="majorHAnsi"/>
        </w:rPr>
        <w:t>Tab. č. 14</w:t>
      </w:r>
      <w:r w:rsidRPr="003E74C6">
        <w:rPr>
          <w:rFonts w:asciiTheme="majorHAnsi" w:hAnsiTheme="majorHAnsi" w:cstheme="majorHAnsi"/>
        </w:rPr>
        <w:fldChar w:fldCharType="end"/>
      </w:r>
      <w:r w:rsidRPr="0053555E">
        <w:rPr>
          <w:rFonts w:asciiTheme="majorHAnsi" w:hAnsiTheme="majorHAnsi" w:cstheme="majorHAnsi"/>
        </w:rPr>
        <w:t xml:space="preserve"> </w:t>
      </w:r>
      <w:r w:rsidRPr="0053555E">
        <w:rPr>
          <w:rFonts w:asciiTheme="majorHAnsi" w:hAnsiTheme="majorHAnsi" w:cstheme="majorHAnsi"/>
        </w:rPr>
        <w:lastRenderedPageBreak/>
        <w:t>a </w:t>
      </w:r>
      <w:r w:rsidRPr="003E74C6">
        <w:rPr>
          <w:rFonts w:asciiTheme="majorHAnsi" w:hAnsiTheme="majorHAnsi" w:cstheme="majorHAnsi"/>
        </w:rPr>
        <w:fldChar w:fldCharType="begin"/>
      </w:r>
      <w:r w:rsidRPr="003E74C6">
        <w:rPr>
          <w:rFonts w:asciiTheme="majorHAnsi" w:hAnsiTheme="majorHAnsi" w:cstheme="majorHAnsi"/>
        </w:rPr>
        <w:instrText xml:space="preserve"> REF _Ref474779770 \h  \* MERGEFORMAT </w:instrText>
      </w:r>
      <w:r w:rsidRPr="003E74C6">
        <w:rPr>
          <w:rFonts w:asciiTheme="majorHAnsi" w:hAnsiTheme="majorHAnsi" w:cstheme="majorHAnsi"/>
        </w:rPr>
      </w:r>
      <w:r w:rsidRPr="003E74C6">
        <w:rPr>
          <w:rFonts w:asciiTheme="majorHAnsi" w:hAnsiTheme="majorHAnsi" w:cstheme="majorHAnsi"/>
        </w:rPr>
        <w:fldChar w:fldCharType="separate"/>
      </w:r>
      <w:r w:rsidR="00EE1B59" w:rsidRPr="003E74C6">
        <w:rPr>
          <w:rFonts w:asciiTheme="majorHAnsi" w:hAnsiTheme="majorHAnsi" w:cstheme="majorHAnsi"/>
        </w:rPr>
        <w:t>Graf č. 7</w:t>
      </w:r>
      <w:r w:rsidRPr="003E74C6">
        <w:rPr>
          <w:rFonts w:asciiTheme="majorHAnsi" w:hAnsiTheme="majorHAnsi" w:cstheme="majorHAnsi"/>
        </w:rPr>
        <w:fldChar w:fldCharType="end"/>
      </w:r>
      <w:r w:rsidRPr="0053555E">
        <w:rPr>
          <w:rFonts w:asciiTheme="majorHAnsi" w:hAnsiTheme="majorHAnsi" w:cstheme="majorHAnsi"/>
        </w:rPr>
        <w:t>. Z tabuľky ako aj z grafu vidieť, že počet zahraničných študentov má v sledovanom období stúpajúcu tendenciu. V porovnaní s akademickým rokom 20</w:t>
      </w:r>
      <w:r w:rsidR="00100326">
        <w:rPr>
          <w:rFonts w:asciiTheme="majorHAnsi" w:hAnsiTheme="majorHAnsi" w:cstheme="majorHAnsi"/>
        </w:rPr>
        <w:t>20</w:t>
      </w:r>
      <w:r w:rsidRPr="0053555E">
        <w:rPr>
          <w:rFonts w:asciiTheme="majorHAnsi" w:hAnsiTheme="majorHAnsi" w:cstheme="majorHAnsi"/>
        </w:rPr>
        <w:t>/20</w:t>
      </w:r>
      <w:r w:rsidR="00916E9F" w:rsidRPr="0053555E">
        <w:rPr>
          <w:rFonts w:asciiTheme="majorHAnsi" w:hAnsiTheme="majorHAnsi" w:cstheme="majorHAnsi"/>
        </w:rPr>
        <w:t>2</w:t>
      </w:r>
      <w:r w:rsidR="00100326">
        <w:rPr>
          <w:rFonts w:asciiTheme="majorHAnsi" w:hAnsiTheme="majorHAnsi" w:cstheme="majorHAnsi"/>
        </w:rPr>
        <w:t>1</w:t>
      </w:r>
      <w:r w:rsidRPr="0053555E">
        <w:rPr>
          <w:rFonts w:asciiTheme="majorHAnsi" w:hAnsiTheme="majorHAnsi" w:cstheme="majorHAnsi"/>
        </w:rPr>
        <w:t xml:space="preserve"> bol zaznamenaný </w:t>
      </w:r>
      <w:r w:rsidRPr="0053555E">
        <w:rPr>
          <w:rFonts w:asciiTheme="majorHAnsi" w:hAnsiTheme="majorHAnsi" w:cstheme="majorHAnsi"/>
          <w:b/>
        </w:rPr>
        <w:t>nárast</w:t>
      </w:r>
      <w:r w:rsidRPr="0053555E">
        <w:rPr>
          <w:rFonts w:asciiTheme="majorHAnsi" w:hAnsiTheme="majorHAnsi" w:cstheme="majorHAnsi"/>
        </w:rPr>
        <w:t xml:space="preserve"> </w:t>
      </w:r>
      <w:r w:rsidRPr="0053555E">
        <w:rPr>
          <w:rFonts w:asciiTheme="majorHAnsi" w:hAnsiTheme="majorHAnsi" w:cstheme="majorHAnsi"/>
          <w:b/>
        </w:rPr>
        <w:t>celkového počtu zahraničných študentov na STU o </w:t>
      </w:r>
      <w:r w:rsidR="00100326">
        <w:rPr>
          <w:rFonts w:asciiTheme="majorHAnsi" w:hAnsiTheme="majorHAnsi" w:cstheme="majorHAnsi"/>
          <w:b/>
        </w:rPr>
        <w:t>3</w:t>
      </w:r>
      <w:r w:rsidR="0016067D" w:rsidRPr="0053555E">
        <w:rPr>
          <w:rFonts w:asciiTheme="majorHAnsi" w:hAnsiTheme="majorHAnsi" w:cstheme="majorHAnsi"/>
          <w:b/>
        </w:rPr>
        <w:t>4</w:t>
      </w:r>
      <w:r w:rsidRPr="0053555E">
        <w:rPr>
          <w:rFonts w:asciiTheme="majorHAnsi" w:hAnsiTheme="majorHAnsi" w:cstheme="majorHAnsi"/>
          <w:b/>
        </w:rPr>
        <w:t xml:space="preserve"> %</w:t>
      </w:r>
      <w:r w:rsidRPr="0053555E">
        <w:rPr>
          <w:rFonts w:asciiTheme="majorHAnsi" w:hAnsiTheme="majorHAnsi" w:cstheme="majorHAnsi"/>
        </w:rPr>
        <w:t>,</w:t>
      </w:r>
      <w:r w:rsidRPr="0053555E">
        <w:rPr>
          <w:rFonts w:asciiTheme="majorHAnsi" w:hAnsiTheme="majorHAnsi" w:cstheme="majorHAnsi"/>
          <w:b/>
        </w:rPr>
        <w:t xml:space="preserve"> </w:t>
      </w:r>
      <w:r w:rsidRPr="0053555E">
        <w:rPr>
          <w:rFonts w:asciiTheme="majorHAnsi" w:hAnsiTheme="majorHAnsi" w:cstheme="majorHAnsi"/>
        </w:rPr>
        <w:t xml:space="preserve">čo v absolútnych číslach predstavuje </w:t>
      </w:r>
      <w:r w:rsidRPr="0053555E">
        <w:rPr>
          <w:rFonts w:asciiTheme="majorHAnsi" w:hAnsiTheme="majorHAnsi" w:cstheme="majorHAnsi"/>
          <w:b/>
        </w:rPr>
        <w:t xml:space="preserve">zvýšenie o </w:t>
      </w:r>
      <w:r w:rsidR="00100326">
        <w:rPr>
          <w:rFonts w:asciiTheme="majorHAnsi" w:hAnsiTheme="majorHAnsi" w:cstheme="majorHAnsi"/>
          <w:b/>
        </w:rPr>
        <w:t>251</w:t>
      </w:r>
      <w:r w:rsidRPr="0053555E">
        <w:rPr>
          <w:rFonts w:asciiTheme="majorHAnsi" w:hAnsiTheme="majorHAnsi" w:cstheme="majorHAnsi"/>
          <w:b/>
        </w:rPr>
        <w:t xml:space="preserve"> študentov </w:t>
      </w:r>
      <w:r w:rsidRPr="000C002C">
        <w:rPr>
          <w:rFonts w:asciiTheme="majorHAnsi" w:hAnsiTheme="majorHAnsi" w:cstheme="majorHAnsi"/>
        </w:rPr>
        <w:t>(nárast na prvom stupni o 3</w:t>
      </w:r>
      <w:r w:rsidR="0089303E" w:rsidRPr="000C002C">
        <w:rPr>
          <w:rFonts w:asciiTheme="majorHAnsi" w:hAnsiTheme="majorHAnsi" w:cstheme="majorHAnsi"/>
        </w:rPr>
        <w:t>9</w:t>
      </w:r>
      <w:r w:rsidRPr="000C002C">
        <w:rPr>
          <w:rFonts w:asciiTheme="majorHAnsi" w:hAnsiTheme="majorHAnsi" w:cstheme="majorHAnsi"/>
        </w:rPr>
        <w:t xml:space="preserve"> %, na druhom stupni </w:t>
      </w:r>
      <w:r w:rsidR="0089303E" w:rsidRPr="000C002C">
        <w:rPr>
          <w:rFonts w:asciiTheme="majorHAnsi" w:hAnsiTheme="majorHAnsi" w:cstheme="majorHAnsi"/>
        </w:rPr>
        <w:t>o 19 %</w:t>
      </w:r>
      <w:r w:rsidR="004C70CD" w:rsidRPr="000C002C">
        <w:rPr>
          <w:rFonts w:asciiTheme="majorHAnsi" w:hAnsiTheme="majorHAnsi" w:cstheme="majorHAnsi"/>
        </w:rPr>
        <w:t xml:space="preserve"> </w:t>
      </w:r>
      <w:r w:rsidRPr="000C002C">
        <w:rPr>
          <w:rFonts w:asciiTheme="majorHAnsi" w:hAnsiTheme="majorHAnsi" w:cstheme="majorHAnsi"/>
        </w:rPr>
        <w:t xml:space="preserve">a  na treťom stupni </w:t>
      </w:r>
      <w:r w:rsidR="00DE2E5A" w:rsidRPr="000C002C">
        <w:rPr>
          <w:rFonts w:asciiTheme="majorHAnsi" w:hAnsiTheme="majorHAnsi" w:cstheme="majorHAnsi"/>
        </w:rPr>
        <w:t>o </w:t>
      </w:r>
      <w:r w:rsidR="0089303E" w:rsidRPr="000C002C">
        <w:rPr>
          <w:rFonts w:asciiTheme="majorHAnsi" w:hAnsiTheme="majorHAnsi" w:cstheme="majorHAnsi"/>
        </w:rPr>
        <w:t>26</w:t>
      </w:r>
      <w:r w:rsidR="00DE2E5A" w:rsidRPr="000C002C">
        <w:rPr>
          <w:rFonts w:asciiTheme="majorHAnsi" w:hAnsiTheme="majorHAnsi" w:cstheme="majorHAnsi"/>
        </w:rPr>
        <w:t xml:space="preserve"> %</w:t>
      </w:r>
      <w:r w:rsidRPr="000C002C">
        <w:rPr>
          <w:rFonts w:asciiTheme="majorHAnsi" w:hAnsiTheme="majorHAnsi" w:cstheme="majorHAnsi"/>
        </w:rPr>
        <w:t xml:space="preserve">). </w:t>
      </w:r>
    </w:p>
    <w:p w14:paraId="523F3347" w14:textId="1FFCAB64" w:rsidR="0042210A" w:rsidRPr="0053555E" w:rsidRDefault="0042210A" w:rsidP="000E3322">
      <w:pPr>
        <w:pStyle w:val="Popis"/>
      </w:pPr>
      <w:bookmarkStart w:id="68" w:name="_Ref31711974"/>
      <w:bookmarkStart w:id="69" w:name="_Toc127593277"/>
      <w:r w:rsidRPr="0053555E">
        <w:t xml:space="preserve">Tab. č. </w:t>
      </w:r>
      <w:r w:rsidR="007B5953">
        <w:fldChar w:fldCharType="begin"/>
      </w:r>
      <w:r w:rsidR="007B5953">
        <w:instrText xml:space="preserve"> SEQ Tab._č. \* ARABIC </w:instrText>
      </w:r>
      <w:r w:rsidR="007B5953">
        <w:fldChar w:fldCharType="separate"/>
      </w:r>
      <w:r w:rsidR="00EE1B59">
        <w:rPr>
          <w:noProof/>
        </w:rPr>
        <w:t>14</w:t>
      </w:r>
      <w:r w:rsidR="007B5953">
        <w:rPr>
          <w:noProof/>
        </w:rPr>
        <w:fldChar w:fldCharType="end"/>
      </w:r>
      <w:bookmarkEnd w:id="68"/>
      <w:r w:rsidRPr="0053555E">
        <w:t xml:space="preserve">: Zahraniční študenti </w:t>
      </w:r>
      <w:r w:rsidR="00C01BC8" w:rsidRPr="0053555E">
        <w:t xml:space="preserve">za ostatných sedem akademických rokov </w:t>
      </w:r>
      <w:r w:rsidRPr="0053555E">
        <w:t>k 31. 10. daného akademického roka</w:t>
      </w:r>
      <w:bookmarkEnd w:id="69"/>
    </w:p>
    <w:tbl>
      <w:tblPr>
        <w:tblW w:w="9371" w:type="dxa"/>
        <w:tblInd w:w="55" w:type="dxa"/>
        <w:tblLayout w:type="fixed"/>
        <w:tblCellMar>
          <w:left w:w="70" w:type="dxa"/>
          <w:right w:w="70" w:type="dxa"/>
        </w:tblCellMar>
        <w:tblLook w:val="04A0" w:firstRow="1" w:lastRow="0" w:firstColumn="1" w:lastColumn="0" w:noHBand="0" w:noVBand="1"/>
      </w:tblPr>
      <w:tblGrid>
        <w:gridCol w:w="1433"/>
        <w:gridCol w:w="1134"/>
        <w:gridCol w:w="1134"/>
        <w:gridCol w:w="1134"/>
        <w:gridCol w:w="1134"/>
        <w:gridCol w:w="1134"/>
        <w:gridCol w:w="1134"/>
        <w:gridCol w:w="1134"/>
      </w:tblGrid>
      <w:tr w:rsidR="008A243A" w:rsidRPr="0053555E" w14:paraId="5CAD0EC6" w14:textId="77777777" w:rsidTr="001605FB">
        <w:trPr>
          <w:trHeight w:val="510"/>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F1B42" w14:textId="77777777" w:rsidR="008A243A" w:rsidRPr="0053555E" w:rsidRDefault="008A243A" w:rsidP="008A243A">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Stupeň štúdia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BE5A578" w14:textId="2604E920" w:rsidR="008A243A" w:rsidRPr="0053555E" w:rsidRDefault="008A243A" w:rsidP="008A243A">
            <w:pPr>
              <w:jc w:val="center"/>
              <w:rPr>
                <w:rFonts w:asciiTheme="majorHAnsi" w:hAnsiTheme="majorHAnsi" w:cstheme="majorHAnsi"/>
                <w:b/>
                <w:bCs/>
                <w:sz w:val="22"/>
                <w:szCs w:val="20"/>
              </w:rPr>
            </w:pPr>
            <w:r w:rsidRPr="0053555E">
              <w:rPr>
                <w:rFonts w:cs="Calibri"/>
                <w:b/>
                <w:bCs/>
                <w:sz w:val="22"/>
                <w:szCs w:val="20"/>
              </w:rPr>
              <w:t>2015/2016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409B50C" w14:textId="5BFA5609" w:rsidR="008A243A" w:rsidRPr="0053555E" w:rsidRDefault="008A243A" w:rsidP="008A243A">
            <w:pPr>
              <w:jc w:val="center"/>
              <w:rPr>
                <w:rFonts w:asciiTheme="majorHAnsi" w:hAnsiTheme="majorHAnsi" w:cstheme="majorHAnsi"/>
                <w:b/>
                <w:bCs/>
                <w:sz w:val="22"/>
                <w:szCs w:val="20"/>
              </w:rPr>
            </w:pPr>
            <w:r w:rsidRPr="0053555E">
              <w:rPr>
                <w:rFonts w:cs="Calibri"/>
                <w:b/>
                <w:bCs/>
                <w:sz w:val="22"/>
                <w:szCs w:val="20"/>
              </w:rPr>
              <w:t>2016/2017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3738000" w14:textId="40975129" w:rsidR="008A243A" w:rsidRPr="0053555E" w:rsidRDefault="008A243A" w:rsidP="008A243A">
            <w:pPr>
              <w:jc w:val="center"/>
              <w:rPr>
                <w:rFonts w:asciiTheme="majorHAnsi" w:hAnsiTheme="majorHAnsi" w:cstheme="majorHAnsi"/>
                <w:b/>
                <w:bCs/>
                <w:sz w:val="22"/>
                <w:szCs w:val="20"/>
              </w:rPr>
            </w:pPr>
            <w:r w:rsidRPr="0053555E">
              <w:rPr>
                <w:rFonts w:cs="Calibri"/>
                <w:b/>
                <w:bCs/>
                <w:sz w:val="22"/>
                <w:szCs w:val="20"/>
              </w:rPr>
              <w:t>2017/2018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102568A" w14:textId="1D7912D4" w:rsidR="008A243A" w:rsidRPr="0053555E" w:rsidRDefault="008A243A" w:rsidP="008A243A">
            <w:pPr>
              <w:jc w:val="center"/>
              <w:rPr>
                <w:rFonts w:asciiTheme="majorHAnsi" w:hAnsiTheme="majorHAnsi" w:cstheme="majorHAnsi"/>
                <w:b/>
                <w:bCs/>
                <w:sz w:val="22"/>
                <w:szCs w:val="20"/>
              </w:rPr>
            </w:pPr>
            <w:r w:rsidRPr="0053555E">
              <w:rPr>
                <w:rFonts w:cs="Calibri"/>
                <w:b/>
                <w:bCs/>
                <w:sz w:val="22"/>
                <w:szCs w:val="20"/>
              </w:rPr>
              <w:t>2018/2019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1BEE479" w14:textId="09424402" w:rsidR="008A243A" w:rsidRPr="0053555E" w:rsidRDefault="008A243A" w:rsidP="008A243A">
            <w:pPr>
              <w:jc w:val="center"/>
              <w:rPr>
                <w:rFonts w:asciiTheme="majorHAnsi" w:hAnsiTheme="majorHAnsi" w:cstheme="majorHAnsi"/>
                <w:b/>
                <w:bCs/>
                <w:sz w:val="22"/>
                <w:szCs w:val="20"/>
              </w:rPr>
            </w:pPr>
            <w:r w:rsidRPr="0053555E">
              <w:rPr>
                <w:rFonts w:cs="Calibri"/>
                <w:b/>
                <w:bCs/>
                <w:sz w:val="22"/>
                <w:szCs w:val="20"/>
              </w:rPr>
              <w:t>2019/2020</w:t>
            </w:r>
          </w:p>
        </w:tc>
        <w:tc>
          <w:tcPr>
            <w:tcW w:w="1134" w:type="dxa"/>
            <w:tcBorders>
              <w:top w:val="single" w:sz="4" w:space="0" w:color="auto"/>
              <w:left w:val="nil"/>
              <w:bottom w:val="single" w:sz="4" w:space="0" w:color="auto"/>
              <w:right w:val="single" w:sz="4" w:space="0" w:color="auto"/>
            </w:tcBorders>
            <w:vAlign w:val="center"/>
          </w:tcPr>
          <w:p w14:paraId="134F9EA5" w14:textId="4AE096DD" w:rsidR="008A243A" w:rsidRPr="0053555E" w:rsidRDefault="008A243A" w:rsidP="008A243A">
            <w:pPr>
              <w:jc w:val="center"/>
              <w:rPr>
                <w:rFonts w:asciiTheme="majorHAnsi" w:hAnsiTheme="majorHAnsi" w:cstheme="majorHAnsi"/>
                <w:b/>
                <w:bCs/>
                <w:sz w:val="22"/>
                <w:szCs w:val="20"/>
              </w:rPr>
            </w:pPr>
            <w:r w:rsidRPr="0053555E">
              <w:rPr>
                <w:rFonts w:cs="Calibri"/>
                <w:b/>
                <w:bCs/>
                <w:sz w:val="22"/>
                <w:szCs w:val="20"/>
              </w:rPr>
              <w:t>2020/2021</w:t>
            </w:r>
          </w:p>
        </w:tc>
        <w:tc>
          <w:tcPr>
            <w:tcW w:w="1134" w:type="dxa"/>
            <w:tcBorders>
              <w:top w:val="single" w:sz="4" w:space="0" w:color="auto"/>
              <w:left w:val="nil"/>
              <w:bottom w:val="single" w:sz="4" w:space="0" w:color="auto"/>
              <w:right w:val="single" w:sz="4" w:space="0" w:color="auto"/>
            </w:tcBorders>
            <w:vAlign w:val="center"/>
          </w:tcPr>
          <w:p w14:paraId="7085EB9E" w14:textId="5043DFD3" w:rsidR="008A243A" w:rsidRPr="0053555E" w:rsidRDefault="008A243A" w:rsidP="008A243A">
            <w:pPr>
              <w:jc w:val="center"/>
              <w:rPr>
                <w:rFonts w:asciiTheme="majorHAnsi" w:hAnsiTheme="majorHAnsi" w:cstheme="majorHAnsi"/>
                <w:b/>
                <w:bCs/>
                <w:sz w:val="22"/>
                <w:szCs w:val="20"/>
              </w:rPr>
            </w:pPr>
            <w:r w:rsidRPr="0053555E">
              <w:rPr>
                <w:rFonts w:cs="Calibri"/>
                <w:b/>
                <w:bCs/>
                <w:sz w:val="22"/>
                <w:szCs w:val="20"/>
              </w:rPr>
              <w:t>2021/2022</w:t>
            </w:r>
          </w:p>
        </w:tc>
      </w:tr>
      <w:tr w:rsidR="008A243A" w:rsidRPr="0053555E" w14:paraId="6DD9500F" w14:textId="77777777" w:rsidTr="001605FB">
        <w:trPr>
          <w:trHeight w:val="25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761C9DDD" w14:textId="77777777" w:rsidR="008A243A" w:rsidRPr="0053555E" w:rsidRDefault="008A243A" w:rsidP="008A243A">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I. stupeň</w:t>
            </w:r>
          </w:p>
        </w:tc>
        <w:tc>
          <w:tcPr>
            <w:tcW w:w="1134" w:type="dxa"/>
            <w:tcBorders>
              <w:top w:val="nil"/>
              <w:left w:val="nil"/>
              <w:bottom w:val="single" w:sz="4" w:space="0" w:color="auto"/>
              <w:right w:val="single" w:sz="4" w:space="0" w:color="auto"/>
            </w:tcBorders>
            <w:shd w:val="clear" w:color="auto" w:fill="auto"/>
            <w:noWrap/>
            <w:vAlign w:val="center"/>
            <w:hideMark/>
          </w:tcPr>
          <w:p w14:paraId="42E1229E" w14:textId="14919322" w:rsidR="008A243A" w:rsidRPr="0053555E" w:rsidRDefault="008A243A" w:rsidP="008A243A">
            <w:pPr>
              <w:jc w:val="center"/>
              <w:rPr>
                <w:rFonts w:asciiTheme="majorHAnsi" w:hAnsiTheme="majorHAnsi" w:cstheme="majorHAnsi"/>
                <w:sz w:val="22"/>
                <w:szCs w:val="20"/>
              </w:rPr>
            </w:pPr>
            <w:r w:rsidRPr="0053555E">
              <w:rPr>
                <w:rFonts w:cs="Calibri"/>
                <w:sz w:val="22"/>
                <w:szCs w:val="20"/>
              </w:rPr>
              <w:t>186</w:t>
            </w:r>
          </w:p>
        </w:tc>
        <w:tc>
          <w:tcPr>
            <w:tcW w:w="1134" w:type="dxa"/>
            <w:tcBorders>
              <w:top w:val="nil"/>
              <w:left w:val="nil"/>
              <w:bottom w:val="single" w:sz="4" w:space="0" w:color="auto"/>
              <w:right w:val="single" w:sz="4" w:space="0" w:color="auto"/>
            </w:tcBorders>
            <w:shd w:val="clear" w:color="auto" w:fill="auto"/>
            <w:noWrap/>
            <w:vAlign w:val="center"/>
            <w:hideMark/>
          </w:tcPr>
          <w:p w14:paraId="51F9E0A3" w14:textId="60B5AAE7" w:rsidR="008A243A" w:rsidRPr="0053555E" w:rsidRDefault="008A243A" w:rsidP="008A243A">
            <w:pPr>
              <w:jc w:val="center"/>
              <w:rPr>
                <w:rFonts w:asciiTheme="majorHAnsi" w:hAnsiTheme="majorHAnsi" w:cstheme="majorHAnsi"/>
                <w:sz w:val="22"/>
                <w:szCs w:val="20"/>
              </w:rPr>
            </w:pPr>
            <w:r w:rsidRPr="0053555E">
              <w:rPr>
                <w:rFonts w:cs="Calibri"/>
                <w:sz w:val="22"/>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14:paraId="7A2BB3DD" w14:textId="6CF119B8" w:rsidR="008A243A" w:rsidRPr="0053555E" w:rsidRDefault="008A243A" w:rsidP="008A243A">
            <w:pPr>
              <w:jc w:val="center"/>
              <w:rPr>
                <w:rFonts w:asciiTheme="majorHAnsi" w:hAnsiTheme="majorHAnsi" w:cstheme="majorHAnsi"/>
                <w:sz w:val="22"/>
                <w:szCs w:val="20"/>
              </w:rPr>
            </w:pPr>
            <w:r w:rsidRPr="0053555E">
              <w:rPr>
                <w:rFonts w:cs="Calibri"/>
                <w:sz w:val="22"/>
                <w:szCs w:val="20"/>
              </w:rPr>
              <w:t>262</w:t>
            </w:r>
          </w:p>
        </w:tc>
        <w:tc>
          <w:tcPr>
            <w:tcW w:w="1134" w:type="dxa"/>
            <w:tcBorders>
              <w:top w:val="nil"/>
              <w:left w:val="nil"/>
              <w:bottom w:val="single" w:sz="4" w:space="0" w:color="auto"/>
              <w:right w:val="single" w:sz="4" w:space="0" w:color="auto"/>
            </w:tcBorders>
            <w:shd w:val="clear" w:color="auto" w:fill="auto"/>
            <w:noWrap/>
            <w:vAlign w:val="center"/>
            <w:hideMark/>
          </w:tcPr>
          <w:p w14:paraId="79A01FA4" w14:textId="2DB60DAA" w:rsidR="008A243A" w:rsidRPr="0053555E" w:rsidRDefault="008A243A" w:rsidP="008A243A">
            <w:pPr>
              <w:jc w:val="center"/>
              <w:rPr>
                <w:rFonts w:asciiTheme="majorHAnsi" w:hAnsiTheme="majorHAnsi" w:cstheme="majorHAnsi"/>
                <w:sz w:val="22"/>
                <w:szCs w:val="20"/>
              </w:rPr>
            </w:pPr>
            <w:r w:rsidRPr="0053555E">
              <w:rPr>
                <w:rFonts w:cs="Calibri"/>
                <w:sz w:val="22"/>
                <w:szCs w:val="20"/>
              </w:rPr>
              <w:t>284</w:t>
            </w:r>
          </w:p>
        </w:tc>
        <w:tc>
          <w:tcPr>
            <w:tcW w:w="1134" w:type="dxa"/>
            <w:tcBorders>
              <w:top w:val="nil"/>
              <w:left w:val="nil"/>
              <w:bottom w:val="single" w:sz="4" w:space="0" w:color="auto"/>
              <w:right w:val="single" w:sz="4" w:space="0" w:color="auto"/>
            </w:tcBorders>
            <w:shd w:val="clear" w:color="auto" w:fill="auto"/>
            <w:noWrap/>
            <w:vAlign w:val="center"/>
            <w:hideMark/>
          </w:tcPr>
          <w:p w14:paraId="0EEAC83F" w14:textId="230E47BE" w:rsidR="008A243A" w:rsidRPr="0053555E" w:rsidRDefault="008A243A" w:rsidP="008A243A">
            <w:pPr>
              <w:jc w:val="center"/>
              <w:rPr>
                <w:rFonts w:asciiTheme="majorHAnsi" w:hAnsiTheme="majorHAnsi" w:cstheme="majorHAnsi"/>
                <w:sz w:val="22"/>
                <w:szCs w:val="20"/>
              </w:rPr>
            </w:pPr>
            <w:r w:rsidRPr="0053555E">
              <w:rPr>
                <w:rFonts w:cs="Calibri"/>
                <w:sz w:val="22"/>
                <w:szCs w:val="20"/>
              </w:rPr>
              <w:t>393</w:t>
            </w:r>
          </w:p>
        </w:tc>
        <w:tc>
          <w:tcPr>
            <w:tcW w:w="1134" w:type="dxa"/>
            <w:tcBorders>
              <w:top w:val="nil"/>
              <w:left w:val="nil"/>
              <w:bottom w:val="single" w:sz="4" w:space="0" w:color="auto"/>
              <w:right w:val="single" w:sz="4" w:space="0" w:color="auto"/>
            </w:tcBorders>
            <w:vAlign w:val="center"/>
          </w:tcPr>
          <w:p w14:paraId="6010E17E" w14:textId="24A73CD7" w:rsidR="008A243A" w:rsidRPr="0053555E" w:rsidRDefault="008A243A" w:rsidP="008A243A">
            <w:pPr>
              <w:jc w:val="center"/>
              <w:rPr>
                <w:rFonts w:asciiTheme="majorHAnsi" w:hAnsiTheme="majorHAnsi" w:cstheme="majorHAnsi"/>
                <w:sz w:val="22"/>
                <w:szCs w:val="20"/>
              </w:rPr>
            </w:pPr>
            <w:r w:rsidRPr="0053555E">
              <w:rPr>
                <w:rFonts w:cs="Calibri"/>
                <w:sz w:val="22"/>
                <w:szCs w:val="20"/>
              </w:rPr>
              <w:t>536</w:t>
            </w:r>
          </w:p>
        </w:tc>
        <w:tc>
          <w:tcPr>
            <w:tcW w:w="1134" w:type="dxa"/>
            <w:tcBorders>
              <w:top w:val="nil"/>
              <w:left w:val="nil"/>
              <w:bottom w:val="single" w:sz="4" w:space="0" w:color="auto"/>
              <w:right w:val="single" w:sz="4" w:space="0" w:color="auto"/>
            </w:tcBorders>
            <w:vAlign w:val="center"/>
          </w:tcPr>
          <w:p w14:paraId="02A778FE" w14:textId="292712D6" w:rsidR="008A243A" w:rsidRPr="0053555E" w:rsidRDefault="008A243A" w:rsidP="008A243A">
            <w:pPr>
              <w:jc w:val="center"/>
              <w:rPr>
                <w:rFonts w:asciiTheme="majorHAnsi" w:hAnsiTheme="majorHAnsi" w:cstheme="majorHAnsi"/>
                <w:sz w:val="22"/>
                <w:szCs w:val="20"/>
              </w:rPr>
            </w:pPr>
            <w:r w:rsidRPr="0053555E">
              <w:rPr>
                <w:rFonts w:cs="Calibri"/>
                <w:sz w:val="22"/>
                <w:szCs w:val="20"/>
              </w:rPr>
              <w:t>744</w:t>
            </w:r>
          </w:p>
        </w:tc>
      </w:tr>
      <w:tr w:rsidR="008A243A" w:rsidRPr="0053555E" w14:paraId="5C866AF2" w14:textId="77777777" w:rsidTr="001605FB">
        <w:trPr>
          <w:trHeight w:val="25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4E13A99" w14:textId="77777777" w:rsidR="008A243A" w:rsidRPr="0053555E" w:rsidRDefault="008A243A" w:rsidP="008A243A">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II. stupeň</w:t>
            </w:r>
          </w:p>
        </w:tc>
        <w:tc>
          <w:tcPr>
            <w:tcW w:w="1134" w:type="dxa"/>
            <w:tcBorders>
              <w:top w:val="nil"/>
              <w:left w:val="nil"/>
              <w:bottom w:val="single" w:sz="4" w:space="0" w:color="auto"/>
              <w:right w:val="single" w:sz="4" w:space="0" w:color="auto"/>
            </w:tcBorders>
            <w:shd w:val="clear" w:color="auto" w:fill="auto"/>
            <w:noWrap/>
            <w:vAlign w:val="center"/>
            <w:hideMark/>
          </w:tcPr>
          <w:p w14:paraId="0F91E6C3" w14:textId="37C70F69" w:rsidR="008A243A" w:rsidRPr="0053555E" w:rsidRDefault="008A243A" w:rsidP="008A243A">
            <w:pPr>
              <w:jc w:val="center"/>
              <w:rPr>
                <w:rFonts w:asciiTheme="majorHAnsi" w:hAnsiTheme="majorHAnsi" w:cstheme="majorHAnsi"/>
                <w:sz w:val="22"/>
                <w:szCs w:val="20"/>
              </w:rPr>
            </w:pPr>
            <w:r w:rsidRPr="0053555E">
              <w:rPr>
                <w:rFonts w:cs="Calibri"/>
                <w:sz w:val="22"/>
                <w:szCs w:val="20"/>
              </w:rPr>
              <w:t>76</w:t>
            </w:r>
          </w:p>
        </w:tc>
        <w:tc>
          <w:tcPr>
            <w:tcW w:w="1134" w:type="dxa"/>
            <w:tcBorders>
              <w:top w:val="nil"/>
              <w:left w:val="nil"/>
              <w:bottom w:val="single" w:sz="4" w:space="0" w:color="auto"/>
              <w:right w:val="single" w:sz="4" w:space="0" w:color="auto"/>
            </w:tcBorders>
            <w:shd w:val="clear" w:color="auto" w:fill="auto"/>
            <w:noWrap/>
            <w:vAlign w:val="center"/>
            <w:hideMark/>
          </w:tcPr>
          <w:p w14:paraId="6B4E7EE2" w14:textId="23728FD8" w:rsidR="008A243A" w:rsidRPr="0053555E" w:rsidRDefault="008A243A" w:rsidP="008A243A">
            <w:pPr>
              <w:jc w:val="center"/>
              <w:rPr>
                <w:rFonts w:asciiTheme="majorHAnsi" w:hAnsiTheme="majorHAnsi" w:cstheme="majorHAnsi"/>
                <w:sz w:val="22"/>
                <w:szCs w:val="20"/>
              </w:rPr>
            </w:pPr>
            <w:r w:rsidRPr="0053555E">
              <w:rPr>
                <w:rFonts w:cs="Calibri"/>
                <w:sz w:val="22"/>
                <w:szCs w:val="20"/>
              </w:rPr>
              <w:t>80</w:t>
            </w:r>
          </w:p>
        </w:tc>
        <w:tc>
          <w:tcPr>
            <w:tcW w:w="1134" w:type="dxa"/>
            <w:tcBorders>
              <w:top w:val="nil"/>
              <w:left w:val="nil"/>
              <w:bottom w:val="single" w:sz="4" w:space="0" w:color="auto"/>
              <w:right w:val="single" w:sz="4" w:space="0" w:color="auto"/>
            </w:tcBorders>
            <w:shd w:val="clear" w:color="auto" w:fill="auto"/>
            <w:noWrap/>
            <w:vAlign w:val="center"/>
            <w:hideMark/>
          </w:tcPr>
          <w:p w14:paraId="3D669F36" w14:textId="473C2B53" w:rsidR="008A243A" w:rsidRPr="0053555E" w:rsidRDefault="008A243A" w:rsidP="008A243A">
            <w:pPr>
              <w:jc w:val="center"/>
              <w:rPr>
                <w:rFonts w:asciiTheme="majorHAnsi" w:hAnsiTheme="majorHAnsi" w:cstheme="majorHAnsi"/>
                <w:sz w:val="22"/>
                <w:szCs w:val="20"/>
              </w:rPr>
            </w:pPr>
            <w:r w:rsidRPr="0053555E">
              <w:rPr>
                <w:rFonts w:cs="Calibri"/>
                <w:sz w:val="22"/>
                <w:szCs w:val="20"/>
              </w:rPr>
              <w:t>76</w:t>
            </w:r>
          </w:p>
        </w:tc>
        <w:tc>
          <w:tcPr>
            <w:tcW w:w="1134" w:type="dxa"/>
            <w:tcBorders>
              <w:top w:val="nil"/>
              <w:left w:val="nil"/>
              <w:bottom w:val="single" w:sz="4" w:space="0" w:color="auto"/>
              <w:right w:val="single" w:sz="4" w:space="0" w:color="auto"/>
            </w:tcBorders>
            <w:shd w:val="clear" w:color="auto" w:fill="auto"/>
            <w:noWrap/>
            <w:vAlign w:val="center"/>
            <w:hideMark/>
          </w:tcPr>
          <w:p w14:paraId="24F69EE1" w14:textId="225AB3C7" w:rsidR="008A243A" w:rsidRPr="0053555E" w:rsidRDefault="008A243A" w:rsidP="008A243A">
            <w:pPr>
              <w:jc w:val="center"/>
              <w:rPr>
                <w:rFonts w:asciiTheme="majorHAnsi" w:hAnsiTheme="majorHAnsi" w:cstheme="majorHAnsi"/>
                <w:sz w:val="22"/>
                <w:szCs w:val="20"/>
              </w:rPr>
            </w:pPr>
            <w:r w:rsidRPr="0053555E">
              <w:rPr>
                <w:rFonts w:cs="Calibri"/>
                <w:sz w:val="22"/>
                <w:szCs w:val="20"/>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2439E36C" w14:textId="46986927" w:rsidR="008A243A" w:rsidRPr="0053555E" w:rsidRDefault="008A243A" w:rsidP="008A243A">
            <w:pPr>
              <w:jc w:val="center"/>
              <w:rPr>
                <w:rFonts w:asciiTheme="majorHAnsi" w:hAnsiTheme="majorHAnsi" w:cstheme="majorHAnsi"/>
                <w:sz w:val="22"/>
                <w:szCs w:val="20"/>
              </w:rPr>
            </w:pPr>
            <w:r w:rsidRPr="0053555E">
              <w:rPr>
                <w:rFonts w:cs="Calibri"/>
                <w:sz w:val="22"/>
                <w:szCs w:val="20"/>
              </w:rPr>
              <w:t>131</w:t>
            </w:r>
          </w:p>
        </w:tc>
        <w:tc>
          <w:tcPr>
            <w:tcW w:w="1134" w:type="dxa"/>
            <w:tcBorders>
              <w:top w:val="nil"/>
              <w:left w:val="nil"/>
              <w:bottom w:val="single" w:sz="4" w:space="0" w:color="auto"/>
              <w:right w:val="single" w:sz="4" w:space="0" w:color="auto"/>
            </w:tcBorders>
            <w:vAlign w:val="center"/>
          </w:tcPr>
          <w:p w14:paraId="5BD67D3A" w14:textId="7F345343" w:rsidR="008A243A" w:rsidRPr="0053555E" w:rsidRDefault="008A243A" w:rsidP="008A243A">
            <w:pPr>
              <w:jc w:val="center"/>
              <w:rPr>
                <w:rFonts w:asciiTheme="majorHAnsi" w:hAnsiTheme="majorHAnsi" w:cstheme="majorHAnsi"/>
                <w:sz w:val="22"/>
                <w:szCs w:val="20"/>
              </w:rPr>
            </w:pPr>
            <w:r w:rsidRPr="0053555E">
              <w:rPr>
                <w:rFonts w:cs="Calibri"/>
                <w:sz w:val="22"/>
                <w:szCs w:val="20"/>
              </w:rPr>
              <w:t>131</w:t>
            </w:r>
          </w:p>
        </w:tc>
        <w:tc>
          <w:tcPr>
            <w:tcW w:w="1134" w:type="dxa"/>
            <w:tcBorders>
              <w:top w:val="nil"/>
              <w:left w:val="nil"/>
              <w:bottom w:val="single" w:sz="4" w:space="0" w:color="auto"/>
              <w:right w:val="single" w:sz="4" w:space="0" w:color="auto"/>
            </w:tcBorders>
            <w:vAlign w:val="center"/>
          </w:tcPr>
          <w:p w14:paraId="4E8EEF7D" w14:textId="49505629" w:rsidR="008A243A" w:rsidRPr="0053555E" w:rsidRDefault="008A243A" w:rsidP="008A243A">
            <w:pPr>
              <w:jc w:val="center"/>
              <w:rPr>
                <w:rFonts w:asciiTheme="majorHAnsi" w:hAnsiTheme="majorHAnsi" w:cstheme="majorHAnsi"/>
                <w:sz w:val="22"/>
                <w:szCs w:val="20"/>
              </w:rPr>
            </w:pPr>
            <w:r w:rsidRPr="0053555E">
              <w:rPr>
                <w:rFonts w:cs="Calibri"/>
                <w:sz w:val="22"/>
                <w:szCs w:val="20"/>
              </w:rPr>
              <w:t>156</w:t>
            </w:r>
          </w:p>
        </w:tc>
      </w:tr>
      <w:tr w:rsidR="008A243A" w:rsidRPr="0053555E" w14:paraId="1F4DFD0B" w14:textId="77777777" w:rsidTr="001605FB">
        <w:trPr>
          <w:trHeight w:val="25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2BC1AC45" w14:textId="77777777" w:rsidR="008A243A" w:rsidRPr="0053555E" w:rsidRDefault="008A243A" w:rsidP="008A243A">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III. stupeň</w:t>
            </w:r>
          </w:p>
        </w:tc>
        <w:tc>
          <w:tcPr>
            <w:tcW w:w="1134" w:type="dxa"/>
            <w:tcBorders>
              <w:top w:val="nil"/>
              <w:left w:val="nil"/>
              <w:bottom w:val="single" w:sz="4" w:space="0" w:color="auto"/>
              <w:right w:val="single" w:sz="4" w:space="0" w:color="auto"/>
            </w:tcBorders>
            <w:shd w:val="clear" w:color="auto" w:fill="auto"/>
            <w:noWrap/>
            <w:vAlign w:val="center"/>
            <w:hideMark/>
          </w:tcPr>
          <w:p w14:paraId="3FFA8B30" w14:textId="4D549E75" w:rsidR="008A243A" w:rsidRPr="0053555E" w:rsidRDefault="008A243A" w:rsidP="008A243A">
            <w:pPr>
              <w:jc w:val="center"/>
              <w:rPr>
                <w:rFonts w:asciiTheme="majorHAnsi" w:hAnsiTheme="majorHAnsi" w:cstheme="majorHAnsi"/>
                <w:sz w:val="22"/>
                <w:szCs w:val="20"/>
              </w:rPr>
            </w:pPr>
            <w:r w:rsidRPr="0053555E">
              <w:rPr>
                <w:rFonts w:cs="Calibri"/>
                <w:sz w:val="22"/>
                <w:szCs w:val="20"/>
              </w:rPr>
              <w:t>60</w:t>
            </w:r>
          </w:p>
        </w:tc>
        <w:tc>
          <w:tcPr>
            <w:tcW w:w="1134" w:type="dxa"/>
            <w:tcBorders>
              <w:top w:val="nil"/>
              <w:left w:val="nil"/>
              <w:bottom w:val="single" w:sz="4" w:space="0" w:color="auto"/>
              <w:right w:val="single" w:sz="4" w:space="0" w:color="auto"/>
            </w:tcBorders>
            <w:shd w:val="clear" w:color="auto" w:fill="auto"/>
            <w:noWrap/>
            <w:vAlign w:val="center"/>
            <w:hideMark/>
          </w:tcPr>
          <w:p w14:paraId="09BA8C27" w14:textId="0C3B2D52" w:rsidR="008A243A" w:rsidRPr="0053555E" w:rsidRDefault="008A243A" w:rsidP="008A243A">
            <w:pPr>
              <w:jc w:val="center"/>
              <w:rPr>
                <w:rFonts w:asciiTheme="majorHAnsi" w:hAnsiTheme="majorHAnsi" w:cstheme="majorHAnsi"/>
                <w:sz w:val="22"/>
                <w:szCs w:val="20"/>
              </w:rPr>
            </w:pPr>
            <w:r w:rsidRPr="0053555E">
              <w:rPr>
                <w:rFonts w:cs="Calibri"/>
                <w:sz w:val="22"/>
                <w:szCs w:val="20"/>
              </w:rPr>
              <w:t>55</w:t>
            </w:r>
          </w:p>
        </w:tc>
        <w:tc>
          <w:tcPr>
            <w:tcW w:w="1134" w:type="dxa"/>
            <w:tcBorders>
              <w:top w:val="nil"/>
              <w:left w:val="nil"/>
              <w:bottom w:val="single" w:sz="4" w:space="0" w:color="auto"/>
              <w:right w:val="single" w:sz="4" w:space="0" w:color="auto"/>
            </w:tcBorders>
            <w:shd w:val="clear" w:color="auto" w:fill="auto"/>
            <w:noWrap/>
            <w:vAlign w:val="center"/>
            <w:hideMark/>
          </w:tcPr>
          <w:p w14:paraId="549F743B" w14:textId="091181BA" w:rsidR="008A243A" w:rsidRPr="0053555E" w:rsidRDefault="008A243A" w:rsidP="008A243A">
            <w:pPr>
              <w:jc w:val="center"/>
              <w:rPr>
                <w:rFonts w:asciiTheme="majorHAnsi" w:hAnsiTheme="majorHAnsi" w:cstheme="majorHAnsi"/>
                <w:sz w:val="22"/>
                <w:szCs w:val="20"/>
              </w:rPr>
            </w:pPr>
            <w:r w:rsidRPr="0053555E">
              <w:rPr>
                <w:rFonts w:cs="Calibri"/>
                <w:sz w:val="22"/>
                <w:szCs w:val="20"/>
              </w:rPr>
              <w:t>51</w:t>
            </w:r>
          </w:p>
        </w:tc>
        <w:tc>
          <w:tcPr>
            <w:tcW w:w="1134" w:type="dxa"/>
            <w:tcBorders>
              <w:top w:val="nil"/>
              <w:left w:val="nil"/>
              <w:bottom w:val="single" w:sz="4" w:space="0" w:color="auto"/>
              <w:right w:val="single" w:sz="4" w:space="0" w:color="auto"/>
            </w:tcBorders>
            <w:shd w:val="clear" w:color="auto" w:fill="auto"/>
            <w:noWrap/>
            <w:vAlign w:val="center"/>
            <w:hideMark/>
          </w:tcPr>
          <w:p w14:paraId="043AE0E4" w14:textId="4BA44AFC" w:rsidR="008A243A" w:rsidRPr="0053555E" w:rsidRDefault="008A243A" w:rsidP="008A243A">
            <w:pPr>
              <w:jc w:val="center"/>
              <w:rPr>
                <w:rFonts w:asciiTheme="majorHAnsi" w:hAnsiTheme="majorHAnsi" w:cstheme="majorHAnsi"/>
                <w:sz w:val="22"/>
                <w:szCs w:val="20"/>
              </w:rPr>
            </w:pPr>
            <w:r w:rsidRPr="0053555E">
              <w:rPr>
                <w:rFonts w:cs="Calibri"/>
                <w:sz w:val="22"/>
                <w:szCs w:val="20"/>
              </w:rPr>
              <w:t>61</w:t>
            </w:r>
          </w:p>
        </w:tc>
        <w:tc>
          <w:tcPr>
            <w:tcW w:w="1134" w:type="dxa"/>
            <w:tcBorders>
              <w:top w:val="nil"/>
              <w:left w:val="nil"/>
              <w:bottom w:val="single" w:sz="4" w:space="0" w:color="auto"/>
              <w:right w:val="single" w:sz="4" w:space="0" w:color="auto"/>
            </w:tcBorders>
            <w:shd w:val="clear" w:color="auto" w:fill="auto"/>
            <w:noWrap/>
            <w:vAlign w:val="center"/>
            <w:hideMark/>
          </w:tcPr>
          <w:p w14:paraId="61D23C0E" w14:textId="63BA92A7" w:rsidR="008A243A" w:rsidRPr="0053555E" w:rsidRDefault="008A243A" w:rsidP="008A243A">
            <w:pPr>
              <w:jc w:val="center"/>
              <w:rPr>
                <w:rFonts w:asciiTheme="majorHAnsi" w:hAnsiTheme="majorHAnsi" w:cstheme="majorHAnsi"/>
                <w:sz w:val="22"/>
                <w:szCs w:val="20"/>
              </w:rPr>
            </w:pPr>
            <w:r w:rsidRPr="0053555E">
              <w:rPr>
                <w:rFonts w:cs="Calibri"/>
                <w:sz w:val="22"/>
                <w:szCs w:val="20"/>
              </w:rPr>
              <w:t>71</w:t>
            </w:r>
          </w:p>
        </w:tc>
        <w:tc>
          <w:tcPr>
            <w:tcW w:w="1134" w:type="dxa"/>
            <w:tcBorders>
              <w:top w:val="nil"/>
              <w:left w:val="nil"/>
              <w:bottom w:val="single" w:sz="4" w:space="0" w:color="auto"/>
              <w:right w:val="single" w:sz="4" w:space="0" w:color="auto"/>
            </w:tcBorders>
            <w:vAlign w:val="center"/>
          </w:tcPr>
          <w:p w14:paraId="5956CBE3" w14:textId="1423A3F7" w:rsidR="008A243A" w:rsidRPr="0053555E" w:rsidRDefault="008A243A" w:rsidP="008A243A">
            <w:pPr>
              <w:jc w:val="center"/>
              <w:rPr>
                <w:rFonts w:asciiTheme="majorHAnsi" w:hAnsiTheme="majorHAnsi" w:cstheme="majorHAnsi"/>
                <w:sz w:val="22"/>
                <w:szCs w:val="20"/>
              </w:rPr>
            </w:pPr>
            <w:r w:rsidRPr="0053555E">
              <w:rPr>
                <w:rFonts w:cs="Calibri"/>
                <w:sz w:val="22"/>
                <w:szCs w:val="20"/>
              </w:rPr>
              <w:t>69</w:t>
            </w:r>
          </w:p>
        </w:tc>
        <w:tc>
          <w:tcPr>
            <w:tcW w:w="1134" w:type="dxa"/>
            <w:tcBorders>
              <w:top w:val="nil"/>
              <w:left w:val="nil"/>
              <w:bottom w:val="single" w:sz="4" w:space="0" w:color="auto"/>
              <w:right w:val="single" w:sz="4" w:space="0" w:color="auto"/>
            </w:tcBorders>
            <w:vAlign w:val="center"/>
          </w:tcPr>
          <w:p w14:paraId="71D8A565" w14:textId="1B7D6376" w:rsidR="008A243A" w:rsidRPr="0053555E" w:rsidRDefault="008A243A" w:rsidP="008A243A">
            <w:pPr>
              <w:jc w:val="center"/>
              <w:rPr>
                <w:rFonts w:asciiTheme="majorHAnsi" w:hAnsiTheme="majorHAnsi" w:cstheme="majorHAnsi"/>
                <w:sz w:val="22"/>
                <w:szCs w:val="20"/>
              </w:rPr>
            </w:pPr>
            <w:r w:rsidRPr="0053555E">
              <w:rPr>
                <w:rFonts w:cs="Calibri"/>
                <w:sz w:val="22"/>
                <w:szCs w:val="20"/>
              </w:rPr>
              <w:t>87</w:t>
            </w:r>
          </w:p>
        </w:tc>
      </w:tr>
      <w:tr w:rsidR="008A243A" w:rsidRPr="0053555E" w14:paraId="4B6AA33E" w14:textId="77777777" w:rsidTr="001605FB">
        <w:trPr>
          <w:trHeight w:val="255"/>
        </w:trPr>
        <w:tc>
          <w:tcPr>
            <w:tcW w:w="1433"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0DF15176" w14:textId="77777777" w:rsidR="008A243A" w:rsidRPr="0053555E" w:rsidRDefault="008A243A" w:rsidP="008A243A">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Spolu</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14:paraId="7DCED3C3" w14:textId="7D1F4C4B" w:rsidR="008A243A" w:rsidRPr="0053555E" w:rsidRDefault="008A243A" w:rsidP="008A243A">
            <w:pPr>
              <w:jc w:val="center"/>
              <w:rPr>
                <w:rFonts w:asciiTheme="majorHAnsi" w:hAnsiTheme="majorHAnsi" w:cstheme="majorHAnsi"/>
                <w:b/>
                <w:bCs/>
                <w:sz w:val="22"/>
                <w:szCs w:val="20"/>
              </w:rPr>
            </w:pPr>
            <w:r w:rsidRPr="0053555E">
              <w:rPr>
                <w:rFonts w:cs="Calibri"/>
                <w:b/>
                <w:bCs/>
                <w:sz w:val="22"/>
                <w:szCs w:val="20"/>
              </w:rPr>
              <w:t>322</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14:paraId="029ECD04" w14:textId="152DCA9E" w:rsidR="008A243A" w:rsidRPr="0053555E" w:rsidRDefault="008A243A" w:rsidP="008A243A">
            <w:pPr>
              <w:jc w:val="center"/>
              <w:rPr>
                <w:rFonts w:asciiTheme="majorHAnsi" w:hAnsiTheme="majorHAnsi" w:cstheme="majorHAnsi"/>
                <w:b/>
                <w:bCs/>
                <w:sz w:val="22"/>
                <w:szCs w:val="20"/>
              </w:rPr>
            </w:pPr>
            <w:r w:rsidRPr="0053555E">
              <w:rPr>
                <w:rFonts w:cs="Calibri"/>
                <w:b/>
                <w:bCs/>
                <w:sz w:val="22"/>
                <w:szCs w:val="20"/>
              </w:rPr>
              <w:t>375</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14:paraId="212BB898" w14:textId="056F9DE2" w:rsidR="008A243A" w:rsidRPr="0053555E" w:rsidRDefault="008A243A" w:rsidP="008A243A">
            <w:pPr>
              <w:jc w:val="center"/>
              <w:rPr>
                <w:rFonts w:asciiTheme="majorHAnsi" w:hAnsiTheme="majorHAnsi" w:cstheme="majorHAnsi"/>
                <w:b/>
                <w:bCs/>
                <w:sz w:val="22"/>
                <w:szCs w:val="20"/>
              </w:rPr>
            </w:pPr>
            <w:r w:rsidRPr="0053555E">
              <w:rPr>
                <w:rFonts w:cs="Calibri"/>
                <w:b/>
                <w:bCs/>
                <w:sz w:val="22"/>
                <w:szCs w:val="20"/>
              </w:rPr>
              <w:t>389</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14:paraId="25556428" w14:textId="33B18AD8" w:rsidR="008A243A" w:rsidRPr="0053555E" w:rsidRDefault="008A243A" w:rsidP="008A243A">
            <w:pPr>
              <w:jc w:val="center"/>
              <w:rPr>
                <w:rFonts w:asciiTheme="majorHAnsi" w:hAnsiTheme="majorHAnsi" w:cstheme="majorHAnsi"/>
                <w:b/>
                <w:bCs/>
                <w:sz w:val="22"/>
                <w:szCs w:val="20"/>
              </w:rPr>
            </w:pPr>
            <w:r w:rsidRPr="0053555E">
              <w:rPr>
                <w:rFonts w:cs="Calibri"/>
                <w:b/>
                <w:bCs/>
                <w:sz w:val="22"/>
                <w:szCs w:val="20"/>
              </w:rPr>
              <w:t>447</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14:paraId="57F02134" w14:textId="4D4BDAD5" w:rsidR="008A243A" w:rsidRPr="0053555E" w:rsidRDefault="008A243A" w:rsidP="008A243A">
            <w:pPr>
              <w:jc w:val="center"/>
              <w:rPr>
                <w:rFonts w:asciiTheme="majorHAnsi" w:hAnsiTheme="majorHAnsi" w:cstheme="majorHAnsi"/>
                <w:b/>
                <w:bCs/>
                <w:sz w:val="22"/>
                <w:szCs w:val="20"/>
              </w:rPr>
            </w:pPr>
            <w:r w:rsidRPr="0053555E">
              <w:rPr>
                <w:rFonts w:cs="Calibri"/>
                <w:b/>
                <w:bCs/>
                <w:sz w:val="22"/>
                <w:szCs w:val="20"/>
              </w:rPr>
              <w:t>595</w:t>
            </w:r>
          </w:p>
        </w:tc>
        <w:tc>
          <w:tcPr>
            <w:tcW w:w="1134" w:type="dxa"/>
            <w:tcBorders>
              <w:top w:val="nil"/>
              <w:left w:val="nil"/>
              <w:bottom w:val="single" w:sz="4" w:space="0" w:color="auto"/>
              <w:right w:val="single" w:sz="4" w:space="0" w:color="auto"/>
            </w:tcBorders>
            <w:shd w:val="clear" w:color="auto" w:fill="EEECE1" w:themeFill="background2"/>
            <w:vAlign w:val="center"/>
          </w:tcPr>
          <w:p w14:paraId="3236BD74" w14:textId="75CF143F" w:rsidR="008A243A" w:rsidRPr="0053555E" w:rsidRDefault="008A243A" w:rsidP="008A243A">
            <w:pPr>
              <w:ind w:leftChars="-1" w:left="-2"/>
              <w:jc w:val="center"/>
              <w:rPr>
                <w:rFonts w:asciiTheme="majorHAnsi" w:hAnsiTheme="majorHAnsi" w:cstheme="majorHAnsi"/>
                <w:b/>
                <w:bCs/>
                <w:sz w:val="22"/>
                <w:szCs w:val="20"/>
              </w:rPr>
            </w:pPr>
            <w:r w:rsidRPr="0053555E">
              <w:rPr>
                <w:rFonts w:cs="Calibri"/>
                <w:b/>
                <w:bCs/>
                <w:sz w:val="22"/>
                <w:szCs w:val="20"/>
              </w:rPr>
              <w:t>736</w:t>
            </w:r>
          </w:p>
        </w:tc>
        <w:tc>
          <w:tcPr>
            <w:tcW w:w="1134" w:type="dxa"/>
            <w:tcBorders>
              <w:top w:val="nil"/>
              <w:left w:val="nil"/>
              <w:bottom w:val="single" w:sz="4" w:space="0" w:color="auto"/>
              <w:right w:val="single" w:sz="4" w:space="0" w:color="auto"/>
            </w:tcBorders>
            <w:shd w:val="clear" w:color="auto" w:fill="EEECE1" w:themeFill="background2"/>
            <w:vAlign w:val="center"/>
          </w:tcPr>
          <w:p w14:paraId="790EE4C0" w14:textId="127ADA93" w:rsidR="008A243A" w:rsidRPr="0053555E" w:rsidRDefault="008A243A" w:rsidP="008A243A">
            <w:pPr>
              <w:jc w:val="center"/>
              <w:rPr>
                <w:rFonts w:asciiTheme="majorHAnsi" w:hAnsiTheme="majorHAnsi" w:cstheme="majorHAnsi"/>
                <w:b/>
                <w:bCs/>
                <w:sz w:val="22"/>
                <w:szCs w:val="20"/>
              </w:rPr>
            </w:pPr>
            <w:r w:rsidRPr="0053555E">
              <w:rPr>
                <w:rFonts w:cs="Calibri"/>
                <w:b/>
                <w:bCs/>
                <w:sz w:val="22"/>
                <w:szCs w:val="20"/>
              </w:rPr>
              <w:t>987</w:t>
            </w:r>
          </w:p>
        </w:tc>
      </w:tr>
    </w:tbl>
    <w:p w14:paraId="5505675A" w14:textId="77777777" w:rsidR="0042210A" w:rsidRPr="0053555E" w:rsidRDefault="0042210A" w:rsidP="0042210A">
      <w:pPr>
        <w:tabs>
          <w:tab w:val="left" w:pos="9356"/>
        </w:tabs>
        <w:jc w:val="both"/>
        <w:rPr>
          <w:rFonts w:asciiTheme="majorHAnsi" w:hAnsiTheme="majorHAnsi" w:cstheme="majorHAnsi"/>
          <w:sz w:val="22"/>
          <w:szCs w:val="22"/>
        </w:rPr>
      </w:pPr>
    </w:p>
    <w:p w14:paraId="4B5ABBC4" w14:textId="77777777" w:rsidR="0042210A" w:rsidRPr="0053555E" w:rsidRDefault="0042210A" w:rsidP="0042210A">
      <w:pPr>
        <w:tabs>
          <w:tab w:val="left" w:pos="9356"/>
        </w:tabs>
        <w:jc w:val="both"/>
        <w:rPr>
          <w:rFonts w:asciiTheme="majorHAnsi" w:hAnsiTheme="majorHAnsi" w:cstheme="majorHAnsi"/>
          <w:sz w:val="22"/>
          <w:szCs w:val="22"/>
        </w:rPr>
      </w:pPr>
    </w:p>
    <w:p w14:paraId="72E22066" w14:textId="3BC9EFBC" w:rsidR="0042210A" w:rsidRPr="0053555E" w:rsidRDefault="0042210A" w:rsidP="000E3322">
      <w:pPr>
        <w:pStyle w:val="Popis"/>
      </w:pPr>
      <w:bookmarkStart w:id="70" w:name="_Ref474779770"/>
      <w:bookmarkStart w:id="71" w:name="_Toc127593335"/>
      <w:r w:rsidRPr="0053555E">
        <w:t xml:space="preserve">Graf č. </w:t>
      </w:r>
      <w:r w:rsidR="007B5953">
        <w:fldChar w:fldCharType="begin"/>
      </w:r>
      <w:r w:rsidR="007B5953">
        <w:instrText xml:space="preserve"> SEQ Graf_č. \* ARABIC </w:instrText>
      </w:r>
      <w:r w:rsidR="007B5953">
        <w:fldChar w:fldCharType="separate"/>
      </w:r>
      <w:r w:rsidR="00EE1B59">
        <w:rPr>
          <w:noProof/>
        </w:rPr>
        <w:t>7</w:t>
      </w:r>
      <w:r w:rsidR="007B5953">
        <w:rPr>
          <w:noProof/>
        </w:rPr>
        <w:fldChar w:fldCharType="end"/>
      </w:r>
      <w:bookmarkEnd w:id="70"/>
      <w:r w:rsidRPr="0053555E">
        <w:t>: Vývoj počtu zahraničných študentov</w:t>
      </w:r>
      <w:bookmarkEnd w:id="71"/>
    </w:p>
    <w:p w14:paraId="37A4C5E7" w14:textId="4B2D33E6" w:rsidR="007D4E54" w:rsidRPr="0053555E" w:rsidRDefault="007D4E54" w:rsidP="007D4E54">
      <w:r w:rsidRPr="0053555E">
        <w:rPr>
          <w:noProof/>
          <w:lang w:eastAsia="sk-SK"/>
        </w:rPr>
        <w:drawing>
          <wp:inline distT="0" distB="0" distL="0" distR="0" wp14:anchorId="202CDADF" wp14:editId="62EFCD23">
            <wp:extent cx="5995359" cy="3200400"/>
            <wp:effectExtent l="0" t="0" r="5715" b="0"/>
            <wp:docPr id="4" name="Graf 4">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01CCDB" w14:textId="532EFEF3" w:rsidR="00074514" w:rsidRPr="0053555E" w:rsidRDefault="00074514" w:rsidP="006F0586">
      <w:pPr>
        <w:jc w:val="center"/>
      </w:pPr>
    </w:p>
    <w:p w14:paraId="281CEBAA" w14:textId="77777777" w:rsidR="001557E5" w:rsidRPr="0053555E" w:rsidRDefault="001557E5" w:rsidP="006F0586">
      <w:pPr>
        <w:jc w:val="center"/>
      </w:pPr>
    </w:p>
    <w:p w14:paraId="7889A721" w14:textId="5D1525B7" w:rsidR="007F7087" w:rsidRPr="0053555E" w:rsidRDefault="007F7087" w:rsidP="0042210A">
      <w:pPr>
        <w:tabs>
          <w:tab w:val="left" w:pos="9356"/>
        </w:tabs>
        <w:spacing w:after="120"/>
        <w:jc w:val="both"/>
        <w:rPr>
          <w:rFonts w:asciiTheme="majorHAnsi" w:hAnsiTheme="majorHAnsi" w:cstheme="majorHAnsi"/>
        </w:rPr>
      </w:pPr>
      <w:r w:rsidRPr="0053555E">
        <w:rPr>
          <w:rFonts w:asciiTheme="majorHAnsi" w:hAnsiTheme="majorHAnsi" w:cstheme="majorHAnsi"/>
        </w:rPr>
        <w:t xml:space="preserve">Z celkového počtu zahraničných študentov v akademickom roku </w:t>
      </w:r>
      <w:r w:rsidR="00EA24BA" w:rsidRPr="0053555E">
        <w:rPr>
          <w:rFonts w:asciiTheme="majorHAnsi" w:hAnsiTheme="majorHAnsi" w:cstheme="majorHAnsi"/>
        </w:rPr>
        <w:t>2021/2022</w:t>
      </w:r>
      <w:r w:rsidRPr="0053555E">
        <w:rPr>
          <w:rFonts w:asciiTheme="majorHAnsi" w:hAnsiTheme="majorHAnsi" w:cstheme="majorHAnsi"/>
        </w:rPr>
        <w:t xml:space="preserve"> bolo </w:t>
      </w:r>
      <w:r w:rsidR="009B0606">
        <w:rPr>
          <w:rFonts w:asciiTheme="majorHAnsi" w:hAnsiTheme="majorHAnsi" w:cstheme="majorHAnsi"/>
          <w:b/>
        </w:rPr>
        <w:t>489</w:t>
      </w:r>
      <w:r w:rsidRPr="0053555E">
        <w:rPr>
          <w:rFonts w:asciiTheme="majorHAnsi" w:hAnsiTheme="majorHAnsi" w:cstheme="majorHAnsi"/>
          <w:b/>
        </w:rPr>
        <w:t xml:space="preserve"> študentov z Ukrajiny</w:t>
      </w:r>
      <w:r w:rsidRPr="0053555E">
        <w:rPr>
          <w:rFonts w:asciiTheme="majorHAnsi" w:hAnsiTheme="majorHAnsi" w:cstheme="majorHAnsi"/>
        </w:rPr>
        <w:t xml:space="preserve">, z toho </w:t>
      </w:r>
      <w:r w:rsidR="009B0606">
        <w:rPr>
          <w:rFonts w:asciiTheme="majorHAnsi" w:hAnsiTheme="majorHAnsi" w:cstheme="majorHAnsi"/>
        </w:rPr>
        <w:t>423</w:t>
      </w:r>
      <w:r w:rsidRPr="0053555E">
        <w:rPr>
          <w:rFonts w:asciiTheme="majorHAnsi" w:hAnsiTheme="majorHAnsi" w:cstheme="majorHAnsi"/>
        </w:rPr>
        <w:t xml:space="preserve"> na prvom stupni, </w:t>
      </w:r>
      <w:r w:rsidR="009B0606">
        <w:rPr>
          <w:rFonts w:asciiTheme="majorHAnsi" w:hAnsiTheme="majorHAnsi" w:cstheme="majorHAnsi"/>
        </w:rPr>
        <w:t>60</w:t>
      </w:r>
      <w:r w:rsidR="0072770E">
        <w:rPr>
          <w:rFonts w:asciiTheme="majorHAnsi" w:hAnsiTheme="majorHAnsi" w:cstheme="majorHAnsi"/>
        </w:rPr>
        <w:t xml:space="preserve"> na druhom </w:t>
      </w:r>
      <w:r w:rsidRPr="0053555E">
        <w:rPr>
          <w:rFonts w:asciiTheme="majorHAnsi" w:hAnsiTheme="majorHAnsi" w:cstheme="majorHAnsi"/>
        </w:rPr>
        <w:t xml:space="preserve">a 6 na treťom stupni. Zo všetkých zahraničných študentov STU bolo </w:t>
      </w:r>
      <w:r w:rsidR="009B0606">
        <w:rPr>
          <w:rFonts w:asciiTheme="majorHAnsi" w:hAnsiTheme="majorHAnsi" w:cstheme="majorHAnsi"/>
        </w:rPr>
        <w:t>50</w:t>
      </w:r>
      <w:r w:rsidRPr="0053555E">
        <w:rPr>
          <w:rFonts w:asciiTheme="majorHAnsi" w:hAnsiTheme="majorHAnsi" w:cstheme="majorHAnsi"/>
        </w:rPr>
        <w:t xml:space="preserve"> % </w:t>
      </w:r>
      <w:r w:rsidR="009B0606">
        <w:rPr>
          <w:rFonts w:asciiTheme="majorHAnsi" w:hAnsiTheme="majorHAnsi" w:cstheme="majorHAnsi"/>
        </w:rPr>
        <w:t xml:space="preserve">študentov </w:t>
      </w:r>
      <w:r w:rsidRPr="0053555E">
        <w:rPr>
          <w:rFonts w:asciiTheme="majorHAnsi" w:hAnsiTheme="majorHAnsi" w:cstheme="majorHAnsi"/>
        </w:rPr>
        <w:t xml:space="preserve">z Ukrajiny. </w:t>
      </w:r>
    </w:p>
    <w:p w14:paraId="53DD9D0A" w14:textId="54EE987F" w:rsidR="0042210A" w:rsidRPr="0053555E" w:rsidRDefault="0042210A" w:rsidP="0042210A">
      <w:pPr>
        <w:tabs>
          <w:tab w:val="left" w:pos="9356"/>
        </w:tabs>
        <w:spacing w:after="120"/>
        <w:jc w:val="both"/>
        <w:rPr>
          <w:rFonts w:asciiTheme="majorHAnsi" w:hAnsiTheme="majorHAnsi" w:cstheme="majorHAnsi"/>
        </w:rPr>
      </w:pPr>
      <w:r w:rsidRPr="0053555E">
        <w:rPr>
          <w:rFonts w:asciiTheme="majorHAnsi" w:hAnsiTheme="majorHAnsi" w:cstheme="majorHAnsi"/>
        </w:rPr>
        <w:t xml:space="preserve">Počet zahraničných študentov na STU predstavuje z celkového počtu študentov STU </w:t>
      </w:r>
      <w:r w:rsidR="003F63D2">
        <w:rPr>
          <w:rFonts w:asciiTheme="majorHAnsi" w:hAnsiTheme="majorHAnsi" w:cstheme="majorHAnsi"/>
          <w:b/>
        </w:rPr>
        <w:t>9</w:t>
      </w:r>
      <w:r w:rsidR="00BC54BD" w:rsidRPr="0053555E">
        <w:rPr>
          <w:rFonts w:asciiTheme="majorHAnsi" w:hAnsiTheme="majorHAnsi" w:cstheme="majorHAnsi"/>
          <w:b/>
        </w:rPr>
        <w:t>,</w:t>
      </w:r>
      <w:r w:rsidR="003F63D2">
        <w:rPr>
          <w:rFonts w:asciiTheme="majorHAnsi" w:hAnsiTheme="majorHAnsi" w:cstheme="majorHAnsi"/>
          <w:b/>
        </w:rPr>
        <w:t>4</w:t>
      </w:r>
      <w:r w:rsidRPr="0053555E">
        <w:rPr>
          <w:rFonts w:asciiTheme="majorHAnsi" w:hAnsiTheme="majorHAnsi" w:cstheme="majorHAnsi"/>
          <w:b/>
        </w:rPr>
        <w:t> %</w:t>
      </w:r>
      <w:r w:rsidRPr="0053555E">
        <w:rPr>
          <w:rFonts w:asciiTheme="majorHAnsi" w:hAnsiTheme="majorHAnsi" w:cstheme="majorHAnsi"/>
        </w:rPr>
        <w:t xml:space="preserve">. Jedným z dôvodov tohto stavu je </w:t>
      </w:r>
      <w:r w:rsidR="003F63D2">
        <w:rPr>
          <w:rFonts w:asciiTheme="majorHAnsi" w:hAnsiTheme="majorHAnsi" w:cstheme="majorHAnsi"/>
        </w:rPr>
        <w:t>pretrvávajúci nízky</w:t>
      </w:r>
      <w:r w:rsidRPr="0053555E">
        <w:rPr>
          <w:rFonts w:asciiTheme="majorHAnsi" w:hAnsiTheme="majorHAnsi" w:cstheme="majorHAnsi"/>
        </w:rPr>
        <w:t xml:space="preserve"> záujem zahraničných uchádzačov o štúdium v anglickom jazyku</w:t>
      </w:r>
      <w:r w:rsidR="00BD1D45">
        <w:rPr>
          <w:rFonts w:asciiTheme="majorHAnsi" w:hAnsiTheme="majorHAnsi" w:cstheme="majorHAnsi"/>
        </w:rPr>
        <w:t xml:space="preserve">, </w:t>
      </w:r>
      <w:r w:rsidR="00BF31D2">
        <w:rPr>
          <w:rFonts w:asciiTheme="majorHAnsi" w:hAnsiTheme="majorHAnsi" w:cstheme="majorHAnsi"/>
        </w:rPr>
        <w:t xml:space="preserve">čo </w:t>
      </w:r>
      <w:r w:rsidR="003F5224">
        <w:rPr>
          <w:rFonts w:asciiTheme="majorHAnsi" w:hAnsiTheme="majorHAnsi" w:cstheme="majorHAnsi"/>
        </w:rPr>
        <w:t>určite súvisí s</w:t>
      </w:r>
      <w:r w:rsidR="0072770E">
        <w:rPr>
          <w:rFonts w:asciiTheme="majorHAnsi" w:hAnsiTheme="majorHAnsi" w:cstheme="majorHAnsi"/>
        </w:rPr>
        <w:t xml:space="preserve"> jeho</w:t>
      </w:r>
      <w:r w:rsidR="003F5224">
        <w:rPr>
          <w:rFonts w:asciiTheme="majorHAnsi" w:hAnsiTheme="majorHAnsi" w:cstheme="majorHAnsi"/>
        </w:rPr>
        <w:t> </w:t>
      </w:r>
      <w:r w:rsidR="007E3A7F">
        <w:rPr>
          <w:rFonts w:asciiTheme="majorHAnsi" w:hAnsiTheme="majorHAnsi" w:cstheme="majorHAnsi"/>
        </w:rPr>
        <w:t>s</w:t>
      </w:r>
      <w:r w:rsidR="003F5224">
        <w:rPr>
          <w:rFonts w:asciiTheme="majorHAnsi" w:hAnsiTheme="majorHAnsi" w:cstheme="majorHAnsi"/>
        </w:rPr>
        <w:t>popl</w:t>
      </w:r>
      <w:r w:rsidR="0072770E">
        <w:rPr>
          <w:rFonts w:asciiTheme="majorHAnsi" w:hAnsiTheme="majorHAnsi" w:cstheme="majorHAnsi"/>
        </w:rPr>
        <w:t>atnením</w:t>
      </w:r>
      <w:r w:rsidRPr="0053555E">
        <w:rPr>
          <w:rFonts w:asciiTheme="majorHAnsi" w:hAnsiTheme="majorHAnsi" w:cstheme="majorHAnsi"/>
        </w:rPr>
        <w:t>. STU má jeden zo strategických cieľov zadefinovaných v dlhodobom zámere STU od roku 2018 zvýšiť podiel zahraničných študentov študu</w:t>
      </w:r>
      <w:r w:rsidR="00AD2379" w:rsidRPr="0053555E">
        <w:rPr>
          <w:rFonts w:asciiTheme="majorHAnsi" w:hAnsiTheme="majorHAnsi" w:cstheme="majorHAnsi"/>
        </w:rPr>
        <w:t>júcich na STU. Napriek tomu, že </w:t>
      </w:r>
      <w:r w:rsidRPr="0053555E">
        <w:rPr>
          <w:rFonts w:asciiTheme="majorHAnsi" w:hAnsiTheme="majorHAnsi" w:cstheme="majorHAnsi"/>
        </w:rPr>
        <w:t>v posudzovanom akademickom roku mala STU akreditovaných 1</w:t>
      </w:r>
      <w:r w:rsidR="00FA6CB3">
        <w:rPr>
          <w:rFonts w:asciiTheme="majorHAnsi" w:hAnsiTheme="majorHAnsi" w:cstheme="majorHAnsi"/>
        </w:rPr>
        <w:t>22</w:t>
      </w:r>
      <w:r w:rsidRPr="0053555E">
        <w:rPr>
          <w:rFonts w:asciiTheme="majorHAnsi" w:hAnsiTheme="majorHAnsi" w:cstheme="majorHAnsi"/>
        </w:rPr>
        <w:t xml:space="preserve"> študijných programov v anglickom jazyku, štúdium bolo realizované len v </w:t>
      </w:r>
      <w:r w:rsidR="00356D8E" w:rsidRPr="0053555E">
        <w:rPr>
          <w:rFonts w:asciiTheme="majorHAnsi" w:hAnsiTheme="majorHAnsi" w:cstheme="majorHAnsi"/>
        </w:rPr>
        <w:t>2</w:t>
      </w:r>
      <w:r w:rsidR="00FA6CB3">
        <w:rPr>
          <w:rFonts w:asciiTheme="majorHAnsi" w:hAnsiTheme="majorHAnsi" w:cstheme="majorHAnsi"/>
        </w:rPr>
        <w:t>1</w:t>
      </w:r>
      <w:r w:rsidRPr="0053555E">
        <w:rPr>
          <w:rFonts w:asciiTheme="majorHAnsi" w:hAnsiTheme="majorHAnsi" w:cstheme="majorHAnsi"/>
        </w:rPr>
        <w:t xml:space="preserve"> z nich (</w:t>
      </w:r>
      <w:r w:rsidR="00356D8E" w:rsidRPr="0053555E">
        <w:rPr>
          <w:rFonts w:asciiTheme="majorHAnsi" w:hAnsiTheme="majorHAnsi" w:cstheme="majorHAnsi"/>
        </w:rPr>
        <w:t>4</w:t>
      </w:r>
      <w:r w:rsidRPr="0053555E">
        <w:rPr>
          <w:rFonts w:asciiTheme="majorHAnsi" w:hAnsiTheme="majorHAnsi" w:cstheme="majorHAnsi"/>
        </w:rPr>
        <w:t xml:space="preserve"> na prvom stupni, </w:t>
      </w:r>
      <w:r w:rsidR="00FA6CB3">
        <w:rPr>
          <w:rFonts w:asciiTheme="majorHAnsi" w:hAnsiTheme="majorHAnsi" w:cstheme="majorHAnsi"/>
        </w:rPr>
        <w:t>4</w:t>
      </w:r>
      <w:r w:rsidRPr="0053555E">
        <w:rPr>
          <w:rFonts w:asciiTheme="majorHAnsi" w:hAnsiTheme="majorHAnsi" w:cstheme="majorHAnsi"/>
        </w:rPr>
        <w:t> na druhom stupni a </w:t>
      </w:r>
      <w:r w:rsidR="00356D8E" w:rsidRPr="0053555E">
        <w:rPr>
          <w:rFonts w:asciiTheme="majorHAnsi" w:hAnsiTheme="majorHAnsi" w:cstheme="majorHAnsi"/>
        </w:rPr>
        <w:t>1</w:t>
      </w:r>
      <w:r w:rsidR="00FA6CB3">
        <w:rPr>
          <w:rFonts w:asciiTheme="majorHAnsi" w:hAnsiTheme="majorHAnsi" w:cstheme="majorHAnsi"/>
        </w:rPr>
        <w:t>3</w:t>
      </w:r>
      <w:r w:rsidRPr="0053555E">
        <w:rPr>
          <w:rFonts w:asciiTheme="majorHAnsi" w:hAnsiTheme="majorHAnsi" w:cstheme="majorHAnsi"/>
        </w:rPr>
        <w:t xml:space="preserve"> na treťom stupni štúdia) ako je uvedené v</w:t>
      </w:r>
      <w:r w:rsidR="001B7FA2" w:rsidRPr="0053555E">
        <w:rPr>
          <w:rFonts w:asciiTheme="majorHAnsi" w:hAnsiTheme="majorHAnsi" w:cstheme="majorHAnsi"/>
        </w:rPr>
        <w:t> </w:t>
      </w:r>
      <w:r w:rsidRPr="0053555E">
        <w:rPr>
          <w:rFonts w:asciiTheme="majorHAnsi" w:hAnsiTheme="majorHAnsi" w:cstheme="majorHAnsi"/>
        </w:rPr>
        <w:t>časti</w:t>
      </w:r>
      <w:r w:rsidR="001B7FA2" w:rsidRPr="0053555E">
        <w:rPr>
          <w:rFonts w:asciiTheme="majorHAnsi" w:hAnsiTheme="majorHAnsi" w:cstheme="majorHAnsi"/>
        </w:rPr>
        <w:t xml:space="preserve"> </w:t>
      </w:r>
      <w:r w:rsidR="001B7FA2" w:rsidRPr="0053555E">
        <w:rPr>
          <w:rFonts w:asciiTheme="majorHAnsi" w:hAnsiTheme="majorHAnsi" w:cstheme="majorHAnsi"/>
          <w:u w:val="single"/>
        </w:rPr>
        <w:fldChar w:fldCharType="begin"/>
      </w:r>
      <w:r w:rsidR="001B7FA2" w:rsidRPr="0053555E">
        <w:rPr>
          <w:rFonts w:asciiTheme="majorHAnsi" w:hAnsiTheme="majorHAnsi" w:cstheme="majorHAnsi"/>
          <w:u w:val="single"/>
        </w:rPr>
        <w:instrText xml:space="preserve"> REF _Ref95465168 \r \h  \* MERGEFORMAT </w:instrText>
      </w:r>
      <w:r w:rsidR="001B7FA2" w:rsidRPr="0053555E">
        <w:rPr>
          <w:rFonts w:asciiTheme="majorHAnsi" w:hAnsiTheme="majorHAnsi" w:cstheme="majorHAnsi"/>
          <w:u w:val="single"/>
        </w:rPr>
      </w:r>
      <w:r w:rsidR="001B7FA2" w:rsidRPr="0053555E">
        <w:rPr>
          <w:rFonts w:asciiTheme="majorHAnsi" w:hAnsiTheme="majorHAnsi" w:cstheme="majorHAnsi"/>
          <w:u w:val="single"/>
        </w:rPr>
        <w:fldChar w:fldCharType="separate"/>
      </w:r>
      <w:r w:rsidR="00EE1B59">
        <w:rPr>
          <w:rFonts w:asciiTheme="majorHAnsi" w:hAnsiTheme="majorHAnsi" w:cstheme="majorHAnsi"/>
          <w:u w:val="single"/>
        </w:rPr>
        <w:t>1</w:t>
      </w:r>
      <w:r w:rsidR="001B7FA2" w:rsidRPr="0053555E">
        <w:rPr>
          <w:rFonts w:asciiTheme="majorHAnsi" w:hAnsiTheme="majorHAnsi" w:cstheme="majorHAnsi"/>
          <w:u w:val="single"/>
        </w:rPr>
        <w:fldChar w:fldCharType="end"/>
      </w:r>
      <w:r w:rsidR="001B7FA2" w:rsidRPr="0053555E">
        <w:rPr>
          <w:rFonts w:asciiTheme="majorHAnsi" w:hAnsiTheme="majorHAnsi" w:cstheme="majorHAnsi"/>
        </w:rPr>
        <w:t xml:space="preserve"> tejto</w:t>
      </w:r>
      <w:r w:rsidRPr="0053555E">
        <w:rPr>
          <w:rFonts w:asciiTheme="majorHAnsi" w:hAnsiTheme="majorHAnsi" w:cstheme="majorHAnsi"/>
        </w:rPr>
        <w:t xml:space="preserve"> správy v </w:t>
      </w:r>
      <w:r w:rsidR="00195DB8" w:rsidRPr="003E74C6">
        <w:rPr>
          <w:rFonts w:asciiTheme="majorHAnsi" w:hAnsiTheme="majorHAnsi" w:cstheme="majorHAnsi"/>
        </w:rPr>
        <w:fldChar w:fldCharType="begin"/>
      </w:r>
      <w:r w:rsidR="00195DB8" w:rsidRPr="003E74C6">
        <w:rPr>
          <w:rFonts w:asciiTheme="majorHAnsi" w:hAnsiTheme="majorHAnsi" w:cstheme="majorHAnsi"/>
        </w:rPr>
        <w:instrText xml:space="preserve"> REF _Ref127191158 \h  \* MERGEFORMAT </w:instrText>
      </w:r>
      <w:r w:rsidR="00195DB8" w:rsidRPr="003E74C6">
        <w:rPr>
          <w:rFonts w:asciiTheme="majorHAnsi" w:hAnsiTheme="majorHAnsi" w:cstheme="majorHAnsi"/>
        </w:rPr>
      </w:r>
      <w:r w:rsidR="00195DB8" w:rsidRPr="003E74C6">
        <w:rPr>
          <w:rFonts w:asciiTheme="majorHAnsi" w:hAnsiTheme="majorHAnsi" w:cstheme="majorHAnsi"/>
        </w:rPr>
        <w:fldChar w:fldCharType="separate"/>
      </w:r>
      <w:r w:rsidR="00EE1B59" w:rsidRPr="003E74C6">
        <w:t xml:space="preserve">Tab. č. </w:t>
      </w:r>
      <w:r w:rsidR="00EE1B59" w:rsidRPr="003E74C6">
        <w:rPr>
          <w:noProof/>
        </w:rPr>
        <w:t>3</w:t>
      </w:r>
      <w:r w:rsidR="00195DB8" w:rsidRPr="003E74C6">
        <w:rPr>
          <w:rFonts w:asciiTheme="majorHAnsi" w:hAnsiTheme="majorHAnsi" w:cstheme="majorHAnsi"/>
        </w:rPr>
        <w:fldChar w:fldCharType="end"/>
      </w:r>
      <w:r w:rsidR="00195DB8" w:rsidRPr="003E74C6">
        <w:rPr>
          <w:rFonts w:asciiTheme="majorHAnsi" w:hAnsiTheme="majorHAnsi" w:cstheme="majorHAnsi"/>
        </w:rPr>
        <w:t xml:space="preserve"> </w:t>
      </w:r>
      <w:r w:rsidRPr="003E74C6">
        <w:rPr>
          <w:rFonts w:asciiTheme="majorHAnsi" w:hAnsiTheme="majorHAnsi" w:cstheme="majorHAnsi"/>
        </w:rPr>
        <w:t>a </w:t>
      </w:r>
      <w:r w:rsidRPr="003E74C6">
        <w:rPr>
          <w:rFonts w:asciiTheme="majorHAnsi" w:hAnsiTheme="majorHAnsi" w:cstheme="majorHAnsi"/>
        </w:rPr>
        <w:fldChar w:fldCharType="begin"/>
      </w:r>
      <w:r w:rsidRPr="003E74C6">
        <w:rPr>
          <w:rFonts w:asciiTheme="majorHAnsi" w:hAnsiTheme="majorHAnsi" w:cstheme="majorHAnsi"/>
        </w:rPr>
        <w:instrText xml:space="preserve"> REF _Ref31705828 \h  \* MERGEFORMAT </w:instrText>
      </w:r>
      <w:r w:rsidRPr="003E74C6">
        <w:rPr>
          <w:rFonts w:asciiTheme="majorHAnsi" w:hAnsiTheme="majorHAnsi" w:cstheme="majorHAnsi"/>
        </w:rPr>
      </w:r>
      <w:r w:rsidRPr="003E74C6">
        <w:rPr>
          <w:rFonts w:asciiTheme="majorHAnsi" w:hAnsiTheme="majorHAnsi" w:cstheme="majorHAnsi"/>
        </w:rPr>
        <w:fldChar w:fldCharType="separate"/>
      </w:r>
      <w:r w:rsidR="00EE1B59" w:rsidRPr="003E74C6">
        <w:rPr>
          <w:rFonts w:asciiTheme="majorHAnsi" w:eastAsia="Times New Roman" w:hAnsiTheme="majorHAnsi" w:cstheme="majorHAnsi"/>
          <w:lang w:eastAsia="sk-SK"/>
        </w:rPr>
        <w:t>Tab. č. 4</w:t>
      </w:r>
      <w:r w:rsidRPr="003E74C6">
        <w:rPr>
          <w:rFonts w:asciiTheme="majorHAnsi" w:hAnsiTheme="majorHAnsi" w:cstheme="majorHAnsi"/>
        </w:rPr>
        <w:fldChar w:fldCharType="end"/>
      </w:r>
      <w:r w:rsidRPr="0053555E">
        <w:rPr>
          <w:rFonts w:asciiTheme="majorHAnsi" w:hAnsiTheme="majorHAnsi" w:cstheme="majorHAnsi"/>
        </w:rPr>
        <w:t xml:space="preserve">. </w:t>
      </w:r>
    </w:p>
    <w:p w14:paraId="77DE72CE" w14:textId="4D8E3337" w:rsidR="0042210A" w:rsidRPr="0053555E" w:rsidRDefault="00FB208C" w:rsidP="0042210A">
      <w:pPr>
        <w:tabs>
          <w:tab w:val="left" w:pos="9356"/>
        </w:tabs>
        <w:spacing w:after="120"/>
        <w:jc w:val="both"/>
        <w:rPr>
          <w:rFonts w:asciiTheme="majorHAnsi" w:hAnsiTheme="majorHAnsi" w:cstheme="majorHAnsi"/>
        </w:rPr>
      </w:pPr>
      <w:r>
        <w:rPr>
          <w:rFonts w:asciiTheme="majorHAnsi" w:hAnsiTheme="majorHAnsi" w:cstheme="majorHAnsi"/>
        </w:rPr>
        <w:t>V</w:t>
      </w:r>
      <w:r w:rsidR="00195DB8">
        <w:rPr>
          <w:rFonts w:asciiTheme="majorHAnsi" w:hAnsiTheme="majorHAnsi" w:cstheme="majorHAnsi"/>
        </w:rPr>
        <w:t>ýznamnejšou</w:t>
      </w:r>
      <w:r w:rsidR="0042210A" w:rsidRPr="0053555E">
        <w:rPr>
          <w:rFonts w:asciiTheme="majorHAnsi" w:hAnsiTheme="majorHAnsi" w:cstheme="majorHAnsi"/>
        </w:rPr>
        <w:t xml:space="preserve"> možnosťou zvýšenia počtu zahraničných študentov na STU </w:t>
      </w:r>
      <w:r>
        <w:rPr>
          <w:rFonts w:asciiTheme="majorHAnsi" w:hAnsiTheme="majorHAnsi" w:cstheme="majorHAnsi"/>
        </w:rPr>
        <w:t>sa javí</w:t>
      </w:r>
      <w:r w:rsidR="0042210A" w:rsidRPr="0053555E">
        <w:rPr>
          <w:rFonts w:asciiTheme="majorHAnsi" w:hAnsiTheme="majorHAnsi" w:cstheme="majorHAnsi"/>
        </w:rPr>
        <w:t xml:space="preserve"> štúdium v študijných programoch uskutočňovaných v štátnom jazyku, ktoré je plne hradené z prostriedkov </w:t>
      </w:r>
      <w:r w:rsidR="0042210A" w:rsidRPr="0053555E">
        <w:rPr>
          <w:rFonts w:asciiTheme="majorHAnsi" w:hAnsiTheme="majorHAnsi" w:cstheme="majorHAnsi"/>
        </w:rPr>
        <w:lastRenderedPageBreak/>
        <w:t>štátneho rozpočtu, pričom veľmi perspektívni pre takéto štúdium sú občania krajín, ktorých rodný jazyk je príbuzný alebo veľmi blízky slovenskému jazyku</w:t>
      </w:r>
      <w:r w:rsidR="0072770E">
        <w:rPr>
          <w:rFonts w:asciiTheme="majorHAnsi" w:hAnsiTheme="majorHAnsi" w:cstheme="majorHAnsi"/>
        </w:rPr>
        <w:t>,</w:t>
      </w:r>
      <w:r>
        <w:rPr>
          <w:rFonts w:asciiTheme="majorHAnsi" w:hAnsiTheme="majorHAnsi" w:cstheme="majorHAnsi"/>
        </w:rPr>
        <w:t xml:space="preserve"> ako napríklad občania Ukrajiny</w:t>
      </w:r>
      <w:r w:rsidR="009436AB">
        <w:rPr>
          <w:rFonts w:asciiTheme="majorHAnsi" w:hAnsiTheme="majorHAnsi" w:cstheme="majorHAnsi"/>
        </w:rPr>
        <w:t>,</w:t>
      </w:r>
      <w:r>
        <w:rPr>
          <w:rFonts w:asciiTheme="majorHAnsi" w:hAnsiTheme="majorHAnsi" w:cstheme="majorHAnsi"/>
        </w:rPr>
        <w:t xml:space="preserve"> Rusk</w:t>
      </w:r>
      <w:r w:rsidR="00776BB6">
        <w:rPr>
          <w:rFonts w:asciiTheme="majorHAnsi" w:hAnsiTheme="majorHAnsi" w:cstheme="majorHAnsi"/>
        </w:rPr>
        <w:t>ej federácie</w:t>
      </w:r>
      <w:r w:rsidR="009436AB">
        <w:rPr>
          <w:rFonts w:asciiTheme="majorHAnsi" w:hAnsiTheme="majorHAnsi" w:cstheme="majorHAnsi"/>
        </w:rPr>
        <w:t>, Srbsk</w:t>
      </w:r>
      <w:r w:rsidR="00776BB6">
        <w:rPr>
          <w:rFonts w:asciiTheme="majorHAnsi" w:hAnsiTheme="majorHAnsi" w:cstheme="majorHAnsi"/>
        </w:rPr>
        <w:t>ej republiky</w:t>
      </w:r>
      <w:r w:rsidR="009436AB">
        <w:rPr>
          <w:rFonts w:asciiTheme="majorHAnsi" w:hAnsiTheme="majorHAnsi" w:cstheme="majorHAnsi"/>
        </w:rPr>
        <w:t xml:space="preserve"> a ďalších</w:t>
      </w:r>
      <w:r w:rsidR="0042210A" w:rsidRPr="0053555E">
        <w:rPr>
          <w:rFonts w:asciiTheme="majorHAnsi" w:hAnsiTheme="majorHAnsi" w:cstheme="majorHAnsi"/>
        </w:rPr>
        <w:t>. Dôležité je však poukázať na legislatívny rámec pre štúdium cudzincov na území Slovensk</w:t>
      </w:r>
      <w:r w:rsidR="00FF7B44" w:rsidRPr="0053555E">
        <w:rPr>
          <w:rFonts w:asciiTheme="majorHAnsi" w:hAnsiTheme="majorHAnsi" w:cstheme="majorHAnsi"/>
        </w:rPr>
        <w:t>ej republiky</w:t>
      </w:r>
      <w:r w:rsidR="0042210A" w:rsidRPr="0053555E">
        <w:rPr>
          <w:rFonts w:asciiTheme="majorHAnsi" w:hAnsiTheme="majorHAnsi" w:cstheme="majorHAnsi"/>
        </w:rPr>
        <w:t xml:space="preserve">, ktorý vytvára byrokratické bariéry pre uchádzačov zo zahraničia, a to najmä občanov tretích krajín (administratívne náročná vízová politika a tiež komplikované uznávanie dokladov o vzdelaní). </w:t>
      </w:r>
    </w:p>
    <w:p w14:paraId="2BE73170" w14:textId="49C00977" w:rsidR="0042210A" w:rsidRPr="0053555E" w:rsidRDefault="0042210A" w:rsidP="0042210A">
      <w:pPr>
        <w:tabs>
          <w:tab w:val="left" w:pos="9356"/>
        </w:tabs>
        <w:spacing w:after="120"/>
        <w:jc w:val="both"/>
        <w:rPr>
          <w:rFonts w:asciiTheme="majorHAnsi" w:hAnsiTheme="majorHAnsi" w:cstheme="majorHAnsi"/>
        </w:rPr>
      </w:pPr>
      <w:r w:rsidRPr="0053555E">
        <w:rPr>
          <w:rFonts w:asciiTheme="majorHAnsi" w:hAnsiTheme="majorHAnsi" w:cstheme="majorHAnsi"/>
        </w:rPr>
        <w:t xml:space="preserve">V akademickom roku </w:t>
      </w:r>
      <w:r w:rsidR="00EA24BA" w:rsidRPr="0053555E">
        <w:rPr>
          <w:rFonts w:asciiTheme="majorHAnsi" w:hAnsiTheme="majorHAnsi" w:cstheme="majorHAnsi"/>
        </w:rPr>
        <w:t>2021/2022</w:t>
      </w:r>
      <w:r w:rsidRPr="0053555E">
        <w:rPr>
          <w:rFonts w:asciiTheme="majorHAnsi" w:hAnsiTheme="majorHAnsi" w:cstheme="majorHAnsi"/>
        </w:rPr>
        <w:t xml:space="preserve"> študovalo na STU </w:t>
      </w:r>
      <w:r w:rsidRPr="0053555E">
        <w:rPr>
          <w:rFonts w:asciiTheme="majorHAnsi" w:hAnsiTheme="majorHAnsi" w:cstheme="majorHAnsi"/>
          <w:b/>
        </w:rPr>
        <w:t>v rámci štipendijných miest vlády Slovenskej republiky</w:t>
      </w:r>
      <w:r w:rsidRPr="0053555E">
        <w:rPr>
          <w:rFonts w:asciiTheme="majorHAnsi" w:hAnsiTheme="majorHAnsi" w:cstheme="majorHAnsi"/>
        </w:rPr>
        <w:t xml:space="preserve"> (oficiálna rozvojová pomoc)</w:t>
      </w:r>
      <w:r w:rsidR="0066560C" w:rsidRPr="0053555E">
        <w:rPr>
          <w:rFonts w:asciiTheme="majorHAnsi" w:hAnsiTheme="majorHAnsi" w:cstheme="majorHAnsi"/>
        </w:rPr>
        <w:t xml:space="preserve">, resp. </w:t>
      </w:r>
      <w:r w:rsidR="0066560C" w:rsidRPr="0053555E">
        <w:rPr>
          <w:rFonts w:asciiTheme="majorHAnsi" w:hAnsiTheme="majorHAnsi" w:cstheme="majorHAnsi"/>
          <w:b/>
        </w:rPr>
        <w:t xml:space="preserve">v rámci platných </w:t>
      </w:r>
      <w:r w:rsidR="001672C5" w:rsidRPr="0053555E">
        <w:rPr>
          <w:rFonts w:asciiTheme="majorHAnsi" w:hAnsiTheme="majorHAnsi" w:cstheme="majorHAnsi"/>
          <w:b/>
        </w:rPr>
        <w:t>bilaterálnych</w:t>
      </w:r>
      <w:r w:rsidR="0066560C" w:rsidRPr="0053555E">
        <w:rPr>
          <w:rFonts w:asciiTheme="majorHAnsi" w:hAnsiTheme="majorHAnsi" w:cstheme="majorHAnsi"/>
          <w:b/>
        </w:rPr>
        <w:t xml:space="preserve"> zmlúv</w:t>
      </w:r>
      <w:r w:rsidR="001672C5" w:rsidRPr="0053555E">
        <w:rPr>
          <w:rFonts w:asciiTheme="majorHAnsi" w:hAnsiTheme="majorHAnsi" w:cstheme="majorHAnsi"/>
        </w:rPr>
        <w:t xml:space="preserve"> </w:t>
      </w:r>
      <w:r w:rsidRPr="0053555E">
        <w:rPr>
          <w:rFonts w:asciiTheme="majorHAnsi" w:hAnsiTheme="majorHAnsi" w:cstheme="majorHAnsi"/>
          <w:b/>
        </w:rPr>
        <w:t>1</w:t>
      </w:r>
      <w:r w:rsidR="00776BB6">
        <w:rPr>
          <w:rFonts w:asciiTheme="majorHAnsi" w:hAnsiTheme="majorHAnsi" w:cstheme="majorHAnsi"/>
          <w:b/>
        </w:rPr>
        <w:t>1</w:t>
      </w:r>
      <w:r w:rsidR="00821CCD" w:rsidRPr="0053555E">
        <w:rPr>
          <w:rFonts w:asciiTheme="majorHAnsi" w:hAnsiTheme="majorHAnsi" w:cstheme="majorHAnsi"/>
          <w:b/>
        </w:rPr>
        <w:t xml:space="preserve"> </w:t>
      </w:r>
      <w:r w:rsidRPr="0053555E">
        <w:rPr>
          <w:rFonts w:asciiTheme="majorHAnsi" w:hAnsiTheme="majorHAnsi" w:cstheme="majorHAnsi"/>
          <w:b/>
        </w:rPr>
        <w:t>% zahraničných študentov</w:t>
      </w:r>
      <w:r w:rsidRPr="0053555E">
        <w:rPr>
          <w:rFonts w:asciiTheme="majorHAnsi" w:hAnsiTheme="majorHAnsi" w:cstheme="majorHAnsi"/>
        </w:rPr>
        <w:t xml:space="preserve">, čo predstavuje </w:t>
      </w:r>
      <w:r w:rsidR="00821CCD" w:rsidRPr="0053555E">
        <w:rPr>
          <w:rFonts w:asciiTheme="majorHAnsi" w:hAnsiTheme="majorHAnsi" w:cstheme="majorHAnsi"/>
        </w:rPr>
        <w:t>1</w:t>
      </w:r>
      <w:r w:rsidR="001C5422">
        <w:rPr>
          <w:rFonts w:asciiTheme="majorHAnsi" w:hAnsiTheme="majorHAnsi" w:cstheme="majorHAnsi"/>
        </w:rPr>
        <w:t>05</w:t>
      </w:r>
      <w:r w:rsidRPr="0053555E">
        <w:rPr>
          <w:rFonts w:asciiTheme="majorHAnsi" w:hAnsiTheme="majorHAnsi" w:cstheme="majorHAnsi"/>
        </w:rPr>
        <w:t xml:space="preserve"> študentov z celkového počtu zahraničných študentov STU (z toho </w:t>
      </w:r>
      <w:r w:rsidR="00821CCD" w:rsidRPr="0053555E">
        <w:rPr>
          <w:rFonts w:asciiTheme="majorHAnsi" w:hAnsiTheme="majorHAnsi" w:cstheme="majorHAnsi"/>
        </w:rPr>
        <w:t>1</w:t>
      </w:r>
      <w:r w:rsidR="001C5422">
        <w:rPr>
          <w:rFonts w:asciiTheme="majorHAnsi" w:hAnsiTheme="majorHAnsi" w:cstheme="majorHAnsi"/>
        </w:rPr>
        <w:t>03</w:t>
      </w:r>
      <w:r w:rsidRPr="0053555E">
        <w:rPr>
          <w:rFonts w:asciiTheme="majorHAnsi" w:hAnsiTheme="majorHAnsi" w:cstheme="majorHAnsi"/>
        </w:rPr>
        <w:t xml:space="preserve"> na prvom a druhom stupni a </w:t>
      </w:r>
      <w:r w:rsidR="001C5422">
        <w:rPr>
          <w:rFonts w:asciiTheme="majorHAnsi" w:hAnsiTheme="majorHAnsi" w:cstheme="majorHAnsi"/>
        </w:rPr>
        <w:t>2</w:t>
      </w:r>
      <w:r w:rsidRPr="0053555E">
        <w:rPr>
          <w:rFonts w:asciiTheme="majorHAnsi" w:hAnsiTheme="majorHAnsi" w:cstheme="majorHAnsi"/>
        </w:rPr>
        <w:t xml:space="preserve"> na treťom stupni štúdia). </w:t>
      </w:r>
      <w:r w:rsidR="001D5A96" w:rsidRPr="0053555E">
        <w:rPr>
          <w:rFonts w:asciiTheme="majorHAnsi" w:hAnsiTheme="majorHAnsi" w:cstheme="majorHAnsi"/>
        </w:rPr>
        <w:t>V porovnaní s akademickým rokom 20</w:t>
      </w:r>
      <w:r w:rsidR="001C5422">
        <w:rPr>
          <w:rFonts w:asciiTheme="majorHAnsi" w:hAnsiTheme="majorHAnsi" w:cstheme="majorHAnsi"/>
        </w:rPr>
        <w:t>20</w:t>
      </w:r>
      <w:r w:rsidR="001D5A96" w:rsidRPr="0053555E">
        <w:rPr>
          <w:rFonts w:asciiTheme="majorHAnsi" w:hAnsiTheme="majorHAnsi" w:cstheme="majorHAnsi"/>
        </w:rPr>
        <w:t>/202</w:t>
      </w:r>
      <w:r w:rsidR="001C5422">
        <w:rPr>
          <w:rFonts w:asciiTheme="majorHAnsi" w:hAnsiTheme="majorHAnsi" w:cstheme="majorHAnsi"/>
        </w:rPr>
        <w:t>1</w:t>
      </w:r>
      <w:r w:rsidR="001D5A96" w:rsidRPr="0053555E">
        <w:rPr>
          <w:rFonts w:asciiTheme="majorHAnsi" w:hAnsiTheme="majorHAnsi" w:cstheme="majorHAnsi"/>
        </w:rPr>
        <w:t xml:space="preserve"> bol zaznamenaný </w:t>
      </w:r>
      <w:r w:rsidR="00CC7622">
        <w:rPr>
          <w:rFonts w:asciiTheme="majorHAnsi" w:hAnsiTheme="majorHAnsi" w:cstheme="majorHAnsi"/>
        </w:rPr>
        <w:t>pokles</w:t>
      </w:r>
      <w:r w:rsidR="001D5A96" w:rsidRPr="0053555E">
        <w:rPr>
          <w:rFonts w:asciiTheme="majorHAnsi" w:hAnsiTheme="majorHAnsi" w:cstheme="majorHAnsi"/>
        </w:rPr>
        <w:t xml:space="preserve"> o </w:t>
      </w:r>
      <w:r w:rsidR="00CC7622">
        <w:rPr>
          <w:rFonts w:asciiTheme="majorHAnsi" w:hAnsiTheme="majorHAnsi" w:cstheme="majorHAnsi"/>
        </w:rPr>
        <w:t>21</w:t>
      </w:r>
      <w:r w:rsidR="001D5A96" w:rsidRPr="0053555E">
        <w:rPr>
          <w:rFonts w:asciiTheme="majorHAnsi" w:hAnsiTheme="majorHAnsi" w:cstheme="majorHAnsi"/>
        </w:rPr>
        <w:t xml:space="preserve"> </w:t>
      </w:r>
      <w:r w:rsidR="001672C5" w:rsidRPr="0053555E">
        <w:rPr>
          <w:rFonts w:asciiTheme="majorHAnsi" w:hAnsiTheme="majorHAnsi" w:cstheme="majorHAnsi"/>
        </w:rPr>
        <w:t xml:space="preserve">zahraničných </w:t>
      </w:r>
      <w:r w:rsidR="006D0524" w:rsidRPr="0053555E">
        <w:rPr>
          <w:rFonts w:asciiTheme="majorHAnsi" w:hAnsiTheme="majorHAnsi" w:cstheme="majorHAnsi"/>
        </w:rPr>
        <w:t>štipendistov</w:t>
      </w:r>
      <w:r w:rsidR="001D5A96" w:rsidRPr="0053555E">
        <w:rPr>
          <w:rFonts w:asciiTheme="majorHAnsi" w:hAnsiTheme="majorHAnsi" w:cstheme="majorHAnsi"/>
        </w:rPr>
        <w:t xml:space="preserve">. </w:t>
      </w:r>
      <w:r w:rsidRPr="0053555E">
        <w:rPr>
          <w:rFonts w:asciiTheme="majorHAnsi" w:hAnsiTheme="majorHAnsi" w:cstheme="majorHAnsi"/>
        </w:rPr>
        <w:t>Ich štúdium bolo uskutočňované v štátnom jazyku.</w:t>
      </w:r>
      <w:r w:rsidR="00821CCD" w:rsidRPr="0053555E">
        <w:rPr>
          <w:rFonts w:asciiTheme="majorHAnsi" w:hAnsiTheme="majorHAnsi" w:cstheme="majorHAnsi"/>
        </w:rPr>
        <w:t xml:space="preserve"> </w:t>
      </w:r>
      <w:r w:rsidR="001D5A96" w:rsidRPr="0053555E">
        <w:rPr>
          <w:rFonts w:asciiTheme="majorHAnsi" w:hAnsiTheme="majorHAnsi" w:cstheme="majorHAnsi"/>
        </w:rPr>
        <w:t xml:space="preserve">STU týmto študentom </w:t>
      </w:r>
      <w:r w:rsidR="00BE6AA9" w:rsidRPr="0053555E">
        <w:rPr>
          <w:rFonts w:asciiTheme="majorHAnsi" w:hAnsiTheme="majorHAnsi" w:cstheme="majorHAnsi"/>
        </w:rPr>
        <w:t xml:space="preserve">počas trvania štandardnej dĺžky štúdia </w:t>
      </w:r>
      <w:r w:rsidR="001D5A96" w:rsidRPr="0053555E">
        <w:rPr>
          <w:rFonts w:asciiTheme="majorHAnsi" w:hAnsiTheme="majorHAnsi" w:cstheme="majorHAnsi"/>
        </w:rPr>
        <w:t xml:space="preserve">poskytuje vládne štipendium na základe rámcovej zmluvy </w:t>
      </w:r>
      <w:r w:rsidR="00BE6AA9" w:rsidRPr="0053555E">
        <w:rPr>
          <w:rFonts w:asciiTheme="majorHAnsi" w:hAnsiTheme="majorHAnsi" w:cstheme="majorHAnsi"/>
        </w:rPr>
        <w:t>uzatvorenej</w:t>
      </w:r>
      <w:r w:rsidR="001D5A96" w:rsidRPr="0053555E">
        <w:rPr>
          <w:rFonts w:asciiTheme="majorHAnsi" w:hAnsiTheme="majorHAnsi" w:cstheme="majorHAnsi"/>
        </w:rPr>
        <w:t xml:space="preserve"> s ministerstvom školstva.</w:t>
      </w:r>
    </w:p>
    <w:p w14:paraId="0F2AFC2B" w14:textId="4F2C7C4E" w:rsidR="0042210A" w:rsidRPr="0053555E" w:rsidRDefault="0042210A" w:rsidP="0042210A">
      <w:pPr>
        <w:tabs>
          <w:tab w:val="left" w:pos="9356"/>
        </w:tabs>
        <w:spacing w:after="120"/>
        <w:jc w:val="both"/>
        <w:rPr>
          <w:rFonts w:asciiTheme="majorHAnsi" w:hAnsiTheme="majorHAnsi" w:cstheme="majorHAnsi"/>
          <w:sz w:val="22"/>
        </w:rPr>
      </w:pPr>
      <w:r w:rsidRPr="0053555E">
        <w:rPr>
          <w:rFonts w:asciiTheme="majorHAnsi" w:hAnsiTheme="majorHAnsi" w:cstheme="majorHAnsi"/>
        </w:rPr>
        <w:t xml:space="preserve">Jednou z dlhodobo perspektívnych možností zvýšenia počtu zahraničných študentov na STU je organizovanie prípravných jazykových a odborných kurzov/modulov realizovaných v anglickom </w:t>
      </w:r>
      <w:r w:rsidR="005534FB">
        <w:rPr>
          <w:rFonts w:asciiTheme="majorHAnsi" w:hAnsiTheme="majorHAnsi" w:cstheme="majorHAnsi"/>
        </w:rPr>
        <w:t xml:space="preserve">jazyku </w:t>
      </w:r>
      <w:r w:rsidRPr="0053555E">
        <w:rPr>
          <w:rFonts w:asciiTheme="majorHAnsi" w:hAnsiTheme="majorHAnsi" w:cstheme="majorHAnsi"/>
        </w:rPr>
        <w:t xml:space="preserve">a v slovenskom jazyku prostredníctvom Inštitútu celoživotného vzdelávania STU pre záujemcov o štúdium </w:t>
      </w:r>
      <w:r w:rsidR="005534FB">
        <w:rPr>
          <w:rFonts w:asciiTheme="majorHAnsi" w:hAnsiTheme="majorHAnsi" w:cstheme="majorHAnsi"/>
        </w:rPr>
        <w:t xml:space="preserve">v </w:t>
      </w:r>
      <w:r w:rsidRPr="0053555E">
        <w:rPr>
          <w:rFonts w:asciiTheme="majorHAnsi" w:hAnsiTheme="majorHAnsi" w:cstheme="majorHAnsi"/>
        </w:rPr>
        <w:t xml:space="preserve">technických </w:t>
      </w:r>
      <w:r w:rsidR="005534FB">
        <w:rPr>
          <w:rFonts w:asciiTheme="majorHAnsi" w:hAnsiTheme="majorHAnsi" w:cstheme="majorHAnsi"/>
        </w:rPr>
        <w:t xml:space="preserve">študijných </w:t>
      </w:r>
      <w:r w:rsidRPr="0053555E">
        <w:rPr>
          <w:rFonts w:asciiTheme="majorHAnsi" w:hAnsiTheme="majorHAnsi" w:cstheme="majorHAnsi"/>
        </w:rPr>
        <w:t>odboro</w:t>
      </w:r>
      <w:r w:rsidR="00045E4F">
        <w:rPr>
          <w:rFonts w:asciiTheme="majorHAnsi" w:hAnsiTheme="majorHAnsi" w:cstheme="majorHAnsi"/>
        </w:rPr>
        <w:t>ch</w:t>
      </w:r>
      <w:r w:rsidRPr="0053555E">
        <w:rPr>
          <w:rFonts w:asciiTheme="majorHAnsi" w:hAnsiTheme="majorHAnsi" w:cstheme="majorHAnsi"/>
        </w:rPr>
        <w:t>. Cieľom je pripraviť potenciálnych uchádzačov o štúdium, resp. študentov na úspešné zvládnutie štúdia technických št</w:t>
      </w:r>
      <w:r w:rsidR="0072770E">
        <w:rPr>
          <w:rFonts w:asciiTheme="majorHAnsi" w:hAnsiTheme="majorHAnsi" w:cstheme="majorHAnsi"/>
        </w:rPr>
        <w:t>udijných programov na STU a</w:t>
      </w:r>
      <w:r w:rsidRPr="0053555E">
        <w:rPr>
          <w:rFonts w:asciiTheme="majorHAnsi" w:hAnsiTheme="majorHAnsi" w:cstheme="majorHAnsi"/>
        </w:rPr>
        <w:t xml:space="preserve"> preklenutie rozdielov v získaných vedomostiach po absolvovaní predchádzajúceho štúdia v zahraničí. Pre organizovanie takejto jazykovej a odbornej prípravy na</w:t>
      </w:r>
      <w:r w:rsidR="00045E4F">
        <w:rPr>
          <w:rFonts w:asciiTheme="majorHAnsi" w:hAnsiTheme="majorHAnsi" w:cstheme="majorHAnsi"/>
        </w:rPr>
        <w:t> </w:t>
      </w:r>
      <w:r w:rsidRPr="0053555E">
        <w:rPr>
          <w:rFonts w:asciiTheme="majorHAnsi" w:hAnsiTheme="majorHAnsi" w:cstheme="majorHAnsi"/>
        </w:rPr>
        <w:t xml:space="preserve">štúdium na vysokej škole je vytvorený legislatívny rámec. Ďalšie informácie sú uvedené v časti </w:t>
      </w:r>
      <w:r w:rsidRPr="0053555E">
        <w:rPr>
          <w:rFonts w:asciiTheme="majorHAnsi" w:hAnsiTheme="majorHAnsi" w:cstheme="majorHAnsi"/>
          <w:u w:val="single"/>
        </w:rPr>
        <w:fldChar w:fldCharType="begin"/>
      </w:r>
      <w:r w:rsidRPr="0053555E">
        <w:rPr>
          <w:rFonts w:asciiTheme="majorHAnsi" w:hAnsiTheme="majorHAnsi" w:cstheme="majorHAnsi"/>
          <w:u w:val="single"/>
        </w:rPr>
        <w:instrText xml:space="preserve"> REF _Ref506455393 \w \h  \* MERGEFORMAT </w:instrText>
      </w:r>
      <w:r w:rsidRPr="0053555E">
        <w:rPr>
          <w:rFonts w:asciiTheme="majorHAnsi" w:hAnsiTheme="majorHAnsi" w:cstheme="majorHAnsi"/>
          <w:u w:val="single"/>
        </w:rPr>
      </w:r>
      <w:r w:rsidRPr="0053555E">
        <w:rPr>
          <w:rFonts w:asciiTheme="majorHAnsi" w:hAnsiTheme="majorHAnsi" w:cstheme="majorHAnsi"/>
          <w:u w:val="single"/>
        </w:rPr>
        <w:fldChar w:fldCharType="separate"/>
      </w:r>
      <w:r w:rsidR="0072770E">
        <w:rPr>
          <w:rFonts w:asciiTheme="majorHAnsi" w:hAnsiTheme="majorHAnsi" w:cstheme="majorHAnsi"/>
          <w:u w:val="single"/>
        </w:rPr>
        <w:t>4</w:t>
      </w:r>
      <w:r w:rsidR="00EE1B59">
        <w:rPr>
          <w:rFonts w:asciiTheme="majorHAnsi" w:hAnsiTheme="majorHAnsi" w:cstheme="majorHAnsi"/>
          <w:u w:val="single"/>
        </w:rPr>
        <w:t>.2</w:t>
      </w:r>
      <w:r w:rsidRPr="0053555E">
        <w:rPr>
          <w:rFonts w:asciiTheme="majorHAnsi" w:hAnsiTheme="majorHAnsi" w:cstheme="majorHAnsi"/>
          <w:u w:val="single"/>
        </w:rPr>
        <w:fldChar w:fldCharType="end"/>
      </w:r>
      <w:r w:rsidRPr="0053555E">
        <w:rPr>
          <w:rFonts w:asciiTheme="majorHAnsi" w:hAnsiTheme="majorHAnsi" w:cstheme="majorHAnsi"/>
        </w:rPr>
        <w:t xml:space="preserve"> </w:t>
      </w:r>
      <w:r w:rsidRPr="0053555E">
        <w:rPr>
          <w:rFonts w:asciiTheme="majorHAnsi" w:hAnsiTheme="majorHAnsi" w:cstheme="majorHAnsi"/>
        </w:rPr>
        <w:fldChar w:fldCharType="begin"/>
      </w:r>
      <w:r w:rsidRPr="0053555E">
        <w:rPr>
          <w:rFonts w:asciiTheme="majorHAnsi" w:hAnsiTheme="majorHAnsi" w:cstheme="majorHAnsi"/>
        </w:rPr>
        <w:instrText xml:space="preserve"> REF _Ref506455393 \h  \* MERGEFORMAT </w:instrText>
      </w:r>
      <w:r w:rsidRPr="0053555E">
        <w:rPr>
          <w:rFonts w:asciiTheme="majorHAnsi" w:hAnsiTheme="majorHAnsi" w:cstheme="majorHAnsi"/>
        </w:rPr>
      </w:r>
      <w:r w:rsidRPr="0053555E">
        <w:rPr>
          <w:rFonts w:asciiTheme="majorHAnsi" w:hAnsiTheme="majorHAnsi" w:cstheme="majorHAnsi"/>
        </w:rPr>
        <w:fldChar w:fldCharType="separate"/>
      </w:r>
      <w:r w:rsidR="00EE1B59" w:rsidRPr="00EE1B59">
        <w:rPr>
          <w:rFonts w:asciiTheme="majorHAnsi" w:hAnsiTheme="majorHAnsi" w:cstheme="majorHAnsi"/>
        </w:rPr>
        <w:t>Aktivity Inštitútu celoživotného vzdelávania STU (ICV)</w:t>
      </w:r>
      <w:r w:rsidRPr="0053555E">
        <w:rPr>
          <w:rFonts w:asciiTheme="majorHAnsi" w:hAnsiTheme="majorHAnsi" w:cstheme="majorHAnsi"/>
        </w:rPr>
        <w:fldChar w:fldCharType="end"/>
      </w:r>
      <w:r w:rsidRPr="0053555E">
        <w:rPr>
          <w:rFonts w:asciiTheme="majorHAnsi" w:hAnsiTheme="majorHAnsi" w:cstheme="majorHAnsi"/>
        </w:rPr>
        <w:t>.</w:t>
      </w:r>
    </w:p>
    <w:p w14:paraId="7F18C8EC" w14:textId="6F1DAA06" w:rsidR="0042210A" w:rsidRPr="0053555E" w:rsidRDefault="0042210A" w:rsidP="0042210A">
      <w:pPr>
        <w:tabs>
          <w:tab w:val="left" w:pos="9356"/>
        </w:tabs>
        <w:jc w:val="both"/>
        <w:rPr>
          <w:rFonts w:asciiTheme="majorHAnsi" w:hAnsiTheme="majorHAnsi" w:cstheme="majorHAnsi"/>
        </w:rPr>
      </w:pPr>
      <w:r w:rsidRPr="0053555E">
        <w:rPr>
          <w:rFonts w:asciiTheme="majorHAnsi" w:hAnsiTheme="majorHAnsi" w:cstheme="majorHAnsi"/>
        </w:rPr>
        <w:t>Kvantitatívne porovnanie počtu zahraničných študentov na jednotlivých stupňoch štúdia a súčastiach STU s celkovým počtom študentov v akademických rokoch 20</w:t>
      </w:r>
      <w:r w:rsidR="00045E4F">
        <w:rPr>
          <w:rFonts w:asciiTheme="majorHAnsi" w:hAnsiTheme="majorHAnsi" w:cstheme="majorHAnsi"/>
        </w:rPr>
        <w:t>20</w:t>
      </w:r>
      <w:r w:rsidRPr="0053555E">
        <w:rPr>
          <w:rFonts w:asciiTheme="majorHAnsi" w:hAnsiTheme="majorHAnsi" w:cstheme="majorHAnsi"/>
        </w:rPr>
        <w:t>/20</w:t>
      </w:r>
      <w:r w:rsidR="003E1A8D" w:rsidRPr="0053555E">
        <w:rPr>
          <w:rFonts w:asciiTheme="majorHAnsi" w:hAnsiTheme="majorHAnsi" w:cstheme="majorHAnsi"/>
        </w:rPr>
        <w:t>2</w:t>
      </w:r>
      <w:r w:rsidR="00045E4F">
        <w:rPr>
          <w:rFonts w:asciiTheme="majorHAnsi" w:hAnsiTheme="majorHAnsi" w:cstheme="majorHAnsi"/>
        </w:rPr>
        <w:t>1</w:t>
      </w:r>
      <w:r w:rsidRPr="0053555E">
        <w:rPr>
          <w:rFonts w:asciiTheme="majorHAnsi" w:hAnsiTheme="majorHAnsi" w:cstheme="majorHAnsi"/>
        </w:rPr>
        <w:t xml:space="preserve"> a </w:t>
      </w:r>
      <w:r w:rsidR="00EA24BA" w:rsidRPr="0053555E">
        <w:rPr>
          <w:rFonts w:asciiTheme="majorHAnsi" w:hAnsiTheme="majorHAnsi" w:cstheme="majorHAnsi"/>
        </w:rPr>
        <w:t>2021/2022</w:t>
      </w:r>
      <w:r w:rsidRPr="0053555E">
        <w:rPr>
          <w:rFonts w:asciiTheme="majorHAnsi" w:hAnsiTheme="majorHAnsi" w:cstheme="majorHAnsi"/>
        </w:rPr>
        <w:t xml:space="preserve"> a medziročné zmeny uvádza </w:t>
      </w:r>
      <w:r w:rsidRPr="0053555E">
        <w:rPr>
          <w:rFonts w:asciiTheme="majorHAnsi" w:hAnsiTheme="majorHAnsi" w:cstheme="majorHAnsi"/>
          <w:sz w:val="20"/>
          <w:szCs w:val="20"/>
        </w:rPr>
        <w:fldChar w:fldCharType="begin"/>
      </w:r>
      <w:r w:rsidRPr="0053555E">
        <w:rPr>
          <w:rFonts w:asciiTheme="majorHAnsi" w:hAnsiTheme="majorHAnsi" w:cstheme="majorHAnsi"/>
          <w:sz w:val="20"/>
          <w:szCs w:val="20"/>
        </w:rPr>
        <w:instrText xml:space="preserve"> REF _Ref31712102 \h  \* MERGEFORMAT </w:instrText>
      </w:r>
      <w:r w:rsidRPr="0053555E">
        <w:rPr>
          <w:rFonts w:asciiTheme="majorHAnsi" w:hAnsiTheme="majorHAnsi" w:cstheme="majorHAnsi"/>
          <w:sz w:val="20"/>
          <w:szCs w:val="20"/>
        </w:rPr>
      </w:r>
      <w:r w:rsidRPr="0053555E">
        <w:rPr>
          <w:rFonts w:asciiTheme="majorHAnsi" w:hAnsiTheme="majorHAnsi" w:cstheme="majorHAnsi"/>
          <w:sz w:val="20"/>
          <w:szCs w:val="20"/>
        </w:rPr>
        <w:fldChar w:fldCharType="separate"/>
      </w:r>
      <w:r w:rsidR="00EE1B59" w:rsidRPr="00EE1B59">
        <w:rPr>
          <w:rFonts w:asciiTheme="majorHAnsi" w:hAnsiTheme="majorHAnsi" w:cstheme="majorHAnsi"/>
          <w:sz w:val="20"/>
          <w:szCs w:val="20"/>
        </w:rPr>
        <w:t>Tab. č. 15</w:t>
      </w:r>
      <w:r w:rsidRPr="0053555E">
        <w:rPr>
          <w:rFonts w:asciiTheme="majorHAnsi" w:hAnsiTheme="majorHAnsi" w:cstheme="majorHAnsi"/>
          <w:sz w:val="20"/>
          <w:szCs w:val="20"/>
        </w:rPr>
        <w:fldChar w:fldCharType="end"/>
      </w:r>
      <w:r w:rsidRPr="0053555E">
        <w:rPr>
          <w:rFonts w:asciiTheme="majorHAnsi" w:hAnsiTheme="majorHAnsi" w:cstheme="majorHAnsi"/>
          <w:sz w:val="20"/>
          <w:szCs w:val="20"/>
        </w:rPr>
        <w:t>.</w:t>
      </w:r>
      <w:r w:rsidRPr="0053555E">
        <w:rPr>
          <w:rFonts w:asciiTheme="majorHAnsi" w:hAnsiTheme="majorHAnsi" w:cstheme="majorHAnsi"/>
        </w:rPr>
        <w:t xml:space="preserve"> </w:t>
      </w:r>
      <w:r w:rsidR="0072770E">
        <w:rPr>
          <w:rFonts w:asciiTheme="majorHAnsi" w:hAnsiTheme="majorHAnsi" w:cstheme="majorHAnsi"/>
        </w:rPr>
        <w:t>Z</w:t>
      </w:r>
      <w:r w:rsidRPr="0053555E">
        <w:rPr>
          <w:rFonts w:asciiTheme="majorHAnsi" w:hAnsiTheme="majorHAnsi" w:cstheme="majorHAnsi"/>
        </w:rPr>
        <w:t xml:space="preserve"> tabuľky </w:t>
      </w:r>
      <w:r w:rsidR="0072770E">
        <w:rPr>
          <w:rFonts w:asciiTheme="majorHAnsi" w:hAnsiTheme="majorHAnsi" w:cstheme="majorHAnsi"/>
        </w:rPr>
        <w:t xml:space="preserve">je zrejmý </w:t>
      </w:r>
      <w:r w:rsidR="0072770E" w:rsidRPr="0053555E">
        <w:rPr>
          <w:rFonts w:asciiTheme="majorHAnsi" w:hAnsiTheme="majorHAnsi" w:cstheme="majorHAnsi"/>
        </w:rPr>
        <w:t>najmä</w:t>
      </w:r>
      <w:r w:rsidR="0072770E">
        <w:rPr>
          <w:rFonts w:asciiTheme="majorHAnsi" w:hAnsiTheme="majorHAnsi" w:cstheme="majorHAnsi"/>
        </w:rPr>
        <w:t xml:space="preserve"> potešiteľný </w:t>
      </w:r>
      <w:r w:rsidRPr="0053555E">
        <w:rPr>
          <w:rFonts w:asciiTheme="majorHAnsi" w:hAnsiTheme="majorHAnsi" w:cstheme="majorHAnsi"/>
          <w:b/>
        </w:rPr>
        <w:t>nárast zahraničných študentov na prvom stupni štúdia</w:t>
      </w:r>
      <w:r w:rsidRPr="0053555E">
        <w:rPr>
          <w:rFonts w:asciiTheme="majorHAnsi" w:hAnsiTheme="majorHAnsi" w:cstheme="majorHAnsi"/>
        </w:rPr>
        <w:t xml:space="preserve">, ktorý predstavuje medziročne </w:t>
      </w:r>
      <w:r w:rsidR="00410A8A">
        <w:rPr>
          <w:rFonts w:asciiTheme="majorHAnsi" w:hAnsiTheme="majorHAnsi" w:cstheme="majorHAnsi"/>
          <w:b/>
        </w:rPr>
        <w:t>208</w:t>
      </w:r>
      <w:r w:rsidRPr="0053555E">
        <w:rPr>
          <w:rFonts w:asciiTheme="majorHAnsi" w:hAnsiTheme="majorHAnsi" w:cstheme="majorHAnsi"/>
          <w:b/>
        </w:rPr>
        <w:t xml:space="preserve"> študentov</w:t>
      </w:r>
      <w:r w:rsidRPr="0053555E">
        <w:rPr>
          <w:rFonts w:asciiTheme="majorHAnsi" w:hAnsiTheme="majorHAnsi" w:cstheme="majorHAnsi"/>
        </w:rPr>
        <w:t>.</w:t>
      </w:r>
    </w:p>
    <w:p w14:paraId="74E0F4A0" w14:textId="77777777" w:rsidR="0042210A" w:rsidRPr="0053555E" w:rsidRDefault="0042210A" w:rsidP="0042210A">
      <w:pPr>
        <w:tabs>
          <w:tab w:val="left" w:pos="9356"/>
        </w:tabs>
        <w:jc w:val="both"/>
        <w:rPr>
          <w:rFonts w:asciiTheme="majorHAnsi" w:hAnsiTheme="majorHAnsi" w:cstheme="majorHAnsi"/>
        </w:rPr>
      </w:pPr>
    </w:p>
    <w:p w14:paraId="751597BB" w14:textId="77777777" w:rsidR="0042210A" w:rsidRPr="0053555E" w:rsidRDefault="0042210A" w:rsidP="0042210A">
      <w:pPr>
        <w:tabs>
          <w:tab w:val="left" w:pos="9356"/>
        </w:tabs>
        <w:jc w:val="both"/>
        <w:rPr>
          <w:rFonts w:asciiTheme="majorHAnsi" w:hAnsiTheme="majorHAnsi" w:cstheme="majorHAnsi"/>
        </w:rPr>
        <w:sectPr w:rsidR="0042210A" w:rsidRPr="0053555E" w:rsidSect="00715695">
          <w:headerReference w:type="default" r:id="rId29"/>
          <w:pgSz w:w="11906" w:h="16838"/>
          <w:pgMar w:top="1418" w:right="991" w:bottom="851" w:left="1417" w:header="708" w:footer="545" w:gutter="0"/>
          <w:cols w:space="708"/>
        </w:sectPr>
      </w:pPr>
    </w:p>
    <w:p w14:paraId="586AD9A4" w14:textId="3FD5E409" w:rsidR="0042210A" w:rsidRPr="0053555E" w:rsidRDefault="0042210A" w:rsidP="000E3322">
      <w:pPr>
        <w:pStyle w:val="Popis"/>
      </w:pPr>
      <w:bookmarkStart w:id="72" w:name="_Ref31712102"/>
      <w:bookmarkStart w:id="73" w:name="_Toc127593278"/>
      <w:r w:rsidRPr="0053555E">
        <w:lastRenderedPageBreak/>
        <w:t xml:space="preserve">Tab. č. </w:t>
      </w:r>
      <w:r w:rsidR="007B5953">
        <w:fldChar w:fldCharType="begin"/>
      </w:r>
      <w:r w:rsidR="007B5953">
        <w:instrText xml:space="preserve"> SEQ Tab._č. \* ARABIC </w:instrText>
      </w:r>
      <w:r w:rsidR="007B5953">
        <w:fldChar w:fldCharType="separate"/>
      </w:r>
      <w:r w:rsidR="00EE1B59">
        <w:rPr>
          <w:noProof/>
        </w:rPr>
        <w:t>15</w:t>
      </w:r>
      <w:r w:rsidR="007B5953">
        <w:rPr>
          <w:noProof/>
        </w:rPr>
        <w:fldChar w:fldCharType="end"/>
      </w:r>
      <w:bookmarkEnd w:id="72"/>
      <w:r w:rsidRPr="0053555E">
        <w:t>: Porovnanie počtu zahraničných študentov k celkovému počtu študentov v akademickom roku 201</w:t>
      </w:r>
      <w:r w:rsidR="003E1A8D" w:rsidRPr="0053555E">
        <w:t>9</w:t>
      </w:r>
      <w:r w:rsidRPr="0053555E">
        <w:t>/20</w:t>
      </w:r>
      <w:r w:rsidR="003E1A8D" w:rsidRPr="0053555E">
        <w:t>20</w:t>
      </w:r>
      <w:r w:rsidRPr="0053555E">
        <w:t xml:space="preserve"> a </w:t>
      </w:r>
      <w:r w:rsidR="00EA24BA" w:rsidRPr="0053555E">
        <w:t>2021/2022</w:t>
      </w:r>
      <w:bookmarkEnd w:id="73"/>
    </w:p>
    <w:tbl>
      <w:tblPr>
        <w:tblW w:w="14742" w:type="dxa"/>
        <w:tblInd w:w="-10" w:type="dxa"/>
        <w:tblLayout w:type="fixed"/>
        <w:tblCellMar>
          <w:left w:w="70" w:type="dxa"/>
          <w:right w:w="70" w:type="dxa"/>
        </w:tblCellMar>
        <w:tblLook w:val="04A0" w:firstRow="1" w:lastRow="0" w:firstColumn="1" w:lastColumn="0" w:noHBand="0" w:noVBand="1"/>
      </w:tblPr>
      <w:tblGrid>
        <w:gridCol w:w="709"/>
        <w:gridCol w:w="567"/>
        <w:gridCol w:w="567"/>
        <w:gridCol w:w="567"/>
        <w:gridCol w:w="567"/>
        <w:gridCol w:w="709"/>
        <w:gridCol w:w="850"/>
        <w:gridCol w:w="851"/>
        <w:gridCol w:w="567"/>
        <w:gridCol w:w="567"/>
        <w:gridCol w:w="567"/>
        <w:gridCol w:w="567"/>
        <w:gridCol w:w="709"/>
        <w:gridCol w:w="850"/>
        <w:gridCol w:w="767"/>
        <w:gridCol w:w="517"/>
        <w:gridCol w:w="517"/>
        <w:gridCol w:w="517"/>
        <w:gridCol w:w="517"/>
        <w:gridCol w:w="787"/>
        <w:gridCol w:w="772"/>
        <w:gridCol w:w="1134"/>
      </w:tblGrid>
      <w:tr w:rsidR="0042210A" w:rsidRPr="0053555E" w14:paraId="5D1CCB21" w14:textId="77777777" w:rsidTr="001605FB">
        <w:trPr>
          <w:trHeight w:val="255"/>
        </w:trPr>
        <w:tc>
          <w:tcPr>
            <w:tcW w:w="709" w:type="dxa"/>
            <w:vMerge w:val="restar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62C5A66" w14:textId="77777777" w:rsidR="0042210A" w:rsidRPr="0053555E" w:rsidRDefault="0042210A" w:rsidP="001605FB">
            <w:pPr>
              <w:tabs>
                <w:tab w:val="left" w:pos="9356"/>
              </w:tabs>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Súčasť STU</w:t>
            </w:r>
          </w:p>
        </w:tc>
        <w:tc>
          <w:tcPr>
            <w:tcW w:w="4678" w:type="dxa"/>
            <w:gridSpan w:val="7"/>
            <w:tcBorders>
              <w:top w:val="single" w:sz="4" w:space="0" w:color="auto"/>
              <w:left w:val="nil"/>
              <w:bottom w:val="single" w:sz="4" w:space="0" w:color="auto"/>
              <w:right w:val="single" w:sz="8" w:space="0" w:color="000000"/>
            </w:tcBorders>
            <w:shd w:val="clear" w:color="auto" w:fill="auto"/>
            <w:noWrap/>
            <w:vAlign w:val="bottom"/>
            <w:hideMark/>
          </w:tcPr>
          <w:p w14:paraId="3E94AB29" w14:textId="3B1855C9" w:rsidR="0042210A" w:rsidRPr="0053555E" w:rsidRDefault="0042210A" w:rsidP="008D36CD">
            <w:pPr>
              <w:tabs>
                <w:tab w:val="left" w:pos="9356"/>
              </w:tabs>
              <w:jc w:val="center"/>
              <w:rPr>
                <w:rFonts w:asciiTheme="majorHAnsi" w:eastAsia="Times New Roman" w:hAnsiTheme="majorHAnsi" w:cstheme="majorHAnsi"/>
                <w:b/>
                <w:sz w:val="22"/>
                <w:szCs w:val="18"/>
                <w:lang w:eastAsia="sk-SK"/>
              </w:rPr>
            </w:pPr>
            <w:r w:rsidRPr="0053555E">
              <w:rPr>
                <w:rFonts w:asciiTheme="majorHAnsi" w:hAnsiTheme="majorHAnsi" w:cstheme="majorHAnsi"/>
                <w:sz w:val="22"/>
                <w:szCs w:val="18"/>
              </w:rPr>
              <w:t>20</w:t>
            </w:r>
            <w:r w:rsidR="003707BF" w:rsidRPr="0053555E">
              <w:rPr>
                <w:rFonts w:asciiTheme="majorHAnsi" w:hAnsiTheme="majorHAnsi" w:cstheme="majorHAnsi"/>
                <w:sz w:val="22"/>
                <w:szCs w:val="18"/>
              </w:rPr>
              <w:t>20</w:t>
            </w:r>
            <w:r w:rsidRPr="0053555E">
              <w:rPr>
                <w:rFonts w:asciiTheme="majorHAnsi" w:hAnsiTheme="majorHAnsi" w:cstheme="majorHAnsi"/>
                <w:sz w:val="22"/>
                <w:szCs w:val="18"/>
              </w:rPr>
              <w:t>/20</w:t>
            </w:r>
            <w:r w:rsidR="008D36CD" w:rsidRPr="0053555E">
              <w:rPr>
                <w:rFonts w:asciiTheme="majorHAnsi" w:hAnsiTheme="majorHAnsi" w:cstheme="majorHAnsi"/>
                <w:sz w:val="22"/>
                <w:szCs w:val="18"/>
              </w:rPr>
              <w:t>2</w:t>
            </w:r>
            <w:r w:rsidR="003707BF" w:rsidRPr="0053555E">
              <w:rPr>
                <w:rFonts w:asciiTheme="majorHAnsi" w:hAnsiTheme="majorHAnsi" w:cstheme="majorHAnsi"/>
                <w:sz w:val="22"/>
                <w:szCs w:val="18"/>
              </w:rPr>
              <w:t>1</w:t>
            </w:r>
          </w:p>
        </w:tc>
        <w:tc>
          <w:tcPr>
            <w:tcW w:w="4594" w:type="dxa"/>
            <w:gridSpan w:val="7"/>
            <w:tcBorders>
              <w:top w:val="single" w:sz="4" w:space="0" w:color="auto"/>
              <w:left w:val="nil"/>
              <w:bottom w:val="single" w:sz="4" w:space="0" w:color="auto"/>
              <w:right w:val="single" w:sz="8" w:space="0" w:color="000000"/>
            </w:tcBorders>
            <w:shd w:val="clear" w:color="auto" w:fill="auto"/>
            <w:noWrap/>
            <w:vAlign w:val="bottom"/>
            <w:hideMark/>
          </w:tcPr>
          <w:p w14:paraId="68770EE5" w14:textId="3D98ABB3" w:rsidR="0042210A" w:rsidRPr="0053555E" w:rsidRDefault="00EA24BA" w:rsidP="001605FB">
            <w:pPr>
              <w:tabs>
                <w:tab w:val="left" w:pos="9356"/>
              </w:tabs>
              <w:jc w:val="center"/>
              <w:rPr>
                <w:rFonts w:asciiTheme="majorHAnsi" w:eastAsia="Times New Roman" w:hAnsiTheme="majorHAnsi" w:cstheme="majorHAnsi"/>
                <w:b/>
                <w:sz w:val="22"/>
                <w:szCs w:val="18"/>
                <w:lang w:eastAsia="sk-SK"/>
              </w:rPr>
            </w:pPr>
            <w:r w:rsidRPr="0053555E">
              <w:rPr>
                <w:rFonts w:asciiTheme="majorHAnsi" w:hAnsiTheme="majorHAnsi" w:cstheme="majorHAnsi"/>
                <w:sz w:val="22"/>
                <w:szCs w:val="18"/>
              </w:rPr>
              <w:t>2021/2022</w:t>
            </w:r>
          </w:p>
        </w:tc>
        <w:tc>
          <w:tcPr>
            <w:tcW w:w="4761" w:type="dxa"/>
            <w:gridSpan w:val="7"/>
            <w:tcBorders>
              <w:top w:val="single" w:sz="4" w:space="0" w:color="auto"/>
              <w:left w:val="nil"/>
              <w:bottom w:val="single" w:sz="4" w:space="0" w:color="auto"/>
              <w:right w:val="single" w:sz="8" w:space="0" w:color="000000"/>
            </w:tcBorders>
            <w:shd w:val="clear" w:color="auto" w:fill="auto"/>
            <w:noWrap/>
            <w:vAlign w:val="bottom"/>
            <w:hideMark/>
          </w:tcPr>
          <w:p w14:paraId="3A836093"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22"/>
                <w:szCs w:val="18"/>
                <w:lang w:eastAsia="sk-SK"/>
              </w:rPr>
              <w:t>medziročné zmeny</w:t>
            </w:r>
          </w:p>
        </w:tc>
      </w:tr>
      <w:tr w:rsidR="0042210A" w:rsidRPr="0053555E" w14:paraId="6E5CBC44" w14:textId="77777777" w:rsidTr="001605FB">
        <w:trPr>
          <w:trHeight w:val="345"/>
        </w:trPr>
        <w:tc>
          <w:tcPr>
            <w:tcW w:w="709" w:type="dxa"/>
            <w:vMerge/>
            <w:tcBorders>
              <w:top w:val="single" w:sz="4" w:space="0" w:color="auto"/>
              <w:left w:val="single" w:sz="8" w:space="0" w:color="auto"/>
              <w:bottom w:val="single" w:sz="4" w:space="0" w:color="auto"/>
              <w:right w:val="single" w:sz="8" w:space="0" w:color="auto"/>
            </w:tcBorders>
            <w:vAlign w:val="center"/>
            <w:hideMark/>
          </w:tcPr>
          <w:p w14:paraId="34A9A820" w14:textId="77777777" w:rsidR="0042210A" w:rsidRPr="0053555E" w:rsidRDefault="0042210A" w:rsidP="001605FB">
            <w:pPr>
              <w:tabs>
                <w:tab w:val="left" w:pos="9356"/>
              </w:tabs>
              <w:jc w:val="both"/>
              <w:rPr>
                <w:rFonts w:asciiTheme="majorHAnsi" w:eastAsia="Times New Roman" w:hAnsiTheme="majorHAnsi" w:cstheme="majorHAnsi"/>
                <w:b/>
                <w:bCs/>
                <w:sz w:val="18"/>
                <w:szCs w:val="18"/>
                <w:lang w:eastAsia="sk-SK"/>
              </w:rPr>
            </w:pPr>
          </w:p>
        </w:tc>
        <w:tc>
          <w:tcPr>
            <w:tcW w:w="567" w:type="dxa"/>
            <w:vMerge w:val="restart"/>
            <w:tcBorders>
              <w:top w:val="nil"/>
              <w:left w:val="nil"/>
              <w:bottom w:val="single" w:sz="4" w:space="0" w:color="auto"/>
              <w:right w:val="single" w:sz="4" w:space="0" w:color="auto"/>
            </w:tcBorders>
            <w:shd w:val="clear" w:color="auto" w:fill="auto"/>
            <w:noWrap/>
            <w:vAlign w:val="center"/>
            <w:hideMark/>
          </w:tcPr>
          <w:p w14:paraId="6BA3A61E" w14:textId="77777777" w:rsidR="0042210A" w:rsidRPr="0053555E" w:rsidRDefault="0042210A" w:rsidP="001605FB">
            <w:pPr>
              <w:tabs>
                <w:tab w:val="left" w:pos="9356"/>
              </w:tabs>
              <w:jc w:val="both"/>
              <w:rPr>
                <w:rFonts w:asciiTheme="majorHAnsi" w:eastAsia="Times New Roman" w:hAnsiTheme="majorHAnsi" w:cstheme="majorHAnsi"/>
                <w:sz w:val="18"/>
                <w:szCs w:val="16"/>
                <w:lang w:eastAsia="sk-SK"/>
              </w:rPr>
            </w:pPr>
            <w:r w:rsidRPr="0053555E">
              <w:rPr>
                <w:rFonts w:asciiTheme="majorHAnsi" w:eastAsia="Times New Roman" w:hAnsiTheme="majorHAnsi" w:cstheme="majorHAnsi"/>
                <w:sz w:val="18"/>
                <w:szCs w:val="16"/>
                <w:lang w:eastAsia="sk-SK"/>
              </w:rPr>
              <w:t>I. st.</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28CC95" w14:textId="77777777" w:rsidR="0042210A" w:rsidRPr="0053555E" w:rsidRDefault="0042210A" w:rsidP="001605FB">
            <w:pPr>
              <w:tabs>
                <w:tab w:val="left" w:pos="9356"/>
              </w:tabs>
              <w:jc w:val="center"/>
              <w:rPr>
                <w:rFonts w:asciiTheme="majorHAnsi" w:eastAsia="Times New Roman" w:hAnsiTheme="majorHAnsi" w:cstheme="majorHAnsi"/>
                <w:sz w:val="18"/>
                <w:szCs w:val="16"/>
                <w:lang w:eastAsia="sk-SK"/>
              </w:rPr>
            </w:pPr>
            <w:r w:rsidRPr="0053555E">
              <w:rPr>
                <w:rFonts w:asciiTheme="majorHAnsi" w:eastAsia="Times New Roman" w:hAnsiTheme="majorHAnsi" w:cstheme="majorHAnsi"/>
                <w:sz w:val="18"/>
                <w:szCs w:val="16"/>
                <w:lang w:eastAsia="sk-SK"/>
              </w:rPr>
              <w:t>II. st.</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83D1106"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III.st.</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C2E30F" w14:textId="77777777" w:rsidR="0042210A" w:rsidRPr="0053555E" w:rsidRDefault="0042210A" w:rsidP="00087C02">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sym w:font="Symbol" w:char="F053"/>
            </w:r>
            <w:r w:rsidRPr="0053555E">
              <w:rPr>
                <w:rFonts w:asciiTheme="majorHAnsi" w:eastAsia="Times New Roman" w:hAnsiTheme="majorHAnsi" w:cstheme="majorHAnsi"/>
                <w:sz w:val="18"/>
                <w:szCs w:val="18"/>
                <w:lang w:eastAsia="sk-SK"/>
              </w:rPr>
              <w:t>ZŠ</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648D6A13"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počet štud.</w:t>
            </w:r>
          </w:p>
        </w:tc>
        <w:tc>
          <w:tcPr>
            <w:tcW w:w="851" w:type="dxa"/>
            <w:vMerge w:val="restart"/>
            <w:tcBorders>
              <w:top w:val="nil"/>
              <w:left w:val="single" w:sz="4" w:space="0" w:color="auto"/>
              <w:bottom w:val="single" w:sz="4" w:space="0" w:color="auto"/>
              <w:right w:val="single" w:sz="8" w:space="0" w:color="auto"/>
            </w:tcBorders>
            <w:shd w:val="clear" w:color="auto" w:fill="EEECE1" w:themeFill="background2"/>
            <w:vAlign w:val="bottom"/>
            <w:hideMark/>
          </w:tcPr>
          <w:p w14:paraId="202B3A83"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 ZŠ</w:t>
            </w:r>
          </w:p>
          <w:p w14:paraId="357084BD" w14:textId="77777777" w:rsidR="0042210A" w:rsidRPr="0053555E" w:rsidRDefault="0042210A" w:rsidP="00087C02">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z počtu štud.</w:t>
            </w:r>
          </w:p>
        </w:tc>
        <w:tc>
          <w:tcPr>
            <w:tcW w:w="567" w:type="dxa"/>
            <w:vMerge w:val="restart"/>
            <w:tcBorders>
              <w:top w:val="nil"/>
              <w:left w:val="nil"/>
              <w:bottom w:val="single" w:sz="4" w:space="0" w:color="000000"/>
              <w:right w:val="single" w:sz="4" w:space="0" w:color="auto"/>
            </w:tcBorders>
            <w:shd w:val="clear" w:color="auto" w:fill="auto"/>
            <w:noWrap/>
            <w:vAlign w:val="center"/>
            <w:hideMark/>
          </w:tcPr>
          <w:p w14:paraId="38A115A3"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I. st.</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C7D2ED"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II. st.</w:t>
            </w:r>
          </w:p>
        </w:tc>
        <w:tc>
          <w:tcPr>
            <w:tcW w:w="113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AF3973B"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III.st.</w:t>
            </w:r>
          </w:p>
        </w:tc>
        <w:tc>
          <w:tcPr>
            <w:tcW w:w="709" w:type="dxa"/>
            <w:vMerge w:val="restart"/>
            <w:tcBorders>
              <w:top w:val="nil"/>
              <w:left w:val="single" w:sz="4" w:space="0" w:color="auto"/>
              <w:right w:val="single" w:sz="4" w:space="0" w:color="auto"/>
            </w:tcBorders>
            <w:shd w:val="clear" w:color="auto" w:fill="auto"/>
            <w:noWrap/>
            <w:vAlign w:val="center"/>
            <w:hideMark/>
          </w:tcPr>
          <w:p w14:paraId="3DFD70B3" w14:textId="77777777" w:rsidR="0042210A" w:rsidRPr="0053555E" w:rsidRDefault="0042210A" w:rsidP="00285A99">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sym w:font="Symbol" w:char="F053"/>
            </w:r>
            <w:r w:rsidRPr="0053555E">
              <w:rPr>
                <w:rFonts w:asciiTheme="majorHAnsi" w:eastAsia="Times New Roman" w:hAnsiTheme="majorHAnsi" w:cstheme="majorHAnsi"/>
                <w:sz w:val="18"/>
                <w:szCs w:val="18"/>
                <w:lang w:eastAsia="sk-SK"/>
              </w:rPr>
              <w:t>ZŠ</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3ED95AB2"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počet štud.</w:t>
            </w:r>
          </w:p>
        </w:tc>
        <w:tc>
          <w:tcPr>
            <w:tcW w:w="767" w:type="dxa"/>
            <w:vMerge w:val="restart"/>
            <w:tcBorders>
              <w:top w:val="nil"/>
              <w:left w:val="single" w:sz="4" w:space="0" w:color="auto"/>
              <w:bottom w:val="single" w:sz="4" w:space="0" w:color="000000"/>
              <w:right w:val="single" w:sz="8" w:space="0" w:color="auto"/>
            </w:tcBorders>
            <w:shd w:val="clear" w:color="auto" w:fill="EEECE1" w:themeFill="background2"/>
            <w:vAlign w:val="bottom"/>
            <w:hideMark/>
          </w:tcPr>
          <w:p w14:paraId="33792612"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 ZŠ</w:t>
            </w:r>
          </w:p>
          <w:p w14:paraId="49B65E59" w14:textId="77777777" w:rsidR="0042210A" w:rsidRPr="0053555E" w:rsidRDefault="0042210A" w:rsidP="00285A99">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z počtu štud.</w:t>
            </w:r>
          </w:p>
        </w:tc>
        <w:tc>
          <w:tcPr>
            <w:tcW w:w="517" w:type="dxa"/>
            <w:vMerge w:val="restart"/>
            <w:tcBorders>
              <w:top w:val="nil"/>
              <w:left w:val="nil"/>
              <w:bottom w:val="single" w:sz="4" w:space="0" w:color="000000"/>
              <w:right w:val="single" w:sz="4" w:space="0" w:color="auto"/>
            </w:tcBorders>
            <w:shd w:val="clear" w:color="auto" w:fill="auto"/>
            <w:noWrap/>
            <w:vAlign w:val="center"/>
            <w:hideMark/>
          </w:tcPr>
          <w:p w14:paraId="744E660E" w14:textId="77777777" w:rsidR="0042210A" w:rsidRPr="0053555E" w:rsidRDefault="0042210A" w:rsidP="00285A99">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I. st.</w:t>
            </w:r>
          </w:p>
        </w:tc>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AE0C3C" w14:textId="77777777" w:rsidR="0042210A" w:rsidRPr="0053555E" w:rsidRDefault="0042210A" w:rsidP="00285A99">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II. st.</w:t>
            </w:r>
          </w:p>
        </w:tc>
        <w:tc>
          <w:tcPr>
            <w:tcW w:w="103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6186263"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III.st.</w:t>
            </w:r>
          </w:p>
        </w:tc>
        <w:tc>
          <w:tcPr>
            <w:tcW w:w="7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837544" w14:textId="77777777" w:rsidR="0042210A" w:rsidRPr="0053555E" w:rsidRDefault="0042210A" w:rsidP="00285A99">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sym w:font="Symbol" w:char="F053"/>
            </w:r>
            <w:r w:rsidRPr="0053555E">
              <w:rPr>
                <w:rFonts w:asciiTheme="majorHAnsi" w:eastAsia="Times New Roman" w:hAnsiTheme="majorHAnsi" w:cstheme="majorHAnsi"/>
                <w:sz w:val="18"/>
                <w:szCs w:val="18"/>
                <w:lang w:eastAsia="sk-SK"/>
              </w:rPr>
              <w:t>ZŠ)</w:t>
            </w:r>
          </w:p>
        </w:tc>
        <w:tc>
          <w:tcPr>
            <w:tcW w:w="772" w:type="dxa"/>
            <w:vMerge w:val="restart"/>
            <w:tcBorders>
              <w:top w:val="nil"/>
              <w:left w:val="single" w:sz="4" w:space="0" w:color="auto"/>
              <w:bottom w:val="single" w:sz="4" w:space="0" w:color="000000"/>
              <w:right w:val="single" w:sz="4" w:space="0" w:color="auto"/>
            </w:tcBorders>
            <w:shd w:val="clear" w:color="auto" w:fill="auto"/>
            <w:vAlign w:val="center"/>
            <w:hideMark/>
          </w:tcPr>
          <w:p w14:paraId="6E366A92" w14:textId="77777777" w:rsidR="0042210A" w:rsidRPr="0053555E" w:rsidRDefault="0042210A" w:rsidP="00285A99">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počet štud.</w:t>
            </w:r>
          </w:p>
        </w:tc>
        <w:tc>
          <w:tcPr>
            <w:tcW w:w="1134" w:type="dxa"/>
            <w:vMerge w:val="restart"/>
            <w:tcBorders>
              <w:top w:val="nil"/>
              <w:left w:val="single" w:sz="4" w:space="0" w:color="auto"/>
              <w:bottom w:val="single" w:sz="4" w:space="0" w:color="000000"/>
              <w:right w:val="single" w:sz="8" w:space="0" w:color="auto"/>
            </w:tcBorders>
            <w:shd w:val="clear" w:color="auto" w:fill="EEECE1" w:themeFill="background2"/>
            <w:vAlign w:val="bottom"/>
            <w:hideMark/>
          </w:tcPr>
          <w:p w14:paraId="38A35E12" w14:textId="273724F6" w:rsidR="0042210A" w:rsidRPr="0053555E" w:rsidRDefault="0042210A" w:rsidP="00285A99">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 xml:space="preserve">pomer ZŠ </w:t>
            </w:r>
            <w:r w:rsidR="00EA24BA" w:rsidRPr="0053555E">
              <w:rPr>
                <w:rFonts w:asciiTheme="majorHAnsi" w:eastAsia="Times New Roman" w:hAnsiTheme="majorHAnsi" w:cstheme="majorHAnsi"/>
                <w:sz w:val="18"/>
                <w:szCs w:val="18"/>
                <w:lang w:eastAsia="sk-SK"/>
              </w:rPr>
              <w:t>2021/2022</w:t>
            </w:r>
            <w:r w:rsidRPr="0053555E">
              <w:rPr>
                <w:rFonts w:asciiTheme="majorHAnsi" w:eastAsia="Times New Roman" w:hAnsiTheme="majorHAnsi" w:cstheme="majorHAnsi"/>
                <w:sz w:val="18"/>
                <w:szCs w:val="18"/>
                <w:lang w:eastAsia="sk-SK"/>
              </w:rPr>
              <w:t xml:space="preserve"> k 20</w:t>
            </w:r>
            <w:r w:rsidR="00A42727" w:rsidRPr="0053555E">
              <w:rPr>
                <w:rFonts w:asciiTheme="majorHAnsi" w:eastAsia="Times New Roman" w:hAnsiTheme="majorHAnsi" w:cstheme="majorHAnsi"/>
                <w:sz w:val="18"/>
                <w:szCs w:val="18"/>
                <w:lang w:eastAsia="sk-SK"/>
              </w:rPr>
              <w:t>20</w:t>
            </w:r>
            <w:r w:rsidRPr="0053555E">
              <w:rPr>
                <w:rFonts w:asciiTheme="majorHAnsi" w:eastAsia="Times New Roman" w:hAnsiTheme="majorHAnsi" w:cstheme="majorHAnsi"/>
                <w:sz w:val="18"/>
                <w:szCs w:val="18"/>
                <w:lang w:eastAsia="sk-SK"/>
              </w:rPr>
              <w:t>/20</w:t>
            </w:r>
            <w:r w:rsidR="003E1A8D" w:rsidRPr="0053555E">
              <w:rPr>
                <w:rFonts w:asciiTheme="majorHAnsi" w:eastAsia="Times New Roman" w:hAnsiTheme="majorHAnsi" w:cstheme="majorHAnsi"/>
                <w:sz w:val="18"/>
                <w:szCs w:val="18"/>
                <w:lang w:eastAsia="sk-SK"/>
              </w:rPr>
              <w:t>2</w:t>
            </w:r>
            <w:r w:rsidR="00A42727" w:rsidRPr="0053555E">
              <w:rPr>
                <w:rFonts w:asciiTheme="majorHAnsi" w:eastAsia="Times New Roman" w:hAnsiTheme="majorHAnsi" w:cstheme="majorHAnsi"/>
                <w:sz w:val="18"/>
                <w:szCs w:val="18"/>
                <w:lang w:eastAsia="sk-SK"/>
              </w:rPr>
              <w:t>1</w:t>
            </w:r>
          </w:p>
        </w:tc>
      </w:tr>
      <w:tr w:rsidR="0042210A" w:rsidRPr="0053555E" w14:paraId="61D175F9" w14:textId="77777777" w:rsidTr="001605FB">
        <w:trPr>
          <w:trHeight w:val="348"/>
        </w:trPr>
        <w:tc>
          <w:tcPr>
            <w:tcW w:w="709" w:type="dxa"/>
            <w:vMerge/>
            <w:tcBorders>
              <w:top w:val="single" w:sz="4" w:space="0" w:color="auto"/>
              <w:left w:val="single" w:sz="8" w:space="0" w:color="auto"/>
              <w:bottom w:val="single" w:sz="4" w:space="0" w:color="auto"/>
              <w:right w:val="single" w:sz="8" w:space="0" w:color="auto"/>
            </w:tcBorders>
            <w:vAlign w:val="center"/>
            <w:hideMark/>
          </w:tcPr>
          <w:p w14:paraId="76AF73D6" w14:textId="77777777" w:rsidR="0042210A" w:rsidRPr="0053555E" w:rsidRDefault="0042210A" w:rsidP="001605FB">
            <w:pPr>
              <w:tabs>
                <w:tab w:val="left" w:pos="9356"/>
              </w:tabs>
              <w:jc w:val="both"/>
              <w:rPr>
                <w:rFonts w:asciiTheme="majorHAnsi" w:eastAsia="Times New Roman" w:hAnsiTheme="majorHAnsi" w:cstheme="majorHAnsi"/>
                <w:b/>
                <w:bCs/>
                <w:sz w:val="18"/>
                <w:szCs w:val="18"/>
                <w:lang w:eastAsia="sk-SK"/>
              </w:rPr>
            </w:pPr>
          </w:p>
        </w:tc>
        <w:tc>
          <w:tcPr>
            <w:tcW w:w="567" w:type="dxa"/>
            <w:vMerge/>
            <w:tcBorders>
              <w:top w:val="nil"/>
              <w:left w:val="nil"/>
              <w:bottom w:val="single" w:sz="4" w:space="0" w:color="auto"/>
              <w:right w:val="single" w:sz="4" w:space="0" w:color="auto"/>
            </w:tcBorders>
            <w:vAlign w:val="center"/>
            <w:hideMark/>
          </w:tcPr>
          <w:p w14:paraId="43FBD1C0" w14:textId="77777777" w:rsidR="0042210A" w:rsidRPr="0053555E" w:rsidRDefault="0042210A" w:rsidP="001605FB">
            <w:pPr>
              <w:tabs>
                <w:tab w:val="left" w:pos="9356"/>
              </w:tabs>
              <w:jc w:val="both"/>
              <w:rPr>
                <w:rFonts w:asciiTheme="majorHAnsi" w:eastAsia="Times New Roman" w:hAnsiTheme="majorHAnsi" w:cstheme="majorHAnsi"/>
                <w:sz w:val="18"/>
                <w:szCs w:val="16"/>
                <w:lang w:eastAsia="sk-SK"/>
              </w:rPr>
            </w:pPr>
          </w:p>
        </w:tc>
        <w:tc>
          <w:tcPr>
            <w:tcW w:w="567" w:type="dxa"/>
            <w:vMerge/>
            <w:tcBorders>
              <w:top w:val="nil"/>
              <w:left w:val="single" w:sz="4" w:space="0" w:color="auto"/>
              <w:bottom w:val="single" w:sz="4" w:space="0" w:color="auto"/>
              <w:right w:val="single" w:sz="4" w:space="0" w:color="auto"/>
            </w:tcBorders>
            <w:vAlign w:val="center"/>
            <w:hideMark/>
          </w:tcPr>
          <w:p w14:paraId="2EAA9A14" w14:textId="77777777" w:rsidR="0042210A" w:rsidRPr="0053555E" w:rsidRDefault="0042210A" w:rsidP="001605FB">
            <w:pPr>
              <w:tabs>
                <w:tab w:val="left" w:pos="9356"/>
              </w:tabs>
              <w:jc w:val="center"/>
              <w:rPr>
                <w:rFonts w:asciiTheme="majorHAnsi" w:eastAsia="Times New Roman" w:hAnsiTheme="majorHAnsi" w:cstheme="majorHAnsi"/>
                <w:sz w:val="18"/>
                <w:szCs w:val="16"/>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14:paraId="61E5B73F" w14:textId="77777777" w:rsidR="0042210A" w:rsidRPr="0053555E" w:rsidRDefault="0042210A" w:rsidP="001605FB">
            <w:pPr>
              <w:tabs>
                <w:tab w:val="left" w:pos="9356"/>
              </w:tabs>
              <w:jc w:val="center"/>
              <w:rPr>
                <w:rFonts w:asciiTheme="majorHAnsi" w:eastAsia="Times New Roman" w:hAnsiTheme="majorHAnsi" w:cstheme="majorHAnsi"/>
                <w:sz w:val="18"/>
                <w:szCs w:val="16"/>
                <w:lang w:eastAsia="sk-SK"/>
              </w:rPr>
            </w:pPr>
            <w:r w:rsidRPr="0053555E">
              <w:rPr>
                <w:rFonts w:asciiTheme="majorHAnsi" w:eastAsia="Times New Roman" w:hAnsiTheme="majorHAnsi" w:cstheme="majorHAnsi"/>
                <w:sz w:val="18"/>
                <w:szCs w:val="16"/>
                <w:lang w:eastAsia="sk-SK"/>
              </w:rPr>
              <w:t>DF</w:t>
            </w:r>
          </w:p>
        </w:tc>
        <w:tc>
          <w:tcPr>
            <w:tcW w:w="567" w:type="dxa"/>
            <w:tcBorders>
              <w:top w:val="nil"/>
              <w:left w:val="nil"/>
              <w:bottom w:val="single" w:sz="4" w:space="0" w:color="auto"/>
              <w:right w:val="single" w:sz="4" w:space="0" w:color="auto"/>
            </w:tcBorders>
            <w:shd w:val="clear" w:color="auto" w:fill="auto"/>
            <w:noWrap/>
            <w:vAlign w:val="center"/>
            <w:hideMark/>
          </w:tcPr>
          <w:p w14:paraId="44B3DEC0" w14:textId="77777777" w:rsidR="0042210A" w:rsidRPr="0053555E" w:rsidRDefault="0042210A" w:rsidP="001605FB">
            <w:pPr>
              <w:tabs>
                <w:tab w:val="left" w:pos="9356"/>
              </w:tabs>
              <w:jc w:val="center"/>
              <w:rPr>
                <w:rFonts w:asciiTheme="majorHAnsi" w:eastAsia="Times New Roman" w:hAnsiTheme="majorHAnsi" w:cstheme="majorHAnsi"/>
                <w:sz w:val="18"/>
                <w:szCs w:val="16"/>
                <w:lang w:eastAsia="sk-SK"/>
              </w:rPr>
            </w:pPr>
            <w:r w:rsidRPr="0053555E">
              <w:rPr>
                <w:rFonts w:asciiTheme="majorHAnsi" w:eastAsia="Times New Roman" w:hAnsiTheme="majorHAnsi" w:cstheme="majorHAnsi"/>
                <w:sz w:val="18"/>
                <w:szCs w:val="16"/>
                <w:lang w:eastAsia="sk-SK"/>
              </w:rPr>
              <w:t>EF</w:t>
            </w:r>
          </w:p>
        </w:tc>
        <w:tc>
          <w:tcPr>
            <w:tcW w:w="709" w:type="dxa"/>
            <w:vMerge/>
            <w:tcBorders>
              <w:top w:val="nil"/>
              <w:left w:val="single" w:sz="4" w:space="0" w:color="auto"/>
              <w:bottom w:val="single" w:sz="4" w:space="0" w:color="auto"/>
              <w:right w:val="single" w:sz="4" w:space="0" w:color="auto"/>
            </w:tcBorders>
            <w:vAlign w:val="center"/>
            <w:hideMark/>
          </w:tcPr>
          <w:p w14:paraId="4375570C"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p>
        </w:tc>
        <w:tc>
          <w:tcPr>
            <w:tcW w:w="850" w:type="dxa"/>
            <w:vMerge/>
            <w:tcBorders>
              <w:top w:val="nil"/>
              <w:left w:val="single" w:sz="4" w:space="0" w:color="auto"/>
              <w:bottom w:val="single" w:sz="4" w:space="0" w:color="auto"/>
              <w:right w:val="single" w:sz="4" w:space="0" w:color="auto"/>
            </w:tcBorders>
            <w:vAlign w:val="center"/>
            <w:hideMark/>
          </w:tcPr>
          <w:p w14:paraId="07994566" w14:textId="77777777" w:rsidR="0042210A" w:rsidRPr="0053555E" w:rsidRDefault="0042210A" w:rsidP="001605FB">
            <w:pPr>
              <w:tabs>
                <w:tab w:val="left" w:pos="9356"/>
              </w:tabs>
              <w:jc w:val="center"/>
              <w:rPr>
                <w:rFonts w:asciiTheme="majorHAnsi" w:eastAsia="Times New Roman" w:hAnsiTheme="majorHAnsi" w:cstheme="majorHAnsi"/>
                <w:sz w:val="16"/>
                <w:szCs w:val="16"/>
                <w:lang w:eastAsia="sk-SK"/>
              </w:rPr>
            </w:pPr>
          </w:p>
        </w:tc>
        <w:tc>
          <w:tcPr>
            <w:tcW w:w="851" w:type="dxa"/>
            <w:vMerge/>
            <w:tcBorders>
              <w:top w:val="nil"/>
              <w:left w:val="single" w:sz="4" w:space="0" w:color="auto"/>
              <w:bottom w:val="single" w:sz="4" w:space="0" w:color="auto"/>
              <w:right w:val="single" w:sz="8" w:space="0" w:color="auto"/>
            </w:tcBorders>
            <w:shd w:val="clear" w:color="auto" w:fill="EEECE1" w:themeFill="background2"/>
            <w:vAlign w:val="center"/>
            <w:hideMark/>
          </w:tcPr>
          <w:p w14:paraId="1E080BF6" w14:textId="77777777" w:rsidR="0042210A" w:rsidRPr="0053555E" w:rsidRDefault="0042210A" w:rsidP="001605FB">
            <w:pPr>
              <w:tabs>
                <w:tab w:val="left" w:pos="9356"/>
              </w:tabs>
              <w:jc w:val="center"/>
              <w:rPr>
                <w:rFonts w:asciiTheme="majorHAnsi" w:eastAsia="Times New Roman" w:hAnsiTheme="majorHAnsi" w:cstheme="majorHAnsi"/>
                <w:sz w:val="16"/>
                <w:szCs w:val="16"/>
                <w:lang w:eastAsia="sk-SK"/>
              </w:rPr>
            </w:pPr>
          </w:p>
        </w:tc>
        <w:tc>
          <w:tcPr>
            <w:tcW w:w="567" w:type="dxa"/>
            <w:vMerge/>
            <w:tcBorders>
              <w:top w:val="nil"/>
              <w:left w:val="nil"/>
              <w:bottom w:val="single" w:sz="4" w:space="0" w:color="000000"/>
              <w:right w:val="single" w:sz="4" w:space="0" w:color="auto"/>
            </w:tcBorders>
            <w:vAlign w:val="center"/>
            <w:hideMark/>
          </w:tcPr>
          <w:p w14:paraId="35BF8ECB" w14:textId="77777777" w:rsidR="0042210A" w:rsidRPr="0053555E" w:rsidRDefault="0042210A" w:rsidP="001605FB">
            <w:pPr>
              <w:tabs>
                <w:tab w:val="left" w:pos="9356"/>
              </w:tabs>
              <w:jc w:val="center"/>
              <w:rPr>
                <w:rFonts w:asciiTheme="majorHAnsi" w:eastAsia="Times New Roman" w:hAnsiTheme="majorHAnsi" w:cstheme="majorHAnsi"/>
                <w:sz w:val="16"/>
                <w:szCs w:val="16"/>
                <w:lang w:eastAsia="sk-SK"/>
              </w:rPr>
            </w:pPr>
          </w:p>
        </w:tc>
        <w:tc>
          <w:tcPr>
            <w:tcW w:w="567" w:type="dxa"/>
            <w:vMerge/>
            <w:tcBorders>
              <w:top w:val="nil"/>
              <w:left w:val="single" w:sz="4" w:space="0" w:color="auto"/>
              <w:bottom w:val="single" w:sz="4" w:space="0" w:color="000000"/>
              <w:right w:val="single" w:sz="4" w:space="0" w:color="auto"/>
            </w:tcBorders>
            <w:vAlign w:val="center"/>
            <w:hideMark/>
          </w:tcPr>
          <w:p w14:paraId="10D5E4F4" w14:textId="77777777" w:rsidR="0042210A" w:rsidRPr="0053555E" w:rsidRDefault="0042210A" w:rsidP="001605FB">
            <w:pPr>
              <w:tabs>
                <w:tab w:val="left" w:pos="9356"/>
              </w:tabs>
              <w:jc w:val="center"/>
              <w:rPr>
                <w:rFonts w:asciiTheme="majorHAnsi" w:eastAsia="Times New Roman" w:hAnsiTheme="majorHAnsi" w:cstheme="majorHAnsi"/>
                <w:sz w:val="16"/>
                <w:szCs w:val="16"/>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14:paraId="78BD2AFF" w14:textId="77777777" w:rsidR="0042210A" w:rsidRPr="0053555E" w:rsidRDefault="0042210A" w:rsidP="001605FB">
            <w:pPr>
              <w:tabs>
                <w:tab w:val="left" w:pos="9356"/>
              </w:tabs>
              <w:jc w:val="center"/>
              <w:rPr>
                <w:rFonts w:asciiTheme="majorHAnsi" w:eastAsia="Times New Roman" w:hAnsiTheme="majorHAnsi" w:cstheme="majorHAnsi"/>
                <w:sz w:val="16"/>
                <w:szCs w:val="16"/>
                <w:lang w:eastAsia="sk-SK"/>
              </w:rPr>
            </w:pPr>
            <w:r w:rsidRPr="0053555E">
              <w:rPr>
                <w:rFonts w:asciiTheme="majorHAnsi" w:eastAsia="Times New Roman" w:hAnsiTheme="majorHAnsi" w:cstheme="majorHAnsi"/>
                <w:sz w:val="16"/>
                <w:szCs w:val="16"/>
                <w:lang w:eastAsia="sk-SK"/>
              </w:rPr>
              <w:t>DF</w:t>
            </w:r>
          </w:p>
        </w:tc>
        <w:tc>
          <w:tcPr>
            <w:tcW w:w="567" w:type="dxa"/>
            <w:tcBorders>
              <w:top w:val="nil"/>
              <w:left w:val="nil"/>
              <w:bottom w:val="single" w:sz="4" w:space="0" w:color="auto"/>
              <w:right w:val="single" w:sz="4" w:space="0" w:color="auto"/>
            </w:tcBorders>
            <w:shd w:val="clear" w:color="auto" w:fill="auto"/>
            <w:noWrap/>
            <w:vAlign w:val="center"/>
            <w:hideMark/>
          </w:tcPr>
          <w:p w14:paraId="0C2767FC" w14:textId="77777777" w:rsidR="0042210A" w:rsidRPr="0053555E" w:rsidRDefault="0042210A" w:rsidP="001605FB">
            <w:pPr>
              <w:tabs>
                <w:tab w:val="left" w:pos="9356"/>
              </w:tabs>
              <w:jc w:val="center"/>
              <w:rPr>
                <w:rFonts w:asciiTheme="majorHAnsi" w:eastAsia="Times New Roman" w:hAnsiTheme="majorHAnsi" w:cstheme="majorHAnsi"/>
                <w:sz w:val="16"/>
                <w:szCs w:val="16"/>
                <w:lang w:eastAsia="sk-SK"/>
              </w:rPr>
            </w:pPr>
            <w:r w:rsidRPr="0053555E">
              <w:rPr>
                <w:rFonts w:asciiTheme="majorHAnsi" w:eastAsia="Times New Roman" w:hAnsiTheme="majorHAnsi" w:cstheme="majorHAnsi"/>
                <w:sz w:val="16"/>
                <w:szCs w:val="16"/>
                <w:lang w:eastAsia="sk-SK"/>
              </w:rPr>
              <w:t>EF</w:t>
            </w:r>
          </w:p>
        </w:tc>
        <w:tc>
          <w:tcPr>
            <w:tcW w:w="709" w:type="dxa"/>
            <w:vMerge/>
            <w:tcBorders>
              <w:left w:val="single" w:sz="4" w:space="0" w:color="auto"/>
              <w:bottom w:val="single" w:sz="4" w:space="0" w:color="000000"/>
              <w:right w:val="single" w:sz="4" w:space="0" w:color="auto"/>
            </w:tcBorders>
            <w:vAlign w:val="center"/>
            <w:hideMark/>
          </w:tcPr>
          <w:p w14:paraId="5ECCDF06"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p>
        </w:tc>
        <w:tc>
          <w:tcPr>
            <w:tcW w:w="850" w:type="dxa"/>
            <w:vMerge/>
            <w:tcBorders>
              <w:top w:val="nil"/>
              <w:left w:val="single" w:sz="4" w:space="0" w:color="auto"/>
              <w:bottom w:val="single" w:sz="4" w:space="0" w:color="000000"/>
              <w:right w:val="single" w:sz="4" w:space="0" w:color="auto"/>
            </w:tcBorders>
            <w:vAlign w:val="center"/>
            <w:hideMark/>
          </w:tcPr>
          <w:p w14:paraId="7494D706" w14:textId="77777777" w:rsidR="0042210A" w:rsidRPr="0053555E" w:rsidRDefault="0042210A" w:rsidP="001605FB">
            <w:pPr>
              <w:tabs>
                <w:tab w:val="left" w:pos="9356"/>
              </w:tabs>
              <w:jc w:val="center"/>
              <w:rPr>
                <w:rFonts w:asciiTheme="majorHAnsi" w:eastAsia="Times New Roman" w:hAnsiTheme="majorHAnsi" w:cstheme="majorHAnsi"/>
                <w:sz w:val="16"/>
                <w:szCs w:val="16"/>
                <w:lang w:eastAsia="sk-SK"/>
              </w:rPr>
            </w:pPr>
          </w:p>
        </w:tc>
        <w:tc>
          <w:tcPr>
            <w:tcW w:w="767" w:type="dxa"/>
            <w:vMerge/>
            <w:tcBorders>
              <w:top w:val="nil"/>
              <w:left w:val="single" w:sz="4" w:space="0" w:color="auto"/>
              <w:bottom w:val="single" w:sz="4" w:space="0" w:color="000000"/>
              <w:right w:val="single" w:sz="8" w:space="0" w:color="auto"/>
            </w:tcBorders>
            <w:shd w:val="clear" w:color="auto" w:fill="EEECE1" w:themeFill="background2"/>
            <w:vAlign w:val="center"/>
            <w:hideMark/>
          </w:tcPr>
          <w:p w14:paraId="0D09E5F6" w14:textId="77777777" w:rsidR="0042210A" w:rsidRPr="0053555E" w:rsidRDefault="0042210A" w:rsidP="001605FB">
            <w:pPr>
              <w:tabs>
                <w:tab w:val="left" w:pos="9356"/>
              </w:tabs>
              <w:jc w:val="center"/>
              <w:rPr>
                <w:rFonts w:asciiTheme="majorHAnsi" w:eastAsia="Times New Roman" w:hAnsiTheme="majorHAnsi" w:cstheme="majorHAnsi"/>
                <w:sz w:val="16"/>
                <w:szCs w:val="16"/>
                <w:lang w:eastAsia="sk-SK"/>
              </w:rPr>
            </w:pPr>
          </w:p>
        </w:tc>
        <w:tc>
          <w:tcPr>
            <w:tcW w:w="517" w:type="dxa"/>
            <w:vMerge/>
            <w:tcBorders>
              <w:top w:val="nil"/>
              <w:left w:val="nil"/>
              <w:bottom w:val="single" w:sz="4" w:space="0" w:color="000000"/>
              <w:right w:val="single" w:sz="4" w:space="0" w:color="auto"/>
            </w:tcBorders>
            <w:vAlign w:val="center"/>
            <w:hideMark/>
          </w:tcPr>
          <w:p w14:paraId="4FC7CDAE" w14:textId="77777777" w:rsidR="0042210A" w:rsidRPr="0053555E" w:rsidRDefault="0042210A" w:rsidP="001605FB">
            <w:pPr>
              <w:tabs>
                <w:tab w:val="left" w:pos="9356"/>
              </w:tabs>
              <w:jc w:val="center"/>
              <w:rPr>
                <w:rFonts w:asciiTheme="majorHAnsi" w:eastAsia="Times New Roman" w:hAnsiTheme="majorHAnsi" w:cstheme="majorHAnsi"/>
                <w:sz w:val="16"/>
                <w:szCs w:val="16"/>
                <w:lang w:eastAsia="sk-SK"/>
              </w:rPr>
            </w:pPr>
          </w:p>
        </w:tc>
        <w:tc>
          <w:tcPr>
            <w:tcW w:w="517" w:type="dxa"/>
            <w:vMerge/>
            <w:tcBorders>
              <w:top w:val="nil"/>
              <w:left w:val="single" w:sz="4" w:space="0" w:color="auto"/>
              <w:bottom w:val="single" w:sz="4" w:space="0" w:color="000000"/>
              <w:right w:val="single" w:sz="4" w:space="0" w:color="auto"/>
            </w:tcBorders>
            <w:vAlign w:val="center"/>
            <w:hideMark/>
          </w:tcPr>
          <w:p w14:paraId="3F2A78B5" w14:textId="77777777" w:rsidR="0042210A" w:rsidRPr="0053555E" w:rsidRDefault="0042210A" w:rsidP="001605FB">
            <w:pPr>
              <w:tabs>
                <w:tab w:val="left" w:pos="9356"/>
              </w:tabs>
              <w:jc w:val="center"/>
              <w:rPr>
                <w:rFonts w:asciiTheme="majorHAnsi" w:eastAsia="Times New Roman" w:hAnsiTheme="majorHAnsi" w:cstheme="majorHAnsi"/>
                <w:sz w:val="16"/>
                <w:szCs w:val="16"/>
                <w:lang w:eastAsia="sk-SK"/>
              </w:rPr>
            </w:pPr>
          </w:p>
        </w:tc>
        <w:tc>
          <w:tcPr>
            <w:tcW w:w="517" w:type="dxa"/>
            <w:tcBorders>
              <w:top w:val="nil"/>
              <w:left w:val="nil"/>
              <w:bottom w:val="single" w:sz="4" w:space="0" w:color="auto"/>
              <w:right w:val="single" w:sz="4" w:space="0" w:color="auto"/>
            </w:tcBorders>
            <w:shd w:val="clear" w:color="auto" w:fill="auto"/>
            <w:noWrap/>
            <w:vAlign w:val="center"/>
            <w:hideMark/>
          </w:tcPr>
          <w:p w14:paraId="5B659231" w14:textId="77777777" w:rsidR="0042210A" w:rsidRPr="0053555E" w:rsidRDefault="0042210A" w:rsidP="00285A99">
            <w:pPr>
              <w:tabs>
                <w:tab w:val="left" w:pos="9356"/>
              </w:tabs>
              <w:jc w:val="center"/>
              <w:rPr>
                <w:rFonts w:asciiTheme="majorHAnsi" w:eastAsia="Times New Roman" w:hAnsiTheme="majorHAnsi" w:cstheme="majorHAnsi"/>
                <w:sz w:val="16"/>
                <w:szCs w:val="16"/>
                <w:lang w:eastAsia="sk-SK"/>
              </w:rPr>
            </w:pPr>
            <w:r w:rsidRPr="0053555E">
              <w:rPr>
                <w:rFonts w:asciiTheme="majorHAnsi" w:eastAsia="Times New Roman" w:hAnsiTheme="majorHAnsi" w:cstheme="majorHAnsi"/>
                <w:sz w:val="16"/>
                <w:szCs w:val="16"/>
                <w:lang w:eastAsia="sk-SK"/>
              </w:rPr>
              <w:t>DF</w:t>
            </w:r>
          </w:p>
        </w:tc>
        <w:tc>
          <w:tcPr>
            <w:tcW w:w="517" w:type="dxa"/>
            <w:tcBorders>
              <w:top w:val="nil"/>
              <w:left w:val="nil"/>
              <w:bottom w:val="single" w:sz="4" w:space="0" w:color="auto"/>
              <w:right w:val="single" w:sz="4" w:space="0" w:color="auto"/>
            </w:tcBorders>
            <w:shd w:val="clear" w:color="auto" w:fill="auto"/>
            <w:noWrap/>
            <w:vAlign w:val="center"/>
            <w:hideMark/>
          </w:tcPr>
          <w:p w14:paraId="62A644DB" w14:textId="77777777" w:rsidR="0042210A" w:rsidRPr="0053555E" w:rsidRDefault="0042210A" w:rsidP="00285A99">
            <w:pPr>
              <w:tabs>
                <w:tab w:val="left" w:pos="9356"/>
              </w:tabs>
              <w:jc w:val="center"/>
              <w:rPr>
                <w:rFonts w:asciiTheme="majorHAnsi" w:eastAsia="Times New Roman" w:hAnsiTheme="majorHAnsi" w:cstheme="majorHAnsi"/>
                <w:sz w:val="16"/>
                <w:szCs w:val="16"/>
                <w:lang w:eastAsia="sk-SK"/>
              </w:rPr>
            </w:pPr>
            <w:r w:rsidRPr="0053555E">
              <w:rPr>
                <w:rFonts w:asciiTheme="majorHAnsi" w:eastAsia="Times New Roman" w:hAnsiTheme="majorHAnsi" w:cstheme="majorHAnsi"/>
                <w:sz w:val="16"/>
                <w:szCs w:val="16"/>
                <w:lang w:eastAsia="sk-SK"/>
              </w:rPr>
              <w:t>EF)</w:t>
            </w:r>
          </w:p>
        </w:tc>
        <w:tc>
          <w:tcPr>
            <w:tcW w:w="787" w:type="dxa"/>
            <w:vMerge/>
            <w:tcBorders>
              <w:top w:val="nil"/>
              <w:left w:val="single" w:sz="4" w:space="0" w:color="auto"/>
              <w:bottom w:val="single" w:sz="4" w:space="0" w:color="000000"/>
              <w:right w:val="single" w:sz="4" w:space="0" w:color="auto"/>
            </w:tcBorders>
            <w:vAlign w:val="center"/>
            <w:hideMark/>
          </w:tcPr>
          <w:p w14:paraId="1FAC6458" w14:textId="77777777" w:rsidR="0042210A" w:rsidRPr="0053555E" w:rsidRDefault="0042210A" w:rsidP="001605FB">
            <w:pPr>
              <w:tabs>
                <w:tab w:val="left" w:pos="9356"/>
              </w:tabs>
              <w:jc w:val="center"/>
              <w:rPr>
                <w:rFonts w:asciiTheme="majorHAnsi" w:eastAsia="Times New Roman" w:hAnsiTheme="majorHAnsi" w:cstheme="majorHAnsi"/>
                <w:sz w:val="18"/>
                <w:szCs w:val="18"/>
                <w:lang w:eastAsia="sk-SK"/>
              </w:rPr>
            </w:pPr>
          </w:p>
        </w:tc>
        <w:tc>
          <w:tcPr>
            <w:tcW w:w="772" w:type="dxa"/>
            <w:vMerge/>
            <w:tcBorders>
              <w:top w:val="nil"/>
              <w:left w:val="single" w:sz="4" w:space="0" w:color="auto"/>
              <w:bottom w:val="single" w:sz="4" w:space="0" w:color="000000"/>
              <w:right w:val="single" w:sz="4" w:space="0" w:color="auto"/>
            </w:tcBorders>
            <w:vAlign w:val="center"/>
            <w:hideMark/>
          </w:tcPr>
          <w:p w14:paraId="33925531" w14:textId="77777777" w:rsidR="0042210A" w:rsidRPr="0053555E" w:rsidRDefault="0042210A" w:rsidP="001605FB">
            <w:pPr>
              <w:tabs>
                <w:tab w:val="left" w:pos="9356"/>
              </w:tabs>
              <w:jc w:val="center"/>
              <w:rPr>
                <w:rFonts w:asciiTheme="majorHAnsi" w:eastAsia="Times New Roman" w:hAnsiTheme="majorHAnsi" w:cstheme="majorHAnsi"/>
                <w:sz w:val="16"/>
                <w:szCs w:val="16"/>
                <w:lang w:eastAsia="sk-SK"/>
              </w:rPr>
            </w:pPr>
          </w:p>
        </w:tc>
        <w:tc>
          <w:tcPr>
            <w:tcW w:w="1134" w:type="dxa"/>
            <w:vMerge/>
            <w:tcBorders>
              <w:top w:val="nil"/>
              <w:left w:val="single" w:sz="4" w:space="0" w:color="auto"/>
              <w:bottom w:val="single" w:sz="4" w:space="0" w:color="000000"/>
              <w:right w:val="single" w:sz="8" w:space="0" w:color="auto"/>
            </w:tcBorders>
            <w:shd w:val="clear" w:color="auto" w:fill="EEECE1" w:themeFill="background2"/>
            <w:vAlign w:val="center"/>
            <w:hideMark/>
          </w:tcPr>
          <w:p w14:paraId="0FDB0EBF" w14:textId="77777777" w:rsidR="0042210A" w:rsidRPr="0053555E" w:rsidRDefault="0042210A" w:rsidP="001605FB">
            <w:pPr>
              <w:tabs>
                <w:tab w:val="left" w:pos="9356"/>
              </w:tabs>
              <w:jc w:val="center"/>
              <w:rPr>
                <w:rFonts w:asciiTheme="majorHAnsi" w:eastAsia="Times New Roman" w:hAnsiTheme="majorHAnsi" w:cstheme="majorHAnsi"/>
                <w:sz w:val="16"/>
                <w:szCs w:val="16"/>
                <w:lang w:eastAsia="sk-SK"/>
              </w:rPr>
            </w:pPr>
          </w:p>
        </w:tc>
      </w:tr>
      <w:tr w:rsidR="002271C5" w:rsidRPr="0053555E" w14:paraId="6BBEF795" w14:textId="77777777" w:rsidTr="001605FB">
        <w:trPr>
          <w:trHeight w:val="270"/>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14:paraId="3BA7C153" w14:textId="77777777" w:rsidR="002271C5" w:rsidRPr="0053555E" w:rsidRDefault="002271C5" w:rsidP="002271C5">
            <w:pPr>
              <w:tabs>
                <w:tab w:val="left" w:pos="9356"/>
              </w:tabs>
              <w:jc w:val="both"/>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SvF</w:t>
            </w:r>
          </w:p>
        </w:tc>
        <w:tc>
          <w:tcPr>
            <w:tcW w:w="567" w:type="dxa"/>
            <w:tcBorders>
              <w:top w:val="nil"/>
              <w:left w:val="nil"/>
              <w:bottom w:val="single" w:sz="4" w:space="0" w:color="auto"/>
              <w:right w:val="single" w:sz="4" w:space="0" w:color="auto"/>
            </w:tcBorders>
            <w:shd w:val="clear" w:color="auto" w:fill="auto"/>
            <w:noWrap/>
            <w:vAlign w:val="bottom"/>
            <w:hideMark/>
          </w:tcPr>
          <w:p w14:paraId="2DB06E43" w14:textId="586E102E" w:rsidR="002271C5" w:rsidRPr="0053555E" w:rsidRDefault="002271C5" w:rsidP="002271C5">
            <w:pPr>
              <w:jc w:val="center"/>
              <w:rPr>
                <w:rFonts w:asciiTheme="majorHAnsi" w:hAnsiTheme="majorHAnsi" w:cstheme="majorHAnsi"/>
                <w:sz w:val="22"/>
                <w:szCs w:val="22"/>
              </w:rPr>
            </w:pPr>
            <w:r w:rsidRPr="0053555E">
              <w:rPr>
                <w:rFonts w:cs="Calibri"/>
                <w:sz w:val="22"/>
                <w:szCs w:val="18"/>
              </w:rPr>
              <w:t>130</w:t>
            </w:r>
          </w:p>
        </w:tc>
        <w:tc>
          <w:tcPr>
            <w:tcW w:w="567" w:type="dxa"/>
            <w:tcBorders>
              <w:top w:val="nil"/>
              <w:left w:val="nil"/>
              <w:bottom w:val="single" w:sz="4" w:space="0" w:color="auto"/>
              <w:right w:val="single" w:sz="4" w:space="0" w:color="auto"/>
            </w:tcBorders>
            <w:shd w:val="clear" w:color="auto" w:fill="auto"/>
            <w:noWrap/>
            <w:vAlign w:val="bottom"/>
            <w:hideMark/>
          </w:tcPr>
          <w:p w14:paraId="6482C366" w14:textId="01AAF2A8" w:rsidR="002271C5" w:rsidRPr="0053555E" w:rsidRDefault="002271C5" w:rsidP="002271C5">
            <w:pPr>
              <w:jc w:val="center"/>
              <w:rPr>
                <w:rFonts w:asciiTheme="majorHAnsi" w:hAnsiTheme="majorHAnsi" w:cstheme="majorHAnsi"/>
                <w:sz w:val="22"/>
                <w:szCs w:val="22"/>
              </w:rPr>
            </w:pPr>
            <w:r w:rsidRPr="0053555E">
              <w:rPr>
                <w:rFonts w:cs="Calibri"/>
                <w:sz w:val="22"/>
                <w:szCs w:val="18"/>
              </w:rPr>
              <w:t>19</w:t>
            </w:r>
          </w:p>
        </w:tc>
        <w:tc>
          <w:tcPr>
            <w:tcW w:w="567" w:type="dxa"/>
            <w:tcBorders>
              <w:top w:val="nil"/>
              <w:left w:val="nil"/>
              <w:bottom w:val="single" w:sz="4" w:space="0" w:color="auto"/>
              <w:right w:val="single" w:sz="4" w:space="0" w:color="auto"/>
            </w:tcBorders>
            <w:shd w:val="clear" w:color="auto" w:fill="auto"/>
            <w:noWrap/>
            <w:vAlign w:val="bottom"/>
            <w:hideMark/>
          </w:tcPr>
          <w:p w14:paraId="078F0FB4" w14:textId="26360F3C" w:rsidR="002271C5" w:rsidRPr="0053555E" w:rsidRDefault="002271C5" w:rsidP="002271C5">
            <w:pPr>
              <w:jc w:val="center"/>
              <w:rPr>
                <w:rFonts w:asciiTheme="majorHAnsi" w:hAnsiTheme="majorHAnsi" w:cstheme="majorHAnsi"/>
                <w:sz w:val="22"/>
                <w:szCs w:val="22"/>
              </w:rPr>
            </w:pPr>
            <w:r w:rsidRPr="0053555E">
              <w:rPr>
                <w:rFonts w:cs="Calibri"/>
                <w:sz w:val="22"/>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14:paraId="165A123B" w14:textId="474FE5BF" w:rsidR="002271C5" w:rsidRPr="0053555E" w:rsidRDefault="002271C5" w:rsidP="002271C5">
            <w:pPr>
              <w:jc w:val="center"/>
              <w:rPr>
                <w:rFonts w:asciiTheme="majorHAnsi" w:hAnsiTheme="majorHAnsi" w:cstheme="majorHAnsi"/>
                <w:sz w:val="22"/>
                <w:szCs w:val="22"/>
              </w:rPr>
            </w:pPr>
            <w:r w:rsidRPr="0053555E">
              <w:rPr>
                <w:rFonts w:cs="Calibri"/>
                <w:sz w:val="22"/>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14:paraId="187A30DC" w14:textId="73A0D5FF" w:rsidR="002271C5" w:rsidRPr="0053555E" w:rsidRDefault="002271C5" w:rsidP="002271C5">
            <w:pPr>
              <w:jc w:val="center"/>
              <w:rPr>
                <w:rFonts w:asciiTheme="majorHAnsi" w:hAnsiTheme="majorHAnsi" w:cstheme="majorHAnsi"/>
                <w:b/>
                <w:sz w:val="22"/>
                <w:szCs w:val="22"/>
              </w:rPr>
            </w:pPr>
            <w:r w:rsidRPr="0053555E">
              <w:rPr>
                <w:rFonts w:cs="Calibri"/>
                <w:sz w:val="22"/>
                <w:szCs w:val="18"/>
              </w:rPr>
              <w:t>158</w:t>
            </w:r>
          </w:p>
        </w:tc>
        <w:tc>
          <w:tcPr>
            <w:tcW w:w="850" w:type="dxa"/>
            <w:tcBorders>
              <w:top w:val="nil"/>
              <w:left w:val="nil"/>
              <w:bottom w:val="single" w:sz="4" w:space="0" w:color="auto"/>
              <w:right w:val="single" w:sz="4" w:space="0" w:color="auto"/>
            </w:tcBorders>
            <w:shd w:val="clear" w:color="auto" w:fill="auto"/>
            <w:noWrap/>
            <w:vAlign w:val="bottom"/>
            <w:hideMark/>
          </w:tcPr>
          <w:p w14:paraId="22B13014" w14:textId="05CA4215" w:rsidR="002271C5" w:rsidRPr="0053555E" w:rsidRDefault="002271C5" w:rsidP="002271C5">
            <w:pPr>
              <w:jc w:val="center"/>
              <w:rPr>
                <w:rFonts w:asciiTheme="majorHAnsi" w:hAnsiTheme="majorHAnsi" w:cstheme="majorHAnsi"/>
                <w:sz w:val="22"/>
                <w:szCs w:val="22"/>
              </w:rPr>
            </w:pPr>
            <w:r w:rsidRPr="0053555E">
              <w:rPr>
                <w:rFonts w:cs="Calibri"/>
                <w:sz w:val="22"/>
                <w:szCs w:val="18"/>
              </w:rPr>
              <w:t>2 112</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14:paraId="028E4609" w14:textId="2D7B59AB" w:rsidR="002271C5" w:rsidRPr="0053555E" w:rsidRDefault="002271C5" w:rsidP="002271C5">
            <w:pPr>
              <w:jc w:val="center"/>
              <w:rPr>
                <w:rFonts w:asciiTheme="majorHAnsi" w:hAnsiTheme="majorHAnsi" w:cstheme="majorHAnsi"/>
                <w:sz w:val="22"/>
                <w:szCs w:val="22"/>
              </w:rPr>
            </w:pPr>
            <w:r w:rsidRPr="0053555E">
              <w:rPr>
                <w:rFonts w:cs="Calibri"/>
                <w:sz w:val="22"/>
                <w:szCs w:val="20"/>
              </w:rPr>
              <w:t>7,5</w:t>
            </w:r>
            <w:r w:rsidR="002340AF" w:rsidRPr="0053555E">
              <w:rPr>
                <w:rFonts w:cs="Calibri"/>
                <w:sz w:val="22"/>
                <w:szCs w:val="20"/>
              </w:rPr>
              <w:t xml:space="preserve"> </w:t>
            </w:r>
            <w:r w:rsidRPr="0053555E">
              <w:rPr>
                <w:rFonts w:cs="Calibri"/>
                <w:sz w:val="22"/>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272187C9" w14:textId="459881C4" w:rsidR="002271C5" w:rsidRPr="0053555E" w:rsidRDefault="002271C5" w:rsidP="002271C5">
            <w:pPr>
              <w:jc w:val="center"/>
              <w:rPr>
                <w:rFonts w:asciiTheme="majorHAnsi" w:hAnsiTheme="majorHAnsi" w:cstheme="majorHAnsi"/>
                <w:sz w:val="22"/>
                <w:szCs w:val="22"/>
              </w:rPr>
            </w:pPr>
            <w:r w:rsidRPr="0053555E">
              <w:rPr>
                <w:rFonts w:cs="Calibri"/>
                <w:sz w:val="22"/>
                <w:szCs w:val="18"/>
              </w:rPr>
              <w:t>173</w:t>
            </w:r>
          </w:p>
        </w:tc>
        <w:tc>
          <w:tcPr>
            <w:tcW w:w="567" w:type="dxa"/>
            <w:tcBorders>
              <w:top w:val="nil"/>
              <w:left w:val="nil"/>
              <w:bottom w:val="single" w:sz="4" w:space="0" w:color="auto"/>
              <w:right w:val="single" w:sz="4" w:space="0" w:color="auto"/>
            </w:tcBorders>
            <w:shd w:val="clear" w:color="auto" w:fill="auto"/>
            <w:noWrap/>
            <w:vAlign w:val="bottom"/>
            <w:hideMark/>
          </w:tcPr>
          <w:p w14:paraId="4C62EC8F" w14:textId="3612557C" w:rsidR="002271C5" w:rsidRPr="0053555E" w:rsidRDefault="002271C5" w:rsidP="002271C5">
            <w:pPr>
              <w:jc w:val="center"/>
              <w:rPr>
                <w:rFonts w:asciiTheme="majorHAnsi" w:hAnsiTheme="majorHAnsi" w:cstheme="majorHAnsi"/>
                <w:sz w:val="22"/>
                <w:szCs w:val="22"/>
              </w:rPr>
            </w:pPr>
            <w:r w:rsidRPr="0053555E">
              <w:rPr>
                <w:rFonts w:cs="Calibri"/>
                <w:sz w:val="22"/>
                <w:szCs w:val="18"/>
              </w:rPr>
              <w:t>24</w:t>
            </w:r>
          </w:p>
        </w:tc>
        <w:tc>
          <w:tcPr>
            <w:tcW w:w="567" w:type="dxa"/>
            <w:tcBorders>
              <w:top w:val="nil"/>
              <w:left w:val="nil"/>
              <w:bottom w:val="single" w:sz="4" w:space="0" w:color="auto"/>
              <w:right w:val="single" w:sz="4" w:space="0" w:color="auto"/>
            </w:tcBorders>
            <w:shd w:val="clear" w:color="auto" w:fill="auto"/>
            <w:noWrap/>
            <w:vAlign w:val="bottom"/>
            <w:hideMark/>
          </w:tcPr>
          <w:p w14:paraId="0A19FFD2" w14:textId="04B52FF0" w:rsidR="002271C5" w:rsidRPr="0053555E" w:rsidRDefault="002271C5" w:rsidP="002271C5">
            <w:pPr>
              <w:jc w:val="center"/>
              <w:rPr>
                <w:rFonts w:asciiTheme="majorHAnsi" w:hAnsiTheme="majorHAnsi" w:cstheme="majorHAnsi"/>
                <w:sz w:val="22"/>
                <w:szCs w:val="22"/>
              </w:rPr>
            </w:pPr>
            <w:r w:rsidRPr="0053555E">
              <w:rPr>
                <w:rFonts w:cs="Calibri"/>
                <w:sz w:val="22"/>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14:paraId="2277D4E9" w14:textId="3D46E5F2" w:rsidR="002271C5" w:rsidRPr="0053555E" w:rsidRDefault="002271C5" w:rsidP="002271C5">
            <w:pPr>
              <w:jc w:val="center"/>
              <w:rPr>
                <w:rFonts w:asciiTheme="majorHAnsi" w:hAnsiTheme="majorHAnsi" w:cstheme="majorHAnsi"/>
                <w:sz w:val="22"/>
                <w:szCs w:val="22"/>
              </w:rPr>
            </w:pPr>
            <w:r w:rsidRPr="0053555E">
              <w:rPr>
                <w:rFonts w:cs="Calibri"/>
                <w:sz w:val="22"/>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14:paraId="6A2FBC45" w14:textId="14CAD6A2" w:rsidR="002271C5" w:rsidRPr="0053555E" w:rsidRDefault="002271C5" w:rsidP="002271C5">
            <w:pPr>
              <w:jc w:val="center"/>
              <w:rPr>
                <w:rFonts w:asciiTheme="majorHAnsi" w:hAnsiTheme="majorHAnsi" w:cstheme="majorHAnsi"/>
                <w:b/>
                <w:sz w:val="22"/>
                <w:szCs w:val="22"/>
              </w:rPr>
            </w:pPr>
            <w:r w:rsidRPr="0053555E">
              <w:rPr>
                <w:rFonts w:cs="Calibri"/>
                <w:sz w:val="22"/>
                <w:szCs w:val="18"/>
              </w:rPr>
              <w:t>210</w:t>
            </w:r>
          </w:p>
        </w:tc>
        <w:tc>
          <w:tcPr>
            <w:tcW w:w="850" w:type="dxa"/>
            <w:tcBorders>
              <w:top w:val="nil"/>
              <w:left w:val="nil"/>
              <w:bottom w:val="single" w:sz="4" w:space="0" w:color="auto"/>
              <w:right w:val="single" w:sz="4" w:space="0" w:color="auto"/>
            </w:tcBorders>
            <w:shd w:val="clear" w:color="auto" w:fill="auto"/>
            <w:noWrap/>
            <w:vAlign w:val="bottom"/>
            <w:hideMark/>
          </w:tcPr>
          <w:p w14:paraId="445683CD" w14:textId="33E9A8E9" w:rsidR="002271C5" w:rsidRPr="0053555E" w:rsidRDefault="002271C5" w:rsidP="002271C5">
            <w:pPr>
              <w:jc w:val="center"/>
              <w:rPr>
                <w:rFonts w:asciiTheme="majorHAnsi" w:hAnsiTheme="majorHAnsi" w:cstheme="majorHAnsi"/>
                <w:sz w:val="22"/>
                <w:szCs w:val="22"/>
              </w:rPr>
            </w:pPr>
            <w:r w:rsidRPr="0053555E">
              <w:rPr>
                <w:rFonts w:cs="Calibri"/>
                <w:sz w:val="22"/>
                <w:szCs w:val="18"/>
              </w:rPr>
              <w:t>2 214</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14:paraId="460B160E" w14:textId="389B9B86" w:rsidR="002271C5" w:rsidRPr="0053555E" w:rsidRDefault="002271C5" w:rsidP="002271C5">
            <w:pPr>
              <w:jc w:val="center"/>
              <w:rPr>
                <w:rFonts w:asciiTheme="majorHAnsi" w:hAnsiTheme="majorHAnsi" w:cstheme="majorHAnsi"/>
                <w:sz w:val="22"/>
                <w:szCs w:val="22"/>
              </w:rPr>
            </w:pPr>
            <w:r w:rsidRPr="0053555E">
              <w:rPr>
                <w:rFonts w:cs="Calibri"/>
                <w:sz w:val="22"/>
                <w:szCs w:val="20"/>
              </w:rPr>
              <w:t>9,5</w:t>
            </w:r>
            <w:r w:rsidR="002340AF" w:rsidRPr="0053555E">
              <w:rPr>
                <w:rFonts w:cs="Calibri"/>
                <w:sz w:val="22"/>
                <w:szCs w:val="20"/>
              </w:rPr>
              <w:t xml:space="preserve"> </w:t>
            </w:r>
            <w:r w:rsidRPr="0053555E">
              <w:rPr>
                <w:rFonts w:cs="Calibri"/>
                <w:sz w:val="22"/>
                <w:szCs w:val="20"/>
              </w:rPr>
              <w:t>%</w:t>
            </w:r>
          </w:p>
        </w:tc>
        <w:tc>
          <w:tcPr>
            <w:tcW w:w="517" w:type="dxa"/>
            <w:tcBorders>
              <w:top w:val="nil"/>
              <w:left w:val="nil"/>
              <w:bottom w:val="single" w:sz="4" w:space="0" w:color="auto"/>
              <w:right w:val="single" w:sz="4" w:space="0" w:color="auto"/>
            </w:tcBorders>
            <w:shd w:val="clear" w:color="auto" w:fill="auto"/>
            <w:noWrap/>
            <w:vAlign w:val="bottom"/>
            <w:hideMark/>
          </w:tcPr>
          <w:p w14:paraId="3259F4F9" w14:textId="0B1B55EF" w:rsidR="002271C5" w:rsidRPr="0053555E" w:rsidRDefault="002271C5" w:rsidP="002271C5">
            <w:pPr>
              <w:jc w:val="center"/>
              <w:rPr>
                <w:rFonts w:asciiTheme="majorHAnsi" w:hAnsiTheme="majorHAnsi" w:cstheme="majorHAnsi"/>
                <w:sz w:val="22"/>
                <w:szCs w:val="22"/>
              </w:rPr>
            </w:pPr>
            <w:r w:rsidRPr="0053555E">
              <w:rPr>
                <w:rFonts w:cs="Calibri"/>
                <w:sz w:val="22"/>
                <w:szCs w:val="18"/>
              </w:rPr>
              <w:t>43</w:t>
            </w:r>
          </w:p>
        </w:tc>
        <w:tc>
          <w:tcPr>
            <w:tcW w:w="517" w:type="dxa"/>
            <w:tcBorders>
              <w:top w:val="nil"/>
              <w:left w:val="nil"/>
              <w:bottom w:val="single" w:sz="4" w:space="0" w:color="auto"/>
              <w:right w:val="single" w:sz="4" w:space="0" w:color="auto"/>
            </w:tcBorders>
            <w:shd w:val="clear" w:color="auto" w:fill="auto"/>
            <w:noWrap/>
            <w:vAlign w:val="bottom"/>
            <w:hideMark/>
          </w:tcPr>
          <w:p w14:paraId="4017BEC9" w14:textId="005ECE76" w:rsidR="002271C5" w:rsidRPr="0053555E" w:rsidRDefault="002271C5" w:rsidP="002271C5">
            <w:pPr>
              <w:jc w:val="center"/>
              <w:rPr>
                <w:rFonts w:asciiTheme="majorHAnsi" w:hAnsiTheme="majorHAnsi" w:cstheme="majorHAnsi"/>
                <w:sz w:val="22"/>
                <w:szCs w:val="22"/>
              </w:rPr>
            </w:pPr>
            <w:r w:rsidRPr="0053555E">
              <w:rPr>
                <w:rFonts w:cs="Calibri"/>
                <w:sz w:val="22"/>
                <w:szCs w:val="18"/>
              </w:rPr>
              <w:t>5</w:t>
            </w:r>
          </w:p>
        </w:tc>
        <w:tc>
          <w:tcPr>
            <w:tcW w:w="517" w:type="dxa"/>
            <w:tcBorders>
              <w:top w:val="nil"/>
              <w:left w:val="nil"/>
              <w:bottom w:val="single" w:sz="4" w:space="0" w:color="auto"/>
              <w:right w:val="single" w:sz="4" w:space="0" w:color="auto"/>
            </w:tcBorders>
            <w:shd w:val="clear" w:color="auto" w:fill="auto"/>
            <w:noWrap/>
            <w:vAlign w:val="bottom"/>
            <w:hideMark/>
          </w:tcPr>
          <w:p w14:paraId="69FF060D" w14:textId="6F49FB44" w:rsidR="002271C5" w:rsidRPr="0053555E" w:rsidRDefault="002271C5" w:rsidP="002271C5">
            <w:pPr>
              <w:jc w:val="center"/>
              <w:rPr>
                <w:rFonts w:asciiTheme="majorHAnsi" w:hAnsiTheme="majorHAnsi" w:cstheme="majorHAnsi"/>
                <w:sz w:val="22"/>
                <w:szCs w:val="22"/>
              </w:rPr>
            </w:pPr>
            <w:r w:rsidRPr="0053555E">
              <w:rPr>
                <w:rFonts w:cs="Calibri"/>
                <w:sz w:val="22"/>
                <w:szCs w:val="18"/>
              </w:rPr>
              <w:t>4</w:t>
            </w:r>
          </w:p>
        </w:tc>
        <w:tc>
          <w:tcPr>
            <w:tcW w:w="517" w:type="dxa"/>
            <w:tcBorders>
              <w:top w:val="nil"/>
              <w:left w:val="nil"/>
              <w:bottom w:val="single" w:sz="4" w:space="0" w:color="auto"/>
              <w:right w:val="single" w:sz="4" w:space="0" w:color="auto"/>
            </w:tcBorders>
            <w:shd w:val="clear" w:color="auto" w:fill="auto"/>
            <w:noWrap/>
            <w:vAlign w:val="bottom"/>
            <w:hideMark/>
          </w:tcPr>
          <w:p w14:paraId="7798032D" w14:textId="241087D9" w:rsidR="002271C5" w:rsidRPr="0053555E" w:rsidRDefault="002271C5" w:rsidP="002271C5">
            <w:pPr>
              <w:jc w:val="center"/>
              <w:rPr>
                <w:rFonts w:asciiTheme="majorHAnsi" w:hAnsiTheme="majorHAnsi" w:cstheme="majorHAnsi"/>
                <w:sz w:val="22"/>
                <w:szCs w:val="22"/>
              </w:rPr>
            </w:pPr>
            <w:r w:rsidRPr="0053555E">
              <w:rPr>
                <w:rFonts w:cs="Calibri"/>
                <w:sz w:val="22"/>
                <w:szCs w:val="18"/>
              </w:rPr>
              <w:t>0</w:t>
            </w:r>
          </w:p>
        </w:tc>
        <w:tc>
          <w:tcPr>
            <w:tcW w:w="787" w:type="dxa"/>
            <w:tcBorders>
              <w:top w:val="nil"/>
              <w:left w:val="nil"/>
              <w:bottom w:val="single" w:sz="4" w:space="0" w:color="auto"/>
              <w:right w:val="single" w:sz="4" w:space="0" w:color="auto"/>
            </w:tcBorders>
            <w:shd w:val="clear" w:color="auto" w:fill="auto"/>
            <w:noWrap/>
            <w:vAlign w:val="bottom"/>
            <w:hideMark/>
          </w:tcPr>
          <w:p w14:paraId="1DBEC91D" w14:textId="6ECE5B9E" w:rsidR="002271C5" w:rsidRPr="0053555E" w:rsidRDefault="002271C5" w:rsidP="002271C5">
            <w:pPr>
              <w:jc w:val="center"/>
              <w:rPr>
                <w:rFonts w:asciiTheme="majorHAnsi" w:hAnsiTheme="majorHAnsi" w:cstheme="majorHAnsi"/>
                <w:sz w:val="22"/>
                <w:szCs w:val="22"/>
              </w:rPr>
            </w:pPr>
            <w:r w:rsidRPr="0053555E">
              <w:rPr>
                <w:rFonts w:cs="Calibri"/>
                <w:sz w:val="22"/>
                <w:szCs w:val="18"/>
              </w:rPr>
              <w:t>52</w:t>
            </w:r>
          </w:p>
        </w:tc>
        <w:tc>
          <w:tcPr>
            <w:tcW w:w="772" w:type="dxa"/>
            <w:tcBorders>
              <w:top w:val="nil"/>
              <w:left w:val="nil"/>
              <w:bottom w:val="single" w:sz="4" w:space="0" w:color="auto"/>
              <w:right w:val="single" w:sz="4" w:space="0" w:color="auto"/>
            </w:tcBorders>
            <w:shd w:val="clear" w:color="auto" w:fill="auto"/>
            <w:noWrap/>
            <w:vAlign w:val="bottom"/>
            <w:hideMark/>
          </w:tcPr>
          <w:p w14:paraId="3B362970" w14:textId="269E5A2D" w:rsidR="002271C5" w:rsidRPr="0053555E" w:rsidRDefault="002271C5" w:rsidP="002271C5">
            <w:pPr>
              <w:jc w:val="center"/>
              <w:rPr>
                <w:rFonts w:asciiTheme="majorHAnsi" w:hAnsiTheme="majorHAnsi" w:cstheme="majorHAnsi"/>
                <w:sz w:val="22"/>
                <w:szCs w:val="22"/>
              </w:rPr>
            </w:pPr>
            <w:r w:rsidRPr="0053555E">
              <w:rPr>
                <w:rFonts w:cs="Calibri"/>
                <w:sz w:val="22"/>
                <w:szCs w:val="18"/>
              </w:rPr>
              <w:t>102</w:t>
            </w:r>
          </w:p>
        </w:tc>
        <w:tc>
          <w:tcPr>
            <w:tcW w:w="1134" w:type="dxa"/>
            <w:tcBorders>
              <w:top w:val="nil"/>
              <w:left w:val="nil"/>
              <w:bottom w:val="single" w:sz="4" w:space="0" w:color="auto"/>
              <w:right w:val="single" w:sz="8" w:space="0" w:color="auto"/>
            </w:tcBorders>
            <w:shd w:val="clear" w:color="auto" w:fill="EEECE1" w:themeFill="background2"/>
            <w:noWrap/>
            <w:vAlign w:val="bottom"/>
            <w:hideMark/>
          </w:tcPr>
          <w:p w14:paraId="27E0879A" w14:textId="36B79115" w:rsidR="002271C5" w:rsidRPr="0053555E" w:rsidRDefault="002271C5" w:rsidP="002271C5">
            <w:pPr>
              <w:jc w:val="center"/>
              <w:rPr>
                <w:rFonts w:asciiTheme="majorHAnsi" w:hAnsiTheme="majorHAnsi" w:cstheme="majorHAnsi"/>
                <w:b/>
                <w:sz w:val="22"/>
                <w:szCs w:val="22"/>
              </w:rPr>
            </w:pPr>
            <w:r w:rsidRPr="0053555E">
              <w:rPr>
                <w:rFonts w:cs="Calibri"/>
                <w:b/>
                <w:bCs/>
                <w:sz w:val="22"/>
                <w:szCs w:val="20"/>
              </w:rPr>
              <w:t>1,33</w:t>
            </w:r>
          </w:p>
        </w:tc>
      </w:tr>
      <w:tr w:rsidR="002271C5" w:rsidRPr="0053555E" w14:paraId="6E94C398" w14:textId="77777777" w:rsidTr="001605FB">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14:paraId="182D0AC3" w14:textId="77777777" w:rsidR="002271C5" w:rsidRPr="0053555E" w:rsidRDefault="002271C5" w:rsidP="002271C5">
            <w:pPr>
              <w:tabs>
                <w:tab w:val="left" w:pos="9356"/>
              </w:tabs>
              <w:jc w:val="both"/>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SjF</w:t>
            </w:r>
          </w:p>
        </w:tc>
        <w:tc>
          <w:tcPr>
            <w:tcW w:w="567" w:type="dxa"/>
            <w:tcBorders>
              <w:top w:val="nil"/>
              <w:left w:val="nil"/>
              <w:bottom w:val="single" w:sz="4" w:space="0" w:color="auto"/>
              <w:right w:val="single" w:sz="4" w:space="0" w:color="auto"/>
            </w:tcBorders>
            <w:shd w:val="clear" w:color="auto" w:fill="auto"/>
            <w:noWrap/>
            <w:vAlign w:val="bottom"/>
            <w:hideMark/>
          </w:tcPr>
          <w:p w14:paraId="1302A998" w14:textId="7827A998" w:rsidR="002271C5" w:rsidRPr="0053555E" w:rsidRDefault="002271C5" w:rsidP="002271C5">
            <w:pPr>
              <w:jc w:val="center"/>
              <w:rPr>
                <w:rFonts w:asciiTheme="majorHAnsi" w:hAnsiTheme="majorHAnsi" w:cstheme="majorHAnsi"/>
                <w:sz w:val="22"/>
                <w:szCs w:val="22"/>
              </w:rPr>
            </w:pPr>
            <w:r w:rsidRPr="0053555E">
              <w:rPr>
                <w:rFonts w:cs="Calibri"/>
                <w:sz w:val="22"/>
                <w:szCs w:val="18"/>
              </w:rPr>
              <w:t>40</w:t>
            </w:r>
          </w:p>
        </w:tc>
        <w:tc>
          <w:tcPr>
            <w:tcW w:w="567" w:type="dxa"/>
            <w:tcBorders>
              <w:top w:val="nil"/>
              <w:left w:val="nil"/>
              <w:bottom w:val="single" w:sz="4" w:space="0" w:color="auto"/>
              <w:right w:val="single" w:sz="4" w:space="0" w:color="auto"/>
            </w:tcBorders>
            <w:shd w:val="clear" w:color="auto" w:fill="auto"/>
            <w:noWrap/>
            <w:vAlign w:val="bottom"/>
            <w:hideMark/>
          </w:tcPr>
          <w:p w14:paraId="6830DC05" w14:textId="7BA90753" w:rsidR="002271C5" w:rsidRPr="0053555E" w:rsidRDefault="002271C5" w:rsidP="002271C5">
            <w:pPr>
              <w:jc w:val="center"/>
              <w:rPr>
                <w:rFonts w:asciiTheme="majorHAnsi" w:hAnsiTheme="majorHAnsi" w:cstheme="majorHAnsi"/>
                <w:sz w:val="22"/>
                <w:szCs w:val="22"/>
              </w:rPr>
            </w:pPr>
            <w:r w:rsidRPr="0053555E">
              <w:rPr>
                <w:rFonts w:cs="Calibri"/>
                <w:sz w:val="22"/>
                <w:szCs w:val="18"/>
              </w:rPr>
              <w:t>32</w:t>
            </w:r>
          </w:p>
        </w:tc>
        <w:tc>
          <w:tcPr>
            <w:tcW w:w="567" w:type="dxa"/>
            <w:tcBorders>
              <w:top w:val="nil"/>
              <w:left w:val="nil"/>
              <w:bottom w:val="single" w:sz="4" w:space="0" w:color="auto"/>
              <w:right w:val="single" w:sz="4" w:space="0" w:color="auto"/>
            </w:tcBorders>
            <w:shd w:val="clear" w:color="auto" w:fill="auto"/>
            <w:noWrap/>
            <w:vAlign w:val="bottom"/>
            <w:hideMark/>
          </w:tcPr>
          <w:p w14:paraId="3575A7AD" w14:textId="537DD387" w:rsidR="002271C5" w:rsidRPr="0053555E" w:rsidRDefault="002271C5" w:rsidP="002271C5">
            <w:pPr>
              <w:jc w:val="center"/>
              <w:rPr>
                <w:rFonts w:asciiTheme="majorHAnsi" w:hAnsiTheme="majorHAnsi" w:cstheme="majorHAnsi"/>
                <w:sz w:val="22"/>
                <w:szCs w:val="22"/>
              </w:rPr>
            </w:pPr>
            <w:r w:rsidRPr="0053555E">
              <w:rPr>
                <w:rFonts w:cs="Calibri"/>
                <w:sz w:val="22"/>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7DAE54FC" w14:textId="40BF27A0" w:rsidR="002271C5" w:rsidRPr="0053555E" w:rsidRDefault="002271C5" w:rsidP="002271C5">
            <w:pPr>
              <w:jc w:val="center"/>
              <w:rPr>
                <w:rFonts w:asciiTheme="majorHAnsi" w:hAnsiTheme="majorHAnsi" w:cstheme="majorHAnsi"/>
                <w:sz w:val="22"/>
                <w:szCs w:val="22"/>
              </w:rPr>
            </w:pPr>
            <w:r w:rsidRPr="0053555E">
              <w:rPr>
                <w:rFonts w:cs="Calibri"/>
                <w:sz w:val="22"/>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14:paraId="23FF5025" w14:textId="7C638B4E" w:rsidR="002271C5" w:rsidRPr="0053555E" w:rsidRDefault="002271C5" w:rsidP="002271C5">
            <w:pPr>
              <w:jc w:val="center"/>
              <w:rPr>
                <w:rFonts w:asciiTheme="majorHAnsi" w:hAnsiTheme="majorHAnsi" w:cstheme="majorHAnsi"/>
                <w:b/>
                <w:sz w:val="22"/>
                <w:szCs w:val="22"/>
              </w:rPr>
            </w:pPr>
            <w:r w:rsidRPr="0053555E">
              <w:rPr>
                <w:rFonts w:cs="Calibri"/>
                <w:sz w:val="22"/>
                <w:szCs w:val="18"/>
              </w:rPr>
              <w:t>82</w:t>
            </w:r>
          </w:p>
        </w:tc>
        <w:tc>
          <w:tcPr>
            <w:tcW w:w="850" w:type="dxa"/>
            <w:tcBorders>
              <w:top w:val="nil"/>
              <w:left w:val="nil"/>
              <w:bottom w:val="single" w:sz="4" w:space="0" w:color="auto"/>
              <w:right w:val="single" w:sz="4" w:space="0" w:color="auto"/>
            </w:tcBorders>
            <w:shd w:val="clear" w:color="auto" w:fill="auto"/>
            <w:noWrap/>
            <w:vAlign w:val="bottom"/>
            <w:hideMark/>
          </w:tcPr>
          <w:p w14:paraId="14B25404" w14:textId="7B28B3DE" w:rsidR="002271C5" w:rsidRPr="0053555E" w:rsidRDefault="002271C5" w:rsidP="002271C5">
            <w:pPr>
              <w:jc w:val="center"/>
              <w:rPr>
                <w:rFonts w:asciiTheme="majorHAnsi" w:hAnsiTheme="majorHAnsi" w:cstheme="majorHAnsi"/>
                <w:sz w:val="22"/>
                <w:szCs w:val="22"/>
              </w:rPr>
            </w:pPr>
            <w:r w:rsidRPr="0053555E">
              <w:rPr>
                <w:rFonts w:cs="Calibri"/>
                <w:sz w:val="22"/>
                <w:szCs w:val="18"/>
              </w:rPr>
              <w:t>776</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14:paraId="184DD640" w14:textId="702BC00C" w:rsidR="002271C5" w:rsidRPr="0053555E" w:rsidRDefault="002271C5" w:rsidP="002271C5">
            <w:pPr>
              <w:jc w:val="center"/>
              <w:rPr>
                <w:rFonts w:asciiTheme="majorHAnsi" w:hAnsiTheme="majorHAnsi" w:cstheme="majorHAnsi"/>
                <w:sz w:val="22"/>
                <w:szCs w:val="22"/>
              </w:rPr>
            </w:pPr>
            <w:r w:rsidRPr="0053555E">
              <w:rPr>
                <w:rFonts w:cs="Calibri"/>
                <w:sz w:val="22"/>
                <w:szCs w:val="20"/>
              </w:rPr>
              <w:t>10,6</w:t>
            </w:r>
            <w:r w:rsidR="002340AF" w:rsidRPr="0053555E">
              <w:rPr>
                <w:rFonts w:cs="Calibri"/>
                <w:sz w:val="22"/>
                <w:szCs w:val="20"/>
              </w:rPr>
              <w:t xml:space="preserve"> </w:t>
            </w:r>
            <w:r w:rsidRPr="0053555E">
              <w:rPr>
                <w:rFonts w:cs="Calibri"/>
                <w:sz w:val="22"/>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7D2122F2" w14:textId="7417C1F8" w:rsidR="002271C5" w:rsidRPr="0053555E" w:rsidRDefault="002271C5" w:rsidP="002271C5">
            <w:pPr>
              <w:jc w:val="center"/>
              <w:rPr>
                <w:rFonts w:asciiTheme="majorHAnsi" w:hAnsiTheme="majorHAnsi" w:cstheme="majorHAnsi"/>
                <w:sz w:val="22"/>
                <w:szCs w:val="22"/>
              </w:rPr>
            </w:pPr>
            <w:r w:rsidRPr="0053555E">
              <w:rPr>
                <w:rFonts w:cs="Calibri"/>
                <w:sz w:val="22"/>
                <w:szCs w:val="18"/>
              </w:rPr>
              <w:t>40</w:t>
            </w:r>
          </w:p>
        </w:tc>
        <w:tc>
          <w:tcPr>
            <w:tcW w:w="567" w:type="dxa"/>
            <w:tcBorders>
              <w:top w:val="nil"/>
              <w:left w:val="nil"/>
              <w:bottom w:val="single" w:sz="4" w:space="0" w:color="auto"/>
              <w:right w:val="single" w:sz="4" w:space="0" w:color="auto"/>
            </w:tcBorders>
            <w:shd w:val="clear" w:color="auto" w:fill="auto"/>
            <w:noWrap/>
            <w:vAlign w:val="bottom"/>
            <w:hideMark/>
          </w:tcPr>
          <w:p w14:paraId="7B46ABFA" w14:textId="1E325A77" w:rsidR="002271C5" w:rsidRPr="0053555E" w:rsidRDefault="002271C5" w:rsidP="002271C5">
            <w:pPr>
              <w:jc w:val="center"/>
              <w:rPr>
                <w:rFonts w:asciiTheme="majorHAnsi" w:hAnsiTheme="majorHAnsi" w:cstheme="majorHAnsi"/>
                <w:sz w:val="22"/>
                <w:szCs w:val="22"/>
              </w:rPr>
            </w:pPr>
            <w:r w:rsidRPr="0053555E">
              <w:rPr>
                <w:rFonts w:cs="Calibri"/>
                <w:sz w:val="22"/>
                <w:szCs w:val="18"/>
              </w:rPr>
              <w:t>45</w:t>
            </w:r>
          </w:p>
        </w:tc>
        <w:tc>
          <w:tcPr>
            <w:tcW w:w="567" w:type="dxa"/>
            <w:tcBorders>
              <w:top w:val="nil"/>
              <w:left w:val="nil"/>
              <w:bottom w:val="single" w:sz="4" w:space="0" w:color="auto"/>
              <w:right w:val="single" w:sz="4" w:space="0" w:color="auto"/>
            </w:tcBorders>
            <w:shd w:val="clear" w:color="auto" w:fill="auto"/>
            <w:noWrap/>
            <w:vAlign w:val="bottom"/>
            <w:hideMark/>
          </w:tcPr>
          <w:p w14:paraId="61407EA5" w14:textId="064D1936" w:rsidR="002271C5" w:rsidRPr="0053555E" w:rsidRDefault="002271C5" w:rsidP="002271C5">
            <w:pPr>
              <w:jc w:val="center"/>
              <w:rPr>
                <w:rFonts w:asciiTheme="majorHAnsi" w:hAnsiTheme="majorHAnsi" w:cstheme="majorHAnsi"/>
                <w:sz w:val="22"/>
                <w:szCs w:val="22"/>
              </w:rPr>
            </w:pPr>
            <w:r w:rsidRPr="0053555E">
              <w:rPr>
                <w:rFonts w:cs="Calibri"/>
                <w:sz w:val="22"/>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14:paraId="02475E48" w14:textId="0FA08928" w:rsidR="002271C5" w:rsidRPr="0053555E" w:rsidRDefault="002271C5" w:rsidP="002271C5">
            <w:pPr>
              <w:jc w:val="center"/>
              <w:rPr>
                <w:rFonts w:asciiTheme="majorHAnsi" w:hAnsiTheme="majorHAnsi" w:cstheme="majorHAnsi"/>
                <w:sz w:val="22"/>
                <w:szCs w:val="22"/>
              </w:rPr>
            </w:pPr>
            <w:r w:rsidRPr="0053555E">
              <w:rPr>
                <w:rFonts w:cs="Calibri"/>
                <w:sz w:val="22"/>
                <w:szCs w:val="18"/>
              </w:rPr>
              <w:t>9</w:t>
            </w:r>
          </w:p>
        </w:tc>
        <w:tc>
          <w:tcPr>
            <w:tcW w:w="709" w:type="dxa"/>
            <w:tcBorders>
              <w:top w:val="nil"/>
              <w:left w:val="nil"/>
              <w:bottom w:val="single" w:sz="4" w:space="0" w:color="auto"/>
              <w:right w:val="single" w:sz="4" w:space="0" w:color="auto"/>
            </w:tcBorders>
            <w:shd w:val="clear" w:color="auto" w:fill="auto"/>
            <w:noWrap/>
            <w:vAlign w:val="bottom"/>
            <w:hideMark/>
          </w:tcPr>
          <w:p w14:paraId="06F89793" w14:textId="3AA4E02E" w:rsidR="002271C5" w:rsidRPr="0053555E" w:rsidRDefault="002271C5" w:rsidP="002271C5">
            <w:pPr>
              <w:jc w:val="center"/>
              <w:rPr>
                <w:rFonts w:asciiTheme="majorHAnsi" w:hAnsiTheme="majorHAnsi" w:cstheme="majorHAnsi"/>
                <w:b/>
                <w:sz w:val="22"/>
                <w:szCs w:val="22"/>
              </w:rPr>
            </w:pPr>
            <w:r w:rsidRPr="0053555E">
              <w:rPr>
                <w:rFonts w:cs="Calibri"/>
                <w:sz w:val="22"/>
                <w:szCs w:val="18"/>
              </w:rPr>
              <w:t>97</w:t>
            </w:r>
          </w:p>
        </w:tc>
        <w:tc>
          <w:tcPr>
            <w:tcW w:w="850" w:type="dxa"/>
            <w:tcBorders>
              <w:top w:val="nil"/>
              <w:left w:val="nil"/>
              <w:bottom w:val="single" w:sz="4" w:space="0" w:color="auto"/>
              <w:right w:val="single" w:sz="4" w:space="0" w:color="auto"/>
            </w:tcBorders>
            <w:shd w:val="clear" w:color="auto" w:fill="auto"/>
            <w:noWrap/>
            <w:vAlign w:val="bottom"/>
            <w:hideMark/>
          </w:tcPr>
          <w:p w14:paraId="09DB845A" w14:textId="4492362E" w:rsidR="002271C5" w:rsidRPr="0053555E" w:rsidRDefault="002271C5" w:rsidP="002271C5">
            <w:pPr>
              <w:jc w:val="center"/>
              <w:rPr>
                <w:rFonts w:asciiTheme="majorHAnsi" w:hAnsiTheme="majorHAnsi" w:cstheme="majorHAnsi"/>
                <w:sz w:val="22"/>
                <w:szCs w:val="22"/>
              </w:rPr>
            </w:pPr>
            <w:r w:rsidRPr="0053555E">
              <w:rPr>
                <w:rFonts w:cs="Calibri"/>
                <w:sz w:val="22"/>
                <w:szCs w:val="18"/>
              </w:rPr>
              <w:t>785</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14:paraId="45711FAA" w14:textId="44AA2D1C" w:rsidR="002271C5" w:rsidRPr="0053555E" w:rsidRDefault="002271C5" w:rsidP="002271C5">
            <w:pPr>
              <w:jc w:val="center"/>
              <w:rPr>
                <w:rFonts w:asciiTheme="majorHAnsi" w:hAnsiTheme="majorHAnsi" w:cstheme="majorHAnsi"/>
                <w:sz w:val="22"/>
                <w:szCs w:val="22"/>
              </w:rPr>
            </w:pPr>
            <w:r w:rsidRPr="0053555E">
              <w:rPr>
                <w:rFonts w:cs="Calibri"/>
                <w:sz w:val="22"/>
                <w:szCs w:val="20"/>
              </w:rPr>
              <w:t>12,4</w:t>
            </w:r>
            <w:r w:rsidR="002340AF" w:rsidRPr="0053555E">
              <w:rPr>
                <w:rFonts w:cs="Calibri"/>
                <w:sz w:val="22"/>
                <w:szCs w:val="20"/>
              </w:rPr>
              <w:t xml:space="preserve"> </w:t>
            </w:r>
            <w:r w:rsidRPr="0053555E">
              <w:rPr>
                <w:rFonts w:cs="Calibri"/>
                <w:sz w:val="22"/>
                <w:szCs w:val="20"/>
              </w:rPr>
              <w:t>%</w:t>
            </w:r>
          </w:p>
        </w:tc>
        <w:tc>
          <w:tcPr>
            <w:tcW w:w="517" w:type="dxa"/>
            <w:tcBorders>
              <w:top w:val="nil"/>
              <w:left w:val="nil"/>
              <w:bottom w:val="single" w:sz="4" w:space="0" w:color="auto"/>
              <w:right w:val="single" w:sz="4" w:space="0" w:color="auto"/>
            </w:tcBorders>
            <w:shd w:val="clear" w:color="auto" w:fill="auto"/>
            <w:noWrap/>
            <w:vAlign w:val="bottom"/>
            <w:hideMark/>
          </w:tcPr>
          <w:p w14:paraId="1FD8A96F" w14:textId="3FE64693" w:rsidR="002271C5" w:rsidRPr="0053555E" w:rsidRDefault="002271C5" w:rsidP="002271C5">
            <w:pPr>
              <w:jc w:val="center"/>
              <w:rPr>
                <w:rFonts w:asciiTheme="majorHAnsi" w:hAnsiTheme="majorHAnsi" w:cstheme="majorHAnsi"/>
                <w:sz w:val="22"/>
                <w:szCs w:val="22"/>
              </w:rPr>
            </w:pPr>
            <w:r w:rsidRPr="0053555E">
              <w:rPr>
                <w:rFonts w:cs="Calibri"/>
                <w:sz w:val="22"/>
                <w:szCs w:val="18"/>
              </w:rPr>
              <w:t>0</w:t>
            </w:r>
          </w:p>
        </w:tc>
        <w:tc>
          <w:tcPr>
            <w:tcW w:w="517" w:type="dxa"/>
            <w:tcBorders>
              <w:top w:val="nil"/>
              <w:left w:val="nil"/>
              <w:bottom w:val="single" w:sz="4" w:space="0" w:color="auto"/>
              <w:right w:val="single" w:sz="4" w:space="0" w:color="auto"/>
            </w:tcBorders>
            <w:shd w:val="clear" w:color="auto" w:fill="auto"/>
            <w:noWrap/>
            <w:vAlign w:val="bottom"/>
            <w:hideMark/>
          </w:tcPr>
          <w:p w14:paraId="55E8D0C1" w14:textId="0CD6615C" w:rsidR="002271C5" w:rsidRPr="0053555E" w:rsidRDefault="002271C5" w:rsidP="002271C5">
            <w:pPr>
              <w:jc w:val="center"/>
              <w:rPr>
                <w:rFonts w:asciiTheme="majorHAnsi" w:hAnsiTheme="majorHAnsi" w:cstheme="majorHAnsi"/>
                <w:sz w:val="22"/>
                <w:szCs w:val="22"/>
              </w:rPr>
            </w:pPr>
            <w:r w:rsidRPr="0053555E">
              <w:rPr>
                <w:rFonts w:cs="Calibri"/>
                <w:sz w:val="22"/>
                <w:szCs w:val="18"/>
              </w:rPr>
              <w:t>13</w:t>
            </w:r>
          </w:p>
        </w:tc>
        <w:tc>
          <w:tcPr>
            <w:tcW w:w="517" w:type="dxa"/>
            <w:tcBorders>
              <w:top w:val="nil"/>
              <w:left w:val="nil"/>
              <w:bottom w:val="single" w:sz="4" w:space="0" w:color="auto"/>
              <w:right w:val="single" w:sz="4" w:space="0" w:color="auto"/>
            </w:tcBorders>
            <w:shd w:val="clear" w:color="auto" w:fill="auto"/>
            <w:noWrap/>
            <w:vAlign w:val="bottom"/>
            <w:hideMark/>
          </w:tcPr>
          <w:p w14:paraId="5F9D5640" w14:textId="1DFCCBE3" w:rsidR="002271C5" w:rsidRPr="0053555E" w:rsidRDefault="002271C5" w:rsidP="002271C5">
            <w:pPr>
              <w:jc w:val="center"/>
              <w:rPr>
                <w:rFonts w:asciiTheme="majorHAnsi" w:hAnsiTheme="majorHAnsi" w:cstheme="majorHAnsi"/>
                <w:sz w:val="22"/>
                <w:szCs w:val="22"/>
              </w:rPr>
            </w:pPr>
            <w:r w:rsidRPr="0053555E">
              <w:rPr>
                <w:rFonts w:cs="Calibri"/>
                <w:sz w:val="22"/>
                <w:szCs w:val="18"/>
              </w:rPr>
              <w:t>1</w:t>
            </w:r>
          </w:p>
        </w:tc>
        <w:tc>
          <w:tcPr>
            <w:tcW w:w="517" w:type="dxa"/>
            <w:tcBorders>
              <w:top w:val="nil"/>
              <w:left w:val="nil"/>
              <w:bottom w:val="single" w:sz="4" w:space="0" w:color="auto"/>
              <w:right w:val="single" w:sz="4" w:space="0" w:color="auto"/>
            </w:tcBorders>
            <w:shd w:val="clear" w:color="auto" w:fill="auto"/>
            <w:noWrap/>
            <w:vAlign w:val="bottom"/>
            <w:hideMark/>
          </w:tcPr>
          <w:p w14:paraId="3202C2CC" w14:textId="0E55CA27" w:rsidR="002271C5" w:rsidRPr="0053555E" w:rsidRDefault="002271C5" w:rsidP="002271C5">
            <w:pPr>
              <w:jc w:val="center"/>
              <w:rPr>
                <w:rFonts w:asciiTheme="majorHAnsi" w:hAnsiTheme="majorHAnsi" w:cstheme="majorHAnsi"/>
                <w:sz w:val="22"/>
                <w:szCs w:val="22"/>
              </w:rPr>
            </w:pPr>
            <w:r w:rsidRPr="0053555E">
              <w:rPr>
                <w:rFonts w:cs="Calibri"/>
                <w:sz w:val="22"/>
                <w:szCs w:val="18"/>
              </w:rPr>
              <w:t>1</w:t>
            </w:r>
          </w:p>
        </w:tc>
        <w:tc>
          <w:tcPr>
            <w:tcW w:w="787" w:type="dxa"/>
            <w:tcBorders>
              <w:top w:val="nil"/>
              <w:left w:val="nil"/>
              <w:bottom w:val="single" w:sz="4" w:space="0" w:color="auto"/>
              <w:right w:val="single" w:sz="4" w:space="0" w:color="auto"/>
            </w:tcBorders>
            <w:shd w:val="clear" w:color="auto" w:fill="auto"/>
            <w:noWrap/>
            <w:vAlign w:val="bottom"/>
            <w:hideMark/>
          </w:tcPr>
          <w:p w14:paraId="2EF7D504" w14:textId="7CF50C36" w:rsidR="002271C5" w:rsidRPr="0053555E" w:rsidRDefault="002271C5" w:rsidP="002271C5">
            <w:pPr>
              <w:jc w:val="center"/>
              <w:rPr>
                <w:rFonts w:asciiTheme="majorHAnsi" w:hAnsiTheme="majorHAnsi" w:cstheme="majorHAnsi"/>
                <w:sz w:val="22"/>
                <w:szCs w:val="22"/>
              </w:rPr>
            </w:pPr>
            <w:r w:rsidRPr="0053555E">
              <w:rPr>
                <w:rFonts w:cs="Calibri"/>
                <w:sz w:val="22"/>
                <w:szCs w:val="18"/>
              </w:rPr>
              <w:t>15</w:t>
            </w:r>
          </w:p>
        </w:tc>
        <w:tc>
          <w:tcPr>
            <w:tcW w:w="772" w:type="dxa"/>
            <w:tcBorders>
              <w:top w:val="nil"/>
              <w:left w:val="nil"/>
              <w:bottom w:val="single" w:sz="4" w:space="0" w:color="auto"/>
              <w:right w:val="single" w:sz="4" w:space="0" w:color="auto"/>
            </w:tcBorders>
            <w:shd w:val="clear" w:color="auto" w:fill="auto"/>
            <w:noWrap/>
            <w:vAlign w:val="bottom"/>
            <w:hideMark/>
          </w:tcPr>
          <w:p w14:paraId="74B3CA2D" w14:textId="0E0A9AEF" w:rsidR="002271C5" w:rsidRPr="0053555E" w:rsidRDefault="002271C5" w:rsidP="002271C5">
            <w:pPr>
              <w:jc w:val="center"/>
              <w:rPr>
                <w:rFonts w:asciiTheme="majorHAnsi" w:hAnsiTheme="majorHAnsi" w:cstheme="majorHAnsi"/>
                <w:sz w:val="22"/>
                <w:szCs w:val="22"/>
              </w:rPr>
            </w:pPr>
            <w:r w:rsidRPr="0053555E">
              <w:rPr>
                <w:rFonts w:cs="Calibri"/>
                <w:sz w:val="22"/>
                <w:szCs w:val="18"/>
              </w:rPr>
              <w:t>9</w:t>
            </w:r>
          </w:p>
        </w:tc>
        <w:tc>
          <w:tcPr>
            <w:tcW w:w="1134" w:type="dxa"/>
            <w:tcBorders>
              <w:top w:val="nil"/>
              <w:left w:val="nil"/>
              <w:bottom w:val="single" w:sz="4" w:space="0" w:color="auto"/>
              <w:right w:val="single" w:sz="8" w:space="0" w:color="auto"/>
            </w:tcBorders>
            <w:shd w:val="clear" w:color="auto" w:fill="EEECE1" w:themeFill="background2"/>
            <w:noWrap/>
            <w:vAlign w:val="bottom"/>
            <w:hideMark/>
          </w:tcPr>
          <w:p w14:paraId="30600461" w14:textId="703E0F2B" w:rsidR="002271C5" w:rsidRPr="0053555E" w:rsidRDefault="002271C5" w:rsidP="002271C5">
            <w:pPr>
              <w:jc w:val="center"/>
              <w:rPr>
                <w:rFonts w:asciiTheme="majorHAnsi" w:hAnsiTheme="majorHAnsi" w:cstheme="majorHAnsi"/>
                <w:b/>
                <w:sz w:val="22"/>
                <w:szCs w:val="22"/>
              </w:rPr>
            </w:pPr>
            <w:r w:rsidRPr="0053555E">
              <w:rPr>
                <w:rFonts w:cs="Calibri"/>
                <w:b/>
                <w:bCs/>
                <w:sz w:val="22"/>
                <w:szCs w:val="20"/>
              </w:rPr>
              <w:t>1,18</w:t>
            </w:r>
          </w:p>
        </w:tc>
      </w:tr>
      <w:tr w:rsidR="002271C5" w:rsidRPr="0053555E" w14:paraId="02E44FE1" w14:textId="77777777" w:rsidTr="001605FB">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14:paraId="5C208D90" w14:textId="77777777" w:rsidR="002271C5" w:rsidRPr="0053555E" w:rsidRDefault="002271C5" w:rsidP="002271C5">
            <w:pPr>
              <w:tabs>
                <w:tab w:val="left" w:pos="9356"/>
              </w:tabs>
              <w:jc w:val="both"/>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FEI</w:t>
            </w:r>
          </w:p>
        </w:tc>
        <w:tc>
          <w:tcPr>
            <w:tcW w:w="567" w:type="dxa"/>
            <w:tcBorders>
              <w:top w:val="nil"/>
              <w:left w:val="nil"/>
              <w:bottom w:val="single" w:sz="4" w:space="0" w:color="auto"/>
              <w:right w:val="single" w:sz="4" w:space="0" w:color="auto"/>
            </w:tcBorders>
            <w:shd w:val="clear" w:color="auto" w:fill="auto"/>
            <w:noWrap/>
            <w:vAlign w:val="bottom"/>
            <w:hideMark/>
          </w:tcPr>
          <w:p w14:paraId="67E3A427" w14:textId="72B613AD" w:rsidR="002271C5" w:rsidRPr="0053555E" w:rsidRDefault="002271C5" w:rsidP="002271C5">
            <w:pPr>
              <w:jc w:val="center"/>
              <w:rPr>
                <w:rFonts w:asciiTheme="majorHAnsi" w:hAnsiTheme="majorHAnsi" w:cstheme="majorHAnsi"/>
                <w:sz w:val="22"/>
                <w:szCs w:val="22"/>
              </w:rPr>
            </w:pPr>
            <w:r w:rsidRPr="0053555E">
              <w:rPr>
                <w:rFonts w:cs="Calibri"/>
                <w:sz w:val="22"/>
                <w:szCs w:val="18"/>
              </w:rPr>
              <w:t>171</w:t>
            </w:r>
          </w:p>
        </w:tc>
        <w:tc>
          <w:tcPr>
            <w:tcW w:w="567" w:type="dxa"/>
            <w:tcBorders>
              <w:top w:val="nil"/>
              <w:left w:val="nil"/>
              <w:bottom w:val="single" w:sz="4" w:space="0" w:color="auto"/>
              <w:right w:val="single" w:sz="4" w:space="0" w:color="auto"/>
            </w:tcBorders>
            <w:shd w:val="clear" w:color="auto" w:fill="auto"/>
            <w:noWrap/>
            <w:vAlign w:val="bottom"/>
            <w:hideMark/>
          </w:tcPr>
          <w:p w14:paraId="231D5A04" w14:textId="66D605A4" w:rsidR="002271C5" w:rsidRPr="0053555E" w:rsidRDefault="002271C5" w:rsidP="002271C5">
            <w:pPr>
              <w:jc w:val="center"/>
              <w:rPr>
                <w:rFonts w:asciiTheme="majorHAnsi" w:hAnsiTheme="majorHAnsi" w:cstheme="majorHAnsi"/>
                <w:sz w:val="22"/>
                <w:szCs w:val="22"/>
              </w:rPr>
            </w:pPr>
            <w:r w:rsidRPr="0053555E">
              <w:rPr>
                <w:rFonts w:cs="Calibri"/>
                <w:sz w:val="22"/>
                <w:szCs w:val="18"/>
              </w:rPr>
              <w:t>29</w:t>
            </w:r>
          </w:p>
        </w:tc>
        <w:tc>
          <w:tcPr>
            <w:tcW w:w="567" w:type="dxa"/>
            <w:tcBorders>
              <w:top w:val="nil"/>
              <w:left w:val="nil"/>
              <w:bottom w:val="single" w:sz="4" w:space="0" w:color="auto"/>
              <w:right w:val="single" w:sz="4" w:space="0" w:color="auto"/>
            </w:tcBorders>
            <w:shd w:val="clear" w:color="auto" w:fill="auto"/>
            <w:noWrap/>
            <w:vAlign w:val="bottom"/>
            <w:hideMark/>
          </w:tcPr>
          <w:p w14:paraId="381309DF" w14:textId="039DDE04" w:rsidR="002271C5" w:rsidRPr="0053555E" w:rsidRDefault="002271C5" w:rsidP="002271C5">
            <w:pPr>
              <w:jc w:val="center"/>
              <w:rPr>
                <w:rFonts w:asciiTheme="majorHAnsi" w:hAnsiTheme="majorHAnsi" w:cstheme="majorHAnsi"/>
                <w:sz w:val="22"/>
                <w:szCs w:val="22"/>
              </w:rPr>
            </w:pPr>
            <w:r w:rsidRPr="0053555E">
              <w:rPr>
                <w:rFonts w:cs="Calibri"/>
                <w:sz w:val="22"/>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14:paraId="4D6E6F40" w14:textId="6FE9B1D3" w:rsidR="002271C5" w:rsidRPr="0053555E" w:rsidRDefault="002271C5" w:rsidP="002271C5">
            <w:pPr>
              <w:jc w:val="center"/>
              <w:rPr>
                <w:rFonts w:asciiTheme="majorHAnsi" w:hAnsiTheme="majorHAnsi" w:cstheme="majorHAnsi"/>
                <w:sz w:val="22"/>
                <w:szCs w:val="22"/>
              </w:rPr>
            </w:pPr>
            <w:r w:rsidRPr="0053555E">
              <w:rPr>
                <w:rFonts w:cs="Calibri"/>
                <w:sz w:val="22"/>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14:paraId="20AECFC8" w14:textId="0FB51A3C" w:rsidR="002271C5" w:rsidRPr="0053555E" w:rsidRDefault="002271C5" w:rsidP="002271C5">
            <w:pPr>
              <w:jc w:val="center"/>
              <w:rPr>
                <w:rFonts w:asciiTheme="majorHAnsi" w:hAnsiTheme="majorHAnsi" w:cstheme="majorHAnsi"/>
                <w:b/>
                <w:sz w:val="22"/>
                <w:szCs w:val="22"/>
              </w:rPr>
            </w:pPr>
            <w:r w:rsidRPr="0053555E">
              <w:rPr>
                <w:rFonts w:cs="Calibri"/>
                <w:sz w:val="22"/>
                <w:szCs w:val="18"/>
              </w:rPr>
              <w:t>206</w:t>
            </w:r>
          </w:p>
        </w:tc>
        <w:tc>
          <w:tcPr>
            <w:tcW w:w="850" w:type="dxa"/>
            <w:tcBorders>
              <w:top w:val="nil"/>
              <w:left w:val="nil"/>
              <w:bottom w:val="single" w:sz="4" w:space="0" w:color="auto"/>
              <w:right w:val="single" w:sz="4" w:space="0" w:color="auto"/>
            </w:tcBorders>
            <w:shd w:val="clear" w:color="auto" w:fill="auto"/>
            <w:noWrap/>
            <w:vAlign w:val="bottom"/>
            <w:hideMark/>
          </w:tcPr>
          <w:p w14:paraId="6D65E3DA" w14:textId="1D005F4E" w:rsidR="002271C5" w:rsidRPr="0053555E" w:rsidRDefault="002271C5" w:rsidP="002271C5">
            <w:pPr>
              <w:jc w:val="center"/>
              <w:rPr>
                <w:rFonts w:asciiTheme="majorHAnsi" w:hAnsiTheme="majorHAnsi" w:cstheme="majorHAnsi"/>
                <w:sz w:val="22"/>
                <w:szCs w:val="22"/>
              </w:rPr>
            </w:pPr>
            <w:r w:rsidRPr="0053555E">
              <w:rPr>
                <w:rFonts w:cs="Calibri"/>
                <w:sz w:val="22"/>
                <w:szCs w:val="18"/>
              </w:rPr>
              <w:t>2 433</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14:paraId="78E304DF" w14:textId="59737EC6" w:rsidR="002271C5" w:rsidRPr="0053555E" w:rsidRDefault="002271C5" w:rsidP="002271C5">
            <w:pPr>
              <w:jc w:val="center"/>
              <w:rPr>
                <w:rFonts w:asciiTheme="majorHAnsi" w:hAnsiTheme="majorHAnsi" w:cstheme="majorHAnsi"/>
                <w:sz w:val="22"/>
                <w:szCs w:val="22"/>
              </w:rPr>
            </w:pPr>
            <w:r w:rsidRPr="0053555E">
              <w:rPr>
                <w:rFonts w:cs="Calibri"/>
                <w:sz w:val="22"/>
                <w:szCs w:val="20"/>
              </w:rPr>
              <w:t>8,5</w:t>
            </w:r>
            <w:r w:rsidR="002340AF" w:rsidRPr="0053555E">
              <w:rPr>
                <w:rFonts w:cs="Calibri"/>
                <w:sz w:val="22"/>
                <w:szCs w:val="20"/>
              </w:rPr>
              <w:t xml:space="preserve"> </w:t>
            </w:r>
            <w:r w:rsidRPr="0053555E">
              <w:rPr>
                <w:rFonts w:cs="Calibri"/>
                <w:sz w:val="22"/>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383EE7C2" w14:textId="29DA6CBF" w:rsidR="002271C5" w:rsidRPr="0053555E" w:rsidRDefault="002271C5" w:rsidP="002271C5">
            <w:pPr>
              <w:jc w:val="center"/>
              <w:rPr>
                <w:rFonts w:asciiTheme="majorHAnsi" w:hAnsiTheme="majorHAnsi" w:cstheme="majorHAnsi"/>
                <w:sz w:val="22"/>
                <w:szCs w:val="22"/>
              </w:rPr>
            </w:pPr>
            <w:r w:rsidRPr="0053555E">
              <w:rPr>
                <w:rFonts w:cs="Calibri"/>
                <w:sz w:val="22"/>
                <w:szCs w:val="18"/>
              </w:rPr>
              <w:t>188</w:t>
            </w:r>
          </w:p>
        </w:tc>
        <w:tc>
          <w:tcPr>
            <w:tcW w:w="567" w:type="dxa"/>
            <w:tcBorders>
              <w:top w:val="nil"/>
              <w:left w:val="nil"/>
              <w:bottom w:val="single" w:sz="4" w:space="0" w:color="auto"/>
              <w:right w:val="single" w:sz="4" w:space="0" w:color="auto"/>
            </w:tcBorders>
            <w:shd w:val="clear" w:color="auto" w:fill="auto"/>
            <w:noWrap/>
            <w:vAlign w:val="bottom"/>
            <w:hideMark/>
          </w:tcPr>
          <w:p w14:paraId="604DC3FC" w14:textId="5012C960" w:rsidR="002271C5" w:rsidRPr="0053555E" w:rsidRDefault="002271C5" w:rsidP="002271C5">
            <w:pPr>
              <w:jc w:val="center"/>
              <w:rPr>
                <w:rFonts w:asciiTheme="majorHAnsi" w:hAnsiTheme="majorHAnsi" w:cstheme="majorHAnsi"/>
                <w:sz w:val="22"/>
                <w:szCs w:val="22"/>
              </w:rPr>
            </w:pPr>
            <w:r w:rsidRPr="0053555E">
              <w:rPr>
                <w:rFonts w:cs="Calibri"/>
                <w:sz w:val="22"/>
                <w:szCs w:val="18"/>
              </w:rPr>
              <w:t>41</w:t>
            </w:r>
          </w:p>
        </w:tc>
        <w:tc>
          <w:tcPr>
            <w:tcW w:w="567" w:type="dxa"/>
            <w:tcBorders>
              <w:top w:val="nil"/>
              <w:left w:val="nil"/>
              <w:bottom w:val="single" w:sz="4" w:space="0" w:color="auto"/>
              <w:right w:val="single" w:sz="4" w:space="0" w:color="auto"/>
            </w:tcBorders>
            <w:shd w:val="clear" w:color="auto" w:fill="auto"/>
            <w:noWrap/>
            <w:vAlign w:val="bottom"/>
            <w:hideMark/>
          </w:tcPr>
          <w:p w14:paraId="22647177" w14:textId="3486EABB" w:rsidR="002271C5" w:rsidRPr="0053555E" w:rsidRDefault="002271C5" w:rsidP="002271C5">
            <w:pPr>
              <w:jc w:val="center"/>
              <w:rPr>
                <w:rFonts w:asciiTheme="majorHAnsi" w:hAnsiTheme="majorHAnsi" w:cstheme="majorHAnsi"/>
                <w:sz w:val="22"/>
                <w:szCs w:val="22"/>
              </w:rPr>
            </w:pPr>
            <w:r w:rsidRPr="0053555E">
              <w:rPr>
                <w:rFonts w:cs="Calibri"/>
                <w:sz w:val="22"/>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14:paraId="0261B0AF" w14:textId="750D25CB" w:rsidR="002271C5" w:rsidRPr="0053555E" w:rsidRDefault="002271C5" w:rsidP="002271C5">
            <w:pPr>
              <w:jc w:val="center"/>
              <w:rPr>
                <w:rFonts w:asciiTheme="majorHAnsi" w:hAnsiTheme="majorHAnsi" w:cstheme="majorHAnsi"/>
                <w:sz w:val="22"/>
                <w:szCs w:val="22"/>
              </w:rPr>
            </w:pPr>
            <w:r w:rsidRPr="0053555E">
              <w:rPr>
                <w:rFonts w:cs="Calibri"/>
                <w:sz w:val="22"/>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14:paraId="78C3E3DE" w14:textId="21B8B0D2" w:rsidR="002271C5" w:rsidRPr="0053555E" w:rsidRDefault="002271C5" w:rsidP="002271C5">
            <w:pPr>
              <w:jc w:val="center"/>
              <w:rPr>
                <w:rFonts w:asciiTheme="majorHAnsi" w:hAnsiTheme="majorHAnsi" w:cstheme="majorHAnsi"/>
                <w:b/>
                <w:sz w:val="22"/>
                <w:szCs w:val="22"/>
              </w:rPr>
            </w:pPr>
            <w:r w:rsidRPr="0053555E">
              <w:rPr>
                <w:rFonts w:cs="Calibri"/>
                <w:sz w:val="22"/>
                <w:szCs w:val="18"/>
              </w:rPr>
              <w:t>240</w:t>
            </w:r>
          </w:p>
        </w:tc>
        <w:tc>
          <w:tcPr>
            <w:tcW w:w="850" w:type="dxa"/>
            <w:tcBorders>
              <w:top w:val="nil"/>
              <w:left w:val="nil"/>
              <w:bottom w:val="single" w:sz="4" w:space="0" w:color="auto"/>
              <w:right w:val="single" w:sz="4" w:space="0" w:color="auto"/>
            </w:tcBorders>
            <w:shd w:val="clear" w:color="auto" w:fill="auto"/>
            <w:noWrap/>
            <w:vAlign w:val="bottom"/>
            <w:hideMark/>
          </w:tcPr>
          <w:p w14:paraId="0E09A1A2" w14:textId="2F448073" w:rsidR="002271C5" w:rsidRPr="0053555E" w:rsidRDefault="002271C5" w:rsidP="002271C5">
            <w:pPr>
              <w:jc w:val="center"/>
              <w:rPr>
                <w:rFonts w:asciiTheme="majorHAnsi" w:hAnsiTheme="majorHAnsi" w:cstheme="majorHAnsi"/>
                <w:sz w:val="22"/>
                <w:szCs w:val="22"/>
              </w:rPr>
            </w:pPr>
            <w:r w:rsidRPr="0053555E">
              <w:rPr>
                <w:rFonts w:cs="Calibri"/>
                <w:sz w:val="22"/>
                <w:szCs w:val="18"/>
              </w:rPr>
              <w:t>2 314</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14:paraId="228A7023" w14:textId="4F91654F" w:rsidR="002271C5" w:rsidRPr="0053555E" w:rsidRDefault="002271C5" w:rsidP="002271C5">
            <w:pPr>
              <w:jc w:val="center"/>
              <w:rPr>
                <w:rFonts w:asciiTheme="majorHAnsi" w:hAnsiTheme="majorHAnsi" w:cstheme="majorHAnsi"/>
                <w:sz w:val="22"/>
                <w:szCs w:val="22"/>
              </w:rPr>
            </w:pPr>
            <w:r w:rsidRPr="0053555E">
              <w:rPr>
                <w:rFonts w:cs="Calibri"/>
                <w:sz w:val="22"/>
                <w:szCs w:val="20"/>
              </w:rPr>
              <w:t>10,4</w:t>
            </w:r>
            <w:r w:rsidR="002340AF" w:rsidRPr="0053555E">
              <w:rPr>
                <w:rFonts w:cs="Calibri"/>
                <w:sz w:val="22"/>
                <w:szCs w:val="20"/>
              </w:rPr>
              <w:t xml:space="preserve"> </w:t>
            </w:r>
            <w:r w:rsidRPr="0053555E">
              <w:rPr>
                <w:rFonts w:cs="Calibri"/>
                <w:sz w:val="22"/>
                <w:szCs w:val="20"/>
              </w:rPr>
              <w:t>%</w:t>
            </w:r>
          </w:p>
        </w:tc>
        <w:tc>
          <w:tcPr>
            <w:tcW w:w="517" w:type="dxa"/>
            <w:tcBorders>
              <w:top w:val="nil"/>
              <w:left w:val="nil"/>
              <w:bottom w:val="single" w:sz="4" w:space="0" w:color="auto"/>
              <w:right w:val="single" w:sz="4" w:space="0" w:color="auto"/>
            </w:tcBorders>
            <w:shd w:val="clear" w:color="auto" w:fill="auto"/>
            <w:noWrap/>
            <w:vAlign w:val="bottom"/>
            <w:hideMark/>
          </w:tcPr>
          <w:p w14:paraId="33FCAF9B" w14:textId="7BB9FB97" w:rsidR="002271C5" w:rsidRPr="0053555E" w:rsidRDefault="002271C5" w:rsidP="002271C5">
            <w:pPr>
              <w:jc w:val="center"/>
              <w:rPr>
                <w:rFonts w:asciiTheme="majorHAnsi" w:hAnsiTheme="majorHAnsi" w:cstheme="majorHAnsi"/>
                <w:sz w:val="22"/>
                <w:szCs w:val="22"/>
              </w:rPr>
            </w:pPr>
            <w:r w:rsidRPr="0053555E">
              <w:rPr>
                <w:rFonts w:cs="Calibri"/>
                <w:sz w:val="22"/>
                <w:szCs w:val="18"/>
              </w:rPr>
              <w:t>17</w:t>
            </w:r>
          </w:p>
        </w:tc>
        <w:tc>
          <w:tcPr>
            <w:tcW w:w="517" w:type="dxa"/>
            <w:tcBorders>
              <w:top w:val="nil"/>
              <w:left w:val="nil"/>
              <w:bottom w:val="single" w:sz="4" w:space="0" w:color="auto"/>
              <w:right w:val="single" w:sz="4" w:space="0" w:color="auto"/>
            </w:tcBorders>
            <w:shd w:val="clear" w:color="auto" w:fill="auto"/>
            <w:noWrap/>
            <w:vAlign w:val="bottom"/>
            <w:hideMark/>
          </w:tcPr>
          <w:p w14:paraId="7FE98C52" w14:textId="78E56513" w:rsidR="002271C5" w:rsidRPr="0053555E" w:rsidRDefault="002271C5" w:rsidP="002271C5">
            <w:pPr>
              <w:jc w:val="center"/>
              <w:rPr>
                <w:rFonts w:asciiTheme="majorHAnsi" w:hAnsiTheme="majorHAnsi" w:cstheme="majorHAnsi"/>
                <w:sz w:val="22"/>
                <w:szCs w:val="22"/>
              </w:rPr>
            </w:pPr>
            <w:r w:rsidRPr="0053555E">
              <w:rPr>
                <w:rFonts w:cs="Calibri"/>
                <w:sz w:val="22"/>
                <w:szCs w:val="18"/>
              </w:rPr>
              <w:t>12</w:t>
            </w:r>
          </w:p>
        </w:tc>
        <w:tc>
          <w:tcPr>
            <w:tcW w:w="517" w:type="dxa"/>
            <w:tcBorders>
              <w:top w:val="nil"/>
              <w:left w:val="nil"/>
              <w:bottom w:val="single" w:sz="4" w:space="0" w:color="auto"/>
              <w:right w:val="single" w:sz="4" w:space="0" w:color="auto"/>
            </w:tcBorders>
            <w:shd w:val="clear" w:color="auto" w:fill="auto"/>
            <w:noWrap/>
            <w:vAlign w:val="bottom"/>
            <w:hideMark/>
          </w:tcPr>
          <w:p w14:paraId="3DB91CC7" w14:textId="693807B3" w:rsidR="002271C5" w:rsidRPr="0053555E" w:rsidRDefault="002271C5" w:rsidP="002271C5">
            <w:pPr>
              <w:jc w:val="center"/>
              <w:rPr>
                <w:rFonts w:asciiTheme="majorHAnsi" w:hAnsiTheme="majorHAnsi" w:cstheme="majorHAnsi"/>
                <w:sz w:val="22"/>
                <w:szCs w:val="22"/>
              </w:rPr>
            </w:pPr>
            <w:r w:rsidRPr="0053555E">
              <w:rPr>
                <w:rFonts w:cs="Calibri"/>
                <w:sz w:val="22"/>
                <w:szCs w:val="18"/>
              </w:rPr>
              <w:t>4</w:t>
            </w:r>
          </w:p>
        </w:tc>
        <w:tc>
          <w:tcPr>
            <w:tcW w:w="517" w:type="dxa"/>
            <w:tcBorders>
              <w:top w:val="nil"/>
              <w:left w:val="nil"/>
              <w:bottom w:val="single" w:sz="4" w:space="0" w:color="auto"/>
              <w:right w:val="single" w:sz="4" w:space="0" w:color="auto"/>
            </w:tcBorders>
            <w:shd w:val="clear" w:color="auto" w:fill="auto"/>
            <w:noWrap/>
            <w:vAlign w:val="bottom"/>
            <w:hideMark/>
          </w:tcPr>
          <w:p w14:paraId="0191C2DB" w14:textId="118F9712" w:rsidR="002271C5" w:rsidRPr="0053555E" w:rsidRDefault="002271C5" w:rsidP="002271C5">
            <w:pPr>
              <w:jc w:val="center"/>
              <w:rPr>
                <w:rFonts w:asciiTheme="majorHAnsi" w:hAnsiTheme="majorHAnsi" w:cstheme="majorHAnsi"/>
                <w:sz w:val="22"/>
                <w:szCs w:val="22"/>
              </w:rPr>
            </w:pPr>
            <w:r w:rsidRPr="0053555E">
              <w:rPr>
                <w:rFonts w:cs="Calibri"/>
                <w:sz w:val="22"/>
                <w:szCs w:val="18"/>
              </w:rPr>
              <w:t>1</w:t>
            </w:r>
          </w:p>
        </w:tc>
        <w:tc>
          <w:tcPr>
            <w:tcW w:w="787" w:type="dxa"/>
            <w:tcBorders>
              <w:top w:val="nil"/>
              <w:left w:val="nil"/>
              <w:bottom w:val="single" w:sz="4" w:space="0" w:color="auto"/>
              <w:right w:val="single" w:sz="4" w:space="0" w:color="auto"/>
            </w:tcBorders>
            <w:shd w:val="clear" w:color="auto" w:fill="auto"/>
            <w:noWrap/>
            <w:vAlign w:val="bottom"/>
            <w:hideMark/>
          </w:tcPr>
          <w:p w14:paraId="4FED06C0" w14:textId="2F0D5C19" w:rsidR="002271C5" w:rsidRPr="0053555E" w:rsidRDefault="002271C5" w:rsidP="002271C5">
            <w:pPr>
              <w:jc w:val="center"/>
              <w:rPr>
                <w:rFonts w:asciiTheme="majorHAnsi" w:hAnsiTheme="majorHAnsi" w:cstheme="majorHAnsi"/>
                <w:sz w:val="22"/>
                <w:szCs w:val="22"/>
              </w:rPr>
            </w:pPr>
            <w:r w:rsidRPr="0053555E">
              <w:rPr>
                <w:rFonts w:cs="Calibri"/>
                <w:sz w:val="22"/>
                <w:szCs w:val="18"/>
              </w:rPr>
              <w:t>34</w:t>
            </w:r>
          </w:p>
        </w:tc>
        <w:tc>
          <w:tcPr>
            <w:tcW w:w="772" w:type="dxa"/>
            <w:tcBorders>
              <w:top w:val="nil"/>
              <w:left w:val="nil"/>
              <w:bottom w:val="single" w:sz="4" w:space="0" w:color="auto"/>
              <w:right w:val="single" w:sz="4" w:space="0" w:color="auto"/>
            </w:tcBorders>
            <w:shd w:val="clear" w:color="auto" w:fill="auto"/>
            <w:noWrap/>
            <w:vAlign w:val="bottom"/>
            <w:hideMark/>
          </w:tcPr>
          <w:p w14:paraId="5328E09F" w14:textId="592DC389" w:rsidR="002271C5" w:rsidRPr="0053555E" w:rsidRDefault="002271C5" w:rsidP="002271C5">
            <w:pPr>
              <w:jc w:val="center"/>
              <w:rPr>
                <w:rFonts w:asciiTheme="majorHAnsi" w:hAnsiTheme="majorHAnsi" w:cstheme="majorHAnsi"/>
                <w:sz w:val="22"/>
                <w:szCs w:val="22"/>
              </w:rPr>
            </w:pPr>
            <w:r w:rsidRPr="0053555E">
              <w:rPr>
                <w:rFonts w:cs="Calibri"/>
                <w:sz w:val="22"/>
                <w:szCs w:val="18"/>
              </w:rPr>
              <w:t>-119</w:t>
            </w:r>
          </w:p>
        </w:tc>
        <w:tc>
          <w:tcPr>
            <w:tcW w:w="1134" w:type="dxa"/>
            <w:tcBorders>
              <w:top w:val="nil"/>
              <w:left w:val="nil"/>
              <w:bottom w:val="single" w:sz="4" w:space="0" w:color="auto"/>
              <w:right w:val="single" w:sz="8" w:space="0" w:color="auto"/>
            </w:tcBorders>
            <w:shd w:val="clear" w:color="auto" w:fill="EEECE1" w:themeFill="background2"/>
            <w:noWrap/>
            <w:vAlign w:val="bottom"/>
            <w:hideMark/>
          </w:tcPr>
          <w:p w14:paraId="623E1624" w14:textId="361C6402" w:rsidR="002271C5" w:rsidRPr="0053555E" w:rsidRDefault="002271C5" w:rsidP="002271C5">
            <w:pPr>
              <w:jc w:val="center"/>
              <w:rPr>
                <w:rFonts w:asciiTheme="majorHAnsi" w:hAnsiTheme="majorHAnsi" w:cstheme="majorHAnsi"/>
                <w:b/>
                <w:sz w:val="22"/>
                <w:szCs w:val="22"/>
              </w:rPr>
            </w:pPr>
            <w:r w:rsidRPr="0053555E">
              <w:rPr>
                <w:rFonts w:cs="Calibri"/>
                <w:b/>
                <w:bCs/>
                <w:sz w:val="22"/>
                <w:szCs w:val="20"/>
              </w:rPr>
              <w:t>1,17</w:t>
            </w:r>
          </w:p>
        </w:tc>
      </w:tr>
      <w:tr w:rsidR="002271C5" w:rsidRPr="0053555E" w14:paraId="2BD0BE4F" w14:textId="77777777" w:rsidTr="001605FB">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14:paraId="0BD91454" w14:textId="77777777" w:rsidR="002271C5" w:rsidRPr="0053555E" w:rsidRDefault="002271C5" w:rsidP="002271C5">
            <w:pPr>
              <w:tabs>
                <w:tab w:val="left" w:pos="9356"/>
              </w:tabs>
              <w:jc w:val="both"/>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FCHPT</w:t>
            </w:r>
          </w:p>
        </w:tc>
        <w:tc>
          <w:tcPr>
            <w:tcW w:w="567" w:type="dxa"/>
            <w:tcBorders>
              <w:top w:val="nil"/>
              <w:left w:val="nil"/>
              <w:bottom w:val="single" w:sz="4" w:space="0" w:color="auto"/>
              <w:right w:val="single" w:sz="4" w:space="0" w:color="auto"/>
            </w:tcBorders>
            <w:shd w:val="clear" w:color="auto" w:fill="auto"/>
            <w:noWrap/>
            <w:vAlign w:val="bottom"/>
            <w:hideMark/>
          </w:tcPr>
          <w:p w14:paraId="21ED86BA" w14:textId="6F169094" w:rsidR="002271C5" w:rsidRPr="0053555E" w:rsidRDefault="002271C5" w:rsidP="002271C5">
            <w:pPr>
              <w:jc w:val="center"/>
              <w:rPr>
                <w:rFonts w:asciiTheme="majorHAnsi" w:hAnsiTheme="majorHAnsi" w:cstheme="majorHAnsi"/>
                <w:sz w:val="22"/>
                <w:szCs w:val="22"/>
              </w:rPr>
            </w:pPr>
            <w:r w:rsidRPr="0053555E">
              <w:rPr>
                <w:rFonts w:cs="Calibri"/>
                <w:sz w:val="22"/>
                <w:szCs w:val="18"/>
              </w:rPr>
              <w:t>91</w:t>
            </w:r>
          </w:p>
        </w:tc>
        <w:tc>
          <w:tcPr>
            <w:tcW w:w="567" w:type="dxa"/>
            <w:tcBorders>
              <w:top w:val="nil"/>
              <w:left w:val="nil"/>
              <w:bottom w:val="single" w:sz="4" w:space="0" w:color="auto"/>
              <w:right w:val="single" w:sz="4" w:space="0" w:color="auto"/>
            </w:tcBorders>
            <w:shd w:val="clear" w:color="auto" w:fill="auto"/>
            <w:noWrap/>
            <w:vAlign w:val="bottom"/>
            <w:hideMark/>
          </w:tcPr>
          <w:p w14:paraId="30565E7C" w14:textId="01779BCB" w:rsidR="002271C5" w:rsidRPr="0053555E" w:rsidRDefault="002271C5" w:rsidP="002271C5">
            <w:pPr>
              <w:jc w:val="center"/>
              <w:rPr>
                <w:rFonts w:asciiTheme="majorHAnsi" w:hAnsiTheme="majorHAnsi" w:cstheme="majorHAnsi"/>
                <w:sz w:val="22"/>
                <w:szCs w:val="22"/>
              </w:rPr>
            </w:pPr>
            <w:r w:rsidRPr="0053555E">
              <w:rPr>
                <w:rFonts w:cs="Calibri"/>
                <w:sz w:val="22"/>
                <w:szCs w:val="18"/>
              </w:rPr>
              <w:t>24</w:t>
            </w:r>
          </w:p>
        </w:tc>
        <w:tc>
          <w:tcPr>
            <w:tcW w:w="567" w:type="dxa"/>
            <w:tcBorders>
              <w:top w:val="nil"/>
              <w:left w:val="nil"/>
              <w:bottom w:val="single" w:sz="4" w:space="0" w:color="auto"/>
              <w:right w:val="single" w:sz="4" w:space="0" w:color="auto"/>
            </w:tcBorders>
            <w:shd w:val="clear" w:color="auto" w:fill="auto"/>
            <w:noWrap/>
            <w:vAlign w:val="bottom"/>
            <w:hideMark/>
          </w:tcPr>
          <w:p w14:paraId="7C738C3A" w14:textId="77AEC987" w:rsidR="002271C5" w:rsidRPr="0053555E" w:rsidRDefault="002271C5" w:rsidP="002271C5">
            <w:pPr>
              <w:jc w:val="center"/>
              <w:rPr>
                <w:rFonts w:asciiTheme="majorHAnsi" w:hAnsiTheme="majorHAnsi" w:cstheme="majorHAnsi"/>
                <w:sz w:val="22"/>
                <w:szCs w:val="22"/>
              </w:rPr>
            </w:pPr>
            <w:r w:rsidRPr="0053555E">
              <w:rPr>
                <w:rFonts w:cs="Calibri"/>
                <w:sz w:val="22"/>
                <w:szCs w:val="18"/>
              </w:rPr>
              <w:t>18</w:t>
            </w:r>
          </w:p>
        </w:tc>
        <w:tc>
          <w:tcPr>
            <w:tcW w:w="567" w:type="dxa"/>
            <w:tcBorders>
              <w:top w:val="nil"/>
              <w:left w:val="nil"/>
              <w:bottom w:val="single" w:sz="4" w:space="0" w:color="auto"/>
              <w:right w:val="single" w:sz="4" w:space="0" w:color="auto"/>
            </w:tcBorders>
            <w:shd w:val="clear" w:color="auto" w:fill="auto"/>
            <w:noWrap/>
            <w:vAlign w:val="bottom"/>
            <w:hideMark/>
          </w:tcPr>
          <w:p w14:paraId="77D79912" w14:textId="5BC2A2B4" w:rsidR="002271C5" w:rsidRPr="0053555E" w:rsidRDefault="002271C5" w:rsidP="002271C5">
            <w:pPr>
              <w:jc w:val="center"/>
              <w:rPr>
                <w:rFonts w:asciiTheme="majorHAnsi" w:hAnsiTheme="majorHAnsi" w:cstheme="majorHAnsi"/>
                <w:sz w:val="22"/>
                <w:szCs w:val="22"/>
              </w:rPr>
            </w:pPr>
            <w:r w:rsidRPr="0053555E">
              <w:rPr>
                <w:rFonts w:cs="Calibri"/>
                <w:sz w:val="22"/>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14:paraId="251843D9" w14:textId="01F36C70" w:rsidR="002271C5" w:rsidRPr="0053555E" w:rsidRDefault="002271C5" w:rsidP="002271C5">
            <w:pPr>
              <w:jc w:val="center"/>
              <w:rPr>
                <w:rFonts w:asciiTheme="majorHAnsi" w:hAnsiTheme="majorHAnsi" w:cstheme="majorHAnsi"/>
                <w:b/>
                <w:sz w:val="22"/>
                <w:szCs w:val="22"/>
              </w:rPr>
            </w:pPr>
            <w:r w:rsidRPr="0053555E">
              <w:rPr>
                <w:rFonts w:cs="Calibri"/>
                <w:sz w:val="22"/>
                <w:szCs w:val="18"/>
              </w:rPr>
              <w:t>134</w:t>
            </w:r>
          </w:p>
        </w:tc>
        <w:tc>
          <w:tcPr>
            <w:tcW w:w="850" w:type="dxa"/>
            <w:tcBorders>
              <w:top w:val="nil"/>
              <w:left w:val="nil"/>
              <w:bottom w:val="single" w:sz="4" w:space="0" w:color="auto"/>
              <w:right w:val="single" w:sz="4" w:space="0" w:color="auto"/>
            </w:tcBorders>
            <w:shd w:val="clear" w:color="auto" w:fill="auto"/>
            <w:noWrap/>
            <w:vAlign w:val="bottom"/>
            <w:hideMark/>
          </w:tcPr>
          <w:p w14:paraId="2EEF9C7F" w14:textId="2A65B9E8" w:rsidR="002271C5" w:rsidRPr="0053555E" w:rsidRDefault="002271C5" w:rsidP="002271C5">
            <w:pPr>
              <w:jc w:val="center"/>
              <w:rPr>
                <w:rFonts w:asciiTheme="majorHAnsi" w:hAnsiTheme="majorHAnsi" w:cstheme="majorHAnsi"/>
                <w:sz w:val="22"/>
                <w:szCs w:val="22"/>
              </w:rPr>
            </w:pPr>
            <w:r w:rsidRPr="0053555E">
              <w:rPr>
                <w:rFonts w:cs="Calibri"/>
                <w:sz w:val="22"/>
                <w:szCs w:val="18"/>
              </w:rPr>
              <w:t>1 333</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14:paraId="3953849C" w14:textId="3ED359DB" w:rsidR="002271C5" w:rsidRPr="0053555E" w:rsidRDefault="002271C5" w:rsidP="002271C5">
            <w:pPr>
              <w:jc w:val="center"/>
              <w:rPr>
                <w:rFonts w:asciiTheme="majorHAnsi" w:hAnsiTheme="majorHAnsi" w:cstheme="majorHAnsi"/>
                <w:sz w:val="22"/>
                <w:szCs w:val="22"/>
              </w:rPr>
            </w:pPr>
            <w:r w:rsidRPr="0053555E">
              <w:rPr>
                <w:rFonts w:cs="Calibri"/>
                <w:sz w:val="22"/>
                <w:szCs w:val="20"/>
              </w:rPr>
              <w:t>10,1</w:t>
            </w:r>
            <w:r w:rsidR="002340AF" w:rsidRPr="0053555E">
              <w:rPr>
                <w:rFonts w:cs="Calibri"/>
                <w:sz w:val="22"/>
                <w:szCs w:val="20"/>
              </w:rPr>
              <w:t xml:space="preserve"> </w:t>
            </w:r>
            <w:r w:rsidRPr="0053555E">
              <w:rPr>
                <w:rFonts w:cs="Calibri"/>
                <w:sz w:val="22"/>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541331A8" w14:textId="51E919A8" w:rsidR="002271C5" w:rsidRPr="0053555E" w:rsidRDefault="002271C5" w:rsidP="002271C5">
            <w:pPr>
              <w:jc w:val="center"/>
              <w:rPr>
                <w:rFonts w:asciiTheme="majorHAnsi" w:hAnsiTheme="majorHAnsi" w:cstheme="majorHAnsi"/>
                <w:sz w:val="22"/>
                <w:szCs w:val="22"/>
              </w:rPr>
            </w:pPr>
            <w:r w:rsidRPr="0053555E">
              <w:rPr>
                <w:rFonts w:cs="Calibri"/>
                <w:sz w:val="22"/>
                <w:szCs w:val="18"/>
              </w:rPr>
              <w:t>157</w:t>
            </w:r>
          </w:p>
        </w:tc>
        <w:tc>
          <w:tcPr>
            <w:tcW w:w="567" w:type="dxa"/>
            <w:tcBorders>
              <w:top w:val="nil"/>
              <w:left w:val="nil"/>
              <w:bottom w:val="single" w:sz="4" w:space="0" w:color="auto"/>
              <w:right w:val="single" w:sz="4" w:space="0" w:color="auto"/>
            </w:tcBorders>
            <w:shd w:val="clear" w:color="auto" w:fill="auto"/>
            <w:noWrap/>
            <w:vAlign w:val="bottom"/>
            <w:hideMark/>
          </w:tcPr>
          <w:p w14:paraId="7F64E3D4" w14:textId="2D9811F3" w:rsidR="002271C5" w:rsidRPr="0053555E" w:rsidRDefault="002271C5" w:rsidP="002271C5">
            <w:pPr>
              <w:jc w:val="center"/>
              <w:rPr>
                <w:rFonts w:asciiTheme="majorHAnsi" w:hAnsiTheme="majorHAnsi" w:cstheme="majorHAnsi"/>
                <w:sz w:val="22"/>
                <w:szCs w:val="22"/>
              </w:rPr>
            </w:pPr>
            <w:r w:rsidRPr="0053555E">
              <w:rPr>
                <w:rFonts w:cs="Calibri"/>
                <w:sz w:val="22"/>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14:paraId="5C852823" w14:textId="09C8372E" w:rsidR="002271C5" w:rsidRPr="0053555E" w:rsidRDefault="002271C5" w:rsidP="002271C5">
            <w:pPr>
              <w:jc w:val="center"/>
              <w:rPr>
                <w:rFonts w:asciiTheme="majorHAnsi" w:hAnsiTheme="majorHAnsi" w:cstheme="majorHAnsi"/>
                <w:sz w:val="22"/>
                <w:szCs w:val="22"/>
              </w:rPr>
            </w:pPr>
            <w:r w:rsidRPr="0053555E">
              <w:rPr>
                <w:rFonts w:cs="Calibri"/>
                <w:sz w:val="22"/>
                <w:szCs w:val="18"/>
              </w:rPr>
              <w:t>20</w:t>
            </w:r>
          </w:p>
        </w:tc>
        <w:tc>
          <w:tcPr>
            <w:tcW w:w="567" w:type="dxa"/>
            <w:tcBorders>
              <w:top w:val="nil"/>
              <w:left w:val="nil"/>
              <w:bottom w:val="single" w:sz="4" w:space="0" w:color="auto"/>
              <w:right w:val="single" w:sz="4" w:space="0" w:color="auto"/>
            </w:tcBorders>
            <w:shd w:val="clear" w:color="auto" w:fill="auto"/>
            <w:noWrap/>
            <w:vAlign w:val="bottom"/>
            <w:hideMark/>
          </w:tcPr>
          <w:p w14:paraId="7B61A4BF" w14:textId="630BD909" w:rsidR="002271C5" w:rsidRPr="0053555E" w:rsidRDefault="002271C5" w:rsidP="002271C5">
            <w:pPr>
              <w:jc w:val="center"/>
              <w:rPr>
                <w:rFonts w:asciiTheme="majorHAnsi" w:hAnsiTheme="majorHAnsi" w:cstheme="majorHAnsi"/>
                <w:sz w:val="22"/>
                <w:szCs w:val="22"/>
              </w:rPr>
            </w:pPr>
            <w:r w:rsidRPr="0053555E">
              <w:rPr>
                <w:rFonts w:cs="Calibri"/>
                <w:sz w:val="22"/>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14:paraId="6BFA3203" w14:textId="79F3F64D" w:rsidR="002271C5" w:rsidRPr="0053555E" w:rsidRDefault="002271C5" w:rsidP="002271C5">
            <w:pPr>
              <w:jc w:val="center"/>
              <w:rPr>
                <w:rFonts w:asciiTheme="majorHAnsi" w:hAnsiTheme="majorHAnsi" w:cstheme="majorHAnsi"/>
                <w:b/>
                <w:sz w:val="22"/>
                <w:szCs w:val="22"/>
              </w:rPr>
            </w:pPr>
            <w:r w:rsidRPr="0053555E">
              <w:rPr>
                <w:rFonts w:cs="Calibri"/>
                <w:sz w:val="22"/>
                <w:szCs w:val="18"/>
              </w:rPr>
              <w:t>194</w:t>
            </w:r>
          </w:p>
        </w:tc>
        <w:tc>
          <w:tcPr>
            <w:tcW w:w="850" w:type="dxa"/>
            <w:tcBorders>
              <w:top w:val="nil"/>
              <w:left w:val="nil"/>
              <w:bottom w:val="single" w:sz="4" w:space="0" w:color="auto"/>
              <w:right w:val="single" w:sz="4" w:space="0" w:color="auto"/>
            </w:tcBorders>
            <w:shd w:val="clear" w:color="auto" w:fill="auto"/>
            <w:noWrap/>
            <w:vAlign w:val="bottom"/>
            <w:hideMark/>
          </w:tcPr>
          <w:p w14:paraId="785D9C64" w14:textId="7BDAF82A" w:rsidR="002271C5" w:rsidRPr="0053555E" w:rsidRDefault="002271C5" w:rsidP="002271C5">
            <w:pPr>
              <w:jc w:val="center"/>
              <w:rPr>
                <w:rFonts w:asciiTheme="majorHAnsi" w:hAnsiTheme="majorHAnsi" w:cstheme="majorHAnsi"/>
                <w:sz w:val="22"/>
                <w:szCs w:val="22"/>
              </w:rPr>
            </w:pPr>
            <w:r w:rsidRPr="0053555E">
              <w:rPr>
                <w:rFonts w:cs="Calibri"/>
                <w:sz w:val="22"/>
                <w:szCs w:val="18"/>
              </w:rPr>
              <w:t>1 286</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14:paraId="3A45998C" w14:textId="17E8753F" w:rsidR="002271C5" w:rsidRPr="0053555E" w:rsidRDefault="002271C5" w:rsidP="002271C5">
            <w:pPr>
              <w:jc w:val="center"/>
              <w:rPr>
                <w:rFonts w:asciiTheme="majorHAnsi" w:hAnsiTheme="majorHAnsi" w:cstheme="majorHAnsi"/>
                <w:sz w:val="22"/>
                <w:szCs w:val="22"/>
              </w:rPr>
            </w:pPr>
            <w:r w:rsidRPr="0053555E">
              <w:rPr>
                <w:rFonts w:cs="Calibri"/>
                <w:sz w:val="22"/>
                <w:szCs w:val="20"/>
              </w:rPr>
              <w:t>15,1</w:t>
            </w:r>
            <w:r w:rsidR="002340AF" w:rsidRPr="0053555E">
              <w:rPr>
                <w:rFonts w:cs="Calibri"/>
                <w:sz w:val="22"/>
                <w:szCs w:val="20"/>
              </w:rPr>
              <w:t xml:space="preserve"> </w:t>
            </w:r>
            <w:r w:rsidRPr="0053555E">
              <w:rPr>
                <w:rFonts w:cs="Calibri"/>
                <w:sz w:val="22"/>
                <w:szCs w:val="20"/>
              </w:rPr>
              <w:t>%</w:t>
            </w:r>
          </w:p>
        </w:tc>
        <w:tc>
          <w:tcPr>
            <w:tcW w:w="517" w:type="dxa"/>
            <w:tcBorders>
              <w:top w:val="nil"/>
              <w:left w:val="nil"/>
              <w:bottom w:val="single" w:sz="4" w:space="0" w:color="auto"/>
              <w:right w:val="single" w:sz="4" w:space="0" w:color="auto"/>
            </w:tcBorders>
            <w:shd w:val="clear" w:color="auto" w:fill="auto"/>
            <w:noWrap/>
            <w:vAlign w:val="bottom"/>
            <w:hideMark/>
          </w:tcPr>
          <w:p w14:paraId="1B205505" w14:textId="7EF2CD04" w:rsidR="002271C5" w:rsidRPr="0053555E" w:rsidRDefault="002271C5" w:rsidP="002271C5">
            <w:pPr>
              <w:jc w:val="center"/>
              <w:rPr>
                <w:rFonts w:asciiTheme="majorHAnsi" w:hAnsiTheme="majorHAnsi" w:cstheme="majorHAnsi"/>
                <w:sz w:val="22"/>
                <w:szCs w:val="22"/>
              </w:rPr>
            </w:pPr>
            <w:r w:rsidRPr="0053555E">
              <w:rPr>
                <w:rFonts w:cs="Calibri"/>
                <w:sz w:val="22"/>
                <w:szCs w:val="18"/>
              </w:rPr>
              <w:t>66</w:t>
            </w:r>
          </w:p>
        </w:tc>
        <w:tc>
          <w:tcPr>
            <w:tcW w:w="517" w:type="dxa"/>
            <w:tcBorders>
              <w:top w:val="nil"/>
              <w:left w:val="nil"/>
              <w:bottom w:val="single" w:sz="4" w:space="0" w:color="auto"/>
              <w:right w:val="single" w:sz="4" w:space="0" w:color="auto"/>
            </w:tcBorders>
            <w:shd w:val="clear" w:color="auto" w:fill="auto"/>
            <w:noWrap/>
            <w:vAlign w:val="bottom"/>
            <w:hideMark/>
          </w:tcPr>
          <w:p w14:paraId="426A6D65" w14:textId="523C060F" w:rsidR="002271C5" w:rsidRPr="0053555E" w:rsidRDefault="002271C5" w:rsidP="002271C5">
            <w:pPr>
              <w:jc w:val="center"/>
              <w:rPr>
                <w:rFonts w:asciiTheme="majorHAnsi" w:hAnsiTheme="majorHAnsi" w:cstheme="majorHAnsi"/>
                <w:sz w:val="22"/>
                <w:szCs w:val="22"/>
              </w:rPr>
            </w:pPr>
            <w:r w:rsidRPr="0053555E">
              <w:rPr>
                <w:rFonts w:cs="Calibri"/>
                <w:sz w:val="22"/>
                <w:szCs w:val="18"/>
              </w:rPr>
              <w:t>-8</w:t>
            </w:r>
          </w:p>
        </w:tc>
        <w:tc>
          <w:tcPr>
            <w:tcW w:w="517" w:type="dxa"/>
            <w:tcBorders>
              <w:top w:val="nil"/>
              <w:left w:val="nil"/>
              <w:bottom w:val="single" w:sz="4" w:space="0" w:color="auto"/>
              <w:right w:val="single" w:sz="4" w:space="0" w:color="auto"/>
            </w:tcBorders>
            <w:shd w:val="clear" w:color="auto" w:fill="auto"/>
            <w:noWrap/>
            <w:vAlign w:val="bottom"/>
            <w:hideMark/>
          </w:tcPr>
          <w:p w14:paraId="07F38799" w14:textId="0AFDBADB" w:rsidR="002271C5" w:rsidRPr="0053555E" w:rsidRDefault="002271C5" w:rsidP="002271C5">
            <w:pPr>
              <w:jc w:val="center"/>
              <w:rPr>
                <w:rFonts w:asciiTheme="majorHAnsi" w:hAnsiTheme="majorHAnsi" w:cstheme="majorHAnsi"/>
                <w:sz w:val="22"/>
                <w:szCs w:val="22"/>
              </w:rPr>
            </w:pPr>
            <w:r w:rsidRPr="0053555E">
              <w:rPr>
                <w:rFonts w:cs="Calibri"/>
                <w:sz w:val="22"/>
                <w:szCs w:val="18"/>
              </w:rPr>
              <w:t>2</w:t>
            </w:r>
          </w:p>
        </w:tc>
        <w:tc>
          <w:tcPr>
            <w:tcW w:w="517" w:type="dxa"/>
            <w:tcBorders>
              <w:top w:val="nil"/>
              <w:left w:val="nil"/>
              <w:bottom w:val="single" w:sz="4" w:space="0" w:color="auto"/>
              <w:right w:val="single" w:sz="4" w:space="0" w:color="auto"/>
            </w:tcBorders>
            <w:shd w:val="clear" w:color="auto" w:fill="auto"/>
            <w:noWrap/>
            <w:vAlign w:val="bottom"/>
            <w:hideMark/>
          </w:tcPr>
          <w:p w14:paraId="24A5AC22" w14:textId="789346C5" w:rsidR="002271C5" w:rsidRPr="0053555E" w:rsidRDefault="002271C5" w:rsidP="002271C5">
            <w:pPr>
              <w:jc w:val="center"/>
              <w:rPr>
                <w:rFonts w:asciiTheme="majorHAnsi" w:hAnsiTheme="majorHAnsi" w:cstheme="majorHAnsi"/>
                <w:sz w:val="22"/>
                <w:szCs w:val="22"/>
              </w:rPr>
            </w:pPr>
            <w:r w:rsidRPr="0053555E">
              <w:rPr>
                <w:rFonts w:cs="Calibri"/>
                <w:sz w:val="22"/>
                <w:szCs w:val="18"/>
              </w:rPr>
              <w:t>0</w:t>
            </w:r>
          </w:p>
        </w:tc>
        <w:tc>
          <w:tcPr>
            <w:tcW w:w="787" w:type="dxa"/>
            <w:tcBorders>
              <w:top w:val="nil"/>
              <w:left w:val="nil"/>
              <w:bottom w:val="single" w:sz="4" w:space="0" w:color="auto"/>
              <w:right w:val="single" w:sz="4" w:space="0" w:color="auto"/>
            </w:tcBorders>
            <w:shd w:val="clear" w:color="auto" w:fill="auto"/>
            <w:noWrap/>
            <w:vAlign w:val="bottom"/>
            <w:hideMark/>
          </w:tcPr>
          <w:p w14:paraId="02C96CFF" w14:textId="6A3D37CA" w:rsidR="002271C5" w:rsidRPr="0053555E" w:rsidRDefault="002271C5" w:rsidP="002271C5">
            <w:pPr>
              <w:jc w:val="center"/>
              <w:rPr>
                <w:rFonts w:asciiTheme="majorHAnsi" w:hAnsiTheme="majorHAnsi" w:cstheme="majorHAnsi"/>
                <w:sz w:val="22"/>
                <w:szCs w:val="22"/>
              </w:rPr>
            </w:pPr>
            <w:r w:rsidRPr="0053555E">
              <w:rPr>
                <w:rFonts w:cs="Calibri"/>
                <w:sz w:val="22"/>
                <w:szCs w:val="18"/>
              </w:rPr>
              <w:t>60</w:t>
            </w:r>
          </w:p>
        </w:tc>
        <w:tc>
          <w:tcPr>
            <w:tcW w:w="772" w:type="dxa"/>
            <w:tcBorders>
              <w:top w:val="nil"/>
              <w:left w:val="nil"/>
              <w:bottom w:val="single" w:sz="4" w:space="0" w:color="auto"/>
              <w:right w:val="single" w:sz="4" w:space="0" w:color="auto"/>
            </w:tcBorders>
            <w:shd w:val="clear" w:color="auto" w:fill="auto"/>
            <w:noWrap/>
            <w:vAlign w:val="bottom"/>
            <w:hideMark/>
          </w:tcPr>
          <w:p w14:paraId="0467218C" w14:textId="0A09B493" w:rsidR="002271C5" w:rsidRPr="0053555E" w:rsidRDefault="002271C5" w:rsidP="002271C5">
            <w:pPr>
              <w:jc w:val="center"/>
              <w:rPr>
                <w:rFonts w:asciiTheme="majorHAnsi" w:hAnsiTheme="majorHAnsi" w:cstheme="majorHAnsi"/>
                <w:sz w:val="22"/>
                <w:szCs w:val="22"/>
              </w:rPr>
            </w:pPr>
            <w:r w:rsidRPr="0053555E">
              <w:rPr>
                <w:rFonts w:cs="Calibri"/>
                <w:sz w:val="22"/>
                <w:szCs w:val="18"/>
              </w:rPr>
              <w:t>-47</w:t>
            </w:r>
          </w:p>
        </w:tc>
        <w:tc>
          <w:tcPr>
            <w:tcW w:w="1134" w:type="dxa"/>
            <w:tcBorders>
              <w:top w:val="nil"/>
              <w:left w:val="nil"/>
              <w:bottom w:val="single" w:sz="4" w:space="0" w:color="auto"/>
              <w:right w:val="single" w:sz="8" w:space="0" w:color="auto"/>
            </w:tcBorders>
            <w:shd w:val="clear" w:color="auto" w:fill="EEECE1" w:themeFill="background2"/>
            <w:noWrap/>
            <w:vAlign w:val="bottom"/>
            <w:hideMark/>
          </w:tcPr>
          <w:p w14:paraId="037EA01A" w14:textId="75BF5159" w:rsidR="002271C5" w:rsidRPr="0053555E" w:rsidRDefault="002271C5" w:rsidP="002271C5">
            <w:pPr>
              <w:jc w:val="center"/>
              <w:rPr>
                <w:rFonts w:asciiTheme="majorHAnsi" w:hAnsiTheme="majorHAnsi" w:cstheme="majorHAnsi"/>
                <w:b/>
                <w:sz w:val="22"/>
                <w:szCs w:val="22"/>
              </w:rPr>
            </w:pPr>
            <w:r w:rsidRPr="0053555E">
              <w:rPr>
                <w:rFonts w:cs="Calibri"/>
                <w:b/>
                <w:bCs/>
                <w:sz w:val="22"/>
                <w:szCs w:val="20"/>
              </w:rPr>
              <w:t>1,45</w:t>
            </w:r>
          </w:p>
        </w:tc>
      </w:tr>
      <w:tr w:rsidR="002271C5" w:rsidRPr="0053555E" w14:paraId="4462C6F6" w14:textId="77777777" w:rsidTr="001605FB">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14:paraId="0221A21D" w14:textId="77777777" w:rsidR="002271C5" w:rsidRPr="0053555E" w:rsidRDefault="002271C5" w:rsidP="002271C5">
            <w:pPr>
              <w:tabs>
                <w:tab w:val="left" w:pos="9356"/>
              </w:tabs>
              <w:jc w:val="both"/>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FAD</w:t>
            </w:r>
          </w:p>
        </w:tc>
        <w:tc>
          <w:tcPr>
            <w:tcW w:w="567" w:type="dxa"/>
            <w:tcBorders>
              <w:top w:val="nil"/>
              <w:left w:val="nil"/>
              <w:bottom w:val="single" w:sz="4" w:space="0" w:color="auto"/>
              <w:right w:val="single" w:sz="4" w:space="0" w:color="auto"/>
            </w:tcBorders>
            <w:shd w:val="clear" w:color="auto" w:fill="auto"/>
            <w:noWrap/>
            <w:vAlign w:val="bottom"/>
            <w:hideMark/>
          </w:tcPr>
          <w:p w14:paraId="5F54F512" w14:textId="7B2CEB1A" w:rsidR="002271C5" w:rsidRPr="0053555E" w:rsidRDefault="002271C5" w:rsidP="002271C5">
            <w:pPr>
              <w:jc w:val="center"/>
              <w:rPr>
                <w:rFonts w:asciiTheme="majorHAnsi" w:hAnsiTheme="majorHAnsi" w:cstheme="majorHAnsi"/>
                <w:sz w:val="22"/>
                <w:szCs w:val="22"/>
              </w:rPr>
            </w:pPr>
            <w:r w:rsidRPr="0053555E">
              <w:rPr>
                <w:rFonts w:cs="Calibri"/>
                <w:sz w:val="22"/>
                <w:szCs w:val="18"/>
              </w:rPr>
              <w:t>24</w:t>
            </w:r>
          </w:p>
        </w:tc>
        <w:tc>
          <w:tcPr>
            <w:tcW w:w="567" w:type="dxa"/>
            <w:tcBorders>
              <w:top w:val="nil"/>
              <w:left w:val="nil"/>
              <w:bottom w:val="single" w:sz="4" w:space="0" w:color="auto"/>
              <w:right w:val="single" w:sz="4" w:space="0" w:color="auto"/>
            </w:tcBorders>
            <w:shd w:val="clear" w:color="auto" w:fill="auto"/>
            <w:noWrap/>
            <w:vAlign w:val="bottom"/>
            <w:hideMark/>
          </w:tcPr>
          <w:p w14:paraId="594A98C5" w14:textId="236FAFA4" w:rsidR="002271C5" w:rsidRPr="0053555E" w:rsidRDefault="002271C5" w:rsidP="002271C5">
            <w:pPr>
              <w:jc w:val="center"/>
              <w:rPr>
                <w:rFonts w:asciiTheme="majorHAnsi" w:hAnsiTheme="majorHAnsi" w:cstheme="majorHAnsi"/>
                <w:sz w:val="22"/>
                <w:szCs w:val="22"/>
              </w:rPr>
            </w:pPr>
            <w:r w:rsidRPr="0053555E">
              <w:rPr>
                <w:rFonts w:cs="Calibri"/>
                <w:sz w:val="22"/>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14:paraId="1DD39742" w14:textId="5CD28589" w:rsidR="002271C5" w:rsidRPr="0053555E" w:rsidRDefault="002271C5" w:rsidP="002271C5">
            <w:pPr>
              <w:jc w:val="center"/>
              <w:rPr>
                <w:rFonts w:asciiTheme="majorHAnsi" w:hAnsiTheme="majorHAnsi" w:cstheme="majorHAnsi"/>
                <w:sz w:val="22"/>
                <w:szCs w:val="22"/>
              </w:rPr>
            </w:pPr>
            <w:r w:rsidRPr="0053555E">
              <w:rPr>
                <w:rFonts w:cs="Calibri"/>
                <w:sz w:val="22"/>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595E82B6" w14:textId="73D53474" w:rsidR="002271C5" w:rsidRPr="0053555E" w:rsidRDefault="002271C5" w:rsidP="002271C5">
            <w:pPr>
              <w:jc w:val="center"/>
              <w:rPr>
                <w:rFonts w:asciiTheme="majorHAnsi" w:hAnsiTheme="majorHAnsi" w:cstheme="majorHAnsi"/>
                <w:sz w:val="22"/>
                <w:szCs w:val="22"/>
              </w:rPr>
            </w:pPr>
            <w:r w:rsidRPr="0053555E">
              <w:rPr>
                <w:rFonts w:cs="Calibri"/>
                <w:sz w:val="22"/>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14:paraId="19C961C0" w14:textId="1A3AB52B" w:rsidR="002271C5" w:rsidRPr="0053555E" w:rsidRDefault="002271C5" w:rsidP="002271C5">
            <w:pPr>
              <w:jc w:val="center"/>
              <w:rPr>
                <w:rFonts w:asciiTheme="majorHAnsi" w:hAnsiTheme="majorHAnsi" w:cstheme="majorHAnsi"/>
                <w:b/>
                <w:sz w:val="22"/>
                <w:szCs w:val="22"/>
              </w:rPr>
            </w:pPr>
            <w:r w:rsidRPr="0053555E">
              <w:rPr>
                <w:rFonts w:cs="Calibri"/>
                <w:sz w:val="22"/>
                <w:szCs w:val="18"/>
              </w:rPr>
              <w:t>33</w:t>
            </w:r>
          </w:p>
        </w:tc>
        <w:tc>
          <w:tcPr>
            <w:tcW w:w="850" w:type="dxa"/>
            <w:tcBorders>
              <w:top w:val="nil"/>
              <w:left w:val="nil"/>
              <w:bottom w:val="single" w:sz="4" w:space="0" w:color="auto"/>
              <w:right w:val="single" w:sz="4" w:space="0" w:color="auto"/>
            </w:tcBorders>
            <w:shd w:val="clear" w:color="auto" w:fill="auto"/>
            <w:noWrap/>
            <w:vAlign w:val="bottom"/>
            <w:hideMark/>
          </w:tcPr>
          <w:p w14:paraId="5DB7D039" w14:textId="4583A480" w:rsidR="002271C5" w:rsidRPr="0053555E" w:rsidRDefault="002271C5" w:rsidP="002271C5">
            <w:pPr>
              <w:jc w:val="center"/>
              <w:rPr>
                <w:rFonts w:asciiTheme="majorHAnsi" w:hAnsiTheme="majorHAnsi" w:cstheme="majorHAnsi"/>
                <w:sz w:val="22"/>
                <w:szCs w:val="22"/>
              </w:rPr>
            </w:pPr>
            <w:r w:rsidRPr="0053555E">
              <w:rPr>
                <w:rFonts w:cs="Calibri"/>
                <w:sz w:val="22"/>
                <w:szCs w:val="18"/>
              </w:rPr>
              <w:t>943</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14:paraId="6FBC13DD" w14:textId="4D2AFDED" w:rsidR="002271C5" w:rsidRPr="0053555E" w:rsidRDefault="002271C5" w:rsidP="002271C5">
            <w:pPr>
              <w:jc w:val="center"/>
              <w:rPr>
                <w:rFonts w:asciiTheme="majorHAnsi" w:hAnsiTheme="majorHAnsi" w:cstheme="majorHAnsi"/>
                <w:sz w:val="22"/>
                <w:szCs w:val="22"/>
              </w:rPr>
            </w:pPr>
            <w:r w:rsidRPr="0053555E">
              <w:rPr>
                <w:rFonts w:cs="Calibri"/>
                <w:sz w:val="22"/>
                <w:szCs w:val="20"/>
              </w:rPr>
              <w:t>3,5</w:t>
            </w:r>
            <w:r w:rsidR="002340AF" w:rsidRPr="0053555E">
              <w:rPr>
                <w:rFonts w:cs="Calibri"/>
                <w:sz w:val="22"/>
                <w:szCs w:val="20"/>
              </w:rPr>
              <w:t xml:space="preserve"> </w:t>
            </w:r>
            <w:r w:rsidRPr="0053555E">
              <w:rPr>
                <w:rFonts w:cs="Calibri"/>
                <w:sz w:val="22"/>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1D52FA7A" w14:textId="42346428" w:rsidR="002271C5" w:rsidRPr="0053555E" w:rsidRDefault="002271C5" w:rsidP="002271C5">
            <w:pPr>
              <w:jc w:val="center"/>
              <w:rPr>
                <w:rFonts w:asciiTheme="majorHAnsi" w:hAnsiTheme="majorHAnsi" w:cstheme="majorHAnsi"/>
                <w:sz w:val="22"/>
                <w:szCs w:val="22"/>
              </w:rPr>
            </w:pPr>
            <w:r w:rsidRPr="0053555E">
              <w:rPr>
                <w:rFonts w:cs="Calibri"/>
                <w:sz w:val="22"/>
                <w:szCs w:val="18"/>
              </w:rPr>
              <w:t>31</w:t>
            </w:r>
          </w:p>
        </w:tc>
        <w:tc>
          <w:tcPr>
            <w:tcW w:w="567" w:type="dxa"/>
            <w:tcBorders>
              <w:top w:val="nil"/>
              <w:left w:val="nil"/>
              <w:bottom w:val="single" w:sz="4" w:space="0" w:color="auto"/>
              <w:right w:val="single" w:sz="4" w:space="0" w:color="auto"/>
            </w:tcBorders>
            <w:shd w:val="clear" w:color="auto" w:fill="auto"/>
            <w:noWrap/>
            <w:vAlign w:val="bottom"/>
            <w:hideMark/>
          </w:tcPr>
          <w:p w14:paraId="135FD119" w14:textId="0286E3DA" w:rsidR="002271C5" w:rsidRPr="0053555E" w:rsidRDefault="002271C5" w:rsidP="002271C5">
            <w:pPr>
              <w:jc w:val="center"/>
              <w:rPr>
                <w:rFonts w:asciiTheme="majorHAnsi" w:hAnsiTheme="majorHAnsi" w:cstheme="majorHAnsi"/>
                <w:sz w:val="22"/>
                <w:szCs w:val="22"/>
              </w:rPr>
            </w:pPr>
            <w:r w:rsidRPr="0053555E">
              <w:rPr>
                <w:rFonts w:cs="Calibri"/>
                <w:sz w:val="22"/>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14:paraId="5DE55717" w14:textId="23828B44" w:rsidR="002271C5" w:rsidRPr="0053555E" w:rsidRDefault="002271C5" w:rsidP="002271C5">
            <w:pPr>
              <w:jc w:val="center"/>
              <w:rPr>
                <w:rFonts w:asciiTheme="majorHAnsi" w:hAnsiTheme="majorHAnsi" w:cstheme="majorHAnsi"/>
                <w:sz w:val="22"/>
                <w:szCs w:val="22"/>
              </w:rPr>
            </w:pPr>
            <w:r w:rsidRPr="0053555E">
              <w:rPr>
                <w:rFonts w:cs="Calibri"/>
                <w:sz w:val="22"/>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14:paraId="424AF13C" w14:textId="52F507E5" w:rsidR="002271C5" w:rsidRPr="0053555E" w:rsidRDefault="002271C5" w:rsidP="002271C5">
            <w:pPr>
              <w:jc w:val="center"/>
              <w:rPr>
                <w:rFonts w:asciiTheme="majorHAnsi" w:hAnsiTheme="majorHAnsi" w:cstheme="majorHAnsi"/>
                <w:sz w:val="22"/>
                <w:szCs w:val="22"/>
              </w:rPr>
            </w:pPr>
            <w:r w:rsidRPr="0053555E">
              <w:rPr>
                <w:rFonts w:cs="Calibri"/>
                <w:sz w:val="22"/>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14:paraId="50156981" w14:textId="3D5C7FDD" w:rsidR="002271C5" w:rsidRPr="0053555E" w:rsidRDefault="002271C5" w:rsidP="002271C5">
            <w:pPr>
              <w:jc w:val="center"/>
              <w:rPr>
                <w:rFonts w:asciiTheme="majorHAnsi" w:hAnsiTheme="majorHAnsi" w:cstheme="majorHAnsi"/>
                <w:b/>
                <w:sz w:val="22"/>
                <w:szCs w:val="22"/>
              </w:rPr>
            </w:pPr>
            <w:r w:rsidRPr="0053555E">
              <w:rPr>
                <w:rFonts w:cs="Calibri"/>
                <w:sz w:val="22"/>
                <w:szCs w:val="18"/>
              </w:rPr>
              <w:t>42</w:t>
            </w:r>
          </w:p>
        </w:tc>
        <w:tc>
          <w:tcPr>
            <w:tcW w:w="850" w:type="dxa"/>
            <w:tcBorders>
              <w:top w:val="nil"/>
              <w:left w:val="nil"/>
              <w:bottom w:val="single" w:sz="4" w:space="0" w:color="auto"/>
              <w:right w:val="single" w:sz="4" w:space="0" w:color="auto"/>
            </w:tcBorders>
            <w:shd w:val="clear" w:color="auto" w:fill="auto"/>
            <w:noWrap/>
            <w:vAlign w:val="bottom"/>
            <w:hideMark/>
          </w:tcPr>
          <w:p w14:paraId="607D6A7B" w14:textId="046D9E05" w:rsidR="002271C5" w:rsidRPr="0053555E" w:rsidRDefault="002271C5" w:rsidP="002271C5">
            <w:pPr>
              <w:jc w:val="center"/>
              <w:rPr>
                <w:rFonts w:asciiTheme="majorHAnsi" w:hAnsiTheme="majorHAnsi" w:cstheme="majorHAnsi"/>
                <w:sz w:val="22"/>
                <w:szCs w:val="22"/>
              </w:rPr>
            </w:pPr>
            <w:r w:rsidRPr="0053555E">
              <w:rPr>
                <w:rFonts w:cs="Calibri"/>
                <w:sz w:val="22"/>
                <w:szCs w:val="18"/>
              </w:rPr>
              <w:t>929</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14:paraId="466ACABF" w14:textId="4BE6BACB" w:rsidR="002271C5" w:rsidRPr="0053555E" w:rsidRDefault="002271C5" w:rsidP="002271C5">
            <w:pPr>
              <w:jc w:val="center"/>
              <w:rPr>
                <w:rFonts w:asciiTheme="majorHAnsi" w:hAnsiTheme="majorHAnsi" w:cstheme="majorHAnsi"/>
                <w:sz w:val="22"/>
                <w:szCs w:val="22"/>
              </w:rPr>
            </w:pPr>
            <w:r w:rsidRPr="0053555E">
              <w:rPr>
                <w:rFonts w:cs="Calibri"/>
                <w:sz w:val="22"/>
                <w:szCs w:val="20"/>
              </w:rPr>
              <w:t>4,5</w:t>
            </w:r>
            <w:r w:rsidR="002340AF" w:rsidRPr="0053555E">
              <w:rPr>
                <w:rFonts w:cs="Calibri"/>
                <w:sz w:val="22"/>
                <w:szCs w:val="20"/>
              </w:rPr>
              <w:t xml:space="preserve"> </w:t>
            </w:r>
            <w:r w:rsidRPr="0053555E">
              <w:rPr>
                <w:rFonts w:cs="Calibri"/>
                <w:sz w:val="22"/>
                <w:szCs w:val="20"/>
              </w:rPr>
              <w:t>%</w:t>
            </w:r>
          </w:p>
        </w:tc>
        <w:tc>
          <w:tcPr>
            <w:tcW w:w="517" w:type="dxa"/>
            <w:tcBorders>
              <w:top w:val="nil"/>
              <w:left w:val="nil"/>
              <w:bottom w:val="single" w:sz="4" w:space="0" w:color="auto"/>
              <w:right w:val="single" w:sz="4" w:space="0" w:color="auto"/>
            </w:tcBorders>
            <w:shd w:val="clear" w:color="auto" w:fill="auto"/>
            <w:noWrap/>
            <w:vAlign w:val="bottom"/>
            <w:hideMark/>
          </w:tcPr>
          <w:p w14:paraId="09F0E7F8" w14:textId="7063A351" w:rsidR="002271C5" w:rsidRPr="0053555E" w:rsidRDefault="002271C5" w:rsidP="002271C5">
            <w:pPr>
              <w:jc w:val="center"/>
              <w:rPr>
                <w:rFonts w:asciiTheme="majorHAnsi" w:hAnsiTheme="majorHAnsi" w:cstheme="majorHAnsi"/>
                <w:sz w:val="22"/>
                <w:szCs w:val="22"/>
              </w:rPr>
            </w:pPr>
            <w:r w:rsidRPr="0053555E">
              <w:rPr>
                <w:rFonts w:cs="Calibri"/>
                <w:sz w:val="22"/>
                <w:szCs w:val="18"/>
              </w:rPr>
              <w:t>7</w:t>
            </w:r>
          </w:p>
        </w:tc>
        <w:tc>
          <w:tcPr>
            <w:tcW w:w="517" w:type="dxa"/>
            <w:tcBorders>
              <w:top w:val="nil"/>
              <w:left w:val="nil"/>
              <w:bottom w:val="single" w:sz="4" w:space="0" w:color="auto"/>
              <w:right w:val="single" w:sz="4" w:space="0" w:color="auto"/>
            </w:tcBorders>
            <w:shd w:val="clear" w:color="auto" w:fill="auto"/>
            <w:noWrap/>
            <w:vAlign w:val="bottom"/>
            <w:hideMark/>
          </w:tcPr>
          <w:p w14:paraId="79FFBBC1" w14:textId="15840CD9" w:rsidR="002271C5" w:rsidRPr="0053555E" w:rsidRDefault="002271C5" w:rsidP="002271C5">
            <w:pPr>
              <w:jc w:val="center"/>
              <w:rPr>
                <w:rFonts w:asciiTheme="majorHAnsi" w:hAnsiTheme="majorHAnsi" w:cstheme="majorHAnsi"/>
                <w:sz w:val="22"/>
                <w:szCs w:val="22"/>
              </w:rPr>
            </w:pPr>
            <w:r w:rsidRPr="0053555E">
              <w:rPr>
                <w:rFonts w:cs="Calibri"/>
                <w:sz w:val="22"/>
                <w:szCs w:val="18"/>
              </w:rPr>
              <w:t>0</w:t>
            </w:r>
          </w:p>
        </w:tc>
        <w:tc>
          <w:tcPr>
            <w:tcW w:w="517" w:type="dxa"/>
            <w:tcBorders>
              <w:top w:val="nil"/>
              <w:left w:val="nil"/>
              <w:bottom w:val="single" w:sz="4" w:space="0" w:color="auto"/>
              <w:right w:val="single" w:sz="4" w:space="0" w:color="auto"/>
            </w:tcBorders>
            <w:shd w:val="clear" w:color="auto" w:fill="auto"/>
            <w:noWrap/>
            <w:vAlign w:val="bottom"/>
            <w:hideMark/>
          </w:tcPr>
          <w:p w14:paraId="62D2D0D3" w14:textId="05CCD2F8" w:rsidR="002271C5" w:rsidRPr="0053555E" w:rsidRDefault="002271C5" w:rsidP="002271C5">
            <w:pPr>
              <w:jc w:val="center"/>
              <w:rPr>
                <w:rFonts w:asciiTheme="majorHAnsi" w:hAnsiTheme="majorHAnsi" w:cstheme="majorHAnsi"/>
                <w:sz w:val="22"/>
                <w:szCs w:val="22"/>
              </w:rPr>
            </w:pPr>
            <w:r w:rsidRPr="0053555E">
              <w:rPr>
                <w:rFonts w:cs="Calibri"/>
                <w:sz w:val="22"/>
                <w:szCs w:val="18"/>
              </w:rPr>
              <w:t>2</w:t>
            </w:r>
          </w:p>
        </w:tc>
        <w:tc>
          <w:tcPr>
            <w:tcW w:w="517" w:type="dxa"/>
            <w:tcBorders>
              <w:top w:val="nil"/>
              <w:left w:val="nil"/>
              <w:bottom w:val="single" w:sz="4" w:space="0" w:color="auto"/>
              <w:right w:val="single" w:sz="4" w:space="0" w:color="auto"/>
            </w:tcBorders>
            <w:shd w:val="clear" w:color="auto" w:fill="auto"/>
            <w:noWrap/>
            <w:vAlign w:val="bottom"/>
            <w:hideMark/>
          </w:tcPr>
          <w:p w14:paraId="4CA21647" w14:textId="5897DECD" w:rsidR="002271C5" w:rsidRPr="0053555E" w:rsidRDefault="002271C5" w:rsidP="002271C5">
            <w:pPr>
              <w:jc w:val="center"/>
              <w:rPr>
                <w:rFonts w:asciiTheme="majorHAnsi" w:hAnsiTheme="majorHAnsi" w:cstheme="majorHAnsi"/>
                <w:sz w:val="22"/>
                <w:szCs w:val="22"/>
              </w:rPr>
            </w:pPr>
            <w:r w:rsidRPr="0053555E">
              <w:rPr>
                <w:rFonts w:cs="Calibri"/>
                <w:sz w:val="22"/>
                <w:szCs w:val="18"/>
              </w:rPr>
              <w:t>0</w:t>
            </w:r>
          </w:p>
        </w:tc>
        <w:tc>
          <w:tcPr>
            <w:tcW w:w="787" w:type="dxa"/>
            <w:tcBorders>
              <w:top w:val="nil"/>
              <w:left w:val="nil"/>
              <w:bottom w:val="single" w:sz="4" w:space="0" w:color="auto"/>
              <w:right w:val="single" w:sz="4" w:space="0" w:color="auto"/>
            </w:tcBorders>
            <w:shd w:val="clear" w:color="auto" w:fill="auto"/>
            <w:noWrap/>
            <w:vAlign w:val="bottom"/>
            <w:hideMark/>
          </w:tcPr>
          <w:p w14:paraId="013D83A7" w14:textId="438AF1EA" w:rsidR="002271C5" w:rsidRPr="0053555E" w:rsidRDefault="002271C5" w:rsidP="002271C5">
            <w:pPr>
              <w:jc w:val="center"/>
              <w:rPr>
                <w:rFonts w:asciiTheme="majorHAnsi" w:hAnsiTheme="majorHAnsi" w:cstheme="majorHAnsi"/>
                <w:sz w:val="22"/>
                <w:szCs w:val="22"/>
              </w:rPr>
            </w:pPr>
            <w:r w:rsidRPr="0053555E">
              <w:rPr>
                <w:rFonts w:cs="Calibri"/>
                <w:sz w:val="22"/>
                <w:szCs w:val="18"/>
              </w:rPr>
              <w:t>9</w:t>
            </w:r>
          </w:p>
        </w:tc>
        <w:tc>
          <w:tcPr>
            <w:tcW w:w="772" w:type="dxa"/>
            <w:tcBorders>
              <w:top w:val="nil"/>
              <w:left w:val="nil"/>
              <w:bottom w:val="single" w:sz="4" w:space="0" w:color="auto"/>
              <w:right w:val="single" w:sz="4" w:space="0" w:color="auto"/>
            </w:tcBorders>
            <w:shd w:val="clear" w:color="auto" w:fill="auto"/>
            <w:noWrap/>
            <w:vAlign w:val="bottom"/>
            <w:hideMark/>
          </w:tcPr>
          <w:p w14:paraId="2FF059B0" w14:textId="019245D0" w:rsidR="002271C5" w:rsidRPr="0053555E" w:rsidRDefault="002271C5" w:rsidP="002271C5">
            <w:pPr>
              <w:jc w:val="center"/>
              <w:rPr>
                <w:rFonts w:asciiTheme="majorHAnsi" w:hAnsiTheme="majorHAnsi" w:cstheme="majorHAnsi"/>
                <w:sz w:val="22"/>
                <w:szCs w:val="22"/>
              </w:rPr>
            </w:pPr>
            <w:r w:rsidRPr="0053555E">
              <w:rPr>
                <w:rFonts w:cs="Calibri"/>
                <w:sz w:val="22"/>
                <w:szCs w:val="18"/>
              </w:rPr>
              <w:t>-14</w:t>
            </w:r>
          </w:p>
        </w:tc>
        <w:tc>
          <w:tcPr>
            <w:tcW w:w="1134" w:type="dxa"/>
            <w:tcBorders>
              <w:top w:val="nil"/>
              <w:left w:val="nil"/>
              <w:bottom w:val="single" w:sz="4" w:space="0" w:color="auto"/>
              <w:right w:val="single" w:sz="8" w:space="0" w:color="auto"/>
            </w:tcBorders>
            <w:shd w:val="clear" w:color="auto" w:fill="EEECE1" w:themeFill="background2"/>
            <w:noWrap/>
            <w:vAlign w:val="bottom"/>
            <w:hideMark/>
          </w:tcPr>
          <w:p w14:paraId="32AD7B5F" w14:textId="3009EB02" w:rsidR="002271C5" w:rsidRPr="0053555E" w:rsidRDefault="002271C5" w:rsidP="002271C5">
            <w:pPr>
              <w:jc w:val="center"/>
              <w:rPr>
                <w:rFonts w:asciiTheme="majorHAnsi" w:hAnsiTheme="majorHAnsi" w:cstheme="majorHAnsi"/>
                <w:b/>
                <w:sz w:val="22"/>
                <w:szCs w:val="22"/>
              </w:rPr>
            </w:pPr>
            <w:r w:rsidRPr="0053555E">
              <w:rPr>
                <w:rFonts w:cs="Calibri"/>
                <w:b/>
                <w:bCs/>
                <w:sz w:val="22"/>
                <w:szCs w:val="20"/>
              </w:rPr>
              <w:t>1,27</w:t>
            </w:r>
          </w:p>
        </w:tc>
      </w:tr>
      <w:tr w:rsidR="002271C5" w:rsidRPr="0053555E" w14:paraId="7FCB514E" w14:textId="77777777" w:rsidTr="001605FB">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14:paraId="1C77AC97" w14:textId="77777777" w:rsidR="002271C5" w:rsidRPr="0053555E" w:rsidRDefault="002271C5" w:rsidP="002271C5">
            <w:pPr>
              <w:tabs>
                <w:tab w:val="left" w:pos="9356"/>
              </w:tabs>
              <w:jc w:val="both"/>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MTF</w:t>
            </w:r>
          </w:p>
        </w:tc>
        <w:tc>
          <w:tcPr>
            <w:tcW w:w="567" w:type="dxa"/>
            <w:tcBorders>
              <w:top w:val="nil"/>
              <w:left w:val="nil"/>
              <w:bottom w:val="single" w:sz="4" w:space="0" w:color="auto"/>
              <w:right w:val="single" w:sz="4" w:space="0" w:color="auto"/>
            </w:tcBorders>
            <w:shd w:val="clear" w:color="auto" w:fill="auto"/>
            <w:noWrap/>
            <w:vAlign w:val="bottom"/>
            <w:hideMark/>
          </w:tcPr>
          <w:p w14:paraId="3624D727" w14:textId="3E1008CD" w:rsidR="002271C5" w:rsidRPr="0053555E" w:rsidRDefault="002271C5" w:rsidP="002271C5">
            <w:pPr>
              <w:jc w:val="center"/>
              <w:rPr>
                <w:rFonts w:asciiTheme="majorHAnsi" w:hAnsiTheme="majorHAnsi" w:cstheme="majorHAnsi"/>
                <w:sz w:val="22"/>
                <w:szCs w:val="22"/>
              </w:rPr>
            </w:pPr>
            <w:r w:rsidRPr="0053555E">
              <w:rPr>
                <w:rFonts w:cs="Calibri"/>
                <w:sz w:val="22"/>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14:paraId="3E5EB2C8" w14:textId="7A8FDB4D" w:rsidR="002271C5" w:rsidRPr="0053555E" w:rsidRDefault="002271C5" w:rsidP="002271C5">
            <w:pPr>
              <w:jc w:val="center"/>
              <w:rPr>
                <w:rFonts w:asciiTheme="majorHAnsi" w:hAnsiTheme="majorHAnsi" w:cstheme="majorHAnsi"/>
                <w:sz w:val="22"/>
                <w:szCs w:val="22"/>
              </w:rPr>
            </w:pPr>
            <w:r w:rsidRPr="0053555E">
              <w:rPr>
                <w:rFonts w:cs="Calibri"/>
                <w:sz w:val="22"/>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14:paraId="51FD84A9" w14:textId="691947C0" w:rsidR="002271C5" w:rsidRPr="0053555E" w:rsidRDefault="002271C5" w:rsidP="002271C5">
            <w:pPr>
              <w:jc w:val="center"/>
              <w:rPr>
                <w:rFonts w:asciiTheme="majorHAnsi" w:hAnsiTheme="majorHAnsi" w:cstheme="majorHAnsi"/>
                <w:sz w:val="22"/>
                <w:szCs w:val="22"/>
              </w:rPr>
            </w:pPr>
            <w:r w:rsidRPr="0053555E">
              <w:rPr>
                <w:rFonts w:cs="Calibri"/>
                <w:sz w:val="22"/>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14:paraId="05D737B7" w14:textId="53A634E6" w:rsidR="002271C5" w:rsidRPr="0053555E" w:rsidRDefault="002271C5" w:rsidP="002271C5">
            <w:pPr>
              <w:jc w:val="center"/>
              <w:rPr>
                <w:rFonts w:asciiTheme="majorHAnsi" w:hAnsiTheme="majorHAnsi" w:cstheme="majorHAnsi"/>
                <w:sz w:val="22"/>
                <w:szCs w:val="22"/>
              </w:rPr>
            </w:pPr>
            <w:r w:rsidRPr="0053555E">
              <w:rPr>
                <w:rFonts w:cs="Calibri"/>
                <w:sz w:val="22"/>
                <w:szCs w:val="18"/>
              </w:rPr>
              <w:t>7</w:t>
            </w:r>
          </w:p>
        </w:tc>
        <w:tc>
          <w:tcPr>
            <w:tcW w:w="709" w:type="dxa"/>
            <w:tcBorders>
              <w:top w:val="nil"/>
              <w:left w:val="nil"/>
              <w:bottom w:val="single" w:sz="4" w:space="0" w:color="auto"/>
              <w:right w:val="single" w:sz="4" w:space="0" w:color="auto"/>
            </w:tcBorders>
            <w:shd w:val="clear" w:color="auto" w:fill="auto"/>
            <w:noWrap/>
            <w:vAlign w:val="bottom"/>
            <w:hideMark/>
          </w:tcPr>
          <w:p w14:paraId="2C8125AC" w14:textId="2FFE6C50" w:rsidR="002271C5" w:rsidRPr="0053555E" w:rsidRDefault="002271C5" w:rsidP="002271C5">
            <w:pPr>
              <w:jc w:val="center"/>
              <w:rPr>
                <w:rFonts w:asciiTheme="majorHAnsi" w:hAnsiTheme="majorHAnsi" w:cstheme="majorHAnsi"/>
                <w:b/>
                <w:sz w:val="22"/>
                <w:szCs w:val="22"/>
              </w:rPr>
            </w:pPr>
            <w:r w:rsidRPr="0053555E">
              <w:rPr>
                <w:rFonts w:cs="Calibri"/>
                <w:sz w:val="22"/>
                <w:szCs w:val="18"/>
              </w:rPr>
              <w:t>29</w:t>
            </w:r>
          </w:p>
        </w:tc>
        <w:tc>
          <w:tcPr>
            <w:tcW w:w="850" w:type="dxa"/>
            <w:tcBorders>
              <w:top w:val="nil"/>
              <w:left w:val="nil"/>
              <w:bottom w:val="single" w:sz="4" w:space="0" w:color="auto"/>
              <w:right w:val="single" w:sz="4" w:space="0" w:color="auto"/>
            </w:tcBorders>
            <w:shd w:val="clear" w:color="auto" w:fill="auto"/>
            <w:noWrap/>
            <w:vAlign w:val="bottom"/>
            <w:hideMark/>
          </w:tcPr>
          <w:p w14:paraId="718F082E" w14:textId="386A1CC4" w:rsidR="002271C5" w:rsidRPr="0053555E" w:rsidRDefault="002271C5" w:rsidP="002271C5">
            <w:pPr>
              <w:jc w:val="center"/>
              <w:rPr>
                <w:rFonts w:asciiTheme="majorHAnsi" w:hAnsiTheme="majorHAnsi" w:cstheme="majorHAnsi"/>
                <w:sz w:val="22"/>
                <w:szCs w:val="22"/>
              </w:rPr>
            </w:pPr>
            <w:r w:rsidRPr="0053555E">
              <w:rPr>
                <w:rFonts w:cs="Calibri"/>
                <w:sz w:val="22"/>
                <w:szCs w:val="18"/>
              </w:rPr>
              <w:t>1 786</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14:paraId="1739BE9B" w14:textId="055C3F00" w:rsidR="002271C5" w:rsidRPr="0053555E" w:rsidRDefault="002271C5" w:rsidP="002271C5">
            <w:pPr>
              <w:jc w:val="center"/>
              <w:rPr>
                <w:rFonts w:asciiTheme="majorHAnsi" w:hAnsiTheme="majorHAnsi" w:cstheme="majorHAnsi"/>
                <w:sz w:val="22"/>
                <w:szCs w:val="22"/>
              </w:rPr>
            </w:pPr>
            <w:r w:rsidRPr="0053555E">
              <w:rPr>
                <w:rFonts w:cs="Calibri"/>
                <w:sz w:val="22"/>
                <w:szCs w:val="20"/>
              </w:rPr>
              <w:t>1,6</w:t>
            </w:r>
            <w:r w:rsidR="002340AF" w:rsidRPr="0053555E">
              <w:rPr>
                <w:rFonts w:cs="Calibri"/>
                <w:sz w:val="22"/>
                <w:szCs w:val="20"/>
              </w:rPr>
              <w:t xml:space="preserve"> </w:t>
            </w:r>
            <w:r w:rsidRPr="0053555E">
              <w:rPr>
                <w:rFonts w:cs="Calibri"/>
                <w:sz w:val="22"/>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1D51F762" w14:textId="00200250" w:rsidR="002271C5" w:rsidRPr="0053555E" w:rsidRDefault="002271C5" w:rsidP="002271C5">
            <w:pPr>
              <w:jc w:val="center"/>
              <w:rPr>
                <w:rFonts w:asciiTheme="majorHAnsi" w:hAnsiTheme="majorHAnsi" w:cstheme="majorHAnsi"/>
                <w:sz w:val="22"/>
                <w:szCs w:val="22"/>
              </w:rPr>
            </w:pPr>
            <w:r w:rsidRPr="0053555E">
              <w:rPr>
                <w:rFonts w:cs="Calibri"/>
                <w:sz w:val="22"/>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14:paraId="6C8C317B" w14:textId="55454845" w:rsidR="002271C5" w:rsidRPr="0053555E" w:rsidRDefault="002271C5" w:rsidP="002271C5">
            <w:pPr>
              <w:jc w:val="center"/>
              <w:rPr>
                <w:rFonts w:asciiTheme="majorHAnsi" w:hAnsiTheme="majorHAnsi" w:cstheme="majorHAnsi"/>
                <w:sz w:val="22"/>
                <w:szCs w:val="22"/>
              </w:rPr>
            </w:pPr>
            <w:r w:rsidRPr="0053555E">
              <w:rPr>
                <w:rFonts w:cs="Calibri"/>
                <w:sz w:val="22"/>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14:paraId="59533571" w14:textId="39825D54" w:rsidR="002271C5" w:rsidRPr="0053555E" w:rsidRDefault="002271C5" w:rsidP="002271C5">
            <w:pPr>
              <w:jc w:val="center"/>
              <w:rPr>
                <w:rFonts w:asciiTheme="majorHAnsi" w:hAnsiTheme="majorHAnsi" w:cstheme="majorHAnsi"/>
                <w:sz w:val="22"/>
                <w:szCs w:val="22"/>
              </w:rPr>
            </w:pPr>
            <w:r w:rsidRPr="0053555E">
              <w:rPr>
                <w:rFonts w:cs="Calibri"/>
                <w:sz w:val="22"/>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68361055" w14:textId="00AC0460" w:rsidR="002271C5" w:rsidRPr="0053555E" w:rsidRDefault="002271C5" w:rsidP="002271C5">
            <w:pPr>
              <w:jc w:val="center"/>
              <w:rPr>
                <w:rFonts w:asciiTheme="majorHAnsi" w:hAnsiTheme="majorHAnsi" w:cstheme="majorHAnsi"/>
                <w:sz w:val="22"/>
                <w:szCs w:val="22"/>
              </w:rPr>
            </w:pPr>
            <w:r w:rsidRPr="0053555E">
              <w:rPr>
                <w:rFonts w:cs="Calibri"/>
                <w:sz w:val="22"/>
                <w:szCs w:val="18"/>
              </w:rPr>
              <w:t>7</w:t>
            </w:r>
          </w:p>
        </w:tc>
        <w:tc>
          <w:tcPr>
            <w:tcW w:w="709" w:type="dxa"/>
            <w:tcBorders>
              <w:top w:val="nil"/>
              <w:left w:val="nil"/>
              <w:bottom w:val="single" w:sz="4" w:space="0" w:color="auto"/>
              <w:right w:val="single" w:sz="4" w:space="0" w:color="auto"/>
            </w:tcBorders>
            <w:shd w:val="clear" w:color="auto" w:fill="auto"/>
            <w:noWrap/>
            <w:vAlign w:val="bottom"/>
            <w:hideMark/>
          </w:tcPr>
          <w:p w14:paraId="7D1D7660" w14:textId="7BE4E89B" w:rsidR="002271C5" w:rsidRPr="0053555E" w:rsidRDefault="002271C5" w:rsidP="002271C5">
            <w:pPr>
              <w:jc w:val="center"/>
              <w:rPr>
                <w:rFonts w:asciiTheme="majorHAnsi" w:hAnsiTheme="majorHAnsi" w:cstheme="majorHAnsi"/>
                <w:b/>
                <w:sz w:val="22"/>
                <w:szCs w:val="22"/>
              </w:rPr>
            </w:pPr>
            <w:r w:rsidRPr="0053555E">
              <w:rPr>
                <w:rFonts w:cs="Calibri"/>
                <w:sz w:val="22"/>
                <w:szCs w:val="18"/>
              </w:rPr>
              <w:t>34</w:t>
            </w:r>
          </w:p>
        </w:tc>
        <w:tc>
          <w:tcPr>
            <w:tcW w:w="850" w:type="dxa"/>
            <w:tcBorders>
              <w:top w:val="nil"/>
              <w:left w:val="nil"/>
              <w:bottom w:val="single" w:sz="4" w:space="0" w:color="auto"/>
              <w:right w:val="single" w:sz="4" w:space="0" w:color="auto"/>
            </w:tcBorders>
            <w:shd w:val="clear" w:color="auto" w:fill="auto"/>
            <w:noWrap/>
            <w:vAlign w:val="bottom"/>
            <w:hideMark/>
          </w:tcPr>
          <w:p w14:paraId="6E53377C" w14:textId="34FED7E3" w:rsidR="002271C5" w:rsidRPr="0053555E" w:rsidRDefault="002271C5" w:rsidP="002271C5">
            <w:pPr>
              <w:jc w:val="center"/>
              <w:rPr>
                <w:rFonts w:asciiTheme="majorHAnsi" w:hAnsiTheme="majorHAnsi" w:cstheme="majorHAnsi"/>
                <w:sz w:val="22"/>
                <w:szCs w:val="22"/>
              </w:rPr>
            </w:pPr>
            <w:r w:rsidRPr="0053555E">
              <w:rPr>
                <w:rFonts w:cs="Calibri"/>
                <w:sz w:val="22"/>
                <w:szCs w:val="18"/>
              </w:rPr>
              <w:t>1 700</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14:paraId="09847E92" w14:textId="6D98CD78" w:rsidR="002271C5" w:rsidRPr="0053555E" w:rsidRDefault="002271C5" w:rsidP="002271C5">
            <w:pPr>
              <w:jc w:val="center"/>
              <w:rPr>
                <w:rFonts w:asciiTheme="majorHAnsi" w:hAnsiTheme="majorHAnsi" w:cstheme="majorHAnsi"/>
                <w:sz w:val="22"/>
                <w:szCs w:val="22"/>
              </w:rPr>
            </w:pPr>
            <w:r w:rsidRPr="0053555E">
              <w:rPr>
                <w:rFonts w:cs="Calibri"/>
                <w:sz w:val="22"/>
                <w:szCs w:val="20"/>
              </w:rPr>
              <w:t>2,0</w:t>
            </w:r>
            <w:r w:rsidR="002340AF" w:rsidRPr="0053555E">
              <w:rPr>
                <w:rFonts w:cs="Calibri"/>
                <w:sz w:val="22"/>
                <w:szCs w:val="20"/>
              </w:rPr>
              <w:t xml:space="preserve"> </w:t>
            </w:r>
            <w:r w:rsidRPr="0053555E">
              <w:rPr>
                <w:rFonts w:cs="Calibri"/>
                <w:sz w:val="22"/>
                <w:szCs w:val="20"/>
              </w:rPr>
              <w:t>%</w:t>
            </w:r>
          </w:p>
        </w:tc>
        <w:tc>
          <w:tcPr>
            <w:tcW w:w="517" w:type="dxa"/>
            <w:tcBorders>
              <w:top w:val="nil"/>
              <w:left w:val="nil"/>
              <w:bottom w:val="single" w:sz="4" w:space="0" w:color="auto"/>
              <w:right w:val="single" w:sz="4" w:space="0" w:color="auto"/>
            </w:tcBorders>
            <w:shd w:val="clear" w:color="auto" w:fill="auto"/>
            <w:noWrap/>
            <w:vAlign w:val="bottom"/>
            <w:hideMark/>
          </w:tcPr>
          <w:p w14:paraId="3AF85785" w14:textId="63A97F99" w:rsidR="002271C5" w:rsidRPr="0053555E" w:rsidRDefault="002271C5" w:rsidP="002271C5">
            <w:pPr>
              <w:jc w:val="center"/>
              <w:rPr>
                <w:rFonts w:asciiTheme="majorHAnsi" w:hAnsiTheme="majorHAnsi" w:cstheme="majorHAnsi"/>
                <w:sz w:val="22"/>
                <w:szCs w:val="22"/>
              </w:rPr>
            </w:pPr>
            <w:r w:rsidRPr="0053555E">
              <w:rPr>
                <w:rFonts w:cs="Calibri"/>
                <w:sz w:val="22"/>
                <w:szCs w:val="18"/>
              </w:rPr>
              <w:t>9</w:t>
            </w:r>
          </w:p>
        </w:tc>
        <w:tc>
          <w:tcPr>
            <w:tcW w:w="517" w:type="dxa"/>
            <w:tcBorders>
              <w:top w:val="nil"/>
              <w:left w:val="nil"/>
              <w:bottom w:val="single" w:sz="4" w:space="0" w:color="auto"/>
              <w:right w:val="single" w:sz="4" w:space="0" w:color="auto"/>
            </w:tcBorders>
            <w:shd w:val="clear" w:color="auto" w:fill="auto"/>
            <w:noWrap/>
            <w:vAlign w:val="bottom"/>
            <w:hideMark/>
          </w:tcPr>
          <w:p w14:paraId="644250CC" w14:textId="6B6118B0" w:rsidR="002271C5" w:rsidRPr="0053555E" w:rsidRDefault="002271C5" w:rsidP="002271C5">
            <w:pPr>
              <w:jc w:val="center"/>
              <w:rPr>
                <w:rFonts w:asciiTheme="majorHAnsi" w:hAnsiTheme="majorHAnsi" w:cstheme="majorHAnsi"/>
                <w:sz w:val="22"/>
                <w:szCs w:val="22"/>
              </w:rPr>
            </w:pPr>
            <w:r w:rsidRPr="0053555E">
              <w:rPr>
                <w:rFonts w:cs="Calibri"/>
                <w:sz w:val="22"/>
                <w:szCs w:val="18"/>
              </w:rPr>
              <w:t>-2</w:t>
            </w:r>
          </w:p>
        </w:tc>
        <w:tc>
          <w:tcPr>
            <w:tcW w:w="517" w:type="dxa"/>
            <w:tcBorders>
              <w:top w:val="nil"/>
              <w:left w:val="nil"/>
              <w:bottom w:val="single" w:sz="4" w:space="0" w:color="auto"/>
              <w:right w:val="single" w:sz="4" w:space="0" w:color="auto"/>
            </w:tcBorders>
            <w:shd w:val="clear" w:color="auto" w:fill="auto"/>
            <w:noWrap/>
            <w:vAlign w:val="bottom"/>
            <w:hideMark/>
          </w:tcPr>
          <w:p w14:paraId="5F2286E3" w14:textId="33B9CFAD" w:rsidR="002271C5" w:rsidRPr="0053555E" w:rsidRDefault="002271C5" w:rsidP="002271C5">
            <w:pPr>
              <w:jc w:val="center"/>
              <w:rPr>
                <w:rFonts w:asciiTheme="majorHAnsi" w:hAnsiTheme="majorHAnsi" w:cstheme="majorHAnsi"/>
                <w:sz w:val="22"/>
                <w:szCs w:val="22"/>
              </w:rPr>
            </w:pPr>
            <w:r w:rsidRPr="0053555E">
              <w:rPr>
                <w:rFonts w:cs="Calibri"/>
                <w:sz w:val="22"/>
                <w:szCs w:val="18"/>
              </w:rPr>
              <w:t>-2</w:t>
            </w:r>
          </w:p>
        </w:tc>
        <w:tc>
          <w:tcPr>
            <w:tcW w:w="517" w:type="dxa"/>
            <w:tcBorders>
              <w:top w:val="nil"/>
              <w:left w:val="nil"/>
              <w:bottom w:val="single" w:sz="4" w:space="0" w:color="auto"/>
              <w:right w:val="single" w:sz="4" w:space="0" w:color="auto"/>
            </w:tcBorders>
            <w:shd w:val="clear" w:color="auto" w:fill="auto"/>
            <w:noWrap/>
            <w:vAlign w:val="bottom"/>
            <w:hideMark/>
          </w:tcPr>
          <w:p w14:paraId="4A9D9811" w14:textId="7235AAB0" w:rsidR="002271C5" w:rsidRPr="0053555E" w:rsidRDefault="002271C5" w:rsidP="002271C5">
            <w:pPr>
              <w:jc w:val="center"/>
              <w:rPr>
                <w:rFonts w:asciiTheme="majorHAnsi" w:hAnsiTheme="majorHAnsi" w:cstheme="majorHAnsi"/>
                <w:sz w:val="22"/>
                <w:szCs w:val="22"/>
              </w:rPr>
            </w:pPr>
            <w:r w:rsidRPr="0053555E">
              <w:rPr>
                <w:rFonts w:cs="Calibri"/>
                <w:sz w:val="22"/>
                <w:szCs w:val="18"/>
              </w:rPr>
              <w:t>0</w:t>
            </w:r>
          </w:p>
        </w:tc>
        <w:tc>
          <w:tcPr>
            <w:tcW w:w="787" w:type="dxa"/>
            <w:tcBorders>
              <w:top w:val="nil"/>
              <w:left w:val="nil"/>
              <w:bottom w:val="single" w:sz="4" w:space="0" w:color="auto"/>
              <w:right w:val="single" w:sz="4" w:space="0" w:color="auto"/>
            </w:tcBorders>
            <w:shd w:val="clear" w:color="auto" w:fill="auto"/>
            <w:noWrap/>
            <w:vAlign w:val="bottom"/>
            <w:hideMark/>
          </w:tcPr>
          <w:p w14:paraId="1ADFA9B5" w14:textId="710B1369" w:rsidR="002271C5" w:rsidRPr="0053555E" w:rsidRDefault="002271C5" w:rsidP="002271C5">
            <w:pPr>
              <w:jc w:val="center"/>
              <w:rPr>
                <w:rFonts w:asciiTheme="majorHAnsi" w:hAnsiTheme="majorHAnsi" w:cstheme="majorHAnsi"/>
                <w:sz w:val="22"/>
                <w:szCs w:val="22"/>
              </w:rPr>
            </w:pPr>
            <w:r w:rsidRPr="0053555E">
              <w:rPr>
                <w:rFonts w:cs="Calibri"/>
                <w:sz w:val="22"/>
                <w:szCs w:val="18"/>
              </w:rPr>
              <w:t>5</w:t>
            </w:r>
          </w:p>
        </w:tc>
        <w:tc>
          <w:tcPr>
            <w:tcW w:w="772" w:type="dxa"/>
            <w:tcBorders>
              <w:top w:val="nil"/>
              <w:left w:val="nil"/>
              <w:bottom w:val="single" w:sz="4" w:space="0" w:color="auto"/>
              <w:right w:val="single" w:sz="4" w:space="0" w:color="auto"/>
            </w:tcBorders>
            <w:shd w:val="clear" w:color="auto" w:fill="auto"/>
            <w:noWrap/>
            <w:vAlign w:val="bottom"/>
            <w:hideMark/>
          </w:tcPr>
          <w:p w14:paraId="117E3CF4" w14:textId="50402C4A" w:rsidR="002271C5" w:rsidRPr="0053555E" w:rsidRDefault="002271C5" w:rsidP="002271C5">
            <w:pPr>
              <w:jc w:val="center"/>
              <w:rPr>
                <w:rFonts w:asciiTheme="majorHAnsi" w:hAnsiTheme="majorHAnsi" w:cstheme="majorHAnsi"/>
                <w:sz w:val="22"/>
                <w:szCs w:val="22"/>
              </w:rPr>
            </w:pPr>
            <w:r w:rsidRPr="0053555E">
              <w:rPr>
                <w:rFonts w:cs="Calibri"/>
                <w:sz w:val="22"/>
                <w:szCs w:val="18"/>
              </w:rPr>
              <w:t>-86</w:t>
            </w:r>
          </w:p>
        </w:tc>
        <w:tc>
          <w:tcPr>
            <w:tcW w:w="1134" w:type="dxa"/>
            <w:tcBorders>
              <w:top w:val="nil"/>
              <w:left w:val="nil"/>
              <w:bottom w:val="single" w:sz="4" w:space="0" w:color="auto"/>
              <w:right w:val="single" w:sz="8" w:space="0" w:color="auto"/>
            </w:tcBorders>
            <w:shd w:val="clear" w:color="auto" w:fill="EEECE1" w:themeFill="background2"/>
            <w:noWrap/>
            <w:vAlign w:val="bottom"/>
            <w:hideMark/>
          </w:tcPr>
          <w:p w14:paraId="32F518F6" w14:textId="3670715B" w:rsidR="002271C5" w:rsidRPr="0053555E" w:rsidRDefault="002271C5" w:rsidP="002271C5">
            <w:pPr>
              <w:jc w:val="center"/>
              <w:rPr>
                <w:rFonts w:asciiTheme="majorHAnsi" w:hAnsiTheme="majorHAnsi" w:cstheme="majorHAnsi"/>
                <w:b/>
                <w:sz w:val="22"/>
                <w:szCs w:val="22"/>
              </w:rPr>
            </w:pPr>
            <w:r w:rsidRPr="0053555E">
              <w:rPr>
                <w:rFonts w:cs="Calibri"/>
                <w:b/>
                <w:bCs/>
                <w:sz w:val="22"/>
                <w:szCs w:val="20"/>
              </w:rPr>
              <w:t>1,17</w:t>
            </w:r>
          </w:p>
        </w:tc>
      </w:tr>
      <w:tr w:rsidR="002271C5" w:rsidRPr="0053555E" w14:paraId="7A922D02" w14:textId="77777777" w:rsidTr="001605FB">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14:paraId="35FB2987" w14:textId="77777777" w:rsidR="002271C5" w:rsidRPr="0053555E" w:rsidRDefault="002271C5" w:rsidP="002271C5">
            <w:pPr>
              <w:tabs>
                <w:tab w:val="left" w:pos="9356"/>
              </w:tabs>
              <w:jc w:val="both"/>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FIIT</w:t>
            </w:r>
          </w:p>
        </w:tc>
        <w:tc>
          <w:tcPr>
            <w:tcW w:w="567" w:type="dxa"/>
            <w:tcBorders>
              <w:top w:val="nil"/>
              <w:left w:val="nil"/>
              <w:bottom w:val="single" w:sz="4" w:space="0" w:color="auto"/>
              <w:right w:val="single" w:sz="4" w:space="0" w:color="auto"/>
            </w:tcBorders>
            <w:shd w:val="clear" w:color="auto" w:fill="auto"/>
            <w:noWrap/>
            <w:vAlign w:val="bottom"/>
            <w:hideMark/>
          </w:tcPr>
          <w:p w14:paraId="7F74F42F" w14:textId="712302C9" w:rsidR="002271C5" w:rsidRPr="0053555E" w:rsidRDefault="002271C5" w:rsidP="002271C5">
            <w:pPr>
              <w:jc w:val="center"/>
              <w:rPr>
                <w:rFonts w:asciiTheme="majorHAnsi" w:hAnsiTheme="majorHAnsi" w:cstheme="majorHAnsi"/>
                <w:sz w:val="22"/>
                <w:szCs w:val="22"/>
              </w:rPr>
            </w:pPr>
            <w:r w:rsidRPr="0053555E">
              <w:rPr>
                <w:rFonts w:cs="Calibri"/>
                <w:sz w:val="22"/>
                <w:szCs w:val="18"/>
              </w:rPr>
              <w:t>58</w:t>
            </w:r>
          </w:p>
        </w:tc>
        <w:tc>
          <w:tcPr>
            <w:tcW w:w="567" w:type="dxa"/>
            <w:tcBorders>
              <w:top w:val="nil"/>
              <w:left w:val="nil"/>
              <w:bottom w:val="single" w:sz="4" w:space="0" w:color="auto"/>
              <w:right w:val="single" w:sz="4" w:space="0" w:color="auto"/>
            </w:tcBorders>
            <w:shd w:val="clear" w:color="auto" w:fill="auto"/>
            <w:noWrap/>
            <w:vAlign w:val="bottom"/>
            <w:hideMark/>
          </w:tcPr>
          <w:p w14:paraId="44C8AE9A" w14:textId="0BB4CD01" w:rsidR="002271C5" w:rsidRPr="0053555E" w:rsidRDefault="002271C5" w:rsidP="002271C5">
            <w:pPr>
              <w:jc w:val="center"/>
              <w:rPr>
                <w:rFonts w:asciiTheme="majorHAnsi" w:hAnsiTheme="majorHAnsi" w:cstheme="majorHAnsi"/>
                <w:sz w:val="22"/>
                <w:szCs w:val="22"/>
              </w:rPr>
            </w:pPr>
            <w:r w:rsidRPr="0053555E">
              <w:rPr>
                <w:rFonts w:cs="Calibri"/>
                <w:sz w:val="22"/>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14:paraId="61DF29C7" w14:textId="79C2CC97" w:rsidR="002271C5" w:rsidRPr="0053555E" w:rsidRDefault="002271C5" w:rsidP="002271C5">
            <w:pPr>
              <w:jc w:val="center"/>
              <w:rPr>
                <w:rFonts w:asciiTheme="majorHAnsi" w:hAnsiTheme="majorHAnsi" w:cstheme="majorHAnsi"/>
                <w:sz w:val="22"/>
                <w:szCs w:val="22"/>
              </w:rPr>
            </w:pPr>
            <w:r w:rsidRPr="0053555E">
              <w:rPr>
                <w:rFonts w:cs="Calibri"/>
                <w:sz w:val="22"/>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14:paraId="49529D58" w14:textId="5C3BBF3C" w:rsidR="002271C5" w:rsidRPr="0053555E" w:rsidRDefault="002271C5" w:rsidP="002271C5">
            <w:pPr>
              <w:jc w:val="center"/>
              <w:rPr>
                <w:rFonts w:asciiTheme="majorHAnsi" w:hAnsiTheme="majorHAnsi" w:cstheme="majorHAnsi"/>
                <w:sz w:val="22"/>
                <w:szCs w:val="22"/>
              </w:rPr>
            </w:pPr>
            <w:r w:rsidRPr="0053555E">
              <w:rPr>
                <w:rFonts w:cs="Calibri"/>
                <w:sz w:val="22"/>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14:paraId="016B21F3" w14:textId="3C9EBAB3" w:rsidR="002271C5" w:rsidRPr="0053555E" w:rsidRDefault="002271C5" w:rsidP="002271C5">
            <w:pPr>
              <w:jc w:val="center"/>
              <w:rPr>
                <w:rFonts w:asciiTheme="majorHAnsi" w:hAnsiTheme="majorHAnsi" w:cstheme="majorHAnsi"/>
                <w:b/>
                <w:sz w:val="22"/>
                <w:szCs w:val="22"/>
              </w:rPr>
            </w:pPr>
            <w:r w:rsidRPr="0053555E">
              <w:rPr>
                <w:rFonts w:cs="Calibri"/>
                <w:sz w:val="22"/>
                <w:szCs w:val="18"/>
              </w:rPr>
              <w:t>79</w:t>
            </w:r>
          </w:p>
        </w:tc>
        <w:tc>
          <w:tcPr>
            <w:tcW w:w="850" w:type="dxa"/>
            <w:tcBorders>
              <w:top w:val="nil"/>
              <w:left w:val="nil"/>
              <w:bottom w:val="single" w:sz="4" w:space="0" w:color="auto"/>
              <w:right w:val="single" w:sz="4" w:space="0" w:color="auto"/>
            </w:tcBorders>
            <w:shd w:val="clear" w:color="auto" w:fill="auto"/>
            <w:noWrap/>
            <w:vAlign w:val="bottom"/>
            <w:hideMark/>
          </w:tcPr>
          <w:p w14:paraId="060206C0" w14:textId="69F4DD9C" w:rsidR="002271C5" w:rsidRPr="0053555E" w:rsidRDefault="002271C5" w:rsidP="002271C5">
            <w:pPr>
              <w:jc w:val="center"/>
              <w:rPr>
                <w:rFonts w:asciiTheme="majorHAnsi" w:hAnsiTheme="majorHAnsi" w:cstheme="majorHAnsi"/>
                <w:sz w:val="22"/>
                <w:szCs w:val="22"/>
              </w:rPr>
            </w:pPr>
            <w:r w:rsidRPr="0053555E">
              <w:rPr>
                <w:rFonts w:cs="Calibri"/>
                <w:sz w:val="22"/>
                <w:szCs w:val="18"/>
              </w:rPr>
              <w:t>1 141</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14:paraId="16C9B252" w14:textId="3EE98491" w:rsidR="002271C5" w:rsidRPr="0053555E" w:rsidRDefault="002271C5" w:rsidP="002271C5">
            <w:pPr>
              <w:jc w:val="center"/>
              <w:rPr>
                <w:rFonts w:asciiTheme="majorHAnsi" w:hAnsiTheme="majorHAnsi" w:cstheme="majorHAnsi"/>
                <w:sz w:val="22"/>
                <w:szCs w:val="22"/>
              </w:rPr>
            </w:pPr>
            <w:r w:rsidRPr="0053555E">
              <w:rPr>
                <w:rFonts w:cs="Calibri"/>
                <w:sz w:val="22"/>
                <w:szCs w:val="20"/>
              </w:rPr>
              <w:t>6,9</w:t>
            </w:r>
            <w:r w:rsidR="002340AF" w:rsidRPr="0053555E">
              <w:rPr>
                <w:rFonts w:cs="Calibri"/>
                <w:sz w:val="22"/>
                <w:szCs w:val="20"/>
              </w:rPr>
              <w:t xml:space="preserve"> </w:t>
            </w:r>
            <w:r w:rsidRPr="0053555E">
              <w:rPr>
                <w:rFonts w:cs="Calibri"/>
                <w:sz w:val="22"/>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52CAA619" w14:textId="31955335" w:rsidR="002271C5" w:rsidRPr="0053555E" w:rsidRDefault="002271C5" w:rsidP="002271C5">
            <w:pPr>
              <w:jc w:val="center"/>
              <w:rPr>
                <w:rFonts w:asciiTheme="majorHAnsi" w:hAnsiTheme="majorHAnsi" w:cstheme="majorHAnsi"/>
                <w:sz w:val="22"/>
                <w:szCs w:val="22"/>
              </w:rPr>
            </w:pPr>
            <w:r w:rsidRPr="0053555E">
              <w:rPr>
                <w:rFonts w:cs="Calibri"/>
                <w:sz w:val="22"/>
                <w:szCs w:val="18"/>
              </w:rPr>
              <w:t>106</w:t>
            </w:r>
          </w:p>
        </w:tc>
        <w:tc>
          <w:tcPr>
            <w:tcW w:w="567" w:type="dxa"/>
            <w:tcBorders>
              <w:top w:val="nil"/>
              <w:left w:val="nil"/>
              <w:bottom w:val="single" w:sz="4" w:space="0" w:color="auto"/>
              <w:right w:val="single" w:sz="4" w:space="0" w:color="auto"/>
            </w:tcBorders>
            <w:shd w:val="clear" w:color="auto" w:fill="auto"/>
            <w:noWrap/>
            <w:vAlign w:val="bottom"/>
            <w:hideMark/>
          </w:tcPr>
          <w:p w14:paraId="4352F164" w14:textId="1E4E7689" w:rsidR="002271C5" w:rsidRPr="0053555E" w:rsidRDefault="002271C5" w:rsidP="002271C5">
            <w:pPr>
              <w:jc w:val="center"/>
              <w:rPr>
                <w:rFonts w:asciiTheme="majorHAnsi" w:hAnsiTheme="majorHAnsi" w:cstheme="majorHAnsi"/>
                <w:sz w:val="22"/>
                <w:szCs w:val="22"/>
              </w:rPr>
            </w:pPr>
            <w:r w:rsidRPr="0053555E">
              <w:rPr>
                <w:rFonts w:cs="Calibri"/>
                <w:sz w:val="22"/>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14:paraId="6003735A" w14:textId="29A3008A" w:rsidR="002271C5" w:rsidRPr="0053555E" w:rsidRDefault="002271C5" w:rsidP="002271C5">
            <w:pPr>
              <w:jc w:val="center"/>
              <w:rPr>
                <w:rFonts w:asciiTheme="majorHAnsi" w:hAnsiTheme="majorHAnsi" w:cstheme="majorHAnsi"/>
                <w:sz w:val="22"/>
                <w:szCs w:val="22"/>
              </w:rPr>
            </w:pPr>
            <w:r w:rsidRPr="0053555E">
              <w:rPr>
                <w:rFonts w:cs="Calibri"/>
                <w:sz w:val="22"/>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14:paraId="7F6D1E5B" w14:textId="77A1B5EC" w:rsidR="002271C5" w:rsidRPr="0053555E" w:rsidRDefault="002271C5" w:rsidP="002271C5">
            <w:pPr>
              <w:jc w:val="center"/>
              <w:rPr>
                <w:rFonts w:asciiTheme="majorHAnsi" w:hAnsiTheme="majorHAnsi" w:cstheme="majorHAnsi"/>
                <w:sz w:val="22"/>
                <w:szCs w:val="22"/>
              </w:rPr>
            </w:pPr>
            <w:r w:rsidRPr="0053555E">
              <w:rPr>
                <w:rFonts w:cs="Calibri"/>
                <w:sz w:val="22"/>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14:paraId="18328106" w14:textId="011DDD7F" w:rsidR="002271C5" w:rsidRPr="0053555E" w:rsidRDefault="002271C5" w:rsidP="002271C5">
            <w:pPr>
              <w:jc w:val="center"/>
              <w:rPr>
                <w:rFonts w:asciiTheme="majorHAnsi" w:hAnsiTheme="majorHAnsi" w:cstheme="majorHAnsi"/>
                <w:b/>
                <w:sz w:val="22"/>
                <w:szCs w:val="22"/>
              </w:rPr>
            </w:pPr>
            <w:r w:rsidRPr="0053555E">
              <w:rPr>
                <w:rFonts w:cs="Calibri"/>
                <w:sz w:val="22"/>
                <w:szCs w:val="18"/>
              </w:rPr>
              <w:t>133</w:t>
            </w:r>
          </w:p>
        </w:tc>
        <w:tc>
          <w:tcPr>
            <w:tcW w:w="850" w:type="dxa"/>
            <w:tcBorders>
              <w:top w:val="nil"/>
              <w:left w:val="nil"/>
              <w:bottom w:val="single" w:sz="4" w:space="0" w:color="auto"/>
              <w:right w:val="single" w:sz="4" w:space="0" w:color="auto"/>
            </w:tcBorders>
            <w:shd w:val="clear" w:color="auto" w:fill="auto"/>
            <w:noWrap/>
            <w:vAlign w:val="bottom"/>
            <w:hideMark/>
          </w:tcPr>
          <w:p w14:paraId="648C6F50" w14:textId="7A1FF72E" w:rsidR="002271C5" w:rsidRPr="0053555E" w:rsidRDefault="002271C5" w:rsidP="002271C5">
            <w:pPr>
              <w:jc w:val="center"/>
              <w:rPr>
                <w:rFonts w:asciiTheme="majorHAnsi" w:hAnsiTheme="majorHAnsi" w:cstheme="majorHAnsi"/>
                <w:sz w:val="22"/>
                <w:szCs w:val="22"/>
              </w:rPr>
            </w:pPr>
            <w:r w:rsidRPr="0053555E">
              <w:rPr>
                <w:rFonts w:cs="Calibri"/>
                <w:sz w:val="22"/>
                <w:szCs w:val="18"/>
              </w:rPr>
              <w:t>1 133</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14:paraId="7A972960" w14:textId="1A0F58A0" w:rsidR="002271C5" w:rsidRPr="0053555E" w:rsidRDefault="002271C5" w:rsidP="002271C5">
            <w:pPr>
              <w:jc w:val="center"/>
              <w:rPr>
                <w:rFonts w:asciiTheme="majorHAnsi" w:hAnsiTheme="majorHAnsi" w:cstheme="majorHAnsi"/>
                <w:sz w:val="22"/>
                <w:szCs w:val="22"/>
              </w:rPr>
            </w:pPr>
            <w:r w:rsidRPr="0053555E">
              <w:rPr>
                <w:rFonts w:cs="Calibri"/>
                <w:sz w:val="22"/>
                <w:szCs w:val="20"/>
              </w:rPr>
              <w:t>11,7</w:t>
            </w:r>
            <w:r w:rsidR="002340AF" w:rsidRPr="0053555E">
              <w:rPr>
                <w:rFonts w:cs="Calibri"/>
                <w:sz w:val="22"/>
                <w:szCs w:val="20"/>
              </w:rPr>
              <w:t xml:space="preserve"> </w:t>
            </w:r>
            <w:r w:rsidRPr="0053555E">
              <w:rPr>
                <w:rFonts w:cs="Calibri"/>
                <w:sz w:val="22"/>
                <w:szCs w:val="20"/>
              </w:rPr>
              <w:t>%</w:t>
            </w:r>
          </w:p>
        </w:tc>
        <w:tc>
          <w:tcPr>
            <w:tcW w:w="517" w:type="dxa"/>
            <w:tcBorders>
              <w:top w:val="nil"/>
              <w:left w:val="nil"/>
              <w:bottom w:val="single" w:sz="4" w:space="0" w:color="auto"/>
              <w:right w:val="single" w:sz="4" w:space="0" w:color="auto"/>
            </w:tcBorders>
            <w:shd w:val="clear" w:color="auto" w:fill="auto"/>
            <w:noWrap/>
            <w:vAlign w:val="bottom"/>
            <w:hideMark/>
          </w:tcPr>
          <w:p w14:paraId="141B3580" w14:textId="5ED45440" w:rsidR="002271C5" w:rsidRPr="0053555E" w:rsidRDefault="002271C5" w:rsidP="002271C5">
            <w:pPr>
              <w:jc w:val="center"/>
              <w:rPr>
                <w:rFonts w:asciiTheme="majorHAnsi" w:hAnsiTheme="majorHAnsi" w:cstheme="majorHAnsi"/>
                <w:sz w:val="22"/>
                <w:szCs w:val="22"/>
              </w:rPr>
            </w:pPr>
            <w:r w:rsidRPr="0053555E">
              <w:rPr>
                <w:rFonts w:cs="Calibri"/>
                <w:sz w:val="22"/>
                <w:szCs w:val="18"/>
              </w:rPr>
              <w:t>48</w:t>
            </w:r>
          </w:p>
        </w:tc>
        <w:tc>
          <w:tcPr>
            <w:tcW w:w="517" w:type="dxa"/>
            <w:tcBorders>
              <w:top w:val="nil"/>
              <w:left w:val="nil"/>
              <w:bottom w:val="single" w:sz="4" w:space="0" w:color="auto"/>
              <w:right w:val="single" w:sz="4" w:space="0" w:color="auto"/>
            </w:tcBorders>
            <w:shd w:val="clear" w:color="auto" w:fill="auto"/>
            <w:noWrap/>
            <w:vAlign w:val="bottom"/>
            <w:hideMark/>
          </w:tcPr>
          <w:p w14:paraId="72E01915" w14:textId="29C5A462" w:rsidR="002271C5" w:rsidRPr="0053555E" w:rsidRDefault="002271C5" w:rsidP="002271C5">
            <w:pPr>
              <w:jc w:val="center"/>
              <w:rPr>
                <w:rFonts w:asciiTheme="majorHAnsi" w:hAnsiTheme="majorHAnsi" w:cstheme="majorHAnsi"/>
                <w:sz w:val="22"/>
                <w:szCs w:val="22"/>
              </w:rPr>
            </w:pPr>
            <w:r w:rsidRPr="0053555E">
              <w:rPr>
                <w:rFonts w:cs="Calibri"/>
                <w:sz w:val="22"/>
                <w:szCs w:val="18"/>
              </w:rPr>
              <w:t>0</w:t>
            </w:r>
          </w:p>
        </w:tc>
        <w:tc>
          <w:tcPr>
            <w:tcW w:w="517" w:type="dxa"/>
            <w:tcBorders>
              <w:top w:val="nil"/>
              <w:left w:val="nil"/>
              <w:bottom w:val="single" w:sz="4" w:space="0" w:color="auto"/>
              <w:right w:val="single" w:sz="4" w:space="0" w:color="auto"/>
            </w:tcBorders>
            <w:shd w:val="clear" w:color="auto" w:fill="auto"/>
            <w:noWrap/>
            <w:vAlign w:val="bottom"/>
            <w:hideMark/>
          </w:tcPr>
          <w:p w14:paraId="1A2F3391" w14:textId="198E8E11" w:rsidR="002271C5" w:rsidRPr="0053555E" w:rsidRDefault="002271C5" w:rsidP="002271C5">
            <w:pPr>
              <w:jc w:val="center"/>
              <w:rPr>
                <w:rFonts w:asciiTheme="majorHAnsi" w:hAnsiTheme="majorHAnsi" w:cstheme="majorHAnsi"/>
                <w:sz w:val="22"/>
                <w:szCs w:val="22"/>
              </w:rPr>
            </w:pPr>
            <w:r w:rsidRPr="0053555E">
              <w:rPr>
                <w:rFonts w:cs="Calibri"/>
                <w:sz w:val="22"/>
                <w:szCs w:val="18"/>
              </w:rPr>
              <w:t>5</w:t>
            </w:r>
          </w:p>
        </w:tc>
        <w:tc>
          <w:tcPr>
            <w:tcW w:w="517" w:type="dxa"/>
            <w:tcBorders>
              <w:top w:val="nil"/>
              <w:left w:val="nil"/>
              <w:bottom w:val="single" w:sz="4" w:space="0" w:color="auto"/>
              <w:right w:val="single" w:sz="4" w:space="0" w:color="auto"/>
            </w:tcBorders>
            <w:shd w:val="clear" w:color="auto" w:fill="auto"/>
            <w:noWrap/>
            <w:vAlign w:val="bottom"/>
            <w:hideMark/>
          </w:tcPr>
          <w:p w14:paraId="1FD9FBBF" w14:textId="75CD0DD4" w:rsidR="002271C5" w:rsidRPr="0053555E" w:rsidRDefault="002271C5" w:rsidP="002271C5">
            <w:pPr>
              <w:jc w:val="center"/>
              <w:rPr>
                <w:rFonts w:asciiTheme="majorHAnsi" w:hAnsiTheme="majorHAnsi" w:cstheme="majorHAnsi"/>
                <w:sz w:val="22"/>
                <w:szCs w:val="22"/>
              </w:rPr>
            </w:pPr>
            <w:r w:rsidRPr="0053555E">
              <w:rPr>
                <w:rFonts w:cs="Calibri"/>
                <w:sz w:val="22"/>
                <w:szCs w:val="18"/>
              </w:rPr>
              <w:t>1</w:t>
            </w:r>
          </w:p>
        </w:tc>
        <w:tc>
          <w:tcPr>
            <w:tcW w:w="787" w:type="dxa"/>
            <w:tcBorders>
              <w:top w:val="nil"/>
              <w:left w:val="nil"/>
              <w:bottom w:val="single" w:sz="4" w:space="0" w:color="auto"/>
              <w:right w:val="single" w:sz="4" w:space="0" w:color="auto"/>
            </w:tcBorders>
            <w:shd w:val="clear" w:color="auto" w:fill="auto"/>
            <w:noWrap/>
            <w:vAlign w:val="bottom"/>
            <w:hideMark/>
          </w:tcPr>
          <w:p w14:paraId="089B9F76" w14:textId="2FE4C20F" w:rsidR="002271C5" w:rsidRPr="0053555E" w:rsidRDefault="002271C5" w:rsidP="002271C5">
            <w:pPr>
              <w:jc w:val="center"/>
              <w:rPr>
                <w:rFonts w:asciiTheme="majorHAnsi" w:hAnsiTheme="majorHAnsi" w:cstheme="majorHAnsi"/>
                <w:sz w:val="22"/>
                <w:szCs w:val="22"/>
              </w:rPr>
            </w:pPr>
            <w:r w:rsidRPr="0053555E">
              <w:rPr>
                <w:rFonts w:cs="Calibri"/>
                <w:sz w:val="22"/>
                <w:szCs w:val="18"/>
              </w:rPr>
              <w:t>54</w:t>
            </w:r>
          </w:p>
        </w:tc>
        <w:tc>
          <w:tcPr>
            <w:tcW w:w="772" w:type="dxa"/>
            <w:tcBorders>
              <w:top w:val="nil"/>
              <w:left w:val="nil"/>
              <w:bottom w:val="single" w:sz="4" w:space="0" w:color="auto"/>
              <w:right w:val="single" w:sz="4" w:space="0" w:color="auto"/>
            </w:tcBorders>
            <w:shd w:val="clear" w:color="auto" w:fill="auto"/>
            <w:noWrap/>
            <w:vAlign w:val="bottom"/>
            <w:hideMark/>
          </w:tcPr>
          <w:p w14:paraId="554139DF" w14:textId="68207B10" w:rsidR="002271C5" w:rsidRPr="0053555E" w:rsidRDefault="002271C5" w:rsidP="002271C5">
            <w:pPr>
              <w:jc w:val="center"/>
              <w:rPr>
                <w:rFonts w:asciiTheme="majorHAnsi" w:hAnsiTheme="majorHAnsi" w:cstheme="majorHAnsi"/>
                <w:sz w:val="22"/>
                <w:szCs w:val="22"/>
              </w:rPr>
            </w:pPr>
            <w:r w:rsidRPr="0053555E">
              <w:rPr>
                <w:rFonts w:cs="Calibri"/>
                <w:sz w:val="22"/>
                <w:szCs w:val="18"/>
              </w:rPr>
              <w:t>-8</w:t>
            </w:r>
          </w:p>
        </w:tc>
        <w:tc>
          <w:tcPr>
            <w:tcW w:w="1134" w:type="dxa"/>
            <w:tcBorders>
              <w:top w:val="nil"/>
              <w:left w:val="nil"/>
              <w:bottom w:val="single" w:sz="4" w:space="0" w:color="auto"/>
              <w:right w:val="single" w:sz="8" w:space="0" w:color="auto"/>
            </w:tcBorders>
            <w:shd w:val="clear" w:color="auto" w:fill="EEECE1" w:themeFill="background2"/>
            <w:noWrap/>
            <w:vAlign w:val="bottom"/>
            <w:hideMark/>
          </w:tcPr>
          <w:p w14:paraId="42560F35" w14:textId="3783E9DF" w:rsidR="002271C5" w:rsidRPr="0053555E" w:rsidRDefault="002271C5" w:rsidP="002271C5">
            <w:pPr>
              <w:jc w:val="center"/>
              <w:rPr>
                <w:rFonts w:asciiTheme="majorHAnsi" w:hAnsiTheme="majorHAnsi" w:cstheme="majorHAnsi"/>
                <w:b/>
                <w:sz w:val="22"/>
                <w:szCs w:val="22"/>
              </w:rPr>
            </w:pPr>
            <w:r w:rsidRPr="0053555E">
              <w:rPr>
                <w:rFonts w:cs="Calibri"/>
                <w:b/>
                <w:bCs/>
                <w:sz w:val="22"/>
                <w:szCs w:val="20"/>
              </w:rPr>
              <w:t>1,68</w:t>
            </w:r>
          </w:p>
        </w:tc>
      </w:tr>
      <w:tr w:rsidR="002271C5" w:rsidRPr="0053555E" w14:paraId="1D7CD1A7" w14:textId="77777777" w:rsidTr="001605FB">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14:paraId="54D58DE0" w14:textId="77777777" w:rsidR="002271C5" w:rsidRPr="0053555E" w:rsidRDefault="002271C5" w:rsidP="002271C5">
            <w:pPr>
              <w:tabs>
                <w:tab w:val="left" w:pos="9356"/>
              </w:tabs>
              <w:jc w:val="both"/>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ÚM</w:t>
            </w:r>
          </w:p>
        </w:tc>
        <w:tc>
          <w:tcPr>
            <w:tcW w:w="567" w:type="dxa"/>
            <w:tcBorders>
              <w:top w:val="nil"/>
              <w:left w:val="nil"/>
              <w:bottom w:val="single" w:sz="4" w:space="0" w:color="auto"/>
              <w:right w:val="single" w:sz="4" w:space="0" w:color="auto"/>
            </w:tcBorders>
            <w:shd w:val="clear" w:color="auto" w:fill="auto"/>
            <w:noWrap/>
            <w:vAlign w:val="bottom"/>
            <w:hideMark/>
          </w:tcPr>
          <w:p w14:paraId="1FB0B6CC" w14:textId="27EAB60B" w:rsidR="002271C5" w:rsidRPr="0053555E" w:rsidRDefault="002271C5" w:rsidP="002271C5">
            <w:pPr>
              <w:jc w:val="center"/>
              <w:rPr>
                <w:rFonts w:asciiTheme="majorHAnsi" w:hAnsiTheme="majorHAnsi" w:cstheme="majorHAnsi"/>
                <w:sz w:val="22"/>
                <w:szCs w:val="22"/>
              </w:rPr>
            </w:pPr>
            <w:r w:rsidRPr="0053555E">
              <w:rPr>
                <w:rFonts w:cs="Calibri"/>
                <w:sz w:val="22"/>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14:paraId="59618394" w14:textId="7E7C3D39" w:rsidR="002271C5" w:rsidRPr="0053555E" w:rsidRDefault="002271C5" w:rsidP="002271C5">
            <w:pPr>
              <w:jc w:val="center"/>
              <w:rPr>
                <w:rFonts w:asciiTheme="majorHAnsi" w:hAnsiTheme="majorHAnsi" w:cstheme="majorHAnsi"/>
                <w:sz w:val="22"/>
                <w:szCs w:val="22"/>
              </w:rPr>
            </w:pPr>
            <w:r w:rsidRPr="0053555E">
              <w:rPr>
                <w:rFonts w:cs="Calibri"/>
                <w:sz w:val="22"/>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0D01ABF2" w14:textId="2FCEC67F" w:rsidR="002271C5" w:rsidRPr="0053555E" w:rsidRDefault="002271C5" w:rsidP="002271C5">
            <w:pPr>
              <w:jc w:val="center"/>
              <w:rPr>
                <w:rFonts w:asciiTheme="majorHAnsi" w:hAnsiTheme="majorHAnsi" w:cstheme="majorHAnsi"/>
                <w:sz w:val="22"/>
                <w:szCs w:val="22"/>
              </w:rPr>
            </w:pPr>
            <w:r w:rsidRPr="0053555E">
              <w:rPr>
                <w:rFonts w:cs="Calibri"/>
                <w:sz w:val="22"/>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142E1AF7" w14:textId="1B448C0C" w:rsidR="002271C5" w:rsidRPr="0053555E" w:rsidRDefault="002271C5" w:rsidP="002271C5">
            <w:pPr>
              <w:jc w:val="center"/>
              <w:rPr>
                <w:rFonts w:asciiTheme="majorHAnsi" w:hAnsiTheme="majorHAnsi" w:cstheme="majorHAnsi"/>
                <w:sz w:val="22"/>
                <w:szCs w:val="22"/>
              </w:rPr>
            </w:pPr>
            <w:r w:rsidRPr="0053555E">
              <w:rPr>
                <w:rFonts w:cs="Calibri"/>
                <w:sz w:val="22"/>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14:paraId="47CD241C" w14:textId="12B78188" w:rsidR="002271C5" w:rsidRPr="0053555E" w:rsidRDefault="002271C5" w:rsidP="002271C5">
            <w:pPr>
              <w:jc w:val="center"/>
              <w:rPr>
                <w:rFonts w:asciiTheme="majorHAnsi" w:hAnsiTheme="majorHAnsi" w:cstheme="majorHAnsi"/>
                <w:b/>
                <w:sz w:val="22"/>
                <w:szCs w:val="22"/>
              </w:rPr>
            </w:pPr>
            <w:r w:rsidRPr="0053555E">
              <w:rPr>
                <w:rFonts w:cs="Calibri"/>
                <w:sz w:val="22"/>
                <w:szCs w:val="18"/>
              </w:rPr>
              <w:t>15</w:t>
            </w:r>
          </w:p>
        </w:tc>
        <w:tc>
          <w:tcPr>
            <w:tcW w:w="850" w:type="dxa"/>
            <w:tcBorders>
              <w:top w:val="nil"/>
              <w:left w:val="nil"/>
              <w:bottom w:val="single" w:sz="4" w:space="0" w:color="auto"/>
              <w:right w:val="single" w:sz="4" w:space="0" w:color="auto"/>
            </w:tcBorders>
            <w:shd w:val="clear" w:color="auto" w:fill="auto"/>
            <w:noWrap/>
            <w:vAlign w:val="bottom"/>
            <w:hideMark/>
          </w:tcPr>
          <w:p w14:paraId="23EF30B9" w14:textId="4CAFA36D" w:rsidR="002271C5" w:rsidRPr="0053555E" w:rsidRDefault="002271C5" w:rsidP="002271C5">
            <w:pPr>
              <w:jc w:val="center"/>
              <w:rPr>
                <w:rFonts w:asciiTheme="majorHAnsi" w:hAnsiTheme="majorHAnsi" w:cstheme="majorHAnsi"/>
                <w:sz w:val="22"/>
                <w:szCs w:val="22"/>
              </w:rPr>
            </w:pPr>
            <w:r w:rsidRPr="0053555E">
              <w:rPr>
                <w:rFonts w:cs="Calibri"/>
                <w:sz w:val="22"/>
                <w:szCs w:val="18"/>
              </w:rPr>
              <w:t>154</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14:paraId="2A2CE7EC" w14:textId="1F8F96E7" w:rsidR="002271C5" w:rsidRPr="0053555E" w:rsidRDefault="002271C5" w:rsidP="002271C5">
            <w:pPr>
              <w:jc w:val="center"/>
              <w:rPr>
                <w:rFonts w:asciiTheme="majorHAnsi" w:hAnsiTheme="majorHAnsi" w:cstheme="majorHAnsi"/>
                <w:sz w:val="22"/>
                <w:szCs w:val="22"/>
              </w:rPr>
            </w:pPr>
            <w:r w:rsidRPr="0053555E">
              <w:rPr>
                <w:rFonts w:cs="Calibri"/>
                <w:sz w:val="22"/>
                <w:szCs w:val="20"/>
              </w:rPr>
              <w:t>9,7</w:t>
            </w:r>
            <w:r w:rsidR="002340AF" w:rsidRPr="0053555E">
              <w:rPr>
                <w:rFonts w:cs="Calibri"/>
                <w:sz w:val="22"/>
                <w:szCs w:val="20"/>
              </w:rPr>
              <w:t xml:space="preserve"> </w:t>
            </w:r>
            <w:r w:rsidRPr="0053555E">
              <w:rPr>
                <w:rFonts w:cs="Calibri"/>
                <w:sz w:val="22"/>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17CA23DA" w14:textId="39F514E5" w:rsidR="002271C5" w:rsidRPr="0053555E" w:rsidRDefault="002271C5" w:rsidP="002271C5">
            <w:pPr>
              <w:jc w:val="center"/>
              <w:rPr>
                <w:rFonts w:asciiTheme="majorHAnsi" w:hAnsiTheme="majorHAnsi" w:cstheme="majorHAnsi"/>
                <w:sz w:val="22"/>
                <w:szCs w:val="22"/>
              </w:rPr>
            </w:pPr>
            <w:r w:rsidRPr="0053555E">
              <w:rPr>
                <w:rFonts w:cs="Calibri"/>
                <w:sz w:val="22"/>
                <w:szCs w:val="18"/>
              </w:rPr>
              <w:t>28</w:t>
            </w:r>
          </w:p>
        </w:tc>
        <w:tc>
          <w:tcPr>
            <w:tcW w:w="567" w:type="dxa"/>
            <w:tcBorders>
              <w:top w:val="nil"/>
              <w:left w:val="nil"/>
              <w:bottom w:val="single" w:sz="4" w:space="0" w:color="auto"/>
              <w:right w:val="single" w:sz="4" w:space="0" w:color="auto"/>
            </w:tcBorders>
            <w:shd w:val="clear" w:color="auto" w:fill="auto"/>
            <w:noWrap/>
            <w:vAlign w:val="bottom"/>
            <w:hideMark/>
          </w:tcPr>
          <w:p w14:paraId="40CE10E0" w14:textId="575927DF" w:rsidR="002271C5" w:rsidRPr="0053555E" w:rsidRDefault="002271C5" w:rsidP="002271C5">
            <w:pPr>
              <w:jc w:val="center"/>
              <w:rPr>
                <w:rFonts w:asciiTheme="majorHAnsi" w:hAnsiTheme="majorHAnsi" w:cstheme="majorHAnsi"/>
                <w:sz w:val="22"/>
                <w:szCs w:val="22"/>
              </w:rPr>
            </w:pPr>
            <w:r w:rsidRPr="0053555E">
              <w:rPr>
                <w:rFonts w:cs="Calibri"/>
                <w:sz w:val="22"/>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14:paraId="3C6A416F" w14:textId="5BE12D35" w:rsidR="002271C5" w:rsidRPr="0053555E" w:rsidRDefault="002271C5" w:rsidP="002271C5">
            <w:pPr>
              <w:jc w:val="center"/>
              <w:rPr>
                <w:rFonts w:asciiTheme="majorHAnsi" w:hAnsiTheme="majorHAnsi" w:cstheme="majorHAnsi"/>
                <w:sz w:val="22"/>
                <w:szCs w:val="22"/>
              </w:rPr>
            </w:pPr>
            <w:r w:rsidRPr="0053555E">
              <w:rPr>
                <w:rFonts w:cs="Calibri"/>
                <w:sz w:val="22"/>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535D13EB" w14:textId="7DEAB132" w:rsidR="002271C5" w:rsidRPr="0053555E" w:rsidRDefault="002271C5" w:rsidP="002271C5">
            <w:pPr>
              <w:jc w:val="center"/>
              <w:rPr>
                <w:rFonts w:asciiTheme="majorHAnsi" w:hAnsiTheme="majorHAnsi" w:cstheme="majorHAnsi"/>
                <w:sz w:val="22"/>
                <w:szCs w:val="22"/>
              </w:rPr>
            </w:pPr>
            <w:r w:rsidRPr="0053555E">
              <w:rPr>
                <w:rFonts w:cs="Calibri"/>
                <w:sz w:val="22"/>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14:paraId="34D1FAFC" w14:textId="2D60A4D4" w:rsidR="002271C5" w:rsidRPr="0053555E" w:rsidRDefault="002271C5" w:rsidP="002271C5">
            <w:pPr>
              <w:jc w:val="center"/>
              <w:rPr>
                <w:rFonts w:asciiTheme="majorHAnsi" w:hAnsiTheme="majorHAnsi" w:cstheme="majorHAnsi"/>
                <w:b/>
                <w:sz w:val="22"/>
                <w:szCs w:val="22"/>
              </w:rPr>
            </w:pPr>
            <w:r w:rsidRPr="0053555E">
              <w:rPr>
                <w:rFonts w:cs="Calibri"/>
                <w:sz w:val="22"/>
                <w:szCs w:val="18"/>
              </w:rPr>
              <w:t>37</w:t>
            </w:r>
          </w:p>
        </w:tc>
        <w:tc>
          <w:tcPr>
            <w:tcW w:w="850" w:type="dxa"/>
            <w:tcBorders>
              <w:top w:val="nil"/>
              <w:left w:val="nil"/>
              <w:bottom w:val="single" w:sz="4" w:space="0" w:color="auto"/>
              <w:right w:val="single" w:sz="4" w:space="0" w:color="auto"/>
            </w:tcBorders>
            <w:shd w:val="clear" w:color="auto" w:fill="auto"/>
            <w:noWrap/>
            <w:vAlign w:val="bottom"/>
            <w:hideMark/>
          </w:tcPr>
          <w:p w14:paraId="76965C80" w14:textId="6CA41192" w:rsidR="002271C5" w:rsidRPr="0053555E" w:rsidRDefault="002271C5" w:rsidP="002271C5">
            <w:pPr>
              <w:jc w:val="center"/>
              <w:rPr>
                <w:rFonts w:asciiTheme="majorHAnsi" w:hAnsiTheme="majorHAnsi" w:cstheme="majorHAnsi"/>
                <w:sz w:val="22"/>
                <w:szCs w:val="22"/>
              </w:rPr>
            </w:pPr>
            <w:r w:rsidRPr="0053555E">
              <w:rPr>
                <w:rFonts w:cs="Calibri"/>
                <w:sz w:val="22"/>
                <w:szCs w:val="18"/>
              </w:rPr>
              <w:t>182</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14:paraId="01679B3B" w14:textId="59C7B87B" w:rsidR="002271C5" w:rsidRPr="0053555E" w:rsidRDefault="002271C5" w:rsidP="002271C5">
            <w:pPr>
              <w:jc w:val="center"/>
              <w:rPr>
                <w:rFonts w:asciiTheme="majorHAnsi" w:hAnsiTheme="majorHAnsi" w:cstheme="majorHAnsi"/>
                <w:sz w:val="22"/>
                <w:szCs w:val="22"/>
              </w:rPr>
            </w:pPr>
            <w:r w:rsidRPr="0053555E">
              <w:rPr>
                <w:rFonts w:cs="Calibri"/>
                <w:sz w:val="22"/>
                <w:szCs w:val="20"/>
              </w:rPr>
              <w:t>20,3</w:t>
            </w:r>
            <w:r w:rsidR="002340AF" w:rsidRPr="0053555E">
              <w:rPr>
                <w:rFonts w:cs="Calibri"/>
                <w:sz w:val="22"/>
                <w:szCs w:val="20"/>
              </w:rPr>
              <w:t xml:space="preserve"> </w:t>
            </w:r>
            <w:r w:rsidRPr="0053555E">
              <w:rPr>
                <w:rFonts w:cs="Calibri"/>
                <w:sz w:val="22"/>
                <w:szCs w:val="20"/>
              </w:rPr>
              <w:t>%</w:t>
            </w:r>
          </w:p>
        </w:tc>
        <w:tc>
          <w:tcPr>
            <w:tcW w:w="517" w:type="dxa"/>
            <w:tcBorders>
              <w:top w:val="nil"/>
              <w:left w:val="nil"/>
              <w:bottom w:val="single" w:sz="4" w:space="0" w:color="auto"/>
              <w:right w:val="single" w:sz="4" w:space="0" w:color="auto"/>
            </w:tcBorders>
            <w:shd w:val="clear" w:color="auto" w:fill="auto"/>
            <w:noWrap/>
            <w:vAlign w:val="bottom"/>
            <w:hideMark/>
          </w:tcPr>
          <w:p w14:paraId="7EBADC4E" w14:textId="7F340700" w:rsidR="002271C5" w:rsidRPr="0053555E" w:rsidRDefault="002271C5" w:rsidP="002271C5">
            <w:pPr>
              <w:jc w:val="center"/>
              <w:rPr>
                <w:rFonts w:asciiTheme="majorHAnsi" w:hAnsiTheme="majorHAnsi" w:cstheme="majorHAnsi"/>
                <w:sz w:val="22"/>
                <w:szCs w:val="22"/>
              </w:rPr>
            </w:pPr>
            <w:r w:rsidRPr="0053555E">
              <w:rPr>
                <w:rFonts w:cs="Calibri"/>
                <w:sz w:val="22"/>
                <w:szCs w:val="18"/>
              </w:rPr>
              <w:t>18</w:t>
            </w:r>
          </w:p>
        </w:tc>
        <w:tc>
          <w:tcPr>
            <w:tcW w:w="517" w:type="dxa"/>
            <w:tcBorders>
              <w:top w:val="nil"/>
              <w:left w:val="nil"/>
              <w:bottom w:val="single" w:sz="4" w:space="0" w:color="auto"/>
              <w:right w:val="single" w:sz="4" w:space="0" w:color="auto"/>
            </w:tcBorders>
            <w:shd w:val="clear" w:color="auto" w:fill="auto"/>
            <w:noWrap/>
            <w:vAlign w:val="bottom"/>
            <w:hideMark/>
          </w:tcPr>
          <w:p w14:paraId="61A28D2D" w14:textId="60648988" w:rsidR="002271C5" w:rsidRPr="0053555E" w:rsidRDefault="002271C5" w:rsidP="002271C5">
            <w:pPr>
              <w:jc w:val="center"/>
              <w:rPr>
                <w:rFonts w:asciiTheme="majorHAnsi" w:hAnsiTheme="majorHAnsi" w:cstheme="majorHAnsi"/>
                <w:sz w:val="22"/>
                <w:szCs w:val="22"/>
              </w:rPr>
            </w:pPr>
            <w:r w:rsidRPr="0053555E">
              <w:rPr>
                <w:rFonts w:cs="Calibri"/>
                <w:sz w:val="22"/>
                <w:szCs w:val="18"/>
              </w:rPr>
              <w:t>5</w:t>
            </w:r>
          </w:p>
        </w:tc>
        <w:tc>
          <w:tcPr>
            <w:tcW w:w="517" w:type="dxa"/>
            <w:tcBorders>
              <w:top w:val="nil"/>
              <w:left w:val="nil"/>
              <w:bottom w:val="single" w:sz="4" w:space="0" w:color="auto"/>
              <w:right w:val="single" w:sz="4" w:space="0" w:color="auto"/>
            </w:tcBorders>
            <w:shd w:val="clear" w:color="auto" w:fill="auto"/>
            <w:noWrap/>
            <w:vAlign w:val="bottom"/>
            <w:hideMark/>
          </w:tcPr>
          <w:p w14:paraId="340EF1DB" w14:textId="04BFD9E6" w:rsidR="002271C5" w:rsidRPr="0053555E" w:rsidRDefault="002271C5" w:rsidP="002271C5">
            <w:pPr>
              <w:jc w:val="center"/>
              <w:rPr>
                <w:rFonts w:asciiTheme="majorHAnsi" w:hAnsiTheme="majorHAnsi" w:cstheme="majorHAnsi"/>
                <w:sz w:val="22"/>
                <w:szCs w:val="22"/>
              </w:rPr>
            </w:pPr>
            <w:r w:rsidRPr="0053555E">
              <w:rPr>
                <w:rFonts w:cs="Calibri"/>
                <w:sz w:val="22"/>
                <w:szCs w:val="18"/>
              </w:rPr>
              <w:t>0</w:t>
            </w:r>
          </w:p>
        </w:tc>
        <w:tc>
          <w:tcPr>
            <w:tcW w:w="517" w:type="dxa"/>
            <w:tcBorders>
              <w:top w:val="nil"/>
              <w:left w:val="nil"/>
              <w:bottom w:val="single" w:sz="4" w:space="0" w:color="auto"/>
              <w:right w:val="single" w:sz="4" w:space="0" w:color="auto"/>
            </w:tcBorders>
            <w:shd w:val="clear" w:color="auto" w:fill="auto"/>
            <w:noWrap/>
            <w:vAlign w:val="bottom"/>
            <w:hideMark/>
          </w:tcPr>
          <w:p w14:paraId="3C6137B9" w14:textId="3F35726B" w:rsidR="002271C5" w:rsidRPr="0053555E" w:rsidRDefault="002271C5" w:rsidP="002271C5">
            <w:pPr>
              <w:jc w:val="center"/>
              <w:rPr>
                <w:rFonts w:asciiTheme="majorHAnsi" w:hAnsiTheme="majorHAnsi" w:cstheme="majorHAnsi"/>
                <w:sz w:val="22"/>
                <w:szCs w:val="22"/>
              </w:rPr>
            </w:pPr>
            <w:r w:rsidRPr="0053555E">
              <w:rPr>
                <w:rFonts w:cs="Calibri"/>
                <w:sz w:val="22"/>
                <w:szCs w:val="18"/>
              </w:rPr>
              <w:t>-1</w:t>
            </w:r>
          </w:p>
        </w:tc>
        <w:tc>
          <w:tcPr>
            <w:tcW w:w="787" w:type="dxa"/>
            <w:tcBorders>
              <w:top w:val="nil"/>
              <w:left w:val="nil"/>
              <w:bottom w:val="single" w:sz="4" w:space="0" w:color="auto"/>
              <w:right w:val="single" w:sz="4" w:space="0" w:color="auto"/>
            </w:tcBorders>
            <w:shd w:val="clear" w:color="auto" w:fill="auto"/>
            <w:noWrap/>
            <w:vAlign w:val="bottom"/>
            <w:hideMark/>
          </w:tcPr>
          <w:p w14:paraId="78A393E3" w14:textId="5F58F60F" w:rsidR="002271C5" w:rsidRPr="0053555E" w:rsidRDefault="002271C5" w:rsidP="002271C5">
            <w:pPr>
              <w:jc w:val="center"/>
              <w:rPr>
                <w:rFonts w:asciiTheme="majorHAnsi" w:hAnsiTheme="majorHAnsi" w:cstheme="majorHAnsi"/>
                <w:sz w:val="22"/>
                <w:szCs w:val="22"/>
              </w:rPr>
            </w:pPr>
            <w:r w:rsidRPr="0053555E">
              <w:rPr>
                <w:rFonts w:cs="Calibri"/>
                <w:sz w:val="22"/>
                <w:szCs w:val="18"/>
              </w:rPr>
              <w:t>22</w:t>
            </w:r>
          </w:p>
        </w:tc>
        <w:tc>
          <w:tcPr>
            <w:tcW w:w="772" w:type="dxa"/>
            <w:tcBorders>
              <w:top w:val="nil"/>
              <w:left w:val="nil"/>
              <w:bottom w:val="single" w:sz="4" w:space="0" w:color="auto"/>
              <w:right w:val="single" w:sz="4" w:space="0" w:color="auto"/>
            </w:tcBorders>
            <w:shd w:val="clear" w:color="auto" w:fill="auto"/>
            <w:noWrap/>
            <w:vAlign w:val="bottom"/>
            <w:hideMark/>
          </w:tcPr>
          <w:p w14:paraId="366D69F2" w14:textId="445EF0E3" w:rsidR="002271C5" w:rsidRPr="0053555E" w:rsidRDefault="002271C5" w:rsidP="002271C5">
            <w:pPr>
              <w:jc w:val="center"/>
              <w:rPr>
                <w:rFonts w:asciiTheme="majorHAnsi" w:hAnsiTheme="majorHAnsi" w:cstheme="majorHAnsi"/>
                <w:sz w:val="22"/>
                <w:szCs w:val="22"/>
              </w:rPr>
            </w:pPr>
            <w:r w:rsidRPr="0053555E">
              <w:rPr>
                <w:rFonts w:cs="Calibri"/>
                <w:sz w:val="22"/>
                <w:szCs w:val="18"/>
              </w:rPr>
              <w:t>28</w:t>
            </w:r>
          </w:p>
        </w:tc>
        <w:tc>
          <w:tcPr>
            <w:tcW w:w="1134" w:type="dxa"/>
            <w:tcBorders>
              <w:top w:val="nil"/>
              <w:left w:val="nil"/>
              <w:bottom w:val="single" w:sz="4" w:space="0" w:color="auto"/>
              <w:right w:val="single" w:sz="8" w:space="0" w:color="auto"/>
            </w:tcBorders>
            <w:shd w:val="clear" w:color="auto" w:fill="EEECE1" w:themeFill="background2"/>
            <w:noWrap/>
            <w:vAlign w:val="bottom"/>
            <w:hideMark/>
          </w:tcPr>
          <w:p w14:paraId="1E8633C5" w14:textId="445DA890" w:rsidR="002271C5" w:rsidRPr="0053555E" w:rsidRDefault="002271C5" w:rsidP="002271C5">
            <w:pPr>
              <w:jc w:val="center"/>
              <w:rPr>
                <w:rFonts w:asciiTheme="majorHAnsi" w:hAnsiTheme="majorHAnsi" w:cstheme="majorHAnsi"/>
                <w:b/>
                <w:sz w:val="22"/>
                <w:szCs w:val="22"/>
              </w:rPr>
            </w:pPr>
            <w:r w:rsidRPr="0053555E">
              <w:rPr>
                <w:rFonts w:cs="Calibri"/>
                <w:b/>
                <w:bCs/>
                <w:sz w:val="22"/>
                <w:szCs w:val="20"/>
              </w:rPr>
              <w:t>2,47</w:t>
            </w:r>
          </w:p>
        </w:tc>
      </w:tr>
      <w:tr w:rsidR="002271C5" w:rsidRPr="0053555E" w14:paraId="309171A6" w14:textId="77777777" w:rsidTr="001605FB">
        <w:trPr>
          <w:trHeight w:val="255"/>
        </w:trPr>
        <w:tc>
          <w:tcPr>
            <w:tcW w:w="709" w:type="dxa"/>
            <w:tcBorders>
              <w:top w:val="nil"/>
              <w:left w:val="single" w:sz="8" w:space="0" w:color="auto"/>
              <w:bottom w:val="single" w:sz="4" w:space="0" w:color="auto"/>
              <w:right w:val="single" w:sz="8" w:space="0" w:color="auto"/>
            </w:tcBorders>
            <w:shd w:val="clear" w:color="auto" w:fill="EEECE1" w:themeFill="background2"/>
            <w:noWrap/>
            <w:vAlign w:val="bottom"/>
            <w:hideMark/>
          </w:tcPr>
          <w:p w14:paraId="5883B946" w14:textId="77777777" w:rsidR="002271C5" w:rsidRPr="0053555E" w:rsidRDefault="002271C5" w:rsidP="002271C5">
            <w:pPr>
              <w:tabs>
                <w:tab w:val="left" w:pos="9356"/>
              </w:tabs>
              <w:jc w:val="both"/>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STU</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14:paraId="5067A8D1" w14:textId="3BF8592C"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536</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14:paraId="33C43377" w14:textId="27290731"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131</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14:paraId="08F73865" w14:textId="32C0F5A6"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47</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14:paraId="0F3B3E35" w14:textId="28B363E9"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22</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6ECE1D9D" w14:textId="53172603"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736</w:t>
            </w:r>
          </w:p>
        </w:tc>
        <w:tc>
          <w:tcPr>
            <w:tcW w:w="850" w:type="dxa"/>
            <w:tcBorders>
              <w:top w:val="nil"/>
              <w:left w:val="nil"/>
              <w:bottom w:val="single" w:sz="4" w:space="0" w:color="auto"/>
              <w:right w:val="single" w:sz="4" w:space="0" w:color="auto"/>
            </w:tcBorders>
            <w:shd w:val="clear" w:color="auto" w:fill="EEECE1" w:themeFill="background2"/>
            <w:noWrap/>
            <w:vAlign w:val="bottom"/>
            <w:hideMark/>
          </w:tcPr>
          <w:p w14:paraId="7453103C" w14:textId="198A4B7A"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10 678</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14:paraId="31A2C5E8" w14:textId="629CE8CB" w:rsidR="002271C5" w:rsidRPr="0053555E" w:rsidRDefault="002271C5" w:rsidP="002271C5">
            <w:pPr>
              <w:jc w:val="center"/>
              <w:rPr>
                <w:rFonts w:asciiTheme="majorHAnsi" w:hAnsiTheme="majorHAnsi" w:cstheme="majorHAnsi"/>
                <w:sz w:val="22"/>
                <w:szCs w:val="22"/>
              </w:rPr>
            </w:pPr>
            <w:r w:rsidRPr="0053555E">
              <w:rPr>
                <w:rFonts w:cs="Calibri"/>
                <w:b/>
                <w:bCs/>
                <w:sz w:val="22"/>
                <w:szCs w:val="20"/>
              </w:rPr>
              <w:t>6,9</w:t>
            </w:r>
            <w:r w:rsidR="002340AF" w:rsidRPr="0053555E">
              <w:rPr>
                <w:rFonts w:cs="Calibri"/>
                <w:b/>
                <w:bCs/>
                <w:sz w:val="22"/>
                <w:szCs w:val="20"/>
              </w:rPr>
              <w:t xml:space="preserve"> </w:t>
            </w:r>
            <w:r w:rsidRPr="0053555E">
              <w:rPr>
                <w:rFonts w:cs="Calibri"/>
                <w:b/>
                <w:bCs/>
                <w:sz w:val="22"/>
                <w:szCs w:val="20"/>
              </w:rPr>
              <w:t>%</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14:paraId="4C8F35B7" w14:textId="5A1FB644"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744</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14:paraId="2D0C7E8E" w14:textId="55CCDC52"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156</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14:paraId="535FD597" w14:textId="6FAEDA4B"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63</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14:paraId="1E91F10D" w14:textId="7901A2D9"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24</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5FD9487A" w14:textId="51D00716"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987</w:t>
            </w:r>
          </w:p>
        </w:tc>
        <w:tc>
          <w:tcPr>
            <w:tcW w:w="850" w:type="dxa"/>
            <w:tcBorders>
              <w:top w:val="nil"/>
              <w:left w:val="nil"/>
              <w:bottom w:val="single" w:sz="4" w:space="0" w:color="auto"/>
              <w:right w:val="single" w:sz="4" w:space="0" w:color="auto"/>
            </w:tcBorders>
            <w:shd w:val="clear" w:color="auto" w:fill="EEECE1" w:themeFill="background2"/>
            <w:noWrap/>
            <w:vAlign w:val="bottom"/>
            <w:hideMark/>
          </w:tcPr>
          <w:p w14:paraId="2DBE5879" w14:textId="61BAB985"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10 543</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14:paraId="7A54DFDD" w14:textId="5DFD3607" w:rsidR="002271C5" w:rsidRPr="0053555E" w:rsidRDefault="002271C5" w:rsidP="002271C5">
            <w:pPr>
              <w:jc w:val="center"/>
              <w:rPr>
                <w:rFonts w:asciiTheme="majorHAnsi" w:hAnsiTheme="majorHAnsi" w:cstheme="majorHAnsi"/>
                <w:sz w:val="22"/>
                <w:szCs w:val="22"/>
              </w:rPr>
            </w:pPr>
            <w:r w:rsidRPr="0053555E">
              <w:rPr>
                <w:rFonts w:cs="Calibri"/>
                <w:b/>
                <w:bCs/>
                <w:sz w:val="22"/>
                <w:szCs w:val="20"/>
              </w:rPr>
              <w:t>9,4</w:t>
            </w:r>
            <w:r w:rsidR="002340AF" w:rsidRPr="0053555E">
              <w:rPr>
                <w:rFonts w:cs="Calibri"/>
                <w:b/>
                <w:bCs/>
                <w:sz w:val="22"/>
                <w:szCs w:val="20"/>
              </w:rPr>
              <w:t xml:space="preserve"> </w:t>
            </w:r>
            <w:r w:rsidRPr="0053555E">
              <w:rPr>
                <w:rFonts w:cs="Calibri"/>
                <w:b/>
                <w:bCs/>
                <w:sz w:val="22"/>
                <w:szCs w:val="20"/>
              </w:rPr>
              <w:t>%</w:t>
            </w:r>
          </w:p>
        </w:tc>
        <w:tc>
          <w:tcPr>
            <w:tcW w:w="517" w:type="dxa"/>
            <w:tcBorders>
              <w:top w:val="nil"/>
              <w:left w:val="nil"/>
              <w:bottom w:val="single" w:sz="4" w:space="0" w:color="auto"/>
              <w:right w:val="single" w:sz="4" w:space="0" w:color="auto"/>
            </w:tcBorders>
            <w:shd w:val="clear" w:color="auto" w:fill="EEECE1" w:themeFill="background2"/>
            <w:noWrap/>
            <w:vAlign w:val="bottom"/>
            <w:hideMark/>
          </w:tcPr>
          <w:p w14:paraId="251D0D2F" w14:textId="6D2F8D37"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208</w:t>
            </w:r>
          </w:p>
        </w:tc>
        <w:tc>
          <w:tcPr>
            <w:tcW w:w="517" w:type="dxa"/>
            <w:tcBorders>
              <w:top w:val="nil"/>
              <w:left w:val="nil"/>
              <w:bottom w:val="single" w:sz="4" w:space="0" w:color="auto"/>
              <w:right w:val="single" w:sz="4" w:space="0" w:color="auto"/>
            </w:tcBorders>
            <w:shd w:val="clear" w:color="auto" w:fill="EEECE1" w:themeFill="background2"/>
            <w:noWrap/>
            <w:vAlign w:val="bottom"/>
            <w:hideMark/>
          </w:tcPr>
          <w:p w14:paraId="668F8D21" w14:textId="20F85421"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25</w:t>
            </w:r>
          </w:p>
        </w:tc>
        <w:tc>
          <w:tcPr>
            <w:tcW w:w="517" w:type="dxa"/>
            <w:tcBorders>
              <w:top w:val="nil"/>
              <w:left w:val="nil"/>
              <w:bottom w:val="single" w:sz="4" w:space="0" w:color="auto"/>
              <w:right w:val="single" w:sz="4" w:space="0" w:color="auto"/>
            </w:tcBorders>
            <w:shd w:val="clear" w:color="auto" w:fill="EEECE1" w:themeFill="background2"/>
            <w:noWrap/>
            <w:vAlign w:val="bottom"/>
            <w:hideMark/>
          </w:tcPr>
          <w:p w14:paraId="2C2608A6" w14:textId="75F4D587"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16</w:t>
            </w:r>
          </w:p>
        </w:tc>
        <w:tc>
          <w:tcPr>
            <w:tcW w:w="517" w:type="dxa"/>
            <w:tcBorders>
              <w:top w:val="nil"/>
              <w:left w:val="nil"/>
              <w:bottom w:val="single" w:sz="4" w:space="0" w:color="auto"/>
              <w:right w:val="single" w:sz="4" w:space="0" w:color="auto"/>
            </w:tcBorders>
            <w:shd w:val="clear" w:color="auto" w:fill="EEECE1" w:themeFill="background2"/>
            <w:noWrap/>
            <w:vAlign w:val="bottom"/>
            <w:hideMark/>
          </w:tcPr>
          <w:p w14:paraId="4A26A417" w14:textId="2AFD15F3"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2</w:t>
            </w:r>
          </w:p>
        </w:tc>
        <w:tc>
          <w:tcPr>
            <w:tcW w:w="787" w:type="dxa"/>
            <w:tcBorders>
              <w:top w:val="nil"/>
              <w:left w:val="nil"/>
              <w:bottom w:val="single" w:sz="4" w:space="0" w:color="auto"/>
              <w:right w:val="single" w:sz="4" w:space="0" w:color="auto"/>
            </w:tcBorders>
            <w:shd w:val="clear" w:color="auto" w:fill="EEECE1" w:themeFill="background2"/>
            <w:noWrap/>
            <w:vAlign w:val="bottom"/>
            <w:hideMark/>
          </w:tcPr>
          <w:p w14:paraId="4771F3C0" w14:textId="0F45AD15"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251</w:t>
            </w:r>
          </w:p>
        </w:tc>
        <w:tc>
          <w:tcPr>
            <w:tcW w:w="772" w:type="dxa"/>
            <w:tcBorders>
              <w:top w:val="nil"/>
              <w:left w:val="nil"/>
              <w:bottom w:val="single" w:sz="4" w:space="0" w:color="auto"/>
              <w:right w:val="single" w:sz="4" w:space="0" w:color="auto"/>
            </w:tcBorders>
            <w:shd w:val="clear" w:color="auto" w:fill="EEECE1" w:themeFill="background2"/>
            <w:noWrap/>
            <w:vAlign w:val="bottom"/>
            <w:hideMark/>
          </w:tcPr>
          <w:p w14:paraId="79A0EE14" w14:textId="4E9E4324"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18"/>
              </w:rPr>
              <w:t>-135</w:t>
            </w:r>
          </w:p>
        </w:tc>
        <w:tc>
          <w:tcPr>
            <w:tcW w:w="1134" w:type="dxa"/>
            <w:tcBorders>
              <w:top w:val="nil"/>
              <w:left w:val="nil"/>
              <w:bottom w:val="single" w:sz="4" w:space="0" w:color="auto"/>
              <w:right w:val="single" w:sz="8" w:space="0" w:color="auto"/>
            </w:tcBorders>
            <w:shd w:val="clear" w:color="auto" w:fill="EEECE1" w:themeFill="background2"/>
            <w:noWrap/>
            <w:vAlign w:val="bottom"/>
            <w:hideMark/>
          </w:tcPr>
          <w:p w14:paraId="2DDA7399" w14:textId="339EB6FA" w:rsidR="002271C5" w:rsidRPr="0053555E" w:rsidRDefault="002271C5" w:rsidP="002271C5">
            <w:pPr>
              <w:jc w:val="center"/>
              <w:rPr>
                <w:rFonts w:asciiTheme="majorHAnsi" w:hAnsiTheme="majorHAnsi" w:cstheme="majorHAnsi"/>
                <w:b/>
                <w:bCs/>
                <w:sz w:val="22"/>
                <w:szCs w:val="22"/>
              </w:rPr>
            </w:pPr>
            <w:r w:rsidRPr="0053555E">
              <w:rPr>
                <w:rFonts w:cs="Calibri"/>
                <w:b/>
                <w:bCs/>
                <w:sz w:val="22"/>
                <w:szCs w:val="20"/>
              </w:rPr>
              <w:t>1,34</w:t>
            </w:r>
          </w:p>
        </w:tc>
      </w:tr>
    </w:tbl>
    <w:p w14:paraId="56C1C891" w14:textId="77777777" w:rsidR="0042210A" w:rsidRPr="0053555E" w:rsidRDefault="0042210A" w:rsidP="0042210A">
      <w:pPr>
        <w:tabs>
          <w:tab w:val="left" w:pos="9356"/>
        </w:tabs>
        <w:jc w:val="both"/>
        <w:rPr>
          <w:rFonts w:asciiTheme="majorHAnsi" w:hAnsiTheme="majorHAnsi" w:cstheme="majorHAnsi"/>
        </w:rPr>
      </w:pPr>
    </w:p>
    <w:p w14:paraId="633845A7" w14:textId="77777777" w:rsidR="0042210A" w:rsidRPr="0053555E" w:rsidRDefault="0042210A" w:rsidP="0042210A">
      <w:pPr>
        <w:tabs>
          <w:tab w:val="left" w:pos="9356"/>
        </w:tabs>
        <w:jc w:val="both"/>
        <w:rPr>
          <w:rFonts w:asciiTheme="majorHAnsi" w:hAnsiTheme="majorHAnsi" w:cstheme="majorHAnsi"/>
          <w:sz w:val="20"/>
        </w:rPr>
      </w:pPr>
      <w:r w:rsidRPr="0053555E">
        <w:rPr>
          <w:rFonts w:asciiTheme="majorHAnsi" w:hAnsiTheme="majorHAnsi" w:cstheme="majorHAnsi"/>
          <w:sz w:val="20"/>
        </w:rPr>
        <w:t>Vysvetlivky:</w:t>
      </w:r>
    </w:p>
    <w:p w14:paraId="00D515DA" w14:textId="77777777" w:rsidR="0042210A" w:rsidRPr="0053555E" w:rsidRDefault="0042210A" w:rsidP="0042210A">
      <w:pPr>
        <w:tabs>
          <w:tab w:val="left" w:pos="9356"/>
        </w:tabs>
        <w:jc w:val="both"/>
        <w:rPr>
          <w:rFonts w:asciiTheme="majorHAnsi" w:hAnsiTheme="majorHAnsi" w:cstheme="majorHAnsi"/>
          <w:sz w:val="20"/>
        </w:rPr>
      </w:pPr>
      <w:r w:rsidRPr="0053555E">
        <w:rPr>
          <w:rFonts w:asciiTheme="majorHAnsi" w:hAnsiTheme="majorHAnsi" w:cstheme="majorHAnsi"/>
          <w:sz w:val="20"/>
        </w:rPr>
        <w:t>ZŠ - zahraniční študenti</w:t>
      </w:r>
    </w:p>
    <w:p w14:paraId="09B3FB2E" w14:textId="77777777" w:rsidR="0042210A" w:rsidRPr="0053555E" w:rsidRDefault="0042210A" w:rsidP="0042210A">
      <w:pPr>
        <w:tabs>
          <w:tab w:val="left" w:pos="9356"/>
        </w:tabs>
        <w:jc w:val="both"/>
        <w:rPr>
          <w:rFonts w:asciiTheme="majorHAnsi" w:hAnsiTheme="majorHAnsi" w:cstheme="majorHAnsi"/>
          <w:sz w:val="20"/>
        </w:rPr>
      </w:pPr>
      <w:r w:rsidRPr="0053555E">
        <w:rPr>
          <w:rFonts w:asciiTheme="majorHAnsi" w:hAnsiTheme="majorHAnsi" w:cstheme="majorHAnsi"/>
          <w:sz w:val="20"/>
        </w:rPr>
        <w:sym w:font="Symbol" w:char="F053"/>
      </w:r>
      <w:r w:rsidRPr="0053555E">
        <w:rPr>
          <w:rFonts w:asciiTheme="majorHAnsi" w:hAnsiTheme="majorHAnsi" w:cstheme="majorHAnsi"/>
          <w:sz w:val="20"/>
          <w:vertAlign w:val="subscript"/>
        </w:rPr>
        <w:t>ZŠ</w:t>
      </w:r>
      <w:r w:rsidRPr="0053555E">
        <w:rPr>
          <w:rFonts w:asciiTheme="majorHAnsi" w:hAnsiTheme="majorHAnsi" w:cstheme="majorHAnsi"/>
          <w:sz w:val="20"/>
        </w:rPr>
        <w:t xml:space="preserve"> - celkový počet zahraničných študentov</w:t>
      </w:r>
    </w:p>
    <w:p w14:paraId="58B7C2EA" w14:textId="77777777" w:rsidR="0042210A" w:rsidRPr="0053555E" w:rsidRDefault="0042210A" w:rsidP="0042210A">
      <w:pPr>
        <w:tabs>
          <w:tab w:val="left" w:pos="9356"/>
        </w:tabs>
        <w:jc w:val="both"/>
        <w:rPr>
          <w:rFonts w:asciiTheme="majorHAnsi" w:hAnsiTheme="majorHAnsi" w:cstheme="majorHAnsi"/>
          <w:sz w:val="20"/>
        </w:rPr>
      </w:pPr>
      <w:r w:rsidRPr="0053555E">
        <w:rPr>
          <w:rFonts w:asciiTheme="majorHAnsi" w:hAnsiTheme="majorHAnsi" w:cstheme="majorHAnsi"/>
          <w:sz w:val="20"/>
        </w:rPr>
        <w:t>Stav študentov k 31. 10. príslušného akademického roka</w:t>
      </w:r>
    </w:p>
    <w:p w14:paraId="1CBD80FC" w14:textId="77777777" w:rsidR="0042210A" w:rsidRPr="0053555E" w:rsidRDefault="0042210A" w:rsidP="0042210A">
      <w:pPr>
        <w:tabs>
          <w:tab w:val="left" w:pos="9356"/>
        </w:tabs>
        <w:jc w:val="both"/>
        <w:rPr>
          <w:rFonts w:asciiTheme="majorHAnsi" w:hAnsiTheme="majorHAnsi" w:cstheme="majorHAnsi"/>
          <w:sz w:val="22"/>
        </w:rPr>
      </w:pPr>
    </w:p>
    <w:p w14:paraId="2D0A09FB" w14:textId="77777777" w:rsidR="0042210A" w:rsidRPr="0053555E" w:rsidRDefault="0042210A" w:rsidP="0042210A">
      <w:pPr>
        <w:tabs>
          <w:tab w:val="left" w:pos="9356"/>
        </w:tabs>
        <w:jc w:val="both"/>
        <w:rPr>
          <w:rFonts w:asciiTheme="majorHAnsi" w:hAnsiTheme="majorHAnsi" w:cstheme="majorHAnsi"/>
        </w:rPr>
      </w:pPr>
    </w:p>
    <w:p w14:paraId="752DB221" w14:textId="77777777" w:rsidR="0042210A" w:rsidRPr="0053555E" w:rsidRDefault="0042210A" w:rsidP="0042210A">
      <w:pPr>
        <w:tabs>
          <w:tab w:val="left" w:pos="9356"/>
        </w:tabs>
        <w:jc w:val="both"/>
        <w:rPr>
          <w:rFonts w:asciiTheme="majorHAnsi" w:hAnsiTheme="majorHAnsi" w:cstheme="majorHAnsi"/>
        </w:rPr>
        <w:sectPr w:rsidR="0042210A" w:rsidRPr="0053555E" w:rsidSect="00A705B8">
          <w:headerReference w:type="default" r:id="rId30"/>
          <w:pgSz w:w="16838" w:h="11906" w:orient="landscape"/>
          <w:pgMar w:top="1417" w:right="1560" w:bottom="991" w:left="1134" w:header="708" w:footer="545" w:gutter="0"/>
          <w:cols w:space="708"/>
          <w:docGrid w:linePitch="326"/>
        </w:sectPr>
      </w:pPr>
    </w:p>
    <w:p w14:paraId="751794EB" w14:textId="25344C26" w:rsidR="002071AC" w:rsidRPr="00F722C4" w:rsidRDefault="00F722C4" w:rsidP="00F722C4">
      <w:pPr>
        <w:rPr>
          <w:b/>
          <w:sz w:val="28"/>
          <w:szCs w:val="28"/>
        </w:rPr>
      </w:pPr>
      <w:bookmarkStart w:id="74" w:name="_Počty_a_štruktúra"/>
      <w:bookmarkStart w:id="75" w:name="_Informácie_o_akademickej"/>
      <w:bookmarkStart w:id="76" w:name="_Toc127593221"/>
      <w:bookmarkEnd w:id="74"/>
      <w:bookmarkEnd w:id="75"/>
      <w:r w:rsidRPr="00F722C4">
        <w:rPr>
          <w:b/>
          <w:sz w:val="28"/>
          <w:szCs w:val="28"/>
        </w:rPr>
        <w:lastRenderedPageBreak/>
        <w:t xml:space="preserve">3.3. </w:t>
      </w:r>
      <w:r w:rsidR="002071AC" w:rsidRPr="00F722C4">
        <w:rPr>
          <w:b/>
          <w:sz w:val="28"/>
          <w:szCs w:val="28"/>
        </w:rPr>
        <w:t xml:space="preserve">Informácie o akademickej mobilite </w:t>
      </w:r>
      <w:r w:rsidR="00A43934" w:rsidRPr="00F722C4">
        <w:rPr>
          <w:b/>
          <w:sz w:val="28"/>
          <w:szCs w:val="28"/>
        </w:rPr>
        <w:t xml:space="preserve">študentov </w:t>
      </w:r>
      <w:r w:rsidR="003E769A" w:rsidRPr="00F722C4">
        <w:rPr>
          <w:b/>
          <w:sz w:val="28"/>
          <w:szCs w:val="28"/>
        </w:rPr>
        <w:t>na</w:t>
      </w:r>
      <w:r w:rsidR="002071AC" w:rsidRPr="00F722C4">
        <w:rPr>
          <w:b/>
          <w:sz w:val="28"/>
          <w:szCs w:val="28"/>
        </w:rPr>
        <w:t xml:space="preserve"> STU</w:t>
      </w:r>
      <w:bookmarkEnd w:id="76"/>
    </w:p>
    <w:p w14:paraId="625A2325" w14:textId="77777777" w:rsidR="00F722C4" w:rsidRPr="00F722C4" w:rsidRDefault="00F722C4" w:rsidP="00F722C4"/>
    <w:p w14:paraId="07F340FC" w14:textId="3CCEDDE7" w:rsidR="00786B55" w:rsidRPr="004566D0" w:rsidRDefault="00586600" w:rsidP="004566D0">
      <w:pPr>
        <w:pStyle w:val="Normlnywebov"/>
        <w:tabs>
          <w:tab w:val="left" w:pos="9356"/>
        </w:tabs>
        <w:spacing w:before="0" w:beforeAutospacing="0" w:after="120" w:afterAutospacing="0"/>
        <w:jc w:val="both"/>
        <w:rPr>
          <w:rFonts w:asciiTheme="majorHAnsi" w:hAnsiTheme="majorHAnsi" w:cstheme="majorHAnsi"/>
        </w:rPr>
      </w:pPr>
      <w:r w:rsidRPr="00586600">
        <w:rPr>
          <w:rFonts w:asciiTheme="majorHAnsi" w:hAnsiTheme="majorHAnsi" w:cstheme="majorHAnsi"/>
        </w:rPr>
        <w:t>STU vysiela študentov na medzinárodné akademické mobility za účelom štúdia na zahraničných vysokých školách alebo pracovnej stáže prostredníctvom rôznych výmenných programov. Opakovane už ni</w:t>
      </w:r>
      <w:r w:rsidR="004566D0">
        <w:rPr>
          <w:rFonts w:asciiTheme="majorHAnsi" w:hAnsiTheme="majorHAnsi" w:cstheme="majorHAnsi"/>
        </w:rPr>
        <w:t>ekoľko rokov je najpopulárnejší</w:t>
      </w:r>
      <w:r w:rsidRPr="00586600">
        <w:rPr>
          <w:rFonts w:asciiTheme="majorHAnsi" w:hAnsiTheme="majorHAnsi" w:cstheme="majorHAnsi"/>
        </w:rPr>
        <w:t xml:space="preserve"> program Erasmus+. S novým </w:t>
      </w:r>
      <w:r w:rsidR="00F722C4">
        <w:rPr>
          <w:rFonts w:asciiTheme="majorHAnsi" w:hAnsiTheme="majorHAnsi" w:cstheme="majorHAnsi"/>
        </w:rPr>
        <w:t>programovým obdobím prišli</w:t>
      </w:r>
      <w:r w:rsidRPr="00586600">
        <w:rPr>
          <w:rFonts w:asciiTheme="majorHAnsi" w:hAnsiTheme="majorHAnsi" w:cstheme="majorHAnsi"/>
        </w:rPr>
        <w:t xml:space="preserve"> aj nové typy </w:t>
      </w:r>
      <w:r w:rsidR="00CE08AE">
        <w:rPr>
          <w:rFonts w:asciiTheme="majorHAnsi" w:hAnsiTheme="majorHAnsi" w:cstheme="majorHAnsi"/>
        </w:rPr>
        <w:t xml:space="preserve">akademických </w:t>
      </w:r>
      <w:r w:rsidRPr="00586600">
        <w:rPr>
          <w:rFonts w:asciiTheme="majorHAnsi" w:hAnsiTheme="majorHAnsi" w:cstheme="majorHAnsi"/>
        </w:rPr>
        <w:t>mobilít, ako krátkodobá mobilita pre doktorandov, ktorá môže mať trvanie 5</w:t>
      </w:r>
      <w:r w:rsidR="00CE08AE">
        <w:rPr>
          <w:rFonts w:asciiTheme="majorHAnsi" w:hAnsiTheme="majorHAnsi" w:cstheme="majorHAnsi"/>
        </w:rPr>
        <w:t xml:space="preserve"> až </w:t>
      </w:r>
      <w:r w:rsidRPr="00586600">
        <w:rPr>
          <w:rFonts w:asciiTheme="majorHAnsi" w:hAnsiTheme="majorHAnsi" w:cstheme="majorHAnsi"/>
        </w:rPr>
        <w:t xml:space="preserve">30 </w:t>
      </w:r>
      <w:r w:rsidR="00CE08AE">
        <w:rPr>
          <w:rFonts w:asciiTheme="majorHAnsi" w:hAnsiTheme="majorHAnsi" w:cstheme="majorHAnsi"/>
        </w:rPr>
        <w:t>dní</w:t>
      </w:r>
      <w:r w:rsidR="007E3A7F">
        <w:rPr>
          <w:rFonts w:asciiTheme="majorHAnsi" w:hAnsiTheme="majorHAnsi" w:cstheme="majorHAnsi"/>
        </w:rPr>
        <w:t>,</w:t>
      </w:r>
      <w:r w:rsidR="00CE08AE">
        <w:rPr>
          <w:rFonts w:asciiTheme="majorHAnsi" w:hAnsiTheme="majorHAnsi" w:cstheme="majorHAnsi"/>
        </w:rPr>
        <w:t xml:space="preserve"> </w:t>
      </w:r>
      <w:r w:rsidRPr="00586600">
        <w:rPr>
          <w:rFonts w:asciiTheme="majorHAnsi" w:hAnsiTheme="majorHAnsi" w:cstheme="majorHAnsi"/>
        </w:rPr>
        <w:t xml:space="preserve">a teda reflektuje na potreby doktorandov realizovať viac krátkodobých mobilít. Novinkou sú taktiež zmiešané intenzívne programy, ktoré kombinujú </w:t>
      </w:r>
      <w:r w:rsidR="00CE08AE">
        <w:rPr>
          <w:rFonts w:asciiTheme="majorHAnsi" w:hAnsiTheme="majorHAnsi" w:cstheme="majorHAnsi"/>
        </w:rPr>
        <w:t>prezenčnú</w:t>
      </w:r>
      <w:r w:rsidRPr="00586600">
        <w:rPr>
          <w:rFonts w:asciiTheme="majorHAnsi" w:hAnsiTheme="majorHAnsi" w:cstheme="majorHAnsi"/>
        </w:rPr>
        <w:t xml:space="preserve"> mobilitu s</w:t>
      </w:r>
      <w:r w:rsidR="00CE08AE">
        <w:rPr>
          <w:rFonts w:asciiTheme="majorHAnsi" w:hAnsiTheme="majorHAnsi" w:cstheme="majorHAnsi"/>
        </w:rPr>
        <w:t> distančnou (</w:t>
      </w:r>
      <w:r w:rsidRPr="00586600">
        <w:rPr>
          <w:rFonts w:asciiTheme="majorHAnsi" w:hAnsiTheme="majorHAnsi" w:cstheme="majorHAnsi"/>
        </w:rPr>
        <w:t>online</w:t>
      </w:r>
      <w:r w:rsidR="00CE08AE">
        <w:rPr>
          <w:rFonts w:asciiTheme="majorHAnsi" w:hAnsiTheme="majorHAnsi" w:cstheme="majorHAnsi"/>
        </w:rPr>
        <w:t>)</w:t>
      </w:r>
      <w:r w:rsidRPr="00586600">
        <w:rPr>
          <w:rFonts w:asciiTheme="majorHAnsi" w:hAnsiTheme="majorHAnsi" w:cstheme="majorHAnsi"/>
        </w:rPr>
        <w:t xml:space="preserve"> mobilitou</w:t>
      </w:r>
      <w:r w:rsidR="00F722C4">
        <w:rPr>
          <w:rFonts w:asciiTheme="majorHAnsi" w:hAnsiTheme="majorHAnsi" w:cstheme="majorHAnsi"/>
        </w:rPr>
        <w:t xml:space="preserve">. </w:t>
      </w:r>
      <w:r w:rsidRPr="00586600">
        <w:rPr>
          <w:rFonts w:asciiTheme="majorHAnsi" w:hAnsiTheme="majorHAnsi" w:cstheme="majorHAnsi"/>
        </w:rPr>
        <w:t xml:space="preserve">STU </w:t>
      </w:r>
      <w:r w:rsidR="00786B55">
        <w:rPr>
          <w:rFonts w:asciiTheme="majorHAnsi" w:hAnsiTheme="majorHAnsi" w:cstheme="majorHAnsi"/>
        </w:rPr>
        <w:t>takisto</w:t>
      </w:r>
      <w:r w:rsidRPr="00586600">
        <w:rPr>
          <w:rFonts w:asciiTheme="majorHAnsi" w:hAnsiTheme="majorHAnsi" w:cstheme="majorHAnsi"/>
        </w:rPr>
        <w:t xml:space="preserve"> prijíma študentov zahraničných vysokých škôl. Tieto typy </w:t>
      </w:r>
      <w:r w:rsidR="00786B55">
        <w:rPr>
          <w:rFonts w:asciiTheme="majorHAnsi" w:hAnsiTheme="majorHAnsi" w:cstheme="majorHAnsi"/>
        </w:rPr>
        <w:t xml:space="preserve">krátkodobých </w:t>
      </w:r>
      <w:r w:rsidRPr="00586600">
        <w:rPr>
          <w:rFonts w:asciiTheme="majorHAnsi" w:hAnsiTheme="majorHAnsi" w:cstheme="majorHAnsi"/>
        </w:rPr>
        <w:t>akademických mobilít sú zastrešené buď grantovým programom alebo podpísanou bilaterálnou zmluvou priamo medzi STU a zahraničnou vysokou školou.</w:t>
      </w:r>
      <w:r w:rsidR="004566D0">
        <w:rPr>
          <w:rFonts w:asciiTheme="majorHAnsi" w:hAnsiTheme="majorHAnsi" w:cstheme="majorHAnsi"/>
        </w:rPr>
        <w:t xml:space="preserve"> </w:t>
      </w:r>
      <w:r w:rsidR="00786B55" w:rsidRPr="004566D0">
        <w:rPr>
          <w:rFonts w:asciiTheme="majorHAnsi" w:hAnsiTheme="majorHAnsi" w:cstheme="majorHAnsi"/>
        </w:rPr>
        <w:t>Internacionalizácia je jednou z kľúčových priorít STU</w:t>
      </w:r>
      <w:r w:rsidR="00F722C4" w:rsidRPr="004566D0">
        <w:rPr>
          <w:rFonts w:asciiTheme="majorHAnsi" w:hAnsiTheme="majorHAnsi" w:cstheme="majorHAnsi"/>
        </w:rPr>
        <w:t xml:space="preserve">. </w:t>
      </w:r>
      <w:r w:rsidR="00786B55" w:rsidRPr="004566D0">
        <w:rPr>
          <w:rFonts w:asciiTheme="majorHAnsi" w:hAnsiTheme="majorHAnsi" w:cstheme="majorHAnsi"/>
        </w:rPr>
        <w:t xml:space="preserve">Jedným z nástrojov je vysielať a prijímať študentov či zamestnancov univerzity. </w:t>
      </w:r>
      <w:r w:rsidR="00F722C4" w:rsidRPr="004566D0">
        <w:rPr>
          <w:rFonts w:asciiTheme="majorHAnsi" w:hAnsiTheme="majorHAnsi" w:cstheme="majorHAnsi"/>
        </w:rPr>
        <w:t>Ostat</w:t>
      </w:r>
      <w:r w:rsidR="00786B55" w:rsidRPr="004566D0">
        <w:rPr>
          <w:rFonts w:asciiTheme="majorHAnsi" w:hAnsiTheme="majorHAnsi" w:cstheme="majorHAnsi"/>
        </w:rPr>
        <w:t xml:space="preserve">né roky </w:t>
      </w:r>
      <w:r w:rsidR="00F722C4" w:rsidRPr="004566D0">
        <w:rPr>
          <w:rFonts w:asciiTheme="majorHAnsi" w:hAnsiTheme="majorHAnsi" w:cstheme="majorHAnsi"/>
        </w:rPr>
        <w:t>silno zasiahla pandémia,</w:t>
      </w:r>
      <w:r w:rsidR="00786B55" w:rsidRPr="004566D0">
        <w:rPr>
          <w:rFonts w:asciiTheme="majorHAnsi" w:hAnsiTheme="majorHAnsi" w:cstheme="majorHAnsi"/>
        </w:rPr>
        <w:t xml:space="preserve"> avšak </w:t>
      </w:r>
      <w:r w:rsidR="006239E6" w:rsidRPr="004566D0">
        <w:rPr>
          <w:rFonts w:asciiTheme="majorHAnsi" w:hAnsiTheme="majorHAnsi" w:cstheme="majorHAnsi"/>
        </w:rPr>
        <w:t>v </w:t>
      </w:r>
      <w:r w:rsidR="00786B55" w:rsidRPr="004566D0">
        <w:rPr>
          <w:rFonts w:asciiTheme="majorHAnsi" w:hAnsiTheme="majorHAnsi" w:cstheme="majorHAnsi"/>
        </w:rPr>
        <w:t>akademick</w:t>
      </w:r>
      <w:r w:rsidR="006239E6" w:rsidRPr="004566D0">
        <w:rPr>
          <w:rFonts w:asciiTheme="majorHAnsi" w:hAnsiTheme="majorHAnsi" w:cstheme="majorHAnsi"/>
        </w:rPr>
        <w:t>om roku 2021/2022</w:t>
      </w:r>
      <w:r w:rsidR="00786B55" w:rsidRPr="004566D0">
        <w:rPr>
          <w:rFonts w:asciiTheme="majorHAnsi" w:hAnsiTheme="majorHAnsi" w:cstheme="majorHAnsi"/>
        </w:rPr>
        <w:t xml:space="preserve"> sa počty vyslaných aj prijatých študentov </w:t>
      </w:r>
      <w:r w:rsidR="006239E6" w:rsidRPr="004566D0">
        <w:rPr>
          <w:rFonts w:asciiTheme="majorHAnsi" w:hAnsiTheme="majorHAnsi" w:cstheme="majorHAnsi"/>
        </w:rPr>
        <w:t>aj</w:t>
      </w:r>
      <w:r w:rsidR="00786B55" w:rsidRPr="004566D0">
        <w:rPr>
          <w:rFonts w:asciiTheme="majorHAnsi" w:hAnsiTheme="majorHAnsi" w:cstheme="majorHAnsi"/>
        </w:rPr>
        <w:t xml:space="preserve"> zamestnancov vrátili </w:t>
      </w:r>
      <w:r w:rsidR="00EB046F" w:rsidRPr="004566D0">
        <w:rPr>
          <w:rFonts w:asciiTheme="majorHAnsi" w:hAnsiTheme="majorHAnsi" w:cstheme="majorHAnsi"/>
        </w:rPr>
        <w:t xml:space="preserve">na úroveň </w:t>
      </w:r>
      <w:r w:rsidR="007316FF" w:rsidRPr="004566D0">
        <w:rPr>
          <w:rFonts w:asciiTheme="majorHAnsi" w:hAnsiTheme="majorHAnsi" w:cstheme="majorHAnsi"/>
        </w:rPr>
        <w:t>s</w:t>
      </w:r>
      <w:r w:rsidR="00EB046F" w:rsidRPr="004566D0">
        <w:rPr>
          <w:rFonts w:asciiTheme="majorHAnsi" w:hAnsiTheme="majorHAnsi" w:cstheme="majorHAnsi"/>
        </w:rPr>
        <w:t>pred pandemického obdobia.</w:t>
      </w:r>
    </w:p>
    <w:p w14:paraId="60FFF934" w14:textId="77777777" w:rsidR="007414E4" w:rsidRPr="0053555E" w:rsidRDefault="007414E4" w:rsidP="0079348B">
      <w:pPr>
        <w:tabs>
          <w:tab w:val="left" w:pos="9356"/>
        </w:tabs>
        <w:jc w:val="both"/>
        <w:rPr>
          <w:rFonts w:asciiTheme="majorHAnsi" w:eastAsia="Calibri" w:hAnsiTheme="majorHAnsi" w:cstheme="majorHAnsi"/>
        </w:rPr>
      </w:pPr>
      <w:r w:rsidRPr="0053555E">
        <w:rPr>
          <w:rFonts w:asciiTheme="majorHAnsi" w:eastAsia="Calibri" w:hAnsiTheme="majorHAnsi" w:cstheme="majorHAnsi"/>
        </w:rPr>
        <w:t>Akademické mobility sa realizujú prostredníctvom programov, grantov a zmlúv, a to najmä:</w:t>
      </w:r>
    </w:p>
    <w:p w14:paraId="0CB6BC8B" w14:textId="77777777" w:rsidR="000F100A" w:rsidRDefault="000F100A" w:rsidP="00E027F7">
      <w:pPr>
        <w:numPr>
          <w:ilvl w:val="0"/>
          <w:numId w:val="7"/>
        </w:numPr>
        <w:tabs>
          <w:tab w:val="left" w:pos="9356"/>
        </w:tabs>
        <w:ind w:left="426" w:hanging="426"/>
        <w:jc w:val="both"/>
        <w:rPr>
          <w:color w:val="000000"/>
        </w:rPr>
      </w:pPr>
      <w:r>
        <w:rPr>
          <w:color w:val="000000"/>
        </w:rPr>
        <w:t xml:space="preserve">program </w:t>
      </w:r>
      <w:r>
        <w:rPr>
          <w:b/>
          <w:color w:val="000000"/>
        </w:rPr>
        <w:t>Erasmus+</w:t>
      </w:r>
      <w:r>
        <w:rPr>
          <w:color w:val="000000"/>
        </w:rPr>
        <w:t xml:space="preserve">, </w:t>
      </w:r>
      <w:r>
        <w:t>na podporu vzdelávania, odbornej prípravy, mládeže a športu v Európe,</w:t>
      </w:r>
    </w:p>
    <w:p w14:paraId="596BDE16" w14:textId="77777777" w:rsidR="000F100A" w:rsidRDefault="000F100A" w:rsidP="00E027F7">
      <w:pPr>
        <w:numPr>
          <w:ilvl w:val="0"/>
          <w:numId w:val="7"/>
        </w:numPr>
        <w:tabs>
          <w:tab w:val="left" w:pos="9356"/>
        </w:tabs>
        <w:ind w:left="426" w:hanging="426"/>
        <w:jc w:val="both"/>
        <w:rPr>
          <w:color w:val="000000"/>
        </w:rPr>
      </w:pPr>
      <w:r>
        <w:rPr>
          <w:color w:val="000000"/>
        </w:rPr>
        <w:t xml:space="preserve">program </w:t>
      </w:r>
      <w:r>
        <w:rPr>
          <w:b/>
          <w:color w:val="000000"/>
        </w:rPr>
        <w:t xml:space="preserve">CEEPUS </w:t>
      </w:r>
      <w:r>
        <w:rPr>
          <w:color w:val="000000"/>
        </w:rPr>
        <w:t>(Central European Exchange Program</w:t>
      </w:r>
      <w:r>
        <w:rPr>
          <w:b/>
          <w:color w:val="000000"/>
        </w:rPr>
        <w:t xml:space="preserve"> </w:t>
      </w:r>
      <w:r>
        <w:rPr>
          <w:color w:val="000000"/>
        </w:rPr>
        <w:t>for University Studies), ktorý podporuje</w:t>
      </w:r>
      <w:r>
        <w:rPr>
          <w:b/>
          <w:color w:val="000000"/>
        </w:rPr>
        <w:t xml:space="preserve"> </w:t>
      </w:r>
      <w:r>
        <w:rPr>
          <w:color w:val="000000"/>
        </w:rPr>
        <w:t>študijné</w:t>
      </w:r>
      <w:r>
        <w:rPr>
          <w:b/>
          <w:color w:val="000000"/>
        </w:rPr>
        <w:t xml:space="preserve"> </w:t>
      </w:r>
      <w:r>
        <w:rPr>
          <w:color w:val="000000"/>
        </w:rPr>
        <w:t>výmenné pobyty na univerzitách v štátoch strednej Európy,</w:t>
      </w:r>
    </w:p>
    <w:p w14:paraId="1A33D7AC" w14:textId="77777777" w:rsidR="000F100A" w:rsidRDefault="000F100A" w:rsidP="00E027F7">
      <w:pPr>
        <w:numPr>
          <w:ilvl w:val="0"/>
          <w:numId w:val="7"/>
        </w:numPr>
        <w:tabs>
          <w:tab w:val="left" w:pos="9356"/>
        </w:tabs>
        <w:ind w:left="426" w:hanging="426"/>
        <w:jc w:val="both"/>
        <w:rPr>
          <w:color w:val="000000"/>
        </w:rPr>
      </w:pPr>
      <w:r>
        <w:rPr>
          <w:b/>
          <w:color w:val="000000"/>
        </w:rPr>
        <w:t>Národný štipendijný program Slovenskej republiky</w:t>
      </w:r>
      <w:r>
        <w:rPr>
          <w:color w:val="000000"/>
        </w:rPr>
        <w:t xml:space="preserve"> (NŠP), ktorého cieľom je podpora akademických mobilít študentov, doktorandov, vysokoškolských učiteľov a vedeckých pracovníkov, </w:t>
      </w:r>
    </w:p>
    <w:p w14:paraId="51E5A79E" w14:textId="77777777" w:rsidR="000F100A" w:rsidRDefault="000F100A" w:rsidP="00E027F7">
      <w:pPr>
        <w:numPr>
          <w:ilvl w:val="0"/>
          <w:numId w:val="7"/>
        </w:numPr>
        <w:tabs>
          <w:tab w:val="left" w:pos="9356"/>
        </w:tabs>
        <w:ind w:left="426" w:hanging="426"/>
        <w:jc w:val="both"/>
        <w:rPr>
          <w:color w:val="000000"/>
        </w:rPr>
      </w:pPr>
      <w:r>
        <w:rPr>
          <w:b/>
          <w:color w:val="000000"/>
        </w:rPr>
        <w:t xml:space="preserve">IAESTE </w:t>
      </w:r>
      <w:r>
        <w:rPr>
          <w:color w:val="000000"/>
        </w:rPr>
        <w:t>(The International Association for the Exchange of Students for Technical Experience), ktorý zabezpečuje výmenný program odborných stáží pre študentov technických vysokých škôl,</w:t>
      </w:r>
    </w:p>
    <w:p w14:paraId="725C32D6" w14:textId="77777777" w:rsidR="000F100A" w:rsidRDefault="000F100A" w:rsidP="00E027F7">
      <w:pPr>
        <w:numPr>
          <w:ilvl w:val="0"/>
          <w:numId w:val="7"/>
        </w:numPr>
        <w:tabs>
          <w:tab w:val="left" w:pos="9356"/>
        </w:tabs>
        <w:ind w:left="426" w:hanging="426"/>
        <w:jc w:val="both"/>
        <w:rPr>
          <w:color w:val="000000"/>
        </w:rPr>
      </w:pPr>
      <w:r>
        <w:rPr>
          <w:b/>
          <w:color w:val="000000"/>
        </w:rPr>
        <w:t xml:space="preserve">štipendijný program EHP, </w:t>
      </w:r>
      <w:r>
        <w:rPr>
          <w:color w:val="000000"/>
        </w:rPr>
        <w:t>ktorý zabezpečuje akademické mobility študentov a doktorandov na partnerských organizáciách v severských štátoch najmä Nórsku, Islande a Lichtenštajnsku,</w:t>
      </w:r>
    </w:p>
    <w:p w14:paraId="72DC56BC" w14:textId="620DC93D" w:rsidR="00A87F8F" w:rsidRPr="0053555E" w:rsidRDefault="000F100A" w:rsidP="00E027F7">
      <w:pPr>
        <w:numPr>
          <w:ilvl w:val="0"/>
          <w:numId w:val="7"/>
        </w:numPr>
        <w:tabs>
          <w:tab w:val="left" w:pos="9356"/>
        </w:tabs>
        <w:spacing w:after="60"/>
        <w:ind w:left="426" w:hanging="426"/>
        <w:jc w:val="both"/>
        <w:rPr>
          <w:rFonts w:eastAsia="Calibri" w:cs="Calibri"/>
        </w:rPr>
      </w:pPr>
      <w:r>
        <w:rPr>
          <w:color w:val="000000"/>
        </w:rPr>
        <w:t xml:space="preserve">na základe </w:t>
      </w:r>
      <w:r>
        <w:rPr>
          <w:b/>
          <w:color w:val="000000"/>
        </w:rPr>
        <w:t>zmlúv a dohôd</w:t>
      </w:r>
      <w:r>
        <w:rPr>
          <w:color w:val="000000"/>
        </w:rPr>
        <w:t xml:space="preserve"> uzatvorených buď na úrovni univerzity alebo fakúlt.</w:t>
      </w:r>
    </w:p>
    <w:p w14:paraId="1B4B348A" w14:textId="19F7C2E3" w:rsidR="00433320" w:rsidRPr="0053555E" w:rsidRDefault="00A7759E" w:rsidP="00324438">
      <w:pPr>
        <w:tabs>
          <w:tab w:val="left" w:pos="9356"/>
        </w:tabs>
        <w:spacing w:after="120"/>
        <w:ind w:right="-2"/>
        <w:jc w:val="both"/>
        <w:rPr>
          <w:rFonts w:asciiTheme="majorHAnsi" w:eastAsia="Calibri" w:hAnsiTheme="majorHAnsi" w:cstheme="majorHAnsi"/>
        </w:rPr>
      </w:pPr>
      <w:r w:rsidRPr="0053555E">
        <w:rPr>
          <w:rFonts w:asciiTheme="majorHAnsi" w:eastAsia="Calibri" w:hAnsiTheme="majorHAnsi" w:cstheme="majorHAnsi"/>
        </w:rPr>
        <w:t>Najčastejšie využívané programy sú</w:t>
      </w:r>
      <w:r w:rsidR="00781C94" w:rsidRPr="0053555E">
        <w:rPr>
          <w:rFonts w:asciiTheme="majorHAnsi" w:eastAsia="Calibri" w:hAnsiTheme="majorHAnsi" w:cstheme="majorHAnsi"/>
        </w:rPr>
        <w:t xml:space="preserve"> Erasmus+, CEEPUS a </w:t>
      </w:r>
      <w:r w:rsidRPr="0053555E">
        <w:rPr>
          <w:rFonts w:asciiTheme="majorHAnsi" w:eastAsia="Calibri" w:hAnsiTheme="majorHAnsi" w:cstheme="majorHAnsi"/>
        </w:rPr>
        <w:t xml:space="preserve">Národný štipendijný program. STU spolu v akademickom roku </w:t>
      </w:r>
      <w:r w:rsidR="00EA24BA" w:rsidRPr="0053555E">
        <w:rPr>
          <w:rFonts w:asciiTheme="majorHAnsi" w:eastAsia="Calibri" w:hAnsiTheme="majorHAnsi" w:cstheme="majorHAnsi"/>
        </w:rPr>
        <w:t>2021/2022</w:t>
      </w:r>
      <w:r w:rsidRPr="0053555E">
        <w:rPr>
          <w:rFonts w:asciiTheme="majorHAnsi" w:eastAsia="Calibri" w:hAnsiTheme="majorHAnsi" w:cstheme="majorHAnsi"/>
        </w:rPr>
        <w:t xml:space="preserve"> v</w:t>
      </w:r>
      <w:r w:rsidR="00F722C4">
        <w:rPr>
          <w:rFonts w:asciiTheme="majorHAnsi" w:eastAsia="Calibri" w:hAnsiTheme="majorHAnsi" w:cstheme="majorHAnsi"/>
        </w:rPr>
        <w:t xml:space="preserve"> ich </w:t>
      </w:r>
      <w:r w:rsidRPr="0053555E">
        <w:rPr>
          <w:rFonts w:asciiTheme="majorHAnsi" w:eastAsia="Calibri" w:hAnsiTheme="majorHAnsi" w:cstheme="majorHAnsi"/>
        </w:rPr>
        <w:t xml:space="preserve">rámci </w:t>
      </w:r>
      <w:r w:rsidR="00F722C4">
        <w:rPr>
          <w:rFonts w:asciiTheme="majorHAnsi" w:eastAsia="Calibri" w:hAnsiTheme="majorHAnsi" w:cstheme="majorHAnsi"/>
          <w:b/>
        </w:rPr>
        <w:t>vyslala celkovo</w:t>
      </w:r>
      <w:r w:rsidRPr="0053555E">
        <w:rPr>
          <w:rFonts w:asciiTheme="majorHAnsi" w:eastAsia="Calibri" w:hAnsiTheme="majorHAnsi" w:cstheme="majorHAnsi"/>
          <w:b/>
        </w:rPr>
        <w:t xml:space="preserve"> </w:t>
      </w:r>
      <w:r w:rsidR="000455B4">
        <w:rPr>
          <w:rFonts w:asciiTheme="majorHAnsi" w:eastAsia="Calibri" w:hAnsiTheme="majorHAnsi" w:cstheme="majorHAnsi"/>
          <w:b/>
        </w:rPr>
        <w:t>254</w:t>
      </w:r>
      <w:r w:rsidRPr="0053555E">
        <w:rPr>
          <w:rFonts w:asciiTheme="majorHAnsi" w:eastAsia="Calibri" w:hAnsiTheme="majorHAnsi" w:cstheme="majorHAnsi"/>
          <w:b/>
        </w:rPr>
        <w:t xml:space="preserve"> študentov</w:t>
      </w:r>
      <w:r w:rsidRPr="0053555E">
        <w:rPr>
          <w:rFonts w:asciiTheme="majorHAnsi" w:eastAsia="Calibri" w:hAnsiTheme="majorHAnsi" w:cstheme="majorHAnsi"/>
        </w:rPr>
        <w:t xml:space="preserve"> </w:t>
      </w:r>
      <w:r w:rsidR="00F722C4">
        <w:rPr>
          <w:rFonts w:asciiTheme="majorHAnsi" w:eastAsia="Calibri" w:hAnsiTheme="majorHAnsi" w:cstheme="majorHAnsi"/>
          <w:b/>
        </w:rPr>
        <w:t>STU a prijala celkovo</w:t>
      </w:r>
      <w:r w:rsidRPr="0053555E">
        <w:rPr>
          <w:rFonts w:asciiTheme="majorHAnsi" w:eastAsia="Calibri" w:hAnsiTheme="majorHAnsi" w:cstheme="majorHAnsi"/>
          <w:b/>
        </w:rPr>
        <w:t xml:space="preserve"> </w:t>
      </w:r>
      <w:r w:rsidR="000455B4">
        <w:rPr>
          <w:rFonts w:asciiTheme="majorHAnsi" w:eastAsia="Calibri" w:hAnsiTheme="majorHAnsi" w:cstheme="majorHAnsi"/>
          <w:b/>
        </w:rPr>
        <w:t>205</w:t>
      </w:r>
      <w:r w:rsidRPr="0053555E">
        <w:rPr>
          <w:rFonts w:asciiTheme="majorHAnsi" w:eastAsia="Calibri" w:hAnsiTheme="majorHAnsi" w:cstheme="majorHAnsi"/>
          <w:b/>
        </w:rPr>
        <w:t xml:space="preserve"> zahraničných študentov</w:t>
      </w:r>
      <w:r w:rsidRPr="0053555E">
        <w:rPr>
          <w:rFonts w:asciiTheme="majorHAnsi" w:eastAsia="Calibri" w:hAnsiTheme="majorHAnsi" w:cstheme="majorHAnsi"/>
        </w:rPr>
        <w:t xml:space="preserve"> iných vysokých škôl. Prehľad uvádza </w:t>
      </w:r>
      <w:r w:rsidR="00A527B4" w:rsidRPr="0053555E">
        <w:rPr>
          <w:rFonts w:asciiTheme="majorHAnsi" w:hAnsiTheme="majorHAnsi" w:cstheme="majorHAnsi"/>
          <w:sz w:val="20"/>
          <w:lang w:eastAsia="sk-SK"/>
        </w:rPr>
        <w:fldChar w:fldCharType="begin"/>
      </w:r>
      <w:r w:rsidR="00A527B4" w:rsidRPr="0053555E">
        <w:rPr>
          <w:rFonts w:asciiTheme="majorHAnsi" w:hAnsiTheme="majorHAnsi" w:cstheme="majorHAnsi"/>
        </w:rPr>
        <w:instrText xml:space="preserve"> REF _Ref31712263 \h </w:instrText>
      </w:r>
      <w:r w:rsidR="00324438" w:rsidRPr="0053555E">
        <w:rPr>
          <w:rFonts w:asciiTheme="majorHAnsi" w:hAnsiTheme="majorHAnsi" w:cstheme="majorHAnsi"/>
          <w:sz w:val="20"/>
          <w:lang w:eastAsia="sk-SK"/>
        </w:rPr>
        <w:instrText xml:space="preserve"> \* MERGEFORMAT </w:instrText>
      </w:r>
      <w:r w:rsidR="00A527B4" w:rsidRPr="0053555E">
        <w:rPr>
          <w:rFonts w:asciiTheme="majorHAnsi" w:hAnsiTheme="majorHAnsi" w:cstheme="majorHAnsi"/>
          <w:sz w:val="20"/>
          <w:lang w:eastAsia="sk-SK"/>
        </w:rPr>
      </w:r>
      <w:r w:rsidR="00A527B4" w:rsidRPr="0053555E">
        <w:rPr>
          <w:rFonts w:asciiTheme="majorHAnsi" w:hAnsiTheme="majorHAnsi" w:cstheme="majorHAnsi"/>
          <w:sz w:val="20"/>
          <w:lang w:eastAsia="sk-SK"/>
        </w:rPr>
        <w:fldChar w:fldCharType="separate"/>
      </w:r>
      <w:r w:rsidR="00EE1B59" w:rsidRPr="00EE1B59">
        <w:rPr>
          <w:rFonts w:asciiTheme="majorHAnsi" w:hAnsiTheme="majorHAnsi" w:cstheme="majorHAnsi"/>
          <w:sz w:val="20"/>
        </w:rPr>
        <w:t>Tab. č. 17</w:t>
      </w:r>
      <w:r w:rsidR="00A527B4" w:rsidRPr="0053555E">
        <w:rPr>
          <w:rFonts w:asciiTheme="majorHAnsi" w:hAnsiTheme="majorHAnsi" w:cstheme="majorHAnsi"/>
          <w:sz w:val="20"/>
          <w:lang w:eastAsia="sk-SK"/>
        </w:rPr>
        <w:fldChar w:fldCharType="end"/>
      </w:r>
      <w:r w:rsidR="00433320" w:rsidRPr="0053555E">
        <w:rPr>
          <w:rFonts w:asciiTheme="majorHAnsi" w:eastAsia="Calibri" w:hAnsiTheme="majorHAnsi" w:cstheme="majorHAnsi"/>
        </w:rPr>
        <w:t xml:space="preserve">. </w:t>
      </w:r>
      <w:r w:rsidR="00A527B4" w:rsidRPr="0053555E">
        <w:rPr>
          <w:rFonts w:asciiTheme="majorHAnsi" w:eastAsia="Calibri" w:hAnsiTheme="majorHAnsi" w:cstheme="majorHAnsi"/>
        </w:rPr>
        <w:t>Znížený počet vyslaných a </w:t>
      </w:r>
      <w:r w:rsidR="00433320" w:rsidRPr="0053555E">
        <w:rPr>
          <w:rFonts w:asciiTheme="majorHAnsi" w:eastAsia="Calibri" w:hAnsiTheme="majorHAnsi" w:cstheme="majorHAnsi"/>
        </w:rPr>
        <w:t>prijatých študentov v</w:t>
      </w:r>
      <w:r w:rsidR="00630DCD" w:rsidRPr="0053555E">
        <w:rPr>
          <w:rFonts w:asciiTheme="majorHAnsi" w:eastAsia="Calibri" w:hAnsiTheme="majorHAnsi" w:cstheme="majorHAnsi"/>
        </w:rPr>
        <w:t> </w:t>
      </w:r>
      <w:r w:rsidR="00433320" w:rsidRPr="0053555E">
        <w:rPr>
          <w:rFonts w:asciiTheme="majorHAnsi" w:eastAsia="Calibri" w:hAnsiTheme="majorHAnsi" w:cstheme="majorHAnsi"/>
        </w:rPr>
        <w:t>aka</w:t>
      </w:r>
      <w:r w:rsidR="008827D0" w:rsidRPr="0053555E">
        <w:rPr>
          <w:rFonts w:asciiTheme="majorHAnsi" w:eastAsia="Calibri" w:hAnsiTheme="majorHAnsi" w:cstheme="majorHAnsi"/>
        </w:rPr>
        <w:t>demick</w:t>
      </w:r>
      <w:r w:rsidR="001B4259" w:rsidRPr="0053555E">
        <w:rPr>
          <w:rFonts w:asciiTheme="majorHAnsi" w:eastAsia="Calibri" w:hAnsiTheme="majorHAnsi" w:cstheme="majorHAnsi"/>
        </w:rPr>
        <w:t>om</w:t>
      </w:r>
      <w:r w:rsidR="008827D0" w:rsidRPr="0053555E">
        <w:rPr>
          <w:rFonts w:asciiTheme="majorHAnsi" w:eastAsia="Calibri" w:hAnsiTheme="majorHAnsi" w:cstheme="majorHAnsi"/>
        </w:rPr>
        <w:t xml:space="preserve"> rok</w:t>
      </w:r>
      <w:r w:rsidR="001B4259" w:rsidRPr="0053555E">
        <w:rPr>
          <w:rFonts w:asciiTheme="majorHAnsi" w:eastAsia="Calibri" w:hAnsiTheme="majorHAnsi" w:cstheme="majorHAnsi"/>
        </w:rPr>
        <w:t>u</w:t>
      </w:r>
      <w:r w:rsidR="008827D0" w:rsidRPr="0053555E">
        <w:rPr>
          <w:rFonts w:asciiTheme="majorHAnsi" w:eastAsia="Calibri" w:hAnsiTheme="majorHAnsi" w:cstheme="majorHAnsi"/>
        </w:rPr>
        <w:t xml:space="preserve"> </w:t>
      </w:r>
      <w:r w:rsidR="00EA24BA" w:rsidRPr="0053555E">
        <w:rPr>
          <w:rFonts w:asciiTheme="majorHAnsi" w:eastAsia="Calibri" w:hAnsiTheme="majorHAnsi" w:cstheme="majorHAnsi"/>
        </w:rPr>
        <w:t>202</w:t>
      </w:r>
      <w:r w:rsidR="009063D4">
        <w:rPr>
          <w:rFonts w:asciiTheme="majorHAnsi" w:eastAsia="Calibri" w:hAnsiTheme="majorHAnsi" w:cstheme="majorHAnsi"/>
        </w:rPr>
        <w:t>0</w:t>
      </w:r>
      <w:r w:rsidR="00EA24BA" w:rsidRPr="0053555E">
        <w:rPr>
          <w:rFonts w:asciiTheme="majorHAnsi" w:eastAsia="Calibri" w:hAnsiTheme="majorHAnsi" w:cstheme="majorHAnsi"/>
        </w:rPr>
        <w:t>/202</w:t>
      </w:r>
      <w:r w:rsidR="009063D4">
        <w:rPr>
          <w:rFonts w:asciiTheme="majorHAnsi" w:eastAsia="Calibri" w:hAnsiTheme="majorHAnsi" w:cstheme="majorHAnsi"/>
        </w:rPr>
        <w:t>1</w:t>
      </w:r>
      <w:r w:rsidR="004566D0">
        <w:rPr>
          <w:rFonts w:asciiTheme="majorHAnsi" w:eastAsia="Calibri" w:hAnsiTheme="majorHAnsi" w:cstheme="majorHAnsi"/>
        </w:rPr>
        <w:t xml:space="preserve"> bol</w:t>
      </w:r>
      <w:r w:rsidR="008827D0" w:rsidRPr="0053555E">
        <w:rPr>
          <w:rFonts w:asciiTheme="majorHAnsi" w:eastAsia="Calibri" w:hAnsiTheme="majorHAnsi" w:cstheme="majorHAnsi"/>
        </w:rPr>
        <w:t xml:space="preserve"> </w:t>
      </w:r>
      <w:r w:rsidR="004566D0">
        <w:rPr>
          <w:rFonts w:asciiTheme="majorHAnsi" w:eastAsia="Calibri" w:hAnsiTheme="majorHAnsi" w:cstheme="majorHAnsi"/>
        </w:rPr>
        <w:t>dôsledkom</w:t>
      </w:r>
      <w:r w:rsidR="00024302" w:rsidRPr="0053555E">
        <w:rPr>
          <w:rFonts w:asciiTheme="majorHAnsi" w:eastAsia="Calibri" w:hAnsiTheme="majorHAnsi" w:cstheme="majorHAnsi"/>
        </w:rPr>
        <w:t xml:space="preserve"> pandémie Covid-19. Viacerí študenti z</w:t>
      </w:r>
      <w:r w:rsidR="00880D6D">
        <w:rPr>
          <w:rFonts w:asciiTheme="majorHAnsi" w:eastAsia="Calibri" w:hAnsiTheme="majorHAnsi" w:cstheme="majorHAnsi"/>
        </w:rPr>
        <w:t> </w:t>
      </w:r>
      <w:r w:rsidR="00024302" w:rsidRPr="0053555E">
        <w:rPr>
          <w:rFonts w:asciiTheme="majorHAnsi" w:eastAsia="Calibri" w:hAnsiTheme="majorHAnsi" w:cstheme="majorHAnsi"/>
        </w:rPr>
        <w:t>obáv o</w:t>
      </w:r>
      <w:r w:rsidR="00EB00A5">
        <w:rPr>
          <w:rFonts w:asciiTheme="majorHAnsi" w:eastAsia="Calibri" w:hAnsiTheme="majorHAnsi" w:cstheme="majorHAnsi"/>
        </w:rPr>
        <w:t> </w:t>
      </w:r>
      <w:r w:rsidR="00024302" w:rsidRPr="0053555E">
        <w:rPr>
          <w:rFonts w:asciiTheme="majorHAnsi" w:eastAsia="Calibri" w:hAnsiTheme="majorHAnsi" w:cstheme="majorHAnsi"/>
        </w:rPr>
        <w:t xml:space="preserve">svoje zdravie zrušili akademickú mobilitu </w:t>
      </w:r>
      <w:r w:rsidR="009063D4">
        <w:rPr>
          <w:rFonts w:asciiTheme="majorHAnsi" w:eastAsia="Calibri" w:hAnsiTheme="majorHAnsi" w:cstheme="majorHAnsi"/>
        </w:rPr>
        <w:t>v</w:t>
      </w:r>
      <w:r w:rsidR="00024302" w:rsidRPr="0053555E">
        <w:rPr>
          <w:rFonts w:asciiTheme="majorHAnsi" w:eastAsia="Calibri" w:hAnsiTheme="majorHAnsi" w:cstheme="majorHAnsi"/>
        </w:rPr>
        <w:t xml:space="preserve"> zimnom </w:t>
      </w:r>
      <w:r w:rsidR="009063D4">
        <w:rPr>
          <w:rFonts w:asciiTheme="majorHAnsi" w:eastAsia="Calibri" w:hAnsiTheme="majorHAnsi" w:cstheme="majorHAnsi"/>
        </w:rPr>
        <w:t xml:space="preserve">alebo </w:t>
      </w:r>
      <w:r w:rsidR="00024302" w:rsidRPr="0053555E">
        <w:rPr>
          <w:rFonts w:asciiTheme="majorHAnsi" w:eastAsia="Calibri" w:hAnsiTheme="majorHAnsi" w:cstheme="majorHAnsi"/>
        </w:rPr>
        <w:t>letnom</w:t>
      </w:r>
      <w:r w:rsidR="009063D4">
        <w:rPr>
          <w:rFonts w:asciiTheme="majorHAnsi" w:eastAsia="Calibri" w:hAnsiTheme="majorHAnsi" w:cstheme="majorHAnsi"/>
        </w:rPr>
        <w:t xml:space="preserve"> semestri</w:t>
      </w:r>
      <w:r w:rsidR="00024302" w:rsidRPr="0053555E">
        <w:rPr>
          <w:rFonts w:asciiTheme="majorHAnsi" w:eastAsia="Calibri" w:hAnsiTheme="majorHAnsi" w:cstheme="majorHAnsi"/>
        </w:rPr>
        <w:t>.</w:t>
      </w:r>
      <w:r w:rsidR="00433320" w:rsidRPr="0053555E">
        <w:rPr>
          <w:rFonts w:asciiTheme="majorHAnsi" w:eastAsia="Calibri" w:hAnsiTheme="majorHAnsi" w:cstheme="majorHAnsi"/>
        </w:rPr>
        <w:t xml:space="preserve"> </w:t>
      </w:r>
    </w:p>
    <w:p w14:paraId="2F2B63A8" w14:textId="348D9D6B" w:rsidR="002071AC" w:rsidRPr="0053555E" w:rsidRDefault="007769AE" w:rsidP="000E3322">
      <w:pPr>
        <w:pStyle w:val="Popis"/>
      </w:pPr>
      <w:bookmarkStart w:id="77" w:name="_Ref31712263"/>
      <w:bookmarkStart w:id="78" w:name="_Toc127593280"/>
      <w:r w:rsidRPr="0053555E">
        <w:t xml:space="preserve">Tab. č. </w:t>
      </w:r>
      <w:r w:rsidR="007B5953">
        <w:fldChar w:fldCharType="begin"/>
      </w:r>
      <w:r w:rsidR="007B5953">
        <w:instrText xml:space="preserve"> SEQ Tab._č. \* ARABIC </w:instrText>
      </w:r>
      <w:r w:rsidR="007B5953">
        <w:fldChar w:fldCharType="separate"/>
      </w:r>
      <w:r w:rsidR="00EE1B59">
        <w:rPr>
          <w:noProof/>
        </w:rPr>
        <w:t>17</w:t>
      </w:r>
      <w:r w:rsidR="007B5953">
        <w:rPr>
          <w:noProof/>
        </w:rPr>
        <w:fldChar w:fldCharType="end"/>
      </w:r>
      <w:bookmarkEnd w:id="77"/>
      <w:r w:rsidRPr="0053555E">
        <w:t>:</w:t>
      </w:r>
      <w:r w:rsidR="002071AC" w:rsidRPr="0053555E">
        <w:t xml:space="preserve"> Mobility študentov v</w:t>
      </w:r>
      <w:r w:rsidR="00784852" w:rsidRPr="0053555E">
        <w:t> akad</w:t>
      </w:r>
      <w:r w:rsidR="00F4793A" w:rsidRPr="0053555E">
        <w:t>emickom</w:t>
      </w:r>
      <w:r w:rsidR="00784852" w:rsidRPr="0053555E">
        <w:t xml:space="preserve"> </w:t>
      </w:r>
      <w:r w:rsidR="002071AC" w:rsidRPr="0053555E">
        <w:t xml:space="preserve">roku </w:t>
      </w:r>
      <w:r w:rsidR="00EA24BA" w:rsidRPr="0053555E">
        <w:t>2021/2022</w:t>
      </w:r>
      <w:r w:rsidR="00585337" w:rsidRPr="0053555E">
        <w:t xml:space="preserve"> na STU</w:t>
      </w:r>
      <w:bookmarkEnd w:id="78"/>
    </w:p>
    <w:tbl>
      <w:tblPr>
        <w:tblW w:w="8820" w:type="dxa"/>
        <w:tblInd w:w="55" w:type="dxa"/>
        <w:tblCellMar>
          <w:left w:w="70" w:type="dxa"/>
          <w:right w:w="70" w:type="dxa"/>
        </w:tblCellMar>
        <w:tblLook w:val="04A0" w:firstRow="1" w:lastRow="0" w:firstColumn="1" w:lastColumn="0" w:noHBand="0" w:noVBand="1"/>
      </w:tblPr>
      <w:tblGrid>
        <w:gridCol w:w="1140"/>
        <w:gridCol w:w="960"/>
        <w:gridCol w:w="960"/>
        <w:gridCol w:w="960"/>
        <w:gridCol w:w="960"/>
        <w:gridCol w:w="960"/>
        <w:gridCol w:w="960"/>
        <w:gridCol w:w="960"/>
        <w:gridCol w:w="960"/>
      </w:tblGrid>
      <w:tr w:rsidR="00406AFE" w:rsidRPr="0053555E" w14:paraId="3528926B" w14:textId="77777777" w:rsidTr="00BD602E">
        <w:trPr>
          <w:trHeight w:val="255"/>
        </w:trPr>
        <w:tc>
          <w:tcPr>
            <w:tcW w:w="1140" w:type="dxa"/>
            <w:vMerge w:val="restart"/>
            <w:tcBorders>
              <w:top w:val="single" w:sz="4" w:space="0" w:color="auto"/>
              <w:left w:val="single" w:sz="4" w:space="0" w:color="auto"/>
              <w:right w:val="single" w:sz="4" w:space="0" w:color="auto"/>
            </w:tcBorders>
            <w:shd w:val="clear" w:color="auto" w:fill="auto"/>
            <w:vAlign w:val="center"/>
            <w:hideMark/>
          </w:tcPr>
          <w:p w14:paraId="2E9AEF7C" w14:textId="77777777" w:rsidR="00406AFE" w:rsidRPr="0053555E" w:rsidRDefault="0067445F" w:rsidP="00324438">
            <w:pPr>
              <w:tabs>
                <w:tab w:val="left" w:pos="9356"/>
              </w:tabs>
              <w:jc w:val="both"/>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bCs/>
                <w:sz w:val="22"/>
                <w:szCs w:val="22"/>
                <w:lang w:eastAsia="sk-SK"/>
              </w:rPr>
              <w:t>Súčasť STU</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08E23E85" w14:textId="77777777" w:rsidR="00406AFE" w:rsidRPr="0053555E" w:rsidRDefault="00406AFE"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ERASMUS+</w:t>
            </w:r>
            <w:r w:rsidR="007F765F" w:rsidRPr="0053555E">
              <w:rPr>
                <w:rFonts w:asciiTheme="majorHAnsi" w:eastAsia="Times New Roman" w:hAnsiTheme="majorHAnsi" w:cstheme="majorHAnsi"/>
                <w:b/>
                <w:bCs/>
                <w:sz w:val="22"/>
                <w:szCs w:val="22"/>
                <w:lang w:eastAsia="sk-SK"/>
              </w:rPr>
              <w:t>*</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6A8518F4" w14:textId="77777777" w:rsidR="00406AFE" w:rsidRPr="0053555E" w:rsidRDefault="00406AFE"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NŠP</w:t>
            </w:r>
          </w:p>
        </w:tc>
        <w:tc>
          <w:tcPr>
            <w:tcW w:w="1920" w:type="dxa"/>
            <w:gridSpan w:val="2"/>
            <w:tcBorders>
              <w:top w:val="single" w:sz="4" w:space="0" w:color="auto"/>
              <w:left w:val="nil"/>
              <w:bottom w:val="single" w:sz="4" w:space="0" w:color="auto"/>
              <w:right w:val="single" w:sz="4" w:space="0" w:color="auto"/>
            </w:tcBorders>
            <w:shd w:val="clear" w:color="000000" w:fill="FFFFFF"/>
            <w:vAlign w:val="center"/>
            <w:hideMark/>
          </w:tcPr>
          <w:p w14:paraId="0F1B4207" w14:textId="77777777" w:rsidR="00406AFE" w:rsidRPr="0053555E" w:rsidRDefault="00406AFE"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CEEPUS</w:t>
            </w:r>
          </w:p>
        </w:tc>
        <w:tc>
          <w:tcPr>
            <w:tcW w:w="1920" w:type="dxa"/>
            <w:gridSpan w:val="2"/>
            <w:tcBorders>
              <w:top w:val="single" w:sz="4" w:space="0" w:color="auto"/>
              <w:left w:val="nil"/>
              <w:bottom w:val="single" w:sz="4" w:space="0" w:color="auto"/>
              <w:right w:val="single" w:sz="4" w:space="0" w:color="auto"/>
            </w:tcBorders>
            <w:shd w:val="clear" w:color="auto" w:fill="EEECE1" w:themeFill="background2"/>
            <w:vAlign w:val="center"/>
            <w:hideMark/>
          </w:tcPr>
          <w:p w14:paraId="23C0C3E9" w14:textId="77777777" w:rsidR="00406AFE" w:rsidRPr="0053555E" w:rsidRDefault="00406AFE"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Spolu</w:t>
            </w:r>
          </w:p>
        </w:tc>
      </w:tr>
      <w:tr w:rsidR="00406AFE" w:rsidRPr="0053555E" w14:paraId="5C07ADFE" w14:textId="77777777" w:rsidTr="00BD602E">
        <w:trPr>
          <w:trHeight w:val="255"/>
        </w:trPr>
        <w:tc>
          <w:tcPr>
            <w:tcW w:w="1140" w:type="dxa"/>
            <w:vMerge/>
            <w:tcBorders>
              <w:left w:val="single" w:sz="4" w:space="0" w:color="auto"/>
              <w:bottom w:val="single" w:sz="4" w:space="0" w:color="auto"/>
              <w:right w:val="single" w:sz="4" w:space="0" w:color="auto"/>
            </w:tcBorders>
            <w:shd w:val="clear" w:color="auto" w:fill="auto"/>
            <w:vAlign w:val="center"/>
            <w:hideMark/>
          </w:tcPr>
          <w:p w14:paraId="7085E55D" w14:textId="77777777" w:rsidR="00406AFE" w:rsidRPr="0053555E" w:rsidRDefault="00406AFE" w:rsidP="00324438">
            <w:pPr>
              <w:tabs>
                <w:tab w:val="left" w:pos="9356"/>
              </w:tabs>
              <w:jc w:val="both"/>
              <w:rPr>
                <w:rFonts w:asciiTheme="majorHAnsi" w:eastAsia="Times New Roman" w:hAnsiTheme="majorHAnsi" w:cstheme="majorHAnsi"/>
                <w:b/>
                <w:bCs/>
                <w:sz w:val="22"/>
                <w:szCs w:val="22"/>
                <w:lang w:eastAsia="sk-SK"/>
              </w:rPr>
            </w:pPr>
          </w:p>
        </w:tc>
        <w:tc>
          <w:tcPr>
            <w:tcW w:w="960" w:type="dxa"/>
            <w:tcBorders>
              <w:top w:val="nil"/>
              <w:left w:val="nil"/>
              <w:bottom w:val="single" w:sz="4" w:space="0" w:color="auto"/>
              <w:right w:val="single" w:sz="4" w:space="0" w:color="auto"/>
            </w:tcBorders>
            <w:shd w:val="clear" w:color="auto" w:fill="auto"/>
            <w:vAlign w:val="center"/>
            <w:hideMark/>
          </w:tcPr>
          <w:p w14:paraId="5BBD2076" w14:textId="77777777" w:rsidR="00406AFE" w:rsidRPr="0053555E" w:rsidRDefault="00406AFE" w:rsidP="00324438">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V</w:t>
            </w:r>
          </w:p>
        </w:tc>
        <w:tc>
          <w:tcPr>
            <w:tcW w:w="960" w:type="dxa"/>
            <w:tcBorders>
              <w:top w:val="nil"/>
              <w:left w:val="nil"/>
              <w:bottom w:val="single" w:sz="4" w:space="0" w:color="auto"/>
              <w:right w:val="single" w:sz="4" w:space="0" w:color="auto"/>
            </w:tcBorders>
            <w:shd w:val="clear" w:color="auto" w:fill="auto"/>
            <w:vAlign w:val="center"/>
            <w:hideMark/>
          </w:tcPr>
          <w:p w14:paraId="01933C7E" w14:textId="77777777" w:rsidR="00406AFE" w:rsidRPr="0053555E" w:rsidRDefault="00406AFE" w:rsidP="00324438">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P</w:t>
            </w:r>
          </w:p>
        </w:tc>
        <w:tc>
          <w:tcPr>
            <w:tcW w:w="960" w:type="dxa"/>
            <w:tcBorders>
              <w:top w:val="nil"/>
              <w:left w:val="nil"/>
              <w:bottom w:val="single" w:sz="4" w:space="0" w:color="auto"/>
              <w:right w:val="single" w:sz="4" w:space="0" w:color="auto"/>
            </w:tcBorders>
            <w:shd w:val="clear" w:color="auto" w:fill="auto"/>
            <w:vAlign w:val="center"/>
            <w:hideMark/>
          </w:tcPr>
          <w:p w14:paraId="0884574A" w14:textId="77777777" w:rsidR="00406AFE" w:rsidRPr="0053555E" w:rsidRDefault="00406AFE" w:rsidP="00324438">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V</w:t>
            </w:r>
          </w:p>
        </w:tc>
        <w:tc>
          <w:tcPr>
            <w:tcW w:w="960" w:type="dxa"/>
            <w:tcBorders>
              <w:top w:val="nil"/>
              <w:left w:val="nil"/>
              <w:bottom w:val="single" w:sz="4" w:space="0" w:color="auto"/>
              <w:right w:val="single" w:sz="4" w:space="0" w:color="auto"/>
            </w:tcBorders>
            <w:shd w:val="clear" w:color="auto" w:fill="auto"/>
            <w:vAlign w:val="center"/>
            <w:hideMark/>
          </w:tcPr>
          <w:p w14:paraId="5815571F" w14:textId="77777777" w:rsidR="00406AFE" w:rsidRPr="0053555E" w:rsidRDefault="00406AFE" w:rsidP="00324438">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P</w:t>
            </w:r>
          </w:p>
        </w:tc>
        <w:tc>
          <w:tcPr>
            <w:tcW w:w="960" w:type="dxa"/>
            <w:tcBorders>
              <w:top w:val="nil"/>
              <w:left w:val="nil"/>
              <w:bottom w:val="single" w:sz="4" w:space="0" w:color="auto"/>
              <w:right w:val="single" w:sz="4" w:space="0" w:color="auto"/>
            </w:tcBorders>
            <w:shd w:val="clear" w:color="000000" w:fill="FFFFFF"/>
            <w:vAlign w:val="center"/>
            <w:hideMark/>
          </w:tcPr>
          <w:p w14:paraId="45BC302B" w14:textId="77777777" w:rsidR="00406AFE" w:rsidRPr="0053555E" w:rsidRDefault="00406AFE" w:rsidP="00324438">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V</w:t>
            </w:r>
          </w:p>
        </w:tc>
        <w:tc>
          <w:tcPr>
            <w:tcW w:w="960" w:type="dxa"/>
            <w:tcBorders>
              <w:top w:val="nil"/>
              <w:left w:val="nil"/>
              <w:bottom w:val="single" w:sz="4" w:space="0" w:color="auto"/>
              <w:right w:val="single" w:sz="4" w:space="0" w:color="auto"/>
            </w:tcBorders>
            <w:shd w:val="clear" w:color="000000" w:fill="FFFFFF"/>
            <w:vAlign w:val="center"/>
            <w:hideMark/>
          </w:tcPr>
          <w:p w14:paraId="5F90B2FE" w14:textId="77777777" w:rsidR="00406AFE" w:rsidRPr="0053555E" w:rsidRDefault="00406AFE" w:rsidP="00324438">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P</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4D2F9E27" w14:textId="77777777" w:rsidR="00406AFE" w:rsidRPr="0053555E" w:rsidRDefault="00406AFE" w:rsidP="00324438">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V</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36D31CE1" w14:textId="77777777" w:rsidR="00406AFE" w:rsidRPr="0053555E" w:rsidRDefault="00406AFE" w:rsidP="00324438">
            <w:pPr>
              <w:tabs>
                <w:tab w:val="left" w:pos="9356"/>
              </w:tabs>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P</w:t>
            </w:r>
          </w:p>
        </w:tc>
      </w:tr>
      <w:tr w:rsidR="00C92665" w:rsidRPr="0053555E" w14:paraId="76EB3742" w14:textId="77777777" w:rsidTr="005A05C5">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2DAAC357" w14:textId="77777777" w:rsidR="00C92665" w:rsidRPr="0053555E" w:rsidRDefault="00C92665" w:rsidP="00C92665">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SvF</w:t>
            </w:r>
          </w:p>
        </w:tc>
        <w:tc>
          <w:tcPr>
            <w:tcW w:w="960" w:type="dxa"/>
            <w:tcBorders>
              <w:top w:val="nil"/>
              <w:left w:val="nil"/>
              <w:bottom w:val="single" w:sz="4" w:space="0" w:color="auto"/>
              <w:right w:val="single" w:sz="4" w:space="0" w:color="auto"/>
            </w:tcBorders>
            <w:shd w:val="clear" w:color="auto" w:fill="auto"/>
            <w:vAlign w:val="center"/>
            <w:hideMark/>
          </w:tcPr>
          <w:p w14:paraId="0B14A0D3" w14:textId="377921BD" w:rsidR="00C92665" w:rsidRPr="0053555E" w:rsidRDefault="00C92665" w:rsidP="00C92665">
            <w:pPr>
              <w:jc w:val="center"/>
              <w:rPr>
                <w:rFonts w:asciiTheme="majorHAnsi" w:hAnsiTheme="majorHAnsi" w:cstheme="majorHAnsi"/>
                <w:sz w:val="22"/>
                <w:szCs w:val="22"/>
              </w:rPr>
            </w:pPr>
            <w:r w:rsidRPr="0053555E">
              <w:rPr>
                <w:rFonts w:cs="Calibri"/>
                <w:sz w:val="22"/>
                <w:szCs w:val="20"/>
              </w:rPr>
              <w:t>36</w:t>
            </w:r>
          </w:p>
        </w:tc>
        <w:tc>
          <w:tcPr>
            <w:tcW w:w="960" w:type="dxa"/>
            <w:tcBorders>
              <w:top w:val="nil"/>
              <w:left w:val="nil"/>
              <w:bottom w:val="single" w:sz="4" w:space="0" w:color="auto"/>
              <w:right w:val="single" w:sz="4" w:space="0" w:color="auto"/>
            </w:tcBorders>
            <w:shd w:val="clear" w:color="auto" w:fill="auto"/>
            <w:vAlign w:val="center"/>
            <w:hideMark/>
          </w:tcPr>
          <w:p w14:paraId="316A6551" w14:textId="2F544DD7" w:rsidR="00C92665" w:rsidRPr="0053555E" w:rsidRDefault="00C92665" w:rsidP="00C92665">
            <w:pPr>
              <w:jc w:val="center"/>
              <w:rPr>
                <w:rFonts w:asciiTheme="majorHAnsi" w:hAnsiTheme="majorHAnsi" w:cstheme="majorHAnsi"/>
                <w:sz w:val="22"/>
                <w:szCs w:val="22"/>
              </w:rPr>
            </w:pPr>
            <w:r w:rsidRPr="0053555E">
              <w:rPr>
                <w:rFonts w:cs="Calibri"/>
                <w:sz w:val="22"/>
                <w:szCs w:val="20"/>
              </w:rPr>
              <w:t>19</w:t>
            </w:r>
          </w:p>
        </w:tc>
        <w:tc>
          <w:tcPr>
            <w:tcW w:w="960" w:type="dxa"/>
            <w:tcBorders>
              <w:top w:val="nil"/>
              <w:left w:val="nil"/>
              <w:bottom w:val="single" w:sz="4" w:space="0" w:color="auto"/>
              <w:right w:val="single" w:sz="4" w:space="0" w:color="auto"/>
            </w:tcBorders>
            <w:shd w:val="clear" w:color="auto" w:fill="auto"/>
            <w:vAlign w:val="center"/>
            <w:hideMark/>
          </w:tcPr>
          <w:p w14:paraId="59BDA3C6" w14:textId="7F710D83"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5B40CA7B" w14:textId="0608DDC7" w:rsidR="00C92665" w:rsidRPr="0053555E" w:rsidRDefault="00C92665" w:rsidP="00C92665">
            <w:pPr>
              <w:jc w:val="center"/>
              <w:rPr>
                <w:rFonts w:asciiTheme="majorHAnsi" w:hAnsiTheme="majorHAnsi" w:cstheme="majorHAnsi"/>
                <w:sz w:val="22"/>
                <w:szCs w:val="22"/>
              </w:rPr>
            </w:pPr>
            <w:r w:rsidRPr="0053555E">
              <w:rPr>
                <w:rFonts w:cs="Calibri"/>
                <w:sz w:val="22"/>
                <w:szCs w:val="20"/>
              </w:rPr>
              <w:t>4</w:t>
            </w:r>
          </w:p>
        </w:tc>
        <w:tc>
          <w:tcPr>
            <w:tcW w:w="960" w:type="dxa"/>
            <w:tcBorders>
              <w:top w:val="nil"/>
              <w:left w:val="nil"/>
              <w:bottom w:val="single" w:sz="4" w:space="0" w:color="auto"/>
              <w:right w:val="single" w:sz="4" w:space="0" w:color="auto"/>
            </w:tcBorders>
            <w:shd w:val="clear" w:color="000000" w:fill="FFFFFF"/>
            <w:vAlign w:val="center"/>
            <w:hideMark/>
          </w:tcPr>
          <w:p w14:paraId="5FA4AB92" w14:textId="73F7D30E"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000000" w:fill="FFFFFF"/>
            <w:vAlign w:val="center"/>
            <w:hideMark/>
          </w:tcPr>
          <w:p w14:paraId="4B56E68A" w14:textId="1DA01453"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5FD7288D" w14:textId="10504A99" w:rsidR="00C92665" w:rsidRPr="0053555E" w:rsidRDefault="00C92665" w:rsidP="00C92665">
            <w:pPr>
              <w:jc w:val="center"/>
              <w:rPr>
                <w:rFonts w:asciiTheme="majorHAnsi" w:hAnsiTheme="majorHAnsi" w:cstheme="majorHAnsi"/>
                <w:sz w:val="22"/>
                <w:szCs w:val="22"/>
              </w:rPr>
            </w:pPr>
            <w:r w:rsidRPr="0053555E">
              <w:rPr>
                <w:rFonts w:cs="Calibri"/>
                <w:sz w:val="22"/>
                <w:szCs w:val="20"/>
              </w:rPr>
              <w:t>36</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5C3BA30E" w14:textId="0C7E8908" w:rsidR="00C92665" w:rsidRPr="0053555E" w:rsidRDefault="00C92665" w:rsidP="00C92665">
            <w:pPr>
              <w:jc w:val="center"/>
              <w:rPr>
                <w:rFonts w:asciiTheme="majorHAnsi" w:hAnsiTheme="majorHAnsi" w:cstheme="majorHAnsi"/>
                <w:sz w:val="22"/>
                <w:szCs w:val="22"/>
              </w:rPr>
            </w:pPr>
            <w:r w:rsidRPr="0053555E">
              <w:rPr>
                <w:rFonts w:cs="Calibri"/>
                <w:sz w:val="22"/>
                <w:szCs w:val="20"/>
              </w:rPr>
              <w:t>23</w:t>
            </w:r>
          </w:p>
        </w:tc>
      </w:tr>
      <w:tr w:rsidR="00C92665" w:rsidRPr="0053555E" w14:paraId="6D4F5722" w14:textId="77777777" w:rsidTr="005A05C5">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38B3E3C0" w14:textId="77777777" w:rsidR="00C92665" w:rsidRPr="0053555E" w:rsidRDefault="00C92665" w:rsidP="00C92665">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SjF</w:t>
            </w:r>
          </w:p>
        </w:tc>
        <w:tc>
          <w:tcPr>
            <w:tcW w:w="960" w:type="dxa"/>
            <w:tcBorders>
              <w:top w:val="nil"/>
              <w:left w:val="nil"/>
              <w:bottom w:val="single" w:sz="4" w:space="0" w:color="auto"/>
              <w:right w:val="single" w:sz="4" w:space="0" w:color="auto"/>
            </w:tcBorders>
            <w:shd w:val="clear" w:color="auto" w:fill="auto"/>
            <w:vAlign w:val="center"/>
            <w:hideMark/>
          </w:tcPr>
          <w:p w14:paraId="6835117E" w14:textId="6F4F3158" w:rsidR="00C92665" w:rsidRPr="0053555E" w:rsidRDefault="00C92665" w:rsidP="00C92665">
            <w:pPr>
              <w:jc w:val="center"/>
              <w:rPr>
                <w:rFonts w:asciiTheme="majorHAnsi" w:hAnsiTheme="majorHAnsi" w:cstheme="majorHAnsi"/>
                <w:sz w:val="22"/>
                <w:szCs w:val="22"/>
              </w:rPr>
            </w:pPr>
            <w:r w:rsidRPr="0053555E">
              <w:rPr>
                <w:rFonts w:cs="Calibri"/>
                <w:sz w:val="22"/>
                <w:szCs w:val="20"/>
              </w:rPr>
              <w:t>29</w:t>
            </w:r>
          </w:p>
        </w:tc>
        <w:tc>
          <w:tcPr>
            <w:tcW w:w="960" w:type="dxa"/>
            <w:tcBorders>
              <w:top w:val="nil"/>
              <w:left w:val="nil"/>
              <w:bottom w:val="single" w:sz="4" w:space="0" w:color="auto"/>
              <w:right w:val="single" w:sz="4" w:space="0" w:color="auto"/>
            </w:tcBorders>
            <w:shd w:val="clear" w:color="auto" w:fill="auto"/>
            <w:vAlign w:val="center"/>
            <w:hideMark/>
          </w:tcPr>
          <w:p w14:paraId="56ECF952" w14:textId="3D4E8991" w:rsidR="00C92665" w:rsidRPr="0053555E" w:rsidRDefault="00C92665" w:rsidP="00C92665">
            <w:pPr>
              <w:jc w:val="center"/>
              <w:rPr>
                <w:rFonts w:asciiTheme="majorHAnsi" w:hAnsiTheme="majorHAnsi" w:cstheme="majorHAnsi"/>
                <w:sz w:val="22"/>
                <w:szCs w:val="22"/>
              </w:rPr>
            </w:pPr>
            <w:r w:rsidRPr="0053555E">
              <w:rPr>
                <w:rFonts w:cs="Calibri"/>
                <w:sz w:val="22"/>
                <w:szCs w:val="20"/>
              </w:rPr>
              <w:t>25</w:t>
            </w:r>
          </w:p>
        </w:tc>
        <w:tc>
          <w:tcPr>
            <w:tcW w:w="960" w:type="dxa"/>
            <w:tcBorders>
              <w:top w:val="nil"/>
              <w:left w:val="nil"/>
              <w:bottom w:val="single" w:sz="4" w:space="0" w:color="auto"/>
              <w:right w:val="single" w:sz="4" w:space="0" w:color="auto"/>
            </w:tcBorders>
            <w:shd w:val="clear" w:color="auto" w:fill="auto"/>
            <w:vAlign w:val="center"/>
            <w:hideMark/>
          </w:tcPr>
          <w:p w14:paraId="5C25A3DE" w14:textId="6BD62160"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2B0C56C3" w14:textId="62B0ADC6"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000000" w:fill="FFFFFF"/>
            <w:vAlign w:val="center"/>
            <w:hideMark/>
          </w:tcPr>
          <w:p w14:paraId="13694BE3" w14:textId="4E37DEC6"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000000" w:fill="FFFFFF"/>
            <w:vAlign w:val="center"/>
            <w:hideMark/>
          </w:tcPr>
          <w:p w14:paraId="4990FD29" w14:textId="14B64F63"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5A4CE27D" w14:textId="589D9931" w:rsidR="00C92665" w:rsidRPr="0053555E" w:rsidRDefault="00C92665" w:rsidP="00C92665">
            <w:pPr>
              <w:jc w:val="center"/>
              <w:rPr>
                <w:rFonts w:asciiTheme="majorHAnsi" w:hAnsiTheme="majorHAnsi" w:cstheme="majorHAnsi"/>
                <w:sz w:val="22"/>
                <w:szCs w:val="22"/>
              </w:rPr>
            </w:pPr>
            <w:r w:rsidRPr="0053555E">
              <w:rPr>
                <w:rFonts w:cs="Calibri"/>
                <w:sz w:val="22"/>
                <w:szCs w:val="20"/>
              </w:rPr>
              <w:t>29</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5299B205" w14:textId="09DD006E" w:rsidR="00C92665" w:rsidRPr="0053555E" w:rsidRDefault="00C92665" w:rsidP="00C92665">
            <w:pPr>
              <w:jc w:val="center"/>
              <w:rPr>
                <w:rFonts w:asciiTheme="majorHAnsi" w:hAnsiTheme="majorHAnsi" w:cstheme="majorHAnsi"/>
                <w:sz w:val="22"/>
                <w:szCs w:val="22"/>
              </w:rPr>
            </w:pPr>
            <w:r w:rsidRPr="0053555E">
              <w:rPr>
                <w:rFonts w:cs="Calibri"/>
                <w:sz w:val="22"/>
                <w:szCs w:val="20"/>
              </w:rPr>
              <w:t>25</w:t>
            </w:r>
          </w:p>
        </w:tc>
      </w:tr>
      <w:tr w:rsidR="00C92665" w:rsidRPr="0053555E" w14:paraId="2D748473" w14:textId="77777777" w:rsidTr="005A05C5">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17CEB415" w14:textId="77777777" w:rsidR="00C92665" w:rsidRPr="0053555E" w:rsidRDefault="00C92665" w:rsidP="00C92665">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FEI</w:t>
            </w:r>
          </w:p>
        </w:tc>
        <w:tc>
          <w:tcPr>
            <w:tcW w:w="960" w:type="dxa"/>
            <w:tcBorders>
              <w:top w:val="nil"/>
              <w:left w:val="nil"/>
              <w:bottom w:val="single" w:sz="4" w:space="0" w:color="auto"/>
              <w:right w:val="single" w:sz="4" w:space="0" w:color="auto"/>
            </w:tcBorders>
            <w:shd w:val="clear" w:color="auto" w:fill="auto"/>
            <w:vAlign w:val="center"/>
            <w:hideMark/>
          </w:tcPr>
          <w:p w14:paraId="6FDF3F80" w14:textId="2FE65C7E" w:rsidR="00C92665" w:rsidRPr="0053555E" w:rsidRDefault="00C92665" w:rsidP="00C92665">
            <w:pPr>
              <w:jc w:val="center"/>
              <w:rPr>
                <w:rFonts w:asciiTheme="majorHAnsi" w:hAnsiTheme="majorHAnsi" w:cstheme="majorHAnsi"/>
                <w:sz w:val="22"/>
                <w:szCs w:val="22"/>
              </w:rPr>
            </w:pPr>
            <w:r w:rsidRPr="0053555E">
              <w:rPr>
                <w:rFonts w:cs="Calibri"/>
                <w:sz w:val="22"/>
                <w:szCs w:val="20"/>
              </w:rPr>
              <w:t>32</w:t>
            </w:r>
          </w:p>
        </w:tc>
        <w:tc>
          <w:tcPr>
            <w:tcW w:w="960" w:type="dxa"/>
            <w:tcBorders>
              <w:top w:val="nil"/>
              <w:left w:val="nil"/>
              <w:bottom w:val="single" w:sz="4" w:space="0" w:color="auto"/>
              <w:right w:val="single" w:sz="4" w:space="0" w:color="auto"/>
            </w:tcBorders>
            <w:shd w:val="clear" w:color="auto" w:fill="auto"/>
            <w:vAlign w:val="center"/>
            <w:hideMark/>
          </w:tcPr>
          <w:p w14:paraId="62940257" w14:textId="7AADE0EE" w:rsidR="00C92665" w:rsidRPr="0053555E" w:rsidRDefault="00C92665" w:rsidP="00C92665">
            <w:pPr>
              <w:jc w:val="center"/>
              <w:rPr>
                <w:rFonts w:asciiTheme="majorHAnsi" w:hAnsiTheme="majorHAnsi" w:cstheme="majorHAnsi"/>
                <w:sz w:val="22"/>
                <w:szCs w:val="22"/>
              </w:rPr>
            </w:pPr>
            <w:r w:rsidRPr="0053555E">
              <w:rPr>
                <w:rFonts w:cs="Calibri"/>
                <w:sz w:val="22"/>
                <w:szCs w:val="20"/>
              </w:rPr>
              <w:t>16</w:t>
            </w:r>
          </w:p>
        </w:tc>
        <w:tc>
          <w:tcPr>
            <w:tcW w:w="960" w:type="dxa"/>
            <w:tcBorders>
              <w:top w:val="nil"/>
              <w:left w:val="nil"/>
              <w:bottom w:val="single" w:sz="4" w:space="0" w:color="auto"/>
              <w:right w:val="single" w:sz="4" w:space="0" w:color="auto"/>
            </w:tcBorders>
            <w:shd w:val="clear" w:color="auto" w:fill="auto"/>
            <w:vAlign w:val="center"/>
            <w:hideMark/>
          </w:tcPr>
          <w:p w14:paraId="632AB2B9" w14:textId="077BDBEC"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78174B5B" w14:textId="517B2642"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000000" w:fill="FFFFFF"/>
            <w:vAlign w:val="center"/>
            <w:hideMark/>
          </w:tcPr>
          <w:p w14:paraId="30B2CE55" w14:textId="11865F3D"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000000" w:fill="FFFFFF"/>
            <w:vAlign w:val="center"/>
            <w:hideMark/>
          </w:tcPr>
          <w:p w14:paraId="56A2587C" w14:textId="08C163F5" w:rsidR="00C92665" w:rsidRPr="0053555E" w:rsidRDefault="00C92665" w:rsidP="00C92665">
            <w:pPr>
              <w:jc w:val="center"/>
              <w:rPr>
                <w:rFonts w:asciiTheme="majorHAnsi" w:hAnsiTheme="majorHAnsi" w:cstheme="majorHAnsi"/>
                <w:sz w:val="22"/>
                <w:szCs w:val="22"/>
              </w:rPr>
            </w:pPr>
            <w:r w:rsidRPr="0053555E">
              <w:rPr>
                <w:rFonts w:cs="Calibri"/>
                <w:sz w:val="22"/>
                <w:szCs w:val="20"/>
              </w:rPr>
              <w:t>2</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2D29836F" w14:textId="562C6CCD" w:rsidR="00C92665" w:rsidRPr="0053555E" w:rsidRDefault="00C92665" w:rsidP="00C92665">
            <w:pPr>
              <w:jc w:val="center"/>
              <w:rPr>
                <w:rFonts w:asciiTheme="majorHAnsi" w:hAnsiTheme="majorHAnsi" w:cstheme="majorHAnsi"/>
                <w:sz w:val="22"/>
                <w:szCs w:val="22"/>
              </w:rPr>
            </w:pPr>
            <w:r w:rsidRPr="0053555E">
              <w:rPr>
                <w:rFonts w:cs="Calibri"/>
                <w:sz w:val="22"/>
                <w:szCs w:val="20"/>
              </w:rPr>
              <w:t>32</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2CA412DD" w14:textId="7B9A14B2" w:rsidR="00C92665" w:rsidRPr="0053555E" w:rsidRDefault="00C92665" w:rsidP="00C92665">
            <w:pPr>
              <w:jc w:val="center"/>
              <w:rPr>
                <w:rFonts w:asciiTheme="majorHAnsi" w:hAnsiTheme="majorHAnsi" w:cstheme="majorHAnsi"/>
                <w:sz w:val="22"/>
                <w:szCs w:val="22"/>
              </w:rPr>
            </w:pPr>
            <w:r w:rsidRPr="0053555E">
              <w:rPr>
                <w:rFonts w:cs="Calibri"/>
                <w:sz w:val="22"/>
                <w:szCs w:val="20"/>
              </w:rPr>
              <w:t>18</w:t>
            </w:r>
          </w:p>
        </w:tc>
      </w:tr>
      <w:tr w:rsidR="00C92665" w:rsidRPr="0053555E" w14:paraId="7B28D126" w14:textId="77777777" w:rsidTr="005A05C5">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6A09F349" w14:textId="77777777" w:rsidR="00C92665" w:rsidRPr="0053555E" w:rsidRDefault="00C92665" w:rsidP="00C92665">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FCHPT</w:t>
            </w:r>
          </w:p>
        </w:tc>
        <w:tc>
          <w:tcPr>
            <w:tcW w:w="960" w:type="dxa"/>
            <w:tcBorders>
              <w:top w:val="nil"/>
              <w:left w:val="nil"/>
              <w:bottom w:val="single" w:sz="4" w:space="0" w:color="auto"/>
              <w:right w:val="single" w:sz="4" w:space="0" w:color="auto"/>
            </w:tcBorders>
            <w:shd w:val="clear" w:color="auto" w:fill="auto"/>
            <w:vAlign w:val="center"/>
            <w:hideMark/>
          </w:tcPr>
          <w:p w14:paraId="1AC72A9D" w14:textId="12F4A7EC" w:rsidR="00C92665" w:rsidRPr="0053555E" w:rsidRDefault="00C92665" w:rsidP="00C92665">
            <w:pPr>
              <w:jc w:val="center"/>
              <w:rPr>
                <w:rFonts w:asciiTheme="majorHAnsi" w:hAnsiTheme="majorHAnsi" w:cstheme="majorHAnsi"/>
                <w:sz w:val="22"/>
                <w:szCs w:val="22"/>
              </w:rPr>
            </w:pPr>
            <w:r w:rsidRPr="0053555E">
              <w:rPr>
                <w:rFonts w:cs="Calibri"/>
                <w:sz w:val="22"/>
                <w:szCs w:val="20"/>
              </w:rPr>
              <w:t>50</w:t>
            </w:r>
          </w:p>
        </w:tc>
        <w:tc>
          <w:tcPr>
            <w:tcW w:w="960" w:type="dxa"/>
            <w:tcBorders>
              <w:top w:val="nil"/>
              <w:left w:val="nil"/>
              <w:bottom w:val="single" w:sz="4" w:space="0" w:color="auto"/>
              <w:right w:val="single" w:sz="4" w:space="0" w:color="auto"/>
            </w:tcBorders>
            <w:shd w:val="clear" w:color="auto" w:fill="auto"/>
            <w:vAlign w:val="center"/>
            <w:hideMark/>
          </w:tcPr>
          <w:p w14:paraId="65BA7C82" w14:textId="3AC63A85" w:rsidR="00C92665" w:rsidRPr="0053555E" w:rsidRDefault="00C92665" w:rsidP="00C92665">
            <w:pPr>
              <w:jc w:val="center"/>
              <w:rPr>
                <w:rFonts w:asciiTheme="majorHAnsi" w:hAnsiTheme="majorHAnsi" w:cstheme="majorHAnsi"/>
                <w:sz w:val="22"/>
                <w:szCs w:val="22"/>
              </w:rPr>
            </w:pPr>
            <w:r w:rsidRPr="0053555E">
              <w:rPr>
                <w:rFonts w:cs="Calibri"/>
                <w:sz w:val="22"/>
                <w:szCs w:val="20"/>
              </w:rPr>
              <w:t>68</w:t>
            </w:r>
          </w:p>
        </w:tc>
        <w:tc>
          <w:tcPr>
            <w:tcW w:w="960" w:type="dxa"/>
            <w:tcBorders>
              <w:top w:val="nil"/>
              <w:left w:val="nil"/>
              <w:bottom w:val="single" w:sz="4" w:space="0" w:color="auto"/>
              <w:right w:val="single" w:sz="4" w:space="0" w:color="auto"/>
            </w:tcBorders>
            <w:shd w:val="clear" w:color="auto" w:fill="auto"/>
            <w:vAlign w:val="center"/>
            <w:hideMark/>
          </w:tcPr>
          <w:p w14:paraId="3E477F43" w14:textId="16B3F2A1"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57EA06BA" w14:textId="2D77F4A2" w:rsidR="00C92665" w:rsidRPr="0053555E" w:rsidRDefault="00C92665" w:rsidP="00C92665">
            <w:pPr>
              <w:jc w:val="center"/>
              <w:rPr>
                <w:rFonts w:asciiTheme="majorHAnsi" w:hAnsiTheme="majorHAnsi" w:cstheme="majorHAnsi"/>
                <w:sz w:val="22"/>
                <w:szCs w:val="22"/>
              </w:rPr>
            </w:pPr>
            <w:r w:rsidRPr="0053555E">
              <w:rPr>
                <w:rFonts w:cs="Calibri"/>
                <w:sz w:val="22"/>
                <w:szCs w:val="20"/>
              </w:rPr>
              <w:t>13</w:t>
            </w:r>
          </w:p>
        </w:tc>
        <w:tc>
          <w:tcPr>
            <w:tcW w:w="960" w:type="dxa"/>
            <w:tcBorders>
              <w:top w:val="nil"/>
              <w:left w:val="nil"/>
              <w:bottom w:val="single" w:sz="4" w:space="0" w:color="auto"/>
              <w:right w:val="single" w:sz="4" w:space="0" w:color="auto"/>
            </w:tcBorders>
            <w:shd w:val="clear" w:color="000000" w:fill="FFFFFF"/>
            <w:vAlign w:val="center"/>
            <w:hideMark/>
          </w:tcPr>
          <w:p w14:paraId="48110229" w14:textId="44A31AEB"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000000" w:fill="FFFFFF"/>
            <w:vAlign w:val="center"/>
            <w:hideMark/>
          </w:tcPr>
          <w:p w14:paraId="4F8CAAA5" w14:textId="523B8153" w:rsidR="00C92665" w:rsidRPr="0053555E" w:rsidRDefault="00C92665" w:rsidP="00C92665">
            <w:pPr>
              <w:jc w:val="center"/>
              <w:rPr>
                <w:rFonts w:asciiTheme="majorHAnsi" w:hAnsiTheme="majorHAnsi" w:cstheme="majorHAnsi"/>
                <w:sz w:val="22"/>
                <w:szCs w:val="22"/>
              </w:rPr>
            </w:pPr>
            <w:r w:rsidRPr="0053555E">
              <w:rPr>
                <w:rFonts w:cs="Calibri"/>
                <w:sz w:val="22"/>
                <w:szCs w:val="20"/>
              </w:rPr>
              <w:t>1</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627B6E48" w14:textId="714D7A08" w:rsidR="00C92665" w:rsidRPr="0053555E" w:rsidRDefault="00C92665" w:rsidP="00C92665">
            <w:pPr>
              <w:jc w:val="center"/>
              <w:rPr>
                <w:rFonts w:asciiTheme="majorHAnsi" w:hAnsiTheme="majorHAnsi" w:cstheme="majorHAnsi"/>
                <w:sz w:val="22"/>
                <w:szCs w:val="22"/>
              </w:rPr>
            </w:pPr>
            <w:r w:rsidRPr="0053555E">
              <w:rPr>
                <w:rFonts w:cs="Calibri"/>
                <w:sz w:val="22"/>
                <w:szCs w:val="20"/>
              </w:rPr>
              <w:t>50</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3442A10A" w14:textId="360EFED2" w:rsidR="00C92665" w:rsidRPr="0053555E" w:rsidRDefault="00C92665" w:rsidP="00C92665">
            <w:pPr>
              <w:jc w:val="center"/>
              <w:rPr>
                <w:rFonts w:asciiTheme="majorHAnsi" w:hAnsiTheme="majorHAnsi" w:cstheme="majorHAnsi"/>
                <w:sz w:val="22"/>
                <w:szCs w:val="22"/>
              </w:rPr>
            </w:pPr>
            <w:r w:rsidRPr="0053555E">
              <w:rPr>
                <w:rFonts w:cs="Calibri"/>
                <w:sz w:val="22"/>
                <w:szCs w:val="20"/>
              </w:rPr>
              <w:t>82</w:t>
            </w:r>
          </w:p>
        </w:tc>
      </w:tr>
      <w:tr w:rsidR="00C92665" w:rsidRPr="0053555E" w14:paraId="2A18D423" w14:textId="77777777" w:rsidTr="005A05C5">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67EC9ACF" w14:textId="77777777" w:rsidR="00C92665" w:rsidRPr="0053555E" w:rsidRDefault="00C92665" w:rsidP="00C92665">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FAD</w:t>
            </w:r>
          </w:p>
        </w:tc>
        <w:tc>
          <w:tcPr>
            <w:tcW w:w="960" w:type="dxa"/>
            <w:tcBorders>
              <w:top w:val="nil"/>
              <w:left w:val="nil"/>
              <w:bottom w:val="single" w:sz="4" w:space="0" w:color="auto"/>
              <w:right w:val="single" w:sz="4" w:space="0" w:color="auto"/>
            </w:tcBorders>
            <w:shd w:val="clear" w:color="auto" w:fill="auto"/>
            <w:vAlign w:val="center"/>
            <w:hideMark/>
          </w:tcPr>
          <w:p w14:paraId="7AFBE8B6" w14:textId="137D9D58" w:rsidR="00C92665" w:rsidRPr="0053555E" w:rsidRDefault="00C92665" w:rsidP="00C92665">
            <w:pPr>
              <w:jc w:val="center"/>
              <w:rPr>
                <w:rFonts w:asciiTheme="majorHAnsi" w:hAnsiTheme="majorHAnsi" w:cstheme="majorHAnsi"/>
                <w:sz w:val="22"/>
                <w:szCs w:val="22"/>
              </w:rPr>
            </w:pPr>
            <w:r w:rsidRPr="0053555E">
              <w:rPr>
                <w:rFonts w:cs="Calibri"/>
                <w:sz w:val="22"/>
                <w:szCs w:val="20"/>
              </w:rPr>
              <w:t>74</w:t>
            </w:r>
          </w:p>
        </w:tc>
        <w:tc>
          <w:tcPr>
            <w:tcW w:w="960" w:type="dxa"/>
            <w:tcBorders>
              <w:top w:val="nil"/>
              <w:left w:val="nil"/>
              <w:bottom w:val="single" w:sz="4" w:space="0" w:color="auto"/>
              <w:right w:val="single" w:sz="4" w:space="0" w:color="auto"/>
            </w:tcBorders>
            <w:shd w:val="clear" w:color="auto" w:fill="auto"/>
            <w:vAlign w:val="center"/>
            <w:hideMark/>
          </w:tcPr>
          <w:p w14:paraId="2D1B9570" w14:textId="7AF9C97A" w:rsidR="00C92665" w:rsidRPr="0053555E" w:rsidRDefault="00C92665" w:rsidP="00C92665">
            <w:pPr>
              <w:jc w:val="center"/>
              <w:rPr>
                <w:rFonts w:asciiTheme="majorHAnsi" w:hAnsiTheme="majorHAnsi" w:cstheme="majorHAnsi"/>
                <w:sz w:val="22"/>
                <w:szCs w:val="22"/>
              </w:rPr>
            </w:pPr>
            <w:r w:rsidRPr="0053555E">
              <w:rPr>
                <w:rFonts w:cs="Calibri"/>
                <w:sz w:val="22"/>
                <w:szCs w:val="20"/>
              </w:rPr>
              <w:t>30</w:t>
            </w:r>
          </w:p>
        </w:tc>
        <w:tc>
          <w:tcPr>
            <w:tcW w:w="960" w:type="dxa"/>
            <w:tcBorders>
              <w:top w:val="nil"/>
              <w:left w:val="nil"/>
              <w:bottom w:val="single" w:sz="4" w:space="0" w:color="auto"/>
              <w:right w:val="single" w:sz="4" w:space="0" w:color="auto"/>
            </w:tcBorders>
            <w:shd w:val="clear" w:color="auto" w:fill="auto"/>
            <w:vAlign w:val="center"/>
            <w:hideMark/>
          </w:tcPr>
          <w:p w14:paraId="1640C554" w14:textId="0713F20E" w:rsidR="00C92665" w:rsidRPr="0053555E" w:rsidRDefault="00C92665" w:rsidP="00C92665">
            <w:pPr>
              <w:jc w:val="center"/>
              <w:rPr>
                <w:rFonts w:asciiTheme="majorHAnsi" w:hAnsiTheme="majorHAnsi" w:cstheme="majorHAnsi"/>
                <w:sz w:val="22"/>
                <w:szCs w:val="22"/>
              </w:rPr>
            </w:pPr>
            <w:r w:rsidRPr="0053555E">
              <w:rPr>
                <w:rFonts w:cs="Calibri"/>
                <w:sz w:val="22"/>
                <w:szCs w:val="20"/>
              </w:rPr>
              <w:t>1</w:t>
            </w:r>
          </w:p>
        </w:tc>
        <w:tc>
          <w:tcPr>
            <w:tcW w:w="960" w:type="dxa"/>
            <w:tcBorders>
              <w:top w:val="nil"/>
              <w:left w:val="nil"/>
              <w:bottom w:val="single" w:sz="4" w:space="0" w:color="auto"/>
              <w:right w:val="single" w:sz="4" w:space="0" w:color="auto"/>
            </w:tcBorders>
            <w:shd w:val="clear" w:color="auto" w:fill="auto"/>
            <w:vAlign w:val="center"/>
            <w:hideMark/>
          </w:tcPr>
          <w:p w14:paraId="4DDEE09C" w14:textId="7609BBE8"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000000" w:fill="FFFFFF"/>
            <w:vAlign w:val="center"/>
            <w:hideMark/>
          </w:tcPr>
          <w:p w14:paraId="7A5BAA3E" w14:textId="737856E6"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000000" w:fill="FFFFFF"/>
            <w:vAlign w:val="center"/>
            <w:hideMark/>
          </w:tcPr>
          <w:p w14:paraId="299F0A1B" w14:textId="2FD83E93"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555371C5" w14:textId="18415A8A" w:rsidR="00C92665" w:rsidRPr="0053555E" w:rsidRDefault="00C92665" w:rsidP="00C92665">
            <w:pPr>
              <w:jc w:val="center"/>
              <w:rPr>
                <w:rFonts w:asciiTheme="majorHAnsi" w:hAnsiTheme="majorHAnsi" w:cstheme="majorHAnsi"/>
                <w:sz w:val="22"/>
                <w:szCs w:val="22"/>
              </w:rPr>
            </w:pPr>
            <w:r w:rsidRPr="0053555E">
              <w:rPr>
                <w:rFonts w:cs="Calibri"/>
                <w:sz w:val="22"/>
                <w:szCs w:val="20"/>
              </w:rPr>
              <w:t>75</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7D4062BC" w14:textId="5F124F50" w:rsidR="00C92665" w:rsidRPr="0053555E" w:rsidRDefault="00C92665" w:rsidP="00C92665">
            <w:pPr>
              <w:jc w:val="center"/>
              <w:rPr>
                <w:rFonts w:asciiTheme="majorHAnsi" w:hAnsiTheme="majorHAnsi" w:cstheme="majorHAnsi"/>
                <w:sz w:val="22"/>
                <w:szCs w:val="22"/>
              </w:rPr>
            </w:pPr>
            <w:r w:rsidRPr="0053555E">
              <w:rPr>
                <w:rFonts w:cs="Calibri"/>
                <w:sz w:val="22"/>
                <w:szCs w:val="20"/>
              </w:rPr>
              <w:t>30</w:t>
            </w:r>
          </w:p>
        </w:tc>
      </w:tr>
      <w:tr w:rsidR="00C92665" w:rsidRPr="0053555E" w14:paraId="03954902" w14:textId="77777777" w:rsidTr="005A05C5">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158F16B6" w14:textId="77777777" w:rsidR="00C92665" w:rsidRPr="0053555E" w:rsidRDefault="00C92665" w:rsidP="00C92665">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MTF</w:t>
            </w:r>
          </w:p>
        </w:tc>
        <w:tc>
          <w:tcPr>
            <w:tcW w:w="960" w:type="dxa"/>
            <w:tcBorders>
              <w:top w:val="nil"/>
              <w:left w:val="nil"/>
              <w:bottom w:val="single" w:sz="4" w:space="0" w:color="auto"/>
              <w:right w:val="single" w:sz="4" w:space="0" w:color="auto"/>
            </w:tcBorders>
            <w:shd w:val="clear" w:color="auto" w:fill="auto"/>
            <w:vAlign w:val="center"/>
            <w:hideMark/>
          </w:tcPr>
          <w:p w14:paraId="2D670F59" w14:textId="3E1C4F8C" w:rsidR="00C92665" w:rsidRPr="0053555E" w:rsidRDefault="00C92665" w:rsidP="00C92665">
            <w:pPr>
              <w:jc w:val="center"/>
              <w:rPr>
                <w:rFonts w:asciiTheme="majorHAnsi" w:hAnsiTheme="majorHAnsi" w:cstheme="majorHAnsi"/>
                <w:sz w:val="22"/>
                <w:szCs w:val="22"/>
              </w:rPr>
            </w:pPr>
            <w:r w:rsidRPr="0053555E">
              <w:rPr>
                <w:rFonts w:cs="Calibri"/>
                <w:sz w:val="22"/>
                <w:szCs w:val="20"/>
              </w:rPr>
              <w:t>12</w:t>
            </w:r>
          </w:p>
        </w:tc>
        <w:tc>
          <w:tcPr>
            <w:tcW w:w="960" w:type="dxa"/>
            <w:tcBorders>
              <w:top w:val="nil"/>
              <w:left w:val="nil"/>
              <w:bottom w:val="single" w:sz="4" w:space="0" w:color="auto"/>
              <w:right w:val="single" w:sz="4" w:space="0" w:color="auto"/>
            </w:tcBorders>
            <w:shd w:val="clear" w:color="auto" w:fill="auto"/>
            <w:vAlign w:val="center"/>
            <w:hideMark/>
          </w:tcPr>
          <w:p w14:paraId="65C48AE4" w14:textId="164E9D06" w:rsidR="00C92665" w:rsidRPr="0053555E" w:rsidRDefault="00C92665" w:rsidP="00C92665">
            <w:pPr>
              <w:jc w:val="center"/>
              <w:rPr>
                <w:rFonts w:asciiTheme="majorHAnsi" w:hAnsiTheme="majorHAnsi" w:cstheme="majorHAnsi"/>
                <w:sz w:val="22"/>
                <w:szCs w:val="22"/>
              </w:rPr>
            </w:pPr>
            <w:r w:rsidRPr="0053555E">
              <w:rPr>
                <w:rFonts w:cs="Calibri"/>
                <w:sz w:val="22"/>
                <w:szCs w:val="20"/>
              </w:rPr>
              <w:t>11</w:t>
            </w:r>
          </w:p>
        </w:tc>
        <w:tc>
          <w:tcPr>
            <w:tcW w:w="960" w:type="dxa"/>
            <w:tcBorders>
              <w:top w:val="nil"/>
              <w:left w:val="nil"/>
              <w:bottom w:val="single" w:sz="4" w:space="0" w:color="auto"/>
              <w:right w:val="single" w:sz="4" w:space="0" w:color="auto"/>
            </w:tcBorders>
            <w:shd w:val="clear" w:color="auto" w:fill="auto"/>
            <w:vAlign w:val="center"/>
            <w:hideMark/>
          </w:tcPr>
          <w:p w14:paraId="40114A8F" w14:textId="24BC7537"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726621D8" w14:textId="535A1E5B" w:rsidR="00C92665" w:rsidRPr="0053555E" w:rsidRDefault="00C92665" w:rsidP="00C92665">
            <w:pPr>
              <w:jc w:val="center"/>
              <w:rPr>
                <w:rFonts w:asciiTheme="majorHAnsi" w:hAnsiTheme="majorHAnsi" w:cstheme="majorHAnsi"/>
                <w:sz w:val="22"/>
                <w:szCs w:val="22"/>
              </w:rPr>
            </w:pPr>
            <w:r w:rsidRPr="0053555E">
              <w:rPr>
                <w:rFonts w:cs="Calibri"/>
                <w:sz w:val="22"/>
                <w:szCs w:val="20"/>
              </w:rPr>
              <w:t>1</w:t>
            </w:r>
          </w:p>
        </w:tc>
        <w:tc>
          <w:tcPr>
            <w:tcW w:w="960" w:type="dxa"/>
            <w:tcBorders>
              <w:top w:val="nil"/>
              <w:left w:val="nil"/>
              <w:bottom w:val="single" w:sz="4" w:space="0" w:color="auto"/>
              <w:right w:val="single" w:sz="4" w:space="0" w:color="auto"/>
            </w:tcBorders>
            <w:shd w:val="clear" w:color="000000" w:fill="FFFFFF"/>
            <w:vAlign w:val="center"/>
            <w:hideMark/>
          </w:tcPr>
          <w:p w14:paraId="532D49C3" w14:textId="3F03D8E1"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000000" w:fill="FFFFFF"/>
            <w:vAlign w:val="center"/>
            <w:hideMark/>
          </w:tcPr>
          <w:p w14:paraId="0B73A612" w14:textId="5F54EA50" w:rsidR="00C92665" w:rsidRPr="0053555E" w:rsidRDefault="00C92665" w:rsidP="00C92665">
            <w:pPr>
              <w:jc w:val="center"/>
              <w:rPr>
                <w:rFonts w:asciiTheme="majorHAnsi" w:hAnsiTheme="majorHAnsi" w:cstheme="majorHAnsi"/>
                <w:sz w:val="22"/>
                <w:szCs w:val="22"/>
              </w:rPr>
            </w:pPr>
            <w:r w:rsidRPr="0053555E">
              <w:rPr>
                <w:rFonts w:cs="Calibri"/>
                <w:sz w:val="22"/>
                <w:szCs w:val="20"/>
              </w:rPr>
              <w:t>3</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6EB6A70D" w14:textId="45105473" w:rsidR="00C92665" w:rsidRPr="0053555E" w:rsidRDefault="00C92665" w:rsidP="00C92665">
            <w:pPr>
              <w:jc w:val="center"/>
              <w:rPr>
                <w:rFonts w:asciiTheme="majorHAnsi" w:hAnsiTheme="majorHAnsi" w:cstheme="majorHAnsi"/>
                <w:sz w:val="22"/>
                <w:szCs w:val="22"/>
              </w:rPr>
            </w:pPr>
            <w:r w:rsidRPr="0053555E">
              <w:rPr>
                <w:rFonts w:cs="Calibri"/>
                <w:sz w:val="22"/>
                <w:szCs w:val="20"/>
              </w:rPr>
              <w:t>12</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7033857F" w14:textId="608A4E1F" w:rsidR="00C92665" w:rsidRPr="0053555E" w:rsidRDefault="00C92665" w:rsidP="00C92665">
            <w:pPr>
              <w:jc w:val="center"/>
              <w:rPr>
                <w:rFonts w:asciiTheme="majorHAnsi" w:hAnsiTheme="majorHAnsi" w:cstheme="majorHAnsi"/>
                <w:sz w:val="22"/>
                <w:szCs w:val="22"/>
              </w:rPr>
            </w:pPr>
            <w:r w:rsidRPr="0053555E">
              <w:rPr>
                <w:rFonts w:cs="Calibri"/>
                <w:sz w:val="22"/>
                <w:szCs w:val="20"/>
              </w:rPr>
              <w:t>15</w:t>
            </w:r>
          </w:p>
        </w:tc>
      </w:tr>
      <w:tr w:rsidR="00C92665" w:rsidRPr="0053555E" w14:paraId="6289B2A8" w14:textId="77777777" w:rsidTr="005A05C5">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111E8C8C" w14:textId="77777777" w:rsidR="00C92665" w:rsidRPr="0053555E" w:rsidRDefault="00C92665" w:rsidP="00C92665">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FIIT</w:t>
            </w:r>
          </w:p>
        </w:tc>
        <w:tc>
          <w:tcPr>
            <w:tcW w:w="960" w:type="dxa"/>
            <w:tcBorders>
              <w:top w:val="nil"/>
              <w:left w:val="nil"/>
              <w:bottom w:val="single" w:sz="4" w:space="0" w:color="auto"/>
              <w:right w:val="single" w:sz="4" w:space="0" w:color="auto"/>
            </w:tcBorders>
            <w:shd w:val="clear" w:color="auto" w:fill="auto"/>
            <w:vAlign w:val="center"/>
            <w:hideMark/>
          </w:tcPr>
          <w:p w14:paraId="5C02A0E3" w14:textId="23B81504" w:rsidR="00C92665" w:rsidRPr="0053555E" w:rsidRDefault="00C92665" w:rsidP="00C92665">
            <w:pPr>
              <w:jc w:val="center"/>
              <w:rPr>
                <w:rFonts w:asciiTheme="majorHAnsi" w:hAnsiTheme="majorHAnsi" w:cstheme="majorHAnsi"/>
                <w:sz w:val="22"/>
                <w:szCs w:val="22"/>
              </w:rPr>
            </w:pPr>
            <w:r w:rsidRPr="0053555E">
              <w:rPr>
                <w:rFonts w:cs="Calibri"/>
                <w:sz w:val="22"/>
                <w:szCs w:val="20"/>
              </w:rPr>
              <w:t>7</w:t>
            </w:r>
          </w:p>
        </w:tc>
        <w:tc>
          <w:tcPr>
            <w:tcW w:w="960" w:type="dxa"/>
            <w:tcBorders>
              <w:top w:val="nil"/>
              <w:left w:val="nil"/>
              <w:bottom w:val="single" w:sz="4" w:space="0" w:color="auto"/>
              <w:right w:val="single" w:sz="4" w:space="0" w:color="auto"/>
            </w:tcBorders>
            <w:shd w:val="clear" w:color="auto" w:fill="auto"/>
            <w:vAlign w:val="center"/>
            <w:hideMark/>
          </w:tcPr>
          <w:p w14:paraId="6BE30FFC" w14:textId="08B239FA" w:rsidR="00C92665" w:rsidRPr="0053555E" w:rsidRDefault="00C92665" w:rsidP="00C92665">
            <w:pPr>
              <w:jc w:val="center"/>
              <w:rPr>
                <w:rFonts w:asciiTheme="majorHAnsi" w:hAnsiTheme="majorHAnsi" w:cstheme="majorHAnsi"/>
                <w:sz w:val="22"/>
                <w:szCs w:val="22"/>
              </w:rPr>
            </w:pPr>
            <w:r w:rsidRPr="0053555E">
              <w:rPr>
                <w:rFonts w:cs="Calibri"/>
                <w:sz w:val="22"/>
                <w:szCs w:val="20"/>
              </w:rPr>
              <w:t>4</w:t>
            </w:r>
          </w:p>
        </w:tc>
        <w:tc>
          <w:tcPr>
            <w:tcW w:w="960" w:type="dxa"/>
            <w:tcBorders>
              <w:top w:val="nil"/>
              <w:left w:val="nil"/>
              <w:bottom w:val="single" w:sz="4" w:space="0" w:color="auto"/>
              <w:right w:val="single" w:sz="4" w:space="0" w:color="auto"/>
            </w:tcBorders>
            <w:shd w:val="clear" w:color="auto" w:fill="auto"/>
            <w:vAlign w:val="center"/>
            <w:hideMark/>
          </w:tcPr>
          <w:p w14:paraId="00E9297E" w14:textId="60099BD4"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0BE96C77" w14:textId="3FDBE4B2" w:rsidR="00C92665" w:rsidRPr="0053555E" w:rsidRDefault="00C92665" w:rsidP="00C92665">
            <w:pPr>
              <w:jc w:val="center"/>
              <w:rPr>
                <w:rFonts w:asciiTheme="majorHAnsi" w:hAnsiTheme="majorHAnsi" w:cstheme="majorHAnsi"/>
                <w:sz w:val="22"/>
                <w:szCs w:val="22"/>
              </w:rPr>
            </w:pPr>
            <w:r w:rsidRPr="0053555E">
              <w:rPr>
                <w:rFonts w:cs="Calibri"/>
                <w:sz w:val="22"/>
                <w:szCs w:val="20"/>
              </w:rPr>
              <w:t>2</w:t>
            </w:r>
          </w:p>
        </w:tc>
        <w:tc>
          <w:tcPr>
            <w:tcW w:w="960" w:type="dxa"/>
            <w:tcBorders>
              <w:top w:val="nil"/>
              <w:left w:val="nil"/>
              <w:bottom w:val="single" w:sz="4" w:space="0" w:color="auto"/>
              <w:right w:val="single" w:sz="4" w:space="0" w:color="auto"/>
            </w:tcBorders>
            <w:shd w:val="clear" w:color="000000" w:fill="FFFFFF"/>
            <w:vAlign w:val="center"/>
            <w:hideMark/>
          </w:tcPr>
          <w:p w14:paraId="14F2D2B9" w14:textId="6A1DFDC7"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000000" w:fill="FFFFFF"/>
            <w:vAlign w:val="center"/>
            <w:hideMark/>
          </w:tcPr>
          <w:p w14:paraId="428AB8BE" w14:textId="0CC74D78"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5EDE35B0" w14:textId="21AED5C8" w:rsidR="00C92665" w:rsidRPr="0053555E" w:rsidRDefault="00C92665" w:rsidP="00C92665">
            <w:pPr>
              <w:jc w:val="center"/>
              <w:rPr>
                <w:rFonts w:asciiTheme="majorHAnsi" w:hAnsiTheme="majorHAnsi" w:cstheme="majorHAnsi"/>
                <w:sz w:val="22"/>
                <w:szCs w:val="22"/>
              </w:rPr>
            </w:pPr>
            <w:r w:rsidRPr="0053555E">
              <w:rPr>
                <w:rFonts w:cs="Calibri"/>
                <w:sz w:val="22"/>
                <w:szCs w:val="20"/>
              </w:rPr>
              <w:t>7</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0DBE8F3C" w14:textId="450464F2" w:rsidR="00C92665" w:rsidRPr="0053555E" w:rsidRDefault="00C92665" w:rsidP="00C92665">
            <w:pPr>
              <w:jc w:val="center"/>
              <w:rPr>
                <w:rFonts w:asciiTheme="majorHAnsi" w:hAnsiTheme="majorHAnsi" w:cstheme="majorHAnsi"/>
                <w:sz w:val="22"/>
                <w:szCs w:val="22"/>
              </w:rPr>
            </w:pPr>
            <w:r w:rsidRPr="0053555E">
              <w:rPr>
                <w:rFonts w:cs="Calibri"/>
                <w:sz w:val="22"/>
                <w:szCs w:val="20"/>
              </w:rPr>
              <w:t>6</w:t>
            </w:r>
          </w:p>
        </w:tc>
      </w:tr>
      <w:tr w:rsidR="00C92665" w:rsidRPr="0053555E" w14:paraId="307F21A2" w14:textId="77777777" w:rsidTr="005A05C5">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5797CA45" w14:textId="77777777" w:rsidR="00C92665" w:rsidRPr="0053555E" w:rsidRDefault="00C92665" w:rsidP="00C92665">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ÚM</w:t>
            </w:r>
          </w:p>
        </w:tc>
        <w:tc>
          <w:tcPr>
            <w:tcW w:w="960" w:type="dxa"/>
            <w:tcBorders>
              <w:top w:val="nil"/>
              <w:left w:val="nil"/>
              <w:bottom w:val="single" w:sz="4" w:space="0" w:color="auto"/>
              <w:right w:val="single" w:sz="4" w:space="0" w:color="auto"/>
            </w:tcBorders>
            <w:shd w:val="clear" w:color="auto" w:fill="auto"/>
            <w:vAlign w:val="center"/>
            <w:hideMark/>
          </w:tcPr>
          <w:p w14:paraId="7537A0D7" w14:textId="53086E97" w:rsidR="00C92665" w:rsidRPr="0053555E" w:rsidRDefault="00C92665" w:rsidP="00C92665">
            <w:pPr>
              <w:jc w:val="center"/>
              <w:rPr>
                <w:rFonts w:asciiTheme="majorHAnsi" w:hAnsiTheme="majorHAnsi" w:cstheme="majorHAnsi"/>
                <w:sz w:val="22"/>
                <w:szCs w:val="22"/>
              </w:rPr>
            </w:pPr>
            <w:r w:rsidRPr="0053555E">
              <w:rPr>
                <w:rFonts w:cs="Calibri"/>
                <w:sz w:val="22"/>
                <w:szCs w:val="20"/>
              </w:rPr>
              <w:t>12</w:t>
            </w:r>
          </w:p>
        </w:tc>
        <w:tc>
          <w:tcPr>
            <w:tcW w:w="960" w:type="dxa"/>
            <w:tcBorders>
              <w:top w:val="nil"/>
              <w:left w:val="nil"/>
              <w:bottom w:val="single" w:sz="4" w:space="0" w:color="auto"/>
              <w:right w:val="single" w:sz="4" w:space="0" w:color="auto"/>
            </w:tcBorders>
            <w:shd w:val="clear" w:color="auto" w:fill="auto"/>
            <w:vAlign w:val="center"/>
            <w:hideMark/>
          </w:tcPr>
          <w:p w14:paraId="722247E5" w14:textId="3B428893" w:rsidR="00C92665" w:rsidRPr="0053555E" w:rsidRDefault="00C92665" w:rsidP="00C92665">
            <w:pPr>
              <w:jc w:val="center"/>
              <w:rPr>
                <w:rFonts w:asciiTheme="majorHAnsi" w:hAnsiTheme="majorHAnsi" w:cstheme="majorHAnsi"/>
                <w:sz w:val="22"/>
                <w:szCs w:val="22"/>
              </w:rPr>
            </w:pPr>
            <w:r w:rsidRPr="0053555E">
              <w:rPr>
                <w:rFonts w:cs="Calibri"/>
                <w:sz w:val="22"/>
                <w:szCs w:val="20"/>
              </w:rPr>
              <w:t>6</w:t>
            </w:r>
          </w:p>
        </w:tc>
        <w:tc>
          <w:tcPr>
            <w:tcW w:w="960" w:type="dxa"/>
            <w:tcBorders>
              <w:top w:val="nil"/>
              <w:left w:val="nil"/>
              <w:bottom w:val="single" w:sz="4" w:space="0" w:color="auto"/>
              <w:right w:val="single" w:sz="4" w:space="0" w:color="auto"/>
            </w:tcBorders>
            <w:shd w:val="clear" w:color="auto" w:fill="auto"/>
            <w:vAlign w:val="center"/>
            <w:hideMark/>
          </w:tcPr>
          <w:p w14:paraId="282D1CB2" w14:textId="3F9EFA49"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65B29FEB" w14:textId="5222697A"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000000" w:fill="FFFFFF"/>
            <w:vAlign w:val="center"/>
            <w:hideMark/>
          </w:tcPr>
          <w:p w14:paraId="10ADF09C" w14:textId="512593FD" w:rsidR="00C92665" w:rsidRPr="0053555E" w:rsidRDefault="00C92665" w:rsidP="00C92665">
            <w:pPr>
              <w:jc w:val="center"/>
              <w:rPr>
                <w:rFonts w:asciiTheme="majorHAnsi" w:hAnsiTheme="majorHAnsi" w:cstheme="majorHAnsi"/>
                <w:sz w:val="22"/>
                <w:szCs w:val="22"/>
              </w:rPr>
            </w:pPr>
            <w:r w:rsidRPr="0053555E">
              <w:rPr>
                <w:rFonts w:cs="Calibri"/>
                <w:sz w:val="22"/>
                <w:szCs w:val="20"/>
              </w:rPr>
              <w:t>1</w:t>
            </w:r>
          </w:p>
        </w:tc>
        <w:tc>
          <w:tcPr>
            <w:tcW w:w="960" w:type="dxa"/>
            <w:tcBorders>
              <w:top w:val="nil"/>
              <w:left w:val="nil"/>
              <w:bottom w:val="single" w:sz="4" w:space="0" w:color="auto"/>
              <w:right w:val="single" w:sz="4" w:space="0" w:color="auto"/>
            </w:tcBorders>
            <w:shd w:val="clear" w:color="000000" w:fill="FFFFFF"/>
            <w:vAlign w:val="center"/>
            <w:hideMark/>
          </w:tcPr>
          <w:p w14:paraId="7BF45C45" w14:textId="24E78CB2" w:rsidR="00C92665" w:rsidRPr="0053555E" w:rsidRDefault="00C92665" w:rsidP="00C92665">
            <w:pPr>
              <w:jc w:val="center"/>
              <w:rPr>
                <w:rFonts w:asciiTheme="majorHAnsi" w:hAnsiTheme="majorHAnsi" w:cstheme="majorHAnsi"/>
                <w:sz w:val="22"/>
                <w:szCs w:val="22"/>
              </w:rPr>
            </w:pPr>
            <w:r w:rsidRPr="0053555E">
              <w:rPr>
                <w:rFonts w:cs="Calibri"/>
                <w:sz w:val="22"/>
                <w:szCs w:val="20"/>
              </w:rPr>
              <w:t>0</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6884CDD5" w14:textId="30C06324" w:rsidR="00C92665" w:rsidRPr="0053555E" w:rsidRDefault="00C92665" w:rsidP="00C92665">
            <w:pPr>
              <w:jc w:val="center"/>
              <w:rPr>
                <w:rFonts w:asciiTheme="majorHAnsi" w:hAnsiTheme="majorHAnsi" w:cstheme="majorHAnsi"/>
                <w:sz w:val="22"/>
                <w:szCs w:val="22"/>
              </w:rPr>
            </w:pPr>
            <w:r w:rsidRPr="0053555E">
              <w:rPr>
                <w:rFonts w:cs="Calibri"/>
                <w:sz w:val="22"/>
                <w:szCs w:val="20"/>
              </w:rPr>
              <w:t>13</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49D94D81" w14:textId="4F3297B2" w:rsidR="00C92665" w:rsidRPr="0053555E" w:rsidRDefault="00C92665" w:rsidP="00C92665">
            <w:pPr>
              <w:jc w:val="center"/>
              <w:rPr>
                <w:rFonts w:asciiTheme="majorHAnsi" w:hAnsiTheme="majorHAnsi" w:cstheme="majorHAnsi"/>
                <w:sz w:val="22"/>
                <w:szCs w:val="22"/>
              </w:rPr>
            </w:pPr>
            <w:r w:rsidRPr="0053555E">
              <w:rPr>
                <w:rFonts w:cs="Calibri"/>
                <w:sz w:val="22"/>
                <w:szCs w:val="20"/>
              </w:rPr>
              <w:t>6</w:t>
            </w:r>
          </w:p>
        </w:tc>
      </w:tr>
      <w:tr w:rsidR="00C92665" w:rsidRPr="0053555E" w14:paraId="55086DBD" w14:textId="77777777" w:rsidTr="005A05C5">
        <w:trPr>
          <w:trHeight w:val="270"/>
        </w:trPr>
        <w:tc>
          <w:tcPr>
            <w:tcW w:w="1140" w:type="dxa"/>
            <w:vMerge w:val="restart"/>
            <w:tcBorders>
              <w:top w:val="nil"/>
              <w:left w:val="single" w:sz="4" w:space="0" w:color="auto"/>
              <w:right w:val="single" w:sz="4" w:space="0" w:color="auto"/>
            </w:tcBorders>
            <w:shd w:val="clear" w:color="auto" w:fill="EEECE1" w:themeFill="background2"/>
            <w:vAlign w:val="center"/>
            <w:hideMark/>
          </w:tcPr>
          <w:p w14:paraId="183A208A" w14:textId="77777777" w:rsidR="00C92665" w:rsidRPr="0053555E" w:rsidRDefault="00C92665" w:rsidP="00C92665">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Spolu </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08FF1C10" w14:textId="070C499E" w:rsidR="00C92665" w:rsidRPr="0053555E" w:rsidRDefault="00C92665" w:rsidP="00C92665">
            <w:pPr>
              <w:jc w:val="center"/>
              <w:rPr>
                <w:rFonts w:asciiTheme="majorHAnsi" w:hAnsiTheme="majorHAnsi" w:cstheme="majorHAnsi"/>
                <w:b/>
                <w:bCs/>
                <w:sz w:val="22"/>
                <w:szCs w:val="22"/>
              </w:rPr>
            </w:pPr>
            <w:r w:rsidRPr="0053555E">
              <w:rPr>
                <w:rFonts w:cs="Calibri"/>
                <w:b/>
                <w:bCs/>
                <w:sz w:val="22"/>
                <w:szCs w:val="20"/>
              </w:rPr>
              <w:t>252</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3DE441B1" w14:textId="6F663196" w:rsidR="00C92665" w:rsidRPr="0053555E" w:rsidRDefault="00C92665" w:rsidP="00C92665">
            <w:pPr>
              <w:jc w:val="center"/>
              <w:rPr>
                <w:rFonts w:asciiTheme="majorHAnsi" w:hAnsiTheme="majorHAnsi" w:cstheme="majorHAnsi"/>
                <w:b/>
                <w:bCs/>
                <w:sz w:val="22"/>
                <w:szCs w:val="22"/>
              </w:rPr>
            </w:pPr>
            <w:r w:rsidRPr="0053555E">
              <w:rPr>
                <w:rFonts w:cs="Calibri"/>
                <w:b/>
                <w:bCs/>
                <w:sz w:val="22"/>
                <w:szCs w:val="20"/>
              </w:rPr>
              <w:t>179</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78B8FFC2" w14:textId="33458CC6" w:rsidR="00C92665" w:rsidRPr="0053555E" w:rsidRDefault="00C92665" w:rsidP="00C92665">
            <w:pPr>
              <w:jc w:val="center"/>
              <w:rPr>
                <w:rFonts w:asciiTheme="majorHAnsi" w:hAnsiTheme="majorHAnsi" w:cstheme="majorHAnsi"/>
                <w:b/>
                <w:bCs/>
                <w:sz w:val="22"/>
                <w:szCs w:val="22"/>
              </w:rPr>
            </w:pPr>
            <w:r w:rsidRPr="0053555E">
              <w:rPr>
                <w:rFonts w:cs="Calibri"/>
                <w:b/>
                <w:bCs/>
                <w:sz w:val="22"/>
                <w:szCs w:val="20"/>
              </w:rPr>
              <w:t>1</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6C38BB39" w14:textId="571AF6B2" w:rsidR="00C92665" w:rsidRPr="0053555E" w:rsidRDefault="00C92665" w:rsidP="00C92665">
            <w:pPr>
              <w:jc w:val="center"/>
              <w:rPr>
                <w:rFonts w:asciiTheme="majorHAnsi" w:hAnsiTheme="majorHAnsi" w:cstheme="majorHAnsi"/>
                <w:b/>
                <w:bCs/>
                <w:sz w:val="22"/>
                <w:szCs w:val="22"/>
              </w:rPr>
            </w:pPr>
            <w:r w:rsidRPr="0053555E">
              <w:rPr>
                <w:rFonts w:cs="Calibri"/>
                <w:b/>
                <w:bCs/>
                <w:sz w:val="22"/>
                <w:szCs w:val="20"/>
              </w:rPr>
              <w:t>20</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57735C63" w14:textId="2C541899" w:rsidR="00C92665" w:rsidRPr="0053555E" w:rsidRDefault="00C92665" w:rsidP="00C92665">
            <w:pPr>
              <w:jc w:val="center"/>
              <w:rPr>
                <w:rFonts w:asciiTheme="majorHAnsi" w:hAnsiTheme="majorHAnsi" w:cstheme="majorHAnsi"/>
                <w:b/>
                <w:bCs/>
                <w:sz w:val="22"/>
                <w:szCs w:val="22"/>
              </w:rPr>
            </w:pPr>
            <w:r w:rsidRPr="0053555E">
              <w:rPr>
                <w:rFonts w:cs="Calibri"/>
                <w:b/>
                <w:bCs/>
                <w:sz w:val="22"/>
                <w:szCs w:val="20"/>
              </w:rPr>
              <w:t>1</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7FAC2458" w14:textId="0ED02D2A" w:rsidR="00C92665" w:rsidRPr="0053555E" w:rsidRDefault="00C92665" w:rsidP="00C92665">
            <w:pPr>
              <w:jc w:val="center"/>
              <w:rPr>
                <w:rFonts w:asciiTheme="majorHAnsi" w:hAnsiTheme="majorHAnsi" w:cstheme="majorHAnsi"/>
                <w:b/>
                <w:bCs/>
                <w:sz w:val="22"/>
                <w:szCs w:val="22"/>
              </w:rPr>
            </w:pPr>
            <w:r w:rsidRPr="0053555E">
              <w:rPr>
                <w:rFonts w:cs="Calibri"/>
                <w:b/>
                <w:bCs/>
                <w:sz w:val="22"/>
                <w:szCs w:val="20"/>
              </w:rPr>
              <w:t>6</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09FB30C5" w14:textId="29E82807" w:rsidR="00C92665" w:rsidRPr="0053555E" w:rsidRDefault="00C92665" w:rsidP="00C92665">
            <w:pPr>
              <w:jc w:val="center"/>
              <w:rPr>
                <w:rFonts w:asciiTheme="majorHAnsi" w:hAnsiTheme="majorHAnsi" w:cstheme="majorHAnsi"/>
                <w:b/>
                <w:bCs/>
                <w:sz w:val="22"/>
                <w:szCs w:val="22"/>
              </w:rPr>
            </w:pPr>
            <w:r w:rsidRPr="0053555E">
              <w:rPr>
                <w:rFonts w:cs="Calibri"/>
                <w:b/>
                <w:bCs/>
                <w:sz w:val="22"/>
                <w:szCs w:val="20"/>
              </w:rPr>
              <w:t>254</w:t>
            </w:r>
          </w:p>
        </w:tc>
        <w:tc>
          <w:tcPr>
            <w:tcW w:w="960" w:type="dxa"/>
            <w:tcBorders>
              <w:top w:val="nil"/>
              <w:left w:val="nil"/>
              <w:bottom w:val="single" w:sz="4" w:space="0" w:color="auto"/>
              <w:right w:val="single" w:sz="4" w:space="0" w:color="auto"/>
            </w:tcBorders>
            <w:shd w:val="clear" w:color="auto" w:fill="EEECE1" w:themeFill="background2"/>
            <w:vAlign w:val="center"/>
            <w:hideMark/>
          </w:tcPr>
          <w:p w14:paraId="048A9F28" w14:textId="239FDCD6" w:rsidR="00C92665" w:rsidRPr="0053555E" w:rsidRDefault="00C92665" w:rsidP="00C92665">
            <w:pPr>
              <w:jc w:val="center"/>
              <w:rPr>
                <w:rFonts w:asciiTheme="majorHAnsi" w:hAnsiTheme="majorHAnsi" w:cstheme="majorHAnsi"/>
                <w:b/>
                <w:bCs/>
                <w:sz w:val="22"/>
                <w:szCs w:val="22"/>
              </w:rPr>
            </w:pPr>
            <w:r w:rsidRPr="0053555E">
              <w:rPr>
                <w:rFonts w:cs="Calibri"/>
                <w:b/>
                <w:bCs/>
                <w:sz w:val="22"/>
                <w:szCs w:val="20"/>
              </w:rPr>
              <w:t>205</w:t>
            </w:r>
          </w:p>
        </w:tc>
      </w:tr>
      <w:tr w:rsidR="00C95922" w:rsidRPr="0053555E" w14:paraId="17E54676" w14:textId="77777777" w:rsidTr="005A05C5">
        <w:trPr>
          <w:trHeight w:val="255"/>
        </w:trPr>
        <w:tc>
          <w:tcPr>
            <w:tcW w:w="1140" w:type="dxa"/>
            <w:vMerge/>
            <w:tcBorders>
              <w:left w:val="single" w:sz="4" w:space="0" w:color="auto"/>
              <w:bottom w:val="single" w:sz="4" w:space="0" w:color="auto"/>
              <w:right w:val="single" w:sz="4" w:space="0" w:color="auto"/>
            </w:tcBorders>
            <w:shd w:val="clear" w:color="auto" w:fill="EEECE1" w:themeFill="background2"/>
            <w:vAlign w:val="center"/>
            <w:hideMark/>
          </w:tcPr>
          <w:p w14:paraId="3F66CBF2" w14:textId="77777777" w:rsidR="00C95922" w:rsidRPr="0053555E" w:rsidRDefault="00C95922" w:rsidP="00324438">
            <w:pPr>
              <w:tabs>
                <w:tab w:val="left" w:pos="9356"/>
              </w:tabs>
              <w:jc w:val="both"/>
              <w:rPr>
                <w:rFonts w:asciiTheme="majorHAnsi" w:eastAsia="Times New Roman" w:hAnsiTheme="majorHAnsi" w:cstheme="majorHAnsi"/>
                <w:b/>
                <w:bCs/>
                <w:sz w:val="22"/>
                <w:szCs w:val="22"/>
                <w:lang w:eastAsia="sk-SK"/>
              </w:rPr>
            </w:pPr>
          </w:p>
        </w:tc>
        <w:tc>
          <w:tcPr>
            <w:tcW w:w="1920" w:type="dxa"/>
            <w:gridSpan w:val="2"/>
            <w:tcBorders>
              <w:top w:val="single" w:sz="4" w:space="0" w:color="auto"/>
              <w:left w:val="nil"/>
              <w:bottom w:val="single" w:sz="4" w:space="0" w:color="auto"/>
              <w:right w:val="single" w:sz="4" w:space="0" w:color="auto"/>
            </w:tcBorders>
            <w:shd w:val="clear" w:color="auto" w:fill="EEECE1" w:themeFill="background2"/>
            <w:vAlign w:val="center"/>
            <w:hideMark/>
          </w:tcPr>
          <w:p w14:paraId="65AAC60C" w14:textId="4B39E5DE" w:rsidR="00C95922" w:rsidRPr="0053555E" w:rsidRDefault="00C95922" w:rsidP="00C71E2A">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w:t>
            </w:r>
            <w:r w:rsidR="00E66E04" w:rsidRPr="0053555E">
              <w:rPr>
                <w:rFonts w:asciiTheme="majorHAnsi" w:hAnsiTheme="majorHAnsi" w:cstheme="majorHAnsi"/>
                <w:b/>
                <w:bCs/>
                <w:sz w:val="22"/>
                <w:szCs w:val="20"/>
              </w:rPr>
              <w:t>431</w:t>
            </w:r>
          </w:p>
        </w:tc>
        <w:tc>
          <w:tcPr>
            <w:tcW w:w="1920" w:type="dxa"/>
            <w:gridSpan w:val="2"/>
            <w:tcBorders>
              <w:top w:val="single" w:sz="4" w:space="0" w:color="auto"/>
              <w:left w:val="nil"/>
              <w:bottom w:val="single" w:sz="4" w:space="0" w:color="auto"/>
              <w:right w:val="single" w:sz="4" w:space="0" w:color="auto"/>
            </w:tcBorders>
            <w:shd w:val="clear" w:color="auto" w:fill="EEECE1" w:themeFill="background2"/>
            <w:vAlign w:val="center"/>
            <w:hideMark/>
          </w:tcPr>
          <w:p w14:paraId="637CB0F8" w14:textId="5050C987" w:rsidR="00C95922" w:rsidRPr="0053555E" w:rsidRDefault="00C95922" w:rsidP="00C71E2A">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w:t>
            </w:r>
            <w:r w:rsidR="00E66E04" w:rsidRPr="0053555E">
              <w:rPr>
                <w:rFonts w:asciiTheme="majorHAnsi" w:hAnsiTheme="majorHAnsi" w:cstheme="majorHAnsi"/>
                <w:b/>
                <w:bCs/>
                <w:sz w:val="22"/>
                <w:szCs w:val="20"/>
              </w:rPr>
              <w:t>21</w:t>
            </w:r>
          </w:p>
        </w:tc>
        <w:tc>
          <w:tcPr>
            <w:tcW w:w="1920" w:type="dxa"/>
            <w:gridSpan w:val="2"/>
            <w:tcBorders>
              <w:top w:val="single" w:sz="4" w:space="0" w:color="auto"/>
              <w:left w:val="nil"/>
              <w:bottom w:val="single" w:sz="4" w:space="0" w:color="auto"/>
              <w:right w:val="single" w:sz="4" w:space="0" w:color="auto"/>
            </w:tcBorders>
            <w:shd w:val="clear" w:color="auto" w:fill="EEECE1" w:themeFill="background2"/>
            <w:vAlign w:val="center"/>
            <w:hideMark/>
          </w:tcPr>
          <w:p w14:paraId="419E088A" w14:textId="0B4B35C6" w:rsidR="00C95922" w:rsidRPr="0053555E" w:rsidRDefault="00C95922" w:rsidP="00C71E2A">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w:t>
            </w:r>
            <w:r w:rsidR="00E66E04" w:rsidRPr="0053555E">
              <w:rPr>
                <w:rFonts w:asciiTheme="majorHAnsi" w:hAnsiTheme="majorHAnsi" w:cstheme="majorHAnsi"/>
                <w:b/>
                <w:bCs/>
                <w:sz w:val="22"/>
                <w:szCs w:val="20"/>
              </w:rPr>
              <w:t>7</w:t>
            </w:r>
          </w:p>
        </w:tc>
        <w:tc>
          <w:tcPr>
            <w:tcW w:w="1920" w:type="dxa"/>
            <w:gridSpan w:val="2"/>
            <w:tcBorders>
              <w:top w:val="single" w:sz="4" w:space="0" w:color="auto"/>
              <w:left w:val="nil"/>
              <w:bottom w:val="single" w:sz="4" w:space="0" w:color="auto"/>
              <w:right w:val="single" w:sz="4" w:space="0" w:color="auto"/>
            </w:tcBorders>
            <w:shd w:val="clear" w:color="auto" w:fill="EEECE1" w:themeFill="background2"/>
            <w:vAlign w:val="center"/>
            <w:hideMark/>
          </w:tcPr>
          <w:p w14:paraId="66BA65EE" w14:textId="10783462" w:rsidR="00C95922" w:rsidRPr="0053555E" w:rsidRDefault="00C95922" w:rsidP="00C71E2A">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w:t>
            </w:r>
            <w:r w:rsidR="00E66E04" w:rsidRPr="0053555E">
              <w:rPr>
                <w:rFonts w:asciiTheme="majorHAnsi" w:hAnsiTheme="majorHAnsi" w:cstheme="majorHAnsi"/>
                <w:b/>
                <w:bCs/>
                <w:sz w:val="22"/>
                <w:szCs w:val="20"/>
              </w:rPr>
              <w:t>459</w:t>
            </w:r>
          </w:p>
        </w:tc>
      </w:tr>
    </w:tbl>
    <w:p w14:paraId="51CCDF07" w14:textId="77777777" w:rsidR="00431F3D" w:rsidRPr="0053555E" w:rsidRDefault="002D37D6" w:rsidP="00324438">
      <w:pPr>
        <w:pStyle w:val="Zkladntext2"/>
        <w:tabs>
          <w:tab w:val="left" w:pos="9356"/>
        </w:tabs>
        <w:rPr>
          <w:rFonts w:asciiTheme="majorHAnsi" w:hAnsiTheme="majorHAnsi" w:cstheme="majorHAnsi"/>
          <w:sz w:val="20"/>
          <w:lang w:eastAsia="sk-SK"/>
        </w:rPr>
      </w:pPr>
      <w:r w:rsidRPr="0053555E">
        <w:rPr>
          <w:rFonts w:asciiTheme="majorHAnsi" w:hAnsiTheme="majorHAnsi" w:cstheme="majorHAnsi"/>
          <w:sz w:val="20"/>
          <w:lang w:eastAsia="sk-SK"/>
        </w:rPr>
        <w:t xml:space="preserve">Vysvetlivky: </w:t>
      </w:r>
    </w:p>
    <w:p w14:paraId="3B94F84B" w14:textId="77777777" w:rsidR="002071AC" w:rsidRPr="0053555E" w:rsidRDefault="002D37D6" w:rsidP="00324438">
      <w:pPr>
        <w:pStyle w:val="Zkladntext2"/>
        <w:tabs>
          <w:tab w:val="left" w:pos="9356"/>
        </w:tabs>
        <w:rPr>
          <w:rFonts w:asciiTheme="majorHAnsi" w:hAnsiTheme="majorHAnsi" w:cstheme="majorHAnsi"/>
          <w:sz w:val="20"/>
          <w:lang w:eastAsia="sk-SK"/>
        </w:rPr>
      </w:pPr>
      <w:r w:rsidRPr="0053555E">
        <w:rPr>
          <w:rFonts w:asciiTheme="majorHAnsi" w:hAnsiTheme="majorHAnsi" w:cstheme="majorHAnsi"/>
          <w:sz w:val="20"/>
          <w:lang w:eastAsia="sk-SK"/>
        </w:rPr>
        <w:t>V - vyslaní študenti; P - prijatí študenti</w:t>
      </w:r>
    </w:p>
    <w:p w14:paraId="5D062C89" w14:textId="77777777" w:rsidR="00151828" w:rsidRPr="0053555E" w:rsidRDefault="00151828" w:rsidP="00324438">
      <w:pPr>
        <w:pStyle w:val="Zkladntext2"/>
        <w:tabs>
          <w:tab w:val="left" w:pos="9356"/>
        </w:tabs>
        <w:spacing w:after="120"/>
        <w:rPr>
          <w:rFonts w:asciiTheme="majorHAnsi" w:hAnsiTheme="majorHAnsi" w:cstheme="majorHAnsi"/>
          <w:sz w:val="20"/>
          <w:lang w:eastAsia="sk-SK"/>
        </w:rPr>
      </w:pPr>
      <w:r w:rsidRPr="0053555E">
        <w:rPr>
          <w:rFonts w:asciiTheme="majorHAnsi" w:hAnsiTheme="majorHAnsi" w:cstheme="majorHAnsi"/>
          <w:sz w:val="20"/>
          <w:lang w:eastAsia="sk-SK"/>
        </w:rPr>
        <w:t>* ERASMUS+ prijatí aj vyslaní študenti vrátane ICM</w:t>
      </w:r>
    </w:p>
    <w:p w14:paraId="528291F6" w14:textId="6C3DC94D" w:rsidR="009B4751" w:rsidRDefault="004C721C" w:rsidP="009B4751">
      <w:pPr>
        <w:tabs>
          <w:tab w:val="left" w:pos="9356"/>
        </w:tabs>
        <w:spacing w:after="120"/>
        <w:jc w:val="both"/>
      </w:pPr>
      <w:r w:rsidRPr="0053555E">
        <w:rPr>
          <w:rFonts w:asciiTheme="majorHAnsi" w:eastAsia="Calibri" w:hAnsiTheme="majorHAnsi" w:cstheme="majorHAnsi"/>
        </w:rPr>
        <w:lastRenderedPageBreak/>
        <w:t xml:space="preserve">Najvyšší počet medzinárodných akademických mobilít zrealizovala STU opätovne prostredníctvom programu </w:t>
      </w:r>
      <w:r w:rsidRPr="0053555E">
        <w:rPr>
          <w:rFonts w:asciiTheme="majorHAnsi" w:eastAsia="Calibri" w:hAnsiTheme="majorHAnsi" w:cstheme="majorHAnsi"/>
          <w:b/>
        </w:rPr>
        <w:t>Erasmus+</w:t>
      </w:r>
      <w:r w:rsidRPr="0053555E">
        <w:rPr>
          <w:rFonts w:asciiTheme="majorHAnsi" w:eastAsia="Calibri" w:hAnsiTheme="majorHAnsi" w:cstheme="majorHAnsi"/>
        </w:rPr>
        <w:t xml:space="preserve">. V akademickom roku </w:t>
      </w:r>
      <w:r w:rsidR="00EA24BA" w:rsidRPr="0053555E">
        <w:rPr>
          <w:rFonts w:asciiTheme="majorHAnsi" w:eastAsia="Calibri" w:hAnsiTheme="majorHAnsi" w:cstheme="majorHAnsi"/>
        </w:rPr>
        <w:t>2021/2022</w:t>
      </w:r>
      <w:r w:rsidRPr="0053555E">
        <w:rPr>
          <w:rFonts w:asciiTheme="majorHAnsi" w:eastAsia="Calibri" w:hAnsiTheme="majorHAnsi" w:cstheme="majorHAnsi"/>
        </w:rPr>
        <w:t xml:space="preserve"> STU vyslala a prijala v rámci tohto programu </w:t>
      </w:r>
      <w:r w:rsidR="009B4751">
        <w:rPr>
          <w:rFonts w:asciiTheme="majorHAnsi" w:eastAsia="Calibri" w:hAnsiTheme="majorHAnsi" w:cstheme="majorHAnsi"/>
          <w:b/>
        </w:rPr>
        <w:t>431</w:t>
      </w:r>
      <w:r w:rsidRPr="0053555E">
        <w:rPr>
          <w:rFonts w:asciiTheme="majorHAnsi" w:eastAsia="Calibri" w:hAnsiTheme="majorHAnsi" w:cstheme="majorHAnsi"/>
        </w:rPr>
        <w:t xml:space="preserve"> </w:t>
      </w:r>
      <w:r w:rsidRPr="0053555E">
        <w:rPr>
          <w:rFonts w:asciiTheme="majorHAnsi" w:eastAsia="Calibri" w:hAnsiTheme="majorHAnsi" w:cstheme="majorHAnsi"/>
          <w:b/>
        </w:rPr>
        <w:t>študentov</w:t>
      </w:r>
      <w:r w:rsidRPr="0053555E">
        <w:rPr>
          <w:rFonts w:asciiTheme="majorHAnsi" w:eastAsia="Calibri" w:hAnsiTheme="majorHAnsi" w:cstheme="majorHAnsi"/>
        </w:rPr>
        <w:t xml:space="preserve">. Prehľad Erasmus+ mobilít za ostatných sedem akademických rokov je uvedený </w:t>
      </w:r>
      <w:r w:rsidR="00D1214F" w:rsidRPr="0053555E">
        <w:rPr>
          <w:rFonts w:asciiTheme="majorHAnsi" w:eastAsia="Calibri" w:hAnsiTheme="majorHAnsi" w:cstheme="majorHAnsi"/>
        </w:rPr>
        <w:t>v </w:t>
      </w:r>
      <w:r w:rsidR="00B84459" w:rsidRPr="0053555E">
        <w:rPr>
          <w:rFonts w:asciiTheme="majorHAnsi" w:hAnsiTheme="majorHAnsi" w:cstheme="majorHAnsi"/>
          <w:sz w:val="20"/>
        </w:rPr>
        <w:fldChar w:fldCharType="begin"/>
      </w:r>
      <w:r w:rsidR="00B84459" w:rsidRPr="0053555E">
        <w:rPr>
          <w:rFonts w:asciiTheme="majorHAnsi" w:hAnsiTheme="majorHAnsi" w:cstheme="majorHAnsi"/>
          <w:sz w:val="20"/>
        </w:rPr>
        <w:instrText xml:space="preserve"> REF _Ref31712311 \h  \* MERGEFORMAT </w:instrText>
      </w:r>
      <w:r w:rsidR="00B84459" w:rsidRPr="0053555E">
        <w:rPr>
          <w:rFonts w:asciiTheme="majorHAnsi" w:hAnsiTheme="majorHAnsi" w:cstheme="majorHAnsi"/>
          <w:sz w:val="20"/>
        </w:rPr>
      </w:r>
      <w:r w:rsidR="00B84459" w:rsidRPr="0053555E">
        <w:rPr>
          <w:rFonts w:asciiTheme="majorHAnsi" w:hAnsiTheme="majorHAnsi" w:cstheme="majorHAnsi"/>
          <w:sz w:val="20"/>
        </w:rPr>
        <w:fldChar w:fldCharType="separate"/>
      </w:r>
      <w:r w:rsidR="00EE1B59" w:rsidRPr="00EE1B59">
        <w:rPr>
          <w:rFonts w:asciiTheme="majorHAnsi" w:hAnsiTheme="majorHAnsi" w:cstheme="majorHAnsi"/>
          <w:sz w:val="20"/>
        </w:rPr>
        <w:t>Tab. č. 18</w:t>
      </w:r>
      <w:r w:rsidR="00B84459" w:rsidRPr="0053555E">
        <w:rPr>
          <w:rFonts w:asciiTheme="majorHAnsi" w:hAnsiTheme="majorHAnsi" w:cstheme="majorHAnsi"/>
          <w:sz w:val="20"/>
        </w:rPr>
        <w:fldChar w:fldCharType="end"/>
      </w:r>
      <w:r w:rsidR="00B84459" w:rsidRPr="0053555E">
        <w:rPr>
          <w:rFonts w:asciiTheme="majorHAnsi" w:hAnsiTheme="majorHAnsi" w:cstheme="majorHAnsi"/>
        </w:rPr>
        <w:t>.</w:t>
      </w:r>
      <w:r w:rsidR="00D1214F" w:rsidRPr="0053555E">
        <w:rPr>
          <w:rFonts w:asciiTheme="majorHAnsi" w:eastAsia="Calibri" w:hAnsiTheme="majorHAnsi" w:cstheme="majorHAnsi"/>
        </w:rPr>
        <w:t xml:space="preserve"> </w:t>
      </w:r>
      <w:r w:rsidR="009B4751">
        <w:t>V hodnotenom akademickom roku bol zaznamenaný záujem študentov nielen o</w:t>
      </w:r>
      <w:r w:rsidR="004566D0">
        <w:t xml:space="preserve">  výmenné študijné pobyty, ale aj</w:t>
      </w:r>
      <w:r w:rsidR="009B4751">
        <w:t xml:space="preserve"> o pracovné stáže v zahraničí, ktoré absolvovali študenti aj absolventi STU</w:t>
      </w:r>
      <w:r w:rsidR="00645B2A">
        <w:t>,</w:t>
      </w:r>
      <w:r w:rsidR="009B4751">
        <w:t xml:space="preserve"> keďže program Erasmus+ to umožňuje najneskôr do 12 mesiacov po</w:t>
      </w:r>
      <w:r w:rsidR="00645B2A">
        <w:t> </w:t>
      </w:r>
      <w:r w:rsidR="009B4751">
        <w:t xml:space="preserve">riadnom skončení štúdia. </w:t>
      </w:r>
      <w:r w:rsidR="009B4751" w:rsidRPr="002C06C9">
        <w:t xml:space="preserve">Z počtu </w:t>
      </w:r>
      <w:r w:rsidR="00645B2A" w:rsidRPr="002C06C9">
        <w:t>252</w:t>
      </w:r>
      <w:r w:rsidR="009B4751" w:rsidRPr="002C06C9">
        <w:t xml:space="preserve"> vyslaní na mobilitu cez program Erasmus+ bolo</w:t>
      </w:r>
      <w:r w:rsidR="005A7B69" w:rsidRPr="002C06C9">
        <w:t xml:space="preserve"> realizovaných 21 pracovných stáží absolventmi STU.</w:t>
      </w:r>
    </w:p>
    <w:p w14:paraId="6314B022" w14:textId="45B9D2D9" w:rsidR="002071AC" w:rsidRPr="0053555E" w:rsidRDefault="007769AE" w:rsidP="000E3322">
      <w:pPr>
        <w:pStyle w:val="Popis"/>
      </w:pPr>
      <w:bookmarkStart w:id="79" w:name="_Ref31712311"/>
      <w:bookmarkStart w:id="80" w:name="_Ref31726423"/>
      <w:bookmarkStart w:id="81" w:name="_Toc127593281"/>
      <w:r w:rsidRPr="0053555E">
        <w:t xml:space="preserve">Tab. č. </w:t>
      </w:r>
      <w:r w:rsidR="007B5953">
        <w:fldChar w:fldCharType="begin"/>
      </w:r>
      <w:r w:rsidR="007B5953">
        <w:instrText xml:space="preserve"> SEQ Tab._č. \* ARABIC </w:instrText>
      </w:r>
      <w:r w:rsidR="007B5953">
        <w:fldChar w:fldCharType="separate"/>
      </w:r>
      <w:r w:rsidR="00EE1B59">
        <w:rPr>
          <w:noProof/>
        </w:rPr>
        <w:t>18</w:t>
      </w:r>
      <w:r w:rsidR="007B5953">
        <w:rPr>
          <w:noProof/>
        </w:rPr>
        <w:fldChar w:fldCharType="end"/>
      </w:r>
      <w:bookmarkEnd w:id="79"/>
      <w:r w:rsidRPr="0053555E">
        <w:t>:</w:t>
      </w:r>
      <w:r w:rsidR="002071AC" w:rsidRPr="0053555E">
        <w:t xml:space="preserve"> </w:t>
      </w:r>
      <w:r w:rsidR="00713462" w:rsidRPr="0053555E">
        <w:t>Vyslaní študenti</w:t>
      </w:r>
      <w:r w:rsidR="001F1FA9" w:rsidRPr="0053555E">
        <w:t xml:space="preserve">, resp. absolventi STU </w:t>
      </w:r>
      <w:r w:rsidR="00713462" w:rsidRPr="0053555E">
        <w:t xml:space="preserve">a prijatí Erasmus+ zahraniční študenti za </w:t>
      </w:r>
      <w:r w:rsidR="00CA33AE" w:rsidRPr="0053555E">
        <w:t xml:space="preserve">posledných sedem </w:t>
      </w:r>
      <w:r w:rsidR="00FA2EB7" w:rsidRPr="0053555E">
        <w:t>akademick</w:t>
      </w:r>
      <w:r w:rsidR="00CA33AE" w:rsidRPr="0053555E">
        <w:t>ých rokov</w:t>
      </w:r>
      <w:bookmarkEnd w:id="80"/>
      <w:bookmarkEnd w:id="81"/>
    </w:p>
    <w:tbl>
      <w:tblPr>
        <w:tblW w:w="6162" w:type="dxa"/>
        <w:tblInd w:w="70" w:type="dxa"/>
        <w:tblCellMar>
          <w:left w:w="70" w:type="dxa"/>
          <w:right w:w="70" w:type="dxa"/>
        </w:tblCellMar>
        <w:tblLook w:val="04A0" w:firstRow="1" w:lastRow="0" w:firstColumn="1" w:lastColumn="0" w:noHBand="0" w:noVBand="1"/>
      </w:tblPr>
      <w:tblGrid>
        <w:gridCol w:w="1768"/>
        <w:gridCol w:w="1464"/>
        <w:gridCol w:w="1465"/>
        <w:gridCol w:w="1465"/>
      </w:tblGrid>
      <w:tr w:rsidR="00794126" w:rsidRPr="0053555E" w14:paraId="72F879EB" w14:textId="77777777" w:rsidTr="00373F56">
        <w:trPr>
          <w:trHeight w:val="255"/>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5FF1D" w14:textId="77777777" w:rsidR="00794126" w:rsidRPr="0053555E" w:rsidRDefault="00373F56" w:rsidP="00324438">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A</w:t>
            </w:r>
            <w:r w:rsidR="00E07982" w:rsidRPr="0053555E">
              <w:rPr>
                <w:rFonts w:asciiTheme="majorHAnsi" w:eastAsia="Times New Roman" w:hAnsiTheme="majorHAnsi" w:cstheme="majorHAnsi"/>
                <w:b/>
                <w:bCs/>
                <w:sz w:val="22"/>
                <w:szCs w:val="22"/>
                <w:lang w:eastAsia="sk-SK"/>
              </w:rPr>
              <w:t>kademický</w:t>
            </w:r>
            <w:r w:rsidR="00794126" w:rsidRPr="0053555E">
              <w:rPr>
                <w:rFonts w:asciiTheme="majorHAnsi" w:eastAsia="Times New Roman" w:hAnsiTheme="majorHAnsi" w:cstheme="majorHAnsi"/>
                <w:b/>
                <w:bCs/>
                <w:sz w:val="22"/>
                <w:szCs w:val="22"/>
                <w:lang w:eastAsia="sk-SK"/>
              </w:rPr>
              <w:t xml:space="preserve"> rok</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0008D18F" w14:textId="77777777" w:rsidR="00794126" w:rsidRPr="0053555E" w:rsidRDefault="00794126"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vyslaní</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6D5BFC24" w14:textId="77777777" w:rsidR="00794126" w:rsidRPr="0053555E" w:rsidRDefault="00794126"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prijatí</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7CE4DCD3" w14:textId="77777777" w:rsidR="00794126" w:rsidRPr="0053555E" w:rsidRDefault="00794126"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spolu</w:t>
            </w:r>
          </w:p>
        </w:tc>
      </w:tr>
      <w:tr w:rsidR="00E66E04" w:rsidRPr="0053555E" w14:paraId="6EED6C8A" w14:textId="77777777" w:rsidTr="00373F56">
        <w:trPr>
          <w:trHeight w:val="255"/>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A2289" w14:textId="1623FC44" w:rsidR="00E66E04" w:rsidRPr="0053555E" w:rsidRDefault="00E66E04" w:rsidP="00E66E04">
            <w:pPr>
              <w:tabs>
                <w:tab w:val="left" w:pos="9356"/>
              </w:tabs>
              <w:jc w:val="both"/>
              <w:rPr>
                <w:rFonts w:asciiTheme="majorHAnsi" w:eastAsia="Times New Roman" w:hAnsiTheme="majorHAnsi" w:cstheme="majorHAnsi"/>
                <w:bCs/>
                <w:sz w:val="22"/>
                <w:szCs w:val="22"/>
                <w:lang w:eastAsia="sk-SK"/>
              </w:rPr>
            </w:pPr>
            <w:r w:rsidRPr="0053555E">
              <w:rPr>
                <w:rFonts w:cs="Calibri"/>
                <w:sz w:val="22"/>
                <w:szCs w:val="20"/>
              </w:rPr>
              <w:t>2015/2016</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1FBBA67B" w14:textId="50F955D4"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280</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7CEE85CF" w14:textId="2DC03632"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113</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65906130" w14:textId="1260AC06"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393</w:t>
            </w:r>
          </w:p>
        </w:tc>
      </w:tr>
      <w:tr w:rsidR="00E66E04" w:rsidRPr="0053555E" w14:paraId="5F4D21DB" w14:textId="77777777" w:rsidTr="00373F56">
        <w:trPr>
          <w:trHeight w:val="255"/>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9DEE0" w14:textId="161F8F27" w:rsidR="00E66E04" w:rsidRPr="0053555E" w:rsidRDefault="00E66E04" w:rsidP="00E66E04">
            <w:pPr>
              <w:tabs>
                <w:tab w:val="left" w:pos="9356"/>
              </w:tabs>
              <w:jc w:val="both"/>
              <w:rPr>
                <w:rFonts w:asciiTheme="majorHAnsi" w:eastAsia="Times New Roman" w:hAnsiTheme="majorHAnsi" w:cstheme="majorHAnsi"/>
                <w:bCs/>
                <w:sz w:val="22"/>
                <w:szCs w:val="22"/>
                <w:lang w:eastAsia="sk-SK"/>
              </w:rPr>
            </w:pPr>
            <w:r w:rsidRPr="0053555E">
              <w:rPr>
                <w:rFonts w:cs="Calibri"/>
                <w:sz w:val="22"/>
                <w:szCs w:val="20"/>
              </w:rPr>
              <w:t>2016/2017</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6997EAD9" w14:textId="0F3D01D7"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261</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04197EDF" w14:textId="644CD58F"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157</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6124E409" w14:textId="743B4257"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418</w:t>
            </w:r>
          </w:p>
        </w:tc>
      </w:tr>
      <w:tr w:rsidR="00E66E04" w:rsidRPr="0053555E" w14:paraId="10876787" w14:textId="77777777" w:rsidTr="00373F56">
        <w:trPr>
          <w:trHeight w:val="255"/>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8C0AD" w14:textId="1206E4A3" w:rsidR="00E66E04" w:rsidRPr="0053555E" w:rsidRDefault="00E66E04" w:rsidP="00E66E04">
            <w:pPr>
              <w:tabs>
                <w:tab w:val="left" w:pos="9356"/>
              </w:tabs>
              <w:jc w:val="both"/>
              <w:rPr>
                <w:rFonts w:asciiTheme="majorHAnsi" w:eastAsia="Times New Roman" w:hAnsiTheme="majorHAnsi" w:cstheme="majorHAnsi"/>
                <w:bCs/>
                <w:sz w:val="22"/>
                <w:szCs w:val="22"/>
                <w:lang w:eastAsia="sk-SK"/>
              </w:rPr>
            </w:pPr>
            <w:r w:rsidRPr="0053555E">
              <w:rPr>
                <w:rFonts w:cs="Calibri"/>
                <w:sz w:val="22"/>
                <w:szCs w:val="20"/>
              </w:rPr>
              <w:t>2017/2018</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29A478D4" w14:textId="56A1FF22"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276</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25BC1789" w14:textId="7A2A2845"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180</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3BDFB74A" w14:textId="4D0BC127"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456</w:t>
            </w:r>
          </w:p>
        </w:tc>
      </w:tr>
      <w:tr w:rsidR="00E66E04" w:rsidRPr="0053555E" w14:paraId="7835E883" w14:textId="77777777" w:rsidTr="00373F56">
        <w:trPr>
          <w:trHeight w:val="255"/>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B711F" w14:textId="647C548F" w:rsidR="00E66E04" w:rsidRPr="0053555E" w:rsidRDefault="00E66E04" w:rsidP="00E66E04">
            <w:pPr>
              <w:tabs>
                <w:tab w:val="left" w:pos="9356"/>
              </w:tabs>
              <w:jc w:val="both"/>
              <w:rPr>
                <w:rFonts w:asciiTheme="majorHAnsi" w:eastAsia="Times New Roman" w:hAnsiTheme="majorHAnsi" w:cstheme="majorHAnsi"/>
                <w:bCs/>
                <w:sz w:val="22"/>
                <w:szCs w:val="22"/>
                <w:lang w:eastAsia="sk-SK"/>
              </w:rPr>
            </w:pPr>
            <w:r w:rsidRPr="0053555E">
              <w:rPr>
                <w:rFonts w:cs="Calibri"/>
                <w:sz w:val="22"/>
                <w:szCs w:val="20"/>
              </w:rPr>
              <w:t>2018/2019</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274F8C41" w14:textId="68FBB3DB"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229</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31C452DC" w14:textId="10CA59FF"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207</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53AB9311" w14:textId="054B686D"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436</w:t>
            </w:r>
          </w:p>
        </w:tc>
      </w:tr>
      <w:tr w:rsidR="00E66E04" w:rsidRPr="0053555E" w14:paraId="5457EC93" w14:textId="77777777" w:rsidTr="00373F56">
        <w:trPr>
          <w:trHeight w:val="255"/>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5D4AA" w14:textId="3002B6AC" w:rsidR="00E66E04" w:rsidRPr="0053555E" w:rsidRDefault="00E66E04" w:rsidP="00E66E04">
            <w:pPr>
              <w:tabs>
                <w:tab w:val="left" w:pos="9356"/>
              </w:tabs>
              <w:jc w:val="both"/>
              <w:rPr>
                <w:rFonts w:asciiTheme="majorHAnsi" w:eastAsia="Times New Roman" w:hAnsiTheme="majorHAnsi" w:cstheme="majorHAnsi"/>
                <w:bCs/>
                <w:sz w:val="22"/>
                <w:szCs w:val="22"/>
                <w:lang w:eastAsia="sk-SK"/>
              </w:rPr>
            </w:pPr>
            <w:r w:rsidRPr="0053555E">
              <w:rPr>
                <w:rFonts w:cs="Calibri"/>
                <w:sz w:val="22"/>
                <w:szCs w:val="20"/>
              </w:rPr>
              <w:t>2019/2020</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115C46F7" w14:textId="2BFC5A64"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207</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1C1B36F7" w14:textId="137D2BD0"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184</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5B187546" w14:textId="4A853BA1"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391</w:t>
            </w:r>
          </w:p>
        </w:tc>
      </w:tr>
      <w:tr w:rsidR="00E66E04" w:rsidRPr="0053555E" w14:paraId="1DA8AC88" w14:textId="77777777" w:rsidTr="00373F56">
        <w:trPr>
          <w:trHeight w:val="255"/>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B9DB1" w14:textId="58CE8D30" w:rsidR="00E66E04" w:rsidRPr="0053555E" w:rsidRDefault="00E66E04" w:rsidP="00E66E04">
            <w:pPr>
              <w:tabs>
                <w:tab w:val="left" w:pos="9356"/>
              </w:tabs>
              <w:jc w:val="both"/>
              <w:rPr>
                <w:rFonts w:asciiTheme="majorHAnsi" w:eastAsia="Times New Roman" w:hAnsiTheme="majorHAnsi" w:cstheme="majorHAnsi"/>
                <w:bCs/>
                <w:sz w:val="22"/>
                <w:szCs w:val="22"/>
                <w:lang w:eastAsia="sk-SK"/>
              </w:rPr>
            </w:pPr>
            <w:r w:rsidRPr="0053555E">
              <w:rPr>
                <w:rFonts w:cs="Calibri"/>
                <w:sz w:val="22"/>
                <w:szCs w:val="20"/>
              </w:rPr>
              <w:t>2020/2021</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5A7D646B" w14:textId="563BA9FB"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143</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178243E6" w14:textId="5410C82D"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141</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7B739F06" w14:textId="7697431B" w:rsidR="00E66E04" w:rsidRPr="0053555E" w:rsidRDefault="00E66E04" w:rsidP="00E66E04">
            <w:pPr>
              <w:tabs>
                <w:tab w:val="left" w:pos="9356"/>
              </w:tabs>
              <w:jc w:val="center"/>
              <w:rPr>
                <w:rFonts w:asciiTheme="majorHAnsi" w:eastAsia="Times New Roman" w:hAnsiTheme="majorHAnsi" w:cstheme="majorHAnsi"/>
                <w:bCs/>
                <w:sz w:val="22"/>
                <w:szCs w:val="22"/>
                <w:lang w:eastAsia="sk-SK"/>
              </w:rPr>
            </w:pPr>
            <w:r w:rsidRPr="0053555E">
              <w:rPr>
                <w:rFonts w:cs="Calibri"/>
                <w:sz w:val="22"/>
                <w:szCs w:val="20"/>
              </w:rPr>
              <w:t>284</w:t>
            </w:r>
          </w:p>
        </w:tc>
      </w:tr>
      <w:tr w:rsidR="00E66E04" w:rsidRPr="0053555E" w14:paraId="18E88E2C" w14:textId="77777777" w:rsidTr="00373F56">
        <w:trPr>
          <w:trHeight w:val="255"/>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FA0EA" w14:textId="3E2FFC9D" w:rsidR="00E66E04" w:rsidRPr="0053555E" w:rsidRDefault="00E66E04" w:rsidP="00E66E04">
            <w:pPr>
              <w:tabs>
                <w:tab w:val="left" w:pos="9356"/>
              </w:tabs>
              <w:jc w:val="both"/>
              <w:rPr>
                <w:rFonts w:asciiTheme="majorHAnsi" w:eastAsia="Times New Roman" w:hAnsiTheme="majorHAnsi" w:cstheme="majorHAnsi"/>
                <w:b/>
                <w:bCs/>
                <w:sz w:val="22"/>
                <w:szCs w:val="22"/>
                <w:lang w:eastAsia="sk-SK"/>
              </w:rPr>
            </w:pPr>
            <w:r w:rsidRPr="0053555E">
              <w:rPr>
                <w:rFonts w:cs="Calibri"/>
                <w:b/>
                <w:bCs/>
                <w:sz w:val="22"/>
                <w:szCs w:val="20"/>
              </w:rPr>
              <w:t>2021/2022</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05FD241A" w14:textId="214D0B56" w:rsidR="00E66E04" w:rsidRPr="0053555E" w:rsidRDefault="00E66E04" w:rsidP="00E66E04">
            <w:pPr>
              <w:tabs>
                <w:tab w:val="left" w:pos="9356"/>
              </w:tabs>
              <w:jc w:val="center"/>
              <w:rPr>
                <w:rFonts w:asciiTheme="majorHAnsi" w:eastAsia="Times New Roman" w:hAnsiTheme="majorHAnsi" w:cstheme="majorHAnsi"/>
                <w:b/>
                <w:bCs/>
                <w:sz w:val="22"/>
                <w:szCs w:val="22"/>
                <w:lang w:eastAsia="sk-SK"/>
              </w:rPr>
            </w:pPr>
            <w:r w:rsidRPr="0053555E">
              <w:rPr>
                <w:rFonts w:cs="Calibri"/>
                <w:b/>
                <w:bCs/>
                <w:sz w:val="22"/>
                <w:szCs w:val="20"/>
              </w:rPr>
              <w:t>252</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5B5EACEB" w14:textId="7C7118B5" w:rsidR="00E66E04" w:rsidRPr="0053555E" w:rsidRDefault="00E66E04" w:rsidP="00E66E04">
            <w:pPr>
              <w:tabs>
                <w:tab w:val="left" w:pos="9356"/>
              </w:tabs>
              <w:jc w:val="center"/>
              <w:rPr>
                <w:rFonts w:asciiTheme="majorHAnsi" w:eastAsia="Times New Roman" w:hAnsiTheme="majorHAnsi" w:cstheme="majorHAnsi"/>
                <w:b/>
                <w:bCs/>
                <w:sz w:val="22"/>
                <w:szCs w:val="22"/>
                <w:lang w:eastAsia="sk-SK"/>
              </w:rPr>
            </w:pPr>
            <w:r w:rsidRPr="0053555E">
              <w:rPr>
                <w:rFonts w:cs="Calibri"/>
                <w:b/>
                <w:bCs/>
                <w:sz w:val="22"/>
                <w:szCs w:val="20"/>
              </w:rPr>
              <w:t>179</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5A1CAB68" w14:textId="0AEAEC45" w:rsidR="00E66E04" w:rsidRPr="0053555E" w:rsidRDefault="00E66E04" w:rsidP="00E66E04">
            <w:pPr>
              <w:tabs>
                <w:tab w:val="left" w:pos="9356"/>
              </w:tabs>
              <w:jc w:val="center"/>
              <w:rPr>
                <w:rFonts w:asciiTheme="majorHAnsi" w:eastAsia="Times New Roman" w:hAnsiTheme="majorHAnsi" w:cstheme="majorHAnsi"/>
                <w:b/>
                <w:bCs/>
                <w:sz w:val="22"/>
                <w:szCs w:val="22"/>
                <w:lang w:eastAsia="sk-SK"/>
              </w:rPr>
            </w:pPr>
            <w:r w:rsidRPr="0053555E">
              <w:rPr>
                <w:rFonts w:cs="Calibri"/>
                <w:b/>
                <w:bCs/>
                <w:sz w:val="22"/>
                <w:szCs w:val="20"/>
              </w:rPr>
              <w:t>431</w:t>
            </w:r>
          </w:p>
        </w:tc>
      </w:tr>
      <w:tr w:rsidR="001B0675" w:rsidRPr="0053555E" w14:paraId="521130D7" w14:textId="77777777" w:rsidTr="00373F56">
        <w:trPr>
          <w:trHeight w:val="255"/>
        </w:trPr>
        <w:tc>
          <w:tcPr>
            <w:tcW w:w="17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CA2FC36" w14:textId="77777777" w:rsidR="001B0675" w:rsidRPr="0053555E" w:rsidRDefault="001B0675" w:rsidP="001B0675">
            <w:pPr>
              <w:tabs>
                <w:tab w:val="left" w:pos="9356"/>
              </w:tabs>
              <w:jc w:val="both"/>
              <w:rPr>
                <w:rFonts w:asciiTheme="majorHAnsi" w:eastAsia="Times New Roman" w:hAnsiTheme="majorHAnsi" w:cstheme="majorHAnsi"/>
                <w:b/>
                <w:bCs/>
                <w:sz w:val="22"/>
                <w:szCs w:val="22"/>
                <w:lang w:eastAsia="sk-SK"/>
              </w:rPr>
            </w:pPr>
            <w:r w:rsidRPr="0053555E">
              <w:rPr>
                <w:rFonts w:cs="Calibri"/>
                <w:b/>
                <w:bCs/>
                <w:sz w:val="22"/>
                <w:szCs w:val="20"/>
              </w:rPr>
              <w:t>Spolu za 7 rokov</w:t>
            </w:r>
          </w:p>
        </w:tc>
        <w:tc>
          <w:tcPr>
            <w:tcW w:w="1464" w:type="dxa"/>
            <w:tcBorders>
              <w:top w:val="single" w:sz="4" w:space="0" w:color="auto"/>
              <w:left w:val="nil"/>
              <w:bottom w:val="single" w:sz="4" w:space="0" w:color="auto"/>
              <w:right w:val="single" w:sz="4" w:space="0" w:color="auto"/>
            </w:tcBorders>
            <w:shd w:val="clear" w:color="auto" w:fill="EEECE1" w:themeFill="background2"/>
            <w:vAlign w:val="center"/>
            <w:hideMark/>
          </w:tcPr>
          <w:p w14:paraId="03B26F60" w14:textId="6352920A" w:rsidR="001B0675" w:rsidRPr="0053555E" w:rsidRDefault="001B0675" w:rsidP="001B0675">
            <w:pPr>
              <w:tabs>
                <w:tab w:val="left" w:pos="9356"/>
              </w:tabs>
              <w:jc w:val="center"/>
              <w:rPr>
                <w:rFonts w:asciiTheme="majorHAnsi" w:eastAsia="Times New Roman" w:hAnsiTheme="majorHAnsi" w:cstheme="majorHAnsi"/>
                <w:b/>
                <w:bCs/>
                <w:sz w:val="22"/>
                <w:szCs w:val="22"/>
                <w:lang w:eastAsia="sk-SK"/>
              </w:rPr>
            </w:pPr>
            <w:r w:rsidRPr="0053555E">
              <w:rPr>
                <w:rFonts w:cs="Calibri"/>
                <w:b/>
                <w:bCs/>
                <w:sz w:val="22"/>
                <w:szCs w:val="20"/>
              </w:rPr>
              <w:t>1 648</w:t>
            </w:r>
          </w:p>
        </w:tc>
        <w:tc>
          <w:tcPr>
            <w:tcW w:w="1465" w:type="dxa"/>
            <w:tcBorders>
              <w:top w:val="single" w:sz="4" w:space="0" w:color="auto"/>
              <w:left w:val="nil"/>
              <w:bottom w:val="single" w:sz="4" w:space="0" w:color="auto"/>
              <w:right w:val="single" w:sz="4" w:space="0" w:color="auto"/>
            </w:tcBorders>
            <w:shd w:val="clear" w:color="auto" w:fill="EEECE1" w:themeFill="background2"/>
            <w:vAlign w:val="center"/>
            <w:hideMark/>
          </w:tcPr>
          <w:p w14:paraId="6F675B7D" w14:textId="73BEE15F" w:rsidR="001B0675" w:rsidRPr="0053555E" w:rsidRDefault="001B0675" w:rsidP="001B0675">
            <w:pPr>
              <w:tabs>
                <w:tab w:val="left" w:pos="9356"/>
              </w:tabs>
              <w:jc w:val="center"/>
              <w:rPr>
                <w:rFonts w:asciiTheme="majorHAnsi" w:eastAsia="Times New Roman" w:hAnsiTheme="majorHAnsi" w:cstheme="majorHAnsi"/>
                <w:b/>
                <w:bCs/>
                <w:sz w:val="22"/>
                <w:szCs w:val="22"/>
                <w:lang w:eastAsia="sk-SK"/>
              </w:rPr>
            </w:pPr>
            <w:r w:rsidRPr="0053555E">
              <w:rPr>
                <w:rFonts w:cs="Calibri"/>
                <w:b/>
                <w:bCs/>
                <w:sz w:val="22"/>
                <w:szCs w:val="20"/>
              </w:rPr>
              <w:t>1 161</w:t>
            </w:r>
          </w:p>
        </w:tc>
        <w:tc>
          <w:tcPr>
            <w:tcW w:w="1465" w:type="dxa"/>
            <w:tcBorders>
              <w:top w:val="single" w:sz="4" w:space="0" w:color="auto"/>
              <w:left w:val="nil"/>
              <w:bottom w:val="single" w:sz="4" w:space="0" w:color="auto"/>
              <w:right w:val="single" w:sz="4" w:space="0" w:color="auto"/>
            </w:tcBorders>
            <w:shd w:val="clear" w:color="auto" w:fill="EEECE1" w:themeFill="background2"/>
            <w:vAlign w:val="center"/>
            <w:hideMark/>
          </w:tcPr>
          <w:p w14:paraId="6B2DAB4A" w14:textId="29588598" w:rsidR="001B0675" w:rsidRPr="0053555E" w:rsidRDefault="001B0675" w:rsidP="001B0675">
            <w:pPr>
              <w:tabs>
                <w:tab w:val="left" w:pos="9356"/>
              </w:tabs>
              <w:jc w:val="center"/>
              <w:rPr>
                <w:rFonts w:asciiTheme="majorHAnsi" w:eastAsia="Times New Roman" w:hAnsiTheme="majorHAnsi" w:cstheme="majorHAnsi"/>
                <w:b/>
                <w:bCs/>
                <w:sz w:val="22"/>
                <w:szCs w:val="22"/>
                <w:lang w:eastAsia="sk-SK"/>
              </w:rPr>
            </w:pPr>
            <w:r w:rsidRPr="0053555E">
              <w:rPr>
                <w:rFonts w:cs="Calibri"/>
                <w:b/>
                <w:bCs/>
                <w:sz w:val="22"/>
                <w:szCs w:val="20"/>
              </w:rPr>
              <w:t>2 809</w:t>
            </w:r>
          </w:p>
        </w:tc>
      </w:tr>
    </w:tbl>
    <w:p w14:paraId="788B84CA" w14:textId="77777777" w:rsidR="009B41E5" w:rsidRPr="0053555E" w:rsidRDefault="009B41E5" w:rsidP="00324438">
      <w:pPr>
        <w:tabs>
          <w:tab w:val="left" w:pos="9356"/>
        </w:tabs>
        <w:jc w:val="both"/>
        <w:rPr>
          <w:rFonts w:asciiTheme="majorHAnsi" w:hAnsiTheme="majorHAnsi" w:cstheme="majorHAnsi"/>
        </w:rPr>
      </w:pPr>
    </w:p>
    <w:p w14:paraId="1B722DAD" w14:textId="563EFA8D" w:rsidR="001742EB" w:rsidRPr="0053555E" w:rsidRDefault="00CE01AF" w:rsidP="00324438">
      <w:pPr>
        <w:pStyle w:val="Zkladntext2"/>
        <w:tabs>
          <w:tab w:val="left" w:pos="9356"/>
        </w:tabs>
        <w:spacing w:after="120"/>
        <w:rPr>
          <w:rFonts w:asciiTheme="majorHAnsi" w:hAnsiTheme="majorHAnsi" w:cstheme="majorHAnsi"/>
          <w:sz w:val="24"/>
          <w:szCs w:val="24"/>
        </w:rPr>
      </w:pPr>
      <w:r w:rsidRPr="0053555E">
        <w:rPr>
          <w:rFonts w:asciiTheme="majorHAnsi" w:hAnsiTheme="majorHAnsi" w:cstheme="majorHAnsi"/>
          <w:sz w:val="24"/>
          <w:szCs w:val="24"/>
        </w:rPr>
        <w:t>N</w:t>
      </w:r>
      <w:r w:rsidR="00BC47E1" w:rsidRPr="0053555E">
        <w:rPr>
          <w:rFonts w:asciiTheme="majorHAnsi" w:hAnsiTheme="majorHAnsi" w:cstheme="majorHAnsi"/>
          <w:sz w:val="24"/>
          <w:szCs w:val="24"/>
        </w:rPr>
        <w:t>ajviac</w:t>
      </w:r>
      <w:r w:rsidR="001742EB" w:rsidRPr="0053555E">
        <w:rPr>
          <w:rFonts w:asciiTheme="majorHAnsi" w:hAnsiTheme="majorHAnsi" w:cstheme="majorHAnsi"/>
          <w:sz w:val="24"/>
          <w:szCs w:val="24"/>
        </w:rPr>
        <w:t xml:space="preserve"> vyslaných študentov v</w:t>
      </w:r>
      <w:r w:rsidRPr="0053555E">
        <w:rPr>
          <w:rFonts w:asciiTheme="majorHAnsi" w:hAnsiTheme="majorHAnsi" w:cstheme="majorHAnsi"/>
          <w:sz w:val="24"/>
          <w:szCs w:val="24"/>
        </w:rPr>
        <w:t xml:space="preserve"> rámci výmenného </w:t>
      </w:r>
      <w:r w:rsidR="001742EB" w:rsidRPr="0053555E">
        <w:rPr>
          <w:rFonts w:asciiTheme="majorHAnsi" w:hAnsiTheme="majorHAnsi" w:cstheme="majorHAnsi"/>
          <w:sz w:val="24"/>
          <w:szCs w:val="24"/>
        </w:rPr>
        <w:t>program</w:t>
      </w:r>
      <w:r w:rsidRPr="0053555E">
        <w:rPr>
          <w:rFonts w:asciiTheme="majorHAnsi" w:hAnsiTheme="majorHAnsi" w:cstheme="majorHAnsi"/>
          <w:sz w:val="24"/>
          <w:szCs w:val="24"/>
        </w:rPr>
        <w:t>u</w:t>
      </w:r>
      <w:r w:rsidR="001742EB" w:rsidRPr="0053555E">
        <w:rPr>
          <w:rFonts w:asciiTheme="majorHAnsi" w:hAnsiTheme="majorHAnsi" w:cstheme="majorHAnsi"/>
          <w:sz w:val="24"/>
          <w:szCs w:val="24"/>
        </w:rPr>
        <w:t xml:space="preserve"> Erasmus+ z STU predstavujú študenti druhého stupňa štúdia (</w:t>
      </w:r>
      <w:r w:rsidR="00FE7B87" w:rsidRPr="0053555E">
        <w:rPr>
          <w:rFonts w:asciiTheme="majorHAnsi" w:hAnsiTheme="majorHAnsi" w:cstheme="majorHAnsi"/>
          <w:sz w:val="24"/>
          <w:szCs w:val="24"/>
        </w:rPr>
        <w:fldChar w:fldCharType="begin"/>
      </w:r>
      <w:r w:rsidR="00FE7B87" w:rsidRPr="0053555E">
        <w:rPr>
          <w:rFonts w:asciiTheme="majorHAnsi" w:hAnsiTheme="majorHAnsi" w:cstheme="majorHAnsi"/>
          <w:sz w:val="24"/>
          <w:szCs w:val="24"/>
        </w:rPr>
        <w:instrText xml:space="preserve"> REF _Ref474779829 \h </w:instrText>
      </w:r>
      <w:r w:rsidR="00B57263" w:rsidRPr="0053555E">
        <w:rPr>
          <w:rFonts w:asciiTheme="majorHAnsi" w:hAnsiTheme="majorHAnsi" w:cstheme="majorHAnsi"/>
          <w:sz w:val="24"/>
          <w:szCs w:val="24"/>
        </w:rPr>
        <w:instrText xml:space="preserve"> \* MERGEFORMAT </w:instrText>
      </w:r>
      <w:r w:rsidR="00FE7B87" w:rsidRPr="0053555E">
        <w:rPr>
          <w:rFonts w:asciiTheme="majorHAnsi" w:hAnsiTheme="majorHAnsi" w:cstheme="majorHAnsi"/>
          <w:sz w:val="24"/>
          <w:szCs w:val="24"/>
        </w:rPr>
      </w:r>
      <w:r w:rsidR="00FE7B87" w:rsidRPr="0053555E">
        <w:rPr>
          <w:rFonts w:asciiTheme="majorHAnsi" w:hAnsiTheme="majorHAnsi" w:cstheme="majorHAnsi"/>
          <w:sz w:val="24"/>
          <w:szCs w:val="24"/>
        </w:rPr>
        <w:fldChar w:fldCharType="separate"/>
      </w:r>
      <w:r w:rsidR="00EE1B59" w:rsidRPr="00EE1B59">
        <w:rPr>
          <w:rFonts w:asciiTheme="majorHAnsi" w:hAnsiTheme="majorHAnsi" w:cstheme="majorHAnsi"/>
          <w:sz w:val="20"/>
        </w:rPr>
        <w:t>Graf č. 8</w:t>
      </w:r>
      <w:r w:rsidR="00FE7B87" w:rsidRPr="0053555E">
        <w:rPr>
          <w:rFonts w:asciiTheme="majorHAnsi" w:hAnsiTheme="majorHAnsi" w:cstheme="majorHAnsi"/>
          <w:sz w:val="24"/>
          <w:szCs w:val="24"/>
        </w:rPr>
        <w:fldChar w:fldCharType="end"/>
      </w:r>
      <w:r w:rsidR="001742EB" w:rsidRPr="0053555E">
        <w:rPr>
          <w:rFonts w:asciiTheme="majorHAnsi" w:hAnsiTheme="majorHAnsi" w:cstheme="majorHAnsi"/>
          <w:sz w:val="24"/>
          <w:szCs w:val="24"/>
        </w:rPr>
        <w:t xml:space="preserve">). </w:t>
      </w:r>
      <w:r w:rsidR="008C6DB4" w:rsidRPr="008C6DB4">
        <w:rPr>
          <w:rFonts w:asciiTheme="majorHAnsi" w:hAnsiTheme="majorHAnsi" w:cstheme="majorHAnsi"/>
          <w:sz w:val="24"/>
          <w:szCs w:val="24"/>
        </w:rPr>
        <w:t xml:space="preserve">Celkovo bolo v rámci </w:t>
      </w:r>
      <w:r w:rsidR="0012065E" w:rsidRPr="0012065E">
        <w:rPr>
          <w:rFonts w:asciiTheme="majorHAnsi" w:hAnsiTheme="majorHAnsi" w:cstheme="majorHAnsi"/>
          <w:sz w:val="24"/>
          <w:szCs w:val="24"/>
        </w:rPr>
        <w:t>všetkých výmenných programov v</w:t>
      </w:r>
      <w:r w:rsidR="0012065E">
        <w:rPr>
          <w:rFonts w:asciiTheme="majorHAnsi" w:hAnsiTheme="majorHAnsi" w:cstheme="majorHAnsi"/>
          <w:b/>
          <w:sz w:val="24"/>
          <w:szCs w:val="24"/>
        </w:rPr>
        <w:t> </w:t>
      </w:r>
      <w:r w:rsidR="008C6DB4" w:rsidRPr="008C6DB4">
        <w:rPr>
          <w:rFonts w:asciiTheme="majorHAnsi" w:hAnsiTheme="majorHAnsi" w:cstheme="majorHAnsi"/>
          <w:sz w:val="24"/>
          <w:szCs w:val="24"/>
        </w:rPr>
        <w:t>akademick</w:t>
      </w:r>
      <w:r w:rsidR="0012065E">
        <w:rPr>
          <w:rFonts w:asciiTheme="majorHAnsi" w:hAnsiTheme="majorHAnsi" w:cstheme="majorHAnsi"/>
          <w:sz w:val="24"/>
          <w:szCs w:val="24"/>
        </w:rPr>
        <w:t>om</w:t>
      </w:r>
      <w:r w:rsidR="008C6DB4" w:rsidRPr="008C6DB4">
        <w:rPr>
          <w:rFonts w:asciiTheme="majorHAnsi" w:hAnsiTheme="majorHAnsi" w:cstheme="majorHAnsi"/>
          <w:sz w:val="24"/>
          <w:szCs w:val="24"/>
        </w:rPr>
        <w:t xml:space="preserve"> roku </w:t>
      </w:r>
      <w:r w:rsidR="00F92E5F">
        <w:rPr>
          <w:rFonts w:asciiTheme="majorHAnsi" w:hAnsiTheme="majorHAnsi" w:cstheme="majorHAnsi"/>
          <w:sz w:val="24"/>
          <w:szCs w:val="24"/>
        </w:rPr>
        <w:t xml:space="preserve">2021/2022 </w:t>
      </w:r>
      <w:r w:rsidR="008C6DB4" w:rsidRPr="00366166">
        <w:rPr>
          <w:rFonts w:asciiTheme="majorHAnsi" w:hAnsiTheme="majorHAnsi" w:cstheme="majorHAnsi"/>
          <w:b/>
          <w:sz w:val="24"/>
          <w:szCs w:val="24"/>
        </w:rPr>
        <w:t xml:space="preserve">vyslaných </w:t>
      </w:r>
      <w:r w:rsidR="00F92E5F" w:rsidRPr="00366166">
        <w:rPr>
          <w:rFonts w:asciiTheme="majorHAnsi" w:hAnsiTheme="majorHAnsi" w:cstheme="majorHAnsi"/>
          <w:b/>
          <w:sz w:val="24"/>
          <w:szCs w:val="24"/>
        </w:rPr>
        <w:t xml:space="preserve">2,42 </w:t>
      </w:r>
      <w:r w:rsidR="008C6DB4" w:rsidRPr="00366166">
        <w:rPr>
          <w:rFonts w:asciiTheme="majorHAnsi" w:hAnsiTheme="majorHAnsi" w:cstheme="majorHAnsi"/>
          <w:b/>
          <w:sz w:val="24"/>
          <w:szCs w:val="24"/>
        </w:rPr>
        <w:t>% študentov</w:t>
      </w:r>
      <w:r w:rsidR="00F92E5F" w:rsidRPr="00F92E5F">
        <w:rPr>
          <w:rFonts w:asciiTheme="majorHAnsi" w:hAnsiTheme="majorHAnsi" w:cstheme="majorHAnsi"/>
          <w:b/>
          <w:sz w:val="24"/>
          <w:szCs w:val="24"/>
        </w:rPr>
        <w:t xml:space="preserve"> </w:t>
      </w:r>
      <w:r w:rsidR="00F92E5F" w:rsidRPr="0053555E">
        <w:rPr>
          <w:rFonts w:asciiTheme="majorHAnsi" w:hAnsiTheme="majorHAnsi" w:cstheme="majorHAnsi"/>
          <w:b/>
          <w:sz w:val="24"/>
          <w:szCs w:val="24"/>
        </w:rPr>
        <w:t>z celkového počtu študentov STU</w:t>
      </w:r>
      <w:r w:rsidR="008C6DB4" w:rsidRPr="008C6DB4">
        <w:rPr>
          <w:rFonts w:asciiTheme="majorHAnsi" w:hAnsiTheme="majorHAnsi" w:cstheme="majorHAnsi"/>
          <w:sz w:val="24"/>
          <w:szCs w:val="24"/>
        </w:rPr>
        <w:t xml:space="preserve">. </w:t>
      </w:r>
      <w:r w:rsidR="00794126" w:rsidRPr="0053555E">
        <w:rPr>
          <w:rFonts w:asciiTheme="majorHAnsi" w:hAnsiTheme="majorHAnsi" w:cstheme="majorHAnsi"/>
          <w:sz w:val="24"/>
          <w:szCs w:val="24"/>
        </w:rPr>
        <w:t xml:space="preserve">Napriek </w:t>
      </w:r>
      <w:r w:rsidR="00D6620E" w:rsidRPr="0053555E">
        <w:rPr>
          <w:rFonts w:asciiTheme="majorHAnsi" w:hAnsiTheme="majorHAnsi" w:cstheme="majorHAnsi"/>
          <w:sz w:val="24"/>
          <w:szCs w:val="24"/>
        </w:rPr>
        <w:t>nízkemu</w:t>
      </w:r>
      <w:r w:rsidR="00794126" w:rsidRPr="0053555E">
        <w:rPr>
          <w:rFonts w:asciiTheme="majorHAnsi" w:hAnsiTheme="majorHAnsi" w:cstheme="majorHAnsi"/>
          <w:sz w:val="24"/>
          <w:szCs w:val="24"/>
        </w:rPr>
        <w:t xml:space="preserve"> počtu vyslaných</w:t>
      </w:r>
      <w:r w:rsidR="00B675F0" w:rsidRPr="0053555E">
        <w:rPr>
          <w:rFonts w:asciiTheme="majorHAnsi" w:hAnsiTheme="majorHAnsi" w:cstheme="majorHAnsi"/>
          <w:sz w:val="24"/>
          <w:szCs w:val="24"/>
        </w:rPr>
        <w:t xml:space="preserve"> študentov STU</w:t>
      </w:r>
      <w:r w:rsidR="00794126" w:rsidRPr="0053555E">
        <w:rPr>
          <w:rFonts w:asciiTheme="majorHAnsi" w:hAnsiTheme="majorHAnsi" w:cstheme="majorHAnsi"/>
          <w:sz w:val="24"/>
          <w:szCs w:val="24"/>
        </w:rPr>
        <w:t xml:space="preserve"> </w:t>
      </w:r>
      <w:r w:rsidR="00366166">
        <w:rPr>
          <w:rFonts w:asciiTheme="majorHAnsi" w:hAnsiTheme="majorHAnsi" w:cstheme="majorHAnsi"/>
          <w:sz w:val="24"/>
          <w:szCs w:val="24"/>
        </w:rPr>
        <w:t>je možné pozorovať</w:t>
      </w:r>
      <w:r w:rsidR="00366166" w:rsidRPr="00366166">
        <w:rPr>
          <w:rFonts w:asciiTheme="majorHAnsi" w:hAnsiTheme="majorHAnsi" w:cstheme="majorHAnsi"/>
          <w:sz w:val="24"/>
          <w:szCs w:val="24"/>
        </w:rPr>
        <w:t xml:space="preserve"> rastúcu tendenciu, ktorú síce v posledných rokoch zdecimovala pandémia </w:t>
      </w:r>
      <w:r w:rsidR="005917C7">
        <w:rPr>
          <w:rFonts w:asciiTheme="majorHAnsi" w:hAnsiTheme="majorHAnsi" w:cstheme="majorHAnsi"/>
          <w:sz w:val="24"/>
          <w:szCs w:val="24"/>
        </w:rPr>
        <w:t>spôsobená ochorením</w:t>
      </w:r>
      <w:r w:rsidR="00366166" w:rsidRPr="00366166">
        <w:rPr>
          <w:rFonts w:asciiTheme="majorHAnsi" w:hAnsiTheme="majorHAnsi" w:cstheme="majorHAnsi"/>
          <w:sz w:val="24"/>
          <w:szCs w:val="24"/>
        </w:rPr>
        <w:t xml:space="preserve"> Covid-19.</w:t>
      </w:r>
    </w:p>
    <w:p w14:paraId="064EF5BB" w14:textId="28F5FEE8" w:rsidR="001742EB" w:rsidRPr="0053555E" w:rsidRDefault="008D417E" w:rsidP="000E3322">
      <w:pPr>
        <w:pStyle w:val="Popis"/>
      </w:pPr>
      <w:bookmarkStart w:id="82" w:name="_Ref474779829"/>
      <w:bookmarkStart w:id="83" w:name="_Toc127593336"/>
      <w:r w:rsidRPr="0053555E">
        <w:t xml:space="preserve">Graf č. </w:t>
      </w:r>
      <w:r w:rsidR="007B5953">
        <w:fldChar w:fldCharType="begin"/>
      </w:r>
      <w:r w:rsidR="007B5953">
        <w:instrText xml:space="preserve"> SEQ Graf_č. \* ARABIC </w:instrText>
      </w:r>
      <w:r w:rsidR="007B5953">
        <w:fldChar w:fldCharType="separate"/>
      </w:r>
      <w:r w:rsidR="00EE1B59">
        <w:rPr>
          <w:noProof/>
        </w:rPr>
        <w:t>8</w:t>
      </w:r>
      <w:r w:rsidR="007B5953">
        <w:rPr>
          <w:noProof/>
        </w:rPr>
        <w:fldChar w:fldCharType="end"/>
      </w:r>
      <w:bookmarkEnd w:id="82"/>
      <w:r w:rsidRPr="0053555E">
        <w:t xml:space="preserve">: </w:t>
      </w:r>
      <w:r w:rsidR="001742EB" w:rsidRPr="0053555E">
        <w:t>Percentuálne zastúpenie vyslaných študentov</w:t>
      </w:r>
      <w:r w:rsidR="003250D0" w:rsidRPr="0053555E">
        <w:t>/</w:t>
      </w:r>
      <w:r w:rsidR="001742EB" w:rsidRPr="0053555E">
        <w:t>absolventov STU v programe Erasmus+ podľa stupňa štúdia</w:t>
      </w:r>
      <w:bookmarkEnd w:id="83"/>
    </w:p>
    <w:p w14:paraId="390E677F" w14:textId="1EFB3EF9" w:rsidR="00A82B5E" w:rsidRPr="0053555E" w:rsidRDefault="00A82B5E" w:rsidP="00A82B5E">
      <w:pPr>
        <w:jc w:val="center"/>
      </w:pPr>
      <w:r w:rsidRPr="0053555E">
        <w:rPr>
          <w:noProof/>
          <w:lang w:eastAsia="sk-SK"/>
        </w:rPr>
        <w:drawing>
          <wp:inline distT="0" distB="0" distL="0" distR="0" wp14:anchorId="27AB988C" wp14:editId="54C9CBD2">
            <wp:extent cx="4140680" cy="2734574"/>
            <wp:effectExtent l="38100" t="0" r="0" b="8890"/>
            <wp:docPr id="1" name="Graf 1">
              <a:extLst xmlns:a="http://schemas.openxmlformats.org/drawingml/2006/main">
                <a:ext uri="{FF2B5EF4-FFF2-40B4-BE49-F238E27FC236}">
                  <a16:creationId xmlns:a16="http://schemas.microsoft.com/office/drawing/2014/main" id="{00000000-0008-0000-1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AD5DEBF" w14:textId="3EC62832" w:rsidR="00C06804" w:rsidRPr="0053555E" w:rsidRDefault="004657B6" w:rsidP="00324438">
      <w:pPr>
        <w:pStyle w:val="Zkladntext2"/>
        <w:tabs>
          <w:tab w:val="left" w:pos="9356"/>
        </w:tabs>
        <w:spacing w:after="120"/>
        <w:rPr>
          <w:rFonts w:asciiTheme="majorHAnsi" w:hAnsiTheme="majorHAnsi" w:cstheme="majorHAnsi"/>
          <w:sz w:val="24"/>
          <w:szCs w:val="24"/>
        </w:rPr>
      </w:pPr>
      <w:r w:rsidRPr="0053555E">
        <w:rPr>
          <w:rFonts w:asciiTheme="majorHAnsi" w:hAnsiTheme="majorHAnsi" w:cstheme="majorHAnsi"/>
          <w:sz w:val="24"/>
          <w:szCs w:val="24"/>
        </w:rPr>
        <w:t>Akademické m</w:t>
      </w:r>
      <w:r w:rsidR="00C06804" w:rsidRPr="0053555E">
        <w:rPr>
          <w:rFonts w:asciiTheme="majorHAnsi" w:hAnsiTheme="majorHAnsi" w:cstheme="majorHAnsi"/>
          <w:sz w:val="24"/>
          <w:szCs w:val="24"/>
        </w:rPr>
        <w:t xml:space="preserve">obility Erasmus+ boli realizované v </w:t>
      </w:r>
      <w:r w:rsidR="00AF4B97">
        <w:rPr>
          <w:rFonts w:asciiTheme="majorHAnsi" w:hAnsiTheme="majorHAnsi" w:cstheme="majorHAnsi"/>
          <w:b/>
          <w:sz w:val="24"/>
          <w:szCs w:val="24"/>
        </w:rPr>
        <w:t>30</w:t>
      </w:r>
      <w:r w:rsidR="00C06804" w:rsidRPr="0053555E">
        <w:rPr>
          <w:rFonts w:asciiTheme="majorHAnsi" w:hAnsiTheme="majorHAnsi" w:cstheme="majorHAnsi"/>
          <w:sz w:val="24"/>
          <w:szCs w:val="24"/>
        </w:rPr>
        <w:t xml:space="preserve"> štátoch participujúcich v programe </w:t>
      </w:r>
      <w:r w:rsidR="00AF4135" w:rsidRPr="003E74C6">
        <w:rPr>
          <w:rFonts w:asciiTheme="majorHAnsi" w:hAnsiTheme="majorHAnsi" w:cstheme="majorHAnsi"/>
          <w:sz w:val="24"/>
          <w:szCs w:val="24"/>
        </w:rPr>
        <w:t>(</w:t>
      </w:r>
      <w:r w:rsidR="00FE7B87" w:rsidRPr="003E74C6">
        <w:rPr>
          <w:rFonts w:asciiTheme="majorHAnsi" w:hAnsiTheme="majorHAnsi" w:cstheme="majorHAnsi"/>
          <w:sz w:val="24"/>
          <w:szCs w:val="24"/>
        </w:rPr>
        <w:fldChar w:fldCharType="begin"/>
      </w:r>
      <w:r w:rsidR="00FE7B87" w:rsidRPr="003E74C6">
        <w:rPr>
          <w:rFonts w:asciiTheme="majorHAnsi" w:hAnsiTheme="majorHAnsi" w:cstheme="majorHAnsi"/>
          <w:sz w:val="24"/>
          <w:szCs w:val="24"/>
        </w:rPr>
        <w:instrText xml:space="preserve"> REF _Ref474779844 \h </w:instrText>
      </w:r>
      <w:r w:rsidR="00B57263" w:rsidRPr="003E74C6">
        <w:rPr>
          <w:rFonts w:asciiTheme="majorHAnsi" w:hAnsiTheme="majorHAnsi" w:cstheme="majorHAnsi"/>
          <w:sz w:val="24"/>
          <w:szCs w:val="24"/>
        </w:rPr>
        <w:instrText xml:space="preserve"> \* MERGEFORMAT </w:instrText>
      </w:r>
      <w:r w:rsidR="00FE7B87" w:rsidRPr="003E74C6">
        <w:rPr>
          <w:rFonts w:asciiTheme="majorHAnsi" w:hAnsiTheme="majorHAnsi" w:cstheme="majorHAnsi"/>
          <w:sz w:val="24"/>
          <w:szCs w:val="24"/>
        </w:rPr>
      </w:r>
      <w:r w:rsidR="00FE7B87" w:rsidRPr="003E74C6">
        <w:rPr>
          <w:rFonts w:asciiTheme="majorHAnsi" w:hAnsiTheme="majorHAnsi" w:cstheme="majorHAnsi"/>
          <w:sz w:val="24"/>
          <w:szCs w:val="24"/>
        </w:rPr>
        <w:fldChar w:fldCharType="separate"/>
      </w:r>
      <w:r w:rsidR="00EE1B59" w:rsidRPr="003E74C6">
        <w:rPr>
          <w:rFonts w:asciiTheme="majorHAnsi" w:hAnsiTheme="majorHAnsi" w:cstheme="majorHAnsi"/>
          <w:sz w:val="24"/>
          <w:szCs w:val="24"/>
          <w:lang w:eastAsia="sk-SK"/>
        </w:rPr>
        <w:t xml:space="preserve">Graf č. </w:t>
      </w:r>
      <w:r w:rsidR="00EE1B59" w:rsidRPr="003E74C6">
        <w:rPr>
          <w:rFonts w:asciiTheme="majorHAnsi" w:hAnsiTheme="majorHAnsi" w:cstheme="majorHAnsi"/>
          <w:sz w:val="24"/>
          <w:szCs w:val="24"/>
        </w:rPr>
        <w:t>9</w:t>
      </w:r>
      <w:r w:rsidR="00FE7B87" w:rsidRPr="003E74C6">
        <w:rPr>
          <w:rFonts w:asciiTheme="majorHAnsi" w:hAnsiTheme="majorHAnsi" w:cstheme="majorHAnsi"/>
          <w:sz w:val="24"/>
          <w:szCs w:val="24"/>
        </w:rPr>
        <w:fldChar w:fldCharType="end"/>
      </w:r>
      <w:r w:rsidR="00AF4135" w:rsidRPr="0053555E">
        <w:rPr>
          <w:rFonts w:asciiTheme="majorHAnsi" w:hAnsiTheme="majorHAnsi" w:cstheme="majorHAnsi"/>
          <w:sz w:val="24"/>
          <w:szCs w:val="24"/>
        </w:rPr>
        <w:t>)</w:t>
      </w:r>
      <w:r w:rsidR="00C06804" w:rsidRPr="0053555E">
        <w:rPr>
          <w:rFonts w:asciiTheme="majorHAnsi" w:hAnsiTheme="majorHAnsi" w:cstheme="majorHAnsi"/>
          <w:sz w:val="24"/>
          <w:szCs w:val="24"/>
        </w:rPr>
        <w:t>.</w:t>
      </w:r>
    </w:p>
    <w:p w14:paraId="29CF2F69" w14:textId="2DAB0D31" w:rsidR="002071AC" w:rsidRPr="0053555E" w:rsidRDefault="002071AC" w:rsidP="000E3322">
      <w:pPr>
        <w:pStyle w:val="Popis"/>
      </w:pPr>
      <w:bookmarkStart w:id="84" w:name="_Ref474779844"/>
      <w:bookmarkStart w:id="85" w:name="_Toc127593337"/>
      <w:r w:rsidRPr="0053555E">
        <w:lastRenderedPageBreak/>
        <w:t xml:space="preserve">Graf č. </w:t>
      </w:r>
      <w:r w:rsidR="007B5953">
        <w:fldChar w:fldCharType="begin"/>
      </w:r>
      <w:r w:rsidR="007B5953">
        <w:instrText xml:space="preserve"> SEQ Graf_č. \* ARABIC </w:instrText>
      </w:r>
      <w:r w:rsidR="007B5953">
        <w:fldChar w:fldCharType="separate"/>
      </w:r>
      <w:r w:rsidR="00EE1B59">
        <w:rPr>
          <w:noProof/>
        </w:rPr>
        <w:t>9</w:t>
      </w:r>
      <w:r w:rsidR="007B5953">
        <w:rPr>
          <w:noProof/>
        </w:rPr>
        <w:fldChar w:fldCharType="end"/>
      </w:r>
      <w:bookmarkEnd w:id="84"/>
      <w:r w:rsidRPr="0053555E">
        <w:t xml:space="preserve">: </w:t>
      </w:r>
      <w:r w:rsidR="00D641ED" w:rsidRPr="0053555E">
        <w:t>Prehľad v</w:t>
      </w:r>
      <w:r w:rsidRPr="0053555E">
        <w:t xml:space="preserve">yslaní a prijatí </w:t>
      </w:r>
      <w:r w:rsidR="00C7711C" w:rsidRPr="0053555E">
        <w:t xml:space="preserve">v programe </w:t>
      </w:r>
      <w:r w:rsidRPr="0053555E">
        <w:t>Erasmus</w:t>
      </w:r>
      <w:r w:rsidR="00D64107" w:rsidRPr="0053555E">
        <w:t>+</w:t>
      </w:r>
      <w:r w:rsidRPr="0053555E">
        <w:t xml:space="preserve"> v</w:t>
      </w:r>
      <w:r w:rsidR="00BA15B1" w:rsidRPr="0053555E">
        <w:t> akad</w:t>
      </w:r>
      <w:r w:rsidR="008F6952" w:rsidRPr="0053555E">
        <w:t>emickom</w:t>
      </w:r>
      <w:r w:rsidR="00BA15B1" w:rsidRPr="0053555E">
        <w:t xml:space="preserve"> </w:t>
      </w:r>
      <w:r w:rsidRPr="0053555E">
        <w:t xml:space="preserve">roku </w:t>
      </w:r>
      <w:r w:rsidR="00EA24BA" w:rsidRPr="0053555E">
        <w:t>2021/2022</w:t>
      </w:r>
      <w:r w:rsidRPr="0053555E">
        <w:t xml:space="preserve"> podľa štátov</w:t>
      </w:r>
      <w:bookmarkEnd w:id="85"/>
    </w:p>
    <w:p w14:paraId="71399933" w14:textId="11C06B35" w:rsidR="001420EE" w:rsidRPr="0053555E" w:rsidRDefault="001420EE" w:rsidP="001420EE">
      <w:pPr>
        <w:jc w:val="center"/>
      </w:pPr>
      <w:r w:rsidRPr="0053555E">
        <w:rPr>
          <w:noProof/>
          <w:lang w:eastAsia="sk-SK"/>
        </w:rPr>
        <w:drawing>
          <wp:inline distT="0" distB="0" distL="0" distR="0" wp14:anchorId="1DDD95CA" wp14:editId="67B0AF6B">
            <wp:extent cx="6047117" cy="2553419"/>
            <wp:effectExtent l="0" t="0" r="0" b="0"/>
            <wp:docPr id="24" name="Graf 24">
              <a:extLst xmlns:a="http://schemas.openxmlformats.org/drawingml/2006/main">
                <a:ext uri="{FF2B5EF4-FFF2-40B4-BE49-F238E27FC236}">
                  <a16:creationId xmlns:a16="http://schemas.microsoft.com/office/drawing/2014/main" id="{00000000-0008-0000-1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5AA9E3" w14:textId="641B55AF" w:rsidR="00AF4135" w:rsidRPr="0053555E" w:rsidRDefault="00AF4135" w:rsidP="00056BEB">
      <w:pPr>
        <w:jc w:val="center"/>
        <w:rPr>
          <w:rFonts w:asciiTheme="majorHAnsi" w:hAnsiTheme="majorHAnsi" w:cstheme="majorHAnsi"/>
          <w:sz w:val="20"/>
          <w:lang w:eastAsia="sk-SK"/>
        </w:rPr>
      </w:pPr>
    </w:p>
    <w:p w14:paraId="0D341BAC" w14:textId="33904AA9" w:rsidR="00032C95" w:rsidRPr="0053555E" w:rsidRDefault="008704AC" w:rsidP="00B43EEA">
      <w:pPr>
        <w:tabs>
          <w:tab w:val="left" w:pos="9356"/>
        </w:tabs>
        <w:spacing w:after="120"/>
        <w:jc w:val="both"/>
        <w:rPr>
          <w:rFonts w:asciiTheme="majorHAnsi" w:hAnsiTheme="majorHAnsi" w:cstheme="majorHAnsi"/>
        </w:rPr>
      </w:pPr>
      <w:r w:rsidRPr="0053555E">
        <w:rPr>
          <w:rFonts w:asciiTheme="majorHAnsi" w:hAnsiTheme="majorHAnsi" w:cstheme="majorHAnsi"/>
        </w:rPr>
        <w:t xml:space="preserve">STU zaznamenala v akademickom roku </w:t>
      </w:r>
      <w:r w:rsidR="00EA24BA" w:rsidRPr="0053555E">
        <w:rPr>
          <w:rFonts w:asciiTheme="majorHAnsi" w:hAnsiTheme="majorHAnsi" w:cstheme="majorHAnsi"/>
        </w:rPr>
        <w:t>2021/2022</w:t>
      </w:r>
      <w:r w:rsidRPr="0053555E">
        <w:rPr>
          <w:rFonts w:asciiTheme="majorHAnsi" w:hAnsiTheme="majorHAnsi" w:cstheme="majorHAnsi"/>
        </w:rPr>
        <w:t xml:space="preserve"> </w:t>
      </w:r>
      <w:r w:rsidR="00483DBE" w:rsidRPr="0053555E">
        <w:rPr>
          <w:rFonts w:asciiTheme="majorHAnsi" w:hAnsiTheme="majorHAnsi" w:cstheme="majorHAnsi"/>
        </w:rPr>
        <w:t>celkový počet</w:t>
      </w:r>
      <w:r w:rsidR="003E0592" w:rsidRPr="0053555E">
        <w:rPr>
          <w:rFonts w:asciiTheme="majorHAnsi" w:hAnsiTheme="majorHAnsi" w:cstheme="majorHAnsi"/>
        </w:rPr>
        <w:t xml:space="preserve"> </w:t>
      </w:r>
      <w:r w:rsidR="00AF4B97" w:rsidRPr="00AF4B97">
        <w:rPr>
          <w:rFonts w:asciiTheme="majorHAnsi" w:hAnsiTheme="majorHAnsi" w:cstheme="majorHAnsi"/>
          <w:b/>
        </w:rPr>
        <w:t>463</w:t>
      </w:r>
      <w:r w:rsidR="003E0592" w:rsidRPr="0053555E">
        <w:rPr>
          <w:rFonts w:asciiTheme="majorHAnsi" w:hAnsiTheme="majorHAnsi" w:cstheme="majorHAnsi"/>
        </w:rPr>
        <w:t xml:space="preserve"> študentov v rámci akademických mobilít, z toho </w:t>
      </w:r>
      <w:r w:rsidR="00AF4B97">
        <w:rPr>
          <w:rFonts w:asciiTheme="majorHAnsi" w:hAnsiTheme="majorHAnsi" w:cstheme="majorHAnsi"/>
          <w:b/>
        </w:rPr>
        <w:t>255</w:t>
      </w:r>
      <w:r w:rsidR="003E0592" w:rsidRPr="0053555E">
        <w:rPr>
          <w:rFonts w:asciiTheme="majorHAnsi" w:hAnsiTheme="majorHAnsi" w:cstheme="majorHAnsi"/>
        </w:rPr>
        <w:t xml:space="preserve"> </w:t>
      </w:r>
      <w:r w:rsidR="001C380C" w:rsidRPr="0053555E">
        <w:rPr>
          <w:rFonts w:asciiTheme="majorHAnsi" w:hAnsiTheme="majorHAnsi" w:cstheme="majorHAnsi"/>
        </w:rPr>
        <w:t>vycestovaných študentov STU a</w:t>
      </w:r>
      <w:r w:rsidR="00903B97" w:rsidRPr="0053555E">
        <w:rPr>
          <w:rFonts w:asciiTheme="majorHAnsi" w:hAnsiTheme="majorHAnsi" w:cstheme="majorHAnsi"/>
        </w:rPr>
        <w:t xml:space="preserve"> </w:t>
      </w:r>
      <w:r w:rsidR="00AF4B97">
        <w:rPr>
          <w:rFonts w:asciiTheme="majorHAnsi" w:hAnsiTheme="majorHAnsi" w:cstheme="majorHAnsi"/>
          <w:b/>
        </w:rPr>
        <w:t>208</w:t>
      </w:r>
      <w:r w:rsidR="001C380C" w:rsidRPr="0053555E">
        <w:rPr>
          <w:rFonts w:asciiTheme="majorHAnsi" w:hAnsiTheme="majorHAnsi" w:cstheme="majorHAnsi"/>
        </w:rPr>
        <w:t xml:space="preserve"> </w:t>
      </w:r>
      <w:r w:rsidRPr="0053555E">
        <w:rPr>
          <w:rFonts w:asciiTheme="majorHAnsi" w:hAnsiTheme="majorHAnsi" w:cstheme="majorHAnsi"/>
        </w:rPr>
        <w:t xml:space="preserve">pricestovaných zahraničných študentov </w:t>
      </w:r>
      <w:r w:rsidR="005C1089" w:rsidRPr="0053555E">
        <w:rPr>
          <w:rFonts w:asciiTheme="majorHAnsi" w:eastAsia="Times New Roman" w:hAnsiTheme="majorHAnsi" w:cstheme="majorHAnsi"/>
          <w:sz w:val="20"/>
          <w:szCs w:val="20"/>
          <w:lang w:eastAsia="sk-SK"/>
        </w:rPr>
        <w:t>(</w:t>
      </w:r>
      <w:r w:rsidR="00BE6295" w:rsidRPr="0053555E">
        <w:rPr>
          <w:rFonts w:asciiTheme="majorHAnsi" w:eastAsia="Times New Roman" w:hAnsiTheme="majorHAnsi" w:cstheme="majorHAnsi"/>
          <w:sz w:val="20"/>
          <w:szCs w:val="20"/>
          <w:lang w:eastAsia="sk-SK"/>
        </w:rPr>
        <w:fldChar w:fldCharType="begin"/>
      </w:r>
      <w:r w:rsidR="00BE6295" w:rsidRPr="0053555E">
        <w:rPr>
          <w:rFonts w:asciiTheme="majorHAnsi" w:eastAsia="Times New Roman" w:hAnsiTheme="majorHAnsi" w:cstheme="majorHAnsi"/>
          <w:sz w:val="20"/>
          <w:szCs w:val="20"/>
          <w:lang w:eastAsia="sk-SK"/>
        </w:rPr>
        <w:instrText xml:space="preserve"> REF _Ref31712406 \h  \* MERGEFORMAT </w:instrText>
      </w:r>
      <w:r w:rsidR="00BE6295" w:rsidRPr="0053555E">
        <w:rPr>
          <w:rFonts w:asciiTheme="majorHAnsi" w:eastAsia="Times New Roman" w:hAnsiTheme="majorHAnsi" w:cstheme="majorHAnsi"/>
          <w:sz w:val="20"/>
          <w:szCs w:val="20"/>
          <w:lang w:eastAsia="sk-SK"/>
        </w:rPr>
      </w:r>
      <w:r w:rsidR="00BE6295" w:rsidRPr="0053555E">
        <w:rPr>
          <w:rFonts w:asciiTheme="majorHAnsi" w:eastAsia="Times New Roman" w:hAnsiTheme="majorHAnsi" w:cstheme="majorHAnsi"/>
          <w:sz w:val="20"/>
          <w:szCs w:val="20"/>
          <w:lang w:eastAsia="sk-SK"/>
        </w:rPr>
        <w:fldChar w:fldCharType="separate"/>
      </w:r>
      <w:r w:rsidR="00EE1B59" w:rsidRPr="00EE1B59">
        <w:rPr>
          <w:rFonts w:asciiTheme="majorHAnsi" w:eastAsia="Times New Roman" w:hAnsiTheme="majorHAnsi" w:cstheme="majorHAnsi"/>
          <w:sz w:val="20"/>
          <w:szCs w:val="20"/>
          <w:lang w:eastAsia="sk-SK"/>
        </w:rPr>
        <w:t>Tab. č. 20</w:t>
      </w:r>
      <w:r w:rsidR="00BE6295" w:rsidRPr="0053555E">
        <w:rPr>
          <w:rFonts w:asciiTheme="majorHAnsi" w:eastAsia="Times New Roman" w:hAnsiTheme="majorHAnsi" w:cstheme="majorHAnsi"/>
          <w:sz w:val="20"/>
          <w:szCs w:val="20"/>
          <w:lang w:eastAsia="sk-SK"/>
        </w:rPr>
        <w:fldChar w:fldCharType="end"/>
      </w:r>
      <w:r w:rsidR="005C1089" w:rsidRPr="0053555E">
        <w:rPr>
          <w:rFonts w:asciiTheme="majorHAnsi" w:eastAsia="Times New Roman" w:hAnsiTheme="majorHAnsi" w:cstheme="majorHAnsi"/>
          <w:sz w:val="20"/>
          <w:szCs w:val="20"/>
          <w:lang w:eastAsia="sk-SK"/>
        </w:rPr>
        <w:t>)</w:t>
      </w:r>
      <w:r w:rsidR="00D0504D" w:rsidRPr="0053555E">
        <w:rPr>
          <w:rFonts w:asciiTheme="majorHAnsi" w:hAnsiTheme="majorHAnsi" w:cstheme="majorHAnsi"/>
        </w:rPr>
        <w:t>.</w:t>
      </w:r>
      <w:r w:rsidR="005E3868" w:rsidRPr="0053555E">
        <w:rPr>
          <w:rFonts w:asciiTheme="majorHAnsi" w:hAnsiTheme="majorHAnsi" w:cstheme="majorHAnsi"/>
        </w:rPr>
        <w:t xml:space="preserve"> </w:t>
      </w:r>
      <w:r w:rsidR="009F21BE" w:rsidRPr="0053555E">
        <w:rPr>
          <w:rFonts w:asciiTheme="majorHAnsi" w:hAnsiTheme="majorHAnsi" w:cstheme="majorHAnsi"/>
        </w:rPr>
        <w:t>Oproti akademickému roku 20</w:t>
      </w:r>
      <w:r w:rsidR="00D35FD6">
        <w:rPr>
          <w:rFonts w:asciiTheme="majorHAnsi" w:hAnsiTheme="majorHAnsi" w:cstheme="majorHAnsi"/>
        </w:rPr>
        <w:t>20</w:t>
      </w:r>
      <w:r w:rsidR="009F21BE" w:rsidRPr="0053555E">
        <w:rPr>
          <w:rFonts w:asciiTheme="majorHAnsi" w:hAnsiTheme="majorHAnsi" w:cstheme="majorHAnsi"/>
        </w:rPr>
        <w:t>/20</w:t>
      </w:r>
      <w:r w:rsidR="009D2767" w:rsidRPr="0053555E">
        <w:rPr>
          <w:rFonts w:asciiTheme="majorHAnsi" w:hAnsiTheme="majorHAnsi" w:cstheme="majorHAnsi"/>
        </w:rPr>
        <w:t>2</w:t>
      </w:r>
      <w:r w:rsidR="00D35FD6">
        <w:rPr>
          <w:rFonts w:asciiTheme="majorHAnsi" w:hAnsiTheme="majorHAnsi" w:cstheme="majorHAnsi"/>
        </w:rPr>
        <w:t>1</w:t>
      </w:r>
      <w:r w:rsidR="009F21BE" w:rsidRPr="0053555E">
        <w:rPr>
          <w:rFonts w:asciiTheme="majorHAnsi" w:hAnsiTheme="majorHAnsi" w:cstheme="majorHAnsi"/>
        </w:rPr>
        <w:t xml:space="preserve"> to predstavuje </w:t>
      </w:r>
      <w:r w:rsidR="00D35FD6" w:rsidRPr="00D35FD6">
        <w:rPr>
          <w:rFonts w:asciiTheme="majorHAnsi" w:hAnsiTheme="majorHAnsi" w:cstheme="majorHAnsi"/>
          <w:b/>
        </w:rPr>
        <w:t xml:space="preserve">nárast </w:t>
      </w:r>
      <w:r w:rsidR="00C06E0D" w:rsidRPr="00D35FD6">
        <w:rPr>
          <w:rFonts w:asciiTheme="majorHAnsi" w:hAnsiTheme="majorHAnsi" w:cstheme="majorHAnsi"/>
          <w:b/>
        </w:rPr>
        <w:t>o </w:t>
      </w:r>
      <w:r w:rsidR="00D35FD6" w:rsidRPr="00D35FD6">
        <w:rPr>
          <w:rFonts w:asciiTheme="majorHAnsi" w:hAnsiTheme="majorHAnsi" w:cstheme="majorHAnsi"/>
          <w:b/>
        </w:rPr>
        <w:t>158</w:t>
      </w:r>
      <w:r w:rsidR="00C06E0D" w:rsidRPr="00D35FD6">
        <w:rPr>
          <w:rFonts w:asciiTheme="majorHAnsi" w:hAnsiTheme="majorHAnsi" w:cstheme="majorHAnsi"/>
          <w:b/>
        </w:rPr>
        <w:t xml:space="preserve"> študentov</w:t>
      </w:r>
      <w:r w:rsidR="00C06E0D" w:rsidRPr="0053555E">
        <w:rPr>
          <w:rFonts w:asciiTheme="majorHAnsi" w:hAnsiTheme="majorHAnsi" w:cstheme="majorHAnsi"/>
        </w:rPr>
        <w:t xml:space="preserve">. </w:t>
      </w:r>
    </w:p>
    <w:p w14:paraId="62727582" w14:textId="77777777" w:rsidR="004566D0" w:rsidRDefault="004B5168" w:rsidP="004566D0">
      <w:pPr>
        <w:tabs>
          <w:tab w:val="left" w:pos="9356"/>
        </w:tabs>
        <w:ind w:right="-2"/>
        <w:jc w:val="both"/>
        <w:rPr>
          <w:rFonts w:asciiTheme="majorHAnsi" w:hAnsiTheme="majorHAnsi" w:cstheme="majorHAnsi"/>
        </w:rPr>
      </w:pPr>
      <w:r w:rsidRPr="0053555E">
        <w:rPr>
          <w:rFonts w:asciiTheme="majorHAnsi" w:hAnsiTheme="majorHAnsi" w:cstheme="majorHAnsi"/>
        </w:rPr>
        <w:t xml:space="preserve">Z </w:t>
      </w:r>
      <w:r w:rsidR="005E3868" w:rsidRPr="0053555E">
        <w:rPr>
          <w:rFonts w:asciiTheme="majorHAnsi" w:hAnsiTheme="majorHAnsi" w:cstheme="majorHAnsi"/>
        </w:rPr>
        <w:t xml:space="preserve">celkového počtu študentov STU </w:t>
      </w:r>
      <w:r w:rsidR="00213227" w:rsidRPr="0053555E">
        <w:rPr>
          <w:rFonts w:asciiTheme="majorHAnsi" w:hAnsiTheme="majorHAnsi" w:cstheme="majorHAnsi"/>
        </w:rPr>
        <w:t>v</w:t>
      </w:r>
      <w:r w:rsidRPr="0053555E">
        <w:rPr>
          <w:rFonts w:asciiTheme="majorHAnsi" w:hAnsiTheme="majorHAnsi" w:cstheme="majorHAnsi"/>
        </w:rPr>
        <w:t xml:space="preserve"> </w:t>
      </w:r>
      <w:r w:rsidR="00213227" w:rsidRPr="0053555E">
        <w:rPr>
          <w:rFonts w:asciiTheme="majorHAnsi" w:hAnsiTheme="majorHAnsi" w:cstheme="majorHAnsi"/>
        </w:rPr>
        <w:t xml:space="preserve">posudzovanom akademickom roku </w:t>
      </w:r>
      <w:r w:rsidR="00B43EEA">
        <w:rPr>
          <w:rFonts w:asciiTheme="majorHAnsi" w:hAnsiTheme="majorHAnsi" w:cstheme="majorHAnsi"/>
          <w:b/>
        </w:rPr>
        <w:t>2</w:t>
      </w:r>
      <w:r w:rsidR="00903B97" w:rsidRPr="0053555E">
        <w:rPr>
          <w:rFonts w:asciiTheme="majorHAnsi" w:hAnsiTheme="majorHAnsi" w:cstheme="majorHAnsi"/>
          <w:b/>
        </w:rPr>
        <w:t>,</w:t>
      </w:r>
      <w:r w:rsidR="005537F0" w:rsidRPr="0053555E">
        <w:rPr>
          <w:rFonts w:asciiTheme="majorHAnsi" w:hAnsiTheme="majorHAnsi" w:cstheme="majorHAnsi"/>
          <w:b/>
        </w:rPr>
        <w:t>3</w:t>
      </w:r>
      <w:r w:rsidR="00B43EEA">
        <w:rPr>
          <w:rFonts w:asciiTheme="majorHAnsi" w:hAnsiTheme="majorHAnsi" w:cstheme="majorHAnsi"/>
          <w:b/>
        </w:rPr>
        <w:t>9</w:t>
      </w:r>
      <w:r w:rsidR="005E3868" w:rsidRPr="0053555E">
        <w:rPr>
          <w:rFonts w:asciiTheme="majorHAnsi" w:hAnsiTheme="majorHAnsi" w:cstheme="majorHAnsi"/>
          <w:b/>
        </w:rPr>
        <w:t xml:space="preserve"> % </w:t>
      </w:r>
      <w:r w:rsidR="00ED13AB" w:rsidRPr="0053555E">
        <w:rPr>
          <w:rFonts w:asciiTheme="majorHAnsi" w:hAnsiTheme="majorHAnsi" w:cstheme="majorHAnsi"/>
        </w:rPr>
        <w:t xml:space="preserve">študentov </w:t>
      </w:r>
      <w:r w:rsidR="0074735F" w:rsidRPr="0053555E">
        <w:rPr>
          <w:rFonts w:asciiTheme="majorHAnsi" w:hAnsiTheme="majorHAnsi" w:cstheme="majorHAnsi"/>
        </w:rPr>
        <w:t xml:space="preserve">STU </w:t>
      </w:r>
      <w:r w:rsidR="00ED13AB" w:rsidRPr="0053555E">
        <w:rPr>
          <w:rFonts w:asciiTheme="majorHAnsi" w:hAnsiTheme="majorHAnsi" w:cstheme="majorHAnsi"/>
        </w:rPr>
        <w:t xml:space="preserve">využilo možnosť </w:t>
      </w:r>
      <w:r w:rsidR="000264BC" w:rsidRPr="0053555E">
        <w:rPr>
          <w:rFonts w:asciiTheme="majorHAnsi" w:hAnsiTheme="majorHAnsi" w:cstheme="majorHAnsi"/>
        </w:rPr>
        <w:t>vycestovať na</w:t>
      </w:r>
      <w:r w:rsidR="00ED13AB" w:rsidRPr="0053555E">
        <w:rPr>
          <w:rFonts w:asciiTheme="majorHAnsi" w:hAnsiTheme="majorHAnsi" w:cstheme="majorHAnsi"/>
        </w:rPr>
        <w:t xml:space="preserve"> akademick</w:t>
      </w:r>
      <w:r w:rsidR="001C6CB5" w:rsidRPr="0053555E">
        <w:rPr>
          <w:rFonts w:asciiTheme="majorHAnsi" w:hAnsiTheme="majorHAnsi" w:cstheme="majorHAnsi"/>
        </w:rPr>
        <w:t>ú</w:t>
      </w:r>
      <w:r w:rsidR="00ED13AB" w:rsidRPr="0053555E">
        <w:rPr>
          <w:rFonts w:asciiTheme="majorHAnsi" w:hAnsiTheme="majorHAnsi" w:cstheme="majorHAnsi"/>
        </w:rPr>
        <w:t xml:space="preserve"> mobilit</w:t>
      </w:r>
      <w:r w:rsidR="001C6CB5" w:rsidRPr="0053555E">
        <w:rPr>
          <w:rFonts w:asciiTheme="majorHAnsi" w:hAnsiTheme="majorHAnsi" w:cstheme="majorHAnsi"/>
        </w:rPr>
        <w:t>u</w:t>
      </w:r>
      <w:r w:rsidR="00ED13AB" w:rsidRPr="0053555E">
        <w:rPr>
          <w:rFonts w:asciiTheme="majorHAnsi" w:hAnsiTheme="majorHAnsi" w:cstheme="majorHAnsi"/>
        </w:rPr>
        <w:t xml:space="preserve"> v rámci </w:t>
      </w:r>
      <w:r w:rsidR="00903B97" w:rsidRPr="0053555E">
        <w:rPr>
          <w:rFonts w:asciiTheme="majorHAnsi" w:hAnsiTheme="majorHAnsi" w:cstheme="majorHAnsi"/>
        </w:rPr>
        <w:t xml:space="preserve">výmenného </w:t>
      </w:r>
      <w:r w:rsidR="00ED13AB" w:rsidRPr="0053555E">
        <w:rPr>
          <w:rFonts w:asciiTheme="majorHAnsi" w:hAnsiTheme="majorHAnsi" w:cstheme="majorHAnsi"/>
        </w:rPr>
        <w:t>programu Erasmus+</w:t>
      </w:r>
      <w:r w:rsidR="0074735F" w:rsidRPr="0053555E">
        <w:rPr>
          <w:rFonts w:asciiTheme="majorHAnsi" w:hAnsiTheme="majorHAnsi" w:cstheme="majorHAnsi"/>
        </w:rPr>
        <w:t xml:space="preserve"> </w:t>
      </w:r>
      <w:r w:rsidR="0074735F" w:rsidRPr="0053555E">
        <w:rPr>
          <w:rFonts w:asciiTheme="majorHAnsi" w:eastAsia="Times New Roman" w:hAnsiTheme="majorHAnsi" w:cstheme="majorHAnsi"/>
          <w:sz w:val="20"/>
          <w:szCs w:val="20"/>
          <w:lang w:eastAsia="sk-SK"/>
        </w:rPr>
        <w:t>(</w:t>
      </w:r>
      <w:r w:rsidR="0074735F" w:rsidRPr="0053555E">
        <w:rPr>
          <w:rFonts w:asciiTheme="majorHAnsi" w:eastAsia="Times New Roman" w:hAnsiTheme="majorHAnsi" w:cstheme="majorHAnsi"/>
          <w:sz w:val="20"/>
          <w:szCs w:val="20"/>
          <w:lang w:eastAsia="sk-SK"/>
        </w:rPr>
        <w:fldChar w:fldCharType="begin"/>
      </w:r>
      <w:r w:rsidR="0074735F" w:rsidRPr="0053555E">
        <w:rPr>
          <w:rFonts w:asciiTheme="majorHAnsi" w:eastAsia="Times New Roman" w:hAnsiTheme="majorHAnsi" w:cstheme="majorHAnsi"/>
          <w:sz w:val="20"/>
          <w:szCs w:val="20"/>
          <w:lang w:eastAsia="sk-SK"/>
        </w:rPr>
        <w:instrText xml:space="preserve"> REF _Ref31712374 \h </w:instrText>
      </w:r>
      <w:r w:rsidR="00C975D8" w:rsidRPr="0053555E">
        <w:rPr>
          <w:rFonts w:asciiTheme="majorHAnsi" w:eastAsia="Times New Roman" w:hAnsiTheme="majorHAnsi" w:cstheme="majorHAnsi"/>
          <w:sz w:val="20"/>
          <w:szCs w:val="20"/>
          <w:lang w:eastAsia="sk-SK"/>
        </w:rPr>
        <w:instrText xml:space="preserve"> \* MERGEFORMAT </w:instrText>
      </w:r>
      <w:r w:rsidR="0074735F" w:rsidRPr="0053555E">
        <w:rPr>
          <w:rFonts w:asciiTheme="majorHAnsi" w:eastAsia="Times New Roman" w:hAnsiTheme="majorHAnsi" w:cstheme="majorHAnsi"/>
          <w:sz w:val="20"/>
          <w:szCs w:val="20"/>
          <w:lang w:eastAsia="sk-SK"/>
        </w:rPr>
      </w:r>
      <w:r w:rsidR="0074735F" w:rsidRPr="0053555E">
        <w:rPr>
          <w:rFonts w:asciiTheme="majorHAnsi" w:eastAsia="Times New Roman" w:hAnsiTheme="majorHAnsi" w:cstheme="majorHAnsi"/>
          <w:sz w:val="20"/>
          <w:szCs w:val="20"/>
          <w:lang w:eastAsia="sk-SK"/>
        </w:rPr>
        <w:fldChar w:fldCharType="separate"/>
      </w:r>
      <w:r w:rsidR="00EE1B59" w:rsidRPr="00EE1B59">
        <w:rPr>
          <w:rFonts w:asciiTheme="majorHAnsi" w:eastAsia="Times New Roman" w:hAnsiTheme="majorHAnsi" w:cstheme="majorHAnsi"/>
          <w:sz w:val="20"/>
          <w:szCs w:val="20"/>
          <w:lang w:eastAsia="sk-SK"/>
        </w:rPr>
        <w:t xml:space="preserve">Tab. č. </w:t>
      </w:r>
      <w:r w:rsidR="00EE1B59">
        <w:rPr>
          <w:noProof/>
        </w:rPr>
        <w:t>19</w:t>
      </w:r>
      <w:r w:rsidR="0074735F" w:rsidRPr="0053555E">
        <w:rPr>
          <w:rFonts w:asciiTheme="majorHAnsi" w:eastAsia="Times New Roman" w:hAnsiTheme="majorHAnsi" w:cstheme="majorHAnsi"/>
          <w:sz w:val="20"/>
          <w:szCs w:val="20"/>
          <w:lang w:eastAsia="sk-SK"/>
        </w:rPr>
        <w:fldChar w:fldCharType="end"/>
      </w:r>
      <w:r w:rsidR="0074735F" w:rsidRPr="0053555E">
        <w:rPr>
          <w:rFonts w:asciiTheme="majorHAnsi" w:eastAsia="Times New Roman" w:hAnsiTheme="majorHAnsi" w:cstheme="majorHAnsi"/>
          <w:sz w:val="20"/>
          <w:szCs w:val="20"/>
          <w:lang w:eastAsia="sk-SK"/>
        </w:rPr>
        <w:t>)</w:t>
      </w:r>
      <w:r w:rsidR="00ED13AB" w:rsidRPr="0053555E">
        <w:rPr>
          <w:rFonts w:asciiTheme="majorHAnsi" w:hAnsiTheme="majorHAnsi" w:cstheme="majorHAnsi"/>
        </w:rPr>
        <w:t>.</w:t>
      </w:r>
      <w:r w:rsidR="005E3868" w:rsidRPr="0053555E">
        <w:rPr>
          <w:rFonts w:asciiTheme="majorHAnsi" w:hAnsiTheme="majorHAnsi" w:cstheme="majorHAnsi"/>
        </w:rPr>
        <w:t xml:space="preserve"> </w:t>
      </w:r>
    </w:p>
    <w:p w14:paraId="397A8D81" w14:textId="633121C7" w:rsidR="004566D0" w:rsidRDefault="00ED7B8B" w:rsidP="004566D0">
      <w:pPr>
        <w:tabs>
          <w:tab w:val="left" w:pos="9356"/>
        </w:tabs>
        <w:ind w:right="-2"/>
        <w:jc w:val="both"/>
        <w:rPr>
          <w:sz w:val="20"/>
          <w:szCs w:val="20"/>
        </w:rPr>
      </w:pPr>
      <w:bookmarkStart w:id="86" w:name="_Ref31712374"/>
      <w:bookmarkStart w:id="87" w:name="_Toc127593282"/>
      <w:r>
        <w:rPr>
          <w:sz w:val="20"/>
          <w:szCs w:val="20"/>
        </w:rPr>
        <w:t xml:space="preserve"> </w:t>
      </w:r>
    </w:p>
    <w:p w14:paraId="3D5FC0DC" w14:textId="6A397641" w:rsidR="005C1089" w:rsidRPr="003E74C6" w:rsidRDefault="008A6EEE" w:rsidP="004566D0">
      <w:pPr>
        <w:tabs>
          <w:tab w:val="left" w:pos="9356"/>
        </w:tabs>
        <w:ind w:right="-2"/>
        <w:jc w:val="both"/>
        <w:rPr>
          <w:rFonts w:asciiTheme="majorHAnsi" w:hAnsiTheme="majorHAnsi" w:cstheme="majorHAnsi"/>
        </w:rPr>
      </w:pPr>
      <w:r w:rsidRPr="003E74C6">
        <w:t xml:space="preserve">Tab. č. </w:t>
      </w:r>
      <w:r w:rsidR="005E1B6C" w:rsidRPr="003E74C6">
        <w:fldChar w:fldCharType="begin"/>
      </w:r>
      <w:r w:rsidR="005E1B6C" w:rsidRPr="003E74C6">
        <w:instrText xml:space="preserve"> SEQ Tab._č. \* ARABIC </w:instrText>
      </w:r>
      <w:r w:rsidR="005E1B6C" w:rsidRPr="003E74C6">
        <w:fldChar w:fldCharType="separate"/>
      </w:r>
      <w:r w:rsidR="00EE1B59" w:rsidRPr="003E74C6">
        <w:rPr>
          <w:noProof/>
        </w:rPr>
        <w:t>19</w:t>
      </w:r>
      <w:r w:rsidR="005E1B6C" w:rsidRPr="003E74C6">
        <w:fldChar w:fldCharType="end"/>
      </w:r>
      <w:bookmarkEnd w:id="86"/>
      <w:r w:rsidRPr="003E74C6">
        <w:t>:</w:t>
      </w:r>
      <w:r w:rsidR="005C1089" w:rsidRPr="003E74C6">
        <w:t xml:space="preserve"> Percentuálne vyjadrenie pomeru vycestovaných študentov</w:t>
      </w:r>
      <w:r w:rsidR="00C53C54" w:rsidRPr="003E74C6">
        <w:t xml:space="preserve">/absolventov STU </w:t>
      </w:r>
      <w:r w:rsidR="005C1089" w:rsidRPr="003E74C6">
        <w:t>v</w:t>
      </w:r>
      <w:r w:rsidR="00AD35CE" w:rsidRPr="003E74C6">
        <w:t> rámci </w:t>
      </w:r>
      <w:r w:rsidR="00651B7C" w:rsidRPr="003E74C6">
        <w:t>programu </w:t>
      </w:r>
      <w:r w:rsidR="005C1089" w:rsidRPr="003E74C6">
        <w:t>Erasmus+ k celkovému počtu študentov</w:t>
      </w:r>
      <w:bookmarkEnd w:id="87"/>
    </w:p>
    <w:tbl>
      <w:tblPr>
        <w:tblW w:w="9356" w:type="dxa"/>
        <w:tblInd w:w="-5" w:type="dxa"/>
        <w:tblCellMar>
          <w:left w:w="70" w:type="dxa"/>
          <w:right w:w="70" w:type="dxa"/>
        </w:tblCellMar>
        <w:tblLook w:val="04A0" w:firstRow="1" w:lastRow="0" w:firstColumn="1" w:lastColumn="0" w:noHBand="0" w:noVBand="1"/>
      </w:tblPr>
      <w:tblGrid>
        <w:gridCol w:w="1843"/>
        <w:gridCol w:w="2126"/>
        <w:gridCol w:w="2694"/>
        <w:gridCol w:w="2693"/>
      </w:tblGrid>
      <w:tr w:rsidR="001D587B" w:rsidRPr="0053555E" w14:paraId="4C41FA45" w14:textId="77777777" w:rsidTr="004F65B0">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6992E" w14:textId="77777777" w:rsidR="00E24E4E" w:rsidRPr="0053555E" w:rsidRDefault="00E24E4E" w:rsidP="007437C1">
            <w:pPr>
              <w:tabs>
                <w:tab w:val="left" w:pos="9356"/>
              </w:tabs>
              <w:jc w:val="center"/>
              <w:rPr>
                <w:rFonts w:asciiTheme="majorHAnsi" w:eastAsia="Times New Roman" w:hAnsiTheme="majorHAnsi" w:cstheme="majorHAnsi"/>
                <w:bCs/>
                <w:sz w:val="22"/>
                <w:szCs w:val="20"/>
                <w:lang w:eastAsia="sk-SK"/>
              </w:rPr>
            </w:pPr>
            <w:r w:rsidRPr="0053555E">
              <w:rPr>
                <w:rFonts w:asciiTheme="majorHAnsi" w:eastAsia="Times New Roman" w:hAnsiTheme="majorHAnsi" w:cstheme="majorHAnsi"/>
                <w:bCs/>
                <w:sz w:val="22"/>
                <w:szCs w:val="20"/>
                <w:lang w:eastAsia="sk-SK"/>
              </w:rPr>
              <w:t>akademický</w:t>
            </w:r>
          </w:p>
          <w:p w14:paraId="69DF4AB5" w14:textId="77777777" w:rsidR="001D587B" w:rsidRPr="0053555E" w:rsidRDefault="001D587B" w:rsidP="007437C1">
            <w:pPr>
              <w:tabs>
                <w:tab w:val="left" w:pos="9356"/>
              </w:tabs>
              <w:jc w:val="center"/>
              <w:rPr>
                <w:rFonts w:asciiTheme="majorHAnsi" w:eastAsia="Times New Roman" w:hAnsiTheme="majorHAnsi" w:cstheme="majorHAnsi"/>
                <w:bCs/>
                <w:sz w:val="22"/>
                <w:szCs w:val="20"/>
                <w:lang w:eastAsia="sk-SK"/>
              </w:rPr>
            </w:pPr>
            <w:r w:rsidRPr="0053555E">
              <w:rPr>
                <w:rFonts w:asciiTheme="majorHAnsi" w:eastAsia="Times New Roman" w:hAnsiTheme="majorHAnsi" w:cstheme="majorHAnsi"/>
                <w:bCs/>
                <w:sz w:val="22"/>
                <w:szCs w:val="20"/>
                <w:lang w:eastAsia="sk-SK"/>
              </w:rPr>
              <w:t>rok</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641E928" w14:textId="77777777" w:rsidR="001D587B" w:rsidRPr="0053555E" w:rsidRDefault="001D587B" w:rsidP="00324438">
            <w:pPr>
              <w:tabs>
                <w:tab w:val="left" w:pos="9356"/>
              </w:tabs>
              <w:jc w:val="center"/>
              <w:rPr>
                <w:rFonts w:asciiTheme="majorHAnsi" w:eastAsia="Times New Roman" w:hAnsiTheme="majorHAnsi" w:cstheme="majorHAnsi"/>
                <w:bCs/>
                <w:sz w:val="22"/>
                <w:szCs w:val="20"/>
                <w:lang w:eastAsia="sk-SK"/>
              </w:rPr>
            </w:pPr>
            <w:r w:rsidRPr="0053555E">
              <w:rPr>
                <w:rFonts w:asciiTheme="majorHAnsi" w:eastAsia="Times New Roman" w:hAnsiTheme="majorHAnsi" w:cstheme="majorHAnsi"/>
                <w:bCs/>
                <w:sz w:val="22"/>
                <w:szCs w:val="20"/>
                <w:lang w:eastAsia="sk-SK"/>
              </w:rPr>
              <w:t>celkový počet študentov STU</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199A707C" w14:textId="77777777" w:rsidR="001D587B" w:rsidRPr="0053555E" w:rsidRDefault="001D587B" w:rsidP="004307D0">
            <w:pPr>
              <w:tabs>
                <w:tab w:val="left" w:pos="9356"/>
              </w:tabs>
              <w:jc w:val="center"/>
              <w:rPr>
                <w:rFonts w:asciiTheme="majorHAnsi" w:eastAsia="Times New Roman" w:hAnsiTheme="majorHAnsi" w:cstheme="majorHAnsi"/>
                <w:bCs/>
                <w:sz w:val="22"/>
                <w:szCs w:val="20"/>
                <w:lang w:eastAsia="sk-SK"/>
              </w:rPr>
            </w:pPr>
            <w:r w:rsidRPr="0053555E">
              <w:rPr>
                <w:rFonts w:asciiTheme="majorHAnsi" w:eastAsia="Times New Roman" w:hAnsiTheme="majorHAnsi" w:cstheme="majorHAnsi"/>
                <w:bCs/>
                <w:sz w:val="22"/>
                <w:szCs w:val="20"/>
                <w:lang w:eastAsia="sk-SK"/>
              </w:rPr>
              <w:t>počet študentov STU vyslaných cez Erasmus+</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4DA0D6D" w14:textId="77777777" w:rsidR="001D587B" w:rsidRPr="0053555E" w:rsidRDefault="001D587B" w:rsidP="00324438">
            <w:pPr>
              <w:tabs>
                <w:tab w:val="left" w:pos="9356"/>
              </w:tabs>
              <w:jc w:val="center"/>
              <w:rPr>
                <w:rFonts w:asciiTheme="majorHAnsi" w:eastAsia="Times New Roman" w:hAnsiTheme="majorHAnsi" w:cstheme="majorHAnsi"/>
                <w:bCs/>
                <w:sz w:val="22"/>
                <w:szCs w:val="20"/>
                <w:lang w:eastAsia="sk-SK"/>
              </w:rPr>
            </w:pPr>
            <w:r w:rsidRPr="0053555E">
              <w:rPr>
                <w:rFonts w:asciiTheme="majorHAnsi" w:eastAsia="Times New Roman" w:hAnsiTheme="majorHAnsi" w:cstheme="majorHAnsi"/>
                <w:bCs/>
                <w:sz w:val="22"/>
                <w:szCs w:val="20"/>
                <w:lang w:eastAsia="sk-SK"/>
              </w:rPr>
              <w:t>Pomer vycestovaní/celkový</w:t>
            </w:r>
            <w:r w:rsidRPr="0053555E">
              <w:rPr>
                <w:rFonts w:asciiTheme="majorHAnsi" w:eastAsia="Times New Roman" w:hAnsiTheme="majorHAnsi" w:cstheme="majorHAnsi"/>
                <w:bCs/>
                <w:sz w:val="22"/>
                <w:szCs w:val="20"/>
                <w:lang w:eastAsia="sk-SK"/>
              </w:rPr>
              <w:br/>
              <w:t>počet študentov</w:t>
            </w:r>
          </w:p>
        </w:tc>
      </w:tr>
      <w:tr w:rsidR="00C336A3" w:rsidRPr="0053555E" w14:paraId="184A582B" w14:textId="77777777" w:rsidTr="004F65B0">
        <w:trPr>
          <w:trHeight w:val="2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1A2B0395" w14:textId="22BA9337" w:rsidR="00C336A3" w:rsidRPr="0053555E" w:rsidRDefault="00C336A3" w:rsidP="00C336A3">
            <w:pPr>
              <w:jc w:val="center"/>
              <w:rPr>
                <w:rFonts w:asciiTheme="majorHAnsi" w:hAnsiTheme="majorHAnsi" w:cstheme="majorHAnsi"/>
                <w:sz w:val="22"/>
                <w:szCs w:val="22"/>
              </w:rPr>
            </w:pPr>
            <w:r w:rsidRPr="0053555E">
              <w:rPr>
                <w:rFonts w:cs="Calibri"/>
                <w:sz w:val="22"/>
                <w:szCs w:val="22"/>
              </w:rPr>
              <w:t>2015/2016</w:t>
            </w:r>
          </w:p>
        </w:tc>
        <w:tc>
          <w:tcPr>
            <w:tcW w:w="2126" w:type="dxa"/>
            <w:tcBorders>
              <w:top w:val="nil"/>
              <w:left w:val="nil"/>
              <w:bottom w:val="single" w:sz="4" w:space="0" w:color="auto"/>
              <w:right w:val="single" w:sz="4" w:space="0" w:color="auto"/>
            </w:tcBorders>
            <w:shd w:val="clear" w:color="auto" w:fill="auto"/>
            <w:vAlign w:val="center"/>
            <w:hideMark/>
          </w:tcPr>
          <w:p w14:paraId="7F352EC9" w14:textId="3FB1F916" w:rsidR="00C336A3" w:rsidRPr="0053555E" w:rsidRDefault="00C336A3" w:rsidP="00C336A3">
            <w:pPr>
              <w:jc w:val="center"/>
              <w:rPr>
                <w:rFonts w:asciiTheme="majorHAnsi" w:hAnsiTheme="majorHAnsi" w:cstheme="majorHAnsi"/>
                <w:sz w:val="22"/>
                <w:szCs w:val="22"/>
              </w:rPr>
            </w:pPr>
            <w:r w:rsidRPr="0053555E">
              <w:rPr>
                <w:rFonts w:cs="Calibri"/>
                <w:sz w:val="22"/>
                <w:szCs w:val="22"/>
              </w:rPr>
              <w:t>14 286</w:t>
            </w:r>
          </w:p>
        </w:tc>
        <w:tc>
          <w:tcPr>
            <w:tcW w:w="2694" w:type="dxa"/>
            <w:tcBorders>
              <w:top w:val="nil"/>
              <w:left w:val="nil"/>
              <w:bottom w:val="single" w:sz="4" w:space="0" w:color="auto"/>
              <w:right w:val="single" w:sz="4" w:space="0" w:color="auto"/>
            </w:tcBorders>
            <w:shd w:val="clear" w:color="auto" w:fill="auto"/>
            <w:vAlign w:val="center"/>
            <w:hideMark/>
          </w:tcPr>
          <w:p w14:paraId="3650D60C" w14:textId="04F4253A" w:rsidR="00C336A3" w:rsidRPr="0053555E" w:rsidRDefault="00C336A3" w:rsidP="00C336A3">
            <w:pPr>
              <w:jc w:val="center"/>
              <w:rPr>
                <w:rFonts w:asciiTheme="majorHAnsi" w:hAnsiTheme="majorHAnsi" w:cstheme="majorHAnsi"/>
                <w:sz w:val="22"/>
                <w:szCs w:val="22"/>
              </w:rPr>
            </w:pPr>
            <w:r w:rsidRPr="0053555E">
              <w:rPr>
                <w:rFonts w:cs="Calibri"/>
                <w:sz w:val="22"/>
                <w:szCs w:val="22"/>
              </w:rPr>
              <w:t>280</w:t>
            </w:r>
          </w:p>
        </w:tc>
        <w:tc>
          <w:tcPr>
            <w:tcW w:w="2693" w:type="dxa"/>
            <w:tcBorders>
              <w:top w:val="nil"/>
              <w:left w:val="nil"/>
              <w:bottom w:val="single" w:sz="4" w:space="0" w:color="auto"/>
              <w:right w:val="single" w:sz="4" w:space="0" w:color="auto"/>
            </w:tcBorders>
            <w:shd w:val="clear" w:color="auto" w:fill="auto"/>
            <w:vAlign w:val="center"/>
            <w:hideMark/>
          </w:tcPr>
          <w:p w14:paraId="56305C1B" w14:textId="7C251FE1" w:rsidR="00C336A3" w:rsidRPr="0053555E" w:rsidRDefault="00C336A3" w:rsidP="00C336A3">
            <w:pPr>
              <w:jc w:val="center"/>
              <w:rPr>
                <w:rFonts w:asciiTheme="majorHAnsi" w:hAnsiTheme="majorHAnsi" w:cstheme="majorHAnsi"/>
                <w:sz w:val="22"/>
                <w:szCs w:val="22"/>
              </w:rPr>
            </w:pPr>
            <w:r w:rsidRPr="0053555E">
              <w:rPr>
                <w:rFonts w:cs="Calibri"/>
                <w:sz w:val="22"/>
                <w:szCs w:val="22"/>
              </w:rPr>
              <w:t>1,96</w:t>
            </w:r>
            <w:r w:rsidR="00C02E4A" w:rsidRPr="0053555E">
              <w:rPr>
                <w:rFonts w:cs="Calibri"/>
                <w:sz w:val="22"/>
                <w:szCs w:val="22"/>
              </w:rPr>
              <w:t xml:space="preserve"> </w:t>
            </w:r>
            <w:r w:rsidRPr="0053555E">
              <w:rPr>
                <w:rFonts w:cs="Calibri"/>
                <w:sz w:val="22"/>
                <w:szCs w:val="22"/>
              </w:rPr>
              <w:t>%</w:t>
            </w:r>
          </w:p>
        </w:tc>
      </w:tr>
      <w:tr w:rsidR="00C336A3" w:rsidRPr="0053555E" w14:paraId="2DB4308C" w14:textId="77777777" w:rsidTr="004F65B0">
        <w:trPr>
          <w:trHeight w:val="20"/>
        </w:trPr>
        <w:tc>
          <w:tcPr>
            <w:tcW w:w="1843" w:type="dxa"/>
            <w:tcBorders>
              <w:top w:val="nil"/>
              <w:left w:val="single" w:sz="4" w:space="0" w:color="auto"/>
              <w:bottom w:val="single" w:sz="4" w:space="0" w:color="auto"/>
              <w:right w:val="single" w:sz="4" w:space="0" w:color="auto"/>
            </w:tcBorders>
            <w:shd w:val="clear" w:color="auto" w:fill="auto"/>
            <w:vAlign w:val="center"/>
          </w:tcPr>
          <w:p w14:paraId="772533B9" w14:textId="40EA9516" w:rsidR="00C336A3" w:rsidRPr="0053555E" w:rsidRDefault="00C336A3" w:rsidP="00C336A3">
            <w:pPr>
              <w:jc w:val="center"/>
              <w:rPr>
                <w:rFonts w:cs="Calibri"/>
                <w:sz w:val="22"/>
                <w:szCs w:val="22"/>
              </w:rPr>
            </w:pPr>
            <w:r w:rsidRPr="0053555E">
              <w:rPr>
                <w:rFonts w:cs="Calibri"/>
                <w:sz w:val="22"/>
                <w:szCs w:val="22"/>
              </w:rPr>
              <w:t>2016/2017</w:t>
            </w:r>
          </w:p>
        </w:tc>
        <w:tc>
          <w:tcPr>
            <w:tcW w:w="2126" w:type="dxa"/>
            <w:tcBorders>
              <w:top w:val="nil"/>
              <w:left w:val="nil"/>
              <w:bottom w:val="single" w:sz="4" w:space="0" w:color="auto"/>
              <w:right w:val="single" w:sz="4" w:space="0" w:color="auto"/>
            </w:tcBorders>
            <w:shd w:val="clear" w:color="auto" w:fill="auto"/>
            <w:vAlign w:val="center"/>
          </w:tcPr>
          <w:p w14:paraId="693E32B2" w14:textId="281CF209" w:rsidR="00C336A3" w:rsidRPr="0053555E" w:rsidRDefault="00C336A3" w:rsidP="00C336A3">
            <w:pPr>
              <w:jc w:val="center"/>
              <w:rPr>
                <w:rFonts w:asciiTheme="majorHAnsi" w:hAnsiTheme="majorHAnsi" w:cstheme="majorHAnsi"/>
                <w:sz w:val="22"/>
                <w:szCs w:val="22"/>
              </w:rPr>
            </w:pPr>
            <w:r w:rsidRPr="0053555E">
              <w:rPr>
                <w:rFonts w:cs="Calibri"/>
                <w:sz w:val="22"/>
                <w:szCs w:val="22"/>
              </w:rPr>
              <w:t>13 108</w:t>
            </w:r>
          </w:p>
        </w:tc>
        <w:tc>
          <w:tcPr>
            <w:tcW w:w="2694" w:type="dxa"/>
            <w:tcBorders>
              <w:top w:val="nil"/>
              <w:left w:val="nil"/>
              <w:bottom w:val="single" w:sz="4" w:space="0" w:color="auto"/>
              <w:right w:val="single" w:sz="4" w:space="0" w:color="auto"/>
            </w:tcBorders>
            <w:shd w:val="clear" w:color="auto" w:fill="auto"/>
            <w:vAlign w:val="center"/>
          </w:tcPr>
          <w:p w14:paraId="122BC57C" w14:textId="74F931D0" w:rsidR="00C336A3" w:rsidRPr="0053555E" w:rsidRDefault="00C336A3" w:rsidP="00C336A3">
            <w:pPr>
              <w:jc w:val="center"/>
              <w:rPr>
                <w:rFonts w:asciiTheme="majorHAnsi" w:hAnsiTheme="majorHAnsi" w:cstheme="majorHAnsi"/>
                <w:sz w:val="22"/>
                <w:szCs w:val="22"/>
              </w:rPr>
            </w:pPr>
            <w:r w:rsidRPr="0053555E">
              <w:rPr>
                <w:rFonts w:cs="Calibri"/>
                <w:sz w:val="22"/>
                <w:szCs w:val="22"/>
              </w:rPr>
              <w:t>261</w:t>
            </w:r>
          </w:p>
        </w:tc>
        <w:tc>
          <w:tcPr>
            <w:tcW w:w="2693" w:type="dxa"/>
            <w:tcBorders>
              <w:top w:val="nil"/>
              <w:left w:val="nil"/>
              <w:bottom w:val="single" w:sz="4" w:space="0" w:color="auto"/>
              <w:right w:val="single" w:sz="4" w:space="0" w:color="auto"/>
            </w:tcBorders>
            <w:shd w:val="clear" w:color="auto" w:fill="auto"/>
            <w:vAlign w:val="center"/>
          </w:tcPr>
          <w:p w14:paraId="3443F253" w14:textId="3744F925" w:rsidR="00C336A3" w:rsidRPr="0053555E" w:rsidRDefault="00C336A3" w:rsidP="00C336A3">
            <w:pPr>
              <w:jc w:val="center"/>
              <w:rPr>
                <w:rFonts w:asciiTheme="majorHAnsi" w:hAnsiTheme="majorHAnsi" w:cstheme="majorHAnsi"/>
                <w:sz w:val="22"/>
                <w:szCs w:val="22"/>
              </w:rPr>
            </w:pPr>
            <w:r w:rsidRPr="0053555E">
              <w:rPr>
                <w:rFonts w:cs="Calibri"/>
                <w:sz w:val="22"/>
                <w:szCs w:val="22"/>
              </w:rPr>
              <w:t>1,99</w:t>
            </w:r>
            <w:r w:rsidR="00C02E4A" w:rsidRPr="0053555E">
              <w:rPr>
                <w:rFonts w:cs="Calibri"/>
                <w:sz w:val="22"/>
                <w:szCs w:val="22"/>
              </w:rPr>
              <w:t xml:space="preserve"> </w:t>
            </w:r>
            <w:r w:rsidRPr="0053555E">
              <w:rPr>
                <w:rFonts w:cs="Calibri"/>
                <w:sz w:val="22"/>
                <w:szCs w:val="22"/>
              </w:rPr>
              <w:t>%</w:t>
            </w:r>
          </w:p>
        </w:tc>
      </w:tr>
      <w:tr w:rsidR="00C336A3" w:rsidRPr="0053555E" w14:paraId="43E90359" w14:textId="77777777" w:rsidTr="004F65B0">
        <w:trPr>
          <w:trHeight w:val="20"/>
        </w:trPr>
        <w:tc>
          <w:tcPr>
            <w:tcW w:w="1843" w:type="dxa"/>
            <w:tcBorders>
              <w:top w:val="nil"/>
              <w:left w:val="single" w:sz="4" w:space="0" w:color="auto"/>
              <w:bottom w:val="single" w:sz="4" w:space="0" w:color="auto"/>
              <w:right w:val="single" w:sz="4" w:space="0" w:color="auto"/>
            </w:tcBorders>
            <w:shd w:val="clear" w:color="000000" w:fill="FFFFFF"/>
            <w:vAlign w:val="center"/>
            <w:hideMark/>
          </w:tcPr>
          <w:p w14:paraId="74B72EE4" w14:textId="32D63E68" w:rsidR="00C336A3" w:rsidRPr="0053555E" w:rsidRDefault="00C336A3" w:rsidP="00C336A3">
            <w:pPr>
              <w:jc w:val="center"/>
              <w:rPr>
                <w:rFonts w:cs="Calibri"/>
                <w:sz w:val="22"/>
                <w:szCs w:val="22"/>
              </w:rPr>
            </w:pPr>
            <w:r w:rsidRPr="0053555E">
              <w:rPr>
                <w:rFonts w:cs="Calibri"/>
                <w:sz w:val="22"/>
                <w:szCs w:val="22"/>
              </w:rPr>
              <w:t>2017/2018</w:t>
            </w:r>
          </w:p>
        </w:tc>
        <w:tc>
          <w:tcPr>
            <w:tcW w:w="2126" w:type="dxa"/>
            <w:tcBorders>
              <w:top w:val="nil"/>
              <w:left w:val="nil"/>
              <w:bottom w:val="single" w:sz="4" w:space="0" w:color="auto"/>
              <w:right w:val="single" w:sz="4" w:space="0" w:color="auto"/>
            </w:tcBorders>
            <w:shd w:val="clear" w:color="000000" w:fill="FFFFFF"/>
            <w:vAlign w:val="center"/>
            <w:hideMark/>
          </w:tcPr>
          <w:p w14:paraId="328EDE56" w14:textId="0493AA93" w:rsidR="00C336A3" w:rsidRPr="0053555E" w:rsidRDefault="00C336A3" w:rsidP="00C336A3">
            <w:pPr>
              <w:jc w:val="center"/>
              <w:rPr>
                <w:rFonts w:asciiTheme="majorHAnsi" w:hAnsiTheme="majorHAnsi" w:cstheme="majorHAnsi"/>
                <w:sz w:val="22"/>
                <w:szCs w:val="22"/>
              </w:rPr>
            </w:pPr>
            <w:r w:rsidRPr="0053555E">
              <w:rPr>
                <w:rFonts w:cs="Calibri"/>
                <w:sz w:val="22"/>
                <w:szCs w:val="22"/>
              </w:rPr>
              <w:t>11 748</w:t>
            </w:r>
          </w:p>
        </w:tc>
        <w:tc>
          <w:tcPr>
            <w:tcW w:w="2694" w:type="dxa"/>
            <w:tcBorders>
              <w:top w:val="nil"/>
              <w:left w:val="nil"/>
              <w:bottom w:val="single" w:sz="4" w:space="0" w:color="auto"/>
              <w:right w:val="single" w:sz="4" w:space="0" w:color="auto"/>
            </w:tcBorders>
            <w:shd w:val="clear" w:color="000000" w:fill="FFFFFF"/>
            <w:vAlign w:val="center"/>
            <w:hideMark/>
          </w:tcPr>
          <w:p w14:paraId="2DF4464F" w14:textId="134D3938" w:rsidR="00C336A3" w:rsidRPr="0053555E" w:rsidRDefault="00C336A3" w:rsidP="00C336A3">
            <w:pPr>
              <w:jc w:val="center"/>
              <w:rPr>
                <w:rFonts w:asciiTheme="majorHAnsi" w:hAnsiTheme="majorHAnsi" w:cstheme="majorHAnsi"/>
                <w:sz w:val="22"/>
                <w:szCs w:val="22"/>
              </w:rPr>
            </w:pPr>
            <w:r w:rsidRPr="0053555E">
              <w:rPr>
                <w:rFonts w:cs="Calibri"/>
                <w:sz w:val="22"/>
                <w:szCs w:val="22"/>
              </w:rPr>
              <w:t>276</w:t>
            </w:r>
          </w:p>
        </w:tc>
        <w:tc>
          <w:tcPr>
            <w:tcW w:w="2693" w:type="dxa"/>
            <w:tcBorders>
              <w:top w:val="nil"/>
              <w:left w:val="nil"/>
              <w:bottom w:val="single" w:sz="4" w:space="0" w:color="auto"/>
              <w:right w:val="single" w:sz="4" w:space="0" w:color="auto"/>
            </w:tcBorders>
            <w:shd w:val="clear" w:color="auto" w:fill="auto"/>
            <w:vAlign w:val="center"/>
            <w:hideMark/>
          </w:tcPr>
          <w:p w14:paraId="0F3A1FF7" w14:textId="6C16C466" w:rsidR="00C336A3" w:rsidRPr="0053555E" w:rsidRDefault="00C336A3" w:rsidP="00C336A3">
            <w:pPr>
              <w:jc w:val="center"/>
              <w:rPr>
                <w:rFonts w:asciiTheme="majorHAnsi" w:hAnsiTheme="majorHAnsi" w:cstheme="majorHAnsi"/>
                <w:sz w:val="22"/>
                <w:szCs w:val="22"/>
              </w:rPr>
            </w:pPr>
            <w:r w:rsidRPr="0053555E">
              <w:rPr>
                <w:rFonts w:cs="Calibri"/>
                <w:sz w:val="22"/>
                <w:szCs w:val="22"/>
              </w:rPr>
              <w:t>2,35</w:t>
            </w:r>
            <w:r w:rsidR="00C02E4A" w:rsidRPr="0053555E">
              <w:rPr>
                <w:rFonts w:cs="Calibri"/>
                <w:sz w:val="22"/>
                <w:szCs w:val="22"/>
              </w:rPr>
              <w:t xml:space="preserve"> </w:t>
            </w:r>
            <w:r w:rsidRPr="0053555E">
              <w:rPr>
                <w:rFonts w:cs="Calibri"/>
                <w:sz w:val="22"/>
                <w:szCs w:val="22"/>
              </w:rPr>
              <w:t>%</w:t>
            </w:r>
          </w:p>
        </w:tc>
      </w:tr>
      <w:tr w:rsidR="00C336A3" w:rsidRPr="0053555E" w14:paraId="59922679" w14:textId="77777777" w:rsidTr="004F65B0">
        <w:trPr>
          <w:trHeight w:val="20"/>
        </w:trPr>
        <w:tc>
          <w:tcPr>
            <w:tcW w:w="1843" w:type="dxa"/>
            <w:tcBorders>
              <w:top w:val="nil"/>
              <w:left w:val="single" w:sz="4" w:space="0" w:color="auto"/>
              <w:bottom w:val="single" w:sz="4" w:space="0" w:color="auto"/>
              <w:right w:val="single" w:sz="4" w:space="0" w:color="auto"/>
            </w:tcBorders>
            <w:shd w:val="clear" w:color="000000" w:fill="FFFFFF"/>
            <w:vAlign w:val="center"/>
            <w:hideMark/>
          </w:tcPr>
          <w:p w14:paraId="5D324526" w14:textId="094EC6EA" w:rsidR="00C336A3" w:rsidRPr="0053555E" w:rsidRDefault="00C336A3" w:rsidP="00C336A3">
            <w:pPr>
              <w:jc w:val="center"/>
              <w:rPr>
                <w:rFonts w:cs="Calibri"/>
                <w:sz w:val="22"/>
                <w:szCs w:val="22"/>
              </w:rPr>
            </w:pPr>
            <w:r w:rsidRPr="0053555E">
              <w:rPr>
                <w:rFonts w:cs="Calibri"/>
                <w:sz w:val="22"/>
                <w:szCs w:val="22"/>
              </w:rPr>
              <w:t>2018/2019</w:t>
            </w:r>
          </w:p>
        </w:tc>
        <w:tc>
          <w:tcPr>
            <w:tcW w:w="2126" w:type="dxa"/>
            <w:tcBorders>
              <w:top w:val="nil"/>
              <w:left w:val="nil"/>
              <w:bottom w:val="single" w:sz="4" w:space="0" w:color="auto"/>
              <w:right w:val="single" w:sz="4" w:space="0" w:color="auto"/>
            </w:tcBorders>
            <w:shd w:val="clear" w:color="000000" w:fill="FFFFFF"/>
            <w:vAlign w:val="center"/>
            <w:hideMark/>
          </w:tcPr>
          <w:p w14:paraId="6C939825" w14:textId="429C1C19" w:rsidR="00C336A3" w:rsidRPr="0053555E" w:rsidRDefault="00C336A3" w:rsidP="00C336A3">
            <w:pPr>
              <w:jc w:val="center"/>
              <w:rPr>
                <w:rFonts w:asciiTheme="majorHAnsi" w:hAnsiTheme="majorHAnsi" w:cstheme="majorHAnsi"/>
                <w:sz w:val="22"/>
                <w:szCs w:val="22"/>
              </w:rPr>
            </w:pPr>
            <w:r w:rsidRPr="0053555E">
              <w:rPr>
                <w:rFonts w:cs="Calibri"/>
                <w:sz w:val="22"/>
                <w:szCs w:val="22"/>
              </w:rPr>
              <w:t>11 130</w:t>
            </w:r>
          </w:p>
        </w:tc>
        <w:tc>
          <w:tcPr>
            <w:tcW w:w="2694" w:type="dxa"/>
            <w:tcBorders>
              <w:top w:val="nil"/>
              <w:left w:val="nil"/>
              <w:bottom w:val="single" w:sz="4" w:space="0" w:color="auto"/>
              <w:right w:val="single" w:sz="4" w:space="0" w:color="auto"/>
            </w:tcBorders>
            <w:shd w:val="clear" w:color="000000" w:fill="FFFFFF"/>
            <w:vAlign w:val="center"/>
            <w:hideMark/>
          </w:tcPr>
          <w:p w14:paraId="7540BF5F" w14:textId="5A8F062D" w:rsidR="00C336A3" w:rsidRPr="0053555E" w:rsidRDefault="00C336A3" w:rsidP="00C336A3">
            <w:pPr>
              <w:jc w:val="center"/>
              <w:rPr>
                <w:rFonts w:asciiTheme="majorHAnsi" w:hAnsiTheme="majorHAnsi" w:cstheme="majorHAnsi"/>
                <w:sz w:val="22"/>
                <w:szCs w:val="22"/>
              </w:rPr>
            </w:pPr>
            <w:r w:rsidRPr="0053555E">
              <w:rPr>
                <w:rFonts w:cs="Calibri"/>
                <w:sz w:val="22"/>
                <w:szCs w:val="22"/>
              </w:rPr>
              <w:t>229</w:t>
            </w:r>
          </w:p>
        </w:tc>
        <w:tc>
          <w:tcPr>
            <w:tcW w:w="2693" w:type="dxa"/>
            <w:tcBorders>
              <w:top w:val="nil"/>
              <w:left w:val="nil"/>
              <w:bottom w:val="single" w:sz="4" w:space="0" w:color="auto"/>
              <w:right w:val="single" w:sz="4" w:space="0" w:color="auto"/>
            </w:tcBorders>
            <w:shd w:val="clear" w:color="auto" w:fill="auto"/>
            <w:vAlign w:val="center"/>
            <w:hideMark/>
          </w:tcPr>
          <w:p w14:paraId="4FFA8A22" w14:textId="40797397" w:rsidR="00C336A3" w:rsidRPr="0053555E" w:rsidRDefault="00C336A3" w:rsidP="00C336A3">
            <w:pPr>
              <w:jc w:val="center"/>
              <w:rPr>
                <w:rFonts w:asciiTheme="majorHAnsi" w:hAnsiTheme="majorHAnsi" w:cstheme="majorHAnsi"/>
                <w:sz w:val="22"/>
                <w:szCs w:val="22"/>
              </w:rPr>
            </w:pPr>
            <w:r w:rsidRPr="0053555E">
              <w:rPr>
                <w:rFonts w:cs="Calibri"/>
                <w:sz w:val="22"/>
                <w:szCs w:val="22"/>
              </w:rPr>
              <w:t>2,06</w:t>
            </w:r>
            <w:r w:rsidR="00C02E4A" w:rsidRPr="0053555E">
              <w:rPr>
                <w:rFonts w:cs="Calibri"/>
                <w:sz w:val="22"/>
                <w:szCs w:val="22"/>
              </w:rPr>
              <w:t xml:space="preserve"> </w:t>
            </w:r>
            <w:r w:rsidRPr="0053555E">
              <w:rPr>
                <w:rFonts w:cs="Calibri"/>
                <w:sz w:val="22"/>
                <w:szCs w:val="22"/>
              </w:rPr>
              <w:t>%</w:t>
            </w:r>
          </w:p>
        </w:tc>
      </w:tr>
      <w:tr w:rsidR="00C336A3" w:rsidRPr="0053555E" w14:paraId="3C32678A" w14:textId="77777777" w:rsidTr="004F65B0">
        <w:trPr>
          <w:trHeight w:val="20"/>
        </w:trPr>
        <w:tc>
          <w:tcPr>
            <w:tcW w:w="1843" w:type="dxa"/>
            <w:tcBorders>
              <w:top w:val="nil"/>
              <w:left w:val="single" w:sz="4" w:space="0" w:color="auto"/>
              <w:bottom w:val="single" w:sz="4" w:space="0" w:color="auto"/>
              <w:right w:val="single" w:sz="4" w:space="0" w:color="auto"/>
            </w:tcBorders>
            <w:shd w:val="clear" w:color="000000" w:fill="FFFFFF"/>
            <w:vAlign w:val="center"/>
            <w:hideMark/>
          </w:tcPr>
          <w:p w14:paraId="56DACDEB" w14:textId="46B4A458" w:rsidR="00C336A3" w:rsidRPr="0053555E" w:rsidRDefault="00C336A3" w:rsidP="00C336A3">
            <w:pPr>
              <w:jc w:val="center"/>
              <w:rPr>
                <w:rFonts w:cs="Calibri"/>
                <w:sz w:val="22"/>
                <w:szCs w:val="22"/>
              </w:rPr>
            </w:pPr>
            <w:r w:rsidRPr="0053555E">
              <w:rPr>
                <w:rFonts w:cs="Calibri"/>
                <w:sz w:val="22"/>
                <w:szCs w:val="22"/>
              </w:rPr>
              <w:t>2019/2020</w:t>
            </w:r>
          </w:p>
        </w:tc>
        <w:tc>
          <w:tcPr>
            <w:tcW w:w="2126" w:type="dxa"/>
            <w:tcBorders>
              <w:top w:val="nil"/>
              <w:left w:val="nil"/>
              <w:bottom w:val="single" w:sz="4" w:space="0" w:color="auto"/>
              <w:right w:val="single" w:sz="4" w:space="0" w:color="auto"/>
            </w:tcBorders>
            <w:shd w:val="clear" w:color="000000" w:fill="FFFFFF"/>
            <w:vAlign w:val="center"/>
            <w:hideMark/>
          </w:tcPr>
          <w:p w14:paraId="231A81AC" w14:textId="0F21D164" w:rsidR="00C336A3" w:rsidRPr="0053555E" w:rsidRDefault="00C336A3" w:rsidP="00C336A3">
            <w:pPr>
              <w:jc w:val="center"/>
              <w:rPr>
                <w:rFonts w:asciiTheme="majorHAnsi" w:hAnsiTheme="majorHAnsi" w:cstheme="majorHAnsi"/>
                <w:sz w:val="22"/>
                <w:szCs w:val="22"/>
              </w:rPr>
            </w:pPr>
            <w:r w:rsidRPr="0053555E">
              <w:rPr>
                <w:rFonts w:cs="Calibri"/>
                <w:sz w:val="22"/>
                <w:szCs w:val="22"/>
              </w:rPr>
              <w:t>10 976</w:t>
            </w:r>
          </w:p>
        </w:tc>
        <w:tc>
          <w:tcPr>
            <w:tcW w:w="2694" w:type="dxa"/>
            <w:tcBorders>
              <w:top w:val="nil"/>
              <w:left w:val="nil"/>
              <w:bottom w:val="single" w:sz="4" w:space="0" w:color="auto"/>
              <w:right w:val="single" w:sz="4" w:space="0" w:color="auto"/>
            </w:tcBorders>
            <w:shd w:val="clear" w:color="000000" w:fill="FFFFFF"/>
            <w:vAlign w:val="center"/>
            <w:hideMark/>
          </w:tcPr>
          <w:p w14:paraId="4AED5A08" w14:textId="57CF1F5A" w:rsidR="00C336A3" w:rsidRPr="0053555E" w:rsidRDefault="00C336A3" w:rsidP="00C336A3">
            <w:pPr>
              <w:jc w:val="center"/>
              <w:rPr>
                <w:rFonts w:asciiTheme="majorHAnsi" w:hAnsiTheme="majorHAnsi" w:cstheme="majorHAnsi"/>
                <w:sz w:val="22"/>
                <w:szCs w:val="22"/>
              </w:rPr>
            </w:pPr>
            <w:r w:rsidRPr="0053555E">
              <w:rPr>
                <w:rFonts w:cs="Calibri"/>
                <w:sz w:val="22"/>
                <w:szCs w:val="22"/>
              </w:rPr>
              <w:t>207</w:t>
            </w:r>
          </w:p>
        </w:tc>
        <w:tc>
          <w:tcPr>
            <w:tcW w:w="2693" w:type="dxa"/>
            <w:tcBorders>
              <w:top w:val="nil"/>
              <w:left w:val="nil"/>
              <w:bottom w:val="single" w:sz="4" w:space="0" w:color="auto"/>
              <w:right w:val="single" w:sz="4" w:space="0" w:color="auto"/>
            </w:tcBorders>
            <w:shd w:val="clear" w:color="auto" w:fill="auto"/>
            <w:vAlign w:val="center"/>
            <w:hideMark/>
          </w:tcPr>
          <w:p w14:paraId="0EA3C7BD" w14:textId="0E544F7C" w:rsidR="00C336A3" w:rsidRPr="0053555E" w:rsidRDefault="00C336A3" w:rsidP="00C336A3">
            <w:pPr>
              <w:jc w:val="center"/>
              <w:rPr>
                <w:rFonts w:asciiTheme="majorHAnsi" w:hAnsiTheme="majorHAnsi" w:cstheme="majorHAnsi"/>
                <w:sz w:val="22"/>
                <w:szCs w:val="22"/>
              </w:rPr>
            </w:pPr>
            <w:r w:rsidRPr="0053555E">
              <w:rPr>
                <w:rFonts w:cs="Calibri"/>
                <w:sz w:val="22"/>
                <w:szCs w:val="22"/>
              </w:rPr>
              <w:t>1,89</w:t>
            </w:r>
            <w:r w:rsidR="00C02E4A" w:rsidRPr="0053555E">
              <w:rPr>
                <w:rFonts w:cs="Calibri"/>
                <w:sz w:val="22"/>
                <w:szCs w:val="22"/>
              </w:rPr>
              <w:t xml:space="preserve"> </w:t>
            </w:r>
            <w:r w:rsidRPr="0053555E">
              <w:rPr>
                <w:rFonts w:cs="Calibri"/>
                <w:sz w:val="22"/>
                <w:szCs w:val="22"/>
              </w:rPr>
              <w:t>%</w:t>
            </w:r>
          </w:p>
        </w:tc>
      </w:tr>
      <w:tr w:rsidR="00C336A3" w:rsidRPr="0053555E" w14:paraId="23C0EB6F" w14:textId="77777777" w:rsidTr="004F65B0">
        <w:trPr>
          <w:trHeight w:val="20"/>
        </w:trPr>
        <w:tc>
          <w:tcPr>
            <w:tcW w:w="1843" w:type="dxa"/>
            <w:tcBorders>
              <w:top w:val="nil"/>
              <w:left w:val="single" w:sz="4" w:space="0" w:color="auto"/>
              <w:bottom w:val="single" w:sz="4" w:space="0" w:color="auto"/>
              <w:right w:val="single" w:sz="4" w:space="0" w:color="auto"/>
            </w:tcBorders>
            <w:shd w:val="clear" w:color="000000" w:fill="FFFFFF"/>
            <w:vAlign w:val="center"/>
          </w:tcPr>
          <w:p w14:paraId="74BAF6B7" w14:textId="6770A7C6" w:rsidR="00C336A3" w:rsidRPr="0053555E" w:rsidRDefault="00C336A3" w:rsidP="00C336A3">
            <w:pPr>
              <w:jc w:val="center"/>
              <w:rPr>
                <w:rFonts w:cs="Calibri"/>
                <w:sz w:val="22"/>
                <w:szCs w:val="22"/>
              </w:rPr>
            </w:pPr>
            <w:r w:rsidRPr="0053555E">
              <w:rPr>
                <w:rFonts w:cs="Calibri"/>
                <w:sz w:val="22"/>
                <w:szCs w:val="22"/>
              </w:rPr>
              <w:t>2020/2021</w:t>
            </w:r>
          </w:p>
        </w:tc>
        <w:tc>
          <w:tcPr>
            <w:tcW w:w="2126" w:type="dxa"/>
            <w:tcBorders>
              <w:top w:val="nil"/>
              <w:left w:val="nil"/>
              <w:bottom w:val="single" w:sz="4" w:space="0" w:color="auto"/>
              <w:right w:val="single" w:sz="4" w:space="0" w:color="auto"/>
            </w:tcBorders>
            <w:shd w:val="clear" w:color="000000" w:fill="FFFFFF"/>
            <w:vAlign w:val="center"/>
          </w:tcPr>
          <w:p w14:paraId="4397C5AA" w14:textId="45B9BFFF" w:rsidR="00C336A3" w:rsidRPr="0053555E" w:rsidRDefault="00C336A3" w:rsidP="00C336A3">
            <w:pPr>
              <w:jc w:val="center"/>
              <w:rPr>
                <w:rFonts w:asciiTheme="majorHAnsi" w:hAnsiTheme="majorHAnsi" w:cstheme="majorHAnsi"/>
                <w:sz w:val="22"/>
                <w:szCs w:val="22"/>
              </w:rPr>
            </w:pPr>
            <w:r w:rsidRPr="0053555E">
              <w:rPr>
                <w:rFonts w:cs="Calibri"/>
                <w:sz w:val="22"/>
                <w:szCs w:val="22"/>
              </w:rPr>
              <w:t>10 678</w:t>
            </w:r>
          </w:p>
        </w:tc>
        <w:tc>
          <w:tcPr>
            <w:tcW w:w="2694" w:type="dxa"/>
            <w:tcBorders>
              <w:top w:val="nil"/>
              <w:left w:val="nil"/>
              <w:bottom w:val="single" w:sz="4" w:space="0" w:color="auto"/>
              <w:right w:val="single" w:sz="4" w:space="0" w:color="auto"/>
            </w:tcBorders>
            <w:shd w:val="clear" w:color="000000" w:fill="FFFFFF"/>
            <w:vAlign w:val="center"/>
          </w:tcPr>
          <w:p w14:paraId="3086D5EA" w14:textId="72BDA2CD" w:rsidR="00C336A3" w:rsidRPr="0053555E" w:rsidRDefault="00C336A3" w:rsidP="00C336A3">
            <w:pPr>
              <w:jc w:val="center"/>
              <w:rPr>
                <w:rFonts w:asciiTheme="majorHAnsi" w:hAnsiTheme="majorHAnsi" w:cstheme="majorHAnsi"/>
                <w:sz w:val="22"/>
                <w:szCs w:val="22"/>
              </w:rPr>
            </w:pPr>
            <w:r w:rsidRPr="0053555E">
              <w:rPr>
                <w:rFonts w:cs="Calibri"/>
                <w:sz w:val="22"/>
                <w:szCs w:val="22"/>
              </w:rPr>
              <w:t>143</w:t>
            </w:r>
          </w:p>
        </w:tc>
        <w:tc>
          <w:tcPr>
            <w:tcW w:w="2693" w:type="dxa"/>
            <w:tcBorders>
              <w:top w:val="nil"/>
              <w:left w:val="nil"/>
              <w:bottom w:val="single" w:sz="4" w:space="0" w:color="auto"/>
              <w:right w:val="single" w:sz="4" w:space="0" w:color="auto"/>
            </w:tcBorders>
            <w:shd w:val="clear" w:color="auto" w:fill="auto"/>
            <w:vAlign w:val="center"/>
          </w:tcPr>
          <w:p w14:paraId="3FC92C9A" w14:textId="537A038A" w:rsidR="00C336A3" w:rsidRPr="0053555E" w:rsidRDefault="00C336A3" w:rsidP="00C336A3">
            <w:pPr>
              <w:jc w:val="center"/>
              <w:rPr>
                <w:rFonts w:asciiTheme="majorHAnsi" w:hAnsiTheme="majorHAnsi" w:cstheme="majorHAnsi"/>
                <w:sz w:val="22"/>
                <w:szCs w:val="22"/>
              </w:rPr>
            </w:pPr>
            <w:r w:rsidRPr="0053555E">
              <w:rPr>
                <w:rFonts w:cs="Calibri"/>
                <w:sz w:val="22"/>
                <w:szCs w:val="22"/>
              </w:rPr>
              <w:t>1,34</w:t>
            </w:r>
            <w:r w:rsidR="00C02E4A" w:rsidRPr="0053555E">
              <w:rPr>
                <w:rFonts w:cs="Calibri"/>
                <w:sz w:val="22"/>
                <w:szCs w:val="22"/>
              </w:rPr>
              <w:t xml:space="preserve"> </w:t>
            </w:r>
            <w:r w:rsidRPr="0053555E">
              <w:rPr>
                <w:rFonts w:cs="Calibri"/>
                <w:sz w:val="22"/>
                <w:szCs w:val="22"/>
              </w:rPr>
              <w:t>%</w:t>
            </w:r>
          </w:p>
        </w:tc>
      </w:tr>
      <w:tr w:rsidR="00C336A3" w:rsidRPr="0053555E" w14:paraId="4B0BC007" w14:textId="77777777" w:rsidTr="004F65B0">
        <w:trPr>
          <w:trHeight w:val="20"/>
        </w:trPr>
        <w:tc>
          <w:tcPr>
            <w:tcW w:w="1843" w:type="dxa"/>
            <w:tcBorders>
              <w:top w:val="nil"/>
              <w:left w:val="single" w:sz="4" w:space="0" w:color="auto"/>
              <w:bottom w:val="single" w:sz="4" w:space="0" w:color="auto"/>
              <w:right w:val="single" w:sz="4" w:space="0" w:color="auto"/>
            </w:tcBorders>
            <w:shd w:val="clear" w:color="auto" w:fill="EEECE1" w:themeFill="background2"/>
            <w:vAlign w:val="center"/>
            <w:hideMark/>
          </w:tcPr>
          <w:p w14:paraId="3B14D2D9" w14:textId="76D7A890" w:rsidR="00C336A3" w:rsidRPr="0053555E" w:rsidRDefault="00C336A3" w:rsidP="00C336A3">
            <w:pPr>
              <w:jc w:val="center"/>
              <w:rPr>
                <w:rFonts w:cs="Calibri"/>
                <w:b/>
                <w:sz w:val="22"/>
                <w:szCs w:val="22"/>
              </w:rPr>
            </w:pPr>
            <w:r w:rsidRPr="0053555E">
              <w:rPr>
                <w:rFonts w:cs="Calibri"/>
                <w:b/>
                <w:bCs/>
                <w:sz w:val="22"/>
                <w:szCs w:val="22"/>
              </w:rPr>
              <w:t>2021/2022</w:t>
            </w:r>
          </w:p>
        </w:tc>
        <w:tc>
          <w:tcPr>
            <w:tcW w:w="2126" w:type="dxa"/>
            <w:tcBorders>
              <w:top w:val="nil"/>
              <w:left w:val="nil"/>
              <w:bottom w:val="single" w:sz="4" w:space="0" w:color="auto"/>
              <w:right w:val="single" w:sz="4" w:space="0" w:color="auto"/>
            </w:tcBorders>
            <w:shd w:val="clear" w:color="auto" w:fill="EEECE1" w:themeFill="background2"/>
            <w:vAlign w:val="center"/>
            <w:hideMark/>
          </w:tcPr>
          <w:p w14:paraId="28E99A49" w14:textId="73826E0C" w:rsidR="00C336A3" w:rsidRPr="0053555E" w:rsidRDefault="00C336A3" w:rsidP="00C336A3">
            <w:pPr>
              <w:jc w:val="center"/>
              <w:rPr>
                <w:rFonts w:asciiTheme="majorHAnsi" w:hAnsiTheme="majorHAnsi" w:cstheme="majorHAnsi"/>
                <w:b/>
                <w:bCs/>
                <w:sz w:val="22"/>
                <w:szCs w:val="22"/>
              </w:rPr>
            </w:pPr>
            <w:r w:rsidRPr="0053555E">
              <w:rPr>
                <w:rFonts w:cs="Calibri"/>
                <w:b/>
                <w:bCs/>
                <w:sz w:val="22"/>
                <w:szCs w:val="22"/>
              </w:rPr>
              <w:t>10 543</w:t>
            </w:r>
          </w:p>
        </w:tc>
        <w:tc>
          <w:tcPr>
            <w:tcW w:w="2694" w:type="dxa"/>
            <w:tcBorders>
              <w:top w:val="nil"/>
              <w:left w:val="nil"/>
              <w:bottom w:val="single" w:sz="4" w:space="0" w:color="auto"/>
              <w:right w:val="single" w:sz="4" w:space="0" w:color="auto"/>
            </w:tcBorders>
            <w:shd w:val="clear" w:color="auto" w:fill="EEECE1" w:themeFill="background2"/>
            <w:vAlign w:val="center"/>
            <w:hideMark/>
          </w:tcPr>
          <w:p w14:paraId="24D0B8FD" w14:textId="2E9A14F5" w:rsidR="00C336A3" w:rsidRPr="0053555E" w:rsidRDefault="00C336A3" w:rsidP="00C336A3">
            <w:pPr>
              <w:jc w:val="center"/>
              <w:rPr>
                <w:rFonts w:asciiTheme="majorHAnsi" w:hAnsiTheme="majorHAnsi" w:cstheme="majorHAnsi"/>
                <w:b/>
                <w:bCs/>
                <w:sz w:val="22"/>
                <w:szCs w:val="22"/>
              </w:rPr>
            </w:pPr>
            <w:r w:rsidRPr="0053555E">
              <w:rPr>
                <w:rFonts w:cs="Calibri"/>
                <w:b/>
                <w:bCs/>
                <w:sz w:val="22"/>
                <w:szCs w:val="22"/>
              </w:rPr>
              <w:t>252</w:t>
            </w:r>
          </w:p>
        </w:tc>
        <w:tc>
          <w:tcPr>
            <w:tcW w:w="2693" w:type="dxa"/>
            <w:tcBorders>
              <w:top w:val="nil"/>
              <w:left w:val="nil"/>
              <w:bottom w:val="single" w:sz="4" w:space="0" w:color="auto"/>
              <w:right w:val="single" w:sz="4" w:space="0" w:color="auto"/>
            </w:tcBorders>
            <w:shd w:val="clear" w:color="auto" w:fill="EEECE1" w:themeFill="background2"/>
            <w:vAlign w:val="center"/>
            <w:hideMark/>
          </w:tcPr>
          <w:p w14:paraId="76558CE9" w14:textId="0AE6A784" w:rsidR="00C336A3" w:rsidRPr="0053555E" w:rsidRDefault="00C336A3" w:rsidP="00C336A3">
            <w:pPr>
              <w:jc w:val="center"/>
              <w:rPr>
                <w:rFonts w:asciiTheme="majorHAnsi" w:hAnsiTheme="majorHAnsi" w:cstheme="majorHAnsi"/>
                <w:b/>
                <w:bCs/>
                <w:sz w:val="22"/>
                <w:szCs w:val="22"/>
              </w:rPr>
            </w:pPr>
            <w:r w:rsidRPr="0053555E">
              <w:rPr>
                <w:rFonts w:cs="Calibri"/>
                <w:b/>
                <w:bCs/>
                <w:sz w:val="22"/>
                <w:szCs w:val="22"/>
              </w:rPr>
              <w:t>2,39</w:t>
            </w:r>
            <w:r w:rsidR="00C02E4A" w:rsidRPr="0053555E">
              <w:rPr>
                <w:rFonts w:cs="Calibri"/>
                <w:b/>
                <w:bCs/>
                <w:sz w:val="22"/>
                <w:szCs w:val="22"/>
              </w:rPr>
              <w:t xml:space="preserve"> </w:t>
            </w:r>
            <w:r w:rsidRPr="0053555E">
              <w:rPr>
                <w:rFonts w:cs="Calibri"/>
                <w:b/>
                <w:bCs/>
                <w:sz w:val="22"/>
                <w:szCs w:val="22"/>
              </w:rPr>
              <w:t>%</w:t>
            </w:r>
          </w:p>
        </w:tc>
      </w:tr>
    </w:tbl>
    <w:p w14:paraId="1CD2B046" w14:textId="77777777" w:rsidR="005C1089" w:rsidRPr="0053555E" w:rsidRDefault="005C1089" w:rsidP="00324438">
      <w:pPr>
        <w:tabs>
          <w:tab w:val="left" w:pos="9356"/>
        </w:tabs>
        <w:ind w:right="-2"/>
        <w:jc w:val="both"/>
        <w:rPr>
          <w:rFonts w:asciiTheme="majorHAnsi" w:eastAsia="Calibri" w:hAnsiTheme="majorHAnsi" w:cstheme="majorHAnsi"/>
        </w:rPr>
      </w:pPr>
    </w:p>
    <w:p w14:paraId="657C2362" w14:textId="77777777" w:rsidR="005C1089" w:rsidRPr="0053555E" w:rsidRDefault="005C1089" w:rsidP="00324438">
      <w:pPr>
        <w:tabs>
          <w:tab w:val="left" w:pos="9356"/>
        </w:tabs>
        <w:ind w:right="-2"/>
        <w:jc w:val="both"/>
        <w:rPr>
          <w:rFonts w:asciiTheme="majorHAnsi" w:eastAsia="Calibri" w:hAnsiTheme="majorHAnsi" w:cstheme="majorHAnsi"/>
        </w:rPr>
      </w:pPr>
    </w:p>
    <w:p w14:paraId="66666647" w14:textId="1BCB6122" w:rsidR="002071AC" w:rsidRPr="0053555E" w:rsidRDefault="008A6EEE" w:rsidP="000E3322">
      <w:pPr>
        <w:pStyle w:val="Popis"/>
      </w:pPr>
      <w:bookmarkStart w:id="88" w:name="_Ref31712406"/>
      <w:bookmarkStart w:id="89" w:name="_Toc127593283"/>
      <w:r w:rsidRPr="0053555E">
        <w:t xml:space="preserve">Tab. č. </w:t>
      </w:r>
      <w:r w:rsidR="007B5953">
        <w:fldChar w:fldCharType="begin"/>
      </w:r>
      <w:r w:rsidR="007B5953">
        <w:instrText xml:space="preserve"> SEQ Tab._č. \* ARABIC </w:instrText>
      </w:r>
      <w:r w:rsidR="007B5953">
        <w:fldChar w:fldCharType="separate"/>
      </w:r>
      <w:r w:rsidR="00EE1B59">
        <w:rPr>
          <w:noProof/>
        </w:rPr>
        <w:t>20</w:t>
      </w:r>
      <w:r w:rsidR="007B5953">
        <w:rPr>
          <w:noProof/>
        </w:rPr>
        <w:fldChar w:fldCharType="end"/>
      </w:r>
      <w:bookmarkEnd w:id="88"/>
      <w:r w:rsidRPr="0053555E">
        <w:t>:</w:t>
      </w:r>
      <w:r w:rsidR="002071AC" w:rsidRPr="0053555E">
        <w:t xml:space="preserve"> </w:t>
      </w:r>
      <w:r w:rsidR="001B2CC5" w:rsidRPr="0053555E">
        <w:t xml:space="preserve">Medzinárodné </w:t>
      </w:r>
      <w:r w:rsidR="009F1FD6" w:rsidRPr="0053555E">
        <w:t xml:space="preserve">akademické </w:t>
      </w:r>
      <w:r w:rsidR="001B2CC5" w:rsidRPr="0053555E">
        <w:t>m</w:t>
      </w:r>
      <w:r w:rsidR="002071AC" w:rsidRPr="0053555E">
        <w:t xml:space="preserve">obility na STU za </w:t>
      </w:r>
      <w:r w:rsidR="009B67FF" w:rsidRPr="0053555E">
        <w:t xml:space="preserve">ostatných sedem </w:t>
      </w:r>
      <w:r w:rsidR="0041462B" w:rsidRPr="0053555E">
        <w:t>akademick</w:t>
      </w:r>
      <w:r w:rsidR="009B67FF" w:rsidRPr="0053555E">
        <w:t>ých</w:t>
      </w:r>
      <w:r w:rsidR="0041462B" w:rsidRPr="0053555E">
        <w:t xml:space="preserve"> </w:t>
      </w:r>
      <w:r w:rsidR="002071AC" w:rsidRPr="0053555E">
        <w:t>rok</w:t>
      </w:r>
      <w:r w:rsidR="009B67FF" w:rsidRPr="0053555E">
        <w:t>ov</w:t>
      </w:r>
      <w:bookmarkEnd w:id="89"/>
    </w:p>
    <w:tbl>
      <w:tblPr>
        <w:tblW w:w="9371" w:type="dxa"/>
        <w:tblInd w:w="55" w:type="dxa"/>
        <w:tblLayout w:type="fixed"/>
        <w:tblCellMar>
          <w:left w:w="70" w:type="dxa"/>
          <w:right w:w="70" w:type="dxa"/>
        </w:tblCellMar>
        <w:tblLook w:val="04A0" w:firstRow="1" w:lastRow="0" w:firstColumn="1" w:lastColumn="0" w:noHBand="0" w:noVBand="1"/>
      </w:tblPr>
      <w:tblGrid>
        <w:gridCol w:w="1216"/>
        <w:gridCol w:w="992"/>
        <w:gridCol w:w="567"/>
        <w:gridCol w:w="784"/>
        <w:gridCol w:w="614"/>
        <w:gridCol w:w="729"/>
        <w:gridCol w:w="992"/>
        <w:gridCol w:w="522"/>
        <w:gridCol w:w="970"/>
        <w:gridCol w:w="567"/>
        <w:gridCol w:w="679"/>
        <w:gridCol w:w="739"/>
      </w:tblGrid>
      <w:tr w:rsidR="00BC2388" w:rsidRPr="0053555E" w14:paraId="3207AF89" w14:textId="77777777" w:rsidTr="00606813">
        <w:trPr>
          <w:trHeight w:val="255"/>
        </w:trPr>
        <w:tc>
          <w:tcPr>
            <w:tcW w:w="12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6E9F6B" w14:textId="77777777" w:rsidR="007437C1" w:rsidRPr="0053555E" w:rsidRDefault="007437C1" w:rsidP="007437C1">
            <w:pPr>
              <w:tabs>
                <w:tab w:val="left" w:pos="9356"/>
              </w:tabs>
              <w:jc w:val="center"/>
              <w:rPr>
                <w:rFonts w:asciiTheme="majorHAnsi" w:eastAsia="Times New Roman" w:hAnsiTheme="majorHAnsi" w:cstheme="majorHAnsi"/>
                <w:bCs/>
                <w:sz w:val="22"/>
                <w:szCs w:val="20"/>
                <w:lang w:eastAsia="sk-SK"/>
              </w:rPr>
            </w:pPr>
            <w:r w:rsidRPr="0053555E">
              <w:rPr>
                <w:rFonts w:asciiTheme="majorHAnsi" w:eastAsia="Times New Roman" w:hAnsiTheme="majorHAnsi" w:cstheme="majorHAnsi"/>
                <w:bCs/>
                <w:sz w:val="22"/>
                <w:szCs w:val="20"/>
                <w:lang w:eastAsia="sk-SK"/>
              </w:rPr>
              <w:t>akademický</w:t>
            </w:r>
          </w:p>
          <w:p w14:paraId="0BE67563" w14:textId="77777777" w:rsidR="00BC2388" w:rsidRPr="0053555E" w:rsidRDefault="007437C1" w:rsidP="007437C1">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2"/>
                <w:szCs w:val="20"/>
                <w:lang w:eastAsia="sk-SK"/>
              </w:rPr>
              <w:t>rok</w:t>
            </w:r>
          </w:p>
        </w:tc>
        <w:tc>
          <w:tcPr>
            <w:tcW w:w="3686" w:type="dxa"/>
            <w:gridSpan w:val="5"/>
            <w:tcBorders>
              <w:top w:val="single" w:sz="4" w:space="0" w:color="000000"/>
              <w:left w:val="nil"/>
              <w:bottom w:val="single" w:sz="4" w:space="0" w:color="000000"/>
              <w:right w:val="single" w:sz="4" w:space="0" w:color="000000"/>
            </w:tcBorders>
            <w:shd w:val="clear" w:color="auto" w:fill="auto"/>
            <w:vAlign w:val="center"/>
            <w:hideMark/>
          </w:tcPr>
          <w:p w14:paraId="2331FC35" w14:textId="77777777" w:rsidR="00BC2388" w:rsidRPr="0053555E" w:rsidRDefault="00131675" w:rsidP="00324438">
            <w:pPr>
              <w:tabs>
                <w:tab w:val="left" w:pos="9356"/>
              </w:tabs>
              <w:jc w:val="center"/>
              <w:rPr>
                <w:rFonts w:asciiTheme="majorHAnsi" w:eastAsia="Times New Roman" w:hAnsiTheme="majorHAnsi" w:cstheme="majorHAnsi"/>
                <w:b/>
                <w:bCs/>
                <w:sz w:val="22"/>
                <w:szCs w:val="20"/>
                <w:lang w:eastAsia="sk-SK"/>
              </w:rPr>
            </w:pPr>
            <w:r w:rsidRPr="0053555E">
              <w:rPr>
                <w:rFonts w:asciiTheme="majorHAnsi" w:eastAsia="Times New Roman" w:hAnsiTheme="majorHAnsi" w:cstheme="majorHAnsi"/>
                <w:b/>
                <w:bCs/>
                <w:sz w:val="22"/>
                <w:szCs w:val="20"/>
                <w:lang w:eastAsia="sk-SK"/>
              </w:rPr>
              <w:t>vyslaní študenti</w:t>
            </w:r>
          </w:p>
        </w:tc>
        <w:tc>
          <w:tcPr>
            <w:tcW w:w="3730" w:type="dxa"/>
            <w:gridSpan w:val="5"/>
            <w:tcBorders>
              <w:top w:val="single" w:sz="4" w:space="0" w:color="000000"/>
              <w:left w:val="nil"/>
              <w:bottom w:val="single" w:sz="4" w:space="0" w:color="000000"/>
              <w:right w:val="single" w:sz="4" w:space="0" w:color="000000"/>
            </w:tcBorders>
            <w:shd w:val="clear" w:color="auto" w:fill="auto"/>
            <w:vAlign w:val="center"/>
            <w:hideMark/>
          </w:tcPr>
          <w:p w14:paraId="4FA546CC" w14:textId="77777777" w:rsidR="00BC2388" w:rsidRPr="0053555E" w:rsidRDefault="00131675" w:rsidP="00324438">
            <w:pPr>
              <w:tabs>
                <w:tab w:val="left" w:pos="9356"/>
              </w:tabs>
              <w:jc w:val="center"/>
              <w:rPr>
                <w:rFonts w:asciiTheme="majorHAnsi" w:eastAsia="Times New Roman" w:hAnsiTheme="majorHAnsi" w:cstheme="majorHAnsi"/>
                <w:b/>
                <w:bCs/>
                <w:sz w:val="22"/>
                <w:szCs w:val="20"/>
                <w:lang w:eastAsia="sk-SK"/>
              </w:rPr>
            </w:pPr>
            <w:r w:rsidRPr="0053555E">
              <w:rPr>
                <w:rFonts w:asciiTheme="majorHAnsi" w:eastAsia="Times New Roman" w:hAnsiTheme="majorHAnsi" w:cstheme="majorHAnsi"/>
                <w:b/>
                <w:bCs/>
                <w:sz w:val="22"/>
                <w:szCs w:val="20"/>
                <w:lang w:eastAsia="sk-SK"/>
              </w:rPr>
              <w:t>prijatí študenti</w:t>
            </w:r>
          </w:p>
        </w:tc>
        <w:tc>
          <w:tcPr>
            <w:tcW w:w="739" w:type="dxa"/>
            <w:vMerge w:val="restart"/>
            <w:tcBorders>
              <w:top w:val="single" w:sz="4" w:space="0" w:color="000000"/>
              <w:left w:val="single" w:sz="4" w:space="0" w:color="000000"/>
              <w:right w:val="single" w:sz="4" w:space="0" w:color="000000"/>
            </w:tcBorders>
            <w:shd w:val="clear" w:color="auto" w:fill="auto"/>
            <w:vAlign w:val="center"/>
            <w:hideMark/>
          </w:tcPr>
          <w:p w14:paraId="1299D186" w14:textId="77777777" w:rsidR="00BC2388" w:rsidRPr="0053555E" w:rsidRDefault="00BC2388"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Spolu</w:t>
            </w:r>
          </w:p>
        </w:tc>
      </w:tr>
      <w:tr w:rsidR="00BC2388" w:rsidRPr="0053555E" w14:paraId="21CD9903" w14:textId="77777777" w:rsidTr="00606813">
        <w:trPr>
          <w:trHeight w:val="255"/>
        </w:trPr>
        <w:tc>
          <w:tcPr>
            <w:tcW w:w="1216" w:type="dxa"/>
            <w:vMerge/>
            <w:tcBorders>
              <w:top w:val="single" w:sz="4" w:space="0" w:color="000000"/>
              <w:left w:val="single" w:sz="4" w:space="0" w:color="000000"/>
              <w:bottom w:val="single" w:sz="4" w:space="0" w:color="000000"/>
              <w:right w:val="single" w:sz="4" w:space="0" w:color="000000"/>
            </w:tcBorders>
            <w:vAlign w:val="center"/>
            <w:hideMark/>
          </w:tcPr>
          <w:p w14:paraId="6BE5FAE6" w14:textId="77777777" w:rsidR="00BC2388" w:rsidRPr="0053555E" w:rsidRDefault="00BC2388" w:rsidP="00324438">
            <w:pPr>
              <w:tabs>
                <w:tab w:val="left" w:pos="9356"/>
              </w:tabs>
              <w:jc w:val="both"/>
              <w:rPr>
                <w:rFonts w:asciiTheme="majorHAnsi" w:eastAsia="Times New Roman" w:hAnsiTheme="majorHAnsi" w:cstheme="majorHAnsi"/>
                <w:b/>
                <w:bCs/>
                <w:sz w:val="20"/>
                <w:szCs w:val="20"/>
                <w:lang w:eastAsia="sk-SK"/>
              </w:rPr>
            </w:pPr>
          </w:p>
        </w:tc>
        <w:tc>
          <w:tcPr>
            <w:tcW w:w="992" w:type="dxa"/>
            <w:tcBorders>
              <w:top w:val="nil"/>
              <w:left w:val="nil"/>
              <w:bottom w:val="single" w:sz="4" w:space="0" w:color="000000"/>
              <w:right w:val="single" w:sz="4" w:space="0" w:color="000000"/>
            </w:tcBorders>
            <w:shd w:val="clear" w:color="auto" w:fill="auto"/>
            <w:vAlign w:val="center"/>
            <w:hideMark/>
          </w:tcPr>
          <w:p w14:paraId="70D74B7A" w14:textId="77777777" w:rsidR="00BC2388" w:rsidRPr="0053555E" w:rsidRDefault="00BC2388" w:rsidP="00324438">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Erasmus+</w:t>
            </w:r>
          </w:p>
        </w:tc>
        <w:tc>
          <w:tcPr>
            <w:tcW w:w="567" w:type="dxa"/>
            <w:tcBorders>
              <w:top w:val="nil"/>
              <w:left w:val="nil"/>
              <w:bottom w:val="single" w:sz="4" w:space="0" w:color="000000"/>
              <w:right w:val="single" w:sz="4" w:space="0" w:color="000000"/>
            </w:tcBorders>
            <w:shd w:val="clear" w:color="auto" w:fill="auto"/>
            <w:vAlign w:val="center"/>
            <w:hideMark/>
          </w:tcPr>
          <w:p w14:paraId="0E778654" w14:textId="77777777" w:rsidR="00BC2388" w:rsidRPr="0053555E" w:rsidRDefault="00BC2388" w:rsidP="00324438">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NŠP</w:t>
            </w:r>
          </w:p>
        </w:tc>
        <w:tc>
          <w:tcPr>
            <w:tcW w:w="784" w:type="dxa"/>
            <w:tcBorders>
              <w:top w:val="nil"/>
              <w:left w:val="nil"/>
              <w:bottom w:val="single" w:sz="4" w:space="0" w:color="000000"/>
              <w:right w:val="single" w:sz="4" w:space="0" w:color="000000"/>
            </w:tcBorders>
            <w:shd w:val="clear" w:color="auto" w:fill="auto"/>
            <w:vAlign w:val="center"/>
            <w:hideMark/>
          </w:tcPr>
          <w:p w14:paraId="1A68F380" w14:textId="77777777" w:rsidR="00BC2388" w:rsidRPr="0053555E" w:rsidRDefault="00BC2388" w:rsidP="00324438">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CEEPUS</w:t>
            </w:r>
          </w:p>
        </w:tc>
        <w:tc>
          <w:tcPr>
            <w:tcW w:w="614" w:type="dxa"/>
            <w:tcBorders>
              <w:top w:val="nil"/>
              <w:left w:val="nil"/>
              <w:bottom w:val="single" w:sz="4" w:space="0" w:color="000000"/>
              <w:right w:val="single" w:sz="4" w:space="0" w:color="000000"/>
            </w:tcBorders>
            <w:shd w:val="clear" w:color="auto" w:fill="auto"/>
            <w:vAlign w:val="center"/>
            <w:hideMark/>
          </w:tcPr>
          <w:p w14:paraId="475224B4" w14:textId="77777777" w:rsidR="00BC2388" w:rsidRPr="0053555E" w:rsidRDefault="00BC2388" w:rsidP="00324438">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iné</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14:paraId="3556F7DD" w14:textId="77777777" w:rsidR="00BC2388" w:rsidRPr="0053555E" w:rsidRDefault="00BC2388" w:rsidP="00324438">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spolu</w:t>
            </w:r>
          </w:p>
        </w:tc>
        <w:tc>
          <w:tcPr>
            <w:tcW w:w="992" w:type="dxa"/>
            <w:tcBorders>
              <w:top w:val="nil"/>
              <w:left w:val="nil"/>
              <w:bottom w:val="single" w:sz="4" w:space="0" w:color="000000"/>
              <w:right w:val="single" w:sz="4" w:space="0" w:color="000000"/>
            </w:tcBorders>
            <w:shd w:val="clear" w:color="auto" w:fill="auto"/>
            <w:vAlign w:val="center"/>
            <w:hideMark/>
          </w:tcPr>
          <w:p w14:paraId="646FB765" w14:textId="77777777" w:rsidR="00BC2388" w:rsidRPr="0053555E" w:rsidRDefault="00BC2388" w:rsidP="00324438">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Erasmus+</w:t>
            </w:r>
          </w:p>
        </w:tc>
        <w:tc>
          <w:tcPr>
            <w:tcW w:w="522" w:type="dxa"/>
            <w:tcBorders>
              <w:top w:val="nil"/>
              <w:left w:val="nil"/>
              <w:bottom w:val="single" w:sz="4" w:space="0" w:color="000000"/>
              <w:right w:val="single" w:sz="4" w:space="0" w:color="000000"/>
            </w:tcBorders>
            <w:shd w:val="clear" w:color="auto" w:fill="auto"/>
            <w:vAlign w:val="center"/>
            <w:hideMark/>
          </w:tcPr>
          <w:p w14:paraId="2CDB7CED" w14:textId="77777777" w:rsidR="00BC2388" w:rsidRPr="0053555E" w:rsidRDefault="00BC2388" w:rsidP="00324438">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NŠP</w:t>
            </w:r>
          </w:p>
        </w:tc>
        <w:tc>
          <w:tcPr>
            <w:tcW w:w="970" w:type="dxa"/>
            <w:tcBorders>
              <w:top w:val="nil"/>
              <w:left w:val="nil"/>
              <w:bottom w:val="single" w:sz="4" w:space="0" w:color="000000"/>
              <w:right w:val="single" w:sz="4" w:space="0" w:color="000000"/>
            </w:tcBorders>
            <w:shd w:val="clear" w:color="auto" w:fill="auto"/>
            <w:vAlign w:val="center"/>
            <w:hideMark/>
          </w:tcPr>
          <w:p w14:paraId="7B5464C3" w14:textId="77777777" w:rsidR="00BC2388" w:rsidRPr="0053555E" w:rsidRDefault="00BC2388" w:rsidP="00324438">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CEEPUS</w:t>
            </w:r>
          </w:p>
        </w:tc>
        <w:tc>
          <w:tcPr>
            <w:tcW w:w="567" w:type="dxa"/>
            <w:tcBorders>
              <w:top w:val="nil"/>
              <w:left w:val="nil"/>
              <w:bottom w:val="single" w:sz="4" w:space="0" w:color="000000"/>
              <w:right w:val="single" w:sz="4" w:space="0" w:color="000000"/>
            </w:tcBorders>
            <w:shd w:val="clear" w:color="auto" w:fill="auto"/>
            <w:vAlign w:val="center"/>
            <w:hideMark/>
          </w:tcPr>
          <w:p w14:paraId="6FAA96C8" w14:textId="77777777" w:rsidR="00BC2388" w:rsidRPr="0053555E" w:rsidRDefault="00BC2388" w:rsidP="00324438">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iné</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14:paraId="7E675FED" w14:textId="77777777" w:rsidR="00BC2388" w:rsidRPr="0053555E" w:rsidRDefault="00BC2388" w:rsidP="00324438">
            <w:pPr>
              <w:tabs>
                <w:tab w:val="left" w:pos="9356"/>
              </w:tabs>
              <w:jc w:val="center"/>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spolu</w:t>
            </w:r>
          </w:p>
        </w:tc>
        <w:tc>
          <w:tcPr>
            <w:tcW w:w="739" w:type="dxa"/>
            <w:vMerge/>
            <w:tcBorders>
              <w:left w:val="single" w:sz="4" w:space="0" w:color="000000"/>
              <w:bottom w:val="single" w:sz="4" w:space="0" w:color="000000"/>
              <w:right w:val="single" w:sz="4" w:space="0" w:color="000000"/>
            </w:tcBorders>
            <w:vAlign w:val="center"/>
            <w:hideMark/>
          </w:tcPr>
          <w:p w14:paraId="5ED80F3E" w14:textId="77777777" w:rsidR="00BC2388" w:rsidRPr="0053555E" w:rsidRDefault="00BC2388" w:rsidP="00324438">
            <w:pPr>
              <w:tabs>
                <w:tab w:val="left" w:pos="9356"/>
              </w:tabs>
              <w:jc w:val="center"/>
              <w:rPr>
                <w:rFonts w:asciiTheme="majorHAnsi" w:eastAsia="Times New Roman" w:hAnsiTheme="majorHAnsi" w:cstheme="majorHAnsi"/>
                <w:b/>
                <w:bCs/>
                <w:sz w:val="20"/>
                <w:szCs w:val="20"/>
                <w:lang w:eastAsia="sk-SK"/>
              </w:rPr>
            </w:pPr>
          </w:p>
        </w:tc>
      </w:tr>
      <w:tr w:rsidR="004F74D1" w:rsidRPr="0053555E" w14:paraId="19E73FD0" w14:textId="77777777" w:rsidTr="00606813">
        <w:trPr>
          <w:trHeight w:val="255"/>
        </w:trPr>
        <w:tc>
          <w:tcPr>
            <w:tcW w:w="1216" w:type="dxa"/>
            <w:tcBorders>
              <w:top w:val="nil"/>
              <w:left w:val="single" w:sz="4" w:space="0" w:color="000000"/>
              <w:bottom w:val="single" w:sz="4" w:space="0" w:color="000000"/>
              <w:right w:val="single" w:sz="4" w:space="0" w:color="000000"/>
            </w:tcBorders>
            <w:shd w:val="clear" w:color="auto" w:fill="auto"/>
            <w:vAlign w:val="center"/>
            <w:hideMark/>
          </w:tcPr>
          <w:p w14:paraId="6773D99C" w14:textId="740E72B4" w:rsidR="004F74D1" w:rsidRPr="0053555E" w:rsidRDefault="004F74D1" w:rsidP="004F74D1">
            <w:pPr>
              <w:rPr>
                <w:rFonts w:asciiTheme="majorHAnsi" w:hAnsiTheme="majorHAnsi" w:cstheme="majorHAnsi"/>
                <w:sz w:val="22"/>
                <w:szCs w:val="22"/>
              </w:rPr>
            </w:pPr>
            <w:r w:rsidRPr="0053555E">
              <w:rPr>
                <w:rFonts w:cs="Calibri"/>
                <w:sz w:val="22"/>
                <w:szCs w:val="20"/>
              </w:rPr>
              <w:t>2015/2016</w:t>
            </w:r>
          </w:p>
        </w:tc>
        <w:tc>
          <w:tcPr>
            <w:tcW w:w="992" w:type="dxa"/>
            <w:tcBorders>
              <w:top w:val="nil"/>
              <w:left w:val="nil"/>
              <w:bottom w:val="single" w:sz="4" w:space="0" w:color="000000"/>
              <w:right w:val="single" w:sz="4" w:space="0" w:color="000000"/>
            </w:tcBorders>
            <w:shd w:val="clear" w:color="auto" w:fill="auto"/>
            <w:vAlign w:val="center"/>
            <w:hideMark/>
          </w:tcPr>
          <w:p w14:paraId="6270277C" w14:textId="3CC7CB12" w:rsidR="004F74D1" w:rsidRPr="0053555E" w:rsidRDefault="004F74D1" w:rsidP="004F74D1">
            <w:pPr>
              <w:jc w:val="center"/>
              <w:rPr>
                <w:rFonts w:asciiTheme="majorHAnsi" w:hAnsiTheme="majorHAnsi" w:cstheme="majorHAnsi"/>
                <w:sz w:val="22"/>
                <w:szCs w:val="22"/>
              </w:rPr>
            </w:pPr>
            <w:r w:rsidRPr="0053555E">
              <w:rPr>
                <w:rFonts w:cs="Calibri"/>
                <w:sz w:val="22"/>
                <w:szCs w:val="20"/>
              </w:rPr>
              <w:t>280</w:t>
            </w:r>
          </w:p>
        </w:tc>
        <w:tc>
          <w:tcPr>
            <w:tcW w:w="567" w:type="dxa"/>
            <w:tcBorders>
              <w:top w:val="nil"/>
              <w:left w:val="nil"/>
              <w:bottom w:val="single" w:sz="4" w:space="0" w:color="000000"/>
              <w:right w:val="single" w:sz="4" w:space="0" w:color="000000"/>
            </w:tcBorders>
            <w:shd w:val="clear" w:color="auto" w:fill="auto"/>
            <w:vAlign w:val="center"/>
            <w:hideMark/>
          </w:tcPr>
          <w:p w14:paraId="03A7BCE2" w14:textId="6C2446F8" w:rsidR="004F74D1" w:rsidRPr="0053555E" w:rsidRDefault="004F74D1" w:rsidP="004F74D1">
            <w:pPr>
              <w:jc w:val="center"/>
              <w:rPr>
                <w:rFonts w:asciiTheme="majorHAnsi" w:hAnsiTheme="majorHAnsi" w:cstheme="majorHAnsi"/>
                <w:sz w:val="22"/>
                <w:szCs w:val="22"/>
              </w:rPr>
            </w:pPr>
            <w:r w:rsidRPr="0053555E">
              <w:rPr>
                <w:rFonts w:cs="Calibri"/>
                <w:sz w:val="22"/>
                <w:szCs w:val="20"/>
              </w:rPr>
              <w:t>9</w:t>
            </w:r>
          </w:p>
        </w:tc>
        <w:tc>
          <w:tcPr>
            <w:tcW w:w="784" w:type="dxa"/>
            <w:tcBorders>
              <w:top w:val="nil"/>
              <w:left w:val="nil"/>
              <w:bottom w:val="single" w:sz="4" w:space="0" w:color="000000"/>
              <w:right w:val="single" w:sz="4" w:space="0" w:color="000000"/>
            </w:tcBorders>
            <w:shd w:val="clear" w:color="auto" w:fill="auto"/>
            <w:vAlign w:val="center"/>
            <w:hideMark/>
          </w:tcPr>
          <w:p w14:paraId="5505CEBE" w14:textId="57C7D804" w:rsidR="004F74D1" w:rsidRPr="0053555E" w:rsidRDefault="004F74D1" w:rsidP="004F74D1">
            <w:pPr>
              <w:jc w:val="center"/>
              <w:rPr>
                <w:rFonts w:asciiTheme="majorHAnsi" w:hAnsiTheme="majorHAnsi" w:cstheme="majorHAnsi"/>
                <w:sz w:val="22"/>
                <w:szCs w:val="22"/>
              </w:rPr>
            </w:pPr>
            <w:r w:rsidRPr="0053555E">
              <w:rPr>
                <w:rFonts w:cs="Calibri"/>
                <w:sz w:val="22"/>
                <w:szCs w:val="20"/>
              </w:rPr>
              <w:t>35</w:t>
            </w:r>
          </w:p>
        </w:tc>
        <w:tc>
          <w:tcPr>
            <w:tcW w:w="614" w:type="dxa"/>
            <w:tcBorders>
              <w:top w:val="nil"/>
              <w:left w:val="nil"/>
              <w:bottom w:val="single" w:sz="4" w:space="0" w:color="000000"/>
              <w:right w:val="single" w:sz="4" w:space="0" w:color="000000"/>
            </w:tcBorders>
            <w:shd w:val="clear" w:color="auto" w:fill="auto"/>
            <w:vAlign w:val="center"/>
            <w:hideMark/>
          </w:tcPr>
          <w:p w14:paraId="5AD9220B" w14:textId="0BE09442" w:rsidR="004F74D1" w:rsidRPr="0053555E" w:rsidRDefault="004F74D1" w:rsidP="004F74D1">
            <w:pPr>
              <w:jc w:val="center"/>
              <w:rPr>
                <w:rFonts w:asciiTheme="majorHAnsi" w:hAnsiTheme="majorHAnsi" w:cstheme="majorHAnsi"/>
                <w:b/>
                <w:bCs/>
                <w:sz w:val="22"/>
                <w:szCs w:val="22"/>
              </w:rPr>
            </w:pPr>
            <w:r w:rsidRPr="0053555E">
              <w:rPr>
                <w:rFonts w:cs="Calibri"/>
                <w:sz w:val="22"/>
                <w:szCs w:val="20"/>
              </w:rPr>
              <w:t>30</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14:paraId="56FBE3B9" w14:textId="5AC81221"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354</w:t>
            </w:r>
          </w:p>
        </w:tc>
        <w:tc>
          <w:tcPr>
            <w:tcW w:w="992" w:type="dxa"/>
            <w:tcBorders>
              <w:top w:val="nil"/>
              <w:left w:val="nil"/>
              <w:bottom w:val="single" w:sz="4" w:space="0" w:color="000000"/>
              <w:right w:val="single" w:sz="4" w:space="0" w:color="000000"/>
            </w:tcBorders>
            <w:shd w:val="clear" w:color="auto" w:fill="auto"/>
            <w:vAlign w:val="center"/>
            <w:hideMark/>
          </w:tcPr>
          <w:p w14:paraId="185C2759" w14:textId="7FE60F05" w:rsidR="004F74D1" w:rsidRPr="0053555E" w:rsidRDefault="004F74D1" w:rsidP="004F74D1">
            <w:pPr>
              <w:jc w:val="center"/>
              <w:rPr>
                <w:rFonts w:asciiTheme="majorHAnsi" w:hAnsiTheme="majorHAnsi" w:cstheme="majorHAnsi"/>
                <w:sz w:val="22"/>
                <w:szCs w:val="22"/>
              </w:rPr>
            </w:pPr>
            <w:r w:rsidRPr="0053555E">
              <w:rPr>
                <w:rFonts w:cs="Calibri"/>
                <w:sz w:val="22"/>
                <w:szCs w:val="20"/>
              </w:rPr>
              <w:t>113</w:t>
            </w:r>
          </w:p>
        </w:tc>
        <w:tc>
          <w:tcPr>
            <w:tcW w:w="522" w:type="dxa"/>
            <w:tcBorders>
              <w:top w:val="nil"/>
              <w:left w:val="nil"/>
              <w:bottom w:val="single" w:sz="4" w:space="0" w:color="000000"/>
              <w:right w:val="single" w:sz="4" w:space="0" w:color="000000"/>
            </w:tcBorders>
            <w:shd w:val="clear" w:color="auto" w:fill="auto"/>
            <w:vAlign w:val="center"/>
            <w:hideMark/>
          </w:tcPr>
          <w:p w14:paraId="225E2D78" w14:textId="6E0D8653" w:rsidR="004F74D1" w:rsidRPr="0053555E" w:rsidRDefault="004F74D1" w:rsidP="004F74D1">
            <w:pPr>
              <w:jc w:val="center"/>
              <w:rPr>
                <w:rFonts w:asciiTheme="majorHAnsi" w:hAnsiTheme="majorHAnsi" w:cstheme="majorHAnsi"/>
                <w:sz w:val="22"/>
                <w:szCs w:val="22"/>
              </w:rPr>
            </w:pPr>
            <w:r w:rsidRPr="0053555E">
              <w:rPr>
                <w:rFonts w:cs="Calibri"/>
                <w:sz w:val="22"/>
                <w:szCs w:val="20"/>
              </w:rPr>
              <w:t>2</w:t>
            </w:r>
          </w:p>
        </w:tc>
        <w:tc>
          <w:tcPr>
            <w:tcW w:w="970" w:type="dxa"/>
            <w:tcBorders>
              <w:top w:val="nil"/>
              <w:left w:val="nil"/>
              <w:bottom w:val="single" w:sz="4" w:space="0" w:color="000000"/>
              <w:right w:val="single" w:sz="4" w:space="0" w:color="000000"/>
            </w:tcBorders>
            <w:shd w:val="clear" w:color="auto" w:fill="auto"/>
            <w:vAlign w:val="center"/>
            <w:hideMark/>
          </w:tcPr>
          <w:p w14:paraId="1203078C" w14:textId="158A9D28" w:rsidR="004F74D1" w:rsidRPr="0053555E" w:rsidRDefault="004F74D1" w:rsidP="004F74D1">
            <w:pPr>
              <w:jc w:val="center"/>
              <w:rPr>
                <w:rFonts w:asciiTheme="majorHAnsi" w:hAnsiTheme="majorHAnsi" w:cstheme="majorHAnsi"/>
                <w:sz w:val="22"/>
                <w:szCs w:val="22"/>
              </w:rPr>
            </w:pPr>
            <w:r w:rsidRPr="0053555E">
              <w:rPr>
                <w:rFonts w:cs="Calibri"/>
                <w:sz w:val="22"/>
                <w:szCs w:val="20"/>
              </w:rPr>
              <w:t>19</w:t>
            </w:r>
          </w:p>
        </w:tc>
        <w:tc>
          <w:tcPr>
            <w:tcW w:w="567" w:type="dxa"/>
            <w:tcBorders>
              <w:top w:val="nil"/>
              <w:left w:val="nil"/>
              <w:bottom w:val="single" w:sz="4" w:space="0" w:color="000000"/>
              <w:right w:val="single" w:sz="4" w:space="0" w:color="000000"/>
            </w:tcBorders>
            <w:shd w:val="clear" w:color="auto" w:fill="auto"/>
            <w:vAlign w:val="center"/>
            <w:hideMark/>
          </w:tcPr>
          <w:p w14:paraId="19454D1E" w14:textId="18F6B96E" w:rsidR="004F74D1" w:rsidRPr="0053555E" w:rsidRDefault="004F74D1" w:rsidP="004F74D1">
            <w:pPr>
              <w:jc w:val="center"/>
              <w:rPr>
                <w:rFonts w:asciiTheme="majorHAnsi" w:hAnsiTheme="majorHAnsi" w:cstheme="majorHAnsi"/>
                <w:b/>
                <w:bCs/>
                <w:sz w:val="22"/>
                <w:szCs w:val="22"/>
              </w:rPr>
            </w:pPr>
            <w:r w:rsidRPr="0053555E">
              <w:rPr>
                <w:rFonts w:cs="Calibri"/>
                <w:sz w:val="22"/>
                <w:szCs w:val="20"/>
              </w:rPr>
              <w:t>34</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14:paraId="12AC47C6" w14:textId="10DE66CA"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168</w:t>
            </w:r>
          </w:p>
        </w:tc>
        <w:tc>
          <w:tcPr>
            <w:tcW w:w="739" w:type="dxa"/>
            <w:tcBorders>
              <w:top w:val="nil"/>
              <w:left w:val="nil"/>
              <w:bottom w:val="single" w:sz="4" w:space="0" w:color="000000"/>
              <w:right w:val="single" w:sz="4" w:space="0" w:color="000000"/>
            </w:tcBorders>
            <w:shd w:val="clear" w:color="auto" w:fill="auto"/>
            <w:vAlign w:val="center"/>
            <w:hideMark/>
          </w:tcPr>
          <w:p w14:paraId="764A4288" w14:textId="64243BFD"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522</w:t>
            </w:r>
          </w:p>
        </w:tc>
      </w:tr>
      <w:tr w:rsidR="004F74D1" w:rsidRPr="0053555E" w14:paraId="51B6C55D" w14:textId="77777777" w:rsidTr="00606813">
        <w:trPr>
          <w:trHeight w:val="255"/>
        </w:trPr>
        <w:tc>
          <w:tcPr>
            <w:tcW w:w="1216" w:type="dxa"/>
            <w:tcBorders>
              <w:top w:val="nil"/>
              <w:left w:val="single" w:sz="4" w:space="0" w:color="000000"/>
              <w:bottom w:val="single" w:sz="4" w:space="0" w:color="000000"/>
              <w:right w:val="single" w:sz="4" w:space="0" w:color="000000"/>
            </w:tcBorders>
            <w:shd w:val="clear" w:color="auto" w:fill="auto"/>
            <w:vAlign w:val="center"/>
            <w:hideMark/>
          </w:tcPr>
          <w:p w14:paraId="5787D153" w14:textId="6E3C9700" w:rsidR="004F74D1" w:rsidRPr="0053555E" w:rsidRDefault="004F74D1" w:rsidP="004F74D1">
            <w:pPr>
              <w:rPr>
                <w:rFonts w:asciiTheme="majorHAnsi" w:hAnsiTheme="majorHAnsi" w:cstheme="majorHAnsi"/>
                <w:sz w:val="22"/>
                <w:szCs w:val="22"/>
              </w:rPr>
            </w:pPr>
            <w:r w:rsidRPr="0053555E">
              <w:rPr>
                <w:rFonts w:cs="Calibri"/>
                <w:sz w:val="22"/>
                <w:szCs w:val="20"/>
              </w:rPr>
              <w:t>2016/2017</w:t>
            </w:r>
          </w:p>
        </w:tc>
        <w:tc>
          <w:tcPr>
            <w:tcW w:w="992" w:type="dxa"/>
            <w:tcBorders>
              <w:top w:val="nil"/>
              <w:left w:val="nil"/>
              <w:bottom w:val="single" w:sz="4" w:space="0" w:color="000000"/>
              <w:right w:val="single" w:sz="4" w:space="0" w:color="000000"/>
            </w:tcBorders>
            <w:shd w:val="clear" w:color="auto" w:fill="auto"/>
            <w:vAlign w:val="center"/>
            <w:hideMark/>
          </w:tcPr>
          <w:p w14:paraId="107630ED" w14:textId="4D70FBEF" w:rsidR="004F74D1" w:rsidRPr="0053555E" w:rsidRDefault="004F74D1" w:rsidP="004F74D1">
            <w:pPr>
              <w:jc w:val="center"/>
              <w:rPr>
                <w:rFonts w:asciiTheme="majorHAnsi" w:hAnsiTheme="majorHAnsi" w:cstheme="majorHAnsi"/>
                <w:sz w:val="22"/>
                <w:szCs w:val="22"/>
              </w:rPr>
            </w:pPr>
            <w:r w:rsidRPr="0053555E">
              <w:rPr>
                <w:rFonts w:cs="Calibri"/>
                <w:sz w:val="22"/>
                <w:szCs w:val="20"/>
              </w:rPr>
              <w:t>261</w:t>
            </w:r>
          </w:p>
        </w:tc>
        <w:tc>
          <w:tcPr>
            <w:tcW w:w="567" w:type="dxa"/>
            <w:tcBorders>
              <w:top w:val="nil"/>
              <w:left w:val="nil"/>
              <w:bottom w:val="single" w:sz="4" w:space="0" w:color="000000"/>
              <w:right w:val="single" w:sz="4" w:space="0" w:color="000000"/>
            </w:tcBorders>
            <w:shd w:val="clear" w:color="auto" w:fill="auto"/>
            <w:vAlign w:val="center"/>
            <w:hideMark/>
          </w:tcPr>
          <w:p w14:paraId="213FAA6C" w14:textId="2F6213F6" w:rsidR="004F74D1" w:rsidRPr="0053555E" w:rsidRDefault="004F74D1" w:rsidP="004F74D1">
            <w:pPr>
              <w:jc w:val="center"/>
              <w:rPr>
                <w:rFonts w:asciiTheme="majorHAnsi" w:hAnsiTheme="majorHAnsi" w:cstheme="majorHAnsi"/>
                <w:sz w:val="22"/>
                <w:szCs w:val="22"/>
              </w:rPr>
            </w:pPr>
            <w:r w:rsidRPr="0053555E">
              <w:rPr>
                <w:rFonts w:cs="Calibri"/>
                <w:sz w:val="22"/>
                <w:szCs w:val="20"/>
              </w:rPr>
              <w:t>5</w:t>
            </w:r>
          </w:p>
        </w:tc>
        <w:tc>
          <w:tcPr>
            <w:tcW w:w="784" w:type="dxa"/>
            <w:tcBorders>
              <w:top w:val="nil"/>
              <w:left w:val="nil"/>
              <w:bottom w:val="single" w:sz="4" w:space="0" w:color="000000"/>
              <w:right w:val="single" w:sz="4" w:space="0" w:color="000000"/>
            </w:tcBorders>
            <w:shd w:val="clear" w:color="auto" w:fill="auto"/>
            <w:vAlign w:val="center"/>
            <w:hideMark/>
          </w:tcPr>
          <w:p w14:paraId="2279BF29" w14:textId="21CA144F" w:rsidR="004F74D1" w:rsidRPr="0053555E" w:rsidRDefault="004F74D1" w:rsidP="004F74D1">
            <w:pPr>
              <w:jc w:val="center"/>
              <w:rPr>
                <w:rFonts w:asciiTheme="majorHAnsi" w:hAnsiTheme="majorHAnsi" w:cstheme="majorHAnsi"/>
                <w:sz w:val="22"/>
                <w:szCs w:val="22"/>
              </w:rPr>
            </w:pPr>
            <w:r w:rsidRPr="0053555E">
              <w:rPr>
                <w:rFonts w:cs="Calibri"/>
                <w:sz w:val="22"/>
                <w:szCs w:val="20"/>
              </w:rPr>
              <w:t>23</w:t>
            </w:r>
          </w:p>
        </w:tc>
        <w:tc>
          <w:tcPr>
            <w:tcW w:w="614" w:type="dxa"/>
            <w:tcBorders>
              <w:top w:val="nil"/>
              <w:left w:val="nil"/>
              <w:bottom w:val="single" w:sz="4" w:space="0" w:color="000000"/>
              <w:right w:val="single" w:sz="4" w:space="0" w:color="000000"/>
            </w:tcBorders>
            <w:shd w:val="clear" w:color="auto" w:fill="auto"/>
            <w:vAlign w:val="center"/>
            <w:hideMark/>
          </w:tcPr>
          <w:p w14:paraId="33A75E23" w14:textId="3D62D4F3" w:rsidR="004F74D1" w:rsidRPr="0053555E" w:rsidRDefault="004F74D1" w:rsidP="004F74D1">
            <w:pPr>
              <w:jc w:val="center"/>
              <w:rPr>
                <w:rFonts w:asciiTheme="majorHAnsi" w:hAnsiTheme="majorHAnsi" w:cstheme="majorHAnsi"/>
                <w:sz w:val="22"/>
                <w:szCs w:val="22"/>
              </w:rPr>
            </w:pPr>
            <w:r w:rsidRPr="0053555E">
              <w:rPr>
                <w:rFonts w:cs="Calibri"/>
                <w:sz w:val="22"/>
                <w:szCs w:val="20"/>
              </w:rPr>
              <w:t>21</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14:paraId="36D3412D" w14:textId="2011C53F"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310</w:t>
            </w:r>
          </w:p>
        </w:tc>
        <w:tc>
          <w:tcPr>
            <w:tcW w:w="992" w:type="dxa"/>
            <w:tcBorders>
              <w:top w:val="nil"/>
              <w:left w:val="nil"/>
              <w:bottom w:val="single" w:sz="4" w:space="0" w:color="000000"/>
              <w:right w:val="single" w:sz="4" w:space="0" w:color="000000"/>
            </w:tcBorders>
            <w:shd w:val="clear" w:color="auto" w:fill="auto"/>
            <w:vAlign w:val="center"/>
            <w:hideMark/>
          </w:tcPr>
          <w:p w14:paraId="61783ABB" w14:textId="05D96052" w:rsidR="004F74D1" w:rsidRPr="0053555E" w:rsidRDefault="004F74D1" w:rsidP="004F74D1">
            <w:pPr>
              <w:jc w:val="center"/>
              <w:rPr>
                <w:rFonts w:asciiTheme="majorHAnsi" w:hAnsiTheme="majorHAnsi" w:cstheme="majorHAnsi"/>
                <w:sz w:val="22"/>
                <w:szCs w:val="22"/>
              </w:rPr>
            </w:pPr>
            <w:r w:rsidRPr="0053555E">
              <w:rPr>
                <w:rFonts w:cs="Calibri"/>
                <w:sz w:val="22"/>
                <w:szCs w:val="20"/>
              </w:rPr>
              <w:t>157</w:t>
            </w:r>
          </w:p>
        </w:tc>
        <w:tc>
          <w:tcPr>
            <w:tcW w:w="522" w:type="dxa"/>
            <w:tcBorders>
              <w:top w:val="nil"/>
              <w:left w:val="nil"/>
              <w:bottom w:val="single" w:sz="4" w:space="0" w:color="000000"/>
              <w:right w:val="single" w:sz="4" w:space="0" w:color="000000"/>
            </w:tcBorders>
            <w:shd w:val="clear" w:color="auto" w:fill="auto"/>
            <w:vAlign w:val="center"/>
            <w:hideMark/>
          </w:tcPr>
          <w:p w14:paraId="5C71FA8A" w14:textId="5A2323F2" w:rsidR="004F74D1" w:rsidRPr="0053555E" w:rsidRDefault="004F74D1" w:rsidP="004F74D1">
            <w:pPr>
              <w:jc w:val="center"/>
              <w:rPr>
                <w:rFonts w:asciiTheme="majorHAnsi" w:hAnsiTheme="majorHAnsi" w:cstheme="majorHAnsi"/>
                <w:sz w:val="22"/>
                <w:szCs w:val="22"/>
              </w:rPr>
            </w:pPr>
            <w:r w:rsidRPr="0053555E">
              <w:rPr>
                <w:rFonts w:cs="Calibri"/>
                <w:sz w:val="22"/>
                <w:szCs w:val="20"/>
              </w:rPr>
              <w:t>10</w:t>
            </w:r>
          </w:p>
        </w:tc>
        <w:tc>
          <w:tcPr>
            <w:tcW w:w="970" w:type="dxa"/>
            <w:tcBorders>
              <w:top w:val="nil"/>
              <w:left w:val="nil"/>
              <w:bottom w:val="single" w:sz="4" w:space="0" w:color="000000"/>
              <w:right w:val="single" w:sz="4" w:space="0" w:color="000000"/>
            </w:tcBorders>
            <w:shd w:val="clear" w:color="auto" w:fill="auto"/>
            <w:vAlign w:val="center"/>
            <w:hideMark/>
          </w:tcPr>
          <w:p w14:paraId="1BA55B79" w14:textId="1C072768" w:rsidR="004F74D1" w:rsidRPr="0053555E" w:rsidRDefault="004F74D1" w:rsidP="004F74D1">
            <w:pPr>
              <w:jc w:val="center"/>
              <w:rPr>
                <w:rFonts w:asciiTheme="majorHAnsi" w:hAnsiTheme="majorHAnsi" w:cstheme="majorHAnsi"/>
                <w:sz w:val="22"/>
                <w:szCs w:val="22"/>
              </w:rPr>
            </w:pPr>
            <w:r w:rsidRPr="0053555E">
              <w:rPr>
                <w:rFonts w:cs="Calibri"/>
                <w:sz w:val="22"/>
                <w:szCs w:val="20"/>
              </w:rPr>
              <w:t>8</w:t>
            </w:r>
          </w:p>
        </w:tc>
        <w:tc>
          <w:tcPr>
            <w:tcW w:w="567" w:type="dxa"/>
            <w:tcBorders>
              <w:top w:val="nil"/>
              <w:left w:val="nil"/>
              <w:bottom w:val="single" w:sz="4" w:space="0" w:color="000000"/>
              <w:right w:val="single" w:sz="4" w:space="0" w:color="000000"/>
            </w:tcBorders>
            <w:shd w:val="clear" w:color="auto" w:fill="auto"/>
            <w:vAlign w:val="center"/>
            <w:hideMark/>
          </w:tcPr>
          <w:p w14:paraId="31B2F48B" w14:textId="0A0914BD" w:rsidR="004F74D1" w:rsidRPr="0053555E" w:rsidRDefault="004F74D1" w:rsidP="004F74D1">
            <w:pPr>
              <w:jc w:val="center"/>
              <w:rPr>
                <w:rFonts w:asciiTheme="majorHAnsi" w:hAnsiTheme="majorHAnsi" w:cstheme="majorHAnsi"/>
                <w:sz w:val="22"/>
                <w:szCs w:val="22"/>
              </w:rPr>
            </w:pPr>
            <w:r w:rsidRPr="0053555E">
              <w:rPr>
                <w:rFonts w:cs="Calibri"/>
                <w:sz w:val="22"/>
                <w:szCs w:val="20"/>
              </w:rPr>
              <w:t>9</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14:paraId="395C4C31" w14:textId="1037F899"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184</w:t>
            </w:r>
          </w:p>
        </w:tc>
        <w:tc>
          <w:tcPr>
            <w:tcW w:w="739" w:type="dxa"/>
            <w:tcBorders>
              <w:top w:val="nil"/>
              <w:left w:val="nil"/>
              <w:bottom w:val="single" w:sz="4" w:space="0" w:color="000000"/>
              <w:right w:val="single" w:sz="4" w:space="0" w:color="000000"/>
            </w:tcBorders>
            <w:shd w:val="clear" w:color="auto" w:fill="auto"/>
            <w:vAlign w:val="center"/>
            <w:hideMark/>
          </w:tcPr>
          <w:p w14:paraId="24E3C985" w14:textId="57C4FC8D"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494</w:t>
            </w:r>
          </w:p>
        </w:tc>
      </w:tr>
      <w:tr w:rsidR="004F74D1" w:rsidRPr="0053555E" w14:paraId="6CED5691" w14:textId="77777777" w:rsidTr="00606813">
        <w:trPr>
          <w:trHeight w:val="255"/>
        </w:trPr>
        <w:tc>
          <w:tcPr>
            <w:tcW w:w="1216" w:type="dxa"/>
            <w:tcBorders>
              <w:top w:val="nil"/>
              <w:left w:val="single" w:sz="4" w:space="0" w:color="000000"/>
              <w:bottom w:val="single" w:sz="4" w:space="0" w:color="000000"/>
              <w:right w:val="single" w:sz="4" w:space="0" w:color="000000"/>
            </w:tcBorders>
            <w:shd w:val="clear" w:color="auto" w:fill="auto"/>
            <w:vAlign w:val="center"/>
          </w:tcPr>
          <w:p w14:paraId="6BBE56A7" w14:textId="5D98BFE5" w:rsidR="004F74D1" w:rsidRPr="0053555E" w:rsidRDefault="004F74D1" w:rsidP="004F74D1">
            <w:pPr>
              <w:rPr>
                <w:rFonts w:asciiTheme="majorHAnsi" w:hAnsiTheme="majorHAnsi" w:cstheme="majorHAnsi"/>
                <w:sz w:val="22"/>
                <w:szCs w:val="22"/>
              </w:rPr>
            </w:pPr>
            <w:r w:rsidRPr="0053555E">
              <w:rPr>
                <w:rFonts w:cs="Calibri"/>
                <w:sz w:val="22"/>
                <w:szCs w:val="20"/>
              </w:rPr>
              <w:t>2017/2018</w:t>
            </w:r>
          </w:p>
        </w:tc>
        <w:tc>
          <w:tcPr>
            <w:tcW w:w="992" w:type="dxa"/>
            <w:tcBorders>
              <w:top w:val="nil"/>
              <w:left w:val="nil"/>
              <w:bottom w:val="single" w:sz="4" w:space="0" w:color="000000"/>
              <w:right w:val="single" w:sz="4" w:space="0" w:color="000000"/>
            </w:tcBorders>
            <w:shd w:val="clear" w:color="auto" w:fill="auto"/>
            <w:vAlign w:val="center"/>
          </w:tcPr>
          <w:p w14:paraId="000F24A8" w14:textId="4357A2F8" w:rsidR="004F74D1" w:rsidRPr="0053555E" w:rsidRDefault="004F74D1" w:rsidP="004F74D1">
            <w:pPr>
              <w:jc w:val="center"/>
              <w:rPr>
                <w:rFonts w:asciiTheme="majorHAnsi" w:hAnsiTheme="majorHAnsi" w:cstheme="majorHAnsi"/>
                <w:sz w:val="22"/>
                <w:szCs w:val="22"/>
              </w:rPr>
            </w:pPr>
            <w:r w:rsidRPr="0053555E">
              <w:rPr>
                <w:rFonts w:cs="Calibri"/>
                <w:sz w:val="22"/>
                <w:szCs w:val="20"/>
              </w:rPr>
              <w:t>276</w:t>
            </w:r>
          </w:p>
        </w:tc>
        <w:tc>
          <w:tcPr>
            <w:tcW w:w="567" w:type="dxa"/>
            <w:tcBorders>
              <w:top w:val="nil"/>
              <w:left w:val="nil"/>
              <w:bottom w:val="single" w:sz="4" w:space="0" w:color="000000"/>
              <w:right w:val="single" w:sz="4" w:space="0" w:color="000000"/>
            </w:tcBorders>
            <w:shd w:val="clear" w:color="auto" w:fill="auto"/>
            <w:vAlign w:val="center"/>
          </w:tcPr>
          <w:p w14:paraId="5FFDE85E" w14:textId="580AF8F2" w:rsidR="004F74D1" w:rsidRPr="0053555E" w:rsidRDefault="004F74D1" w:rsidP="004F74D1">
            <w:pPr>
              <w:jc w:val="center"/>
              <w:rPr>
                <w:rFonts w:asciiTheme="majorHAnsi" w:hAnsiTheme="majorHAnsi" w:cstheme="majorHAnsi"/>
                <w:sz w:val="22"/>
                <w:szCs w:val="22"/>
              </w:rPr>
            </w:pPr>
            <w:r w:rsidRPr="0053555E">
              <w:rPr>
                <w:rFonts w:cs="Calibri"/>
                <w:sz w:val="22"/>
                <w:szCs w:val="20"/>
              </w:rPr>
              <w:t>7</w:t>
            </w:r>
          </w:p>
        </w:tc>
        <w:tc>
          <w:tcPr>
            <w:tcW w:w="784" w:type="dxa"/>
            <w:tcBorders>
              <w:top w:val="nil"/>
              <w:left w:val="nil"/>
              <w:bottom w:val="single" w:sz="4" w:space="0" w:color="000000"/>
              <w:right w:val="single" w:sz="4" w:space="0" w:color="000000"/>
            </w:tcBorders>
            <w:shd w:val="clear" w:color="auto" w:fill="auto"/>
            <w:vAlign w:val="center"/>
          </w:tcPr>
          <w:p w14:paraId="2AC845DA" w14:textId="08EFB42F" w:rsidR="004F74D1" w:rsidRPr="0053555E" w:rsidRDefault="004F74D1" w:rsidP="004F74D1">
            <w:pPr>
              <w:jc w:val="center"/>
              <w:rPr>
                <w:rFonts w:asciiTheme="majorHAnsi" w:hAnsiTheme="majorHAnsi" w:cstheme="majorHAnsi"/>
                <w:sz w:val="22"/>
                <w:szCs w:val="22"/>
              </w:rPr>
            </w:pPr>
            <w:r w:rsidRPr="0053555E">
              <w:rPr>
                <w:rFonts w:cs="Calibri"/>
                <w:sz w:val="22"/>
                <w:szCs w:val="20"/>
              </w:rPr>
              <w:t>20</w:t>
            </w:r>
          </w:p>
        </w:tc>
        <w:tc>
          <w:tcPr>
            <w:tcW w:w="614" w:type="dxa"/>
            <w:tcBorders>
              <w:top w:val="nil"/>
              <w:left w:val="nil"/>
              <w:bottom w:val="single" w:sz="4" w:space="0" w:color="000000"/>
              <w:right w:val="single" w:sz="4" w:space="0" w:color="000000"/>
            </w:tcBorders>
            <w:shd w:val="clear" w:color="auto" w:fill="auto"/>
            <w:vAlign w:val="center"/>
          </w:tcPr>
          <w:p w14:paraId="602C8C4B" w14:textId="28A2C100" w:rsidR="004F74D1" w:rsidRPr="0053555E" w:rsidRDefault="004F74D1" w:rsidP="004F74D1">
            <w:pPr>
              <w:jc w:val="center"/>
              <w:rPr>
                <w:rFonts w:asciiTheme="majorHAnsi" w:hAnsiTheme="majorHAnsi" w:cstheme="majorHAnsi"/>
                <w:sz w:val="22"/>
                <w:szCs w:val="22"/>
              </w:rPr>
            </w:pPr>
            <w:r w:rsidRPr="0053555E">
              <w:rPr>
                <w:rFonts w:cs="Calibri"/>
                <w:sz w:val="22"/>
                <w:szCs w:val="20"/>
              </w:rPr>
              <w:t>15</w:t>
            </w:r>
          </w:p>
        </w:tc>
        <w:tc>
          <w:tcPr>
            <w:tcW w:w="729" w:type="dxa"/>
            <w:tcBorders>
              <w:top w:val="nil"/>
              <w:left w:val="nil"/>
              <w:bottom w:val="single" w:sz="4" w:space="0" w:color="000000"/>
              <w:right w:val="single" w:sz="4" w:space="0" w:color="000000"/>
            </w:tcBorders>
            <w:shd w:val="clear" w:color="auto" w:fill="EEECE1" w:themeFill="background2"/>
            <w:vAlign w:val="center"/>
          </w:tcPr>
          <w:p w14:paraId="280EF9C1" w14:textId="6135A2C0"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318</w:t>
            </w:r>
          </w:p>
        </w:tc>
        <w:tc>
          <w:tcPr>
            <w:tcW w:w="992" w:type="dxa"/>
            <w:tcBorders>
              <w:top w:val="nil"/>
              <w:left w:val="nil"/>
              <w:bottom w:val="single" w:sz="4" w:space="0" w:color="000000"/>
              <w:right w:val="single" w:sz="4" w:space="0" w:color="000000"/>
            </w:tcBorders>
            <w:shd w:val="clear" w:color="auto" w:fill="auto"/>
            <w:vAlign w:val="center"/>
          </w:tcPr>
          <w:p w14:paraId="61903927" w14:textId="706A2956" w:rsidR="004F74D1" w:rsidRPr="0053555E" w:rsidRDefault="004F74D1" w:rsidP="004F74D1">
            <w:pPr>
              <w:jc w:val="center"/>
              <w:rPr>
                <w:rFonts w:asciiTheme="majorHAnsi" w:hAnsiTheme="majorHAnsi" w:cstheme="majorHAnsi"/>
                <w:sz w:val="22"/>
                <w:szCs w:val="22"/>
              </w:rPr>
            </w:pPr>
            <w:r w:rsidRPr="0053555E">
              <w:rPr>
                <w:rFonts w:cs="Calibri"/>
                <w:sz w:val="22"/>
                <w:szCs w:val="20"/>
              </w:rPr>
              <w:t>180</w:t>
            </w:r>
          </w:p>
        </w:tc>
        <w:tc>
          <w:tcPr>
            <w:tcW w:w="522" w:type="dxa"/>
            <w:tcBorders>
              <w:top w:val="nil"/>
              <w:left w:val="nil"/>
              <w:bottom w:val="single" w:sz="4" w:space="0" w:color="000000"/>
              <w:right w:val="single" w:sz="4" w:space="0" w:color="000000"/>
            </w:tcBorders>
            <w:shd w:val="clear" w:color="auto" w:fill="auto"/>
            <w:vAlign w:val="center"/>
          </w:tcPr>
          <w:p w14:paraId="74ED776A" w14:textId="02EB30CA" w:rsidR="004F74D1" w:rsidRPr="0053555E" w:rsidRDefault="004F74D1" w:rsidP="004F74D1">
            <w:pPr>
              <w:jc w:val="center"/>
              <w:rPr>
                <w:rFonts w:asciiTheme="majorHAnsi" w:hAnsiTheme="majorHAnsi" w:cstheme="majorHAnsi"/>
                <w:sz w:val="22"/>
                <w:szCs w:val="22"/>
              </w:rPr>
            </w:pPr>
            <w:r w:rsidRPr="0053555E">
              <w:rPr>
                <w:rFonts w:cs="Calibri"/>
                <w:sz w:val="22"/>
                <w:szCs w:val="20"/>
              </w:rPr>
              <w:t>2</w:t>
            </w:r>
          </w:p>
        </w:tc>
        <w:tc>
          <w:tcPr>
            <w:tcW w:w="970" w:type="dxa"/>
            <w:tcBorders>
              <w:top w:val="nil"/>
              <w:left w:val="nil"/>
              <w:bottom w:val="single" w:sz="4" w:space="0" w:color="000000"/>
              <w:right w:val="single" w:sz="4" w:space="0" w:color="000000"/>
            </w:tcBorders>
            <w:shd w:val="clear" w:color="auto" w:fill="auto"/>
            <w:vAlign w:val="center"/>
          </w:tcPr>
          <w:p w14:paraId="550B0D13" w14:textId="18452B01" w:rsidR="004F74D1" w:rsidRPr="0053555E" w:rsidRDefault="004F74D1" w:rsidP="004F74D1">
            <w:pPr>
              <w:jc w:val="center"/>
              <w:rPr>
                <w:rFonts w:asciiTheme="majorHAnsi" w:hAnsiTheme="majorHAnsi" w:cstheme="majorHAnsi"/>
                <w:sz w:val="22"/>
                <w:szCs w:val="22"/>
              </w:rPr>
            </w:pPr>
            <w:r w:rsidRPr="0053555E">
              <w:rPr>
                <w:rFonts w:cs="Calibri"/>
                <w:sz w:val="22"/>
                <w:szCs w:val="20"/>
              </w:rPr>
              <w:t>3</w:t>
            </w:r>
          </w:p>
        </w:tc>
        <w:tc>
          <w:tcPr>
            <w:tcW w:w="567" w:type="dxa"/>
            <w:tcBorders>
              <w:top w:val="nil"/>
              <w:left w:val="nil"/>
              <w:bottom w:val="single" w:sz="4" w:space="0" w:color="000000"/>
              <w:right w:val="single" w:sz="4" w:space="0" w:color="000000"/>
            </w:tcBorders>
            <w:shd w:val="clear" w:color="auto" w:fill="auto"/>
            <w:vAlign w:val="center"/>
          </w:tcPr>
          <w:p w14:paraId="24017D94" w14:textId="0BBC9A8A" w:rsidR="004F74D1" w:rsidRPr="0053555E" w:rsidRDefault="004F74D1" w:rsidP="004F74D1">
            <w:pPr>
              <w:jc w:val="center"/>
              <w:rPr>
                <w:rFonts w:asciiTheme="majorHAnsi" w:hAnsiTheme="majorHAnsi" w:cstheme="majorHAnsi"/>
                <w:sz w:val="22"/>
                <w:szCs w:val="22"/>
              </w:rPr>
            </w:pPr>
            <w:r w:rsidRPr="0053555E">
              <w:rPr>
                <w:rFonts w:cs="Calibri"/>
                <w:sz w:val="22"/>
                <w:szCs w:val="20"/>
              </w:rPr>
              <w:t>38</w:t>
            </w:r>
          </w:p>
        </w:tc>
        <w:tc>
          <w:tcPr>
            <w:tcW w:w="679" w:type="dxa"/>
            <w:tcBorders>
              <w:top w:val="nil"/>
              <w:left w:val="nil"/>
              <w:bottom w:val="single" w:sz="4" w:space="0" w:color="000000"/>
              <w:right w:val="single" w:sz="4" w:space="0" w:color="000000"/>
            </w:tcBorders>
            <w:shd w:val="clear" w:color="auto" w:fill="EEECE1" w:themeFill="background2"/>
            <w:vAlign w:val="center"/>
          </w:tcPr>
          <w:p w14:paraId="683B4AEA" w14:textId="45491B27"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223</w:t>
            </w:r>
          </w:p>
        </w:tc>
        <w:tc>
          <w:tcPr>
            <w:tcW w:w="739" w:type="dxa"/>
            <w:tcBorders>
              <w:top w:val="nil"/>
              <w:left w:val="nil"/>
              <w:bottom w:val="single" w:sz="4" w:space="0" w:color="000000"/>
              <w:right w:val="single" w:sz="4" w:space="0" w:color="000000"/>
            </w:tcBorders>
            <w:shd w:val="clear" w:color="auto" w:fill="auto"/>
            <w:vAlign w:val="center"/>
          </w:tcPr>
          <w:p w14:paraId="45B5DD08" w14:textId="3E6D5ACF"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541</w:t>
            </w:r>
          </w:p>
        </w:tc>
      </w:tr>
      <w:tr w:rsidR="004F74D1" w:rsidRPr="0053555E" w14:paraId="3AC668A7" w14:textId="77777777" w:rsidTr="00606813">
        <w:trPr>
          <w:trHeight w:val="255"/>
        </w:trPr>
        <w:tc>
          <w:tcPr>
            <w:tcW w:w="1216" w:type="dxa"/>
            <w:tcBorders>
              <w:top w:val="nil"/>
              <w:left w:val="single" w:sz="4" w:space="0" w:color="000000"/>
              <w:bottom w:val="single" w:sz="4" w:space="0" w:color="000000"/>
              <w:right w:val="single" w:sz="4" w:space="0" w:color="000000"/>
            </w:tcBorders>
            <w:shd w:val="clear" w:color="auto" w:fill="auto"/>
            <w:vAlign w:val="center"/>
            <w:hideMark/>
          </w:tcPr>
          <w:p w14:paraId="681EF0A2" w14:textId="61ED43BC" w:rsidR="004F74D1" w:rsidRPr="0053555E" w:rsidRDefault="004F74D1" w:rsidP="004F74D1">
            <w:pPr>
              <w:rPr>
                <w:rFonts w:asciiTheme="majorHAnsi" w:hAnsiTheme="majorHAnsi" w:cstheme="majorHAnsi"/>
                <w:sz w:val="22"/>
                <w:szCs w:val="22"/>
              </w:rPr>
            </w:pPr>
            <w:r w:rsidRPr="0053555E">
              <w:rPr>
                <w:rFonts w:cs="Calibri"/>
                <w:sz w:val="22"/>
                <w:szCs w:val="20"/>
              </w:rPr>
              <w:t>2018/2019</w:t>
            </w:r>
          </w:p>
        </w:tc>
        <w:tc>
          <w:tcPr>
            <w:tcW w:w="992" w:type="dxa"/>
            <w:tcBorders>
              <w:top w:val="nil"/>
              <w:left w:val="nil"/>
              <w:bottom w:val="single" w:sz="4" w:space="0" w:color="000000"/>
              <w:right w:val="single" w:sz="4" w:space="0" w:color="000000"/>
            </w:tcBorders>
            <w:shd w:val="clear" w:color="auto" w:fill="auto"/>
            <w:vAlign w:val="center"/>
            <w:hideMark/>
          </w:tcPr>
          <w:p w14:paraId="06026FB7" w14:textId="1D7DB848" w:rsidR="004F74D1" w:rsidRPr="0053555E" w:rsidRDefault="004F74D1" w:rsidP="004F74D1">
            <w:pPr>
              <w:jc w:val="center"/>
              <w:rPr>
                <w:rFonts w:asciiTheme="majorHAnsi" w:hAnsiTheme="majorHAnsi" w:cstheme="majorHAnsi"/>
                <w:sz w:val="22"/>
                <w:szCs w:val="22"/>
              </w:rPr>
            </w:pPr>
            <w:r w:rsidRPr="0053555E">
              <w:rPr>
                <w:rFonts w:cs="Calibri"/>
                <w:sz w:val="22"/>
                <w:szCs w:val="20"/>
              </w:rPr>
              <w:t>229</w:t>
            </w:r>
          </w:p>
        </w:tc>
        <w:tc>
          <w:tcPr>
            <w:tcW w:w="567" w:type="dxa"/>
            <w:tcBorders>
              <w:top w:val="nil"/>
              <w:left w:val="nil"/>
              <w:bottom w:val="single" w:sz="4" w:space="0" w:color="000000"/>
              <w:right w:val="single" w:sz="4" w:space="0" w:color="000000"/>
            </w:tcBorders>
            <w:shd w:val="clear" w:color="auto" w:fill="auto"/>
            <w:vAlign w:val="center"/>
            <w:hideMark/>
          </w:tcPr>
          <w:p w14:paraId="2684726F" w14:textId="32979931" w:rsidR="004F74D1" w:rsidRPr="0053555E" w:rsidRDefault="004F74D1" w:rsidP="004F74D1">
            <w:pPr>
              <w:jc w:val="center"/>
              <w:rPr>
                <w:rFonts w:asciiTheme="majorHAnsi" w:hAnsiTheme="majorHAnsi" w:cstheme="majorHAnsi"/>
                <w:sz w:val="22"/>
                <w:szCs w:val="22"/>
              </w:rPr>
            </w:pPr>
            <w:r w:rsidRPr="0053555E">
              <w:rPr>
                <w:rFonts w:cs="Calibri"/>
                <w:sz w:val="22"/>
                <w:szCs w:val="20"/>
              </w:rPr>
              <w:t>4</w:t>
            </w:r>
          </w:p>
        </w:tc>
        <w:tc>
          <w:tcPr>
            <w:tcW w:w="784" w:type="dxa"/>
            <w:tcBorders>
              <w:top w:val="nil"/>
              <w:left w:val="nil"/>
              <w:bottom w:val="single" w:sz="4" w:space="0" w:color="000000"/>
              <w:right w:val="single" w:sz="4" w:space="0" w:color="000000"/>
            </w:tcBorders>
            <w:shd w:val="clear" w:color="auto" w:fill="auto"/>
            <w:vAlign w:val="center"/>
            <w:hideMark/>
          </w:tcPr>
          <w:p w14:paraId="4226D395" w14:textId="3D80CA75" w:rsidR="004F74D1" w:rsidRPr="0053555E" w:rsidRDefault="004F74D1" w:rsidP="004F74D1">
            <w:pPr>
              <w:jc w:val="center"/>
              <w:rPr>
                <w:rFonts w:asciiTheme="majorHAnsi" w:hAnsiTheme="majorHAnsi" w:cstheme="majorHAnsi"/>
                <w:sz w:val="22"/>
                <w:szCs w:val="22"/>
              </w:rPr>
            </w:pPr>
            <w:r w:rsidRPr="0053555E">
              <w:rPr>
                <w:rFonts w:cs="Calibri"/>
                <w:sz w:val="22"/>
                <w:szCs w:val="20"/>
              </w:rPr>
              <w:t>10</w:t>
            </w:r>
          </w:p>
        </w:tc>
        <w:tc>
          <w:tcPr>
            <w:tcW w:w="614" w:type="dxa"/>
            <w:tcBorders>
              <w:top w:val="nil"/>
              <w:left w:val="nil"/>
              <w:bottom w:val="single" w:sz="4" w:space="0" w:color="000000"/>
              <w:right w:val="single" w:sz="4" w:space="0" w:color="000000"/>
            </w:tcBorders>
            <w:shd w:val="clear" w:color="auto" w:fill="auto"/>
            <w:vAlign w:val="center"/>
            <w:hideMark/>
          </w:tcPr>
          <w:p w14:paraId="668FCB00" w14:textId="0B244A56" w:rsidR="004F74D1" w:rsidRPr="0053555E" w:rsidRDefault="004F74D1" w:rsidP="004F74D1">
            <w:pPr>
              <w:jc w:val="center"/>
              <w:rPr>
                <w:rFonts w:asciiTheme="majorHAnsi" w:hAnsiTheme="majorHAnsi" w:cstheme="majorHAnsi"/>
                <w:sz w:val="22"/>
                <w:szCs w:val="22"/>
              </w:rPr>
            </w:pPr>
            <w:r w:rsidRPr="0053555E">
              <w:rPr>
                <w:rFonts w:cs="Calibri"/>
                <w:sz w:val="22"/>
                <w:szCs w:val="20"/>
              </w:rPr>
              <w:t>8</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14:paraId="356BB0F8" w14:textId="00DAB0E1"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251</w:t>
            </w:r>
          </w:p>
        </w:tc>
        <w:tc>
          <w:tcPr>
            <w:tcW w:w="992" w:type="dxa"/>
            <w:tcBorders>
              <w:top w:val="nil"/>
              <w:left w:val="nil"/>
              <w:bottom w:val="single" w:sz="4" w:space="0" w:color="000000"/>
              <w:right w:val="single" w:sz="4" w:space="0" w:color="000000"/>
            </w:tcBorders>
            <w:shd w:val="clear" w:color="auto" w:fill="auto"/>
            <w:vAlign w:val="center"/>
            <w:hideMark/>
          </w:tcPr>
          <w:p w14:paraId="7F70D821" w14:textId="504F8972" w:rsidR="004F74D1" w:rsidRPr="0053555E" w:rsidRDefault="004F74D1" w:rsidP="004F74D1">
            <w:pPr>
              <w:jc w:val="center"/>
              <w:rPr>
                <w:rFonts w:asciiTheme="majorHAnsi" w:hAnsiTheme="majorHAnsi" w:cstheme="majorHAnsi"/>
                <w:sz w:val="22"/>
                <w:szCs w:val="22"/>
              </w:rPr>
            </w:pPr>
            <w:r w:rsidRPr="0053555E">
              <w:rPr>
                <w:rFonts w:cs="Calibri"/>
                <w:sz w:val="22"/>
                <w:szCs w:val="20"/>
              </w:rPr>
              <w:t>207</w:t>
            </w:r>
          </w:p>
        </w:tc>
        <w:tc>
          <w:tcPr>
            <w:tcW w:w="522" w:type="dxa"/>
            <w:tcBorders>
              <w:top w:val="nil"/>
              <w:left w:val="nil"/>
              <w:bottom w:val="single" w:sz="4" w:space="0" w:color="000000"/>
              <w:right w:val="single" w:sz="4" w:space="0" w:color="000000"/>
            </w:tcBorders>
            <w:shd w:val="clear" w:color="auto" w:fill="auto"/>
            <w:vAlign w:val="center"/>
            <w:hideMark/>
          </w:tcPr>
          <w:p w14:paraId="2720797A" w14:textId="62222924" w:rsidR="004F74D1" w:rsidRPr="0053555E" w:rsidRDefault="004F74D1" w:rsidP="004F74D1">
            <w:pPr>
              <w:jc w:val="center"/>
              <w:rPr>
                <w:rFonts w:asciiTheme="majorHAnsi" w:hAnsiTheme="majorHAnsi" w:cstheme="majorHAnsi"/>
                <w:sz w:val="22"/>
                <w:szCs w:val="22"/>
              </w:rPr>
            </w:pPr>
            <w:r w:rsidRPr="0053555E">
              <w:rPr>
                <w:rFonts w:cs="Calibri"/>
                <w:sz w:val="22"/>
                <w:szCs w:val="20"/>
              </w:rPr>
              <w:t>10</w:t>
            </w:r>
          </w:p>
        </w:tc>
        <w:tc>
          <w:tcPr>
            <w:tcW w:w="970" w:type="dxa"/>
            <w:tcBorders>
              <w:top w:val="nil"/>
              <w:left w:val="nil"/>
              <w:bottom w:val="single" w:sz="4" w:space="0" w:color="000000"/>
              <w:right w:val="single" w:sz="4" w:space="0" w:color="000000"/>
            </w:tcBorders>
            <w:shd w:val="clear" w:color="auto" w:fill="auto"/>
            <w:vAlign w:val="center"/>
            <w:hideMark/>
          </w:tcPr>
          <w:p w14:paraId="23E1112B" w14:textId="02ED969B" w:rsidR="004F74D1" w:rsidRPr="0053555E" w:rsidRDefault="004F74D1" w:rsidP="004F74D1">
            <w:pPr>
              <w:jc w:val="center"/>
              <w:rPr>
                <w:rFonts w:asciiTheme="majorHAnsi" w:hAnsiTheme="majorHAnsi" w:cstheme="majorHAnsi"/>
                <w:sz w:val="22"/>
                <w:szCs w:val="22"/>
              </w:rPr>
            </w:pPr>
            <w:r w:rsidRPr="0053555E">
              <w:rPr>
                <w:rFonts w:cs="Calibri"/>
                <w:sz w:val="22"/>
                <w:szCs w:val="20"/>
              </w:rPr>
              <w:t>0</w:t>
            </w:r>
          </w:p>
        </w:tc>
        <w:tc>
          <w:tcPr>
            <w:tcW w:w="567" w:type="dxa"/>
            <w:tcBorders>
              <w:top w:val="nil"/>
              <w:left w:val="nil"/>
              <w:bottom w:val="single" w:sz="4" w:space="0" w:color="000000"/>
              <w:right w:val="single" w:sz="4" w:space="0" w:color="000000"/>
            </w:tcBorders>
            <w:shd w:val="clear" w:color="auto" w:fill="auto"/>
            <w:vAlign w:val="center"/>
            <w:hideMark/>
          </w:tcPr>
          <w:p w14:paraId="0C5C5BEA" w14:textId="6B8665FE" w:rsidR="004F74D1" w:rsidRPr="0053555E" w:rsidRDefault="004F74D1" w:rsidP="004F74D1">
            <w:pPr>
              <w:jc w:val="center"/>
              <w:rPr>
                <w:rFonts w:asciiTheme="majorHAnsi" w:hAnsiTheme="majorHAnsi" w:cstheme="majorHAnsi"/>
                <w:sz w:val="22"/>
                <w:szCs w:val="22"/>
              </w:rPr>
            </w:pPr>
            <w:r w:rsidRPr="0053555E">
              <w:rPr>
                <w:rFonts w:cs="Calibri"/>
                <w:sz w:val="22"/>
                <w:szCs w:val="20"/>
              </w:rPr>
              <w:t>12</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14:paraId="4E3EE9D0" w14:textId="0E70561C"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229</w:t>
            </w:r>
          </w:p>
        </w:tc>
        <w:tc>
          <w:tcPr>
            <w:tcW w:w="739" w:type="dxa"/>
            <w:tcBorders>
              <w:top w:val="nil"/>
              <w:left w:val="nil"/>
              <w:bottom w:val="single" w:sz="4" w:space="0" w:color="000000"/>
              <w:right w:val="single" w:sz="4" w:space="0" w:color="000000"/>
            </w:tcBorders>
            <w:shd w:val="clear" w:color="auto" w:fill="auto"/>
            <w:vAlign w:val="center"/>
            <w:hideMark/>
          </w:tcPr>
          <w:p w14:paraId="5E9CA72E" w14:textId="61B08C35"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480</w:t>
            </w:r>
          </w:p>
        </w:tc>
      </w:tr>
      <w:tr w:rsidR="004F74D1" w:rsidRPr="0053555E" w14:paraId="7C0C84CB" w14:textId="77777777" w:rsidTr="00606813">
        <w:trPr>
          <w:trHeight w:val="255"/>
        </w:trPr>
        <w:tc>
          <w:tcPr>
            <w:tcW w:w="1216" w:type="dxa"/>
            <w:tcBorders>
              <w:top w:val="nil"/>
              <w:left w:val="single" w:sz="4" w:space="0" w:color="000000"/>
              <w:bottom w:val="single" w:sz="4" w:space="0" w:color="000000"/>
              <w:right w:val="single" w:sz="4" w:space="0" w:color="000000"/>
            </w:tcBorders>
            <w:shd w:val="clear" w:color="auto" w:fill="auto"/>
            <w:vAlign w:val="center"/>
            <w:hideMark/>
          </w:tcPr>
          <w:p w14:paraId="68A99972" w14:textId="0A99C8C7" w:rsidR="004F74D1" w:rsidRPr="0053555E" w:rsidRDefault="004F74D1" w:rsidP="004F74D1">
            <w:pPr>
              <w:rPr>
                <w:rFonts w:asciiTheme="majorHAnsi" w:hAnsiTheme="majorHAnsi" w:cstheme="majorHAnsi"/>
                <w:sz w:val="22"/>
                <w:szCs w:val="22"/>
              </w:rPr>
            </w:pPr>
            <w:r w:rsidRPr="0053555E">
              <w:rPr>
                <w:rFonts w:cs="Calibri"/>
                <w:sz w:val="22"/>
                <w:szCs w:val="20"/>
              </w:rPr>
              <w:t>2019/2020</w:t>
            </w:r>
          </w:p>
        </w:tc>
        <w:tc>
          <w:tcPr>
            <w:tcW w:w="992" w:type="dxa"/>
            <w:tcBorders>
              <w:top w:val="nil"/>
              <w:left w:val="nil"/>
              <w:bottom w:val="single" w:sz="4" w:space="0" w:color="000000"/>
              <w:right w:val="single" w:sz="4" w:space="0" w:color="000000"/>
            </w:tcBorders>
            <w:shd w:val="clear" w:color="auto" w:fill="auto"/>
            <w:vAlign w:val="center"/>
            <w:hideMark/>
          </w:tcPr>
          <w:p w14:paraId="4D708EE4" w14:textId="5C565506" w:rsidR="004F74D1" w:rsidRPr="0053555E" w:rsidRDefault="004F74D1" w:rsidP="004F74D1">
            <w:pPr>
              <w:jc w:val="center"/>
              <w:rPr>
                <w:rFonts w:asciiTheme="majorHAnsi" w:hAnsiTheme="majorHAnsi" w:cstheme="majorHAnsi"/>
                <w:sz w:val="22"/>
                <w:szCs w:val="22"/>
              </w:rPr>
            </w:pPr>
            <w:r w:rsidRPr="0053555E">
              <w:rPr>
                <w:rFonts w:cs="Calibri"/>
                <w:sz w:val="22"/>
                <w:szCs w:val="20"/>
              </w:rPr>
              <w:t>207</w:t>
            </w:r>
          </w:p>
        </w:tc>
        <w:tc>
          <w:tcPr>
            <w:tcW w:w="567" w:type="dxa"/>
            <w:tcBorders>
              <w:top w:val="nil"/>
              <w:left w:val="nil"/>
              <w:bottom w:val="single" w:sz="4" w:space="0" w:color="000000"/>
              <w:right w:val="single" w:sz="4" w:space="0" w:color="000000"/>
            </w:tcBorders>
            <w:shd w:val="clear" w:color="auto" w:fill="auto"/>
            <w:vAlign w:val="center"/>
            <w:hideMark/>
          </w:tcPr>
          <w:p w14:paraId="7226B0EB" w14:textId="20DF70F3" w:rsidR="004F74D1" w:rsidRPr="0053555E" w:rsidRDefault="004F74D1" w:rsidP="004F74D1">
            <w:pPr>
              <w:jc w:val="center"/>
              <w:rPr>
                <w:rFonts w:asciiTheme="majorHAnsi" w:hAnsiTheme="majorHAnsi" w:cstheme="majorHAnsi"/>
                <w:sz w:val="22"/>
                <w:szCs w:val="22"/>
              </w:rPr>
            </w:pPr>
            <w:r w:rsidRPr="0053555E">
              <w:rPr>
                <w:rFonts w:cs="Calibri"/>
                <w:sz w:val="22"/>
                <w:szCs w:val="20"/>
              </w:rPr>
              <w:t>3</w:t>
            </w:r>
          </w:p>
        </w:tc>
        <w:tc>
          <w:tcPr>
            <w:tcW w:w="784" w:type="dxa"/>
            <w:tcBorders>
              <w:top w:val="nil"/>
              <w:left w:val="nil"/>
              <w:bottom w:val="single" w:sz="4" w:space="0" w:color="000000"/>
              <w:right w:val="single" w:sz="4" w:space="0" w:color="000000"/>
            </w:tcBorders>
            <w:shd w:val="clear" w:color="auto" w:fill="auto"/>
            <w:vAlign w:val="center"/>
            <w:hideMark/>
          </w:tcPr>
          <w:p w14:paraId="515E1D62" w14:textId="1B9C34B8" w:rsidR="004F74D1" w:rsidRPr="0053555E" w:rsidRDefault="004F74D1" w:rsidP="004F74D1">
            <w:pPr>
              <w:jc w:val="center"/>
              <w:rPr>
                <w:rFonts w:asciiTheme="majorHAnsi" w:hAnsiTheme="majorHAnsi" w:cstheme="majorHAnsi"/>
                <w:sz w:val="22"/>
                <w:szCs w:val="22"/>
              </w:rPr>
            </w:pPr>
            <w:r w:rsidRPr="0053555E">
              <w:rPr>
                <w:rFonts w:cs="Calibri"/>
                <w:sz w:val="22"/>
                <w:szCs w:val="20"/>
              </w:rPr>
              <w:t>14</w:t>
            </w:r>
          </w:p>
        </w:tc>
        <w:tc>
          <w:tcPr>
            <w:tcW w:w="614" w:type="dxa"/>
            <w:tcBorders>
              <w:top w:val="nil"/>
              <w:left w:val="nil"/>
              <w:bottom w:val="single" w:sz="4" w:space="0" w:color="000000"/>
              <w:right w:val="single" w:sz="4" w:space="0" w:color="000000"/>
            </w:tcBorders>
            <w:shd w:val="clear" w:color="auto" w:fill="auto"/>
            <w:vAlign w:val="center"/>
            <w:hideMark/>
          </w:tcPr>
          <w:p w14:paraId="229A15BD" w14:textId="40B40B9D" w:rsidR="004F74D1" w:rsidRPr="0053555E" w:rsidRDefault="004F74D1" w:rsidP="004F74D1">
            <w:pPr>
              <w:jc w:val="center"/>
              <w:rPr>
                <w:rFonts w:asciiTheme="majorHAnsi" w:hAnsiTheme="majorHAnsi" w:cstheme="majorHAnsi"/>
                <w:sz w:val="22"/>
                <w:szCs w:val="22"/>
              </w:rPr>
            </w:pPr>
            <w:r w:rsidRPr="0053555E">
              <w:rPr>
                <w:rFonts w:cs="Calibri"/>
                <w:sz w:val="22"/>
                <w:szCs w:val="20"/>
              </w:rPr>
              <w:t>7</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14:paraId="0C40C509" w14:textId="4D125B2F"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231</w:t>
            </w:r>
          </w:p>
        </w:tc>
        <w:tc>
          <w:tcPr>
            <w:tcW w:w="992" w:type="dxa"/>
            <w:tcBorders>
              <w:top w:val="nil"/>
              <w:left w:val="nil"/>
              <w:bottom w:val="single" w:sz="4" w:space="0" w:color="000000"/>
              <w:right w:val="single" w:sz="4" w:space="0" w:color="000000"/>
            </w:tcBorders>
            <w:shd w:val="clear" w:color="auto" w:fill="auto"/>
            <w:vAlign w:val="center"/>
            <w:hideMark/>
          </w:tcPr>
          <w:p w14:paraId="2BD3A7CA" w14:textId="5AA66C02" w:rsidR="004F74D1" w:rsidRPr="0053555E" w:rsidRDefault="004F74D1" w:rsidP="004F74D1">
            <w:pPr>
              <w:jc w:val="center"/>
              <w:rPr>
                <w:rFonts w:asciiTheme="majorHAnsi" w:hAnsiTheme="majorHAnsi" w:cstheme="majorHAnsi"/>
                <w:sz w:val="22"/>
                <w:szCs w:val="22"/>
              </w:rPr>
            </w:pPr>
            <w:r w:rsidRPr="0053555E">
              <w:rPr>
                <w:rFonts w:cs="Calibri"/>
                <w:sz w:val="22"/>
                <w:szCs w:val="20"/>
              </w:rPr>
              <w:t>184</w:t>
            </w:r>
          </w:p>
        </w:tc>
        <w:tc>
          <w:tcPr>
            <w:tcW w:w="522" w:type="dxa"/>
            <w:tcBorders>
              <w:top w:val="nil"/>
              <w:left w:val="nil"/>
              <w:bottom w:val="single" w:sz="4" w:space="0" w:color="000000"/>
              <w:right w:val="single" w:sz="4" w:space="0" w:color="000000"/>
            </w:tcBorders>
            <w:shd w:val="clear" w:color="auto" w:fill="auto"/>
            <w:vAlign w:val="center"/>
            <w:hideMark/>
          </w:tcPr>
          <w:p w14:paraId="71D8A8BA" w14:textId="00812B86" w:rsidR="004F74D1" w:rsidRPr="0053555E" w:rsidRDefault="004F74D1" w:rsidP="004F74D1">
            <w:pPr>
              <w:jc w:val="center"/>
              <w:rPr>
                <w:rFonts w:asciiTheme="majorHAnsi" w:hAnsiTheme="majorHAnsi" w:cstheme="majorHAnsi"/>
                <w:sz w:val="22"/>
                <w:szCs w:val="22"/>
              </w:rPr>
            </w:pPr>
            <w:r w:rsidRPr="0053555E">
              <w:rPr>
                <w:rFonts w:cs="Calibri"/>
                <w:sz w:val="22"/>
                <w:szCs w:val="20"/>
              </w:rPr>
              <w:t>14</w:t>
            </w:r>
          </w:p>
        </w:tc>
        <w:tc>
          <w:tcPr>
            <w:tcW w:w="970" w:type="dxa"/>
            <w:tcBorders>
              <w:top w:val="nil"/>
              <w:left w:val="nil"/>
              <w:bottom w:val="single" w:sz="4" w:space="0" w:color="000000"/>
              <w:right w:val="single" w:sz="4" w:space="0" w:color="000000"/>
            </w:tcBorders>
            <w:shd w:val="clear" w:color="auto" w:fill="auto"/>
            <w:vAlign w:val="center"/>
            <w:hideMark/>
          </w:tcPr>
          <w:p w14:paraId="1FCDD831" w14:textId="2C78E853" w:rsidR="004F74D1" w:rsidRPr="0053555E" w:rsidRDefault="004F74D1" w:rsidP="004F74D1">
            <w:pPr>
              <w:jc w:val="center"/>
              <w:rPr>
                <w:rFonts w:asciiTheme="majorHAnsi" w:hAnsiTheme="majorHAnsi" w:cstheme="majorHAnsi"/>
                <w:sz w:val="22"/>
                <w:szCs w:val="22"/>
              </w:rPr>
            </w:pPr>
            <w:r w:rsidRPr="0053555E">
              <w:rPr>
                <w:rFonts w:cs="Calibri"/>
                <w:sz w:val="22"/>
                <w:szCs w:val="20"/>
              </w:rPr>
              <w:t>0</w:t>
            </w:r>
          </w:p>
        </w:tc>
        <w:tc>
          <w:tcPr>
            <w:tcW w:w="567" w:type="dxa"/>
            <w:tcBorders>
              <w:top w:val="nil"/>
              <w:left w:val="nil"/>
              <w:bottom w:val="single" w:sz="4" w:space="0" w:color="000000"/>
              <w:right w:val="single" w:sz="4" w:space="0" w:color="000000"/>
            </w:tcBorders>
            <w:shd w:val="clear" w:color="auto" w:fill="auto"/>
            <w:vAlign w:val="center"/>
            <w:hideMark/>
          </w:tcPr>
          <w:p w14:paraId="36EB8394" w14:textId="7829E911" w:rsidR="004F74D1" w:rsidRPr="0053555E" w:rsidRDefault="004F74D1" w:rsidP="004F74D1">
            <w:pPr>
              <w:jc w:val="center"/>
              <w:rPr>
                <w:rFonts w:asciiTheme="majorHAnsi" w:hAnsiTheme="majorHAnsi" w:cstheme="majorHAnsi"/>
                <w:sz w:val="22"/>
                <w:szCs w:val="22"/>
              </w:rPr>
            </w:pPr>
            <w:r w:rsidRPr="0053555E">
              <w:rPr>
                <w:rFonts w:cs="Calibri"/>
                <w:sz w:val="22"/>
                <w:szCs w:val="20"/>
              </w:rPr>
              <w:t>5</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14:paraId="04238BF4" w14:textId="5DAA3CAD"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203</w:t>
            </w:r>
          </w:p>
        </w:tc>
        <w:tc>
          <w:tcPr>
            <w:tcW w:w="739" w:type="dxa"/>
            <w:tcBorders>
              <w:top w:val="nil"/>
              <w:left w:val="nil"/>
              <w:bottom w:val="single" w:sz="4" w:space="0" w:color="000000"/>
              <w:right w:val="single" w:sz="4" w:space="0" w:color="000000"/>
            </w:tcBorders>
            <w:shd w:val="clear" w:color="auto" w:fill="auto"/>
            <w:vAlign w:val="center"/>
            <w:hideMark/>
          </w:tcPr>
          <w:p w14:paraId="62BCB22E" w14:textId="38A723D0"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434</w:t>
            </w:r>
          </w:p>
        </w:tc>
      </w:tr>
      <w:tr w:rsidR="004F74D1" w:rsidRPr="0053555E" w14:paraId="3F5ADFD3" w14:textId="77777777" w:rsidTr="00606813">
        <w:trPr>
          <w:trHeight w:val="255"/>
        </w:trPr>
        <w:tc>
          <w:tcPr>
            <w:tcW w:w="1216" w:type="dxa"/>
            <w:tcBorders>
              <w:top w:val="nil"/>
              <w:left w:val="single" w:sz="4" w:space="0" w:color="000000"/>
              <w:bottom w:val="single" w:sz="4" w:space="0" w:color="000000"/>
              <w:right w:val="single" w:sz="4" w:space="0" w:color="000000"/>
            </w:tcBorders>
            <w:shd w:val="clear" w:color="auto" w:fill="auto"/>
            <w:vAlign w:val="center"/>
          </w:tcPr>
          <w:p w14:paraId="074F6A24" w14:textId="01313E5A" w:rsidR="004F74D1" w:rsidRPr="0053555E" w:rsidRDefault="004F74D1" w:rsidP="004F74D1">
            <w:pPr>
              <w:rPr>
                <w:rFonts w:asciiTheme="majorHAnsi" w:hAnsiTheme="majorHAnsi" w:cstheme="majorHAnsi"/>
                <w:sz w:val="22"/>
                <w:szCs w:val="22"/>
              </w:rPr>
            </w:pPr>
            <w:r w:rsidRPr="0053555E">
              <w:rPr>
                <w:rFonts w:cs="Calibri"/>
                <w:sz w:val="22"/>
                <w:szCs w:val="20"/>
              </w:rPr>
              <w:t>2020/2021</w:t>
            </w:r>
          </w:p>
        </w:tc>
        <w:tc>
          <w:tcPr>
            <w:tcW w:w="992" w:type="dxa"/>
            <w:tcBorders>
              <w:top w:val="nil"/>
              <w:left w:val="nil"/>
              <w:bottom w:val="single" w:sz="4" w:space="0" w:color="000000"/>
              <w:right w:val="single" w:sz="4" w:space="0" w:color="000000"/>
            </w:tcBorders>
            <w:shd w:val="clear" w:color="auto" w:fill="auto"/>
            <w:vAlign w:val="center"/>
          </w:tcPr>
          <w:p w14:paraId="0CA7AD70" w14:textId="61AB18BA" w:rsidR="004F74D1" w:rsidRPr="0053555E" w:rsidRDefault="004F74D1" w:rsidP="004F74D1">
            <w:pPr>
              <w:jc w:val="center"/>
              <w:rPr>
                <w:rFonts w:asciiTheme="majorHAnsi" w:hAnsiTheme="majorHAnsi" w:cstheme="majorHAnsi"/>
                <w:sz w:val="22"/>
                <w:szCs w:val="22"/>
              </w:rPr>
            </w:pPr>
            <w:r w:rsidRPr="0053555E">
              <w:rPr>
                <w:rFonts w:cs="Calibri"/>
                <w:sz w:val="22"/>
                <w:szCs w:val="20"/>
              </w:rPr>
              <w:t>143</w:t>
            </w:r>
          </w:p>
        </w:tc>
        <w:tc>
          <w:tcPr>
            <w:tcW w:w="567" w:type="dxa"/>
            <w:tcBorders>
              <w:top w:val="nil"/>
              <w:left w:val="nil"/>
              <w:bottom w:val="single" w:sz="4" w:space="0" w:color="000000"/>
              <w:right w:val="single" w:sz="4" w:space="0" w:color="000000"/>
            </w:tcBorders>
            <w:shd w:val="clear" w:color="auto" w:fill="auto"/>
            <w:vAlign w:val="center"/>
          </w:tcPr>
          <w:p w14:paraId="17B56AAC" w14:textId="6F1A9BE8" w:rsidR="004F74D1" w:rsidRPr="0053555E" w:rsidRDefault="004F74D1" w:rsidP="004F74D1">
            <w:pPr>
              <w:jc w:val="center"/>
              <w:rPr>
                <w:rFonts w:asciiTheme="majorHAnsi" w:hAnsiTheme="majorHAnsi" w:cstheme="majorHAnsi"/>
                <w:sz w:val="22"/>
                <w:szCs w:val="22"/>
              </w:rPr>
            </w:pPr>
            <w:r w:rsidRPr="0053555E">
              <w:rPr>
                <w:rFonts w:cs="Calibri"/>
                <w:sz w:val="22"/>
                <w:szCs w:val="20"/>
              </w:rPr>
              <w:t>3</w:t>
            </w:r>
          </w:p>
        </w:tc>
        <w:tc>
          <w:tcPr>
            <w:tcW w:w="784" w:type="dxa"/>
            <w:tcBorders>
              <w:top w:val="nil"/>
              <w:left w:val="nil"/>
              <w:bottom w:val="single" w:sz="4" w:space="0" w:color="000000"/>
              <w:right w:val="single" w:sz="4" w:space="0" w:color="000000"/>
            </w:tcBorders>
            <w:shd w:val="clear" w:color="auto" w:fill="auto"/>
            <w:vAlign w:val="center"/>
          </w:tcPr>
          <w:p w14:paraId="25C9F8D1" w14:textId="13F63B10" w:rsidR="004F74D1" w:rsidRPr="0053555E" w:rsidRDefault="004F74D1" w:rsidP="004F74D1">
            <w:pPr>
              <w:jc w:val="center"/>
              <w:rPr>
                <w:rFonts w:asciiTheme="majorHAnsi" w:hAnsiTheme="majorHAnsi" w:cstheme="majorHAnsi"/>
                <w:sz w:val="22"/>
                <w:szCs w:val="22"/>
              </w:rPr>
            </w:pPr>
            <w:r w:rsidRPr="0053555E">
              <w:rPr>
                <w:rFonts w:cs="Calibri"/>
                <w:sz w:val="22"/>
                <w:szCs w:val="20"/>
              </w:rPr>
              <w:t>5</w:t>
            </w:r>
          </w:p>
        </w:tc>
        <w:tc>
          <w:tcPr>
            <w:tcW w:w="614" w:type="dxa"/>
            <w:tcBorders>
              <w:top w:val="nil"/>
              <w:left w:val="nil"/>
              <w:bottom w:val="single" w:sz="4" w:space="0" w:color="000000"/>
              <w:right w:val="single" w:sz="4" w:space="0" w:color="000000"/>
            </w:tcBorders>
            <w:shd w:val="clear" w:color="auto" w:fill="auto"/>
            <w:vAlign w:val="center"/>
          </w:tcPr>
          <w:p w14:paraId="505B2378" w14:textId="26DA1FD1" w:rsidR="004F74D1" w:rsidRPr="0053555E" w:rsidRDefault="004F74D1" w:rsidP="004F74D1">
            <w:pPr>
              <w:jc w:val="center"/>
              <w:rPr>
                <w:rFonts w:asciiTheme="majorHAnsi" w:hAnsiTheme="majorHAnsi" w:cstheme="majorHAnsi"/>
                <w:sz w:val="22"/>
                <w:szCs w:val="22"/>
              </w:rPr>
            </w:pPr>
            <w:r w:rsidRPr="0053555E">
              <w:rPr>
                <w:rFonts w:cs="Calibri"/>
                <w:sz w:val="22"/>
                <w:szCs w:val="20"/>
              </w:rPr>
              <w:t>2</w:t>
            </w:r>
          </w:p>
        </w:tc>
        <w:tc>
          <w:tcPr>
            <w:tcW w:w="729" w:type="dxa"/>
            <w:tcBorders>
              <w:top w:val="nil"/>
              <w:left w:val="nil"/>
              <w:bottom w:val="single" w:sz="4" w:space="0" w:color="000000"/>
              <w:right w:val="single" w:sz="4" w:space="0" w:color="000000"/>
            </w:tcBorders>
            <w:shd w:val="clear" w:color="auto" w:fill="EEECE1" w:themeFill="background2"/>
            <w:vAlign w:val="center"/>
          </w:tcPr>
          <w:p w14:paraId="536C9F9D" w14:textId="31CEBD1F"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153</w:t>
            </w:r>
          </w:p>
        </w:tc>
        <w:tc>
          <w:tcPr>
            <w:tcW w:w="992" w:type="dxa"/>
            <w:tcBorders>
              <w:top w:val="nil"/>
              <w:left w:val="nil"/>
              <w:bottom w:val="single" w:sz="4" w:space="0" w:color="000000"/>
              <w:right w:val="single" w:sz="4" w:space="0" w:color="000000"/>
            </w:tcBorders>
            <w:shd w:val="clear" w:color="auto" w:fill="auto"/>
            <w:vAlign w:val="center"/>
          </w:tcPr>
          <w:p w14:paraId="09342EE4" w14:textId="460DA28D" w:rsidR="004F74D1" w:rsidRPr="0053555E" w:rsidRDefault="004F74D1" w:rsidP="004F74D1">
            <w:pPr>
              <w:jc w:val="center"/>
              <w:rPr>
                <w:rFonts w:asciiTheme="majorHAnsi" w:hAnsiTheme="majorHAnsi" w:cstheme="majorHAnsi"/>
                <w:sz w:val="22"/>
                <w:szCs w:val="22"/>
              </w:rPr>
            </w:pPr>
            <w:r w:rsidRPr="0053555E">
              <w:rPr>
                <w:rFonts w:cs="Calibri"/>
                <w:sz w:val="22"/>
                <w:szCs w:val="20"/>
              </w:rPr>
              <w:t>141</w:t>
            </w:r>
          </w:p>
        </w:tc>
        <w:tc>
          <w:tcPr>
            <w:tcW w:w="522" w:type="dxa"/>
            <w:tcBorders>
              <w:top w:val="nil"/>
              <w:left w:val="nil"/>
              <w:bottom w:val="single" w:sz="4" w:space="0" w:color="000000"/>
              <w:right w:val="single" w:sz="4" w:space="0" w:color="000000"/>
            </w:tcBorders>
            <w:shd w:val="clear" w:color="auto" w:fill="auto"/>
            <w:vAlign w:val="center"/>
          </w:tcPr>
          <w:p w14:paraId="31F7A70A" w14:textId="73647C8C" w:rsidR="004F74D1" w:rsidRPr="0053555E" w:rsidRDefault="004F74D1" w:rsidP="004F74D1">
            <w:pPr>
              <w:jc w:val="center"/>
              <w:rPr>
                <w:rFonts w:asciiTheme="majorHAnsi" w:hAnsiTheme="majorHAnsi" w:cstheme="majorHAnsi"/>
                <w:sz w:val="22"/>
                <w:szCs w:val="22"/>
              </w:rPr>
            </w:pPr>
            <w:r w:rsidRPr="0053555E">
              <w:rPr>
                <w:rFonts w:cs="Calibri"/>
                <w:sz w:val="22"/>
                <w:szCs w:val="20"/>
              </w:rPr>
              <w:t>4</w:t>
            </w:r>
          </w:p>
        </w:tc>
        <w:tc>
          <w:tcPr>
            <w:tcW w:w="970" w:type="dxa"/>
            <w:tcBorders>
              <w:top w:val="nil"/>
              <w:left w:val="nil"/>
              <w:bottom w:val="single" w:sz="4" w:space="0" w:color="000000"/>
              <w:right w:val="single" w:sz="4" w:space="0" w:color="000000"/>
            </w:tcBorders>
            <w:shd w:val="clear" w:color="auto" w:fill="auto"/>
            <w:vAlign w:val="center"/>
          </w:tcPr>
          <w:p w14:paraId="04CFE5AE" w14:textId="4DDE90C9" w:rsidR="004F74D1" w:rsidRPr="0053555E" w:rsidRDefault="004F74D1" w:rsidP="004F74D1">
            <w:pPr>
              <w:jc w:val="center"/>
              <w:rPr>
                <w:rFonts w:asciiTheme="majorHAnsi" w:hAnsiTheme="majorHAnsi" w:cstheme="majorHAnsi"/>
                <w:sz w:val="22"/>
                <w:szCs w:val="22"/>
              </w:rPr>
            </w:pPr>
            <w:r w:rsidRPr="0053555E">
              <w:rPr>
                <w:rFonts w:cs="Calibri"/>
                <w:sz w:val="22"/>
                <w:szCs w:val="20"/>
              </w:rPr>
              <w:t>0</w:t>
            </w:r>
          </w:p>
        </w:tc>
        <w:tc>
          <w:tcPr>
            <w:tcW w:w="567" w:type="dxa"/>
            <w:tcBorders>
              <w:top w:val="nil"/>
              <w:left w:val="nil"/>
              <w:bottom w:val="single" w:sz="4" w:space="0" w:color="000000"/>
              <w:right w:val="single" w:sz="4" w:space="0" w:color="000000"/>
            </w:tcBorders>
            <w:shd w:val="clear" w:color="auto" w:fill="auto"/>
            <w:vAlign w:val="center"/>
          </w:tcPr>
          <w:p w14:paraId="36AAFCC8" w14:textId="3E97B25F" w:rsidR="004F74D1" w:rsidRPr="0053555E" w:rsidRDefault="004F74D1" w:rsidP="004F74D1">
            <w:pPr>
              <w:jc w:val="center"/>
              <w:rPr>
                <w:rFonts w:asciiTheme="majorHAnsi" w:hAnsiTheme="majorHAnsi" w:cstheme="majorHAnsi"/>
                <w:sz w:val="22"/>
                <w:szCs w:val="22"/>
              </w:rPr>
            </w:pPr>
            <w:r w:rsidRPr="0053555E">
              <w:rPr>
                <w:rFonts w:cs="Calibri"/>
                <w:sz w:val="22"/>
                <w:szCs w:val="20"/>
              </w:rPr>
              <w:t>7</w:t>
            </w:r>
          </w:p>
        </w:tc>
        <w:tc>
          <w:tcPr>
            <w:tcW w:w="679" w:type="dxa"/>
            <w:tcBorders>
              <w:top w:val="nil"/>
              <w:left w:val="nil"/>
              <w:bottom w:val="single" w:sz="4" w:space="0" w:color="000000"/>
              <w:right w:val="single" w:sz="4" w:space="0" w:color="000000"/>
            </w:tcBorders>
            <w:shd w:val="clear" w:color="auto" w:fill="EEECE1" w:themeFill="background2"/>
            <w:vAlign w:val="center"/>
          </w:tcPr>
          <w:p w14:paraId="58B063D0" w14:textId="689DA6AE"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152</w:t>
            </w:r>
          </w:p>
        </w:tc>
        <w:tc>
          <w:tcPr>
            <w:tcW w:w="739" w:type="dxa"/>
            <w:tcBorders>
              <w:top w:val="nil"/>
              <w:left w:val="nil"/>
              <w:bottom w:val="single" w:sz="4" w:space="0" w:color="000000"/>
              <w:right w:val="single" w:sz="4" w:space="0" w:color="000000"/>
            </w:tcBorders>
            <w:shd w:val="clear" w:color="auto" w:fill="auto"/>
            <w:vAlign w:val="center"/>
          </w:tcPr>
          <w:p w14:paraId="01F216A1" w14:textId="21C4673D"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305</w:t>
            </w:r>
          </w:p>
        </w:tc>
      </w:tr>
      <w:tr w:rsidR="004F74D1" w:rsidRPr="0053555E" w14:paraId="6BB95449" w14:textId="77777777" w:rsidTr="005F7C4F">
        <w:trPr>
          <w:trHeight w:val="255"/>
        </w:trPr>
        <w:tc>
          <w:tcPr>
            <w:tcW w:w="1216" w:type="dxa"/>
            <w:tcBorders>
              <w:top w:val="nil"/>
              <w:left w:val="single" w:sz="4" w:space="0" w:color="000000"/>
              <w:bottom w:val="single" w:sz="4" w:space="0" w:color="000000"/>
              <w:right w:val="single" w:sz="4" w:space="0" w:color="000000"/>
            </w:tcBorders>
            <w:shd w:val="clear" w:color="auto" w:fill="EEECE1" w:themeFill="background2"/>
            <w:vAlign w:val="center"/>
            <w:hideMark/>
          </w:tcPr>
          <w:p w14:paraId="1C498A7B" w14:textId="115D14EC" w:rsidR="004F74D1" w:rsidRPr="0053555E" w:rsidRDefault="004F74D1" w:rsidP="004F74D1">
            <w:pPr>
              <w:rPr>
                <w:rFonts w:asciiTheme="majorHAnsi" w:hAnsiTheme="majorHAnsi" w:cstheme="majorHAnsi"/>
                <w:b/>
                <w:sz w:val="22"/>
                <w:szCs w:val="22"/>
              </w:rPr>
            </w:pPr>
            <w:r w:rsidRPr="0053555E">
              <w:rPr>
                <w:rFonts w:cs="Calibri"/>
                <w:b/>
                <w:bCs/>
                <w:sz w:val="22"/>
                <w:szCs w:val="20"/>
              </w:rPr>
              <w:t>2021/2022</w:t>
            </w:r>
          </w:p>
        </w:tc>
        <w:tc>
          <w:tcPr>
            <w:tcW w:w="992" w:type="dxa"/>
            <w:tcBorders>
              <w:top w:val="nil"/>
              <w:left w:val="nil"/>
              <w:bottom w:val="single" w:sz="4" w:space="0" w:color="000000"/>
              <w:right w:val="single" w:sz="4" w:space="0" w:color="000000"/>
            </w:tcBorders>
            <w:shd w:val="clear" w:color="auto" w:fill="EEECE1" w:themeFill="background2"/>
            <w:vAlign w:val="center"/>
            <w:hideMark/>
          </w:tcPr>
          <w:p w14:paraId="4C525F95" w14:textId="6293B9AD" w:rsidR="004F74D1" w:rsidRPr="0053555E" w:rsidRDefault="004F74D1" w:rsidP="004F74D1">
            <w:pPr>
              <w:jc w:val="center"/>
              <w:rPr>
                <w:rFonts w:asciiTheme="majorHAnsi" w:hAnsiTheme="majorHAnsi" w:cstheme="majorHAnsi"/>
                <w:b/>
                <w:sz w:val="22"/>
                <w:szCs w:val="22"/>
              </w:rPr>
            </w:pPr>
            <w:r w:rsidRPr="0053555E">
              <w:rPr>
                <w:rFonts w:cs="Calibri"/>
                <w:b/>
                <w:bCs/>
                <w:sz w:val="22"/>
                <w:szCs w:val="20"/>
              </w:rPr>
              <w:t>252</w:t>
            </w:r>
          </w:p>
        </w:tc>
        <w:tc>
          <w:tcPr>
            <w:tcW w:w="567" w:type="dxa"/>
            <w:tcBorders>
              <w:top w:val="nil"/>
              <w:left w:val="nil"/>
              <w:bottom w:val="single" w:sz="4" w:space="0" w:color="000000"/>
              <w:right w:val="single" w:sz="4" w:space="0" w:color="000000"/>
            </w:tcBorders>
            <w:shd w:val="clear" w:color="auto" w:fill="EEECE1" w:themeFill="background2"/>
            <w:vAlign w:val="center"/>
            <w:hideMark/>
          </w:tcPr>
          <w:p w14:paraId="0F29BB3D" w14:textId="3AA1CD87" w:rsidR="004F74D1" w:rsidRPr="0053555E" w:rsidRDefault="004F74D1" w:rsidP="004F74D1">
            <w:pPr>
              <w:jc w:val="center"/>
              <w:rPr>
                <w:rFonts w:asciiTheme="majorHAnsi" w:hAnsiTheme="majorHAnsi" w:cstheme="majorHAnsi"/>
                <w:b/>
                <w:sz w:val="22"/>
                <w:szCs w:val="22"/>
              </w:rPr>
            </w:pPr>
            <w:r w:rsidRPr="0053555E">
              <w:rPr>
                <w:rFonts w:cs="Calibri"/>
                <w:b/>
                <w:bCs/>
                <w:sz w:val="22"/>
                <w:szCs w:val="20"/>
              </w:rPr>
              <w:t>1</w:t>
            </w:r>
          </w:p>
        </w:tc>
        <w:tc>
          <w:tcPr>
            <w:tcW w:w="784" w:type="dxa"/>
            <w:tcBorders>
              <w:top w:val="nil"/>
              <w:left w:val="nil"/>
              <w:bottom w:val="single" w:sz="4" w:space="0" w:color="000000"/>
              <w:right w:val="single" w:sz="4" w:space="0" w:color="000000"/>
            </w:tcBorders>
            <w:shd w:val="clear" w:color="auto" w:fill="EEECE1" w:themeFill="background2"/>
            <w:vAlign w:val="center"/>
            <w:hideMark/>
          </w:tcPr>
          <w:p w14:paraId="4F00BA0C" w14:textId="4D016621" w:rsidR="004F74D1" w:rsidRPr="0053555E" w:rsidRDefault="004F74D1" w:rsidP="004F74D1">
            <w:pPr>
              <w:jc w:val="center"/>
              <w:rPr>
                <w:rFonts w:asciiTheme="majorHAnsi" w:hAnsiTheme="majorHAnsi" w:cstheme="majorHAnsi"/>
                <w:b/>
                <w:sz w:val="22"/>
                <w:szCs w:val="22"/>
              </w:rPr>
            </w:pPr>
            <w:r w:rsidRPr="0053555E">
              <w:rPr>
                <w:rFonts w:cs="Calibri"/>
                <w:b/>
                <w:bCs/>
                <w:sz w:val="22"/>
                <w:szCs w:val="20"/>
              </w:rPr>
              <w:t>1</w:t>
            </w:r>
          </w:p>
        </w:tc>
        <w:tc>
          <w:tcPr>
            <w:tcW w:w="614" w:type="dxa"/>
            <w:tcBorders>
              <w:top w:val="nil"/>
              <w:left w:val="nil"/>
              <w:bottom w:val="single" w:sz="4" w:space="0" w:color="000000"/>
              <w:right w:val="single" w:sz="4" w:space="0" w:color="000000"/>
            </w:tcBorders>
            <w:shd w:val="clear" w:color="auto" w:fill="EEECE1" w:themeFill="background2"/>
            <w:vAlign w:val="center"/>
            <w:hideMark/>
          </w:tcPr>
          <w:p w14:paraId="69EE429C" w14:textId="2F5452DC" w:rsidR="004F74D1" w:rsidRPr="0053555E" w:rsidRDefault="004F74D1" w:rsidP="004F74D1">
            <w:pPr>
              <w:jc w:val="center"/>
              <w:rPr>
                <w:rFonts w:asciiTheme="majorHAnsi" w:hAnsiTheme="majorHAnsi" w:cstheme="majorHAnsi"/>
                <w:b/>
                <w:sz w:val="22"/>
                <w:szCs w:val="22"/>
              </w:rPr>
            </w:pPr>
            <w:r w:rsidRPr="0053555E">
              <w:rPr>
                <w:rFonts w:cs="Calibri"/>
                <w:b/>
                <w:bCs/>
                <w:sz w:val="22"/>
                <w:szCs w:val="20"/>
              </w:rPr>
              <w:t>1</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14:paraId="747E5C38" w14:textId="5BEA43AC"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255</w:t>
            </w:r>
          </w:p>
        </w:tc>
        <w:tc>
          <w:tcPr>
            <w:tcW w:w="992" w:type="dxa"/>
            <w:tcBorders>
              <w:top w:val="nil"/>
              <w:left w:val="nil"/>
              <w:bottom w:val="single" w:sz="4" w:space="0" w:color="000000"/>
              <w:right w:val="single" w:sz="4" w:space="0" w:color="000000"/>
            </w:tcBorders>
            <w:shd w:val="clear" w:color="auto" w:fill="EEECE1" w:themeFill="background2"/>
            <w:vAlign w:val="center"/>
            <w:hideMark/>
          </w:tcPr>
          <w:p w14:paraId="2EA4D2B8" w14:textId="4F527C4E" w:rsidR="004F74D1" w:rsidRPr="0053555E" w:rsidRDefault="004F74D1" w:rsidP="004F74D1">
            <w:pPr>
              <w:jc w:val="center"/>
              <w:rPr>
                <w:rFonts w:asciiTheme="majorHAnsi" w:hAnsiTheme="majorHAnsi" w:cstheme="majorHAnsi"/>
                <w:b/>
                <w:sz w:val="22"/>
                <w:szCs w:val="22"/>
              </w:rPr>
            </w:pPr>
            <w:r w:rsidRPr="0053555E">
              <w:rPr>
                <w:rFonts w:cs="Calibri"/>
                <w:b/>
                <w:bCs/>
                <w:sz w:val="22"/>
                <w:szCs w:val="20"/>
              </w:rPr>
              <w:t>179</w:t>
            </w:r>
          </w:p>
        </w:tc>
        <w:tc>
          <w:tcPr>
            <w:tcW w:w="522" w:type="dxa"/>
            <w:tcBorders>
              <w:top w:val="nil"/>
              <w:left w:val="nil"/>
              <w:bottom w:val="single" w:sz="4" w:space="0" w:color="000000"/>
              <w:right w:val="single" w:sz="4" w:space="0" w:color="000000"/>
            </w:tcBorders>
            <w:shd w:val="clear" w:color="auto" w:fill="EEECE1" w:themeFill="background2"/>
            <w:vAlign w:val="center"/>
            <w:hideMark/>
          </w:tcPr>
          <w:p w14:paraId="0434B8C9" w14:textId="4BFF2908" w:rsidR="004F74D1" w:rsidRPr="0053555E" w:rsidRDefault="004F74D1" w:rsidP="004F74D1">
            <w:pPr>
              <w:jc w:val="center"/>
              <w:rPr>
                <w:rFonts w:asciiTheme="majorHAnsi" w:hAnsiTheme="majorHAnsi" w:cstheme="majorHAnsi"/>
                <w:b/>
                <w:sz w:val="22"/>
                <w:szCs w:val="22"/>
              </w:rPr>
            </w:pPr>
            <w:r w:rsidRPr="0053555E">
              <w:rPr>
                <w:rFonts w:cs="Calibri"/>
                <w:b/>
                <w:bCs/>
                <w:sz w:val="22"/>
                <w:szCs w:val="20"/>
              </w:rPr>
              <w:t>20</w:t>
            </w:r>
          </w:p>
        </w:tc>
        <w:tc>
          <w:tcPr>
            <w:tcW w:w="970" w:type="dxa"/>
            <w:tcBorders>
              <w:top w:val="nil"/>
              <w:left w:val="nil"/>
              <w:bottom w:val="single" w:sz="4" w:space="0" w:color="000000"/>
              <w:right w:val="single" w:sz="4" w:space="0" w:color="000000"/>
            </w:tcBorders>
            <w:shd w:val="clear" w:color="auto" w:fill="EEECE1" w:themeFill="background2"/>
            <w:vAlign w:val="center"/>
            <w:hideMark/>
          </w:tcPr>
          <w:p w14:paraId="75A1A59F" w14:textId="2A2EEC79" w:rsidR="004F74D1" w:rsidRPr="0053555E" w:rsidRDefault="004F74D1" w:rsidP="004F74D1">
            <w:pPr>
              <w:jc w:val="center"/>
              <w:rPr>
                <w:rFonts w:asciiTheme="majorHAnsi" w:hAnsiTheme="majorHAnsi" w:cstheme="majorHAnsi"/>
                <w:b/>
                <w:sz w:val="22"/>
                <w:szCs w:val="22"/>
              </w:rPr>
            </w:pPr>
            <w:r w:rsidRPr="0053555E">
              <w:rPr>
                <w:rFonts w:cs="Calibri"/>
                <w:b/>
                <w:bCs/>
                <w:sz w:val="22"/>
                <w:szCs w:val="20"/>
              </w:rPr>
              <w:t>6</w:t>
            </w:r>
          </w:p>
        </w:tc>
        <w:tc>
          <w:tcPr>
            <w:tcW w:w="567" w:type="dxa"/>
            <w:tcBorders>
              <w:top w:val="nil"/>
              <w:left w:val="nil"/>
              <w:bottom w:val="single" w:sz="4" w:space="0" w:color="000000"/>
              <w:right w:val="single" w:sz="4" w:space="0" w:color="000000"/>
            </w:tcBorders>
            <w:shd w:val="clear" w:color="auto" w:fill="EEECE1" w:themeFill="background2"/>
            <w:vAlign w:val="center"/>
            <w:hideMark/>
          </w:tcPr>
          <w:p w14:paraId="555BC437" w14:textId="622FC7E8" w:rsidR="004F74D1" w:rsidRPr="0053555E" w:rsidRDefault="004F74D1" w:rsidP="004F74D1">
            <w:pPr>
              <w:jc w:val="center"/>
              <w:rPr>
                <w:rFonts w:asciiTheme="majorHAnsi" w:hAnsiTheme="majorHAnsi" w:cstheme="majorHAnsi"/>
                <w:b/>
                <w:sz w:val="22"/>
                <w:szCs w:val="22"/>
              </w:rPr>
            </w:pPr>
            <w:r w:rsidRPr="0053555E">
              <w:rPr>
                <w:rFonts w:cs="Calibri"/>
                <w:b/>
                <w:bCs/>
                <w:sz w:val="22"/>
                <w:szCs w:val="20"/>
              </w:rPr>
              <w:t>3</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14:paraId="3C834AC5" w14:textId="641A921A"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208</w:t>
            </w:r>
          </w:p>
        </w:tc>
        <w:tc>
          <w:tcPr>
            <w:tcW w:w="739" w:type="dxa"/>
            <w:tcBorders>
              <w:top w:val="nil"/>
              <w:left w:val="nil"/>
              <w:bottom w:val="single" w:sz="4" w:space="0" w:color="000000"/>
              <w:right w:val="single" w:sz="4" w:space="0" w:color="000000"/>
            </w:tcBorders>
            <w:shd w:val="clear" w:color="auto" w:fill="EEECE1" w:themeFill="background2"/>
            <w:vAlign w:val="center"/>
            <w:hideMark/>
          </w:tcPr>
          <w:p w14:paraId="13D84AC6" w14:textId="15EAD09E" w:rsidR="004F74D1" w:rsidRPr="0053555E" w:rsidRDefault="004F74D1" w:rsidP="004F74D1">
            <w:pPr>
              <w:jc w:val="center"/>
              <w:rPr>
                <w:rFonts w:asciiTheme="majorHAnsi" w:hAnsiTheme="majorHAnsi" w:cstheme="majorHAnsi"/>
                <w:b/>
                <w:bCs/>
                <w:sz w:val="22"/>
                <w:szCs w:val="22"/>
              </w:rPr>
            </w:pPr>
            <w:r w:rsidRPr="0053555E">
              <w:rPr>
                <w:rFonts w:cs="Calibri"/>
                <w:b/>
                <w:bCs/>
                <w:sz w:val="22"/>
                <w:szCs w:val="20"/>
              </w:rPr>
              <w:t>463</w:t>
            </w:r>
          </w:p>
        </w:tc>
      </w:tr>
    </w:tbl>
    <w:p w14:paraId="3FE363DD" w14:textId="77777777" w:rsidR="00DB33A4" w:rsidRPr="0053555E" w:rsidRDefault="00DB33A4" w:rsidP="00324438">
      <w:pPr>
        <w:tabs>
          <w:tab w:val="left" w:pos="9356"/>
        </w:tabs>
        <w:jc w:val="both"/>
        <w:rPr>
          <w:rFonts w:asciiTheme="majorHAnsi" w:hAnsiTheme="majorHAnsi" w:cstheme="majorHAnsi"/>
          <w:sz w:val="20"/>
        </w:rPr>
      </w:pPr>
    </w:p>
    <w:p w14:paraId="60A1D3FC" w14:textId="37620761" w:rsidR="003948FD" w:rsidRDefault="003948FD" w:rsidP="003948FD">
      <w:pPr>
        <w:tabs>
          <w:tab w:val="left" w:pos="9356"/>
        </w:tabs>
        <w:spacing w:after="120"/>
        <w:jc w:val="both"/>
      </w:pPr>
      <w:r>
        <w:lastRenderedPageBreak/>
        <w:t xml:space="preserve">V rámci stratégie internacionalizácie je v záujme STU zvyšovať akademickú mobilitu študentov a zamestnancov univerzity, nakoľko pobyt účastníka mobility na zahraničnej inštitúcii je vždy pozitívnym prvkom v priebehu štúdia študenta ale aj po </w:t>
      </w:r>
      <w:r w:rsidR="007C4840">
        <w:t xml:space="preserve">jeho </w:t>
      </w:r>
      <w:r>
        <w:t xml:space="preserve">skončení, </w:t>
      </w:r>
      <w:r w:rsidR="004566D0">
        <w:t>keď</w:t>
      </w:r>
      <w:r>
        <w:t xml:space="preserve"> môže absolvent využiť možnosť absolventskej stáže v zahraničí. Zároveň realizovanie akademickej mobility je prínosným faktorom pre študenta počas jeho ďalšieho štúdia na STU a tiež po skončení štúdia pri hľadaní pracovných príležitostí na trhu práce.</w:t>
      </w:r>
    </w:p>
    <w:p w14:paraId="3B4E4B48" w14:textId="017AF0A5" w:rsidR="003948FD" w:rsidRDefault="00CB36C2" w:rsidP="003948FD">
      <w:pPr>
        <w:tabs>
          <w:tab w:val="left" w:pos="9356"/>
        </w:tabs>
        <w:spacing w:after="120"/>
        <w:jc w:val="both"/>
      </w:pPr>
      <w:r>
        <w:t>O</w:t>
      </w:r>
      <w:r w:rsidR="003948FD">
        <w:t xml:space="preserve">d roku 2015 sú v rámci výmenného programu Erasmus+ prostredníctvom grantovej schémy „Medzinárodná kreditová mobilita“ podporované aj výmeny študentov a zamestnancov vysokých škôl s kolegami z krajín mimo Európy. </w:t>
      </w:r>
      <w:r w:rsidR="00916348">
        <w:t>P</w:t>
      </w:r>
      <w:r w:rsidR="003948FD">
        <w:t xml:space="preserve">o ročnej prestávke </w:t>
      </w:r>
      <w:r w:rsidR="00916348">
        <w:t>z dôvodu pandémie</w:t>
      </w:r>
      <w:r w:rsidR="003948FD">
        <w:t xml:space="preserve"> sa Európska komisia opäť rozhodla otvoriť aj túto v</w:t>
      </w:r>
      <w:r w:rsidR="00A14501">
        <w:t>ýzvu. STU bola</w:t>
      </w:r>
      <w:r w:rsidR="003948FD">
        <w:t xml:space="preserve"> jednou z najúspešnejších univerzít v získaní grantu na Slovensku. V tejto výzv</w:t>
      </w:r>
      <w:r w:rsidR="003739B4">
        <w:t>e</w:t>
      </w:r>
      <w:r w:rsidR="003948FD">
        <w:t xml:space="preserve"> STU získala 280 mobilít, </w:t>
      </w:r>
      <w:r w:rsidR="003739B4">
        <w:t xml:space="preserve">v rámci ktorých </w:t>
      </w:r>
      <w:r w:rsidR="003948FD">
        <w:t xml:space="preserve">bude prebiehať spolupráca s 33 </w:t>
      </w:r>
      <w:r w:rsidR="00A14501">
        <w:t>vysokými školami</w:t>
      </w:r>
      <w:r w:rsidR="003948FD">
        <w:t xml:space="preserve"> z 20 krajín sveta.</w:t>
      </w:r>
    </w:p>
    <w:p w14:paraId="521E683D" w14:textId="77777777" w:rsidR="00CB36C2" w:rsidRDefault="00CB36C2" w:rsidP="00CB36C2">
      <w:pPr>
        <w:tabs>
          <w:tab w:val="left" w:pos="9356"/>
        </w:tabs>
        <w:jc w:val="both"/>
      </w:pPr>
      <w:bookmarkStart w:id="90" w:name="_Informácie_o_záujme"/>
      <w:bookmarkStart w:id="91" w:name="_Ref95686472"/>
      <w:bookmarkStart w:id="92" w:name="_Toc127593222"/>
      <w:bookmarkEnd w:id="90"/>
    </w:p>
    <w:p w14:paraId="4BD85F1D" w14:textId="74D7B09C" w:rsidR="002071AC" w:rsidRPr="00CB36C2" w:rsidRDefault="00CB36C2" w:rsidP="00CB36C2">
      <w:pPr>
        <w:tabs>
          <w:tab w:val="left" w:pos="9356"/>
        </w:tabs>
        <w:jc w:val="both"/>
        <w:rPr>
          <w:rFonts w:asciiTheme="majorHAnsi" w:hAnsiTheme="majorHAnsi" w:cstheme="majorHAnsi"/>
          <w:sz w:val="20"/>
        </w:rPr>
      </w:pPr>
      <w:r w:rsidRPr="00CB36C2">
        <w:rPr>
          <w:b/>
          <w:sz w:val="28"/>
          <w:szCs w:val="28"/>
        </w:rPr>
        <w:t xml:space="preserve">3.4. </w:t>
      </w:r>
      <w:r w:rsidR="002071AC" w:rsidRPr="00CB36C2">
        <w:rPr>
          <w:b/>
          <w:sz w:val="28"/>
          <w:szCs w:val="28"/>
        </w:rPr>
        <w:t>Informácie o záujme o štúdium a výsledkoch prijímacieho konania na akad</w:t>
      </w:r>
      <w:r w:rsidR="00454CD6" w:rsidRPr="00CB36C2">
        <w:rPr>
          <w:b/>
          <w:sz w:val="28"/>
          <w:szCs w:val="28"/>
        </w:rPr>
        <w:t>emický</w:t>
      </w:r>
      <w:r w:rsidR="002071AC" w:rsidRPr="00CB36C2">
        <w:rPr>
          <w:b/>
          <w:sz w:val="28"/>
          <w:szCs w:val="28"/>
        </w:rPr>
        <w:t xml:space="preserve"> rok </w:t>
      </w:r>
      <w:r w:rsidR="00EA24BA" w:rsidRPr="00CB36C2">
        <w:rPr>
          <w:b/>
          <w:sz w:val="28"/>
          <w:szCs w:val="28"/>
        </w:rPr>
        <w:t>2022/2023</w:t>
      </w:r>
      <w:bookmarkEnd w:id="91"/>
      <w:bookmarkEnd w:id="92"/>
    </w:p>
    <w:p w14:paraId="616A0AC4" w14:textId="77777777" w:rsidR="00CB36C2" w:rsidRPr="00CB36C2" w:rsidRDefault="00CB36C2" w:rsidP="00CB36C2"/>
    <w:p w14:paraId="43805C31" w14:textId="06652386" w:rsidR="002071AC" w:rsidRPr="0053555E" w:rsidRDefault="002071AC" w:rsidP="0032443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Proces prijímacieho konania </w:t>
      </w:r>
      <w:r w:rsidR="00EE025D" w:rsidRPr="0053555E">
        <w:rPr>
          <w:rFonts w:asciiTheme="majorHAnsi" w:hAnsiTheme="majorHAnsi" w:cstheme="majorHAnsi"/>
        </w:rPr>
        <w:t>bol v súlade s</w:t>
      </w:r>
      <w:r w:rsidRPr="0053555E">
        <w:rPr>
          <w:rFonts w:asciiTheme="majorHAnsi" w:hAnsiTheme="majorHAnsi" w:cstheme="majorHAnsi"/>
        </w:rPr>
        <w:t xml:space="preserve"> § 55 </w:t>
      </w:r>
      <w:r w:rsidR="00EE025D" w:rsidRPr="0053555E">
        <w:rPr>
          <w:rFonts w:asciiTheme="majorHAnsi" w:hAnsiTheme="majorHAnsi" w:cstheme="majorHAnsi"/>
        </w:rPr>
        <w:t>až</w:t>
      </w:r>
      <w:r w:rsidRPr="0053555E">
        <w:rPr>
          <w:rFonts w:asciiTheme="majorHAnsi" w:hAnsiTheme="majorHAnsi" w:cstheme="majorHAnsi"/>
        </w:rPr>
        <w:t xml:space="preserve"> 58 zákona</w:t>
      </w:r>
      <w:r w:rsidR="00F33AE8" w:rsidRPr="0053555E">
        <w:rPr>
          <w:rFonts w:asciiTheme="majorHAnsi" w:hAnsiTheme="majorHAnsi" w:cstheme="majorHAnsi"/>
        </w:rPr>
        <w:t xml:space="preserve"> o vysokých školách</w:t>
      </w:r>
      <w:r w:rsidRPr="0053555E">
        <w:rPr>
          <w:rFonts w:asciiTheme="majorHAnsi" w:hAnsiTheme="majorHAnsi" w:cstheme="majorHAnsi"/>
        </w:rPr>
        <w:t xml:space="preserve">. V rámci jeho prípravy akademické senáty </w:t>
      </w:r>
      <w:r w:rsidR="002A1983" w:rsidRPr="0053555E">
        <w:rPr>
          <w:rFonts w:asciiTheme="majorHAnsi" w:hAnsiTheme="majorHAnsi" w:cstheme="majorHAnsi"/>
        </w:rPr>
        <w:t>fakúlt</w:t>
      </w:r>
      <w:r w:rsidRPr="0053555E">
        <w:rPr>
          <w:rFonts w:asciiTheme="majorHAnsi" w:hAnsiTheme="majorHAnsi" w:cstheme="majorHAnsi"/>
        </w:rPr>
        <w:t xml:space="preserve"> a</w:t>
      </w:r>
      <w:r w:rsidR="00994ED2" w:rsidRPr="0053555E">
        <w:rPr>
          <w:rFonts w:asciiTheme="majorHAnsi" w:hAnsiTheme="majorHAnsi" w:cstheme="majorHAnsi"/>
        </w:rPr>
        <w:t> </w:t>
      </w:r>
      <w:r w:rsidRPr="0053555E">
        <w:rPr>
          <w:rFonts w:asciiTheme="majorHAnsi" w:hAnsiTheme="majorHAnsi" w:cstheme="majorHAnsi"/>
        </w:rPr>
        <w:t>univerzity</w:t>
      </w:r>
      <w:r w:rsidR="00994ED2" w:rsidRPr="0053555E">
        <w:rPr>
          <w:rFonts w:asciiTheme="majorHAnsi" w:hAnsiTheme="majorHAnsi" w:cstheme="majorHAnsi"/>
        </w:rPr>
        <w:t>, v prípade Ústavu manažmentu STU</w:t>
      </w:r>
      <w:r w:rsidR="00187312" w:rsidRPr="0053555E">
        <w:rPr>
          <w:rFonts w:asciiTheme="majorHAnsi" w:hAnsiTheme="majorHAnsi" w:cstheme="majorHAnsi"/>
        </w:rPr>
        <w:t>,</w:t>
      </w:r>
      <w:r w:rsidRPr="0053555E">
        <w:rPr>
          <w:rFonts w:asciiTheme="majorHAnsi" w:hAnsiTheme="majorHAnsi" w:cstheme="majorHAnsi"/>
        </w:rPr>
        <w:t xml:space="preserve"> schváli</w:t>
      </w:r>
      <w:r w:rsidR="00187312" w:rsidRPr="0053555E">
        <w:rPr>
          <w:rFonts w:asciiTheme="majorHAnsi" w:hAnsiTheme="majorHAnsi" w:cstheme="majorHAnsi"/>
        </w:rPr>
        <w:t>li ďalšie podmienky prijatia na </w:t>
      </w:r>
      <w:r w:rsidRPr="0053555E">
        <w:rPr>
          <w:rFonts w:asciiTheme="majorHAnsi" w:hAnsiTheme="majorHAnsi" w:cstheme="majorHAnsi"/>
        </w:rPr>
        <w:t xml:space="preserve">štúdium študijných programov predkladané dekanmi, resp. rektorom univerzity. </w:t>
      </w:r>
      <w:r w:rsidR="00177B93" w:rsidRPr="0053555E">
        <w:rPr>
          <w:rFonts w:asciiTheme="majorHAnsi" w:hAnsiTheme="majorHAnsi" w:cstheme="majorHAnsi"/>
        </w:rPr>
        <w:t>Všetky súčast</w:t>
      </w:r>
      <w:r w:rsidRPr="0053555E">
        <w:rPr>
          <w:rFonts w:asciiTheme="majorHAnsi" w:hAnsiTheme="majorHAnsi" w:cstheme="majorHAnsi"/>
        </w:rPr>
        <w:t xml:space="preserve">i </w:t>
      </w:r>
      <w:r w:rsidR="00F45E32" w:rsidRPr="0053555E">
        <w:rPr>
          <w:rFonts w:asciiTheme="majorHAnsi" w:hAnsiTheme="majorHAnsi" w:cstheme="majorHAnsi"/>
        </w:rPr>
        <w:t>STU</w:t>
      </w:r>
      <w:r w:rsidR="00177B93" w:rsidRPr="0053555E">
        <w:rPr>
          <w:rFonts w:asciiTheme="majorHAnsi" w:hAnsiTheme="majorHAnsi" w:cstheme="majorHAnsi"/>
        </w:rPr>
        <w:t xml:space="preserve"> s výnimkou FIIT</w:t>
      </w:r>
      <w:r w:rsidRPr="0053555E">
        <w:rPr>
          <w:rFonts w:asciiTheme="majorHAnsi" w:hAnsiTheme="majorHAnsi" w:cstheme="majorHAnsi"/>
        </w:rPr>
        <w:t xml:space="preserve"> vypísali druhé kolo prijímacieho konania</w:t>
      </w:r>
      <w:r w:rsidR="008A5C4A" w:rsidRPr="0053555E">
        <w:rPr>
          <w:rFonts w:asciiTheme="majorHAnsi" w:hAnsiTheme="majorHAnsi" w:cstheme="majorHAnsi"/>
        </w:rPr>
        <w:t xml:space="preserve"> na prvý </w:t>
      </w:r>
      <w:r w:rsidR="000142C3" w:rsidRPr="0053555E">
        <w:rPr>
          <w:rFonts w:asciiTheme="majorHAnsi" w:hAnsiTheme="majorHAnsi" w:cstheme="majorHAnsi"/>
        </w:rPr>
        <w:t xml:space="preserve">a druhý </w:t>
      </w:r>
      <w:r w:rsidR="008A5C4A" w:rsidRPr="0053555E">
        <w:rPr>
          <w:rFonts w:asciiTheme="majorHAnsi" w:hAnsiTheme="majorHAnsi" w:cstheme="majorHAnsi"/>
        </w:rPr>
        <w:t>stupeň štúdia</w:t>
      </w:r>
      <w:r w:rsidR="003D582D">
        <w:rPr>
          <w:rFonts w:asciiTheme="majorHAnsi" w:hAnsiTheme="majorHAnsi" w:cstheme="majorHAnsi"/>
        </w:rPr>
        <w:t xml:space="preserve"> (FAD len na prvý stupeň)</w:t>
      </w:r>
      <w:r w:rsidRPr="0053555E">
        <w:rPr>
          <w:rFonts w:asciiTheme="majorHAnsi" w:hAnsiTheme="majorHAnsi" w:cstheme="majorHAnsi"/>
        </w:rPr>
        <w:t xml:space="preserve">. </w:t>
      </w:r>
      <w:r w:rsidR="000142C3" w:rsidRPr="0053555E">
        <w:rPr>
          <w:rFonts w:asciiTheme="majorHAnsi" w:hAnsiTheme="majorHAnsi" w:cstheme="majorHAnsi"/>
        </w:rPr>
        <w:t xml:space="preserve">SjF </w:t>
      </w:r>
      <w:r w:rsidR="00E1711C" w:rsidRPr="0053555E">
        <w:rPr>
          <w:rFonts w:asciiTheme="majorHAnsi" w:hAnsiTheme="majorHAnsi" w:cstheme="majorHAnsi"/>
        </w:rPr>
        <w:t xml:space="preserve">vypísala </w:t>
      </w:r>
      <w:r w:rsidR="000142C3" w:rsidRPr="0053555E">
        <w:rPr>
          <w:rFonts w:asciiTheme="majorHAnsi" w:hAnsiTheme="majorHAnsi" w:cstheme="majorHAnsi"/>
        </w:rPr>
        <w:t>aj tretie kolo</w:t>
      </w:r>
      <w:r w:rsidR="00E1711C" w:rsidRPr="0053555E">
        <w:rPr>
          <w:rFonts w:asciiTheme="majorHAnsi" w:hAnsiTheme="majorHAnsi" w:cstheme="majorHAnsi"/>
        </w:rPr>
        <w:t xml:space="preserve"> prijímacieho konania na prvý stupeň štúdia</w:t>
      </w:r>
      <w:r w:rsidR="0027414D" w:rsidRPr="0053555E">
        <w:rPr>
          <w:rFonts w:asciiTheme="majorHAnsi" w:hAnsiTheme="majorHAnsi" w:cstheme="majorHAnsi"/>
        </w:rPr>
        <w:t>. Druhé kolo prijímania na tretí stupeň štúdia využili len SjF a ÚM.</w:t>
      </w:r>
    </w:p>
    <w:p w14:paraId="595AFD0D" w14:textId="6235A0AA" w:rsidR="0032407D" w:rsidRDefault="00E05A8F" w:rsidP="005A4758">
      <w:pPr>
        <w:spacing w:after="120"/>
        <w:jc w:val="both"/>
        <w:rPr>
          <w:rFonts w:asciiTheme="majorHAnsi" w:hAnsiTheme="majorHAnsi" w:cstheme="majorHAnsi"/>
        </w:rPr>
      </w:pPr>
      <w:r w:rsidRPr="0053555E">
        <w:rPr>
          <w:rFonts w:asciiTheme="majorHAnsi" w:hAnsiTheme="majorHAnsi" w:cstheme="majorHAnsi"/>
        </w:rPr>
        <w:t xml:space="preserve">Prijímacie konanie na akademický rok </w:t>
      </w:r>
      <w:r w:rsidR="00EA24BA" w:rsidRPr="0053555E">
        <w:rPr>
          <w:rFonts w:asciiTheme="majorHAnsi" w:hAnsiTheme="majorHAnsi" w:cstheme="majorHAnsi"/>
        </w:rPr>
        <w:t>2022/2023</w:t>
      </w:r>
      <w:r w:rsidRPr="0053555E">
        <w:rPr>
          <w:rFonts w:asciiTheme="majorHAnsi" w:hAnsiTheme="majorHAnsi" w:cstheme="majorHAnsi"/>
        </w:rPr>
        <w:t xml:space="preserve"> bolo </w:t>
      </w:r>
      <w:r w:rsidR="0051346F">
        <w:rPr>
          <w:rFonts w:asciiTheme="majorHAnsi" w:hAnsiTheme="majorHAnsi" w:cstheme="majorHAnsi"/>
        </w:rPr>
        <w:t xml:space="preserve">poznačené </w:t>
      </w:r>
      <w:r w:rsidR="004C016C">
        <w:t>m</w:t>
      </w:r>
      <w:r w:rsidR="004C016C">
        <w:rPr>
          <w:rFonts w:asciiTheme="majorHAnsi" w:hAnsiTheme="majorHAnsi" w:cstheme="majorHAnsi"/>
        </w:rPr>
        <w:t>imoriadnou situáciou v</w:t>
      </w:r>
      <w:r w:rsidR="005555C3">
        <w:rPr>
          <w:rFonts w:asciiTheme="majorHAnsi" w:hAnsiTheme="majorHAnsi" w:cstheme="majorHAnsi"/>
        </w:rPr>
        <w:t> </w:t>
      </w:r>
      <w:r w:rsidR="004C016C">
        <w:rPr>
          <w:rFonts w:asciiTheme="majorHAnsi" w:hAnsiTheme="majorHAnsi" w:cstheme="majorHAnsi"/>
        </w:rPr>
        <w:t xml:space="preserve">dôsledku </w:t>
      </w:r>
      <w:r w:rsidR="002B4552">
        <w:rPr>
          <w:rFonts w:asciiTheme="majorHAnsi" w:hAnsiTheme="majorHAnsi" w:cstheme="majorHAnsi"/>
        </w:rPr>
        <w:t>pandémie,</w:t>
      </w:r>
      <w:r w:rsidR="004C016C">
        <w:rPr>
          <w:rFonts w:asciiTheme="majorHAnsi" w:hAnsiTheme="majorHAnsi" w:cstheme="majorHAnsi"/>
        </w:rPr>
        <w:t xml:space="preserve"> </w:t>
      </w:r>
      <w:r w:rsidR="00D8547D">
        <w:rPr>
          <w:rFonts w:asciiTheme="majorHAnsi" w:hAnsiTheme="majorHAnsi" w:cstheme="majorHAnsi"/>
        </w:rPr>
        <w:t>zrušená</w:t>
      </w:r>
      <w:r w:rsidR="00D8547D">
        <w:t xml:space="preserve"> </w:t>
      </w:r>
      <w:r w:rsidR="002B4552">
        <w:rPr>
          <w:rFonts w:asciiTheme="majorHAnsi" w:hAnsiTheme="majorHAnsi" w:cstheme="majorHAnsi"/>
        </w:rPr>
        <w:t>nebola</w:t>
      </w:r>
      <w:r w:rsidR="002B4552">
        <w:t xml:space="preserve"> </w:t>
      </w:r>
      <w:r w:rsidR="00D8547D">
        <w:t xml:space="preserve">napriek </w:t>
      </w:r>
      <w:r w:rsidR="0051346F">
        <w:t>postupn</w:t>
      </w:r>
      <w:r w:rsidR="005555C3">
        <w:t>ému</w:t>
      </w:r>
      <w:r w:rsidR="0051346F">
        <w:t xml:space="preserve"> uvoľňovan</w:t>
      </w:r>
      <w:r w:rsidR="005555C3">
        <w:t>iu</w:t>
      </w:r>
      <w:r w:rsidR="0051346F">
        <w:t xml:space="preserve"> protipandemick</w:t>
      </w:r>
      <w:r w:rsidR="005555C3">
        <w:t>ých</w:t>
      </w:r>
      <w:r w:rsidR="0051346F">
        <w:t xml:space="preserve"> opatrení</w:t>
      </w:r>
      <w:r w:rsidR="004C016C">
        <w:rPr>
          <w:rFonts w:asciiTheme="majorHAnsi" w:hAnsiTheme="majorHAnsi" w:cstheme="majorHAnsi"/>
        </w:rPr>
        <w:t xml:space="preserve">. </w:t>
      </w:r>
      <w:r w:rsidR="0076060F">
        <w:rPr>
          <w:rFonts w:asciiTheme="majorHAnsi" w:hAnsiTheme="majorHAnsi" w:cstheme="majorHAnsi"/>
        </w:rPr>
        <w:t>V školskom roku 2021/2022 sa opäť konali maturitné skúšky na stredných školách v Slovenskej republike štandardným spôsobom</w:t>
      </w:r>
      <w:r w:rsidR="00CB36C2">
        <w:rPr>
          <w:rFonts w:asciiTheme="majorHAnsi" w:hAnsiTheme="majorHAnsi" w:cstheme="majorHAnsi"/>
        </w:rPr>
        <w:t xml:space="preserve">. </w:t>
      </w:r>
      <w:r w:rsidR="00D8547D">
        <w:rPr>
          <w:rFonts w:asciiTheme="majorHAnsi" w:hAnsiTheme="majorHAnsi" w:cstheme="majorHAnsi"/>
        </w:rPr>
        <w:t xml:space="preserve">Vo februári 2022 bola vyhlásená </w:t>
      </w:r>
      <w:r w:rsidRPr="0053555E">
        <w:rPr>
          <w:rFonts w:asciiTheme="majorHAnsi" w:hAnsiTheme="majorHAnsi" w:cstheme="majorHAnsi"/>
        </w:rPr>
        <w:t>mimoriadn</w:t>
      </w:r>
      <w:r w:rsidR="00D8547D">
        <w:rPr>
          <w:rFonts w:asciiTheme="majorHAnsi" w:hAnsiTheme="majorHAnsi" w:cstheme="majorHAnsi"/>
        </w:rPr>
        <w:t>a</w:t>
      </w:r>
      <w:r w:rsidRPr="0053555E">
        <w:rPr>
          <w:rFonts w:asciiTheme="majorHAnsi" w:hAnsiTheme="majorHAnsi" w:cstheme="majorHAnsi"/>
        </w:rPr>
        <w:t xml:space="preserve"> situáci</w:t>
      </w:r>
      <w:r w:rsidR="00D8547D">
        <w:rPr>
          <w:rFonts w:asciiTheme="majorHAnsi" w:hAnsiTheme="majorHAnsi" w:cstheme="majorHAnsi"/>
        </w:rPr>
        <w:t>a</w:t>
      </w:r>
      <w:r w:rsidRPr="0053555E">
        <w:rPr>
          <w:rFonts w:asciiTheme="majorHAnsi" w:hAnsiTheme="majorHAnsi" w:cstheme="majorHAnsi"/>
        </w:rPr>
        <w:t xml:space="preserve"> v Slovenskej </w:t>
      </w:r>
      <w:r w:rsidR="001667D7" w:rsidRPr="0053555E">
        <w:rPr>
          <w:rFonts w:asciiTheme="majorHAnsi" w:hAnsiTheme="majorHAnsi" w:cstheme="majorHAnsi"/>
        </w:rPr>
        <w:t>republik</w:t>
      </w:r>
      <w:r w:rsidR="006F4EBD" w:rsidRPr="0053555E">
        <w:rPr>
          <w:rFonts w:asciiTheme="majorHAnsi" w:hAnsiTheme="majorHAnsi" w:cstheme="majorHAnsi"/>
        </w:rPr>
        <w:t>e</w:t>
      </w:r>
      <w:r w:rsidR="001667D7" w:rsidRPr="0053555E">
        <w:rPr>
          <w:rFonts w:asciiTheme="majorHAnsi" w:hAnsiTheme="majorHAnsi" w:cstheme="majorHAnsi"/>
        </w:rPr>
        <w:t xml:space="preserve"> </w:t>
      </w:r>
      <w:r w:rsidR="00B045F7">
        <w:rPr>
          <w:rFonts w:asciiTheme="majorHAnsi" w:hAnsiTheme="majorHAnsi" w:cstheme="majorHAnsi"/>
        </w:rPr>
        <w:t>v súvislosti s konfliktom na Ukrajine</w:t>
      </w:r>
      <w:r w:rsidR="0076060F">
        <w:rPr>
          <w:rFonts w:asciiTheme="majorHAnsi" w:hAnsiTheme="majorHAnsi" w:cstheme="majorHAnsi"/>
        </w:rPr>
        <w:t>, ktorá podstatne ovplyvnila prijímacie konanie na akademický rok 2022/2023</w:t>
      </w:r>
      <w:r w:rsidR="00B045F7">
        <w:rPr>
          <w:rFonts w:asciiTheme="majorHAnsi" w:hAnsiTheme="majorHAnsi" w:cstheme="majorHAnsi"/>
        </w:rPr>
        <w:t xml:space="preserve">. </w:t>
      </w:r>
      <w:r w:rsidR="0090439A" w:rsidRPr="0053555E">
        <w:rPr>
          <w:rFonts w:asciiTheme="majorHAnsi" w:hAnsiTheme="majorHAnsi" w:cstheme="majorHAnsi"/>
        </w:rPr>
        <w:t xml:space="preserve">V súvislosti </w:t>
      </w:r>
      <w:r w:rsidR="00724D17">
        <w:rPr>
          <w:rFonts w:asciiTheme="majorHAnsi" w:hAnsiTheme="majorHAnsi" w:cstheme="majorHAnsi"/>
        </w:rPr>
        <w:t xml:space="preserve">s </w:t>
      </w:r>
      <w:r w:rsidR="00F53AE9">
        <w:rPr>
          <w:rFonts w:asciiTheme="majorHAnsi" w:hAnsiTheme="majorHAnsi" w:cstheme="majorHAnsi"/>
        </w:rPr>
        <w:t xml:space="preserve">veľkým prílivom </w:t>
      </w:r>
      <w:r w:rsidR="00241219">
        <w:rPr>
          <w:rFonts w:asciiTheme="majorHAnsi" w:hAnsiTheme="majorHAnsi" w:cstheme="majorHAnsi"/>
        </w:rPr>
        <w:t xml:space="preserve">občanov Ukrajiny, ktorí utiekli zo svojej krajiny pred vojnou, boli </w:t>
      </w:r>
      <w:r w:rsidR="00443378">
        <w:rPr>
          <w:rFonts w:asciiTheme="majorHAnsi" w:hAnsiTheme="majorHAnsi" w:cstheme="majorHAnsi"/>
        </w:rPr>
        <w:t xml:space="preserve">prijaté </w:t>
      </w:r>
      <w:r w:rsidR="00156CAA">
        <w:rPr>
          <w:rFonts w:asciiTheme="majorHAnsi" w:hAnsiTheme="majorHAnsi" w:cstheme="majorHAnsi"/>
        </w:rPr>
        <w:t xml:space="preserve">viaceré </w:t>
      </w:r>
      <w:r w:rsidR="00241219">
        <w:rPr>
          <w:rFonts w:asciiTheme="majorHAnsi" w:hAnsiTheme="majorHAnsi" w:cstheme="majorHAnsi"/>
        </w:rPr>
        <w:t xml:space="preserve">zmeny </w:t>
      </w:r>
      <w:r w:rsidR="00443378">
        <w:rPr>
          <w:rFonts w:asciiTheme="majorHAnsi" w:hAnsiTheme="majorHAnsi" w:cstheme="majorHAnsi"/>
        </w:rPr>
        <w:t xml:space="preserve">právnych predpisov </w:t>
      </w:r>
      <w:r w:rsidR="00241219">
        <w:rPr>
          <w:rFonts w:asciiTheme="majorHAnsi" w:hAnsiTheme="majorHAnsi" w:cstheme="majorHAnsi"/>
        </w:rPr>
        <w:t>Slovenskej republiky, okrem iného aj zákona o vysokých školách, ktoré</w:t>
      </w:r>
      <w:r w:rsidR="00443378">
        <w:rPr>
          <w:rFonts w:asciiTheme="majorHAnsi" w:hAnsiTheme="majorHAnsi" w:cstheme="majorHAnsi"/>
        </w:rPr>
        <w:t xml:space="preserve"> im mali pomôcť integrovať sa v rámci Slovenskej spoločnosti. Zmen</w:t>
      </w:r>
      <w:r w:rsidR="00270054">
        <w:rPr>
          <w:rFonts w:asciiTheme="majorHAnsi" w:hAnsiTheme="majorHAnsi" w:cstheme="majorHAnsi"/>
        </w:rPr>
        <w:t>a</w:t>
      </w:r>
      <w:r w:rsidR="00443378">
        <w:rPr>
          <w:rFonts w:asciiTheme="majorHAnsi" w:hAnsiTheme="majorHAnsi" w:cstheme="majorHAnsi"/>
        </w:rPr>
        <w:t xml:space="preserve"> zákona o vysokých školách v rámci § 56 umožnil</w:t>
      </w:r>
      <w:r w:rsidR="00270054">
        <w:rPr>
          <w:rFonts w:asciiTheme="majorHAnsi" w:hAnsiTheme="majorHAnsi" w:cstheme="majorHAnsi"/>
        </w:rPr>
        <w:t>a</w:t>
      </w:r>
      <w:r w:rsidR="00443378">
        <w:rPr>
          <w:rFonts w:asciiTheme="majorHAnsi" w:hAnsiTheme="majorHAnsi" w:cstheme="majorHAnsi"/>
        </w:rPr>
        <w:t xml:space="preserve"> </w:t>
      </w:r>
      <w:r w:rsidR="00156CAA">
        <w:rPr>
          <w:rFonts w:asciiTheme="majorHAnsi" w:hAnsiTheme="majorHAnsi" w:cstheme="majorHAnsi"/>
        </w:rPr>
        <w:t xml:space="preserve">osobám, </w:t>
      </w:r>
      <w:r w:rsidR="00156CAA" w:rsidRPr="00156CAA">
        <w:rPr>
          <w:rFonts w:asciiTheme="majorHAnsi" w:hAnsiTheme="majorHAnsi" w:cstheme="majorHAnsi"/>
        </w:rPr>
        <w:t xml:space="preserve">ktorým bol udelený azyl, poskytnutá doplnková ochrana alebo poskytnuté dočasné útočisko, </w:t>
      </w:r>
      <w:r w:rsidR="0032407D">
        <w:rPr>
          <w:rFonts w:asciiTheme="majorHAnsi" w:hAnsiTheme="majorHAnsi" w:cstheme="majorHAnsi"/>
        </w:rPr>
        <w:t>a</w:t>
      </w:r>
      <w:r w:rsidR="00270054">
        <w:rPr>
          <w:rFonts w:asciiTheme="majorHAnsi" w:hAnsiTheme="majorHAnsi" w:cstheme="majorHAnsi"/>
        </w:rPr>
        <w:t xml:space="preserve"> ktoré sa nevedeli </w:t>
      </w:r>
      <w:r w:rsidR="0032407D">
        <w:rPr>
          <w:rFonts w:asciiTheme="majorHAnsi" w:hAnsiTheme="majorHAnsi" w:cstheme="majorHAnsi"/>
        </w:rPr>
        <w:t xml:space="preserve">preukázať dokladmi o absolvovaní úplného stredného vzdelania </w:t>
      </w:r>
      <w:r w:rsidR="00270054">
        <w:rPr>
          <w:rFonts w:asciiTheme="majorHAnsi" w:hAnsiTheme="majorHAnsi" w:cstheme="majorHAnsi"/>
        </w:rPr>
        <w:t xml:space="preserve">(maturitným vysvedčením), </w:t>
      </w:r>
      <w:r w:rsidR="00156CAA">
        <w:rPr>
          <w:rFonts w:asciiTheme="majorHAnsi" w:hAnsiTheme="majorHAnsi" w:cstheme="majorHAnsi"/>
        </w:rPr>
        <w:t>preukázať splnenie základnej podmienky prijatia na štúdium bakalárskych študijných programov predložením</w:t>
      </w:r>
      <w:r w:rsidR="00156CAA" w:rsidRPr="00156CAA">
        <w:rPr>
          <w:rFonts w:asciiTheme="majorHAnsi" w:hAnsiTheme="majorHAnsi" w:cstheme="majorHAnsi"/>
        </w:rPr>
        <w:t xml:space="preserve"> čestn</w:t>
      </w:r>
      <w:r w:rsidR="007D4510">
        <w:rPr>
          <w:rFonts w:asciiTheme="majorHAnsi" w:hAnsiTheme="majorHAnsi" w:cstheme="majorHAnsi"/>
        </w:rPr>
        <w:t>ého vyhlásenia</w:t>
      </w:r>
      <w:r w:rsidR="00156CAA" w:rsidRPr="00156CAA">
        <w:rPr>
          <w:rFonts w:asciiTheme="majorHAnsi" w:hAnsiTheme="majorHAnsi" w:cstheme="majorHAnsi"/>
        </w:rPr>
        <w:t xml:space="preserve"> a testom všeobecných študijných predpokladov. </w:t>
      </w:r>
      <w:r w:rsidR="007D4510">
        <w:rPr>
          <w:rFonts w:asciiTheme="majorHAnsi" w:hAnsiTheme="majorHAnsi" w:cstheme="majorHAnsi"/>
        </w:rPr>
        <w:t>Bližšie sa ku krízovej situácii</w:t>
      </w:r>
      <w:r w:rsidR="005F7294">
        <w:rPr>
          <w:rFonts w:asciiTheme="majorHAnsi" w:hAnsiTheme="majorHAnsi" w:cstheme="majorHAnsi"/>
        </w:rPr>
        <w:t xml:space="preserve"> v súvislosti s konfliktom na Ukrajine </w:t>
      </w:r>
      <w:r w:rsidR="0032407D">
        <w:rPr>
          <w:rFonts w:asciiTheme="majorHAnsi" w:hAnsiTheme="majorHAnsi" w:cstheme="majorHAnsi"/>
        </w:rPr>
        <w:t>uvádza v </w:t>
      </w:r>
      <w:r w:rsidR="0032407D" w:rsidRPr="009F50B6">
        <w:rPr>
          <w:rFonts w:asciiTheme="majorHAnsi" w:hAnsiTheme="majorHAnsi" w:cstheme="majorHAnsi"/>
        </w:rPr>
        <w:t xml:space="preserve">časti </w:t>
      </w:r>
      <w:r w:rsidR="009F50B6" w:rsidRPr="005A4758">
        <w:rPr>
          <w:rFonts w:asciiTheme="majorHAnsi" w:hAnsiTheme="majorHAnsi" w:cstheme="majorHAnsi"/>
          <w:u w:val="single"/>
        </w:rPr>
        <w:fldChar w:fldCharType="begin"/>
      </w:r>
      <w:r w:rsidR="009F50B6" w:rsidRPr="005A4758">
        <w:rPr>
          <w:rFonts w:asciiTheme="majorHAnsi" w:hAnsiTheme="majorHAnsi" w:cstheme="majorHAnsi"/>
          <w:u w:val="single"/>
        </w:rPr>
        <w:instrText xml:space="preserve"> REF _Ref127222097 \r \h </w:instrText>
      </w:r>
      <w:r w:rsidR="005A4758">
        <w:rPr>
          <w:rFonts w:asciiTheme="majorHAnsi" w:hAnsiTheme="majorHAnsi" w:cstheme="majorHAnsi"/>
          <w:u w:val="single"/>
        </w:rPr>
        <w:instrText xml:space="preserve"> \* MERGEFORMAT </w:instrText>
      </w:r>
      <w:r w:rsidR="009F50B6" w:rsidRPr="005A4758">
        <w:rPr>
          <w:rFonts w:asciiTheme="majorHAnsi" w:hAnsiTheme="majorHAnsi" w:cstheme="majorHAnsi"/>
          <w:u w:val="single"/>
        </w:rPr>
      </w:r>
      <w:r w:rsidR="009F50B6" w:rsidRPr="005A4758">
        <w:rPr>
          <w:rFonts w:asciiTheme="majorHAnsi" w:hAnsiTheme="majorHAnsi" w:cstheme="majorHAnsi"/>
          <w:u w:val="single"/>
        </w:rPr>
        <w:fldChar w:fldCharType="separate"/>
      </w:r>
      <w:r w:rsidR="00EE1B59">
        <w:rPr>
          <w:rFonts w:asciiTheme="majorHAnsi" w:hAnsiTheme="majorHAnsi" w:cstheme="majorHAnsi"/>
          <w:u w:val="single"/>
        </w:rPr>
        <w:t>14</w:t>
      </w:r>
      <w:r w:rsidR="009F50B6" w:rsidRPr="005A4758">
        <w:rPr>
          <w:rFonts w:asciiTheme="majorHAnsi" w:hAnsiTheme="majorHAnsi" w:cstheme="majorHAnsi"/>
          <w:u w:val="single"/>
        </w:rPr>
        <w:fldChar w:fldCharType="end"/>
      </w:r>
      <w:r w:rsidR="0032407D">
        <w:rPr>
          <w:rFonts w:asciiTheme="majorHAnsi" w:hAnsiTheme="majorHAnsi" w:cstheme="majorHAnsi"/>
        </w:rPr>
        <w:t xml:space="preserve"> tejto správy. </w:t>
      </w:r>
    </w:p>
    <w:p w14:paraId="2E5DA61C" w14:textId="37ACE01D" w:rsidR="00F87B49" w:rsidRPr="0053555E" w:rsidRDefault="00556371" w:rsidP="00324438">
      <w:pPr>
        <w:tabs>
          <w:tab w:val="left" w:pos="9356"/>
        </w:tabs>
        <w:spacing w:after="120"/>
        <w:jc w:val="both"/>
        <w:rPr>
          <w:rFonts w:asciiTheme="majorHAnsi" w:hAnsiTheme="majorHAnsi" w:cstheme="majorHAnsi"/>
        </w:rPr>
      </w:pPr>
      <w:r>
        <w:rPr>
          <w:rFonts w:asciiTheme="majorHAnsi" w:hAnsiTheme="majorHAnsi" w:cstheme="majorHAnsi"/>
        </w:rPr>
        <w:t>Z dôvodu trvania krízovej situácie bolo vysokým školám</w:t>
      </w:r>
      <w:r w:rsidR="00C20767" w:rsidRPr="0053555E">
        <w:rPr>
          <w:rFonts w:asciiTheme="majorHAnsi" w:hAnsiTheme="majorHAnsi" w:cstheme="majorHAnsi"/>
        </w:rPr>
        <w:t xml:space="preserve"> umož</w:t>
      </w:r>
      <w:r>
        <w:rPr>
          <w:rFonts w:asciiTheme="majorHAnsi" w:hAnsiTheme="majorHAnsi" w:cstheme="majorHAnsi"/>
        </w:rPr>
        <w:t>nené</w:t>
      </w:r>
      <w:r w:rsidR="00C20767" w:rsidRPr="0053555E">
        <w:rPr>
          <w:rFonts w:asciiTheme="majorHAnsi" w:hAnsiTheme="majorHAnsi" w:cstheme="majorHAnsi"/>
        </w:rPr>
        <w:t xml:space="preserve"> </w:t>
      </w:r>
      <w:r>
        <w:rPr>
          <w:rFonts w:asciiTheme="majorHAnsi" w:hAnsiTheme="majorHAnsi" w:cstheme="majorHAnsi"/>
        </w:rPr>
        <w:t xml:space="preserve">využiť </w:t>
      </w:r>
      <w:r w:rsidR="00C20767" w:rsidRPr="0053555E">
        <w:rPr>
          <w:rFonts w:asciiTheme="majorHAnsi" w:hAnsiTheme="majorHAnsi" w:cstheme="majorHAnsi"/>
        </w:rPr>
        <w:t>osobitné ustanovenia §</w:t>
      </w:r>
      <w:r>
        <w:rPr>
          <w:rFonts w:asciiTheme="majorHAnsi" w:hAnsiTheme="majorHAnsi" w:cstheme="majorHAnsi"/>
        </w:rPr>
        <w:t> </w:t>
      </w:r>
      <w:r w:rsidR="00C20767" w:rsidRPr="0053555E">
        <w:rPr>
          <w:rFonts w:asciiTheme="majorHAnsi" w:hAnsiTheme="majorHAnsi" w:cstheme="majorHAnsi"/>
        </w:rPr>
        <w:t>108e zákona o vysokých školách</w:t>
      </w:r>
      <w:r w:rsidR="001849AD" w:rsidRPr="0053555E">
        <w:rPr>
          <w:rFonts w:asciiTheme="majorHAnsi" w:hAnsiTheme="majorHAnsi" w:cstheme="majorHAnsi"/>
        </w:rPr>
        <w:t xml:space="preserve">, ktoré </w:t>
      </w:r>
      <w:r>
        <w:rPr>
          <w:rFonts w:asciiTheme="majorHAnsi" w:hAnsiTheme="majorHAnsi" w:cstheme="majorHAnsi"/>
        </w:rPr>
        <w:t xml:space="preserve">ich </w:t>
      </w:r>
      <w:r w:rsidR="001849AD" w:rsidRPr="0053555E">
        <w:rPr>
          <w:rFonts w:asciiTheme="majorHAnsi" w:hAnsiTheme="majorHAnsi" w:cstheme="majorHAnsi"/>
        </w:rPr>
        <w:t xml:space="preserve">oprávňovali </w:t>
      </w:r>
      <w:r w:rsidR="005F0ABB" w:rsidRPr="0053555E">
        <w:rPr>
          <w:rFonts w:asciiTheme="majorHAnsi" w:hAnsiTheme="majorHAnsi" w:cstheme="majorHAnsi"/>
        </w:rPr>
        <w:t>zmeniť</w:t>
      </w:r>
      <w:r w:rsidR="00336347" w:rsidRPr="0053555E">
        <w:rPr>
          <w:rFonts w:asciiTheme="majorHAnsi" w:hAnsiTheme="majorHAnsi" w:cstheme="majorHAnsi"/>
        </w:rPr>
        <w:t xml:space="preserve"> </w:t>
      </w:r>
      <w:r w:rsidR="00E217EF" w:rsidRPr="0053555E">
        <w:rPr>
          <w:rFonts w:asciiTheme="majorHAnsi" w:hAnsiTheme="majorHAnsi" w:cstheme="majorHAnsi"/>
        </w:rPr>
        <w:t xml:space="preserve">zverejnené </w:t>
      </w:r>
      <w:r w:rsidR="004060DF" w:rsidRPr="0053555E">
        <w:rPr>
          <w:rFonts w:asciiTheme="majorHAnsi" w:hAnsiTheme="majorHAnsi" w:cstheme="majorHAnsi"/>
        </w:rPr>
        <w:t>informáci</w:t>
      </w:r>
      <w:r w:rsidR="00DF4FBA" w:rsidRPr="0053555E">
        <w:rPr>
          <w:rFonts w:asciiTheme="majorHAnsi" w:hAnsiTheme="majorHAnsi" w:cstheme="majorHAnsi"/>
        </w:rPr>
        <w:t>e</w:t>
      </w:r>
      <w:r w:rsidR="004060DF" w:rsidRPr="0053555E">
        <w:rPr>
          <w:rFonts w:asciiTheme="majorHAnsi" w:hAnsiTheme="majorHAnsi" w:cstheme="majorHAnsi"/>
        </w:rPr>
        <w:t xml:space="preserve"> o prijímacom konaní</w:t>
      </w:r>
      <w:r w:rsidR="00873502" w:rsidRPr="0053555E">
        <w:rPr>
          <w:rFonts w:asciiTheme="majorHAnsi" w:hAnsiTheme="majorHAnsi" w:cstheme="majorHAnsi"/>
        </w:rPr>
        <w:t>,</w:t>
      </w:r>
      <w:r w:rsidR="004060DF" w:rsidRPr="0053555E">
        <w:rPr>
          <w:rFonts w:asciiTheme="majorHAnsi" w:hAnsiTheme="majorHAnsi" w:cstheme="majorHAnsi"/>
        </w:rPr>
        <w:t xml:space="preserve"> </w:t>
      </w:r>
      <w:r w:rsidR="00896DAC" w:rsidRPr="0053555E">
        <w:rPr>
          <w:rFonts w:asciiTheme="majorHAnsi" w:hAnsiTheme="majorHAnsi" w:cstheme="majorHAnsi"/>
        </w:rPr>
        <w:t xml:space="preserve">zmeniť </w:t>
      </w:r>
      <w:r w:rsidR="00873502" w:rsidRPr="0053555E">
        <w:rPr>
          <w:rFonts w:asciiTheme="majorHAnsi" w:hAnsiTheme="majorHAnsi" w:cstheme="majorHAnsi"/>
        </w:rPr>
        <w:t>termín</w:t>
      </w:r>
      <w:r w:rsidR="00896DAC" w:rsidRPr="0053555E">
        <w:rPr>
          <w:rFonts w:asciiTheme="majorHAnsi" w:hAnsiTheme="majorHAnsi" w:cstheme="majorHAnsi"/>
        </w:rPr>
        <w:t xml:space="preserve">y </w:t>
      </w:r>
      <w:r w:rsidR="00873502" w:rsidRPr="0053555E">
        <w:rPr>
          <w:rFonts w:asciiTheme="majorHAnsi" w:hAnsiTheme="majorHAnsi" w:cstheme="majorHAnsi"/>
        </w:rPr>
        <w:t>prijímacieho konania a</w:t>
      </w:r>
      <w:r w:rsidR="00896DAC" w:rsidRPr="0053555E">
        <w:rPr>
          <w:rFonts w:asciiTheme="majorHAnsi" w:hAnsiTheme="majorHAnsi" w:cstheme="majorHAnsi"/>
        </w:rPr>
        <w:t xml:space="preserve"> tiež </w:t>
      </w:r>
      <w:r w:rsidR="00336347" w:rsidRPr="0053555E">
        <w:rPr>
          <w:rFonts w:asciiTheme="majorHAnsi" w:hAnsiTheme="majorHAnsi" w:cstheme="majorHAnsi"/>
        </w:rPr>
        <w:t>ďalš</w:t>
      </w:r>
      <w:r w:rsidR="00896DAC" w:rsidRPr="0053555E">
        <w:rPr>
          <w:rFonts w:asciiTheme="majorHAnsi" w:hAnsiTheme="majorHAnsi" w:cstheme="majorHAnsi"/>
        </w:rPr>
        <w:t>ie</w:t>
      </w:r>
      <w:r w:rsidR="00336347" w:rsidRPr="0053555E">
        <w:rPr>
          <w:rFonts w:asciiTheme="majorHAnsi" w:hAnsiTheme="majorHAnsi" w:cstheme="majorHAnsi"/>
        </w:rPr>
        <w:t xml:space="preserve"> podmien</w:t>
      </w:r>
      <w:r w:rsidR="00896DAC" w:rsidRPr="0053555E">
        <w:rPr>
          <w:rFonts w:asciiTheme="majorHAnsi" w:hAnsiTheme="majorHAnsi" w:cstheme="majorHAnsi"/>
        </w:rPr>
        <w:t>ky prijímania</w:t>
      </w:r>
      <w:r w:rsidR="00336347" w:rsidRPr="0053555E">
        <w:rPr>
          <w:rFonts w:asciiTheme="majorHAnsi" w:hAnsiTheme="majorHAnsi" w:cstheme="majorHAnsi"/>
        </w:rPr>
        <w:t xml:space="preserve">, </w:t>
      </w:r>
      <w:r w:rsidR="00873502" w:rsidRPr="0053555E">
        <w:rPr>
          <w:rFonts w:asciiTheme="majorHAnsi" w:hAnsiTheme="majorHAnsi" w:cstheme="majorHAnsi"/>
        </w:rPr>
        <w:t xml:space="preserve">ktoré nebolo potrebné opätovne </w:t>
      </w:r>
      <w:r w:rsidR="004060DF" w:rsidRPr="0053555E">
        <w:rPr>
          <w:rFonts w:asciiTheme="majorHAnsi" w:hAnsiTheme="majorHAnsi" w:cstheme="majorHAnsi"/>
        </w:rPr>
        <w:t>schvál</w:t>
      </w:r>
      <w:r w:rsidR="004D1517" w:rsidRPr="0053555E">
        <w:rPr>
          <w:rFonts w:asciiTheme="majorHAnsi" w:hAnsiTheme="majorHAnsi" w:cstheme="majorHAnsi"/>
        </w:rPr>
        <w:t>iť</w:t>
      </w:r>
      <w:r w:rsidR="004060DF" w:rsidRPr="0053555E">
        <w:rPr>
          <w:rFonts w:asciiTheme="majorHAnsi" w:hAnsiTheme="majorHAnsi" w:cstheme="majorHAnsi"/>
        </w:rPr>
        <w:t xml:space="preserve"> akademickým senátom fakulty alebo univerzity. </w:t>
      </w:r>
    </w:p>
    <w:p w14:paraId="5706887E" w14:textId="42A1A040" w:rsidR="006A4C7E" w:rsidRPr="0053555E" w:rsidRDefault="009144F9" w:rsidP="006A4C7E">
      <w:pPr>
        <w:tabs>
          <w:tab w:val="left" w:pos="9356"/>
        </w:tabs>
        <w:spacing w:after="120"/>
        <w:jc w:val="both"/>
        <w:rPr>
          <w:rFonts w:asciiTheme="majorHAnsi" w:hAnsiTheme="majorHAnsi" w:cstheme="majorHAnsi"/>
        </w:rPr>
      </w:pPr>
      <w:r w:rsidRPr="009144F9">
        <w:rPr>
          <w:rFonts w:asciiTheme="majorHAnsi" w:hAnsiTheme="majorHAnsi" w:cstheme="majorHAnsi"/>
          <w:b/>
        </w:rPr>
        <w:t>P</w:t>
      </w:r>
      <w:r w:rsidR="002071AC" w:rsidRPr="009144F9">
        <w:rPr>
          <w:rFonts w:asciiTheme="majorHAnsi" w:hAnsiTheme="majorHAnsi" w:cstheme="majorHAnsi"/>
          <w:b/>
        </w:rPr>
        <w:t>ropagáci</w:t>
      </w:r>
      <w:r>
        <w:rPr>
          <w:rFonts w:asciiTheme="majorHAnsi" w:hAnsiTheme="majorHAnsi" w:cstheme="majorHAnsi"/>
          <w:b/>
        </w:rPr>
        <w:t>a</w:t>
      </w:r>
      <w:r w:rsidR="002071AC" w:rsidRPr="0053555E">
        <w:rPr>
          <w:rFonts w:asciiTheme="majorHAnsi" w:hAnsiTheme="majorHAnsi" w:cstheme="majorHAnsi"/>
          <w:b/>
        </w:rPr>
        <w:t xml:space="preserve"> štúdia</w:t>
      </w:r>
      <w:r w:rsidR="00191EDA" w:rsidRPr="0053555E">
        <w:rPr>
          <w:rFonts w:asciiTheme="majorHAnsi" w:hAnsiTheme="majorHAnsi" w:cstheme="majorHAnsi"/>
          <w:b/>
        </w:rPr>
        <w:t xml:space="preserve"> </w:t>
      </w:r>
      <w:r w:rsidR="00E61EE8">
        <w:rPr>
          <w:rFonts w:asciiTheme="majorHAnsi" w:hAnsiTheme="majorHAnsi" w:cstheme="majorHAnsi"/>
          <w:b/>
        </w:rPr>
        <w:t xml:space="preserve">na STU bola </w:t>
      </w:r>
      <w:r w:rsidR="00191EDA" w:rsidRPr="0053555E">
        <w:rPr>
          <w:rFonts w:asciiTheme="majorHAnsi" w:hAnsiTheme="majorHAnsi" w:cstheme="majorHAnsi"/>
          <w:b/>
        </w:rPr>
        <w:t>zameran</w:t>
      </w:r>
      <w:r w:rsidR="00E61EE8">
        <w:rPr>
          <w:rFonts w:asciiTheme="majorHAnsi" w:hAnsiTheme="majorHAnsi" w:cstheme="majorHAnsi"/>
          <w:b/>
        </w:rPr>
        <w:t>á</w:t>
      </w:r>
      <w:r w:rsidR="00191EDA" w:rsidRPr="0053555E">
        <w:rPr>
          <w:rFonts w:asciiTheme="majorHAnsi" w:hAnsiTheme="majorHAnsi" w:cstheme="majorHAnsi"/>
          <w:b/>
        </w:rPr>
        <w:t xml:space="preserve"> predovšetkým na získanie uchádzačov o štúdium bakalárskych študijných programov</w:t>
      </w:r>
      <w:r w:rsidR="00E61EE8">
        <w:rPr>
          <w:rFonts w:asciiTheme="majorHAnsi" w:hAnsiTheme="majorHAnsi" w:cstheme="majorHAnsi"/>
          <w:b/>
        </w:rPr>
        <w:t xml:space="preserve">, </w:t>
      </w:r>
      <w:r w:rsidR="00E61EE8" w:rsidRPr="005905BE">
        <w:rPr>
          <w:rFonts w:asciiTheme="majorHAnsi" w:hAnsiTheme="majorHAnsi" w:cstheme="majorHAnsi"/>
        </w:rPr>
        <w:t xml:space="preserve">na čo boli </w:t>
      </w:r>
      <w:r w:rsidR="005905BE" w:rsidRPr="005905BE">
        <w:rPr>
          <w:rFonts w:asciiTheme="majorHAnsi" w:hAnsiTheme="majorHAnsi" w:cstheme="majorHAnsi"/>
        </w:rPr>
        <w:t>použité</w:t>
      </w:r>
      <w:r w:rsidR="00044644" w:rsidRPr="0053555E">
        <w:rPr>
          <w:rFonts w:asciiTheme="majorHAnsi" w:hAnsiTheme="majorHAnsi" w:cstheme="majorHAnsi"/>
          <w:b/>
        </w:rPr>
        <w:t xml:space="preserve"> </w:t>
      </w:r>
      <w:r w:rsidR="00044644" w:rsidRPr="0053555E">
        <w:rPr>
          <w:rFonts w:asciiTheme="majorHAnsi" w:hAnsiTheme="majorHAnsi" w:cstheme="majorHAnsi"/>
        </w:rPr>
        <w:t>r</w:t>
      </w:r>
      <w:r w:rsidR="002071AC" w:rsidRPr="0053555E">
        <w:rPr>
          <w:rFonts w:asciiTheme="majorHAnsi" w:hAnsiTheme="majorHAnsi" w:cstheme="majorHAnsi"/>
        </w:rPr>
        <w:t>ôzne možnosti a formy</w:t>
      </w:r>
      <w:r w:rsidR="00F436D7" w:rsidRPr="0053555E">
        <w:rPr>
          <w:rFonts w:asciiTheme="majorHAnsi" w:hAnsiTheme="majorHAnsi" w:cstheme="majorHAnsi"/>
        </w:rPr>
        <w:t xml:space="preserve">. </w:t>
      </w:r>
      <w:r w:rsidR="006A4C7E" w:rsidRPr="0053555E">
        <w:rPr>
          <w:rFonts w:asciiTheme="majorHAnsi" w:hAnsiTheme="majorHAnsi" w:cstheme="majorHAnsi"/>
        </w:rPr>
        <w:t xml:space="preserve">Primárnou cieľovou skupinou propagačnej kampane boli žiaci stredných škôl </w:t>
      </w:r>
      <w:r w:rsidR="00724D17">
        <w:rPr>
          <w:rFonts w:asciiTheme="majorHAnsi" w:hAnsiTheme="majorHAnsi" w:cstheme="majorHAnsi"/>
        </w:rPr>
        <w:t xml:space="preserve">a mladí ľudia </w:t>
      </w:r>
      <w:r w:rsidR="006A4C7E" w:rsidRPr="0053555E">
        <w:rPr>
          <w:rFonts w:asciiTheme="majorHAnsi" w:hAnsiTheme="majorHAnsi" w:cstheme="majorHAnsi"/>
        </w:rPr>
        <w:t>vo veku 17 až 21 rokov, sekundárnou cieľovou skupinou boli rodičia týchto žiakov, ktorí majú podstatný vplyv na ďalšie smerovanie svojich detí</w:t>
      </w:r>
      <w:r w:rsidR="00E554C9">
        <w:rPr>
          <w:rFonts w:asciiTheme="majorHAnsi" w:hAnsiTheme="majorHAnsi" w:cstheme="majorHAnsi"/>
        </w:rPr>
        <w:t xml:space="preserve">. </w:t>
      </w:r>
      <w:r w:rsidR="00811E43">
        <w:rPr>
          <w:rFonts w:asciiTheme="majorHAnsi" w:hAnsiTheme="majorHAnsi" w:cstheme="majorHAnsi"/>
        </w:rPr>
        <w:t>Týmto</w:t>
      </w:r>
      <w:r w:rsidR="006A4C7E">
        <w:rPr>
          <w:rFonts w:asciiTheme="majorHAnsi" w:hAnsiTheme="majorHAnsi" w:cstheme="majorHAnsi"/>
        </w:rPr>
        <w:t xml:space="preserve"> cieľovým skupinám boli prispôsobené rôzne formy propagačnej kampane</w:t>
      </w:r>
      <w:r w:rsidR="006A4C7E" w:rsidRPr="0053555E">
        <w:rPr>
          <w:rFonts w:asciiTheme="majorHAnsi" w:hAnsiTheme="majorHAnsi" w:cstheme="majorHAnsi"/>
        </w:rPr>
        <w:t xml:space="preserve">. </w:t>
      </w:r>
    </w:p>
    <w:p w14:paraId="39A6F91A" w14:textId="4819B7B4" w:rsidR="002C74C8" w:rsidRDefault="00F436D7" w:rsidP="00B62BB5">
      <w:pPr>
        <w:tabs>
          <w:tab w:val="left" w:pos="3828"/>
          <w:tab w:val="left" w:pos="9356"/>
        </w:tabs>
        <w:spacing w:after="120"/>
        <w:jc w:val="both"/>
        <w:rPr>
          <w:rFonts w:asciiTheme="majorHAnsi" w:hAnsiTheme="majorHAnsi" w:cstheme="majorHAnsi"/>
        </w:rPr>
      </w:pPr>
      <w:r w:rsidRPr="0053555E">
        <w:rPr>
          <w:rFonts w:asciiTheme="majorHAnsi" w:hAnsiTheme="majorHAnsi" w:cstheme="majorHAnsi"/>
        </w:rPr>
        <w:lastRenderedPageBreak/>
        <w:t>Vo</w:t>
      </w:r>
      <w:r w:rsidR="002071AC" w:rsidRPr="0053555E">
        <w:rPr>
          <w:rFonts w:asciiTheme="majorHAnsi" w:hAnsiTheme="majorHAnsi" w:cstheme="majorHAnsi"/>
        </w:rPr>
        <w:t xml:space="preserve"> všeobecnosti </w:t>
      </w:r>
      <w:r w:rsidRPr="0053555E">
        <w:rPr>
          <w:rFonts w:asciiTheme="majorHAnsi" w:hAnsiTheme="majorHAnsi" w:cstheme="majorHAnsi"/>
        </w:rPr>
        <w:t xml:space="preserve">sa propagácia </w:t>
      </w:r>
      <w:r w:rsidR="001C5E9C" w:rsidRPr="0053555E">
        <w:rPr>
          <w:rFonts w:asciiTheme="majorHAnsi" w:hAnsiTheme="majorHAnsi" w:cstheme="majorHAnsi"/>
        </w:rPr>
        <w:t xml:space="preserve">realizovala </w:t>
      </w:r>
      <w:r w:rsidR="002B4552">
        <w:rPr>
          <w:rFonts w:asciiTheme="majorHAnsi" w:hAnsiTheme="majorHAnsi" w:cstheme="majorHAnsi"/>
        </w:rPr>
        <w:t>najmä</w:t>
      </w:r>
      <w:r w:rsidR="002071AC" w:rsidRPr="0053555E">
        <w:rPr>
          <w:rFonts w:asciiTheme="majorHAnsi" w:hAnsiTheme="majorHAnsi" w:cstheme="majorHAnsi"/>
        </w:rPr>
        <w:t xml:space="preserve"> prostredníctvom informácií </w:t>
      </w:r>
      <w:r w:rsidR="001C5E9C" w:rsidRPr="0053555E">
        <w:rPr>
          <w:rFonts w:asciiTheme="majorHAnsi" w:hAnsiTheme="majorHAnsi" w:cstheme="majorHAnsi"/>
        </w:rPr>
        <w:t xml:space="preserve">zverejňovaných </w:t>
      </w:r>
      <w:r w:rsidR="002071AC" w:rsidRPr="0053555E">
        <w:rPr>
          <w:rFonts w:asciiTheme="majorHAnsi" w:hAnsiTheme="majorHAnsi" w:cstheme="majorHAnsi"/>
        </w:rPr>
        <w:t>na</w:t>
      </w:r>
      <w:r w:rsidR="00472FF0">
        <w:rPr>
          <w:rFonts w:asciiTheme="majorHAnsi" w:hAnsiTheme="majorHAnsi" w:cstheme="majorHAnsi"/>
        </w:rPr>
        <w:t> </w:t>
      </w:r>
      <w:r w:rsidR="005905BE">
        <w:rPr>
          <w:rFonts w:asciiTheme="majorHAnsi" w:hAnsiTheme="majorHAnsi" w:cstheme="majorHAnsi"/>
        </w:rPr>
        <w:t>webovom sídle</w:t>
      </w:r>
      <w:r w:rsidR="002071AC" w:rsidRPr="0053555E">
        <w:rPr>
          <w:rFonts w:asciiTheme="majorHAnsi" w:hAnsiTheme="majorHAnsi" w:cstheme="majorHAnsi"/>
        </w:rPr>
        <w:t xml:space="preserve"> univerzity a</w:t>
      </w:r>
      <w:r w:rsidR="00737CD3" w:rsidRPr="0053555E">
        <w:rPr>
          <w:rFonts w:asciiTheme="majorHAnsi" w:hAnsiTheme="majorHAnsi" w:cstheme="majorHAnsi"/>
        </w:rPr>
        <w:t> jej súčastí</w:t>
      </w:r>
      <w:r w:rsidR="00EF5736" w:rsidRPr="0053555E">
        <w:rPr>
          <w:rFonts w:asciiTheme="majorHAnsi" w:hAnsiTheme="majorHAnsi" w:cstheme="majorHAnsi"/>
        </w:rPr>
        <w:t>,</w:t>
      </w:r>
      <w:r w:rsidR="002071AC" w:rsidRPr="0053555E">
        <w:rPr>
          <w:rFonts w:asciiTheme="majorHAnsi" w:hAnsiTheme="majorHAnsi" w:cstheme="majorHAnsi"/>
        </w:rPr>
        <w:t xml:space="preserve"> </w:t>
      </w:r>
      <w:r w:rsidR="00FC6997" w:rsidRPr="0053555E">
        <w:rPr>
          <w:rFonts w:asciiTheme="majorHAnsi" w:hAnsiTheme="majorHAnsi" w:cstheme="majorHAnsi"/>
        </w:rPr>
        <w:t xml:space="preserve">na webovej </w:t>
      </w:r>
      <w:r w:rsidR="002C74C8">
        <w:rPr>
          <w:rFonts w:asciiTheme="majorHAnsi" w:hAnsiTheme="majorHAnsi" w:cstheme="majorHAnsi"/>
        </w:rPr>
        <w:t>stránke</w:t>
      </w:r>
      <w:r w:rsidR="00FC6997" w:rsidRPr="0053555E">
        <w:rPr>
          <w:rFonts w:asciiTheme="majorHAnsi" w:hAnsiTheme="majorHAnsi" w:cstheme="majorHAnsi"/>
        </w:rPr>
        <w:t xml:space="preserve"> </w:t>
      </w:r>
      <w:hyperlink r:id="rId33" w:history="1">
        <w:r w:rsidR="00506FFD" w:rsidRPr="002E27C6">
          <w:rPr>
            <w:rStyle w:val="Hypertextovprepojenie"/>
            <w:rFonts w:asciiTheme="majorHAnsi" w:hAnsiTheme="majorHAnsi" w:cstheme="majorHAnsi"/>
          </w:rPr>
          <w:t>www.portalvs.sk</w:t>
        </w:r>
      </w:hyperlink>
      <w:r w:rsidR="00031077" w:rsidRPr="0053555E">
        <w:rPr>
          <w:rStyle w:val="Hypertextovprepojenie"/>
          <w:rFonts w:asciiTheme="majorHAnsi" w:hAnsiTheme="majorHAnsi" w:cstheme="majorHAnsi"/>
          <w:color w:val="auto"/>
        </w:rPr>
        <w:t>;</w:t>
      </w:r>
      <w:r w:rsidR="000D285D" w:rsidRPr="0053555E">
        <w:rPr>
          <w:rFonts w:asciiTheme="majorHAnsi" w:hAnsiTheme="majorHAnsi" w:cstheme="majorHAnsi"/>
        </w:rPr>
        <w:t xml:space="preserve"> </w:t>
      </w:r>
      <w:r w:rsidR="00471B85" w:rsidRPr="0053555E">
        <w:rPr>
          <w:rFonts w:asciiTheme="majorHAnsi" w:hAnsiTheme="majorHAnsi" w:cstheme="majorHAnsi"/>
        </w:rPr>
        <w:t>platenou online prezentáciou na</w:t>
      </w:r>
      <w:r w:rsidR="00BD2BAD">
        <w:rPr>
          <w:rFonts w:asciiTheme="majorHAnsi" w:hAnsiTheme="majorHAnsi" w:cstheme="majorHAnsi"/>
        </w:rPr>
        <w:t> </w:t>
      </w:r>
      <w:r w:rsidR="005C3EAB" w:rsidRPr="0053555E">
        <w:rPr>
          <w:rFonts w:asciiTheme="majorHAnsi" w:hAnsiTheme="majorHAnsi" w:cstheme="majorHAnsi"/>
        </w:rPr>
        <w:t>portáloch</w:t>
      </w:r>
      <w:r w:rsidR="00471B85" w:rsidRPr="0053555E">
        <w:rPr>
          <w:rFonts w:asciiTheme="majorHAnsi" w:hAnsiTheme="majorHAnsi" w:cstheme="majorHAnsi"/>
        </w:rPr>
        <w:t xml:space="preserve"> </w:t>
      </w:r>
      <w:hyperlink r:id="rId34" w:history="1">
        <w:r w:rsidR="00471B85" w:rsidRPr="00BD2BAD">
          <w:rPr>
            <w:rStyle w:val="Hypertextovprepojenie"/>
            <w:rFonts w:asciiTheme="majorHAnsi" w:hAnsiTheme="majorHAnsi" w:cstheme="majorHAnsi"/>
          </w:rPr>
          <w:t>VysokeSkoly.sk</w:t>
        </w:r>
      </w:hyperlink>
      <w:r w:rsidR="00506FFD">
        <w:rPr>
          <w:rFonts w:asciiTheme="majorHAnsi" w:hAnsiTheme="majorHAnsi" w:cstheme="majorHAnsi"/>
        </w:rPr>
        <w:t xml:space="preserve"> </w:t>
      </w:r>
      <w:r w:rsidR="00471B85" w:rsidRPr="0053555E">
        <w:rPr>
          <w:rFonts w:asciiTheme="majorHAnsi" w:hAnsiTheme="majorHAnsi" w:cstheme="majorHAnsi"/>
        </w:rPr>
        <w:t xml:space="preserve">a </w:t>
      </w:r>
      <w:hyperlink r:id="rId35" w:history="1">
        <w:r w:rsidR="00471B85" w:rsidRPr="00FB1446">
          <w:rPr>
            <w:rStyle w:val="Hypertextovprepojenie"/>
            <w:rFonts w:asciiTheme="majorHAnsi" w:hAnsiTheme="majorHAnsi" w:cstheme="majorHAnsi"/>
          </w:rPr>
          <w:t>Videoportál VŠ</w:t>
        </w:r>
      </w:hyperlink>
      <w:r w:rsidR="00FB1446">
        <w:rPr>
          <w:rFonts w:asciiTheme="majorHAnsi" w:hAnsiTheme="majorHAnsi" w:cstheme="majorHAnsi"/>
        </w:rPr>
        <w:t xml:space="preserve">. </w:t>
      </w:r>
      <w:r w:rsidR="00F520C5">
        <w:rPr>
          <w:rFonts w:asciiTheme="majorHAnsi" w:hAnsiTheme="majorHAnsi" w:cstheme="majorHAnsi"/>
        </w:rPr>
        <w:t>STU už niekoľko rokov na</w:t>
      </w:r>
      <w:r w:rsidR="00E554C9">
        <w:rPr>
          <w:rFonts w:asciiTheme="majorHAnsi" w:hAnsiTheme="majorHAnsi" w:cstheme="majorHAnsi"/>
        </w:rPr>
        <w:t> </w:t>
      </w:r>
      <w:r w:rsidR="00F520C5">
        <w:rPr>
          <w:rFonts w:asciiTheme="majorHAnsi" w:hAnsiTheme="majorHAnsi" w:cstheme="majorHAnsi"/>
        </w:rPr>
        <w:t xml:space="preserve">propagáciu štúdia využíva </w:t>
      </w:r>
      <w:r w:rsidR="00471B85" w:rsidRPr="0053555E">
        <w:rPr>
          <w:rFonts w:asciiTheme="majorHAnsi" w:hAnsiTheme="majorHAnsi" w:cstheme="majorHAnsi"/>
        </w:rPr>
        <w:t>aktívnu účasť na online veľtrhoch a veľtrhoch z</w:t>
      </w:r>
      <w:r w:rsidR="00083765" w:rsidRPr="0053555E">
        <w:rPr>
          <w:rFonts w:asciiTheme="majorHAnsi" w:hAnsiTheme="majorHAnsi" w:cstheme="majorHAnsi"/>
        </w:rPr>
        <w:t>ameraných na </w:t>
      </w:r>
      <w:r w:rsidR="00471B85" w:rsidRPr="0053555E">
        <w:rPr>
          <w:rFonts w:asciiTheme="majorHAnsi" w:hAnsiTheme="majorHAnsi" w:cstheme="majorHAnsi"/>
        </w:rPr>
        <w:t>propagáciu</w:t>
      </w:r>
      <w:r w:rsidR="00A2726B">
        <w:rPr>
          <w:rFonts w:asciiTheme="majorHAnsi" w:hAnsiTheme="majorHAnsi" w:cstheme="majorHAnsi"/>
        </w:rPr>
        <w:t>, ktorými sú najmä</w:t>
      </w:r>
      <w:r w:rsidR="00471B85" w:rsidRPr="0053555E">
        <w:rPr>
          <w:rFonts w:asciiTheme="majorHAnsi" w:hAnsiTheme="majorHAnsi" w:cstheme="majorHAnsi"/>
        </w:rPr>
        <w:t xml:space="preserve"> </w:t>
      </w:r>
      <w:r w:rsidR="00875068" w:rsidRPr="00875068">
        <w:rPr>
          <w:rFonts w:asciiTheme="majorHAnsi" w:hAnsiTheme="majorHAnsi" w:cstheme="majorHAnsi"/>
        </w:rPr>
        <w:t>Gaudemaus – Akadémia Bratislava (október 2022)</w:t>
      </w:r>
      <w:r w:rsidR="003A05C2">
        <w:rPr>
          <w:rFonts w:asciiTheme="majorHAnsi" w:hAnsiTheme="majorHAnsi" w:cstheme="majorHAnsi"/>
        </w:rPr>
        <w:t>,</w:t>
      </w:r>
      <w:r w:rsidR="00875068" w:rsidRPr="00875068">
        <w:rPr>
          <w:rFonts w:asciiTheme="majorHAnsi" w:hAnsiTheme="majorHAnsi" w:cstheme="majorHAnsi"/>
        </w:rPr>
        <w:t xml:space="preserve"> Gaudeamus Brno a Gaudeamus - prezentačné a konzultačné dni Nitra (november 2022)</w:t>
      </w:r>
      <w:r w:rsidR="00466B95">
        <w:rPr>
          <w:rFonts w:asciiTheme="majorHAnsi" w:hAnsiTheme="majorHAnsi" w:cstheme="majorHAnsi"/>
        </w:rPr>
        <w:t xml:space="preserve">, </w:t>
      </w:r>
      <w:r w:rsidR="00453C25">
        <w:rPr>
          <w:rFonts w:asciiTheme="majorHAnsi" w:hAnsiTheme="majorHAnsi" w:cstheme="majorHAnsi"/>
        </w:rPr>
        <w:t xml:space="preserve">alebo aj </w:t>
      </w:r>
      <w:r w:rsidR="006579F9">
        <w:rPr>
          <w:rFonts w:asciiTheme="majorHAnsi" w:hAnsiTheme="majorHAnsi" w:cstheme="majorHAnsi"/>
        </w:rPr>
        <w:t xml:space="preserve">účasť </w:t>
      </w:r>
      <w:r w:rsidR="00E319A1">
        <w:rPr>
          <w:rFonts w:asciiTheme="majorHAnsi" w:hAnsiTheme="majorHAnsi" w:cstheme="majorHAnsi"/>
        </w:rPr>
        <w:t xml:space="preserve">na </w:t>
      </w:r>
      <w:r w:rsidR="006579F9">
        <w:rPr>
          <w:rFonts w:asciiTheme="majorHAnsi" w:hAnsiTheme="majorHAnsi" w:cstheme="majorHAnsi"/>
        </w:rPr>
        <w:t>lokáln</w:t>
      </w:r>
      <w:r w:rsidR="00E319A1">
        <w:rPr>
          <w:rFonts w:asciiTheme="majorHAnsi" w:hAnsiTheme="majorHAnsi" w:cstheme="majorHAnsi"/>
        </w:rPr>
        <w:t>ych</w:t>
      </w:r>
      <w:r w:rsidR="006579F9">
        <w:rPr>
          <w:rFonts w:asciiTheme="majorHAnsi" w:hAnsiTheme="majorHAnsi" w:cstheme="majorHAnsi"/>
        </w:rPr>
        <w:t xml:space="preserve"> podujatia</w:t>
      </w:r>
      <w:r w:rsidR="002B4552">
        <w:rPr>
          <w:rFonts w:asciiTheme="majorHAnsi" w:hAnsiTheme="majorHAnsi" w:cstheme="majorHAnsi"/>
        </w:rPr>
        <w:t>ch</w:t>
      </w:r>
      <w:r w:rsidR="006579F9">
        <w:rPr>
          <w:rFonts w:asciiTheme="majorHAnsi" w:hAnsiTheme="majorHAnsi" w:cstheme="majorHAnsi"/>
        </w:rPr>
        <w:t xml:space="preserve"> ako</w:t>
      </w:r>
      <w:r w:rsidR="00453C25">
        <w:rPr>
          <w:rFonts w:asciiTheme="majorHAnsi" w:hAnsiTheme="majorHAnsi" w:cstheme="majorHAnsi"/>
        </w:rPr>
        <w:t xml:space="preserve"> </w:t>
      </w:r>
      <w:r w:rsidR="00466B95" w:rsidRPr="00466B95">
        <w:rPr>
          <w:rFonts w:cs="Arial"/>
        </w:rPr>
        <w:t>Veľtrh vysokých škôl v Námestove</w:t>
      </w:r>
      <w:r w:rsidR="00875068" w:rsidRPr="00875068">
        <w:rPr>
          <w:rFonts w:asciiTheme="majorHAnsi" w:hAnsiTheme="majorHAnsi" w:cstheme="majorHAnsi"/>
        </w:rPr>
        <w:t>; účasť na podujatiach propagujúcich vedu (najmä Noc výskumníkov, Týždeň vedy a techniky, Noc architektúry)</w:t>
      </w:r>
      <w:r w:rsidR="00E37EDD">
        <w:rPr>
          <w:rFonts w:asciiTheme="majorHAnsi" w:hAnsiTheme="majorHAnsi" w:cstheme="majorHAnsi"/>
        </w:rPr>
        <w:t xml:space="preserve">. </w:t>
      </w:r>
    </w:p>
    <w:p w14:paraId="43EBB0E5" w14:textId="259B62B0" w:rsidR="00B51E74" w:rsidRPr="00547B21" w:rsidRDefault="00B51E74" w:rsidP="00B51E74">
      <w:pPr>
        <w:spacing w:after="120"/>
        <w:jc w:val="both"/>
        <w:rPr>
          <w:rFonts w:asciiTheme="majorHAnsi" w:hAnsiTheme="majorHAnsi" w:cstheme="majorHAnsi"/>
        </w:rPr>
      </w:pPr>
      <w:r>
        <w:rPr>
          <w:rFonts w:cs="Calibri"/>
          <w:lang w:eastAsia="sk-SK"/>
        </w:rPr>
        <w:t>V prvých mesiacoch 2022, vzhľadom na pretrvávajúce pandemické opatrenia, bola propagácia zameraná na online komunikáciu so strednými školami</w:t>
      </w:r>
      <w:r w:rsidRPr="00BA257D">
        <w:rPr>
          <w:rFonts w:cs="Calibri"/>
        </w:rPr>
        <w:t xml:space="preserve"> </w:t>
      </w:r>
      <w:r>
        <w:rPr>
          <w:rFonts w:cs="Calibri"/>
        </w:rPr>
        <w:t>s využitím nástrojov pre video konferencie, najmä Webex, Google Meet a MS Teams</w:t>
      </w:r>
      <w:r>
        <w:rPr>
          <w:rFonts w:cs="Calibri"/>
          <w:lang w:eastAsia="sk-SK"/>
        </w:rPr>
        <w:t xml:space="preserve">. Neskôr bolo možné obnoviť osobné návštevy učiteľov, doktorandov aj ďalších študentov na stredných školách. </w:t>
      </w:r>
      <w:r w:rsidRPr="00181E4B">
        <w:rPr>
          <w:rFonts w:asciiTheme="majorHAnsi" w:hAnsiTheme="majorHAnsi" w:cstheme="majorHAnsi"/>
        </w:rPr>
        <w:t xml:space="preserve">Niektoré fakulty majú </w:t>
      </w:r>
      <w:r w:rsidR="008F0ED5">
        <w:rPr>
          <w:rFonts w:asciiTheme="majorHAnsi" w:hAnsiTheme="majorHAnsi" w:cstheme="majorHAnsi"/>
        </w:rPr>
        <w:t>uzatvorené</w:t>
      </w:r>
      <w:r w:rsidRPr="00181E4B">
        <w:rPr>
          <w:rFonts w:asciiTheme="majorHAnsi" w:hAnsiTheme="majorHAnsi" w:cstheme="majorHAnsi"/>
        </w:rPr>
        <w:t xml:space="preserve"> memorandá o spolupráci s viacerými strednými školami v rámci Slovenska.</w:t>
      </w:r>
      <w:r w:rsidRPr="00B51E74">
        <w:rPr>
          <w:rFonts w:asciiTheme="majorHAnsi" w:hAnsiTheme="majorHAnsi" w:cstheme="majorHAnsi"/>
        </w:rPr>
        <w:t xml:space="preserve"> </w:t>
      </w:r>
      <w:r w:rsidR="002B4552">
        <w:rPr>
          <w:rFonts w:asciiTheme="majorHAnsi" w:hAnsiTheme="majorHAnsi" w:cstheme="majorHAnsi"/>
        </w:rPr>
        <w:t xml:space="preserve">Každý rok </w:t>
      </w:r>
      <w:r w:rsidR="004D6360">
        <w:rPr>
          <w:rFonts w:asciiTheme="majorHAnsi" w:hAnsiTheme="majorHAnsi" w:cstheme="majorHAnsi"/>
        </w:rPr>
        <w:t> </w:t>
      </w:r>
      <w:r w:rsidR="002B4552">
        <w:rPr>
          <w:rFonts w:asciiTheme="majorHAnsi" w:hAnsiTheme="majorHAnsi" w:cstheme="majorHAnsi"/>
        </w:rPr>
        <w:t>jednotlivé súčasti STU organizujú</w:t>
      </w:r>
      <w:r w:rsidRPr="00875068">
        <w:rPr>
          <w:rFonts w:asciiTheme="majorHAnsi" w:hAnsiTheme="majorHAnsi" w:cstheme="majorHAnsi"/>
        </w:rPr>
        <w:t xml:space="preserve"> podujat</w:t>
      </w:r>
      <w:r>
        <w:rPr>
          <w:rFonts w:asciiTheme="majorHAnsi" w:hAnsiTheme="majorHAnsi" w:cstheme="majorHAnsi"/>
        </w:rPr>
        <w:t>ia</w:t>
      </w:r>
      <w:r w:rsidRPr="00875068">
        <w:rPr>
          <w:rFonts w:asciiTheme="majorHAnsi" w:hAnsiTheme="majorHAnsi" w:cstheme="majorHAnsi"/>
        </w:rPr>
        <w:t xml:space="preserve"> pre </w:t>
      </w:r>
      <w:r>
        <w:rPr>
          <w:rFonts w:asciiTheme="majorHAnsi" w:hAnsiTheme="majorHAnsi" w:cstheme="majorHAnsi"/>
        </w:rPr>
        <w:t>žiakov</w:t>
      </w:r>
      <w:r w:rsidRPr="00875068">
        <w:rPr>
          <w:rFonts w:asciiTheme="majorHAnsi" w:hAnsiTheme="majorHAnsi" w:cstheme="majorHAnsi"/>
        </w:rPr>
        <w:t xml:space="preserve"> stredných škôl</w:t>
      </w:r>
      <w:r w:rsidR="002B4552">
        <w:rPr>
          <w:rFonts w:asciiTheme="majorHAnsi" w:hAnsiTheme="majorHAnsi" w:cstheme="majorHAnsi"/>
        </w:rPr>
        <w:t>,</w:t>
      </w:r>
      <w:r>
        <w:rPr>
          <w:rFonts w:asciiTheme="majorHAnsi" w:hAnsiTheme="majorHAnsi" w:cstheme="majorHAnsi"/>
        </w:rPr>
        <w:t xml:space="preserve"> najmä</w:t>
      </w:r>
      <w:r w:rsidRPr="00875068">
        <w:rPr>
          <w:rFonts w:asciiTheme="majorHAnsi" w:hAnsiTheme="majorHAnsi" w:cstheme="majorHAnsi"/>
        </w:rPr>
        <w:t xml:space="preserve"> olympiády, súťaže, workshopy, dni otvorených dverí, resp. týždeň otvorených dverí, </w:t>
      </w:r>
      <w:r w:rsidRPr="00856C07">
        <w:rPr>
          <w:rFonts w:asciiTheme="majorHAnsi" w:hAnsiTheme="majorHAnsi" w:cstheme="majorHAnsi"/>
        </w:rPr>
        <w:t>exkurz</w:t>
      </w:r>
      <w:r>
        <w:rPr>
          <w:rFonts w:asciiTheme="majorHAnsi" w:hAnsiTheme="majorHAnsi" w:cstheme="majorHAnsi"/>
        </w:rPr>
        <w:t>ie</w:t>
      </w:r>
      <w:r w:rsidRPr="00856C07">
        <w:rPr>
          <w:rFonts w:asciiTheme="majorHAnsi" w:hAnsiTheme="majorHAnsi" w:cstheme="majorHAnsi"/>
        </w:rPr>
        <w:t xml:space="preserve"> </w:t>
      </w:r>
      <w:r>
        <w:rPr>
          <w:rFonts w:asciiTheme="majorHAnsi" w:hAnsiTheme="majorHAnsi" w:cstheme="majorHAnsi"/>
        </w:rPr>
        <w:t>žiakov</w:t>
      </w:r>
      <w:r w:rsidRPr="00856C07">
        <w:rPr>
          <w:rFonts w:asciiTheme="majorHAnsi" w:hAnsiTheme="majorHAnsi" w:cstheme="majorHAnsi"/>
        </w:rPr>
        <w:t xml:space="preserve"> stredných </w:t>
      </w:r>
      <w:r w:rsidRPr="00547B21">
        <w:rPr>
          <w:rFonts w:asciiTheme="majorHAnsi" w:hAnsiTheme="majorHAnsi" w:cstheme="majorHAnsi"/>
        </w:rPr>
        <w:t>škôl.</w:t>
      </w:r>
    </w:p>
    <w:p w14:paraId="67C74D33" w14:textId="6C2B53A5" w:rsidR="00860867" w:rsidRPr="00432DC0" w:rsidRDefault="00860867" w:rsidP="00860867">
      <w:pPr>
        <w:tabs>
          <w:tab w:val="left" w:pos="9356"/>
        </w:tabs>
        <w:spacing w:after="120"/>
        <w:jc w:val="both"/>
        <w:rPr>
          <w:rFonts w:asciiTheme="majorHAnsi" w:hAnsiTheme="majorHAnsi" w:cstheme="majorHAnsi"/>
        </w:rPr>
      </w:pPr>
      <w:r w:rsidRPr="00432DC0">
        <w:rPr>
          <w:rFonts w:asciiTheme="majorHAnsi" w:hAnsiTheme="majorHAnsi" w:cstheme="majorHAnsi"/>
        </w:rPr>
        <w:t>V septembri 2022 sa po dvojročnej prestávke uskutočnil v poradí už 12. ročník Letnej univerzity pre stredoškolákov. Stredoškoláci z celého Slovenska tak v priebehu 3-dňového pobytu v prostredí STU navštívili všetky fakulty</w:t>
      </w:r>
      <w:r>
        <w:rPr>
          <w:rFonts w:asciiTheme="majorHAnsi" w:hAnsiTheme="majorHAnsi" w:cstheme="majorHAnsi"/>
        </w:rPr>
        <w:t xml:space="preserve"> a Ústav manažmentu</w:t>
      </w:r>
      <w:r w:rsidRPr="00432DC0">
        <w:rPr>
          <w:rFonts w:asciiTheme="majorHAnsi" w:hAnsiTheme="majorHAnsi" w:cstheme="majorHAnsi"/>
        </w:rPr>
        <w:t>, absolvovali zaujímavé prezentácie a prednášky, ich sprievodcami boli študenti STU.</w:t>
      </w:r>
    </w:p>
    <w:p w14:paraId="65FAD6FB" w14:textId="020F8227" w:rsidR="00A21B1D" w:rsidRDefault="00C556BB" w:rsidP="004D6360">
      <w:pPr>
        <w:tabs>
          <w:tab w:val="left" w:pos="3828"/>
          <w:tab w:val="left" w:pos="9356"/>
        </w:tabs>
        <w:spacing w:after="120"/>
        <w:jc w:val="both"/>
      </w:pPr>
      <w:r>
        <w:rPr>
          <w:rFonts w:asciiTheme="majorHAnsi" w:hAnsiTheme="majorHAnsi" w:cstheme="majorHAnsi"/>
        </w:rPr>
        <w:t>Informácie o </w:t>
      </w:r>
      <w:r w:rsidR="002C74C8">
        <w:rPr>
          <w:rFonts w:asciiTheme="majorHAnsi" w:hAnsiTheme="majorHAnsi" w:cstheme="majorHAnsi"/>
        </w:rPr>
        <w:t xml:space="preserve"> </w:t>
      </w:r>
      <w:r>
        <w:rPr>
          <w:rFonts w:asciiTheme="majorHAnsi" w:hAnsiTheme="majorHAnsi" w:cstheme="majorHAnsi"/>
        </w:rPr>
        <w:t xml:space="preserve">STU sú </w:t>
      </w:r>
      <w:r w:rsidR="00856C07" w:rsidRPr="00856C07">
        <w:rPr>
          <w:rFonts w:asciiTheme="majorHAnsi" w:hAnsiTheme="majorHAnsi" w:cstheme="majorHAnsi"/>
        </w:rPr>
        <w:t>pravideln</w:t>
      </w:r>
      <w:r>
        <w:rPr>
          <w:rFonts w:asciiTheme="majorHAnsi" w:hAnsiTheme="majorHAnsi" w:cstheme="majorHAnsi"/>
        </w:rPr>
        <w:t>e z</w:t>
      </w:r>
      <w:r w:rsidR="00856C07" w:rsidRPr="00856C07">
        <w:rPr>
          <w:rFonts w:asciiTheme="majorHAnsi" w:hAnsiTheme="majorHAnsi" w:cstheme="majorHAnsi"/>
        </w:rPr>
        <w:t>verejňovan</w:t>
      </w:r>
      <w:r>
        <w:rPr>
          <w:rFonts w:asciiTheme="majorHAnsi" w:hAnsiTheme="majorHAnsi" w:cstheme="majorHAnsi"/>
        </w:rPr>
        <w:t>é</w:t>
      </w:r>
      <w:r w:rsidR="00856C07" w:rsidRPr="00856C07">
        <w:rPr>
          <w:rFonts w:asciiTheme="majorHAnsi" w:hAnsiTheme="majorHAnsi" w:cstheme="majorHAnsi"/>
        </w:rPr>
        <w:t xml:space="preserve"> v</w:t>
      </w:r>
      <w:r w:rsidR="002C74C8">
        <w:rPr>
          <w:rFonts w:asciiTheme="majorHAnsi" w:hAnsiTheme="majorHAnsi" w:cstheme="majorHAnsi"/>
        </w:rPr>
        <w:t> </w:t>
      </w:r>
      <w:r w:rsidR="00856C07" w:rsidRPr="00856C07">
        <w:rPr>
          <w:rFonts w:asciiTheme="majorHAnsi" w:hAnsiTheme="majorHAnsi" w:cstheme="majorHAnsi"/>
        </w:rPr>
        <w:t>médiách</w:t>
      </w:r>
      <w:r w:rsidR="00453A02" w:rsidRPr="00453A02">
        <w:rPr>
          <w:rFonts w:asciiTheme="majorHAnsi" w:hAnsiTheme="majorHAnsi" w:cstheme="majorHAnsi"/>
        </w:rPr>
        <w:t xml:space="preserve"> </w:t>
      </w:r>
      <w:r w:rsidR="00453A02">
        <w:rPr>
          <w:rFonts w:asciiTheme="majorHAnsi" w:hAnsiTheme="majorHAnsi" w:cstheme="majorHAnsi"/>
        </w:rPr>
        <w:t xml:space="preserve">vrátane </w:t>
      </w:r>
      <w:r w:rsidR="00453A02" w:rsidRPr="006845D0">
        <w:rPr>
          <w:rFonts w:asciiTheme="majorHAnsi" w:hAnsiTheme="majorHAnsi" w:cstheme="majorHAnsi"/>
        </w:rPr>
        <w:t xml:space="preserve">printových ako </w:t>
      </w:r>
      <w:r w:rsidR="00A97A3A">
        <w:rPr>
          <w:rFonts w:asciiTheme="majorHAnsi" w:hAnsiTheme="majorHAnsi" w:cstheme="majorHAnsi"/>
        </w:rPr>
        <w:t xml:space="preserve">napríklad </w:t>
      </w:r>
      <w:r w:rsidR="00453A02" w:rsidRPr="006845D0">
        <w:rPr>
          <w:rFonts w:asciiTheme="majorHAnsi" w:hAnsiTheme="majorHAnsi" w:cstheme="majorHAnsi"/>
        </w:rPr>
        <w:t xml:space="preserve">denníky Pravda, SME, Nový čas a v ich tematických prílohách „Kam na </w:t>
      </w:r>
      <w:r w:rsidR="004D0505">
        <w:rPr>
          <w:rFonts w:asciiTheme="majorHAnsi" w:hAnsiTheme="majorHAnsi" w:cstheme="majorHAnsi"/>
        </w:rPr>
        <w:t>vysokú školu</w:t>
      </w:r>
      <w:r w:rsidR="002B4552">
        <w:rPr>
          <w:rFonts w:asciiTheme="majorHAnsi" w:hAnsiTheme="majorHAnsi" w:cstheme="majorHAnsi"/>
        </w:rPr>
        <w:t>?“</w:t>
      </w:r>
      <w:r w:rsidR="002C74C8">
        <w:rPr>
          <w:rFonts w:asciiTheme="majorHAnsi" w:hAnsiTheme="majorHAnsi" w:cstheme="majorHAnsi"/>
        </w:rPr>
        <w:t xml:space="preserve"> </w:t>
      </w:r>
      <w:r w:rsidR="00856C07" w:rsidRPr="00856C07">
        <w:rPr>
          <w:rFonts w:asciiTheme="majorHAnsi" w:hAnsiTheme="majorHAnsi" w:cstheme="majorHAnsi"/>
        </w:rPr>
        <w:t>platenou inzerciou</w:t>
      </w:r>
      <w:r w:rsidR="002B4552">
        <w:rPr>
          <w:rFonts w:asciiTheme="majorHAnsi" w:hAnsiTheme="majorHAnsi" w:cstheme="majorHAnsi"/>
        </w:rPr>
        <w:t>.</w:t>
      </w:r>
      <w:r w:rsidR="00856C07" w:rsidRPr="00856C07">
        <w:rPr>
          <w:rFonts w:asciiTheme="majorHAnsi" w:hAnsiTheme="majorHAnsi" w:cstheme="majorHAnsi"/>
        </w:rPr>
        <w:t xml:space="preserve"> </w:t>
      </w:r>
      <w:r w:rsidR="00CA2C3D" w:rsidRPr="00664A33">
        <w:t>Zástupcovia akademickej obce sa zúčastňovali komunikačných kampaní a diskusií v</w:t>
      </w:r>
      <w:r w:rsidR="00A21B1D">
        <w:t> televíznych a</w:t>
      </w:r>
      <w:r w:rsidR="00811E43">
        <w:t> </w:t>
      </w:r>
      <w:r w:rsidR="00A21B1D">
        <w:t>rozhlasových</w:t>
      </w:r>
      <w:r w:rsidR="00CA2C3D" w:rsidRPr="00664A33">
        <w:t xml:space="preserve"> médiách </w:t>
      </w:r>
      <w:r w:rsidR="00E1526B">
        <w:t>napríklad</w:t>
      </w:r>
      <w:r w:rsidR="00CA2C3D" w:rsidRPr="00664A33">
        <w:t xml:space="preserve"> VAT (RTVS), diskusie v TA3, </w:t>
      </w:r>
      <w:r w:rsidR="002B4552">
        <w:t xml:space="preserve">Rádia Slovensko, </w:t>
      </w:r>
      <w:r w:rsidR="00CA2C3D" w:rsidRPr="00664A33">
        <w:t xml:space="preserve">Správy RTVS. </w:t>
      </w:r>
    </w:p>
    <w:p w14:paraId="7404D6B7" w14:textId="0F44E76A" w:rsidR="00D01217" w:rsidRPr="00547B21" w:rsidRDefault="00B05FA1" w:rsidP="00181E4B">
      <w:pPr>
        <w:spacing w:after="120"/>
        <w:jc w:val="both"/>
        <w:rPr>
          <w:rFonts w:asciiTheme="majorHAnsi" w:hAnsiTheme="majorHAnsi" w:cstheme="majorHAnsi"/>
        </w:rPr>
      </w:pPr>
      <w:r w:rsidRPr="00547B21">
        <w:rPr>
          <w:rFonts w:asciiTheme="majorHAnsi" w:hAnsiTheme="majorHAnsi" w:cstheme="majorHAnsi"/>
        </w:rPr>
        <w:t>Okrem uvedených aktivít bolo v rámci propagácie štúdia na STU za účinnej spolupráce študentov zrealizovaných množstvo videí a rozhovorov so študentami</w:t>
      </w:r>
      <w:r w:rsidR="00A0665E" w:rsidRPr="00547B21">
        <w:rPr>
          <w:rFonts w:asciiTheme="majorHAnsi" w:hAnsiTheme="majorHAnsi" w:cstheme="majorHAnsi"/>
        </w:rPr>
        <w:t>,</w:t>
      </w:r>
      <w:r w:rsidRPr="00547B21">
        <w:rPr>
          <w:rFonts w:asciiTheme="majorHAnsi" w:hAnsiTheme="majorHAnsi" w:cstheme="majorHAnsi"/>
        </w:rPr>
        <w:t xml:space="preserve"> </w:t>
      </w:r>
      <w:r w:rsidR="00BF653B" w:rsidRPr="00547B21">
        <w:rPr>
          <w:rFonts w:asciiTheme="majorHAnsi" w:hAnsiTheme="majorHAnsi" w:cstheme="majorHAnsi"/>
        </w:rPr>
        <w:t>učiteľmi</w:t>
      </w:r>
      <w:r w:rsidRPr="00547B21">
        <w:rPr>
          <w:rFonts w:asciiTheme="majorHAnsi" w:hAnsiTheme="majorHAnsi" w:cstheme="majorHAnsi"/>
        </w:rPr>
        <w:t xml:space="preserve"> </w:t>
      </w:r>
      <w:r w:rsidR="00A0665E" w:rsidRPr="00547B21">
        <w:rPr>
          <w:rFonts w:asciiTheme="majorHAnsi" w:hAnsiTheme="majorHAnsi" w:cstheme="majorHAnsi"/>
        </w:rPr>
        <w:t xml:space="preserve">a absolventmi </w:t>
      </w:r>
      <w:r w:rsidRPr="00547B21">
        <w:rPr>
          <w:rFonts w:asciiTheme="majorHAnsi" w:hAnsiTheme="majorHAnsi" w:cstheme="majorHAnsi"/>
        </w:rPr>
        <w:t>na rôzne témy týkajúce sa štúdia, života študentov a uplatnenia absolventov, ktoré boli zverejnené na sociálnych sieťach</w:t>
      </w:r>
      <w:r w:rsidR="00BF653B" w:rsidRPr="00547B21">
        <w:rPr>
          <w:rFonts w:asciiTheme="majorHAnsi" w:hAnsiTheme="majorHAnsi" w:cstheme="majorHAnsi"/>
        </w:rPr>
        <w:t>.</w:t>
      </w:r>
      <w:r w:rsidR="00D01217" w:rsidRPr="00547B21">
        <w:rPr>
          <w:rFonts w:asciiTheme="majorHAnsi" w:hAnsiTheme="majorHAnsi" w:cstheme="majorHAnsi"/>
        </w:rPr>
        <w:t xml:space="preserve"> </w:t>
      </w:r>
      <w:r w:rsidR="00367B3D" w:rsidRPr="00664A33">
        <w:rPr>
          <w:rFonts w:asciiTheme="majorHAnsi" w:hAnsiTheme="majorHAnsi" w:cstheme="majorHAnsi"/>
        </w:rPr>
        <w:t xml:space="preserve">V nemalej miere sa na </w:t>
      </w:r>
      <w:r w:rsidR="00367B3D">
        <w:rPr>
          <w:rFonts w:asciiTheme="majorHAnsi" w:hAnsiTheme="majorHAnsi" w:cstheme="majorHAnsi"/>
        </w:rPr>
        <w:t>uvedených aktivitách</w:t>
      </w:r>
      <w:r w:rsidR="00367B3D" w:rsidRPr="00664A33">
        <w:rPr>
          <w:rFonts w:asciiTheme="majorHAnsi" w:hAnsiTheme="majorHAnsi" w:cstheme="majorHAnsi"/>
        </w:rPr>
        <w:t xml:space="preserve"> podieľali aj študentské organizácie pôsobiace na STU</w:t>
      </w:r>
      <w:r w:rsidR="00367B3D">
        <w:rPr>
          <w:rFonts w:asciiTheme="majorHAnsi" w:hAnsiTheme="majorHAnsi" w:cstheme="majorHAnsi"/>
        </w:rPr>
        <w:t>.</w:t>
      </w:r>
    </w:p>
    <w:p w14:paraId="2D697ECB" w14:textId="34153150" w:rsidR="008C577E" w:rsidRPr="0053555E" w:rsidRDefault="00637259" w:rsidP="00D92977">
      <w:pPr>
        <w:tabs>
          <w:tab w:val="left" w:pos="9356"/>
        </w:tabs>
        <w:spacing w:after="120"/>
        <w:jc w:val="both"/>
        <w:rPr>
          <w:rFonts w:asciiTheme="majorHAnsi" w:hAnsiTheme="majorHAnsi" w:cstheme="majorHAnsi"/>
        </w:rPr>
      </w:pPr>
      <w:r w:rsidRPr="0053555E">
        <w:rPr>
          <w:rFonts w:asciiTheme="majorHAnsi" w:hAnsiTheme="majorHAnsi" w:cstheme="majorHAnsi"/>
        </w:rPr>
        <w:t>V </w:t>
      </w:r>
      <w:r w:rsidR="00DD4562" w:rsidRPr="0053555E">
        <w:rPr>
          <w:rFonts w:asciiTheme="majorHAnsi" w:hAnsiTheme="majorHAnsi" w:cstheme="majorHAnsi"/>
        </w:rPr>
        <w:t>rámci</w:t>
      </w:r>
      <w:r w:rsidRPr="0053555E">
        <w:rPr>
          <w:rFonts w:asciiTheme="majorHAnsi" w:hAnsiTheme="majorHAnsi" w:cstheme="majorHAnsi"/>
        </w:rPr>
        <w:t xml:space="preserve"> propagácie štúdia </w:t>
      </w:r>
      <w:r w:rsidR="00666621" w:rsidRPr="0053555E">
        <w:rPr>
          <w:rFonts w:asciiTheme="majorHAnsi" w:hAnsiTheme="majorHAnsi" w:cstheme="majorHAnsi"/>
        </w:rPr>
        <w:t xml:space="preserve">niektoré </w:t>
      </w:r>
      <w:r w:rsidR="00BF0220" w:rsidRPr="0053555E">
        <w:rPr>
          <w:rFonts w:asciiTheme="majorHAnsi" w:hAnsiTheme="majorHAnsi" w:cstheme="majorHAnsi"/>
        </w:rPr>
        <w:t>fakulty</w:t>
      </w:r>
      <w:r w:rsidR="00666621" w:rsidRPr="0053555E">
        <w:rPr>
          <w:rFonts w:asciiTheme="majorHAnsi" w:hAnsiTheme="majorHAnsi" w:cstheme="majorHAnsi"/>
        </w:rPr>
        <w:t xml:space="preserve"> </w:t>
      </w:r>
      <w:r w:rsidRPr="0053555E">
        <w:rPr>
          <w:rFonts w:asciiTheme="majorHAnsi" w:hAnsiTheme="majorHAnsi" w:cstheme="majorHAnsi"/>
        </w:rPr>
        <w:t xml:space="preserve">STU </w:t>
      </w:r>
      <w:r w:rsidR="00226BD8" w:rsidRPr="0053555E">
        <w:rPr>
          <w:rFonts w:asciiTheme="majorHAnsi" w:hAnsiTheme="majorHAnsi" w:cstheme="majorHAnsi"/>
        </w:rPr>
        <w:t xml:space="preserve">už roky </w:t>
      </w:r>
      <w:r w:rsidR="00666621" w:rsidRPr="0053555E">
        <w:rPr>
          <w:rFonts w:asciiTheme="majorHAnsi" w:hAnsiTheme="majorHAnsi" w:cstheme="majorHAnsi"/>
        </w:rPr>
        <w:t>spoluprac</w:t>
      </w:r>
      <w:r w:rsidR="00226BD8" w:rsidRPr="0053555E">
        <w:rPr>
          <w:rFonts w:asciiTheme="majorHAnsi" w:hAnsiTheme="majorHAnsi" w:cstheme="majorHAnsi"/>
        </w:rPr>
        <w:t>ujú</w:t>
      </w:r>
      <w:r w:rsidR="00666621" w:rsidRPr="0053555E">
        <w:rPr>
          <w:rFonts w:asciiTheme="majorHAnsi" w:hAnsiTheme="majorHAnsi" w:cstheme="majorHAnsi"/>
        </w:rPr>
        <w:t xml:space="preserve"> </w:t>
      </w:r>
      <w:r w:rsidRPr="0053555E">
        <w:rPr>
          <w:rFonts w:asciiTheme="majorHAnsi" w:hAnsiTheme="majorHAnsi" w:cstheme="majorHAnsi"/>
        </w:rPr>
        <w:t xml:space="preserve">aj s profesionálnou </w:t>
      </w:r>
      <w:r w:rsidR="007D06F4" w:rsidRPr="0053555E">
        <w:rPr>
          <w:rFonts w:asciiTheme="majorHAnsi" w:hAnsiTheme="majorHAnsi" w:cstheme="majorHAnsi"/>
        </w:rPr>
        <w:t>marketingovou</w:t>
      </w:r>
      <w:r w:rsidRPr="0053555E">
        <w:rPr>
          <w:rFonts w:asciiTheme="majorHAnsi" w:hAnsiTheme="majorHAnsi" w:cstheme="majorHAnsi"/>
        </w:rPr>
        <w:t xml:space="preserve"> agentúrou</w:t>
      </w:r>
      <w:r w:rsidR="00DD4562" w:rsidRPr="0053555E">
        <w:rPr>
          <w:rFonts w:asciiTheme="majorHAnsi" w:hAnsiTheme="majorHAnsi" w:cstheme="majorHAnsi"/>
        </w:rPr>
        <w:t xml:space="preserve"> najmä v oblasti online marketingu</w:t>
      </w:r>
      <w:r w:rsidRPr="0053555E">
        <w:rPr>
          <w:rFonts w:asciiTheme="majorHAnsi" w:hAnsiTheme="majorHAnsi" w:cstheme="majorHAnsi"/>
        </w:rPr>
        <w:t xml:space="preserve">. </w:t>
      </w:r>
      <w:r w:rsidR="005122B8" w:rsidRPr="0053555E">
        <w:rPr>
          <w:rFonts w:asciiTheme="majorHAnsi" w:hAnsiTheme="majorHAnsi" w:cstheme="majorHAnsi"/>
        </w:rPr>
        <w:t>F</w:t>
      </w:r>
      <w:r w:rsidR="00986AE6" w:rsidRPr="0053555E">
        <w:rPr>
          <w:rFonts w:asciiTheme="majorHAnsi" w:hAnsiTheme="majorHAnsi" w:cstheme="majorHAnsi"/>
        </w:rPr>
        <w:t xml:space="preserve">akulty majú </w:t>
      </w:r>
      <w:r w:rsidR="0015476F" w:rsidRPr="0053555E">
        <w:rPr>
          <w:rFonts w:asciiTheme="majorHAnsi" w:hAnsiTheme="majorHAnsi" w:cstheme="majorHAnsi"/>
        </w:rPr>
        <w:t xml:space="preserve">v rámci ucelenej mediálnej kampane </w:t>
      </w:r>
      <w:r w:rsidR="00986AE6" w:rsidRPr="0053555E">
        <w:rPr>
          <w:rFonts w:asciiTheme="majorHAnsi" w:hAnsiTheme="majorHAnsi" w:cstheme="majorHAnsi"/>
        </w:rPr>
        <w:t>vytvorené samostatné tematicky zameran</w:t>
      </w:r>
      <w:r w:rsidR="0096563D" w:rsidRPr="0053555E">
        <w:rPr>
          <w:rFonts w:asciiTheme="majorHAnsi" w:hAnsiTheme="majorHAnsi" w:cstheme="majorHAnsi"/>
        </w:rPr>
        <w:t>é</w:t>
      </w:r>
      <w:r w:rsidR="00986AE6" w:rsidRPr="0053555E">
        <w:rPr>
          <w:rFonts w:asciiTheme="majorHAnsi" w:hAnsiTheme="majorHAnsi" w:cstheme="majorHAnsi"/>
        </w:rPr>
        <w:t xml:space="preserve"> internetov</w:t>
      </w:r>
      <w:r w:rsidR="0096563D" w:rsidRPr="0053555E">
        <w:rPr>
          <w:rFonts w:asciiTheme="majorHAnsi" w:hAnsiTheme="majorHAnsi" w:cstheme="majorHAnsi"/>
        </w:rPr>
        <w:t>é</w:t>
      </w:r>
      <w:r w:rsidR="00986AE6" w:rsidRPr="0053555E">
        <w:rPr>
          <w:rFonts w:asciiTheme="majorHAnsi" w:hAnsiTheme="majorHAnsi" w:cstheme="majorHAnsi"/>
        </w:rPr>
        <w:t xml:space="preserve"> stránk</w:t>
      </w:r>
      <w:r w:rsidR="0015476F" w:rsidRPr="0053555E">
        <w:rPr>
          <w:rFonts w:asciiTheme="majorHAnsi" w:hAnsiTheme="majorHAnsi" w:cstheme="majorHAnsi"/>
        </w:rPr>
        <w:t>y</w:t>
      </w:r>
      <w:r w:rsidR="00727C28" w:rsidRPr="0053555E">
        <w:rPr>
          <w:rFonts w:asciiTheme="majorHAnsi" w:hAnsiTheme="majorHAnsi" w:cstheme="majorHAnsi"/>
        </w:rPr>
        <w:t xml:space="preserve">, ktoré sú </w:t>
      </w:r>
      <w:r w:rsidR="008C577E" w:rsidRPr="0053555E">
        <w:rPr>
          <w:rFonts w:asciiTheme="majorHAnsi" w:hAnsiTheme="majorHAnsi" w:cstheme="majorHAnsi"/>
        </w:rPr>
        <w:t xml:space="preserve">špecificky </w:t>
      </w:r>
      <w:r w:rsidR="00727C28" w:rsidRPr="0053555E">
        <w:rPr>
          <w:rFonts w:asciiTheme="majorHAnsi" w:hAnsiTheme="majorHAnsi" w:cstheme="majorHAnsi"/>
        </w:rPr>
        <w:t>cielené práve na</w:t>
      </w:r>
      <w:r w:rsidR="008C577E" w:rsidRPr="0053555E">
        <w:rPr>
          <w:rFonts w:asciiTheme="majorHAnsi" w:hAnsiTheme="majorHAnsi" w:cstheme="majorHAnsi"/>
        </w:rPr>
        <w:t xml:space="preserve"> </w:t>
      </w:r>
      <w:r w:rsidR="00727C28" w:rsidRPr="0053555E">
        <w:rPr>
          <w:rFonts w:asciiTheme="majorHAnsi" w:hAnsiTheme="majorHAnsi" w:cstheme="majorHAnsi"/>
        </w:rPr>
        <w:t>záujemcov o</w:t>
      </w:r>
      <w:r w:rsidR="008C577E" w:rsidRPr="0053555E">
        <w:rPr>
          <w:rFonts w:asciiTheme="majorHAnsi" w:hAnsiTheme="majorHAnsi" w:cstheme="majorHAnsi"/>
        </w:rPr>
        <w:t xml:space="preserve"> </w:t>
      </w:r>
      <w:r w:rsidR="00727C28" w:rsidRPr="0053555E">
        <w:rPr>
          <w:rFonts w:asciiTheme="majorHAnsi" w:hAnsiTheme="majorHAnsi" w:cstheme="majorHAnsi"/>
        </w:rPr>
        <w:t xml:space="preserve">bakalárske </w:t>
      </w:r>
      <w:r w:rsidR="00A01817" w:rsidRPr="0053555E">
        <w:rPr>
          <w:rFonts w:asciiTheme="majorHAnsi" w:hAnsiTheme="majorHAnsi" w:cstheme="majorHAnsi"/>
        </w:rPr>
        <w:t>študijné programy</w:t>
      </w:r>
      <w:r w:rsidR="00727C28" w:rsidRPr="0053555E">
        <w:rPr>
          <w:rFonts w:asciiTheme="majorHAnsi" w:hAnsiTheme="majorHAnsi" w:cstheme="majorHAnsi"/>
        </w:rPr>
        <w:t xml:space="preserve"> </w:t>
      </w:r>
      <w:r w:rsidR="00574144" w:rsidRPr="0053555E">
        <w:rPr>
          <w:rFonts w:asciiTheme="majorHAnsi" w:hAnsiTheme="majorHAnsi" w:cstheme="majorHAnsi"/>
        </w:rPr>
        <w:t>(SvF</w:t>
      </w:r>
      <w:r w:rsidR="002D7710" w:rsidRPr="0053555E">
        <w:rPr>
          <w:rFonts w:asciiTheme="majorHAnsi" w:hAnsiTheme="majorHAnsi" w:cstheme="majorHAnsi"/>
        </w:rPr>
        <w:t>:</w:t>
      </w:r>
      <w:r w:rsidR="00574144" w:rsidRPr="0053555E">
        <w:rPr>
          <w:rFonts w:asciiTheme="majorHAnsi" w:hAnsiTheme="majorHAnsi" w:cstheme="majorHAnsi"/>
        </w:rPr>
        <w:t xml:space="preserve"> </w:t>
      </w:r>
      <w:hyperlink r:id="rId36" w:history="1">
        <w:r w:rsidR="00AC1F97" w:rsidRPr="000D4D8D">
          <w:rPr>
            <w:rStyle w:val="Hypertextovprepojenie"/>
            <w:rFonts w:asciiTheme="majorHAnsi" w:hAnsiTheme="majorHAnsi" w:cstheme="majorHAnsi"/>
          </w:rPr>
          <w:t>https://www.stavebnarevolucia.sk/</w:t>
        </w:r>
      </w:hyperlink>
      <w:r w:rsidR="00DF46D4" w:rsidRPr="0053555E">
        <w:rPr>
          <w:rFonts w:asciiTheme="majorHAnsi" w:hAnsiTheme="majorHAnsi" w:cstheme="majorHAnsi"/>
        </w:rPr>
        <w:t>, SjF</w:t>
      </w:r>
      <w:r w:rsidR="002D7710" w:rsidRPr="0053555E">
        <w:rPr>
          <w:rFonts w:asciiTheme="majorHAnsi" w:hAnsiTheme="majorHAnsi" w:cstheme="majorHAnsi"/>
        </w:rPr>
        <w:t>:</w:t>
      </w:r>
      <w:r w:rsidR="00DE1338" w:rsidRPr="0053555E">
        <w:rPr>
          <w:rFonts w:asciiTheme="majorHAnsi" w:hAnsiTheme="majorHAnsi" w:cstheme="majorHAnsi"/>
        </w:rPr>
        <w:t xml:space="preserve"> </w:t>
      </w:r>
      <w:hyperlink r:id="rId37" w:history="1">
        <w:r w:rsidR="00AC1F97" w:rsidRPr="000D4D8D">
          <w:rPr>
            <w:rStyle w:val="Hypertextovprepojenie"/>
            <w:rFonts w:asciiTheme="majorHAnsi" w:hAnsiTheme="majorHAnsi" w:cstheme="majorHAnsi"/>
          </w:rPr>
          <w:t>https://www.studujstrojarinu.sk/</w:t>
        </w:r>
      </w:hyperlink>
      <w:r w:rsidR="003A252E" w:rsidRPr="0053555E">
        <w:rPr>
          <w:rFonts w:asciiTheme="majorHAnsi" w:hAnsiTheme="majorHAnsi" w:cstheme="majorHAnsi"/>
        </w:rPr>
        <w:t xml:space="preserve">, </w:t>
      </w:r>
      <w:r w:rsidR="00727C28" w:rsidRPr="0053555E">
        <w:rPr>
          <w:rFonts w:asciiTheme="majorHAnsi" w:hAnsiTheme="majorHAnsi" w:cstheme="majorHAnsi"/>
        </w:rPr>
        <w:t>FEI</w:t>
      </w:r>
      <w:r w:rsidR="002D7710" w:rsidRPr="0053555E">
        <w:rPr>
          <w:rFonts w:asciiTheme="majorHAnsi" w:hAnsiTheme="majorHAnsi" w:cstheme="majorHAnsi"/>
        </w:rPr>
        <w:t>:</w:t>
      </w:r>
      <w:r w:rsidR="00727C28" w:rsidRPr="0053555E">
        <w:rPr>
          <w:rFonts w:asciiTheme="majorHAnsi" w:hAnsiTheme="majorHAnsi" w:cstheme="majorHAnsi"/>
        </w:rPr>
        <w:t xml:space="preserve"> </w:t>
      </w:r>
      <w:hyperlink r:id="rId38" w:history="1">
        <w:r w:rsidR="00AC1F97" w:rsidRPr="000D4D8D">
          <w:rPr>
            <w:rStyle w:val="Hypertextovprepojenie"/>
            <w:rFonts w:asciiTheme="majorHAnsi" w:hAnsiTheme="majorHAnsi" w:cstheme="majorHAnsi"/>
          </w:rPr>
          <w:t>https://www.matozmysel.sk/</w:t>
        </w:r>
      </w:hyperlink>
      <w:r w:rsidR="00727C28" w:rsidRPr="0053555E">
        <w:rPr>
          <w:rFonts w:asciiTheme="majorHAnsi" w:hAnsiTheme="majorHAnsi" w:cstheme="majorHAnsi"/>
        </w:rPr>
        <w:t>,</w:t>
      </w:r>
      <w:r w:rsidR="005D269A" w:rsidRPr="0053555E">
        <w:rPr>
          <w:rFonts w:asciiTheme="majorHAnsi" w:hAnsiTheme="majorHAnsi" w:cstheme="majorHAnsi"/>
        </w:rPr>
        <w:t xml:space="preserve"> FIIT: </w:t>
      </w:r>
      <w:hyperlink r:id="rId39" w:history="1">
        <w:r w:rsidR="00AC1F97" w:rsidRPr="000D4D8D">
          <w:rPr>
            <w:rStyle w:val="Hypertextovprepojenie"/>
            <w:rFonts w:asciiTheme="majorHAnsi" w:hAnsiTheme="majorHAnsi" w:cstheme="majorHAnsi"/>
          </w:rPr>
          <w:t>http://studuj.fiit.sk/</w:t>
        </w:r>
      </w:hyperlink>
      <w:r w:rsidR="005D269A" w:rsidRPr="0053555E">
        <w:rPr>
          <w:rFonts w:asciiTheme="majorHAnsi" w:hAnsiTheme="majorHAnsi" w:cstheme="majorHAnsi"/>
        </w:rPr>
        <w:t xml:space="preserve">, </w:t>
      </w:r>
      <w:r w:rsidR="00727C28" w:rsidRPr="0053555E">
        <w:rPr>
          <w:rFonts w:asciiTheme="majorHAnsi" w:hAnsiTheme="majorHAnsi" w:cstheme="majorHAnsi"/>
        </w:rPr>
        <w:t xml:space="preserve">FCHPT </w:t>
      </w:r>
      <w:hyperlink r:id="rId40" w:history="1">
        <w:r w:rsidR="00AC1F97" w:rsidRPr="000D4D8D">
          <w:rPr>
            <w:rStyle w:val="Hypertextovprepojenie"/>
            <w:rFonts w:asciiTheme="majorHAnsi" w:hAnsiTheme="majorHAnsi" w:cstheme="majorHAnsi"/>
          </w:rPr>
          <w:t>https://skolaobjawow.sk/</w:t>
        </w:r>
      </w:hyperlink>
      <w:r w:rsidR="00AC1F97">
        <w:rPr>
          <w:rFonts w:asciiTheme="majorHAnsi" w:hAnsiTheme="majorHAnsi" w:cstheme="majorHAnsi"/>
        </w:rPr>
        <w:t xml:space="preserve">  </w:t>
      </w:r>
      <w:r w:rsidR="002D7710" w:rsidRPr="0053555E">
        <w:rPr>
          <w:rFonts w:asciiTheme="majorHAnsi" w:hAnsiTheme="majorHAnsi" w:cstheme="majorHAnsi"/>
        </w:rPr>
        <w:t>a </w:t>
      </w:r>
      <w:hyperlink r:id="rId41" w:history="1">
        <w:r w:rsidR="00AC1F97" w:rsidRPr="000D4D8D">
          <w:rPr>
            <w:rStyle w:val="Hypertextovprepojenie"/>
            <w:rFonts w:asciiTheme="majorHAnsi" w:hAnsiTheme="majorHAnsi" w:cstheme="majorHAnsi"/>
          </w:rPr>
          <w:t>www.studybestschool.com</w:t>
        </w:r>
      </w:hyperlink>
      <w:r w:rsidR="00C15966">
        <w:rPr>
          <w:rStyle w:val="Hypertextovprepojenie"/>
          <w:rFonts w:asciiTheme="majorHAnsi" w:hAnsiTheme="majorHAnsi" w:cstheme="majorHAnsi"/>
        </w:rPr>
        <w:t xml:space="preserve">, </w:t>
      </w:r>
      <w:r w:rsidR="00C15966" w:rsidRPr="00AA3D62">
        <w:rPr>
          <w:rStyle w:val="Hypertextovprepojenie"/>
          <w:rFonts w:asciiTheme="majorHAnsi" w:hAnsiTheme="majorHAnsi" w:cstheme="majorHAnsi"/>
          <w:color w:val="auto"/>
          <w:u w:val="none"/>
        </w:rPr>
        <w:t>MTF:</w:t>
      </w:r>
      <w:r w:rsidR="00C15966">
        <w:rPr>
          <w:rStyle w:val="Hypertextovprepojenie"/>
          <w:rFonts w:asciiTheme="majorHAnsi" w:hAnsiTheme="majorHAnsi" w:cstheme="majorHAnsi"/>
          <w:u w:val="none"/>
        </w:rPr>
        <w:t xml:space="preserve"> </w:t>
      </w:r>
      <w:hyperlink r:id="rId42" w:history="1">
        <w:r w:rsidR="00C15966" w:rsidRPr="00491B51">
          <w:rPr>
            <w:rStyle w:val="Hypertextovprepojenie"/>
            <w:rFonts w:asciiTheme="majorHAnsi" w:hAnsiTheme="majorHAnsi" w:cstheme="majorHAnsi"/>
          </w:rPr>
          <w:t>https://www.studujmtf.sk/</w:t>
        </w:r>
      </w:hyperlink>
      <w:r w:rsidR="005122B8" w:rsidRPr="0053555E">
        <w:rPr>
          <w:rStyle w:val="Hypertextovprepojenie"/>
          <w:rFonts w:asciiTheme="majorHAnsi" w:hAnsiTheme="majorHAnsi" w:cstheme="majorHAnsi"/>
          <w:color w:val="auto"/>
          <w:u w:val="none"/>
        </w:rPr>
        <w:t>)</w:t>
      </w:r>
      <w:r w:rsidR="00986AE6" w:rsidRPr="0053555E">
        <w:rPr>
          <w:rFonts w:asciiTheme="majorHAnsi" w:hAnsiTheme="majorHAnsi" w:cstheme="majorHAnsi"/>
        </w:rPr>
        <w:t xml:space="preserve">. </w:t>
      </w:r>
    </w:p>
    <w:p w14:paraId="4331EC0A" w14:textId="323AA8C5" w:rsidR="004704DD" w:rsidRPr="0053555E" w:rsidRDefault="00D34E59" w:rsidP="00324438">
      <w:pPr>
        <w:tabs>
          <w:tab w:val="left" w:pos="9356"/>
        </w:tabs>
        <w:spacing w:after="120"/>
        <w:jc w:val="both"/>
        <w:rPr>
          <w:rFonts w:asciiTheme="majorHAnsi" w:hAnsiTheme="majorHAnsi" w:cstheme="majorHAnsi"/>
        </w:rPr>
      </w:pPr>
      <w:r w:rsidRPr="0053555E">
        <w:rPr>
          <w:rFonts w:asciiTheme="majorHAnsi" w:hAnsiTheme="majorHAnsi" w:cstheme="majorHAnsi"/>
          <w:b/>
        </w:rPr>
        <w:t>Online marketing</w:t>
      </w:r>
      <w:r w:rsidR="00C96F6A" w:rsidRPr="0053555E">
        <w:rPr>
          <w:rFonts w:asciiTheme="majorHAnsi" w:hAnsiTheme="majorHAnsi" w:cstheme="majorHAnsi"/>
          <w:b/>
        </w:rPr>
        <w:t>u bola venovaná významná pozornosť</w:t>
      </w:r>
      <w:r w:rsidR="00C96F6A" w:rsidRPr="0053555E">
        <w:rPr>
          <w:rFonts w:asciiTheme="majorHAnsi" w:hAnsiTheme="majorHAnsi" w:cstheme="majorHAnsi"/>
        </w:rPr>
        <w:t>, pretože</w:t>
      </w:r>
      <w:r w:rsidRPr="0053555E">
        <w:rPr>
          <w:rFonts w:asciiTheme="majorHAnsi" w:hAnsiTheme="majorHAnsi" w:cstheme="majorHAnsi"/>
        </w:rPr>
        <w:t xml:space="preserve"> </w:t>
      </w:r>
      <w:r w:rsidR="00C96F6A" w:rsidRPr="0053555E">
        <w:rPr>
          <w:rFonts w:asciiTheme="majorHAnsi" w:hAnsiTheme="majorHAnsi" w:cstheme="majorHAnsi"/>
        </w:rPr>
        <w:t xml:space="preserve">predstavuje </w:t>
      </w:r>
      <w:r w:rsidRPr="0053555E">
        <w:rPr>
          <w:rFonts w:asciiTheme="majorHAnsi" w:hAnsiTheme="majorHAnsi" w:cstheme="majorHAnsi"/>
        </w:rPr>
        <w:t>v súčasnosti nevyhnutn</w:t>
      </w:r>
      <w:r w:rsidR="00C96F6A" w:rsidRPr="0053555E">
        <w:rPr>
          <w:rFonts w:asciiTheme="majorHAnsi" w:hAnsiTheme="majorHAnsi" w:cstheme="majorHAnsi"/>
        </w:rPr>
        <w:t>ú</w:t>
      </w:r>
      <w:r w:rsidRPr="0053555E">
        <w:rPr>
          <w:rFonts w:asciiTheme="majorHAnsi" w:hAnsiTheme="majorHAnsi" w:cstheme="majorHAnsi"/>
        </w:rPr>
        <w:t xml:space="preserve"> a</w:t>
      </w:r>
      <w:r w:rsidR="00A45E41" w:rsidRPr="0053555E">
        <w:rPr>
          <w:rFonts w:asciiTheme="majorHAnsi" w:hAnsiTheme="majorHAnsi" w:cstheme="majorHAnsi"/>
        </w:rPr>
        <w:t xml:space="preserve"> nanajvýš </w:t>
      </w:r>
      <w:r w:rsidRPr="0053555E">
        <w:rPr>
          <w:rFonts w:asciiTheme="majorHAnsi" w:hAnsiTheme="majorHAnsi" w:cstheme="majorHAnsi"/>
        </w:rPr>
        <w:t>efektívn</w:t>
      </w:r>
      <w:r w:rsidR="00C96F6A" w:rsidRPr="0053555E">
        <w:rPr>
          <w:rFonts w:asciiTheme="majorHAnsi" w:hAnsiTheme="majorHAnsi" w:cstheme="majorHAnsi"/>
        </w:rPr>
        <w:t>u form</w:t>
      </w:r>
      <w:r w:rsidRPr="0053555E">
        <w:rPr>
          <w:rFonts w:asciiTheme="majorHAnsi" w:hAnsiTheme="majorHAnsi" w:cstheme="majorHAnsi"/>
        </w:rPr>
        <w:t>u komunikácie</w:t>
      </w:r>
      <w:r w:rsidR="00F57782" w:rsidRPr="0053555E">
        <w:rPr>
          <w:rFonts w:asciiTheme="majorHAnsi" w:hAnsiTheme="majorHAnsi" w:cstheme="majorHAnsi"/>
        </w:rPr>
        <w:t>, pričom u </w:t>
      </w:r>
      <w:r w:rsidRPr="0053555E">
        <w:rPr>
          <w:rFonts w:asciiTheme="majorHAnsi" w:hAnsiTheme="majorHAnsi" w:cstheme="majorHAnsi"/>
        </w:rPr>
        <w:t>niektorých vekových skupín</w:t>
      </w:r>
      <w:r w:rsidR="001743D3" w:rsidRPr="0053555E">
        <w:rPr>
          <w:rFonts w:asciiTheme="majorHAnsi" w:hAnsiTheme="majorHAnsi" w:cstheme="majorHAnsi"/>
        </w:rPr>
        <w:t xml:space="preserve">, ktorými </w:t>
      </w:r>
      <w:r w:rsidR="00A45E41" w:rsidRPr="0053555E">
        <w:rPr>
          <w:rFonts w:asciiTheme="majorHAnsi" w:hAnsiTheme="majorHAnsi" w:cstheme="majorHAnsi"/>
        </w:rPr>
        <w:t xml:space="preserve">bezpochyby </w:t>
      </w:r>
      <w:r w:rsidR="001743D3" w:rsidRPr="0053555E">
        <w:rPr>
          <w:rFonts w:asciiTheme="majorHAnsi" w:hAnsiTheme="majorHAnsi" w:cstheme="majorHAnsi"/>
        </w:rPr>
        <w:t xml:space="preserve">sú práve </w:t>
      </w:r>
      <w:r w:rsidR="00CC6AE7" w:rsidRPr="0053555E">
        <w:rPr>
          <w:rFonts w:asciiTheme="majorHAnsi" w:hAnsiTheme="majorHAnsi" w:cstheme="majorHAnsi"/>
        </w:rPr>
        <w:t>žiaci</w:t>
      </w:r>
      <w:r w:rsidR="001743D3" w:rsidRPr="0053555E">
        <w:rPr>
          <w:rFonts w:asciiTheme="majorHAnsi" w:hAnsiTheme="majorHAnsi" w:cstheme="majorHAnsi"/>
        </w:rPr>
        <w:t xml:space="preserve"> stredných škôl, </w:t>
      </w:r>
      <w:r w:rsidR="00F57782" w:rsidRPr="0053555E">
        <w:rPr>
          <w:rFonts w:asciiTheme="majorHAnsi" w:hAnsiTheme="majorHAnsi" w:cstheme="majorHAnsi"/>
        </w:rPr>
        <w:t>ide takmer o </w:t>
      </w:r>
      <w:r w:rsidRPr="0053555E">
        <w:rPr>
          <w:rFonts w:asciiTheme="majorHAnsi" w:hAnsiTheme="majorHAnsi" w:cstheme="majorHAnsi"/>
        </w:rPr>
        <w:t>výhradný spôsob komunikácie</w:t>
      </w:r>
      <w:r w:rsidR="001743D3" w:rsidRPr="0053555E">
        <w:rPr>
          <w:rFonts w:asciiTheme="majorHAnsi" w:hAnsiTheme="majorHAnsi" w:cstheme="majorHAnsi"/>
        </w:rPr>
        <w:t xml:space="preserve">. </w:t>
      </w:r>
      <w:r w:rsidR="00CC6AE7" w:rsidRPr="0053555E">
        <w:rPr>
          <w:rFonts w:asciiTheme="majorHAnsi" w:hAnsiTheme="majorHAnsi" w:cstheme="majorHAnsi"/>
        </w:rPr>
        <w:t>Na </w:t>
      </w:r>
      <w:r w:rsidR="001759FA" w:rsidRPr="0053555E">
        <w:rPr>
          <w:rFonts w:asciiTheme="majorHAnsi" w:hAnsiTheme="majorHAnsi" w:cstheme="majorHAnsi"/>
        </w:rPr>
        <w:t xml:space="preserve">oslovenie </w:t>
      </w:r>
      <w:r w:rsidR="004562D3" w:rsidRPr="0053555E">
        <w:rPr>
          <w:rFonts w:asciiTheme="majorHAnsi" w:hAnsiTheme="majorHAnsi" w:cstheme="majorHAnsi"/>
        </w:rPr>
        <w:t>stredoškolákov</w:t>
      </w:r>
      <w:r w:rsidR="001759FA" w:rsidRPr="0053555E">
        <w:rPr>
          <w:rFonts w:asciiTheme="majorHAnsi" w:hAnsiTheme="majorHAnsi" w:cstheme="majorHAnsi"/>
        </w:rPr>
        <w:t xml:space="preserve"> súčasti STU využívali najefektívnejšie nástroje medializá</w:t>
      </w:r>
      <w:r w:rsidR="00584A7B" w:rsidRPr="0053555E">
        <w:rPr>
          <w:rFonts w:asciiTheme="majorHAnsi" w:hAnsiTheme="majorHAnsi" w:cstheme="majorHAnsi"/>
        </w:rPr>
        <w:t>cie s presným cielením (Google A</w:t>
      </w:r>
      <w:r w:rsidR="001759FA" w:rsidRPr="0053555E">
        <w:rPr>
          <w:rFonts w:asciiTheme="majorHAnsi" w:hAnsiTheme="majorHAnsi" w:cstheme="majorHAnsi"/>
        </w:rPr>
        <w:t>dwords, sociálne siete</w:t>
      </w:r>
      <w:r w:rsidR="00552B37" w:rsidRPr="0053555E">
        <w:rPr>
          <w:rFonts w:asciiTheme="majorHAnsi" w:hAnsiTheme="majorHAnsi" w:cstheme="majorHAnsi"/>
        </w:rPr>
        <w:t xml:space="preserve"> </w:t>
      </w:r>
      <w:r w:rsidR="00BF5C70" w:rsidRPr="0053555E">
        <w:rPr>
          <w:rFonts w:asciiTheme="majorHAnsi" w:hAnsiTheme="majorHAnsi" w:cstheme="majorHAnsi"/>
        </w:rPr>
        <w:t xml:space="preserve">ako </w:t>
      </w:r>
      <w:r w:rsidR="00552B37" w:rsidRPr="0053555E">
        <w:rPr>
          <w:rFonts w:asciiTheme="majorHAnsi" w:hAnsiTheme="majorHAnsi" w:cstheme="majorHAnsi"/>
        </w:rPr>
        <w:t xml:space="preserve">Facebook, </w:t>
      </w:r>
      <w:r w:rsidR="00BA38A6">
        <w:rPr>
          <w:rFonts w:asciiTheme="majorHAnsi" w:hAnsiTheme="majorHAnsi" w:cstheme="majorHAnsi"/>
        </w:rPr>
        <w:t xml:space="preserve">Linkedln, </w:t>
      </w:r>
      <w:r w:rsidR="00936DDD" w:rsidRPr="0053555E">
        <w:rPr>
          <w:rFonts w:asciiTheme="majorHAnsi" w:hAnsiTheme="majorHAnsi" w:cstheme="majorHAnsi"/>
        </w:rPr>
        <w:t xml:space="preserve">Instagram, </w:t>
      </w:r>
      <w:r w:rsidR="00400FAE" w:rsidRPr="0053555E">
        <w:rPr>
          <w:rFonts w:asciiTheme="majorHAnsi" w:hAnsiTheme="majorHAnsi" w:cstheme="majorHAnsi"/>
        </w:rPr>
        <w:t>YouTube</w:t>
      </w:r>
      <w:r w:rsidR="00D24F72">
        <w:rPr>
          <w:rFonts w:asciiTheme="majorHAnsi" w:hAnsiTheme="majorHAnsi" w:cstheme="majorHAnsi"/>
        </w:rPr>
        <w:t xml:space="preserve">, </w:t>
      </w:r>
      <w:r w:rsidR="00D24F72" w:rsidRPr="001F5C0A">
        <w:t>Strossle, Zones, SuperBrigady, Zmaturuj, Novara</w:t>
      </w:r>
      <w:r w:rsidR="00BA38A6">
        <w:t>, TikTok</w:t>
      </w:r>
      <w:r w:rsidR="00584A7B" w:rsidRPr="0053555E">
        <w:rPr>
          <w:rFonts w:asciiTheme="majorHAnsi" w:hAnsiTheme="majorHAnsi" w:cstheme="majorHAnsi"/>
        </w:rPr>
        <w:t xml:space="preserve"> </w:t>
      </w:r>
      <w:r w:rsidR="001759FA" w:rsidRPr="0053555E">
        <w:rPr>
          <w:rFonts w:asciiTheme="majorHAnsi" w:hAnsiTheme="majorHAnsi" w:cstheme="majorHAnsi"/>
        </w:rPr>
        <w:t xml:space="preserve">a ďalšie). </w:t>
      </w:r>
      <w:r w:rsidR="00BD4035" w:rsidRPr="0053555E">
        <w:rPr>
          <w:rFonts w:asciiTheme="majorHAnsi" w:hAnsiTheme="majorHAnsi" w:cstheme="majorHAnsi"/>
        </w:rPr>
        <w:t>V </w:t>
      </w:r>
      <w:r w:rsidR="001743D3" w:rsidRPr="0053555E">
        <w:rPr>
          <w:rFonts w:asciiTheme="majorHAnsi" w:hAnsiTheme="majorHAnsi" w:cstheme="majorHAnsi"/>
        </w:rPr>
        <w:t xml:space="preserve">priebehu roka </w:t>
      </w:r>
      <w:r w:rsidR="00540855">
        <w:rPr>
          <w:rFonts w:asciiTheme="majorHAnsi" w:hAnsiTheme="majorHAnsi" w:cstheme="majorHAnsi"/>
        </w:rPr>
        <w:t>2022</w:t>
      </w:r>
      <w:r w:rsidR="001743D3" w:rsidRPr="0053555E">
        <w:rPr>
          <w:rFonts w:asciiTheme="majorHAnsi" w:hAnsiTheme="majorHAnsi" w:cstheme="majorHAnsi"/>
        </w:rPr>
        <w:t xml:space="preserve"> boli touto formou zrealizované </w:t>
      </w:r>
      <w:r w:rsidR="00FC145E" w:rsidRPr="0053555E">
        <w:rPr>
          <w:rFonts w:asciiTheme="majorHAnsi" w:hAnsiTheme="majorHAnsi" w:cstheme="majorHAnsi"/>
        </w:rPr>
        <w:t>marketingové</w:t>
      </w:r>
      <w:r w:rsidR="00BE500F" w:rsidRPr="0053555E">
        <w:rPr>
          <w:rFonts w:asciiTheme="majorHAnsi" w:hAnsiTheme="majorHAnsi" w:cstheme="majorHAnsi"/>
        </w:rPr>
        <w:t xml:space="preserve"> </w:t>
      </w:r>
      <w:r w:rsidR="000E3F18" w:rsidRPr="0053555E">
        <w:rPr>
          <w:rFonts w:asciiTheme="majorHAnsi" w:hAnsiTheme="majorHAnsi" w:cstheme="majorHAnsi"/>
        </w:rPr>
        <w:t xml:space="preserve">kampane </w:t>
      </w:r>
      <w:r w:rsidR="00AF11E1" w:rsidRPr="0053555E">
        <w:rPr>
          <w:rFonts w:asciiTheme="majorHAnsi" w:hAnsiTheme="majorHAnsi" w:cstheme="majorHAnsi"/>
        </w:rPr>
        <w:t>prostredníctvom</w:t>
      </w:r>
      <w:r w:rsidR="000E3F18" w:rsidRPr="0053555E">
        <w:rPr>
          <w:rFonts w:asciiTheme="majorHAnsi" w:hAnsiTheme="majorHAnsi" w:cstheme="majorHAnsi"/>
        </w:rPr>
        <w:t xml:space="preserve"> </w:t>
      </w:r>
      <w:r w:rsidR="00400FAE" w:rsidRPr="0053555E">
        <w:rPr>
          <w:rFonts w:asciiTheme="majorHAnsi" w:hAnsiTheme="majorHAnsi" w:cstheme="majorHAnsi"/>
        </w:rPr>
        <w:t>sociálnych sietí STU</w:t>
      </w:r>
      <w:r w:rsidR="004409A4" w:rsidRPr="0053555E">
        <w:rPr>
          <w:rFonts w:asciiTheme="majorHAnsi" w:hAnsiTheme="majorHAnsi" w:cstheme="majorHAnsi"/>
        </w:rPr>
        <w:t xml:space="preserve"> a jej jednotlivých zložiek</w:t>
      </w:r>
      <w:r w:rsidR="00203128" w:rsidRPr="0053555E">
        <w:rPr>
          <w:rFonts w:asciiTheme="majorHAnsi" w:hAnsiTheme="majorHAnsi" w:cstheme="majorHAnsi"/>
        </w:rPr>
        <w:t>.</w:t>
      </w:r>
    </w:p>
    <w:p w14:paraId="32B52340" w14:textId="6F8B4656" w:rsidR="00586578" w:rsidRDefault="00586578" w:rsidP="00586578">
      <w:pPr>
        <w:tabs>
          <w:tab w:val="left" w:pos="9356"/>
        </w:tabs>
        <w:spacing w:after="120"/>
        <w:jc w:val="both"/>
        <w:rPr>
          <w:rFonts w:asciiTheme="majorHAnsi" w:hAnsiTheme="majorHAnsi" w:cstheme="majorHAnsi"/>
        </w:rPr>
      </w:pPr>
      <w:r w:rsidRPr="00432DC0">
        <w:rPr>
          <w:rFonts w:asciiTheme="majorHAnsi" w:hAnsiTheme="majorHAnsi" w:cstheme="majorHAnsi"/>
        </w:rPr>
        <w:t>Zaujímavou akciou pre stredoškolákov bol aj projekt Mini-Erasmus</w:t>
      </w:r>
      <w:r>
        <w:rPr>
          <w:rFonts w:asciiTheme="majorHAnsi" w:hAnsiTheme="majorHAnsi" w:cstheme="majorHAnsi"/>
        </w:rPr>
        <w:t xml:space="preserve"> (február 2022)</w:t>
      </w:r>
      <w:r w:rsidRPr="00432DC0">
        <w:rPr>
          <w:rFonts w:asciiTheme="majorHAnsi" w:hAnsiTheme="majorHAnsi" w:cstheme="majorHAnsi"/>
        </w:rPr>
        <w:t xml:space="preserve">, do ktorého sa STU pravidelne zapája. Projekt </w:t>
      </w:r>
      <w:r>
        <w:rPr>
          <w:rFonts w:asciiTheme="majorHAnsi" w:hAnsiTheme="majorHAnsi" w:cstheme="majorHAnsi"/>
        </w:rPr>
        <w:t>je</w:t>
      </w:r>
      <w:r w:rsidRPr="00432DC0">
        <w:rPr>
          <w:rFonts w:asciiTheme="majorHAnsi" w:hAnsiTheme="majorHAnsi" w:cstheme="majorHAnsi"/>
        </w:rPr>
        <w:t xml:space="preserve"> zabezpečovaný v spolupráci s Future Generation Europe. Cieľom projektu </w:t>
      </w:r>
      <w:r>
        <w:rPr>
          <w:rFonts w:asciiTheme="majorHAnsi" w:hAnsiTheme="majorHAnsi" w:cstheme="majorHAnsi"/>
        </w:rPr>
        <w:t>je</w:t>
      </w:r>
      <w:r w:rsidRPr="00432DC0">
        <w:rPr>
          <w:rFonts w:asciiTheme="majorHAnsi" w:hAnsiTheme="majorHAnsi" w:cstheme="majorHAnsi"/>
        </w:rPr>
        <w:t xml:space="preserve"> ukázať žiakom stredných škôl z celého Slovenska reálne vyučovanie na vybraných </w:t>
      </w:r>
      <w:r w:rsidRPr="00432DC0">
        <w:rPr>
          <w:rFonts w:asciiTheme="majorHAnsi" w:hAnsiTheme="majorHAnsi" w:cstheme="majorHAnsi"/>
        </w:rPr>
        <w:lastRenderedPageBreak/>
        <w:t xml:space="preserve">fakultách </w:t>
      </w:r>
      <w:r>
        <w:rPr>
          <w:rFonts w:asciiTheme="majorHAnsi" w:hAnsiTheme="majorHAnsi" w:cstheme="majorHAnsi"/>
        </w:rPr>
        <w:t>vysokej školy</w:t>
      </w:r>
      <w:r w:rsidRPr="00432DC0">
        <w:rPr>
          <w:rFonts w:asciiTheme="majorHAnsi" w:hAnsiTheme="majorHAnsi" w:cstheme="majorHAnsi"/>
        </w:rPr>
        <w:t>, ako aj motivovať ich k dosahovaniu lepších výsledkov v štúdiu už na</w:t>
      </w:r>
      <w:r>
        <w:rPr>
          <w:rFonts w:asciiTheme="majorHAnsi" w:hAnsiTheme="majorHAnsi" w:cstheme="majorHAnsi"/>
        </w:rPr>
        <w:t> </w:t>
      </w:r>
      <w:r w:rsidRPr="00432DC0">
        <w:rPr>
          <w:rFonts w:asciiTheme="majorHAnsi" w:hAnsiTheme="majorHAnsi" w:cstheme="majorHAnsi"/>
        </w:rPr>
        <w:t>strednej škole, ktoré im môžu umožniť ľahšie zvládnutie vysokoškolského štúdia v technických študijných odboroch.</w:t>
      </w:r>
    </w:p>
    <w:p w14:paraId="43CB3FAE" w14:textId="58790264" w:rsidR="00AA7C78" w:rsidRPr="0053555E" w:rsidRDefault="008E3579" w:rsidP="00324438">
      <w:pPr>
        <w:tabs>
          <w:tab w:val="left" w:pos="9356"/>
        </w:tabs>
        <w:spacing w:after="120"/>
        <w:jc w:val="both"/>
        <w:rPr>
          <w:rFonts w:asciiTheme="majorHAnsi" w:hAnsiTheme="majorHAnsi" w:cstheme="majorHAnsi"/>
        </w:rPr>
      </w:pPr>
      <w:r>
        <w:rPr>
          <w:rFonts w:asciiTheme="majorHAnsi" w:hAnsiTheme="majorHAnsi" w:cstheme="majorHAnsi"/>
        </w:rPr>
        <w:t>Ďalš</w:t>
      </w:r>
      <w:r w:rsidR="007B4E1C">
        <w:rPr>
          <w:rFonts w:asciiTheme="majorHAnsi" w:hAnsiTheme="majorHAnsi" w:cstheme="majorHAnsi"/>
        </w:rPr>
        <w:t>ím spôsobom</w:t>
      </w:r>
      <w:r>
        <w:rPr>
          <w:rFonts w:asciiTheme="majorHAnsi" w:hAnsiTheme="majorHAnsi" w:cstheme="majorHAnsi"/>
        </w:rPr>
        <w:t xml:space="preserve"> </w:t>
      </w:r>
      <w:r w:rsidR="008A7220" w:rsidRPr="0053555E">
        <w:rPr>
          <w:rFonts w:asciiTheme="majorHAnsi" w:hAnsiTheme="majorHAnsi" w:cstheme="majorHAnsi"/>
        </w:rPr>
        <w:t>propagácie</w:t>
      </w:r>
      <w:r w:rsidR="007B4E1C">
        <w:rPr>
          <w:rFonts w:asciiTheme="majorHAnsi" w:hAnsiTheme="majorHAnsi" w:cstheme="majorHAnsi"/>
        </w:rPr>
        <w:t>, už priamo v procese prijímacieho konania,</w:t>
      </w:r>
      <w:r w:rsidR="008A7220" w:rsidRPr="0053555E">
        <w:rPr>
          <w:rFonts w:asciiTheme="majorHAnsi" w:hAnsiTheme="majorHAnsi" w:cstheme="majorHAnsi"/>
        </w:rPr>
        <w:t xml:space="preserve"> bola aktívna komunikácia s</w:t>
      </w:r>
      <w:r w:rsidR="007B4E1C">
        <w:rPr>
          <w:rFonts w:asciiTheme="majorHAnsi" w:hAnsiTheme="majorHAnsi" w:cstheme="majorHAnsi"/>
        </w:rPr>
        <w:t> </w:t>
      </w:r>
      <w:r w:rsidR="008A7220" w:rsidRPr="0053555E">
        <w:rPr>
          <w:rFonts w:asciiTheme="majorHAnsi" w:hAnsiTheme="majorHAnsi" w:cstheme="majorHAnsi"/>
        </w:rPr>
        <w:t>uchádzačmi</w:t>
      </w:r>
      <w:r w:rsidR="00A35877" w:rsidRPr="0053555E">
        <w:rPr>
          <w:rFonts w:asciiTheme="majorHAnsi" w:hAnsiTheme="majorHAnsi" w:cstheme="majorHAnsi"/>
        </w:rPr>
        <w:t xml:space="preserve"> </w:t>
      </w:r>
      <w:r w:rsidR="00BB625B" w:rsidRPr="0053555E">
        <w:rPr>
          <w:rFonts w:asciiTheme="majorHAnsi" w:hAnsiTheme="majorHAnsi" w:cstheme="majorHAnsi"/>
        </w:rPr>
        <w:t>formou hromadných mailov, zasielaním elektronických newsletterov</w:t>
      </w:r>
      <w:r w:rsidR="00A35877" w:rsidRPr="0053555E">
        <w:rPr>
          <w:rFonts w:asciiTheme="majorHAnsi" w:hAnsiTheme="majorHAnsi" w:cstheme="majorHAnsi"/>
        </w:rPr>
        <w:t xml:space="preserve">, a to v období medzi </w:t>
      </w:r>
      <w:r w:rsidR="000C7690" w:rsidRPr="0053555E">
        <w:rPr>
          <w:rFonts w:asciiTheme="majorHAnsi" w:hAnsiTheme="majorHAnsi" w:cstheme="majorHAnsi"/>
        </w:rPr>
        <w:t>podaním</w:t>
      </w:r>
      <w:r w:rsidR="00A35877" w:rsidRPr="0053555E">
        <w:rPr>
          <w:rFonts w:asciiTheme="majorHAnsi" w:hAnsiTheme="majorHAnsi" w:cstheme="majorHAnsi"/>
        </w:rPr>
        <w:t xml:space="preserve"> prihlášky </w:t>
      </w:r>
      <w:r w:rsidR="00707039" w:rsidRPr="0053555E">
        <w:rPr>
          <w:rFonts w:asciiTheme="majorHAnsi" w:hAnsiTheme="majorHAnsi" w:cstheme="majorHAnsi"/>
        </w:rPr>
        <w:t xml:space="preserve">na štúdium </w:t>
      </w:r>
      <w:r w:rsidR="00A35877" w:rsidRPr="0053555E">
        <w:rPr>
          <w:rFonts w:asciiTheme="majorHAnsi" w:hAnsiTheme="majorHAnsi" w:cstheme="majorHAnsi"/>
        </w:rPr>
        <w:t>až do momentu vydania rozhodnutia</w:t>
      </w:r>
      <w:r w:rsidR="000C7690" w:rsidRPr="0053555E">
        <w:rPr>
          <w:rFonts w:asciiTheme="majorHAnsi" w:hAnsiTheme="majorHAnsi" w:cstheme="majorHAnsi"/>
        </w:rPr>
        <w:t xml:space="preserve">, v prípade prijatých uchádzačov až do momentu zápisu </w:t>
      </w:r>
      <w:r w:rsidR="006471F2" w:rsidRPr="0053555E">
        <w:rPr>
          <w:rFonts w:asciiTheme="majorHAnsi" w:hAnsiTheme="majorHAnsi" w:cstheme="majorHAnsi"/>
        </w:rPr>
        <w:t>na štúdium</w:t>
      </w:r>
      <w:r w:rsidR="000E3F18" w:rsidRPr="0053555E">
        <w:rPr>
          <w:rFonts w:asciiTheme="majorHAnsi" w:hAnsiTheme="majorHAnsi" w:cstheme="majorHAnsi"/>
        </w:rPr>
        <w:t xml:space="preserve"> (v priebehu mesiacov </w:t>
      </w:r>
      <w:r w:rsidR="00C77901">
        <w:rPr>
          <w:rFonts w:asciiTheme="majorHAnsi" w:hAnsiTheme="majorHAnsi" w:cstheme="majorHAnsi"/>
        </w:rPr>
        <w:t>marec</w:t>
      </w:r>
      <w:r w:rsidR="000E3F18" w:rsidRPr="0053555E">
        <w:rPr>
          <w:rFonts w:asciiTheme="majorHAnsi" w:hAnsiTheme="majorHAnsi" w:cstheme="majorHAnsi"/>
        </w:rPr>
        <w:t xml:space="preserve"> až august)</w:t>
      </w:r>
      <w:r w:rsidR="006471F2" w:rsidRPr="0053555E">
        <w:rPr>
          <w:rFonts w:asciiTheme="majorHAnsi" w:hAnsiTheme="majorHAnsi" w:cstheme="majorHAnsi"/>
        </w:rPr>
        <w:t xml:space="preserve">. </w:t>
      </w:r>
      <w:r w:rsidR="00A35877" w:rsidRPr="0053555E">
        <w:rPr>
          <w:rFonts w:asciiTheme="majorHAnsi" w:hAnsiTheme="majorHAnsi" w:cstheme="majorHAnsi"/>
        </w:rPr>
        <w:t xml:space="preserve">Cieľom bolo motivovať </w:t>
      </w:r>
      <w:r w:rsidR="00707039" w:rsidRPr="0053555E">
        <w:rPr>
          <w:rFonts w:asciiTheme="majorHAnsi" w:hAnsiTheme="majorHAnsi" w:cstheme="majorHAnsi"/>
        </w:rPr>
        <w:t xml:space="preserve">uchádzačov </w:t>
      </w:r>
      <w:r w:rsidR="00A35877" w:rsidRPr="0053555E">
        <w:rPr>
          <w:rFonts w:asciiTheme="majorHAnsi" w:hAnsiTheme="majorHAnsi" w:cstheme="majorHAnsi"/>
        </w:rPr>
        <w:t>k</w:t>
      </w:r>
      <w:r w:rsidR="00AE4EEB" w:rsidRPr="0053555E">
        <w:rPr>
          <w:rFonts w:asciiTheme="majorHAnsi" w:hAnsiTheme="majorHAnsi" w:cstheme="majorHAnsi"/>
        </w:rPr>
        <w:t xml:space="preserve"> </w:t>
      </w:r>
      <w:r w:rsidR="00F95FA8" w:rsidRPr="0053555E">
        <w:rPr>
          <w:rFonts w:asciiTheme="majorHAnsi" w:hAnsiTheme="majorHAnsi" w:cstheme="majorHAnsi"/>
        </w:rPr>
        <w:t>ich konečnému r</w:t>
      </w:r>
      <w:r w:rsidR="00A35877" w:rsidRPr="0053555E">
        <w:rPr>
          <w:rFonts w:asciiTheme="majorHAnsi" w:hAnsiTheme="majorHAnsi" w:cstheme="majorHAnsi"/>
        </w:rPr>
        <w:t>ozhodnutiu</w:t>
      </w:r>
      <w:r w:rsidR="006471F2" w:rsidRPr="0053555E">
        <w:rPr>
          <w:rFonts w:asciiTheme="majorHAnsi" w:hAnsiTheme="majorHAnsi" w:cstheme="majorHAnsi"/>
        </w:rPr>
        <w:t> </w:t>
      </w:r>
      <w:r w:rsidR="00A35877" w:rsidRPr="0053555E">
        <w:rPr>
          <w:rFonts w:asciiTheme="majorHAnsi" w:hAnsiTheme="majorHAnsi" w:cstheme="majorHAnsi"/>
        </w:rPr>
        <w:t>zapísa</w:t>
      </w:r>
      <w:r w:rsidR="00F95FA8" w:rsidRPr="0053555E">
        <w:rPr>
          <w:rFonts w:asciiTheme="majorHAnsi" w:hAnsiTheme="majorHAnsi" w:cstheme="majorHAnsi"/>
        </w:rPr>
        <w:t>ť</w:t>
      </w:r>
      <w:r w:rsidR="00A35877" w:rsidRPr="0053555E">
        <w:rPr>
          <w:rFonts w:asciiTheme="majorHAnsi" w:hAnsiTheme="majorHAnsi" w:cstheme="majorHAnsi"/>
        </w:rPr>
        <w:t xml:space="preserve"> sa na štúdium na STU.</w:t>
      </w:r>
      <w:r w:rsidR="006471F2" w:rsidRPr="0053555E">
        <w:rPr>
          <w:rFonts w:asciiTheme="majorHAnsi" w:hAnsiTheme="majorHAnsi" w:cstheme="majorHAnsi"/>
        </w:rPr>
        <w:t xml:space="preserve"> </w:t>
      </w:r>
      <w:r w:rsidR="003F2F2D" w:rsidRPr="0053555E">
        <w:rPr>
          <w:rFonts w:asciiTheme="majorHAnsi" w:hAnsiTheme="majorHAnsi" w:cstheme="majorHAnsi"/>
        </w:rPr>
        <w:t>Obsah komunikácie bol diferencovan</w:t>
      </w:r>
      <w:r w:rsidR="00683648" w:rsidRPr="0053555E">
        <w:rPr>
          <w:rFonts w:asciiTheme="majorHAnsi" w:hAnsiTheme="majorHAnsi" w:cstheme="majorHAnsi"/>
        </w:rPr>
        <w:t>ý</w:t>
      </w:r>
      <w:r w:rsidR="003F2F2D" w:rsidRPr="0053555E">
        <w:rPr>
          <w:rFonts w:asciiTheme="majorHAnsi" w:hAnsiTheme="majorHAnsi" w:cstheme="majorHAnsi"/>
        </w:rPr>
        <w:t xml:space="preserve"> podľa </w:t>
      </w:r>
      <w:r w:rsidR="00AE4EEB" w:rsidRPr="0053555E">
        <w:rPr>
          <w:rFonts w:asciiTheme="majorHAnsi" w:hAnsiTheme="majorHAnsi" w:cstheme="majorHAnsi"/>
        </w:rPr>
        <w:t>súčasti STU</w:t>
      </w:r>
      <w:r w:rsidR="00B04EBE" w:rsidRPr="0053555E">
        <w:rPr>
          <w:rFonts w:asciiTheme="majorHAnsi" w:hAnsiTheme="majorHAnsi" w:cstheme="majorHAnsi"/>
        </w:rPr>
        <w:t>, na ktorú si podali prihlášku</w:t>
      </w:r>
      <w:r w:rsidR="00AE4EEB" w:rsidRPr="0053555E">
        <w:rPr>
          <w:rFonts w:asciiTheme="majorHAnsi" w:hAnsiTheme="majorHAnsi" w:cstheme="majorHAnsi"/>
        </w:rPr>
        <w:t xml:space="preserve"> </w:t>
      </w:r>
      <w:r w:rsidR="00683648" w:rsidRPr="0053555E">
        <w:rPr>
          <w:rFonts w:asciiTheme="majorHAnsi" w:hAnsiTheme="majorHAnsi" w:cstheme="majorHAnsi"/>
        </w:rPr>
        <w:t>a cieľovej skupiny</w:t>
      </w:r>
      <w:r w:rsidR="00B04EBE" w:rsidRPr="0053555E">
        <w:rPr>
          <w:rFonts w:asciiTheme="majorHAnsi" w:hAnsiTheme="majorHAnsi" w:cstheme="majorHAnsi"/>
        </w:rPr>
        <w:t xml:space="preserve"> (</w:t>
      </w:r>
      <w:r w:rsidR="003F2F2D" w:rsidRPr="0053555E">
        <w:rPr>
          <w:rFonts w:asciiTheme="majorHAnsi" w:hAnsiTheme="majorHAnsi" w:cstheme="majorHAnsi"/>
        </w:rPr>
        <w:t>prihlásen</w:t>
      </w:r>
      <w:r w:rsidR="00CA225F" w:rsidRPr="0053555E">
        <w:rPr>
          <w:rFonts w:asciiTheme="majorHAnsi" w:hAnsiTheme="majorHAnsi" w:cstheme="majorHAnsi"/>
        </w:rPr>
        <w:t>í</w:t>
      </w:r>
      <w:r w:rsidR="003F2F2D" w:rsidRPr="0053555E">
        <w:rPr>
          <w:rFonts w:asciiTheme="majorHAnsi" w:hAnsiTheme="majorHAnsi" w:cstheme="majorHAnsi"/>
        </w:rPr>
        <w:t xml:space="preserve"> uchádzač</w:t>
      </w:r>
      <w:r w:rsidR="00CA225F" w:rsidRPr="0053555E">
        <w:rPr>
          <w:rFonts w:asciiTheme="majorHAnsi" w:hAnsiTheme="majorHAnsi" w:cstheme="majorHAnsi"/>
        </w:rPr>
        <w:t>i</w:t>
      </w:r>
      <w:r w:rsidR="00226C75" w:rsidRPr="0053555E">
        <w:rPr>
          <w:rFonts w:asciiTheme="majorHAnsi" w:hAnsiTheme="majorHAnsi" w:cstheme="majorHAnsi"/>
        </w:rPr>
        <w:t xml:space="preserve"> a</w:t>
      </w:r>
      <w:r w:rsidR="003E522D" w:rsidRPr="0053555E">
        <w:rPr>
          <w:rFonts w:asciiTheme="majorHAnsi" w:hAnsiTheme="majorHAnsi" w:cstheme="majorHAnsi"/>
        </w:rPr>
        <w:t>lebo</w:t>
      </w:r>
      <w:r w:rsidR="00683648" w:rsidRPr="0053555E">
        <w:rPr>
          <w:rFonts w:asciiTheme="majorHAnsi" w:hAnsiTheme="majorHAnsi" w:cstheme="majorHAnsi"/>
        </w:rPr>
        <w:t xml:space="preserve"> </w:t>
      </w:r>
      <w:r w:rsidR="003F2F2D" w:rsidRPr="0053555E">
        <w:rPr>
          <w:rFonts w:asciiTheme="majorHAnsi" w:hAnsiTheme="majorHAnsi" w:cstheme="majorHAnsi"/>
        </w:rPr>
        <w:t>prijat</w:t>
      </w:r>
      <w:r w:rsidR="00CA225F" w:rsidRPr="0053555E">
        <w:rPr>
          <w:rFonts w:asciiTheme="majorHAnsi" w:hAnsiTheme="majorHAnsi" w:cstheme="majorHAnsi"/>
        </w:rPr>
        <w:t>í</w:t>
      </w:r>
      <w:r w:rsidR="003F2F2D" w:rsidRPr="0053555E">
        <w:rPr>
          <w:rFonts w:asciiTheme="majorHAnsi" w:hAnsiTheme="majorHAnsi" w:cstheme="majorHAnsi"/>
        </w:rPr>
        <w:t xml:space="preserve"> uchádzač</w:t>
      </w:r>
      <w:r w:rsidR="00CA225F" w:rsidRPr="0053555E">
        <w:rPr>
          <w:rFonts w:asciiTheme="majorHAnsi" w:hAnsiTheme="majorHAnsi" w:cstheme="majorHAnsi"/>
        </w:rPr>
        <w:t>i).</w:t>
      </w:r>
    </w:p>
    <w:p w14:paraId="6B49F974" w14:textId="05F3F496" w:rsidR="00BA38A6" w:rsidRPr="009223BE" w:rsidRDefault="002A52F9" w:rsidP="009223BE">
      <w:pPr>
        <w:tabs>
          <w:tab w:val="left" w:pos="9356"/>
        </w:tabs>
        <w:spacing w:after="120"/>
        <w:jc w:val="both"/>
        <w:rPr>
          <w:rFonts w:asciiTheme="majorHAnsi" w:hAnsiTheme="majorHAnsi" w:cstheme="majorHAnsi"/>
        </w:rPr>
      </w:pPr>
      <w:r w:rsidRPr="00586578">
        <w:rPr>
          <w:rFonts w:asciiTheme="majorHAnsi" w:hAnsiTheme="majorHAnsi" w:cstheme="majorHAnsi"/>
        </w:rPr>
        <w:t>D</w:t>
      </w:r>
      <w:r w:rsidR="00522691" w:rsidRPr="00586578">
        <w:rPr>
          <w:rFonts w:asciiTheme="majorHAnsi" w:hAnsiTheme="majorHAnsi" w:cstheme="majorHAnsi"/>
        </w:rPr>
        <w:t>ôležitou formou propagácie štúdia na STU</w:t>
      </w:r>
      <w:r w:rsidRPr="00586578">
        <w:rPr>
          <w:rFonts w:asciiTheme="majorHAnsi" w:hAnsiTheme="majorHAnsi" w:cstheme="majorHAnsi"/>
        </w:rPr>
        <w:t xml:space="preserve"> a jej fakultá</w:t>
      </w:r>
      <w:r w:rsidR="008877F2" w:rsidRPr="00586578">
        <w:rPr>
          <w:rFonts w:asciiTheme="majorHAnsi" w:hAnsiTheme="majorHAnsi" w:cstheme="majorHAnsi"/>
        </w:rPr>
        <w:t>ch</w:t>
      </w:r>
      <w:r w:rsidR="0043205D" w:rsidRPr="00586578">
        <w:rPr>
          <w:rFonts w:asciiTheme="majorHAnsi" w:hAnsiTheme="majorHAnsi" w:cstheme="majorHAnsi"/>
        </w:rPr>
        <w:t xml:space="preserve"> boli </w:t>
      </w:r>
      <w:r w:rsidR="00462B44" w:rsidRPr="00586578">
        <w:rPr>
          <w:rFonts w:asciiTheme="majorHAnsi" w:hAnsiTheme="majorHAnsi" w:cstheme="majorHAnsi"/>
        </w:rPr>
        <w:t xml:space="preserve">aj </w:t>
      </w:r>
      <w:r w:rsidR="0043205D" w:rsidRPr="00586578">
        <w:rPr>
          <w:rFonts w:asciiTheme="majorHAnsi" w:hAnsiTheme="majorHAnsi" w:cstheme="majorHAnsi"/>
        </w:rPr>
        <w:t xml:space="preserve">ďalšie aktivity, </w:t>
      </w:r>
      <w:r w:rsidR="000B31A8">
        <w:rPr>
          <w:rFonts w:asciiTheme="majorHAnsi" w:hAnsiTheme="majorHAnsi" w:cstheme="majorHAnsi"/>
        </w:rPr>
        <w:t>napríklad</w:t>
      </w:r>
      <w:r w:rsidR="00ED005C">
        <w:rPr>
          <w:rFonts w:asciiTheme="majorHAnsi" w:hAnsiTheme="majorHAnsi" w:cstheme="majorHAnsi"/>
        </w:rPr>
        <w:t xml:space="preserve"> </w:t>
      </w:r>
      <w:r w:rsidR="00466B95" w:rsidRPr="00ED005C">
        <w:rPr>
          <w:rFonts w:cs="Arial"/>
        </w:rPr>
        <w:t xml:space="preserve">Piatky so stavbármi </w:t>
      </w:r>
      <w:r w:rsidR="00ED005C">
        <w:rPr>
          <w:rFonts w:cs="Arial"/>
        </w:rPr>
        <w:t xml:space="preserve"> či </w:t>
      </w:r>
      <w:r w:rsidR="00ED005C" w:rsidRPr="00454F59">
        <w:rPr>
          <w:rFonts w:cs="Arial"/>
        </w:rPr>
        <w:t>Navštív svo</w:t>
      </w:r>
      <w:r w:rsidR="00ED005C">
        <w:rPr>
          <w:rFonts w:cs="Arial"/>
        </w:rPr>
        <w:t>ju školu – Spoznaj svojho vedca</w:t>
      </w:r>
      <w:r w:rsidR="00ED005C" w:rsidRPr="00454F59">
        <w:rPr>
          <w:rFonts w:cs="Arial"/>
        </w:rPr>
        <w:t xml:space="preserve"> </w:t>
      </w:r>
      <w:r w:rsidR="00ED005C">
        <w:rPr>
          <w:rFonts w:cs="Arial"/>
        </w:rPr>
        <w:t>(</w:t>
      </w:r>
      <w:r w:rsidR="004C26D7" w:rsidRPr="00ED005C">
        <w:rPr>
          <w:rFonts w:cs="Arial"/>
        </w:rPr>
        <w:t>organizované SvF</w:t>
      </w:r>
      <w:r w:rsidR="00ED005C">
        <w:rPr>
          <w:rFonts w:cs="Arial"/>
        </w:rPr>
        <w:t>)</w:t>
      </w:r>
      <w:r w:rsidR="00ED005C" w:rsidRPr="00ED005C">
        <w:rPr>
          <w:rFonts w:asciiTheme="majorHAnsi" w:hAnsiTheme="majorHAnsi" w:cstheme="majorHAnsi"/>
        </w:rPr>
        <w:t>;</w:t>
      </w:r>
      <w:r w:rsidR="00ED005C">
        <w:rPr>
          <w:rFonts w:asciiTheme="majorHAnsi" w:hAnsiTheme="majorHAnsi" w:cstheme="majorHAnsi"/>
        </w:rPr>
        <w:t xml:space="preserve"> </w:t>
      </w:r>
      <w:r w:rsidR="00EC0BBB" w:rsidRPr="00ED005C">
        <w:rPr>
          <w:rFonts w:asciiTheme="majorHAnsi" w:hAnsiTheme="majorHAnsi" w:cstheme="majorHAnsi"/>
        </w:rPr>
        <w:t>letn</w:t>
      </w:r>
      <w:r w:rsidR="000D6CC5" w:rsidRPr="00ED005C">
        <w:rPr>
          <w:rFonts w:asciiTheme="majorHAnsi" w:hAnsiTheme="majorHAnsi" w:cstheme="majorHAnsi"/>
        </w:rPr>
        <w:t>é</w:t>
      </w:r>
      <w:r w:rsidR="00EC0BBB" w:rsidRPr="00ED005C">
        <w:rPr>
          <w:rFonts w:asciiTheme="majorHAnsi" w:hAnsiTheme="majorHAnsi" w:cstheme="majorHAnsi"/>
        </w:rPr>
        <w:t xml:space="preserve"> tábor</w:t>
      </w:r>
      <w:r w:rsidR="000D6CC5" w:rsidRPr="00ED005C">
        <w:rPr>
          <w:rFonts w:asciiTheme="majorHAnsi" w:hAnsiTheme="majorHAnsi" w:cstheme="majorHAnsi"/>
        </w:rPr>
        <w:t>y</w:t>
      </w:r>
      <w:r w:rsidR="00ED005C">
        <w:rPr>
          <w:rFonts w:asciiTheme="majorHAnsi" w:hAnsiTheme="majorHAnsi" w:cstheme="majorHAnsi"/>
        </w:rPr>
        <w:t xml:space="preserve"> zamerané</w:t>
      </w:r>
      <w:r w:rsidR="00EC0BBB" w:rsidRPr="00ED005C">
        <w:rPr>
          <w:rFonts w:asciiTheme="majorHAnsi" w:hAnsiTheme="majorHAnsi" w:cstheme="majorHAnsi"/>
        </w:rPr>
        <w:t xml:space="preserve"> na vytváranie vzťahu k technike u detí na základných školách </w:t>
      </w:r>
      <w:r w:rsidR="00D4415E" w:rsidRPr="00ED005C">
        <w:rPr>
          <w:rFonts w:asciiTheme="majorHAnsi" w:hAnsiTheme="majorHAnsi" w:cstheme="majorHAnsi"/>
        </w:rPr>
        <w:t xml:space="preserve">organizované SjF </w:t>
      </w:r>
      <w:r w:rsidR="00EC0BBB" w:rsidRPr="00ED005C">
        <w:rPr>
          <w:rFonts w:asciiTheme="majorHAnsi" w:hAnsiTheme="majorHAnsi" w:cstheme="majorHAnsi"/>
        </w:rPr>
        <w:t>v</w:t>
      </w:r>
      <w:r w:rsidR="000D62B5" w:rsidRPr="00ED005C">
        <w:rPr>
          <w:rFonts w:asciiTheme="majorHAnsi" w:hAnsiTheme="majorHAnsi" w:cstheme="majorHAnsi"/>
        </w:rPr>
        <w:t xml:space="preserve"> spolupráci s občianskym združením AMAVET (Asociácia pre mládež, vedu a techniku)</w:t>
      </w:r>
      <w:r w:rsidR="002F3AA5" w:rsidRPr="00ED005C">
        <w:rPr>
          <w:rFonts w:asciiTheme="majorHAnsi" w:hAnsiTheme="majorHAnsi" w:cstheme="majorHAnsi"/>
        </w:rPr>
        <w:t>;</w:t>
      </w:r>
      <w:r w:rsidR="00ED005C">
        <w:rPr>
          <w:rFonts w:asciiTheme="majorHAnsi" w:hAnsiTheme="majorHAnsi" w:cstheme="majorHAnsi"/>
        </w:rPr>
        <w:t xml:space="preserve"> </w:t>
      </w:r>
      <w:r w:rsidR="000D6CC5" w:rsidRPr="00ED005C">
        <w:rPr>
          <w:rFonts w:asciiTheme="majorHAnsi" w:hAnsiTheme="majorHAnsi" w:cstheme="majorHAnsi"/>
        </w:rPr>
        <w:t>M</w:t>
      </w:r>
      <w:r w:rsidR="000D62B5" w:rsidRPr="00ED005C">
        <w:rPr>
          <w:rFonts w:asciiTheme="majorHAnsi" w:hAnsiTheme="majorHAnsi" w:cstheme="majorHAnsi"/>
        </w:rPr>
        <w:t xml:space="preserve">y machine </w:t>
      </w:r>
      <w:r w:rsidR="000D6CC5" w:rsidRPr="00ED005C">
        <w:rPr>
          <w:rFonts w:asciiTheme="majorHAnsi" w:hAnsiTheme="majorHAnsi" w:cstheme="majorHAnsi"/>
        </w:rPr>
        <w:t xml:space="preserve">projekt </w:t>
      </w:r>
      <w:r w:rsidR="000D62B5" w:rsidRPr="00ED005C">
        <w:rPr>
          <w:rFonts w:asciiTheme="majorHAnsi" w:hAnsiTheme="majorHAnsi" w:cstheme="majorHAnsi"/>
        </w:rPr>
        <w:t>zameran</w:t>
      </w:r>
      <w:r w:rsidR="000224D6" w:rsidRPr="00ED005C">
        <w:rPr>
          <w:rFonts w:asciiTheme="majorHAnsi" w:hAnsiTheme="majorHAnsi" w:cstheme="majorHAnsi"/>
        </w:rPr>
        <w:t>ý</w:t>
      </w:r>
      <w:r w:rsidR="000D62B5" w:rsidRPr="00ED005C">
        <w:rPr>
          <w:rFonts w:asciiTheme="majorHAnsi" w:hAnsiTheme="majorHAnsi" w:cstheme="majorHAnsi"/>
        </w:rPr>
        <w:t xml:space="preserve"> na popularizáciu technického vzdelávania u žiakov základných a stredných škôl </w:t>
      </w:r>
      <w:r w:rsidR="000224D6" w:rsidRPr="00ED005C">
        <w:rPr>
          <w:rFonts w:asciiTheme="majorHAnsi" w:hAnsiTheme="majorHAnsi" w:cstheme="majorHAnsi"/>
        </w:rPr>
        <w:t xml:space="preserve">realizovaný </w:t>
      </w:r>
      <w:r w:rsidR="00D4415E" w:rsidRPr="00ED005C">
        <w:rPr>
          <w:rFonts w:asciiTheme="majorHAnsi" w:hAnsiTheme="majorHAnsi" w:cstheme="majorHAnsi"/>
        </w:rPr>
        <w:t xml:space="preserve">na SjF </w:t>
      </w:r>
      <w:r w:rsidR="000224D6" w:rsidRPr="00ED005C">
        <w:rPr>
          <w:rFonts w:asciiTheme="majorHAnsi" w:hAnsiTheme="majorHAnsi" w:cstheme="majorHAnsi"/>
        </w:rPr>
        <w:t>v rámci spolupráce s Karpatskou nadáciou</w:t>
      </w:r>
      <w:r w:rsidR="004C26D7" w:rsidRPr="00ED005C">
        <w:rPr>
          <w:rFonts w:asciiTheme="majorHAnsi" w:hAnsiTheme="majorHAnsi" w:cstheme="majorHAnsi"/>
        </w:rPr>
        <w:t>;</w:t>
      </w:r>
      <w:r w:rsidR="00ED005C">
        <w:rPr>
          <w:rFonts w:asciiTheme="majorHAnsi" w:hAnsiTheme="majorHAnsi" w:cstheme="majorHAnsi"/>
        </w:rPr>
        <w:t xml:space="preserve"> </w:t>
      </w:r>
      <w:r w:rsidR="00E16514" w:rsidRPr="00ED005C">
        <w:rPr>
          <w:rFonts w:asciiTheme="majorHAnsi" w:eastAsiaTheme="minorHAnsi" w:hAnsiTheme="majorHAnsi" w:cstheme="majorHAnsi"/>
        </w:rPr>
        <w:t xml:space="preserve">Roadshow </w:t>
      </w:r>
      <w:r w:rsidR="00E64B91" w:rsidRPr="00ED005C">
        <w:rPr>
          <w:rFonts w:asciiTheme="majorHAnsi" w:eastAsiaTheme="minorHAnsi" w:hAnsiTheme="majorHAnsi" w:cstheme="majorHAnsi"/>
        </w:rPr>
        <w:t xml:space="preserve">projekt zameraný na </w:t>
      </w:r>
      <w:r w:rsidR="00E16514" w:rsidRPr="00ED005C">
        <w:rPr>
          <w:rFonts w:asciiTheme="majorHAnsi" w:eastAsiaTheme="minorHAnsi" w:hAnsiTheme="majorHAnsi" w:cstheme="majorHAnsi"/>
        </w:rPr>
        <w:t>prezentovanie štúdia na FEI STU na stredných školách</w:t>
      </w:r>
      <w:r w:rsidR="007A2456" w:rsidRPr="00ED005C">
        <w:rPr>
          <w:rFonts w:asciiTheme="majorHAnsi" w:eastAsiaTheme="minorHAnsi" w:hAnsiTheme="majorHAnsi" w:cstheme="majorHAnsi"/>
        </w:rPr>
        <w:t>;</w:t>
      </w:r>
      <w:r w:rsidR="00E16514" w:rsidRPr="00ED005C">
        <w:rPr>
          <w:rFonts w:asciiTheme="majorHAnsi" w:eastAsiaTheme="minorHAnsi" w:hAnsiTheme="majorHAnsi" w:cstheme="majorHAnsi"/>
        </w:rPr>
        <w:t xml:space="preserve"> </w:t>
      </w:r>
      <w:r w:rsidR="00ED005C">
        <w:rPr>
          <w:rFonts w:asciiTheme="majorHAnsi" w:eastAsiaTheme="minorHAnsi" w:hAnsiTheme="majorHAnsi" w:cstheme="majorHAnsi"/>
        </w:rPr>
        <w:t>Majstrovstvá</w:t>
      </w:r>
      <w:r w:rsidR="00E16514" w:rsidRPr="00ED005C">
        <w:rPr>
          <w:rFonts w:asciiTheme="majorHAnsi" w:eastAsiaTheme="minorHAnsi" w:hAnsiTheme="majorHAnsi" w:cstheme="majorHAnsi"/>
        </w:rPr>
        <w:t xml:space="preserve"> </w:t>
      </w:r>
      <w:r w:rsidR="00ED005C">
        <w:rPr>
          <w:rFonts w:asciiTheme="majorHAnsi" w:eastAsiaTheme="minorHAnsi" w:hAnsiTheme="majorHAnsi" w:cstheme="majorHAnsi"/>
        </w:rPr>
        <w:t>SR</w:t>
      </w:r>
      <w:r w:rsidR="00E16514" w:rsidRPr="00ED005C">
        <w:rPr>
          <w:rFonts w:asciiTheme="majorHAnsi" w:eastAsiaTheme="minorHAnsi" w:hAnsiTheme="majorHAnsi" w:cstheme="majorHAnsi"/>
        </w:rPr>
        <w:t xml:space="preserve"> v elektronických športoch</w:t>
      </w:r>
      <w:r w:rsidR="00F940E7" w:rsidRPr="00ED005C">
        <w:rPr>
          <w:rFonts w:asciiTheme="majorHAnsi" w:eastAsiaTheme="minorHAnsi" w:hAnsiTheme="majorHAnsi" w:cstheme="majorHAnsi"/>
        </w:rPr>
        <w:t xml:space="preserve"> </w:t>
      </w:r>
      <w:r w:rsidR="00E64B91" w:rsidRPr="00ED005C">
        <w:rPr>
          <w:rFonts w:asciiTheme="majorHAnsi" w:eastAsiaTheme="minorHAnsi" w:hAnsiTheme="majorHAnsi" w:cstheme="majorHAnsi"/>
        </w:rPr>
        <w:t>s účasťou FEI</w:t>
      </w:r>
      <w:r w:rsidR="00050A7E" w:rsidRPr="00ED005C">
        <w:rPr>
          <w:rFonts w:asciiTheme="majorHAnsi" w:eastAsiaTheme="minorHAnsi" w:hAnsiTheme="majorHAnsi" w:cstheme="majorHAnsi"/>
        </w:rPr>
        <w:t xml:space="preserve">, </w:t>
      </w:r>
      <w:r w:rsidR="00E16514" w:rsidRPr="00ED005C">
        <w:rPr>
          <w:rFonts w:asciiTheme="majorHAnsi" w:eastAsiaTheme="minorHAnsi" w:hAnsiTheme="majorHAnsi" w:cstheme="majorHAnsi"/>
        </w:rPr>
        <w:t>turnaj Slovenská stredoškolská e</w:t>
      </w:r>
      <w:r w:rsidR="00F940E7" w:rsidRPr="00ED005C">
        <w:rPr>
          <w:rFonts w:asciiTheme="majorHAnsi" w:eastAsiaTheme="minorHAnsi" w:hAnsiTheme="majorHAnsi" w:cstheme="majorHAnsi"/>
        </w:rPr>
        <w:t>-</w:t>
      </w:r>
      <w:r w:rsidR="00E16514" w:rsidRPr="00ED005C">
        <w:rPr>
          <w:rFonts w:asciiTheme="majorHAnsi" w:eastAsiaTheme="minorHAnsi" w:hAnsiTheme="majorHAnsi" w:cstheme="majorHAnsi"/>
        </w:rPr>
        <w:t>šport liga, v ktorej je FEI STU hlavným partnerom turnaja v Counter-Strike</w:t>
      </w:r>
      <w:r w:rsidR="008912A4" w:rsidRPr="00ED005C">
        <w:rPr>
          <w:rFonts w:asciiTheme="majorHAnsi" w:eastAsiaTheme="minorHAnsi" w:hAnsiTheme="majorHAnsi" w:cstheme="majorHAnsi"/>
        </w:rPr>
        <w:t>;</w:t>
      </w:r>
      <w:r w:rsidR="00ED005C">
        <w:rPr>
          <w:rFonts w:asciiTheme="majorHAnsi" w:hAnsiTheme="majorHAnsi" w:cstheme="majorHAnsi"/>
        </w:rPr>
        <w:t xml:space="preserve"> </w:t>
      </w:r>
      <w:r w:rsidR="00B46086" w:rsidRPr="00ED005C">
        <w:rPr>
          <w:rFonts w:asciiTheme="majorHAnsi" w:hAnsiTheme="majorHAnsi" w:cstheme="majorHAnsi"/>
        </w:rPr>
        <w:t>Týždeň otvorených dverí Chemweek</w:t>
      </w:r>
      <w:r w:rsidR="009223BE">
        <w:rPr>
          <w:rFonts w:asciiTheme="majorHAnsi" w:hAnsiTheme="majorHAnsi" w:cstheme="majorHAnsi"/>
        </w:rPr>
        <w:t xml:space="preserve"> (</w:t>
      </w:r>
      <w:r w:rsidR="00B46086" w:rsidRPr="00ED005C">
        <w:rPr>
          <w:rFonts w:asciiTheme="majorHAnsi" w:hAnsiTheme="majorHAnsi" w:cstheme="majorHAnsi"/>
        </w:rPr>
        <w:t xml:space="preserve">on-line prezentácia </w:t>
      </w:r>
      <w:r w:rsidR="001D227C" w:rsidRPr="00ED005C">
        <w:rPr>
          <w:rFonts w:asciiTheme="majorHAnsi" w:hAnsiTheme="majorHAnsi" w:cstheme="majorHAnsi"/>
        </w:rPr>
        <w:t>FCHPT</w:t>
      </w:r>
      <w:r w:rsidR="009223BE">
        <w:rPr>
          <w:rFonts w:asciiTheme="majorHAnsi" w:hAnsiTheme="majorHAnsi" w:cstheme="majorHAnsi"/>
        </w:rPr>
        <w:t>)</w:t>
      </w:r>
      <w:r w:rsidR="00B46086" w:rsidRPr="00ED005C">
        <w:rPr>
          <w:rFonts w:asciiTheme="majorHAnsi" w:hAnsiTheme="majorHAnsi" w:cstheme="majorHAnsi"/>
        </w:rPr>
        <w:t>;</w:t>
      </w:r>
      <w:r w:rsidR="00ED005C">
        <w:rPr>
          <w:rFonts w:asciiTheme="majorHAnsi" w:hAnsiTheme="majorHAnsi" w:cstheme="majorHAnsi"/>
        </w:rPr>
        <w:t xml:space="preserve"> </w:t>
      </w:r>
      <w:r w:rsidR="00B46086" w:rsidRPr="00ED005C">
        <w:rPr>
          <w:rFonts w:asciiTheme="majorHAnsi" w:hAnsiTheme="majorHAnsi" w:cstheme="majorHAnsi"/>
        </w:rPr>
        <w:t xml:space="preserve">ChemDay </w:t>
      </w:r>
      <w:r w:rsidR="00050A7E" w:rsidRPr="00ED005C">
        <w:rPr>
          <w:rFonts w:asciiTheme="majorHAnsi" w:hAnsiTheme="majorHAnsi" w:cstheme="majorHAnsi"/>
        </w:rPr>
        <w:t>-</w:t>
      </w:r>
      <w:r w:rsidR="00B46086" w:rsidRPr="00ED005C">
        <w:rPr>
          <w:rFonts w:asciiTheme="majorHAnsi" w:hAnsiTheme="majorHAnsi" w:cstheme="majorHAnsi"/>
        </w:rPr>
        <w:t xml:space="preserve"> prezenčná akcia spolku študentov CHEM spojená s prezentáciami chemických a potravinárskych firiem v SR ako potenciálnych zamestnávateľov pre absolventov fakulty</w:t>
      </w:r>
      <w:r w:rsidR="009223BE">
        <w:rPr>
          <w:rFonts w:asciiTheme="majorHAnsi" w:hAnsiTheme="majorHAnsi" w:cstheme="majorHAnsi"/>
        </w:rPr>
        <w:t>,</w:t>
      </w:r>
      <w:r w:rsidR="00B46086" w:rsidRPr="00ED005C">
        <w:rPr>
          <w:rFonts w:asciiTheme="majorHAnsi" w:hAnsiTheme="majorHAnsi" w:cstheme="majorHAnsi"/>
        </w:rPr>
        <w:t xml:space="preserve"> </w:t>
      </w:r>
      <w:r w:rsidR="002C0617" w:rsidRPr="00ED005C">
        <w:rPr>
          <w:rFonts w:asciiTheme="majorHAnsi" w:hAnsiTheme="majorHAnsi" w:cstheme="majorHAnsi"/>
        </w:rPr>
        <w:t>Seminár pre stredoškolských učiteľov prírodovedných predmetov</w:t>
      </w:r>
      <w:r w:rsidR="009223BE">
        <w:rPr>
          <w:rFonts w:asciiTheme="majorHAnsi" w:hAnsiTheme="majorHAnsi" w:cstheme="majorHAnsi"/>
        </w:rPr>
        <w:t>,</w:t>
      </w:r>
      <w:r w:rsidR="002C0617" w:rsidRPr="00ED005C">
        <w:rPr>
          <w:rFonts w:asciiTheme="majorHAnsi" w:hAnsiTheme="majorHAnsi" w:cstheme="majorHAnsi"/>
        </w:rPr>
        <w:t xml:space="preserve"> </w:t>
      </w:r>
      <w:r w:rsidR="00B46086" w:rsidRPr="00ED005C">
        <w:rPr>
          <w:rFonts w:asciiTheme="majorHAnsi" w:hAnsiTheme="majorHAnsi" w:cstheme="majorHAnsi"/>
        </w:rPr>
        <w:t xml:space="preserve">Chemický jarmok ChemShow </w:t>
      </w:r>
      <w:r w:rsidR="00D2203B" w:rsidRPr="00ED005C">
        <w:rPr>
          <w:rFonts w:asciiTheme="majorHAnsi" w:hAnsiTheme="majorHAnsi" w:cstheme="majorHAnsi"/>
        </w:rPr>
        <w:t>organizovaný</w:t>
      </w:r>
      <w:r w:rsidR="00B46086" w:rsidRPr="00ED005C">
        <w:rPr>
          <w:rFonts w:asciiTheme="majorHAnsi" w:hAnsiTheme="majorHAnsi" w:cstheme="majorHAnsi"/>
        </w:rPr>
        <w:t xml:space="preserve"> </w:t>
      </w:r>
      <w:r w:rsidR="00D2203B" w:rsidRPr="00ED005C">
        <w:rPr>
          <w:rFonts w:asciiTheme="majorHAnsi" w:hAnsiTheme="majorHAnsi" w:cstheme="majorHAnsi"/>
        </w:rPr>
        <w:t>na FCHPT</w:t>
      </w:r>
      <w:r w:rsidR="009223BE">
        <w:rPr>
          <w:rFonts w:asciiTheme="majorHAnsi" w:hAnsiTheme="majorHAnsi" w:cstheme="majorHAnsi"/>
        </w:rPr>
        <w:t xml:space="preserve">, </w:t>
      </w:r>
      <w:r w:rsidR="00D24F72" w:rsidRPr="009223BE">
        <w:rPr>
          <w:rFonts w:asciiTheme="majorHAnsi" w:hAnsiTheme="majorHAnsi" w:cstheme="majorHAnsi"/>
        </w:rPr>
        <w:t>letn</w:t>
      </w:r>
      <w:r w:rsidR="002A0E17" w:rsidRPr="009223BE">
        <w:rPr>
          <w:rFonts w:asciiTheme="majorHAnsi" w:hAnsiTheme="majorHAnsi" w:cstheme="majorHAnsi"/>
        </w:rPr>
        <w:t>á</w:t>
      </w:r>
      <w:r w:rsidR="00D24F72" w:rsidRPr="009223BE">
        <w:rPr>
          <w:rFonts w:asciiTheme="majorHAnsi" w:hAnsiTheme="majorHAnsi" w:cstheme="majorHAnsi"/>
        </w:rPr>
        <w:t xml:space="preserve"> škol</w:t>
      </w:r>
      <w:r w:rsidR="006117DD" w:rsidRPr="009223BE">
        <w:rPr>
          <w:rFonts w:asciiTheme="majorHAnsi" w:hAnsiTheme="majorHAnsi" w:cstheme="majorHAnsi"/>
        </w:rPr>
        <w:t>a</w:t>
      </w:r>
      <w:r w:rsidR="00D24F72" w:rsidRPr="009223BE">
        <w:rPr>
          <w:rFonts w:asciiTheme="majorHAnsi" w:hAnsiTheme="majorHAnsi" w:cstheme="majorHAnsi"/>
        </w:rPr>
        <w:t xml:space="preserve"> chemického a environmentálneho inžinierstva </w:t>
      </w:r>
      <w:r w:rsidR="00CE269A" w:rsidRPr="009223BE">
        <w:rPr>
          <w:rFonts w:asciiTheme="majorHAnsi" w:hAnsiTheme="majorHAnsi" w:cstheme="majorHAnsi"/>
        </w:rPr>
        <w:t xml:space="preserve">organizovaná FCHPT </w:t>
      </w:r>
      <w:r w:rsidR="00D24F72" w:rsidRPr="009223BE">
        <w:rPr>
          <w:rFonts w:asciiTheme="majorHAnsi" w:hAnsiTheme="majorHAnsi" w:cstheme="majorHAnsi"/>
        </w:rPr>
        <w:t>pre</w:t>
      </w:r>
      <w:r w:rsidR="00CE269A" w:rsidRPr="009223BE">
        <w:rPr>
          <w:rFonts w:asciiTheme="majorHAnsi" w:hAnsiTheme="majorHAnsi" w:cstheme="majorHAnsi"/>
        </w:rPr>
        <w:t> </w:t>
      </w:r>
      <w:r w:rsidR="00D24F72" w:rsidRPr="009223BE">
        <w:rPr>
          <w:rFonts w:asciiTheme="majorHAnsi" w:hAnsiTheme="majorHAnsi" w:cstheme="majorHAnsi"/>
        </w:rPr>
        <w:t>stredoškol</w:t>
      </w:r>
      <w:r w:rsidR="002A0E17" w:rsidRPr="009223BE">
        <w:rPr>
          <w:rFonts w:asciiTheme="majorHAnsi" w:hAnsiTheme="majorHAnsi" w:cstheme="majorHAnsi"/>
        </w:rPr>
        <w:t>ákov</w:t>
      </w:r>
      <w:r w:rsidR="009223BE">
        <w:rPr>
          <w:rFonts w:asciiTheme="majorHAnsi" w:hAnsiTheme="majorHAnsi" w:cstheme="majorHAnsi"/>
        </w:rPr>
        <w:t xml:space="preserve">, </w:t>
      </w:r>
      <w:r w:rsidR="00D24F72" w:rsidRPr="009223BE">
        <w:rPr>
          <w:rFonts w:asciiTheme="majorHAnsi" w:hAnsiTheme="majorHAnsi" w:cstheme="majorHAnsi"/>
        </w:rPr>
        <w:t xml:space="preserve"> letn</w:t>
      </w:r>
      <w:r w:rsidR="002A0E17" w:rsidRPr="009223BE">
        <w:rPr>
          <w:rFonts w:asciiTheme="majorHAnsi" w:hAnsiTheme="majorHAnsi" w:cstheme="majorHAnsi"/>
        </w:rPr>
        <w:t>á</w:t>
      </w:r>
      <w:r w:rsidR="00D24F72" w:rsidRPr="009223BE">
        <w:rPr>
          <w:rFonts w:asciiTheme="majorHAnsi" w:hAnsiTheme="majorHAnsi" w:cstheme="majorHAnsi"/>
        </w:rPr>
        <w:t xml:space="preserve"> škol</w:t>
      </w:r>
      <w:r w:rsidR="00165E2C" w:rsidRPr="009223BE">
        <w:rPr>
          <w:rFonts w:asciiTheme="majorHAnsi" w:hAnsiTheme="majorHAnsi" w:cstheme="majorHAnsi"/>
        </w:rPr>
        <w:t>a</w:t>
      </w:r>
      <w:r w:rsidR="00D24F72" w:rsidRPr="009223BE">
        <w:rPr>
          <w:rFonts w:asciiTheme="majorHAnsi" w:hAnsiTheme="majorHAnsi" w:cstheme="majorHAnsi"/>
        </w:rPr>
        <w:t xml:space="preserve"> chemikov </w:t>
      </w:r>
      <w:r w:rsidR="00DC7BB0" w:rsidRPr="009223BE">
        <w:rPr>
          <w:rFonts w:asciiTheme="majorHAnsi" w:hAnsiTheme="majorHAnsi" w:cstheme="majorHAnsi"/>
        </w:rPr>
        <w:t xml:space="preserve"> - </w:t>
      </w:r>
      <w:r w:rsidR="009223BE">
        <w:rPr>
          <w:rFonts w:asciiTheme="majorHAnsi" w:hAnsiTheme="majorHAnsi" w:cstheme="majorHAnsi"/>
        </w:rPr>
        <w:t xml:space="preserve">všetko organizovala </w:t>
      </w:r>
      <w:r w:rsidR="00CE269A" w:rsidRPr="009223BE">
        <w:rPr>
          <w:rFonts w:asciiTheme="majorHAnsi" w:hAnsiTheme="majorHAnsi" w:cstheme="majorHAnsi"/>
        </w:rPr>
        <w:t>FCHPT</w:t>
      </w:r>
      <w:r w:rsidR="006A15BE" w:rsidRPr="009223BE">
        <w:rPr>
          <w:rFonts w:asciiTheme="majorHAnsi" w:hAnsiTheme="majorHAnsi" w:cstheme="majorHAnsi"/>
        </w:rPr>
        <w:t>;</w:t>
      </w:r>
      <w:r w:rsidR="00D24F72" w:rsidRPr="009223BE">
        <w:rPr>
          <w:rFonts w:asciiTheme="majorHAnsi" w:hAnsiTheme="majorHAnsi" w:cstheme="majorHAnsi"/>
        </w:rPr>
        <w:t xml:space="preserve"> </w:t>
      </w:r>
      <w:r w:rsidR="003866D6" w:rsidRPr="009223BE">
        <w:rPr>
          <w:rFonts w:asciiTheme="majorHAnsi" w:hAnsiTheme="majorHAnsi" w:cstheme="majorHAnsi"/>
        </w:rPr>
        <w:t>FAD OPEN, ktorý mal za cieľ oboznámiť uchádzačov so študijnými programami, s prácou architekta a</w:t>
      </w:r>
      <w:r w:rsidR="006A15BE" w:rsidRPr="009223BE">
        <w:rPr>
          <w:rFonts w:asciiTheme="majorHAnsi" w:hAnsiTheme="majorHAnsi" w:cstheme="majorHAnsi"/>
        </w:rPr>
        <w:t> </w:t>
      </w:r>
      <w:r w:rsidR="003866D6" w:rsidRPr="009223BE">
        <w:rPr>
          <w:rFonts w:asciiTheme="majorHAnsi" w:hAnsiTheme="majorHAnsi" w:cstheme="majorHAnsi"/>
        </w:rPr>
        <w:t>dizajnéra</w:t>
      </w:r>
      <w:r w:rsidR="006A15BE" w:rsidRPr="009223BE">
        <w:rPr>
          <w:rFonts w:asciiTheme="majorHAnsi" w:hAnsiTheme="majorHAnsi" w:cstheme="majorHAnsi"/>
        </w:rPr>
        <w:t>;</w:t>
      </w:r>
      <w:r w:rsidR="009223BE">
        <w:rPr>
          <w:rFonts w:asciiTheme="majorHAnsi" w:hAnsiTheme="majorHAnsi" w:cstheme="majorHAnsi"/>
        </w:rPr>
        <w:t xml:space="preserve"> </w:t>
      </w:r>
      <w:r w:rsidR="000B3904" w:rsidRPr="009223BE">
        <w:rPr>
          <w:rFonts w:asciiTheme="majorHAnsi" w:hAnsiTheme="majorHAnsi" w:cstheme="majorHAnsi"/>
        </w:rPr>
        <w:t>Night of Chances, Junior Internet, Vedecký veľtrh, Girl’s day</w:t>
      </w:r>
      <w:r w:rsidR="00564886" w:rsidRPr="009223BE">
        <w:rPr>
          <w:rFonts w:asciiTheme="majorHAnsi" w:hAnsiTheme="majorHAnsi" w:cstheme="majorHAnsi"/>
        </w:rPr>
        <w:t xml:space="preserve"> </w:t>
      </w:r>
      <w:r w:rsidR="00454F59" w:rsidRPr="009223BE">
        <w:rPr>
          <w:rFonts w:asciiTheme="majorHAnsi" w:hAnsiTheme="majorHAnsi" w:cstheme="majorHAnsi"/>
        </w:rPr>
        <w:t>s účasťou FIIT;</w:t>
      </w:r>
      <w:r w:rsidR="009223BE">
        <w:rPr>
          <w:rFonts w:asciiTheme="majorHAnsi" w:hAnsiTheme="majorHAnsi" w:cstheme="majorHAnsi"/>
        </w:rPr>
        <w:t xml:space="preserve"> </w:t>
      </w:r>
      <w:r w:rsidR="00BA38A6" w:rsidRPr="009223BE">
        <w:rPr>
          <w:rFonts w:asciiTheme="majorHAnsi" w:hAnsiTheme="majorHAnsi" w:cstheme="majorHAnsi"/>
        </w:rPr>
        <w:t>ProFIIT a NET@FIIT</w:t>
      </w:r>
      <w:r w:rsidR="00057402" w:rsidRPr="009223BE">
        <w:rPr>
          <w:rFonts w:asciiTheme="majorHAnsi" w:hAnsiTheme="majorHAnsi" w:cstheme="majorHAnsi"/>
        </w:rPr>
        <w:t xml:space="preserve"> - súťaže pre stredoškolákov organizované FIIT.</w:t>
      </w:r>
    </w:p>
    <w:p w14:paraId="42887614" w14:textId="77777777" w:rsidR="002071AC" w:rsidRPr="0053555E" w:rsidRDefault="002071AC" w:rsidP="00324438">
      <w:pPr>
        <w:tabs>
          <w:tab w:val="left" w:pos="9356"/>
        </w:tabs>
        <w:spacing w:after="120"/>
        <w:jc w:val="both"/>
        <w:rPr>
          <w:rFonts w:asciiTheme="majorHAnsi" w:hAnsiTheme="majorHAnsi" w:cstheme="majorHAnsi"/>
        </w:rPr>
      </w:pPr>
      <w:r w:rsidRPr="0053555E">
        <w:rPr>
          <w:rFonts w:asciiTheme="majorHAnsi" w:hAnsiTheme="majorHAnsi" w:cstheme="majorHAnsi"/>
          <w:b/>
        </w:rPr>
        <w:t>Na propagáciu inžinierskych, magisterských a doktorandských študijných programov</w:t>
      </w:r>
      <w:r w:rsidR="004D75A4" w:rsidRPr="0053555E">
        <w:rPr>
          <w:rFonts w:asciiTheme="majorHAnsi" w:hAnsiTheme="majorHAnsi" w:cstheme="majorHAnsi"/>
        </w:rPr>
        <w:t xml:space="preserve"> sa </w:t>
      </w:r>
      <w:r w:rsidR="008E27D8" w:rsidRPr="0053555E">
        <w:rPr>
          <w:rFonts w:asciiTheme="majorHAnsi" w:hAnsiTheme="majorHAnsi" w:cstheme="majorHAnsi"/>
        </w:rPr>
        <w:t>pre </w:t>
      </w:r>
      <w:r w:rsidRPr="0053555E">
        <w:rPr>
          <w:rFonts w:asciiTheme="majorHAnsi" w:hAnsiTheme="majorHAnsi" w:cstheme="majorHAnsi"/>
        </w:rPr>
        <w:t>vlastných absolventov prvého stupňa</w:t>
      </w:r>
      <w:r w:rsidR="00167EAD" w:rsidRPr="0053555E">
        <w:rPr>
          <w:rFonts w:asciiTheme="majorHAnsi" w:hAnsiTheme="majorHAnsi" w:cstheme="majorHAnsi"/>
        </w:rPr>
        <w:t>,</w:t>
      </w:r>
      <w:r w:rsidRPr="0053555E">
        <w:rPr>
          <w:rFonts w:asciiTheme="majorHAnsi" w:hAnsiTheme="majorHAnsi" w:cstheme="majorHAnsi"/>
        </w:rPr>
        <w:t xml:space="preserve"> resp. druhého stupňa štúdia využívali aj konzultácie a usmerňovanie na študijných oddeleniach. </w:t>
      </w:r>
      <w:r w:rsidR="008E27D8" w:rsidRPr="0053555E">
        <w:rPr>
          <w:rFonts w:asciiTheme="majorHAnsi" w:hAnsiTheme="majorHAnsi" w:cstheme="majorHAnsi"/>
        </w:rPr>
        <w:t xml:space="preserve">Najefektívnejšou formou propagácie pre vlastných študentov je najmä poskytovanie kvalitného vysokoškolského vzdelávania a sociálna starostlivosť o študentov počas ich štúdia, ktorá ich motivuje pokračovať na vyššom stupni štúdia práve na STU. </w:t>
      </w:r>
      <w:r w:rsidRPr="0053555E">
        <w:rPr>
          <w:rFonts w:asciiTheme="majorHAnsi" w:hAnsiTheme="majorHAnsi" w:cstheme="majorHAnsi"/>
        </w:rPr>
        <w:t xml:space="preserve">Pre študentov iných vysokých škôl sa v tomto zmysle využívala najmä e-mailová </w:t>
      </w:r>
      <w:r w:rsidR="00610F4F" w:rsidRPr="0053555E">
        <w:rPr>
          <w:rFonts w:asciiTheme="majorHAnsi" w:hAnsiTheme="majorHAnsi" w:cstheme="majorHAnsi"/>
        </w:rPr>
        <w:t xml:space="preserve">komunikácia </w:t>
      </w:r>
      <w:r w:rsidR="001B1758" w:rsidRPr="0053555E">
        <w:rPr>
          <w:rFonts w:asciiTheme="majorHAnsi" w:hAnsiTheme="majorHAnsi" w:cstheme="majorHAnsi"/>
        </w:rPr>
        <w:t>a ďalšie už spomenuté formy propagácie.</w:t>
      </w:r>
    </w:p>
    <w:p w14:paraId="02FD99A2" w14:textId="7AF18B22" w:rsidR="000E226D" w:rsidRPr="0053555E" w:rsidRDefault="002A1915" w:rsidP="0032443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STU </w:t>
      </w:r>
      <w:r w:rsidR="00DD692F">
        <w:rPr>
          <w:rFonts w:asciiTheme="majorHAnsi" w:hAnsiTheme="majorHAnsi" w:cstheme="majorHAnsi"/>
        </w:rPr>
        <w:t xml:space="preserve">v rámci prijímacieho konania </w:t>
      </w:r>
      <w:r w:rsidR="00FD5E48" w:rsidRPr="0053555E">
        <w:rPr>
          <w:rFonts w:asciiTheme="majorHAnsi" w:hAnsiTheme="majorHAnsi" w:cstheme="majorHAnsi"/>
        </w:rPr>
        <w:t>umožňuje</w:t>
      </w:r>
      <w:r w:rsidR="00B11524" w:rsidRPr="0053555E">
        <w:rPr>
          <w:rFonts w:asciiTheme="majorHAnsi" w:hAnsiTheme="majorHAnsi" w:cstheme="majorHAnsi"/>
        </w:rPr>
        <w:t xml:space="preserve"> uchádzačom doručenie </w:t>
      </w:r>
      <w:hyperlink r:id="rId43" w:history="1">
        <w:r w:rsidR="00B11524" w:rsidRPr="000B31A8">
          <w:rPr>
            <w:rStyle w:val="Hypertextovprepojenie"/>
            <w:rFonts w:asciiTheme="majorHAnsi" w:hAnsiTheme="majorHAnsi" w:cstheme="majorHAnsi"/>
            <w:b/>
            <w:color w:val="auto"/>
            <w:u w:val="none"/>
          </w:rPr>
          <w:t>prih</w:t>
        </w:r>
        <w:r w:rsidR="006E26A6" w:rsidRPr="000B31A8">
          <w:rPr>
            <w:rStyle w:val="Hypertextovprepojenie"/>
            <w:rFonts w:asciiTheme="majorHAnsi" w:hAnsiTheme="majorHAnsi" w:cstheme="majorHAnsi"/>
            <w:b/>
            <w:color w:val="auto"/>
            <w:u w:val="none"/>
          </w:rPr>
          <w:t>lášky v elektronickej forme bez </w:t>
        </w:r>
        <w:r w:rsidR="00B11524" w:rsidRPr="000B31A8">
          <w:rPr>
            <w:rStyle w:val="Hypertextovprepojenie"/>
            <w:rFonts w:asciiTheme="majorHAnsi" w:hAnsiTheme="majorHAnsi" w:cstheme="majorHAnsi"/>
            <w:b/>
            <w:color w:val="auto"/>
            <w:u w:val="none"/>
          </w:rPr>
          <w:t>zaručeného elektronického podpisu použitím AIS</w:t>
        </w:r>
      </w:hyperlink>
      <w:r w:rsidR="000B31A8">
        <w:rPr>
          <w:rFonts w:asciiTheme="majorHAnsi" w:hAnsiTheme="majorHAnsi" w:cstheme="majorHAnsi"/>
        </w:rPr>
        <w:t xml:space="preserve"> (bez následnej</w:t>
      </w:r>
      <w:r w:rsidR="00B11524" w:rsidRPr="0053555E">
        <w:rPr>
          <w:rFonts w:asciiTheme="majorHAnsi" w:hAnsiTheme="majorHAnsi" w:cstheme="majorHAnsi"/>
        </w:rPr>
        <w:t xml:space="preserve"> </w:t>
      </w:r>
      <w:r w:rsidR="00573974" w:rsidRPr="0053555E">
        <w:rPr>
          <w:rFonts w:asciiTheme="majorHAnsi" w:hAnsiTheme="majorHAnsi" w:cstheme="majorHAnsi"/>
        </w:rPr>
        <w:t>papierovej</w:t>
      </w:r>
      <w:r w:rsidR="004F2167" w:rsidRPr="0053555E">
        <w:rPr>
          <w:rFonts w:asciiTheme="majorHAnsi" w:hAnsiTheme="majorHAnsi" w:cstheme="majorHAnsi"/>
        </w:rPr>
        <w:t xml:space="preserve"> prihlášky</w:t>
      </w:r>
      <w:r w:rsidR="00BE55BF" w:rsidRPr="0053555E">
        <w:rPr>
          <w:rFonts w:asciiTheme="majorHAnsi" w:hAnsiTheme="majorHAnsi" w:cstheme="majorHAnsi"/>
        </w:rPr>
        <w:t>)</w:t>
      </w:r>
      <w:r w:rsidR="00B11524" w:rsidRPr="0053555E">
        <w:rPr>
          <w:rFonts w:asciiTheme="majorHAnsi" w:hAnsiTheme="majorHAnsi" w:cstheme="majorHAnsi"/>
        </w:rPr>
        <w:t xml:space="preserve">, </w:t>
      </w:r>
      <w:r w:rsidR="000426E1" w:rsidRPr="0053555E">
        <w:rPr>
          <w:rFonts w:asciiTheme="majorHAnsi" w:hAnsiTheme="majorHAnsi" w:cstheme="majorHAnsi"/>
        </w:rPr>
        <w:t xml:space="preserve">a zároveň vkladanie </w:t>
      </w:r>
      <w:r w:rsidR="001A758D" w:rsidRPr="0053555E">
        <w:rPr>
          <w:rFonts w:asciiTheme="majorHAnsi" w:hAnsiTheme="majorHAnsi" w:cstheme="majorHAnsi"/>
        </w:rPr>
        <w:t>potre</w:t>
      </w:r>
      <w:r w:rsidR="0091155C" w:rsidRPr="0053555E">
        <w:rPr>
          <w:rFonts w:asciiTheme="majorHAnsi" w:hAnsiTheme="majorHAnsi" w:cstheme="majorHAnsi"/>
        </w:rPr>
        <w:t>b</w:t>
      </w:r>
      <w:r w:rsidR="001A758D" w:rsidRPr="0053555E">
        <w:rPr>
          <w:rFonts w:asciiTheme="majorHAnsi" w:hAnsiTheme="majorHAnsi" w:cstheme="majorHAnsi"/>
        </w:rPr>
        <w:t>n</w:t>
      </w:r>
      <w:r w:rsidR="000426E1" w:rsidRPr="0053555E">
        <w:rPr>
          <w:rFonts w:asciiTheme="majorHAnsi" w:hAnsiTheme="majorHAnsi" w:cstheme="majorHAnsi"/>
        </w:rPr>
        <w:t>ých</w:t>
      </w:r>
      <w:r w:rsidR="001A758D" w:rsidRPr="0053555E">
        <w:rPr>
          <w:rFonts w:asciiTheme="majorHAnsi" w:hAnsiTheme="majorHAnsi" w:cstheme="majorHAnsi"/>
        </w:rPr>
        <w:t xml:space="preserve"> príloh k prihláške vo formáte pdf. </w:t>
      </w:r>
      <w:r w:rsidR="00B11524" w:rsidRPr="0053555E">
        <w:rPr>
          <w:rFonts w:asciiTheme="majorHAnsi" w:hAnsiTheme="majorHAnsi" w:cstheme="majorHAnsi"/>
        </w:rPr>
        <w:t>AIS umožňuje uchádzačom overenie zaevi</w:t>
      </w:r>
      <w:r w:rsidR="004F2167" w:rsidRPr="0053555E">
        <w:rPr>
          <w:rFonts w:asciiTheme="majorHAnsi" w:hAnsiTheme="majorHAnsi" w:cstheme="majorHAnsi"/>
        </w:rPr>
        <w:t>dovania</w:t>
      </w:r>
      <w:r w:rsidR="00E948D3" w:rsidRPr="0053555E">
        <w:rPr>
          <w:rFonts w:asciiTheme="majorHAnsi" w:hAnsiTheme="majorHAnsi" w:cstheme="majorHAnsi"/>
        </w:rPr>
        <w:t xml:space="preserve"> prihlášky</w:t>
      </w:r>
      <w:r w:rsidR="000E5AB4" w:rsidRPr="0053555E">
        <w:rPr>
          <w:rFonts w:asciiTheme="majorHAnsi" w:hAnsiTheme="majorHAnsi" w:cstheme="majorHAnsi"/>
        </w:rPr>
        <w:t xml:space="preserve">, </w:t>
      </w:r>
      <w:r w:rsidR="00232F4A" w:rsidRPr="0053555E">
        <w:rPr>
          <w:rFonts w:asciiTheme="majorHAnsi" w:hAnsiTheme="majorHAnsi" w:cstheme="majorHAnsi"/>
        </w:rPr>
        <w:t>jej</w:t>
      </w:r>
      <w:r w:rsidR="000E5AB4" w:rsidRPr="0053555E">
        <w:rPr>
          <w:rFonts w:asciiTheme="majorHAnsi" w:hAnsiTheme="majorHAnsi" w:cstheme="majorHAnsi"/>
        </w:rPr>
        <w:t xml:space="preserve"> kompletnos</w:t>
      </w:r>
      <w:r w:rsidR="00232F4A" w:rsidRPr="0053555E">
        <w:rPr>
          <w:rFonts w:asciiTheme="majorHAnsi" w:hAnsiTheme="majorHAnsi" w:cstheme="majorHAnsi"/>
        </w:rPr>
        <w:t xml:space="preserve">ti, zaplatenie poplatku </w:t>
      </w:r>
      <w:r w:rsidR="00CC5434" w:rsidRPr="0053555E">
        <w:rPr>
          <w:rFonts w:asciiTheme="majorHAnsi" w:hAnsiTheme="majorHAnsi" w:cstheme="majorHAnsi"/>
        </w:rPr>
        <w:t>a prijatým uchádzačom aj odoslanie návraty a to</w:t>
      </w:r>
      <w:r w:rsidR="004F2167" w:rsidRPr="0053555E">
        <w:rPr>
          <w:rFonts w:asciiTheme="majorHAnsi" w:hAnsiTheme="majorHAnsi" w:cstheme="majorHAnsi"/>
        </w:rPr>
        <w:t xml:space="preserve"> odo </w:t>
      </w:r>
      <w:r w:rsidR="00B11524" w:rsidRPr="0053555E">
        <w:rPr>
          <w:rFonts w:asciiTheme="majorHAnsi" w:hAnsiTheme="majorHAnsi" w:cstheme="majorHAnsi"/>
        </w:rPr>
        <w:t xml:space="preserve">dňa podania </w:t>
      </w:r>
      <w:r w:rsidR="00CC5434" w:rsidRPr="0053555E">
        <w:rPr>
          <w:rFonts w:asciiTheme="majorHAnsi" w:hAnsiTheme="majorHAnsi" w:cstheme="majorHAnsi"/>
        </w:rPr>
        <w:t xml:space="preserve">prihlášky </w:t>
      </w:r>
      <w:r w:rsidR="00B11524" w:rsidRPr="0053555E">
        <w:rPr>
          <w:rFonts w:asciiTheme="majorHAnsi" w:hAnsiTheme="majorHAnsi" w:cstheme="majorHAnsi"/>
        </w:rPr>
        <w:t xml:space="preserve">do dňa skončenia prijímacieho konania. </w:t>
      </w:r>
      <w:r w:rsidR="000E226D" w:rsidRPr="0053555E">
        <w:rPr>
          <w:rFonts w:asciiTheme="majorHAnsi" w:hAnsiTheme="majorHAnsi" w:cstheme="majorHAnsi"/>
        </w:rPr>
        <w:t>Elektronick</w:t>
      </w:r>
      <w:r w:rsidR="000F0796" w:rsidRPr="0053555E">
        <w:rPr>
          <w:rFonts w:asciiTheme="majorHAnsi" w:hAnsiTheme="majorHAnsi" w:cstheme="majorHAnsi"/>
        </w:rPr>
        <w:t xml:space="preserve">á forma doručenia prihlášky sa efektívne využila práve </w:t>
      </w:r>
      <w:r w:rsidR="000B31A8">
        <w:rPr>
          <w:rFonts w:asciiTheme="majorHAnsi" w:hAnsiTheme="majorHAnsi" w:cstheme="majorHAnsi"/>
        </w:rPr>
        <w:t>počas</w:t>
      </w:r>
      <w:r w:rsidR="000F0796" w:rsidRPr="0053555E">
        <w:rPr>
          <w:rFonts w:asciiTheme="majorHAnsi" w:hAnsiTheme="majorHAnsi" w:cstheme="majorHAnsi"/>
        </w:rPr>
        <w:t xml:space="preserve"> pandémie COVID-19.</w:t>
      </w:r>
      <w:r w:rsidR="000E226D" w:rsidRPr="0053555E">
        <w:rPr>
          <w:rFonts w:asciiTheme="majorHAnsi" w:hAnsiTheme="majorHAnsi" w:cstheme="majorHAnsi"/>
        </w:rPr>
        <w:t xml:space="preserve"> </w:t>
      </w:r>
    </w:p>
    <w:p w14:paraId="55FB7D0B" w14:textId="1CE5B4AD" w:rsidR="00A8089A" w:rsidRPr="0053555E" w:rsidRDefault="00A8089A" w:rsidP="0032443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Uchádzači o štúdium mohli aj naďalej doručiť </w:t>
      </w:r>
      <w:r w:rsidRPr="0053555E">
        <w:rPr>
          <w:rFonts w:asciiTheme="majorHAnsi" w:hAnsiTheme="majorHAnsi" w:cstheme="majorHAnsi"/>
          <w:b/>
        </w:rPr>
        <w:t>písomnú prihlášku</w:t>
      </w:r>
      <w:r w:rsidRPr="0053555E">
        <w:rPr>
          <w:rFonts w:asciiTheme="majorHAnsi" w:hAnsiTheme="majorHAnsi" w:cstheme="majorHAnsi"/>
        </w:rPr>
        <w:t xml:space="preserve"> vyplnenú mimo AIS na tlačive predpísanom ministerstvom</w:t>
      </w:r>
      <w:r w:rsidR="00B65A01" w:rsidRPr="0053555E">
        <w:rPr>
          <w:rFonts w:asciiTheme="majorHAnsi" w:hAnsiTheme="majorHAnsi" w:cstheme="majorHAnsi"/>
        </w:rPr>
        <w:t xml:space="preserve"> školstva</w:t>
      </w:r>
      <w:r w:rsidRPr="0053555E">
        <w:rPr>
          <w:rFonts w:asciiTheme="majorHAnsi" w:hAnsiTheme="majorHAnsi" w:cstheme="majorHAnsi"/>
        </w:rPr>
        <w:t>, pričom týmto spôsobom bol</w:t>
      </w:r>
      <w:r w:rsidR="004409F7" w:rsidRPr="0053555E">
        <w:rPr>
          <w:rFonts w:asciiTheme="majorHAnsi" w:hAnsiTheme="majorHAnsi" w:cstheme="majorHAnsi"/>
        </w:rPr>
        <w:t>o</w:t>
      </w:r>
      <w:r w:rsidRPr="0053555E">
        <w:rPr>
          <w:rFonts w:asciiTheme="majorHAnsi" w:hAnsiTheme="majorHAnsi" w:cstheme="majorHAnsi"/>
        </w:rPr>
        <w:t xml:space="preserve"> doručen</w:t>
      </w:r>
      <w:r w:rsidR="004409F7" w:rsidRPr="0053555E">
        <w:rPr>
          <w:rFonts w:asciiTheme="majorHAnsi" w:hAnsiTheme="majorHAnsi" w:cstheme="majorHAnsi"/>
        </w:rPr>
        <w:t>ých</w:t>
      </w:r>
      <w:r w:rsidRPr="0053555E">
        <w:rPr>
          <w:rFonts w:asciiTheme="majorHAnsi" w:hAnsiTheme="majorHAnsi" w:cstheme="majorHAnsi"/>
        </w:rPr>
        <w:t xml:space="preserve"> </w:t>
      </w:r>
      <w:r w:rsidR="00CF4A8D">
        <w:rPr>
          <w:rFonts w:asciiTheme="majorHAnsi" w:hAnsiTheme="majorHAnsi" w:cstheme="majorHAnsi"/>
          <w:b/>
        </w:rPr>
        <w:t>len zanedbateľné množstvo</w:t>
      </w:r>
      <w:r w:rsidRPr="0053555E">
        <w:rPr>
          <w:rFonts w:asciiTheme="majorHAnsi" w:hAnsiTheme="majorHAnsi" w:cstheme="majorHAnsi"/>
        </w:rPr>
        <w:t xml:space="preserve"> prihlášok</w:t>
      </w:r>
      <w:r w:rsidR="00D1193A" w:rsidRPr="0053555E">
        <w:rPr>
          <w:rFonts w:asciiTheme="majorHAnsi" w:hAnsiTheme="majorHAnsi" w:cstheme="majorHAnsi"/>
        </w:rPr>
        <w:t>,</w:t>
      </w:r>
      <w:r w:rsidR="004409F7" w:rsidRPr="0053555E">
        <w:rPr>
          <w:rFonts w:asciiTheme="majorHAnsi" w:hAnsiTheme="majorHAnsi" w:cstheme="majorHAnsi"/>
        </w:rPr>
        <w:t xml:space="preserve"> najmä </w:t>
      </w:r>
      <w:r w:rsidRPr="0053555E">
        <w:rPr>
          <w:rFonts w:asciiTheme="majorHAnsi" w:hAnsiTheme="majorHAnsi" w:cstheme="majorHAnsi"/>
        </w:rPr>
        <w:t>uchádzačov zo zahraničia.</w:t>
      </w:r>
    </w:p>
    <w:p w14:paraId="09B84383" w14:textId="77777777" w:rsidR="00E14145" w:rsidRPr="0053555E" w:rsidRDefault="003602BB" w:rsidP="0032443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Ďalším </w:t>
      </w:r>
      <w:r w:rsidR="000D60DF" w:rsidRPr="0053555E">
        <w:rPr>
          <w:rFonts w:asciiTheme="majorHAnsi" w:hAnsiTheme="majorHAnsi" w:cstheme="majorHAnsi"/>
        </w:rPr>
        <w:t>opatrením</w:t>
      </w:r>
      <w:r w:rsidRPr="0053555E">
        <w:rPr>
          <w:rFonts w:asciiTheme="majorHAnsi" w:hAnsiTheme="majorHAnsi" w:cstheme="majorHAnsi"/>
        </w:rPr>
        <w:t xml:space="preserve"> </w:t>
      </w:r>
      <w:r w:rsidR="00B11524" w:rsidRPr="0053555E">
        <w:rPr>
          <w:rFonts w:asciiTheme="majorHAnsi" w:hAnsiTheme="majorHAnsi" w:cstheme="majorHAnsi"/>
        </w:rPr>
        <w:t xml:space="preserve">na zvýšenie záujmu o štúdium na STU </w:t>
      </w:r>
      <w:r w:rsidR="00194B69" w:rsidRPr="0053555E">
        <w:rPr>
          <w:rFonts w:asciiTheme="majorHAnsi" w:hAnsiTheme="majorHAnsi" w:cstheme="majorHAnsi"/>
        </w:rPr>
        <w:t xml:space="preserve">bola </w:t>
      </w:r>
      <w:r w:rsidRPr="0053555E">
        <w:rPr>
          <w:rFonts w:asciiTheme="majorHAnsi" w:hAnsiTheme="majorHAnsi" w:cstheme="majorHAnsi"/>
          <w:b/>
        </w:rPr>
        <w:t>podpor</w:t>
      </w:r>
      <w:r w:rsidR="002A201E" w:rsidRPr="0053555E">
        <w:rPr>
          <w:rFonts w:asciiTheme="majorHAnsi" w:hAnsiTheme="majorHAnsi" w:cstheme="majorHAnsi"/>
          <w:b/>
        </w:rPr>
        <w:t>a</w:t>
      </w:r>
      <w:r w:rsidR="00194B69" w:rsidRPr="0053555E">
        <w:rPr>
          <w:rFonts w:asciiTheme="majorHAnsi" w:hAnsiTheme="majorHAnsi" w:cstheme="majorHAnsi"/>
          <w:b/>
        </w:rPr>
        <w:t xml:space="preserve"> študentov študujúcich na </w:t>
      </w:r>
      <w:r w:rsidRPr="0053555E">
        <w:rPr>
          <w:rFonts w:asciiTheme="majorHAnsi" w:hAnsiTheme="majorHAnsi" w:cstheme="majorHAnsi"/>
          <w:b/>
        </w:rPr>
        <w:t>STU formou štipendií</w:t>
      </w:r>
      <w:r w:rsidR="009074FB" w:rsidRPr="0053555E">
        <w:rPr>
          <w:rFonts w:asciiTheme="majorHAnsi" w:hAnsiTheme="majorHAnsi" w:cstheme="majorHAnsi"/>
        </w:rPr>
        <w:t xml:space="preserve">. Na </w:t>
      </w:r>
      <w:r w:rsidRPr="0053555E">
        <w:rPr>
          <w:rFonts w:asciiTheme="majorHAnsi" w:hAnsiTheme="majorHAnsi" w:cstheme="majorHAnsi"/>
        </w:rPr>
        <w:t xml:space="preserve">uvedený účel </w:t>
      </w:r>
      <w:r w:rsidR="00A34C4D" w:rsidRPr="0053555E">
        <w:rPr>
          <w:rFonts w:asciiTheme="majorHAnsi" w:hAnsiTheme="majorHAnsi" w:cstheme="majorHAnsi"/>
        </w:rPr>
        <w:t>boli</w:t>
      </w:r>
      <w:r w:rsidRPr="0053555E">
        <w:rPr>
          <w:rFonts w:asciiTheme="majorHAnsi" w:hAnsiTheme="majorHAnsi" w:cstheme="majorHAnsi"/>
        </w:rPr>
        <w:t xml:space="preserve"> použi</w:t>
      </w:r>
      <w:r w:rsidR="00A34C4D" w:rsidRPr="0053555E">
        <w:rPr>
          <w:rFonts w:asciiTheme="majorHAnsi" w:hAnsiTheme="majorHAnsi" w:cstheme="majorHAnsi"/>
        </w:rPr>
        <w:t>té</w:t>
      </w:r>
      <w:r w:rsidRPr="0053555E">
        <w:rPr>
          <w:rFonts w:asciiTheme="majorHAnsi" w:hAnsiTheme="majorHAnsi" w:cstheme="majorHAnsi"/>
        </w:rPr>
        <w:t xml:space="preserve"> </w:t>
      </w:r>
      <w:r w:rsidR="002A201E" w:rsidRPr="0053555E">
        <w:rPr>
          <w:rFonts w:asciiTheme="majorHAnsi" w:hAnsiTheme="majorHAnsi" w:cstheme="majorHAnsi"/>
        </w:rPr>
        <w:t xml:space="preserve">finančné prostriedky </w:t>
      </w:r>
      <w:r w:rsidR="00B11524" w:rsidRPr="0053555E">
        <w:rPr>
          <w:rFonts w:asciiTheme="majorHAnsi" w:hAnsiTheme="majorHAnsi" w:cstheme="majorHAnsi"/>
        </w:rPr>
        <w:t xml:space="preserve">zo štátneho rozpočtu </w:t>
      </w:r>
      <w:r w:rsidR="002A201E" w:rsidRPr="0053555E">
        <w:rPr>
          <w:rFonts w:asciiTheme="majorHAnsi" w:hAnsiTheme="majorHAnsi" w:cstheme="majorHAnsi"/>
        </w:rPr>
        <w:t xml:space="preserve">určené na </w:t>
      </w:r>
      <w:r w:rsidRPr="0053555E">
        <w:rPr>
          <w:rFonts w:asciiTheme="majorHAnsi" w:hAnsiTheme="majorHAnsi" w:cstheme="majorHAnsi"/>
        </w:rPr>
        <w:t>motivačné štipendiá</w:t>
      </w:r>
      <w:r w:rsidR="00296D3A" w:rsidRPr="0053555E">
        <w:rPr>
          <w:rFonts w:asciiTheme="majorHAnsi" w:hAnsiTheme="majorHAnsi" w:cstheme="majorHAnsi"/>
        </w:rPr>
        <w:t xml:space="preserve">, predovšetkým motivačné štipendiá </w:t>
      </w:r>
      <w:r w:rsidR="00B11524" w:rsidRPr="0053555E">
        <w:rPr>
          <w:rFonts w:asciiTheme="majorHAnsi" w:hAnsiTheme="majorHAnsi" w:cstheme="majorHAnsi"/>
        </w:rPr>
        <w:t xml:space="preserve">vo vybraných študijných odboroch </w:t>
      </w:r>
      <w:r w:rsidR="00296D3A" w:rsidRPr="0053555E">
        <w:rPr>
          <w:rFonts w:asciiTheme="majorHAnsi" w:hAnsiTheme="majorHAnsi" w:cstheme="majorHAnsi"/>
        </w:rPr>
        <w:t>(</w:t>
      </w:r>
      <w:r w:rsidR="00B11524" w:rsidRPr="0053555E">
        <w:rPr>
          <w:rFonts w:asciiTheme="majorHAnsi" w:hAnsiTheme="majorHAnsi" w:cstheme="majorHAnsi"/>
        </w:rPr>
        <w:t xml:space="preserve">odborové štipendiá) </w:t>
      </w:r>
      <w:r w:rsidRPr="0053555E">
        <w:rPr>
          <w:rFonts w:asciiTheme="majorHAnsi" w:hAnsiTheme="majorHAnsi" w:cstheme="majorHAnsi"/>
        </w:rPr>
        <w:t xml:space="preserve">a tiež </w:t>
      </w:r>
      <w:r w:rsidR="00851B12" w:rsidRPr="0053555E">
        <w:rPr>
          <w:rFonts w:asciiTheme="majorHAnsi" w:hAnsiTheme="majorHAnsi" w:cstheme="majorHAnsi"/>
        </w:rPr>
        <w:t>prostriedky zo </w:t>
      </w:r>
      <w:r w:rsidR="00E72129" w:rsidRPr="0053555E">
        <w:rPr>
          <w:rFonts w:asciiTheme="majorHAnsi" w:hAnsiTheme="majorHAnsi" w:cstheme="majorHAnsi"/>
        </w:rPr>
        <w:t xml:space="preserve">štipendijného fondu </w:t>
      </w:r>
      <w:r w:rsidRPr="0053555E">
        <w:rPr>
          <w:rFonts w:asciiTheme="majorHAnsi" w:hAnsiTheme="majorHAnsi" w:cstheme="majorHAnsi"/>
        </w:rPr>
        <w:t>z vlastných zdrojov STU.</w:t>
      </w:r>
      <w:r w:rsidR="00E14145" w:rsidRPr="0053555E">
        <w:rPr>
          <w:rFonts w:asciiTheme="majorHAnsi" w:hAnsiTheme="majorHAnsi" w:cstheme="majorHAnsi"/>
        </w:rPr>
        <w:t xml:space="preserve"> </w:t>
      </w:r>
    </w:p>
    <w:p w14:paraId="6B02D4AC" w14:textId="009622D8" w:rsidR="00D01217" w:rsidRPr="0053555E" w:rsidRDefault="008D4BFB" w:rsidP="00ED005C">
      <w:pPr>
        <w:tabs>
          <w:tab w:val="left" w:pos="9356"/>
        </w:tabs>
        <w:spacing w:after="120"/>
        <w:jc w:val="both"/>
        <w:rPr>
          <w:rFonts w:asciiTheme="majorHAnsi" w:hAnsiTheme="majorHAnsi" w:cstheme="majorHAnsi"/>
        </w:rPr>
      </w:pPr>
      <w:r w:rsidRPr="0053555E">
        <w:rPr>
          <w:rFonts w:asciiTheme="majorHAnsi" w:hAnsiTheme="majorHAnsi" w:cstheme="majorHAnsi"/>
        </w:rPr>
        <w:lastRenderedPageBreak/>
        <w:t>Ne</w:t>
      </w:r>
      <w:r w:rsidR="000D60DF" w:rsidRPr="0053555E">
        <w:rPr>
          <w:rFonts w:asciiTheme="majorHAnsi" w:hAnsiTheme="majorHAnsi" w:cstheme="majorHAnsi"/>
        </w:rPr>
        <w:t xml:space="preserve">dostatočnú </w:t>
      </w:r>
      <w:r w:rsidRPr="0053555E">
        <w:rPr>
          <w:rFonts w:asciiTheme="majorHAnsi" w:hAnsiTheme="majorHAnsi" w:cstheme="majorHAnsi"/>
        </w:rPr>
        <w:t>pripravenosť</w:t>
      </w:r>
      <w:r w:rsidR="000D60DF" w:rsidRPr="0053555E">
        <w:rPr>
          <w:rFonts w:asciiTheme="majorHAnsi" w:hAnsiTheme="majorHAnsi" w:cstheme="majorHAnsi"/>
        </w:rPr>
        <w:t xml:space="preserve"> </w:t>
      </w:r>
      <w:r w:rsidRPr="0053555E">
        <w:rPr>
          <w:rFonts w:asciiTheme="majorHAnsi" w:hAnsiTheme="majorHAnsi" w:cstheme="majorHAnsi"/>
        </w:rPr>
        <w:t>študentov</w:t>
      </w:r>
      <w:r w:rsidR="000D60DF" w:rsidRPr="0053555E">
        <w:rPr>
          <w:rFonts w:asciiTheme="majorHAnsi" w:hAnsiTheme="majorHAnsi" w:cstheme="majorHAnsi"/>
        </w:rPr>
        <w:t xml:space="preserve"> z</w:t>
      </w:r>
      <w:r w:rsidRPr="0053555E">
        <w:rPr>
          <w:rFonts w:asciiTheme="majorHAnsi" w:hAnsiTheme="majorHAnsi" w:cstheme="majorHAnsi"/>
        </w:rPr>
        <w:t> </w:t>
      </w:r>
      <w:r w:rsidR="00041A43" w:rsidRPr="0053555E">
        <w:rPr>
          <w:rFonts w:asciiTheme="majorHAnsi" w:hAnsiTheme="majorHAnsi" w:cstheme="majorHAnsi"/>
        </w:rPr>
        <w:t>prírodovedných</w:t>
      </w:r>
      <w:r w:rsidRPr="0053555E">
        <w:rPr>
          <w:rFonts w:asciiTheme="majorHAnsi" w:hAnsiTheme="majorHAnsi" w:cstheme="majorHAnsi"/>
        </w:rPr>
        <w:t xml:space="preserve"> predmetov, najmä </w:t>
      </w:r>
      <w:r w:rsidR="00041A43" w:rsidRPr="0053555E">
        <w:rPr>
          <w:rFonts w:asciiTheme="majorHAnsi" w:hAnsiTheme="majorHAnsi" w:cstheme="majorHAnsi"/>
        </w:rPr>
        <w:t xml:space="preserve">z </w:t>
      </w:r>
      <w:r w:rsidRPr="0053555E">
        <w:rPr>
          <w:rFonts w:asciiTheme="majorHAnsi" w:hAnsiTheme="majorHAnsi" w:cstheme="majorHAnsi"/>
        </w:rPr>
        <w:t>matematiky, fyziky alebo chémie</w:t>
      </w:r>
      <w:r w:rsidR="00DE3D0A" w:rsidRPr="0053555E">
        <w:rPr>
          <w:rFonts w:asciiTheme="majorHAnsi" w:hAnsiTheme="majorHAnsi" w:cstheme="majorHAnsi"/>
        </w:rPr>
        <w:t>,</w:t>
      </w:r>
      <w:r w:rsidRPr="0053555E">
        <w:rPr>
          <w:rFonts w:asciiTheme="majorHAnsi" w:hAnsiTheme="majorHAnsi" w:cstheme="majorHAnsi"/>
        </w:rPr>
        <w:t xml:space="preserve"> </w:t>
      </w:r>
      <w:r w:rsidR="00ED005C">
        <w:rPr>
          <w:rFonts w:asciiTheme="majorHAnsi" w:hAnsiTheme="majorHAnsi" w:cstheme="majorHAnsi"/>
        </w:rPr>
        <w:t>rieši</w:t>
      </w:r>
      <w:r w:rsidRPr="0053555E">
        <w:rPr>
          <w:rFonts w:asciiTheme="majorHAnsi" w:hAnsiTheme="majorHAnsi" w:cstheme="majorHAnsi"/>
        </w:rPr>
        <w:t xml:space="preserve"> </w:t>
      </w:r>
      <w:r w:rsidR="00ED005C" w:rsidRPr="00ED005C">
        <w:rPr>
          <w:rFonts w:asciiTheme="majorHAnsi" w:hAnsiTheme="majorHAnsi" w:cstheme="majorHAnsi"/>
        </w:rPr>
        <w:t>ponuka</w:t>
      </w:r>
      <w:r w:rsidR="009074FB" w:rsidRPr="0053555E">
        <w:rPr>
          <w:rFonts w:asciiTheme="majorHAnsi" w:hAnsiTheme="majorHAnsi" w:cstheme="majorHAnsi"/>
          <w:b/>
        </w:rPr>
        <w:t xml:space="preserve"> </w:t>
      </w:r>
      <w:r w:rsidR="00AC667A" w:rsidRPr="0053555E">
        <w:rPr>
          <w:rFonts w:asciiTheme="majorHAnsi" w:hAnsiTheme="majorHAnsi" w:cstheme="majorHAnsi"/>
          <w:b/>
        </w:rPr>
        <w:t xml:space="preserve">štúdia </w:t>
      </w:r>
      <w:r w:rsidRPr="0053555E">
        <w:rPr>
          <w:rFonts w:asciiTheme="majorHAnsi" w:hAnsiTheme="majorHAnsi" w:cstheme="majorHAnsi"/>
          <w:b/>
        </w:rPr>
        <w:t xml:space="preserve">konverzných študijných programov prvého stupňa </w:t>
      </w:r>
      <w:r w:rsidR="00DA72E5" w:rsidRPr="0053555E">
        <w:rPr>
          <w:rFonts w:asciiTheme="majorHAnsi" w:hAnsiTheme="majorHAnsi" w:cstheme="majorHAnsi"/>
          <w:b/>
        </w:rPr>
        <w:t>k </w:t>
      </w:r>
      <w:r w:rsidR="00382D49" w:rsidRPr="0053555E">
        <w:rPr>
          <w:rFonts w:asciiTheme="majorHAnsi" w:hAnsiTheme="majorHAnsi" w:cstheme="majorHAnsi"/>
          <w:b/>
        </w:rPr>
        <w:t>existujúcim 3-ročným bakalárskym študijným programom</w:t>
      </w:r>
      <w:r w:rsidR="009074FB" w:rsidRPr="0053555E">
        <w:rPr>
          <w:rFonts w:asciiTheme="majorHAnsi" w:hAnsiTheme="majorHAnsi" w:cstheme="majorHAnsi"/>
          <w:b/>
        </w:rPr>
        <w:t xml:space="preserve">. </w:t>
      </w:r>
      <w:r w:rsidR="00665030" w:rsidRPr="0053555E">
        <w:rPr>
          <w:rFonts w:asciiTheme="majorHAnsi" w:hAnsiTheme="majorHAnsi" w:cstheme="majorHAnsi"/>
        </w:rPr>
        <w:t xml:space="preserve">Konverzné študijné programy už niekoľko rokov </w:t>
      </w:r>
      <w:r w:rsidR="00041A43" w:rsidRPr="0053555E">
        <w:rPr>
          <w:rFonts w:asciiTheme="majorHAnsi" w:hAnsiTheme="majorHAnsi" w:cstheme="majorHAnsi"/>
        </w:rPr>
        <w:t xml:space="preserve">úspešne </w:t>
      </w:r>
      <w:r w:rsidR="00665030" w:rsidRPr="0053555E">
        <w:rPr>
          <w:rFonts w:asciiTheme="majorHAnsi" w:hAnsiTheme="majorHAnsi" w:cstheme="majorHAnsi"/>
        </w:rPr>
        <w:t xml:space="preserve">uskutočňuje </w:t>
      </w:r>
      <w:r w:rsidR="00BD5200" w:rsidRPr="0053555E">
        <w:rPr>
          <w:rFonts w:asciiTheme="majorHAnsi" w:hAnsiTheme="majorHAnsi" w:cstheme="majorHAnsi"/>
        </w:rPr>
        <w:t>FIIT</w:t>
      </w:r>
      <w:r w:rsidR="00ED005C">
        <w:rPr>
          <w:rFonts w:asciiTheme="majorHAnsi" w:hAnsiTheme="majorHAnsi" w:cstheme="majorHAnsi"/>
        </w:rPr>
        <w:t xml:space="preserve"> aj </w:t>
      </w:r>
      <w:r w:rsidR="00B35064" w:rsidRPr="0053555E">
        <w:rPr>
          <w:rFonts w:asciiTheme="majorHAnsi" w:hAnsiTheme="majorHAnsi" w:cstheme="majorHAnsi"/>
        </w:rPr>
        <w:t xml:space="preserve">FCHPT, ktorá má akreditované ku všetkým </w:t>
      </w:r>
      <w:r w:rsidR="00667BBF" w:rsidRPr="0053555E">
        <w:rPr>
          <w:rFonts w:asciiTheme="majorHAnsi" w:hAnsiTheme="majorHAnsi" w:cstheme="majorHAnsi"/>
        </w:rPr>
        <w:t xml:space="preserve">realizovaným </w:t>
      </w:r>
      <w:r w:rsidR="00B97C15" w:rsidRPr="0053555E">
        <w:rPr>
          <w:rFonts w:asciiTheme="majorHAnsi" w:hAnsiTheme="majorHAnsi" w:cstheme="majorHAnsi"/>
        </w:rPr>
        <w:t>trojročným</w:t>
      </w:r>
      <w:r w:rsidR="00F15DE0" w:rsidRPr="0053555E">
        <w:rPr>
          <w:rFonts w:asciiTheme="majorHAnsi" w:hAnsiTheme="majorHAnsi" w:cstheme="majorHAnsi"/>
        </w:rPr>
        <w:t xml:space="preserve"> ročným </w:t>
      </w:r>
      <w:r w:rsidR="00B35064" w:rsidRPr="0053555E">
        <w:rPr>
          <w:rFonts w:asciiTheme="majorHAnsi" w:hAnsiTheme="majorHAnsi" w:cstheme="majorHAnsi"/>
        </w:rPr>
        <w:t xml:space="preserve">bakalárskym študijným programom aj štvorročné </w:t>
      </w:r>
      <w:r w:rsidR="00F15DE0" w:rsidRPr="0053555E">
        <w:rPr>
          <w:rFonts w:asciiTheme="majorHAnsi" w:hAnsiTheme="majorHAnsi" w:cstheme="majorHAnsi"/>
        </w:rPr>
        <w:t>konverzné</w:t>
      </w:r>
      <w:r w:rsidR="00B35064" w:rsidRPr="0053555E">
        <w:rPr>
          <w:rFonts w:asciiTheme="majorHAnsi" w:hAnsiTheme="majorHAnsi" w:cstheme="majorHAnsi"/>
        </w:rPr>
        <w:t xml:space="preserve"> študijné programy s možnosťou štúdia v </w:t>
      </w:r>
      <w:r w:rsidR="00F729DD" w:rsidRPr="0053555E">
        <w:rPr>
          <w:rFonts w:asciiTheme="majorHAnsi" w:hAnsiTheme="majorHAnsi" w:cstheme="majorHAnsi"/>
        </w:rPr>
        <w:t xml:space="preserve">štátnom jazyku </w:t>
      </w:r>
      <w:r w:rsidR="00F15DE0" w:rsidRPr="0053555E">
        <w:rPr>
          <w:rFonts w:asciiTheme="majorHAnsi" w:hAnsiTheme="majorHAnsi" w:cstheme="majorHAnsi"/>
        </w:rPr>
        <w:t>alebo</w:t>
      </w:r>
      <w:r w:rsidR="00F729DD" w:rsidRPr="0053555E">
        <w:rPr>
          <w:rFonts w:asciiTheme="majorHAnsi" w:hAnsiTheme="majorHAnsi" w:cstheme="majorHAnsi"/>
        </w:rPr>
        <w:t xml:space="preserve"> v anglickom jazyku</w:t>
      </w:r>
      <w:r w:rsidR="00665030" w:rsidRPr="0053555E">
        <w:rPr>
          <w:rFonts w:asciiTheme="majorHAnsi" w:hAnsiTheme="majorHAnsi" w:cstheme="majorHAnsi"/>
        </w:rPr>
        <w:t>.</w:t>
      </w:r>
      <w:r w:rsidR="00AD3F51" w:rsidRPr="0053555E">
        <w:rPr>
          <w:rFonts w:asciiTheme="majorHAnsi" w:hAnsiTheme="majorHAnsi" w:cstheme="majorHAnsi"/>
        </w:rPr>
        <w:t xml:space="preserve"> Práve zaveden</w:t>
      </w:r>
      <w:r w:rsidR="00E257E4" w:rsidRPr="0053555E">
        <w:rPr>
          <w:rFonts w:asciiTheme="majorHAnsi" w:hAnsiTheme="majorHAnsi" w:cstheme="majorHAnsi"/>
        </w:rPr>
        <w:t>ie</w:t>
      </w:r>
      <w:r w:rsidR="00AD3F51" w:rsidRPr="0053555E">
        <w:rPr>
          <w:rFonts w:asciiTheme="majorHAnsi" w:hAnsiTheme="majorHAnsi" w:cstheme="majorHAnsi"/>
        </w:rPr>
        <w:t xml:space="preserve"> konverzných študijných programov </w:t>
      </w:r>
      <w:r w:rsidR="00E257E4" w:rsidRPr="0053555E">
        <w:rPr>
          <w:rFonts w:asciiTheme="majorHAnsi" w:hAnsiTheme="majorHAnsi" w:cstheme="majorHAnsi"/>
        </w:rPr>
        <w:t>má za cieľ</w:t>
      </w:r>
      <w:r w:rsidR="00AD3F51" w:rsidRPr="0053555E">
        <w:rPr>
          <w:rFonts w:asciiTheme="majorHAnsi" w:hAnsiTheme="majorHAnsi" w:cstheme="majorHAnsi"/>
        </w:rPr>
        <w:t xml:space="preserve"> znížiť úbytok </w:t>
      </w:r>
      <w:r w:rsidR="00DF420E" w:rsidRPr="0053555E">
        <w:rPr>
          <w:rFonts w:asciiTheme="majorHAnsi" w:hAnsiTheme="majorHAnsi" w:cstheme="majorHAnsi"/>
        </w:rPr>
        <w:t xml:space="preserve">študentov </w:t>
      </w:r>
      <w:r w:rsidR="00AD3F51" w:rsidRPr="0053555E">
        <w:rPr>
          <w:rFonts w:asciiTheme="majorHAnsi" w:hAnsiTheme="majorHAnsi" w:cstheme="majorHAnsi"/>
        </w:rPr>
        <w:t xml:space="preserve">v prvom </w:t>
      </w:r>
      <w:r w:rsidR="001545E9" w:rsidRPr="0053555E">
        <w:rPr>
          <w:rFonts w:asciiTheme="majorHAnsi" w:hAnsiTheme="majorHAnsi" w:cstheme="majorHAnsi"/>
        </w:rPr>
        <w:t>r</w:t>
      </w:r>
      <w:r w:rsidR="00AD3F51" w:rsidRPr="0053555E">
        <w:rPr>
          <w:rFonts w:asciiTheme="majorHAnsi" w:hAnsiTheme="majorHAnsi" w:cstheme="majorHAnsi"/>
        </w:rPr>
        <w:t xml:space="preserve">oku </w:t>
      </w:r>
      <w:r w:rsidR="00DF420E" w:rsidRPr="0053555E">
        <w:rPr>
          <w:rFonts w:asciiTheme="majorHAnsi" w:hAnsiTheme="majorHAnsi" w:cstheme="majorHAnsi"/>
        </w:rPr>
        <w:t>bakalárskych študijných programov</w:t>
      </w:r>
      <w:r w:rsidR="001545E9" w:rsidRPr="0053555E">
        <w:rPr>
          <w:rFonts w:asciiTheme="majorHAnsi" w:hAnsiTheme="majorHAnsi" w:cstheme="majorHAnsi"/>
        </w:rPr>
        <w:t>.</w:t>
      </w:r>
      <w:r w:rsidR="00DB6101" w:rsidRPr="0053555E">
        <w:rPr>
          <w:rFonts w:asciiTheme="majorHAnsi" w:hAnsiTheme="majorHAnsi" w:cstheme="majorHAnsi"/>
        </w:rPr>
        <w:t xml:space="preserve"> </w:t>
      </w:r>
    </w:p>
    <w:p w14:paraId="75706F5D" w14:textId="77777777" w:rsidR="00ED005C" w:rsidRDefault="00ED005C" w:rsidP="00ED005C">
      <w:pPr>
        <w:rPr>
          <w:rFonts w:asciiTheme="majorHAnsi" w:hAnsiTheme="majorHAnsi" w:cstheme="majorHAnsi"/>
        </w:rPr>
      </w:pPr>
      <w:bookmarkStart w:id="93" w:name="_Toc127593223"/>
    </w:p>
    <w:p w14:paraId="41103D38" w14:textId="77777777" w:rsidR="00ED005C" w:rsidRDefault="00ED005C" w:rsidP="00ED005C">
      <w:pPr>
        <w:rPr>
          <w:rFonts w:asciiTheme="majorHAnsi" w:hAnsiTheme="majorHAnsi" w:cstheme="majorHAnsi"/>
        </w:rPr>
      </w:pPr>
    </w:p>
    <w:p w14:paraId="7F9D27DB" w14:textId="230CE740" w:rsidR="00C41753" w:rsidRPr="00ED005C" w:rsidRDefault="00ED005C" w:rsidP="00ED005C">
      <w:pPr>
        <w:rPr>
          <w:rFonts w:asciiTheme="majorHAnsi" w:hAnsiTheme="majorHAnsi" w:cstheme="majorHAnsi"/>
        </w:rPr>
      </w:pPr>
      <w:r w:rsidRPr="00ED005C">
        <w:rPr>
          <w:b/>
          <w:sz w:val="28"/>
          <w:szCs w:val="28"/>
        </w:rPr>
        <w:t xml:space="preserve">3.4.1. </w:t>
      </w:r>
      <w:r w:rsidR="00C41753" w:rsidRPr="00ED005C">
        <w:rPr>
          <w:b/>
          <w:sz w:val="28"/>
          <w:szCs w:val="28"/>
        </w:rPr>
        <w:t>Prijímacie konanie na prvý stupeň štúdia</w:t>
      </w:r>
      <w:bookmarkEnd w:id="93"/>
    </w:p>
    <w:p w14:paraId="6D03D634" w14:textId="77777777" w:rsidR="00ED005C" w:rsidRPr="00ED005C" w:rsidRDefault="00ED005C" w:rsidP="00ED005C"/>
    <w:p w14:paraId="4B0EF9FD" w14:textId="2BABC72A" w:rsidR="00C41753" w:rsidRPr="0053555E" w:rsidRDefault="00C11AB5" w:rsidP="00324438">
      <w:pPr>
        <w:tabs>
          <w:tab w:val="left" w:pos="9356"/>
        </w:tabs>
        <w:spacing w:after="120"/>
        <w:jc w:val="both"/>
        <w:rPr>
          <w:rFonts w:asciiTheme="majorHAnsi" w:hAnsiTheme="majorHAnsi" w:cstheme="majorHAnsi"/>
        </w:rPr>
      </w:pPr>
      <w:r w:rsidRPr="0053555E">
        <w:rPr>
          <w:rFonts w:asciiTheme="majorHAnsi" w:hAnsiTheme="majorHAnsi" w:cstheme="majorHAnsi"/>
        </w:rPr>
        <w:t>V</w:t>
      </w:r>
      <w:r w:rsidR="002B537C" w:rsidRPr="0053555E">
        <w:rPr>
          <w:rFonts w:asciiTheme="majorHAnsi" w:hAnsiTheme="majorHAnsi" w:cstheme="majorHAnsi"/>
        </w:rPr>
        <w:t> </w:t>
      </w:r>
      <w:r w:rsidR="00C41753" w:rsidRPr="0053555E">
        <w:rPr>
          <w:rFonts w:asciiTheme="majorHAnsi" w:hAnsiTheme="majorHAnsi" w:cstheme="majorHAnsi"/>
        </w:rPr>
        <w:t>akademick</w:t>
      </w:r>
      <w:r w:rsidR="002B537C" w:rsidRPr="0053555E">
        <w:rPr>
          <w:rFonts w:asciiTheme="majorHAnsi" w:hAnsiTheme="majorHAnsi" w:cstheme="majorHAnsi"/>
        </w:rPr>
        <w:t>om roku</w:t>
      </w:r>
      <w:r w:rsidR="00C41753" w:rsidRPr="0053555E">
        <w:rPr>
          <w:rFonts w:asciiTheme="majorHAnsi" w:hAnsiTheme="majorHAnsi" w:cstheme="majorHAnsi"/>
        </w:rPr>
        <w:t xml:space="preserve"> </w:t>
      </w:r>
      <w:r w:rsidR="00EA24BA" w:rsidRPr="0053555E">
        <w:rPr>
          <w:rFonts w:asciiTheme="majorHAnsi" w:hAnsiTheme="majorHAnsi" w:cstheme="majorHAnsi"/>
        </w:rPr>
        <w:t>2022/2023</w:t>
      </w:r>
      <w:r w:rsidR="00C41753" w:rsidRPr="0053555E">
        <w:rPr>
          <w:rFonts w:asciiTheme="majorHAnsi" w:hAnsiTheme="majorHAnsi" w:cstheme="majorHAnsi"/>
        </w:rPr>
        <w:t xml:space="preserve"> </w:t>
      </w:r>
      <w:r w:rsidR="009223BE">
        <w:rPr>
          <w:rFonts w:asciiTheme="majorHAnsi" w:hAnsiTheme="majorHAnsi" w:cstheme="majorHAnsi"/>
        </w:rPr>
        <w:t>bol</w:t>
      </w:r>
      <w:r w:rsidR="002B537C" w:rsidRPr="0053555E">
        <w:rPr>
          <w:rFonts w:asciiTheme="majorHAnsi" w:hAnsiTheme="majorHAnsi" w:cstheme="majorHAnsi"/>
        </w:rPr>
        <w:t xml:space="preserve"> </w:t>
      </w:r>
      <w:r w:rsidR="009223BE">
        <w:rPr>
          <w:rFonts w:asciiTheme="majorHAnsi" w:hAnsiTheme="majorHAnsi" w:cstheme="majorHAnsi"/>
        </w:rPr>
        <w:t>plán</w:t>
      </w:r>
      <w:r w:rsidR="00C41753" w:rsidRPr="0053555E">
        <w:rPr>
          <w:rFonts w:asciiTheme="majorHAnsi" w:hAnsiTheme="majorHAnsi" w:cstheme="majorHAnsi"/>
        </w:rPr>
        <w:t xml:space="preserve"> prijať </w:t>
      </w:r>
      <w:r w:rsidRPr="0053555E">
        <w:rPr>
          <w:rFonts w:asciiTheme="majorHAnsi" w:hAnsiTheme="majorHAnsi" w:cstheme="majorHAnsi"/>
        </w:rPr>
        <w:t xml:space="preserve">na prvý stupeň štúdia </w:t>
      </w:r>
      <w:r w:rsidR="00C41753" w:rsidRPr="0053555E">
        <w:rPr>
          <w:rFonts w:asciiTheme="majorHAnsi" w:hAnsiTheme="majorHAnsi" w:cstheme="majorHAnsi"/>
        </w:rPr>
        <w:t xml:space="preserve">celkovo </w:t>
      </w:r>
      <w:r w:rsidR="00C41753" w:rsidRPr="0053555E">
        <w:rPr>
          <w:rFonts w:asciiTheme="majorHAnsi" w:hAnsiTheme="majorHAnsi" w:cstheme="majorHAnsi"/>
          <w:b/>
        </w:rPr>
        <w:t>4 </w:t>
      </w:r>
      <w:r w:rsidR="00585D42" w:rsidRPr="0053555E">
        <w:rPr>
          <w:rFonts w:asciiTheme="majorHAnsi" w:hAnsiTheme="majorHAnsi" w:cstheme="majorHAnsi"/>
          <w:b/>
        </w:rPr>
        <w:t>6</w:t>
      </w:r>
      <w:r w:rsidR="00C9464F">
        <w:rPr>
          <w:rFonts w:asciiTheme="majorHAnsi" w:hAnsiTheme="majorHAnsi" w:cstheme="majorHAnsi"/>
          <w:b/>
        </w:rPr>
        <w:t>94</w:t>
      </w:r>
      <w:r w:rsidR="00C41753" w:rsidRPr="0053555E">
        <w:rPr>
          <w:rFonts w:asciiTheme="majorHAnsi" w:hAnsiTheme="majorHAnsi" w:cstheme="majorHAnsi"/>
        </w:rPr>
        <w:t> uchádzačov</w:t>
      </w:r>
      <w:r w:rsidR="007A545D" w:rsidRPr="0053555E">
        <w:rPr>
          <w:rFonts w:asciiTheme="majorHAnsi" w:hAnsiTheme="majorHAnsi" w:cstheme="majorHAnsi"/>
        </w:rPr>
        <w:t>,</w:t>
      </w:r>
      <w:r w:rsidR="00C41753" w:rsidRPr="0053555E">
        <w:rPr>
          <w:rFonts w:asciiTheme="majorHAnsi" w:hAnsiTheme="majorHAnsi" w:cstheme="majorHAnsi"/>
        </w:rPr>
        <w:t xml:space="preserve"> prihlásených bolo </w:t>
      </w:r>
      <w:r w:rsidR="00C9464F">
        <w:rPr>
          <w:rFonts w:asciiTheme="majorHAnsi" w:hAnsiTheme="majorHAnsi" w:cstheme="majorHAnsi"/>
          <w:b/>
        </w:rPr>
        <w:t>8</w:t>
      </w:r>
      <w:r w:rsidR="00585D42" w:rsidRPr="0053555E">
        <w:rPr>
          <w:rFonts w:asciiTheme="majorHAnsi" w:hAnsiTheme="majorHAnsi" w:cstheme="majorHAnsi"/>
          <w:b/>
        </w:rPr>
        <w:t xml:space="preserve"> </w:t>
      </w:r>
      <w:r w:rsidR="00161D02">
        <w:rPr>
          <w:rFonts w:asciiTheme="majorHAnsi" w:hAnsiTheme="majorHAnsi" w:cstheme="majorHAnsi"/>
          <w:b/>
        </w:rPr>
        <w:t>408</w:t>
      </w:r>
      <w:r w:rsidR="00C41753" w:rsidRPr="0053555E">
        <w:rPr>
          <w:rFonts w:asciiTheme="majorHAnsi" w:hAnsiTheme="majorHAnsi" w:cstheme="majorHAnsi"/>
        </w:rPr>
        <w:t xml:space="preserve"> uchádzačov</w:t>
      </w:r>
      <w:r w:rsidR="007A545D" w:rsidRPr="0053555E">
        <w:rPr>
          <w:rFonts w:asciiTheme="majorHAnsi" w:hAnsiTheme="majorHAnsi" w:cstheme="majorHAnsi"/>
        </w:rPr>
        <w:t>,</w:t>
      </w:r>
      <w:r w:rsidR="00C41753" w:rsidRPr="0053555E">
        <w:rPr>
          <w:rFonts w:asciiTheme="majorHAnsi" w:hAnsiTheme="majorHAnsi" w:cstheme="majorHAnsi"/>
        </w:rPr>
        <w:t xml:space="preserve"> z toho bolo prijatých </w:t>
      </w:r>
      <w:r w:rsidR="00C41753" w:rsidRPr="0053555E">
        <w:rPr>
          <w:rFonts w:asciiTheme="majorHAnsi" w:hAnsiTheme="majorHAnsi" w:cstheme="majorHAnsi"/>
          <w:b/>
        </w:rPr>
        <w:t>4 </w:t>
      </w:r>
      <w:r w:rsidR="00161D02">
        <w:rPr>
          <w:rFonts w:asciiTheme="majorHAnsi" w:hAnsiTheme="majorHAnsi" w:cstheme="majorHAnsi"/>
          <w:b/>
        </w:rPr>
        <w:t>917</w:t>
      </w:r>
      <w:r w:rsidR="00C41753" w:rsidRPr="0053555E">
        <w:rPr>
          <w:rFonts w:asciiTheme="majorHAnsi" w:hAnsiTheme="majorHAnsi" w:cstheme="majorHAnsi"/>
          <w:b/>
        </w:rPr>
        <w:t xml:space="preserve"> </w:t>
      </w:r>
      <w:r w:rsidR="00C41753" w:rsidRPr="0053555E">
        <w:rPr>
          <w:rFonts w:asciiTheme="majorHAnsi" w:hAnsiTheme="majorHAnsi" w:cstheme="majorHAnsi"/>
        </w:rPr>
        <w:t xml:space="preserve">uchádzačov. </w:t>
      </w:r>
      <w:r w:rsidR="00C41753" w:rsidRPr="0053555E">
        <w:rPr>
          <w:rFonts w:asciiTheme="majorHAnsi" w:hAnsiTheme="majorHAnsi" w:cstheme="majorHAnsi"/>
          <w:b/>
        </w:rPr>
        <w:t xml:space="preserve">Celkovo sa na </w:t>
      </w:r>
      <w:r w:rsidR="00CB3B0D" w:rsidRPr="0053555E">
        <w:rPr>
          <w:rFonts w:asciiTheme="majorHAnsi" w:hAnsiTheme="majorHAnsi" w:cstheme="majorHAnsi"/>
          <w:b/>
        </w:rPr>
        <w:t xml:space="preserve">prvom stupni štúdia na </w:t>
      </w:r>
      <w:r w:rsidR="00C41753" w:rsidRPr="0053555E">
        <w:rPr>
          <w:rFonts w:asciiTheme="majorHAnsi" w:hAnsiTheme="majorHAnsi" w:cstheme="majorHAnsi"/>
          <w:b/>
        </w:rPr>
        <w:t xml:space="preserve">STU v akademickom roku </w:t>
      </w:r>
      <w:r w:rsidR="00EA24BA" w:rsidRPr="0053555E">
        <w:rPr>
          <w:rFonts w:asciiTheme="majorHAnsi" w:hAnsiTheme="majorHAnsi" w:cstheme="majorHAnsi"/>
          <w:b/>
        </w:rPr>
        <w:t>2022/2023</w:t>
      </w:r>
      <w:r w:rsidR="00C41753" w:rsidRPr="0053555E">
        <w:rPr>
          <w:rFonts w:asciiTheme="majorHAnsi" w:hAnsiTheme="majorHAnsi" w:cstheme="majorHAnsi"/>
          <w:b/>
        </w:rPr>
        <w:t xml:space="preserve"> zapísalo </w:t>
      </w:r>
      <w:r w:rsidR="00161D02">
        <w:rPr>
          <w:rFonts w:asciiTheme="majorHAnsi" w:hAnsiTheme="majorHAnsi" w:cstheme="majorHAnsi"/>
          <w:b/>
        </w:rPr>
        <w:t>3 491</w:t>
      </w:r>
      <w:r w:rsidR="00C41753" w:rsidRPr="0053555E">
        <w:rPr>
          <w:rFonts w:asciiTheme="majorHAnsi" w:hAnsiTheme="majorHAnsi" w:cstheme="majorHAnsi"/>
          <w:b/>
        </w:rPr>
        <w:t xml:space="preserve"> študentov z novoprijatých uchádzačov, </w:t>
      </w:r>
      <w:r w:rsidR="00C41753" w:rsidRPr="0053555E">
        <w:rPr>
          <w:rFonts w:asciiTheme="majorHAnsi" w:hAnsiTheme="majorHAnsi" w:cstheme="majorHAnsi"/>
        </w:rPr>
        <w:t xml:space="preserve">čo predstavuje </w:t>
      </w:r>
      <w:r w:rsidR="00161D02">
        <w:rPr>
          <w:rFonts w:asciiTheme="majorHAnsi" w:hAnsiTheme="majorHAnsi" w:cstheme="majorHAnsi"/>
          <w:b/>
        </w:rPr>
        <w:t>nárast</w:t>
      </w:r>
      <w:r w:rsidR="00C41753" w:rsidRPr="0053555E">
        <w:rPr>
          <w:rFonts w:asciiTheme="majorHAnsi" w:hAnsiTheme="majorHAnsi" w:cstheme="majorHAnsi"/>
        </w:rPr>
        <w:t xml:space="preserve"> oproti predchádzajúcemu akademickému roku </w:t>
      </w:r>
      <w:r w:rsidR="00C41753" w:rsidRPr="0053555E">
        <w:rPr>
          <w:rFonts w:asciiTheme="majorHAnsi" w:hAnsiTheme="majorHAnsi" w:cstheme="majorHAnsi"/>
          <w:b/>
        </w:rPr>
        <w:t>o</w:t>
      </w:r>
      <w:r w:rsidR="0055562D">
        <w:rPr>
          <w:rFonts w:asciiTheme="majorHAnsi" w:hAnsiTheme="majorHAnsi" w:cstheme="majorHAnsi"/>
          <w:b/>
        </w:rPr>
        <w:t> takmer 25</w:t>
      </w:r>
      <w:r w:rsidR="00C41753" w:rsidRPr="0053555E">
        <w:rPr>
          <w:rFonts w:asciiTheme="majorHAnsi" w:hAnsiTheme="majorHAnsi" w:cstheme="majorHAnsi"/>
          <w:b/>
        </w:rPr>
        <w:t xml:space="preserve"> %. </w:t>
      </w:r>
      <w:r w:rsidR="00C41753" w:rsidRPr="0053555E">
        <w:rPr>
          <w:rFonts w:asciiTheme="majorHAnsi" w:hAnsiTheme="majorHAnsi" w:cstheme="majorHAnsi"/>
        </w:rPr>
        <w:t xml:space="preserve">Z celkového počtu zapísaných študentov bolo </w:t>
      </w:r>
      <w:r w:rsidR="0055562D">
        <w:rPr>
          <w:rFonts w:asciiTheme="majorHAnsi" w:hAnsiTheme="majorHAnsi" w:cstheme="majorHAnsi"/>
          <w:b/>
        </w:rPr>
        <w:t>1 144</w:t>
      </w:r>
      <w:r w:rsidR="00C41753" w:rsidRPr="0053555E">
        <w:rPr>
          <w:rFonts w:asciiTheme="majorHAnsi" w:hAnsiTheme="majorHAnsi" w:cstheme="majorHAnsi"/>
        </w:rPr>
        <w:t xml:space="preserve"> zahraničných študentov, čo predstavuje pozitívny </w:t>
      </w:r>
      <w:r w:rsidR="00C41753" w:rsidRPr="0053555E">
        <w:rPr>
          <w:rFonts w:asciiTheme="majorHAnsi" w:hAnsiTheme="majorHAnsi" w:cstheme="majorHAnsi"/>
          <w:b/>
        </w:rPr>
        <w:t>nárast za STU o </w:t>
      </w:r>
      <w:r w:rsidR="00B34678">
        <w:rPr>
          <w:rFonts w:asciiTheme="majorHAnsi" w:hAnsiTheme="majorHAnsi" w:cstheme="majorHAnsi"/>
          <w:b/>
        </w:rPr>
        <w:t>159</w:t>
      </w:r>
      <w:r w:rsidR="00C41753" w:rsidRPr="0053555E">
        <w:rPr>
          <w:rFonts w:asciiTheme="majorHAnsi" w:hAnsiTheme="majorHAnsi" w:cstheme="majorHAnsi"/>
          <w:b/>
        </w:rPr>
        <w:t xml:space="preserve"> %</w:t>
      </w:r>
      <w:r w:rsidR="00C41753" w:rsidRPr="0053555E">
        <w:rPr>
          <w:rFonts w:asciiTheme="majorHAnsi" w:hAnsiTheme="majorHAnsi" w:cstheme="majorHAnsi"/>
        </w:rPr>
        <w:t xml:space="preserve"> oproti akademickému roku </w:t>
      </w:r>
      <w:r w:rsidR="00EA24BA" w:rsidRPr="0053555E">
        <w:rPr>
          <w:rFonts w:asciiTheme="majorHAnsi" w:hAnsiTheme="majorHAnsi" w:cstheme="majorHAnsi"/>
        </w:rPr>
        <w:t>2021/2022</w:t>
      </w:r>
      <w:r w:rsidR="00C41753" w:rsidRPr="0053555E">
        <w:rPr>
          <w:rFonts w:asciiTheme="majorHAnsi" w:hAnsiTheme="majorHAnsi" w:cstheme="majorHAnsi"/>
        </w:rPr>
        <w:t xml:space="preserve">. </w:t>
      </w:r>
      <w:r w:rsidR="0083166C" w:rsidRPr="0053555E">
        <w:rPr>
          <w:rFonts w:asciiTheme="majorHAnsi" w:hAnsiTheme="majorHAnsi" w:cstheme="majorHAnsi"/>
        </w:rPr>
        <w:t>Najv</w:t>
      </w:r>
      <w:r w:rsidR="0083166C">
        <w:rPr>
          <w:rFonts w:asciiTheme="majorHAnsi" w:hAnsiTheme="majorHAnsi" w:cstheme="majorHAnsi"/>
        </w:rPr>
        <w:t>äčšie</w:t>
      </w:r>
      <w:r w:rsidR="00C41753" w:rsidRPr="0053555E">
        <w:rPr>
          <w:rFonts w:asciiTheme="majorHAnsi" w:hAnsiTheme="majorHAnsi" w:cstheme="majorHAnsi"/>
        </w:rPr>
        <w:t xml:space="preserve"> zastúpenie </w:t>
      </w:r>
      <w:r w:rsidR="005152BC">
        <w:rPr>
          <w:rFonts w:asciiTheme="majorHAnsi" w:hAnsiTheme="majorHAnsi" w:cstheme="majorHAnsi"/>
        </w:rPr>
        <w:t>medzi zahraničnými uchádzačmi mali občania Ukrajiny, čo bolo spôsobené práve</w:t>
      </w:r>
      <w:r w:rsidR="00ED005C">
        <w:rPr>
          <w:rFonts w:asciiTheme="majorHAnsi" w:hAnsiTheme="majorHAnsi" w:cstheme="majorHAnsi"/>
        </w:rPr>
        <w:t xml:space="preserve"> vojnovým konfliktom</w:t>
      </w:r>
      <w:r w:rsidR="005152BC">
        <w:rPr>
          <w:rFonts w:asciiTheme="majorHAnsi" w:hAnsiTheme="majorHAnsi" w:cstheme="majorHAnsi"/>
        </w:rPr>
        <w:t>.</w:t>
      </w:r>
      <w:r w:rsidR="00F23EE7">
        <w:rPr>
          <w:rFonts w:asciiTheme="majorHAnsi" w:hAnsiTheme="majorHAnsi" w:cstheme="majorHAnsi"/>
        </w:rPr>
        <w:t xml:space="preserve"> Z celkového počtu </w:t>
      </w:r>
      <w:r w:rsidR="006142F8">
        <w:rPr>
          <w:rFonts w:asciiTheme="majorHAnsi" w:hAnsiTheme="majorHAnsi" w:cstheme="majorHAnsi"/>
        </w:rPr>
        <w:t xml:space="preserve">1 144 zapísaných </w:t>
      </w:r>
      <w:r w:rsidR="003E7529">
        <w:rPr>
          <w:rFonts w:asciiTheme="majorHAnsi" w:hAnsiTheme="majorHAnsi" w:cstheme="majorHAnsi"/>
        </w:rPr>
        <w:t xml:space="preserve">zahraničných </w:t>
      </w:r>
      <w:r w:rsidR="006142F8">
        <w:rPr>
          <w:rFonts w:asciiTheme="majorHAnsi" w:hAnsiTheme="majorHAnsi" w:cstheme="majorHAnsi"/>
        </w:rPr>
        <w:t xml:space="preserve">študentov z novoprijatých uchádzačov bolo </w:t>
      </w:r>
      <w:r w:rsidR="003E7529" w:rsidRPr="00B02202">
        <w:rPr>
          <w:rFonts w:asciiTheme="majorHAnsi" w:hAnsiTheme="majorHAnsi" w:cstheme="majorHAnsi"/>
          <w:b/>
        </w:rPr>
        <w:t>879 z Ukrajiny, čo predstavuje 77</w:t>
      </w:r>
      <w:r w:rsidR="001B5CD1" w:rsidRPr="00B02202">
        <w:rPr>
          <w:rFonts w:asciiTheme="majorHAnsi" w:hAnsiTheme="majorHAnsi" w:cstheme="majorHAnsi"/>
          <w:b/>
        </w:rPr>
        <w:t> %</w:t>
      </w:r>
      <w:r w:rsidR="00BA37C1" w:rsidRPr="00B02202">
        <w:rPr>
          <w:rFonts w:asciiTheme="majorHAnsi" w:hAnsiTheme="majorHAnsi" w:cstheme="majorHAnsi"/>
          <w:b/>
        </w:rPr>
        <w:t>.</w:t>
      </w:r>
      <w:r w:rsidR="00BA37C1">
        <w:rPr>
          <w:rFonts w:asciiTheme="majorHAnsi" w:hAnsiTheme="majorHAnsi" w:cstheme="majorHAnsi"/>
        </w:rPr>
        <w:t xml:space="preserve"> Podrobnejšie v súvislosti s</w:t>
      </w:r>
      <w:r w:rsidR="000A392D">
        <w:rPr>
          <w:rFonts w:asciiTheme="majorHAnsi" w:hAnsiTheme="majorHAnsi" w:cstheme="majorHAnsi"/>
        </w:rPr>
        <w:t> </w:t>
      </w:r>
      <w:r w:rsidR="00BA37C1">
        <w:rPr>
          <w:rFonts w:asciiTheme="majorHAnsi" w:hAnsiTheme="majorHAnsi" w:cstheme="majorHAnsi"/>
        </w:rPr>
        <w:t>konf</w:t>
      </w:r>
      <w:r w:rsidR="000A392D">
        <w:rPr>
          <w:rFonts w:asciiTheme="majorHAnsi" w:hAnsiTheme="majorHAnsi" w:cstheme="majorHAnsi"/>
        </w:rPr>
        <w:t>liktom na Ukrajine sa uvádza v</w:t>
      </w:r>
      <w:r w:rsidR="00ED005C">
        <w:rPr>
          <w:rFonts w:asciiTheme="majorHAnsi" w:hAnsiTheme="majorHAnsi" w:cstheme="majorHAnsi"/>
        </w:rPr>
        <w:t xml:space="preserve"> inej časti </w:t>
      </w:r>
      <w:r w:rsidR="000A392D">
        <w:rPr>
          <w:rFonts w:asciiTheme="majorHAnsi" w:hAnsiTheme="majorHAnsi" w:cstheme="majorHAnsi"/>
        </w:rPr>
        <w:t>tejto správy.</w:t>
      </w:r>
    </w:p>
    <w:p w14:paraId="1AA18699" w14:textId="7C8371D7" w:rsidR="00ED005C" w:rsidRPr="0053555E" w:rsidRDefault="00C41753" w:rsidP="00324438">
      <w:pPr>
        <w:tabs>
          <w:tab w:val="left" w:pos="9356"/>
        </w:tabs>
        <w:spacing w:after="120"/>
        <w:jc w:val="both"/>
        <w:rPr>
          <w:rFonts w:asciiTheme="majorHAnsi" w:hAnsiTheme="majorHAnsi" w:cstheme="majorHAnsi"/>
        </w:rPr>
      </w:pPr>
      <w:r w:rsidRPr="0053555E">
        <w:rPr>
          <w:rFonts w:asciiTheme="majorHAnsi" w:hAnsiTheme="majorHAnsi" w:cstheme="majorHAnsi"/>
        </w:rPr>
        <w:fldChar w:fldCharType="begin"/>
      </w:r>
      <w:r w:rsidRPr="0053555E">
        <w:rPr>
          <w:rFonts w:asciiTheme="majorHAnsi" w:hAnsiTheme="majorHAnsi" w:cstheme="majorHAnsi"/>
        </w:rPr>
        <w:instrText xml:space="preserve"> REF _Ref31712631 \h </w:instrText>
      </w:r>
      <w:r w:rsidR="00324438" w:rsidRPr="0053555E">
        <w:rPr>
          <w:rFonts w:asciiTheme="majorHAnsi" w:hAnsiTheme="majorHAnsi" w:cstheme="majorHAnsi"/>
        </w:rPr>
        <w:instrText xml:space="preserve"> \* MERGEFORMAT </w:instrText>
      </w:r>
      <w:r w:rsidRPr="0053555E">
        <w:rPr>
          <w:rFonts w:asciiTheme="majorHAnsi" w:hAnsiTheme="majorHAnsi" w:cstheme="majorHAnsi"/>
        </w:rPr>
      </w:r>
      <w:r w:rsidRPr="0053555E">
        <w:rPr>
          <w:rFonts w:asciiTheme="majorHAnsi" w:hAnsiTheme="majorHAnsi" w:cstheme="majorHAnsi"/>
        </w:rPr>
        <w:fldChar w:fldCharType="separate"/>
      </w:r>
      <w:r w:rsidR="00EE1B59" w:rsidRPr="00EE1B59">
        <w:rPr>
          <w:rFonts w:asciiTheme="majorHAnsi" w:hAnsiTheme="majorHAnsi" w:cstheme="majorHAnsi"/>
          <w:sz w:val="20"/>
          <w:szCs w:val="20"/>
        </w:rPr>
        <w:t>Tab. č. 21</w:t>
      </w:r>
      <w:r w:rsidRPr="0053555E">
        <w:rPr>
          <w:rFonts w:asciiTheme="majorHAnsi" w:hAnsiTheme="majorHAnsi" w:cstheme="majorHAnsi"/>
        </w:rPr>
        <w:fldChar w:fldCharType="end"/>
      </w:r>
      <w:r w:rsidRPr="0053555E">
        <w:rPr>
          <w:rFonts w:asciiTheme="majorHAnsi" w:hAnsiTheme="majorHAnsi" w:cstheme="majorHAnsi"/>
        </w:rPr>
        <w:t xml:space="preserve"> prezentuje celkový prehľad o prijímacom konaní na prvom stupni štúdia. Z tabuľky je zrejmé, že záujem uchádzačov o štúdium </w:t>
      </w:r>
      <w:r w:rsidR="009E3CBB" w:rsidRPr="0053555E">
        <w:rPr>
          <w:rFonts w:asciiTheme="majorHAnsi" w:hAnsiTheme="majorHAnsi" w:cstheme="majorHAnsi"/>
        </w:rPr>
        <w:t>a </w:t>
      </w:r>
      <w:r w:rsidR="00B31DDD" w:rsidRPr="0053555E">
        <w:rPr>
          <w:rFonts w:asciiTheme="majorHAnsi" w:hAnsiTheme="majorHAnsi" w:cstheme="majorHAnsi"/>
        </w:rPr>
        <w:t>na</w:t>
      </w:r>
      <w:r w:rsidR="009E3CBB" w:rsidRPr="0053555E">
        <w:rPr>
          <w:rFonts w:asciiTheme="majorHAnsi" w:hAnsiTheme="majorHAnsi" w:cstheme="majorHAnsi"/>
        </w:rPr>
        <w:t> </w:t>
      </w:r>
      <w:r w:rsidR="006060DB">
        <w:rPr>
          <w:rFonts w:asciiTheme="majorHAnsi" w:hAnsiTheme="majorHAnsi" w:cstheme="majorHAnsi"/>
        </w:rPr>
        <w:t>všetkých</w:t>
      </w:r>
      <w:r w:rsidR="009E3CBB" w:rsidRPr="0053555E">
        <w:rPr>
          <w:rFonts w:asciiTheme="majorHAnsi" w:hAnsiTheme="majorHAnsi" w:cstheme="majorHAnsi"/>
        </w:rPr>
        <w:t xml:space="preserve"> </w:t>
      </w:r>
      <w:r w:rsidR="00B31DDD" w:rsidRPr="0053555E">
        <w:rPr>
          <w:rFonts w:asciiTheme="majorHAnsi" w:hAnsiTheme="majorHAnsi" w:cstheme="majorHAnsi"/>
        </w:rPr>
        <w:t>súčastiach STU</w:t>
      </w:r>
      <w:r w:rsidRPr="0053555E">
        <w:rPr>
          <w:rFonts w:asciiTheme="majorHAnsi" w:hAnsiTheme="majorHAnsi" w:cstheme="majorHAnsi"/>
        </w:rPr>
        <w:t xml:space="preserve"> aj počty prijatých uchádzačov presahujú plánované </w:t>
      </w:r>
      <w:r w:rsidR="00B31DDD" w:rsidRPr="0053555E">
        <w:rPr>
          <w:rFonts w:asciiTheme="majorHAnsi" w:hAnsiTheme="majorHAnsi" w:cstheme="majorHAnsi"/>
        </w:rPr>
        <w:t>počty</w:t>
      </w:r>
      <w:r w:rsidRPr="0053555E">
        <w:rPr>
          <w:rFonts w:asciiTheme="majorHAnsi" w:hAnsiTheme="majorHAnsi" w:cstheme="majorHAnsi"/>
        </w:rPr>
        <w:t xml:space="preserve">, ale tento </w:t>
      </w:r>
      <w:r w:rsidR="003230AE" w:rsidRPr="0053555E">
        <w:rPr>
          <w:rFonts w:asciiTheme="majorHAnsi" w:hAnsiTheme="majorHAnsi" w:cstheme="majorHAnsi"/>
        </w:rPr>
        <w:t>fakt</w:t>
      </w:r>
      <w:r w:rsidRPr="0053555E">
        <w:rPr>
          <w:rFonts w:asciiTheme="majorHAnsi" w:hAnsiTheme="majorHAnsi" w:cstheme="majorHAnsi"/>
        </w:rPr>
        <w:t xml:space="preserve"> sa nepremieta do počt</w:t>
      </w:r>
      <w:r w:rsidR="00EB42F4" w:rsidRPr="0053555E">
        <w:rPr>
          <w:rFonts w:asciiTheme="majorHAnsi" w:hAnsiTheme="majorHAnsi" w:cstheme="majorHAnsi"/>
        </w:rPr>
        <w:t>u</w:t>
      </w:r>
      <w:r w:rsidRPr="0053555E">
        <w:rPr>
          <w:rFonts w:asciiTheme="majorHAnsi" w:hAnsiTheme="majorHAnsi" w:cstheme="majorHAnsi"/>
        </w:rPr>
        <w:t xml:space="preserve"> skutočne zapísaných študentov</w:t>
      </w:r>
      <w:r w:rsidR="006D1D2E">
        <w:rPr>
          <w:rFonts w:asciiTheme="majorHAnsi" w:hAnsiTheme="majorHAnsi" w:cstheme="majorHAnsi"/>
        </w:rPr>
        <w:t>. P</w:t>
      </w:r>
      <w:r w:rsidRPr="0053555E">
        <w:rPr>
          <w:rFonts w:asciiTheme="majorHAnsi" w:hAnsiTheme="majorHAnsi" w:cstheme="majorHAnsi"/>
        </w:rPr>
        <w:t xml:space="preserve">ercento zapísaných študentov z prijatých uchádzačov </w:t>
      </w:r>
      <w:r w:rsidR="00A3320E">
        <w:rPr>
          <w:rFonts w:asciiTheme="majorHAnsi" w:hAnsiTheme="majorHAnsi" w:cstheme="majorHAnsi"/>
        </w:rPr>
        <w:t xml:space="preserve">sa </w:t>
      </w:r>
      <w:r w:rsidRPr="0053555E">
        <w:rPr>
          <w:rFonts w:asciiTheme="majorHAnsi" w:hAnsiTheme="majorHAnsi" w:cstheme="majorHAnsi"/>
        </w:rPr>
        <w:t xml:space="preserve">dlhodobo </w:t>
      </w:r>
      <w:r w:rsidR="00A3320E">
        <w:rPr>
          <w:rFonts w:asciiTheme="majorHAnsi" w:hAnsiTheme="majorHAnsi" w:cstheme="majorHAnsi"/>
        </w:rPr>
        <w:t xml:space="preserve">pohyboval </w:t>
      </w:r>
      <w:r w:rsidRPr="0053555E">
        <w:rPr>
          <w:rFonts w:asciiTheme="majorHAnsi" w:hAnsiTheme="majorHAnsi" w:cstheme="majorHAnsi"/>
        </w:rPr>
        <w:t xml:space="preserve">na úrovni okolo </w:t>
      </w:r>
      <w:r w:rsidR="00C84670" w:rsidRPr="0053555E">
        <w:rPr>
          <w:rFonts w:asciiTheme="majorHAnsi" w:hAnsiTheme="majorHAnsi" w:cstheme="majorHAnsi"/>
        </w:rPr>
        <w:t>67</w:t>
      </w:r>
      <w:r w:rsidR="00FF66B5" w:rsidRPr="0053555E">
        <w:rPr>
          <w:rFonts w:asciiTheme="majorHAnsi" w:hAnsiTheme="majorHAnsi" w:cstheme="majorHAnsi"/>
        </w:rPr>
        <w:t xml:space="preserve"> %</w:t>
      </w:r>
      <w:r w:rsidR="00C84670" w:rsidRPr="0053555E">
        <w:rPr>
          <w:rFonts w:asciiTheme="majorHAnsi" w:hAnsiTheme="majorHAnsi" w:cstheme="majorHAnsi"/>
        </w:rPr>
        <w:t xml:space="preserve"> </w:t>
      </w:r>
      <w:r w:rsidR="00C1463B" w:rsidRPr="0053555E">
        <w:rPr>
          <w:rFonts w:asciiTheme="majorHAnsi" w:hAnsiTheme="majorHAnsi" w:cstheme="majorHAnsi"/>
        </w:rPr>
        <w:t xml:space="preserve">ako uvádza kombinovaný </w:t>
      </w:r>
      <w:r w:rsidRPr="0053555E">
        <w:rPr>
          <w:rFonts w:asciiTheme="majorHAnsi" w:hAnsiTheme="majorHAnsi" w:cstheme="majorHAnsi"/>
        </w:rPr>
        <w:fldChar w:fldCharType="begin"/>
      </w:r>
      <w:r w:rsidRPr="0053555E">
        <w:rPr>
          <w:rFonts w:asciiTheme="majorHAnsi" w:hAnsiTheme="majorHAnsi" w:cstheme="majorHAnsi"/>
        </w:rPr>
        <w:instrText xml:space="preserve"> REF _Ref474779897 \h  \* MERGEFORMAT </w:instrText>
      </w:r>
      <w:r w:rsidRPr="0053555E">
        <w:rPr>
          <w:rFonts w:asciiTheme="majorHAnsi" w:hAnsiTheme="majorHAnsi" w:cstheme="majorHAnsi"/>
        </w:rPr>
      </w:r>
      <w:r w:rsidRPr="0053555E">
        <w:rPr>
          <w:rFonts w:asciiTheme="majorHAnsi" w:hAnsiTheme="majorHAnsi" w:cstheme="majorHAnsi"/>
        </w:rPr>
        <w:fldChar w:fldCharType="separate"/>
      </w:r>
      <w:r w:rsidR="00EE1B59" w:rsidRPr="00EE1B59">
        <w:rPr>
          <w:rFonts w:asciiTheme="majorHAnsi" w:hAnsiTheme="majorHAnsi" w:cstheme="majorHAnsi"/>
          <w:sz w:val="20"/>
          <w:szCs w:val="20"/>
        </w:rPr>
        <w:t>Graf č. 10</w:t>
      </w:r>
      <w:r w:rsidRPr="0053555E">
        <w:rPr>
          <w:rFonts w:asciiTheme="majorHAnsi" w:hAnsiTheme="majorHAnsi" w:cstheme="majorHAnsi"/>
        </w:rPr>
        <w:fldChar w:fldCharType="end"/>
      </w:r>
      <w:r w:rsidRPr="0053555E">
        <w:rPr>
          <w:rFonts w:asciiTheme="majorHAnsi" w:hAnsiTheme="majorHAnsi" w:cstheme="majorHAnsi"/>
        </w:rPr>
        <w:t xml:space="preserve">. </w:t>
      </w:r>
    </w:p>
    <w:p w14:paraId="498A6AC4" w14:textId="5573B4BF" w:rsidR="00C41753" w:rsidRPr="0053555E" w:rsidRDefault="00C41753" w:rsidP="000E3322">
      <w:pPr>
        <w:pStyle w:val="Popis"/>
      </w:pPr>
      <w:bookmarkStart w:id="94" w:name="_Ref31712631"/>
      <w:bookmarkStart w:id="95" w:name="_Toc127593284"/>
      <w:r w:rsidRPr="0053555E">
        <w:t xml:space="preserve">Tab. č. </w:t>
      </w:r>
      <w:r w:rsidR="007B5953">
        <w:fldChar w:fldCharType="begin"/>
      </w:r>
      <w:r w:rsidR="007B5953">
        <w:instrText xml:space="preserve"> SEQ Tab._č. \* ARABIC </w:instrText>
      </w:r>
      <w:r w:rsidR="007B5953">
        <w:fldChar w:fldCharType="separate"/>
      </w:r>
      <w:r w:rsidR="00EE1B59">
        <w:rPr>
          <w:noProof/>
        </w:rPr>
        <w:t>21</w:t>
      </w:r>
      <w:r w:rsidR="007B5953">
        <w:rPr>
          <w:noProof/>
        </w:rPr>
        <w:fldChar w:fldCharType="end"/>
      </w:r>
      <w:bookmarkEnd w:id="94"/>
      <w:r w:rsidRPr="0053555E">
        <w:t xml:space="preserve">: Prehľad prijímacieho konania na prvý stupeň štúdia na akademický rok </w:t>
      </w:r>
      <w:r w:rsidR="00EA24BA" w:rsidRPr="0053555E">
        <w:t>2022/2023</w:t>
      </w:r>
      <w:bookmarkEnd w:id="95"/>
    </w:p>
    <w:tbl>
      <w:tblPr>
        <w:tblW w:w="9493" w:type="dxa"/>
        <w:tblLayout w:type="fixed"/>
        <w:tblCellMar>
          <w:left w:w="70" w:type="dxa"/>
          <w:right w:w="70" w:type="dxa"/>
        </w:tblCellMar>
        <w:tblLook w:val="04A0" w:firstRow="1" w:lastRow="0" w:firstColumn="1" w:lastColumn="0" w:noHBand="0" w:noVBand="1"/>
      </w:tblPr>
      <w:tblGrid>
        <w:gridCol w:w="960"/>
        <w:gridCol w:w="1006"/>
        <w:gridCol w:w="1006"/>
        <w:gridCol w:w="794"/>
        <w:gridCol w:w="1014"/>
        <w:gridCol w:w="794"/>
        <w:gridCol w:w="967"/>
        <w:gridCol w:w="967"/>
        <w:gridCol w:w="992"/>
        <w:gridCol w:w="993"/>
      </w:tblGrid>
      <w:tr w:rsidR="00C41753" w:rsidRPr="0053555E" w14:paraId="5DF2B699" w14:textId="77777777" w:rsidTr="00AD3EC7">
        <w:trPr>
          <w:trHeight w:val="2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2EBFB0" w14:textId="77777777" w:rsidR="00C41753" w:rsidRPr="0053555E" w:rsidRDefault="00C41753" w:rsidP="00324438">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Súčasť STU</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7C9EA6" w14:textId="77777777" w:rsidR="00C41753" w:rsidRPr="0053555E" w:rsidRDefault="00C41753" w:rsidP="00324438">
            <w:pPr>
              <w:tabs>
                <w:tab w:val="left" w:pos="9356"/>
              </w:tabs>
              <w:ind w:left="-41" w:right="-125" w:hanging="142"/>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Plánované počty (Pp)</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DF2CBB" w14:textId="77777777" w:rsidR="00C41753" w:rsidRPr="0053555E" w:rsidRDefault="00C41753"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Prihlásení (Ph)</w:t>
            </w:r>
          </w:p>
        </w:tc>
        <w:tc>
          <w:tcPr>
            <w:tcW w:w="794"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29C3E763" w14:textId="77777777" w:rsidR="00C41753" w:rsidRPr="0053555E" w:rsidRDefault="00C41753"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Ph/Pp</w:t>
            </w:r>
          </w:p>
        </w:tc>
        <w:tc>
          <w:tcPr>
            <w:tcW w:w="10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90988E" w14:textId="77777777" w:rsidR="00C41753" w:rsidRPr="0053555E" w:rsidRDefault="00C41753"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Prijatí (Pr)</w:t>
            </w:r>
          </w:p>
        </w:tc>
        <w:tc>
          <w:tcPr>
            <w:tcW w:w="794"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55396663" w14:textId="77777777" w:rsidR="00C41753" w:rsidRPr="0053555E" w:rsidRDefault="00C41753"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Pr/Pp</w:t>
            </w:r>
          </w:p>
        </w:tc>
        <w:tc>
          <w:tcPr>
            <w:tcW w:w="1934" w:type="dxa"/>
            <w:gridSpan w:val="2"/>
            <w:tcBorders>
              <w:top w:val="single" w:sz="4" w:space="0" w:color="auto"/>
              <w:left w:val="nil"/>
              <w:bottom w:val="single" w:sz="4" w:space="0" w:color="auto"/>
              <w:right w:val="single" w:sz="4" w:space="0" w:color="auto"/>
            </w:tcBorders>
            <w:shd w:val="clear" w:color="auto" w:fill="auto"/>
            <w:vAlign w:val="center"/>
            <w:hideMark/>
          </w:tcPr>
          <w:p w14:paraId="1619C5E6" w14:textId="77777777" w:rsidR="00C41753" w:rsidRPr="0053555E" w:rsidRDefault="00C41753"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Zapísaní (Z)</w:t>
            </w:r>
          </w:p>
        </w:tc>
        <w:tc>
          <w:tcPr>
            <w:tcW w:w="992" w:type="dxa"/>
            <w:vMerge w:val="restart"/>
            <w:tcBorders>
              <w:top w:val="single" w:sz="4" w:space="0" w:color="auto"/>
              <w:left w:val="single" w:sz="4" w:space="0" w:color="auto"/>
              <w:right w:val="single" w:sz="4" w:space="0" w:color="auto"/>
            </w:tcBorders>
            <w:shd w:val="clear" w:color="auto" w:fill="EEECE1" w:themeFill="background2"/>
            <w:vAlign w:val="center"/>
            <w:hideMark/>
          </w:tcPr>
          <w:p w14:paraId="75C9CB8A" w14:textId="77777777" w:rsidR="00C41753" w:rsidRPr="0053555E" w:rsidRDefault="00C41753"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Z/Pr</w:t>
            </w:r>
          </w:p>
        </w:tc>
        <w:tc>
          <w:tcPr>
            <w:tcW w:w="993" w:type="dxa"/>
            <w:vMerge w:val="restart"/>
            <w:tcBorders>
              <w:top w:val="single" w:sz="4" w:space="0" w:color="auto"/>
              <w:left w:val="single" w:sz="4" w:space="0" w:color="auto"/>
              <w:right w:val="single" w:sz="4" w:space="0" w:color="auto"/>
            </w:tcBorders>
            <w:shd w:val="clear" w:color="auto" w:fill="auto"/>
            <w:vAlign w:val="center"/>
            <w:hideMark/>
          </w:tcPr>
          <w:p w14:paraId="599255CE" w14:textId="77777777" w:rsidR="00C41753" w:rsidRPr="0053555E" w:rsidRDefault="00C41753"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Z/Pp</w:t>
            </w:r>
          </w:p>
        </w:tc>
      </w:tr>
      <w:tr w:rsidR="00C41753" w:rsidRPr="0053555E" w14:paraId="34CBECFA" w14:textId="77777777" w:rsidTr="00AD3EC7">
        <w:trPr>
          <w:trHeight w:val="34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4353E19A" w14:textId="77777777" w:rsidR="00C41753" w:rsidRPr="0053555E" w:rsidRDefault="00C41753" w:rsidP="00324438">
            <w:pPr>
              <w:tabs>
                <w:tab w:val="left" w:pos="9356"/>
              </w:tabs>
              <w:jc w:val="both"/>
              <w:rPr>
                <w:rFonts w:asciiTheme="majorHAnsi" w:eastAsia="Times New Roman" w:hAnsiTheme="majorHAnsi" w:cstheme="majorHAnsi"/>
                <w:b/>
                <w:bCs/>
                <w:sz w:val="20"/>
                <w:szCs w:val="20"/>
                <w:lang w:eastAsia="sk-SK"/>
              </w:rPr>
            </w:pPr>
          </w:p>
        </w:tc>
        <w:tc>
          <w:tcPr>
            <w:tcW w:w="1006" w:type="dxa"/>
            <w:vMerge/>
            <w:tcBorders>
              <w:top w:val="single" w:sz="4" w:space="0" w:color="auto"/>
              <w:left w:val="single" w:sz="4" w:space="0" w:color="auto"/>
              <w:bottom w:val="single" w:sz="4" w:space="0" w:color="000000"/>
              <w:right w:val="single" w:sz="4" w:space="0" w:color="auto"/>
            </w:tcBorders>
            <w:vAlign w:val="center"/>
            <w:hideMark/>
          </w:tcPr>
          <w:p w14:paraId="04029881" w14:textId="77777777" w:rsidR="00C41753" w:rsidRPr="0053555E" w:rsidRDefault="00C41753" w:rsidP="00324438">
            <w:pPr>
              <w:tabs>
                <w:tab w:val="left" w:pos="9356"/>
              </w:tabs>
              <w:jc w:val="center"/>
              <w:rPr>
                <w:rFonts w:asciiTheme="majorHAnsi" w:eastAsia="Times New Roman" w:hAnsiTheme="majorHAnsi" w:cstheme="majorHAnsi"/>
                <w:b/>
                <w:bCs/>
                <w:sz w:val="20"/>
                <w:szCs w:val="20"/>
                <w:lang w:eastAsia="sk-SK"/>
              </w:rPr>
            </w:pPr>
          </w:p>
        </w:tc>
        <w:tc>
          <w:tcPr>
            <w:tcW w:w="1006" w:type="dxa"/>
            <w:vMerge/>
            <w:tcBorders>
              <w:top w:val="single" w:sz="4" w:space="0" w:color="auto"/>
              <w:left w:val="single" w:sz="4" w:space="0" w:color="auto"/>
              <w:bottom w:val="single" w:sz="4" w:space="0" w:color="000000"/>
              <w:right w:val="single" w:sz="4" w:space="0" w:color="auto"/>
            </w:tcBorders>
            <w:vAlign w:val="center"/>
            <w:hideMark/>
          </w:tcPr>
          <w:p w14:paraId="72A1523E" w14:textId="77777777" w:rsidR="00C41753" w:rsidRPr="0053555E" w:rsidRDefault="00C41753" w:rsidP="00324438">
            <w:pPr>
              <w:tabs>
                <w:tab w:val="left" w:pos="9356"/>
              </w:tabs>
              <w:jc w:val="center"/>
              <w:rPr>
                <w:rFonts w:asciiTheme="majorHAnsi" w:eastAsia="Times New Roman" w:hAnsiTheme="majorHAnsi" w:cstheme="majorHAnsi"/>
                <w:b/>
                <w:bCs/>
                <w:sz w:val="20"/>
                <w:szCs w:val="20"/>
                <w:lang w:eastAsia="sk-SK"/>
              </w:rPr>
            </w:pPr>
          </w:p>
        </w:tc>
        <w:tc>
          <w:tcPr>
            <w:tcW w:w="794"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31DD1C5F" w14:textId="77777777" w:rsidR="00C41753" w:rsidRPr="0053555E" w:rsidRDefault="00C41753" w:rsidP="00324438">
            <w:pPr>
              <w:tabs>
                <w:tab w:val="left" w:pos="9356"/>
              </w:tabs>
              <w:jc w:val="center"/>
              <w:rPr>
                <w:rFonts w:asciiTheme="majorHAnsi" w:eastAsia="Times New Roman" w:hAnsiTheme="majorHAnsi" w:cstheme="majorHAnsi"/>
                <w:b/>
                <w:bCs/>
                <w:sz w:val="20"/>
                <w:szCs w:val="20"/>
                <w:lang w:eastAsia="sk-SK"/>
              </w:rPr>
            </w:pPr>
          </w:p>
        </w:tc>
        <w:tc>
          <w:tcPr>
            <w:tcW w:w="1014" w:type="dxa"/>
            <w:vMerge/>
            <w:tcBorders>
              <w:top w:val="single" w:sz="4" w:space="0" w:color="auto"/>
              <w:left w:val="single" w:sz="4" w:space="0" w:color="auto"/>
              <w:bottom w:val="single" w:sz="4" w:space="0" w:color="000000"/>
              <w:right w:val="single" w:sz="4" w:space="0" w:color="auto"/>
            </w:tcBorders>
            <w:vAlign w:val="center"/>
            <w:hideMark/>
          </w:tcPr>
          <w:p w14:paraId="0A962821" w14:textId="77777777" w:rsidR="00C41753" w:rsidRPr="0053555E" w:rsidRDefault="00C41753" w:rsidP="00324438">
            <w:pPr>
              <w:tabs>
                <w:tab w:val="left" w:pos="9356"/>
              </w:tabs>
              <w:jc w:val="center"/>
              <w:rPr>
                <w:rFonts w:asciiTheme="majorHAnsi" w:eastAsia="Times New Roman" w:hAnsiTheme="majorHAnsi" w:cstheme="majorHAnsi"/>
                <w:b/>
                <w:bCs/>
                <w:sz w:val="20"/>
                <w:szCs w:val="20"/>
                <w:lang w:eastAsia="sk-SK"/>
              </w:rPr>
            </w:pPr>
          </w:p>
        </w:tc>
        <w:tc>
          <w:tcPr>
            <w:tcW w:w="794"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3D8E35A2" w14:textId="77777777" w:rsidR="00C41753" w:rsidRPr="0053555E" w:rsidRDefault="00C41753" w:rsidP="00324438">
            <w:pPr>
              <w:tabs>
                <w:tab w:val="left" w:pos="9356"/>
              </w:tabs>
              <w:jc w:val="center"/>
              <w:rPr>
                <w:rFonts w:asciiTheme="majorHAnsi" w:eastAsia="Times New Roman" w:hAnsiTheme="majorHAnsi" w:cstheme="majorHAnsi"/>
                <w:b/>
                <w:bCs/>
                <w:sz w:val="20"/>
                <w:szCs w:val="20"/>
                <w:lang w:eastAsia="sk-SK"/>
              </w:rPr>
            </w:pPr>
          </w:p>
        </w:tc>
        <w:tc>
          <w:tcPr>
            <w:tcW w:w="967" w:type="dxa"/>
            <w:tcBorders>
              <w:top w:val="nil"/>
              <w:left w:val="nil"/>
              <w:bottom w:val="single" w:sz="4" w:space="0" w:color="auto"/>
              <w:right w:val="single" w:sz="4" w:space="0" w:color="auto"/>
            </w:tcBorders>
            <w:shd w:val="clear" w:color="auto" w:fill="auto"/>
            <w:vAlign w:val="center"/>
            <w:hideMark/>
          </w:tcPr>
          <w:p w14:paraId="13AC51CF" w14:textId="77777777" w:rsidR="00C41753" w:rsidRPr="0053555E" w:rsidRDefault="00C41753"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spolu</w:t>
            </w:r>
          </w:p>
        </w:tc>
        <w:tc>
          <w:tcPr>
            <w:tcW w:w="967" w:type="dxa"/>
            <w:tcBorders>
              <w:top w:val="nil"/>
              <w:left w:val="nil"/>
              <w:bottom w:val="single" w:sz="4" w:space="0" w:color="auto"/>
              <w:right w:val="single" w:sz="4" w:space="0" w:color="auto"/>
            </w:tcBorders>
            <w:shd w:val="clear" w:color="auto" w:fill="auto"/>
            <w:vAlign w:val="center"/>
            <w:hideMark/>
          </w:tcPr>
          <w:p w14:paraId="54CB3064" w14:textId="77777777" w:rsidR="00C41753" w:rsidRPr="0053555E" w:rsidRDefault="00C41753" w:rsidP="00324438">
            <w:pPr>
              <w:tabs>
                <w:tab w:val="left" w:pos="9356"/>
              </w:tabs>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z toho zahraniční</w:t>
            </w:r>
          </w:p>
        </w:tc>
        <w:tc>
          <w:tcPr>
            <w:tcW w:w="992" w:type="dxa"/>
            <w:vMerge/>
            <w:tcBorders>
              <w:left w:val="single" w:sz="4" w:space="0" w:color="auto"/>
              <w:bottom w:val="single" w:sz="4" w:space="0" w:color="000000"/>
              <w:right w:val="single" w:sz="4" w:space="0" w:color="auto"/>
            </w:tcBorders>
            <w:shd w:val="clear" w:color="auto" w:fill="EEECE1" w:themeFill="background2"/>
            <w:vAlign w:val="center"/>
            <w:hideMark/>
          </w:tcPr>
          <w:p w14:paraId="120C3D07" w14:textId="77777777" w:rsidR="00C41753" w:rsidRPr="0053555E" w:rsidRDefault="00C41753" w:rsidP="00324438">
            <w:pPr>
              <w:tabs>
                <w:tab w:val="left" w:pos="9356"/>
              </w:tabs>
              <w:jc w:val="center"/>
              <w:rPr>
                <w:rFonts w:asciiTheme="majorHAnsi" w:eastAsia="Times New Roman" w:hAnsiTheme="majorHAnsi" w:cstheme="majorHAnsi"/>
                <w:b/>
                <w:bCs/>
                <w:sz w:val="20"/>
                <w:szCs w:val="20"/>
                <w:lang w:eastAsia="sk-SK"/>
              </w:rPr>
            </w:pPr>
          </w:p>
        </w:tc>
        <w:tc>
          <w:tcPr>
            <w:tcW w:w="993" w:type="dxa"/>
            <w:vMerge/>
            <w:tcBorders>
              <w:left w:val="single" w:sz="4" w:space="0" w:color="auto"/>
              <w:bottom w:val="single" w:sz="4" w:space="0" w:color="000000"/>
              <w:right w:val="single" w:sz="4" w:space="0" w:color="auto"/>
            </w:tcBorders>
            <w:vAlign w:val="center"/>
            <w:hideMark/>
          </w:tcPr>
          <w:p w14:paraId="7A8E0111" w14:textId="77777777" w:rsidR="00C41753" w:rsidRPr="0053555E" w:rsidRDefault="00C41753" w:rsidP="00324438">
            <w:pPr>
              <w:tabs>
                <w:tab w:val="left" w:pos="9356"/>
              </w:tabs>
              <w:jc w:val="center"/>
              <w:rPr>
                <w:rFonts w:asciiTheme="majorHAnsi" w:eastAsia="Times New Roman" w:hAnsiTheme="majorHAnsi" w:cstheme="majorHAnsi"/>
                <w:b/>
                <w:bCs/>
                <w:sz w:val="20"/>
                <w:szCs w:val="20"/>
                <w:lang w:eastAsia="sk-SK"/>
              </w:rPr>
            </w:pPr>
          </w:p>
        </w:tc>
      </w:tr>
      <w:tr w:rsidR="003D725F" w:rsidRPr="0053555E" w14:paraId="49468C83" w14:textId="77777777" w:rsidTr="00AD3EC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4EF9C8" w14:textId="77777777" w:rsidR="003D725F" w:rsidRPr="0053555E" w:rsidRDefault="003D725F" w:rsidP="003D725F">
            <w:pPr>
              <w:tabs>
                <w:tab w:val="left" w:pos="9356"/>
              </w:tabs>
              <w:jc w:val="both"/>
              <w:rPr>
                <w:rFonts w:asciiTheme="majorHAnsi" w:eastAsia="Times New Roman" w:hAnsiTheme="majorHAnsi" w:cstheme="majorHAnsi"/>
                <w:b/>
                <w:bCs/>
                <w:sz w:val="22"/>
                <w:szCs w:val="20"/>
                <w:lang w:eastAsia="sk-SK"/>
              </w:rPr>
            </w:pPr>
            <w:r w:rsidRPr="0053555E">
              <w:rPr>
                <w:rFonts w:asciiTheme="majorHAnsi" w:eastAsia="Times New Roman" w:hAnsiTheme="majorHAnsi" w:cstheme="majorHAnsi"/>
                <w:b/>
                <w:bCs/>
                <w:sz w:val="22"/>
                <w:szCs w:val="20"/>
                <w:lang w:eastAsia="sk-SK"/>
              </w:rPr>
              <w:t>SvF</w:t>
            </w:r>
          </w:p>
        </w:tc>
        <w:tc>
          <w:tcPr>
            <w:tcW w:w="1006" w:type="dxa"/>
            <w:tcBorders>
              <w:top w:val="nil"/>
              <w:left w:val="nil"/>
              <w:bottom w:val="single" w:sz="4" w:space="0" w:color="auto"/>
              <w:right w:val="single" w:sz="4" w:space="0" w:color="auto"/>
            </w:tcBorders>
            <w:shd w:val="clear" w:color="auto" w:fill="auto"/>
            <w:noWrap/>
            <w:vAlign w:val="bottom"/>
            <w:hideMark/>
          </w:tcPr>
          <w:p w14:paraId="06D121A9" w14:textId="06E9095B" w:rsidR="003D725F" w:rsidRPr="0053555E" w:rsidRDefault="003D725F" w:rsidP="003D725F">
            <w:pPr>
              <w:jc w:val="center"/>
              <w:rPr>
                <w:rFonts w:asciiTheme="majorHAnsi" w:hAnsiTheme="majorHAnsi" w:cstheme="majorHAnsi"/>
                <w:sz w:val="22"/>
                <w:szCs w:val="22"/>
              </w:rPr>
            </w:pPr>
            <w:r w:rsidRPr="0053555E">
              <w:rPr>
                <w:rFonts w:cs="Calibri"/>
                <w:sz w:val="22"/>
                <w:szCs w:val="20"/>
              </w:rPr>
              <w:t>490</w:t>
            </w:r>
          </w:p>
        </w:tc>
        <w:tc>
          <w:tcPr>
            <w:tcW w:w="1006" w:type="dxa"/>
            <w:tcBorders>
              <w:top w:val="nil"/>
              <w:left w:val="nil"/>
              <w:bottom w:val="single" w:sz="4" w:space="0" w:color="auto"/>
              <w:right w:val="single" w:sz="4" w:space="0" w:color="auto"/>
            </w:tcBorders>
            <w:shd w:val="clear" w:color="auto" w:fill="auto"/>
            <w:noWrap/>
            <w:vAlign w:val="bottom"/>
            <w:hideMark/>
          </w:tcPr>
          <w:p w14:paraId="2005061F" w14:textId="0AA3B900" w:rsidR="003D725F" w:rsidRPr="0053555E" w:rsidRDefault="003D725F" w:rsidP="003D725F">
            <w:pPr>
              <w:jc w:val="center"/>
              <w:rPr>
                <w:rFonts w:asciiTheme="majorHAnsi" w:hAnsiTheme="majorHAnsi" w:cstheme="majorHAnsi"/>
                <w:sz w:val="22"/>
                <w:szCs w:val="22"/>
              </w:rPr>
            </w:pPr>
            <w:r w:rsidRPr="0053555E">
              <w:rPr>
                <w:rFonts w:cs="Calibri"/>
                <w:sz w:val="22"/>
                <w:szCs w:val="20"/>
              </w:rPr>
              <w:t>1 594</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7BC88FCD" w14:textId="10EE3353" w:rsidR="003D725F" w:rsidRPr="0053555E" w:rsidRDefault="003D725F" w:rsidP="003D725F">
            <w:pPr>
              <w:jc w:val="center"/>
              <w:rPr>
                <w:rFonts w:asciiTheme="majorHAnsi" w:hAnsiTheme="majorHAnsi" w:cstheme="majorHAnsi"/>
                <w:sz w:val="22"/>
                <w:szCs w:val="22"/>
              </w:rPr>
            </w:pPr>
            <w:r w:rsidRPr="0053555E">
              <w:rPr>
                <w:rFonts w:cs="Calibri"/>
                <w:sz w:val="22"/>
                <w:szCs w:val="20"/>
              </w:rPr>
              <w:t>3,25</w:t>
            </w:r>
          </w:p>
        </w:tc>
        <w:tc>
          <w:tcPr>
            <w:tcW w:w="1014" w:type="dxa"/>
            <w:tcBorders>
              <w:top w:val="nil"/>
              <w:left w:val="nil"/>
              <w:bottom w:val="single" w:sz="4" w:space="0" w:color="auto"/>
              <w:right w:val="single" w:sz="4" w:space="0" w:color="auto"/>
            </w:tcBorders>
            <w:shd w:val="clear" w:color="auto" w:fill="auto"/>
            <w:noWrap/>
            <w:vAlign w:val="bottom"/>
            <w:hideMark/>
          </w:tcPr>
          <w:p w14:paraId="5841A2AF" w14:textId="64591ACF" w:rsidR="003D725F" w:rsidRPr="0053555E" w:rsidRDefault="003D725F" w:rsidP="003D725F">
            <w:pPr>
              <w:jc w:val="center"/>
              <w:rPr>
                <w:rFonts w:asciiTheme="majorHAnsi" w:hAnsiTheme="majorHAnsi" w:cstheme="majorHAnsi"/>
                <w:sz w:val="22"/>
                <w:szCs w:val="22"/>
              </w:rPr>
            </w:pPr>
            <w:r w:rsidRPr="0053555E">
              <w:rPr>
                <w:rFonts w:cs="Calibri"/>
                <w:sz w:val="22"/>
                <w:szCs w:val="20"/>
              </w:rPr>
              <w:t>1 088</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690AED1D" w14:textId="7A9DC07C" w:rsidR="003D725F" w:rsidRPr="0053555E" w:rsidRDefault="003D725F" w:rsidP="003D725F">
            <w:pPr>
              <w:jc w:val="center"/>
              <w:rPr>
                <w:rFonts w:asciiTheme="majorHAnsi" w:hAnsiTheme="majorHAnsi" w:cstheme="majorHAnsi"/>
                <w:sz w:val="22"/>
                <w:szCs w:val="22"/>
              </w:rPr>
            </w:pPr>
            <w:r w:rsidRPr="0053555E">
              <w:rPr>
                <w:rFonts w:cs="Calibri"/>
                <w:sz w:val="22"/>
                <w:szCs w:val="20"/>
              </w:rPr>
              <w:t>2,22</w:t>
            </w:r>
          </w:p>
        </w:tc>
        <w:tc>
          <w:tcPr>
            <w:tcW w:w="967" w:type="dxa"/>
            <w:tcBorders>
              <w:top w:val="nil"/>
              <w:left w:val="nil"/>
              <w:bottom w:val="single" w:sz="4" w:space="0" w:color="auto"/>
              <w:right w:val="single" w:sz="4" w:space="0" w:color="auto"/>
            </w:tcBorders>
            <w:shd w:val="clear" w:color="auto" w:fill="auto"/>
            <w:noWrap/>
            <w:vAlign w:val="bottom"/>
            <w:hideMark/>
          </w:tcPr>
          <w:p w14:paraId="63374DB2" w14:textId="203861CC" w:rsidR="003D725F" w:rsidRPr="0053555E" w:rsidRDefault="003D725F" w:rsidP="003D725F">
            <w:pPr>
              <w:jc w:val="center"/>
              <w:rPr>
                <w:rFonts w:asciiTheme="majorHAnsi" w:hAnsiTheme="majorHAnsi" w:cstheme="majorHAnsi"/>
                <w:sz w:val="22"/>
                <w:szCs w:val="22"/>
              </w:rPr>
            </w:pPr>
            <w:r w:rsidRPr="0053555E">
              <w:rPr>
                <w:rFonts w:cs="Calibri"/>
                <w:sz w:val="22"/>
                <w:szCs w:val="20"/>
              </w:rPr>
              <w:t>879</w:t>
            </w:r>
          </w:p>
        </w:tc>
        <w:tc>
          <w:tcPr>
            <w:tcW w:w="967" w:type="dxa"/>
            <w:tcBorders>
              <w:top w:val="nil"/>
              <w:left w:val="nil"/>
              <w:bottom w:val="single" w:sz="4" w:space="0" w:color="auto"/>
              <w:right w:val="single" w:sz="4" w:space="0" w:color="auto"/>
            </w:tcBorders>
            <w:shd w:val="clear" w:color="auto" w:fill="auto"/>
            <w:noWrap/>
            <w:vAlign w:val="bottom"/>
            <w:hideMark/>
          </w:tcPr>
          <w:p w14:paraId="5BAC8F89" w14:textId="309BAA6F" w:rsidR="003D725F" w:rsidRPr="0053555E" w:rsidRDefault="003D725F" w:rsidP="003D725F">
            <w:pPr>
              <w:jc w:val="center"/>
              <w:rPr>
                <w:rFonts w:asciiTheme="majorHAnsi" w:hAnsiTheme="majorHAnsi" w:cstheme="majorHAnsi"/>
                <w:sz w:val="22"/>
                <w:szCs w:val="22"/>
              </w:rPr>
            </w:pPr>
            <w:r w:rsidRPr="0053555E">
              <w:rPr>
                <w:rFonts w:cs="Calibri"/>
                <w:sz w:val="22"/>
                <w:szCs w:val="20"/>
              </w:rPr>
              <w:t>248</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14:paraId="060B6DDD" w14:textId="3F3CA1D7" w:rsidR="003D725F" w:rsidRPr="0053555E" w:rsidRDefault="003D725F" w:rsidP="003D725F">
            <w:pPr>
              <w:jc w:val="center"/>
              <w:rPr>
                <w:rFonts w:asciiTheme="majorHAnsi" w:hAnsiTheme="majorHAnsi" w:cstheme="majorHAnsi"/>
                <w:sz w:val="22"/>
                <w:szCs w:val="22"/>
              </w:rPr>
            </w:pPr>
            <w:r w:rsidRPr="0053555E">
              <w:rPr>
                <w:rFonts w:cs="Calibri"/>
                <w:sz w:val="22"/>
                <w:szCs w:val="20"/>
              </w:rPr>
              <w:t>0,81</w:t>
            </w:r>
          </w:p>
        </w:tc>
        <w:tc>
          <w:tcPr>
            <w:tcW w:w="993" w:type="dxa"/>
            <w:tcBorders>
              <w:top w:val="nil"/>
              <w:left w:val="nil"/>
              <w:bottom w:val="single" w:sz="4" w:space="0" w:color="auto"/>
              <w:right w:val="single" w:sz="4" w:space="0" w:color="auto"/>
            </w:tcBorders>
            <w:shd w:val="clear" w:color="auto" w:fill="auto"/>
            <w:noWrap/>
            <w:vAlign w:val="bottom"/>
            <w:hideMark/>
          </w:tcPr>
          <w:p w14:paraId="7F826AC2" w14:textId="319C61F6" w:rsidR="003D725F" w:rsidRPr="0053555E" w:rsidRDefault="003D725F" w:rsidP="003D725F">
            <w:pPr>
              <w:jc w:val="center"/>
              <w:rPr>
                <w:rFonts w:asciiTheme="majorHAnsi" w:hAnsiTheme="majorHAnsi" w:cstheme="majorHAnsi"/>
                <w:sz w:val="22"/>
                <w:szCs w:val="22"/>
              </w:rPr>
            </w:pPr>
            <w:r w:rsidRPr="0053555E">
              <w:rPr>
                <w:rFonts w:cs="Calibri"/>
                <w:sz w:val="22"/>
                <w:szCs w:val="20"/>
              </w:rPr>
              <w:t>1,79</w:t>
            </w:r>
          </w:p>
        </w:tc>
      </w:tr>
      <w:tr w:rsidR="003D725F" w:rsidRPr="0053555E" w14:paraId="70B9DBAA" w14:textId="77777777" w:rsidTr="00AD3EC7">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2895721" w14:textId="77777777" w:rsidR="003D725F" w:rsidRPr="0053555E" w:rsidRDefault="003D725F" w:rsidP="003D725F">
            <w:pPr>
              <w:tabs>
                <w:tab w:val="left" w:pos="9356"/>
              </w:tabs>
              <w:jc w:val="both"/>
              <w:rPr>
                <w:rFonts w:asciiTheme="majorHAnsi" w:eastAsia="Times New Roman" w:hAnsiTheme="majorHAnsi" w:cstheme="majorHAnsi"/>
                <w:b/>
                <w:bCs/>
                <w:sz w:val="22"/>
                <w:szCs w:val="20"/>
                <w:lang w:eastAsia="sk-SK"/>
              </w:rPr>
            </w:pPr>
            <w:r w:rsidRPr="0053555E">
              <w:rPr>
                <w:rFonts w:asciiTheme="majorHAnsi" w:eastAsia="Times New Roman" w:hAnsiTheme="majorHAnsi" w:cstheme="majorHAnsi"/>
                <w:b/>
                <w:bCs/>
                <w:sz w:val="22"/>
                <w:szCs w:val="20"/>
                <w:lang w:eastAsia="sk-SK"/>
              </w:rPr>
              <w:t>SjF</w:t>
            </w:r>
          </w:p>
        </w:tc>
        <w:tc>
          <w:tcPr>
            <w:tcW w:w="1006" w:type="dxa"/>
            <w:tcBorders>
              <w:top w:val="nil"/>
              <w:left w:val="nil"/>
              <w:bottom w:val="single" w:sz="4" w:space="0" w:color="auto"/>
              <w:right w:val="single" w:sz="4" w:space="0" w:color="auto"/>
            </w:tcBorders>
            <w:shd w:val="clear" w:color="000000" w:fill="FFFFFF"/>
            <w:noWrap/>
            <w:vAlign w:val="bottom"/>
            <w:hideMark/>
          </w:tcPr>
          <w:p w14:paraId="59E06926" w14:textId="213DE340" w:rsidR="003D725F" w:rsidRPr="0053555E" w:rsidRDefault="003D725F" w:rsidP="003D725F">
            <w:pPr>
              <w:jc w:val="center"/>
              <w:rPr>
                <w:rFonts w:asciiTheme="majorHAnsi" w:hAnsiTheme="majorHAnsi" w:cstheme="majorHAnsi"/>
                <w:sz w:val="22"/>
                <w:szCs w:val="22"/>
              </w:rPr>
            </w:pPr>
            <w:r w:rsidRPr="0053555E">
              <w:rPr>
                <w:rFonts w:cs="Calibri"/>
                <w:sz w:val="22"/>
                <w:szCs w:val="20"/>
              </w:rPr>
              <w:t>530</w:t>
            </w:r>
          </w:p>
        </w:tc>
        <w:tc>
          <w:tcPr>
            <w:tcW w:w="1006" w:type="dxa"/>
            <w:tcBorders>
              <w:top w:val="nil"/>
              <w:left w:val="nil"/>
              <w:bottom w:val="single" w:sz="4" w:space="0" w:color="auto"/>
              <w:right w:val="single" w:sz="4" w:space="0" w:color="auto"/>
            </w:tcBorders>
            <w:shd w:val="clear" w:color="000000" w:fill="FFFFFF"/>
            <w:noWrap/>
            <w:vAlign w:val="bottom"/>
            <w:hideMark/>
          </w:tcPr>
          <w:p w14:paraId="112EC0AE" w14:textId="6B5FCC3A" w:rsidR="003D725F" w:rsidRPr="0053555E" w:rsidRDefault="003D725F" w:rsidP="003D725F">
            <w:pPr>
              <w:jc w:val="center"/>
              <w:rPr>
                <w:rFonts w:asciiTheme="majorHAnsi" w:hAnsiTheme="majorHAnsi" w:cstheme="majorHAnsi"/>
                <w:sz w:val="22"/>
                <w:szCs w:val="22"/>
              </w:rPr>
            </w:pPr>
            <w:r w:rsidRPr="0053555E">
              <w:rPr>
                <w:rFonts w:cs="Calibri"/>
                <w:sz w:val="22"/>
                <w:szCs w:val="20"/>
              </w:rPr>
              <w:t>727</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49A29FF0" w14:textId="648DB98F" w:rsidR="003D725F" w:rsidRPr="0053555E" w:rsidRDefault="003D725F" w:rsidP="003D725F">
            <w:pPr>
              <w:jc w:val="center"/>
              <w:rPr>
                <w:rFonts w:asciiTheme="majorHAnsi" w:hAnsiTheme="majorHAnsi" w:cstheme="majorHAnsi"/>
                <w:sz w:val="22"/>
                <w:szCs w:val="22"/>
              </w:rPr>
            </w:pPr>
            <w:r w:rsidRPr="0053555E">
              <w:rPr>
                <w:rFonts w:cs="Calibri"/>
                <w:sz w:val="22"/>
                <w:szCs w:val="20"/>
              </w:rPr>
              <w:t>1,37</w:t>
            </w:r>
          </w:p>
        </w:tc>
        <w:tc>
          <w:tcPr>
            <w:tcW w:w="1014" w:type="dxa"/>
            <w:tcBorders>
              <w:top w:val="nil"/>
              <w:left w:val="nil"/>
              <w:bottom w:val="single" w:sz="4" w:space="0" w:color="auto"/>
              <w:right w:val="single" w:sz="4" w:space="0" w:color="auto"/>
            </w:tcBorders>
            <w:shd w:val="clear" w:color="000000" w:fill="FFFFFF"/>
            <w:noWrap/>
            <w:vAlign w:val="bottom"/>
            <w:hideMark/>
          </w:tcPr>
          <w:p w14:paraId="7EDE9406" w14:textId="2BD5A298" w:rsidR="003D725F" w:rsidRPr="0053555E" w:rsidRDefault="003D725F" w:rsidP="003D725F">
            <w:pPr>
              <w:jc w:val="center"/>
              <w:rPr>
                <w:rFonts w:asciiTheme="majorHAnsi" w:hAnsiTheme="majorHAnsi" w:cstheme="majorHAnsi"/>
                <w:sz w:val="22"/>
                <w:szCs w:val="22"/>
              </w:rPr>
            </w:pPr>
            <w:r w:rsidRPr="0053555E">
              <w:rPr>
                <w:rFonts w:cs="Calibri"/>
                <w:sz w:val="22"/>
                <w:szCs w:val="20"/>
              </w:rPr>
              <w:t>458</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3BE1A237" w14:textId="42621E71" w:rsidR="003D725F" w:rsidRPr="0053555E" w:rsidRDefault="003D725F" w:rsidP="003D725F">
            <w:pPr>
              <w:jc w:val="center"/>
              <w:rPr>
                <w:rFonts w:asciiTheme="majorHAnsi" w:hAnsiTheme="majorHAnsi" w:cstheme="majorHAnsi"/>
                <w:sz w:val="22"/>
                <w:szCs w:val="22"/>
              </w:rPr>
            </w:pPr>
            <w:r w:rsidRPr="0053555E">
              <w:rPr>
                <w:rFonts w:cs="Calibri"/>
                <w:sz w:val="22"/>
                <w:szCs w:val="20"/>
              </w:rPr>
              <w:t>0,86</w:t>
            </w:r>
          </w:p>
        </w:tc>
        <w:tc>
          <w:tcPr>
            <w:tcW w:w="967" w:type="dxa"/>
            <w:tcBorders>
              <w:top w:val="nil"/>
              <w:left w:val="nil"/>
              <w:bottom w:val="single" w:sz="4" w:space="0" w:color="auto"/>
              <w:right w:val="single" w:sz="4" w:space="0" w:color="auto"/>
            </w:tcBorders>
            <w:shd w:val="clear" w:color="000000" w:fill="FFFFFF"/>
            <w:noWrap/>
            <w:vAlign w:val="bottom"/>
            <w:hideMark/>
          </w:tcPr>
          <w:p w14:paraId="5A18F185" w14:textId="4F876D87" w:rsidR="003D725F" w:rsidRPr="0053555E" w:rsidRDefault="003D725F" w:rsidP="003D725F">
            <w:pPr>
              <w:jc w:val="center"/>
              <w:rPr>
                <w:rFonts w:asciiTheme="majorHAnsi" w:hAnsiTheme="majorHAnsi" w:cstheme="majorHAnsi"/>
                <w:sz w:val="22"/>
                <w:szCs w:val="22"/>
              </w:rPr>
            </w:pPr>
            <w:r w:rsidRPr="0053555E">
              <w:rPr>
                <w:rFonts w:cs="Calibri"/>
                <w:sz w:val="22"/>
                <w:szCs w:val="20"/>
              </w:rPr>
              <w:t>356</w:t>
            </w:r>
          </w:p>
        </w:tc>
        <w:tc>
          <w:tcPr>
            <w:tcW w:w="967" w:type="dxa"/>
            <w:tcBorders>
              <w:top w:val="nil"/>
              <w:left w:val="nil"/>
              <w:bottom w:val="single" w:sz="4" w:space="0" w:color="auto"/>
              <w:right w:val="single" w:sz="4" w:space="0" w:color="auto"/>
            </w:tcBorders>
            <w:shd w:val="clear" w:color="000000" w:fill="FFFFFF"/>
            <w:noWrap/>
            <w:vAlign w:val="bottom"/>
            <w:hideMark/>
          </w:tcPr>
          <w:p w14:paraId="09F6577B" w14:textId="217F4BAD" w:rsidR="003D725F" w:rsidRPr="0053555E" w:rsidRDefault="003D725F" w:rsidP="003D725F">
            <w:pPr>
              <w:jc w:val="center"/>
              <w:rPr>
                <w:rFonts w:asciiTheme="majorHAnsi" w:hAnsiTheme="majorHAnsi" w:cstheme="majorHAnsi"/>
                <w:sz w:val="22"/>
                <w:szCs w:val="22"/>
              </w:rPr>
            </w:pPr>
            <w:r w:rsidRPr="0053555E">
              <w:rPr>
                <w:rFonts w:cs="Calibri"/>
                <w:sz w:val="22"/>
                <w:szCs w:val="20"/>
              </w:rPr>
              <w:t>130</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14:paraId="4A86CD32" w14:textId="74E6AEA2" w:rsidR="003D725F" w:rsidRPr="0053555E" w:rsidRDefault="003D725F" w:rsidP="003D725F">
            <w:pPr>
              <w:jc w:val="center"/>
              <w:rPr>
                <w:rFonts w:asciiTheme="majorHAnsi" w:hAnsiTheme="majorHAnsi" w:cstheme="majorHAnsi"/>
                <w:sz w:val="22"/>
                <w:szCs w:val="22"/>
              </w:rPr>
            </w:pPr>
            <w:r w:rsidRPr="0053555E">
              <w:rPr>
                <w:rFonts w:cs="Calibri"/>
                <w:sz w:val="22"/>
                <w:szCs w:val="20"/>
              </w:rPr>
              <w:t>0,78</w:t>
            </w:r>
          </w:p>
        </w:tc>
        <w:tc>
          <w:tcPr>
            <w:tcW w:w="993" w:type="dxa"/>
            <w:tcBorders>
              <w:top w:val="nil"/>
              <w:left w:val="nil"/>
              <w:bottom w:val="single" w:sz="4" w:space="0" w:color="auto"/>
              <w:right w:val="single" w:sz="4" w:space="0" w:color="auto"/>
            </w:tcBorders>
            <w:shd w:val="clear" w:color="auto" w:fill="auto"/>
            <w:noWrap/>
            <w:vAlign w:val="bottom"/>
            <w:hideMark/>
          </w:tcPr>
          <w:p w14:paraId="307AC3E4" w14:textId="6998B52E" w:rsidR="003D725F" w:rsidRPr="0053555E" w:rsidRDefault="003D725F" w:rsidP="003D725F">
            <w:pPr>
              <w:jc w:val="center"/>
              <w:rPr>
                <w:rFonts w:asciiTheme="majorHAnsi" w:hAnsiTheme="majorHAnsi" w:cstheme="majorHAnsi"/>
                <w:sz w:val="22"/>
                <w:szCs w:val="22"/>
              </w:rPr>
            </w:pPr>
            <w:r w:rsidRPr="0053555E">
              <w:rPr>
                <w:rFonts w:cs="Calibri"/>
                <w:sz w:val="22"/>
                <w:szCs w:val="20"/>
              </w:rPr>
              <w:t>0,67</w:t>
            </w:r>
          </w:p>
        </w:tc>
      </w:tr>
      <w:tr w:rsidR="003D725F" w:rsidRPr="0053555E" w14:paraId="25290463" w14:textId="77777777" w:rsidTr="00AD3EC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2D00CB" w14:textId="77777777" w:rsidR="003D725F" w:rsidRPr="0053555E" w:rsidRDefault="003D725F" w:rsidP="003D725F">
            <w:pPr>
              <w:tabs>
                <w:tab w:val="left" w:pos="9356"/>
              </w:tabs>
              <w:jc w:val="both"/>
              <w:rPr>
                <w:rFonts w:asciiTheme="majorHAnsi" w:eastAsia="Times New Roman" w:hAnsiTheme="majorHAnsi" w:cstheme="majorHAnsi"/>
                <w:b/>
                <w:bCs/>
                <w:sz w:val="22"/>
                <w:szCs w:val="20"/>
                <w:lang w:eastAsia="sk-SK"/>
              </w:rPr>
            </w:pPr>
            <w:r w:rsidRPr="0053555E">
              <w:rPr>
                <w:rFonts w:asciiTheme="majorHAnsi" w:eastAsia="Times New Roman" w:hAnsiTheme="majorHAnsi" w:cstheme="majorHAnsi"/>
                <w:b/>
                <w:bCs/>
                <w:sz w:val="22"/>
                <w:szCs w:val="20"/>
                <w:lang w:eastAsia="sk-SK"/>
              </w:rPr>
              <w:t>FEI</w:t>
            </w:r>
          </w:p>
        </w:tc>
        <w:tc>
          <w:tcPr>
            <w:tcW w:w="1006" w:type="dxa"/>
            <w:tcBorders>
              <w:top w:val="nil"/>
              <w:left w:val="nil"/>
              <w:bottom w:val="single" w:sz="4" w:space="0" w:color="auto"/>
              <w:right w:val="single" w:sz="4" w:space="0" w:color="auto"/>
            </w:tcBorders>
            <w:shd w:val="clear" w:color="auto" w:fill="auto"/>
            <w:noWrap/>
            <w:vAlign w:val="bottom"/>
            <w:hideMark/>
          </w:tcPr>
          <w:p w14:paraId="4A844549" w14:textId="12032AA5" w:rsidR="003D725F" w:rsidRPr="0053555E" w:rsidRDefault="003D725F" w:rsidP="003D725F">
            <w:pPr>
              <w:jc w:val="center"/>
              <w:rPr>
                <w:rFonts w:asciiTheme="majorHAnsi" w:hAnsiTheme="majorHAnsi" w:cstheme="majorHAnsi"/>
                <w:sz w:val="22"/>
                <w:szCs w:val="22"/>
              </w:rPr>
            </w:pPr>
            <w:r w:rsidRPr="0053555E">
              <w:rPr>
                <w:rFonts w:cs="Calibri"/>
                <w:sz w:val="22"/>
                <w:szCs w:val="20"/>
              </w:rPr>
              <w:t>1 339</w:t>
            </w:r>
          </w:p>
        </w:tc>
        <w:tc>
          <w:tcPr>
            <w:tcW w:w="1006" w:type="dxa"/>
            <w:tcBorders>
              <w:top w:val="nil"/>
              <w:left w:val="nil"/>
              <w:bottom w:val="single" w:sz="4" w:space="0" w:color="auto"/>
              <w:right w:val="single" w:sz="4" w:space="0" w:color="auto"/>
            </w:tcBorders>
            <w:shd w:val="clear" w:color="auto" w:fill="auto"/>
            <w:noWrap/>
            <w:vAlign w:val="bottom"/>
            <w:hideMark/>
          </w:tcPr>
          <w:p w14:paraId="4F62DDAE" w14:textId="5A1322FE" w:rsidR="003D725F" w:rsidRPr="0053555E" w:rsidRDefault="003D725F" w:rsidP="003D725F">
            <w:pPr>
              <w:jc w:val="center"/>
              <w:rPr>
                <w:rFonts w:asciiTheme="majorHAnsi" w:hAnsiTheme="majorHAnsi" w:cstheme="majorHAnsi"/>
                <w:sz w:val="22"/>
                <w:szCs w:val="22"/>
              </w:rPr>
            </w:pPr>
            <w:r w:rsidRPr="0053555E">
              <w:rPr>
                <w:rFonts w:cs="Calibri"/>
                <w:sz w:val="22"/>
                <w:szCs w:val="20"/>
              </w:rPr>
              <w:t>2 137</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1EDF4616" w14:textId="46235366" w:rsidR="003D725F" w:rsidRPr="0053555E" w:rsidRDefault="003D725F" w:rsidP="003D725F">
            <w:pPr>
              <w:jc w:val="center"/>
              <w:rPr>
                <w:rFonts w:asciiTheme="majorHAnsi" w:hAnsiTheme="majorHAnsi" w:cstheme="majorHAnsi"/>
                <w:sz w:val="22"/>
                <w:szCs w:val="22"/>
              </w:rPr>
            </w:pPr>
            <w:r w:rsidRPr="0053555E">
              <w:rPr>
                <w:rFonts w:cs="Calibri"/>
                <w:sz w:val="22"/>
                <w:szCs w:val="20"/>
              </w:rPr>
              <w:t>1,60</w:t>
            </w:r>
          </w:p>
        </w:tc>
        <w:tc>
          <w:tcPr>
            <w:tcW w:w="1014" w:type="dxa"/>
            <w:tcBorders>
              <w:top w:val="nil"/>
              <w:left w:val="nil"/>
              <w:bottom w:val="single" w:sz="4" w:space="0" w:color="auto"/>
              <w:right w:val="single" w:sz="4" w:space="0" w:color="auto"/>
            </w:tcBorders>
            <w:shd w:val="clear" w:color="auto" w:fill="auto"/>
            <w:noWrap/>
            <w:vAlign w:val="bottom"/>
            <w:hideMark/>
          </w:tcPr>
          <w:p w14:paraId="769086B7" w14:textId="36F1EB48" w:rsidR="003D725F" w:rsidRPr="0053555E" w:rsidRDefault="003D725F" w:rsidP="003D725F">
            <w:pPr>
              <w:jc w:val="center"/>
              <w:rPr>
                <w:rFonts w:asciiTheme="majorHAnsi" w:hAnsiTheme="majorHAnsi" w:cstheme="majorHAnsi"/>
                <w:sz w:val="22"/>
                <w:szCs w:val="22"/>
              </w:rPr>
            </w:pPr>
            <w:r w:rsidRPr="0053555E">
              <w:rPr>
                <w:rFonts w:cs="Calibri"/>
                <w:sz w:val="22"/>
                <w:szCs w:val="20"/>
              </w:rPr>
              <w:t>939</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218D1AAF" w14:textId="09D8D1E3" w:rsidR="003D725F" w:rsidRPr="0053555E" w:rsidRDefault="003D725F" w:rsidP="003D725F">
            <w:pPr>
              <w:jc w:val="center"/>
              <w:rPr>
                <w:rFonts w:asciiTheme="majorHAnsi" w:hAnsiTheme="majorHAnsi" w:cstheme="majorHAnsi"/>
                <w:sz w:val="22"/>
                <w:szCs w:val="22"/>
              </w:rPr>
            </w:pPr>
            <w:r w:rsidRPr="0053555E">
              <w:rPr>
                <w:rFonts w:cs="Calibri"/>
                <w:sz w:val="22"/>
                <w:szCs w:val="20"/>
              </w:rPr>
              <w:t>0,70</w:t>
            </w:r>
          </w:p>
        </w:tc>
        <w:tc>
          <w:tcPr>
            <w:tcW w:w="967" w:type="dxa"/>
            <w:tcBorders>
              <w:top w:val="nil"/>
              <w:left w:val="nil"/>
              <w:bottom w:val="single" w:sz="4" w:space="0" w:color="auto"/>
              <w:right w:val="single" w:sz="4" w:space="0" w:color="auto"/>
            </w:tcBorders>
            <w:shd w:val="clear" w:color="auto" w:fill="auto"/>
            <w:noWrap/>
            <w:vAlign w:val="bottom"/>
            <w:hideMark/>
          </w:tcPr>
          <w:p w14:paraId="3D457D52" w14:textId="28DC2C34" w:rsidR="003D725F" w:rsidRPr="0053555E" w:rsidRDefault="003D725F" w:rsidP="003D725F">
            <w:pPr>
              <w:jc w:val="center"/>
              <w:rPr>
                <w:rFonts w:asciiTheme="majorHAnsi" w:hAnsiTheme="majorHAnsi" w:cstheme="majorHAnsi"/>
                <w:sz w:val="22"/>
                <w:szCs w:val="22"/>
              </w:rPr>
            </w:pPr>
            <w:r w:rsidRPr="0053555E">
              <w:rPr>
                <w:rFonts w:cs="Calibri"/>
                <w:sz w:val="22"/>
                <w:szCs w:val="20"/>
              </w:rPr>
              <w:t>705</w:t>
            </w:r>
          </w:p>
        </w:tc>
        <w:tc>
          <w:tcPr>
            <w:tcW w:w="967" w:type="dxa"/>
            <w:tcBorders>
              <w:top w:val="nil"/>
              <w:left w:val="nil"/>
              <w:bottom w:val="single" w:sz="4" w:space="0" w:color="auto"/>
              <w:right w:val="single" w:sz="4" w:space="0" w:color="auto"/>
            </w:tcBorders>
            <w:shd w:val="clear" w:color="auto" w:fill="auto"/>
            <w:noWrap/>
            <w:vAlign w:val="bottom"/>
            <w:hideMark/>
          </w:tcPr>
          <w:p w14:paraId="2DE59326" w14:textId="76978066" w:rsidR="003D725F" w:rsidRPr="0053555E" w:rsidRDefault="003D725F" w:rsidP="003D725F">
            <w:pPr>
              <w:jc w:val="center"/>
              <w:rPr>
                <w:rFonts w:asciiTheme="majorHAnsi" w:hAnsiTheme="majorHAnsi" w:cstheme="majorHAnsi"/>
                <w:sz w:val="22"/>
                <w:szCs w:val="22"/>
              </w:rPr>
            </w:pPr>
            <w:r w:rsidRPr="0053555E">
              <w:rPr>
                <w:rFonts w:cs="Calibri"/>
                <w:sz w:val="22"/>
                <w:szCs w:val="20"/>
              </w:rPr>
              <w:t>239</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14:paraId="5B4AE2E8" w14:textId="1996298B" w:rsidR="003D725F" w:rsidRPr="0053555E" w:rsidRDefault="003D725F" w:rsidP="003D725F">
            <w:pPr>
              <w:jc w:val="center"/>
              <w:rPr>
                <w:rFonts w:asciiTheme="majorHAnsi" w:hAnsiTheme="majorHAnsi" w:cstheme="majorHAnsi"/>
                <w:sz w:val="22"/>
                <w:szCs w:val="22"/>
              </w:rPr>
            </w:pPr>
            <w:r w:rsidRPr="0053555E">
              <w:rPr>
                <w:rFonts w:cs="Calibri"/>
                <w:sz w:val="22"/>
                <w:szCs w:val="20"/>
              </w:rPr>
              <w:t>0,75</w:t>
            </w:r>
          </w:p>
        </w:tc>
        <w:tc>
          <w:tcPr>
            <w:tcW w:w="993" w:type="dxa"/>
            <w:tcBorders>
              <w:top w:val="nil"/>
              <w:left w:val="nil"/>
              <w:bottom w:val="single" w:sz="4" w:space="0" w:color="auto"/>
              <w:right w:val="single" w:sz="4" w:space="0" w:color="auto"/>
            </w:tcBorders>
            <w:shd w:val="clear" w:color="auto" w:fill="auto"/>
            <w:noWrap/>
            <w:vAlign w:val="bottom"/>
            <w:hideMark/>
          </w:tcPr>
          <w:p w14:paraId="62EFD0C5" w14:textId="7AE8BA60" w:rsidR="003D725F" w:rsidRPr="0053555E" w:rsidRDefault="003D725F" w:rsidP="003D725F">
            <w:pPr>
              <w:jc w:val="center"/>
              <w:rPr>
                <w:rFonts w:asciiTheme="majorHAnsi" w:hAnsiTheme="majorHAnsi" w:cstheme="majorHAnsi"/>
                <w:sz w:val="22"/>
                <w:szCs w:val="22"/>
              </w:rPr>
            </w:pPr>
            <w:r w:rsidRPr="0053555E">
              <w:rPr>
                <w:rFonts w:cs="Calibri"/>
                <w:sz w:val="22"/>
                <w:szCs w:val="20"/>
              </w:rPr>
              <w:t>0,53</w:t>
            </w:r>
          </w:p>
        </w:tc>
      </w:tr>
      <w:tr w:rsidR="003D725F" w:rsidRPr="0053555E" w14:paraId="4021001C" w14:textId="77777777" w:rsidTr="00AD3EC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9A163E" w14:textId="77777777" w:rsidR="003D725F" w:rsidRPr="0053555E" w:rsidRDefault="003D725F" w:rsidP="003D725F">
            <w:pPr>
              <w:tabs>
                <w:tab w:val="left" w:pos="9356"/>
              </w:tabs>
              <w:jc w:val="both"/>
              <w:rPr>
                <w:rFonts w:asciiTheme="majorHAnsi" w:eastAsia="Times New Roman" w:hAnsiTheme="majorHAnsi" w:cstheme="majorHAnsi"/>
                <w:b/>
                <w:bCs/>
                <w:sz w:val="22"/>
                <w:szCs w:val="20"/>
                <w:lang w:eastAsia="sk-SK"/>
              </w:rPr>
            </w:pPr>
            <w:r w:rsidRPr="0053555E">
              <w:rPr>
                <w:rFonts w:asciiTheme="majorHAnsi" w:eastAsia="Times New Roman" w:hAnsiTheme="majorHAnsi" w:cstheme="majorHAnsi"/>
                <w:b/>
                <w:bCs/>
                <w:sz w:val="22"/>
                <w:szCs w:val="20"/>
                <w:lang w:eastAsia="sk-SK"/>
              </w:rPr>
              <w:t>FCHPT</w:t>
            </w:r>
          </w:p>
        </w:tc>
        <w:tc>
          <w:tcPr>
            <w:tcW w:w="1006" w:type="dxa"/>
            <w:tcBorders>
              <w:top w:val="nil"/>
              <w:left w:val="nil"/>
              <w:bottom w:val="single" w:sz="4" w:space="0" w:color="auto"/>
              <w:right w:val="single" w:sz="4" w:space="0" w:color="auto"/>
            </w:tcBorders>
            <w:shd w:val="clear" w:color="auto" w:fill="auto"/>
            <w:noWrap/>
            <w:vAlign w:val="bottom"/>
            <w:hideMark/>
          </w:tcPr>
          <w:p w14:paraId="7F541EEA" w14:textId="1C05FA7F" w:rsidR="003D725F" w:rsidRPr="0053555E" w:rsidRDefault="003D725F" w:rsidP="003D725F">
            <w:pPr>
              <w:jc w:val="center"/>
              <w:rPr>
                <w:rFonts w:asciiTheme="majorHAnsi" w:hAnsiTheme="majorHAnsi" w:cstheme="majorHAnsi"/>
                <w:sz w:val="22"/>
                <w:szCs w:val="22"/>
              </w:rPr>
            </w:pPr>
            <w:r w:rsidRPr="0053555E">
              <w:rPr>
                <w:rFonts w:cs="Calibri"/>
                <w:sz w:val="22"/>
                <w:szCs w:val="20"/>
              </w:rPr>
              <w:t>720</w:t>
            </w:r>
          </w:p>
        </w:tc>
        <w:tc>
          <w:tcPr>
            <w:tcW w:w="1006" w:type="dxa"/>
            <w:tcBorders>
              <w:top w:val="nil"/>
              <w:left w:val="nil"/>
              <w:bottom w:val="single" w:sz="4" w:space="0" w:color="auto"/>
              <w:right w:val="single" w:sz="4" w:space="0" w:color="auto"/>
            </w:tcBorders>
            <w:shd w:val="clear" w:color="auto" w:fill="auto"/>
            <w:noWrap/>
            <w:vAlign w:val="bottom"/>
            <w:hideMark/>
          </w:tcPr>
          <w:p w14:paraId="5932E168" w14:textId="1D9C1B98" w:rsidR="003D725F" w:rsidRPr="0053555E" w:rsidRDefault="003D725F" w:rsidP="003D725F">
            <w:pPr>
              <w:jc w:val="center"/>
              <w:rPr>
                <w:rFonts w:asciiTheme="majorHAnsi" w:hAnsiTheme="majorHAnsi" w:cstheme="majorHAnsi"/>
                <w:sz w:val="22"/>
                <w:szCs w:val="22"/>
              </w:rPr>
            </w:pPr>
            <w:r w:rsidRPr="0053555E">
              <w:rPr>
                <w:rFonts w:cs="Calibri"/>
                <w:sz w:val="22"/>
                <w:szCs w:val="20"/>
              </w:rPr>
              <w:t>978</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0FFE29ED" w14:textId="63363A56" w:rsidR="003D725F" w:rsidRPr="0053555E" w:rsidRDefault="003D725F" w:rsidP="003D725F">
            <w:pPr>
              <w:jc w:val="center"/>
              <w:rPr>
                <w:rFonts w:asciiTheme="majorHAnsi" w:hAnsiTheme="majorHAnsi" w:cstheme="majorHAnsi"/>
                <w:sz w:val="22"/>
                <w:szCs w:val="22"/>
              </w:rPr>
            </w:pPr>
            <w:r w:rsidRPr="0053555E">
              <w:rPr>
                <w:rFonts w:cs="Calibri"/>
                <w:sz w:val="22"/>
                <w:szCs w:val="20"/>
              </w:rPr>
              <w:t>1,36</w:t>
            </w:r>
          </w:p>
        </w:tc>
        <w:tc>
          <w:tcPr>
            <w:tcW w:w="1014" w:type="dxa"/>
            <w:tcBorders>
              <w:top w:val="nil"/>
              <w:left w:val="nil"/>
              <w:bottom w:val="single" w:sz="4" w:space="0" w:color="auto"/>
              <w:right w:val="single" w:sz="4" w:space="0" w:color="auto"/>
            </w:tcBorders>
            <w:shd w:val="clear" w:color="auto" w:fill="auto"/>
            <w:noWrap/>
            <w:vAlign w:val="bottom"/>
            <w:hideMark/>
          </w:tcPr>
          <w:p w14:paraId="249B2617" w14:textId="7F3E0C5A" w:rsidR="003D725F" w:rsidRPr="0053555E" w:rsidRDefault="003D725F" w:rsidP="003D725F">
            <w:pPr>
              <w:jc w:val="center"/>
              <w:rPr>
                <w:rFonts w:asciiTheme="majorHAnsi" w:hAnsiTheme="majorHAnsi" w:cstheme="majorHAnsi"/>
                <w:sz w:val="22"/>
                <w:szCs w:val="22"/>
              </w:rPr>
            </w:pPr>
            <w:r w:rsidRPr="0053555E">
              <w:rPr>
                <w:rFonts w:cs="Calibri"/>
                <w:sz w:val="22"/>
                <w:szCs w:val="20"/>
              </w:rPr>
              <w:t>975</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6F1114A6" w14:textId="0A1AC024" w:rsidR="003D725F" w:rsidRPr="0053555E" w:rsidRDefault="003D725F" w:rsidP="003D725F">
            <w:pPr>
              <w:jc w:val="center"/>
              <w:rPr>
                <w:rFonts w:asciiTheme="majorHAnsi" w:hAnsiTheme="majorHAnsi" w:cstheme="majorHAnsi"/>
                <w:sz w:val="22"/>
                <w:szCs w:val="22"/>
              </w:rPr>
            </w:pPr>
            <w:r w:rsidRPr="0053555E">
              <w:rPr>
                <w:rFonts w:cs="Calibri"/>
                <w:sz w:val="22"/>
                <w:szCs w:val="20"/>
              </w:rPr>
              <w:t>1,35</w:t>
            </w:r>
          </w:p>
        </w:tc>
        <w:tc>
          <w:tcPr>
            <w:tcW w:w="967" w:type="dxa"/>
            <w:tcBorders>
              <w:top w:val="nil"/>
              <w:left w:val="nil"/>
              <w:bottom w:val="single" w:sz="4" w:space="0" w:color="auto"/>
              <w:right w:val="single" w:sz="4" w:space="0" w:color="auto"/>
            </w:tcBorders>
            <w:shd w:val="clear" w:color="auto" w:fill="auto"/>
            <w:noWrap/>
            <w:vAlign w:val="bottom"/>
            <w:hideMark/>
          </w:tcPr>
          <w:p w14:paraId="7D520B67" w14:textId="0D1447A2" w:rsidR="003D725F" w:rsidRPr="0053555E" w:rsidRDefault="003D725F" w:rsidP="003D725F">
            <w:pPr>
              <w:jc w:val="center"/>
              <w:rPr>
                <w:rFonts w:asciiTheme="majorHAnsi" w:hAnsiTheme="majorHAnsi" w:cstheme="majorHAnsi"/>
                <w:sz w:val="22"/>
                <w:szCs w:val="22"/>
              </w:rPr>
            </w:pPr>
            <w:r w:rsidRPr="0053555E">
              <w:rPr>
                <w:rFonts w:cs="Calibri"/>
                <w:sz w:val="22"/>
                <w:szCs w:val="20"/>
              </w:rPr>
              <w:t>426</w:t>
            </w:r>
          </w:p>
        </w:tc>
        <w:tc>
          <w:tcPr>
            <w:tcW w:w="967" w:type="dxa"/>
            <w:tcBorders>
              <w:top w:val="nil"/>
              <w:left w:val="nil"/>
              <w:bottom w:val="single" w:sz="4" w:space="0" w:color="auto"/>
              <w:right w:val="single" w:sz="4" w:space="0" w:color="auto"/>
            </w:tcBorders>
            <w:shd w:val="clear" w:color="auto" w:fill="auto"/>
            <w:noWrap/>
            <w:vAlign w:val="bottom"/>
            <w:hideMark/>
          </w:tcPr>
          <w:p w14:paraId="4F8C6C39" w14:textId="2E45334C" w:rsidR="003D725F" w:rsidRPr="0053555E" w:rsidRDefault="003D725F" w:rsidP="003D725F">
            <w:pPr>
              <w:jc w:val="center"/>
              <w:rPr>
                <w:rFonts w:asciiTheme="majorHAnsi" w:hAnsiTheme="majorHAnsi" w:cstheme="majorHAnsi"/>
                <w:sz w:val="22"/>
                <w:szCs w:val="22"/>
              </w:rPr>
            </w:pPr>
            <w:r w:rsidRPr="0053555E">
              <w:rPr>
                <w:rFonts w:cs="Calibri"/>
                <w:sz w:val="22"/>
                <w:szCs w:val="20"/>
              </w:rPr>
              <w:t>191</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14:paraId="59209FA5" w14:textId="012A81A8" w:rsidR="003D725F" w:rsidRPr="0053555E" w:rsidRDefault="003D725F" w:rsidP="003D725F">
            <w:pPr>
              <w:jc w:val="center"/>
              <w:rPr>
                <w:rFonts w:asciiTheme="majorHAnsi" w:hAnsiTheme="majorHAnsi" w:cstheme="majorHAnsi"/>
                <w:sz w:val="22"/>
                <w:szCs w:val="22"/>
              </w:rPr>
            </w:pPr>
            <w:r w:rsidRPr="0053555E">
              <w:rPr>
                <w:rFonts w:cs="Calibri"/>
                <w:sz w:val="22"/>
                <w:szCs w:val="20"/>
              </w:rPr>
              <w:t>0,44</w:t>
            </w:r>
          </w:p>
        </w:tc>
        <w:tc>
          <w:tcPr>
            <w:tcW w:w="993" w:type="dxa"/>
            <w:tcBorders>
              <w:top w:val="nil"/>
              <w:left w:val="nil"/>
              <w:bottom w:val="single" w:sz="4" w:space="0" w:color="auto"/>
              <w:right w:val="single" w:sz="4" w:space="0" w:color="auto"/>
            </w:tcBorders>
            <w:shd w:val="clear" w:color="auto" w:fill="auto"/>
            <w:noWrap/>
            <w:vAlign w:val="bottom"/>
            <w:hideMark/>
          </w:tcPr>
          <w:p w14:paraId="53996E15" w14:textId="203AE75C" w:rsidR="003D725F" w:rsidRPr="0053555E" w:rsidRDefault="003D725F" w:rsidP="003D725F">
            <w:pPr>
              <w:jc w:val="center"/>
              <w:rPr>
                <w:rFonts w:asciiTheme="majorHAnsi" w:hAnsiTheme="majorHAnsi" w:cstheme="majorHAnsi"/>
                <w:sz w:val="22"/>
                <w:szCs w:val="22"/>
              </w:rPr>
            </w:pPr>
            <w:r w:rsidRPr="0053555E">
              <w:rPr>
                <w:rFonts w:cs="Calibri"/>
                <w:sz w:val="22"/>
                <w:szCs w:val="20"/>
              </w:rPr>
              <w:t>0,59</w:t>
            </w:r>
          </w:p>
        </w:tc>
      </w:tr>
      <w:tr w:rsidR="003D725F" w:rsidRPr="0053555E" w14:paraId="277550C0" w14:textId="77777777" w:rsidTr="00AD3EC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0DFBE7" w14:textId="77777777" w:rsidR="003D725F" w:rsidRPr="0053555E" w:rsidRDefault="003D725F" w:rsidP="003D725F">
            <w:pPr>
              <w:tabs>
                <w:tab w:val="left" w:pos="9356"/>
              </w:tabs>
              <w:jc w:val="both"/>
              <w:rPr>
                <w:rFonts w:asciiTheme="majorHAnsi" w:eastAsia="Times New Roman" w:hAnsiTheme="majorHAnsi" w:cstheme="majorHAnsi"/>
                <w:b/>
                <w:bCs/>
                <w:sz w:val="22"/>
                <w:szCs w:val="20"/>
                <w:lang w:eastAsia="sk-SK"/>
              </w:rPr>
            </w:pPr>
            <w:r w:rsidRPr="0053555E">
              <w:rPr>
                <w:rFonts w:asciiTheme="majorHAnsi" w:eastAsia="Times New Roman" w:hAnsiTheme="majorHAnsi" w:cstheme="majorHAnsi"/>
                <w:b/>
                <w:bCs/>
                <w:sz w:val="22"/>
                <w:szCs w:val="20"/>
                <w:lang w:eastAsia="sk-SK"/>
              </w:rPr>
              <w:t>FAD</w:t>
            </w:r>
          </w:p>
        </w:tc>
        <w:tc>
          <w:tcPr>
            <w:tcW w:w="1006" w:type="dxa"/>
            <w:tcBorders>
              <w:top w:val="nil"/>
              <w:left w:val="nil"/>
              <w:bottom w:val="single" w:sz="4" w:space="0" w:color="auto"/>
              <w:right w:val="single" w:sz="4" w:space="0" w:color="auto"/>
            </w:tcBorders>
            <w:shd w:val="clear" w:color="auto" w:fill="auto"/>
            <w:noWrap/>
            <w:vAlign w:val="bottom"/>
            <w:hideMark/>
          </w:tcPr>
          <w:p w14:paraId="2C859C91" w14:textId="0A89FFFC" w:rsidR="003D725F" w:rsidRPr="0053555E" w:rsidRDefault="003D725F" w:rsidP="003D725F">
            <w:pPr>
              <w:jc w:val="center"/>
              <w:rPr>
                <w:rFonts w:asciiTheme="majorHAnsi" w:hAnsiTheme="majorHAnsi" w:cstheme="majorHAnsi"/>
                <w:sz w:val="22"/>
                <w:szCs w:val="22"/>
              </w:rPr>
            </w:pPr>
            <w:r w:rsidRPr="0053555E">
              <w:rPr>
                <w:rFonts w:cs="Calibri"/>
                <w:sz w:val="22"/>
                <w:szCs w:val="20"/>
              </w:rPr>
              <w:t>260</w:t>
            </w:r>
          </w:p>
        </w:tc>
        <w:tc>
          <w:tcPr>
            <w:tcW w:w="1006" w:type="dxa"/>
            <w:tcBorders>
              <w:top w:val="nil"/>
              <w:left w:val="nil"/>
              <w:bottom w:val="single" w:sz="4" w:space="0" w:color="auto"/>
              <w:right w:val="single" w:sz="4" w:space="0" w:color="auto"/>
            </w:tcBorders>
            <w:shd w:val="clear" w:color="auto" w:fill="auto"/>
            <w:noWrap/>
            <w:vAlign w:val="bottom"/>
            <w:hideMark/>
          </w:tcPr>
          <w:p w14:paraId="1CD443BD" w14:textId="604D8502" w:rsidR="003D725F" w:rsidRPr="0053555E" w:rsidRDefault="003D725F" w:rsidP="003D725F">
            <w:pPr>
              <w:jc w:val="center"/>
              <w:rPr>
                <w:rFonts w:asciiTheme="majorHAnsi" w:hAnsiTheme="majorHAnsi" w:cstheme="majorHAnsi"/>
                <w:sz w:val="22"/>
                <w:szCs w:val="22"/>
              </w:rPr>
            </w:pPr>
            <w:r w:rsidRPr="0053555E">
              <w:rPr>
                <w:rFonts w:cs="Calibri"/>
                <w:sz w:val="22"/>
                <w:szCs w:val="20"/>
              </w:rPr>
              <w:t>622</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16377411" w14:textId="78C0A322" w:rsidR="003D725F" w:rsidRPr="0053555E" w:rsidRDefault="003D725F" w:rsidP="003D725F">
            <w:pPr>
              <w:jc w:val="center"/>
              <w:rPr>
                <w:rFonts w:asciiTheme="majorHAnsi" w:hAnsiTheme="majorHAnsi" w:cstheme="majorHAnsi"/>
                <w:sz w:val="22"/>
                <w:szCs w:val="22"/>
              </w:rPr>
            </w:pPr>
            <w:r w:rsidRPr="0053555E">
              <w:rPr>
                <w:rFonts w:cs="Calibri"/>
                <w:sz w:val="22"/>
                <w:szCs w:val="20"/>
              </w:rPr>
              <w:t>2,39</w:t>
            </w:r>
          </w:p>
        </w:tc>
        <w:tc>
          <w:tcPr>
            <w:tcW w:w="1014" w:type="dxa"/>
            <w:tcBorders>
              <w:top w:val="nil"/>
              <w:left w:val="nil"/>
              <w:bottom w:val="single" w:sz="4" w:space="0" w:color="auto"/>
              <w:right w:val="single" w:sz="4" w:space="0" w:color="auto"/>
            </w:tcBorders>
            <w:shd w:val="clear" w:color="auto" w:fill="auto"/>
            <w:noWrap/>
            <w:vAlign w:val="bottom"/>
            <w:hideMark/>
          </w:tcPr>
          <w:p w14:paraId="686C71D0" w14:textId="44579248" w:rsidR="003D725F" w:rsidRPr="0053555E" w:rsidRDefault="003D725F" w:rsidP="003D725F">
            <w:pPr>
              <w:jc w:val="center"/>
              <w:rPr>
                <w:rFonts w:asciiTheme="majorHAnsi" w:hAnsiTheme="majorHAnsi" w:cstheme="majorHAnsi"/>
                <w:sz w:val="22"/>
                <w:szCs w:val="22"/>
              </w:rPr>
            </w:pPr>
            <w:r w:rsidRPr="0053555E">
              <w:rPr>
                <w:rFonts w:cs="Calibri"/>
                <w:sz w:val="22"/>
                <w:szCs w:val="20"/>
              </w:rPr>
              <w:t>237</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235716E6" w14:textId="332AB9F0" w:rsidR="003D725F" w:rsidRPr="0053555E" w:rsidRDefault="003D725F" w:rsidP="003D725F">
            <w:pPr>
              <w:jc w:val="center"/>
              <w:rPr>
                <w:rFonts w:asciiTheme="majorHAnsi" w:hAnsiTheme="majorHAnsi" w:cstheme="majorHAnsi"/>
                <w:sz w:val="22"/>
                <w:szCs w:val="22"/>
              </w:rPr>
            </w:pPr>
            <w:r w:rsidRPr="0053555E">
              <w:rPr>
                <w:rFonts w:cs="Calibri"/>
                <w:sz w:val="22"/>
                <w:szCs w:val="20"/>
              </w:rPr>
              <w:t>0,91</w:t>
            </w:r>
          </w:p>
        </w:tc>
        <w:tc>
          <w:tcPr>
            <w:tcW w:w="967" w:type="dxa"/>
            <w:tcBorders>
              <w:top w:val="nil"/>
              <w:left w:val="nil"/>
              <w:bottom w:val="single" w:sz="4" w:space="0" w:color="auto"/>
              <w:right w:val="single" w:sz="4" w:space="0" w:color="auto"/>
            </w:tcBorders>
            <w:shd w:val="clear" w:color="auto" w:fill="auto"/>
            <w:noWrap/>
            <w:vAlign w:val="bottom"/>
            <w:hideMark/>
          </w:tcPr>
          <w:p w14:paraId="5F164354" w14:textId="782C9502" w:rsidR="003D725F" w:rsidRPr="0053555E" w:rsidRDefault="003D725F" w:rsidP="003D725F">
            <w:pPr>
              <w:jc w:val="center"/>
              <w:rPr>
                <w:rFonts w:asciiTheme="majorHAnsi" w:hAnsiTheme="majorHAnsi" w:cstheme="majorHAnsi"/>
                <w:sz w:val="22"/>
                <w:szCs w:val="22"/>
              </w:rPr>
            </w:pPr>
            <w:r w:rsidRPr="0053555E">
              <w:rPr>
                <w:rFonts w:cs="Calibri"/>
                <w:sz w:val="22"/>
                <w:szCs w:val="20"/>
              </w:rPr>
              <w:t>160</w:t>
            </w:r>
          </w:p>
        </w:tc>
        <w:tc>
          <w:tcPr>
            <w:tcW w:w="967" w:type="dxa"/>
            <w:tcBorders>
              <w:top w:val="nil"/>
              <w:left w:val="nil"/>
              <w:bottom w:val="single" w:sz="4" w:space="0" w:color="auto"/>
              <w:right w:val="single" w:sz="4" w:space="0" w:color="auto"/>
            </w:tcBorders>
            <w:shd w:val="clear" w:color="auto" w:fill="auto"/>
            <w:noWrap/>
            <w:vAlign w:val="bottom"/>
            <w:hideMark/>
          </w:tcPr>
          <w:p w14:paraId="7421DC2F" w14:textId="543E8406" w:rsidR="003D725F" w:rsidRPr="0053555E" w:rsidRDefault="003D725F" w:rsidP="003D725F">
            <w:pPr>
              <w:jc w:val="center"/>
              <w:rPr>
                <w:rFonts w:asciiTheme="majorHAnsi" w:hAnsiTheme="majorHAnsi" w:cstheme="majorHAnsi"/>
                <w:sz w:val="22"/>
                <w:szCs w:val="22"/>
              </w:rPr>
            </w:pPr>
            <w:r w:rsidRPr="0053555E">
              <w:rPr>
                <w:rFonts w:cs="Calibri"/>
                <w:sz w:val="22"/>
                <w:szCs w:val="20"/>
              </w:rPr>
              <w:t>33</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14:paraId="5208DBC7" w14:textId="426951BD" w:rsidR="003D725F" w:rsidRPr="0053555E" w:rsidRDefault="003D725F" w:rsidP="003D725F">
            <w:pPr>
              <w:jc w:val="center"/>
              <w:rPr>
                <w:rFonts w:asciiTheme="majorHAnsi" w:hAnsiTheme="majorHAnsi" w:cstheme="majorHAnsi"/>
                <w:sz w:val="22"/>
                <w:szCs w:val="22"/>
              </w:rPr>
            </w:pPr>
            <w:r w:rsidRPr="0053555E">
              <w:rPr>
                <w:rFonts w:cs="Calibri"/>
                <w:sz w:val="22"/>
                <w:szCs w:val="20"/>
              </w:rPr>
              <w:t>0,68</w:t>
            </w:r>
          </w:p>
        </w:tc>
        <w:tc>
          <w:tcPr>
            <w:tcW w:w="993" w:type="dxa"/>
            <w:tcBorders>
              <w:top w:val="nil"/>
              <w:left w:val="nil"/>
              <w:bottom w:val="single" w:sz="4" w:space="0" w:color="auto"/>
              <w:right w:val="single" w:sz="4" w:space="0" w:color="auto"/>
            </w:tcBorders>
            <w:shd w:val="clear" w:color="auto" w:fill="auto"/>
            <w:noWrap/>
            <w:vAlign w:val="bottom"/>
            <w:hideMark/>
          </w:tcPr>
          <w:p w14:paraId="38E43FEE" w14:textId="69629D72" w:rsidR="003D725F" w:rsidRPr="0053555E" w:rsidRDefault="003D725F" w:rsidP="003D725F">
            <w:pPr>
              <w:jc w:val="center"/>
              <w:rPr>
                <w:rFonts w:asciiTheme="majorHAnsi" w:hAnsiTheme="majorHAnsi" w:cstheme="majorHAnsi"/>
                <w:sz w:val="22"/>
                <w:szCs w:val="22"/>
              </w:rPr>
            </w:pPr>
            <w:r w:rsidRPr="0053555E">
              <w:rPr>
                <w:rFonts w:cs="Calibri"/>
                <w:sz w:val="22"/>
                <w:szCs w:val="20"/>
              </w:rPr>
              <w:t>0,62</w:t>
            </w:r>
          </w:p>
        </w:tc>
      </w:tr>
      <w:tr w:rsidR="003D725F" w:rsidRPr="0053555E" w14:paraId="64AECBFB" w14:textId="77777777" w:rsidTr="00AD3EC7">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AA78D92" w14:textId="77777777" w:rsidR="003D725F" w:rsidRPr="0053555E" w:rsidRDefault="003D725F" w:rsidP="003D725F">
            <w:pPr>
              <w:tabs>
                <w:tab w:val="left" w:pos="9356"/>
              </w:tabs>
              <w:jc w:val="both"/>
              <w:rPr>
                <w:rFonts w:asciiTheme="majorHAnsi" w:eastAsia="Times New Roman" w:hAnsiTheme="majorHAnsi" w:cstheme="majorHAnsi"/>
                <w:b/>
                <w:bCs/>
                <w:sz w:val="22"/>
                <w:szCs w:val="20"/>
                <w:lang w:eastAsia="sk-SK"/>
              </w:rPr>
            </w:pPr>
            <w:r w:rsidRPr="0053555E">
              <w:rPr>
                <w:rFonts w:asciiTheme="majorHAnsi" w:eastAsia="Times New Roman" w:hAnsiTheme="majorHAnsi" w:cstheme="majorHAnsi"/>
                <w:b/>
                <w:bCs/>
                <w:sz w:val="22"/>
                <w:szCs w:val="20"/>
                <w:lang w:eastAsia="sk-SK"/>
              </w:rPr>
              <w:t>MTF</w:t>
            </w:r>
          </w:p>
        </w:tc>
        <w:tc>
          <w:tcPr>
            <w:tcW w:w="1006" w:type="dxa"/>
            <w:tcBorders>
              <w:top w:val="nil"/>
              <w:left w:val="nil"/>
              <w:bottom w:val="single" w:sz="4" w:space="0" w:color="auto"/>
              <w:right w:val="single" w:sz="4" w:space="0" w:color="auto"/>
            </w:tcBorders>
            <w:shd w:val="clear" w:color="000000" w:fill="FFFFFF"/>
            <w:noWrap/>
            <w:vAlign w:val="bottom"/>
            <w:hideMark/>
          </w:tcPr>
          <w:p w14:paraId="68EF003D" w14:textId="1ABD2E20" w:rsidR="003D725F" w:rsidRPr="0053555E" w:rsidRDefault="003D725F" w:rsidP="003D725F">
            <w:pPr>
              <w:jc w:val="center"/>
              <w:rPr>
                <w:rFonts w:asciiTheme="majorHAnsi" w:hAnsiTheme="majorHAnsi" w:cstheme="majorHAnsi"/>
                <w:sz w:val="22"/>
                <w:szCs w:val="22"/>
              </w:rPr>
            </w:pPr>
            <w:r w:rsidRPr="0053555E">
              <w:rPr>
                <w:rFonts w:cs="Calibri"/>
                <w:sz w:val="22"/>
                <w:szCs w:val="20"/>
              </w:rPr>
              <w:t>770</w:t>
            </w:r>
          </w:p>
        </w:tc>
        <w:tc>
          <w:tcPr>
            <w:tcW w:w="1006" w:type="dxa"/>
            <w:tcBorders>
              <w:top w:val="nil"/>
              <w:left w:val="nil"/>
              <w:bottom w:val="single" w:sz="4" w:space="0" w:color="auto"/>
              <w:right w:val="single" w:sz="4" w:space="0" w:color="auto"/>
            </w:tcBorders>
            <w:shd w:val="clear" w:color="auto" w:fill="auto"/>
            <w:noWrap/>
            <w:vAlign w:val="bottom"/>
            <w:hideMark/>
          </w:tcPr>
          <w:p w14:paraId="33E91B13" w14:textId="07B0567F" w:rsidR="003D725F" w:rsidRPr="0053555E" w:rsidRDefault="003D725F" w:rsidP="003D725F">
            <w:pPr>
              <w:jc w:val="center"/>
              <w:rPr>
                <w:rFonts w:asciiTheme="majorHAnsi" w:hAnsiTheme="majorHAnsi" w:cstheme="majorHAnsi"/>
                <w:sz w:val="22"/>
                <w:szCs w:val="22"/>
              </w:rPr>
            </w:pPr>
            <w:r w:rsidRPr="0053555E">
              <w:rPr>
                <w:rFonts w:cs="Calibri"/>
                <w:sz w:val="22"/>
                <w:szCs w:val="20"/>
              </w:rPr>
              <w:t>806</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10C0657F" w14:textId="0EB509D5" w:rsidR="003D725F" w:rsidRPr="0053555E" w:rsidRDefault="003D725F" w:rsidP="003D725F">
            <w:pPr>
              <w:jc w:val="center"/>
              <w:rPr>
                <w:rFonts w:asciiTheme="majorHAnsi" w:hAnsiTheme="majorHAnsi" w:cstheme="majorHAnsi"/>
                <w:sz w:val="22"/>
                <w:szCs w:val="22"/>
              </w:rPr>
            </w:pPr>
            <w:r w:rsidRPr="0053555E">
              <w:rPr>
                <w:rFonts w:cs="Calibri"/>
                <w:sz w:val="22"/>
                <w:szCs w:val="20"/>
              </w:rPr>
              <w:t>1,05</w:t>
            </w:r>
          </w:p>
        </w:tc>
        <w:tc>
          <w:tcPr>
            <w:tcW w:w="1014" w:type="dxa"/>
            <w:tcBorders>
              <w:top w:val="nil"/>
              <w:left w:val="nil"/>
              <w:bottom w:val="single" w:sz="4" w:space="0" w:color="auto"/>
              <w:right w:val="single" w:sz="4" w:space="0" w:color="auto"/>
            </w:tcBorders>
            <w:shd w:val="clear" w:color="auto" w:fill="auto"/>
            <w:noWrap/>
            <w:vAlign w:val="bottom"/>
            <w:hideMark/>
          </w:tcPr>
          <w:p w14:paraId="40027874" w14:textId="034729C1" w:rsidR="003D725F" w:rsidRPr="0053555E" w:rsidRDefault="003D725F" w:rsidP="003D725F">
            <w:pPr>
              <w:jc w:val="center"/>
              <w:rPr>
                <w:rFonts w:asciiTheme="majorHAnsi" w:hAnsiTheme="majorHAnsi" w:cstheme="majorHAnsi"/>
                <w:sz w:val="22"/>
                <w:szCs w:val="22"/>
              </w:rPr>
            </w:pPr>
            <w:r w:rsidRPr="0053555E">
              <w:rPr>
                <w:rFonts w:cs="Calibri"/>
                <w:sz w:val="22"/>
                <w:szCs w:val="20"/>
              </w:rPr>
              <w:t>567</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39D3C046" w14:textId="594E2E8C" w:rsidR="003D725F" w:rsidRPr="0053555E" w:rsidRDefault="003D725F" w:rsidP="003D725F">
            <w:pPr>
              <w:jc w:val="center"/>
              <w:rPr>
                <w:rFonts w:asciiTheme="majorHAnsi" w:hAnsiTheme="majorHAnsi" w:cstheme="majorHAnsi"/>
                <w:sz w:val="22"/>
                <w:szCs w:val="22"/>
              </w:rPr>
            </w:pPr>
            <w:r w:rsidRPr="0053555E">
              <w:rPr>
                <w:rFonts w:cs="Calibri"/>
                <w:sz w:val="22"/>
                <w:szCs w:val="20"/>
              </w:rPr>
              <w:t>0,74</w:t>
            </w:r>
          </w:p>
        </w:tc>
        <w:tc>
          <w:tcPr>
            <w:tcW w:w="967" w:type="dxa"/>
            <w:tcBorders>
              <w:top w:val="nil"/>
              <w:left w:val="nil"/>
              <w:bottom w:val="single" w:sz="4" w:space="0" w:color="auto"/>
              <w:right w:val="single" w:sz="4" w:space="0" w:color="auto"/>
            </w:tcBorders>
            <w:shd w:val="clear" w:color="auto" w:fill="auto"/>
            <w:noWrap/>
            <w:vAlign w:val="bottom"/>
            <w:hideMark/>
          </w:tcPr>
          <w:p w14:paraId="0B8417DF" w14:textId="25AED647" w:rsidR="003D725F" w:rsidRPr="0053555E" w:rsidRDefault="003D725F" w:rsidP="003D725F">
            <w:pPr>
              <w:jc w:val="center"/>
              <w:rPr>
                <w:rFonts w:asciiTheme="majorHAnsi" w:hAnsiTheme="majorHAnsi" w:cstheme="majorHAnsi"/>
                <w:sz w:val="22"/>
                <w:szCs w:val="22"/>
              </w:rPr>
            </w:pPr>
            <w:r w:rsidRPr="0053555E">
              <w:rPr>
                <w:rFonts w:cs="Calibri"/>
                <w:sz w:val="22"/>
                <w:szCs w:val="20"/>
              </w:rPr>
              <w:t>432</w:t>
            </w:r>
          </w:p>
        </w:tc>
        <w:tc>
          <w:tcPr>
            <w:tcW w:w="967" w:type="dxa"/>
            <w:tcBorders>
              <w:top w:val="nil"/>
              <w:left w:val="nil"/>
              <w:bottom w:val="single" w:sz="4" w:space="0" w:color="auto"/>
              <w:right w:val="single" w:sz="4" w:space="0" w:color="auto"/>
            </w:tcBorders>
            <w:shd w:val="clear" w:color="auto" w:fill="auto"/>
            <w:noWrap/>
            <w:vAlign w:val="bottom"/>
            <w:hideMark/>
          </w:tcPr>
          <w:p w14:paraId="659482B4" w14:textId="3FBC92D9" w:rsidR="003D725F" w:rsidRPr="0053555E" w:rsidRDefault="003D725F" w:rsidP="003D725F">
            <w:pPr>
              <w:jc w:val="center"/>
              <w:rPr>
                <w:rFonts w:asciiTheme="majorHAnsi" w:hAnsiTheme="majorHAnsi" w:cstheme="majorHAnsi"/>
                <w:sz w:val="22"/>
                <w:szCs w:val="22"/>
              </w:rPr>
            </w:pPr>
            <w:r w:rsidRPr="0053555E">
              <w:rPr>
                <w:rFonts w:cs="Calibri"/>
                <w:sz w:val="22"/>
                <w:szCs w:val="20"/>
              </w:rPr>
              <w:t>90</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14:paraId="0D67122E" w14:textId="674901D6" w:rsidR="003D725F" w:rsidRPr="0053555E" w:rsidRDefault="003D725F" w:rsidP="003D725F">
            <w:pPr>
              <w:jc w:val="center"/>
              <w:rPr>
                <w:rFonts w:asciiTheme="majorHAnsi" w:hAnsiTheme="majorHAnsi" w:cstheme="majorHAnsi"/>
                <w:sz w:val="22"/>
                <w:szCs w:val="22"/>
              </w:rPr>
            </w:pPr>
            <w:r w:rsidRPr="0053555E">
              <w:rPr>
                <w:rFonts w:cs="Calibri"/>
                <w:sz w:val="22"/>
                <w:szCs w:val="20"/>
              </w:rPr>
              <w:t>0,76</w:t>
            </w:r>
          </w:p>
        </w:tc>
        <w:tc>
          <w:tcPr>
            <w:tcW w:w="993" w:type="dxa"/>
            <w:tcBorders>
              <w:top w:val="nil"/>
              <w:left w:val="nil"/>
              <w:bottom w:val="single" w:sz="4" w:space="0" w:color="auto"/>
              <w:right w:val="single" w:sz="4" w:space="0" w:color="auto"/>
            </w:tcBorders>
            <w:shd w:val="clear" w:color="auto" w:fill="auto"/>
            <w:noWrap/>
            <w:vAlign w:val="bottom"/>
            <w:hideMark/>
          </w:tcPr>
          <w:p w14:paraId="46311992" w14:textId="649B9452" w:rsidR="003D725F" w:rsidRPr="0053555E" w:rsidRDefault="003D725F" w:rsidP="003D725F">
            <w:pPr>
              <w:jc w:val="center"/>
              <w:rPr>
                <w:rFonts w:asciiTheme="majorHAnsi" w:hAnsiTheme="majorHAnsi" w:cstheme="majorHAnsi"/>
                <w:sz w:val="22"/>
                <w:szCs w:val="22"/>
              </w:rPr>
            </w:pPr>
            <w:r w:rsidRPr="0053555E">
              <w:rPr>
                <w:rFonts w:cs="Calibri"/>
                <w:sz w:val="22"/>
                <w:szCs w:val="20"/>
              </w:rPr>
              <w:t>0,56</w:t>
            </w:r>
          </w:p>
        </w:tc>
      </w:tr>
      <w:tr w:rsidR="003D725F" w:rsidRPr="0053555E" w14:paraId="6C9EFD5F" w14:textId="77777777" w:rsidTr="00AD3EC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D44323" w14:textId="77777777" w:rsidR="003D725F" w:rsidRPr="0053555E" w:rsidRDefault="003D725F" w:rsidP="003D725F">
            <w:pPr>
              <w:tabs>
                <w:tab w:val="left" w:pos="9356"/>
              </w:tabs>
              <w:jc w:val="both"/>
              <w:rPr>
                <w:rFonts w:asciiTheme="majorHAnsi" w:eastAsia="Times New Roman" w:hAnsiTheme="majorHAnsi" w:cstheme="majorHAnsi"/>
                <w:b/>
                <w:bCs/>
                <w:sz w:val="22"/>
                <w:szCs w:val="20"/>
                <w:lang w:eastAsia="sk-SK"/>
              </w:rPr>
            </w:pPr>
            <w:r w:rsidRPr="0053555E">
              <w:rPr>
                <w:rFonts w:asciiTheme="majorHAnsi" w:eastAsia="Times New Roman" w:hAnsiTheme="majorHAnsi" w:cstheme="majorHAnsi"/>
                <w:b/>
                <w:bCs/>
                <w:sz w:val="22"/>
                <w:szCs w:val="20"/>
                <w:lang w:eastAsia="sk-SK"/>
              </w:rPr>
              <w:t>FIIT</w:t>
            </w:r>
          </w:p>
        </w:tc>
        <w:tc>
          <w:tcPr>
            <w:tcW w:w="1006" w:type="dxa"/>
            <w:tcBorders>
              <w:top w:val="nil"/>
              <w:left w:val="nil"/>
              <w:bottom w:val="single" w:sz="4" w:space="0" w:color="auto"/>
              <w:right w:val="single" w:sz="4" w:space="0" w:color="auto"/>
            </w:tcBorders>
            <w:shd w:val="clear" w:color="auto" w:fill="auto"/>
            <w:noWrap/>
            <w:vAlign w:val="bottom"/>
            <w:hideMark/>
          </w:tcPr>
          <w:p w14:paraId="0A205F39" w14:textId="79A6A653" w:rsidR="003D725F" w:rsidRPr="0053555E" w:rsidRDefault="003D725F" w:rsidP="003D725F">
            <w:pPr>
              <w:jc w:val="center"/>
              <w:rPr>
                <w:rFonts w:asciiTheme="majorHAnsi" w:hAnsiTheme="majorHAnsi" w:cstheme="majorHAnsi"/>
                <w:sz w:val="22"/>
                <w:szCs w:val="22"/>
              </w:rPr>
            </w:pPr>
            <w:r w:rsidRPr="0053555E">
              <w:rPr>
                <w:rFonts w:cs="Calibri"/>
                <w:sz w:val="22"/>
                <w:szCs w:val="20"/>
              </w:rPr>
              <w:t>475</w:t>
            </w:r>
          </w:p>
        </w:tc>
        <w:tc>
          <w:tcPr>
            <w:tcW w:w="1006" w:type="dxa"/>
            <w:tcBorders>
              <w:top w:val="nil"/>
              <w:left w:val="nil"/>
              <w:bottom w:val="single" w:sz="4" w:space="0" w:color="auto"/>
              <w:right w:val="single" w:sz="4" w:space="0" w:color="auto"/>
            </w:tcBorders>
            <w:shd w:val="clear" w:color="auto" w:fill="auto"/>
            <w:noWrap/>
            <w:vAlign w:val="bottom"/>
            <w:hideMark/>
          </w:tcPr>
          <w:p w14:paraId="16F1C874" w14:textId="1D285FCC" w:rsidR="003D725F" w:rsidRPr="0053555E" w:rsidRDefault="003D725F" w:rsidP="003D725F">
            <w:pPr>
              <w:jc w:val="center"/>
              <w:rPr>
                <w:rFonts w:asciiTheme="majorHAnsi" w:hAnsiTheme="majorHAnsi" w:cstheme="majorHAnsi"/>
                <w:sz w:val="22"/>
                <w:szCs w:val="22"/>
              </w:rPr>
            </w:pPr>
            <w:r w:rsidRPr="0053555E">
              <w:rPr>
                <w:rFonts w:cs="Calibri"/>
                <w:sz w:val="22"/>
                <w:szCs w:val="20"/>
              </w:rPr>
              <w:t>1 159</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54A3CD33" w14:textId="7950DB46" w:rsidR="003D725F" w:rsidRPr="0053555E" w:rsidRDefault="003D725F" w:rsidP="003D725F">
            <w:pPr>
              <w:jc w:val="center"/>
              <w:rPr>
                <w:rFonts w:asciiTheme="majorHAnsi" w:hAnsiTheme="majorHAnsi" w:cstheme="majorHAnsi"/>
                <w:sz w:val="22"/>
                <w:szCs w:val="22"/>
              </w:rPr>
            </w:pPr>
            <w:r w:rsidRPr="0053555E">
              <w:rPr>
                <w:rFonts w:cs="Calibri"/>
                <w:sz w:val="22"/>
                <w:szCs w:val="20"/>
              </w:rPr>
              <w:t>2,44</w:t>
            </w:r>
          </w:p>
        </w:tc>
        <w:tc>
          <w:tcPr>
            <w:tcW w:w="1014" w:type="dxa"/>
            <w:tcBorders>
              <w:top w:val="nil"/>
              <w:left w:val="nil"/>
              <w:bottom w:val="single" w:sz="4" w:space="0" w:color="auto"/>
              <w:right w:val="single" w:sz="4" w:space="0" w:color="auto"/>
            </w:tcBorders>
            <w:shd w:val="clear" w:color="auto" w:fill="auto"/>
            <w:noWrap/>
            <w:vAlign w:val="bottom"/>
            <w:hideMark/>
          </w:tcPr>
          <w:p w14:paraId="2B040D2C" w14:textId="45CE1B87" w:rsidR="003D725F" w:rsidRPr="0053555E" w:rsidRDefault="003D725F" w:rsidP="003D725F">
            <w:pPr>
              <w:jc w:val="center"/>
              <w:rPr>
                <w:rFonts w:asciiTheme="majorHAnsi" w:hAnsiTheme="majorHAnsi" w:cstheme="majorHAnsi"/>
                <w:sz w:val="22"/>
                <w:szCs w:val="22"/>
              </w:rPr>
            </w:pPr>
            <w:r w:rsidRPr="0053555E">
              <w:rPr>
                <w:rFonts w:cs="Calibri"/>
                <w:sz w:val="22"/>
                <w:szCs w:val="20"/>
              </w:rPr>
              <w:t>469</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557A1D2F" w14:textId="7D2F43CC" w:rsidR="003D725F" w:rsidRPr="0053555E" w:rsidRDefault="003D725F" w:rsidP="003D725F">
            <w:pPr>
              <w:jc w:val="center"/>
              <w:rPr>
                <w:rFonts w:asciiTheme="majorHAnsi" w:hAnsiTheme="majorHAnsi" w:cstheme="majorHAnsi"/>
                <w:sz w:val="22"/>
                <w:szCs w:val="22"/>
              </w:rPr>
            </w:pPr>
            <w:r w:rsidRPr="0053555E">
              <w:rPr>
                <w:rFonts w:cs="Calibri"/>
                <w:sz w:val="22"/>
                <w:szCs w:val="20"/>
              </w:rPr>
              <w:t>0,99</w:t>
            </w:r>
          </w:p>
        </w:tc>
        <w:tc>
          <w:tcPr>
            <w:tcW w:w="967" w:type="dxa"/>
            <w:tcBorders>
              <w:top w:val="nil"/>
              <w:left w:val="nil"/>
              <w:bottom w:val="single" w:sz="4" w:space="0" w:color="auto"/>
              <w:right w:val="single" w:sz="4" w:space="0" w:color="auto"/>
            </w:tcBorders>
            <w:shd w:val="clear" w:color="auto" w:fill="auto"/>
            <w:noWrap/>
            <w:vAlign w:val="bottom"/>
            <w:hideMark/>
          </w:tcPr>
          <w:p w14:paraId="48BE89DC" w14:textId="1A6573AE" w:rsidR="003D725F" w:rsidRPr="0053555E" w:rsidRDefault="003D725F" w:rsidP="003D725F">
            <w:pPr>
              <w:jc w:val="center"/>
              <w:rPr>
                <w:rFonts w:asciiTheme="majorHAnsi" w:hAnsiTheme="majorHAnsi" w:cstheme="majorHAnsi"/>
                <w:sz w:val="22"/>
                <w:szCs w:val="22"/>
              </w:rPr>
            </w:pPr>
            <w:r w:rsidRPr="0053555E">
              <w:rPr>
                <w:rFonts w:cs="Calibri"/>
                <w:sz w:val="22"/>
                <w:szCs w:val="20"/>
              </w:rPr>
              <w:t>380</w:t>
            </w:r>
          </w:p>
        </w:tc>
        <w:tc>
          <w:tcPr>
            <w:tcW w:w="967" w:type="dxa"/>
            <w:tcBorders>
              <w:top w:val="nil"/>
              <w:left w:val="nil"/>
              <w:bottom w:val="single" w:sz="4" w:space="0" w:color="auto"/>
              <w:right w:val="single" w:sz="4" w:space="0" w:color="auto"/>
            </w:tcBorders>
            <w:shd w:val="clear" w:color="auto" w:fill="auto"/>
            <w:noWrap/>
            <w:vAlign w:val="bottom"/>
            <w:hideMark/>
          </w:tcPr>
          <w:p w14:paraId="50BBAB71" w14:textId="292EE815" w:rsidR="003D725F" w:rsidRPr="0053555E" w:rsidRDefault="003D725F" w:rsidP="003D725F">
            <w:pPr>
              <w:jc w:val="center"/>
              <w:rPr>
                <w:rFonts w:asciiTheme="majorHAnsi" w:hAnsiTheme="majorHAnsi" w:cstheme="majorHAnsi"/>
                <w:sz w:val="22"/>
                <w:szCs w:val="22"/>
              </w:rPr>
            </w:pPr>
            <w:r w:rsidRPr="0053555E">
              <w:rPr>
                <w:rFonts w:cs="Calibri"/>
                <w:sz w:val="22"/>
                <w:szCs w:val="20"/>
              </w:rPr>
              <w:t>104</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14:paraId="4AACE4D1" w14:textId="5AE8262D" w:rsidR="003D725F" w:rsidRPr="0053555E" w:rsidRDefault="003D725F" w:rsidP="003D725F">
            <w:pPr>
              <w:jc w:val="center"/>
              <w:rPr>
                <w:rFonts w:asciiTheme="majorHAnsi" w:hAnsiTheme="majorHAnsi" w:cstheme="majorHAnsi"/>
                <w:sz w:val="22"/>
                <w:szCs w:val="22"/>
              </w:rPr>
            </w:pPr>
            <w:r w:rsidRPr="0053555E">
              <w:rPr>
                <w:rFonts w:cs="Calibri"/>
                <w:sz w:val="22"/>
                <w:szCs w:val="20"/>
              </w:rPr>
              <w:t>0,81</w:t>
            </w:r>
          </w:p>
        </w:tc>
        <w:tc>
          <w:tcPr>
            <w:tcW w:w="993" w:type="dxa"/>
            <w:tcBorders>
              <w:top w:val="nil"/>
              <w:left w:val="nil"/>
              <w:bottom w:val="single" w:sz="4" w:space="0" w:color="auto"/>
              <w:right w:val="single" w:sz="4" w:space="0" w:color="auto"/>
            </w:tcBorders>
            <w:shd w:val="clear" w:color="auto" w:fill="auto"/>
            <w:noWrap/>
            <w:vAlign w:val="bottom"/>
            <w:hideMark/>
          </w:tcPr>
          <w:p w14:paraId="65D30CCD" w14:textId="78CB28F5" w:rsidR="003D725F" w:rsidRPr="0053555E" w:rsidRDefault="003D725F" w:rsidP="003D725F">
            <w:pPr>
              <w:jc w:val="center"/>
              <w:rPr>
                <w:rFonts w:asciiTheme="majorHAnsi" w:hAnsiTheme="majorHAnsi" w:cstheme="majorHAnsi"/>
                <w:sz w:val="22"/>
                <w:szCs w:val="22"/>
              </w:rPr>
            </w:pPr>
            <w:r w:rsidRPr="0053555E">
              <w:rPr>
                <w:rFonts w:cs="Calibri"/>
                <w:sz w:val="22"/>
                <w:szCs w:val="20"/>
              </w:rPr>
              <w:t>0,80</w:t>
            </w:r>
          </w:p>
        </w:tc>
      </w:tr>
      <w:tr w:rsidR="003D725F" w:rsidRPr="0053555E" w14:paraId="1EFA63EC" w14:textId="77777777" w:rsidTr="00AD3EC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6B0ABE" w14:textId="77777777" w:rsidR="003D725F" w:rsidRPr="0053555E" w:rsidRDefault="003D725F" w:rsidP="003D725F">
            <w:pPr>
              <w:tabs>
                <w:tab w:val="left" w:pos="9356"/>
              </w:tabs>
              <w:jc w:val="both"/>
              <w:rPr>
                <w:rFonts w:asciiTheme="majorHAnsi" w:eastAsia="Times New Roman" w:hAnsiTheme="majorHAnsi" w:cstheme="majorHAnsi"/>
                <w:b/>
                <w:bCs/>
                <w:sz w:val="22"/>
                <w:szCs w:val="20"/>
                <w:lang w:eastAsia="sk-SK"/>
              </w:rPr>
            </w:pPr>
            <w:r w:rsidRPr="0053555E">
              <w:rPr>
                <w:rFonts w:asciiTheme="majorHAnsi" w:eastAsia="Times New Roman" w:hAnsiTheme="majorHAnsi" w:cstheme="majorHAnsi"/>
                <w:b/>
                <w:bCs/>
                <w:sz w:val="22"/>
                <w:szCs w:val="20"/>
                <w:lang w:eastAsia="sk-SK"/>
              </w:rPr>
              <w:t>ÚM</w:t>
            </w:r>
          </w:p>
        </w:tc>
        <w:tc>
          <w:tcPr>
            <w:tcW w:w="1006" w:type="dxa"/>
            <w:tcBorders>
              <w:top w:val="nil"/>
              <w:left w:val="nil"/>
              <w:bottom w:val="single" w:sz="4" w:space="0" w:color="auto"/>
              <w:right w:val="single" w:sz="4" w:space="0" w:color="auto"/>
            </w:tcBorders>
            <w:shd w:val="clear" w:color="auto" w:fill="auto"/>
            <w:noWrap/>
            <w:vAlign w:val="bottom"/>
            <w:hideMark/>
          </w:tcPr>
          <w:p w14:paraId="6787DDC8" w14:textId="0A9D7751" w:rsidR="003D725F" w:rsidRPr="0053555E" w:rsidRDefault="003D725F" w:rsidP="003D725F">
            <w:pPr>
              <w:jc w:val="center"/>
              <w:rPr>
                <w:rFonts w:asciiTheme="majorHAnsi" w:hAnsiTheme="majorHAnsi" w:cstheme="majorHAnsi"/>
                <w:sz w:val="22"/>
                <w:szCs w:val="22"/>
              </w:rPr>
            </w:pPr>
            <w:r w:rsidRPr="0053555E">
              <w:rPr>
                <w:rFonts w:cs="Calibri"/>
                <w:sz w:val="22"/>
                <w:szCs w:val="20"/>
              </w:rPr>
              <w:t>110</w:t>
            </w:r>
          </w:p>
        </w:tc>
        <w:tc>
          <w:tcPr>
            <w:tcW w:w="1006" w:type="dxa"/>
            <w:tcBorders>
              <w:top w:val="nil"/>
              <w:left w:val="nil"/>
              <w:bottom w:val="single" w:sz="4" w:space="0" w:color="auto"/>
              <w:right w:val="single" w:sz="4" w:space="0" w:color="auto"/>
            </w:tcBorders>
            <w:shd w:val="clear" w:color="auto" w:fill="auto"/>
            <w:noWrap/>
            <w:vAlign w:val="bottom"/>
            <w:hideMark/>
          </w:tcPr>
          <w:p w14:paraId="62543BCA" w14:textId="0199468D" w:rsidR="003D725F" w:rsidRPr="0053555E" w:rsidRDefault="003D725F" w:rsidP="003D725F">
            <w:pPr>
              <w:jc w:val="center"/>
              <w:rPr>
                <w:rFonts w:asciiTheme="majorHAnsi" w:hAnsiTheme="majorHAnsi" w:cstheme="majorHAnsi"/>
                <w:sz w:val="22"/>
                <w:szCs w:val="22"/>
              </w:rPr>
            </w:pPr>
            <w:r w:rsidRPr="0053555E">
              <w:rPr>
                <w:rFonts w:cs="Calibri"/>
                <w:sz w:val="22"/>
                <w:szCs w:val="20"/>
              </w:rPr>
              <w:t>385</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54869111" w14:textId="216DED81" w:rsidR="003D725F" w:rsidRPr="0053555E" w:rsidRDefault="003D725F" w:rsidP="003D725F">
            <w:pPr>
              <w:jc w:val="center"/>
              <w:rPr>
                <w:rFonts w:asciiTheme="majorHAnsi" w:hAnsiTheme="majorHAnsi" w:cstheme="majorHAnsi"/>
                <w:sz w:val="22"/>
                <w:szCs w:val="22"/>
              </w:rPr>
            </w:pPr>
            <w:r w:rsidRPr="0053555E">
              <w:rPr>
                <w:rFonts w:cs="Calibri"/>
                <w:sz w:val="22"/>
                <w:szCs w:val="20"/>
              </w:rPr>
              <w:t>3,50</w:t>
            </w:r>
          </w:p>
        </w:tc>
        <w:tc>
          <w:tcPr>
            <w:tcW w:w="1014" w:type="dxa"/>
            <w:tcBorders>
              <w:top w:val="nil"/>
              <w:left w:val="nil"/>
              <w:bottom w:val="single" w:sz="4" w:space="0" w:color="auto"/>
              <w:right w:val="single" w:sz="4" w:space="0" w:color="auto"/>
            </w:tcBorders>
            <w:shd w:val="clear" w:color="auto" w:fill="auto"/>
            <w:noWrap/>
            <w:vAlign w:val="bottom"/>
            <w:hideMark/>
          </w:tcPr>
          <w:p w14:paraId="49782D77" w14:textId="713A9804" w:rsidR="003D725F" w:rsidRPr="0053555E" w:rsidRDefault="003D725F" w:rsidP="003D725F">
            <w:pPr>
              <w:jc w:val="center"/>
              <w:rPr>
                <w:rFonts w:asciiTheme="majorHAnsi" w:hAnsiTheme="majorHAnsi" w:cstheme="majorHAnsi"/>
                <w:sz w:val="22"/>
                <w:szCs w:val="22"/>
              </w:rPr>
            </w:pPr>
            <w:r w:rsidRPr="0053555E">
              <w:rPr>
                <w:rFonts w:cs="Calibri"/>
                <w:sz w:val="22"/>
                <w:szCs w:val="20"/>
              </w:rPr>
              <w:t>184</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2275047A" w14:textId="03B87AC9" w:rsidR="003D725F" w:rsidRPr="0053555E" w:rsidRDefault="003D725F" w:rsidP="003D725F">
            <w:pPr>
              <w:jc w:val="center"/>
              <w:rPr>
                <w:rFonts w:asciiTheme="majorHAnsi" w:hAnsiTheme="majorHAnsi" w:cstheme="majorHAnsi"/>
                <w:sz w:val="22"/>
                <w:szCs w:val="22"/>
              </w:rPr>
            </w:pPr>
            <w:r w:rsidRPr="0053555E">
              <w:rPr>
                <w:rFonts w:cs="Calibri"/>
                <w:sz w:val="22"/>
                <w:szCs w:val="20"/>
              </w:rPr>
              <w:t>1,67</w:t>
            </w:r>
          </w:p>
        </w:tc>
        <w:tc>
          <w:tcPr>
            <w:tcW w:w="967" w:type="dxa"/>
            <w:tcBorders>
              <w:top w:val="nil"/>
              <w:left w:val="nil"/>
              <w:bottom w:val="single" w:sz="4" w:space="0" w:color="auto"/>
              <w:right w:val="single" w:sz="4" w:space="0" w:color="auto"/>
            </w:tcBorders>
            <w:shd w:val="clear" w:color="auto" w:fill="auto"/>
            <w:noWrap/>
            <w:vAlign w:val="bottom"/>
            <w:hideMark/>
          </w:tcPr>
          <w:p w14:paraId="7E39726A" w14:textId="76A7861E" w:rsidR="003D725F" w:rsidRPr="0053555E" w:rsidRDefault="003D725F" w:rsidP="003D725F">
            <w:pPr>
              <w:jc w:val="center"/>
              <w:rPr>
                <w:rFonts w:asciiTheme="majorHAnsi" w:hAnsiTheme="majorHAnsi" w:cstheme="majorHAnsi"/>
                <w:sz w:val="22"/>
                <w:szCs w:val="22"/>
              </w:rPr>
            </w:pPr>
            <w:r w:rsidRPr="0053555E">
              <w:rPr>
                <w:rFonts w:cs="Calibri"/>
                <w:sz w:val="22"/>
                <w:szCs w:val="20"/>
              </w:rPr>
              <w:t>153</w:t>
            </w:r>
          </w:p>
        </w:tc>
        <w:tc>
          <w:tcPr>
            <w:tcW w:w="967" w:type="dxa"/>
            <w:tcBorders>
              <w:top w:val="nil"/>
              <w:left w:val="nil"/>
              <w:bottom w:val="single" w:sz="4" w:space="0" w:color="auto"/>
              <w:right w:val="single" w:sz="4" w:space="0" w:color="auto"/>
            </w:tcBorders>
            <w:shd w:val="clear" w:color="auto" w:fill="auto"/>
            <w:noWrap/>
            <w:vAlign w:val="bottom"/>
            <w:hideMark/>
          </w:tcPr>
          <w:p w14:paraId="7CE75240" w14:textId="5BCA4409" w:rsidR="003D725F" w:rsidRPr="0053555E" w:rsidRDefault="003D725F" w:rsidP="003D725F">
            <w:pPr>
              <w:jc w:val="center"/>
              <w:rPr>
                <w:rFonts w:asciiTheme="majorHAnsi" w:hAnsiTheme="majorHAnsi" w:cstheme="majorHAnsi"/>
                <w:sz w:val="22"/>
                <w:szCs w:val="22"/>
              </w:rPr>
            </w:pPr>
            <w:r w:rsidRPr="0053555E">
              <w:rPr>
                <w:rFonts w:cs="Calibri"/>
                <w:sz w:val="22"/>
                <w:szCs w:val="20"/>
              </w:rPr>
              <w:t>109</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14:paraId="514B6A4B" w14:textId="2D394A0F" w:rsidR="003D725F" w:rsidRPr="0053555E" w:rsidRDefault="003D725F" w:rsidP="003D725F">
            <w:pPr>
              <w:jc w:val="center"/>
              <w:rPr>
                <w:rFonts w:asciiTheme="majorHAnsi" w:hAnsiTheme="majorHAnsi" w:cstheme="majorHAnsi"/>
                <w:sz w:val="22"/>
                <w:szCs w:val="22"/>
              </w:rPr>
            </w:pPr>
            <w:r w:rsidRPr="0053555E">
              <w:rPr>
                <w:rFonts w:cs="Calibri"/>
                <w:sz w:val="22"/>
                <w:szCs w:val="20"/>
              </w:rPr>
              <w:t>0,83</w:t>
            </w:r>
          </w:p>
        </w:tc>
        <w:tc>
          <w:tcPr>
            <w:tcW w:w="993" w:type="dxa"/>
            <w:tcBorders>
              <w:top w:val="nil"/>
              <w:left w:val="nil"/>
              <w:bottom w:val="single" w:sz="4" w:space="0" w:color="auto"/>
              <w:right w:val="single" w:sz="4" w:space="0" w:color="auto"/>
            </w:tcBorders>
            <w:shd w:val="clear" w:color="auto" w:fill="auto"/>
            <w:noWrap/>
            <w:vAlign w:val="bottom"/>
            <w:hideMark/>
          </w:tcPr>
          <w:p w14:paraId="5539A1A0" w14:textId="30FE1685" w:rsidR="003D725F" w:rsidRPr="0053555E" w:rsidRDefault="003D725F" w:rsidP="003D725F">
            <w:pPr>
              <w:jc w:val="center"/>
              <w:rPr>
                <w:rFonts w:asciiTheme="majorHAnsi" w:hAnsiTheme="majorHAnsi" w:cstheme="majorHAnsi"/>
                <w:sz w:val="22"/>
                <w:szCs w:val="22"/>
              </w:rPr>
            </w:pPr>
            <w:r w:rsidRPr="0053555E">
              <w:rPr>
                <w:rFonts w:cs="Calibri"/>
                <w:sz w:val="22"/>
                <w:szCs w:val="20"/>
              </w:rPr>
              <w:t>1,39</w:t>
            </w:r>
          </w:p>
        </w:tc>
      </w:tr>
      <w:tr w:rsidR="003D725F" w:rsidRPr="0053555E" w14:paraId="2DB84C3A" w14:textId="77777777" w:rsidTr="00AD3EC7">
        <w:trPr>
          <w:trHeight w:val="255"/>
        </w:trPr>
        <w:tc>
          <w:tcPr>
            <w:tcW w:w="960"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06D824B0" w14:textId="77777777" w:rsidR="003D725F" w:rsidRPr="0053555E" w:rsidRDefault="003D725F" w:rsidP="003D725F">
            <w:pPr>
              <w:tabs>
                <w:tab w:val="left" w:pos="9356"/>
              </w:tabs>
              <w:jc w:val="both"/>
              <w:rPr>
                <w:rFonts w:asciiTheme="majorHAnsi" w:eastAsia="Times New Roman" w:hAnsiTheme="majorHAnsi" w:cstheme="majorHAnsi"/>
                <w:b/>
                <w:bCs/>
                <w:sz w:val="22"/>
                <w:szCs w:val="20"/>
                <w:lang w:eastAsia="sk-SK"/>
              </w:rPr>
            </w:pPr>
            <w:r w:rsidRPr="0053555E">
              <w:rPr>
                <w:rFonts w:asciiTheme="majorHAnsi" w:eastAsia="Times New Roman" w:hAnsiTheme="majorHAnsi" w:cstheme="majorHAnsi"/>
                <w:b/>
                <w:bCs/>
                <w:sz w:val="22"/>
                <w:szCs w:val="20"/>
                <w:lang w:eastAsia="sk-SK"/>
              </w:rPr>
              <w:t>STU</w:t>
            </w:r>
          </w:p>
        </w:tc>
        <w:tc>
          <w:tcPr>
            <w:tcW w:w="1006" w:type="dxa"/>
            <w:tcBorders>
              <w:top w:val="nil"/>
              <w:left w:val="nil"/>
              <w:bottom w:val="single" w:sz="4" w:space="0" w:color="auto"/>
              <w:right w:val="single" w:sz="4" w:space="0" w:color="auto"/>
            </w:tcBorders>
            <w:shd w:val="clear" w:color="auto" w:fill="EEECE1" w:themeFill="background2"/>
            <w:noWrap/>
            <w:vAlign w:val="bottom"/>
            <w:hideMark/>
          </w:tcPr>
          <w:p w14:paraId="2D042026" w14:textId="4C2675AB" w:rsidR="003D725F" w:rsidRPr="0053555E" w:rsidRDefault="003D725F" w:rsidP="003D725F">
            <w:pPr>
              <w:jc w:val="center"/>
              <w:rPr>
                <w:rFonts w:asciiTheme="majorHAnsi" w:hAnsiTheme="majorHAnsi" w:cstheme="majorHAnsi"/>
                <w:b/>
                <w:bCs/>
                <w:sz w:val="22"/>
                <w:szCs w:val="22"/>
              </w:rPr>
            </w:pPr>
            <w:r w:rsidRPr="0053555E">
              <w:rPr>
                <w:rFonts w:cs="Calibri"/>
                <w:b/>
                <w:bCs/>
                <w:sz w:val="22"/>
                <w:szCs w:val="20"/>
              </w:rPr>
              <w:t>4 694</w:t>
            </w:r>
          </w:p>
        </w:tc>
        <w:tc>
          <w:tcPr>
            <w:tcW w:w="1006" w:type="dxa"/>
            <w:tcBorders>
              <w:top w:val="nil"/>
              <w:left w:val="nil"/>
              <w:bottom w:val="single" w:sz="4" w:space="0" w:color="auto"/>
              <w:right w:val="single" w:sz="4" w:space="0" w:color="auto"/>
            </w:tcBorders>
            <w:shd w:val="clear" w:color="auto" w:fill="EEECE1" w:themeFill="background2"/>
            <w:noWrap/>
            <w:vAlign w:val="bottom"/>
            <w:hideMark/>
          </w:tcPr>
          <w:p w14:paraId="12520BBA" w14:textId="271F07C4" w:rsidR="003D725F" w:rsidRPr="0053555E" w:rsidRDefault="003D725F" w:rsidP="003D725F">
            <w:pPr>
              <w:jc w:val="center"/>
              <w:rPr>
                <w:rFonts w:asciiTheme="majorHAnsi" w:hAnsiTheme="majorHAnsi" w:cstheme="majorHAnsi"/>
                <w:b/>
                <w:bCs/>
                <w:sz w:val="22"/>
                <w:szCs w:val="22"/>
              </w:rPr>
            </w:pPr>
            <w:r w:rsidRPr="0053555E">
              <w:rPr>
                <w:rFonts w:cs="Calibri"/>
                <w:b/>
                <w:bCs/>
                <w:sz w:val="22"/>
                <w:szCs w:val="20"/>
              </w:rPr>
              <w:t>8 408</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7098A1B4" w14:textId="13F5C79B" w:rsidR="003D725F" w:rsidRPr="0053555E" w:rsidRDefault="003D725F" w:rsidP="003D725F">
            <w:pPr>
              <w:jc w:val="center"/>
              <w:rPr>
                <w:rFonts w:asciiTheme="majorHAnsi" w:hAnsiTheme="majorHAnsi" w:cstheme="majorHAnsi"/>
                <w:b/>
                <w:bCs/>
                <w:sz w:val="22"/>
                <w:szCs w:val="22"/>
              </w:rPr>
            </w:pPr>
            <w:r w:rsidRPr="0053555E">
              <w:rPr>
                <w:rFonts w:cs="Calibri"/>
                <w:b/>
                <w:bCs/>
                <w:sz w:val="22"/>
                <w:szCs w:val="20"/>
              </w:rPr>
              <w:t>1,79</w:t>
            </w:r>
          </w:p>
        </w:tc>
        <w:tc>
          <w:tcPr>
            <w:tcW w:w="1014" w:type="dxa"/>
            <w:tcBorders>
              <w:top w:val="nil"/>
              <w:left w:val="nil"/>
              <w:bottom w:val="single" w:sz="4" w:space="0" w:color="auto"/>
              <w:right w:val="single" w:sz="4" w:space="0" w:color="auto"/>
            </w:tcBorders>
            <w:shd w:val="clear" w:color="auto" w:fill="EEECE1" w:themeFill="background2"/>
            <w:noWrap/>
            <w:vAlign w:val="bottom"/>
            <w:hideMark/>
          </w:tcPr>
          <w:p w14:paraId="2A806D01" w14:textId="6669BBC2" w:rsidR="003D725F" w:rsidRPr="0053555E" w:rsidRDefault="003D725F" w:rsidP="003D725F">
            <w:pPr>
              <w:jc w:val="center"/>
              <w:rPr>
                <w:rFonts w:asciiTheme="majorHAnsi" w:hAnsiTheme="majorHAnsi" w:cstheme="majorHAnsi"/>
                <w:b/>
                <w:bCs/>
                <w:sz w:val="22"/>
                <w:szCs w:val="22"/>
              </w:rPr>
            </w:pPr>
            <w:r w:rsidRPr="0053555E">
              <w:rPr>
                <w:rFonts w:cs="Calibri"/>
                <w:b/>
                <w:bCs/>
                <w:sz w:val="22"/>
                <w:szCs w:val="20"/>
              </w:rPr>
              <w:t>4 917</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14:paraId="1BE28786" w14:textId="30D8B3CE" w:rsidR="003D725F" w:rsidRPr="0053555E" w:rsidRDefault="003D725F" w:rsidP="003D725F">
            <w:pPr>
              <w:jc w:val="center"/>
              <w:rPr>
                <w:rFonts w:asciiTheme="majorHAnsi" w:hAnsiTheme="majorHAnsi" w:cstheme="majorHAnsi"/>
                <w:b/>
                <w:bCs/>
                <w:sz w:val="22"/>
                <w:szCs w:val="22"/>
              </w:rPr>
            </w:pPr>
            <w:r w:rsidRPr="0053555E">
              <w:rPr>
                <w:rFonts w:cs="Calibri"/>
                <w:b/>
                <w:bCs/>
                <w:sz w:val="22"/>
                <w:szCs w:val="20"/>
              </w:rPr>
              <w:t>1,05</w:t>
            </w:r>
          </w:p>
        </w:tc>
        <w:tc>
          <w:tcPr>
            <w:tcW w:w="967" w:type="dxa"/>
            <w:tcBorders>
              <w:top w:val="nil"/>
              <w:left w:val="nil"/>
              <w:bottom w:val="single" w:sz="4" w:space="0" w:color="auto"/>
              <w:right w:val="single" w:sz="4" w:space="0" w:color="auto"/>
            </w:tcBorders>
            <w:shd w:val="clear" w:color="auto" w:fill="EEECE1" w:themeFill="background2"/>
            <w:noWrap/>
            <w:vAlign w:val="bottom"/>
            <w:hideMark/>
          </w:tcPr>
          <w:p w14:paraId="5C75D015" w14:textId="577F513B" w:rsidR="003D725F" w:rsidRPr="0053555E" w:rsidRDefault="003D725F" w:rsidP="003D725F">
            <w:pPr>
              <w:jc w:val="center"/>
              <w:rPr>
                <w:rFonts w:asciiTheme="majorHAnsi" w:hAnsiTheme="majorHAnsi" w:cstheme="majorHAnsi"/>
                <w:b/>
                <w:bCs/>
                <w:sz w:val="22"/>
                <w:szCs w:val="22"/>
              </w:rPr>
            </w:pPr>
            <w:r w:rsidRPr="0053555E">
              <w:rPr>
                <w:rFonts w:cs="Calibri"/>
                <w:b/>
                <w:bCs/>
                <w:sz w:val="22"/>
                <w:szCs w:val="20"/>
              </w:rPr>
              <w:t>3 491</w:t>
            </w:r>
          </w:p>
        </w:tc>
        <w:tc>
          <w:tcPr>
            <w:tcW w:w="967" w:type="dxa"/>
            <w:tcBorders>
              <w:top w:val="nil"/>
              <w:left w:val="nil"/>
              <w:bottom w:val="single" w:sz="4" w:space="0" w:color="auto"/>
              <w:right w:val="single" w:sz="4" w:space="0" w:color="auto"/>
            </w:tcBorders>
            <w:shd w:val="clear" w:color="auto" w:fill="EEECE1" w:themeFill="background2"/>
            <w:noWrap/>
            <w:vAlign w:val="bottom"/>
            <w:hideMark/>
          </w:tcPr>
          <w:p w14:paraId="2EBC9C82" w14:textId="4D95E775" w:rsidR="003D725F" w:rsidRPr="0053555E" w:rsidRDefault="003D725F" w:rsidP="003D725F">
            <w:pPr>
              <w:jc w:val="center"/>
              <w:rPr>
                <w:rFonts w:asciiTheme="majorHAnsi" w:hAnsiTheme="majorHAnsi" w:cstheme="majorHAnsi"/>
                <w:b/>
                <w:bCs/>
                <w:sz w:val="22"/>
                <w:szCs w:val="22"/>
              </w:rPr>
            </w:pPr>
            <w:r w:rsidRPr="0053555E">
              <w:rPr>
                <w:rFonts w:cs="Calibri"/>
                <w:b/>
                <w:bCs/>
                <w:sz w:val="22"/>
                <w:szCs w:val="20"/>
              </w:rPr>
              <w:t>1 144</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14:paraId="14CCE9C4" w14:textId="695F9E72" w:rsidR="003D725F" w:rsidRPr="0053555E" w:rsidRDefault="003D725F" w:rsidP="003D725F">
            <w:pPr>
              <w:jc w:val="center"/>
              <w:rPr>
                <w:rFonts w:asciiTheme="majorHAnsi" w:hAnsiTheme="majorHAnsi" w:cstheme="majorHAnsi"/>
                <w:b/>
                <w:bCs/>
                <w:sz w:val="22"/>
                <w:szCs w:val="22"/>
              </w:rPr>
            </w:pPr>
            <w:r w:rsidRPr="0053555E">
              <w:rPr>
                <w:rFonts w:cs="Calibri"/>
                <w:b/>
                <w:bCs/>
                <w:sz w:val="22"/>
                <w:szCs w:val="20"/>
              </w:rPr>
              <w:t>0,71</w:t>
            </w:r>
          </w:p>
        </w:tc>
        <w:tc>
          <w:tcPr>
            <w:tcW w:w="993" w:type="dxa"/>
            <w:tcBorders>
              <w:top w:val="nil"/>
              <w:left w:val="nil"/>
              <w:bottom w:val="single" w:sz="4" w:space="0" w:color="auto"/>
              <w:right w:val="single" w:sz="4" w:space="0" w:color="auto"/>
            </w:tcBorders>
            <w:shd w:val="clear" w:color="auto" w:fill="EEECE1" w:themeFill="background2"/>
            <w:noWrap/>
            <w:vAlign w:val="bottom"/>
            <w:hideMark/>
          </w:tcPr>
          <w:p w14:paraId="1430C312" w14:textId="1F70CA86" w:rsidR="003D725F" w:rsidRPr="0053555E" w:rsidRDefault="003D725F" w:rsidP="003D725F">
            <w:pPr>
              <w:jc w:val="center"/>
              <w:rPr>
                <w:rFonts w:asciiTheme="majorHAnsi" w:hAnsiTheme="majorHAnsi" w:cstheme="majorHAnsi"/>
                <w:b/>
                <w:bCs/>
                <w:sz w:val="22"/>
                <w:szCs w:val="22"/>
              </w:rPr>
            </w:pPr>
            <w:r w:rsidRPr="0053555E">
              <w:rPr>
                <w:rFonts w:cs="Calibri"/>
                <w:b/>
                <w:bCs/>
                <w:sz w:val="22"/>
                <w:szCs w:val="20"/>
              </w:rPr>
              <w:t>0,74</w:t>
            </w:r>
          </w:p>
        </w:tc>
      </w:tr>
    </w:tbl>
    <w:p w14:paraId="125119E0" w14:textId="77777777" w:rsidR="00C41753" w:rsidRPr="0053555E" w:rsidRDefault="00C41753" w:rsidP="00324438">
      <w:pPr>
        <w:tabs>
          <w:tab w:val="left" w:pos="9356"/>
        </w:tabs>
        <w:jc w:val="both"/>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Vysvetlivky: Pp - plánované počty; Ph -prihlásení uchádzači; Pr - prijatí uchádzači; Z – zapísaní</w:t>
      </w:r>
    </w:p>
    <w:p w14:paraId="4C5A60D2" w14:textId="77777777" w:rsidR="00C41753" w:rsidRPr="0053555E" w:rsidRDefault="00C41753" w:rsidP="00324438">
      <w:pPr>
        <w:tabs>
          <w:tab w:val="left" w:pos="9356"/>
        </w:tabs>
        <w:jc w:val="both"/>
        <w:rPr>
          <w:rFonts w:asciiTheme="majorHAnsi" w:eastAsia="Times New Roman" w:hAnsiTheme="majorHAnsi" w:cstheme="majorHAnsi"/>
          <w:bCs/>
          <w:szCs w:val="20"/>
          <w:lang w:eastAsia="sk-SK"/>
        </w:rPr>
      </w:pPr>
    </w:p>
    <w:p w14:paraId="57E21A57" w14:textId="6EAB8A7B" w:rsidR="009223BE" w:rsidRDefault="00C41753" w:rsidP="009223BE">
      <w:pPr>
        <w:tabs>
          <w:tab w:val="left" w:pos="9356"/>
        </w:tabs>
        <w:spacing w:after="120"/>
        <w:jc w:val="both"/>
        <w:rPr>
          <w:rFonts w:asciiTheme="majorHAnsi" w:hAnsiTheme="majorHAnsi" w:cstheme="majorHAnsi"/>
        </w:rPr>
      </w:pPr>
      <w:r w:rsidRPr="0053555E">
        <w:rPr>
          <w:rFonts w:asciiTheme="majorHAnsi" w:hAnsiTheme="majorHAnsi" w:cstheme="majorHAnsi"/>
        </w:rPr>
        <w:t xml:space="preserve">V akademickom roku </w:t>
      </w:r>
      <w:r w:rsidR="00EA24BA" w:rsidRPr="0053555E">
        <w:rPr>
          <w:rFonts w:asciiTheme="majorHAnsi" w:hAnsiTheme="majorHAnsi" w:cstheme="majorHAnsi"/>
        </w:rPr>
        <w:t>2022/2023</w:t>
      </w:r>
      <w:r w:rsidRPr="0053555E">
        <w:rPr>
          <w:rFonts w:asciiTheme="majorHAnsi" w:hAnsiTheme="majorHAnsi" w:cstheme="majorHAnsi"/>
        </w:rPr>
        <w:t xml:space="preserve"> </w:t>
      </w:r>
      <w:r w:rsidR="00701A93">
        <w:rPr>
          <w:rFonts w:asciiTheme="majorHAnsi" w:hAnsiTheme="majorHAnsi" w:cstheme="majorHAnsi"/>
        </w:rPr>
        <w:t xml:space="preserve">sa </w:t>
      </w:r>
      <w:r w:rsidRPr="0053555E">
        <w:rPr>
          <w:rFonts w:asciiTheme="majorHAnsi" w:hAnsiTheme="majorHAnsi" w:cstheme="majorHAnsi"/>
          <w:b/>
        </w:rPr>
        <w:t xml:space="preserve">percento zapísaných študentov </w:t>
      </w:r>
      <w:r w:rsidRPr="0053555E">
        <w:rPr>
          <w:rFonts w:asciiTheme="majorHAnsi" w:hAnsiTheme="majorHAnsi" w:cstheme="majorHAnsi"/>
        </w:rPr>
        <w:t xml:space="preserve">z prijatých uchádzačov </w:t>
      </w:r>
      <w:r w:rsidR="00BE56A1">
        <w:rPr>
          <w:rFonts w:asciiTheme="majorHAnsi" w:hAnsiTheme="majorHAnsi" w:cstheme="majorHAnsi"/>
          <w:b/>
        </w:rPr>
        <w:t>mierne zvýšilo na 71</w:t>
      </w:r>
      <w:r w:rsidRPr="0053555E">
        <w:rPr>
          <w:rFonts w:asciiTheme="majorHAnsi" w:hAnsiTheme="majorHAnsi" w:cstheme="majorHAnsi"/>
          <w:b/>
        </w:rPr>
        <w:t xml:space="preserve"> %</w:t>
      </w:r>
      <w:r w:rsidR="00701A93">
        <w:rPr>
          <w:rFonts w:asciiTheme="majorHAnsi" w:hAnsiTheme="majorHAnsi" w:cstheme="majorHAnsi"/>
          <w:b/>
        </w:rPr>
        <w:t xml:space="preserve"> </w:t>
      </w:r>
      <w:r w:rsidR="006346AE" w:rsidRPr="006346AE">
        <w:rPr>
          <w:rFonts w:asciiTheme="majorHAnsi" w:hAnsiTheme="majorHAnsi" w:cstheme="majorHAnsi"/>
        </w:rPr>
        <w:t>v porovnaní s</w:t>
      </w:r>
      <w:r w:rsidR="00701A93" w:rsidRPr="006346AE">
        <w:rPr>
          <w:rFonts w:asciiTheme="majorHAnsi" w:hAnsiTheme="majorHAnsi" w:cstheme="majorHAnsi"/>
        </w:rPr>
        <w:t xml:space="preserve"> predchádzajúcim</w:t>
      </w:r>
      <w:r w:rsidR="006346AE" w:rsidRPr="006346AE">
        <w:rPr>
          <w:rFonts w:asciiTheme="majorHAnsi" w:hAnsiTheme="majorHAnsi" w:cstheme="majorHAnsi"/>
        </w:rPr>
        <w:t>i</w:t>
      </w:r>
      <w:r w:rsidR="00701A93" w:rsidRPr="006346AE">
        <w:rPr>
          <w:rFonts w:asciiTheme="majorHAnsi" w:hAnsiTheme="majorHAnsi" w:cstheme="majorHAnsi"/>
        </w:rPr>
        <w:t xml:space="preserve"> akademickým</w:t>
      </w:r>
      <w:r w:rsidR="006346AE" w:rsidRPr="006346AE">
        <w:rPr>
          <w:rFonts w:asciiTheme="majorHAnsi" w:hAnsiTheme="majorHAnsi" w:cstheme="majorHAnsi"/>
        </w:rPr>
        <w:t>i</w:t>
      </w:r>
      <w:r w:rsidR="00701A93" w:rsidRPr="006346AE">
        <w:rPr>
          <w:rFonts w:asciiTheme="majorHAnsi" w:hAnsiTheme="majorHAnsi" w:cstheme="majorHAnsi"/>
        </w:rPr>
        <w:t xml:space="preserve"> rok</w:t>
      </w:r>
      <w:r w:rsidR="006346AE" w:rsidRPr="006346AE">
        <w:rPr>
          <w:rFonts w:asciiTheme="majorHAnsi" w:hAnsiTheme="majorHAnsi" w:cstheme="majorHAnsi"/>
        </w:rPr>
        <w:t>mi</w:t>
      </w:r>
      <w:r w:rsidRPr="006346AE">
        <w:rPr>
          <w:rFonts w:asciiTheme="majorHAnsi" w:hAnsiTheme="majorHAnsi" w:cstheme="majorHAnsi"/>
        </w:rPr>
        <w:t>. Dôvodom</w:t>
      </w:r>
      <w:r w:rsidRPr="0053555E">
        <w:rPr>
          <w:rFonts w:asciiTheme="majorHAnsi" w:hAnsiTheme="majorHAnsi" w:cstheme="majorHAnsi"/>
        </w:rPr>
        <w:t xml:space="preserve"> dlhodobo nízkeho počtu zapísaných študentov je </w:t>
      </w:r>
      <w:r w:rsidR="00B117F5" w:rsidRPr="0053555E">
        <w:rPr>
          <w:rFonts w:asciiTheme="majorHAnsi" w:hAnsiTheme="majorHAnsi" w:cstheme="majorHAnsi"/>
        </w:rPr>
        <w:t>fakt</w:t>
      </w:r>
      <w:r w:rsidRPr="0053555E">
        <w:rPr>
          <w:rFonts w:asciiTheme="majorHAnsi" w:hAnsiTheme="majorHAnsi" w:cstheme="majorHAnsi"/>
        </w:rPr>
        <w:t xml:space="preserve">, že uchádzači sú často prijatí na viac študijných programov na rôznych vysokých školách (alebo aj v rámci STU), ale zapíšu </w:t>
      </w:r>
      <w:r w:rsidR="00143C2A" w:rsidRPr="0053555E">
        <w:rPr>
          <w:rFonts w:asciiTheme="majorHAnsi" w:hAnsiTheme="majorHAnsi" w:cstheme="majorHAnsi"/>
        </w:rPr>
        <w:t xml:space="preserve">sa </w:t>
      </w:r>
      <w:r w:rsidR="009223BE">
        <w:rPr>
          <w:rFonts w:asciiTheme="majorHAnsi" w:hAnsiTheme="majorHAnsi" w:cstheme="majorHAnsi"/>
        </w:rPr>
        <w:t>len na jeden z nich. Často si</w:t>
      </w:r>
      <w:r w:rsidRPr="0053555E">
        <w:rPr>
          <w:rFonts w:asciiTheme="majorHAnsi" w:hAnsiTheme="majorHAnsi" w:cstheme="majorHAnsi"/>
        </w:rPr>
        <w:t xml:space="preserve"> </w:t>
      </w:r>
      <w:r w:rsidR="00143C2A" w:rsidRPr="0053555E">
        <w:rPr>
          <w:rFonts w:asciiTheme="majorHAnsi" w:hAnsiTheme="majorHAnsi" w:cstheme="majorHAnsi"/>
        </w:rPr>
        <w:t xml:space="preserve">najlepší </w:t>
      </w:r>
      <w:r w:rsidR="008849E5">
        <w:rPr>
          <w:rFonts w:asciiTheme="majorHAnsi" w:hAnsiTheme="majorHAnsi" w:cstheme="majorHAnsi"/>
        </w:rPr>
        <w:t xml:space="preserve">slovenskí </w:t>
      </w:r>
      <w:r w:rsidR="009223BE">
        <w:rPr>
          <w:rFonts w:asciiTheme="majorHAnsi" w:hAnsiTheme="majorHAnsi" w:cstheme="majorHAnsi"/>
        </w:rPr>
        <w:t xml:space="preserve">uchádzači </w:t>
      </w:r>
      <w:r w:rsidRPr="0053555E">
        <w:rPr>
          <w:rFonts w:asciiTheme="majorHAnsi" w:hAnsiTheme="majorHAnsi" w:cstheme="majorHAnsi"/>
        </w:rPr>
        <w:t xml:space="preserve">volia štúdium v zahraničí, </w:t>
      </w:r>
      <w:r w:rsidR="009223BE">
        <w:rPr>
          <w:rFonts w:asciiTheme="majorHAnsi" w:hAnsiTheme="majorHAnsi" w:cstheme="majorHAnsi"/>
        </w:rPr>
        <w:t>najmä</w:t>
      </w:r>
      <w:r w:rsidRPr="0053555E">
        <w:rPr>
          <w:rFonts w:asciiTheme="majorHAnsi" w:hAnsiTheme="majorHAnsi" w:cstheme="majorHAnsi"/>
        </w:rPr>
        <w:t xml:space="preserve"> v Českej republike.</w:t>
      </w:r>
      <w:r w:rsidR="00D62ECE" w:rsidRPr="0053555E">
        <w:rPr>
          <w:rFonts w:asciiTheme="majorHAnsi" w:hAnsiTheme="majorHAnsi" w:cstheme="majorHAnsi"/>
        </w:rPr>
        <w:t xml:space="preserve"> </w:t>
      </w:r>
      <w:r w:rsidR="009223BE">
        <w:rPr>
          <w:rFonts w:asciiTheme="majorHAnsi" w:hAnsiTheme="majorHAnsi" w:cstheme="majorHAnsi"/>
          <w:szCs w:val="20"/>
        </w:rPr>
        <w:t>V</w:t>
      </w:r>
      <w:r w:rsidR="00305399" w:rsidRPr="0053555E">
        <w:rPr>
          <w:rFonts w:asciiTheme="majorHAnsi" w:hAnsiTheme="majorHAnsi" w:cstheme="majorHAnsi"/>
          <w:szCs w:val="20"/>
        </w:rPr>
        <w:t xml:space="preserve"> akademickom roku </w:t>
      </w:r>
      <w:r w:rsidR="00EA24BA" w:rsidRPr="0053555E">
        <w:rPr>
          <w:rFonts w:asciiTheme="majorHAnsi" w:hAnsiTheme="majorHAnsi" w:cstheme="majorHAnsi"/>
          <w:szCs w:val="20"/>
        </w:rPr>
        <w:t>202</w:t>
      </w:r>
      <w:r w:rsidR="00993CE7">
        <w:rPr>
          <w:rFonts w:asciiTheme="majorHAnsi" w:hAnsiTheme="majorHAnsi" w:cstheme="majorHAnsi"/>
          <w:szCs w:val="20"/>
        </w:rPr>
        <w:t>1</w:t>
      </w:r>
      <w:r w:rsidR="00EA24BA" w:rsidRPr="0053555E">
        <w:rPr>
          <w:rFonts w:asciiTheme="majorHAnsi" w:hAnsiTheme="majorHAnsi" w:cstheme="majorHAnsi"/>
          <w:szCs w:val="20"/>
        </w:rPr>
        <w:t>/202</w:t>
      </w:r>
      <w:r w:rsidR="00993CE7">
        <w:rPr>
          <w:rFonts w:asciiTheme="majorHAnsi" w:hAnsiTheme="majorHAnsi" w:cstheme="majorHAnsi"/>
          <w:szCs w:val="20"/>
        </w:rPr>
        <w:t>2</w:t>
      </w:r>
      <w:r w:rsidR="00305399" w:rsidRPr="0053555E">
        <w:rPr>
          <w:rFonts w:asciiTheme="majorHAnsi" w:hAnsiTheme="majorHAnsi" w:cstheme="majorHAnsi"/>
          <w:szCs w:val="20"/>
        </w:rPr>
        <w:t xml:space="preserve"> to bolo </w:t>
      </w:r>
      <w:r w:rsidR="00993CE7">
        <w:rPr>
          <w:rFonts w:asciiTheme="majorHAnsi" w:hAnsiTheme="majorHAnsi" w:cstheme="majorHAnsi"/>
          <w:szCs w:val="20"/>
        </w:rPr>
        <w:t>20</w:t>
      </w:r>
      <w:r w:rsidR="00305399" w:rsidRPr="0053555E">
        <w:rPr>
          <w:rFonts w:asciiTheme="majorHAnsi" w:hAnsiTheme="majorHAnsi" w:cstheme="majorHAnsi"/>
          <w:szCs w:val="20"/>
        </w:rPr>
        <w:t> </w:t>
      </w:r>
      <w:r w:rsidR="00993CE7">
        <w:rPr>
          <w:rFonts w:asciiTheme="majorHAnsi" w:hAnsiTheme="majorHAnsi" w:cstheme="majorHAnsi"/>
          <w:szCs w:val="20"/>
        </w:rPr>
        <w:t>862</w:t>
      </w:r>
      <w:r w:rsidR="00305399" w:rsidRPr="0053555E">
        <w:rPr>
          <w:rFonts w:asciiTheme="majorHAnsi" w:hAnsiTheme="majorHAnsi" w:cstheme="majorHAnsi"/>
          <w:szCs w:val="20"/>
        </w:rPr>
        <w:t xml:space="preserve"> a v akademickom roku </w:t>
      </w:r>
      <w:r w:rsidR="00EA24BA" w:rsidRPr="0053555E">
        <w:rPr>
          <w:rFonts w:asciiTheme="majorHAnsi" w:hAnsiTheme="majorHAnsi" w:cstheme="majorHAnsi"/>
          <w:szCs w:val="20"/>
        </w:rPr>
        <w:t>2022/2023</w:t>
      </w:r>
      <w:r w:rsidR="00305399" w:rsidRPr="0053555E">
        <w:rPr>
          <w:rFonts w:asciiTheme="majorHAnsi" w:hAnsiTheme="majorHAnsi" w:cstheme="majorHAnsi"/>
          <w:szCs w:val="20"/>
        </w:rPr>
        <w:t xml:space="preserve"> </w:t>
      </w:r>
      <w:r w:rsidR="00F23F52">
        <w:rPr>
          <w:rFonts w:asciiTheme="majorHAnsi" w:hAnsiTheme="majorHAnsi" w:cstheme="majorHAnsi"/>
          <w:szCs w:val="20"/>
        </w:rPr>
        <w:t xml:space="preserve">ešte </w:t>
      </w:r>
      <w:r w:rsidR="00993CE7">
        <w:rPr>
          <w:rFonts w:asciiTheme="majorHAnsi" w:hAnsiTheme="majorHAnsi" w:cstheme="majorHAnsi"/>
          <w:szCs w:val="20"/>
        </w:rPr>
        <w:t>viac</w:t>
      </w:r>
      <w:r w:rsidR="004D5EC0">
        <w:rPr>
          <w:rFonts w:asciiTheme="majorHAnsi" w:hAnsiTheme="majorHAnsi" w:cstheme="majorHAnsi"/>
          <w:szCs w:val="20"/>
        </w:rPr>
        <w:t>, až</w:t>
      </w:r>
      <w:r w:rsidR="00305399" w:rsidRPr="0053555E">
        <w:rPr>
          <w:rFonts w:asciiTheme="majorHAnsi" w:hAnsiTheme="majorHAnsi" w:cstheme="majorHAnsi"/>
          <w:szCs w:val="20"/>
        </w:rPr>
        <w:t xml:space="preserve"> 20</w:t>
      </w:r>
      <w:r w:rsidR="007A6D3C" w:rsidRPr="0053555E">
        <w:rPr>
          <w:rFonts w:asciiTheme="majorHAnsi" w:hAnsiTheme="majorHAnsi" w:cstheme="majorHAnsi"/>
          <w:szCs w:val="20"/>
        </w:rPr>
        <w:t> </w:t>
      </w:r>
      <w:r w:rsidR="00305399" w:rsidRPr="0053555E">
        <w:rPr>
          <w:rFonts w:asciiTheme="majorHAnsi" w:hAnsiTheme="majorHAnsi" w:cstheme="majorHAnsi"/>
          <w:szCs w:val="20"/>
        </w:rPr>
        <w:t>9</w:t>
      </w:r>
      <w:r w:rsidR="00993CE7">
        <w:rPr>
          <w:rFonts w:asciiTheme="majorHAnsi" w:hAnsiTheme="majorHAnsi" w:cstheme="majorHAnsi"/>
          <w:szCs w:val="20"/>
        </w:rPr>
        <w:t>20</w:t>
      </w:r>
      <w:r w:rsidR="007A6D3C" w:rsidRPr="0053555E">
        <w:rPr>
          <w:rFonts w:asciiTheme="majorHAnsi" w:hAnsiTheme="majorHAnsi" w:cstheme="majorHAnsi"/>
          <w:szCs w:val="20"/>
        </w:rPr>
        <w:t xml:space="preserve"> slovenských študentov</w:t>
      </w:r>
      <w:r w:rsidR="009223BE">
        <w:rPr>
          <w:rFonts w:asciiTheme="majorHAnsi" w:hAnsiTheme="majorHAnsi" w:cstheme="majorHAnsi"/>
          <w:szCs w:val="20"/>
        </w:rPr>
        <w:t xml:space="preserve"> </w:t>
      </w:r>
      <w:r w:rsidR="009223BE" w:rsidRPr="0053555E">
        <w:rPr>
          <w:rFonts w:asciiTheme="majorHAnsi" w:hAnsiTheme="majorHAnsi" w:cstheme="majorHAnsi"/>
          <w:sz w:val="20"/>
          <w:szCs w:val="20"/>
        </w:rPr>
        <w:t>(</w:t>
      </w:r>
      <w:r w:rsidR="009223BE" w:rsidRPr="0053555E">
        <w:rPr>
          <w:rFonts w:asciiTheme="majorHAnsi" w:hAnsiTheme="majorHAnsi" w:cstheme="majorHAnsi"/>
          <w:sz w:val="20"/>
          <w:szCs w:val="20"/>
        </w:rPr>
        <w:fldChar w:fldCharType="begin"/>
      </w:r>
      <w:r w:rsidR="009223BE" w:rsidRPr="0053555E">
        <w:rPr>
          <w:rFonts w:asciiTheme="majorHAnsi" w:hAnsiTheme="majorHAnsi" w:cstheme="majorHAnsi"/>
          <w:sz w:val="20"/>
          <w:szCs w:val="20"/>
        </w:rPr>
        <w:instrText xml:space="preserve"> REF _Ref31712719 \h  \* MERGEFORMAT </w:instrText>
      </w:r>
      <w:r w:rsidR="009223BE" w:rsidRPr="0053555E">
        <w:rPr>
          <w:rFonts w:asciiTheme="majorHAnsi" w:hAnsiTheme="majorHAnsi" w:cstheme="majorHAnsi"/>
          <w:sz w:val="20"/>
          <w:szCs w:val="20"/>
        </w:rPr>
      </w:r>
      <w:r w:rsidR="009223BE" w:rsidRPr="0053555E">
        <w:rPr>
          <w:rFonts w:asciiTheme="majorHAnsi" w:hAnsiTheme="majorHAnsi" w:cstheme="majorHAnsi"/>
          <w:sz w:val="20"/>
          <w:szCs w:val="20"/>
        </w:rPr>
        <w:fldChar w:fldCharType="separate"/>
      </w:r>
      <w:r w:rsidR="009223BE" w:rsidRPr="00EE1B59">
        <w:rPr>
          <w:rFonts w:asciiTheme="majorHAnsi" w:hAnsiTheme="majorHAnsi" w:cstheme="majorHAnsi"/>
          <w:sz w:val="20"/>
          <w:szCs w:val="20"/>
        </w:rPr>
        <w:t>Tab. č. 23</w:t>
      </w:r>
      <w:r w:rsidR="009223BE" w:rsidRPr="0053555E">
        <w:rPr>
          <w:rFonts w:asciiTheme="majorHAnsi" w:hAnsiTheme="majorHAnsi" w:cstheme="majorHAnsi"/>
          <w:sz w:val="20"/>
          <w:szCs w:val="20"/>
        </w:rPr>
        <w:fldChar w:fldCharType="end"/>
      </w:r>
      <w:r w:rsidR="009223BE" w:rsidRPr="0053555E">
        <w:rPr>
          <w:rFonts w:asciiTheme="majorHAnsi" w:hAnsiTheme="majorHAnsi" w:cstheme="majorHAnsi"/>
          <w:sz w:val="20"/>
          <w:szCs w:val="20"/>
        </w:rPr>
        <w:t>)</w:t>
      </w:r>
      <w:r w:rsidR="00305399" w:rsidRPr="0053555E">
        <w:rPr>
          <w:rFonts w:asciiTheme="majorHAnsi" w:hAnsiTheme="majorHAnsi" w:cstheme="majorHAnsi"/>
          <w:szCs w:val="20"/>
        </w:rPr>
        <w:t>.</w:t>
      </w:r>
      <w:r w:rsidR="002D1ACF" w:rsidRPr="0053555E">
        <w:rPr>
          <w:rFonts w:asciiTheme="majorHAnsi" w:hAnsiTheme="majorHAnsi" w:cstheme="majorHAnsi"/>
          <w:szCs w:val="20"/>
        </w:rPr>
        <w:t xml:space="preserve"> </w:t>
      </w:r>
      <w:bookmarkStart w:id="96" w:name="_Ref474779897"/>
      <w:bookmarkStart w:id="97" w:name="_Toc127593338"/>
    </w:p>
    <w:p w14:paraId="585582DE" w14:textId="37AF371D" w:rsidR="00235CEA" w:rsidRPr="00AB4E85" w:rsidRDefault="00C41753" w:rsidP="009223BE">
      <w:pPr>
        <w:tabs>
          <w:tab w:val="left" w:pos="9356"/>
        </w:tabs>
        <w:spacing w:after="120"/>
        <w:jc w:val="both"/>
        <w:rPr>
          <w:rFonts w:asciiTheme="majorHAnsi" w:hAnsiTheme="majorHAnsi" w:cstheme="majorHAnsi"/>
        </w:rPr>
      </w:pPr>
      <w:r w:rsidRPr="00AB4E85">
        <w:lastRenderedPageBreak/>
        <w:t xml:space="preserve">Graf č. </w:t>
      </w:r>
      <w:r w:rsidR="005E1B6C" w:rsidRPr="00AB4E85">
        <w:fldChar w:fldCharType="begin"/>
      </w:r>
      <w:r w:rsidR="005E1B6C" w:rsidRPr="00AB4E85">
        <w:instrText xml:space="preserve"> SEQ Graf_č. \* ARABIC </w:instrText>
      </w:r>
      <w:r w:rsidR="005E1B6C" w:rsidRPr="00AB4E85">
        <w:fldChar w:fldCharType="separate"/>
      </w:r>
      <w:r w:rsidR="00EE1B59" w:rsidRPr="00AB4E85">
        <w:rPr>
          <w:noProof/>
        </w:rPr>
        <w:t>10</w:t>
      </w:r>
      <w:r w:rsidR="005E1B6C" w:rsidRPr="00AB4E85">
        <w:fldChar w:fldCharType="end"/>
      </w:r>
      <w:bookmarkEnd w:id="96"/>
      <w:r w:rsidRPr="00AB4E85">
        <w:t xml:space="preserve">: </w:t>
      </w:r>
      <w:r w:rsidR="00F82C03" w:rsidRPr="00AB4E85">
        <w:t>Celkový počet prijatých uchádzačov a p</w:t>
      </w:r>
      <w:r w:rsidRPr="00AB4E85">
        <w:t>omer zapísaných a prijatých uch</w:t>
      </w:r>
      <w:r w:rsidR="00F82C03" w:rsidRPr="00AB4E85">
        <w:t>ádzačov prvého stupňa štúdia na </w:t>
      </w:r>
      <w:r w:rsidRPr="00AB4E85">
        <w:t xml:space="preserve">STU za ostatných </w:t>
      </w:r>
      <w:r w:rsidR="004B15EF" w:rsidRPr="00AB4E85">
        <w:t>sedem akademických</w:t>
      </w:r>
      <w:r w:rsidRPr="00AB4E85">
        <w:t xml:space="preserve"> rokov</w:t>
      </w:r>
      <w:bookmarkEnd w:id="97"/>
    </w:p>
    <w:p w14:paraId="638A6FB7" w14:textId="14C69BB8" w:rsidR="00235CEA" w:rsidRPr="0053555E" w:rsidRDefault="00235CEA" w:rsidP="00235CEA"/>
    <w:p w14:paraId="22508BBB" w14:textId="753012A6" w:rsidR="006C44E7" w:rsidRPr="0053555E" w:rsidRDefault="00A0487C" w:rsidP="00235CEA">
      <w:r w:rsidRPr="0053555E">
        <w:rPr>
          <w:noProof/>
          <w:lang w:eastAsia="sk-SK"/>
        </w:rPr>
        <w:drawing>
          <wp:inline distT="0" distB="0" distL="0" distR="0" wp14:anchorId="50486004" wp14:editId="574E43B2">
            <wp:extent cx="6012180" cy="2863970"/>
            <wp:effectExtent l="0" t="0" r="7620" b="0"/>
            <wp:docPr id="2" name="Graf 2">
              <a:extLst xmlns:a="http://schemas.openxmlformats.org/drawingml/2006/main">
                <a:ext uri="{FF2B5EF4-FFF2-40B4-BE49-F238E27FC236}">
                  <a16:creationId xmlns:a16="http://schemas.microsoft.com/office/drawing/2014/main"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672BCE7" w14:textId="77777777" w:rsidR="00143C2A" w:rsidRPr="0053555E" w:rsidRDefault="00143C2A" w:rsidP="00324438">
      <w:pPr>
        <w:rPr>
          <w:rFonts w:asciiTheme="majorHAnsi" w:eastAsia="Calibri" w:hAnsiTheme="majorHAnsi" w:cstheme="majorHAnsi"/>
        </w:rPr>
      </w:pPr>
    </w:p>
    <w:p w14:paraId="1AC5A424" w14:textId="4F8B9A24" w:rsidR="00C41753" w:rsidRPr="0053555E" w:rsidRDefault="00C41753" w:rsidP="00324438">
      <w:pPr>
        <w:tabs>
          <w:tab w:val="left" w:pos="9356"/>
        </w:tabs>
        <w:jc w:val="both"/>
        <w:rPr>
          <w:rFonts w:asciiTheme="majorHAnsi" w:eastAsia="Calibri" w:hAnsiTheme="majorHAnsi" w:cstheme="majorHAnsi"/>
        </w:rPr>
      </w:pPr>
      <w:r w:rsidRPr="0053555E">
        <w:rPr>
          <w:rFonts w:asciiTheme="majorHAnsi" w:eastAsia="Calibri" w:hAnsiTheme="majorHAnsi" w:cstheme="majorHAnsi"/>
        </w:rPr>
        <w:t xml:space="preserve">V porovnaní s akademickým rokom </w:t>
      </w:r>
      <w:r w:rsidR="00EA24BA" w:rsidRPr="0053555E">
        <w:rPr>
          <w:rFonts w:asciiTheme="majorHAnsi" w:eastAsia="Calibri" w:hAnsiTheme="majorHAnsi" w:cstheme="majorHAnsi"/>
        </w:rPr>
        <w:t>2021/2022</w:t>
      </w:r>
      <w:r w:rsidRPr="0053555E">
        <w:rPr>
          <w:rFonts w:asciiTheme="majorHAnsi" w:eastAsia="Calibri" w:hAnsiTheme="majorHAnsi" w:cstheme="majorHAnsi"/>
        </w:rPr>
        <w:t xml:space="preserve"> </w:t>
      </w:r>
      <w:r w:rsidRPr="0053555E">
        <w:rPr>
          <w:rFonts w:asciiTheme="majorHAnsi" w:eastAsia="Calibri" w:hAnsiTheme="majorHAnsi" w:cstheme="majorHAnsi"/>
          <w:b/>
        </w:rPr>
        <w:t xml:space="preserve">bol v absolútnych číslach zaznamenaný </w:t>
      </w:r>
      <w:r w:rsidR="00F23F52">
        <w:rPr>
          <w:rFonts w:asciiTheme="majorHAnsi" w:eastAsia="Calibri" w:hAnsiTheme="majorHAnsi" w:cstheme="majorHAnsi"/>
          <w:b/>
        </w:rPr>
        <w:t>nárast</w:t>
      </w:r>
      <w:r w:rsidRPr="0053555E">
        <w:rPr>
          <w:rFonts w:asciiTheme="majorHAnsi" w:eastAsia="Calibri" w:hAnsiTheme="majorHAnsi" w:cstheme="majorHAnsi"/>
          <w:b/>
        </w:rPr>
        <w:t xml:space="preserve"> zapísaných študentov z prijatých uchádzačov celkove na STU o</w:t>
      </w:r>
      <w:r w:rsidR="00967B1D">
        <w:rPr>
          <w:rFonts w:asciiTheme="majorHAnsi" w:eastAsia="Calibri" w:hAnsiTheme="majorHAnsi" w:cstheme="majorHAnsi"/>
          <w:b/>
        </w:rPr>
        <w:t xml:space="preserve"> 694 </w:t>
      </w:r>
      <w:r w:rsidRPr="0053555E">
        <w:rPr>
          <w:rFonts w:asciiTheme="majorHAnsi" w:eastAsia="Calibri" w:hAnsiTheme="majorHAnsi" w:cstheme="majorHAnsi"/>
          <w:b/>
        </w:rPr>
        <w:t>študentov</w:t>
      </w:r>
      <w:r w:rsidRPr="0053555E">
        <w:rPr>
          <w:rFonts w:asciiTheme="majorHAnsi" w:eastAsia="Calibri" w:hAnsiTheme="majorHAnsi" w:cstheme="majorHAnsi"/>
        </w:rPr>
        <w:t xml:space="preserve">. V celkovom počte zapísaných študentov bakalárskych študijných programov sú však zahrnutí aj študenti, ktorí v predchádzajúcich rokoch už študovali na STU, ale štúdium neskončili úspešne, boli vylúčení </w:t>
      </w:r>
      <w:r w:rsidR="00D5760D" w:rsidRPr="0053555E">
        <w:rPr>
          <w:rFonts w:asciiTheme="majorHAnsi" w:eastAsia="Calibri" w:hAnsiTheme="majorHAnsi" w:cstheme="majorHAnsi"/>
        </w:rPr>
        <w:t xml:space="preserve">zo štúdia </w:t>
      </w:r>
      <w:r w:rsidRPr="0053555E">
        <w:rPr>
          <w:rFonts w:asciiTheme="majorHAnsi" w:eastAsia="Calibri" w:hAnsiTheme="majorHAnsi" w:cstheme="majorHAnsi"/>
        </w:rPr>
        <w:t>pre</w:t>
      </w:r>
      <w:r w:rsidR="00D5760D" w:rsidRPr="0053555E">
        <w:rPr>
          <w:rFonts w:asciiTheme="majorHAnsi" w:eastAsia="Calibri" w:hAnsiTheme="majorHAnsi" w:cstheme="majorHAnsi"/>
        </w:rPr>
        <w:t xml:space="preserve"> </w:t>
      </w:r>
      <w:r w:rsidRPr="0053555E">
        <w:rPr>
          <w:rFonts w:asciiTheme="majorHAnsi" w:eastAsia="Calibri" w:hAnsiTheme="majorHAnsi" w:cstheme="majorHAnsi"/>
        </w:rPr>
        <w:t xml:space="preserve">nesplnenie požiadaviek, prípadne štúdium zanechali. Z </w:t>
      </w:r>
      <w:r w:rsidRPr="0053555E">
        <w:rPr>
          <w:rFonts w:asciiTheme="majorHAnsi" w:eastAsia="Calibri" w:hAnsiTheme="majorHAnsi" w:cstheme="majorHAnsi"/>
        </w:rPr>
        <w:fldChar w:fldCharType="begin"/>
      </w:r>
      <w:r w:rsidRPr="0053555E">
        <w:rPr>
          <w:rFonts w:asciiTheme="majorHAnsi" w:eastAsia="Calibri" w:hAnsiTheme="majorHAnsi" w:cstheme="majorHAnsi"/>
        </w:rPr>
        <w:instrText xml:space="preserve"> REF _Ref31712674 \h </w:instrText>
      </w:r>
      <w:r w:rsidR="00324438" w:rsidRPr="0053555E">
        <w:rPr>
          <w:rFonts w:asciiTheme="majorHAnsi" w:eastAsia="Calibri" w:hAnsiTheme="majorHAnsi" w:cstheme="majorHAnsi"/>
        </w:rPr>
        <w:instrText xml:space="preserve"> \* MERGEFORMAT </w:instrText>
      </w:r>
      <w:r w:rsidRPr="0053555E">
        <w:rPr>
          <w:rFonts w:asciiTheme="majorHAnsi" w:eastAsia="Calibri" w:hAnsiTheme="majorHAnsi" w:cstheme="majorHAnsi"/>
        </w:rPr>
      </w:r>
      <w:r w:rsidRPr="0053555E">
        <w:rPr>
          <w:rFonts w:asciiTheme="majorHAnsi" w:eastAsia="Calibri" w:hAnsiTheme="majorHAnsi" w:cstheme="majorHAnsi"/>
        </w:rPr>
        <w:fldChar w:fldCharType="separate"/>
      </w:r>
      <w:r w:rsidR="00EE1B59" w:rsidRPr="00EE1B59">
        <w:rPr>
          <w:rFonts w:asciiTheme="majorHAnsi" w:hAnsiTheme="majorHAnsi" w:cstheme="majorHAnsi"/>
          <w:sz w:val="20"/>
          <w:szCs w:val="20"/>
        </w:rPr>
        <w:t>Tab. č. 22</w:t>
      </w:r>
      <w:r w:rsidRPr="0053555E">
        <w:rPr>
          <w:rFonts w:asciiTheme="majorHAnsi" w:eastAsia="Calibri" w:hAnsiTheme="majorHAnsi" w:cstheme="majorHAnsi"/>
        </w:rPr>
        <w:fldChar w:fldCharType="end"/>
      </w:r>
      <w:r w:rsidRPr="0053555E">
        <w:rPr>
          <w:rFonts w:asciiTheme="majorHAnsi" w:eastAsia="Calibri" w:hAnsiTheme="majorHAnsi" w:cstheme="majorHAnsi"/>
        </w:rPr>
        <w:t xml:space="preserve"> je možné konštatovať, že </w:t>
      </w:r>
      <w:r w:rsidR="00D17A41" w:rsidRPr="0053555E">
        <w:rPr>
          <w:rFonts w:asciiTheme="majorHAnsi" w:eastAsia="Calibri" w:hAnsiTheme="majorHAnsi" w:cstheme="majorHAnsi"/>
        </w:rPr>
        <w:t xml:space="preserve">celkovo </w:t>
      </w:r>
      <w:r w:rsidRPr="0053555E">
        <w:rPr>
          <w:rFonts w:asciiTheme="majorHAnsi" w:eastAsia="Calibri" w:hAnsiTheme="majorHAnsi" w:cstheme="majorHAnsi"/>
        </w:rPr>
        <w:t xml:space="preserve">za univerzitu </w:t>
      </w:r>
      <w:r w:rsidR="00CF2C4E" w:rsidRPr="0053555E">
        <w:rPr>
          <w:rFonts w:asciiTheme="majorHAnsi" w:eastAsia="Calibri" w:hAnsiTheme="majorHAnsi" w:cstheme="majorHAnsi"/>
          <w:b/>
        </w:rPr>
        <w:t>11,</w:t>
      </w:r>
      <w:r w:rsidR="00967B1D">
        <w:rPr>
          <w:rFonts w:asciiTheme="majorHAnsi" w:eastAsia="Calibri" w:hAnsiTheme="majorHAnsi" w:cstheme="majorHAnsi"/>
          <w:b/>
        </w:rPr>
        <w:t>8</w:t>
      </w:r>
      <w:r w:rsidRPr="0053555E">
        <w:rPr>
          <w:rFonts w:asciiTheme="majorHAnsi" w:eastAsia="Calibri" w:hAnsiTheme="majorHAnsi" w:cstheme="majorHAnsi"/>
          <w:b/>
        </w:rPr>
        <w:t xml:space="preserve"> %</w:t>
      </w:r>
      <w:r w:rsidRPr="0053555E">
        <w:rPr>
          <w:rFonts w:asciiTheme="majorHAnsi" w:eastAsia="Calibri" w:hAnsiTheme="majorHAnsi" w:cstheme="majorHAnsi"/>
        </w:rPr>
        <w:t xml:space="preserve"> </w:t>
      </w:r>
      <w:r w:rsidR="00DA41FF">
        <w:rPr>
          <w:rFonts w:asciiTheme="majorHAnsi" w:eastAsia="Calibri" w:hAnsiTheme="majorHAnsi" w:cstheme="majorHAnsi"/>
        </w:rPr>
        <w:t xml:space="preserve">(377 v absolútnych číslach) </w:t>
      </w:r>
      <w:r w:rsidRPr="0053555E">
        <w:rPr>
          <w:rFonts w:asciiTheme="majorHAnsi" w:eastAsia="Calibri" w:hAnsiTheme="majorHAnsi" w:cstheme="majorHAnsi"/>
        </w:rPr>
        <w:t xml:space="preserve">zapísaných študentov z celkového počtu zapísaných študentov </w:t>
      </w:r>
      <w:r w:rsidR="006B1076" w:rsidRPr="0053555E">
        <w:rPr>
          <w:rFonts w:asciiTheme="majorHAnsi" w:eastAsia="Calibri" w:hAnsiTheme="majorHAnsi" w:cstheme="majorHAnsi"/>
        </w:rPr>
        <w:t xml:space="preserve">v prvom roku štúdia na </w:t>
      </w:r>
      <w:r w:rsidRPr="0053555E">
        <w:rPr>
          <w:rFonts w:asciiTheme="majorHAnsi" w:eastAsia="Calibri" w:hAnsiTheme="majorHAnsi" w:cstheme="majorHAnsi"/>
        </w:rPr>
        <w:t xml:space="preserve">STU </w:t>
      </w:r>
      <w:r w:rsidRPr="0053555E">
        <w:rPr>
          <w:rFonts w:asciiTheme="majorHAnsi" w:eastAsia="Calibri" w:hAnsiTheme="majorHAnsi" w:cstheme="majorHAnsi"/>
          <w:b/>
        </w:rPr>
        <w:t>už v minulosti neúspešne skončilo štúdium na príslušnej súčasti STU</w:t>
      </w:r>
      <w:r w:rsidRPr="0053555E">
        <w:rPr>
          <w:rFonts w:asciiTheme="majorHAnsi" w:eastAsia="Calibri" w:hAnsiTheme="majorHAnsi" w:cstheme="majorHAnsi"/>
        </w:rPr>
        <w:t xml:space="preserve">, pričom v rámci univerzity </w:t>
      </w:r>
      <w:r w:rsidR="00FB5682" w:rsidRPr="0053555E">
        <w:rPr>
          <w:rFonts w:asciiTheme="majorHAnsi" w:eastAsia="Calibri" w:hAnsiTheme="majorHAnsi" w:cstheme="majorHAnsi"/>
        </w:rPr>
        <w:t xml:space="preserve">bol zaznamenaný </w:t>
      </w:r>
      <w:r w:rsidR="00D86B9A">
        <w:rPr>
          <w:rFonts w:asciiTheme="majorHAnsi" w:eastAsia="Calibri" w:hAnsiTheme="majorHAnsi" w:cstheme="majorHAnsi"/>
        </w:rPr>
        <w:t>nárast</w:t>
      </w:r>
      <w:r w:rsidRPr="0053555E">
        <w:rPr>
          <w:rFonts w:asciiTheme="majorHAnsi" w:eastAsia="Calibri" w:hAnsiTheme="majorHAnsi" w:cstheme="majorHAnsi"/>
        </w:rPr>
        <w:t xml:space="preserve"> </w:t>
      </w:r>
      <w:r w:rsidR="00C52AD8" w:rsidRPr="0053555E">
        <w:rPr>
          <w:rFonts w:asciiTheme="majorHAnsi" w:eastAsia="Calibri" w:hAnsiTheme="majorHAnsi" w:cstheme="majorHAnsi"/>
        </w:rPr>
        <w:t>o 0,</w:t>
      </w:r>
      <w:r w:rsidR="000C3951">
        <w:rPr>
          <w:rFonts w:asciiTheme="majorHAnsi" w:eastAsia="Calibri" w:hAnsiTheme="majorHAnsi" w:cstheme="majorHAnsi"/>
        </w:rPr>
        <w:t>2</w:t>
      </w:r>
      <w:r w:rsidR="00C52AD8" w:rsidRPr="0053555E">
        <w:rPr>
          <w:rFonts w:asciiTheme="majorHAnsi" w:eastAsia="Calibri" w:hAnsiTheme="majorHAnsi" w:cstheme="majorHAnsi"/>
        </w:rPr>
        <w:t xml:space="preserve"> % </w:t>
      </w:r>
      <w:r w:rsidRPr="0053555E">
        <w:rPr>
          <w:rFonts w:asciiTheme="majorHAnsi" w:eastAsia="Calibri" w:hAnsiTheme="majorHAnsi" w:cstheme="majorHAnsi"/>
        </w:rPr>
        <w:t>oproti akad</w:t>
      </w:r>
      <w:r w:rsidR="00794842" w:rsidRPr="0053555E">
        <w:rPr>
          <w:rFonts w:asciiTheme="majorHAnsi" w:eastAsia="Calibri" w:hAnsiTheme="majorHAnsi" w:cstheme="majorHAnsi"/>
        </w:rPr>
        <w:t>emickému</w:t>
      </w:r>
      <w:r w:rsidRPr="0053555E">
        <w:rPr>
          <w:rFonts w:asciiTheme="majorHAnsi" w:eastAsia="Calibri" w:hAnsiTheme="majorHAnsi" w:cstheme="majorHAnsi"/>
        </w:rPr>
        <w:t xml:space="preserve"> roku </w:t>
      </w:r>
      <w:r w:rsidR="00EA24BA" w:rsidRPr="0053555E">
        <w:rPr>
          <w:rFonts w:asciiTheme="majorHAnsi" w:eastAsia="Calibri" w:hAnsiTheme="majorHAnsi" w:cstheme="majorHAnsi"/>
        </w:rPr>
        <w:t>2021/2022</w:t>
      </w:r>
      <w:r w:rsidRPr="0053555E">
        <w:rPr>
          <w:rFonts w:asciiTheme="majorHAnsi" w:eastAsia="Calibri" w:hAnsiTheme="majorHAnsi" w:cstheme="majorHAnsi"/>
        </w:rPr>
        <w:t>.</w:t>
      </w:r>
    </w:p>
    <w:p w14:paraId="2B36B1BA" w14:textId="77777777" w:rsidR="00C41753" w:rsidRPr="0053555E" w:rsidRDefault="00C41753" w:rsidP="00324438">
      <w:pPr>
        <w:tabs>
          <w:tab w:val="left" w:pos="9356"/>
        </w:tabs>
        <w:jc w:val="both"/>
        <w:rPr>
          <w:rFonts w:asciiTheme="majorHAnsi" w:eastAsia="Calibri" w:hAnsiTheme="majorHAnsi" w:cstheme="majorHAnsi"/>
        </w:rPr>
      </w:pPr>
    </w:p>
    <w:p w14:paraId="6C4CEC55" w14:textId="05E4E3C7" w:rsidR="00C41753" w:rsidRPr="0053555E" w:rsidRDefault="00C41753" w:rsidP="000E3322">
      <w:pPr>
        <w:pStyle w:val="Popis"/>
      </w:pPr>
      <w:bookmarkStart w:id="98" w:name="_Ref31712674"/>
      <w:bookmarkStart w:id="99" w:name="_Toc127593285"/>
      <w:r w:rsidRPr="0053555E">
        <w:t xml:space="preserve">Tab. č. </w:t>
      </w:r>
      <w:r w:rsidR="007B5953">
        <w:fldChar w:fldCharType="begin"/>
      </w:r>
      <w:r w:rsidR="007B5953">
        <w:instrText xml:space="preserve"> SEQ Tab._č. \* ARABIC </w:instrText>
      </w:r>
      <w:r w:rsidR="007B5953">
        <w:fldChar w:fldCharType="separate"/>
      </w:r>
      <w:r w:rsidR="00EE1B59">
        <w:rPr>
          <w:noProof/>
        </w:rPr>
        <w:t>22</w:t>
      </w:r>
      <w:r w:rsidR="007B5953">
        <w:rPr>
          <w:noProof/>
        </w:rPr>
        <w:fldChar w:fldCharType="end"/>
      </w:r>
      <w:bookmarkEnd w:id="98"/>
      <w:r w:rsidRPr="0053555E">
        <w:t>: Štruktúra zapísaných študentov s ohľadom na skutočnosť, či v minulosti neúspešne skončili štúdium na príslušnej súčasti STU</w:t>
      </w:r>
      <w:bookmarkEnd w:id="99"/>
    </w:p>
    <w:tbl>
      <w:tblPr>
        <w:tblW w:w="9498" w:type="dxa"/>
        <w:tblInd w:w="-5" w:type="dxa"/>
        <w:tblLayout w:type="fixed"/>
        <w:tblCellMar>
          <w:left w:w="70" w:type="dxa"/>
          <w:right w:w="70" w:type="dxa"/>
        </w:tblCellMar>
        <w:tblLook w:val="04A0" w:firstRow="1" w:lastRow="0" w:firstColumn="1" w:lastColumn="0" w:noHBand="0" w:noVBand="1"/>
      </w:tblPr>
      <w:tblGrid>
        <w:gridCol w:w="851"/>
        <w:gridCol w:w="1063"/>
        <w:gridCol w:w="1063"/>
        <w:gridCol w:w="2126"/>
        <w:gridCol w:w="1065"/>
        <w:gridCol w:w="1062"/>
        <w:gridCol w:w="2268"/>
      </w:tblGrid>
      <w:tr w:rsidR="00D5760D" w:rsidRPr="0053555E" w14:paraId="3C52D8CB" w14:textId="77777777" w:rsidTr="00B03F13">
        <w:trPr>
          <w:trHeight w:val="294"/>
        </w:trPr>
        <w:tc>
          <w:tcPr>
            <w:tcW w:w="851" w:type="dxa"/>
            <w:vMerge w:val="restart"/>
            <w:tcBorders>
              <w:top w:val="single" w:sz="4" w:space="0" w:color="auto"/>
              <w:left w:val="single" w:sz="4" w:space="0" w:color="auto"/>
              <w:right w:val="single" w:sz="4" w:space="0" w:color="auto"/>
            </w:tcBorders>
            <w:shd w:val="clear" w:color="auto" w:fill="auto"/>
            <w:vAlign w:val="center"/>
          </w:tcPr>
          <w:p w14:paraId="5E1368D2" w14:textId="77777777" w:rsidR="00C41753" w:rsidRPr="0053555E" w:rsidRDefault="00C41753" w:rsidP="002524F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Súčasť STU</w:t>
            </w:r>
          </w:p>
        </w:tc>
        <w:tc>
          <w:tcPr>
            <w:tcW w:w="4252" w:type="dxa"/>
            <w:gridSpan w:val="3"/>
            <w:tcBorders>
              <w:top w:val="single" w:sz="4" w:space="0" w:color="auto"/>
              <w:left w:val="nil"/>
              <w:bottom w:val="single" w:sz="4" w:space="0" w:color="auto"/>
              <w:right w:val="single" w:sz="4" w:space="0" w:color="auto"/>
            </w:tcBorders>
            <w:shd w:val="clear" w:color="auto" w:fill="auto"/>
            <w:vAlign w:val="center"/>
          </w:tcPr>
          <w:p w14:paraId="29A92884" w14:textId="037F6CE9" w:rsidR="00C41753" w:rsidRPr="0053555E" w:rsidRDefault="00EA24BA" w:rsidP="002524F8">
            <w:pPr>
              <w:tabs>
                <w:tab w:val="left" w:pos="9356"/>
              </w:tabs>
              <w:jc w:val="center"/>
              <w:rPr>
                <w:rFonts w:asciiTheme="majorHAnsi" w:eastAsia="Times New Roman" w:hAnsiTheme="majorHAnsi" w:cstheme="majorHAnsi"/>
                <w:sz w:val="16"/>
                <w:szCs w:val="16"/>
                <w:lang w:eastAsia="sk-SK"/>
              </w:rPr>
            </w:pPr>
            <w:r w:rsidRPr="0053555E">
              <w:rPr>
                <w:rFonts w:asciiTheme="majorHAnsi" w:eastAsia="Times New Roman" w:hAnsiTheme="majorHAnsi" w:cstheme="majorHAnsi"/>
                <w:b/>
                <w:bCs/>
                <w:sz w:val="22"/>
                <w:szCs w:val="22"/>
                <w:lang w:eastAsia="sk-SK"/>
              </w:rPr>
              <w:t>2021/2022</w:t>
            </w:r>
          </w:p>
        </w:tc>
        <w:tc>
          <w:tcPr>
            <w:tcW w:w="4395" w:type="dxa"/>
            <w:gridSpan w:val="3"/>
            <w:tcBorders>
              <w:top w:val="single" w:sz="4" w:space="0" w:color="auto"/>
              <w:left w:val="nil"/>
              <w:bottom w:val="single" w:sz="4" w:space="0" w:color="auto"/>
              <w:right w:val="single" w:sz="4" w:space="0" w:color="auto"/>
            </w:tcBorders>
            <w:shd w:val="clear" w:color="auto" w:fill="auto"/>
            <w:vAlign w:val="center"/>
          </w:tcPr>
          <w:p w14:paraId="59841CD4" w14:textId="6E44FBE1" w:rsidR="00C41753" w:rsidRPr="0053555E" w:rsidRDefault="00EA24BA" w:rsidP="002524F8">
            <w:pPr>
              <w:tabs>
                <w:tab w:val="left" w:pos="9356"/>
              </w:tabs>
              <w:jc w:val="center"/>
              <w:rPr>
                <w:rFonts w:asciiTheme="majorHAnsi" w:eastAsia="Times New Roman" w:hAnsiTheme="majorHAnsi" w:cstheme="majorHAnsi"/>
                <w:sz w:val="16"/>
                <w:szCs w:val="16"/>
                <w:lang w:eastAsia="sk-SK"/>
              </w:rPr>
            </w:pPr>
            <w:r w:rsidRPr="0053555E">
              <w:rPr>
                <w:rFonts w:asciiTheme="majorHAnsi" w:eastAsia="Times New Roman" w:hAnsiTheme="majorHAnsi" w:cstheme="majorHAnsi"/>
                <w:b/>
                <w:bCs/>
                <w:sz w:val="22"/>
                <w:szCs w:val="22"/>
                <w:lang w:eastAsia="sk-SK"/>
              </w:rPr>
              <w:t>2022/2023</w:t>
            </w:r>
          </w:p>
        </w:tc>
      </w:tr>
      <w:tr w:rsidR="00C41753" w:rsidRPr="0053555E" w14:paraId="77E7168C" w14:textId="77777777" w:rsidTr="00B03F13">
        <w:trPr>
          <w:trHeight w:val="554"/>
        </w:trPr>
        <w:tc>
          <w:tcPr>
            <w:tcW w:w="851" w:type="dxa"/>
            <w:vMerge/>
            <w:tcBorders>
              <w:left w:val="single" w:sz="4" w:space="0" w:color="auto"/>
              <w:bottom w:val="single" w:sz="4" w:space="0" w:color="000000"/>
              <w:right w:val="single" w:sz="4" w:space="0" w:color="auto"/>
            </w:tcBorders>
            <w:shd w:val="clear" w:color="auto" w:fill="auto"/>
            <w:vAlign w:val="center"/>
            <w:hideMark/>
          </w:tcPr>
          <w:p w14:paraId="5153AD2D" w14:textId="77777777" w:rsidR="00C41753" w:rsidRPr="0053555E" w:rsidRDefault="00C41753" w:rsidP="002524F8">
            <w:pPr>
              <w:tabs>
                <w:tab w:val="left" w:pos="9356"/>
              </w:tabs>
              <w:jc w:val="center"/>
              <w:rPr>
                <w:rFonts w:asciiTheme="majorHAnsi" w:eastAsia="Times New Roman" w:hAnsiTheme="majorHAnsi" w:cstheme="majorHAnsi"/>
                <w:b/>
                <w:bCs/>
                <w:sz w:val="22"/>
                <w:szCs w:val="22"/>
                <w:lang w:eastAsia="sk-SK"/>
              </w:rPr>
            </w:pPr>
          </w:p>
        </w:tc>
        <w:tc>
          <w:tcPr>
            <w:tcW w:w="1063" w:type="dxa"/>
            <w:tcBorders>
              <w:top w:val="nil"/>
              <w:left w:val="nil"/>
              <w:bottom w:val="single" w:sz="4" w:space="0" w:color="auto"/>
              <w:right w:val="single" w:sz="4" w:space="0" w:color="auto"/>
            </w:tcBorders>
            <w:shd w:val="clear" w:color="auto" w:fill="auto"/>
            <w:vAlign w:val="center"/>
            <w:hideMark/>
          </w:tcPr>
          <w:p w14:paraId="1227717D" w14:textId="77777777" w:rsidR="00C41753" w:rsidRPr="0053555E" w:rsidRDefault="00C41753" w:rsidP="002524F8">
            <w:pPr>
              <w:tabs>
                <w:tab w:val="left" w:pos="9356"/>
              </w:tabs>
              <w:jc w:val="center"/>
              <w:rPr>
                <w:rFonts w:asciiTheme="majorHAnsi" w:eastAsia="Times New Roman" w:hAnsiTheme="majorHAnsi" w:cstheme="majorHAnsi"/>
                <w:b/>
                <w:bCs/>
                <w:sz w:val="18"/>
                <w:szCs w:val="16"/>
                <w:lang w:eastAsia="sk-SK"/>
              </w:rPr>
            </w:pPr>
            <w:r w:rsidRPr="0053555E">
              <w:rPr>
                <w:rFonts w:asciiTheme="majorHAnsi" w:eastAsia="Times New Roman" w:hAnsiTheme="majorHAnsi" w:cstheme="majorHAnsi"/>
                <w:b/>
                <w:bCs/>
                <w:sz w:val="18"/>
                <w:szCs w:val="16"/>
                <w:lang w:eastAsia="sk-SK"/>
              </w:rPr>
              <w:t>počet zapísaných</w:t>
            </w:r>
          </w:p>
        </w:tc>
        <w:tc>
          <w:tcPr>
            <w:tcW w:w="1063" w:type="dxa"/>
            <w:tcBorders>
              <w:top w:val="nil"/>
              <w:left w:val="nil"/>
              <w:bottom w:val="single" w:sz="4" w:space="0" w:color="auto"/>
              <w:right w:val="single" w:sz="4" w:space="0" w:color="auto"/>
            </w:tcBorders>
            <w:shd w:val="clear" w:color="auto" w:fill="auto"/>
            <w:vAlign w:val="center"/>
            <w:hideMark/>
          </w:tcPr>
          <w:p w14:paraId="0E398F98" w14:textId="77777777" w:rsidR="00C41753" w:rsidRPr="0053555E" w:rsidRDefault="00C41753" w:rsidP="002524F8">
            <w:pPr>
              <w:tabs>
                <w:tab w:val="left" w:pos="9356"/>
              </w:tabs>
              <w:jc w:val="center"/>
              <w:rPr>
                <w:rFonts w:asciiTheme="majorHAnsi" w:eastAsia="Times New Roman" w:hAnsiTheme="majorHAnsi" w:cstheme="majorHAnsi"/>
                <w:b/>
                <w:bCs/>
                <w:sz w:val="18"/>
                <w:szCs w:val="16"/>
                <w:lang w:eastAsia="sk-SK"/>
              </w:rPr>
            </w:pPr>
            <w:r w:rsidRPr="0053555E">
              <w:rPr>
                <w:rFonts w:asciiTheme="majorHAnsi" w:eastAsia="Times New Roman" w:hAnsiTheme="majorHAnsi" w:cstheme="majorHAnsi"/>
                <w:b/>
                <w:bCs/>
                <w:sz w:val="18"/>
                <w:szCs w:val="16"/>
                <w:lang w:eastAsia="sk-SK"/>
              </w:rPr>
              <w:t>z toho novoprijatí</w:t>
            </w:r>
          </w:p>
        </w:tc>
        <w:tc>
          <w:tcPr>
            <w:tcW w:w="2126" w:type="dxa"/>
            <w:tcBorders>
              <w:top w:val="nil"/>
              <w:left w:val="nil"/>
              <w:bottom w:val="single" w:sz="4" w:space="0" w:color="auto"/>
              <w:right w:val="single" w:sz="4" w:space="0" w:color="auto"/>
            </w:tcBorders>
            <w:shd w:val="clear" w:color="auto" w:fill="auto"/>
            <w:vAlign w:val="center"/>
            <w:hideMark/>
          </w:tcPr>
          <w:p w14:paraId="51468320" w14:textId="77777777" w:rsidR="00C41753" w:rsidRPr="0053555E" w:rsidRDefault="00C41753" w:rsidP="002524F8">
            <w:pPr>
              <w:tabs>
                <w:tab w:val="left" w:pos="9356"/>
              </w:tabs>
              <w:jc w:val="center"/>
              <w:rPr>
                <w:rFonts w:asciiTheme="majorHAnsi" w:eastAsia="Times New Roman" w:hAnsiTheme="majorHAnsi" w:cstheme="majorHAnsi"/>
                <w:sz w:val="18"/>
                <w:szCs w:val="16"/>
                <w:lang w:eastAsia="sk-SK"/>
              </w:rPr>
            </w:pPr>
            <w:r w:rsidRPr="0053555E">
              <w:rPr>
                <w:rFonts w:asciiTheme="majorHAnsi" w:eastAsia="Times New Roman" w:hAnsiTheme="majorHAnsi" w:cstheme="majorHAnsi"/>
                <w:sz w:val="18"/>
                <w:szCs w:val="16"/>
                <w:lang w:eastAsia="sk-SK"/>
              </w:rPr>
              <w:t>% neúspešne skončených študentov, ktorí boli znovu prijatí a zapísali sa</w:t>
            </w:r>
          </w:p>
        </w:tc>
        <w:tc>
          <w:tcPr>
            <w:tcW w:w="1065" w:type="dxa"/>
            <w:tcBorders>
              <w:top w:val="nil"/>
              <w:left w:val="nil"/>
              <w:bottom w:val="single" w:sz="4" w:space="0" w:color="auto"/>
              <w:right w:val="single" w:sz="4" w:space="0" w:color="auto"/>
            </w:tcBorders>
            <w:shd w:val="clear" w:color="auto" w:fill="auto"/>
            <w:vAlign w:val="center"/>
            <w:hideMark/>
          </w:tcPr>
          <w:p w14:paraId="1921325A" w14:textId="77777777" w:rsidR="00C41753" w:rsidRPr="0053555E" w:rsidRDefault="00C41753" w:rsidP="002524F8">
            <w:pPr>
              <w:tabs>
                <w:tab w:val="left" w:pos="9356"/>
              </w:tabs>
              <w:jc w:val="center"/>
              <w:rPr>
                <w:rFonts w:asciiTheme="majorHAnsi" w:eastAsia="Times New Roman" w:hAnsiTheme="majorHAnsi" w:cstheme="majorHAnsi"/>
                <w:b/>
                <w:sz w:val="18"/>
                <w:szCs w:val="16"/>
                <w:lang w:eastAsia="sk-SK"/>
              </w:rPr>
            </w:pPr>
            <w:r w:rsidRPr="0053555E">
              <w:rPr>
                <w:rFonts w:asciiTheme="majorHAnsi" w:eastAsia="Times New Roman" w:hAnsiTheme="majorHAnsi" w:cstheme="majorHAnsi"/>
                <w:b/>
                <w:sz w:val="18"/>
                <w:szCs w:val="16"/>
                <w:lang w:eastAsia="sk-SK"/>
              </w:rPr>
              <w:t>počet zapísaných</w:t>
            </w:r>
          </w:p>
        </w:tc>
        <w:tc>
          <w:tcPr>
            <w:tcW w:w="1062" w:type="dxa"/>
            <w:tcBorders>
              <w:top w:val="nil"/>
              <w:left w:val="nil"/>
              <w:bottom w:val="single" w:sz="4" w:space="0" w:color="auto"/>
              <w:right w:val="single" w:sz="4" w:space="0" w:color="auto"/>
            </w:tcBorders>
            <w:shd w:val="clear" w:color="auto" w:fill="auto"/>
            <w:vAlign w:val="center"/>
            <w:hideMark/>
          </w:tcPr>
          <w:p w14:paraId="2995645D" w14:textId="77777777" w:rsidR="00C41753" w:rsidRPr="0053555E" w:rsidRDefault="00C41753" w:rsidP="002524F8">
            <w:pPr>
              <w:tabs>
                <w:tab w:val="left" w:pos="9356"/>
              </w:tabs>
              <w:jc w:val="center"/>
              <w:rPr>
                <w:rFonts w:asciiTheme="majorHAnsi" w:eastAsia="Times New Roman" w:hAnsiTheme="majorHAnsi" w:cstheme="majorHAnsi"/>
                <w:b/>
                <w:bCs/>
                <w:sz w:val="18"/>
                <w:szCs w:val="16"/>
                <w:lang w:eastAsia="sk-SK"/>
              </w:rPr>
            </w:pPr>
            <w:r w:rsidRPr="0053555E">
              <w:rPr>
                <w:rFonts w:asciiTheme="majorHAnsi" w:eastAsia="Times New Roman" w:hAnsiTheme="majorHAnsi" w:cstheme="majorHAnsi"/>
                <w:b/>
                <w:bCs/>
                <w:sz w:val="18"/>
                <w:szCs w:val="16"/>
                <w:lang w:eastAsia="sk-SK"/>
              </w:rPr>
              <w:t>z toho novoprijatí</w:t>
            </w:r>
          </w:p>
        </w:tc>
        <w:tc>
          <w:tcPr>
            <w:tcW w:w="2268" w:type="dxa"/>
            <w:tcBorders>
              <w:top w:val="nil"/>
              <w:left w:val="nil"/>
              <w:bottom w:val="single" w:sz="4" w:space="0" w:color="auto"/>
              <w:right w:val="single" w:sz="4" w:space="0" w:color="auto"/>
            </w:tcBorders>
            <w:shd w:val="clear" w:color="auto" w:fill="auto"/>
            <w:vAlign w:val="center"/>
            <w:hideMark/>
          </w:tcPr>
          <w:p w14:paraId="63380A11" w14:textId="77777777" w:rsidR="00C41753" w:rsidRPr="0053555E" w:rsidRDefault="00C41753" w:rsidP="002524F8">
            <w:pPr>
              <w:tabs>
                <w:tab w:val="left" w:pos="9356"/>
              </w:tabs>
              <w:jc w:val="center"/>
              <w:rPr>
                <w:rFonts w:asciiTheme="majorHAnsi" w:eastAsia="Times New Roman" w:hAnsiTheme="majorHAnsi" w:cstheme="majorHAnsi"/>
                <w:sz w:val="18"/>
                <w:szCs w:val="16"/>
                <w:lang w:eastAsia="sk-SK"/>
              </w:rPr>
            </w:pPr>
            <w:r w:rsidRPr="0053555E">
              <w:rPr>
                <w:rFonts w:asciiTheme="majorHAnsi" w:eastAsia="Times New Roman" w:hAnsiTheme="majorHAnsi" w:cstheme="majorHAnsi"/>
                <w:sz w:val="18"/>
                <w:szCs w:val="16"/>
                <w:lang w:eastAsia="sk-SK"/>
              </w:rPr>
              <w:t>% neúspešne skončených študentov, ktorí boli znovu prijatí a zapísali sa</w:t>
            </w:r>
          </w:p>
        </w:tc>
      </w:tr>
      <w:tr w:rsidR="007A1C80" w:rsidRPr="0053555E" w14:paraId="4FE33708" w14:textId="77777777" w:rsidTr="00B03F1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758FA08" w14:textId="77777777" w:rsidR="007A1C80" w:rsidRPr="0053555E" w:rsidRDefault="007A1C80" w:rsidP="007A1C80">
            <w:pPr>
              <w:tabs>
                <w:tab w:val="left" w:pos="9356"/>
              </w:tabs>
              <w:jc w:val="both"/>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SvF</w:t>
            </w:r>
          </w:p>
        </w:tc>
        <w:tc>
          <w:tcPr>
            <w:tcW w:w="1063" w:type="dxa"/>
            <w:tcBorders>
              <w:top w:val="nil"/>
              <w:left w:val="nil"/>
              <w:bottom w:val="single" w:sz="4" w:space="0" w:color="auto"/>
              <w:right w:val="single" w:sz="4" w:space="0" w:color="auto"/>
            </w:tcBorders>
            <w:shd w:val="clear" w:color="auto" w:fill="auto"/>
            <w:noWrap/>
            <w:vAlign w:val="bottom"/>
            <w:hideMark/>
          </w:tcPr>
          <w:p w14:paraId="2B7D0ACE" w14:textId="58F30474" w:rsidR="007A1C80" w:rsidRPr="0053555E" w:rsidRDefault="007A1C80" w:rsidP="007A1C80">
            <w:pPr>
              <w:jc w:val="center"/>
              <w:rPr>
                <w:rFonts w:asciiTheme="majorHAnsi" w:hAnsiTheme="majorHAnsi" w:cstheme="majorHAnsi"/>
                <w:szCs w:val="22"/>
              </w:rPr>
            </w:pPr>
            <w:r w:rsidRPr="0053555E">
              <w:rPr>
                <w:rFonts w:cs="Calibri"/>
                <w:szCs w:val="22"/>
              </w:rPr>
              <w:t>768</w:t>
            </w:r>
          </w:p>
        </w:tc>
        <w:tc>
          <w:tcPr>
            <w:tcW w:w="1063" w:type="dxa"/>
            <w:tcBorders>
              <w:top w:val="nil"/>
              <w:left w:val="nil"/>
              <w:bottom w:val="single" w:sz="4" w:space="0" w:color="auto"/>
              <w:right w:val="single" w:sz="4" w:space="0" w:color="auto"/>
            </w:tcBorders>
            <w:shd w:val="clear" w:color="auto" w:fill="auto"/>
            <w:noWrap/>
            <w:vAlign w:val="bottom"/>
            <w:hideMark/>
          </w:tcPr>
          <w:p w14:paraId="77144B16" w14:textId="31A8DFB7" w:rsidR="007A1C80" w:rsidRPr="0053555E" w:rsidRDefault="007A1C80" w:rsidP="007A1C80">
            <w:pPr>
              <w:jc w:val="center"/>
              <w:rPr>
                <w:rFonts w:asciiTheme="majorHAnsi" w:hAnsiTheme="majorHAnsi" w:cstheme="majorHAnsi"/>
                <w:szCs w:val="22"/>
              </w:rPr>
            </w:pPr>
            <w:r w:rsidRPr="0053555E">
              <w:rPr>
                <w:rFonts w:cs="Calibri"/>
                <w:szCs w:val="22"/>
              </w:rPr>
              <w:t>626</w:t>
            </w:r>
          </w:p>
        </w:tc>
        <w:tc>
          <w:tcPr>
            <w:tcW w:w="2126" w:type="dxa"/>
            <w:tcBorders>
              <w:top w:val="nil"/>
              <w:left w:val="nil"/>
              <w:bottom w:val="single" w:sz="4" w:space="0" w:color="auto"/>
              <w:right w:val="single" w:sz="4" w:space="0" w:color="auto"/>
            </w:tcBorders>
            <w:shd w:val="clear" w:color="auto" w:fill="auto"/>
            <w:noWrap/>
            <w:vAlign w:val="bottom"/>
            <w:hideMark/>
          </w:tcPr>
          <w:p w14:paraId="60918B6B" w14:textId="47762585" w:rsidR="007A1C80" w:rsidRPr="0053555E" w:rsidRDefault="007A1C80" w:rsidP="007A1C80">
            <w:pPr>
              <w:jc w:val="center"/>
              <w:rPr>
                <w:rFonts w:asciiTheme="majorHAnsi" w:hAnsiTheme="majorHAnsi" w:cstheme="majorHAnsi"/>
                <w:b/>
                <w:bCs/>
                <w:szCs w:val="22"/>
              </w:rPr>
            </w:pPr>
            <w:r w:rsidRPr="0053555E">
              <w:rPr>
                <w:rFonts w:cs="Calibri"/>
                <w:b/>
                <w:bCs/>
                <w:szCs w:val="22"/>
              </w:rPr>
              <w:t>18,5</w:t>
            </w:r>
            <w:r w:rsidR="007C20BB" w:rsidRPr="0053555E">
              <w:rPr>
                <w:rFonts w:cs="Calibri"/>
                <w:b/>
                <w:bCs/>
                <w:szCs w:val="22"/>
              </w:rPr>
              <w:t xml:space="preserve"> </w:t>
            </w:r>
            <w:r w:rsidRPr="0053555E">
              <w:rPr>
                <w:rFonts w:cs="Calibri"/>
                <w:b/>
                <w:bCs/>
                <w:szCs w:val="22"/>
              </w:rPr>
              <w:t>%</w:t>
            </w:r>
          </w:p>
        </w:tc>
        <w:tc>
          <w:tcPr>
            <w:tcW w:w="1065" w:type="dxa"/>
            <w:tcBorders>
              <w:top w:val="nil"/>
              <w:left w:val="nil"/>
              <w:bottom w:val="single" w:sz="4" w:space="0" w:color="auto"/>
              <w:right w:val="single" w:sz="4" w:space="0" w:color="auto"/>
            </w:tcBorders>
            <w:shd w:val="clear" w:color="auto" w:fill="auto"/>
            <w:noWrap/>
            <w:vAlign w:val="bottom"/>
            <w:hideMark/>
          </w:tcPr>
          <w:p w14:paraId="4A9E6E99" w14:textId="1308D429" w:rsidR="007A1C80" w:rsidRPr="0053555E" w:rsidRDefault="007A1C80" w:rsidP="007A1C80">
            <w:pPr>
              <w:jc w:val="center"/>
              <w:rPr>
                <w:rFonts w:asciiTheme="majorHAnsi" w:hAnsiTheme="majorHAnsi" w:cstheme="majorHAnsi"/>
                <w:szCs w:val="22"/>
              </w:rPr>
            </w:pPr>
            <w:r w:rsidRPr="0053555E">
              <w:rPr>
                <w:rFonts w:cs="Calibri"/>
                <w:szCs w:val="22"/>
              </w:rPr>
              <w:t>879</w:t>
            </w:r>
          </w:p>
        </w:tc>
        <w:tc>
          <w:tcPr>
            <w:tcW w:w="1062" w:type="dxa"/>
            <w:tcBorders>
              <w:top w:val="nil"/>
              <w:left w:val="nil"/>
              <w:bottom w:val="single" w:sz="4" w:space="0" w:color="auto"/>
              <w:right w:val="single" w:sz="4" w:space="0" w:color="auto"/>
            </w:tcBorders>
            <w:shd w:val="clear" w:color="auto" w:fill="auto"/>
            <w:noWrap/>
            <w:vAlign w:val="bottom"/>
            <w:hideMark/>
          </w:tcPr>
          <w:p w14:paraId="3B05BE8C" w14:textId="5FE05566" w:rsidR="007A1C80" w:rsidRPr="0053555E" w:rsidRDefault="007A1C80" w:rsidP="007A1C80">
            <w:pPr>
              <w:jc w:val="center"/>
              <w:rPr>
                <w:rFonts w:asciiTheme="majorHAnsi" w:hAnsiTheme="majorHAnsi" w:cstheme="majorHAnsi"/>
                <w:szCs w:val="22"/>
              </w:rPr>
            </w:pPr>
            <w:r w:rsidRPr="0053555E">
              <w:rPr>
                <w:rFonts w:cs="Calibri"/>
                <w:szCs w:val="22"/>
              </w:rPr>
              <w:t>753</w:t>
            </w:r>
          </w:p>
        </w:tc>
        <w:tc>
          <w:tcPr>
            <w:tcW w:w="2268" w:type="dxa"/>
            <w:tcBorders>
              <w:top w:val="nil"/>
              <w:left w:val="nil"/>
              <w:bottom w:val="single" w:sz="4" w:space="0" w:color="auto"/>
              <w:right w:val="single" w:sz="4" w:space="0" w:color="auto"/>
            </w:tcBorders>
            <w:shd w:val="clear" w:color="auto" w:fill="auto"/>
            <w:noWrap/>
            <w:vAlign w:val="bottom"/>
            <w:hideMark/>
          </w:tcPr>
          <w:p w14:paraId="666BC7F7" w14:textId="72B01E5F" w:rsidR="007A1C80" w:rsidRPr="0053555E" w:rsidRDefault="007A1C80" w:rsidP="007A1C80">
            <w:pPr>
              <w:jc w:val="center"/>
              <w:rPr>
                <w:rFonts w:asciiTheme="majorHAnsi" w:hAnsiTheme="majorHAnsi" w:cstheme="majorHAnsi"/>
                <w:b/>
                <w:bCs/>
                <w:szCs w:val="22"/>
              </w:rPr>
            </w:pPr>
            <w:r w:rsidRPr="0053555E">
              <w:rPr>
                <w:rFonts w:cs="Calibri"/>
                <w:b/>
                <w:bCs/>
                <w:szCs w:val="22"/>
              </w:rPr>
              <w:t>14,3</w:t>
            </w:r>
            <w:r w:rsidR="007C20BB" w:rsidRPr="0053555E">
              <w:rPr>
                <w:rFonts w:cs="Calibri"/>
                <w:b/>
                <w:bCs/>
                <w:szCs w:val="22"/>
              </w:rPr>
              <w:t xml:space="preserve"> </w:t>
            </w:r>
            <w:r w:rsidRPr="0053555E">
              <w:rPr>
                <w:rFonts w:cs="Calibri"/>
                <w:b/>
                <w:bCs/>
                <w:szCs w:val="22"/>
              </w:rPr>
              <w:t>%</w:t>
            </w:r>
          </w:p>
        </w:tc>
      </w:tr>
      <w:tr w:rsidR="007A1C80" w:rsidRPr="0053555E" w14:paraId="7CEDB739" w14:textId="77777777" w:rsidTr="00B03F1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AC301C0" w14:textId="77777777" w:rsidR="007A1C80" w:rsidRPr="0053555E" w:rsidRDefault="007A1C80" w:rsidP="007A1C80">
            <w:pPr>
              <w:tabs>
                <w:tab w:val="left" w:pos="9356"/>
              </w:tabs>
              <w:jc w:val="both"/>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SjF</w:t>
            </w:r>
          </w:p>
        </w:tc>
        <w:tc>
          <w:tcPr>
            <w:tcW w:w="1063" w:type="dxa"/>
            <w:tcBorders>
              <w:top w:val="nil"/>
              <w:left w:val="nil"/>
              <w:bottom w:val="single" w:sz="4" w:space="0" w:color="auto"/>
              <w:right w:val="single" w:sz="4" w:space="0" w:color="auto"/>
            </w:tcBorders>
            <w:shd w:val="clear" w:color="auto" w:fill="auto"/>
            <w:noWrap/>
            <w:vAlign w:val="bottom"/>
            <w:hideMark/>
          </w:tcPr>
          <w:p w14:paraId="06270669" w14:textId="172A687F" w:rsidR="007A1C80" w:rsidRPr="0053555E" w:rsidRDefault="007A1C80" w:rsidP="007A1C80">
            <w:pPr>
              <w:jc w:val="center"/>
              <w:rPr>
                <w:rFonts w:asciiTheme="majorHAnsi" w:hAnsiTheme="majorHAnsi" w:cstheme="majorHAnsi"/>
                <w:szCs w:val="22"/>
              </w:rPr>
            </w:pPr>
            <w:r w:rsidRPr="0053555E">
              <w:rPr>
                <w:rFonts w:cs="Calibri"/>
                <w:szCs w:val="22"/>
              </w:rPr>
              <w:t>227</w:t>
            </w:r>
          </w:p>
        </w:tc>
        <w:tc>
          <w:tcPr>
            <w:tcW w:w="1063" w:type="dxa"/>
            <w:tcBorders>
              <w:top w:val="nil"/>
              <w:left w:val="nil"/>
              <w:bottom w:val="single" w:sz="4" w:space="0" w:color="auto"/>
              <w:right w:val="single" w:sz="4" w:space="0" w:color="auto"/>
            </w:tcBorders>
            <w:shd w:val="clear" w:color="auto" w:fill="auto"/>
            <w:noWrap/>
            <w:vAlign w:val="bottom"/>
            <w:hideMark/>
          </w:tcPr>
          <w:p w14:paraId="222D8D96" w14:textId="4272905B" w:rsidR="007A1C80" w:rsidRPr="0053555E" w:rsidRDefault="007A1C80" w:rsidP="007A1C80">
            <w:pPr>
              <w:jc w:val="center"/>
              <w:rPr>
                <w:rFonts w:asciiTheme="majorHAnsi" w:hAnsiTheme="majorHAnsi" w:cstheme="majorHAnsi"/>
                <w:szCs w:val="22"/>
              </w:rPr>
            </w:pPr>
            <w:r w:rsidRPr="0053555E">
              <w:rPr>
                <w:rFonts w:cs="Calibri"/>
                <w:szCs w:val="22"/>
              </w:rPr>
              <w:t>192</w:t>
            </w:r>
          </w:p>
        </w:tc>
        <w:tc>
          <w:tcPr>
            <w:tcW w:w="2126" w:type="dxa"/>
            <w:tcBorders>
              <w:top w:val="nil"/>
              <w:left w:val="nil"/>
              <w:bottom w:val="single" w:sz="4" w:space="0" w:color="auto"/>
              <w:right w:val="single" w:sz="4" w:space="0" w:color="auto"/>
            </w:tcBorders>
            <w:shd w:val="clear" w:color="auto" w:fill="auto"/>
            <w:noWrap/>
            <w:vAlign w:val="bottom"/>
            <w:hideMark/>
          </w:tcPr>
          <w:p w14:paraId="489D8A1C" w14:textId="1A8A4752" w:rsidR="007A1C80" w:rsidRPr="0053555E" w:rsidRDefault="007A1C80" w:rsidP="007A1C80">
            <w:pPr>
              <w:jc w:val="center"/>
              <w:rPr>
                <w:rFonts w:asciiTheme="majorHAnsi" w:hAnsiTheme="majorHAnsi" w:cstheme="majorHAnsi"/>
                <w:b/>
                <w:bCs/>
                <w:szCs w:val="22"/>
              </w:rPr>
            </w:pPr>
            <w:r w:rsidRPr="0053555E">
              <w:rPr>
                <w:rFonts w:cs="Calibri"/>
                <w:b/>
                <w:bCs/>
                <w:szCs w:val="22"/>
              </w:rPr>
              <w:t>15,4</w:t>
            </w:r>
            <w:r w:rsidR="007C20BB" w:rsidRPr="0053555E">
              <w:rPr>
                <w:rFonts w:cs="Calibri"/>
                <w:b/>
                <w:bCs/>
                <w:szCs w:val="22"/>
              </w:rPr>
              <w:t xml:space="preserve"> </w:t>
            </w:r>
            <w:r w:rsidRPr="0053555E">
              <w:rPr>
                <w:rFonts w:cs="Calibri"/>
                <w:b/>
                <w:bCs/>
                <w:szCs w:val="22"/>
              </w:rPr>
              <w:t>%</w:t>
            </w:r>
          </w:p>
        </w:tc>
        <w:tc>
          <w:tcPr>
            <w:tcW w:w="1065" w:type="dxa"/>
            <w:tcBorders>
              <w:top w:val="nil"/>
              <w:left w:val="nil"/>
              <w:bottom w:val="single" w:sz="4" w:space="0" w:color="auto"/>
              <w:right w:val="single" w:sz="4" w:space="0" w:color="auto"/>
            </w:tcBorders>
            <w:shd w:val="clear" w:color="auto" w:fill="auto"/>
            <w:noWrap/>
            <w:vAlign w:val="bottom"/>
            <w:hideMark/>
          </w:tcPr>
          <w:p w14:paraId="5EC82D1C" w14:textId="7EDECAD1" w:rsidR="007A1C80" w:rsidRPr="0053555E" w:rsidRDefault="007A1C80" w:rsidP="007A1C80">
            <w:pPr>
              <w:jc w:val="center"/>
              <w:rPr>
                <w:rFonts w:asciiTheme="majorHAnsi" w:hAnsiTheme="majorHAnsi" w:cstheme="majorHAnsi"/>
                <w:szCs w:val="22"/>
              </w:rPr>
            </w:pPr>
            <w:r w:rsidRPr="0053555E">
              <w:rPr>
                <w:rFonts w:cs="Calibri"/>
                <w:szCs w:val="22"/>
              </w:rPr>
              <w:t>356</w:t>
            </w:r>
          </w:p>
        </w:tc>
        <w:tc>
          <w:tcPr>
            <w:tcW w:w="1062" w:type="dxa"/>
            <w:tcBorders>
              <w:top w:val="nil"/>
              <w:left w:val="nil"/>
              <w:bottom w:val="single" w:sz="4" w:space="0" w:color="auto"/>
              <w:right w:val="single" w:sz="4" w:space="0" w:color="auto"/>
            </w:tcBorders>
            <w:shd w:val="clear" w:color="auto" w:fill="auto"/>
            <w:noWrap/>
            <w:vAlign w:val="bottom"/>
            <w:hideMark/>
          </w:tcPr>
          <w:p w14:paraId="40777C50" w14:textId="5C0D0BAB" w:rsidR="007A1C80" w:rsidRPr="0053555E" w:rsidRDefault="007A1C80" w:rsidP="007A1C80">
            <w:pPr>
              <w:jc w:val="center"/>
              <w:rPr>
                <w:rFonts w:asciiTheme="majorHAnsi" w:hAnsiTheme="majorHAnsi" w:cstheme="majorHAnsi"/>
                <w:szCs w:val="22"/>
              </w:rPr>
            </w:pPr>
            <w:r w:rsidRPr="0053555E">
              <w:rPr>
                <w:rFonts w:cs="Calibri"/>
                <w:szCs w:val="22"/>
              </w:rPr>
              <w:t>274</w:t>
            </w:r>
          </w:p>
        </w:tc>
        <w:tc>
          <w:tcPr>
            <w:tcW w:w="2268" w:type="dxa"/>
            <w:tcBorders>
              <w:top w:val="nil"/>
              <w:left w:val="nil"/>
              <w:bottom w:val="single" w:sz="4" w:space="0" w:color="auto"/>
              <w:right w:val="single" w:sz="4" w:space="0" w:color="auto"/>
            </w:tcBorders>
            <w:shd w:val="clear" w:color="auto" w:fill="auto"/>
            <w:noWrap/>
            <w:vAlign w:val="bottom"/>
            <w:hideMark/>
          </w:tcPr>
          <w:p w14:paraId="42E8ED8B" w14:textId="698A0A0F" w:rsidR="007A1C80" w:rsidRPr="0053555E" w:rsidRDefault="007A1C80" w:rsidP="007A1C80">
            <w:pPr>
              <w:jc w:val="center"/>
              <w:rPr>
                <w:rFonts w:asciiTheme="majorHAnsi" w:hAnsiTheme="majorHAnsi" w:cstheme="majorHAnsi"/>
                <w:b/>
                <w:bCs/>
                <w:szCs w:val="22"/>
              </w:rPr>
            </w:pPr>
            <w:r w:rsidRPr="0053555E">
              <w:rPr>
                <w:rFonts w:cs="Calibri"/>
                <w:b/>
                <w:bCs/>
                <w:szCs w:val="22"/>
              </w:rPr>
              <w:t>23,0</w:t>
            </w:r>
            <w:r w:rsidR="007C20BB" w:rsidRPr="0053555E">
              <w:rPr>
                <w:rFonts w:cs="Calibri"/>
                <w:b/>
                <w:bCs/>
                <w:szCs w:val="22"/>
              </w:rPr>
              <w:t xml:space="preserve"> </w:t>
            </w:r>
            <w:r w:rsidRPr="0053555E">
              <w:rPr>
                <w:rFonts w:cs="Calibri"/>
                <w:b/>
                <w:bCs/>
                <w:szCs w:val="22"/>
              </w:rPr>
              <w:t>%</w:t>
            </w:r>
          </w:p>
        </w:tc>
      </w:tr>
      <w:tr w:rsidR="007A1C80" w:rsidRPr="0053555E" w14:paraId="5BBB7321" w14:textId="77777777" w:rsidTr="00B03F1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69AFBB8" w14:textId="77777777" w:rsidR="007A1C80" w:rsidRPr="0053555E" w:rsidRDefault="007A1C80" w:rsidP="007A1C80">
            <w:pPr>
              <w:tabs>
                <w:tab w:val="left" w:pos="9356"/>
              </w:tabs>
              <w:jc w:val="both"/>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FEI</w:t>
            </w:r>
          </w:p>
        </w:tc>
        <w:tc>
          <w:tcPr>
            <w:tcW w:w="1063" w:type="dxa"/>
            <w:tcBorders>
              <w:top w:val="nil"/>
              <w:left w:val="nil"/>
              <w:bottom w:val="single" w:sz="4" w:space="0" w:color="auto"/>
              <w:right w:val="single" w:sz="4" w:space="0" w:color="auto"/>
            </w:tcBorders>
            <w:shd w:val="clear" w:color="auto" w:fill="auto"/>
            <w:noWrap/>
            <w:vAlign w:val="bottom"/>
            <w:hideMark/>
          </w:tcPr>
          <w:p w14:paraId="42B79EFB" w14:textId="5AA4B953" w:rsidR="007A1C80" w:rsidRPr="0053555E" w:rsidRDefault="007A1C80" w:rsidP="007A1C80">
            <w:pPr>
              <w:jc w:val="center"/>
              <w:rPr>
                <w:rFonts w:asciiTheme="majorHAnsi" w:hAnsiTheme="majorHAnsi" w:cstheme="majorHAnsi"/>
                <w:szCs w:val="22"/>
              </w:rPr>
            </w:pPr>
            <w:r w:rsidRPr="0053555E">
              <w:rPr>
                <w:rFonts w:cs="Calibri"/>
                <w:szCs w:val="22"/>
              </w:rPr>
              <w:t>564</w:t>
            </w:r>
          </w:p>
        </w:tc>
        <w:tc>
          <w:tcPr>
            <w:tcW w:w="1063" w:type="dxa"/>
            <w:tcBorders>
              <w:top w:val="nil"/>
              <w:left w:val="nil"/>
              <w:bottom w:val="single" w:sz="4" w:space="0" w:color="auto"/>
              <w:right w:val="single" w:sz="4" w:space="0" w:color="auto"/>
            </w:tcBorders>
            <w:shd w:val="clear" w:color="auto" w:fill="auto"/>
            <w:noWrap/>
            <w:vAlign w:val="bottom"/>
            <w:hideMark/>
          </w:tcPr>
          <w:p w14:paraId="195AD48F" w14:textId="065E82B4" w:rsidR="007A1C80" w:rsidRPr="0053555E" w:rsidRDefault="007A1C80" w:rsidP="007A1C80">
            <w:pPr>
              <w:jc w:val="center"/>
              <w:rPr>
                <w:rFonts w:asciiTheme="majorHAnsi" w:hAnsiTheme="majorHAnsi" w:cstheme="majorHAnsi"/>
                <w:szCs w:val="22"/>
              </w:rPr>
            </w:pPr>
            <w:r w:rsidRPr="0053555E">
              <w:rPr>
                <w:rFonts w:cs="Calibri"/>
                <w:szCs w:val="22"/>
              </w:rPr>
              <w:t>513</w:t>
            </w:r>
          </w:p>
        </w:tc>
        <w:tc>
          <w:tcPr>
            <w:tcW w:w="2126" w:type="dxa"/>
            <w:tcBorders>
              <w:top w:val="nil"/>
              <w:left w:val="nil"/>
              <w:bottom w:val="single" w:sz="4" w:space="0" w:color="auto"/>
              <w:right w:val="single" w:sz="4" w:space="0" w:color="auto"/>
            </w:tcBorders>
            <w:shd w:val="clear" w:color="auto" w:fill="auto"/>
            <w:noWrap/>
            <w:vAlign w:val="bottom"/>
            <w:hideMark/>
          </w:tcPr>
          <w:p w14:paraId="4C992F77" w14:textId="45DECCC3" w:rsidR="007A1C80" w:rsidRPr="0053555E" w:rsidRDefault="007A1C80" w:rsidP="007A1C80">
            <w:pPr>
              <w:jc w:val="center"/>
              <w:rPr>
                <w:rFonts w:asciiTheme="majorHAnsi" w:hAnsiTheme="majorHAnsi" w:cstheme="majorHAnsi"/>
                <w:b/>
                <w:bCs/>
                <w:szCs w:val="22"/>
              </w:rPr>
            </w:pPr>
            <w:r w:rsidRPr="0053555E">
              <w:rPr>
                <w:rFonts w:cs="Calibri"/>
                <w:b/>
                <w:bCs/>
                <w:szCs w:val="22"/>
              </w:rPr>
              <w:t>9,0</w:t>
            </w:r>
            <w:r w:rsidR="007C20BB" w:rsidRPr="0053555E">
              <w:rPr>
                <w:rFonts w:cs="Calibri"/>
                <w:b/>
                <w:bCs/>
                <w:szCs w:val="22"/>
              </w:rPr>
              <w:t xml:space="preserve"> </w:t>
            </w:r>
            <w:r w:rsidRPr="0053555E">
              <w:rPr>
                <w:rFonts w:cs="Calibri"/>
                <w:b/>
                <w:bCs/>
                <w:szCs w:val="22"/>
              </w:rPr>
              <w:t>%</w:t>
            </w:r>
          </w:p>
        </w:tc>
        <w:tc>
          <w:tcPr>
            <w:tcW w:w="1065" w:type="dxa"/>
            <w:tcBorders>
              <w:top w:val="nil"/>
              <w:left w:val="nil"/>
              <w:bottom w:val="single" w:sz="4" w:space="0" w:color="auto"/>
              <w:right w:val="single" w:sz="4" w:space="0" w:color="auto"/>
            </w:tcBorders>
            <w:shd w:val="clear" w:color="auto" w:fill="auto"/>
            <w:noWrap/>
            <w:vAlign w:val="bottom"/>
            <w:hideMark/>
          </w:tcPr>
          <w:p w14:paraId="2BBEC6F1" w14:textId="15CFB35C" w:rsidR="007A1C80" w:rsidRPr="0053555E" w:rsidRDefault="007A1C80" w:rsidP="007A1C80">
            <w:pPr>
              <w:jc w:val="center"/>
              <w:rPr>
                <w:rFonts w:asciiTheme="majorHAnsi" w:hAnsiTheme="majorHAnsi" w:cstheme="majorHAnsi"/>
                <w:szCs w:val="22"/>
              </w:rPr>
            </w:pPr>
            <w:r w:rsidRPr="0053555E">
              <w:rPr>
                <w:rFonts w:cs="Calibri"/>
                <w:szCs w:val="22"/>
              </w:rPr>
              <w:t>705</w:t>
            </w:r>
          </w:p>
        </w:tc>
        <w:tc>
          <w:tcPr>
            <w:tcW w:w="1062" w:type="dxa"/>
            <w:tcBorders>
              <w:top w:val="nil"/>
              <w:left w:val="nil"/>
              <w:bottom w:val="single" w:sz="4" w:space="0" w:color="auto"/>
              <w:right w:val="single" w:sz="4" w:space="0" w:color="auto"/>
            </w:tcBorders>
            <w:shd w:val="clear" w:color="auto" w:fill="auto"/>
            <w:noWrap/>
            <w:vAlign w:val="bottom"/>
            <w:hideMark/>
          </w:tcPr>
          <w:p w14:paraId="50E2D5CE" w14:textId="65966A0E" w:rsidR="007A1C80" w:rsidRPr="0053555E" w:rsidRDefault="007A1C80" w:rsidP="007A1C80">
            <w:pPr>
              <w:jc w:val="center"/>
              <w:rPr>
                <w:rFonts w:asciiTheme="majorHAnsi" w:hAnsiTheme="majorHAnsi" w:cstheme="majorHAnsi"/>
                <w:szCs w:val="22"/>
              </w:rPr>
            </w:pPr>
            <w:r w:rsidRPr="0053555E">
              <w:rPr>
                <w:rFonts w:cs="Calibri"/>
                <w:szCs w:val="22"/>
              </w:rPr>
              <w:t>675</w:t>
            </w:r>
          </w:p>
        </w:tc>
        <w:tc>
          <w:tcPr>
            <w:tcW w:w="2268" w:type="dxa"/>
            <w:tcBorders>
              <w:top w:val="nil"/>
              <w:left w:val="nil"/>
              <w:bottom w:val="single" w:sz="4" w:space="0" w:color="auto"/>
              <w:right w:val="single" w:sz="4" w:space="0" w:color="auto"/>
            </w:tcBorders>
            <w:shd w:val="clear" w:color="auto" w:fill="auto"/>
            <w:noWrap/>
            <w:vAlign w:val="bottom"/>
            <w:hideMark/>
          </w:tcPr>
          <w:p w14:paraId="293119E7" w14:textId="214DA266" w:rsidR="007A1C80" w:rsidRPr="0053555E" w:rsidRDefault="007A1C80" w:rsidP="007A1C80">
            <w:pPr>
              <w:jc w:val="center"/>
              <w:rPr>
                <w:rFonts w:asciiTheme="majorHAnsi" w:hAnsiTheme="majorHAnsi" w:cstheme="majorHAnsi"/>
                <w:b/>
                <w:bCs/>
                <w:szCs w:val="22"/>
              </w:rPr>
            </w:pPr>
            <w:r w:rsidRPr="0053555E">
              <w:rPr>
                <w:rFonts w:cs="Calibri"/>
                <w:b/>
                <w:bCs/>
                <w:szCs w:val="22"/>
              </w:rPr>
              <w:t>4,3</w:t>
            </w:r>
            <w:r w:rsidR="007C20BB" w:rsidRPr="0053555E">
              <w:rPr>
                <w:rFonts w:cs="Calibri"/>
                <w:b/>
                <w:bCs/>
                <w:szCs w:val="22"/>
              </w:rPr>
              <w:t xml:space="preserve"> </w:t>
            </w:r>
            <w:r w:rsidRPr="0053555E">
              <w:rPr>
                <w:rFonts w:cs="Calibri"/>
                <w:b/>
                <w:bCs/>
                <w:szCs w:val="22"/>
              </w:rPr>
              <w:t>%</w:t>
            </w:r>
          </w:p>
        </w:tc>
      </w:tr>
      <w:tr w:rsidR="007A1C80" w:rsidRPr="0053555E" w14:paraId="3F18FB93" w14:textId="77777777" w:rsidTr="00B03F1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13CAC61" w14:textId="77777777" w:rsidR="007A1C80" w:rsidRPr="0053555E" w:rsidRDefault="007A1C80" w:rsidP="007A1C80">
            <w:pPr>
              <w:tabs>
                <w:tab w:val="left" w:pos="9356"/>
              </w:tabs>
              <w:jc w:val="both"/>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FCHPT</w:t>
            </w:r>
          </w:p>
        </w:tc>
        <w:tc>
          <w:tcPr>
            <w:tcW w:w="1063" w:type="dxa"/>
            <w:tcBorders>
              <w:top w:val="nil"/>
              <w:left w:val="nil"/>
              <w:bottom w:val="single" w:sz="4" w:space="0" w:color="auto"/>
              <w:right w:val="single" w:sz="4" w:space="0" w:color="auto"/>
            </w:tcBorders>
            <w:shd w:val="clear" w:color="auto" w:fill="auto"/>
            <w:noWrap/>
            <w:vAlign w:val="bottom"/>
            <w:hideMark/>
          </w:tcPr>
          <w:p w14:paraId="4FADD496" w14:textId="164B1C0C" w:rsidR="007A1C80" w:rsidRPr="0053555E" w:rsidRDefault="007A1C80" w:rsidP="007A1C80">
            <w:pPr>
              <w:jc w:val="center"/>
              <w:rPr>
                <w:rFonts w:asciiTheme="majorHAnsi" w:hAnsiTheme="majorHAnsi" w:cstheme="majorHAnsi"/>
                <w:szCs w:val="22"/>
              </w:rPr>
            </w:pPr>
            <w:r w:rsidRPr="0053555E">
              <w:rPr>
                <w:rFonts w:cs="Calibri"/>
                <w:szCs w:val="22"/>
              </w:rPr>
              <w:t>334</w:t>
            </w:r>
          </w:p>
        </w:tc>
        <w:tc>
          <w:tcPr>
            <w:tcW w:w="1063" w:type="dxa"/>
            <w:tcBorders>
              <w:top w:val="nil"/>
              <w:left w:val="nil"/>
              <w:bottom w:val="single" w:sz="4" w:space="0" w:color="auto"/>
              <w:right w:val="single" w:sz="4" w:space="0" w:color="auto"/>
            </w:tcBorders>
            <w:shd w:val="clear" w:color="auto" w:fill="auto"/>
            <w:noWrap/>
            <w:vAlign w:val="bottom"/>
            <w:hideMark/>
          </w:tcPr>
          <w:p w14:paraId="5AC1660B" w14:textId="71AD62DB" w:rsidR="007A1C80" w:rsidRPr="0053555E" w:rsidRDefault="007A1C80" w:rsidP="007A1C80">
            <w:pPr>
              <w:jc w:val="center"/>
              <w:rPr>
                <w:rFonts w:asciiTheme="majorHAnsi" w:hAnsiTheme="majorHAnsi" w:cstheme="majorHAnsi"/>
                <w:szCs w:val="22"/>
              </w:rPr>
            </w:pPr>
            <w:r w:rsidRPr="0053555E">
              <w:rPr>
                <w:rFonts w:cs="Calibri"/>
                <w:szCs w:val="22"/>
              </w:rPr>
              <w:t>293</w:t>
            </w:r>
          </w:p>
        </w:tc>
        <w:tc>
          <w:tcPr>
            <w:tcW w:w="2126" w:type="dxa"/>
            <w:tcBorders>
              <w:top w:val="nil"/>
              <w:left w:val="nil"/>
              <w:bottom w:val="single" w:sz="4" w:space="0" w:color="auto"/>
              <w:right w:val="single" w:sz="4" w:space="0" w:color="auto"/>
            </w:tcBorders>
            <w:shd w:val="clear" w:color="auto" w:fill="auto"/>
            <w:noWrap/>
            <w:vAlign w:val="bottom"/>
            <w:hideMark/>
          </w:tcPr>
          <w:p w14:paraId="48748EE2" w14:textId="0F62229E" w:rsidR="007A1C80" w:rsidRPr="0053555E" w:rsidRDefault="007A1C80" w:rsidP="007A1C80">
            <w:pPr>
              <w:jc w:val="center"/>
              <w:rPr>
                <w:rFonts w:asciiTheme="majorHAnsi" w:hAnsiTheme="majorHAnsi" w:cstheme="majorHAnsi"/>
                <w:b/>
                <w:bCs/>
                <w:szCs w:val="22"/>
              </w:rPr>
            </w:pPr>
            <w:r w:rsidRPr="0053555E">
              <w:rPr>
                <w:rFonts w:cs="Calibri"/>
                <w:b/>
                <w:bCs/>
                <w:szCs w:val="22"/>
              </w:rPr>
              <w:t>12,3</w:t>
            </w:r>
            <w:r w:rsidR="007C20BB" w:rsidRPr="0053555E">
              <w:rPr>
                <w:rFonts w:cs="Calibri"/>
                <w:b/>
                <w:bCs/>
                <w:szCs w:val="22"/>
              </w:rPr>
              <w:t xml:space="preserve"> </w:t>
            </w:r>
            <w:r w:rsidRPr="0053555E">
              <w:rPr>
                <w:rFonts w:cs="Calibri"/>
                <w:b/>
                <w:bCs/>
                <w:szCs w:val="22"/>
              </w:rPr>
              <w:t>%</w:t>
            </w:r>
          </w:p>
        </w:tc>
        <w:tc>
          <w:tcPr>
            <w:tcW w:w="1065" w:type="dxa"/>
            <w:tcBorders>
              <w:top w:val="nil"/>
              <w:left w:val="nil"/>
              <w:bottom w:val="single" w:sz="4" w:space="0" w:color="auto"/>
              <w:right w:val="single" w:sz="4" w:space="0" w:color="auto"/>
            </w:tcBorders>
            <w:shd w:val="clear" w:color="auto" w:fill="auto"/>
            <w:noWrap/>
            <w:vAlign w:val="bottom"/>
            <w:hideMark/>
          </w:tcPr>
          <w:p w14:paraId="3A9A5A9B" w14:textId="78F1612E" w:rsidR="007A1C80" w:rsidRPr="0053555E" w:rsidRDefault="007A1C80" w:rsidP="007A1C80">
            <w:pPr>
              <w:jc w:val="center"/>
              <w:rPr>
                <w:rFonts w:asciiTheme="majorHAnsi" w:hAnsiTheme="majorHAnsi" w:cstheme="majorHAnsi"/>
                <w:szCs w:val="22"/>
              </w:rPr>
            </w:pPr>
            <w:r w:rsidRPr="0053555E">
              <w:rPr>
                <w:rFonts w:cs="Calibri"/>
                <w:szCs w:val="22"/>
              </w:rPr>
              <w:t>426</w:t>
            </w:r>
          </w:p>
        </w:tc>
        <w:tc>
          <w:tcPr>
            <w:tcW w:w="1062" w:type="dxa"/>
            <w:tcBorders>
              <w:top w:val="nil"/>
              <w:left w:val="nil"/>
              <w:bottom w:val="single" w:sz="4" w:space="0" w:color="auto"/>
              <w:right w:val="single" w:sz="4" w:space="0" w:color="auto"/>
            </w:tcBorders>
            <w:shd w:val="clear" w:color="auto" w:fill="auto"/>
            <w:noWrap/>
            <w:vAlign w:val="bottom"/>
            <w:hideMark/>
          </w:tcPr>
          <w:p w14:paraId="4E92B25E" w14:textId="6F01F8B7" w:rsidR="007A1C80" w:rsidRPr="0053555E" w:rsidRDefault="007A1C80" w:rsidP="007A1C80">
            <w:pPr>
              <w:jc w:val="center"/>
              <w:rPr>
                <w:rFonts w:asciiTheme="majorHAnsi" w:hAnsiTheme="majorHAnsi" w:cstheme="majorHAnsi"/>
                <w:szCs w:val="22"/>
              </w:rPr>
            </w:pPr>
            <w:r w:rsidRPr="0053555E">
              <w:rPr>
                <w:rFonts w:cs="Calibri"/>
                <w:szCs w:val="22"/>
              </w:rPr>
              <w:t>357</w:t>
            </w:r>
          </w:p>
        </w:tc>
        <w:tc>
          <w:tcPr>
            <w:tcW w:w="2268" w:type="dxa"/>
            <w:tcBorders>
              <w:top w:val="nil"/>
              <w:left w:val="nil"/>
              <w:bottom w:val="single" w:sz="4" w:space="0" w:color="auto"/>
              <w:right w:val="single" w:sz="4" w:space="0" w:color="auto"/>
            </w:tcBorders>
            <w:shd w:val="clear" w:color="auto" w:fill="auto"/>
            <w:noWrap/>
            <w:vAlign w:val="bottom"/>
            <w:hideMark/>
          </w:tcPr>
          <w:p w14:paraId="6CD1939E" w14:textId="3A5BDEEC" w:rsidR="007A1C80" w:rsidRPr="0053555E" w:rsidRDefault="007A1C80" w:rsidP="007A1C80">
            <w:pPr>
              <w:jc w:val="center"/>
              <w:rPr>
                <w:rFonts w:asciiTheme="majorHAnsi" w:hAnsiTheme="majorHAnsi" w:cstheme="majorHAnsi"/>
                <w:b/>
                <w:bCs/>
                <w:szCs w:val="22"/>
              </w:rPr>
            </w:pPr>
            <w:r w:rsidRPr="0053555E">
              <w:rPr>
                <w:rFonts w:cs="Calibri"/>
                <w:b/>
                <w:bCs/>
                <w:szCs w:val="22"/>
              </w:rPr>
              <w:t>16,2</w:t>
            </w:r>
            <w:r w:rsidR="007C20BB" w:rsidRPr="0053555E">
              <w:rPr>
                <w:rFonts w:cs="Calibri"/>
                <w:b/>
                <w:bCs/>
                <w:szCs w:val="22"/>
              </w:rPr>
              <w:t xml:space="preserve"> </w:t>
            </w:r>
            <w:r w:rsidRPr="0053555E">
              <w:rPr>
                <w:rFonts w:cs="Calibri"/>
                <w:b/>
                <w:bCs/>
                <w:szCs w:val="22"/>
              </w:rPr>
              <w:t>%</w:t>
            </w:r>
          </w:p>
        </w:tc>
      </w:tr>
      <w:tr w:rsidR="007A1C80" w:rsidRPr="0053555E" w14:paraId="1E312622" w14:textId="77777777" w:rsidTr="00B03F1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C7814E3" w14:textId="77777777" w:rsidR="007A1C80" w:rsidRPr="0053555E" w:rsidRDefault="007A1C80" w:rsidP="007A1C80">
            <w:pPr>
              <w:tabs>
                <w:tab w:val="left" w:pos="9356"/>
              </w:tabs>
              <w:jc w:val="both"/>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FAD</w:t>
            </w:r>
          </w:p>
        </w:tc>
        <w:tc>
          <w:tcPr>
            <w:tcW w:w="1063" w:type="dxa"/>
            <w:tcBorders>
              <w:top w:val="nil"/>
              <w:left w:val="nil"/>
              <w:bottom w:val="single" w:sz="4" w:space="0" w:color="auto"/>
              <w:right w:val="single" w:sz="4" w:space="0" w:color="auto"/>
            </w:tcBorders>
            <w:shd w:val="clear" w:color="auto" w:fill="auto"/>
            <w:noWrap/>
            <w:vAlign w:val="bottom"/>
            <w:hideMark/>
          </w:tcPr>
          <w:p w14:paraId="65C6242D" w14:textId="57181503" w:rsidR="007A1C80" w:rsidRPr="0053555E" w:rsidRDefault="007A1C80" w:rsidP="007A1C80">
            <w:pPr>
              <w:jc w:val="center"/>
              <w:rPr>
                <w:rFonts w:asciiTheme="majorHAnsi" w:hAnsiTheme="majorHAnsi" w:cstheme="majorHAnsi"/>
                <w:szCs w:val="22"/>
              </w:rPr>
            </w:pPr>
            <w:r w:rsidRPr="0053555E">
              <w:rPr>
                <w:rFonts w:cs="Calibri"/>
                <w:szCs w:val="22"/>
              </w:rPr>
              <w:t>149</w:t>
            </w:r>
          </w:p>
        </w:tc>
        <w:tc>
          <w:tcPr>
            <w:tcW w:w="1063" w:type="dxa"/>
            <w:tcBorders>
              <w:top w:val="nil"/>
              <w:left w:val="nil"/>
              <w:bottom w:val="single" w:sz="4" w:space="0" w:color="auto"/>
              <w:right w:val="single" w:sz="4" w:space="0" w:color="auto"/>
            </w:tcBorders>
            <w:shd w:val="clear" w:color="auto" w:fill="auto"/>
            <w:noWrap/>
            <w:vAlign w:val="bottom"/>
            <w:hideMark/>
          </w:tcPr>
          <w:p w14:paraId="7D66B8C5" w14:textId="3BA5816B" w:rsidR="007A1C80" w:rsidRPr="0053555E" w:rsidRDefault="007A1C80" w:rsidP="007A1C80">
            <w:pPr>
              <w:jc w:val="center"/>
              <w:rPr>
                <w:rFonts w:asciiTheme="majorHAnsi" w:hAnsiTheme="majorHAnsi" w:cstheme="majorHAnsi"/>
                <w:szCs w:val="22"/>
              </w:rPr>
            </w:pPr>
            <w:r w:rsidRPr="0053555E">
              <w:rPr>
                <w:rFonts w:cs="Calibri"/>
                <w:szCs w:val="22"/>
              </w:rPr>
              <w:t>146</w:t>
            </w:r>
          </w:p>
        </w:tc>
        <w:tc>
          <w:tcPr>
            <w:tcW w:w="2126" w:type="dxa"/>
            <w:tcBorders>
              <w:top w:val="nil"/>
              <w:left w:val="nil"/>
              <w:bottom w:val="single" w:sz="4" w:space="0" w:color="auto"/>
              <w:right w:val="single" w:sz="4" w:space="0" w:color="auto"/>
            </w:tcBorders>
            <w:shd w:val="clear" w:color="auto" w:fill="auto"/>
            <w:noWrap/>
            <w:vAlign w:val="bottom"/>
            <w:hideMark/>
          </w:tcPr>
          <w:p w14:paraId="68CB6961" w14:textId="42D6CFB4" w:rsidR="007A1C80" w:rsidRPr="0053555E" w:rsidRDefault="007A1C80" w:rsidP="007A1C80">
            <w:pPr>
              <w:jc w:val="center"/>
              <w:rPr>
                <w:rFonts w:asciiTheme="majorHAnsi" w:hAnsiTheme="majorHAnsi" w:cstheme="majorHAnsi"/>
                <w:b/>
                <w:bCs/>
                <w:szCs w:val="22"/>
              </w:rPr>
            </w:pPr>
            <w:r w:rsidRPr="0053555E">
              <w:rPr>
                <w:rFonts w:cs="Calibri"/>
                <w:b/>
                <w:bCs/>
                <w:szCs w:val="22"/>
              </w:rPr>
              <w:t>2,0</w:t>
            </w:r>
            <w:r w:rsidR="007C20BB" w:rsidRPr="0053555E">
              <w:rPr>
                <w:rFonts w:cs="Calibri"/>
                <w:b/>
                <w:bCs/>
                <w:szCs w:val="22"/>
              </w:rPr>
              <w:t xml:space="preserve"> </w:t>
            </w:r>
            <w:r w:rsidRPr="0053555E">
              <w:rPr>
                <w:rFonts w:cs="Calibri"/>
                <w:b/>
                <w:bCs/>
                <w:szCs w:val="22"/>
              </w:rPr>
              <w:t>%</w:t>
            </w:r>
          </w:p>
        </w:tc>
        <w:tc>
          <w:tcPr>
            <w:tcW w:w="1065" w:type="dxa"/>
            <w:tcBorders>
              <w:top w:val="nil"/>
              <w:left w:val="nil"/>
              <w:bottom w:val="single" w:sz="4" w:space="0" w:color="auto"/>
              <w:right w:val="single" w:sz="4" w:space="0" w:color="auto"/>
            </w:tcBorders>
            <w:shd w:val="clear" w:color="auto" w:fill="auto"/>
            <w:noWrap/>
            <w:vAlign w:val="bottom"/>
            <w:hideMark/>
          </w:tcPr>
          <w:p w14:paraId="5E96AC57" w14:textId="02662E3C" w:rsidR="007A1C80" w:rsidRPr="0053555E" w:rsidRDefault="007A1C80" w:rsidP="007A1C80">
            <w:pPr>
              <w:jc w:val="center"/>
              <w:rPr>
                <w:rFonts w:asciiTheme="majorHAnsi" w:hAnsiTheme="majorHAnsi" w:cstheme="majorHAnsi"/>
                <w:szCs w:val="22"/>
              </w:rPr>
            </w:pPr>
            <w:r w:rsidRPr="0053555E">
              <w:rPr>
                <w:rFonts w:cs="Calibri"/>
                <w:szCs w:val="22"/>
              </w:rPr>
              <w:t>160</w:t>
            </w:r>
          </w:p>
        </w:tc>
        <w:tc>
          <w:tcPr>
            <w:tcW w:w="1062" w:type="dxa"/>
            <w:tcBorders>
              <w:top w:val="nil"/>
              <w:left w:val="nil"/>
              <w:bottom w:val="single" w:sz="4" w:space="0" w:color="auto"/>
              <w:right w:val="single" w:sz="4" w:space="0" w:color="auto"/>
            </w:tcBorders>
            <w:shd w:val="clear" w:color="auto" w:fill="auto"/>
            <w:noWrap/>
            <w:vAlign w:val="bottom"/>
            <w:hideMark/>
          </w:tcPr>
          <w:p w14:paraId="555E7A58" w14:textId="4BD0F83D" w:rsidR="007A1C80" w:rsidRPr="0053555E" w:rsidRDefault="007A1C80" w:rsidP="007A1C80">
            <w:pPr>
              <w:jc w:val="center"/>
              <w:rPr>
                <w:rFonts w:asciiTheme="majorHAnsi" w:hAnsiTheme="majorHAnsi" w:cstheme="majorHAnsi"/>
                <w:szCs w:val="22"/>
              </w:rPr>
            </w:pPr>
            <w:r w:rsidRPr="0053555E">
              <w:rPr>
                <w:rFonts w:cs="Calibri"/>
                <w:szCs w:val="22"/>
              </w:rPr>
              <w:t>150</w:t>
            </w:r>
          </w:p>
        </w:tc>
        <w:tc>
          <w:tcPr>
            <w:tcW w:w="2268" w:type="dxa"/>
            <w:tcBorders>
              <w:top w:val="nil"/>
              <w:left w:val="nil"/>
              <w:bottom w:val="single" w:sz="4" w:space="0" w:color="auto"/>
              <w:right w:val="single" w:sz="4" w:space="0" w:color="auto"/>
            </w:tcBorders>
            <w:shd w:val="clear" w:color="auto" w:fill="auto"/>
            <w:noWrap/>
            <w:vAlign w:val="bottom"/>
            <w:hideMark/>
          </w:tcPr>
          <w:p w14:paraId="24885BA9" w14:textId="7183E297" w:rsidR="007A1C80" w:rsidRPr="0053555E" w:rsidRDefault="007A1C80" w:rsidP="007A1C80">
            <w:pPr>
              <w:jc w:val="center"/>
              <w:rPr>
                <w:rFonts w:asciiTheme="majorHAnsi" w:hAnsiTheme="majorHAnsi" w:cstheme="majorHAnsi"/>
                <w:b/>
                <w:bCs/>
                <w:szCs w:val="22"/>
              </w:rPr>
            </w:pPr>
            <w:r w:rsidRPr="0053555E">
              <w:rPr>
                <w:rFonts w:cs="Calibri"/>
                <w:b/>
                <w:bCs/>
                <w:szCs w:val="22"/>
              </w:rPr>
              <w:t>6,3</w:t>
            </w:r>
            <w:r w:rsidR="007C20BB" w:rsidRPr="0053555E">
              <w:rPr>
                <w:rFonts w:cs="Calibri"/>
                <w:b/>
                <w:bCs/>
                <w:szCs w:val="22"/>
              </w:rPr>
              <w:t xml:space="preserve"> </w:t>
            </w:r>
            <w:r w:rsidRPr="0053555E">
              <w:rPr>
                <w:rFonts w:cs="Calibri"/>
                <w:b/>
                <w:bCs/>
                <w:szCs w:val="22"/>
              </w:rPr>
              <w:t>%</w:t>
            </w:r>
          </w:p>
        </w:tc>
      </w:tr>
      <w:tr w:rsidR="007A1C80" w:rsidRPr="0053555E" w14:paraId="1E444F2C" w14:textId="77777777" w:rsidTr="00B03F1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E90A19E" w14:textId="77777777" w:rsidR="007A1C80" w:rsidRPr="0053555E" w:rsidRDefault="007A1C80" w:rsidP="007A1C80">
            <w:pPr>
              <w:tabs>
                <w:tab w:val="left" w:pos="9356"/>
              </w:tabs>
              <w:jc w:val="both"/>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u w:color="FF0000"/>
                <w:lang w:eastAsia="sk-SK"/>
              </w:rPr>
              <w:t>MTF</w:t>
            </w:r>
          </w:p>
        </w:tc>
        <w:tc>
          <w:tcPr>
            <w:tcW w:w="1063" w:type="dxa"/>
            <w:tcBorders>
              <w:top w:val="nil"/>
              <w:left w:val="nil"/>
              <w:bottom w:val="single" w:sz="4" w:space="0" w:color="auto"/>
              <w:right w:val="single" w:sz="4" w:space="0" w:color="auto"/>
            </w:tcBorders>
            <w:shd w:val="clear" w:color="auto" w:fill="auto"/>
            <w:noWrap/>
            <w:vAlign w:val="bottom"/>
            <w:hideMark/>
          </w:tcPr>
          <w:p w14:paraId="6D951E3C" w14:textId="590041DB" w:rsidR="007A1C80" w:rsidRPr="0053555E" w:rsidRDefault="007A1C80" w:rsidP="007A1C80">
            <w:pPr>
              <w:jc w:val="center"/>
              <w:rPr>
                <w:rFonts w:asciiTheme="majorHAnsi" w:hAnsiTheme="majorHAnsi" w:cstheme="majorHAnsi"/>
                <w:szCs w:val="22"/>
              </w:rPr>
            </w:pPr>
            <w:r w:rsidRPr="0053555E">
              <w:rPr>
                <w:rFonts w:cs="Calibri"/>
                <w:szCs w:val="22"/>
              </w:rPr>
              <w:t>416</w:t>
            </w:r>
          </w:p>
        </w:tc>
        <w:tc>
          <w:tcPr>
            <w:tcW w:w="1063" w:type="dxa"/>
            <w:tcBorders>
              <w:top w:val="nil"/>
              <w:left w:val="nil"/>
              <w:bottom w:val="single" w:sz="4" w:space="0" w:color="auto"/>
              <w:right w:val="single" w:sz="4" w:space="0" w:color="auto"/>
            </w:tcBorders>
            <w:shd w:val="clear" w:color="auto" w:fill="auto"/>
            <w:noWrap/>
            <w:vAlign w:val="bottom"/>
            <w:hideMark/>
          </w:tcPr>
          <w:p w14:paraId="0CB5DCF6" w14:textId="55DD1957" w:rsidR="007A1C80" w:rsidRPr="0053555E" w:rsidRDefault="007A1C80" w:rsidP="007A1C80">
            <w:pPr>
              <w:jc w:val="center"/>
              <w:rPr>
                <w:rFonts w:asciiTheme="majorHAnsi" w:hAnsiTheme="majorHAnsi" w:cstheme="majorHAnsi"/>
                <w:szCs w:val="22"/>
              </w:rPr>
            </w:pPr>
            <w:r w:rsidRPr="0053555E">
              <w:rPr>
                <w:rFonts w:cs="Calibri"/>
                <w:szCs w:val="22"/>
              </w:rPr>
              <w:t>374</w:t>
            </w:r>
          </w:p>
        </w:tc>
        <w:tc>
          <w:tcPr>
            <w:tcW w:w="2126" w:type="dxa"/>
            <w:tcBorders>
              <w:top w:val="nil"/>
              <w:left w:val="nil"/>
              <w:bottom w:val="single" w:sz="4" w:space="0" w:color="auto"/>
              <w:right w:val="single" w:sz="4" w:space="0" w:color="auto"/>
            </w:tcBorders>
            <w:shd w:val="clear" w:color="auto" w:fill="auto"/>
            <w:noWrap/>
            <w:vAlign w:val="bottom"/>
            <w:hideMark/>
          </w:tcPr>
          <w:p w14:paraId="37EA71E7" w14:textId="45EB1118" w:rsidR="007A1C80" w:rsidRPr="0053555E" w:rsidRDefault="007A1C80" w:rsidP="007A1C80">
            <w:pPr>
              <w:jc w:val="center"/>
              <w:rPr>
                <w:rFonts w:asciiTheme="majorHAnsi" w:hAnsiTheme="majorHAnsi" w:cstheme="majorHAnsi"/>
                <w:b/>
                <w:bCs/>
                <w:szCs w:val="22"/>
              </w:rPr>
            </w:pPr>
            <w:r w:rsidRPr="0053555E">
              <w:rPr>
                <w:rFonts w:cs="Calibri"/>
                <w:b/>
                <w:bCs/>
                <w:szCs w:val="22"/>
              </w:rPr>
              <w:t>10,1</w:t>
            </w:r>
            <w:r w:rsidR="007C20BB" w:rsidRPr="0053555E">
              <w:rPr>
                <w:rFonts w:cs="Calibri"/>
                <w:b/>
                <w:bCs/>
                <w:szCs w:val="22"/>
              </w:rPr>
              <w:t xml:space="preserve"> </w:t>
            </w:r>
            <w:r w:rsidRPr="0053555E">
              <w:rPr>
                <w:rFonts w:cs="Calibri"/>
                <w:b/>
                <w:bCs/>
                <w:szCs w:val="22"/>
              </w:rPr>
              <w:t>%</w:t>
            </w:r>
          </w:p>
        </w:tc>
        <w:tc>
          <w:tcPr>
            <w:tcW w:w="1065" w:type="dxa"/>
            <w:tcBorders>
              <w:top w:val="nil"/>
              <w:left w:val="nil"/>
              <w:bottom w:val="single" w:sz="4" w:space="0" w:color="auto"/>
              <w:right w:val="single" w:sz="4" w:space="0" w:color="auto"/>
            </w:tcBorders>
            <w:shd w:val="clear" w:color="auto" w:fill="auto"/>
            <w:noWrap/>
            <w:vAlign w:val="bottom"/>
            <w:hideMark/>
          </w:tcPr>
          <w:p w14:paraId="38208F06" w14:textId="271925E7" w:rsidR="007A1C80" w:rsidRPr="0053555E" w:rsidRDefault="007A1C80" w:rsidP="007A1C80">
            <w:pPr>
              <w:jc w:val="center"/>
              <w:rPr>
                <w:rFonts w:asciiTheme="majorHAnsi" w:hAnsiTheme="majorHAnsi" w:cstheme="majorHAnsi"/>
                <w:szCs w:val="22"/>
              </w:rPr>
            </w:pPr>
            <w:r w:rsidRPr="0053555E">
              <w:rPr>
                <w:rFonts w:cs="Calibri"/>
                <w:szCs w:val="22"/>
              </w:rPr>
              <w:t>432</w:t>
            </w:r>
          </w:p>
        </w:tc>
        <w:tc>
          <w:tcPr>
            <w:tcW w:w="1062" w:type="dxa"/>
            <w:tcBorders>
              <w:top w:val="nil"/>
              <w:left w:val="nil"/>
              <w:bottom w:val="single" w:sz="4" w:space="0" w:color="auto"/>
              <w:right w:val="single" w:sz="4" w:space="0" w:color="auto"/>
            </w:tcBorders>
            <w:shd w:val="clear" w:color="auto" w:fill="auto"/>
            <w:noWrap/>
            <w:vAlign w:val="bottom"/>
            <w:hideMark/>
          </w:tcPr>
          <w:p w14:paraId="541BA66E" w14:textId="62F944FA" w:rsidR="007A1C80" w:rsidRPr="0053555E" w:rsidRDefault="007A1C80" w:rsidP="007A1C80">
            <w:pPr>
              <w:jc w:val="center"/>
              <w:rPr>
                <w:rFonts w:asciiTheme="majorHAnsi" w:hAnsiTheme="majorHAnsi" w:cstheme="majorHAnsi"/>
                <w:szCs w:val="22"/>
              </w:rPr>
            </w:pPr>
            <w:r w:rsidRPr="0053555E">
              <w:rPr>
                <w:rFonts w:cs="Calibri"/>
                <w:szCs w:val="22"/>
              </w:rPr>
              <w:t>388</w:t>
            </w:r>
          </w:p>
        </w:tc>
        <w:tc>
          <w:tcPr>
            <w:tcW w:w="2268" w:type="dxa"/>
            <w:tcBorders>
              <w:top w:val="nil"/>
              <w:left w:val="nil"/>
              <w:bottom w:val="single" w:sz="4" w:space="0" w:color="auto"/>
              <w:right w:val="single" w:sz="4" w:space="0" w:color="auto"/>
            </w:tcBorders>
            <w:shd w:val="clear" w:color="auto" w:fill="auto"/>
            <w:noWrap/>
            <w:vAlign w:val="bottom"/>
            <w:hideMark/>
          </w:tcPr>
          <w:p w14:paraId="43CCAE37" w14:textId="6B98B968" w:rsidR="007A1C80" w:rsidRPr="0053555E" w:rsidRDefault="007A1C80" w:rsidP="007A1C80">
            <w:pPr>
              <w:jc w:val="center"/>
              <w:rPr>
                <w:rFonts w:asciiTheme="majorHAnsi" w:hAnsiTheme="majorHAnsi" w:cstheme="majorHAnsi"/>
                <w:b/>
                <w:bCs/>
                <w:szCs w:val="22"/>
              </w:rPr>
            </w:pPr>
            <w:r w:rsidRPr="0053555E">
              <w:rPr>
                <w:rFonts w:cs="Calibri"/>
                <w:b/>
                <w:bCs/>
                <w:szCs w:val="22"/>
              </w:rPr>
              <w:t>10,2</w:t>
            </w:r>
            <w:r w:rsidR="007C20BB" w:rsidRPr="0053555E">
              <w:rPr>
                <w:rFonts w:cs="Calibri"/>
                <w:b/>
                <w:bCs/>
                <w:szCs w:val="22"/>
              </w:rPr>
              <w:t xml:space="preserve"> </w:t>
            </w:r>
            <w:r w:rsidRPr="0053555E">
              <w:rPr>
                <w:rFonts w:cs="Calibri"/>
                <w:b/>
                <w:bCs/>
                <w:szCs w:val="22"/>
              </w:rPr>
              <w:t>%</w:t>
            </w:r>
          </w:p>
        </w:tc>
      </w:tr>
      <w:tr w:rsidR="007A1C80" w:rsidRPr="0053555E" w14:paraId="16E5B908" w14:textId="77777777" w:rsidTr="00B03F1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D9E00A2" w14:textId="77777777" w:rsidR="007A1C80" w:rsidRPr="0053555E" w:rsidRDefault="007A1C80" w:rsidP="007A1C80">
            <w:pPr>
              <w:tabs>
                <w:tab w:val="left" w:pos="9356"/>
              </w:tabs>
              <w:jc w:val="both"/>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FIIT</w:t>
            </w:r>
          </w:p>
        </w:tc>
        <w:tc>
          <w:tcPr>
            <w:tcW w:w="1063" w:type="dxa"/>
            <w:tcBorders>
              <w:top w:val="nil"/>
              <w:left w:val="nil"/>
              <w:bottom w:val="single" w:sz="4" w:space="0" w:color="auto"/>
              <w:right w:val="single" w:sz="4" w:space="0" w:color="auto"/>
            </w:tcBorders>
            <w:shd w:val="clear" w:color="auto" w:fill="auto"/>
            <w:noWrap/>
            <w:vAlign w:val="bottom"/>
            <w:hideMark/>
          </w:tcPr>
          <w:p w14:paraId="718B22C9" w14:textId="37EEBAA5" w:rsidR="007A1C80" w:rsidRPr="0053555E" w:rsidRDefault="007A1C80" w:rsidP="007A1C80">
            <w:pPr>
              <w:jc w:val="center"/>
              <w:rPr>
                <w:rFonts w:asciiTheme="majorHAnsi" w:hAnsiTheme="majorHAnsi" w:cstheme="majorHAnsi"/>
                <w:szCs w:val="22"/>
              </w:rPr>
            </w:pPr>
            <w:r w:rsidRPr="0053555E">
              <w:rPr>
                <w:rFonts w:cs="Calibri"/>
                <w:szCs w:val="22"/>
              </w:rPr>
              <w:t>279</w:t>
            </w:r>
          </w:p>
        </w:tc>
        <w:tc>
          <w:tcPr>
            <w:tcW w:w="1063" w:type="dxa"/>
            <w:tcBorders>
              <w:top w:val="nil"/>
              <w:left w:val="nil"/>
              <w:bottom w:val="single" w:sz="4" w:space="0" w:color="auto"/>
              <w:right w:val="single" w:sz="4" w:space="0" w:color="auto"/>
            </w:tcBorders>
            <w:shd w:val="clear" w:color="auto" w:fill="auto"/>
            <w:noWrap/>
            <w:vAlign w:val="bottom"/>
            <w:hideMark/>
          </w:tcPr>
          <w:p w14:paraId="01C2745B" w14:textId="7B56DBF9" w:rsidR="007A1C80" w:rsidRPr="0053555E" w:rsidRDefault="007A1C80" w:rsidP="007A1C80">
            <w:pPr>
              <w:jc w:val="center"/>
              <w:rPr>
                <w:rFonts w:asciiTheme="majorHAnsi" w:hAnsiTheme="majorHAnsi" w:cstheme="majorHAnsi"/>
                <w:szCs w:val="22"/>
              </w:rPr>
            </w:pPr>
            <w:r w:rsidRPr="0053555E">
              <w:rPr>
                <w:rFonts w:cs="Calibri"/>
                <w:szCs w:val="22"/>
              </w:rPr>
              <w:t>273</w:t>
            </w:r>
          </w:p>
        </w:tc>
        <w:tc>
          <w:tcPr>
            <w:tcW w:w="2126" w:type="dxa"/>
            <w:tcBorders>
              <w:top w:val="nil"/>
              <w:left w:val="nil"/>
              <w:bottom w:val="single" w:sz="4" w:space="0" w:color="auto"/>
              <w:right w:val="single" w:sz="4" w:space="0" w:color="auto"/>
            </w:tcBorders>
            <w:shd w:val="clear" w:color="auto" w:fill="auto"/>
            <w:noWrap/>
            <w:vAlign w:val="bottom"/>
            <w:hideMark/>
          </w:tcPr>
          <w:p w14:paraId="1BF679F0" w14:textId="65FBA45A" w:rsidR="007A1C80" w:rsidRPr="0053555E" w:rsidRDefault="007A1C80" w:rsidP="007A1C80">
            <w:pPr>
              <w:jc w:val="center"/>
              <w:rPr>
                <w:rFonts w:asciiTheme="majorHAnsi" w:hAnsiTheme="majorHAnsi" w:cstheme="majorHAnsi"/>
                <w:b/>
                <w:bCs/>
                <w:szCs w:val="22"/>
              </w:rPr>
            </w:pPr>
            <w:r w:rsidRPr="0053555E">
              <w:rPr>
                <w:rFonts w:cs="Calibri"/>
                <w:b/>
                <w:bCs/>
                <w:szCs w:val="22"/>
              </w:rPr>
              <w:t>2,2</w:t>
            </w:r>
            <w:r w:rsidR="007C20BB" w:rsidRPr="0053555E">
              <w:rPr>
                <w:rFonts w:cs="Calibri"/>
                <w:b/>
                <w:bCs/>
                <w:szCs w:val="22"/>
              </w:rPr>
              <w:t xml:space="preserve"> </w:t>
            </w:r>
            <w:r w:rsidRPr="0053555E">
              <w:rPr>
                <w:rFonts w:cs="Calibri"/>
                <w:b/>
                <w:bCs/>
                <w:szCs w:val="22"/>
              </w:rPr>
              <w:t>%</w:t>
            </w:r>
          </w:p>
        </w:tc>
        <w:tc>
          <w:tcPr>
            <w:tcW w:w="1065" w:type="dxa"/>
            <w:tcBorders>
              <w:top w:val="nil"/>
              <w:left w:val="nil"/>
              <w:bottom w:val="single" w:sz="4" w:space="0" w:color="auto"/>
              <w:right w:val="single" w:sz="4" w:space="0" w:color="auto"/>
            </w:tcBorders>
            <w:shd w:val="clear" w:color="auto" w:fill="auto"/>
            <w:noWrap/>
            <w:vAlign w:val="bottom"/>
            <w:hideMark/>
          </w:tcPr>
          <w:p w14:paraId="59B0AC7A" w14:textId="770D80A0" w:rsidR="007A1C80" w:rsidRPr="0053555E" w:rsidRDefault="007A1C80" w:rsidP="007A1C80">
            <w:pPr>
              <w:jc w:val="center"/>
              <w:rPr>
                <w:rFonts w:asciiTheme="majorHAnsi" w:hAnsiTheme="majorHAnsi" w:cstheme="majorHAnsi"/>
                <w:szCs w:val="22"/>
              </w:rPr>
            </w:pPr>
            <w:r w:rsidRPr="0053555E">
              <w:rPr>
                <w:rFonts w:cs="Calibri"/>
                <w:szCs w:val="22"/>
              </w:rPr>
              <w:t>380</w:t>
            </w:r>
          </w:p>
        </w:tc>
        <w:tc>
          <w:tcPr>
            <w:tcW w:w="1062" w:type="dxa"/>
            <w:tcBorders>
              <w:top w:val="nil"/>
              <w:left w:val="nil"/>
              <w:bottom w:val="single" w:sz="4" w:space="0" w:color="auto"/>
              <w:right w:val="single" w:sz="4" w:space="0" w:color="auto"/>
            </w:tcBorders>
            <w:shd w:val="clear" w:color="auto" w:fill="auto"/>
            <w:noWrap/>
            <w:vAlign w:val="bottom"/>
            <w:hideMark/>
          </w:tcPr>
          <w:p w14:paraId="69D5AF51" w14:textId="65649E32" w:rsidR="007A1C80" w:rsidRPr="0053555E" w:rsidRDefault="007A1C80" w:rsidP="007A1C80">
            <w:pPr>
              <w:jc w:val="center"/>
              <w:rPr>
                <w:rFonts w:asciiTheme="majorHAnsi" w:hAnsiTheme="majorHAnsi" w:cstheme="majorHAnsi"/>
                <w:szCs w:val="22"/>
              </w:rPr>
            </w:pPr>
            <w:r w:rsidRPr="0053555E">
              <w:rPr>
                <w:rFonts w:cs="Calibri"/>
                <w:szCs w:val="22"/>
              </w:rPr>
              <w:t>364</w:t>
            </w:r>
          </w:p>
        </w:tc>
        <w:tc>
          <w:tcPr>
            <w:tcW w:w="2268" w:type="dxa"/>
            <w:tcBorders>
              <w:top w:val="nil"/>
              <w:left w:val="nil"/>
              <w:bottom w:val="single" w:sz="4" w:space="0" w:color="auto"/>
              <w:right w:val="single" w:sz="4" w:space="0" w:color="auto"/>
            </w:tcBorders>
            <w:shd w:val="clear" w:color="auto" w:fill="auto"/>
            <w:noWrap/>
            <w:vAlign w:val="bottom"/>
            <w:hideMark/>
          </w:tcPr>
          <w:p w14:paraId="45B39EF3" w14:textId="5D0DC30A" w:rsidR="007A1C80" w:rsidRPr="0053555E" w:rsidRDefault="007A1C80" w:rsidP="007A1C80">
            <w:pPr>
              <w:jc w:val="center"/>
              <w:rPr>
                <w:rFonts w:asciiTheme="majorHAnsi" w:hAnsiTheme="majorHAnsi" w:cstheme="majorHAnsi"/>
                <w:b/>
                <w:bCs/>
                <w:szCs w:val="22"/>
              </w:rPr>
            </w:pPr>
            <w:r w:rsidRPr="0053555E">
              <w:rPr>
                <w:rFonts w:cs="Calibri"/>
                <w:b/>
                <w:bCs/>
                <w:szCs w:val="22"/>
              </w:rPr>
              <w:t>4,2</w:t>
            </w:r>
            <w:r w:rsidR="007C20BB" w:rsidRPr="0053555E">
              <w:rPr>
                <w:rFonts w:cs="Calibri"/>
                <w:b/>
                <w:bCs/>
                <w:szCs w:val="22"/>
              </w:rPr>
              <w:t xml:space="preserve"> </w:t>
            </w:r>
            <w:r w:rsidRPr="0053555E">
              <w:rPr>
                <w:rFonts w:cs="Calibri"/>
                <w:b/>
                <w:bCs/>
                <w:szCs w:val="22"/>
              </w:rPr>
              <w:t>%</w:t>
            </w:r>
          </w:p>
        </w:tc>
      </w:tr>
      <w:tr w:rsidR="007A1C80" w:rsidRPr="0053555E" w14:paraId="561B2B81" w14:textId="77777777" w:rsidTr="00B03F1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5F818D7" w14:textId="77777777" w:rsidR="007A1C80" w:rsidRPr="0053555E" w:rsidRDefault="007A1C80" w:rsidP="007A1C80">
            <w:pPr>
              <w:tabs>
                <w:tab w:val="left" w:pos="9356"/>
              </w:tabs>
              <w:jc w:val="both"/>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ÚM</w:t>
            </w:r>
          </w:p>
        </w:tc>
        <w:tc>
          <w:tcPr>
            <w:tcW w:w="1063" w:type="dxa"/>
            <w:tcBorders>
              <w:top w:val="nil"/>
              <w:left w:val="nil"/>
              <w:bottom w:val="single" w:sz="4" w:space="0" w:color="auto"/>
              <w:right w:val="single" w:sz="4" w:space="0" w:color="auto"/>
            </w:tcBorders>
            <w:shd w:val="clear" w:color="auto" w:fill="auto"/>
            <w:noWrap/>
            <w:vAlign w:val="bottom"/>
            <w:hideMark/>
          </w:tcPr>
          <w:p w14:paraId="19DD94AC" w14:textId="7374CAAB" w:rsidR="007A1C80" w:rsidRPr="0053555E" w:rsidRDefault="007A1C80" w:rsidP="007A1C80">
            <w:pPr>
              <w:jc w:val="center"/>
              <w:rPr>
                <w:rFonts w:asciiTheme="majorHAnsi" w:hAnsiTheme="majorHAnsi" w:cstheme="majorHAnsi"/>
                <w:szCs w:val="22"/>
              </w:rPr>
            </w:pPr>
            <w:r w:rsidRPr="0053555E">
              <w:rPr>
                <w:rFonts w:cs="Calibri"/>
                <w:szCs w:val="22"/>
              </w:rPr>
              <w:t>60</w:t>
            </w:r>
          </w:p>
        </w:tc>
        <w:tc>
          <w:tcPr>
            <w:tcW w:w="1063" w:type="dxa"/>
            <w:tcBorders>
              <w:top w:val="nil"/>
              <w:left w:val="nil"/>
              <w:bottom w:val="single" w:sz="4" w:space="0" w:color="auto"/>
              <w:right w:val="single" w:sz="4" w:space="0" w:color="auto"/>
            </w:tcBorders>
            <w:shd w:val="clear" w:color="auto" w:fill="auto"/>
            <w:noWrap/>
            <w:vAlign w:val="bottom"/>
            <w:hideMark/>
          </w:tcPr>
          <w:p w14:paraId="649D5689" w14:textId="47D031D4" w:rsidR="007A1C80" w:rsidRPr="0053555E" w:rsidRDefault="007A1C80" w:rsidP="007A1C80">
            <w:pPr>
              <w:jc w:val="center"/>
              <w:rPr>
                <w:rFonts w:asciiTheme="majorHAnsi" w:hAnsiTheme="majorHAnsi" w:cstheme="majorHAnsi"/>
                <w:szCs w:val="22"/>
              </w:rPr>
            </w:pPr>
            <w:r w:rsidRPr="0053555E">
              <w:rPr>
                <w:rFonts w:cs="Calibri"/>
                <w:szCs w:val="22"/>
              </w:rPr>
              <w:t>56</w:t>
            </w:r>
          </w:p>
        </w:tc>
        <w:tc>
          <w:tcPr>
            <w:tcW w:w="2126" w:type="dxa"/>
            <w:tcBorders>
              <w:top w:val="nil"/>
              <w:left w:val="nil"/>
              <w:bottom w:val="single" w:sz="4" w:space="0" w:color="auto"/>
              <w:right w:val="single" w:sz="4" w:space="0" w:color="auto"/>
            </w:tcBorders>
            <w:shd w:val="clear" w:color="auto" w:fill="auto"/>
            <w:noWrap/>
            <w:vAlign w:val="bottom"/>
            <w:hideMark/>
          </w:tcPr>
          <w:p w14:paraId="030DADA0" w14:textId="01DCFA59" w:rsidR="007A1C80" w:rsidRPr="0053555E" w:rsidRDefault="007A1C80" w:rsidP="007A1C80">
            <w:pPr>
              <w:jc w:val="center"/>
              <w:rPr>
                <w:rFonts w:asciiTheme="majorHAnsi" w:hAnsiTheme="majorHAnsi" w:cstheme="majorHAnsi"/>
                <w:b/>
                <w:bCs/>
                <w:szCs w:val="22"/>
              </w:rPr>
            </w:pPr>
            <w:r w:rsidRPr="0053555E">
              <w:rPr>
                <w:rFonts w:cs="Calibri"/>
                <w:b/>
                <w:bCs/>
                <w:szCs w:val="22"/>
              </w:rPr>
              <w:t>6,7</w:t>
            </w:r>
            <w:r w:rsidR="007C20BB" w:rsidRPr="0053555E">
              <w:rPr>
                <w:rFonts w:cs="Calibri"/>
                <w:b/>
                <w:bCs/>
                <w:szCs w:val="22"/>
              </w:rPr>
              <w:t xml:space="preserve"> </w:t>
            </w:r>
            <w:r w:rsidRPr="0053555E">
              <w:rPr>
                <w:rFonts w:cs="Calibri"/>
                <w:b/>
                <w:bCs/>
                <w:szCs w:val="22"/>
              </w:rPr>
              <w:t>%</w:t>
            </w:r>
          </w:p>
        </w:tc>
        <w:tc>
          <w:tcPr>
            <w:tcW w:w="1065" w:type="dxa"/>
            <w:tcBorders>
              <w:top w:val="nil"/>
              <w:left w:val="nil"/>
              <w:bottom w:val="single" w:sz="4" w:space="0" w:color="auto"/>
              <w:right w:val="single" w:sz="4" w:space="0" w:color="auto"/>
            </w:tcBorders>
            <w:shd w:val="clear" w:color="auto" w:fill="auto"/>
            <w:noWrap/>
            <w:vAlign w:val="bottom"/>
            <w:hideMark/>
          </w:tcPr>
          <w:p w14:paraId="3ECA7D29" w14:textId="478C9365" w:rsidR="007A1C80" w:rsidRPr="0053555E" w:rsidRDefault="007A1C80" w:rsidP="007A1C80">
            <w:pPr>
              <w:jc w:val="center"/>
              <w:rPr>
                <w:rFonts w:asciiTheme="majorHAnsi" w:hAnsiTheme="majorHAnsi" w:cstheme="majorHAnsi"/>
                <w:szCs w:val="22"/>
              </w:rPr>
            </w:pPr>
            <w:r w:rsidRPr="0053555E">
              <w:rPr>
                <w:rFonts w:cs="Calibri"/>
                <w:szCs w:val="22"/>
              </w:rPr>
              <w:t>153</w:t>
            </w:r>
          </w:p>
        </w:tc>
        <w:tc>
          <w:tcPr>
            <w:tcW w:w="1062" w:type="dxa"/>
            <w:tcBorders>
              <w:top w:val="nil"/>
              <w:left w:val="nil"/>
              <w:bottom w:val="single" w:sz="4" w:space="0" w:color="auto"/>
              <w:right w:val="single" w:sz="4" w:space="0" w:color="auto"/>
            </w:tcBorders>
            <w:shd w:val="clear" w:color="auto" w:fill="auto"/>
            <w:noWrap/>
            <w:vAlign w:val="bottom"/>
            <w:hideMark/>
          </w:tcPr>
          <w:p w14:paraId="793063E9" w14:textId="3DCB3364" w:rsidR="007A1C80" w:rsidRPr="0053555E" w:rsidRDefault="007A1C80" w:rsidP="007A1C80">
            <w:pPr>
              <w:jc w:val="center"/>
              <w:rPr>
                <w:rFonts w:asciiTheme="majorHAnsi" w:hAnsiTheme="majorHAnsi" w:cstheme="majorHAnsi"/>
                <w:szCs w:val="22"/>
              </w:rPr>
            </w:pPr>
            <w:r w:rsidRPr="0053555E">
              <w:rPr>
                <w:rFonts w:cs="Calibri"/>
                <w:szCs w:val="22"/>
              </w:rPr>
              <w:t>153</w:t>
            </w:r>
          </w:p>
        </w:tc>
        <w:tc>
          <w:tcPr>
            <w:tcW w:w="2268" w:type="dxa"/>
            <w:tcBorders>
              <w:top w:val="nil"/>
              <w:left w:val="nil"/>
              <w:bottom w:val="single" w:sz="4" w:space="0" w:color="auto"/>
              <w:right w:val="single" w:sz="4" w:space="0" w:color="auto"/>
            </w:tcBorders>
            <w:shd w:val="clear" w:color="auto" w:fill="auto"/>
            <w:noWrap/>
            <w:vAlign w:val="bottom"/>
            <w:hideMark/>
          </w:tcPr>
          <w:p w14:paraId="5075E691" w14:textId="74004500" w:rsidR="007A1C80" w:rsidRPr="0053555E" w:rsidRDefault="007A1C80" w:rsidP="007A1C80">
            <w:pPr>
              <w:jc w:val="center"/>
              <w:rPr>
                <w:rFonts w:asciiTheme="majorHAnsi" w:hAnsiTheme="majorHAnsi" w:cstheme="majorHAnsi"/>
                <w:b/>
                <w:bCs/>
                <w:szCs w:val="22"/>
              </w:rPr>
            </w:pPr>
            <w:r w:rsidRPr="0053555E">
              <w:rPr>
                <w:rFonts w:cs="Calibri"/>
                <w:b/>
                <w:bCs/>
                <w:szCs w:val="22"/>
              </w:rPr>
              <w:t>0,0</w:t>
            </w:r>
            <w:r w:rsidR="007C20BB" w:rsidRPr="0053555E">
              <w:rPr>
                <w:rFonts w:cs="Calibri"/>
                <w:b/>
                <w:bCs/>
                <w:szCs w:val="22"/>
              </w:rPr>
              <w:t xml:space="preserve"> </w:t>
            </w:r>
            <w:r w:rsidRPr="0053555E">
              <w:rPr>
                <w:rFonts w:cs="Calibri"/>
                <w:b/>
                <w:bCs/>
                <w:szCs w:val="22"/>
              </w:rPr>
              <w:t>%</w:t>
            </w:r>
          </w:p>
        </w:tc>
      </w:tr>
      <w:tr w:rsidR="007A1C80" w:rsidRPr="0053555E" w14:paraId="30B1AB75" w14:textId="77777777" w:rsidTr="00B03F13">
        <w:trPr>
          <w:trHeight w:val="300"/>
        </w:trPr>
        <w:tc>
          <w:tcPr>
            <w:tcW w:w="851"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6B60E41B" w14:textId="77777777" w:rsidR="007A1C80" w:rsidRPr="0053555E" w:rsidRDefault="007A1C80" w:rsidP="007A1C80">
            <w:pPr>
              <w:tabs>
                <w:tab w:val="left" w:pos="9356"/>
              </w:tabs>
              <w:jc w:val="both"/>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STU</w:t>
            </w:r>
          </w:p>
        </w:tc>
        <w:tc>
          <w:tcPr>
            <w:tcW w:w="1063" w:type="dxa"/>
            <w:tcBorders>
              <w:top w:val="nil"/>
              <w:left w:val="nil"/>
              <w:bottom w:val="single" w:sz="4" w:space="0" w:color="auto"/>
              <w:right w:val="single" w:sz="4" w:space="0" w:color="auto"/>
            </w:tcBorders>
            <w:shd w:val="clear" w:color="auto" w:fill="EEECE1" w:themeFill="background2"/>
            <w:noWrap/>
            <w:vAlign w:val="bottom"/>
            <w:hideMark/>
          </w:tcPr>
          <w:p w14:paraId="7F1BBD64" w14:textId="6D28C90D" w:rsidR="007A1C80" w:rsidRPr="0053555E" w:rsidRDefault="007A1C80" w:rsidP="007A1C80">
            <w:pPr>
              <w:jc w:val="center"/>
              <w:rPr>
                <w:rFonts w:asciiTheme="majorHAnsi" w:hAnsiTheme="majorHAnsi" w:cstheme="majorHAnsi"/>
                <w:b/>
                <w:bCs/>
                <w:szCs w:val="22"/>
              </w:rPr>
            </w:pPr>
            <w:r w:rsidRPr="0053555E">
              <w:rPr>
                <w:rFonts w:cs="Calibri"/>
                <w:b/>
                <w:bCs/>
                <w:szCs w:val="22"/>
              </w:rPr>
              <w:t>2 797</w:t>
            </w:r>
          </w:p>
        </w:tc>
        <w:tc>
          <w:tcPr>
            <w:tcW w:w="1063" w:type="dxa"/>
            <w:tcBorders>
              <w:top w:val="nil"/>
              <w:left w:val="nil"/>
              <w:bottom w:val="single" w:sz="4" w:space="0" w:color="auto"/>
              <w:right w:val="single" w:sz="4" w:space="0" w:color="auto"/>
            </w:tcBorders>
            <w:shd w:val="clear" w:color="auto" w:fill="EEECE1" w:themeFill="background2"/>
            <w:noWrap/>
            <w:vAlign w:val="bottom"/>
            <w:hideMark/>
          </w:tcPr>
          <w:p w14:paraId="663DA095" w14:textId="6CFE32FC" w:rsidR="007A1C80" w:rsidRPr="0053555E" w:rsidRDefault="007A1C80" w:rsidP="007A1C80">
            <w:pPr>
              <w:jc w:val="center"/>
              <w:rPr>
                <w:rFonts w:asciiTheme="majorHAnsi" w:hAnsiTheme="majorHAnsi" w:cstheme="majorHAnsi"/>
                <w:b/>
                <w:bCs/>
                <w:szCs w:val="22"/>
              </w:rPr>
            </w:pPr>
            <w:r w:rsidRPr="0053555E">
              <w:rPr>
                <w:rFonts w:cs="Calibri"/>
                <w:b/>
                <w:bCs/>
                <w:szCs w:val="22"/>
              </w:rPr>
              <w:t>2 473</w:t>
            </w:r>
          </w:p>
        </w:tc>
        <w:tc>
          <w:tcPr>
            <w:tcW w:w="2126" w:type="dxa"/>
            <w:tcBorders>
              <w:top w:val="nil"/>
              <w:left w:val="nil"/>
              <w:bottom w:val="single" w:sz="4" w:space="0" w:color="auto"/>
              <w:right w:val="single" w:sz="4" w:space="0" w:color="auto"/>
            </w:tcBorders>
            <w:shd w:val="clear" w:color="auto" w:fill="EEECE1" w:themeFill="background2"/>
            <w:noWrap/>
            <w:vAlign w:val="bottom"/>
            <w:hideMark/>
          </w:tcPr>
          <w:p w14:paraId="65466CB0" w14:textId="157CE028" w:rsidR="007A1C80" w:rsidRPr="0053555E" w:rsidRDefault="007A1C80" w:rsidP="007A1C80">
            <w:pPr>
              <w:jc w:val="center"/>
              <w:rPr>
                <w:rFonts w:asciiTheme="majorHAnsi" w:hAnsiTheme="majorHAnsi" w:cstheme="majorHAnsi"/>
                <w:b/>
                <w:bCs/>
                <w:szCs w:val="22"/>
              </w:rPr>
            </w:pPr>
            <w:r w:rsidRPr="0053555E">
              <w:rPr>
                <w:rFonts w:cs="Calibri"/>
                <w:b/>
                <w:bCs/>
                <w:szCs w:val="22"/>
              </w:rPr>
              <w:t>11,6</w:t>
            </w:r>
            <w:r w:rsidR="007C20BB" w:rsidRPr="0053555E">
              <w:rPr>
                <w:rFonts w:cs="Calibri"/>
                <w:b/>
                <w:bCs/>
                <w:szCs w:val="22"/>
              </w:rPr>
              <w:t xml:space="preserve"> </w:t>
            </w:r>
            <w:r w:rsidRPr="0053555E">
              <w:rPr>
                <w:rFonts w:cs="Calibri"/>
                <w:b/>
                <w:bCs/>
                <w:szCs w:val="22"/>
              </w:rPr>
              <w:t>%</w:t>
            </w:r>
          </w:p>
        </w:tc>
        <w:tc>
          <w:tcPr>
            <w:tcW w:w="1065" w:type="dxa"/>
            <w:tcBorders>
              <w:top w:val="nil"/>
              <w:left w:val="nil"/>
              <w:bottom w:val="single" w:sz="4" w:space="0" w:color="auto"/>
              <w:right w:val="single" w:sz="4" w:space="0" w:color="auto"/>
            </w:tcBorders>
            <w:shd w:val="clear" w:color="auto" w:fill="EEECE1" w:themeFill="background2"/>
            <w:noWrap/>
            <w:vAlign w:val="bottom"/>
            <w:hideMark/>
          </w:tcPr>
          <w:p w14:paraId="59C47FBE" w14:textId="21B61323" w:rsidR="007A1C80" w:rsidRPr="0053555E" w:rsidRDefault="007A1C80" w:rsidP="007A1C80">
            <w:pPr>
              <w:jc w:val="center"/>
              <w:rPr>
                <w:rFonts w:asciiTheme="majorHAnsi" w:hAnsiTheme="majorHAnsi" w:cstheme="majorHAnsi"/>
                <w:b/>
                <w:bCs/>
                <w:szCs w:val="22"/>
              </w:rPr>
            </w:pPr>
            <w:r w:rsidRPr="0053555E">
              <w:rPr>
                <w:rFonts w:cs="Calibri"/>
                <w:b/>
                <w:bCs/>
                <w:szCs w:val="22"/>
              </w:rPr>
              <w:t>3 491</w:t>
            </w:r>
          </w:p>
        </w:tc>
        <w:tc>
          <w:tcPr>
            <w:tcW w:w="1062" w:type="dxa"/>
            <w:tcBorders>
              <w:top w:val="nil"/>
              <w:left w:val="nil"/>
              <w:bottom w:val="single" w:sz="4" w:space="0" w:color="auto"/>
              <w:right w:val="single" w:sz="4" w:space="0" w:color="auto"/>
            </w:tcBorders>
            <w:shd w:val="clear" w:color="auto" w:fill="EEECE1" w:themeFill="background2"/>
            <w:noWrap/>
            <w:vAlign w:val="bottom"/>
            <w:hideMark/>
          </w:tcPr>
          <w:p w14:paraId="626573C3" w14:textId="2F58123F" w:rsidR="007A1C80" w:rsidRPr="0053555E" w:rsidRDefault="007A1C80" w:rsidP="007A1C80">
            <w:pPr>
              <w:jc w:val="center"/>
              <w:rPr>
                <w:rFonts w:asciiTheme="majorHAnsi" w:hAnsiTheme="majorHAnsi" w:cstheme="majorHAnsi"/>
                <w:b/>
                <w:bCs/>
                <w:szCs w:val="22"/>
              </w:rPr>
            </w:pPr>
            <w:r w:rsidRPr="0053555E">
              <w:rPr>
                <w:rFonts w:cs="Calibri"/>
                <w:b/>
                <w:bCs/>
                <w:szCs w:val="22"/>
              </w:rPr>
              <w:t>3 114</w:t>
            </w:r>
          </w:p>
        </w:tc>
        <w:tc>
          <w:tcPr>
            <w:tcW w:w="2268" w:type="dxa"/>
            <w:tcBorders>
              <w:top w:val="nil"/>
              <w:left w:val="nil"/>
              <w:bottom w:val="single" w:sz="4" w:space="0" w:color="auto"/>
              <w:right w:val="single" w:sz="4" w:space="0" w:color="auto"/>
            </w:tcBorders>
            <w:shd w:val="clear" w:color="auto" w:fill="EEECE1" w:themeFill="background2"/>
            <w:noWrap/>
            <w:vAlign w:val="bottom"/>
            <w:hideMark/>
          </w:tcPr>
          <w:p w14:paraId="6916F493" w14:textId="49640031" w:rsidR="007A1C80" w:rsidRPr="0053555E" w:rsidRDefault="007A1C80" w:rsidP="007A1C80">
            <w:pPr>
              <w:jc w:val="center"/>
              <w:rPr>
                <w:rFonts w:asciiTheme="majorHAnsi" w:hAnsiTheme="majorHAnsi" w:cstheme="majorHAnsi"/>
                <w:b/>
                <w:bCs/>
                <w:szCs w:val="22"/>
              </w:rPr>
            </w:pPr>
            <w:r w:rsidRPr="0053555E">
              <w:rPr>
                <w:rFonts w:cs="Calibri"/>
                <w:b/>
                <w:bCs/>
                <w:szCs w:val="22"/>
              </w:rPr>
              <w:t>10,8</w:t>
            </w:r>
            <w:r w:rsidR="007C20BB" w:rsidRPr="0053555E">
              <w:rPr>
                <w:rFonts w:cs="Calibri"/>
                <w:b/>
                <w:bCs/>
                <w:szCs w:val="22"/>
              </w:rPr>
              <w:t xml:space="preserve"> </w:t>
            </w:r>
            <w:r w:rsidRPr="0053555E">
              <w:rPr>
                <w:rFonts w:cs="Calibri"/>
                <w:b/>
                <w:bCs/>
                <w:szCs w:val="22"/>
              </w:rPr>
              <w:t>%</w:t>
            </w:r>
          </w:p>
        </w:tc>
      </w:tr>
    </w:tbl>
    <w:p w14:paraId="2B0B6B3E" w14:textId="77777777" w:rsidR="00C41753" w:rsidRPr="0053555E" w:rsidRDefault="00C41753" w:rsidP="00324438">
      <w:pPr>
        <w:tabs>
          <w:tab w:val="left" w:pos="9356"/>
        </w:tabs>
        <w:jc w:val="both"/>
        <w:rPr>
          <w:rFonts w:asciiTheme="majorHAnsi" w:eastAsia="Calibri" w:hAnsiTheme="majorHAnsi" w:cstheme="majorHAnsi"/>
          <w:sz w:val="20"/>
        </w:rPr>
      </w:pPr>
      <w:r w:rsidRPr="0053555E">
        <w:rPr>
          <w:rFonts w:asciiTheme="majorHAnsi" w:eastAsia="Calibri" w:hAnsiTheme="majorHAnsi" w:cstheme="majorHAnsi"/>
          <w:sz w:val="20"/>
        </w:rPr>
        <w:t xml:space="preserve">Vysvetlivky: </w:t>
      </w:r>
    </w:p>
    <w:p w14:paraId="701DE4CA" w14:textId="77777777" w:rsidR="00C41753" w:rsidRPr="0053555E" w:rsidRDefault="00C41753" w:rsidP="00324438">
      <w:pPr>
        <w:tabs>
          <w:tab w:val="left" w:pos="9356"/>
        </w:tabs>
        <w:jc w:val="both"/>
        <w:rPr>
          <w:rFonts w:asciiTheme="majorHAnsi" w:eastAsia="Calibri" w:hAnsiTheme="majorHAnsi" w:cstheme="majorHAnsi"/>
          <w:sz w:val="20"/>
        </w:rPr>
      </w:pPr>
      <w:r w:rsidRPr="0053555E">
        <w:rPr>
          <w:rFonts w:asciiTheme="majorHAnsi" w:eastAsia="Calibri" w:hAnsiTheme="majorHAnsi" w:cstheme="majorHAnsi"/>
          <w:sz w:val="20"/>
        </w:rPr>
        <w:t>Počet novoprijatých predstavuje študentov prijatých a zapísaných na prvý stupeň, ktorí nemali v minulosti na príslušnej súčasti STU žiadne neúspešne skončené štúdium</w:t>
      </w:r>
    </w:p>
    <w:p w14:paraId="190B16A8" w14:textId="1D5CCB9E" w:rsidR="00C41753" w:rsidRPr="009223BE" w:rsidRDefault="00160BD2" w:rsidP="009223BE">
      <w:pPr>
        <w:rPr>
          <w:rFonts w:asciiTheme="majorHAnsi" w:hAnsiTheme="majorHAnsi" w:cstheme="majorHAnsi"/>
          <w:sz w:val="20"/>
          <w:szCs w:val="20"/>
        </w:rPr>
      </w:pPr>
      <w:r w:rsidRPr="0053555E">
        <w:rPr>
          <w:rFonts w:asciiTheme="majorHAnsi" w:hAnsiTheme="majorHAnsi" w:cstheme="majorHAnsi"/>
          <w:sz w:val="20"/>
          <w:szCs w:val="20"/>
        </w:rPr>
        <w:br w:type="page"/>
      </w:r>
      <w:r w:rsidR="00C41753" w:rsidRPr="0053555E">
        <w:rPr>
          <w:rFonts w:asciiTheme="majorHAnsi" w:hAnsiTheme="majorHAnsi" w:cstheme="majorHAnsi"/>
          <w:szCs w:val="20"/>
        </w:rPr>
        <w:lastRenderedPageBreak/>
        <w:t xml:space="preserve">Vývoj počtu prihlásených a prijatých uchádzačov o štúdium na STU a z toho zapísaných študentov </w:t>
      </w:r>
      <w:r w:rsidR="002B7253" w:rsidRPr="0053555E">
        <w:rPr>
          <w:rFonts w:asciiTheme="majorHAnsi" w:hAnsiTheme="majorHAnsi" w:cstheme="majorHAnsi"/>
          <w:szCs w:val="20"/>
        </w:rPr>
        <w:t xml:space="preserve">za ostatných desať </w:t>
      </w:r>
      <w:r w:rsidR="00C41753" w:rsidRPr="0053555E">
        <w:rPr>
          <w:rFonts w:asciiTheme="majorHAnsi" w:hAnsiTheme="majorHAnsi" w:cstheme="majorHAnsi"/>
          <w:szCs w:val="20"/>
        </w:rPr>
        <w:t>akademick</w:t>
      </w:r>
      <w:r w:rsidR="002B7253" w:rsidRPr="0053555E">
        <w:rPr>
          <w:rFonts w:asciiTheme="majorHAnsi" w:hAnsiTheme="majorHAnsi" w:cstheme="majorHAnsi"/>
          <w:szCs w:val="20"/>
        </w:rPr>
        <w:t>ých</w:t>
      </w:r>
      <w:r w:rsidR="00C41753" w:rsidRPr="0053555E">
        <w:rPr>
          <w:rFonts w:asciiTheme="majorHAnsi" w:hAnsiTheme="majorHAnsi" w:cstheme="majorHAnsi"/>
          <w:szCs w:val="20"/>
        </w:rPr>
        <w:t xml:space="preserve"> rok</w:t>
      </w:r>
      <w:r w:rsidR="002B7253" w:rsidRPr="0053555E">
        <w:rPr>
          <w:rFonts w:asciiTheme="majorHAnsi" w:hAnsiTheme="majorHAnsi" w:cstheme="majorHAnsi"/>
          <w:szCs w:val="20"/>
        </w:rPr>
        <w:t>ov</w:t>
      </w:r>
      <w:r w:rsidR="00C41753" w:rsidRPr="0053555E">
        <w:rPr>
          <w:rFonts w:asciiTheme="majorHAnsi" w:hAnsiTheme="majorHAnsi" w:cstheme="majorHAnsi"/>
          <w:szCs w:val="20"/>
        </w:rPr>
        <w:t xml:space="preserve"> uvádza </w:t>
      </w:r>
      <w:r w:rsidR="00C41753" w:rsidRPr="0053555E">
        <w:rPr>
          <w:rFonts w:asciiTheme="majorHAnsi" w:hAnsiTheme="majorHAnsi" w:cstheme="majorHAnsi"/>
          <w:szCs w:val="20"/>
        </w:rPr>
        <w:fldChar w:fldCharType="begin"/>
      </w:r>
      <w:r w:rsidR="00C41753" w:rsidRPr="0053555E">
        <w:rPr>
          <w:rFonts w:asciiTheme="majorHAnsi" w:hAnsiTheme="majorHAnsi" w:cstheme="majorHAnsi"/>
          <w:szCs w:val="20"/>
        </w:rPr>
        <w:instrText xml:space="preserve"> REF _Ref474779915 \h  \* MERGEFORMAT </w:instrText>
      </w:r>
      <w:r w:rsidR="00C41753" w:rsidRPr="0053555E">
        <w:rPr>
          <w:rFonts w:asciiTheme="majorHAnsi" w:hAnsiTheme="majorHAnsi" w:cstheme="majorHAnsi"/>
          <w:szCs w:val="20"/>
        </w:rPr>
      </w:r>
      <w:r w:rsidR="00C41753" w:rsidRPr="0053555E">
        <w:rPr>
          <w:rFonts w:asciiTheme="majorHAnsi" w:hAnsiTheme="majorHAnsi" w:cstheme="majorHAnsi"/>
          <w:szCs w:val="20"/>
        </w:rPr>
        <w:fldChar w:fldCharType="separate"/>
      </w:r>
      <w:r w:rsidR="00EE1B59" w:rsidRPr="00EE1B59">
        <w:rPr>
          <w:rFonts w:asciiTheme="majorHAnsi" w:hAnsiTheme="majorHAnsi" w:cstheme="majorHAnsi"/>
          <w:sz w:val="20"/>
          <w:szCs w:val="20"/>
        </w:rPr>
        <w:t>Graf č. 11</w:t>
      </w:r>
      <w:r w:rsidR="00C41753" w:rsidRPr="0053555E">
        <w:rPr>
          <w:rFonts w:asciiTheme="majorHAnsi" w:hAnsiTheme="majorHAnsi" w:cstheme="majorHAnsi"/>
          <w:szCs w:val="20"/>
        </w:rPr>
        <w:fldChar w:fldCharType="end"/>
      </w:r>
      <w:r w:rsidR="00C41753" w:rsidRPr="0053555E">
        <w:rPr>
          <w:rFonts w:asciiTheme="majorHAnsi" w:hAnsiTheme="majorHAnsi" w:cstheme="majorHAnsi"/>
          <w:szCs w:val="20"/>
        </w:rPr>
        <w:t>.</w:t>
      </w:r>
    </w:p>
    <w:p w14:paraId="5970E16E" w14:textId="77777777" w:rsidR="00C41753" w:rsidRPr="0053555E" w:rsidRDefault="00C41753" w:rsidP="00324438">
      <w:pPr>
        <w:tabs>
          <w:tab w:val="left" w:pos="9356"/>
        </w:tabs>
        <w:jc w:val="both"/>
        <w:rPr>
          <w:rFonts w:asciiTheme="majorHAnsi" w:hAnsiTheme="majorHAnsi" w:cstheme="majorHAnsi"/>
          <w:szCs w:val="20"/>
        </w:rPr>
      </w:pPr>
    </w:p>
    <w:p w14:paraId="5A850DDA" w14:textId="684C7992" w:rsidR="00C41753" w:rsidRPr="0053555E" w:rsidRDefault="00C41753" w:rsidP="000E3322">
      <w:pPr>
        <w:pStyle w:val="Popis"/>
      </w:pPr>
      <w:bookmarkStart w:id="100" w:name="_Ref474779915"/>
      <w:bookmarkStart w:id="101" w:name="_Toc127593339"/>
      <w:r w:rsidRPr="0053555E">
        <w:t xml:space="preserve">Graf č. </w:t>
      </w:r>
      <w:r w:rsidR="007B5953">
        <w:fldChar w:fldCharType="begin"/>
      </w:r>
      <w:r w:rsidR="007B5953">
        <w:instrText xml:space="preserve"> SEQ Graf_č. \* ARABIC </w:instrText>
      </w:r>
      <w:r w:rsidR="007B5953">
        <w:fldChar w:fldCharType="separate"/>
      </w:r>
      <w:r w:rsidR="00EE1B59">
        <w:rPr>
          <w:noProof/>
        </w:rPr>
        <w:t>11</w:t>
      </w:r>
      <w:r w:rsidR="007B5953">
        <w:rPr>
          <w:noProof/>
        </w:rPr>
        <w:fldChar w:fldCharType="end"/>
      </w:r>
      <w:bookmarkEnd w:id="100"/>
      <w:r w:rsidRPr="0053555E">
        <w:t xml:space="preserve">: Vývoj prijímacieho konania na I. stupni štúdia v dennej forme </w:t>
      </w:r>
      <w:r w:rsidR="00DE48DD" w:rsidRPr="0053555E">
        <w:t xml:space="preserve">za ostatných desať </w:t>
      </w:r>
      <w:r w:rsidRPr="0053555E">
        <w:t>akademick</w:t>
      </w:r>
      <w:r w:rsidR="00DE48DD" w:rsidRPr="0053555E">
        <w:t>ých</w:t>
      </w:r>
      <w:r w:rsidRPr="0053555E">
        <w:t xml:space="preserve"> rok</w:t>
      </w:r>
      <w:r w:rsidR="00DE48DD" w:rsidRPr="0053555E">
        <w:t>ov</w:t>
      </w:r>
      <w:bookmarkEnd w:id="101"/>
    </w:p>
    <w:p w14:paraId="6779F09C" w14:textId="79E5E416" w:rsidR="009E3448" w:rsidRPr="0053555E" w:rsidRDefault="009E3448" w:rsidP="00061529">
      <w:pPr>
        <w:jc w:val="center"/>
      </w:pPr>
      <w:r w:rsidRPr="0053555E">
        <w:rPr>
          <w:rFonts w:asciiTheme="majorHAnsi" w:hAnsiTheme="majorHAnsi" w:cstheme="majorHAnsi"/>
          <w:noProof/>
          <w:lang w:eastAsia="sk-SK"/>
        </w:rPr>
        <w:drawing>
          <wp:inline distT="0" distB="0" distL="0" distR="0" wp14:anchorId="036C0B98" wp14:editId="0A2CAFF3">
            <wp:extent cx="5977890" cy="3804249"/>
            <wp:effectExtent l="0" t="0" r="3810" b="6350"/>
            <wp:docPr id="15" name="Graf 15">
              <a:extLst xmlns:a="http://schemas.openxmlformats.org/drawingml/2006/main">
                <a:ext uri="{FF2B5EF4-FFF2-40B4-BE49-F238E27FC236}">
                  <a16:creationId xmlns:a16="http://schemas.microsoft.com/office/drawing/2014/main" id="{00000000-0008-0000-1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DC423A2" w14:textId="77777777" w:rsidR="007378B0" w:rsidRDefault="007378B0" w:rsidP="004C5370">
      <w:pPr>
        <w:tabs>
          <w:tab w:val="left" w:pos="9356"/>
        </w:tabs>
        <w:spacing w:after="120"/>
        <w:jc w:val="both"/>
      </w:pPr>
    </w:p>
    <w:p w14:paraId="4540919F" w14:textId="77777777" w:rsidR="007378B0" w:rsidRDefault="007378B0" w:rsidP="004C5370">
      <w:pPr>
        <w:tabs>
          <w:tab w:val="left" w:pos="9356"/>
        </w:tabs>
        <w:spacing w:after="120"/>
        <w:jc w:val="both"/>
      </w:pPr>
    </w:p>
    <w:p w14:paraId="54319CB5" w14:textId="29D4013F" w:rsidR="00A07789" w:rsidRPr="0053555E" w:rsidRDefault="00C41753" w:rsidP="004C5370">
      <w:pPr>
        <w:tabs>
          <w:tab w:val="left" w:pos="9356"/>
        </w:tabs>
        <w:spacing w:after="120"/>
        <w:jc w:val="both"/>
        <w:rPr>
          <w:rFonts w:asciiTheme="majorHAnsi" w:hAnsiTheme="majorHAnsi" w:cstheme="majorHAnsi"/>
          <w:b/>
        </w:rPr>
      </w:pPr>
      <w:r w:rsidRPr="0053555E">
        <w:rPr>
          <w:rFonts w:asciiTheme="majorHAnsi" w:hAnsiTheme="majorHAnsi" w:cstheme="majorHAnsi"/>
        </w:rPr>
        <w:t>Pokles uchádzačov o štúdium na prvom stupni v predchádzajúcich akademických rokoch bol spôsobený najmä demografickým vývojom obyvateľstva Slovenskej republiky</w:t>
      </w:r>
      <w:r w:rsidR="00D14D6A" w:rsidRPr="0053555E">
        <w:rPr>
          <w:rFonts w:asciiTheme="majorHAnsi" w:hAnsiTheme="majorHAnsi" w:cstheme="majorHAnsi"/>
        </w:rPr>
        <w:t xml:space="preserve">. </w:t>
      </w:r>
      <w:r w:rsidR="00E8605D">
        <w:rPr>
          <w:rFonts w:asciiTheme="majorHAnsi" w:hAnsiTheme="majorHAnsi" w:cstheme="majorHAnsi"/>
        </w:rPr>
        <w:t xml:space="preserve">V akademickom roku 2022/2023 tento </w:t>
      </w:r>
      <w:r w:rsidR="00D836EA">
        <w:rPr>
          <w:rFonts w:asciiTheme="majorHAnsi" w:hAnsiTheme="majorHAnsi" w:cstheme="majorHAnsi"/>
        </w:rPr>
        <w:t xml:space="preserve">klesajúc </w:t>
      </w:r>
      <w:r w:rsidR="00E8605D">
        <w:rPr>
          <w:rFonts w:asciiTheme="majorHAnsi" w:hAnsiTheme="majorHAnsi" w:cstheme="majorHAnsi"/>
        </w:rPr>
        <w:t xml:space="preserve">trend prerušil </w:t>
      </w:r>
      <w:r w:rsidR="00D836EA">
        <w:rPr>
          <w:rFonts w:asciiTheme="majorHAnsi" w:hAnsiTheme="majorHAnsi" w:cstheme="majorHAnsi"/>
        </w:rPr>
        <w:t>nárast</w:t>
      </w:r>
      <w:r w:rsidR="00E8605D">
        <w:rPr>
          <w:rFonts w:asciiTheme="majorHAnsi" w:hAnsiTheme="majorHAnsi" w:cstheme="majorHAnsi"/>
        </w:rPr>
        <w:t xml:space="preserve"> </w:t>
      </w:r>
      <w:r w:rsidR="00D836EA">
        <w:rPr>
          <w:rFonts w:asciiTheme="majorHAnsi" w:hAnsiTheme="majorHAnsi" w:cstheme="majorHAnsi"/>
        </w:rPr>
        <w:t>uchádzačov</w:t>
      </w:r>
      <w:r w:rsidR="00E8605D">
        <w:rPr>
          <w:rFonts w:asciiTheme="majorHAnsi" w:hAnsiTheme="majorHAnsi" w:cstheme="majorHAnsi"/>
        </w:rPr>
        <w:t xml:space="preserve"> o štúdium z Ukrajiny.</w:t>
      </w:r>
      <w:r w:rsidR="00D836EA">
        <w:rPr>
          <w:rFonts w:asciiTheme="majorHAnsi" w:hAnsiTheme="majorHAnsi" w:cstheme="majorHAnsi"/>
        </w:rPr>
        <w:t xml:space="preserve"> </w:t>
      </w:r>
      <w:r w:rsidR="002E218E">
        <w:rPr>
          <w:rFonts w:asciiTheme="majorHAnsi" w:hAnsiTheme="majorHAnsi" w:cstheme="majorHAnsi"/>
        </w:rPr>
        <w:t>P</w:t>
      </w:r>
      <w:r w:rsidRPr="009930D1">
        <w:rPr>
          <w:rFonts w:asciiTheme="majorHAnsi" w:hAnsiTheme="majorHAnsi" w:cstheme="majorHAnsi"/>
        </w:rPr>
        <w:t>ercento zapísaných študentov na STU z celkového počtu maturantov v</w:t>
      </w:r>
      <w:r w:rsidR="00C97E95" w:rsidRPr="009930D1">
        <w:rPr>
          <w:rFonts w:asciiTheme="majorHAnsi" w:hAnsiTheme="majorHAnsi" w:cstheme="majorHAnsi"/>
        </w:rPr>
        <w:t> Slovenskej republike</w:t>
      </w:r>
      <w:r w:rsidRPr="009930D1">
        <w:rPr>
          <w:rFonts w:asciiTheme="majorHAnsi" w:hAnsiTheme="majorHAnsi" w:cstheme="majorHAnsi"/>
        </w:rPr>
        <w:t xml:space="preserve"> je z dlhodobého hľadiska stabilné, </w:t>
      </w:r>
      <w:r w:rsidR="00565A9B" w:rsidRPr="009930D1">
        <w:rPr>
          <w:rFonts w:asciiTheme="majorHAnsi" w:hAnsiTheme="majorHAnsi" w:cstheme="majorHAnsi"/>
        </w:rPr>
        <w:t>v</w:t>
      </w:r>
      <w:r w:rsidR="00770B08" w:rsidRPr="009930D1">
        <w:rPr>
          <w:rFonts w:asciiTheme="majorHAnsi" w:hAnsiTheme="majorHAnsi" w:cstheme="majorHAnsi"/>
        </w:rPr>
        <w:t xml:space="preserve"> </w:t>
      </w:r>
      <w:r w:rsidR="00B0293F" w:rsidRPr="009930D1">
        <w:rPr>
          <w:rFonts w:asciiTheme="majorHAnsi" w:hAnsiTheme="majorHAnsi" w:cstheme="majorHAnsi"/>
        </w:rPr>
        <w:t xml:space="preserve">predchádzajúcich </w:t>
      </w:r>
      <w:r w:rsidR="00565A9B" w:rsidRPr="009930D1">
        <w:rPr>
          <w:rFonts w:asciiTheme="majorHAnsi" w:hAnsiTheme="majorHAnsi" w:cstheme="majorHAnsi"/>
        </w:rPr>
        <w:t xml:space="preserve">piatich </w:t>
      </w:r>
      <w:r w:rsidR="009337E9" w:rsidRPr="009930D1">
        <w:rPr>
          <w:rFonts w:asciiTheme="majorHAnsi" w:hAnsiTheme="majorHAnsi" w:cstheme="majorHAnsi"/>
        </w:rPr>
        <w:t xml:space="preserve">akademických rokov sa </w:t>
      </w:r>
      <w:r w:rsidR="0067596A" w:rsidRPr="009930D1">
        <w:rPr>
          <w:rFonts w:asciiTheme="majorHAnsi" w:hAnsiTheme="majorHAnsi" w:cstheme="majorHAnsi"/>
        </w:rPr>
        <w:t>pohyb</w:t>
      </w:r>
      <w:r w:rsidR="00565A9B" w:rsidRPr="009930D1">
        <w:rPr>
          <w:rFonts w:asciiTheme="majorHAnsi" w:hAnsiTheme="majorHAnsi" w:cstheme="majorHAnsi"/>
        </w:rPr>
        <w:t>ovalo</w:t>
      </w:r>
      <w:r w:rsidR="0067596A" w:rsidRPr="009930D1">
        <w:rPr>
          <w:rFonts w:asciiTheme="majorHAnsi" w:hAnsiTheme="majorHAnsi" w:cstheme="majorHAnsi"/>
        </w:rPr>
        <w:t xml:space="preserve"> v priemere na úrovni</w:t>
      </w:r>
      <w:r w:rsidRPr="009930D1">
        <w:rPr>
          <w:rFonts w:asciiTheme="majorHAnsi" w:hAnsiTheme="majorHAnsi" w:cstheme="majorHAnsi"/>
        </w:rPr>
        <w:t xml:space="preserve"> 5</w:t>
      </w:r>
      <w:r w:rsidR="008D610F" w:rsidRPr="009930D1">
        <w:rPr>
          <w:rFonts w:asciiTheme="majorHAnsi" w:hAnsiTheme="majorHAnsi" w:cstheme="majorHAnsi"/>
        </w:rPr>
        <w:t>,</w:t>
      </w:r>
      <w:r w:rsidR="00565A9B" w:rsidRPr="009930D1">
        <w:rPr>
          <w:rFonts w:asciiTheme="majorHAnsi" w:hAnsiTheme="majorHAnsi" w:cstheme="majorHAnsi"/>
        </w:rPr>
        <w:t>6</w:t>
      </w:r>
      <w:r w:rsidRPr="009930D1">
        <w:rPr>
          <w:rFonts w:asciiTheme="majorHAnsi" w:hAnsiTheme="majorHAnsi" w:cstheme="majorHAnsi"/>
        </w:rPr>
        <w:t>%</w:t>
      </w:r>
      <w:r w:rsidR="00896AE3" w:rsidRPr="009930D1">
        <w:rPr>
          <w:rFonts w:asciiTheme="majorHAnsi" w:hAnsiTheme="majorHAnsi" w:cstheme="majorHAnsi"/>
        </w:rPr>
        <w:t xml:space="preserve">. </w:t>
      </w:r>
      <w:r w:rsidR="00CC3F93" w:rsidRPr="009930D1">
        <w:rPr>
          <w:rFonts w:asciiTheme="majorHAnsi" w:hAnsiTheme="majorHAnsi" w:cstheme="majorHAnsi"/>
        </w:rPr>
        <w:t>V </w:t>
      </w:r>
      <w:r w:rsidR="00291BA6" w:rsidRPr="009930D1">
        <w:rPr>
          <w:rFonts w:asciiTheme="majorHAnsi" w:hAnsiTheme="majorHAnsi" w:cstheme="majorHAnsi"/>
        </w:rPr>
        <w:t xml:space="preserve">akademickom roku </w:t>
      </w:r>
      <w:r w:rsidR="00EA24BA" w:rsidRPr="009930D1">
        <w:rPr>
          <w:rFonts w:asciiTheme="majorHAnsi" w:hAnsiTheme="majorHAnsi" w:cstheme="majorHAnsi"/>
        </w:rPr>
        <w:t>2022/2023</w:t>
      </w:r>
      <w:r w:rsidR="00291BA6" w:rsidRPr="009930D1">
        <w:rPr>
          <w:rFonts w:asciiTheme="majorHAnsi" w:hAnsiTheme="majorHAnsi" w:cstheme="majorHAnsi"/>
        </w:rPr>
        <w:t xml:space="preserve"> </w:t>
      </w:r>
      <w:r w:rsidR="0081322E">
        <w:rPr>
          <w:rFonts w:asciiTheme="majorHAnsi" w:hAnsiTheme="majorHAnsi" w:cstheme="majorHAnsi"/>
        </w:rPr>
        <w:t xml:space="preserve">sa </w:t>
      </w:r>
      <w:r w:rsidR="00941102">
        <w:rPr>
          <w:rFonts w:asciiTheme="majorHAnsi" w:hAnsiTheme="majorHAnsi" w:cstheme="majorHAnsi"/>
        </w:rPr>
        <w:t>zvýšilo</w:t>
      </w:r>
      <w:r w:rsidR="00EB5A94">
        <w:rPr>
          <w:rFonts w:asciiTheme="majorHAnsi" w:hAnsiTheme="majorHAnsi" w:cstheme="majorHAnsi"/>
        </w:rPr>
        <w:t xml:space="preserve"> </w:t>
      </w:r>
      <w:r w:rsidR="009930D1" w:rsidRPr="009930D1">
        <w:rPr>
          <w:rFonts w:asciiTheme="majorHAnsi" w:hAnsiTheme="majorHAnsi" w:cstheme="majorHAnsi"/>
        </w:rPr>
        <w:t>na úroveň 6,5</w:t>
      </w:r>
      <w:r w:rsidR="009337E9" w:rsidRPr="009930D1">
        <w:rPr>
          <w:rFonts w:asciiTheme="majorHAnsi" w:hAnsiTheme="majorHAnsi" w:cstheme="majorHAnsi"/>
        </w:rPr>
        <w:t xml:space="preserve"> %. Počet maturantov v </w:t>
      </w:r>
      <w:r w:rsidR="00291BA6" w:rsidRPr="009930D1">
        <w:rPr>
          <w:rFonts w:asciiTheme="majorHAnsi" w:hAnsiTheme="majorHAnsi" w:cstheme="majorHAnsi"/>
        </w:rPr>
        <w:t>Slovenskej</w:t>
      </w:r>
      <w:r w:rsidR="00291BA6" w:rsidRPr="0053555E">
        <w:rPr>
          <w:rFonts w:asciiTheme="majorHAnsi" w:hAnsiTheme="majorHAnsi" w:cstheme="majorHAnsi"/>
        </w:rPr>
        <w:t xml:space="preserve"> republike v</w:t>
      </w:r>
      <w:r w:rsidR="003C5FD6" w:rsidRPr="0053555E">
        <w:rPr>
          <w:rFonts w:asciiTheme="majorHAnsi" w:hAnsiTheme="majorHAnsi" w:cstheme="majorHAnsi"/>
        </w:rPr>
        <w:t> </w:t>
      </w:r>
      <w:r w:rsidR="00291BA6" w:rsidRPr="0053555E">
        <w:rPr>
          <w:rFonts w:asciiTheme="majorHAnsi" w:hAnsiTheme="majorHAnsi" w:cstheme="majorHAnsi"/>
        </w:rPr>
        <w:t xml:space="preserve">dennej forme štúdia v školskom roku </w:t>
      </w:r>
      <w:r w:rsidR="00EA24BA" w:rsidRPr="0053555E">
        <w:rPr>
          <w:rFonts w:asciiTheme="majorHAnsi" w:hAnsiTheme="majorHAnsi" w:cstheme="majorHAnsi"/>
        </w:rPr>
        <w:t>2021/2022</w:t>
      </w:r>
      <w:r w:rsidR="00291BA6" w:rsidRPr="0053555E">
        <w:rPr>
          <w:rFonts w:asciiTheme="majorHAnsi" w:hAnsiTheme="majorHAnsi" w:cstheme="majorHAnsi"/>
        </w:rPr>
        <w:t xml:space="preserve"> sa </w:t>
      </w:r>
      <w:r w:rsidR="00941102">
        <w:rPr>
          <w:rFonts w:asciiTheme="majorHAnsi" w:hAnsiTheme="majorHAnsi" w:cstheme="majorHAnsi"/>
        </w:rPr>
        <w:t xml:space="preserve">pritom </w:t>
      </w:r>
      <w:r w:rsidR="006B696E">
        <w:rPr>
          <w:rFonts w:asciiTheme="majorHAnsi" w:hAnsiTheme="majorHAnsi" w:cstheme="majorHAnsi"/>
        </w:rPr>
        <w:t xml:space="preserve">mierne </w:t>
      </w:r>
      <w:r w:rsidR="00291BA6" w:rsidRPr="0053555E">
        <w:rPr>
          <w:rFonts w:asciiTheme="majorHAnsi" w:hAnsiTheme="majorHAnsi" w:cstheme="majorHAnsi"/>
        </w:rPr>
        <w:t xml:space="preserve">znížil </w:t>
      </w:r>
      <w:r w:rsidR="00D2540B" w:rsidRPr="0053555E">
        <w:rPr>
          <w:rFonts w:asciiTheme="majorHAnsi" w:hAnsiTheme="majorHAnsi" w:cstheme="majorHAnsi"/>
        </w:rPr>
        <w:t>o</w:t>
      </w:r>
      <w:r w:rsidR="00F35503">
        <w:rPr>
          <w:rFonts w:asciiTheme="majorHAnsi" w:hAnsiTheme="majorHAnsi" w:cstheme="majorHAnsi"/>
        </w:rPr>
        <w:t> </w:t>
      </w:r>
      <w:r w:rsidR="006B696E">
        <w:rPr>
          <w:rFonts w:asciiTheme="majorHAnsi" w:hAnsiTheme="majorHAnsi" w:cstheme="majorHAnsi"/>
        </w:rPr>
        <w:t>0</w:t>
      </w:r>
      <w:r w:rsidR="00F35503">
        <w:rPr>
          <w:rFonts w:asciiTheme="majorHAnsi" w:hAnsiTheme="majorHAnsi" w:cstheme="majorHAnsi"/>
        </w:rPr>
        <w:t>,</w:t>
      </w:r>
      <w:r w:rsidR="006B696E">
        <w:rPr>
          <w:rFonts w:asciiTheme="majorHAnsi" w:hAnsiTheme="majorHAnsi" w:cstheme="majorHAnsi"/>
        </w:rPr>
        <w:t>06</w:t>
      </w:r>
      <w:r w:rsidR="00291BA6" w:rsidRPr="0053555E">
        <w:rPr>
          <w:rFonts w:asciiTheme="majorHAnsi" w:hAnsiTheme="majorHAnsi" w:cstheme="majorHAnsi"/>
        </w:rPr>
        <w:t xml:space="preserve"> % oproti školskému roku 20</w:t>
      </w:r>
      <w:r w:rsidR="00F35503">
        <w:rPr>
          <w:rFonts w:asciiTheme="majorHAnsi" w:hAnsiTheme="majorHAnsi" w:cstheme="majorHAnsi"/>
        </w:rPr>
        <w:t>20</w:t>
      </w:r>
      <w:r w:rsidR="00291BA6" w:rsidRPr="0053555E">
        <w:rPr>
          <w:rFonts w:asciiTheme="majorHAnsi" w:hAnsiTheme="majorHAnsi" w:cstheme="majorHAnsi"/>
        </w:rPr>
        <w:t>/20</w:t>
      </w:r>
      <w:r w:rsidR="00B52C20" w:rsidRPr="0053555E">
        <w:rPr>
          <w:rFonts w:asciiTheme="majorHAnsi" w:hAnsiTheme="majorHAnsi" w:cstheme="majorHAnsi"/>
        </w:rPr>
        <w:t>2</w:t>
      </w:r>
      <w:r w:rsidR="00F35503">
        <w:rPr>
          <w:rFonts w:asciiTheme="majorHAnsi" w:hAnsiTheme="majorHAnsi" w:cstheme="majorHAnsi"/>
        </w:rPr>
        <w:t>1</w:t>
      </w:r>
      <w:r w:rsidR="00291BA6" w:rsidRPr="0053555E">
        <w:rPr>
          <w:rFonts w:asciiTheme="majorHAnsi" w:hAnsiTheme="majorHAnsi" w:cstheme="majorHAnsi"/>
        </w:rPr>
        <w:t>.</w:t>
      </w:r>
      <w:r w:rsidR="00495E55" w:rsidRPr="0053555E">
        <w:rPr>
          <w:rFonts w:asciiTheme="majorHAnsi" w:hAnsiTheme="majorHAnsi" w:cstheme="majorHAnsi"/>
          <w:b/>
        </w:rPr>
        <w:t xml:space="preserve"> </w:t>
      </w:r>
    </w:p>
    <w:p w14:paraId="0E55A8F8" w14:textId="346B5903" w:rsidR="00C41753" w:rsidRPr="0053555E" w:rsidRDefault="00C64F01" w:rsidP="00324438">
      <w:pPr>
        <w:tabs>
          <w:tab w:val="left" w:pos="9356"/>
        </w:tabs>
        <w:jc w:val="both"/>
        <w:rPr>
          <w:rFonts w:asciiTheme="majorHAnsi" w:hAnsiTheme="majorHAnsi" w:cstheme="majorHAnsi"/>
        </w:rPr>
      </w:pPr>
      <w:r w:rsidRPr="0053555E">
        <w:rPr>
          <w:rFonts w:asciiTheme="majorHAnsi" w:hAnsiTheme="majorHAnsi" w:cstheme="majorHAnsi"/>
        </w:rPr>
        <w:t>Vybrané ukazovatele</w:t>
      </w:r>
      <w:r w:rsidR="00882F69">
        <w:rPr>
          <w:rFonts w:asciiTheme="majorHAnsi" w:hAnsiTheme="majorHAnsi" w:cstheme="majorHAnsi"/>
        </w:rPr>
        <w:t>,</w:t>
      </w:r>
      <w:r w:rsidRPr="0053555E">
        <w:rPr>
          <w:rFonts w:asciiTheme="majorHAnsi" w:hAnsiTheme="majorHAnsi" w:cstheme="majorHAnsi"/>
        </w:rPr>
        <w:t xml:space="preserve"> ako je d</w:t>
      </w:r>
      <w:r w:rsidR="00C41753" w:rsidRPr="0053555E">
        <w:rPr>
          <w:rFonts w:asciiTheme="majorHAnsi" w:hAnsiTheme="majorHAnsi" w:cstheme="majorHAnsi"/>
        </w:rPr>
        <w:t xml:space="preserve">emografický vývoj </w:t>
      </w:r>
      <w:r w:rsidRPr="0053555E">
        <w:rPr>
          <w:rFonts w:asciiTheme="majorHAnsi" w:hAnsiTheme="majorHAnsi" w:cstheme="majorHAnsi"/>
        </w:rPr>
        <w:t xml:space="preserve">obyvateľstva </w:t>
      </w:r>
      <w:r w:rsidR="00C41753" w:rsidRPr="0053555E">
        <w:rPr>
          <w:rFonts w:asciiTheme="majorHAnsi" w:hAnsiTheme="majorHAnsi" w:cstheme="majorHAnsi"/>
        </w:rPr>
        <w:t xml:space="preserve">Slovenska, počty </w:t>
      </w:r>
      <w:r w:rsidRPr="0053555E">
        <w:rPr>
          <w:rFonts w:asciiTheme="majorHAnsi" w:hAnsiTheme="majorHAnsi" w:cstheme="majorHAnsi"/>
        </w:rPr>
        <w:t xml:space="preserve">denných </w:t>
      </w:r>
      <w:r w:rsidR="00C41753" w:rsidRPr="0053555E">
        <w:rPr>
          <w:rFonts w:asciiTheme="majorHAnsi" w:hAnsiTheme="majorHAnsi" w:cstheme="majorHAnsi"/>
        </w:rPr>
        <w:t>maturantov</w:t>
      </w:r>
      <w:r w:rsidR="002D22EA" w:rsidRPr="0053555E">
        <w:rPr>
          <w:rFonts w:asciiTheme="majorHAnsi" w:hAnsiTheme="majorHAnsi" w:cstheme="majorHAnsi"/>
        </w:rPr>
        <w:t xml:space="preserve"> </w:t>
      </w:r>
      <w:r w:rsidR="00A07789" w:rsidRPr="0053555E">
        <w:rPr>
          <w:rFonts w:asciiTheme="majorHAnsi" w:hAnsiTheme="majorHAnsi" w:cstheme="majorHAnsi"/>
        </w:rPr>
        <w:t>v Slovenskej republike</w:t>
      </w:r>
      <w:r w:rsidRPr="0053555E">
        <w:rPr>
          <w:rFonts w:asciiTheme="majorHAnsi" w:hAnsiTheme="majorHAnsi" w:cstheme="majorHAnsi"/>
        </w:rPr>
        <w:t>,</w:t>
      </w:r>
      <w:r w:rsidR="00C41753" w:rsidRPr="0053555E">
        <w:rPr>
          <w:rFonts w:asciiTheme="majorHAnsi" w:hAnsiTheme="majorHAnsi" w:cstheme="majorHAnsi"/>
        </w:rPr>
        <w:t xml:space="preserve"> porovnanie počtu </w:t>
      </w:r>
      <w:r w:rsidR="00AB1BA2" w:rsidRPr="0053555E">
        <w:rPr>
          <w:rFonts w:asciiTheme="majorHAnsi" w:hAnsiTheme="majorHAnsi" w:cstheme="majorHAnsi"/>
        </w:rPr>
        <w:t xml:space="preserve">slovenských </w:t>
      </w:r>
      <w:r w:rsidR="00C41753" w:rsidRPr="0053555E">
        <w:rPr>
          <w:rFonts w:asciiTheme="majorHAnsi" w:hAnsiTheme="majorHAnsi" w:cstheme="majorHAnsi"/>
        </w:rPr>
        <w:t xml:space="preserve">študentov </w:t>
      </w:r>
      <w:r w:rsidR="00AB1BA2" w:rsidRPr="0053555E">
        <w:rPr>
          <w:rFonts w:asciiTheme="majorHAnsi" w:hAnsiTheme="majorHAnsi" w:cstheme="majorHAnsi"/>
        </w:rPr>
        <w:t>študujúcich</w:t>
      </w:r>
      <w:r w:rsidR="00D6451F" w:rsidRPr="0053555E">
        <w:rPr>
          <w:rFonts w:asciiTheme="majorHAnsi" w:hAnsiTheme="majorHAnsi" w:cstheme="majorHAnsi"/>
        </w:rPr>
        <w:t xml:space="preserve"> na </w:t>
      </w:r>
      <w:r w:rsidR="00C41753" w:rsidRPr="0053555E">
        <w:rPr>
          <w:rFonts w:asciiTheme="majorHAnsi" w:hAnsiTheme="majorHAnsi" w:cstheme="majorHAnsi"/>
        </w:rPr>
        <w:t>vysokých školách v Českej republike</w:t>
      </w:r>
      <w:r w:rsidRPr="0053555E">
        <w:rPr>
          <w:rFonts w:asciiTheme="majorHAnsi" w:hAnsiTheme="majorHAnsi" w:cstheme="majorHAnsi"/>
        </w:rPr>
        <w:t xml:space="preserve"> a</w:t>
      </w:r>
      <w:r w:rsidR="001A39EA">
        <w:rPr>
          <w:rFonts w:asciiTheme="majorHAnsi" w:hAnsiTheme="majorHAnsi" w:cstheme="majorHAnsi"/>
        </w:rPr>
        <w:t> </w:t>
      </w:r>
      <w:r w:rsidRPr="0053555E">
        <w:rPr>
          <w:rFonts w:asciiTheme="majorHAnsi" w:hAnsiTheme="majorHAnsi" w:cstheme="majorHAnsi"/>
        </w:rPr>
        <w:t>ďalšie</w:t>
      </w:r>
      <w:r w:rsidR="001A39EA">
        <w:rPr>
          <w:rFonts w:asciiTheme="majorHAnsi" w:hAnsiTheme="majorHAnsi" w:cstheme="majorHAnsi"/>
        </w:rPr>
        <w:t>,</w:t>
      </w:r>
      <w:r w:rsidR="00C41753" w:rsidRPr="0053555E">
        <w:rPr>
          <w:rFonts w:asciiTheme="majorHAnsi" w:hAnsiTheme="majorHAnsi" w:cstheme="majorHAnsi"/>
        </w:rPr>
        <w:t xml:space="preserve"> prehľadne uvádza </w:t>
      </w:r>
      <w:r w:rsidR="00C41753" w:rsidRPr="0053555E">
        <w:rPr>
          <w:rFonts w:asciiTheme="majorHAnsi" w:hAnsiTheme="majorHAnsi" w:cstheme="majorHAnsi"/>
        </w:rPr>
        <w:fldChar w:fldCharType="begin"/>
      </w:r>
      <w:r w:rsidR="00C41753" w:rsidRPr="0053555E">
        <w:rPr>
          <w:rFonts w:asciiTheme="majorHAnsi" w:hAnsiTheme="majorHAnsi" w:cstheme="majorHAnsi"/>
        </w:rPr>
        <w:instrText xml:space="preserve"> REF _Ref474779930 \h  \* MERGEFORMAT </w:instrText>
      </w:r>
      <w:r w:rsidR="00C41753" w:rsidRPr="0053555E">
        <w:rPr>
          <w:rFonts w:asciiTheme="majorHAnsi" w:hAnsiTheme="majorHAnsi" w:cstheme="majorHAnsi"/>
        </w:rPr>
      </w:r>
      <w:r w:rsidR="00C41753" w:rsidRPr="0053555E">
        <w:rPr>
          <w:rFonts w:asciiTheme="majorHAnsi" w:hAnsiTheme="majorHAnsi" w:cstheme="majorHAnsi"/>
        </w:rPr>
        <w:fldChar w:fldCharType="separate"/>
      </w:r>
      <w:r w:rsidR="00EE1B59" w:rsidRPr="00EE1B59">
        <w:rPr>
          <w:rFonts w:asciiTheme="majorHAnsi" w:hAnsiTheme="majorHAnsi" w:cstheme="majorHAnsi"/>
          <w:sz w:val="20"/>
          <w:szCs w:val="20"/>
        </w:rPr>
        <w:t>Graf č. 12</w:t>
      </w:r>
      <w:r w:rsidR="00C41753" w:rsidRPr="0053555E">
        <w:rPr>
          <w:rFonts w:asciiTheme="majorHAnsi" w:hAnsiTheme="majorHAnsi" w:cstheme="majorHAnsi"/>
        </w:rPr>
        <w:fldChar w:fldCharType="end"/>
      </w:r>
      <w:r w:rsidR="004C5370" w:rsidRPr="0053555E">
        <w:rPr>
          <w:rFonts w:asciiTheme="majorHAnsi" w:hAnsiTheme="majorHAnsi" w:cstheme="majorHAnsi"/>
        </w:rPr>
        <w:t xml:space="preserve"> a</w:t>
      </w:r>
      <w:r w:rsidR="004C5370" w:rsidRPr="0053555E">
        <w:rPr>
          <w:rFonts w:asciiTheme="majorHAnsi" w:hAnsiTheme="majorHAnsi" w:cstheme="majorHAnsi"/>
          <w:sz w:val="20"/>
          <w:szCs w:val="20"/>
        </w:rPr>
        <w:t xml:space="preserve"> </w:t>
      </w:r>
      <w:r w:rsidR="004C5370" w:rsidRPr="0053555E">
        <w:rPr>
          <w:rFonts w:asciiTheme="majorHAnsi" w:hAnsiTheme="majorHAnsi" w:cstheme="majorHAnsi"/>
          <w:sz w:val="20"/>
          <w:szCs w:val="20"/>
        </w:rPr>
        <w:fldChar w:fldCharType="begin"/>
      </w:r>
      <w:r w:rsidR="004C5370" w:rsidRPr="0053555E">
        <w:rPr>
          <w:rFonts w:asciiTheme="majorHAnsi" w:hAnsiTheme="majorHAnsi" w:cstheme="majorHAnsi"/>
          <w:sz w:val="20"/>
          <w:szCs w:val="20"/>
        </w:rPr>
        <w:instrText xml:space="preserve"> REF _Ref31712719 \h  \* MERGEFORMAT </w:instrText>
      </w:r>
      <w:r w:rsidR="004C5370" w:rsidRPr="0053555E">
        <w:rPr>
          <w:rFonts w:asciiTheme="majorHAnsi" w:hAnsiTheme="majorHAnsi" w:cstheme="majorHAnsi"/>
          <w:sz w:val="20"/>
          <w:szCs w:val="20"/>
        </w:rPr>
      </w:r>
      <w:r w:rsidR="004C5370" w:rsidRPr="0053555E">
        <w:rPr>
          <w:rFonts w:asciiTheme="majorHAnsi" w:hAnsiTheme="majorHAnsi" w:cstheme="majorHAnsi"/>
          <w:sz w:val="20"/>
          <w:szCs w:val="20"/>
        </w:rPr>
        <w:fldChar w:fldCharType="separate"/>
      </w:r>
      <w:r w:rsidR="00EE1B59" w:rsidRPr="00EE1B59">
        <w:rPr>
          <w:rFonts w:asciiTheme="majorHAnsi" w:hAnsiTheme="majorHAnsi" w:cstheme="majorHAnsi"/>
          <w:sz w:val="20"/>
          <w:szCs w:val="20"/>
        </w:rPr>
        <w:t>Tab. č. 23</w:t>
      </w:r>
      <w:r w:rsidR="004C5370" w:rsidRPr="0053555E">
        <w:rPr>
          <w:rFonts w:asciiTheme="majorHAnsi" w:hAnsiTheme="majorHAnsi" w:cstheme="majorHAnsi"/>
          <w:sz w:val="20"/>
          <w:szCs w:val="20"/>
        </w:rPr>
        <w:fldChar w:fldCharType="end"/>
      </w:r>
      <w:r w:rsidR="004C5370" w:rsidRPr="0053555E">
        <w:rPr>
          <w:rFonts w:asciiTheme="majorHAnsi" w:hAnsiTheme="majorHAnsi" w:cstheme="majorHAnsi"/>
          <w:sz w:val="20"/>
          <w:szCs w:val="20"/>
        </w:rPr>
        <w:t>.</w:t>
      </w:r>
    </w:p>
    <w:p w14:paraId="073FE413" w14:textId="77777777" w:rsidR="00C41753" w:rsidRPr="0053555E" w:rsidRDefault="00C41753" w:rsidP="00324438">
      <w:pPr>
        <w:tabs>
          <w:tab w:val="left" w:pos="9356"/>
        </w:tabs>
        <w:jc w:val="both"/>
        <w:rPr>
          <w:rFonts w:asciiTheme="majorHAnsi" w:hAnsiTheme="majorHAnsi" w:cstheme="majorHAnsi"/>
        </w:rPr>
      </w:pPr>
    </w:p>
    <w:p w14:paraId="391D664C" w14:textId="7CE5E1D1" w:rsidR="00C41753" w:rsidRPr="0053555E" w:rsidRDefault="00C41753" w:rsidP="000E3322">
      <w:pPr>
        <w:pStyle w:val="Popis"/>
      </w:pPr>
      <w:bookmarkStart w:id="102" w:name="_Ref474779930"/>
      <w:bookmarkStart w:id="103" w:name="_Toc127593340"/>
      <w:r w:rsidRPr="0053555E">
        <w:lastRenderedPageBreak/>
        <w:t xml:space="preserve">Graf č. </w:t>
      </w:r>
      <w:r w:rsidR="007B5953">
        <w:fldChar w:fldCharType="begin"/>
      </w:r>
      <w:r w:rsidR="007B5953">
        <w:instrText xml:space="preserve"> SEQ Graf_č. \* ARABIC </w:instrText>
      </w:r>
      <w:r w:rsidR="007B5953">
        <w:fldChar w:fldCharType="separate"/>
      </w:r>
      <w:r w:rsidR="00EE1B59">
        <w:rPr>
          <w:noProof/>
        </w:rPr>
        <w:t>12</w:t>
      </w:r>
      <w:r w:rsidR="007B5953">
        <w:rPr>
          <w:noProof/>
        </w:rPr>
        <w:fldChar w:fldCharType="end"/>
      </w:r>
      <w:bookmarkEnd w:id="102"/>
      <w:r w:rsidRPr="0053555E">
        <w:t xml:space="preserve">: Počet zapísaných </w:t>
      </w:r>
      <w:r w:rsidR="00002373">
        <w:t xml:space="preserve">študentov STU </w:t>
      </w:r>
      <w:r w:rsidRPr="0053555E">
        <w:t>na 1. stupni v závislosti od demografického vývoja v Slovenskej republike</w:t>
      </w:r>
      <w:bookmarkEnd w:id="103"/>
    </w:p>
    <w:p w14:paraId="6CD2BBAC" w14:textId="19C69572" w:rsidR="003C17EF" w:rsidRPr="0053555E" w:rsidRDefault="003C17EF" w:rsidP="0025762E">
      <w:pPr>
        <w:jc w:val="center"/>
      </w:pPr>
      <w:r w:rsidRPr="0053555E">
        <w:rPr>
          <w:noProof/>
          <w:lang w:eastAsia="sk-SK"/>
        </w:rPr>
        <w:drawing>
          <wp:inline distT="0" distB="0" distL="0" distR="0" wp14:anchorId="72600576" wp14:editId="6CA6063D">
            <wp:extent cx="5658485" cy="4123427"/>
            <wp:effectExtent l="0" t="0" r="0" b="0"/>
            <wp:docPr id="35" name="Graf 35">
              <a:extLst xmlns:a="http://schemas.openxmlformats.org/drawingml/2006/main">
                <a:ext uri="{FF2B5EF4-FFF2-40B4-BE49-F238E27FC236}">
                  <a16:creationId xmlns:a16="http://schemas.microsoft.com/office/drawing/2014/main" id="{00000000-0008-0000-2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78BA583" w14:textId="77777777" w:rsidR="00276941" w:rsidRPr="0053555E" w:rsidRDefault="00276941" w:rsidP="00324438">
      <w:pPr>
        <w:rPr>
          <w:rFonts w:asciiTheme="majorHAnsi" w:hAnsiTheme="majorHAnsi" w:cstheme="majorHAnsi"/>
        </w:rPr>
      </w:pPr>
    </w:p>
    <w:p w14:paraId="73597B09" w14:textId="77777777" w:rsidR="00C41753" w:rsidRPr="0053555E" w:rsidRDefault="00C41753" w:rsidP="00324438">
      <w:pPr>
        <w:tabs>
          <w:tab w:val="left" w:pos="9356"/>
        </w:tabs>
        <w:jc w:val="both"/>
        <w:rPr>
          <w:rFonts w:asciiTheme="majorHAnsi" w:hAnsiTheme="majorHAnsi" w:cstheme="majorHAnsi"/>
          <w:sz w:val="20"/>
          <w:szCs w:val="20"/>
        </w:rPr>
      </w:pPr>
    </w:p>
    <w:p w14:paraId="4AD2106A" w14:textId="73536A2F" w:rsidR="00C41753" w:rsidRPr="0053555E" w:rsidRDefault="00C41753" w:rsidP="0032443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Základnou podmienkou prijatia na prvý stupeň štúdia na STU je absolvovanie úplného stredného alebo úplného stredného odborného vzdelania ukončeného maturitnou skúškou alebo inou rovnocennou skúškou v prípade absolvovania stredoškolského štúdia v zahraničí. Na niektorých súčastiach STU </w:t>
      </w:r>
      <w:r w:rsidR="00E40C8D">
        <w:rPr>
          <w:rFonts w:asciiTheme="majorHAnsi" w:hAnsiTheme="majorHAnsi" w:cstheme="majorHAnsi"/>
        </w:rPr>
        <w:t>bolo</w:t>
      </w:r>
      <w:r w:rsidRPr="0053555E">
        <w:rPr>
          <w:rFonts w:asciiTheme="majorHAnsi" w:hAnsiTheme="majorHAnsi" w:cstheme="majorHAnsi"/>
        </w:rPr>
        <w:t xml:space="preserve"> splnenie ďalších podmienok prijatia na štúdium overované absolvov</w:t>
      </w:r>
      <w:r w:rsidR="00F16BED" w:rsidRPr="0053555E">
        <w:rPr>
          <w:rFonts w:asciiTheme="majorHAnsi" w:hAnsiTheme="majorHAnsi" w:cstheme="majorHAnsi"/>
        </w:rPr>
        <w:t xml:space="preserve">aním prijímacej skúšky. </w:t>
      </w:r>
      <w:r w:rsidR="007378B0">
        <w:rPr>
          <w:rFonts w:asciiTheme="majorHAnsi" w:hAnsiTheme="majorHAnsi" w:cstheme="majorHAnsi"/>
        </w:rPr>
        <w:t>Pre</w:t>
      </w:r>
      <w:r w:rsidR="001F6CA1" w:rsidRPr="0053555E">
        <w:rPr>
          <w:rFonts w:asciiTheme="majorHAnsi" w:hAnsiTheme="majorHAnsi" w:cstheme="majorHAnsi"/>
        </w:rPr>
        <w:t xml:space="preserve"> </w:t>
      </w:r>
      <w:r w:rsidR="007378B0">
        <w:rPr>
          <w:rFonts w:asciiTheme="majorHAnsi" w:hAnsiTheme="majorHAnsi" w:cstheme="majorHAnsi"/>
        </w:rPr>
        <w:t>krízovú situáciu spôsobenú</w:t>
      </w:r>
      <w:r w:rsidR="00AA7ED1">
        <w:rPr>
          <w:rFonts w:asciiTheme="majorHAnsi" w:hAnsiTheme="majorHAnsi" w:cstheme="majorHAnsi"/>
        </w:rPr>
        <w:t xml:space="preserve"> konfliktom na Ukrajine</w:t>
      </w:r>
      <w:r w:rsidR="001F6CA1" w:rsidRPr="0053555E">
        <w:rPr>
          <w:rFonts w:asciiTheme="majorHAnsi" w:hAnsiTheme="majorHAnsi" w:cstheme="majorHAnsi"/>
        </w:rPr>
        <w:t xml:space="preserve"> boli súčasti STU nútené upraviť podmienky prijímania na štúdium</w:t>
      </w:r>
      <w:r w:rsidR="00CD403F">
        <w:rPr>
          <w:rFonts w:asciiTheme="majorHAnsi" w:hAnsiTheme="majorHAnsi" w:cstheme="majorHAnsi"/>
        </w:rPr>
        <w:t xml:space="preserve"> najmä bakalárskych študijných programov. V súvislosti s prijímaním uchádzačov z Ukrajiny STU upravila procesy prijímacieho konania metodickým usmernení</w:t>
      </w:r>
      <w:r w:rsidR="007378B0">
        <w:rPr>
          <w:rFonts w:asciiTheme="majorHAnsi" w:hAnsiTheme="majorHAnsi" w:cstheme="majorHAnsi"/>
        </w:rPr>
        <w:t>m</w:t>
      </w:r>
      <w:r w:rsidR="00CD403F">
        <w:rPr>
          <w:rFonts w:asciiTheme="majorHAnsi" w:hAnsiTheme="majorHAnsi" w:cstheme="majorHAnsi"/>
        </w:rPr>
        <w:t xml:space="preserve"> </w:t>
      </w:r>
      <w:r w:rsidR="007378B0">
        <w:rPr>
          <w:rFonts w:asciiTheme="majorHAnsi" w:hAnsiTheme="majorHAnsi" w:cstheme="majorHAnsi"/>
        </w:rPr>
        <w:t>rektora</w:t>
      </w:r>
      <w:r w:rsidR="00CD403F">
        <w:rPr>
          <w:rFonts w:asciiTheme="majorHAnsi" w:hAnsiTheme="majorHAnsi" w:cstheme="majorHAnsi"/>
        </w:rPr>
        <w:t>.</w:t>
      </w:r>
      <w:r w:rsidR="0001101B">
        <w:rPr>
          <w:rFonts w:asciiTheme="majorHAnsi" w:hAnsiTheme="majorHAnsi" w:cstheme="majorHAnsi"/>
        </w:rPr>
        <w:t xml:space="preserve"> </w:t>
      </w:r>
      <w:r w:rsidR="0082646C" w:rsidRPr="0053555E">
        <w:rPr>
          <w:rFonts w:asciiTheme="majorHAnsi" w:hAnsiTheme="majorHAnsi" w:cstheme="majorHAnsi"/>
        </w:rPr>
        <w:t>Ak prijí</w:t>
      </w:r>
      <w:r w:rsidRPr="0053555E">
        <w:rPr>
          <w:rFonts w:asciiTheme="majorHAnsi" w:hAnsiTheme="majorHAnsi" w:cstheme="majorHAnsi"/>
        </w:rPr>
        <w:t xml:space="preserve">macie konanie prebehlo bez prijímacej skúšky, kvalitatívne poradie </w:t>
      </w:r>
      <w:r w:rsidR="0001101B">
        <w:rPr>
          <w:rFonts w:asciiTheme="majorHAnsi" w:hAnsiTheme="majorHAnsi" w:cstheme="majorHAnsi"/>
        </w:rPr>
        <w:t xml:space="preserve">uchádzačov </w:t>
      </w:r>
      <w:r w:rsidR="007378B0">
        <w:rPr>
          <w:rFonts w:asciiTheme="majorHAnsi" w:hAnsiTheme="majorHAnsi" w:cstheme="majorHAnsi"/>
        </w:rPr>
        <w:t>tvorila kombinácia</w:t>
      </w:r>
      <w:r w:rsidRPr="0053555E">
        <w:rPr>
          <w:rFonts w:asciiTheme="majorHAnsi" w:hAnsiTheme="majorHAnsi" w:cstheme="majorHAnsi"/>
        </w:rPr>
        <w:t xml:space="preserve"> viacerých kvalitatívnych kritérií ak</w:t>
      </w:r>
      <w:r w:rsidR="00DD5865" w:rsidRPr="0053555E">
        <w:rPr>
          <w:rFonts w:asciiTheme="majorHAnsi" w:hAnsiTheme="majorHAnsi" w:cstheme="majorHAnsi"/>
        </w:rPr>
        <w:t>o celkové študijné výsledky zo </w:t>
      </w:r>
      <w:r w:rsidRPr="0053555E">
        <w:rPr>
          <w:rFonts w:asciiTheme="majorHAnsi" w:hAnsiTheme="majorHAnsi" w:cstheme="majorHAnsi"/>
        </w:rPr>
        <w:t>strednej školy, dosiahnuté študijné výsledky z profilujúcich predmetov (matematika, fyzika, resp. chémia), typ absolvovanej strednej školy a záujmu o štúdium (účasť a umiestnenie na odborných súťažiach a</w:t>
      </w:r>
      <w:r w:rsidR="00353DEE">
        <w:rPr>
          <w:rFonts w:asciiTheme="majorHAnsi" w:hAnsiTheme="majorHAnsi" w:cstheme="majorHAnsi"/>
        </w:rPr>
        <w:t> </w:t>
      </w:r>
      <w:r w:rsidRPr="0053555E">
        <w:rPr>
          <w:rFonts w:asciiTheme="majorHAnsi" w:hAnsiTheme="majorHAnsi" w:cstheme="majorHAnsi"/>
        </w:rPr>
        <w:t>olympiádach).</w:t>
      </w:r>
    </w:p>
    <w:p w14:paraId="77CC8DFE" w14:textId="04C28A58" w:rsidR="00C41753" w:rsidRPr="0053555E" w:rsidRDefault="00C41753" w:rsidP="00324438">
      <w:pPr>
        <w:tabs>
          <w:tab w:val="left" w:pos="9356"/>
        </w:tabs>
        <w:jc w:val="both"/>
        <w:rPr>
          <w:rFonts w:asciiTheme="majorHAnsi" w:hAnsiTheme="majorHAnsi" w:cstheme="majorHAnsi"/>
        </w:rPr>
      </w:pPr>
      <w:r w:rsidRPr="0053555E">
        <w:rPr>
          <w:rFonts w:asciiTheme="majorHAnsi" w:hAnsiTheme="majorHAnsi" w:cstheme="majorHAnsi"/>
        </w:rPr>
        <w:t xml:space="preserve">O štúdium sa </w:t>
      </w:r>
      <w:r w:rsidR="0095033E">
        <w:rPr>
          <w:rFonts w:asciiTheme="majorHAnsi" w:hAnsiTheme="majorHAnsi" w:cstheme="majorHAnsi"/>
        </w:rPr>
        <w:t>uchádzači</w:t>
      </w:r>
      <w:r w:rsidRPr="0053555E">
        <w:rPr>
          <w:rFonts w:asciiTheme="majorHAnsi" w:hAnsiTheme="majorHAnsi" w:cstheme="majorHAnsi"/>
        </w:rPr>
        <w:t xml:space="preserve"> mohli uchádzať v dvoch kolách prijímacieho </w:t>
      </w:r>
      <w:r w:rsidRPr="0053555E">
        <w:rPr>
          <w:rFonts w:asciiTheme="majorHAnsi" w:hAnsiTheme="majorHAnsi" w:cstheme="majorHAnsi"/>
          <w:shd w:val="clear" w:color="auto" w:fill="FFFFFF"/>
        </w:rPr>
        <w:t xml:space="preserve">konania </w:t>
      </w:r>
      <w:r w:rsidR="00B57C1F" w:rsidRPr="0053555E">
        <w:rPr>
          <w:rFonts w:asciiTheme="majorHAnsi" w:hAnsiTheme="majorHAnsi" w:cstheme="majorHAnsi"/>
          <w:shd w:val="clear" w:color="auto" w:fill="FFFFFF"/>
        </w:rPr>
        <w:t xml:space="preserve">na všetkých súčastiach STU </w:t>
      </w:r>
      <w:r w:rsidRPr="0053555E">
        <w:rPr>
          <w:rFonts w:asciiTheme="majorHAnsi" w:hAnsiTheme="majorHAnsi" w:cstheme="majorHAnsi"/>
          <w:shd w:val="clear" w:color="auto" w:fill="FFFFFF"/>
        </w:rPr>
        <w:t>okrem</w:t>
      </w:r>
      <w:r w:rsidR="00C82A48" w:rsidRPr="0053555E">
        <w:rPr>
          <w:rFonts w:asciiTheme="majorHAnsi" w:hAnsiTheme="majorHAnsi" w:cstheme="majorHAnsi"/>
          <w:shd w:val="clear" w:color="auto" w:fill="FFFFFF"/>
        </w:rPr>
        <w:t> </w:t>
      </w:r>
      <w:r w:rsidRPr="0053555E">
        <w:rPr>
          <w:rFonts w:asciiTheme="majorHAnsi" w:hAnsiTheme="majorHAnsi" w:cstheme="majorHAnsi"/>
          <w:shd w:val="clear" w:color="auto" w:fill="FFFFFF"/>
        </w:rPr>
        <w:t>FIIT</w:t>
      </w:r>
      <w:r w:rsidR="00B57C1F" w:rsidRPr="0053555E">
        <w:rPr>
          <w:rFonts w:asciiTheme="majorHAnsi" w:hAnsiTheme="majorHAnsi" w:cstheme="majorHAnsi"/>
          <w:shd w:val="clear" w:color="auto" w:fill="FFFFFF"/>
        </w:rPr>
        <w:t>. SjF vyhlásila aj tretie kolo prijímacieho konania</w:t>
      </w:r>
      <w:r w:rsidRPr="0053555E">
        <w:rPr>
          <w:rFonts w:asciiTheme="majorHAnsi" w:hAnsiTheme="majorHAnsi" w:cstheme="majorHAnsi"/>
          <w:shd w:val="clear" w:color="auto" w:fill="FFFFFF"/>
        </w:rPr>
        <w:t>.</w:t>
      </w:r>
      <w:r w:rsidRPr="0053555E">
        <w:rPr>
          <w:rFonts w:asciiTheme="majorHAnsi" w:hAnsiTheme="majorHAnsi" w:cstheme="majorHAnsi"/>
        </w:rPr>
        <w:t xml:space="preserve"> STU neprijímala na študijné programy v externej forme štúdia.</w:t>
      </w:r>
    </w:p>
    <w:p w14:paraId="7D704128" w14:textId="77777777" w:rsidR="00C41753" w:rsidRPr="0053555E" w:rsidRDefault="00C41753" w:rsidP="00324438">
      <w:pPr>
        <w:tabs>
          <w:tab w:val="left" w:pos="9356"/>
        </w:tabs>
        <w:jc w:val="both"/>
        <w:rPr>
          <w:rFonts w:asciiTheme="majorHAnsi" w:hAnsiTheme="majorHAnsi" w:cstheme="majorHAnsi"/>
        </w:rPr>
        <w:sectPr w:rsidR="00C41753" w:rsidRPr="0053555E" w:rsidSect="00C86422">
          <w:headerReference w:type="default" r:id="rId47"/>
          <w:pgSz w:w="11906" w:h="16838"/>
          <w:pgMar w:top="1418" w:right="991" w:bottom="851" w:left="1417" w:header="708" w:footer="545" w:gutter="0"/>
          <w:cols w:space="708"/>
        </w:sectPr>
      </w:pPr>
    </w:p>
    <w:p w14:paraId="56808D59" w14:textId="17F49762" w:rsidR="00C41753" w:rsidRPr="0053555E" w:rsidRDefault="00C41753" w:rsidP="000E3322">
      <w:pPr>
        <w:pStyle w:val="Popis"/>
      </w:pPr>
      <w:bookmarkStart w:id="104" w:name="_Ref31712719"/>
      <w:bookmarkStart w:id="105" w:name="_Toc127593286"/>
      <w:r w:rsidRPr="0053555E">
        <w:lastRenderedPageBreak/>
        <w:t xml:space="preserve">Tab. č. </w:t>
      </w:r>
      <w:r w:rsidR="007B5953">
        <w:fldChar w:fldCharType="begin"/>
      </w:r>
      <w:r w:rsidR="007B5953">
        <w:instrText xml:space="preserve"> SEQ Tab._č. \* ARABIC </w:instrText>
      </w:r>
      <w:r w:rsidR="007B5953">
        <w:fldChar w:fldCharType="separate"/>
      </w:r>
      <w:r w:rsidR="00EE1B59">
        <w:rPr>
          <w:noProof/>
        </w:rPr>
        <w:t>23</w:t>
      </w:r>
      <w:r w:rsidR="007B5953">
        <w:rPr>
          <w:noProof/>
        </w:rPr>
        <w:fldChar w:fldCharType="end"/>
      </w:r>
      <w:bookmarkEnd w:id="104"/>
      <w:r w:rsidRPr="0053555E">
        <w:t xml:space="preserve">: </w:t>
      </w:r>
      <w:r w:rsidR="00C64F01" w:rsidRPr="0053555E">
        <w:t>Vybrané ukazovatele ovplyvňujúce prijímacie konanie na prvý stupeň štúdia na STU</w:t>
      </w:r>
      <w:bookmarkEnd w:id="105"/>
    </w:p>
    <w:tbl>
      <w:tblPr>
        <w:tblW w:w="14964" w:type="dxa"/>
        <w:tblLayout w:type="fixed"/>
        <w:tblCellMar>
          <w:left w:w="70" w:type="dxa"/>
          <w:right w:w="70" w:type="dxa"/>
        </w:tblCellMar>
        <w:tblLook w:val="04A0" w:firstRow="1" w:lastRow="0" w:firstColumn="1" w:lastColumn="0" w:noHBand="0" w:noVBand="1"/>
      </w:tblPr>
      <w:tblGrid>
        <w:gridCol w:w="1247"/>
        <w:gridCol w:w="1247"/>
        <w:gridCol w:w="1247"/>
        <w:gridCol w:w="1247"/>
        <w:gridCol w:w="1247"/>
        <w:gridCol w:w="1247"/>
        <w:gridCol w:w="1247"/>
        <w:gridCol w:w="1247"/>
        <w:gridCol w:w="1247"/>
        <w:gridCol w:w="1247"/>
        <w:gridCol w:w="1247"/>
        <w:gridCol w:w="1247"/>
      </w:tblGrid>
      <w:tr w:rsidR="00B02E4C" w:rsidRPr="0053555E" w14:paraId="70E6FE77" w14:textId="77777777" w:rsidTr="001A6C26">
        <w:trPr>
          <w:trHeight w:val="1304"/>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B65E0" w14:textId="77777777" w:rsidR="00985916" w:rsidRPr="0053555E" w:rsidRDefault="00985916" w:rsidP="00194D82">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akad. rok</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C401458" w14:textId="77777777" w:rsidR="00985916" w:rsidRPr="0053555E" w:rsidRDefault="00985916" w:rsidP="00194D82">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Počet 19 ročných obyvateľov SR</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2159693C" w14:textId="77777777" w:rsidR="00985916" w:rsidRPr="0053555E" w:rsidRDefault="00985916" w:rsidP="00194D82">
            <w:pPr>
              <w:tabs>
                <w:tab w:val="left" w:pos="9356"/>
              </w:tabs>
              <w:ind w:left="-77"/>
              <w:jc w:val="center"/>
              <w:rPr>
                <w:rFonts w:asciiTheme="majorHAnsi" w:eastAsia="Times New Roman" w:hAnsiTheme="majorHAnsi" w:cstheme="majorHAnsi"/>
                <w:bCs/>
                <w:sz w:val="18"/>
                <w:szCs w:val="18"/>
                <w:lang w:eastAsia="sk-SK"/>
              </w:rPr>
            </w:pPr>
            <w:r w:rsidRPr="0053555E">
              <w:rPr>
                <w:rFonts w:asciiTheme="majorHAnsi" w:eastAsia="Times New Roman" w:hAnsiTheme="majorHAnsi" w:cstheme="majorHAnsi"/>
                <w:bCs/>
                <w:sz w:val="18"/>
                <w:szCs w:val="18"/>
                <w:lang w:eastAsia="sk-SK"/>
              </w:rPr>
              <w:t>Počet maturantov SR</w:t>
            </w:r>
          </w:p>
          <w:p w14:paraId="7E26E089" w14:textId="77777777" w:rsidR="00985916" w:rsidRPr="0053555E" w:rsidRDefault="00985916" w:rsidP="00194D82">
            <w:pPr>
              <w:tabs>
                <w:tab w:val="left" w:pos="9356"/>
              </w:tabs>
              <w:ind w:left="-77"/>
              <w:jc w:val="center"/>
              <w:rPr>
                <w:rFonts w:asciiTheme="majorHAnsi" w:eastAsia="Times New Roman" w:hAnsiTheme="majorHAnsi" w:cstheme="majorHAnsi"/>
                <w:bCs/>
                <w:sz w:val="18"/>
                <w:szCs w:val="18"/>
                <w:lang w:eastAsia="sk-SK"/>
              </w:rPr>
            </w:pPr>
            <w:r w:rsidRPr="0053555E">
              <w:rPr>
                <w:rFonts w:asciiTheme="majorHAnsi" w:eastAsia="Times New Roman" w:hAnsiTheme="majorHAnsi" w:cstheme="majorHAnsi"/>
                <w:bCs/>
                <w:sz w:val="18"/>
                <w:szCs w:val="18"/>
                <w:lang w:eastAsia="sk-SK"/>
              </w:rPr>
              <w:t>(denné štúdium)</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3480DB63" w14:textId="77777777" w:rsidR="00985916" w:rsidRPr="0053555E" w:rsidRDefault="00985916" w:rsidP="00194D82">
            <w:pPr>
              <w:tabs>
                <w:tab w:val="left" w:pos="9356"/>
              </w:tabs>
              <w:ind w:left="-72" w:right="-66"/>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 maturantov</w:t>
            </w:r>
            <w:r w:rsidRPr="0053555E">
              <w:rPr>
                <w:rFonts w:asciiTheme="majorHAnsi" w:eastAsia="Times New Roman" w:hAnsiTheme="majorHAnsi" w:cstheme="majorHAnsi"/>
                <w:sz w:val="18"/>
                <w:szCs w:val="18"/>
                <w:lang w:eastAsia="sk-SK"/>
              </w:rPr>
              <w:br/>
              <w:t>z 19 roč. obyvateľov SR (c/b)*100%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E6D22EE" w14:textId="77777777" w:rsidR="00985916" w:rsidRPr="0053555E" w:rsidRDefault="00985916" w:rsidP="00194D82">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Počet zapísaných študentov STU, ktorí maturovali</w:t>
            </w:r>
          </w:p>
          <w:p w14:paraId="4BE1E69E" w14:textId="77777777" w:rsidR="00985916" w:rsidRPr="0053555E" w:rsidRDefault="00985916" w:rsidP="00194D82">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v predch. škol. roku</w:t>
            </w:r>
          </w:p>
        </w:tc>
        <w:tc>
          <w:tcPr>
            <w:tcW w:w="1247" w:type="dxa"/>
            <w:tcBorders>
              <w:top w:val="single" w:sz="4" w:space="0" w:color="auto"/>
              <w:left w:val="nil"/>
              <w:bottom w:val="single" w:sz="4" w:space="0" w:color="auto"/>
              <w:right w:val="single" w:sz="4" w:space="0" w:color="auto"/>
            </w:tcBorders>
            <w:shd w:val="clear" w:color="auto" w:fill="EEECE1" w:themeFill="background2"/>
            <w:vAlign w:val="center"/>
            <w:hideMark/>
          </w:tcPr>
          <w:p w14:paraId="3459134A" w14:textId="77777777" w:rsidR="00985916" w:rsidRPr="0053555E" w:rsidRDefault="00985916" w:rsidP="00194D82">
            <w:pPr>
              <w:tabs>
                <w:tab w:val="left" w:pos="9356"/>
              </w:tabs>
              <w:ind w:left="-4" w:right="-74" w:firstLine="4"/>
              <w:jc w:val="center"/>
              <w:rPr>
                <w:rFonts w:asciiTheme="majorHAnsi" w:eastAsia="Times New Roman" w:hAnsiTheme="majorHAnsi" w:cstheme="majorHAnsi"/>
                <w:b/>
                <w:sz w:val="18"/>
                <w:szCs w:val="18"/>
                <w:lang w:eastAsia="sk-SK"/>
              </w:rPr>
            </w:pPr>
            <w:r w:rsidRPr="0053555E">
              <w:rPr>
                <w:rFonts w:asciiTheme="majorHAnsi" w:eastAsia="Times New Roman" w:hAnsiTheme="majorHAnsi" w:cstheme="majorHAnsi"/>
                <w:b/>
                <w:sz w:val="18"/>
                <w:szCs w:val="18"/>
                <w:lang w:eastAsia="sk-SK"/>
              </w:rPr>
              <w:t>% zapísaných študentov STU z maturantov SR</w:t>
            </w:r>
          </w:p>
          <w:p w14:paraId="5845DA31" w14:textId="77777777" w:rsidR="00985916" w:rsidRPr="0053555E" w:rsidRDefault="00985916" w:rsidP="00194D82">
            <w:pPr>
              <w:tabs>
                <w:tab w:val="left" w:pos="9356"/>
              </w:tabs>
              <w:jc w:val="center"/>
              <w:rPr>
                <w:rFonts w:asciiTheme="majorHAnsi" w:eastAsia="Times New Roman" w:hAnsiTheme="majorHAnsi" w:cstheme="majorHAnsi"/>
                <w:b/>
                <w:sz w:val="18"/>
                <w:szCs w:val="18"/>
                <w:lang w:eastAsia="sk-SK"/>
              </w:rPr>
            </w:pPr>
            <w:r w:rsidRPr="0053555E">
              <w:rPr>
                <w:rFonts w:asciiTheme="majorHAnsi" w:eastAsia="Times New Roman" w:hAnsiTheme="majorHAnsi" w:cstheme="majorHAnsi"/>
                <w:b/>
                <w:sz w:val="18"/>
                <w:szCs w:val="18"/>
                <w:lang w:eastAsia="sk-SK"/>
              </w:rPr>
              <w:t>(</w:t>
            </w:r>
            <w:r w:rsidR="00C01A8D" w:rsidRPr="0053555E">
              <w:rPr>
                <w:rFonts w:asciiTheme="majorHAnsi" w:eastAsia="Times New Roman" w:hAnsiTheme="majorHAnsi" w:cstheme="majorHAnsi"/>
                <w:b/>
                <w:sz w:val="18"/>
                <w:szCs w:val="18"/>
                <w:lang w:eastAsia="sk-SK"/>
              </w:rPr>
              <w:t>e</w:t>
            </w:r>
            <w:r w:rsidRPr="0053555E">
              <w:rPr>
                <w:rFonts w:asciiTheme="majorHAnsi" w:eastAsia="Times New Roman" w:hAnsiTheme="majorHAnsi" w:cstheme="majorHAnsi"/>
                <w:b/>
                <w:sz w:val="18"/>
                <w:szCs w:val="18"/>
                <w:lang w:eastAsia="sk-SK"/>
              </w:rPr>
              <w:t>/c)*100%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0AD0819D" w14:textId="77777777" w:rsidR="00985916" w:rsidRPr="0053555E" w:rsidRDefault="00985916" w:rsidP="00194D82">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Celkový počet študentov vysokých škôl v SR</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7C092884" w14:textId="77777777" w:rsidR="00985916" w:rsidRPr="0053555E" w:rsidRDefault="00985916" w:rsidP="00194D82">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Celkový počet študentov STU</w:t>
            </w:r>
          </w:p>
        </w:tc>
        <w:tc>
          <w:tcPr>
            <w:tcW w:w="1247" w:type="dxa"/>
            <w:tcBorders>
              <w:top w:val="single" w:sz="4" w:space="0" w:color="auto"/>
              <w:left w:val="nil"/>
              <w:bottom w:val="single" w:sz="4" w:space="0" w:color="auto"/>
              <w:right w:val="single" w:sz="4" w:space="0" w:color="auto"/>
            </w:tcBorders>
            <w:shd w:val="clear" w:color="auto" w:fill="EEECE1" w:themeFill="background2"/>
            <w:vAlign w:val="center"/>
            <w:hideMark/>
          </w:tcPr>
          <w:p w14:paraId="066450E9" w14:textId="77777777" w:rsidR="00985916" w:rsidRPr="0053555E" w:rsidRDefault="00985916" w:rsidP="00194D82">
            <w:pPr>
              <w:tabs>
                <w:tab w:val="left" w:pos="9356"/>
              </w:tabs>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 študentov STU z celkového počtu študentov SR (j/i)*100%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1809EFC" w14:textId="77777777" w:rsidR="00985916" w:rsidRPr="0053555E" w:rsidRDefault="00985916" w:rsidP="00194D82">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Celkový počet študentov vysokých škôl v ČR</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E60070F" w14:textId="77777777" w:rsidR="00376AC5" w:rsidRPr="0053555E" w:rsidRDefault="00985916" w:rsidP="00194D82">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Počet študentov SR</w:t>
            </w:r>
          </w:p>
          <w:p w14:paraId="54FB984C" w14:textId="77777777" w:rsidR="00985916" w:rsidRPr="0053555E" w:rsidRDefault="00376AC5" w:rsidP="00194D82">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 xml:space="preserve">na vysokých školách </w:t>
            </w:r>
            <w:r w:rsidR="00985916" w:rsidRPr="0053555E">
              <w:rPr>
                <w:rFonts w:asciiTheme="majorHAnsi" w:eastAsia="Times New Roman" w:hAnsiTheme="majorHAnsi" w:cstheme="majorHAnsi"/>
                <w:sz w:val="18"/>
                <w:szCs w:val="18"/>
                <w:lang w:eastAsia="sk-SK"/>
              </w:rPr>
              <w:t>v ČR</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30E913F" w14:textId="77777777" w:rsidR="00985916" w:rsidRPr="0053555E" w:rsidRDefault="00985916" w:rsidP="00194D82">
            <w:pPr>
              <w:tabs>
                <w:tab w:val="left" w:pos="9356"/>
              </w:tabs>
              <w:jc w:val="center"/>
              <w:rPr>
                <w:rFonts w:asciiTheme="majorHAnsi" w:eastAsia="Times New Roman" w:hAnsiTheme="majorHAnsi" w:cstheme="majorHAnsi"/>
                <w:sz w:val="18"/>
                <w:szCs w:val="18"/>
                <w:lang w:eastAsia="sk-SK"/>
              </w:rPr>
            </w:pPr>
            <w:r w:rsidRPr="0053555E">
              <w:rPr>
                <w:rFonts w:asciiTheme="majorHAnsi" w:eastAsia="Times New Roman" w:hAnsiTheme="majorHAnsi" w:cstheme="majorHAnsi"/>
                <w:sz w:val="18"/>
                <w:szCs w:val="18"/>
                <w:lang w:eastAsia="sk-SK"/>
              </w:rPr>
              <w:t xml:space="preserve">% študentov SR </w:t>
            </w:r>
            <w:r w:rsidR="00376AC5" w:rsidRPr="0053555E">
              <w:rPr>
                <w:rFonts w:asciiTheme="majorHAnsi" w:eastAsia="Times New Roman" w:hAnsiTheme="majorHAnsi" w:cstheme="majorHAnsi"/>
                <w:sz w:val="18"/>
                <w:szCs w:val="18"/>
                <w:lang w:eastAsia="sk-SK"/>
              </w:rPr>
              <w:t xml:space="preserve">na vysokých školách </w:t>
            </w:r>
            <w:r w:rsidRPr="0053555E">
              <w:rPr>
                <w:rFonts w:asciiTheme="majorHAnsi" w:eastAsia="Times New Roman" w:hAnsiTheme="majorHAnsi" w:cstheme="majorHAnsi"/>
                <w:sz w:val="18"/>
                <w:szCs w:val="18"/>
                <w:lang w:eastAsia="sk-SK"/>
              </w:rPr>
              <w:t>v ČR (m/l)*100%</w:t>
            </w:r>
          </w:p>
        </w:tc>
      </w:tr>
      <w:tr w:rsidR="00B02E4C" w:rsidRPr="0053555E" w14:paraId="71849BF3" w14:textId="77777777" w:rsidTr="00B02E4C">
        <w:trPr>
          <w:trHeight w:val="255"/>
        </w:trPr>
        <w:tc>
          <w:tcPr>
            <w:tcW w:w="1247" w:type="dxa"/>
            <w:tcBorders>
              <w:top w:val="nil"/>
              <w:left w:val="single" w:sz="4" w:space="0" w:color="auto"/>
              <w:bottom w:val="single" w:sz="4" w:space="0" w:color="auto"/>
              <w:right w:val="single" w:sz="4" w:space="0" w:color="auto"/>
            </w:tcBorders>
            <w:shd w:val="clear" w:color="auto" w:fill="auto"/>
            <w:vAlign w:val="center"/>
            <w:hideMark/>
          </w:tcPr>
          <w:p w14:paraId="68BD209A" w14:textId="77777777" w:rsidR="00985916" w:rsidRPr="0053555E" w:rsidRDefault="00985916" w:rsidP="00324438">
            <w:pPr>
              <w:tabs>
                <w:tab w:val="left" w:pos="9356"/>
              </w:tabs>
              <w:jc w:val="center"/>
              <w:rPr>
                <w:rFonts w:asciiTheme="majorHAnsi" w:eastAsia="Times New Roman" w:hAnsiTheme="majorHAnsi" w:cstheme="majorHAnsi"/>
                <w:b/>
                <w:sz w:val="18"/>
                <w:szCs w:val="18"/>
                <w:lang w:eastAsia="sk-SK"/>
              </w:rPr>
            </w:pPr>
            <w:r w:rsidRPr="0053555E">
              <w:rPr>
                <w:rFonts w:asciiTheme="majorHAnsi" w:eastAsia="Times New Roman" w:hAnsiTheme="majorHAnsi" w:cstheme="majorHAnsi"/>
                <w:b/>
                <w:sz w:val="18"/>
                <w:szCs w:val="18"/>
                <w:lang w:eastAsia="sk-SK"/>
              </w:rPr>
              <w:t>a</w:t>
            </w:r>
          </w:p>
        </w:tc>
        <w:tc>
          <w:tcPr>
            <w:tcW w:w="1247" w:type="dxa"/>
            <w:tcBorders>
              <w:top w:val="nil"/>
              <w:left w:val="nil"/>
              <w:bottom w:val="single" w:sz="4" w:space="0" w:color="auto"/>
              <w:right w:val="single" w:sz="4" w:space="0" w:color="auto"/>
            </w:tcBorders>
            <w:shd w:val="clear" w:color="auto" w:fill="auto"/>
            <w:vAlign w:val="center"/>
            <w:hideMark/>
          </w:tcPr>
          <w:p w14:paraId="3A989A13" w14:textId="77777777" w:rsidR="00985916" w:rsidRPr="0053555E" w:rsidRDefault="00985916" w:rsidP="00324438">
            <w:pPr>
              <w:tabs>
                <w:tab w:val="left" w:pos="9356"/>
              </w:tabs>
              <w:jc w:val="center"/>
              <w:rPr>
                <w:rFonts w:asciiTheme="majorHAnsi" w:eastAsia="Times New Roman" w:hAnsiTheme="majorHAnsi" w:cstheme="majorHAnsi"/>
                <w:b/>
                <w:sz w:val="18"/>
                <w:szCs w:val="18"/>
                <w:lang w:eastAsia="sk-SK"/>
              </w:rPr>
            </w:pPr>
            <w:r w:rsidRPr="0053555E">
              <w:rPr>
                <w:rFonts w:asciiTheme="majorHAnsi" w:eastAsia="Times New Roman" w:hAnsiTheme="majorHAnsi" w:cstheme="majorHAnsi"/>
                <w:b/>
                <w:sz w:val="18"/>
                <w:szCs w:val="18"/>
                <w:lang w:eastAsia="sk-SK"/>
              </w:rPr>
              <w:t>b</w:t>
            </w:r>
          </w:p>
        </w:tc>
        <w:tc>
          <w:tcPr>
            <w:tcW w:w="1247" w:type="dxa"/>
            <w:tcBorders>
              <w:top w:val="nil"/>
              <w:left w:val="nil"/>
              <w:bottom w:val="single" w:sz="4" w:space="0" w:color="auto"/>
              <w:right w:val="single" w:sz="4" w:space="0" w:color="auto"/>
            </w:tcBorders>
            <w:shd w:val="clear" w:color="auto" w:fill="auto"/>
            <w:noWrap/>
            <w:vAlign w:val="bottom"/>
            <w:hideMark/>
          </w:tcPr>
          <w:p w14:paraId="0B5B947C" w14:textId="77777777" w:rsidR="00985916" w:rsidRPr="0053555E" w:rsidRDefault="00985916" w:rsidP="00324438">
            <w:pPr>
              <w:tabs>
                <w:tab w:val="left" w:pos="9356"/>
              </w:tabs>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c</w:t>
            </w:r>
          </w:p>
        </w:tc>
        <w:tc>
          <w:tcPr>
            <w:tcW w:w="1247" w:type="dxa"/>
            <w:tcBorders>
              <w:top w:val="nil"/>
              <w:left w:val="nil"/>
              <w:bottom w:val="single" w:sz="4" w:space="0" w:color="auto"/>
              <w:right w:val="single" w:sz="4" w:space="0" w:color="auto"/>
            </w:tcBorders>
            <w:shd w:val="clear" w:color="auto" w:fill="auto"/>
            <w:vAlign w:val="center"/>
            <w:hideMark/>
          </w:tcPr>
          <w:p w14:paraId="535C1AC2" w14:textId="77777777" w:rsidR="00985916" w:rsidRPr="0053555E" w:rsidRDefault="00985916" w:rsidP="00324438">
            <w:pPr>
              <w:tabs>
                <w:tab w:val="left" w:pos="9356"/>
              </w:tabs>
              <w:jc w:val="center"/>
              <w:rPr>
                <w:rFonts w:asciiTheme="majorHAnsi" w:eastAsia="Times New Roman" w:hAnsiTheme="majorHAnsi" w:cstheme="majorHAnsi"/>
                <w:b/>
                <w:sz w:val="18"/>
                <w:szCs w:val="18"/>
                <w:lang w:eastAsia="sk-SK"/>
              </w:rPr>
            </w:pPr>
            <w:r w:rsidRPr="0053555E">
              <w:rPr>
                <w:rFonts w:asciiTheme="majorHAnsi" w:eastAsia="Times New Roman" w:hAnsiTheme="majorHAnsi" w:cstheme="majorHAnsi"/>
                <w:b/>
                <w:sz w:val="18"/>
                <w:szCs w:val="18"/>
                <w:lang w:eastAsia="sk-SK"/>
              </w:rPr>
              <w:t>d</w:t>
            </w:r>
          </w:p>
        </w:tc>
        <w:tc>
          <w:tcPr>
            <w:tcW w:w="1247" w:type="dxa"/>
            <w:tcBorders>
              <w:top w:val="nil"/>
              <w:left w:val="nil"/>
              <w:bottom w:val="single" w:sz="4" w:space="0" w:color="auto"/>
              <w:right w:val="single" w:sz="4" w:space="0" w:color="auto"/>
            </w:tcBorders>
            <w:shd w:val="clear" w:color="auto" w:fill="auto"/>
            <w:vAlign w:val="center"/>
            <w:hideMark/>
          </w:tcPr>
          <w:p w14:paraId="0F7B69C8" w14:textId="77777777" w:rsidR="00985916" w:rsidRPr="0053555E" w:rsidRDefault="00930750" w:rsidP="00324438">
            <w:pPr>
              <w:tabs>
                <w:tab w:val="left" w:pos="9356"/>
              </w:tabs>
              <w:jc w:val="center"/>
              <w:rPr>
                <w:rFonts w:asciiTheme="majorHAnsi" w:eastAsia="Times New Roman" w:hAnsiTheme="majorHAnsi" w:cstheme="majorHAnsi"/>
                <w:b/>
                <w:sz w:val="18"/>
                <w:szCs w:val="18"/>
                <w:lang w:eastAsia="sk-SK"/>
              </w:rPr>
            </w:pPr>
            <w:r w:rsidRPr="0053555E">
              <w:rPr>
                <w:rFonts w:asciiTheme="majorHAnsi" w:eastAsia="Times New Roman" w:hAnsiTheme="majorHAnsi" w:cstheme="majorHAnsi"/>
                <w:b/>
                <w:sz w:val="18"/>
                <w:szCs w:val="18"/>
                <w:lang w:eastAsia="sk-SK"/>
              </w:rPr>
              <w:t>e</w:t>
            </w:r>
          </w:p>
        </w:tc>
        <w:tc>
          <w:tcPr>
            <w:tcW w:w="1247" w:type="dxa"/>
            <w:tcBorders>
              <w:top w:val="nil"/>
              <w:left w:val="nil"/>
              <w:bottom w:val="single" w:sz="4" w:space="0" w:color="auto"/>
              <w:right w:val="single" w:sz="4" w:space="0" w:color="auto"/>
            </w:tcBorders>
            <w:shd w:val="clear" w:color="auto" w:fill="EEECE1" w:themeFill="background2"/>
            <w:vAlign w:val="center"/>
            <w:hideMark/>
          </w:tcPr>
          <w:p w14:paraId="0C95E750" w14:textId="77777777" w:rsidR="00985916" w:rsidRPr="0053555E" w:rsidRDefault="00985916" w:rsidP="00324438">
            <w:pPr>
              <w:tabs>
                <w:tab w:val="left" w:pos="9356"/>
              </w:tabs>
              <w:jc w:val="center"/>
              <w:rPr>
                <w:rFonts w:asciiTheme="majorHAnsi" w:eastAsia="Times New Roman" w:hAnsiTheme="majorHAnsi" w:cstheme="majorHAnsi"/>
                <w:b/>
                <w:sz w:val="18"/>
                <w:szCs w:val="18"/>
                <w:lang w:eastAsia="sk-SK"/>
              </w:rPr>
            </w:pPr>
            <w:r w:rsidRPr="0053555E">
              <w:rPr>
                <w:rFonts w:asciiTheme="majorHAnsi" w:eastAsia="Times New Roman" w:hAnsiTheme="majorHAnsi" w:cstheme="majorHAnsi"/>
                <w:b/>
                <w:sz w:val="18"/>
                <w:szCs w:val="18"/>
                <w:lang w:eastAsia="sk-SK"/>
              </w:rPr>
              <w:t>h</w:t>
            </w:r>
          </w:p>
        </w:tc>
        <w:tc>
          <w:tcPr>
            <w:tcW w:w="1247" w:type="dxa"/>
            <w:tcBorders>
              <w:top w:val="nil"/>
              <w:left w:val="nil"/>
              <w:bottom w:val="single" w:sz="4" w:space="0" w:color="auto"/>
              <w:right w:val="single" w:sz="4" w:space="0" w:color="auto"/>
            </w:tcBorders>
            <w:shd w:val="clear" w:color="auto" w:fill="auto"/>
            <w:vAlign w:val="center"/>
            <w:hideMark/>
          </w:tcPr>
          <w:p w14:paraId="6DD7B0BE" w14:textId="77777777" w:rsidR="00985916" w:rsidRPr="0053555E" w:rsidRDefault="00985916" w:rsidP="00324438">
            <w:pPr>
              <w:tabs>
                <w:tab w:val="left" w:pos="9356"/>
              </w:tabs>
              <w:jc w:val="center"/>
              <w:rPr>
                <w:rFonts w:asciiTheme="majorHAnsi" w:eastAsia="Times New Roman" w:hAnsiTheme="majorHAnsi" w:cstheme="majorHAnsi"/>
                <w:b/>
                <w:sz w:val="18"/>
                <w:szCs w:val="18"/>
                <w:lang w:eastAsia="sk-SK"/>
              </w:rPr>
            </w:pPr>
            <w:r w:rsidRPr="0053555E">
              <w:rPr>
                <w:rFonts w:asciiTheme="majorHAnsi" w:eastAsia="Times New Roman" w:hAnsiTheme="majorHAnsi" w:cstheme="majorHAnsi"/>
                <w:b/>
                <w:sz w:val="18"/>
                <w:szCs w:val="18"/>
                <w:lang w:eastAsia="sk-SK"/>
              </w:rPr>
              <w:t>i</w:t>
            </w:r>
          </w:p>
        </w:tc>
        <w:tc>
          <w:tcPr>
            <w:tcW w:w="1247" w:type="dxa"/>
            <w:tcBorders>
              <w:top w:val="nil"/>
              <w:left w:val="nil"/>
              <w:bottom w:val="single" w:sz="4" w:space="0" w:color="auto"/>
              <w:right w:val="single" w:sz="4" w:space="0" w:color="auto"/>
            </w:tcBorders>
            <w:shd w:val="clear" w:color="auto" w:fill="auto"/>
            <w:vAlign w:val="center"/>
            <w:hideMark/>
          </w:tcPr>
          <w:p w14:paraId="06A44A36" w14:textId="77777777" w:rsidR="00985916" w:rsidRPr="0053555E" w:rsidRDefault="00985916" w:rsidP="00324438">
            <w:pPr>
              <w:tabs>
                <w:tab w:val="left" w:pos="9356"/>
              </w:tabs>
              <w:jc w:val="center"/>
              <w:rPr>
                <w:rFonts w:asciiTheme="majorHAnsi" w:eastAsia="Times New Roman" w:hAnsiTheme="majorHAnsi" w:cstheme="majorHAnsi"/>
                <w:b/>
                <w:sz w:val="18"/>
                <w:szCs w:val="18"/>
                <w:lang w:eastAsia="sk-SK"/>
              </w:rPr>
            </w:pPr>
            <w:r w:rsidRPr="0053555E">
              <w:rPr>
                <w:rFonts w:asciiTheme="majorHAnsi" w:eastAsia="Times New Roman" w:hAnsiTheme="majorHAnsi" w:cstheme="majorHAnsi"/>
                <w:b/>
                <w:sz w:val="18"/>
                <w:szCs w:val="18"/>
                <w:lang w:eastAsia="sk-SK"/>
              </w:rPr>
              <w:t>j</w:t>
            </w:r>
          </w:p>
        </w:tc>
        <w:tc>
          <w:tcPr>
            <w:tcW w:w="1247" w:type="dxa"/>
            <w:tcBorders>
              <w:top w:val="nil"/>
              <w:left w:val="nil"/>
              <w:bottom w:val="single" w:sz="4" w:space="0" w:color="auto"/>
              <w:right w:val="single" w:sz="4" w:space="0" w:color="auto"/>
            </w:tcBorders>
            <w:shd w:val="clear" w:color="auto" w:fill="EEECE1" w:themeFill="background2"/>
            <w:vAlign w:val="center"/>
            <w:hideMark/>
          </w:tcPr>
          <w:p w14:paraId="67BF9D5B" w14:textId="77777777" w:rsidR="00985916" w:rsidRPr="0053555E" w:rsidRDefault="00985916" w:rsidP="00324438">
            <w:pPr>
              <w:tabs>
                <w:tab w:val="left" w:pos="9356"/>
              </w:tabs>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k</w:t>
            </w:r>
          </w:p>
        </w:tc>
        <w:tc>
          <w:tcPr>
            <w:tcW w:w="1247" w:type="dxa"/>
            <w:tcBorders>
              <w:top w:val="nil"/>
              <w:left w:val="nil"/>
              <w:bottom w:val="single" w:sz="4" w:space="0" w:color="auto"/>
              <w:right w:val="single" w:sz="4" w:space="0" w:color="auto"/>
            </w:tcBorders>
            <w:shd w:val="clear" w:color="auto" w:fill="auto"/>
            <w:vAlign w:val="center"/>
            <w:hideMark/>
          </w:tcPr>
          <w:p w14:paraId="3D049E8D" w14:textId="77777777" w:rsidR="00985916" w:rsidRPr="0053555E" w:rsidRDefault="00985916" w:rsidP="00324438">
            <w:pPr>
              <w:tabs>
                <w:tab w:val="left" w:pos="9356"/>
              </w:tabs>
              <w:jc w:val="center"/>
              <w:rPr>
                <w:rFonts w:asciiTheme="majorHAnsi" w:eastAsia="Times New Roman" w:hAnsiTheme="majorHAnsi" w:cstheme="majorHAnsi"/>
                <w:b/>
                <w:sz w:val="18"/>
                <w:szCs w:val="18"/>
                <w:lang w:eastAsia="sk-SK"/>
              </w:rPr>
            </w:pPr>
            <w:r w:rsidRPr="0053555E">
              <w:rPr>
                <w:rFonts w:asciiTheme="majorHAnsi" w:eastAsia="Times New Roman" w:hAnsiTheme="majorHAnsi" w:cstheme="majorHAnsi"/>
                <w:b/>
                <w:sz w:val="18"/>
                <w:szCs w:val="18"/>
                <w:lang w:eastAsia="sk-SK"/>
              </w:rPr>
              <w:t>l</w:t>
            </w:r>
          </w:p>
        </w:tc>
        <w:tc>
          <w:tcPr>
            <w:tcW w:w="1247" w:type="dxa"/>
            <w:tcBorders>
              <w:top w:val="nil"/>
              <w:left w:val="nil"/>
              <w:bottom w:val="single" w:sz="4" w:space="0" w:color="auto"/>
              <w:right w:val="single" w:sz="4" w:space="0" w:color="auto"/>
            </w:tcBorders>
            <w:shd w:val="clear" w:color="auto" w:fill="auto"/>
            <w:noWrap/>
            <w:vAlign w:val="center"/>
            <w:hideMark/>
          </w:tcPr>
          <w:p w14:paraId="75434FAD" w14:textId="77777777" w:rsidR="00985916" w:rsidRPr="0053555E" w:rsidRDefault="00985916" w:rsidP="00324438">
            <w:pPr>
              <w:tabs>
                <w:tab w:val="left" w:pos="9356"/>
              </w:tabs>
              <w:jc w:val="center"/>
              <w:rPr>
                <w:rFonts w:asciiTheme="majorHAnsi" w:eastAsia="Times New Roman" w:hAnsiTheme="majorHAnsi" w:cstheme="majorHAnsi"/>
                <w:b/>
                <w:sz w:val="18"/>
                <w:szCs w:val="18"/>
                <w:lang w:eastAsia="sk-SK"/>
              </w:rPr>
            </w:pPr>
            <w:r w:rsidRPr="0053555E">
              <w:rPr>
                <w:rFonts w:asciiTheme="majorHAnsi" w:eastAsia="Times New Roman" w:hAnsiTheme="majorHAnsi" w:cstheme="majorHAnsi"/>
                <w:b/>
                <w:sz w:val="18"/>
                <w:szCs w:val="18"/>
                <w:lang w:eastAsia="sk-SK"/>
              </w:rPr>
              <w:t>m</w:t>
            </w:r>
          </w:p>
        </w:tc>
        <w:tc>
          <w:tcPr>
            <w:tcW w:w="1247" w:type="dxa"/>
            <w:tcBorders>
              <w:top w:val="nil"/>
              <w:left w:val="nil"/>
              <w:bottom w:val="single" w:sz="4" w:space="0" w:color="auto"/>
              <w:right w:val="single" w:sz="4" w:space="0" w:color="auto"/>
            </w:tcBorders>
            <w:shd w:val="clear" w:color="auto" w:fill="auto"/>
            <w:noWrap/>
            <w:vAlign w:val="center"/>
            <w:hideMark/>
          </w:tcPr>
          <w:p w14:paraId="3254927D" w14:textId="77777777" w:rsidR="00985916" w:rsidRPr="0053555E" w:rsidRDefault="00985916" w:rsidP="00324438">
            <w:pPr>
              <w:tabs>
                <w:tab w:val="left" w:pos="9356"/>
              </w:tabs>
              <w:jc w:val="center"/>
              <w:rPr>
                <w:rFonts w:asciiTheme="majorHAnsi" w:eastAsia="Times New Roman" w:hAnsiTheme="majorHAnsi" w:cstheme="majorHAnsi"/>
                <w:b/>
                <w:sz w:val="18"/>
                <w:szCs w:val="18"/>
                <w:lang w:eastAsia="sk-SK"/>
              </w:rPr>
            </w:pPr>
            <w:r w:rsidRPr="0053555E">
              <w:rPr>
                <w:rFonts w:asciiTheme="majorHAnsi" w:eastAsia="Times New Roman" w:hAnsiTheme="majorHAnsi" w:cstheme="majorHAnsi"/>
                <w:b/>
                <w:sz w:val="18"/>
                <w:szCs w:val="18"/>
                <w:lang w:eastAsia="sk-SK"/>
              </w:rPr>
              <w:t>n</w:t>
            </w:r>
          </w:p>
        </w:tc>
      </w:tr>
      <w:tr w:rsidR="000754FE" w:rsidRPr="0053555E" w14:paraId="0E571E58" w14:textId="77777777" w:rsidTr="00D4713E">
        <w:trPr>
          <w:trHeight w:val="227"/>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75FB19E" w14:textId="61EF2DDB" w:rsidR="000754FE" w:rsidRPr="0053555E" w:rsidRDefault="000754FE" w:rsidP="000754FE">
            <w:pPr>
              <w:tabs>
                <w:tab w:val="left" w:pos="9356"/>
              </w:tabs>
              <w:jc w:val="center"/>
              <w:rPr>
                <w:rFonts w:asciiTheme="majorHAnsi" w:eastAsia="Times New Roman" w:hAnsiTheme="majorHAnsi" w:cstheme="majorHAnsi"/>
                <w:sz w:val="20"/>
                <w:szCs w:val="20"/>
                <w:lang w:eastAsia="sk-SK"/>
              </w:rPr>
            </w:pPr>
            <w:r w:rsidRPr="0053555E">
              <w:rPr>
                <w:rFonts w:cs="Arial"/>
                <w:sz w:val="20"/>
                <w:szCs w:val="20"/>
              </w:rPr>
              <w:t>2007/2008</w:t>
            </w:r>
          </w:p>
        </w:tc>
        <w:tc>
          <w:tcPr>
            <w:tcW w:w="1247" w:type="dxa"/>
            <w:tcBorders>
              <w:top w:val="nil"/>
              <w:left w:val="nil"/>
              <w:bottom w:val="single" w:sz="4" w:space="0" w:color="auto"/>
              <w:right w:val="single" w:sz="4" w:space="0" w:color="auto"/>
            </w:tcBorders>
            <w:shd w:val="clear" w:color="auto" w:fill="auto"/>
            <w:noWrap/>
            <w:vAlign w:val="bottom"/>
            <w:hideMark/>
          </w:tcPr>
          <w:p w14:paraId="7D2DA315" w14:textId="50EA0E44" w:rsidR="000754FE" w:rsidRPr="0053555E" w:rsidRDefault="000754FE" w:rsidP="000754FE">
            <w:pPr>
              <w:jc w:val="center"/>
              <w:rPr>
                <w:rFonts w:asciiTheme="majorHAnsi" w:hAnsiTheme="majorHAnsi" w:cstheme="majorHAnsi"/>
                <w:sz w:val="20"/>
                <w:szCs w:val="20"/>
              </w:rPr>
            </w:pPr>
            <w:r w:rsidRPr="0053555E">
              <w:rPr>
                <w:rFonts w:cs="Arial"/>
                <w:sz w:val="20"/>
                <w:szCs w:val="20"/>
              </w:rPr>
              <w:t>82 193</w:t>
            </w:r>
          </w:p>
        </w:tc>
        <w:tc>
          <w:tcPr>
            <w:tcW w:w="1247" w:type="dxa"/>
            <w:tcBorders>
              <w:top w:val="nil"/>
              <w:left w:val="nil"/>
              <w:bottom w:val="single" w:sz="4" w:space="0" w:color="auto"/>
              <w:right w:val="single" w:sz="4" w:space="0" w:color="auto"/>
            </w:tcBorders>
            <w:shd w:val="clear" w:color="auto" w:fill="auto"/>
            <w:noWrap/>
            <w:vAlign w:val="bottom"/>
            <w:hideMark/>
          </w:tcPr>
          <w:p w14:paraId="5AD64EAB" w14:textId="243CA47D" w:rsidR="000754FE" w:rsidRPr="0053555E" w:rsidRDefault="000754FE" w:rsidP="000754FE">
            <w:pPr>
              <w:jc w:val="center"/>
              <w:rPr>
                <w:rFonts w:asciiTheme="majorHAnsi" w:hAnsiTheme="majorHAnsi" w:cstheme="majorHAnsi"/>
                <w:b/>
                <w:bCs/>
                <w:sz w:val="20"/>
                <w:szCs w:val="20"/>
              </w:rPr>
            </w:pPr>
            <w:r w:rsidRPr="0053555E">
              <w:rPr>
                <w:rFonts w:cs="Arial"/>
                <w:sz w:val="20"/>
                <w:szCs w:val="20"/>
              </w:rPr>
              <w:t>52 863</w:t>
            </w:r>
          </w:p>
        </w:tc>
        <w:tc>
          <w:tcPr>
            <w:tcW w:w="1247" w:type="dxa"/>
            <w:tcBorders>
              <w:top w:val="nil"/>
              <w:left w:val="nil"/>
              <w:bottom w:val="single" w:sz="4" w:space="0" w:color="auto"/>
              <w:right w:val="single" w:sz="4" w:space="0" w:color="auto"/>
            </w:tcBorders>
            <w:shd w:val="clear" w:color="auto" w:fill="auto"/>
            <w:noWrap/>
            <w:vAlign w:val="bottom"/>
            <w:hideMark/>
          </w:tcPr>
          <w:p w14:paraId="6A94E1A4" w14:textId="0DAB9B63" w:rsidR="000754FE" w:rsidRPr="0053555E" w:rsidRDefault="000754FE" w:rsidP="000754FE">
            <w:pPr>
              <w:jc w:val="center"/>
              <w:rPr>
                <w:rFonts w:asciiTheme="majorHAnsi" w:hAnsiTheme="majorHAnsi" w:cstheme="majorHAnsi"/>
                <w:sz w:val="20"/>
                <w:szCs w:val="20"/>
              </w:rPr>
            </w:pPr>
            <w:r w:rsidRPr="0053555E">
              <w:rPr>
                <w:rFonts w:cs="Arial"/>
                <w:sz w:val="20"/>
                <w:szCs w:val="20"/>
              </w:rPr>
              <w:t>64</w:t>
            </w:r>
            <w:r w:rsidR="003836EE"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6CA14384" w14:textId="1ADBB10A" w:rsidR="000754FE" w:rsidRPr="0053555E" w:rsidRDefault="000754FE" w:rsidP="000754FE">
            <w:pPr>
              <w:jc w:val="center"/>
              <w:rPr>
                <w:rFonts w:asciiTheme="majorHAnsi" w:hAnsiTheme="majorHAnsi" w:cstheme="majorHAnsi"/>
                <w:sz w:val="20"/>
                <w:szCs w:val="20"/>
              </w:rPr>
            </w:pPr>
            <w:r w:rsidRPr="0053555E">
              <w:rPr>
                <w:rFonts w:cs="Arial"/>
                <w:sz w:val="20"/>
                <w:szCs w:val="20"/>
              </w:rPr>
              <w:t>3 404</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01A81139" w14:textId="1B981AD6" w:rsidR="000754FE" w:rsidRPr="0053555E" w:rsidRDefault="000754FE" w:rsidP="000754FE">
            <w:pPr>
              <w:jc w:val="center"/>
              <w:rPr>
                <w:rFonts w:asciiTheme="majorHAnsi" w:hAnsiTheme="majorHAnsi" w:cstheme="majorHAnsi"/>
                <w:b/>
                <w:sz w:val="20"/>
                <w:szCs w:val="20"/>
              </w:rPr>
            </w:pPr>
            <w:r w:rsidRPr="0053555E">
              <w:rPr>
                <w:rFonts w:cs="Arial"/>
                <w:sz w:val="20"/>
                <w:szCs w:val="20"/>
              </w:rPr>
              <w:t>6,4</w:t>
            </w:r>
            <w:r w:rsidR="008877A2"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27A96B56" w14:textId="7B52EE3F" w:rsidR="000754FE" w:rsidRPr="0053555E" w:rsidRDefault="000754FE" w:rsidP="000754FE">
            <w:pPr>
              <w:jc w:val="center"/>
              <w:rPr>
                <w:rFonts w:asciiTheme="majorHAnsi" w:hAnsiTheme="majorHAnsi" w:cstheme="majorHAnsi"/>
                <w:sz w:val="20"/>
                <w:szCs w:val="20"/>
              </w:rPr>
            </w:pPr>
            <w:r w:rsidRPr="0053555E">
              <w:rPr>
                <w:rFonts w:cs="Arial"/>
                <w:sz w:val="20"/>
                <w:szCs w:val="20"/>
              </w:rPr>
              <w:t>224 943</w:t>
            </w:r>
          </w:p>
        </w:tc>
        <w:tc>
          <w:tcPr>
            <w:tcW w:w="1247" w:type="dxa"/>
            <w:tcBorders>
              <w:top w:val="nil"/>
              <w:left w:val="nil"/>
              <w:bottom w:val="single" w:sz="4" w:space="0" w:color="auto"/>
              <w:right w:val="single" w:sz="4" w:space="0" w:color="auto"/>
            </w:tcBorders>
            <w:shd w:val="clear" w:color="auto" w:fill="auto"/>
            <w:noWrap/>
            <w:vAlign w:val="bottom"/>
            <w:hideMark/>
          </w:tcPr>
          <w:p w14:paraId="29877B7E" w14:textId="64074F2C" w:rsidR="000754FE" w:rsidRPr="0053555E" w:rsidRDefault="000754FE" w:rsidP="000754FE">
            <w:pPr>
              <w:jc w:val="center"/>
              <w:rPr>
                <w:rFonts w:asciiTheme="majorHAnsi" w:hAnsiTheme="majorHAnsi" w:cstheme="majorHAnsi"/>
                <w:sz w:val="20"/>
                <w:szCs w:val="20"/>
              </w:rPr>
            </w:pPr>
            <w:r w:rsidRPr="0053555E">
              <w:rPr>
                <w:rFonts w:cs="Arial"/>
                <w:sz w:val="20"/>
                <w:szCs w:val="20"/>
              </w:rPr>
              <w:t>19 057</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4D99470F" w14:textId="14477536"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8,5</w:t>
            </w:r>
            <w:r w:rsidR="007C20BB" w:rsidRPr="0053555E">
              <w:rPr>
                <w:rFonts w:cs="Arial"/>
                <w:b/>
                <w:bCs/>
                <w:sz w:val="20"/>
                <w:szCs w:val="20"/>
              </w:rPr>
              <w:t xml:space="preserve"> </w:t>
            </w:r>
            <w:r w:rsidRPr="0053555E">
              <w:rPr>
                <w:rFonts w:cs="Arial"/>
                <w:b/>
                <w:bCs/>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0C47E813" w14:textId="16DACFDF" w:rsidR="000754FE" w:rsidRPr="0053555E" w:rsidRDefault="000754FE" w:rsidP="000754FE">
            <w:pPr>
              <w:jc w:val="center"/>
              <w:rPr>
                <w:rFonts w:asciiTheme="majorHAnsi" w:hAnsiTheme="majorHAnsi" w:cstheme="majorHAnsi"/>
                <w:sz w:val="20"/>
                <w:szCs w:val="20"/>
              </w:rPr>
            </w:pPr>
            <w:r w:rsidRPr="0053555E">
              <w:rPr>
                <w:rFonts w:cs="Arial"/>
                <w:sz w:val="20"/>
                <w:szCs w:val="20"/>
              </w:rPr>
              <w:t>343 943</w:t>
            </w:r>
          </w:p>
        </w:tc>
        <w:tc>
          <w:tcPr>
            <w:tcW w:w="1247" w:type="dxa"/>
            <w:tcBorders>
              <w:top w:val="nil"/>
              <w:left w:val="nil"/>
              <w:bottom w:val="single" w:sz="4" w:space="0" w:color="auto"/>
              <w:right w:val="single" w:sz="4" w:space="0" w:color="auto"/>
            </w:tcBorders>
            <w:shd w:val="clear" w:color="auto" w:fill="auto"/>
            <w:noWrap/>
            <w:vAlign w:val="bottom"/>
            <w:hideMark/>
          </w:tcPr>
          <w:p w14:paraId="3D9EE5FD" w14:textId="440A7684" w:rsidR="000754FE" w:rsidRPr="0053555E" w:rsidRDefault="000754FE" w:rsidP="000754FE">
            <w:pPr>
              <w:jc w:val="center"/>
              <w:rPr>
                <w:rFonts w:asciiTheme="majorHAnsi" w:hAnsiTheme="majorHAnsi" w:cstheme="majorHAnsi"/>
                <w:sz w:val="20"/>
                <w:szCs w:val="20"/>
              </w:rPr>
            </w:pPr>
            <w:r w:rsidRPr="0053555E">
              <w:rPr>
                <w:rFonts w:cs="Arial"/>
                <w:sz w:val="20"/>
                <w:szCs w:val="20"/>
              </w:rPr>
              <w:t>18 090</w:t>
            </w:r>
          </w:p>
        </w:tc>
        <w:tc>
          <w:tcPr>
            <w:tcW w:w="1247" w:type="dxa"/>
            <w:tcBorders>
              <w:top w:val="nil"/>
              <w:left w:val="nil"/>
              <w:bottom w:val="single" w:sz="4" w:space="0" w:color="auto"/>
              <w:right w:val="single" w:sz="4" w:space="0" w:color="auto"/>
            </w:tcBorders>
            <w:shd w:val="clear" w:color="auto" w:fill="auto"/>
            <w:noWrap/>
            <w:vAlign w:val="bottom"/>
            <w:hideMark/>
          </w:tcPr>
          <w:p w14:paraId="13E9E086" w14:textId="6B7A9278" w:rsidR="000754FE" w:rsidRPr="0053555E" w:rsidRDefault="000754FE" w:rsidP="000754FE">
            <w:pPr>
              <w:jc w:val="center"/>
              <w:rPr>
                <w:rFonts w:asciiTheme="majorHAnsi" w:hAnsiTheme="majorHAnsi" w:cstheme="majorHAnsi"/>
                <w:sz w:val="20"/>
                <w:szCs w:val="20"/>
              </w:rPr>
            </w:pPr>
            <w:r w:rsidRPr="0053555E">
              <w:rPr>
                <w:rFonts w:cs="Arial"/>
                <w:sz w:val="20"/>
                <w:szCs w:val="20"/>
              </w:rPr>
              <w:t>5,3</w:t>
            </w:r>
            <w:r w:rsidR="007C20BB" w:rsidRPr="0053555E">
              <w:rPr>
                <w:rFonts w:cs="Arial"/>
                <w:sz w:val="20"/>
                <w:szCs w:val="20"/>
              </w:rPr>
              <w:t xml:space="preserve"> </w:t>
            </w:r>
            <w:r w:rsidRPr="0053555E">
              <w:rPr>
                <w:rFonts w:cs="Arial"/>
                <w:sz w:val="20"/>
                <w:szCs w:val="20"/>
              </w:rPr>
              <w:t>%</w:t>
            </w:r>
          </w:p>
        </w:tc>
      </w:tr>
      <w:tr w:rsidR="000754FE" w:rsidRPr="0053555E" w14:paraId="5845A097" w14:textId="77777777" w:rsidTr="00D4713E">
        <w:trPr>
          <w:trHeight w:val="227"/>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3F33C925" w14:textId="380588F4" w:rsidR="000754FE" w:rsidRPr="0053555E" w:rsidRDefault="000754FE" w:rsidP="000754FE">
            <w:pPr>
              <w:tabs>
                <w:tab w:val="left" w:pos="9356"/>
              </w:tabs>
              <w:jc w:val="center"/>
              <w:rPr>
                <w:rFonts w:asciiTheme="majorHAnsi" w:eastAsia="Times New Roman" w:hAnsiTheme="majorHAnsi" w:cstheme="majorHAnsi"/>
                <w:sz w:val="20"/>
                <w:szCs w:val="20"/>
                <w:lang w:eastAsia="sk-SK"/>
              </w:rPr>
            </w:pPr>
            <w:r w:rsidRPr="0053555E">
              <w:rPr>
                <w:rFonts w:cs="Arial"/>
                <w:sz w:val="20"/>
                <w:szCs w:val="20"/>
              </w:rPr>
              <w:t>2008/2009</w:t>
            </w:r>
          </w:p>
        </w:tc>
        <w:tc>
          <w:tcPr>
            <w:tcW w:w="1247" w:type="dxa"/>
            <w:tcBorders>
              <w:top w:val="nil"/>
              <w:left w:val="nil"/>
              <w:bottom w:val="single" w:sz="4" w:space="0" w:color="auto"/>
              <w:right w:val="single" w:sz="4" w:space="0" w:color="auto"/>
            </w:tcBorders>
            <w:shd w:val="clear" w:color="auto" w:fill="auto"/>
            <w:noWrap/>
            <w:vAlign w:val="bottom"/>
            <w:hideMark/>
          </w:tcPr>
          <w:p w14:paraId="40B86C9A" w14:textId="58558F79" w:rsidR="000754FE" w:rsidRPr="0053555E" w:rsidRDefault="000754FE" w:rsidP="000754FE">
            <w:pPr>
              <w:jc w:val="center"/>
              <w:rPr>
                <w:rFonts w:asciiTheme="majorHAnsi" w:hAnsiTheme="majorHAnsi" w:cstheme="majorHAnsi"/>
                <w:sz w:val="20"/>
                <w:szCs w:val="20"/>
              </w:rPr>
            </w:pPr>
            <w:r w:rsidRPr="0053555E">
              <w:rPr>
                <w:rFonts w:cs="Arial"/>
                <w:sz w:val="20"/>
                <w:szCs w:val="20"/>
              </w:rPr>
              <w:t>80 633</w:t>
            </w:r>
          </w:p>
        </w:tc>
        <w:tc>
          <w:tcPr>
            <w:tcW w:w="1247" w:type="dxa"/>
            <w:tcBorders>
              <w:top w:val="nil"/>
              <w:left w:val="nil"/>
              <w:bottom w:val="single" w:sz="4" w:space="0" w:color="auto"/>
              <w:right w:val="single" w:sz="4" w:space="0" w:color="auto"/>
            </w:tcBorders>
            <w:shd w:val="clear" w:color="auto" w:fill="auto"/>
            <w:noWrap/>
            <w:vAlign w:val="bottom"/>
            <w:hideMark/>
          </w:tcPr>
          <w:p w14:paraId="7E2B39D1" w14:textId="446385CF" w:rsidR="000754FE" w:rsidRPr="0053555E" w:rsidRDefault="000754FE" w:rsidP="000754FE">
            <w:pPr>
              <w:jc w:val="center"/>
              <w:rPr>
                <w:rFonts w:asciiTheme="majorHAnsi" w:hAnsiTheme="majorHAnsi" w:cstheme="majorHAnsi"/>
                <w:b/>
                <w:bCs/>
                <w:sz w:val="20"/>
                <w:szCs w:val="20"/>
              </w:rPr>
            </w:pPr>
            <w:r w:rsidRPr="0053555E">
              <w:rPr>
                <w:rFonts w:cs="Arial"/>
                <w:sz w:val="20"/>
                <w:szCs w:val="20"/>
              </w:rPr>
              <w:t>50 582</w:t>
            </w:r>
          </w:p>
        </w:tc>
        <w:tc>
          <w:tcPr>
            <w:tcW w:w="1247" w:type="dxa"/>
            <w:tcBorders>
              <w:top w:val="nil"/>
              <w:left w:val="nil"/>
              <w:bottom w:val="single" w:sz="4" w:space="0" w:color="auto"/>
              <w:right w:val="single" w:sz="4" w:space="0" w:color="auto"/>
            </w:tcBorders>
            <w:shd w:val="clear" w:color="auto" w:fill="auto"/>
            <w:noWrap/>
            <w:vAlign w:val="bottom"/>
            <w:hideMark/>
          </w:tcPr>
          <w:p w14:paraId="5B55FA04" w14:textId="0B74DFB6" w:rsidR="000754FE" w:rsidRPr="0053555E" w:rsidRDefault="000754FE" w:rsidP="000754FE">
            <w:pPr>
              <w:jc w:val="center"/>
              <w:rPr>
                <w:rFonts w:asciiTheme="majorHAnsi" w:hAnsiTheme="majorHAnsi" w:cstheme="majorHAnsi"/>
                <w:sz w:val="20"/>
                <w:szCs w:val="20"/>
              </w:rPr>
            </w:pPr>
            <w:r w:rsidRPr="0053555E">
              <w:rPr>
                <w:rFonts w:cs="Arial"/>
                <w:sz w:val="20"/>
                <w:szCs w:val="20"/>
              </w:rPr>
              <w:t>63</w:t>
            </w:r>
            <w:r w:rsidR="003836EE"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0C65454C" w14:textId="0749054C" w:rsidR="000754FE" w:rsidRPr="0053555E" w:rsidRDefault="000754FE" w:rsidP="000754FE">
            <w:pPr>
              <w:jc w:val="center"/>
              <w:rPr>
                <w:rFonts w:asciiTheme="majorHAnsi" w:hAnsiTheme="majorHAnsi" w:cstheme="majorHAnsi"/>
                <w:sz w:val="20"/>
                <w:szCs w:val="20"/>
              </w:rPr>
            </w:pPr>
            <w:r w:rsidRPr="0053555E">
              <w:rPr>
                <w:rFonts w:cs="Arial"/>
                <w:sz w:val="20"/>
                <w:szCs w:val="20"/>
              </w:rPr>
              <w:t>2 863</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24201FEC" w14:textId="354A4980" w:rsidR="000754FE" w:rsidRPr="0053555E" w:rsidRDefault="000754FE" w:rsidP="000754FE">
            <w:pPr>
              <w:jc w:val="center"/>
              <w:rPr>
                <w:rFonts w:asciiTheme="majorHAnsi" w:hAnsiTheme="majorHAnsi" w:cstheme="majorHAnsi"/>
                <w:b/>
                <w:sz w:val="20"/>
                <w:szCs w:val="20"/>
              </w:rPr>
            </w:pPr>
            <w:r w:rsidRPr="0053555E">
              <w:rPr>
                <w:rFonts w:cs="Arial"/>
                <w:sz w:val="20"/>
                <w:szCs w:val="20"/>
              </w:rPr>
              <w:t>5,7</w:t>
            </w:r>
            <w:r w:rsidR="008877A2"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7F7553C2" w14:textId="3C2AABFA" w:rsidR="000754FE" w:rsidRPr="0053555E" w:rsidRDefault="000754FE" w:rsidP="000754FE">
            <w:pPr>
              <w:jc w:val="center"/>
              <w:rPr>
                <w:rFonts w:asciiTheme="majorHAnsi" w:hAnsiTheme="majorHAnsi" w:cstheme="majorHAnsi"/>
                <w:sz w:val="20"/>
                <w:szCs w:val="20"/>
              </w:rPr>
            </w:pPr>
            <w:r w:rsidRPr="0053555E">
              <w:rPr>
                <w:rFonts w:cs="Arial"/>
                <w:sz w:val="20"/>
                <w:szCs w:val="20"/>
              </w:rPr>
              <w:t>230 519</w:t>
            </w:r>
          </w:p>
        </w:tc>
        <w:tc>
          <w:tcPr>
            <w:tcW w:w="1247" w:type="dxa"/>
            <w:tcBorders>
              <w:top w:val="nil"/>
              <w:left w:val="nil"/>
              <w:bottom w:val="single" w:sz="4" w:space="0" w:color="auto"/>
              <w:right w:val="single" w:sz="4" w:space="0" w:color="auto"/>
            </w:tcBorders>
            <w:shd w:val="clear" w:color="auto" w:fill="auto"/>
            <w:noWrap/>
            <w:vAlign w:val="bottom"/>
            <w:hideMark/>
          </w:tcPr>
          <w:p w14:paraId="531B2E10" w14:textId="447475F1" w:rsidR="000754FE" w:rsidRPr="0053555E" w:rsidRDefault="000754FE" w:rsidP="000754FE">
            <w:pPr>
              <w:jc w:val="center"/>
              <w:rPr>
                <w:rFonts w:asciiTheme="majorHAnsi" w:hAnsiTheme="majorHAnsi" w:cstheme="majorHAnsi"/>
                <w:sz w:val="20"/>
                <w:szCs w:val="20"/>
              </w:rPr>
            </w:pPr>
            <w:r w:rsidRPr="0053555E">
              <w:rPr>
                <w:rFonts w:cs="Arial"/>
                <w:sz w:val="20"/>
                <w:szCs w:val="20"/>
              </w:rPr>
              <w:t>18 672</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54C30DED" w14:textId="14684773"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8,1</w:t>
            </w:r>
            <w:r w:rsidR="007C20BB" w:rsidRPr="0053555E">
              <w:rPr>
                <w:rFonts w:cs="Arial"/>
                <w:b/>
                <w:bCs/>
                <w:sz w:val="20"/>
                <w:szCs w:val="20"/>
              </w:rPr>
              <w:t xml:space="preserve"> </w:t>
            </w:r>
            <w:r w:rsidRPr="0053555E">
              <w:rPr>
                <w:rFonts w:cs="Arial"/>
                <w:b/>
                <w:bCs/>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59FA2F70" w14:textId="47DF1113" w:rsidR="000754FE" w:rsidRPr="0053555E" w:rsidRDefault="000754FE" w:rsidP="000754FE">
            <w:pPr>
              <w:jc w:val="center"/>
              <w:rPr>
                <w:rFonts w:asciiTheme="majorHAnsi" w:hAnsiTheme="majorHAnsi" w:cstheme="majorHAnsi"/>
                <w:sz w:val="20"/>
                <w:szCs w:val="20"/>
              </w:rPr>
            </w:pPr>
            <w:r w:rsidRPr="0053555E">
              <w:rPr>
                <w:rFonts w:cs="Arial"/>
                <w:sz w:val="20"/>
                <w:szCs w:val="20"/>
              </w:rPr>
              <w:t>368 050</w:t>
            </w:r>
          </w:p>
        </w:tc>
        <w:tc>
          <w:tcPr>
            <w:tcW w:w="1247" w:type="dxa"/>
            <w:tcBorders>
              <w:top w:val="nil"/>
              <w:left w:val="nil"/>
              <w:bottom w:val="single" w:sz="4" w:space="0" w:color="auto"/>
              <w:right w:val="single" w:sz="4" w:space="0" w:color="auto"/>
            </w:tcBorders>
            <w:shd w:val="clear" w:color="auto" w:fill="auto"/>
            <w:noWrap/>
            <w:vAlign w:val="bottom"/>
            <w:hideMark/>
          </w:tcPr>
          <w:p w14:paraId="6DFABC91" w14:textId="106D7409" w:rsidR="000754FE" w:rsidRPr="0053555E" w:rsidRDefault="000754FE" w:rsidP="000754FE">
            <w:pPr>
              <w:jc w:val="center"/>
              <w:rPr>
                <w:rFonts w:asciiTheme="majorHAnsi" w:hAnsiTheme="majorHAnsi" w:cstheme="majorHAnsi"/>
                <w:sz w:val="20"/>
                <w:szCs w:val="20"/>
              </w:rPr>
            </w:pPr>
            <w:r w:rsidRPr="0053555E">
              <w:rPr>
                <w:rFonts w:cs="Arial"/>
                <w:sz w:val="20"/>
                <w:szCs w:val="20"/>
              </w:rPr>
              <w:t>19 858</w:t>
            </w:r>
          </w:p>
        </w:tc>
        <w:tc>
          <w:tcPr>
            <w:tcW w:w="1247" w:type="dxa"/>
            <w:tcBorders>
              <w:top w:val="nil"/>
              <w:left w:val="nil"/>
              <w:bottom w:val="single" w:sz="4" w:space="0" w:color="auto"/>
              <w:right w:val="single" w:sz="4" w:space="0" w:color="auto"/>
            </w:tcBorders>
            <w:shd w:val="clear" w:color="auto" w:fill="auto"/>
            <w:noWrap/>
            <w:vAlign w:val="bottom"/>
            <w:hideMark/>
          </w:tcPr>
          <w:p w14:paraId="4721018F" w14:textId="5851E8A6" w:rsidR="000754FE" w:rsidRPr="0053555E" w:rsidRDefault="000754FE" w:rsidP="000754FE">
            <w:pPr>
              <w:jc w:val="center"/>
              <w:rPr>
                <w:rFonts w:asciiTheme="majorHAnsi" w:hAnsiTheme="majorHAnsi" w:cstheme="majorHAnsi"/>
                <w:sz w:val="20"/>
                <w:szCs w:val="20"/>
              </w:rPr>
            </w:pPr>
            <w:r w:rsidRPr="0053555E">
              <w:rPr>
                <w:rFonts w:cs="Arial"/>
                <w:sz w:val="20"/>
                <w:szCs w:val="20"/>
              </w:rPr>
              <w:t>5,4</w:t>
            </w:r>
            <w:r w:rsidR="007C20BB" w:rsidRPr="0053555E">
              <w:rPr>
                <w:rFonts w:cs="Arial"/>
                <w:sz w:val="20"/>
                <w:szCs w:val="20"/>
              </w:rPr>
              <w:t xml:space="preserve"> </w:t>
            </w:r>
            <w:r w:rsidRPr="0053555E">
              <w:rPr>
                <w:rFonts w:cs="Arial"/>
                <w:sz w:val="20"/>
                <w:szCs w:val="20"/>
              </w:rPr>
              <w:t>%</w:t>
            </w:r>
          </w:p>
        </w:tc>
      </w:tr>
      <w:tr w:rsidR="000754FE" w:rsidRPr="0053555E" w14:paraId="203ED86E" w14:textId="77777777" w:rsidTr="00D4713E">
        <w:trPr>
          <w:trHeight w:val="227"/>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22EB24D" w14:textId="634D22BA" w:rsidR="000754FE" w:rsidRPr="0053555E" w:rsidRDefault="000754FE" w:rsidP="000754FE">
            <w:pPr>
              <w:tabs>
                <w:tab w:val="left" w:pos="9356"/>
              </w:tabs>
              <w:jc w:val="center"/>
              <w:rPr>
                <w:rFonts w:asciiTheme="majorHAnsi" w:eastAsia="Times New Roman" w:hAnsiTheme="majorHAnsi" w:cstheme="majorHAnsi"/>
                <w:sz w:val="20"/>
                <w:szCs w:val="20"/>
                <w:lang w:eastAsia="sk-SK"/>
              </w:rPr>
            </w:pPr>
            <w:r w:rsidRPr="0053555E">
              <w:rPr>
                <w:rFonts w:cs="Arial"/>
                <w:sz w:val="20"/>
                <w:szCs w:val="20"/>
              </w:rPr>
              <w:t>2009/2010</w:t>
            </w:r>
          </w:p>
        </w:tc>
        <w:tc>
          <w:tcPr>
            <w:tcW w:w="1247" w:type="dxa"/>
            <w:tcBorders>
              <w:top w:val="nil"/>
              <w:left w:val="nil"/>
              <w:bottom w:val="single" w:sz="4" w:space="0" w:color="auto"/>
              <w:right w:val="single" w:sz="4" w:space="0" w:color="auto"/>
            </w:tcBorders>
            <w:shd w:val="clear" w:color="auto" w:fill="auto"/>
            <w:noWrap/>
            <w:vAlign w:val="bottom"/>
            <w:hideMark/>
          </w:tcPr>
          <w:p w14:paraId="547AE799" w14:textId="4D018991" w:rsidR="000754FE" w:rsidRPr="0053555E" w:rsidRDefault="000754FE" w:rsidP="000754FE">
            <w:pPr>
              <w:jc w:val="center"/>
              <w:rPr>
                <w:rFonts w:asciiTheme="majorHAnsi" w:hAnsiTheme="majorHAnsi" w:cstheme="majorHAnsi"/>
                <w:sz w:val="20"/>
                <w:szCs w:val="20"/>
              </w:rPr>
            </w:pPr>
            <w:r w:rsidRPr="0053555E">
              <w:rPr>
                <w:rFonts w:cs="Arial"/>
                <w:sz w:val="20"/>
                <w:szCs w:val="20"/>
              </w:rPr>
              <w:t>79 049</w:t>
            </w:r>
          </w:p>
        </w:tc>
        <w:tc>
          <w:tcPr>
            <w:tcW w:w="1247" w:type="dxa"/>
            <w:tcBorders>
              <w:top w:val="nil"/>
              <w:left w:val="nil"/>
              <w:bottom w:val="single" w:sz="4" w:space="0" w:color="auto"/>
              <w:right w:val="single" w:sz="4" w:space="0" w:color="auto"/>
            </w:tcBorders>
            <w:shd w:val="clear" w:color="auto" w:fill="auto"/>
            <w:noWrap/>
            <w:vAlign w:val="bottom"/>
            <w:hideMark/>
          </w:tcPr>
          <w:p w14:paraId="0A13B832" w14:textId="65F3E64A" w:rsidR="000754FE" w:rsidRPr="0053555E" w:rsidRDefault="000754FE" w:rsidP="000754FE">
            <w:pPr>
              <w:jc w:val="center"/>
              <w:rPr>
                <w:rFonts w:asciiTheme="majorHAnsi" w:hAnsiTheme="majorHAnsi" w:cstheme="majorHAnsi"/>
                <w:b/>
                <w:bCs/>
                <w:sz w:val="20"/>
                <w:szCs w:val="20"/>
              </w:rPr>
            </w:pPr>
            <w:r w:rsidRPr="0053555E">
              <w:rPr>
                <w:rFonts w:cs="Arial"/>
                <w:sz w:val="20"/>
                <w:szCs w:val="20"/>
              </w:rPr>
              <w:t>50 561</w:t>
            </w:r>
          </w:p>
        </w:tc>
        <w:tc>
          <w:tcPr>
            <w:tcW w:w="1247" w:type="dxa"/>
            <w:tcBorders>
              <w:top w:val="nil"/>
              <w:left w:val="nil"/>
              <w:bottom w:val="single" w:sz="4" w:space="0" w:color="auto"/>
              <w:right w:val="single" w:sz="4" w:space="0" w:color="auto"/>
            </w:tcBorders>
            <w:shd w:val="clear" w:color="auto" w:fill="auto"/>
            <w:noWrap/>
            <w:vAlign w:val="bottom"/>
            <w:hideMark/>
          </w:tcPr>
          <w:p w14:paraId="318E17F4" w14:textId="1DB70C2E" w:rsidR="000754FE" w:rsidRPr="0053555E" w:rsidRDefault="000754FE" w:rsidP="000754FE">
            <w:pPr>
              <w:jc w:val="center"/>
              <w:rPr>
                <w:rFonts w:asciiTheme="majorHAnsi" w:hAnsiTheme="majorHAnsi" w:cstheme="majorHAnsi"/>
                <w:sz w:val="20"/>
                <w:szCs w:val="20"/>
              </w:rPr>
            </w:pPr>
            <w:r w:rsidRPr="0053555E">
              <w:rPr>
                <w:rFonts w:cs="Arial"/>
                <w:sz w:val="20"/>
                <w:szCs w:val="20"/>
              </w:rPr>
              <w:t>64</w:t>
            </w:r>
            <w:r w:rsidR="003836EE"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3339B18D" w14:textId="2C0410C3" w:rsidR="000754FE" w:rsidRPr="0053555E" w:rsidRDefault="000754FE" w:rsidP="000754FE">
            <w:pPr>
              <w:jc w:val="center"/>
              <w:rPr>
                <w:rFonts w:asciiTheme="majorHAnsi" w:hAnsiTheme="majorHAnsi" w:cstheme="majorHAnsi"/>
                <w:sz w:val="20"/>
                <w:szCs w:val="20"/>
              </w:rPr>
            </w:pPr>
            <w:r w:rsidRPr="0053555E">
              <w:rPr>
                <w:rFonts w:cs="Arial"/>
                <w:sz w:val="20"/>
                <w:szCs w:val="20"/>
              </w:rPr>
              <w:t>3 058</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475D33C2" w14:textId="7DF29175" w:rsidR="000754FE" w:rsidRPr="0053555E" w:rsidRDefault="000754FE" w:rsidP="000754FE">
            <w:pPr>
              <w:jc w:val="center"/>
              <w:rPr>
                <w:rFonts w:asciiTheme="majorHAnsi" w:hAnsiTheme="majorHAnsi" w:cstheme="majorHAnsi"/>
                <w:b/>
                <w:sz w:val="20"/>
                <w:szCs w:val="20"/>
              </w:rPr>
            </w:pPr>
            <w:r w:rsidRPr="0053555E">
              <w:rPr>
                <w:rFonts w:cs="Arial"/>
                <w:sz w:val="20"/>
                <w:szCs w:val="20"/>
              </w:rPr>
              <w:t>6,0</w:t>
            </w:r>
            <w:r w:rsidR="008877A2"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5D976288" w14:textId="30348FB3" w:rsidR="000754FE" w:rsidRPr="0053555E" w:rsidRDefault="000754FE" w:rsidP="000754FE">
            <w:pPr>
              <w:jc w:val="center"/>
              <w:rPr>
                <w:rFonts w:asciiTheme="majorHAnsi" w:hAnsiTheme="majorHAnsi" w:cstheme="majorHAnsi"/>
                <w:sz w:val="20"/>
                <w:szCs w:val="20"/>
              </w:rPr>
            </w:pPr>
            <w:r w:rsidRPr="0053555E">
              <w:rPr>
                <w:rFonts w:cs="Arial"/>
                <w:sz w:val="20"/>
                <w:szCs w:val="20"/>
              </w:rPr>
              <w:t>230 127</w:t>
            </w:r>
          </w:p>
        </w:tc>
        <w:tc>
          <w:tcPr>
            <w:tcW w:w="1247" w:type="dxa"/>
            <w:tcBorders>
              <w:top w:val="nil"/>
              <w:left w:val="nil"/>
              <w:bottom w:val="single" w:sz="4" w:space="0" w:color="auto"/>
              <w:right w:val="single" w:sz="4" w:space="0" w:color="auto"/>
            </w:tcBorders>
            <w:shd w:val="clear" w:color="auto" w:fill="auto"/>
            <w:noWrap/>
            <w:vAlign w:val="bottom"/>
            <w:hideMark/>
          </w:tcPr>
          <w:p w14:paraId="13ABD912" w14:textId="33B79C2B" w:rsidR="000754FE" w:rsidRPr="0053555E" w:rsidRDefault="000754FE" w:rsidP="000754FE">
            <w:pPr>
              <w:jc w:val="center"/>
              <w:rPr>
                <w:rFonts w:asciiTheme="majorHAnsi" w:hAnsiTheme="majorHAnsi" w:cstheme="majorHAnsi"/>
                <w:sz w:val="20"/>
                <w:szCs w:val="20"/>
              </w:rPr>
            </w:pPr>
            <w:r w:rsidRPr="0053555E">
              <w:rPr>
                <w:rFonts w:cs="Arial"/>
                <w:sz w:val="20"/>
                <w:szCs w:val="20"/>
              </w:rPr>
              <w:t>18 253</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42B33CF7" w14:textId="7F89CE68"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7,9</w:t>
            </w:r>
            <w:r w:rsidR="007C20BB" w:rsidRPr="0053555E">
              <w:rPr>
                <w:rFonts w:cs="Arial"/>
                <w:b/>
                <w:bCs/>
                <w:sz w:val="20"/>
                <w:szCs w:val="20"/>
              </w:rPr>
              <w:t xml:space="preserve"> </w:t>
            </w:r>
            <w:r w:rsidRPr="0053555E">
              <w:rPr>
                <w:rFonts w:cs="Arial"/>
                <w:b/>
                <w:bCs/>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713696C3" w14:textId="7C763D95" w:rsidR="000754FE" w:rsidRPr="0053555E" w:rsidRDefault="000754FE" w:rsidP="000754FE">
            <w:pPr>
              <w:jc w:val="center"/>
              <w:rPr>
                <w:rFonts w:asciiTheme="majorHAnsi" w:hAnsiTheme="majorHAnsi" w:cstheme="majorHAnsi"/>
                <w:sz w:val="20"/>
                <w:szCs w:val="20"/>
              </w:rPr>
            </w:pPr>
            <w:r w:rsidRPr="0053555E">
              <w:rPr>
                <w:rFonts w:cs="Arial"/>
                <w:sz w:val="20"/>
                <w:szCs w:val="20"/>
              </w:rPr>
              <w:t>388 992</w:t>
            </w:r>
          </w:p>
        </w:tc>
        <w:tc>
          <w:tcPr>
            <w:tcW w:w="1247" w:type="dxa"/>
            <w:tcBorders>
              <w:top w:val="nil"/>
              <w:left w:val="nil"/>
              <w:bottom w:val="single" w:sz="4" w:space="0" w:color="auto"/>
              <w:right w:val="single" w:sz="4" w:space="0" w:color="auto"/>
            </w:tcBorders>
            <w:shd w:val="clear" w:color="auto" w:fill="auto"/>
            <w:noWrap/>
            <w:vAlign w:val="bottom"/>
            <w:hideMark/>
          </w:tcPr>
          <w:p w14:paraId="5642982C" w14:textId="3CE6F062" w:rsidR="000754FE" w:rsidRPr="0053555E" w:rsidRDefault="000754FE" w:rsidP="000754FE">
            <w:pPr>
              <w:jc w:val="center"/>
              <w:rPr>
                <w:rFonts w:asciiTheme="majorHAnsi" w:hAnsiTheme="majorHAnsi" w:cstheme="majorHAnsi"/>
                <w:sz w:val="20"/>
                <w:szCs w:val="20"/>
              </w:rPr>
            </w:pPr>
            <w:r w:rsidRPr="0053555E">
              <w:rPr>
                <w:rFonts w:cs="Arial"/>
                <w:sz w:val="20"/>
                <w:szCs w:val="20"/>
              </w:rPr>
              <w:t>22 223</w:t>
            </w:r>
          </w:p>
        </w:tc>
        <w:tc>
          <w:tcPr>
            <w:tcW w:w="1247" w:type="dxa"/>
            <w:tcBorders>
              <w:top w:val="nil"/>
              <w:left w:val="nil"/>
              <w:bottom w:val="single" w:sz="4" w:space="0" w:color="auto"/>
              <w:right w:val="single" w:sz="4" w:space="0" w:color="auto"/>
            </w:tcBorders>
            <w:shd w:val="clear" w:color="auto" w:fill="auto"/>
            <w:noWrap/>
            <w:vAlign w:val="bottom"/>
            <w:hideMark/>
          </w:tcPr>
          <w:p w14:paraId="53D4A806" w14:textId="5957073D" w:rsidR="000754FE" w:rsidRPr="0053555E" w:rsidRDefault="000754FE" w:rsidP="000754FE">
            <w:pPr>
              <w:jc w:val="center"/>
              <w:rPr>
                <w:rFonts w:asciiTheme="majorHAnsi" w:hAnsiTheme="majorHAnsi" w:cstheme="majorHAnsi"/>
                <w:sz w:val="20"/>
                <w:szCs w:val="20"/>
              </w:rPr>
            </w:pPr>
            <w:r w:rsidRPr="0053555E">
              <w:rPr>
                <w:rFonts w:cs="Arial"/>
                <w:sz w:val="20"/>
                <w:szCs w:val="20"/>
              </w:rPr>
              <w:t>5,7</w:t>
            </w:r>
            <w:r w:rsidR="007C20BB" w:rsidRPr="0053555E">
              <w:rPr>
                <w:rFonts w:cs="Arial"/>
                <w:sz w:val="20"/>
                <w:szCs w:val="20"/>
              </w:rPr>
              <w:t xml:space="preserve"> </w:t>
            </w:r>
            <w:r w:rsidRPr="0053555E">
              <w:rPr>
                <w:rFonts w:cs="Arial"/>
                <w:sz w:val="20"/>
                <w:szCs w:val="20"/>
              </w:rPr>
              <w:t>%</w:t>
            </w:r>
          </w:p>
        </w:tc>
      </w:tr>
      <w:tr w:rsidR="000754FE" w:rsidRPr="0053555E" w14:paraId="7E71BC35" w14:textId="77777777" w:rsidTr="00D4713E">
        <w:trPr>
          <w:trHeight w:val="227"/>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2601BD2B" w14:textId="3B7FC613" w:rsidR="000754FE" w:rsidRPr="0053555E" w:rsidRDefault="000754FE" w:rsidP="000754FE">
            <w:pPr>
              <w:tabs>
                <w:tab w:val="left" w:pos="9356"/>
              </w:tabs>
              <w:jc w:val="center"/>
              <w:rPr>
                <w:rFonts w:asciiTheme="majorHAnsi" w:eastAsia="Times New Roman" w:hAnsiTheme="majorHAnsi" w:cstheme="majorHAnsi"/>
                <w:sz w:val="20"/>
                <w:szCs w:val="20"/>
                <w:lang w:eastAsia="sk-SK"/>
              </w:rPr>
            </w:pPr>
            <w:r w:rsidRPr="0053555E">
              <w:rPr>
                <w:rFonts w:cs="Arial"/>
                <w:sz w:val="20"/>
                <w:szCs w:val="20"/>
              </w:rPr>
              <w:t>2010/2011</w:t>
            </w:r>
          </w:p>
        </w:tc>
        <w:tc>
          <w:tcPr>
            <w:tcW w:w="1247" w:type="dxa"/>
            <w:tcBorders>
              <w:top w:val="nil"/>
              <w:left w:val="nil"/>
              <w:bottom w:val="single" w:sz="4" w:space="0" w:color="auto"/>
              <w:right w:val="single" w:sz="4" w:space="0" w:color="auto"/>
            </w:tcBorders>
            <w:shd w:val="clear" w:color="auto" w:fill="auto"/>
            <w:noWrap/>
            <w:vAlign w:val="bottom"/>
            <w:hideMark/>
          </w:tcPr>
          <w:p w14:paraId="2BC2DFDB" w14:textId="0784F055" w:rsidR="000754FE" w:rsidRPr="0053555E" w:rsidRDefault="000754FE" w:rsidP="000754FE">
            <w:pPr>
              <w:jc w:val="center"/>
              <w:rPr>
                <w:rFonts w:asciiTheme="majorHAnsi" w:hAnsiTheme="majorHAnsi" w:cstheme="majorHAnsi"/>
                <w:sz w:val="20"/>
                <w:szCs w:val="20"/>
              </w:rPr>
            </w:pPr>
            <w:r w:rsidRPr="0053555E">
              <w:rPr>
                <w:rFonts w:cs="Arial"/>
                <w:sz w:val="20"/>
                <w:szCs w:val="20"/>
              </w:rPr>
              <w:t>78 128</w:t>
            </w:r>
          </w:p>
        </w:tc>
        <w:tc>
          <w:tcPr>
            <w:tcW w:w="1247" w:type="dxa"/>
            <w:tcBorders>
              <w:top w:val="nil"/>
              <w:left w:val="nil"/>
              <w:bottom w:val="single" w:sz="4" w:space="0" w:color="auto"/>
              <w:right w:val="single" w:sz="4" w:space="0" w:color="auto"/>
            </w:tcBorders>
            <w:shd w:val="clear" w:color="auto" w:fill="auto"/>
            <w:noWrap/>
            <w:vAlign w:val="bottom"/>
            <w:hideMark/>
          </w:tcPr>
          <w:p w14:paraId="6E12A81A" w14:textId="57F5A44E" w:rsidR="000754FE" w:rsidRPr="0053555E" w:rsidRDefault="000754FE" w:rsidP="000754FE">
            <w:pPr>
              <w:jc w:val="center"/>
              <w:rPr>
                <w:rFonts w:asciiTheme="majorHAnsi" w:hAnsiTheme="majorHAnsi" w:cstheme="majorHAnsi"/>
                <w:b/>
                <w:bCs/>
                <w:sz w:val="20"/>
                <w:szCs w:val="20"/>
              </w:rPr>
            </w:pPr>
            <w:r w:rsidRPr="0053555E">
              <w:rPr>
                <w:rFonts w:cs="Arial"/>
                <w:sz w:val="20"/>
                <w:szCs w:val="20"/>
              </w:rPr>
              <w:t>52 728</w:t>
            </w:r>
          </w:p>
        </w:tc>
        <w:tc>
          <w:tcPr>
            <w:tcW w:w="1247" w:type="dxa"/>
            <w:tcBorders>
              <w:top w:val="nil"/>
              <w:left w:val="nil"/>
              <w:bottom w:val="single" w:sz="4" w:space="0" w:color="auto"/>
              <w:right w:val="single" w:sz="4" w:space="0" w:color="auto"/>
            </w:tcBorders>
            <w:shd w:val="clear" w:color="auto" w:fill="auto"/>
            <w:noWrap/>
            <w:vAlign w:val="bottom"/>
            <w:hideMark/>
          </w:tcPr>
          <w:p w14:paraId="5CC7DB97" w14:textId="125B09FE" w:rsidR="000754FE" w:rsidRPr="0053555E" w:rsidRDefault="000754FE" w:rsidP="000754FE">
            <w:pPr>
              <w:jc w:val="center"/>
              <w:rPr>
                <w:rFonts w:asciiTheme="majorHAnsi" w:hAnsiTheme="majorHAnsi" w:cstheme="majorHAnsi"/>
                <w:sz w:val="20"/>
                <w:szCs w:val="20"/>
              </w:rPr>
            </w:pPr>
            <w:r w:rsidRPr="0053555E">
              <w:rPr>
                <w:rFonts w:cs="Arial"/>
                <w:sz w:val="20"/>
                <w:szCs w:val="20"/>
              </w:rPr>
              <w:t>67</w:t>
            </w:r>
            <w:r w:rsidR="003836EE"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7A400A4A" w14:textId="146AAA8E" w:rsidR="000754FE" w:rsidRPr="0053555E" w:rsidRDefault="000754FE" w:rsidP="000754FE">
            <w:pPr>
              <w:jc w:val="center"/>
              <w:rPr>
                <w:rFonts w:asciiTheme="majorHAnsi" w:hAnsiTheme="majorHAnsi" w:cstheme="majorHAnsi"/>
                <w:sz w:val="20"/>
                <w:szCs w:val="20"/>
              </w:rPr>
            </w:pPr>
            <w:r w:rsidRPr="0053555E">
              <w:rPr>
                <w:rFonts w:cs="Arial"/>
                <w:sz w:val="20"/>
                <w:szCs w:val="20"/>
              </w:rPr>
              <w:t>3 305</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05D7C24E" w14:textId="5DC32D2A" w:rsidR="000754FE" w:rsidRPr="0053555E" w:rsidRDefault="000754FE" w:rsidP="000754FE">
            <w:pPr>
              <w:jc w:val="center"/>
              <w:rPr>
                <w:rFonts w:asciiTheme="majorHAnsi" w:hAnsiTheme="majorHAnsi" w:cstheme="majorHAnsi"/>
                <w:b/>
                <w:sz w:val="20"/>
                <w:szCs w:val="20"/>
              </w:rPr>
            </w:pPr>
            <w:r w:rsidRPr="0053555E">
              <w:rPr>
                <w:rFonts w:cs="Arial"/>
                <w:sz w:val="20"/>
                <w:szCs w:val="20"/>
              </w:rPr>
              <w:t>6,3</w:t>
            </w:r>
            <w:r w:rsidR="008877A2"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4145E2E8" w14:textId="4366922F" w:rsidR="000754FE" w:rsidRPr="0053555E" w:rsidRDefault="000754FE" w:rsidP="000754FE">
            <w:pPr>
              <w:jc w:val="center"/>
              <w:rPr>
                <w:rFonts w:asciiTheme="majorHAnsi" w:hAnsiTheme="majorHAnsi" w:cstheme="majorHAnsi"/>
                <w:sz w:val="20"/>
                <w:szCs w:val="20"/>
              </w:rPr>
            </w:pPr>
            <w:r w:rsidRPr="0053555E">
              <w:rPr>
                <w:rFonts w:cs="Arial"/>
                <w:sz w:val="20"/>
                <w:szCs w:val="20"/>
              </w:rPr>
              <w:t>221 669</w:t>
            </w:r>
          </w:p>
        </w:tc>
        <w:tc>
          <w:tcPr>
            <w:tcW w:w="1247" w:type="dxa"/>
            <w:tcBorders>
              <w:top w:val="nil"/>
              <w:left w:val="nil"/>
              <w:bottom w:val="single" w:sz="4" w:space="0" w:color="auto"/>
              <w:right w:val="single" w:sz="4" w:space="0" w:color="auto"/>
            </w:tcBorders>
            <w:shd w:val="clear" w:color="auto" w:fill="auto"/>
            <w:noWrap/>
            <w:vAlign w:val="bottom"/>
            <w:hideMark/>
          </w:tcPr>
          <w:p w14:paraId="311EBD71" w14:textId="79FE8862" w:rsidR="000754FE" w:rsidRPr="0053555E" w:rsidRDefault="000754FE" w:rsidP="000754FE">
            <w:pPr>
              <w:jc w:val="center"/>
              <w:rPr>
                <w:rFonts w:asciiTheme="majorHAnsi" w:hAnsiTheme="majorHAnsi" w:cstheme="majorHAnsi"/>
                <w:sz w:val="20"/>
                <w:szCs w:val="20"/>
              </w:rPr>
            </w:pPr>
            <w:r w:rsidRPr="0053555E">
              <w:rPr>
                <w:rFonts w:cs="Arial"/>
                <w:sz w:val="20"/>
                <w:szCs w:val="20"/>
              </w:rPr>
              <w:t>18 142</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035665C1" w14:textId="64C05E7F"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8,2</w:t>
            </w:r>
            <w:r w:rsidR="007C20BB" w:rsidRPr="0053555E">
              <w:rPr>
                <w:rFonts w:cs="Arial"/>
                <w:b/>
                <w:bCs/>
                <w:sz w:val="20"/>
                <w:szCs w:val="20"/>
              </w:rPr>
              <w:t xml:space="preserve"> </w:t>
            </w:r>
            <w:r w:rsidRPr="0053555E">
              <w:rPr>
                <w:rFonts w:cs="Arial"/>
                <w:b/>
                <w:bCs/>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248A5E74" w14:textId="622E53BD" w:rsidR="000754FE" w:rsidRPr="0053555E" w:rsidRDefault="000754FE" w:rsidP="000754FE">
            <w:pPr>
              <w:jc w:val="center"/>
              <w:rPr>
                <w:rFonts w:asciiTheme="majorHAnsi" w:hAnsiTheme="majorHAnsi" w:cstheme="majorHAnsi"/>
                <w:sz w:val="20"/>
                <w:szCs w:val="20"/>
              </w:rPr>
            </w:pPr>
            <w:r w:rsidRPr="0053555E">
              <w:rPr>
                <w:rFonts w:cs="Arial"/>
                <w:sz w:val="20"/>
                <w:szCs w:val="20"/>
              </w:rPr>
              <w:t>395 984</w:t>
            </w:r>
          </w:p>
        </w:tc>
        <w:tc>
          <w:tcPr>
            <w:tcW w:w="1247" w:type="dxa"/>
            <w:tcBorders>
              <w:top w:val="nil"/>
              <w:left w:val="nil"/>
              <w:bottom w:val="single" w:sz="4" w:space="0" w:color="auto"/>
              <w:right w:val="single" w:sz="4" w:space="0" w:color="auto"/>
            </w:tcBorders>
            <w:shd w:val="clear" w:color="auto" w:fill="auto"/>
            <w:noWrap/>
            <w:vAlign w:val="bottom"/>
            <w:hideMark/>
          </w:tcPr>
          <w:p w14:paraId="6B564A9A" w14:textId="4E42D027" w:rsidR="000754FE" w:rsidRPr="0053555E" w:rsidRDefault="000754FE" w:rsidP="000754FE">
            <w:pPr>
              <w:jc w:val="center"/>
              <w:rPr>
                <w:rFonts w:asciiTheme="majorHAnsi" w:hAnsiTheme="majorHAnsi" w:cstheme="majorHAnsi"/>
                <w:sz w:val="20"/>
                <w:szCs w:val="20"/>
              </w:rPr>
            </w:pPr>
            <w:r w:rsidRPr="0053555E">
              <w:rPr>
                <w:rFonts w:cs="Arial"/>
                <w:sz w:val="20"/>
                <w:szCs w:val="20"/>
              </w:rPr>
              <w:t>24 330</w:t>
            </w:r>
          </w:p>
        </w:tc>
        <w:tc>
          <w:tcPr>
            <w:tcW w:w="1247" w:type="dxa"/>
            <w:tcBorders>
              <w:top w:val="nil"/>
              <w:left w:val="nil"/>
              <w:bottom w:val="single" w:sz="4" w:space="0" w:color="auto"/>
              <w:right w:val="single" w:sz="4" w:space="0" w:color="auto"/>
            </w:tcBorders>
            <w:shd w:val="clear" w:color="auto" w:fill="auto"/>
            <w:noWrap/>
            <w:vAlign w:val="bottom"/>
            <w:hideMark/>
          </w:tcPr>
          <w:p w14:paraId="6878D434" w14:textId="7ABD8E51" w:rsidR="000754FE" w:rsidRPr="0053555E" w:rsidRDefault="000754FE" w:rsidP="000754FE">
            <w:pPr>
              <w:jc w:val="center"/>
              <w:rPr>
                <w:rFonts w:asciiTheme="majorHAnsi" w:hAnsiTheme="majorHAnsi" w:cstheme="majorHAnsi"/>
                <w:sz w:val="20"/>
                <w:szCs w:val="20"/>
              </w:rPr>
            </w:pPr>
            <w:r w:rsidRPr="0053555E">
              <w:rPr>
                <w:rFonts w:cs="Arial"/>
                <w:sz w:val="20"/>
                <w:szCs w:val="20"/>
              </w:rPr>
              <w:t>6,1</w:t>
            </w:r>
            <w:r w:rsidR="007C20BB" w:rsidRPr="0053555E">
              <w:rPr>
                <w:rFonts w:cs="Arial"/>
                <w:sz w:val="20"/>
                <w:szCs w:val="20"/>
              </w:rPr>
              <w:t xml:space="preserve"> </w:t>
            </w:r>
            <w:r w:rsidRPr="0053555E">
              <w:rPr>
                <w:rFonts w:cs="Arial"/>
                <w:sz w:val="20"/>
                <w:szCs w:val="20"/>
              </w:rPr>
              <w:t>%</w:t>
            </w:r>
          </w:p>
        </w:tc>
      </w:tr>
      <w:tr w:rsidR="000754FE" w:rsidRPr="0053555E" w14:paraId="66A1381D" w14:textId="77777777" w:rsidTr="00D4713E">
        <w:trPr>
          <w:trHeight w:val="227"/>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C4E3DFA" w14:textId="5F683F21" w:rsidR="000754FE" w:rsidRPr="0053555E" w:rsidRDefault="000754FE" w:rsidP="000754FE">
            <w:pPr>
              <w:tabs>
                <w:tab w:val="left" w:pos="9356"/>
              </w:tabs>
              <w:jc w:val="center"/>
              <w:rPr>
                <w:rFonts w:asciiTheme="majorHAnsi" w:eastAsia="Times New Roman" w:hAnsiTheme="majorHAnsi" w:cstheme="majorHAnsi"/>
                <w:sz w:val="20"/>
                <w:szCs w:val="20"/>
                <w:lang w:eastAsia="sk-SK"/>
              </w:rPr>
            </w:pPr>
            <w:r w:rsidRPr="0053555E">
              <w:rPr>
                <w:rFonts w:cs="Arial"/>
                <w:sz w:val="20"/>
                <w:szCs w:val="20"/>
              </w:rPr>
              <w:t>2011/2012</w:t>
            </w:r>
          </w:p>
        </w:tc>
        <w:tc>
          <w:tcPr>
            <w:tcW w:w="1247" w:type="dxa"/>
            <w:tcBorders>
              <w:top w:val="nil"/>
              <w:left w:val="nil"/>
              <w:bottom w:val="single" w:sz="4" w:space="0" w:color="auto"/>
              <w:right w:val="single" w:sz="4" w:space="0" w:color="auto"/>
            </w:tcBorders>
            <w:shd w:val="clear" w:color="auto" w:fill="auto"/>
            <w:noWrap/>
            <w:vAlign w:val="bottom"/>
            <w:hideMark/>
          </w:tcPr>
          <w:p w14:paraId="10ACA26C" w14:textId="74FC6E5E" w:rsidR="000754FE" w:rsidRPr="0053555E" w:rsidRDefault="000754FE" w:rsidP="000754FE">
            <w:pPr>
              <w:jc w:val="center"/>
              <w:rPr>
                <w:rFonts w:asciiTheme="majorHAnsi" w:hAnsiTheme="majorHAnsi" w:cstheme="majorHAnsi"/>
                <w:sz w:val="20"/>
                <w:szCs w:val="20"/>
              </w:rPr>
            </w:pPr>
            <w:r w:rsidRPr="0053555E">
              <w:rPr>
                <w:rFonts w:cs="Arial"/>
                <w:sz w:val="20"/>
                <w:szCs w:val="20"/>
              </w:rPr>
              <w:t>75 124</w:t>
            </w:r>
          </w:p>
        </w:tc>
        <w:tc>
          <w:tcPr>
            <w:tcW w:w="1247" w:type="dxa"/>
            <w:tcBorders>
              <w:top w:val="nil"/>
              <w:left w:val="nil"/>
              <w:bottom w:val="single" w:sz="4" w:space="0" w:color="auto"/>
              <w:right w:val="single" w:sz="4" w:space="0" w:color="auto"/>
            </w:tcBorders>
            <w:shd w:val="clear" w:color="auto" w:fill="auto"/>
            <w:noWrap/>
            <w:vAlign w:val="bottom"/>
            <w:hideMark/>
          </w:tcPr>
          <w:p w14:paraId="49DFD3CA" w14:textId="3F14331B" w:rsidR="000754FE" w:rsidRPr="0053555E" w:rsidRDefault="000754FE" w:rsidP="000754FE">
            <w:pPr>
              <w:jc w:val="center"/>
              <w:rPr>
                <w:rFonts w:asciiTheme="majorHAnsi" w:hAnsiTheme="majorHAnsi" w:cstheme="majorHAnsi"/>
                <w:b/>
                <w:bCs/>
                <w:sz w:val="20"/>
                <w:szCs w:val="20"/>
              </w:rPr>
            </w:pPr>
            <w:r w:rsidRPr="0053555E">
              <w:rPr>
                <w:rFonts w:cs="Arial"/>
                <w:sz w:val="20"/>
                <w:szCs w:val="20"/>
              </w:rPr>
              <w:t>50 872</w:t>
            </w:r>
          </w:p>
        </w:tc>
        <w:tc>
          <w:tcPr>
            <w:tcW w:w="1247" w:type="dxa"/>
            <w:tcBorders>
              <w:top w:val="nil"/>
              <w:left w:val="nil"/>
              <w:bottom w:val="single" w:sz="4" w:space="0" w:color="auto"/>
              <w:right w:val="single" w:sz="4" w:space="0" w:color="auto"/>
            </w:tcBorders>
            <w:shd w:val="clear" w:color="auto" w:fill="auto"/>
            <w:noWrap/>
            <w:vAlign w:val="bottom"/>
            <w:hideMark/>
          </w:tcPr>
          <w:p w14:paraId="2ACCBBF5" w14:textId="499B217A" w:rsidR="000754FE" w:rsidRPr="0053555E" w:rsidRDefault="000754FE" w:rsidP="000754FE">
            <w:pPr>
              <w:jc w:val="center"/>
              <w:rPr>
                <w:rFonts w:asciiTheme="majorHAnsi" w:hAnsiTheme="majorHAnsi" w:cstheme="majorHAnsi"/>
                <w:sz w:val="20"/>
                <w:szCs w:val="20"/>
              </w:rPr>
            </w:pPr>
            <w:r w:rsidRPr="0053555E">
              <w:rPr>
                <w:rFonts w:cs="Arial"/>
                <w:sz w:val="20"/>
                <w:szCs w:val="20"/>
              </w:rPr>
              <w:t>68</w:t>
            </w:r>
            <w:r w:rsidR="003836EE"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0B537C1A" w14:textId="70B5639F" w:rsidR="000754FE" w:rsidRPr="0053555E" w:rsidRDefault="000754FE" w:rsidP="000754FE">
            <w:pPr>
              <w:jc w:val="center"/>
              <w:rPr>
                <w:rFonts w:asciiTheme="majorHAnsi" w:hAnsiTheme="majorHAnsi" w:cstheme="majorHAnsi"/>
                <w:sz w:val="20"/>
                <w:szCs w:val="20"/>
              </w:rPr>
            </w:pPr>
            <w:r w:rsidRPr="0053555E">
              <w:rPr>
                <w:rFonts w:cs="Arial"/>
                <w:sz w:val="20"/>
                <w:szCs w:val="20"/>
              </w:rPr>
              <w:t>3 181</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1CCC999C" w14:textId="23A8813F" w:rsidR="000754FE" w:rsidRPr="0053555E" w:rsidRDefault="000754FE" w:rsidP="000754FE">
            <w:pPr>
              <w:jc w:val="center"/>
              <w:rPr>
                <w:rFonts w:asciiTheme="majorHAnsi" w:hAnsiTheme="majorHAnsi" w:cstheme="majorHAnsi"/>
                <w:b/>
                <w:sz w:val="20"/>
                <w:szCs w:val="20"/>
              </w:rPr>
            </w:pPr>
            <w:r w:rsidRPr="0053555E">
              <w:rPr>
                <w:rFonts w:cs="Arial"/>
                <w:sz w:val="20"/>
                <w:szCs w:val="20"/>
              </w:rPr>
              <w:t>6,3</w:t>
            </w:r>
            <w:r w:rsidR="008877A2"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702DB6EF" w14:textId="1C6412EF" w:rsidR="000754FE" w:rsidRPr="0053555E" w:rsidRDefault="000754FE" w:rsidP="000754FE">
            <w:pPr>
              <w:jc w:val="center"/>
              <w:rPr>
                <w:rFonts w:asciiTheme="majorHAnsi" w:hAnsiTheme="majorHAnsi" w:cstheme="majorHAnsi"/>
                <w:sz w:val="20"/>
                <w:szCs w:val="20"/>
              </w:rPr>
            </w:pPr>
            <w:r w:rsidRPr="0053555E">
              <w:rPr>
                <w:rFonts w:cs="Arial"/>
                <w:sz w:val="20"/>
                <w:szCs w:val="20"/>
              </w:rPr>
              <w:t>216 303</w:t>
            </w:r>
          </w:p>
        </w:tc>
        <w:tc>
          <w:tcPr>
            <w:tcW w:w="1247" w:type="dxa"/>
            <w:tcBorders>
              <w:top w:val="nil"/>
              <w:left w:val="nil"/>
              <w:bottom w:val="single" w:sz="4" w:space="0" w:color="auto"/>
              <w:right w:val="single" w:sz="4" w:space="0" w:color="auto"/>
            </w:tcBorders>
            <w:shd w:val="clear" w:color="auto" w:fill="auto"/>
            <w:noWrap/>
            <w:vAlign w:val="bottom"/>
            <w:hideMark/>
          </w:tcPr>
          <w:p w14:paraId="24CFD0AF" w14:textId="4C908A96" w:rsidR="000754FE" w:rsidRPr="0053555E" w:rsidRDefault="000754FE" w:rsidP="000754FE">
            <w:pPr>
              <w:jc w:val="center"/>
              <w:rPr>
                <w:rFonts w:asciiTheme="majorHAnsi" w:hAnsiTheme="majorHAnsi" w:cstheme="majorHAnsi"/>
                <w:sz w:val="20"/>
                <w:szCs w:val="20"/>
              </w:rPr>
            </w:pPr>
            <w:r w:rsidRPr="0053555E">
              <w:rPr>
                <w:rFonts w:cs="Arial"/>
                <w:sz w:val="20"/>
                <w:szCs w:val="20"/>
              </w:rPr>
              <w:t>17 736</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538585BE" w14:textId="42F60B93"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8,2</w:t>
            </w:r>
            <w:r w:rsidR="007C20BB" w:rsidRPr="0053555E">
              <w:rPr>
                <w:rFonts w:cs="Arial"/>
                <w:b/>
                <w:bCs/>
                <w:sz w:val="20"/>
                <w:szCs w:val="20"/>
              </w:rPr>
              <w:t xml:space="preserve"> </w:t>
            </w:r>
            <w:r w:rsidRPr="0053555E">
              <w:rPr>
                <w:rFonts w:cs="Arial"/>
                <w:b/>
                <w:bCs/>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44689E65" w14:textId="7ACDAC09" w:rsidR="000754FE" w:rsidRPr="0053555E" w:rsidRDefault="000754FE" w:rsidP="000754FE">
            <w:pPr>
              <w:jc w:val="center"/>
              <w:rPr>
                <w:rFonts w:asciiTheme="majorHAnsi" w:hAnsiTheme="majorHAnsi" w:cstheme="majorHAnsi"/>
                <w:sz w:val="20"/>
                <w:szCs w:val="20"/>
              </w:rPr>
            </w:pPr>
            <w:r w:rsidRPr="0053555E">
              <w:rPr>
                <w:rFonts w:cs="Arial"/>
                <w:sz w:val="20"/>
                <w:szCs w:val="20"/>
              </w:rPr>
              <w:t>392 039</w:t>
            </w:r>
          </w:p>
        </w:tc>
        <w:tc>
          <w:tcPr>
            <w:tcW w:w="1247" w:type="dxa"/>
            <w:tcBorders>
              <w:top w:val="nil"/>
              <w:left w:val="nil"/>
              <w:bottom w:val="single" w:sz="4" w:space="0" w:color="auto"/>
              <w:right w:val="single" w:sz="4" w:space="0" w:color="auto"/>
            </w:tcBorders>
            <w:shd w:val="clear" w:color="auto" w:fill="auto"/>
            <w:noWrap/>
            <w:vAlign w:val="bottom"/>
            <w:hideMark/>
          </w:tcPr>
          <w:p w14:paraId="7C915065" w14:textId="254E93F3" w:rsidR="000754FE" w:rsidRPr="0053555E" w:rsidRDefault="000754FE" w:rsidP="000754FE">
            <w:pPr>
              <w:jc w:val="center"/>
              <w:rPr>
                <w:rFonts w:asciiTheme="majorHAnsi" w:hAnsiTheme="majorHAnsi" w:cstheme="majorHAnsi"/>
                <w:sz w:val="20"/>
                <w:szCs w:val="20"/>
              </w:rPr>
            </w:pPr>
            <w:r w:rsidRPr="0053555E">
              <w:rPr>
                <w:rFonts w:cs="Arial"/>
                <w:sz w:val="20"/>
                <w:szCs w:val="20"/>
              </w:rPr>
              <w:t>24 553</w:t>
            </w:r>
          </w:p>
        </w:tc>
        <w:tc>
          <w:tcPr>
            <w:tcW w:w="1247" w:type="dxa"/>
            <w:tcBorders>
              <w:top w:val="nil"/>
              <w:left w:val="nil"/>
              <w:bottom w:val="single" w:sz="4" w:space="0" w:color="auto"/>
              <w:right w:val="single" w:sz="4" w:space="0" w:color="auto"/>
            </w:tcBorders>
            <w:shd w:val="clear" w:color="auto" w:fill="auto"/>
            <w:noWrap/>
            <w:vAlign w:val="bottom"/>
            <w:hideMark/>
          </w:tcPr>
          <w:p w14:paraId="6DC62C5F" w14:textId="5509AD7D" w:rsidR="000754FE" w:rsidRPr="0053555E" w:rsidRDefault="000754FE" w:rsidP="000754FE">
            <w:pPr>
              <w:jc w:val="center"/>
              <w:rPr>
                <w:rFonts w:asciiTheme="majorHAnsi" w:hAnsiTheme="majorHAnsi" w:cstheme="majorHAnsi"/>
                <w:sz w:val="20"/>
                <w:szCs w:val="20"/>
              </w:rPr>
            </w:pPr>
            <w:r w:rsidRPr="0053555E">
              <w:rPr>
                <w:rFonts w:cs="Arial"/>
                <w:sz w:val="20"/>
                <w:szCs w:val="20"/>
              </w:rPr>
              <w:t>6,3</w:t>
            </w:r>
            <w:r w:rsidR="007C20BB" w:rsidRPr="0053555E">
              <w:rPr>
                <w:rFonts w:cs="Arial"/>
                <w:sz w:val="20"/>
                <w:szCs w:val="20"/>
              </w:rPr>
              <w:t xml:space="preserve"> </w:t>
            </w:r>
            <w:r w:rsidRPr="0053555E">
              <w:rPr>
                <w:rFonts w:cs="Arial"/>
                <w:sz w:val="20"/>
                <w:szCs w:val="20"/>
              </w:rPr>
              <w:t>%</w:t>
            </w:r>
          </w:p>
        </w:tc>
      </w:tr>
      <w:tr w:rsidR="000754FE" w:rsidRPr="0053555E" w14:paraId="591082C2" w14:textId="77777777" w:rsidTr="00D4713E">
        <w:trPr>
          <w:trHeight w:val="227"/>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51F29743" w14:textId="6ECA197C" w:rsidR="000754FE" w:rsidRPr="0053555E" w:rsidRDefault="000754FE" w:rsidP="000754FE">
            <w:pPr>
              <w:tabs>
                <w:tab w:val="left" w:pos="9356"/>
              </w:tabs>
              <w:jc w:val="center"/>
              <w:rPr>
                <w:rFonts w:asciiTheme="majorHAnsi" w:eastAsia="Times New Roman" w:hAnsiTheme="majorHAnsi" w:cstheme="majorHAnsi"/>
                <w:sz w:val="20"/>
                <w:szCs w:val="20"/>
                <w:lang w:eastAsia="sk-SK"/>
              </w:rPr>
            </w:pPr>
            <w:r w:rsidRPr="0053555E">
              <w:rPr>
                <w:rFonts w:cs="Arial"/>
                <w:sz w:val="20"/>
                <w:szCs w:val="20"/>
              </w:rPr>
              <w:t>2012/2013</w:t>
            </w:r>
          </w:p>
        </w:tc>
        <w:tc>
          <w:tcPr>
            <w:tcW w:w="1247" w:type="dxa"/>
            <w:tcBorders>
              <w:top w:val="nil"/>
              <w:left w:val="nil"/>
              <w:bottom w:val="single" w:sz="4" w:space="0" w:color="auto"/>
              <w:right w:val="single" w:sz="4" w:space="0" w:color="auto"/>
            </w:tcBorders>
            <w:shd w:val="clear" w:color="auto" w:fill="auto"/>
            <w:noWrap/>
            <w:vAlign w:val="bottom"/>
            <w:hideMark/>
          </w:tcPr>
          <w:p w14:paraId="62A1C04D" w14:textId="7B3828CB" w:rsidR="000754FE" w:rsidRPr="0053555E" w:rsidRDefault="000754FE" w:rsidP="000754FE">
            <w:pPr>
              <w:jc w:val="center"/>
              <w:rPr>
                <w:rFonts w:asciiTheme="majorHAnsi" w:hAnsiTheme="majorHAnsi" w:cstheme="majorHAnsi"/>
                <w:sz w:val="20"/>
                <w:szCs w:val="20"/>
              </w:rPr>
            </w:pPr>
            <w:r w:rsidRPr="0053555E">
              <w:rPr>
                <w:rFonts w:cs="Arial"/>
                <w:sz w:val="20"/>
                <w:szCs w:val="20"/>
              </w:rPr>
              <w:t>72 826</w:t>
            </w:r>
          </w:p>
        </w:tc>
        <w:tc>
          <w:tcPr>
            <w:tcW w:w="1247" w:type="dxa"/>
            <w:tcBorders>
              <w:top w:val="nil"/>
              <w:left w:val="nil"/>
              <w:bottom w:val="single" w:sz="4" w:space="0" w:color="auto"/>
              <w:right w:val="single" w:sz="4" w:space="0" w:color="auto"/>
            </w:tcBorders>
            <w:shd w:val="clear" w:color="auto" w:fill="auto"/>
            <w:noWrap/>
            <w:vAlign w:val="bottom"/>
            <w:hideMark/>
          </w:tcPr>
          <w:p w14:paraId="725B3771" w14:textId="77563028" w:rsidR="000754FE" w:rsidRPr="0053555E" w:rsidRDefault="000754FE" w:rsidP="000754FE">
            <w:pPr>
              <w:jc w:val="center"/>
              <w:rPr>
                <w:rFonts w:asciiTheme="majorHAnsi" w:hAnsiTheme="majorHAnsi" w:cstheme="majorHAnsi"/>
                <w:b/>
                <w:bCs/>
                <w:sz w:val="20"/>
                <w:szCs w:val="20"/>
              </w:rPr>
            </w:pPr>
            <w:r w:rsidRPr="0053555E">
              <w:rPr>
                <w:rFonts w:cs="Arial"/>
                <w:sz w:val="20"/>
                <w:szCs w:val="20"/>
              </w:rPr>
              <w:t>50 891</w:t>
            </w:r>
          </w:p>
        </w:tc>
        <w:tc>
          <w:tcPr>
            <w:tcW w:w="1247" w:type="dxa"/>
            <w:tcBorders>
              <w:top w:val="nil"/>
              <w:left w:val="nil"/>
              <w:bottom w:val="single" w:sz="4" w:space="0" w:color="auto"/>
              <w:right w:val="single" w:sz="4" w:space="0" w:color="auto"/>
            </w:tcBorders>
            <w:shd w:val="clear" w:color="auto" w:fill="auto"/>
            <w:noWrap/>
            <w:vAlign w:val="bottom"/>
            <w:hideMark/>
          </w:tcPr>
          <w:p w14:paraId="306AD25A" w14:textId="5F6014BE" w:rsidR="000754FE" w:rsidRPr="0053555E" w:rsidRDefault="000754FE" w:rsidP="000754FE">
            <w:pPr>
              <w:jc w:val="center"/>
              <w:rPr>
                <w:rFonts w:asciiTheme="majorHAnsi" w:hAnsiTheme="majorHAnsi" w:cstheme="majorHAnsi"/>
                <w:sz w:val="20"/>
                <w:szCs w:val="20"/>
              </w:rPr>
            </w:pPr>
            <w:r w:rsidRPr="0053555E">
              <w:rPr>
                <w:rFonts w:cs="Arial"/>
                <w:sz w:val="20"/>
                <w:szCs w:val="20"/>
              </w:rPr>
              <w:t>70</w:t>
            </w:r>
            <w:r w:rsidR="003836EE"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0D149A8B" w14:textId="7A1ABD2B" w:rsidR="000754FE" w:rsidRPr="0053555E" w:rsidRDefault="000754FE" w:rsidP="000754FE">
            <w:pPr>
              <w:jc w:val="center"/>
              <w:rPr>
                <w:rFonts w:asciiTheme="majorHAnsi" w:hAnsiTheme="majorHAnsi" w:cstheme="majorHAnsi"/>
                <w:sz w:val="20"/>
                <w:szCs w:val="20"/>
              </w:rPr>
            </w:pPr>
            <w:r w:rsidRPr="0053555E">
              <w:rPr>
                <w:rFonts w:cs="Arial"/>
                <w:sz w:val="20"/>
                <w:szCs w:val="20"/>
              </w:rPr>
              <w:t>3 460</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6A7983C9" w14:textId="12731153" w:rsidR="000754FE" w:rsidRPr="0053555E" w:rsidRDefault="000754FE" w:rsidP="000754FE">
            <w:pPr>
              <w:jc w:val="center"/>
              <w:rPr>
                <w:rFonts w:asciiTheme="majorHAnsi" w:hAnsiTheme="majorHAnsi" w:cstheme="majorHAnsi"/>
                <w:b/>
                <w:sz w:val="20"/>
                <w:szCs w:val="20"/>
              </w:rPr>
            </w:pPr>
            <w:r w:rsidRPr="0053555E">
              <w:rPr>
                <w:rFonts w:cs="Arial"/>
                <w:sz w:val="20"/>
                <w:szCs w:val="20"/>
              </w:rPr>
              <w:t>6,8</w:t>
            </w:r>
            <w:r w:rsidR="008877A2"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52C1A630" w14:textId="1530DD57" w:rsidR="000754FE" w:rsidRPr="0053555E" w:rsidRDefault="000754FE" w:rsidP="000754FE">
            <w:pPr>
              <w:jc w:val="center"/>
              <w:rPr>
                <w:rFonts w:asciiTheme="majorHAnsi" w:hAnsiTheme="majorHAnsi" w:cstheme="majorHAnsi"/>
                <w:sz w:val="20"/>
                <w:szCs w:val="20"/>
              </w:rPr>
            </w:pPr>
            <w:r w:rsidRPr="0053555E">
              <w:rPr>
                <w:rFonts w:cs="Arial"/>
                <w:sz w:val="20"/>
                <w:szCs w:val="20"/>
              </w:rPr>
              <w:t>204 724</w:t>
            </w:r>
          </w:p>
        </w:tc>
        <w:tc>
          <w:tcPr>
            <w:tcW w:w="1247" w:type="dxa"/>
            <w:tcBorders>
              <w:top w:val="nil"/>
              <w:left w:val="nil"/>
              <w:bottom w:val="single" w:sz="4" w:space="0" w:color="auto"/>
              <w:right w:val="single" w:sz="4" w:space="0" w:color="auto"/>
            </w:tcBorders>
            <w:shd w:val="clear" w:color="auto" w:fill="auto"/>
            <w:noWrap/>
            <w:vAlign w:val="bottom"/>
            <w:hideMark/>
          </w:tcPr>
          <w:p w14:paraId="6A11560D" w14:textId="5DDBD25C" w:rsidR="000754FE" w:rsidRPr="0053555E" w:rsidRDefault="000754FE" w:rsidP="000754FE">
            <w:pPr>
              <w:jc w:val="center"/>
              <w:rPr>
                <w:rFonts w:asciiTheme="majorHAnsi" w:hAnsiTheme="majorHAnsi" w:cstheme="majorHAnsi"/>
                <w:sz w:val="20"/>
                <w:szCs w:val="20"/>
              </w:rPr>
            </w:pPr>
            <w:r w:rsidRPr="0053555E">
              <w:rPr>
                <w:rFonts w:cs="Arial"/>
                <w:sz w:val="20"/>
                <w:szCs w:val="20"/>
              </w:rPr>
              <w:t>17 059</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361F3007" w14:textId="7426CD48"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8,3</w:t>
            </w:r>
            <w:r w:rsidR="007C20BB" w:rsidRPr="0053555E">
              <w:rPr>
                <w:rFonts w:cs="Arial"/>
                <w:b/>
                <w:bCs/>
                <w:sz w:val="20"/>
                <w:szCs w:val="20"/>
              </w:rPr>
              <w:t xml:space="preserve"> </w:t>
            </w:r>
            <w:r w:rsidRPr="0053555E">
              <w:rPr>
                <w:rFonts w:cs="Arial"/>
                <w:b/>
                <w:bCs/>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65824752" w14:textId="3A4E9CE5" w:rsidR="000754FE" w:rsidRPr="0053555E" w:rsidRDefault="000754FE" w:rsidP="000754FE">
            <w:pPr>
              <w:jc w:val="center"/>
              <w:rPr>
                <w:rFonts w:asciiTheme="majorHAnsi" w:hAnsiTheme="majorHAnsi" w:cstheme="majorHAnsi"/>
                <w:sz w:val="20"/>
                <w:szCs w:val="20"/>
              </w:rPr>
            </w:pPr>
            <w:r w:rsidRPr="0053555E">
              <w:rPr>
                <w:rFonts w:cs="Arial"/>
                <w:sz w:val="20"/>
                <w:szCs w:val="20"/>
              </w:rPr>
              <w:t>380 891</w:t>
            </w:r>
          </w:p>
        </w:tc>
        <w:tc>
          <w:tcPr>
            <w:tcW w:w="1247" w:type="dxa"/>
            <w:tcBorders>
              <w:top w:val="nil"/>
              <w:left w:val="nil"/>
              <w:bottom w:val="single" w:sz="4" w:space="0" w:color="auto"/>
              <w:right w:val="single" w:sz="4" w:space="0" w:color="auto"/>
            </w:tcBorders>
            <w:shd w:val="clear" w:color="auto" w:fill="auto"/>
            <w:noWrap/>
            <w:vAlign w:val="bottom"/>
            <w:hideMark/>
          </w:tcPr>
          <w:p w14:paraId="51F6F944" w14:textId="31E9EEE5" w:rsidR="000754FE" w:rsidRPr="0053555E" w:rsidRDefault="000754FE" w:rsidP="000754FE">
            <w:pPr>
              <w:jc w:val="center"/>
              <w:rPr>
                <w:rFonts w:asciiTheme="majorHAnsi" w:hAnsiTheme="majorHAnsi" w:cstheme="majorHAnsi"/>
                <w:sz w:val="20"/>
                <w:szCs w:val="20"/>
              </w:rPr>
            </w:pPr>
            <w:r w:rsidRPr="0053555E">
              <w:rPr>
                <w:rFonts w:cs="Arial"/>
                <w:sz w:val="20"/>
                <w:szCs w:val="20"/>
              </w:rPr>
              <w:t>24 049</w:t>
            </w:r>
          </w:p>
        </w:tc>
        <w:tc>
          <w:tcPr>
            <w:tcW w:w="1247" w:type="dxa"/>
            <w:tcBorders>
              <w:top w:val="nil"/>
              <w:left w:val="nil"/>
              <w:bottom w:val="single" w:sz="4" w:space="0" w:color="auto"/>
              <w:right w:val="single" w:sz="4" w:space="0" w:color="auto"/>
            </w:tcBorders>
            <w:shd w:val="clear" w:color="auto" w:fill="auto"/>
            <w:noWrap/>
            <w:vAlign w:val="bottom"/>
            <w:hideMark/>
          </w:tcPr>
          <w:p w14:paraId="0AC595CD" w14:textId="6F517C2F" w:rsidR="000754FE" w:rsidRPr="0053555E" w:rsidRDefault="000754FE" w:rsidP="000754FE">
            <w:pPr>
              <w:jc w:val="center"/>
              <w:rPr>
                <w:rFonts w:asciiTheme="majorHAnsi" w:hAnsiTheme="majorHAnsi" w:cstheme="majorHAnsi"/>
                <w:sz w:val="20"/>
                <w:szCs w:val="20"/>
              </w:rPr>
            </w:pPr>
            <w:r w:rsidRPr="0053555E">
              <w:rPr>
                <w:rFonts w:cs="Arial"/>
                <w:sz w:val="20"/>
                <w:szCs w:val="20"/>
              </w:rPr>
              <w:t>6,3</w:t>
            </w:r>
            <w:r w:rsidR="007C20BB" w:rsidRPr="0053555E">
              <w:rPr>
                <w:rFonts w:cs="Arial"/>
                <w:sz w:val="20"/>
                <w:szCs w:val="20"/>
              </w:rPr>
              <w:t xml:space="preserve"> </w:t>
            </w:r>
            <w:r w:rsidRPr="0053555E">
              <w:rPr>
                <w:rFonts w:cs="Arial"/>
                <w:sz w:val="20"/>
                <w:szCs w:val="20"/>
              </w:rPr>
              <w:t>%</w:t>
            </w:r>
          </w:p>
        </w:tc>
      </w:tr>
      <w:tr w:rsidR="000754FE" w:rsidRPr="0053555E" w14:paraId="4C0DCB43" w14:textId="77777777" w:rsidTr="00D4713E">
        <w:trPr>
          <w:trHeight w:val="227"/>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9752989" w14:textId="680706CC" w:rsidR="000754FE" w:rsidRPr="0053555E" w:rsidRDefault="000754FE" w:rsidP="000754FE">
            <w:pPr>
              <w:tabs>
                <w:tab w:val="left" w:pos="9356"/>
              </w:tabs>
              <w:jc w:val="center"/>
              <w:rPr>
                <w:rFonts w:asciiTheme="majorHAnsi" w:eastAsia="Times New Roman" w:hAnsiTheme="majorHAnsi" w:cstheme="majorHAnsi"/>
                <w:sz w:val="20"/>
                <w:szCs w:val="20"/>
                <w:lang w:eastAsia="sk-SK"/>
              </w:rPr>
            </w:pPr>
            <w:r w:rsidRPr="0053555E">
              <w:rPr>
                <w:rFonts w:cs="Arial"/>
                <w:sz w:val="20"/>
                <w:szCs w:val="20"/>
              </w:rPr>
              <w:t>2013/2014</w:t>
            </w:r>
          </w:p>
        </w:tc>
        <w:tc>
          <w:tcPr>
            <w:tcW w:w="1247" w:type="dxa"/>
            <w:tcBorders>
              <w:top w:val="nil"/>
              <w:left w:val="nil"/>
              <w:bottom w:val="single" w:sz="4" w:space="0" w:color="auto"/>
              <w:right w:val="single" w:sz="4" w:space="0" w:color="auto"/>
            </w:tcBorders>
            <w:shd w:val="clear" w:color="auto" w:fill="auto"/>
            <w:noWrap/>
            <w:vAlign w:val="bottom"/>
            <w:hideMark/>
          </w:tcPr>
          <w:p w14:paraId="4EC75D89" w14:textId="44715DF0" w:rsidR="000754FE" w:rsidRPr="0053555E" w:rsidRDefault="000754FE" w:rsidP="000754FE">
            <w:pPr>
              <w:jc w:val="center"/>
              <w:rPr>
                <w:rFonts w:asciiTheme="majorHAnsi" w:hAnsiTheme="majorHAnsi" w:cstheme="majorHAnsi"/>
                <w:sz w:val="20"/>
                <w:szCs w:val="20"/>
              </w:rPr>
            </w:pPr>
            <w:r w:rsidRPr="0053555E">
              <w:rPr>
                <w:rFonts w:cs="Arial"/>
                <w:sz w:val="20"/>
                <w:szCs w:val="20"/>
              </w:rPr>
              <w:t>69 073</w:t>
            </w:r>
          </w:p>
        </w:tc>
        <w:tc>
          <w:tcPr>
            <w:tcW w:w="1247" w:type="dxa"/>
            <w:tcBorders>
              <w:top w:val="nil"/>
              <w:left w:val="nil"/>
              <w:bottom w:val="single" w:sz="4" w:space="0" w:color="auto"/>
              <w:right w:val="single" w:sz="4" w:space="0" w:color="auto"/>
            </w:tcBorders>
            <w:shd w:val="clear" w:color="auto" w:fill="auto"/>
            <w:noWrap/>
            <w:vAlign w:val="bottom"/>
            <w:hideMark/>
          </w:tcPr>
          <w:p w14:paraId="515C38C5" w14:textId="0DA00307" w:rsidR="000754FE" w:rsidRPr="0053555E" w:rsidRDefault="000754FE" w:rsidP="000754FE">
            <w:pPr>
              <w:jc w:val="center"/>
              <w:rPr>
                <w:rFonts w:asciiTheme="majorHAnsi" w:hAnsiTheme="majorHAnsi" w:cstheme="majorHAnsi"/>
                <w:b/>
                <w:bCs/>
                <w:sz w:val="20"/>
                <w:szCs w:val="20"/>
              </w:rPr>
            </w:pPr>
            <w:r w:rsidRPr="0053555E">
              <w:rPr>
                <w:rFonts w:cs="Arial"/>
                <w:sz w:val="20"/>
                <w:szCs w:val="20"/>
              </w:rPr>
              <w:t>48 468</w:t>
            </w:r>
          </w:p>
        </w:tc>
        <w:tc>
          <w:tcPr>
            <w:tcW w:w="1247" w:type="dxa"/>
            <w:tcBorders>
              <w:top w:val="nil"/>
              <w:left w:val="nil"/>
              <w:bottom w:val="single" w:sz="4" w:space="0" w:color="auto"/>
              <w:right w:val="single" w:sz="4" w:space="0" w:color="auto"/>
            </w:tcBorders>
            <w:shd w:val="clear" w:color="auto" w:fill="auto"/>
            <w:noWrap/>
            <w:vAlign w:val="bottom"/>
            <w:hideMark/>
          </w:tcPr>
          <w:p w14:paraId="59FABBE6" w14:textId="0408AB8C" w:rsidR="000754FE" w:rsidRPr="0053555E" w:rsidRDefault="000754FE" w:rsidP="000754FE">
            <w:pPr>
              <w:jc w:val="center"/>
              <w:rPr>
                <w:rFonts w:asciiTheme="majorHAnsi" w:hAnsiTheme="majorHAnsi" w:cstheme="majorHAnsi"/>
                <w:sz w:val="20"/>
                <w:szCs w:val="20"/>
              </w:rPr>
            </w:pPr>
            <w:r w:rsidRPr="0053555E">
              <w:rPr>
                <w:rFonts w:cs="Arial"/>
                <w:sz w:val="20"/>
                <w:szCs w:val="20"/>
              </w:rPr>
              <w:t>70</w:t>
            </w:r>
            <w:r w:rsidR="003836EE"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03075AB3" w14:textId="3A549937" w:rsidR="000754FE" w:rsidRPr="0053555E" w:rsidRDefault="000754FE" w:rsidP="000754FE">
            <w:pPr>
              <w:jc w:val="center"/>
              <w:rPr>
                <w:rFonts w:asciiTheme="majorHAnsi" w:hAnsiTheme="majorHAnsi" w:cstheme="majorHAnsi"/>
                <w:sz w:val="20"/>
                <w:szCs w:val="20"/>
              </w:rPr>
            </w:pPr>
            <w:r w:rsidRPr="0053555E">
              <w:rPr>
                <w:rFonts w:cs="Arial"/>
                <w:sz w:val="20"/>
                <w:szCs w:val="20"/>
              </w:rPr>
              <w:t>3 164</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4C2F26F8" w14:textId="636C62E9" w:rsidR="000754FE" w:rsidRPr="0053555E" w:rsidRDefault="000754FE" w:rsidP="000754FE">
            <w:pPr>
              <w:jc w:val="center"/>
              <w:rPr>
                <w:rFonts w:asciiTheme="majorHAnsi" w:hAnsiTheme="majorHAnsi" w:cstheme="majorHAnsi"/>
                <w:b/>
                <w:sz w:val="20"/>
                <w:szCs w:val="20"/>
              </w:rPr>
            </w:pPr>
            <w:r w:rsidRPr="0053555E">
              <w:rPr>
                <w:rFonts w:cs="Arial"/>
                <w:sz w:val="20"/>
                <w:szCs w:val="20"/>
              </w:rPr>
              <w:t>6,5</w:t>
            </w:r>
            <w:r w:rsidR="008877A2"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47F6DCCD" w14:textId="12E462E5" w:rsidR="000754FE" w:rsidRPr="0053555E" w:rsidRDefault="000754FE" w:rsidP="000754FE">
            <w:pPr>
              <w:jc w:val="center"/>
              <w:rPr>
                <w:rFonts w:asciiTheme="majorHAnsi" w:hAnsiTheme="majorHAnsi" w:cstheme="majorHAnsi"/>
                <w:sz w:val="20"/>
                <w:szCs w:val="20"/>
              </w:rPr>
            </w:pPr>
            <w:r w:rsidRPr="0053555E">
              <w:rPr>
                <w:rFonts w:cs="Arial"/>
                <w:sz w:val="20"/>
                <w:szCs w:val="20"/>
              </w:rPr>
              <w:t>192 851</w:t>
            </w:r>
          </w:p>
        </w:tc>
        <w:tc>
          <w:tcPr>
            <w:tcW w:w="1247" w:type="dxa"/>
            <w:tcBorders>
              <w:top w:val="nil"/>
              <w:left w:val="nil"/>
              <w:bottom w:val="single" w:sz="4" w:space="0" w:color="auto"/>
              <w:right w:val="single" w:sz="4" w:space="0" w:color="auto"/>
            </w:tcBorders>
            <w:shd w:val="clear" w:color="auto" w:fill="auto"/>
            <w:noWrap/>
            <w:vAlign w:val="bottom"/>
            <w:hideMark/>
          </w:tcPr>
          <w:p w14:paraId="648173BF" w14:textId="07834085" w:rsidR="000754FE" w:rsidRPr="0053555E" w:rsidRDefault="000754FE" w:rsidP="000754FE">
            <w:pPr>
              <w:jc w:val="center"/>
              <w:rPr>
                <w:rFonts w:asciiTheme="majorHAnsi" w:hAnsiTheme="majorHAnsi" w:cstheme="majorHAnsi"/>
                <w:sz w:val="20"/>
                <w:szCs w:val="20"/>
              </w:rPr>
            </w:pPr>
            <w:r w:rsidRPr="0053555E">
              <w:rPr>
                <w:rFonts w:cs="Arial"/>
                <w:sz w:val="20"/>
                <w:szCs w:val="20"/>
              </w:rPr>
              <w:t>16 402</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554246F8" w14:textId="0F9E3CEB"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8,5</w:t>
            </w:r>
            <w:r w:rsidR="007C20BB" w:rsidRPr="0053555E">
              <w:rPr>
                <w:rFonts w:cs="Arial"/>
                <w:b/>
                <w:bCs/>
                <w:sz w:val="20"/>
                <w:szCs w:val="20"/>
              </w:rPr>
              <w:t xml:space="preserve"> </w:t>
            </w:r>
            <w:r w:rsidRPr="0053555E">
              <w:rPr>
                <w:rFonts w:cs="Arial"/>
                <w:b/>
                <w:bCs/>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6AA9771A" w14:textId="605F7879" w:rsidR="000754FE" w:rsidRPr="0053555E" w:rsidRDefault="000754FE" w:rsidP="000754FE">
            <w:pPr>
              <w:jc w:val="center"/>
              <w:rPr>
                <w:rFonts w:asciiTheme="majorHAnsi" w:hAnsiTheme="majorHAnsi" w:cstheme="majorHAnsi"/>
                <w:sz w:val="20"/>
                <w:szCs w:val="20"/>
              </w:rPr>
            </w:pPr>
            <w:r w:rsidRPr="0053555E">
              <w:rPr>
                <w:rFonts w:cs="Arial"/>
                <w:sz w:val="20"/>
                <w:szCs w:val="20"/>
              </w:rPr>
              <w:t>367 768</w:t>
            </w:r>
          </w:p>
        </w:tc>
        <w:tc>
          <w:tcPr>
            <w:tcW w:w="1247" w:type="dxa"/>
            <w:tcBorders>
              <w:top w:val="nil"/>
              <w:left w:val="nil"/>
              <w:bottom w:val="single" w:sz="4" w:space="0" w:color="auto"/>
              <w:right w:val="single" w:sz="4" w:space="0" w:color="auto"/>
            </w:tcBorders>
            <w:shd w:val="clear" w:color="auto" w:fill="auto"/>
            <w:noWrap/>
            <w:vAlign w:val="bottom"/>
            <w:hideMark/>
          </w:tcPr>
          <w:p w14:paraId="024B0694" w14:textId="3D138C98" w:rsidR="000754FE" w:rsidRPr="0053555E" w:rsidRDefault="000754FE" w:rsidP="000754FE">
            <w:pPr>
              <w:jc w:val="center"/>
              <w:rPr>
                <w:rFonts w:asciiTheme="majorHAnsi" w:hAnsiTheme="majorHAnsi" w:cstheme="majorHAnsi"/>
                <w:sz w:val="20"/>
                <w:szCs w:val="20"/>
              </w:rPr>
            </w:pPr>
            <w:r w:rsidRPr="0053555E">
              <w:rPr>
                <w:rFonts w:cs="Arial"/>
                <w:sz w:val="20"/>
                <w:szCs w:val="20"/>
              </w:rPr>
              <w:t>23 386</w:t>
            </w:r>
          </w:p>
        </w:tc>
        <w:tc>
          <w:tcPr>
            <w:tcW w:w="1247" w:type="dxa"/>
            <w:tcBorders>
              <w:top w:val="nil"/>
              <w:left w:val="nil"/>
              <w:bottom w:val="single" w:sz="4" w:space="0" w:color="auto"/>
              <w:right w:val="single" w:sz="4" w:space="0" w:color="auto"/>
            </w:tcBorders>
            <w:shd w:val="clear" w:color="auto" w:fill="auto"/>
            <w:noWrap/>
            <w:vAlign w:val="bottom"/>
            <w:hideMark/>
          </w:tcPr>
          <w:p w14:paraId="1347FEFC" w14:textId="241606DF" w:rsidR="000754FE" w:rsidRPr="0053555E" w:rsidRDefault="000754FE" w:rsidP="000754FE">
            <w:pPr>
              <w:jc w:val="center"/>
              <w:rPr>
                <w:rFonts w:asciiTheme="majorHAnsi" w:hAnsiTheme="majorHAnsi" w:cstheme="majorHAnsi"/>
                <w:sz w:val="20"/>
                <w:szCs w:val="20"/>
              </w:rPr>
            </w:pPr>
            <w:r w:rsidRPr="0053555E">
              <w:rPr>
                <w:rFonts w:cs="Arial"/>
                <w:sz w:val="20"/>
                <w:szCs w:val="20"/>
              </w:rPr>
              <w:t>6,4</w:t>
            </w:r>
            <w:r w:rsidR="007C20BB" w:rsidRPr="0053555E">
              <w:rPr>
                <w:rFonts w:cs="Arial"/>
                <w:sz w:val="20"/>
                <w:szCs w:val="20"/>
              </w:rPr>
              <w:t xml:space="preserve"> </w:t>
            </w:r>
            <w:r w:rsidRPr="0053555E">
              <w:rPr>
                <w:rFonts w:cs="Arial"/>
                <w:sz w:val="20"/>
                <w:szCs w:val="20"/>
              </w:rPr>
              <w:t>%</w:t>
            </w:r>
          </w:p>
        </w:tc>
      </w:tr>
      <w:tr w:rsidR="000754FE" w:rsidRPr="0053555E" w14:paraId="50EB4CB5" w14:textId="77777777" w:rsidTr="00D4713E">
        <w:trPr>
          <w:trHeight w:val="227"/>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483B9F48" w14:textId="0B93AA6C" w:rsidR="000754FE" w:rsidRPr="0053555E" w:rsidRDefault="000754FE" w:rsidP="000754FE">
            <w:pPr>
              <w:tabs>
                <w:tab w:val="left" w:pos="9356"/>
              </w:tabs>
              <w:jc w:val="center"/>
              <w:rPr>
                <w:rFonts w:asciiTheme="majorHAnsi" w:eastAsia="Times New Roman" w:hAnsiTheme="majorHAnsi" w:cstheme="majorHAnsi"/>
                <w:sz w:val="20"/>
                <w:szCs w:val="20"/>
                <w:lang w:eastAsia="sk-SK"/>
              </w:rPr>
            </w:pPr>
            <w:r w:rsidRPr="0053555E">
              <w:rPr>
                <w:rFonts w:cs="Arial"/>
                <w:sz w:val="20"/>
                <w:szCs w:val="20"/>
              </w:rPr>
              <w:t>2014/2015</w:t>
            </w:r>
          </w:p>
        </w:tc>
        <w:tc>
          <w:tcPr>
            <w:tcW w:w="1247" w:type="dxa"/>
            <w:tcBorders>
              <w:top w:val="nil"/>
              <w:left w:val="nil"/>
              <w:bottom w:val="single" w:sz="4" w:space="0" w:color="auto"/>
              <w:right w:val="single" w:sz="4" w:space="0" w:color="auto"/>
            </w:tcBorders>
            <w:shd w:val="clear" w:color="auto" w:fill="auto"/>
            <w:noWrap/>
            <w:vAlign w:val="bottom"/>
            <w:hideMark/>
          </w:tcPr>
          <w:p w14:paraId="325A741C" w14:textId="313159F1" w:rsidR="000754FE" w:rsidRPr="0053555E" w:rsidRDefault="000754FE" w:rsidP="000754FE">
            <w:pPr>
              <w:jc w:val="center"/>
              <w:rPr>
                <w:rFonts w:asciiTheme="majorHAnsi" w:hAnsiTheme="majorHAnsi" w:cstheme="majorHAnsi"/>
                <w:sz w:val="20"/>
                <w:szCs w:val="20"/>
              </w:rPr>
            </w:pPr>
            <w:r w:rsidRPr="0053555E">
              <w:rPr>
                <w:rFonts w:cs="Arial"/>
                <w:sz w:val="20"/>
                <w:szCs w:val="20"/>
              </w:rPr>
              <w:t>63 394</w:t>
            </w:r>
          </w:p>
        </w:tc>
        <w:tc>
          <w:tcPr>
            <w:tcW w:w="1247" w:type="dxa"/>
            <w:tcBorders>
              <w:top w:val="nil"/>
              <w:left w:val="nil"/>
              <w:bottom w:val="single" w:sz="4" w:space="0" w:color="auto"/>
              <w:right w:val="single" w:sz="4" w:space="0" w:color="auto"/>
            </w:tcBorders>
            <w:shd w:val="clear" w:color="auto" w:fill="auto"/>
            <w:noWrap/>
            <w:vAlign w:val="bottom"/>
            <w:hideMark/>
          </w:tcPr>
          <w:p w14:paraId="53251FAD" w14:textId="36F4DF23" w:rsidR="000754FE" w:rsidRPr="0053555E" w:rsidRDefault="000754FE" w:rsidP="000754FE">
            <w:pPr>
              <w:jc w:val="center"/>
              <w:rPr>
                <w:rFonts w:asciiTheme="majorHAnsi" w:hAnsiTheme="majorHAnsi" w:cstheme="majorHAnsi"/>
                <w:b/>
                <w:bCs/>
                <w:sz w:val="20"/>
                <w:szCs w:val="20"/>
              </w:rPr>
            </w:pPr>
            <w:r w:rsidRPr="0053555E">
              <w:rPr>
                <w:rFonts w:cs="Arial"/>
                <w:sz w:val="20"/>
                <w:szCs w:val="20"/>
              </w:rPr>
              <w:t>43 263</w:t>
            </w:r>
          </w:p>
        </w:tc>
        <w:tc>
          <w:tcPr>
            <w:tcW w:w="1247" w:type="dxa"/>
            <w:tcBorders>
              <w:top w:val="nil"/>
              <w:left w:val="nil"/>
              <w:bottom w:val="single" w:sz="4" w:space="0" w:color="auto"/>
              <w:right w:val="single" w:sz="4" w:space="0" w:color="auto"/>
            </w:tcBorders>
            <w:shd w:val="clear" w:color="auto" w:fill="auto"/>
            <w:noWrap/>
            <w:vAlign w:val="bottom"/>
            <w:hideMark/>
          </w:tcPr>
          <w:p w14:paraId="523D10F4" w14:textId="5BA9CA43" w:rsidR="000754FE" w:rsidRPr="0053555E" w:rsidRDefault="000754FE" w:rsidP="000754FE">
            <w:pPr>
              <w:jc w:val="center"/>
              <w:rPr>
                <w:rFonts w:asciiTheme="majorHAnsi" w:hAnsiTheme="majorHAnsi" w:cstheme="majorHAnsi"/>
                <w:sz w:val="20"/>
                <w:szCs w:val="20"/>
              </w:rPr>
            </w:pPr>
            <w:r w:rsidRPr="0053555E">
              <w:rPr>
                <w:rFonts w:cs="Arial"/>
                <w:sz w:val="20"/>
                <w:szCs w:val="20"/>
              </w:rPr>
              <w:t>68</w:t>
            </w:r>
            <w:r w:rsidR="003836EE"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0BC04A11" w14:textId="7B9DCC37" w:rsidR="000754FE" w:rsidRPr="0053555E" w:rsidRDefault="000754FE" w:rsidP="000754FE">
            <w:pPr>
              <w:jc w:val="center"/>
              <w:rPr>
                <w:rFonts w:asciiTheme="majorHAnsi" w:hAnsiTheme="majorHAnsi" w:cstheme="majorHAnsi"/>
                <w:sz w:val="20"/>
                <w:szCs w:val="20"/>
              </w:rPr>
            </w:pPr>
            <w:r w:rsidRPr="0053555E">
              <w:rPr>
                <w:rFonts w:cs="Arial"/>
                <w:sz w:val="20"/>
                <w:szCs w:val="20"/>
              </w:rPr>
              <w:t>2 747</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6AE63774" w14:textId="501B629B" w:rsidR="000754FE" w:rsidRPr="0053555E" w:rsidRDefault="000754FE" w:rsidP="000754FE">
            <w:pPr>
              <w:jc w:val="center"/>
              <w:rPr>
                <w:rFonts w:asciiTheme="majorHAnsi" w:hAnsiTheme="majorHAnsi" w:cstheme="majorHAnsi"/>
                <w:b/>
                <w:sz w:val="20"/>
                <w:szCs w:val="20"/>
              </w:rPr>
            </w:pPr>
            <w:r w:rsidRPr="0053555E">
              <w:rPr>
                <w:rFonts w:cs="Arial"/>
                <w:sz w:val="20"/>
                <w:szCs w:val="20"/>
              </w:rPr>
              <w:t>6,3</w:t>
            </w:r>
            <w:r w:rsidR="008877A2"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1CEA4FB5" w14:textId="322A7DB3" w:rsidR="000754FE" w:rsidRPr="0053555E" w:rsidRDefault="000754FE" w:rsidP="000754FE">
            <w:pPr>
              <w:jc w:val="center"/>
              <w:rPr>
                <w:rFonts w:asciiTheme="majorHAnsi" w:hAnsiTheme="majorHAnsi" w:cstheme="majorHAnsi"/>
                <w:sz w:val="20"/>
                <w:szCs w:val="20"/>
              </w:rPr>
            </w:pPr>
            <w:r w:rsidRPr="0053555E">
              <w:rPr>
                <w:rFonts w:cs="Arial"/>
                <w:sz w:val="20"/>
                <w:szCs w:val="20"/>
              </w:rPr>
              <w:t>179 391</w:t>
            </w:r>
          </w:p>
        </w:tc>
        <w:tc>
          <w:tcPr>
            <w:tcW w:w="1247" w:type="dxa"/>
            <w:tcBorders>
              <w:top w:val="nil"/>
              <w:left w:val="nil"/>
              <w:bottom w:val="single" w:sz="4" w:space="0" w:color="auto"/>
              <w:right w:val="single" w:sz="4" w:space="0" w:color="auto"/>
            </w:tcBorders>
            <w:shd w:val="clear" w:color="auto" w:fill="auto"/>
            <w:noWrap/>
            <w:vAlign w:val="bottom"/>
            <w:hideMark/>
          </w:tcPr>
          <w:p w14:paraId="6400A240" w14:textId="5E521383" w:rsidR="000754FE" w:rsidRPr="0053555E" w:rsidRDefault="000754FE" w:rsidP="000754FE">
            <w:pPr>
              <w:jc w:val="center"/>
              <w:rPr>
                <w:rFonts w:asciiTheme="majorHAnsi" w:hAnsiTheme="majorHAnsi" w:cstheme="majorHAnsi"/>
                <w:sz w:val="20"/>
                <w:szCs w:val="20"/>
              </w:rPr>
            </w:pPr>
            <w:r w:rsidRPr="0053555E">
              <w:rPr>
                <w:rFonts w:cs="Arial"/>
                <w:sz w:val="20"/>
                <w:szCs w:val="20"/>
              </w:rPr>
              <w:t>15 403</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075D66BE" w14:textId="4493BD4A"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8,6</w:t>
            </w:r>
            <w:r w:rsidR="007C20BB" w:rsidRPr="0053555E">
              <w:rPr>
                <w:rFonts w:cs="Arial"/>
                <w:b/>
                <w:bCs/>
                <w:sz w:val="20"/>
                <w:szCs w:val="20"/>
              </w:rPr>
              <w:t xml:space="preserve"> </w:t>
            </w:r>
            <w:r w:rsidRPr="0053555E">
              <w:rPr>
                <w:rFonts w:cs="Arial"/>
                <w:b/>
                <w:bCs/>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253B334F" w14:textId="368F41ED" w:rsidR="000754FE" w:rsidRPr="0053555E" w:rsidRDefault="000754FE" w:rsidP="000754FE">
            <w:pPr>
              <w:jc w:val="center"/>
              <w:rPr>
                <w:rFonts w:asciiTheme="majorHAnsi" w:hAnsiTheme="majorHAnsi" w:cstheme="majorHAnsi"/>
                <w:sz w:val="20"/>
                <w:szCs w:val="20"/>
              </w:rPr>
            </w:pPr>
            <w:r w:rsidRPr="0053555E">
              <w:rPr>
                <w:rFonts w:cs="Arial"/>
                <w:sz w:val="20"/>
                <w:szCs w:val="20"/>
              </w:rPr>
              <w:t>346 799</w:t>
            </w:r>
          </w:p>
        </w:tc>
        <w:tc>
          <w:tcPr>
            <w:tcW w:w="1247" w:type="dxa"/>
            <w:tcBorders>
              <w:top w:val="nil"/>
              <w:left w:val="nil"/>
              <w:bottom w:val="single" w:sz="4" w:space="0" w:color="auto"/>
              <w:right w:val="single" w:sz="4" w:space="0" w:color="auto"/>
            </w:tcBorders>
            <w:shd w:val="clear" w:color="auto" w:fill="auto"/>
            <w:noWrap/>
            <w:vAlign w:val="bottom"/>
            <w:hideMark/>
          </w:tcPr>
          <w:p w14:paraId="6B2C1E96" w14:textId="3F613961" w:rsidR="000754FE" w:rsidRPr="0053555E" w:rsidRDefault="000754FE" w:rsidP="000754FE">
            <w:pPr>
              <w:jc w:val="center"/>
              <w:rPr>
                <w:rFonts w:asciiTheme="majorHAnsi" w:hAnsiTheme="majorHAnsi" w:cstheme="majorHAnsi"/>
                <w:sz w:val="20"/>
                <w:szCs w:val="20"/>
              </w:rPr>
            </w:pPr>
            <w:r w:rsidRPr="0053555E">
              <w:rPr>
                <w:rFonts w:cs="Arial"/>
                <w:sz w:val="20"/>
                <w:szCs w:val="20"/>
              </w:rPr>
              <w:t>22 651</w:t>
            </w:r>
          </w:p>
        </w:tc>
        <w:tc>
          <w:tcPr>
            <w:tcW w:w="1247" w:type="dxa"/>
            <w:tcBorders>
              <w:top w:val="nil"/>
              <w:left w:val="nil"/>
              <w:bottom w:val="single" w:sz="4" w:space="0" w:color="auto"/>
              <w:right w:val="single" w:sz="4" w:space="0" w:color="auto"/>
            </w:tcBorders>
            <w:shd w:val="clear" w:color="auto" w:fill="auto"/>
            <w:noWrap/>
            <w:vAlign w:val="bottom"/>
            <w:hideMark/>
          </w:tcPr>
          <w:p w14:paraId="169E45DF" w14:textId="7C124CC9" w:rsidR="000754FE" w:rsidRPr="0053555E" w:rsidRDefault="000754FE" w:rsidP="000754FE">
            <w:pPr>
              <w:jc w:val="center"/>
              <w:rPr>
                <w:rFonts w:asciiTheme="majorHAnsi" w:hAnsiTheme="majorHAnsi" w:cstheme="majorHAnsi"/>
                <w:sz w:val="20"/>
                <w:szCs w:val="20"/>
              </w:rPr>
            </w:pPr>
            <w:r w:rsidRPr="0053555E">
              <w:rPr>
                <w:rFonts w:cs="Arial"/>
                <w:sz w:val="20"/>
                <w:szCs w:val="20"/>
              </w:rPr>
              <w:t>6,5</w:t>
            </w:r>
            <w:r w:rsidR="007C20BB" w:rsidRPr="0053555E">
              <w:rPr>
                <w:rFonts w:cs="Arial"/>
                <w:sz w:val="20"/>
                <w:szCs w:val="20"/>
              </w:rPr>
              <w:t xml:space="preserve"> </w:t>
            </w:r>
            <w:r w:rsidRPr="0053555E">
              <w:rPr>
                <w:rFonts w:cs="Arial"/>
                <w:sz w:val="20"/>
                <w:szCs w:val="20"/>
              </w:rPr>
              <w:t>%</w:t>
            </w:r>
          </w:p>
        </w:tc>
      </w:tr>
      <w:tr w:rsidR="000754FE" w:rsidRPr="0053555E" w14:paraId="1530294B" w14:textId="77777777" w:rsidTr="00D4713E">
        <w:trPr>
          <w:trHeight w:val="227"/>
        </w:trPr>
        <w:tc>
          <w:tcPr>
            <w:tcW w:w="1247" w:type="dxa"/>
            <w:tcBorders>
              <w:top w:val="nil"/>
              <w:left w:val="single" w:sz="4" w:space="0" w:color="auto"/>
              <w:bottom w:val="single" w:sz="4" w:space="0" w:color="auto"/>
              <w:right w:val="single" w:sz="4" w:space="0" w:color="auto"/>
            </w:tcBorders>
            <w:shd w:val="clear" w:color="auto" w:fill="auto"/>
            <w:noWrap/>
            <w:vAlign w:val="bottom"/>
          </w:tcPr>
          <w:p w14:paraId="6DEAADA4" w14:textId="6FF72A95" w:rsidR="000754FE" w:rsidRPr="0053555E" w:rsidRDefault="000754FE" w:rsidP="000754FE">
            <w:pPr>
              <w:tabs>
                <w:tab w:val="left" w:pos="9356"/>
              </w:tabs>
              <w:jc w:val="center"/>
              <w:rPr>
                <w:rFonts w:asciiTheme="majorHAnsi" w:eastAsia="Times New Roman" w:hAnsiTheme="majorHAnsi" w:cstheme="majorHAnsi"/>
                <w:sz w:val="20"/>
                <w:szCs w:val="20"/>
                <w:lang w:eastAsia="sk-SK"/>
              </w:rPr>
            </w:pPr>
            <w:r w:rsidRPr="0053555E">
              <w:rPr>
                <w:rFonts w:cs="Arial"/>
                <w:sz w:val="20"/>
                <w:szCs w:val="20"/>
              </w:rPr>
              <w:t>2015/2016</w:t>
            </w:r>
          </w:p>
        </w:tc>
        <w:tc>
          <w:tcPr>
            <w:tcW w:w="1247" w:type="dxa"/>
            <w:tcBorders>
              <w:top w:val="nil"/>
              <w:left w:val="nil"/>
              <w:bottom w:val="single" w:sz="4" w:space="0" w:color="auto"/>
              <w:right w:val="single" w:sz="4" w:space="0" w:color="auto"/>
            </w:tcBorders>
            <w:shd w:val="clear" w:color="auto" w:fill="auto"/>
            <w:noWrap/>
            <w:vAlign w:val="bottom"/>
            <w:hideMark/>
          </w:tcPr>
          <w:p w14:paraId="5F147060" w14:textId="6E0611CC" w:rsidR="000754FE" w:rsidRPr="0053555E" w:rsidRDefault="000754FE" w:rsidP="000754FE">
            <w:pPr>
              <w:jc w:val="center"/>
              <w:rPr>
                <w:rFonts w:asciiTheme="majorHAnsi" w:hAnsiTheme="majorHAnsi" w:cstheme="majorHAnsi"/>
                <w:sz w:val="20"/>
                <w:szCs w:val="20"/>
              </w:rPr>
            </w:pPr>
            <w:r w:rsidRPr="0053555E">
              <w:rPr>
                <w:rFonts w:cs="Arial"/>
                <w:sz w:val="20"/>
                <w:szCs w:val="20"/>
              </w:rPr>
              <w:t>60 352</w:t>
            </w:r>
          </w:p>
        </w:tc>
        <w:tc>
          <w:tcPr>
            <w:tcW w:w="1247" w:type="dxa"/>
            <w:tcBorders>
              <w:top w:val="nil"/>
              <w:left w:val="nil"/>
              <w:bottom w:val="single" w:sz="4" w:space="0" w:color="auto"/>
              <w:right w:val="single" w:sz="4" w:space="0" w:color="auto"/>
            </w:tcBorders>
            <w:shd w:val="clear" w:color="auto" w:fill="auto"/>
            <w:noWrap/>
            <w:vAlign w:val="bottom"/>
            <w:hideMark/>
          </w:tcPr>
          <w:p w14:paraId="2E280032" w14:textId="7ADB54FC" w:rsidR="000754FE" w:rsidRPr="0053555E" w:rsidRDefault="000754FE" w:rsidP="000754FE">
            <w:pPr>
              <w:jc w:val="center"/>
              <w:rPr>
                <w:rFonts w:asciiTheme="majorHAnsi" w:hAnsiTheme="majorHAnsi" w:cstheme="majorHAnsi"/>
                <w:b/>
                <w:bCs/>
                <w:sz w:val="20"/>
                <w:szCs w:val="20"/>
              </w:rPr>
            </w:pPr>
            <w:r w:rsidRPr="0053555E">
              <w:rPr>
                <w:rFonts w:cs="Arial"/>
                <w:sz w:val="20"/>
                <w:szCs w:val="20"/>
              </w:rPr>
              <w:t>40 529</w:t>
            </w:r>
          </w:p>
        </w:tc>
        <w:tc>
          <w:tcPr>
            <w:tcW w:w="1247" w:type="dxa"/>
            <w:tcBorders>
              <w:top w:val="nil"/>
              <w:left w:val="nil"/>
              <w:bottom w:val="single" w:sz="4" w:space="0" w:color="auto"/>
              <w:right w:val="single" w:sz="4" w:space="0" w:color="auto"/>
            </w:tcBorders>
            <w:shd w:val="clear" w:color="auto" w:fill="auto"/>
            <w:noWrap/>
            <w:vAlign w:val="bottom"/>
            <w:hideMark/>
          </w:tcPr>
          <w:p w14:paraId="4F9C5887" w14:textId="1BC15338" w:rsidR="000754FE" w:rsidRPr="0053555E" w:rsidRDefault="000754FE" w:rsidP="000754FE">
            <w:pPr>
              <w:jc w:val="center"/>
              <w:rPr>
                <w:rFonts w:asciiTheme="majorHAnsi" w:hAnsiTheme="majorHAnsi" w:cstheme="majorHAnsi"/>
                <w:sz w:val="20"/>
                <w:szCs w:val="20"/>
              </w:rPr>
            </w:pPr>
            <w:r w:rsidRPr="0053555E">
              <w:rPr>
                <w:rFonts w:cs="Arial"/>
                <w:sz w:val="20"/>
                <w:szCs w:val="20"/>
              </w:rPr>
              <w:t>67</w:t>
            </w:r>
            <w:r w:rsidR="003836EE"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3BFD0F21" w14:textId="7F61693D" w:rsidR="000754FE" w:rsidRPr="0053555E" w:rsidRDefault="000754FE" w:rsidP="000754FE">
            <w:pPr>
              <w:jc w:val="center"/>
              <w:rPr>
                <w:rFonts w:asciiTheme="majorHAnsi" w:hAnsiTheme="majorHAnsi" w:cstheme="majorHAnsi"/>
                <w:sz w:val="20"/>
                <w:szCs w:val="20"/>
              </w:rPr>
            </w:pPr>
            <w:r w:rsidRPr="0053555E">
              <w:rPr>
                <w:rFonts w:cs="Arial"/>
                <w:sz w:val="20"/>
                <w:szCs w:val="20"/>
              </w:rPr>
              <w:t>2 483</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763A47E4" w14:textId="45A2A59B" w:rsidR="000754FE" w:rsidRPr="0053555E" w:rsidRDefault="000754FE" w:rsidP="000754FE">
            <w:pPr>
              <w:jc w:val="center"/>
              <w:rPr>
                <w:rFonts w:asciiTheme="majorHAnsi" w:hAnsiTheme="majorHAnsi" w:cstheme="majorHAnsi"/>
                <w:b/>
                <w:sz w:val="20"/>
                <w:szCs w:val="20"/>
              </w:rPr>
            </w:pPr>
            <w:r w:rsidRPr="0053555E">
              <w:rPr>
                <w:rFonts w:cs="Arial"/>
                <w:sz w:val="20"/>
                <w:szCs w:val="20"/>
              </w:rPr>
              <w:t>6,1</w:t>
            </w:r>
            <w:r w:rsidR="008877A2"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34E4ED0A" w14:textId="1FD45B35" w:rsidR="000754FE" w:rsidRPr="0053555E" w:rsidRDefault="000754FE" w:rsidP="000754FE">
            <w:pPr>
              <w:jc w:val="center"/>
              <w:rPr>
                <w:rFonts w:asciiTheme="majorHAnsi" w:hAnsiTheme="majorHAnsi" w:cstheme="majorHAnsi"/>
                <w:sz w:val="20"/>
                <w:szCs w:val="20"/>
              </w:rPr>
            </w:pPr>
            <w:r w:rsidRPr="0053555E">
              <w:rPr>
                <w:rFonts w:cs="Arial"/>
                <w:sz w:val="20"/>
                <w:szCs w:val="20"/>
              </w:rPr>
              <w:t>162 568</w:t>
            </w:r>
          </w:p>
        </w:tc>
        <w:tc>
          <w:tcPr>
            <w:tcW w:w="1247" w:type="dxa"/>
            <w:tcBorders>
              <w:top w:val="nil"/>
              <w:left w:val="nil"/>
              <w:bottom w:val="single" w:sz="4" w:space="0" w:color="auto"/>
              <w:right w:val="single" w:sz="4" w:space="0" w:color="auto"/>
            </w:tcBorders>
            <w:shd w:val="clear" w:color="auto" w:fill="auto"/>
            <w:noWrap/>
            <w:vAlign w:val="bottom"/>
            <w:hideMark/>
          </w:tcPr>
          <w:p w14:paraId="4D66722C" w14:textId="2C43FA99" w:rsidR="000754FE" w:rsidRPr="0053555E" w:rsidRDefault="000754FE" w:rsidP="000754FE">
            <w:pPr>
              <w:jc w:val="center"/>
              <w:rPr>
                <w:rFonts w:asciiTheme="majorHAnsi" w:hAnsiTheme="majorHAnsi" w:cstheme="majorHAnsi"/>
                <w:sz w:val="20"/>
                <w:szCs w:val="20"/>
              </w:rPr>
            </w:pPr>
            <w:r w:rsidRPr="0053555E">
              <w:rPr>
                <w:rFonts w:cs="Arial"/>
                <w:sz w:val="20"/>
                <w:szCs w:val="20"/>
              </w:rPr>
              <w:t>14 286</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6E36DE25" w14:textId="72D1A961"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8,8</w:t>
            </w:r>
            <w:r w:rsidR="007C20BB" w:rsidRPr="0053555E">
              <w:rPr>
                <w:rFonts w:cs="Arial"/>
                <w:b/>
                <w:bCs/>
                <w:sz w:val="20"/>
                <w:szCs w:val="20"/>
              </w:rPr>
              <w:t xml:space="preserve"> </w:t>
            </w:r>
            <w:r w:rsidRPr="0053555E">
              <w:rPr>
                <w:rFonts w:cs="Arial"/>
                <w:b/>
                <w:bCs/>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49F51B51" w14:textId="3B9AC73A" w:rsidR="000754FE" w:rsidRPr="0053555E" w:rsidRDefault="000754FE" w:rsidP="000754FE">
            <w:pPr>
              <w:jc w:val="center"/>
              <w:rPr>
                <w:rFonts w:asciiTheme="majorHAnsi" w:hAnsiTheme="majorHAnsi" w:cstheme="majorHAnsi"/>
                <w:sz w:val="20"/>
                <w:szCs w:val="20"/>
              </w:rPr>
            </w:pPr>
            <w:r w:rsidRPr="0053555E">
              <w:rPr>
                <w:rFonts w:cs="Arial"/>
                <w:sz w:val="20"/>
                <w:szCs w:val="20"/>
              </w:rPr>
              <w:t>326 423</w:t>
            </w:r>
          </w:p>
        </w:tc>
        <w:tc>
          <w:tcPr>
            <w:tcW w:w="1247" w:type="dxa"/>
            <w:tcBorders>
              <w:top w:val="nil"/>
              <w:left w:val="nil"/>
              <w:bottom w:val="single" w:sz="4" w:space="0" w:color="auto"/>
              <w:right w:val="single" w:sz="4" w:space="0" w:color="auto"/>
            </w:tcBorders>
            <w:shd w:val="clear" w:color="auto" w:fill="auto"/>
            <w:noWrap/>
            <w:vAlign w:val="bottom"/>
            <w:hideMark/>
          </w:tcPr>
          <w:p w14:paraId="5B25BF3A" w14:textId="2D32915D" w:rsidR="000754FE" w:rsidRPr="0053555E" w:rsidRDefault="000754FE" w:rsidP="000754FE">
            <w:pPr>
              <w:jc w:val="center"/>
              <w:rPr>
                <w:rFonts w:asciiTheme="majorHAnsi" w:hAnsiTheme="majorHAnsi" w:cstheme="majorHAnsi"/>
                <w:sz w:val="20"/>
                <w:szCs w:val="20"/>
              </w:rPr>
            </w:pPr>
            <w:r w:rsidRPr="0053555E">
              <w:rPr>
                <w:rFonts w:cs="Arial"/>
                <w:sz w:val="20"/>
                <w:szCs w:val="20"/>
              </w:rPr>
              <w:t>22 222</w:t>
            </w:r>
          </w:p>
        </w:tc>
        <w:tc>
          <w:tcPr>
            <w:tcW w:w="1247" w:type="dxa"/>
            <w:tcBorders>
              <w:top w:val="nil"/>
              <w:left w:val="nil"/>
              <w:bottom w:val="single" w:sz="4" w:space="0" w:color="auto"/>
              <w:right w:val="single" w:sz="4" w:space="0" w:color="auto"/>
            </w:tcBorders>
            <w:shd w:val="clear" w:color="auto" w:fill="auto"/>
            <w:noWrap/>
            <w:vAlign w:val="bottom"/>
            <w:hideMark/>
          </w:tcPr>
          <w:p w14:paraId="5225F4E0" w14:textId="6518A890" w:rsidR="000754FE" w:rsidRPr="0053555E" w:rsidRDefault="000754FE" w:rsidP="000754FE">
            <w:pPr>
              <w:jc w:val="center"/>
              <w:rPr>
                <w:rFonts w:asciiTheme="majorHAnsi" w:hAnsiTheme="majorHAnsi" w:cstheme="majorHAnsi"/>
                <w:sz w:val="20"/>
                <w:szCs w:val="20"/>
              </w:rPr>
            </w:pPr>
            <w:r w:rsidRPr="0053555E">
              <w:rPr>
                <w:rFonts w:cs="Arial"/>
                <w:sz w:val="20"/>
                <w:szCs w:val="20"/>
              </w:rPr>
              <w:t>6,8</w:t>
            </w:r>
            <w:r w:rsidR="007C20BB" w:rsidRPr="0053555E">
              <w:rPr>
                <w:rFonts w:cs="Arial"/>
                <w:sz w:val="20"/>
                <w:szCs w:val="20"/>
              </w:rPr>
              <w:t xml:space="preserve"> </w:t>
            </w:r>
            <w:r w:rsidRPr="0053555E">
              <w:rPr>
                <w:rFonts w:cs="Arial"/>
                <w:sz w:val="20"/>
                <w:szCs w:val="20"/>
              </w:rPr>
              <w:t>%</w:t>
            </w:r>
          </w:p>
        </w:tc>
      </w:tr>
      <w:tr w:rsidR="000754FE" w:rsidRPr="0053555E" w14:paraId="676E4AB1" w14:textId="77777777" w:rsidTr="00D4713E">
        <w:trPr>
          <w:trHeight w:val="227"/>
        </w:trPr>
        <w:tc>
          <w:tcPr>
            <w:tcW w:w="1247" w:type="dxa"/>
            <w:tcBorders>
              <w:top w:val="nil"/>
              <w:left w:val="single" w:sz="4" w:space="0" w:color="auto"/>
              <w:bottom w:val="single" w:sz="4" w:space="0" w:color="auto"/>
              <w:right w:val="single" w:sz="4" w:space="0" w:color="auto"/>
            </w:tcBorders>
            <w:shd w:val="clear" w:color="auto" w:fill="auto"/>
            <w:noWrap/>
            <w:vAlign w:val="bottom"/>
          </w:tcPr>
          <w:p w14:paraId="73ACD5A5" w14:textId="11448ADA" w:rsidR="000754FE" w:rsidRPr="0053555E" w:rsidRDefault="000754FE" w:rsidP="000754FE">
            <w:pPr>
              <w:jc w:val="center"/>
              <w:rPr>
                <w:rFonts w:asciiTheme="majorHAnsi" w:hAnsiTheme="majorHAnsi" w:cstheme="majorHAnsi"/>
                <w:sz w:val="20"/>
                <w:szCs w:val="20"/>
              </w:rPr>
            </w:pPr>
            <w:r w:rsidRPr="0053555E">
              <w:rPr>
                <w:rFonts w:cs="Arial"/>
                <w:sz w:val="20"/>
                <w:szCs w:val="20"/>
              </w:rPr>
              <w:t>2016/2017</w:t>
            </w:r>
          </w:p>
        </w:tc>
        <w:tc>
          <w:tcPr>
            <w:tcW w:w="1247" w:type="dxa"/>
            <w:tcBorders>
              <w:top w:val="nil"/>
              <w:left w:val="nil"/>
              <w:bottom w:val="single" w:sz="4" w:space="0" w:color="auto"/>
              <w:right w:val="single" w:sz="4" w:space="0" w:color="auto"/>
            </w:tcBorders>
            <w:shd w:val="clear" w:color="auto" w:fill="auto"/>
            <w:noWrap/>
            <w:vAlign w:val="bottom"/>
            <w:hideMark/>
          </w:tcPr>
          <w:p w14:paraId="488D0C02" w14:textId="53794CFA" w:rsidR="000754FE" w:rsidRPr="0053555E" w:rsidRDefault="000754FE" w:rsidP="000754FE">
            <w:pPr>
              <w:jc w:val="center"/>
              <w:rPr>
                <w:rFonts w:asciiTheme="majorHAnsi" w:hAnsiTheme="majorHAnsi" w:cstheme="majorHAnsi"/>
                <w:sz w:val="20"/>
                <w:szCs w:val="20"/>
              </w:rPr>
            </w:pPr>
            <w:r w:rsidRPr="0053555E">
              <w:rPr>
                <w:rFonts w:cs="Arial"/>
                <w:sz w:val="20"/>
                <w:szCs w:val="20"/>
              </w:rPr>
              <w:t>59 128</w:t>
            </w:r>
          </w:p>
        </w:tc>
        <w:tc>
          <w:tcPr>
            <w:tcW w:w="1247" w:type="dxa"/>
            <w:tcBorders>
              <w:top w:val="nil"/>
              <w:left w:val="nil"/>
              <w:bottom w:val="single" w:sz="4" w:space="0" w:color="auto"/>
              <w:right w:val="single" w:sz="4" w:space="0" w:color="auto"/>
            </w:tcBorders>
            <w:shd w:val="clear" w:color="auto" w:fill="auto"/>
            <w:noWrap/>
            <w:vAlign w:val="bottom"/>
            <w:hideMark/>
          </w:tcPr>
          <w:p w14:paraId="6612864F" w14:textId="4146AE50" w:rsidR="000754FE" w:rsidRPr="0053555E" w:rsidRDefault="000754FE" w:rsidP="000754FE">
            <w:pPr>
              <w:jc w:val="center"/>
              <w:rPr>
                <w:rFonts w:asciiTheme="majorHAnsi" w:hAnsiTheme="majorHAnsi" w:cstheme="majorHAnsi"/>
                <w:b/>
                <w:bCs/>
                <w:sz w:val="20"/>
                <w:szCs w:val="20"/>
              </w:rPr>
            </w:pPr>
            <w:r w:rsidRPr="0053555E">
              <w:rPr>
                <w:rFonts w:cs="Arial"/>
                <w:sz w:val="20"/>
                <w:szCs w:val="20"/>
              </w:rPr>
              <w:t>39 209</w:t>
            </w:r>
          </w:p>
        </w:tc>
        <w:tc>
          <w:tcPr>
            <w:tcW w:w="1247" w:type="dxa"/>
            <w:tcBorders>
              <w:top w:val="nil"/>
              <w:left w:val="nil"/>
              <w:bottom w:val="single" w:sz="4" w:space="0" w:color="auto"/>
              <w:right w:val="single" w:sz="4" w:space="0" w:color="auto"/>
            </w:tcBorders>
            <w:shd w:val="clear" w:color="auto" w:fill="auto"/>
            <w:noWrap/>
            <w:vAlign w:val="bottom"/>
            <w:hideMark/>
          </w:tcPr>
          <w:p w14:paraId="6FB77FE1" w14:textId="62A24DE1" w:rsidR="000754FE" w:rsidRPr="0053555E" w:rsidRDefault="000754FE" w:rsidP="000754FE">
            <w:pPr>
              <w:jc w:val="center"/>
              <w:rPr>
                <w:rFonts w:asciiTheme="majorHAnsi" w:hAnsiTheme="majorHAnsi" w:cstheme="majorHAnsi"/>
                <w:sz w:val="20"/>
                <w:szCs w:val="20"/>
              </w:rPr>
            </w:pPr>
            <w:r w:rsidRPr="0053555E">
              <w:rPr>
                <w:rFonts w:cs="Arial"/>
                <w:sz w:val="20"/>
                <w:szCs w:val="20"/>
              </w:rPr>
              <w:t>66</w:t>
            </w:r>
            <w:r w:rsidR="003836EE"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6DB1CC41" w14:textId="4ED3ED96" w:rsidR="000754FE" w:rsidRPr="0053555E" w:rsidRDefault="000754FE" w:rsidP="000754FE">
            <w:pPr>
              <w:jc w:val="center"/>
              <w:rPr>
                <w:rFonts w:asciiTheme="majorHAnsi" w:hAnsiTheme="majorHAnsi" w:cstheme="majorHAnsi"/>
                <w:sz w:val="20"/>
                <w:szCs w:val="20"/>
              </w:rPr>
            </w:pPr>
            <w:r w:rsidRPr="0053555E">
              <w:rPr>
                <w:rFonts w:cs="Arial"/>
                <w:sz w:val="20"/>
                <w:szCs w:val="20"/>
              </w:rPr>
              <w:t>2 192</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58F5BAA5" w14:textId="0BB80839" w:rsidR="000754FE" w:rsidRPr="0053555E" w:rsidRDefault="000754FE" w:rsidP="000754FE">
            <w:pPr>
              <w:jc w:val="center"/>
              <w:rPr>
                <w:rFonts w:asciiTheme="majorHAnsi" w:hAnsiTheme="majorHAnsi" w:cstheme="majorHAnsi"/>
                <w:b/>
                <w:sz w:val="20"/>
                <w:szCs w:val="20"/>
              </w:rPr>
            </w:pPr>
            <w:r w:rsidRPr="0053555E">
              <w:rPr>
                <w:rFonts w:cs="Arial"/>
                <w:sz w:val="20"/>
                <w:szCs w:val="20"/>
              </w:rPr>
              <w:t>5,6</w:t>
            </w:r>
            <w:r w:rsidR="008877A2"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66062E78" w14:textId="18952B97" w:rsidR="000754FE" w:rsidRPr="0053555E" w:rsidRDefault="000754FE" w:rsidP="000754FE">
            <w:pPr>
              <w:jc w:val="center"/>
              <w:rPr>
                <w:rFonts w:asciiTheme="majorHAnsi" w:hAnsiTheme="majorHAnsi" w:cstheme="majorHAnsi"/>
                <w:sz w:val="20"/>
                <w:szCs w:val="20"/>
              </w:rPr>
            </w:pPr>
            <w:r w:rsidRPr="0053555E">
              <w:rPr>
                <w:rFonts w:cs="Arial"/>
                <w:sz w:val="20"/>
                <w:szCs w:val="20"/>
              </w:rPr>
              <w:t>151 316</w:t>
            </w:r>
          </w:p>
        </w:tc>
        <w:tc>
          <w:tcPr>
            <w:tcW w:w="1247" w:type="dxa"/>
            <w:tcBorders>
              <w:top w:val="nil"/>
              <w:left w:val="nil"/>
              <w:bottom w:val="single" w:sz="4" w:space="0" w:color="auto"/>
              <w:right w:val="single" w:sz="4" w:space="0" w:color="auto"/>
            </w:tcBorders>
            <w:shd w:val="clear" w:color="auto" w:fill="auto"/>
            <w:noWrap/>
            <w:vAlign w:val="bottom"/>
            <w:hideMark/>
          </w:tcPr>
          <w:p w14:paraId="1631AC54" w14:textId="3B165517" w:rsidR="000754FE" w:rsidRPr="0053555E" w:rsidRDefault="000754FE" w:rsidP="000754FE">
            <w:pPr>
              <w:jc w:val="center"/>
              <w:rPr>
                <w:rFonts w:asciiTheme="majorHAnsi" w:hAnsiTheme="majorHAnsi" w:cstheme="majorHAnsi"/>
                <w:sz w:val="20"/>
                <w:szCs w:val="20"/>
              </w:rPr>
            </w:pPr>
            <w:r w:rsidRPr="0053555E">
              <w:rPr>
                <w:rFonts w:cs="Arial"/>
                <w:sz w:val="20"/>
                <w:szCs w:val="20"/>
              </w:rPr>
              <w:t>13 108</w:t>
            </w:r>
          </w:p>
        </w:tc>
        <w:tc>
          <w:tcPr>
            <w:tcW w:w="1247" w:type="dxa"/>
            <w:tcBorders>
              <w:top w:val="nil"/>
              <w:left w:val="nil"/>
              <w:bottom w:val="single" w:sz="4" w:space="0" w:color="auto"/>
              <w:right w:val="single" w:sz="4" w:space="0" w:color="auto"/>
            </w:tcBorders>
            <w:shd w:val="clear" w:color="auto" w:fill="EEECE1" w:themeFill="background2"/>
            <w:noWrap/>
            <w:vAlign w:val="bottom"/>
            <w:hideMark/>
          </w:tcPr>
          <w:p w14:paraId="0AACDA3A" w14:textId="705BE4D9"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8,7</w:t>
            </w:r>
            <w:r w:rsidR="007C20BB" w:rsidRPr="0053555E">
              <w:rPr>
                <w:rFonts w:cs="Arial"/>
                <w:b/>
                <w:bCs/>
                <w:sz w:val="20"/>
                <w:szCs w:val="20"/>
              </w:rPr>
              <w:t xml:space="preserve"> </w:t>
            </w:r>
            <w:r w:rsidRPr="0053555E">
              <w:rPr>
                <w:rFonts w:cs="Arial"/>
                <w:b/>
                <w:bCs/>
                <w:sz w:val="20"/>
                <w:szCs w:val="20"/>
              </w:rPr>
              <w:t>%</w:t>
            </w:r>
          </w:p>
        </w:tc>
        <w:tc>
          <w:tcPr>
            <w:tcW w:w="1247" w:type="dxa"/>
            <w:tcBorders>
              <w:top w:val="nil"/>
              <w:left w:val="nil"/>
              <w:bottom w:val="single" w:sz="4" w:space="0" w:color="auto"/>
              <w:right w:val="single" w:sz="4" w:space="0" w:color="auto"/>
            </w:tcBorders>
            <w:shd w:val="clear" w:color="auto" w:fill="auto"/>
            <w:noWrap/>
            <w:vAlign w:val="bottom"/>
            <w:hideMark/>
          </w:tcPr>
          <w:p w14:paraId="243C9008" w14:textId="428A4036" w:rsidR="000754FE" w:rsidRPr="0053555E" w:rsidRDefault="000754FE" w:rsidP="000754FE">
            <w:pPr>
              <w:jc w:val="center"/>
              <w:rPr>
                <w:rFonts w:asciiTheme="majorHAnsi" w:hAnsiTheme="majorHAnsi" w:cstheme="majorHAnsi"/>
                <w:sz w:val="20"/>
                <w:szCs w:val="20"/>
              </w:rPr>
            </w:pPr>
            <w:r w:rsidRPr="0053555E">
              <w:rPr>
                <w:rFonts w:cs="Arial"/>
                <w:sz w:val="20"/>
                <w:szCs w:val="20"/>
              </w:rPr>
              <w:t>311 045</w:t>
            </w:r>
          </w:p>
        </w:tc>
        <w:tc>
          <w:tcPr>
            <w:tcW w:w="1247" w:type="dxa"/>
            <w:tcBorders>
              <w:top w:val="nil"/>
              <w:left w:val="nil"/>
              <w:bottom w:val="single" w:sz="4" w:space="0" w:color="auto"/>
              <w:right w:val="single" w:sz="4" w:space="0" w:color="auto"/>
            </w:tcBorders>
            <w:shd w:val="clear" w:color="auto" w:fill="auto"/>
            <w:noWrap/>
            <w:vAlign w:val="bottom"/>
            <w:hideMark/>
          </w:tcPr>
          <w:p w14:paraId="426E35C8" w14:textId="1FD2EA14" w:rsidR="000754FE" w:rsidRPr="0053555E" w:rsidRDefault="000754FE" w:rsidP="000754FE">
            <w:pPr>
              <w:jc w:val="center"/>
              <w:rPr>
                <w:rFonts w:asciiTheme="majorHAnsi" w:hAnsiTheme="majorHAnsi" w:cstheme="majorHAnsi"/>
                <w:sz w:val="20"/>
                <w:szCs w:val="20"/>
              </w:rPr>
            </w:pPr>
            <w:r w:rsidRPr="0053555E">
              <w:rPr>
                <w:rFonts w:cs="Arial"/>
                <w:sz w:val="20"/>
                <w:szCs w:val="20"/>
              </w:rPr>
              <w:t>22 180</w:t>
            </w:r>
          </w:p>
        </w:tc>
        <w:tc>
          <w:tcPr>
            <w:tcW w:w="1247" w:type="dxa"/>
            <w:tcBorders>
              <w:top w:val="nil"/>
              <w:left w:val="nil"/>
              <w:bottom w:val="single" w:sz="4" w:space="0" w:color="auto"/>
              <w:right w:val="single" w:sz="4" w:space="0" w:color="auto"/>
            </w:tcBorders>
            <w:shd w:val="clear" w:color="auto" w:fill="auto"/>
            <w:noWrap/>
            <w:vAlign w:val="bottom"/>
            <w:hideMark/>
          </w:tcPr>
          <w:p w14:paraId="19122050" w14:textId="7E078BBA" w:rsidR="000754FE" w:rsidRPr="0053555E" w:rsidRDefault="000754FE" w:rsidP="000754FE">
            <w:pPr>
              <w:jc w:val="center"/>
              <w:rPr>
                <w:rFonts w:asciiTheme="majorHAnsi" w:hAnsiTheme="majorHAnsi" w:cstheme="majorHAnsi"/>
                <w:sz w:val="20"/>
                <w:szCs w:val="20"/>
              </w:rPr>
            </w:pPr>
            <w:r w:rsidRPr="0053555E">
              <w:rPr>
                <w:rFonts w:cs="Arial"/>
                <w:sz w:val="20"/>
                <w:szCs w:val="20"/>
              </w:rPr>
              <w:t>7,1</w:t>
            </w:r>
            <w:r w:rsidR="007C20BB" w:rsidRPr="0053555E">
              <w:rPr>
                <w:rFonts w:cs="Arial"/>
                <w:sz w:val="20"/>
                <w:szCs w:val="20"/>
              </w:rPr>
              <w:t xml:space="preserve"> </w:t>
            </w:r>
            <w:r w:rsidRPr="0053555E">
              <w:rPr>
                <w:rFonts w:cs="Arial"/>
                <w:sz w:val="20"/>
                <w:szCs w:val="20"/>
              </w:rPr>
              <w:t>%</w:t>
            </w:r>
          </w:p>
        </w:tc>
      </w:tr>
      <w:tr w:rsidR="000754FE" w:rsidRPr="0053555E" w14:paraId="545E81C9" w14:textId="77777777" w:rsidTr="00D4713E">
        <w:trPr>
          <w:trHeight w:val="227"/>
        </w:trPr>
        <w:tc>
          <w:tcPr>
            <w:tcW w:w="1247" w:type="dxa"/>
            <w:tcBorders>
              <w:top w:val="nil"/>
              <w:left w:val="single" w:sz="4" w:space="0" w:color="auto"/>
              <w:bottom w:val="single" w:sz="4" w:space="0" w:color="auto"/>
              <w:right w:val="single" w:sz="4" w:space="0" w:color="auto"/>
            </w:tcBorders>
            <w:shd w:val="clear" w:color="auto" w:fill="auto"/>
            <w:noWrap/>
            <w:vAlign w:val="bottom"/>
          </w:tcPr>
          <w:p w14:paraId="0D3459E5" w14:textId="664F302C" w:rsidR="000754FE" w:rsidRPr="0053555E" w:rsidRDefault="000754FE" w:rsidP="000754FE">
            <w:pPr>
              <w:jc w:val="center"/>
              <w:rPr>
                <w:rFonts w:asciiTheme="majorHAnsi" w:hAnsiTheme="majorHAnsi" w:cstheme="majorHAnsi"/>
                <w:sz w:val="20"/>
                <w:szCs w:val="20"/>
              </w:rPr>
            </w:pPr>
            <w:r w:rsidRPr="0053555E">
              <w:rPr>
                <w:rFonts w:cs="Arial"/>
                <w:sz w:val="20"/>
                <w:szCs w:val="20"/>
              </w:rPr>
              <w:t>2017/2018</w:t>
            </w:r>
          </w:p>
        </w:tc>
        <w:tc>
          <w:tcPr>
            <w:tcW w:w="1247" w:type="dxa"/>
            <w:tcBorders>
              <w:top w:val="nil"/>
              <w:left w:val="nil"/>
              <w:bottom w:val="single" w:sz="4" w:space="0" w:color="auto"/>
              <w:right w:val="single" w:sz="4" w:space="0" w:color="auto"/>
            </w:tcBorders>
            <w:shd w:val="clear" w:color="auto" w:fill="auto"/>
            <w:noWrap/>
            <w:vAlign w:val="bottom"/>
          </w:tcPr>
          <w:p w14:paraId="2C6967C1" w14:textId="6FDB5F19" w:rsidR="000754FE" w:rsidRPr="0053555E" w:rsidRDefault="000754FE" w:rsidP="000754FE">
            <w:pPr>
              <w:jc w:val="center"/>
              <w:rPr>
                <w:rFonts w:asciiTheme="majorHAnsi" w:hAnsiTheme="majorHAnsi" w:cstheme="majorHAnsi"/>
                <w:sz w:val="20"/>
                <w:szCs w:val="20"/>
              </w:rPr>
            </w:pPr>
            <w:r w:rsidRPr="0053555E">
              <w:rPr>
                <w:rFonts w:cs="Arial"/>
                <w:sz w:val="20"/>
                <w:szCs w:val="20"/>
              </w:rPr>
              <w:t>57 679</w:t>
            </w:r>
          </w:p>
        </w:tc>
        <w:tc>
          <w:tcPr>
            <w:tcW w:w="1247" w:type="dxa"/>
            <w:tcBorders>
              <w:top w:val="nil"/>
              <w:left w:val="nil"/>
              <w:bottom w:val="single" w:sz="4" w:space="0" w:color="auto"/>
              <w:right w:val="single" w:sz="4" w:space="0" w:color="auto"/>
            </w:tcBorders>
            <w:shd w:val="clear" w:color="auto" w:fill="auto"/>
            <w:noWrap/>
            <w:vAlign w:val="bottom"/>
          </w:tcPr>
          <w:p w14:paraId="62BE2E7A" w14:textId="1124F31B" w:rsidR="000754FE" w:rsidRPr="0053555E" w:rsidRDefault="000754FE" w:rsidP="000754FE">
            <w:pPr>
              <w:jc w:val="center"/>
              <w:rPr>
                <w:rFonts w:asciiTheme="majorHAnsi" w:hAnsiTheme="majorHAnsi" w:cstheme="majorHAnsi"/>
                <w:b/>
                <w:bCs/>
                <w:sz w:val="20"/>
                <w:szCs w:val="20"/>
              </w:rPr>
            </w:pPr>
            <w:r w:rsidRPr="0053555E">
              <w:rPr>
                <w:rFonts w:cs="Arial"/>
                <w:sz w:val="20"/>
                <w:szCs w:val="20"/>
              </w:rPr>
              <w:t>34 517</w:t>
            </w:r>
          </w:p>
        </w:tc>
        <w:tc>
          <w:tcPr>
            <w:tcW w:w="1247" w:type="dxa"/>
            <w:tcBorders>
              <w:top w:val="nil"/>
              <w:left w:val="nil"/>
              <w:bottom w:val="single" w:sz="4" w:space="0" w:color="auto"/>
              <w:right w:val="single" w:sz="4" w:space="0" w:color="auto"/>
            </w:tcBorders>
            <w:shd w:val="clear" w:color="auto" w:fill="auto"/>
            <w:noWrap/>
            <w:vAlign w:val="bottom"/>
          </w:tcPr>
          <w:p w14:paraId="3509F695" w14:textId="079295F8" w:rsidR="000754FE" w:rsidRPr="0053555E" w:rsidRDefault="000754FE" w:rsidP="000754FE">
            <w:pPr>
              <w:jc w:val="center"/>
              <w:rPr>
                <w:rFonts w:asciiTheme="majorHAnsi" w:hAnsiTheme="majorHAnsi" w:cstheme="majorHAnsi"/>
                <w:sz w:val="20"/>
                <w:szCs w:val="20"/>
              </w:rPr>
            </w:pPr>
            <w:r w:rsidRPr="0053555E">
              <w:rPr>
                <w:rFonts w:cs="Arial"/>
                <w:sz w:val="20"/>
                <w:szCs w:val="20"/>
              </w:rPr>
              <w:t>60</w:t>
            </w:r>
            <w:r w:rsidR="003836EE"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tcPr>
          <w:p w14:paraId="5A457A0F" w14:textId="3BB0A2E8" w:rsidR="000754FE" w:rsidRPr="0053555E" w:rsidRDefault="000754FE" w:rsidP="000754FE">
            <w:pPr>
              <w:jc w:val="center"/>
              <w:rPr>
                <w:rFonts w:asciiTheme="majorHAnsi" w:hAnsiTheme="majorHAnsi" w:cstheme="majorHAnsi"/>
                <w:sz w:val="20"/>
                <w:szCs w:val="20"/>
              </w:rPr>
            </w:pPr>
            <w:r w:rsidRPr="0053555E">
              <w:rPr>
                <w:rFonts w:cs="Arial"/>
                <w:sz w:val="20"/>
                <w:szCs w:val="20"/>
              </w:rPr>
              <w:t>1 836</w:t>
            </w:r>
          </w:p>
        </w:tc>
        <w:tc>
          <w:tcPr>
            <w:tcW w:w="1247" w:type="dxa"/>
            <w:tcBorders>
              <w:top w:val="nil"/>
              <w:left w:val="nil"/>
              <w:bottom w:val="single" w:sz="4" w:space="0" w:color="auto"/>
              <w:right w:val="single" w:sz="4" w:space="0" w:color="auto"/>
            </w:tcBorders>
            <w:shd w:val="clear" w:color="auto" w:fill="EEECE1" w:themeFill="background2"/>
            <w:noWrap/>
            <w:vAlign w:val="bottom"/>
          </w:tcPr>
          <w:p w14:paraId="366879AD" w14:textId="2E202F2D" w:rsidR="000754FE" w:rsidRPr="0053555E" w:rsidRDefault="000754FE" w:rsidP="000754FE">
            <w:pPr>
              <w:jc w:val="center"/>
              <w:rPr>
                <w:rFonts w:asciiTheme="majorHAnsi" w:hAnsiTheme="majorHAnsi" w:cstheme="majorHAnsi"/>
                <w:b/>
                <w:sz w:val="20"/>
                <w:szCs w:val="20"/>
              </w:rPr>
            </w:pPr>
            <w:r w:rsidRPr="0053555E">
              <w:rPr>
                <w:rFonts w:cs="Arial"/>
                <w:sz w:val="20"/>
                <w:szCs w:val="20"/>
              </w:rPr>
              <w:t>5,3</w:t>
            </w:r>
            <w:r w:rsidR="008877A2" w:rsidRPr="0053555E">
              <w:rPr>
                <w:rFonts w:cs="Arial"/>
                <w:sz w:val="20"/>
                <w:szCs w:val="20"/>
              </w:rPr>
              <w:t xml:space="preserve"> </w:t>
            </w:r>
            <w:r w:rsidRPr="0053555E">
              <w:rPr>
                <w:rFonts w:cs="Arial"/>
                <w:sz w:val="20"/>
                <w:szCs w:val="20"/>
              </w:rPr>
              <w:t>%</w:t>
            </w:r>
          </w:p>
        </w:tc>
        <w:tc>
          <w:tcPr>
            <w:tcW w:w="1247" w:type="dxa"/>
            <w:tcBorders>
              <w:top w:val="nil"/>
              <w:left w:val="nil"/>
              <w:bottom w:val="single" w:sz="4" w:space="0" w:color="auto"/>
              <w:right w:val="single" w:sz="4" w:space="0" w:color="auto"/>
            </w:tcBorders>
            <w:shd w:val="clear" w:color="auto" w:fill="auto"/>
            <w:noWrap/>
            <w:vAlign w:val="bottom"/>
          </w:tcPr>
          <w:p w14:paraId="6110AEB9" w14:textId="6F02D492" w:rsidR="000754FE" w:rsidRPr="0053555E" w:rsidRDefault="000754FE" w:rsidP="000754FE">
            <w:pPr>
              <w:jc w:val="center"/>
              <w:rPr>
                <w:rFonts w:asciiTheme="majorHAnsi" w:hAnsiTheme="majorHAnsi" w:cstheme="majorHAnsi"/>
                <w:sz w:val="20"/>
                <w:szCs w:val="20"/>
              </w:rPr>
            </w:pPr>
            <w:r w:rsidRPr="0053555E">
              <w:rPr>
                <w:rFonts w:cs="Arial"/>
                <w:sz w:val="20"/>
                <w:szCs w:val="20"/>
              </w:rPr>
              <w:t>140 047</w:t>
            </w:r>
          </w:p>
        </w:tc>
        <w:tc>
          <w:tcPr>
            <w:tcW w:w="1247" w:type="dxa"/>
            <w:tcBorders>
              <w:top w:val="nil"/>
              <w:left w:val="nil"/>
              <w:bottom w:val="single" w:sz="4" w:space="0" w:color="auto"/>
              <w:right w:val="single" w:sz="4" w:space="0" w:color="auto"/>
            </w:tcBorders>
            <w:shd w:val="clear" w:color="auto" w:fill="auto"/>
            <w:noWrap/>
            <w:vAlign w:val="bottom"/>
          </w:tcPr>
          <w:p w14:paraId="580BD6FB" w14:textId="0D12CDA9" w:rsidR="000754FE" w:rsidRPr="0053555E" w:rsidRDefault="000754FE" w:rsidP="000754FE">
            <w:pPr>
              <w:jc w:val="center"/>
              <w:rPr>
                <w:rFonts w:asciiTheme="majorHAnsi" w:hAnsiTheme="majorHAnsi" w:cstheme="majorHAnsi"/>
                <w:sz w:val="20"/>
                <w:szCs w:val="20"/>
              </w:rPr>
            </w:pPr>
            <w:r w:rsidRPr="0053555E">
              <w:rPr>
                <w:rFonts w:cs="Arial"/>
                <w:sz w:val="20"/>
                <w:szCs w:val="20"/>
              </w:rPr>
              <w:t>11 748</w:t>
            </w:r>
          </w:p>
        </w:tc>
        <w:tc>
          <w:tcPr>
            <w:tcW w:w="1247" w:type="dxa"/>
            <w:tcBorders>
              <w:top w:val="nil"/>
              <w:left w:val="nil"/>
              <w:bottom w:val="single" w:sz="4" w:space="0" w:color="auto"/>
              <w:right w:val="single" w:sz="4" w:space="0" w:color="auto"/>
            </w:tcBorders>
            <w:shd w:val="clear" w:color="auto" w:fill="EEECE1" w:themeFill="background2"/>
            <w:noWrap/>
            <w:vAlign w:val="bottom"/>
          </w:tcPr>
          <w:p w14:paraId="59434AFA" w14:textId="1067475B"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8,4</w:t>
            </w:r>
            <w:r w:rsidR="007C20BB" w:rsidRPr="0053555E">
              <w:rPr>
                <w:rFonts w:cs="Arial"/>
                <w:b/>
                <w:bCs/>
                <w:sz w:val="20"/>
                <w:szCs w:val="20"/>
              </w:rPr>
              <w:t xml:space="preserve"> </w:t>
            </w:r>
            <w:r w:rsidRPr="0053555E">
              <w:rPr>
                <w:rFonts w:cs="Arial"/>
                <w:b/>
                <w:bCs/>
                <w:sz w:val="20"/>
                <w:szCs w:val="20"/>
              </w:rPr>
              <w:t>%</w:t>
            </w:r>
          </w:p>
        </w:tc>
        <w:tc>
          <w:tcPr>
            <w:tcW w:w="1247" w:type="dxa"/>
            <w:tcBorders>
              <w:top w:val="nil"/>
              <w:left w:val="nil"/>
              <w:bottom w:val="single" w:sz="4" w:space="0" w:color="auto"/>
              <w:right w:val="single" w:sz="4" w:space="0" w:color="auto"/>
            </w:tcBorders>
            <w:shd w:val="clear" w:color="auto" w:fill="auto"/>
            <w:noWrap/>
            <w:vAlign w:val="bottom"/>
          </w:tcPr>
          <w:p w14:paraId="05A032F7" w14:textId="3B771DE3" w:rsidR="000754FE" w:rsidRPr="0053555E" w:rsidRDefault="000754FE" w:rsidP="000754FE">
            <w:pPr>
              <w:jc w:val="center"/>
              <w:rPr>
                <w:rFonts w:asciiTheme="majorHAnsi" w:hAnsiTheme="majorHAnsi" w:cstheme="majorHAnsi"/>
                <w:sz w:val="20"/>
                <w:szCs w:val="20"/>
              </w:rPr>
            </w:pPr>
            <w:r w:rsidRPr="0053555E">
              <w:rPr>
                <w:rFonts w:cs="Arial"/>
                <w:sz w:val="20"/>
                <w:szCs w:val="20"/>
              </w:rPr>
              <w:t>298 663</w:t>
            </w:r>
          </w:p>
        </w:tc>
        <w:tc>
          <w:tcPr>
            <w:tcW w:w="1247" w:type="dxa"/>
            <w:tcBorders>
              <w:top w:val="nil"/>
              <w:left w:val="nil"/>
              <w:bottom w:val="single" w:sz="4" w:space="0" w:color="auto"/>
              <w:right w:val="single" w:sz="4" w:space="0" w:color="auto"/>
            </w:tcBorders>
            <w:shd w:val="clear" w:color="auto" w:fill="auto"/>
            <w:noWrap/>
            <w:vAlign w:val="bottom"/>
          </w:tcPr>
          <w:p w14:paraId="6DCFCE8C" w14:textId="339791CB" w:rsidR="000754FE" w:rsidRPr="0053555E" w:rsidRDefault="000754FE" w:rsidP="000754FE">
            <w:pPr>
              <w:jc w:val="center"/>
              <w:rPr>
                <w:rFonts w:asciiTheme="majorHAnsi" w:hAnsiTheme="majorHAnsi" w:cstheme="majorHAnsi"/>
                <w:sz w:val="20"/>
                <w:szCs w:val="20"/>
              </w:rPr>
            </w:pPr>
            <w:r w:rsidRPr="0053555E">
              <w:rPr>
                <w:rFonts w:cs="Arial"/>
                <w:sz w:val="20"/>
                <w:szCs w:val="20"/>
              </w:rPr>
              <w:t>21 477</w:t>
            </w:r>
          </w:p>
        </w:tc>
        <w:tc>
          <w:tcPr>
            <w:tcW w:w="1247" w:type="dxa"/>
            <w:tcBorders>
              <w:top w:val="nil"/>
              <w:left w:val="nil"/>
              <w:bottom w:val="single" w:sz="4" w:space="0" w:color="auto"/>
              <w:right w:val="single" w:sz="4" w:space="0" w:color="auto"/>
            </w:tcBorders>
            <w:shd w:val="clear" w:color="auto" w:fill="auto"/>
            <w:noWrap/>
            <w:vAlign w:val="bottom"/>
          </w:tcPr>
          <w:p w14:paraId="5833C020" w14:textId="02886299" w:rsidR="000754FE" w:rsidRPr="0053555E" w:rsidRDefault="000754FE" w:rsidP="000754FE">
            <w:pPr>
              <w:jc w:val="center"/>
              <w:rPr>
                <w:rFonts w:asciiTheme="majorHAnsi" w:hAnsiTheme="majorHAnsi" w:cstheme="majorHAnsi"/>
                <w:sz w:val="20"/>
                <w:szCs w:val="20"/>
              </w:rPr>
            </w:pPr>
            <w:r w:rsidRPr="0053555E">
              <w:rPr>
                <w:rFonts w:cs="Arial"/>
                <w:sz w:val="20"/>
                <w:szCs w:val="20"/>
              </w:rPr>
              <w:t>7,2</w:t>
            </w:r>
            <w:r w:rsidR="007C20BB" w:rsidRPr="0053555E">
              <w:rPr>
                <w:rFonts w:cs="Arial"/>
                <w:sz w:val="20"/>
                <w:szCs w:val="20"/>
              </w:rPr>
              <w:t xml:space="preserve"> </w:t>
            </w:r>
            <w:r w:rsidRPr="0053555E">
              <w:rPr>
                <w:rFonts w:cs="Arial"/>
                <w:sz w:val="20"/>
                <w:szCs w:val="20"/>
              </w:rPr>
              <w:t>%</w:t>
            </w:r>
          </w:p>
        </w:tc>
      </w:tr>
      <w:tr w:rsidR="000754FE" w:rsidRPr="0053555E" w14:paraId="71F8975F" w14:textId="77777777" w:rsidTr="00D4713E">
        <w:trPr>
          <w:trHeight w:val="227"/>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5E704" w14:textId="755022F1" w:rsidR="000754FE" w:rsidRPr="0053555E" w:rsidRDefault="000754FE" w:rsidP="000754FE">
            <w:pPr>
              <w:jc w:val="center"/>
              <w:rPr>
                <w:rFonts w:asciiTheme="majorHAnsi" w:hAnsiTheme="majorHAnsi" w:cstheme="majorHAnsi"/>
                <w:sz w:val="20"/>
                <w:szCs w:val="20"/>
              </w:rPr>
            </w:pPr>
            <w:r w:rsidRPr="0053555E">
              <w:rPr>
                <w:rFonts w:cs="Arial"/>
                <w:sz w:val="20"/>
                <w:szCs w:val="20"/>
              </w:rPr>
              <w:t>2018/2019</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1F9C6CFB" w14:textId="66D2F59F" w:rsidR="000754FE" w:rsidRPr="0053555E" w:rsidRDefault="000754FE" w:rsidP="000754FE">
            <w:pPr>
              <w:jc w:val="center"/>
              <w:rPr>
                <w:rFonts w:asciiTheme="majorHAnsi" w:hAnsiTheme="majorHAnsi" w:cstheme="majorHAnsi"/>
                <w:sz w:val="20"/>
                <w:szCs w:val="20"/>
              </w:rPr>
            </w:pPr>
            <w:r w:rsidRPr="0053555E">
              <w:rPr>
                <w:rFonts w:cs="Arial"/>
                <w:sz w:val="20"/>
                <w:szCs w:val="20"/>
              </w:rPr>
              <w:t>56 357</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4F0D9B92" w14:textId="34147D27" w:rsidR="000754FE" w:rsidRPr="0053555E" w:rsidRDefault="000754FE" w:rsidP="000754FE">
            <w:pPr>
              <w:jc w:val="center"/>
              <w:rPr>
                <w:rFonts w:asciiTheme="majorHAnsi" w:hAnsiTheme="majorHAnsi" w:cstheme="majorHAnsi"/>
                <w:b/>
                <w:bCs/>
                <w:sz w:val="20"/>
                <w:szCs w:val="20"/>
              </w:rPr>
            </w:pPr>
            <w:r w:rsidRPr="0053555E">
              <w:rPr>
                <w:rFonts w:cs="Arial"/>
                <w:sz w:val="20"/>
                <w:szCs w:val="20"/>
              </w:rPr>
              <w:t>37 411</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8160754" w14:textId="1D900DC8" w:rsidR="000754FE" w:rsidRPr="0053555E" w:rsidRDefault="000754FE" w:rsidP="000754FE">
            <w:pPr>
              <w:jc w:val="center"/>
              <w:rPr>
                <w:rFonts w:asciiTheme="majorHAnsi" w:hAnsiTheme="majorHAnsi" w:cstheme="majorHAnsi"/>
                <w:sz w:val="20"/>
                <w:szCs w:val="20"/>
              </w:rPr>
            </w:pPr>
            <w:r w:rsidRPr="0053555E">
              <w:rPr>
                <w:rFonts w:cs="Arial"/>
                <w:sz w:val="20"/>
                <w:szCs w:val="20"/>
              </w:rPr>
              <w:t>66</w:t>
            </w:r>
            <w:r w:rsidR="003836EE" w:rsidRPr="0053555E">
              <w:rPr>
                <w:rFonts w:cs="Arial"/>
                <w:sz w:val="20"/>
                <w:szCs w:val="20"/>
              </w:rPr>
              <w:t xml:space="preserve"> </w:t>
            </w:r>
            <w:r w:rsidRPr="0053555E">
              <w:rPr>
                <w:rFonts w:cs="Arial"/>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02412CE" w14:textId="2F0C8E6F" w:rsidR="000754FE" w:rsidRPr="0053555E" w:rsidRDefault="000754FE" w:rsidP="000754FE">
            <w:pPr>
              <w:jc w:val="center"/>
              <w:rPr>
                <w:rFonts w:asciiTheme="majorHAnsi" w:hAnsiTheme="majorHAnsi" w:cstheme="majorHAnsi"/>
                <w:sz w:val="20"/>
                <w:szCs w:val="20"/>
              </w:rPr>
            </w:pPr>
            <w:r w:rsidRPr="0053555E">
              <w:rPr>
                <w:rFonts w:cs="Arial"/>
                <w:sz w:val="20"/>
                <w:szCs w:val="20"/>
              </w:rPr>
              <w:t>2 187</w:t>
            </w:r>
          </w:p>
        </w:tc>
        <w:tc>
          <w:tcPr>
            <w:tcW w:w="1247"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62F25B40" w14:textId="23BE9B3B" w:rsidR="000754FE" w:rsidRPr="0053555E" w:rsidRDefault="000754FE" w:rsidP="000754FE">
            <w:pPr>
              <w:jc w:val="center"/>
              <w:rPr>
                <w:rFonts w:asciiTheme="majorHAnsi" w:hAnsiTheme="majorHAnsi" w:cstheme="majorHAnsi"/>
                <w:b/>
                <w:sz w:val="20"/>
                <w:szCs w:val="20"/>
              </w:rPr>
            </w:pPr>
            <w:r w:rsidRPr="0053555E">
              <w:rPr>
                <w:rFonts w:cs="Arial"/>
                <w:sz w:val="20"/>
                <w:szCs w:val="20"/>
              </w:rPr>
              <w:t>5,8</w:t>
            </w:r>
            <w:r w:rsidR="008877A2" w:rsidRPr="0053555E">
              <w:rPr>
                <w:rFonts w:cs="Arial"/>
                <w:sz w:val="20"/>
                <w:szCs w:val="20"/>
              </w:rPr>
              <w:t xml:space="preserve"> </w:t>
            </w:r>
            <w:r w:rsidRPr="0053555E">
              <w:rPr>
                <w:rFonts w:cs="Arial"/>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6A38E1B" w14:textId="24292B59" w:rsidR="000754FE" w:rsidRPr="0053555E" w:rsidRDefault="000754FE" w:rsidP="000754FE">
            <w:pPr>
              <w:jc w:val="center"/>
              <w:rPr>
                <w:rFonts w:asciiTheme="majorHAnsi" w:hAnsiTheme="majorHAnsi" w:cstheme="majorHAnsi"/>
                <w:sz w:val="20"/>
                <w:szCs w:val="20"/>
              </w:rPr>
            </w:pPr>
            <w:r w:rsidRPr="0053555E">
              <w:rPr>
                <w:rFonts w:cs="Arial"/>
                <w:sz w:val="20"/>
                <w:szCs w:val="20"/>
              </w:rPr>
              <w:t>136 874</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4B8F4BD8" w14:textId="2F567B61" w:rsidR="000754FE" w:rsidRPr="0053555E" w:rsidRDefault="000754FE" w:rsidP="000754FE">
            <w:pPr>
              <w:jc w:val="center"/>
              <w:rPr>
                <w:rFonts w:asciiTheme="majorHAnsi" w:hAnsiTheme="majorHAnsi" w:cstheme="majorHAnsi"/>
                <w:sz w:val="20"/>
                <w:szCs w:val="20"/>
              </w:rPr>
            </w:pPr>
            <w:r w:rsidRPr="0053555E">
              <w:rPr>
                <w:rFonts w:cs="Arial"/>
                <w:sz w:val="20"/>
                <w:szCs w:val="20"/>
              </w:rPr>
              <w:t>11 130</w:t>
            </w:r>
          </w:p>
        </w:tc>
        <w:tc>
          <w:tcPr>
            <w:tcW w:w="1247"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535D737C" w14:textId="65291E89"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8,1</w:t>
            </w:r>
            <w:r w:rsidR="007C20BB" w:rsidRPr="0053555E">
              <w:rPr>
                <w:rFonts w:cs="Arial"/>
                <w:b/>
                <w:bCs/>
                <w:sz w:val="20"/>
                <w:szCs w:val="20"/>
              </w:rPr>
              <w:t xml:space="preserve"> </w:t>
            </w:r>
            <w:r w:rsidRPr="0053555E">
              <w:rPr>
                <w:rFonts w:cs="Arial"/>
                <w:b/>
                <w:bCs/>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432449F8" w14:textId="421B4F1E" w:rsidR="000754FE" w:rsidRPr="0053555E" w:rsidRDefault="000754FE" w:rsidP="000754FE">
            <w:pPr>
              <w:jc w:val="center"/>
              <w:rPr>
                <w:rFonts w:asciiTheme="majorHAnsi" w:hAnsiTheme="majorHAnsi" w:cstheme="majorHAnsi"/>
                <w:sz w:val="20"/>
                <w:szCs w:val="20"/>
              </w:rPr>
            </w:pPr>
            <w:r w:rsidRPr="0053555E">
              <w:rPr>
                <w:rFonts w:cs="Arial"/>
                <w:sz w:val="20"/>
                <w:szCs w:val="20"/>
              </w:rPr>
              <w:t>289 649</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236747A" w14:textId="026D2450" w:rsidR="000754FE" w:rsidRPr="0053555E" w:rsidRDefault="000754FE" w:rsidP="000754FE">
            <w:pPr>
              <w:jc w:val="center"/>
              <w:rPr>
                <w:rFonts w:asciiTheme="majorHAnsi" w:hAnsiTheme="majorHAnsi" w:cstheme="majorHAnsi"/>
                <w:sz w:val="20"/>
                <w:szCs w:val="20"/>
              </w:rPr>
            </w:pPr>
            <w:r w:rsidRPr="0053555E">
              <w:rPr>
                <w:rFonts w:cs="Arial"/>
                <w:sz w:val="20"/>
                <w:szCs w:val="20"/>
              </w:rPr>
              <w:t>21 274</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E1F4DCD" w14:textId="453B3D28" w:rsidR="000754FE" w:rsidRPr="0053555E" w:rsidRDefault="000754FE" w:rsidP="000754FE">
            <w:pPr>
              <w:jc w:val="center"/>
              <w:rPr>
                <w:rFonts w:asciiTheme="majorHAnsi" w:hAnsiTheme="majorHAnsi" w:cstheme="majorHAnsi"/>
                <w:sz w:val="20"/>
                <w:szCs w:val="20"/>
              </w:rPr>
            </w:pPr>
            <w:r w:rsidRPr="0053555E">
              <w:rPr>
                <w:rFonts w:cs="Arial"/>
                <w:sz w:val="20"/>
                <w:szCs w:val="20"/>
              </w:rPr>
              <w:t>7,3</w:t>
            </w:r>
            <w:r w:rsidR="007C20BB" w:rsidRPr="0053555E">
              <w:rPr>
                <w:rFonts w:cs="Arial"/>
                <w:sz w:val="20"/>
                <w:szCs w:val="20"/>
              </w:rPr>
              <w:t xml:space="preserve"> </w:t>
            </w:r>
            <w:r w:rsidRPr="0053555E">
              <w:rPr>
                <w:rFonts w:cs="Arial"/>
                <w:sz w:val="20"/>
                <w:szCs w:val="20"/>
              </w:rPr>
              <w:t>%</w:t>
            </w:r>
          </w:p>
        </w:tc>
      </w:tr>
      <w:tr w:rsidR="000754FE" w:rsidRPr="0053555E" w14:paraId="4EE91A60" w14:textId="77777777" w:rsidTr="00D4713E">
        <w:trPr>
          <w:trHeight w:val="227"/>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418E9" w14:textId="7F3B468A" w:rsidR="000754FE" w:rsidRPr="0053555E" w:rsidRDefault="000754FE" w:rsidP="000754FE">
            <w:pPr>
              <w:jc w:val="center"/>
              <w:rPr>
                <w:rFonts w:asciiTheme="majorHAnsi" w:hAnsiTheme="majorHAnsi" w:cstheme="majorHAnsi"/>
                <w:sz w:val="20"/>
                <w:szCs w:val="20"/>
              </w:rPr>
            </w:pPr>
            <w:r w:rsidRPr="0053555E">
              <w:rPr>
                <w:rFonts w:cs="Arial"/>
                <w:sz w:val="20"/>
                <w:szCs w:val="20"/>
              </w:rPr>
              <w:t>2019/2020</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2BCC9729" w14:textId="5A13ED89" w:rsidR="000754FE" w:rsidRPr="0053555E" w:rsidRDefault="000754FE" w:rsidP="000754FE">
            <w:pPr>
              <w:jc w:val="center"/>
              <w:rPr>
                <w:rFonts w:asciiTheme="majorHAnsi" w:hAnsiTheme="majorHAnsi" w:cstheme="majorHAnsi"/>
                <w:sz w:val="20"/>
                <w:szCs w:val="20"/>
              </w:rPr>
            </w:pPr>
            <w:r w:rsidRPr="0053555E">
              <w:rPr>
                <w:rFonts w:cs="Arial"/>
                <w:sz w:val="20"/>
                <w:szCs w:val="20"/>
              </w:rPr>
              <w:t>55 439</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62CFC4AD" w14:textId="2E091BAE" w:rsidR="000754FE" w:rsidRPr="0053555E" w:rsidRDefault="000754FE" w:rsidP="000754FE">
            <w:pPr>
              <w:jc w:val="center"/>
              <w:rPr>
                <w:rFonts w:asciiTheme="majorHAnsi" w:hAnsiTheme="majorHAnsi" w:cstheme="majorHAnsi"/>
                <w:b/>
                <w:bCs/>
                <w:sz w:val="20"/>
                <w:szCs w:val="20"/>
              </w:rPr>
            </w:pPr>
            <w:r w:rsidRPr="0053555E">
              <w:rPr>
                <w:rFonts w:cs="Arial"/>
                <w:sz w:val="20"/>
                <w:szCs w:val="20"/>
              </w:rPr>
              <w:t>37 120</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57B9174F" w14:textId="3A6D7E75" w:rsidR="000754FE" w:rsidRPr="0053555E" w:rsidRDefault="000754FE" w:rsidP="000754FE">
            <w:pPr>
              <w:jc w:val="center"/>
              <w:rPr>
                <w:rFonts w:asciiTheme="majorHAnsi" w:hAnsiTheme="majorHAnsi" w:cstheme="majorHAnsi"/>
                <w:sz w:val="20"/>
                <w:szCs w:val="20"/>
              </w:rPr>
            </w:pPr>
            <w:r w:rsidRPr="0053555E">
              <w:rPr>
                <w:rFonts w:cs="Arial"/>
                <w:sz w:val="20"/>
                <w:szCs w:val="20"/>
              </w:rPr>
              <w:t>67</w:t>
            </w:r>
            <w:r w:rsidR="003836EE" w:rsidRPr="0053555E">
              <w:rPr>
                <w:rFonts w:cs="Arial"/>
                <w:sz w:val="20"/>
                <w:szCs w:val="20"/>
              </w:rPr>
              <w:t xml:space="preserve"> </w:t>
            </w:r>
            <w:r w:rsidRPr="0053555E">
              <w:rPr>
                <w:rFonts w:cs="Arial"/>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72C01234" w14:textId="4340CFA9" w:rsidR="000754FE" w:rsidRPr="0053555E" w:rsidRDefault="000754FE" w:rsidP="000754FE">
            <w:pPr>
              <w:jc w:val="center"/>
              <w:rPr>
                <w:rFonts w:asciiTheme="majorHAnsi" w:hAnsiTheme="majorHAnsi" w:cstheme="majorHAnsi"/>
                <w:sz w:val="20"/>
                <w:szCs w:val="20"/>
              </w:rPr>
            </w:pPr>
            <w:r w:rsidRPr="0053555E">
              <w:rPr>
                <w:rFonts w:cs="Arial"/>
                <w:sz w:val="20"/>
                <w:szCs w:val="20"/>
              </w:rPr>
              <w:t>2 174</w:t>
            </w:r>
          </w:p>
        </w:tc>
        <w:tc>
          <w:tcPr>
            <w:tcW w:w="1247" w:type="dxa"/>
            <w:tcBorders>
              <w:top w:val="single" w:sz="4" w:space="0" w:color="auto"/>
              <w:left w:val="nil"/>
              <w:bottom w:val="single" w:sz="4" w:space="0" w:color="auto"/>
              <w:right w:val="single" w:sz="4" w:space="0" w:color="auto"/>
            </w:tcBorders>
            <w:shd w:val="clear" w:color="auto" w:fill="EEECE1" w:themeFill="background2"/>
            <w:noWrap/>
            <w:vAlign w:val="bottom"/>
          </w:tcPr>
          <w:p w14:paraId="4D87534B" w14:textId="6255DDA7" w:rsidR="000754FE" w:rsidRPr="0053555E" w:rsidRDefault="000754FE" w:rsidP="000754FE">
            <w:pPr>
              <w:jc w:val="center"/>
              <w:rPr>
                <w:rFonts w:asciiTheme="majorHAnsi" w:hAnsiTheme="majorHAnsi" w:cstheme="majorHAnsi"/>
                <w:b/>
                <w:sz w:val="20"/>
                <w:szCs w:val="20"/>
              </w:rPr>
            </w:pPr>
            <w:r w:rsidRPr="0053555E">
              <w:rPr>
                <w:rFonts w:cs="Arial"/>
                <w:sz w:val="20"/>
                <w:szCs w:val="20"/>
              </w:rPr>
              <w:t>5,9</w:t>
            </w:r>
            <w:r w:rsidR="008877A2" w:rsidRPr="0053555E">
              <w:rPr>
                <w:rFonts w:cs="Arial"/>
                <w:sz w:val="20"/>
                <w:szCs w:val="20"/>
              </w:rPr>
              <w:t xml:space="preserve"> </w:t>
            </w:r>
            <w:r w:rsidRPr="0053555E">
              <w:rPr>
                <w:rFonts w:cs="Arial"/>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5B934E91" w14:textId="10AA1C50" w:rsidR="000754FE" w:rsidRPr="0053555E" w:rsidRDefault="000754FE" w:rsidP="000754FE">
            <w:pPr>
              <w:jc w:val="center"/>
              <w:rPr>
                <w:rFonts w:asciiTheme="majorHAnsi" w:hAnsiTheme="majorHAnsi" w:cstheme="majorHAnsi"/>
                <w:sz w:val="20"/>
                <w:szCs w:val="20"/>
              </w:rPr>
            </w:pPr>
            <w:r w:rsidRPr="0053555E">
              <w:rPr>
                <w:rFonts w:cs="Arial"/>
                <w:sz w:val="20"/>
                <w:szCs w:val="20"/>
              </w:rPr>
              <w:t>134 953</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3D3A0736" w14:textId="30BFA5EA" w:rsidR="000754FE" w:rsidRPr="0053555E" w:rsidRDefault="000754FE" w:rsidP="000754FE">
            <w:pPr>
              <w:jc w:val="center"/>
              <w:rPr>
                <w:rFonts w:asciiTheme="majorHAnsi" w:hAnsiTheme="majorHAnsi" w:cstheme="majorHAnsi"/>
                <w:sz w:val="20"/>
                <w:szCs w:val="20"/>
              </w:rPr>
            </w:pPr>
            <w:r w:rsidRPr="0053555E">
              <w:rPr>
                <w:rFonts w:cs="Arial"/>
                <w:sz w:val="20"/>
                <w:szCs w:val="20"/>
              </w:rPr>
              <w:t>10 976</w:t>
            </w:r>
          </w:p>
        </w:tc>
        <w:tc>
          <w:tcPr>
            <w:tcW w:w="1247" w:type="dxa"/>
            <w:tcBorders>
              <w:top w:val="single" w:sz="4" w:space="0" w:color="auto"/>
              <w:left w:val="nil"/>
              <w:bottom w:val="single" w:sz="4" w:space="0" w:color="auto"/>
              <w:right w:val="single" w:sz="4" w:space="0" w:color="auto"/>
            </w:tcBorders>
            <w:shd w:val="clear" w:color="auto" w:fill="EEECE1" w:themeFill="background2"/>
            <w:noWrap/>
            <w:vAlign w:val="bottom"/>
          </w:tcPr>
          <w:p w14:paraId="76338A17" w14:textId="75855B9D"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8,1</w:t>
            </w:r>
            <w:r w:rsidR="007C20BB" w:rsidRPr="0053555E">
              <w:rPr>
                <w:rFonts w:cs="Arial"/>
                <w:b/>
                <w:bCs/>
                <w:sz w:val="20"/>
                <w:szCs w:val="20"/>
              </w:rPr>
              <w:t xml:space="preserve"> </w:t>
            </w:r>
            <w:r w:rsidRPr="0053555E">
              <w:rPr>
                <w:rFonts w:cs="Arial"/>
                <w:b/>
                <w:bCs/>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32458EA4" w14:textId="5D100C59" w:rsidR="000754FE" w:rsidRPr="0053555E" w:rsidRDefault="000754FE" w:rsidP="000754FE">
            <w:pPr>
              <w:jc w:val="center"/>
              <w:rPr>
                <w:rFonts w:asciiTheme="majorHAnsi" w:hAnsiTheme="majorHAnsi" w:cstheme="majorHAnsi"/>
                <w:sz w:val="20"/>
                <w:szCs w:val="20"/>
              </w:rPr>
            </w:pPr>
            <w:r w:rsidRPr="0053555E">
              <w:rPr>
                <w:rFonts w:cs="Arial"/>
                <w:sz w:val="20"/>
                <w:szCs w:val="20"/>
              </w:rPr>
              <w:t>288 577</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317DEDD7" w14:textId="3800A511" w:rsidR="000754FE" w:rsidRPr="0053555E" w:rsidRDefault="000754FE" w:rsidP="000754FE">
            <w:pPr>
              <w:jc w:val="center"/>
              <w:rPr>
                <w:rFonts w:asciiTheme="majorHAnsi" w:hAnsiTheme="majorHAnsi" w:cstheme="majorHAnsi"/>
                <w:sz w:val="20"/>
                <w:szCs w:val="20"/>
              </w:rPr>
            </w:pPr>
            <w:r w:rsidRPr="0053555E">
              <w:rPr>
                <w:rFonts w:cs="Arial"/>
                <w:sz w:val="20"/>
                <w:szCs w:val="20"/>
              </w:rPr>
              <w:t>21 071</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471A16CA" w14:textId="0CA5FC81" w:rsidR="000754FE" w:rsidRPr="0053555E" w:rsidRDefault="000754FE" w:rsidP="000754FE">
            <w:pPr>
              <w:jc w:val="center"/>
              <w:rPr>
                <w:rFonts w:asciiTheme="majorHAnsi" w:hAnsiTheme="majorHAnsi" w:cstheme="majorHAnsi"/>
                <w:sz w:val="20"/>
                <w:szCs w:val="20"/>
              </w:rPr>
            </w:pPr>
            <w:r w:rsidRPr="0053555E">
              <w:rPr>
                <w:rFonts w:cs="Arial"/>
                <w:sz w:val="20"/>
                <w:szCs w:val="20"/>
              </w:rPr>
              <w:t>7,3</w:t>
            </w:r>
            <w:r w:rsidR="007C20BB" w:rsidRPr="0053555E">
              <w:rPr>
                <w:rFonts w:cs="Arial"/>
                <w:sz w:val="20"/>
                <w:szCs w:val="20"/>
              </w:rPr>
              <w:t xml:space="preserve"> </w:t>
            </w:r>
            <w:r w:rsidRPr="0053555E">
              <w:rPr>
                <w:rFonts w:cs="Arial"/>
                <w:sz w:val="20"/>
                <w:szCs w:val="20"/>
              </w:rPr>
              <w:t>%</w:t>
            </w:r>
          </w:p>
        </w:tc>
      </w:tr>
      <w:tr w:rsidR="000754FE" w:rsidRPr="0053555E" w14:paraId="53161D3E" w14:textId="77777777" w:rsidTr="00D4713E">
        <w:trPr>
          <w:trHeight w:val="227"/>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36782" w14:textId="2E77B409" w:rsidR="000754FE" w:rsidRPr="0053555E" w:rsidRDefault="000754FE" w:rsidP="000754FE">
            <w:pPr>
              <w:jc w:val="center"/>
              <w:rPr>
                <w:rFonts w:asciiTheme="majorHAnsi" w:hAnsiTheme="majorHAnsi" w:cstheme="majorHAnsi"/>
                <w:sz w:val="20"/>
                <w:szCs w:val="20"/>
              </w:rPr>
            </w:pPr>
            <w:r w:rsidRPr="0053555E">
              <w:rPr>
                <w:rFonts w:cs="Arial"/>
                <w:sz w:val="20"/>
                <w:szCs w:val="20"/>
              </w:rPr>
              <w:t>2020/2021</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3AB6AB63" w14:textId="41427E3C" w:rsidR="000754FE" w:rsidRPr="0053555E" w:rsidRDefault="000754FE" w:rsidP="000754FE">
            <w:pPr>
              <w:jc w:val="center"/>
              <w:rPr>
                <w:rFonts w:asciiTheme="majorHAnsi" w:hAnsiTheme="majorHAnsi" w:cstheme="majorHAnsi"/>
                <w:sz w:val="20"/>
                <w:szCs w:val="20"/>
              </w:rPr>
            </w:pPr>
            <w:r w:rsidRPr="0053555E">
              <w:rPr>
                <w:rFonts w:cs="Arial"/>
                <w:sz w:val="20"/>
                <w:szCs w:val="20"/>
              </w:rPr>
              <w:t>53 250</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0CD9C18C" w14:textId="2EF189C8" w:rsidR="000754FE" w:rsidRPr="0053555E" w:rsidRDefault="000754FE" w:rsidP="000754FE">
            <w:pPr>
              <w:jc w:val="center"/>
              <w:rPr>
                <w:rFonts w:cs="Calibri"/>
                <w:sz w:val="20"/>
                <w:szCs w:val="20"/>
              </w:rPr>
            </w:pPr>
            <w:r w:rsidRPr="0053555E">
              <w:rPr>
                <w:rFonts w:cs="Arial"/>
                <w:sz w:val="20"/>
                <w:szCs w:val="20"/>
              </w:rPr>
              <w:t>36 254</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18E2BD67" w14:textId="15992F50" w:rsidR="000754FE" w:rsidRPr="0053555E" w:rsidRDefault="000754FE" w:rsidP="000754FE">
            <w:pPr>
              <w:jc w:val="center"/>
              <w:rPr>
                <w:rFonts w:cs="Calibri"/>
                <w:sz w:val="20"/>
                <w:szCs w:val="20"/>
              </w:rPr>
            </w:pPr>
            <w:r w:rsidRPr="0053555E">
              <w:rPr>
                <w:rFonts w:cs="Arial"/>
                <w:sz w:val="20"/>
                <w:szCs w:val="20"/>
              </w:rPr>
              <w:t>68</w:t>
            </w:r>
            <w:r w:rsidR="003836EE" w:rsidRPr="0053555E">
              <w:rPr>
                <w:rFonts w:cs="Arial"/>
                <w:sz w:val="20"/>
                <w:szCs w:val="20"/>
              </w:rPr>
              <w:t xml:space="preserve"> </w:t>
            </w:r>
            <w:r w:rsidRPr="0053555E">
              <w:rPr>
                <w:rFonts w:cs="Arial"/>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4D88CBF8" w14:textId="3ADDE62A" w:rsidR="000754FE" w:rsidRPr="0053555E" w:rsidRDefault="000754FE" w:rsidP="000754FE">
            <w:pPr>
              <w:jc w:val="center"/>
              <w:rPr>
                <w:rFonts w:asciiTheme="majorHAnsi" w:hAnsiTheme="majorHAnsi" w:cstheme="majorHAnsi"/>
                <w:sz w:val="20"/>
                <w:szCs w:val="20"/>
              </w:rPr>
            </w:pPr>
            <w:r w:rsidRPr="0053555E">
              <w:rPr>
                <w:rFonts w:cs="Arial"/>
                <w:sz w:val="20"/>
                <w:szCs w:val="20"/>
              </w:rPr>
              <w:t>1 986</w:t>
            </w:r>
          </w:p>
        </w:tc>
        <w:tc>
          <w:tcPr>
            <w:tcW w:w="1247" w:type="dxa"/>
            <w:tcBorders>
              <w:top w:val="single" w:sz="4" w:space="0" w:color="auto"/>
              <w:left w:val="nil"/>
              <w:bottom w:val="single" w:sz="4" w:space="0" w:color="auto"/>
              <w:right w:val="single" w:sz="4" w:space="0" w:color="auto"/>
            </w:tcBorders>
            <w:shd w:val="clear" w:color="auto" w:fill="EEECE1" w:themeFill="background2"/>
            <w:noWrap/>
            <w:vAlign w:val="bottom"/>
          </w:tcPr>
          <w:p w14:paraId="1405C1BD" w14:textId="13254ADA" w:rsidR="000754FE" w:rsidRPr="0053555E" w:rsidRDefault="000754FE" w:rsidP="000754FE">
            <w:pPr>
              <w:jc w:val="center"/>
              <w:rPr>
                <w:rFonts w:cs="Calibri"/>
                <w:b/>
                <w:sz w:val="20"/>
                <w:szCs w:val="20"/>
              </w:rPr>
            </w:pPr>
            <w:r w:rsidRPr="0053555E">
              <w:rPr>
                <w:rFonts w:cs="Arial"/>
                <w:sz w:val="20"/>
                <w:szCs w:val="20"/>
              </w:rPr>
              <w:t>5,5</w:t>
            </w:r>
            <w:r w:rsidR="008877A2" w:rsidRPr="0053555E">
              <w:rPr>
                <w:rFonts w:cs="Arial"/>
                <w:sz w:val="20"/>
                <w:szCs w:val="20"/>
              </w:rPr>
              <w:t xml:space="preserve"> </w:t>
            </w:r>
            <w:r w:rsidRPr="0053555E">
              <w:rPr>
                <w:rFonts w:cs="Arial"/>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3BE61E91" w14:textId="6A9979A3" w:rsidR="000754FE" w:rsidRPr="0053555E" w:rsidRDefault="000754FE" w:rsidP="000754FE">
            <w:pPr>
              <w:jc w:val="center"/>
              <w:rPr>
                <w:rFonts w:asciiTheme="majorHAnsi" w:hAnsiTheme="majorHAnsi" w:cstheme="majorHAnsi"/>
                <w:sz w:val="20"/>
                <w:szCs w:val="20"/>
              </w:rPr>
            </w:pPr>
            <w:r w:rsidRPr="0053555E">
              <w:rPr>
                <w:rFonts w:cs="Arial"/>
                <w:sz w:val="20"/>
                <w:szCs w:val="20"/>
              </w:rPr>
              <w:t>137 321</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062F6F48" w14:textId="1CDC4127" w:rsidR="000754FE" w:rsidRPr="0053555E" w:rsidRDefault="000754FE" w:rsidP="000754FE">
            <w:pPr>
              <w:jc w:val="center"/>
              <w:rPr>
                <w:rFonts w:asciiTheme="majorHAnsi" w:hAnsiTheme="majorHAnsi" w:cstheme="majorHAnsi"/>
                <w:sz w:val="20"/>
                <w:szCs w:val="20"/>
              </w:rPr>
            </w:pPr>
            <w:r w:rsidRPr="0053555E">
              <w:rPr>
                <w:rFonts w:cs="Arial"/>
                <w:sz w:val="20"/>
                <w:szCs w:val="20"/>
              </w:rPr>
              <w:t>10 678</w:t>
            </w:r>
          </w:p>
        </w:tc>
        <w:tc>
          <w:tcPr>
            <w:tcW w:w="1247" w:type="dxa"/>
            <w:tcBorders>
              <w:top w:val="single" w:sz="4" w:space="0" w:color="auto"/>
              <w:left w:val="nil"/>
              <w:bottom w:val="single" w:sz="4" w:space="0" w:color="auto"/>
              <w:right w:val="single" w:sz="4" w:space="0" w:color="auto"/>
            </w:tcBorders>
            <w:shd w:val="clear" w:color="auto" w:fill="EEECE1" w:themeFill="background2"/>
            <w:noWrap/>
            <w:vAlign w:val="bottom"/>
          </w:tcPr>
          <w:p w14:paraId="64CCBF06" w14:textId="18187AD1"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7,8</w:t>
            </w:r>
            <w:r w:rsidR="007C20BB" w:rsidRPr="0053555E">
              <w:rPr>
                <w:rFonts w:cs="Arial"/>
                <w:b/>
                <w:bCs/>
                <w:sz w:val="20"/>
                <w:szCs w:val="20"/>
              </w:rPr>
              <w:t xml:space="preserve"> </w:t>
            </w:r>
            <w:r w:rsidRPr="0053555E">
              <w:rPr>
                <w:rFonts w:cs="Arial"/>
                <w:b/>
                <w:bCs/>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1DC926EB" w14:textId="763C2A6E" w:rsidR="000754FE" w:rsidRPr="0053555E" w:rsidRDefault="000754FE" w:rsidP="000754FE">
            <w:pPr>
              <w:jc w:val="center"/>
              <w:rPr>
                <w:rFonts w:cs="Calibri"/>
                <w:sz w:val="20"/>
                <w:szCs w:val="20"/>
              </w:rPr>
            </w:pPr>
            <w:r w:rsidRPr="0053555E">
              <w:rPr>
                <w:rFonts w:cs="Arial"/>
                <w:sz w:val="20"/>
                <w:szCs w:val="20"/>
              </w:rPr>
              <w:t>298 986</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48E6C1C3" w14:textId="7D34A5A9" w:rsidR="000754FE" w:rsidRPr="0053555E" w:rsidRDefault="000754FE" w:rsidP="000754FE">
            <w:pPr>
              <w:jc w:val="center"/>
              <w:rPr>
                <w:rFonts w:cs="Calibri"/>
                <w:sz w:val="20"/>
                <w:szCs w:val="20"/>
              </w:rPr>
            </w:pPr>
            <w:r w:rsidRPr="0053555E">
              <w:rPr>
                <w:rFonts w:cs="Arial"/>
                <w:sz w:val="20"/>
                <w:szCs w:val="20"/>
              </w:rPr>
              <w:t>21 399</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57A43F1D" w14:textId="56D4AA97" w:rsidR="000754FE" w:rsidRPr="0053555E" w:rsidRDefault="000754FE" w:rsidP="000754FE">
            <w:pPr>
              <w:jc w:val="center"/>
              <w:rPr>
                <w:rFonts w:cs="Calibri"/>
                <w:sz w:val="20"/>
                <w:szCs w:val="20"/>
              </w:rPr>
            </w:pPr>
            <w:r w:rsidRPr="0053555E">
              <w:rPr>
                <w:rFonts w:cs="Arial"/>
                <w:sz w:val="20"/>
                <w:szCs w:val="20"/>
              </w:rPr>
              <w:t>7,2</w:t>
            </w:r>
            <w:r w:rsidR="007C20BB" w:rsidRPr="0053555E">
              <w:rPr>
                <w:rFonts w:cs="Arial"/>
                <w:sz w:val="20"/>
                <w:szCs w:val="20"/>
              </w:rPr>
              <w:t xml:space="preserve"> </w:t>
            </w:r>
            <w:r w:rsidRPr="0053555E">
              <w:rPr>
                <w:rFonts w:cs="Arial"/>
                <w:sz w:val="20"/>
                <w:szCs w:val="20"/>
              </w:rPr>
              <w:t>%</w:t>
            </w:r>
          </w:p>
        </w:tc>
      </w:tr>
      <w:tr w:rsidR="000754FE" w:rsidRPr="0053555E" w14:paraId="23075D90" w14:textId="77777777" w:rsidTr="00D4713E">
        <w:trPr>
          <w:trHeight w:val="227"/>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5AA4B" w14:textId="37A40BD4" w:rsidR="000754FE" w:rsidRPr="0053555E" w:rsidRDefault="000754FE" w:rsidP="000754FE">
            <w:pPr>
              <w:jc w:val="center"/>
              <w:rPr>
                <w:rFonts w:asciiTheme="majorHAnsi" w:hAnsiTheme="majorHAnsi" w:cstheme="majorHAnsi"/>
                <w:sz w:val="20"/>
                <w:szCs w:val="20"/>
              </w:rPr>
            </w:pPr>
            <w:r w:rsidRPr="0053555E">
              <w:rPr>
                <w:rFonts w:cs="Arial"/>
                <w:sz w:val="20"/>
                <w:szCs w:val="20"/>
              </w:rPr>
              <w:t>2021/2022</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7182DBC8" w14:textId="1B63BBFE" w:rsidR="000754FE" w:rsidRPr="0053555E" w:rsidRDefault="000754FE" w:rsidP="000754FE">
            <w:pPr>
              <w:jc w:val="center"/>
              <w:rPr>
                <w:rFonts w:asciiTheme="majorHAnsi" w:hAnsiTheme="majorHAnsi" w:cstheme="majorHAnsi"/>
                <w:sz w:val="20"/>
                <w:szCs w:val="20"/>
              </w:rPr>
            </w:pPr>
            <w:r w:rsidRPr="0053555E">
              <w:rPr>
                <w:rFonts w:cs="Arial"/>
                <w:sz w:val="20"/>
                <w:szCs w:val="20"/>
              </w:rPr>
              <w:t>50 465</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44366E02" w14:textId="3124F0AB" w:rsidR="000754FE" w:rsidRPr="0053555E" w:rsidRDefault="000754FE" w:rsidP="000754FE">
            <w:pPr>
              <w:jc w:val="center"/>
              <w:rPr>
                <w:rFonts w:asciiTheme="majorHAnsi" w:hAnsiTheme="majorHAnsi" w:cstheme="majorHAnsi"/>
                <w:sz w:val="20"/>
                <w:szCs w:val="20"/>
              </w:rPr>
            </w:pPr>
            <w:r w:rsidRPr="0053555E">
              <w:rPr>
                <w:rFonts w:cs="Arial"/>
                <w:sz w:val="20"/>
                <w:szCs w:val="20"/>
              </w:rPr>
              <w:t>35 394</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7727215C" w14:textId="30B8DD9D" w:rsidR="000754FE" w:rsidRPr="0053555E" w:rsidRDefault="000754FE" w:rsidP="000754FE">
            <w:pPr>
              <w:jc w:val="center"/>
              <w:rPr>
                <w:rFonts w:asciiTheme="majorHAnsi" w:hAnsiTheme="majorHAnsi" w:cstheme="majorHAnsi"/>
                <w:sz w:val="20"/>
                <w:szCs w:val="20"/>
              </w:rPr>
            </w:pPr>
            <w:r w:rsidRPr="0053555E">
              <w:rPr>
                <w:rFonts w:cs="Arial"/>
                <w:sz w:val="20"/>
                <w:szCs w:val="20"/>
              </w:rPr>
              <w:t>70</w:t>
            </w:r>
            <w:r w:rsidR="003836EE" w:rsidRPr="0053555E">
              <w:rPr>
                <w:rFonts w:cs="Arial"/>
                <w:sz w:val="20"/>
                <w:szCs w:val="20"/>
              </w:rPr>
              <w:t xml:space="preserve"> </w:t>
            </w:r>
            <w:r w:rsidRPr="0053555E">
              <w:rPr>
                <w:rFonts w:cs="Arial"/>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3337B012" w14:textId="7615737F" w:rsidR="000754FE" w:rsidRPr="0053555E" w:rsidRDefault="000754FE" w:rsidP="000754FE">
            <w:pPr>
              <w:jc w:val="center"/>
              <w:rPr>
                <w:rFonts w:asciiTheme="majorHAnsi" w:hAnsiTheme="majorHAnsi" w:cstheme="majorHAnsi"/>
                <w:sz w:val="20"/>
                <w:szCs w:val="20"/>
              </w:rPr>
            </w:pPr>
            <w:r w:rsidRPr="0053555E">
              <w:rPr>
                <w:rFonts w:cs="Arial"/>
                <w:sz w:val="20"/>
                <w:szCs w:val="20"/>
              </w:rPr>
              <w:t>1 953</w:t>
            </w:r>
          </w:p>
        </w:tc>
        <w:tc>
          <w:tcPr>
            <w:tcW w:w="1247" w:type="dxa"/>
            <w:tcBorders>
              <w:top w:val="single" w:sz="4" w:space="0" w:color="auto"/>
              <w:left w:val="nil"/>
              <w:bottom w:val="single" w:sz="4" w:space="0" w:color="auto"/>
              <w:right w:val="single" w:sz="4" w:space="0" w:color="auto"/>
            </w:tcBorders>
            <w:shd w:val="clear" w:color="auto" w:fill="EEECE1" w:themeFill="background2"/>
            <w:noWrap/>
            <w:vAlign w:val="bottom"/>
          </w:tcPr>
          <w:p w14:paraId="7A6A80DF" w14:textId="18B5585A" w:rsidR="000754FE" w:rsidRPr="0053555E" w:rsidRDefault="000754FE" w:rsidP="000754FE">
            <w:pPr>
              <w:jc w:val="center"/>
              <w:rPr>
                <w:rFonts w:asciiTheme="majorHAnsi" w:hAnsiTheme="majorHAnsi" w:cstheme="majorHAnsi"/>
                <w:b/>
                <w:sz w:val="20"/>
                <w:szCs w:val="20"/>
              </w:rPr>
            </w:pPr>
            <w:r w:rsidRPr="0053555E">
              <w:rPr>
                <w:rFonts w:cs="Arial"/>
                <w:sz w:val="20"/>
                <w:szCs w:val="20"/>
              </w:rPr>
              <w:t>5,5</w:t>
            </w:r>
            <w:r w:rsidR="008877A2" w:rsidRPr="0053555E">
              <w:rPr>
                <w:rFonts w:cs="Arial"/>
                <w:sz w:val="20"/>
                <w:szCs w:val="20"/>
              </w:rPr>
              <w:t xml:space="preserve"> </w:t>
            </w:r>
            <w:r w:rsidRPr="0053555E">
              <w:rPr>
                <w:rFonts w:cs="Arial"/>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62DEDF26" w14:textId="385DCD9D" w:rsidR="000754FE" w:rsidRPr="0053555E" w:rsidRDefault="000754FE" w:rsidP="000754FE">
            <w:pPr>
              <w:jc w:val="center"/>
              <w:rPr>
                <w:rFonts w:asciiTheme="majorHAnsi" w:hAnsiTheme="majorHAnsi" w:cstheme="majorHAnsi"/>
                <w:sz w:val="20"/>
                <w:szCs w:val="20"/>
              </w:rPr>
            </w:pPr>
            <w:r w:rsidRPr="0053555E">
              <w:rPr>
                <w:rFonts w:cs="Arial"/>
                <w:sz w:val="20"/>
                <w:szCs w:val="20"/>
              </w:rPr>
              <w:t>136 646</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1B23A3A0" w14:textId="4ED5C3E3" w:rsidR="000754FE" w:rsidRPr="0053555E" w:rsidRDefault="000754FE" w:rsidP="000754FE">
            <w:pPr>
              <w:jc w:val="center"/>
              <w:rPr>
                <w:rFonts w:asciiTheme="majorHAnsi" w:hAnsiTheme="majorHAnsi" w:cstheme="majorHAnsi"/>
                <w:sz w:val="20"/>
                <w:szCs w:val="20"/>
              </w:rPr>
            </w:pPr>
            <w:r w:rsidRPr="0053555E">
              <w:rPr>
                <w:rFonts w:cs="Arial"/>
                <w:sz w:val="20"/>
                <w:szCs w:val="20"/>
              </w:rPr>
              <w:t>10 543</w:t>
            </w:r>
          </w:p>
        </w:tc>
        <w:tc>
          <w:tcPr>
            <w:tcW w:w="1247" w:type="dxa"/>
            <w:tcBorders>
              <w:top w:val="single" w:sz="4" w:space="0" w:color="auto"/>
              <w:left w:val="nil"/>
              <w:bottom w:val="single" w:sz="4" w:space="0" w:color="auto"/>
              <w:right w:val="single" w:sz="4" w:space="0" w:color="auto"/>
            </w:tcBorders>
            <w:shd w:val="clear" w:color="auto" w:fill="EEECE1" w:themeFill="background2"/>
            <w:noWrap/>
            <w:vAlign w:val="bottom"/>
          </w:tcPr>
          <w:p w14:paraId="4148FD67" w14:textId="7E2C633D"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7,7</w:t>
            </w:r>
            <w:r w:rsidR="007C20BB" w:rsidRPr="0053555E">
              <w:rPr>
                <w:rFonts w:cs="Arial"/>
                <w:b/>
                <w:bCs/>
                <w:sz w:val="20"/>
                <w:szCs w:val="20"/>
              </w:rPr>
              <w:t xml:space="preserve"> </w:t>
            </w:r>
            <w:r w:rsidRPr="0053555E">
              <w:rPr>
                <w:rFonts w:cs="Arial"/>
                <w:b/>
                <w:bCs/>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282E2ED0" w14:textId="2ED7991C" w:rsidR="000754FE" w:rsidRPr="0053555E" w:rsidRDefault="000754FE" w:rsidP="000754FE">
            <w:pPr>
              <w:jc w:val="center"/>
              <w:rPr>
                <w:rFonts w:asciiTheme="majorHAnsi" w:hAnsiTheme="majorHAnsi" w:cstheme="majorHAnsi"/>
                <w:sz w:val="20"/>
                <w:szCs w:val="20"/>
              </w:rPr>
            </w:pPr>
            <w:r w:rsidRPr="0053555E">
              <w:rPr>
                <w:rFonts w:cs="Arial"/>
                <w:sz w:val="20"/>
                <w:szCs w:val="20"/>
              </w:rPr>
              <w:t>303 633</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0EC6A59A" w14:textId="11BE87B7" w:rsidR="000754FE" w:rsidRPr="0053555E" w:rsidRDefault="000754FE" w:rsidP="000754FE">
            <w:pPr>
              <w:jc w:val="center"/>
              <w:rPr>
                <w:rFonts w:asciiTheme="majorHAnsi" w:hAnsiTheme="majorHAnsi" w:cstheme="majorHAnsi"/>
                <w:sz w:val="20"/>
                <w:szCs w:val="20"/>
              </w:rPr>
            </w:pPr>
            <w:r w:rsidRPr="0053555E">
              <w:rPr>
                <w:rFonts w:cs="Arial"/>
                <w:sz w:val="20"/>
                <w:szCs w:val="20"/>
              </w:rPr>
              <w:t>20 862</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75CBB5B8" w14:textId="37A158DE" w:rsidR="000754FE" w:rsidRPr="0053555E" w:rsidRDefault="000754FE" w:rsidP="000754FE">
            <w:pPr>
              <w:jc w:val="center"/>
              <w:rPr>
                <w:rFonts w:asciiTheme="majorHAnsi" w:hAnsiTheme="majorHAnsi" w:cstheme="majorHAnsi"/>
                <w:sz w:val="20"/>
                <w:szCs w:val="20"/>
              </w:rPr>
            </w:pPr>
            <w:r w:rsidRPr="0053555E">
              <w:rPr>
                <w:rFonts w:cs="Arial"/>
                <w:sz w:val="20"/>
                <w:szCs w:val="20"/>
              </w:rPr>
              <w:t>6,9</w:t>
            </w:r>
            <w:r w:rsidR="007C20BB" w:rsidRPr="0053555E">
              <w:rPr>
                <w:rFonts w:cs="Arial"/>
                <w:sz w:val="20"/>
                <w:szCs w:val="20"/>
              </w:rPr>
              <w:t xml:space="preserve"> </w:t>
            </w:r>
            <w:r w:rsidRPr="0053555E">
              <w:rPr>
                <w:rFonts w:cs="Arial"/>
                <w:sz w:val="20"/>
                <w:szCs w:val="20"/>
              </w:rPr>
              <w:t>%</w:t>
            </w:r>
          </w:p>
        </w:tc>
      </w:tr>
      <w:tr w:rsidR="000754FE" w:rsidRPr="0053555E" w14:paraId="76DCEFC6" w14:textId="77777777" w:rsidTr="0084671B">
        <w:trPr>
          <w:trHeight w:val="227"/>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D31C1" w14:textId="1663D5CC" w:rsidR="000754FE" w:rsidRPr="0053555E" w:rsidRDefault="000754FE" w:rsidP="000754FE">
            <w:pPr>
              <w:jc w:val="center"/>
              <w:rPr>
                <w:rFonts w:asciiTheme="majorHAnsi" w:hAnsiTheme="majorHAnsi" w:cstheme="majorHAnsi"/>
                <w:b/>
                <w:sz w:val="20"/>
                <w:szCs w:val="20"/>
              </w:rPr>
            </w:pPr>
            <w:r w:rsidRPr="0053555E">
              <w:rPr>
                <w:rFonts w:cs="Arial"/>
                <w:b/>
                <w:sz w:val="20"/>
                <w:szCs w:val="20"/>
              </w:rPr>
              <w:t>2022/2023</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658AAE26" w14:textId="19E4D85B" w:rsidR="000754FE" w:rsidRPr="0053555E" w:rsidRDefault="000754FE" w:rsidP="000754FE">
            <w:pPr>
              <w:jc w:val="center"/>
              <w:rPr>
                <w:rFonts w:asciiTheme="majorHAnsi" w:hAnsiTheme="majorHAnsi" w:cstheme="majorHAnsi"/>
                <w:b/>
                <w:sz w:val="20"/>
                <w:szCs w:val="20"/>
              </w:rPr>
            </w:pPr>
            <w:r w:rsidRPr="0053555E">
              <w:rPr>
                <w:rFonts w:cs="Arial"/>
                <w:b/>
                <w:sz w:val="20"/>
                <w:szCs w:val="20"/>
              </w:rPr>
              <w:t>50 527</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1447DD85" w14:textId="4F650F5E" w:rsidR="000754FE" w:rsidRPr="0053555E" w:rsidRDefault="000754FE" w:rsidP="000754FE">
            <w:pPr>
              <w:jc w:val="center"/>
              <w:rPr>
                <w:rFonts w:asciiTheme="majorHAnsi" w:hAnsiTheme="majorHAnsi" w:cstheme="majorHAnsi"/>
                <w:b/>
                <w:sz w:val="20"/>
                <w:szCs w:val="20"/>
              </w:rPr>
            </w:pPr>
            <w:r w:rsidRPr="0053555E">
              <w:rPr>
                <w:rFonts w:cs="Arial"/>
                <w:b/>
                <w:sz w:val="20"/>
                <w:szCs w:val="20"/>
              </w:rPr>
              <w:t>35 374</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2409F882" w14:textId="3F1AA9CD" w:rsidR="000754FE" w:rsidRPr="0053555E" w:rsidRDefault="000754FE" w:rsidP="000754FE">
            <w:pPr>
              <w:jc w:val="center"/>
              <w:rPr>
                <w:rFonts w:asciiTheme="majorHAnsi" w:hAnsiTheme="majorHAnsi" w:cstheme="majorHAnsi"/>
                <w:b/>
                <w:sz w:val="20"/>
                <w:szCs w:val="20"/>
              </w:rPr>
            </w:pPr>
            <w:r w:rsidRPr="0053555E">
              <w:rPr>
                <w:rFonts w:cs="Arial"/>
                <w:b/>
                <w:sz w:val="20"/>
                <w:szCs w:val="20"/>
              </w:rPr>
              <w:t>70</w:t>
            </w:r>
            <w:r w:rsidR="003836EE" w:rsidRPr="0053555E">
              <w:rPr>
                <w:rFonts w:cs="Arial"/>
                <w:b/>
                <w:sz w:val="20"/>
                <w:szCs w:val="20"/>
              </w:rPr>
              <w:t xml:space="preserve"> </w:t>
            </w:r>
            <w:r w:rsidRPr="0053555E">
              <w:rPr>
                <w:rFonts w:cs="Arial"/>
                <w:b/>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2D8F47C1" w14:textId="64693D30" w:rsidR="000754FE" w:rsidRPr="0053555E" w:rsidRDefault="000754FE" w:rsidP="000754FE">
            <w:pPr>
              <w:jc w:val="center"/>
              <w:rPr>
                <w:rFonts w:asciiTheme="majorHAnsi" w:hAnsiTheme="majorHAnsi" w:cstheme="majorHAnsi"/>
                <w:b/>
                <w:sz w:val="20"/>
                <w:szCs w:val="20"/>
              </w:rPr>
            </w:pPr>
            <w:r w:rsidRPr="0053555E">
              <w:rPr>
                <w:rFonts w:cs="Arial"/>
                <w:b/>
                <w:sz w:val="20"/>
                <w:szCs w:val="20"/>
              </w:rPr>
              <w:t>2 310</w:t>
            </w:r>
          </w:p>
        </w:tc>
        <w:tc>
          <w:tcPr>
            <w:tcW w:w="1247" w:type="dxa"/>
            <w:tcBorders>
              <w:top w:val="single" w:sz="4" w:space="0" w:color="auto"/>
              <w:left w:val="nil"/>
              <w:bottom w:val="single" w:sz="4" w:space="0" w:color="auto"/>
              <w:right w:val="single" w:sz="4" w:space="0" w:color="auto"/>
            </w:tcBorders>
            <w:shd w:val="clear" w:color="auto" w:fill="EEECE1" w:themeFill="background2"/>
            <w:noWrap/>
            <w:vAlign w:val="bottom"/>
          </w:tcPr>
          <w:p w14:paraId="6CC07740" w14:textId="000B2F4B" w:rsidR="000754FE" w:rsidRPr="0053555E" w:rsidRDefault="000754FE" w:rsidP="000754FE">
            <w:pPr>
              <w:jc w:val="center"/>
              <w:rPr>
                <w:rFonts w:asciiTheme="majorHAnsi" w:hAnsiTheme="majorHAnsi" w:cstheme="majorHAnsi"/>
                <w:b/>
                <w:sz w:val="20"/>
                <w:szCs w:val="20"/>
              </w:rPr>
            </w:pPr>
            <w:r w:rsidRPr="0053555E">
              <w:rPr>
                <w:rFonts w:cs="Arial"/>
                <w:b/>
                <w:sz w:val="20"/>
                <w:szCs w:val="20"/>
              </w:rPr>
              <w:t>6,5</w:t>
            </w:r>
            <w:r w:rsidR="008877A2" w:rsidRPr="0053555E">
              <w:rPr>
                <w:rFonts w:cs="Arial"/>
                <w:b/>
                <w:sz w:val="20"/>
                <w:szCs w:val="20"/>
              </w:rPr>
              <w:t xml:space="preserve"> </w:t>
            </w:r>
            <w:r w:rsidRPr="0053555E">
              <w:rPr>
                <w:rFonts w:cs="Arial"/>
                <w:b/>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2EABBEAC" w14:textId="66580543" w:rsidR="000754FE" w:rsidRPr="0053555E" w:rsidRDefault="000754FE" w:rsidP="000754FE">
            <w:pPr>
              <w:jc w:val="center"/>
              <w:rPr>
                <w:rFonts w:asciiTheme="majorHAnsi" w:hAnsiTheme="majorHAnsi" w:cstheme="majorHAnsi"/>
                <w:b/>
                <w:sz w:val="20"/>
                <w:szCs w:val="20"/>
              </w:rPr>
            </w:pPr>
            <w:r w:rsidRPr="0053555E">
              <w:rPr>
                <w:rFonts w:cs="Arial"/>
                <w:b/>
                <w:sz w:val="20"/>
                <w:szCs w:val="20"/>
              </w:rPr>
              <w:t>136 168</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0DBEA008" w14:textId="6EA6E23A" w:rsidR="000754FE" w:rsidRPr="0053555E" w:rsidRDefault="000754FE" w:rsidP="000754FE">
            <w:pPr>
              <w:jc w:val="center"/>
              <w:rPr>
                <w:rFonts w:asciiTheme="majorHAnsi" w:hAnsiTheme="majorHAnsi" w:cstheme="majorHAnsi"/>
                <w:b/>
                <w:sz w:val="20"/>
                <w:szCs w:val="20"/>
              </w:rPr>
            </w:pPr>
            <w:r w:rsidRPr="0053555E">
              <w:rPr>
                <w:rFonts w:cs="Arial"/>
                <w:b/>
                <w:sz w:val="20"/>
                <w:szCs w:val="20"/>
              </w:rPr>
              <w:t>10 976</w:t>
            </w:r>
          </w:p>
        </w:tc>
        <w:tc>
          <w:tcPr>
            <w:tcW w:w="1247" w:type="dxa"/>
            <w:tcBorders>
              <w:top w:val="single" w:sz="4" w:space="0" w:color="auto"/>
              <w:left w:val="nil"/>
              <w:bottom w:val="single" w:sz="4" w:space="0" w:color="auto"/>
              <w:right w:val="single" w:sz="4" w:space="0" w:color="auto"/>
            </w:tcBorders>
            <w:shd w:val="clear" w:color="auto" w:fill="EEECE1" w:themeFill="background2"/>
            <w:noWrap/>
            <w:vAlign w:val="bottom"/>
          </w:tcPr>
          <w:p w14:paraId="650E1AB0" w14:textId="07E807A9" w:rsidR="000754FE" w:rsidRPr="0053555E" w:rsidRDefault="000754FE" w:rsidP="000754FE">
            <w:pPr>
              <w:jc w:val="center"/>
              <w:rPr>
                <w:rFonts w:asciiTheme="majorHAnsi" w:hAnsiTheme="majorHAnsi" w:cstheme="majorHAnsi"/>
                <w:b/>
                <w:bCs/>
                <w:sz w:val="20"/>
                <w:szCs w:val="20"/>
              </w:rPr>
            </w:pPr>
            <w:r w:rsidRPr="0053555E">
              <w:rPr>
                <w:rFonts w:cs="Arial"/>
                <w:b/>
                <w:bCs/>
                <w:sz w:val="20"/>
                <w:szCs w:val="20"/>
              </w:rPr>
              <w:t>8,1</w:t>
            </w:r>
            <w:r w:rsidR="007C20BB" w:rsidRPr="0053555E">
              <w:rPr>
                <w:rFonts w:cs="Arial"/>
                <w:b/>
                <w:bCs/>
                <w:sz w:val="20"/>
                <w:szCs w:val="20"/>
              </w:rPr>
              <w:t xml:space="preserve"> </w:t>
            </w:r>
            <w:r w:rsidRPr="0053555E">
              <w:rPr>
                <w:rFonts w:cs="Arial"/>
                <w:b/>
                <w:bCs/>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6922AC39" w14:textId="5E38E323" w:rsidR="000754FE" w:rsidRPr="0053555E" w:rsidRDefault="000754FE" w:rsidP="000754FE">
            <w:pPr>
              <w:jc w:val="center"/>
              <w:rPr>
                <w:rFonts w:asciiTheme="majorHAnsi" w:hAnsiTheme="majorHAnsi" w:cstheme="majorHAnsi"/>
                <w:b/>
                <w:sz w:val="20"/>
                <w:szCs w:val="20"/>
              </w:rPr>
            </w:pPr>
            <w:r w:rsidRPr="0053555E">
              <w:rPr>
                <w:rFonts w:cs="Arial"/>
                <w:b/>
                <w:sz w:val="20"/>
                <w:szCs w:val="20"/>
              </w:rPr>
              <w:t>304 518</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72360230" w14:textId="78F8DB92" w:rsidR="000754FE" w:rsidRPr="0053555E" w:rsidRDefault="000754FE" w:rsidP="000754FE">
            <w:pPr>
              <w:jc w:val="center"/>
              <w:rPr>
                <w:rFonts w:asciiTheme="majorHAnsi" w:hAnsiTheme="majorHAnsi" w:cstheme="majorHAnsi"/>
                <w:b/>
                <w:sz w:val="20"/>
                <w:szCs w:val="20"/>
              </w:rPr>
            </w:pPr>
            <w:r w:rsidRPr="0053555E">
              <w:rPr>
                <w:rFonts w:cs="Arial"/>
                <w:b/>
                <w:sz w:val="20"/>
                <w:szCs w:val="20"/>
              </w:rPr>
              <w:t>20 920</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1CFED277" w14:textId="43DB19B6" w:rsidR="000754FE" w:rsidRPr="0053555E" w:rsidRDefault="000754FE" w:rsidP="000754FE">
            <w:pPr>
              <w:jc w:val="center"/>
              <w:rPr>
                <w:rFonts w:asciiTheme="majorHAnsi" w:hAnsiTheme="majorHAnsi" w:cstheme="majorHAnsi"/>
                <w:b/>
                <w:sz w:val="20"/>
                <w:szCs w:val="20"/>
              </w:rPr>
            </w:pPr>
            <w:r w:rsidRPr="0053555E">
              <w:rPr>
                <w:rFonts w:cs="Arial"/>
                <w:b/>
                <w:sz w:val="20"/>
                <w:szCs w:val="20"/>
              </w:rPr>
              <w:t>6,9</w:t>
            </w:r>
            <w:r w:rsidR="007C20BB" w:rsidRPr="0053555E">
              <w:rPr>
                <w:rFonts w:cs="Arial"/>
                <w:b/>
                <w:sz w:val="20"/>
                <w:szCs w:val="20"/>
              </w:rPr>
              <w:t xml:space="preserve"> </w:t>
            </w:r>
            <w:r w:rsidRPr="0053555E">
              <w:rPr>
                <w:rFonts w:cs="Arial"/>
                <w:b/>
                <w:sz w:val="20"/>
                <w:szCs w:val="20"/>
              </w:rPr>
              <w:t>%</w:t>
            </w:r>
          </w:p>
        </w:tc>
      </w:tr>
    </w:tbl>
    <w:p w14:paraId="14E78940" w14:textId="77777777" w:rsidR="00C41753" w:rsidRPr="0053555E" w:rsidRDefault="00C41753" w:rsidP="00324438">
      <w:pPr>
        <w:tabs>
          <w:tab w:val="left" w:pos="9356"/>
        </w:tabs>
        <w:jc w:val="both"/>
        <w:rPr>
          <w:rFonts w:asciiTheme="majorHAnsi" w:hAnsiTheme="majorHAnsi" w:cstheme="majorHAnsi"/>
          <w:sz w:val="20"/>
          <w:szCs w:val="18"/>
          <w:lang w:eastAsia="sk-SK"/>
        </w:rPr>
      </w:pPr>
      <w:r w:rsidRPr="0053555E">
        <w:rPr>
          <w:rFonts w:asciiTheme="majorHAnsi" w:hAnsiTheme="majorHAnsi" w:cstheme="majorHAnsi"/>
          <w:sz w:val="20"/>
          <w:szCs w:val="18"/>
          <w:lang w:eastAsia="sk-SK"/>
        </w:rPr>
        <w:t>Vysvetlivky:</w:t>
      </w:r>
    </w:p>
    <w:p w14:paraId="11891BB8" w14:textId="54A1C733" w:rsidR="00C41753" w:rsidRPr="0053555E" w:rsidRDefault="00C41753" w:rsidP="00205A5E">
      <w:pPr>
        <w:tabs>
          <w:tab w:val="left" w:pos="9356"/>
        </w:tabs>
        <w:spacing w:after="80"/>
        <w:jc w:val="both"/>
        <w:rPr>
          <w:rFonts w:asciiTheme="majorHAnsi" w:hAnsiTheme="majorHAnsi" w:cstheme="majorHAnsi"/>
          <w:sz w:val="20"/>
          <w:szCs w:val="18"/>
          <w:lang w:eastAsia="sk-SK"/>
        </w:rPr>
      </w:pPr>
      <w:r w:rsidRPr="0053555E">
        <w:rPr>
          <w:rFonts w:asciiTheme="majorHAnsi" w:hAnsiTheme="majorHAnsi" w:cstheme="majorHAnsi"/>
          <w:b/>
          <w:sz w:val="20"/>
          <w:szCs w:val="18"/>
        </w:rPr>
        <w:t>Počet 19-ročných obyvateľov SR</w:t>
      </w:r>
      <w:r w:rsidRPr="0053555E">
        <w:rPr>
          <w:rFonts w:asciiTheme="majorHAnsi" w:hAnsiTheme="majorHAnsi" w:cstheme="majorHAnsi"/>
          <w:sz w:val="20"/>
          <w:szCs w:val="18"/>
        </w:rPr>
        <w:t xml:space="preserve"> k 30. 06. aktuálneho roka, v ktorom začína príslušný akademický rok, podľa štatistiky zverejnenej Štatistickým úradom SR/Štatistiky/Demografia a sociálne štatistiky/Obyvateľstvo a migrácia/Ukazovatele/Vekové zloženie – SR, oblasti, kraje, okresy, mesto, vidiek: </w:t>
      </w:r>
      <w:hyperlink r:id="rId48" w:history="1">
        <w:r w:rsidR="00F242B1" w:rsidRPr="0044612D">
          <w:rPr>
            <w:rStyle w:val="Hypertextovprepojenie"/>
            <w:rFonts w:asciiTheme="majorHAnsi" w:hAnsiTheme="majorHAnsi" w:cstheme="majorHAnsi"/>
            <w:sz w:val="20"/>
            <w:szCs w:val="18"/>
          </w:rPr>
          <w:t>https://slovak.statistics.sk/</w:t>
        </w:r>
      </w:hyperlink>
      <w:r w:rsidRPr="0053555E">
        <w:rPr>
          <w:rFonts w:asciiTheme="majorHAnsi" w:hAnsiTheme="majorHAnsi" w:cstheme="majorHAnsi"/>
          <w:sz w:val="20"/>
          <w:szCs w:val="18"/>
        </w:rPr>
        <w:t>. Pre rok 20</w:t>
      </w:r>
      <w:r w:rsidR="00EB0D7F" w:rsidRPr="0053555E">
        <w:rPr>
          <w:rFonts w:asciiTheme="majorHAnsi" w:hAnsiTheme="majorHAnsi" w:cstheme="majorHAnsi"/>
          <w:sz w:val="20"/>
          <w:szCs w:val="18"/>
        </w:rPr>
        <w:t>2</w:t>
      </w:r>
      <w:r w:rsidR="00B9202A">
        <w:rPr>
          <w:rFonts w:asciiTheme="majorHAnsi" w:hAnsiTheme="majorHAnsi" w:cstheme="majorHAnsi"/>
          <w:sz w:val="20"/>
          <w:szCs w:val="18"/>
        </w:rPr>
        <w:t xml:space="preserve">2 </w:t>
      </w:r>
      <w:r w:rsidRPr="0053555E">
        <w:rPr>
          <w:rFonts w:asciiTheme="majorHAnsi" w:hAnsiTheme="majorHAnsi" w:cstheme="majorHAnsi"/>
          <w:sz w:val="20"/>
          <w:szCs w:val="18"/>
        </w:rPr>
        <w:t>údaje o 19 roč. obyvateľoch SR</w:t>
      </w:r>
      <w:r w:rsidR="00B9202A">
        <w:rPr>
          <w:rFonts w:asciiTheme="majorHAnsi" w:hAnsiTheme="majorHAnsi" w:cstheme="majorHAnsi"/>
          <w:sz w:val="20"/>
          <w:szCs w:val="18"/>
        </w:rPr>
        <w:t xml:space="preserve"> zatiaľ</w:t>
      </w:r>
      <w:r w:rsidRPr="0053555E">
        <w:rPr>
          <w:rFonts w:asciiTheme="majorHAnsi" w:hAnsiTheme="majorHAnsi" w:cstheme="majorHAnsi"/>
          <w:sz w:val="20"/>
          <w:szCs w:val="18"/>
        </w:rPr>
        <w:t xml:space="preserve"> </w:t>
      </w:r>
      <w:r w:rsidR="00B9202A">
        <w:rPr>
          <w:rFonts w:asciiTheme="majorHAnsi" w:hAnsiTheme="majorHAnsi" w:cstheme="majorHAnsi"/>
          <w:sz w:val="20"/>
          <w:szCs w:val="18"/>
        </w:rPr>
        <w:t>neboli</w:t>
      </w:r>
      <w:r w:rsidRPr="0053555E">
        <w:rPr>
          <w:rFonts w:asciiTheme="majorHAnsi" w:hAnsiTheme="majorHAnsi" w:cstheme="majorHAnsi"/>
          <w:sz w:val="20"/>
          <w:szCs w:val="18"/>
        </w:rPr>
        <w:t xml:space="preserve"> zverejnené, preto sa vychádza z</w:t>
      </w:r>
      <w:r w:rsidR="00E7565C" w:rsidRPr="0053555E">
        <w:rPr>
          <w:rFonts w:asciiTheme="majorHAnsi" w:hAnsiTheme="majorHAnsi" w:cstheme="majorHAnsi"/>
          <w:sz w:val="20"/>
          <w:szCs w:val="18"/>
        </w:rPr>
        <w:t> </w:t>
      </w:r>
      <w:r w:rsidRPr="0053555E">
        <w:rPr>
          <w:rFonts w:asciiTheme="majorHAnsi" w:hAnsiTheme="majorHAnsi" w:cstheme="majorHAnsi"/>
          <w:sz w:val="20"/>
          <w:szCs w:val="18"/>
        </w:rPr>
        <w:t>počt</w:t>
      </w:r>
      <w:r w:rsidR="00E7565C" w:rsidRPr="0053555E">
        <w:rPr>
          <w:rFonts w:asciiTheme="majorHAnsi" w:hAnsiTheme="majorHAnsi" w:cstheme="majorHAnsi"/>
          <w:sz w:val="20"/>
          <w:szCs w:val="18"/>
        </w:rPr>
        <w:t xml:space="preserve">u </w:t>
      </w:r>
      <w:r w:rsidRPr="0053555E">
        <w:rPr>
          <w:rFonts w:asciiTheme="majorHAnsi" w:hAnsiTheme="majorHAnsi" w:cstheme="majorHAnsi"/>
          <w:sz w:val="20"/>
          <w:szCs w:val="18"/>
        </w:rPr>
        <w:t>18 roč. obyvateľov k 30.6.20</w:t>
      </w:r>
      <w:r w:rsidR="00E06EDF" w:rsidRPr="0053555E">
        <w:rPr>
          <w:rFonts w:asciiTheme="majorHAnsi" w:hAnsiTheme="majorHAnsi" w:cstheme="majorHAnsi"/>
          <w:sz w:val="20"/>
          <w:szCs w:val="18"/>
        </w:rPr>
        <w:t>2</w:t>
      </w:r>
      <w:r w:rsidR="00D45719" w:rsidRPr="0053555E">
        <w:rPr>
          <w:rFonts w:asciiTheme="majorHAnsi" w:hAnsiTheme="majorHAnsi" w:cstheme="majorHAnsi"/>
          <w:sz w:val="20"/>
          <w:szCs w:val="18"/>
        </w:rPr>
        <w:t>1</w:t>
      </w:r>
      <w:r w:rsidRPr="0053555E">
        <w:rPr>
          <w:rFonts w:asciiTheme="majorHAnsi" w:hAnsiTheme="majorHAnsi" w:cstheme="majorHAnsi"/>
          <w:sz w:val="20"/>
          <w:szCs w:val="18"/>
        </w:rPr>
        <w:t>.</w:t>
      </w:r>
    </w:p>
    <w:p w14:paraId="53F90F8D" w14:textId="5D63C219" w:rsidR="00C41753" w:rsidRPr="0053555E" w:rsidRDefault="00AD7BCB" w:rsidP="00205A5E">
      <w:pPr>
        <w:tabs>
          <w:tab w:val="left" w:pos="9356"/>
        </w:tabs>
        <w:spacing w:after="80"/>
        <w:rPr>
          <w:rFonts w:asciiTheme="majorHAnsi" w:hAnsiTheme="majorHAnsi" w:cstheme="majorHAnsi"/>
          <w:sz w:val="20"/>
          <w:szCs w:val="18"/>
          <w:lang w:eastAsia="sk-SK"/>
        </w:rPr>
      </w:pPr>
      <w:r w:rsidRPr="0053555E">
        <w:rPr>
          <w:rFonts w:asciiTheme="majorHAnsi" w:hAnsiTheme="majorHAnsi" w:cstheme="majorHAnsi"/>
          <w:b/>
          <w:sz w:val="20"/>
          <w:szCs w:val="18"/>
          <w:lang w:eastAsia="sk-SK"/>
        </w:rPr>
        <w:t>Počet maturantov v SR</w:t>
      </w:r>
      <w:r w:rsidRPr="0053555E">
        <w:rPr>
          <w:rFonts w:asciiTheme="majorHAnsi" w:hAnsiTheme="majorHAnsi" w:cstheme="majorHAnsi"/>
          <w:sz w:val="20"/>
          <w:szCs w:val="18"/>
          <w:lang w:eastAsia="sk-SK"/>
        </w:rPr>
        <w:t xml:space="preserve">, </w:t>
      </w:r>
      <w:r w:rsidR="00675E99" w:rsidRPr="0053555E">
        <w:rPr>
          <w:rFonts w:asciiTheme="majorHAnsi" w:hAnsiTheme="majorHAnsi" w:cstheme="majorHAnsi"/>
          <w:sz w:val="20"/>
          <w:szCs w:val="18"/>
          <w:lang w:eastAsia="sk-SK"/>
        </w:rPr>
        <w:t xml:space="preserve">uvádza </w:t>
      </w:r>
      <w:r w:rsidRPr="0053555E">
        <w:rPr>
          <w:rFonts w:asciiTheme="majorHAnsi" w:hAnsiTheme="majorHAnsi" w:cstheme="majorHAnsi"/>
          <w:sz w:val="20"/>
          <w:szCs w:val="18"/>
          <w:lang w:eastAsia="sk-SK"/>
        </w:rPr>
        <w:t>absolvent</w:t>
      </w:r>
      <w:r w:rsidR="00675E99" w:rsidRPr="0053555E">
        <w:rPr>
          <w:rFonts w:asciiTheme="majorHAnsi" w:hAnsiTheme="majorHAnsi" w:cstheme="majorHAnsi"/>
          <w:sz w:val="20"/>
          <w:szCs w:val="18"/>
          <w:lang w:eastAsia="sk-SK"/>
        </w:rPr>
        <w:t>ov</w:t>
      </w:r>
      <w:r w:rsidRPr="0053555E">
        <w:rPr>
          <w:rFonts w:asciiTheme="majorHAnsi" w:hAnsiTheme="majorHAnsi" w:cstheme="majorHAnsi"/>
          <w:sz w:val="20"/>
          <w:szCs w:val="18"/>
          <w:lang w:eastAsia="sk-SK"/>
        </w:rPr>
        <w:t xml:space="preserve"> stredných škôl s maturitou v školskom roku, predchádzajúcom aktuálnemu akad. roku  - denné štúdium; zdroj: Štatistika CVTI, stav k 15.9. aktuálneho roka, </w:t>
      </w:r>
      <w:hyperlink r:id="rId49" w:history="1">
        <w:r w:rsidR="00B9202A" w:rsidRPr="0044612D">
          <w:rPr>
            <w:rStyle w:val="Hypertextovprepojenie"/>
            <w:rFonts w:asciiTheme="majorHAnsi" w:hAnsiTheme="majorHAnsi" w:cstheme="majorHAnsi"/>
            <w:sz w:val="20"/>
            <w:szCs w:val="18"/>
            <w:lang w:eastAsia="sk-SK"/>
          </w:rPr>
          <w:t>http://www.cvtisr.sk/</w:t>
        </w:r>
      </w:hyperlink>
      <w:r w:rsidR="00C41753" w:rsidRPr="0053555E">
        <w:rPr>
          <w:rFonts w:asciiTheme="majorHAnsi" w:hAnsiTheme="majorHAnsi" w:cstheme="majorHAnsi"/>
          <w:sz w:val="20"/>
          <w:szCs w:val="18"/>
          <w:lang w:eastAsia="sk-SK"/>
        </w:rPr>
        <w:t>.</w:t>
      </w:r>
    </w:p>
    <w:p w14:paraId="14D6666C" w14:textId="4CDF4423" w:rsidR="00C41753" w:rsidRPr="0053555E" w:rsidRDefault="00C41753" w:rsidP="00205A5E">
      <w:pPr>
        <w:tabs>
          <w:tab w:val="left" w:pos="9356"/>
        </w:tabs>
        <w:spacing w:after="80"/>
        <w:jc w:val="both"/>
        <w:rPr>
          <w:rFonts w:asciiTheme="majorHAnsi" w:hAnsiTheme="majorHAnsi" w:cstheme="majorHAnsi"/>
          <w:sz w:val="20"/>
          <w:szCs w:val="18"/>
          <w:lang w:eastAsia="sk-SK"/>
        </w:rPr>
      </w:pPr>
      <w:r w:rsidRPr="0053555E">
        <w:rPr>
          <w:rFonts w:asciiTheme="majorHAnsi" w:hAnsiTheme="majorHAnsi" w:cstheme="majorHAnsi"/>
          <w:b/>
          <w:sz w:val="20"/>
          <w:szCs w:val="18"/>
          <w:lang w:eastAsia="sk-SK"/>
        </w:rPr>
        <w:t>Počet študentov STU</w:t>
      </w:r>
      <w:r w:rsidRPr="0053555E">
        <w:rPr>
          <w:rFonts w:asciiTheme="majorHAnsi" w:hAnsiTheme="majorHAnsi" w:cstheme="majorHAnsi"/>
          <w:sz w:val="20"/>
          <w:szCs w:val="18"/>
          <w:lang w:eastAsia="sk-SK"/>
        </w:rPr>
        <w:t xml:space="preserve"> k 31. 10. aktuálneho akademického roka a počet zapísaných </w:t>
      </w:r>
      <w:r w:rsidR="00A81519">
        <w:rPr>
          <w:rFonts w:asciiTheme="majorHAnsi" w:hAnsiTheme="majorHAnsi" w:cstheme="majorHAnsi"/>
          <w:sz w:val="20"/>
          <w:szCs w:val="18"/>
          <w:lang w:eastAsia="sk-SK"/>
        </w:rPr>
        <w:t xml:space="preserve">študentov </w:t>
      </w:r>
      <w:r w:rsidRPr="0053555E">
        <w:rPr>
          <w:rFonts w:asciiTheme="majorHAnsi" w:hAnsiTheme="majorHAnsi" w:cstheme="majorHAnsi"/>
          <w:sz w:val="20"/>
          <w:szCs w:val="18"/>
          <w:lang w:eastAsia="sk-SK"/>
        </w:rPr>
        <w:t>z novoprijatých do 1. roka bakalárskych študijných programov, ktorí maturovali v školskom roku, predchádzajúcom aktuálnemu akademickému roku; zdroj: AIS.</w:t>
      </w:r>
    </w:p>
    <w:p w14:paraId="0023FAAE" w14:textId="571A195D" w:rsidR="00C41753" w:rsidRPr="0053555E" w:rsidRDefault="00C41753" w:rsidP="00205A5E">
      <w:pPr>
        <w:tabs>
          <w:tab w:val="left" w:pos="9356"/>
        </w:tabs>
        <w:spacing w:after="80"/>
        <w:rPr>
          <w:rFonts w:asciiTheme="majorHAnsi" w:hAnsiTheme="majorHAnsi" w:cstheme="majorHAnsi"/>
          <w:sz w:val="20"/>
          <w:szCs w:val="18"/>
          <w:lang w:eastAsia="sk-SK"/>
        </w:rPr>
      </w:pPr>
      <w:r w:rsidRPr="0053555E">
        <w:rPr>
          <w:rFonts w:asciiTheme="majorHAnsi" w:hAnsiTheme="majorHAnsi" w:cstheme="majorHAnsi"/>
          <w:b/>
          <w:sz w:val="20"/>
          <w:szCs w:val="18"/>
          <w:lang w:eastAsia="sk-SK"/>
        </w:rPr>
        <w:t>Počet študentov študujúcich na vysokých školách v SR</w:t>
      </w:r>
      <w:r w:rsidRPr="0053555E">
        <w:rPr>
          <w:rFonts w:asciiTheme="majorHAnsi" w:hAnsiTheme="majorHAnsi" w:cstheme="majorHAnsi"/>
          <w:sz w:val="20"/>
          <w:szCs w:val="18"/>
          <w:lang w:eastAsia="sk-SK"/>
        </w:rPr>
        <w:t xml:space="preserve"> zdroj: Štatistika CVTI SR, stav k 31. 10. aktuálneho akademického roka, </w:t>
      </w:r>
      <w:hyperlink r:id="rId50" w:history="1">
        <w:r w:rsidR="00A81519" w:rsidRPr="0044612D">
          <w:rPr>
            <w:rStyle w:val="Hypertextovprepojenie"/>
            <w:rFonts w:asciiTheme="majorHAnsi" w:hAnsiTheme="majorHAnsi" w:cstheme="majorHAnsi"/>
            <w:sz w:val="20"/>
            <w:szCs w:val="18"/>
            <w:lang w:eastAsia="sk-SK"/>
          </w:rPr>
          <w:t>http://www.cvtisr.sk/cvti-sr-vedecka-kniznica/informacie-o-skolstve/statistiky/casove-rady.html?page_id=9724</w:t>
        </w:r>
      </w:hyperlink>
      <w:r w:rsidRPr="0053555E">
        <w:rPr>
          <w:rFonts w:asciiTheme="majorHAnsi" w:hAnsiTheme="majorHAnsi" w:cstheme="majorHAnsi"/>
          <w:sz w:val="20"/>
          <w:szCs w:val="18"/>
          <w:lang w:eastAsia="sk-SK"/>
        </w:rPr>
        <w:t xml:space="preserve">. </w:t>
      </w:r>
    </w:p>
    <w:p w14:paraId="7F549696" w14:textId="1F4BEE49" w:rsidR="00C41753" w:rsidRPr="0053555E" w:rsidRDefault="00C41753" w:rsidP="00324438">
      <w:pPr>
        <w:tabs>
          <w:tab w:val="left" w:pos="9356"/>
        </w:tabs>
        <w:spacing w:after="120"/>
        <w:jc w:val="both"/>
        <w:rPr>
          <w:rFonts w:asciiTheme="majorHAnsi" w:hAnsiTheme="majorHAnsi" w:cstheme="majorHAnsi"/>
          <w:sz w:val="20"/>
          <w:szCs w:val="18"/>
        </w:rPr>
      </w:pPr>
      <w:r w:rsidRPr="0053555E">
        <w:rPr>
          <w:rFonts w:asciiTheme="majorHAnsi" w:hAnsiTheme="majorHAnsi" w:cstheme="majorHAnsi"/>
          <w:b/>
          <w:sz w:val="20"/>
          <w:szCs w:val="18"/>
          <w:lang w:eastAsia="sk-SK"/>
        </w:rPr>
        <w:t xml:space="preserve">Počet študentov </w:t>
      </w:r>
      <w:r w:rsidR="001F19E4" w:rsidRPr="0053555E">
        <w:rPr>
          <w:rFonts w:asciiTheme="majorHAnsi" w:hAnsiTheme="majorHAnsi" w:cstheme="majorHAnsi"/>
          <w:b/>
          <w:sz w:val="20"/>
          <w:szCs w:val="18"/>
          <w:lang w:eastAsia="sk-SK"/>
        </w:rPr>
        <w:t xml:space="preserve">vysokých škôl v ČR a počet študentov </w:t>
      </w:r>
      <w:r w:rsidRPr="0053555E">
        <w:rPr>
          <w:rFonts w:asciiTheme="majorHAnsi" w:hAnsiTheme="majorHAnsi" w:cstheme="majorHAnsi"/>
          <w:b/>
          <w:sz w:val="20"/>
          <w:szCs w:val="18"/>
          <w:lang w:eastAsia="sk-SK"/>
        </w:rPr>
        <w:t>SR študujúcich na vysokých školách v ČR</w:t>
      </w:r>
      <w:r w:rsidRPr="0053555E">
        <w:rPr>
          <w:rFonts w:asciiTheme="majorHAnsi" w:hAnsiTheme="majorHAnsi" w:cstheme="majorHAnsi"/>
          <w:sz w:val="20"/>
          <w:szCs w:val="18"/>
          <w:lang w:eastAsia="sk-SK"/>
        </w:rPr>
        <w:t xml:space="preserve"> k 31. 12. aktuálneho akademického roka, podľa štatistiky zverejnenej Ministerstvom školství, mládeže a tělovýchovy ČR (štatistika F23 - studenti podle státního občanství):</w:t>
      </w:r>
      <w:r w:rsidRPr="0053555E">
        <w:rPr>
          <w:rFonts w:asciiTheme="majorHAnsi" w:hAnsiTheme="majorHAnsi" w:cstheme="majorHAnsi"/>
          <w:sz w:val="20"/>
          <w:szCs w:val="18"/>
        </w:rPr>
        <w:t xml:space="preserve"> </w:t>
      </w:r>
      <w:hyperlink r:id="rId51" w:history="1">
        <w:r w:rsidR="001948B7" w:rsidRPr="0044612D">
          <w:rPr>
            <w:rStyle w:val="Hypertextovprepojenie"/>
            <w:rFonts w:asciiTheme="majorHAnsi" w:hAnsiTheme="majorHAnsi" w:cstheme="majorHAnsi"/>
            <w:sz w:val="20"/>
            <w:szCs w:val="18"/>
          </w:rPr>
          <w:t>http://www.msmt.cz/</w:t>
        </w:r>
      </w:hyperlink>
      <w:r w:rsidRPr="0053555E">
        <w:rPr>
          <w:rStyle w:val="Hypertextovprepojenie"/>
          <w:rFonts w:asciiTheme="majorHAnsi" w:hAnsiTheme="majorHAnsi" w:cstheme="majorHAnsi"/>
          <w:color w:val="auto"/>
          <w:sz w:val="20"/>
          <w:szCs w:val="18"/>
          <w:lang w:eastAsia="sk-SK"/>
        </w:rPr>
        <w:t>.</w:t>
      </w:r>
      <w:r w:rsidRPr="0053555E">
        <w:rPr>
          <w:rFonts w:asciiTheme="majorHAnsi" w:hAnsiTheme="majorHAnsi" w:cstheme="majorHAnsi"/>
          <w:sz w:val="20"/>
          <w:szCs w:val="18"/>
          <w:lang w:eastAsia="sk-SK"/>
        </w:rPr>
        <w:t xml:space="preserve"> </w:t>
      </w:r>
    </w:p>
    <w:p w14:paraId="6B21ED3B" w14:textId="77777777" w:rsidR="00C41753" w:rsidRPr="0053555E" w:rsidRDefault="00C41753" w:rsidP="00324438">
      <w:pPr>
        <w:tabs>
          <w:tab w:val="left" w:pos="9356"/>
        </w:tabs>
        <w:jc w:val="both"/>
        <w:rPr>
          <w:rFonts w:asciiTheme="majorHAnsi" w:hAnsiTheme="majorHAnsi" w:cstheme="majorHAnsi"/>
          <w:sz w:val="20"/>
          <w:szCs w:val="18"/>
        </w:rPr>
        <w:sectPr w:rsidR="00C41753" w:rsidRPr="0053555E" w:rsidSect="00194D82">
          <w:headerReference w:type="default" r:id="rId52"/>
          <w:pgSz w:w="16838" w:h="11906" w:orient="landscape"/>
          <w:pgMar w:top="1417" w:right="962" w:bottom="709" w:left="851" w:header="708" w:footer="545" w:gutter="0"/>
          <w:cols w:space="708"/>
          <w:docGrid w:linePitch="326"/>
        </w:sectPr>
      </w:pPr>
    </w:p>
    <w:p w14:paraId="0F96D883" w14:textId="5F1350C9" w:rsidR="0062325C" w:rsidRPr="007378B0" w:rsidRDefault="007378B0" w:rsidP="007378B0">
      <w:pPr>
        <w:rPr>
          <w:b/>
          <w:sz w:val="28"/>
          <w:szCs w:val="28"/>
        </w:rPr>
      </w:pPr>
      <w:bookmarkStart w:id="106" w:name="_Toc127593224"/>
      <w:r w:rsidRPr="007378B0">
        <w:rPr>
          <w:b/>
          <w:sz w:val="28"/>
          <w:szCs w:val="28"/>
        </w:rPr>
        <w:lastRenderedPageBreak/>
        <w:t xml:space="preserve">3.4.2. </w:t>
      </w:r>
      <w:r w:rsidR="002071AC" w:rsidRPr="007378B0">
        <w:rPr>
          <w:b/>
          <w:sz w:val="28"/>
          <w:szCs w:val="28"/>
        </w:rPr>
        <w:t>Prijímacie konanie na druhý stupeň štúdia</w:t>
      </w:r>
      <w:bookmarkEnd w:id="106"/>
    </w:p>
    <w:p w14:paraId="030F21AA" w14:textId="77777777" w:rsidR="007378B0" w:rsidRPr="007378B0" w:rsidRDefault="007378B0" w:rsidP="007378B0"/>
    <w:p w14:paraId="28FCD89B" w14:textId="27E58D89" w:rsidR="002071AC" w:rsidRPr="0053555E" w:rsidRDefault="00947595" w:rsidP="0032443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V akademickom roku </w:t>
      </w:r>
      <w:r w:rsidR="00EA24BA" w:rsidRPr="0053555E">
        <w:rPr>
          <w:rFonts w:asciiTheme="majorHAnsi" w:hAnsiTheme="majorHAnsi" w:cstheme="majorHAnsi"/>
        </w:rPr>
        <w:t>2022/2023</w:t>
      </w:r>
      <w:r w:rsidR="007378B0">
        <w:rPr>
          <w:rFonts w:asciiTheme="majorHAnsi" w:hAnsiTheme="majorHAnsi" w:cstheme="majorHAnsi"/>
        </w:rPr>
        <w:t xml:space="preserve"> bol</w:t>
      </w:r>
      <w:r w:rsidRPr="0053555E">
        <w:rPr>
          <w:rFonts w:asciiTheme="majorHAnsi" w:hAnsiTheme="majorHAnsi" w:cstheme="majorHAnsi"/>
        </w:rPr>
        <w:t xml:space="preserve"> </w:t>
      </w:r>
      <w:r w:rsidR="00AA2BA0">
        <w:rPr>
          <w:rFonts w:asciiTheme="majorHAnsi" w:hAnsiTheme="majorHAnsi" w:cstheme="majorHAnsi"/>
        </w:rPr>
        <w:t xml:space="preserve">na STU </w:t>
      </w:r>
      <w:r w:rsidR="007378B0">
        <w:rPr>
          <w:rFonts w:asciiTheme="majorHAnsi" w:hAnsiTheme="majorHAnsi" w:cstheme="majorHAnsi"/>
        </w:rPr>
        <w:t>plán</w:t>
      </w:r>
      <w:r w:rsidRPr="0053555E">
        <w:rPr>
          <w:rFonts w:asciiTheme="majorHAnsi" w:hAnsiTheme="majorHAnsi" w:cstheme="majorHAnsi"/>
        </w:rPr>
        <w:t xml:space="preserve"> prijať na </w:t>
      </w:r>
      <w:r w:rsidR="00AF0618" w:rsidRPr="0053555E">
        <w:rPr>
          <w:rFonts w:asciiTheme="majorHAnsi" w:hAnsiTheme="majorHAnsi" w:cstheme="majorHAnsi"/>
        </w:rPr>
        <w:t>druhý</w:t>
      </w:r>
      <w:r w:rsidR="002071AC" w:rsidRPr="0053555E">
        <w:rPr>
          <w:rFonts w:asciiTheme="majorHAnsi" w:hAnsiTheme="majorHAnsi" w:cstheme="majorHAnsi"/>
        </w:rPr>
        <w:t xml:space="preserve"> stupeň štúdia celkovo </w:t>
      </w:r>
      <w:r w:rsidR="00F127C6" w:rsidRPr="0053555E">
        <w:rPr>
          <w:rFonts w:asciiTheme="majorHAnsi" w:hAnsiTheme="majorHAnsi" w:cstheme="majorHAnsi"/>
          <w:b/>
        </w:rPr>
        <w:t>2</w:t>
      </w:r>
      <w:r w:rsidR="00F46E3E" w:rsidRPr="0053555E">
        <w:rPr>
          <w:rFonts w:asciiTheme="majorHAnsi" w:hAnsiTheme="majorHAnsi" w:cstheme="majorHAnsi"/>
          <w:b/>
        </w:rPr>
        <w:t> </w:t>
      </w:r>
      <w:r w:rsidR="00AA2BA0">
        <w:rPr>
          <w:rFonts w:asciiTheme="majorHAnsi" w:hAnsiTheme="majorHAnsi" w:cstheme="majorHAnsi"/>
          <w:b/>
        </w:rPr>
        <w:t>5</w:t>
      </w:r>
      <w:r w:rsidRPr="0053555E">
        <w:rPr>
          <w:rFonts w:asciiTheme="majorHAnsi" w:hAnsiTheme="majorHAnsi" w:cstheme="majorHAnsi"/>
          <w:b/>
        </w:rPr>
        <w:t>14</w:t>
      </w:r>
      <w:r w:rsidR="00F46E3E" w:rsidRPr="0053555E">
        <w:rPr>
          <w:rFonts w:asciiTheme="majorHAnsi" w:hAnsiTheme="majorHAnsi" w:cstheme="majorHAnsi"/>
          <w:b/>
        </w:rPr>
        <w:t> </w:t>
      </w:r>
      <w:r w:rsidR="002071AC" w:rsidRPr="0053555E">
        <w:rPr>
          <w:rFonts w:asciiTheme="majorHAnsi" w:hAnsiTheme="majorHAnsi" w:cstheme="majorHAnsi"/>
        </w:rPr>
        <w:t>uchádzačov</w:t>
      </w:r>
      <w:r w:rsidR="007A545D" w:rsidRPr="0053555E">
        <w:rPr>
          <w:rFonts w:asciiTheme="majorHAnsi" w:hAnsiTheme="majorHAnsi" w:cstheme="majorHAnsi"/>
        </w:rPr>
        <w:t>,</w:t>
      </w:r>
      <w:r w:rsidR="002071AC" w:rsidRPr="0053555E">
        <w:rPr>
          <w:rFonts w:asciiTheme="majorHAnsi" w:hAnsiTheme="majorHAnsi" w:cstheme="majorHAnsi"/>
        </w:rPr>
        <w:t xml:space="preserve"> prihlásených bolo </w:t>
      </w:r>
      <w:r w:rsidR="00A62F24" w:rsidRPr="0053555E">
        <w:rPr>
          <w:rFonts w:asciiTheme="majorHAnsi" w:hAnsiTheme="majorHAnsi" w:cstheme="majorHAnsi"/>
          <w:b/>
        </w:rPr>
        <w:t xml:space="preserve">2 </w:t>
      </w:r>
      <w:r w:rsidR="00C02745">
        <w:rPr>
          <w:rFonts w:asciiTheme="majorHAnsi" w:hAnsiTheme="majorHAnsi" w:cstheme="majorHAnsi"/>
          <w:b/>
        </w:rPr>
        <w:t>259</w:t>
      </w:r>
      <w:r w:rsidR="007A545D" w:rsidRPr="0053555E">
        <w:rPr>
          <w:rFonts w:asciiTheme="majorHAnsi" w:hAnsiTheme="majorHAnsi" w:cstheme="majorHAnsi"/>
        </w:rPr>
        <w:t>,</w:t>
      </w:r>
      <w:r w:rsidR="002071AC" w:rsidRPr="0053555E">
        <w:rPr>
          <w:rFonts w:asciiTheme="majorHAnsi" w:hAnsiTheme="majorHAnsi" w:cstheme="majorHAnsi"/>
        </w:rPr>
        <w:t xml:space="preserve"> z toho bolo prijatých </w:t>
      </w:r>
      <w:r w:rsidR="00FB1EE9" w:rsidRPr="0053555E">
        <w:rPr>
          <w:rFonts w:asciiTheme="majorHAnsi" w:hAnsiTheme="majorHAnsi" w:cstheme="majorHAnsi"/>
          <w:b/>
        </w:rPr>
        <w:t>1</w:t>
      </w:r>
      <w:r w:rsidR="000C7F2A" w:rsidRPr="0053555E">
        <w:rPr>
          <w:rFonts w:asciiTheme="majorHAnsi" w:hAnsiTheme="majorHAnsi" w:cstheme="majorHAnsi"/>
          <w:b/>
        </w:rPr>
        <w:t> </w:t>
      </w:r>
      <w:r w:rsidR="00C02745">
        <w:rPr>
          <w:rFonts w:asciiTheme="majorHAnsi" w:hAnsiTheme="majorHAnsi" w:cstheme="majorHAnsi"/>
          <w:b/>
        </w:rPr>
        <w:t>750</w:t>
      </w:r>
      <w:r w:rsidR="000C7F2A" w:rsidRPr="0053555E">
        <w:rPr>
          <w:rFonts w:asciiTheme="majorHAnsi" w:hAnsiTheme="majorHAnsi" w:cstheme="majorHAnsi"/>
          <w:b/>
        </w:rPr>
        <w:t xml:space="preserve"> </w:t>
      </w:r>
      <w:r w:rsidR="00F127C6" w:rsidRPr="0053555E">
        <w:rPr>
          <w:rFonts w:asciiTheme="majorHAnsi" w:hAnsiTheme="majorHAnsi" w:cstheme="majorHAnsi"/>
        </w:rPr>
        <w:t>uchádzačov</w:t>
      </w:r>
      <w:r w:rsidR="002071AC" w:rsidRPr="0053555E">
        <w:rPr>
          <w:rFonts w:asciiTheme="majorHAnsi" w:hAnsiTheme="majorHAnsi" w:cstheme="majorHAnsi"/>
        </w:rPr>
        <w:t xml:space="preserve">. </w:t>
      </w:r>
      <w:r w:rsidR="002071AC" w:rsidRPr="0053555E">
        <w:rPr>
          <w:rFonts w:asciiTheme="majorHAnsi" w:hAnsiTheme="majorHAnsi" w:cstheme="majorHAnsi"/>
          <w:b/>
        </w:rPr>
        <w:t xml:space="preserve">Celkovo sa na STU </w:t>
      </w:r>
      <w:r w:rsidR="00AF0618" w:rsidRPr="0053555E">
        <w:rPr>
          <w:rFonts w:asciiTheme="majorHAnsi" w:hAnsiTheme="majorHAnsi" w:cstheme="majorHAnsi"/>
          <w:b/>
        </w:rPr>
        <w:t>v</w:t>
      </w:r>
      <w:r w:rsidR="00CE2FBA" w:rsidRPr="0053555E">
        <w:rPr>
          <w:rFonts w:asciiTheme="majorHAnsi" w:hAnsiTheme="majorHAnsi" w:cstheme="majorHAnsi"/>
          <w:b/>
        </w:rPr>
        <w:t> </w:t>
      </w:r>
      <w:r w:rsidR="002071AC" w:rsidRPr="0053555E">
        <w:rPr>
          <w:rFonts w:asciiTheme="majorHAnsi" w:hAnsiTheme="majorHAnsi" w:cstheme="majorHAnsi"/>
          <w:b/>
        </w:rPr>
        <w:t>akademick</w:t>
      </w:r>
      <w:r w:rsidR="00AF0618" w:rsidRPr="0053555E">
        <w:rPr>
          <w:rFonts w:asciiTheme="majorHAnsi" w:hAnsiTheme="majorHAnsi" w:cstheme="majorHAnsi"/>
          <w:b/>
        </w:rPr>
        <w:t>om</w:t>
      </w:r>
      <w:r w:rsidR="002071AC" w:rsidRPr="0053555E">
        <w:rPr>
          <w:rFonts w:asciiTheme="majorHAnsi" w:hAnsiTheme="majorHAnsi" w:cstheme="majorHAnsi"/>
          <w:b/>
        </w:rPr>
        <w:t xml:space="preserve"> rok</w:t>
      </w:r>
      <w:r w:rsidR="00AF0618" w:rsidRPr="0053555E">
        <w:rPr>
          <w:rFonts w:asciiTheme="majorHAnsi" w:hAnsiTheme="majorHAnsi" w:cstheme="majorHAnsi"/>
          <w:b/>
        </w:rPr>
        <w:t>u</w:t>
      </w:r>
      <w:r w:rsidR="002071AC" w:rsidRPr="0053555E">
        <w:rPr>
          <w:rFonts w:asciiTheme="majorHAnsi" w:hAnsiTheme="majorHAnsi" w:cstheme="majorHAnsi"/>
          <w:b/>
        </w:rPr>
        <w:t xml:space="preserve"> </w:t>
      </w:r>
      <w:r w:rsidR="00EA24BA" w:rsidRPr="0053555E">
        <w:rPr>
          <w:rFonts w:asciiTheme="majorHAnsi" w:hAnsiTheme="majorHAnsi" w:cstheme="majorHAnsi"/>
          <w:b/>
        </w:rPr>
        <w:t>2022/2023</w:t>
      </w:r>
      <w:r w:rsidR="002071AC" w:rsidRPr="0053555E">
        <w:rPr>
          <w:rFonts w:asciiTheme="majorHAnsi" w:hAnsiTheme="majorHAnsi" w:cstheme="majorHAnsi"/>
          <w:b/>
        </w:rPr>
        <w:t xml:space="preserve"> zapísalo na </w:t>
      </w:r>
      <w:r w:rsidR="00AF0618" w:rsidRPr="0053555E">
        <w:rPr>
          <w:rFonts w:asciiTheme="majorHAnsi" w:hAnsiTheme="majorHAnsi" w:cstheme="majorHAnsi"/>
          <w:b/>
        </w:rPr>
        <w:t>druhom</w:t>
      </w:r>
      <w:r w:rsidR="002071AC" w:rsidRPr="0053555E">
        <w:rPr>
          <w:rFonts w:asciiTheme="majorHAnsi" w:hAnsiTheme="majorHAnsi" w:cstheme="majorHAnsi"/>
          <w:b/>
        </w:rPr>
        <w:t xml:space="preserve"> stupni štúdia </w:t>
      </w:r>
      <w:r w:rsidR="00CE2FBA" w:rsidRPr="0053555E">
        <w:rPr>
          <w:rFonts w:asciiTheme="majorHAnsi" w:hAnsiTheme="majorHAnsi" w:cstheme="majorHAnsi"/>
          <w:b/>
        </w:rPr>
        <w:t>1</w:t>
      </w:r>
      <w:r w:rsidR="00A62F24" w:rsidRPr="0053555E">
        <w:rPr>
          <w:rFonts w:asciiTheme="majorHAnsi" w:hAnsiTheme="majorHAnsi" w:cstheme="majorHAnsi"/>
          <w:b/>
        </w:rPr>
        <w:t> 5</w:t>
      </w:r>
      <w:r w:rsidR="00C02745">
        <w:rPr>
          <w:rFonts w:asciiTheme="majorHAnsi" w:hAnsiTheme="majorHAnsi" w:cstheme="majorHAnsi"/>
          <w:b/>
        </w:rPr>
        <w:t>10</w:t>
      </w:r>
      <w:r w:rsidR="00A62F24" w:rsidRPr="0053555E">
        <w:rPr>
          <w:rFonts w:asciiTheme="majorHAnsi" w:hAnsiTheme="majorHAnsi" w:cstheme="majorHAnsi"/>
          <w:b/>
        </w:rPr>
        <w:t xml:space="preserve"> </w:t>
      </w:r>
      <w:r w:rsidR="00FB1EE9" w:rsidRPr="0053555E">
        <w:rPr>
          <w:rFonts w:asciiTheme="majorHAnsi" w:hAnsiTheme="majorHAnsi" w:cstheme="majorHAnsi"/>
          <w:b/>
        </w:rPr>
        <w:t>študentov z </w:t>
      </w:r>
      <w:r w:rsidR="007F78C5" w:rsidRPr="0053555E">
        <w:rPr>
          <w:rFonts w:asciiTheme="majorHAnsi" w:hAnsiTheme="majorHAnsi" w:cstheme="majorHAnsi"/>
          <w:b/>
        </w:rPr>
        <w:t xml:space="preserve">prijatých </w:t>
      </w:r>
      <w:r w:rsidR="002071AC" w:rsidRPr="0053555E">
        <w:rPr>
          <w:rFonts w:asciiTheme="majorHAnsi" w:hAnsiTheme="majorHAnsi" w:cstheme="majorHAnsi"/>
          <w:b/>
        </w:rPr>
        <w:t>uchádzačov</w:t>
      </w:r>
      <w:r w:rsidR="007F78C5" w:rsidRPr="0053555E">
        <w:rPr>
          <w:rFonts w:asciiTheme="majorHAnsi" w:hAnsiTheme="majorHAnsi" w:cstheme="majorHAnsi"/>
          <w:b/>
        </w:rPr>
        <w:t xml:space="preserve">, </w:t>
      </w:r>
      <w:r w:rsidR="007378B0">
        <w:rPr>
          <w:rFonts w:asciiTheme="majorHAnsi" w:hAnsiTheme="majorHAnsi" w:cstheme="majorHAnsi"/>
        </w:rPr>
        <w:t xml:space="preserve">čo </w:t>
      </w:r>
      <w:r w:rsidR="007F78C5" w:rsidRPr="0053555E">
        <w:rPr>
          <w:rFonts w:asciiTheme="majorHAnsi" w:hAnsiTheme="majorHAnsi" w:cstheme="majorHAnsi"/>
        </w:rPr>
        <w:t xml:space="preserve">je </w:t>
      </w:r>
      <w:r w:rsidR="00C02745">
        <w:rPr>
          <w:rFonts w:asciiTheme="majorHAnsi" w:hAnsiTheme="majorHAnsi" w:cstheme="majorHAnsi"/>
          <w:b/>
        </w:rPr>
        <w:t>pokles</w:t>
      </w:r>
      <w:r w:rsidR="007F78C5" w:rsidRPr="0053555E">
        <w:rPr>
          <w:rFonts w:asciiTheme="majorHAnsi" w:hAnsiTheme="majorHAnsi" w:cstheme="majorHAnsi"/>
        </w:rPr>
        <w:t xml:space="preserve"> oproti predchádzajúcemu akad</w:t>
      </w:r>
      <w:r w:rsidR="00A01F6C" w:rsidRPr="0053555E">
        <w:rPr>
          <w:rFonts w:asciiTheme="majorHAnsi" w:hAnsiTheme="majorHAnsi" w:cstheme="majorHAnsi"/>
        </w:rPr>
        <w:t>emickému</w:t>
      </w:r>
      <w:r w:rsidR="007F78C5" w:rsidRPr="0053555E">
        <w:rPr>
          <w:rFonts w:asciiTheme="majorHAnsi" w:hAnsiTheme="majorHAnsi" w:cstheme="majorHAnsi"/>
        </w:rPr>
        <w:t xml:space="preserve"> roku </w:t>
      </w:r>
      <w:r w:rsidR="007F78C5" w:rsidRPr="0053555E">
        <w:rPr>
          <w:rFonts w:asciiTheme="majorHAnsi" w:hAnsiTheme="majorHAnsi" w:cstheme="majorHAnsi"/>
          <w:b/>
        </w:rPr>
        <w:t>o</w:t>
      </w:r>
      <w:r w:rsidR="00C40B0F">
        <w:rPr>
          <w:rFonts w:asciiTheme="majorHAnsi" w:hAnsiTheme="majorHAnsi" w:cstheme="majorHAnsi"/>
          <w:b/>
        </w:rPr>
        <w:t> necelé 4</w:t>
      </w:r>
      <w:r w:rsidR="00F04051" w:rsidRPr="0053555E">
        <w:rPr>
          <w:rFonts w:asciiTheme="majorHAnsi" w:hAnsiTheme="majorHAnsi" w:cstheme="majorHAnsi"/>
          <w:b/>
        </w:rPr>
        <w:t xml:space="preserve"> </w:t>
      </w:r>
      <w:r w:rsidR="007F78C5" w:rsidRPr="0053555E">
        <w:rPr>
          <w:rFonts w:asciiTheme="majorHAnsi" w:hAnsiTheme="majorHAnsi" w:cstheme="majorHAnsi"/>
          <w:b/>
        </w:rPr>
        <w:t>%</w:t>
      </w:r>
      <w:r w:rsidR="002071AC" w:rsidRPr="0053555E">
        <w:rPr>
          <w:rFonts w:asciiTheme="majorHAnsi" w:hAnsiTheme="majorHAnsi" w:cstheme="majorHAnsi"/>
        </w:rPr>
        <w:t xml:space="preserve">. </w:t>
      </w:r>
      <w:r w:rsidR="00362A54" w:rsidRPr="0053555E">
        <w:rPr>
          <w:rFonts w:asciiTheme="majorHAnsi" w:hAnsiTheme="majorHAnsi" w:cstheme="majorHAnsi"/>
        </w:rPr>
        <w:t xml:space="preserve">Z celkového počtu zapísaných študentov bolo </w:t>
      </w:r>
      <w:r w:rsidR="000F6BDE">
        <w:rPr>
          <w:rFonts w:asciiTheme="majorHAnsi" w:hAnsiTheme="majorHAnsi" w:cstheme="majorHAnsi"/>
          <w:b/>
        </w:rPr>
        <w:t>126</w:t>
      </w:r>
      <w:r w:rsidR="007378B0">
        <w:rPr>
          <w:rFonts w:asciiTheme="majorHAnsi" w:hAnsiTheme="majorHAnsi" w:cstheme="majorHAnsi"/>
        </w:rPr>
        <w:t xml:space="preserve"> zahraničných</w:t>
      </w:r>
      <w:r w:rsidR="000C7F2A" w:rsidRPr="0053555E">
        <w:rPr>
          <w:rFonts w:asciiTheme="majorHAnsi" w:hAnsiTheme="majorHAnsi" w:cstheme="majorHAnsi"/>
        </w:rPr>
        <w:t xml:space="preserve">, čo predstavuje </w:t>
      </w:r>
      <w:r w:rsidR="00120A0B" w:rsidRPr="0053555E">
        <w:rPr>
          <w:rFonts w:asciiTheme="majorHAnsi" w:hAnsiTheme="majorHAnsi" w:cstheme="majorHAnsi"/>
          <w:b/>
        </w:rPr>
        <w:t>nárast</w:t>
      </w:r>
      <w:r w:rsidR="000A35F7" w:rsidRPr="0053555E">
        <w:rPr>
          <w:rFonts w:asciiTheme="majorHAnsi" w:hAnsiTheme="majorHAnsi" w:cstheme="majorHAnsi"/>
          <w:b/>
        </w:rPr>
        <w:t> </w:t>
      </w:r>
      <w:r w:rsidR="00A61A80">
        <w:rPr>
          <w:rFonts w:asciiTheme="majorHAnsi" w:hAnsiTheme="majorHAnsi" w:cstheme="majorHAnsi"/>
          <w:b/>
        </w:rPr>
        <w:t>27</w:t>
      </w:r>
      <w:r w:rsidR="000A35F7" w:rsidRPr="0053555E">
        <w:rPr>
          <w:rFonts w:asciiTheme="majorHAnsi" w:hAnsiTheme="majorHAnsi" w:cstheme="majorHAnsi"/>
          <w:b/>
        </w:rPr>
        <w:t xml:space="preserve"> %</w:t>
      </w:r>
      <w:r w:rsidR="000C7F2A" w:rsidRPr="0053555E">
        <w:rPr>
          <w:rFonts w:asciiTheme="majorHAnsi" w:hAnsiTheme="majorHAnsi" w:cstheme="majorHAnsi"/>
          <w:b/>
        </w:rPr>
        <w:t xml:space="preserve"> </w:t>
      </w:r>
      <w:r w:rsidR="00422C7E" w:rsidRPr="0053555E">
        <w:rPr>
          <w:rFonts w:asciiTheme="majorHAnsi" w:hAnsiTheme="majorHAnsi" w:cstheme="majorHAnsi"/>
          <w:b/>
        </w:rPr>
        <w:t xml:space="preserve">novo zapísaných </w:t>
      </w:r>
      <w:r w:rsidR="000C7F2A" w:rsidRPr="0053555E">
        <w:rPr>
          <w:rFonts w:asciiTheme="majorHAnsi" w:hAnsiTheme="majorHAnsi" w:cstheme="majorHAnsi"/>
          <w:b/>
        </w:rPr>
        <w:t>zahraničných študentov</w:t>
      </w:r>
      <w:r w:rsidR="007378B0">
        <w:rPr>
          <w:rFonts w:asciiTheme="majorHAnsi" w:hAnsiTheme="majorHAnsi" w:cstheme="majorHAnsi"/>
        </w:rPr>
        <w:t xml:space="preserve"> oproti akademickému</w:t>
      </w:r>
      <w:r w:rsidR="000C7F2A" w:rsidRPr="0053555E">
        <w:rPr>
          <w:rFonts w:asciiTheme="majorHAnsi" w:hAnsiTheme="majorHAnsi" w:cstheme="majorHAnsi"/>
        </w:rPr>
        <w:t xml:space="preserve"> roku </w:t>
      </w:r>
      <w:r w:rsidR="00EA24BA" w:rsidRPr="0053555E">
        <w:rPr>
          <w:rFonts w:asciiTheme="majorHAnsi" w:hAnsiTheme="majorHAnsi" w:cstheme="majorHAnsi"/>
        </w:rPr>
        <w:t>2021/2022</w:t>
      </w:r>
      <w:r w:rsidR="00362A54" w:rsidRPr="0053555E">
        <w:rPr>
          <w:rFonts w:asciiTheme="majorHAnsi" w:hAnsiTheme="majorHAnsi" w:cstheme="majorHAnsi"/>
        </w:rPr>
        <w:t xml:space="preserve">. </w:t>
      </w:r>
      <w:r w:rsidR="00A61A80" w:rsidRPr="0053555E">
        <w:rPr>
          <w:rFonts w:asciiTheme="majorHAnsi" w:hAnsiTheme="majorHAnsi" w:cstheme="majorHAnsi"/>
        </w:rPr>
        <w:t>Najv</w:t>
      </w:r>
      <w:r w:rsidR="007378B0">
        <w:rPr>
          <w:rFonts w:asciiTheme="majorHAnsi" w:hAnsiTheme="majorHAnsi" w:cstheme="majorHAnsi"/>
        </w:rPr>
        <w:t>iac, 90,</w:t>
      </w:r>
      <w:r w:rsidR="00A61A80" w:rsidRPr="0053555E">
        <w:rPr>
          <w:rFonts w:asciiTheme="majorHAnsi" w:hAnsiTheme="majorHAnsi" w:cstheme="majorHAnsi"/>
        </w:rPr>
        <w:t xml:space="preserve"> </w:t>
      </w:r>
      <w:r w:rsidR="007378B0">
        <w:rPr>
          <w:rFonts w:asciiTheme="majorHAnsi" w:hAnsiTheme="majorHAnsi" w:cstheme="majorHAnsi"/>
        </w:rPr>
        <w:t>bolo</w:t>
      </w:r>
      <w:r w:rsidR="00A61A80" w:rsidRPr="0053555E">
        <w:rPr>
          <w:rFonts w:asciiTheme="majorHAnsi" w:hAnsiTheme="majorHAnsi" w:cstheme="majorHAnsi"/>
        </w:rPr>
        <w:t xml:space="preserve"> </w:t>
      </w:r>
      <w:r w:rsidR="00A61A80">
        <w:rPr>
          <w:rFonts w:asciiTheme="majorHAnsi" w:hAnsiTheme="majorHAnsi" w:cstheme="majorHAnsi"/>
        </w:rPr>
        <w:t xml:space="preserve">medzi zahraničnými uchádzačmi </w:t>
      </w:r>
      <w:r w:rsidR="007378B0">
        <w:rPr>
          <w:rFonts w:asciiTheme="majorHAnsi" w:hAnsiTheme="majorHAnsi" w:cstheme="majorHAnsi"/>
        </w:rPr>
        <w:t>občanov</w:t>
      </w:r>
      <w:r w:rsidR="00A61A80">
        <w:rPr>
          <w:rFonts w:asciiTheme="majorHAnsi" w:hAnsiTheme="majorHAnsi" w:cstheme="majorHAnsi"/>
        </w:rPr>
        <w:t xml:space="preserve"> Ukrajiny, čo predstavuje </w:t>
      </w:r>
      <w:r w:rsidR="00B02202" w:rsidRPr="00B02202">
        <w:rPr>
          <w:rFonts w:asciiTheme="majorHAnsi" w:hAnsiTheme="majorHAnsi" w:cstheme="majorHAnsi"/>
          <w:b/>
        </w:rPr>
        <w:t xml:space="preserve">52 </w:t>
      </w:r>
      <w:r w:rsidR="00A61A80" w:rsidRPr="00B02202">
        <w:rPr>
          <w:rFonts w:asciiTheme="majorHAnsi" w:hAnsiTheme="majorHAnsi" w:cstheme="majorHAnsi"/>
          <w:b/>
        </w:rPr>
        <w:t>%</w:t>
      </w:r>
      <w:r w:rsidR="00A61A80">
        <w:rPr>
          <w:rFonts w:asciiTheme="majorHAnsi" w:hAnsiTheme="majorHAnsi" w:cstheme="majorHAnsi"/>
        </w:rPr>
        <w:t xml:space="preserve">. </w:t>
      </w:r>
      <w:r w:rsidR="002071AC" w:rsidRPr="0053555E">
        <w:rPr>
          <w:rFonts w:asciiTheme="majorHAnsi" w:hAnsiTheme="majorHAnsi" w:cstheme="majorHAnsi"/>
        </w:rPr>
        <w:t xml:space="preserve">Prehľad prijímacieho konania </w:t>
      </w:r>
      <w:r w:rsidR="000158CF" w:rsidRPr="0053555E">
        <w:rPr>
          <w:rFonts w:asciiTheme="majorHAnsi" w:hAnsiTheme="majorHAnsi" w:cstheme="majorHAnsi"/>
        </w:rPr>
        <w:t>na</w:t>
      </w:r>
      <w:r w:rsidR="00B02202">
        <w:rPr>
          <w:rFonts w:asciiTheme="majorHAnsi" w:hAnsiTheme="majorHAnsi" w:cstheme="majorHAnsi"/>
        </w:rPr>
        <w:t> </w:t>
      </w:r>
      <w:r w:rsidR="000158CF" w:rsidRPr="0053555E">
        <w:rPr>
          <w:rFonts w:asciiTheme="majorHAnsi" w:hAnsiTheme="majorHAnsi" w:cstheme="majorHAnsi"/>
        </w:rPr>
        <w:t xml:space="preserve">druhý stupeň štúdia </w:t>
      </w:r>
      <w:r w:rsidR="002071AC" w:rsidRPr="0053555E">
        <w:rPr>
          <w:rFonts w:asciiTheme="majorHAnsi" w:hAnsiTheme="majorHAnsi" w:cstheme="majorHAnsi"/>
        </w:rPr>
        <w:t>je uveden</w:t>
      </w:r>
      <w:r w:rsidR="007F78C5" w:rsidRPr="0053555E">
        <w:rPr>
          <w:rFonts w:asciiTheme="majorHAnsi" w:hAnsiTheme="majorHAnsi" w:cstheme="majorHAnsi"/>
        </w:rPr>
        <w:t>ý</w:t>
      </w:r>
      <w:r w:rsidR="002071AC" w:rsidRPr="0053555E">
        <w:rPr>
          <w:rFonts w:asciiTheme="majorHAnsi" w:hAnsiTheme="majorHAnsi" w:cstheme="majorHAnsi"/>
        </w:rPr>
        <w:t xml:space="preserve"> v </w:t>
      </w:r>
      <w:r w:rsidR="0044060F" w:rsidRPr="00AB4E85">
        <w:rPr>
          <w:rFonts w:asciiTheme="majorHAnsi" w:hAnsiTheme="majorHAnsi" w:cstheme="majorHAnsi"/>
        </w:rPr>
        <w:fldChar w:fldCharType="begin"/>
      </w:r>
      <w:r w:rsidR="0044060F" w:rsidRPr="00AB4E85">
        <w:rPr>
          <w:rFonts w:asciiTheme="majorHAnsi" w:hAnsiTheme="majorHAnsi" w:cstheme="majorHAnsi"/>
        </w:rPr>
        <w:instrText xml:space="preserve"> REF _Ref31712760 \h </w:instrText>
      </w:r>
      <w:r w:rsidR="00324438" w:rsidRPr="00AB4E85">
        <w:rPr>
          <w:rFonts w:asciiTheme="majorHAnsi" w:hAnsiTheme="majorHAnsi" w:cstheme="majorHAnsi"/>
        </w:rPr>
        <w:instrText xml:space="preserve"> \* MERGEFORMAT </w:instrText>
      </w:r>
      <w:r w:rsidR="0044060F" w:rsidRPr="00AB4E85">
        <w:rPr>
          <w:rFonts w:asciiTheme="majorHAnsi" w:hAnsiTheme="majorHAnsi" w:cstheme="majorHAnsi"/>
        </w:rPr>
      </w:r>
      <w:r w:rsidR="0044060F" w:rsidRPr="00AB4E85">
        <w:rPr>
          <w:rFonts w:asciiTheme="majorHAnsi" w:hAnsiTheme="majorHAnsi" w:cstheme="majorHAnsi"/>
        </w:rPr>
        <w:fldChar w:fldCharType="separate"/>
      </w:r>
      <w:r w:rsidR="00EE1B59" w:rsidRPr="00AB4E85">
        <w:rPr>
          <w:rFonts w:asciiTheme="majorHAnsi" w:hAnsiTheme="majorHAnsi" w:cstheme="majorHAnsi"/>
        </w:rPr>
        <w:t>Tab. č. 24</w:t>
      </w:r>
      <w:r w:rsidR="0044060F" w:rsidRPr="00AB4E85">
        <w:rPr>
          <w:rFonts w:asciiTheme="majorHAnsi" w:hAnsiTheme="majorHAnsi" w:cstheme="majorHAnsi"/>
        </w:rPr>
        <w:fldChar w:fldCharType="end"/>
      </w:r>
      <w:r w:rsidR="002071AC" w:rsidRPr="00AB4E85">
        <w:rPr>
          <w:rFonts w:asciiTheme="majorHAnsi" w:hAnsiTheme="majorHAnsi" w:cstheme="majorHAnsi"/>
        </w:rPr>
        <w:t>.</w:t>
      </w:r>
    </w:p>
    <w:p w14:paraId="070E82EF" w14:textId="046047B5" w:rsidR="002071AC" w:rsidRPr="0053555E" w:rsidRDefault="002071AC" w:rsidP="0032443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V rámci STU sa na </w:t>
      </w:r>
      <w:r w:rsidR="00C77EAD" w:rsidRPr="0053555E">
        <w:rPr>
          <w:rFonts w:asciiTheme="majorHAnsi" w:hAnsiTheme="majorHAnsi" w:cstheme="majorHAnsi"/>
        </w:rPr>
        <w:t>druhý stupeň</w:t>
      </w:r>
      <w:r w:rsidRPr="0053555E">
        <w:rPr>
          <w:rFonts w:asciiTheme="majorHAnsi" w:hAnsiTheme="majorHAnsi" w:cstheme="majorHAnsi"/>
        </w:rPr>
        <w:t xml:space="preserve"> štúdi</w:t>
      </w:r>
      <w:r w:rsidR="00C77EAD" w:rsidRPr="0053555E">
        <w:rPr>
          <w:rFonts w:asciiTheme="majorHAnsi" w:hAnsiTheme="majorHAnsi" w:cstheme="majorHAnsi"/>
        </w:rPr>
        <w:t>a</w:t>
      </w:r>
      <w:r w:rsidRPr="0053555E">
        <w:rPr>
          <w:rFonts w:asciiTheme="majorHAnsi" w:hAnsiTheme="majorHAnsi" w:cstheme="majorHAnsi"/>
        </w:rPr>
        <w:t xml:space="preserve"> zapísalo </w:t>
      </w:r>
      <w:r w:rsidR="000C7F2A" w:rsidRPr="0053555E">
        <w:rPr>
          <w:rFonts w:asciiTheme="majorHAnsi" w:hAnsiTheme="majorHAnsi" w:cstheme="majorHAnsi"/>
          <w:b/>
          <w:shd w:val="clear" w:color="auto" w:fill="FFFFFF"/>
        </w:rPr>
        <w:t>8</w:t>
      </w:r>
      <w:r w:rsidR="005078BC">
        <w:rPr>
          <w:rFonts w:asciiTheme="majorHAnsi" w:hAnsiTheme="majorHAnsi" w:cstheme="majorHAnsi"/>
          <w:b/>
          <w:shd w:val="clear" w:color="auto" w:fill="FFFFFF"/>
        </w:rPr>
        <w:t>6</w:t>
      </w:r>
      <w:r w:rsidRPr="0053555E">
        <w:rPr>
          <w:rFonts w:asciiTheme="majorHAnsi" w:hAnsiTheme="majorHAnsi" w:cstheme="majorHAnsi"/>
          <w:b/>
          <w:shd w:val="clear" w:color="auto" w:fill="FFFFFF"/>
        </w:rPr>
        <w:t xml:space="preserve"> </w:t>
      </w:r>
      <w:r w:rsidRPr="0053555E">
        <w:rPr>
          <w:rFonts w:asciiTheme="majorHAnsi" w:hAnsiTheme="majorHAnsi" w:cstheme="majorHAnsi"/>
          <w:b/>
        </w:rPr>
        <w:t>%</w:t>
      </w:r>
      <w:r w:rsidRPr="0053555E">
        <w:rPr>
          <w:rFonts w:asciiTheme="majorHAnsi" w:hAnsiTheme="majorHAnsi" w:cstheme="majorHAnsi"/>
        </w:rPr>
        <w:t xml:space="preserve"> </w:t>
      </w:r>
      <w:r w:rsidR="00675AB9" w:rsidRPr="0053555E">
        <w:rPr>
          <w:rFonts w:asciiTheme="majorHAnsi" w:hAnsiTheme="majorHAnsi" w:cstheme="majorHAnsi"/>
        </w:rPr>
        <w:t xml:space="preserve">študentov z </w:t>
      </w:r>
      <w:r w:rsidRPr="0053555E">
        <w:rPr>
          <w:rFonts w:asciiTheme="majorHAnsi" w:hAnsiTheme="majorHAnsi" w:cstheme="majorHAnsi"/>
        </w:rPr>
        <w:t>prijatých uchádzačov</w:t>
      </w:r>
      <w:r w:rsidR="00803651" w:rsidRPr="0053555E">
        <w:rPr>
          <w:rFonts w:asciiTheme="majorHAnsi" w:hAnsiTheme="majorHAnsi" w:cstheme="majorHAnsi"/>
        </w:rPr>
        <w:t xml:space="preserve">, </w:t>
      </w:r>
      <w:r w:rsidR="005078BC">
        <w:rPr>
          <w:rFonts w:asciiTheme="majorHAnsi" w:hAnsiTheme="majorHAnsi" w:cstheme="majorHAnsi"/>
        </w:rPr>
        <w:t xml:space="preserve">teda </w:t>
      </w:r>
      <w:r w:rsidR="005078BC" w:rsidRPr="005078BC">
        <w:rPr>
          <w:rFonts w:asciiTheme="majorHAnsi" w:hAnsiTheme="majorHAnsi" w:cstheme="majorHAnsi"/>
          <w:b/>
        </w:rPr>
        <w:t>o 2 % viac</w:t>
      </w:r>
      <w:r w:rsidR="00803651" w:rsidRPr="0053555E">
        <w:rPr>
          <w:rFonts w:asciiTheme="majorHAnsi" w:hAnsiTheme="majorHAnsi" w:cstheme="majorHAnsi"/>
        </w:rPr>
        <w:t xml:space="preserve"> ako v </w:t>
      </w:r>
      <w:r w:rsidR="000C7F2A" w:rsidRPr="0053555E">
        <w:rPr>
          <w:rFonts w:asciiTheme="majorHAnsi" w:hAnsiTheme="majorHAnsi" w:cstheme="majorHAnsi"/>
        </w:rPr>
        <w:t>akademick</w:t>
      </w:r>
      <w:r w:rsidR="003023F2" w:rsidRPr="0053555E">
        <w:rPr>
          <w:rFonts w:asciiTheme="majorHAnsi" w:hAnsiTheme="majorHAnsi" w:cstheme="majorHAnsi"/>
        </w:rPr>
        <w:t>om</w:t>
      </w:r>
      <w:r w:rsidR="000C7F2A" w:rsidRPr="0053555E">
        <w:rPr>
          <w:rFonts w:asciiTheme="majorHAnsi" w:hAnsiTheme="majorHAnsi" w:cstheme="majorHAnsi"/>
        </w:rPr>
        <w:t xml:space="preserve"> roku </w:t>
      </w:r>
      <w:r w:rsidR="00EA24BA" w:rsidRPr="0053555E">
        <w:rPr>
          <w:rFonts w:asciiTheme="majorHAnsi" w:hAnsiTheme="majorHAnsi" w:cstheme="majorHAnsi"/>
        </w:rPr>
        <w:t>2021/2022</w:t>
      </w:r>
      <w:r w:rsidR="003023F2" w:rsidRPr="0053555E">
        <w:rPr>
          <w:rFonts w:asciiTheme="majorHAnsi" w:hAnsiTheme="majorHAnsi" w:cstheme="majorHAnsi"/>
        </w:rPr>
        <w:t xml:space="preserve">. </w:t>
      </w:r>
      <w:r w:rsidR="00F872BE" w:rsidRPr="0053555E">
        <w:rPr>
          <w:rFonts w:asciiTheme="majorHAnsi" w:hAnsiTheme="majorHAnsi" w:cstheme="majorHAnsi"/>
        </w:rPr>
        <w:t>Celkový počet prijatých uchádzačov a p</w:t>
      </w:r>
      <w:r w:rsidR="0052735D" w:rsidRPr="0053555E">
        <w:rPr>
          <w:rFonts w:asciiTheme="majorHAnsi" w:hAnsiTheme="majorHAnsi" w:cstheme="majorHAnsi"/>
        </w:rPr>
        <w:t>omer zapísaných a prijatých uchádzačov druhého stupňa štúdia</w:t>
      </w:r>
      <w:r w:rsidR="00BF1E27" w:rsidRPr="0053555E">
        <w:rPr>
          <w:rFonts w:asciiTheme="majorHAnsi" w:hAnsiTheme="majorHAnsi" w:cstheme="majorHAnsi"/>
        </w:rPr>
        <w:t xml:space="preserve"> </w:t>
      </w:r>
      <w:r w:rsidR="0052735D" w:rsidRPr="0053555E">
        <w:rPr>
          <w:rFonts w:asciiTheme="majorHAnsi" w:hAnsiTheme="majorHAnsi" w:cstheme="majorHAnsi"/>
        </w:rPr>
        <w:t xml:space="preserve">za </w:t>
      </w:r>
      <w:r w:rsidR="00F3440E" w:rsidRPr="0053555E">
        <w:rPr>
          <w:rFonts w:asciiTheme="majorHAnsi" w:hAnsiTheme="majorHAnsi" w:cstheme="majorHAnsi"/>
        </w:rPr>
        <w:t>ostat</w:t>
      </w:r>
      <w:r w:rsidR="0052735D" w:rsidRPr="0053555E">
        <w:rPr>
          <w:rFonts w:asciiTheme="majorHAnsi" w:hAnsiTheme="majorHAnsi" w:cstheme="majorHAnsi"/>
        </w:rPr>
        <w:t xml:space="preserve">ných </w:t>
      </w:r>
      <w:r w:rsidR="00096132" w:rsidRPr="0053555E">
        <w:rPr>
          <w:rFonts w:asciiTheme="majorHAnsi" w:hAnsiTheme="majorHAnsi" w:cstheme="majorHAnsi"/>
        </w:rPr>
        <w:t>sedem</w:t>
      </w:r>
      <w:r w:rsidR="0052735D" w:rsidRPr="0053555E">
        <w:rPr>
          <w:rFonts w:asciiTheme="majorHAnsi" w:hAnsiTheme="majorHAnsi" w:cstheme="majorHAnsi"/>
        </w:rPr>
        <w:t xml:space="preserve"> akademických rokov </w:t>
      </w:r>
      <w:r w:rsidR="00A90AAC" w:rsidRPr="0053555E">
        <w:rPr>
          <w:rFonts w:asciiTheme="majorHAnsi" w:hAnsiTheme="majorHAnsi" w:cstheme="majorHAnsi"/>
        </w:rPr>
        <w:t>vyjadruje</w:t>
      </w:r>
      <w:r w:rsidR="00E845CA" w:rsidRPr="0053555E">
        <w:rPr>
          <w:rFonts w:asciiTheme="majorHAnsi" w:hAnsiTheme="majorHAnsi" w:cstheme="majorHAnsi"/>
        </w:rPr>
        <w:t xml:space="preserve"> kombinovaný</w:t>
      </w:r>
      <w:r w:rsidR="0052735D" w:rsidRPr="0053555E">
        <w:rPr>
          <w:rFonts w:asciiTheme="majorHAnsi" w:hAnsiTheme="majorHAnsi" w:cstheme="majorHAnsi"/>
        </w:rPr>
        <w:t xml:space="preserve"> </w:t>
      </w:r>
      <w:r w:rsidR="0052735D" w:rsidRPr="00AB4E85">
        <w:rPr>
          <w:rFonts w:asciiTheme="majorHAnsi" w:hAnsiTheme="majorHAnsi" w:cstheme="majorHAnsi"/>
        </w:rPr>
        <w:fldChar w:fldCharType="begin"/>
      </w:r>
      <w:r w:rsidR="0052735D" w:rsidRPr="00AB4E85">
        <w:rPr>
          <w:rFonts w:asciiTheme="majorHAnsi" w:hAnsiTheme="majorHAnsi" w:cstheme="majorHAnsi"/>
        </w:rPr>
        <w:instrText xml:space="preserve"> REF _Ref474779963 \h  \* MERGEFORMAT </w:instrText>
      </w:r>
      <w:r w:rsidR="0052735D" w:rsidRPr="00AB4E85">
        <w:rPr>
          <w:rFonts w:asciiTheme="majorHAnsi" w:hAnsiTheme="majorHAnsi" w:cstheme="majorHAnsi"/>
        </w:rPr>
      </w:r>
      <w:r w:rsidR="0052735D" w:rsidRPr="00AB4E85">
        <w:rPr>
          <w:rFonts w:asciiTheme="majorHAnsi" w:hAnsiTheme="majorHAnsi" w:cstheme="majorHAnsi"/>
        </w:rPr>
        <w:fldChar w:fldCharType="separate"/>
      </w:r>
      <w:r w:rsidR="00EE1B59" w:rsidRPr="00AB4E85">
        <w:rPr>
          <w:rFonts w:asciiTheme="majorHAnsi" w:hAnsiTheme="majorHAnsi" w:cstheme="majorHAnsi"/>
        </w:rPr>
        <w:t>Graf č. 13</w:t>
      </w:r>
      <w:r w:rsidR="0052735D" w:rsidRPr="00AB4E85">
        <w:rPr>
          <w:rFonts w:asciiTheme="majorHAnsi" w:hAnsiTheme="majorHAnsi" w:cstheme="majorHAnsi"/>
        </w:rPr>
        <w:fldChar w:fldCharType="end"/>
      </w:r>
      <w:r w:rsidRPr="00AB4E85">
        <w:rPr>
          <w:rFonts w:asciiTheme="majorHAnsi" w:hAnsiTheme="majorHAnsi" w:cstheme="majorHAnsi"/>
        </w:rPr>
        <w:t xml:space="preserve">. </w:t>
      </w:r>
    </w:p>
    <w:p w14:paraId="52C1CF62" w14:textId="5048EB86" w:rsidR="002071AC" w:rsidRPr="0053555E" w:rsidRDefault="0044060F" w:rsidP="000E3322">
      <w:pPr>
        <w:pStyle w:val="Popis"/>
      </w:pPr>
      <w:bookmarkStart w:id="107" w:name="_Ref31712760"/>
      <w:bookmarkStart w:id="108" w:name="_Toc127593287"/>
      <w:r w:rsidRPr="0053555E">
        <w:t xml:space="preserve">Tab. č. </w:t>
      </w:r>
      <w:r w:rsidR="007B5953">
        <w:fldChar w:fldCharType="begin"/>
      </w:r>
      <w:r w:rsidR="007B5953">
        <w:instrText xml:space="preserve"> SEQ Tab._č. \* ARABIC </w:instrText>
      </w:r>
      <w:r w:rsidR="007B5953">
        <w:fldChar w:fldCharType="separate"/>
      </w:r>
      <w:r w:rsidR="00EE1B59">
        <w:rPr>
          <w:noProof/>
        </w:rPr>
        <w:t>24</w:t>
      </w:r>
      <w:r w:rsidR="007B5953">
        <w:rPr>
          <w:noProof/>
        </w:rPr>
        <w:fldChar w:fldCharType="end"/>
      </w:r>
      <w:bookmarkEnd w:id="107"/>
      <w:r w:rsidRPr="0053555E">
        <w:t>:</w:t>
      </w:r>
      <w:r w:rsidR="002071AC" w:rsidRPr="0053555E">
        <w:t xml:space="preserve"> </w:t>
      </w:r>
      <w:r w:rsidR="00AF0618" w:rsidRPr="0053555E">
        <w:t xml:space="preserve">Prehľad prijímacieho konania na druhý stupeň štúdia na </w:t>
      </w:r>
      <w:r w:rsidR="005B6294" w:rsidRPr="0053555E">
        <w:t>akademický</w:t>
      </w:r>
      <w:r w:rsidR="00AF0618" w:rsidRPr="0053555E">
        <w:t xml:space="preserve"> rok </w:t>
      </w:r>
      <w:r w:rsidR="00EA24BA" w:rsidRPr="0053555E">
        <w:t>2022/2023</w:t>
      </w:r>
      <w:bookmarkEnd w:id="108"/>
    </w:p>
    <w:tbl>
      <w:tblPr>
        <w:tblW w:w="9067" w:type="dxa"/>
        <w:tblLayout w:type="fixed"/>
        <w:tblCellMar>
          <w:left w:w="70" w:type="dxa"/>
          <w:right w:w="70" w:type="dxa"/>
        </w:tblCellMar>
        <w:tblLook w:val="04A0" w:firstRow="1" w:lastRow="0" w:firstColumn="1" w:lastColumn="0" w:noHBand="0" w:noVBand="1"/>
      </w:tblPr>
      <w:tblGrid>
        <w:gridCol w:w="960"/>
        <w:gridCol w:w="1020"/>
        <w:gridCol w:w="992"/>
        <w:gridCol w:w="850"/>
        <w:gridCol w:w="851"/>
        <w:gridCol w:w="851"/>
        <w:gridCol w:w="921"/>
        <w:gridCol w:w="921"/>
        <w:gridCol w:w="850"/>
        <w:gridCol w:w="851"/>
      </w:tblGrid>
      <w:tr w:rsidR="00FF5D8D" w:rsidRPr="0053555E" w14:paraId="734061BD" w14:textId="77777777" w:rsidTr="00AC1C66">
        <w:trPr>
          <w:trHeight w:val="27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3DC428" w14:textId="77777777" w:rsidR="00FF5D8D" w:rsidRPr="0053555E" w:rsidRDefault="002907D0" w:rsidP="00324438">
            <w:pPr>
              <w:tabs>
                <w:tab w:val="left" w:pos="9356"/>
              </w:tabs>
              <w:jc w:val="both"/>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Súčasť STU</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9B1F68"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Plánované počty (Pp)</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108969"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Prihlásení (Ph)</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33745690"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Ph/Pp</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9AEDA"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Prijatí (Pr)</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0725A130"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Pr/Pp</w:t>
            </w: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14:paraId="49A5668F"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Zapísaní (Z)</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695C57A9"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Z/Pr</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9BD4D3"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Z/Pp</w:t>
            </w:r>
          </w:p>
        </w:tc>
      </w:tr>
      <w:tr w:rsidR="00FF5D8D" w:rsidRPr="0053555E" w14:paraId="608AF795" w14:textId="77777777" w:rsidTr="00AC1C66">
        <w:trPr>
          <w:trHeight w:val="48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07F28D9E" w14:textId="77777777" w:rsidR="00FF5D8D" w:rsidRPr="0053555E" w:rsidRDefault="00FF5D8D" w:rsidP="00324438">
            <w:pPr>
              <w:tabs>
                <w:tab w:val="left" w:pos="9356"/>
              </w:tabs>
              <w:jc w:val="both"/>
              <w:rPr>
                <w:rFonts w:asciiTheme="majorHAnsi" w:eastAsia="Times New Roman" w:hAnsiTheme="majorHAnsi" w:cstheme="majorHAnsi"/>
                <w:b/>
                <w:bCs/>
                <w:sz w:val="20"/>
                <w:szCs w:val="20"/>
                <w:lang w:eastAsia="sk-SK"/>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14:paraId="7F2FA6E8"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6223218B"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p>
        </w:tc>
        <w:tc>
          <w:tcPr>
            <w:tcW w:w="850"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78CAB6B9"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3D0C042"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p>
        </w:tc>
        <w:tc>
          <w:tcPr>
            <w:tcW w:w="851"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4A6C70ED"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p>
        </w:tc>
        <w:tc>
          <w:tcPr>
            <w:tcW w:w="921" w:type="dxa"/>
            <w:tcBorders>
              <w:top w:val="nil"/>
              <w:left w:val="nil"/>
              <w:bottom w:val="single" w:sz="4" w:space="0" w:color="auto"/>
              <w:right w:val="single" w:sz="4" w:space="0" w:color="auto"/>
            </w:tcBorders>
            <w:shd w:val="clear" w:color="auto" w:fill="auto"/>
            <w:vAlign w:val="center"/>
            <w:hideMark/>
          </w:tcPr>
          <w:p w14:paraId="3D3522D8"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spolu</w:t>
            </w:r>
          </w:p>
        </w:tc>
        <w:tc>
          <w:tcPr>
            <w:tcW w:w="921" w:type="dxa"/>
            <w:tcBorders>
              <w:top w:val="nil"/>
              <w:left w:val="nil"/>
              <w:bottom w:val="single" w:sz="4" w:space="0" w:color="auto"/>
              <w:right w:val="single" w:sz="4" w:space="0" w:color="auto"/>
            </w:tcBorders>
            <w:shd w:val="clear" w:color="auto" w:fill="auto"/>
            <w:vAlign w:val="center"/>
            <w:hideMark/>
          </w:tcPr>
          <w:p w14:paraId="3A867DC7" w14:textId="77777777" w:rsidR="00FF5D8D" w:rsidRPr="0053555E" w:rsidRDefault="00FF5D8D" w:rsidP="00324438">
            <w:pPr>
              <w:tabs>
                <w:tab w:val="left" w:pos="9356"/>
              </w:tabs>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z toho zahraniční</w:t>
            </w:r>
          </w:p>
        </w:tc>
        <w:tc>
          <w:tcPr>
            <w:tcW w:w="850"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549415CE"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01569DC" w14:textId="77777777" w:rsidR="00FF5D8D" w:rsidRPr="0053555E" w:rsidRDefault="00FF5D8D" w:rsidP="00324438">
            <w:pPr>
              <w:tabs>
                <w:tab w:val="left" w:pos="9356"/>
              </w:tabs>
              <w:jc w:val="center"/>
              <w:rPr>
                <w:rFonts w:asciiTheme="majorHAnsi" w:eastAsia="Times New Roman" w:hAnsiTheme="majorHAnsi" w:cstheme="majorHAnsi"/>
                <w:b/>
                <w:bCs/>
                <w:sz w:val="20"/>
                <w:szCs w:val="20"/>
                <w:lang w:eastAsia="sk-SK"/>
              </w:rPr>
            </w:pPr>
          </w:p>
        </w:tc>
      </w:tr>
      <w:tr w:rsidR="005D61D1" w:rsidRPr="0053555E" w14:paraId="4DB98555" w14:textId="77777777" w:rsidTr="00AC1C6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490717" w14:textId="77777777" w:rsidR="005D61D1" w:rsidRPr="0053555E" w:rsidRDefault="005D61D1" w:rsidP="005D61D1">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SvF</w:t>
            </w:r>
          </w:p>
        </w:tc>
        <w:tc>
          <w:tcPr>
            <w:tcW w:w="1020" w:type="dxa"/>
            <w:tcBorders>
              <w:top w:val="nil"/>
              <w:left w:val="nil"/>
              <w:bottom w:val="single" w:sz="4" w:space="0" w:color="auto"/>
              <w:right w:val="single" w:sz="4" w:space="0" w:color="auto"/>
            </w:tcBorders>
            <w:shd w:val="clear" w:color="auto" w:fill="auto"/>
            <w:noWrap/>
            <w:vAlign w:val="bottom"/>
            <w:hideMark/>
          </w:tcPr>
          <w:p w14:paraId="62A1CFC6" w14:textId="422208DA" w:rsidR="005D61D1" w:rsidRPr="0053555E" w:rsidRDefault="005D61D1" w:rsidP="005D61D1">
            <w:pPr>
              <w:jc w:val="center"/>
              <w:rPr>
                <w:rFonts w:asciiTheme="majorHAnsi" w:hAnsiTheme="majorHAnsi" w:cstheme="majorHAnsi"/>
                <w:sz w:val="22"/>
                <w:szCs w:val="22"/>
              </w:rPr>
            </w:pPr>
            <w:r w:rsidRPr="0053555E">
              <w:rPr>
                <w:rFonts w:cs="Calibri"/>
                <w:sz w:val="22"/>
                <w:szCs w:val="22"/>
              </w:rPr>
              <w:t>355</w:t>
            </w:r>
          </w:p>
        </w:tc>
        <w:tc>
          <w:tcPr>
            <w:tcW w:w="992" w:type="dxa"/>
            <w:tcBorders>
              <w:top w:val="nil"/>
              <w:left w:val="nil"/>
              <w:bottom w:val="single" w:sz="4" w:space="0" w:color="auto"/>
              <w:right w:val="single" w:sz="4" w:space="0" w:color="auto"/>
            </w:tcBorders>
            <w:shd w:val="clear" w:color="auto" w:fill="auto"/>
            <w:noWrap/>
            <w:vAlign w:val="bottom"/>
            <w:hideMark/>
          </w:tcPr>
          <w:p w14:paraId="74ACD7A3" w14:textId="40F2E412" w:rsidR="005D61D1" w:rsidRPr="0053555E" w:rsidRDefault="005D61D1" w:rsidP="005D61D1">
            <w:pPr>
              <w:jc w:val="center"/>
              <w:rPr>
                <w:rFonts w:asciiTheme="majorHAnsi" w:hAnsiTheme="majorHAnsi" w:cstheme="majorHAnsi"/>
                <w:sz w:val="22"/>
                <w:szCs w:val="22"/>
              </w:rPr>
            </w:pPr>
            <w:r w:rsidRPr="0053555E">
              <w:rPr>
                <w:rFonts w:cs="Calibri"/>
                <w:sz w:val="22"/>
                <w:szCs w:val="22"/>
              </w:rPr>
              <w:t>418</w:t>
            </w:r>
          </w:p>
        </w:tc>
        <w:tc>
          <w:tcPr>
            <w:tcW w:w="850" w:type="dxa"/>
            <w:tcBorders>
              <w:top w:val="nil"/>
              <w:left w:val="nil"/>
              <w:bottom w:val="single" w:sz="4" w:space="0" w:color="auto"/>
              <w:right w:val="single" w:sz="4" w:space="0" w:color="auto"/>
            </w:tcBorders>
            <w:shd w:val="clear" w:color="auto" w:fill="EEECE1" w:themeFill="background2"/>
            <w:noWrap/>
            <w:vAlign w:val="bottom"/>
            <w:hideMark/>
          </w:tcPr>
          <w:p w14:paraId="25D979F5" w14:textId="2C1F1493" w:rsidR="005D61D1" w:rsidRPr="0053555E" w:rsidRDefault="005D61D1" w:rsidP="005D61D1">
            <w:pPr>
              <w:jc w:val="center"/>
              <w:rPr>
                <w:rFonts w:asciiTheme="majorHAnsi" w:hAnsiTheme="majorHAnsi" w:cstheme="majorHAnsi"/>
                <w:sz w:val="22"/>
                <w:szCs w:val="22"/>
              </w:rPr>
            </w:pPr>
            <w:r w:rsidRPr="0053555E">
              <w:rPr>
                <w:rFonts w:cs="Calibri"/>
                <w:sz w:val="22"/>
                <w:szCs w:val="22"/>
              </w:rPr>
              <w:t>1,18</w:t>
            </w:r>
          </w:p>
        </w:tc>
        <w:tc>
          <w:tcPr>
            <w:tcW w:w="851" w:type="dxa"/>
            <w:tcBorders>
              <w:top w:val="nil"/>
              <w:left w:val="nil"/>
              <w:bottom w:val="single" w:sz="4" w:space="0" w:color="auto"/>
              <w:right w:val="single" w:sz="4" w:space="0" w:color="auto"/>
            </w:tcBorders>
            <w:shd w:val="clear" w:color="auto" w:fill="auto"/>
            <w:noWrap/>
            <w:vAlign w:val="bottom"/>
            <w:hideMark/>
          </w:tcPr>
          <w:p w14:paraId="23287BA8" w14:textId="24BD3F6F" w:rsidR="005D61D1" w:rsidRPr="0053555E" w:rsidRDefault="005D61D1" w:rsidP="005D61D1">
            <w:pPr>
              <w:jc w:val="center"/>
              <w:rPr>
                <w:rFonts w:asciiTheme="majorHAnsi" w:hAnsiTheme="majorHAnsi" w:cstheme="majorHAnsi"/>
                <w:sz w:val="22"/>
                <w:szCs w:val="22"/>
              </w:rPr>
            </w:pPr>
            <w:r w:rsidRPr="0053555E">
              <w:rPr>
                <w:rFonts w:cs="Calibri"/>
                <w:sz w:val="22"/>
                <w:szCs w:val="22"/>
              </w:rPr>
              <w:t>334</w:t>
            </w:r>
          </w:p>
        </w:tc>
        <w:tc>
          <w:tcPr>
            <w:tcW w:w="851" w:type="dxa"/>
            <w:tcBorders>
              <w:top w:val="nil"/>
              <w:left w:val="nil"/>
              <w:bottom w:val="single" w:sz="4" w:space="0" w:color="auto"/>
              <w:right w:val="single" w:sz="4" w:space="0" w:color="auto"/>
            </w:tcBorders>
            <w:shd w:val="clear" w:color="auto" w:fill="EEECE1" w:themeFill="background2"/>
            <w:noWrap/>
            <w:vAlign w:val="bottom"/>
            <w:hideMark/>
          </w:tcPr>
          <w:p w14:paraId="631C92BA" w14:textId="61513938" w:rsidR="005D61D1" w:rsidRPr="0053555E" w:rsidRDefault="005D61D1" w:rsidP="005D61D1">
            <w:pPr>
              <w:jc w:val="center"/>
              <w:rPr>
                <w:rFonts w:asciiTheme="majorHAnsi" w:hAnsiTheme="majorHAnsi" w:cstheme="majorHAnsi"/>
                <w:sz w:val="22"/>
                <w:szCs w:val="22"/>
              </w:rPr>
            </w:pPr>
            <w:r w:rsidRPr="0053555E">
              <w:rPr>
                <w:rFonts w:cs="Calibri"/>
                <w:sz w:val="22"/>
                <w:szCs w:val="22"/>
              </w:rPr>
              <w:t>0,94</w:t>
            </w:r>
          </w:p>
        </w:tc>
        <w:tc>
          <w:tcPr>
            <w:tcW w:w="921" w:type="dxa"/>
            <w:tcBorders>
              <w:top w:val="nil"/>
              <w:left w:val="nil"/>
              <w:bottom w:val="single" w:sz="4" w:space="0" w:color="auto"/>
              <w:right w:val="single" w:sz="4" w:space="0" w:color="auto"/>
            </w:tcBorders>
            <w:shd w:val="clear" w:color="auto" w:fill="auto"/>
            <w:noWrap/>
            <w:vAlign w:val="bottom"/>
            <w:hideMark/>
          </w:tcPr>
          <w:p w14:paraId="5A35DA56" w14:textId="032A1D99" w:rsidR="005D61D1" w:rsidRPr="0053555E" w:rsidRDefault="005D61D1" w:rsidP="005D61D1">
            <w:pPr>
              <w:jc w:val="center"/>
              <w:rPr>
                <w:rFonts w:asciiTheme="majorHAnsi" w:hAnsiTheme="majorHAnsi" w:cstheme="majorHAnsi"/>
                <w:sz w:val="22"/>
                <w:szCs w:val="22"/>
              </w:rPr>
            </w:pPr>
            <w:r w:rsidRPr="0053555E">
              <w:rPr>
                <w:rFonts w:cs="Calibri"/>
                <w:sz w:val="22"/>
                <w:szCs w:val="22"/>
              </w:rPr>
              <w:t>289</w:t>
            </w:r>
          </w:p>
        </w:tc>
        <w:tc>
          <w:tcPr>
            <w:tcW w:w="921" w:type="dxa"/>
            <w:tcBorders>
              <w:top w:val="nil"/>
              <w:left w:val="nil"/>
              <w:bottom w:val="single" w:sz="4" w:space="0" w:color="auto"/>
              <w:right w:val="single" w:sz="4" w:space="0" w:color="auto"/>
            </w:tcBorders>
            <w:shd w:val="clear" w:color="auto" w:fill="auto"/>
            <w:noWrap/>
            <w:vAlign w:val="bottom"/>
            <w:hideMark/>
          </w:tcPr>
          <w:p w14:paraId="5F05FD3E" w14:textId="79181F55" w:rsidR="005D61D1" w:rsidRPr="0053555E" w:rsidRDefault="005D61D1" w:rsidP="005D61D1">
            <w:pPr>
              <w:jc w:val="center"/>
              <w:rPr>
                <w:rFonts w:asciiTheme="majorHAnsi" w:hAnsiTheme="majorHAnsi" w:cstheme="majorHAnsi"/>
                <w:sz w:val="22"/>
                <w:szCs w:val="22"/>
              </w:rPr>
            </w:pPr>
            <w:r w:rsidRPr="0053555E">
              <w:rPr>
                <w:rFonts w:cs="Calibri"/>
                <w:sz w:val="22"/>
                <w:szCs w:val="22"/>
              </w:rPr>
              <w:t>15</w:t>
            </w: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03D111DD" w14:textId="4A2AFF48" w:rsidR="005D61D1" w:rsidRPr="0053555E" w:rsidRDefault="005D61D1" w:rsidP="005D61D1">
            <w:pPr>
              <w:jc w:val="center"/>
              <w:rPr>
                <w:rFonts w:asciiTheme="majorHAnsi" w:hAnsiTheme="majorHAnsi" w:cstheme="majorHAnsi"/>
                <w:sz w:val="22"/>
                <w:szCs w:val="22"/>
              </w:rPr>
            </w:pPr>
            <w:r w:rsidRPr="0053555E">
              <w:rPr>
                <w:rFonts w:cs="Calibri"/>
                <w:sz w:val="22"/>
                <w:szCs w:val="22"/>
              </w:rPr>
              <w:t>0,87</w:t>
            </w:r>
          </w:p>
        </w:tc>
        <w:tc>
          <w:tcPr>
            <w:tcW w:w="851" w:type="dxa"/>
            <w:tcBorders>
              <w:top w:val="nil"/>
              <w:left w:val="nil"/>
              <w:bottom w:val="single" w:sz="4" w:space="0" w:color="auto"/>
              <w:right w:val="single" w:sz="4" w:space="0" w:color="auto"/>
            </w:tcBorders>
            <w:shd w:val="clear" w:color="auto" w:fill="auto"/>
            <w:noWrap/>
            <w:vAlign w:val="bottom"/>
            <w:hideMark/>
          </w:tcPr>
          <w:p w14:paraId="06A6F2B4" w14:textId="318484DA" w:rsidR="005D61D1" w:rsidRPr="0053555E" w:rsidRDefault="005D61D1" w:rsidP="005D61D1">
            <w:pPr>
              <w:jc w:val="center"/>
              <w:rPr>
                <w:rFonts w:asciiTheme="majorHAnsi" w:hAnsiTheme="majorHAnsi" w:cstheme="majorHAnsi"/>
                <w:sz w:val="22"/>
                <w:szCs w:val="22"/>
              </w:rPr>
            </w:pPr>
            <w:r w:rsidRPr="0053555E">
              <w:rPr>
                <w:rFonts w:cs="Calibri"/>
                <w:sz w:val="22"/>
                <w:szCs w:val="22"/>
              </w:rPr>
              <w:t>0,81</w:t>
            </w:r>
          </w:p>
        </w:tc>
      </w:tr>
      <w:tr w:rsidR="005D61D1" w:rsidRPr="0053555E" w14:paraId="7606C10A" w14:textId="77777777" w:rsidTr="00AC1C66">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13CF295" w14:textId="77777777" w:rsidR="005D61D1" w:rsidRPr="0053555E" w:rsidRDefault="005D61D1" w:rsidP="005D61D1">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SjF</w:t>
            </w:r>
          </w:p>
        </w:tc>
        <w:tc>
          <w:tcPr>
            <w:tcW w:w="1020" w:type="dxa"/>
            <w:tcBorders>
              <w:top w:val="nil"/>
              <w:left w:val="nil"/>
              <w:bottom w:val="single" w:sz="4" w:space="0" w:color="auto"/>
              <w:right w:val="single" w:sz="4" w:space="0" w:color="auto"/>
            </w:tcBorders>
            <w:shd w:val="clear" w:color="000000" w:fill="FFFFFF"/>
            <w:noWrap/>
            <w:vAlign w:val="bottom"/>
            <w:hideMark/>
          </w:tcPr>
          <w:p w14:paraId="7A331CC3" w14:textId="6BE401D3" w:rsidR="005D61D1" w:rsidRPr="0053555E" w:rsidRDefault="005D61D1" w:rsidP="005D61D1">
            <w:pPr>
              <w:jc w:val="center"/>
              <w:rPr>
                <w:rFonts w:asciiTheme="majorHAnsi" w:hAnsiTheme="majorHAnsi" w:cstheme="majorHAnsi"/>
                <w:sz w:val="22"/>
                <w:szCs w:val="22"/>
              </w:rPr>
            </w:pPr>
            <w:r w:rsidRPr="0053555E">
              <w:rPr>
                <w:rFonts w:cs="Calibri"/>
                <w:sz w:val="22"/>
                <w:szCs w:val="22"/>
              </w:rPr>
              <w:t>215</w:t>
            </w:r>
          </w:p>
        </w:tc>
        <w:tc>
          <w:tcPr>
            <w:tcW w:w="992" w:type="dxa"/>
            <w:tcBorders>
              <w:top w:val="nil"/>
              <w:left w:val="nil"/>
              <w:bottom w:val="single" w:sz="4" w:space="0" w:color="auto"/>
              <w:right w:val="single" w:sz="4" w:space="0" w:color="auto"/>
            </w:tcBorders>
            <w:shd w:val="clear" w:color="000000" w:fill="FFFFFF"/>
            <w:noWrap/>
            <w:vAlign w:val="bottom"/>
            <w:hideMark/>
          </w:tcPr>
          <w:p w14:paraId="15E34E7E" w14:textId="5E9C8BB9" w:rsidR="005D61D1" w:rsidRPr="0053555E" w:rsidRDefault="005D61D1" w:rsidP="005D61D1">
            <w:pPr>
              <w:jc w:val="center"/>
              <w:rPr>
                <w:rFonts w:asciiTheme="majorHAnsi" w:hAnsiTheme="majorHAnsi" w:cstheme="majorHAnsi"/>
                <w:sz w:val="22"/>
                <w:szCs w:val="22"/>
              </w:rPr>
            </w:pPr>
            <w:r w:rsidRPr="0053555E">
              <w:rPr>
                <w:rFonts w:cs="Calibri"/>
                <w:sz w:val="22"/>
                <w:szCs w:val="22"/>
              </w:rPr>
              <w:t>205</w:t>
            </w:r>
          </w:p>
        </w:tc>
        <w:tc>
          <w:tcPr>
            <w:tcW w:w="850" w:type="dxa"/>
            <w:tcBorders>
              <w:top w:val="nil"/>
              <w:left w:val="nil"/>
              <w:bottom w:val="single" w:sz="4" w:space="0" w:color="auto"/>
              <w:right w:val="single" w:sz="4" w:space="0" w:color="auto"/>
            </w:tcBorders>
            <w:shd w:val="clear" w:color="auto" w:fill="EEECE1" w:themeFill="background2"/>
            <w:noWrap/>
            <w:vAlign w:val="bottom"/>
            <w:hideMark/>
          </w:tcPr>
          <w:p w14:paraId="4C46EFBF" w14:textId="141F8EBE" w:rsidR="005D61D1" w:rsidRPr="0053555E" w:rsidRDefault="005D61D1" w:rsidP="005D61D1">
            <w:pPr>
              <w:jc w:val="center"/>
              <w:rPr>
                <w:rFonts w:asciiTheme="majorHAnsi" w:hAnsiTheme="majorHAnsi" w:cstheme="majorHAnsi"/>
                <w:sz w:val="22"/>
                <w:szCs w:val="22"/>
              </w:rPr>
            </w:pPr>
            <w:r w:rsidRPr="0053555E">
              <w:rPr>
                <w:rFonts w:cs="Calibri"/>
                <w:sz w:val="22"/>
                <w:szCs w:val="22"/>
              </w:rPr>
              <w:t>0,95</w:t>
            </w:r>
          </w:p>
        </w:tc>
        <w:tc>
          <w:tcPr>
            <w:tcW w:w="851" w:type="dxa"/>
            <w:tcBorders>
              <w:top w:val="nil"/>
              <w:left w:val="nil"/>
              <w:bottom w:val="single" w:sz="4" w:space="0" w:color="auto"/>
              <w:right w:val="single" w:sz="4" w:space="0" w:color="auto"/>
            </w:tcBorders>
            <w:shd w:val="clear" w:color="000000" w:fill="FFFFFF"/>
            <w:noWrap/>
            <w:vAlign w:val="bottom"/>
            <w:hideMark/>
          </w:tcPr>
          <w:p w14:paraId="58684029" w14:textId="2286BFAA" w:rsidR="005D61D1" w:rsidRPr="0053555E" w:rsidRDefault="005D61D1" w:rsidP="005D61D1">
            <w:pPr>
              <w:jc w:val="center"/>
              <w:rPr>
                <w:rFonts w:asciiTheme="majorHAnsi" w:hAnsiTheme="majorHAnsi" w:cstheme="majorHAnsi"/>
                <w:sz w:val="22"/>
                <w:szCs w:val="22"/>
              </w:rPr>
            </w:pPr>
            <w:r w:rsidRPr="0053555E">
              <w:rPr>
                <w:rFonts w:cs="Calibri"/>
                <w:sz w:val="22"/>
                <w:szCs w:val="22"/>
              </w:rPr>
              <w:t>139</w:t>
            </w:r>
          </w:p>
        </w:tc>
        <w:tc>
          <w:tcPr>
            <w:tcW w:w="851" w:type="dxa"/>
            <w:tcBorders>
              <w:top w:val="nil"/>
              <w:left w:val="nil"/>
              <w:bottom w:val="single" w:sz="4" w:space="0" w:color="auto"/>
              <w:right w:val="single" w:sz="4" w:space="0" w:color="auto"/>
            </w:tcBorders>
            <w:shd w:val="clear" w:color="auto" w:fill="EEECE1" w:themeFill="background2"/>
            <w:noWrap/>
            <w:vAlign w:val="bottom"/>
            <w:hideMark/>
          </w:tcPr>
          <w:p w14:paraId="32725391" w14:textId="3A4041AB" w:rsidR="005D61D1" w:rsidRPr="0053555E" w:rsidRDefault="005D61D1" w:rsidP="005D61D1">
            <w:pPr>
              <w:jc w:val="center"/>
              <w:rPr>
                <w:rFonts w:asciiTheme="majorHAnsi" w:hAnsiTheme="majorHAnsi" w:cstheme="majorHAnsi"/>
                <w:sz w:val="22"/>
                <w:szCs w:val="22"/>
              </w:rPr>
            </w:pPr>
            <w:r w:rsidRPr="0053555E">
              <w:rPr>
                <w:rFonts w:cs="Calibri"/>
                <w:sz w:val="22"/>
                <w:szCs w:val="22"/>
              </w:rPr>
              <w:t>0,65</w:t>
            </w:r>
          </w:p>
        </w:tc>
        <w:tc>
          <w:tcPr>
            <w:tcW w:w="921" w:type="dxa"/>
            <w:tcBorders>
              <w:top w:val="nil"/>
              <w:left w:val="nil"/>
              <w:bottom w:val="single" w:sz="4" w:space="0" w:color="auto"/>
              <w:right w:val="single" w:sz="4" w:space="0" w:color="auto"/>
            </w:tcBorders>
            <w:shd w:val="clear" w:color="000000" w:fill="FFFFFF"/>
            <w:noWrap/>
            <w:vAlign w:val="bottom"/>
            <w:hideMark/>
          </w:tcPr>
          <w:p w14:paraId="66FCA004" w14:textId="58809953" w:rsidR="005D61D1" w:rsidRPr="0053555E" w:rsidRDefault="005D61D1" w:rsidP="005D61D1">
            <w:pPr>
              <w:jc w:val="center"/>
              <w:rPr>
                <w:rFonts w:asciiTheme="majorHAnsi" w:hAnsiTheme="majorHAnsi" w:cstheme="majorHAnsi"/>
                <w:sz w:val="22"/>
                <w:szCs w:val="22"/>
              </w:rPr>
            </w:pPr>
            <w:r w:rsidRPr="0053555E">
              <w:rPr>
                <w:rFonts w:cs="Calibri"/>
                <w:sz w:val="22"/>
                <w:szCs w:val="22"/>
              </w:rPr>
              <w:t>128</w:t>
            </w:r>
          </w:p>
        </w:tc>
        <w:tc>
          <w:tcPr>
            <w:tcW w:w="921" w:type="dxa"/>
            <w:tcBorders>
              <w:top w:val="nil"/>
              <w:left w:val="nil"/>
              <w:bottom w:val="single" w:sz="4" w:space="0" w:color="auto"/>
              <w:right w:val="single" w:sz="4" w:space="0" w:color="auto"/>
            </w:tcBorders>
            <w:shd w:val="clear" w:color="000000" w:fill="FFFFFF"/>
            <w:noWrap/>
            <w:vAlign w:val="bottom"/>
            <w:hideMark/>
          </w:tcPr>
          <w:p w14:paraId="04939817" w14:textId="4A421B24" w:rsidR="005D61D1" w:rsidRPr="0053555E" w:rsidRDefault="005D61D1" w:rsidP="005D61D1">
            <w:pPr>
              <w:jc w:val="center"/>
              <w:rPr>
                <w:rFonts w:asciiTheme="majorHAnsi" w:hAnsiTheme="majorHAnsi" w:cstheme="majorHAnsi"/>
                <w:sz w:val="22"/>
                <w:szCs w:val="22"/>
              </w:rPr>
            </w:pPr>
            <w:r w:rsidRPr="0053555E">
              <w:rPr>
                <w:rFonts w:cs="Calibri"/>
                <w:sz w:val="22"/>
                <w:szCs w:val="22"/>
              </w:rPr>
              <w:t>18</w:t>
            </w: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2D3E6DA4" w14:textId="68E30AA2" w:rsidR="005D61D1" w:rsidRPr="0053555E" w:rsidRDefault="005D61D1" w:rsidP="005D61D1">
            <w:pPr>
              <w:jc w:val="center"/>
              <w:rPr>
                <w:rFonts w:asciiTheme="majorHAnsi" w:hAnsiTheme="majorHAnsi" w:cstheme="majorHAnsi"/>
                <w:sz w:val="22"/>
                <w:szCs w:val="22"/>
              </w:rPr>
            </w:pPr>
            <w:r w:rsidRPr="0053555E">
              <w:rPr>
                <w:rFonts w:cs="Calibri"/>
                <w:sz w:val="22"/>
                <w:szCs w:val="22"/>
              </w:rPr>
              <w:t>0,92</w:t>
            </w:r>
          </w:p>
        </w:tc>
        <w:tc>
          <w:tcPr>
            <w:tcW w:w="851" w:type="dxa"/>
            <w:tcBorders>
              <w:top w:val="nil"/>
              <w:left w:val="nil"/>
              <w:bottom w:val="single" w:sz="4" w:space="0" w:color="auto"/>
              <w:right w:val="single" w:sz="4" w:space="0" w:color="auto"/>
            </w:tcBorders>
            <w:shd w:val="clear" w:color="auto" w:fill="auto"/>
            <w:noWrap/>
            <w:vAlign w:val="bottom"/>
            <w:hideMark/>
          </w:tcPr>
          <w:p w14:paraId="4F010AC3" w14:textId="6C2ACDE3" w:rsidR="005D61D1" w:rsidRPr="0053555E" w:rsidRDefault="005D61D1" w:rsidP="005D61D1">
            <w:pPr>
              <w:jc w:val="center"/>
              <w:rPr>
                <w:rFonts w:asciiTheme="majorHAnsi" w:hAnsiTheme="majorHAnsi" w:cstheme="majorHAnsi"/>
                <w:sz w:val="22"/>
                <w:szCs w:val="22"/>
              </w:rPr>
            </w:pPr>
            <w:r w:rsidRPr="0053555E">
              <w:rPr>
                <w:rFonts w:cs="Calibri"/>
                <w:sz w:val="22"/>
                <w:szCs w:val="22"/>
              </w:rPr>
              <w:t>0,60</w:t>
            </w:r>
          </w:p>
        </w:tc>
      </w:tr>
      <w:tr w:rsidR="005D61D1" w:rsidRPr="0053555E" w14:paraId="0B2129E8" w14:textId="77777777" w:rsidTr="00AC1C6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28938A" w14:textId="77777777" w:rsidR="005D61D1" w:rsidRPr="0053555E" w:rsidRDefault="005D61D1" w:rsidP="005D61D1">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FEI</w:t>
            </w:r>
          </w:p>
        </w:tc>
        <w:tc>
          <w:tcPr>
            <w:tcW w:w="1020" w:type="dxa"/>
            <w:tcBorders>
              <w:top w:val="nil"/>
              <w:left w:val="nil"/>
              <w:bottom w:val="single" w:sz="4" w:space="0" w:color="auto"/>
              <w:right w:val="single" w:sz="4" w:space="0" w:color="auto"/>
            </w:tcBorders>
            <w:shd w:val="clear" w:color="auto" w:fill="auto"/>
            <w:noWrap/>
            <w:vAlign w:val="bottom"/>
            <w:hideMark/>
          </w:tcPr>
          <w:p w14:paraId="3BB11F87" w14:textId="6FE0B9A0" w:rsidR="005D61D1" w:rsidRPr="0053555E" w:rsidRDefault="005D61D1" w:rsidP="005D61D1">
            <w:pPr>
              <w:jc w:val="center"/>
              <w:rPr>
                <w:rFonts w:asciiTheme="majorHAnsi" w:hAnsiTheme="majorHAnsi" w:cstheme="majorHAnsi"/>
                <w:sz w:val="22"/>
                <w:szCs w:val="22"/>
              </w:rPr>
            </w:pPr>
            <w:r w:rsidRPr="0053555E">
              <w:rPr>
                <w:rFonts w:cs="Calibri"/>
                <w:sz w:val="22"/>
                <w:szCs w:val="22"/>
              </w:rPr>
              <w:t>550</w:t>
            </w:r>
          </w:p>
        </w:tc>
        <w:tc>
          <w:tcPr>
            <w:tcW w:w="992" w:type="dxa"/>
            <w:tcBorders>
              <w:top w:val="nil"/>
              <w:left w:val="nil"/>
              <w:bottom w:val="single" w:sz="4" w:space="0" w:color="auto"/>
              <w:right w:val="single" w:sz="4" w:space="0" w:color="auto"/>
            </w:tcBorders>
            <w:shd w:val="clear" w:color="auto" w:fill="auto"/>
            <w:noWrap/>
            <w:vAlign w:val="bottom"/>
            <w:hideMark/>
          </w:tcPr>
          <w:p w14:paraId="15134467" w14:textId="3BCA19EA" w:rsidR="005D61D1" w:rsidRPr="0053555E" w:rsidRDefault="005D61D1" w:rsidP="005D61D1">
            <w:pPr>
              <w:jc w:val="center"/>
              <w:rPr>
                <w:rFonts w:asciiTheme="majorHAnsi" w:hAnsiTheme="majorHAnsi" w:cstheme="majorHAnsi"/>
                <w:sz w:val="22"/>
                <w:szCs w:val="22"/>
              </w:rPr>
            </w:pPr>
            <w:r w:rsidRPr="0053555E">
              <w:rPr>
                <w:rFonts w:cs="Calibri"/>
                <w:sz w:val="22"/>
                <w:szCs w:val="22"/>
              </w:rPr>
              <w:t>455</w:t>
            </w:r>
          </w:p>
        </w:tc>
        <w:tc>
          <w:tcPr>
            <w:tcW w:w="850" w:type="dxa"/>
            <w:tcBorders>
              <w:top w:val="nil"/>
              <w:left w:val="nil"/>
              <w:bottom w:val="single" w:sz="4" w:space="0" w:color="auto"/>
              <w:right w:val="single" w:sz="4" w:space="0" w:color="auto"/>
            </w:tcBorders>
            <w:shd w:val="clear" w:color="auto" w:fill="EEECE1" w:themeFill="background2"/>
            <w:noWrap/>
            <w:vAlign w:val="bottom"/>
            <w:hideMark/>
          </w:tcPr>
          <w:p w14:paraId="1F33EC67" w14:textId="666E0E40" w:rsidR="005D61D1" w:rsidRPr="0053555E" w:rsidRDefault="005D61D1" w:rsidP="005D61D1">
            <w:pPr>
              <w:jc w:val="center"/>
              <w:rPr>
                <w:rFonts w:asciiTheme="majorHAnsi" w:hAnsiTheme="majorHAnsi" w:cstheme="majorHAnsi"/>
                <w:sz w:val="22"/>
                <w:szCs w:val="22"/>
              </w:rPr>
            </w:pPr>
            <w:r w:rsidRPr="0053555E">
              <w:rPr>
                <w:rFonts w:cs="Calibri"/>
                <w:sz w:val="22"/>
                <w:szCs w:val="22"/>
              </w:rPr>
              <w:t>0,83</w:t>
            </w:r>
          </w:p>
        </w:tc>
        <w:tc>
          <w:tcPr>
            <w:tcW w:w="851" w:type="dxa"/>
            <w:tcBorders>
              <w:top w:val="nil"/>
              <w:left w:val="nil"/>
              <w:bottom w:val="single" w:sz="4" w:space="0" w:color="auto"/>
              <w:right w:val="single" w:sz="4" w:space="0" w:color="auto"/>
            </w:tcBorders>
            <w:shd w:val="clear" w:color="auto" w:fill="auto"/>
            <w:noWrap/>
            <w:vAlign w:val="bottom"/>
            <w:hideMark/>
          </w:tcPr>
          <w:p w14:paraId="2600DBC0" w14:textId="696E047A" w:rsidR="005D61D1" w:rsidRPr="0053555E" w:rsidRDefault="005D61D1" w:rsidP="005D61D1">
            <w:pPr>
              <w:jc w:val="center"/>
              <w:rPr>
                <w:rFonts w:asciiTheme="majorHAnsi" w:hAnsiTheme="majorHAnsi" w:cstheme="majorHAnsi"/>
                <w:sz w:val="22"/>
                <w:szCs w:val="22"/>
              </w:rPr>
            </w:pPr>
            <w:r w:rsidRPr="0053555E">
              <w:rPr>
                <w:rFonts w:cs="Calibri"/>
                <w:sz w:val="22"/>
                <w:szCs w:val="22"/>
              </w:rPr>
              <w:t>314</w:t>
            </w:r>
          </w:p>
        </w:tc>
        <w:tc>
          <w:tcPr>
            <w:tcW w:w="851" w:type="dxa"/>
            <w:tcBorders>
              <w:top w:val="nil"/>
              <w:left w:val="nil"/>
              <w:bottom w:val="single" w:sz="4" w:space="0" w:color="auto"/>
              <w:right w:val="single" w:sz="4" w:space="0" w:color="auto"/>
            </w:tcBorders>
            <w:shd w:val="clear" w:color="auto" w:fill="EEECE1" w:themeFill="background2"/>
            <w:noWrap/>
            <w:vAlign w:val="bottom"/>
            <w:hideMark/>
          </w:tcPr>
          <w:p w14:paraId="09FB0E4C" w14:textId="147AE9C3" w:rsidR="005D61D1" w:rsidRPr="0053555E" w:rsidRDefault="005D61D1" w:rsidP="005D61D1">
            <w:pPr>
              <w:jc w:val="center"/>
              <w:rPr>
                <w:rFonts w:asciiTheme="majorHAnsi" w:hAnsiTheme="majorHAnsi" w:cstheme="majorHAnsi"/>
                <w:sz w:val="22"/>
                <w:szCs w:val="22"/>
              </w:rPr>
            </w:pPr>
            <w:r w:rsidRPr="0053555E">
              <w:rPr>
                <w:rFonts w:cs="Calibri"/>
                <w:sz w:val="22"/>
                <w:szCs w:val="22"/>
              </w:rPr>
              <w:t>0,57</w:t>
            </w:r>
          </w:p>
        </w:tc>
        <w:tc>
          <w:tcPr>
            <w:tcW w:w="921" w:type="dxa"/>
            <w:tcBorders>
              <w:top w:val="nil"/>
              <w:left w:val="nil"/>
              <w:bottom w:val="single" w:sz="4" w:space="0" w:color="auto"/>
              <w:right w:val="single" w:sz="4" w:space="0" w:color="auto"/>
            </w:tcBorders>
            <w:shd w:val="clear" w:color="auto" w:fill="auto"/>
            <w:noWrap/>
            <w:vAlign w:val="bottom"/>
            <w:hideMark/>
          </w:tcPr>
          <w:p w14:paraId="7F604043" w14:textId="5E5CE584" w:rsidR="005D61D1" w:rsidRPr="0053555E" w:rsidRDefault="005D61D1" w:rsidP="005D61D1">
            <w:pPr>
              <w:jc w:val="center"/>
              <w:rPr>
                <w:rFonts w:asciiTheme="majorHAnsi" w:hAnsiTheme="majorHAnsi" w:cstheme="majorHAnsi"/>
                <w:sz w:val="22"/>
                <w:szCs w:val="22"/>
              </w:rPr>
            </w:pPr>
            <w:r w:rsidRPr="0053555E">
              <w:rPr>
                <w:rFonts w:cs="Calibri"/>
                <w:sz w:val="22"/>
                <w:szCs w:val="22"/>
              </w:rPr>
              <w:t>267</w:t>
            </w:r>
          </w:p>
        </w:tc>
        <w:tc>
          <w:tcPr>
            <w:tcW w:w="921" w:type="dxa"/>
            <w:tcBorders>
              <w:top w:val="nil"/>
              <w:left w:val="nil"/>
              <w:bottom w:val="single" w:sz="4" w:space="0" w:color="auto"/>
              <w:right w:val="single" w:sz="4" w:space="0" w:color="auto"/>
            </w:tcBorders>
            <w:shd w:val="clear" w:color="auto" w:fill="auto"/>
            <w:noWrap/>
            <w:vAlign w:val="bottom"/>
            <w:hideMark/>
          </w:tcPr>
          <w:p w14:paraId="2A8E558F" w14:textId="565996FE" w:rsidR="005D61D1" w:rsidRPr="0053555E" w:rsidRDefault="005D61D1" w:rsidP="005D61D1">
            <w:pPr>
              <w:jc w:val="center"/>
              <w:rPr>
                <w:rFonts w:asciiTheme="majorHAnsi" w:hAnsiTheme="majorHAnsi" w:cstheme="majorHAnsi"/>
                <w:sz w:val="22"/>
                <w:szCs w:val="22"/>
              </w:rPr>
            </w:pPr>
            <w:r w:rsidRPr="0053555E">
              <w:rPr>
                <w:rFonts w:cs="Calibri"/>
                <w:sz w:val="22"/>
                <w:szCs w:val="22"/>
              </w:rPr>
              <w:t>34</w:t>
            </w: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3175154F" w14:textId="675DBB50" w:rsidR="005D61D1" w:rsidRPr="0053555E" w:rsidRDefault="005D61D1" w:rsidP="005D61D1">
            <w:pPr>
              <w:jc w:val="center"/>
              <w:rPr>
                <w:rFonts w:asciiTheme="majorHAnsi" w:hAnsiTheme="majorHAnsi" w:cstheme="majorHAnsi"/>
                <w:sz w:val="22"/>
                <w:szCs w:val="22"/>
              </w:rPr>
            </w:pPr>
            <w:r w:rsidRPr="0053555E">
              <w:rPr>
                <w:rFonts w:cs="Calibri"/>
                <w:sz w:val="22"/>
                <w:szCs w:val="22"/>
              </w:rPr>
              <w:t>0,85</w:t>
            </w:r>
          </w:p>
        </w:tc>
        <w:tc>
          <w:tcPr>
            <w:tcW w:w="851" w:type="dxa"/>
            <w:tcBorders>
              <w:top w:val="nil"/>
              <w:left w:val="nil"/>
              <w:bottom w:val="single" w:sz="4" w:space="0" w:color="auto"/>
              <w:right w:val="single" w:sz="4" w:space="0" w:color="auto"/>
            </w:tcBorders>
            <w:shd w:val="clear" w:color="auto" w:fill="auto"/>
            <w:noWrap/>
            <w:vAlign w:val="bottom"/>
            <w:hideMark/>
          </w:tcPr>
          <w:p w14:paraId="73BF40AD" w14:textId="093A600F" w:rsidR="005D61D1" w:rsidRPr="0053555E" w:rsidRDefault="005D61D1" w:rsidP="005D61D1">
            <w:pPr>
              <w:jc w:val="center"/>
              <w:rPr>
                <w:rFonts w:asciiTheme="majorHAnsi" w:hAnsiTheme="majorHAnsi" w:cstheme="majorHAnsi"/>
                <w:sz w:val="22"/>
                <w:szCs w:val="22"/>
              </w:rPr>
            </w:pPr>
            <w:r w:rsidRPr="0053555E">
              <w:rPr>
                <w:rFonts w:cs="Calibri"/>
                <w:sz w:val="22"/>
                <w:szCs w:val="22"/>
              </w:rPr>
              <w:t>0,49</w:t>
            </w:r>
          </w:p>
        </w:tc>
      </w:tr>
      <w:tr w:rsidR="005D61D1" w:rsidRPr="0053555E" w14:paraId="6AB3DEC7" w14:textId="77777777" w:rsidTr="00AC1C6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5162E7" w14:textId="77777777" w:rsidR="005D61D1" w:rsidRPr="0053555E" w:rsidRDefault="005D61D1" w:rsidP="005D61D1">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FCHPT</w:t>
            </w:r>
          </w:p>
        </w:tc>
        <w:tc>
          <w:tcPr>
            <w:tcW w:w="1020" w:type="dxa"/>
            <w:tcBorders>
              <w:top w:val="nil"/>
              <w:left w:val="nil"/>
              <w:bottom w:val="single" w:sz="4" w:space="0" w:color="auto"/>
              <w:right w:val="single" w:sz="4" w:space="0" w:color="auto"/>
            </w:tcBorders>
            <w:shd w:val="clear" w:color="auto" w:fill="auto"/>
            <w:noWrap/>
            <w:vAlign w:val="bottom"/>
            <w:hideMark/>
          </w:tcPr>
          <w:p w14:paraId="574C058B" w14:textId="2175E64B" w:rsidR="005D61D1" w:rsidRPr="0053555E" w:rsidRDefault="005D61D1" w:rsidP="005D61D1">
            <w:pPr>
              <w:jc w:val="center"/>
              <w:rPr>
                <w:rFonts w:asciiTheme="majorHAnsi" w:hAnsiTheme="majorHAnsi" w:cstheme="majorHAnsi"/>
                <w:sz w:val="22"/>
                <w:szCs w:val="22"/>
              </w:rPr>
            </w:pPr>
            <w:r w:rsidRPr="0053555E">
              <w:rPr>
                <w:rFonts w:cs="Calibri"/>
                <w:sz w:val="22"/>
                <w:szCs w:val="22"/>
              </w:rPr>
              <w:t>459</w:t>
            </w:r>
          </w:p>
        </w:tc>
        <w:tc>
          <w:tcPr>
            <w:tcW w:w="992" w:type="dxa"/>
            <w:tcBorders>
              <w:top w:val="nil"/>
              <w:left w:val="nil"/>
              <w:bottom w:val="single" w:sz="4" w:space="0" w:color="auto"/>
              <w:right w:val="single" w:sz="4" w:space="0" w:color="auto"/>
            </w:tcBorders>
            <w:shd w:val="clear" w:color="auto" w:fill="auto"/>
            <w:noWrap/>
            <w:vAlign w:val="bottom"/>
            <w:hideMark/>
          </w:tcPr>
          <w:p w14:paraId="1A7D863B" w14:textId="6F9A3A2C" w:rsidR="005D61D1" w:rsidRPr="0053555E" w:rsidRDefault="005D61D1" w:rsidP="005D61D1">
            <w:pPr>
              <w:jc w:val="center"/>
              <w:rPr>
                <w:rFonts w:asciiTheme="majorHAnsi" w:hAnsiTheme="majorHAnsi" w:cstheme="majorHAnsi"/>
                <w:sz w:val="22"/>
                <w:szCs w:val="22"/>
              </w:rPr>
            </w:pPr>
            <w:r w:rsidRPr="0053555E">
              <w:rPr>
                <w:rFonts w:cs="Calibri"/>
                <w:sz w:val="22"/>
                <w:szCs w:val="22"/>
              </w:rPr>
              <w:t>270</w:t>
            </w:r>
          </w:p>
        </w:tc>
        <w:tc>
          <w:tcPr>
            <w:tcW w:w="850" w:type="dxa"/>
            <w:tcBorders>
              <w:top w:val="nil"/>
              <w:left w:val="nil"/>
              <w:bottom w:val="single" w:sz="4" w:space="0" w:color="auto"/>
              <w:right w:val="single" w:sz="4" w:space="0" w:color="auto"/>
            </w:tcBorders>
            <w:shd w:val="clear" w:color="auto" w:fill="EEECE1" w:themeFill="background2"/>
            <w:noWrap/>
            <w:vAlign w:val="bottom"/>
            <w:hideMark/>
          </w:tcPr>
          <w:p w14:paraId="5C934C04" w14:textId="1A13C2FC" w:rsidR="005D61D1" w:rsidRPr="0053555E" w:rsidRDefault="005D61D1" w:rsidP="005D61D1">
            <w:pPr>
              <w:jc w:val="center"/>
              <w:rPr>
                <w:rFonts w:asciiTheme="majorHAnsi" w:hAnsiTheme="majorHAnsi" w:cstheme="majorHAnsi"/>
                <w:sz w:val="22"/>
                <w:szCs w:val="22"/>
              </w:rPr>
            </w:pPr>
            <w:r w:rsidRPr="0053555E">
              <w:rPr>
                <w:rFonts w:cs="Calibri"/>
                <w:sz w:val="22"/>
                <w:szCs w:val="22"/>
              </w:rPr>
              <w:t>0,59</w:t>
            </w:r>
          </w:p>
        </w:tc>
        <w:tc>
          <w:tcPr>
            <w:tcW w:w="851" w:type="dxa"/>
            <w:tcBorders>
              <w:top w:val="nil"/>
              <w:left w:val="nil"/>
              <w:bottom w:val="single" w:sz="4" w:space="0" w:color="auto"/>
              <w:right w:val="single" w:sz="4" w:space="0" w:color="auto"/>
            </w:tcBorders>
            <w:shd w:val="clear" w:color="auto" w:fill="auto"/>
            <w:noWrap/>
            <w:vAlign w:val="bottom"/>
            <w:hideMark/>
          </w:tcPr>
          <w:p w14:paraId="19D81357" w14:textId="4C67AFB3" w:rsidR="005D61D1" w:rsidRPr="0053555E" w:rsidRDefault="005D61D1" w:rsidP="005D61D1">
            <w:pPr>
              <w:jc w:val="center"/>
              <w:rPr>
                <w:rFonts w:asciiTheme="majorHAnsi" w:hAnsiTheme="majorHAnsi" w:cstheme="majorHAnsi"/>
                <w:sz w:val="22"/>
                <w:szCs w:val="22"/>
              </w:rPr>
            </w:pPr>
            <w:r w:rsidRPr="0053555E">
              <w:rPr>
                <w:rFonts w:cs="Calibri"/>
                <w:sz w:val="22"/>
                <w:szCs w:val="22"/>
              </w:rPr>
              <w:t>264</w:t>
            </w:r>
          </w:p>
        </w:tc>
        <w:tc>
          <w:tcPr>
            <w:tcW w:w="851" w:type="dxa"/>
            <w:tcBorders>
              <w:top w:val="nil"/>
              <w:left w:val="nil"/>
              <w:bottom w:val="single" w:sz="4" w:space="0" w:color="auto"/>
              <w:right w:val="single" w:sz="4" w:space="0" w:color="auto"/>
            </w:tcBorders>
            <w:shd w:val="clear" w:color="auto" w:fill="EEECE1" w:themeFill="background2"/>
            <w:noWrap/>
            <w:vAlign w:val="bottom"/>
            <w:hideMark/>
          </w:tcPr>
          <w:p w14:paraId="116ABAF0" w14:textId="75CC7B0E" w:rsidR="005D61D1" w:rsidRPr="0053555E" w:rsidRDefault="005D61D1" w:rsidP="005D61D1">
            <w:pPr>
              <w:jc w:val="center"/>
              <w:rPr>
                <w:rFonts w:asciiTheme="majorHAnsi" w:hAnsiTheme="majorHAnsi" w:cstheme="majorHAnsi"/>
                <w:sz w:val="22"/>
                <w:szCs w:val="22"/>
              </w:rPr>
            </w:pPr>
            <w:r w:rsidRPr="0053555E">
              <w:rPr>
                <w:rFonts w:cs="Calibri"/>
                <w:sz w:val="22"/>
                <w:szCs w:val="22"/>
              </w:rPr>
              <w:t>0,58</w:t>
            </w:r>
          </w:p>
        </w:tc>
        <w:tc>
          <w:tcPr>
            <w:tcW w:w="921" w:type="dxa"/>
            <w:tcBorders>
              <w:top w:val="nil"/>
              <w:left w:val="nil"/>
              <w:bottom w:val="single" w:sz="4" w:space="0" w:color="auto"/>
              <w:right w:val="single" w:sz="4" w:space="0" w:color="auto"/>
            </w:tcBorders>
            <w:shd w:val="clear" w:color="auto" w:fill="auto"/>
            <w:noWrap/>
            <w:vAlign w:val="bottom"/>
            <w:hideMark/>
          </w:tcPr>
          <w:p w14:paraId="469243DB" w14:textId="64BCE69D" w:rsidR="005D61D1" w:rsidRPr="0053555E" w:rsidRDefault="005D61D1" w:rsidP="005D61D1">
            <w:pPr>
              <w:jc w:val="center"/>
              <w:rPr>
                <w:rFonts w:asciiTheme="majorHAnsi" w:hAnsiTheme="majorHAnsi" w:cstheme="majorHAnsi"/>
                <w:sz w:val="22"/>
                <w:szCs w:val="22"/>
              </w:rPr>
            </w:pPr>
            <w:r w:rsidRPr="0053555E">
              <w:rPr>
                <w:rFonts w:cs="Calibri"/>
                <w:sz w:val="22"/>
                <w:szCs w:val="22"/>
              </w:rPr>
              <w:t>181</w:t>
            </w:r>
          </w:p>
        </w:tc>
        <w:tc>
          <w:tcPr>
            <w:tcW w:w="921" w:type="dxa"/>
            <w:tcBorders>
              <w:top w:val="nil"/>
              <w:left w:val="nil"/>
              <w:bottom w:val="single" w:sz="4" w:space="0" w:color="auto"/>
              <w:right w:val="single" w:sz="4" w:space="0" w:color="auto"/>
            </w:tcBorders>
            <w:shd w:val="clear" w:color="auto" w:fill="auto"/>
            <w:noWrap/>
            <w:vAlign w:val="bottom"/>
            <w:hideMark/>
          </w:tcPr>
          <w:p w14:paraId="74420B03" w14:textId="083F1C78" w:rsidR="005D61D1" w:rsidRPr="0053555E" w:rsidRDefault="005D61D1" w:rsidP="005D61D1">
            <w:pPr>
              <w:jc w:val="center"/>
              <w:rPr>
                <w:rFonts w:asciiTheme="majorHAnsi" w:hAnsiTheme="majorHAnsi" w:cstheme="majorHAnsi"/>
                <w:sz w:val="22"/>
                <w:szCs w:val="22"/>
              </w:rPr>
            </w:pPr>
            <w:r w:rsidRPr="0053555E">
              <w:rPr>
                <w:rFonts w:cs="Calibri"/>
                <w:sz w:val="22"/>
                <w:szCs w:val="22"/>
              </w:rPr>
              <w:t>24</w:t>
            </w: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24AD65DB" w14:textId="79D522C9" w:rsidR="005D61D1" w:rsidRPr="0053555E" w:rsidRDefault="005D61D1" w:rsidP="005D61D1">
            <w:pPr>
              <w:jc w:val="center"/>
              <w:rPr>
                <w:rFonts w:asciiTheme="majorHAnsi" w:hAnsiTheme="majorHAnsi" w:cstheme="majorHAnsi"/>
                <w:sz w:val="22"/>
                <w:szCs w:val="22"/>
              </w:rPr>
            </w:pPr>
            <w:r w:rsidRPr="0053555E">
              <w:rPr>
                <w:rFonts w:cs="Calibri"/>
                <w:sz w:val="22"/>
                <w:szCs w:val="22"/>
              </w:rPr>
              <w:t>0,69</w:t>
            </w:r>
          </w:p>
        </w:tc>
        <w:tc>
          <w:tcPr>
            <w:tcW w:w="851" w:type="dxa"/>
            <w:tcBorders>
              <w:top w:val="nil"/>
              <w:left w:val="nil"/>
              <w:bottom w:val="single" w:sz="4" w:space="0" w:color="auto"/>
              <w:right w:val="single" w:sz="4" w:space="0" w:color="auto"/>
            </w:tcBorders>
            <w:shd w:val="clear" w:color="auto" w:fill="auto"/>
            <w:noWrap/>
            <w:vAlign w:val="bottom"/>
            <w:hideMark/>
          </w:tcPr>
          <w:p w14:paraId="2B294E76" w14:textId="3D0B3CA6" w:rsidR="005D61D1" w:rsidRPr="0053555E" w:rsidRDefault="005D61D1" w:rsidP="005D61D1">
            <w:pPr>
              <w:jc w:val="center"/>
              <w:rPr>
                <w:rFonts w:asciiTheme="majorHAnsi" w:hAnsiTheme="majorHAnsi" w:cstheme="majorHAnsi"/>
                <w:sz w:val="22"/>
                <w:szCs w:val="22"/>
              </w:rPr>
            </w:pPr>
            <w:r w:rsidRPr="0053555E">
              <w:rPr>
                <w:rFonts w:cs="Calibri"/>
                <w:sz w:val="22"/>
                <w:szCs w:val="22"/>
              </w:rPr>
              <w:t>0,39</w:t>
            </w:r>
          </w:p>
        </w:tc>
      </w:tr>
      <w:tr w:rsidR="005D61D1" w:rsidRPr="0053555E" w14:paraId="2882C1BD" w14:textId="77777777" w:rsidTr="00AC1C6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76774D" w14:textId="77777777" w:rsidR="005D61D1" w:rsidRPr="0053555E" w:rsidRDefault="005D61D1" w:rsidP="005D61D1">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FAD</w:t>
            </w:r>
          </w:p>
        </w:tc>
        <w:tc>
          <w:tcPr>
            <w:tcW w:w="1020" w:type="dxa"/>
            <w:tcBorders>
              <w:top w:val="nil"/>
              <w:left w:val="nil"/>
              <w:bottom w:val="single" w:sz="4" w:space="0" w:color="auto"/>
              <w:right w:val="single" w:sz="4" w:space="0" w:color="auto"/>
            </w:tcBorders>
            <w:shd w:val="clear" w:color="auto" w:fill="auto"/>
            <w:noWrap/>
            <w:vAlign w:val="bottom"/>
            <w:hideMark/>
          </w:tcPr>
          <w:p w14:paraId="08CB73E2" w14:textId="0EC8F359" w:rsidR="005D61D1" w:rsidRPr="0053555E" w:rsidRDefault="005D61D1" w:rsidP="005D61D1">
            <w:pPr>
              <w:jc w:val="center"/>
              <w:rPr>
                <w:rFonts w:asciiTheme="majorHAnsi" w:hAnsiTheme="majorHAnsi" w:cstheme="majorHAnsi"/>
                <w:sz w:val="22"/>
                <w:szCs w:val="22"/>
              </w:rPr>
            </w:pPr>
            <w:r w:rsidRPr="0053555E">
              <w:rPr>
                <w:rFonts w:cs="Calibri"/>
                <w:sz w:val="22"/>
                <w:szCs w:val="22"/>
              </w:rPr>
              <w:t>200</w:t>
            </w:r>
          </w:p>
        </w:tc>
        <w:tc>
          <w:tcPr>
            <w:tcW w:w="992" w:type="dxa"/>
            <w:tcBorders>
              <w:top w:val="nil"/>
              <w:left w:val="nil"/>
              <w:bottom w:val="single" w:sz="4" w:space="0" w:color="auto"/>
              <w:right w:val="single" w:sz="4" w:space="0" w:color="auto"/>
            </w:tcBorders>
            <w:shd w:val="clear" w:color="auto" w:fill="auto"/>
            <w:noWrap/>
            <w:vAlign w:val="bottom"/>
            <w:hideMark/>
          </w:tcPr>
          <w:p w14:paraId="00294D58" w14:textId="15AEE0AB" w:rsidR="005D61D1" w:rsidRPr="0053555E" w:rsidRDefault="005D61D1" w:rsidP="005D61D1">
            <w:pPr>
              <w:jc w:val="center"/>
              <w:rPr>
                <w:rFonts w:asciiTheme="majorHAnsi" w:hAnsiTheme="majorHAnsi" w:cstheme="majorHAnsi"/>
                <w:sz w:val="22"/>
                <w:szCs w:val="22"/>
              </w:rPr>
            </w:pPr>
            <w:r w:rsidRPr="0053555E">
              <w:rPr>
                <w:rFonts w:cs="Calibri"/>
                <w:sz w:val="22"/>
                <w:szCs w:val="22"/>
              </w:rPr>
              <w:t>172</w:t>
            </w:r>
          </w:p>
        </w:tc>
        <w:tc>
          <w:tcPr>
            <w:tcW w:w="850" w:type="dxa"/>
            <w:tcBorders>
              <w:top w:val="nil"/>
              <w:left w:val="nil"/>
              <w:bottom w:val="single" w:sz="4" w:space="0" w:color="auto"/>
              <w:right w:val="single" w:sz="4" w:space="0" w:color="auto"/>
            </w:tcBorders>
            <w:shd w:val="clear" w:color="auto" w:fill="EEECE1" w:themeFill="background2"/>
            <w:noWrap/>
            <w:vAlign w:val="bottom"/>
            <w:hideMark/>
          </w:tcPr>
          <w:p w14:paraId="4B88CAD6" w14:textId="69189160" w:rsidR="005D61D1" w:rsidRPr="0053555E" w:rsidRDefault="005D61D1" w:rsidP="005D61D1">
            <w:pPr>
              <w:jc w:val="center"/>
              <w:rPr>
                <w:rFonts w:asciiTheme="majorHAnsi" w:hAnsiTheme="majorHAnsi" w:cstheme="majorHAnsi"/>
                <w:sz w:val="22"/>
                <w:szCs w:val="22"/>
              </w:rPr>
            </w:pPr>
            <w:r w:rsidRPr="0053555E">
              <w:rPr>
                <w:rFonts w:cs="Calibri"/>
                <w:sz w:val="22"/>
                <w:szCs w:val="22"/>
              </w:rPr>
              <w:t>0,86</w:t>
            </w:r>
          </w:p>
        </w:tc>
        <w:tc>
          <w:tcPr>
            <w:tcW w:w="851" w:type="dxa"/>
            <w:tcBorders>
              <w:top w:val="nil"/>
              <w:left w:val="nil"/>
              <w:bottom w:val="single" w:sz="4" w:space="0" w:color="auto"/>
              <w:right w:val="single" w:sz="4" w:space="0" w:color="auto"/>
            </w:tcBorders>
            <w:shd w:val="clear" w:color="auto" w:fill="auto"/>
            <w:noWrap/>
            <w:vAlign w:val="bottom"/>
            <w:hideMark/>
          </w:tcPr>
          <w:p w14:paraId="59DA517A" w14:textId="56995426" w:rsidR="005D61D1" w:rsidRPr="0053555E" w:rsidRDefault="005D61D1" w:rsidP="005D61D1">
            <w:pPr>
              <w:jc w:val="center"/>
              <w:rPr>
                <w:rFonts w:asciiTheme="majorHAnsi" w:hAnsiTheme="majorHAnsi" w:cstheme="majorHAnsi"/>
                <w:sz w:val="22"/>
                <w:szCs w:val="22"/>
              </w:rPr>
            </w:pPr>
            <w:r w:rsidRPr="0053555E">
              <w:rPr>
                <w:rFonts w:cs="Calibri"/>
                <w:sz w:val="22"/>
                <w:szCs w:val="22"/>
              </w:rPr>
              <w:t>140</w:t>
            </w:r>
          </w:p>
        </w:tc>
        <w:tc>
          <w:tcPr>
            <w:tcW w:w="851" w:type="dxa"/>
            <w:tcBorders>
              <w:top w:val="nil"/>
              <w:left w:val="nil"/>
              <w:bottom w:val="single" w:sz="4" w:space="0" w:color="auto"/>
              <w:right w:val="single" w:sz="4" w:space="0" w:color="auto"/>
            </w:tcBorders>
            <w:shd w:val="clear" w:color="auto" w:fill="EEECE1" w:themeFill="background2"/>
            <w:noWrap/>
            <w:vAlign w:val="bottom"/>
            <w:hideMark/>
          </w:tcPr>
          <w:p w14:paraId="2774A677" w14:textId="11F8DB71" w:rsidR="005D61D1" w:rsidRPr="0053555E" w:rsidRDefault="005D61D1" w:rsidP="005D61D1">
            <w:pPr>
              <w:jc w:val="center"/>
              <w:rPr>
                <w:rFonts w:asciiTheme="majorHAnsi" w:hAnsiTheme="majorHAnsi" w:cstheme="majorHAnsi"/>
                <w:sz w:val="22"/>
                <w:szCs w:val="22"/>
              </w:rPr>
            </w:pPr>
            <w:r w:rsidRPr="0053555E">
              <w:rPr>
                <w:rFonts w:cs="Calibri"/>
                <w:sz w:val="22"/>
                <w:szCs w:val="22"/>
              </w:rPr>
              <w:t>0,70</w:t>
            </w:r>
          </w:p>
        </w:tc>
        <w:tc>
          <w:tcPr>
            <w:tcW w:w="921" w:type="dxa"/>
            <w:tcBorders>
              <w:top w:val="nil"/>
              <w:left w:val="nil"/>
              <w:bottom w:val="single" w:sz="4" w:space="0" w:color="auto"/>
              <w:right w:val="single" w:sz="4" w:space="0" w:color="auto"/>
            </w:tcBorders>
            <w:shd w:val="clear" w:color="auto" w:fill="auto"/>
            <w:noWrap/>
            <w:vAlign w:val="bottom"/>
            <w:hideMark/>
          </w:tcPr>
          <w:p w14:paraId="4122E159" w14:textId="14B0A8FA" w:rsidR="005D61D1" w:rsidRPr="0053555E" w:rsidRDefault="005D61D1" w:rsidP="005D61D1">
            <w:pPr>
              <w:jc w:val="center"/>
              <w:rPr>
                <w:rFonts w:asciiTheme="majorHAnsi" w:hAnsiTheme="majorHAnsi" w:cstheme="majorHAnsi"/>
                <w:sz w:val="22"/>
                <w:szCs w:val="22"/>
              </w:rPr>
            </w:pPr>
            <w:r w:rsidRPr="0053555E">
              <w:rPr>
                <w:rFonts w:cs="Calibri"/>
                <w:sz w:val="22"/>
                <w:szCs w:val="22"/>
              </w:rPr>
              <w:t>130</w:t>
            </w:r>
          </w:p>
        </w:tc>
        <w:tc>
          <w:tcPr>
            <w:tcW w:w="921" w:type="dxa"/>
            <w:tcBorders>
              <w:top w:val="nil"/>
              <w:left w:val="nil"/>
              <w:bottom w:val="single" w:sz="4" w:space="0" w:color="auto"/>
              <w:right w:val="single" w:sz="4" w:space="0" w:color="auto"/>
            </w:tcBorders>
            <w:shd w:val="clear" w:color="auto" w:fill="auto"/>
            <w:noWrap/>
            <w:vAlign w:val="bottom"/>
            <w:hideMark/>
          </w:tcPr>
          <w:p w14:paraId="722BDD0F" w14:textId="751AB34F" w:rsidR="005D61D1" w:rsidRPr="0053555E" w:rsidRDefault="005D61D1" w:rsidP="005D61D1">
            <w:pPr>
              <w:jc w:val="center"/>
              <w:rPr>
                <w:rFonts w:asciiTheme="majorHAnsi" w:hAnsiTheme="majorHAnsi" w:cstheme="majorHAnsi"/>
                <w:sz w:val="22"/>
                <w:szCs w:val="22"/>
              </w:rPr>
            </w:pPr>
            <w:r w:rsidRPr="0053555E">
              <w:rPr>
                <w:rFonts w:cs="Calibri"/>
                <w:sz w:val="22"/>
                <w:szCs w:val="22"/>
              </w:rPr>
              <w:t>5</w:t>
            </w: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17CC7E77" w14:textId="55031C19" w:rsidR="005D61D1" w:rsidRPr="0053555E" w:rsidRDefault="005D61D1" w:rsidP="005D61D1">
            <w:pPr>
              <w:jc w:val="center"/>
              <w:rPr>
                <w:rFonts w:asciiTheme="majorHAnsi" w:hAnsiTheme="majorHAnsi" w:cstheme="majorHAnsi"/>
                <w:sz w:val="22"/>
                <w:szCs w:val="22"/>
              </w:rPr>
            </w:pPr>
            <w:r w:rsidRPr="0053555E">
              <w:rPr>
                <w:rFonts w:cs="Calibri"/>
                <w:sz w:val="22"/>
                <w:szCs w:val="22"/>
              </w:rPr>
              <w:t>0,93</w:t>
            </w:r>
          </w:p>
        </w:tc>
        <w:tc>
          <w:tcPr>
            <w:tcW w:w="851" w:type="dxa"/>
            <w:tcBorders>
              <w:top w:val="nil"/>
              <w:left w:val="nil"/>
              <w:bottom w:val="single" w:sz="4" w:space="0" w:color="auto"/>
              <w:right w:val="single" w:sz="4" w:space="0" w:color="auto"/>
            </w:tcBorders>
            <w:shd w:val="clear" w:color="auto" w:fill="auto"/>
            <w:noWrap/>
            <w:vAlign w:val="bottom"/>
            <w:hideMark/>
          </w:tcPr>
          <w:p w14:paraId="1B1C5201" w14:textId="595C9B71" w:rsidR="005D61D1" w:rsidRPr="0053555E" w:rsidRDefault="005D61D1" w:rsidP="005D61D1">
            <w:pPr>
              <w:jc w:val="center"/>
              <w:rPr>
                <w:rFonts w:asciiTheme="majorHAnsi" w:hAnsiTheme="majorHAnsi" w:cstheme="majorHAnsi"/>
                <w:sz w:val="22"/>
                <w:szCs w:val="22"/>
              </w:rPr>
            </w:pPr>
            <w:r w:rsidRPr="0053555E">
              <w:rPr>
                <w:rFonts w:cs="Calibri"/>
                <w:sz w:val="22"/>
                <w:szCs w:val="22"/>
              </w:rPr>
              <w:t>0,65</w:t>
            </w:r>
          </w:p>
        </w:tc>
      </w:tr>
      <w:tr w:rsidR="005D61D1" w:rsidRPr="0053555E" w14:paraId="2B450453" w14:textId="77777777" w:rsidTr="00AC1C66">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B4F2D2D" w14:textId="77777777" w:rsidR="005D61D1" w:rsidRPr="0053555E" w:rsidRDefault="005D61D1" w:rsidP="005D61D1">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MTF</w:t>
            </w:r>
          </w:p>
        </w:tc>
        <w:tc>
          <w:tcPr>
            <w:tcW w:w="1020" w:type="dxa"/>
            <w:tcBorders>
              <w:top w:val="nil"/>
              <w:left w:val="nil"/>
              <w:bottom w:val="single" w:sz="4" w:space="0" w:color="auto"/>
              <w:right w:val="single" w:sz="4" w:space="0" w:color="auto"/>
            </w:tcBorders>
            <w:shd w:val="clear" w:color="000000" w:fill="FFFFFF"/>
            <w:noWrap/>
            <w:vAlign w:val="bottom"/>
            <w:hideMark/>
          </w:tcPr>
          <w:p w14:paraId="6784F60E" w14:textId="126A22BD" w:rsidR="005D61D1" w:rsidRPr="0053555E" w:rsidRDefault="005D61D1" w:rsidP="005D61D1">
            <w:pPr>
              <w:jc w:val="center"/>
              <w:rPr>
                <w:rFonts w:asciiTheme="majorHAnsi" w:hAnsiTheme="majorHAnsi" w:cstheme="majorHAnsi"/>
                <w:sz w:val="22"/>
                <w:szCs w:val="22"/>
              </w:rPr>
            </w:pPr>
            <w:r w:rsidRPr="0053555E">
              <w:rPr>
                <w:rFonts w:cs="Calibri"/>
                <w:sz w:val="22"/>
                <w:szCs w:val="22"/>
              </w:rPr>
              <w:t>470</w:t>
            </w:r>
          </w:p>
        </w:tc>
        <w:tc>
          <w:tcPr>
            <w:tcW w:w="992" w:type="dxa"/>
            <w:tcBorders>
              <w:top w:val="nil"/>
              <w:left w:val="nil"/>
              <w:bottom w:val="single" w:sz="4" w:space="0" w:color="auto"/>
              <w:right w:val="single" w:sz="4" w:space="0" w:color="auto"/>
            </w:tcBorders>
            <w:shd w:val="clear" w:color="auto" w:fill="auto"/>
            <w:noWrap/>
            <w:vAlign w:val="bottom"/>
            <w:hideMark/>
          </w:tcPr>
          <w:p w14:paraId="72E067B3" w14:textId="3F37A5C8" w:rsidR="005D61D1" w:rsidRPr="0053555E" w:rsidRDefault="005D61D1" w:rsidP="005D61D1">
            <w:pPr>
              <w:jc w:val="center"/>
              <w:rPr>
                <w:rFonts w:asciiTheme="majorHAnsi" w:hAnsiTheme="majorHAnsi" w:cstheme="majorHAnsi"/>
                <w:sz w:val="22"/>
                <w:szCs w:val="22"/>
              </w:rPr>
            </w:pPr>
            <w:r w:rsidRPr="0053555E">
              <w:rPr>
                <w:rFonts w:cs="Calibri"/>
                <w:sz w:val="22"/>
                <w:szCs w:val="22"/>
              </w:rPr>
              <w:t>417</w:t>
            </w:r>
          </w:p>
        </w:tc>
        <w:tc>
          <w:tcPr>
            <w:tcW w:w="850" w:type="dxa"/>
            <w:tcBorders>
              <w:top w:val="nil"/>
              <w:left w:val="nil"/>
              <w:bottom w:val="single" w:sz="4" w:space="0" w:color="auto"/>
              <w:right w:val="single" w:sz="4" w:space="0" w:color="auto"/>
            </w:tcBorders>
            <w:shd w:val="clear" w:color="auto" w:fill="EEECE1" w:themeFill="background2"/>
            <w:noWrap/>
            <w:vAlign w:val="bottom"/>
            <w:hideMark/>
          </w:tcPr>
          <w:p w14:paraId="25F73E75" w14:textId="286424EA" w:rsidR="005D61D1" w:rsidRPr="0053555E" w:rsidRDefault="005D61D1" w:rsidP="005D61D1">
            <w:pPr>
              <w:jc w:val="center"/>
              <w:rPr>
                <w:rFonts w:asciiTheme="majorHAnsi" w:hAnsiTheme="majorHAnsi" w:cstheme="majorHAnsi"/>
                <w:sz w:val="22"/>
                <w:szCs w:val="22"/>
              </w:rPr>
            </w:pPr>
            <w:r w:rsidRPr="0053555E">
              <w:rPr>
                <w:rFonts w:cs="Calibri"/>
                <w:sz w:val="22"/>
                <w:szCs w:val="22"/>
              </w:rPr>
              <w:t>0,89</w:t>
            </w:r>
          </w:p>
        </w:tc>
        <w:tc>
          <w:tcPr>
            <w:tcW w:w="851" w:type="dxa"/>
            <w:tcBorders>
              <w:top w:val="nil"/>
              <w:left w:val="nil"/>
              <w:bottom w:val="single" w:sz="4" w:space="0" w:color="auto"/>
              <w:right w:val="single" w:sz="4" w:space="0" w:color="auto"/>
            </w:tcBorders>
            <w:shd w:val="clear" w:color="auto" w:fill="auto"/>
            <w:noWrap/>
            <w:vAlign w:val="bottom"/>
            <w:hideMark/>
          </w:tcPr>
          <w:p w14:paraId="1923CEDF" w14:textId="146117BD" w:rsidR="005D61D1" w:rsidRPr="0053555E" w:rsidRDefault="005D61D1" w:rsidP="005D61D1">
            <w:pPr>
              <w:jc w:val="center"/>
              <w:rPr>
                <w:rFonts w:asciiTheme="majorHAnsi" w:hAnsiTheme="majorHAnsi" w:cstheme="majorHAnsi"/>
                <w:sz w:val="22"/>
                <w:szCs w:val="22"/>
              </w:rPr>
            </w:pPr>
            <w:r w:rsidRPr="0053555E">
              <w:rPr>
                <w:rFonts w:cs="Calibri"/>
                <w:sz w:val="22"/>
                <w:szCs w:val="22"/>
              </w:rPr>
              <w:t>334</w:t>
            </w:r>
          </w:p>
        </w:tc>
        <w:tc>
          <w:tcPr>
            <w:tcW w:w="851" w:type="dxa"/>
            <w:tcBorders>
              <w:top w:val="nil"/>
              <w:left w:val="nil"/>
              <w:bottom w:val="single" w:sz="4" w:space="0" w:color="auto"/>
              <w:right w:val="single" w:sz="4" w:space="0" w:color="auto"/>
            </w:tcBorders>
            <w:shd w:val="clear" w:color="auto" w:fill="EEECE1" w:themeFill="background2"/>
            <w:noWrap/>
            <w:vAlign w:val="bottom"/>
            <w:hideMark/>
          </w:tcPr>
          <w:p w14:paraId="0DC3F59D" w14:textId="682740F8" w:rsidR="005D61D1" w:rsidRPr="0053555E" w:rsidRDefault="005D61D1" w:rsidP="005D61D1">
            <w:pPr>
              <w:jc w:val="center"/>
              <w:rPr>
                <w:rFonts w:asciiTheme="majorHAnsi" w:hAnsiTheme="majorHAnsi" w:cstheme="majorHAnsi"/>
                <w:sz w:val="22"/>
                <w:szCs w:val="22"/>
              </w:rPr>
            </w:pPr>
            <w:r w:rsidRPr="0053555E">
              <w:rPr>
                <w:rFonts w:cs="Calibri"/>
                <w:sz w:val="22"/>
                <w:szCs w:val="22"/>
              </w:rPr>
              <w:t>0,71</w:t>
            </w:r>
          </w:p>
        </w:tc>
        <w:tc>
          <w:tcPr>
            <w:tcW w:w="921" w:type="dxa"/>
            <w:tcBorders>
              <w:top w:val="nil"/>
              <w:left w:val="nil"/>
              <w:bottom w:val="single" w:sz="4" w:space="0" w:color="auto"/>
              <w:right w:val="single" w:sz="4" w:space="0" w:color="auto"/>
            </w:tcBorders>
            <w:shd w:val="clear" w:color="auto" w:fill="auto"/>
            <w:noWrap/>
            <w:vAlign w:val="bottom"/>
            <w:hideMark/>
          </w:tcPr>
          <w:p w14:paraId="31B24F25" w14:textId="6DC74C7D" w:rsidR="005D61D1" w:rsidRPr="0053555E" w:rsidRDefault="005D61D1" w:rsidP="005D61D1">
            <w:pPr>
              <w:jc w:val="center"/>
              <w:rPr>
                <w:rFonts w:asciiTheme="majorHAnsi" w:hAnsiTheme="majorHAnsi" w:cstheme="majorHAnsi"/>
                <w:sz w:val="22"/>
                <w:szCs w:val="22"/>
              </w:rPr>
            </w:pPr>
            <w:r w:rsidRPr="0053555E">
              <w:rPr>
                <w:rFonts w:cs="Calibri"/>
                <w:sz w:val="22"/>
                <w:szCs w:val="22"/>
              </w:rPr>
              <w:t>307</w:t>
            </w:r>
          </w:p>
        </w:tc>
        <w:tc>
          <w:tcPr>
            <w:tcW w:w="921" w:type="dxa"/>
            <w:tcBorders>
              <w:top w:val="nil"/>
              <w:left w:val="nil"/>
              <w:bottom w:val="single" w:sz="4" w:space="0" w:color="auto"/>
              <w:right w:val="single" w:sz="4" w:space="0" w:color="auto"/>
            </w:tcBorders>
            <w:shd w:val="clear" w:color="auto" w:fill="auto"/>
            <w:noWrap/>
            <w:vAlign w:val="bottom"/>
            <w:hideMark/>
          </w:tcPr>
          <w:p w14:paraId="20930061" w14:textId="31BF4DE8" w:rsidR="005D61D1" w:rsidRPr="0053555E" w:rsidRDefault="005D61D1" w:rsidP="005D61D1">
            <w:pPr>
              <w:jc w:val="center"/>
              <w:rPr>
                <w:rFonts w:asciiTheme="majorHAnsi" w:hAnsiTheme="majorHAnsi" w:cstheme="majorHAnsi"/>
                <w:sz w:val="22"/>
                <w:szCs w:val="22"/>
              </w:rPr>
            </w:pPr>
            <w:r w:rsidRPr="0053555E">
              <w:rPr>
                <w:rFonts w:cs="Calibri"/>
                <w:sz w:val="22"/>
                <w:szCs w:val="22"/>
              </w:rPr>
              <w:t>18</w:t>
            </w: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42825D15" w14:textId="4A1DBA99" w:rsidR="005D61D1" w:rsidRPr="0053555E" w:rsidRDefault="005D61D1" w:rsidP="005D61D1">
            <w:pPr>
              <w:jc w:val="center"/>
              <w:rPr>
                <w:rFonts w:asciiTheme="majorHAnsi" w:hAnsiTheme="majorHAnsi" w:cstheme="majorHAnsi"/>
                <w:sz w:val="22"/>
                <w:szCs w:val="22"/>
              </w:rPr>
            </w:pPr>
            <w:r w:rsidRPr="0053555E">
              <w:rPr>
                <w:rFonts w:cs="Calibri"/>
                <w:sz w:val="22"/>
                <w:szCs w:val="22"/>
              </w:rPr>
              <w:t>0,92</w:t>
            </w:r>
          </w:p>
        </w:tc>
        <w:tc>
          <w:tcPr>
            <w:tcW w:w="851" w:type="dxa"/>
            <w:tcBorders>
              <w:top w:val="nil"/>
              <w:left w:val="nil"/>
              <w:bottom w:val="single" w:sz="4" w:space="0" w:color="auto"/>
              <w:right w:val="single" w:sz="4" w:space="0" w:color="auto"/>
            </w:tcBorders>
            <w:shd w:val="clear" w:color="auto" w:fill="auto"/>
            <w:noWrap/>
            <w:vAlign w:val="bottom"/>
            <w:hideMark/>
          </w:tcPr>
          <w:p w14:paraId="1E39D249" w14:textId="3160699F" w:rsidR="005D61D1" w:rsidRPr="0053555E" w:rsidRDefault="005D61D1" w:rsidP="005D61D1">
            <w:pPr>
              <w:jc w:val="center"/>
              <w:rPr>
                <w:rFonts w:asciiTheme="majorHAnsi" w:hAnsiTheme="majorHAnsi" w:cstheme="majorHAnsi"/>
                <w:sz w:val="22"/>
                <w:szCs w:val="22"/>
              </w:rPr>
            </w:pPr>
            <w:r w:rsidRPr="0053555E">
              <w:rPr>
                <w:rFonts w:cs="Calibri"/>
                <w:sz w:val="22"/>
                <w:szCs w:val="22"/>
              </w:rPr>
              <w:t>0,65</w:t>
            </w:r>
          </w:p>
        </w:tc>
      </w:tr>
      <w:tr w:rsidR="005D61D1" w:rsidRPr="0053555E" w14:paraId="39891EE9" w14:textId="77777777" w:rsidTr="00AC1C6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C3BAC6" w14:textId="77777777" w:rsidR="005D61D1" w:rsidRPr="0053555E" w:rsidRDefault="005D61D1" w:rsidP="005D61D1">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FIIT</w:t>
            </w:r>
          </w:p>
        </w:tc>
        <w:tc>
          <w:tcPr>
            <w:tcW w:w="1020" w:type="dxa"/>
            <w:tcBorders>
              <w:top w:val="nil"/>
              <w:left w:val="nil"/>
              <w:bottom w:val="single" w:sz="4" w:space="0" w:color="auto"/>
              <w:right w:val="single" w:sz="4" w:space="0" w:color="auto"/>
            </w:tcBorders>
            <w:shd w:val="clear" w:color="auto" w:fill="auto"/>
            <w:noWrap/>
            <w:vAlign w:val="bottom"/>
            <w:hideMark/>
          </w:tcPr>
          <w:p w14:paraId="1CE0F082" w14:textId="311FFDD8" w:rsidR="005D61D1" w:rsidRPr="0053555E" w:rsidRDefault="005D61D1" w:rsidP="005D61D1">
            <w:pPr>
              <w:jc w:val="center"/>
              <w:rPr>
                <w:rFonts w:asciiTheme="majorHAnsi" w:hAnsiTheme="majorHAnsi" w:cstheme="majorHAnsi"/>
                <w:sz w:val="22"/>
                <w:szCs w:val="22"/>
              </w:rPr>
            </w:pPr>
            <w:r w:rsidRPr="0053555E">
              <w:rPr>
                <w:rFonts w:cs="Calibri"/>
                <w:sz w:val="22"/>
                <w:szCs w:val="22"/>
              </w:rPr>
              <w:t>170</w:t>
            </w:r>
          </w:p>
        </w:tc>
        <w:tc>
          <w:tcPr>
            <w:tcW w:w="992" w:type="dxa"/>
            <w:tcBorders>
              <w:top w:val="nil"/>
              <w:left w:val="nil"/>
              <w:bottom w:val="single" w:sz="4" w:space="0" w:color="auto"/>
              <w:right w:val="single" w:sz="4" w:space="0" w:color="auto"/>
            </w:tcBorders>
            <w:shd w:val="clear" w:color="auto" w:fill="auto"/>
            <w:noWrap/>
            <w:vAlign w:val="bottom"/>
            <w:hideMark/>
          </w:tcPr>
          <w:p w14:paraId="7C777600" w14:textId="229D324E" w:rsidR="005D61D1" w:rsidRPr="0053555E" w:rsidRDefault="005D61D1" w:rsidP="005D61D1">
            <w:pPr>
              <w:jc w:val="center"/>
              <w:rPr>
                <w:rFonts w:asciiTheme="majorHAnsi" w:hAnsiTheme="majorHAnsi" w:cstheme="majorHAnsi"/>
                <w:sz w:val="22"/>
                <w:szCs w:val="22"/>
              </w:rPr>
            </w:pPr>
            <w:r w:rsidRPr="0053555E">
              <w:rPr>
                <w:rFonts w:cs="Calibri"/>
                <w:sz w:val="22"/>
                <w:szCs w:val="22"/>
              </w:rPr>
              <w:t>265</w:t>
            </w:r>
          </w:p>
        </w:tc>
        <w:tc>
          <w:tcPr>
            <w:tcW w:w="850" w:type="dxa"/>
            <w:tcBorders>
              <w:top w:val="nil"/>
              <w:left w:val="nil"/>
              <w:bottom w:val="single" w:sz="4" w:space="0" w:color="auto"/>
              <w:right w:val="single" w:sz="4" w:space="0" w:color="auto"/>
            </w:tcBorders>
            <w:shd w:val="clear" w:color="auto" w:fill="EEECE1" w:themeFill="background2"/>
            <w:noWrap/>
            <w:vAlign w:val="bottom"/>
            <w:hideMark/>
          </w:tcPr>
          <w:p w14:paraId="0DF6E8D8" w14:textId="1F4345DE" w:rsidR="005D61D1" w:rsidRPr="0053555E" w:rsidRDefault="005D61D1" w:rsidP="005D61D1">
            <w:pPr>
              <w:jc w:val="center"/>
              <w:rPr>
                <w:rFonts w:asciiTheme="majorHAnsi" w:hAnsiTheme="majorHAnsi" w:cstheme="majorHAnsi"/>
                <w:sz w:val="22"/>
                <w:szCs w:val="22"/>
              </w:rPr>
            </w:pPr>
            <w:r w:rsidRPr="0053555E">
              <w:rPr>
                <w:rFonts w:cs="Calibri"/>
                <w:sz w:val="22"/>
                <w:szCs w:val="22"/>
              </w:rPr>
              <w:t>1,56</w:t>
            </w:r>
          </w:p>
        </w:tc>
        <w:tc>
          <w:tcPr>
            <w:tcW w:w="851" w:type="dxa"/>
            <w:tcBorders>
              <w:top w:val="nil"/>
              <w:left w:val="nil"/>
              <w:bottom w:val="single" w:sz="4" w:space="0" w:color="auto"/>
              <w:right w:val="single" w:sz="4" w:space="0" w:color="auto"/>
            </w:tcBorders>
            <w:shd w:val="clear" w:color="auto" w:fill="auto"/>
            <w:noWrap/>
            <w:vAlign w:val="bottom"/>
            <w:hideMark/>
          </w:tcPr>
          <w:p w14:paraId="544F7046" w14:textId="0302AC80" w:rsidR="005D61D1" w:rsidRPr="0053555E" w:rsidRDefault="005D61D1" w:rsidP="005D61D1">
            <w:pPr>
              <w:jc w:val="center"/>
              <w:rPr>
                <w:rFonts w:asciiTheme="majorHAnsi" w:hAnsiTheme="majorHAnsi" w:cstheme="majorHAnsi"/>
                <w:sz w:val="22"/>
                <w:szCs w:val="22"/>
              </w:rPr>
            </w:pPr>
            <w:r w:rsidRPr="0053555E">
              <w:rPr>
                <w:rFonts w:cs="Calibri"/>
                <w:sz w:val="22"/>
                <w:szCs w:val="22"/>
              </w:rPr>
              <w:t>198</w:t>
            </w:r>
          </w:p>
        </w:tc>
        <w:tc>
          <w:tcPr>
            <w:tcW w:w="851" w:type="dxa"/>
            <w:tcBorders>
              <w:top w:val="nil"/>
              <w:left w:val="nil"/>
              <w:bottom w:val="single" w:sz="4" w:space="0" w:color="auto"/>
              <w:right w:val="single" w:sz="4" w:space="0" w:color="auto"/>
            </w:tcBorders>
            <w:shd w:val="clear" w:color="auto" w:fill="EEECE1" w:themeFill="background2"/>
            <w:noWrap/>
            <w:vAlign w:val="bottom"/>
            <w:hideMark/>
          </w:tcPr>
          <w:p w14:paraId="0693040D" w14:textId="5D027D51" w:rsidR="005D61D1" w:rsidRPr="0053555E" w:rsidRDefault="005D61D1" w:rsidP="005D61D1">
            <w:pPr>
              <w:jc w:val="center"/>
              <w:rPr>
                <w:rFonts w:asciiTheme="majorHAnsi" w:hAnsiTheme="majorHAnsi" w:cstheme="majorHAnsi"/>
                <w:sz w:val="22"/>
                <w:szCs w:val="22"/>
              </w:rPr>
            </w:pPr>
            <w:r w:rsidRPr="0053555E">
              <w:rPr>
                <w:rFonts w:cs="Calibri"/>
                <w:sz w:val="22"/>
                <w:szCs w:val="22"/>
              </w:rPr>
              <w:t>1,16</w:t>
            </w:r>
          </w:p>
        </w:tc>
        <w:tc>
          <w:tcPr>
            <w:tcW w:w="921" w:type="dxa"/>
            <w:tcBorders>
              <w:top w:val="nil"/>
              <w:left w:val="nil"/>
              <w:bottom w:val="single" w:sz="4" w:space="0" w:color="auto"/>
              <w:right w:val="single" w:sz="4" w:space="0" w:color="auto"/>
            </w:tcBorders>
            <w:shd w:val="clear" w:color="auto" w:fill="auto"/>
            <w:noWrap/>
            <w:vAlign w:val="bottom"/>
            <w:hideMark/>
          </w:tcPr>
          <w:p w14:paraId="510F194C" w14:textId="4DBBB969" w:rsidR="005D61D1" w:rsidRPr="0053555E" w:rsidRDefault="005D61D1" w:rsidP="005D61D1">
            <w:pPr>
              <w:jc w:val="center"/>
              <w:rPr>
                <w:rFonts w:asciiTheme="majorHAnsi" w:hAnsiTheme="majorHAnsi" w:cstheme="majorHAnsi"/>
                <w:sz w:val="22"/>
                <w:szCs w:val="22"/>
              </w:rPr>
            </w:pPr>
            <w:r w:rsidRPr="0053555E">
              <w:rPr>
                <w:rFonts w:cs="Calibri"/>
                <w:sz w:val="22"/>
                <w:szCs w:val="22"/>
              </w:rPr>
              <w:t>184</w:t>
            </w:r>
          </w:p>
        </w:tc>
        <w:tc>
          <w:tcPr>
            <w:tcW w:w="921" w:type="dxa"/>
            <w:tcBorders>
              <w:top w:val="nil"/>
              <w:left w:val="nil"/>
              <w:bottom w:val="single" w:sz="4" w:space="0" w:color="auto"/>
              <w:right w:val="single" w:sz="4" w:space="0" w:color="auto"/>
            </w:tcBorders>
            <w:shd w:val="clear" w:color="auto" w:fill="auto"/>
            <w:noWrap/>
            <w:vAlign w:val="bottom"/>
            <w:hideMark/>
          </w:tcPr>
          <w:p w14:paraId="4B4A69C0" w14:textId="5B97811A" w:rsidR="005D61D1" w:rsidRPr="0053555E" w:rsidRDefault="005D61D1" w:rsidP="005D61D1">
            <w:pPr>
              <w:jc w:val="center"/>
              <w:rPr>
                <w:rFonts w:asciiTheme="majorHAnsi" w:hAnsiTheme="majorHAnsi" w:cstheme="majorHAnsi"/>
                <w:sz w:val="22"/>
                <w:szCs w:val="22"/>
              </w:rPr>
            </w:pPr>
            <w:r w:rsidRPr="0053555E">
              <w:rPr>
                <w:rFonts w:cs="Calibri"/>
                <w:sz w:val="22"/>
                <w:szCs w:val="22"/>
              </w:rPr>
              <w:t>9</w:t>
            </w: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00C7CF3C" w14:textId="7347A531" w:rsidR="005D61D1" w:rsidRPr="0053555E" w:rsidRDefault="005D61D1" w:rsidP="005D61D1">
            <w:pPr>
              <w:jc w:val="center"/>
              <w:rPr>
                <w:rFonts w:asciiTheme="majorHAnsi" w:hAnsiTheme="majorHAnsi" w:cstheme="majorHAnsi"/>
                <w:sz w:val="22"/>
                <w:szCs w:val="22"/>
              </w:rPr>
            </w:pPr>
            <w:r w:rsidRPr="0053555E">
              <w:rPr>
                <w:rFonts w:cs="Calibri"/>
                <w:sz w:val="22"/>
                <w:szCs w:val="22"/>
              </w:rPr>
              <w:t>0,93</w:t>
            </w:r>
          </w:p>
        </w:tc>
        <w:tc>
          <w:tcPr>
            <w:tcW w:w="851" w:type="dxa"/>
            <w:tcBorders>
              <w:top w:val="nil"/>
              <w:left w:val="nil"/>
              <w:bottom w:val="single" w:sz="4" w:space="0" w:color="auto"/>
              <w:right w:val="single" w:sz="4" w:space="0" w:color="auto"/>
            </w:tcBorders>
            <w:shd w:val="clear" w:color="auto" w:fill="auto"/>
            <w:noWrap/>
            <w:vAlign w:val="bottom"/>
            <w:hideMark/>
          </w:tcPr>
          <w:p w14:paraId="0C65D42B" w14:textId="7933A173" w:rsidR="005D61D1" w:rsidRPr="0053555E" w:rsidRDefault="005D61D1" w:rsidP="005D61D1">
            <w:pPr>
              <w:jc w:val="center"/>
              <w:rPr>
                <w:rFonts w:asciiTheme="majorHAnsi" w:hAnsiTheme="majorHAnsi" w:cstheme="majorHAnsi"/>
                <w:sz w:val="22"/>
                <w:szCs w:val="22"/>
              </w:rPr>
            </w:pPr>
            <w:r w:rsidRPr="0053555E">
              <w:rPr>
                <w:rFonts w:cs="Calibri"/>
                <w:sz w:val="22"/>
                <w:szCs w:val="22"/>
              </w:rPr>
              <w:t>1,08</w:t>
            </w:r>
          </w:p>
        </w:tc>
      </w:tr>
      <w:tr w:rsidR="005D61D1" w:rsidRPr="0053555E" w14:paraId="4ED1D405" w14:textId="77777777" w:rsidTr="00AC1C6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7392D8" w14:textId="77777777" w:rsidR="005D61D1" w:rsidRPr="0053555E" w:rsidRDefault="005D61D1" w:rsidP="005D61D1">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ÚM</w:t>
            </w:r>
          </w:p>
        </w:tc>
        <w:tc>
          <w:tcPr>
            <w:tcW w:w="1020" w:type="dxa"/>
            <w:tcBorders>
              <w:top w:val="nil"/>
              <w:left w:val="nil"/>
              <w:bottom w:val="single" w:sz="4" w:space="0" w:color="auto"/>
              <w:right w:val="single" w:sz="4" w:space="0" w:color="auto"/>
            </w:tcBorders>
            <w:shd w:val="clear" w:color="auto" w:fill="auto"/>
            <w:noWrap/>
            <w:vAlign w:val="bottom"/>
            <w:hideMark/>
          </w:tcPr>
          <w:p w14:paraId="58D5417B" w14:textId="57BDEDDC" w:rsidR="005D61D1" w:rsidRPr="0053555E" w:rsidRDefault="005D61D1" w:rsidP="005D61D1">
            <w:pPr>
              <w:jc w:val="center"/>
              <w:rPr>
                <w:rFonts w:asciiTheme="majorHAnsi" w:hAnsiTheme="majorHAnsi" w:cstheme="majorHAnsi"/>
                <w:sz w:val="22"/>
                <w:szCs w:val="22"/>
              </w:rPr>
            </w:pPr>
            <w:r w:rsidRPr="0053555E">
              <w:rPr>
                <w:rFonts w:cs="Calibri"/>
                <w:sz w:val="22"/>
                <w:szCs w:val="22"/>
              </w:rPr>
              <w:t>95</w:t>
            </w:r>
          </w:p>
        </w:tc>
        <w:tc>
          <w:tcPr>
            <w:tcW w:w="992" w:type="dxa"/>
            <w:tcBorders>
              <w:top w:val="nil"/>
              <w:left w:val="nil"/>
              <w:bottom w:val="single" w:sz="4" w:space="0" w:color="auto"/>
              <w:right w:val="single" w:sz="4" w:space="0" w:color="auto"/>
            </w:tcBorders>
            <w:shd w:val="clear" w:color="auto" w:fill="auto"/>
            <w:noWrap/>
            <w:vAlign w:val="bottom"/>
            <w:hideMark/>
          </w:tcPr>
          <w:p w14:paraId="083E03CC" w14:textId="372F298A" w:rsidR="005D61D1" w:rsidRPr="0053555E" w:rsidRDefault="005D61D1" w:rsidP="005D61D1">
            <w:pPr>
              <w:jc w:val="center"/>
              <w:rPr>
                <w:rFonts w:asciiTheme="majorHAnsi" w:hAnsiTheme="majorHAnsi" w:cstheme="majorHAnsi"/>
                <w:sz w:val="22"/>
                <w:szCs w:val="22"/>
              </w:rPr>
            </w:pPr>
            <w:r w:rsidRPr="0053555E">
              <w:rPr>
                <w:rFonts w:cs="Calibri"/>
                <w:sz w:val="22"/>
                <w:szCs w:val="22"/>
              </w:rPr>
              <w:t>57</w:t>
            </w:r>
          </w:p>
        </w:tc>
        <w:tc>
          <w:tcPr>
            <w:tcW w:w="850" w:type="dxa"/>
            <w:tcBorders>
              <w:top w:val="nil"/>
              <w:left w:val="nil"/>
              <w:bottom w:val="single" w:sz="4" w:space="0" w:color="auto"/>
              <w:right w:val="single" w:sz="4" w:space="0" w:color="auto"/>
            </w:tcBorders>
            <w:shd w:val="clear" w:color="auto" w:fill="EEECE1" w:themeFill="background2"/>
            <w:noWrap/>
            <w:vAlign w:val="bottom"/>
            <w:hideMark/>
          </w:tcPr>
          <w:p w14:paraId="4E24631A" w14:textId="29F05E13" w:rsidR="005D61D1" w:rsidRPr="0053555E" w:rsidRDefault="005D61D1" w:rsidP="005D61D1">
            <w:pPr>
              <w:jc w:val="center"/>
              <w:rPr>
                <w:rFonts w:asciiTheme="majorHAnsi" w:hAnsiTheme="majorHAnsi" w:cstheme="majorHAnsi"/>
                <w:sz w:val="22"/>
                <w:szCs w:val="22"/>
              </w:rPr>
            </w:pPr>
            <w:r w:rsidRPr="0053555E">
              <w:rPr>
                <w:rFonts w:cs="Calibri"/>
                <w:sz w:val="22"/>
                <w:szCs w:val="22"/>
              </w:rPr>
              <w:t>0,60</w:t>
            </w:r>
          </w:p>
        </w:tc>
        <w:tc>
          <w:tcPr>
            <w:tcW w:w="851" w:type="dxa"/>
            <w:tcBorders>
              <w:top w:val="nil"/>
              <w:left w:val="nil"/>
              <w:bottom w:val="single" w:sz="4" w:space="0" w:color="auto"/>
              <w:right w:val="single" w:sz="4" w:space="0" w:color="auto"/>
            </w:tcBorders>
            <w:shd w:val="clear" w:color="auto" w:fill="auto"/>
            <w:noWrap/>
            <w:vAlign w:val="bottom"/>
            <w:hideMark/>
          </w:tcPr>
          <w:p w14:paraId="64FACCE9" w14:textId="46A88261" w:rsidR="005D61D1" w:rsidRPr="0053555E" w:rsidRDefault="005D61D1" w:rsidP="005D61D1">
            <w:pPr>
              <w:jc w:val="center"/>
              <w:rPr>
                <w:rFonts w:asciiTheme="majorHAnsi" w:hAnsiTheme="majorHAnsi" w:cstheme="majorHAnsi"/>
                <w:sz w:val="22"/>
                <w:szCs w:val="22"/>
              </w:rPr>
            </w:pPr>
            <w:r w:rsidRPr="0053555E">
              <w:rPr>
                <w:rFonts w:cs="Calibri"/>
                <w:sz w:val="22"/>
                <w:szCs w:val="22"/>
              </w:rPr>
              <w:t>27</w:t>
            </w:r>
          </w:p>
        </w:tc>
        <w:tc>
          <w:tcPr>
            <w:tcW w:w="851" w:type="dxa"/>
            <w:tcBorders>
              <w:top w:val="nil"/>
              <w:left w:val="nil"/>
              <w:bottom w:val="single" w:sz="4" w:space="0" w:color="auto"/>
              <w:right w:val="single" w:sz="4" w:space="0" w:color="auto"/>
            </w:tcBorders>
            <w:shd w:val="clear" w:color="auto" w:fill="EEECE1" w:themeFill="background2"/>
            <w:noWrap/>
            <w:vAlign w:val="bottom"/>
            <w:hideMark/>
          </w:tcPr>
          <w:p w14:paraId="0493F924" w14:textId="66C025A2" w:rsidR="005D61D1" w:rsidRPr="0053555E" w:rsidRDefault="005D61D1" w:rsidP="005D61D1">
            <w:pPr>
              <w:jc w:val="center"/>
              <w:rPr>
                <w:rFonts w:asciiTheme="majorHAnsi" w:hAnsiTheme="majorHAnsi" w:cstheme="majorHAnsi"/>
                <w:sz w:val="22"/>
                <w:szCs w:val="22"/>
              </w:rPr>
            </w:pPr>
            <w:r w:rsidRPr="0053555E">
              <w:rPr>
                <w:rFonts w:cs="Calibri"/>
                <w:sz w:val="22"/>
                <w:szCs w:val="22"/>
              </w:rPr>
              <w:t>0,28</w:t>
            </w:r>
          </w:p>
        </w:tc>
        <w:tc>
          <w:tcPr>
            <w:tcW w:w="921" w:type="dxa"/>
            <w:tcBorders>
              <w:top w:val="nil"/>
              <w:left w:val="nil"/>
              <w:bottom w:val="single" w:sz="4" w:space="0" w:color="auto"/>
              <w:right w:val="single" w:sz="4" w:space="0" w:color="auto"/>
            </w:tcBorders>
            <w:shd w:val="clear" w:color="auto" w:fill="auto"/>
            <w:noWrap/>
            <w:vAlign w:val="bottom"/>
            <w:hideMark/>
          </w:tcPr>
          <w:p w14:paraId="3BC97C2C" w14:textId="1E471CD4" w:rsidR="005D61D1" w:rsidRPr="0053555E" w:rsidRDefault="005D61D1" w:rsidP="005D61D1">
            <w:pPr>
              <w:jc w:val="center"/>
              <w:rPr>
                <w:rFonts w:asciiTheme="majorHAnsi" w:hAnsiTheme="majorHAnsi" w:cstheme="majorHAnsi"/>
                <w:sz w:val="22"/>
                <w:szCs w:val="22"/>
              </w:rPr>
            </w:pPr>
            <w:r w:rsidRPr="0053555E">
              <w:rPr>
                <w:rFonts w:cs="Calibri"/>
                <w:sz w:val="22"/>
                <w:szCs w:val="22"/>
              </w:rPr>
              <w:t>24</w:t>
            </w:r>
          </w:p>
        </w:tc>
        <w:tc>
          <w:tcPr>
            <w:tcW w:w="921" w:type="dxa"/>
            <w:tcBorders>
              <w:top w:val="nil"/>
              <w:left w:val="nil"/>
              <w:bottom w:val="single" w:sz="4" w:space="0" w:color="auto"/>
              <w:right w:val="single" w:sz="4" w:space="0" w:color="auto"/>
            </w:tcBorders>
            <w:shd w:val="clear" w:color="auto" w:fill="auto"/>
            <w:noWrap/>
            <w:vAlign w:val="bottom"/>
            <w:hideMark/>
          </w:tcPr>
          <w:p w14:paraId="3BAD7043" w14:textId="3EDFF8B4" w:rsidR="005D61D1" w:rsidRPr="0053555E" w:rsidRDefault="005D61D1" w:rsidP="005D61D1">
            <w:pPr>
              <w:jc w:val="center"/>
              <w:rPr>
                <w:rFonts w:asciiTheme="majorHAnsi" w:hAnsiTheme="majorHAnsi" w:cstheme="majorHAnsi"/>
                <w:sz w:val="22"/>
                <w:szCs w:val="22"/>
              </w:rPr>
            </w:pPr>
            <w:r w:rsidRPr="0053555E">
              <w:rPr>
                <w:rFonts w:cs="Calibri"/>
                <w:sz w:val="22"/>
                <w:szCs w:val="22"/>
              </w:rPr>
              <w:t>3</w:t>
            </w: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07B890BC" w14:textId="2055992E" w:rsidR="005D61D1" w:rsidRPr="0053555E" w:rsidRDefault="005D61D1" w:rsidP="005D61D1">
            <w:pPr>
              <w:jc w:val="center"/>
              <w:rPr>
                <w:rFonts w:asciiTheme="majorHAnsi" w:hAnsiTheme="majorHAnsi" w:cstheme="majorHAnsi"/>
                <w:sz w:val="22"/>
                <w:szCs w:val="22"/>
              </w:rPr>
            </w:pPr>
            <w:r w:rsidRPr="0053555E">
              <w:rPr>
                <w:rFonts w:cs="Calibri"/>
                <w:sz w:val="22"/>
                <w:szCs w:val="22"/>
              </w:rPr>
              <w:t>0,89</w:t>
            </w:r>
          </w:p>
        </w:tc>
        <w:tc>
          <w:tcPr>
            <w:tcW w:w="851" w:type="dxa"/>
            <w:tcBorders>
              <w:top w:val="nil"/>
              <w:left w:val="nil"/>
              <w:bottom w:val="single" w:sz="4" w:space="0" w:color="auto"/>
              <w:right w:val="single" w:sz="4" w:space="0" w:color="auto"/>
            </w:tcBorders>
            <w:shd w:val="clear" w:color="auto" w:fill="auto"/>
            <w:noWrap/>
            <w:vAlign w:val="bottom"/>
            <w:hideMark/>
          </w:tcPr>
          <w:p w14:paraId="4E954055" w14:textId="16E390FD" w:rsidR="005D61D1" w:rsidRPr="0053555E" w:rsidRDefault="005D61D1" w:rsidP="005D61D1">
            <w:pPr>
              <w:jc w:val="center"/>
              <w:rPr>
                <w:rFonts w:asciiTheme="majorHAnsi" w:hAnsiTheme="majorHAnsi" w:cstheme="majorHAnsi"/>
                <w:sz w:val="22"/>
                <w:szCs w:val="22"/>
              </w:rPr>
            </w:pPr>
            <w:r w:rsidRPr="0053555E">
              <w:rPr>
                <w:rFonts w:cs="Calibri"/>
                <w:sz w:val="22"/>
                <w:szCs w:val="22"/>
              </w:rPr>
              <w:t>0,25</w:t>
            </w:r>
          </w:p>
        </w:tc>
      </w:tr>
      <w:tr w:rsidR="005D61D1" w:rsidRPr="0053555E" w14:paraId="299597A9" w14:textId="77777777" w:rsidTr="00AC1C66">
        <w:trPr>
          <w:trHeight w:val="255"/>
        </w:trPr>
        <w:tc>
          <w:tcPr>
            <w:tcW w:w="960"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62BFA72B" w14:textId="77777777" w:rsidR="005D61D1" w:rsidRPr="0053555E" w:rsidRDefault="005D61D1" w:rsidP="005D61D1">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STU</w:t>
            </w:r>
          </w:p>
        </w:tc>
        <w:tc>
          <w:tcPr>
            <w:tcW w:w="1020" w:type="dxa"/>
            <w:tcBorders>
              <w:top w:val="nil"/>
              <w:left w:val="nil"/>
              <w:bottom w:val="single" w:sz="4" w:space="0" w:color="auto"/>
              <w:right w:val="single" w:sz="4" w:space="0" w:color="auto"/>
            </w:tcBorders>
            <w:shd w:val="clear" w:color="auto" w:fill="EEECE1" w:themeFill="background2"/>
            <w:noWrap/>
            <w:vAlign w:val="bottom"/>
            <w:hideMark/>
          </w:tcPr>
          <w:p w14:paraId="6D7D1747" w14:textId="6E188EF9" w:rsidR="005D61D1" w:rsidRPr="0053555E" w:rsidRDefault="005D61D1" w:rsidP="005D61D1">
            <w:pPr>
              <w:jc w:val="center"/>
              <w:rPr>
                <w:rFonts w:asciiTheme="majorHAnsi" w:hAnsiTheme="majorHAnsi" w:cstheme="majorHAnsi"/>
                <w:b/>
                <w:bCs/>
                <w:sz w:val="22"/>
                <w:szCs w:val="22"/>
              </w:rPr>
            </w:pPr>
            <w:r w:rsidRPr="0053555E">
              <w:rPr>
                <w:rFonts w:cs="Calibri"/>
                <w:b/>
                <w:bCs/>
                <w:sz w:val="22"/>
                <w:szCs w:val="22"/>
              </w:rPr>
              <w:t>2 514</w:t>
            </w:r>
          </w:p>
        </w:tc>
        <w:tc>
          <w:tcPr>
            <w:tcW w:w="992" w:type="dxa"/>
            <w:tcBorders>
              <w:top w:val="nil"/>
              <w:left w:val="nil"/>
              <w:bottom w:val="single" w:sz="4" w:space="0" w:color="auto"/>
              <w:right w:val="single" w:sz="4" w:space="0" w:color="auto"/>
            </w:tcBorders>
            <w:shd w:val="clear" w:color="auto" w:fill="EEECE1" w:themeFill="background2"/>
            <w:noWrap/>
            <w:vAlign w:val="bottom"/>
            <w:hideMark/>
          </w:tcPr>
          <w:p w14:paraId="72F2E5E4" w14:textId="76E98478" w:rsidR="005D61D1" w:rsidRPr="0053555E" w:rsidRDefault="005D61D1" w:rsidP="005D61D1">
            <w:pPr>
              <w:jc w:val="center"/>
              <w:rPr>
                <w:rFonts w:asciiTheme="majorHAnsi" w:hAnsiTheme="majorHAnsi" w:cstheme="majorHAnsi"/>
                <w:b/>
                <w:bCs/>
                <w:sz w:val="22"/>
                <w:szCs w:val="22"/>
              </w:rPr>
            </w:pPr>
            <w:r w:rsidRPr="0053555E">
              <w:rPr>
                <w:rFonts w:cs="Calibri"/>
                <w:b/>
                <w:bCs/>
                <w:sz w:val="22"/>
                <w:szCs w:val="22"/>
              </w:rPr>
              <w:t>2 259</w:t>
            </w:r>
          </w:p>
        </w:tc>
        <w:tc>
          <w:tcPr>
            <w:tcW w:w="850" w:type="dxa"/>
            <w:tcBorders>
              <w:top w:val="nil"/>
              <w:left w:val="nil"/>
              <w:bottom w:val="single" w:sz="4" w:space="0" w:color="auto"/>
              <w:right w:val="single" w:sz="4" w:space="0" w:color="auto"/>
            </w:tcBorders>
            <w:shd w:val="clear" w:color="auto" w:fill="EEECE1" w:themeFill="background2"/>
            <w:noWrap/>
            <w:vAlign w:val="bottom"/>
            <w:hideMark/>
          </w:tcPr>
          <w:p w14:paraId="6B6A59A1" w14:textId="4BFA339F" w:rsidR="005D61D1" w:rsidRPr="0053555E" w:rsidRDefault="005D61D1" w:rsidP="005D61D1">
            <w:pPr>
              <w:jc w:val="center"/>
              <w:rPr>
                <w:rFonts w:asciiTheme="majorHAnsi" w:hAnsiTheme="majorHAnsi" w:cstheme="majorHAnsi"/>
                <w:b/>
                <w:bCs/>
                <w:sz w:val="22"/>
                <w:szCs w:val="22"/>
              </w:rPr>
            </w:pPr>
            <w:r w:rsidRPr="0053555E">
              <w:rPr>
                <w:rFonts w:cs="Calibri"/>
                <w:b/>
                <w:bCs/>
                <w:sz w:val="22"/>
                <w:szCs w:val="22"/>
              </w:rPr>
              <w:t>0,90</w:t>
            </w:r>
          </w:p>
        </w:tc>
        <w:tc>
          <w:tcPr>
            <w:tcW w:w="851" w:type="dxa"/>
            <w:tcBorders>
              <w:top w:val="nil"/>
              <w:left w:val="nil"/>
              <w:bottom w:val="single" w:sz="4" w:space="0" w:color="auto"/>
              <w:right w:val="single" w:sz="4" w:space="0" w:color="auto"/>
            </w:tcBorders>
            <w:shd w:val="clear" w:color="auto" w:fill="EEECE1" w:themeFill="background2"/>
            <w:noWrap/>
            <w:vAlign w:val="bottom"/>
            <w:hideMark/>
          </w:tcPr>
          <w:p w14:paraId="69FD74CA" w14:textId="54ED4D3D" w:rsidR="005D61D1" w:rsidRPr="0053555E" w:rsidRDefault="005D61D1" w:rsidP="005D61D1">
            <w:pPr>
              <w:jc w:val="center"/>
              <w:rPr>
                <w:rFonts w:asciiTheme="majorHAnsi" w:hAnsiTheme="majorHAnsi" w:cstheme="majorHAnsi"/>
                <w:b/>
                <w:bCs/>
                <w:sz w:val="22"/>
                <w:szCs w:val="22"/>
              </w:rPr>
            </w:pPr>
            <w:r w:rsidRPr="0053555E">
              <w:rPr>
                <w:rFonts w:cs="Calibri"/>
                <w:b/>
                <w:bCs/>
                <w:sz w:val="22"/>
                <w:szCs w:val="22"/>
              </w:rPr>
              <w:t>1 750</w:t>
            </w:r>
          </w:p>
        </w:tc>
        <w:tc>
          <w:tcPr>
            <w:tcW w:w="851" w:type="dxa"/>
            <w:tcBorders>
              <w:top w:val="nil"/>
              <w:left w:val="nil"/>
              <w:bottom w:val="single" w:sz="4" w:space="0" w:color="auto"/>
              <w:right w:val="single" w:sz="4" w:space="0" w:color="auto"/>
            </w:tcBorders>
            <w:shd w:val="clear" w:color="auto" w:fill="EEECE1" w:themeFill="background2"/>
            <w:noWrap/>
            <w:vAlign w:val="bottom"/>
            <w:hideMark/>
          </w:tcPr>
          <w:p w14:paraId="3B765A9A" w14:textId="08E2CCEF" w:rsidR="005D61D1" w:rsidRPr="0053555E" w:rsidRDefault="005D61D1" w:rsidP="005D61D1">
            <w:pPr>
              <w:jc w:val="center"/>
              <w:rPr>
                <w:rFonts w:asciiTheme="majorHAnsi" w:hAnsiTheme="majorHAnsi" w:cstheme="majorHAnsi"/>
                <w:b/>
                <w:bCs/>
                <w:sz w:val="22"/>
                <w:szCs w:val="22"/>
              </w:rPr>
            </w:pPr>
            <w:r w:rsidRPr="0053555E">
              <w:rPr>
                <w:rFonts w:cs="Calibri"/>
                <w:b/>
                <w:bCs/>
                <w:sz w:val="22"/>
                <w:szCs w:val="22"/>
              </w:rPr>
              <w:t>0,70</w:t>
            </w:r>
          </w:p>
        </w:tc>
        <w:tc>
          <w:tcPr>
            <w:tcW w:w="921" w:type="dxa"/>
            <w:tcBorders>
              <w:top w:val="nil"/>
              <w:left w:val="nil"/>
              <w:bottom w:val="single" w:sz="4" w:space="0" w:color="auto"/>
              <w:right w:val="single" w:sz="4" w:space="0" w:color="auto"/>
            </w:tcBorders>
            <w:shd w:val="clear" w:color="auto" w:fill="EEECE1" w:themeFill="background2"/>
            <w:noWrap/>
            <w:vAlign w:val="bottom"/>
            <w:hideMark/>
          </w:tcPr>
          <w:p w14:paraId="467E8B07" w14:textId="4F296E32" w:rsidR="005D61D1" w:rsidRPr="0053555E" w:rsidRDefault="005D61D1" w:rsidP="005D61D1">
            <w:pPr>
              <w:jc w:val="center"/>
              <w:rPr>
                <w:rFonts w:asciiTheme="majorHAnsi" w:hAnsiTheme="majorHAnsi" w:cstheme="majorHAnsi"/>
                <w:b/>
                <w:bCs/>
                <w:sz w:val="22"/>
                <w:szCs w:val="22"/>
              </w:rPr>
            </w:pPr>
            <w:r w:rsidRPr="0053555E">
              <w:rPr>
                <w:rFonts w:cs="Calibri"/>
                <w:b/>
                <w:bCs/>
                <w:sz w:val="22"/>
                <w:szCs w:val="22"/>
              </w:rPr>
              <w:t>1 510</w:t>
            </w:r>
          </w:p>
        </w:tc>
        <w:tc>
          <w:tcPr>
            <w:tcW w:w="921" w:type="dxa"/>
            <w:tcBorders>
              <w:top w:val="nil"/>
              <w:left w:val="nil"/>
              <w:bottom w:val="single" w:sz="4" w:space="0" w:color="auto"/>
              <w:right w:val="single" w:sz="4" w:space="0" w:color="auto"/>
            </w:tcBorders>
            <w:shd w:val="clear" w:color="auto" w:fill="EEECE1" w:themeFill="background2"/>
            <w:noWrap/>
            <w:vAlign w:val="bottom"/>
            <w:hideMark/>
          </w:tcPr>
          <w:p w14:paraId="7FA87783" w14:textId="4535D9EF" w:rsidR="005D61D1" w:rsidRPr="0053555E" w:rsidRDefault="005D61D1" w:rsidP="005D61D1">
            <w:pPr>
              <w:jc w:val="center"/>
              <w:rPr>
                <w:rFonts w:asciiTheme="majorHAnsi" w:hAnsiTheme="majorHAnsi" w:cstheme="majorHAnsi"/>
                <w:b/>
                <w:bCs/>
                <w:sz w:val="22"/>
                <w:szCs w:val="22"/>
              </w:rPr>
            </w:pPr>
            <w:r w:rsidRPr="0053555E">
              <w:rPr>
                <w:rFonts w:cs="Calibri"/>
                <w:b/>
                <w:bCs/>
                <w:sz w:val="22"/>
                <w:szCs w:val="22"/>
              </w:rPr>
              <w:t>126</w:t>
            </w: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7CFDD2F9" w14:textId="33CEB6F7" w:rsidR="005D61D1" w:rsidRPr="0053555E" w:rsidRDefault="005D61D1" w:rsidP="005D61D1">
            <w:pPr>
              <w:jc w:val="center"/>
              <w:rPr>
                <w:rFonts w:asciiTheme="majorHAnsi" w:hAnsiTheme="majorHAnsi" w:cstheme="majorHAnsi"/>
                <w:b/>
                <w:bCs/>
                <w:sz w:val="22"/>
                <w:szCs w:val="22"/>
              </w:rPr>
            </w:pPr>
            <w:r w:rsidRPr="0053555E">
              <w:rPr>
                <w:rFonts w:cs="Calibri"/>
                <w:b/>
                <w:bCs/>
                <w:sz w:val="22"/>
                <w:szCs w:val="22"/>
              </w:rPr>
              <w:t>0,86</w:t>
            </w:r>
          </w:p>
        </w:tc>
        <w:tc>
          <w:tcPr>
            <w:tcW w:w="851" w:type="dxa"/>
            <w:tcBorders>
              <w:top w:val="nil"/>
              <w:left w:val="nil"/>
              <w:bottom w:val="single" w:sz="4" w:space="0" w:color="auto"/>
              <w:right w:val="single" w:sz="4" w:space="0" w:color="auto"/>
            </w:tcBorders>
            <w:shd w:val="clear" w:color="auto" w:fill="EEECE1" w:themeFill="background2"/>
            <w:noWrap/>
            <w:vAlign w:val="bottom"/>
            <w:hideMark/>
          </w:tcPr>
          <w:p w14:paraId="30939A5C" w14:textId="772BDC89" w:rsidR="005D61D1" w:rsidRPr="0053555E" w:rsidRDefault="005D61D1" w:rsidP="005D61D1">
            <w:pPr>
              <w:jc w:val="center"/>
              <w:rPr>
                <w:rFonts w:asciiTheme="majorHAnsi" w:hAnsiTheme="majorHAnsi" w:cstheme="majorHAnsi"/>
                <w:b/>
                <w:bCs/>
                <w:sz w:val="22"/>
                <w:szCs w:val="22"/>
              </w:rPr>
            </w:pPr>
            <w:r w:rsidRPr="0053555E">
              <w:rPr>
                <w:rFonts w:cs="Calibri"/>
                <w:b/>
                <w:bCs/>
                <w:sz w:val="22"/>
                <w:szCs w:val="22"/>
              </w:rPr>
              <w:t>0,60</w:t>
            </w:r>
          </w:p>
        </w:tc>
      </w:tr>
    </w:tbl>
    <w:p w14:paraId="6AE7F8DF" w14:textId="77777777" w:rsidR="000E0774" w:rsidRPr="0053555E" w:rsidRDefault="002071AC" w:rsidP="00324438">
      <w:pPr>
        <w:tabs>
          <w:tab w:val="left" w:pos="9356"/>
        </w:tabs>
        <w:jc w:val="both"/>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 xml:space="preserve">Vysvetlivky: </w:t>
      </w:r>
    </w:p>
    <w:p w14:paraId="604371FB" w14:textId="77777777" w:rsidR="002071AC" w:rsidRPr="0053555E" w:rsidRDefault="002071AC" w:rsidP="00550136">
      <w:pPr>
        <w:tabs>
          <w:tab w:val="left" w:pos="9356"/>
        </w:tabs>
        <w:spacing w:after="120"/>
        <w:jc w:val="both"/>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Pp - plánované počty; Ph -prihlásení uchádzači; Pr - prijatí uchádzači; Z – zapísaní</w:t>
      </w:r>
    </w:p>
    <w:p w14:paraId="65675578" w14:textId="77777777" w:rsidR="001E378F" w:rsidRDefault="001E378F" w:rsidP="000E3322">
      <w:pPr>
        <w:pStyle w:val="Popis"/>
      </w:pPr>
      <w:bookmarkStart w:id="109" w:name="_Ref474779963"/>
      <w:bookmarkStart w:id="110" w:name="_Toc127593341"/>
    </w:p>
    <w:p w14:paraId="287EEB14" w14:textId="3996B33F" w:rsidR="00FC47CA" w:rsidRPr="0053555E" w:rsidRDefault="001A1CAA" w:rsidP="000E3322">
      <w:pPr>
        <w:pStyle w:val="Popis"/>
      </w:pPr>
      <w:r w:rsidRPr="0053555E">
        <w:t xml:space="preserve">Graf č. </w:t>
      </w:r>
      <w:r w:rsidR="007B5953">
        <w:fldChar w:fldCharType="begin"/>
      </w:r>
      <w:r w:rsidR="007B5953">
        <w:instrText xml:space="preserve"> SEQ Graf_č. \* ARABIC </w:instrText>
      </w:r>
      <w:r w:rsidR="007B5953">
        <w:fldChar w:fldCharType="separate"/>
      </w:r>
      <w:r w:rsidR="00EE1B59">
        <w:rPr>
          <w:noProof/>
        </w:rPr>
        <w:t>13</w:t>
      </w:r>
      <w:r w:rsidR="007B5953">
        <w:rPr>
          <w:noProof/>
        </w:rPr>
        <w:fldChar w:fldCharType="end"/>
      </w:r>
      <w:bookmarkEnd w:id="109"/>
      <w:r w:rsidR="00C14213" w:rsidRPr="0053555E">
        <w:t xml:space="preserve">: </w:t>
      </w:r>
      <w:r w:rsidR="00F872BE" w:rsidRPr="0053555E">
        <w:t xml:space="preserve">Celkový počet prijatých uchádzačov a pomer zapísaných a prijatých uchádzačov </w:t>
      </w:r>
      <w:r w:rsidR="00A01F6C" w:rsidRPr="0053555E">
        <w:t>druhého</w:t>
      </w:r>
      <w:r w:rsidR="00C14213" w:rsidRPr="0053555E">
        <w:t xml:space="preserve"> stupňa štúdia na STU za </w:t>
      </w:r>
      <w:r w:rsidR="00F3440E" w:rsidRPr="0053555E">
        <w:t>ostat</w:t>
      </w:r>
      <w:r w:rsidR="00C14213" w:rsidRPr="0053555E">
        <w:t xml:space="preserve">ných </w:t>
      </w:r>
      <w:r w:rsidR="00096132" w:rsidRPr="0053555E">
        <w:t>sedem</w:t>
      </w:r>
      <w:r w:rsidR="00C14213" w:rsidRPr="0053555E">
        <w:t xml:space="preserve"> rokov</w:t>
      </w:r>
      <w:bookmarkEnd w:id="110"/>
    </w:p>
    <w:p w14:paraId="06730516" w14:textId="05CC2300" w:rsidR="00872974" w:rsidRDefault="00287C34" w:rsidP="00872974">
      <w:pPr>
        <w:jc w:val="center"/>
      </w:pPr>
      <w:r w:rsidRPr="0053555E">
        <w:rPr>
          <w:noProof/>
          <w:lang w:eastAsia="sk-SK"/>
        </w:rPr>
        <w:drawing>
          <wp:inline distT="0" distB="0" distL="0" distR="0" wp14:anchorId="5FADBC55" wp14:editId="60A33950">
            <wp:extent cx="4546121" cy="2518913"/>
            <wp:effectExtent l="0" t="0" r="6985" b="0"/>
            <wp:docPr id="17" name="Graf 17">
              <a:extLst xmlns:a="http://schemas.openxmlformats.org/drawingml/2006/main">
                <a:ext uri="{FF2B5EF4-FFF2-40B4-BE49-F238E27FC236}">
                  <a16:creationId xmlns:a16="http://schemas.microsoft.com/office/drawing/2014/main" id="{00000000-0008-0000-2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872974">
        <w:br w:type="page"/>
      </w:r>
    </w:p>
    <w:p w14:paraId="581F46F8" w14:textId="3A9E5723" w:rsidR="00550136" w:rsidRPr="0053555E" w:rsidRDefault="00550136" w:rsidP="00550136">
      <w:pPr>
        <w:tabs>
          <w:tab w:val="left" w:pos="9356"/>
        </w:tabs>
        <w:spacing w:before="120" w:after="120"/>
        <w:jc w:val="both"/>
        <w:rPr>
          <w:rFonts w:asciiTheme="majorHAnsi" w:hAnsiTheme="majorHAnsi" w:cstheme="majorHAnsi"/>
          <w:shd w:val="clear" w:color="auto" w:fill="FFFFFF"/>
        </w:rPr>
      </w:pPr>
      <w:r w:rsidRPr="0053555E">
        <w:rPr>
          <w:rFonts w:asciiTheme="majorHAnsi" w:hAnsiTheme="majorHAnsi" w:cstheme="majorHAnsi"/>
        </w:rPr>
        <w:lastRenderedPageBreak/>
        <w:t xml:space="preserve">Počet uchádzačov o štúdium na druhom stupni v rámci celej STU oproti predchádzajúcemu akademickému roku </w:t>
      </w:r>
      <w:r w:rsidR="00872974" w:rsidRPr="008C7F3C">
        <w:rPr>
          <w:rFonts w:asciiTheme="majorHAnsi" w:hAnsiTheme="majorHAnsi" w:cstheme="majorHAnsi"/>
          <w:b/>
        </w:rPr>
        <w:t>mierne</w:t>
      </w:r>
      <w:r w:rsidR="00872974">
        <w:rPr>
          <w:rFonts w:asciiTheme="majorHAnsi" w:hAnsiTheme="majorHAnsi" w:cstheme="majorHAnsi"/>
        </w:rPr>
        <w:t xml:space="preserve"> </w:t>
      </w:r>
      <w:r w:rsidRPr="0053555E">
        <w:rPr>
          <w:rFonts w:asciiTheme="majorHAnsi" w:hAnsiTheme="majorHAnsi" w:cstheme="majorHAnsi"/>
          <w:b/>
          <w:shd w:val="clear" w:color="auto" w:fill="FFFFFF"/>
        </w:rPr>
        <w:t>vzrástol o </w:t>
      </w:r>
      <w:r>
        <w:rPr>
          <w:rFonts w:asciiTheme="majorHAnsi" w:hAnsiTheme="majorHAnsi" w:cstheme="majorHAnsi"/>
          <w:b/>
          <w:shd w:val="clear" w:color="auto" w:fill="FFFFFF"/>
        </w:rPr>
        <w:t>3</w:t>
      </w:r>
      <w:r w:rsidRPr="0053555E">
        <w:rPr>
          <w:rFonts w:asciiTheme="majorHAnsi" w:hAnsiTheme="majorHAnsi" w:cstheme="majorHAnsi"/>
          <w:b/>
          <w:shd w:val="clear" w:color="auto" w:fill="FFFFFF"/>
        </w:rPr>
        <w:t> %</w:t>
      </w:r>
      <w:r w:rsidRPr="0053555E">
        <w:rPr>
          <w:rFonts w:asciiTheme="majorHAnsi" w:hAnsiTheme="majorHAnsi" w:cstheme="majorHAnsi"/>
          <w:shd w:val="clear" w:color="auto" w:fill="FFFFFF"/>
        </w:rPr>
        <w:t xml:space="preserve">. </w:t>
      </w:r>
      <w:r w:rsidR="001E378F">
        <w:rPr>
          <w:rFonts w:asciiTheme="majorHAnsi" w:hAnsiTheme="majorHAnsi" w:cstheme="majorHAnsi"/>
          <w:shd w:val="clear" w:color="auto" w:fill="FFFFFF"/>
        </w:rPr>
        <w:t>Ovplyvnila ho</w:t>
      </w:r>
      <w:r w:rsidRPr="0053555E">
        <w:rPr>
          <w:rFonts w:asciiTheme="majorHAnsi" w:hAnsiTheme="majorHAnsi" w:cstheme="majorHAnsi"/>
          <w:shd w:val="clear" w:color="auto" w:fill="FFFFFF"/>
        </w:rPr>
        <w:t xml:space="preserve"> aj skutočnosť, že pomerne vysoké percento študentov STU (</w:t>
      </w:r>
      <w:r w:rsidRPr="0053555E">
        <w:rPr>
          <w:rFonts w:asciiTheme="majorHAnsi" w:hAnsiTheme="majorHAnsi" w:cstheme="majorHAnsi"/>
          <w:b/>
          <w:shd w:val="clear" w:color="auto" w:fill="FFFFFF"/>
        </w:rPr>
        <w:t>3</w:t>
      </w:r>
      <w:r>
        <w:rPr>
          <w:rFonts w:asciiTheme="majorHAnsi" w:hAnsiTheme="majorHAnsi" w:cstheme="majorHAnsi"/>
          <w:b/>
          <w:shd w:val="clear" w:color="auto" w:fill="FFFFFF"/>
        </w:rPr>
        <w:t>3,4</w:t>
      </w:r>
      <w:r w:rsidRPr="0053555E">
        <w:rPr>
          <w:rFonts w:asciiTheme="majorHAnsi" w:hAnsiTheme="majorHAnsi" w:cstheme="majorHAnsi"/>
          <w:b/>
          <w:shd w:val="clear" w:color="auto" w:fill="FFFFFF"/>
        </w:rPr>
        <w:t xml:space="preserve"> %</w:t>
      </w:r>
      <w:r w:rsidRPr="0053555E">
        <w:rPr>
          <w:rFonts w:asciiTheme="majorHAnsi" w:hAnsiTheme="majorHAnsi" w:cstheme="majorHAnsi"/>
          <w:shd w:val="clear" w:color="auto" w:fill="FFFFFF"/>
        </w:rPr>
        <w:t xml:space="preserve">) v poslednom roku štúdia na prvom stupni, ktorí sú potenciálnymi domácimi uchádzačmi o druhý stupeň štúdia, </w:t>
      </w:r>
      <w:r w:rsidRPr="0053555E">
        <w:rPr>
          <w:rFonts w:asciiTheme="majorHAnsi" w:hAnsiTheme="majorHAnsi" w:cstheme="majorHAnsi"/>
          <w:b/>
          <w:shd w:val="clear" w:color="auto" w:fill="FFFFFF"/>
        </w:rPr>
        <w:t>„zostáva“</w:t>
      </w:r>
      <w:r w:rsidRPr="0053555E">
        <w:rPr>
          <w:rFonts w:asciiTheme="majorHAnsi" w:hAnsiTheme="majorHAnsi" w:cstheme="majorHAnsi"/>
          <w:shd w:val="clear" w:color="auto" w:fill="FFFFFF"/>
        </w:rPr>
        <w:t xml:space="preserve"> v štúdiu a štúdium neskončia v štandardnej dĺžke štúdia, resp. štúdium skončia neúspešne </w:t>
      </w:r>
      <w:r w:rsidRPr="00AB4E85">
        <w:rPr>
          <w:rFonts w:asciiTheme="majorHAnsi" w:hAnsiTheme="majorHAnsi" w:cstheme="majorHAnsi"/>
          <w:shd w:val="clear" w:color="auto" w:fill="FFFFFF"/>
        </w:rPr>
        <w:t>(</w:t>
      </w:r>
      <w:r w:rsidRPr="00AB4E85">
        <w:rPr>
          <w:rFonts w:asciiTheme="majorHAnsi" w:hAnsiTheme="majorHAnsi" w:cstheme="majorHAnsi"/>
          <w:shd w:val="clear" w:color="auto" w:fill="FFFFFF"/>
        </w:rPr>
        <w:fldChar w:fldCharType="begin"/>
      </w:r>
      <w:r w:rsidRPr="00AB4E85">
        <w:rPr>
          <w:rFonts w:asciiTheme="majorHAnsi" w:hAnsiTheme="majorHAnsi" w:cstheme="majorHAnsi"/>
          <w:shd w:val="clear" w:color="auto" w:fill="FFFFFF"/>
        </w:rPr>
        <w:instrText xml:space="preserve"> REF _Ref31712799 \h  \* MERGEFORMAT </w:instrText>
      </w:r>
      <w:r w:rsidRPr="00AB4E85">
        <w:rPr>
          <w:rFonts w:asciiTheme="majorHAnsi" w:hAnsiTheme="majorHAnsi" w:cstheme="majorHAnsi"/>
          <w:shd w:val="clear" w:color="auto" w:fill="FFFFFF"/>
        </w:rPr>
      </w:r>
      <w:r w:rsidRPr="00AB4E85">
        <w:rPr>
          <w:rFonts w:asciiTheme="majorHAnsi" w:hAnsiTheme="majorHAnsi" w:cstheme="majorHAnsi"/>
          <w:shd w:val="clear" w:color="auto" w:fill="FFFFFF"/>
        </w:rPr>
        <w:fldChar w:fldCharType="separate"/>
      </w:r>
      <w:r w:rsidR="00EE1B59" w:rsidRPr="00AB4E85">
        <w:rPr>
          <w:rFonts w:asciiTheme="majorHAnsi" w:hAnsiTheme="majorHAnsi" w:cstheme="majorHAnsi"/>
        </w:rPr>
        <w:t>Tab. č. 25</w:t>
      </w:r>
      <w:r w:rsidRPr="00AB4E85">
        <w:rPr>
          <w:rFonts w:asciiTheme="majorHAnsi" w:hAnsiTheme="majorHAnsi" w:cstheme="majorHAnsi"/>
          <w:shd w:val="clear" w:color="auto" w:fill="FFFFFF"/>
        </w:rPr>
        <w:fldChar w:fldCharType="end"/>
      </w:r>
      <w:r w:rsidRPr="0053555E">
        <w:rPr>
          <w:rFonts w:asciiTheme="majorHAnsi" w:hAnsiTheme="majorHAnsi" w:cstheme="majorHAnsi"/>
          <w:shd w:val="clear" w:color="auto" w:fill="FFFFFF"/>
        </w:rPr>
        <w:t xml:space="preserve">). </w:t>
      </w:r>
    </w:p>
    <w:p w14:paraId="260583A0" w14:textId="77777777" w:rsidR="0070158B" w:rsidRPr="0053555E" w:rsidRDefault="0070158B" w:rsidP="007E2A72">
      <w:pPr>
        <w:jc w:val="center"/>
      </w:pPr>
    </w:p>
    <w:p w14:paraId="205C2800" w14:textId="51239FA8" w:rsidR="002071AC" w:rsidRPr="0053555E" w:rsidRDefault="0044060F" w:rsidP="000E3322">
      <w:pPr>
        <w:pStyle w:val="Popis"/>
      </w:pPr>
      <w:bookmarkStart w:id="111" w:name="_Ref31712799"/>
      <w:bookmarkStart w:id="112" w:name="_Toc127593288"/>
      <w:r w:rsidRPr="0053555E">
        <w:t xml:space="preserve">Tab. č. </w:t>
      </w:r>
      <w:r w:rsidR="007B5953">
        <w:fldChar w:fldCharType="begin"/>
      </w:r>
      <w:r w:rsidR="007B5953">
        <w:instrText xml:space="preserve"> SEQ Tab._č. \* ARABIC </w:instrText>
      </w:r>
      <w:r w:rsidR="007B5953">
        <w:fldChar w:fldCharType="separate"/>
      </w:r>
      <w:r w:rsidR="00EE1B59">
        <w:rPr>
          <w:noProof/>
        </w:rPr>
        <w:t>25</w:t>
      </w:r>
      <w:r w:rsidR="007B5953">
        <w:rPr>
          <w:noProof/>
        </w:rPr>
        <w:fldChar w:fldCharType="end"/>
      </w:r>
      <w:bookmarkEnd w:id="111"/>
      <w:r w:rsidRPr="0053555E">
        <w:t>:</w:t>
      </w:r>
      <w:r w:rsidR="002071AC" w:rsidRPr="0053555E">
        <w:t xml:space="preserve"> </w:t>
      </w:r>
      <w:r w:rsidR="008D4666" w:rsidRPr="0053555E">
        <w:t>Prehľad počtu študentov v poslednom roku prvého stupňa štúdia a ich ď</w:t>
      </w:r>
      <w:r w:rsidR="00CF195E" w:rsidRPr="0053555E">
        <w:t>alšie pokračovanie v štúdium na </w:t>
      </w:r>
      <w:r w:rsidR="008D4666" w:rsidRPr="0053555E">
        <w:t>druhom stupni v rámci STU</w:t>
      </w:r>
      <w:bookmarkEnd w:id="112"/>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6"/>
        <w:gridCol w:w="1299"/>
        <w:gridCol w:w="1299"/>
        <w:gridCol w:w="1300"/>
        <w:gridCol w:w="1299"/>
        <w:gridCol w:w="1299"/>
        <w:gridCol w:w="1300"/>
      </w:tblGrid>
      <w:tr w:rsidR="005706C4" w:rsidRPr="0053555E" w14:paraId="0CC508B2" w14:textId="77777777" w:rsidTr="002F1CF4">
        <w:trPr>
          <w:trHeight w:val="870"/>
        </w:trPr>
        <w:tc>
          <w:tcPr>
            <w:tcW w:w="1216" w:type="dxa"/>
            <w:shd w:val="clear" w:color="auto" w:fill="auto"/>
            <w:vAlign w:val="center"/>
            <w:hideMark/>
          </w:tcPr>
          <w:p w14:paraId="0A774DC3" w14:textId="77777777" w:rsidR="009B4E4E" w:rsidRPr="0053555E" w:rsidRDefault="009B4E4E" w:rsidP="002F1CF4">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Akad</w:t>
            </w:r>
            <w:r w:rsidR="002F1CF4" w:rsidRPr="0053555E">
              <w:rPr>
                <w:rFonts w:asciiTheme="majorHAnsi" w:eastAsia="Times New Roman" w:hAnsiTheme="majorHAnsi" w:cstheme="majorHAnsi"/>
                <w:sz w:val="20"/>
                <w:szCs w:val="20"/>
                <w:lang w:eastAsia="sk-SK"/>
              </w:rPr>
              <w:t>emický</w:t>
            </w:r>
            <w:r w:rsidRPr="0053555E">
              <w:rPr>
                <w:rFonts w:asciiTheme="majorHAnsi" w:eastAsia="Times New Roman" w:hAnsiTheme="majorHAnsi" w:cstheme="majorHAnsi"/>
                <w:sz w:val="20"/>
                <w:szCs w:val="20"/>
                <w:lang w:eastAsia="sk-SK"/>
              </w:rPr>
              <w:t xml:space="preserve"> rok</w:t>
            </w:r>
          </w:p>
        </w:tc>
        <w:tc>
          <w:tcPr>
            <w:tcW w:w="1299" w:type="dxa"/>
            <w:shd w:val="clear" w:color="auto" w:fill="auto"/>
            <w:vAlign w:val="center"/>
            <w:hideMark/>
          </w:tcPr>
          <w:p w14:paraId="1DEEE970" w14:textId="77777777" w:rsidR="009B4E4E" w:rsidRPr="0053555E" w:rsidRDefault="009B4E4E"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Počet zapísaných študentov</w:t>
            </w:r>
          </w:p>
          <w:p w14:paraId="717E3EFB" w14:textId="77777777" w:rsidR="009B4E4E" w:rsidRPr="0053555E" w:rsidRDefault="009B4E4E"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 xml:space="preserve">v posled. roku </w:t>
            </w:r>
            <w:r w:rsidR="007D6F2D" w:rsidRPr="0053555E">
              <w:rPr>
                <w:rFonts w:asciiTheme="majorHAnsi" w:eastAsia="Times New Roman" w:hAnsiTheme="majorHAnsi" w:cstheme="majorHAnsi"/>
                <w:sz w:val="20"/>
                <w:szCs w:val="20"/>
                <w:lang w:eastAsia="sk-SK"/>
              </w:rPr>
              <w:t xml:space="preserve">I. stupňa </w:t>
            </w:r>
            <w:r w:rsidRPr="0053555E">
              <w:rPr>
                <w:rFonts w:asciiTheme="majorHAnsi" w:eastAsia="Times New Roman" w:hAnsiTheme="majorHAnsi" w:cstheme="majorHAnsi"/>
                <w:sz w:val="20"/>
                <w:szCs w:val="20"/>
                <w:lang w:eastAsia="sk-SK"/>
              </w:rPr>
              <w:t>štúdia</w:t>
            </w:r>
          </w:p>
          <w:p w14:paraId="13432676" w14:textId="77777777" w:rsidR="009B4E4E" w:rsidRPr="0053555E" w:rsidRDefault="009B4E4E"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k 31. 10.</w:t>
            </w:r>
          </w:p>
        </w:tc>
        <w:tc>
          <w:tcPr>
            <w:tcW w:w="1299" w:type="dxa"/>
            <w:shd w:val="clear" w:color="auto" w:fill="auto"/>
            <w:vAlign w:val="center"/>
            <w:hideMark/>
          </w:tcPr>
          <w:p w14:paraId="12273956" w14:textId="77777777" w:rsidR="009B4E4E" w:rsidRPr="0053555E" w:rsidRDefault="009B4E4E"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Počet študentov, ktorí neskončili štúdium alebo skončili neúspešne</w:t>
            </w:r>
          </w:p>
        </w:tc>
        <w:tc>
          <w:tcPr>
            <w:tcW w:w="1300" w:type="dxa"/>
            <w:shd w:val="clear" w:color="auto" w:fill="EEECE1" w:themeFill="background2"/>
            <w:vAlign w:val="center"/>
          </w:tcPr>
          <w:p w14:paraId="05CF6220" w14:textId="77777777" w:rsidR="009B4E4E" w:rsidRPr="0053555E" w:rsidRDefault="009B4E4E"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 študentov, ktorí neskončili štúdium alebo skončili neúspešne</w:t>
            </w:r>
          </w:p>
        </w:tc>
        <w:tc>
          <w:tcPr>
            <w:tcW w:w="1299" w:type="dxa"/>
            <w:shd w:val="clear" w:color="auto" w:fill="auto"/>
            <w:vAlign w:val="center"/>
          </w:tcPr>
          <w:p w14:paraId="7FF41CD8" w14:textId="77777777" w:rsidR="00CA3CE5" w:rsidRPr="0053555E" w:rsidRDefault="009B4E4E" w:rsidP="00324438">
            <w:pPr>
              <w:jc w:val="center"/>
              <w:rPr>
                <w:rFonts w:asciiTheme="majorHAnsi" w:hAnsiTheme="majorHAnsi" w:cstheme="majorHAnsi"/>
                <w:sz w:val="20"/>
                <w:szCs w:val="20"/>
              </w:rPr>
            </w:pPr>
            <w:r w:rsidRPr="0053555E">
              <w:rPr>
                <w:rFonts w:asciiTheme="majorHAnsi" w:hAnsiTheme="majorHAnsi" w:cstheme="majorHAnsi"/>
                <w:sz w:val="20"/>
                <w:szCs w:val="20"/>
              </w:rPr>
              <w:t>Počet absolventov</w:t>
            </w:r>
          </w:p>
          <w:p w14:paraId="530385A6" w14:textId="77777777" w:rsidR="004F493E" w:rsidRPr="0053555E" w:rsidRDefault="00CA3CE5" w:rsidP="00324438">
            <w:pPr>
              <w:jc w:val="center"/>
              <w:rPr>
                <w:rFonts w:asciiTheme="majorHAnsi" w:hAnsiTheme="majorHAnsi" w:cstheme="majorHAnsi"/>
                <w:sz w:val="20"/>
                <w:szCs w:val="20"/>
              </w:rPr>
            </w:pPr>
            <w:r w:rsidRPr="0053555E">
              <w:rPr>
                <w:rFonts w:asciiTheme="majorHAnsi" w:hAnsiTheme="majorHAnsi" w:cstheme="majorHAnsi"/>
                <w:sz w:val="20"/>
                <w:szCs w:val="20"/>
              </w:rPr>
              <w:t>I. stupňa štúdia</w:t>
            </w:r>
          </w:p>
          <w:p w14:paraId="492B22D2" w14:textId="77777777" w:rsidR="009B4E4E" w:rsidRPr="0053555E" w:rsidRDefault="009B4E4E" w:rsidP="00324438">
            <w:pPr>
              <w:jc w:val="center"/>
              <w:rPr>
                <w:rFonts w:asciiTheme="majorHAnsi" w:eastAsia="Times New Roman" w:hAnsiTheme="majorHAnsi" w:cstheme="majorHAnsi"/>
                <w:sz w:val="20"/>
                <w:szCs w:val="20"/>
                <w:lang w:eastAsia="sk-SK"/>
              </w:rPr>
            </w:pPr>
            <w:r w:rsidRPr="0053555E">
              <w:rPr>
                <w:rFonts w:asciiTheme="majorHAnsi" w:hAnsiTheme="majorHAnsi" w:cstheme="majorHAnsi"/>
                <w:sz w:val="20"/>
                <w:szCs w:val="20"/>
              </w:rPr>
              <w:t>k 31. 8.</w:t>
            </w:r>
          </w:p>
        </w:tc>
        <w:tc>
          <w:tcPr>
            <w:tcW w:w="1299" w:type="dxa"/>
            <w:shd w:val="clear" w:color="auto" w:fill="EEECE1" w:themeFill="background2"/>
            <w:vAlign w:val="center"/>
          </w:tcPr>
          <w:p w14:paraId="16E3B340" w14:textId="77777777" w:rsidR="004F493E" w:rsidRPr="0053555E" w:rsidRDefault="009B4E4E" w:rsidP="00324438">
            <w:pPr>
              <w:jc w:val="center"/>
              <w:rPr>
                <w:rFonts w:asciiTheme="majorHAnsi" w:hAnsiTheme="majorHAnsi" w:cstheme="majorHAnsi"/>
                <w:bCs/>
                <w:sz w:val="20"/>
                <w:szCs w:val="20"/>
              </w:rPr>
            </w:pPr>
            <w:r w:rsidRPr="0053555E">
              <w:rPr>
                <w:rFonts w:asciiTheme="majorHAnsi" w:hAnsiTheme="majorHAnsi" w:cstheme="majorHAnsi"/>
                <w:bCs/>
                <w:sz w:val="20"/>
                <w:szCs w:val="20"/>
              </w:rPr>
              <w:t>Počet absolventov zapísaných</w:t>
            </w:r>
          </w:p>
          <w:p w14:paraId="38605360" w14:textId="77777777" w:rsidR="009B4E4E" w:rsidRPr="0053555E" w:rsidRDefault="009B4E4E" w:rsidP="00324438">
            <w:pPr>
              <w:jc w:val="center"/>
              <w:rPr>
                <w:rFonts w:asciiTheme="majorHAnsi" w:hAnsiTheme="majorHAnsi" w:cstheme="majorHAnsi"/>
                <w:bCs/>
                <w:sz w:val="20"/>
                <w:szCs w:val="20"/>
              </w:rPr>
            </w:pPr>
            <w:r w:rsidRPr="0053555E">
              <w:rPr>
                <w:rFonts w:asciiTheme="majorHAnsi" w:hAnsiTheme="majorHAnsi" w:cstheme="majorHAnsi"/>
                <w:bCs/>
                <w:sz w:val="20"/>
                <w:szCs w:val="20"/>
              </w:rPr>
              <w:t xml:space="preserve">na </w:t>
            </w:r>
            <w:r w:rsidR="004F55CB" w:rsidRPr="0053555E">
              <w:rPr>
                <w:rFonts w:asciiTheme="majorHAnsi" w:hAnsiTheme="majorHAnsi" w:cstheme="majorHAnsi"/>
                <w:bCs/>
                <w:sz w:val="20"/>
                <w:szCs w:val="20"/>
              </w:rPr>
              <w:t xml:space="preserve">II. </w:t>
            </w:r>
            <w:r w:rsidRPr="0053555E">
              <w:rPr>
                <w:rFonts w:asciiTheme="majorHAnsi" w:hAnsiTheme="majorHAnsi" w:cstheme="majorHAnsi"/>
                <w:bCs/>
                <w:sz w:val="20"/>
                <w:szCs w:val="20"/>
              </w:rPr>
              <w:t>stupeň štúdia na STU (</w:t>
            </w:r>
            <w:r w:rsidR="004F55CB" w:rsidRPr="0053555E">
              <w:rPr>
                <w:rFonts w:asciiTheme="majorHAnsi" w:hAnsiTheme="majorHAnsi" w:cstheme="majorHAnsi"/>
                <w:bCs/>
                <w:sz w:val="20"/>
                <w:szCs w:val="20"/>
              </w:rPr>
              <w:t>pokračujúci</w:t>
            </w:r>
            <w:r w:rsidRPr="0053555E">
              <w:rPr>
                <w:rFonts w:asciiTheme="majorHAnsi" w:hAnsiTheme="majorHAnsi" w:cstheme="majorHAnsi"/>
                <w:bCs/>
                <w:sz w:val="20"/>
                <w:szCs w:val="20"/>
              </w:rPr>
              <w:t>)</w:t>
            </w:r>
          </w:p>
        </w:tc>
        <w:tc>
          <w:tcPr>
            <w:tcW w:w="1300" w:type="dxa"/>
            <w:shd w:val="clear" w:color="auto" w:fill="EEECE1" w:themeFill="background2"/>
            <w:noWrap/>
            <w:vAlign w:val="center"/>
            <w:hideMark/>
          </w:tcPr>
          <w:p w14:paraId="626B5B65" w14:textId="77777777" w:rsidR="009B4E4E" w:rsidRPr="0053555E" w:rsidRDefault="009B4E4E" w:rsidP="00324438">
            <w:pPr>
              <w:jc w:val="center"/>
              <w:rPr>
                <w:rFonts w:asciiTheme="majorHAnsi" w:hAnsiTheme="majorHAnsi" w:cstheme="majorHAnsi"/>
                <w:bCs/>
                <w:sz w:val="20"/>
                <w:szCs w:val="20"/>
              </w:rPr>
            </w:pPr>
            <w:r w:rsidRPr="0053555E">
              <w:rPr>
                <w:rFonts w:asciiTheme="majorHAnsi" w:hAnsiTheme="majorHAnsi" w:cstheme="majorHAnsi"/>
                <w:bCs/>
                <w:sz w:val="20"/>
                <w:szCs w:val="20"/>
              </w:rPr>
              <w:t>% absolventov pokračujú</w:t>
            </w:r>
            <w:r w:rsidR="00026364" w:rsidRPr="0053555E">
              <w:rPr>
                <w:rFonts w:asciiTheme="majorHAnsi" w:hAnsiTheme="majorHAnsi" w:cstheme="majorHAnsi"/>
                <w:bCs/>
                <w:sz w:val="20"/>
                <w:szCs w:val="20"/>
              </w:rPr>
              <w:t>cich</w:t>
            </w:r>
          </w:p>
          <w:p w14:paraId="4B9E2382" w14:textId="77777777" w:rsidR="009B4E4E" w:rsidRPr="0053555E" w:rsidRDefault="009B4E4E" w:rsidP="00324438">
            <w:pPr>
              <w:jc w:val="center"/>
              <w:rPr>
                <w:rFonts w:asciiTheme="majorHAnsi" w:eastAsia="Times New Roman" w:hAnsiTheme="majorHAnsi" w:cstheme="majorHAnsi"/>
                <w:sz w:val="20"/>
                <w:szCs w:val="20"/>
                <w:lang w:eastAsia="sk-SK"/>
              </w:rPr>
            </w:pPr>
            <w:r w:rsidRPr="0053555E">
              <w:rPr>
                <w:rFonts w:asciiTheme="majorHAnsi" w:hAnsiTheme="majorHAnsi" w:cstheme="majorHAnsi"/>
                <w:bCs/>
                <w:sz w:val="20"/>
                <w:szCs w:val="20"/>
              </w:rPr>
              <w:t>v II. stupni štúdia na STU</w:t>
            </w:r>
            <w:r w:rsidR="004F55CB" w:rsidRPr="0053555E">
              <w:rPr>
                <w:rFonts w:asciiTheme="majorHAnsi" w:hAnsiTheme="majorHAnsi" w:cstheme="majorHAnsi"/>
                <w:bCs/>
                <w:sz w:val="20"/>
                <w:szCs w:val="20"/>
              </w:rPr>
              <w:t xml:space="preserve"> zo všetkých absolventov</w:t>
            </w:r>
          </w:p>
        </w:tc>
      </w:tr>
      <w:tr w:rsidR="0096171B" w:rsidRPr="0053555E" w14:paraId="30BA4E37" w14:textId="77777777" w:rsidTr="002F1CF4">
        <w:trPr>
          <w:trHeight w:val="255"/>
        </w:trPr>
        <w:tc>
          <w:tcPr>
            <w:tcW w:w="1216" w:type="dxa"/>
            <w:shd w:val="clear" w:color="auto" w:fill="auto"/>
            <w:noWrap/>
            <w:vAlign w:val="bottom"/>
            <w:hideMark/>
          </w:tcPr>
          <w:p w14:paraId="7DEB5FAA" w14:textId="0ECECF60" w:rsidR="0096171B" w:rsidRPr="0053555E" w:rsidRDefault="0096171B" w:rsidP="0096171B">
            <w:pPr>
              <w:jc w:val="center"/>
              <w:rPr>
                <w:rFonts w:asciiTheme="majorHAnsi" w:hAnsiTheme="majorHAnsi" w:cstheme="majorHAnsi"/>
                <w:sz w:val="22"/>
                <w:szCs w:val="20"/>
              </w:rPr>
            </w:pPr>
            <w:r w:rsidRPr="0053555E">
              <w:rPr>
                <w:rFonts w:cs="Calibri"/>
                <w:sz w:val="22"/>
                <w:szCs w:val="20"/>
              </w:rPr>
              <w:t>2010/2011</w:t>
            </w:r>
          </w:p>
        </w:tc>
        <w:tc>
          <w:tcPr>
            <w:tcW w:w="1299" w:type="dxa"/>
            <w:shd w:val="clear" w:color="auto" w:fill="auto"/>
            <w:noWrap/>
            <w:vAlign w:val="bottom"/>
            <w:hideMark/>
          </w:tcPr>
          <w:p w14:paraId="49C1F624" w14:textId="39FB6CC6"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2 981</w:t>
            </w:r>
          </w:p>
        </w:tc>
        <w:tc>
          <w:tcPr>
            <w:tcW w:w="1299" w:type="dxa"/>
            <w:shd w:val="clear" w:color="auto" w:fill="auto"/>
            <w:noWrap/>
            <w:vAlign w:val="bottom"/>
            <w:hideMark/>
          </w:tcPr>
          <w:p w14:paraId="310CA6CF" w14:textId="7FACF4B2"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792</w:t>
            </w:r>
          </w:p>
        </w:tc>
        <w:tc>
          <w:tcPr>
            <w:tcW w:w="1300" w:type="dxa"/>
            <w:shd w:val="clear" w:color="auto" w:fill="EEECE1" w:themeFill="background2"/>
            <w:vAlign w:val="bottom"/>
          </w:tcPr>
          <w:p w14:paraId="4D6823F9" w14:textId="7C48926E"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b/>
                <w:bCs/>
                <w:sz w:val="22"/>
                <w:szCs w:val="20"/>
              </w:rPr>
              <w:t>26,6</w:t>
            </w:r>
            <w:r w:rsidR="00422D21" w:rsidRPr="0053555E">
              <w:rPr>
                <w:rFonts w:cs="Calibri"/>
                <w:b/>
                <w:bCs/>
                <w:sz w:val="22"/>
                <w:szCs w:val="20"/>
              </w:rPr>
              <w:t xml:space="preserve"> </w:t>
            </w:r>
            <w:r w:rsidRPr="0053555E">
              <w:rPr>
                <w:rFonts w:cs="Calibri"/>
                <w:b/>
                <w:bCs/>
                <w:sz w:val="22"/>
                <w:szCs w:val="20"/>
              </w:rPr>
              <w:t>%</w:t>
            </w:r>
          </w:p>
        </w:tc>
        <w:tc>
          <w:tcPr>
            <w:tcW w:w="1299" w:type="dxa"/>
            <w:shd w:val="clear" w:color="auto" w:fill="auto"/>
            <w:vAlign w:val="bottom"/>
          </w:tcPr>
          <w:p w14:paraId="2F38D9F4" w14:textId="317924F6"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2 189</w:t>
            </w:r>
          </w:p>
        </w:tc>
        <w:tc>
          <w:tcPr>
            <w:tcW w:w="1299" w:type="dxa"/>
            <w:shd w:val="clear" w:color="auto" w:fill="EEECE1" w:themeFill="background2"/>
            <w:vAlign w:val="bottom"/>
          </w:tcPr>
          <w:p w14:paraId="330E3EF5" w14:textId="001C6C26" w:rsidR="0096171B" w:rsidRPr="0053555E" w:rsidRDefault="0096171B" w:rsidP="0096171B">
            <w:pPr>
              <w:tabs>
                <w:tab w:val="left" w:pos="9356"/>
              </w:tabs>
              <w:jc w:val="center"/>
              <w:rPr>
                <w:rFonts w:asciiTheme="majorHAnsi" w:hAnsiTheme="majorHAnsi" w:cstheme="majorHAnsi"/>
                <w:b/>
                <w:sz w:val="22"/>
                <w:szCs w:val="20"/>
              </w:rPr>
            </w:pPr>
            <w:r w:rsidRPr="0053555E">
              <w:rPr>
                <w:rFonts w:cs="Calibri"/>
                <w:sz w:val="22"/>
                <w:szCs w:val="20"/>
              </w:rPr>
              <w:t>1 896</w:t>
            </w:r>
          </w:p>
        </w:tc>
        <w:tc>
          <w:tcPr>
            <w:tcW w:w="1300" w:type="dxa"/>
            <w:shd w:val="clear" w:color="auto" w:fill="EEECE1" w:themeFill="background2"/>
            <w:noWrap/>
            <w:vAlign w:val="center"/>
            <w:hideMark/>
          </w:tcPr>
          <w:p w14:paraId="44920443" w14:textId="50C52B72" w:rsidR="0096171B" w:rsidRPr="0053555E" w:rsidRDefault="0096171B" w:rsidP="0096171B">
            <w:pPr>
              <w:tabs>
                <w:tab w:val="left" w:pos="9356"/>
              </w:tabs>
              <w:jc w:val="center"/>
              <w:rPr>
                <w:rFonts w:asciiTheme="majorHAnsi" w:hAnsiTheme="majorHAnsi" w:cstheme="majorHAnsi"/>
                <w:b/>
                <w:sz w:val="22"/>
                <w:szCs w:val="20"/>
              </w:rPr>
            </w:pPr>
            <w:r w:rsidRPr="0053555E">
              <w:rPr>
                <w:rFonts w:cs="Calibri"/>
                <w:b/>
                <w:bCs/>
                <w:sz w:val="22"/>
                <w:szCs w:val="20"/>
              </w:rPr>
              <w:t>86,6</w:t>
            </w:r>
            <w:r w:rsidR="00422D21" w:rsidRPr="0053555E">
              <w:rPr>
                <w:rFonts w:cs="Calibri"/>
                <w:b/>
                <w:bCs/>
                <w:sz w:val="22"/>
                <w:szCs w:val="20"/>
              </w:rPr>
              <w:t xml:space="preserve"> </w:t>
            </w:r>
            <w:r w:rsidRPr="0053555E">
              <w:rPr>
                <w:rFonts w:cs="Calibri"/>
                <w:b/>
                <w:bCs/>
                <w:sz w:val="22"/>
                <w:szCs w:val="20"/>
              </w:rPr>
              <w:t>%</w:t>
            </w:r>
          </w:p>
        </w:tc>
      </w:tr>
      <w:tr w:rsidR="0096171B" w:rsidRPr="0053555E" w14:paraId="65F646A5" w14:textId="77777777" w:rsidTr="002F1CF4">
        <w:trPr>
          <w:trHeight w:val="255"/>
        </w:trPr>
        <w:tc>
          <w:tcPr>
            <w:tcW w:w="1216" w:type="dxa"/>
            <w:shd w:val="clear" w:color="auto" w:fill="auto"/>
            <w:noWrap/>
            <w:vAlign w:val="bottom"/>
            <w:hideMark/>
          </w:tcPr>
          <w:p w14:paraId="76575F95" w14:textId="28A142A2" w:rsidR="0096171B" w:rsidRPr="0053555E" w:rsidRDefault="0096171B" w:rsidP="0096171B">
            <w:pPr>
              <w:jc w:val="center"/>
              <w:rPr>
                <w:rFonts w:asciiTheme="majorHAnsi" w:hAnsiTheme="majorHAnsi" w:cstheme="majorHAnsi"/>
                <w:sz w:val="22"/>
                <w:szCs w:val="20"/>
              </w:rPr>
            </w:pPr>
            <w:r w:rsidRPr="0053555E">
              <w:rPr>
                <w:rFonts w:cs="Calibri"/>
                <w:sz w:val="22"/>
                <w:szCs w:val="20"/>
              </w:rPr>
              <w:t>2011/2012</w:t>
            </w:r>
          </w:p>
        </w:tc>
        <w:tc>
          <w:tcPr>
            <w:tcW w:w="1299" w:type="dxa"/>
            <w:shd w:val="clear" w:color="auto" w:fill="auto"/>
            <w:noWrap/>
            <w:vAlign w:val="bottom"/>
            <w:hideMark/>
          </w:tcPr>
          <w:p w14:paraId="10FABB89" w14:textId="2B05DDA2"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3 070</w:t>
            </w:r>
          </w:p>
        </w:tc>
        <w:tc>
          <w:tcPr>
            <w:tcW w:w="1299" w:type="dxa"/>
            <w:shd w:val="clear" w:color="auto" w:fill="auto"/>
            <w:noWrap/>
            <w:vAlign w:val="bottom"/>
            <w:hideMark/>
          </w:tcPr>
          <w:p w14:paraId="7DF93987" w14:textId="75396A3C"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897</w:t>
            </w:r>
          </w:p>
        </w:tc>
        <w:tc>
          <w:tcPr>
            <w:tcW w:w="1300" w:type="dxa"/>
            <w:shd w:val="clear" w:color="auto" w:fill="EEECE1" w:themeFill="background2"/>
            <w:vAlign w:val="bottom"/>
          </w:tcPr>
          <w:p w14:paraId="5D20EA2D" w14:textId="07268EEF"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b/>
                <w:bCs/>
                <w:sz w:val="22"/>
                <w:szCs w:val="20"/>
              </w:rPr>
              <w:t>29,2</w:t>
            </w:r>
            <w:r w:rsidR="00422D21" w:rsidRPr="0053555E">
              <w:rPr>
                <w:rFonts w:cs="Calibri"/>
                <w:b/>
                <w:bCs/>
                <w:sz w:val="22"/>
                <w:szCs w:val="20"/>
              </w:rPr>
              <w:t xml:space="preserve"> </w:t>
            </w:r>
            <w:r w:rsidRPr="0053555E">
              <w:rPr>
                <w:rFonts w:cs="Calibri"/>
                <w:b/>
                <w:bCs/>
                <w:sz w:val="22"/>
                <w:szCs w:val="20"/>
              </w:rPr>
              <w:t>%</w:t>
            </w:r>
          </w:p>
        </w:tc>
        <w:tc>
          <w:tcPr>
            <w:tcW w:w="1299" w:type="dxa"/>
            <w:shd w:val="clear" w:color="auto" w:fill="auto"/>
            <w:vAlign w:val="bottom"/>
          </w:tcPr>
          <w:p w14:paraId="52C49D2F" w14:textId="26A4BA82"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2 173</w:t>
            </w:r>
          </w:p>
        </w:tc>
        <w:tc>
          <w:tcPr>
            <w:tcW w:w="1299" w:type="dxa"/>
            <w:shd w:val="clear" w:color="auto" w:fill="EEECE1" w:themeFill="background2"/>
            <w:vAlign w:val="bottom"/>
          </w:tcPr>
          <w:p w14:paraId="5BCEEFEF" w14:textId="77ECE435" w:rsidR="0096171B" w:rsidRPr="0053555E" w:rsidRDefault="0096171B" w:rsidP="0096171B">
            <w:pPr>
              <w:tabs>
                <w:tab w:val="left" w:pos="9356"/>
              </w:tabs>
              <w:jc w:val="center"/>
              <w:rPr>
                <w:rFonts w:asciiTheme="majorHAnsi" w:hAnsiTheme="majorHAnsi" w:cstheme="majorHAnsi"/>
                <w:b/>
                <w:sz w:val="22"/>
                <w:szCs w:val="20"/>
              </w:rPr>
            </w:pPr>
            <w:r w:rsidRPr="0053555E">
              <w:rPr>
                <w:rFonts w:cs="Calibri"/>
                <w:sz w:val="22"/>
                <w:szCs w:val="20"/>
              </w:rPr>
              <w:t>1 920</w:t>
            </w:r>
          </w:p>
        </w:tc>
        <w:tc>
          <w:tcPr>
            <w:tcW w:w="1300" w:type="dxa"/>
            <w:shd w:val="clear" w:color="auto" w:fill="EEECE1" w:themeFill="background2"/>
            <w:noWrap/>
            <w:vAlign w:val="center"/>
            <w:hideMark/>
          </w:tcPr>
          <w:p w14:paraId="2CD79830" w14:textId="3720A81B" w:rsidR="0096171B" w:rsidRPr="0053555E" w:rsidRDefault="0096171B" w:rsidP="0096171B">
            <w:pPr>
              <w:tabs>
                <w:tab w:val="left" w:pos="9356"/>
              </w:tabs>
              <w:jc w:val="center"/>
              <w:rPr>
                <w:rFonts w:asciiTheme="majorHAnsi" w:hAnsiTheme="majorHAnsi" w:cstheme="majorHAnsi"/>
                <w:b/>
                <w:sz w:val="22"/>
                <w:szCs w:val="20"/>
              </w:rPr>
            </w:pPr>
            <w:r w:rsidRPr="0053555E">
              <w:rPr>
                <w:rFonts w:cs="Calibri"/>
                <w:b/>
                <w:bCs/>
                <w:sz w:val="22"/>
                <w:szCs w:val="20"/>
              </w:rPr>
              <w:t>88,4</w:t>
            </w:r>
            <w:r w:rsidR="00422D21" w:rsidRPr="0053555E">
              <w:rPr>
                <w:rFonts w:cs="Calibri"/>
                <w:b/>
                <w:bCs/>
                <w:sz w:val="22"/>
                <w:szCs w:val="20"/>
              </w:rPr>
              <w:t xml:space="preserve"> </w:t>
            </w:r>
            <w:r w:rsidRPr="0053555E">
              <w:rPr>
                <w:rFonts w:cs="Calibri"/>
                <w:b/>
                <w:bCs/>
                <w:sz w:val="22"/>
                <w:szCs w:val="20"/>
              </w:rPr>
              <w:t>%</w:t>
            </w:r>
          </w:p>
        </w:tc>
      </w:tr>
      <w:tr w:rsidR="0096171B" w:rsidRPr="0053555E" w14:paraId="1BB260FB" w14:textId="77777777" w:rsidTr="002F1CF4">
        <w:trPr>
          <w:trHeight w:val="255"/>
        </w:trPr>
        <w:tc>
          <w:tcPr>
            <w:tcW w:w="1216" w:type="dxa"/>
            <w:shd w:val="clear" w:color="auto" w:fill="auto"/>
            <w:noWrap/>
            <w:vAlign w:val="bottom"/>
            <w:hideMark/>
          </w:tcPr>
          <w:p w14:paraId="340126A5" w14:textId="27BA3978" w:rsidR="0096171B" w:rsidRPr="0053555E" w:rsidRDefault="0096171B" w:rsidP="0096171B">
            <w:pPr>
              <w:jc w:val="center"/>
              <w:rPr>
                <w:rFonts w:asciiTheme="majorHAnsi" w:hAnsiTheme="majorHAnsi" w:cstheme="majorHAnsi"/>
                <w:sz w:val="22"/>
                <w:szCs w:val="20"/>
              </w:rPr>
            </w:pPr>
            <w:r w:rsidRPr="0053555E">
              <w:rPr>
                <w:rFonts w:cs="Calibri"/>
                <w:sz w:val="22"/>
                <w:szCs w:val="20"/>
              </w:rPr>
              <w:t>2012/2013</w:t>
            </w:r>
          </w:p>
        </w:tc>
        <w:tc>
          <w:tcPr>
            <w:tcW w:w="1299" w:type="dxa"/>
            <w:shd w:val="clear" w:color="auto" w:fill="auto"/>
            <w:noWrap/>
            <w:vAlign w:val="bottom"/>
            <w:hideMark/>
          </w:tcPr>
          <w:p w14:paraId="2B3467B4" w14:textId="3C0703D6"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2 937</w:t>
            </w:r>
          </w:p>
        </w:tc>
        <w:tc>
          <w:tcPr>
            <w:tcW w:w="1299" w:type="dxa"/>
            <w:shd w:val="clear" w:color="auto" w:fill="auto"/>
            <w:noWrap/>
            <w:vAlign w:val="bottom"/>
            <w:hideMark/>
          </w:tcPr>
          <w:p w14:paraId="147B1D1D" w14:textId="2E152213"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906</w:t>
            </w:r>
          </w:p>
        </w:tc>
        <w:tc>
          <w:tcPr>
            <w:tcW w:w="1300" w:type="dxa"/>
            <w:shd w:val="clear" w:color="auto" w:fill="EEECE1" w:themeFill="background2"/>
            <w:vAlign w:val="bottom"/>
          </w:tcPr>
          <w:p w14:paraId="5218A844" w14:textId="6D461BCC"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b/>
                <w:bCs/>
                <w:sz w:val="22"/>
                <w:szCs w:val="20"/>
              </w:rPr>
              <w:t>30,8</w:t>
            </w:r>
            <w:r w:rsidR="00422D21" w:rsidRPr="0053555E">
              <w:rPr>
                <w:rFonts w:cs="Calibri"/>
                <w:b/>
                <w:bCs/>
                <w:sz w:val="22"/>
                <w:szCs w:val="20"/>
              </w:rPr>
              <w:t xml:space="preserve"> </w:t>
            </w:r>
            <w:r w:rsidRPr="0053555E">
              <w:rPr>
                <w:rFonts w:cs="Calibri"/>
                <w:b/>
                <w:bCs/>
                <w:sz w:val="22"/>
                <w:szCs w:val="20"/>
              </w:rPr>
              <w:t>%</w:t>
            </w:r>
          </w:p>
        </w:tc>
        <w:tc>
          <w:tcPr>
            <w:tcW w:w="1299" w:type="dxa"/>
            <w:shd w:val="clear" w:color="auto" w:fill="auto"/>
            <w:vAlign w:val="bottom"/>
          </w:tcPr>
          <w:p w14:paraId="16FC2487" w14:textId="26C9D2F2"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2 031</w:t>
            </w:r>
          </w:p>
        </w:tc>
        <w:tc>
          <w:tcPr>
            <w:tcW w:w="1299" w:type="dxa"/>
            <w:shd w:val="clear" w:color="auto" w:fill="EEECE1" w:themeFill="background2"/>
            <w:vAlign w:val="bottom"/>
          </w:tcPr>
          <w:p w14:paraId="62121121" w14:textId="63F560A7" w:rsidR="0096171B" w:rsidRPr="0053555E" w:rsidRDefault="0096171B" w:rsidP="0096171B">
            <w:pPr>
              <w:tabs>
                <w:tab w:val="left" w:pos="9356"/>
              </w:tabs>
              <w:jc w:val="center"/>
              <w:rPr>
                <w:rFonts w:asciiTheme="majorHAnsi" w:hAnsiTheme="majorHAnsi" w:cstheme="majorHAnsi"/>
                <w:b/>
                <w:sz w:val="22"/>
                <w:szCs w:val="20"/>
              </w:rPr>
            </w:pPr>
            <w:r w:rsidRPr="0053555E">
              <w:rPr>
                <w:rFonts w:cs="Calibri"/>
                <w:sz w:val="22"/>
                <w:szCs w:val="20"/>
              </w:rPr>
              <w:t>1 810</w:t>
            </w:r>
          </w:p>
        </w:tc>
        <w:tc>
          <w:tcPr>
            <w:tcW w:w="1300" w:type="dxa"/>
            <w:shd w:val="clear" w:color="auto" w:fill="EEECE1" w:themeFill="background2"/>
            <w:noWrap/>
            <w:vAlign w:val="center"/>
            <w:hideMark/>
          </w:tcPr>
          <w:p w14:paraId="6A2800C4" w14:textId="7ADDD8AA" w:rsidR="0096171B" w:rsidRPr="0053555E" w:rsidRDefault="0096171B" w:rsidP="0096171B">
            <w:pPr>
              <w:tabs>
                <w:tab w:val="left" w:pos="9356"/>
              </w:tabs>
              <w:jc w:val="center"/>
              <w:rPr>
                <w:rFonts w:asciiTheme="majorHAnsi" w:hAnsiTheme="majorHAnsi" w:cstheme="majorHAnsi"/>
                <w:b/>
                <w:sz w:val="22"/>
                <w:szCs w:val="20"/>
              </w:rPr>
            </w:pPr>
            <w:r w:rsidRPr="0053555E">
              <w:rPr>
                <w:rFonts w:cs="Calibri"/>
                <w:b/>
                <w:bCs/>
                <w:sz w:val="22"/>
                <w:szCs w:val="20"/>
              </w:rPr>
              <w:t>89,1</w:t>
            </w:r>
            <w:r w:rsidR="00422D21" w:rsidRPr="0053555E">
              <w:rPr>
                <w:rFonts w:cs="Calibri"/>
                <w:b/>
                <w:bCs/>
                <w:sz w:val="22"/>
                <w:szCs w:val="20"/>
              </w:rPr>
              <w:t xml:space="preserve"> </w:t>
            </w:r>
            <w:r w:rsidRPr="0053555E">
              <w:rPr>
                <w:rFonts w:cs="Calibri"/>
                <w:b/>
                <w:bCs/>
                <w:sz w:val="22"/>
                <w:szCs w:val="20"/>
              </w:rPr>
              <w:t>%</w:t>
            </w:r>
          </w:p>
        </w:tc>
      </w:tr>
      <w:tr w:rsidR="0096171B" w:rsidRPr="0053555E" w14:paraId="5AF05B04" w14:textId="77777777" w:rsidTr="002F1CF4">
        <w:trPr>
          <w:trHeight w:val="255"/>
        </w:trPr>
        <w:tc>
          <w:tcPr>
            <w:tcW w:w="1216" w:type="dxa"/>
            <w:shd w:val="clear" w:color="auto" w:fill="auto"/>
            <w:noWrap/>
            <w:vAlign w:val="bottom"/>
          </w:tcPr>
          <w:p w14:paraId="253F47BD" w14:textId="07A0D71A" w:rsidR="0096171B" w:rsidRPr="0053555E" w:rsidRDefault="0096171B" w:rsidP="0096171B">
            <w:pPr>
              <w:jc w:val="center"/>
              <w:rPr>
                <w:rFonts w:asciiTheme="majorHAnsi" w:hAnsiTheme="majorHAnsi" w:cstheme="majorHAnsi"/>
                <w:sz w:val="22"/>
                <w:szCs w:val="20"/>
              </w:rPr>
            </w:pPr>
            <w:r w:rsidRPr="0053555E">
              <w:rPr>
                <w:rFonts w:cs="Calibri"/>
                <w:sz w:val="22"/>
                <w:szCs w:val="20"/>
              </w:rPr>
              <w:t>2013/2014</w:t>
            </w:r>
          </w:p>
        </w:tc>
        <w:tc>
          <w:tcPr>
            <w:tcW w:w="1299" w:type="dxa"/>
            <w:shd w:val="clear" w:color="auto" w:fill="auto"/>
            <w:noWrap/>
            <w:vAlign w:val="bottom"/>
          </w:tcPr>
          <w:p w14:paraId="07AFED3D" w14:textId="0C553034"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2 976</w:t>
            </w:r>
          </w:p>
        </w:tc>
        <w:tc>
          <w:tcPr>
            <w:tcW w:w="1299" w:type="dxa"/>
            <w:shd w:val="clear" w:color="auto" w:fill="auto"/>
            <w:noWrap/>
            <w:vAlign w:val="bottom"/>
          </w:tcPr>
          <w:p w14:paraId="032CECE5" w14:textId="5E9C28F1"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1 037</w:t>
            </w:r>
          </w:p>
        </w:tc>
        <w:tc>
          <w:tcPr>
            <w:tcW w:w="1300" w:type="dxa"/>
            <w:shd w:val="clear" w:color="auto" w:fill="EEECE1" w:themeFill="background2"/>
            <w:vAlign w:val="bottom"/>
          </w:tcPr>
          <w:p w14:paraId="6D88B55A" w14:textId="35A54B0F"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b/>
                <w:bCs/>
                <w:sz w:val="22"/>
                <w:szCs w:val="20"/>
              </w:rPr>
              <w:t>34,8</w:t>
            </w:r>
            <w:r w:rsidR="00422D21" w:rsidRPr="0053555E">
              <w:rPr>
                <w:rFonts w:cs="Calibri"/>
                <w:b/>
                <w:bCs/>
                <w:sz w:val="22"/>
                <w:szCs w:val="20"/>
              </w:rPr>
              <w:t xml:space="preserve"> </w:t>
            </w:r>
            <w:r w:rsidRPr="0053555E">
              <w:rPr>
                <w:rFonts w:cs="Calibri"/>
                <w:b/>
                <w:bCs/>
                <w:sz w:val="22"/>
                <w:szCs w:val="20"/>
              </w:rPr>
              <w:t>%</w:t>
            </w:r>
          </w:p>
        </w:tc>
        <w:tc>
          <w:tcPr>
            <w:tcW w:w="1299" w:type="dxa"/>
            <w:shd w:val="clear" w:color="auto" w:fill="auto"/>
            <w:vAlign w:val="bottom"/>
          </w:tcPr>
          <w:p w14:paraId="30A22553" w14:textId="46FD3013"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1 939</w:t>
            </w:r>
          </w:p>
        </w:tc>
        <w:tc>
          <w:tcPr>
            <w:tcW w:w="1299" w:type="dxa"/>
            <w:shd w:val="clear" w:color="auto" w:fill="EEECE1" w:themeFill="background2"/>
            <w:vAlign w:val="bottom"/>
          </w:tcPr>
          <w:p w14:paraId="577EB3A6" w14:textId="3D6CA5BB" w:rsidR="0096171B" w:rsidRPr="0053555E" w:rsidRDefault="0096171B" w:rsidP="0096171B">
            <w:pPr>
              <w:tabs>
                <w:tab w:val="left" w:pos="9356"/>
              </w:tabs>
              <w:jc w:val="center"/>
              <w:rPr>
                <w:rFonts w:asciiTheme="majorHAnsi" w:hAnsiTheme="majorHAnsi" w:cstheme="majorHAnsi"/>
                <w:b/>
                <w:sz w:val="22"/>
                <w:szCs w:val="20"/>
              </w:rPr>
            </w:pPr>
            <w:r w:rsidRPr="0053555E">
              <w:rPr>
                <w:rFonts w:cs="Calibri"/>
                <w:sz w:val="22"/>
                <w:szCs w:val="20"/>
              </w:rPr>
              <w:t>1 791</w:t>
            </w:r>
          </w:p>
        </w:tc>
        <w:tc>
          <w:tcPr>
            <w:tcW w:w="1300" w:type="dxa"/>
            <w:shd w:val="clear" w:color="auto" w:fill="EEECE1" w:themeFill="background2"/>
            <w:noWrap/>
            <w:vAlign w:val="center"/>
          </w:tcPr>
          <w:p w14:paraId="32BEC09F" w14:textId="2BCDEF30" w:rsidR="0096171B" w:rsidRPr="0053555E" w:rsidRDefault="0096171B" w:rsidP="0096171B">
            <w:pPr>
              <w:tabs>
                <w:tab w:val="left" w:pos="9356"/>
              </w:tabs>
              <w:jc w:val="center"/>
              <w:rPr>
                <w:rFonts w:asciiTheme="majorHAnsi" w:hAnsiTheme="majorHAnsi" w:cstheme="majorHAnsi"/>
                <w:b/>
                <w:sz w:val="22"/>
                <w:szCs w:val="20"/>
              </w:rPr>
            </w:pPr>
            <w:r w:rsidRPr="0053555E">
              <w:rPr>
                <w:rFonts w:cs="Calibri"/>
                <w:b/>
                <w:bCs/>
                <w:sz w:val="22"/>
                <w:szCs w:val="20"/>
              </w:rPr>
              <w:t>92,4</w:t>
            </w:r>
            <w:r w:rsidR="00422D21" w:rsidRPr="0053555E">
              <w:rPr>
                <w:rFonts w:cs="Calibri"/>
                <w:b/>
                <w:bCs/>
                <w:sz w:val="22"/>
                <w:szCs w:val="20"/>
              </w:rPr>
              <w:t xml:space="preserve"> </w:t>
            </w:r>
            <w:r w:rsidRPr="0053555E">
              <w:rPr>
                <w:rFonts w:cs="Calibri"/>
                <w:b/>
                <w:bCs/>
                <w:sz w:val="22"/>
                <w:szCs w:val="20"/>
              </w:rPr>
              <w:t>%</w:t>
            </w:r>
          </w:p>
        </w:tc>
      </w:tr>
      <w:tr w:rsidR="0096171B" w:rsidRPr="0053555E" w14:paraId="2245046B" w14:textId="77777777" w:rsidTr="002F1CF4">
        <w:trPr>
          <w:trHeight w:val="255"/>
        </w:trPr>
        <w:tc>
          <w:tcPr>
            <w:tcW w:w="1216" w:type="dxa"/>
            <w:shd w:val="clear" w:color="auto" w:fill="auto"/>
            <w:noWrap/>
            <w:vAlign w:val="bottom"/>
            <w:hideMark/>
          </w:tcPr>
          <w:p w14:paraId="51E09EB0" w14:textId="066C3010" w:rsidR="0096171B" w:rsidRPr="0053555E" w:rsidRDefault="0096171B" w:rsidP="0096171B">
            <w:pPr>
              <w:jc w:val="center"/>
              <w:rPr>
                <w:rFonts w:asciiTheme="majorHAnsi" w:hAnsiTheme="majorHAnsi" w:cstheme="majorHAnsi"/>
                <w:sz w:val="22"/>
                <w:szCs w:val="20"/>
              </w:rPr>
            </w:pPr>
            <w:r w:rsidRPr="0053555E">
              <w:rPr>
                <w:rFonts w:cs="Calibri"/>
                <w:sz w:val="22"/>
                <w:szCs w:val="20"/>
              </w:rPr>
              <w:t>2014/2015</w:t>
            </w:r>
          </w:p>
        </w:tc>
        <w:tc>
          <w:tcPr>
            <w:tcW w:w="1299" w:type="dxa"/>
            <w:shd w:val="clear" w:color="auto" w:fill="auto"/>
            <w:noWrap/>
            <w:vAlign w:val="bottom"/>
            <w:hideMark/>
          </w:tcPr>
          <w:p w14:paraId="3134B7E8" w14:textId="656CC76B"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3 106</w:t>
            </w:r>
          </w:p>
        </w:tc>
        <w:tc>
          <w:tcPr>
            <w:tcW w:w="1299" w:type="dxa"/>
            <w:shd w:val="clear" w:color="auto" w:fill="auto"/>
            <w:noWrap/>
            <w:vAlign w:val="bottom"/>
            <w:hideMark/>
          </w:tcPr>
          <w:p w14:paraId="4E7FFD52" w14:textId="2B42D13C"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1 038</w:t>
            </w:r>
          </w:p>
        </w:tc>
        <w:tc>
          <w:tcPr>
            <w:tcW w:w="1300" w:type="dxa"/>
            <w:shd w:val="clear" w:color="auto" w:fill="EEECE1" w:themeFill="background2"/>
            <w:vAlign w:val="bottom"/>
          </w:tcPr>
          <w:p w14:paraId="1F261BEA" w14:textId="213D524C"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b/>
                <w:bCs/>
                <w:sz w:val="22"/>
                <w:szCs w:val="20"/>
              </w:rPr>
              <w:t>33,4</w:t>
            </w:r>
            <w:r w:rsidR="00422D21" w:rsidRPr="0053555E">
              <w:rPr>
                <w:rFonts w:cs="Calibri"/>
                <w:b/>
                <w:bCs/>
                <w:sz w:val="22"/>
                <w:szCs w:val="20"/>
              </w:rPr>
              <w:t xml:space="preserve"> </w:t>
            </w:r>
            <w:r w:rsidRPr="0053555E">
              <w:rPr>
                <w:rFonts w:cs="Calibri"/>
                <w:b/>
                <w:bCs/>
                <w:sz w:val="22"/>
                <w:szCs w:val="20"/>
              </w:rPr>
              <w:t>%</w:t>
            </w:r>
          </w:p>
        </w:tc>
        <w:tc>
          <w:tcPr>
            <w:tcW w:w="1299" w:type="dxa"/>
            <w:shd w:val="clear" w:color="auto" w:fill="auto"/>
            <w:vAlign w:val="bottom"/>
          </w:tcPr>
          <w:p w14:paraId="1409B3C8" w14:textId="2912B3AC"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2 068</w:t>
            </w:r>
          </w:p>
        </w:tc>
        <w:tc>
          <w:tcPr>
            <w:tcW w:w="1299" w:type="dxa"/>
            <w:shd w:val="clear" w:color="auto" w:fill="EEECE1" w:themeFill="background2"/>
            <w:vAlign w:val="bottom"/>
          </w:tcPr>
          <w:p w14:paraId="5342B5FA" w14:textId="498CA850" w:rsidR="0096171B" w:rsidRPr="0053555E" w:rsidRDefault="0096171B" w:rsidP="0096171B">
            <w:pPr>
              <w:tabs>
                <w:tab w:val="left" w:pos="9356"/>
              </w:tabs>
              <w:jc w:val="center"/>
              <w:rPr>
                <w:rFonts w:asciiTheme="majorHAnsi" w:hAnsiTheme="majorHAnsi" w:cstheme="majorHAnsi"/>
                <w:b/>
                <w:sz w:val="22"/>
                <w:szCs w:val="20"/>
              </w:rPr>
            </w:pPr>
            <w:r w:rsidRPr="0053555E">
              <w:rPr>
                <w:rFonts w:cs="Calibri"/>
                <w:sz w:val="22"/>
                <w:szCs w:val="20"/>
              </w:rPr>
              <w:t>1 882</w:t>
            </w:r>
          </w:p>
        </w:tc>
        <w:tc>
          <w:tcPr>
            <w:tcW w:w="1300" w:type="dxa"/>
            <w:shd w:val="clear" w:color="auto" w:fill="EEECE1" w:themeFill="background2"/>
            <w:noWrap/>
            <w:vAlign w:val="center"/>
            <w:hideMark/>
          </w:tcPr>
          <w:p w14:paraId="414C2C1C" w14:textId="165DE0FA" w:rsidR="0096171B" w:rsidRPr="0053555E" w:rsidRDefault="0096171B" w:rsidP="0096171B">
            <w:pPr>
              <w:tabs>
                <w:tab w:val="left" w:pos="9356"/>
              </w:tabs>
              <w:jc w:val="center"/>
              <w:rPr>
                <w:rFonts w:asciiTheme="majorHAnsi" w:hAnsiTheme="majorHAnsi" w:cstheme="majorHAnsi"/>
                <w:b/>
                <w:sz w:val="22"/>
                <w:szCs w:val="20"/>
              </w:rPr>
            </w:pPr>
            <w:r w:rsidRPr="0053555E">
              <w:rPr>
                <w:rFonts w:cs="Calibri"/>
                <w:b/>
                <w:bCs/>
                <w:sz w:val="22"/>
                <w:szCs w:val="20"/>
              </w:rPr>
              <w:t>91,0</w:t>
            </w:r>
            <w:r w:rsidR="00422D21" w:rsidRPr="0053555E">
              <w:rPr>
                <w:rFonts w:cs="Calibri"/>
                <w:b/>
                <w:bCs/>
                <w:sz w:val="22"/>
                <w:szCs w:val="20"/>
              </w:rPr>
              <w:t xml:space="preserve"> </w:t>
            </w:r>
            <w:r w:rsidRPr="0053555E">
              <w:rPr>
                <w:rFonts w:cs="Calibri"/>
                <w:b/>
                <w:bCs/>
                <w:sz w:val="22"/>
                <w:szCs w:val="20"/>
              </w:rPr>
              <w:t>%</w:t>
            </w:r>
          </w:p>
        </w:tc>
      </w:tr>
      <w:tr w:rsidR="0096171B" w:rsidRPr="0053555E" w14:paraId="2B66F3AB" w14:textId="77777777" w:rsidTr="002F1CF4">
        <w:trPr>
          <w:trHeight w:val="255"/>
        </w:trPr>
        <w:tc>
          <w:tcPr>
            <w:tcW w:w="1216" w:type="dxa"/>
            <w:shd w:val="clear" w:color="auto" w:fill="auto"/>
            <w:noWrap/>
            <w:vAlign w:val="bottom"/>
          </w:tcPr>
          <w:p w14:paraId="4CC732F8" w14:textId="6F2231A1" w:rsidR="0096171B" w:rsidRPr="0053555E" w:rsidRDefault="0096171B" w:rsidP="0096171B">
            <w:pPr>
              <w:jc w:val="center"/>
              <w:rPr>
                <w:rFonts w:asciiTheme="majorHAnsi" w:hAnsiTheme="majorHAnsi" w:cstheme="majorHAnsi"/>
                <w:sz w:val="22"/>
                <w:szCs w:val="20"/>
              </w:rPr>
            </w:pPr>
            <w:r w:rsidRPr="0053555E">
              <w:rPr>
                <w:rFonts w:cs="Calibri"/>
                <w:sz w:val="22"/>
                <w:szCs w:val="20"/>
              </w:rPr>
              <w:t>2015/2016</w:t>
            </w:r>
          </w:p>
        </w:tc>
        <w:tc>
          <w:tcPr>
            <w:tcW w:w="1299" w:type="dxa"/>
            <w:shd w:val="clear" w:color="auto" w:fill="auto"/>
            <w:noWrap/>
            <w:vAlign w:val="bottom"/>
          </w:tcPr>
          <w:p w14:paraId="10FB337B" w14:textId="6AB4CB96"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2 832</w:t>
            </w:r>
          </w:p>
        </w:tc>
        <w:tc>
          <w:tcPr>
            <w:tcW w:w="1299" w:type="dxa"/>
            <w:shd w:val="clear" w:color="auto" w:fill="auto"/>
            <w:noWrap/>
            <w:vAlign w:val="bottom"/>
          </w:tcPr>
          <w:p w14:paraId="0FF2B1EE" w14:textId="6D9DE583"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861</w:t>
            </w:r>
          </w:p>
        </w:tc>
        <w:tc>
          <w:tcPr>
            <w:tcW w:w="1300" w:type="dxa"/>
            <w:shd w:val="clear" w:color="auto" w:fill="EEECE1" w:themeFill="background2"/>
            <w:vAlign w:val="bottom"/>
          </w:tcPr>
          <w:p w14:paraId="6CA0AC6F" w14:textId="488AEAE7"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b/>
                <w:bCs/>
                <w:sz w:val="22"/>
                <w:szCs w:val="20"/>
              </w:rPr>
              <w:t>30,4</w:t>
            </w:r>
            <w:r w:rsidR="00422D21" w:rsidRPr="0053555E">
              <w:rPr>
                <w:rFonts w:cs="Calibri"/>
                <w:b/>
                <w:bCs/>
                <w:sz w:val="22"/>
                <w:szCs w:val="20"/>
              </w:rPr>
              <w:t xml:space="preserve"> </w:t>
            </w:r>
            <w:r w:rsidRPr="0053555E">
              <w:rPr>
                <w:rFonts w:cs="Calibri"/>
                <w:b/>
                <w:bCs/>
                <w:sz w:val="22"/>
                <w:szCs w:val="20"/>
              </w:rPr>
              <w:t>%</w:t>
            </w:r>
          </w:p>
        </w:tc>
        <w:tc>
          <w:tcPr>
            <w:tcW w:w="1299" w:type="dxa"/>
            <w:shd w:val="clear" w:color="auto" w:fill="auto"/>
            <w:vAlign w:val="bottom"/>
          </w:tcPr>
          <w:p w14:paraId="6B040845" w14:textId="1D2C18FD" w:rsidR="0096171B" w:rsidRPr="0053555E" w:rsidRDefault="0096171B" w:rsidP="0096171B">
            <w:pPr>
              <w:tabs>
                <w:tab w:val="left" w:pos="9356"/>
              </w:tabs>
              <w:jc w:val="center"/>
              <w:rPr>
                <w:rFonts w:asciiTheme="majorHAnsi" w:hAnsiTheme="majorHAnsi" w:cstheme="majorHAnsi"/>
                <w:sz w:val="22"/>
                <w:szCs w:val="20"/>
              </w:rPr>
            </w:pPr>
            <w:r w:rsidRPr="0053555E">
              <w:rPr>
                <w:rFonts w:cs="Calibri"/>
                <w:sz w:val="22"/>
                <w:szCs w:val="20"/>
              </w:rPr>
              <w:t>1 971</w:t>
            </w:r>
          </w:p>
        </w:tc>
        <w:tc>
          <w:tcPr>
            <w:tcW w:w="1299" w:type="dxa"/>
            <w:shd w:val="clear" w:color="auto" w:fill="EEECE1" w:themeFill="background2"/>
            <w:vAlign w:val="bottom"/>
          </w:tcPr>
          <w:p w14:paraId="14BE3947" w14:textId="5E909836" w:rsidR="0096171B" w:rsidRPr="0053555E" w:rsidRDefault="0096171B" w:rsidP="0096171B">
            <w:pPr>
              <w:tabs>
                <w:tab w:val="left" w:pos="9356"/>
              </w:tabs>
              <w:jc w:val="center"/>
              <w:rPr>
                <w:rFonts w:asciiTheme="majorHAnsi" w:hAnsiTheme="majorHAnsi" w:cstheme="majorHAnsi"/>
                <w:b/>
                <w:sz w:val="22"/>
                <w:szCs w:val="20"/>
              </w:rPr>
            </w:pPr>
            <w:r w:rsidRPr="0053555E">
              <w:rPr>
                <w:rFonts w:cs="Calibri"/>
                <w:sz w:val="22"/>
                <w:szCs w:val="20"/>
              </w:rPr>
              <w:t>1 791</w:t>
            </w:r>
          </w:p>
        </w:tc>
        <w:tc>
          <w:tcPr>
            <w:tcW w:w="1300" w:type="dxa"/>
            <w:shd w:val="clear" w:color="auto" w:fill="EEECE1" w:themeFill="background2"/>
            <w:noWrap/>
            <w:vAlign w:val="center"/>
          </w:tcPr>
          <w:p w14:paraId="60A81628" w14:textId="2A8C96D0" w:rsidR="0096171B" w:rsidRPr="0053555E" w:rsidRDefault="0096171B" w:rsidP="0096171B">
            <w:pPr>
              <w:tabs>
                <w:tab w:val="left" w:pos="9356"/>
              </w:tabs>
              <w:jc w:val="center"/>
              <w:rPr>
                <w:rFonts w:asciiTheme="majorHAnsi" w:hAnsiTheme="majorHAnsi" w:cstheme="majorHAnsi"/>
                <w:b/>
                <w:sz w:val="22"/>
                <w:szCs w:val="20"/>
              </w:rPr>
            </w:pPr>
            <w:r w:rsidRPr="0053555E">
              <w:rPr>
                <w:rFonts w:cs="Calibri"/>
                <w:b/>
                <w:bCs/>
                <w:sz w:val="22"/>
                <w:szCs w:val="20"/>
              </w:rPr>
              <w:t>90,9</w:t>
            </w:r>
            <w:r w:rsidR="00422D21" w:rsidRPr="0053555E">
              <w:rPr>
                <w:rFonts w:cs="Calibri"/>
                <w:b/>
                <w:bCs/>
                <w:sz w:val="22"/>
                <w:szCs w:val="20"/>
              </w:rPr>
              <w:t xml:space="preserve"> </w:t>
            </w:r>
            <w:r w:rsidRPr="0053555E">
              <w:rPr>
                <w:rFonts w:cs="Calibri"/>
                <w:b/>
                <w:bCs/>
                <w:sz w:val="22"/>
                <w:szCs w:val="20"/>
              </w:rPr>
              <w:t>%</w:t>
            </w:r>
          </w:p>
        </w:tc>
      </w:tr>
      <w:tr w:rsidR="0096171B" w:rsidRPr="0053555E" w14:paraId="2ACB02E2" w14:textId="77777777" w:rsidTr="002F1CF4">
        <w:trPr>
          <w:trHeight w:val="255"/>
        </w:trPr>
        <w:tc>
          <w:tcPr>
            <w:tcW w:w="1216" w:type="dxa"/>
            <w:shd w:val="clear" w:color="auto" w:fill="auto"/>
            <w:noWrap/>
            <w:vAlign w:val="bottom"/>
          </w:tcPr>
          <w:p w14:paraId="279EB99E" w14:textId="62A2C6B8" w:rsidR="0096171B" w:rsidRPr="0053555E" w:rsidRDefault="0096171B" w:rsidP="0096171B">
            <w:pPr>
              <w:jc w:val="center"/>
              <w:rPr>
                <w:rFonts w:asciiTheme="majorHAnsi" w:hAnsiTheme="majorHAnsi" w:cstheme="majorHAnsi"/>
                <w:sz w:val="22"/>
                <w:szCs w:val="20"/>
              </w:rPr>
            </w:pPr>
            <w:r w:rsidRPr="0053555E">
              <w:rPr>
                <w:rFonts w:cs="Calibri"/>
                <w:sz w:val="22"/>
                <w:szCs w:val="20"/>
              </w:rPr>
              <w:t>2016/2017</w:t>
            </w:r>
          </w:p>
        </w:tc>
        <w:tc>
          <w:tcPr>
            <w:tcW w:w="1299" w:type="dxa"/>
            <w:shd w:val="clear" w:color="auto" w:fill="auto"/>
            <w:noWrap/>
            <w:vAlign w:val="bottom"/>
          </w:tcPr>
          <w:p w14:paraId="0F43BBB7" w14:textId="537D3EDB" w:rsidR="0096171B" w:rsidRPr="0053555E" w:rsidRDefault="0096171B" w:rsidP="0096171B">
            <w:pPr>
              <w:jc w:val="center"/>
              <w:rPr>
                <w:rFonts w:asciiTheme="majorHAnsi" w:hAnsiTheme="majorHAnsi" w:cstheme="majorHAnsi"/>
                <w:sz w:val="22"/>
                <w:szCs w:val="20"/>
              </w:rPr>
            </w:pPr>
            <w:r w:rsidRPr="0053555E">
              <w:rPr>
                <w:rFonts w:cs="Calibri"/>
                <w:sz w:val="22"/>
                <w:szCs w:val="20"/>
              </w:rPr>
              <w:t>2 673</w:t>
            </w:r>
          </w:p>
        </w:tc>
        <w:tc>
          <w:tcPr>
            <w:tcW w:w="1299" w:type="dxa"/>
            <w:shd w:val="clear" w:color="auto" w:fill="auto"/>
            <w:noWrap/>
            <w:vAlign w:val="bottom"/>
          </w:tcPr>
          <w:p w14:paraId="348522BD" w14:textId="06B858AC" w:rsidR="0096171B" w:rsidRPr="0053555E" w:rsidRDefault="0096171B" w:rsidP="0096171B">
            <w:pPr>
              <w:jc w:val="center"/>
              <w:rPr>
                <w:rFonts w:asciiTheme="majorHAnsi" w:hAnsiTheme="majorHAnsi" w:cstheme="majorHAnsi"/>
                <w:sz w:val="22"/>
                <w:szCs w:val="20"/>
              </w:rPr>
            </w:pPr>
            <w:r w:rsidRPr="0053555E">
              <w:rPr>
                <w:rFonts w:cs="Calibri"/>
                <w:sz w:val="22"/>
                <w:szCs w:val="20"/>
              </w:rPr>
              <w:t>1 002</w:t>
            </w:r>
          </w:p>
        </w:tc>
        <w:tc>
          <w:tcPr>
            <w:tcW w:w="1300" w:type="dxa"/>
            <w:shd w:val="clear" w:color="auto" w:fill="EEECE1" w:themeFill="background2"/>
            <w:vAlign w:val="bottom"/>
          </w:tcPr>
          <w:p w14:paraId="72927C88" w14:textId="146269BA" w:rsidR="0096171B" w:rsidRPr="0053555E" w:rsidRDefault="0096171B" w:rsidP="0096171B">
            <w:pPr>
              <w:jc w:val="center"/>
              <w:rPr>
                <w:rFonts w:asciiTheme="majorHAnsi" w:hAnsiTheme="majorHAnsi" w:cstheme="majorHAnsi"/>
                <w:sz w:val="22"/>
                <w:szCs w:val="20"/>
              </w:rPr>
            </w:pPr>
            <w:r w:rsidRPr="0053555E">
              <w:rPr>
                <w:rFonts w:cs="Calibri"/>
                <w:b/>
                <w:bCs/>
                <w:sz w:val="22"/>
                <w:szCs w:val="20"/>
              </w:rPr>
              <w:t>37,5</w:t>
            </w:r>
            <w:r w:rsidR="00422D21" w:rsidRPr="0053555E">
              <w:rPr>
                <w:rFonts w:cs="Calibri"/>
                <w:b/>
                <w:bCs/>
                <w:sz w:val="22"/>
                <w:szCs w:val="20"/>
              </w:rPr>
              <w:t xml:space="preserve"> </w:t>
            </w:r>
            <w:r w:rsidRPr="0053555E">
              <w:rPr>
                <w:rFonts w:cs="Calibri"/>
                <w:b/>
                <w:bCs/>
                <w:sz w:val="22"/>
                <w:szCs w:val="20"/>
              </w:rPr>
              <w:t>%</w:t>
            </w:r>
          </w:p>
        </w:tc>
        <w:tc>
          <w:tcPr>
            <w:tcW w:w="1299" w:type="dxa"/>
            <w:shd w:val="clear" w:color="auto" w:fill="auto"/>
            <w:vAlign w:val="bottom"/>
          </w:tcPr>
          <w:p w14:paraId="78C05F5E" w14:textId="091D5BB2" w:rsidR="0096171B" w:rsidRPr="0053555E" w:rsidRDefault="0096171B" w:rsidP="0096171B">
            <w:pPr>
              <w:jc w:val="center"/>
              <w:rPr>
                <w:rFonts w:asciiTheme="majorHAnsi" w:hAnsiTheme="majorHAnsi" w:cstheme="majorHAnsi"/>
                <w:sz w:val="22"/>
                <w:szCs w:val="20"/>
              </w:rPr>
            </w:pPr>
            <w:r w:rsidRPr="0053555E">
              <w:rPr>
                <w:rFonts w:cs="Calibri"/>
                <w:sz w:val="22"/>
                <w:szCs w:val="20"/>
              </w:rPr>
              <w:t>1 671</w:t>
            </w:r>
          </w:p>
        </w:tc>
        <w:tc>
          <w:tcPr>
            <w:tcW w:w="1299" w:type="dxa"/>
            <w:shd w:val="clear" w:color="auto" w:fill="EEECE1" w:themeFill="background2"/>
            <w:vAlign w:val="bottom"/>
          </w:tcPr>
          <w:p w14:paraId="0717A3FF" w14:textId="08A237DA" w:rsidR="0096171B" w:rsidRPr="0053555E" w:rsidRDefault="0096171B" w:rsidP="0096171B">
            <w:pPr>
              <w:jc w:val="center"/>
              <w:rPr>
                <w:rFonts w:asciiTheme="majorHAnsi" w:hAnsiTheme="majorHAnsi" w:cstheme="majorHAnsi"/>
                <w:b/>
                <w:sz w:val="22"/>
                <w:szCs w:val="20"/>
              </w:rPr>
            </w:pPr>
            <w:r w:rsidRPr="0053555E">
              <w:rPr>
                <w:rFonts w:cs="Calibri"/>
                <w:sz w:val="22"/>
                <w:szCs w:val="20"/>
              </w:rPr>
              <w:t>1 520</w:t>
            </w:r>
          </w:p>
        </w:tc>
        <w:tc>
          <w:tcPr>
            <w:tcW w:w="1300" w:type="dxa"/>
            <w:shd w:val="clear" w:color="auto" w:fill="EEECE1" w:themeFill="background2"/>
            <w:noWrap/>
            <w:vAlign w:val="center"/>
          </w:tcPr>
          <w:p w14:paraId="30FB1114" w14:textId="6E8261AE" w:rsidR="0096171B" w:rsidRPr="0053555E" w:rsidRDefault="0096171B" w:rsidP="0096171B">
            <w:pPr>
              <w:jc w:val="center"/>
              <w:rPr>
                <w:rFonts w:asciiTheme="majorHAnsi" w:hAnsiTheme="majorHAnsi" w:cstheme="majorHAnsi"/>
                <w:b/>
                <w:sz w:val="22"/>
                <w:szCs w:val="20"/>
              </w:rPr>
            </w:pPr>
            <w:r w:rsidRPr="0053555E">
              <w:rPr>
                <w:rFonts w:cs="Calibri"/>
                <w:b/>
                <w:bCs/>
                <w:sz w:val="22"/>
                <w:szCs w:val="20"/>
              </w:rPr>
              <w:t>91,0</w:t>
            </w:r>
            <w:r w:rsidR="00422D21" w:rsidRPr="0053555E">
              <w:rPr>
                <w:rFonts w:cs="Calibri"/>
                <w:b/>
                <w:bCs/>
                <w:sz w:val="22"/>
                <w:szCs w:val="20"/>
              </w:rPr>
              <w:t xml:space="preserve"> </w:t>
            </w:r>
            <w:r w:rsidRPr="0053555E">
              <w:rPr>
                <w:rFonts w:cs="Calibri"/>
                <w:b/>
                <w:bCs/>
                <w:sz w:val="22"/>
                <w:szCs w:val="20"/>
              </w:rPr>
              <w:t>%</w:t>
            </w:r>
          </w:p>
        </w:tc>
      </w:tr>
      <w:tr w:rsidR="0096171B" w:rsidRPr="0053555E" w14:paraId="5FF213DC" w14:textId="77777777" w:rsidTr="002F1CF4">
        <w:trPr>
          <w:trHeight w:val="255"/>
        </w:trPr>
        <w:tc>
          <w:tcPr>
            <w:tcW w:w="1216" w:type="dxa"/>
            <w:shd w:val="clear" w:color="auto" w:fill="auto"/>
            <w:noWrap/>
            <w:vAlign w:val="bottom"/>
          </w:tcPr>
          <w:p w14:paraId="493A710B" w14:textId="1925CC89" w:rsidR="0096171B" w:rsidRPr="0053555E" w:rsidRDefault="0096171B" w:rsidP="0096171B">
            <w:pPr>
              <w:jc w:val="center"/>
              <w:rPr>
                <w:rFonts w:asciiTheme="majorHAnsi" w:hAnsiTheme="majorHAnsi" w:cstheme="majorHAnsi"/>
                <w:sz w:val="22"/>
                <w:szCs w:val="20"/>
              </w:rPr>
            </w:pPr>
            <w:r w:rsidRPr="0053555E">
              <w:rPr>
                <w:rFonts w:cs="Calibri"/>
                <w:sz w:val="22"/>
                <w:szCs w:val="20"/>
              </w:rPr>
              <w:t>2017/2018</w:t>
            </w:r>
          </w:p>
        </w:tc>
        <w:tc>
          <w:tcPr>
            <w:tcW w:w="1299" w:type="dxa"/>
            <w:shd w:val="clear" w:color="auto" w:fill="auto"/>
            <w:noWrap/>
            <w:vAlign w:val="bottom"/>
          </w:tcPr>
          <w:p w14:paraId="620F7DC6" w14:textId="3E67C6BE" w:rsidR="0096171B" w:rsidRPr="0053555E" w:rsidRDefault="0096171B" w:rsidP="0096171B">
            <w:pPr>
              <w:jc w:val="center"/>
              <w:rPr>
                <w:rFonts w:asciiTheme="majorHAnsi" w:hAnsiTheme="majorHAnsi" w:cstheme="majorHAnsi"/>
                <w:sz w:val="22"/>
                <w:szCs w:val="20"/>
              </w:rPr>
            </w:pPr>
            <w:r w:rsidRPr="0053555E">
              <w:rPr>
                <w:rFonts w:cs="Calibri"/>
                <w:sz w:val="22"/>
                <w:szCs w:val="20"/>
              </w:rPr>
              <w:t>2 481</w:t>
            </w:r>
          </w:p>
        </w:tc>
        <w:tc>
          <w:tcPr>
            <w:tcW w:w="1299" w:type="dxa"/>
            <w:shd w:val="clear" w:color="auto" w:fill="auto"/>
            <w:noWrap/>
            <w:vAlign w:val="bottom"/>
          </w:tcPr>
          <w:p w14:paraId="0758F96A" w14:textId="6FCEE96E" w:rsidR="0096171B" w:rsidRPr="0053555E" w:rsidRDefault="0096171B" w:rsidP="0096171B">
            <w:pPr>
              <w:jc w:val="center"/>
              <w:rPr>
                <w:rFonts w:asciiTheme="majorHAnsi" w:hAnsiTheme="majorHAnsi" w:cstheme="majorHAnsi"/>
                <w:sz w:val="22"/>
                <w:szCs w:val="20"/>
              </w:rPr>
            </w:pPr>
            <w:r w:rsidRPr="0053555E">
              <w:rPr>
                <w:rFonts w:cs="Calibri"/>
                <w:sz w:val="22"/>
                <w:szCs w:val="20"/>
              </w:rPr>
              <w:t>948</w:t>
            </w:r>
          </w:p>
        </w:tc>
        <w:tc>
          <w:tcPr>
            <w:tcW w:w="1300" w:type="dxa"/>
            <w:shd w:val="clear" w:color="auto" w:fill="EEECE1" w:themeFill="background2"/>
            <w:vAlign w:val="bottom"/>
          </w:tcPr>
          <w:p w14:paraId="7B64FADF" w14:textId="1E7EB4D4" w:rsidR="0096171B" w:rsidRPr="0053555E" w:rsidRDefault="0096171B" w:rsidP="0096171B">
            <w:pPr>
              <w:jc w:val="center"/>
              <w:rPr>
                <w:rFonts w:asciiTheme="majorHAnsi" w:hAnsiTheme="majorHAnsi" w:cstheme="majorHAnsi"/>
                <w:sz w:val="22"/>
                <w:szCs w:val="20"/>
              </w:rPr>
            </w:pPr>
            <w:r w:rsidRPr="0053555E">
              <w:rPr>
                <w:rFonts w:cs="Calibri"/>
                <w:b/>
                <w:bCs/>
                <w:sz w:val="22"/>
                <w:szCs w:val="20"/>
              </w:rPr>
              <w:t>38,2</w:t>
            </w:r>
            <w:r w:rsidR="00422D21" w:rsidRPr="0053555E">
              <w:rPr>
                <w:rFonts w:cs="Calibri"/>
                <w:b/>
                <w:bCs/>
                <w:sz w:val="22"/>
                <w:szCs w:val="20"/>
              </w:rPr>
              <w:t xml:space="preserve"> </w:t>
            </w:r>
            <w:r w:rsidRPr="0053555E">
              <w:rPr>
                <w:rFonts w:cs="Calibri"/>
                <w:b/>
                <w:bCs/>
                <w:sz w:val="22"/>
                <w:szCs w:val="20"/>
              </w:rPr>
              <w:t>%</w:t>
            </w:r>
          </w:p>
        </w:tc>
        <w:tc>
          <w:tcPr>
            <w:tcW w:w="1299" w:type="dxa"/>
            <w:shd w:val="clear" w:color="auto" w:fill="auto"/>
            <w:vAlign w:val="bottom"/>
          </w:tcPr>
          <w:p w14:paraId="6BF93305" w14:textId="5B01B0E7" w:rsidR="0096171B" w:rsidRPr="0053555E" w:rsidRDefault="0096171B" w:rsidP="0096171B">
            <w:pPr>
              <w:jc w:val="center"/>
              <w:rPr>
                <w:rFonts w:asciiTheme="majorHAnsi" w:hAnsiTheme="majorHAnsi" w:cstheme="majorHAnsi"/>
                <w:sz w:val="22"/>
                <w:szCs w:val="20"/>
              </w:rPr>
            </w:pPr>
            <w:r w:rsidRPr="0053555E">
              <w:rPr>
                <w:rFonts w:cs="Calibri"/>
                <w:sz w:val="22"/>
                <w:szCs w:val="20"/>
              </w:rPr>
              <w:t>1 533</w:t>
            </w:r>
          </w:p>
        </w:tc>
        <w:tc>
          <w:tcPr>
            <w:tcW w:w="1299" w:type="dxa"/>
            <w:shd w:val="clear" w:color="auto" w:fill="EEECE1" w:themeFill="background2"/>
            <w:vAlign w:val="bottom"/>
          </w:tcPr>
          <w:p w14:paraId="52274A51" w14:textId="0CF5F0E4" w:rsidR="0096171B" w:rsidRPr="0053555E" w:rsidRDefault="0096171B" w:rsidP="0096171B">
            <w:pPr>
              <w:jc w:val="center"/>
              <w:rPr>
                <w:rFonts w:asciiTheme="majorHAnsi" w:hAnsiTheme="majorHAnsi" w:cstheme="majorHAnsi"/>
                <w:b/>
                <w:sz w:val="22"/>
                <w:szCs w:val="20"/>
              </w:rPr>
            </w:pPr>
            <w:r w:rsidRPr="0053555E">
              <w:rPr>
                <w:rFonts w:cs="Calibri"/>
                <w:sz w:val="22"/>
                <w:szCs w:val="20"/>
              </w:rPr>
              <w:t>1 415</w:t>
            </w:r>
          </w:p>
        </w:tc>
        <w:tc>
          <w:tcPr>
            <w:tcW w:w="1300" w:type="dxa"/>
            <w:shd w:val="clear" w:color="auto" w:fill="EEECE1" w:themeFill="background2"/>
            <w:noWrap/>
            <w:vAlign w:val="center"/>
          </w:tcPr>
          <w:p w14:paraId="485AD6DF" w14:textId="1AEA524A" w:rsidR="0096171B" w:rsidRPr="0053555E" w:rsidRDefault="0096171B" w:rsidP="0096171B">
            <w:pPr>
              <w:jc w:val="center"/>
              <w:rPr>
                <w:rFonts w:asciiTheme="majorHAnsi" w:hAnsiTheme="majorHAnsi" w:cstheme="majorHAnsi"/>
                <w:b/>
                <w:sz w:val="22"/>
                <w:szCs w:val="20"/>
              </w:rPr>
            </w:pPr>
            <w:r w:rsidRPr="0053555E">
              <w:rPr>
                <w:rFonts w:cs="Calibri"/>
                <w:b/>
                <w:bCs/>
                <w:sz w:val="22"/>
                <w:szCs w:val="20"/>
              </w:rPr>
              <w:t>92,3</w:t>
            </w:r>
            <w:r w:rsidR="00422D21" w:rsidRPr="0053555E">
              <w:rPr>
                <w:rFonts w:cs="Calibri"/>
                <w:b/>
                <w:bCs/>
                <w:sz w:val="22"/>
                <w:szCs w:val="20"/>
              </w:rPr>
              <w:t xml:space="preserve"> </w:t>
            </w:r>
            <w:r w:rsidRPr="0053555E">
              <w:rPr>
                <w:rFonts w:cs="Calibri"/>
                <w:b/>
                <w:bCs/>
                <w:sz w:val="22"/>
                <w:szCs w:val="20"/>
              </w:rPr>
              <w:t>%</w:t>
            </w:r>
          </w:p>
        </w:tc>
      </w:tr>
      <w:tr w:rsidR="0096171B" w:rsidRPr="0053555E" w14:paraId="6A5471E1" w14:textId="77777777" w:rsidTr="002F1CF4">
        <w:trPr>
          <w:trHeight w:val="255"/>
        </w:trPr>
        <w:tc>
          <w:tcPr>
            <w:tcW w:w="1216" w:type="dxa"/>
            <w:shd w:val="clear" w:color="auto" w:fill="auto"/>
            <w:noWrap/>
            <w:vAlign w:val="bottom"/>
          </w:tcPr>
          <w:p w14:paraId="64F0B982" w14:textId="6BBFA3B6" w:rsidR="0096171B" w:rsidRPr="0053555E" w:rsidRDefault="0096171B" w:rsidP="0096171B">
            <w:pPr>
              <w:jc w:val="center"/>
              <w:rPr>
                <w:rFonts w:asciiTheme="majorHAnsi" w:hAnsiTheme="majorHAnsi" w:cstheme="majorHAnsi"/>
                <w:sz w:val="22"/>
                <w:szCs w:val="20"/>
              </w:rPr>
            </w:pPr>
            <w:r w:rsidRPr="0053555E">
              <w:rPr>
                <w:rFonts w:cs="Calibri"/>
                <w:sz w:val="22"/>
                <w:szCs w:val="20"/>
              </w:rPr>
              <w:t>2018/2019</w:t>
            </w:r>
          </w:p>
        </w:tc>
        <w:tc>
          <w:tcPr>
            <w:tcW w:w="1299" w:type="dxa"/>
            <w:shd w:val="clear" w:color="auto" w:fill="auto"/>
            <w:noWrap/>
            <w:vAlign w:val="bottom"/>
          </w:tcPr>
          <w:p w14:paraId="0209A139" w14:textId="22AD9E67" w:rsidR="0096171B" w:rsidRPr="0053555E" w:rsidRDefault="0096171B" w:rsidP="0096171B">
            <w:pPr>
              <w:jc w:val="center"/>
              <w:rPr>
                <w:rFonts w:asciiTheme="majorHAnsi" w:hAnsiTheme="majorHAnsi" w:cstheme="majorHAnsi"/>
                <w:sz w:val="22"/>
                <w:szCs w:val="20"/>
              </w:rPr>
            </w:pPr>
            <w:r w:rsidRPr="0053555E">
              <w:rPr>
                <w:rFonts w:cs="Calibri"/>
                <w:sz w:val="22"/>
                <w:szCs w:val="20"/>
              </w:rPr>
              <w:t>2 259</w:t>
            </w:r>
          </w:p>
        </w:tc>
        <w:tc>
          <w:tcPr>
            <w:tcW w:w="1299" w:type="dxa"/>
            <w:shd w:val="clear" w:color="auto" w:fill="auto"/>
            <w:noWrap/>
            <w:vAlign w:val="bottom"/>
          </w:tcPr>
          <w:p w14:paraId="467AB7E3" w14:textId="6F2D7F89" w:rsidR="0096171B" w:rsidRPr="0053555E" w:rsidRDefault="0096171B" w:rsidP="0096171B">
            <w:pPr>
              <w:jc w:val="center"/>
              <w:rPr>
                <w:rFonts w:asciiTheme="majorHAnsi" w:hAnsiTheme="majorHAnsi" w:cstheme="majorHAnsi"/>
                <w:sz w:val="22"/>
                <w:szCs w:val="20"/>
              </w:rPr>
            </w:pPr>
            <w:r w:rsidRPr="0053555E">
              <w:rPr>
                <w:rFonts w:cs="Calibri"/>
                <w:sz w:val="22"/>
                <w:szCs w:val="20"/>
              </w:rPr>
              <w:t>829</w:t>
            </w:r>
          </w:p>
        </w:tc>
        <w:tc>
          <w:tcPr>
            <w:tcW w:w="1300" w:type="dxa"/>
            <w:shd w:val="clear" w:color="auto" w:fill="EEECE1" w:themeFill="background2"/>
            <w:vAlign w:val="bottom"/>
          </w:tcPr>
          <w:p w14:paraId="6CED5170" w14:textId="7DEBDB97" w:rsidR="0096171B" w:rsidRPr="0053555E" w:rsidRDefault="0096171B" w:rsidP="0096171B">
            <w:pPr>
              <w:jc w:val="center"/>
              <w:rPr>
                <w:rFonts w:asciiTheme="majorHAnsi" w:hAnsiTheme="majorHAnsi" w:cstheme="majorHAnsi"/>
                <w:sz w:val="22"/>
                <w:szCs w:val="20"/>
              </w:rPr>
            </w:pPr>
            <w:r w:rsidRPr="0053555E">
              <w:rPr>
                <w:rFonts w:cs="Calibri"/>
                <w:b/>
                <w:bCs/>
                <w:sz w:val="22"/>
                <w:szCs w:val="20"/>
              </w:rPr>
              <w:t>36,7</w:t>
            </w:r>
            <w:r w:rsidR="00422D21" w:rsidRPr="0053555E">
              <w:rPr>
                <w:rFonts w:cs="Calibri"/>
                <w:b/>
                <w:bCs/>
                <w:sz w:val="22"/>
                <w:szCs w:val="20"/>
              </w:rPr>
              <w:t xml:space="preserve"> </w:t>
            </w:r>
            <w:r w:rsidRPr="0053555E">
              <w:rPr>
                <w:rFonts w:cs="Calibri"/>
                <w:b/>
                <w:bCs/>
                <w:sz w:val="22"/>
                <w:szCs w:val="20"/>
              </w:rPr>
              <w:t>%</w:t>
            </w:r>
          </w:p>
        </w:tc>
        <w:tc>
          <w:tcPr>
            <w:tcW w:w="1299" w:type="dxa"/>
            <w:shd w:val="clear" w:color="auto" w:fill="auto"/>
            <w:vAlign w:val="bottom"/>
          </w:tcPr>
          <w:p w14:paraId="675A1B97" w14:textId="356724C3" w:rsidR="0096171B" w:rsidRPr="0053555E" w:rsidRDefault="0096171B" w:rsidP="0096171B">
            <w:pPr>
              <w:jc w:val="center"/>
              <w:rPr>
                <w:rFonts w:asciiTheme="majorHAnsi" w:hAnsiTheme="majorHAnsi" w:cstheme="majorHAnsi"/>
                <w:sz w:val="22"/>
                <w:szCs w:val="20"/>
              </w:rPr>
            </w:pPr>
            <w:r w:rsidRPr="0053555E">
              <w:rPr>
                <w:rFonts w:cs="Calibri"/>
                <w:sz w:val="22"/>
                <w:szCs w:val="20"/>
              </w:rPr>
              <w:t>1 430</w:t>
            </w:r>
          </w:p>
        </w:tc>
        <w:tc>
          <w:tcPr>
            <w:tcW w:w="1299" w:type="dxa"/>
            <w:shd w:val="clear" w:color="auto" w:fill="EEECE1" w:themeFill="background2"/>
            <w:vAlign w:val="bottom"/>
          </w:tcPr>
          <w:p w14:paraId="06E14AE6" w14:textId="24915694" w:rsidR="0096171B" w:rsidRPr="0053555E" w:rsidRDefault="0096171B" w:rsidP="0096171B">
            <w:pPr>
              <w:jc w:val="center"/>
              <w:rPr>
                <w:rFonts w:asciiTheme="majorHAnsi" w:hAnsiTheme="majorHAnsi" w:cstheme="majorHAnsi"/>
                <w:b/>
                <w:sz w:val="22"/>
                <w:szCs w:val="20"/>
              </w:rPr>
            </w:pPr>
            <w:r w:rsidRPr="0053555E">
              <w:rPr>
                <w:rFonts w:cs="Calibri"/>
                <w:sz w:val="22"/>
                <w:szCs w:val="20"/>
              </w:rPr>
              <w:t>1 307</w:t>
            </w:r>
          </w:p>
        </w:tc>
        <w:tc>
          <w:tcPr>
            <w:tcW w:w="1300" w:type="dxa"/>
            <w:shd w:val="clear" w:color="auto" w:fill="EEECE1" w:themeFill="background2"/>
            <w:noWrap/>
            <w:vAlign w:val="center"/>
          </w:tcPr>
          <w:p w14:paraId="0C030145" w14:textId="2A63A0F3" w:rsidR="0096171B" w:rsidRPr="0053555E" w:rsidRDefault="0096171B" w:rsidP="0096171B">
            <w:pPr>
              <w:jc w:val="center"/>
              <w:rPr>
                <w:rFonts w:asciiTheme="majorHAnsi" w:hAnsiTheme="majorHAnsi" w:cstheme="majorHAnsi"/>
                <w:b/>
                <w:sz w:val="22"/>
                <w:szCs w:val="20"/>
              </w:rPr>
            </w:pPr>
            <w:r w:rsidRPr="0053555E">
              <w:rPr>
                <w:rFonts w:cs="Calibri"/>
                <w:b/>
                <w:bCs/>
                <w:sz w:val="22"/>
                <w:szCs w:val="20"/>
              </w:rPr>
              <w:t>91,4</w:t>
            </w:r>
            <w:r w:rsidR="00422D21" w:rsidRPr="0053555E">
              <w:rPr>
                <w:rFonts w:cs="Calibri"/>
                <w:b/>
                <w:bCs/>
                <w:sz w:val="22"/>
                <w:szCs w:val="20"/>
              </w:rPr>
              <w:t xml:space="preserve"> </w:t>
            </w:r>
            <w:r w:rsidRPr="0053555E">
              <w:rPr>
                <w:rFonts w:cs="Calibri"/>
                <w:b/>
                <w:bCs/>
                <w:sz w:val="22"/>
                <w:szCs w:val="20"/>
              </w:rPr>
              <w:t>%</w:t>
            </w:r>
          </w:p>
        </w:tc>
      </w:tr>
      <w:tr w:rsidR="0096171B" w:rsidRPr="0053555E" w14:paraId="7E305B24" w14:textId="77777777" w:rsidTr="002F1CF4">
        <w:trPr>
          <w:trHeight w:val="255"/>
        </w:trPr>
        <w:tc>
          <w:tcPr>
            <w:tcW w:w="1216" w:type="dxa"/>
            <w:shd w:val="clear" w:color="auto" w:fill="auto"/>
            <w:noWrap/>
            <w:vAlign w:val="bottom"/>
          </w:tcPr>
          <w:p w14:paraId="44A1BF52" w14:textId="735D69E9" w:rsidR="0096171B" w:rsidRPr="0053555E" w:rsidRDefault="0096171B" w:rsidP="0096171B">
            <w:pPr>
              <w:jc w:val="center"/>
              <w:rPr>
                <w:rFonts w:asciiTheme="majorHAnsi" w:hAnsiTheme="majorHAnsi" w:cstheme="majorHAnsi"/>
                <w:b/>
                <w:sz w:val="22"/>
                <w:szCs w:val="20"/>
              </w:rPr>
            </w:pPr>
            <w:r w:rsidRPr="0053555E">
              <w:rPr>
                <w:rFonts w:cs="Calibri"/>
                <w:sz w:val="22"/>
                <w:szCs w:val="20"/>
              </w:rPr>
              <w:t>2019/2020</w:t>
            </w:r>
          </w:p>
        </w:tc>
        <w:tc>
          <w:tcPr>
            <w:tcW w:w="1299" w:type="dxa"/>
            <w:shd w:val="clear" w:color="auto" w:fill="auto"/>
            <w:noWrap/>
            <w:vAlign w:val="bottom"/>
          </w:tcPr>
          <w:p w14:paraId="0C358CED" w14:textId="787E9CF9" w:rsidR="0096171B" w:rsidRPr="0053555E" w:rsidRDefault="0096171B" w:rsidP="0096171B">
            <w:pPr>
              <w:jc w:val="center"/>
              <w:rPr>
                <w:rFonts w:asciiTheme="majorHAnsi" w:hAnsiTheme="majorHAnsi" w:cstheme="majorHAnsi"/>
                <w:b/>
                <w:sz w:val="22"/>
                <w:szCs w:val="20"/>
              </w:rPr>
            </w:pPr>
            <w:r w:rsidRPr="0053555E">
              <w:rPr>
                <w:rFonts w:cs="Calibri"/>
                <w:sz w:val="22"/>
                <w:szCs w:val="20"/>
              </w:rPr>
              <w:t>1 979</w:t>
            </w:r>
          </w:p>
        </w:tc>
        <w:tc>
          <w:tcPr>
            <w:tcW w:w="1299" w:type="dxa"/>
            <w:shd w:val="clear" w:color="auto" w:fill="auto"/>
            <w:noWrap/>
            <w:vAlign w:val="bottom"/>
          </w:tcPr>
          <w:p w14:paraId="7D6C154B" w14:textId="6E827E50" w:rsidR="0096171B" w:rsidRPr="0053555E" w:rsidRDefault="0096171B" w:rsidP="0096171B">
            <w:pPr>
              <w:jc w:val="center"/>
              <w:rPr>
                <w:rFonts w:asciiTheme="majorHAnsi" w:hAnsiTheme="majorHAnsi" w:cstheme="majorHAnsi"/>
                <w:b/>
                <w:sz w:val="22"/>
                <w:szCs w:val="20"/>
              </w:rPr>
            </w:pPr>
            <w:r w:rsidRPr="0053555E">
              <w:rPr>
                <w:rFonts w:cs="Calibri"/>
                <w:sz w:val="22"/>
                <w:szCs w:val="20"/>
              </w:rPr>
              <w:t>699</w:t>
            </w:r>
          </w:p>
        </w:tc>
        <w:tc>
          <w:tcPr>
            <w:tcW w:w="1300" w:type="dxa"/>
            <w:shd w:val="clear" w:color="auto" w:fill="EEECE1" w:themeFill="background2"/>
            <w:vAlign w:val="bottom"/>
          </w:tcPr>
          <w:p w14:paraId="3679DD1A" w14:textId="5C5420FF" w:rsidR="0096171B" w:rsidRPr="0053555E" w:rsidRDefault="0096171B" w:rsidP="0096171B">
            <w:pPr>
              <w:jc w:val="center"/>
              <w:rPr>
                <w:rFonts w:asciiTheme="majorHAnsi" w:hAnsiTheme="majorHAnsi" w:cstheme="majorHAnsi"/>
                <w:sz w:val="22"/>
                <w:szCs w:val="20"/>
              </w:rPr>
            </w:pPr>
            <w:r w:rsidRPr="0053555E">
              <w:rPr>
                <w:rFonts w:cs="Calibri"/>
                <w:b/>
                <w:bCs/>
                <w:sz w:val="22"/>
                <w:szCs w:val="20"/>
              </w:rPr>
              <w:t>35,3</w:t>
            </w:r>
            <w:r w:rsidR="00422D21" w:rsidRPr="0053555E">
              <w:rPr>
                <w:rFonts w:cs="Calibri"/>
                <w:b/>
                <w:bCs/>
                <w:sz w:val="22"/>
                <w:szCs w:val="20"/>
              </w:rPr>
              <w:t xml:space="preserve"> </w:t>
            </w:r>
            <w:r w:rsidRPr="0053555E">
              <w:rPr>
                <w:rFonts w:cs="Calibri"/>
                <w:b/>
                <w:bCs/>
                <w:sz w:val="22"/>
                <w:szCs w:val="20"/>
              </w:rPr>
              <w:t>%</w:t>
            </w:r>
          </w:p>
        </w:tc>
        <w:tc>
          <w:tcPr>
            <w:tcW w:w="1299" w:type="dxa"/>
            <w:shd w:val="clear" w:color="auto" w:fill="auto"/>
            <w:vAlign w:val="bottom"/>
          </w:tcPr>
          <w:p w14:paraId="7C23F5D9" w14:textId="47A0B2AD" w:rsidR="0096171B" w:rsidRPr="0053555E" w:rsidRDefault="0096171B" w:rsidP="0096171B">
            <w:pPr>
              <w:jc w:val="center"/>
              <w:rPr>
                <w:rFonts w:asciiTheme="majorHAnsi" w:hAnsiTheme="majorHAnsi" w:cstheme="majorHAnsi"/>
                <w:b/>
                <w:sz w:val="22"/>
                <w:szCs w:val="20"/>
              </w:rPr>
            </w:pPr>
            <w:r w:rsidRPr="0053555E">
              <w:rPr>
                <w:rFonts w:cs="Calibri"/>
                <w:sz w:val="22"/>
                <w:szCs w:val="20"/>
              </w:rPr>
              <w:t>1 280</w:t>
            </w:r>
          </w:p>
        </w:tc>
        <w:tc>
          <w:tcPr>
            <w:tcW w:w="1299" w:type="dxa"/>
            <w:shd w:val="clear" w:color="auto" w:fill="EEECE1" w:themeFill="background2"/>
            <w:vAlign w:val="bottom"/>
          </w:tcPr>
          <w:p w14:paraId="0A9B8A02" w14:textId="69D7AEDB" w:rsidR="0096171B" w:rsidRPr="0053555E" w:rsidRDefault="0096171B" w:rsidP="0096171B">
            <w:pPr>
              <w:jc w:val="center"/>
              <w:rPr>
                <w:rFonts w:asciiTheme="majorHAnsi" w:hAnsiTheme="majorHAnsi" w:cstheme="majorHAnsi"/>
                <w:b/>
                <w:bCs/>
                <w:sz w:val="22"/>
                <w:szCs w:val="20"/>
              </w:rPr>
            </w:pPr>
            <w:r w:rsidRPr="0053555E">
              <w:rPr>
                <w:rFonts w:cs="Calibri"/>
                <w:sz w:val="22"/>
                <w:szCs w:val="20"/>
              </w:rPr>
              <w:t>1 165</w:t>
            </w:r>
          </w:p>
        </w:tc>
        <w:tc>
          <w:tcPr>
            <w:tcW w:w="1300" w:type="dxa"/>
            <w:shd w:val="clear" w:color="auto" w:fill="EEECE1" w:themeFill="background2"/>
            <w:noWrap/>
            <w:vAlign w:val="center"/>
          </w:tcPr>
          <w:p w14:paraId="0C0A3217" w14:textId="4B22495E" w:rsidR="0096171B" w:rsidRPr="0053555E" w:rsidRDefault="0096171B" w:rsidP="0096171B">
            <w:pPr>
              <w:jc w:val="center"/>
              <w:rPr>
                <w:rFonts w:asciiTheme="majorHAnsi" w:hAnsiTheme="majorHAnsi" w:cstheme="majorHAnsi"/>
                <w:b/>
                <w:bCs/>
                <w:sz w:val="22"/>
                <w:szCs w:val="20"/>
              </w:rPr>
            </w:pPr>
            <w:r w:rsidRPr="0053555E">
              <w:rPr>
                <w:rFonts w:cs="Calibri"/>
                <w:b/>
                <w:bCs/>
                <w:sz w:val="22"/>
                <w:szCs w:val="20"/>
              </w:rPr>
              <w:t>91,0</w:t>
            </w:r>
            <w:r w:rsidR="00422D21" w:rsidRPr="0053555E">
              <w:rPr>
                <w:rFonts w:cs="Calibri"/>
                <w:b/>
                <w:bCs/>
                <w:sz w:val="22"/>
                <w:szCs w:val="20"/>
              </w:rPr>
              <w:t xml:space="preserve"> </w:t>
            </w:r>
            <w:r w:rsidRPr="0053555E">
              <w:rPr>
                <w:rFonts w:cs="Calibri"/>
                <w:b/>
                <w:bCs/>
                <w:sz w:val="22"/>
                <w:szCs w:val="20"/>
              </w:rPr>
              <w:t>%</w:t>
            </w:r>
          </w:p>
        </w:tc>
      </w:tr>
      <w:tr w:rsidR="0096171B" w:rsidRPr="0053555E" w14:paraId="1E6171F6" w14:textId="77777777" w:rsidTr="002F1CF4">
        <w:trPr>
          <w:trHeight w:val="255"/>
        </w:trPr>
        <w:tc>
          <w:tcPr>
            <w:tcW w:w="1216" w:type="dxa"/>
            <w:shd w:val="clear" w:color="auto" w:fill="auto"/>
            <w:noWrap/>
            <w:vAlign w:val="bottom"/>
          </w:tcPr>
          <w:p w14:paraId="27F4B72F" w14:textId="10CA84C9" w:rsidR="0096171B" w:rsidRPr="0053555E" w:rsidRDefault="0096171B" w:rsidP="0096171B">
            <w:pPr>
              <w:jc w:val="center"/>
              <w:rPr>
                <w:rFonts w:asciiTheme="majorHAnsi" w:hAnsiTheme="majorHAnsi" w:cstheme="majorHAnsi"/>
                <w:sz w:val="22"/>
                <w:szCs w:val="20"/>
              </w:rPr>
            </w:pPr>
            <w:r w:rsidRPr="0053555E">
              <w:rPr>
                <w:rFonts w:cs="Calibri"/>
                <w:sz w:val="22"/>
                <w:szCs w:val="20"/>
              </w:rPr>
              <w:t>2020/2021</w:t>
            </w:r>
          </w:p>
        </w:tc>
        <w:tc>
          <w:tcPr>
            <w:tcW w:w="1299" w:type="dxa"/>
            <w:shd w:val="clear" w:color="auto" w:fill="auto"/>
            <w:noWrap/>
            <w:vAlign w:val="bottom"/>
          </w:tcPr>
          <w:p w14:paraId="7224569F" w14:textId="4454BDA7" w:rsidR="0096171B" w:rsidRPr="0053555E" w:rsidRDefault="0096171B" w:rsidP="0096171B">
            <w:pPr>
              <w:jc w:val="center"/>
              <w:rPr>
                <w:rFonts w:asciiTheme="majorHAnsi" w:hAnsiTheme="majorHAnsi" w:cstheme="majorHAnsi"/>
                <w:sz w:val="22"/>
                <w:szCs w:val="20"/>
              </w:rPr>
            </w:pPr>
            <w:r w:rsidRPr="0053555E">
              <w:rPr>
                <w:rFonts w:cs="Calibri"/>
                <w:sz w:val="22"/>
                <w:szCs w:val="20"/>
              </w:rPr>
              <w:t>2 024</w:t>
            </w:r>
          </w:p>
        </w:tc>
        <w:tc>
          <w:tcPr>
            <w:tcW w:w="1299" w:type="dxa"/>
            <w:shd w:val="clear" w:color="auto" w:fill="auto"/>
            <w:noWrap/>
            <w:vAlign w:val="bottom"/>
          </w:tcPr>
          <w:p w14:paraId="771BF5B7" w14:textId="01FC9713" w:rsidR="0096171B" w:rsidRPr="0053555E" w:rsidRDefault="0096171B" w:rsidP="0096171B">
            <w:pPr>
              <w:jc w:val="center"/>
              <w:rPr>
                <w:rFonts w:asciiTheme="majorHAnsi" w:hAnsiTheme="majorHAnsi" w:cstheme="majorHAnsi"/>
                <w:sz w:val="22"/>
                <w:szCs w:val="20"/>
              </w:rPr>
            </w:pPr>
            <w:r w:rsidRPr="0053555E">
              <w:rPr>
                <w:rFonts w:cs="Calibri"/>
                <w:sz w:val="22"/>
                <w:szCs w:val="20"/>
              </w:rPr>
              <w:t>628</w:t>
            </w:r>
          </w:p>
        </w:tc>
        <w:tc>
          <w:tcPr>
            <w:tcW w:w="1300" w:type="dxa"/>
            <w:shd w:val="clear" w:color="auto" w:fill="EEECE1" w:themeFill="background2"/>
            <w:vAlign w:val="bottom"/>
          </w:tcPr>
          <w:p w14:paraId="06AE5350" w14:textId="2282BB44" w:rsidR="0096171B" w:rsidRPr="0053555E" w:rsidRDefault="0096171B" w:rsidP="0096171B">
            <w:pPr>
              <w:jc w:val="center"/>
              <w:rPr>
                <w:rFonts w:asciiTheme="majorHAnsi" w:hAnsiTheme="majorHAnsi" w:cstheme="majorHAnsi"/>
                <w:bCs/>
                <w:sz w:val="22"/>
                <w:szCs w:val="20"/>
              </w:rPr>
            </w:pPr>
            <w:r w:rsidRPr="0053555E">
              <w:rPr>
                <w:rFonts w:cs="Calibri"/>
                <w:b/>
                <w:bCs/>
                <w:sz w:val="22"/>
                <w:szCs w:val="20"/>
              </w:rPr>
              <w:t>31,0</w:t>
            </w:r>
            <w:r w:rsidR="00422D21" w:rsidRPr="0053555E">
              <w:rPr>
                <w:rFonts w:cs="Calibri"/>
                <w:b/>
                <w:bCs/>
                <w:sz w:val="22"/>
                <w:szCs w:val="20"/>
              </w:rPr>
              <w:t xml:space="preserve"> </w:t>
            </w:r>
            <w:r w:rsidRPr="0053555E">
              <w:rPr>
                <w:rFonts w:cs="Calibri"/>
                <w:b/>
                <w:bCs/>
                <w:sz w:val="22"/>
                <w:szCs w:val="20"/>
              </w:rPr>
              <w:t>%</w:t>
            </w:r>
          </w:p>
        </w:tc>
        <w:tc>
          <w:tcPr>
            <w:tcW w:w="1299" w:type="dxa"/>
            <w:shd w:val="clear" w:color="auto" w:fill="auto"/>
            <w:vAlign w:val="bottom"/>
          </w:tcPr>
          <w:p w14:paraId="68BED1D7" w14:textId="70685C27" w:rsidR="0096171B" w:rsidRPr="0053555E" w:rsidRDefault="0096171B" w:rsidP="0096171B">
            <w:pPr>
              <w:jc w:val="center"/>
              <w:rPr>
                <w:rFonts w:asciiTheme="majorHAnsi" w:hAnsiTheme="majorHAnsi" w:cstheme="majorHAnsi"/>
                <w:sz w:val="22"/>
                <w:szCs w:val="20"/>
              </w:rPr>
            </w:pPr>
            <w:r w:rsidRPr="0053555E">
              <w:rPr>
                <w:rFonts w:cs="Calibri"/>
                <w:sz w:val="22"/>
                <w:szCs w:val="20"/>
              </w:rPr>
              <w:t>1 396</w:t>
            </w:r>
          </w:p>
        </w:tc>
        <w:tc>
          <w:tcPr>
            <w:tcW w:w="1299" w:type="dxa"/>
            <w:shd w:val="clear" w:color="auto" w:fill="EEECE1" w:themeFill="background2"/>
            <w:vAlign w:val="bottom"/>
          </w:tcPr>
          <w:p w14:paraId="7B8524A1" w14:textId="6EA446D7" w:rsidR="0096171B" w:rsidRPr="0053555E" w:rsidRDefault="0096171B" w:rsidP="0096171B">
            <w:pPr>
              <w:jc w:val="center"/>
              <w:rPr>
                <w:rFonts w:asciiTheme="majorHAnsi" w:hAnsiTheme="majorHAnsi" w:cstheme="majorHAnsi"/>
                <w:sz w:val="22"/>
                <w:szCs w:val="20"/>
              </w:rPr>
            </w:pPr>
            <w:r w:rsidRPr="0053555E">
              <w:rPr>
                <w:rFonts w:cs="Calibri"/>
                <w:sz w:val="22"/>
                <w:szCs w:val="20"/>
              </w:rPr>
              <w:t>1 292</w:t>
            </w:r>
          </w:p>
        </w:tc>
        <w:tc>
          <w:tcPr>
            <w:tcW w:w="1300" w:type="dxa"/>
            <w:shd w:val="clear" w:color="auto" w:fill="EEECE1" w:themeFill="background2"/>
            <w:noWrap/>
            <w:vAlign w:val="center"/>
          </w:tcPr>
          <w:p w14:paraId="3DDB3A89" w14:textId="7D6572BC" w:rsidR="0096171B" w:rsidRPr="0053555E" w:rsidRDefault="0096171B" w:rsidP="0096171B">
            <w:pPr>
              <w:jc w:val="center"/>
              <w:rPr>
                <w:rFonts w:asciiTheme="majorHAnsi" w:hAnsiTheme="majorHAnsi" w:cstheme="majorHAnsi"/>
                <w:b/>
                <w:bCs/>
                <w:sz w:val="22"/>
                <w:szCs w:val="20"/>
              </w:rPr>
            </w:pPr>
            <w:r w:rsidRPr="0053555E">
              <w:rPr>
                <w:rFonts w:cs="Calibri"/>
                <w:b/>
                <w:bCs/>
                <w:sz w:val="22"/>
                <w:szCs w:val="20"/>
              </w:rPr>
              <w:t>92,6</w:t>
            </w:r>
            <w:r w:rsidR="00422D21" w:rsidRPr="0053555E">
              <w:rPr>
                <w:rFonts w:cs="Calibri"/>
                <w:b/>
                <w:bCs/>
                <w:sz w:val="22"/>
                <w:szCs w:val="20"/>
              </w:rPr>
              <w:t xml:space="preserve"> </w:t>
            </w:r>
            <w:r w:rsidRPr="0053555E">
              <w:rPr>
                <w:rFonts w:cs="Calibri"/>
                <w:b/>
                <w:bCs/>
                <w:sz w:val="22"/>
                <w:szCs w:val="20"/>
              </w:rPr>
              <w:t>%</w:t>
            </w:r>
          </w:p>
        </w:tc>
      </w:tr>
      <w:tr w:rsidR="0096171B" w:rsidRPr="0053555E" w14:paraId="73B5FD01" w14:textId="77777777" w:rsidTr="002F1CF4">
        <w:trPr>
          <w:trHeight w:val="255"/>
        </w:trPr>
        <w:tc>
          <w:tcPr>
            <w:tcW w:w="1216" w:type="dxa"/>
            <w:shd w:val="clear" w:color="auto" w:fill="auto"/>
            <w:noWrap/>
            <w:vAlign w:val="bottom"/>
          </w:tcPr>
          <w:p w14:paraId="20257C86" w14:textId="0FF30005" w:rsidR="0096171B" w:rsidRPr="0053555E" w:rsidRDefault="0096171B" w:rsidP="0096171B">
            <w:pPr>
              <w:jc w:val="center"/>
              <w:rPr>
                <w:rFonts w:asciiTheme="majorHAnsi" w:hAnsiTheme="majorHAnsi" w:cstheme="majorHAnsi"/>
                <w:b/>
                <w:sz w:val="22"/>
                <w:szCs w:val="20"/>
              </w:rPr>
            </w:pPr>
            <w:r w:rsidRPr="0053555E">
              <w:rPr>
                <w:rFonts w:cs="Calibri"/>
                <w:b/>
                <w:sz w:val="22"/>
                <w:szCs w:val="20"/>
              </w:rPr>
              <w:t>2021/2022</w:t>
            </w:r>
          </w:p>
        </w:tc>
        <w:tc>
          <w:tcPr>
            <w:tcW w:w="1299" w:type="dxa"/>
            <w:shd w:val="clear" w:color="auto" w:fill="auto"/>
            <w:noWrap/>
            <w:vAlign w:val="bottom"/>
          </w:tcPr>
          <w:p w14:paraId="5926F1AD" w14:textId="5DB1F511" w:rsidR="0096171B" w:rsidRPr="0053555E" w:rsidRDefault="0096171B" w:rsidP="0096171B">
            <w:pPr>
              <w:jc w:val="center"/>
              <w:rPr>
                <w:rFonts w:asciiTheme="majorHAnsi" w:hAnsiTheme="majorHAnsi" w:cstheme="majorHAnsi"/>
                <w:b/>
                <w:sz w:val="22"/>
                <w:szCs w:val="20"/>
              </w:rPr>
            </w:pPr>
            <w:r w:rsidRPr="0053555E">
              <w:rPr>
                <w:rFonts w:cs="Calibri"/>
                <w:b/>
                <w:sz w:val="22"/>
                <w:szCs w:val="20"/>
              </w:rPr>
              <w:t>2 081</w:t>
            </w:r>
          </w:p>
        </w:tc>
        <w:tc>
          <w:tcPr>
            <w:tcW w:w="1299" w:type="dxa"/>
            <w:shd w:val="clear" w:color="auto" w:fill="auto"/>
            <w:noWrap/>
            <w:vAlign w:val="bottom"/>
          </w:tcPr>
          <w:p w14:paraId="46126140" w14:textId="7A6EA790" w:rsidR="0096171B" w:rsidRPr="0053555E" w:rsidRDefault="0096171B" w:rsidP="0096171B">
            <w:pPr>
              <w:jc w:val="center"/>
              <w:rPr>
                <w:rFonts w:asciiTheme="majorHAnsi" w:hAnsiTheme="majorHAnsi" w:cstheme="majorHAnsi"/>
                <w:b/>
                <w:sz w:val="22"/>
                <w:szCs w:val="20"/>
              </w:rPr>
            </w:pPr>
            <w:r w:rsidRPr="0053555E">
              <w:rPr>
                <w:rFonts w:cs="Calibri"/>
                <w:b/>
                <w:sz w:val="22"/>
                <w:szCs w:val="20"/>
              </w:rPr>
              <w:t>695</w:t>
            </w:r>
          </w:p>
        </w:tc>
        <w:tc>
          <w:tcPr>
            <w:tcW w:w="1300" w:type="dxa"/>
            <w:shd w:val="clear" w:color="auto" w:fill="EEECE1" w:themeFill="background2"/>
            <w:vAlign w:val="bottom"/>
          </w:tcPr>
          <w:p w14:paraId="4A29A133" w14:textId="0C56F75F" w:rsidR="0096171B" w:rsidRPr="0053555E" w:rsidRDefault="0096171B" w:rsidP="0096171B">
            <w:pPr>
              <w:jc w:val="center"/>
              <w:rPr>
                <w:rFonts w:asciiTheme="majorHAnsi" w:hAnsiTheme="majorHAnsi" w:cstheme="majorHAnsi"/>
                <w:b/>
                <w:sz w:val="22"/>
                <w:szCs w:val="20"/>
              </w:rPr>
            </w:pPr>
            <w:r w:rsidRPr="0053555E">
              <w:rPr>
                <w:rFonts w:cs="Calibri"/>
                <w:b/>
                <w:bCs/>
                <w:sz w:val="22"/>
                <w:szCs w:val="20"/>
              </w:rPr>
              <w:t>33,4</w:t>
            </w:r>
            <w:r w:rsidR="00422D21" w:rsidRPr="0053555E">
              <w:rPr>
                <w:rFonts w:cs="Calibri"/>
                <w:b/>
                <w:bCs/>
                <w:sz w:val="22"/>
                <w:szCs w:val="20"/>
              </w:rPr>
              <w:t xml:space="preserve"> </w:t>
            </w:r>
            <w:r w:rsidRPr="0053555E">
              <w:rPr>
                <w:rFonts w:cs="Calibri"/>
                <w:b/>
                <w:bCs/>
                <w:sz w:val="22"/>
                <w:szCs w:val="20"/>
              </w:rPr>
              <w:t>%</w:t>
            </w:r>
          </w:p>
        </w:tc>
        <w:tc>
          <w:tcPr>
            <w:tcW w:w="1299" w:type="dxa"/>
            <w:shd w:val="clear" w:color="auto" w:fill="auto"/>
            <w:vAlign w:val="bottom"/>
          </w:tcPr>
          <w:p w14:paraId="3A1A1046" w14:textId="58C5DAE9" w:rsidR="0096171B" w:rsidRPr="0053555E" w:rsidRDefault="0096171B" w:rsidP="0096171B">
            <w:pPr>
              <w:jc w:val="center"/>
              <w:rPr>
                <w:rFonts w:asciiTheme="majorHAnsi" w:hAnsiTheme="majorHAnsi" w:cstheme="majorHAnsi"/>
                <w:b/>
                <w:sz w:val="22"/>
                <w:szCs w:val="20"/>
              </w:rPr>
            </w:pPr>
            <w:r w:rsidRPr="0053555E">
              <w:rPr>
                <w:rFonts w:cs="Calibri"/>
                <w:b/>
                <w:sz w:val="22"/>
                <w:szCs w:val="20"/>
              </w:rPr>
              <w:t>1 386</w:t>
            </w:r>
          </w:p>
        </w:tc>
        <w:tc>
          <w:tcPr>
            <w:tcW w:w="1299" w:type="dxa"/>
            <w:shd w:val="clear" w:color="auto" w:fill="EEECE1" w:themeFill="background2"/>
            <w:vAlign w:val="bottom"/>
          </w:tcPr>
          <w:p w14:paraId="14EF12BE" w14:textId="7EA4FBAA" w:rsidR="0096171B" w:rsidRPr="0053555E" w:rsidRDefault="0096171B" w:rsidP="0096171B">
            <w:pPr>
              <w:jc w:val="center"/>
              <w:rPr>
                <w:rFonts w:asciiTheme="majorHAnsi" w:hAnsiTheme="majorHAnsi" w:cstheme="majorHAnsi"/>
                <w:b/>
                <w:bCs/>
                <w:sz w:val="22"/>
                <w:szCs w:val="20"/>
              </w:rPr>
            </w:pPr>
            <w:r w:rsidRPr="0053555E">
              <w:rPr>
                <w:rFonts w:cs="Calibri"/>
                <w:b/>
                <w:sz w:val="22"/>
                <w:szCs w:val="20"/>
              </w:rPr>
              <w:t>1 249</w:t>
            </w:r>
          </w:p>
        </w:tc>
        <w:tc>
          <w:tcPr>
            <w:tcW w:w="1300" w:type="dxa"/>
            <w:shd w:val="clear" w:color="auto" w:fill="EEECE1" w:themeFill="background2"/>
            <w:noWrap/>
            <w:vAlign w:val="center"/>
          </w:tcPr>
          <w:p w14:paraId="32AEB72D" w14:textId="37EFA376" w:rsidR="0096171B" w:rsidRPr="0053555E" w:rsidRDefault="0096171B" w:rsidP="0096171B">
            <w:pPr>
              <w:jc w:val="center"/>
              <w:rPr>
                <w:rFonts w:asciiTheme="majorHAnsi" w:hAnsiTheme="majorHAnsi" w:cstheme="majorHAnsi"/>
                <w:b/>
                <w:iCs/>
                <w:sz w:val="22"/>
                <w:szCs w:val="20"/>
              </w:rPr>
            </w:pPr>
            <w:r w:rsidRPr="0053555E">
              <w:rPr>
                <w:rFonts w:cs="Calibri"/>
                <w:b/>
                <w:bCs/>
                <w:sz w:val="22"/>
                <w:szCs w:val="20"/>
              </w:rPr>
              <w:t>90,1</w:t>
            </w:r>
            <w:r w:rsidR="00422D21" w:rsidRPr="0053555E">
              <w:rPr>
                <w:rFonts w:cs="Calibri"/>
                <w:b/>
                <w:bCs/>
                <w:sz w:val="22"/>
                <w:szCs w:val="20"/>
              </w:rPr>
              <w:t xml:space="preserve"> </w:t>
            </w:r>
            <w:r w:rsidRPr="0053555E">
              <w:rPr>
                <w:rFonts w:cs="Calibri"/>
                <w:b/>
                <w:bCs/>
                <w:sz w:val="22"/>
                <w:szCs w:val="20"/>
              </w:rPr>
              <w:t>%</w:t>
            </w:r>
          </w:p>
        </w:tc>
      </w:tr>
    </w:tbl>
    <w:p w14:paraId="27B81064" w14:textId="77777777" w:rsidR="00FD0CC3" w:rsidRPr="0053555E" w:rsidRDefault="00342AEF" w:rsidP="00324438">
      <w:pPr>
        <w:tabs>
          <w:tab w:val="left" w:pos="9356"/>
        </w:tabs>
        <w:jc w:val="both"/>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Vysvetlivky:</w:t>
      </w:r>
    </w:p>
    <w:p w14:paraId="5B599E13" w14:textId="77777777" w:rsidR="003841F9" w:rsidRPr="0053555E" w:rsidRDefault="003841F9" w:rsidP="00324438">
      <w:pPr>
        <w:tabs>
          <w:tab w:val="left" w:pos="9356"/>
        </w:tabs>
        <w:jc w:val="both"/>
        <w:rPr>
          <w:rFonts w:asciiTheme="majorHAnsi" w:hAnsiTheme="majorHAnsi" w:cstheme="majorHAnsi"/>
          <w:sz w:val="20"/>
          <w:szCs w:val="20"/>
        </w:rPr>
      </w:pPr>
      <w:r w:rsidRPr="0053555E">
        <w:rPr>
          <w:rFonts w:asciiTheme="majorHAnsi" w:hAnsiTheme="majorHAnsi" w:cstheme="majorHAnsi"/>
          <w:sz w:val="20"/>
          <w:szCs w:val="20"/>
        </w:rPr>
        <w:t>Počet absolventov zapísaných na II. stupeň štúdia na STU (pokračujúci) zahŕňa absolvento</w:t>
      </w:r>
      <w:r w:rsidR="00F44FA3" w:rsidRPr="0053555E">
        <w:rPr>
          <w:rFonts w:asciiTheme="majorHAnsi" w:hAnsiTheme="majorHAnsi" w:cstheme="majorHAnsi"/>
          <w:sz w:val="20"/>
          <w:szCs w:val="20"/>
        </w:rPr>
        <w:t>v</w:t>
      </w:r>
      <w:r w:rsidR="00512AE3" w:rsidRPr="0053555E">
        <w:rPr>
          <w:rFonts w:asciiTheme="majorHAnsi" w:hAnsiTheme="majorHAnsi" w:cstheme="majorHAnsi"/>
          <w:sz w:val="20"/>
          <w:szCs w:val="20"/>
        </w:rPr>
        <w:t>, ktorí riadne skončili štúdium na prvom stupni na STU a</w:t>
      </w:r>
      <w:r w:rsidR="00BA1111" w:rsidRPr="0053555E">
        <w:rPr>
          <w:rFonts w:asciiTheme="majorHAnsi" w:hAnsiTheme="majorHAnsi" w:cstheme="majorHAnsi"/>
          <w:sz w:val="20"/>
          <w:szCs w:val="20"/>
        </w:rPr>
        <w:t> pokračovali (</w:t>
      </w:r>
      <w:r w:rsidR="00512AE3" w:rsidRPr="0053555E">
        <w:rPr>
          <w:rFonts w:asciiTheme="majorHAnsi" w:hAnsiTheme="majorHAnsi" w:cstheme="majorHAnsi"/>
          <w:sz w:val="20"/>
          <w:szCs w:val="20"/>
        </w:rPr>
        <w:t>zapísali sa</w:t>
      </w:r>
      <w:r w:rsidR="00BA1111" w:rsidRPr="0053555E">
        <w:rPr>
          <w:rFonts w:asciiTheme="majorHAnsi" w:hAnsiTheme="majorHAnsi" w:cstheme="majorHAnsi"/>
          <w:sz w:val="20"/>
          <w:szCs w:val="20"/>
        </w:rPr>
        <w:t>)</w:t>
      </w:r>
      <w:r w:rsidR="00512AE3" w:rsidRPr="0053555E">
        <w:rPr>
          <w:rFonts w:asciiTheme="majorHAnsi" w:hAnsiTheme="majorHAnsi" w:cstheme="majorHAnsi"/>
          <w:sz w:val="20"/>
          <w:szCs w:val="20"/>
        </w:rPr>
        <w:t xml:space="preserve"> na druh</w:t>
      </w:r>
      <w:r w:rsidR="00BA1111" w:rsidRPr="0053555E">
        <w:rPr>
          <w:rFonts w:asciiTheme="majorHAnsi" w:hAnsiTheme="majorHAnsi" w:cstheme="majorHAnsi"/>
          <w:sz w:val="20"/>
          <w:szCs w:val="20"/>
        </w:rPr>
        <w:t>om</w:t>
      </w:r>
      <w:r w:rsidR="00512AE3" w:rsidRPr="0053555E">
        <w:rPr>
          <w:rFonts w:asciiTheme="majorHAnsi" w:hAnsiTheme="majorHAnsi" w:cstheme="majorHAnsi"/>
          <w:sz w:val="20"/>
          <w:szCs w:val="20"/>
        </w:rPr>
        <w:t xml:space="preserve"> stup</w:t>
      </w:r>
      <w:r w:rsidR="00BA1111" w:rsidRPr="0053555E">
        <w:rPr>
          <w:rFonts w:asciiTheme="majorHAnsi" w:hAnsiTheme="majorHAnsi" w:cstheme="majorHAnsi"/>
          <w:sz w:val="20"/>
          <w:szCs w:val="20"/>
        </w:rPr>
        <w:t>ni</w:t>
      </w:r>
      <w:r w:rsidR="00512AE3" w:rsidRPr="0053555E">
        <w:rPr>
          <w:rFonts w:asciiTheme="majorHAnsi" w:hAnsiTheme="majorHAnsi" w:cstheme="majorHAnsi"/>
          <w:sz w:val="20"/>
          <w:szCs w:val="20"/>
        </w:rPr>
        <w:t xml:space="preserve"> štúdia </w:t>
      </w:r>
      <w:r w:rsidR="00BA1111" w:rsidRPr="0053555E">
        <w:rPr>
          <w:rFonts w:asciiTheme="majorHAnsi" w:hAnsiTheme="majorHAnsi" w:cstheme="majorHAnsi"/>
          <w:sz w:val="20"/>
          <w:szCs w:val="20"/>
        </w:rPr>
        <w:t xml:space="preserve">na príslušnej </w:t>
      </w:r>
      <w:r w:rsidR="001A1797" w:rsidRPr="0053555E">
        <w:rPr>
          <w:rFonts w:asciiTheme="majorHAnsi" w:hAnsiTheme="majorHAnsi" w:cstheme="majorHAnsi"/>
          <w:sz w:val="20"/>
          <w:szCs w:val="20"/>
        </w:rPr>
        <w:t>súčasti STU alebo na </w:t>
      </w:r>
      <w:r w:rsidR="00BA1111" w:rsidRPr="0053555E">
        <w:rPr>
          <w:rFonts w:asciiTheme="majorHAnsi" w:hAnsiTheme="majorHAnsi" w:cstheme="majorHAnsi"/>
          <w:sz w:val="20"/>
          <w:szCs w:val="20"/>
        </w:rPr>
        <w:t xml:space="preserve">inej </w:t>
      </w:r>
      <w:r w:rsidR="001A1797" w:rsidRPr="0053555E">
        <w:rPr>
          <w:rFonts w:asciiTheme="majorHAnsi" w:hAnsiTheme="majorHAnsi" w:cstheme="majorHAnsi"/>
          <w:sz w:val="20"/>
          <w:szCs w:val="20"/>
        </w:rPr>
        <w:t>súčasti</w:t>
      </w:r>
      <w:r w:rsidR="00BA1111" w:rsidRPr="0053555E">
        <w:rPr>
          <w:rFonts w:asciiTheme="majorHAnsi" w:hAnsiTheme="majorHAnsi" w:cstheme="majorHAnsi"/>
          <w:sz w:val="20"/>
          <w:szCs w:val="20"/>
        </w:rPr>
        <w:t xml:space="preserve"> STU </w:t>
      </w:r>
      <w:r w:rsidR="00512AE3" w:rsidRPr="0053555E">
        <w:rPr>
          <w:rFonts w:asciiTheme="majorHAnsi" w:hAnsiTheme="majorHAnsi" w:cstheme="majorHAnsi"/>
          <w:sz w:val="20"/>
          <w:szCs w:val="20"/>
        </w:rPr>
        <w:t xml:space="preserve">v nasledujúcom </w:t>
      </w:r>
      <w:r w:rsidR="00BA1111" w:rsidRPr="0053555E">
        <w:rPr>
          <w:rFonts w:asciiTheme="majorHAnsi" w:hAnsiTheme="majorHAnsi" w:cstheme="majorHAnsi"/>
          <w:sz w:val="20"/>
          <w:szCs w:val="20"/>
        </w:rPr>
        <w:t xml:space="preserve">akademickom roku </w:t>
      </w:r>
      <w:r w:rsidR="00FB6DD8" w:rsidRPr="0053555E">
        <w:rPr>
          <w:rFonts w:asciiTheme="majorHAnsi" w:hAnsiTheme="majorHAnsi" w:cstheme="majorHAnsi"/>
          <w:sz w:val="20"/>
          <w:szCs w:val="20"/>
        </w:rPr>
        <w:t>po riadnom skončení štúdia.</w:t>
      </w:r>
    </w:p>
    <w:p w14:paraId="18121F43" w14:textId="77777777" w:rsidR="009F55DF" w:rsidRPr="0053555E" w:rsidRDefault="009F55DF" w:rsidP="00324438">
      <w:pPr>
        <w:tabs>
          <w:tab w:val="left" w:pos="9356"/>
        </w:tabs>
        <w:jc w:val="both"/>
        <w:rPr>
          <w:rFonts w:asciiTheme="majorHAnsi" w:hAnsiTheme="majorHAnsi" w:cstheme="majorHAnsi"/>
          <w:szCs w:val="20"/>
        </w:rPr>
      </w:pPr>
    </w:p>
    <w:p w14:paraId="0A461773" w14:textId="1104D454" w:rsidR="001C7C24" w:rsidRPr="0053555E" w:rsidRDefault="008D4666" w:rsidP="00324438">
      <w:pPr>
        <w:tabs>
          <w:tab w:val="left" w:pos="9356"/>
        </w:tabs>
        <w:spacing w:after="120"/>
        <w:jc w:val="both"/>
        <w:rPr>
          <w:rFonts w:asciiTheme="majorHAnsi" w:hAnsiTheme="majorHAnsi" w:cstheme="majorHAnsi"/>
        </w:rPr>
      </w:pPr>
      <w:r w:rsidRPr="0053555E">
        <w:rPr>
          <w:rFonts w:asciiTheme="majorHAnsi" w:hAnsiTheme="majorHAnsi" w:cstheme="majorHAnsi"/>
        </w:rPr>
        <w:t>Z </w:t>
      </w:r>
      <w:r w:rsidRPr="00AB4E85">
        <w:rPr>
          <w:rFonts w:asciiTheme="majorHAnsi" w:hAnsiTheme="majorHAnsi" w:cstheme="majorHAnsi"/>
        </w:rPr>
        <w:fldChar w:fldCharType="begin"/>
      </w:r>
      <w:r w:rsidRPr="00AB4E85">
        <w:rPr>
          <w:rFonts w:asciiTheme="majorHAnsi" w:hAnsiTheme="majorHAnsi" w:cstheme="majorHAnsi"/>
        </w:rPr>
        <w:instrText xml:space="preserve"> REF _Ref31712799 \h </w:instrText>
      </w:r>
      <w:r w:rsidR="00324438" w:rsidRPr="00AB4E85">
        <w:rPr>
          <w:rFonts w:asciiTheme="majorHAnsi" w:hAnsiTheme="majorHAnsi" w:cstheme="majorHAnsi"/>
        </w:rPr>
        <w:instrText xml:space="preserve"> \* MERGEFORMAT </w:instrText>
      </w:r>
      <w:r w:rsidRPr="00AB4E85">
        <w:rPr>
          <w:rFonts w:asciiTheme="majorHAnsi" w:hAnsiTheme="majorHAnsi" w:cstheme="majorHAnsi"/>
        </w:rPr>
      </w:r>
      <w:r w:rsidRPr="00AB4E85">
        <w:rPr>
          <w:rFonts w:asciiTheme="majorHAnsi" w:hAnsiTheme="majorHAnsi" w:cstheme="majorHAnsi"/>
        </w:rPr>
        <w:fldChar w:fldCharType="separate"/>
      </w:r>
      <w:r w:rsidR="00EE1B59" w:rsidRPr="00AB4E85">
        <w:rPr>
          <w:rFonts w:asciiTheme="majorHAnsi" w:hAnsiTheme="majorHAnsi" w:cstheme="majorHAnsi"/>
        </w:rPr>
        <w:t>Tab. č. 25</w:t>
      </w:r>
      <w:r w:rsidRPr="00AB4E85">
        <w:rPr>
          <w:rFonts w:asciiTheme="majorHAnsi" w:hAnsiTheme="majorHAnsi" w:cstheme="majorHAnsi"/>
        </w:rPr>
        <w:fldChar w:fldCharType="end"/>
      </w:r>
      <w:r w:rsidR="00CF195E" w:rsidRPr="0053555E">
        <w:rPr>
          <w:rFonts w:asciiTheme="majorHAnsi" w:hAnsiTheme="majorHAnsi" w:cstheme="majorHAnsi"/>
        </w:rPr>
        <w:t xml:space="preserve"> je možné konštatovať</w:t>
      </w:r>
      <w:r w:rsidR="00F9585E" w:rsidRPr="0053555E">
        <w:rPr>
          <w:rFonts w:asciiTheme="majorHAnsi" w:hAnsiTheme="majorHAnsi" w:cstheme="majorHAnsi"/>
        </w:rPr>
        <w:t>,</w:t>
      </w:r>
      <w:r w:rsidR="00627415" w:rsidRPr="0053555E">
        <w:rPr>
          <w:rFonts w:asciiTheme="majorHAnsi" w:hAnsiTheme="majorHAnsi" w:cstheme="majorHAnsi"/>
        </w:rPr>
        <w:t xml:space="preserve"> že </w:t>
      </w:r>
      <w:r w:rsidR="002B3C5B" w:rsidRPr="0053555E">
        <w:rPr>
          <w:rFonts w:asciiTheme="majorHAnsi" w:hAnsiTheme="majorHAnsi" w:cstheme="majorHAnsi"/>
        </w:rPr>
        <w:t xml:space="preserve">z dlhodobého hľadiska </w:t>
      </w:r>
      <w:r w:rsidR="00284124" w:rsidRPr="0053555E">
        <w:rPr>
          <w:rFonts w:asciiTheme="majorHAnsi" w:hAnsiTheme="majorHAnsi" w:cstheme="majorHAnsi"/>
          <w:b/>
        </w:rPr>
        <w:t xml:space="preserve">viac </w:t>
      </w:r>
      <w:r w:rsidR="00457DAA" w:rsidRPr="0053555E">
        <w:rPr>
          <w:rFonts w:asciiTheme="majorHAnsi" w:hAnsiTheme="majorHAnsi" w:cstheme="majorHAnsi"/>
          <w:b/>
        </w:rPr>
        <w:t>ako</w:t>
      </w:r>
      <w:r w:rsidR="00627415" w:rsidRPr="0053555E">
        <w:rPr>
          <w:rFonts w:asciiTheme="majorHAnsi" w:hAnsiTheme="majorHAnsi" w:cstheme="majorHAnsi"/>
          <w:b/>
        </w:rPr>
        <w:t xml:space="preserve"> 90 % absolventov prvého stupňa štúdia </w:t>
      </w:r>
      <w:r w:rsidR="008D1604" w:rsidRPr="0053555E">
        <w:rPr>
          <w:rFonts w:asciiTheme="majorHAnsi" w:hAnsiTheme="majorHAnsi" w:cstheme="majorHAnsi"/>
          <w:b/>
        </w:rPr>
        <w:t>pokračuje na </w:t>
      </w:r>
      <w:r w:rsidR="00342AEF" w:rsidRPr="0053555E">
        <w:rPr>
          <w:rFonts w:asciiTheme="majorHAnsi" w:hAnsiTheme="majorHAnsi" w:cstheme="majorHAnsi"/>
          <w:b/>
        </w:rPr>
        <w:t>druho</w:t>
      </w:r>
      <w:r w:rsidR="004A3794" w:rsidRPr="0053555E">
        <w:rPr>
          <w:rFonts w:asciiTheme="majorHAnsi" w:hAnsiTheme="majorHAnsi" w:cstheme="majorHAnsi"/>
          <w:b/>
        </w:rPr>
        <w:t xml:space="preserve">m </w:t>
      </w:r>
      <w:r w:rsidR="00342AEF" w:rsidRPr="0053555E">
        <w:rPr>
          <w:rFonts w:asciiTheme="majorHAnsi" w:hAnsiTheme="majorHAnsi" w:cstheme="majorHAnsi"/>
          <w:b/>
        </w:rPr>
        <w:t>stupni štúdia na STU</w:t>
      </w:r>
      <w:r w:rsidR="00342AEF" w:rsidRPr="0053555E">
        <w:rPr>
          <w:rFonts w:asciiTheme="majorHAnsi" w:hAnsiTheme="majorHAnsi" w:cstheme="majorHAnsi"/>
        </w:rPr>
        <w:t xml:space="preserve"> a to v nasledujúcom akademickom roku</w:t>
      </w:r>
      <w:r w:rsidR="00FF15DE" w:rsidRPr="0053555E">
        <w:rPr>
          <w:rFonts w:asciiTheme="majorHAnsi" w:hAnsiTheme="majorHAnsi" w:cstheme="majorHAnsi"/>
        </w:rPr>
        <w:t>. V</w:t>
      </w:r>
      <w:r w:rsidR="00306013" w:rsidRPr="0053555E">
        <w:rPr>
          <w:rFonts w:asciiTheme="majorHAnsi" w:hAnsiTheme="majorHAnsi" w:cstheme="majorHAnsi"/>
        </w:rPr>
        <w:t xml:space="preserve"> posudzovanom </w:t>
      </w:r>
      <w:r w:rsidR="00FF15DE" w:rsidRPr="0053555E">
        <w:rPr>
          <w:rFonts w:asciiTheme="majorHAnsi" w:hAnsiTheme="majorHAnsi" w:cstheme="majorHAnsi"/>
        </w:rPr>
        <w:t xml:space="preserve">akademickom roku pokračovalo na druhom stupni </w:t>
      </w:r>
      <w:r w:rsidR="001C7C24" w:rsidRPr="0053555E">
        <w:rPr>
          <w:rFonts w:asciiTheme="majorHAnsi" w:hAnsiTheme="majorHAnsi" w:cstheme="majorHAnsi"/>
        </w:rPr>
        <w:t xml:space="preserve">v štúdia na STU </w:t>
      </w:r>
      <w:r w:rsidR="00C75A89" w:rsidRPr="0053555E">
        <w:rPr>
          <w:rFonts w:asciiTheme="majorHAnsi" w:hAnsiTheme="majorHAnsi" w:cstheme="majorHAnsi"/>
          <w:b/>
        </w:rPr>
        <w:t>9</w:t>
      </w:r>
      <w:r w:rsidR="007B564D">
        <w:rPr>
          <w:rFonts w:asciiTheme="majorHAnsi" w:hAnsiTheme="majorHAnsi" w:cstheme="majorHAnsi"/>
          <w:b/>
        </w:rPr>
        <w:t>0</w:t>
      </w:r>
      <w:r w:rsidR="00C75A89" w:rsidRPr="0053555E">
        <w:rPr>
          <w:rFonts w:asciiTheme="majorHAnsi" w:hAnsiTheme="majorHAnsi" w:cstheme="majorHAnsi"/>
          <w:b/>
        </w:rPr>
        <w:t>,</w:t>
      </w:r>
      <w:r w:rsidR="007B564D">
        <w:rPr>
          <w:rFonts w:asciiTheme="majorHAnsi" w:hAnsiTheme="majorHAnsi" w:cstheme="majorHAnsi"/>
          <w:b/>
        </w:rPr>
        <w:t>1</w:t>
      </w:r>
      <w:r w:rsidR="004D37ED" w:rsidRPr="0053555E">
        <w:rPr>
          <w:rFonts w:asciiTheme="majorHAnsi" w:hAnsiTheme="majorHAnsi" w:cstheme="majorHAnsi"/>
          <w:b/>
        </w:rPr>
        <w:t> </w:t>
      </w:r>
      <w:r w:rsidR="001C7C24" w:rsidRPr="0053555E">
        <w:rPr>
          <w:rFonts w:asciiTheme="majorHAnsi" w:hAnsiTheme="majorHAnsi" w:cstheme="majorHAnsi"/>
          <w:b/>
        </w:rPr>
        <w:t>%</w:t>
      </w:r>
      <w:r w:rsidR="001C7C24" w:rsidRPr="0053555E">
        <w:rPr>
          <w:rFonts w:asciiTheme="majorHAnsi" w:hAnsiTheme="majorHAnsi" w:cstheme="majorHAnsi"/>
        </w:rPr>
        <w:t xml:space="preserve"> </w:t>
      </w:r>
      <w:r w:rsidR="001C7C24" w:rsidRPr="0053555E">
        <w:rPr>
          <w:rFonts w:asciiTheme="majorHAnsi" w:hAnsiTheme="majorHAnsi" w:cstheme="majorHAnsi"/>
          <w:b/>
        </w:rPr>
        <w:t>absolventov</w:t>
      </w:r>
      <w:r w:rsidR="001C7C24" w:rsidRPr="0053555E">
        <w:rPr>
          <w:rFonts w:asciiTheme="majorHAnsi" w:hAnsiTheme="majorHAnsi" w:cstheme="majorHAnsi"/>
        </w:rPr>
        <w:t xml:space="preserve"> bakalárskych študijných programov</w:t>
      </w:r>
      <w:r w:rsidR="00306013" w:rsidRPr="0053555E">
        <w:rPr>
          <w:rFonts w:asciiTheme="majorHAnsi" w:hAnsiTheme="majorHAnsi" w:cstheme="majorHAnsi"/>
        </w:rPr>
        <w:t>, ktorí riadne skončili štúdium</w:t>
      </w:r>
      <w:r w:rsidR="001C7C24" w:rsidRPr="0053555E">
        <w:rPr>
          <w:rFonts w:asciiTheme="majorHAnsi" w:hAnsiTheme="majorHAnsi" w:cstheme="majorHAnsi"/>
        </w:rPr>
        <w:t xml:space="preserve"> v akademickom roku</w:t>
      </w:r>
      <w:r w:rsidR="001C7C24" w:rsidRPr="0053555E">
        <w:rPr>
          <w:rFonts w:asciiTheme="majorHAnsi" w:hAnsiTheme="majorHAnsi" w:cstheme="majorHAnsi"/>
          <w:b/>
        </w:rPr>
        <w:t xml:space="preserve"> </w:t>
      </w:r>
      <w:r w:rsidR="00EA24BA" w:rsidRPr="0053555E">
        <w:rPr>
          <w:rFonts w:asciiTheme="majorHAnsi" w:hAnsiTheme="majorHAnsi" w:cstheme="majorHAnsi"/>
          <w:b/>
        </w:rPr>
        <w:t>2021/2022</w:t>
      </w:r>
      <w:r w:rsidR="001C7C24" w:rsidRPr="0053555E">
        <w:rPr>
          <w:rFonts w:asciiTheme="majorHAnsi" w:hAnsiTheme="majorHAnsi" w:cstheme="majorHAnsi"/>
          <w:b/>
        </w:rPr>
        <w:t>.</w:t>
      </w:r>
    </w:p>
    <w:p w14:paraId="3DFE3C8B" w14:textId="68841423" w:rsidR="002071AC" w:rsidRPr="0053555E" w:rsidRDefault="004026C5" w:rsidP="00324438">
      <w:pPr>
        <w:tabs>
          <w:tab w:val="left" w:pos="9356"/>
        </w:tabs>
        <w:jc w:val="both"/>
        <w:rPr>
          <w:rFonts w:asciiTheme="majorHAnsi" w:hAnsiTheme="majorHAnsi" w:cstheme="majorHAnsi"/>
          <w:shd w:val="clear" w:color="auto" w:fill="FFFFFF"/>
        </w:rPr>
      </w:pPr>
      <w:r w:rsidRPr="0053555E">
        <w:rPr>
          <w:rFonts w:asciiTheme="majorHAnsi" w:hAnsiTheme="majorHAnsi" w:cstheme="majorHAnsi"/>
        </w:rPr>
        <w:t>V</w:t>
      </w:r>
      <w:r w:rsidR="00747528" w:rsidRPr="0053555E">
        <w:rPr>
          <w:rFonts w:asciiTheme="majorHAnsi" w:hAnsiTheme="majorHAnsi" w:cstheme="majorHAnsi"/>
        </w:rPr>
        <w:t xml:space="preserve"> akademickom roku </w:t>
      </w:r>
      <w:r w:rsidR="00EA24BA" w:rsidRPr="0053555E">
        <w:rPr>
          <w:rFonts w:asciiTheme="majorHAnsi" w:hAnsiTheme="majorHAnsi" w:cstheme="majorHAnsi"/>
        </w:rPr>
        <w:t>2022/2023</w:t>
      </w:r>
      <w:r w:rsidR="00747528" w:rsidRPr="0053555E">
        <w:rPr>
          <w:rFonts w:asciiTheme="majorHAnsi" w:hAnsiTheme="majorHAnsi" w:cstheme="majorHAnsi"/>
        </w:rPr>
        <w:t xml:space="preserve"> </w:t>
      </w:r>
      <w:r w:rsidR="00FE5C35" w:rsidRPr="0053555E">
        <w:rPr>
          <w:rFonts w:asciiTheme="majorHAnsi" w:hAnsiTheme="majorHAnsi" w:cstheme="majorHAnsi"/>
        </w:rPr>
        <w:t xml:space="preserve">sa o druhý stupeň </w:t>
      </w:r>
      <w:r w:rsidR="007344EF" w:rsidRPr="0053555E">
        <w:rPr>
          <w:rFonts w:asciiTheme="majorHAnsi" w:hAnsiTheme="majorHAnsi" w:cstheme="majorHAnsi"/>
        </w:rPr>
        <w:t>štúdia</w:t>
      </w:r>
      <w:r w:rsidR="00FE5C35" w:rsidRPr="0053555E">
        <w:rPr>
          <w:rFonts w:asciiTheme="majorHAnsi" w:hAnsiTheme="majorHAnsi" w:cstheme="majorHAnsi"/>
        </w:rPr>
        <w:t xml:space="preserve"> </w:t>
      </w:r>
      <w:r w:rsidR="009F0CB5" w:rsidRPr="0053555E">
        <w:rPr>
          <w:rFonts w:asciiTheme="majorHAnsi" w:hAnsiTheme="majorHAnsi" w:cstheme="majorHAnsi"/>
        </w:rPr>
        <w:t xml:space="preserve">na </w:t>
      </w:r>
      <w:r w:rsidR="00932626" w:rsidRPr="0053555E">
        <w:rPr>
          <w:rFonts w:asciiTheme="majorHAnsi" w:hAnsiTheme="majorHAnsi" w:cstheme="majorHAnsi"/>
        </w:rPr>
        <w:t xml:space="preserve">STU </w:t>
      </w:r>
      <w:r w:rsidR="00FE5C35" w:rsidRPr="0053555E">
        <w:rPr>
          <w:rFonts w:asciiTheme="majorHAnsi" w:hAnsiTheme="majorHAnsi" w:cstheme="majorHAnsi"/>
        </w:rPr>
        <w:t xml:space="preserve">uchádzalo </w:t>
      </w:r>
      <w:r w:rsidR="005B3498">
        <w:rPr>
          <w:rFonts w:asciiTheme="majorHAnsi" w:hAnsiTheme="majorHAnsi" w:cstheme="majorHAnsi"/>
          <w:b/>
        </w:rPr>
        <w:t>28</w:t>
      </w:r>
      <w:r w:rsidR="007344EF" w:rsidRPr="0053555E">
        <w:rPr>
          <w:rFonts w:asciiTheme="majorHAnsi" w:hAnsiTheme="majorHAnsi" w:cstheme="majorHAnsi"/>
          <w:b/>
        </w:rPr>
        <w:t xml:space="preserve"> %</w:t>
      </w:r>
      <w:r w:rsidR="007344EF" w:rsidRPr="0053555E">
        <w:rPr>
          <w:rFonts w:asciiTheme="majorHAnsi" w:hAnsiTheme="majorHAnsi" w:cstheme="majorHAnsi"/>
        </w:rPr>
        <w:t xml:space="preserve"> absolventov</w:t>
      </w:r>
      <w:r w:rsidR="00414BA6" w:rsidRPr="0053555E">
        <w:rPr>
          <w:rFonts w:asciiTheme="majorHAnsi" w:hAnsiTheme="majorHAnsi" w:cstheme="majorHAnsi"/>
        </w:rPr>
        <w:t xml:space="preserve"> iných vysokých škôl</w:t>
      </w:r>
      <w:r w:rsidR="007344EF" w:rsidRPr="0053555E">
        <w:rPr>
          <w:rFonts w:asciiTheme="majorHAnsi" w:hAnsiTheme="majorHAnsi" w:cstheme="majorHAnsi"/>
        </w:rPr>
        <w:t xml:space="preserve">, čo predstavuje </w:t>
      </w:r>
      <w:r w:rsidR="007456FA" w:rsidRPr="0053555E">
        <w:rPr>
          <w:rFonts w:asciiTheme="majorHAnsi" w:hAnsiTheme="majorHAnsi" w:cstheme="majorHAnsi"/>
          <w:b/>
        </w:rPr>
        <w:t>nárast</w:t>
      </w:r>
      <w:r w:rsidR="00747528" w:rsidRPr="0053555E">
        <w:rPr>
          <w:rFonts w:asciiTheme="majorHAnsi" w:hAnsiTheme="majorHAnsi" w:cstheme="majorHAnsi"/>
        </w:rPr>
        <w:t xml:space="preserve"> </w:t>
      </w:r>
      <w:r w:rsidR="004D37ED" w:rsidRPr="00F266E4">
        <w:rPr>
          <w:rFonts w:asciiTheme="majorHAnsi" w:hAnsiTheme="majorHAnsi" w:cstheme="majorHAnsi"/>
          <w:b/>
        </w:rPr>
        <w:t>o </w:t>
      </w:r>
      <w:r w:rsidR="005B3498">
        <w:rPr>
          <w:rFonts w:asciiTheme="majorHAnsi" w:hAnsiTheme="majorHAnsi" w:cstheme="majorHAnsi"/>
          <w:b/>
        </w:rPr>
        <w:t>10</w:t>
      </w:r>
      <w:r w:rsidR="004D37ED" w:rsidRPr="0053555E">
        <w:rPr>
          <w:rFonts w:asciiTheme="majorHAnsi" w:hAnsiTheme="majorHAnsi" w:cstheme="majorHAnsi"/>
          <w:b/>
        </w:rPr>
        <w:t xml:space="preserve"> % </w:t>
      </w:r>
      <w:r w:rsidR="00747528" w:rsidRPr="0053555E">
        <w:rPr>
          <w:rFonts w:asciiTheme="majorHAnsi" w:hAnsiTheme="majorHAnsi" w:cstheme="majorHAnsi"/>
        </w:rPr>
        <w:t>oproti akad</w:t>
      </w:r>
      <w:r w:rsidR="00102519" w:rsidRPr="0053555E">
        <w:rPr>
          <w:rFonts w:asciiTheme="majorHAnsi" w:hAnsiTheme="majorHAnsi" w:cstheme="majorHAnsi"/>
        </w:rPr>
        <w:t>emickému</w:t>
      </w:r>
      <w:r w:rsidR="00747528" w:rsidRPr="0053555E">
        <w:rPr>
          <w:rFonts w:asciiTheme="majorHAnsi" w:hAnsiTheme="majorHAnsi" w:cstheme="majorHAnsi"/>
        </w:rPr>
        <w:t xml:space="preserve"> roku </w:t>
      </w:r>
      <w:r w:rsidR="00EA24BA" w:rsidRPr="0053555E">
        <w:rPr>
          <w:rFonts w:asciiTheme="majorHAnsi" w:hAnsiTheme="majorHAnsi" w:cstheme="majorHAnsi"/>
        </w:rPr>
        <w:t>2021/2022</w:t>
      </w:r>
      <w:r w:rsidR="00FF3BE4" w:rsidRPr="0053555E">
        <w:rPr>
          <w:rFonts w:asciiTheme="majorHAnsi" w:hAnsiTheme="majorHAnsi" w:cstheme="majorHAnsi"/>
        </w:rPr>
        <w:t>.</w:t>
      </w:r>
      <w:r w:rsidR="009E4074" w:rsidRPr="0053555E">
        <w:rPr>
          <w:rFonts w:asciiTheme="majorHAnsi" w:hAnsiTheme="majorHAnsi" w:cstheme="majorHAnsi"/>
          <w:b/>
        </w:rPr>
        <w:t xml:space="preserve"> </w:t>
      </w:r>
      <w:r w:rsidR="009E4074" w:rsidRPr="0053555E">
        <w:rPr>
          <w:rFonts w:asciiTheme="majorHAnsi" w:hAnsiTheme="majorHAnsi" w:cstheme="majorHAnsi"/>
        </w:rPr>
        <w:t>Z celkového počtu zapísaných novo</w:t>
      </w:r>
      <w:r w:rsidR="002C383B" w:rsidRPr="0053555E">
        <w:rPr>
          <w:rFonts w:asciiTheme="majorHAnsi" w:hAnsiTheme="majorHAnsi" w:cstheme="majorHAnsi"/>
        </w:rPr>
        <w:t xml:space="preserve"> </w:t>
      </w:r>
      <w:r w:rsidR="009E4074" w:rsidRPr="0053555E">
        <w:rPr>
          <w:rFonts w:asciiTheme="majorHAnsi" w:hAnsiTheme="majorHAnsi" w:cstheme="majorHAnsi"/>
        </w:rPr>
        <w:t xml:space="preserve">prijatých študentov na </w:t>
      </w:r>
      <w:r w:rsidR="00F6000D" w:rsidRPr="0053555E">
        <w:rPr>
          <w:rFonts w:asciiTheme="majorHAnsi" w:hAnsiTheme="majorHAnsi" w:cstheme="majorHAnsi"/>
        </w:rPr>
        <w:t xml:space="preserve">druhom stupni v rámci </w:t>
      </w:r>
      <w:r w:rsidR="009E4074" w:rsidRPr="0053555E">
        <w:rPr>
          <w:rFonts w:asciiTheme="majorHAnsi" w:hAnsiTheme="majorHAnsi" w:cstheme="majorHAnsi"/>
        </w:rPr>
        <w:t xml:space="preserve">STU, bolo </w:t>
      </w:r>
      <w:r w:rsidR="00482AA9" w:rsidRPr="0053555E">
        <w:rPr>
          <w:rFonts w:asciiTheme="majorHAnsi" w:hAnsiTheme="majorHAnsi" w:cstheme="majorHAnsi"/>
          <w:b/>
        </w:rPr>
        <w:t>1</w:t>
      </w:r>
      <w:r w:rsidR="005B3498">
        <w:rPr>
          <w:rFonts w:asciiTheme="majorHAnsi" w:hAnsiTheme="majorHAnsi" w:cstheme="majorHAnsi"/>
          <w:b/>
        </w:rPr>
        <w:t>1</w:t>
      </w:r>
      <w:r w:rsidR="009E4074" w:rsidRPr="0053555E">
        <w:rPr>
          <w:rFonts w:asciiTheme="majorHAnsi" w:hAnsiTheme="majorHAnsi" w:cstheme="majorHAnsi"/>
          <w:b/>
        </w:rPr>
        <w:t xml:space="preserve"> % </w:t>
      </w:r>
      <w:r w:rsidR="00414BA6" w:rsidRPr="0053555E">
        <w:rPr>
          <w:rFonts w:asciiTheme="majorHAnsi" w:hAnsiTheme="majorHAnsi" w:cstheme="majorHAnsi"/>
          <w:b/>
        </w:rPr>
        <w:t xml:space="preserve">absolventov iných vysokých škôl </w:t>
      </w:r>
      <w:r w:rsidR="00FF3BE4" w:rsidRPr="0053555E">
        <w:rPr>
          <w:rFonts w:asciiTheme="majorHAnsi" w:hAnsiTheme="majorHAnsi" w:cstheme="majorHAnsi"/>
        </w:rPr>
        <w:t>(zapísaných z</w:t>
      </w:r>
      <w:r w:rsidR="009933EC" w:rsidRPr="0053555E">
        <w:rPr>
          <w:rFonts w:asciiTheme="majorHAnsi" w:hAnsiTheme="majorHAnsi" w:cstheme="majorHAnsi"/>
        </w:rPr>
        <w:t> iných VŠ</w:t>
      </w:r>
      <w:r w:rsidR="00F6000D" w:rsidRPr="0053555E">
        <w:rPr>
          <w:rFonts w:asciiTheme="majorHAnsi" w:hAnsiTheme="majorHAnsi" w:cstheme="majorHAnsi"/>
        </w:rPr>
        <w:t>)</w:t>
      </w:r>
      <w:r w:rsidR="00FF3BE4" w:rsidRPr="0053555E">
        <w:rPr>
          <w:rFonts w:asciiTheme="majorHAnsi" w:hAnsiTheme="majorHAnsi" w:cstheme="majorHAnsi"/>
          <w:b/>
        </w:rPr>
        <w:t xml:space="preserve"> </w:t>
      </w:r>
      <w:r w:rsidR="00FF3BE4" w:rsidRPr="0053555E">
        <w:rPr>
          <w:rFonts w:asciiTheme="majorHAnsi" w:hAnsiTheme="majorHAnsi" w:cstheme="majorHAnsi"/>
        </w:rPr>
        <w:t>a</w:t>
      </w:r>
      <w:r w:rsidR="00FF3BE4" w:rsidRPr="0053555E">
        <w:rPr>
          <w:rFonts w:asciiTheme="majorHAnsi" w:hAnsiTheme="majorHAnsi" w:cstheme="majorHAnsi"/>
          <w:b/>
        </w:rPr>
        <w:t> </w:t>
      </w:r>
      <w:r w:rsidR="00F266E4">
        <w:rPr>
          <w:rFonts w:asciiTheme="majorHAnsi" w:hAnsiTheme="majorHAnsi" w:cstheme="majorHAnsi"/>
          <w:b/>
        </w:rPr>
        <w:t>8</w:t>
      </w:r>
      <w:r w:rsidR="00374823">
        <w:rPr>
          <w:rFonts w:asciiTheme="majorHAnsi" w:hAnsiTheme="majorHAnsi" w:cstheme="majorHAnsi"/>
          <w:b/>
        </w:rPr>
        <w:t>9</w:t>
      </w:r>
      <w:r w:rsidR="00FF3BE4" w:rsidRPr="0053555E">
        <w:rPr>
          <w:rFonts w:asciiTheme="majorHAnsi" w:hAnsiTheme="majorHAnsi" w:cstheme="majorHAnsi"/>
          <w:b/>
        </w:rPr>
        <w:t xml:space="preserve"> % </w:t>
      </w:r>
      <w:r w:rsidR="00414BA6" w:rsidRPr="0053555E">
        <w:rPr>
          <w:rFonts w:asciiTheme="majorHAnsi" w:hAnsiTheme="majorHAnsi" w:cstheme="majorHAnsi"/>
          <w:b/>
        </w:rPr>
        <w:t xml:space="preserve">absolventov STU </w:t>
      </w:r>
      <w:r w:rsidR="00FF3BE4" w:rsidRPr="0053555E">
        <w:rPr>
          <w:rFonts w:asciiTheme="majorHAnsi" w:hAnsiTheme="majorHAnsi" w:cstheme="majorHAnsi"/>
        </w:rPr>
        <w:t>(zapísaných</w:t>
      </w:r>
      <w:r w:rsidR="00F6000D" w:rsidRPr="0053555E">
        <w:rPr>
          <w:rFonts w:asciiTheme="majorHAnsi" w:hAnsiTheme="majorHAnsi" w:cstheme="majorHAnsi"/>
        </w:rPr>
        <w:t xml:space="preserve"> </w:t>
      </w:r>
      <w:r w:rsidR="00BD0DFC" w:rsidRPr="0053555E">
        <w:rPr>
          <w:rFonts w:asciiTheme="majorHAnsi" w:hAnsiTheme="majorHAnsi" w:cstheme="majorHAnsi"/>
        </w:rPr>
        <w:t>z</w:t>
      </w:r>
      <w:r w:rsidR="006B7C14" w:rsidRPr="0053555E">
        <w:rPr>
          <w:rFonts w:asciiTheme="majorHAnsi" w:hAnsiTheme="majorHAnsi" w:cstheme="majorHAnsi"/>
        </w:rPr>
        <w:t> </w:t>
      </w:r>
      <w:r w:rsidR="00FF3BE4" w:rsidRPr="0053555E">
        <w:rPr>
          <w:rFonts w:asciiTheme="majorHAnsi" w:hAnsiTheme="majorHAnsi" w:cstheme="majorHAnsi"/>
        </w:rPr>
        <w:t>STU</w:t>
      </w:r>
      <w:r w:rsidR="006B7C14" w:rsidRPr="0053555E">
        <w:rPr>
          <w:rFonts w:asciiTheme="majorHAnsi" w:hAnsiTheme="majorHAnsi" w:cstheme="majorHAnsi"/>
        </w:rPr>
        <w:t xml:space="preserve"> bez ohľadu na rok absolvovania predchádzajúceho štúdia</w:t>
      </w:r>
      <w:r w:rsidR="00FF3BE4" w:rsidRPr="0053555E">
        <w:rPr>
          <w:rFonts w:asciiTheme="majorHAnsi" w:hAnsiTheme="majorHAnsi" w:cstheme="majorHAnsi"/>
        </w:rPr>
        <w:t>).</w:t>
      </w:r>
      <w:r w:rsidR="009A5A7B" w:rsidRPr="0053555E">
        <w:rPr>
          <w:rFonts w:asciiTheme="majorHAnsi" w:hAnsiTheme="majorHAnsi" w:cstheme="majorHAnsi"/>
        </w:rPr>
        <w:t xml:space="preserve"> Štruktúra uchádzačov o štúdium vzhľadom na absolvovanú vysokú školu </w:t>
      </w:r>
      <w:r w:rsidR="008E5769" w:rsidRPr="0053555E">
        <w:rPr>
          <w:rFonts w:asciiTheme="majorHAnsi" w:hAnsiTheme="majorHAnsi" w:cstheme="majorHAnsi"/>
        </w:rPr>
        <w:t>od akademického roku 2010/2011</w:t>
      </w:r>
      <w:r w:rsidR="00EF11CF" w:rsidRPr="0053555E">
        <w:rPr>
          <w:rFonts w:asciiTheme="majorHAnsi" w:hAnsiTheme="majorHAnsi" w:cstheme="majorHAnsi"/>
        </w:rPr>
        <w:t xml:space="preserve"> </w:t>
      </w:r>
      <w:r w:rsidR="009A5A7B" w:rsidRPr="0053555E">
        <w:rPr>
          <w:rFonts w:asciiTheme="majorHAnsi" w:hAnsiTheme="majorHAnsi" w:cstheme="majorHAnsi"/>
        </w:rPr>
        <w:t xml:space="preserve">je uvedená v </w:t>
      </w:r>
      <w:r w:rsidR="007E79AF" w:rsidRPr="00AB4E85">
        <w:rPr>
          <w:rFonts w:asciiTheme="majorHAnsi" w:hAnsiTheme="majorHAnsi" w:cstheme="majorHAnsi"/>
          <w:shd w:val="clear" w:color="auto" w:fill="FFFFFF"/>
        </w:rPr>
        <w:fldChar w:fldCharType="begin"/>
      </w:r>
      <w:r w:rsidR="007E79AF" w:rsidRPr="00AB4E85">
        <w:rPr>
          <w:rFonts w:asciiTheme="majorHAnsi" w:hAnsiTheme="majorHAnsi" w:cstheme="majorHAnsi"/>
        </w:rPr>
        <w:instrText xml:space="preserve"> REF _Ref31712842 \h </w:instrText>
      </w:r>
      <w:r w:rsidR="00324438" w:rsidRPr="00AB4E85">
        <w:rPr>
          <w:rFonts w:asciiTheme="majorHAnsi" w:hAnsiTheme="majorHAnsi" w:cstheme="majorHAnsi"/>
          <w:shd w:val="clear" w:color="auto" w:fill="FFFFFF"/>
        </w:rPr>
        <w:instrText xml:space="preserve"> \* MERGEFORMAT </w:instrText>
      </w:r>
      <w:r w:rsidR="007E79AF" w:rsidRPr="00AB4E85">
        <w:rPr>
          <w:rFonts w:asciiTheme="majorHAnsi" w:hAnsiTheme="majorHAnsi" w:cstheme="majorHAnsi"/>
          <w:shd w:val="clear" w:color="auto" w:fill="FFFFFF"/>
        </w:rPr>
      </w:r>
      <w:r w:rsidR="007E79AF" w:rsidRPr="00AB4E85">
        <w:rPr>
          <w:rFonts w:asciiTheme="majorHAnsi" w:hAnsiTheme="majorHAnsi" w:cstheme="majorHAnsi"/>
          <w:shd w:val="clear" w:color="auto" w:fill="FFFFFF"/>
        </w:rPr>
        <w:fldChar w:fldCharType="separate"/>
      </w:r>
      <w:r w:rsidR="00EE1B59" w:rsidRPr="00AB4E85">
        <w:rPr>
          <w:rFonts w:asciiTheme="majorHAnsi" w:hAnsiTheme="majorHAnsi" w:cstheme="majorHAnsi"/>
        </w:rPr>
        <w:t>Tab. č. 26</w:t>
      </w:r>
      <w:r w:rsidR="007E79AF" w:rsidRPr="00AB4E85">
        <w:rPr>
          <w:rFonts w:asciiTheme="majorHAnsi" w:hAnsiTheme="majorHAnsi" w:cstheme="majorHAnsi"/>
          <w:shd w:val="clear" w:color="auto" w:fill="FFFFFF"/>
        </w:rPr>
        <w:fldChar w:fldCharType="end"/>
      </w:r>
      <w:r w:rsidR="002071AC" w:rsidRPr="0053555E">
        <w:rPr>
          <w:rFonts w:asciiTheme="majorHAnsi" w:hAnsiTheme="majorHAnsi" w:cstheme="majorHAnsi"/>
          <w:shd w:val="clear" w:color="auto" w:fill="FFFFFF"/>
        </w:rPr>
        <w:t xml:space="preserve">. </w:t>
      </w:r>
    </w:p>
    <w:p w14:paraId="5D6568F3" w14:textId="77777777" w:rsidR="00B41AC9" w:rsidRPr="0053555E" w:rsidRDefault="00B41AC9">
      <w:pPr>
        <w:rPr>
          <w:rFonts w:asciiTheme="majorHAnsi" w:hAnsiTheme="majorHAnsi" w:cstheme="majorHAnsi"/>
          <w:sz w:val="22"/>
          <w:szCs w:val="20"/>
          <w:shd w:val="clear" w:color="auto" w:fill="FFFFFF"/>
        </w:rPr>
      </w:pPr>
      <w:r w:rsidRPr="0053555E">
        <w:rPr>
          <w:rFonts w:asciiTheme="majorHAnsi" w:hAnsiTheme="majorHAnsi" w:cstheme="majorHAnsi"/>
          <w:sz w:val="22"/>
          <w:szCs w:val="20"/>
          <w:shd w:val="clear" w:color="auto" w:fill="FFFFFF"/>
        </w:rPr>
        <w:br w:type="page"/>
      </w:r>
    </w:p>
    <w:p w14:paraId="167824EC" w14:textId="54E44519" w:rsidR="002071AC" w:rsidRPr="0053555E" w:rsidRDefault="007E79AF" w:rsidP="000E3322">
      <w:pPr>
        <w:pStyle w:val="Popis"/>
      </w:pPr>
      <w:bookmarkStart w:id="113" w:name="_Ref31712842"/>
      <w:bookmarkStart w:id="114" w:name="_Toc127593289"/>
      <w:r w:rsidRPr="0053555E">
        <w:lastRenderedPageBreak/>
        <w:t xml:space="preserve">Tab. č. </w:t>
      </w:r>
      <w:r w:rsidR="007B5953">
        <w:fldChar w:fldCharType="begin"/>
      </w:r>
      <w:r w:rsidR="007B5953">
        <w:instrText xml:space="preserve"> SEQ Tab._č. \* ARABIC </w:instrText>
      </w:r>
      <w:r w:rsidR="007B5953">
        <w:fldChar w:fldCharType="separate"/>
      </w:r>
      <w:r w:rsidR="00EE1B59">
        <w:rPr>
          <w:noProof/>
        </w:rPr>
        <w:t>26</w:t>
      </w:r>
      <w:r w:rsidR="007B5953">
        <w:rPr>
          <w:noProof/>
        </w:rPr>
        <w:fldChar w:fldCharType="end"/>
      </w:r>
      <w:bookmarkEnd w:id="113"/>
      <w:r w:rsidRPr="0053555E">
        <w:t>:</w:t>
      </w:r>
      <w:r w:rsidR="002071AC" w:rsidRPr="0053555E">
        <w:t xml:space="preserve"> Prijímacie konanie na druhý stupeň štúdia - uchádzači </w:t>
      </w:r>
      <w:r w:rsidR="00B67359" w:rsidRPr="0053555E">
        <w:t>podľa absolvovanej</w:t>
      </w:r>
      <w:r w:rsidR="002071AC" w:rsidRPr="0053555E">
        <w:t xml:space="preserve"> VŠ</w:t>
      </w:r>
      <w:bookmarkEnd w:id="114"/>
    </w:p>
    <w:tbl>
      <w:tblPr>
        <w:tblW w:w="9012" w:type="dxa"/>
        <w:tblInd w:w="55" w:type="dxa"/>
        <w:tblLayout w:type="fixed"/>
        <w:tblCellMar>
          <w:left w:w="70" w:type="dxa"/>
          <w:right w:w="70" w:type="dxa"/>
        </w:tblCellMar>
        <w:tblLook w:val="04A0" w:firstRow="1" w:lastRow="0" w:firstColumn="1" w:lastColumn="0" w:noHBand="0" w:noVBand="1"/>
      </w:tblPr>
      <w:tblGrid>
        <w:gridCol w:w="1291"/>
        <w:gridCol w:w="1103"/>
        <w:gridCol w:w="1103"/>
        <w:gridCol w:w="1103"/>
        <w:gridCol w:w="1103"/>
        <w:gridCol w:w="1103"/>
        <w:gridCol w:w="1103"/>
        <w:gridCol w:w="1103"/>
      </w:tblGrid>
      <w:tr w:rsidR="00055233" w:rsidRPr="0053555E" w14:paraId="5A94D22C" w14:textId="77777777" w:rsidTr="009E34EE">
        <w:trPr>
          <w:trHeight w:val="615"/>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D21C4" w14:textId="77777777" w:rsidR="00D17323" w:rsidRPr="0053555E" w:rsidRDefault="00D17323" w:rsidP="00D17323">
            <w:pPr>
              <w:tabs>
                <w:tab w:val="left" w:pos="9356"/>
              </w:tabs>
              <w:jc w:val="center"/>
              <w:rPr>
                <w:rFonts w:asciiTheme="majorHAnsi" w:eastAsia="Times New Roman" w:hAnsiTheme="majorHAnsi" w:cstheme="majorHAnsi"/>
                <w:bCs/>
                <w:sz w:val="22"/>
                <w:szCs w:val="20"/>
                <w:lang w:eastAsia="sk-SK"/>
              </w:rPr>
            </w:pPr>
            <w:r w:rsidRPr="0053555E">
              <w:rPr>
                <w:rFonts w:asciiTheme="majorHAnsi" w:eastAsia="Times New Roman" w:hAnsiTheme="majorHAnsi" w:cstheme="majorHAnsi"/>
                <w:bCs/>
                <w:sz w:val="22"/>
                <w:szCs w:val="20"/>
                <w:lang w:eastAsia="sk-SK"/>
              </w:rPr>
              <w:t>Akademický</w:t>
            </w:r>
          </w:p>
          <w:p w14:paraId="5075203D" w14:textId="77777777" w:rsidR="00055233" w:rsidRPr="0053555E" w:rsidRDefault="00D17323" w:rsidP="00D17323">
            <w:pPr>
              <w:tabs>
                <w:tab w:val="left" w:pos="9356"/>
              </w:tabs>
              <w:jc w:val="center"/>
              <w:rPr>
                <w:rFonts w:asciiTheme="majorHAnsi" w:eastAsia="Times New Roman" w:hAnsiTheme="majorHAnsi" w:cstheme="majorHAnsi"/>
                <w:b/>
                <w:sz w:val="18"/>
                <w:szCs w:val="22"/>
                <w:lang w:eastAsia="sk-SK"/>
              </w:rPr>
            </w:pPr>
            <w:r w:rsidRPr="0053555E">
              <w:rPr>
                <w:rFonts w:asciiTheme="majorHAnsi" w:eastAsia="Times New Roman" w:hAnsiTheme="majorHAnsi" w:cstheme="majorHAnsi"/>
                <w:bCs/>
                <w:sz w:val="22"/>
                <w:szCs w:val="20"/>
                <w:lang w:eastAsia="sk-SK"/>
              </w:rPr>
              <w:t>rok</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38629B4D" w14:textId="77777777" w:rsidR="00055233" w:rsidRPr="0053555E" w:rsidRDefault="00055233" w:rsidP="00324438">
            <w:pPr>
              <w:tabs>
                <w:tab w:val="left" w:pos="9356"/>
              </w:tabs>
              <w:jc w:val="center"/>
              <w:rPr>
                <w:rFonts w:asciiTheme="majorHAnsi" w:eastAsia="Times New Roman" w:hAnsiTheme="majorHAnsi" w:cstheme="majorHAnsi"/>
                <w:b/>
                <w:sz w:val="18"/>
                <w:szCs w:val="22"/>
                <w:lang w:eastAsia="sk-SK"/>
              </w:rPr>
            </w:pPr>
            <w:r w:rsidRPr="0053555E">
              <w:rPr>
                <w:rFonts w:asciiTheme="majorHAnsi" w:hAnsiTheme="majorHAnsi" w:cstheme="majorHAnsi"/>
                <w:sz w:val="20"/>
                <w:szCs w:val="20"/>
              </w:rPr>
              <w:t>Prihlásení absolventi STU</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9ECBC54" w14:textId="77777777" w:rsidR="00055233" w:rsidRPr="0053555E" w:rsidRDefault="00055233" w:rsidP="00324438">
            <w:pPr>
              <w:tabs>
                <w:tab w:val="left" w:pos="9356"/>
              </w:tabs>
              <w:jc w:val="center"/>
              <w:rPr>
                <w:rFonts w:asciiTheme="majorHAnsi" w:eastAsia="Times New Roman" w:hAnsiTheme="majorHAnsi" w:cstheme="majorHAnsi"/>
                <w:b/>
                <w:sz w:val="18"/>
                <w:szCs w:val="22"/>
                <w:lang w:eastAsia="sk-SK"/>
              </w:rPr>
            </w:pPr>
            <w:r w:rsidRPr="0053555E">
              <w:rPr>
                <w:rFonts w:asciiTheme="majorHAnsi" w:hAnsiTheme="majorHAnsi" w:cstheme="majorHAnsi"/>
                <w:sz w:val="20"/>
                <w:szCs w:val="20"/>
              </w:rPr>
              <w:t>Prihlásení</w:t>
            </w:r>
            <w:r w:rsidRPr="0053555E">
              <w:rPr>
                <w:rFonts w:asciiTheme="majorHAnsi" w:hAnsiTheme="majorHAnsi" w:cstheme="majorHAnsi"/>
                <w:sz w:val="20"/>
                <w:szCs w:val="20"/>
              </w:rPr>
              <w:br/>
              <w:t>absolventi iných VŠ</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1B6CF" w14:textId="77777777" w:rsidR="00055233" w:rsidRPr="0053555E" w:rsidRDefault="00055233" w:rsidP="00324438">
            <w:pPr>
              <w:tabs>
                <w:tab w:val="left" w:pos="9356"/>
              </w:tabs>
              <w:jc w:val="center"/>
              <w:rPr>
                <w:rFonts w:asciiTheme="majorHAnsi" w:eastAsia="Times New Roman" w:hAnsiTheme="majorHAnsi" w:cstheme="majorHAnsi"/>
                <w:b/>
                <w:sz w:val="18"/>
                <w:szCs w:val="22"/>
                <w:lang w:eastAsia="sk-SK"/>
              </w:rPr>
            </w:pPr>
            <w:r w:rsidRPr="0053555E">
              <w:rPr>
                <w:rFonts w:asciiTheme="majorHAnsi" w:hAnsiTheme="majorHAnsi" w:cstheme="majorHAnsi"/>
                <w:b/>
                <w:sz w:val="20"/>
                <w:szCs w:val="20"/>
              </w:rPr>
              <w:t>Spolu prihlásení</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F0A4D" w14:textId="77777777" w:rsidR="00055233" w:rsidRPr="0053555E" w:rsidRDefault="00055233" w:rsidP="00324438">
            <w:pPr>
              <w:tabs>
                <w:tab w:val="left" w:pos="9356"/>
              </w:tabs>
              <w:jc w:val="center"/>
              <w:rPr>
                <w:rFonts w:asciiTheme="majorHAnsi" w:eastAsia="Times New Roman" w:hAnsiTheme="majorHAnsi" w:cstheme="majorHAnsi"/>
                <w:b/>
                <w:sz w:val="18"/>
                <w:szCs w:val="22"/>
                <w:lang w:eastAsia="sk-SK"/>
              </w:rPr>
            </w:pPr>
            <w:r w:rsidRPr="0053555E">
              <w:rPr>
                <w:rFonts w:asciiTheme="majorHAnsi" w:hAnsiTheme="majorHAnsi" w:cstheme="majorHAnsi"/>
                <w:b/>
                <w:sz w:val="20"/>
                <w:szCs w:val="20"/>
              </w:rPr>
              <w:t>Spolu prijatí</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B036A" w14:textId="77777777" w:rsidR="00055233" w:rsidRPr="0053555E" w:rsidRDefault="00055233" w:rsidP="00324438">
            <w:pPr>
              <w:tabs>
                <w:tab w:val="left" w:pos="9356"/>
              </w:tabs>
              <w:jc w:val="center"/>
              <w:rPr>
                <w:rFonts w:asciiTheme="majorHAnsi" w:eastAsia="Times New Roman" w:hAnsiTheme="majorHAnsi" w:cstheme="majorHAnsi"/>
                <w:b/>
                <w:sz w:val="18"/>
                <w:szCs w:val="22"/>
                <w:lang w:eastAsia="sk-SK"/>
              </w:rPr>
            </w:pPr>
            <w:r w:rsidRPr="0053555E">
              <w:rPr>
                <w:rFonts w:asciiTheme="majorHAnsi" w:hAnsiTheme="majorHAnsi" w:cstheme="majorHAnsi"/>
                <w:sz w:val="20"/>
                <w:szCs w:val="20"/>
              </w:rPr>
              <w:t>Zapísaní absolventi STU</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24ED260" w14:textId="77777777" w:rsidR="00055233" w:rsidRPr="0053555E" w:rsidRDefault="00055233" w:rsidP="00324438">
            <w:pPr>
              <w:tabs>
                <w:tab w:val="left" w:pos="9356"/>
              </w:tabs>
              <w:jc w:val="center"/>
              <w:rPr>
                <w:rFonts w:asciiTheme="majorHAnsi" w:eastAsia="Times New Roman" w:hAnsiTheme="majorHAnsi" w:cstheme="majorHAnsi"/>
                <w:b/>
                <w:sz w:val="18"/>
                <w:szCs w:val="22"/>
                <w:lang w:eastAsia="sk-SK"/>
              </w:rPr>
            </w:pPr>
            <w:r w:rsidRPr="0053555E">
              <w:rPr>
                <w:rFonts w:asciiTheme="majorHAnsi" w:hAnsiTheme="majorHAnsi" w:cstheme="majorHAnsi"/>
                <w:sz w:val="20"/>
                <w:szCs w:val="20"/>
              </w:rPr>
              <w:t>Zapísaní absolventi iných VŠ</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970B0" w14:textId="77777777" w:rsidR="00055233" w:rsidRPr="0053555E" w:rsidRDefault="00055233" w:rsidP="00324438">
            <w:pPr>
              <w:tabs>
                <w:tab w:val="left" w:pos="9356"/>
              </w:tabs>
              <w:jc w:val="center"/>
              <w:rPr>
                <w:rFonts w:asciiTheme="majorHAnsi" w:eastAsia="Times New Roman" w:hAnsiTheme="majorHAnsi" w:cstheme="majorHAnsi"/>
                <w:b/>
                <w:sz w:val="18"/>
                <w:szCs w:val="22"/>
                <w:lang w:eastAsia="sk-SK"/>
              </w:rPr>
            </w:pPr>
            <w:r w:rsidRPr="0053555E">
              <w:rPr>
                <w:rFonts w:asciiTheme="majorHAnsi" w:hAnsiTheme="majorHAnsi" w:cstheme="majorHAnsi"/>
                <w:b/>
                <w:sz w:val="20"/>
                <w:szCs w:val="20"/>
              </w:rPr>
              <w:t>Spolu zapísaní</w:t>
            </w:r>
          </w:p>
        </w:tc>
      </w:tr>
      <w:tr w:rsidR="00281A9E" w:rsidRPr="0053555E" w14:paraId="4523B943" w14:textId="77777777" w:rsidTr="009E34EE">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FD1B5" w14:textId="5C1A5CD2" w:rsidR="00281A9E" w:rsidRPr="0053555E" w:rsidRDefault="00281A9E" w:rsidP="00281A9E">
            <w:pPr>
              <w:jc w:val="center"/>
              <w:rPr>
                <w:rFonts w:asciiTheme="majorHAnsi" w:hAnsiTheme="majorHAnsi" w:cstheme="majorHAnsi"/>
                <w:sz w:val="22"/>
                <w:szCs w:val="20"/>
              </w:rPr>
            </w:pPr>
            <w:r w:rsidRPr="0053555E">
              <w:rPr>
                <w:rFonts w:cs="Calibri"/>
                <w:sz w:val="22"/>
                <w:szCs w:val="20"/>
              </w:rPr>
              <w:t>2010/2011</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32CB991" w14:textId="7A76F854" w:rsidR="00281A9E" w:rsidRPr="0053555E" w:rsidRDefault="00281A9E" w:rsidP="00281A9E">
            <w:pPr>
              <w:jc w:val="center"/>
              <w:rPr>
                <w:rFonts w:asciiTheme="majorHAnsi" w:hAnsiTheme="majorHAnsi" w:cstheme="majorHAnsi"/>
                <w:sz w:val="22"/>
                <w:szCs w:val="20"/>
              </w:rPr>
            </w:pPr>
            <w:r w:rsidRPr="0053555E">
              <w:rPr>
                <w:rFonts w:cs="Calibri"/>
                <w:sz w:val="22"/>
                <w:szCs w:val="20"/>
              </w:rPr>
              <w:t>3 143</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5D7949D" w14:textId="41E2B57E" w:rsidR="00281A9E" w:rsidRPr="0053555E" w:rsidRDefault="00281A9E" w:rsidP="00281A9E">
            <w:pPr>
              <w:jc w:val="center"/>
              <w:rPr>
                <w:rFonts w:asciiTheme="majorHAnsi" w:hAnsiTheme="majorHAnsi" w:cstheme="majorHAnsi"/>
                <w:sz w:val="22"/>
                <w:szCs w:val="20"/>
              </w:rPr>
            </w:pPr>
            <w:r w:rsidRPr="0053555E">
              <w:rPr>
                <w:rFonts w:cs="Calibri"/>
                <w:sz w:val="22"/>
                <w:szCs w:val="20"/>
              </w:rPr>
              <w:t>739</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D39EF" w14:textId="4E42A4E9" w:rsidR="00281A9E" w:rsidRPr="0053555E" w:rsidRDefault="00281A9E" w:rsidP="00281A9E">
            <w:pPr>
              <w:jc w:val="center"/>
              <w:rPr>
                <w:rFonts w:asciiTheme="majorHAnsi" w:hAnsiTheme="majorHAnsi" w:cstheme="majorHAnsi"/>
                <w:sz w:val="22"/>
                <w:szCs w:val="20"/>
              </w:rPr>
            </w:pPr>
            <w:r w:rsidRPr="0053555E">
              <w:rPr>
                <w:rFonts w:cs="Calibri"/>
                <w:sz w:val="22"/>
                <w:szCs w:val="20"/>
              </w:rPr>
              <w:t>3 882</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449B5" w14:textId="1274502E" w:rsidR="00281A9E" w:rsidRPr="0053555E" w:rsidRDefault="00281A9E" w:rsidP="00281A9E">
            <w:pPr>
              <w:jc w:val="center"/>
              <w:rPr>
                <w:rFonts w:asciiTheme="majorHAnsi" w:hAnsiTheme="majorHAnsi" w:cstheme="majorHAnsi"/>
                <w:sz w:val="22"/>
                <w:szCs w:val="20"/>
              </w:rPr>
            </w:pPr>
            <w:r w:rsidRPr="0053555E">
              <w:rPr>
                <w:rFonts w:cs="Calibri"/>
                <w:sz w:val="22"/>
                <w:szCs w:val="20"/>
              </w:rPr>
              <w:t>3 085</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C9453" w14:textId="68F96A84" w:rsidR="00281A9E" w:rsidRPr="0053555E" w:rsidRDefault="00281A9E" w:rsidP="00281A9E">
            <w:pPr>
              <w:jc w:val="center"/>
              <w:rPr>
                <w:rFonts w:asciiTheme="majorHAnsi" w:hAnsiTheme="majorHAnsi" w:cstheme="majorHAnsi"/>
                <w:sz w:val="22"/>
                <w:szCs w:val="20"/>
              </w:rPr>
            </w:pPr>
            <w:r w:rsidRPr="0053555E">
              <w:rPr>
                <w:rFonts w:cs="Calibri"/>
                <w:sz w:val="22"/>
                <w:szCs w:val="20"/>
              </w:rPr>
              <w:t>2 426</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60F2F976" w14:textId="7848F7A2" w:rsidR="00281A9E" w:rsidRPr="0053555E" w:rsidRDefault="00281A9E" w:rsidP="00281A9E">
            <w:pPr>
              <w:jc w:val="center"/>
              <w:rPr>
                <w:rFonts w:asciiTheme="majorHAnsi" w:hAnsiTheme="majorHAnsi" w:cstheme="majorHAnsi"/>
                <w:sz w:val="22"/>
                <w:szCs w:val="20"/>
              </w:rPr>
            </w:pPr>
            <w:r w:rsidRPr="0053555E">
              <w:rPr>
                <w:rFonts w:cs="Calibri"/>
                <w:sz w:val="22"/>
                <w:szCs w:val="20"/>
              </w:rPr>
              <w:t>394</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8FE61" w14:textId="15E8C5F1" w:rsidR="00281A9E" w:rsidRPr="0053555E" w:rsidRDefault="00281A9E" w:rsidP="00281A9E">
            <w:pPr>
              <w:jc w:val="center"/>
              <w:rPr>
                <w:rFonts w:asciiTheme="majorHAnsi" w:hAnsiTheme="majorHAnsi" w:cstheme="majorHAnsi"/>
                <w:sz w:val="22"/>
                <w:szCs w:val="20"/>
              </w:rPr>
            </w:pPr>
            <w:r w:rsidRPr="0053555E">
              <w:rPr>
                <w:rFonts w:cs="Calibri"/>
                <w:sz w:val="22"/>
                <w:szCs w:val="20"/>
              </w:rPr>
              <w:t>2 820</w:t>
            </w:r>
          </w:p>
        </w:tc>
      </w:tr>
      <w:tr w:rsidR="00281A9E" w:rsidRPr="0053555E" w14:paraId="653C4A21" w14:textId="77777777" w:rsidTr="009E34EE">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06871A02" w14:textId="46DD6BDB" w:rsidR="00281A9E" w:rsidRPr="0053555E" w:rsidRDefault="00281A9E" w:rsidP="00281A9E">
            <w:pPr>
              <w:jc w:val="center"/>
              <w:rPr>
                <w:rFonts w:asciiTheme="majorHAnsi" w:hAnsiTheme="majorHAnsi" w:cstheme="majorHAnsi"/>
                <w:sz w:val="22"/>
                <w:szCs w:val="20"/>
              </w:rPr>
            </w:pPr>
            <w:r w:rsidRPr="0053555E">
              <w:rPr>
                <w:rFonts w:cs="Calibri"/>
                <w:sz w:val="22"/>
                <w:szCs w:val="20"/>
              </w:rPr>
              <w:t>2011/2012</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7FD69F7" w14:textId="33BF1349" w:rsidR="00281A9E" w:rsidRPr="0053555E" w:rsidRDefault="00281A9E" w:rsidP="00281A9E">
            <w:pPr>
              <w:jc w:val="center"/>
              <w:rPr>
                <w:rFonts w:asciiTheme="majorHAnsi" w:hAnsiTheme="majorHAnsi" w:cstheme="majorHAnsi"/>
                <w:sz w:val="22"/>
                <w:szCs w:val="20"/>
              </w:rPr>
            </w:pPr>
            <w:r w:rsidRPr="0053555E">
              <w:rPr>
                <w:rFonts w:cs="Calibri"/>
                <w:sz w:val="22"/>
                <w:szCs w:val="20"/>
              </w:rPr>
              <w:t>2 639</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1FD6D4CA" w14:textId="5A9F7E65" w:rsidR="00281A9E" w:rsidRPr="0053555E" w:rsidRDefault="00281A9E" w:rsidP="00281A9E">
            <w:pPr>
              <w:jc w:val="center"/>
              <w:rPr>
                <w:rFonts w:asciiTheme="majorHAnsi" w:hAnsiTheme="majorHAnsi" w:cstheme="majorHAnsi"/>
                <w:sz w:val="22"/>
                <w:szCs w:val="20"/>
              </w:rPr>
            </w:pPr>
            <w:r w:rsidRPr="0053555E">
              <w:rPr>
                <w:rFonts w:cs="Calibri"/>
                <w:sz w:val="22"/>
                <w:szCs w:val="20"/>
              </w:rPr>
              <w:t>540</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E1BBB" w14:textId="048F119C" w:rsidR="00281A9E" w:rsidRPr="0053555E" w:rsidRDefault="00281A9E" w:rsidP="00281A9E">
            <w:pPr>
              <w:jc w:val="center"/>
              <w:rPr>
                <w:rFonts w:asciiTheme="majorHAnsi" w:hAnsiTheme="majorHAnsi" w:cstheme="majorHAnsi"/>
                <w:sz w:val="22"/>
                <w:szCs w:val="20"/>
              </w:rPr>
            </w:pPr>
            <w:r w:rsidRPr="0053555E">
              <w:rPr>
                <w:rFonts w:cs="Calibri"/>
                <w:sz w:val="22"/>
                <w:szCs w:val="20"/>
              </w:rPr>
              <w:t>3 179</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AA050" w14:textId="33945129" w:rsidR="00281A9E" w:rsidRPr="0053555E" w:rsidRDefault="00281A9E" w:rsidP="00281A9E">
            <w:pPr>
              <w:jc w:val="center"/>
              <w:rPr>
                <w:rFonts w:asciiTheme="majorHAnsi" w:hAnsiTheme="majorHAnsi" w:cstheme="majorHAnsi"/>
                <w:sz w:val="22"/>
                <w:szCs w:val="20"/>
              </w:rPr>
            </w:pPr>
            <w:r w:rsidRPr="0053555E">
              <w:rPr>
                <w:rFonts w:cs="Calibri"/>
                <w:sz w:val="22"/>
                <w:szCs w:val="20"/>
              </w:rPr>
              <w:t>2 696</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4EC91" w14:textId="3023A70F" w:rsidR="00281A9E" w:rsidRPr="0053555E" w:rsidRDefault="00281A9E" w:rsidP="00281A9E">
            <w:pPr>
              <w:jc w:val="center"/>
              <w:rPr>
                <w:rFonts w:asciiTheme="majorHAnsi" w:hAnsiTheme="majorHAnsi" w:cstheme="majorHAnsi"/>
                <w:sz w:val="22"/>
                <w:szCs w:val="20"/>
              </w:rPr>
            </w:pPr>
            <w:r w:rsidRPr="0053555E">
              <w:rPr>
                <w:rFonts w:cs="Calibri"/>
                <w:sz w:val="22"/>
                <w:szCs w:val="20"/>
              </w:rPr>
              <w:t>2 098</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1A441F70" w14:textId="60EFC674" w:rsidR="00281A9E" w:rsidRPr="0053555E" w:rsidRDefault="00281A9E" w:rsidP="00281A9E">
            <w:pPr>
              <w:jc w:val="center"/>
              <w:rPr>
                <w:rFonts w:asciiTheme="majorHAnsi" w:hAnsiTheme="majorHAnsi" w:cstheme="majorHAnsi"/>
                <w:sz w:val="22"/>
                <w:szCs w:val="20"/>
              </w:rPr>
            </w:pPr>
            <w:r w:rsidRPr="0053555E">
              <w:rPr>
                <w:rFonts w:cs="Calibri"/>
                <w:sz w:val="22"/>
                <w:szCs w:val="20"/>
              </w:rPr>
              <w:t>336</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6DE55" w14:textId="51EF5F59" w:rsidR="00281A9E" w:rsidRPr="0053555E" w:rsidRDefault="00281A9E" w:rsidP="00281A9E">
            <w:pPr>
              <w:jc w:val="center"/>
              <w:rPr>
                <w:rFonts w:asciiTheme="majorHAnsi" w:hAnsiTheme="majorHAnsi" w:cstheme="majorHAnsi"/>
                <w:sz w:val="22"/>
                <w:szCs w:val="20"/>
              </w:rPr>
            </w:pPr>
            <w:r w:rsidRPr="0053555E">
              <w:rPr>
                <w:rFonts w:cs="Calibri"/>
                <w:sz w:val="22"/>
                <w:szCs w:val="20"/>
              </w:rPr>
              <w:t>2 434</w:t>
            </w:r>
          </w:p>
        </w:tc>
      </w:tr>
      <w:tr w:rsidR="00281A9E" w:rsidRPr="0053555E" w14:paraId="112D339F" w14:textId="77777777" w:rsidTr="009E34EE">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54F4B95E" w14:textId="47F357D3" w:rsidR="00281A9E" w:rsidRPr="0053555E" w:rsidRDefault="00281A9E" w:rsidP="00281A9E">
            <w:pPr>
              <w:jc w:val="center"/>
              <w:rPr>
                <w:rFonts w:asciiTheme="majorHAnsi" w:hAnsiTheme="majorHAnsi" w:cstheme="majorHAnsi"/>
                <w:sz w:val="22"/>
                <w:szCs w:val="20"/>
              </w:rPr>
            </w:pPr>
            <w:r w:rsidRPr="0053555E">
              <w:rPr>
                <w:rFonts w:cs="Calibri"/>
                <w:sz w:val="22"/>
                <w:szCs w:val="20"/>
              </w:rPr>
              <w:t>2012/2013</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4B781BC5" w14:textId="24784265" w:rsidR="00281A9E" w:rsidRPr="0053555E" w:rsidRDefault="00281A9E" w:rsidP="00281A9E">
            <w:pPr>
              <w:jc w:val="center"/>
              <w:rPr>
                <w:rFonts w:asciiTheme="majorHAnsi" w:hAnsiTheme="majorHAnsi" w:cstheme="majorHAnsi"/>
                <w:sz w:val="22"/>
                <w:szCs w:val="20"/>
              </w:rPr>
            </w:pPr>
            <w:r w:rsidRPr="0053555E">
              <w:rPr>
                <w:rFonts w:cs="Calibri"/>
                <w:sz w:val="22"/>
                <w:szCs w:val="20"/>
              </w:rPr>
              <w:t>2 476</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59CE3F7D" w14:textId="3F2552C7" w:rsidR="00281A9E" w:rsidRPr="0053555E" w:rsidRDefault="00281A9E" w:rsidP="00281A9E">
            <w:pPr>
              <w:jc w:val="center"/>
              <w:rPr>
                <w:rFonts w:asciiTheme="majorHAnsi" w:hAnsiTheme="majorHAnsi" w:cstheme="majorHAnsi"/>
                <w:sz w:val="22"/>
                <w:szCs w:val="20"/>
              </w:rPr>
            </w:pPr>
            <w:r w:rsidRPr="0053555E">
              <w:rPr>
                <w:rFonts w:cs="Calibri"/>
                <w:sz w:val="22"/>
                <w:szCs w:val="20"/>
              </w:rPr>
              <w:t>376</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67FF7" w14:textId="1C682541" w:rsidR="00281A9E" w:rsidRPr="0053555E" w:rsidRDefault="00281A9E" w:rsidP="00281A9E">
            <w:pPr>
              <w:jc w:val="center"/>
              <w:rPr>
                <w:rFonts w:asciiTheme="majorHAnsi" w:hAnsiTheme="majorHAnsi" w:cstheme="majorHAnsi"/>
                <w:sz w:val="22"/>
                <w:szCs w:val="20"/>
              </w:rPr>
            </w:pPr>
            <w:r w:rsidRPr="0053555E">
              <w:rPr>
                <w:rFonts w:cs="Calibri"/>
                <w:sz w:val="22"/>
                <w:szCs w:val="20"/>
              </w:rPr>
              <w:t>2 852</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81399" w14:textId="149A4C71" w:rsidR="00281A9E" w:rsidRPr="0053555E" w:rsidRDefault="00281A9E" w:rsidP="00281A9E">
            <w:pPr>
              <w:jc w:val="center"/>
              <w:rPr>
                <w:rFonts w:asciiTheme="majorHAnsi" w:hAnsiTheme="majorHAnsi" w:cstheme="majorHAnsi"/>
                <w:sz w:val="22"/>
                <w:szCs w:val="20"/>
              </w:rPr>
            </w:pPr>
            <w:r w:rsidRPr="0053555E">
              <w:rPr>
                <w:rFonts w:cs="Calibri"/>
                <w:sz w:val="22"/>
                <w:szCs w:val="20"/>
              </w:rPr>
              <w:t>2 452</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4D1DD" w14:textId="286039A1" w:rsidR="00281A9E" w:rsidRPr="0053555E" w:rsidRDefault="00281A9E" w:rsidP="00281A9E">
            <w:pPr>
              <w:jc w:val="center"/>
              <w:rPr>
                <w:rFonts w:asciiTheme="majorHAnsi" w:hAnsiTheme="majorHAnsi" w:cstheme="majorHAnsi"/>
                <w:sz w:val="22"/>
                <w:szCs w:val="20"/>
              </w:rPr>
            </w:pPr>
            <w:r w:rsidRPr="0053555E">
              <w:rPr>
                <w:rFonts w:cs="Calibri"/>
                <w:sz w:val="22"/>
                <w:szCs w:val="20"/>
              </w:rPr>
              <w:t>2 020</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0E93D9BD" w14:textId="3460B393" w:rsidR="00281A9E" w:rsidRPr="0053555E" w:rsidRDefault="00281A9E" w:rsidP="00281A9E">
            <w:pPr>
              <w:jc w:val="center"/>
              <w:rPr>
                <w:rFonts w:asciiTheme="majorHAnsi" w:hAnsiTheme="majorHAnsi" w:cstheme="majorHAnsi"/>
                <w:sz w:val="22"/>
                <w:szCs w:val="20"/>
              </w:rPr>
            </w:pPr>
            <w:r w:rsidRPr="0053555E">
              <w:rPr>
                <w:rFonts w:cs="Calibri"/>
                <w:sz w:val="22"/>
                <w:szCs w:val="20"/>
              </w:rPr>
              <w:t>225</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4E1F4" w14:textId="3438AFD6" w:rsidR="00281A9E" w:rsidRPr="0053555E" w:rsidRDefault="00281A9E" w:rsidP="00281A9E">
            <w:pPr>
              <w:jc w:val="center"/>
              <w:rPr>
                <w:rFonts w:asciiTheme="majorHAnsi" w:hAnsiTheme="majorHAnsi" w:cstheme="majorHAnsi"/>
                <w:sz w:val="22"/>
                <w:szCs w:val="20"/>
              </w:rPr>
            </w:pPr>
            <w:r w:rsidRPr="0053555E">
              <w:rPr>
                <w:rFonts w:cs="Calibri"/>
                <w:sz w:val="22"/>
                <w:szCs w:val="20"/>
              </w:rPr>
              <w:t>2 245</w:t>
            </w:r>
          </w:p>
        </w:tc>
      </w:tr>
      <w:tr w:rsidR="00281A9E" w:rsidRPr="0053555E" w14:paraId="4341C87E" w14:textId="77777777" w:rsidTr="009E34EE">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0E221668" w14:textId="0E110291" w:rsidR="00281A9E" w:rsidRPr="0053555E" w:rsidRDefault="00281A9E" w:rsidP="00281A9E">
            <w:pPr>
              <w:jc w:val="center"/>
              <w:rPr>
                <w:rFonts w:asciiTheme="majorHAnsi" w:hAnsiTheme="majorHAnsi" w:cstheme="majorHAnsi"/>
                <w:sz w:val="22"/>
                <w:szCs w:val="20"/>
              </w:rPr>
            </w:pPr>
            <w:r w:rsidRPr="0053555E">
              <w:rPr>
                <w:rFonts w:cs="Calibri"/>
                <w:sz w:val="22"/>
                <w:szCs w:val="20"/>
              </w:rPr>
              <w:t>2013/2014</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4CC25DBC" w14:textId="2A27B891" w:rsidR="00281A9E" w:rsidRPr="0053555E" w:rsidRDefault="00281A9E" w:rsidP="00281A9E">
            <w:pPr>
              <w:jc w:val="center"/>
              <w:rPr>
                <w:rFonts w:asciiTheme="majorHAnsi" w:hAnsiTheme="majorHAnsi" w:cstheme="majorHAnsi"/>
                <w:sz w:val="22"/>
                <w:szCs w:val="20"/>
              </w:rPr>
            </w:pPr>
            <w:r w:rsidRPr="0053555E">
              <w:rPr>
                <w:rFonts w:cs="Calibri"/>
                <w:sz w:val="22"/>
                <w:szCs w:val="20"/>
              </w:rPr>
              <w:t>2 358</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5792D9D9" w14:textId="4A3D31D1" w:rsidR="00281A9E" w:rsidRPr="0053555E" w:rsidRDefault="00281A9E" w:rsidP="00281A9E">
            <w:pPr>
              <w:jc w:val="center"/>
              <w:rPr>
                <w:rFonts w:asciiTheme="majorHAnsi" w:hAnsiTheme="majorHAnsi" w:cstheme="majorHAnsi"/>
                <w:sz w:val="22"/>
                <w:szCs w:val="20"/>
              </w:rPr>
            </w:pPr>
            <w:r w:rsidRPr="0053555E">
              <w:rPr>
                <w:rFonts w:cs="Calibri"/>
                <w:sz w:val="22"/>
                <w:szCs w:val="20"/>
              </w:rPr>
              <w:t>334</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C50E5" w14:textId="11262DFA" w:rsidR="00281A9E" w:rsidRPr="0053555E" w:rsidRDefault="00281A9E" w:rsidP="00281A9E">
            <w:pPr>
              <w:jc w:val="center"/>
              <w:rPr>
                <w:rFonts w:asciiTheme="majorHAnsi" w:hAnsiTheme="majorHAnsi" w:cstheme="majorHAnsi"/>
                <w:sz w:val="22"/>
                <w:szCs w:val="20"/>
              </w:rPr>
            </w:pPr>
            <w:r w:rsidRPr="0053555E">
              <w:rPr>
                <w:rFonts w:cs="Calibri"/>
                <w:sz w:val="22"/>
                <w:szCs w:val="20"/>
              </w:rPr>
              <w:t>2 692</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82CB8" w14:textId="2B74619B" w:rsidR="00281A9E" w:rsidRPr="0053555E" w:rsidRDefault="00281A9E" w:rsidP="00281A9E">
            <w:pPr>
              <w:jc w:val="center"/>
              <w:rPr>
                <w:rFonts w:asciiTheme="majorHAnsi" w:hAnsiTheme="majorHAnsi" w:cstheme="majorHAnsi"/>
                <w:sz w:val="22"/>
                <w:szCs w:val="20"/>
              </w:rPr>
            </w:pPr>
            <w:r w:rsidRPr="0053555E">
              <w:rPr>
                <w:rFonts w:cs="Calibri"/>
                <w:sz w:val="22"/>
                <w:szCs w:val="20"/>
              </w:rPr>
              <w:t>2 348</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86C47" w14:textId="387C9A80" w:rsidR="00281A9E" w:rsidRPr="0053555E" w:rsidRDefault="00281A9E" w:rsidP="00281A9E">
            <w:pPr>
              <w:jc w:val="center"/>
              <w:rPr>
                <w:rFonts w:asciiTheme="majorHAnsi" w:hAnsiTheme="majorHAnsi" w:cstheme="majorHAnsi"/>
                <w:sz w:val="22"/>
                <w:szCs w:val="20"/>
              </w:rPr>
            </w:pPr>
            <w:r w:rsidRPr="0053555E">
              <w:rPr>
                <w:rFonts w:cs="Calibri"/>
                <w:sz w:val="22"/>
                <w:szCs w:val="20"/>
              </w:rPr>
              <w:t>1 955</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223ECD0A" w14:textId="72DA0FBE" w:rsidR="00281A9E" w:rsidRPr="0053555E" w:rsidRDefault="00281A9E" w:rsidP="00281A9E">
            <w:pPr>
              <w:jc w:val="center"/>
              <w:rPr>
                <w:rFonts w:asciiTheme="majorHAnsi" w:hAnsiTheme="majorHAnsi" w:cstheme="majorHAnsi"/>
                <w:sz w:val="22"/>
                <w:szCs w:val="20"/>
              </w:rPr>
            </w:pPr>
            <w:r w:rsidRPr="0053555E">
              <w:rPr>
                <w:rFonts w:cs="Calibri"/>
                <w:sz w:val="22"/>
                <w:szCs w:val="20"/>
              </w:rPr>
              <w:t>198</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CCC2D" w14:textId="78DEA76C" w:rsidR="00281A9E" w:rsidRPr="0053555E" w:rsidRDefault="00281A9E" w:rsidP="00281A9E">
            <w:pPr>
              <w:jc w:val="center"/>
              <w:rPr>
                <w:rFonts w:asciiTheme="majorHAnsi" w:hAnsiTheme="majorHAnsi" w:cstheme="majorHAnsi"/>
                <w:sz w:val="22"/>
                <w:szCs w:val="20"/>
              </w:rPr>
            </w:pPr>
            <w:r w:rsidRPr="0053555E">
              <w:rPr>
                <w:rFonts w:cs="Calibri"/>
                <w:sz w:val="22"/>
                <w:szCs w:val="20"/>
              </w:rPr>
              <w:t>2 153</w:t>
            </w:r>
          </w:p>
        </w:tc>
      </w:tr>
      <w:tr w:rsidR="00281A9E" w:rsidRPr="0053555E" w14:paraId="0FED44F4" w14:textId="77777777" w:rsidTr="009E34EE">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56410" w14:textId="2A3B32F5" w:rsidR="00281A9E" w:rsidRPr="0053555E" w:rsidRDefault="00281A9E" w:rsidP="00281A9E">
            <w:pPr>
              <w:jc w:val="center"/>
              <w:rPr>
                <w:rFonts w:asciiTheme="majorHAnsi" w:hAnsiTheme="majorHAnsi" w:cstheme="majorHAnsi"/>
                <w:sz w:val="22"/>
                <w:szCs w:val="20"/>
              </w:rPr>
            </w:pPr>
            <w:r w:rsidRPr="0053555E">
              <w:rPr>
                <w:rFonts w:cs="Calibri"/>
                <w:sz w:val="22"/>
                <w:szCs w:val="20"/>
              </w:rPr>
              <w:t>2014/2015</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42CC8EEE" w14:textId="7EE20571" w:rsidR="00281A9E" w:rsidRPr="0053555E" w:rsidRDefault="00281A9E" w:rsidP="00281A9E">
            <w:pPr>
              <w:jc w:val="center"/>
              <w:rPr>
                <w:rFonts w:asciiTheme="majorHAnsi" w:hAnsiTheme="majorHAnsi" w:cstheme="majorHAnsi"/>
                <w:sz w:val="22"/>
                <w:szCs w:val="20"/>
              </w:rPr>
            </w:pPr>
            <w:r w:rsidRPr="0053555E">
              <w:rPr>
                <w:rFonts w:cs="Calibri"/>
                <w:sz w:val="22"/>
                <w:szCs w:val="20"/>
              </w:rPr>
              <w:t>2 348</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3C94277D" w14:textId="20661A77" w:rsidR="00281A9E" w:rsidRPr="0053555E" w:rsidRDefault="00281A9E" w:rsidP="00281A9E">
            <w:pPr>
              <w:jc w:val="center"/>
              <w:rPr>
                <w:rFonts w:asciiTheme="majorHAnsi" w:hAnsiTheme="majorHAnsi" w:cstheme="majorHAnsi"/>
                <w:sz w:val="22"/>
                <w:szCs w:val="20"/>
              </w:rPr>
            </w:pPr>
            <w:r w:rsidRPr="0053555E">
              <w:rPr>
                <w:rFonts w:cs="Calibri"/>
                <w:sz w:val="22"/>
                <w:szCs w:val="20"/>
              </w:rPr>
              <w:t>289</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BB6E3" w14:textId="38C83584" w:rsidR="00281A9E" w:rsidRPr="0053555E" w:rsidRDefault="00281A9E" w:rsidP="00281A9E">
            <w:pPr>
              <w:jc w:val="center"/>
              <w:rPr>
                <w:rFonts w:asciiTheme="majorHAnsi" w:hAnsiTheme="majorHAnsi" w:cstheme="majorHAnsi"/>
                <w:sz w:val="22"/>
                <w:szCs w:val="20"/>
              </w:rPr>
            </w:pPr>
            <w:r w:rsidRPr="0053555E">
              <w:rPr>
                <w:rFonts w:cs="Calibri"/>
                <w:sz w:val="22"/>
                <w:szCs w:val="20"/>
              </w:rPr>
              <w:t>2 637</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3D917" w14:textId="3C66C11E" w:rsidR="00281A9E" w:rsidRPr="0053555E" w:rsidRDefault="00281A9E" w:rsidP="00281A9E">
            <w:pPr>
              <w:jc w:val="center"/>
              <w:rPr>
                <w:rFonts w:asciiTheme="majorHAnsi" w:hAnsiTheme="majorHAnsi" w:cstheme="majorHAnsi"/>
                <w:sz w:val="22"/>
                <w:szCs w:val="20"/>
              </w:rPr>
            </w:pPr>
            <w:r w:rsidRPr="0053555E">
              <w:rPr>
                <w:rFonts w:cs="Calibri"/>
                <w:sz w:val="22"/>
                <w:szCs w:val="20"/>
              </w:rPr>
              <w:t>2 319</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C0ACA" w14:textId="4BF5A23A" w:rsidR="00281A9E" w:rsidRPr="0053555E" w:rsidRDefault="00281A9E" w:rsidP="00281A9E">
            <w:pPr>
              <w:jc w:val="center"/>
              <w:rPr>
                <w:rFonts w:asciiTheme="majorHAnsi" w:hAnsiTheme="majorHAnsi" w:cstheme="majorHAnsi"/>
                <w:sz w:val="22"/>
                <w:szCs w:val="20"/>
              </w:rPr>
            </w:pPr>
            <w:r w:rsidRPr="0053555E">
              <w:rPr>
                <w:rFonts w:cs="Calibri"/>
                <w:sz w:val="22"/>
                <w:szCs w:val="20"/>
              </w:rPr>
              <w:t>1 920</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6286D381" w14:textId="0150B529" w:rsidR="00281A9E" w:rsidRPr="0053555E" w:rsidRDefault="00281A9E" w:rsidP="00281A9E">
            <w:pPr>
              <w:jc w:val="center"/>
              <w:rPr>
                <w:rFonts w:asciiTheme="majorHAnsi" w:hAnsiTheme="majorHAnsi" w:cstheme="majorHAnsi"/>
                <w:sz w:val="22"/>
                <w:szCs w:val="20"/>
              </w:rPr>
            </w:pPr>
            <w:r w:rsidRPr="0053555E">
              <w:rPr>
                <w:rFonts w:cs="Calibri"/>
                <w:sz w:val="22"/>
                <w:szCs w:val="20"/>
              </w:rPr>
              <w:t>164</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CD9D2" w14:textId="687B06BB" w:rsidR="00281A9E" w:rsidRPr="0053555E" w:rsidRDefault="00281A9E" w:rsidP="00281A9E">
            <w:pPr>
              <w:jc w:val="center"/>
              <w:rPr>
                <w:rFonts w:asciiTheme="majorHAnsi" w:hAnsiTheme="majorHAnsi" w:cstheme="majorHAnsi"/>
                <w:sz w:val="22"/>
                <w:szCs w:val="20"/>
              </w:rPr>
            </w:pPr>
            <w:r w:rsidRPr="0053555E">
              <w:rPr>
                <w:rFonts w:cs="Calibri"/>
                <w:sz w:val="22"/>
                <w:szCs w:val="20"/>
              </w:rPr>
              <w:t>2 084</w:t>
            </w:r>
          </w:p>
        </w:tc>
      </w:tr>
      <w:tr w:rsidR="00281A9E" w:rsidRPr="0053555E" w14:paraId="6408ED00" w14:textId="77777777" w:rsidTr="009E34EE">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AFB31" w14:textId="63E79B40" w:rsidR="00281A9E" w:rsidRPr="0053555E" w:rsidRDefault="00281A9E" w:rsidP="00281A9E">
            <w:pPr>
              <w:jc w:val="center"/>
              <w:rPr>
                <w:rFonts w:asciiTheme="majorHAnsi" w:hAnsiTheme="majorHAnsi" w:cstheme="majorHAnsi"/>
                <w:sz w:val="22"/>
                <w:szCs w:val="20"/>
              </w:rPr>
            </w:pPr>
            <w:r w:rsidRPr="0053555E">
              <w:rPr>
                <w:rFonts w:cs="Calibri"/>
                <w:sz w:val="22"/>
                <w:szCs w:val="20"/>
              </w:rPr>
              <w:t>2015/2016</w:t>
            </w:r>
          </w:p>
        </w:tc>
        <w:tc>
          <w:tcPr>
            <w:tcW w:w="1103" w:type="dxa"/>
            <w:tcBorders>
              <w:top w:val="single" w:sz="4" w:space="0" w:color="auto"/>
              <w:left w:val="nil"/>
              <w:bottom w:val="single" w:sz="4" w:space="0" w:color="auto"/>
              <w:right w:val="single" w:sz="4" w:space="0" w:color="auto"/>
            </w:tcBorders>
            <w:shd w:val="clear" w:color="auto" w:fill="auto"/>
            <w:noWrap/>
            <w:vAlign w:val="center"/>
          </w:tcPr>
          <w:p w14:paraId="35034345" w14:textId="5A7E8171" w:rsidR="00281A9E" w:rsidRPr="0053555E" w:rsidRDefault="00281A9E" w:rsidP="00281A9E">
            <w:pPr>
              <w:jc w:val="center"/>
              <w:rPr>
                <w:rFonts w:asciiTheme="majorHAnsi" w:hAnsiTheme="majorHAnsi" w:cstheme="majorHAnsi"/>
                <w:sz w:val="22"/>
                <w:szCs w:val="20"/>
              </w:rPr>
            </w:pPr>
            <w:r w:rsidRPr="0053555E">
              <w:rPr>
                <w:rFonts w:cs="Calibri"/>
                <w:sz w:val="22"/>
                <w:szCs w:val="20"/>
              </w:rPr>
              <w:t>2 409</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593877F2" w14:textId="1155381C" w:rsidR="00281A9E" w:rsidRPr="0053555E" w:rsidRDefault="00281A9E" w:rsidP="00281A9E">
            <w:pPr>
              <w:jc w:val="center"/>
              <w:rPr>
                <w:rFonts w:asciiTheme="majorHAnsi" w:hAnsiTheme="majorHAnsi" w:cstheme="majorHAnsi"/>
                <w:sz w:val="22"/>
                <w:szCs w:val="20"/>
              </w:rPr>
            </w:pPr>
            <w:r w:rsidRPr="0053555E">
              <w:rPr>
                <w:rFonts w:cs="Calibri"/>
                <w:sz w:val="22"/>
                <w:szCs w:val="20"/>
              </w:rPr>
              <w:t>286</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E5C7F" w14:textId="3F5CE86D" w:rsidR="00281A9E" w:rsidRPr="0053555E" w:rsidRDefault="00281A9E" w:rsidP="00281A9E">
            <w:pPr>
              <w:jc w:val="center"/>
              <w:rPr>
                <w:rFonts w:asciiTheme="majorHAnsi" w:hAnsiTheme="majorHAnsi" w:cstheme="majorHAnsi"/>
                <w:sz w:val="22"/>
                <w:szCs w:val="20"/>
              </w:rPr>
            </w:pPr>
            <w:r w:rsidRPr="0053555E">
              <w:rPr>
                <w:rFonts w:cs="Calibri"/>
                <w:sz w:val="22"/>
                <w:szCs w:val="20"/>
              </w:rPr>
              <w:t>2 695</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F6F51" w14:textId="39D78AC1" w:rsidR="00281A9E" w:rsidRPr="0053555E" w:rsidRDefault="00281A9E" w:rsidP="00281A9E">
            <w:pPr>
              <w:jc w:val="center"/>
              <w:rPr>
                <w:rFonts w:asciiTheme="majorHAnsi" w:hAnsiTheme="majorHAnsi" w:cstheme="majorHAnsi"/>
                <w:sz w:val="22"/>
                <w:szCs w:val="20"/>
              </w:rPr>
            </w:pPr>
            <w:r w:rsidRPr="0053555E">
              <w:rPr>
                <w:rFonts w:cs="Calibri"/>
                <w:sz w:val="22"/>
                <w:szCs w:val="20"/>
              </w:rPr>
              <w:t>2 411</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E67F1" w14:textId="2EC1C16A" w:rsidR="00281A9E" w:rsidRPr="0053555E" w:rsidRDefault="00281A9E" w:rsidP="00281A9E">
            <w:pPr>
              <w:jc w:val="center"/>
              <w:rPr>
                <w:rFonts w:asciiTheme="majorHAnsi" w:hAnsiTheme="majorHAnsi" w:cstheme="majorHAnsi"/>
                <w:sz w:val="22"/>
                <w:szCs w:val="20"/>
              </w:rPr>
            </w:pPr>
            <w:r w:rsidRPr="0053555E">
              <w:rPr>
                <w:rFonts w:cs="Calibri"/>
                <w:sz w:val="22"/>
                <w:szCs w:val="20"/>
              </w:rPr>
              <w:t>2 043</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3566982" w14:textId="79AB3604" w:rsidR="00281A9E" w:rsidRPr="0053555E" w:rsidRDefault="00281A9E" w:rsidP="00281A9E">
            <w:pPr>
              <w:jc w:val="center"/>
              <w:rPr>
                <w:rFonts w:asciiTheme="majorHAnsi" w:hAnsiTheme="majorHAnsi" w:cstheme="majorHAnsi"/>
                <w:sz w:val="22"/>
                <w:szCs w:val="20"/>
              </w:rPr>
            </w:pPr>
            <w:r w:rsidRPr="0053555E">
              <w:rPr>
                <w:rFonts w:cs="Calibri"/>
                <w:sz w:val="22"/>
                <w:szCs w:val="20"/>
              </w:rPr>
              <w:t>177</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A7BB8" w14:textId="2D2BED5D" w:rsidR="00281A9E" w:rsidRPr="0053555E" w:rsidRDefault="00281A9E" w:rsidP="00281A9E">
            <w:pPr>
              <w:jc w:val="center"/>
              <w:rPr>
                <w:rFonts w:asciiTheme="majorHAnsi" w:hAnsiTheme="majorHAnsi" w:cstheme="majorHAnsi"/>
                <w:sz w:val="22"/>
                <w:szCs w:val="20"/>
              </w:rPr>
            </w:pPr>
            <w:r w:rsidRPr="0053555E">
              <w:rPr>
                <w:rFonts w:cs="Calibri"/>
                <w:sz w:val="22"/>
                <w:szCs w:val="20"/>
              </w:rPr>
              <w:t>2 220</w:t>
            </w:r>
          </w:p>
        </w:tc>
      </w:tr>
      <w:tr w:rsidR="00281A9E" w:rsidRPr="0053555E" w14:paraId="15DF24F2" w14:textId="77777777" w:rsidTr="009E34EE">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90AD1" w14:textId="255A0F3D" w:rsidR="00281A9E" w:rsidRPr="0053555E" w:rsidRDefault="00281A9E" w:rsidP="00281A9E">
            <w:pPr>
              <w:jc w:val="center"/>
              <w:rPr>
                <w:rFonts w:asciiTheme="majorHAnsi" w:hAnsiTheme="majorHAnsi" w:cstheme="majorHAnsi"/>
                <w:sz w:val="22"/>
                <w:szCs w:val="20"/>
              </w:rPr>
            </w:pPr>
            <w:r w:rsidRPr="0053555E">
              <w:rPr>
                <w:rFonts w:cs="Calibri"/>
                <w:sz w:val="22"/>
                <w:szCs w:val="20"/>
              </w:rPr>
              <w:t>2016/2017</w:t>
            </w:r>
          </w:p>
        </w:tc>
        <w:tc>
          <w:tcPr>
            <w:tcW w:w="1103" w:type="dxa"/>
            <w:tcBorders>
              <w:top w:val="single" w:sz="4" w:space="0" w:color="auto"/>
              <w:left w:val="nil"/>
              <w:bottom w:val="single" w:sz="4" w:space="0" w:color="auto"/>
              <w:right w:val="single" w:sz="4" w:space="0" w:color="auto"/>
            </w:tcBorders>
            <w:shd w:val="clear" w:color="auto" w:fill="auto"/>
            <w:noWrap/>
            <w:vAlign w:val="center"/>
          </w:tcPr>
          <w:p w14:paraId="4FA0CA64" w14:textId="368CC9ED" w:rsidR="00281A9E" w:rsidRPr="0053555E" w:rsidRDefault="00281A9E" w:rsidP="00281A9E">
            <w:pPr>
              <w:jc w:val="center"/>
              <w:rPr>
                <w:rFonts w:asciiTheme="majorHAnsi" w:hAnsiTheme="majorHAnsi" w:cstheme="majorHAnsi"/>
                <w:sz w:val="22"/>
                <w:szCs w:val="20"/>
              </w:rPr>
            </w:pPr>
            <w:r w:rsidRPr="0053555E">
              <w:rPr>
                <w:rFonts w:cs="Calibri"/>
                <w:sz w:val="22"/>
                <w:szCs w:val="20"/>
              </w:rPr>
              <w:t>2 314</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66814FB1" w14:textId="61AB2EF5" w:rsidR="00281A9E" w:rsidRPr="0053555E" w:rsidRDefault="00281A9E" w:rsidP="00281A9E">
            <w:pPr>
              <w:jc w:val="center"/>
              <w:rPr>
                <w:rFonts w:asciiTheme="majorHAnsi" w:hAnsiTheme="majorHAnsi" w:cstheme="majorHAnsi"/>
                <w:sz w:val="22"/>
                <w:szCs w:val="20"/>
              </w:rPr>
            </w:pPr>
            <w:r w:rsidRPr="0053555E">
              <w:rPr>
                <w:rFonts w:cs="Calibri"/>
                <w:sz w:val="22"/>
                <w:szCs w:val="20"/>
              </w:rPr>
              <w:t>257</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B32B0" w14:textId="3D7AD525" w:rsidR="00281A9E" w:rsidRPr="0053555E" w:rsidRDefault="00281A9E" w:rsidP="00281A9E">
            <w:pPr>
              <w:jc w:val="center"/>
              <w:rPr>
                <w:rFonts w:asciiTheme="majorHAnsi" w:hAnsiTheme="majorHAnsi" w:cstheme="majorHAnsi"/>
                <w:sz w:val="22"/>
                <w:szCs w:val="20"/>
              </w:rPr>
            </w:pPr>
            <w:r w:rsidRPr="0053555E">
              <w:rPr>
                <w:rFonts w:cs="Calibri"/>
                <w:sz w:val="22"/>
                <w:szCs w:val="20"/>
              </w:rPr>
              <w:t>2 571</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4474E" w14:textId="0B1A8DF8" w:rsidR="00281A9E" w:rsidRPr="0053555E" w:rsidRDefault="00281A9E" w:rsidP="00281A9E">
            <w:pPr>
              <w:jc w:val="center"/>
              <w:rPr>
                <w:rFonts w:asciiTheme="majorHAnsi" w:hAnsiTheme="majorHAnsi" w:cstheme="majorHAnsi"/>
                <w:sz w:val="22"/>
                <w:szCs w:val="20"/>
              </w:rPr>
            </w:pPr>
            <w:r w:rsidRPr="0053555E">
              <w:rPr>
                <w:rFonts w:cs="Calibri"/>
                <w:sz w:val="22"/>
                <w:szCs w:val="20"/>
              </w:rPr>
              <w:t>2 326</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04C1C" w14:textId="6A725484" w:rsidR="00281A9E" w:rsidRPr="0053555E" w:rsidRDefault="00281A9E" w:rsidP="00281A9E">
            <w:pPr>
              <w:jc w:val="center"/>
              <w:rPr>
                <w:rFonts w:asciiTheme="majorHAnsi" w:hAnsiTheme="majorHAnsi" w:cstheme="majorHAnsi"/>
                <w:sz w:val="22"/>
                <w:szCs w:val="20"/>
              </w:rPr>
            </w:pPr>
            <w:r w:rsidRPr="0053555E">
              <w:rPr>
                <w:rFonts w:cs="Calibri"/>
                <w:sz w:val="22"/>
                <w:szCs w:val="20"/>
              </w:rPr>
              <w:t>1 843</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194A0AC" w14:textId="78FB08A7" w:rsidR="00281A9E" w:rsidRPr="0053555E" w:rsidRDefault="00281A9E" w:rsidP="00281A9E">
            <w:pPr>
              <w:jc w:val="center"/>
              <w:rPr>
                <w:rFonts w:asciiTheme="majorHAnsi" w:hAnsiTheme="majorHAnsi" w:cstheme="majorHAnsi"/>
                <w:sz w:val="22"/>
                <w:szCs w:val="20"/>
              </w:rPr>
            </w:pPr>
            <w:r w:rsidRPr="0053555E">
              <w:rPr>
                <w:rFonts w:cs="Calibri"/>
                <w:sz w:val="22"/>
                <w:szCs w:val="20"/>
              </w:rPr>
              <w:t>129</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49970" w14:textId="64B60BD9" w:rsidR="00281A9E" w:rsidRPr="0053555E" w:rsidRDefault="00281A9E" w:rsidP="00281A9E">
            <w:pPr>
              <w:jc w:val="center"/>
              <w:rPr>
                <w:rFonts w:asciiTheme="majorHAnsi" w:hAnsiTheme="majorHAnsi" w:cstheme="majorHAnsi"/>
                <w:sz w:val="22"/>
                <w:szCs w:val="20"/>
              </w:rPr>
            </w:pPr>
            <w:r w:rsidRPr="0053555E">
              <w:rPr>
                <w:rFonts w:cs="Calibri"/>
                <w:sz w:val="22"/>
                <w:szCs w:val="20"/>
              </w:rPr>
              <w:t>1 972</w:t>
            </w:r>
          </w:p>
        </w:tc>
      </w:tr>
      <w:tr w:rsidR="00281A9E" w:rsidRPr="0053555E" w14:paraId="2D79ED96" w14:textId="77777777" w:rsidTr="009E34EE">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927CA" w14:textId="64B1C082" w:rsidR="00281A9E" w:rsidRPr="0053555E" w:rsidRDefault="00281A9E" w:rsidP="00281A9E">
            <w:pPr>
              <w:jc w:val="center"/>
              <w:rPr>
                <w:rFonts w:asciiTheme="majorHAnsi" w:hAnsiTheme="majorHAnsi" w:cstheme="majorHAnsi"/>
                <w:sz w:val="22"/>
                <w:szCs w:val="20"/>
              </w:rPr>
            </w:pPr>
            <w:r w:rsidRPr="0053555E">
              <w:rPr>
                <w:rFonts w:cs="Calibri"/>
                <w:sz w:val="22"/>
                <w:szCs w:val="20"/>
              </w:rPr>
              <w:t>2017/2018</w:t>
            </w:r>
          </w:p>
        </w:tc>
        <w:tc>
          <w:tcPr>
            <w:tcW w:w="1103" w:type="dxa"/>
            <w:tcBorders>
              <w:top w:val="single" w:sz="4" w:space="0" w:color="auto"/>
              <w:left w:val="nil"/>
              <w:bottom w:val="single" w:sz="4" w:space="0" w:color="auto"/>
              <w:right w:val="single" w:sz="4" w:space="0" w:color="auto"/>
            </w:tcBorders>
            <w:shd w:val="clear" w:color="auto" w:fill="auto"/>
            <w:noWrap/>
            <w:vAlign w:val="center"/>
          </w:tcPr>
          <w:p w14:paraId="0A983BFD" w14:textId="4F5400F9" w:rsidR="00281A9E" w:rsidRPr="0053555E" w:rsidRDefault="00281A9E" w:rsidP="00281A9E">
            <w:pPr>
              <w:jc w:val="center"/>
              <w:rPr>
                <w:rFonts w:asciiTheme="majorHAnsi" w:hAnsiTheme="majorHAnsi" w:cstheme="majorHAnsi"/>
                <w:sz w:val="22"/>
                <w:szCs w:val="20"/>
              </w:rPr>
            </w:pPr>
            <w:r w:rsidRPr="0053555E">
              <w:rPr>
                <w:rFonts w:cs="Calibri"/>
                <w:sz w:val="22"/>
                <w:szCs w:val="20"/>
              </w:rPr>
              <w:t>1 986</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0D4216F4" w14:textId="3C814BC6" w:rsidR="00281A9E" w:rsidRPr="0053555E" w:rsidRDefault="00281A9E" w:rsidP="00281A9E">
            <w:pPr>
              <w:jc w:val="center"/>
              <w:rPr>
                <w:rFonts w:asciiTheme="majorHAnsi" w:hAnsiTheme="majorHAnsi" w:cstheme="majorHAnsi"/>
                <w:sz w:val="22"/>
                <w:szCs w:val="20"/>
              </w:rPr>
            </w:pPr>
            <w:r w:rsidRPr="0053555E">
              <w:rPr>
                <w:rFonts w:cs="Calibri"/>
                <w:sz w:val="22"/>
                <w:szCs w:val="20"/>
              </w:rPr>
              <w:t>242</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75167" w14:textId="30F35122" w:rsidR="00281A9E" w:rsidRPr="0053555E" w:rsidRDefault="00281A9E" w:rsidP="00281A9E">
            <w:pPr>
              <w:jc w:val="center"/>
              <w:rPr>
                <w:rFonts w:asciiTheme="majorHAnsi" w:hAnsiTheme="majorHAnsi" w:cstheme="majorHAnsi"/>
                <w:sz w:val="22"/>
                <w:szCs w:val="20"/>
              </w:rPr>
            </w:pPr>
            <w:r w:rsidRPr="0053555E">
              <w:rPr>
                <w:rFonts w:cs="Calibri"/>
                <w:sz w:val="22"/>
                <w:szCs w:val="20"/>
              </w:rPr>
              <w:t>2 228</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AB02F" w14:textId="1846300A" w:rsidR="00281A9E" w:rsidRPr="0053555E" w:rsidRDefault="00281A9E" w:rsidP="00281A9E">
            <w:pPr>
              <w:jc w:val="center"/>
              <w:rPr>
                <w:rFonts w:asciiTheme="majorHAnsi" w:hAnsiTheme="majorHAnsi" w:cstheme="majorHAnsi"/>
                <w:sz w:val="22"/>
                <w:szCs w:val="20"/>
              </w:rPr>
            </w:pPr>
            <w:r w:rsidRPr="0053555E">
              <w:rPr>
                <w:rFonts w:cs="Calibri"/>
                <w:sz w:val="22"/>
                <w:szCs w:val="20"/>
              </w:rPr>
              <w:t>1 969</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5FE1F" w14:textId="3E62434C" w:rsidR="00281A9E" w:rsidRPr="0053555E" w:rsidRDefault="00281A9E" w:rsidP="00281A9E">
            <w:pPr>
              <w:jc w:val="center"/>
              <w:rPr>
                <w:rFonts w:asciiTheme="majorHAnsi" w:hAnsiTheme="majorHAnsi" w:cstheme="majorHAnsi"/>
                <w:sz w:val="22"/>
                <w:szCs w:val="20"/>
              </w:rPr>
            </w:pPr>
            <w:r w:rsidRPr="0053555E">
              <w:rPr>
                <w:rFonts w:cs="Calibri"/>
                <w:sz w:val="22"/>
                <w:szCs w:val="20"/>
              </w:rPr>
              <w:t>1 642</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2B2DFA0" w14:textId="11162041" w:rsidR="00281A9E" w:rsidRPr="0053555E" w:rsidRDefault="00281A9E" w:rsidP="00281A9E">
            <w:pPr>
              <w:jc w:val="center"/>
              <w:rPr>
                <w:rFonts w:asciiTheme="majorHAnsi" w:hAnsiTheme="majorHAnsi" w:cstheme="majorHAnsi"/>
                <w:sz w:val="22"/>
                <w:szCs w:val="20"/>
              </w:rPr>
            </w:pPr>
            <w:r w:rsidRPr="0053555E">
              <w:rPr>
                <w:rFonts w:cs="Calibri"/>
                <w:sz w:val="22"/>
                <w:szCs w:val="20"/>
              </w:rPr>
              <w:t>137</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39DA57" w14:textId="6544A4D0" w:rsidR="00281A9E" w:rsidRPr="0053555E" w:rsidRDefault="00281A9E" w:rsidP="00281A9E">
            <w:pPr>
              <w:jc w:val="center"/>
              <w:rPr>
                <w:rFonts w:asciiTheme="majorHAnsi" w:hAnsiTheme="majorHAnsi" w:cstheme="majorHAnsi"/>
                <w:sz w:val="22"/>
                <w:szCs w:val="20"/>
              </w:rPr>
            </w:pPr>
            <w:r w:rsidRPr="0053555E">
              <w:rPr>
                <w:rFonts w:cs="Calibri"/>
                <w:sz w:val="22"/>
                <w:szCs w:val="20"/>
              </w:rPr>
              <w:t>1 779</w:t>
            </w:r>
          </w:p>
        </w:tc>
      </w:tr>
      <w:tr w:rsidR="00281A9E" w:rsidRPr="0053555E" w14:paraId="3E17A76D" w14:textId="77777777" w:rsidTr="009E34EE">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C4CE3" w14:textId="11409A07" w:rsidR="00281A9E" w:rsidRPr="0053555E" w:rsidRDefault="00281A9E" w:rsidP="00281A9E">
            <w:pPr>
              <w:jc w:val="center"/>
              <w:rPr>
                <w:rFonts w:asciiTheme="majorHAnsi" w:hAnsiTheme="majorHAnsi" w:cstheme="majorHAnsi"/>
                <w:sz w:val="22"/>
                <w:szCs w:val="20"/>
              </w:rPr>
            </w:pPr>
            <w:r w:rsidRPr="0053555E">
              <w:rPr>
                <w:rFonts w:cs="Calibri"/>
                <w:sz w:val="22"/>
                <w:szCs w:val="20"/>
              </w:rPr>
              <w:t>2018/2019</w:t>
            </w:r>
          </w:p>
        </w:tc>
        <w:tc>
          <w:tcPr>
            <w:tcW w:w="1103" w:type="dxa"/>
            <w:tcBorders>
              <w:top w:val="single" w:sz="4" w:space="0" w:color="auto"/>
              <w:left w:val="nil"/>
              <w:bottom w:val="single" w:sz="4" w:space="0" w:color="auto"/>
              <w:right w:val="single" w:sz="4" w:space="0" w:color="auto"/>
            </w:tcBorders>
            <w:shd w:val="clear" w:color="auto" w:fill="auto"/>
            <w:noWrap/>
            <w:vAlign w:val="center"/>
          </w:tcPr>
          <w:p w14:paraId="3C3E7F8D" w14:textId="20DCAE9D" w:rsidR="00281A9E" w:rsidRPr="0053555E" w:rsidRDefault="00281A9E" w:rsidP="00281A9E">
            <w:pPr>
              <w:jc w:val="center"/>
              <w:rPr>
                <w:rFonts w:asciiTheme="majorHAnsi" w:hAnsiTheme="majorHAnsi" w:cstheme="majorHAnsi"/>
                <w:sz w:val="22"/>
                <w:szCs w:val="20"/>
              </w:rPr>
            </w:pPr>
            <w:r w:rsidRPr="0053555E">
              <w:rPr>
                <w:rFonts w:cs="Calibri"/>
                <w:sz w:val="22"/>
                <w:szCs w:val="20"/>
              </w:rPr>
              <w:t>1 853</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44B00AF4" w14:textId="67BC33ED" w:rsidR="00281A9E" w:rsidRPr="0053555E" w:rsidRDefault="00281A9E" w:rsidP="00281A9E">
            <w:pPr>
              <w:jc w:val="center"/>
              <w:rPr>
                <w:rFonts w:asciiTheme="majorHAnsi" w:hAnsiTheme="majorHAnsi" w:cstheme="majorHAnsi"/>
                <w:sz w:val="22"/>
                <w:szCs w:val="20"/>
              </w:rPr>
            </w:pPr>
            <w:r w:rsidRPr="0053555E">
              <w:rPr>
                <w:rFonts w:cs="Calibri"/>
                <w:sz w:val="22"/>
                <w:szCs w:val="20"/>
              </w:rPr>
              <w:t>279</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11E77" w14:textId="1ED87060" w:rsidR="00281A9E" w:rsidRPr="0053555E" w:rsidRDefault="00281A9E" w:rsidP="00281A9E">
            <w:pPr>
              <w:jc w:val="center"/>
              <w:rPr>
                <w:rFonts w:asciiTheme="majorHAnsi" w:hAnsiTheme="majorHAnsi" w:cstheme="majorHAnsi"/>
                <w:sz w:val="22"/>
                <w:szCs w:val="20"/>
              </w:rPr>
            </w:pPr>
            <w:r w:rsidRPr="0053555E">
              <w:rPr>
                <w:rFonts w:cs="Calibri"/>
                <w:sz w:val="22"/>
                <w:szCs w:val="20"/>
              </w:rPr>
              <w:t>2 132</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A7D52" w14:textId="0C08FA0B" w:rsidR="00281A9E" w:rsidRPr="0053555E" w:rsidRDefault="00281A9E" w:rsidP="00281A9E">
            <w:pPr>
              <w:jc w:val="center"/>
              <w:rPr>
                <w:rFonts w:asciiTheme="majorHAnsi" w:hAnsiTheme="majorHAnsi" w:cstheme="majorHAnsi"/>
                <w:sz w:val="22"/>
                <w:szCs w:val="20"/>
              </w:rPr>
            </w:pPr>
            <w:r w:rsidRPr="0053555E">
              <w:rPr>
                <w:rFonts w:cs="Calibri"/>
                <w:sz w:val="22"/>
                <w:szCs w:val="20"/>
              </w:rPr>
              <w:t>1 869</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66E36" w14:textId="2A7A0F02" w:rsidR="00281A9E" w:rsidRPr="0053555E" w:rsidRDefault="00281A9E" w:rsidP="00281A9E">
            <w:pPr>
              <w:jc w:val="center"/>
              <w:rPr>
                <w:rFonts w:asciiTheme="majorHAnsi" w:hAnsiTheme="majorHAnsi" w:cstheme="majorHAnsi"/>
                <w:sz w:val="22"/>
                <w:szCs w:val="20"/>
              </w:rPr>
            </w:pPr>
            <w:r w:rsidRPr="0053555E">
              <w:rPr>
                <w:rFonts w:cs="Calibri"/>
                <w:sz w:val="22"/>
                <w:szCs w:val="20"/>
              </w:rPr>
              <w:t>1 520</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FFEC2AB" w14:textId="0A5962A5" w:rsidR="00281A9E" w:rsidRPr="0053555E" w:rsidRDefault="00281A9E" w:rsidP="00281A9E">
            <w:pPr>
              <w:jc w:val="center"/>
              <w:rPr>
                <w:rFonts w:asciiTheme="majorHAnsi" w:hAnsiTheme="majorHAnsi" w:cstheme="majorHAnsi"/>
                <w:sz w:val="22"/>
                <w:szCs w:val="20"/>
              </w:rPr>
            </w:pPr>
            <w:r w:rsidRPr="0053555E">
              <w:rPr>
                <w:rFonts w:cs="Calibri"/>
                <w:sz w:val="22"/>
                <w:szCs w:val="20"/>
              </w:rPr>
              <w:t>141</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EE4AE" w14:textId="41C76168" w:rsidR="00281A9E" w:rsidRPr="0053555E" w:rsidRDefault="00281A9E" w:rsidP="00281A9E">
            <w:pPr>
              <w:jc w:val="center"/>
              <w:rPr>
                <w:rFonts w:asciiTheme="majorHAnsi" w:hAnsiTheme="majorHAnsi" w:cstheme="majorHAnsi"/>
                <w:sz w:val="22"/>
                <w:szCs w:val="20"/>
              </w:rPr>
            </w:pPr>
            <w:r w:rsidRPr="0053555E">
              <w:rPr>
                <w:rFonts w:cs="Calibri"/>
                <w:sz w:val="22"/>
                <w:szCs w:val="20"/>
              </w:rPr>
              <w:t>1 661</w:t>
            </w:r>
          </w:p>
        </w:tc>
      </w:tr>
      <w:tr w:rsidR="00281A9E" w:rsidRPr="0053555E" w14:paraId="33A3FCCE" w14:textId="77777777" w:rsidTr="009E34EE">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ECDA0" w14:textId="6185FF2D" w:rsidR="00281A9E" w:rsidRPr="0053555E" w:rsidRDefault="00281A9E" w:rsidP="00281A9E">
            <w:pPr>
              <w:jc w:val="center"/>
              <w:rPr>
                <w:rFonts w:asciiTheme="majorHAnsi" w:hAnsiTheme="majorHAnsi" w:cstheme="majorHAnsi"/>
                <w:sz w:val="22"/>
                <w:szCs w:val="20"/>
              </w:rPr>
            </w:pPr>
            <w:r w:rsidRPr="0053555E">
              <w:rPr>
                <w:rFonts w:cs="Calibri"/>
                <w:sz w:val="22"/>
                <w:szCs w:val="20"/>
              </w:rPr>
              <w:t>2019/2020</w:t>
            </w:r>
          </w:p>
        </w:tc>
        <w:tc>
          <w:tcPr>
            <w:tcW w:w="1103" w:type="dxa"/>
            <w:tcBorders>
              <w:top w:val="single" w:sz="4" w:space="0" w:color="auto"/>
              <w:left w:val="nil"/>
              <w:bottom w:val="single" w:sz="4" w:space="0" w:color="auto"/>
              <w:right w:val="single" w:sz="4" w:space="0" w:color="auto"/>
            </w:tcBorders>
            <w:shd w:val="clear" w:color="auto" w:fill="auto"/>
            <w:noWrap/>
            <w:vAlign w:val="center"/>
          </w:tcPr>
          <w:p w14:paraId="17A3427A" w14:textId="1E39C412" w:rsidR="00281A9E" w:rsidRPr="0053555E" w:rsidRDefault="00281A9E" w:rsidP="00281A9E">
            <w:pPr>
              <w:jc w:val="center"/>
              <w:rPr>
                <w:rFonts w:asciiTheme="majorHAnsi" w:hAnsiTheme="majorHAnsi" w:cstheme="majorHAnsi"/>
                <w:sz w:val="22"/>
                <w:szCs w:val="20"/>
              </w:rPr>
            </w:pPr>
            <w:r w:rsidRPr="0053555E">
              <w:rPr>
                <w:rFonts w:cs="Calibri"/>
                <w:sz w:val="22"/>
                <w:szCs w:val="20"/>
              </w:rPr>
              <w:t>1 764</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6D3A0381" w14:textId="5A282B76" w:rsidR="00281A9E" w:rsidRPr="0053555E" w:rsidRDefault="00281A9E" w:rsidP="00281A9E">
            <w:pPr>
              <w:jc w:val="center"/>
              <w:rPr>
                <w:rFonts w:asciiTheme="majorHAnsi" w:hAnsiTheme="majorHAnsi" w:cstheme="majorHAnsi"/>
                <w:sz w:val="22"/>
                <w:szCs w:val="20"/>
              </w:rPr>
            </w:pPr>
            <w:r w:rsidRPr="0053555E">
              <w:rPr>
                <w:rFonts w:cs="Calibri"/>
                <w:sz w:val="22"/>
                <w:szCs w:val="20"/>
              </w:rPr>
              <w:t>312</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56D1D" w14:textId="07F6AB8B" w:rsidR="00281A9E" w:rsidRPr="0053555E" w:rsidRDefault="00281A9E" w:rsidP="00281A9E">
            <w:pPr>
              <w:jc w:val="center"/>
              <w:rPr>
                <w:rFonts w:asciiTheme="majorHAnsi" w:hAnsiTheme="majorHAnsi" w:cstheme="majorHAnsi"/>
                <w:sz w:val="22"/>
                <w:szCs w:val="20"/>
              </w:rPr>
            </w:pPr>
            <w:r w:rsidRPr="0053555E">
              <w:rPr>
                <w:rFonts w:cs="Calibri"/>
                <w:sz w:val="22"/>
                <w:szCs w:val="20"/>
              </w:rPr>
              <w:t>2 076</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7D81D" w14:textId="6488D6C7" w:rsidR="00281A9E" w:rsidRPr="0053555E" w:rsidRDefault="00281A9E" w:rsidP="00281A9E">
            <w:pPr>
              <w:jc w:val="center"/>
              <w:rPr>
                <w:rFonts w:asciiTheme="majorHAnsi" w:hAnsiTheme="majorHAnsi" w:cstheme="majorHAnsi"/>
                <w:sz w:val="22"/>
                <w:szCs w:val="20"/>
              </w:rPr>
            </w:pPr>
            <w:r w:rsidRPr="0053555E">
              <w:rPr>
                <w:rFonts w:cs="Calibri"/>
                <w:sz w:val="22"/>
                <w:szCs w:val="20"/>
              </w:rPr>
              <w:t>1 814</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A9D90" w14:textId="73E66E34" w:rsidR="00281A9E" w:rsidRPr="0053555E" w:rsidRDefault="00281A9E" w:rsidP="00281A9E">
            <w:pPr>
              <w:jc w:val="center"/>
              <w:rPr>
                <w:rFonts w:asciiTheme="majorHAnsi" w:hAnsiTheme="majorHAnsi" w:cstheme="majorHAnsi"/>
                <w:sz w:val="22"/>
                <w:szCs w:val="20"/>
              </w:rPr>
            </w:pPr>
            <w:r w:rsidRPr="0053555E">
              <w:rPr>
                <w:rFonts w:cs="Calibri"/>
                <w:sz w:val="22"/>
                <w:szCs w:val="20"/>
              </w:rPr>
              <w:t>1 444</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94B6CAA" w14:textId="36D19F43" w:rsidR="00281A9E" w:rsidRPr="0053555E" w:rsidRDefault="00281A9E" w:rsidP="00281A9E">
            <w:pPr>
              <w:jc w:val="center"/>
              <w:rPr>
                <w:rFonts w:asciiTheme="majorHAnsi" w:hAnsiTheme="majorHAnsi" w:cstheme="majorHAnsi"/>
                <w:sz w:val="22"/>
                <w:szCs w:val="20"/>
              </w:rPr>
            </w:pPr>
            <w:r w:rsidRPr="0053555E">
              <w:rPr>
                <w:rFonts w:cs="Calibri"/>
                <w:sz w:val="22"/>
                <w:szCs w:val="20"/>
              </w:rPr>
              <w:t>165</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476F2" w14:textId="45D685A7" w:rsidR="00281A9E" w:rsidRPr="0053555E" w:rsidRDefault="00281A9E" w:rsidP="00281A9E">
            <w:pPr>
              <w:keepNext/>
              <w:jc w:val="center"/>
              <w:rPr>
                <w:rFonts w:asciiTheme="majorHAnsi" w:hAnsiTheme="majorHAnsi" w:cstheme="majorHAnsi"/>
                <w:sz w:val="22"/>
                <w:szCs w:val="20"/>
              </w:rPr>
            </w:pPr>
            <w:r w:rsidRPr="0053555E">
              <w:rPr>
                <w:rFonts w:cs="Calibri"/>
                <w:sz w:val="22"/>
                <w:szCs w:val="20"/>
              </w:rPr>
              <w:t>1 609</w:t>
            </w:r>
          </w:p>
        </w:tc>
      </w:tr>
      <w:tr w:rsidR="00281A9E" w:rsidRPr="0053555E" w14:paraId="53BB0892" w14:textId="77777777" w:rsidTr="009E34EE">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262AFA" w14:textId="051318D0" w:rsidR="00281A9E" w:rsidRPr="0053555E" w:rsidRDefault="00281A9E" w:rsidP="00281A9E">
            <w:pPr>
              <w:jc w:val="center"/>
              <w:rPr>
                <w:rFonts w:asciiTheme="majorHAnsi" w:hAnsiTheme="majorHAnsi" w:cstheme="majorHAnsi"/>
                <w:sz w:val="22"/>
                <w:szCs w:val="20"/>
              </w:rPr>
            </w:pPr>
            <w:r w:rsidRPr="0053555E">
              <w:rPr>
                <w:rFonts w:cs="Calibri"/>
                <w:sz w:val="22"/>
                <w:szCs w:val="20"/>
              </w:rPr>
              <w:t>2020/2021</w:t>
            </w:r>
          </w:p>
        </w:tc>
        <w:tc>
          <w:tcPr>
            <w:tcW w:w="1103" w:type="dxa"/>
            <w:tcBorders>
              <w:top w:val="single" w:sz="4" w:space="0" w:color="auto"/>
              <w:left w:val="nil"/>
              <w:bottom w:val="single" w:sz="4" w:space="0" w:color="auto"/>
              <w:right w:val="single" w:sz="4" w:space="0" w:color="auto"/>
            </w:tcBorders>
            <w:shd w:val="clear" w:color="auto" w:fill="auto"/>
            <w:noWrap/>
            <w:vAlign w:val="center"/>
          </w:tcPr>
          <w:p w14:paraId="144B7EE2" w14:textId="77DCE2AD" w:rsidR="00281A9E" w:rsidRPr="0053555E" w:rsidRDefault="00281A9E" w:rsidP="00281A9E">
            <w:pPr>
              <w:jc w:val="center"/>
              <w:rPr>
                <w:rFonts w:asciiTheme="majorHAnsi" w:hAnsiTheme="majorHAnsi" w:cstheme="majorHAnsi"/>
                <w:sz w:val="22"/>
                <w:szCs w:val="20"/>
              </w:rPr>
            </w:pPr>
            <w:r w:rsidRPr="0053555E">
              <w:rPr>
                <w:rFonts w:cs="Calibri"/>
                <w:sz w:val="22"/>
                <w:szCs w:val="20"/>
              </w:rPr>
              <w:t>1 594</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2F4F5136" w14:textId="0A32CBB8" w:rsidR="00281A9E" w:rsidRPr="0053555E" w:rsidRDefault="00281A9E" w:rsidP="00281A9E">
            <w:pPr>
              <w:jc w:val="center"/>
              <w:rPr>
                <w:rFonts w:asciiTheme="majorHAnsi" w:hAnsiTheme="majorHAnsi" w:cstheme="majorHAnsi"/>
                <w:sz w:val="22"/>
                <w:szCs w:val="20"/>
              </w:rPr>
            </w:pPr>
            <w:r w:rsidRPr="0053555E">
              <w:rPr>
                <w:rFonts w:cs="Calibri"/>
                <w:sz w:val="22"/>
                <w:szCs w:val="20"/>
              </w:rPr>
              <w:t>327</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B456F" w14:textId="6CD5CA51" w:rsidR="00281A9E" w:rsidRPr="0053555E" w:rsidRDefault="00281A9E" w:rsidP="00281A9E">
            <w:pPr>
              <w:jc w:val="center"/>
              <w:rPr>
                <w:rFonts w:asciiTheme="majorHAnsi" w:hAnsiTheme="majorHAnsi" w:cstheme="majorHAnsi"/>
                <w:sz w:val="22"/>
                <w:szCs w:val="20"/>
              </w:rPr>
            </w:pPr>
            <w:r w:rsidRPr="0053555E">
              <w:rPr>
                <w:rFonts w:cs="Calibri"/>
                <w:sz w:val="22"/>
                <w:szCs w:val="20"/>
              </w:rPr>
              <w:t>1 921</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36B5F" w14:textId="2C541BCF" w:rsidR="00281A9E" w:rsidRPr="0053555E" w:rsidRDefault="00281A9E" w:rsidP="00281A9E">
            <w:pPr>
              <w:jc w:val="center"/>
              <w:rPr>
                <w:rFonts w:asciiTheme="majorHAnsi" w:hAnsiTheme="majorHAnsi" w:cstheme="majorHAnsi"/>
                <w:sz w:val="22"/>
                <w:szCs w:val="20"/>
              </w:rPr>
            </w:pPr>
            <w:r w:rsidRPr="0053555E">
              <w:rPr>
                <w:rFonts w:cs="Calibri"/>
                <w:sz w:val="22"/>
                <w:szCs w:val="20"/>
              </w:rPr>
              <w:t>1 628</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AF041" w14:textId="05A6831D" w:rsidR="00281A9E" w:rsidRPr="0053555E" w:rsidRDefault="00281A9E" w:rsidP="00281A9E">
            <w:pPr>
              <w:jc w:val="center"/>
              <w:rPr>
                <w:rFonts w:asciiTheme="majorHAnsi" w:hAnsiTheme="majorHAnsi" w:cstheme="majorHAnsi"/>
                <w:sz w:val="22"/>
                <w:szCs w:val="20"/>
              </w:rPr>
            </w:pPr>
            <w:r w:rsidRPr="0053555E">
              <w:rPr>
                <w:rFonts w:cs="Calibri"/>
                <w:sz w:val="22"/>
                <w:szCs w:val="20"/>
              </w:rPr>
              <w:t>1 246</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14:paraId="156FD82A" w14:textId="13F61634" w:rsidR="00281A9E" w:rsidRPr="0053555E" w:rsidRDefault="00281A9E" w:rsidP="00281A9E">
            <w:pPr>
              <w:jc w:val="center"/>
              <w:rPr>
                <w:rFonts w:asciiTheme="majorHAnsi" w:hAnsiTheme="majorHAnsi" w:cstheme="majorHAnsi"/>
                <w:sz w:val="22"/>
                <w:szCs w:val="20"/>
              </w:rPr>
            </w:pPr>
            <w:r w:rsidRPr="0053555E">
              <w:rPr>
                <w:rFonts w:cs="Calibri"/>
                <w:sz w:val="22"/>
                <w:szCs w:val="20"/>
              </w:rPr>
              <w:t>119</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481F8" w14:textId="42D53B61" w:rsidR="00281A9E" w:rsidRPr="0053555E" w:rsidRDefault="00281A9E" w:rsidP="00281A9E">
            <w:pPr>
              <w:keepNext/>
              <w:jc w:val="center"/>
              <w:rPr>
                <w:rFonts w:asciiTheme="majorHAnsi" w:hAnsiTheme="majorHAnsi" w:cstheme="majorHAnsi"/>
                <w:sz w:val="22"/>
                <w:szCs w:val="20"/>
              </w:rPr>
            </w:pPr>
            <w:r w:rsidRPr="0053555E">
              <w:rPr>
                <w:rFonts w:cs="Calibri"/>
                <w:sz w:val="22"/>
                <w:szCs w:val="20"/>
              </w:rPr>
              <w:t>1 365</w:t>
            </w:r>
          </w:p>
        </w:tc>
      </w:tr>
      <w:tr w:rsidR="00281A9E" w:rsidRPr="0053555E" w14:paraId="48F18D64" w14:textId="77777777" w:rsidTr="009E34EE">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FC2A4" w14:textId="0953C604" w:rsidR="00281A9E" w:rsidRPr="0053555E" w:rsidRDefault="00281A9E" w:rsidP="00281A9E">
            <w:pPr>
              <w:jc w:val="center"/>
              <w:rPr>
                <w:rFonts w:asciiTheme="majorHAnsi" w:hAnsiTheme="majorHAnsi" w:cstheme="majorHAnsi"/>
                <w:sz w:val="22"/>
                <w:szCs w:val="20"/>
              </w:rPr>
            </w:pPr>
            <w:r w:rsidRPr="0053555E">
              <w:rPr>
                <w:rFonts w:cs="Calibri"/>
                <w:sz w:val="22"/>
                <w:szCs w:val="20"/>
              </w:rPr>
              <w:t>2021/2022</w:t>
            </w:r>
          </w:p>
        </w:tc>
        <w:tc>
          <w:tcPr>
            <w:tcW w:w="1103" w:type="dxa"/>
            <w:tcBorders>
              <w:top w:val="single" w:sz="4" w:space="0" w:color="auto"/>
              <w:left w:val="nil"/>
              <w:bottom w:val="single" w:sz="4" w:space="0" w:color="auto"/>
              <w:right w:val="single" w:sz="4" w:space="0" w:color="auto"/>
            </w:tcBorders>
            <w:shd w:val="clear" w:color="auto" w:fill="auto"/>
            <w:noWrap/>
            <w:vAlign w:val="center"/>
          </w:tcPr>
          <w:p w14:paraId="24AAC567" w14:textId="6DE04FC2" w:rsidR="00281A9E" w:rsidRPr="0053555E" w:rsidRDefault="00281A9E" w:rsidP="00281A9E">
            <w:pPr>
              <w:jc w:val="center"/>
              <w:rPr>
                <w:rFonts w:asciiTheme="majorHAnsi" w:hAnsiTheme="majorHAnsi" w:cstheme="majorHAnsi"/>
                <w:sz w:val="22"/>
                <w:szCs w:val="20"/>
              </w:rPr>
            </w:pPr>
            <w:r w:rsidRPr="0053555E">
              <w:rPr>
                <w:rFonts w:cs="Calibri"/>
                <w:sz w:val="22"/>
                <w:szCs w:val="20"/>
              </w:rPr>
              <w:t>1 807</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4663C042" w14:textId="5160AA2E" w:rsidR="00281A9E" w:rsidRPr="0053555E" w:rsidRDefault="00281A9E" w:rsidP="00281A9E">
            <w:pPr>
              <w:jc w:val="center"/>
              <w:rPr>
                <w:rFonts w:asciiTheme="majorHAnsi" w:hAnsiTheme="majorHAnsi" w:cstheme="majorHAnsi"/>
                <w:sz w:val="22"/>
                <w:szCs w:val="20"/>
              </w:rPr>
            </w:pPr>
            <w:r w:rsidRPr="0053555E">
              <w:rPr>
                <w:rFonts w:cs="Calibri"/>
                <w:sz w:val="22"/>
                <w:szCs w:val="20"/>
              </w:rPr>
              <w:t>385</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37485" w14:textId="046D8559" w:rsidR="00281A9E" w:rsidRPr="0053555E" w:rsidRDefault="00281A9E" w:rsidP="00281A9E">
            <w:pPr>
              <w:jc w:val="center"/>
              <w:rPr>
                <w:rFonts w:asciiTheme="majorHAnsi" w:hAnsiTheme="majorHAnsi" w:cstheme="majorHAnsi"/>
                <w:sz w:val="22"/>
                <w:szCs w:val="20"/>
              </w:rPr>
            </w:pPr>
            <w:r w:rsidRPr="0053555E">
              <w:rPr>
                <w:rFonts w:cs="Calibri"/>
                <w:sz w:val="22"/>
                <w:szCs w:val="20"/>
              </w:rPr>
              <w:t>2 192</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A1CA1" w14:textId="78A16A9D" w:rsidR="00281A9E" w:rsidRPr="0053555E" w:rsidRDefault="00281A9E" w:rsidP="00281A9E">
            <w:pPr>
              <w:jc w:val="center"/>
              <w:rPr>
                <w:rFonts w:asciiTheme="majorHAnsi" w:hAnsiTheme="majorHAnsi" w:cstheme="majorHAnsi"/>
                <w:sz w:val="22"/>
                <w:szCs w:val="20"/>
              </w:rPr>
            </w:pPr>
            <w:r w:rsidRPr="0053555E">
              <w:rPr>
                <w:rFonts w:cs="Calibri"/>
                <w:sz w:val="22"/>
                <w:szCs w:val="20"/>
              </w:rPr>
              <w:t>1 863</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958AE" w14:textId="63840D95" w:rsidR="00281A9E" w:rsidRPr="0053555E" w:rsidRDefault="00281A9E" w:rsidP="00281A9E">
            <w:pPr>
              <w:jc w:val="center"/>
              <w:rPr>
                <w:rFonts w:asciiTheme="majorHAnsi" w:hAnsiTheme="majorHAnsi" w:cstheme="majorHAnsi"/>
                <w:sz w:val="22"/>
                <w:szCs w:val="20"/>
              </w:rPr>
            </w:pPr>
            <w:r w:rsidRPr="0053555E">
              <w:rPr>
                <w:rFonts w:cs="Calibri"/>
                <w:sz w:val="22"/>
                <w:szCs w:val="20"/>
              </w:rPr>
              <w:t>1 411</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14:paraId="61EBDF5B" w14:textId="5C09F368" w:rsidR="00281A9E" w:rsidRPr="0053555E" w:rsidRDefault="00281A9E" w:rsidP="00281A9E">
            <w:pPr>
              <w:jc w:val="center"/>
              <w:rPr>
                <w:rFonts w:asciiTheme="majorHAnsi" w:hAnsiTheme="majorHAnsi" w:cstheme="majorHAnsi"/>
                <w:sz w:val="22"/>
                <w:szCs w:val="20"/>
              </w:rPr>
            </w:pPr>
            <w:r w:rsidRPr="0053555E">
              <w:rPr>
                <w:rFonts w:cs="Calibri"/>
                <w:sz w:val="22"/>
                <w:szCs w:val="20"/>
              </w:rPr>
              <w:t>156</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47F39" w14:textId="04CBB44D" w:rsidR="00281A9E" w:rsidRPr="0053555E" w:rsidRDefault="00281A9E" w:rsidP="00281A9E">
            <w:pPr>
              <w:keepNext/>
              <w:jc w:val="center"/>
              <w:rPr>
                <w:rFonts w:asciiTheme="majorHAnsi" w:hAnsiTheme="majorHAnsi" w:cstheme="majorHAnsi"/>
                <w:sz w:val="22"/>
                <w:szCs w:val="20"/>
              </w:rPr>
            </w:pPr>
            <w:r w:rsidRPr="0053555E">
              <w:rPr>
                <w:rFonts w:cs="Calibri"/>
                <w:sz w:val="22"/>
                <w:szCs w:val="20"/>
              </w:rPr>
              <w:t>1 567</w:t>
            </w:r>
          </w:p>
        </w:tc>
      </w:tr>
      <w:tr w:rsidR="00281A9E" w:rsidRPr="0053555E" w14:paraId="33A298DE" w14:textId="77777777" w:rsidTr="009E34EE">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49E15" w14:textId="00B4801B" w:rsidR="00281A9E" w:rsidRPr="0053555E" w:rsidRDefault="00281A9E" w:rsidP="00281A9E">
            <w:pPr>
              <w:jc w:val="center"/>
              <w:rPr>
                <w:rFonts w:asciiTheme="majorHAnsi" w:hAnsiTheme="majorHAnsi" w:cstheme="majorHAnsi"/>
                <w:b/>
                <w:sz w:val="22"/>
                <w:szCs w:val="20"/>
              </w:rPr>
            </w:pPr>
            <w:r w:rsidRPr="0053555E">
              <w:rPr>
                <w:rFonts w:cs="Calibri"/>
                <w:b/>
                <w:sz w:val="22"/>
                <w:szCs w:val="20"/>
              </w:rPr>
              <w:t>2022/2023</w:t>
            </w:r>
          </w:p>
        </w:tc>
        <w:tc>
          <w:tcPr>
            <w:tcW w:w="1103" w:type="dxa"/>
            <w:tcBorders>
              <w:top w:val="single" w:sz="4" w:space="0" w:color="auto"/>
              <w:left w:val="nil"/>
              <w:bottom w:val="single" w:sz="4" w:space="0" w:color="auto"/>
              <w:right w:val="single" w:sz="4" w:space="0" w:color="auto"/>
            </w:tcBorders>
            <w:shd w:val="clear" w:color="auto" w:fill="auto"/>
            <w:noWrap/>
            <w:vAlign w:val="center"/>
          </w:tcPr>
          <w:p w14:paraId="68716BAF" w14:textId="3F044B12" w:rsidR="00281A9E" w:rsidRPr="0053555E" w:rsidRDefault="00281A9E" w:rsidP="00281A9E">
            <w:pPr>
              <w:jc w:val="center"/>
              <w:rPr>
                <w:rFonts w:asciiTheme="majorHAnsi" w:hAnsiTheme="majorHAnsi" w:cstheme="majorHAnsi"/>
                <w:b/>
                <w:sz w:val="22"/>
                <w:szCs w:val="20"/>
              </w:rPr>
            </w:pPr>
            <w:r w:rsidRPr="0053555E">
              <w:rPr>
                <w:rFonts w:cs="Calibri"/>
                <w:b/>
                <w:sz w:val="22"/>
                <w:szCs w:val="20"/>
              </w:rPr>
              <w:t>1 635</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623D1388" w14:textId="56EA052B" w:rsidR="00281A9E" w:rsidRPr="0053555E" w:rsidRDefault="00281A9E" w:rsidP="00281A9E">
            <w:pPr>
              <w:jc w:val="center"/>
              <w:rPr>
                <w:rFonts w:asciiTheme="majorHAnsi" w:hAnsiTheme="majorHAnsi" w:cstheme="majorHAnsi"/>
                <w:b/>
                <w:sz w:val="22"/>
                <w:szCs w:val="20"/>
              </w:rPr>
            </w:pPr>
            <w:r w:rsidRPr="0053555E">
              <w:rPr>
                <w:rFonts w:cs="Calibri"/>
                <w:b/>
                <w:sz w:val="22"/>
                <w:szCs w:val="20"/>
              </w:rPr>
              <w:t>624</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32504" w14:textId="10AB3EC3" w:rsidR="00281A9E" w:rsidRPr="0053555E" w:rsidRDefault="00281A9E" w:rsidP="00281A9E">
            <w:pPr>
              <w:jc w:val="center"/>
              <w:rPr>
                <w:rFonts w:asciiTheme="majorHAnsi" w:hAnsiTheme="majorHAnsi" w:cstheme="majorHAnsi"/>
                <w:b/>
                <w:sz w:val="22"/>
                <w:szCs w:val="20"/>
              </w:rPr>
            </w:pPr>
            <w:r w:rsidRPr="0053555E">
              <w:rPr>
                <w:rFonts w:cs="Calibri"/>
                <w:b/>
                <w:sz w:val="22"/>
                <w:szCs w:val="20"/>
              </w:rPr>
              <w:t>2 259</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FF7C6" w14:textId="775BE1AE" w:rsidR="00281A9E" w:rsidRPr="0053555E" w:rsidRDefault="00281A9E" w:rsidP="00281A9E">
            <w:pPr>
              <w:jc w:val="center"/>
              <w:rPr>
                <w:rFonts w:asciiTheme="majorHAnsi" w:hAnsiTheme="majorHAnsi" w:cstheme="majorHAnsi"/>
                <w:b/>
                <w:sz w:val="22"/>
                <w:szCs w:val="20"/>
              </w:rPr>
            </w:pPr>
            <w:r w:rsidRPr="0053555E">
              <w:rPr>
                <w:rFonts w:cs="Calibri"/>
                <w:b/>
                <w:sz w:val="22"/>
                <w:szCs w:val="20"/>
              </w:rPr>
              <w:t>1 750</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1414B" w14:textId="312A7B34" w:rsidR="00281A9E" w:rsidRPr="0053555E" w:rsidRDefault="00281A9E" w:rsidP="00281A9E">
            <w:pPr>
              <w:jc w:val="center"/>
              <w:rPr>
                <w:rFonts w:asciiTheme="majorHAnsi" w:hAnsiTheme="majorHAnsi" w:cstheme="majorHAnsi"/>
                <w:b/>
                <w:sz w:val="22"/>
                <w:szCs w:val="20"/>
              </w:rPr>
            </w:pPr>
            <w:r w:rsidRPr="0053555E">
              <w:rPr>
                <w:rFonts w:cs="Calibri"/>
                <w:b/>
                <w:sz w:val="22"/>
                <w:szCs w:val="20"/>
              </w:rPr>
              <w:t>1 341</w:t>
            </w:r>
          </w:p>
        </w:tc>
        <w:tc>
          <w:tcPr>
            <w:tcW w:w="1103"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14:paraId="3D92B655" w14:textId="3C2775C1" w:rsidR="00281A9E" w:rsidRPr="0053555E" w:rsidRDefault="00281A9E" w:rsidP="00281A9E">
            <w:pPr>
              <w:jc w:val="center"/>
              <w:rPr>
                <w:rFonts w:asciiTheme="majorHAnsi" w:hAnsiTheme="majorHAnsi" w:cstheme="majorHAnsi"/>
                <w:b/>
                <w:sz w:val="22"/>
                <w:szCs w:val="20"/>
              </w:rPr>
            </w:pPr>
            <w:r w:rsidRPr="0053555E">
              <w:rPr>
                <w:rFonts w:cs="Calibri"/>
                <w:b/>
                <w:sz w:val="22"/>
                <w:szCs w:val="20"/>
              </w:rPr>
              <w:t>169</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9BDC9" w14:textId="5536E1F5" w:rsidR="00281A9E" w:rsidRPr="0053555E" w:rsidRDefault="00281A9E" w:rsidP="00281A9E">
            <w:pPr>
              <w:keepNext/>
              <w:jc w:val="center"/>
              <w:rPr>
                <w:rFonts w:asciiTheme="majorHAnsi" w:hAnsiTheme="majorHAnsi" w:cstheme="majorHAnsi"/>
                <w:b/>
                <w:sz w:val="22"/>
                <w:szCs w:val="20"/>
              </w:rPr>
            </w:pPr>
            <w:r w:rsidRPr="0053555E">
              <w:rPr>
                <w:rFonts w:cs="Calibri"/>
                <w:b/>
                <w:sz w:val="22"/>
                <w:szCs w:val="20"/>
              </w:rPr>
              <w:t>1 510</w:t>
            </w:r>
          </w:p>
        </w:tc>
      </w:tr>
    </w:tbl>
    <w:p w14:paraId="7FCF561C" w14:textId="77777777" w:rsidR="00224FDB" w:rsidRPr="0053555E" w:rsidRDefault="00224FDB" w:rsidP="00324438">
      <w:pPr>
        <w:tabs>
          <w:tab w:val="left" w:pos="9356"/>
        </w:tabs>
        <w:spacing w:after="120"/>
        <w:jc w:val="both"/>
        <w:rPr>
          <w:rFonts w:asciiTheme="majorHAnsi" w:hAnsiTheme="majorHAnsi" w:cstheme="majorHAnsi"/>
        </w:rPr>
      </w:pPr>
    </w:p>
    <w:p w14:paraId="50276BBA" w14:textId="727FA8A7" w:rsidR="002071AC" w:rsidRPr="0053555E" w:rsidRDefault="00E94F13" w:rsidP="0032443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Základnou podmienkou prijatia na druhý stupeň štúdia na STU je </w:t>
      </w:r>
      <w:r w:rsidR="00911255" w:rsidRPr="0053555E">
        <w:rPr>
          <w:rFonts w:asciiTheme="majorHAnsi" w:hAnsiTheme="majorHAnsi" w:cstheme="majorHAnsi"/>
        </w:rPr>
        <w:t xml:space="preserve">úspešné </w:t>
      </w:r>
      <w:r w:rsidRPr="0053555E">
        <w:rPr>
          <w:rFonts w:asciiTheme="majorHAnsi" w:hAnsiTheme="majorHAnsi" w:cstheme="majorHAnsi"/>
        </w:rPr>
        <w:t xml:space="preserve">absolvovanie </w:t>
      </w:r>
      <w:r w:rsidR="00911255" w:rsidRPr="0053555E">
        <w:rPr>
          <w:rFonts w:asciiTheme="majorHAnsi" w:hAnsiTheme="majorHAnsi" w:cstheme="majorHAnsi"/>
        </w:rPr>
        <w:t xml:space="preserve">prvého </w:t>
      </w:r>
      <w:r w:rsidR="002216E5" w:rsidRPr="0053555E">
        <w:rPr>
          <w:rFonts w:asciiTheme="majorHAnsi" w:hAnsiTheme="majorHAnsi" w:cstheme="majorHAnsi"/>
        </w:rPr>
        <w:t xml:space="preserve">stupňa štúdia </w:t>
      </w:r>
      <w:r w:rsidR="00911255" w:rsidRPr="0053555E">
        <w:rPr>
          <w:rFonts w:asciiTheme="majorHAnsi" w:hAnsiTheme="majorHAnsi" w:cstheme="majorHAnsi"/>
        </w:rPr>
        <w:t>alebo druhého stupňa štúdia.</w:t>
      </w:r>
      <w:r w:rsidRPr="0053555E">
        <w:rPr>
          <w:rFonts w:asciiTheme="majorHAnsi" w:hAnsiTheme="majorHAnsi" w:cstheme="majorHAnsi"/>
        </w:rPr>
        <w:t xml:space="preserve"> </w:t>
      </w:r>
      <w:r w:rsidR="0044440A" w:rsidRPr="0053555E">
        <w:rPr>
          <w:rFonts w:asciiTheme="majorHAnsi" w:hAnsiTheme="majorHAnsi" w:cstheme="majorHAnsi"/>
        </w:rPr>
        <w:t>Na</w:t>
      </w:r>
      <w:r w:rsidR="00184E91" w:rsidRPr="0053555E">
        <w:rPr>
          <w:rFonts w:asciiTheme="majorHAnsi" w:hAnsiTheme="majorHAnsi" w:cstheme="majorHAnsi"/>
        </w:rPr>
        <w:t xml:space="preserve"> väčšine </w:t>
      </w:r>
      <w:r w:rsidR="00C71886" w:rsidRPr="0053555E">
        <w:rPr>
          <w:rFonts w:asciiTheme="majorHAnsi" w:hAnsiTheme="majorHAnsi" w:cstheme="majorHAnsi"/>
        </w:rPr>
        <w:t>súčastí STU</w:t>
      </w:r>
      <w:r w:rsidR="00184E91" w:rsidRPr="0053555E">
        <w:rPr>
          <w:rFonts w:asciiTheme="majorHAnsi" w:hAnsiTheme="majorHAnsi" w:cstheme="majorHAnsi"/>
        </w:rPr>
        <w:t xml:space="preserve"> </w:t>
      </w:r>
      <w:r w:rsidR="0044440A" w:rsidRPr="0053555E">
        <w:rPr>
          <w:rFonts w:asciiTheme="majorHAnsi" w:hAnsiTheme="majorHAnsi" w:cstheme="majorHAnsi"/>
        </w:rPr>
        <w:t xml:space="preserve">(SvF, </w:t>
      </w:r>
      <w:r w:rsidR="00EA4F92" w:rsidRPr="0053555E">
        <w:rPr>
          <w:rFonts w:asciiTheme="majorHAnsi" w:hAnsiTheme="majorHAnsi" w:cstheme="majorHAnsi"/>
        </w:rPr>
        <w:t>FEI, FAD</w:t>
      </w:r>
      <w:r w:rsidR="001D1F3A" w:rsidRPr="0053555E">
        <w:rPr>
          <w:rFonts w:asciiTheme="majorHAnsi" w:hAnsiTheme="majorHAnsi" w:cstheme="majorHAnsi"/>
        </w:rPr>
        <w:t>, FIIT</w:t>
      </w:r>
      <w:r w:rsidR="0044440A" w:rsidRPr="0053555E">
        <w:rPr>
          <w:rFonts w:asciiTheme="majorHAnsi" w:hAnsiTheme="majorHAnsi" w:cstheme="majorHAnsi"/>
        </w:rPr>
        <w:t xml:space="preserve"> a ÚM) sa </w:t>
      </w:r>
      <w:r w:rsidR="00F92BF1" w:rsidRPr="0053555E">
        <w:rPr>
          <w:rFonts w:asciiTheme="majorHAnsi" w:hAnsiTheme="majorHAnsi" w:cstheme="majorHAnsi"/>
        </w:rPr>
        <w:t>ďalš</w:t>
      </w:r>
      <w:r w:rsidR="00184E91" w:rsidRPr="0053555E">
        <w:rPr>
          <w:rFonts w:asciiTheme="majorHAnsi" w:hAnsiTheme="majorHAnsi" w:cstheme="majorHAnsi"/>
        </w:rPr>
        <w:t>ie</w:t>
      </w:r>
      <w:r w:rsidR="00F92BF1" w:rsidRPr="0053555E">
        <w:rPr>
          <w:rFonts w:asciiTheme="majorHAnsi" w:hAnsiTheme="majorHAnsi" w:cstheme="majorHAnsi"/>
        </w:rPr>
        <w:t xml:space="preserve"> </w:t>
      </w:r>
      <w:r w:rsidR="002071AC" w:rsidRPr="0053555E">
        <w:rPr>
          <w:rFonts w:asciiTheme="majorHAnsi" w:hAnsiTheme="majorHAnsi" w:cstheme="majorHAnsi"/>
        </w:rPr>
        <w:t>podmienk</w:t>
      </w:r>
      <w:r w:rsidR="00184E91" w:rsidRPr="0053555E">
        <w:rPr>
          <w:rFonts w:asciiTheme="majorHAnsi" w:hAnsiTheme="majorHAnsi" w:cstheme="majorHAnsi"/>
        </w:rPr>
        <w:t xml:space="preserve">y </w:t>
      </w:r>
      <w:r w:rsidR="00C71886" w:rsidRPr="0053555E">
        <w:rPr>
          <w:rFonts w:asciiTheme="majorHAnsi" w:hAnsiTheme="majorHAnsi" w:cstheme="majorHAnsi"/>
        </w:rPr>
        <w:t>prijatia na</w:t>
      </w:r>
      <w:r w:rsidR="002071AC" w:rsidRPr="0053555E">
        <w:rPr>
          <w:rFonts w:asciiTheme="majorHAnsi" w:hAnsiTheme="majorHAnsi" w:cstheme="majorHAnsi"/>
        </w:rPr>
        <w:t xml:space="preserve"> </w:t>
      </w:r>
      <w:r w:rsidR="007C7854">
        <w:rPr>
          <w:rFonts w:asciiTheme="majorHAnsi" w:hAnsiTheme="majorHAnsi" w:cstheme="majorHAnsi"/>
        </w:rPr>
        <w:t xml:space="preserve">štúdium </w:t>
      </w:r>
      <w:r w:rsidR="00C16038" w:rsidRPr="0053555E">
        <w:rPr>
          <w:rFonts w:asciiTheme="majorHAnsi" w:hAnsiTheme="majorHAnsi" w:cstheme="majorHAnsi"/>
        </w:rPr>
        <w:t>druhého stupňa</w:t>
      </w:r>
      <w:r w:rsidR="002071AC" w:rsidRPr="0053555E">
        <w:rPr>
          <w:rFonts w:asciiTheme="majorHAnsi" w:hAnsiTheme="majorHAnsi" w:cstheme="majorHAnsi"/>
        </w:rPr>
        <w:t xml:space="preserve"> </w:t>
      </w:r>
      <w:r w:rsidR="004350AF" w:rsidRPr="0053555E">
        <w:rPr>
          <w:rFonts w:asciiTheme="majorHAnsi" w:hAnsiTheme="majorHAnsi" w:cstheme="majorHAnsi"/>
        </w:rPr>
        <w:t xml:space="preserve">spravidla </w:t>
      </w:r>
      <w:r w:rsidR="00C71886" w:rsidRPr="0053555E">
        <w:rPr>
          <w:rFonts w:asciiTheme="majorHAnsi" w:hAnsiTheme="majorHAnsi" w:cstheme="majorHAnsi"/>
        </w:rPr>
        <w:t>overujú prijímacou</w:t>
      </w:r>
      <w:r w:rsidR="002071AC" w:rsidRPr="0053555E">
        <w:rPr>
          <w:rFonts w:asciiTheme="majorHAnsi" w:hAnsiTheme="majorHAnsi" w:cstheme="majorHAnsi"/>
        </w:rPr>
        <w:t xml:space="preserve"> skúšk</w:t>
      </w:r>
      <w:r w:rsidR="00C71886" w:rsidRPr="0053555E">
        <w:rPr>
          <w:rFonts w:asciiTheme="majorHAnsi" w:hAnsiTheme="majorHAnsi" w:cstheme="majorHAnsi"/>
        </w:rPr>
        <w:t>ou</w:t>
      </w:r>
      <w:r w:rsidR="002071AC" w:rsidRPr="0053555E">
        <w:rPr>
          <w:rFonts w:asciiTheme="majorHAnsi" w:hAnsiTheme="majorHAnsi" w:cstheme="majorHAnsi"/>
        </w:rPr>
        <w:t xml:space="preserve">, ktorá však mohla byť uchádzačovi </w:t>
      </w:r>
      <w:r w:rsidR="005F18A4" w:rsidRPr="0053555E">
        <w:rPr>
          <w:rFonts w:asciiTheme="majorHAnsi" w:hAnsiTheme="majorHAnsi" w:cstheme="majorHAnsi"/>
        </w:rPr>
        <w:t xml:space="preserve">za splnenia určitých podmienok </w:t>
      </w:r>
      <w:r w:rsidR="002071AC" w:rsidRPr="0053555E">
        <w:rPr>
          <w:rFonts w:asciiTheme="majorHAnsi" w:hAnsiTheme="majorHAnsi" w:cstheme="majorHAnsi"/>
        </w:rPr>
        <w:t xml:space="preserve">odpustená, </w:t>
      </w:r>
      <w:r w:rsidR="00855893" w:rsidRPr="0053555E">
        <w:rPr>
          <w:rFonts w:asciiTheme="majorHAnsi" w:hAnsiTheme="majorHAnsi" w:cstheme="majorHAnsi"/>
        </w:rPr>
        <w:t>napr.</w:t>
      </w:r>
      <w:r w:rsidR="005F18A4" w:rsidRPr="0053555E">
        <w:rPr>
          <w:rFonts w:asciiTheme="majorHAnsi" w:hAnsiTheme="majorHAnsi" w:cstheme="majorHAnsi"/>
        </w:rPr>
        <w:t xml:space="preserve"> </w:t>
      </w:r>
      <w:r w:rsidR="00A0733B" w:rsidRPr="0053555E">
        <w:rPr>
          <w:rFonts w:asciiTheme="majorHAnsi" w:hAnsiTheme="majorHAnsi" w:cstheme="majorHAnsi"/>
        </w:rPr>
        <w:t>ak sa prihlásil na </w:t>
      </w:r>
      <w:r w:rsidR="002071AC" w:rsidRPr="0053555E">
        <w:rPr>
          <w:rFonts w:asciiTheme="majorHAnsi" w:hAnsiTheme="majorHAnsi" w:cstheme="majorHAnsi"/>
        </w:rPr>
        <w:t xml:space="preserve">nadväzujúci študijný program na </w:t>
      </w:r>
      <w:r w:rsidR="00C97F6F" w:rsidRPr="0053555E">
        <w:rPr>
          <w:rFonts w:asciiTheme="majorHAnsi" w:hAnsiTheme="majorHAnsi" w:cstheme="majorHAnsi"/>
        </w:rPr>
        <w:t xml:space="preserve">príslušnej </w:t>
      </w:r>
      <w:r w:rsidR="00264EA3" w:rsidRPr="0053555E">
        <w:rPr>
          <w:rFonts w:asciiTheme="majorHAnsi" w:hAnsiTheme="majorHAnsi" w:cstheme="majorHAnsi"/>
        </w:rPr>
        <w:t>fa</w:t>
      </w:r>
      <w:r w:rsidR="001D1F3A" w:rsidRPr="0053555E">
        <w:rPr>
          <w:rFonts w:asciiTheme="majorHAnsi" w:hAnsiTheme="majorHAnsi" w:cstheme="majorHAnsi"/>
        </w:rPr>
        <w:t>kulte a/alebo dosiahol na </w:t>
      </w:r>
      <w:r w:rsidR="00C16038" w:rsidRPr="0053555E">
        <w:rPr>
          <w:rFonts w:asciiTheme="majorHAnsi" w:hAnsiTheme="majorHAnsi" w:cstheme="majorHAnsi"/>
        </w:rPr>
        <w:t>prvom stupni</w:t>
      </w:r>
      <w:r w:rsidR="002071AC" w:rsidRPr="0053555E">
        <w:rPr>
          <w:rFonts w:asciiTheme="majorHAnsi" w:hAnsiTheme="majorHAnsi" w:cstheme="majorHAnsi"/>
        </w:rPr>
        <w:t xml:space="preserve"> štúdi</w:t>
      </w:r>
      <w:r w:rsidR="00C16038" w:rsidRPr="0053555E">
        <w:rPr>
          <w:rFonts w:asciiTheme="majorHAnsi" w:hAnsiTheme="majorHAnsi" w:cstheme="majorHAnsi"/>
        </w:rPr>
        <w:t>a</w:t>
      </w:r>
      <w:r w:rsidR="002071AC" w:rsidRPr="0053555E">
        <w:rPr>
          <w:rFonts w:asciiTheme="majorHAnsi" w:hAnsiTheme="majorHAnsi" w:cstheme="majorHAnsi"/>
        </w:rPr>
        <w:t xml:space="preserve"> stanovený študijný priemer. Absolventi </w:t>
      </w:r>
      <w:r w:rsidR="00671AE2" w:rsidRPr="0053555E">
        <w:rPr>
          <w:rFonts w:asciiTheme="majorHAnsi" w:hAnsiTheme="majorHAnsi" w:cstheme="majorHAnsi"/>
        </w:rPr>
        <w:t>prvého stupňa</w:t>
      </w:r>
      <w:r w:rsidR="002071AC" w:rsidRPr="0053555E">
        <w:rPr>
          <w:rFonts w:asciiTheme="majorHAnsi" w:hAnsiTheme="majorHAnsi" w:cstheme="majorHAnsi"/>
        </w:rPr>
        <w:t xml:space="preserve"> štúdia z iných vysokých škôl spravidla </w:t>
      </w:r>
      <w:r w:rsidR="00264EA3" w:rsidRPr="0053555E">
        <w:rPr>
          <w:rFonts w:asciiTheme="majorHAnsi" w:hAnsiTheme="majorHAnsi" w:cstheme="majorHAnsi"/>
        </w:rPr>
        <w:t>na </w:t>
      </w:r>
      <w:r w:rsidR="00697B61" w:rsidRPr="0053555E">
        <w:rPr>
          <w:rFonts w:asciiTheme="majorHAnsi" w:hAnsiTheme="majorHAnsi" w:cstheme="majorHAnsi"/>
        </w:rPr>
        <w:t xml:space="preserve">uvedených súčastiach STU </w:t>
      </w:r>
      <w:r w:rsidR="002071AC" w:rsidRPr="0053555E">
        <w:rPr>
          <w:rFonts w:asciiTheme="majorHAnsi" w:hAnsiTheme="majorHAnsi" w:cstheme="majorHAnsi"/>
        </w:rPr>
        <w:t>absolvovali prijímaciu skúšku. Prijímacie skúšky prebiehali formou písomných testov, ústnych pohovorov alebo ich kombináciou.</w:t>
      </w:r>
    </w:p>
    <w:p w14:paraId="135CACA5" w14:textId="77777777" w:rsidR="002071AC" w:rsidRPr="0053555E" w:rsidRDefault="00AE70E4" w:rsidP="00324438">
      <w:pPr>
        <w:shd w:val="clear" w:color="auto" w:fill="FFFFFF"/>
        <w:tabs>
          <w:tab w:val="left" w:pos="9356"/>
        </w:tabs>
        <w:jc w:val="both"/>
        <w:rPr>
          <w:rFonts w:asciiTheme="majorHAnsi" w:hAnsiTheme="majorHAnsi" w:cstheme="majorHAnsi"/>
        </w:rPr>
      </w:pPr>
      <w:r w:rsidRPr="0053555E">
        <w:rPr>
          <w:rFonts w:asciiTheme="majorHAnsi" w:hAnsiTheme="majorHAnsi" w:cstheme="majorHAnsi"/>
          <w:shd w:val="clear" w:color="auto" w:fill="FFFFFF"/>
        </w:rPr>
        <w:t>Druhé kolo p</w:t>
      </w:r>
      <w:r w:rsidR="002071AC" w:rsidRPr="0053555E">
        <w:rPr>
          <w:rFonts w:asciiTheme="majorHAnsi" w:hAnsiTheme="majorHAnsi" w:cstheme="majorHAnsi"/>
          <w:shd w:val="clear" w:color="auto" w:fill="FFFFFF"/>
        </w:rPr>
        <w:t>rijímacie</w:t>
      </w:r>
      <w:r w:rsidRPr="0053555E">
        <w:rPr>
          <w:rFonts w:asciiTheme="majorHAnsi" w:hAnsiTheme="majorHAnsi" w:cstheme="majorHAnsi"/>
          <w:shd w:val="clear" w:color="auto" w:fill="FFFFFF"/>
        </w:rPr>
        <w:t>ho</w:t>
      </w:r>
      <w:r w:rsidR="002071AC" w:rsidRPr="0053555E">
        <w:rPr>
          <w:rFonts w:asciiTheme="majorHAnsi" w:hAnsiTheme="majorHAnsi" w:cstheme="majorHAnsi"/>
          <w:shd w:val="clear" w:color="auto" w:fill="FFFFFF"/>
        </w:rPr>
        <w:t xml:space="preserve"> konani</w:t>
      </w:r>
      <w:r w:rsidRPr="0053555E">
        <w:rPr>
          <w:rFonts w:asciiTheme="majorHAnsi" w:hAnsiTheme="majorHAnsi" w:cstheme="majorHAnsi"/>
          <w:shd w:val="clear" w:color="auto" w:fill="FFFFFF"/>
        </w:rPr>
        <w:t>a</w:t>
      </w:r>
      <w:r w:rsidR="002071AC" w:rsidRPr="0053555E">
        <w:rPr>
          <w:rFonts w:asciiTheme="majorHAnsi" w:hAnsiTheme="majorHAnsi" w:cstheme="majorHAnsi"/>
          <w:shd w:val="clear" w:color="auto" w:fill="FFFFFF"/>
        </w:rPr>
        <w:t xml:space="preserve"> </w:t>
      </w:r>
      <w:r w:rsidR="00114F70" w:rsidRPr="0053555E">
        <w:rPr>
          <w:rFonts w:asciiTheme="majorHAnsi" w:hAnsiTheme="majorHAnsi" w:cstheme="majorHAnsi"/>
          <w:shd w:val="clear" w:color="auto" w:fill="FFFFFF"/>
        </w:rPr>
        <w:t xml:space="preserve">na druhý stupeň štúdia </w:t>
      </w:r>
      <w:r w:rsidR="0044440A" w:rsidRPr="0053555E">
        <w:rPr>
          <w:rFonts w:asciiTheme="majorHAnsi" w:hAnsiTheme="majorHAnsi" w:cstheme="majorHAnsi"/>
          <w:shd w:val="clear" w:color="auto" w:fill="FFFFFF"/>
        </w:rPr>
        <w:t xml:space="preserve">sa </w:t>
      </w:r>
      <w:r w:rsidR="002071AC" w:rsidRPr="0053555E">
        <w:rPr>
          <w:rFonts w:asciiTheme="majorHAnsi" w:hAnsiTheme="majorHAnsi" w:cstheme="majorHAnsi"/>
          <w:shd w:val="clear" w:color="auto" w:fill="FFFFFF"/>
        </w:rPr>
        <w:t>ko</w:t>
      </w:r>
      <w:r w:rsidR="00D0536F" w:rsidRPr="0053555E">
        <w:rPr>
          <w:rFonts w:asciiTheme="majorHAnsi" w:hAnsiTheme="majorHAnsi" w:cstheme="majorHAnsi"/>
          <w:shd w:val="clear" w:color="auto" w:fill="FFFFFF"/>
        </w:rPr>
        <w:t xml:space="preserve">nalo </w:t>
      </w:r>
      <w:r w:rsidRPr="0053555E">
        <w:rPr>
          <w:rFonts w:asciiTheme="majorHAnsi" w:hAnsiTheme="majorHAnsi" w:cstheme="majorHAnsi"/>
          <w:shd w:val="clear" w:color="auto" w:fill="FFFFFF"/>
        </w:rPr>
        <w:t>na</w:t>
      </w:r>
      <w:r w:rsidR="00D0536F" w:rsidRPr="0053555E">
        <w:rPr>
          <w:rFonts w:asciiTheme="majorHAnsi" w:hAnsiTheme="majorHAnsi" w:cstheme="majorHAnsi"/>
          <w:shd w:val="clear" w:color="auto" w:fill="FFFFFF"/>
        </w:rPr>
        <w:t xml:space="preserve"> </w:t>
      </w:r>
      <w:r w:rsidR="00621C3E" w:rsidRPr="0053555E">
        <w:rPr>
          <w:rFonts w:asciiTheme="majorHAnsi" w:hAnsiTheme="majorHAnsi" w:cstheme="majorHAnsi"/>
          <w:shd w:val="clear" w:color="auto" w:fill="FFFFFF"/>
        </w:rPr>
        <w:t>všetkých súčastiach STU s výnimkou FAD a FIIT.</w:t>
      </w:r>
    </w:p>
    <w:p w14:paraId="6557E2E5" w14:textId="77777777" w:rsidR="002071AC" w:rsidRPr="0053555E" w:rsidRDefault="002071AC" w:rsidP="00324438">
      <w:pPr>
        <w:shd w:val="clear" w:color="auto" w:fill="FFFFFF"/>
        <w:tabs>
          <w:tab w:val="left" w:pos="9356"/>
        </w:tabs>
        <w:jc w:val="both"/>
        <w:rPr>
          <w:rFonts w:asciiTheme="majorHAnsi" w:hAnsiTheme="majorHAnsi" w:cstheme="majorHAnsi"/>
        </w:rPr>
      </w:pPr>
      <w:r w:rsidRPr="0053555E">
        <w:rPr>
          <w:rFonts w:asciiTheme="majorHAnsi" w:hAnsiTheme="majorHAnsi" w:cstheme="majorHAnsi"/>
        </w:rPr>
        <w:t>Na žiadnej zo súčastí STU sa neprijímalo na extern</w:t>
      </w:r>
      <w:r w:rsidR="00D0536F" w:rsidRPr="0053555E">
        <w:rPr>
          <w:rFonts w:asciiTheme="majorHAnsi" w:hAnsiTheme="majorHAnsi" w:cstheme="majorHAnsi"/>
        </w:rPr>
        <w:t>ú</w:t>
      </w:r>
      <w:r w:rsidRPr="0053555E">
        <w:rPr>
          <w:rFonts w:asciiTheme="majorHAnsi" w:hAnsiTheme="majorHAnsi" w:cstheme="majorHAnsi"/>
        </w:rPr>
        <w:t xml:space="preserve"> </w:t>
      </w:r>
      <w:r w:rsidR="00D0536F" w:rsidRPr="0053555E">
        <w:rPr>
          <w:rFonts w:asciiTheme="majorHAnsi" w:hAnsiTheme="majorHAnsi" w:cstheme="majorHAnsi"/>
        </w:rPr>
        <w:t xml:space="preserve">formu </w:t>
      </w:r>
      <w:r w:rsidRPr="0053555E">
        <w:rPr>
          <w:rFonts w:asciiTheme="majorHAnsi" w:hAnsiTheme="majorHAnsi" w:cstheme="majorHAnsi"/>
        </w:rPr>
        <w:t xml:space="preserve">štúdia. </w:t>
      </w:r>
    </w:p>
    <w:p w14:paraId="77A86ACB" w14:textId="77777777" w:rsidR="004C4BEC" w:rsidRPr="0053555E" w:rsidRDefault="004C4BEC" w:rsidP="00324438">
      <w:pPr>
        <w:tabs>
          <w:tab w:val="left" w:pos="9356"/>
        </w:tabs>
        <w:jc w:val="both"/>
        <w:rPr>
          <w:rFonts w:asciiTheme="majorHAnsi" w:hAnsiTheme="majorHAnsi" w:cstheme="majorHAnsi"/>
          <w:b/>
          <w:sz w:val="20"/>
          <w:szCs w:val="20"/>
          <w:shd w:val="clear" w:color="auto" w:fill="FFFFFF"/>
        </w:rPr>
      </w:pPr>
    </w:p>
    <w:p w14:paraId="1315D467" w14:textId="77777777" w:rsidR="007C13DD" w:rsidRPr="0053555E" w:rsidRDefault="007C13DD" w:rsidP="00324438">
      <w:pPr>
        <w:tabs>
          <w:tab w:val="left" w:pos="9356"/>
        </w:tabs>
        <w:jc w:val="both"/>
        <w:rPr>
          <w:rFonts w:asciiTheme="majorHAnsi" w:hAnsiTheme="majorHAnsi" w:cstheme="majorHAnsi"/>
          <w:b/>
          <w:sz w:val="20"/>
          <w:szCs w:val="20"/>
          <w:shd w:val="clear" w:color="auto" w:fill="FFFFFF"/>
        </w:rPr>
      </w:pPr>
    </w:p>
    <w:p w14:paraId="47822133" w14:textId="0C381235" w:rsidR="002071AC" w:rsidRPr="001E378F" w:rsidRDefault="001E378F" w:rsidP="001E378F">
      <w:pPr>
        <w:rPr>
          <w:b/>
          <w:sz w:val="28"/>
          <w:szCs w:val="28"/>
        </w:rPr>
      </w:pPr>
      <w:bookmarkStart w:id="115" w:name="_Toc127593225"/>
      <w:r w:rsidRPr="001E378F">
        <w:rPr>
          <w:b/>
          <w:sz w:val="28"/>
          <w:szCs w:val="28"/>
        </w:rPr>
        <w:t xml:space="preserve">3.4.3. </w:t>
      </w:r>
      <w:r w:rsidR="002071AC" w:rsidRPr="001E378F">
        <w:rPr>
          <w:b/>
          <w:sz w:val="28"/>
          <w:szCs w:val="28"/>
        </w:rPr>
        <w:t xml:space="preserve">Prijímacie konanie na </w:t>
      </w:r>
      <w:r w:rsidR="00D0536F" w:rsidRPr="001E378F">
        <w:rPr>
          <w:b/>
          <w:sz w:val="28"/>
          <w:szCs w:val="28"/>
        </w:rPr>
        <w:t>tretí stupeň</w:t>
      </w:r>
      <w:r w:rsidR="002071AC" w:rsidRPr="001E378F">
        <w:rPr>
          <w:b/>
          <w:sz w:val="28"/>
          <w:szCs w:val="28"/>
        </w:rPr>
        <w:t xml:space="preserve"> štúdi</w:t>
      </w:r>
      <w:r w:rsidR="00D0536F" w:rsidRPr="001E378F">
        <w:rPr>
          <w:b/>
          <w:sz w:val="28"/>
          <w:szCs w:val="28"/>
        </w:rPr>
        <w:t>a</w:t>
      </w:r>
      <w:bookmarkEnd w:id="115"/>
    </w:p>
    <w:p w14:paraId="5E1F42A9" w14:textId="77777777" w:rsidR="001E378F" w:rsidRPr="001E378F" w:rsidRDefault="001E378F" w:rsidP="001E378F"/>
    <w:p w14:paraId="66407AB1" w14:textId="7572452F" w:rsidR="00E4734D" w:rsidRPr="0053555E" w:rsidRDefault="003D24E0" w:rsidP="00324438">
      <w:pPr>
        <w:tabs>
          <w:tab w:val="left" w:pos="9356"/>
        </w:tabs>
        <w:jc w:val="both"/>
        <w:rPr>
          <w:rFonts w:asciiTheme="majorHAnsi" w:hAnsiTheme="majorHAnsi" w:cstheme="majorHAnsi"/>
        </w:rPr>
      </w:pPr>
      <w:r w:rsidRPr="0053555E">
        <w:rPr>
          <w:rFonts w:asciiTheme="majorHAnsi" w:hAnsiTheme="majorHAnsi" w:cstheme="majorHAnsi"/>
        </w:rPr>
        <w:t xml:space="preserve">V akademickom roku </w:t>
      </w:r>
      <w:r w:rsidR="00EA24BA" w:rsidRPr="0053555E">
        <w:rPr>
          <w:rFonts w:asciiTheme="majorHAnsi" w:hAnsiTheme="majorHAnsi" w:cstheme="majorHAnsi"/>
        </w:rPr>
        <w:t>2022/2023</w:t>
      </w:r>
      <w:r w:rsidRPr="0053555E">
        <w:rPr>
          <w:rFonts w:asciiTheme="majorHAnsi" w:hAnsiTheme="majorHAnsi" w:cstheme="majorHAnsi"/>
        </w:rPr>
        <w:t xml:space="preserve"> bolo plánované prijať na </w:t>
      </w:r>
      <w:r w:rsidR="00D0536F" w:rsidRPr="0053555E">
        <w:rPr>
          <w:rFonts w:asciiTheme="majorHAnsi" w:hAnsiTheme="majorHAnsi" w:cstheme="majorHAnsi"/>
        </w:rPr>
        <w:t>tretí</w:t>
      </w:r>
      <w:r w:rsidR="002071AC" w:rsidRPr="0053555E">
        <w:rPr>
          <w:rFonts w:asciiTheme="majorHAnsi" w:hAnsiTheme="majorHAnsi" w:cstheme="majorHAnsi"/>
        </w:rPr>
        <w:t xml:space="preserve"> stupeň štúdia celkovo </w:t>
      </w:r>
      <w:r w:rsidR="009A1A37" w:rsidRPr="0053555E">
        <w:rPr>
          <w:rFonts w:asciiTheme="majorHAnsi" w:hAnsiTheme="majorHAnsi" w:cstheme="majorHAnsi"/>
          <w:b/>
        </w:rPr>
        <w:t>2</w:t>
      </w:r>
      <w:r w:rsidR="00890BAA" w:rsidRPr="0053555E">
        <w:rPr>
          <w:rFonts w:asciiTheme="majorHAnsi" w:hAnsiTheme="majorHAnsi" w:cstheme="majorHAnsi"/>
          <w:b/>
        </w:rPr>
        <w:t>33</w:t>
      </w:r>
      <w:r w:rsidR="002071AC" w:rsidRPr="0053555E">
        <w:rPr>
          <w:rFonts w:asciiTheme="majorHAnsi" w:hAnsiTheme="majorHAnsi" w:cstheme="majorHAnsi"/>
          <w:b/>
        </w:rPr>
        <w:t xml:space="preserve"> </w:t>
      </w:r>
      <w:r w:rsidR="002071AC" w:rsidRPr="0053555E">
        <w:rPr>
          <w:rFonts w:asciiTheme="majorHAnsi" w:hAnsiTheme="majorHAnsi" w:cstheme="majorHAnsi"/>
        </w:rPr>
        <w:t>uchádzačov v dennej forme</w:t>
      </w:r>
      <w:r w:rsidR="009D23C1" w:rsidRPr="0053555E">
        <w:rPr>
          <w:rFonts w:asciiTheme="majorHAnsi" w:hAnsiTheme="majorHAnsi" w:cstheme="majorHAnsi"/>
        </w:rPr>
        <w:t xml:space="preserve"> </w:t>
      </w:r>
      <w:r w:rsidR="007824B3" w:rsidRPr="0053555E">
        <w:rPr>
          <w:rFonts w:asciiTheme="majorHAnsi" w:hAnsiTheme="majorHAnsi" w:cstheme="majorHAnsi"/>
        </w:rPr>
        <w:t>štúdia</w:t>
      </w:r>
      <w:r w:rsidR="002071AC" w:rsidRPr="0053555E">
        <w:rPr>
          <w:rFonts w:asciiTheme="majorHAnsi" w:hAnsiTheme="majorHAnsi" w:cstheme="majorHAnsi"/>
        </w:rPr>
        <w:t xml:space="preserve"> (DF) a </w:t>
      </w:r>
      <w:r w:rsidR="009A1A37" w:rsidRPr="0053555E">
        <w:rPr>
          <w:rFonts w:asciiTheme="majorHAnsi" w:hAnsiTheme="majorHAnsi" w:cstheme="majorHAnsi"/>
          <w:b/>
        </w:rPr>
        <w:t>1</w:t>
      </w:r>
      <w:r w:rsidR="005E00F6">
        <w:rPr>
          <w:rFonts w:asciiTheme="majorHAnsi" w:hAnsiTheme="majorHAnsi" w:cstheme="majorHAnsi"/>
          <w:b/>
        </w:rPr>
        <w:t>47</w:t>
      </w:r>
      <w:r w:rsidR="002071AC" w:rsidRPr="0053555E">
        <w:rPr>
          <w:rFonts w:asciiTheme="majorHAnsi" w:hAnsiTheme="majorHAnsi" w:cstheme="majorHAnsi"/>
        </w:rPr>
        <w:t xml:space="preserve"> </w:t>
      </w:r>
      <w:r w:rsidR="00B11A24" w:rsidRPr="0053555E">
        <w:rPr>
          <w:rFonts w:asciiTheme="majorHAnsi" w:hAnsiTheme="majorHAnsi" w:cstheme="majorHAnsi"/>
        </w:rPr>
        <w:t xml:space="preserve">uchádzačov </w:t>
      </w:r>
      <w:r w:rsidR="002071AC" w:rsidRPr="0053555E">
        <w:rPr>
          <w:rFonts w:asciiTheme="majorHAnsi" w:hAnsiTheme="majorHAnsi" w:cstheme="majorHAnsi"/>
        </w:rPr>
        <w:t>v externej forme</w:t>
      </w:r>
      <w:r w:rsidR="009D23C1" w:rsidRPr="0053555E">
        <w:rPr>
          <w:rFonts w:asciiTheme="majorHAnsi" w:hAnsiTheme="majorHAnsi" w:cstheme="majorHAnsi"/>
        </w:rPr>
        <w:t xml:space="preserve"> štúdia</w:t>
      </w:r>
      <w:r w:rsidR="002071AC" w:rsidRPr="0053555E">
        <w:rPr>
          <w:rFonts w:asciiTheme="majorHAnsi" w:hAnsiTheme="majorHAnsi" w:cstheme="majorHAnsi"/>
        </w:rPr>
        <w:t xml:space="preserve"> (EF); prihlásených bolo </w:t>
      </w:r>
      <w:r w:rsidR="00F3630C" w:rsidRPr="0053555E">
        <w:rPr>
          <w:rFonts w:asciiTheme="majorHAnsi" w:hAnsiTheme="majorHAnsi" w:cstheme="majorHAnsi"/>
          <w:b/>
        </w:rPr>
        <w:t>2</w:t>
      </w:r>
      <w:r w:rsidR="005E00F6">
        <w:rPr>
          <w:rFonts w:asciiTheme="majorHAnsi" w:hAnsiTheme="majorHAnsi" w:cstheme="majorHAnsi"/>
          <w:b/>
        </w:rPr>
        <w:t>04</w:t>
      </w:r>
      <w:r w:rsidR="00890BAA" w:rsidRPr="0053555E">
        <w:rPr>
          <w:rFonts w:asciiTheme="majorHAnsi" w:hAnsiTheme="majorHAnsi" w:cstheme="majorHAnsi"/>
          <w:b/>
        </w:rPr>
        <w:t xml:space="preserve"> </w:t>
      </w:r>
      <w:r w:rsidR="002071AC" w:rsidRPr="0053555E">
        <w:rPr>
          <w:rFonts w:asciiTheme="majorHAnsi" w:hAnsiTheme="majorHAnsi" w:cstheme="majorHAnsi"/>
        </w:rPr>
        <w:t>uchádzačov v DF a</w:t>
      </w:r>
      <w:r w:rsidR="00B11A24" w:rsidRPr="0053555E">
        <w:rPr>
          <w:rFonts w:asciiTheme="majorHAnsi" w:hAnsiTheme="majorHAnsi" w:cstheme="majorHAnsi"/>
        </w:rPr>
        <w:t xml:space="preserve"> </w:t>
      </w:r>
      <w:r w:rsidR="005E00F6">
        <w:rPr>
          <w:rFonts w:asciiTheme="majorHAnsi" w:hAnsiTheme="majorHAnsi" w:cstheme="majorHAnsi"/>
          <w:b/>
        </w:rPr>
        <w:t>62</w:t>
      </w:r>
      <w:r w:rsidR="00B11A24" w:rsidRPr="0053555E">
        <w:rPr>
          <w:rFonts w:asciiTheme="majorHAnsi" w:hAnsiTheme="majorHAnsi" w:cstheme="majorHAnsi"/>
        </w:rPr>
        <w:t xml:space="preserve"> uchádzačov</w:t>
      </w:r>
      <w:r w:rsidR="002071AC" w:rsidRPr="0053555E">
        <w:rPr>
          <w:rFonts w:asciiTheme="majorHAnsi" w:hAnsiTheme="majorHAnsi" w:cstheme="majorHAnsi"/>
        </w:rPr>
        <w:t xml:space="preserve"> v EF; z toho bolo prijatých </w:t>
      </w:r>
      <w:r w:rsidR="005E00F6">
        <w:rPr>
          <w:rFonts w:asciiTheme="majorHAnsi" w:hAnsiTheme="majorHAnsi" w:cstheme="majorHAnsi"/>
          <w:b/>
        </w:rPr>
        <w:t>143</w:t>
      </w:r>
      <w:r w:rsidR="002071AC" w:rsidRPr="0053555E">
        <w:rPr>
          <w:rFonts w:asciiTheme="majorHAnsi" w:hAnsiTheme="majorHAnsi" w:cstheme="majorHAnsi"/>
        </w:rPr>
        <w:t xml:space="preserve"> uchádzačov v DF a</w:t>
      </w:r>
      <w:r w:rsidR="00B11A24" w:rsidRPr="0053555E">
        <w:rPr>
          <w:rFonts w:asciiTheme="majorHAnsi" w:hAnsiTheme="majorHAnsi" w:cstheme="majorHAnsi"/>
        </w:rPr>
        <w:t> </w:t>
      </w:r>
      <w:r w:rsidR="005E00F6">
        <w:rPr>
          <w:rFonts w:asciiTheme="majorHAnsi" w:hAnsiTheme="majorHAnsi" w:cstheme="majorHAnsi"/>
          <w:b/>
        </w:rPr>
        <w:t>44</w:t>
      </w:r>
      <w:r w:rsidR="00B11A24" w:rsidRPr="0053555E">
        <w:rPr>
          <w:rFonts w:asciiTheme="majorHAnsi" w:hAnsiTheme="majorHAnsi" w:cstheme="majorHAnsi"/>
        </w:rPr>
        <w:t xml:space="preserve"> </w:t>
      </w:r>
      <w:r w:rsidR="00802984" w:rsidRPr="0053555E">
        <w:rPr>
          <w:rFonts w:asciiTheme="majorHAnsi" w:hAnsiTheme="majorHAnsi" w:cstheme="majorHAnsi"/>
        </w:rPr>
        <w:t>uchádzačov</w:t>
      </w:r>
      <w:r w:rsidR="002071AC" w:rsidRPr="0053555E">
        <w:rPr>
          <w:rFonts w:asciiTheme="majorHAnsi" w:hAnsiTheme="majorHAnsi" w:cstheme="majorHAnsi"/>
        </w:rPr>
        <w:t xml:space="preserve"> v EF. Spolu </w:t>
      </w:r>
      <w:r w:rsidR="00510EC2" w:rsidRPr="0053555E">
        <w:rPr>
          <w:rFonts w:asciiTheme="majorHAnsi" w:hAnsiTheme="majorHAnsi" w:cstheme="majorHAnsi"/>
        </w:rPr>
        <w:t xml:space="preserve">sa </w:t>
      </w:r>
      <w:r w:rsidR="00802984" w:rsidRPr="0053555E">
        <w:rPr>
          <w:rFonts w:asciiTheme="majorHAnsi" w:hAnsiTheme="majorHAnsi" w:cstheme="majorHAnsi"/>
        </w:rPr>
        <w:t>na tre</w:t>
      </w:r>
      <w:r w:rsidR="00510EC2" w:rsidRPr="0053555E">
        <w:rPr>
          <w:rFonts w:asciiTheme="majorHAnsi" w:hAnsiTheme="majorHAnsi" w:cstheme="majorHAnsi"/>
        </w:rPr>
        <w:t>tí</w:t>
      </w:r>
      <w:r w:rsidR="00802984" w:rsidRPr="0053555E">
        <w:rPr>
          <w:rFonts w:asciiTheme="majorHAnsi" w:hAnsiTheme="majorHAnsi" w:cstheme="majorHAnsi"/>
        </w:rPr>
        <w:t xml:space="preserve"> stup</w:t>
      </w:r>
      <w:r w:rsidR="00510EC2" w:rsidRPr="0053555E">
        <w:rPr>
          <w:rFonts w:asciiTheme="majorHAnsi" w:hAnsiTheme="majorHAnsi" w:cstheme="majorHAnsi"/>
        </w:rPr>
        <w:t>eň</w:t>
      </w:r>
      <w:r w:rsidR="00802984" w:rsidRPr="0053555E">
        <w:rPr>
          <w:rFonts w:asciiTheme="majorHAnsi" w:hAnsiTheme="majorHAnsi" w:cstheme="majorHAnsi"/>
        </w:rPr>
        <w:t xml:space="preserve"> štúdia na STU vrátane tém vypísaných </w:t>
      </w:r>
      <w:r w:rsidR="002071AC" w:rsidRPr="0053555E">
        <w:rPr>
          <w:rFonts w:asciiTheme="majorHAnsi" w:hAnsiTheme="majorHAnsi" w:cstheme="majorHAnsi"/>
        </w:rPr>
        <w:t>externými vzdelávacími inštitúciami</w:t>
      </w:r>
      <w:r w:rsidR="002071AC" w:rsidRPr="0053555E">
        <w:rPr>
          <w:rFonts w:asciiTheme="majorHAnsi" w:hAnsiTheme="majorHAnsi" w:cstheme="majorHAnsi"/>
          <w:b/>
        </w:rPr>
        <w:t xml:space="preserve"> </w:t>
      </w:r>
      <w:r w:rsidR="002071AC" w:rsidRPr="0053555E">
        <w:rPr>
          <w:rFonts w:asciiTheme="majorHAnsi" w:hAnsiTheme="majorHAnsi" w:cstheme="majorHAnsi"/>
        </w:rPr>
        <w:t xml:space="preserve">(EVI) </w:t>
      </w:r>
      <w:r w:rsidR="00AE2BCB" w:rsidRPr="0053555E">
        <w:rPr>
          <w:rFonts w:asciiTheme="majorHAnsi" w:hAnsiTheme="majorHAnsi" w:cstheme="majorHAnsi"/>
        </w:rPr>
        <w:t>v</w:t>
      </w:r>
      <w:r w:rsidR="00802984" w:rsidRPr="0053555E">
        <w:rPr>
          <w:rFonts w:asciiTheme="majorHAnsi" w:hAnsiTheme="majorHAnsi" w:cstheme="majorHAnsi"/>
        </w:rPr>
        <w:t> </w:t>
      </w:r>
      <w:r w:rsidR="002071AC" w:rsidRPr="0053555E">
        <w:rPr>
          <w:rFonts w:asciiTheme="majorHAnsi" w:hAnsiTheme="majorHAnsi" w:cstheme="majorHAnsi"/>
        </w:rPr>
        <w:t>akad</w:t>
      </w:r>
      <w:r w:rsidR="00337E26" w:rsidRPr="0053555E">
        <w:rPr>
          <w:rFonts w:asciiTheme="majorHAnsi" w:hAnsiTheme="majorHAnsi" w:cstheme="majorHAnsi"/>
        </w:rPr>
        <w:t>emickom</w:t>
      </w:r>
      <w:r w:rsidR="002071AC" w:rsidRPr="0053555E">
        <w:rPr>
          <w:rFonts w:asciiTheme="majorHAnsi" w:hAnsiTheme="majorHAnsi" w:cstheme="majorHAnsi"/>
        </w:rPr>
        <w:t xml:space="preserve"> rok</w:t>
      </w:r>
      <w:r w:rsidR="00AE2BCB" w:rsidRPr="0053555E">
        <w:rPr>
          <w:rFonts w:asciiTheme="majorHAnsi" w:hAnsiTheme="majorHAnsi" w:cstheme="majorHAnsi"/>
        </w:rPr>
        <w:t>u</w:t>
      </w:r>
      <w:r w:rsidR="002071AC" w:rsidRPr="0053555E">
        <w:rPr>
          <w:rFonts w:asciiTheme="majorHAnsi" w:hAnsiTheme="majorHAnsi" w:cstheme="majorHAnsi"/>
        </w:rPr>
        <w:t xml:space="preserve"> </w:t>
      </w:r>
      <w:r w:rsidR="00EA24BA" w:rsidRPr="0053555E">
        <w:rPr>
          <w:rFonts w:asciiTheme="majorHAnsi" w:hAnsiTheme="majorHAnsi" w:cstheme="majorHAnsi"/>
        </w:rPr>
        <w:t>2022/2023</w:t>
      </w:r>
      <w:r w:rsidR="002071AC" w:rsidRPr="0053555E">
        <w:rPr>
          <w:rFonts w:asciiTheme="majorHAnsi" w:hAnsiTheme="majorHAnsi" w:cstheme="majorHAnsi"/>
          <w:b/>
        </w:rPr>
        <w:t xml:space="preserve"> zapísalo</w:t>
      </w:r>
      <w:r w:rsidR="00802984" w:rsidRPr="0053555E">
        <w:rPr>
          <w:rFonts w:asciiTheme="majorHAnsi" w:hAnsiTheme="majorHAnsi" w:cstheme="majorHAnsi"/>
          <w:b/>
        </w:rPr>
        <w:t xml:space="preserve"> </w:t>
      </w:r>
      <w:r w:rsidR="000D6468">
        <w:rPr>
          <w:rFonts w:asciiTheme="majorHAnsi" w:hAnsiTheme="majorHAnsi" w:cstheme="majorHAnsi"/>
          <w:b/>
        </w:rPr>
        <w:t>166</w:t>
      </w:r>
      <w:r w:rsidR="005C78BA" w:rsidRPr="0053555E">
        <w:rPr>
          <w:rFonts w:asciiTheme="majorHAnsi" w:hAnsiTheme="majorHAnsi" w:cstheme="majorHAnsi"/>
          <w:b/>
        </w:rPr>
        <w:t xml:space="preserve"> </w:t>
      </w:r>
      <w:r w:rsidR="00645B76" w:rsidRPr="0053555E">
        <w:rPr>
          <w:rFonts w:asciiTheme="majorHAnsi" w:hAnsiTheme="majorHAnsi" w:cstheme="majorHAnsi"/>
          <w:b/>
        </w:rPr>
        <w:t xml:space="preserve">študentov </w:t>
      </w:r>
      <w:r w:rsidR="00645B76" w:rsidRPr="0053555E">
        <w:rPr>
          <w:rFonts w:asciiTheme="majorHAnsi" w:hAnsiTheme="majorHAnsi" w:cstheme="majorHAnsi"/>
        </w:rPr>
        <w:t>z</w:t>
      </w:r>
      <w:r w:rsidR="003D2B8E" w:rsidRPr="0053555E">
        <w:rPr>
          <w:rFonts w:asciiTheme="majorHAnsi" w:hAnsiTheme="majorHAnsi" w:cstheme="majorHAnsi"/>
        </w:rPr>
        <w:t xml:space="preserve"> novo </w:t>
      </w:r>
      <w:r w:rsidR="00802984" w:rsidRPr="0053555E">
        <w:rPr>
          <w:rFonts w:asciiTheme="majorHAnsi" w:hAnsiTheme="majorHAnsi" w:cstheme="majorHAnsi"/>
        </w:rPr>
        <w:t>prijatých</w:t>
      </w:r>
      <w:r w:rsidR="002071AC" w:rsidRPr="0053555E">
        <w:rPr>
          <w:rFonts w:asciiTheme="majorHAnsi" w:hAnsiTheme="majorHAnsi" w:cstheme="majorHAnsi"/>
        </w:rPr>
        <w:t xml:space="preserve"> uchádzačov</w:t>
      </w:r>
      <w:r w:rsidR="00B57AAA" w:rsidRPr="0053555E">
        <w:rPr>
          <w:rFonts w:asciiTheme="majorHAnsi" w:hAnsiTheme="majorHAnsi" w:cstheme="majorHAnsi"/>
        </w:rPr>
        <w:t>,</w:t>
      </w:r>
      <w:r w:rsidR="002071AC" w:rsidRPr="0053555E">
        <w:rPr>
          <w:rFonts w:asciiTheme="majorHAnsi" w:hAnsiTheme="majorHAnsi" w:cstheme="majorHAnsi"/>
        </w:rPr>
        <w:t xml:space="preserve"> </w:t>
      </w:r>
      <w:r w:rsidR="00802984" w:rsidRPr="0053555E">
        <w:rPr>
          <w:rFonts w:asciiTheme="majorHAnsi" w:hAnsiTheme="majorHAnsi" w:cstheme="majorHAnsi"/>
        </w:rPr>
        <w:t>z toho</w:t>
      </w:r>
      <w:r w:rsidR="00802984" w:rsidRPr="0053555E">
        <w:rPr>
          <w:rFonts w:asciiTheme="majorHAnsi" w:hAnsiTheme="majorHAnsi" w:cstheme="majorHAnsi"/>
          <w:b/>
        </w:rPr>
        <w:t xml:space="preserve"> </w:t>
      </w:r>
      <w:r w:rsidR="0016618E" w:rsidRPr="0053555E">
        <w:rPr>
          <w:rFonts w:asciiTheme="majorHAnsi" w:hAnsiTheme="majorHAnsi" w:cstheme="majorHAnsi"/>
          <w:b/>
        </w:rPr>
        <w:t>1</w:t>
      </w:r>
      <w:r w:rsidR="002E2CFA">
        <w:rPr>
          <w:rFonts w:asciiTheme="majorHAnsi" w:hAnsiTheme="majorHAnsi" w:cstheme="majorHAnsi"/>
          <w:b/>
        </w:rPr>
        <w:t>25</w:t>
      </w:r>
      <w:r w:rsidR="009D23C1" w:rsidRPr="0053555E">
        <w:rPr>
          <w:rFonts w:asciiTheme="majorHAnsi" w:hAnsiTheme="majorHAnsi" w:cstheme="majorHAnsi"/>
          <w:b/>
        </w:rPr>
        <w:t xml:space="preserve"> v DF </w:t>
      </w:r>
      <w:r w:rsidR="002071AC" w:rsidRPr="0053555E">
        <w:rPr>
          <w:rFonts w:asciiTheme="majorHAnsi" w:hAnsiTheme="majorHAnsi" w:cstheme="majorHAnsi"/>
          <w:b/>
        </w:rPr>
        <w:t>a </w:t>
      </w:r>
      <w:r w:rsidR="002E2CFA">
        <w:rPr>
          <w:rFonts w:asciiTheme="majorHAnsi" w:hAnsiTheme="majorHAnsi" w:cstheme="majorHAnsi"/>
          <w:b/>
        </w:rPr>
        <w:t>41</w:t>
      </w:r>
      <w:r w:rsidR="002071AC" w:rsidRPr="0053555E">
        <w:rPr>
          <w:rFonts w:asciiTheme="majorHAnsi" w:hAnsiTheme="majorHAnsi" w:cstheme="majorHAnsi"/>
          <w:b/>
        </w:rPr>
        <w:t xml:space="preserve"> v</w:t>
      </w:r>
      <w:r w:rsidR="0047067E" w:rsidRPr="0053555E">
        <w:rPr>
          <w:rFonts w:asciiTheme="majorHAnsi" w:hAnsiTheme="majorHAnsi" w:cstheme="majorHAnsi"/>
          <w:b/>
        </w:rPr>
        <w:t> </w:t>
      </w:r>
      <w:r w:rsidR="009D23C1" w:rsidRPr="0053555E">
        <w:rPr>
          <w:rFonts w:asciiTheme="majorHAnsi" w:hAnsiTheme="majorHAnsi" w:cstheme="majorHAnsi"/>
          <w:b/>
        </w:rPr>
        <w:t>EF</w:t>
      </w:r>
      <w:r w:rsidR="0047067E" w:rsidRPr="0053555E">
        <w:rPr>
          <w:rFonts w:asciiTheme="majorHAnsi" w:hAnsiTheme="majorHAnsi" w:cstheme="majorHAnsi"/>
          <w:b/>
        </w:rPr>
        <w:t xml:space="preserve">, </w:t>
      </w:r>
      <w:r w:rsidR="0047067E" w:rsidRPr="0053555E">
        <w:rPr>
          <w:rFonts w:asciiTheme="majorHAnsi" w:hAnsiTheme="majorHAnsi" w:cstheme="majorHAnsi"/>
        </w:rPr>
        <w:t xml:space="preserve">čo predstavuje </w:t>
      </w:r>
      <w:r w:rsidR="003D2B8E" w:rsidRPr="0053555E">
        <w:rPr>
          <w:rFonts w:asciiTheme="majorHAnsi" w:hAnsiTheme="majorHAnsi" w:cstheme="majorHAnsi"/>
          <w:b/>
        </w:rPr>
        <w:t>pokles</w:t>
      </w:r>
      <w:r w:rsidR="0047067E" w:rsidRPr="0053555E">
        <w:rPr>
          <w:rFonts w:asciiTheme="majorHAnsi" w:hAnsiTheme="majorHAnsi" w:cstheme="majorHAnsi"/>
          <w:b/>
        </w:rPr>
        <w:t xml:space="preserve"> </w:t>
      </w:r>
      <w:r w:rsidR="0047067E" w:rsidRPr="0053555E">
        <w:rPr>
          <w:rFonts w:asciiTheme="majorHAnsi" w:hAnsiTheme="majorHAnsi" w:cstheme="majorHAnsi"/>
        </w:rPr>
        <w:t>oproti predchádzajúcemu akademickému roku</w:t>
      </w:r>
      <w:r w:rsidR="0047067E" w:rsidRPr="0053555E">
        <w:rPr>
          <w:rFonts w:asciiTheme="majorHAnsi" w:hAnsiTheme="majorHAnsi" w:cstheme="majorHAnsi"/>
          <w:b/>
        </w:rPr>
        <w:t xml:space="preserve"> o</w:t>
      </w:r>
      <w:r w:rsidR="00F82149" w:rsidRPr="0053555E">
        <w:rPr>
          <w:rFonts w:asciiTheme="majorHAnsi" w:hAnsiTheme="majorHAnsi" w:cstheme="majorHAnsi"/>
          <w:b/>
        </w:rPr>
        <w:t> </w:t>
      </w:r>
      <w:r w:rsidR="002E2CFA">
        <w:rPr>
          <w:rFonts w:asciiTheme="majorHAnsi" w:hAnsiTheme="majorHAnsi" w:cstheme="majorHAnsi"/>
          <w:b/>
        </w:rPr>
        <w:t>20</w:t>
      </w:r>
      <w:r w:rsidR="00F82149" w:rsidRPr="0053555E">
        <w:rPr>
          <w:rFonts w:asciiTheme="majorHAnsi" w:hAnsiTheme="majorHAnsi" w:cstheme="majorHAnsi"/>
          <w:b/>
        </w:rPr>
        <w:t xml:space="preserve"> </w:t>
      </w:r>
      <w:r w:rsidR="0047067E" w:rsidRPr="0053555E">
        <w:rPr>
          <w:rFonts w:asciiTheme="majorHAnsi" w:hAnsiTheme="majorHAnsi" w:cstheme="majorHAnsi"/>
          <w:b/>
        </w:rPr>
        <w:t>%</w:t>
      </w:r>
      <w:r w:rsidR="002071AC" w:rsidRPr="0053555E">
        <w:rPr>
          <w:rFonts w:asciiTheme="majorHAnsi" w:hAnsiTheme="majorHAnsi" w:cstheme="majorHAnsi"/>
        </w:rPr>
        <w:t xml:space="preserve">. </w:t>
      </w:r>
      <w:r w:rsidR="00FD5E3B" w:rsidRPr="0053555E">
        <w:rPr>
          <w:rFonts w:asciiTheme="majorHAnsi" w:hAnsiTheme="majorHAnsi" w:cstheme="majorHAnsi"/>
        </w:rPr>
        <w:t xml:space="preserve">Z celkového počtu </w:t>
      </w:r>
      <w:r w:rsidR="004C02C8" w:rsidRPr="0053555E">
        <w:rPr>
          <w:rFonts w:asciiTheme="majorHAnsi" w:hAnsiTheme="majorHAnsi" w:cstheme="majorHAnsi"/>
        </w:rPr>
        <w:t xml:space="preserve">novo </w:t>
      </w:r>
      <w:r w:rsidR="00FD5E3B" w:rsidRPr="0053555E">
        <w:rPr>
          <w:rFonts w:asciiTheme="majorHAnsi" w:hAnsiTheme="majorHAnsi" w:cstheme="majorHAnsi"/>
        </w:rPr>
        <w:t xml:space="preserve">zapísaných študentov bolo </w:t>
      </w:r>
      <w:r w:rsidR="00F71C6A">
        <w:rPr>
          <w:rFonts w:asciiTheme="majorHAnsi" w:hAnsiTheme="majorHAnsi" w:cstheme="majorHAnsi"/>
          <w:b/>
        </w:rPr>
        <w:t>27</w:t>
      </w:r>
      <w:r w:rsidR="00FD5E3B" w:rsidRPr="0053555E">
        <w:rPr>
          <w:rFonts w:asciiTheme="majorHAnsi" w:hAnsiTheme="majorHAnsi" w:cstheme="majorHAnsi"/>
        </w:rPr>
        <w:t xml:space="preserve"> zahraničných študentov (</w:t>
      </w:r>
      <w:r w:rsidR="00F71C6A">
        <w:rPr>
          <w:rFonts w:asciiTheme="majorHAnsi" w:hAnsiTheme="majorHAnsi" w:cstheme="majorHAnsi"/>
        </w:rPr>
        <w:t>19</w:t>
      </w:r>
      <w:r w:rsidR="000F2468" w:rsidRPr="0053555E">
        <w:rPr>
          <w:rFonts w:asciiTheme="majorHAnsi" w:hAnsiTheme="majorHAnsi" w:cstheme="majorHAnsi"/>
        </w:rPr>
        <w:t xml:space="preserve"> </w:t>
      </w:r>
      <w:r w:rsidR="00FD5E3B" w:rsidRPr="0053555E">
        <w:rPr>
          <w:rFonts w:asciiTheme="majorHAnsi" w:hAnsiTheme="majorHAnsi" w:cstheme="majorHAnsi"/>
        </w:rPr>
        <w:t>DF a </w:t>
      </w:r>
      <w:r w:rsidR="00F71C6A">
        <w:rPr>
          <w:rFonts w:asciiTheme="majorHAnsi" w:hAnsiTheme="majorHAnsi" w:cstheme="majorHAnsi"/>
        </w:rPr>
        <w:t>8</w:t>
      </w:r>
      <w:r w:rsidR="00FD5E3B" w:rsidRPr="0053555E">
        <w:rPr>
          <w:rFonts w:asciiTheme="majorHAnsi" w:hAnsiTheme="majorHAnsi" w:cstheme="majorHAnsi"/>
        </w:rPr>
        <w:t xml:space="preserve"> EF)</w:t>
      </w:r>
      <w:r w:rsidR="008C6784" w:rsidRPr="0053555E">
        <w:rPr>
          <w:rFonts w:asciiTheme="majorHAnsi" w:hAnsiTheme="majorHAnsi" w:cstheme="majorHAnsi"/>
        </w:rPr>
        <w:t xml:space="preserve">, čo predstavuje medziročný </w:t>
      </w:r>
      <w:r w:rsidR="008C1E42">
        <w:rPr>
          <w:rFonts w:asciiTheme="majorHAnsi" w:hAnsiTheme="majorHAnsi" w:cstheme="majorHAnsi"/>
        </w:rPr>
        <w:t>pokles</w:t>
      </w:r>
      <w:r w:rsidR="008C6784" w:rsidRPr="0053555E">
        <w:rPr>
          <w:rFonts w:asciiTheme="majorHAnsi" w:hAnsiTheme="majorHAnsi" w:cstheme="majorHAnsi"/>
        </w:rPr>
        <w:t xml:space="preserve"> o </w:t>
      </w:r>
      <w:r w:rsidR="0076747F">
        <w:rPr>
          <w:rFonts w:asciiTheme="majorHAnsi" w:hAnsiTheme="majorHAnsi" w:cstheme="majorHAnsi"/>
        </w:rPr>
        <w:t>3</w:t>
      </w:r>
      <w:r w:rsidR="008C6784" w:rsidRPr="0053555E">
        <w:rPr>
          <w:rFonts w:asciiTheme="majorHAnsi" w:hAnsiTheme="majorHAnsi" w:cstheme="majorHAnsi"/>
        </w:rPr>
        <w:t xml:space="preserve"> zahraničných študentov (</w:t>
      </w:r>
      <w:r w:rsidR="0076747F">
        <w:rPr>
          <w:rFonts w:asciiTheme="majorHAnsi" w:hAnsiTheme="majorHAnsi" w:cstheme="majorHAnsi"/>
        </w:rPr>
        <w:t>-6</w:t>
      </w:r>
      <w:r w:rsidR="00AF6CE3" w:rsidRPr="0053555E">
        <w:rPr>
          <w:rFonts w:asciiTheme="majorHAnsi" w:hAnsiTheme="majorHAnsi" w:cstheme="majorHAnsi"/>
        </w:rPr>
        <w:t xml:space="preserve"> DF a </w:t>
      </w:r>
      <w:r w:rsidR="0076747F">
        <w:rPr>
          <w:rFonts w:asciiTheme="majorHAnsi" w:hAnsiTheme="majorHAnsi" w:cstheme="majorHAnsi"/>
        </w:rPr>
        <w:t>3</w:t>
      </w:r>
      <w:r w:rsidR="00AF6CE3" w:rsidRPr="0053555E">
        <w:rPr>
          <w:rFonts w:asciiTheme="majorHAnsi" w:hAnsiTheme="majorHAnsi" w:cstheme="majorHAnsi"/>
        </w:rPr>
        <w:t xml:space="preserve"> EF)</w:t>
      </w:r>
      <w:r w:rsidR="00FD5E3B" w:rsidRPr="0053555E">
        <w:rPr>
          <w:rFonts w:asciiTheme="majorHAnsi" w:hAnsiTheme="majorHAnsi" w:cstheme="majorHAnsi"/>
        </w:rPr>
        <w:t>.</w:t>
      </w:r>
      <w:r w:rsidR="0047067E" w:rsidRPr="0053555E">
        <w:rPr>
          <w:rFonts w:asciiTheme="majorHAnsi" w:hAnsiTheme="majorHAnsi" w:cstheme="majorHAnsi"/>
        </w:rPr>
        <w:t xml:space="preserve"> </w:t>
      </w:r>
      <w:r w:rsidR="00AC32AB">
        <w:rPr>
          <w:rFonts w:asciiTheme="majorHAnsi" w:hAnsiTheme="majorHAnsi" w:cstheme="majorHAnsi"/>
        </w:rPr>
        <w:t xml:space="preserve">Z celkového počtu 27 zapísaných zahraničných študentov z novoprijatých uchádzačov bolo </w:t>
      </w:r>
      <w:r w:rsidR="00AC32AB">
        <w:rPr>
          <w:rFonts w:asciiTheme="majorHAnsi" w:hAnsiTheme="majorHAnsi" w:cstheme="majorHAnsi"/>
          <w:b/>
        </w:rPr>
        <w:t>5 z Ukrajiny</w:t>
      </w:r>
      <w:r w:rsidR="00AC32AB">
        <w:rPr>
          <w:rFonts w:asciiTheme="majorHAnsi" w:hAnsiTheme="majorHAnsi" w:cstheme="majorHAnsi"/>
        </w:rPr>
        <w:t xml:space="preserve">, čo predstavuje </w:t>
      </w:r>
      <w:r w:rsidR="00962E63">
        <w:rPr>
          <w:rFonts w:asciiTheme="majorHAnsi" w:hAnsiTheme="majorHAnsi" w:cstheme="majorHAnsi"/>
          <w:b/>
        </w:rPr>
        <w:t>19</w:t>
      </w:r>
      <w:r w:rsidR="00AC32AB">
        <w:rPr>
          <w:rFonts w:asciiTheme="majorHAnsi" w:hAnsiTheme="majorHAnsi" w:cstheme="majorHAnsi"/>
          <w:b/>
        </w:rPr>
        <w:t xml:space="preserve"> %</w:t>
      </w:r>
      <w:r w:rsidR="00AC32AB">
        <w:rPr>
          <w:rFonts w:asciiTheme="majorHAnsi" w:hAnsiTheme="majorHAnsi" w:cstheme="majorHAnsi"/>
        </w:rPr>
        <w:t xml:space="preserve">. </w:t>
      </w:r>
    </w:p>
    <w:p w14:paraId="52AFB7FC" w14:textId="13D02788" w:rsidR="002071AC" w:rsidRPr="0053555E" w:rsidRDefault="002071AC" w:rsidP="00324438">
      <w:pPr>
        <w:tabs>
          <w:tab w:val="left" w:pos="9356"/>
        </w:tabs>
        <w:jc w:val="both"/>
        <w:rPr>
          <w:rFonts w:asciiTheme="majorHAnsi" w:hAnsiTheme="majorHAnsi" w:cstheme="majorHAnsi"/>
        </w:rPr>
      </w:pPr>
      <w:r w:rsidRPr="0053555E">
        <w:rPr>
          <w:rFonts w:asciiTheme="majorHAnsi" w:hAnsiTheme="majorHAnsi" w:cstheme="majorHAnsi"/>
        </w:rPr>
        <w:t xml:space="preserve">Prehľad prijímacieho konania </w:t>
      </w:r>
      <w:r w:rsidR="002D3131" w:rsidRPr="0053555E">
        <w:rPr>
          <w:rFonts w:asciiTheme="majorHAnsi" w:hAnsiTheme="majorHAnsi" w:cstheme="majorHAnsi"/>
        </w:rPr>
        <w:t>na </w:t>
      </w:r>
      <w:r w:rsidR="00802984" w:rsidRPr="0053555E">
        <w:rPr>
          <w:rFonts w:asciiTheme="majorHAnsi" w:hAnsiTheme="majorHAnsi" w:cstheme="majorHAnsi"/>
        </w:rPr>
        <w:t xml:space="preserve">tretí stupeň štúdia </w:t>
      </w:r>
      <w:r w:rsidRPr="0053555E">
        <w:rPr>
          <w:rFonts w:asciiTheme="majorHAnsi" w:hAnsiTheme="majorHAnsi" w:cstheme="majorHAnsi"/>
        </w:rPr>
        <w:t>je uvedený v </w:t>
      </w:r>
      <w:r w:rsidR="00633A06" w:rsidRPr="00AB4E85">
        <w:rPr>
          <w:rFonts w:asciiTheme="majorHAnsi" w:hAnsiTheme="majorHAnsi" w:cstheme="majorHAnsi"/>
        </w:rPr>
        <w:fldChar w:fldCharType="begin"/>
      </w:r>
      <w:r w:rsidR="00633A06" w:rsidRPr="00AB4E85">
        <w:rPr>
          <w:rFonts w:asciiTheme="majorHAnsi" w:hAnsiTheme="majorHAnsi" w:cstheme="majorHAnsi"/>
        </w:rPr>
        <w:instrText xml:space="preserve"> REF _Ref32333307 \h </w:instrText>
      </w:r>
      <w:r w:rsidR="00324438" w:rsidRPr="00AB4E85">
        <w:rPr>
          <w:rFonts w:asciiTheme="majorHAnsi" w:hAnsiTheme="majorHAnsi" w:cstheme="majorHAnsi"/>
        </w:rPr>
        <w:instrText xml:space="preserve"> \* MERGEFORMAT </w:instrText>
      </w:r>
      <w:r w:rsidR="00633A06" w:rsidRPr="00AB4E85">
        <w:rPr>
          <w:rFonts w:asciiTheme="majorHAnsi" w:hAnsiTheme="majorHAnsi" w:cstheme="majorHAnsi"/>
        </w:rPr>
      </w:r>
      <w:r w:rsidR="00633A06" w:rsidRPr="00AB4E85">
        <w:rPr>
          <w:rFonts w:asciiTheme="majorHAnsi" w:hAnsiTheme="majorHAnsi" w:cstheme="majorHAnsi"/>
        </w:rPr>
        <w:fldChar w:fldCharType="separate"/>
      </w:r>
      <w:r w:rsidR="00EE1B59" w:rsidRPr="00AB4E85">
        <w:rPr>
          <w:rFonts w:asciiTheme="majorHAnsi" w:hAnsiTheme="majorHAnsi" w:cstheme="majorHAnsi"/>
        </w:rPr>
        <w:t>Tab. č. 27</w:t>
      </w:r>
      <w:r w:rsidR="00633A06" w:rsidRPr="00AB4E85">
        <w:rPr>
          <w:rFonts w:asciiTheme="majorHAnsi" w:hAnsiTheme="majorHAnsi" w:cstheme="majorHAnsi"/>
        </w:rPr>
        <w:fldChar w:fldCharType="end"/>
      </w:r>
      <w:r w:rsidRPr="0053555E">
        <w:rPr>
          <w:rFonts w:asciiTheme="majorHAnsi" w:hAnsiTheme="majorHAnsi" w:cstheme="majorHAnsi"/>
        </w:rPr>
        <w:t>.</w:t>
      </w:r>
    </w:p>
    <w:p w14:paraId="3A3216AA" w14:textId="77777777" w:rsidR="00B41AC9" w:rsidRPr="0053555E" w:rsidRDefault="00B41AC9">
      <w:pPr>
        <w:rPr>
          <w:rFonts w:asciiTheme="majorHAnsi" w:hAnsiTheme="majorHAnsi" w:cstheme="majorHAnsi"/>
          <w:sz w:val="20"/>
          <w:szCs w:val="20"/>
        </w:rPr>
      </w:pPr>
      <w:r w:rsidRPr="0053555E">
        <w:rPr>
          <w:rFonts w:asciiTheme="majorHAnsi" w:hAnsiTheme="majorHAnsi" w:cstheme="majorHAnsi"/>
          <w:sz w:val="20"/>
          <w:szCs w:val="20"/>
        </w:rPr>
        <w:br w:type="page"/>
      </w:r>
    </w:p>
    <w:p w14:paraId="2E9C429D" w14:textId="6F74D414" w:rsidR="002071AC" w:rsidRPr="0053555E" w:rsidRDefault="00822A6D" w:rsidP="000E3322">
      <w:pPr>
        <w:pStyle w:val="Popis"/>
      </w:pPr>
      <w:bookmarkStart w:id="116" w:name="_Ref32333307"/>
      <w:bookmarkStart w:id="117" w:name="_Toc127593290"/>
      <w:r w:rsidRPr="0053555E">
        <w:lastRenderedPageBreak/>
        <w:t xml:space="preserve">Tab. č. </w:t>
      </w:r>
      <w:r w:rsidR="007B5953">
        <w:fldChar w:fldCharType="begin"/>
      </w:r>
      <w:r w:rsidR="007B5953">
        <w:instrText xml:space="preserve"> SEQ Tab._č. \* ARABIC </w:instrText>
      </w:r>
      <w:r w:rsidR="007B5953">
        <w:fldChar w:fldCharType="separate"/>
      </w:r>
      <w:r w:rsidR="00EE1B59">
        <w:rPr>
          <w:noProof/>
        </w:rPr>
        <w:t>27</w:t>
      </w:r>
      <w:r w:rsidR="007B5953">
        <w:rPr>
          <w:noProof/>
        </w:rPr>
        <w:fldChar w:fldCharType="end"/>
      </w:r>
      <w:bookmarkEnd w:id="116"/>
      <w:r w:rsidR="007E79AF" w:rsidRPr="0053555E">
        <w:t xml:space="preserve">: </w:t>
      </w:r>
      <w:r w:rsidR="002071AC" w:rsidRPr="0053555E">
        <w:t xml:space="preserve">Prehľad prijímacieho konania na treťom stupni štúdia na </w:t>
      </w:r>
      <w:r w:rsidR="00337E26" w:rsidRPr="0053555E">
        <w:t>akademický</w:t>
      </w:r>
      <w:r w:rsidR="00AD35CE" w:rsidRPr="0053555E">
        <w:t xml:space="preserve"> rok </w:t>
      </w:r>
      <w:r w:rsidR="00EA24BA" w:rsidRPr="0053555E">
        <w:t>2022/2023</w:t>
      </w:r>
      <w:bookmarkEnd w:id="117"/>
    </w:p>
    <w:tbl>
      <w:tblPr>
        <w:tblW w:w="9012" w:type="dxa"/>
        <w:tblInd w:w="55" w:type="dxa"/>
        <w:tblLayout w:type="fixed"/>
        <w:tblCellMar>
          <w:left w:w="70" w:type="dxa"/>
          <w:right w:w="70" w:type="dxa"/>
        </w:tblCellMar>
        <w:tblLook w:val="04A0" w:firstRow="1" w:lastRow="0" w:firstColumn="1" w:lastColumn="0" w:noHBand="0" w:noVBand="1"/>
      </w:tblPr>
      <w:tblGrid>
        <w:gridCol w:w="788"/>
        <w:gridCol w:w="568"/>
        <w:gridCol w:w="569"/>
        <w:gridCol w:w="709"/>
        <w:gridCol w:w="637"/>
        <w:gridCol w:w="638"/>
        <w:gridCol w:w="709"/>
        <w:gridCol w:w="614"/>
        <w:gridCol w:w="520"/>
        <w:gridCol w:w="709"/>
        <w:gridCol w:w="614"/>
        <w:gridCol w:w="520"/>
        <w:gridCol w:w="709"/>
        <w:gridCol w:w="708"/>
      </w:tblGrid>
      <w:tr w:rsidR="00B3218B" w:rsidRPr="0053555E" w14:paraId="0F19965D" w14:textId="77777777" w:rsidTr="00984810">
        <w:trPr>
          <w:trHeight w:val="20"/>
        </w:trPr>
        <w:tc>
          <w:tcPr>
            <w:tcW w:w="7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BB4461F" w14:textId="77777777" w:rsidR="00B3218B" w:rsidRPr="0053555E" w:rsidRDefault="002907D0" w:rsidP="00324438">
            <w:pPr>
              <w:tabs>
                <w:tab w:val="left" w:pos="9356"/>
              </w:tabs>
              <w:jc w:val="both"/>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Súčasť STU</w:t>
            </w:r>
          </w:p>
        </w:tc>
        <w:tc>
          <w:tcPr>
            <w:tcW w:w="1846" w:type="dxa"/>
            <w:gridSpan w:val="3"/>
            <w:tcBorders>
              <w:top w:val="single" w:sz="4" w:space="0" w:color="auto"/>
              <w:left w:val="nil"/>
              <w:bottom w:val="single" w:sz="4" w:space="0" w:color="auto"/>
              <w:right w:val="single" w:sz="4" w:space="0" w:color="auto"/>
            </w:tcBorders>
            <w:shd w:val="clear" w:color="auto" w:fill="auto"/>
            <w:noWrap/>
            <w:vAlign w:val="center"/>
            <w:hideMark/>
          </w:tcPr>
          <w:p w14:paraId="0DF2D8E0" w14:textId="77777777" w:rsidR="00B3218B" w:rsidRPr="0053555E" w:rsidRDefault="00B3218B"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Prihlásení</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876B309" w14:textId="77777777" w:rsidR="00B3218B" w:rsidRPr="0053555E" w:rsidRDefault="00B3218B"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Prijatí</w:t>
            </w:r>
          </w:p>
        </w:tc>
        <w:tc>
          <w:tcPr>
            <w:tcW w:w="4394" w:type="dxa"/>
            <w:gridSpan w:val="7"/>
            <w:tcBorders>
              <w:top w:val="single" w:sz="4" w:space="0" w:color="auto"/>
              <w:left w:val="nil"/>
              <w:bottom w:val="single" w:sz="4" w:space="0" w:color="auto"/>
              <w:right w:val="single" w:sz="4" w:space="0" w:color="auto"/>
            </w:tcBorders>
          </w:tcPr>
          <w:p w14:paraId="3CBF39CF" w14:textId="77777777" w:rsidR="00B3218B" w:rsidRPr="0053555E" w:rsidRDefault="00B3218B"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Zapísaní</w:t>
            </w:r>
          </w:p>
        </w:tc>
      </w:tr>
      <w:tr w:rsidR="00B3218B" w:rsidRPr="0053555E" w14:paraId="0DBDB64D" w14:textId="77777777" w:rsidTr="00574BD9">
        <w:trPr>
          <w:trHeight w:val="20"/>
        </w:trPr>
        <w:tc>
          <w:tcPr>
            <w:tcW w:w="788" w:type="dxa"/>
            <w:vMerge/>
            <w:tcBorders>
              <w:top w:val="single" w:sz="4" w:space="0" w:color="auto"/>
              <w:left w:val="single" w:sz="4" w:space="0" w:color="auto"/>
              <w:bottom w:val="single" w:sz="4" w:space="0" w:color="000000"/>
              <w:right w:val="single" w:sz="4" w:space="0" w:color="auto"/>
            </w:tcBorders>
            <w:vAlign w:val="center"/>
            <w:hideMark/>
          </w:tcPr>
          <w:p w14:paraId="63AA314B" w14:textId="77777777" w:rsidR="00B3218B" w:rsidRPr="0053555E" w:rsidRDefault="00B3218B" w:rsidP="00324438">
            <w:pPr>
              <w:tabs>
                <w:tab w:val="left" w:pos="9356"/>
              </w:tabs>
              <w:jc w:val="both"/>
              <w:rPr>
                <w:rFonts w:asciiTheme="majorHAnsi" w:eastAsia="Times New Roman" w:hAnsiTheme="majorHAnsi" w:cstheme="majorHAnsi"/>
                <w:b/>
                <w:bCs/>
                <w:sz w:val="20"/>
                <w:szCs w:val="22"/>
                <w:lang w:eastAsia="sk-SK"/>
              </w:rPr>
            </w:pPr>
          </w:p>
        </w:tc>
        <w:tc>
          <w:tcPr>
            <w:tcW w:w="5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31FD57" w14:textId="77777777" w:rsidR="00B3218B" w:rsidRPr="0053555E" w:rsidRDefault="00B3218B" w:rsidP="00224FDB">
            <w:pPr>
              <w:tabs>
                <w:tab w:val="left" w:pos="9356"/>
              </w:tabs>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DF</w:t>
            </w:r>
          </w:p>
        </w:tc>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D0A614" w14:textId="77777777" w:rsidR="00B3218B" w:rsidRPr="0053555E" w:rsidRDefault="00B3218B" w:rsidP="00324438">
            <w:pPr>
              <w:tabs>
                <w:tab w:val="left" w:pos="9356"/>
              </w:tabs>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EF</w:t>
            </w:r>
          </w:p>
        </w:tc>
        <w:tc>
          <w:tcPr>
            <w:tcW w:w="709" w:type="dxa"/>
            <w:vMerge w:val="restart"/>
            <w:tcBorders>
              <w:top w:val="nil"/>
              <w:left w:val="single" w:sz="4" w:space="0" w:color="auto"/>
              <w:bottom w:val="single" w:sz="4" w:space="0" w:color="000000"/>
              <w:right w:val="single" w:sz="4" w:space="0" w:color="auto"/>
            </w:tcBorders>
            <w:shd w:val="clear" w:color="auto" w:fill="EEECE1" w:themeFill="background2"/>
            <w:noWrap/>
            <w:vAlign w:val="center"/>
            <w:hideMark/>
          </w:tcPr>
          <w:p w14:paraId="0280454E" w14:textId="77777777" w:rsidR="00B3218B" w:rsidRPr="0053555E" w:rsidRDefault="00B3218B" w:rsidP="00324438">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Spolu</w:t>
            </w:r>
          </w:p>
        </w:tc>
        <w:tc>
          <w:tcPr>
            <w:tcW w:w="6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EF7484" w14:textId="77777777" w:rsidR="00B3218B" w:rsidRPr="0053555E" w:rsidRDefault="00B3218B" w:rsidP="00324438">
            <w:pPr>
              <w:tabs>
                <w:tab w:val="left" w:pos="9356"/>
              </w:tabs>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DE</w:t>
            </w:r>
          </w:p>
        </w:tc>
        <w:tc>
          <w:tcPr>
            <w:tcW w:w="6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55A1C1" w14:textId="77777777" w:rsidR="00B3218B" w:rsidRPr="0053555E" w:rsidRDefault="00B3218B" w:rsidP="00324438">
            <w:pPr>
              <w:tabs>
                <w:tab w:val="left" w:pos="9356"/>
              </w:tabs>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EF</w:t>
            </w:r>
          </w:p>
        </w:tc>
        <w:tc>
          <w:tcPr>
            <w:tcW w:w="709" w:type="dxa"/>
            <w:vMerge w:val="restart"/>
            <w:tcBorders>
              <w:top w:val="nil"/>
              <w:left w:val="single" w:sz="4" w:space="0" w:color="auto"/>
              <w:bottom w:val="single" w:sz="4" w:space="0" w:color="000000"/>
              <w:right w:val="single" w:sz="4" w:space="0" w:color="auto"/>
            </w:tcBorders>
            <w:shd w:val="clear" w:color="auto" w:fill="EEECE1" w:themeFill="background2"/>
            <w:noWrap/>
            <w:vAlign w:val="center"/>
            <w:hideMark/>
          </w:tcPr>
          <w:p w14:paraId="0E2B43A1" w14:textId="77777777" w:rsidR="00B3218B" w:rsidRPr="0053555E" w:rsidRDefault="00B3218B" w:rsidP="00324438">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Spolu</w:t>
            </w:r>
          </w:p>
        </w:tc>
        <w:tc>
          <w:tcPr>
            <w:tcW w:w="184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CCE3B26" w14:textId="77777777" w:rsidR="00B3218B" w:rsidRPr="0053555E" w:rsidRDefault="00B3218B" w:rsidP="00324438">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DF</w:t>
            </w:r>
          </w:p>
        </w:tc>
        <w:tc>
          <w:tcPr>
            <w:tcW w:w="184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EBFFB77" w14:textId="77777777" w:rsidR="00B3218B" w:rsidRPr="0053555E" w:rsidRDefault="00B3218B" w:rsidP="00324438">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EF</w:t>
            </w:r>
          </w:p>
        </w:tc>
        <w:tc>
          <w:tcPr>
            <w:tcW w:w="708" w:type="dxa"/>
            <w:vMerge w:val="restart"/>
            <w:tcBorders>
              <w:top w:val="nil"/>
              <w:left w:val="nil"/>
              <w:right w:val="single" w:sz="4" w:space="0" w:color="auto"/>
            </w:tcBorders>
            <w:shd w:val="clear" w:color="auto" w:fill="EEECE1" w:themeFill="background2"/>
            <w:noWrap/>
            <w:vAlign w:val="center"/>
            <w:hideMark/>
          </w:tcPr>
          <w:p w14:paraId="261EFC31" w14:textId="77777777" w:rsidR="00B3218B" w:rsidRPr="0053555E" w:rsidRDefault="00B3218B" w:rsidP="00324438">
            <w:pPr>
              <w:tabs>
                <w:tab w:val="left" w:pos="9356"/>
              </w:tabs>
              <w:jc w:val="center"/>
              <w:rPr>
                <w:rFonts w:asciiTheme="majorHAnsi" w:eastAsia="Times New Roman" w:hAnsiTheme="majorHAnsi" w:cstheme="majorHAnsi"/>
                <w:b/>
                <w:bCs/>
                <w:sz w:val="20"/>
                <w:szCs w:val="22"/>
                <w:lang w:eastAsia="sk-SK"/>
              </w:rPr>
            </w:pPr>
            <w:r w:rsidRPr="0053555E">
              <w:rPr>
                <w:rFonts w:asciiTheme="majorHAnsi" w:eastAsia="Times New Roman" w:hAnsiTheme="majorHAnsi" w:cstheme="majorHAnsi"/>
                <w:b/>
                <w:bCs/>
                <w:sz w:val="20"/>
                <w:szCs w:val="22"/>
                <w:lang w:eastAsia="sk-SK"/>
              </w:rPr>
              <w:t>Spolu</w:t>
            </w:r>
          </w:p>
        </w:tc>
      </w:tr>
      <w:tr w:rsidR="00B3218B" w:rsidRPr="0053555E" w14:paraId="1F312CCA" w14:textId="77777777" w:rsidTr="00B03F04">
        <w:trPr>
          <w:trHeight w:val="20"/>
        </w:trPr>
        <w:tc>
          <w:tcPr>
            <w:tcW w:w="788" w:type="dxa"/>
            <w:vMerge/>
            <w:tcBorders>
              <w:top w:val="single" w:sz="4" w:space="0" w:color="auto"/>
              <w:left w:val="single" w:sz="4" w:space="0" w:color="auto"/>
              <w:bottom w:val="single" w:sz="4" w:space="0" w:color="000000"/>
              <w:right w:val="single" w:sz="4" w:space="0" w:color="auto"/>
            </w:tcBorders>
            <w:vAlign w:val="center"/>
            <w:hideMark/>
          </w:tcPr>
          <w:p w14:paraId="42075AED" w14:textId="77777777" w:rsidR="00B3218B" w:rsidRPr="0053555E" w:rsidRDefault="00B3218B" w:rsidP="00324438">
            <w:pPr>
              <w:tabs>
                <w:tab w:val="left" w:pos="9356"/>
              </w:tabs>
              <w:jc w:val="both"/>
              <w:rPr>
                <w:rFonts w:asciiTheme="majorHAnsi" w:eastAsia="Times New Roman" w:hAnsiTheme="majorHAnsi" w:cstheme="majorHAnsi"/>
                <w:b/>
                <w:bCs/>
                <w:sz w:val="20"/>
                <w:szCs w:val="22"/>
                <w:lang w:eastAsia="sk-SK"/>
              </w:rPr>
            </w:pPr>
          </w:p>
        </w:tc>
        <w:tc>
          <w:tcPr>
            <w:tcW w:w="568" w:type="dxa"/>
            <w:vMerge/>
            <w:tcBorders>
              <w:top w:val="nil"/>
              <w:left w:val="single" w:sz="4" w:space="0" w:color="auto"/>
              <w:bottom w:val="single" w:sz="4" w:space="0" w:color="000000"/>
              <w:right w:val="single" w:sz="4" w:space="0" w:color="auto"/>
            </w:tcBorders>
            <w:vAlign w:val="center"/>
            <w:hideMark/>
          </w:tcPr>
          <w:p w14:paraId="2F37FD5B" w14:textId="77777777" w:rsidR="00B3218B" w:rsidRPr="0053555E" w:rsidRDefault="00B3218B" w:rsidP="00324438">
            <w:pPr>
              <w:tabs>
                <w:tab w:val="left" w:pos="9356"/>
              </w:tabs>
              <w:jc w:val="both"/>
              <w:rPr>
                <w:rFonts w:asciiTheme="majorHAnsi" w:eastAsia="Times New Roman" w:hAnsiTheme="majorHAnsi" w:cstheme="majorHAnsi"/>
                <w:b/>
                <w:bCs/>
                <w:sz w:val="22"/>
                <w:szCs w:val="22"/>
                <w:lang w:eastAsia="sk-SK"/>
              </w:rPr>
            </w:pPr>
          </w:p>
        </w:tc>
        <w:tc>
          <w:tcPr>
            <w:tcW w:w="569" w:type="dxa"/>
            <w:vMerge/>
            <w:tcBorders>
              <w:top w:val="nil"/>
              <w:left w:val="single" w:sz="4" w:space="0" w:color="auto"/>
              <w:bottom w:val="single" w:sz="4" w:space="0" w:color="000000"/>
              <w:right w:val="single" w:sz="4" w:space="0" w:color="auto"/>
            </w:tcBorders>
            <w:vAlign w:val="center"/>
            <w:hideMark/>
          </w:tcPr>
          <w:p w14:paraId="11FF5BEF" w14:textId="77777777" w:rsidR="00B3218B" w:rsidRPr="0053555E" w:rsidRDefault="00B3218B" w:rsidP="00324438">
            <w:pPr>
              <w:tabs>
                <w:tab w:val="left" w:pos="9356"/>
              </w:tabs>
              <w:jc w:val="center"/>
              <w:rPr>
                <w:rFonts w:asciiTheme="majorHAnsi" w:eastAsia="Times New Roman" w:hAnsiTheme="majorHAnsi" w:cstheme="majorHAnsi"/>
                <w:b/>
                <w:bCs/>
                <w:sz w:val="22"/>
                <w:szCs w:val="22"/>
                <w:lang w:eastAsia="sk-SK"/>
              </w:rPr>
            </w:pPr>
          </w:p>
        </w:tc>
        <w:tc>
          <w:tcPr>
            <w:tcW w:w="709" w:type="dxa"/>
            <w:vMerge/>
            <w:tcBorders>
              <w:top w:val="nil"/>
              <w:left w:val="single" w:sz="4" w:space="0" w:color="auto"/>
              <w:bottom w:val="single" w:sz="4" w:space="0" w:color="000000"/>
              <w:right w:val="single" w:sz="4" w:space="0" w:color="auto"/>
            </w:tcBorders>
            <w:shd w:val="clear" w:color="auto" w:fill="EEECE1" w:themeFill="background2"/>
            <w:vAlign w:val="center"/>
            <w:hideMark/>
          </w:tcPr>
          <w:p w14:paraId="0C76AB6E" w14:textId="77777777" w:rsidR="00B3218B" w:rsidRPr="0053555E" w:rsidRDefault="00B3218B" w:rsidP="00324438">
            <w:pPr>
              <w:tabs>
                <w:tab w:val="left" w:pos="9356"/>
              </w:tabs>
              <w:jc w:val="center"/>
              <w:rPr>
                <w:rFonts w:asciiTheme="majorHAnsi" w:eastAsia="Times New Roman" w:hAnsiTheme="majorHAnsi" w:cstheme="majorHAnsi"/>
                <w:b/>
                <w:bCs/>
                <w:sz w:val="22"/>
                <w:szCs w:val="22"/>
                <w:lang w:eastAsia="sk-SK"/>
              </w:rPr>
            </w:pPr>
          </w:p>
        </w:tc>
        <w:tc>
          <w:tcPr>
            <w:tcW w:w="637" w:type="dxa"/>
            <w:vMerge/>
            <w:tcBorders>
              <w:top w:val="nil"/>
              <w:left w:val="single" w:sz="4" w:space="0" w:color="auto"/>
              <w:bottom w:val="single" w:sz="4" w:space="0" w:color="000000"/>
              <w:right w:val="single" w:sz="4" w:space="0" w:color="auto"/>
            </w:tcBorders>
            <w:vAlign w:val="center"/>
            <w:hideMark/>
          </w:tcPr>
          <w:p w14:paraId="3F9B5900" w14:textId="77777777" w:rsidR="00B3218B" w:rsidRPr="0053555E" w:rsidRDefault="00B3218B" w:rsidP="00324438">
            <w:pPr>
              <w:tabs>
                <w:tab w:val="left" w:pos="9356"/>
              </w:tabs>
              <w:jc w:val="center"/>
              <w:rPr>
                <w:rFonts w:asciiTheme="majorHAnsi" w:eastAsia="Times New Roman" w:hAnsiTheme="majorHAnsi" w:cstheme="majorHAnsi"/>
                <w:b/>
                <w:bCs/>
                <w:sz w:val="22"/>
                <w:szCs w:val="22"/>
                <w:lang w:eastAsia="sk-SK"/>
              </w:rPr>
            </w:pPr>
          </w:p>
        </w:tc>
        <w:tc>
          <w:tcPr>
            <w:tcW w:w="638" w:type="dxa"/>
            <w:vMerge/>
            <w:tcBorders>
              <w:top w:val="nil"/>
              <w:left w:val="single" w:sz="4" w:space="0" w:color="auto"/>
              <w:bottom w:val="single" w:sz="4" w:space="0" w:color="000000"/>
              <w:right w:val="single" w:sz="4" w:space="0" w:color="auto"/>
            </w:tcBorders>
            <w:vAlign w:val="center"/>
            <w:hideMark/>
          </w:tcPr>
          <w:p w14:paraId="45B23E20" w14:textId="77777777" w:rsidR="00B3218B" w:rsidRPr="0053555E" w:rsidRDefault="00B3218B" w:rsidP="00324438">
            <w:pPr>
              <w:tabs>
                <w:tab w:val="left" w:pos="9356"/>
              </w:tabs>
              <w:jc w:val="center"/>
              <w:rPr>
                <w:rFonts w:asciiTheme="majorHAnsi" w:eastAsia="Times New Roman" w:hAnsiTheme="majorHAnsi" w:cstheme="majorHAnsi"/>
                <w:b/>
                <w:bCs/>
                <w:sz w:val="22"/>
                <w:szCs w:val="22"/>
                <w:lang w:eastAsia="sk-SK"/>
              </w:rPr>
            </w:pPr>
          </w:p>
        </w:tc>
        <w:tc>
          <w:tcPr>
            <w:tcW w:w="709" w:type="dxa"/>
            <w:vMerge/>
            <w:tcBorders>
              <w:top w:val="nil"/>
              <w:left w:val="single" w:sz="4" w:space="0" w:color="auto"/>
              <w:bottom w:val="single" w:sz="4" w:space="0" w:color="000000"/>
              <w:right w:val="single" w:sz="4" w:space="0" w:color="auto"/>
            </w:tcBorders>
            <w:shd w:val="clear" w:color="auto" w:fill="EEECE1" w:themeFill="background2"/>
            <w:vAlign w:val="center"/>
            <w:hideMark/>
          </w:tcPr>
          <w:p w14:paraId="62062565" w14:textId="77777777" w:rsidR="00B3218B" w:rsidRPr="0053555E" w:rsidRDefault="00B3218B" w:rsidP="00324438">
            <w:pPr>
              <w:tabs>
                <w:tab w:val="left" w:pos="9356"/>
              </w:tabs>
              <w:jc w:val="center"/>
              <w:rPr>
                <w:rFonts w:asciiTheme="majorHAnsi" w:eastAsia="Times New Roman" w:hAnsiTheme="majorHAnsi" w:cstheme="majorHAnsi"/>
                <w:b/>
                <w:bCs/>
                <w:sz w:val="22"/>
                <w:szCs w:val="22"/>
                <w:lang w:eastAsia="sk-SK"/>
              </w:rPr>
            </w:pP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20D57061" w14:textId="77777777" w:rsidR="00B3218B" w:rsidRPr="0053555E" w:rsidRDefault="00B3218B" w:rsidP="00574BD9">
            <w:pPr>
              <w:tabs>
                <w:tab w:val="left" w:pos="9356"/>
              </w:tabs>
              <w:ind w:left="-54" w:right="-51" w:hanging="14"/>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 xml:space="preserve">na </w:t>
            </w:r>
            <w:r w:rsidR="00AF6CE3" w:rsidRPr="0053555E">
              <w:rPr>
                <w:rFonts w:asciiTheme="majorHAnsi" w:eastAsia="Times New Roman" w:hAnsiTheme="majorHAnsi" w:cstheme="majorHAnsi"/>
                <w:bCs/>
                <w:sz w:val="20"/>
                <w:szCs w:val="22"/>
                <w:lang w:eastAsia="sk-SK"/>
              </w:rPr>
              <w:t>fak</w:t>
            </w:r>
            <w:r w:rsidRPr="0053555E">
              <w:rPr>
                <w:rFonts w:asciiTheme="majorHAnsi" w:eastAsia="Times New Roman" w:hAnsiTheme="majorHAnsi" w:cstheme="majorHAnsi"/>
                <w:bCs/>
                <w:sz w:val="20"/>
                <w:szCs w:val="22"/>
                <w:lang w:eastAsia="sk-SK"/>
              </w:rPr>
              <w:t>ulte</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5072A" w14:textId="77777777" w:rsidR="00B3218B" w:rsidRPr="0053555E" w:rsidRDefault="00B3218B" w:rsidP="00324438">
            <w:pPr>
              <w:tabs>
                <w:tab w:val="left" w:pos="9356"/>
              </w:tabs>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EVI</w:t>
            </w:r>
          </w:p>
        </w:tc>
        <w:tc>
          <w:tcPr>
            <w:tcW w:w="709" w:type="dxa"/>
            <w:tcBorders>
              <w:top w:val="single" w:sz="4" w:space="0" w:color="auto"/>
              <w:left w:val="single" w:sz="4" w:space="0" w:color="auto"/>
              <w:bottom w:val="single" w:sz="4" w:space="0" w:color="auto"/>
              <w:right w:val="single" w:sz="4" w:space="0" w:color="auto"/>
            </w:tcBorders>
          </w:tcPr>
          <w:p w14:paraId="6E30AC7F" w14:textId="77777777" w:rsidR="00B3218B" w:rsidRPr="0053555E" w:rsidRDefault="00B3218B" w:rsidP="00324438">
            <w:pPr>
              <w:tabs>
                <w:tab w:val="left" w:pos="9356"/>
              </w:tabs>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z toho zahr.</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686F6" w14:textId="77777777" w:rsidR="00B3218B" w:rsidRPr="0053555E" w:rsidRDefault="00B3218B" w:rsidP="00574BD9">
            <w:pPr>
              <w:tabs>
                <w:tab w:val="left" w:pos="9356"/>
              </w:tabs>
              <w:ind w:left="-65" w:right="-30"/>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 xml:space="preserve">na </w:t>
            </w:r>
            <w:r w:rsidR="001E350F" w:rsidRPr="0053555E">
              <w:rPr>
                <w:rFonts w:asciiTheme="majorHAnsi" w:eastAsia="Times New Roman" w:hAnsiTheme="majorHAnsi" w:cstheme="majorHAnsi"/>
                <w:bCs/>
                <w:sz w:val="20"/>
                <w:szCs w:val="22"/>
                <w:lang w:eastAsia="sk-SK"/>
              </w:rPr>
              <w:t>fa</w:t>
            </w:r>
            <w:r w:rsidRPr="0053555E">
              <w:rPr>
                <w:rFonts w:asciiTheme="majorHAnsi" w:eastAsia="Times New Roman" w:hAnsiTheme="majorHAnsi" w:cstheme="majorHAnsi"/>
                <w:bCs/>
                <w:sz w:val="20"/>
                <w:szCs w:val="22"/>
                <w:lang w:eastAsia="sk-SK"/>
              </w:rPr>
              <w:t>kulte</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46AE6" w14:textId="77777777" w:rsidR="00B3218B" w:rsidRPr="0053555E" w:rsidRDefault="00B3218B" w:rsidP="00324438">
            <w:pPr>
              <w:tabs>
                <w:tab w:val="left" w:pos="9356"/>
              </w:tabs>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EVI</w:t>
            </w:r>
          </w:p>
        </w:tc>
        <w:tc>
          <w:tcPr>
            <w:tcW w:w="709" w:type="dxa"/>
            <w:tcBorders>
              <w:top w:val="single" w:sz="4" w:space="0" w:color="auto"/>
              <w:left w:val="single" w:sz="4" w:space="0" w:color="auto"/>
              <w:bottom w:val="single" w:sz="4" w:space="0" w:color="auto"/>
              <w:right w:val="single" w:sz="4" w:space="0" w:color="auto"/>
            </w:tcBorders>
          </w:tcPr>
          <w:p w14:paraId="3905EA19" w14:textId="77777777" w:rsidR="00B3218B" w:rsidRPr="0053555E" w:rsidRDefault="00B3218B" w:rsidP="00324438">
            <w:pPr>
              <w:tabs>
                <w:tab w:val="left" w:pos="9356"/>
              </w:tabs>
              <w:jc w:val="center"/>
              <w:rPr>
                <w:rFonts w:asciiTheme="majorHAnsi" w:eastAsia="Times New Roman" w:hAnsiTheme="majorHAnsi" w:cstheme="majorHAnsi"/>
                <w:bCs/>
                <w:sz w:val="20"/>
                <w:szCs w:val="22"/>
                <w:lang w:eastAsia="sk-SK"/>
              </w:rPr>
            </w:pPr>
            <w:r w:rsidRPr="0053555E">
              <w:rPr>
                <w:rFonts w:asciiTheme="majorHAnsi" w:eastAsia="Times New Roman" w:hAnsiTheme="majorHAnsi" w:cstheme="majorHAnsi"/>
                <w:bCs/>
                <w:sz w:val="20"/>
                <w:szCs w:val="22"/>
                <w:lang w:eastAsia="sk-SK"/>
              </w:rPr>
              <w:t>z toho zahr.</w:t>
            </w:r>
          </w:p>
        </w:tc>
        <w:tc>
          <w:tcPr>
            <w:tcW w:w="708" w:type="dxa"/>
            <w:vMerge/>
            <w:tcBorders>
              <w:left w:val="single" w:sz="4" w:space="0" w:color="auto"/>
              <w:bottom w:val="single" w:sz="4" w:space="0" w:color="auto"/>
              <w:right w:val="single" w:sz="4" w:space="0" w:color="auto"/>
            </w:tcBorders>
            <w:shd w:val="clear" w:color="auto" w:fill="EEECE1" w:themeFill="background2"/>
            <w:noWrap/>
            <w:vAlign w:val="center"/>
            <w:hideMark/>
          </w:tcPr>
          <w:p w14:paraId="32F29454" w14:textId="77777777" w:rsidR="00B3218B" w:rsidRPr="0053555E" w:rsidRDefault="00B3218B" w:rsidP="00324438">
            <w:pPr>
              <w:tabs>
                <w:tab w:val="left" w:pos="9356"/>
              </w:tabs>
              <w:jc w:val="center"/>
              <w:rPr>
                <w:rFonts w:asciiTheme="majorHAnsi" w:eastAsia="Times New Roman" w:hAnsiTheme="majorHAnsi" w:cstheme="majorHAnsi"/>
                <w:b/>
                <w:bCs/>
                <w:sz w:val="22"/>
                <w:szCs w:val="22"/>
                <w:lang w:eastAsia="sk-SK"/>
              </w:rPr>
            </w:pPr>
          </w:p>
        </w:tc>
      </w:tr>
      <w:tr w:rsidR="00E83BCE" w:rsidRPr="0053555E" w14:paraId="6BDC4564" w14:textId="77777777" w:rsidTr="00B03F04">
        <w:trPr>
          <w:trHeight w:val="2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3C9005CB" w14:textId="77777777" w:rsidR="00E83BCE" w:rsidRPr="0053555E" w:rsidRDefault="00E83BCE" w:rsidP="00E83BC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SvF</w:t>
            </w:r>
          </w:p>
        </w:tc>
        <w:tc>
          <w:tcPr>
            <w:tcW w:w="568" w:type="dxa"/>
            <w:tcBorders>
              <w:top w:val="nil"/>
              <w:left w:val="nil"/>
              <w:bottom w:val="single" w:sz="4" w:space="0" w:color="auto"/>
              <w:right w:val="single" w:sz="4" w:space="0" w:color="auto"/>
            </w:tcBorders>
            <w:shd w:val="clear" w:color="auto" w:fill="auto"/>
            <w:noWrap/>
            <w:vAlign w:val="bottom"/>
            <w:hideMark/>
          </w:tcPr>
          <w:p w14:paraId="7C3B105D" w14:textId="1CD56AD3" w:rsidR="00E83BCE" w:rsidRPr="0053555E" w:rsidRDefault="00E83BCE" w:rsidP="00E83BCE">
            <w:pPr>
              <w:jc w:val="center"/>
              <w:rPr>
                <w:rFonts w:asciiTheme="majorHAnsi" w:hAnsiTheme="majorHAnsi" w:cstheme="majorHAnsi"/>
                <w:sz w:val="22"/>
                <w:szCs w:val="20"/>
              </w:rPr>
            </w:pPr>
            <w:r w:rsidRPr="0053555E">
              <w:rPr>
                <w:rFonts w:cs="Calibri"/>
                <w:sz w:val="22"/>
                <w:szCs w:val="20"/>
              </w:rPr>
              <w:t>28</w:t>
            </w:r>
          </w:p>
        </w:tc>
        <w:tc>
          <w:tcPr>
            <w:tcW w:w="569" w:type="dxa"/>
            <w:tcBorders>
              <w:top w:val="nil"/>
              <w:left w:val="nil"/>
              <w:bottom w:val="single" w:sz="4" w:space="0" w:color="auto"/>
              <w:right w:val="single" w:sz="4" w:space="0" w:color="auto"/>
            </w:tcBorders>
            <w:shd w:val="clear" w:color="auto" w:fill="auto"/>
            <w:noWrap/>
            <w:vAlign w:val="bottom"/>
            <w:hideMark/>
          </w:tcPr>
          <w:p w14:paraId="00EFB4E7" w14:textId="5B629708" w:rsidR="00E83BCE" w:rsidRPr="0053555E" w:rsidRDefault="00E83BCE" w:rsidP="00E83BCE">
            <w:pPr>
              <w:jc w:val="center"/>
              <w:rPr>
                <w:rFonts w:asciiTheme="majorHAnsi" w:hAnsiTheme="majorHAnsi" w:cstheme="majorHAnsi"/>
                <w:sz w:val="22"/>
                <w:szCs w:val="20"/>
              </w:rPr>
            </w:pPr>
            <w:r w:rsidRPr="0053555E">
              <w:rPr>
                <w:rFonts w:cs="Calibri"/>
                <w:sz w:val="22"/>
                <w:szCs w:val="20"/>
              </w:rPr>
              <w:t>6</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06FBB1CD" w14:textId="3B5EF47C"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34</w:t>
            </w:r>
          </w:p>
        </w:tc>
        <w:tc>
          <w:tcPr>
            <w:tcW w:w="637" w:type="dxa"/>
            <w:tcBorders>
              <w:top w:val="nil"/>
              <w:left w:val="nil"/>
              <w:bottom w:val="single" w:sz="4" w:space="0" w:color="auto"/>
              <w:right w:val="single" w:sz="4" w:space="0" w:color="auto"/>
            </w:tcBorders>
            <w:shd w:val="clear" w:color="auto" w:fill="auto"/>
            <w:noWrap/>
            <w:vAlign w:val="bottom"/>
            <w:hideMark/>
          </w:tcPr>
          <w:p w14:paraId="00E0BB94" w14:textId="644BD860" w:rsidR="00E83BCE" w:rsidRPr="0053555E" w:rsidRDefault="00E83BCE" w:rsidP="00E83BCE">
            <w:pPr>
              <w:jc w:val="center"/>
              <w:rPr>
                <w:rFonts w:asciiTheme="majorHAnsi" w:hAnsiTheme="majorHAnsi" w:cstheme="majorHAnsi"/>
                <w:sz w:val="22"/>
                <w:szCs w:val="20"/>
              </w:rPr>
            </w:pPr>
            <w:r w:rsidRPr="0053555E">
              <w:rPr>
                <w:rFonts w:cs="Calibri"/>
                <w:sz w:val="22"/>
                <w:szCs w:val="20"/>
              </w:rPr>
              <w:t>23</w:t>
            </w:r>
          </w:p>
        </w:tc>
        <w:tc>
          <w:tcPr>
            <w:tcW w:w="638" w:type="dxa"/>
            <w:tcBorders>
              <w:top w:val="nil"/>
              <w:left w:val="nil"/>
              <w:bottom w:val="single" w:sz="4" w:space="0" w:color="auto"/>
              <w:right w:val="single" w:sz="4" w:space="0" w:color="auto"/>
            </w:tcBorders>
            <w:shd w:val="clear" w:color="auto" w:fill="auto"/>
            <w:noWrap/>
            <w:vAlign w:val="bottom"/>
            <w:hideMark/>
          </w:tcPr>
          <w:p w14:paraId="4888BAED" w14:textId="6818BE33" w:rsidR="00E83BCE" w:rsidRPr="0053555E" w:rsidRDefault="00E83BCE" w:rsidP="00E83BCE">
            <w:pPr>
              <w:jc w:val="center"/>
              <w:rPr>
                <w:rFonts w:asciiTheme="majorHAnsi" w:hAnsiTheme="majorHAnsi" w:cstheme="majorHAnsi"/>
                <w:sz w:val="22"/>
                <w:szCs w:val="20"/>
              </w:rPr>
            </w:pPr>
            <w:r w:rsidRPr="0053555E">
              <w:rPr>
                <w:rFonts w:cs="Calibri"/>
                <w:sz w:val="22"/>
                <w:szCs w:val="20"/>
              </w:rPr>
              <w:t>5</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4077E0FD" w14:textId="3EABD38B"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28</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14:paraId="51FF3129" w14:textId="73804E69" w:rsidR="00E83BCE" w:rsidRPr="0053555E" w:rsidRDefault="00E83BCE" w:rsidP="00E83BCE">
            <w:pPr>
              <w:jc w:val="center"/>
              <w:rPr>
                <w:rFonts w:asciiTheme="majorHAnsi" w:hAnsiTheme="majorHAnsi" w:cstheme="majorHAnsi"/>
                <w:sz w:val="22"/>
                <w:szCs w:val="20"/>
              </w:rPr>
            </w:pPr>
            <w:r w:rsidRPr="0053555E">
              <w:rPr>
                <w:rFonts w:cs="Calibri"/>
                <w:sz w:val="22"/>
                <w:szCs w:val="20"/>
              </w:rPr>
              <w:t>20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DD746" w14:textId="5261421D" w:rsidR="00E83BCE" w:rsidRPr="0053555E" w:rsidRDefault="00E83BCE" w:rsidP="00E83BCE">
            <w:pPr>
              <w:jc w:val="center"/>
              <w:rPr>
                <w:rFonts w:asciiTheme="majorHAnsi" w:hAnsiTheme="majorHAnsi" w:cstheme="majorHAnsi"/>
                <w:sz w:val="22"/>
                <w:szCs w:val="20"/>
              </w:rPr>
            </w:pPr>
            <w:r w:rsidRPr="0053555E">
              <w:rPr>
                <w:rFonts w:cs="Calibri"/>
                <w:sz w:val="22"/>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1C08690E" w14:textId="3AAEB016" w:rsidR="00E83BCE" w:rsidRPr="0053555E" w:rsidRDefault="00E83BCE" w:rsidP="00E83BCE">
            <w:pPr>
              <w:jc w:val="center"/>
              <w:rPr>
                <w:rFonts w:asciiTheme="majorHAnsi" w:hAnsiTheme="majorHAnsi" w:cstheme="majorHAnsi"/>
                <w:sz w:val="22"/>
                <w:szCs w:val="20"/>
              </w:rPr>
            </w:pPr>
            <w:r w:rsidRPr="0053555E">
              <w:rPr>
                <w:rFonts w:cs="Calibri"/>
                <w:sz w:val="22"/>
                <w:szCs w:val="20"/>
              </w:rPr>
              <w:t>5</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302A6" w14:textId="30C89C3E" w:rsidR="00E83BCE" w:rsidRPr="0053555E" w:rsidRDefault="00E83BCE" w:rsidP="00E83BCE">
            <w:pPr>
              <w:jc w:val="center"/>
              <w:rPr>
                <w:rFonts w:asciiTheme="majorHAnsi" w:hAnsiTheme="majorHAnsi" w:cstheme="majorHAnsi"/>
                <w:sz w:val="22"/>
                <w:szCs w:val="20"/>
              </w:rPr>
            </w:pPr>
            <w:r w:rsidRPr="0053555E">
              <w:rPr>
                <w:rFonts w:cs="Calibri"/>
                <w:sz w:val="22"/>
                <w:szCs w:val="20"/>
              </w:rPr>
              <w:t>4</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95580" w14:textId="0535739A" w:rsidR="00E83BCE" w:rsidRPr="0053555E" w:rsidRDefault="00E83BCE" w:rsidP="00E83BCE">
            <w:pPr>
              <w:jc w:val="center"/>
              <w:rPr>
                <w:rFonts w:asciiTheme="majorHAnsi" w:hAnsiTheme="majorHAnsi" w:cstheme="majorHAnsi"/>
                <w:sz w:val="22"/>
                <w:szCs w:val="20"/>
              </w:rPr>
            </w:pPr>
            <w:r w:rsidRPr="0053555E">
              <w:rPr>
                <w:rFonts w:cs="Calibri"/>
                <w:sz w:val="22"/>
                <w:szCs w:val="20"/>
              </w:rPr>
              <w:t> </w:t>
            </w:r>
          </w:p>
        </w:tc>
        <w:tc>
          <w:tcPr>
            <w:tcW w:w="709" w:type="dxa"/>
            <w:tcBorders>
              <w:top w:val="single" w:sz="4" w:space="0" w:color="auto"/>
              <w:left w:val="single" w:sz="4" w:space="0" w:color="auto"/>
              <w:bottom w:val="single" w:sz="4" w:space="0" w:color="auto"/>
              <w:right w:val="single" w:sz="4" w:space="0" w:color="auto"/>
            </w:tcBorders>
            <w:vAlign w:val="bottom"/>
          </w:tcPr>
          <w:p w14:paraId="50D1D602" w14:textId="22843FE3" w:rsidR="00E83BCE" w:rsidRPr="0053555E" w:rsidRDefault="00E83BCE" w:rsidP="00E83BCE">
            <w:pPr>
              <w:jc w:val="center"/>
              <w:rPr>
                <w:rFonts w:asciiTheme="majorHAnsi" w:hAnsiTheme="majorHAnsi" w:cstheme="majorHAnsi"/>
                <w:sz w:val="22"/>
                <w:szCs w:val="20"/>
              </w:rPr>
            </w:pPr>
            <w:r w:rsidRPr="0053555E">
              <w:rPr>
                <w:rFonts w:cs="Calibri"/>
                <w:sz w:val="22"/>
                <w:szCs w:val="20"/>
              </w:rPr>
              <w:t>1</w:t>
            </w:r>
          </w:p>
        </w:tc>
        <w:tc>
          <w:tcPr>
            <w:tcW w:w="70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1D0BE1A5" w14:textId="2CA827CE"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25</w:t>
            </w:r>
          </w:p>
        </w:tc>
      </w:tr>
      <w:tr w:rsidR="00E83BCE" w:rsidRPr="0053555E" w14:paraId="1748AE31" w14:textId="77777777" w:rsidTr="00B03F04">
        <w:trPr>
          <w:trHeight w:val="2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7C5EEDFB" w14:textId="77777777" w:rsidR="00E83BCE" w:rsidRPr="0053555E" w:rsidRDefault="00E83BCE" w:rsidP="00E83BC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SjF</w:t>
            </w:r>
          </w:p>
        </w:tc>
        <w:tc>
          <w:tcPr>
            <w:tcW w:w="568" w:type="dxa"/>
            <w:tcBorders>
              <w:top w:val="nil"/>
              <w:left w:val="nil"/>
              <w:bottom w:val="single" w:sz="4" w:space="0" w:color="auto"/>
              <w:right w:val="single" w:sz="4" w:space="0" w:color="auto"/>
            </w:tcBorders>
            <w:shd w:val="clear" w:color="auto" w:fill="auto"/>
            <w:noWrap/>
            <w:vAlign w:val="bottom"/>
            <w:hideMark/>
          </w:tcPr>
          <w:p w14:paraId="60DCC2AC" w14:textId="4119A456" w:rsidR="00E83BCE" w:rsidRPr="0053555E" w:rsidRDefault="00E83BCE" w:rsidP="00E83BCE">
            <w:pPr>
              <w:jc w:val="center"/>
              <w:rPr>
                <w:rFonts w:asciiTheme="majorHAnsi" w:hAnsiTheme="majorHAnsi" w:cstheme="majorHAnsi"/>
                <w:sz w:val="22"/>
                <w:szCs w:val="20"/>
              </w:rPr>
            </w:pPr>
            <w:r w:rsidRPr="0053555E">
              <w:rPr>
                <w:rFonts w:cs="Calibri"/>
                <w:sz w:val="22"/>
                <w:szCs w:val="20"/>
              </w:rPr>
              <w:t>13</w:t>
            </w:r>
          </w:p>
        </w:tc>
        <w:tc>
          <w:tcPr>
            <w:tcW w:w="569" w:type="dxa"/>
            <w:tcBorders>
              <w:top w:val="nil"/>
              <w:left w:val="nil"/>
              <w:bottom w:val="single" w:sz="4" w:space="0" w:color="auto"/>
              <w:right w:val="single" w:sz="4" w:space="0" w:color="auto"/>
            </w:tcBorders>
            <w:shd w:val="clear" w:color="auto" w:fill="auto"/>
            <w:noWrap/>
            <w:vAlign w:val="bottom"/>
            <w:hideMark/>
          </w:tcPr>
          <w:p w14:paraId="10253081" w14:textId="2BF56C94" w:rsidR="00E83BCE" w:rsidRPr="0053555E" w:rsidRDefault="00E83BCE" w:rsidP="00E83BCE">
            <w:pPr>
              <w:jc w:val="center"/>
              <w:rPr>
                <w:rFonts w:asciiTheme="majorHAnsi" w:hAnsiTheme="majorHAnsi" w:cstheme="majorHAnsi"/>
                <w:sz w:val="22"/>
                <w:szCs w:val="20"/>
              </w:rPr>
            </w:pPr>
            <w:r w:rsidRPr="0053555E">
              <w:rPr>
                <w:rFonts w:cs="Calibri"/>
                <w:sz w:val="22"/>
                <w:szCs w:val="20"/>
              </w:rPr>
              <w:t>7</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7DC28D8A" w14:textId="718C2C08"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20</w:t>
            </w:r>
          </w:p>
        </w:tc>
        <w:tc>
          <w:tcPr>
            <w:tcW w:w="637" w:type="dxa"/>
            <w:tcBorders>
              <w:top w:val="nil"/>
              <w:left w:val="nil"/>
              <w:bottom w:val="single" w:sz="4" w:space="0" w:color="auto"/>
              <w:right w:val="single" w:sz="4" w:space="0" w:color="auto"/>
            </w:tcBorders>
            <w:shd w:val="clear" w:color="auto" w:fill="auto"/>
            <w:noWrap/>
            <w:vAlign w:val="bottom"/>
            <w:hideMark/>
          </w:tcPr>
          <w:p w14:paraId="2BBCEEAE" w14:textId="7F81C30B" w:rsidR="00E83BCE" w:rsidRPr="0053555E" w:rsidRDefault="00E83BCE" w:rsidP="00E83BCE">
            <w:pPr>
              <w:jc w:val="center"/>
              <w:rPr>
                <w:rFonts w:asciiTheme="majorHAnsi" w:hAnsiTheme="majorHAnsi" w:cstheme="majorHAnsi"/>
                <w:sz w:val="22"/>
                <w:szCs w:val="20"/>
              </w:rPr>
            </w:pPr>
            <w:r w:rsidRPr="0053555E">
              <w:rPr>
                <w:rFonts w:cs="Calibri"/>
                <w:sz w:val="22"/>
                <w:szCs w:val="20"/>
              </w:rPr>
              <w:t>9</w:t>
            </w:r>
          </w:p>
        </w:tc>
        <w:tc>
          <w:tcPr>
            <w:tcW w:w="638" w:type="dxa"/>
            <w:tcBorders>
              <w:top w:val="nil"/>
              <w:left w:val="nil"/>
              <w:bottom w:val="single" w:sz="4" w:space="0" w:color="auto"/>
              <w:right w:val="single" w:sz="4" w:space="0" w:color="auto"/>
            </w:tcBorders>
            <w:shd w:val="clear" w:color="auto" w:fill="auto"/>
            <w:noWrap/>
            <w:vAlign w:val="bottom"/>
            <w:hideMark/>
          </w:tcPr>
          <w:p w14:paraId="0A1D5352" w14:textId="041D311B" w:rsidR="00E83BCE" w:rsidRPr="0053555E" w:rsidRDefault="00E83BCE" w:rsidP="00E83BCE">
            <w:pPr>
              <w:jc w:val="center"/>
              <w:rPr>
                <w:rFonts w:asciiTheme="majorHAnsi" w:hAnsiTheme="majorHAnsi" w:cstheme="majorHAnsi"/>
                <w:sz w:val="22"/>
                <w:szCs w:val="20"/>
              </w:rPr>
            </w:pPr>
            <w:r w:rsidRPr="0053555E">
              <w:rPr>
                <w:rFonts w:cs="Calibri"/>
                <w:sz w:val="22"/>
                <w:szCs w:val="20"/>
              </w:rPr>
              <w:t>6</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2212168E" w14:textId="453AABB3"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15</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14:paraId="2AF80E0B" w14:textId="1A4CADE5" w:rsidR="00E83BCE" w:rsidRPr="0053555E" w:rsidRDefault="00E83BCE" w:rsidP="00E83BCE">
            <w:pPr>
              <w:jc w:val="center"/>
              <w:rPr>
                <w:rFonts w:asciiTheme="majorHAnsi" w:hAnsiTheme="majorHAnsi" w:cstheme="majorHAnsi"/>
                <w:sz w:val="22"/>
                <w:szCs w:val="20"/>
              </w:rPr>
            </w:pPr>
            <w:r w:rsidRPr="0053555E">
              <w:rPr>
                <w:rFonts w:cs="Calibri"/>
                <w:sz w:val="22"/>
                <w:szCs w:val="20"/>
              </w:rPr>
              <w:t>6</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3F8847" w14:textId="4D0A2069" w:rsidR="00E83BCE" w:rsidRPr="0053555E" w:rsidRDefault="00E83BCE" w:rsidP="00E83BCE">
            <w:pPr>
              <w:jc w:val="center"/>
              <w:rPr>
                <w:rFonts w:asciiTheme="majorHAnsi" w:hAnsiTheme="majorHAnsi" w:cstheme="majorHAnsi"/>
                <w:sz w:val="22"/>
                <w:szCs w:val="20"/>
              </w:rPr>
            </w:pPr>
            <w:r w:rsidRPr="0053555E">
              <w:rPr>
                <w:rFonts w:cs="Calibri"/>
                <w:sz w:val="22"/>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655BBBD2" w14:textId="09B3114F" w:rsidR="00E83BCE" w:rsidRPr="0053555E" w:rsidRDefault="00E83BCE" w:rsidP="00E83BCE">
            <w:pPr>
              <w:jc w:val="center"/>
              <w:rPr>
                <w:rFonts w:asciiTheme="majorHAnsi" w:hAnsiTheme="majorHAnsi" w:cstheme="majorHAnsi"/>
                <w:sz w:val="22"/>
                <w:szCs w:val="20"/>
              </w:rPr>
            </w:pPr>
            <w:r w:rsidRPr="0053555E">
              <w:rPr>
                <w:rFonts w:cs="Calibri"/>
                <w:sz w:val="22"/>
                <w:szCs w:val="20"/>
              </w:rPr>
              <w:t>1</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151B1" w14:textId="1715113B" w:rsidR="00E83BCE" w:rsidRPr="0053555E" w:rsidRDefault="00E83BCE" w:rsidP="00E83BCE">
            <w:pPr>
              <w:jc w:val="center"/>
              <w:rPr>
                <w:rFonts w:asciiTheme="majorHAnsi" w:hAnsiTheme="majorHAnsi" w:cstheme="majorHAnsi"/>
                <w:sz w:val="22"/>
                <w:szCs w:val="20"/>
              </w:rPr>
            </w:pPr>
            <w:r w:rsidRPr="0053555E">
              <w:rPr>
                <w:rFonts w:cs="Calibri"/>
                <w:sz w:val="22"/>
                <w:szCs w:val="20"/>
              </w:rPr>
              <w:t>6</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7A414" w14:textId="016AEDC0" w:rsidR="00E83BCE" w:rsidRPr="0053555E" w:rsidRDefault="00E83BCE" w:rsidP="00E83BCE">
            <w:pPr>
              <w:jc w:val="center"/>
              <w:rPr>
                <w:rFonts w:asciiTheme="majorHAnsi" w:hAnsiTheme="majorHAnsi" w:cstheme="majorHAnsi"/>
                <w:sz w:val="22"/>
                <w:szCs w:val="20"/>
              </w:rPr>
            </w:pPr>
            <w:r w:rsidRPr="0053555E">
              <w:rPr>
                <w:rFonts w:cs="Calibri"/>
                <w:sz w:val="22"/>
                <w:szCs w:val="20"/>
              </w:rPr>
              <w:t> </w:t>
            </w:r>
          </w:p>
        </w:tc>
        <w:tc>
          <w:tcPr>
            <w:tcW w:w="709" w:type="dxa"/>
            <w:tcBorders>
              <w:top w:val="single" w:sz="4" w:space="0" w:color="auto"/>
              <w:left w:val="single" w:sz="4" w:space="0" w:color="auto"/>
              <w:bottom w:val="single" w:sz="4" w:space="0" w:color="auto"/>
              <w:right w:val="single" w:sz="4" w:space="0" w:color="auto"/>
            </w:tcBorders>
            <w:vAlign w:val="bottom"/>
          </w:tcPr>
          <w:p w14:paraId="488E769F" w14:textId="02430A29" w:rsidR="00E83BCE" w:rsidRPr="0053555E" w:rsidRDefault="00E83BCE" w:rsidP="00E83BCE">
            <w:pPr>
              <w:jc w:val="center"/>
              <w:rPr>
                <w:rFonts w:asciiTheme="majorHAnsi" w:hAnsiTheme="majorHAnsi" w:cstheme="majorHAnsi"/>
                <w:sz w:val="22"/>
                <w:szCs w:val="20"/>
              </w:rPr>
            </w:pPr>
            <w:r w:rsidRPr="0053555E">
              <w:rPr>
                <w:rFonts w:cs="Calibri"/>
                <w:sz w:val="22"/>
                <w:szCs w:val="20"/>
              </w:rPr>
              <w:t>4</w:t>
            </w:r>
          </w:p>
        </w:tc>
        <w:tc>
          <w:tcPr>
            <w:tcW w:w="70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1C69860F" w14:textId="78D756DF"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13</w:t>
            </w:r>
          </w:p>
        </w:tc>
      </w:tr>
      <w:tr w:rsidR="00E83BCE" w:rsidRPr="0053555E" w14:paraId="34603D5F" w14:textId="77777777" w:rsidTr="00B03F04">
        <w:trPr>
          <w:trHeight w:val="2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5A4F3EE1" w14:textId="77777777" w:rsidR="00E83BCE" w:rsidRPr="0053555E" w:rsidRDefault="00E83BCE" w:rsidP="00E83BC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FEI</w:t>
            </w:r>
          </w:p>
        </w:tc>
        <w:tc>
          <w:tcPr>
            <w:tcW w:w="568" w:type="dxa"/>
            <w:tcBorders>
              <w:top w:val="nil"/>
              <w:left w:val="nil"/>
              <w:bottom w:val="single" w:sz="4" w:space="0" w:color="auto"/>
              <w:right w:val="single" w:sz="4" w:space="0" w:color="auto"/>
            </w:tcBorders>
            <w:shd w:val="clear" w:color="auto" w:fill="auto"/>
            <w:noWrap/>
            <w:vAlign w:val="bottom"/>
            <w:hideMark/>
          </w:tcPr>
          <w:p w14:paraId="2D2C169B" w14:textId="638CDE5A" w:rsidR="00E83BCE" w:rsidRPr="0053555E" w:rsidRDefault="00E83BCE" w:rsidP="00E83BCE">
            <w:pPr>
              <w:jc w:val="center"/>
              <w:rPr>
                <w:rFonts w:asciiTheme="majorHAnsi" w:hAnsiTheme="majorHAnsi" w:cstheme="majorHAnsi"/>
                <w:sz w:val="22"/>
                <w:szCs w:val="20"/>
              </w:rPr>
            </w:pPr>
            <w:r w:rsidRPr="0053555E">
              <w:rPr>
                <w:rFonts w:cs="Calibri"/>
                <w:sz w:val="22"/>
                <w:szCs w:val="20"/>
              </w:rPr>
              <w:t>38</w:t>
            </w:r>
          </w:p>
        </w:tc>
        <w:tc>
          <w:tcPr>
            <w:tcW w:w="569" w:type="dxa"/>
            <w:tcBorders>
              <w:top w:val="nil"/>
              <w:left w:val="nil"/>
              <w:bottom w:val="single" w:sz="4" w:space="0" w:color="auto"/>
              <w:right w:val="single" w:sz="4" w:space="0" w:color="auto"/>
            </w:tcBorders>
            <w:shd w:val="clear" w:color="auto" w:fill="auto"/>
            <w:noWrap/>
            <w:vAlign w:val="bottom"/>
            <w:hideMark/>
          </w:tcPr>
          <w:p w14:paraId="0F6BFC1F" w14:textId="283BE257" w:rsidR="00E83BCE" w:rsidRPr="0053555E" w:rsidRDefault="00E83BCE" w:rsidP="00E83BCE">
            <w:pPr>
              <w:jc w:val="center"/>
              <w:rPr>
                <w:rFonts w:asciiTheme="majorHAnsi" w:hAnsiTheme="majorHAnsi" w:cstheme="majorHAnsi"/>
                <w:sz w:val="22"/>
                <w:szCs w:val="20"/>
              </w:rPr>
            </w:pPr>
            <w:r w:rsidRPr="0053555E">
              <w:rPr>
                <w:rFonts w:cs="Calibri"/>
                <w:sz w:val="22"/>
                <w:szCs w:val="20"/>
              </w:rPr>
              <w:t>12</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3CB3F380" w14:textId="32B1B725"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50</w:t>
            </w:r>
          </w:p>
        </w:tc>
        <w:tc>
          <w:tcPr>
            <w:tcW w:w="637" w:type="dxa"/>
            <w:tcBorders>
              <w:top w:val="nil"/>
              <w:left w:val="nil"/>
              <w:bottom w:val="single" w:sz="4" w:space="0" w:color="auto"/>
              <w:right w:val="single" w:sz="4" w:space="0" w:color="auto"/>
            </w:tcBorders>
            <w:shd w:val="clear" w:color="auto" w:fill="auto"/>
            <w:noWrap/>
            <w:vAlign w:val="bottom"/>
            <w:hideMark/>
          </w:tcPr>
          <w:p w14:paraId="5E913EDA" w14:textId="3320A198" w:rsidR="00E83BCE" w:rsidRPr="0053555E" w:rsidRDefault="00E83BCE" w:rsidP="00E83BCE">
            <w:pPr>
              <w:jc w:val="center"/>
              <w:rPr>
                <w:rFonts w:asciiTheme="majorHAnsi" w:hAnsiTheme="majorHAnsi" w:cstheme="majorHAnsi"/>
                <w:sz w:val="22"/>
                <w:szCs w:val="20"/>
              </w:rPr>
            </w:pPr>
            <w:r w:rsidRPr="0053555E">
              <w:rPr>
                <w:rFonts w:cs="Calibri"/>
                <w:sz w:val="22"/>
                <w:szCs w:val="20"/>
              </w:rPr>
              <w:t>34</w:t>
            </w:r>
          </w:p>
        </w:tc>
        <w:tc>
          <w:tcPr>
            <w:tcW w:w="638" w:type="dxa"/>
            <w:tcBorders>
              <w:top w:val="nil"/>
              <w:left w:val="nil"/>
              <w:bottom w:val="single" w:sz="4" w:space="0" w:color="auto"/>
              <w:right w:val="single" w:sz="4" w:space="0" w:color="auto"/>
            </w:tcBorders>
            <w:shd w:val="clear" w:color="auto" w:fill="auto"/>
            <w:noWrap/>
            <w:vAlign w:val="bottom"/>
            <w:hideMark/>
          </w:tcPr>
          <w:p w14:paraId="05252ABC" w14:textId="17AD61CD" w:rsidR="00E83BCE" w:rsidRPr="0053555E" w:rsidRDefault="00E83BCE" w:rsidP="00E83BCE">
            <w:pPr>
              <w:jc w:val="center"/>
              <w:rPr>
                <w:rFonts w:asciiTheme="majorHAnsi" w:hAnsiTheme="majorHAnsi" w:cstheme="majorHAnsi"/>
                <w:sz w:val="22"/>
                <w:szCs w:val="20"/>
              </w:rPr>
            </w:pPr>
            <w:r w:rsidRPr="0053555E">
              <w:rPr>
                <w:rFonts w:cs="Calibri"/>
                <w:sz w:val="22"/>
                <w:szCs w:val="20"/>
              </w:rPr>
              <w:t>11</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7DE5133C" w14:textId="651B26FA"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45</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14:paraId="581FD3B1" w14:textId="41044D82" w:rsidR="00E83BCE" w:rsidRPr="0053555E" w:rsidRDefault="00E83BCE" w:rsidP="00E83BCE">
            <w:pPr>
              <w:jc w:val="center"/>
              <w:rPr>
                <w:rFonts w:asciiTheme="majorHAnsi" w:hAnsiTheme="majorHAnsi" w:cstheme="majorHAnsi"/>
                <w:sz w:val="22"/>
                <w:szCs w:val="20"/>
              </w:rPr>
            </w:pPr>
            <w:r w:rsidRPr="0053555E">
              <w:rPr>
                <w:rFonts w:cs="Calibri"/>
                <w:sz w:val="22"/>
                <w:szCs w:val="20"/>
              </w:rPr>
              <w:t>26</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9008C" w14:textId="6DD0FD6A" w:rsidR="00E83BCE" w:rsidRPr="0053555E" w:rsidRDefault="00E83BCE" w:rsidP="00E83BCE">
            <w:pPr>
              <w:jc w:val="center"/>
              <w:rPr>
                <w:rFonts w:asciiTheme="majorHAnsi" w:hAnsiTheme="majorHAnsi" w:cstheme="majorHAnsi"/>
                <w:sz w:val="22"/>
                <w:szCs w:val="20"/>
              </w:rPr>
            </w:pPr>
            <w:r w:rsidRPr="0053555E">
              <w:rPr>
                <w:rFonts w:cs="Calibri"/>
                <w:sz w:val="22"/>
                <w:szCs w:val="20"/>
              </w:rPr>
              <w:t>4</w:t>
            </w:r>
          </w:p>
        </w:tc>
        <w:tc>
          <w:tcPr>
            <w:tcW w:w="709" w:type="dxa"/>
            <w:tcBorders>
              <w:top w:val="single" w:sz="4" w:space="0" w:color="auto"/>
              <w:left w:val="single" w:sz="4" w:space="0" w:color="auto"/>
              <w:bottom w:val="single" w:sz="4" w:space="0" w:color="auto"/>
              <w:right w:val="single" w:sz="4" w:space="0" w:color="auto"/>
            </w:tcBorders>
            <w:vAlign w:val="bottom"/>
          </w:tcPr>
          <w:p w14:paraId="6C66CD21" w14:textId="04B5DB02" w:rsidR="00E83BCE" w:rsidRPr="0053555E" w:rsidRDefault="00E83BCE" w:rsidP="00E83BCE">
            <w:pPr>
              <w:jc w:val="center"/>
              <w:rPr>
                <w:rFonts w:asciiTheme="majorHAnsi" w:hAnsiTheme="majorHAnsi" w:cstheme="majorHAnsi"/>
                <w:sz w:val="22"/>
                <w:szCs w:val="20"/>
              </w:rPr>
            </w:pPr>
            <w:r w:rsidRPr="0053555E">
              <w:rPr>
                <w:rFonts w:cs="Calibri"/>
                <w:sz w:val="22"/>
                <w:szCs w:val="20"/>
              </w:rPr>
              <w:t>6</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855C3" w14:textId="3503C98F" w:rsidR="00E83BCE" w:rsidRPr="0053555E" w:rsidRDefault="00E83BCE" w:rsidP="00E83BCE">
            <w:pPr>
              <w:jc w:val="center"/>
              <w:rPr>
                <w:rFonts w:asciiTheme="majorHAnsi" w:hAnsiTheme="majorHAnsi" w:cstheme="majorHAnsi"/>
                <w:sz w:val="22"/>
                <w:szCs w:val="20"/>
              </w:rPr>
            </w:pPr>
            <w:bookmarkStart w:id="118" w:name="RANGE!K7"/>
            <w:r w:rsidRPr="0053555E">
              <w:rPr>
                <w:rFonts w:cs="Calibri"/>
                <w:sz w:val="22"/>
                <w:szCs w:val="20"/>
              </w:rPr>
              <w:t>9</w:t>
            </w:r>
            <w:bookmarkEnd w:id="118"/>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EED8A" w14:textId="6D1CAEDB" w:rsidR="00E83BCE" w:rsidRPr="0053555E" w:rsidRDefault="00E83BCE" w:rsidP="00E83BCE">
            <w:pPr>
              <w:jc w:val="center"/>
              <w:rPr>
                <w:rFonts w:asciiTheme="majorHAnsi" w:hAnsiTheme="majorHAnsi" w:cstheme="majorHAnsi"/>
                <w:sz w:val="22"/>
                <w:szCs w:val="20"/>
              </w:rPr>
            </w:pPr>
            <w:r w:rsidRPr="0053555E">
              <w:rPr>
                <w:rFonts w:cs="Calibri"/>
                <w:sz w:val="22"/>
                <w:szCs w:val="20"/>
              </w:rPr>
              <w:t> </w:t>
            </w:r>
          </w:p>
        </w:tc>
        <w:tc>
          <w:tcPr>
            <w:tcW w:w="709" w:type="dxa"/>
            <w:tcBorders>
              <w:top w:val="single" w:sz="4" w:space="0" w:color="auto"/>
              <w:left w:val="single" w:sz="4" w:space="0" w:color="auto"/>
              <w:bottom w:val="single" w:sz="4" w:space="0" w:color="auto"/>
              <w:right w:val="single" w:sz="4" w:space="0" w:color="auto"/>
            </w:tcBorders>
            <w:vAlign w:val="bottom"/>
          </w:tcPr>
          <w:p w14:paraId="30CB767D" w14:textId="724E0FE5" w:rsidR="00E83BCE" w:rsidRPr="0053555E" w:rsidRDefault="00E83BCE" w:rsidP="00E83BCE">
            <w:pPr>
              <w:jc w:val="center"/>
              <w:rPr>
                <w:rFonts w:asciiTheme="majorHAnsi" w:hAnsiTheme="majorHAnsi" w:cstheme="majorHAnsi"/>
                <w:sz w:val="22"/>
                <w:szCs w:val="20"/>
              </w:rPr>
            </w:pPr>
            <w:r w:rsidRPr="0053555E">
              <w:rPr>
                <w:rFonts w:cs="Calibri"/>
                <w:sz w:val="22"/>
                <w:szCs w:val="20"/>
              </w:rPr>
              <w:t>0</w:t>
            </w:r>
          </w:p>
        </w:tc>
        <w:tc>
          <w:tcPr>
            <w:tcW w:w="70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088D6B76" w14:textId="0F7BF8C3"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39</w:t>
            </w:r>
          </w:p>
        </w:tc>
      </w:tr>
      <w:tr w:rsidR="00E83BCE" w:rsidRPr="0053555E" w14:paraId="54D0D1F1" w14:textId="77777777" w:rsidTr="00B03F04">
        <w:trPr>
          <w:trHeight w:val="2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6B1F457E" w14:textId="77777777" w:rsidR="00E83BCE" w:rsidRPr="0053555E" w:rsidRDefault="00E83BCE" w:rsidP="00E83BC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FCHPT</w:t>
            </w:r>
          </w:p>
        </w:tc>
        <w:tc>
          <w:tcPr>
            <w:tcW w:w="568" w:type="dxa"/>
            <w:tcBorders>
              <w:top w:val="nil"/>
              <w:left w:val="nil"/>
              <w:bottom w:val="single" w:sz="4" w:space="0" w:color="auto"/>
              <w:right w:val="single" w:sz="4" w:space="0" w:color="auto"/>
            </w:tcBorders>
            <w:shd w:val="clear" w:color="auto" w:fill="auto"/>
            <w:noWrap/>
            <w:vAlign w:val="bottom"/>
            <w:hideMark/>
          </w:tcPr>
          <w:p w14:paraId="29B9E6C4" w14:textId="6C1962F2" w:rsidR="00E83BCE" w:rsidRPr="0053555E" w:rsidRDefault="00E83BCE" w:rsidP="00E83BCE">
            <w:pPr>
              <w:jc w:val="center"/>
              <w:rPr>
                <w:rFonts w:asciiTheme="majorHAnsi" w:hAnsiTheme="majorHAnsi" w:cstheme="majorHAnsi"/>
                <w:sz w:val="22"/>
                <w:szCs w:val="20"/>
              </w:rPr>
            </w:pPr>
            <w:r w:rsidRPr="0053555E">
              <w:rPr>
                <w:rFonts w:cs="Calibri"/>
                <w:sz w:val="22"/>
                <w:szCs w:val="20"/>
              </w:rPr>
              <w:t>60</w:t>
            </w:r>
          </w:p>
        </w:tc>
        <w:tc>
          <w:tcPr>
            <w:tcW w:w="569" w:type="dxa"/>
            <w:tcBorders>
              <w:top w:val="nil"/>
              <w:left w:val="nil"/>
              <w:bottom w:val="single" w:sz="4" w:space="0" w:color="auto"/>
              <w:right w:val="single" w:sz="4" w:space="0" w:color="auto"/>
            </w:tcBorders>
            <w:shd w:val="clear" w:color="auto" w:fill="auto"/>
            <w:noWrap/>
            <w:vAlign w:val="bottom"/>
            <w:hideMark/>
          </w:tcPr>
          <w:p w14:paraId="5BD6A792" w14:textId="034F0501" w:rsidR="00E83BCE" w:rsidRPr="0053555E" w:rsidRDefault="00E83BCE" w:rsidP="00E83BCE">
            <w:pPr>
              <w:jc w:val="center"/>
              <w:rPr>
                <w:rFonts w:asciiTheme="majorHAnsi" w:hAnsiTheme="majorHAnsi" w:cstheme="majorHAnsi"/>
                <w:sz w:val="22"/>
                <w:szCs w:val="20"/>
              </w:rPr>
            </w:pPr>
            <w:r w:rsidRPr="0053555E">
              <w:rPr>
                <w:rFonts w:cs="Calibri"/>
                <w:sz w:val="22"/>
                <w:szCs w:val="20"/>
              </w:rPr>
              <w:t>7</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54E778FC" w14:textId="7F378964"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67</w:t>
            </w:r>
          </w:p>
        </w:tc>
        <w:tc>
          <w:tcPr>
            <w:tcW w:w="637" w:type="dxa"/>
            <w:tcBorders>
              <w:top w:val="nil"/>
              <w:left w:val="nil"/>
              <w:bottom w:val="single" w:sz="4" w:space="0" w:color="auto"/>
              <w:right w:val="single" w:sz="4" w:space="0" w:color="auto"/>
            </w:tcBorders>
            <w:shd w:val="clear" w:color="auto" w:fill="auto"/>
            <w:noWrap/>
            <w:vAlign w:val="bottom"/>
            <w:hideMark/>
          </w:tcPr>
          <w:p w14:paraId="4F19396E" w14:textId="3686E7BA" w:rsidR="00E83BCE" w:rsidRPr="0053555E" w:rsidRDefault="00E83BCE" w:rsidP="00E83BCE">
            <w:pPr>
              <w:jc w:val="center"/>
              <w:rPr>
                <w:rFonts w:asciiTheme="majorHAnsi" w:hAnsiTheme="majorHAnsi" w:cstheme="majorHAnsi"/>
                <w:sz w:val="22"/>
                <w:szCs w:val="20"/>
              </w:rPr>
            </w:pPr>
            <w:r w:rsidRPr="0053555E">
              <w:rPr>
                <w:rFonts w:cs="Calibri"/>
                <w:sz w:val="22"/>
                <w:szCs w:val="20"/>
              </w:rPr>
              <w:t>43</w:t>
            </w:r>
          </w:p>
        </w:tc>
        <w:tc>
          <w:tcPr>
            <w:tcW w:w="638" w:type="dxa"/>
            <w:tcBorders>
              <w:top w:val="nil"/>
              <w:left w:val="nil"/>
              <w:bottom w:val="single" w:sz="4" w:space="0" w:color="auto"/>
              <w:right w:val="single" w:sz="4" w:space="0" w:color="auto"/>
            </w:tcBorders>
            <w:shd w:val="clear" w:color="auto" w:fill="auto"/>
            <w:noWrap/>
            <w:vAlign w:val="bottom"/>
            <w:hideMark/>
          </w:tcPr>
          <w:p w14:paraId="15BD21A8" w14:textId="44B1CEE1" w:rsidR="00E83BCE" w:rsidRPr="0053555E" w:rsidRDefault="00E83BCE" w:rsidP="00E83BCE">
            <w:pPr>
              <w:jc w:val="center"/>
              <w:rPr>
                <w:rFonts w:asciiTheme="majorHAnsi" w:hAnsiTheme="majorHAnsi" w:cstheme="majorHAnsi"/>
                <w:sz w:val="22"/>
                <w:szCs w:val="20"/>
              </w:rPr>
            </w:pPr>
            <w:r w:rsidRPr="0053555E">
              <w:rPr>
                <w:rFonts w:cs="Calibri"/>
                <w:sz w:val="22"/>
                <w:szCs w:val="20"/>
              </w:rPr>
              <w:t>6</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13C0E4B4" w14:textId="4A58B50B"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49</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14:paraId="6A12897B" w14:textId="7D6730DC" w:rsidR="00E83BCE" w:rsidRPr="0053555E" w:rsidRDefault="00E83BCE" w:rsidP="00E83BCE">
            <w:pPr>
              <w:jc w:val="center"/>
              <w:rPr>
                <w:rFonts w:asciiTheme="majorHAnsi" w:hAnsiTheme="majorHAnsi" w:cstheme="majorHAnsi"/>
                <w:sz w:val="22"/>
                <w:szCs w:val="20"/>
              </w:rPr>
            </w:pPr>
            <w:r w:rsidRPr="0053555E">
              <w:rPr>
                <w:rFonts w:cs="Calibri"/>
                <w:sz w:val="22"/>
                <w:szCs w:val="20"/>
              </w:rPr>
              <w:t>30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12772" w14:textId="42F51AC4" w:rsidR="00E83BCE" w:rsidRPr="0053555E" w:rsidRDefault="00E83BCE" w:rsidP="00E83BCE">
            <w:pPr>
              <w:jc w:val="center"/>
              <w:rPr>
                <w:rFonts w:asciiTheme="majorHAnsi" w:hAnsiTheme="majorHAnsi" w:cstheme="majorHAnsi"/>
                <w:sz w:val="22"/>
                <w:szCs w:val="20"/>
              </w:rPr>
            </w:pPr>
            <w:r w:rsidRPr="0053555E">
              <w:rPr>
                <w:rFonts w:cs="Calibri"/>
                <w:sz w:val="22"/>
                <w:szCs w:val="20"/>
              </w:rPr>
              <w:t>8</w:t>
            </w:r>
          </w:p>
        </w:tc>
        <w:tc>
          <w:tcPr>
            <w:tcW w:w="709" w:type="dxa"/>
            <w:tcBorders>
              <w:top w:val="single" w:sz="4" w:space="0" w:color="auto"/>
              <w:left w:val="single" w:sz="4" w:space="0" w:color="auto"/>
              <w:bottom w:val="single" w:sz="4" w:space="0" w:color="auto"/>
              <w:right w:val="single" w:sz="4" w:space="0" w:color="auto"/>
            </w:tcBorders>
            <w:vAlign w:val="bottom"/>
          </w:tcPr>
          <w:p w14:paraId="4CC3329B" w14:textId="2C953E9D" w:rsidR="00E83BCE" w:rsidRPr="0053555E" w:rsidRDefault="00E83BCE" w:rsidP="00E83BCE">
            <w:pPr>
              <w:jc w:val="center"/>
              <w:rPr>
                <w:rFonts w:asciiTheme="majorHAnsi" w:hAnsiTheme="majorHAnsi" w:cstheme="majorHAnsi"/>
                <w:sz w:val="22"/>
                <w:szCs w:val="20"/>
              </w:rPr>
            </w:pPr>
            <w:r w:rsidRPr="0053555E">
              <w:rPr>
                <w:rFonts w:cs="Calibri"/>
                <w:sz w:val="22"/>
                <w:szCs w:val="20"/>
              </w:rPr>
              <w:t>4</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93740" w14:textId="4FA47087" w:rsidR="00E83BCE" w:rsidRPr="0053555E" w:rsidRDefault="00E83BCE" w:rsidP="00E83BCE">
            <w:pPr>
              <w:jc w:val="center"/>
              <w:rPr>
                <w:rFonts w:asciiTheme="majorHAnsi" w:hAnsiTheme="majorHAnsi" w:cstheme="majorHAnsi"/>
                <w:sz w:val="22"/>
                <w:szCs w:val="20"/>
              </w:rPr>
            </w:pPr>
            <w:r w:rsidRPr="0053555E">
              <w:rPr>
                <w:rFonts w:cs="Calibri"/>
                <w:sz w:val="22"/>
                <w:szCs w:val="20"/>
              </w:rPr>
              <w:t>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99561" w14:textId="6132BE87" w:rsidR="00E83BCE" w:rsidRPr="0053555E" w:rsidRDefault="00E83BCE" w:rsidP="00E83BCE">
            <w:pPr>
              <w:jc w:val="center"/>
              <w:rPr>
                <w:rFonts w:asciiTheme="majorHAnsi" w:hAnsiTheme="majorHAnsi" w:cstheme="majorHAnsi"/>
                <w:sz w:val="22"/>
                <w:szCs w:val="20"/>
              </w:rPr>
            </w:pPr>
            <w:r w:rsidRPr="0053555E">
              <w:rPr>
                <w:rFonts w:cs="Calibri"/>
                <w:sz w:val="22"/>
                <w:szCs w:val="20"/>
              </w:rPr>
              <w:t>3</w:t>
            </w:r>
          </w:p>
        </w:tc>
        <w:tc>
          <w:tcPr>
            <w:tcW w:w="709" w:type="dxa"/>
            <w:tcBorders>
              <w:top w:val="single" w:sz="4" w:space="0" w:color="auto"/>
              <w:left w:val="single" w:sz="4" w:space="0" w:color="auto"/>
              <w:bottom w:val="single" w:sz="4" w:space="0" w:color="auto"/>
              <w:right w:val="single" w:sz="4" w:space="0" w:color="auto"/>
            </w:tcBorders>
            <w:vAlign w:val="bottom"/>
          </w:tcPr>
          <w:p w14:paraId="21F458EC" w14:textId="68989E26" w:rsidR="00E83BCE" w:rsidRPr="0053555E" w:rsidRDefault="00E83BCE" w:rsidP="00E83BCE">
            <w:pPr>
              <w:jc w:val="center"/>
              <w:rPr>
                <w:rFonts w:asciiTheme="majorHAnsi" w:hAnsiTheme="majorHAnsi" w:cstheme="majorHAnsi"/>
                <w:sz w:val="22"/>
                <w:szCs w:val="20"/>
              </w:rPr>
            </w:pPr>
            <w:r w:rsidRPr="0053555E">
              <w:rPr>
                <w:rFonts w:cs="Calibri"/>
                <w:sz w:val="22"/>
                <w:szCs w:val="20"/>
              </w:rPr>
              <w:t>0</w:t>
            </w:r>
          </w:p>
        </w:tc>
        <w:tc>
          <w:tcPr>
            <w:tcW w:w="70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36040F6E" w14:textId="65A6D76E"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44</w:t>
            </w:r>
          </w:p>
        </w:tc>
      </w:tr>
      <w:tr w:rsidR="00E83BCE" w:rsidRPr="0053555E" w14:paraId="7B6837E4" w14:textId="77777777" w:rsidTr="00B03F04">
        <w:trPr>
          <w:trHeight w:val="2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6A12E25D" w14:textId="77777777" w:rsidR="00E83BCE" w:rsidRPr="0053555E" w:rsidRDefault="00E83BCE" w:rsidP="00E83BC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FAD</w:t>
            </w:r>
          </w:p>
        </w:tc>
        <w:tc>
          <w:tcPr>
            <w:tcW w:w="568" w:type="dxa"/>
            <w:tcBorders>
              <w:top w:val="nil"/>
              <w:left w:val="nil"/>
              <w:bottom w:val="single" w:sz="4" w:space="0" w:color="auto"/>
              <w:right w:val="single" w:sz="4" w:space="0" w:color="auto"/>
            </w:tcBorders>
            <w:shd w:val="clear" w:color="auto" w:fill="auto"/>
            <w:noWrap/>
            <w:vAlign w:val="bottom"/>
            <w:hideMark/>
          </w:tcPr>
          <w:p w14:paraId="7183057D" w14:textId="3A0AC205" w:rsidR="00E83BCE" w:rsidRPr="0053555E" w:rsidRDefault="00E83BCE" w:rsidP="00E83BCE">
            <w:pPr>
              <w:jc w:val="center"/>
              <w:rPr>
                <w:rFonts w:asciiTheme="majorHAnsi" w:hAnsiTheme="majorHAnsi" w:cstheme="majorHAnsi"/>
                <w:sz w:val="22"/>
                <w:szCs w:val="20"/>
              </w:rPr>
            </w:pPr>
            <w:r w:rsidRPr="0053555E">
              <w:rPr>
                <w:rFonts w:cs="Calibri"/>
                <w:sz w:val="22"/>
                <w:szCs w:val="20"/>
              </w:rPr>
              <w:t>15</w:t>
            </w:r>
          </w:p>
        </w:tc>
        <w:tc>
          <w:tcPr>
            <w:tcW w:w="569" w:type="dxa"/>
            <w:tcBorders>
              <w:top w:val="nil"/>
              <w:left w:val="nil"/>
              <w:bottom w:val="single" w:sz="4" w:space="0" w:color="auto"/>
              <w:right w:val="single" w:sz="4" w:space="0" w:color="auto"/>
            </w:tcBorders>
            <w:shd w:val="clear" w:color="auto" w:fill="auto"/>
            <w:noWrap/>
            <w:vAlign w:val="bottom"/>
            <w:hideMark/>
          </w:tcPr>
          <w:p w14:paraId="4A768857" w14:textId="31D58F9B" w:rsidR="00E83BCE" w:rsidRPr="0053555E" w:rsidRDefault="00E83BCE" w:rsidP="00E83BCE">
            <w:pPr>
              <w:jc w:val="center"/>
              <w:rPr>
                <w:rFonts w:asciiTheme="majorHAnsi" w:hAnsiTheme="majorHAnsi" w:cstheme="majorHAnsi"/>
                <w:sz w:val="22"/>
                <w:szCs w:val="20"/>
              </w:rPr>
            </w:pPr>
            <w:r w:rsidRPr="0053555E">
              <w:rPr>
                <w:rFonts w:cs="Calibri"/>
                <w:sz w:val="22"/>
                <w:szCs w:val="20"/>
              </w:rPr>
              <w:t>3</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40595C3B" w14:textId="4D355C2F"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18</w:t>
            </w:r>
          </w:p>
        </w:tc>
        <w:tc>
          <w:tcPr>
            <w:tcW w:w="637" w:type="dxa"/>
            <w:tcBorders>
              <w:top w:val="nil"/>
              <w:left w:val="nil"/>
              <w:bottom w:val="single" w:sz="4" w:space="0" w:color="auto"/>
              <w:right w:val="single" w:sz="4" w:space="0" w:color="auto"/>
            </w:tcBorders>
            <w:shd w:val="clear" w:color="auto" w:fill="auto"/>
            <w:noWrap/>
            <w:vAlign w:val="bottom"/>
            <w:hideMark/>
          </w:tcPr>
          <w:p w14:paraId="3F34091E" w14:textId="0F3AD9DA" w:rsidR="00E83BCE" w:rsidRPr="0053555E" w:rsidRDefault="00E83BCE" w:rsidP="00E83BCE">
            <w:pPr>
              <w:jc w:val="center"/>
              <w:rPr>
                <w:rFonts w:asciiTheme="majorHAnsi" w:hAnsiTheme="majorHAnsi" w:cstheme="majorHAnsi"/>
                <w:sz w:val="22"/>
                <w:szCs w:val="20"/>
              </w:rPr>
            </w:pPr>
            <w:r w:rsidRPr="0053555E">
              <w:rPr>
                <w:rFonts w:cs="Calibri"/>
                <w:sz w:val="22"/>
                <w:szCs w:val="20"/>
              </w:rPr>
              <w:t>8</w:t>
            </w:r>
          </w:p>
        </w:tc>
        <w:tc>
          <w:tcPr>
            <w:tcW w:w="638" w:type="dxa"/>
            <w:tcBorders>
              <w:top w:val="nil"/>
              <w:left w:val="nil"/>
              <w:bottom w:val="single" w:sz="4" w:space="0" w:color="auto"/>
              <w:right w:val="single" w:sz="4" w:space="0" w:color="auto"/>
            </w:tcBorders>
            <w:shd w:val="clear" w:color="auto" w:fill="auto"/>
            <w:noWrap/>
            <w:vAlign w:val="bottom"/>
            <w:hideMark/>
          </w:tcPr>
          <w:p w14:paraId="4A4E9AE4" w14:textId="0715C71B" w:rsidR="00E83BCE" w:rsidRPr="0053555E" w:rsidRDefault="00E83BCE" w:rsidP="00E83BCE">
            <w:pPr>
              <w:jc w:val="center"/>
              <w:rPr>
                <w:rFonts w:asciiTheme="majorHAnsi" w:hAnsiTheme="majorHAnsi" w:cstheme="majorHAnsi"/>
                <w:sz w:val="22"/>
                <w:szCs w:val="20"/>
              </w:rPr>
            </w:pPr>
            <w:r w:rsidRPr="0053555E">
              <w:rPr>
                <w:rFonts w:cs="Calibri"/>
                <w:sz w:val="22"/>
                <w:szCs w:val="20"/>
              </w:rPr>
              <w:t>1</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4498F23F" w14:textId="0996E3AD"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9</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14:paraId="3A92376C" w14:textId="0126B7D7" w:rsidR="00E83BCE" w:rsidRPr="0053555E" w:rsidRDefault="00E83BCE" w:rsidP="00E83BCE">
            <w:pPr>
              <w:jc w:val="center"/>
              <w:rPr>
                <w:rFonts w:asciiTheme="majorHAnsi" w:hAnsiTheme="majorHAnsi" w:cstheme="majorHAnsi"/>
                <w:sz w:val="22"/>
                <w:szCs w:val="20"/>
              </w:rPr>
            </w:pPr>
            <w:r w:rsidRPr="0053555E">
              <w:rPr>
                <w:rFonts w:cs="Calibri"/>
                <w:sz w:val="22"/>
                <w:szCs w:val="20"/>
              </w:rPr>
              <w:t>7</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651097" w14:textId="2C5E2237" w:rsidR="00E83BCE" w:rsidRPr="0053555E" w:rsidRDefault="00E83BCE" w:rsidP="00E83BCE">
            <w:pPr>
              <w:jc w:val="center"/>
              <w:rPr>
                <w:rFonts w:asciiTheme="majorHAnsi" w:hAnsiTheme="majorHAnsi" w:cstheme="majorHAnsi"/>
                <w:sz w:val="22"/>
                <w:szCs w:val="20"/>
              </w:rPr>
            </w:pPr>
            <w:r w:rsidRPr="0053555E">
              <w:rPr>
                <w:rFonts w:cs="Calibri"/>
                <w:sz w:val="22"/>
                <w:szCs w:val="20"/>
              </w:rPr>
              <w:t> </w:t>
            </w:r>
          </w:p>
        </w:tc>
        <w:tc>
          <w:tcPr>
            <w:tcW w:w="709" w:type="dxa"/>
            <w:tcBorders>
              <w:top w:val="single" w:sz="4" w:space="0" w:color="auto"/>
              <w:left w:val="single" w:sz="4" w:space="0" w:color="auto"/>
              <w:bottom w:val="single" w:sz="4" w:space="0" w:color="auto"/>
              <w:right w:val="single" w:sz="4" w:space="0" w:color="auto"/>
            </w:tcBorders>
            <w:vAlign w:val="bottom"/>
          </w:tcPr>
          <w:p w14:paraId="3E3A28FA" w14:textId="44680C4D" w:rsidR="00E83BCE" w:rsidRPr="0053555E" w:rsidRDefault="00E83BCE" w:rsidP="00E83BCE">
            <w:pPr>
              <w:jc w:val="center"/>
              <w:rPr>
                <w:rFonts w:asciiTheme="majorHAnsi" w:hAnsiTheme="majorHAnsi" w:cstheme="majorHAnsi"/>
                <w:sz w:val="22"/>
                <w:szCs w:val="20"/>
              </w:rPr>
            </w:pPr>
            <w:r w:rsidRPr="0053555E">
              <w:rPr>
                <w:rFonts w:cs="Calibri"/>
                <w:sz w:val="22"/>
                <w:szCs w:val="20"/>
              </w:rPr>
              <w:t>0</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2DA88" w14:textId="0AA0D340" w:rsidR="00E83BCE" w:rsidRPr="0053555E" w:rsidRDefault="00E83BCE" w:rsidP="00E83BCE">
            <w:pPr>
              <w:jc w:val="center"/>
              <w:rPr>
                <w:rFonts w:asciiTheme="majorHAnsi" w:hAnsiTheme="majorHAnsi" w:cstheme="majorHAnsi"/>
                <w:sz w:val="22"/>
                <w:szCs w:val="20"/>
              </w:rPr>
            </w:pPr>
            <w:r w:rsidRPr="0053555E">
              <w:rPr>
                <w:rFonts w:cs="Calibri"/>
                <w:sz w:val="22"/>
                <w:szCs w:val="20"/>
              </w:rPr>
              <w:t>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679D6" w14:textId="41056CDB" w:rsidR="00E83BCE" w:rsidRPr="0053555E" w:rsidRDefault="00E83BCE" w:rsidP="00E83BCE">
            <w:pPr>
              <w:jc w:val="center"/>
              <w:rPr>
                <w:rFonts w:asciiTheme="majorHAnsi" w:hAnsiTheme="majorHAnsi" w:cstheme="majorHAnsi"/>
                <w:sz w:val="22"/>
                <w:szCs w:val="20"/>
              </w:rPr>
            </w:pPr>
            <w:r w:rsidRPr="0053555E">
              <w:rPr>
                <w:rFonts w:cs="Calibri"/>
                <w:sz w:val="22"/>
                <w:szCs w:val="20"/>
              </w:rPr>
              <w:t> </w:t>
            </w:r>
          </w:p>
        </w:tc>
        <w:tc>
          <w:tcPr>
            <w:tcW w:w="709" w:type="dxa"/>
            <w:tcBorders>
              <w:top w:val="single" w:sz="4" w:space="0" w:color="auto"/>
              <w:left w:val="single" w:sz="4" w:space="0" w:color="auto"/>
              <w:bottom w:val="single" w:sz="4" w:space="0" w:color="auto"/>
              <w:right w:val="single" w:sz="4" w:space="0" w:color="auto"/>
            </w:tcBorders>
            <w:vAlign w:val="bottom"/>
          </w:tcPr>
          <w:p w14:paraId="343CC5D5" w14:textId="64CDDD52" w:rsidR="00E83BCE" w:rsidRPr="0053555E" w:rsidRDefault="00E83BCE" w:rsidP="00E83BCE">
            <w:pPr>
              <w:jc w:val="center"/>
              <w:rPr>
                <w:rFonts w:asciiTheme="majorHAnsi" w:hAnsiTheme="majorHAnsi" w:cstheme="majorHAnsi"/>
                <w:sz w:val="22"/>
                <w:szCs w:val="20"/>
              </w:rPr>
            </w:pPr>
            <w:r w:rsidRPr="0053555E">
              <w:rPr>
                <w:rFonts w:cs="Calibri"/>
                <w:sz w:val="22"/>
                <w:szCs w:val="20"/>
              </w:rPr>
              <w:t>0</w:t>
            </w:r>
          </w:p>
        </w:tc>
        <w:tc>
          <w:tcPr>
            <w:tcW w:w="70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1A7E53F9" w14:textId="334CCDC6"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8</w:t>
            </w:r>
          </w:p>
        </w:tc>
      </w:tr>
      <w:tr w:rsidR="00E83BCE" w:rsidRPr="0053555E" w14:paraId="25F27FB3" w14:textId="77777777" w:rsidTr="00B03F04">
        <w:trPr>
          <w:trHeight w:val="2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68352E1F" w14:textId="77777777" w:rsidR="00E83BCE" w:rsidRPr="0053555E" w:rsidRDefault="00E83BCE" w:rsidP="00E83BC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MTF</w:t>
            </w:r>
          </w:p>
        </w:tc>
        <w:tc>
          <w:tcPr>
            <w:tcW w:w="568" w:type="dxa"/>
            <w:tcBorders>
              <w:top w:val="nil"/>
              <w:left w:val="nil"/>
              <w:bottom w:val="single" w:sz="4" w:space="0" w:color="auto"/>
              <w:right w:val="single" w:sz="4" w:space="0" w:color="auto"/>
            </w:tcBorders>
            <w:shd w:val="clear" w:color="auto" w:fill="auto"/>
            <w:noWrap/>
            <w:vAlign w:val="bottom"/>
            <w:hideMark/>
          </w:tcPr>
          <w:p w14:paraId="5B3744AF" w14:textId="3515135B" w:rsidR="00E83BCE" w:rsidRPr="0053555E" w:rsidRDefault="00E83BCE" w:rsidP="00E83BCE">
            <w:pPr>
              <w:jc w:val="center"/>
              <w:rPr>
                <w:rFonts w:asciiTheme="majorHAnsi" w:hAnsiTheme="majorHAnsi" w:cstheme="majorHAnsi"/>
                <w:sz w:val="22"/>
                <w:szCs w:val="20"/>
              </w:rPr>
            </w:pPr>
            <w:r w:rsidRPr="0053555E">
              <w:rPr>
                <w:rFonts w:cs="Calibri"/>
                <w:sz w:val="22"/>
                <w:szCs w:val="20"/>
              </w:rPr>
              <w:t>25</w:t>
            </w:r>
          </w:p>
        </w:tc>
        <w:tc>
          <w:tcPr>
            <w:tcW w:w="569" w:type="dxa"/>
            <w:tcBorders>
              <w:top w:val="nil"/>
              <w:left w:val="nil"/>
              <w:bottom w:val="single" w:sz="4" w:space="0" w:color="auto"/>
              <w:right w:val="single" w:sz="4" w:space="0" w:color="auto"/>
            </w:tcBorders>
            <w:shd w:val="clear" w:color="auto" w:fill="auto"/>
            <w:noWrap/>
            <w:vAlign w:val="bottom"/>
            <w:hideMark/>
          </w:tcPr>
          <w:p w14:paraId="7252DD37" w14:textId="48178AC6" w:rsidR="00E83BCE" w:rsidRPr="0053555E" w:rsidRDefault="00E83BCE" w:rsidP="00E83BCE">
            <w:pPr>
              <w:jc w:val="center"/>
              <w:rPr>
                <w:rFonts w:asciiTheme="majorHAnsi" w:hAnsiTheme="majorHAnsi" w:cstheme="majorHAnsi"/>
                <w:sz w:val="22"/>
                <w:szCs w:val="20"/>
              </w:rPr>
            </w:pPr>
            <w:r w:rsidRPr="0053555E">
              <w:rPr>
                <w:rFonts w:cs="Calibri"/>
                <w:sz w:val="22"/>
                <w:szCs w:val="20"/>
              </w:rPr>
              <w:t>15</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6FFD798B" w14:textId="3C9DCC62"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40</w:t>
            </w:r>
          </w:p>
        </w:tc>
        <w:tc>
          <w:tcPr>
            <w:tcW w:w="637" w:type="dxa"/>
            <w:tcBorders>
              <w:top w:val="nil"/>
              <w:left w:val="nil"/>
              <w:bottom w:val="single" w:sz="4" w:space="0" w:color="auto"/>
              <w:right w:val="single" w:sz="4" w:space="0" w:color="auto"/>
            </w:tcBorders>
            <w:shd w:val="clear" w:color="auto" w:fill="auto"/>
            <w:noWrap/>
            <w:vAlign w:val="bottom"/>
            <w:hideMark/>
          </w:tcPr>
          <w:p w14:paraId="6A2CBF5B" w14:textId="55015CB7" w:rsidR="00E83BCE" w:rsidRPr="0053555E" w:rsidRDefault="00E83BCE" w:rsidP="00E83BCE">
            <w:pPr>
              <w:jc w:val="center"/>
              <w:rPr>
                <w:rFonts w:asciiTheme="majorHAnsi" w:hAnsiTheme="majorHAnsi" w:cstheme="majorHAnsi"/>
                <w:sz w:val="22"/>
                <w:szCs w:val="20"/>
              </w:rPr>
            </w:pPr>
            <w:r w:rsidRPr="0053555E">
              <w:rPr>
                <w:rFonts w:cs="Calibri"/>
                <w:sz w:val="22"/>
                <w:szCs w:val="20"/>
              </w:rPr>
              <w:t>12</w:t>
            </w:r>
          </w:p>
        </w:tc>
        <w:tc>
          <w:tcPr>
            <w:tcW w:w="638" w:type="dxa"/>
            <w:tcBorders>
              <w:top w:val="nil"/>
              <w:left w:val="nil"/>
              <w:bottom w:val="single" w:sz="4" w:space="0" w:color="auto"/>
              <w:right w:val="single" w:sz="4" w:space="0" w:color="auto"/>
            </w:tcBorders>
            <w:shd w:val="clear" w:color="auto" w:fill="auto"/>
            <w:noWrap/>
            <w:vAlign w:val="bottom"/>
            <w:hideMark/>
          </w:tcPr>
          <w:p w14:paraId="51B5FB9F" w14:textId="56CB1D92" w:rsidR="00E83BCE" w:rsidRPr="0053555E" w:rsidRDefault="00E83BCE" w:rsidP="00E83BCE">
            <w:pPr>
              <w:jc w:val="center"/>
              <w:rPr>
                <w:rFonts w:asciiTheme="majorHAnsi" w:hAnsiTheme="majorHAnsi" w:cstheme="majorHAnsi"/>
                <w:sz w:val="22"/>
                <w:szCs w:val="20"/>
              </w:rPr>
            </w:pPr>
            <w:r w:rsidRPr="0053555E">
              <w:rPr>
                <w:rFonts w:cs="Calibri"/>
                <w:sz w:val="22"/>
                <w:szCs w:val="20"/>
              </w:rPr>
              <w:t>7</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4D82DC60" w14:textId="5DCBE392"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19</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14:paraId="304D3202" w14:textId="27453437" w:rsidR="00E83BCE" w:rsidRPr="0053555E" w:rsidRDefault="00E83BCE" w:rsidP="00E83BCE">
            <w:pPr>
              <w:jc w:val="center"/>
              <w:rPr>
                <w:rFonts w:asciiTheme="majorHAnsi" w:hAnsiTheme="majorHAnsi" w:cstheme="majorHAnsi"/>
                <w:sz w:val="22"/>
                <w:szCs w:val="20"/>
              </w:rPr>
            </w:pPr>
            <w:r w:rsidRPr="0053555E">
              <w:rPr>
                <w:rFonts w:cs="Calibri"/>
                <w:sz w:val="22"/>
                <w:szCs w:val="20"/>
              </w:rPr>
              <w:t>10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4361E" w14:textId="472B3050" w:rsidR="00E83BCE" w:rsidRPr="0053555E" w:rsidRDefault="00E83BCE" w:rsidP="00E83BCE">
            <w:pPr>
              <w:jc w:val="center"/>
              <w:rPr>
                <w:rFonts w:asciiTheme="majorHAnsi" w:hAnsiTheme="majorHAnsi" w:cstheme="majorHAnsi"/>
                <w:sz w:val="22"/>
                <w:szCs w:val="20"/>
              </w:rPr>
            </w:pPr>
            <w:r w:rsidRPr="0053555E">
              <w:rPr>
                <w:rFonts w:cs="Calibri"/>
                <w:sz w:val="22"/>
                <w:szCs w:val="20"/>
              </w:rPr>
              <w:t> </w:t>
            </w:r>
          </w:p>
        </w:tc>
        <w:tc>
          <w:tcPr>
            <w:tcW w:w="709" w:type="dxa"/>
            <w:tcBorders>
              <w:top w:val="single" w:sz="4" w:space="0" w:color="auto"/>
              <w:left w:val="single" w:sz="4" w:space="0" w:color="auto"/>
              <w:bottom w:val="single" w:sz="4" w:space="0" w:color="auto"/>
              <w:right w:val="single" w:sz="4" w:space="0" w:color="auto"/>
            </w:tcBorders>
            <w:vAlign w:val="bottom"/>
          </w:tcPr>
          <w:p w14:paraId="171CEA01" w14:textId="361E1FEB" w:rsidR="00E83BCE" w:rsidRPr="0053555E" w:rsidRDefault="00E83BCE" w:rsidP="00E83BCE">
            <w:pPr>
              <w:jc w:val="center"/>
              <w:rPr>
                <w:rFonts w:asciiTheme="majorHAnsi" w:hAnsiTheme="majorHAnsi" w:cstheme="majorHAnsi"/>
                <w:sz w:val="22"/>
                <w:szCs w:val="20"/>
              </w:rPr>
            </w:pPr>
            <w:r w:rsidRPr="0053555E">
              <w:rPr>
                <w:rFonts w:cs="Calibri"/>
                <w:sz w:val="22"/>
                <w:szCs w:val="20"/>
              </w:rPr>
              <w:t>0</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9D851" w14:textId="79277275" w:rsidR="00E83BCE" w:rsidRPr="0053555E" w:rsidRDefault="00E83BCE" w:rsidP="00E83BCE">
            <w:pPr>
              <w:jc w:val="center"/>
              <w:rPr>
                <w:rFonts w:asciiTheme="majorHAnsi" w:hAnsiTheme="majorHAnsi" w:cstheme="majorHAnsi"/>
                <w:sz w:val="22"/>
                <w:szCs w:val="20"/>
              </w:rPr>
            </w:pPr>
            <w:r w:rsidRPr="0053555E">
              <w:rPr>
                <w:rFonts w:cs="Calibri"/>
                <w:sz w:val="22"/>
                <w:szCs w:val="20"/>
              </w:rPr>
              <w:t>6</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C7EDA" w14:textId="4C35889E" w:rsidR="00E83BCE" w:rsidRPr="0053555E" w:rsidRDefault="00E83BCE" w:rsidP="00E83BCE">
            <w:pPr>
              <w:jc w:val="center"/>
              <w:rPr>
                <w:rFonts w:asciiTheme="majorHAnsi" w:hAnsiTheme="majorHAnsi" w:cstheme="majorHAnsi"/>
                <w:sz w:val="22"/>
                <w:szCs w:val="20"/>
              </w:rPr>
            </w:pPr>
            <w:r w:rsidRPr="0053555E">
              <w:rPr>
                <w:rFonts w:cs="Calibri"/>
                <w:sz w:val="22"/>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739B72D2" w14:textId="39A36880" w:rsidR="00E83BCE" w:rsidRPr="0053555E" w:rsidRDefault="00E83BCE" w:rsidP="00E83BCE">
            <w:pPr>
              <w:jc w:val="center"/>
              <w:rPr>
                <w:rFonts w:asciiTheme="majorHAnsi" w:hAnsiTheme="majorHAnsi" w:cstheme="majorHAnsi"/>
                <w:sz w:val="22"/>
                <w:szCs w:val="20"/>
              </w:rPr>
            </w:pPr>
            <w:r w:rsidRPr="0053555E">
              <w:rPr>
                <w:rFonts w:cs="Calibri"/>
                <w:sz w:val="22"/>
                <w:szCs w:val="20"/>
              </w:rPr>
              <w:t>1</w:t>
            </w:r>
          </w:p>
        </w:tc>
        <w:tc>
          <w:tcPr>
            <w:tcW w:w="70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2D90C56C" w14:textId="34C4E27C"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17</w:t>
            </w:r>
          </w:p>
        </w:tc>
      </w:tr>
      <w:tr w:rsidR="00E83BCE" w:rsidRPr="0053555E" w14:paraId="3D25F902" w14:textId="77777777" w:rsidTr="00B03F04">
        <w:trPr>
          <w:trHeight w:val="2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6319CA18" w14:textId="77777777" w:rsidR="00E83BCE" w:rsidRPr="0053555E" w:rsidRDefault="00E83BCE" w:rsidP="00E83BC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FIIT</w:t>
            </w:r>
          </w:p>
        </w:tc>
        <w:tc>
          <w:tcPr>
            <w:tcW w:w="568" w:type="dxa"/>
            <w:tcBorders>
              <w:top w:val="nil"/>
              <w:left w:val="nil"/>
              <w:bottom w:val="single" w:sz="4" w:space="0" w:color="auto"/>
              <w:right w:val="single" w:sz="4" w:space="0" w:color="auto"/>
            </w:tcBorders>
            <w:shd w:val="clear" w:color="auto" w:fill="auto"/>
            <w:noWrap/>
            <w:vAlign w:val="bottom"/>
            <w:hideMark/>
          </w:tcPr>
          <w:p w14:paraId="6F6AF347" w14:textId="058B9317" w:rsidR="00E83BCE" w:rsidRPr="0053555E" w:rsidRDefault="00E83BCE" w:rsidP="00E83BCE">
            <w:pPr>
              <w:jc w:val="center"/>
              <w:rPr>
                <w:rFonts w:asciiTheme="majorHAnsi" w:hAnsiTheme="majorHAnsi" w:cstheme="majorHAnsi"/>
                <w:sz w:val="22"/>
                <w:szCs w:val="20"/>
              </w:rPr>
            </w:pPr>
            <w:r w:rsidRPr="0053555E">
              <w:rPr>
                <w:rFonts w:cs="Calibri"/>
                <w:sz w:val="22"/>
                <w:szCs w:val="20"/>
              </w:rPr>
              <w:t>18</w:t>
            </w:r>
          </w:p>
        </w:tc>
        <w:tc>
          <w:tcPr>
            <w:tcW w:w="569" w:type="dxa"/>
            <w:tcBorders>
              <w:top w:val="nil"/>
              <w:left w:val="nil"/>
              <w:bottom w:val="single" w:sz="4" w:space="0" w:color="auto"/>
              <w:right w:val="single" w:sz="4" w:space="0" w:color="auto"/>
            </w:tcBorders>
            <w:shd w:val="clear" w:color="auto" w:fill="auto"/>
            <w:noWrap/>
            <w:vAlign w:val="bottom"/>
            <w:hideMark/>
          </w:tcPr>
          <w:p w14:paraId="7503CE98" w14:textId="6AE48D8E" w:rsidR="00E83BCE" w:rsidRPr="0053555E" w:rsidRDefault="00E83BCE" w:rsidP="00E83BCE">
            <w:pPr>
              <w:jc w:val="center"/>
              <w:rPr>
                <w:rFonts w:asciiTheme="majorHAnsi" w:hAnsiTheme="majorHAnsi" w:cstheme="majorHAnsi"/>
                <w:sz w:val="22"/>
                <w:szCs w:val="20"/>
              </w:rPr>
            </w:pPr>
            <w:r w:rsidRPr="0053555E">
              <w:rPr>
                <w:rFonts w:cs="Calibri"/>
                <w:sz w:val="22"/>
                <w:szCs w:val="20"/>
              </w:rPr>
              <w:t>3</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2E199B53" w14:textId="68758568"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21</w:t>
            </w:r>
          </w:p>
        </w:tc>
        <w:tc>
          <w:tcPr>
            <w:tcW w:w="637" w:type="dxa"/>
            <w:tcBorders>
              <w:top w:val="nil"/>
              <w:left w:val="nil"/>
              <w:bottom w:val="single" w:sz="4" w:space="0" w:color="auto"/>
              <w:right w:val="single" w:sz="4" w:space="0" w:color="auto"/>
            </w:tcBorders>
            <w:shd w:val="clear" w:color="auto" w:fill="auto"/>
            <w:noWrap/>
            <w:vAlign w:val="bottom"/>
            <w:hideMark/>
          </w:tcPr>
          <w:p w14:paraId="27688D9B" w14:textId="34A7C90A" w:rsidR="00E83BCE" w:rsidRPr="0053555E" w:rsidRDefault="00E83BCE" w:rsidP="00E83BCE">
            <w:pPr>
              <w:jc w:val="center"/>
              <w:rPr>
                <w:rFonts w:asciiTheme="majorHAnsi" w:hAnsiTheme="majorHAnsi" w:cstheme="majorHAnsi"/>
                <w:sz w:val="22"/>
                <w:szCs w:val="20"/>
              </w:rPr>
            </w:pPr>
            <w:r w:rsidRPr="0053555E">
              <w:rPr>
                <w:rFonts w:cs="Calibri"/>
                <w:sz w:val="22"/>
                <w:szCs w:val="20"/>
              </w:rPr>
              <w:t>11</w:t>
            </w:r>
          </w:p>
        </w:tc>
        <w:tc>
          <w:tcPr>
            <w:tcW w:w="638" w:type="dxa"/>
            <w:tcBorders>
              <w:top w:val="nil"/>
              <w:left w:val="nil"/>
              <w:bottom w:val="single" w:sz="4" w:space="0" w:color="auto"/>
              <w:right w:val="single" w:sz="4" w:space="0" w:color="auto"/>
            </w:tcBorders>
            <w:shd w:val="clear" w:color="auto" w:fill="auto"/>
            <w:noWrap/>
            <w:vAlign w:val="bottom"/>
            <w:hideMark/>
          </w:tcPr>
          <w:p w14:paraId="710D2D9A" w14:textId="3DAA6545" w:rsidR="00E83BCE" w:rsidRPr="0053555E" w:rsidRDefault="00E83BCE" w:rsidP="00E83BCE">
            <w:pPr>
              <w:jc w:val="center"/>
              <w:rPr>
                <w:rFonts w:asciiTheme="majorHAnsi" w:hAnsiTheme="majorHAnsi" w:cstheme="majorHAnsi"/>
                <w:sz w:val="22"/>
                <w:szCs w:val="20"/>
              </w:rPr>
            </w:pPr>
            <w:r w:rsidRPr="0053555E">
              <w:rPr>
                <w:rFonts w:cs="Calibri"/>
                <w:sz w:val="22"/>
                <w:szCs w:val="20"/>
              </w:rPr>
              <w:t>2</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219B52ED" w14:textId="741C69B6"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13</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14:paraId="5EC909D0" w14:textId="6D56C184" w:rsidR="00E83BCE" w:rsidRPr="0053555E" w:rsidRDefault="00E83BCE" w:rsidP="00E83BCE">
            <w:pPr>
              <w:jc w:val="center"/>
              <w:rPr>
                <w:rFonts w:asciiTheme="majorHAnsi" w:hAnsiTheme="majorHAnsi" w:cstheme="majorHAnsi"/>
                <w:sz w:val="22"/>
                <w:szCs w:val="20"/>
              </w:rPr>
            </w:pPr>
            <w:r w:rsidRPr="0053555E">
              <w:rPr>
                <w:rFonts w:cs="Calibri"/>
                <w:sz w:val="22"/>
                <w:szCs w:val="20"/>
              </w:rPr>
              <w:t>9</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A67D9" w14:textId="381AEEAF" w:rsidR="00E83BCE" w:rsidRPr="0053555E" w:rsidRDefault="00E83BCE" w:rsidP="00E83BCE">
            <w:pPr>
              <w:jc w:val="center"/>
              <w:rPr>
                <w:rFonts w:asciiTheme="majorHAnsi" w:hAnsiTheme="majorHAnsi" w:cstheme="majorHAnsi"/>
                <w:sz w:val="22"/>
                <w:szCs w:val="20"/>
              </w:rPr>
            </w:pPr>
            <w:r w:rsidRPr="0053555E">
              <w:rPr>
                <w:rFonts w:cs="Calibri"/>
                <w:sz w:val="22"/>
                <w:szCs w:val="20"/>
              </w:rPr>
              <w:t> </w:t>
            </w:r>
          </w:p>
        </w:tc>
        <w:tc>
          <w:tcPr>
            <w:tcW w:w="709" w:type="dxa"/>
            <w:tcBorders>
              <w:top w:val="single" w:sz="4" w:space="0" w:color="auto"/>
              <w:left w:val="single" w:sz="4" w:space="0" w:color="auto"/>
              <w:bottom w:val="single" w:sz="4" w:space="0" w:color="auto"/>
              <w:right w:val="single" w:sz="4" w:space="0" w:color="auto"/>
            </w:tcBorders>
            <w:vAlign w:val="bottom"/>
          </w:tcPr>
          <w:p w14:paraId="15BED045" w14:textId="4385F581" w:rsidR="00E83BCE" w:rsidRPr="0053555E" w:rsidRDefault="00E83BCE" w:rsidP="00E83BCE">
            <w:pPr>
              <w:jc w:val="center"/>
              <w:rPr>
                <w:rFonts w:asciiTheme="majorHAnsi" w:hAnsiTheme="majorHAnsi" w:cstheme="majorHAnsi"/>
                <w:sz w:val="22"/>
                <w:szCs w:val="20"/>
              </w:rPr>
            </w:pPr>
            <w:r w:rsidRPr="0053555E">
              <w:rPr>
                <w:rFonts w:cs="Calibri"/>
                <w:sz w:val="22"/>
                <w:szCs w:val="20"/>
              </w:rPr>
              <w:t>2</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891C6" w14:textId="6EF1FE22" w:rsidR="00E83BCE" w:rsidRPr="0053555E" w:rsidRDefault="00E83BCE" w:rsidP="00E83BCE">
            <w:pPr>
              <w:jc w:val="center"/>
              <w:rPr>
                <w:rFonts w:asciiTheme="majorHAnsi" w:hAnsiTheme="majorHAnsi" w:cstheme="majorHAnsi"/>
                <w:sz w:val="22"/>
                <w:szCs w:val="20"/>
              </w:rPr>
            </w:pPr>
            <w:r w:rsidRPr="0053555E">
              <w:rPr>
                <w:rFonts w:cs="Calibri"/>
                <w:sz w:val="22"/>
                <w:szCs w:val="20"/>
              </w:rPr>
              <w:t>2</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D474C" w14:textId="64A917E7" w:rsidR="00E83BCE" w:rsidRPr="0053555E" w:rsidRDefault="00E83BCE" w:rsidP="00E83BCE">
            <w:pPr>
              <w:jc w:val="center"/>
              <w:rPr>
                <w:rFonts w:asciiTheme="majorHAnsi" w:hAnsiTheme="majorHAnsi" w:cstheme="majorHAnsi"/>
                <w:sz w:val="22"/>
                <w:szCs w:val="20"/>
              </w:rPr>
            </w:pPr>
            <w:r w:rsidRPr="0053555E">
              <w:rPr>
                <w:rFonts w:cs="Calibri"/>
                <w:sz w:val="22"/>
                <w:szCs w:val="20"/>
              </w:rPr>
              <w:t> </w:t>
            </w:r>
          </w:p>
        </w:tc>
        <w:tc>
          <w:tcPr>
            <w:tcW w:w="709" w:type="dxa"/>
            <w:tcBorders>
              <w:top w:val="single" w:sz="4" w:space="0" w:color="auto"/>
              <w:left w:val="single" w:sz="4" w:space="0" w:color="auto"/>
              <w:bottom w:val="single" w:sz="4" w:space="0" w:color="auto"/>
              <w:right w:val="single" w:sz="4" w:space="0" w:color="auto"/>
            </w:tcBorders>
            <w:vAlign w:val="bottom"/>
          </w:tcPr>
          <w:p w14:paraId="3B751DCE" w14:textId="1225E7BE" w:rsidR="00E83BCE" w:rsidRPr="0053555E" w:rsidRDefault="00E83BCE" w:rsidP="00E83BCE">
            <w:pPr>
              <w:jc w:val="center"/>
              <w:rPr>
                <w:rFonts w:asciiTheme="majorHAnsi" w:hAnsiTheme="majorHAnsi" w:cstheme="majorHAnsi"/>
                <w:sz w:val="22"/>
                <w:szCs w:val="20"/>
              </w:rPr>
            </w:pPr>
            <w:r w:rsidRPr="0053555E">
              <w:rPr>
                <w:rFonts w:cs="Calibri"/>
                <w:sz w:val="22"/>
                <w:szCs w:val="20"/>
              </w:rPr>
              <w:t>1</w:t>
            </w:r>
          </w:p>
        </w:tc>
        <w:tc>
          <w:tcPr>
            <w:tcW w:w="70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17053098" w14:textId="2A65F59D"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11</w:t>
            </w:r>
          </w:p>
        </w:tc>
      </w:tr>
      <w:tr w:rsidR="00E83BCE" w:rsidRPr="0053555E" w14:paraId="3167C5D8" w14:textId="77777777" w:rsidTr="00B03F04">
        <w:trPr>
          <w:trHeight w:val="2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4CE87A2" w14:textId="77777777" w:rsidR="00E83BCE" w:rsidRPr="0053555E" w:rsidRDefault="00E83BCE" w:rsidP="00E83BC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ÚM</w:t>
            </w:r>
          </w:p>
        </w:tc>
        <w:tc>
          <w:tcPr>
            <w:tcW w:w="568" w:type="dxa"/>
            <w:tcBorders>
              <w:top w:val="nil"/>
              <w:left w:val="nil"/>
              <w:bottom w:val="single" w:sz="4" w:space="0" w:color="auto"/>
              <w:right w:val="single" w:sz="4" w:space="0" w:color="auto"/>
            </w:tcBorders>
            <w:shd w:val="clear" w:color="auto" w:fill="auto"/>
            <w:vAlign w:val="bottom"/>
            <w:hideMark/>
          </w:tcPr>
          <w:p w14:paraId="32363DC0" w14:textId="34F329D2" w:rsidR="00E83BCE" w:rsidRPr="0053555E" w:rsidRDefault="00E83BCE" w:rsidP="00E83BCE">
            <w:pPr>
              <w:jc w:val="center"/>
              <w:rPr>
                <w:rFonts w:asciiTheme="majorHAnsi" w:hAnsiTheme="majorHAnsi" w:cstheme="majorHAnsi"/>
                <w:sz w:val="22"/>
                <w:szCs w:val="20"/>
              </w:rPr>
            </w:pPr>
            <w:r w:rsidRPr="0053555E">
              <w:rPr>
                <w:rFonts w:cs="Calibri"/>
                <w:sz w:val="22"/>
                <w:szCs w:val="20"/>
              </w:rPr>
              <w:t>7</w:t>
            </w:r>
          </w:p>
        </w:tc>
        <w:tc>
          <w:tcPr>
            <w:tcW w:w="569" w:type="dxa"/>
            <w:tcBorders>
              <w:top w:val="nil"/>
              <w:left w:val="nil"/>
              <w:bottom w:val="single" w:sz="4" w:space="0" w:color="auto"/>
              <w:right w:val="single" w:sz="4" w:space="0" w:color="auto"/>
            </w:tcBorders>
            <w:shd w:val="clear" w:color="auto" w:fill="auto"/>
            <w:noWrap/>
            <w:vAlign w:val="bottom"/>
            <w:hideMark/>
          </w:tcPr>
          <w:p w14:paraId="65EBB7CE" w14:textId="3BB8F37B" w:rsidR="00E83BCE" w:rsidRPr="0053555E" w:rsidRDefault="00E83BCE" w:rsidP="00E83BCE">
            <w:pPr>
              <w:jc w:val="center"/>
              <w:rPr>
                <w:rFonts w:asciiTheme="majorHAnsi" w:hAnsiTheme="majorHAnsi" w:cstheme="majorHAnsi"/>
                <w:sz w:val="22"/>
                <w:szCs w:val="20"/>
              </w:rPr>
            </w:pPr>
            <w:r w:rsidRPr="0053555E">
              <w:rPr>
                <w:rFonts w:cs="Calibri"/>
                <w:sz w:val="22"/>
                <w:szCs w:val="20"/>
              </w:rPr>
              <w:t>9</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1EF73780" w14:textId="586F8678"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16</w:t>
            </w:r>
          </w:p>
        </w:tc>
        <w:tc>
          <w:tcPr>
            <w:tcW w:w="637" w:type="dxa"/>
            <w:tcBorders>
              <w:top w:val="nil"/>
              <w:left w:val="nil"/>
              <w:bottom w:val="single" w:sz="4" w:space="0" w:color="auto"/>
              <w:right w:val="single" w:sz="4" w:space="0" w:color="auto"/>
            </w:tcBorders>
            <w:shd w:val="clear" w:color="auto" w:fill="auto"/>
            <w:vAlign w:val="bottom"/>
            <w:hideMark/>
          </w:tcPr>
          <w:p w14:paraId="0D18DEED" w14:textId="4A2D76D2" w:rsidR="00E83BCE" w:rsidRPr="0053555E" w:rsidRDefault="00E83BCE" w:rsidP="00E83BCE">
            <w:pPr>
              <w:jc w:val="center"/>
              <w:rPr>
                <w:rFonts w:asciiTheme="majorHAnsi" w:hAnsiTheme="majorHAnsi" w:cstheme="majorHAnsi"/>
                <w:sz w:val="22"/>
                <w:szCs w:val="20"/>
              </w:rPr>
            </w:pPr>
            <w:r w:rsidRPr="0053555E">
              <w:rPr>
                <w:rFonts w:cs="Calibri"/>
                <w:sz w:val="22"/>
                <w:szCs w:val="20"/>
              </w:rPr>
              <w:t>3</w:t>
            </w:r>
          </w:p>
        </w:tc>
        <w:tc>
          <w:tcPr>
            <w:tcW w:w="638" w:type="dxa"/>
            <w:tcBorders>
              <w:top w:val="nil"/>
              <w:left w:val="nil"/>
              <w:bottom w:val="single" w:sz="4" w:space="0" w:color="auto"/>
              <w:right w:val="single" w:sz="4" w:space="0" w:color="auto"/>
            </w:tcBorders>
            <w:shd w:val="clear" w:color="auto" w:fill="auto"/>
            <w:noWrap/>
            <w:vAlign w:val="bottom"/>
            <w:hideMark/>
          </w:tcPr>
          <w:p w14:paraId="0E2CF122" w14:textId="677A6466" w:rsidR="00E83BCE" w:rsidRPr="0053555E" w:rsidRDefault="00E83BCE" w:rsidP="00E83BCE">
            <w:pPr>
              <w:jc w:val="center"/>
              <w:rPr>
                <w:rFonts w:asciiTheme="majorHAnsi" w:hAnsiTheme="majorHAnsi" w:cstheme="majorHAnsi"/>
                <w:sz w:val="22"/>
                <w:szCs w:val="20"/>
              </w:rPr>
            </w:pPr>
            <w:r w:rsidRPr="0053555E">
              <w:rPr>
                <w:rFonts w:cs="Calibri"/>
                <w:sz w:val="22"/>
                <w:szCs w:val="20"/>
              </w:rPr>
              <w:t>6</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6D2B6051" w14:textId="5A2BEC2B"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9</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341B01C2" w14:textId="20959685" w:rsidR="00E83BCE" w:rsidRPr="0053555E" w:rsidRDefault="00E83BCE" w:rsidP="00E83BCE">
            <w:pPr>
              <w:jc w:val="center"/>
              <w:rPr>
                <w:rFonts w:asciiTheme="majorHAnsi" w:hAnsiTheme="majorHAnsi" w:cstheme="majorHAnsi"/>
                <w:sz w:val="22"/>
                <w:szCs w:val="20"/>
              </w:rPr>
            </w:pPr>
            <w:r w:rsidRPr="0053555E">
              <w:rPr>
                <w:rFonts w:cs="Calibri"/>
                <w:sz w:val="22"/>
                <w:szCs w:val="20"/>
              </w:rPr>
              <w:t>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F2C8C" w14:textId="3CCC040A" w:rsidR="00E83BCE" w:rsidRPr="0053555E" w:rsidRDefault="00E83BCE" w:rsidP="00E83BCE">
            <w:pPr>
              <w:jc w:val="center"/>
              <w:rPr>
                <w:rFonts w:asciiTheme="majorHAnsi" w:hAnsiTheme="majorHAnsi" w:cstheme="majorHAnsi"/>
                <w:sz w:val="22"/>
                <w:szCs w:val="20"/>
              </w:rPr>
            </w:pPr>
            <w:r w:rsidRPr="0053555E">
              <w:rPr>
                <w:rFonts w:cs="Calibri"/>
                <w:sz w:val="22"/>
                <w:szCs w:val="20"/>
              </w:rPr>
              <w:t> </w:t>
            </w:r>
          </w:p>
        </w:tc>
        <w:tc>
          <w:tcPr>
            <w:tcW w:w="709" w:type="dxa"/>
            <w:tcBorders>
              <w:top w:val="single" w:sz="4" w:space="0" w:color="auto"/>
              <w:left w:val="single" w:sz="4" w:space="0" w:color="auto"/>
              <w:bottom w:val="single" w:sz="4" w:space="0" w:color="auto"/>
              <w:right w:val="single" w:sz="4" w:space="0" w:color="auto"/>
            </w:tcBorders>
            <w:vAlign w:val="bottom"/>
          </w:tcPr>
          <w:p w14:paraId="45FCABC2" w14:textId="67A8ACE3" w:rsidR="00E83BCE" w:rsidRPr="0053555E" w:rsidRDefault="00E83BCE" w:rsidP="00E83BCE">
            <w:pPr>
              <w:jc w:val="center"/>
              <w:rPr>
                <w:rFonts w:asciiTheme="majorHAnsi" w:hAnsiTheme="majorHAnsi" w:cstheme="majorHAnsi"/>
                <w:sz w:val="22"/>
                <w:szCs w:val="20"/>
              </w:rPr>
            </w:pPr>
            <w:r w:rsidRPr="0053555E">
              <w:rPr>
                <w:rFonts w:cs="Calibri"/>
                <w:sz w:val="22"/>
                <w:szCs w:val="20"/>
              </w:rPr>
              <w:t>1</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61476" w14:textId="2FA9268F" w:rsidR="00E83BCE" w:rsidRPr="0053555E" w:rsidRDefault="00E83BCE" w:rsidP="00E83BCE">
            <w:pPr>
              <w:jc w:val="center"/>
              <w:rPr>
                <w:rFonts w:asciiTheme="majorHAnsi" w:hAnsiTheme="majorHAnsi" w:cstheme="majorHAnsi"/>
                <w:sz w:val="22"/>
                <w:szCs w:val="20"/>
              </w:rPr>
            </w:pPr>
            <w:r w:rsidRPr="0053555E">
              <w:rPr>
                <w:rFonts w:cs="Calibri"/>
                <w:sz w:val="22"/>
                <w:szCs w:val="20"/>
              </w:rPr>
              <w:t>6</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BA452" w14:textId="32F78436" w:rsidR="00E83BCE" w:rsidRPr="0053555E" w:rsidRDefault="00E83BCE" w:rsidP="00E83BCE">
            <w:pPr>
              <w:jc w:val="center"/>
              <w:rPr>
                <w:rFonts w:asciiTheme="majorHAnsi" w:hAnsiTheme="majorHAnsi" w:cstheme="majorHAnsi"/>
                <w:sz w:val="22"/>
                <w:szCs w:val="20"/>
              </w:rPr>
            </w:pPr>
            <w:r w:rsidRPr="0053555E">
              <w:rPr>
                <w:rFonts w:cs="Calibri"/>
                <w:sz w:val="22"/>
                <w:szCs w:val="20"/>
              </w:rPr>
              <w:t> </w:t>
            </w:r>
          </w:p>
        </w:tc>
        <w:tc>
          <w:tcPr>
            <w:tcW w:w="709" w:type="dxa"/>
            <w:tcBorders>
              <w:top w:val="single" w:sz="4" w:space="0" w:color="auto"/>
              <w:left w:val="single" w:sz="4" w:space="0" w:color="auto"/>
              <w:bottom w:val="single" w:sz="4" w:space="0" w:color="auto"/>
              <w:right w:val="single" w:sz="4" w:space="0" w:color="auto"/>
            </w:tcBorders>
            <w:vAlign w:val="bottom"/>
          </w:tcPr>
          <w:p w14:paraId="44BBB322" w14:textId="4AC9057C" w:rsidR="00E83BCE" w:rsidRPr="0053555E" w:rsidRDefault="00E83BCE" w:rsidP="00E83BCE">
            <w:pPr>
              <w:jc w:val="center"/>
              <w:rPr>
                <w:rFonts w:asciiTheme="majorHAnsi" w:hAnsiTheme="majorHAnsi" w:cstheme="majorHAnsi"/>
                <w:sz w:val="22"/>
                <w:szCs w:val="20"/>
              </w:rPr>
            </w:pPr>
            <w:r w:rsidRPr="0053555E">
              <w:rPr>
                <w:rFonts w:cs="Calibri"/>
                <w:sz w:val="22"/>
                <w:szCs w:val="20"/>
              </w:rPr>
              <w:t>1</w:t>
            </w:r>
          </w:p>
        </w:tc>
        <w:tc>
          <w:tcPr>
            <w:tcW w:w="70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6FD3F4EB" w14:textId="7CF4E7CE"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9</w:t>
            </w:r>
          </w:p>
        </w:tc>
      </w:tr>
      <w:tr w:rsidR="00E83BCE" w:rsidRPr="0053555E" w14:paraId="19A726D7" w14:textId="77777777" w:rsidTr="00B03F04">
        <w:trPr>
          <w:trHeight w:val="20"/>
        </w:trPr>
        <w:tc>
          <w:tcPr>
            <w:tcW w:w="78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751DCDA7" w14:textId="77777777" w:rsidR="00E83BCE" w:rsidRPr="0053555E" w:rsidRDefault="00E83BCE" w:rsidP="00E83BC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STU</w:t>
            </w:r>
          </w:p>
        </w:tc>
        <w:tc>
          <w:tcPr>
            <w:tcW w:w="568" w:type="dxa"/>
            <w:tcBorders>
              <w:top w:val="nil"/>
              <w:left w:val="nil"/>
              <w:bottom w:val="single" w:sz="4" w:space="0" w:color="auto"/>
              <w:right w:val="single" w:sz="4" w:space="0" w:color="auto"/>
            </w:tcBorders>
            <w:shd w:val="clear" w:color="auto" w:fill="EEECE1" w:themeFill="background2"/>
            <w:noWrap/>
            <w:vAlign w:val="bottom"/>
            <w:hideMark/>
          </w:tcPr>
          <w:p w14:paraId="136765E0" w14:textId="3E96CE48"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204</w:t>
            </w:r>
          </w:p>
        </w:tc>
        <w:tc>
          <w:tcPr>
            <w:tcW w:w="569" w:type="dxa"/>
            <w:tcBorders>
              <w:top w:val="nil"/>
              <w:left w:val="nil"/>
              <w:bottom w:val="single" w:sz="4" w:space="0" w:color="auto"/>
              <w:right w:val="single" w:sz="4" w:space="0" w:color="auto"/>
            </w:tcBorders>
            <w:shd w:val="clear" w:color="auto" w:fill="EEECE1" w:themeFill="background2"/>
            <w:noWrap/>
            <w:vAlign w:val="bottom"/>
            <w:hideMark/>
          </w:tcPr>
          <w:p w14:paraId="00BBEC90" w14:textId="1EAD3D83"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62</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446F0DE7" w14:textId="45B5D317"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266</w:t>
            </w:r>
          </w:p>
        </w:tc>
        <w:tc>
          <w:tcPr>
            <w:tcW w:w="637" w:type="dxa"/>
            <w:tcBorders>
              <w:top w:val="nil"/>
              <w:left w:val="nil"/>
              <w:bottom w:val="single" w:sz="4" w:space="0" w:color="auto"/>
              <w:right w:val="single" w:sz="4" w:space="0" w:color="auto"/>
            </w:tcBorders>
            <w:shd w:val="clear" w:color="auto" w:fill="EEECE1" w:themeFill="background2"/>
            <w:noWrap/>
            <w:vAlign w:val="bottom"/>
            <w:hideMark/>
          </w:tcPr>
          <w:p w14:paraId="73753C98" w14:textId="43A5F63F"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143</w:t>
            </w:r>
          </w:p>
        </w:tc>
        <w:tc>
          <w:tcPr>
            <w:tcW w:w="638" w:type="dxa"/>
            <w:tcBorders>
              <w:top w:val="nil"/>
              <w:left w:val="nil"/>
              <w:bottom w:val="single" w:sz="4" w:space="0" w:color="auto"/>
              <w:right w:val="single" w:sz="4" w:space="0" w:color="auto"/>
            </w:tcBorders>
            <w:shd w:val="clear" w:color="auto" w:fill="EEECE1" w:themeFill="background2"/>
            <w:noWrap/>
            <w:vAlign w:val="bottom"/>
            <w:hideMark/>
          </w:tcPr>
          <w:p w14:paraId="73A28B2D" w14:textId="6EB6BE6A"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44</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14:paraId="3DC23635" w14:textId="53D74F32"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187</w:t>
            </w:r>
          </w:p>
        </w:tc>
        <w:tc>
          <w:tcPr>
            <w:tcW w:w="614"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5EA668A4" w14:textId="33AF96B4"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111</w:t>
            </w:r>
          </w:p>
        </w:tc>
        <w:tc>
          <w:tcPr>
            <w:tcW w:w="5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3109502B" w14:textId="033D8D51"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4D554D60" w14:textId="5099F749"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19</w:t>
            </w:r>
          </w:p>
        </w:tc>
        <w:tc>
          <w:tcPr>
            <w:tcW w:w="61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5C8627DA" w14:textId="36B13AD6"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37</w:t>
            </w:r>
          </w:p>
        </w:tc>
        <w:tc>
          <w:tcPr>
            <w:tcW w:w="5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21B3B714" w14:textId="35A7FF48"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06834ECA" w14:textId="5EB52FD7"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8</w:t>
            </w:r>
          </w:p>
        </w:tc>
        <w:tc>
          <w:tcPr>
            <w:tcW w:w="708"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76724AA9" w14:textId="5F9780B8" w:rsidR="00E83BCE" w:rsidRPr="0053555E" w:rsidRDefault="00E83BCE" w:rsidP="00E83BCE">
            <w:pPr>
              <w:jc w:val="center"/>
              <w:rPr>
                <w:rFonts w:asciiTheme="majorHAnsi" w:hAnsiTheme="majorHAnsi" w:cstheme="majorHAnsi"/>
                <w:b/>
                <w:bCs/>
                <w:sz w:val="22"/>
                <w:szCs w:val="20"/>
              </w:rPr>
            </w:pPr>
            <w:r w:rsidRPr="0053555E">
              <w:rPr>
                <w:rFonts w:cs="Calibri"/>
                <w:b/>
                <w:bCs/>
                <w:sz w:val="22"/>
                <w:szCs w:val="20"/>
              </w:rPr>
              <w:t>166</w:t>
            </w:r>
          </w:p>
        </w:tc>
      </w:tr>
    </w:tbl>
    <w:p w14:paraId="3C89B9E2" w14:textId="77777777" w:rsidR="003660D2" w:rsidRPr="0053555E" w:rsidRDefault="002F7D1B" w:rsidP="00324438">
      <w:pPr>
        <w:tabs>
          <w:tab w:val="left" w:pos="9356"/>
        </w:tabs>
        <w:jc w:val="both"/>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Vysvetlivky:</w:t>
      </w:r>
    </w:p>
    <w:p w14:paraId="0AACDA49" w14:textId="77777777" w:rsidR="00AE3AE0" w:rsidRPr="0053555E" w:rsidRDefault="002F7D1B" w:rsidP="00324438">
      <w:pPr>
        <w:tabs>
          <w:tab w:val="left" w:pos="9356"/>
        </w:tabs>
        <w:jc w:val="both"/>
        <w:rPr>
          <w:rFonts w:asciiTheme="majorHAnsi" w:hAnsiTheme="majorHAnsi" w:cstheme="majorHAnsi"/>
          <w:sz w:val="20"/>
          <w:szCs w:val="20"/>
        </w:rPr>
      </w:pPr>
      <w:r w:rsidRPr="0053555E">
        <w:rPr>
          <w:rFonts w:asciiTheme="majorHAnsi" w:eastAsia="Times New Roman" w:hAnsiTheme="majorHAnsi" w:cstheme="majorHAnsi"/>
          <w:bCs/>
          <w:sz w:val="20"/>
          <w:szCs w:val="20"/>
          <w:lang w:eastAsia="sk-SK"/>
        </w:rPr>
        <w:t>DF – denná forma štúdia, EF – externá forma štúdia</w:t>
      </w:r>
      <w:r w:rsidR="00DA7E89" w:rsidRPr="0053555E">
        <w:rPr>
          <w:rFonts w:asciiTheme="majorHAnsi" w:eastAsia="Times New Roman" w:hAnsiTheme="majorHAnsi" w:cstheme="majorHAnsi"/>
          <w:bCs/>
          <w:sz w:val="20"/>
          <w:szCs w:val="20"/>
          <w:lang w:eastAsia="sk-SK"/>
        </w:rPr>
        <w:t>, EVI - externá vzdelávacia inštitúcia</w:t>
      </w:r>
    </w:p>
    <w:p w14:paraId="243EEB6D" w14:textId="77777777" w:rsidR="00AE3AE0" w:rsidRPr="0053555E" w:rsidRDefault="00AE3AE0" w:rsidP="00324438">
      <w:pPr>
        <w:tabs>
          <w:tab w:val="left" w:pos="9356"/>
        </w:tabs>
        <w:jc w:val="both"/>
        <w:rPr>
          <w:rFonts w:asciiTheme="majorHAnsi" w:hAnsiTheme="majorHAnsi" w:cstheme="majorHAnsi"/>
          <w:sz w:val="20"/>
          <w:szCs w:val="20"/>
        </w:rPr>
      </w:pPr>
    </w:p>
    <w:p w14:paraId="1CDA8453" w14:textId="58A69400" w:rsidR="002071AC" w:rsidRPr="0053555E" w:rsidRDefault="001E378F" w:rsidP="00B41AC9">
      <w:pPr>
        <w:shd w:val="clear" w:color="auto" w:fill="FFFFFF"/>
        <w:tabs>
          <w:tab w:val="left" w:pos="9356"/>
        </w:tabs>
        <w:spacing w:after="120"/>
        <w:jc w:val="both"/>
        <w:rPr>
          <w:rFonts w:asciiTheme="majorHAnsi" w:hAnsiTheme="majorHAnsi" w:cstheme="majorHAnsi"/>
          <w:shd w:val="clear" w:color="auto" w:fill="FFFFFF"/>
        </w:rPr>
      </w:pPr>
      <w:r>
        <w:rPr>
          <w:rFonts w:asciiTheme="majorHAnsi" w:hAnsiTheme="majorHAnsi" w:cstheme="majorHAnsi"/>
        </w:rPr>
        <w:t>Jednotlivé súčasti STU si samy</w:t>
      </w:r>
      <w:r w:rsidR="00127EA7" w:rsidRPr="0053555E">
        <w:rPr>
          <w:rFonts w:asciiTheme="majorHAnsi" w:hAnsiTheme="majorHAnsi" w:cstheme="majorHAnsi"/>
        </w:rPr>
        <w:t xml:space="preserve"> určujú plánovaný počet prijatých uchádzačov na tretí stupeň štúdia</w:t>
      </w:r>
      <w:r w:rsidR="00450B16" w:rsidRPr="0053555E">
        <w:rPr>
          <w:rFonts w:asciiTheme="majorHAnsi" w:hAnsiTheme="majorHAnsi" w:cstheme="majorHAnsi"/>
        </w:rPr>
        <w:t xml:space="preserve"> v dennej </w:t>
      </w:r>
      <w:r w:rsidR="002D7BB3" w:rsidRPr="0053555E">
        <w:rPr>
          <w:rFonts w:asciiTheme="majorHAnsi" w:hAnsiTheme="majorHAnsi" w:cstheme="majorHAnsi"/>
        </w:rPr>
        <w:t>f</w:t>
      </w:r>
      <w:r w:rsidR="00450B16" w:rsidRPr="0053555E">
        <w:rPr>
          <w:rFonts w:asciiTheme="majorHAnsi" w:hAnsiTheme="majorHAnsi" w:cstheme="majorHAnsi"/>
        </w:rPr>
        <w:t>orme</w:t>
      </w:r>
      <w:r w:rsidR="00127EA7" w:rsidRPr="0053555E">
        <w:rPr>
          <w:rFonts w:asciiTheme="majorHAnsi" w:hAnsiTheme="majorHAnsi" w:cstheme="majorHAnsi"/>
        </w:rPr>
        <w:t xml:space="preserve">, čo vyplýva zo zmeny financovania denných doktorandov. </w:t>
      </w:r>
      <w:r w:rsidR="002071AC" w:rsidRPr="0053555E">
        <w:rPr>
          <w:rFonts w:asciiTheme="majorHAnsi" w:hAnsiTheme="majorHAnsi" w:cstheme="majorHAnsi"/>
        </w:rPr>
        <w:t>Plánované počty denných doktorand</w:t>
      </w:r>
      <w:r w:rsidR="00E16D56" w:rsidRPr="0053555E">
        <w:rPr>
          <w:rFonts w:asciiTheme="majorHAnsi" w:hAnsiTheme="majorHAnsi" w:cstheme="majorHAnsi"/>
        </w:rPr>
        <w:t xml:space="preserve">ov </w:t>
      </w:r>
      <w:r w:rsidR="00FF2B19" w:rsidRPr="0053555E">
        <w:rPr>
          <w:rFonts w:asciiTheme="majorHAnsi" w:hAnsiTheme="majorHAnsi" w:cstheme="majorHAnsi"/>
        </w:rPr>
        <w:t xml:space="preserve">na </w:t>
      </w:r>
      <w:r w:rsidR="00337E26" w:rsidRPr="0053555E">
        <w:rPr>
          <w:rFonts w:asciiTheme="majorHAnsi" w:hAnsiTheme="majorHAnsi" w:cstheme="majorHAnsi"/>
        </w:rPr>
        <w:t>akademický</w:t>
      </w:r>
      <w:r w:rsidR="00FF2B19" w:rsidRPr="0053555E">
        <w:rPr>
          <w:rFonts w:asciiTheme="majorHAnsi" w:hAnsiTheme="majorHAnsi" w:cstheme="majorHAnsi"/>
        </w:rPr>
        <w:t xml:space="preserve"> rok </w:t>
      </w:r>
      <w:r w:rsidR="00EA24BA" w:rsidRPr="0053555E">
        <w:rPr>
          <w:rFonts w:asciiTheme="majorHAnsi" w:hAnsiTheme="majorHAnsi" w:cstheme="majorHAnsi"/>
        </w:rPr>
        <w:t>2022/2023</w:t>
      </w:r>
      <w:r w:rsidR="002071AC" w:rsidRPr="0053555E">
        <w:rPr>
          <w:rFonts w:asciiTheme="majorHAnsi" w:hAnsiTheme="majorHAnsi" w:cstheme="majorHAnsi"/>
        </w:rPr>
        <w:t xml:space="preserve"> v porovnaní s predchádzajúcimi </w:t>
      </w:r>
      <w:r w:rsidR="00337E26" w:rsidRPr="0053555E">
        <w:rPr>
          <w:rFonts w:asciiTheme="majorHAnsi" w:hAnsiTheme="majorHAnsi" w:cstheme="majorHAnsi"/>
        </w:rPr>
        <w:t>akademickými</w:t>
      </w:r>
      <w:r w:rsidR="002071AC" w:rsidRPr="0053555E">
        <w:rPr>
          <w:rFonts w:asciiTheme="majorHAnsi" w:hAnsiTheme="majorHAnsi" w:cstheme="majorHAnsi"/>
        </w:rPr>
        <w:t xml:space="preserve"> </w:t>
      </w:r>
      <w:r w:rsidR="00AE2BCB" w:rsidRPr="0053555E">
        <w:rPr>
          <w:rFonts w:asciiTheme="majorHAnsi" w:hAnsiTheme="majorHAnsi" w:cstheme="majorHAnsi"/>
        </w:rPr>
        <w:t>rokmi, sú uvedené v </w:t>
      </w:r>
      <w:r w:rsidR="002D07E5" w:rsidRPr="0053555E">
        <w:rPr>
          <w:rFonts w:asciiTheme="majorHAnsi" w:hAnsiTheme="majorHAnsi" w:cstheme="majorHAnsi"/>
        </w:rPr>
        <w:fldChar w:fldCharType="begin"/>
      </w:r>
      <w:r w:rsidR="002D07E5" w:rsidRPr="0053555E">
        <w:rPr>
          <w:rFonts w:asciiTheme="majorHAnsi" w:hAnsiTheme="majorHAnsi" w:cstheme="majorHAnsi"/>
        </w:rPr>
        <w:instrText xml:space="preserve"> REF _Ref31713434 \h </w:instrText>
      </w:r>
      <w:r w:rsidR="00324438" w:rsidRPr="0053555E">
        <w:rPr>
          <w:rFonts w:asciiTheme="majorHAnsi" w:hAnsiTheme="majorHAnsi" w:cstheme="majorHAnsi"/>
        </w:rPr>
        <w:instrText xml:space="preserve"> \* MERGEFORMAT </w:instrText>
      </w:r>
      <w:r w:rsidR="002D07E5" w:rsidRPr="0053555E">
        <w:rPr>
          <w:rFonts w:asciiTheme="majorHAnsi" w:hAnsiTheme="majorHAnsi" w:cstheme="majorHAnsi"/>
        </w:rPr>
      </w:r>
      <w:r w:rsidR="002D07E5" w:rsidRPr="0053555E">
        <w:rPr>
          <w:rFonts w:asciiTheme="majorHAnsi" w:hAnsiTheme="majorHAnsi" w:cstheme="majorHAnsi"/>
        </w:rPr>
        <w:fldChar w:fldCharType="separate"/>
      </w:r>
      <w:r w:rsidR="00EE1B59" w:rsidRPr="00EE1B59">
        <w:rPr>
          <w:rFonts w:asciiTheme="majorHAnsi" w:hAnsiTheme="majorHAnsi" w:cstheme="majorHAnsi"/>
          <w:sz w:val="20"/>
          <w:szCs w:val="20"/>
        </w:rPr>
        <w:t>Tab. č. 28</w:t>
      </w:r>
      <w:r w:rsidR="002D07E5" w:rsidRPr="0053555E">
        <w:rPr>
          <w:rFonts w:asciiTheme="majorHAnsi" w:hAnsiTheme="majorHAnsi" w:cstheme="majorHAnsi"/>
        </w:rPr>
        <w:fldChar w:fldCharType="end"/>
      </w:r>
      <w:r w:rsidR="002071AC" w:rsidRPr="0053555E">
        <w:rPr>
          <w:rFonts w:asciiTheme="majorHAnsi" w:hAnsiTheme="majorHAnsi" w:cstheme="majorHAnsi"/>
        </w:rPr>
        <w:t xml:space="preserve">. </w:t>
      </w:r>
      <w:r>
        <w:rPr>
          <w:rFonts w:asciiTheme="majorHAnsi" w:hAnsiTheme="majorHAnsi" w:cstheme="majorHAnsi"/>
        </w:rPr>
        <w:t>P</w:t>
      </w:r>
      <w:r w:rsidR="002071AC" w:rsidRPr="0053555E">
        <w:rPr>
          <w:rFonts w:asciiTheme="majorHAnsi" w:hAnsiTheme="majorHAnsi" w:cstheme="majorHAnsi"/>
        </w:rPr>
        <w:t xml:space="preserve">očet uchádzačov </w:t>
      </w:r>
      <w:r w:rsidR="003F0EAA" w:rsidRPr="0053555E">
        <w:rPr>
          <w:rFonts w:asciiTheme="majorHAnsi" w:hAnsiTheme="majorHAnsi" w:cstheme="majorHAnsi"/>
        </w:rPr>
        <w:t>o</w:t>
      </w:r>
      <w:r w:rsidR="00EF4F1E" w:rsidRPr="0053555E">
        <w:rPr>
          <w:rFonts w:asciiTheme="majorHAnsi" w:hAnsiTheme="majorHAnsi" w:cstheme="majorHAnsi"/>
        </w:rPr>
        <w:t xml:space="preserve"> tretí stupeň štúdia </w:t>
      </w:r>
      <w:r w:rsidR="002071AC" w:rsidRPr="0053555E">
        <w:rPr>
          <w:rFonts w:asciiTheme="majorHAnsi" w:hAnsiTheme="majorHAnsi" w:cstheme="majorHAnsi"/>
        </w:rPr>
        <w:t xml:space="preserve">oproti predchádzajúcemu </w:t>
      </w:r>
      <w:r w:rsidR="00337E26" w:rsidRPr="0053555E">
        <w:rPr>
          <w:rFonts w:asciiTheme="majorHAnsi" w:hAnsiTheme="majorHAnsi" w:cstheme="majorHAnsi"/>
        </w:rPr>
        <w:t>akademickému</w:t>
      </w:r>
      <w:r w:rsidR="002071AC" w:rsidRPr="0053555E">
        <w:rPr>
          <w:rFonts w:asciiTheme="majorHAnsi" w:hAnsiTheme="majorHAnsi" w:cstheme="majorHAnsi"/>
        </w:rPr>
        <w:t xml:space="preserve"> roku </w:t>
      </w:r>
      <w:r w:rsidR="0055248F" w:rsidRPr="0053555E">
        <w:rPr>
          <w:rFonts w:asciiTheme="majorHAnsi" w:hAnsiTheme="majorHAnsi" w:cstheme="majorHAnsi"/>
          <w:b/>
        </w:rPr>
        <w:t>klesol</w:t>
      </w:r>
      <w:r w:rsidR="0028186E" w:rsidRPr="0053555E">
        <w:rPr>
          <w:rFonts w:asciiTheme="majorHAnsi" w:hAnsiTheme="majorHAnsi" w:cstheme="majorHAnsi"/>
          <w:b/>
        </w:rPr>
        <w:t xml:space="preserve"> o</w:t>
      </w:r>
      <w:r w:rsidR="002F094D" w:rsidRPr="0053555E">
        <w:rPr>
          <w:rFonts w:asciiTheme="majorHAnsi" w:hAnsiTheme="majorHAnsi" w:cstheme="majorHAnsi"/>
          <w:b/>
        </w:rPr>
        <w:t> </w:t>
      </w:r>
      <w:r w:rsidR="00A85F50">
        <w:rPr>
          <w:rFonts w:asciiTheme="majorHAnsi" w:hAnsiTheme="majorHAnsi" w:cstheme="majorHAnsi"/>
          <w:b/>
        </w:rPr>
        <w:t>17</w:t>
      </w:r>
      <w:r w:rsidR="002F094D" w:rsidRPr="0053555E">
        <w:rPr>
          <w:rFonts w:asciiTheme="majorHAnsi" w:hAnsiTheme="majorHAnsi" w:cstheme="majorHAnsi"/>
          <w:b/>
        </w:rPr>
        <w:t xml:space="preserve"> %</w:t>
      </w:r>
      <w:r w:rsidR="00051EA3" w:rsidRPr="0053555E">
        <w:rPr>
          <w:rFonts w:asciiTheme="majorHAnsi" w:hAnsiTheme="majorHAnsi" w:cstheme="majorHAnsi"/>
        </w:rPr>
        <w:t xml:space="preserve">. </w:t>
      </w:r>
      <w:r w:rsidR="00DD4E9A" w:rsidRPr="0053555E">
        <w:rPr>
          <w:rFonts w:asciiTheme="majorHAnsi" w:hAnsiTheme="majorHAnsi" w:cstheme="majorHAnsi"/>
        </w:rPr>
        <w:t>Z</w:t>
      </w:r>
      <w:r w:rsidR="00051EA3" w:rsidRPr="0053555E">
        <w:rPr>
          <w:rFonts w:asciiTheme="majorHAnsi" w:hAnsiTheme="majorHAnsi" w:cstheme="majorHAnsi"/>
        </w:rPr>
        <w:t>áujem z</w:t>
      </w:r>
      <w:r w:rsidR="002071AC" w:rsidRPr="0053555E">
        <w:rPr>
          <w:rFonts w:asciiTheme="majorHAnsi" w:hAnsiTheme="majorHAnsi" w:cstheme="majorHAnsi"/>
        </w:rPr>
        <w:t>ahraničných uchádzačov o</w:t>
      </w:r>
      <w:r w:rsidR="00AE2BCB" w:rsidRPr="0053555E">
        <w:rPr>
          <w:rFonts w:asciiTheme="majorHAnsi" w:hAnsiTheme="majorHAnsi" w:cstheme="majorHAnsi"/>
        </w:rPr>
        <w:t xml:space="preserve"> tretí stupeň </w:t>
      </w:r>
      <w:r w:rsidR="002071AC" w:rsidRPr="0053555E">
        <w:rPr>
          <w:rFonts w:asciiTheme="majorHAnsi" w:hAnsiTheme="majorHAnsi" w:cstheme="majorHAnsi"/>
        </w:rPr>
        <w:t>štúdi</w:t>
      </w:r>
      <w:r w:rsidR="00AE2BCB" w:rsidRPr="0053555E">
        <w:rPr>
          <w:rFonts w:asciiTheme="majorHAnsi" w:hAnsiTheme="majorHAnsi" w:cstheme="majorHAnsi"/>
        </w:rPr>
        <w:t>a na STU</w:t>
      </w:r>
      <w:r w:rsidR="00952E13" w:rsidRPr="0053555E">
        <w:rPr>
          <w:rFonts w:asciiTheme="majorHAnsi" w:hAnsiTheme="majorHAnsi" w:cstheme="majorHAnsi"/>
        </w:rPr>
        <w:t xml:space="preserve"> medziročne </w:t>
      </w:r>
      <w:r w:rsidR="006876C2">
        <w:rPr>
          <w:rFonts w:asciiTheme="majorHAnsi" w:hAnsiTheme="majorHAnsi" w:cstheme="majorHAnsi"/>
          <w:b/>
        </w:rPr>
        <w:t>klesol</w:t>
      </w:r>
      <w:r w:rsidR="00E848D1" w:rsidRPr="0053555E">
        <w:rPr>
          <w:rFonts w:asciiTheme="majorHAnsi" w:hAnsiTheme="majorHAnsi" w:cstheme="majorHAnsi"/>
          <w:b/>
        </w:rPr>
        <w:t xml:space="preserve"> o</w:t>
      </w:r>
      <w:r w:rsidR="00851EFC" w:rsidRPr="0053555E">
        <w:rPr>
          <w:rFonts w:asciiTheme="majorHAnsi" w:hAnsiTheme="majorHAnsi" w:cstheme="majorHAnsi"/>
          <w:b/>
        </w:rPr>
        <w:t> </w:t>
      </w:r>
      <w:r w:rsidR="006876C2">
        <w:rPr>
          <w:rFonts w:asciiTheme="majorHAnsi" w:hAnsiTheme="majorHAnsi" w:cstheme="majorHAnsi"/>
          <w:b/>
        </w:rPr>
        <w:t>8</w:t>
      </w:r>
      <w:r w:rsidR="00851EFC" w:rsidRPr="0053555E">
        <w:rPr>
          <w:rFonts w:asciiTheme="majorHAnsi" w:hAnsiTheme="majorHAnsi" w:cstheme="majorHAnsi"/>
          <w:b/>
        </w:rPr>
        <w:t xml:space="preserve"> </w:t>
      </w:r>
      <w:r w:rsidR="00E848D1" w:rsidRPr="0053555E">
        <w:rPr>
          <w:rFonts w:asciiTheme="majorHAnsi" w:hAnsiTheme="majorHAnsi" w:cstheme="majorHAnsi"/>
          <w:b/>
        </w:rPr>
        <w:t>%</w:t>
      </w:r>
      <w:r w:rsidR="00AE2BCB" w:rsidRPr="0053555E">
        <w:rPr>
          <w:rFonts w:asciiTheme="majorHAnsi" w:hAnsiTheme="majorHAnsi" w:cstheme="majorHAnsi"/>
        </w:rPr>
        <w:t>.</w:t>
      </w:r>
    </w:p>
    <w:p w14:paraId="061321D2" w14:textId="0E9005C0" w:rsidR="002071AC" w:rsidRPr="0053555E" w:rsidRDefault="002D07E5" w:rsidP="000E3322">
      <w:pPr>
        <w:pStyle w:val="Popis"/>
      </w:pPr>
      <w:bookmarkStart w:id="119" w:name="_Ref31713434"/>
      <w:bookmarkStart w:id="120" w:name="_Toc127593291"/>
      <w:r w:rsidRPr="0053555E">
        <w:t xml:space="preserve">Tab. č. </w:t>
      </w:r>
      <w:r w:rsidR="007B5953">
        <w:fldChar w:fldCharType="begin"/>
      </w:r>
      <w:r w:rsidR="007B5953">
        <w:instrText xml:space="preserve"> SEQ Tab._č. \* ARABIC </w:instrText>
      </w:r>
      <w:r w:rsidR="007B5953">
        <w:fldChar w:fldCharType="separate"/>
      </w:r>
      <w:r w:rsidR="00EE1B59">
        <w:rPr>
          <w:noProof/>
        </w:rPr>
        <w:t>28</w:t>
      </w:r>
      <w:r w:rsidR="007B5953">
        <w:rPr>
          <w:noProof/>
        </w:rPr>
        <w:fldChar w:fldCharType="end"/>
      </w:r>
      <w:bookmarkEnd w:id="119"/>
      <w:r w:rsidRPr="0053555E">
        <w:t>:</w:t>
      </w:r>
      <w:r w:rsidR="002071AC" w:rsidRPr="0053555E">
        <w:t xml:space="preserve"> Počty uchádzačov </w:t>
      </w:r>
      <w:r w:rsidR="001374F0" w:rsidRPr="0053555E">
        <w:t xml:space="preserve">od </w:t>
      </w:r>
      <w:r w:rsidR="00337E26" w:rsidRPr="0053555E">
        <w:t>akademického</w:t>
      </w:r>
      <w:r w:rsidR="001374F0" w:rsidRPr="0053555E">
        <w:t xml:space="preserve"> roku</w:t>
      </w:r>
      <w:r w:rsidR="000117BF" w:rsidRPr="0053555E">
        <w:t xml:space="preserve"> 2012/2013</w:t>
      </w:r>
      <w:r w:rsidR="002071AC" w:rsidRPr="0053555E">
        <w:t xml:space="preserve"> - plánovaní a prihlásení uchádzači</w:t>
      </w:r>
      <w:bookmarkEnd w:id="120"/>
    </w:p>
    <w:tbl>
      <w:tblPr>
        <w:tblW w:w="9012" w:type="dxa"/>
        <w:tblInd w:w="55" w:type="dxa"/>
        <w:tblLayout w:type="fixed"/>
        <w:tblCellMar>
          <w:left w:w="70" w:type="dxa"/>
          <w:right w:w="70" w:type="dxa"/>
        </w:tblCellMar>
        <w:tblLook w:val="04A0" w:firstRow="1" w:lastRow="0" w:firstColumn="1" w:lastColumn="0" w:noHBand="0" w:noVBand="1"/>
      </w:tblPr>
      <w:tblGrid>
        <w:gridCol w:w="1358"/>
        <w:gridCol w:w="1559"/>
        <w:gridCol w:w="1559"/>
        <w:gridCol w:w="1417"/>
        <w:gridCol w:w="1418"/>
        <w:gridCol w:w="1701"/>
      </w:tblGrid>
      <w:tr w:rsidR="00FF2B19" w:rsidRPr="0053555E" w14:paraId="69249C54" w14:textId="77777777" w:rsidTr="008428D5">
        <w:trPr>
          <w:trHeight w:val="20"/>
        </w:trPr>
        <w:tc>
          <w:tcPr>
            <w:tcW w:w="13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053B93" w14:textId="77777777" w:rsidR="00D17323" w:rsidRPr="0053555E" w:rsidRDefault="00D17323" w:rsidP="00D17323">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akademický</w:t>
            </w:r>
          </w:p>
          <w:p w14:paraId="0ECB386B" w14:textId="77777777" w:rsidR="00FF2B19" w:rsidRPr="0053555E" w:rsidRDefault="00D17323" w:rsidP="00D17323">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rok</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401553" w14:textId="77777777" w:rsidR="00FF2B19" w:rsidRPr="0053555E" w:rsidRDefault="00FF2B19"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Plánované počty</w:t>
            </w:r>
          </w:p>
        </w:tc>
        <w:tc>
          <w:tcPr>
            <w:tcW w:w="453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7ECA53" w14:textId="77777777" w:rsidR="00FF2B19" w:rsidRPr="0053555E" w:rsidRDefault="00FF2B19"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Prihlásení uchádzači</w:t>
            </w:r>
          </w:p>
        </w:tc>
      </w:tr>
      <w:tr w:rsidR="0046576A" w:rsidRPr="0053555E" w14:paraId="313815D5" w14:textId="77777777" w:rsidTr="008428D5">
        <w:trPr>
          <w:trHeight w:val="20"/>
        </w:trPr>
        <w:tc>
          <w:tcPr>
            <w:tcW w:w="1358" w:type="dxa"/>
            <w:vMerge/>
            <w:tcBorders>
              <w:top w:val="single" w:sz="4" w:space="0" w:color="auto"/>
              <w:left w:val="single" w:sz="4" w:space="0" w:color="auto"/>
              <w:bottom w:val="single" w:sz="4" w:space="0" w:color="000000"/>
              <w:right w:val="single" w:sz="4" w:space="0" w:color="auto"/>
            </w:tcBorders>
            <w:vAlign w:val="center"/>
            <w:hideMark/>
          </w:tcPr>
          <w:p w14:paraId="3C8E3BFA" w14:textId="77777777" w:rsidR="00FF2B19" w:rsidRPr="0053555E" w:rsidRDefault="00FF2B19" w:rsidP="00324438">
            <w:pPr>
              <w:tabs>
                <w:tab w:val="left" w:pos="9356"/>
              </w:tabs>
              <w:jc w:val="both"/>
              <w:rPr>
                <w:rFonts w:asciiTheme="majorHAnsi" w:eastAsia="Times New Roman" w:hAnsiTheme="majorHAnsi" w:cstheme="majorHAnsi"/>
                <w:b/>
                <w:bCs/>
                <w:sz w:val="22"/>
                <w:szCs w:val="22"/>
                <w:lang w:eastAsia="sk-SK"/>
              </w:rPr>
            </w:pPr>
          </w:p>
        </w:tc>
        <w:tc>
          <w:tcPr>
            <w:tcW w:w="1559" w:type="dxa"/>
            <w:tcBorders>
              <w:top w:val="nil"/>
              <w:left w:val="nil"/>
              <w:bottom w:val="single" w:sz="4" w:space="0" w:color="auto"/>
              <w:right w:val="single" w:sz="4" w:space="0" w:color="auto"/>
            </w:tcBorders>
            <w:shd w:val="clear" w:color="auto" w:fill="auto"/>
            <w:vAlign w:val="center"/>
            <w:hideMark/>
          </w:tcPr>
          <w:p w14:paraId="379FAA28" w14:textId="77777777" w:rsidR="00D43591" w:rsidRPr="0053555E" w:rsidRDefault="00D43591"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D</w:t>
            </w:r>
            <w:r w:rsidR="00FF2B19" w:rsidRPr="0053555E">
              <w:rPr>
                <w:rFonts w:asciiTheme="majorHAnsi" w:eastAsia="Times New Roman" w:hAnsiTheme="majorHAnsi" w:cstheme="majorHAnsi"/>
                <w:b/>
                <w:bCs/>
                <w:sz w:val="22"/>
                <w:szCs w:val="22"/>
                <w:lang w:eastAsia="sk-SK"/>
              </w:rPr>
              <w:t>enná</w:t>
            </w:r>
          </w:p>
          <w:p w14:paraId="034F8D30" w14:textId="77777777" w:rsidR="00FF2B19" w:rsidRPr="0053555E" w:rsidRDefault="00FF2B19"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forma</w:t>
            </w:r>
          </w:p>
        </w:tc>
        <w:tc>
          <w:tcPr>
            <w:tcW w:w="1559" w:type="dxa"/>
            <w:tcBorders>
              <w:top w:val="nil"/>
              <w:left w:val="nil"/>
              <w:bottom w:val="single" w:sz="4" w:space="0" w:color="auto"/>
              <w:right w:val="single" w:sz="4" w:space="0" w:color="auto"/>
            </w:tcBorders>
            <w:shd w:val="clear" w:color="auto" w:fill="auto"/>
            <w:vAlign w:val="center"/>
            <w:hideMark/>
          </w:tcPr>
          <w:p w14:paraId="1DE816F3" w14:textId="77777777" w:rsidR="00793C94" w:rsidRPr="0053555E" w:rsidRDefault="00793C94"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E</w:t>
            </w:r>
            <w:r w:rsidR="00FF2B19" w:rsidRPr="0053555E">
              <w:rPr>
                <w:rFonts w:asciiTheme="majorHAnsi" w:eastAsia="Times New Roman" w:hAnsiTheme="majorHAnsi" w:cstheme="majorHAnsi"/>
                <w:b/>
                <w:bCs/>
                <w:sz w:val="22"/>
                <w:szCs w:val="22"/>
                <w:lang w:eastAsia="sk-SK"/>
              </w:rPr>
              <w:t>xterná</w:t>
            </w:r>
          </w:p>
          <w:p w14:paraId="6BC517B5" w14:textId="77777777" w:rsidR="00FF2B19" w:rsidRPr="0053555E" w:rsidRDefault="00FF2B19"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forma</w:t>
            </w:r>
          </w:p>
        </w:tc>
        <w:tc>
          <w:tcPr>
            <w:tcW w:w="1417" w:type="dxa"/>
            <w:tcBorders>
              <w:top w:val="nil"/>
              <w:left w:val="nil"/>
              <w:bottom w:val="single" w:sz="4" w:space="0" w:color="auto"/>
              <w:right w:val="single" w:sz="4" w:space="0" w:color="auto"/>
            </w:tcBorders>
            <w:shd w:val="clear" w:color="auto" w:fill="auto"/>
            <w:vAlign w:val="center"/>
            <w:hideMark/>
          </w:tcPr>
          <w:p w14:paraId="032B6AC7" w14:textId="77777777" w:rsidR="00793C94" w:rsidRPr="0053555E" w:rsidRDefault="00793C94"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D</w:t>
            </w:r>
            <w:r w:rsidR="00FF2B19" w:rsidRPr="0053555E">
              <w:rPr>
                <w:rFonts w:asciiTheme="majorHAnsi" w:eastAsia="Times New Roman" w:hAnsiTheme="majorHAnsi" w:cstheme="majorHAnsi"/>
                <w:b/>
                <w:bCs/>
                <w:sz w:val="22"/>
                <w:szCs w:val="22"/>
                <w:lang w:eastAsia="sk-SK"/>
              </w:rPr>
              <w:t>enná</w:t>
            </w:r>
          </w:p>
          <w:p w14:paraId="33ABF6B0" w14:textId="77777777" w:rsidR="00FF2B19" w:rsidRPr="0053555E" w:rsidRDefault="00FF2B19"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forma</w:t>
            </w:r>
          </w:p>
        </w:tc>
        <w:tc>
          <w:tcPr>
            <w:tcW w:w="1418" w:type="dxa"/>
            <w:tcBorders>
              <w:top w:val="nil"/>
              <w:left w:val="nil"/>
              <w:bottom w:val="single" w:sz="4" w:space="0" w:color="auto"/>
              <w:right w:val="single" w:sz="4" w:space="0" w:color="auto"/>
            </w:tcBorders>
            <w:shd w:val="clear" w:color="auto" w:fill="auto"/>
            <w:vAlign w:val="center"/>
            <w:hideMark/>
          </w:tcPr>
          <w:p w14:paraId="67237FBA" w14:textId="77777777" w:rsidR="00FF2B19" w:rsidRPr="0053555E" w:rsidRDefault="00FF2B19"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externá forma</w:t>
            </w:r>
          </w:p>
        </w:tc>
        <w:tc>
          <w:tcPr>
            <w:tcW w:w="1701" w:type="dxa"/>
            <w:tcBorders>
              <w:top w:val="nil"/>
              <w:left w:val="nil"/>
              <w:bottom w:val="single" w:sz="4" w:space="0" w:color="auto"/>
              <w:right w:val="single" w:sz="4" w:space="0" w:color="auto"/>
            </w:tcBorders>
            <w:shd w:val="clear" w:color="auto" w:fill="auto"/>
            <w:vAlign w:val="center"/>
            <w:hideMark/>
          </w:tcPr>
          <w:p w14:paraId="57E7DF7B" w14:textId="77777777" w:rsidR="009D23C1" w:rsidRPr="0053555E" w:rsidRDefault="00FF2B19"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z toho uchádzači</w:t>
            </w:r>
          </w:p>
          <w:p w14:paraId="75755483" w14:textId="77777777" w:rsidR="00FF2B19" w:rsidRPr="0053555E" w:rsidRDefault="00FF2B19"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zo zahraničia</w:t>
            </w:r>
          </w:p>
        </w:tc>
      </w:tr>
      <w:tr w:rsidR="006202DB" w:rsidRPr="0053555E" w14:paraId="21D38BC0" w14:textId="77777777" w:rsidTr="00451273">
        <w:trPr>
          <w:trHeight w:val="20"/>
        </w:trPr>
        <w:tc>
          <w:tcPr>
            <w:tcW w:w="1358" w:type="dxa"/>
            <w:tcBorders>
              <w:top w:val="nil"/>
              <w:left w:val="single" w:sz="4" w:space="0" w:color="auto"/>
              <w:bottom w:val="single" w:sz="4" w:space="0" w:color="auto"/>
              <w:right w:val="single" w:sz="4" w:space="0" w:color="auto"/>
            </w:tcBorders>
            <w:shd w:val="clear" w:color="auto" w:fill="auto"/>
            <w:noWrap/>
            <w:hideMark/>
          </w:tcPr>
          <w:p w14:paraId="4FAA6A1D" w14:textId="4BB6C9EF" w:rsidR="006202DB" w:rsidRPr="0053555E" w:rsidRDefault="006202DB" w:rsidP="006202DB">
            <w:pPr>
              <w:rPr>
                <w:rFonts w:asciiTheme="majorHAnsi" w:hAnsiTheme="majorHAnsi" w:cstheme="majorHAnsi"/>
                <w:sz w:val="22"/>
                <w:szCs w:val="22"/>
              </w:rPr>
            </w:pPr>
            <w:r w:rsidRPr="0053555E">
              <w:rPr>
                <w:sz w:val="22"/>
                <w:szCs w:val="22"/>
              </w:rPr>
              <w:t>2012/2013</w:t>
            </w:r>
          </w:p>
        </w:tc>
        <w:tc>
          <w:tcPr>
            <w:tcW w:w="1559" w:type="dxa"/>
            <w:tcBorders>
              <w:top w:val="nil"/>
              <w:left w:val="nil"/>
              <w:bottom w:val="single" w:sz="4" w:space="0" w:color="auto"/>
              <w:right w:val="single" w:sz="4" w:space="0" w:color="auto"/>
            </w:tcBorders>
            <w:shd w:val="clear" w:color="auto" w:fill="auto"/>
            <w:noWrap/>
            <w:hideMark/>
          </w:tcPr>
          <w:p w14:paraId="57B5BD4A" w14:textId="0F9A2E36" w:rsidR="006202DB" w:rsidRPr="0053555E" w:rsidRDefault="006202DB" w:rsidP="006202DB">
            <w:pPr>
              <w:jc w:val="center"/>
              <w:rPr>
                <w:rFonts w:asciiTheme="majorHAnsi" w:hAnsiTheme="majorHAnsi" w:cstheme="majorHAnsi"/>
                <w:sz w:val="22"/>
                <w:szCs w:val="22"/>
              </w:rPr>
            </w:pPr>
            <w:r w:rsidRPr="0053555E">
              <w:rPr>
                <w:sz w:val="22"/>
                <w:szCs w:val="22"/>
              </w:rPr>
              <w:t>313</w:t>
            </w:r>
          </w:p>
        </w:tc>
        <w:tc>
          <w:tcPr>
            <w:tcW w:w="1559" w:type="dxa"/>
            <w:tcBorders>
              <w:top w:val="nil"/>
              <w:left w:val="nil"/>
              <w:bottom w:val="single" w:sz="4" w:space="0" w:color="auto"/>
              <w:right w:val="single" w:sz="4" w:space="0" w:color="auto"/>
            </w:tcBorders>
            <w:shd w:val="clear" w:color="auto" w:fill="auto"/>
            <w:noWrap/>
            <w:hideMark/>
          </w:tcPr>
          <w:p w14:paraId="722BA928" w14:textId="6E4E412E" w:rsidR="006202DB" w:rsidRPr="0053555E" w:rsidRDefault="006202DB" w:rsidP="006202DB">
            <w:pPr>
              <w:jc w:val="center"/>
              <w:rPr>
                <w:rFonts w:asciiTheme="majorHAnsi" w:hAnsiTheme="majorHAnsi" w:cstheme="majorHAnsi"/>
                <w:sz w:val="22"/>
                <w:szCs w:val="22"/>
              </w:rPr>
            </w:pPr>
            <w:r w:rsidRPr="0053555E">
              <w:rPr>
                <w:sz w:val="22"/>
                <w:szCs w:val="22"/>
              </w:rPr>
              <w:t>90</w:t>
            </w:r>
          </w:p>
        </w:tc>
        <w:tc>
          <w:tcPr>
            <w:tcW w:w="1417" w:type="dxa"/>
            <w:tcBorders>
              <w:top w:val="nil"/>
              <w:left w:val="nil"/>
              <w:bottom w:val="single" w:sz="4" w:space="0" w:color="auto"/>
              <w:right w:val="single" w:sz="4" w:space="0" w:color="auto"/>
            </w:tcBorders>
            <w:shd w:val="clear" w:color="auto" w:fill="auto"/>
            <w:noWrap/>
            <w:hideMark/>
          </w:tcPr>
          <w:p w14:paraId="1005453E" w14:textId="44B88AE0" w:rsidR="006202DB" w:rsidRPr="0053555E" w:rsidRDefault="006202DB" w:rsidP="006202DB">
            <w:pPr>
              <w:jc w:val="center"/>
              <w:rPr>
                <w:rFonts w:asciiTheme="majorHAnsi" w:hAnsiTheme="majorHAnsi" w:cstheme="majorHAnsi"/>
                <w:sz w:val="22"/>
                <w:szCs w:val="22"/>
              </w:rPr>
            </w:pPr>
            <w:r w:rsidRPr="0053555E">
              <w:rPr>
                <w:sz w:val="22"/>
                <w:szCs w:val="22"/>
              </w:rPr>
              <w:t>417</w:t>
            </w:r>
          </w:p>
        </w:tc>
        <w:tc>
          <w:tcPr>
            <w:tcW w:w="1418" w:type="dxa"/>
            <w:tcBorders>
              <w:top w:val="nil"/>
              <w:left w:val="nil"/>
              <w:bottom w:val="single" w:sz="4" w:space="0" w:color="auto"/>
              <w:right w:val="single" w:sz="4" w:space="0" w:color="auto"/>
            </w:tcBorders>
            <w:shd w:val="clear" w:color="auto" w:fill="auto"/>
            <w:noWrap/>
            <w:hideMark/>
          </w:tcPr>
          <w:p w14:paraId="353E099B" w14:textId="09F30DA0" w:rsidR="006202DB" w:rsidRPr="0053555E" w:rsidRDefault="006202DB" w:rsidP="006202DB">
            <w:pPr>
              <w:jc w:val="center"/>
              <w:rPr>
                <w:rFonts w:asciiTheme="majorHAnsi" w:hAnsiTheme="majorHAnsi" w:cstheme="majorHAnsi"/>
                <w:sz w:val="22"/>
                <w:szCs w:val="22"/>
              </w:rPr>
            </w:pPr>
            <w:r w:rsidRPr="0053555E">
              <w:rPr>
                <w:sz w:val="22"/>
                <w:szCs w:val="22"/>
              </w:rPr>
              <w:t>89</w:t>
            </w:r>
          </w:p>
        </w:tc>
        <w:tc>
          <w:tcPr>
            <w:tcW w:w="1701" w:type="dxa"/>
            <w:tcBorders>
              <w:top w:val="nil"/>
              <w:left w:val="nil"/>
              <w:bottom w:val="single" w:sz="4" w:space="0" w:color="auto"/>
              <w:right w:val="single" w:sz="4" w:space="0" w:color="auto"/>
            </w:tcBorders>
            <w:shd w:val="clear" w:color="auto" w:fill="auto"/>
            <w:noWrap/>
            <w:hideMark/>
          </w:tcPr>
          <w:p w14:paraId="28034DFC" w14:textId="5FAC4FEC" w:rsidR="006202DB" w:rsidRPr="0053555E" w:rsidRDefault="006202DB" w:rsidP="006202DB">
            <w:pPr>
              <w:jc w:val="center"/>
              <w:rPr>
                <w:rFonts w:asciiTheme="majorHAnsi" w:hAnsiTheme="majorHAnsi" w:cstheme="majorHAnsi"/>
                <w:sz w:val="22"/>
                <w:szCs w:val="22"/>
              </w:rPr>
            </w:pPr>
            <w:r w:rsidRPr="0053555E">
              <w:rPr>
                <w:sz w:val="22"/>
                <w:szCs w:val="22"/>
              </w:rPr>
              <w:t>21</w:t>
            </w:r>
          </w:p>
        </w:tc>
      </w:tr>
      <w:tr w:rsidR="006202DB" w:rsidRPr="0053555E" w14:paraId="55822572" w14:textId="77777777" w:rsidTr="00451273">
        <w:trPr>
          <w:trHeight w:val="20"/>
        </w:trPr>
        <w:tc>
          <w:tcPr>
            <w:tcW w:w="1358" w:type="dxa"/>
            <w:tcBorders>
              <w:top w:val="nil"/>
              <w:left w:val="single" w:sz="4" w:space="0" w:color="auto"/>
              <w:bottom w:val="single" w:sz="4" w:space="0" w:color="auto"/>
              <w:right w:val="single" w:sz="4" w:space="0" w:color="auto"/>
            </w:tcBorders>
            <w:shd w:val="clear" w:color="auto" w:fill="auto"/>
            <w:noWrap/>
            <w:hideMark/>
          </w:tcPr>
          <w:p w14:paraId="4BA4F800" w14:textId="6B620492" w:rsidR="006202DB" w:rsidRPr="0053555E" w:rsidRDefault="006202DB" w:rsidP="006202DB">
            <w:pPr>
              <w:rPr>
                <w:rFonts w:asciiTheme="majorHAnsi" w:hAnsiTheme="majorHAnsi" w:cstheme="majorHAnsi"/>
                <w:sz w:val="22"/>
                <w:szCs w:val="22"/>
              </w:rPr>
            </w:pPr>
            <w:r w:rsidRPr="0053555E">
              <w:rPr>
                <w:sz w:val="22"/>
                <w:szCs w:val="22"/>
              </w:rPr>
              <w:t>2013/2014</w:t>
            </w:r>
          </w:p>
        </w:tc>
        <w:tc>
          <w:tcPr>
            <w:tcW w:w="1559" w:type="dxa"/>
            <w:tcBorders>
              <w:top w:val="nil"/>
              <w:left w:val="nil"/>
              <w:bottom w:val="single" w:sz="4" w:space="0" w:color="auto"/>
              <w:right w:val="single" w:sz="4" w:space="0" w:color="auto"/>
            </w:tcBorders>
            <w:shd w:val="clear" w:color="auto" w:fill="auto"/>
            <w:noWrap/>
            <w:hideMark/>
          </w:tcPr>
          <w:p w14:paraId="12CAFB22" w14:textId="49062BD4" w:rsidR="006202DB" w:rsidRPr="0053555E" w:rsidRDefault="006202DB" w:rsidP="006202DB">
            <w:pPr>
              <w:jc w:val="center"/>
              <w:rPr>
                <w:rFonts w:asciiTheme="majorHAnsi" w:hAnsiTheme="majorHAnsi" w:cstheme="majorHAnsi"/>
                <w:sz w:val="22"/>
                <w:szCs w:val="22"/>
              </w:rPr>
            </w:pPr>
            <w:r w:rsidRPr="0053555E">
              <w:rPr>
                <w:sz w:val="22"/>
                <w:szCs w:val="22"/>
              </w:rPr>
              <w:t>271</w:t>
            </w:r>
          </w:p>
        </w:tc>
        <w:tc>
          <w:tcPr>
            <w:tcW w:w="1559" w:type="dxa"/>
            <w:tcBorders>
              <w:top w:val="nil"/>
              <w:left w:val="nil"/>
              <w:bottom w:val="single" w:sz="4" w:space="0" w:color="auto"/>
              <w:right w:val="single" w:sz="4" w:space="0" w:color="auto"/>
            </w:tcBorders>
            <w:shd w:val="clear" w:color="auto" w:fill="auto"/>
            <w:noWrap/>
            <w:hideMark/>
          </w:tcPr>
          <w:p w14:paraId="101106BF" w14:textId="1184F6B6" w:rsidR="006202DB" w:rsidRPr="0053555E" w:rsidRDefault="006202DB" w:rsidP="006202DB">
            <w:pPr>
              <w:jc w:val="center"/>
              <w:rPr>
                <w:rFonts w:asciiTheme="majorHAnsi" w:hAnsiTheme="majorHAnsi" w:cstheme="majorHAnsi"/>
                <w:sz w:val="22"/>
                <w:szCs w:val="22"/>
              </w:rPr>
            </w:pPr>
            <w:r w:rsidRPr="0053555E">
              <w:rPr>
                <w:sz w:val="22"/>
                <w:szCs w:val="22"/>
              </w:rPr>
              <w:t>131</w:t>
            </w:r>
          </w:p>
        </w:tc>
        <w:tc>
          <w:tcPr>
            <w:tcW w:w="1417" w:type="dxa"/>
            <w:tcBorders>
              <w:top w:val="nil"/>
              <w:left w:val="nil"/>
              <w:bottom w:val="single" w:sz="4" w:space="0" w:color="auto"/>
              <w:right w:val="single" w:sz="4" w:space="0" w:color="auto"/>
            </w:tcBorders>
            <w:shd w:val="clear" w:color="auto" w:fill="auto"/>
            <w:noWrap/>
            <w:hideMark/>
          </w:tcPr>
          <w:p w14:paraId="783C741F" w14:textId="5AD92874" w:rsidR="006202DB" w:rsidRPr="0053555E" w:rsidRDefault="006202DB" w:rsidP="006202DB">
            <w:pPr>
              <w:jc w:val="center"/>
              <w:rPr>
                <w:rFonts w:asciiTheme="majorHAnsi" w:hAnsiTheme="majorHAnsi" w:cstheme="majorHAnsi"/>
                <w:sz w:val="22"/>
                <w:szCs w:val="22"/>
              </w:rPr>
            </w:pPr>
            <w:r w:rsidRPr="0053555E">
              <w:rPr>
                <w:sz w:val="22"/>
                <w:szCs w:val="22"/>
              </w:rPr>
              <w:t>355</w:t>
            </w:r>
          </w:p>
        </w:tc>
        <w:tc>
          <w:tcPr>
            <w:tcW w:w="1418" w:type="dxa"/>
            <w:tcBorders>
              <w:top w:val="nil"/>
              <w:left w:val="nil"/>
              <w:bottom w:val="single" w:sz="4" w:space="0" w:color="auto"/>
              <w:right w:val="single" w:sz="4" w:space="0" w:color="auto"/>
            </w:tcBorders>
            <w:shd w:val="clear" w:color="auto" w:fill="auto"/>
            <w:noWrap/>
            <w:hideMark/>
          </w:tcPr>
          <w:p w14:paraId="423FC5F1" w14:textId="715CE154" w:rsidR="006202DB" w:rsidRPr="0053555E" w:rsidRDefault="006202DB" w:rsidP="006202DB">
            <w:pPr>
              <w:jc w:val="center"/>
              <w:rPr>
                <w:rFonts w:asciiTheme="majorHAnsi" w:hAnsiTheme="majorHAnsi" w:cstheme="majorHAnsi"/>
                <w:sz w:val="22"/>
                <w:szCs w:val="22"/>
              </w:rPr>
            </w:pPr>
            <w:r w:rsidRPr="0053555E">
              <w:rPr>
                <w:sz w:val="22"/>
                <w:szCs w:val="22"/>
              </w:rPr>
              <w:t>96</w:t>
            </w:r>
          </w:p>
        </w:tc>
        <w:tc>
          <w:tcPr>
            <w:tcW w:w="1701" w:type="dxa"/>
            <w:tcBorders>
              <w:top w:val="nil"/>
              <w:left w:val="nil"/>
              <w:bottom w:val="single" w:sz="4" w:space="0" w:color="auto"/>
              <w:right w:val="single" w:sz="4" w:space="0" w:color="auto"/>
            </w:tcBorders>
            <w:shd w:val="clear" w:color="auto" w:fill="auto"/>
            <w:noWrap/>
            <w:hideMark/>
          </w:tcPr>
          <w:p w14:paraId="239991FC" w14:textId="2E521E9A" w:rsidR="006202DB" w:rsidRPr="0053555E" w:rsidRDefault="006202DB" w:rsidP="006202DB">
            <w:pPr>
              <w:jc w:val="center"/>
              <w:rPr>
                <w:rFonts w:asciiTheme="majorHAnsi" w:hAnsiTheme="majorHAnsi" w:cstheme="majorHAnsi"/>
                <w:sz w:val="22"/>
                <w:szCs w:val="22"/>
              </w:rPr>
            </w:pPr>
            <w:r w:rsidRPr="0053555E">
              <w:rPr>
                <w:sz w:val="22"/>
                <w:szCs w:val="22"/>
              </w:rPr>
              <w:t>22</w:t>
            </w:r>
          </w:p>
        </w:tc>
      </w:tr>
      <w:tr w:rsidR="006202DB" w:rsidRPr="0053555E" w14:paraId="11E4D171" w14:textId="77777777" w:rsidTr="00451273">
        <w:trPr>
          <w:trHeight w:val="20"/>
        </w:trPr>
        <w:tc>
          <w:tcPr>
            <w:tcW w:w="1358" w:type="dxa"/>
            <w:tcBorders>
              <w:top w:val="nil"/>
              <w:left w:val="single" w:sz="4" w:space="0" w:color="auto"/>
              <w:bottom w:val="single" w:sz="4" w:space="0" w:color="auto"/>
              <w:right w:val="single" w:sz="4" w:space="0" w:color="auto"/>
            </w:tcBorders>
            <w:shd w:val="clear" w:color="auto" w:fill="auto"/>
            <w:noWrap/>
          </w:tcPr>
          <w:p w14:paraId="7CE36964" w14:textId="29AFDE1A" w:rsidR="006202DB" w:rsidRPr="0053555E" w:rsidRDefault="006202DB" w:rsidP="006202DB">
            <w:pPr>
              <w:rPr>
                <w:rFonts w:asciiTheme="majorHAnsi" w:hAnsiTheme="majorHAnsi" w:cstheme="majorHAnsi"/>
                <w:sz w:val="22"/>
                <w:szCs w:val="22"/>
              </w:rPr>
            </w:pPr>
            <w:r w:rsidRPr="0053555E">
              <w:rPr>
                <w:sz w:val="22"/>
                <w:szCs w:val="22"/>
              </w:rPr>
              <w:t>2014/2015</w:t>
            </w:r>
          </w:p>
        </w:tc>
        <w:tc>
          <w:tcPr>
            <w:tcW w:w="1559" w:type="dxa"/>
            <w:tcBorders>
              <w:top w:val="nil"/>
              <w:left w:val="nil"/>
              <w:bottom w:val="single" w:sz="4" w:space="0" w:color="auto"/>
              <w:right w:val="single" w:sz="4" w:space="0" w:color="auto"/>
            </w:tcBorders>
            <w:shd w:val="clear" w:color="auto" w:fill="auto"/>
            <w:noWrap/>
          </w:tcPr>
          <w:p w14:paraId="3B4F1F82" w14:textId="1FE45A4E" w:rsidR="006202DB" w:rsidRPr="0053555E" w:rsidRDefault="006202DB" w:rsidP="006202DB">
            <w:pPr>
              <w:jc w:val="center"/>
              <w:rPr>
                <w:rFonts w:asciiTheme="majorHAnsi" w:hAnsiTheme="majorHAnsi" w:cstheme="majorHAnsi"/>
                <w:sz w:val="22"/>
                <w:szCs w:val="22"/>
              </w:rPr>
            </w:pPr>
            <w:r w:rsidRPr="0053555E">
              <w:rPr>
                <w:sz w:val="22"/>
                <w:szCs w:val="22"/>
              </w:rPr>
              <w:t>246</w:t>
            </w:r>
          </w:p>
        </w:tc>
        <w:tc>
          <w:tcPr>
            <w:tcW w:w="1559" w:type="dxa"/>
            <w:tcBorders>
              <w:top w:val="nil"/>
              <w:left w:val="nil"/>
              <w:bottom w:val="single" w:sz="4" w:space="0" w:color="auto"/>
              <w:right w:val="single" w:sz="4" w:space="0" w:color="auto"/>
            </w:tcBorders>
            <w:shd w:val="clear" w:color="auto" w:fill="auto"/>
            <w:noWrap/>
          </w:tcPr>
          <w:p w14:paraId="65789391" w14:textId="5D9E02DF" w:rsidR="006202DB" w:rsidRPr="0053555E" w:rsidRDefault="006202DB" w:rsidP="006202DB">
            <w:pPr>
              <w:jc w:val="center"/>
              <w:rPr>
                <w:rFonts w:asciiTheme="majorHAnsi" w:hAnsiTheme="majorHAnsi" w:cstheme="majorHAnsi"/>
                <w:sz w:val="22"/>
                <w:szCs w:val="22"/>
              </w:rPr>
            </w:pPr>
            <w:r w:rsidRPr="0053555E">
              <w:rPr>
                <w:sz w:val="22"/>
                <w:szCs w:val="22"/>
              </w:rPr>
              <w:t>87</w:t>
            </w:r>
          </w:p>
        </w:tc>
        <w:tc>
          <w:tcPr>
            <w:tcW w:w="1417" w:type="dxa"/>
            <w:tcBorders>
              <w:top w:val="nil"/>
              <w:left w:val="nil"/>
              <w:bottom w:val="single" w:sz="4" w:space="0" w:color="auto"/>
              <w:right w:val="single" w:sz="4" w:space="0" w:color="auto"/>
            </w:tcBorders>
            <w:shd w:val="clear" w:color="auto" w:fill="auto"/>
            <w:noWrap/>
          </w:tcPr>
          <w:p w14:paraId="5DC21D9B" w14:textId="0388F5BD" w:rsidR="006202DB" w:rsidRPr="0053555E" w:rsidRDefault="006202DB" w:rsidP="006202DB">
            <w:pPr>
              <w:jc w:val="center"/>
              <w:rPr>
                <w:rFonts w:asciiTheme="majorHAnsi" w:hAnsiTheme="majorHAnsi" w:cstheme="majorHAnsi"/>
                <w:sz w:val="22"/>
                <w:szCs w:val="22"/>
              </w:rPr>
            </w:pPr>
            <w:r w:rsidRPr="0053555E">
              <w:rPr>
                <w:sz w:val="22"/>
                <w:szCs w:val="22"/>
              </w:rPr>
              <w:t>312</w:t>
            </w:r>
          </w:p>
        </w:tc>
        <w:tc>
          <w:tcPr>
            <w:tcW w:w="1418" w:type="dxa"/>
            <w:tcBorders>
              <w:top w:val="nil"/>
              <w:left w:val="nil"/>
              <w:bottom w:val="single" w:sz="4" w:space="0" w:color="auto"/>
              <w:right w:val="single" w:sz="4" w:space="0" w:color="auto"/>
            </w:tcBorders>
            <w:shd w:val="clear" w:color="auto" w:fill="auto"/>
            <w:noWrap/>
          </w:tcPr>
          <w:p w14:paraId="7AF6ADC7" w14:textId="3B63DCA0" w:rsidR="006202DB" w:rsidRPr="0053555E" w:rsidRDefault="006202DB" w:rsidP="006202DB">
            <w:pPr>
              <w:jc w:val="center"/>
              <w:rPr>
                <w:rFonts w:asciiTheme="majorHAnsi" w:hAnsiTheme="majorHAnsi" w:cstheme="majorHAnsi"/>
                <w:sz w:val="22"/>
                <w:szCs w:val="22"/>
              </w:rPr>
            </w:pPr>
            <w:r w:rsidRPr="0053555E">
              <w:rPr>
                <w:sz w:val="22"/>
                <w:szCs w:val="22"/>
              </w:rPr>
              <w:t>84</w:t>
            </w:r>
          </w:p>
        </w:tc>
        <w:tc>
          <w:tcPr>
            <w:tcW w:w="1701" w:type="dxa"/>
            <w:tcBorders>
              <w:top w:val="nil"/>
              <w:left w:val="nil"/>
              <w:bottom w:val="single" w:sz="4" w:space="0" w:color="auto"/>
              <w:right w:val="single" w:sz="4" w:space="0" w:color="auto"/>
            </w:tcBorders>
            <w:shd w:val="clear" w:color="auto" w:fill="auto"/>
            <w:noWrap/>
          </w:tcPr>
          <w:p w14:paraId="6475AFC4" w14:textId="6B65332C" w:rsidR="006202DB" w:rsidRPr="0053555E" w:rsidRDefault="006202DB" w:rsidP="006202DB">
            <w:pPr>
              <w:jc w:val="center"/>
              <w:rPr>
                <w:rFonts w:asciiTheme="majorHAnsi" w:hAnsiTheme="majorHAnsi" w:cstheme="majorHAnsi"/>
                <w:sz w:val="22"/>
                <w:szCs w:val="22"/>
              </w:rPr>
            </w:pPr>
            <w:r w:rsidRPr="0053555E">
              <w:rPr>
                <w:sz w:val="22"/>
                <w:szCs w:val="22"/>
              </w:rPr>
              <w:t>20</w:t>
            </w:r>
          </w:p>
        </w:tc>
      </w:tr>
      <w:tr w:rsidR="006202DB" w:rsidRPr="0053555E" w14:paraId="5194F1C5" w14:textId="77777777" w:rsidTr="00451273">
        <w:trPr>
          <w:trHeight w:val="20"/>
        </w:trPr>
        <w:tc>
          <w:tcPr>
            <w:tcW w:w="1358" w:type="dxa"/>
            <w:tcBorders>
              <w:top w:val="nil"/>
              <w:left w:val="single" w:sz="4" w:space="0" w:color="auto"/>
              <w:bottom w:val="single" w:sz="4" w:space="0" w:color="auto"/>
              <w:right w:val="single" w:sz="4" w:space="0" w:color="auto"/>
            </w:tcBorders>
            <w:shd w:val="clear" w:color="auto" w:fill="auto"/>
            <w:noWrap/>
          </w:tcPr>
          <w:p w14:paraId="12438A5C" w14:textId="6B6924FD" w:rsidR="006202DB" w:rsidRPr="0053555E" w:rsidRDefault="006202DB" w:rsidP="006202DB">
            <w:pPr>
              <w:rPr>
                <w:rFonts w:asciiTheme="majorHAnsi" w:hAnsiTheme="majorHAnsi" w:cstheme="majorHAnsi"/>
                <w:sz w:val="22"/>
                <w:szCs w:val="22"/>
              </w:rPr>
            </w:pPr>
            <w:r w:rsidRPr="0053555E">
              <w:rPr>
                <w:sz w:val="22"/>
                <w:szCs w:val="22"/>
              </w:rPr>
              <w:t>2015/2016</w:t>
            </w:r>
          </w:p>
        </w:tc>
        <w:tc>
          <w:tcPr>
            <w:tcW w:w="1559" w:type="dxa"/>
            <w:tcBorders>
              <w:top w:val="nil"/>
              <w:left w:val="nil"/>
              <w:bottom w:val="single" w:sz="4" w:space="0" w:color="auto"/>
              <w:right w:val="single" w:sz="4" w:space="0" w:color="auto"/>
            </w:tcBorders>
            <w:shd w:val="clear" w:color="auto" w:fill="auto"/>
            <w:noWrap/>
          </w:tcPr>
          <w:p w14:paraId="441FA8A3" w14:textId="5A2BAA5A" w:rsidR="006202DB" w:rsidRPr="0053555E" w:rsidRDefault="006202DB" w:rsidP="006202DB">
            <w:pPr>
              <w:jc w:val="center"/>
              <w:rPr>
                <w:rFonts w:asciiTheme="majorHAnsi" w:hAnsiTheme="majorHAnsi" w:cstheme="majorHAnsi"/>
                <w:sz w:val="22"/>
                <w:szCs w:val="22"/>
              </w:rPr>
            </w:pPr>
            <w:r w:rsidRPr="0053555E">
              <w:rPr>
                <w:sz w:val="22"/>
                <w:szCs w:val="22"/>
              </w:rPr>
              <w:t>244</w:t>
            </w:r>
          </w:p>
        </w:tc>
        <w:tc>
          <w:tcPr>
            <w:tcW w:w="1559" w:type="dxa"/>
            <w:tcBorders>
              <w:top w:val="nil"/>
              <w:left w:val="nil"/>
              <w:bottom w:val="single" w:sz="4" w:space="0" w:color="auto"/>
              <w:right w:val="single" w:sz="4" w:space="0" w:color="auto"/>
            </w:tcBorders>
            <w:shd w:val="clear" w:color="auto" w:fill="auto"/>
            <w:noWrap/>
          </w:tcPr>
          <w:p w14:paraId="0D955E6B" w14:textId="3AEDB531" w:rsidR="006202DB" w:rsidRPr="0053555E" w:rsidRDefault="006202DB" w:rsidP="006202DB">
            <w:pPr>
              <w:jc w:val="center"/>
              <w:rPr>
                <w:rFonts w:asciiTheme="majorHAnsi" w:hAnsiTheme="majorHAnsi" w:cstheme="majorHAnsi"/>
                <w:sz w:val="22"/>
                <w:szCs w:val="22"/>
              </w:rPr>
            </w:pPr>
            <w:r w:rsidRPr="0053555E">
              <w:rPr>
                <w:sz w:val="22"/>
                <w:szCs w:val="22"/>
              </w:rPr>
              <w:t>117</w:t>
            </w:r>
          </w:p>
        </w:tc>
        <w:tc>
          <w:tcPr>
            <w:tcW w:w="1417" w:type="dxa"/>
            <w:tcBorders>
              <w:top w:val="nil"/>
              <w:left w:val="nil"/>
              <w:bottom w:val="single" w:sz="4" w:space="0" w:color="auto"/>
              <w:right w:val="single" w:sz="4" w:space="0" w:color="auto"/>
            </w:tcBorders>
            <w:shd w:val="clear" w:color="auto" w:fill="auto"/>
            <w:noWrap/>
          </w:tcPr>
          <w:p w14:paraId="3653E33F" w14:textId="3F9DA865" w:rsidR="006202DB" w:rsidRPr="0053555E" w:rsidRDefault="006202DB" w:rsidP="006202DB">
            <w:pPr>
              <w:jc w:val="center"/>
              <w:rPr>
                <w:rFonts w:asciiTheme="majorHAnsi" w:hAnsiTheme="majorHAnsi" w:cstheme="majorHAnsi"/>
                <w:sz w:val="22"/>
                <w:szCs w:val="22"/>
              </w:rPr>
            </w:pPr>
            <w:r w:rsidRPr="0053555E">
              <w:rPr>
                <w:sz w:val="22"/>
                <w:szCs w:val="22"/>
              </w:rPr>
              <w:t>226</w:t>
            </w:r>
          </w:p>
        </w:tc>
        <w:tc>
          <w:tcPr>
            <w:tcW w:w="1418" w:type="dxa"/>
            <w:tcBorders>
              <w:top w:val="nil"/>
              <w:left w:val="nil"/>
              <w:bottom w:val="single" w:sz="4" w:space="0" w:color="auto"/>
              <w:right w:val="single" w:sz="4" w:space="0" w:color="auto"/>
            </w:tcBorders>
            <w:shd w:val="clear" w:color="auto" w:fill="auto"/>
            <w:noWrap/>
          </w:tcPr>
          <w:p w14:paraId="4B41C074" w14:textId="4D36B38D" w:rsidR="006202DB" w:rsidRPr="0053555E" w:rsidRDefault="006202DB" w:rsidP="006202DB">
            <w:pPr>
              <w:jc w:val="center"/>
              <w:rPr>
                <w:rFonts w:asciiTheme="majorHAnsi" w:hAnsiTheme="majorHAnsi" w:cstheme="majorHAnsi"/>
                <w:sz w:val="22"/>
                <w:szCs w:val="22"/>
              </w:rPr>
            </w:pPr>
            <w:r w:rsidRPr="0053555E">
              <w:rPr>
                <w:sz w:val="22"/>
                <w:szCs w:val="22"/>
              </w:rPr>
              <w:t>58</w:t>
            </w:r>
          </w:p>
        </w:tc>
        <w:tc>
          <w:tcPr>
            <w:tcW w:w="1701" w:type="dxa"/>
            <w:tcBorders>
              <w:top w:val="nil"/>
              <w:left w:val="nil"/>
              <w:bottom w:val="single" w:sz="4" w:space="0" w:color="auto"/>
              <w:right w:val="single" w:sz="4" w:space="0" w:color="auto"/>
            </w:tcBorders>
            <w:shd w:val="clear" w:color="auto" w:fill="auto"/>
            <w:noWrap/>
          </w:tcPr>
          <w:p w14:paraId="3480F071" w14:textId="0F6CE0E1" w:rsidR="006202DB" w:rsidRPr="0053555E" w:rsidRDefault="006202DB" w:rsidP="006202DB">
            <w:pPr>
              <w:jc w:val="center"/>
              <w:rPr>
                <w:rFonts w:asciiTheme="majorHAnsi" w:hAnsiTheme="majorHAnsi" w:cstheme="majorHAnsi"/>
                <w:sz w:val="22"/>
                <w:szCs w:val="22"/>
              </w:rPr>
            </w:pPr>
            <w:r w:rsidRPr="0053555E">
              <w:rPr>
                <w:sz w:val="22"/>
                <w:szCs w:val="22"/>
              </w:rPr>
              <w:t>15</w:t>
            </w:r>
          </w:p>
        </w:tc>
      </w:tr>
      <w:tr w:rsidR="006202DB" w:rsidRPr="0053555E" w14:paraId="1F25C891" w14:textId="77777777" w:rsidTr="00451273">
        <w:trPr>
          <w:trHeight w:val="20"/>
        </w:trPr>
        <w:tc>
          <w:tcPr>
            <w:tcW w:w="1358" w:type="dxa"/>
            <w:tcBorders>
              <w:top w:val="nil"/>
              <w:left w:val="single" w:sz="4" w:space="0" w:color="auto"/>
              <w:bottom w:val="single" w:sz="4" w:space="0" w:color="auto"/>
              <w:right w:val="single" w:sz="4" w:space="0" w:color="auto"/>
            </w:tcBorders>
            <w:shd w:val="clear" w:color="auto" w:fill="auto"/>
            <w:noWrap/>
            <w:hideMark/>
          </w:tcPr>
          <w:p w14:paraId="5A0C00C9" w14:textId="7B5F7DC8" w:rsidR="006202DB" w:rsidRPr="0053555E" w:rsidRDefault="006202DB" w:rsidP="006202DB">
            <w:pPr>
              <w:rPr>
                <w:rFonts w:asciiTheme="majorHAnsi" w:hAnsiTheme="majorHAnsi" w:cstheme="majorHAnsi"/>
                <w:sz w:val="22"/>
                <w:szCs w:val="22"/>
              </w:rPr>
            </w:pPr>
            <w:r w:rsidRPr="0053555E">
              <w:rPr>
                <w:sz w:val="22"/>
                <w:szCs w:val="22"/>
              </w:rPr>
              <w:t>2016/2017</w:t>
            </w:r>
          </w:p>
        </w:tc>
        <w:tc>
          <w:tcPr>
            <w:tcW w:w="1559" w:type="dxa"/>
            <w:tcBorders>
              <w:top w:val="nil"/>
              <w:left w:val="nil"/>
              <w:bottom w:val="single" w:sz="4" w:space="0" w:color="auto"/>
              <w:right w:val="single" w:sz="4" w:space="0" w:color="auto"/>
            </w:tcBorders>
            <w:shd w:val="clear" w:color="auto" w:fill="auto"/>
            <w:noWrap/>
            <w:hideMark/>
          </w:tcPr>
          <w:p w14:paraId="19870047" w14:textId="784F83F3" w:rsidR="006202DB" w:rsidRPr="0053555E" w:rsidRDefault="006202DB" w:rsidP="006202DB">
            <w:pPr>
              <w:jc w:val="center"/>
              <w:rPr>
                <w:rFonts w:asciiTheme="majorHAnsi" w:hAnsiTheme="majorHAnsi" w:cstheme="majorHAnsi"/>
                <w:sz w:val="22"/>
                <w:szCs w:val="22"/>
              </w:rPr>
            </w:pPr>
            <w:r w:rsidRPr="0053555E">
              <w:rPr>
                <w:sz w:val="22"/>
                <w:szCs w:val="22"/>
              </w:rPr>
              <w:t>168</w:t>
            </w:r>
          </w:p>
        </w:tc>
        <w:tc>
          <w:tcPr>
            <w:tcW w:w="1559" w:type="dxa"/>
            <w:tcBorders>
              <w:top w:val="nil"/>
              <w:left w:val="nil"/>
              <w:bottom w:val="single" w:sz="4" w:space="0" w:color="auto"/>
              <w:right w:val="single" w:sz="4" w:space="0" w:color="auto"/>
            </w:tcBorders>
            <w:shd w:val="clear" w:color="auto" w:fill="auto"/>
            <w:noWrap/>
            <w:hideMark/>
          </w:tcPr>
          <w:p w14:paraId="6B2274CA" w14:textId="3558E705" w:rsidR="006202DB" w:rsidRPr="0053555E" w:rsidRDefault="006202DB" w:rsidP="006202DB">
            <w:pPr>
              <w:jc w:val="center"/>
              <w:rPr>
                <w:rFonts w:asciiTheme="majorHAnsi" w:hAnsiTheme="majorHAnsi" w:cstheme="majorHAnsi"/>
                <w:sz w:val="22"/>
                <w:szCs w:val="22"/>
              </w:rPr>
            </w:pPr>
            <w:r w:rsidRPr="0053555E">
              <w:rPr>
                <w:sz w:val="22"/>
                <w:szCs w:val="22"/>
              </w:rPr>
              <w:t>107</w:t>
            </w:r>
          </w:p>
        </w:tc>
        <w:tc>
          <w:tcPr>
            <w:tcW w:w="1417" w:type="dxa"/>
            <w:tcBorders>
              <w:top w:val="nil"/>
              <w:left w:val="nil"/>
              <w:bottom w:val="single" w:sz="4" w:space="0" w:color="auto"/>
              <w:right w:val="single" w:sz="4" w:space="0" w:color="auto"/>
            </w:tcBorders>
            <w:shd w:val="clear" w:color="auto" w:fill="auto"/>
            <w:noWrap/>
            <w:hideMark/>
          </w:tcPr>
          <w:p w14:paraId="23E750C9" w14:textId="51309DB2" w:rsidR="006202DB" w:rsidRPr="0053555E" w:rsidRDefault="006202DB" w:rsidP="006202DB">
            <w:pPr>
              <w:jc w:val="center"/>
              <w:rPr>
                <w:rFonts w:asciiTheme="majorHAnsi" w:hAnsiTheme="majorHAnsi" w:cstheme="majorHAnsi"/>
                <w:sz w:val="22"/>
                <w:szCs w:val="22"/>
              </w:rPr>
            </w:pPr>
            <w:r w:rsidRPr="0053555E">
              <w:rPr>
                <w:sz w:val="22"/>
                <w:szCs w:val="22"/>
              </w:rPr>
              <w:t>207</w:t>
            </w:r>
          </w:p>
        </w:tc>
        <w:tc>
          <w:tcPr>
            <w:tcW w:w="1418" w:type="dxa"/>
            <w:tcBorders>
              <w:top w:val="nil"/>
              <w:left w:val="nil"/>
              <w:bottom w:val="single" w:sz="4" w:space="0" w:color="auto"/>
              <w:right w:val="single" w:sz="4" w:space="0" w:color="auto"/>
            </w:tcBorders>
            <w:shd w:val="clear" w:color="auto" w:fill="auto"/>
            <w:noWrap/>
            <w:hideMark/>
          </w:tcPr>
          <w:p w14:paraId="7C12FBF8" w14:textId="1D2371A6" w:rsidR="006202DB" w:rsidRPr="0053555E" w:rsidRDefault="006202DB" w:rsidP="006202DB">
            <w:pPr>
              <w:jc w:val="center"/>
              <w:rPr>
                <w:rFonts w:asciiTheme="majorHAnsi" w:hAnsiTheme="majorHAnsi" w:cstheme="majorHAnsi"/>
                <w:sz w:val="22"/>
                <w:szCs w:val="22"/>
              </w:rPr>
            </w:pPr>
            <w:r w:rsidRPr="0053555E">
              <w:rPr>
                <w:sz w:val="22"/>
                <w:szCs w:val="22"/>
              </w:rPr>
              <w:t>57</w:t>
            </w:r>
          </w:p>
        </w:tc>
        <w:tc>
          <w:tcPr>
            <w:tcW w:w="1701" w:type="dxa"/>
            <w:tcBorders>
              <w:top w:val="nil"/>
              <w:left w:val="nil"/>
              <w:bottom w:val="single" w:sz="4" w:space="0" w:color="auto"/>
              <w:right w:val="single" w:sz="4" w:space="0" w:color="auto"/>
            </w:tcBorders>
            <w:shd w:val="clear" w:color="auto" w:fill="auto"/>
            <w:noWrap/>
            <w:hideMark/>
          </w:tcPr>
          <w:p w14:paraId="7F5947D6" w14:textId="6864ED7C" w:rsidR="006202DB" w:rsidRPr="0053555E" w:rsidRDefault="006202DB" w:rsidP="006202DB">
            <w:pPr>
              <w:jc w:val="center"/>
              <w:rPr>
                <w:rFonts w:asciiTheme="majorHAnsi" w:hAnsiTheme="majorHAnsi" w:cstheme="majorHAnsi"/>
                <w:sz w:val="22"/>
                <w:szCs w:val="22"/>
              </w:rPr>
            </w:pPr>
            <w:r w:rsidRPr="0053555E">
              <w:rPr>
                <w:sz w:val="22"/>
                <w:szCs w:val="22"/>
              </w:rPr>
              <w:t>19</w:t>
            </w:r>
          </w:p>
        </w:tc>
      </w:tr>
      <w:tr w:rsidR="006202DB" w:rsidRPr="0053555E" w14:paraId="0CA70055" w14:textId="77777777" w:rsidTr="00451273">
        <w:trPr>
          <w:trHeight w:val="20"/>
        </w:trPr>
        <w:tc>
          <w:tcPr>
            <w:tcW w:w="1358" w:type="dxa"/>
            <w:tcBorders>
              <w:top w:val="single" w:sz="4" w:space="0" w:color="auto"/>
              <w:left w:val="single" w:sz="4" w:space="0" w:color="auto"/>
              <w:bottom w:val="single" w:sz="4" w:space="0" w:color="auto"/>
              <w:right w:val="single" w:sz="4" w:space="0" w:color="auto"/>
            </w:tcBorders>
            <w:shd w:val="clear" w:color="auto" w:fill="auto"/>
            <w:noWrap/>
            <w:hideMark/>
          </w:tcPr>
          <w:p w14:paraId="078C24D7" w14:textId="73185C97" w:rsidR="006202DB" w:rsidRPr="0053555E" w:rsidRDefault="006202DB" w:rsidP="006202DB">
            <w:pPr>
              <w:rPr>
                <w:rFonts w:asciiTheme="majorHAnsi" w:hAnsiTheme="majorHAnsi" w:cstheme="majorHAnsi"/>
                <w:sz w:val="22"/>
                <w:szCs w:val="22"/>
              </w:rPr>
            </w:pPr>
            <w:r w:rsidRPr="0053555E">
              <w:rPr>
                <w:sz w:val="22"/>
                <w:szCs w:val="22"/>
              </w:rPr>
              <w:t>2017/2018</w:t>
            </w:r>
          </w:p>
        </w:tc>
        <w:tc>
          <w:tcPr>
            <w:tcW w:w="1559" w:type="dxa"/>
            <w:tcBorders>
              <w:top w:val="single" w:sz="4" w:space="0" w:color="auto"/>
              <w:left w:val="nil"/>
              <w:bottom w:val="single" w:sz="4" w:space="0" w:color="auto"/>
              <w:right w:val="single" w:sz="4" w:space="0" w:color="auto"/>
            </w:tcBorders>
            <w:shd w:val="clear" w:color="auto" w:fill="auto"/>
            <w:noWrap/>
            <w:hideMark/>
          </w:tcPr>
          <w:p w14:paraId="266E0E7E" w14:textId="3F435D81" w:rsidR="006202DB" w:rsidRPr="0053555E" w:rsidRDefault="006202DB" w:rsidP="006202DB">
            <w:pPr>
              <w:jc w:val="center"/>
              <w:rPr>
                <w:rFonts w:asciiTheme="majorHAnsi" w:hAnsiTheme="majorHAnsi" w:cstheme="majorHAnsi"/>
                <w:sz w:val="22"/>
                <w:szCs w:val="22"/>
              </w:rPr>
            </w:pPr>
            <w:r w:rsidRPr="0053555E">
              <w:rPr>
                <w:sz w:val="22"/>
                <w:szCs w:val="22"/>
              </w:rPr>
              <w:t>221</w:t>
            </w:r>
          </w:p>
        </w:tc>
        <w:tc>
          <w:tcPr>
            <w:tcW w:w="1559" w:type="dxa"/>
            <w:tcBorders>
              <w:top w:val="single" w:sz="4" w:space="0" w:color="auto"/>
              <w:left w:val="nil"/>
              <w:bottom w:val="single" w:sz="4" w:space="0" w:color="auto"/>
              <w:right w:val="single" w:sz="4" w:space="0" w:color="auto"/>
            </w:tcBorders>
            <w:shd w:val="clear" w:color="auto" w:fill="auto"/>
            <w:noWrap/>
            <w:hideMark/>
          </w:tcPr>
          <w:p w14:paraId="672ECF10" w14:textId="05C0F702" w:rsidR="006202DB" w:rsidRPr="0053555E" w:rsidRDefault="006202DB" w:rsidP="006202DB">
            <w:pPr>
              <w:jc w:val="center"/>
              <w:rPr>
                <w:rFonts w:asciiTheme="majorHAnsi" w:hAnsiTheme="majorHAnsi" w:cstheme="majorHAnsi"/>
                <w:sz w:val="22"/>
                <w:szCs w:val="22"/>
              </w:rPr>
            </w:pPr>
            <w:r w:rsidRPr="0053555E">
              <w:rPr>
                <w:sz w:val="22"/>
                <w:szCs w:val="22"/>
              </w:rPr>
              <w:t>169</w:t>
            </w:r>
          </w:p>
        </w:tc>
        <w:tc>
          <w:tcPr>
            <w:tcW w:w="1417" w:type="dxa"/>
            <w:tcBorders>
              <w:top w:val="single" w:sz="4" w:space="0" w:color="auto"/>
              <w:left w:val="nil"/>
              <w:bottom w:val="single" w:sz="4" w:space="0" w:color="auto"/>
              <w:right w:val="single" w:sz="4" w:space="0" w:color="auto"/>
            </w:tcBorders>
            <w:shd w:val="clear" w:color="auto" w:fill="auto"/>
            <w:noWrap/>
            <w:hideMark/>
          </w:tcPr>
          <w:p w14:paraId="09CA8A1C" w14:textId="2103A78E" w:rsidR="006202DB" w:rsidRPr="0053555E" w:rsidRDefault="006202DB" w:rsidP="006202DB">
            <w:pPr>
              <w:jc w:val="center"/>
              <w:rPr>
                <w:rFonts w:asciiTheme="majorHAnsi" w:hAnsiTheme="majorHAnsi" w:cstheme="majorHAnsi"/>
                <w:sz w:val="22"/>
                <w:szCs w:val="22"/>
              </w:rPr>
            </w:pPr>
            <w:r w:rsidRPr="0053555E">
              <w:rPr>
                <w:sz w:val="22"/>
                <w:szCs w:val="22"/>
              </w:rPr>
              <w:t>210</w:t>
            </w:r>
          </w:p>
        </w:tc>
        <w:tc>
          <w:tcPr>
            <w:tcW w:w="1418" w:type="dxa"/>
            <w:tcBorders>
              <w:top w:val="single" w:sz="4" w:space="0" w:color="auto"/>
              <w:left w:val="nil"/>
              <w:bottom w:val="single" w:sz="4" w:space="0" w:color="auto"/>
              <w:right w:val="single" w:sz="4" w:space="0" w:color="auto"/>
            </w:tcBorders>
            <w:shd w:val="clear" w:color="auto" w:fill="auto"/>
            <w:noWrap/>
            <w:hideMark/>
          </w:tcPr>
          <w:p w14:paraId="3A20F9DD" w14:textId="3C9B39E7" w:rsidR="006202DB" w:rsidRPr="0053555E" w:rsidRDefault="006202DB" w:rsidP="006202DB">
            <w:pPr>
              <w:jc w:val="center"/>
              <w:rPr>
                <w:rFonts w:asciiTheme="majorHAnsi" w:hAnsiTheme="majorHAnsi" w:cstheme="majorHAnsi"/>
                <w:sz w:val="22"/>
                <w:szCs w:val="22"/>
              </w:rPr>
            </w:pPr>
            <w:r w:rsidRPr="0053555E">
              <w:rPr>
                <w:sz w:val="22"/>
                <w:szCs w:val="22"/>
              </w:rPr>
              <w:t>62</w:t>
            </w:r>
          </w:p>
        </w:tc>
        <w:tc>
          <w:tcPr>
            <w:tcW w:w="1701" w:type="dxa"/>
            <w:tcBorders>
              <w:top w:val="single" w:sz="4" w:space="0" w:color="auto"/>
              <w:left w:val="nil"/>
              <w:bottom w:val="single" w:sz="4" w:space="0" w:color="auto"/>
              <w:right w:val="single" w:sz="4" w:space="0" w:color="auto"/>
            </w:tcBorders>
            <w:shd w:val="clear" w:color="auto" w:fill="auto"/>
            <w:noWrap/>
            <w:hideMark/>
          </w:tcPr>
          <w:p w14:paraId="1E1E54C6" w14:textId="3BCD8E3F" w:rsidR="006202DB" w:rsidRPr="0053555E" w:rsidRDefault="006202DB" w:rsidP="006202DB">
            <w:pPr>
              <w:jc w:val="center"/>
              <w:rPr>
                <w:rFonts w:asciiTheme="majorHAnsi" w:hAnsiTheme="majorHAnsi" w:cstheme="majorHAnsi"/>
                <w:sz w:val="22"/>
                <w:szCs w:val="22"/>
              </w:rPr>
            </w:pPr>
            <w:r w:rsidRPr="0053555E">
              <w:rPr>
                <w:sz w:val="22"/>
                <w:szCs w:val="22"/>
              </w:rPr>
              <w:t>24</w:t>
            </w:r>
          </w:p>
        </w:tc>
      </w:tr>
      <w:tr w:rsidR="006202DB" w:rsidRPr="0053555E" w14:paraId="77639091" w14:textId="77777777" w:rsidTr="00451273">
        <w:trPr>
          <w:trHeight w:val="20"/>
        </w:trPr>
        <w:tc>
          <w:tcPr>
            <w:tcW w:w="135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DC46C88" w14:textId="67BA8549" w:rsidR="006202DB" w:rsidRPr="0053555E" w:rsidRDefault="006202DB" w:rsidP="006202DB">
            <w:pPr>
              <w:rPr>
                <w:rFonts w:asciiTheme="majorHAnsi" w:hAnsiTheme="majorHAnsi" w:cstheme="majorHAnsi"/>
                <w:sz w:val="22"/>
                <w:szCs w:val="22"/>
              </w:rPr>
            </w:pPr>
            <w:r w:rsidRPr="0053555E">
              <w:rPr>
                <w:sz w:val="22"/>
                <w:szCs w:val="22"/>
              </w:rPr>
              <w:t>2018/2019</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73848B53" w14:textId="5F0A5FCD" w:rsidR="006202DB" w:rsidRPr="0053555E" w:rsidRDefault="006202DB" w:rsidP="006202DB">
            <w:pPr>
              <w:jc w:val="center"/>
              <w:rPr>
                <w:rFonts w:asciiTheme="majorHAnsi" w:hAnsiTheme="majorHAnsi" w:cstheme="majorHAnsi"/>
                <w:sz w:val="22"/>
                <w:szCs w:val="22"/>
              </w:rPr>
            </w:pPr>
            <w:r w:rsidRPr="0053555E">
              <w:rPr>
                <w:sz w:val="22"/>
                <w:szCs w:val="22"/>
              </w:rPr>
              <w:t>229</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3EE1DAF9" w14:textId="1ED6F693" w:rsidR="006202DB" w:rsidRPr="0053555E" w:rsidRDefault="006202DB" w:rsidP="006202DB">
            <w:pPr>
              <w:jc w:val="center"/>
              <w:rPr>
                <w:rFonts w:asciiTheme="majorHAnsi" w:hAnsiTheme="majorHAnsi" w:cstheme="majorHAnsi"/>
                <w:sz w:val="22"/>
                <w:szCs w:val="22"/>
              </w:rPr>
            </w:pPr>
            <w:r w:rsidRPr="0053555E">
              <w:rPr>
                <w:sz w:val="22"/>
                <w:szCs w:val="22"/>
              </w:rPr>
              <w:t>125</w:t>
            </w:r>
          </w:p>
        </w:tc>
        <w:tc>
          <w:tcPr>
            <w:tcW w:w="1417" w:type="dxa"/>
            <w:tcBorders>
              <w:top w:val="single" w:sz="4" w:space="0" w:color="auto"/>
              <w:left w:val="nil"/>
              <w:bottom w:val="single" w:sz="4" w:space="0" w:color="auto"/>
              <w:right w:val="single" w:sz="4" w:space="0" w:color="auto"/>
            </w:tcBorders>
            <w:shd w:val="clear" w:color="auto" w:fill="FFFFFF" w:themeFill="background1"/>
            <w:noWrap/>
          </w:tcPr>
          <w:p w14:paraId="799A6AFB" w14:textId="15B89FCA" w:rsidR="006202DB" w:rsidRPr="0053555E" w:rsidRDefault="006202DB" w:rsidP="006202DB">
            <w:pPr>
              <w:jc w:val="center"/>
              <w:rPr>
                <w:rFonts w:asciiTheme="majorHAnsi" w:hAnsiTheme="majorHAnsi" w:cstheme="majorHAnsi"/>
                <w:sz w:val="22"/>
                <w:szCs w:val="22"/>
              </w:rPr>
            </w:pPr>
            <w:r w:rsidRPr="0053555E">
              <w:rPr>
                <w:sz w:val="22"/>
                <w:szCs w:val="22"/>
              </w:rPr>
              <w:t>226</w:t>
            </w:r>
          </w:p>
        </w:tc>
        <w:tc>
          <w:tcPr>
            <w:tcW w:w="1418" w:type="dxa"/>
            <w:tcBorders>
              <w:top w:val="single" w:sz="4" w:space="0" w:color="auto"/>
              <w:left w:val="nil"/>
              <w:bottom w:val="single" w:sz="4" w:space="0" w:color="auto"/>
              <w:right w:val="single" w:sz="4" w:space="0" w:color="auto"/>
            </w:tcBorders>
            <w:shd w:val="clear" w:color="auto" w:fill="FFFFFF" w:themeFill="background1"/>
            <w:noWrap/>
          </w:tcPr>
          <w:p w14:paraId="340707EF" w14:textId="5747F4B6" w:rsidR="006202DB" w:rsidRPr="0053555E" w:rsidRDefault="006202DB" w:rsidP="006202DB">
            <w:pPr>
              <w:jc w:val="center"/>
              <w:rPr>
                <w:rFonts w:asciiTheme="majorHAnsi" w:hAnsiTheme="majorHAnsi" w:cstheme="majorHAnsi"/>
                <w:sz w:val="22"/>
                <w:szCs w:val="22"/>
              </w:rPr>
            </w:pPr>
            <w:r w:rsidRPr="0053555E">
              <w:rPr>
                <w:sz w:val="22"/>
                <w:szCs w:val="22"/>
              </w:rPr>
              <w:t>42</w:t>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0CC83345" w14:textId="24682CFB" w:rsidR="006202DB" w:rsidRPr="0053555E" w:rsidRDefault="006202DB" w:rsidP="006202DB">
            <w:pPr>
              <w:jc w:val="center"/>
              <w:rPr>
                <w:rFonts w:asciiTheme="majorHAnsi" w:hAnsiTheme="majorHAnsi" w:cstheme="majorHAnsi"/>
                <w:sz w:val="22"/>
                <w:szCs w:val="22"/>
              </w:rPr>
            </w:pPr>
            <w:r w:rsidRPr="0053555E">
              <w:rPr>
                <w:sz w:val="22"/>
                <w:szCs w:val="22"/>
              </w:rPr>
              <w:t>34</w:t>
            </w:r>
          </w:p>
        </w:tc>
      </w:tr>
      <w:tr w:rsidR="006202DB" w:rsidRPr="0053555E" w14:paraId="601F7DB6" w14:textId="77777777" w:rsidTr="00451273">
        <w:trPr>
          <w:trHeight w:val="20"/>
        </w:trPr>
        <w:tc>
          <w:tcPr>
            <w:tcW w:w="1358" w:type="dxa"/>
            <w:tcBorders>
              <w:top w:val="single" w:sz="4" w:space="0" w:color="auto"/>
              <w:left w:val="single" w:sz="4" w:space="0" w:color="auto"/>
              <w:bottom w:val="single" w:sz="4" w:space="0" w:color="auto"/>
              <w:right w:val="single" w:sz="4" w:space="0" w:color="auto"/>
            </w:tcBorders>
            <w:shd w:val="clear" w:color="auto" w:fill="auto"/>
            <w:noWrap/>
          </w:tcPr>
          <w:p w14:paraId="41ADF4D9" w14:textId="4BA7069C" w:rsidR="006202DB" w:rsidRPr="0053555E" w:rsidRDefault="006202DB" w:rsidP="006202DB">
            <w:pPr>
              <w:rPr>
                <w:rFonts w:asciiTheme="majorHAnsi" w:hAnsiTheme="majorHAnsi" w:cstheme="majorHAnsi"/>
                <w:b/>
                <w:sz w:val="22"/>
                <w:szCs w:val="22"/>
              </w:rPr>
            </w:pPr>
            <w:r w:rsidRPr="0053555E">
              <w:rPr>
                <w:sz w:val="22"/>
                <w:szCs w:val="22"/>
              </w:rPr>
              <w:t>2019/2020</w:t>
            </w:r>
          </w:p>
        </w:tc>
        <w:tc>
          <w:tcPr>
            <w:tcW w:w="1559" w:type="dxa"/>
            <w:tcBorders>
              <w:top w:val="single" w:sz="4" w:space="0" w:color="auto"/>
              <w:left w:val="nil"/>
              <w:bottom w:val="single" w:sz="4" w:space="0" w:color="auto"/>
              <w:right w:val="single" w:sz="4" w:space="0" w:color="auto"/>
            </w:tcBorders>
            <w:shd w:val="clear" w:color="auto" w:fill="auto"/>
            <w:noWrap/>
          </w:tcPr>
          <w:p w14:paraId="49971182" w14:textId="09F55E8E" w:rsidR="006202DB" w:rsidRPr="0053555E" w:rsidRDefault="006202DB" w:rsidP="006202DB">
            <w:pPr>
              <w:jc w:val="center"/>
              <w:rPr>
                <w:rFonts w:asciiTheme="majorHAnsi" w:hAnsiTheme="majorHAnsi" w:cstheme="majorHAnsi"/>
                <w:b/>
                <w:sz w:val="22"/>
                <w:szCs w:val="22"/>
              </w:rPr>
            </w:pPr>
            <w:r w:rsidRPr="0053555E">
              <w:rPr>
                <w:sz w:val="22"/>
                <w:szCs w:val="22"/>
              </w:rPr>
              <w:t>230</w:t>
            </w:r>
          </w:p>
        </w:tc>
        <w:tc>
          <w:tcPr>
            <w:tcW w:w="1559" w:type="dxa"/>
            <w:tcBorders>
              <w:top w:val="single" w:sz="4" w:space="0" w:color="auto"/>
              <w:left w:val="nil"/>
              <w:bottom w:val="single" w:sz="4" w:space="0" w:color="auto"/>
              <w:right w:val="single" w:sz="4" w:space="0" w:color="auto"/>
            </w:tcBorders>
            <w:shd w:val="clear" w:color="auto" w:fill="auto"/>
            <w:noWrap/>
          </w:tcPr>
          <w:p w14:paraId="4387788D" w14:textId="1C852B2D" w:rsidR="006202DB" w:rsidRPr="0053555E" w:rsidRDefault="006202DB" w:rsidP="006202DB">
            <w:pPr>
              <w:jc w:val="center"/>
              <w:rPr>
                <w:rFonts w:asciiTheme="majorHAnsi" w:hAnsiTheme="majorHAnsi" w:cstheme="majorHAnsi"/>
                <w:b/>
                <w:sz w:val="22"/>
                <w:szCs w:val="22"/>
              </w:rPr>
            </w:pPr>
            <w:r w:rsidRPr="0053555E">
              <w:rPr>
                <w:sz w:val="22"/>
                <w:szCs w:val="22"/>
              </w:rPr>
              <w:t>107</w:t>
            </w:r>
          </w:p>
        </w:tc>
        <w:tc>
          <w:tcPr>
            <w:tcW w:w="1417" w:type="dxa"/>
            <w:tcBorders>
              <w:top w:val="single" w:sz="4" w:space="0" w:color="auto"/>
              <w:left w:val="nil"/>
              <w:bottom w:val="single" w:sz="4" w:space="0" w:color="auto"/>
              <w:right w:val="single" w:sz="4" w:space="0" w:color="auto"/>
            </w:tcBorders>
            <w:shd w:val="clear" w:color="auto" w:fill="auto"/>
            <w:noWrap/>
          </w:tcPr>
          <w:p w14:paraId="3F288846" w14:textId="1FC5EF84" w:rsidR="006202DB" w:rsidRPr="0053555E" w:rsidRDefault="006202DB" w:rsidP="006202DB">
            <w:pPr>
              <w:jc w:val="center"/>
              <w:rPr>
                <w:rFonts w:asciiTheme="majorHAnsi" w:hAnsiTheme="majorHAnsi" w:cstheme="majorHAnsi"/>
                <w:b/>
                <w:sz w:val="22"/>
                <w:szCs w:val="22"/>
              </w:rPr>
            </w:pPr>
            <w:r w:rsidRPr="0053555E">
              <w:rPr>
                <w:sz w:val="22"/>
                <w:szCs w:val="22"/>
              </w:rPr>
              <w:t>204</w:t>
            </w:r>
          </w:p>
        </w:tc>
        <w:tc>
          <w:tcPr>
            <w:tcW w:w="1418" w:type="dxa"/>
            <w:tcBorders>
              <w:top w:val="single" w:sz="4" w:space="0" w:color="auto"/>
              <w:left w:val="nil"/>
              <w:bottom w:val="single" w:sz="4" w:space="0" w:color="auto"/>
              <w:right w:val="single" w:sz="4" w:space="0" w:color="auto"/>
            </w:tcBorders>
            <w:shd w:val="clear" w:color="auto" w:fill="auto"/>
            <w:noWrap/>
          </w:tcPr>
          <w:p w14:paraId="1100B11C" w14:textId="2D2A2215" w:rsidR="006202DB" w:rsidRPr="0053555E" w:rsidRDefault="006202DB" w:rsidP="006202DB">
            <w:pPr>
              <w:jc w:val="center"/>
              <w:rPr>
                <w:rFonts w:asciiTheme="majorHAnsi" w:hAnsiTheme="majorHAnsi" w:cstheme="majorHAnsi"/>
                <w:b/>
                <w:sz w:val="22"/>
                <w:szCs w:val="22"/>
              </w:rPr>
            </w:pPr>
            <w:r w:rsidRPr="0053555E">
              <w:rPr>
                <w:sz w:val="22"/>
                <w:szCs w:val="22"/>
              </w:rPr>
              <w:t>57</w:t>
            </w:r>
          </w:p>
        </w:tc>
        <w:tc>
          <w:tcPr>
            <w:tcW w:w="1701" w:type="dxa"/>
            <w:tcBorders>
              <w:top w:val="single" w:sz="4" w:space="0" w:color="auto"/>
              <w:left w:val="nil"/>
              <w:bottom w:val="single" w:sz="4" w:space="0" w:color="auto"/>
              <w:right w:val="single" w:sz="4" w:space="0" w:color="auto"/>
            </w:tcBorders>
            <w:shd w:val="clear" w:color="auto" w:fill="auto"/>
            <w:noWrap/>
          </w:tcPr>
          <w:p w14:paraId="6297442E" w14:textId="3D3C762F" w:rsidR="006202DB" w:rsidRPr="0053555E" w:rsidRDefault="006202DB" w:rsidP="006202DB">
            <w:pPr>
              <w:jc w:val="center"/>
              <w:rPr>
                <w:rFonts w:asciiTheme="majorHAnsi" w:hAnsiTheme="majorHAnsi" w:cstheme="majorHAnsi"/>
                <w:b/>
                <w:sz w:val="22"/>
                <w:szCs w:val="22"/>
              </w:rPr>
            </w:pPr>
            <w:r w:rsidRPr="0053555E">
              <w:rPr>
                <w:sz w:val="22"/>
                <w:szCs w:val="22"/>
              </w:rPr>
              <w:t>52</w:t>
            </w:r>
          </w:p>
        </w:tc>
      </w:tr>
      <w:tr w:rsidR="006202DB" w:rsidRPr="0053555E" w14:paraId="52FA48DB" w14:textId="77777777" w:rsidTr="00451273">
        <w:trPr>
          <w:trHeight w:val="20"/>
        </w:trPr>
        <w:tc>
          <w:tcPr>
            <w:tcW w:w="1358" w:type="dxa"/>
            <w:tcBorders>
              <w:top w:val="single" w:sz="4" w:space="0" w:color="auto"/>
              <w:left w:val="single" w:sz="4" w:space="0" w:color="auto"/>
              <w:bottom w:val="single" w:sz="4" w:space="0" w:color="auto"/>
              <w:right w:val="single" w:sz="4" w:space="0" w:color="auto"/>
            </w:tcBorders>
            <w:shd w:val="clear" w:color="auto" w:fill="auto"/>
            <w:noWrap/>
          </w:tcPr>
          <w:p w14:paraId="4D409A16" w14:textId="538EB0EE" w:rsidR="006202DB" w:rsidRPr="0053555E" w:rsidRDefault="006202DB" w:rsidP="006202DB">
            <w:pPr>
              <w:rPr>
                <w:rFonts w:cs="Calibri"/>
                <w:sz w:val="22"/>
                <w:szCs w:val="22"/>
              </w:rPr>
            </w:pPr>
            <w:r w:rsidRPr="0053555E">
              <w:rPr>
                <w:sz w:val="22"/>
                <w:szCs w:val="22"/>
              </w:rPr>
              <w:t>2020/2021</w:t>
            </w:r>
          </w:p>
        </w:tc>
        <w:tc>
          <w:tcPr>
            <w:tcW w:w="1559" w:type="dxa"/>
            <w:tcBorders>
              <w:top w:val="single" w:sz="4" w:space="0" w:color="auto"/>
              <w:left w:val="nil"/>
              <w:bottom w:val="single" w:sz="4" w:space="0" w:color="auto"/>
              <w:right w:val="single" w:sz="4" w:space="0" w:color="auto"/>
            </w:tcBorders>
            <w:shd w:val="clear" w:color="auto" w:fill="auto"/>
            <w:noWrap/>
          </w:tcPr>
          <w:p w14:paraId="42640CE4" w14:textId="24267BB8" w:rsidR="006202DB" w:rsidRPr="0053555E" w:rsidRDefault="006202DB" w:rsidP="006202DB">
            <w:pPr>
              <w:jc w:val="center"/>
              <w:rPr>
                <w:rFonts w:cs="Calibri"/>
                <w:sz w:val="22"/>
                <w:szCs w:val="22"/>
              </w:rPr>
            </w:pPr>
            <w:r w:rsidRPr="0053555E">
              <w:rPr>
                <w:sz w:val="22"/>
                <w:szCs w:val="22"/>
              </w:rPr>
              <w:t>229</w:t>
            </w:r>
          </w:p>
        </w:tc>
        <w:tc>
          <w:tcPr>
            <w:tcW w:w="1559" w:type="dxa"/>
            <w:tcBorders>
              <w:top w:val="single" w:sz="4" w:space="0" w:color="auto"/>
              <w:left w:val="nil"/>
              <w:bottom w:val="single" w:sz="4" w:space="0" w:color="auto"/>
              <w:right w:val="single" w:sz="4" w:space="0" w:color="auto"/>
            </w:tcBorders>
            <w:shd w:val="clear" w:color="auto" w:fill="auto"/>
            <w:noWrap/>
          </w:tcPr>
          <w:p w14:paraId="134F6AEF" w14:textId="736512D7" w:rsidR="006202DB" w:rsidRPr="0053555E" w:rsidRDefault="006202DB" w:rsidP="006202DB">
            <w:pPr>
              <w:jc w:val="center"/>
              <w:rPr>
                <w:rFonts w:cs="Calibri"/>
                <w:sz w:val="22"/>
                <w:szCs w:val="22"/>
              </w:rPr>
            </w:pPr>
            <w:r w:rsidRPr="0053555E">
              <w:rPr>
                <w:sz w:val="22"/>
                <w:szCs w:val="22"/>
              </w:rPr>
              <w:t>172</w:t>
            </w:r>
          </w:p>
        </w:tc>
        <w:tc>
          <w:tcPr>
            <w:tcW w:w="1417" w:type="dxa"/>
            <w:tcBorders>
              <w:top w:val="single" w:sz="4" w:space="0" w:color="auto"/>
              <w:left w:val="nil"/>
              <w:bottom w:val="single" w:sz="4" w:space="0" w:color="auto"/>
              <w:right w:val="single" w:sz="4" w:space="0" w:color="auto"/>
            </w:tcBorders>
            <w:shd w:val="clear" w:color="auto" w:fill="auto"/>
            <w:noWrap/>
          </w:tcPr>
          <w:p w14:paraId="68C62013" w14:textId="0790A983" w:rsidR="006202DB" w:rsidRPr="0053555E" w:rsidRDefault="006202DB" w:rsidP="006202DB">
            <w:pPr>
              <w:jc w:val="center"/>
              <w:rPr>
                <w:rFonts w:cs="Calibri"/>
                <w:sz w:val="22"/>
                <w:szCs w:val="22"/>
              </w:rPr>
            </w:pPr>
            <w:r w:rsidRPr="0053555E">
              <w:rPr>
                <w:sz w:val="22"/>
                <w:szCs w:val="22"/>
              </w:rPr>
              <w:t>274</w:t>
            </w:r>
          </w:p>
        </w:tc>
        <w:tc>
          <w:tcPr>
            <w:tcW w:w="1418" w:type="dxa"/>
            <w:tcBorders>
              <w:top w:val="single" w:sz="4" w:space="0" w:color="auto"/>
              <w:left w:val="nil"/>
              <w:bottom w:val="single" w:sz="4" w:space="0" w:color="auto"/>
              <w:right w:val="single" w:sz="4" w:space="0" w:color="auto"/>
            </w:tcBorders>
            <w:shd w:val="clear" w:color="auto" w:fill="auto"/>
            <w:noWrap/>
          </w:tcPr>
          <w:p w14:paraId="13C95D29" w14:textId="53C3AD2D" w:rsidR="006202DB" w:rsidRPr="0053555E" w:rsidRDefault="006202DB" w:rsidP="006202DB">
            <w:pPr>
              <w:jc w:val="center"/>
              <w:rPr>
                <w:rFonts w:cs="Calibri"/>
                <w:sz w:val="22"/>
                <w:szCs w:val="22"/>
              </w:rPr>
            </w:pPr>
            <w:r w:rsidRPr="0053555E">
              <w:rPr>
                <w:sz w:val="22"/>
                <w:szCs w:val="22"/>
              </w:rPr>
              <w:t>58</w:t>
            </w:r>
          </w:p>
        </w:tc>
        <w:tc>
          <w:tcPr>
            <w:tcW w:w="1701" w:type="dxa"/>
            <w:tcBorders>
              <w:top w:val="single" w:sz="4" w:space="0" w:color="auto"/>
              <w:left w:val="nil"/>
              <w:bottom w:val="single" w:sz="4" w:space="0" w:color="auto"/>
              <w:right w:val="single" w:sz="4" w:space="0" w:color="auto"/>
            </w:tcBorders>
            <w:shd w:val="clear" w:color="auto" w:fill="auto"/>
            <w:noWrap/>
          </w:tcPr>
          <w:p w14:paraId="2F07A2B8" w14:textId="14D78618" w:rsidR="006202DB" w:rsidRPr="0053555E" w:rsidRDefault="006202DB" w:rsidP="006202DB">
            <w:pPr>
              <w:jc w:val="center"/>
              <w:rPr>
                <w:rFonts w:cs="Calibri"/>
                <w:sz w:val="22"/>
                <w:szCs w:val="22"/>
              </w:rPr>
            </w:pPr>
            <w:r w:rsidRPr="0053555E">
              <w:rPr>
                <w:sz w:val="22"/>
                <w:szCs w:val="22"/>
              </w:rPr>
              <w:t>41</w:t>
            </w:r>
          </w:p>
        </w:tc>
      </w:tr>
      <w:tr w:rsidR="006202DB" w:rsidRPr="0053555E" w14:paraId="7FCA0BB7" w14:textId="77777777" w:rsidTr="00451273">
        <w:trPr>
          <w:trHeight w:val="20"/>
        </w:trPr>
        <w:tc>
          <w:tcPr>
            <w:tcW w:w="1358" w:type="dxa"/>
            <w:tcBorders>
              <w:top w:val="single" w:sz="4" w:space="0" w:color="auto"/>
              <w:left w:val="single" w:sz="4" w:space="0" w:color="auto"/>
              <w:bottom w:val="single" w:sz="4" w:space="0" w:color="auto"/>
              <w:right w:val="single" w:sz="4" w:space="0" w:color="auto"/>
            </w:tcBorders>
            <w:shd w:val="clear" w:color="auto" w:fill="auto"/>
            <w:noWrap/>
          </w:tcPr>
          <w:p w14:paraId="3326A9A0" w14:textId="531A430E" w:rsidR="006202DB" w:rsidRPr="0053555E" w:rsidRDefault="006202DB" w:rsidP="006202DB">
            <w:pPr>
              <w:rPr>
                <w:rFonts w:asciiTheme="majorHAnsi" w:hAnsiTheme="majorHAnsi" w:cstheme="majorHAnsi"/>
                <w:b/>
                <w:sz w:val="22"/>
                <w:szCs w:val="22"/>
              </w:rPr>
            </w:pPr>
            <w:r w:rsidRPr="0053555E">
              <w:rPr>
                <w:sz w:val="22"/>
                <w:szCs w:val="22"/>
              </w:rPr>
              <w:t>2021/2022</w:t>
            </w:r>
          </w:p>
        </w:tc>
        <w:tc>
          <w:tcPr>
            <w:tcW w:w="1559" w:type="dxa"/>
            <w:tcBorders>
              <w:top w:val="single" w:sz="4" w:space="0" w:color="auto"/>
              <w:left w:val="nil"/>
              <w:bottom w:val="single" w:sz="4" w:space="0" w:color="auto"/>
              <w:right w:val="single" w:sz="4" w:space="0" w:color="auto"/>
            </w:tcBorders>
            <w:shd w:val="clear" w:color="auto" w:fill="auto"/>
            <w:noWrap/>
          </w:tcPr>
          <w:p w14:paraId="6D46384A" w14:textId="4A0CBED6" w:rsidR="006202DB" w:rsidRPr="0053555E" w:rsidRDefault="006202DB" w:rsidP="006202DB">
            <w:pPr>
              <w:jc w:val="center"/>
              <w:rPr>
                <w:rFonts w:asciiTheme="majorHAnsi" w:hAnsiTheme="majorHAnsi" w:cstheme="majorHAnsi"/>
                <w:b/>
                <w:sz w:val="22"/>
                <w:szCs w:val="22"/>
              </w:rPr>
            </w:pPr>
            <w:r w:rsidRPr="0053555E">
              <w:rPr>
                <w:sz w:val="22"/>
                <w:szCs w:val="22"/>
              </w:rPr>
              <w:t>233</w:t>
            </w:r>
          </w:p>
        </w:tc>
        <w:tc>
          <w:tcPr>
            <w:tcW w:w="1559" w:type="dxa"/>
            <w:tcBorders>
              <w:top w:val="single" w:sz="4" w:space="0" w:color="auto"/>
              <w:left w:val="nil"/>
              <w:bottom w:val="single" w:sz="4" w:space="0" w:color="auto"/>
              <w:right w:val="single" w:sz="4" w:space="0" w:color="auto"/>
            </w:tcBorders>
            <w:shd w:val="clear" w:color="auto" w:fill="auto"/>
            <w:noWrap/>
          </w:tcPr>
          <w:p w14:paraId="39EA4E91" w14:textId="72618106" w:rsidR="006202DB" w:rsidRPr="0053555E" w:rsidRDefault="006202DB" w:rsidP="006202DB">
            <w:pPr>
              <w:jc w:val="center"/>
              <w:rPr>
                <w:rFonts w:asciiTheme="majorHAnsi" w:hAnsiTheme="majorHAnsi" w:cstheme="majorHAnsi"/>
                <w:b/>
                <w:sz w:val="22"/>
                <w:szCs w:val="22"/>
              </w:rPr>
            </w:pPr>
            <w:r w:rsidRPr="0053555E">
              <w:rPr>
                <w:sz w:val="22"/>
                <w:szCs w:val="22"/>
              </w:rPr>
              <w:t>156</w:t>
            </w:r>
          </w:p>
        </w:tc>
        <w:tc>
          <w:tcPr>
            <w:tcW w:w="1417" w:type="dxa"/>
            <w:tcBorders>
              <w:top w:val="single" w:sz="4" w:space="0" w:color="auto"/>
              <w:left w:val="nil"/>
              <w:bottom w:val="single" w:sz="4" w:space="0" w:color="auto"/>
              <w:right w:val="single" w:sz="4" w:space="0" w:color="auto"/>
            </w:tcBorders>
            <w:shd w:val="clear" w:color="auto" w:fill="auto"/>
            <w:noWrap/>
          </w:tcPr>
          <w:p w14:paraId="6CD4E8DD" w14:textId="07F7E549" w:rsidR="006202DB" w:rsidRPr="0053555E" w:rsidRDefault="006202DB" w:rsidP="006202DB">
            <w:pPr>
              <w:jc w:val="center"/>
              <w:rPr>
                <w:rFonts w:asciiTheme="majorHAnsi" w:hAnsiTheme="majorHAnsi" w:cstheme="majorHAnsi"/>
                <w:b/>
                <w:sz w:val="22"/>
                <w:szCs w:val="22"/>
              </w:rPr>
            </w:pPr>
            <w:r w:rsidRPr="0053555E">
              <w:rPr>
                <w:sz w:val="22"/>
                <w:szCs w:val="22"/>
              </w:rPr>
              <w:t>269</w:t>
            </w:r>
          </w:p>
        </w:tc>
        <w:tc>
          <w:tcPr>
            <w:tcW w:w="1418" w:type="dxa"/>
            <w:tcBorders>
              <w:top w:val="single" w:sz="4" w:space="0" w:color="auto"/>
              <w:left w:val="nil"/>
              <w:bottom w:val="single" w:sz="4" w:space="0" w:color="auto"/>
              <w:right w:val="single" w:sz="4" w:space="0" w:color="auto"/>
            </w:tcBorders>
            <w:shd w:val="clear" w:color="auto" w:fill="auto"/>
            <w:noWrap/>
          </w:tcPr>
          <w:p w14:paraId="3EF65E78" w14:textId="152DB222" w:rsidR="006202DB" w:rsidRPr="0053555E" w:rsidRDefault="006202DB" w:rsidP="006202DB">
            <w:pPr>
              <w:jc w:val="center"/>
              <w:rPr>
                <w:rFonts w:asciiTheme="majorHAnsi" w:hAnsiTheme="majorHAnsi" w:cstheme="majorHAnsi"/>
                <w:b/>
                <w:sz w:val="22"/>
                <w:szCs w:val="22"/>
              </w:rPr>
            </w:pPr>
            <w:r w:rsidRPr="0053555E">
              <w:rPr>
                <w:sz w:val="22"/>
                <w:szCs w:val="22"/>
              </w:rPr>
              <w:t>50</w:t>
            </w:r>
          </w:p>
        </w:tc>
        <w:tc>
          <w:tcPr>
            <w:tcW w:w="1701" w:type="dxa"/>
            <w:tcBorders>
              <w:top w:val="single" w:sz="4" w:space="0" w:color="auto"/>
              <w:left w:val="nil"/>
              <w:bottom w:val="single" w:sz="4" w:space="0" w:color="auto"/>
              <w:right w:val="single" w:sz="4" w:space="0" w:color="auto"/>
            </w:tcBorders>
            <w:shd w:val="clear" w:color="auto" w:fill="auto"/>
            <w:noWrap/>
          </w:tcPr>
          <w:p w14:paraId="0C9308EC" w14:textId="3F0A8375" w:rsidR="006202DB" w:rsidRPr="0053555E" w:rsidRDefault="006202DB" w:rsidP="006202DB">
            <w:pPr>
              <w:jc w:val="center"/>
              <w:rPr>
                <w:rFonts w:asciiTheme="majorHAnsi" w:hAnsiTheme="majorHAnsi" w:cstheme="majorHAnsi"/>
                <w:b/>
                <w:sz w:val="22"/>
                <w:szCs w:val="22"/>
              </w:rPr>
            </w:pPr>
            <w:r w:rsidRPr="0053555E">
              <w:rPr>
                <w:sz w:val="22"/>
                <w:szCs w:val="22"/>
              </w:rPr>
              <w:t>83</w:t>
            </w:r>
          </w:p>
        </w:tc>
      </w:tr>
      <w:tr w:rsidR="006202DB" w:rsidRPr="0053555E" w14:paraId="1EEF63D3" w14:textId="77777777" w:rsidTr="00451273">
        <w:trPr>
          <w:trHeight w:val="20"/>
        </w:trPr>
        <w:tc>
          <w:tcPr>
            <w:tcW w:w="1358" w:type="dxa"/>
            <w:tcBorders>
              <w:top w:val="single" w:sz="4" w:space="0" w:color="auto"/>
              <w:left w:val="single" w:sz="4" w:space="0" w:color="auto"/>
              <w:bottom w:val="single" w:sz="4" w:space="0" w:color="auto"/>
              <w:right w:val="single" w:sz="4" w:space="0" w:color="auto"/>
            </w:tcBorders>
            <w:shd w:val="clear" w:color="auto" w:fill="EEECE1" w:themeFill="background2"/>
            <w:noWrap/>
          </w:tcPr>
          <w:p w14:paraId="05305E59" w14:textId="754BA649" w:rsidR="006202DB" w:rsidRPr="0053555E" w:rsidRDefault="006202DB" w:rsidP="006202DB">
            <w:pPr>
              <w:rPr>
                <w:rFonts w:asciiTheme="majorHAnsi" w:hAnsiTheme="majorHAnsi" w:cstheme="majorHAnsi"/>
                <w:b/>
                <w:sz w:val="22"/>
                <w:szCs w:val="22"/>
              </w:rPr>
            </w:pPr>
            <w:r w:rsidRPr="0053555E">
              <w:rPr>
                <w:b/>
                <w:sz w:val="22"/>
                <w:szCs w:val="22"/>
              </w:rPr>
              <w:t>2022/2023</w:t>
            </w:r>
          </w:p>
        </w:tc>
        <w:tc>
          <w:tcPr>
            <w:tcW w:w="1559" w:type="dxa"/>
            <w:tcBorders>
              <w:top w:val="single" w:sz="4" w:space="0" w:color="auto"/>
              <w:left w:val="nil"/>
              <w:bottom w:val="single" w:sz="4" w:space="0" w:color="auto"/>
              <w:right w:val="single" w:sz="4" w:space="0" w:color="auto"/>
            </w:tcBorders>
            <w:shd w:val="clear" w:color="auto" w:fill="EEECE1" w:themeFill="background2"/>
            <w:noWrap/>
          </w:tcPr>
          <w:p w14:paraId="2BA04158" w14:textId="4C59F1C9" w:rsidR="006202DB" w:rsidRPr="0053555E" w:rsidRDefault="006202DB" w:rsidP="006202DB">
            <w:pPr>
              <w:jc w:val="center"/>
              <w:rPr>
                <w:rFonts w:asciiTheme="majorHAnsi" w:hAnsiTheme="majorHAnsi" w:cstheme="majorHAnsi"/>
                <w:b/>
                <w:sz w:val="22"/>
                <w:szCs w:val="22"/>
              </w:rPr>
            </w:pPr>
            <w:r w:rsidRPr="0053555E">
              <w:rPr>
                <w:b/>
                <w:sz w:val="22"/>
                <w:szCs w:val="22"/>
              </w:rPr>
              <w:t>233</w:t>
            </w:r>
          </w:p>
        </w:tc>
        <w:tc>
          <w:tcPr>
            <w:tcW w:w="1559" w:type="dxa"/>
            <w:tcBorders>
              <w:top w:val="single" w:sz="4" w:space="0" w:color="auto"/>
              <w:left w:val="nil"/>
              <w:bottom w:val="single" w:sz="4" w:space="0" w:color="auto"/>
              <w:right w:val="single" w:sz="4" w:space="0" w:color="auto"/>
            </w:tcBorders>
            <w:shd w:val="clear" w:color="auto" w:fill="EEECE1" w:themeFill="background2"/>
            <w:noWrap/>
          </w:tcPr>
          <w:p w14:paraId="3DF78B9C" w14:textId="01A9ABAB" w:rsidR="006202DB" w:rsidRPr="0053555E" w:rsidRDefault="006202DB" w:rsidP="006202DB">
            <w:pPr>
              <w:jc w:val="center"/>
              <w:rPr>
                <w:rFonts w:asciiTheme="majorHAnsi" w:hAnsiTheme="majorHAnsi" w:cstheme="majorHAnsi"/>
                <w:b/>
                <w:sz w:val="22"/>
                <w:szCs w:val="22"/>
              </w:rPr>
            </w:pPr>
            <w:r w:rsidRPr="0053555E">
              <w:rPr>
                <w:b/>
                <w:sz w:val="22"/>
                <w:szCs w:val="22"/>
              </w:rPr>
              <w:t>147</w:t>
            </w:r>
          </w:p>
        </w:tc>
        <w:tc>
          <w:tcPr>
            <w:tcW w:w="1417" w:type="dxa"/>
            <w:tcBorders>
              <w:top w:val="single" w:sz="4" w:space="0" w:color="auto"/>
              <w:left w:val="nil"/>
              <w:bottom w:val="single" w:sz="4" w:space="0" w:color="auto"/>
              <w:right w:val="single" w:sz="4" w:space="0" w:color="auto"/>
            </w:tcBorders>
            <w:shd w:val="clear" w:color="auto" w:fill="EEECE1" w:themeFill="background2"/>
            <w:noWrap/>
          </w:tcPr>
          <w:p w14:paraId="5CB3B3D1" w14:textId="4FCF5E22" w:rsidR="006202DB" w:rsidRPr="0053555E" w:rsidRDefault="006202DB" w:rsidP="006202DB">
            <w:pPr>
              <w:jc w:val="center"/>
              <w:rPr>
                <w:rFonts w:asciiTheme="majorHAnsi" w:hAnsiTheme="majorHAnsi" w:cstheme="majorHAnsi"/>
                <w:b/>
                <w:sz w:val="22"/>
                <w:szCs w:val="22"/>
              </w:rPr>
            </w:pPr>
            <w:r w:rsidRPr="0053555E">
              <w:rPr>
                <w:b/>
                <w:sz w:val="22"/>
                <w:szCs w:val="22"/>
              </w:rPr>
              <w:t>204</w:t>
            </w:r>
          </w:p>
        </w:tc>
        <w:tc>
          <w:tcPr>
            <w:tcW w:w="1418" w:type="dxa"/>
            <w:tcBorders>
              <w:top w:val="single" w:sz="4" w:space="0" w:color="auto"/>
              <w:left w:val="nil"/>
              <w:bottom w:val="single" w:sz="4" w:space="0" w:color="auto"/>
              <w:right w:val="single" w:sz="4" w:space="0" w:color="auto"/>
            </w:tcBorders>
            <w:shd w:val="clear" w:color="auto" w:fill="EEECE1" w:themeFill="background2"/>
            <w:noWrap/>
          </w:tcPr>
          <w:p w14:paraId="75063216" w14:textId="7F03BE3C" w:rsidR="006202DB" w:rsidRPr="0053555E" w:rsidRDefault="006202DB" w:rsidP="006202DB">
            <w:pPr>
              <w:jc w:val="center"/>
              <w:rPr>
                <w:rFonts w:asciiTheme="majorHAnsi" w:hAnsiTheme="majorHAnsi" w:cstheme="majorHAnsi"/>
                <w:b/>
                <w:sz w:val="22"/>
                <w:szCs w:val="22"/>
              </w:rPr>
            </w:pPr>
            <w:r w:rsidRPr="0053555E">
              <w:rPr>
                <w:b/>
                <w:sz w:val="22"/>
                <w:szCs w:val="22"/>
              </w:rPr>
              <w:t>62</w:t>
            </w:r>
          </w:p>
        </w:tc>
        <w:tc>
          <w:tcPr>
            <w:tcW w:w="1701" w:type="dxa"/>
            <w:tcBorders>
              <w:top w:val="single" w:sz="4" w:space="0" w:color="auto"/>
              <w:left w:val="nil"/>
              <w:bottom w:val="single" w:sz="4" w:space="0" w:color="auto"/>
              <w:right w:val="single" w:sz="4" w:space="0" w:color="auto"/>
            </w:tcBorders>
            <w:shd w:val="clear" w:color="auto" w:fill="EEECE1" w:themeFill="background2"/>
            <w:noWrap/>
          </w:tcPr>
          <w:p w14:paraId="09BC7C0B" w14:textId="76B1D1C6" w:rsidR="006202DB" w:rsidRPr="0053555E" w:rsidRDefault="006202DB" w:rsidP="006202DB">
            <w:pPr>
              <w:jc w:val="center"/>
              <w:rPr>
                <w:rFonts w:asciiTheme="majorHAnsi" w:hAnsiTheme="majorHAnsi" w:cstheme="majorHAnsi"/>
                <w:b/>
                <w:sz w:val="22"/>
                <w:szCs w:val="22"/>
              </w:rPr>
            </w:pPr>
            <w:r w:rsidRPr="0053555E">
              <w:rPr>
                <w:b/>
                <w:sz w:val="22"/>
                <w:szCs w:val="22"/>
              </w:rPr>
              <w:t>76</w:t>
            </w:r>
          </w:p>
        </w:tc>
      </w:tr>
    </w:tbl>
    <w:p w14:paraId="60D56779" w14:textId="77777777" w:rsidR="004C4BEC" w:rsidRPr="0053555E" w:rsidRDefault="004C4BEC" w:rsidP="00324438">
      <w:pPr>
        <w:tabs>
          <w:tab w:val="left" w:pos="9356"/>
        </w:tabs>
        <w:spacing w:after="120"/>
        <w:jc w:val="both"/>
        <w:rPr>
          <w:rFonts w:asciiTheme="majorHAnsi" w:hAnsiTheme="majorHAnsi" w:cstheme="majorHAnsi"/>
        </w:rPr>
      </w:pPr>
    </w:p>
    <w:p w14:paraId="75EF7448" w14:textId="227BC471" w:rsidR="00D5119F" w:rsidRPr="0053555E" w:rsidRDefault="00055345" w:rsidP="00324438">
      <w:pPr>
        <w:tabs>
          <w:tab w:val="left" w:pos="9356"/>
        </w:tabs>
        <w:spacing w:after="120"/>
        <w:jc w:val="both"/>
        <w:rPr>
          <w:rFonts w:asciiTheme="majorHAnsi" w:hAnsiTheme="majorHAnsi" w:cstheme="majorHAnsi"/>
          <w:shd w:val="clear" w:color="auto" w:fill="FFFFFF"/>
        </w:rPr>
      </w:pPr>
      <w:r w:rsidRPr="0053555E">
        <w:rPr>
          <w:rFonts w:asciiTheme="majorHAnsi" w:hAnsiTheme="majorHAnsi" w:cstheme="majorHAnsi"/>
        </w:rPr>
        <w:t>Na</w:t>
      </w:r>
      <w:r w:rsidR="002071AC" w:rsidRPr="0053555E">
        <w:rPr>
          <w:rFonts w:asciiTheme="majorHAnsi" w:hAnsiTheme="majorHAnsi" w:cstheme="majorHAnsi"/>
        </w:rPr>
        <w:t> treťom stupni štúdia naďalej pokrač</w:t>
      </w:r>
      <w:r w:rsidR="00802D14" w:rsidRPr="0053555E">
        <w:rPr>
          <w:rFonts w:asciiTheme="majorHAnsi" w:hAnsiTheme="majorHAnsi" w:cstheme="majorHAnsi"/>
        </w:rPr>
        <w:t xml:space="preserve">ovala </w:t>
      </w:r>
      <w:r w:rsidR="002071AC" w:rsidRPr="0053555E">
        <w:rPr>
          <w:rFonts w:asciiTheme="majorHAnsi" w:hAnsiTheme="majorHAnsi" w:cstheme="majorHAnsi"/>
        </w:rPr>
        <w:t>spolupráca s externými vzdelávacími inštitúciami</w:t>
      </w:r>
      <w:r w:rsidR="00F179B9" w:rsidRPr="0053555E">
        <w:rPr>
          <w:rFonts w:asciiTheme="majorHAnsi" w:hAnsiTheme="majorHAnsi" w:cstheme="majorHAnsi"/>
        </w:rPr>
        <w:t xml:space="preserve"> (EVI)</w:t>
      </w:r>
      <w:r w:rsidR="002071AC" w:rsidRPr="0053555E">
        <w:rPr>
          <w:rFonts w:asciiTheme="majorHAnsi" w:hAnsiTheme="majorHAnsi" w:cstheme="majorHAnsi"/>
        </w:rPr>
        <w:t xml:space="preserve">. </w:t>
      </w:r>
      <w:r w:rsidR="002071AC" w:rsidRPr="0053555E">
        <w:rPr>
          <w:rFonts w:asciiTheme="majorHAnsi" w:hAnsiTheme="majorHAnsi" w:cstheme="majorHAnsi"/>
          <w:shd w:val="clear" w:color="auto" w:fill="FFFFFF"/>
        </w:rPr>
        <w:t>V hodnotenom prijímacom konaní bol</w:t>
      </w:r>
      <w:r w:rsidR="00ED2AC6" w:rsidRPr="0053555E">
        <w:rPr>
          <w:rFonts w:asciiTheme="majorHAnsi" w:hAnsiTheme="majorHAnsi" w:cstheme="majorHAnsi"/>
          <w:shd w:val="clear" w:color="auto" w:fill="FFFFFF"/>
        </w:rPr>
        <w:t xml:space="preserve">o </w:t>
      </w:r>
      <w:r w:rsidR="00ED2AC6" w:rsidRPr="0053555E">
        <w:rPr>
          <w:rFonts w:asciiTheme="majorHAnsi" w:hAnsiTheme="majorHAnsi" w:cstheme="majorHAnsi"/>
          <w:b/>
          <w:shd w:val="clear" w:color="auto" w:fill="FFFFFF"/>
        </w:rPr>
        <w:t xml:space="preserve">vypísaných </w:t>
      </w:r>
      <w:r w:rsidR="00C647D2">
        <w:rPr>
          <w:rFonts w:asciiTheme="majorHAnsi" w:hAnsiTheme="majorHAnsi" w:cstheme="majorHAnsi"/>
          <w:b/>
          <w:shd w:val="clear" w:color="auto" w:fill="FFFFFF"/>
        </w:rPr>
        <w:t>34</w:t>
      </w:r>
      <w:r w:rsidR="00ED2AC6" w:rsidRPr="0053555E">
        <w:rPr>
          <w:rFonts w:asciiTheme="majorHAnsi" w:hAnsiTheme="majorHAnsi" w:cstheme="majorHAnsi"/>
          <w:b/>
          <w:shd w:val="clear" w:color="auto" w:fill="FFFFFF"/>
        </w:rPr>
        <w:t xml:space="preserve"> tém dizertačných prác </w:t>
      </w:r>
      <w:r w:rsidR="00827A53" w:rsidRPr="0053555E">
        <w:rPr>
          <w:rFonts w:asciiTheme="majorHAnsi" w:hAnsiTheme="majorHAnsi" w:cstheme="majorHAnsi"/>
          <w:b/>
          <w:shd w:val="clear" w:color="auto" w:fill="FFFFFF"/>
        </w:rPr>
        <w:t>EVI</w:t>
      </w:r>
      <w:r w:rsidR="00827A53" w:rsidRPr="0053555E">
        <w:rPr>
          <w:rFonts w:asciiTheme="majorHAnsi" w:hAnsiTheme="majorHAnsi" w:cstheme="majorHAnsi"/>
          <w:shd w:val="clear" w:color="auto" w:fill="FFFFFF"/>
        </w:rPr>
        <w:t xml:space="preserve"> v rámci spolupráce so šiestimi fakultami STU (</w:t>
      </w:r>
      <w:r w:rsidR="00C647D2">
        <w:rPr>
          <w:rFonts w:asciiTheme="majorHAnsi" w:hAnsiTheme="majorHAnsi" w:cstheme="majorHAnsi"/>
          <w:shd w:val="clear" w:color="auto" w:fill="FFFFFF"/>
        </w:rPr>
        <w:t xml:space="preserve">SvF, </w:t>
      </w:r>
      <w:r w:rsidR="00827A53" w:rsidRPr="0053555E">
        <w:rPr>
          <w:rFonts w:asciiTheme="majorHAnsi" w:hAnsiTheme="majorHAnsi" w:cstheme="majorHAnsi"/>
          <w:shd w:val="clear" w:color="auto" w:fill="FFFFFF"/>
        </w:rPr>
        <w:t xml:space="preserve">SjF, </w:t>
      </w:r>
      <w:r w:rsidR="001E378F">
        <w:rPr>
          <w:rFonts w:asciiTheme="majorHAnsi" w:hAnsiTheme="majorHAnsi" w:cstheme="majorHAnsi"/>
          <w:shd w:val="clear" w:color="auto" w:fill="FFFFFF"/>
        </w:rPr>
        <w:t>FEI, FCHPT, MTF a FIIT), celkovo</w:t>
      </w:r>
      <w:r w:rsidR="00827A53" w:rsidRPr="0053555E">
        <w:rPr>
          <w:rFonts w:asciiTheme="majorHAnsi" w:hAnsiTheme="majorHAnsi" w:cstheme="majorHAnsi"/>
          <w:shd w:val="clear" w:color="auto" w:fill="FFFFFF"/>
        </w:rPr>
        <w:t xml:space="preserve"> to bolo </w:t>
      </w:r>
      <w:r w:rsidR="000E6B59">
        <w:rPr>
          <w:rFonts w:asciiTheme="majorHAnsi" w:hAnsiTheme="majorHAnsi" w:cstheme="majorHAnsi"/>
          <w:shd w:val="clear" w:color="auto" w:fill="FFFFFF"/>
        </w:rPr>
        <w:t>8</w:t>
      </w:r>
      <w:r w:rsidR="00827A53" w:rsidRPr="0053555E">
        <w:rPr>
          <w:rFonts w:asciiTheme="majorHAnsi" w:hAnsiTheme="majorHAnsi" w:cstheme="majorHAnsi"/>
          <w:shd w:val="clear" w:color="auto" w:fill="FFFFFF"/>
        </w:rPr>
        <w:t xml:space="preserve"> ústavov a 3 centrá Slovenskej akadémie vied.</w:t>
      </w:r>
      <w:r w:rsidR="00093DD0" w:rsidRPr="0053555E">
        <w:rPr>
          <w:rFonts w:asciiTheme="majorHAnsi" w:hAnsiTheme="majorHAnsi" w:cstheme="majorHAnsi"/>
          <w:shd w:val="clear" w:color="auto" w:fill="FFFFFF"/>
        </w:rPr>
        <w:t xml:space="preserve"> </w:t>
      </w:r>
      <w:r w:rsidR="00A67E28" w:rsidRPr="0053555E">
        <w:rPr>
          <w:rFonts w:asciiTheme="majorHAnsi" w:hAnsiTheme="majorHAnsi" w:cstheme="majorHAnsi"/>
          <w:shd w:val="clear" w:color="auto" w:fill="FFFFFF"/>
        </w:rPr>
        <w:t>Prijatých bolo celkove 2</w:t>
      </w:r>
      <w:r w:rsidR="000E6B59">
        <w:rPr>
          <w:rFonts w:asciiTheme="majorHAnsi" w:hAnsiTheme="majorHAnsi" w:cstheme="majorHAnsi"/>
          <w:shd w:val="clear" w:color="auto" w:fill="FFFFFF"/>
        </w:rPr>
        <w:t>2</w:t>
      </w:r>
      <w:r w:rsidR="00A67E28" w:rsidRPr="0053555E">
        <w:rPr>
          <w:rFonts w:asciiTheme="majorHAnsi" w:hAnsiTheme="majorHAnsi" w:cstheme="majorHAnsi"/>
          <w:shd w:val="clear" w:color="auto" w:fill="FFFFFF"/>
        </w:rPr>
        <w:t xml:space="preserve"> uchádzačov a z nich sa zapísalo </w:t>
      </w:r>
      <w:r w:rsidR="000E6B59">
        <w:rPr>
          <w:rFonts w:asciiTheme="majorHAnsi" w:hAnsiTheme="majorHAnsi" w:cstheme="majorHAnsi"/>
          <w:shd w:val="clear" w:color="auto" w:fill="FFFFFF"/>
        </w:rPr>
        <w:t>18</w:t>
      </w:r>
      <w:r w:rsidR="00A67E28" w:rsidRPr="0053555E">
        <w:rPr>
          <w:rFonts w:asciiTheme="majorHAnsi" w:hAnsiTheme="majorHAnsi" w:cstheme="majorHAnsi"/>
          <w:shd w:val="clear" w:color="auto" w:fill="FFFFFF"/>
        </w:rPr>
        <w:t xml:space="preserve"> </w:t>
      </w:r>
      <w:r w:rsidR="00166604" w:rsidRPr="0053555E">
        <w:rPr>
          <w:rFonts w:asciiTheme="majorHAnsi" w:hAnsiTheme="majorHAnsi" w:cstheme="majorHAnsi"/>
          <w:shd w:val="clear" w:color="auto" w:fill="FFFFFF"/>
        </w:rPr>
        <w:t xml:space="preserve">uchádzačov </w:t>
      </w:r>
      <w:r w:rsidR="00A67E28" w:rsidRPr="0053555E">
        <w:rPr>
          <w:rFonts w:asciiTheme="majorHAnsi" w:hAnsiTheme="majorHAnsi" w:cstheme="majorHAnsi"/>
          <w:shd w:val="clear" w:color="auto" w:fill="FFFFFF"/>
        </w:rPr>
        <w:t>na témy dizertačných prác vypísan</w:t>
      </w:r>
      <w:r w:rsidR="00166604" w:rsidRPr="0053555E">
        <w:rPr>
          <w:rFonts w:asciiTheme="majorHAnsi" w:hAnsiTheme="majorHAnsi" w:cstheme="majorHAnsi"/>
          <w:shd w:val="clear" w:color="auto" w:fill="FFFFFF"/>
        </w:rPr>
        <w:t>é</w:t>
      </w:r>
      <w:r w:rsidR="00A67E28" w:rsidRPr="0053555E">
        <w:rPr>
          <w:rFonts w:asciiTheme="majorHAnsi" w:hAnsiTheme="majorHAnsi" w:cstheme="majorHAnsi"/>
          <w:shd w:val="clear" w:color="auto" w:fill="FFFFFF"/>
        </w:rPr>
        <w:t xml:space="preserve"> EVI </w:t>
      </w:r>
      <w:r w:rsidR="00CB3786" w:rsidRPr="0053555E">
        <w:rPr>
          <w:rFonts w:asciiTheme="majorHAnsi" w:hAnsiTheme="majorHAnsi" w:cstheme="majorHAnsi"/>
          <w:shd w:val="clear" w:color="auto" w:fill="FFFFFF"/>
        </w:rPr>
        <w:t>(</w:t>
      </w:r>
      <w:r w:rsidR="000E6B59">
        <w:rPr>
          <w:rFonts w:asciiTheme="majorHAnsi" w:hAnsiTheme="majorHAnsi" w:cstheme="majorHAnsi"/>
          <w:shd w:val="clear" w:color="auto" w:fill="FFFFFF"/>
        </w:rPr>
        <w:t>7</w:t>
      </w:r>
      <w:r w:rsidR="00CB3786" w:rsidRPr="0053555E">
        <w:rPr>
          <w:rFonts w:asciiTheme="majorHAnsi" w:hAnsiTheme="majorHAnsi" w:cstheme="majorHAnsi"/>
          <w:shd w:val="clear" w:color="auto" w:fill="FFFFFF"/>
        </w:rPr>
        <w:t xml:space="preserve"> ústavov a </w:t>
      </w:r>
      <w:r w:rsidR="000E6B59">
        <w:rPr>
          <w:rFonts w:asciiTheme="majorHAnsi" w:hAnsiTheme="majorHAnsi" w:cstheme="majorHAnsi"/>
          <w:shd w:val="clear" w:color="auto" w:fill="FFFFFF"/>
        </w:rPr>
        <w:t>3</w:t>
      </w:r>
      <w:r w:rsidR="00CB3786" w:rsidRPr="0053555E">
        <w:rPr>
          <w:rFonts w:asciiTheme="majorHAnsi" w:hAnsiTheme="majorHAnsi" w:cstheme="majorHAnsi"/>
          <w:shd w:val="clear" w:color="auto" w:fill="FFFFFF"/>
        </w:rPr>
        <w:t xml:space="preserve"> centrá SAV) </w:t>
      </w:r>
      <w:r w:rsidR="00A67E28" w:rsidRPr="0053555E">
        <w:rPr>
          <w:rFonts w:asciiTheme="majorHAnsi" w:hAnsiTheme="majorHAnsi" w:cstheme="majorHAnsi"/>
          <w:shd w:val="clear" w:color="auto" w:fill="FFFFFF"/>
        </w:rPr>
        <w:t xml:space="preserve">v spolupráci </w:t>
      </w:r>
      <w:r w:rsidR="00166604" w:rsidRPr="0053555E">
        <w:rPr>
          <w:rFonts w:asciiTheme="majorHAnsi" w:hAnsiTheme="majorHAnsi" w:cstheme="majorHAnsi"/>
          <w:shd w:val="clear" w:color="auto" w:fill="FFFFFF"/>
        </w:rPr>
        <w:t xml:space="preserve">so </w:t>
      </w:r>
      <w:r w:rsidR="000E6B59">
        <w:rPr>
          <w:rFonts w:asciiTheme="majorHAnsi" w:hAnsiTheme="majorHAnsi" w:cstheme="majorHAnsi"/>
          <w:shd w:val="clear" w:color="auto" w:fill="FFFFFF"/>
        </w:rPr>
        <w:t xml:space="preserve">SvF, </w:t>
      </w:r>
      <w:r w:rsidR="00ED2AC6" w:rsidRPr="0053555E">
        <w:rPr>
          <w:rFonts w:asciiTheme="majorHAnsi" w:hAnsiTheme="majorHAnsi" w:cstheme="majorHAnsi"/>
          <w:shd w:val="clear" w:color="auto" w:fill="FFFFFF"/>
        </w:rPr>
        <w:t>SjF, FEI, FCHPT a </w:t>
      </w:r>
      <w:r w:rsidR="00126F40">
        <w:rPr>
          <w:rFonts w:asciiTheme="majorHAnsi" w:hAnsiTheme="majorHAnsi" w:cstheme="majorHAnsi"/>
          <w:shd w:val="clear" w:color="auto" w:fill="FFFFFF"/>
        </w:rPr>
        <w:t>MTF</w:t>
      </w:r>
      <w:r w:rsidR="00ED2AC6" w:rsidRPr="0053555E">
        <w:rPr>
          <w:rFonts w:asciiTheme="majorHAnsi" w:hAnsiTheme="majorHAnsi" w:cstheme="majorHAnsi"/>
          <w:shd w:val="clear" w:color="auto" w:fill="FFFFFF"/>
        </w:rPr>
        <w:t>.</w:t>
      </w:r>
      <w:r w:rsidR="00A67E28" w:rsidRPr="0053555E">
        <w:rPr>
          <w:rFonts w:asciiTheme="majorHAnsi" w:hAnsiTheme="majorHAnsi" w:cstheme="majorHAnsi"/>
          <w:shd w:val="clear" w:color="auto" w:fill="FFFFFF"/>
        </w:rPr>
        <w:t xml:space="preserve"> </w:t>
      </w:r>
    </w:p>
    <w:p w14:paraId="47FBC1E6" w14:textId="03790A5F" w:rsidR="004C4BEC" w:rsidRPr="0053555E" w:rsidRDefault="002071AC" w:rsidP="0070657C">
      <w:pPr>
        <w:tabs>
          <w:tab w:val="left" w:pos="9356"/>
        </w:tabs>
        <w:spacing w:after="120"/>
        <w:jc w:val="both"/>
        <w:rPr>
          <w:rFonts w:asciiTheme="majorHAnsi" w:hAnsiTheme="majorHAnsi" w:cstheme="majorHAnsi"/>
        </w:rPr>
      </w:pPr>
      <w:r w:rsidRPr="0053555E">
        <w:rPr>
          <w:rFonts w:asciiTheme="majorHAnsi" w:hAnsiTheme="majorHAnsi" w:cstheme="majorHAnsi"/>
        </w:rPr>
        <w:t xml:space="preserve">Na všetkých súčastiach univerzity prebiehalo overovanie predpokladov uchádzačov </w:t>
      </w:r>
      <w:r w:rsidR="00211C58" w:rsidRPr="0053555E">
        <w:rPr>
          <w:rFonts w:asciiTheme="majorHAnsi" w:hAnsiTheme="majorHAnsi" w:cstheme="majorHAnsi"/>
        </w:rPr>
        <w:t xml:space="preserve">o štúdium </w:t>
      </w:r>
      <w:r w:rsidR="0070657C">
        <w:rPr>
          <w:rFonts w:asciiTheme="majorHAnsi" w:hAnsiTheme="majorHAnsi" w:cstheme="majorHAnsi"/>
        </w:rPr>
        <w:t xml:space="preserve">na treťom stupni </w:t>
      </w:r>
      <w:r w:rsidRPr="0053555E">
        <w:rPr>
          <w:rFonts w:asciiTheme="majorHAnsi" w:hAnsiTheme="majorHAnsi" w:cstheme="majorHAnsi"/>
        </w:rPr>
        <w:t>prijímacou skúškou</w:t>
      </w:r>
      <w:r w:rsidR="008C0835" w:rsidRPr="0053555E">
        <w:rPr>
          <w:rFonts w:asciiTheme="majorHAnsi" w:hAnsiTheme="majorHAnsi" w:cstheme="majorHAnsi"/>
        </w:rPr>
        <w:t xml:space="preserve"> v súlade so zákonom </w:t>
      </w:r>
      <w:r w:rsidR="008E3AC6" w:rsidRPr="0053555E">
        <w:rPr>
          <w:rFonts w:asciiTheme="majorHAnsi" w:hAnsiTheme="majorHAnsi" w:cstheme="majorHAnsi"/>
        </w:rPr>
        <w:t xml:space="preserve">o vysokých školách </w:t>
      </w:r>
      <w:r w:rsidR="008C0835" w:rsidRPr="0053555E">
        <w:rPr>
          <w:rFonts w:asciiTheme="majorHAnsi" w:hAnsiTheme="majorHAnsi" w:cstheme="majorHAnsi"/>
        </w:rPr>
        <w:t>a</w:t>
      </w:r>
      <w:r w:rsidR="00C507ED" w:rsidRPr="0053555E">
        <w:rPr>
          <w:rFonts w:asciiTheme="majorHAnsi" w:hAnsiTheme="majorHAnsi" w:cstheme="majorHAnsi"/>
        </w:rPr>
        <w:t xml:space="preserve"> s </w:t>
      </w:r>
      <w:r w:rsidR="008C0835" w:rsidRPr="0053555E">
        <w:rPr>
          <w:rFonts w:asciiTheme="majorHAnsi" w:hAnsiTheme="majorHAnsi" w:cstheme="majorHAnsi"/>
        </w:rPr>
        <w:t xml:space="preserve">internými </w:t>
      </w:r>
      <w:r w:rsidR="008C0835" w:rsidRPr="0053555E">
        <w:rPr>
          <w:rFonts w:asciiTheme="majorHAnsi" w:hAnsiTheme="majorHAnsi" w:cstheme="majorHAnsi"/>
        </w:rPr>
        <w:lastRenderedPageBreak/>
        <w:t>predpismi STU</w:t>
      </w:r>
      <w:r w:rsidRPr="0053555E">
        <w:rPr>
          <w:rFonts w:asciiTheme="majorHAnsi" w:hAnsiTheme="majorHAnsi" w:cstheme="majorHAnsi"/>
        </w:rPr>
        <w:t>.</w:t>
      </w:r>
      <w:r w:rsidR="009C1631" w:rsidRPr="0053555E">
        <w:rPr>
          <w:rFonts w:asciiTheme="majorHAnsi" w:hAnsiTheme="majorHAnsi" w:cstheme="majorHAnsi"/>
        </w:rPr>
        <w:t xml:space="preserve"> </w:t>
      </w:r>
      <w:r w:rsidR="0070657C">
        <w:rPr>
          <w:rFonts w:asciiTheme="majorHAnsi" w:hAnsiTheme="majorHAnsi" w:cstheme="majorHAnsi"/>
        </w:rPr>
        <w:t>V</w:t>
      </w:r>
      <w:r w:rsidR="0070657C" w:rsidRPr="0053555E">
        <w:rPr>
          <w:rFonts w:asciiTheme="majorHAnsi" w:hAnsiTheme="majorHAnsi" w:cstheme="majorHAnsi"/>
        </w:rPr>
        <w:t> rámci prijímacieho konania</w:t>
      </w:r>
      <w:r w:rsidR="0070657C">
        <w:rPr>
          <w:rFonts w:asciiTheme="majorHAnsi" w:hAnsiTheme="majorHAnsi" w:cstheme="majorHAnsi"/>
        </w:rPr>
        <w:t xml:space="preserve"> </w:t>
      </w:r>
      <w:r w:rsidR="0070657C" w:rsidRPr="0053555E">
        <w:rPr>
          <w:rFonts w:asciiTheme="majorHAnsi" w:hAnsiTheme="majorHAnsi" w:cstheme="majorHAnsi"/>
        </w:rPr>
        <w:t xml:space="preserve">sa záujemcovia mohli uchádzať </w:t>
      </w:r>
      <w:r w:rsidR="0070657C">
        <w:rPr>
          <w:rFonts w:asciiTheme="majorHAnsi" w:hAnsiTheme="majorHAnsi" w:cstheme="majorHAnsi"/>
        </w:rPr>
        <w:t>o</w:t>
      </w:r>
      <w:r w:rsidRPr="0053555E">
        <w:rPr>
          <w:rFonts w:asciiTheme="majorHAnsi" w:hAnsiTheme="majorHAnsi" w:cstheme="majorHAnsi"/>
        </w:rPr>
        <w:t xml:space="preserve"> vypísané témy dizertačných prác</w:t>
      </w:r>
      <w:r w:rsidR="00135975" w:rsidRPr="0053555E">
        <w:rPr>
          <w:rFonts w:asciiTheme="majorHAnsi" w:hAnsiTheme="majorHAnsi" w:cstheme="majorHAnsi"/>
        </w:rPr>
        <w:t xml:space="preserve"> vrátane školiteľov</w:t>
      </w:r>
      <w:r w:rsidR="0070657C">
        <w:rPr>
          <w:rFonts w:asciiTheme="majorHAnsi" w:hAnsiTheme="majorHAnsi" w:cstheme="majorHAnsi"/>
        </w:rPr>
        <w:t>,</w:t>
      </w:r>
      <w:r w:rsidRPr="0053555E">
        <w:rPr>
          <w:rFonts w:asciiTheme="majorHAnsi" w:hAnsiTheme="majorHAnsi" w:cstheme="majorHAnsi"/>
        </w:rPr>
        <w:t xml:space="preserve"> </w:t>
      </w:r>
      <w:r w:rsidR="0070657C">
        <w:rPr>
          <w:rFonts w:asciiTheme="majorHAnsi" w:hAnsiTheme="majorHAnsi" w:cstheme="majorHAnsi"/>
        </w:rPr>
        <w:t>overovala sa jazyková spôsobilosť</w:t>
      </w:r>
      <w:r w:rsidRPr="0053555E">
        <w:rPr>
          <w:rFonts w:asciiTheme="majorHAnsi" w:hAnsiTheme="majorHAnsi" w:cstheme="majorHAnsi"/>
        </w:rPr>
        <w:t xml:space="preserve"> uchádzača v </w:t>
      </w:r>
      <w:r w:rsidR="00211C58" w:rsidRPr="0053555E">
        <w:rPr>
          <w:rFonts w:asciiTheme="majorHAnsi" w:hAnsiTheme="majorHAnsi" w:cstheme="majorHAnsi"/>
        </w:rPr>
        <w:t>anglickom</w:t>
      </w:r>
      <w:r w:rsidRPr="0053555E">
        <w:rPr>
          <w:rFonts w:asciiTheme="majorHAnsi" w:hAnsiTheme="majorHAnsi" w:cstheme="majorHAnsi"/>
        </w:rPr>
        <w:t xml:space="preserve"> jazyk</w:t>
      </w:r>
      <w:r w:rsidR="00211C58" w:rsidRPr="0053555E">
        <w:rPr>
          <w:rFonts w:asciiTheme="majorHAnsi" w:hAnsiTheme="majorHAnsi" w:cstheme="majorHAnsi"/>
        </w:rPr>
        <w:t>u</w:t>
      </w:r>
      <w:r w:rsidRPr="0053555E">
        <w:rPr>
          <w:rFonts w:asciiTheme="majorHAnsi" w:hAnsiTheme="majorHAnsi" w:cstheme="majorHAnsi"/>
        </w:rPr>
        <w:t xml:space="preserve">. </w:t>
      </w:r>
    </w:p>
    <w:p w14:paraId="204A7151" w14:textId="77777777" w:rsidR="00B41AC9" w:rsidRPr="0053555E" w:rsidRDefault="00B41AC9" w:rsidP="00B41AC9">
      <w:pPr>
        <w:tabs>
          <w:tab w:val="left" w:pos="9356"/>
        </w:tabs>
        <w:jc w:val="both"/>
        <w:rPr>
          <w:rFonts w:asciiTheme="majorHAnsi" w:hAnsiTheme="majorHAnsi" w:cstheme="majorHAnsi"/>
        </w:rPr>
      </w:pPr>
    </w:p>
    <w:p w14:paraId="46DAECE9" w14:textId="62A4CD63" w:rsidR="002071AC" w:rsidRPr="0070657C" w:rsidRDefault="0070657C" w:rsidP="0070657C">
      <w:pPr>
        <w:rPr>
          <w:b/>
          <w:sz w:val="28"/>
          <w:szCs w:val="28"/>
        </w:rPr>
      </w:pPr>
      <w:bookmarkStart w:id="121" w:name="_Toc127593226"/>
      <w:r w:rsidRPr="0070657C">
        <w:rPr>
          <w:b/>
          <w:sz w:val="28"/>
          <w:szCs w:val="28"/>
        </w:rPr>
        <w:t xml:space="preserve">3.4.4. </w:t>
      </w:r>
      <w:r w:rsidR="002071AC" w:rsidRPr="0070657C">
        <w:rPr>
          <w:b/>
          <w:sz w:val="28"/>
          <w:szCs w:val="28"/>
        </w:rPr>
        <w:t>Preskúmanie rozhodnutí o</w:t>
      </w:r>
      <w:r w:rsidR="00602371" w:rsidRPr="0070657C">
        <w:rPr>
          <w:b/>
          <w:sz w:val="28"/>
          <w:szCs w:val="28"/>
        </w:rPr>
        <w:t> výsledku prijímacieho konania</w:t>
      </w:r>
      <w:bookmarkEnd w:id="121"/>
    </w:p>
    <w:p w14:paraId="5144FD24" w14:textId="77777777" w:rsidR="0070657C" w:rsidRPr="0070657C" w:rsidRDefault="0070657C" w:rsidP="0070657C"/>
    <w:p w14:paraId="209085DD" w14:textId="135557AC" w:rsidR="002071AC" w:rsidRPr="0053555E" w:rsidRDefault="0078241B" w:rsidP="00681B4E">
      <w:pPr>
        <w:tabs>
          <w:tab w:val="left" w:pos="0"/>
          <w:tab w:val="left" w:pos="284"/>
          <w:tab w:val="left" w:pos="9356"/>
        </w:tabs>
        <w:spacing w:after="120"/>
        <w:jc w:val="both"/>
        <w:rPr>
          <w:rFonts w:asciiTheme="majorHAnsi" w:hAnsiTheme="majorHAnsi" w:cstheme="majorHAnsi"/>
        </w:rPr>
      </w:pPr>
      <w:r w:rsidRPr="0053555E">
        <w:rPr>
          <w:rFonts w:asciiTheme="majorHAnsi" w:hAnsiTheme="majorHAnsi" w:cstheme="majorHAnsi"/>
        </w:rPr>
        <w:t xml:space="preserve">V prijímacom konaní na akademický rok </w:t>
      </w:r>
      <w:r w:rsidR="00EA24BA" w:rsidRPr="0053555E">
        <w:rPr>
          <w:rFonts w:asciiTheme="majorHAnsi" w:hAnsiTheme="majorHAnsi" w:cstheme="majorHAnsi"/>
        </w:rPr>
        <w:t>2022/2023</w:t>
      </w:r>
      <w:r w:rsidR="002071AC" w:rsidRPr="0053555E">
        <w:rPr>
          <w:rFonts w:asciiTheme="majorHAnsi" w:hAnsiTheme="majorHAnsi" w:cstheme="majorHAnsi"/>
        </w:rPr>
        <w:t xml:space="preserve"> dostalo </w:t>
      </w:r>
      <w:r w:rsidR="009436D4">
        <w:rPr>
          <w:rFonts w:asciiTheme="majorHAnsi" w:hAnsiTheme="majorHAnsi" w:cstheme="majorHAnsi"/>
          <w:b/>
        </w:rPr>
        <w:t>37</w:t>
      </w:r>
      <w:r w:rsidR="000623C3" w:rsidRPr="0053555E">
        <w:rPr>
          <w:rFonts w:asciiTheme="majorHAnsi" w:hAnsiTheme="majorHAnsi" w:cstheme="majorHAnsi"/>
          <w:b/>
        </w:rPr>
        <w:t xml:space="preserve"> </w:t>
      </w:r>
      <w:r w:rsidRPr="0053555E">
        <w:rPr>
          <w:rFonts w:asciiTheme="majorHAnsi" w:hAnsiTheme="majorHAnsi" w:cstheme="majorHAnsi"/>
          <w:b/>
          <w:shd w:val="clear" w:color="auto" w:fill="FFFFFF"/>
        </w:rPr>
        <w:t>%</w:t>
      </w:r>
      <w:r w:rsidRPr="0053555E">
        <w:rPr>
          <w:rFonts w:asciiTheme="majorHAnsi" w:hAnsiTheme="majorHAnsi" w:cstheme="majorHAnsi"/>
          <w:shd w:val="clear" w:color="auto" w:fill="FFFFFF"/>
        </w:rPr>
        <w:t xml:space="preserve"> </w:t>
      </w:r>
      <w:r w:rsidRPr="0053555E">
        <w:rPr>
          <w:rFonts w:asciiTheme="majorHAnsi" w:hAnsiTheme="majorHAnsi" w:cstheme="majorHAnsi"/>
        </w:rPr>
        <w:t>uchádzačov</w:t>
      </w:r>
      <w:r w:rsidRPr="0053555E">
        <w:rPr>
          <w:rFonts w:asciiTheme="majorHAnsi" w:hAnsiTheme="majorHAnsi" w:cstheme="majorHAnsi"/>
          <w:b/>
        </w:rPr>
        <w:t xml:space="preserve"> </w:t>
      </w:r>
      <w:r w:rsidR="002071AC" w:rsidRPr="0053555E">
        <w:rPr>
          <w:rFonts w:asciiTheme="majorHAnsi" w:hAnsiTheme="majorHAnsi" w:cstheme="majorHAnsi"/>
          <w:b/>
        </w:rPr>
        <w:t>rozhodnutie o neprijatí</w:t>
      </w:r>
      <w:r w:rsidR="002071AC" w:rsidRPr="0053555E">
        <w:rPr>
          <w:rFonts w:asciiTheme="majorHAnsi" w:hAnsiTheme="majorHAnsi" w:cstheme="majorHAnsi"/>
        </w:rPr>
        <w:t xml:space="preserve"> na štúdium v rámci celej STU</w:t>
      </w:r>
      <w:r w:rsidR="002071AC" w:rsidRPr="0053555E">
        <w:rPr>
          <w:rFonts w:asciiTheme="majorHAnsi" w:hAnsiTheme="majorHAnsi" w:cstheme="majorHAnsi"/>
          <w:shd w:val="clear" w:color="auto" w:fill="FFFFFF"/>
        </w:rPr>
        <w:t xml:space="preserve">. </w:t>
      </w:r>
      <w:r w:rsidR="002071AC" w:rsidRPr="0053555E">
        <w:rPr>
          <w:rFonts w:asciiTheme="majorHAnsi" w:hAnsiTheme="majorHAnsi" w:cstheme="majorHAnsi"/>
        </w:rPr>
        <w:t xml:space="preserve">Z celkového </w:t>
      </w:r>
      <w:r w:rsidR="002071AC" w:rsidRPr="0053555E">
        <w:rPr>
          <w:rFonts w:asciiTheme="majorHAnsi" w:hAnsiTheme="majorHAnsi" w:cstheme="majorHAnsi"/>
          <w:shd w:val="clear" w:color="auto" w:fill="FFFFFF"/>
        </w:rPr>
        <w:t xml:space="preserve">počtu </w:t>
      </w:r>
      <w:r w:rsidR="006353EF">
        <w:rPr>
          <w:rFonts w:asciiTheme="majorHAnsi" w:hAnsiTheme="majorHAnsi" w:cstheme="majorHAnsi"/>
          <w:b/>
          <w:shd w:val="clear" w:color="auto" w:fill="FFFFFF"/>
        </w:rPr>
        <w:t>4</w:t>
      </w:r>
      <w:r w:rsidR="005736EE" w:rsidRPr="0053555E">
        <w:rPr>
          <w:rFonts w:asciiTheme="majorHAnsi" w:hAnsiTheme="majorHAnsi" w:cstheme="majorHAnsi"/>
          <w:b/>
          <w:shd w:val="clear" w:color="auto" w:fill="FFFFFF"/>
        </w:rPr>
        <w:t xml:space="preserve"> </w:t>
      </w:r>
      <w:r w:rsidR="006353EF">
        <w:rPr>
          <w:rFonts w:asciiTheme="majorHAnsi" w:hAnsiTheme="majorHAnsi" w:cstheme="majorHAnsi"/>
          <w:b/>
          <w:shd w:val="clear" w:color="auto" w:fill="FFFFFF"/>
        </w:rPr>
        <w:t>079</w:t>
      </w:r>
      <w:r w:rsidR="002071AC" w:rsidRPr="0053555E">
        <w:rPr>
          <w:rFonts w:asciiTheme="majorHAnsi" w:hAnsiTheme="majorHAnsi" w:cstheme="majorHAnsi"/>
          <w:shd w:val="clear" w:color="auto" w:fill="FFFFFF"/>
        </w:rPr>
        <w:t xml:space="preserve"> </w:t>
      </w:r>
      <w:r w:rsidR="002071AC" w:rsidRPr="0053555E">
        <w:rPr>
          <w:rFonts w:asciiTheme="majorHAnsi" w:hAnsiTheme="majorHAnsi" w:cstheme="majorHAnsi"/>
        </w:rPr>
        <w:t xml:space="preserve">neprijatých uchádzačov na štúdium všetkých </w:t>
      </w:r>
      <w:r w:rsidR="00A5404A" w:rsidRPr="0053555E">
        <w:rPr>
          <w:rFonts w:asciiTheme="majorHAnsi" w:hAnsiTheme="majorHAnsi" w:cstheme="majorHAnsi"/>
        </w:rPr>
        <w:t xml:space="preserve">troch </w:t>
      </w:r>
      <w:r w:rsidR="00BE1483" w:rsidRPr="0053555E">
        <w:rPr>
          <w:rFonts w:asciiTheme="majorHAnsi" w:hAnsiTheme="majorHAnsi" w:cstheme="majorHAnsi"/>
        </w:rPr>
        <w:t>stupňov</w:t>
      </w:r>
      <w:r w:rsidR="002071AC" w:rsidRPr="0053555E">
        <w:rPr>
          <w:rFonts w:asciiTheme="majorHAnsi" w:hAnsiTheme="majorHAnsi" w:cstheme="majorHAnsi"/>
        </w:rPr>
        <w:t xml:space="preserve"> </w:t>
      </w:r>
      <w:r w:rsidR="005736EE" w:rsidRPr="0053555E">
        <w:rPr>
          <w:rFonts w:asciiTheme="majorHAnsi" w:hAnsiTheme="majorHAnsi" w:cstheme="majorHAnsi"/>
        </w:rPr>
        <w:t>v </w:t>
      </w:r>
      <w:r w:rsidR="00B34CA5" w:rsidRPr="0053555E">
        <w:rPr>
          <w:rFonts w:asciiTheme="majorHAnsi" w:hAnsiTheme="majorHAnsi" w:cstheme="majorHAnsi"/>
        </w:rPr>
        <w:t xml:space="preserve">rámci </w:t>
      </w:r>
      <w:r w:rsidR="002071AC" w:rsidRPr="0053555E">
        <w:rPr>
          <w:rFonts w:asciiTheme="majorHAnsi" w:hAnsiTheme="majorHAnsi" w:cstheme="majorHAnsi"/>
        </w:rPr>
        <w:t xml:space="preserve">STU </w:t>
      </w:r>
      <w:r w:rsidR="0070657C" w:rsidRPr="0053555E">
        <w:rPr>
          <w:rFonts w:asciiTheme="majorHAnsi" w:hAnsiTheme="majorHAnsi" w:cstheme="majorHAnsi"/>
        </w:rPr>
        <w:t xml:space="preserve">podalo </w:t>
      </w:r>
      <w:r w:rsidR="002071AC" w:rsidRPr="0053555E">
        <w:rPr>
          <w:rFonts w:asciiTheme="majorHAnsi" w:hAnsiTheme="majorHAnsi" w:cstheme="majorHAnsi"/>
        </w:rPr>
        <w:t xml:space="preserve">žiadosti o preskúmanie </w:t>
      </w:r>
      <w:r w:rsidR="00340FCB">
        <w:rPr>
          <w:rFonts w:asciiTheme="majorHAnsi" w:hAnsiTheme="majorHAnsi" w:cstheme="majorHAnsi"/>
          <w:b/>
        </w:rPr>
        <w:t>153</w:t>
      </w:r>
      <w:r w:rsidR="0070657C">
        <w:rPr>
          <w:rFonts w:asciiTheme="majorHAnsi" w:hAnsiTheme="majorHAnsi" w:cstheme="majorHAnsi"/>
          <w:b/>
        </w:rPr>
        <w:t>,</w:t>
      </w:r>
      <w:r w:rsidR="002071AC" w:rsidRPr="0053555E">
        <w:rPr>
          <w:rFonts w:asciiTheme="majorHAnsi" w:hAnsiTheme="majorHAnsi" w:cstheme="majorHAnsi"/>
          <w:b/>
        </w:rPr>
        <w:t xml:space="preserve"> </w:t>
      </w:r>
      <w:r w:rsidR="00C463E2" w:rsidRPr="0053555E">
        <w:rPr>
          <w:rFonts w:asciiTheme="majorHAnsi" w:hAnsiTheme="majorHAnsi" w:cstheme="majorHAnsi"/>
        </w:rPr>
        <w:t xml:space="preserve">čo predstavuje </w:t>
      </w:r>
      <w:r w:rsidR="00340FCB">
        <w:rPr>
          <w:rFonts w:asciiTheme="majorHAnsi" w:hAnsiTheme="majorHAnsi" w:cstheme="majorHAnsi"/>
          <w:b/>
        </w:rPr>
        <w:t>4</w:t>
      </w:r>
      <w:r w:rsidR="000C6CFE" w:rsidRPr="0053555E">
        <w:rPr>
          <w:rFonts w:asciiTheme="majorHAnsi" w:hAnsiTheme="majorHAnsi" w:cstheme="majorHAnsi"/>
          <w:b/>
          <w:shd w:val="clear" w:color="auto" w:fill="FFFFFF"/>
        </w:rPr>
        <w:t> </w:t>
      </w:r>
      <w:r w:rsidR="002071AC" w:rsidRPr="0053555E">
        <w:rPr>
          <w:rFonts w:asciiTheme="majorHAnsi" w:hAnsiTheme="majorHAnsi" w:cstheme="majorHAnsi"/>
          <w:b/>
          <w:shd w:val="clear" w:color="auto" w:fill="FFFFFF"/>
        </w:rPr>
        <w:t>%</w:t>
      </w:r>
      <w:r w:rsidR="00BF2FF1" w:rsidRPr="0053555E">
        <w:rPr>
          <w:rFonts w:asciiTheme="majorHAnsi" w:hAnsiTheme="majorHAnsi" w:cstheme="majorHAnsi"/>
          <w:b/>
          <w:shd w:val="clear" w:color="auto" w:fill="FFFFFF"/>
        </w:rPr>
        <w:t xml:space="preserve"> </w:t>
      </w:r>
      <w:r w:rsidR="00BF2FF1" w:rsidRPr="0053555E">
        <w:rPr>
          <w:rFonts w:asciiTheme="majorHAnsi" w:hAnsiTheme="majorHAnsi" w:cstheme="majorHAnsi"/>
          <w:shd w:val="clear" w:color="auto" w:fill="FFFFFF"/>
        </w:rPr>
        <w:t>z celkového počtu</w:t>
      </w:r>
      <w:r w:rsidR="005F31AD" w:rsidRPr="0053555E">
        <w:rPr>
          <w:rFonts w:asciiTheme="majorHAnsi" w:hAnsiTheme="majorHAnsi" w:cstheme="majorHAnsi"/>
          <w:shd w:val="clear" w:color="auto" w:fill="FFFFFF"/>
        </w:rPr>
        <w:t xml:space="preserve"> neprijatých uchádzačov</w:t>
      </w:r>
      <w:r w:rsidR="00A1154B" w:rsidRPr="0053555E">
        <w:rPr>
          <w:rFonts w:asciiTheme="majorHAnsi" w:hAnsiTheme="majorHAnsi" w:cstheme="majorHAnsi"/>
          <w:shd w:val="clear" w:color="auto" w:fill="FFFFFF"/>
        </w:rPr>
        <w:t xml:space="preserve">. </w:t>
      </w:r>
      <w:r w:rsidR="002C6888" w:rsidRPr="0053555E">
        <w:rPr>
          <w:rFonts w:asciiTheme="majorHAnsi" w:hAnsiTheme="majorHAnsi" w:cstheme="majorHAnsi"/>
        </w:rPr>
        <w:t xml:space="preserve">Rektor </w:t>
      </w:r>
      <w:r w:rsidR="0077568F" w:rsidRPr="0053555E">
        <w:rPr>
          <w:rFonts w:asciiTheme="majorHAnsi" w:hAnsiTheme="majorHAnsi" w:cstheme="majorHAnsi"/>
        </w:rPr>
        <w:t xml:space="preserve">po dôslednom preskúmaní </w:t>
      </w:r>
      <w:r w:rsidR="0088571D" w:rsidRPr="0053555E">
        <w:rPr>
          <w:rFonts w:asciiTheme="majorHAnsi" w:hAnsiTheme="majorHAnsi" w:cstheme="majorHAnsi"/>
        </w:rPr>
        <w:t>žiadostí</w:t>
      </w:r>
      <w:r w:rsidR="0088571D" w:rsidRPr="0053555E">
        <w:rPr>
          <w:rFonts w:asciiTheme="majorHAnsi" w:hAnsiTheme="majorHAnsi" w:cstheme="majorHAnsi"/>
          <w:b/>
        </w:rPr>
        <w:t xml:space="preserve"> </w:t>
      </w:r>
      <w:r w:rsidR="0077568F" w:rsidRPr="0053555E">
        <w:rPr>
          <w:rFonts w:asciiTheme="majorHAnsi" w:hAnsiTheme="majorHAnsi" w:cstheme="majorHAnsi"/>
          <w:b/>
        </w:rPr>
        <w:t xml:space="preserve">vo všetkých prípadoch </w:t>
      </w:r>
      <w:r w:rsidR="00ED1717" w:rsidRPr="0053555E">
        <w:rPr>
          <w:rFonts w:asciiTheme="majorHAnsi" w:hAnsiTheme="majorHAnsi" w:cstheme="majorHAnsi"/>
          <w:b/>
        </w:rPr>
        <w:t>potvrdil</w:t>
      </w:r>
      <w:r w:rsidR="0088571D" w:rsidRPr="0053555E">
        <w:rPr>
          <w:rFonts w:asciiTheme="majorHAnsi" w:hAnsiTheme="majorHAnsi" w:cstheme="majorHAnsi"/>
          <w:b/>
        </w:rPr>
        <w:t xml:space="preserve"> </w:t>
      </w:r>
      <w:r w:rsidR="0091761C" w:rsidRPr="0053555E">
        <w:rPr>
          <w:rFonts w:asciiTheme="majorHAnsi" w:hAnsiTheme="majorHAnsi" w:cstheme="majorHAnsi"/>
          <w:b/>
        </w:rPr>
        <w:t>pôvodné</w:t>
      </w:r>
      <w:r w:rsidR="0088571D" w:rsidRPr="0053555E">
        <w:rPr>
          <w:rFonts w:asciiTheme="majorHAnsi" w:hAnsiTheme="majorHAnsi" w:cstheme="majorHAnsi"/>
          <w:b/>
        </w:rPr>
        <w:t xml:space="preserve"> rozhodnuti</w:t>
      </w:r>
      <w:r w:rsidR="001118EF" w:rsidRPr="0053555E">
        <w:rPr>
          <w:rFonts w:asciiTheme="majorHAnsi" w:hAnsiTheme="majorHAnsi" w:cstheme="majorHAnsi"/>
          <w:b/>
        </w:rPr>
        <w:t>a</w:t>
      </w:r>
      <w:r w:rsidR="001118EF" w:rsidRPr="0053555E">
        <w:rPr>
          <w:rFonts w:asciiTheme="majorHAnsi" w:hAnsiTheme="majorHAnsi" w:cstheme="majorHAnsi"/>
        </w:rPr>
        <w:t xml:space="preserve"> </w:t>
      </w:r>
      <w:r w:rsidR="0088571D" w:rsidRPr="0053555E">
        <w:rPr>
          <w:rFonts w:asciiTheme="majorHAnsi" w:hAnsiTheme="majorHAnsi" w:cstheme="majorHAnsi"/>
        </w:rPr>
        <w:t>dekan</w:t>
      </w:r>
      <w:r w:rsidR="001118EF" w:rsidRPr="0053555E">
        <w:rPr>
          <w:rFonts w:asciiTheme="majorHAnsi" w:hAnsiTheme="majorHAnsi" w:cstheme="majorHAnsi"/>
        </w:rPr>
        <w:t xml:space="preserve">ov </w:t>
      </w:r>
      <w:r w:rsidR="0004777E" w:rsidRPr="0053555E">
        <w:rPr>
          <w:rFonts w:asciiTheme="majorHAnsi" w:hAnsiTheme="majorHAnsi" w:cstheme="majorHAnsi"/>
        </w:rPr>
        <w:t>fakúlt</w:t>
      </w:r>
      <w:r w:rsidR="0088571D" w:rsidRPr="0053555E">
        <w:rPr>
          <w:rFonts w:asciiTheme="majorHAnsi" w:hAnsiTheme="majorHAnsi" w:cstheme="majorHAnsi"/>
        </w:rPr>
        <w:t xml:space="preserve"> </w:t>
      </w:r>
      <w:r w:rsidR="0091761C" w:rsidRPr="0053555E">
        <w:rPr>
          <w:rFonts w:asciiTheme="majorHAnsi" w:hAnsiTheme="majorHAnsi" w:cstheme="majorHAnsi"/>
        </w:rPr>
        <w:t xml:space="preserve">o neprijatí </w:t>
      </w:r>
      <w:r w:rsidR="007913DF" w:rsidRPr="0053555E">
        <w:rPr>
          <w:rFonts w:asciiTheme="majorHAnsi" w:hAnsiTheme="majorHAnsi" w:cstheme="majorHAnsi"/>
        </w:rPr>
        <w:t>na </w:t>
      </w:r>
      <w:r w:rsidR="001118EF" w:rsidRPr="0053555E">
        <w:rPr>
          <w:rFonts w:asciiTheme="majorHAnsi" w:hAnsiTheme="majorHAnsi" w:cstheme="majorHAnsi"/>
        </w:rPr>
        <w:t>štúdium</w:t>
      </w:r>
      <w:r w:rsidR="00681B4E">
        <w:rPr>
          <w:rFonts w:asciiTheme="majorHAnsi" w:hAnsiTheme="majorHAnsi" w:cstheme="majorHAnsi"/>
        </w:rPr>
        <w:t>.</w:t>
      </w:r>
      <w:r w:rsidR="001118EF" w:rsidRPr="0053555E">
        <w:rPr>
          <w:rFonts w:asciiTheme="majorHAnsi" w:hAnsiTheme="majorHAnsi" w:cstheme="majorHAnsi"/>
        </w:rPr>
        <w:t xml:space="preserve"> </w:t>
      </w:r>
    </w:p>
    <w:p w14:paraId="636C2621" w14:textId="5CA700B2" w:rsidR="00B41AC9" w:rsidRPr="0053555E" w:rsidRDefault="00B41AC9">
      <w:pPr>
        <w:rPr>
          <w:rFonts w:asciiTheme="majorHAnsi" w:hAnsiTheme="majorHAnsi" w:cstheme="majorHAnsi"/>
          <w:sz w:val="22"/>
          <w:szCs w:val="22"/>
        </w:rPr>
      </w:pPr>
    </w:p>
    <w:p w14:paraId="46FFBEB1" w14:textId="7251783D" w:rsidR="002071AC" w:rsidRPr="0053555E" w:rsidRDefault="002D07E5" w:rsidP="000E3322">
      <w:pPr>
        <w:pStyle w:val="Popis"/>
      </w:pPr>
      <w:bookmarkStart w:id="122" w:name="_Ref31713473"/>
      <w:bookmarkStart w:id="123" w:name="_Toc127593292"/>
      <w:r w:rsidRPr="0053555E">
        <w:t xml:space="preserve">Tab. č. </w:t>
      </w:r>
      <w:r w:rsidR="007B5953">
        <w:fldChar w:fldCharType="begin"/>
      </w:r>
      <w:r w:rsidR="007B5953">
        <w:instrText xml:space="preserve"> SEQ Tab._č. \* ARABIC </w:instrText>
      </w:r>
      <w:r w:rsidR="007B5953">
        <w:fldChar w:fldCharType="separate"/>
      </w:r>
      <w:r w:rsidR="00EE1B59">
        <w:rPr>
          <w:noProof/>
        </w:rPr>
        <w:t>29</w:t>
      </w:r>
      <w:r w:rsidR="007B5953">
        <w:rPr>
          <w:noProof/>
        </w:rPr>
        <w:fldChar w:fldCharType="end"/>
      </w:r>
      <w:bookmarkEnd w:id="122"/>
      <w:r w:rsidRPr="0053555E">
        <w:t>:</w:t>
      </w:r>
      <w:r w:rsidR="002071AC" w:rsidRPr="0053555E">
        <w:t xml:space="preserve"> Počet žiadostí o preskúmanie rozhodnutí </w:t>
      </w:r>
      <w:r w:rsidR="00A72935" w:rsidRPr="0053555E">
        <w:t>dekana o neprijatí na štúdium v </w:t>
      </w:r>
      <w:r w:rsidR="002071AC" w:rsidRPr="0053555E">
        <w:t>akad</w:t>
      </w:r>
      <w:r w:rsidR="00AD151F" w:rsidRPr="0053555E">
        <w:t>emickom</w:t>
      </w:r>
      <w:r w:rsidR="002071AC" w:rsidRPr="0053555E">
        <w:t xml:space="preserve"> roku </w:t>
      </w:r>
      <w:r w:rsidR="00EA24BA" w:rsidRPr="0053555E">
        <w:t>2022/2023</w:t>
      </w:r>
      <w:bookmarkEnd w:id="123"/>
    </w:p>
    <w:tbl>
      <w:tblPr>
        <w:tblW w:w="896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3"/>
        <w:gridCol w:w="1349"/>
        <w:gridCol w:w="1349"/>
        <w:gridCol w:w="1349"/>
        <w:gridCol w:w="1349"/>
        <w:gridCol w:w="1349"/>
        <w:gridCol w:w="1349"/>
      </w:tblGrid>
      <w:tr w:rsidR="00044257" w:rsidRPr="0053555E" w14:paraId="5395A450" w14:textId="77777777" w:rsidTr="00793C94">
        <w:trPr>
          <w:trHeight w:val="20"/>
        </w:trPr>
        <w:tc>
          <w:tcPr>
            <w:tcW w:w="873" w:type="dxa"/>
            <w:vMerge w:val="restart"/>
            <w:noWrap/>
            <w:vAlign w:val="center"/>
            <w:hideMark/>
          </w:tcPr>
          <w:p w14:paraId="5C436C0F" w14:textId="77777777" w:rsidR="002071AC" w:rsidRPr="0053555E" w:rsidRDefault="002071AC" w:rsidP="00324438">
            <w:pPr>
              <w:tabs>
                <w:tab w:val="left" w:pos="9356"/>
              </w:tabs>
              <w:jc w:val="both"/>
              <w:rPr>
                <w:rFonts w:asciiTheme="majorHAnsi" w:eastAsia="Times New Roman" w:hAnsiTheme="majorHAnsi" w:cstheme="majorHAnsi"/>
                <w:b/>
                <w:bCs/>
                <w:sz w:val="20"/>
                <w:szCs w:val="22"/>
                <w:lang w:eastAsia="sk-SK"/>
              </w:rPr>
            </w:pPr>
          </w:p>
        </w:tc>
        <w:tc>
          <w:tcPr>
            <w:tcW w:w="2698" w:type="dxa"/>
            <w:gridSpan w:val="2"/>
            <w:noWrap/>
            <w:vAlign w:val="bottom"/>
            <w:hideMark/>
          </w:tcPr>
          <w:p w14:paraId="21955A89" w14:textId="77777777" w:rsidR="002071AC" w:rsidRPr="0053555E" w:rsidRDefault="002071AC"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I. stupeň</w:t>
            </w:r>
          </w:p>
        </w:tc>
        <w:tc>
          <w:tcPr>
            <w:tcW w:w="2698" w:type="dxa"/>
            <w:gridSpan w:val="2"/>
            <w:noWrap/>
            <w:vAlign w:val="bottom"/>
            <w:hideMark/>
          </w:tcPr>
          <w:p w14:paraId="79BF0080" w14:textId="77777777" w:rsidR="002071AC" w:rsidRPr="0053555E" w:rsidRDefault="002071AC"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 xml:space="preserve">II. </w:t>
            </w:r>
            <w:r w:rsidR="004A65A4" w:rsidRPr="0053555E">
              <w:rPr>
                <w:rFonts w:asciiTheme="majorHAnsi" w:eastAsia="Times New Roman" w:hAnsiTheme="majorHAnsi" w:cstheme="majorHAnsi"/>
                <w:b/>
                <w:bCs/>
                <w:sz w:val="22"/>
                <w:szCs w:val="22"/>
                <w:lang w:eastAsia="sk-SK"/>
              </w:rPr>
              <w:t>s</w:t>
            </w:r>
            <w:r w:rsidRPr="0053555E">
              <w:rPr>
                <w:rFonts w:asciiTheme="majorHAnsi" w:eastAsia="Times New Roman" w:hAnsiTheme="majorHAnsi" w:cstheme="majorHAnsi"/>
                <w:b/>
                <w:bCs/>
                <w:sz w:val="22"/>
                <w:szCs w:val="22"/>
                <w:lang w:eastAsia="sk-SK"/>
              </w:rPr>
              <w:t>tupeň</w:t>
            </w:r>
          </w:p>
        </w:tc>
        <w:tc>
          <w:tcPr>
            <w:tcW w:w="2698" w:type="dxa"/>
            <w:gridSpan w:val="2"/>
            <w:noWrap/>
            <w:vAlign w:val="bottom"/>
            <w:hideMark/>
          </w:tcPr>
          <w:p w14:paraId="2F831A53" w14:textId="77777777" w:rsidR="002071AC" w:rsidRPr="0053555E" w:rsidRDefault="004A65A4"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III. stupeň</w:t>
            </w:r>
          </w:p>
        </w:tc>
      </w:tr>
      <w:tr w:rsidR="00044257" w:rsidRPr="0053555E" w14:paraId="0CB602B3" w14:textId="77777777" w:rsidTr="00793C94">
        <w:trPr>
          <w:trHeight w:val="293"/>
        </w:trPr>
        <w:tc>
          <w:tcPr>
            <w:tcW w:w="873" w:type="dxa"/>
            <w:vMerge/>
            <w:vAlign w:val="center"/>
            <w:hideMark/>
          </w:tcPr>
          <w:p w14:paraId="2ECD79D0" w14:textId="77777777" w:rsidR="002071AC" w:rsidRPr="0053555E" w:rsidRDefault="002071AC" w:rsidP="00324438">
            <w:pPr>
              <w:tabs>
                <w:tab w:val="left" w:pos="9356"/>
              </w:tabs>
              <w:jc w:val="both"/>
              <w:rPr>
                <w:rFonts w:asciiTheme="majorHAnsi" w:eastAsia="Times New Roman" w:hAnsiTheme="majorHAnsi" w:cstheme="majorHAnsi"/>
                <w:b/>
                <w:bCs/>
                <w:sz w:val="20"/>
                <w:szCs w:val="22"/>
                <w:lang w:eastAsia="sk-SK"/>
              </w:rPr>
            </w:pPr>
          </w:p>
        </w:tc>
        <w:tc>
          <w:tcPr>
            <w:tcW w:w="1349" w:type="dxa"/>
            <w:vMerge w:val="restart"/>
            <w:noWrap/>
            <w:vAlign w:val="center"/>
            <w:hideMark/>
          </w:tcPr>
          <w:p w14:paraId="1BC6F7DB" w14:textId="77777777" w:rsidR="002071AC" w:rsidRPr="0053555E" w:rsidRDefault="002071AC" w:rsidP="00324438">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neprijatí</w:t>
            </w:r>
          </w:p>
        </w:tc>
        <w:tc>
          <w:tcPr>
            <w:tcW w:w="1349" w:type="dxa"/>
            <w:vMerge w:val="restart"/>
            <w:vAlign w:val="center"/>
            <w:hideMark/>
          </w:tcPr>
          <w:p w14:paraId="3B1F577D" w14:textId="77777777" w:rsidR="00FA1C4B" w:rsidRPr="0053555E" w:rsidRDefault="00B3218B" w:rsidP="00324438">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z toho ž</w:t>
            </w:r>
            <w:r w:rsidR="002071AC" w:rsidRPr="0053555E">
              <w:rPr>
                <w:rFonts w:asciiTheme="majorHAnsi" w:eastAsia="Times New Roman" w:hAnsiTheme="majorHAnsi" w:cstheme="majorHAnsi"/>
                <w:sz w:val="20"/>
                <w:szCs w:val="22"/>
                <w:lang w:eastAsia="sk-SK"/>
              </w:rPr>
              <w:t>iadosti</w:t>
            </w:r>
          </w:p>
          <w:p w14:paraId="3C6C2277" w14:textId="77777777" w:rsidR="002071AC" w:rsidRPr="0053555E" w:rsidRDefault="002071AC" w:rsidP="00324438">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o preskúmanie</w:t>
            </w:r>
          </w:p>
        </w:tc>
        <w:tc>
          <w:tcPr>
            <w:tcW w:w="1349" w:type="dxa"/>
            <w:vMerge w:val="restart"/>
            <w:noWrap/>
            <w:vAlign w:val="center"/>
            <w:hideMark/>
          </w:tcPr>
          <w:p w14:paraId="1B72F0B8" w14:textId="77777777" w:rsidR="002071AC" w:rsidRPr="0053555E" w:rsidRDefault="002071AC" w:rsidP="00324438">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neprijatí</w:t>
            </w:r>
          </w:p>
        </w:tc>
        <w:tc>
          <w:tcPr>
            <w:tcW w:w="1349" w:type="dxa"/>
            <w:vMerge w:val="restart"/>
            <w:vAlign w:val="center"/>
            <w:hideMark/>
          </w:tcPr>
          <w:p w14:paraId="2389933E" w14:textId="77777777" w:rsidR="00B3218B" w:rsidRPr="0053555E" w:rsidRDefault="00B3218B" w:rsidP="00324438">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z toho žiadosti</w:t>
            </w:r>
          </w:p>
          <w:p w14:paraId="6FE2878A" w14:textId="77777777" w:rsidR="002071AC" w:rsidRPr="0053555E" w:rsidRDefault="00B3218B" w:rsidP="00324438">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o preskúmanie</w:t>
            </w:r>
          </w:p>
        </w:tc>
        <w:tc>
          <w:tcPr>
            <w:tcW w:w="1349" w:type="dxa"/>
            <w:vMerge w:val="restart"/>
            <w:noWrap/>
            <w:vAlign w:val="center"/>
            <w:hideMark/>
          </w:tcPr>
          <w:p w14:paraId="6076A70D" w14:textId="77777777" w:rsidR="002071AC" w:rsidRPr="0053555E" w:rsidRDefault="002071AC" w:rsidP="00324438">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neprijatí</w:t>
            </w:r>
          </w:p>
        </w:tc>
        <w:tc>
          <w:tcPr>
            <w:tcW w:w="1349" w:type="dxa"/>
            <w:vMerge w:val="restart"/>
            <w:vAlign w:val="center"/>
            <w:hideMark/>
          </w:tcPr>
          <w:p w14:paraId="42F3898B" w14:textId="77777777" w:rsidR="00B3218B" w:rsidRPr="0053555E" w:rsidRDefault="00B3218B" w:rsidP="00324438">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z toho žiadosti</w:t>
            </w:r>
          </w:p>
          <w:p w14:paraId="13F081F3" w14:textId="77777777" w:rsidR="002071AC" w:rsidRPr="0053555E" w:rsidRDefault="00B3218B" w:rsidP="00324438">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o preskúmanie</w:t>
            </w:r>
          </w:p>
        </w:tc>
      </w:tr>
      <w:tr w:rsidR="00044257" w:rsidRPr="0053555E" w14:paraId="1AA07660" w14:textId="77777777" w:rsidTr="00793C94">
        <w:trPr>
          <w:trHeight w:val="293"/>
        </w:trPr>
        <w:tc>
          <w:tcPr>
            <w:tcW w:w="873" w:type="dxa"/>
            <w:vMerge/>
            <w:vAlign w:val="center"/>
            <w:hideMark/>
          </w:tcPr>
          <w:p w14:paraId="3D924214" w14:textId="77777777" w:rsidR="002071AC" w:rsidRPr="0053555E" w:rsidRDefault="002071AC" w:rsidP="00324438">
            <w:pPr>
              <w:tabs>
                <w:tab w:val="left" w:pos="9356"/>
              </w:tabs>
              <w:jc w:val="both"/>
              <w:rPr>
                <w:rFonts w:asciiTheme="majorHAnsi" w:eastAsia="Times New Roman" w:hAnsiTheme="majorHAnsi" w:cstheme="majorHAnsi"/>
                <w:b/>
                <w:bCs/>
                <w:sz w:val="22"/>
                <w:szCs w:val="22"/>
                <w:lang w:eastAsia="sk-SK"/>
              </w:rPr>
            </w:pPr>
          </w:p>
        </w:tc>
        <w:tc>
          <w:tcPr>
            <w:tcW w:w="1349" w:type="dxa"/>
            <w:vMerge/>
            <w:vAlign w:val="center"/>
            <w:hideMark/>
          </w:tcPr>
          <w:p w14:paraId="2EFDC3D2" w14:textId="77777777" w:rsidR="002071AC" w:rsidRPr="0053555E" w:rsidRDefault="002071AC" w:rsidP="00324438">
            <w:pPr>
              <w:tabs>
                <w:tab w:val="left" w:pos="9356"/>
              </w:tabs>
              <w:jc w:val="center"/>
              <w:rPr>
                <w:rFonts w:asciiTheme="majorHAnsi" w:eastAsia="Times New Roman" w:hAnsiTheme="majorHAnsi" w:cstheme="majorHAnsi"/>
                <w:sz w:val="22"/>
                <w:szCs w:val="22"/>
                <w:lang w:eastAsia="sk-SK"/>
              </w:rPr>
            </w:pPr>
          </w:p>
        </w:tc>
        <w:tc>
          <w:tcPr>
            <w:tcW w:w="1349" w:type="dxa"/>
            <w:vMerge/>
            <w:vAlign w:val="center"/>
            <w:hideMark/>
          </w:tcPr>
          <w:p w14:paraId="584E1EDD" w14:textId="77777777" w:rsidR="002071AC" w:rsidRPr="0053555E" w:rsidRDefault="002071AC" w:rsidP="00324438">
            <w:pPr>
              <w:tabs>
                <w:tab w:val="left" w:pos="9356"/>
              </w:tabs>
              <w:jc w:val="center"/>
              <w:rPr>
                <w:rFonts w:asciiTheme="majorHAnsi" w:eastAsia="Times New Roman" w:hAnsiTheme="majorHAnsi" w:cstheme="majorHAnsi"/>
                <w:sz w:val="22"/>
                <w:szCs w:val="22"/>
                <w:lang w:eastAsia="sk-SK"/>
              </w:rPr>
            </w:pPr>
          </w:p>
        </w:tc>
        <w:tc>
          <w:tcPr>
            <w:tcW w:w="1349" w:type="dxa"/>
            <w:vMerge/>
            <w:vAlign w:val="center"/>
            <w:hideMark/>
          </w:tcPr>
          <w:p w14:paraId="4802DA61" w14:textId="77777777" w:rsidR="002071AC" w:rsidRPr="0053555E" w:rsidRDefault="002071AC" w:rsidP="00324438">
            <w:pPr>
              <w:tabs>
                <w:tab w:val="left" w:pos="9356"/>
              </w:tabs>
              <w:jc w:val="center"/>
              <w:rPr>
                <w:rFonts w:asciiTheme="majorHAnsi" w:eastAsia="Times New Roman" w:hAnsiTheme="majorHAnsi" w:cstheme="majorHAnsi"/>
                <w:sz w:val="22"/>
                <w:szCs w:val="22"/>
                <w:lang w:eastAsia="sk-SK"/>
              </w:rPr>
            </w:pPr>
          </w:p>
        </w:tc>
        <w:tc>
          <w:tcPr>
            <w:tcW w:w="1349" w:type="dxa"/>
            <w:vMerge/>
            <w:vAlign w:val="center"/>
            <w:hideMark/>
          </w:tcPr>
          <w:p w14:paraId="308089C4" w14:textId="77777777" w:rsidR="002071AC" w:rsidRPr="0053555E" w:rsidRDefault="002071AC" w:rsidP="00324438">
            <w:pPr>
              <w:tabs>
                <w:tab w:val="left" w:pos="9356"/>
              </w:tabs>
              <w:jc w:val="center"/>
              <w:rPr>
                <w:rFonts w:asciiTheme="majorHAnsi" w:eastAsia="Times New Roman" w:hAnsiTheme="majorHAnsi" w:cstheme="majorHAnsi"/>
                <w:sz w:val="22"/>
                <w:szCs w:val="22"/>
                <w:lang w:eastAsia="sk-SK"/>
              </w:rPr>
            </w:pPr>
          </w:p>
        </w:tc>
        <w:tc>
          <w:tcPr>
            <w:tcW w:w="1349" w:type="dxa"/>
            <w:vMerge/>
            <w:vAlign w:val="center"/>
            <w:hideMark/>
          </w:tcPr>
          <w:p w14:paraId="4E31E577" w14:textId="77777777" w:rsidR="002071AC" w:rsidRPr="0053555E" w:rsidRDefault="002071AC" w:rsidP="00324438">
            <w:pPr>
              <w:tabs>
                <w:tab w:val="left" w:pos="9356"/>
              </w:tabs>
              <w:jc w:val="center"/>
              <w:rPr>
                <w:rFonts w:asciiTheme="majorHAnsi" w:eastAsia="Times New Roman" w:hAnsiTheme="majorHAnsi" w:cstheme="majorHAnsi"/>
                <w:sz w:val="22"/>
                <w:szCs w:val="22"/>
                <w:lang w:eastAsia="sk-SK"/>
              </w:rPr>
            </w:pPr>
          </w:p>
        </w:tc>
        <w:tc>
          <w:tcPr>
            <w:tcW w:w="1349" w:type="dxa"/>
            <w:vMerge/>
            <w:vAlign w:val="center"/>
            <w:hideMark/>
          </w:tcPr>
          <w:p w14:paraId="6B3CE816" w14:textId="77777777" w:rsidR="002071AC" w:rsidRPr="0053555E" w:rsidRDefault="002071AC" w:rsidP="00324438">
            <w:pPr>
              <w:tabs>
                <w:tab w:val="left" w:pos="9356"/>
              </w:tabs>
              <w:jc w:val="center"/>
              <w:rPr>
                <w:rFonts w:asciiTheme="majorHAnsi" w:eastAsia="Times New Roman" w:hAnsiTheme="majorHAnsi" w:cstheme="majorHAnsi"/>
                <w:sz w:val="22"/>
                <w:szCs w:val="22"/>
                <w:lang w:eastAsia="sk-SK"/>
              </w:rPr>
            </w:pPr>
          </w:p>
        </w:tc>
      </w:tr>
      <w:tr w:rsidR="00B94CBA" w:rsidRPr="0053555E" w14:paraId="165CFB27" w14:textId="77777777" w:rsidTr="00793C94">
        <w:trPr>
          <w:trHeight w:val="20"/>
        </w:trPr>
        <w:tc>
          <w:tcPr>
            <w:tcW w:w="873" w:type="dxa"/>
            <w:noWrap/>
            <w:vAlign w:val="bottom"/>
            <w:hideMark/>
          </w:tcPr>
          <w:p w14:paraId="18EA0763" w14:textId="77777777" w:rsidR="00B94CBA" w:rsidRPr="0053555E" w:rsidRDefault="00B94CBA" w:rsidP="00B94CBA">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STU</w:t>
            </w:r>
          </w:p>
        </w:tc>
        <w:tc>
          <w:tcPr>
            <w:tcW w:w="1349" w:type="dxa"/>
            <w:noWrap/>
            <w:vAlign w:val="center"/>
            <w:hideMark/>
          </w:tcPr>
          <w:p w14:paraId="652A1184" w14:textId="28C2A271" w:rsidR="00B94CBA" w:rsidRPr="0053555E" w:rsidRDefault="00B94CBA" w:rsidP="00B94CBA">
            <w:pPr>
              <w:ind w:leftChars="-10" w:hangingChars="11" w:hanging="24"/>
              <w:jc w:val="center"/>
              <w:rPr>
                <w:rFonts w:asciiTheme="majorHAnsi" w:hAnsiTheme="majorHAnsi" w:cstheme="majorHAnsi"/>
                <w:b/>
                <w:bCs/>
                <w:sz w:val="22"/>
                <w:szCs w:val="22"/>
              </w:rPr>
            </w:pPr>
            <w:r w:rsidRPr="0053555E">
              <w:rPr>
                <w:rFonts w:cs="Calibri"/>
                <w:b/>
                <w:bCs/>
                <w:sz w:val="22"/>
                <w:szCs w:val="22"/>
              </w:rPr>
              <w:t>3 491</w:t>
            </w:r>
          </w:p>
        </w:tc>
        <w:tc>
          <w:tcPr>
            <w:tcW w:w="1349" w:type="dxa"/>
            <w:noWrap/>
            <w:vAlign w:val="center"/>
            <w:hideMark/>
          </w:tcPr>
          <w:p w14:paraId="19EEE9C5" w14:textId="6D4D6257" w:rsidR="00B94CBA" w:rsidRPr="0053555E" w:rsidRDefault="00B94CBA" w:rsidP="00B94CBA">
            <w:pPr>
              <w:ind w:firstLineChars="1" w:firstLine="2"/>
              <w:jc w:val="center"/>
              <w:rPr>
                <w:rFonts w:asciiTheme="majorHAnsi" w:hAnsiTheme="majorHAnsi" w:cstheme="majorHAnsi"/>
                <w:b/>
                <w:bCs/>
                <w:sz w:val="22"/>
                <w:szCs w:val="22"/>
              </w:rPr>
            </w:pPr>
            <w:r w:rsidRPr="0053555E">
              <w:rPr>
                <w:rFonts w:cs="Calibri"/>
                <w:b/>
                <w:bCs/>
                <w:sz w:val="22"/>
                <w:szCs w:val="22"/>
              </w:rPr>
              <w:t>143</w:t>
            </w:r>
          </w:p>
        </w:tc>
        <w:tc>
          <w:tcPr>
            <w:tcW w:w="1349" w:type="dxa"/>
            <w:noWrap/>
            <w:vAlign w:val="center"/>
            <w:hideMark/>
          </w:tcPr>
          <w:p w14:paraId="7D8AE4DB" w14:textId="5EA65577" w:rsidR="00B94CBA" w:rsidRPr="0053555E" w:rsidRDefault="00B94CBA" w:rsidP="00B94CBA">
            <w:pPr>
              <w:ind w:leftChars="-8" w:left="1" w:hangingChars="9" w:hanging="20"/>
              <w:jc w:val="center"/>
              <w:rPr>
                <w:rFonts w:asciiTheme="majorHAnsi" w:hAnsiTheme="majorHAnsi" w:cstheme="majorHAnsi"/>
                <w:b/>
                <w:bCs/>
                <w:sz w:val="22"/>
                <w:szCs w:val="22"/>
              </w:rPr>
            </w:pPr>
            <w:r w:rsidRPr="0053555E">
              <w:rPr>
                <w:rFonts w:cs="Calibri"/>
                <w:b/>
                <w:bCs/>
                <w:sz w:val="22"/>
                <w:szCs w:val="22"/>
              </w:rPr>
              <w:t>509</w:t>
            </w:r>
          </w:p>
        </w:tc>
        <w:tc>
          <w:tcPr>
            <w:tcW w:w="1349" w:type="dxa"/>
            <w:noWrap/>
            <w:vAlign w:val="center"/>
            <w:hideMark/>
          </w:tcPr>
          <w:p w14:paraId="547AB1E6" w14:textId="0C326C96" w:rsidR="00B94CBA" w:rsidRPr="0053555E" w:rsidRDefault="00B94CBA" w:rsidP="00B94CBA">
            <w:pPr>
              <w:ind w:leftChars="-8" w:left="1" w:hangingChars="9" w:hanging="20"/>
              <w:jc w:val="center"/>
              <w:rPr>
                <w:rFonts w:asciiTheme="majorHAnsi" w:hAnsiTheme="majorHAnsi" w:cstheme="majorHAnsi"/>
                <w:b/>
                <w:bCs/>
                <w:sz w:val="22"/>
                <w:szCs w:val="22"/>
              </w:rPr>
            </w:pPr>
            <w:r w:rsidRPr="0053555E">
              <w:rPr>
                <w:rFonts w:cs="Calibri"/>
                <w:b/>
                <w:bCs/>
                <w:sz w:val="22"/>
                <w:szCs w:val="22"/>
              </w:rPr>
              <w:t>6</w:t>
            </w:r>
          </w:p>
        </w:tc>
        <w:tc>
          <w:tcPr>
            <w:tcW w:w="1349" w:type="dxa"/>
            <w:noWrap/>
            <w:vAlign w:val="center"/>
            <w:hideMark/>
          </w:tcPr>
          <w:p w14:paraId="0207A6A4" w14:textId="0EF797EB" w:rsidR="00B94CBA" w:rsidRPr="0053555E" w:rsidRDefault="00B94CBA" w:rsidP="00B94CBA">
            <w:pPr>
              <w:ind w:leftChars="-8" w:left="1" w:hangingChars="9" w:hanging="20"/>
              <w:jc w:val="center"/>
              <w:rPr>
                <w:rFonts w:asciiTheme="majorHAnsi" w:hAnsiTheme="majorHAnsi" w:cstheme="majorHAnsi"/>
                <w:b/>
                <w:bCs/>
                <w:sz w:val="22"/>
                <w:szCs w:val="22"/>
              </w:rPr>
            </w:pPr>
            <w:r w:rsidRPr="0053555E">
              <w:rPr>
                <w:rFonts w:cs="Calibri"/>
                <w:b/>
                <w:bCs/>
                <w:sz w:val="22"/>
                <w:szCs w:val="22"/>
              </w:rPr>
              <w:t>79</w:t>
            </w:r>
          </w:p>
        </w:tc>
        <w:tc>
          <w:tcPr>
            <w:tcW w:w="1349" w:type="dxa"/>
            <w:noWrap/>
            <w:vAlign w:val="center"/>
            <w:hideMark/>
          </w:tcPr>
          <w:p w14:paraId="7A908C22" w14:textId="4D70F926" w:rsidR="00B94CBA" w:rsidRPr="0053555E" w:rsidRDefault="00B94CBA" w:rsidP="00B94CBA">
            <w:pPr>
              <w:ind w:leftChars="-8" w:left="1" w:hangingChars="9" w:hanging="20"/>
              <w:jc w:val="center"/>
              <w:rPr>
                <w:rFonts w:asciiTheme="majorHAnsi" w:hAnsiTheme="majorHAnsi" w:cstheme="majorHAnsi"/>
                <w:b/>
                <w:bCs/>
                <w:sz w:val="22"/>
                <w:szCs w:val="22"/>
              </w:rPr>
            </w:pPr>
            <w:r w:rsidRPr="0053555E">
              <w:rPr>
                <w:rFonts w:cs="Calibri"/>
                <w:b/>
                <w:bCs/>
                <w:sz w:val="22"/>
                <w:szCs w:val="22"/>
              </w:rPr>
              <w:t>4</w:t>
            </w:r>
          </w:p>
        </w:tc>
      </w:tr>
    </w:tbl>
    <w:p w14:paraId="081BC8E2" w14:textId="77777777" w:rsidR="002071AC" w:rsidRPr="0053555E" w:rsidRDefault="002071AC" w:rsidP="00324438">
      <w:pPr>
        <w:tabs>
          <w:tab w:val="left" w:pos="0"/>
          <w:tab w:val="left" w:pos="284"/>
          <w:tab w:val="left" w:pos="9356"/>
        </w:tabs>
        <w:jc w:val="both"/>
        <w:rPr>
          <w:rFonts w:asciiTheme="majorHAnsi" w:hAnsiTheme="majorHAnsi" w:cstheme="majorHAnsi"/>
          <w:sz w:val="22"/>
          <w:szCs w:val="20"/>
        </w:rPr>
      </w:pPr>
    </w:p>
    <w:p w14:paraId="2CF6450B" w14:textId="77777777" w:rsidR="004D5598" w:rsidRPr="0053555E" w:rsidRDefault="004D5598" w:rsidP="00324438">
      <w:pPr>
        <w:tabs>
          <w:tab w:val="left" w:pos="0"/>
          <w:tab w:val="left" w:pos="284"/>
          <w:tab w:val="left" w:pos="9356"/>
        </w:tabs>
        <w:jc w:val="both"/>
        <w:rPr>
          <w:rFonts w:asciiTheme="majorHAnsi" w:hAnsiTheme="majorHAnsi" w:cstheme="majorHAnsi"/>
          <w:sz w:val="22"/>
          <w:szCs w:val="20"/>
        </w:rPr>
      </w:pPr>
    </w:p>
    <w:p w14:paraId="7EC380A6" w14:textId="7AA5D62D" w:rsidR="00D43527" w:rsidRPr="0053555E" w:rsidRDefault="002071AC" w:rsidP="000E3322">
      <w:pPr>
        <w:pStyle w:val="Popis"/>
      </w:pPr>
      <w:bookmarkStart w:id="124" w:name="_Ref474780276"/>
      <w:bookmarkStart w:id="125" w:name="_Toc127593342"/>
      <w:r w:rsidRPr="0053555E">
        <w:t xml:space="preserve">Graf č. </w:t>
      </w:r>
      <w:r w:rsidR="007B5953">
        <w:fldChar w:fldCharType="begin"/>
      </w:r>
      <w:r w:rsidR="007B5953">
        <w:instrText xml:space="preserve"> SEQ Graf_č. \* ARABIC </w:instrText>
      </w:r>
      <w:r w:rsidR="007B5953">
        <w:fldChar w:fldCharType="separate"/>
      </w:r>
      <w:r w:rsidR="00EE1B59">
        <w:rPr>
          <w:noProof/>
        </w:rPr>
        <w:t>14</w:t>
      </w:r>
      <w:r w:rsidR="007B5953">
        <w:rPr>
          <w:noProof/>
        </w:rPr>
        <w:fldChar w:fldCharType="end"/>
      </w:r>
      <w:bookmarkEnd w:id="124"/>
      <w:r w:rsidRPr="0053555E">
        <w:t>: Počet žiadostí o preskúmanie rozhodnut</w:t>
      </w:r>
      <w:r w:rsidR="004D5598" w:rsidRPr="0053555E">
        <w:t>ia</w:t>
      </w:r>
      <w:r w:rsidRPr="0053555E">
        <w:t xml:space="preserve"> dekana o neprijatí na štúdium </w:t>
      </w:r>
      <w:r w:rsidR="004502D5" w:rsidRPr="0053555E">
        <w:t xml:space="preserve">a percento z celkového počtu neprijatých na príslušnom stupni štúdia </w:t>
      </w:r>
      <w:r w:rsidRPr="0053555E">
        <w:t>v akad</w:t>
      </w:r>
      <w:r w:rsidR="00DB205D" w:rsidRPr="0053555E">
        <w:t>emickom</w:t>
      </w:r>
      <w:r w:rsidRPr="0053555E">
        <w:t xml:space="preserve"> roku </w:t>
      </w:r>
      <w:r w:rsidR="00EA24BA" w:rsidRPr="0053555E">
        <w:t>2022/2023</w:t>
      </w:r>
      <w:bookmarkEnd w:id="125"/>
      <w:r w:rsidRPr="0053555E">
        <w:t xml:space="preserve"> </w:t>
      </w:r>
    </w:p>
    <w:p w14:paraId="2E6B6759" w14:textId="32F186BD" w:rsidR="00B94CBA" w:rsidRPr="0053555E" w:rsidRDefault="00B94CBA" w:rsidP="00B94CBA">
      <w:r w:rsidRPr="0053555E">
        <w:rPr>
          <w:rFonts w:asciiTheme="majorHAnsi" w:hAnsiTheme="majorHAnsi" w:cstheme="majorHAnsi"/>
          <w:noProof/>
          <w:lang w:eastAsia="sk-SK"/>
        </w:rPr>
        <w:drawing>
          <wp:inline distT="0" distB="0" distL="0" distR="0" wp14:anchorId="76CAC478" wp14:editId="3BB54110">
            <wp:extent cx="5410200" cy="2838450"/>
            <wp:effectExtent l="0" t="0" r="0" b="0"/>
            <wp:docPr id="19" name="Graf 19">
              <a:extLst xmlns:a="http://schemas.openxmlformats.org/drawingml/2006/main">
                <a:ext uri="{FF2B5EF4-FFF2-40B4-BE49-F238E27FC236}">
                  <a16:creationId xmlns:a16="http://schemas.microsoft.com/office/drawing/2014/main" id="{00000000-0008-0000-2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18FEAA9" w14:textId="5AB26CD1" w:rsidR="003C4B11" w:rsidRPr="0053555E" w:rsidRDefault="003C4B11" w:rsidP="00324438">
      <w:pPr>
        <w:rPr>
          <w:rFonts w:asciiTheme="majorHAnsi" w:hAnsiTheme="majorHAnsi" w:cstheme="majorHAnsi"/>
        </w:rPr>
      </w:pPr>
    </w:p>
    <w:p w14:paraId="392A53B9" w14:textId="77777777" w:rsidR="003C4B11" w:rsidRPr="0053555E" w:rsidRDefault="003C4B11" w:rsidP="00324438">
      <w:pPr>
        <w:rPr>
          <w:rFonts w:asciiTheme="majorHAnsi" w:hAnsiTheme="majorHAnsi" w:cstheme="majorHAnsi"/>
        </w:rPr>
      </w:pPr>
    </w:p>
    <w:p w14:paraId="27DAC3A4" w14:textId="7718C9E1" w:rsidR="002071AC" w:rsidRPr="00681B4E" w:rsidRDefault="00681B4E" w:rsidP="00681B4E">
      <w:pPr>
        <w:rPr>
          <w:b/>
          <w:sz w:val="28"/>
          <w:szCs w:val="28"/>
        </w:rPr>
      </w:pPr>
      <w:bookmarkStart w:id="126" w:name="_Toc127593227"/>
      <w:r w:rsidRPr="00681B4E">
        <w:rPr>
          <w:b/>
          <w:sz w:val="28"/>
          <w:szCs w:val="28"/>
        </w:rPr>
        <w:t xml:space="preserve">3.4.5. </w:t>
      </w:r>
      <w:r w:rsidR="002071AC" w:rsidRPr="00681B4E">
        <w:rPr>
          <w:b/>
          <w:sz w:val="28"/>
          <w:szCs w:val="28"/>
        </w:rPr>
        <w:t xml:space="preserve">Vyhodnotenie prijímacieho konania na STU na akademický rok </w:t>
      </w:r>
      <w:r w:rsidR="00EA24BA" w:rsidRPr="00681B4E">
        <w:rPr>
          <w:b/>
          <w:sz w:val="28"/>
          <w:szCs w:val="28"/>
        </w:rPr>
        <w:t>2022/2023</w:t>
      </w:r>
      <w:bookmarkEnd w:id="126"/>
    </w:p>
    <w:p w14:paraId="0D05B2AE" w14:textId="77777777" w:rsidR="00681B4E" w:rsidRPr="00681B4E" w:rsidRDefault="00681B4E" w:rsidP="00681B4E"/>
    <w:p w14:paraId="0E901F7B" w14:textId="41E7D74B" w:rsidR="002071AC" w:rsidRPr="0053555E" w:rsidRDefault="002071AC" w:rsidP="007E4062">
      <w:pPr>
        <w:tabs>
          <w:tab w:val="left" w:pos="9356"/>
        </w:tabs>
        <w:spacing w:after="120"/>
        <w:ind w:right="272"/>
        <w:jc w:val="both"/>
        <w:rPr>
          <w:rFonts w:asciiTheme="majorHAnsi" w:hAnsiTheme="majorHAnsi" w:cstheme="majorHAnsi"/>
          <w:b/>
        </w:rPr>
      </w:pPr>
      <w:r w:rsidRPr="0053555E">
        <w:rPr>
          <w:rFonts w:asciiTheme="majorHAnsi" w:hAnsiTheme="majorHAnsi" w:cstheme="majorHAnsi"/>
        </w:rPr>
        <w:t xml:space="preserve">V prijímacom konaní </w:t>
      </w:r>
      <w:r w:rsidR="00EA24BA" w:rsidRPr="0053555E">
        <w:rPr>
          <w:rFonts w:asciiTheme="majorHAnsi" w:hAnsiTheme="majorHAnsi" w:cstheme="majorHAnsi"/>
        </w:rPr>
        <w:t>2022/2023</w:t>
      </w:r>
      <w:r w:rsidRPr="0053555E">
        <w:rPr>
          <w:rFonts w:asciiTheme="majorHAnsi" w:hAnsiTheme="majorHAnsi" w:cstheme="majorHAnsi"/>
        </w:rPr>
        <w:t xml:space="preserve"> bolo celkovo zapísaných </w:t>
      </w:r>
      <w:r w:rsidR="00372BD8">
        <w:rPr>
          <w:rFonts w:asciiTheme="majorHAnsi" w:hAnsiTheme="majorHAnsi" w:cstheme="majorHAnsi"/>
          <w:b/>
        </w:rPr>
        <w:t xml:space="preserve">3 </w:t>
      </w:r>
      <w:r w:rsidR="0036297A">
        <w:rPr>
          <w:rFonts w:asciiTheme="majorHAnsi" w:hAnsiTheme="majorHAnsi" w:cstheme="majorHAnsi"/>
          <w:b/>
        </w:rPr>
        <w:t>491</w:t>
      </w:r>
      <w:r w:rsidRPr="0053555E">
        <w:rPr>
          <w:rFonts w:asciiTheme="majorHAnsi" w:hAnsiTheme="majorHAnsi" w:cstheme="majorHAnsi"/>
        </w:rPr>
        <w:t xml:space="preserve"> </w:t>
      </w:r>
      <w:r w:rsidR="0076517E" w:rsidRPr="0053555E">
        <w:rPr>
          <w:rFonts w:asciiTheme="majorHAnsi" w:hAnsiTheme="majorHAnsi" w:cstheme="majorHAnsi"/>
        </w:rPr>
        <w:t xml:space="preserve">študentov z </w:t>
      </w:r>
      <w:r w:rsidR="008964AB" w:rsidRPr="0053555E">
        <w:rPr>
          <w:rFonts w:asciiTheme="majorHAnsi" w:hAnsiTheme="majorHAnsi" w:cstheme="majorHAnsi"/>
        </w:rPr>
        <w:t>prijatých uchádzačov</w:t>
      </w:r>
      <w:r w:rsidRPr="0053555E">
        <w:rPr>
          <w:rFonts w:asciiTheme="majorHAnsi" w:hAnsiTheme="majorHAnsi" w:cstheme="majorHAnsi"/>
        </w:rPr>
        <w:t xml:space="preserve"> na prvom stupni štúdia; </w:t>
      </w:r>
      <w:r w:rsidR="002B5F63" w:rsidRPr="0053555E">
        <w:rPr>
          <w:rFonts w:asciiTheme="majorHAnsi" w:hAnsiTheme="majorHAnsi" w:cstheme="majorHAnsi"/>
          <w:b/>
        </w:rPr>
        <w:t>1</w:t>
      </w:r>
      <w:r w:rsidR="00E744DD" w:rsidRPr="0053555E">
        <w:rPr>
          <w:rFonts w:asciiTheme="majorHAnsi" w:hAnsiTheme="majorHAnsi" w:cstheme="majorHAnsi"/>
          <w:b/>
        </w:rPr>
        <w:t> 5</w:t>
      </w:r>
      <w:r w:rsidR="0036297A">
        <w:rPr>
          <w:rFonts w:asciiTheme="majorHAnsi" w:hAnsiTheme="majorHAnsi" w:cstheme="majorHAnsi"/>
          <w:b/>
        </w:rPr>
        <w:t>10</w:t>
      </w:r>
      <w:r w:rsidRPr="0053555E">
        <w:rPr>
          <w:rFonts w:asciiTheme="majorHAnsi" w:hAnsiTheme="majorHAnsi" w:cstheme="majorHAnsi"/>
        </w:rPr>
        <w:t xml:space="preserve"> na druhom stupni štúdia a</w:t>
      </w:r>
      <w:r w:rsidR="008964AB" w:rsidRPr="0053555E">
        <w:rPr>
          <w:rFonts w:asciiTheme="majorHAnsi" w:hAnsiTheme="majorHAnsi" w:cstheme="majorHAnsi"/>
        </w:rPr>
        <w:t> </w:t>
      </w:r>
      <w:r w:rsidR="0036297A">
        <w:rPr>
          <w:rFonts w:asciiTheme="majorHAnsi" w:hAnsiTheme="majorHAnsi" w:cstheme="majorHAnsi"/>
          <w:b/>
        </w:rPr>
        <w:t>166</w:t>
      </w:r>
      <w:r w:rsidR="008964AB" w:rsidRPr="0053555E">
        <w:rPr>
          <w:rFonts w:asciiTheme="majorHAnsi" w:hAnsiTheme="majorHAnsi" w:cstheme="majorHAnsi"/>
        </w:rPr>
        <w:t xml:space="preserve"> </w:t>
      </w:r>
      <w:r w:rsidR="007F62D5" w:rsidRPr="0053555E">
        <w:rPr>
          <w:rFonts w:asciiTheme="majorHAnsi" w:hAnsiTheme="majorHAnsi" w:cstheme="majorHAnsi"/>
        </w:rPr>
        <w:t>študentov z </w:t>
      </w:r>
      <w:r w:rsidR="00E744DD" w:rsidRPr="0053555E">
        <w:rPr>
          <w:rFonts w:asciiTheme="majorHAnsi" w:hAnsiTheme="majorHAnsi" w:cstheme="majorHAnsi"/>
        </w:rPr>
        <w:t xml:space="preserve">prijatých uchádzačov </w:t>
      </w:r>
      <w:r w:rsidRPr="0053555E">
        <w:rPr>
          <w:rFonts w:asciiTheme="majorHAnsi" w:hAnsiTheme="majorHAnsi" w:cstheme="majorHAnsi"/>
        </w:rPr>
        <w:t>na treťom stupni štúdia (</w:t>
      </w:r>
      <w:r w:rsidR="0036297A">
        <w:rPr>
          <w:rFonts w:asciiTheme="majorHAnsi" w:hAnsiTheme="majorHAnsi" w:cstheme="majorHAnsi"/>
        </w:rPr>
        <w:t>125</w:t>
      </w:r>
      <w:r w:rsidRPr="0053555E">
        <w:rPr>
          <w:rFonts w:asciiTheme="majorHAnsi" w:hAnsiTheme="majorHAnsi" w:cstheme="majorHAnsi"/>
        </w:rPr>
        <w:t xml:space="preserve"> v dennej forme a </w:t>
      </w:r>
      <w:r w:rsidR="0036297A">
        <w:rPr>
          <w:rFonts w:asciiTheme="majorHAnsi" w:hAnsiTheme="majorHAnsi" w:cstheme="majorHAnsi"/>
        </w:rPr>
        <w:t>41</w:t>
      </w:r>
      <w:r w:rsidRPr="0053555E">
        <w:rPr>
          <w:rFonts w:asciiTheme="majorHAnsi" w:hAnsiTheme="majorHAnsi" w:cstheme="majorHAnsi"/>
        </w:rPr>
        <w:t xml:space="preserve"> v  externej forme). </w:t>
      </w:r>
      <w:r w:rsidR="00024B56" w:rsidRPr="0053555E">
        <w:rPr>
          <w:rFonts w:asciiTheme="majorHAnsi" w:hAnsiTheme="majorHAnsi" w:cstheme="majorHAnsi"/>
          <w:b/>
        </w:rPr>
        <w:lastRenderedPageBreak/>
        <w:t>Spolu sa </w:t>
      </w:r>
      <w:r w:rsidR="007D7292" w:rsidRPr="0053555E">
        <w:rPr>
          <w:rFonts w:asciiTheme="majorHAnsi" w:hAnsiTheme="majorHAnsi" w:cstheme="majorHAnsi"/>
          <w:b/>
        </w:rPr>
        <w:t xml:space="preserve">v prijímacom konaní na akademický rok </w:t>
      </w:r>
      <w:r w:rsidR="00EA24BA" w:rsidRPr="0053555E">
        <w:rPr>
          <w:rFonts w:asciiTheme="majorHAnsi" w:hAnsiTheme="majorHAnsi" w:cstheme="majorHAnsi"/>
          <w:b/>
        </w:rPr>
        <w:t>2022/2023</w:t>
      </w:r>
      <w:r w:rsidR="007D7292" w:rsidRPr="0053555E">
        <w:rPr>
          <w:rFonts w:asciiTheme="majorHAnsi" w:hAnsiTheme="majorHAnsi" w:cstheme="majorHAnsi"/>
          <w:b/>
        </w:rPr>
        <w:t xml:space="preserve"> </w:t>
      </w:r>
      <w:r w:rsidRPr="0053555E">
        <w:rPr>
          <w:rFonts w:asciiTheme="majorHAnsi" w:hAnsiTheme="majorHAnsi" w:cstheme="majorHAnsi"/>
          <w:b/>
        </w:rPr>
        <w:t xml:space="preserve">zapísalo </w:t>
      </w:r>
      <w:r w:rsidR="0036297A">
        <w:rPr>
          <w:rFonts w:asciiTheme="majorHAnsi" w:hAnsiTheme="majorHAnsi" w:cstheme="majorHAnsi"/>
          <w:b/>
        </w:rPr>
        <w:t>5</w:t>
      </w:r>
      <w:r w:rsidR="000E1432">
        <w:rPr>
          <w:rFonts w:asciiTheme="majorHAnsi" w:hAnsiTheme="majorHAnsi" w:cstheme="majorHAnsi"/>
          <w:b/>
        </w:rPr>
        <w:t> </w:t>
      </w:r>
      <w:r w:rsidR="0036297A">
        <w:rPr>
          <w:rFonts w:asciiTheme="majorHAnsi" w:hAnsiTheme="majorHAnsi" w:cstheme="majorHAnsi"/>
          <w:b/>
        </w:rPr>
        <w:t>167</w:t>
      </w:r>
      <w:r w:rsidR="00FD56AE" w:rsidRPr="0053555E">
        <w:rPr>
          <w:rFonts w:asciiTheme="majorHAnsi" w:hAnsiTheme="majorHAnsi" w:cstheme="majorHAnsi"/>
          <w:b/>
        </w:rPr>
        <w:t xml:space="preserve"> </w:t>
      </w:r>
      <w:r w:rsidRPr="0053555E">
        <w:rPr>
          <w:rFonts w:asciiTheme="majorHAnsi" w:hAnsiTheme="majorHAnsi" w:cstheme="majorHAnsi"/>
          <w:b/>
        </w:rPr>
        <w:t>nových študentov.</w:t>
      </w:r>
    </w:p>
    <w:p w14:paraId="0CD857CB" w14:textId="1114158D" w:rsidR="00933D9E" w:rsidRPr="0053555E" w:rsidRDefault="002071AC" w:rsidP="00324438">
      <w:pPr>
        <w:tabs>
          <w:tab w:val="left" w:pos="9356"/>
        </w:tabs>
        <w:spacing w:after="120"/>
        <w:ind w:right="272"/>
        <w:jc w:val="both"/>
        <w:rPr>
          <w:rFonts w:asciiTheme="majorHAnsi" w:hAnsiTheme="majorHAnsi" w:cstheme="majorHAnsi"/>
        </w:rPr>
      </w:pPr>
      <w:r w:rsidRPr="0053555E">
        <w:rPr>
          <w:rFonts w:asciiTheme="majorHAnsi" w:hAnsiTheme="majorHAnsi" w:cstheme="majorHAnsi"/>
        </w:rPr>
        <w:t xml:space="preserve">Oproti </w:t>
      </w:r>
      <w:r w:rsidR="007D7292" w:rsidRPr="0053555E">
        <w:rPr>
          <w:rFonts w:asciiTheme="majorHAnsi" w:hAnsiTheme="majorHAnsi" w:cstheme="majorHAnsi"/>
        </w:rPr>
        <w:t xml:space="preserve">prijímaciemu konaniu na </w:t>
      </w:r>
      <w:r w:rsidRPr="0053555E">
        <w:rPr>
          <w:rFonts w:asciiTheme="majorHAnsi" w:hAnsiTheme="majorHAnsi" w:cstheme="majorHAnsi"/>
        </w:rPr>
        <w:t>akademick</w:t>
      </w:r>
      <w:r w:rsidR="007D7292" w:rsidRPr="0053555E">
        <w:rPr>
          <w:rFonts w:asciiTheme="majorHAnsi" w:hAnsiTheme="majorHAnsi" w:cstheme="majorHAnsi"/>
        </w:rPr>
        <w:t>ý</w:t>
      </w:r>
      <w:r w:rsidRPr="0053555E">
        <w:rPr>
          <w:rFonts w:asciiTheme="majorHAnsi" w:hAnsiTheme="majorHAnsi" w:cstheme="majorHAnsi"/>
        </w:rPr>
        <w:t xml:space="preserve"> rok </w:t>
      </w:r>
      <w:r w:rsidR="00EA24BA" w:rsidRPr="0053555E">
        <w:rPr>
          <w:rFonts w:asciiTheme="majorHAnsi" w:hAnsiTheme="majorHAnsi" w:cstheme="majorHAnsi"/>
        </w:rPr>
        <w:t>2021/2022</w:t>
      </w:r>
      <w:r w:rsidRPr="0053555E">
        <w:rPr>
          <w:rFonts w:asciiTheme="majorHAnsi" w:hAnsiTheme="majorHAnsi" w:cstheme="majorHAnsi"/>
        </w:rPr>
        <w:t xml:space="preserve"> to znamená </w:t>
      </w:r>
      <w:r w:rsidR="007E4062">
        <w:rPr>
          <w:rFonts w:asciiTheme="majorHAnsi" w:hAnsiTheme="majorHAnsi" w:cstheme="majorHAnsi"/>
        </w:rPr>
        <w:t>nárast</w:t>
      </w:r>
      <w:r w:rsidR="00A33346" w:rsidRPr="0053555E">
        <w:rPr>
          <w:rFonts w:asciiTheme="majorHAnsi" w:hAnsiTheme="majorHAnsi" w:cstheme="majorHAnsi"/>
        </w:rPr>
        <w:t xml:space="preserve"> </w:t>
      </w:r>
      <w:r w:rsidR="001C3475">
        <w:rPr>
          <w:rFonts w:asciiTheme="majorHAnsi" w:hAnsiTheme="majorHAnsi" w:cstheme="majorHAnsi"/>
        </w:rPr>
        <w:t xml:space="preserve">zapísaných študentov </w:t>
      </w:r>
      <w:r w:rsidR="001A7F67" w:rsidRPr="0053555E">
        <w:rPr>
          <w:rFonts w:asciiTheme="majorHAnsi" w:hAnsiTheme="majorHAnsi" w:cstheme="majorHAnsi"/>
        </w:rPr>
        <w:t>na </w:t>
      </w:r>
      <w:r w:rsidRPr="0053555E">
        <w:rPr>
          <w:rFonts w:asciiTheme="majorHAnsi" w:hAnsiTheme="majorHAnsi" w:cstheme="majorHAnsi"/>
        </w:rPr>
        <w:t>prvom stupni štúdia</w:t>
      </w:r>
      <w:r w:rsidR="00DB1891" w:rsidRPr="0053555E">
        <w:rPr>
          <w:rFonts w:asciiTheme="majorHAnsi" w:hAnsiTheme="majorHAnsi" w:cstheme="majorHAnsi"/>
        </w:rPr>
        <w:t xml:space="preserve"> </w:t>
      </w:r>
      <w:r w:rsidR="001C3475" w:rsidRPr="0053555E">
        <w:rPr>
          <w:rFonts w:asciiTheme="majorHAnsi" w:hAnsiTheme="majorHAnsi" w:cstheme="majorHAnsi"/>
        </w:rPr>
        <w:t>o</w:t>
      </w:r>
      <w:r w:rsidR="001C3475">
        <w:rPr>
          <w:rFonts w:asciiTheme="majorHAnsi" w:hAnsiTheme="majorHAnsi" w:cstheme="majorHAnsi"/>
        </w:rPr>
        <w:t> 24,81</w:t>
      </w:r>
      <w:r w:rsidR="001C3475" w:rsidRPr="0053555E">
        <w:rPr>
          <w:rFonts w:asciiTheme="majorHAnsi" w:hAnsiTheme="majorHAnsi" w:cstheme="majorHAnsi"/>
        </w:rPr>
        <w:t xml:space="preserve"> %</w:t>
      </w:r>
      <w:r w:rsidR="001C3475">
        <w:rPr>
          <w:rFonts w:asciiTheme="majorHAnsi" w:hAnsiTheme="majorHAnsi" w:cstheme="majorHAnsi"/>
        </w:rPr>
        <w:t xml:space="preserve">, </w:t>
      </w:r>
      <w:r w:rsidR="00CE219B">
        <w:rPr>
          <w:rFonts w:asciiTheme="majorHAnsi" w:hAnsiTheme="majorHAnsi" w:cstheme="majorHAnsi"/>
        </w:rPr>
        <w:t xml:space="preserve">pokles </w:t>
      </w:r>
      <w:r w:rsidR="00CF7F57" w:rsidRPr="0053555E">
        <w:rPr>
          <w:rFonts w:asciiTheme="majorHAnsi" w:hAnsiTheme="majorHAnsi" w:cstheme="majorHAnsi"/>
        </w:rPr>
        <w:t xml:space="preserve">na </w:t>
      </w:r>
      <w:r w:rsidR="00CF7F57">
        <w:rPr>
          <w:rFonts w:asciiTheme="majorHAnsi" w:hAnsiTheme="majorHAnsi" w:cstheme="majorHAnsi"/>
        </w:rPr>
        <w:t>druhom</w:t>
      </w:r>
      <w:r w:rsidR="00CF7F57" w:rsidRPr="0053555E">
        <w:rPr>
          <w:rFonts w:asciiTheme="majorHAnsi" w:hAnsiTheme="majorHAnsi" w:cstheme="majorHAnsi"/>
        </w:rPr>
        <w:t xml:space="preserve"> stupni štúdia </w:t>
      </w:r>
      <w:r w:rsidR="00CE219B">
        <w:rPr>
          <w:rFonts w:asciiTheme="majorHAnsi" w:hAnsiTheme="majorHAnsi" w:cstheme="majorHAnsi"/>
        </w:rPr>
        <w:t>o 3,64</w:t>
      </w:r>
      <w:r w:rsidR="00584AD5" w:rsidRPr="0053555E">
        <w:rPr>
          <w:rFonts w:asciiTheme="majorHAnsi" w:hAnsiTheme="majorHAnsi" w:cstheme="majorHAnsi"/>
        </w:rPr>
        <w:t> </w:t>
      </w:r>
      <w:r w:rsidR="00DB1891" w:rsidRPr="0053555E">
        <w:rPr>
          <w:rFonts w:asciiTheme="majorHAnsi" w:hAnsiTheme="majorHAnsi" w:cstheme="majorHAnsi"/>
        </w:rPr>
        <w:t xml:space="preserve">% </w:t>
      </w:r>
      <w:r w:rsidR="00CE219B">
        <w:rPr>
          <w:rFonts w:asciiTheme="majorHAnsi" w:hAnsiTheme="majorHAnsi" w:cstheme="majorHAnsi"/>
        </w:rPr>
        <w:t>a</w:t>
      </w:r>
      <w:r w:rsidR="001C3475">
        <w:rPr>
          <w:rFonts w:asciiTheme="majorHAnsi" w:hAnsiTheme="majorHAnsi" w:cstheme="majorHAnsi"/>
        </w:rPr>
        <w:t xml:space="preserve"> pokles </w:t>
      </w:r>
      <w:r w:rsidR="00CF7F57" w:rsidRPr="0053555E">
        <w:rPr>
          <w:rFonts w:asciiTheme="majorHAnsi" w:hAnsiTheme="majorHAnsi" w:cstheme="majorHAnsi"/>
        </w:rPr>
        <w:t xml:space="preserve">na </w:t>
      </w:r>
      <w:r w:rsidR="00CF7F57">
        <w:rPr>
          <w:rFonts w:asciiTheme="majorHAnsi" w:hAnsiTheme="majorHAnsi" w:cstheme="majorHAnsi"/>
        </w:rPr>
        <w:t>treťom</w:t>
      </w:r>
      <w:r w:rsidR="00CF7F57" w:rsidRPr="0053555E">
        <w:rPr>
          <w:rFonts w:asciiTheme="majorHAnsi" w:hAnsiTheme="majorHAnsi" w:cstheme="majorHAnsi"/>
        </w:rPr>
        <w:t xml:space="preserve"> stupni štúdia </w:t>
      </w:r>
      <w:r w:rsidR="00292C6B" w:rsidRPr="0053555E">
        <w:rPr>
          <w:rFonts w:asciiTheme="majorHAnsi" w:hAnsiTheme="majorHAnsi" w:cstheme="majorHAnsi"/>
        </w:rPr>
        <w:t>o</w:t>
      </w:r>
      <w:r w:rsidR="00CF7F57">
        <w:rPr>
          <w:rFonts w:asciiTheme="majorHAnsi" w:hAnsiTheme="majorHAnsi" w:cstheme="majorHAnsi"/>
        </w:rPr>
        <w:t> 20,19</w:t>
      </w:r>
      <w:r w:rsidR="00292C6B" w:rsidRPr="0053555E">
        <w:rPr>
          <w:rFonts w:asciiTheme="majorHAnsi" w:hAnsiTheme="majorHAnsi" w:cstheme="majorHAnsi"/>
          <w:vertAlign w:val="subscript"/>
        </w:rPr>
        <w:t xml:space="preserve"> </w:t>
      </w:r>
      <w:r w:rsidR="00292C6B" w:rsidRPr="0053555E">
        <w:rPr>
          <w:rFonts w:asciiTheme="majorHAnsi" w:hAnsiTheme="majorHAnsi" w:cstheme="majorHAnsi"/>
        </w:rPr>
        <w:t>%.</w:t>
      </w:r>
      <w:r w:rsidRPr="0053555E">
        <w:rPr>
          <w:rFonts w:asciiTheme="majorHAnsi" w:hAnsiTheme="majorHAnsi" w:cstheme="majorHAnsi"/>
        </w:rPr>
        <w:t xml:space="preserve"> </w:t>
      </w:r>
      <w:r w:rsidR="005742AF" w:rsidRPr="00F44188">
        <w:rPr>
          <w:rFonts w:asciiTheme="majorHAnsi" w:hAnsiTheme="majorHAnsi" w:cstheme="majorHAnsi"/>
          <w:b/>
        </w:rPr>
        <w:t xml:space="preserve">Celkový </w:t>
      </w:r>
      <w:r w:rsidR="00BA0CD4" w:rsidRPr="00F44188">
        <w:rPr>
          <w:rFonts w:asciiTheme="majorHAnsi" w:hAnsiTheme="majorHAnsi" w:cstheme="majorHAnsi"/>
          <w:b/>
        </w:rPr>
        <w:t>nárast</w:t>
      </w:r>
      <w:r w:rsidR="005742AF" w:rsidRPr="00F44188">
        <w:rPr>
          <w:rFonts w:asciiTheme="majorHAnsi" w:hAnsiTheme="majorHAnsi" w:cstheme="majorHAnsi"/>
          <w:b/>
        </w:rPr>
        <w:t xml:space="preserve"> </w:t>
      </w:r>
      <w:r w:rsidR="00C23EEC" w:rsidRPr="00F44188">
        <w:rPr>
          <w:rFonts w:asciiTheme="majorHAnsi" w:hAnsiTheme="majorHAnsi" w:cstheme="majorHAnsi"/>
          <w:b/>
        </w:rPr>
        <w:t xml:space="preserve">novo zapísaných </w:t>
      </w:r>
      <w:r w:rsidR="00BA0CD4" w:rsidRPr="00F44188">
        <w:rPr>
          <w:rFonts w:asciiTheme="majorHAnsi" w:hAnsiTheme="majorHAnsi" w:cstheme="majorHAnsi"/>
          <w:b/>
        </w:rPr>
        <w:t>zahraničných</w:t>
      </w:r>
      <w:r w:rsidR="00BA0CD4">
        <w:rPr>
          <w:rFonts w:asciiTheme="majorHAnsi" w:hAnsiTheme="majorHAnsi" w:cstheme="majorHAnsi"/>
        </w:rPr>
        <w:t xml:space="preserve"> študentov oproti </w:t>
      </w:r>
      <w:r w:rsidR="00C23EEC">
        <w:rPr>
          <w:rFonts w:asciiTheme="majorHAnsi" w:hAnsiTheme="majorHAnsi" w:cstheme="majorHAnsi"/>
        </w:rPr>
        <w:t>predchádzajúcemu</w:t>
      </w:r>
      <w:r w:rsidR="00BA0CD4">
        <w:rPr>
          <w:rFonts w:asciiTheme="majorHAnsi" w:hAnsiTheme="majorHAnsi" w:cstheme="majorHAnsi"/>
        </w:rPr>
        <w:t xml:space="preserve"> prijímaciemu konaniu predstavuje </w:t>
      </w:r>
      <w:r w:rsidR="00BA0CD4" w:rsidRPr="00F44188">
        <w:rPr>
          <w:rFonts w:asciiTheme="majorHAnsi" w:hAnsiTheme="majorHAnsi" w:cstheme="majorHAnsi"/>
          <w:b/>
        </w:rPr>
        <w:t xml:space="preserve">159 % </w:t>
      </w:r>
      <w:r w:rsidR="00BA0CD4" w:rsidRPr="00F44188">
        <w:rPr>
          <w:rFonts w:asciiTheme="majorHAnsi" w:hAnsiTheme="majorHAnsi" w:cstheme="majorHAnsi"/>
        </w:rPr>
        <w:t>na prvom</w:t>
      </w:r>
      <w:r w:rsidR="00BA0CD4">
        <w:rPr>
          <w:rFonts w:asciiTheme="majorHAnsi" w:hAnsiTheme="majorHAnsi" w:cstheme="majorHAnsi"/>
        </w:rPr>
        <w:t xml:space="preserve"> stupni štúdia, </w:t>
      </w:r>
      <w:r w:rsidR="00A45805" w:rsidRPr="00F44188">
        <w:rPr>
          <w:rFonts w:asciiTheme="majorHAnsi" w:hAnsiTheme="majorHAnsi" w:cstheme="majorHAnsi"/>
          <w:b/>
        </w:rPr>
        <w:t>52</w:t>
      </w:r>
      <w:r w:rsidR="00341EA3" w:rsidRPr="00F44188">
        <w:rPr>
          <w:rFonts w:asciiTheme="majorHAnsi" w:hAnsiTheme="majorHAnsi" w:cstheme="majorHAnsi"/>
          <w:b/>
        </w:rPr>
        <w:t> </w:t>
      </w:r>
      <w:r w:rsidR="00A45805" w:rsidRPr="00F44188">
        <w:rPr>
          <w:rFonts w:asciiTheme="majorHAnsi" w:hAnsiTheme="majorHAnsi" w:cstheme="majorHAnsi"/>
          <w:b/>
        </w:rPr>
        <w:t xml:space="preserve">% </w:t>
      </w:r>
      <w:r w:rsidR="00A45805" w:rsidRPr="00F44188">
        <w:rPr>
          <w:rFonts w:asciiTheme="majorHAnsi" w:hAnsiTheme="majorHAnsi" w:cstheme="majorHAnsi"/>
        </w:rPr>
        <w:t>na druhom</w:t>
      </w:r>
      <w:r w:rsidR="00A45805">
        <w:rPr>
          <w:rFonts w:asciiTheme="majorHAnsi" w:hAnsiTheme="majorHAnsi" w:cstheme="majorHAnsi"/>
        </w:rPr>
        <w:t xml:space="preserve"> stupni štúdia a</w:t>
      </w:r>
      <w:r w:rsidR="000E1432">
        <w:rPr>
          <w:rFonts w:asciiTheme="majorHAnsi" w:hAnsiTheme="majorHAnsi" w:cstheme="majorHAnsi"/>
        </w:rPr>
        <w:t xml:space="preserve"> </w:t>
      </w:r>
      <w:r w:rsidR="00A45805" w:rsidRPr="00F44188">
        <w:rPr>
          <w:rFonts w:asciiTheme="majorHAnsi" w:hAnsiTheme="majorHAnsi" w:cstheme="majorHAnsi"/>
          <w:b/>
        </w:rPr>
        <w:t xml:space="preserve">19 % </w:t>
      </w:r>
      <w:r w:rsidR="00A45805" w:rsidRPr="00F44188">
        <w:rPr>
          <w:rFonts w:asciiTheme="majorHAnsi" w:hAnsiTheme="majorHAnsi" w:cstheme="majorHAnsi"/>
        </w:rPr>
        <w:t>na treťom</w:t>
      </w:r>
      <w:r w:rsidR="00A45805">
        <w:rPr>
          <w:rFonts w:asciiTheme="majorHAnsi" w:hAnsiTheme="majorHAnsi" w:cstheme="majorHAnsi"/>
        </w:rPr>
        <w:t xml:space="preserve"> stupni štúdia.</w:t>
      </w:r>
      <w:r w:rsidR="00DC4D19">
        <w:rPr>
          <w:rFonts w:asciiTheme="majorHAnsi" w:hAnsiTheme="majorHAnsi" w:cstheme="majorHAnsi"/>
        </w:rPr>
        <w:t xml:space="preserve"> </w:t>
      </w:r>
      <w:r w:rsidR="001839F0">
        <w:rPr>
          <w:rFonts w:asciiTheme="majorHAnsi" w:hAnsiTheme="majorHAnsi" w:cstheme="majorHAnsi"/>
        </w:rPr>
        <w:t xml:space="preserve">Z celkového počtu zapísaných zahraničných študentov v prijímacom konaní na akademický rok 2022/2023 </w:t>
      </w:r>
      <w:r w:rsidR="00DB0D3C">
        <w:rPr>
          <w:rFonts w:asciiTheme="majorHAnsi" w:hAnsiTheme="majorHAnsi" w:cstheme="majorHAnsi"/>
        </w:rPr>
        <w:t>bolo zastúpenie študentov z Ukrajiny na prvom stupni štúdia</w:t>
      </w:r>
      <w:r w:rsidR="00A70673">
        <w:rPr>
          <w:rFonts w:asciiTheme="majorHAnsi" w:hAnsiTheme="majorHAnsi" w:cstheme="majorHAnsi"/>
        </w:rPr>
        <w:t xml:space="preserve"> 77 %</w:t>
      </w:r>
      <w:r w:rsidR="00DB0D3C">
        <w:rPr>
          <w:rFonts w:asciiTheme="majorHAnsi" w:hAnsiTheme="majorHAnsi" w:cstheme="majorHAnsi"/>
        </w:rPr>
        <w:t xml:space="preserve">, </w:t>
      </w:r>
      <w:r w:rsidR="00A70673">
        <w:rPr>
          <w:rFonts w:asciiTheme="majorHAnsi" w:hAnsiTheme="majorHAnsi" w:cstheme="majorHAnsi"/>
        </w:rPr>
        <w:t xml:space="preserve">na </w:t>
      </w:r>
      <w:r w:rsidR="00AB4E85">
        <w:rPr>
          <w:rFonts w:asciiTheme="majorHAnsi" w:hAnsiTheme="majorHAnsi" w:cstheme="majorHAnsi"/>
        </w:rPr>
        <w:t>druhom</w:t>
      </w:r>
      <w:r w:rsidR="00A70673">
        <w:rPr>
          <w:rFonts w:asciiTheme="majorHAnsi" w:hAnsiTheme="majorHAnsi" w:cstheme="majorHAnsi"/>
        </w:rPr>
        <w:t xml:space="preserve"> </w:t>
      </w:r>
      <w:r w:rsidR="00DB0D3C">
        <w:rPr>
          <w:rFonts w:asciiTheme="majorHAnsi" w:hAnsiTheme="majorHAnsi" w:cstheme="majorHAnsi"/>
        </w:rPr>
        <w:t>52 %</w:t>
      </w:r>
      <w:r w:rsidR="00A70673">
        <w:rPr>
          <w:rFonts w:asciiTheme="majorHAnsi" w:hAnsiTheme="majorHAnsi" w:cstheme="majorHAnsi"/>
        </w:rPr>
        <w:t xml:space="preserve"> a na treťom stupni štúdia 19 %.</w:t>
      </w:r>
      <w:r w:rsidR="00AB4E85">
        <w:rPr>
          <w:rFonts w:asciiTheme="majorHAnsi" w:hAnsiTheme="majorHAnsi" w:cstheme="majorHAnsi"/>
        </w:rPr>
        <w:t xml:space="preserve"> </w:t>
      </w:r>
      <w:r w:rsidR="00CF7F57">
        <w:rPr>
          <w:rFonts w:asciiTheme="majorHAnsi" w:hAnsiTheme="majorHAnsi" w:cstheme="majorHAnsi"/>
        </w:rPr>
        <w:t xml:space="preserve">Nárast </w:t>
      </w:r>
      <w:r w:rsidR="00D40415" w:rsidRPr="0053555E">
        <w:rPr>
          <w:rFonts w:asciiTheme="majorHAnsi" w:hAnsiTheme="majorHAnsi" w:cstheme="majorHAnsi"/>
        </w:rPr>
        <w:t xml:space="preserve">uchádzačov na štúdium </w:t>
      </w:r>
      <w:r w:rsidR="0062618A">
        <w:rPr>
          <w:rFonts w:asciiTheme="majorHAnsi" w:hAnsiTheme="majorHAnsi" w:cstheme="majorHAnsi"/>
        </w:rPr>
        <w:t>najmä na prvom stupni bol</w:t>
      </w:r>
      <w:r w:rsidR="00D40415" w:rsidRPr="0053555E">
        <w:rPr>
          <w:rFonts w:asciiTheme="majorHAnsi" w:hAnsiTheme="majorHAnsi" w:cstheme="majorHAnsi"/>
        </w:rPr>
        <w:t xml:space="preserve"> </w:t>
      </w:r>
      <w:r w:rsidR="000819BA">
        <w:rPr>
          <w:rFonts w:asciiTheme="majorHAnsi" w:hAnsiTheme="majorHAnsi" w:cstheme="majorHAnsi"/>
        </w:rPr>
        <w:t xml:space="preserve">výrazne </w:t>
      </w:r>
      <w:r w:rsidR="00D40415" w:rsidRPr="0053555E">
        <w:rPr>
          <w:rFonts w:asciiTheme="majorHAnsi" w:hAnsiTheme="majorHAnsi" w:cstheme="majorHAnsi"/>
        </w:rPr>
        <w:t xml:space="preserve">ovplyvnený </w:t>
      </w:r>
      <w:r w:rsidR="0062618A">
        <w:rPr>
          <w:rFonts w:asciiTheme="majorHAnsi" w:hAnsiTheme="majorHAnsi" w:cstheme="majorHAnsi"/>
        </w:rPr>
        <w:t>vojno</w:t>
      </w:r>
      <w:r w:rsidR="00AB4E85">
        <w:rPr>
          <w:rFonts w:asciiTheme="majorHAnsi" w:hAnsiTheme="majorHAnsi" w:cstheme="majorHAnsi"/>
        </w:rPr>
        <w:t xml:space="preserve">u </w:t>
      </w:r>
      <w:r w:rsidR="0062618A">
        <w:rPr>
          <w:rFonts w:asciiTheme="majorHAnsi" w:hAnsiTheme="majorHAnsi" w:cstheme="majorHAnsi"/>
        </w:rPr>
        <w:t xml:space="preserve">na Ukrajine. </w:t>
      </w:r>
      <w:r w:rsidR="00681B4E">
        <w:rPr>
          <w:rFonts w:asciiTheme="majorHAnsi" w:hAnsiTheme="majorHAnsi" w:cstheme="majorHAnsi"/>
        </w:rPr>
        <w:t>P</w:t>
      </w:r>
      <w:r w:rsidR="0096133B">
        <w:rPr>
          <w:rFonts w:asciiTheme="majorHAnsi" w:hAnsiTheme="majorHAnsi" w:cstheme="majorHAnsi"/>
        </w:rPr>
        <w:t xml:space="preserve">očet uchádzačov </w:t>
      </w:r>
      <w:r w:rsidR="00DC4D19">
        <w:rPr>
          <w:rFonts w:asciiTheme="majorHAnsi" w:hAnsiTheme="majorHAnsi" w:cstheme="majorHAnsi"/>
        </w:rPr>
        <w:t xml:space="preserve">prichádzajúcich zo slovenských stredných škôl </w:t>
      </w:r>
      <w:r w:rsidR="001D7F2E" w:rsidRPr="0053555E">
        <w:rPr>
          <w:rFonts w:asciiTheme="majorHAnsi" w:hAnsiTheme="majorHAnsi" w:cstheme="majorHAnsi"/>
        </w:rPr>
        <w:t xml:space="preserve">je </w:t>
      </w:r>
      <w:r w:rsidR="00681B4E">
        <w:rPr>
          <w:rFonts w:asciiTheme="majorHAnsi" w:hAnsiTheme="majorHAnsi" w:cstheme="majorHAnsi"/>
        </w:rPr>
        <w:t xml:space="preserve">dlhodobo negatívne ovplyvnený </w:t>
      </w:r>
      <w:r w:rsidR="00FB3BD6" w:rsidRPr="0053555E">
        <w:rPr>
          <w:rFonts w:asciiTheme="majorHAnsi" w:hAnsiTheme="majorHAnsi" w:cstheme="majorHAnsi"/>
        </w:rPr>
        <w:t>demografick</w:t>
      </w:r>
      <w:r w:rsidR="00D40415" w:rsidRPr="0053555E">
        <w:rPr>
          <w:rFonts w:asciiTheme="majorHAnsi" w:hAnsiTheme="majorHAnsi" w:cstheme="majorHAnsi"/>
        </w:rPr>
        <w:t>ý</w:t>
      </w:r>
      <w:r w:rsidR="00681B4E">
        <w:rPr>
          <w:rFonts w:asciiTheme="majorHAnsi" w:hAnsiTheme="majorHAnsi" w:cstheme="majorHAnsi"/>
        </w:rPr>
        <w:t>m</w:t>
      </w:r>
      <w:r w:rsidR="001D7F2E" w:rsidRPr="0053555E">
        <w:rPr>
          <w:rFonts w:asciiTheme="majorHAnsi" w:hAnsiTheme="majorHAnsi" w:cstheme="majorHAnsi"/>
        </w:rPr>
        <w:t xml:space="preserve"> </w:t>
      </w:r>
      <w:r w:rsidR="00FB3BD6" w:rsidRPr="0053555E">
        <w:rPr>
          <w:rFonts w:asciiTheme="majorHAnsi" w:hAnsiTheme="majorHAnsi" w:cstheme="majorHAnsi"/>
        </w:rPr>
        <w:t>vývoj</w:t>
      </w:r>
      <w:r w:rsidR="00681B4E">
        <w:rPr>
          <w:rFonts w:asciiTheme="majorHAnsi" w:hAnsiTheme="majorHAnsi" w:cstheme="majorHAnsi"/>
        </w:rPr>
        <w:t>om</w:t>
      </w:r>
      <w:r w:rsidR="00FB3BD6" w:rsidRPr="0053555E">
        <w:rPr>
          <w:rFonts w:asciiTheme="majorHAnsi" w:hAnsiTheme="majorHAnsi" w:cstheme="majorHAnsi"/>
        </w:rPr>
        <w:t xml:space="preserve"> obyvateľstva </w:t>
      </w:r>
      <w:r w:rsidR="00681B4E">
        <w:rPr>
          <w:rFonts w:asciiTheme="majorHAnsi" w:hAnsiTheme="majorHAnsi" w:cstheme="majorHAnsi"/>
        </w:rPr>
        <w:t>SR.</w:t>
      </w:r>
      <w:r w:rsidR="000B6D36" w:rsidRPr="0053555E">
        <w:rPr>
          <w:rFonts w:asciiTheme="majorHAnsi" w:hAnsiTheme="majorHAnsi" w:cstheme="majorHAnsi"/>
        </w:rPr>
        <w:t xml:space="preserve"> </w:t>
      </w:r>
      <w:r w:rsidR="001D7F2E" w:rsidRPr="0053555E">
        <w:rPr>
          <w:rFonts w:asciiTheme="majorHAnsi" w:hAnsiTheme="majorHAnsi" w:cstheme="majorHAnsi"/>
        </w:rPr>
        <w:t>Ďalším</w:t>
      </w:r>
      <w:r w:rsidR="001D7F2E" w:rsidRPr="0053555E">
        <w:rPr>
          <w:rFonts w:asciiTheme="majorHAnsi" w:hAnsiTheme="majorHAnsi" w:cstheme="majorHAnsi"/>
          <w:b/>
        </w:rPr>
        <w:t xml:space="preserve"> </w:t>
      </w:r>
      <w:r w:rsidR="001D7F2E" w:rsidRPr="0053555E">
        <w:rPr>
          <w:rFonts w:asciiTheme="majorHAnsi" w:hAnsiTheme="majorHAnsi" w:cstheme="majorHAnsi"/>
        </w:rPr>
        <w:t>n</w:t>
      </w:r>
      <w:r w:rsidR="00AE530B" w:rsidRPr="0053555E">
        <w:rPr>
          <w:rFonts w:asciiTheme="majorHAnsi" w:hAnsiTheme="majorHAnsi" w:cstheme="majorHAnsi"/>
        </w:rPr>
        <w:t xml:space="preserve">egatívnym </w:t>
      </w:r>
      <w:r w:rsidR="001D7F2E" w:rsidRPr="0053555E">
        <w:rPr>
          <w:rFonts w:asciiTheme="majorHAnsi" w:hAnsiTheme="majorHAnsi" w:cstheme="majorHAnsi"/>
        </w:rPr>
        <w:t>fa</w:t>
      </w:r>
      <w:r w:rsidR="000B6D36" w:rsidRPr="0053555E">
        <w:rPr>
          <w:rFonts w:asciiTheme="majorHAnsi" w:hAnsiTheme="majorHAnsi" w:cstheme="majorHAnsi"/>
        </w:rPr>
        <w:t>ktorom pre </w:t>
      </w:r>
      <w:r w:rsidR="00AE530B" w:rsidRPr="0053555E">
        <w:rPr>
          <w:rFonts w:asciiTheme="majorHAnsi" w:hAnsiTheme="majorHAnsi" w:cstheme="majorHAnsi"/>
        </w:rPr>
        <w:t xml:space="preserve">slovenské vysoké školy je </w:t>
      </w:r>
      <w:r w:rsidR="00A57B22" w:rsidRPr="0053555E">
        <w:rPr>
          <w:rFonts w:asciiTheme="majorHAnsi" w:hAnsiTheme="majorHAnsi" w:cstheme="majorHAnsi"/>
        </w:rPr>
        <w:t>vysoký</w:t>
      </w:r>
      <w:r w:rsidR="00933D9E" w:rsidRPr="0053555E">
        <w:rPr>
          <w:rFonts w:asciiTheme="majorHAnsi" w:hAnsiTheme="majorHAnsi" w:cstheme="majorHAnsi"/>
        </w:rPr>
        <w:t xml:space="preserve"> </w:t>
      </w:r>
      <w:r w:rsidR="0082699A" w:rsidRPr="0053555E">
        <w:rPr>
          <w:rFonts w:asciiTheme="majorHAnsi" w:hAnsiTheme="majorHAnsi" w:cstheme="majorHAnsi"/>
        </w:rPr>
        <w:t>počet</w:t>
      </w:r>
      <w:r w:rsidR="00F159E2" w:rsidRPr="0053555E">
        <w:rPr>
          <w:rFonts w:asciiTheme="majorHAnsi" w:hAnsiTheme="majorHAnsi" w:cstheme="majorHAnsi"/>
        </w:rPr>
        <w:t xml:space="preserve"> študentov </w:t>
      </w:r>
      <w:r w:rsidR="0082699A" w:rsidRPr="0053555E">
        <w:rPr>
          <w:rFonts w:asciiTheme="majorHAnsi" w:hAnsiTheme="majorHAnsi" w:cstheme="majorHAnsi"/>
        </w:rPr>
        <w:t xml:space="preserve">odchádzajúcich študovať </w:t>
      </w:r>
      <w:r w:rsidR="000B6D36" w:rsidRPr="0053555E">
        <w:rPr>
          <w:rFonts w:asciiTheme="majorHAnsi" w:hAnsiTheme="majorHAnsi" w:cstheme="majorHAnsi"/>
        </w:rPr>
        <w:t>na </w:t>
      </w:r>
      <w:r w:rsidR="00F159E2" w:rsidRPr="0053555E">
        <w:rPr>
          <w:rFonts w:asciiTheme="majorHAnsi" w:hAnsiTheme="majorHAnsi" w:cstheme="majorHAnsi"/>
        </w:rPr>
        <w:t>vysok</w:t>
      </w:r>
      <w:r w:rsidR="0082699A" w:rsidRPr="0053555E">
        <w:rPr>
          <w:rFonts w:asciiTheme="majorHAnsi" w:hAnsiTheme="majorHAnsi" w:cstheme="majorHAnsi"/>
        </w:rPr>
        <w:t>é</w:t>
      </w:r>
      <w:r w:rsidR="00F159E2" w:rsidRPr="0053555E">
        <w:rPr>
          <w:rFonts w:asciiTheme="majorHAnsi" w:hAnsiTheme="majorHAnsi" w:cstheme="majorHAnsi"/>
        </w:rPr>
        <w:t xml:space="preserve"> šk</w:t>
      </w:r>
      <w:r w:rsidR="0082699A" w:rsidRPr="0053555E">
        <w:rPr>
          <w:rFonts w:asciiTheme="majorHAnsi" w:hAnsiTheme="majorHAnsi" w:cstheme="majorHAnsi"/>
        </w:rPr>
        <w:t>oly</w:t>
      </w:r>
      <w:r w:rsidR="00F159E2" w:rsidRPr="0053555E">
        <w:rPr>
          <w:rFonts w:asciiTheme="majorHAnsi" w:hAnsiTheme="majorHAnsi" w:cstheme="majorHAnsi"/>
        </w:rPr>
        <w:t xml:space="preserve"> v Českej republike</w:t>
      </w:r>
      <w:r w:rsidRPr="0053555E">
        <w:rPr>
          <w:rFonts w:asciiTheme="majorHAnsi" w:hAnsiTheme="majorHAnsi" w:cstheme="majorHAnsi"/>
        </w:rPr>
        <w:t>.</w:t>
      </w:r>
      <w:r w:rsidR="00A53C94" w:rsidRPr="0053555E">
        <w:rPr>
          <w:rFonts w:asciiTheme="majorHAnsi" w:hAnsiTheme="majorHAnsi" w:cstheme="majorHAnsi"/>
        </w:rPr>
        <w:t xml:space="preserve"> </w:t>
      </w:r>
    </w:p>
    <w:p w14:paraId="62ACB5B9" w14:textId="476D0D12" w:rsidR="0099340A" w:rsidRPr="0053555E" w:rsidRDefault="0099340A" w:rsidP="00324438">
      <w:pPr>
        <w:tabs>
          <w:tab w:val="left" w:pos="9356"/>
        </w:tabs>
        <w:spacing w:after="120"/>
        <w:ind w:right="272"/>
        <w:jc w:val="both"/>
        <w:rPr>
          <w:rFonts w:asciiTheme="majorHAnsi" w:hAnsiTheme="majorHAnsi" w:cstheme="majorHAnsi"/>
        </w:rPr>
      </w:pPr>
      <w:r w:rsidRPr="0053555E">
        <w:rPr>
          <w:rFonts w:asciiTheme="majorHAnsi" w:hAnsiTheme="majorHAnsi" w:cstheme="majorHAnsi"/>
        </w:rPr>
        <w:t xml:space="preserve">Dôvodom pretrvávajúceho nízkeho percenta zapísaných študentov </w:t>
      </w:r>
      <w:r w:rsidR="00EA0F08" w:rsidRPr="0053555E">
        <w:rPr>
          <w:rFonts w:asciiTheme="majorHAnsi" w:hAnsiTheme="majorHAnsi" w:cstheme="majorHAnsi"/>
        </w:rPr>
        <w:t>z prijatých uchádzačov na </w:t>
      </w:r>
      <w:r w:rsidR="0042217D" w:rsidRPr="0053555E">
        <w:rPr>
          <w:rFonts w:asciiTheme="majorHAnsi" w:hAnsiTheme="majorHAnsi" w:cstheme="majorHAnsi"/>
        </w:rPr>
        <w:t>prvom stupni štúdia</w:t>
      </w:r>
      <w:r w:rsidR="00E43544" w:rsidRPr="0053555E">
        <w:rPr>
          <w:rFonts w:asciiTheme="majorHAnsi" w:hAnsiTheme="majorHAnsi" w:cstheme="majorHAnsi"/>
        </w:rPr>
        <w:t xml:space="preserve"> </w:t>
      </w:r>
      <w:r w:rsidR="00816F2A">
        <w:rPr>
          <w:rFonts w:asciiTheme="majorHAnsi" w:hAnsiTheme="majorHAnsi" w:cstheme="majorHAnsi"/>
        </w:rPr>
        <w:t>(</w:t>
      </w:r>
      <w:r w:rsidR="005D1BD9">
        <w:rPr>
          <w:rFonts w:asciiTheme="majorHAnsi" w:hAnsiTheme="majorHAnsi" w:cstheme="majorHAnsi"/>
        </w:rPr>
        <w:t>na úrovni</w:t>
      </w:r>
      <w:r w:rsidR="0042217D" w:rsidRPr="0053555E">
        <w:rPr>
          <w:rFonts w:asciiTheme="majorHAnsi" w:hAnsiTheme="majorHAnsi" w:cstheme="majorHAnsi"/>
        </w:rPr>
        <w:t xml:space="preserve"> </w:t>
      </w:r>
      <w:r w:rsidR="00273CF2">
        <w:rPr>
          <w:rFonts w:asciiTheme="majorHAnsi" w:hAnsiTheme="majorHAnsi" w:cstheme="majorHAnsi"/>
        </w:rPr>
        <w:t>71</w:t>
      </w:r>
      <w:r w:rsidR="00460B11" w:rsidRPr="0053555E">
        <w:rPr>
          <w:rFonts w:asciiTheme="majorHAnsi" w:hAnsiTheme="majorHAnsi" w:cstheme="majorHAnsi"/>
        </w:rPr>
        <w:t xml:space="preserve"> %</w:t>
      </w:r>
      <w:r w:rsidR="00816F2A">
        <w:rPr>
          <w:rFonts w:asciiTheme="majorHAnsi" w:hAnsiTheme="majorHAnsi" w:cstheme="majorHAnsi"/>
        </w:rPr>
        <w:t xml:space="preserve">) </w:t>
      </w:r>
      <w:r w:rsidR="00053077" w:rsidRPr="0053555E">
        <w:rPr>
          <w:rFonts w:asciiTheme="majorHAnsi" w:hAnsiTheme="majorHAnsi" w:cstheme="majorHAnsi"/>
        </w:rPr>
        <w:t>je</w:t>
      </w:r>
      <w:r w:rsidRPr="0053555E">
        <w:rPr>
          <w:rFonts w:asciiTheme="majorHAnsi" w:hAnsiTheme="majorHAnsi" w:cstheme="majorHAnsi"/>
        </w:rPr>
        <w:t xml:space="preserve"> </w:t>
      </w:r>
      <w:r w:rsidR="00E41730" w:rsidRPr="0053555E">
        <w:rPr>
          <w:rFonts w:asciiTheme="majorHAnsi" w:hAnsiTheme="majorHAnsi" w:cstheme="majorHAnsi"/>
        </w:rPr>
        <w:t>skutočnosť</w:t>
      </w:r>
      <w:r w:rsidRPr="0053555E">
        <w:rPr>
          <w:rFonts w:asciiTheme="majorHAnsi" w:hAnsiTheme="majorHAnsi" w:cstheme="majorHAnsi"/>
        </w:rPr>
        <w:t xml:space="preserve">, že </w:t>
      </w:r>
      <w:r w:rsidR="00A8450C" w:rsidRPr="0053555E">
        <w:rPr>
          <w:rFonts w:asciiTheme="majorHAnsi" w:hAnsiTheme="majorHAnsi" w:cstheme="majorHAnsi"/>
        </w:rPr>
        <w:t xml:space="preserve">uchádzači si </w:t>
      </w:r>
      <w:r w:rsidR="00E43544" w:rsidRPr="0053555E">
        <w:rPr>
          <w:rFonts w:asciiTheme="majorHAnsi" w:hAnsiTheme="majorHAnsi" w:cstheme="majorHAnsi"/>
        </w:rPr>
        <w:t>podávajú</w:t>
      </w:r>
      <w:r w:rsidR="00A8450C" w:rsidRPr="0053555E">
        <w:rPr>
          <w:rFonts w:asciiTheme="majorHAnsi" w:hAnsiTheme="majorHAnsi" w:cstheme="majorHAnsi"/>
        </w:rPr>
        <w:t xml:space="preserve"> prihlášku na viac vysokých škôl a</w:t>
      </w:r>
      <w:r w:rsidR="00E43544" w:rsidRPr="0053555E">
        <w:rPr>
          <w:rFonts w:asciiTheme="majorHAnsi" w:hAnsiTheme="majorHAnsi" w:cstheme="majorHAnsi"/>
        </w:rPr>
        <w:t> nakoniec sa rozhodnú pre menej</w:t>
      </w:r>
      <w:r w:rsidR="00A8450C" w:rsidRPr="0053555E">
        <w:rPr>
          <w:rFonts w:asciiTheme="majorHAnsi" w:hAnsiTheme="majorHAnsi" w:cstheme="majorHAnsi"/>
        </w:rPr>
        <w:t xml:space="preserve"> náročné štúdium </w:t>
      </w:r>
      <w:r w:rsidR="00070D54" w:rsidRPr="0053555E">
        <w:rPr>
          <w:rFonts w:asciiTheme="majorHAnsi" w:hAnsiTheme="majorHAnsi" w:cstheme="majorHAnsi"/>
        </w:rPr>
        <w:t>v</w:t>
      </w:r>
      <w:r w:rsidR="007F62D5" w:rsidRPr="0053555E">
        <w:rPr>
          <w:rFonts w:asciiTheme="majorHAnsi" w:hAnsiTheme="majorHAnsi" w:cstheme="majorHAnsi"/>
        </w:rPr>
        <w:t> </w:t>
      </w:r>
      <w:r w:rsidR="00A8450C" w:rsidRPr="0053555E">
        <w:rPr>
          <w:rFonts w:asciiTheme="majorHAnsi" w:hAnsiTheme="majorHAnsi" w:cstheme="majorHAnsi"/>
        </w:rPr>
        <w:t xml:space="preserve">študijných odboroch a zároveň </w:t>
      </w:r>
      <w:r w:rsidR="00070D54" w:rsidRPr="0053555E">
        <w:rPr>
          <w:rFonts w:asciiTheme="majorHAnsi" w:hAnsiTheme="majorHAnsi" w:cstheme="majorHAnsi"/>
        </w:rPr>
        <w:t xml:space="preserve">si </w:t>
      </w:r>
      <w:r w:rsidR="00A8450C" w:rsidRPr="0053555E">
        <w:rPr>
          <w:rFonts w:asciiTheme="majorHAnsi" w:hAnsiTheme="majorHAnsi" w:cstheme="majorHAnsi"/>
        </w:rPr>
        <w:t>kvalitní uchádzači volia štúdium v zahraničí, najmä na konkurenčných vysokých školách technického zamerania v Českej republike.</w:t>
      </w:r>
    </w:p>
    <w:p w14:paraId="16C47624" w14:textId="71C8B2CB" w:rsidR="002071AC" w:rsidRPr="0053555E" w:rsidRDefault="00115DFF" w:rsidP="00324438">
      <w:pPr>
        <w:tabs>
          <w:tab w:val="left" w:pos="9356"/>
        </w:tabs>
        <w:spacing w:after="120"/>
        <w:ind w:right="272"/>
        <w:jc w:val="both"/>
        <w:rPr>
          <w:rFonts w:asciiTheme="majorHAnsi" w:hAnsiTheme="majorHAnsi" w:cstheme="majorHAnsi"/>
        </w:rPr>
      </w:pPr>
      <w:r>
        <w:rPr>
          <w:rFonts w:asciiTheme="majorHAnsi" w:hAnsiTheme="majorHAnsi" w:cstheme="majorHAnsi"/>
        </w:rPr>
        <w:t xml:space="preserve">Na druhom stupni bol počet </w:t>
      </w:r>
      <w:r w:rsidR="009254C5" w:rsidRPr="0053555E">
        <w:rPr>
          <w:rFonts w:asciiTheme="majorHAnsi" w:hAnsiTheme="majorHAnsi" w:cstheme="majorHAnsi"/>
        </w:rPr>
        <w:t xml:space="preserve">prihlásených </w:t>
      </w:r>
      <w:r w:rsidR="004D70F3" w:rsidRPr="0053555E">
        <w:rPr>
          <w:rFonts w:asciiTheme="majorHAnsi" w:hAnsiTheme="majorHAnsi" w:cstheme="majorHAnsi"/>
        </w:rPr>
        <w:t>uchádzačov o štúdium a</w:t>
      </w:r>
      <w:r w:rsidR="00A61B21" w:rsidRPr="0053555E">
        <w:rPr>
          <w:rFonts w:asciiTheme="majorHAnsi" w:hAnsiTheme="majorHAnsi" w:cstheme="majorHAnsi"/>
        </w:rPr>
        <w:t xml:space="preserve"> tiež </w:t>
      </w:r>
      <w:r w:rsidR="004D70F3" w:rsidRPr="0053555E">
        <w:rPr>
          <w:rFonts w:asciiTheme="majorHAnsi" w:hAnsiTheme="majorHAnsi" w:cstheme="majorHAnsi"/>
        </w:rPr>
        <w:t xml:space="preserve">zapísaných </w:t>
      </w:r>
      <w:r w:rsidR="002C7167" w:rsidRPr="0053555E">
        <w:rPr>
          <w:rFonts w:asciiTheme="majorHAnsi" w:hAnsiTheme="majorHAnsi" w:cstheme="majorHAnsi"/>
        </w:rPr>
        <w:t xml:space="preserve">študentov </w:t>
      </w:r>
      <w:r w:rsidR="009254C5" w:rsidRPr="0053555E">
        <w:rPr>
          <w:rFonts w:asciiTheme="majorHAnsi" w:hAnsiTheme="majorHAnsi" w:cstheme="majorHAnsi"/>
        </w:rPr>
        <w:t xml:space="preserve">z prijatých uchádzačov </w:t>
      </w:r>
      <w:r>
        <w:rPr>
          <w:rFonts w:asciiTheme="majorHAnsi" w:hAnsiTheme="majorHAnsi" w:cstheme="majorHAnsi"/>
        </w:rPr>
        <w:t>nižší</w:t>
      </w:r>
      <w:r w:rsidR="00816F2A">
        <w:rPr>
          <w:rFonts w:asciiTheme="majorHAnsi" w:hAnsiTheme="majorHAnsi" w:cstheme="majorHAnsi"/>
        </w:rPr>
        <w:t>,</w:t>
      </w:r>
      <w:r>
        <w:rPr>
          <w:rFonts w:asciiTheme="majorHAnsi" w:hAnsiTheme="majorHAnsi" w:cstheme="majorHAnsi"/>
        </w:rPr>
        <w:t xml:space="preserve"> ako by sa</w:t>
      </w:r>
      <w:r w:rsidR="007F62D5" w:rsidRPr="0053555E">
        <w:rPr>
          <w:rFonts w:asciiTheme="majorHAnsi" w:hAnsiTheme="majorHAnsi" w:cstheme="majorHAnsi"/>
        </w:rPr>
        <w:t xml:space="preserve"> očakávalo, čo </w:t>
      </w:r>
      <w:r w:rsidR="00726444" w:rsidRPr="0053555E">
        <w:rPr>
          <w:rFonts w:asciiTheme="majorHAnsi" w:hAnsiTheme="majorHAnsi" w:cstheme="majorHAnsi"/>
        </w:rPr>
        <w:t>je</w:t>
      </w:r>
      <w:r w:rsidR="000155D6" w:rsidRPr="0053555E">
        <w:rPr>
          <w:rFonts w:asciiTheme="majorHAnsi" w:hAnsiTheme="majorHAnsi" w:cstheme="majorHAnsi"/>
        </w:rPr>
        <w:t xml:space="preserve"> </w:t>
      </w:r>
      <w:r w:rsidR="008163E4" w:rsidRPr="0053555E">
        <w:rPr>
          <w:rFonts w:asciiTheme="majorHAnsi" w:hAnsiTheme="majorHAnsi" w:cstheme="majorHAnsi"/>
        </w:rPr>
        <w:t>čiastočne</w:t>
      </w:r>
      <w:r w:rsidR="00D55A1D" w:rsidRPr="0053555E">
        <w:rPr>
          <w:rFonts w:asciiTheme="majorHAnsi" w:hAnsiTheme="majorHAnsi" w:cstheme="majorHAnsi"/>
        </w:rPr>
        <w:t xml:space="preserve"> zapríčinen</w:t>
      </w:r>
      <w:r w:rsidR="00726444" w:rsidRPr="0053555E">
        <w:rPr>
          <w:rFonts w:asciiTheme="majorHAnsi" w:hAnsiTheme="majorHAnsi" w:cstheme="majorHAnsi"/>
        </w:rPr>
        <w:t>é</w:t>
      </w:r>
      <w:r w:rsidR="00D55A1D" w:rsidRPr="0053555E">
        <w:rPr>
          <w:rFonts w:asciiTheme="majorHAnsi" w:hAnsiTheme="majorHAnsi" w:cstheme="majorHAnsi"/>
        </w:rPr>
        <w:t xml:space="preserve"> tým</w:t>
      </w:r>
      <w:r w:rsidR="00D55A1D" w:rsidRPr="0053555E">
        <w:rPr>
          <w:rFonts w:asciiTheme="majorHAnsi" w:hAnsiTheme="majorHAnsi" w:cstheme="majorHAnsi"/>
          <w:shd w:val="clear" w:color="auto" w:fill="FFFFFF"/>
        </w:rPr>
        <w:t xml:space="preserve">, že </w:t>
      </w:r>
      <w:r w:rsidR="00F44DF9" w:rsidRPr="0053555E">
        <w:rPr>
          <w:rFonts w:asciiTheme="majorHAnsi" w:hAnsiTheme="majorHAnsi" w:cstheme="majorHAnsi"/>
          <w:shd w:val="clear" w:color="auto" w:fill="FFFFFF"/>
        </w:rPr>
        <w:t xml:space="preserve">1/3 </w:t>
      </w:r>
      <w:r w:rsidR="00D55A1D" w:rsidRPr="0053555E">
        <w:rPr>
          <w:rFonts w:asciiTheme="majorHAnsi" w:hAnsiTheme="majorHAnsi" w:cstheme="majorHAnsi"/>
          <w:shd w:val="clear" w:color="auto" w:fill="FFFFFF"/>
        </w:rPr>
        <w:t>študentov STU (</w:t>
      </w:r>
      <w:r w:rsidR="008163E4" w:rsidRPr="0053555E">
        <w:rPr>
          <w:rFonts w:asciiTheme="majorHAnsi" w:hAnsiTheme="majorHAnsi" w:cstheme="majorHAnsi"/>
          <w:shd w:val="clear" w:color="auto" w:fill="FFFFFF"/>
        </w:rPr>
        <w:t>3</w:t>
      </w:r>
      <w:r w:rsidR="00814531">
        <w:rPr>
          <w:rFonts w:asciiTheme="majorHAnsi" w:hAnsiTheme="majorHAnsi" w:cstheme="majorHAnsi"/>
          <w:shd w:val="clear" w:color="auto" w:fill="FFFFFF"/>
        </w:rPr>
        <w:t>3,4</w:t>
      </w:r>
      <w:r w:rsidR="00A739DD" w:rsidRPr="0053555E">
        <w:rPr>
          <w:rFonts w:asciiTheme="majorHAnsi" w:hAnsiTheme="majorHAnsi" w:cstheme="majorHAnsi"/>
          <w:shd w:val="clear" w:color="auto" w:fill="FFFFFF"/>
        </w:rPr>
        <w:t xml:space="preserve"> %) v poslednom roku štúdia na </w:t>
      </w:r>
      <w:r w:rsidR="00D55A1D" w:rsidRPr="0053555E">
        <w:rPr>
          <w:rFonts w:asciiTheme="majorHAnsi" w:hAnsiTheme="majorHAnsi" w:cstheme="majorHAnsi"/>
          <w:shd w:val="clear" w:color="auto" w:fill="FFFFFF"/>
        </w:rPr>
        <w:t>prvom stupni „zost</w:t>
      </w:r>
      <w:r w:rsidR="00044845" w:rsidRPr="0053555E">
        <w:rPr>
          <w:rFonts w:asciiTheme="majorHAnsi" w:hAnsiTheme="majorHAnsi" w:cstheme="majorHAnsi"/>
          <w:shd w:val="clear" w:color="auto" w:fill="FFFFFF"/>
        </w:rPr>
        <w:t>alo</w:t>
      </w:r>
      <w:r w:rsidR="00D55A1D" w:rsidRPr="0053555E">
        <w:rPr>
          <w:rFonts w:asciiTheme="majorHAnsi" w:hAnsiTheme="majorHAnsi" w:cstheme="majorHAnsi"/>
          <w:shd w:val="clear" w:color="auto" w:fill="FFFFFF"/>
        </w:rPr>
        <w:t>“ v štúdiu a štúdium neskonč</w:t>
      </w:r>
      <w:r w:rsidR="00044845" w:rsidRPr="0053555E">
        <w:rPr>
          <w:rFonts w:asciiTheme="majorHAnsi" w:hAnsiTheme="majorHAnsi" w:cstheme="majorHAnsi"/>
          <w:shd w:val="clear" w:color="auto" w:fill="FFFFFF"/>
        </w:rPr>
        <w:t>ilo</w:t>
      </w:r>
      <w:r w:rsidR="00D55A1D" w:rsidRPr="0053555E">
        <w:rPr>
          <w:rFonts w:asciiTheme="majorHAnsi" w:hAnsiTheme="majorHAnsi" w:cstheme="majorHAnsi"/>
          <w:shd w:val="clear" w:color="auto" w:fill="FFFFFF"/>
        </w:rPr>
        <w:t xml:space="preserve"> v štandardnej dĺžke štúdia, resp. </w:t>
      </w:r>
      <w:r w:rsidR="00814531">
        <w:rPr>
          <w:rFonts w:asciiTheme="majorHAnsi" w:hAnsiTheme="majorHAnsi" w:cstheme="majorHAnsi"/>
          <w:shd w:val="clear" w:color="auto" w:fill="FFFFFF"/>
        </w:rPr>
        <w:t xml:space="preserve">ich štúdium </w:t>
      </w:r>
      <w:r w:rsidR="00D55A1D" w:rsidRPr="0053555E">
        <w:rPr>
          <w:rFonts w:asciiTheme="majorHAnsi" w:hAnsiTheme="majorHAnsi" w:cstheme="majorHAnsi"/>
          <w:shd w:val="clear" w:color="auto" w:fill="FFFFFF"/>
        </w:rPr>
        <w:t>skonč</w:t>
      </w:r>
      <w:r w:rsidR="00044845" w:rsidRPr="0053555E">
        <w:rPr>
          <w:rFonts w:asciiTheme="majorHAnsi" w:hAnsiTheme="majorHAnsi" w:cstheme="majorHAnsi"/>
          <w:shd w:val="clear" w:color="auto" w:fill="FFFFFF"/>
        </w:rPr>
        <w:t>ilo</w:t>
      </w:r>
      <w:r w:rsidR="00D55A1D" w:rsidRPr="0053555E">
        <w:rPr>
          <w:rFonts w:asciiTheme="majorHAnsi" w:hAnsiTheme="majorHAnsi" w:cstheme="majorHAnsi"/>
          <w:shd w:val="clear" w:color="auto" w:fill="FFFFFF"/>
        </w:rPr>
        <w:t xml:space="preserve"> neúspešne</w:t>
      </w:r>
      <w:r w:rsidR="002071AC" w:rsidRPr="0053555E">
        <w:rPr>
          <w:rFonts w:asciiTheme="majorHAnsi" w:hAnsiTheme="majorHAnsi" w:cstheme="majorHAnsi"/>
        </w:rPr>
        <w:t>.</w:t>
      </w:r>
    </w:p>
    <w:p w14:paraId="09F50731" w14:textId="7C9C0016" w:rsidR="0078287B" w:rsidRPr="0053555E" w:rsidRDefault="0078287B" w:rsidP="00324438">
      <w:pPr>
        <w:tabs>
          <w:tab w:val="left" w:pos="9356"/>
        </w:tabs>
        <w:ind w:right="275"/>
        <w:jc w:val="both"/>
        <w:rPr>
          <w:rFonts w:asciiTheme="majorHAnsi" w:hAnsiTheme="majorHAnsi" w:cstheme="majorHAnsi"/>
        </w:rPr>
      </w:pPr>
      <w:r w:rsidRPr="0053555E">
        <w:rPr>
          <w:rFonts w:asciiTheme="majorHAnsi" w:hAnsiTheme="majorHAnsi" w:cstheme="majorHAnsi"/>
        </w:rPr>
        <w:t xml:space="preserve">Porovnanie </w:t>
      </w:r>
      <w:r w:rsidR="00A739DD" w:rsidRPr="0053555E">
        <w:rPr>
          <w:rFonts w:asciiTheme="majorHAnsi" w:hAnsiTheme="majorHAnsi" w:cstheme="majorHAnsi"/>
        </w:rPr>
        <w:t xml:space="preserve">prihlásených </w:t>
      </w:r>
      <w:r w:rsidRPr="0053555E">
        <w:rPr>
          <w:rFonts w:asciiTheme="majorHAnsi" w:hAnsiTheme="majorHAnsi" w:cstheme="majorHAnsi"/>
        </w:rPr>
        <w:t>uchádzačov a</w:t>
      </w:r>
      <w:r w:rsidR="00086538" w:rsidRPr="0053555E">
        <w:rPr>
          <w:rFonts w:asciiTheme="majorHAnsi" w:hAnsiTheme="majorHAnsi" w:cstheme="majorHAnsi"/>
        </w:rPr>
        <w:t xml:space="preserve"> novo </w:t>
      </w:r>
      <w:r w:rsidRPr="0053555E">
        <w:rPr>
          <w:rFonts w:asciiTheme="majorHAnsi" w:hAnsiTheme="majorHAnsi" w:cstheme="majorHAnsi"/>
        </w:rPr>
        <w:t xml:space="preserve">zapísaných </w:t>
      </w:r>
      <w:r w:rsidR="007B791B" w:rsidRPr="0053555E">
        <w:rPr>
          <w:rFonts w:asciiTheme="majorHAnsi" w:hAnsiTheme="majorHAnsi" w:cstheme="majorHAnsi"/>
        </w:rPr>
        <w:t xml:space="preserve">študentov </w:t>
      </w:r>
      <w:r w:rsidR="00086538" w:rsidRPr="0053555E">
        <w:rPr>
          <w:rFonts w:asciiTheme="majorHAnsi" w:hAnsiTheme="majorHAnsi" w:cstheme="majorHAnsi"/>
        </w:rPr>
        <w:t>v prijímacom konaní na </w:t>
      </w:r>
      <w:r w:rsidRPr="0053555E">
        <w:rPr>
          <w:rFonts w:asciiTheme="majorHAnsi" w:hAnsiTheme="majorHAnsi" w:cstheme="majorHAnsi"/>
        </w:rPr>
        <w:t xml:space="preserve">akademický rok </w:t>
      </w:r>
      <w:r w:rsidR="00EA24BA" w:rsidRPr="0053555E">
        <w:rPr>
          <w:rFonts w:asciiTheme="majorHAnsi" w:hAnsiTheme="majorHAnsi" w:cstheme="majorHAnsi"/>
        </w:rPr>
        <w:t>2022/2023</w:t>
      </w:r>
      <w:r w:rsidR="007B791B" w:rsidRPr="0053555E">
        <w:rPr>
          <w:rFonts w:asciiTheme="majorHAnsi" w:hAnsiTheme="majorHAnsi" w:cstheme="majorHAnsi"/>
        </w:rPr>
        <w:t xml:space="preserve"> </w:t>
      </w:r>
      <w:r w:rsidRPr="0053555E">
        <w:rPr>
          <w:rFonts w:asciiTheme="majorHAnsi" w:hAnsiTheme="majorHAnsi" w:cstheme="majorHAnsi"/>
        </w:rPr>
        <w:t>s predchádzajúcim akademickým rokom</w:t>
      </w:r>
      <w:r w:rsidR="006F6854" w:rsidRPr="0053555E">
        <w:rPr>
          <w:rFonts w:asciiTheme="majorHAnsi" w:hAnsiTheme="majorHAnsi" w:cstheme="majorHAnsi"/>
        </w:rPr>
        <w:t xml:space="preserve"> </w:t>
      </w:r>
      <w:r w:rsidR="00EA24BA" w:rsidRPr="0053555E">
        <w:rPr>
          <w:rFonts w:asciiTheme="majorHAnsi" w:hAnsiTheme="majorHAnsi" w:cstheme="majorHAnsi"/>
        </w:rPr>
        <w:t>2021/2022</w:t>
      </w:r>
      <w:r w:rsidR="006F6854" w:rsidRPr="0053555E">
        <w:rPr>
          <w:rFonts w:asciiTheme="majorHAnsi" w:hAnsiTheme="majorHAnsi" w:cstheme="majorHAnsi"/>
        </w:rPr>
        <w:t xml:space="preserve"> </w:t>
      </w:r>
      <w:r w:rsidRPr="0053555E">
        <w:rPr>
          <w:rFonts w:asciiTheme="majorHAnsi" w:hAnsiTheme="majorHAnsi" w:cstheme="majorHAnsi"/>
        </w:rPr>
        <w:t>je uvedené v </w:t>
      </w:r>
      <w:r w:rsidR="00860CAB" w:rsidRPr="00AB4E85">
        <w:rPr>
          <w:rFonts w:asciiTheme="majorHAnsi" w:hAnsiTheme="majorHAnsi" w:cstheme="majorHAnsi"/>
        </w:rPr>
        <w:fldChar w:fldCharType="begin"/>
      </w:r>
      <w:r w:rsidR="00860CAB" w:rsidRPr="00AB4E85">
        <w:rPr>
          <w:rFonts w:asciiTheme="majorHAnsi" w:hAnsiTheme="majorHAnsi" w:cstheme="majorHAnsi"/>
        </w:rPr>
        <w:instrText xml:space="preserve"> REF _Ref31718201 \h </w:instrText>
      </w:r>
      <w:r w:rsidR="00324438" w:rsidRPr="00AB4E85">
        <w:rPr>
          <w:rFonts w:asciiTheme="majorHAnsi" w:hAnsiTheme="majorHAnsi" w:cstheme="majorHAnsi"/>
        </w:rPr>
        <w:instrText xml:space="preserve"> \* MERGEFORMAT </w:instrText>
      </w:r>
      <w:r w:rsidR="00860CAB" w:rsidRPr="00AB4E85">
        <w:rPr>
          <w:rFonts w:asciiTheme="majorHAnsi" w:hAnsiTheme="majorHAnsi" w:cstheme="majorHAnsi"/>
        </w:rPr>
      </w:r>
      <w:r w:rsidR="00860CAB" w:rsidRPr="00AB4E85">
        <w:rPr>
          <w:rFonts w:asciiTheme="majorHAnsi" w:hAnsiTheme="majorHAnsi" w:cstheme="majorHAnsi"/>
        </w:rPr>
        <w:fldChar w:fldCharType="separate"/>
      </w:r>
      <w:r w:rsidR="00EE1B59" w:rsidRPr="00AB4E85">
        <w:rPr>
          <w:rFonts w:asciiTheme="majorHAnsi" w:hAnsiTheme="majorHAnsi" w:cstheme="majorHAnsi"/>
        </w:rPr>
        <w:t>Tab. č. 30</w:t>
      </w:r>
      <w:r w:rsidR="00860CAB" w:rsidRPr="00AB4E85">
        <w:rPr>
          <w:rFonts w:asciiTheme="majorHAnsi" w:hAnsiTheme="majorHAnsi" w:cstheme="majorHAnsi"/>
        </w:rPr>
        <w:fldChar w:fldCharType="end"/>
      </w:r>
      <w:r w:rsidR="002D3131" w:rsidRPr="00AB4E85">
        <w:rPr>
          <w:rFonts w:asciiTheme="majorHAnsi" w:hAnsiTheme="majorHAnsi" w:cstheme="majorHAnsi"/>
        </w:rPr>
        <w:t xml:space="preserve"> </w:t>
      </w:r>
      <w:r w:rsidRPr="00AB4E85">
        <w:rPr>
          <w:rFonts w:asciiTheme="majorHAnsi" w:hAnsiTheme="majorHAnsi" w:cstheme="majorHAnsi"/>
        </w:rPr>
        <w:t>a </w:t>
      </w:r>
      <w:r w:rsidR="00860CAB" w:rsidRPr="00AB4E85">
        <w:rPr>
          <w:rFonts w:asciiTheme="majorHAnsi" w:hAnsiTheme="majorHAnsi" w:cstheme="majorHAnsi"/>
        </w:rPr>
        <w:fldChar w:fldCharType="begin"/>
      </w:r>
      <w:r w:rsidR="00860CAB" w:rsidRPr="00AB4E85">
        <w:rPr>
          <w:rFonts w:asciiTheme="majorHAnsi" w:hAnsiTheme="majorHAnsi" w:cstheme="majorHAnsi"/>
        </w:rPr>
        <w:instrText xml:space="preserve"> REF _Ref31718211 \h </w:instrText>
      </w:r>
      <w:r w:rsidR="00324438" w:rsidRPr="00AB4E85">
        <w:rPr>
          <w:rFonts w:asciiTheme="majorHAnsi" w:hAnsiTheme="majorHAnsi" w:cstheme="majorHAnsi"/>
        </w:rPr>
        <w:instrText xml:space="preserve"> \* MERGEFORMAT </w:instrText>
      </w:r>
      <w:r w:rsidR="00860CAB" w:rsidRPr="00AB4E85">
        <w:rPr>
          <w:rFonts w:asciiTheme="majorHAnsi" w:hAnsiTheme="majorHAnsi" w:cstheme="majorHAnsi"/>
        </w:rPr>
      </w:r>
      <w:r w:rsidR="00860CAB" w:rsidRPr="00AB4E85">
        <w:rPr>
          <w:rFonts w:asciiTheme="majorHAnsi" w:hAnsiTheme="majorHAnsi" w:cstheme="majorHAnsi"/>
        </w:rPr>
        <w:fldChar w:fldCharType="separate"/>
      </w:r>
      <w:r w:rsidR="00EE1B59" w:rsidRPr="00AB4E85">
        <w:rPr>
          <w:rFonts w:asciiTheme="majorHAnsi" w:hAnsiTheme="majorHAnsi" w:cstheme="majorHAnsi"/>
        </w:rPr>
        <w:t>Tab. č. 31</w:t>
      </w:r>
      <w:r w:rsidR="00860CAB" w:rsidRPr="00AB4E85">
        <w:rPr>
          <w:rFonts w:asciiTheme="majorHAnsi" w:hAnsiTheme="majorHAnsi" w:cstheme="majorHAnsi"/>
        </w:rPr>
        <w:fldChar w:fldCharType="end"/>
      </w:r>
      <w:r w:rsidRPr="0053555E">
        <w:rPr>
          <w:rFonts w:asciiTheme="majorHAnsi" w:hAnsiTheme="majorHAnsi" w:cstheme="majorHAnsi"/>
        </w:rPr>
        <w:t>.</w:t>
      </w:r>
    </w:p>
    <w:p w14:paraId="18219A8D" w14:textId="77777777" w:rsidR="0078287B" w:rsidRPr="0053555E" w:rsidRDefault="0078287B" w:rsidP="00324438">
      <w:pPr>
        <w:tabs>
          <w:tab w:val="left" w:pos="9356"/>
        </w:tabs>
        <w:ind w:right="275"/>
        <w:jc w:val="both"/>
        <w:rPr>
          <w:rFonts w:asciiTheme="majorHAnsi" w:hAnsiTheme="majorHAnsi" w:cstheme="majorHAnsi"/>
        </w:rPr>
      </w:pPr>
    </w:p>
    <w:p w14:paraId="5C32CC18" w14:textId="1B65DC49" w:rsidR="002071AC" w:rsidRPr="0053555E" w:rsidRDefault="00BC2246" w:rsidP="000E3322">
      <w:pPr>
        <w:pStyle w:val="Popis"/>
      </w:pPr>
      <w:bookmarkStart w:id="127" w:name="_Ref31718201"/>
      <w:bookmarkStart w:id="128" w:name="_Toc127593293"/>
      <w:r w:rsidRPr="0053555E">
        <w:t xml:space="preserve">Tab. č. </w:t>
      </w:r>
      <w:r w:rsidR="007B5953">
        <w:fldChar w:fldCharType="begin"/>
      </w:r>
      <w:r w:rsidR="007B5953">
        <w:instrText xml:space="preserve"> SEQ Tab._č. \* ARABIC </w:instrText>
      </w:r>
      <w:r w:rsidR="007B5953">
        <w:fldChar w:fldCharType="separate"/>
      </w:r>
      <w:r w:rsidR="00EE1B59">
        <w:rPr>
          <w:noProof/>
        </w:rPr>
        <w:t>30</w:t>
      </w:r>
      <w:r w:rsidR="007B5953">
        <w:rPr>
          <w:noProof/>
        </w:rPr>
        <w:fldChar w:fldCharType="end"/>
      </w:r>
      <w:bookmarkEnd w:id="127"/>
      <w:r w:rsidRPr="0053555E">
        <w:t>:</w:t>
      </w:r>
      <w:r w:rsidR="002071AC" w:rsidRPr="0053555E">
        <w:t xml:space="preserve"> Počet </w:t>
      </w:r>
      <w:r w:rsidR="00F20A0E" w:rsidRPr="0053555E">
        <w:t xml:space="preserve">prihlásených </w:t>
      </w:r>
      <w:r w:rsidR="002071AC" w:rsidRPr="0053555E">
        <w:t xml:space="preserve">uchádzačov </w:t>
      </w:r>
      <w:r w:rsidR="0042217D" w:rsidRPr="0053555E">
        <w:t xml:space="preserve">na STU v akademickom roku </w:t>
      </w:r>
      <w:r w:rsidR="00EA24BA" w:rsidRPr="0053555E">
        <w:t>2022/2023</w:t>
      </w:r>
      <w:r w:rsidR="0042217D" w:rsidRPr="0053555E">
        <w:t xml:space="preserve"> </w:t>
      </w:r>
      <w:r w:rsidR="002071AC" w:rsidRPr="0053555E">
        <w:t>v </w:t>
      </w:r>
      <w:r w:rsidR="00431A0F" w:rsidRPr="0053555E">
        <w:t>porovnaní s predchádzajúcim akademickým</w:t>
      </w:r>
      <w:r w:rsidR="002071AC" w:rsidRPr="0053555E">
        <w:t xml:space="preserve"> rokom</w:t>
      </w:r>
      <w:bookmarkEnd w:id="128"/>
    </w:p>
    <w:tbl>
      <w:tblPr>
        <w:tblW w:w="6111" w:type="dxa"/>
        <w:tblInd w:w="55" w:type="dxa"/>
        <w:tblLayout w:type="fixed"/>
        <w:tblCellMar>
          <w:left w:w="70" w:type="dxa"/>
          <w:right w:w="70" w:type="dxa"/>
        </w:tblCellMar>
        <w:tblLook w:val="04A0" w:firstRow="1" w:lastRow="0" w:firstColumn="1" w:lastColumn="0" w:noHBand="0" w:noVBand="1"/>
      </w:tblPr>
      <w:tblGrid>
        <w:gridCol w:w="1222"/>
        <w:gridCol w:w="1222"/>
        <w:gridCol w:w="1222"/>
        <w:gridCol w:w="1222"/>
        <w:gridCol w:w="1223"/>
      </w:tblGrid>
      <w:tr w:rsidR="008C306C" w:rsidRPr="0053555E" w14:paraId="6B0EEAD8" w14:textId="77777777" w:rsidTr="00744609">
        <w:trPr>
          <w:trHeight w:val="20"/>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C8964" w14:textId="77777777" w:rsidR="008C306C" w:rsidRPr="0053555E" w:rsidRDefault="008C306C" w:rsidP="00324438">
            <w:pPr>
              <w:tabs>
                <w:tab w:val="left" w:pos="9356"/>
              </w:tabs>
              <w:jc w:val="both"/>
              <w:rPr>
                <w:rFonts w:asciiTheme="majorHAnsi" w:eastAsia="Times New Roman" w:hAnsiTheme="majorHAnsi" w:cstheme="majorHAnsi"/>
                <w:b/>
                <w:i/>
                <w:iCs/>
                <w:szCs w:val="22"/>
                <w:lang w:eastAsia="sk-SK"/>
              </w:rPr>
            </w:pPr>
            <w:r w:rsidRPr="0053555E">
              <w:rPr>
                <w:rFonts w:asciiTheme="majorHAnsi" w:eastAsia="Times New Roman" w:hAnsiTheme="majorHAnsi" w:cstheme="majorHAnsi"/>
                <w:b/>
                <w:i/>
                <w:iCs/>
                <w:szCs w:val="22"/>
                <w:lang w:eastAsia="sk-SK"/>
              </w:rPr>
              <w:t> </w:t>
            </w:r>
          </w:p>
        </w:tc>
        <w:tc>
          <w:tcPr>
            <w:tcW w:w="1222" w:type="dxa"/>
            <w:tcBorders>
              <w:top w:val="single" w:sz="4" w:space="0" w:color="auto"/>
              <w:left w:val="nil"/>
              <w:bottom w:val="single" w:sz="4" w:space="0" w:color="auto"/>
              <w:right w:val="single" w:sz="4" w:space="0" w:color="auto"/>
            </w:tcBorders>
            <w:shd w:val="clear" w:color="000000" w:fill="FFFFFF"/>
            <w:vAlign w:val="center"/>
            <w:hideMark/>
          </w:tcPr>
          <w:p w14:paraId="78BF7E8B" w14:textId="222C6E1E" w:rsidR="008C306C" w:rsidRPr="0053555E" w:rsidRDefault="00EA24BA" w:rsidP="00324438">
            <w:pPr>
              <w:tabs>
                <w:tab w:val="left" w:pos="9356"/>
              </w:tabs>
              <w:jc w:val="center"/>
              <w:rPr>
                <w:rFonts w:asciiTheme="majorHAnsi" w:eastAsia="Times New Roman" w:hAnsiTheme="majorHAnsi" w:cstheme="majorHAnsi"/>
                <w:b/>
                <w:szCs w:val="22"/>
                <w:lang w:eastAsia="sk-SK"/>
              </w:rPr>
            </w:pPr>
            <w:r w:rsidRPr="0053555E">
              <w:rPr>
                <w:rFonts w:asciiTheme="majorHAnsi" w:eastAsia="Times New Roman" w:hAnsiTheme="majorHAnsi" w:cstheme="majorHAnsi"/>
                <w:b/>
                <w:szCs w:val="22"/>
                <w:lang w:eastAsia="sk-SK"/>
              </w:rPr>
              <w:t>2021/2022</w:t>
            </w:r>
          </w:p>
        </w:tc>
        <w:tc>
          <w:tcPr>
            <w:tcW w:w="1222" w:type="dxa"/>
            <w:tcBorders>
              <w:top w:val="single" w:sz="4" w:space="0" w:color="auto"/>
              <w:left w:val="nil"/>
              <w:bottom w:val="single" w:sz="4" w:space="0" w:color="auto"/>
              <w:right w:val="single" w:sz="4" w:space="0" w:color="auto"/>
            </w:tcBorders>
            <w:shd w:val="clear" w:color="000000" w:fill="FFFFFF"/>
            <w:vAlign w:val="center"/>
            <w:hideMark/>
          </w:tcPr>
          <w:p w14:paraId="656683B2" w14:textId="20292605" w:rsidR="008C306C" w:rsidRPr="0053555E" w:rsidRDefault="00EA24BA" w:rsidP="00324438">
            <w:pPr>
              <w:tabs>
                <w:tab w:val="left" w:pos="9356"/>
              </w:tabs>
              <w:jc w:val="center"/>
              <w:rPr>
                <w:rFonts w:asciiTheme="majorHAnsi" w:eastAsia="Times New Roman" w:hAnsiTheme="majorHAnsi" w:cstheme="majorHAnsi"/>
                <w:b/>
                <w:szCs w:val="22"/>
                <w:lang w:eastAsia="sk-SK"/>
              </w:rPr>
            </w:pPr>
            <w:r w:rsidRPr="0053555E">
              <w:rPr>
                <w:rFonts w:asciiTheme="majorHAnsi" w:eastAsia="Times New Roman" w:hAnsiTheme="majorHAnsi" w:cstheme="majorHAnsi"/>
                <w:b/>
                <w:szCs w:val="22"/>
                <w:lang w:eastAsia="sk-SK"/>
              </w:rPr>
              <w:t>2022/2023</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14:paraId="28D71E67" w14:textId="77777777" w:rsidR="008C306C" w:rsidRPr="0053555E" w:rsidRDefault="008C306C" w:rsidP="00324438">
            <w:pPr>
              <w:tabs>
                <w:tab w:val="left" w:pos="9356"/>
              </w:tabs>
              <w:jc w:val="center"/>
              <w:rPr>
                <w:rFonts w:asciiTheme="majorHAnsi" w:eastAsia="Times New Roman" w:hAnsiTheme="majorHAnsi" w:cstheme="majorHAnsi"/>
                <w:b/>
                <w:szCs w:val="22"/>
                <w:lang w:eastAsia="sk-SK"/>
              </w:rPr>
            </w:pPr>
            <w:r w:rsidRPr="0053555E">
              <w:rPr>
                <w:rFonts w:asciiTheme="majorHAnsi" w:eastAsia="Times New Roman" w:hAnsiTheme="majorHAnsi" w:cstheme="majorHAnsi"/>
                <w:b/>
                <w:szCs w:val="22"/>
                <w:lang w:eastAsia="sk-SK"/>
              </w:rPr>
              <w:t>rozdiel</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5FB62DFB" w14:textId="77777777" w:rsidR="008C306C" w:rsidRPr="0053555E" w:rsidRDefault="008C306C" w:rsidP="00324438">
            <w:pPr>
              <w:tabs>
                <w:tab w:val="left" w:pos="9356"/>
              </w:tabs>
              <w:jc w:val="center"/>
              <w:rPr>
                <w:rFonts w:asciiTheme="majorHAnsi" w:eastAsia="Times New Roman" w:hAnsiTheme="majorHAnsi" w:cstheme="majorHAnsi"/>
                <w:b/>
                <w:szCs w:val="22"/>
                <w:lang w:eastAsia="sk-SK"/>
              </w:rPr>
            </w:pPr>
            <w:r w:rsidRPr="0053555E">
              <w:rPr>
                <w:rFonts w:asciiTheme="majorHAnsi" w:eastAsia="Times New Roman" w:hAnsiTheme="majorHAnsi" w:cstheme="majorHAnsi"/>
                <w:b/>
                <w:szCs w:val="22"/>
                <w:lang w:eastAsia="sk-SK"/>
              </w:rPr>
              <w:t>rozdiel v %</w:t>
            </w:r>
          </w:p>
        </w:tc>
      </w:tr>
      <w:tr w:rsidR="007E2F70" w:rsidRPr="0053555E" w14:paraId="236CF021" w14:textId="77777777" w:rsidTr="0037612A">
        <w:trPr>
          <w:trHeight w:val="20"/>
        </w:trPr>
        <w:tc>
          <w:tcPr>
            <w:tcW w:w="1222" w:type="dxa"/>
            <w:tcBorders>
              <w:top w:val="nil"/>
              <w:left w:val="single" w:sz="4" w:space="0" w:color="auto"/>
              <w:bottom w:val="single" w:sz="4" w:space="0" w:color="auto"/>
              <w:right w:val="single" w:sz="4" w:space="0" w:color="auto"/>
            </w:tcBorders>
            <w:shd w:val="clear" w:color="auto" w:fill="auto"/>
            <w:vAlign w:val="center"/>
            <w:hideMark/>
          </w:tcPr>
          <w:p w14:paraId="3654598E" w14:textId="77777777" w:rsidR="007E2F70" w:rsidRPr="0053555E" w:rsidRDefault="007E2F70" w:rsidP="007E2F70">
            <w:pPr>
              <w:tabs>
                <w:tab w:val="left" w:pos="9356"/>
              </w:tabs>
              <w:jc w:val="both"/>
              <w:rPr>
                <w:rFonts w:asciiTheme="majorHAnsi" w:eastAsia="Times New Roman" w:hAnsiTheme="majorHAnsi" w:cstheme="majorHAnsi"/>
                <w:b/>
                <w:szCs w:val="22"/>
                <w:lang w:eastAsia="sk-SK"/>
              </w:rPr>
            </w:pPr>
            <w:r w:rsidRPr="0053555E">
              <w:rPr>
                <w:rFonts w:asciiTheme="majorHAnsi" w:eastAsia="Times New Roman" w:hAnsiTheme="majorHAnsi" w:cstheme="majorHAnsi"/>
                <w:b/>
                <w:szCs w:val="22"/>
                <w:lang w:eastAsia="sk-SK"/>
              </w:rPr>
              <w:t>I. stupeň</w:t>
            </w:r>
          </w:p>
        </w:tc>
        <w:tc>
          <w:tcPr>
            <w:tcW w:w="1222" w:type="dxa"/>
            <w:tcBorders>
              <w:top w:val="nil"/>
              <w:left w:val="nil"/>
              <w:bottom w:val="single" w:sz="4" w:space="0" w:color="auto"/>
              <w:right w:val="single" w:sz="4" w:space="0" w:color="auto"/>
            </w:tcBorders>
            <w:shd w:val="clear" w:color="000000" w:fill="FFFFFF"/>
            <w:vAlign w:val="center"/>
            <w:hideMark/>
          </w:tcPr>
          <w:p w14:paraId="5CFC6471" w14:textId="4097D134" w:rsidR="007E2F70" w:rsidRPr="0053555E" w:rsidRDefault="007E2F70" w:rsidP="007E2F70">
            <w:pPr>
              <w:jc w:val="center"/>
              <w:rPr>
                <w:rFonts w:asciiTheme="majorHAnsi" w:hAnsiTheme="majorHAnsi" w:cstheme="majorHAnsi"/>
                <w:szCs w:val="20"/>
              </w:rPr>
            </w:pPr>
            <w:r w:rsidRPr="0053555E">
              <w:rPr>
                <w:rFonts w:cs="Calibri"/>
                <w:szCs w:val="20"/>
              </w:rPr>
              <w:t>6 044</w:t>
            </w:r>
          </w:p>
        </w:tc>
        <w:tc>
          <w:tcPr>
            <w:tcW w:w="1222" w:type="dxa"/>
            <w:tcBorders>
              <w:top w:val="nil"/>
              <w:left w:val="nil"/>
              <w:bottom w:val="single" w:sz="4" w:space="0" w:color="auto"/>
              <w:right w:val="single" w:sz="4" w:space="0" w:color="auto"/>
            </w:tcBorders>
            <w:shd w:val="clear" w:color="000000" w:fill="FFFFFF"/>
            <w:vAlign w:val="center"/>
            <w:hideMark/>
          </w:tcPr>
          <w:p w14:paraId="59A6244E" w14:textId="3B38FEDC" w:rsidR="007E2F70" w:rsidRPr="0053555E" w:rsidRDefault="007E2F70" w:rsidP="007E2F70">
            <w:pPr>
              <w:jc w:val="center"/>
              <w:rPr>
                <w:rFonts w:asciiTheme="majorHAnsi" w:hAnsiTheme="majorHAnsi" w:cstheme="majorHAnsi"/>
                <w:szCs w:val="20"/>
              </w:rPr>
            </w:pPr>
            <w:r w:rsidRPr="0053555E">
              <w:rPr>
                <w:rFonts w:cs="Calibri"/>
                <w:szCs w:val="20"/>
              </w:rPr>
              <w:t>8 408</w:t>
            </w:r>
          </w:p>
        </w:tc>
        <w:tc>
          <w:tcPr>
            <w:tcW w:w="1222" w:type="dxa"/>
            <w:tcBorders>
              <w:top w:val="nil"/>
              <w:left w:val="nil"/>
              <w:bottom w:val="single" w:sz="4" w:space="0" w:color="auto"/>
              <w:right w:val="single" w:sz="4" w:space="0" w:color="auto"/>
            </w:tcBorders>
            <w:shd w:val="clear" w:color="auto" w:fill="auto"/>
            <w:vAlign w:val="center"/>
            <w:hideMark/>
          </w:tcPr>
          <w:p w14:paraId="55CBBBB2" w14:textId="5BEC9317" w:rsidR="007E2F70" w:rsidRPr="0053555E" w:rsidRDefault="007E2F70" w:rsidP="007E2F70">
            <w:pPr>
              <w:jc w:val="center"/>
              <w:rPr>
                <w:rFonts w:asciiTheme="majorHAnsi" w:hAnsiTheme="majorHAnsi" w:cstheme="majorHAnsi"/>
                <w:szCs w:val="20"/>
              </w:rPr>
            </w:pPr>
            <w:r w:rsidRPr="0053555E">
              <w:rPr>
                <w:rFonts w:cs="Calibri"/>
                <w:szCs w:val="20"/>
              </w:rPr>
              <w:t>2 364</w:t>
            </w:r>
          </w:p>
        </w:tc>
        <w:tc>
          <w:tcPr>
            <w:tcW w:w="1223" w:type="dxa"/>
            <w:tcBorders>
              <w:top w:val="nil"/>
              <w:left w:val="nil"/>
              <w:bottom w:val="single" w:sz="4" w:space="0" w:color="auto"/>
              <w:right w:val="single" w:sz="4" w:space="0" w:color="auto"/>
            </w:tcBorders>
            <w:shd w:val="clear" w:color="auto" w:fill="EEECE1" w:themeFill="background2"/>
            <w:vAlign w:val="center"/>
            <w:hideMark/>
          </w:tcPr>
          <w:p w14:paraId="03EC8312" w14:textId="2064B124" w:rsidR="007E2F70" w:rsidRPr="0053555E" w:rsidRDefault="007E2F70" w:rsidP="007E2F70">
            <w:pPr>
              <w:jc w:val="center"/>
              <w:rPr>
                <w:rFonts w:asciiTheme="majorHAnsi" w:hAnsiTheme="majorHAnsi" w:cstheme="majorHAnsi"/>
                <w:szCs w:val="20"/>
              </w:rPr>
            </w:pPr>
            <w:r w:rsidRPr="0053555E">
              <w:rPr>
                <w:rFonts w:cs="Calibri"/>
                <w:szCs w:val="20"/>
              </w:rPr>
              <w:t>39,11</w:t>
            </w:r>
            <w:r w:rsidR="000474FE">
              <w:rPr>
                <w:rFonts w:cs="Calibri"/>
                <w:szCs w:val="20"/>
              </w:rPr>
              <w:t xml:space="preserve"> </w:t>
            </w:r>
            <w:r w:rsidRPr="0053555E">
              <w:rPr>
                <w:rFonts w:cs="Calibri"/>
                <w:szCs w:val="20"/>
              </w:rPr>
              <w:t>%</w:t>
            </w:r>
          </w:p>
        </w:tc>
      </w:tr>
      <w:tr w:rsidR="007E2F70" w:rsidRPr="0053555E" w14:paraId="202DE339" w14:textId="77777777" w:rsidTr="00F44DF9">
        <w:trPr>
          <w:trHeight w:val="20"/>
        </w:trPr>
        <w:tc>
          <w:tcPr>
            <w:tcW w:w="1222" w:type="dxa"/>
            <w:tcBorders>
              <w:top w:val="nil"/>
              <w:left w:val="single" w:sz="4" w:space="0" w:color="auto"/>
              <w:bottom w:val="single" w:sz="4" w:space="0" w:color="auto"/>
              <w:right w:val="single" w:sz="4" w:space="0" w:color="auto"/>
            </w:tcBorders>
            <w:shd w:val="clear" w:color="auto" w:fill="auto"/>
            <w:vAlign w:val="center"/>
            <w:hideMark/>
          </w:tcPr>
          <w:p w14:paraId="2544EA5F" w14:textId="77777777" w:rsidR="007E2F70" w:rsidRPr="0053555E" w:rsidRDefault="007E2F70" w:rsidP="007E2F70">
            <w:pPr>
              <w:tabs>
                <w:tab w:val="left" w:pos="9356"/>
              </w:tabs>
              <w:jc w:val="both"/>
              <w:rPr>
                <w:rFonts w:asciiTheme="majorHAnsi" w:eastAsia="Times New Roman" w:hAnsiTheme="majorHAnsi" w:cstheme="majorHAnsi"/>
                <w:b/>
                <w:szCs w:val="22"/>
                <w:lang w:eastAsia="sk-SK"/>
              </w:rPr>
            </w:pPr>
            <w:r w:rsidRPr="0053555E">
              <w:rPr>
                <w:rFonts w:asciiTheme="majorHAnsi" w:eastAsia="Times New Roman" w:hAnsiTheme="majorHAnsi" w:cstheme="majorHAnsi"/>
                <w:b/>
                <w:szCs w:val="22"/>
                <w:lang w:eastAsia="sk-SK"/>
              </w:rPr>
              <w:t>II. stupeň</w:t>
            </w:r>
          </w:p>
        </w:tc>
        <w:tc>
          <w:tcPr>
            <w:tcW w:w="1222" w:type="dxa"/>
            <w:tcBorders>
              <w:top w:val="nil"/>
              <w:left w:val="nil"/>
              <w:bottom w:val="single" w:sz="4" w:space="0" w:color="auto"/>
              <w:right w:val="single" w:sz="4" w:space="0" w:color="auto"/>
            </w:tcBorders>
            <w:shd w:val="clear" w:color="000000" w:fill="FFFFFF"/>
            <w:vAlign w:val="center"/>
            <w:hideMark/>
          </w:tcPr>
          <w:p w14:paraId="5FE003D2" w14:textId="1D5BB75C" w:rsidR="007E2F70" w:rsidRPr="0053555E" w:rsidRDefault="007E2F70" w:rsidP="007E2F70">
            <w:pPr>
              <w:jc w:val="center"/>
              <w:rPr>
                <w:rFonts w:asciiTheme="majorHAnsi" w:hAnsiTheme="majorHAnsi" w:cstheme="majorHAnsi"/>
                <w:szCs w:val="20"/>
              </w:rPr>
            </w:pPr>
            <w:r w:rsidRPr="0053555E">
              <w:rPr>
                <w:rFonts w:cs="Calibri"/>
                <w:szCs w:val="20"/>
              </w:rPr>
              <w:t>2 192</w:t>
            </w:r>
          </w:p>
        </w:tc>
        <w:tc>
          <w:tcPr>
            <w:tcW w:w="1222" w:type="dxa"/>
            <w:tcBorders>
              <w:top w:val="nil"/>
              <w:left w:val="nil"/>
              <w:bottom w:val="single" w:sz="4" w:space="0" w:color="auto"/>
              <w:right w:val="single" w:sz="4" w:space="0" w:color="auto"/>
            </w:tcBorders>
            <w:shd w:val="clear" w:color="000000" w:fill="FFFFFF"/>
            <w:vAlign w:val="center"/>
            <w:hideMark/>
          </w:tcPr>
          <w:p w14:paraId="2FFF69CE" w14:textId="2EA7607A" w:rsidR="007E2F70" w:rsidRPr="0053555E" w:rsidRDefault="007E2F70" w:rsidP="007E2F70">
            <w:pPr>
              <w:jc w:val="center"/>
              <w:rPr>
                <w:rFonts w:asciiTheme="majorHAnsi" w:hAnsiTheme="majorHAnsi" w:cstheme="majorHAnsi"/>
                <w:szCs w:val="20"/>
              </w:rPr>
            </w:pPr>
            <w:r w:rsidRPr="0053555E">
              <w:rPr>
                <w:rFonts w:cs="Calibri"/>
                <w:szCs w:val="20"/>
              </w:rPr>
              <w:t>2 259</w:t>
            </w:r>
          </w:p>
        </w:tc>
        <w:tc>
          <w:tcPr>
            <w:tcW w:w="1222" w:type="dxa"/>
            <w:tcBorders>
              <w:top w:val="nil"/>
              <w:left w:val="nil"/>
              <w:bottom w:val="single" w:sz="4" w:space="0" w:color="auto"/>
              <w:right w:val="single" w:sz="4" w:space="0" w:color="auto"/>
            </w:tcBorders>
            <w:shd w:val="clear" w:color="auto" w:fill="auto"/>
            <w:vAlign w:val="center"/>
            <w:hideMark/>
          </w:tcPr>
          <w:p w14:paraId="748AC77E" w14:textId="66FDD8F8" w:rsidR="007E2F70" w:rsidRPr="0053555E" w:rsidRDefault="007E2F70" w:rsidP="007E2F70">
            <w:pPr>
              <w:jc w:val="center"/>
              <w:rPr>
                <w:rFonts w:asciiTheme="majorHAnsi" w:hAnsiTheme="majorHAnsi" w:cstheme="majorHAnsi"/>
                <w:szCs w:val="20"/>
              </w:rPr>
            </w:pPr>
            <w:r w:rsidRPr="0053555E">
              <w:rPr>
                <w:rFonts w:cs="Calibri"/>
                <w:szCs w:val="20"/>
              </w:rPr>
              <w:t>67</w:t>
            </w:r>
          </w:p>
        </w:tc>
        <w:tc>
          <w:tcPr>
            <w:tcW w:w="1223" w:type="dxa"/>
            <w:tcBorders>
              <w:top w:val="nil"/>
              <w:left w:val="nil"/>
              <w:bottom w:val="single" w:sz="4" w:space="0" w:color="auto"/>
              <w:right w:val="single" w:sz="4" w:space="0" w:color="auto"/>
            </w:tcBorders>
            <w:shd w:val="clear" w:color="auto" w:fill="EEECE1" w:themeFill="background2"/>
            <w:vAlign w:val="center"/>
            <w:hideMark/>
          </w:tcPr>
          <w:p w14:paraId="0B142DCE" w14:textId="51EC889F" w:rsidR="007E2F70" w:rsidRPr="0053555E" w:rsidRDefault="007E2F70" w:rsidP="007E2F70">
            <w:pPr>
              <w:jc w:val="center"/>
              <w:rPr>
                <w:rFonts w:asciiTheme="majorHAnsi" w:hAnsiTheme="majorHAnsi" w:cstheme="majorHAnsi"/>
                <w:szCs w:val="20"/>
              </w:rPr>
            </w:pPr>
            <w:r w:rsidRPr="0053555E">
              <w:rPr>
                <w:rFonts w:cs="Calibri"/>
                <w:szCs w:val="20"/>
              </w:rPr>
              <w:t>3,06</w:t>
            </w:r>
            <w:r w:rsidR="000474FE">
              <w:rPr>
                <w:rFonts w:cs="Calibri"/>
                <w:szCs w:val="20"/>
              </w:rPr>
              <w:t xml:space="preserve"> </w:t>
            </w:r>
            <w:r w:rsidRPr="0053555E">
              <w:rPr>
                <w:rFonts w:cs="Calibri"/>
                <w:szCs w:val="20"/>
              </w:rPr>
              <w:t>%</w:t>
            </w:r>
          </w:p>
        </w:tc>
      </w:tr>
      <w:tr w:rsidR="007E2F70" w:rsidRPr="0053555E" w14:paraId="334EF261" w14:textId="77777777" w:rsidTr="00F44DF9">
        <w:trPr>
          <w:trHeight w:val="20"/>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2BBB4" w14:textId="77777777" w:rsidR="007E2F70" w:rsidRPr="0053555E" w:rsidRDefault="007E2F70" w:rsidP="007E2F70">
            <w:pPr>
              <w:tabs>
                <w:tab w:val="left" w:pos="9356"/>
              </w:tabs>
              <w:jc w:val="both"/>
              <w:rPr>
                <w:rFonts w:asciiTheme="majorHAnsi" w:eastAsia="Times New Roman" w:hAnsiTheme="majorHAnsi" w:cstheme="majorHAnsi"/>
                <w:b/>
                <w:szCs w:val="22"/>
                <w:lang w:eastAsia="sk-SK"/>
              </w:rPr>
            </w:pPr>
            <w:r w:rsidRPr="0053555E">
              <w:rPr>
                <w:rFonts w:asciiTheme="majorHAnsi" w:eastAsia="Times New Roman" w:hAnsiTheme="majorHAnsi" w:cstheme="majorHAnsi"/>
                <w:b/>
                <w:szCs w:val="22"/>
                <w:lang w:eastAsia="sk-SK"/>
              </w:rPr>
              <w:t>III. stupeň</w:t>
            </w:r>
          </w:p>
        </w:tc>
        <w:tc>
          <w:tcPr>
            <w:tcW w:w="1222" w:type="dxa"/>
            <w:tcBorders>
              <w:top w:val="single" w:sz="4" w:space="0" w:color="auto"/>
              <w:left w:val="nil"/>
              <w:bottom w:val="single" w:sz="4" w:space="0" w:color="auto"/>
              <w:right w:val="single" w:sz="4" w:space="0" w:color="auto"/>
            </w:tcBorders>
            <w:shd w:val="clear" w:color="000000" w:fill="FFFFFF"/>
            <w:vAlign w:val="center"/>
            <w:hideMark/>
          </w:tcPr>
          <w:p w14:paraId="1B97B27F" w14:textId="0184140C" w:rsidR="007E2F70" w:rsidRPr="0053555E" w:rsidRDefault="007E2F70" w:rsidP="007E2F70">
            <w:pPr>
              <w:jc w:val="center"/>
              <w:rPr>
                <w:rFonts w:asciiTheme="majorHAnsi" w:hAnsiTheme="majorHAnsi" w:cstheme="majorHAnsi"/>
                <w:szCs w:val="20"/>
              </w:rPr>
            </w:pPr>
            <w:r w:rsidRPr="0053555E">
              <w:rPr>
                <w:rFonts w:cs="Calibri"/>
                <w:szCs w:val="20"/>
              </w:rPr>
              <w:t>319</w:t>
            </w:r>
          </w:p>
        </w:tc>
        <w:tc>
          <w:tcPr>
            <w:tcW w:w="1222" w:type="dxa"/>
            <w:tcBorders>
              <w:top w:val="single" w:sz="4" w:space="0" w:color="auto"/>
              <w:left w:val="nil"/>
              <w:bottom w:val="single" w:sz="4" w:space="0" w:color="auto"/>
              <w:right w:val="single" w:sz="4" w:space="0" w:color="auto"/>
            </w:tcBorders>
            <w:shd w:val="clear" w:color="000000" w:fill="FFFFFF"/>
            <w:vAlign w:val="center"/>
            <w:hideMark/>
          </w:tcPr>
          <w:p w14:paraId="25A77E44" w14:textId="35D119C5" w:rsidR="007E2F70" w:rsidRPr="0053555E" w:rsidRDefault="007E2F70" w:rsidP="007E2F70">
            <w:pPr>
              <w:jc w:val="center"/>
              <w:rPr>
                <w:rFonts w:asciiTheme="majorHAnsi" w:hAnsiTheme="majorHAnsi" w:cstheme="majorHAnsi"/>
                <w:szCs w:val="20"/>
              </w:rPr>
            </w:pPr>
            <w:r w:rsidRPr="0053555E">
              <w:rPr>
                <w:rFonts w:cs="Calibri"/>
                <w:szCs w:val="20"/>
              </w:rPr>
              <w:t>266</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14:paraId="25A3BF29" w14:textId="09CC9C03" w:rsidR="007E2F70" w:rsidRPr="0053555E" w:rsidRDefault="007E2F70" w:rsidP="007E2F70">
            <w:pPr>
              <w:jc w:val="center"/>
              <w:rPr>
                <w:rFonts w:asciiTheme="majorHAnsi" w:hAnsiTheme="majorHAnsi" w:cstheme="majorHAnsi"/>
                <w:szCs w:val="20"/>
              </w:rPr>
            </w:pPr>
            <w:r w:rsidRPr="0053555E">
              <w:rPr>
                <w:rFonts w:cs="Calibri"/>
                <w:szCs w:val="20"/>
              </w:rPr>
              <w:t>-53</w:t>
            </w:r>
          </w:p>
        </w:tc>
        <w:tc>
          <w:tcPr>
            <w:tcW w:w="1223" w:type="dxa"/>
            <w:tcBorders>
              <w:top w:val="single" w:sz="4" w:space="0" w:color="auto"/>
              <w:left w:val="nil"/>
              <w:bottom w:val="single" w:sz="4" w:space="0" w:color="auto"/>
              <w:right w:val="single" w:sz="4" w:space="0" w:color="auto"/>
            </w:tcBorders>
            <w:shd w:val="clear" w:color="auto" w:fill="EEECE1" w:themeFill="background2"/>
            <w:vAlign w:val="center"/>
            <w:hideMark/>
          </w:tcPr>
          <w:p w14:paraId="15E9542D" w14:textId="7A420DBB" w:rsidR="007E2F70" w:rsidRPr="0053555E" w:rsidRDefault="007E2F70" w:rsidP="007E2F70">
            <w:pPr>
              <w:jc w:val="center"/>
              <w:rPr>
                <w:rFonts w:asciiTheme="majorHAnsi" w:hAnsiTheme="majorHAnsi" w:cstheme="majorHAnsi"/>
                <w:szCs w:val="20"/>
              </w:rPr>
            </w:pPr>
            <w:r w:rsidRPr="0053555E">
              <w:rPr>
                <w:rFonts w:cs="Calibri"/>
                <w:szCs w:val="20"/>
              </w:rPr>
              <w:t>-16,61</w:t>
            </w:r>
            <w:r w:rsidR="000474FE">
              <w:rPr>
                <w:rFonts w:cs="Calibri"/>
                <w:szCs w:val="20"/>
              </w:rPr>
              <w:t xml:space="preserve"> </w:t>
            </w:r>
            <w:r w:rsidRPr="0053555E">
              <w:rPr>
                <w:rFonts w:cs="Calibri"/>
                <w:szCs w:val="20"/>
              </w:rPr>
              <w:t>%</w:t>
            </w:r>
          </w:p>
        </w:tc>
      </w:tr>
    </w:tbl>
    <w:p w14:paraId="76B53745" w14:textId="77777777" w:rsidR="00744609" w:rsidRPr="0053555E" w:rsidRDefault="00744609" w:rsidP="00324438">
      <w:pPr>
        <w:tabs>
          <w:tab w:val="left" w:pos="9356"/>
        </w:tabs>
        <w:jc w:val="both"/>
        <w:rPr>
          <w:rFonts w:asciiTheme="majorHAnsi" w:hAnsiTheme="majorHAnsi" w:cstheme="majorHAnsi"/>
          <w:sz w:val="20"/>
          <w:szCs w:val="20"/>
        </w:rPr>
      </w:pPr>
    </w:p>
    <w:p w14:paraId="21164F93" w14:textId="77777777" w:rsidR="00377F22" w:rsidRPr="0053555E" w:rsidRDefault="00377F22" w:rsidP="00324438">
      <w:pPr>
        <w:tabs>
          <w:tab w:val="left" w:pos="9356"/>
        </w:tabs>
        <w:jc w:val="both"/>
        <w:rPr>
          <w:rFonts w:asciiTheme="majorHAnsi" w:hAnsiTheme="majorHAnsi" w:cstheme="majorHAnsi"/>
          <w:sz w:val="20"/>
          <w:szCs w:val="20"/>
        </w:rPr>
      </w:pPr>
    </w:p>
    <w:p w14:paraId="6FF77777" w14:textId="3D59A29C" w:rsidR="002071AC" w:rsidRPr="0053555E" w:rsidRDefault="00860CAB" w:rsidP="000E3322">
      <w:pPr>
        <w:pStyle w:val="Popis"/>
      </w:pPr>
      <w:bookmarkStart w:id="129" w:name="_Ref31718211"/>
      <w:bookmarkStart w:id="130" w:name="_Toc127593294"/>
      <w:r w:rsidRPr="0053555E">
        <w:t xml:space="preserve">Tab. č. </w:t>
      </w:r>
      <w:r w:rsidR="007B5953">
        <w:fldChar w:fldCharType="begin"/>
      </w:r>
      <w:r w:rsidR="007B5953">
        <w:instrText xml:space="preserve"> SEQ Tab._č. \* ARABIC </w:instrText>
      </w:r>
      <w:r w:rsidR="007B5953">
        <w:fldChar w:fldCharType="separate"/>
      </w:r>
      <w:r w:rsidR="00EE1B59">
        <w:rPr>
          <w:noProof/>
        </w:rPr>
        <w:t>31</w:t>
      </w:r>
      <w:r w:rsidR="007B5953">
        <w:rPr>
          <w:noProof/>
        </w:rPr>
        <w:fldChar w:fldCharType="end"/>
      </w:r>
      <w:bookmarkEnd w:id="129"/>
      <w:r w:rsidRPr="0053555E">
        <w:t>:</w:t>
      </w:r>
      <w:r w:rsidR="002071AC" w:rsidRPr="0053555E">
        <w:t xml:space="preserve"> Počet zapísaných študentov </w:t>
      </w:r>
      <w:r w:rsidR="00F20A0E" w:rsidRPr="0053555E">
        <w:t xml:space="preserve">z prijatých uchádzačov </w:t>
      </w:r>
      <w:r w:rsidR="002071AC" w:rsidRPr="0053555E">
        <w:t xml:space="preserve">na STU </w:t>
      </w:r>
      <w:r w:rsidR="0042217D" w:rsidRPr="0053555E">
        <w:t xml:space="preserve">v akademickom roku </w:t>
      </w:r>
      <w:r w:rsidR="00EA24BA" w:rsidRPr="0053555E">
        <w:t>2022/2023</w:t>
      </w:r>
      <w:r w:rsidR="0042217D" w:rsidRPr="0053555E">
        <w:t xml:space="preserve"> </w:t>
      </w:r>
      <w:r w:rsidR="002071AC" w:rsidRPr="0053555E">
        <w:t>v porovnaní s predchádzajúcim akad</w:t>
      </w:r>
      <w:r w:rsidR="00431A0F" w:rsidRPr="0053555E">
        <w:t>emickým</w:t>
      </w:r>
      <w:r w:rsidR="002071AC" w:rsidRPr="0053555E">
        <w:t xml:space="preserve"> rokom</w:t>
      </w:r>
      <w:bookmarkEnd w:id="130"/>
    </w:p>
    <w:tbl>
      <w:tblPr>
        <w:tblW w:w="611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2"/>
        <w:gridCol w:w="1222"/>
        <w:gridCol w:w="1222"/>
        <w:gridCol w:w="1222"/>
        <w:gridCol w:w="1223"/>
      </w:tblGrid>
      <w:tr w:rsidR="008C306C" w:rsidRPr="0053555E" w14:paraId="7A572981" w14:textId="77777777" w:rsidTr="00744609">
        <w:trPr>
          <w:trHeight w:val="20"/>
        </w:trPr>
        <w:tc>
          <w:tcPr>
            <w:tcW w:w="1222" w:type="dxa"/>
            <w:shd w:val="clear" w:color="auto" w:fill="auto"/>
            <w:noWrap/>
            <w:vAlign w:val="center"/>
            <w:hideMark/>
          </w:tcPr>
          <w:p w14:paraId="03AF11DC" w14:textId="77777777" w:rsidR="008C306C" w:rsidRPr="0053555E" w:rsidRDefault="008C306C" w:rsidP="00324438">
            <w:pPr>
              <w:tabs>
                <w:tab w:val="left" w:pos="9356"/>
              </w:tabs>
              <w:jc w:val="both"/>
              <w:rPr>
                <w:rFonts w:asciiTheme="majorHAnsi" w:eastAsia="Times New Roman" w:hAnsiTheme="majorHAnsi" w:cstheme="majorHAnsi"/>
                <w:b/>
                <w:szCs w:val="22"/>
                <w:lang w:eastAsia="sk-SK"/>
              </w:rPr>
            </w:pPr>
            <w:r w:rsidRPr="0053555E">
              <w:rPr>
                <w:rFonts w:asciiTheme="majorHAnsi" w:eastAsia="Times New Roman" w:hAnsiTheme="majorHAnsi" w:cstheme="majorHAnsi"/>
                <w:b/>
                <w:szCs w:val="22"/>
                <w:lang w:eastAsia="sk-SK"/>
              </w:rPr>
              <w:t> </w:t>
            </w:r>
          </w:p>
        </w:tc>
        <w:tc>
          <w:tcPr>
            <w:tcW w:w="1222" w:type="dxa"/>
            <w:shd w:val="clear" w:color="000000" w:fill="FFFFFF"/>
            <w:vAlign w:val="center"/>
            <w:hideMark/>
          </w:tcPr>
          <w:p w14:paraId="6E4CE1B0" w14:textId="3473DECE" w:rsidR="008C306C" w:rsidRPr="0053555E" w:rsidRDefault="00EA24BA" w:rsidP="00324438">
            <w:pPr>
              <w:tabs>
                <w:tab w:val="left" w:pos="9356"/>
              </w:tabs>
              <w:jc w:val="center"/>
              <w:rPr>
                <w:rFonts w:asciiTheme="majorHAnsi" w:eastAsia="Times New Roman" w:hAnsiTheme="majorHAnsi" w:cstheme="majorHAnsi"/>
                <w:b/>
                <w:szCs w:val="22"/>
                <w:lang w:eastAsia="sk-SK"/>
              </w:rPr>
            </w:pPr>
            <w:r w:rsidRPr="0053555E">
              <w:rPr>
                <w:rFonts w:asciiTheme="majorHAnsi" w:eastAsia="Times New Roman" w:hAnsiTheme="majorHAnsi" w:cstheme="majorHAnsi"/>
                <w:b/>
                <w:szCs w:val="22"/>
                <w:lang w:eastAsia="sk-SK"/>
              </w:rPr>
              <w:t>2021/2022</w:t>
            </w:r>
          </w:p>
        </w:tc>
        <w:tc>
          <w:tcPr>
            <w:tcW w:w="1222" w:type="dxa"/>
            <w:shd w:val="clear" w:color="000000" w:fill="FFFFFF"/>
            <w:noWrap/>
            <w:vAlign w:val="center"/>
            <w:hideMark/>
          </w:tcPr>
          <w:p w14:paraId="167B02B1" w14:textId="311A7388" w:rsidR="008C306C" w:rsidRPr="0053555E" w:rsidRDefault="00EA24BA" w:rsidP="00324438">
            <w:pPr>
              <w:tabs>
                <w:tab w:val="left" w:pos="9356"/>
              </w:tabs>
              <w:jc w:val="center"/>
              <w:rPr>
                <w:rFonts w:asciiTheme="majorHAnsi" w:eastAsia="Times New Roman" w:hAnsiTheme="majorHAnsi" w:cstheme="majorHAnsi"/>
                <w:b/>
                <w:szCs w:val="22"/>
                <w:lang w:eastAsia="sk-SK"/>
              </w:rPr>
            </w:pPr>
            <w:r w:rsidRPr="0053555E">
              <w:rPr>
                <w:rFonts w:asciiTheme="majorHAnsi" w:eastAsia="Times New Roman" w:hAnsiTheme="majorHAnsi" w:cstheme="majorHAnsi"/>
                <w:b/>
                <w:szCs w:val="22"/>
                <w:lang w:eastAsia="sk-SK"/>
              </w:rPr>
              <w:t>2022/2023</w:t>
            </w:r>
          </w:p>
        </w:tc>
        <w:tc>
          <w:tcPr>
            <w:tcW w:w="1222" w:type="dxa"/>
            <w:shd w:val="clear" w:color="auto" w:fill="auto"/>
            <w:noWrap/>
            <w:vAlign w:val="center"/>
            <w:hideMark/>
          </w:tcPr>
          <w:p w14:paraId="08230D8E" w14:textId="77777777" w:rsidR="008C306C" w:rsidRPr="0053555E" w:rsidRDefault="008C306C" w:rsidP="00324438">
            <w:pPr>
              <w:tabs>
                <w:tab w:val="left" w:pos="9356"/>
              </w:tabs>
              <w:jc w:val="center"/>
              <w:rPr>
                <w:rFonts w:asciiTheme="majorHAnsi" w:eastAsia="Times New Roman" w:hAnsiTheme="majorHAnsi" w:cstheme="majorHAnsi"/>
                <w:b/>
                <w:szCs w:val="22"/>
                <w:lang w:eastAsia="sk-SK"/>
              </w:rPr>
            </w:pPr>
            <w:r w:rsidRPr="0053555E">
              <w:rPr>
                <w:rFonts w:asciiTheme="majorHAnsi" w:eastAsia="Times New Roman" w:hAnsiTheme="majorHAnsi" w:cstheme="majorHAnsi"/>
                <w:b/>
                <w:szCs w:val="22"/>
                <w:lang w:eastAsia="sk-SK"/>
              </w:rPr>
              <w:t>rozdiel</w:t>
            </w:r>
          </w:p>
        </w:tc>
        <w:tc>
          <w:tcPr>
            <w:tcW w:w="1223" w:type="dxa"/>
            <w:shd w:val="clear" w:color="auto" w:fill="auto"/>
            <w:vAlign w:val="center"/>
            <w:hideMark/>
          </w:tcPr>
          <w:p w14:paraId="43CBBE7A" w14:textId="77777777" w:rsidR="008C306C" w:rsidRPr="0053555E" w:rsidRDefault="008C306C" w:rsidP="00324438">
            <w:pPr>
              <w:tabs>
                <w:tab w:val="left" w:pos="9356"/>
              </w:tabs>
              <w:jc w:val="center"/>
              <w:rPr>
                <w:rFonts w:asciiTheme="majorHAnsi" w:eastAsia="Times New Roman" w:hAnsiTheme="majorHAnsi" w:cstheme="majorHAnsi"/>
                <w:b/>
                <w:szCs w:val="22"/>
                <w:lang w:eastAsia="sk-SK"/>
              </w:rPr>
            </w:pPr>
            <w:r w:rsidRPr="0053555E">
              <w:rPr>
                <w:rFonts w:asciiTheme="majorHAnsi" w:eastAsia="Times New Roman" w:hAnsiTheme="majorHAnsi" w:cstheme="majorHAnsi"/>
                <w:b/>
                <w:szCs w:val="22"/>
                <w:lang w:eastAsia="sk-SK"/>
              </w:rPr>
              <w:t>rozdiel v %</w:t>
            </w:r>
          </w:p>
        </w:tc>
      </w:tr>
      <w:tr w:rsidR="007E2F70" w:rsidRPr="0053555E" w14:paraId="2306174F" w14:textId="77777777" w:rsidTr="001E6AE6">
        <w:trPr>
          <w:trHeight w:val="20"/>
        </w:trPr>
        <w:tc>
          <w:tcPr>
            <w:tcW w:w="1222" w:type="dxa"/>
            <w:shd w:val="clear" w:color="auto" w:fill="auto"/>
            <w:vAlign w:val="center"/>
            <w:hideMark/>
          </w:tcPr>
          <w:p w14:paraId="7CE03C3C" w14:textId="77777777" w:rsidR="007E2F70" w:rsidRPr="0053555E" w:rsidRDefault="007E2F70" w:rsidP="007E2F70">
            <w:pPr>
              <w:tabs>
                <w:tab w:val="left" w:pos="9356"/>
              </w:tabs>
              <w:jc w:val="both"/>
              <w:rPr>
                <w:rFonts w:asciiTheme="majorHAnsi" w:eastAsia="Times New Roman" w:hAnsiTheme="majorHAnsi" w:cstheme="majorHAnsi"/>
                <w:b/>
                <w:szCs w:val="22"/>
                <w:lang w:eastAsia="sk-SK"/>
              </w:rPr>
            </w:pPr>
            <w:r w:rsidRPr="0053555E">
              <w:rPr>
                <w:rFonts w:asciiTheme="majorHAnsi" w:eastAsia="Times New Roman" w:hAnsiTheme="majorHAnsi" w:cstheme="majorHAnsi"/>
                <w:b/>
                <w:szCs w:val="22"/>
                <w:lang w:eastAsia="sk-SK"/>
              </w:rPr>
              <w:t>I. stupeň</w:t>
            </w:r>
          </w:p>
        </w:tc>
        <w:tc>
          <w:tcPr>
            <w:tcW w:w="1222" w:type="dxa"/>
            <w:shd w:val="clear" w:color="000000" w:fill="FFFFFF"/>
            <w:noWrap/>
            <w:vAlign w:val="center"/>
            <w:hideMark/>
          </w:tcPr>
          <w:p w14:paraId="4173CC19" w14:textId="22784D9A" w:rsidR="007E2F70" w:rsidRPr="0053555E" w:rsidRDefault="007E2F70" w:rsidP="007E2F70">
            <w:pPr>
              <w:jc w:val="center"/>
              <w:rPr>
                <w:rFonts w:asciiTheme="majorHAnsi" w:hAnsiTheme="majorHAnsi" w:cstheme="majorHAnsi"/>
                <w:szCs w:val="20"/>
              </w:rPr>
            </w:pPr>
            <w:r w:rsidRPr="0053555E">
              <w:rPr>
                <w:rFonts w:cs="Calibri"/>
                <w:szCs w:val="20"/>
              </w:rPr>
              <w:t>2 797</w:t>
            </w:r>
          </w:p>
        </w:tc>
        <w:tc>
          <w:tcPr>
            <w:tcW w:w="1222" w:type="dxa"/>
            <w:shd w:val="clear" w:color="000000" w:fill="FFFFFF"/>
            <w:noWrap/>
            <w:vAlign w:val="center"/>
            <w:hideMark/>
          </w:tcPr>
          <w:p w14:paraId="1269B021" w14:textId="1DE1FF28" w:rsidR="007E2F70" w:rsidRPr="0053555E" w:rsidRDefault="007E2F70" w:rsidP="007E2F70">
            <w:pPr>
              <w:jc w:val="center"/>
              <w:rPr>
                <w:rFonts w:asciiTheme="majorHAnsi" w:hAnsiTheme="majorHAnsi" w:cstheme="majorHAnsi"/>
                <w:szCs w:val="20"/>
              </w:rPr>
            </w:pPr>
            <w:r w:rsidRPr="0053555E">
              <w:rPr>
                <w:rFonts w:cs="Calibri"/>
                <w:szCs w:val="20"/>
              </w:rPr>
              <w:t>3 491</w:t>
            </w:r>
          </w:p>
        </w:tc>
        <w:tc>
          <w:tcPr>
            <w:tcW w:w="1222" w:type="dxa"/>
            <w:shd w:val="clear" w:color="auto" w:fill="auto"/>
            <w:noWrap/>
            <w:vAlign w:val="center"/>
            <w:hideMark/>
          </w:tcPr>
          <w:p w14:paraId="7B969BAE" w14:textId="47B30281" w:rsidR="007E2F70" w:rsidRPr="0053555E" w:rsidRDefault="007E2F70" w:rsidP="007E2F70">
            <w:pPr>
              <w:jc w:val="center"/>
              <w:rPr>
                <w:rFonts w:asciiTheme="majorHAnsi" w:hAnsiTheme="majorHAnsi" w:cstheme="majorHAnsi"/>
                <w:szCs w:val="20"/>
              </w:rPr>
            </w:pPr>
            <w:r w:rsidRPr="0053555E">
              <w:rPr>
                <w:rFonts w:cs="Calibri"/>
                <w:szCs w:val="20"/>
              </w:rPr>
              <w:t>694</w:t>
            </w:r>
          </w:p>
        </w:tc>
        <w:tc>
          <w:tcPr>
            <w:tcW w:w="1223" w:type="dxa"/>
            <w:shd w:val="clear" w:color="auto" w:fill="EEECE1" w:themeFill="background2"/>
            <w:noWrap/>
            <w:vAlign w:val="center"/>
            <w:hideMark/>
          </w:tcPr>
          <w:p w14:paraId="5BDF5D2B" w14:textId="5315B432" w:rsidR="007E2F70" w:rsidRPr="0053555E" w:rsidRDefault="007E2F70" w:rsidP="007E2F70">
            <w:pPr>
              <w:jc w:val="center"/>
              <w:rPr>
                <w:rFonts w:asciiTheme="majorHAnsi" w:hAnsiTheme="majorHAnsi" w:cstheme="majorHAnsi"/>
                <w:szCs w:val="20"/>
              </w:rPr>
            </w:pPr>
            <w:r w:rsidRPr="0053555E">
              <w:rPr>
                <w:rFonts w:cs="Calibri"/>
                <w:szCs w:val="20"/>
              </w:rPr>
              <w:t>24,81</w:t>
            </w:r>
            <w:r w:rsidR="000474FE">
              <w:rPr>
                <w:rFonts w:cs="Calibri"/>
                <w:szCs w:val="20"/>
              </w:rPr>
              <w:t xml:space="preserve"> </w:t>
            </w:r>
            <w:r w:rsidRPr="0053555E">
              <w:rPr>
                <w:rFonts w:cs="Calibri"/>
                <w:szCs w:val="20"/>
              </w:rPr>
              <w:t>%</w:t>
            </w:r>
          </w:p>
        </w:tc>
      </w:tr>
      <w:tr w:rsidR="007E2F70" w:rsidRPr="0053555E" w14:paraId="766D6DA3" w14:textId="77777777" w:rsidTr="00A61B21">
        <w:trPr>
          <w:trHeight w:val="20"/>
        </w:trPr>
        <w:tc>
          <w:tcPr>
            <w:tcW w:w="1222" w:type="dxa"/>
            <w:tcBorders>
              <w:bottom w:val="single" w:sz="4" w:space="0" w:color="auto"/>
            </w:tcBorders>
            <w:shd w:val="clear" w:color="auto" w:fill="auto"/>
            <w:vAlign w:val="center"/>
            <w:hideMark/>
          </w:tcPr>
          <w:p w14:paraId="3BB8FFA0" w14:textId="77777777" w:rsidR="007E2F70" w:rsidRPr="0053555E" w:rsidRDefault="007E2F70" w:rsidP="007E2F70">
            <w:pPr>
              <w:tabs>
                <w:tab w:val="left" w:pos="9356"/>
              </w:tabs>
              <w:jc w:val="both"/>
              <w:rPr>
                <w:rFonts w:asciiTheme="majorHAnsi" w:eastAsia="Times New Roman" w:hAnsiTheme="majorHAnsi" w:cstheme="majorHAnsi"/>
                <w:b/>
                <w:szCs w:val="22"/>
                <w:lang w:eastAsia="sk-SK"/>
              </w:rPr>
            </w:pPr>
            <w:r w:rsidRPr="0053555E">
              <w:rPr>
                <w:rFonts w:asciiTheme="majorHAnsi" w:eastAsia="Times New Roman" w:hAnsiTheme="majorHAnsi" w:cstheme="majorHAnsi"/>
                <w:b/>
                <w:szCs w:val="22"/>
                <w:lang w:eastAsia="sk-SK"/>
              </w:rPr>
              <w:t>II. stupeň</w:t>
            </w:r>
          </w:p>
        </w:tc>
        <w:tc>
          <w:tcPr>
            <w:tcW w:w="1222" w:type="dxa"/>
            <w:tcBorders>
              <w:bottom w:val="single" w:sz="4" w:space="0" w:color="auto"/>
            </w:tcBorders>
            <w:shd w:val="clear" w:color="000000" w:fill="FFFFFF"/>
            <w:noWrap/>
            <w:vAlign w:val="center"/>
            <w:hideMark/>
          </w:tcPr>
          <w:p w14:paraId="4333735E" w14:textId="21DCD68A" w:rsidR="007E2F70" w:rsidRPr="0053555E" w:rsidRDefault="007E2F70" w:rsidP="007E2F70">
            <w:pPr>
              <w:jc w:val="center"/>
              <w:rPr>
                <w:rFonts w:asciiTheme="majorHAnsi" w:hAnsiTheme="majorHAnsi" w:cstheme="majorHAnsi"/>
                <w:szCs w:val="20"/>
              </w:rPr>
            </w:pPr>
            <w:r w:rsidRPr="0053555E">
              <w:rPr>
                <w:rFonts w:cs="Calibri"/>
                <w:szCs w:val="20"/>
              </w:rPr>
              <w:t>1 567</w:t>
            </w:r>
          </w:p>
        </w:tc>
        <w:tc>
          <w:tcPr>
            <w:tcW w:w="1222" w:type="dxa"/>
            <w:tcBorders>
              <w:bottom w:val="single" w:sz="4" w:space="0" w:color="auto"/>
            </w:tcBorders>
            <w:shd w:val="clear" w:color="000000" w:fill="FFFFFF"/>
            <w:noWrap/>
            <w:vAlign w:val="center"/>
            <w:hideMark/>
          </w:tcPr>
          <w:p w14:paraId="27DDB99D" w14:textId="351AD4B3" w:rsidR="007E2F70" w:rsidRPr="0053555E" w:rsidRDefault="007E2F70" w:rsidP="007E2F70">
            <w:pPr>
              <w:jc w:val="center"/>
              <w:rPr>
                <w:rFonts w:asciiTheme="majorHAnsi" w:hAnsiTheme="majorHAnsi" w:cstheme="majorHAnsi"/>
                <w:szCs w:val="20"/>
              </w:rPr>
            </w:pPr>
            <w:r w:rsidRPr="0053555E">
              <w:rPr>
                <w:rFonts w:cs="Calibri"/>
                <w:szCs w:val="20"/>
              </w:rPr>
              <w:t>1 510</w:t>
            </w:r>
          </w:p>
        </w:tc>
        <w:tc>
          <w:tcPr>
            <w:tcW w:w="1222" w:type="dxa"/>
            <w:tcBorders>
              <w:bottom w:val="single" w:sz="4" w:space="0" w:color="auto"/>
            </w:tcBorders>
            <w:shd w:val="clear" w:color="auto" w:fill="auto"/>
            <w:noWrap/>
            <w:vAlign w:val="center"/>
            <w:hideMark/>
          </w:tcPr>
          <w:p w14:paraId="0026750F" w14:textId="058C4AAA" w:rsidR="007E2F70" w:rsidRPr="0053555E" w:rsidRDefault="007E2F70" w:rsidP="007E2F70">
            <w:pPr>
              <w:jc w:val="center"/>
              <w:rPr>
                <w:rFonts w:asciiTheme="majorHAnsi" w:hAnsiTheme="majorHAnsi" w:cstheme="majorHAnsi"/>
                <w:szCs w:val="20"/>
              </w:rPr>
            </w:pPr>
            <w:r w:rsidRPr="0053555E">
              <w:rPr>
                <w:rFonts w:cs="Calibri"/>
                <w:szCs w:val="20"/>
              </w:rPr>
              <w:t>-57</w:t>
            </w:r>
          </w:p>
        </w:tc>
        <w:tc>
          <w:tcPr>
            <w:tcW w:w="1223" w:type="dxa"/>
            <w:tcBorders>
              <w:bottom w:val="single" w:sz="4" w:space="0" w:color="auto"/>
            </w:tcBorders>
            <w:shd w:val="clear" w:color="auto" w:fill="EEECE1" w:themeFill="background2"/>
            <w:noWrap/>
            <w:vAlign w:val="center"/>
            <w:hideMark/>
          </w:tcPr>
          <w:p w14:paraId="5E657CB1" w14:textId="02AEC659" w:rsidR="007E2F70" w:rsidRPr="0053555E" w:rsidRDefault="007E2F70" w:rsidP="007E2F70">
            <w:pPr>
              <w:jc w:val="center"/>
              <w:rPr>
                <w:rFonts w:asciiTheme="majorHAnsi" w:hAnsiTheme="majorHAnsi" w:cstheme="majorHAnsi"/>
                <w:szCs w:val="20"/>
              </w:rPr>
            </w:pPr>
            <w:r w:rsidRPr="0053555E">
              <w:rPr>
                <w:rFonts w:cs="Calibri"/>
                <w:szCs w:val="20"/>
              </w:rPr>
              <w:t>-3,64</w:t>
            </w:r>
            <w:r w:rsidR="000474FE">
              <w:rPr>
                <w:rFonts w:cs="Calibri"/>
                <w:szCs w:val="20"/>
              </w:rPr>
              <w:t xml:space="preserve"> </w:t>
            </w:r>
            <w:r w:rsidRPr="0053555E">
              <w:rPr>
                <w:rFonts w:cs="Calibri"/>
                <w:szCs w:val="20"/>
              </w:rPr>
              <w:t>%</w:t>
            </w:r>
          </w:p>
        </w:tc>
      </w:tr>
      <w:tr w:rsidR="007E2F70" w:rsidRPr="0053555E" w14:paraId="7AA9977E" w14:textId="77777777" w:rsidTr="00A61B21">
        <w:trPr>
          <w:trHeight w:val="20"/>
        </w:trPr>
        <w:tc>
          <w:tcPr>
            <w:tcW w:w="1222" w:type="dxa"/>
            <w:tcBorders>
              <w:bottom w:val="single" w:sz="4" w:space="0" w:color="auto"/>
            </w:tcBorders>
            <w:shd w:val="clear" w:color="auto" w:fill="auto"/>
            <w:vAlign w:val="center"/>
            <w:hideMark/>
          </w:tcPr>
          <w:p w14:paraId="5F13FE8C" w14:textId="77777777" w:rsidR="007E2F70" w:rsidRPr="0053555E" w:rsidRDefault="007E2F70" w:rsidP="007E2F70">
            <w:pPr>
              <w:tabs>
                <w:tab w:val="left" w:pos="9356"/>
              </w:tabs>
              <w:jc w:val="both"/>
              <w:rPr>
                <w:rFonts w:asciiTheme="majorHAnsi" w:eastAsia="Times New Roman" w:hAnsiTheme="majorHAnsi" w:cstheme="majorHAnsi"/>
                <w:b/>
                <w:szCs w:val="22"/>
                <w:lang w:eastAsia="sk-SK"/>
              </w:rPr>
            </w:pPr>
            <w:r w:rsidRPr="0053555E">
              <w:rPr>
                <w:rFonts w:asciiTheme="majorHAnsi" w:eastAsia="Times New Roman" w:hAnsiTheme="majorHAnsi" w:cstheme="majorHAnsi"/>
                <w:b/>
                <w:szCs w:val="22"/>
                <w:lang w:eastAsia="sk-SK"/>
              </w:rPr>
              <w:t>III. stupeň</w:t>
            </w:r>
          </w:p>
        </w:tc>
        <w:tc>
          <w:tcPr>
            <w:tcW w:w="1222" w:type="dxa"/>
            <w:tcBorders>
              <w:bottom w:val="single" w:sz="4" w:space="0" w:color="auto"/>
            </w:tcBorders>
            <w:shd w:val="clear" w:color="000000" w:fill="FFFFFF"/>
            <w:noWrap/>
            <w:vAlign w:val="center"/>
            <w:hideMark/>
          </w:tcPr>
          <w:p w14:paraId="1D193646" w14:textId="289029B1" w:rsidR="007E2F70" w:rsidRPr="0053555E" w:rsidRDefault="007E2F70" w:rsidP="007E2F70">
            <w:pPr>
              <w:jc w:val="center"/>
              <w:rPr>
                <w:rFonts w:asciiTheme="majorHAnsi" w:hAnsiTheme="majorHAnsi" w:cstheme="majorHAnsi"/>
                <w:szCs w:val="20"/>
              </w:rPr>
            </w:pPr>
            <w:r w:rsidRPr="0053555E">
              <w:rPr>
                <w:rFonts w:cs="Calibri"/>
                <w:szCs w:val="20"/>
              </w:rPr>
              <w:t>208</w:t>
            </w:r>
          </w:p>
        </w:tc>
        <w:tc>
          <w:tcPr>
            <w:tcW w:w="1222" w:type="dxa"/>
            <w:tcBorders>
              <w:bottom w:val="single" w:sz="4" w:space="0" w:color="auto"/>
            </w:tcBorders>
            <w:shd w:val="clear" w:color="000000" w:fill="FFFFFF"/>
            <w:noWrap/>
            <w:vAlign w:val="center"/>
            <w:hideMark/>
          </w:tcPr>
          <w:p w14:paraId="6B43E71B" w14:textId="2B60B26E" w:rsidR="007E2F70" w:rsidRPr="0053555E" w:rsidRDefault="007E2F70" w:rsidP="007E2F70">
            <w:pPr>
              <w:jc w:val="center"/>
              <w:rPr>
                <w:rFonts w:asciiTheme="majorHAnsi" w:hAnsiTheme="majorHAnsi" w:cstheme="majorHAnsi"/>
                <w:szCs w:val="20"/>
              </w:rPr>
            </w:pPr>
            <w:r w:rsidRPr="0053555E">
              <w:rPr>
                <w:rFonts w:cs="Calibri"/>
                <w:szCs w:val="20"/>
              </w:rPr>
              <w:t>166</w:t>
            </w:r>
          </w:p>
        </w:tc>
        <w:tc>
          <w:tcPr>
            <w:tcW w:w="1222" w:type="dxa"/>
            <w:tcBorders>
              <w:bottom w:val="single" w:sz="4" w:space="0" w:color="auto"/>
            </w:tcBorders>
            <w:shd w:val="clear" w:color="auto" w:fill="auto"/>
            <w:noWrap/>
            <w:vAlign w:val="center"/>
            <w:hideMark/>
          </w:tcPr>
          <w:p w14:paraId="2705E22F" w14:textId="0C8B5265" w:rsidR="007E2F70" w:rsidRPr="0053555E" w:rsidRDefault="007E2F70" w:rsidP="007E2F70">
            <w:pPr>
              <w:jc w:val="center"/>
              <w:rPr>
                <w:rFonts w:asciiTheme="majorHAnsi" w:hAnsiTheme="majorHAnsi" w:cstheme="majorHAnsi"/>
                <w:szCs w:val="20"/>
              </w:rPr>
            </w:pPr>
            <w:r w:rsidRPr="0053555E">
              <w:rPr>
                <w:rFonts w:cs="Calibri"/>
                <w:szCs w:val="20"/>
              </w:rPr>
              <w:t>-42</w:t>
            </w:r>
          </w:p>
        </w:tc>
        <w:tc>
          <w:tcPr>
            <w:tcW w:w="1223" w:type="dxa"/>
            <w:tcBorders>
              <w:bottom w:val="single" w:sz="4" w:space="0" w:color="auto"/>
            </w:tcBorders>
            <w:shd w:val="clear" w:color="auto" w:fill="EEECE1" w:themeFill="background2"/>
            <w:noWrap/>
            <w:vAlign w:val="center"/>
            <w:hideMark/>
          </w:tcPr>
          <w:p w14:paraId="27C2E3CA" w14:textId="05FBF231" w:rsidR="007E2F70" w:rsidRPr="0053555E" w:rsidRDefault="007E2F70" w:rsidP="007E2F70">
            <w:pPr>
              <w:jc w:val="center"/>
              <w:rPr>
                <w:rFonts w:asciiTheme="majorHAnsi" w:hAnsiTheme="majorHAnsi" w:cstheme="majorHAnsi"/>
                <w:szCs w:val="20"/>
              </w:rPr>
            </w:pPr>
            <w:r w:rsidRPr="0053555E">
              <w:rPr>
                <w:rFonts w:cs="Calibri"/>
                <w:szCs w:val="20"/>
              </w:rPr>
              <w:t>-20,19</w:t>
            </w:r>
            <w:r w:rsidR="000474FE">
              <w:rPr>
                <w:rFonts w:cs="Calibri"/>
                <w:szCs w:val="20"/>
              </w:rPr>
              <w:t xml:space="preserve"> </w:t>
            </w:r>
            <w:r w:rsidRPr="0053555E">
              <w:rPr>
                <w:rFonts w:cs="Calibri"/>
                <w:szCs w:val="20"/>
              </w:rPr>
              <w:t>%</w:t>
            </w:r>
          </w:p>
        </w:tc>
      </w:tr>
    </w:tbl>
    <w:p w14:paraId="667A29A3" w14:textId="77777777" w:rsidR="00AB4E85" w:rsidRDefault="00AB4E85" w:rsidP="00373652">
      <w:pPr>
        <w:tabs>
          <w:tab w:val="left" w:pos="9356"/>
        </w:tabs>
        <w:spacing w:after="120"/>
        <w:jc w:val="both"/>
        <w:rPr>
          <w:rFonts w:asciiTheme="majorHAnsi" w:hAnsiTheme="majorHAnsi" w:cstheme="majorHAnsi"/>
          <w:shd w:val="clear" w:color="auto" w:fill="FFFFFF"/>
        </w:rPr>
      </w:pPr>
    </w:p>
    <w:p w14:paraId="6DE8E607" w14:textId="50D069DD" w:rsidR="001C0C45" w:rsidRPr="0053555E" w:rsidRDefault="00C01F29" w:rsidP="00373652">
      <w:pPr>
        <w:tabs>
          <w:tab w:val="left" w:pos="9356"/>
        </w:tabs>
        <w:spacing w:after="120"/>
        <w:jc w:val="both"/>
        <w:rPr>
          <w:rFonts w:asciiTheme="majorHAnsi" w:hAnsiTheme="majorHAnsi" w:cstheme="majorHAnsi"/>
        </w:rPr>
      </w:pPr>
      <w:r w:rsidRPr="0053555E">
        <w:rPr>
          <w:rFonts w:asciiTheme="majorHAnsi" w:hAnsiTheme="majorHAnsi" w:cstheme="majorHAnsi"/>
        </w:rPr>
        <w:t xml:space="preserve">Vývoj </w:t>
      </w:r>
      <w:r w:rsidR="003135B5" w:rsidRPr="0053555E">
        <w:rPr>
          <w:rFonts w:asciiTheme="majorHAnsi" w:hAnsiTheme="majorHAnsi" w:cstheme="majorHAnsi"/>
        </w:rPr>
        <w:t xml:space="preserve">počtu </w:t>
      </w:r>
      <w:r w:rsidR="003925E2" w:rsidRPr="0053555E">
        <w:rPr>
          <w:rFonts w:asciiTheme="majorHAnsi" w:hAnsiTheme="majorHAnsi" w:cstheme="majorHAnsi"/>
        </w:rPr>
        <w:t xml:space="preserve">prijatých uchádzačov a z toho </w:t>
      </w:r>
      <w:r w:rsidR="003135B5" w:rsidRPr="0053555E">
        <w:rPr>
          <w:rFonts w:asciiTheme="majorHAnsi" w:hAnsiTheme="majorHAnsi" w:cstheme="majorHAnsi"/>
        </w:rPr>
        <w:t xml:space="preserve">zapísaných študentov na </w:t>
      </w:r>
      <w:r w:rsidR="003D65BD" w:rsidRPr="0053555E">
        <w:rPr>
          <w:rFonts w:asciiTheme="majorHAnsi" w:hAnsiTheme="majorHAnsi" w:cstheme="majorHAnsi"/>
        </w:rPr>
        <w:t>prvý</w:t>
      </w:r>
      <w:r w:rsidR="003135B5" w:rsidRPr="0053555E">
        <w:rPr>
          <w:rFonts w:asciiTheme="majorHAnsi" w:hAnsiTheme="majorHAnsi" w:cstheme="majorHAnsi"/>
        </w:rPr>
        <w:t xml:space="preserve"> stupeň </w:t>
      </w:r>
      <w:r w:rsidR="00ED3AB2" w:rsidRPr="0053555E">
        <w:rPr>
          <w:rFonts w:asciiTheme="majorHAnsi" w:hAnsiTheme="majorHAnsi" w:cstheme="majorHAnsi"/>
        </w:rPr>
        <w:t>dennej form</w:t>
      </w:r>
      <w:r w:rsidRPr="0053555E">
        <w:rPr>
          <w:rFonts w:asciiTheme="majorHAnsi" w:hAnsiTheme="majorHAnsi" w:cstheme="majorHAnsi"/>
        </w:rPr>
        <w:t>y</w:t>
      </w:r>
      <w:r w:rsidR="00ED3AB2" w:rsidRPr="0053555E">
        <w:rPr>
          <w:rFonts w:asciiTheme="majorHAnsi" w:hAnsiTheme="majorHAnsi" w:cstheme="majorHAnsi"/>
        </w:rPr>
        <w:t xml:space="preserve"> štúdia </w:t>
      </w:r>
      <w:r w:rsidR="008D347A" w:rsidRPr="0053555E">
        <w:rPr>
          <w:rFonts w:asciiTheme="majorHAnsi" w:hAnsiTheme="majorHAnsi" w:cstheme="majorHAnsi"/>
        </w:rPr>
        <w:t>na </w:t>
      </w:r>
      <w:r w:rsidR="003135B5" w:rsidRPr="0053555E">
        <w:rPr>
          <w:rFonts w:asciiTheme="majorHAnsi" w:hAnsiTheme="majorHAnsi" w:cstheme="majorHAnsi"/>
        </w:rPr>
        <w:t xml:space="preserve">vybraných vysokých školách </w:t>
      </w:r>
      <w:r w:rsidR="00845B19" w:rsidRPr="0053555E">
        <w:rPr>
          <w:rFonts w:asciiTheme="majorHAnsi" w:hAnsiTheme="majorHAnsi" w:cstheme="majorHAnsi"/>
        </w:rPr>
        <w:t>v Slovenskej republike</w:t>
      </w:r>
      <w:r w:rsidRPr="0053555E">
        <w:rPr>
          <w:rFonts w:asciiTheme="majorHAnsi" w:hAnsiTheme="majorHAnsi" w:cstheme="majorHAnsi"/>
        </w:rPr>
        <w:t xml:space="preserve"> </w:t>
      </w:r>
      <w:r w:rsidR="00682CB1" w:rsidRPr="0053555E">
        <w:rPr>
          <w:rFonts w:asciiTheme="majorHAnsi" w:hAnsiTheme="majorHAnsi" w:cstheme="majorHAnsi"/>
        </w:rPr>
        <w:t>uvádza</w:t>
      </w:r>
      <w:r w:rsidR="00FA7FBE" w:rsidRPr="0053555E">
        <w:rPr>
          <w:rFonts w:asciiTheme="majorHAnsi" w:hAnsiTheme="majorHAnsi" w:cstheme="majorHAnsi"/>
        </w:rPr>
        <w:t> </w:t>
      </w:r>
      <w:r w:rsidR="00860CAB" w:rsidRPr="00AB4E85">
        <w:rPr>
          <w:rFonts w:asciiTheme="majorHAnsi" w:hAnsiTheme="majorHAnsi" w:cstheme="majorHAnsi"/>
        </w:rPr>
        <w:fldChar w:fldCharType="begin"/>
      </w:r>
      <w:r w:rsidR="00860CAB" w:rsidRPr="00AB4E85">
        <w:rPr>
          <w:rFonts w:asciiTheme="majorHAnsi" w:hAnsiTheme="majorHAnsi" w:cstheme="majorHAnsi"/>
        </w:rPr>
        <w:instrText xml:space="preserve"> REF _Ref31718240 \h </w:instrText>
      </w:r>
      <w:r w:rsidR="00CD1141" w:rsidRPr="00AB4E85">
        <w:rPr>
          <w:rFonts w:asciiTheme="majorHAnsi" w:hAnsiTheme="majorHAnsi" w:cstheme="majorHAnsi"/>
        </w:rPr>
        <w:instrText xml:space="preserve"> \* MERGEFORMAT </w:instrText>
      </w:r>
      <w:r w:rsidR="00860CAB" w:rsidRPr="00AB4E85">
        <w:rPr>
          <w:rFonts w:asciiTheme="majorHAnsi" w:hAnsiTheme="majorHAnsi" w:cstheme="majorHAnsi"/>
        </w:rPr>
      </w:r>
      <w:r w:rsidR="00860CAB" w:rsidRPr="00AB4E85">
        <w:rPr>
          <w:rFonts w:asciiTheme="majorHAnsi" w:hAnsiTheme="majorHAnsi" w:cstheme="majorHAnsi"/>
        </w:rPr>
        <w:fldChar w:fldCharType="separate"/>
      </w:r>
      <w:r w:rsidR="00EE1B59" w:rsidRPr="00AB4E85">
        <w:rPr>
          <w:rFonts w:asciiTheme="majorHAnsi" w:hAnsiTheme="majorHAnsi" w:cstheme="majorHAnsi"/>
        </w:rPr>
        <w:t>Tab. č. 32</w:t>
      </w:r>
      <w:r w:rsidR="00860CAB" w:rsidRPr="00AB4E85">
        <w:rPr>
          <w:rFonts w:asciiTheme="majorHAnsi" w:hAnsiTheme="majorHAnsi" w:cstheme="majorHAnsi"/>
        </w:rPr>
        <w:fldChar w:fldCharType="end"/>
      </w:r>
      <w:r w:rsidR="002D3131" w:rsidRPr="00AB4E85">
        <w:rPr>
          <w:rFonts w:asciiTheme="majorHAnsi" w:hAnsiTheme="majorHAnsi" w:cstheme="majorHAnsi"/>
        </w:rPr>
        <w:t xml:space="preserve"> </w:t>
      </w:r>
      <w:r w:rsidR="00FA7FBE" w:rsidRPr="00AB4E85">
        <w:rPr>
          <w:rFonts w:asciiTheme="majorHAnsi" w:hAnsiTheme="majorHAnsi" w:cstheme="majorHAnsi"/>
        </w:rPr>
        <w:t xml:space="preserve">a v </w:t>
      </w:r>
      <w:r w:rsidR="005B6294" w:rsidRPr="00AB4E85">
        <w:rPr>
          <w:rFonts w:asciiTheme="majorHAnsi" w:hAnsiTheme="majorHAnsi" w:cstheme="majorHAnsi"/>
        </w:rPr>
        <w:fldChar w:fldCharType="begin"/>
      </w:r>
      <w:r w:rsidR="005B6294" w:rsidRPr="00AB4E85">
        <w:rPr>
          <w:rFonts w:asciiTheme="majorHAnsi" w:hAnsiTheme="majorHAnsi" w:cstheme="majorHAnsi"/>
        </w:rPr>
        <w:instrText xml:space="preserve"> REF _Ref474780316 \h </w:instrText>
      </w:r>
      <w:r w:rsidR="00B57263" w:rsidRPr="00AB4E85">
        <w:rPr>
          <w:rFonts w:asciiTheme="majorHAnsi" w:hAnsiTheme="majorHAnsi" w:cstheme="majorHAnsi"/>
        </w:rPr>
        <w:instrText xml:space="preserve"> \* MERGEFORMAT </w:instrText>
      </w:r>
      <w:r w:rsidR="005B6294" w:rsidRPr="00AB4E85">
        <w:rPr>
          <w:rFonts w:asciiTheme="majorHAnsi" w:hAnsiTheme="majorHAnsi" w:cstheme="majorHAnsi"/>
        </w:rPr>
      </w:r>
      <w:r w:rsidR="005B6294" w:rsidRPr="00AB4E85">
        <w:rPr>
          <w:rFonts w:asciiTheme="majorHAnsi" w:hAnsiTheme="majorHAnsi" w:cstheme="majorHAnsi"/>
        </w:rPr>
        <w:fldChar w:fldCharType="separate"/>
      </w:r>
      <w:r w:rsidR="00EE1B59" w:rsidRPr="00AB4E85">
        <w:rPr>
          <w:rFonts w:asciiTheme="majorHAnsi" w:hAnsiTheme="majorHAnsi" w:cstheme="majorHAnsi"/>
        </w:rPr>
        <w:t>Graf č. 15</w:t>
      </w:r>
      <w:r w:rsidR="005B6294" w:rsidRPr="00AB4E85">
        <w:rPr>
          <w:rFonts w:asciiTheme="majorHAnsi" w:hAnsiTheme="majorHAnsi" w:cstheme="majorHAnsi"/>
        </w:rPr>
        <w:fldChar w:fldCharType="end"/>
      </w:r>
      <w:r w:rsidR="003135B5" w:rsidRPr="0053555E">
        <w:rPr>
          <w:rFonts w:asciiTheme="majorHAnsi" w:hAnsiTheme="majorHAnsi" w:cstheme="majorHAnsi"/>
        </w:rPr>
        <w:t>.</w:t>
      </w:r>
      <w:r w:rsidR="00933288" w:rsidRPr="0053555E">
        <w:rPr>
          <w:rFonts w:asciiTheme="majorHAnsi" w:hAnsiTheme="majorHAnsi" w:cstheme="majorHAnsi"/>
        </w:rPr>
        <w:t xml:space="preserve"> </w:t>
      </w:r>
    </w:p>
    <w:p w14:paraId="1ACD9966" w14:textId="0D939375" w:rsidR="00730F9D" w:rsidRPr="0053555E" w:rsidRDefault="00860CAB" w:rsidP="000E3322">
      <w:pPr>
        <w:pStyle w:val="Popis"/>
      </w:pPr>
      <w:bookmarkStart w:id="131" w:name="_Ref31718240"/>
      <w:bookmarkStart w:id="132" w:name="_Toc127593295"/>
      <w:r w:rsidRPr="0053555E">
        <w:lastRenderedPageBreak/>
        <w:t xml:space="preserve">Tab. č. </w:t>
      </w:r>
      <w:r w:rsidR="007B5953">
        <w:fldChar w:fldCharType="begin"/>
      </w:r>
      <w:r w:rsidR="007B5953">
        <w:instrText xml:space="preserve"> SEQ Tab._č. \* ARABIC </w:instrText>
      </w:r>
      <w:r w:rsidR="007B5953">
        <w:fldChar w:fldCharType="separate"/>
      </w:r>
      <w:r w:rsidR="00EE1B59">
        <w:rPr>
          <w:noProof/>
        </w:rPr>
        <w:t>32</w:t>
      </w:r>
      <w:r w:rsidR="007B5953">
        <w:rPr>
          <w:noProof/>
        </w:rPr>
        <w:fldChar w:fldCharType="end"/>
      </w:r>
      <w:bookmarkEnd w:id="131"/>
      <w:r w:rsidRPr="0053555E">
        <w:t>:</w:t>
      </w:r>
      <w:r w:rsidR="005E66AF" w:rsidRPr="0053555E">
        <w:t xml:space="preserve"> </w:t>
      </w:r>
      <w:r w:rsidR="00A004DC" w:rsidRPr="0053555E">
        <w:t>Vývoj</w:t>
      </w:r>
      <w:r w:rsidR="005E66AF" w:rsidRPr="0053555E">
        <w:t xml:space="preserve"> prijatých a zapísaných na prvom stupni dennej form</w:t>
      </w:r>
      <w:r w:rsidR="00A004DC" w:rsidRPr="0053555E">
        <w:t>y</w:t>
      </w:r>
      <w:r w:rsidR="005E66AF" w:rsidRPr="0053555E">
        <w:t xml:space="preserve"> štúdia na vybraných vysokých školách v Slovenskej republike za </w:t>
      </w:r>
      <w:r w:rsidR="00F721CB" w:rsidRPr="0053555E">
        <w:t xml:space="preserve">ostatných </w:t>
      </w:r>
      <w:r w:rsidR="005E66AF" w:rsidRPr="0053555E">
        <w:t xml:space="preserve">päť </w:t>
      </w:r>
      <w:r w:rsidR="00F721CB" w:rsidRPr="0053555E">
        <w:t xml:space="preserve">akademických </w:t>
      </w:r>
      <w:r w:rsidR="005E66AF" w:rsidRPr="0053555E">
        <w:t>rokov</w:t>
      </w:r>
      <w:bookmarkEnd w:id="132"/>
    </w:p>
    <w:tbl>
      <w:tblPr>
        <w:tblW w:w="9067" w:type="dxa"/>
        <w:tblLayout w:type="fixed"/>
        <w:tblCellMar>
          <w:left w:w="70" w:type="dxa"/>
          <w:right w:w="70" w:type="dxa"/>
        </w:tblCellMar>
        <w:tblLook w:val="04A0" w:firstRow="1" w:lastRow="0" w:firstColumn="1" w:lastColumn="0" w:noHBand="0" w:noVBand="1"/>
      </w:tblPr>
      <w:tblGrid>
        <w:gridCol w:w="843"/>
        <w:gridCol w:w="822"/>
        <w:gridCol w:w="822"/>
        <w:gridCol w:w="823"/>
        <w:gridCol w:w="822"/>
        <w:gridCol w:w="823"/>
        <w:gridCol w:w="822"/>
        <w:gridCol w:w="822"/>
        <w:gridCol w:w="823"/>
        <w:gridCol w:w="822"/>
        <w:gridCol w:w="823"/>
      </w:tblGrid>
      <w:tr w:rsidR="007E2F70" w:rsidRPr="0053555E" w14:paraId="2A09679D" w14:textId="77777777" w:rsidTr="00BD3C0E">
        <w:trPr>
          <w:trHeight w:val="315"/>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C82A576" w14:textId="77777777" w:rsidR="007E2F70" w:rsidRPr="0053555E" w:rsidRDefault="007E2F70" w:rsidP="007E2F70">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 </w:t>
            </w:r>
          </w:p>
        </w:tc>
        <w:tc>
          <w:tcPr>
            <w:tcW w:w="16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B127DAE" w14:textId="3A943AFE" w:rsidR="007E2F70" w:rsidRPr="0053555E" w:rsidRDefault="007E2F70" w:rsidP="007E2F70">
            <w:pPr>
              <w:jc w:val="center"/>
              <w:rPr>
                <w:rFonts w:asciiTheme="majorHAnsi" w:hAnsiTheme="majorHAnsi" w:cstheme="majorHAnsi"/>
                <w:b/>
                <w:szCs w:val="22"/>
              </w:rPr>
            </w:pPr>
            <w:r w:rsidRPr="0053555E">
              <w:rPr>
                <w:rFonts w:cs="Calibri"/>
                <w:b/>
              </w:rPr>
              <w:t>2018/2019</w:t>
            </w:r>
          </w:p>
        </w:tc>
        <w:tc>
          <w:tcPr>
            <w:tcW w:w="16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6C3F93" w14:textId="3C0192EB" w:rsidR="007E2F70" w:rsidRPr="0053555E" w:rsidRDefault="007E2F70" w:rsidP="007E2F70">
            <w:pPr>
              <w:jc w:val="center"/>
              <w:rPr>
                <w:rFonts w:asciiTheme="majorHAnsi" w:hAnsiTheme="majorHAnsi" w:cstheme="majorHAnsi"/>
                <w:b/>
                <w:szCs w:val="22"/>
              </w:rPr>
            </w:pPr>
            <w:r w:rsidRPr="0053555E">
              <w:rPr>
                <w:rFonts w:cs="Calibri"/>
                <w:b/>
              </w:rPr>
              <w:t>2019/2020</w:t>
            </w:r>
          </w:p>
        </w:tc>
        <w:tc>
          <w:tcPr>
            <w:tcW w:w="16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CFA931" w14:textId="480978C8" w:rsidR="007E2F70" w:rsidRPr="0053555E" w:rsidRDefault="007E2F70" w:rsidP="007E2F70">
            <w:pPr>
              <w:jc w:val="center"/>
              <w:rPr>
                <w:rFonts w:asciiTheme="majorHAnsi" w:hAnsiTheme="majorHAnsi" w:cstheme="majorHAnsi"/>
                <w:b/>
                <w:szCs w:val="22"/>
              </w:rPr>
            </w:pPr>
            <w:r w:rsidRPr="0053555E">
              <w:rPr>
                <w:rFonts w:cs="Calibri"/>
                <w:b/>
              </w:rPr>
              <w:t>2020/2021</w:t>
            </w:r>
          </w:p>
        </w:tc>
        <w:tc>
          <w:tcPr>
            <w:tcW w:w="16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79A9EE2" w14:textId="697420B9" w:rsidR="007E2F70" w:rsidRPr="0053555E" w:rsidRDefault="007E2F70" w:rsidP="007E2F70">
            <w:pPr>
              <w:jc w:val="center"/>
              <w:rPr>
                <w:rFonts w:asciiTheme="majorHAnsi" w:hAnsiTheme="majorHAnsi" w:cstheme="majorHAnsi"/>
                <w:b/>
                <w:szCs w:val="22"/>
              </w:rPr>
            </w:pPr>
            <w:r w:rsidRPr="0053555E">
              <w:rPr>
                <w:rFonts w:cs="Calibri"/>
                <w:b/>
              </w:rPr>
              <w:t>2021/2022</w:t>
            </w:r>
          </w:p>
        </w:tc>
        <w:tc>
          <w:tcPr>
            <w:tcW w:w="16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1CE1507" w14:textId="66D2A060" w:rsidR="007E2F70" w:rsidRPr="0053555E" w:rsidRDefault="007E2F70" w:rsidP="007E2F70">
            <w:pPr>
              <w:jc w:val="center"/>
              <w:rPr>
                <w:rFonts w:asciiTheme="majorHAnsi" w:hAnsiTheme="majorHAnsi" w:cstheme="majorHAnsi"/>
                <w:b/>
                <w:szCs w:val="22"/>
              </w:rPr>
            </w:pPr>
            <w:r w:rsidRPr="0053555E">
              <w:rPr>
                <w:rFonts w:cs="Calibri"/>
                <w:b/>
              </w:rPr>
              <w:t>2022/2023</w:t>
            </w:r>
          </w:p>
        </w:tc>
      </w:tr>
      <w:tr w:rsidR="00730F9D" w:rsidRPr="0053555E" w14:paraId="0F3D5464" w14:textId="77777777" w:rsidTr="00BD3C0E">
        <w:trPr>
          <w:trHeight w:val="315"/>
        </w:trPr>
        <w:tc>
          <w:tcPr>
            <w:tcW w:w="843" w:type="dxa"/>
            <w:vMerge/>
            <w:tcBorders>
              <w:top w:val="single" w:sz="4" w:space="0" w:color="auto"/>
              <w:left w:val="single" w:sz="4" w:space="0" w:color="auto"/>
              <w:bottom w:val="single" w:sz="4" w:space="0" w:color="000000"/>
              <w:right w:val="single" w:sz="4" w:space="0" w:color="auto"/>
            </w:tcBorders>
            <w:vAlign w:val="center"/>
            <w:hideMark/>
          </w:tcPr>
          <w:p w14:paraId="45D8C31C" w14:textId="77777777" w:rsidR="00730F9D" w:rsidRPr="0053555E" w:rsidRDefault="00730F9D" w:rsidP="00324438">
            <w:pPr>
              <w:tabs>
                <w:tab w:val="left" w:pos="9356"/>
              </w:tabs>
              <w:jc w:val="both"/>
              <w:rPr>
                <w:rFonts w:asciiTheme="majorHAnsi" w:eastAsia="Times New Roman" w:hAnsiTheme="majorHAnsi" w:cstheme="majorHAnsi"/>
                <w:sz w:val="22"/>
                <w:szCs w:val="22"/>
                <w:lang w:eastAsia="sk-SK"/>
              </w:rPr>
            </w:pPr>
          </w:p>
        </w:tc>
        <w:tc>
          <w:tcPr>
            <w:tcW w:w="822" w:type="dxa"/>
            <w:tcBorders>
              <w:top w:val="nil"/>
              <w:left w:val="nil"/>
              <w:bottom w:val="single" w:sz="4" w:space="0" w:color="auto"/>
              <w:right w:val="single" w:sz="4" w:space="0" w:color="auto"/>
            </w:tcBorders>
            <w:shd w:val="clear" w:color="auto" w:fill="auto"/>
            <w:noWrap/>
            <w:vAlign w:val="center"/>
            <w:hideMark/>
          </w:tcPr>
          <w:p w14:paraId="27C1D12E" w14:textId="77777777" w:rsidR="00730F9D" w:rsidRPr="0053555E" w:rsidRDefault="00730F9D" w:rsidP="00DA692D">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prijatí</w:t>
            </w:r>
          </w:p>
        </w:tc>
        <w:tc>
          <w:tcPr>
            <w:tcW w:w="822" w:type="dxa"/>
            <w:tcBorders>
              <w:top w:val="nil"/>
              <w:left w:val="nil"/>
              <w:bottom w:val="single" w:sz="4" w:space="0" w:color="auto"/>
              <w:right w:val="single" w:sz="4" w:space="0" w:color="auto"/>
            </w:tcBorders>
            <w:shd w:val="clear" w:color="auto" w:fill="auto"/>
            <w:noWrap/>
            <w:vAlign w:val="center"/>
            <w:hideMark/>
          </w:tcPr>
          <w:p w14:paraId="51829A8A" w14:textId="77777777" w:rsidR="00730F9D" w:rsidRPr="0053555E" w:rsidRDefault="00730F9D" w:rsidP="00DA692D">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zapísaní</w:t>
            </w:r>
          </w:p>
        </w:tc>
        <w:tc>
          <w:tcPr>
            <w:tcW w:w="823" w:type="dxa"/>
            <w:tcBorders>
              <w:top w:val="nil"/>
              <w:left w:val="nil"/>
              <w:bottom w:val="single" w:sz="4" w:space="0" w:color="auto"/>
              <w:right w:val="single" w:sz="4" w:space="0" w:color="auto"/>
            </w:tcBorders>
            <w:shd w:val="clear" w:color="auto" w:fill="auto"/>
            <w:noWrap/>
            <w:vAlign w:val="center"/>
            <w:hideMark/>
          </w:tcPr>
          <w:p w14:paraId="1A6F8F41" w14:textId="77777777" w:rsidR="00730F9D" w:rsidRPr="0053555E" w:rsidRDefault="00730F9D" w:rsidP="00DA692D">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prijatí</w:t>
            </w:r>
          </w:p>
        </w:tc>
        <w:tc>
          <w:tcPr>
            <w:tcW w:w="822" w:type="dxa"/>
            <w:tcBorders>
              <w:top w:val="nil"/>
              <w:left w:val="nil"/>
              <w:bottom w:val="single" w:sz="4" w:space="0" w:color="auto"/>
              <w:right w:val="single" w:sz="4" w:space="0" w:color="auto"/>
            </w:tcBorders>
            <w:shd w:val="clear" w:color="auto" w:fill="auto"/>
            <w:noWrap/>
            <w:vAlign w:val="center"/>
            <w:hideMark/>
          </w:tcPr>
          <w:p w14:paraId="44D77266" w14:textId="77777777" w:rsidR="00730F9D" w:rsidRPr="0053555E" w:rsidRDefault="00730F9D" w:rsidP="00DA692D">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zapísaní</w:t>
            </w:r>
          </w:p>
        </w:tc>
        <w:tc>
          <w:tcPr>
            <w:tcW w:w="823" w:type="dxa"/>
            <w:tcBorders>
              <w:top w:val="nil"/>
              <w:left w:val="nil"/>
              <w:bottom w:val="single" w:sz="4" w:space="0" w:color="auto"/>
              <w:right w:val="single" w:sz="4" w:space="0" w:color="auto"/>
            </w:tcBorders>
            <w:shd w:val="clear" w:color="auto" w:fill="auto"/>
            <w:noWrap/>
            <w:vAlign w:val="center"/>
            <w:hideMark/>
          </w:tcPr>
          <w:p w14:paraId="184C9F54" w14:textId="77777777" w:rsidR="00730F9D" w:rsidRPr="0053555E" w:rsidRDefault="00730F9D" w:rsidP="00DA692D">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prijatí</w:t>
            </w:r>
          </w:p>
        </w:tc>
        <w:tc>
          <w:tcPr>
            <w:tcW w:w="822" w:type="dxa"/>
            <w:tcBorders>
              <w:top w:val="nil"/>
              <w:left w:val="nil"/>
              <w:bottom w:val="single" w:sz="4" w:space="0" w:color="auto"/>
              <w:right w:val="single" w:sz="4" w:space="0" w:color="auto"/>
            </w:tcBorders>
            <w:shd w:val="clear" w:color="auto" w:fill="auto"/>
            <w:noWrap/>
            <w:vAlign w:val="center"/>
            <w:hideMark/>
          </w:tcPr>
          <w:p w14:paraId="4E891F0C" w14:textId="77777777" w:rsidR="00730F9D" w:rsidRPr="0053555E" w:rsidRDefault="00730F9D" w:rsidP="00DA692D">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zapísaní</w:t>
            </w:r>
          </w:p>
        </w:tc>
        <w:tc>
          <w:tcPr>
            <w:tcW w:w="822" w:type="dxa"/>
            <w:tcBorders>
              <w:top w:val="nil"/>
              <w:left w:val="nil"/>
              <w:bottom w:val="single" w:sz="4" w:space="0" w:color="auto"/>
              <w:right w:val="single" w:sz="4" w:space="0" w:color="auto"/>
            </w:tcBorders>
            <w:shd w:val="clear" w:color="auto" w:fill="auto"/>
            <w:noWrap/>
            <w:vAlign w:val="center"/>
            <w:hideMark/>
          </w:tcPr>
          <w:p w14:paraId="7D78FEC6" w14:textId="77777777" w:rsidR="00730F9D" w:rsidRPr="0053555E" w:rsidRDefault="00730F9D" w:rsidP="00DA692D">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prijatí</w:t>
            </w:r>
          </w:p>
        </w:tc>
        <w:tc>
          <w:tcPr>
            <w:tcW w:w="823" w:type="dxa"/>
            <w:tcBorders>
              <w:top w:val="nil"/>
              <w:left w:val="nil"/>
              <w:bottom w:val="single" w:sz="4" w:space="0" w:color="auto"/>
              <w:right w:val="single" w:sz="4" w:space="0" w:color="auto"/>
            </w:tcBorders>
            <w:shd w:val="clear" w:color="auto" w:fill="auto"/>
            <w:noWrap/>
            <w:vAlign w:val="center"/>
            <w:hideMark/>
          </w:tcPr>
          <w:p w14:paraId="25D2F5F5" w14:textId="77777777" w:rsidR="00730F9D" w:rsidRPr="0053555E" w:rsidRDefault="00730F9D" w:rsidP="00DA692D">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zapísaní</w:t>
            </w:r>
          </w:p>
        </w:tc>
        <w:tc>
          <w:tcPr>
            <w:tcW w:w="822" w:type="dxa"/>
            <w:tcBorders>
              <w:top w:val="nil"/>
              <w:left w:val="nil"/>
              <w:bottom w:val="single" w:sz="4" w:space="0" w:color="auto"/>
              <w:right w:val="single" w:sz="4" w:space="0" w:color="auto"/>
            </w:tcBorders>
            <w:shd w:val="clear" w:color="auto" w:fill="auto"/>
            <w:noWrap/>
            <w:vAlign w:val="center"/>
            <w:hideMark/>
          </w:tcPr>
          <w:p w14:paraId="29326D94" w14:textId="77777777" w:rsidR="00730F9D" w:rsidRPr="0053555E" w:rsidRDefault="00730F9D" w:rsidP="00DA692D">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prijatí</w:t>
            </w:r>
          </w:p>
        </w:tc>
        <w:tc>
          <w:tcPr>
            <w:tcW w:w="823" w:type="dxa"/>
            <w:tcBorders>
              <w:top w:val="nil"/>
              <w:left w:val="nil"/>
              <w:bottom w:val="single" w:sz="4" w:space="0" w:color="auto"/>
              <w:right w:val="single" w:sz="4" w:space="0" w:color="auto"/>
            </w:tcBorders>
            <w:shd w:val="clear" w:color="auto" w:fill="auto"/>
            <w:noWrap/>
            <w:vAlign w:val="center"/>
            <w:hideMark/>
          </w:tcPr>
          <w:p w14:paraId="0EA29BBD" w14:textId="77777777" w:rsidR="00730F9D" w:rsidRPr="0053555E" w:rsidRDefault="00730F9D" w:rsidP="00DA692D">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zapísaní</w:t>
            </w:r>
          </w:p>
        </w:tc>
      </w:tr>
      <w:tr w:rsidR="007E2F70" w:rsidRPr="0053555E" w14:paraId="3E4EC52D" w14:textId="77777777" w:rsidTr="00BD3C0E">
        <w:trPr>
          <w:trHeight w:val="315"/>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3EDB32AE" w14:textId="77777777" w:rsidR="007E2F70" w:rsidRPr="0053555E" w:rsidRDefault="007E2F70" w:rsidP="007E2F70">
            <w:pPr>
              <w:tabs>
                <w:tab w:val="left" w:pos="9356"/>
              </w:tabs>
              <w:jc w:val="both"/>
              <w:rPr>
                <w:rFonts w:asciiTheme="majorHAnsi" w:eastAsia="Times New Roman" w:hAnsiTheme="majorHAnsi" w:cstheme="majorHAnsi"/>
                <w:b/>
                <w:lang w:eastAsia="sk-SK"/>
              </w:rPr>
            </w:pPr>
            <w:r w:rsidRPr="0053555E">
              <w:rPr>
                <w:rFonts w:asciiTheme="majorHAnsi" w:eastAsia="Times New Roman" w:hAnsiTheme="majorHAnsi" w:cstheme="majorHAnsi"/>
                <w:b/>
                <w:lang w:eastAsia="sk-SK"/>
              </w:rPr>
              <w:t>UK</w:t>
            </w:r>
          </w:p>
        </w:tc>
        <w:tc>
          <w:tcPr>
            <w:tcW w:w="822" w:type="dxa"/>
            <w:tcBorders>
              <w:top w:val="nil"/>
              <w:left w:val="nil"/>
              <w:bottom w:val="single" w:sz="4" w:space="0" w:color="auto"/>
              <w:right w:val="single" w:sz="4" w:space="0" w:color="auto"/>
            </w:tcBorders>
            <w:shd w:val="clear" w:color="auto" w:fill="auto"/>
            <w:noWrap/>
            <w:vAlign w:val="bottom"/>
            <w:hideMark/>
          </w:tcPr>
          <w:p w14:paraId="7A341972" w14:textId="7DEB040C" w:rsidR="007E2F70" w:rsidRPr="0053555E" w:rsidRDefault="007E2F70" w:rsidP="007E2F70">
            <w:pPr>
              <w:jc w:val="center"/>
              <w:rPr>
                <w:rFonts w:asciiTheme="majorHAnsi" w:hAnsiTheme="majorHAnsi" w:cstheme="majorHAnsi"/>
              </w:rPr>
            </w:pPr>
            <w:r w:rsidRPr="0053555E">
              <w:rPr>
                <w:rFonts w:cs="Calibri"/>
              </w:rPr>
              <w:t>7 322</w:t>
            </w:r>
          </w:p>
        </w:tc>
        <w:tc>
          <w:tcPr>
            <w:tcW w:w="822" w:type="dxa"/>
            <w:tcBorders>
              <w:top w:val="nil"/>
              <w:left w:val="nil"/>
              <w:bottom w:val="single" w:sz="4" w:space="0" w:color="auto"/>
              <w:right w:val="single" w:sz="4" w:space="0" w:color="auto"/>
            </w:tcBorders>
            <w:shd w:val="clear" w:color="auto" w:fill="auto"/>
            <w:noWrap/>
            <w:vAlign w:val="bottom"/>
            <w:hideMark/>
          </w:tcPr>
          <w:p w14:paraId="3BC11B42" w14:textId="7E5899A4" w:rsidR="007E2F70" w:rsidRPr="0053555E" w:rsidRDefault="007E2F70" w:rsidP="007E2F70">
            <w:pPr>
              <w:jc w:val="center"/>
              <w:rPr>
                <w:rFonts w:asciiTheme="majorHAnsi" w:hAnsiTheme="majorHAnsi" w:cstheme="majorHAnsi"/>
              </w:rPr>
            </w:pPr>
            <w:r w:rsidRPr="0053555E">
              <w:rPr>
                <w:rFonts w:cs="Calibri"/>
              </w:rPr>
              <w:t>4 473</w:t>
            </w:r>
          </w:p>
        </w:tc>
        <w:tc>
          <w:tcPr>
            <w:tcW w:w="823" w:type="dxa"/>
            <w:tcBorders>
              <w:top w:val="nil"/>
              <w:left w:val="nil"/>
              <w:bottom w:val="single" w:sz="4" w:space="0" w:color="auto"/>
              <w:right w:val="single" w:sz="4" w:space="0" w:color="auto"/>
            </w:tcBorders>
            <w:shd w:val="clear" w:color="auto" w:fill="auto"/>
            <w:noWrap/>
            <w:vAlign w:val="bottom"/>
            <w:hideMark/>
          </w:tcPr>
          <w:p w14:paraId="7A3F7BBB" w14:textId="4E567BEB" w:rsidR="007E2F70" w:rsidRPr="0053555E" w:rsidRDefault="007E2F70" w:rsidP="007E2F70">
            <w:pPr>
              <w:jc w:val="center"/>
              <w:rPr>
                <w:rFonts w:asciiTheme="majorHAnsi" w:hAnsiTheme="majorHAnsi" w:cstheme="majorHAnsi"/>
              </w:rPr>
            </w:pPr>
            <w:r w:rsidRPr="0053555E">
              <w:rPr>
                <w:rFonts w:cs="Calibri"/>
              </w:rPr>
              <w:t>7 149</w:t>
            </w:r>
          </w:p>
        </w:tc>
        <w:tc>
          <w:tcPr>
            <w:tcW w:w="822" w:type="dxa"/>
            <w:tcBorders>
              <w:top w:val="nil"/>
              <w:left w:val="nil"/>
              <w:bottom w:val="single" w:sz="4" w:space="0" w:color="auto"/>
              <w:right w:val="single" w:sz="4" w:space="0" w:color="auto"/>
            </w:tcBorders>
            <w:shd w:val="clear" w:color="auto" w:fill="auto"/>
            <w:noWrap/>
            <w:vAlign w:val="bottom"/>
            <w:hideMark/>
          </w:tcPr>
          <w:p w14:paraId="707A9D15" w14:textId="3EE33C7C" w:rsidR="007E2F70" w:rsidRPr="0053555E" w:rsidRDefault="007E2F70" w:rsidP="007E2F70">
            <w:pPr>
              <w:jc w:val="center"/>
              <w:rPr>
                <w:rFonts w:asciiTheme="majorHAnsi" w:hAnsiTheme="majorHAnsi" w:cstheme="majorHAnsi"/>
              </w:rPr>
            </w:pPr>
            <w:r w:rsidRPr="0053555E">
              <w:rPr>
                <w:rFonts w:cs="Calibri"/>
              </w:rPr>
              <w:t>4 619</w:t>
            </w:r>
          </w:p>
        </w:tc>
        <w:tc>
          <w:tcPr>
            <w:tcW w:w="823" w:type="dxa"/>
            <w:tcBorders>
              <w:top w:val="nil"/>
              <w:left w:val="nil"/>
              <w:bottom w:val="single" w:sz="4" w:space="0" w:color="auto"/>
              <w:right w:val="single" w:sz="4" w:space="0" w:color="auto"/>
            </w:tcBorders>
            <w:shd w:val="clear" w:color="auto" w:fill="auto"/>
            <w:noWrap/>
            <w:vAlign w:val="bottom"/>
            <w:hideMark/>
          </w:tcPr>
          <w:p w14:paraId="2AE91B0D" w14:textId="4CB5B2B3" w:rsidR="007E2F70" w:rsidRPr="0053555E" w:rsidRDefault="007E2F70" w:rsidP="007E2F70">
            <w:pPr>
              <w:jc w:val="center"/>
              <w:rPr>
                <w:rFonts w:asciiTheme="majorHAnsi" w:hAnsiTheme="majorHAnsi" w:cstheme="majorHAnsi"/>
              </w:rPr>
            </w:pPr>
            <w:r w:rsidRPr="0053555E">
              <w:rPr>
                <w:rFonts w:cs="Calibri"/>
              </w:rPr>
              <w:t>7 259</w:t>
            </w:r>
          </w:p>
        </w:tc>
        <w:tc>
          <w:tcPr>
            <w:tcW w:w="822" w:type="dxa"/>
            <w:tcBorders>
              <w:top w:val="nil"/>
              <w:left w:val="nil"/>
              <w:bottom w:val="single" w:sz="4" w:space="0" w:color="auto"/>
              <w:right w:val="single" w:sz="4" w:space="0" w:color="auto"/>
            </w:tcBorders>
            <w:shd w:val="clear" w:color="auto" w:fill="auto"/>
            <w:noWrap/>
            <w:vAlign w:val="bottom"/>
            <w:hideMark/>
          </w:tcPr>
          <w:p w14:paraId="4BBF9544" w14:textId="0B295DB1" w:rsidR="007E2F70" w:rsidRPr="0053555E" w:rsidRDefault="007E2F70" w:rsidP="007E2F70">
            <w:pPr>
              <w:jc w:val="center"/>
              <w:rPr>
                <w:rFonts w:asciiTheme="majorHAnsi" w:hAnsiTheme="majorHAnsi" w:cstheme="majorHAnsi"/>
              </w:rPr>
            </w:pPr>
            <w:r w:rsidRPr="0053555E">
              <w:rPr>
                <w:rFonts w:cs="Calibri"/>
              </w:rPr>
              <w:t>2 880</w:t>
            </w:r>
          </w:p>
        </w:tc>
        <w:tc>
          <w:tcPr>
            <w:tcW w:w="822" w:type="dxa"/>
            <w:tcBorders>
              <w:top w:val="nil"/>
              <w:left w:val="nil"/>
              <w:bottom w:val="single" w:sz="4" w:space="0" w:color="auto"/>
              <w:right w:val="single" w:sz="4" w:space="0" w:color="auto"/>
            </w:tcBorders>
            <w:shd w:val="clear" w:color="auto" w:fill="auto"/>
            <w:noWrap/>
            <w:vAlign w:val="bottom"/>
            <w:hideMark/>
          </w:tcPr>
          <w:p w14:paraId="0FCE3FDA" w14:textId="7C1D114A" w:rsidR="007E2F70" w:rsidRPr="0053555E" w:rsidRDefault="007E2F70" w:rsidP="007E2F70">
            <w:pPr>
              <w:jc w:val="center"/>
              <w:rPr>
                <w:rFonts w:asciiTheme="majorHAnsi" w:hAnsiTheme="majorHAnsi" w:cstheme="majorHAnsi"/>
              </w:rPr>
            </w:pPr>
            <w:r w:rsidRPr="0053555E">
              <w:rPr>
                <w:rFonts w:cs="Calibri"/>
              </w:rPr>
              <w:t>7 133</w:t>
            </w:r>
          </w:p>
        </w:tc>
        <w:tc>
          <w:tcPr>
            <w:tcW w:w="823" w:type="dxa"/>
            <w:tcBorders>
              <w:top w:val="nil"/>
              <w:left w:val="nil"/>
              <w:bottom w:val="single" w:sz="4" w:space="0" w:color="auto"/>
              <w:right w:val="single" w:sz="4" w:space="0" w:color="auto"/>
            </w:tcBorders>
            <w:shd w:val="clear" w:color="auto" w:fill="auto"/>
            <w:noWrap/>
            <w:vAlign w:val="bottom"/>
            <w:hideMark/>
          </w:tcPr>
          <w:p w14:paraId="7674421E" w14:textId="1A80756F" w:rsidR="007E2F70" w:rsidRPr="0053555E" w:rsidRDefault="007E2F70" w:rsidP="007E2F70">
            <w:pPr>
              <w:jc w:val="center"/>
              <w:rPr>
                <w:rFonts w:asciiTheme="majorHAnsi" w:hAnsiTheme="majorHAnsi" w:cstheme="majorHAnsi"/>
              </w:rPr>
            </w:pPr>
            <w:r w:rsidRPr="0053555E">
              <w:rPr>
                <w:rFonts w:cs="Calibri"/>
              </w:rPr>
              <w:t>4 706</w:t>
            </w:r>
          </w:p>
        </w:tc>
        <w:tc>
          <w:tcPr>
            <w:tcW w:w="822" w:type="dxa"/>
            <w:tcBorders>
              <w:top w:val="nil"/>
              <w:left w:val="nil"/>
              <w:bottom w:val="single" w:sz="4" w:space="0" w:color="auto"/>
              <w:right w:val="single" w:sz="4" w:space="0" w:color="auto"/>
            </w:tcBorders>
            <w:shd w:val="clear" w:color="auto" w:fill="auto"/>
            <w:noWrap/>
            <w:vAlign w:val="bottom"/>
            <w:hideMark/>
          </w:tcPr>
          <w:p w14:paraId="65197461" w14:textId="4462C8F6" w:rsidR="007E2F70" w:rsidRPr="0053555E" w:rsidRDefault="007E2F70" w:rsidP="007E2F70">
            <w:pPr>
              <w:jc w:val="center"/>
              <w:rPr>
                <w:rFonts w:asciiTheme="majorHAnsi" w:hAnsiTheme="majorHAnsi" w:cstheme="majorHAnsi"/>
              </w:rPr>
            </w:pPr>
            <w:r w:rsidRPr="0053555E">
              <w:rPr>
                <w:rFonts w:cs="Calibri"/>
              </w:rPr>
              <w:t>7 519</w:t>
            </w:r>
          </w:p>
        </w:tc>
        <w:tc>
          <w:tcPr>
            <w:tcW w:w="823" w:type="dxa"/>
            <w:tcBorders>
              <w:top w:val="nil"/>
              <w:left w:val="nil"/>
              <w:bottom w:val="single" w:sz="4" w:space="0" w:color="auto"/>
              <w:right w:val="single" w:sz="4" w:space="0" w:color="auto"/>
            </w:tcBorders>
            <w:shd w:val="clear" w:color="auto" w:fill="auto"/>
            <w:noWrap/>
            <w:vAlign w:val="bottom"/>
            <w:hideMark/>
          </w:tcPr>
          <w:p w14:paraId="1C929444" w14:textId="3309D6FF" w:rsidR="007E2F70" w:rsidRPr="0053555E" w:rsidRDefault="007E2F70" w:rsidP="007E2F70">
            <w:pPr>
              <w:jc w:val="center"/>
              <w:rPr>
                <w:rFonts w:asciiTheme="majorHAnsi" w:hAnsiTheme="majorHAnsi" w:cstheme="majorHAnsi"/>
              </w:rPr>
            </w:pPr>
            <w:r w:rsidRPr="0053555E">
              <w:rPr>
                <w:rFonts w:cs="Calibri"/>
              </w:rPr>
              <w:t>5 000</w:t>
            </w:r>
          </w:p>
        </w:tc>
      </w:tr>
      <w:tr w:rsidR="007E2F70" w:rsidRPr="0053555E" w14:paraId="55412E9D" w14:textId="77777777" w:rsidTr="00BD3C0E">
        <w:trPr>
          <w:trHeight w:val="315"/>
        </w:trPr>
        <w:tc>
          <w:tcPr>
            <w:tcW w:w="843"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6EEF2C55" w14:textId="77777777" w:rsidR="007E2F70" w:rsidRPr="0053555E" w:rsidRDefault="007E2F70" w:rsidP="007E2F70">
            <w:pPr>
              <w:tabs>
                <w:tab w:val="left" w:pos="9356"/>
              </w:tabs>
              <w:jc w:val="both"/>
              <w:rPr>
                <w:rFonts w:asciiTheme="majorHAnsi" w:eastAsia="Times New Roman" w:hAnsiTheme="majorHAnsi" w:cstheme="majorHAnsi"/>
                <w:b/>
                <w:lang w:eastAsia="sk-SK"/>
              </w:rPr>
            </w:pPr>
            <w:r w:rsidRPr="0053555E">
              <w:rPr>
                <w:rFonts w:asciiTheme="majorHAnsi" w:eastAsia="Times New Roman" w:hAnsiTheme="majorHAnsi" w:cstheme="majorHAnsi"/>
                <w:b/>
                <w:lang w:eastAsia="sk-SK"/>
              </w:rPr>
              <w:t>STU</w:t>
            </w:r>
          </w:p>
        </w:tc>
        <w:tc>
          <w:tcPr>
            <w:tcW w:w="822" w:type="dxa"/>
            <w:tcBorders>
              <w:top w:val="nil"/>
              <w:left w:val="nil"/>
              <w:bottom w:val="single" w:sz="4" w:space="0" w:color="auto"/>
              <w:right w:val="single" w:sz="4" w:space="0" w:color="auto"/>
            </w:tcBorders>
            <w:shd w:val="clear" w:color="auto" w:fill="EEECE1" w:themeFill="background2"/>
            <w:noWrap/>
            <w:vAlign w:val="bottom"/>
            <w:hideMark/>
          </w:tcPr>
          <w:p w14:paraId="6884A2AD" w14:textId="09AC30BB" w:rsidR="007E2F70" w:rsidRPr="0053555E" w:rsidRDefault="007E2F70" w:rsidP="007E2F70">
            <w:pPr>
              <w:jc w:val="center"/>
              <w:rPr>
                <w:rFonts w:asciiTheme="majorHAnsi" w:hAnsiTheme="majorHAnsi" w:cstheme="majorHAnsi"/>
                <w:b/>
              </w:rPr>
            </w:pPr>
            <w:r w:rsidRPr="0053555E">
              <w:rPr>
                <w:rFonts w:cs="Calibri"/>
                <w:b/>
              </w:rPr>
              <w:t>4 956</w:t>
            </w:r>
          </w:p>
        </w:tc>
        <w:tc>
          <w:tcPr>
            <w:tcW w:w="822" w:type="dxa"/>
            <w:tcBorders>
              <w:top w:val="nil"/>
              <w:left w:val="nil"/>
              <w:bottom w:val="single" w:sz="4" w:space="0" w:color="auto"/>
              <w:right w:val="single" w:sz="4" w:space="0" w:color="auto"/>
            </w:tcBorders>
            <w:shd w:val="clear" w:color="auto" w:fill="EEECE1" w:themeFill="background2"/>
            <w:noWrap/>
            <w:vAlign w:val="bottom"/>
            <w:hideMark/>
          </w:tcPr>
          <w:p w14:paraId="4361B2F8" w14:textId="0F216EBD" w:rsidR="007E2F70" w:rsidRPr="0053555E" w:rsidRDefault="007E2F70" w:rsidP="007E2F70">
            <w:pPr>
              <w:jc w:val="center"/>
              <w:rPr>
                <w:rFonts w:asciiTheme="majorHAnsi" w:hAnsiTheme="majorHAnsi" w:cstheme="majorHAnsi"/>
                <w:b/>
              </w:rPr>
            </w:pPr>
            <w:r w:rsidRPr="0053555E">
              <w:rPr>
                <w:rFonts w:cs="Calibri"/>
                <w:b/>
              </w:rPr>
              <w:t>3 345</w:t>
            </w:r>
          </w:p>
        </w:tc>
        <w:tc>
          <w:tcPr>
            <w:tcW w:w="823" w:type="dxa"/>
            <w:tcBorders>
              <w:top w:val="nil"/>
              <w:left w:val="nil"/>
              <w:bottom w:val="single" w:sz="4" w:space="0" w:color="auto"/>
              <w:right w:val="single" w:sz="4" w:space="0" w:color="auto"/>
            </w:tcBorders>
            <w:shd w:val="clear" w:color="auto" w:fill="EEECE1" w:themeFill="background2"/>
            <w:noWrap/>
            <w:vAlign w:val="bottom"/>
            <w:hideMark/>
          </w:tcPr>
          <w:p w14:paraId="161BB20F" w14:textId="316C7B39" w:rsidR="007E2F70" w:rsidRPr="0053555E" w:rsidRDefault="007E2F70" w:rsidP="007E2F70">
            <w:pPr>
              <w:jc w:val="center"/>
              <w:rPr>
                <w:rFonts w:asciiTheme="majorHAnsi" w:hAnsiTheme="majorHAnsi" w:cstheme="majorHAnsi"/>
                <w:b/>
              </w:rPr>
            </w:pPr>
            <w:r w:rsidRPr="0053555E">
              <w:rPr>
                <w:rFonts w:cs="Calibri"/>
                <w:b/>
              </w:rPr>
              <w:t>4 982</w:t>
            </w:r>
          </w:p>
        </w:tc>
        <w:tc>
          <w:tcPr>
            <w:tcW w:w="822" w:type="dxa"/>
            <w:tcBorders>
              <w:top w:val="nil"/>
              <w:left w:val="nil"/>
              <w:bottom w:val="single" w:sz="4" w:space="0" w:color="auto"/>
              <w:right w:val="single" w:sz="4" w:space="0" w:color="auto"/>
            </w:tcBorders>
            <w:shd w:val="clear" w:color="auto" w:fill="EEECE1" w:themeFill="background2"/>
            <w:noWrap/>
            <w:vAlign w:val="bottom"/>
            <w:hideMark/>
          </w:tcPr>
          <w:p w14:paraId="3F8A9462" w14:textId="48DA521C" w:rsidR="007E2F70" w:rsidRPr="0053555E" w:rsidRDefault="007E2F70" w:rsidP="007E2F70">
            <w:pPr>
              <w:jc w:val="center"/>
              <w:rPr>
                <w:rFonts w:asciiTheme="majorHAnsi" w:hAnsiTheme="majorHAnsi" w:cstheme="majorHAnsi"/>
                <w:b/>
              </w:rPr>
            </w:pPr>
            <w:r w:rsidRPr="0053555E">
              <w:rPr>
                <w:rFonts w:cs="Calibri"/>
                <w:b/>
              </w:rPr>
              <w:t>3 360</w:t>
            </w:r>
          </w:p>
        </w:tc>
        <w:tc>
          <w:tcPr>
            <w:tcW w:w="823" w:type="dxa"/>
            <w:tcBorders>
              <w:top w:val="nil"/>
              <w:left w:val="nil"/>
              <w:bottom w:val="single" w:sz="4" w:space="0" w:color="auto"/>
              <w:right w:val="single" w:sz="4" w:space="0" w:color="auto"/>
            </w:tcBorders>
            <w:shd w:val="clear" w:color="auto" w:fill="EEECE1" w:themeFill="background2"/>
            <w:noWrap/>
            <w:vAlign w:val="bottom"/>
            <w:hideMark/>
          </w:tcPr>
          <w:p w14:paraId="426B5083" w14:textId="11BA24E0" w:rsidR="007E2F70" w:rsidRPr="0053555E" w:rsidRDefault="007E2F70" w:rsidP="007E2F70">
            <w:pPr>
              <w:jc w:val="center"/>
              <w:rPr>
                <w:rFonts w:asciiTheme="majorHAnsi" w:hAnsiTheme="majorHAnsi" w:cstheme="majorHAnsi"/>
                <w:b/>
              </w:rPr>
            </w:pPr>
            <w:r w:rsidRPr="0053555E">
              <w:rPr>
                <w:rFonts w:cs="Calibri"/>
                <w:b/>
              </w:rPr>
              <w:t>4 385</w:t>
            </w:r>
          </w:p>
        </w:tc>
        <w:tc>
          <w:tcPr>
            <w:tcW w:w="822" w:type="dxa"/>
            <w:tcBorders>
              <w:top w:val="nil"/>
              <w:left w:val="nil"/>
              <w:bottom w:val="single" w:sz="4" w:space="0" w:color="auto"/>
              <w:right w:val="single" w:sz="4" w:space="0" w:color="auto"/>
            </w:tcBorders>
            <w:shd w:val="clear" w:color="auto" w:fill="EEECE1" w:themeFill="background2"/>
            <w:noWrap/>
            <w:vAlign w:val="bottom"/>
            <w:hideMark/>
          </w:tcPr>
          <w:p w14:paraId="29FC946C" w14:textId="0B5E856D" w:rsidR="007E2F70" w:rsidRPr="0053555E" w:rsidRDefault="007E2F70" w:rsidP="007E2F70">
            <w:pPr>
              <w:jc w:val="center"/>
              <w:rPr>
                <w:rFonts w:asciiTheme="majorHAnsi" w:hAnsiTheme="majorHAnsi" w:cstheme="majorHAnsi"/>
                <w:b/>
              </w:rPr>
            </w:pPr>
            <w:r w:rsidRPr="0053555E">
              <w:rPr>
                <w:rFonts w:cs="Calibri"/>
                <w:b/>
              </w:rPr>
              <w:t>2 986</w:t>
            </w:r>
          </w:p>
        </w:tc>
        <w:tc>
          <w:tcPr>
            <w:tcW w:w="822" w:type="dxa"/>
            <w:tcBorders>
              <w:top w:val="nil"/>
              <w:left w:val="nil"/>
              <w:bottom w:val="single" w:sz="4" w:space="0" w:color="auto"/>
              <w:right w:val="single" w:sz="4" w:space="0" w:color="auto"/>
            </w:tcBorders>
            <w:shd w:val="clear" w:color="auto" w:fill="EEECE1" w:themeFill="background2"/>
            <w:noWrap/>
            <w:vAlign w:val="bottom"/>
            <w:hideMark/>
          </w:tcPr>
          <w:p w14:paraId="59D6BD1D" w14:textId="32D82DE8" w:rsidR="007E2F70" w:rsidRPr="0053555E" w:rsidRDefault="007E2F70" w:rsidP="007E2F70">
            <w:pPr>
              <w:jc w:val="center"/>
              <w:rPr>
                <w:rFonts w:asciiTheme="majorHAnsi" w:hAnsiTheme="majorHAnsi" w:cstheme="majorHAnsi"/>
                <w:b/>
              </w:rPr>
            </w:pPr>
            <w:r w:rsidRPr="0053555E">
              <w:rPr>
                <w:rFonts w:cs="Calibri"/>
                <w:b/>
              </w:rPr>
              <w:t>4 095</w:t>
            </w:r>
          </w:p>
        </w:tc>
        <w:tc>
          <w:tcPr>
            <w:tcW w:w="823" w:type="dxa"/>
            <w:tcBorders>
              <w:top w:val="nil"/>
              <w:left w:val="nil"/>
              <w:bottom w:val="single" w:sz="4" w:space="0" w:color="auto"/>
              <w:right w:val="single" w:sz="4" w:space="0" w:color="auto"/>
            </w:tcBorders>
            <w:shd w:val="clear" w:color="auto" w:fill="EEECE1" w:themeFill="background2"/>
            <w:noWrap/>
            <w:vAlign w:val="bottom"/>
            <w:hideMark/>
          </w:tcPr>
          <w:p w14:paraId="1E21DF1F" w14:textId="2139DACE" w:rsidR="007E2F70" w:rsidRPr="0053555E" w:rsidRDefault="007E2F70" w:rsidP="007E2F70">
            <w:pPr>
              <w:jc w:val="center"/>
              <w:rPr>
                <w:rFonts w:asciiTheme="majorHAnsi" w:hAnsiTheme="majorHAnsi" w:cstheme="majorHAnsi"/>
                <w:b/>
              </w:rPr>
            </w:pPr>
            <w:r w:rsidRPr="0053555E">
              <w:rPr>
                <w:rFonts w:cs="Calibri"/>
                <w:b/>
              </w:rPr>
              <w:t>2 797</w:t>
            </w:r>
          </w:p>
        </w:tc>
        <w:tc>
          <w:tcPr>
            <w:tcW w:w="822" w:type="dxa"/>
            <w:tcBorders>
              <w:top w:val="nil"/>
              <w:left w:val="nil"/>
              <w:bottom w:val="single" w:sz="4" w:space="0" w:color="auto"/>
              <w:right w:val="single" w:sz="4" w:space="0" w:color="auto"/>
            </w:tcBorders>
            <w:shd w:val="clear" w:color="auto" w:fill="EEECE1" w:themeFill="background2"/>
            <w:noWrap/>
            <w:vAlign w:val="bottom"/>
            <w:hideMark/>
          </w:tcPr>
          <w:p w14:paraId="14797D15" w14:textId="63954721" w:rsidR="007E2F70" w:rsidRPr="0053555E" w:rsidRDefault="007E2F70" w:rsidP="007E2F70">
            <w:pPr>
              <w:jc w:val="center"/>
              <w:rPr>
                <w:rFonts w:asciiTheme="majorHAnsi" w:hAnsiTheme="majorHAnsi" w:cstheme="majorHAnsi"/>
                <w:b/>
              </w:rPr>
            </w:pPr>
            <w:r w:rsidRPr="0053555E">
              <w:rPr>
                <w:rFonts w:cs="Calibri"/>
                <w:b/>
              </w:rPr>
              <w:t>4 917</w:t>
            </w:r>
          </w:p>
        </w:tc>
        <w:tc>
          <w:tcPr>
            <w:tcW w:w="823" w:type="dxa"/>
            <w:tcBorders>
              <w:top w:val="nil"/>
              <w:left w:val="nil"/>
              <w:bottom w:val="single" w:sz="4" w:space="0" w:color="auto"/>
              <w:right w:val="single" w:sz="4" w:space="0" w:color="auto"/>
            </w:tcBorders>
            <w:shd w:val="clear" w:color="auto" w:fill="EEECE1" w:themeFill="background2"/>
            <w:noWrap/>
            <w:vAlign w:val="bottom"/>
            <w:hideMark/>
          </w:tcPr>
          <w:p w14:paraId="13C059C9" w14:textId="7713EA44" w:rsidR="007E2F70" w:rsidRPr="0053555E" w:rsidRDefault="007E2F70" w:rsidP="007E2F70">
            <w:pPr>
              <w:jc w:val="center"/>
              <w:rPr>
                <w:rFonts w:asciiTheme="majorHAnsi" w:hAnsiTheme="majorHAnsi" w:cstheme="majorHAnsi"/>
                <w:b/>
              </w:rPr>
            </w:pPr>
            <w:r w:rsidRPr="0053555E">
              <w:rPr>
                <w:rFonts w:cs="Calibri"/>
                <w:b/>
              </w:rPr>
              <w:t>3 491</w:t>
            </w:r>
          </w:p>
        </w:tc>
      </w:tr>
      <w:tr w:rsidR="007E2F70" w:rsidRPr="0053555E" w14:paraId="679FFEDC" w14:textId="77777777" w:rsidTr="00BD3C0E">
        <w:trPr>
          <w:trHeight w:val="315"/>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40A61886" w14:textId="77777777" w:rsidR="007E2F70" w:rsidRPr="0053555E" w:rsidRDefault="007E2F70" w:rsidP="007E2F70">
            <w:pPr>
              <w:tabs>
                <w:tab w:val="left" w:pos="9356"/>
              </w:tabs>
              <w:jc w:val="both"/>
              <w:rPr>
                <w:rFonts w:asciiTheme="majorHAnsi" w:eastAsia="Times New Roman" w:hAnsiTheme="majorHAnsi" w:cstheme="majorHAnsi"/>
                <w:b/>
                <w:lang w:eastAsia="sk-SK"/>
              </w:rPr>
            </w:pPr>
            <w:r w:rsidRPr="0053555E">
              <w:rPr>
                <w:rFonts w:asciiTheme="majorHAnsi" w:eastAsia="Times New Roman" w:hAnsiTheme="majorHAnsi" w:cstheme="majorHAnsi"/>
                <w:b/>
                <w:lang w:eastAsia="sk-SK"/>
              </w:rPr>
              <w:t>SPU</w:t>
            </w:r>
          </w:p>
        </w:tc>
        <w:tc>
          <w:tcPr>
            <w:tcW w:w="822" w:type="dxa"/>
            <w:tcBorders>
              <w:top w:val="nil"/>
              <w:left w:val="nil"/>
              <w:bottom w:val="single" w:sz="4" w:space="0" w:color="auto"/>
              <w:right w:val="single" w:sz="4" w:space="0" w:color="auto"/>
            </w:tcBorders>
            <w:shd w:val="clear" w:color="auto" w:fill="auto"/>
            <w:noWrap/>
            <w:vAlign w:val="bottom"/>
            <w:hideMark/>
          </w:tcPr>
          <w:p w14:paraId="3F079E34" w14:textId="06DE6F92" w:rsidR="007E2F70" w:rsidRPr="0053555E" w:rsidRDefault="007E2F70" w:rsidP="007E2F70">
            <w:pPr>
              <w:jc w:val="center"/>
              <w:rPr>
                <w:rFonts w:asciiTheme="majorHAnsi" w:hAnsiTheme="majorHAnsi" w:cstheme="majorHAnsi"/>
              </w:rPr>
            </w:pPr>
            <w:r w:rsidRPr="0053555E">
              <w:rPr>
                <w:rFonts w:cs="Calibri"/>
              </w:rPr>
              <w:t>1 744</w:t>
            </w:r>
          </w:p>
        </w:tc>
        <w:tc>
          <w:tcPr>
            <w:tcW w:w="822" w:type="dxa"/>
            <w:tcBorders>
              <w:top w:val="nil"/>
              <w:left w:val="nil"/>
              <w:bottom w:val="single" w:sz="4" w:space="0" w:color="auto"/>
              <w:right w:val="single" w:sz="4" w:space="0" w:color="auto"/>
            </w:tcBorders>
            <w:shd w:val="clear" w:color="auto" w:fill="auto"/>
            <w:noWrap/>
            <w:vAlign w:val="bottom"/>
            <w:hideMark/>
          </w:tcPr>
          <w:p w14:paraId="224CFC58" w14:textId="04189D76" w:rsidR="007E2F70" w:rsidRPr="0053555E" w:rsidRDefault="007E2F70" w:rsidP="007E2F70">
            <w:pPr>
              <w:jc w:val="center"/>
              <w:rPr>
                <w:rFonts w:asciiTheme="majorHAnsi" w:hAnsiTheme="majorHAnsi" w:cstheme="majorHAnsi"/>
              </w:rPr>
            </w:pPr>
            <w:r w:rsidRPr="0053555E">
              <w:rPr>
                <w:rFonts w:cs="Calibri"/>
              </w:rPr>
              <w:t>1 247</w:t>
            </w:r>
          </w:p>
        </w:tc>
        <w:tc>
          <w:tcPr>
            <w:tcW w:w="823" w:type="dxa"/>
            <w:tcBorders>
              <w:top w:val="nil"/>
              <w:left w:val="nil"/>
              <w:bottom w:val="single" w:sz="4" w:space="0" w:color="auto"/>
              <w:right w:val="single" w:sz="4" w:space="0" w:color="auto"/>
            </w:tcBorders>
            <w:shd w:val="clear" w:color="auto" w:fill="auto"/>
            <w:noWrap/>
            <w:vAlign w:val="bottom"/>
            <w:hideMark/>
          </w:tcPr>
          <w:p w14:paraId="7E79926F" w14:textId="7BB2BA3E" w:rsidR="007E2F70" w:rsidRPr="0053555E" w:rsidRDefault="007E2F70" w:rsidP="007E2F70">
            <w:pPr>
              <w:jc w:val="center"/>
              <w:rPr>
                <w:rFonts w:asciiTheme="majorHAnsi" w:hAnsiTheme="majorHAnsi" w:cstheme="majorHAnsi"/>
              </w:rPr>
            </w:pPr>
            <w:r w:rsidRPr="0053555E">
              <w:rPr>
                <w:rFonts w:cs="Calibri"/>
              </w:rPr>
              <w:t>1 689</w:t>
            </w:r>
          </w:p>
        </w:tc>
        <w:tc>
          <w:tcPr>
            <w:tcW w:w="822" w:type="dxa"/>
            <w:tcBorders>
              <w:top w:val="nil"/>
              <w:left w:val="nil"/>
              <w:bottom w:val="single" w:sz="4" w:space="0" w:color="auto"/>
              <w:right w:val="single" w:sz="4" w:space="0" w:color="auto"/>
            </w:tcBorders>
            <w:shd w:val="clear" w:color="auto" w:fill="auto"/>
            <w:noWrap/>
            <w:vAlign w:val="bottom"/>
            <w:hideMark/>
          </w:tcPr>
          <w:p w14:paraId="18F39DB2" w14:textId="1B5F0C40" w:rsidR="007E2F70" w:rsidRPr="0053555E" w:rsidRDefault="007E2F70" w:rsidP="007E2F70">
            <w:pPr>
              <w:jc w:val="center"/>
              <w:rPr>
                <w:rFonts w:asciiTheme="majorHAnsi" w:hAnsiTheme="majorHAnsi" w:cstheme="majorHAnsi"/>
              </w:rPr>
            </w:pPr>
            <w:r w:rsidRPr="0053555E">
              <w:rPr>
                <w:rFonts w:cs="Calibri"/>
              </w:rPr>
              <w:t>1 230</w:t>
            </w:r>
          </w:p>
        </w:tc>
        <w:tc>
          <w:tcPr>
            <w:tcW w:w="823" w:type="dxa"/>
            <w:tcBorders>
              <w:top w:val="nil"/>
              <w:left w:val="nil"/>
              <w:bottom w:val="single" w:sz="4" w:space="0" w:color="auto"/>
              <w:right w:val="single" w:sz="4" w:space="0" w:color="auto"/>
            </w:tcBorders>
            <w:shd w:val="clear" w:color="auto" w:fill="auto"/>
            <w:noWrap/>
            <w:vAlign w:val="bottom"/>
            <w:hideMark/>
          </w:tcPr>
          <w:p w14:paraId="54F56265" w14:textId="2ABC5011" w:rsidR="007E2F70" w:rsidRPr="0053555E" w:rsidRDefault="007E2F70" w:rsidP="007E2F70">
            <w:pPr>
              <w:jc w:val="center"/>
              <w:rPr>
                <w:rFonts w:asciiTheme="majorHAnsi" w:hAnsiTheme="majorHAnsi" w:cstheme="majorHAnsi"/>
              </w:rPr>
            </w:pPr>
            <w:r w:rsidRPr="0053555E">
              <w:rPr>
                <w:rFonts w:cs="Calibri"/>
              </w:rPr>
              <w:t>1 577</w:t>
            </w:r>
          </w:p>
        </w:tc>
        <w:tc>
          <w:tcPr>
            <w:tcW w:w="822" w:type="dxa"/>
            <w:tcBorders>
              <w:top w:val="nil"/>
              <w:left w:val="nil"/>
              <w:bottom w:val="single" w:sz="4" w:space="0" w:color="auto"/>
              <w:right w:val="single" w:sz="4" w:space="0" w:color="auto"/>
            </w:tcBorders>
            <w:shd w:val="clear" w:color="auto" w:fill="auto"/>
            <w:noWrap/>
            <w:vAlign w:val="bottom"/>
            <w:hideMark/>
          </w:tcPr>
          <w:p w14:paraId="64CCA763" w14:textId="7AC60AE0" w:rsidR="007E2F70" w:rsidRPr="0053555E" w:rsidRDefault="007E2F70" w:rsidP="007E2F70">
            <w:pPr>
              <w:jc w:val="center"/>
              <w:rPr>
                <w:rFonts w:asciiTheme="majorHAnsi" w:hAnsiTheme="majorHAnsi" w:cstheme="majorHAnsi"/>
              </w:rPr>
            </w:pPr>
            <w:r w:rsidRPr="0053555E">
              <w:rPr>
                <w:rFonts w:cs="Calibri"/>
              </w:rPr>
              <w:t>1 109</w:t>
            </w:r>
          </w:p>
        </w:tc>
        <w:tc>
          <w:tcPr>
            <w:tcW w:w="822" w:type="dxa"/>
            <w:tcBorders>
              <w:top w:val="nil"/>
              <w:left w:val="nil"/>
              <w:bottom w:val="single" w:sz="4" w:space="0" w:color="auto"/>
              <w:right w:val="single" w:sz="4" w:space="0" w:color="auto"/>
            </w:tcBorders>
            <w:shd w:val="clear" w:color="auto" w:fill="auto"/>
            <w:noWrap/>
            <w:vAlign w:val="bottom"/>
            <w:hideMark/>
          </w:tcPr>
          <w:p w14:paraId="1A3E73FB" w14:textId="7598E4C1" w:rsidR="007E2F70" w:rsidRPr="0053555E" w:rsidRDefault="007E2F70" w:rsidP="007E2F70">
            <w:pPr>
              <w:jc w:val="center"/>
              <w:rPr>
                <w:rFonts w:asciiTheme="majorHAnsi" w:hAnsiTheme="majorHAnsi" w:cstheme="majorHAnsi"/>
              </w:rPr>
            </w:pPr>
            <w:r w:rsidRPr="0053555E">
              <w:rPr>
                <w:rFonts w:cs="Calibri"/>
              </w:rPr>
              <w:t>1 288</w:t>
            </w:r>
          </w:p>
        </w:tc>
        <w:tc>
          <w:tcPr>
            <w:tcW w:w="823" w:type="dxa"/>
            <w:tcBorders>
              <w:top w:val="nil"/>
              <w:left w:val="nil"/>
              <w:bottom w:val="single" w:sz="4" w:space="0" w:color="auto"/>
              <w:right w:val="single" w:sz="4" w:space="0" w:color="auto"/>
            </w:tcBorders>
            <w:shd w:val="clear" w:color="auto" w:fill="auto"/>
            <w:noWrap/>
            <w:vAlign w:val="bottom"/>
            <w:hideMark/>
          </w:tcPr>
          <w:p w14:paraId="68F4370D" w14:textId="0161F048" w:rsidR="007E2F70" w:rsidRPr="0053555E" w:rsidRDefault="007E2F70" w:rsidP="007E2F70">
            <w:pPr>
              <w:jc w:val="center"/>
              <w:rPr>
                <w:rFonts w:asciiTheme="majorHAnsi" w:hAnsiTheme="majorHAnsi" w:cstheme="majorHAnsi"/>
              </w:rPr>
            </w:pPr>
            <w:r w:rsidRPr="0053555E">
              <w:rPr>
                <w:rFonts w:cs="Calibri"/>
              </w:rPr>
              <w:t>892</w:t>
            </w:r>
          </w:p>
        </w:tc>
        <w:tc>
          <w:tcPr>
            <w:tcW w:w="822" w:type="dxa"/>
            <w:tcBorders>
              <w:top w:val="nil"/>
              <w:left w:val="nil"/>
              <w:bottom w:val="single" w:sz="4" w:space="0" w:color="auto"/>
              <w:right w:val="single" w:sz="4" w:space="0" w:color="auto"/>
            </w:tcBorders>
            <w:shd w:val="clear" w:color="auto" w:fill="auto"/>
            <w:noWrap/>
            <w:vAlign w:val="bottom"/>
            <w:hideMark/>
          </w:tcPr>
          <w:p w14:paraId="7BF0E9E0" w14:textId="622E9E96" w:rsidR="007E2F70" w:rsidRPr="0053555E" w:rsidRDefault="007E2F70" w:rsidP="007E2F70">
            <w:pPr>
              <w:jc w:val="center"/>
              <w:rPr>
                <w:rFonts w:asciiTheme="majorHAnsi" w:hAnsiTheme="majorHAnsi" w:cstheme="majorHAnsi"/>
              </w:rPr>
            </w:pPr>
            <w:r w:rsidRPr="0053555E">
              <w:rPr>
                <w:rFonts w:cs="Calibri"/>
              </w:rPr>
              <w:t>1 334</w:t>
            </w:r>
          </w:p>
        </w:tc>
        <w:tc>
          <w:tcPr>
            <w:tcW w:w="823" w:type="dxa"/>
            <w:tcBorders>
              <w:top w:val="nil"/>
              <w:left w:val="nil"/>
              <w:bottom w:val="single" w:sz="4" w:space="0" w:color="auto"/>
              <w:right w:val="single" w:sz="4" w:space="0" w:color="auto"/>
            </w:tcBorders>
            <w:shd w:val="clear" w:color="auto" w:fill="auto"/>
            <w:noWrap/>
            <w:vAlign w:val="bottom"/>
            <w:hideMark/>
          </w:tcPr>
          <w:p w14:paraId="644935C0" w14:textId="1971C766" w:rsidR="007E2F70" w:rsidRPr="0053555E" w:rsidRDefault="007E2F70" w:rsidP="007E2F70">
            <w:pPr>
              <w:jc w:val="center"/>
              <w:rPr>
                <w:rFonts w:asciiTheme="majorHAnsi" w:hAnsiTheme="majorHAnsi" w:cstheme="majorHAnsi"/>
              </w:rPr>
            </w:pPr>
            <w:r w:rsidRPr="0053555E">
              <w:rPr>
                <w:rFonts w:cs="Calibri"/>
              </w:rPr>
              <w:t>930</w:t>
            </w:r>
          </w:p>
        </w:tc>
      </w:tr>
      <w:tr w:rsidR="007E2F70" w:rsidRPr="0053555E" w14:paraId="342C80FC" w14:textId="77777777" w:rsidTr="00BD3C0E">
        <w:trPr>
          <w:trHeight w:val="315"/>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00011E49" w14:textId="77777777" w:rsidR="007E2F70" w:rsidRPr="0053555E" w:rsidRDefault="007E2F70" w:rsidP="007E2F70">
            <w:pPr>
              <w:tabs>
                <w:tab w:val="left" w:pos="9356"/>
              </w:tabs>
              <w:jc w:val="both"/>
              <w:rPr>
                <w:rFonts w:asciiTheme="majorHAnsi" w:eastAsia="Times New Roman" w:hAnsiTheme="majorHAnsi" w:cstheme="majorHAnsi"/>
                <w:b/>
                <w:lang w:eastAsia="sk-SK"/>
              </w:rPr>
            </w:pPr>
            <w:r w:rsidRPr="0053555E">
              <w:rPr>
                <w:rFonts w:asciiTheme="majorHAnsi" w:eastAsia="Times New Roman" w:hAnsiTheme="majorHAnsi" w:cstheme="majorHAnsi"/>
                <w:b/>
                <w:lang w:eastAsia="sk-SK"/>
              </w:rPr>
              <w:t>TU ZV</w:t>
            </w:r>
          </w:p>
        </w:tc>
        <w:tc>
          <w:tcPr>
            <w:tcW w:w="822" w:type="dxa"/>
            <w:tcBorders>
              <w:top w:val="nil"/>
              <w:left w:val="nil"/>
              <w:bottom w:val="single" w:sz="4" w:space="0" w:color="auto"/>
              <w:right w:val="single" w:sz="4" w:space="0" w:color="auto"/>
            </w:tcBorders>
            <w:shd w:val="clear" w:color="auto" w:fill="auto"/>
            <w:noWrap/>
            <w:vAlign w:val="bottom"/>
            <w:hideMark/>
          </w:tcPr>
          <w:p w14:paraId="45F37A43" w14:textId="5EAB9FE3" w:rsidR="007E2F70" w:rsidRPr="0053555E" w:rsidRDefault="007E2F70" w:rsidP="007E2F70">
            <w:pPr>
              <w:jc w:val="center"/>
              <w:rPr>
                <w:rFonts w:asciiTheme="majorHAnsi" w:hAnsiTheme="majorHAnsi" w:cstheme="majorHAnsi"/>
              </w:rPr>
            </w:pPr>
            <w:r w:rsidRPr="0053555E">
              <w:rPr>
                <w:rFonts w:cs="Calibri"/>
              </w:rPr>
              <w:t>714</w:t>
            </w:r>
          </w:p>
        </w:tc>
        <w:tc>
          <w:tcPr>
            <w:tcW w:w="822" w:type="dxa"/>
            <w:tcBorders>
              <w:top w:val="nil"/>
              <w:left w:val="nil"/>
              <w:bottom w:val="single" w:sz="4" w:space="0" w:color="auto"/>
              <w:right w:val="single" w:sz="4" w:space="0" w:color="auto"/>
            </w:tcBorders>
            <w:shd w:val="clear" w:color="auto" w:fill="auto"/>
            <w:noWrap/>
            <w:vAlign w:val="bottom"/>
            <w:hideMark/>
          </w:tcPr>
          <w:p w14:paraId="28A62878" w14:textId="1D3B3C39" w:rsidR="007E2F70" w:rsidRPr="0053555E" w:rsidRDefault="007E2F70" w:rsidP="007E2F70">
            <w:pPr>
              <w:jc w:val="center"/>
              <w:rPr>
                <w:rFonts w:asciiTheme="majorHAnsi" w:hAnsiTheme="majorHAnsi" w:cstheme="majorHAnsi"/>
              </w:rPr>
            </w:pPr>
            <w:r w:rsidRPr="0053555E">
              <w:rPr>
                <w:rFonts w:cs="Calibri"/>
              </w:rPr>
              <w:t>521</w:t>
            </w:r>
          </w:p>
        </w:tc>
        <w:tc>
          <w:tcPr>
            <w:tcW w:w="823" w:type="dxa"/>
            <w:tcBorders>
              <w:top w:val="nil"/>
              <w:left w:val="nil"/>
              <w:bottom w:val="single" w:sz="4" w:space="0" w:color="auto"/>
              <w:right w:val="single" w:sz="4" w:space="0" w:color="auto"/>
            </w:tcBorders>
            <w:shd w:val="clear" w:color="auto" w:fill="auto"/>
            <w:noWrap/>
            <w:vAlign w:val="bottom"/>
            <w:hideMark/>
          </w:tcPr>
          <w:p w14:paraId="096B59EA" w14:textId="0C57788B" w:rsidR="007E2F70" w:rsidRPr="0053555E" w:rsidRDefault="007E2F70" w:rsidP="007E2F70">
            <w:pPr>
              <w:jc w:val="center"/>
              <w:rPr>
                <w:rFonts w:asciiTheme="majorHAnsi" w:hAnsiTheme="majorHAnsi" w:cstheme="majorHAnsi"/>
              </w:rPr>
            </w:pPr>
            <w:r w:rsidRPr="0053555E">
              <w:rPr>
                <w:rFonts w:cs="Calibri"/>
              </w:rPr>
              <w:t>671</w:t>
            </w:r>
          </w:p>
        </w:tc>
        <w:tc>
          <w:tcPr>
            <w:tcW w:w="822" w:type="dxa"/>
            <w:tcBorders>
              <w:top w:val="nil"/>
              <w:left w:val="nil"/>
              <w:bottom w:val="single" w:sz="4" w:space="0" w:color="auto"/>
              <w:right w:val="single" w:sz="4" w:space="0" w:color="auto"/>
            </w:tcBorders>
            <w:shd w:val="clear" w:color="auto" w:fill="auto"/>
            <w:noWrap/>
            <w:vAlign w:val="bottom"/>
            <w:hideMark/>
          </w:tcPr>
          <w:p w14:paraId="76652312" w14:textId="3BB83040" w:rsidR="007E2F70" w:rsidRPr="0053555E" w:rsidRDefault="007E2F70" w:rsidP="007E2F70">
            <w:pPr>
              <w:jc w:val="center"/>
              <w:rPr>
                <w:rFonts w:asciiTheme="majorHAnsi" w:hAnsiTheme="majorHAnsi" w:cstheme="majorHAnsi"/>
              </w:rPr>
            </w:pPr>
            <w:r w:rsidRPr="0053555E">
              <w:rPr>
                <w:rFonts w:cs="Calibri"/>
              </w:rPr>
              <w:t>502</w:t>
            </w:r>
          </w:p>
        </w:tc>
        <w:tc>
          <w:tcPr>
            <w:tcW w:w="823" w:type="dxa"/>
            <w:tcBorders>
              <w:top w:val="nil"/>
              <w:left w:val="nil"/>
              <w:bottom w:val="single" w:sz="4" w:space="0" w:color="auto"/>
              <w:right w:val="single" w:sz="4" w:space="0" w:color="auto"/>
            </w:tcBorders>
            <w:shd w:val="clear" w:color="auto" w:fill="auto"/>
            <w:noWrap/>
            <w:vAlign w:val="bottom"/>
            <w:hideMark/>
          </w:tcPr>
          <w:p w14:paraId="20FF6B2B" w14:textId="10D1289D" w:rsidR="007E2F70" w:rsidRPr="0053555E" w:rsidRDefault="007E2F70" w:rsidP="007E2F70">
            <w:pPr>
              <w:jc w:val="center"/>
              <w:rPr>
                <w:rFonts w:asciiTheme="majorHAnsi" w:hAnsiTheme="majorHAnsi" w:cstheme="majorHAnsi"/>
              </w:rPr>
            </w:pPr>
            <w:r w:rsidRPr="0053555E">
              <w:rPr>
                <w:rFonts w:cs="Calibri"/>
              </w:rPr>
              <w:t>640</w:t>
            </w:r>
          </w:p>
        </w:tc>
        <w:tc>
          <w:tcPr>
            <w:tcW w:w="822" w:type="dxa"/>
            <w:tcBorders>
              <w:top w:val="nil"/>
              <w:left w:val="nil"/>
              <w:bottom w:val="single" w:sz="4" w:space="0" w:color="auto"/>
              <w:right w:val="single" w:sz="4" w:space="0" w:color="auto"/>
            </w:tcBorders>
            <w:shd w:val="clear" w:color="auto" w:fill="auto"/>
            <w:noWrap/>
            <w:vAlign w:val="bottom"/>
            <w:hideMark/>
          </w:tcPr>
          <w:p w14:paraId="01BF0D64" w14:textId="4F8BE2EA" w:rsidR="007E2F70" w:rsidRPr="0053555E" w:rsidRDefault="007E2F70" w:rsidP="007E2F70">
            <w:pPr>
              <w:jc w:val="center"/>
              <w:rPr>
                <w:rFonts w:asciiTheme="majorHAnsi" w:hAnsiTheme="majorHAnsi" w:cstheme="majorHAnsi"/>
              </w:rPr>
            </w:pPr>
            <w:r w:rsidRPr="0053555E">
              <w:rPr>
                <w:rFonts w:cs="Calibri"/>
              </w:rPr>
              <w:t>475</w:t>
            </w:r>
          </w:p>
        </w:tc>
        <w:tc>
          <w:tcPr>
            <w:tcW w:w="822" w:type="dxa"/>
            <w:tcBorders>
              <w:top w:val="nil"/>
              <w:left w:val="nil"/>
              <w:bottom w:val="single" w:sz="4" w:space="0" w:color="auto"/>
              <w:right w:val="single" w:sz="4" w:space="0" w:color="auto"/>
            </w:tcBorders>
            <w:shd w:val="clear" w:color="auto" w:fill="auto"/>
            <w:noWrap/>
            <w:vAlign w:val="bottom"/>
            <w:hideMark/>
          </w:tcPr>
          <w:p w14:paraId="197174B8" w14:textId="73447061" w:rsidR="007E2F70" w:rsidRPr="0053555E" w:rsidRDefault="007E2F70" w:rsidP="007E2F70">
            <w:pPr>
              <w:jc w:val="center"/>
              <w:rPr>
                <w:rFonts w:asciiTheme="majorHAnsi" w:hAnsiTheme="majorHAnsi" w:cstheme="majorHAnsi"/>
              </w:rPr>
            </w:pPr>
            <w:r w:rsidRPr="0053555E">
              <w:rPr>
                <w:rFonts w:cs="Calibri"/>
              </w:rPr>
              <w:t>641</w:t>
            </w:r>
          </w:p>
        </w:tc>
        <w:tc>
          <w:tcPr>
            <w:tcW w:w="823" w:type="dxa"/>
            <w:tcBorders>
              <w:top w:val="nil"/>
              <w:left w:val="nil"/>
              <w:bottom w:val="single" w:sz="4" w:space="0" w:color="auto"/>
              <w:right w:val="single" w:sz="4" w:space="0" w:color="auto"/>
            </w:tcBorders>
            <w:shd w:val="clear" w:color="auto" w:fill="auto"/>
            <w:noWrap/>
            <w:vAlign w:val="bottom"/>
            <w:hideMark/>
          </w:tcPr>
          <w:p w14:paraId="309783F3" w14:textId="1DCA24E0" w:rsidR="007E2F70" w:rsidRPr="0053555E" w:rsidRDefault="007E2F70" w:rsidP="007E2F70">
            <w:pPr>
              <w:jc w:val="center"/>
              <w:rPr>
                <w:rFonts w:asciiTheme="majorHAnsi" w:hAnsiTheme="majorHAnsi" w:cstheme="majorHAnsi"/>
              </w:rPr>
            </w:pPr>
            <w:r w:rsidRPr="0053555E">
              <w:rPr>
                <w:rFonts w:cs="Calibri"/>
              </w:rPr>
              <w:t>411</w:t>
            </w:r>
          </w:p>
        </w:tc>
        <w:tc>
          <w:tcPr>
            <w:tcW w:w="822" w:type="dxa"/>
            <w:tcBorders>
              <w:top w:val="nil"/>
              <w:left w:val="nil"/>
              <w:bottom w:val="single" w:sz="4" w:space="0" w:color="auto"/>
              <w:right w:val="single" w:sz="4" w:space="0" w:color="auto"/>
            </w:tcBorders>
            <w:shd w:val="clear" w:color="auto" w:fill="auto"/>
            <w:noWrap/>
            <w:vAlign w:val="bottom"/>
            <w:hideMark/>
          </w:tcPr>
          <w:p w14:paraId="3FADC83C" w14:textId="56EE02E4" w:rsidR="007E2F70" w:rsidRPr="0053555E" w:rsidRDefault="007E2F70" w:rsidP="007E2F70">
            <w:pPr>
              <w:jc w:val="center"/>
              <w:rPr>
                <w:rFonts w:asciiTheme="majorHAnsi" w:hAnsiTheme="majorHAnsi" w:cstheme="majorHAnsi"/>
              </w:rPr>
            </w:pPr>
            <w:r w:rsidRPr="0053555E">
              <w:rPr>
                <w:rFonts w:cs="Calibri"/>
              </w:rPr>
              <w:t>650</w:t>
            </w:r>
          </w:p>
        </w:tc>
        <w:tc>
          <w:tcPr>
            <w:tcW w:w="823" w:type="dxa"/>
            <w:tcBorders>
              <w:top w:val="nil"/>
              <w:left w:val="nil"/>
              <w:bottom w:val="single" w:sz="4" w:space="0" w:color="auto"/>
              <w:right w:val="single" w:sz="4" w:space="0" w:color="auto"/>
            </w:tcBorders>
            <w:shd w:val="clear" w:color="auto" w:fill="auto"/>
            <w:noWrap/>
            <w:vAlign w:val="bottom"/>
            <w:hideMark/>
          </w:tcPr>
          <w:p w14:paraId="08E7802A" w14:textId="6C82B3E9" w:rsidR="007E2F70" w:rsidRPr="0053555E" w:rsidRDefault="007E2F70" w:rsidP="007E2F70">
            <w:pPr>
              <w:jc w:val="center"/>
              <w:rPr>
                <w:rFonts w:asciiTheme="majorHAnsi" w:hAnsiTheme="majorHAnsi" w:cstheme="majorHAnsi"/>
              </w:rPr>
            </w:pPr>
            <w:r w:rsidRPr="0053555E">
              <w:rPr>
                <w:rFonts w:cs="Calibri"/>
              </w:rPr>
              <w:t>410</w:t>
            </w:r>
          </w:p>
        </w:tc>
      </w:tr>
      <w:tr w:rsidR="007E2F70" w:rsidRPr="0053555E" w14:paraId="2A83CB21" w14:textId="77777777" w:rsidTr="00BD3C0E">
        <w:trPr>
          <w:trHeight w:val="315"/>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2A5D0017" w14:textId="77777777" w:rsidR="007E2F70" w:rsidRPr="0053555E" w:rsidRDefault="007E2F70" w:rsidP="007E2F70">
            <w:pPr>
              <w:tabs>
                <w:tab w:val="left" w:pos="9356"/>
              </w:tabs>
              <w:jc w:val="both"/>
              <w:rPr>
                <w:rFonts w:asciiTheme="majorHAnsi" w:eastAsia="Times New Roman" w:hAnsiTheme="majorHAnsi" w:cstheme="majorHAnsi"/>
                <w:b/>
                <w:lang w:eastAsia="sk-SK"/>
              </w:rPr>
            </w:pPr>
            <w:r w:rsidRPr="0053555E">
              <w:rPr>
                <w:rFonts w:asciiTheme="majorHAnsi" w:eastAsia="Times New Roman" w:hAnsiTheme="majorHAnsi" w:cstheme="majorHAnsi"/>
                <w:b/>
                <w:lang w:eastAsia="sk-SK"/>
              </w:rPr>
              <w:t>TU KE</w:t>
            </w:r>
          </w:p>
        </w:tc>
        <w:tc>
          <w:tcPr>
            <w:tcW w:w="822" w:type="dxa"/>
            <w:tcBorders>
              <w:top w:val="nil"/>
              <w:left w:val="nil"/>
              <w:bottom w:val="single" w:sz="4" w:space="0" w:color="auto"/>
              <w:right w:val="single" w:sz="4" w:space="0" w:color="auto"/>
            </w:tcBorders>
            <w:shd w:val="clear" w:color="auto" w:fill="auto"/>
            <w:noWrap/>
            <w:vAlign w:val="bottom"/>
            <w:hideMark/>
          </w:tcPr>
          <w:p w14:paraId="4CD94334" w14:textId="77587206" w:rsidR="007E2F70" w:rsidRPr="0053555E" w:rsidRDefault="007E2F70" w:rsidP="007E2F70">
            <w:pPr>
              <w:jc w:val="center"/>
              <w:rPr>
                <w:rFonts w:asciiTheme="majorHAnsi" w:hAnsiTheme="majorHAnsi" w:cstheme="majorHAnsi"/>
              </w:rPr>
            </w:pPr>
            <w:r w:rsidRPr="0053555E">
              <w:rPr>
                <w:rFonts w:cs="Calibri"/>
              </w:rPr>
              <w:t>4 058</w:t>
            </w:r>
          </w:p>
        </w:tc>
        <w:tc>
          <w:tcPr>
            <w:tcW w:w="822" w:type="dxa"/>
            <w:tcBorders>
              <w:top w:val="nil"/>
              <w:left w:val="nil"/>
              <w:bottom w:val="single" w:sz="4" w:space="0" w:color="auto"/>
              <w:right w:val="single" w:sz="4" w:space="0" w:color="auto"/>
            </w:tcBorders>
            <w:shd w:val="clear" w:color="auto" w:fill="auto"/>
            <w:noWrap/>
            <w:vAlign w:val="bottom"/>
            <w:hideMark/>
          </w:tcPr>
          <w:p w14:paraId="45F3FB5B" w14:textId="0B2FF0A6" w:rsidR="007E2F70" w:rsidRPr="0053555E" w:rsidRDefault="007E2F70" w:rsidP="007E2F70">
            <w:pPr>
              <w:jc w:val="center"/>
              <w:rPr>
                <w:rFonts w:asciiTheme="majorHAnsi" w:hAnsiTheme="majorHAnsi" w:cstheme="majorHAnsi"/>
              </w:rPr>
            </w:pPr>
            <w:r w:rsidRPr="0053555E">
              <w:rPr>
                <w:rFonts w:cs="Calibri"/>
              </w:rPr>
              <w:t>2 758</w:t>
            </w:r>
          </w:p>
        </w:tc>
        <w:tc>
          <w:tcPr>
            <w:tcW w:w="823" w:type="dxa"/>
            <w:tcBorders>
              <w:top w:val="nil"/>
              <w:left w:val="nil"/>
              <w:bottom w:val="single" w:sz="4" w:space="0" w:color="auto"/>
              <w:right w:val="single" w:sz="4" w:space="0" w:color="auto"/>
            </w:tcBorders>
            <w:shd w:val="clear" w:color="auto" w:fill="auto"/>
            <w:noWrap/>
            <w:vAlign w:val="bottom"/>
            <w:hideMark/>
          </w:tcPr>
          <w:p w14:paraId="3BFEA741" w14:textId="496AF656" w:rsidR="007E2F70" w:rsidRPr="0053555E" w:rsidRDefault="007E2F70" w:rsidP="007E2F70">
            <w:pPr>
              <w:jc w:val="center"/>
              <w:rPr>
                <w:rFonts w:asciiTheme="majorHAnsi" w:hAnsiTheme="majorHAnsi" w:cstheme="majorHAnsi"/>
              </w:rPr>
            </w:pPr>
            <w:r w:rsidRPr="0053555E">
              <w:rPr>
                <w:rFonts w:cs="Calibri"/>
              </w:rPr>
              <w:t>4 420</w:t>
            </w:r>
          </w:p>
        </w:tc>
        <w:tc>
          <w:tcPr>
            <w:tcW w:w="822" w:type="dxa"/>
            <w:tcBorders>
              <w:top w:val="nil"/>
              <w:left w:val="nil"/>
              <w:bottom w:val="single" w:sz="4" w:space="0" w:color="auto"/>
              <w:right w:val="single" w:sz="4" w:space="0" w:color="auto"/>
            </w:tcBorders>
            <w:shd w:val="clear" w:color="auto" w:fill="auto"/>
            <w:noWrap/>
            <w:vAlign w:val="bottom"/>
            <w:hideMark/>
          </w:tcPr>
          <w:p w14:paraId="3363303F" w14:textId="6B3EEFBD" w:rsidR="007E2F70" w:rsidRPr="0053555E" w:rsidRDefault="007E2F70" w:rsidP="007E2F70">
            <w:pPr>
              <w:jc w:val="center"/>
              <w:rPr>
                <w:rFonts w:asciiTheme="majorHAnsi" w:hAnsiTheme="majorHAnsi" w:cstheme="majorHAnsi"/>
              </w:rPr>
            </w:pPr>
            <w:r w:rsidRPr="0053555E">
              <w:rPr>
                <w:rFonts w:cs="Calibri"/>
              </w:rPr>
              <w:t>2 991</w:t>
            </w:r>
          </w:p>
        </w:tc>
        <w:tc>
          <w:tcPr>
            <w:tcW w:w="823" w:type="dxa"/>
            <w:tcBorders>
              <w:top w:val="nil"/>
              <w:left w:val="nil"/>
              <w:bottom w:val="single" w:sz="4" w:space="0" w:color="auto"/>
              <w:right w:val="single" w:sz="4" w:space="0" w:color="auto"/>
            </w:tcBorders>
            <w:shd w:val="clear" w:color="auto" w:fill="auto"/>
            <w:noWrap/>
            <w:vAlign w:val="bottom"/>
            <w:hideMark/>
          </w:tcPr>
          <w:p w14:paraId="7F3EAD3C" w14:textId="54BDF319" w:rsidR="007E2F70" w:rsidRPr="0053555E" w:rsidRDefault="007E2F70" w:rsidP="007E2F70">
            <w:pPr>
              <w:jc w:val="center"/>
              <w:rPr>
                <w:rFonts w:asciiTheme="majorHAnsi" w:hAnsiTheme="majorHAnsi" w:cstheme="majorHAnsi"/>
              </w:rPr>
            </w:pPr>
            <w:r w:rsidRPr="0053555E">
              <w:rPr>
                <w:rFonts w:cs="Calibri"/>
              </w:rPr>
              <w:t>4 080</w:t>
            </w:r>
          </w:p>
        </w:tc>
        <w:tc>
          <w:tcPr>
            <w:tcW w:w="822" w:type="dxa"/>
            <w:tcBorders>
              <w:top w:val="nil"/>
              <w:left w:val="nil"/>
              <w:bottom w:val="single" w:sz="4" w:space="0" w:color="auto"/>
              <w:right w:val="single" w:sz="4" w:space="0" w:color="auto"/>
            </w:tcBorders>
            <w:shd w:val="clear" w:color="auto" w:fill="auto"/>
            <w:noWrap/>
            <w:vAlign w:val="bottom"/>
            <w:hideMark/>
          </w:tcPr>
          <w:p w14:paraId="2288DA86" w14:textId="79AE2E44" w:rsidR="007E2F70" w:rsidRPr="0053555E" w:rsidRDefault="007E2F70" w:rsidP="007E2F70">
            <w:pPr>
              <w:jc w:val="center"/>
              <w:rPr>
                <w:rFonts w:asciiTheme="majorHAnsi" w:hAnsiTheme="majorHAnsi" w:cstheme="majorHAnsi"/>
              </w:rPr>
            </w:pPr>
            <w:r w:rsidRPr="0053555E">
              <w:rPr>
                <w:rFonts w:cs="Calibri"/>
              </w:rPr>
              <w:t>2 628</w:t>
            </w:r>
          </w:p>
        </w:tc>
        <w:tc>
          <w:tcPr>
            <w:tcW w:w="822" w:type="dxa"/>
            <w:tcBorders>
              <w:top w:val="nil"/>
              <w:left w:val="nil"/>
              <w:bottom w:val="single" w:sz="4" w:space="0" w:color="auto"/>
              <w:right w:val="single" w:sz="4" w:space="0" w:color="auto"/>
            </w:tcBorders>
            <w:shd w:val="clear" w:color="auto" w:fill="auto"/>
            <w:noWrap/>
            <w:vAlign w:val="bottom"/>
            <w:hideMark/>
          </w:tcPr>
          <w:p w14:paraId="773406BE" w14:textId="54DF01C6" w:rsidR="007E2F70" w:rsidRPr="0053555E" w:rsidRDefault="007E2F70" w:rsidP="007E2F70">
            <w:pPr>
              <w:jc w:val="center"/>
              <w:rPr>
                <w:rFonts w:asciiTheme="majorHAnsi" w:hAnsiTheme="majorHAnsi" w:cstheme="majorHAnsi"/>
              </w:rPr>
            </w:pPr>
            <w:r w:rsidRPr="0053555E">
              <w:rPr>
                <w:rFonts w:cs="Calibri"/>
              </w:rPr>
              <w:t>4 649</w:t>
            </w:r>
          </w:p>
        </w:tc>
        <w:tc>
          <w:tcPr>
            <w:tcW w:w="823" w:type="dxa"/>
            <w:tcBorders>
              <w:top w:val="nil"/>
              <w:left w:val="nil"/>
              <w:bottom w:val="single" w:sz="4" w:space="0" w:color="auto"/>
              <w:right w:val="single" w:sz="4" w:space="0" w:color="auto"/>
            </w:tcBorders>
            <w:shd w:val="clear" w:color="auto" w:fill="auto"/>
            <w:noWrap/>
            <w:vAlign w:val="bottom"/>
            <w:hideMark/>
          </w:tcPr>
          <w:p w14:paraId="21F38C7B" w14:textId="4E7A5963" w:rsidR="007E2F70" w:rsidRPr="0053555E" w:rsidRDefault="007E2F70" w:rsidP="007E2F70">
            <w:pPr>
              <w:jc w:val="center"/>
              <w:rPr>
                <w:rFonts w:asciiTheme="majorHAnsi" w:hAnsiTheme="majorHAnsi" w:cstheme="majorHAnsi"/>
              </w:rPr>
            </w:pPr>
            <w:r w:rsidRPr="0053555E">
              <w:rPr>
                <w:rFonts w:cs="Calibri"/>
              </w:rPr>
              <w:t>2 880</w:t>
            </w:r>
          </w:p>
        </w:tc>
        <w:tc>
          <w:tcPr>
            <w:tcW w:w="822" w:type="dxa"/>
            <w:tcBorders>
              <w:top w:val="nil"/>
              <w:left w:val="nil"/>
              <w:bottom w:val="single" w:sz="4" w:space="0" w:color="auto"/>
              <w:right w:val="single" w:sz="4" w:space="0" w:color="auto"/>
            </w:tcBorders>
            <w:shd w:val="clear" w:color="auto" w:fill="auto"/>
            <w:noWrap/>
            <w:vAlign w:val="bottom"/>
            <w:hideMark/>
          </w:tcPr>
          <w:p w14:paraId="1760FC10" w14:textId="6791D4AC" w:rsidR="007E2F70" w:rsidRPr="0053555E" w:rsidRDefault="007E2F70" w:rsidP="007E2F70">
            <w:pPr>
              <w:jc w:val="center"/>
              <w:rPr>
                <w:rFonts w:asciiTheme="majorHAnsi" w:hAnsiTheme="majorHAnsi" w:cstheme="majorHAnsi"/>
              </w:rPr>
            </w:pPr>
            <w:r w:rsidRPr="0053555E">
              <w:rPr>
                <w:rFonts w:cs="Calibri"/>
              </w:rPr>
              <w:t>7 102</w:t>
            </w:r>
          </w:p>
        </w:tc>
        <w:tc>
          <w:tcPr>
            <w:tcW w:w="823" w:type="dxa"/>
            <w:tcBorders>
              <w:top w:val="nil"/>
              <w:left w:val="nil"/>
              <w:bottom w:val="single" w:sz="4" w:space="0" w:color="auto"/>
              <w:right w:val="single" w:sz="4" w:space="0" w:color="auto"/>
            </w:tcBorders>
            <w:shd w:val="clear" w:color="auto" w:fill="auto"/>
            <w:noWrap/>
            <w:vAlign w:val="bottom"/>
            <w:hideMark/>
          </w:tcPr>
          <w:p w14:paraId="7EB2C02F" w14:textId="5D491A47" w:rsidR="007E2F70" w:rsidRPr="0053555E" w:rsidRDefault="007E2F70" w:rsidP="007E2F70">
            <w:pPr>
              <w:jc w:val="center"/>
              <w:rPr>
                <w:rFonts w:asciiTheme="majorHAnsi" w:hAnsiTheme="majorHAnsi" w:cstheme="majorHAnsi"/>
              </w:rPr>
            </w:pPr>
            <w:r w:rsidRPr="0053555E">
              <w:rPr>
                <w:rFonts w:cs="Calibri"/>
              </w:rPr>
              <w:t>4 346</w:t>
            </w:r>
          </w:p>
        </w:tc>
      </w:tr>
      <w:tr w:rsidR="007E2F70" w:rsidRPr="0053555E" w14:paraId="4A0693B8" w14:textId="77777777" w:rsidTr="00BD3C0E">
        <w:trPr>
          <w:trHeight w:val="315"/>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1D1474CD" w14:textId="77777777" w:rsidR="007E2F70" w:rsidRPr="0053555E" w:rsidRDefault="007E2F70" w:rsidP="007E2F70">
            <w:pPr>
              <w:tabs>
                <w:tab w:val="left" w:pos="9356"/>
              </w:tabs>
              <w:jc w:val="both"/>
              <w:rPr>
                <w:rFonts w:asciiTheme="majorHAnsi" w:eastAsia="Times New Roman" w:hAnsiTheme="majorHAnsi" w:cstheme="majorHAnsi"/>
                <w:b/>
                <w:lang w:eastAsia="sk-SK"/>
              </w:rPr>
            </w:pPr>
            <w:r w:rsidRPr="0053555E">
              <w:rPr>
                <w:rFonts w:asciiTheme="majorHAnsi" w:eastAsia="Times New Roman" w:hAnsiTheme="majorHAnsi" w:cstheme="majorHAnsi"/>
                <w:b/>
                <w:lang w:eastAsia="sk-SK"/>
              </w:rPr>
              <w:t xml:space="preserve">ŽU </w:t>
            </w:r>
          </w:p>
        </w:tc>
        <w:tc>
          <w:tcPr>
            <w:tcW w:w="822" w:type="dxa"/>
            <w:tcBorders>
              <w:top w:val="nil"/>
              <w:left w:val="nil"/>
              <w:bottom w:val="single" w:sz="4" w:space="0" w:color="auto"/>
              <w:right w:val="single" w:sz="4" w:space="0" w:color="auto"/>
            </w:tcBorders>
            <w:shd w:val="clear" w:color="auto" w:fill="auto"/>
            <w:noWrap/>
            <w:vAlign w:val="bottom"/>
            <w:hideMark/>
          </w:tcPr>
          <w:p w14:paraId="34D19EB6" w14:textId="163F4C36" w:rsidR="007E2F70" w:rsidRPr="0053555E" w:rsidRDefault="007E2F70" w:rsidP="007E2F70">
            <w:pPr>
              <w:jc w:val="center"/>
              <w:rPr>
                <w:rFonts w:asciiTheme="majorHAnsi" w:hAnsiTheme="majorHAnsi" w:cstheme="majorHAnsi"/>
              </w:rPr>
            </w:pPr>
            <w:r w:rsidRPr="0053555E">
              <w:rPr>
                <w:rFonts w:cs="Calibri"/>
              </w:rPr>
              <w:t>3 060</w:t>
            </w:r>
          </w:p>
        </w:tc>
        <w:tc>
          <w:tcPr>
            <w:tcW w:w="822" w:type="dxa"/>
            <w:tcBorders>
              <w:top w:val="nil"/>
              <w:left w:val="nil"/>
              <w:bottom w:val="single" w:sz="4" w:space="0" w:color="auto"/>
              <w:right w:val="single" w:sz="4" w:space="0" w:color="auto"/>
            </w:tcBorders>
            <w:shd w:val="clear" w:color="auto" w:fill="auto"/>
            <w:noWrap/>
            <w:vAlign w:val="bottom"/>
            <w:hideMark/>
          </w:tcPr>
          <w:p w14:paraId="68C27578" w14:textId="707A5F46" w:rsidR="007E2F70" w:rsidRPr="0053555E" w:rsidRDefault="007E2F70" w:rsidP="007E2F70">
            <w:pPr>
              <w:jc w:val="center"/>
              <w:rPr>
                <w:rFonts w:asciiTheme="majorHAnsi" w:hAnsiTheme="majorHAnsi" w:cstheme="majorHAnsi"/>
              </w:rPr>
            </w:pPr>
            <w:r w:rsidRPr="0053555E">
              <w:rPr>
                <w:rFonts w:cs="Calibri"/>
              </w:rPr>
              <w:t>2 230</w:t>
            </w:r>
          </w:p>
        </w:tc>
        <w:tc>
          <w:tcPr>
            <w:tcW w:w="823" w:type="dxa"/>
            <w:tcBorders>
              <w:top w:val="nil"/>
              <w:left w:val="nil"/>
              <w:bottom w:val="single" w:sz="4" w:space="0" w:color="auto"/>
              <w:right w:val="single" w:sz="4" w:space="0" w:color="auto"/>
            </w:tcBorders>
            <w:shd w:val="clear" w:color="auto" w:fill="auto"/>
            <w:noWrap/>
            <w:vAlign w:val="bottom"/>
            <w:hideMark/>
          </w:tcPr>
          <w:p w14:paraId="07217622" w14:textId="764291BD" w:rsidR="007E2F70" w:rsidRPr="0053555E" w:rsidRDefault="007E2F70" w:rsidP="007E2F70">
            <w:pPr>
              <w:jc w:val="center"/>
              <w:rPr>
                <w:rFonts w:asciiTheme="majorHAnsi" w:hAnsiTheme="majorHAnsi" w:cstheme="majorHAnsi"/>
              </w:rPr>
            </w:pPr>
            <w:r w:rsidRPr="0053555E">
              <w:rPr>
                <w:rFonts w:cs="Calibri"/>
              </w:rPr>
              <w:t>3 232</w:t>
            </w:r>
          </w:p>
        </w:tc>
        <w:tc>
          <w:tcPr>
            <w:tcW w:w="822" w:type="dxa"/>
            <w:tcBorders>
              <w:top w:val="nil"/>
              <w:left w:val="nil"/>
              <w:bottom w:val="single" w:sz="4" w:space="0" w:color="auto"/>
              <w:right w:val="single" w:sz="4" w:space="0" w:color="auto"/>
            </w:tcBorders>
            <w:shd w:val="clear" w:color="auto" w:fill="auto"/>
            <w:noWrap/>
            <w:vAlign w:val="bottom"/>
            <w:hideMark/>
          </w:tcPr>
          <w:p w14:paraId="29BD9B4B" w14:textId="494EB760" w:rsidR="007E2F70" w:rsidRPr="0053555E" w:rsidRDefault="007E2F70" w:rsidP="007E2F70">
            <w:pPr>
              <w:jc w:val="center"/>
              <w:rPr>
                <w:rFonts w:asciiTheme="majorHAnsi" w:hAnsiTheme="majorHAnsi" w:cstheme="majorHAnsi"/>
              </w:rPr>
            </w:pPr>
            <w:r w:rsidRPr="0053555E">
              <w:rPr>
                <w:rFonts w:cs="Calibri"/>
              </w:rPr>
              <w:t>2 284</w:t>
            </w:r>
          </w:p>
        </w:tc>
        <w:tc>
          <w:tcPr>
            <w:tcW w:w="823" w:type="dxa"/>
            <w:tcBorders>
              <w:top w:val="nil"/>
              <w:left w:val="nil"/>
              <w:bottom w:val="single" w:sz="4" w:space="0" w:color="auto"/>
              <w:right w:val="single" w:sz="4" w:space="0" w:color="auto"/>
            </w:tcBorders>
            <w:shd w:val="clear" w:color="auto" w:fill="auto"/>
            <w:noWrap/>
            <w:vAlign w:val="bottom"/>
            <w:hideMark/>
          </w:tcPr>
          <w:p w14:paraId="69FB54C6" w14:textId="0C71046A" w:rsidR="007E2F70" w:rsidRPr="0053555E" w:rsidRDefault="007E2F70" w:rsidP="007E2F70">
            <w:pPr>
              <w:jc w:val="center"/>
              <w:rPr>
                <w:rFonts w:asciiTheme="majorHAnsi" w:hAnsiTheme="majorHAnsi" w:cstheme="majorHAnsi"/>
              </w:rPr>
            </w:pPr>
            <w:r w:rsidRPr="0053555E">
              <w:rPr>
                <w:rFonts w:cs="Calibri"/>
              </w:rPr>
              <w:t>4 066</w:t>
            </w:r>
          </w:p>
        </w:tc>
        <w:tc>
          <w:tcPr>
            <w:tcW w:w="822" w:type="dxa"/>
            <w:tcBorders>
              <w:top w:val="nil"/>
              <w:left w:val="nil"/>
              <w:bottom w:val="single" w:sz="4" w:space="0" w:color="auto"/>
              <w:right w:val="single" w:sz="4" w:space="0" w:color="auto"/>
            </w:tcBorders>
            <w:shd w:val="clear" w:color="auto" w:fill="auto"/>
            <w:noWrap/>
            <w:vAlign w:val="bottom"/>
            <w:hideMark/>
          </w:tcPr>
          <w:p w14:paraId="69F02989" w14:textId="63D8B4EA" w:rsidR="007E2F70" w:rsidRPr="0053555E" w:rsidRDefault="007E2F70" w:rsidP="007E2F70">
            <w:pPr>
              <w:jc w:val="center"/>
              <w:rPr>
                <w:rFonts w:asciiTheme="majorHAnsi" w:hAnsiTheme="majorHAnsi" w:cstheme="majorHAnsi"/>
              </w:rPr>
            </w:pPr>
            <w:r w:rsidRPr="0053555E">
              <w:rPr>
                <w:rFonts w:cs="Calibri"/>
              </w:rPr>
              <w:t>2 698</w:t>
            </w:r>
          </w:p>
        </w:tc>
        <w:tc>
          <w:tcPr>
            <w:tcW w:w="822" w:type="dxa"/>
            <w:tcBorders>
              <w:top w:val="nil"/>
              <w:left w:val="nil"/>
              <w:bottom w:val="single" w:sz="4" w:space="0" w:color="auto"/>
              <w:right w:val="single" w:sz="4" w:space="0" w:color="auto"/>
            </w:tcBorders>
            <w:shd w:val="clear" w:color="auto" w:fill="auto"/>
            <w:noWrap/>
            <w:vAlign w:val="bottom"/>
            <w:hideMark/>
          </w:tcPr>
          <w:p w14:paraId="3D766568" w14:textId="49B625D6" w:rsidR="007E2F70" w:rsidRPr="0053555E" w:rsidRDefault="007E2F70" w:rsidP="007E2F70">
            <w:pPr>
              <w:jc w:val="center"/>
              <w:rPr>
                <w:rFonts w:asciiTheme="majorHAnsi" w:hAnsiTheme="majorHAnsi" w:cstheme="majorHAnsi"/>
              </w:rPr>
            </w:pPr>
            <w:r w:rsidRPr="0053555E">
              <w:rPr>
                <w:rFonts w:cs="Calibri"/>
              </w:rPr>
              <w:t>3 547</w:t>
            </w:r>
          </w:p>
        </w:tc>
        <w:tc>
          <w:tcPr>
            <w:tcW w:w="823" w:type="dxa"/>
            <w:tcBorders>
              <w:top w:val="nil"/>
              <w:left w:val="nil"/>
              <w:bottom w:val="single" w:sz="4" w:space="0" w:color="auto"/>
              <w:right w:val="single" w:sz="4" w:space="0" w:color="auto"/>
            </w:tcBorders>
            <w:shd w:val="clear" w:color="auto" w:fill="auto"/>
            <w:noWrap/>
            <w:vAlign w:val="bottom"/>
            <w:hideMark/>
          </w:tcPr>
          <w:p w14:paraId="021D0B32" w14:textId="18E9FA78" w:rsidR="007E2F70" w:rsidRPr="0053555E" w:rsidRDefault="007E2F70" w:rsidP="007E2F70">
            <w:pPr>
              <w:jc w:val="center"/>
              <w:rPr>
                <w:rFonts w:asciiTheme="majorHAnsi" w:hAnsiTheme="majorHAnsi" w:cstheme="majorHAnsi"/>
              </w:rPr>
            </w:pPr>
            <w:r w:rsidRPr="0053555E">
              <w:rPr>
                <w:rFonts w:cs="Calibri"/>
              </w:rPr>
              <w:t>2 154</w:t>
            </w:r>
          </w:p>
        </w:tc>
        <w:tc>
          <w:tcPr>
            <w:tcW w:w="822" w:type="dxa"/>
            <w:tcBorders>
              <w:top w:val="nil"/>
              <w:left w:val="nil"/>
              <w:bottom w:val="single" w:sz="4" w:space="0" w:color="auto"/>
              <w:right w:val="single" w:sz="4" w:space="0" w:color="auto"/>
            </w:tcBorders>
            <w:shd w:val="clear" w:color="auto" w:fill="auto"/>
            <w:noWrap/>
            <w:vAlign w:val="bottom"/>
            <w:hideMark/>
          </w:tcPr>
          <w:p w14:paraId="2F432A6C" w14:textId="578A54CB" w:rsidR="007E2F70" w:rsidRPr="0053555E" w:rsidRDefault="007E2F70" w:rsidP="007E2F70">
            <w:pPr>
              <w:jc w:val="center"/>
              <w:rPr>
                <w:rFonts w:asciiTheme="majorHAnsi" w:hAnsiTheme="majorHAnsi" w:cstheme="majorHAnsi"/>
              </w:rPr>
            </w:pPr>
            <w:r w:rsidRPr="0053555E">
              <w:rPr>
                <w:rFonts w:cs="Calibri"/>
              </w:rPr>
              <w:t>3 560</w:t>
            </w:r>
          </w:p>
        </w:tc>
        <w:tc>
          <w:tcPr>
            <w:tcW w:w="823" w:type="dxa"/>
            <w:tcBorders>
              <w:top w:val="nil"/>
              <w:left w:val="nil"/>
              <w:bottom w:val="single" w:sz="4" w:space="0" w:color="auto"/>
              <w:right w:val="single" w:sz="4" w:space="0" w:color="auto"/>
            </w:tcBorders>
            <w:shd w:val="clear" w:color="auto" w:fill="auto"/>
            <w:noWrap/>
            <w:vAlign w:val="bottom"/>
            <w:hideMark/>
          </w:tcPr>
          <w:p w14:paraId="3EBF3FFD" w14:textId="719BE46A" w:rsidR="007E2F70" w:rsidRPr="0053555E" w:rsidRDefault="007E2F70" w:rsidP="007E2F70">
            <w:pPr>
              <w:jc w:val="center"/>
              <w:rPr>
                <w:rFonts w:asciiTheme="majorHAnsi" w:hAnsiTheme="majorHAnsi" w:cstheme="majorHAnsi"/>
              </w:rPr>
            </w:pPr>
            <w:r w:rsidRPr="0053555E">
              <w:rPr>
                <w:rFonts w:cs="Calibri"/>
              </w:rPr>
              <w:t>2 359</w:t>
            </w:r>
          </w:p>
        </w:tc>
      </w:tr>
    </w:tbl>
    <w:p w14:paraId="795DC644" w14:textId="77777777" w:rsidR="003A7E23" w:rsidRPr="0053555E" w:rsidRDefault="003A7E23" w:rsidP="00324438">
      <w:pPr>
        <w:tabs>
          <w:tab w:val="left" w:pos="9356"/>
        </w:tabs>
        <w:jc w:val="both"/>
        <w:rPr>
          <w:rFonts w:asciiTheme="majorHAnsi" w:hAnsiTheme="majorHAnsi" w:cstheme="majorHAnsi"/>
          <w:sz w:val="20"/>
          <w:szCs w:val="22"/>
        </w:rPr>
      </w:pPr>
      <w:r w:rsidRPr="0053555E">
        <w:rPr>
          <w:rFonts w:asciiTheme="majorHAnsi" w:hAnsiTheme="majorHAnsi" w:cstheme="majorHAnsi"/>
          <w:sz w:val="20"/>
          <w:szCs w:val="22"/>
        </w:rPr>
        <w:t>Vysvetlivky:</w:t>
      </w:r>
    </w:p>
    <w:p w14:paraId="1D8C2966" w14:textId="128438C6" w:rsidR="005E66AF" w:rsidRPr="0053555E" w:rsidRDefault="005E66AF" w:rsidP="00324438">
      <w:pPr>
        <w:tabs>
          <w:tab w:val="left" w:pos="9356"/>
        </w:tabs>
        <w:jc w:val="both"/>
        <w:rPr>
          <w:rFonts w:asciiTheme="majorHAnsi" w:hAnsiTheme="majorHAnsi" w:cstheme="majorHAnsi"/>
          <w:sz w:val="20"/>
          <w:szCs w:val="22"/>
        </w:rPr>
      </w:pPr>
      <w:r w:rsidRPr="0053555E">
        <w:rPr>
          <w:rFonts w:asciiTheme="majorHAnsi" w:hAnsiTheme="majorHAnsi" w:cstheme="majorHAnsi"/>
          <w:sz w:val="20"/>
          <w:szCs w:val="22"/>
        </w:rPr>
        <w:t xml:space="preserve">Zdroj: Štatistické ročenky CVTI SR, </w:t>
      </w:r>
      <w:hyperlink r:id="rId55" w:history="1">
        <w:r w:rsidR="001A784C" w:rsidRPr="0053555E">
          <w:rPr>
            <w:rStyle w:val="Hypertextovprepojenie"/>
            <w:rFonts w:asciiTheme="majorHAnsi" w:hAnsiTheme="majorHAnsi" w:cstheme="majorHAnsi"/>
            <w:color w:val="auto"/>
            <w:sz w:val="20"/>
            <w:szCs w:val="22"/>
          </w:rPr>
          <w:t>www.cvtisr.sk</w:t>
        </w:r>
      </w:hyperlink>
    </w:p>
    <w:p w14:paraId="251CE9ED" w14:textId="77777777" w:rsidR="00D52952" w:rsidRPr="0053555E" w:rsidRDefault="00D52952" w:rsidP="00324438">
      <w:pPr>
        <w:tabs>
          <w:tab w:val="left" w:pos="9356"/>
        </w:tabs>
        <w:jc w:val="both"/>
        <w:rPr>
          <w:rFonts w:asciiTheme="majorHAnsi" w:hAnsiTheme="majorHAnsi" w:cstheme="majorHAnsi"/>
          <w:sz w:val="20"/>
          <w:szCs w:val="22"/>
        </w:rPr>
      </w:pPr>
    </w:p>
    <w:p w14:paraId="59882B73" w14:textId="4028D7DA" w:rsidR="00AD52E7" w:rsidRPr="0053555E" w:rsidRDefault="007B1DF1" w:rsidP="00BD3C0E">
      <w:pPr>
        <w:tabs>
          <w:tab w:val="left" w:pos="9356"/>
        </w:tabs>
        <w:jc w:val="both"/>
        <w:rPr>
          <w:rFonts w:asciiTheme="majorHAnsi" w:hAnsiTheme="majorHAnsi" w:cstheme="majorHAnsi"/>
        </w:rPr>
      </w:pPr>
      <w:r w:rsidRPr="0053555E">
        <w:rPr>
          <w:rFonts w:asciiTheme="majorHAnsi" w:hAnsiTheme="majorHAnsi" w:cstheme="majorHAnsi"/>
        </w:rPr>
        <w:t xml:space="preserve">Z grafu je </w:t>
      </w:r>
      <w:r w:rsidR="00196833" w:rsidRPr="0053555E">
        <w:rPr>
          <w:rFonts w:asciiTheme="majorHAnsi" w:hAnsiTheme="majorHAnsi" w:cstheme="majorHAnsi"/>
        </w:rPr>
        <w:t xml:space="preserve">vidieť, že </w:t>
      </w:r>
      <w:r w:rsidR="003B0D66" w:rsidRPr="0053555E">
        <w:rPr>
          <w:rFonts w:asciiTheme="majorHAnsi" w:hAnsiTheme="majorHAnsi" w:cstheme="majorHAnsi"/>
        </w:rPr>
        <w:t xml:space="preserve">všetky porovnávané vysoké školy zaznamenali v prijímacom konaní </w:t>
      </w:r>
      <w:r w:rsidR="00EA24BA" w:rsidRPr="0053555E">
        <w:rPr>
          <w:rFonts w:asciiTheme="majorHAnsi" w:hAnsiTheme="majorHAnsi" w:cstheme="majorHAnsi"/>
        </w:rPr>
        <w:t>2022/2023</w:t>
      </w:r>
      <w:r w:rsidR="003B0D66" w:rsidRPr="0053555E">
        <w:rPr>
          <w:rFonts w:asciiTheme="majorHAnsi" w:hAnsiTheme="majorHAnsi" w:cstheme="majorHAnsi"/>
        </w:rPr>
        <w:t xml:space="preserve"> </w:t>
      </w:r>
      <w:r w:rsidR="00295DB3">
        <w:rPr>
          <w:rFonts w:asciiTheme="majorHAnsi" w:hAnsiTheme="majorHAnsi" w:cstheme="majorHAnsi"/>
        </w:rPr>
        <w:t>niekde zanedbateľný</w:t>
      </w:r>
      <w:r w:rsidR="00816F2A">
        <w:rPr>
          <w:rFonts w:asciiTheme="majorHAnsi" w:hAnsiTheme="majorHAnsi" w:cstheme="majorHAnsi"/>
        </w:rPr>
        <w:t>, in</w:t>
      </w:r>
      <w:r w:rsidR="00295DB3">
        <w:rPr>
          <w:rFonts w:asciiTheme="majorHAnsi" w:hAnsiTheme="majorHAnsi" w:cstheme="majorHAnsi"/>
        </w:rPr>
        <w:t xml:space="preserve">de väčší </w:t>
      </w:r>
      <w:r w:rsidR="00485500">
        <w:rPr>
          <w:rFonts w:asciiTheme="majorHAnsi" w:hAnsiTheme="majorHAnsi" w:cstheme="majorHAnsi"/>
        </w:rPr>
        <w:t xml:space="preserve">nárast </w:t>
      </w:r>
      <w:r w:rsidR="003B0D66" w:rsidRPr="0053555E">
        <w:rPr>
          <w:rFonts w:asciiTheme="majorHAnsi" w:hAnsiTheme="majorHAnsi" w:cstheme="majorHAnsi"/>
        </w:rPr>
        <w:t>zapísaných študentov</w:t>
      </w:r>
      <w:r w:rsidR="00816F2A">
        <w:rPr>
          <w:rFonts w:asciiTheme="majorHAnsi" w:hAnsiTheme="majorHAnsi" w:cstheme="majorHAnsi"/>
        </w:rPr>
        <w:t>.</w:t>
      </w:r>
      <w:r w:rsidR="00D511C7">
        <w:rPr>
          <w:rFonts w:asciiTheme="majorHAnsi" w:hAnsiTheme="majorHAnsi" w:cstheme="majorHAnsi"/>
        </w:rPr>
        <w:t xml:space="preserve"> </w:t>
      </w:r>
      <w:r w:rsidR="00816F2A">
        <w:rPr>
          <w:rFonts w:asciiTheme="majorHAnsi" w:hAnsiTheme="majorHAnsi" w:cstheme="majorHAnsi"/>
        </w:rPr>
        <w:t>N</w:t>
      </w:r>
      <w:r w:rsidR="00295DB3">
        <w:rPr>
          <w:rFonts w:asciiTheme="majorHAnsi" w:hAnsiTheme="majorHAnsi" w:cstheme="majorHAnsi"/>
        </w:rPr>
        <w:t>ajvyšší nárast bol</w:t>
      </w:r>
      <w:r w:rsidR="00D511C7">
        <w:rPr>
          <w:rFonts w:asciiTheme="majorHAnsi" w:hAnsiTheme="majorHAnsi" w:cstheme="majorHAnsi"/>
        </w:rPr>
        <w:t xml:space="preserve"> na </w:t>
      </w:r>
      <w:r w:rsidR="003B0D66" w:rsidRPr="0053555E">
        <w:rPr>
          <w:rFonts w:asciiTheme="majorHAnsi" w:hAnsiTheme="majorHAnsi" w:cstheme="majorHAnsi"/>
        </w:rPr>
        <w:t>TU KE</w:t>
      </w:r>
      <w:r w:rsidR="007E042B" w:rsidRPr="0053555E">
        <w:rPr>
          <w:rFonts w:asciiTheme="majorHAnsi" w:hAnsiTheme="majorHAnsi" w:cstheme="majorHAnsi"/>
        </w:rPr>
        <w:t xml:space="preserve">, kde </w:t>
      </w:r>
      <w:r w:rsidR="004C2FD3">
        <w:rPr>
          <w:rFonts w:asciiTheme="majorHAnsi" w:hAnsiTheme="majorHAnsi" w:cstheme="majorHAnsi"/>
        </w:rPr>
        <w:t>to</w:t>
      </w:r>
      <w:r w:rsidR="007E042B" w:rsidRPr="0053555E">
        <w:rPr>
          <w:rFonts w:asciiTheme="majorHAnsi" w:hAnsiTheme="majorHAnsi" w:cstheme="majorHAnsi"/>
        </w:rPr>
        <w:t xml:space="preserve"> </w:t>
      </w:r>
      <w:r w:rsidR="009C1361" w:rsidRPr="0053555E">
        <w:rPr>
          <w:rFonts w:asciiTheme="majorHAnsi" w:hAnsiTheme="majorHAnsi" w:cstheme="majorHAnsi"/>
        </w:rPr>
        <w:t>môže byť</w:t>
      </w:r>
      <w:r w:rsidR="007E042B" w:rsidRPr="0053555E">
        <w:rPr>
          <w:rFonts w:asciiTheme="majorHAnsi" w:hAnsiTheme="majorHAnsi" w:cstheme="majorHAnsi"/>
        </w:rPr>
        <w:t xml:space="preserve"> spôsoben</w:t>
      </w:r>
      <w:r w:rsidR="00295DB3">
        <w:rPr>
          <w:rFonts w:asciiTheme="majorHAnsi" w:hAnsiTheme="majorHAnsi" w:cstheme="majorHAnsi"/>
        </w:rPr>
        <w:t>é</w:t>
      </w:r>
      <w:r w:rsidR="00816F2A">
        <w:rPr>
          <w:rFonts w:asciiTheme="majorHAnsi" w:hAnsiTheme="majorHAnsi" w:cstheme="majorHAnsi"/>
        </w:rPr>
        <w:t> blízkosťou</w:t>
      </w:r>
      <w:r w:rsidR="004C2FD3">
        <w:rPr>
          <w:rFonts w:asciiTheme="majorHAnsi" w:hAnsiTheme="majorHAnsi" w:cstheme="majorHAnsi"/>
        </w:rPr>
        <w:t xml:space="preserve"> hraníc s Ukrajinou</w:t>
      </w:r>
      <w:r w:rsidR="005713DB" w:rsidRPr="0053555E">
        <w:rPr>
          <w:rFonts w:asciiTheme="majorHAnsi" w:hAnsiTheme="majorHAnsi" w:cstheme="majorHAnsi"/>
        </w:rPr>
        <w:t>.</w:t>
      </w:r>
      <w:r w:rsidR="00B03788" w:rsidRPr="0053555E">
        <w:rPr>
          <w:rFonts w:asciiTheme="majorHAnsi" w:hAnsiTheme="majorHAnsi" w:cstheme="majorHAnsi"/>
        </w:rPr>
        <w:t xml:space="preserve"> </w:t>
      </w:r>
    </w:p>
    <w:p w14:paraId="576565B6" w14:textId="77777777" w:rsidR="00AD52E7" w:rsidRPr="0053555E" w:rsidRDefault="00AD52E7" w:rsidP="00BD3C0E">
      <w:pPr>
        <w:tabs>
          <w:tab w:val="left" w:pos="9356"/>
        </w:tabs>
        <w:jc w:val="both"/>
        <w:rPr>
          <w:rFonts w:asciiTheme="majorHAnsi" w:hAnsiTheme="majorHAnsi" w:cstheme="majorHAnsi"/>
        </w:rPr>
      </w:pPr>
    </w:p>
    <w:p w14:paraId="77495C68" w14:textId="41D1A0DF" w:rsidR="009A5A80" w:rsidRPr="0053555E" w:rsidRDefault="00FE40F7" w:rsidP="000E3322">
      <w:pPr>
        <w:pStyle w:val="Popis"/>
      </w:pPr>
      <w:bookmarkStart w:id="133" w:name="_Ref474780316"/>
      <w:bookmarkStart w:id="134" w:name="_Toc127593343"/>
      <w:r w:rsidRPr="0053555E">
        <w:t xml:space="preserve">Graf č. </w:t>
      </w:r>
      <w:r w:rsidR="007B5953">
        <w:fldChar w:fldCharType="begin"/>
      </w:r>
      <w:r w:rsidR="007B5953">
        <w:instrText xml:space="preserve"> SEQ Graf_č. \* ARABIC </w:instrText>
      </w:r>
      <w:r w:rsidR="007B5953">
        <w:fldChar w:fldCharType="separate"/>
      </w:r>
      <w:r w:rsidR="00EE1B59">
        <w:rPr>
          <w:noProof/>
        </w:rPr>
        <w:t>15</w:t>
      </w:r>
      <w:r w:rsidR="007B5953">
        <w:rPr>
          <w:noProof/>
        </w:rPr>
        <w:fldChar w:fldCharType="end"/>
      </w:r>
      <w:bookmarkEnd w:id="133"/>
      <w:r w:rsidRPr="0053555E">
        <w:t xml:space="preserve">: Porovnanie počtu zapísaných študentov na </w:t>
      </w:r>
      <w:r w:rsidR="00933288" w:rsidRPr="0053555E">
        <w:t>prvom</w:t>
      </w:r>
      <w:r w:rsidRPr="0053555E">
        <w:t xml:space="preserve"> stupni </w:t>
      </w:r>
      <w:r w:rsidR="00ED3AB2" w:rsidRPr="0053555E">
        <w:t>dennej form</w:t>
      </w:r>
      <w:r w:rsidR="00A004DC" w:rsidRPr="0053555E">
        <w:t>y</w:t>
      </w:r>
      <w:r w:rsidR="00ED3AB2" w:rsidRPr="0053555E">
        <w:t xml:space="preserve"> štúdia </w:t>
      </w:r>
      <w:r w:rsidR="00A1796C" w:rsidRPr="0053555E">
        <w:t>na </w:t>
      </w:r>
      <w:r w:rsidRPr="0053555E">
        <w:t xml:space="preserve">vybraných vysokých školách </w:t>
      </w:r>
      <w:r w:rsidR="005826B0" w:rsidRPr="0053555E">
        <w:t xml:space="preserve">v Slovenskej republike </w:t>
      </w:r>
      <w:r w:rsidRPr="0053555E">
        <w:t xml:space="preserve">za </w:t>
      </w:r>
      <w:r w:rsidR="00F3440E" w:rsidRPr="0053555E">
        <w:t>ostat</w:t>
      </w:r>
      <w:r w:rsidR="001E2C8B" w:rsidRPr="0053555E">
        <w:t>ných desať</w:t>
      </w:r>
      <w:r w:rsidRPr="0053555E">
        <w:t xml:space="preserve"> rokov</w:t>
      </w:r>
      <w:bookmarkEnd w:id="134"/>
    </w:p>
    <w:p w14:paraId="2E994E74" w14:textId="335B3DD2" w:rsidR="00AD52E7" w:rsidRPr="0053555E" w:rsidRDefault="00AD52E7" w:rsidP="00AD52E7">
      <w:r w:rsidRPr="0053555E">
        <w:rPr>
          <w:noProof/>
          <w:lang w:eastAsia="sk-SK"/>
        </w:rPr>
        <w:drawing>
          <wp:inline distT="0" distB="0" distL="0" distR="0" wp14:anchorId="4E5F6FAA" wp14:editId="3F767B8C">
            <wp:extent cx="5796915" cy="3631721"/>
            <wp:effectExtent l="0" t="0" r="0" b="6985"/>
            <wp:docPr id="22" name="Graf 22">
              <a:extLst xmlns:a="http://schemas.openxmlformats.org/drawingml/2006/main">
                <a:ext uri="{FF2B5EF4-FFF2-40B4-BE49-F238E27FC236}">
                  <a16:creationId xmlns:a16="http://schemas.microsoft.com/office/drawing/2014/main" id="{00000000-0008-0000-2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46AF9F7" w14:textId="17C9B0EE" w:rsidR="009E40C7" w:rsidRPr="0053555E" w:rsidRDefault="009E40C7" w:rsidP="009E40C7"/>
    <w:p w14:paraId="31C34D07" w14:textId="1119E671" w:rsidR="00FE40F7" w:rsidRPr="0053555E" w:rsidRDefault="00FE40F7" w:rsidP="00324438">
      <w:pPr>
        <w:tabs>
          <w:tab w:val="left" w:pos="9356"/>
        </w:tabs>
        <w:jc w:val="both"/>
        <w:rPr>
          <w:rFonts w:asciiTheme="majorHAnsi" w:hAnsiTheme="majorHAnsi" w:cstheme="majorHAnsi"/>
          <w:sz w:val="22"/>
          <w:szCs w:val="22"/>
        </w:rPr>
      </w:pPr>
      <w:r w:rsidRPr="0053555E">
        <w:rPr>
          <w:rFonts w:asciiTheme="majorHAnsi" w:hAnsiTheme="majorHAnsi" w:cstheme="majorHAnsi"/>
          <w:sz w:val="22"/>
          <w:szCs w:val="22"/>
        </w:rPr>
        <w:t>Vysvetlivky:</w:t>
      </w:r>
      <w:r w:rsidRPr="0053555E">
        <w:rPr>
          <w:rFonts w:asciiTheme="majorHAnsi" w:hAnsiTheme="majorHAnsi" w:cstheme="majorHAnsi"/>
          <w:sz w:val="22"/>
          <w:szCs w:val="22"/>
        </w:rPr>
        <w:tab/>
      </w:r>
    </w:p>
    <w:p w14:paraId="2C6EC42F" w14:textId="7582C44A" w:rsidR="003A7E23" w:rsidRPr="0053555E" w:rsidRDefault="003A7E23" w:rsidP="00324438">
      <w:pPr>
        <w:tabs>
          <w:tab w:val="left" w:pos="9356"/>
        </w:tabs>
        <w:jc w:val="both"/>
        <w:rPr>
          <w:rFonts w:asciiTheme="majorHAnsi" w:hAnsiTheme="majorHAnsi" w:cstheme="majorHAnsi"/>
          <w:sz w:val="22"/>
          <w:szCs w:val="22"/>
        </w:rPr>
      </w:pPr>
      <w:r w:rsidRPr="0053555E">
        <w:rPr>
          <w:rFonts w:asciiTheme="majorHAnsi" w:hAnsiTheme="majorHAnsi" w:cstheme="majorHAnsi"/>
          <w:sz w:val="22"/>
          <w:szCs w:val="22"/>
        </w:rPr>
        <w:t xml:space="preserve">Zdroj: Štatistické ročenky CVTI SR, </w:t>
      </w:r>
      <w:hyperlink r:id="rId57" w:history="1">
        <w:r w:rsidRPr="0053555E">
          <w:rPr>
            <w:rStyle w:val="Hypertextovprepojenie"/>
            <w:rFonts w:asciiTheme="majorHAnsi" w:hAnsiTheme="majorHAnsi" w:cstheme="majorHAnsi"/>
            <w:color w:val="auto"/>
            <w:sz w:val="22"/>
            <w:szCs w:val="22"/>
          </w:rPr>
          <w:t>www.cvtisr.sk</w:t>
        </w:r>
      </w:hyperlink>
    </w:p>
    <w:p w14:paraId="30691338" w14:textId="77777777" w:rsidR="00FE40F7" w:rsidRPr="0053555E" w:rsidRDefault="00FE40F7" w:rsidP="00324438">
      <w:pPr>
        <w:tabs>
          <w:tab w:val="left" w:pos="851"/>
          <w:tab w:val="left" w:pos="9356"/>
        </w:tabs>
        <w:jc w:val="both"/>
        <w:rPr>
          <w:rFonts w:asciiTheme="majorHAnsi" w:hAnsiTheme="majorHAnsi" w:cstheme="majorHAnsi"/>
          <w:sz w:val="22"/>
          <w:szCs w:val="22"/>
        </w:rPr>
      </w:pPr>
      <w:r w:rsidRPr="0053555E">
        <w:rPr>
          <w:rFonts w:asciiTheme="majorHAnsi" w:hAnsiTheme="majorHAnsi" w:cstheme="majorHAnsi"/>
          <w:sz w:val="22"/>
          <w:szCs w:val="22"/>
        </w:rPr>
        <w:t>UK</w:t>
      </w:r>
      <w:r w:rsidRPr="0053555E">
        <w:rPr>
          <w:rFonts w:asciiTheme="majorHAnsi" w:hAnsiTheme="majorHAnsi" w:cstheme="majorHAnsi"/>
          <w:sz w:val="22"/>
          <w:szCs w:val="22"/>
        </w:rPr>
        <w:tab/>
        <w:t xml:space="preserve">Univerzita Komenského v Bratislave </w:t>
      </w:r>
    </w:p>
    <w:p w14:paraId="4A132482" w14:textId="77777777" w:rsidR="00FE40F7" w:rsidRPr="0053555E" w:rsidRDefault="00FE40F7" w:rsidP="00324438">
      <w:pPr>
        <w:tabs>
          <w:tab w:val="left" w:pos="851"/>
          <w:tab w:val="left" w:pos="9356"/>
        </w:tabs>
        <w:jc w:val="both"/>
        <w:rPr>
          <w:rFonts w:asciiTheme="majorHAnsi" w:hAnsiTheme="majorHAnsi" w:cstheme="majorHAnsi"/>
          <w:sz w:val="22"/>
          <w:szCs w:val="22"/>
        </w:rPr>
      </w:pPr>
      <w:r w:rsidRPr="0053555E">
        <w:rPr>
          <w:rFonts w:asciiTheme="majorHAnsi" w:hAnsiTheme="majorHAnsi" w:cstheme="majorHAnsi"/>
          <w:sz w:val="22"/>
          <w:szCs w:val="22"/>
        </w:rPr>
        <w:t>STU</w:t>
      </w:r>
      <w:r w:rsidRPr="0053555E">
        <w:rPr>
          <w:rFonts w:asciiTheme="majorHAnsi" w:hAnsiTheme="majorHAnsi" w:cstheme="majorHAnsi"/>
          <w:sz w:val="22"/>
          <w:szCs w:val="22"/>
        </w:rPr>
        <w:tab/>
        <w:t>Slovenská technická univerzita v Bratislave</w:t>
      </w:r>
    </w:p>
    <w:p w14:paraId="5B6C6EE9" w14:textId="77777777" w:rsidR="00FD12F6" w:rsidRPr="0053555E" w:rsidRDefault="00FD12F6" w:rsidP="00324438">
      <w:pPr>
        <w:tabs>
          <w:tab w:val="left" w:pos="851"/>
          <w:tab w:val="left" w:pos="9356"/>
        </w:tabs>
        <w:jc w:val="both"/>
        <w:rPr>
          <w:rFonts w:asciiTheme="majorHAnsi" w:hAnsiTheme="majorHAnsi" w:cstheme="majorHAnsi"/>
          <w:sz w:val="22"/>
          <w:szCs w:val="22"/>
        </w:rPr>
      </w:pPr>
      <w:r w:rsidRPr="0053555E">
        <w:rPr>
          <w:rFonts w:asciiTheme="majorHAnsi" w:hAnsiTheme="majorHAnsi" w:cstheme="majorHAnsi"/>
          <w:sz w:val="22"/>
          <w:szCs w:val="22"/>
        </w:rPr>
        <w:t>SPU</w:t>
      </w:r>
      <w:r w:rsidRPr="0053555E">
        <w:rPr>
          <w:rFonts w:asciiTheme="majorHAnsi" w:hAnsiTheme="majorHAnsi" w:cstheme="majorHAnsi"/>
          <w:sz w:val="22"/>
          <w:szCs w:val="22"/>
        </w:rPr>
        <w:tab/>
        <w:t>Slovenská poľnohospodárska univerzita v Nitre</w:t>
      </w:r>
    </w:p>
    <w:p w14:paraId="69E7B8C2" w14:textId="77777777" w:rsidR="00FD12F6" w:rsidRPr="0053555E" w:rsidRDefault="00FD12F6" w:rsidP="00324438">
      <w:pPr>
        <w:tabs>
          <w:tab w:val="left" w:pos="851"/>
          <w:tab w:val="left" w:pos="9356"/>
        </w:tabs>
        <w:jc w:val="both"/>
        <w:rPr>
          <w:rFonts w:asciiTheme="majorHAnsi" w:hAnsiTheme="majorHAnsi" w:cstheme="majorHAnsi"/>
          <w:sz w:val="22"/>
          <w:szCs w:val="22"/>
        </w:rPr>
      </w:pPr>
      <w:r w:rsidRPr="0053555E">
        <w:rPr>
          <w:rFonts w:asciiTheme="majorHAnsi" w:hAnsiTheme="majorHAnsi" w:cstheme="majorHAnsi"/>
          <w:sz w:val="22"/>
          <w:szCs w:val="22"/>
        </w:rPr>
        <w:t>TU ZV</w:t>
      </w:r>
      <w:r w:rsidRPr="0053555E">
        <w:rPr>
          <w:rFonts w:asciiTheme="majorHAnsi" w:hAnsiTheme="majorHAnsi" w:cstheme="majorHAnsi"/>
          <w:sz w:val="22"/>
          <w:szCs w:val="22"/>
        </w:rPr>
        <w:tab/>
        <w:t>Technická univerzita vo Zvolene</w:t>
      </w:r>
    </w:p>
    <w:p w14:paraId="79A7DBB1" w14:textId="77777777" w:rsidR="00FE40F7" w:rsidRPr="0053555E" w:rsidRDefault="00FE40F7" w:rsidP="00324438">
      <w:pPr>
        <w:tabs>
          <w:tab w:val="left" w:pos="851"/>
          <w:tab w:val="left" w:pos="9356"/>
        </w:tabs>
        <w:jc w:val="both"/>
        <w:rPr>
          <w:rFonts w:asciiTheme="majorHAnsi" w:hAnsiTheme="majorHAnsi" w:cstheme="majorHAnsi"/>
          <w:sz w:val="22"/>
          <w:szCs w:val="22"/>
        </w:rPr>
      </w:pPr>
      <w:r w:rsidRPr="0053555E">
        <w:rPr>
          <w:rFonts w:asciiTheme="majorHAnsi" w:hAnsiTheme="majorHAnsi" w:cstheme="majorHAnsi"/>
          <w:sz w:val="22"/>
          <w:szCs w:val="22"/>
        </w:rPr>
        <w:t>TU KE</w:t>
      </w:r>
      <w:r w:rsidRPr="0053555E">
        <w:rPr>
          <w:rFonts w:asciiTheme="majorHAnsi" w:hAnsiTheme="majorHAnsi" w:cstheme="majorHAnsi"/>
          <w:sz w:val="22"/>
          <w:szCs w:val="22"/>
        </w:rPr>
        <w:tab/>
        <w:t>Technická univerzita v Košiciach</w:t>
      </w:r>
    </w:p>
    <w:p w14:paraId="37A400C0" w14:textId="77777777" w:rsidR="003135B5" w:rsidRPr="0053555E" w:rsidRDefault="00FE40F7" w:rsidP="00324438">
      <w:pPr>
        <w:tabs>
          <w:tab w:val="left" w:pos="851"/>
          <w:tab w:val="left" w:pos="9356"/>
        </w:tabs>
        <w:jc w:val="both"/>
        <w:rPr>
          <w:rFonts w:asciiTheme="majorHAnsi" w:hAnsiTheme="majorHAnsi" w:cstheme="majorHAnsi"/>
          <w:b/>
        </w:rPr>
      </w:pPr>
      <w:r w:rsidRPr="0053555E">
        <w:rPr>
          <w:rFonts w:asciiTheme="majorHAnsi" w:hAnsiTheme="majorHAnsi" w:cstheme="majorHAnsi"/>
          <w:sz w:val="22"/>
          <w:szCs w:val="22"/>
        </w:rPr>
        <w:t xml:space="preserve">ŽU </w:t>
      </w:r>
      <w:r w:rsidRPr="0053555E">
        <w:rPr>
          <w:rFonts w:asciiTheme="majorHAnsi" w:hAnsiTheme="majorHAnsi" w:cstheme="majorHAnsi"/>
          <w:sz w:val="22"/>
          <w:szCs w:val="22"/>
        </w:rPr>
        <w:tab/>
        <w:t>Žilinská univerzita v Žiline</w:t>
      </w:r>
      <w:r w:rsidR="003135B5" w:rsidRPr="0053555E">
        <w:rPr>
          <w:rFonts w:asciiTheme="majorHAnsi" w:hAnsiTheme="majorHAnsi" w:cstheme="majorHAnsi"/>
          <w:b/>
        </w:rPr>
        <w:br w:type="page"/>
      </w:r>
    </w:p>
    <w:p w14:paraId="29BD8B83" w14:textId="003B0D8C" w:rsidR="002071AC" w:rsidRPr="00816F2A" w:rsidRDefault="00816F2A" w:rsidP="00816F2A">
      <w:pPr>
        <w:rPr>
          <w:b/>
          <w:sz w:val="28"/>
          <w:szCs w:val="28"/>
        </w:rPr>
      </w:pPr>
      <w:bookmarkStart w:id="135" w:name="_Údaje_o_absolventoch"/>
      <w:bookmarkStart w:id="136" w:name="_Ref65051145"/>
      <w:bookmarkStart w:id="137" w:name="_Toc127593228"/>
      <w:bookmarkEnd w:id="135"/>
      <w:r w:rsidRPr="00816F2A">
        <w:rPr>
          <w:b/>
          <w:sz w:val="28"/>
          <w:szCs w:val="28"/>
        </w:rPr>
        <w:lastRenderedPageBreak/>
        <w:t xml:space="preserve">3.5. </w:t>
      </w:r>
      <w:r w:rsidR="002071AC" w:rsidRPr="00816F2A">
        <w:rPr>
          <w:b/>
          <w:sz w:val="28"/>
          <w:szCs w:val="28"/>
        </w:rPr>
        <w:t>Údaje o absolventoch vysokoškolského štúdia</w:t>
      </w:r>
      <w:bookmarkEnd w:id="136"/>
      <w:bookmarkEnd w:id="137"/>
    </w:p>
    <w:p w14:paraId="74836396" w14:textId="77777777" w:rsidR="00816F2A" w:rsidRPr="00816F2A" w:rsidRDefault="00816F2A" w:rsidP="00816F2A"/>
    <w:p w14:paraId="679DD82F" w14:textId="7FF4ADC3" w:rsidR="005C1AAE" w:rsidRPr="0053555E" w:rsidRDefault="002071AC" w:rsidP="00324438">
      <w:pPr>
        <w:tabs>
          <w:tab w:val="left" w:pos="9356"/>
        </w:tabs>
        <w:spacing w:after="120"/>
        <w:jc w:val="both"/>
        <w:rPr>
          <w:rFonts w:asciiTheme="majorHAnsi" w:hAnsiTheme="majorHAnsi" w:cstheme="majorHAnsi"/>
          <w:shd w:val="clear" w:color="auto" w:fill="FFFFFF"/>
        </w:rPr>
      </w:pPr>
      <w:r w:rsidRPr="0053555E">
        <w:rPr>
          <w:rFonts w:asciiTheme="majorHAnsi" w:hAnsiTheme="majorHAnsi" w:cstheme="majorHAnsi"/>
          <w:shd w:val="clear" w:color="auto" w:fill="FFFFFF"/>
        </w:rPr>
        <w:t>V</w:t>
      </w:r>
      <w:r w:rsidR="00040360" w:rsidRPr="0053555E">
        <w:rPr>
          <w:rFonts w:asciiTheme="majorHAnsi" w:hAnsiTheme="majorHAnsi" w:cstheme="majorHAnsi"/>
          <w:shd w:val="clear" w:color="auto" w:fill="FFFFFF"/>
        </w:rPr>
        <w:t> </w:t>
      </w:r>
      <w:r w:rsidRPr="0053555E">
        <w:rPr>
          <w:rFonts w:asciiTheme="majorHAnsi" w:hAnsiTheme="majorHAnsi" w:cstheme="majorHAnsi"/>
          <w:shd w:val="clear" w:color="auto" w:fill="FFFFFF"/>
        </w:rPr>
        <w:t>akad</w:t>
      </w:r>
      <w:r w:rsidR="00945B21" w:rsidRPr="0053555E">
        <w:rPr>
          <w:rFonts w:asciiTheme="majorHAnsi" w:hAnsiTheme="majorHAnsi" w:cstheme="majorHAnsi"/>
          <w:shd w:val="clear" w:color="auto" w:fill="FFFFFF"/>
        </w:rPr>
        <w:t>emickom</w:t>
      </w:r>
      <w:r w:rsidRPr="0053555E">
        <w:rPr>
          <w:rFonts w:asciiTheme="majorHAnsi" w:hAnsiTheme="majorHAnsi" w:cstheme="majorHAnsi"/>
          <w:shd w:val="clear" w:color="auto" w:fill="FFFFFF"/>
        </w:rPr>
        <w:t xml:space="preserve"> roku </w:t>
      </w:r>
      <w:r w:rsidR="00EA24BA" w:rsidRPr="0053555E">
        <w:rPr>
          <w:rFonts w:asciiTheme="majorHAnsi" w:hAnsiTheme="majorHAnsi" w:cstheme="majorHAnsi"/>
          <w:shd w:val="clear" w:color="auto" w:fill="FFFFFF"/>
        </w:rPr>
        <w:t>2021/2022</w:t>
      </w:r>
      <w:r w:rsidRPr="0053555E">
        <w:rPr>
          <w:rFonts w:asciiTheme="majorHAnsi" w:hAnsiTheme="majorHAnsi" w:cstheme="majorHAnsi"/>
          <w:shd w:val="clear" w:color="auto" w:fill="FFFFFF"/>
        </w:rPr>
        <w:t xml:space="preserve"> na STU </w:t>
      </w:r>
      <w:r w:rsidR="00040360" w:rsidRPr="0053555E">
        <w:rPr>
          <w:rFonts w:asciiTheme="majorHAnsi" w:hAnsiTheme="majorHAnsi" w:cstheme="majorHAnsi"/>
          <w:shd w:val="clear" w:color="auto" w:fill="FFFFFF"/>
        </w:rPr>
        <w:t>riadne</w:t>
      </w:r>
      <w:r w:rsidRPr="0053555E">
        <w:rPr>
          <w:rFonts w:asciiTheme="majorHAnsi" w:hAnsiTheme="majorHAnsi" w:cstheme="majorHAnsi"/>
          <w:shd w:val="clear" w:color="auto" w:fill="FFFFFF"/>
        </w:rPr>
        <w:t xml:space="preserve"> </w:t>
      </w:r>
      <w:r w:rsidR="00040360" w:rsidRPr="0053555E">
        <w:rPr>
          <w:rFonts w:asciiTheme="majorHAnsi" w:hAnsiTheme="majorHAnsi" w:cstheme="majorHAnsi"/>
          <w:b/>
          <w:shd w:val="clear" w:color="auto" w:fill="FFFFFF"/>
        </w:rPr>
        <w:t>s</w:t>
      </w:r>
      <w:r w:rsidR="00CD516E" w:rsidRPr="0053555E">
        <w:rPr>
          <w:rFonts w:asciiTheme="majorHAnsi" w:hAnsiTheme="majorHAnsi" w:cstheme="majorHAnsi"/>
          <w:b/>
          <w:shd w:val="clear" w:color="auto" w:fill="FFFFFF"/>
        </w:rPr>
        <w:t xml:space="preserve">končilo štúdium </w:t>
      </w:r>
      <w:r w:rsidR="00A07666" w:rsidRPr="0053555E">
        <w:rPr>
          <w:rFonts w:asciiTheme="majorHAnsi" w:hAnsiTheme="majorHAnsi" w:cstheme="majorHAnsi"/>
          <w:b/>
          <w:shd w:val="clear" w:color="auto" w:fill="FFFFFF"/>
        </w:rPr>
        <w:t xml:space="preserve">2 </w:t>
      </w:r>
      <w:r w:rsidR="002159A9">
        <w:rPr>
          <w:rFonts w:asciiTheme="majorHAnsi" w:hAnsiTheme="majorHAnsi" w:cstheme="majorHAnsi"/>
          <w:b/>
          <w:shd w:val="clear" w:color="auto" w:fill="FFFFFF"/>
        </w:rPr>
        <w:t>689</w:t>
      </w:r>
      <w:r w:rsidRPr="0053555E">
        <w:rPr>
          <w:rFonts w:asciiTheme="majorHAnsi" w:hAnsiTheme="majorHAnsi" w:cstheme="majorHAnsi"/>
          <w:b/>
          <w:shd w:val="clear" w:color="auto" w:fill="FFFFFF"/>
        </w:rPr>
        <w:t xml:space="preserve"> absolventov</w:t>
      </w:r>
      <w:r w:rsidR="00C429F4" w:rsidRPr="0053555E">
        <w:rPr>
          <w:rFonts w:asciiTheme="majorHAnsi" w:hAnsiTheme="majorHAnsi" w:cstheme="majorHAnsi"/>
          <w:shd w:val="clear" w:color="auto" w:fill="FFFFFF"/>
        </w:rPr>
        <w:t>, z toho na </w:t>
      </w:r>
      <w:r w:rsidRPr="0053555E">
        <w:rPr>
          <w:rFonts w:asciiTheme="majorHAnsi" w:hAnsiTheme="majorHAnsi" w:cstheme="majorHAnsi"/>
          <w:shd w:val="clear" w:color="auto" w:fill="FFFFFF"/>
        </w:rPr>
        <w:t xml:space="preserve">prvom stupni štúdia úspešne skončilo štúdium </w:t>
      </w:r>
      <w:r w:rsidR="00C429F4" w:rsidRPr="0053555E">
        <w:rPr>
          <w:rFonts w:asciiTheme="majorHAnsi" w:hAnsiTheme="majorHAnsi" w:cstheme="majorHAnsi"/>
          <w:b/>
          <w:shd w:val="clear" w:color="auto" w:fill="FFFFFF"/>
        </w:rPr>
        <w:t xml:space="preserve">1 </w:t>
      </w:r>
      <w:r w:rsidR="00A70E7F" w:rsidRPr="0053555E">
        <w:rPr>
          <w:rFonts w:asciiTheme="majorHAnsi" w:hAnsiTheme="majorHAnsi" w:cstheme="majorHAnsi"/>
          <w:b/>
          <w:shd w:val="clear" w:color="auto" w:fill="FFFFFF"/>
        </w:rPr>
        <w:t>3</w:t>
      </w:r>
      <w:r w:rsidR="001C062A">
        <w:rPr>
          <w:rFonts w:asciiTheme="majorHAnsi" w:hAnsiTheme="majorHAnsi" w:cstheme="majorHAnsi"/>
          <w:b/>
          <w:shd w:val="clear" w:color="auto" w:fill="FFFFFF"/>
        </w:rPr>
        <w:t>8</w:t>
      </w:r>
      <w:r w:rsidR="00A70E7F" w:rsidRPr="0053555E">
        <w:rPr>
          <w:rFonts w:asciiTheme="majorHAnsi" w:hAnsiTheme="majorHAnsi" w:cstheme="majorHAnsi"/>
          <w:b/>
          <w:shd w:val="clear" w:color="auto" w:fill="FFFFFF"/>
        </w:rPr>
        <w:t>6</w:t>
      </w:r>
      <w:r w:rsidRPr="0053555E">
        <w:rPr>
          <w:rFonts w:asciiTheme="majorHAnsi" w:hAnsiTheme="majorHAnsi" w:cstheme="majorHAnsi"/>
          <w:shd w:val="clear" w:color="auto" w:fill="FFFFFF"/>
        </w:rPr>
        <w:t xml:space="preserve"> absolventov, na druhom stupni štúdia </w:t>
      </w:r>
      <w:r w:rsidR="00040360" w:rsidRPr="0053555E">
        <w:rPr>
          <w:rFonts w:asciiTheme="majorHAnsi" w:hAnsiTheme="majorHAnsi" w:cstheme="majorHAnsi"/>
          <w:b/>
          <w:shd w:val="clear" w:color="auto" w:fill="FFFFFF"/>
        </w:rPr>
        <w:t>1 </w:t>
      </w:r>
      <w:r w:rsidR="001C062A">
        <w:rPr>
          <w:rFonts w:asciiTheme="majorHAnsi" w:hAnsiTheme="majorHAnsi" w:cstheme="majorHAnsi"/>
          <w:b/>
          <w:shd w:val="clear" w:color="auto" w:fill="FFFFFF"/>
        </w:rPr>
        <w:t>172</w:t>
      </w:r>
      <w:r w:rsidRPr="0053555E">
        <w:rPr>
          <w:rFonts w:asciiTheme="majorHAnsi" w:hAnsiTheme="majorHAnsi" w:cstheme="majorHAnsi"/>
          <w:shd w:val="clear" w:color="auto" w:fill="FFFFFF"/>
        </w:rPr>
        <w:t xml:space="preserve"> absolventov a na treťom stupni štúdia </w:t>
      </w:r>
      <w:r w:rsidR="00A70E7F" w:rsidRPr="0053555E">
        <w:rPr>
          <w:rFonts w:asciiTheme="majorHAnsi" w:hAnsiTheme="majorHAnsi" w:cstheme="majorHAnsi"/>
          <w:b/>
          <w:shd w:val="clear" w:color="auto" w:fill="FFFFFF"/>
        </w:rPr>
        <w:t>1</w:t>
      </w:r>
      <w:r w:rsidR="001C062A">
        <w:rPr>
          <w:rFonts w:asciiTheme="majorHAnsi" w:hAnsiTheme="majorHAnsi" w:cstheme="majorHAnsi"/>
          <w:b/>
          <w:shd w:val="clear" w:color="auto" w:fill="FFFFFF"/>
        </w:rPr>
        <w:t>31</w:t>
      </w:r>
      <w:r w:rsidRPr="0053555E">
        <w:rPr>
          <w:rFonts w:asciiTheme="majorHAnsi" w:hAnsiTheme="majorHAnsi" w:cstheme="majorHAnsi"/>
          <w:b/>
          <w:shd w:val="clear" w:color="auto" w:fill="FFFFFF"/>
        </w:rPr>
        <w:t xml:space="preserve"> </w:t>
      </w:r>
      <w:r w:rsidRPr="0053555E">
        <w:rPr>
          <w:rFonts w:asciiTheme="majorHAnsi" w:hAnsiTheme="majorHAnsi" w:cstheme="majorHAnsi"/>
          <w:shd w:val="clear" w:color="auto" w:fill="FFFFFF"/>
        </w:rPr>
        <w:t>absolventov</w:t>
      </w:r>
      <w:r w:rsidR="00805BB4" w:rsidRPr="0053555E">
        <w:rPr>
          <w:rFonts w:asciiTheme="majorHAnsi" w:hAnsiTheme="majorHAnsi" w:cstheme="majorHAnsi"/>
          <w:shd w:val="clear" w:color="auto" w:fill="FFFFFF"/>
        </w:rPr>
        <w:t xml:space="preserve">, z toho </w:t>
      </w:r>
      <w:r w:rsidR="001C062A">
        <w:rPr>
          <w:rFonts w:asciiTheme="majorHAnsi" w:hAnsiTheme="majorHAnsi" w:cstheme="majorHAnsi"/>
          <w:b/>
          <w:shd w:val="clear" w:color="auto" w:fill="FFFFFF"/>
        </w:rPr>
        <w:t>109</w:t>
      </w:r>
      <w:r w:rsidR="00040360" w:rsidRPr="0053555E">
        <w:rPr>
          <w:rFonts w:asciiTheme="majorHAnsi" w:hAnsiTheme="majorHAnsi" w:cstheme="majorHAnsi"/>
          <w:shd w:val="clear" w:color="auto" w:fill="FFFFFF"/>
        </w:rPr>
        <w:t xml:space="preserve"> v dennej forme a</w:t>
      </w:r>
      <w:r w:rsidR="005F74C4" w:rsidRPr="0053555E">
        <w:rPr>
          <w:rFonts w:asciiTheme="majorHAnsi" w:hAnsiTheme="majorHAnsi" w:cstheme="majorHAnsi"/>
          <w:shd w:val="clear" w:color="auto" w:fill="FFFFFF"/>
        </w:rPr>
        <w:t> </w:t>
      </w:r>
      <w:r w:rsidR="001C062A">
        <w:rPr>
          <w:rFonts w:asciiTheme="majorHAnsi" w:hAnsiTheme="majorHAnsi" w:cstheme="majorHAnsi"/>
          <w:b/>
          <w:shd w:val="clear" w:color="auto" w:fill="FFFFFF"/>
        </w:rPr>
        <w:t>22</w:t>
      </w:r>
      <w:r w:rsidR="005F74C4" w:rsidRPr="0053555E">
        <w:rPr>
          <w:rFonts w:asciiTheme="majorHAnsi" w:hAnsiTheme="majorHAnsi" w:cstheme="majorHAnsi"/>
          <w:shd w:val="clear" w:color="auto" w:fill="FFFFFF"/>
        </w:rPr>
        <w:t> </w:t>
      </w:r>
      <w:r w:rsidR="00040360" w:rsidRPr="0053555E">
        <w:rPr>
          <w:rFonts w:asciiTheme="majorHAnsi" w:hAnsiTheme="majorHAnsi" w:cstheme="majorHAnsi"/>
          <w:shd w:val="clear" w:color="auto" w:fill="FFFFFF"/>
        </w:rPr>
        <w:t xml:space="preserve">v externej forme štúdia. Zo všetkých absolventov </w:t>
      </w:r>
      <w:r w:rsidR="00945B21" w:rsidRPr="0053555E">
        <w:rPr>
          <w:rFonts w:asciiTheme="majorHAnsi" w:hAnsiTheme="majorHAnsi" w:cstheme="majorHAnsi"/>
          <w:shd w:val="clear" w:color="auto" w:fill="FFFFFF"/>
        </w:rPr>
        <w:t xml:space="preserve">v rámci univerzity </w:t>
      </w:r>
      <w:r w:rsidR="00F439A4" w:rsidRPr="0053555E">
        <w:rPr>
          <w:rFonts w:asciiTheme="majorHAnsi" w:hAnsiTheme="majorHAnsi" w:cstheme="majorHAnsi"/>
          <w:shd w:val="clear" w:color="auto" w:fill="FFFFFF"/>
        </w:rPr>
        <w:t>7</w:t>
      </w:r>
      <w:r w:rsidR="001C062A">
        <w:rPr>
          <w:rFonts w:asciiTheme="majorHAnsi" w:hAnsiTheme="majorHAnsi" w:cstheme="majorHAnsi"/>
          <w:shd w:val="clear" w:color="auto" w:fill="FFFFFF"/>
        </w:rPr>
        <w:t>8</w:t>
      </w:r>
      <w:r w:rsidR="009F6E23" w:rsidRPr="0053555E">
        <w:rPr>
          <w:rFonts w:asciiTheme="majorHAnsi" w:hAnsiTheme="majorHAnsi" w:cstheme="majorHAnsi"/>
          <w:shd w:val="clear" w:color="auto" w:fill="FFFFFF"/>
        </w:rPr>
        <w:t xml:space="preserve"> % skončilo štúdium v štandardnej dĺžke štúdia</w:t>
      </w:r>
      <w:r w:rsidR="00816F2A">
        <w:rPr>
          <w:rFonts w:asciiTheme="majorHAnsi" w:hAnsiTheme="majorHAnsi" w:cstheme="majorHAnsi"/>
          <w:shd w:val="clear" w:color="auto" w:fill="FFFFFF"/>
        </w:rPr>
        <w:t xml:space="preserve"> -</w:t>
      </w:r>
      <w:r w:rsidR="00096641" w:rsidRPr="0053555E">
        <w:rPr>
          <w:rFonts w:asciiTheme="majorHAnsi" w:hAnsiTheme="majorHAnsi" w:cstheme="majorHAnsi"/>
          <w:shd w:val="clear" w:color="auto" w:fill="FFFFFF"/>
        </w:rPr>
        <w:t xml:space="preserve"> na prvom stupni </w:t>
      </w:r>
      <w:r w:rsidR="0073004B">
        <w:rPr>
          <w:rFonts w:asciiTheme="majorHAnsi" w:hAnsiTheme="majorHAnsi" w:cstheme="majorHAnsi"/>
          <w:shd w:val="clear" w:color="auto" w:fill="FFFFFF"/>
        </w:rPr>
        <w:t>72</w:t>
      </w:r>
      <w:r w:rsidR="00096641" w:rsidRPr="0053555E">
        <w:rPr>
          <w:rFonts w:asciiTheme="majorHAnsi" w:hAnsiTheme="majorHAnsi" w:cstheme="majorHAnsi"/>
          <w:shd w:val="clear" w:color="auto" w:fill="FFFFFF"/>
        </w:rPr>
        <w:t xml:space="preserve"> %</w:t>
      </w:r>
      <w:r w:rsidR="005C1AAE" w:rsidRPr="0053555E">
        <w:rPr>
          <w:rFonts w:asciiTheme="majorHAnsi" w:hAnsiTheme="majorHAnsi" w:cstheme="majorHAnsi"/>
          <w:shd w:val="clear" w:color="auto" w:fill="FFFFFF"/>
        </w:rPr>
        <w:t>,</w:t>
      </w:r>
      <w:r w:rsidR="00096641" w:rsidRPr="0053555E">
        <w:rPr>
          <w:rFonts w:asciiTheme="majorHAnsi" w:hAnsiTheme="majorHAnsi" w:cstheme="majorHAnsi"/>
          <w:shd w:val="clear" w:color="auto" w:fill="FFFFFF"/>
        </w:rPr>
        <w:t xml:space="preserve"> na druhom stupni </w:t>
      </w:r>
      <w:r w:rsidR="00F439A4" w:rsidRPr="0053555E">
        <w:rPr>
          <w:rFonts w:asciiTheme="majorHAnsi" w:hAnsiTheme="majorHAnsi" w:cstheme="majorHAnsi"/>
          <w:shd w:val="clear" w:color="auto" w:fill="FFFFFF"/>
        </w:rPr>
        <w:t>8</w:t>
      </w:r>
      <w:r w:rsidR="0073004B">
        <w:rPr>
          <w:rFonts w:asciiTheme="majorHAnsi" w:hAnsiTheme="majorHAnsi" w:cstheme="majorHAnsi"/>
          <w:shd w:val="clear" w:color="auto" w:fill="FFFFFF"/>
        </w:rPr>
        <w:t>9</w:t>
      </w:r>
      <w:r w:rsidR="00096641" w:rsidRPr="0053555E">
        <w:rPr>
          <w:rFonts w:asciiTheme="majorHAnsi" w:hAnsiTheme="majorHAnsi" w:cstheme="majorHAnsi"/>
          <w:shd w:val="clear" w:color="auto" w:fill="FFFFFF"/>
        </w:rPr>
        <w:t xml:space="preserve"> % a</w:t>
      </w:r>
      <w:r w:rsidR="005F74C4" w:rsidRPr="0053555E">
        <w:rPr>
          <w:rFonts w:asciiTheme="majorHAnsi" w:hAnsiTheme="majorHAnsi" w:cstheme="majorHAnsi"/>
          <w:shd w:val="clear" w:color="auto" w:fill="FFFFFF"/>
        </w:rPr>
        <w:t> </w:t>
      </w:r>
      <w:r w:rsidR="005C1AAE" w:rsidRPr="0053555E">
        <w:rPr>
          <w:rFonts w:asciiTheme="majorHAnsi" w:hAnsiTheme="majorHAnsi" w:cstheme="majorHAnsi"/>
          <w:shd w:val="clear" w:color="auto" w:fill="FFFFFF"/>
        </w:rPr>
        <w:t>na</w:t>
      </w:r>
      <w:r w:rsidR="005F74C4" w:rsidRPr="0053555E">
        <w:rPr>
          <w:rFonts w:asciiTheme="majorHAnsi" w:hAnsiTheme="majorHAnsi" w:cstheme="majorHAnsi"/>
          <w:shd w:val="clear" w:color="auto" w:fill="FFFFFF"/>
        </w:rPr>
        <w:t> </w:t>
      </w:r>
      <w:r w:rsidR="005C1AAE" w:rsidRPr="0053555E">
        <w:rPr>
          <w:rFonts w:asciiTheme="majorHAnsi" w:hAnsiTheme="majorHAnsi" w:cstheme="majorHAnsi"/>
          <w:shd w:val="clear" w:color="auto" w:fill="FFFFFF"/>
        </w:rPr>
        <w:t>treťom stupni</w:t>
      </w:r>
      <w:r w:rsidR="00040360" w:rsidRPr="0053555E">
        <w:rPr>
          <w:rFonts w:asciiTheme="majorHAnsi" w:hAnsiTheme="majorHAnsi" w:cstheme="majorHAnsi"/>
          <w:shd w:val="clear" w:color="auto" w:fill="FFFFFF"/>
        </w:rPr>
        <w:t xml:space="preserve"> </w:t>
      </w:r>
      <w:r w:rsidR="00627E8F" w:rsidRPr="0053555E">
        <w:rPr>
          <w:rFonts w:asciiTheme="majorHAnsi" w:hAnsiTheme="majorHAnsi" w:cstheme="majorHAnsi"/>
          <w:shd w:val="clear" w:color="auto" w:fill="FFFFFF"/>
        </w:rPr>
        <w:t>5</w:t>
      </w:r>
      <w:r w:rsidR="0073004B">
        <w:rPr>
          <w:rFonts w:asciiTheme="majorHAnsi" w:hAnsiTheme="majorHAnsi" w:cstheme="majorHAnsi"/>
          <w:shd w:val="clear" w:color="auto" w:fill="FFFFFF"/>
        </w:rPr>
        <w:t>3</w:t>
      </w:r>
      <w:r w:rsidR="00805BB4" w:rsidRPr="0053555E">
        <w:rPr>
          <w:rFonts w:asciiTheme="majorHAnsi" w:hAnsiTheme="majorHAnsi" w:cstheme="majorHAnsi"/>
          <w:shd w:val="clear" w:color="auto" w:fill="FFFFFF"/>
        </w:rPr>
        <w:t xml:space="preserve"> %</w:t>
      </w:r>
      <w:r w:rsidR="00F439A4" w:rsidRPr="0053555E">
        <w:rPr>
          <w:rFonts w:asciiTheme="majorHAnsi" w:hAnsiTheme="majorHAnsi" w:cstheme="majorHAnsi"/>
          <w:shd w:val="clear" w:color="auto" w:fill="FFFFFF"/>
        </w:rPr>
        <w:t xml:space="preserve"> z celkového počtu absolventov príslušného stupňa štúdia</w:t>
      </w:r>
      <w:r w:rsidR="009466DF" w:rsidRPr="0053555E">
        <w:rPr>
          <w:rFonts w:asciiTheme="majorHAnsi" w:hAnsiTheme="majorHAnsi" w:cstheme="majorHAnsi"/>
          <w:shd w:val="clear" w:color="auto" w:fill="FFFFFF"/>
        </w:rPr>
        <w:t xml:space="preserve">. </w:t>
      </w:r>
    </w:p>
    <w:p w14:paraId="2D7B7ABC" w14:textId="1E667A86" w:rsidR="009466DF" w:rsidRPr="0053555E" w:rsidRDefault="005C1AAE" w:rsidP="00324438">
      <w:pPr>
        <w:tabs>
          <w:tab w:val="left" w:pos="9356"/>
        </w:tabs>
        <w:jc w:val="both"/>
        <w:rPr>
          <w:rFonts w:asciiTheme="majorHAnsi" w:hAnsiTheme="majorHAnsi" w:cstheme="majorHAnsi"/>
          <w:shd w:val="clear" w:color="auto" w:fill="FFFFFF"/>
        </w:rPr>
      </w:pPr>
      <w:r w:rsidRPr="0053555E">
        <w:rPr>
          <w:rFonts w:asciiTheme="majorHAnsi" w:hAnsiTheme="majorHAnsi" w:cstheme="majorHAnsi"/>
          <w:shd w:val="clear" w:color="auto" w:fill="FFFFFF"/>
        </w:rPr>
        <w:t>Komplexný</w:t>
      </w:r>
      <w:r w:rsidR="001B30A2" w:rsidRPr="0053555E">
        <w:rPr>
          <w:rFonts w:asciiTheme="majorHAnsi" w:hAnsiTheme="majorHAnsi" w:cstheme="majorHAnsi"/>
          <w:shd w:val="clear" w:color="auto" w:fill="FFFFFF"/>
        </w:rPr>
        <w:t xml:space="preserve"> p</w:t>
      </w:r>
      <w:r w:rsidR="009466DF" w:rsidRPr="0053555E">
        <w:rPr>
          <w:rFonts w:asciiTheme="majorHAnsi" w:hAnsiTheme="majorHAnsi" w:cstheme="majorHAnsi"/>
          <w:shd w:val="clear" w:color="auto" w:fill="FFFFFF"/>
        </w:rPr>
        <w:t xml:space="preserve">rehľad absolventov </w:t>
      </w:r>
      <w:r w:rsidR="002071AC" w:rsidRPr="0053555E">
        <w:rPr>
          <w:rFonts w:asciiTheme="majorHAnsi" w:hAnsiTheme="majorHAnsi" w:cstheme="majorHAnsi"/>
          <w:shd w:val="clear" w:color="auto" w:fill="FFFFFF"/>
        </w:rPr>
        <w:t xml:space="preserve">STU </w:t>
      </w:r>
      <w:r w:rsidR="009466DF" w:rsidRPr="0053555E">
        <w:rPr>
          <w:rFonts w:asciiTheme="majorHAnsi" w:hAnsiTheme="majorHAnsi" w:cstheme="majorHAnsi"/>
          <w:shd w:val="clear" w:color="auto" w:fill="FFFFFF"/>
        </w:rPr>
        <w:t>na jednotlivých stupňoch štúdia v akad</w:t>
      </w:r>
      <w:r w:rsidR="009F6E23" w:rsidRPr="0053555E">
        <w:rPr>
          <w:rFonts w:asciiTheme="majorHAnsi" w:hAnsiTheme="majorHAnsi" w:cstheme="majorHAnsi"/>
          <w:shd w:val="clear" w:color="auto" w:fill="FFFFFF"/>
        </w:rPr>
        <w:t>emickom</w:t>
      </w:r>
      <w:r w:rsidR="009466DF" w:rsidRPr="0053555E">
        <w:rPr>
          <w:rFonts w:asciiTheme="majorHAnsi" w:hAnsiTheme="majorHAnsi" w:cstheme="majorHAnsi"/>
          <w:shd w:val="clear" w:color="auto" w:fill="FFFFFF"/>
        </w:rPr>
        <w:t xml:space="preserve"> roku </w:t>
      </w:r>
      <w:r w:rsidR="00EA24BA" w:rsidRPr="0053555E">
        <w:rPr>
          <w:rFonts w:asciiTheme="majorHAnsi" w:hAnsiTheme="majorHAnsi" w:cstheme="majorHAnsi"/>
          <w:shd w:val="clear" w:color="auto" w:fill="FFFFFF"/>
        </w:rPr>
        <w:t>2021/2022</w:t>
      </w:r>
      <w:r w:rsidR="009466DF" w:rsidRPr="0053555E">
        <w:rPr>
          <w:rFonts w:asciiTheme="majorHAnsi" w:hAnsiTheme="majorHAnsi" w:cstheme="majorHAnsi"/>
          <w:shd w:val="clear" w:color="auto" w:fill="FFFFFF"/>
        </w:rPr>
        <w:t xml:space="preserve"> </w:t>
      </w:r>
      <w:r w:rsidR="002071AC" w:rsidRPr="0053555E">
        <w:rPr>
          <w:rFonts w:asciiTheme="majorHAnsi" w:hAnsiTheme="majorHAnsi" w:cstheme="majorHAnsi"/>
          <w:shd w:val="clear" w:color="auto" w:fill="FFFFFF"/>
        </w:rPr>
        <w:t xml:space="preserve">je </w:t>
      </w:r>
      <w:r w:rsidR="00BF06A8" w:rsidRPr="0053555E">
        <w:rPr>
          <w:rFonts w:asciiTheme="majorHAnsi" w:hAnsiTheme="majorHAnsi" w:cstheme="majorHAnsi"/>
          <w:shd w:val="clear" w:color="auto" w:fill="FFFFFF"/>
        </w:rPr>
        <w:t>uvedený</w:t>
      </w:r>
      <w:r w:rsidR="002071AC" w:rsidRPr="0053555E">
        <w:rPr>
          <w:rFonts w:asciiTheme="majorHAnsi" w:hAnsiTheme="majorHAnsi" w:cstheme="majorHAnsi"/>
          <w:shd w:val="clear" w:color="auto" w:fill="FFFFFF"/>
        </w:rPr>
        <w:t xml:space="preserve"> v</w:t>
      </w:r>
      <w:r w:rsidR="00BF06A8" w:rsidRPr="0053555E">
        <w:rPr>
          <w:rFonts w:asciiTheme="majorHAnsi" w:hAnsiTheme="majorHAnsi" w:cstheme="majorHAnsi"/>
          <w:shd w:val="clear" w:color="auto" w:fill="FFFFFF"/>
        </w:rPr>
        <w:t> </w:t>
      </w:r>
      <w:r w:rsidR="00860CAB" w:rsidRPr="00AB4E85">
        <w:rPr>
          <w:rFonts w:asciiTheme="majorHAnsi" w:hAnsiTheme="majorHAnsi" w:cstheme="majorHAnsi"/>
          <w:shd w:val="clear" w:color="auto" w:fill="FFFFFF"/>
        </w:rPr>
        <w:fldChar w:fldCharType="begin"/>
      </w:r>
      <w:r w:rsidR="00860CAB" w:rsidRPr="00AB4E85">
        <w:rPr>
          <w:rFonts w:asciiTheme="majorHAnsi" w:hAnsiTheme="majorHAnsi" w:cstheme="majorHAnsi"/>
          <w:shd w:val="clear" w:color="auto" w:fill="FFFFFF"/>
        </w:rPr>
        <w:instrText xml:space="preserve"> REF _Ref31718290 \h </w:instrText>
      </w:r>
      <w:r w:rsidR="00324438" w:rsidRPr="00AB4E85">
        <w:rPr>
          <w:rFonts w:asciiTheme="majorHAnsi" w:hAnsiTheme="majorHAnsi" w:cstheme="majorHAnsi"/>
          <w:shd w:val="clear" w:color="auto" w:fill="FFFFFF"/>
        </w:rPr>
        <w:instrText xml:space="preserve"> \* MERGEFORMAT </w:instrText>
      </w:r>
      <w:r w:rsidR="00860CAB" w:rsidRPr="00AB4E85">
        <w:rPr>
          <w:rFonts w:asciiTheme="majorHAnsi" w:hAnsiTheme="majorHAnsi" w:cstheme="majorHAnsi"/>
          <w:shd w:val="clear" w:color="auto" w:fill="FFFFFF"/>
        </w:rPr>
      </w:r>
      <w:r w:rsidR="00860CAB" w:rsidRPr="00AB4E85">
        <w:rPr>
          <w:rFonts w:asciiTheme="majorHAnsi" w:hAnsiTheme="majorHAnsi" w:cstheme="majorHAnsi"/>
          <w:shd w:val="clear" w:color="auto" w:fill="FFFFFF"/>
        </w:rPr>
        <w:fldChar w:fldCharType="separate"/>
      </w:r>
      <w:r w:rsidR="00EE1B59" w:rsidRPr="00AB4E85">
        <w:rPr>
          <w:rFonts w:asciiTheme="majorHAnsi" w:hAnsiTheme="majorHAnsi" w:cstheme="majorHAnsi"/>
        </w:rPr>
        <w:t>Tab. č. 33</w:t>
      </w:r>
      <w:r w:rsidR="00860CAB" w:rsidRPr="00AB4E85">
        <w:rPr>
          <w:rFonts w:asciiTheme="majorHAnsi" w:hAnsiTheme="majorHAnsi" w:cstheme="majorHAnsi"/>
          <w:shd w:val="clear" w:color="auto" w:fill="FFFFFF"/>
        </w:rPr>
        <w:fldChar w:fldCharType="end"/>
      </w:r>
      <w:r w:rsidR="00BF06A8" w:rsidRPr="0053555E">
        <w:rPr>
          <w:rFonts w:asciiTheme="majorHAnsi" w:hAnsiTheme="majorHAnsi" w:cstheme="majorHAnsi"/>
          <w:shd w:val="clear" w:color="auto" w:fill="FFFFFF"/>
        </w:rPr>
        <w:t xml:space="preserve">. </w:t>
      </w:r>
    </w:p>
    <w:p w14:paraId="75205B34" w14:textId="77777777" w:rsidR="00BF06A8" w:rsidRPr="0053555E" w:rsidRDefault="00BF06A8" w:rsidP="00324438">
      <w:pPr>
        <w:tabs>
          <w:tab w:val="left" w:pos="9356"/>
        </w:tabs>
        <w:jc w:val="both"/>
        <w:rPr>
          <w:rFonts w:asciiTheme="majorHAnsi" w:hAnsiTheme="majorHAnsi" w:cstheme="majorHAnsi"/>
          <w:sz w:val="14"/>
          <w:shd w:val="clear" w:color="auto" w:fill="FFFFFF"/>
        </w:rPr>
      </w:pPr>
    </w:p>
    <w:p w14:paraId="7557E315" w14:textId="6FA9B693" w:rsidR="00BF06A8" w:rsidRPr="0053555E" w:rsidRDefault="00860CAB" w:rsidP="000E3322">
      <w:pPr>
        <w:pStyle w:val="Popis"/>
      </w:pPr>
      <w:bookmarkStart w:id="138" w:name="_Ref31718290"/>
      <w:bookmarkStart w:id="139" w:name="_Toc127593296"/>
      <w:r w:rsidRPr="0053555E">
        <w:t xml:space="preserve">Tab. č. </w:t>
      </w:r>
      <w:r w:rsidR="007B5953">
        <w:fldChar w:fldCharType="begin"/>
      </w:r>
      <w:r w:rsidR="007B5953">
        <w:instrText xml:space="preserve"> SEQ Tab._č. \* ARABIC </w:instrText>
      </w:r>
      <w:r w:rsidR="007B5953">
        <w:fldChar w:fldCharType="separate"/>
      </w:r>
      <w:r w:rsidR="00EE1B59">
        <w:rPr>
          <w:noProof/>
        </w:rPr>
        <w:t>33</w:t>
      </w:r>
      <w:r w:rsidR="007B5953">
        <w:rPr>
          <w:noProof/>
        </w:rPr>
        <w:fldChar w:fldCharType="end"/>
      </w:r>
      <w:bookmarkEnd w:id="138"/>
      <w:r w:rsidRPr="0053555E">
        <w:t>:</w:t>
      </w:r>
      <w:r w:rsidR="00BF06A8" w:rsidRPr="0053555E">
        <w:t xml:space="preserve"> Počet </w:t>
      </w:r>
      <w:r w:rsidR="00275D09" w:rsidRPr="0053555E">
        <w:t xml:space="preserve">študentov, ktorí riadne skončili štúdium </w:t>
      </w:r>
      <w:r w:rsidR="00BF06A8" w:rsidRPr="0053555E">
        <w:t>v akad</w:t>
      </w:r>
      <w:r w:rsidR="00945B21" w:rsidRPr="0053555E">
        <w:t>emickom</w:t>
      </w:r>
      <w:r w:rsidR="00BF06A8" w:rsidRPr="0053555E">
        <w:t xml:space="preserve"> roku </w:t>
      </w:r>
      <w:r w:rsidR="00EA24BA" w:rsidRPr="0053555E">
        <w:t>2021/2022</w:t>
      </w:r>
      <w:bookmarkEnd w:id="139"/>
    </w:p>
    <w:tbl>
      <w:tblPr>
        <w:tblW w:w="9072" w:type="dxa"/>
        <w:tblInd w:w="-5" w:type="dxa"/>
        <w:tblCellMar>
          <w:left w:w="70" w:type="dxa"/>
          <w:right w:w="70" w:type="dxa"/>
        </w:tblCellMar>
        <w:tblLook w:val="04A0" w:firstRow="1" w:lastRow="0" w:firstColumn="1" w:lastColumn="0" w:noHBand="0" w:noVBand="1"/>
      </w:tblPr>
      <w:tblGrid>
        <w:gridCol w:w="630"/>
        <w:gridCol w:w="504"/>
        <w:gridCol w:w="897"/>
        <w:gridCol w:w="898"/>
        <w:gridCol w:w="898"/>
        <w:gridCol w:w="898"/>
        <w:gridCol w:w="897"/>
        <w:gridCol w:w="898"/>
        <w:gridCol w:w="898"/>
        <w:gridCol w:w="898"/>
        <w:gridCol w:w="756"/>
      </w:tblGrid>
      <w:tr w:rsidR="009C3C2F" w:rsidRPr="0053555E" w14:paraId="7935EEAB" w14:textId="77777777" w:rsidTr="007E2A72">
        <w:trPr>
          <w:trHeight w:val="20"/>
        </w:trPr>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AF8CF2" w14:textId="77777777" w:rsidR="009C3C2F" w:rsidRPr="0053555E" w:rsidRDefault="009C3C2F" w:rsidP="00324438">
            <w:pPr>
              <w:tabs>
                <w:tab w:val="left" w:pos="9356"/>
              </w:tabs>
              <w:ind w:firstLineChars="100" w:firstLine="220"/>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 </w:t>
            </w:r>
          </w:p>
        </w:tc>
        <w:tc>
          <w:tcPr>
            <w:tcW w:w="897" w:type="dxa"/>
            <w:tcBorders>
              <w:top w:val="single" w:sz="4" w:space="0" w:color="auto"/>
              <w:left w:val="nil"/>
              <w:bottom w:val="single" w:sz="4" w:space="0" w:color="auto"/>
              <w:right w:val="single" w:sz="4" w:space="0" w:color="auto"/>
            </w:tcBorders>
            <w:shd w:val="clear" w:color="auto" w:fill="auto"/>
            <w:vAlign w:val="bottom"/>
            <w:hideMark/>
          </w:tcPr>
          <w:p w14:paraId="34BF048B" w14:textId="77777777" w:rsidR="009C3C2F" w:rsidRPr="0053555E" w:rsidRDefault="009C3C2F"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SvF</w:t>
            </w:r>
          </w:p>
        </w:tc>
        <w:tc>
          <w:tcPr>
            <w:tcW w:w="898" w:type="dxa"/>
            <w:tcBorders>
              <w:top w:val="single" w:sz="4" w:space="0" w:color="auto"/>
              <w:left w:val="nil"/>
              <w:bottom w:val="single" w:sz="4" w:space="0" w:color="auto"/>
              <w:right w:val="single" w:sz="4" w:space="0" w:color="auto"/>
            </w:tcBorders>
            <w:shd w:val="clear" w:color="auto" w:fill="auto"/>
            <w:vAlign w:val="bottom"/>
            <w:hideMark/>
          </w:tcPr>
          <w:p w14:paraId="1F1E202A" w14:textId="77777777" w:rsidR="009C3C2F" w:rsidRPr="0053555E" w:rsidRDefault="009C3C2F"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SjF</w:t>
            </w:r>
          </w:p>
        </w:tc>
        <w:tc>
          <w:tcPr>
            <w:tcW w:w="898" w:type="dxa"/>
            <w:tcBorders>
              <w:top w:val="single" w:sz="4" w:space="0" w:color="auto"/>
              <w:left w:val="nil"/>
              <w:bottom w:val="single" w:sz="4" w:space="0" w:color="auto"/>
              <w:right w:val="single" w:sz="4" w:space="0" w:color="auto"/>
            </w:tcBorders>
            <w:shd w:val="clear" w:color="auto" w:fill="auto"/>
            <w:vAlign w:val="bottom"/>
            <w:hideMark/>
          </w:tcPr>
          <w:p w14:paraId="61C4B2AA" w14:textId="77777777" w:rsidR="009C3C2F" w:rsidRPr="0053555E" w:rsidRDefault="009C3C2F"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FEI</w:t>
            </w:r>
          </w:p>
        </w:tc>
        <w:tc>
          <w:tcPr>
            <w:tcW w:w="898" w:type="dxa"/>
            <w:tcBorders>
              <w:top w:val="single" w:sz="4" w:space="0" w:color="auto"/>
              <w:left w:val="nil"/>
              <w:bottom w:val="single" w:sz="4" w:space="0" w:color="auto"/>
              <w:right w:val="single" w:sz="4" w:space="0" w:color="auto"/>
            </w:tcBorders>
            <w:shd w:val="clear" w:color="auto" w:fill="auto"/>
            <w:vAlign w:val="bottom"/>
            <w:hideMark/>
          </w:tcPr>
          <w:p w14:paraId="52070191" w14:textId="77777777" w:rsidR="009C3C2F" w:rsidRPr="0053555E" w:rsidRDefault="009C3C2F"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FCHPT</w:t>
            </w:r>
          </w:p>
        </w:tc>
        <w:tc>
          <w:tcPr>
            <w:tcW w:w="897" w:type="dxa"/>
            <w:tcBorders>
              <w:top w:val="single" w:sz="4" w:space="0" w:color="auto"/>
              <w:left w:val="nil"/>
              <w:bottom w:val="single" w:sz="4" w:space="0" w:color="auto"/>
              <w:right w:val="single" w:sz="4" w:space="0" w:color="auto"/>
            </w:tcBorders>
            <w:shd w:val="clear" w:color="auto" w:fill="auto"/>
            <w:vAlign w:val="bottom"/>
            <w:hideMark/>
          </w:tcPr>
          <w:p w14:paraId="71D40166" w14:textId="77777777" w:rsidR="009C3C2F" w:rsidRPr="0053555E" w:rsidRDefault="009D4BD1"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FAD</w:t>
            </w:r>
          </w:p>
        </w:tc>
        <w:tc>
          <w:tcPr>
            <w:tcW w:w="898" w:type="dxa"/>
            <w:tcBorders>
              <w:top w:val="single" w:sz="4" w:space="0" w:color="auto"/>
              <w:left w:val="nil"/>
              <w:bottom w:val="single" w:sz="4" w:space="0" w:color="auto"/>
              <w:right w:val="single" w:sz="4" w:space="0" w:color="auto"/>
            </w:tcBorders>
            <w:shd w:val="clear" w:color="auto" w:fill="auto"/>
            <w:vAlign w:val="bottom"/>
            <w:hideMark/>
          </w:tcPr>
          <w:p w14:paraId="6D468B35" w14:textId="77777777" w:rsidR="009C3C2F" w:rsidRPr="0053555E" w:rsidRDefault="009C3C2F"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MTF</w:t>
            </w:r>
          </w:p>
        </w:tc>
        <w:tc>
          <w:tcPr>
            <w:tcW w:w="898" w:type="dxa"/>
            <w:tcBorders>
              <w:top w:val="single" w:sz="4" w:space="0" w:color="auto"/>
              <w:left w:val="nil"/>
              <w:bottom w:val="single" w:sz="4" w:space="0" w:color="auto"/>
              <w:right w:val="single" w:sz="4" w:space="0" w:color="auto"/>
            </w:tcBorders>
            <w:shd w:val="clear" w:color="auto" w:fill="auto"/>
            <w:vAlign w:val="bottom"/>
            <w:hideMark/>
          </w:tcPr>
          <w:p w14:paraId="4657527C" w14:textId="77777777" w:rsidR="009C3C2F" w:rsidRPr="0053555E" w:rsidRDefault="009C3C2F"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FIIT</w:t>
            </w:r>
          </w:p>
        </w:tc>
        <w:tc>
          <w:tcPr>
            <w:tcW w:w="898" w:type="dxa"/>
            <w:tcBorders>
              <w:top w:val="single" w:sz="4" w:space="0" w:color="auto"/>
              <w:left w:val="nil"/>
              <w:bottom w:val="single" w:sz="4" w:space="0" w:color="auto"/>
              <w:right w:val="single" w:sz="4" w:space="0" w:color="auto"/>
            </w:tcBorders>
            <w:shd w:val="clear" w:color="auto" w:fill="auto"/>
            <w:vAlign w:val="bottom"/>
            <w:hideMark/>
          </w:tcPr>
          <w:p w14:paraId="1F043DFC" w14:textId="77777777" w:rsidR="009C3C2F" w:rsidRPr="0053555E" w:rsidRDefault="009C3C2F"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ÚM</w:t>
            </w:r>
          </w:p>
        </w:tc>
        <w:tc>
          <w:tcPr>
            <w:tcW w:w="756" w:type="dxa"/>
            <w:tcBorders>
              <w:top w:val="single" w:sz="4" w:space="0" w:color="auto"/>
              <w:left w:val="nil"/>
              <w:bottom w:val="single" w:sz="4" w:space="0" w:color="auto"/>
              <w:right w:val="single" w:sz="4" w:space="0" w:color="auto"/>
            </w:tcBorders>
            <w:shd w:val="clear" w:color="auto" w:fill="EEECE1" w:themeFill="background2"/>
            <w:vAlign w:val="bottom"/>
            <w:hideMark/>
          </w:tcPr>
          <w:p w14:paraId="00CAA559" w14:textId="77777777" w:rsidR="009C3C2F" w:rsidRPr="0053555E" w:rsidRDefault="009C3C2F"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STU</w:t>
            </w:r>
          </w:p>
        </w:tc>
      </w:tr>
      <w:tr w:rsidR="00107766" w:rsidRPr="0053555E" w14:paraId="67563573" w14:textId="77777777" w:rsidTr="007E2A72">
        <w:trPr>
          <w:trHeight w:val="20"/>
        </w:trPr>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14:paraId="2511FDD3" w14:textId="77777777" w:rsidR="00107766" w:rsidRPr="0053555E" w:rsidRDefault="00107766" w:rsidP="00107766">
            <w:pPr>
              <w:tabs>
                <w:tab w:val="left" w:pos="9356"/>
              </w:tabs>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Bc.</w:t>
            </w:r>
          </w:p>
        </w:tc>
        <w:tc>
          <w:tcPr>
            <w:tcW w:w="504" w:type="dxa"/>
            <w:tcBorders>
              <w:top w:val="nil"/>
              <w:left w:val="nil"/>
              <w:bottom w:val="single" w:sz="4" w:space="0" w:color="auto"/>
              <w:right w:val="single" w:sz="4" w:space="0" w:color="auto"/>
            </w:tcBorders>
            <w:shd w:val="clear" w:color="auto" w:fill="auto"/>
            <w:vAlign w:val="bottom"/>
            <w:hideMark/>
          </w:tcPr>
          <w:p w14:paraId="3E4355A7" w14:textId="77777777" w:rsidR="00107766" w:rsidRPr="0053555E" w:rsidRDefault="00107766" w:rsidP="00107766">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DF</w:t>
            </w:r>
          </w:p>
        </w:tc>
        <w:tc>
          <w:tcPr>
            <w:tcW w:w="897" w:type="dxa"/>
            <w:tcBorders>
              <w:top w:val="nil"/>
              <w:left w:val="nil"/>
              <w:bottom w:val="single" w:sz="4" w:space="0" w:color="auto"/>
              <w:right w:val="single" w:sz="4" w:space="0" w:color="auto"/>
            </w:tcBorders>
            <w:shd w:val="clear" w:color="auto" w:fill="auto"/>
            <w:vAlign w:val="bottom"/>
          </w:tcPr>
          <w:p w14:paraId="3839C4E1" w14:textId="379B5C50" w:rsidR="00107766" w:rsidRPr="0053555E" w:rsidRDefault="00107766" w:rsidP="00107766">
            <w:pPr>
              <w:jc w:val="center"/>
              <w:rPr>
                <w:rFonts w:asciiTheme="majorHAnsi" w:hAnsiTheme="majorHAnsi" w:cstheme="majorHAnsi"/>
                <w:sz w:val="22"/>
                <w:szCs w:val="22"/>
              </w:rPr>
            </w:pPr>
            <w:r w:rsidRPr="0053555E">
              <w:rPr>
                <w:rFonts w:cs="Calibri"/>
                <w:sz w:val="22"/>
                <w:szCs w:val="20"/>
              </w:rPr>
              <w:t>269</w:t>
            </w:r>
          </w:p>
        </w:tc>
        <w:tc>
          <w:tcPr>
            <w:tcW w:w="898" w:type="dxa"/>
            <w:tcBorders>
              <w:top w:val="nil"/>
              <w:left w:val="nil"/>
              <w:bottom w:val="single" w:sz="4" w:space="0" w:color="auto"/>
              <w:right w:val="single" w:sz="4" w:space="0" w:color="auto"/>
            </w:tcBorders>
            <w:shd w:val="clear" w:color="auto" w:fill="auto"/>
            <w:vAlign w:val="bottom"/>
          </w:tcPr>
          <w:p w14:paraId="1B42C415" w14:textId="20C9C1A6" w:rsidR="00107766" w:rsidRPr="0053555E" w:rsidRDefault="00107766" w:rsidP="00107766">
            <w:pPr>
              <w:jc w:val="center"/>
              <w:rPr>
                <w:rFonts w:asciiTheme="majorHAnsi" w:hAnsiTheme="majorHAnsi" w:cstheme="majorHAnsi"/>
                <w:sz w:val="22"/>
                <w:szCs w:val="22"/>
              </w:rPr>
            </w:pPr>
            <w:r w:rsidRPr="0053555E">
              <w:rPr>
                <w:rFonts w:cs="Calibri"/>
                <w:sz w:val="22"/>
                <w:szCs w:val="20"/>
              </w:rPr>
              <w:t>95</w:t>
            </w:r>
          </w:p>
        </w:tc>
        <w:tc>
          <w:tcPr>
            <w:tcW w:w="898" w:type="dxa"/>
            <w:tcBorders>
              <w:top w:val="nil"/>
              <w:left w:val="nil"/>
              <w:bottom w:val="single" w:sz="4" w:space="0" w:color="auto"/>
              <w:right w:val="single" w:sz="4" w:space="0" w:color="auto"/>
            </w:tcBorders>
            <w:shd w:val="clear" w:color="auto" w:fill="auto"/>
            <w:vAlign w:val="bottom"/>
          </w:tcPr>
          <w:p w14:paraId="6B691306" w14:textId="3C5ABC66" w:rsidR="00107766" w:rsidRPr="0053555E" w:rsidRDefault="00107766" w:rsidP="00107766">
            <w:pPr>
              <w:jc w:val="center"/>
              <w:rPr>
                <w:rFonts w:asciiTheme="majorHAnsi" w:hAnsiTheme="majorHAnsi" w:cstheme="majorHAnsi"/>
                <w:sz w:val="22"/>
                <w:szCs w:val="22"/>
              </w:rPr>
            </w:pPr>
            <w:r w:rsidRPr="0053555E">
              <w:rPr>
                <w:rFonts w:cs="Calibri"/>
                <w:sz w:val="22"/>
                <w:szCs w:val="20"/>
              </w:rPr>
              <w:t>266</w:t>
            </w:r>
          </w:p>
        </w:tc>
        <w:tc>
          <w:tcPr>
            <w:tcW w:w="898" w:type="dxa"/>
            <w:tcBorders>
              <w:top w:val="nil"/>
              <w:left w:val="nil"/>
              <w:bottom w:val="single" w:sz="4" w:space="0" w:color="auto"/>
              <w:right w:val="single" w:sz="4" w:space="0" w:color="auto"/>
            </w:tcBorders>
            <w:shd w:val="clear" w:color="auto" w:fill="auto"/>
            <w:vAlign w:val="bottom"/>
          </w:tcPr>
          <w:p w14:paraId="390BAC44" w14:textId="43D3AC01" w:rsidR="00107766" w:rsidRPr="0053555E" w:rsidRDefault="00107766" w:rsidP="00107766">
            <w:pPr>
              <w:jc w:val="center"/>
              <w:rPr>
                <w:rFonts w:asciiTheme="majorHAnsi" w:hAnsiTheme="majorHAnsi" w:cstheme="majorHAnsi"/>
                <w:sz w:val="22"/>
                <w:szCs w:val="22"/>
              </w:rPr>
            </w:pPr>
            <w:r w:rsidRPr="0053555E">
              <w:rPr>
                <w:rFonts w:cs="Calibri"/>
                <w:sz w:val="22"/>
                <w:szCs w:val="20"/>
              </w:rPr>
              <w:t>161</w:t>
            </w:r>
          </w:p>
        </w:tc>
        <w:tc>
          <w:tcPr>
            <w:tcW w:w="897" w:type="dxa"/>
            <w:tcBorders>
              <w:top w:val="nil"/>
              <w:left w:val="nil"/>
              <w:bottom w:val="single" w:sz="4" w:space="0" w:color="auto"/>
              <w:right w:val="single" w:sz="4" w:space="0" w:color="auto"/>
            </w:tcBorders>
            <w:shd w:val="clear" w:color="auto" w:fill="auto"/>
            <w:vAlign w:val="bottom"/>
          </w:tcPr>
          <w:p w14:paraId="0FDC7383" w14:textId="375AAFCE" w:rsidR="00107766" w:rsidRPr="0053555E" w:rsidRDefault="00107766" w:rsidP="00107766">
            <w:pPr>
              <w:jc w:val="center"/>
              <w:rPr>
                <w:rFonts w:asciiTheme="majorHAnsi" w:hAnsiTheme="majorHAnsi" w:cstheme="majorHAnsi"/>
                <w:sz w:val="22"/>
                <w:szCs w:val="22"/>
              </w:rPr>
            </w:pPr>
            <w:r w:rsidRPr="0053555E">
              <w:rPr>
                <w:rFonts w:cs="Calibri"/>
                <w:sz w:val="22"/>
                <w:szCs w:val="20"/>
              </w:rPr>
              <w:t>126</w:t>
            </w:r>
          </w:p>
        </w:tc>
        <w:tc>
          <w:tcPr>
            <w:tcW w:w="898" w:type="dxa"/>
            <w:tcBorders>
              <w:top w:val="nil"/>
              <w:left w:val="nil"/>
              <w:bottom w:val="single" w:sz="4" w:space="0" w:color="auto"/>
              <w:right w:val="single" w:sz="4" w:space="0" w:color="auto"/>
            </w:tcBorders>
            <w:shd w:val="clear" w:color="auto" w:fill="auto"/>
            <w:vAlign w:val="bottom"/>
          </w:tcPr>
          <w:p w14:paraId="17483505" w14:textId="71C4BD42" w:rsidR="00107766" w:rsidRPr="0053555E" w:rsidRDefault="00107766" w:rsidP="00107766">
            <w:pPr>
              <w:jc w:val="center"/>
              <w:rPr>
                <w:rFonts w:asciiTheme="majorHAnsi" w:hAnsiTheme="majorHAnsi" w:cstheme="majorHAnsi"/>
                <w:sz w:val="22"/>
                <w:szCs w:val="22"/>
              </w:rPr>
            </w:pPr>
            <w:r w:rsidRPr="0053555E">
              <w:rPr>
                <w:rFonts w:cs="Calibri"/>
                <w:sz w:val="22"/>
                <w:szCs w:val="20"/>
              </w:rPr>
              <w:t>253</w:t>
            </w:r>
          </w:p>
        </w:tc>
        <w:tc>
          <w:tcPr>
            <w:tcW w:w="898" w:type="dxa"/>
            <w:tcBorders>
              <w:top w:val="nil"/>
              <w:left w:val="nil"/>
              <w:bottom w:val="single" w:sz="4" w:space="0" w:color="auto"/>
              <w:right w:val="single" w:sz="4" w:space="0" w:color="auto"/>
            </w:tcBorders>
            <w:shd w:val="clear" w:color="auto" w:fill="auto"/>
            <w:vAlign w:val="bottom"/>
          </w:tcPr>
          <w:p w14:paraId="4826BEC8" w14:textId="6CF07E75" w:rsidR="00107766" w:rsidRPr="0053555E" w:rsidRDefault="00107766" w:rsidP="00107766">
            <w:pPr>
              <w:jc w:val="center"/>
              <w:rPr>
                <w:rFonts w:asciiTheme="majorHAnsi" w:hAnsiTheme="majorHAnsi" w:cstheme="majorHAnsi"/>
                <w:sz w:val="22"/>
                <w:szCs w:val="22"/>
              </w:rPr>
            </w:pPr>
            <w:r w:rsidRPr="0053555E">
              <w:rPr>
                <w:rFonts w:cs="Calibri"/>
                <w:sz w:val="22"/>
                <w:szCs w:val="20"/>
              </w:rPr>
              <w:t>199</w:t>
            </w:r>
          </w:p>
        </w:tc>
        <w:tc>
          <w:tcPr>
            <w:tcW w:w="898" w:type="dxa"/>
            <w:tcBorders>
              <w:top w:val="nil"/>
              <w:left w:val="nil"/>
              <w:bottom w:val="single" w:sz="4" w:space="0" w:color="auto"/>
              <w:right w:val="single" w:sz="4" w:space="0" w:color="auto"/>
            </w:tcBorders>
            <w:shd w:val="clear" w:color="auto" w:fill="auto"/>
            <w:vAlign w:val="bottom"/>
          </w:tcPr>
          <w:p w14:paraId="1171E0D1" w14:textId="13290005" w:rsidR="00107766" w:rsidRPr="0053555E" w:rsidRDefault="00107766" w:rsidP="00107766">
            <w:pPr>
              <w:jc w:val="center"/>
              <w:rPr>
                <w:rFonts w:asciiTheme="majorHAnsi" w:hAnsiTheme="majorHAnsi" w:cstheme="majorHAnsi"/>
                <w:sz w:val="22"/>
                <w:szCs w:val="22"/>
              </w:rPr>
            </w:pPr>
            <w:r w:rsidRPr="0053555E">
              <w:rPr>
                <w:rFonts w:cs="Calibri"/>
                <w:sz w:val="22"/>
                <w:szCs w:val="20"/>
              </w:rPr>
              <w:t>17</w:t>
            </w:r>
          </w:p>
        </w:tc>
        <w:tc>
          <w:tcPr>
            <w:tcW w:w="756" w:type="dxa"/>
            <w:tcBorders>
              <w:top w:val="nil"/>
              <w:left w:val="nil"/>
              <w:bottom w:val="single" w:sz="4" w:space="0" w:color="auto"/>
              <w:right w:val="single" w:sz="4" w:space="0" w:color="auto"/>
            </w:tcBorders>
            <w:shd w:val="clear" w:color="auto" w:fill="EEECE1" w:themeFill="background2"/>
            <w:vAlign w:val="bottom"/>
          </w:tcPr>
          <w:p w14:paraId="58CA6374" w14:textId="4200CA98" w:rsidR="00107766" w:rsidRPr="0053555E" w:rsidRDefault="00107766" w:rsidP="00107766">
            <w:pPr>
              <w:jc w:val="center"/>
              <w:rPr>
                <w:rFonts w:asciiTheme="majorHAnsi" w:hAnsiTheme="majorHAnsi" w:cstheme="majorHAnsi"/>
                <w:b/>
                <w:bCs/>
                <w:sz w:val="22"/>
                <w:szCs w:val="22"/>
              </w:rPr>
            </w:pPr>
            <w:r w:rsidRPr="0053555E">
              <w:rPr>
                <w:rFonts w:cs="Calibri"/>
                <w:b/>
                <w:bCs/>
                <w:sz w:val="22"/>
                <w:szCs w:val="20"/>
              </w:rPr>
              <w:t>1 386</w:t>
            </w:r>
          </w:p>
        </w:tc>
      </w:tr>
      <w:tr w:rsidR="00107766" w:rsidRPr="0053555E" w14:paraId="52879A33" w14:textId="77777777" w:rsidTr="007E2A72">
        <w:trPr>
          <w:trHeight w:val="20"/>
        </w:trPr>
        <w:tc>
          <w:tcPr>
            <w:tcW w:w="630" w:type="dxa"/>
            <w:vMerge/>
            <w:tcBorders>
              <w:top w:val="nil"/>
              <w:left w:val="single" w:sz="4" w:space="0" w:color="auto"/>
              <w:bottom w:val="single" w:sz="4" w:space="0" w:color="auto"/>
              <w:right w:val="single" w:sz="4" w:space="0" w:color="auto"/>
            </w:tcBorders>
            <w:vAlign w:val="center"/>
            <w:hideMark/>
          </w:tcPr>
          <w:p w14:paraId="714D7496" w14:textId="77777777" w:rsidR="00107766" w:rsidRPr="0053555E" w:rsidRDefault="00107766" w:rsidP="00107766">
            <w:pPr>
              <w:tabs>
                <w:tab w:val="left" w:pos="9356"/>
              </w:tabs>
              <w:rPr>
                <w:rFonts w:asciiTheme="majorHAnsi" w:eastAsia="Times New Roman" w:hAnsiTheme="majorHAnsi" w:cstheme="majorHAnsi"/>
                <w:b/>
                <w:bCs/>
                <w:sz w:val="22"/>
                <w:szCs w:val="22"/>
                <w:lang w:eastAsia="sk-SK"/>
              </w:rPr>
            </w:pPr>
          </w:p>
        </w:tc>
        <w:tc>
          <w:tcPr>
            <w:tcW w:w="504" w:type="dxa"/>
            <w:tcBorders>
              <w:top w:val="nil"/>
              <w:left w:val="nil"/>
              <w:bottom w:val="single" w:sz="4" w:space="0" w:color="auto"/>
              <w:right w:val="single" w:sz="4" w:space="0" w:color="auto"/>
            </w:tcBorders>
            <w:shd w:val="clear" w:color="auto" w:fill="auto"/>
            <w:vAlign w:val="bottom"/>
            <w:hideMark/>
          </w:tcPr>
          <w:p w14:paraId="437E8957" w14:textId="77777777" w:rsidR="00107766" w:rsidRPr="0053555E" w:rsidRDefault="00107766" w:rsidP="00107766">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EF</w:t>
            </w:r>
          </w:p>
        </w:tc>
        <w:tc>
          <w:tcPr>
            <w:tcW w:w="897" w:type="dxa"/>
            <w:tcBorders>
              <w:top w:val="nil"/>
              <w:left w:val="nil"/>
              <w:bottom w:val="single" w:sz="4" w:space="0" w:color="auto"/>
              <w:right w:val="single" w:sz="4" w:space="0" w:color="auto"/>
            </w:tcBorders>
            <w:shd w:val="clear" w:color="auto" w:fill="auto"/>
            <w:vAlign w:val="bottom"/>
          </w:tcPr>
          <w:p w14:paraId="6867A957" w14:textId="5EAA07FD"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898" w:type="dxa"/>
            <w:tcBorders>
              <w:top w:val="nil"/>
              <w:left w:val="nil"/>
              <w:bottom w:val="single" w:sz="4" w:space="0" w:color="auto"/>
              <w:right w:val="single" w:sz="4" w:space="0" w:color="auto"/>
            </w:tcBorders>
            <w:shd w:val="clear" w:color="auto" w:fill="auto"/>
            <w:vAlign w:val="bottom"/>
          </w:tcPr>
          <w:p w14:paraId="6BD86D88" w14:textId="1E475319"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898" w:type="dxa"/>
            <w:tcBorders>
              <w:top w:val="nil"/>
              <w:left w:val="nil"/>
              <w:bottom w:val="single" w:sz="4" w:space="0" w:color="auto"/>
              <w:right w:val="single" w:sz="4" w:space="0" w:color="auto"/>
            </w:tcBorders>
            <w:shd w:val="clear" w:color="auto" w:fill="auto"/>
            <w:vAlign w:val="bottom"/>
          </w:tcPr>
          <w:p w14:paraId="68EEEF11" w14:textId="3F6B10CC"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898" w:type="dxa"/>
            <w:tcBorders>
              <w:top w:val="nil"/>
              <w:left w:val="nil"/>
              <w:bottom w:val="single" w:sz="4" w:space="0" w:color="auto"/>
              <w:right w:val="single" w:sz="4" w:space="0" w:color="auto"/>
            </w:tcBorders>
            <w:shd w:val="clear" w:color="auto" w:fill="auto"/>
            <w:vAlign w:val="bottom"/>
          </w:tcPr>
          <w:p w14:paraId="31565856" w14:textId="330EBB8F"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897" w:type="dxa"/>
            <w:tcBorders>
              <w:top w:val="nil"/>
              <w:left w:val="nil"/>
              <w:bottom w:val="single" w:sz="4" w:space="0" w:color="auto"/>
              <w:right w:val="single" w:sz="4" w:space="0" w:color="auto"/>
            </w:tcBorders>
            <w:shd w:val="clear" w:color="auto" w:fill="auto"/>
            <w:vAlign w:val="bottom"/>
          </w:tcPr>
          <w:p w14:paraId="5887AA11" w14:textId="09F6877B"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898" w:type="dxa"/>
            <w:tcBorders>
              <w:top w:val="nil"/>
              <w:left w:val="nil"/>
              <w:bottom w:val="single" w:sz="4" w:space="0" w:color="auto"/>
              <w:right w:val="single" w:sz="4" w:space="0" w:color="auto"/>
            </w:tcBorders>
            <w:shd w:val="clear" w:color="auto" w:fill="auto"/>
            <w:vAlign w:val="bottom"/>
          </w:tcPr>
          <w:p w14:paraId="67942B4F" w14:textId="1FFD02D7"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898" w:type="dxa"/>
            <w:tcBorders>
              <w:top w:val="nil"/>
              <w:left w:val="nil"/>
              <w:bottom w:val="single" w:sz="4" w:space="0" w:color="auto"/>
              <w:right w:val="single" w:sz="4" w:space="0" w:color="auto"/>
            </w:tcBorders>
            <w:shd w:val="clear" w:color="auto" w:fill="auto"/>
            <w:vAlign w:val="bottom"/>
          </w:tcPr>
          <w:p w14:paraId="3A4E6D6F" w14:textId="0B6E7731"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898" w:type="dxa"/>
            <w:tcBorders>
              <w:top w:val="nil"/>
              <w:left w:val="nil"/>
              <w:bottom w:val="single" w:sz="4" w:space="0" w:color="auto"/>
              <w:right w:val="single" w:sz="4" w:space="0" w:color="auto"/>
            </w:tcBorders>
            <w:shd w:val="clear" w:color="auto" w:fill="auto"/>
            <w:vAlign w:val="bottom"/>
          </w:tcPr>
          <w:p w14:paraId="6DC91F33" w14:textId="3D60EEE7"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756" w:type="dxa"/>
            <w:tcBorders>
              <w:top w:val="nil"/>
              <w:left w:val="nil"/>
              <w:bottom w:val="single" w:sz="4" w:space="0" w:color="auto"/>
              <w:right w:val="single" w:sz="4" w:space="0" w:color="auto"/>
            </w:tcBorders>
            <w:shd w:val="clear" w:color="auto" w:fill="EEECE1" w:themeFill="background2"/>
            <w:vAlign w:val="bottom"/>
          </w:tcPr>
          <w:p w14:paraId="57BEEC99" w14:textId="595BE33A" w:rsidR="00107766" w:rsidRPr="0053555E" w:rsidRDefault="00107766" w:rsidP="00107766">
            <w:pPr>
              <w:jc w:val="center"/>
              <w:rPr>
                <w:rFonts w:asciiTheme="majorHAnsi" w:hAnsiTheme="majorHAnsi" w:cstheme="majorHAnsi"/>
                <w:b/>
                <w:bCs/>
                <w:sz w:val="22"/>
                <w:szCs w:val="22"/>
              </w:rPr>
            </w:pPr>
            <w:r w:rsidRPr="0053555E">
              <w:rPr>
                <w:rFonts w:cs="Calibri"/>
                <w:b/>
                <w:bCs/>
                <w:sz w:val="22"/>
                <w:szCs w:val="20"/>
              </w:rPr>
              <w:t>0</w:t>
            </w:r>
          </w:p>
        </w:tc>
      </w:tr>
      <w:tr w:rsidR="00107766" w:rsidRPr="0053555E" w14:paraId="3312252C" w14:textId="77777777" w:rsidTr="007E2A72">
        <w:trPr>
          <w:trHeight w:val="20"/>
        </w:trPr>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14:paraId="37337098" w14:textId="77777777" w:rsidR="00107766" w:rsidRPr="0053555E" w:rsidRDefault="00107766" w:rsidP="00107766">
            <w:pPr>
              <w:tabs>
                <w:tab w:val="left" w:pos="9356"/>
              </w:tabs>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Ing.</w:t>
            </w:r>
          </w:p>
        </w:tc>
        <w:tc>
          <w:tcPr>
            <w:tcW w:w="504" w:type="dxa"/>
            <w:tcBorders>
              <w:top w:val="nil"/>
              <w:left w:val="nil"/>
              <w:bottom w:val="single" w:sz="4" w:space="0" w:color="auto"/>
              <w:right w:val="single" w:sz="4" w:space="0" w:color="auto"/>
            </w:tcBorders>
            <w:shd w:val="clear" w:color="auto" w:fill="auto"/>
            <w:vAlign w:val="bottom"/>
            <w:hideMark/>
          </w:tcPr>
          <w:p w14:paraId="4B73376F" w14:textId="77777777" w:rsidR="00107766" w:rsidRPr="0053555E" w:rsidRDefault="00107766" w:rsidP="00107766">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DF</w:t>
            </w:r>
          </w:p>
        </w:tc>
        <w:tc>
          <w:tcPr>
            <w:tcW w:w="897" w:type="dxa"/>
            <w:tcBorders>
              <w:top w:val="nil"/>
              <w:left w:val="nil"/>
              <w:bottom w:val="single" w:sz="4" w:space="0" w:color="auto"/>
              <w:right w:val="single" w:sz="4" w:space="0" w:color="auto"/>
            </w:tcBorders>
            <w:shd w:val="clear" w:color="auto" w:fill="auto"/>
            <w:vAlign w:val="bottom"/>
          </w:tcPr>
          <w:p w14:paraId="1E226A5A" w14:textId="0171B6DD" w:rsidR="00107766" w:rsidRPr="0053555E" w:rsidRDefault="00107766" w:rsidP="00107766">
            <w:pPr>
              <w:jc w:val="center"/>
              <w:rPr>
                <w:rFonts w:asciiTheme="majorHAnsi" w:hAnsiTheme="majorHAnsi" w:cstheme="majorHAnsi"/>
                <w:sz w:val="22"/>
                <w:szCs w:val="22"/>
              </w:rPr>
            </w:pPr>
            <w:r w:rsidRPr="0053555E">
              <w:rPr>
                <w:rFonts w:cs="Calibri"/>
                <w:sz w:val="22"/>
                <w:szCs w:val="20"/>
              </w:rPr>
              <w:t>200</w:t>
            </w:r>
          </w:p>
        </w:tc>
        <w:tc>
          <w:tcPr>
            <w:tcW w:w="898" w:type="dxa"/>
            <w:tcBorders>
              <w:top w:val="nil"/>
              <w:left w:val="nil"/>
              <w:bottom w:val="single" w:sz="4" w:space="0" w:color="auto"/>
              <w:right w:val="single" w:sz="4" w:space="0" w:color="auto"/>
            </w:tcBorders>
            <w:shd w:val="clear" w:color="auto" w:fill="auto"/>
            <w:vAlign w:val="bottom"/>
          </w:tcPr>
          <w:p w14:paraId="2956CE0C" w14:textId="272D4102" w:rsidR="00107766" w:rsidRPr="0053555E" w:rsidRDefault="00107766" w:rsidP="00107766">
            <w:pPr>
              <w:jc w:val="center"/>
              <w:rPr>
                <w:rFonts w:asciiTheme="majorHAnsi" w:hAnsiTheme="majorHAnsi" w:cstheme="majorHAnsi"/>
                <w:sz w:val="22"/>
                <w:szCs w:val="22"/>
              </w:rPr>
            </w:pPr>
            <w:r w:rsidRPr="0053555E">
              <w:rPr>
                <w:rFonts w:cs="Calibri"/>
                <w:sz w:val="22"/>
                <w:szCs w:val="20"/>
              </w:rPr>
              <w:t>92</w:t>
            </w:r>
          </w:p>
        </w:tc>
        <w:tc>
          <w:tcPr>
            <w:tcW w:w="898" w:type="dxa"/>
            <w:tcBorders>
              <w:top w:val="nil"/>
              <w:left w:val="nil"/>
              <w:bottom w:val="single" w:sz="4" w:space="0" w:color="auto"/>
              <w:right w:val="single" w:sz="4" w:space="0" w:color="auto"/>
            </w:tcBorders>
            <w:shd w:val="clear" w:color="auto" w:fill="auto"/>
            <w:vAlign w:val="bottom"/>
          </w:tcPr>
          <w:p w14:paraId="022B638D" w14:textId="0867F215" w:rsidR="00107766" w:rsidRPr="0053555E" w:rsidRDefault="00107766" w:rsidP="00107766">
            <w:pPr>
              <w:jc w:val="center"/>
              <w:rPr>
                <w:rFonts w:asciiTheme="majorHAnsi" w:hAnsiTheme="majorHAnsi" w:cstheme="majorHAnsi"/>
                <w:sz w:val="22"/>
                <w:szCs w:val="22"/>
              </w:rPr>
            </w:pPr>
            <w:r w:rsidRPr="0053555E">
              <w:rPr>
                <w:rFonts w:cs="Calibri"/>
                <w:sz w:val="22"/>
                <w:szCs w:val="20"/>
              </w:rPr>
              <w:t>228</w:t>
            </w:r>
          </w:p>
        </w:tc>
        <w:tc>
          <w:tcPr>
            <w:tcW w:w="898" w:type="dxa"/>
            <w:tcBorders>
              <w:top w:val="nil"/>
              <w:left w:val="nil"/>
              <w:bottom w:val="single" w:sz="4" w:space="0" w:color="auto"/>
              <w:right w:val="single" w:sz="4" w:space="0" w:color="auto"/>
            </w:tcBorders>
            <w:shd w:val="clear" w:color="auto" w:fill="auto"/>
            <w:vAlign w:val="bottom"/>
          </w:tcPr>
          <w:p w14:paraId="5596CCBF" w14:textId="315F2CC0" w:rsidR="00107766" w:rsidRPr="0053555E" w:rsidRDefault="00107766" w:rsidP="00107766">
            <w:pPr>
              <w:jc w:val="center"/>
              <w:rPr>
                <w:rFonts w:asciiTheme="majorHAnsi" w:hAnsiTheme="majorHAnsi" w:cstheme="majorHAnsi"/>
                <w:sz w:val="22"/>
                <w:szCs w:val="22"/>
              </w:rPr>
            </w:pPr>
            <w:r w:rsidRPr="0053555E">
              <w:rPr>
                <w:rFonts w:cs="Calibri"/>
                <w:sz w:val="22"/>
                <w:szCs w:val="20"/>
              </w:rPr>
              <w:t>149</w:t>
            </w:r>
          </w:p>
        </w:tc>
        <w:tc>
          <w:tcPr>
            <w:tcW w:w="897" w:type="dxa"/>
            <w:tcBorders>
              <w:top w:val="nil"/>
              <w:left w:val="nil"/>
              <w:bottom w:val="single" w:sz="4" w:space="0" w:color="auto"/>
              <w:right w:val="single" w:sz="4" w:space="0" w:color="auto"/>
            </w:tcBorders>
            <w:shd w:val="clear" w:color="auto" w:fill="auto"/>
            <w:vAlign w:val="bottom"/>
          </w:tcPr>
          <w:p w14:paraId="1539A1E5" w14:textId="00C8A057" w:rsidR="00107766" w:rsidRPr="0053555E" w:rsidRDefault="00107766" w:rsidP="00107766">
            <w:pPr>
              <w:jc w:val="center"/>
              <w:rPr>
                <w:rFonts w:asciiTheme="majorHAnsi" w:hAnsiTheme="majorHAnsi" w:cstheme="majorHAnsi"/>
                <w:sz w:val="22"/>
                <w:szCs w:val="22"/>
              </w:rPr>
            </w:pPr>
            <w:r w:rsidRPr="0053555E">
              <w:rPr>
                <w:rFonts w:cs="Calibri"/>
                <w:sz w:val="22"/>
                <w:szCs w:val="20"/>
              </w:rPr>
              <w:t>106</w:t>
            </w:r>
          </w:p>
        </w:tc>
        <w:tc>
          <w:tcPr>
            <w:tcW w:w="898" w:type="dxa"/>
            <w:tcBorders>
              <w:top w:val="nil"/>
              <w:left w:val="nil"/>
              <w:bottom w:val="single" w:sz="4" w:space="0" w:color="auto"/>
              <w:right w:val="single" w:sz="4" w:space="0" w:color="auto"/>
            </w:tcBorders>
            <w:shd w:val="clear" w:color="auto" w:fill="auto"/>
            <w:vAlign w:val="bottom"/>
          </w:tcPr>
          <w:p w14:paraId="5F0484E3" w14:textId="5FE55E55" w:rsidR="00107766" w:rsidRPr="0053555E" w:rsidRDefault="00107766" w:rsidP="00107766">
            <w:pPr>
              <w:jc w:val="center"/>
              <w:rPr>
                <w:rFonts w:asciiTheme="majorHAnsi" w:hAnsiTheme="majorHAnsi" w:cstheme="majorHAnsi"/>
                <w:sz w:val="22"/>
                <w:szCs w:val="22"/>
              </w:rPr>
            </w:pPr>
            <w:r w:rsidRPr="0053555E">
              <w:rPr>
                <w:rFonts w:cs="Calibri"/>
                <w:sz w:val="22"/>
                <w:szCs w:val="20"/>
              </w:rPr>
              <w:t>259</w:t>
            </w:r>
          </w:p>
        </w:tc>
        <w:tc>
          <w:tcPr>
            <w:tcW w:w="898" w:type="dxa"/>
            <w:tcBorders>
              <w:top w:val="nil"/>
              <w:left w:val="nil"/>
              <w:bottom w:val="single" w:sz="4" w:space="0" w:color="auto"/>
              <w:right w:val="single" w:sz="4" w:space="0" w:color="auto"/>
            </w:tcBorders>
            <w:shd w:val="clear" w:color="auto" w:fill="auto"/>
            <w:vAlign w:val="bottom"/>
          </w:tcPr>
          <w:p w14:paraId="4B6AE93B" w14:textId="05C1332A" w:rsidR="00107766" w:rsidRPr="0053555E" w:rsidRDefault="00107766" w:rsidP="00107766">
            <w:pPr>
              <w:jc w:val="center"/>
              <w:rPr>
                <w:rFonts w:asciiTheme="majorHAnsi" w:hAnsiTheme="majorHAnsi" w:cstheme="majorHAnsi"/>
                <w:sz w:val="22"/>
                <w:szCs w:val="22"/>
              </w:rPr>
            </w:pPr>
            <w:r w:rsidRPr="0053555E">
              <w:rPr>
                <w:rFonts w:cs="Calibri"/>
                <w:sz w:val="22"/>
                <w:szCs w:val="20"/>
              </w:rPr>
              <w:t>114</w:t>
            </w:r>
          </w:p>
        </w:tc>
        <w:tc>
          <w:tcPr>
            <w:tcW w:w="898" w:type="dxa"/>
            <w:tcBorders>
              <w:top w:val="nil"/>
              <w:left w:val="nil"/>
              <w:bottom w:val="single" w:sz="4" w:space="0" w:color="auto"/>
              <w:right w:val="single" w:sz="4" w:space="0" w:color="auto"/>
            </w:tcBorders>
            <w:shd w:val="clear" w:color="auto" w:fill="auto"/>
            <w:vAlign w:val="bottom"/>
          </w:tcPr>
          <w:p w14:paraId="5F82646F" w14:textId="74D6A917" w:rsidR="00107766" w:rsidRPr="0053555E" w:rsidRDefault="00107766" w:rsidP="00107766">
            <w:pPr>
              <w:jc w:val="center"/>
              <w:rPr>
                <w:rFonts w:asciiTheme="majorHAnsi" w:hAnsiTheme="majorHAnsi" w:cstheme="majorHAnsi"/>
                <w:sz w:val="22"/>
                <w:szCs w:val="22"/>
              </w:rPr>
            </w:pPr>
            <w:r w:rsidRPr="0053555E">
              <w:rPr>
                <w:rFonts w:cs="Calibri"/>
                <w:sz w:val="22"/>
                <w:szCs w:val="20"/>
              </w:rPr>
              <w:t>24</w:t>
            </w:r>
          </w:p>
        </w:tc>
        <w:tc>
          <w:tcPr>
            <w:tcW w:w="756" w:type="dxa"/>
            <w:tcBorders>
              <w:top w:val="nil"/>
              <w:left w:val="nil"/>
              <w:bottom w:val="single" w:sz="4" w:space="0" w:color="auto"/>
              <w:right w:val="single" w:sz="4" w:space="0" w:color="auto"/>
            </w:tcBorders>
            <w:shd w:val="clear" w:color="auto" w:fill="EEECE1" w:themeFill="background2"/>
            <w:vAlign w:val="bottom"/>
          </w:tcPr>
          <w:p w14:paraId="2853D4A9" w14:textId="2D8B6F64" w:rsidR="00107766" w:rsidRPr="0053555E" w:rsidRDefault="00107766" w:rsidP="00107766">
            <w:pPr>
              <w:jc w:val="center"/>
              <w:rPr>
                <w:rFonts w:asciiTheme="majorHAnsi" w:hAnsiTheme="majorHAnsi" w:cstheme="majorHAnsi"/>
                <w:b/>
                <w:bCs/>
                <w:sz w:val="22"/>
                <w:szCs w:val="22"/>
              </w:rPr>
            </w:pPr>
            <w:r w:rsidRPr="0053555E">
              <w:rPr>
                <w:rFonts w:cs="Calibri"/>
                <w:b/>
                <w:bCs/>
                <w:sz w:val="22"/>
                <w:szCs w:val="20"/>
              </w:rPr>
              <w:t>1 172</w:t>
            </w:r>
          </w:p>
        </w:tc>
      </w:tr>
      <w:tr w:rsidR="00107766" w:rsidRPr="0053555E" w14:paraId="5D24FA2F" w14:textId="77777777" w:rsidTr="007E2A72">
        <w:trPr>
          <w:trHeight w:val="20"/>
        </w:trPr>
        <w:tc>
          <w:tcPr>
            <w:tcW w:w="630" w:type="dxa"/>
            <w:vMerge/>
            <w:tcBorders>
              <w:top w:val="nil"/>
              <w:left w:val="single" w:sz="4" w:space="0" w:color="auto"/>
              <w:bottom w:val="single" w:sz="4" w:space="0" w:color="auto"/>
              <w:right w:val="single" w:sz="4" w:space="0" w:color="auto"/>
            </w:tcBorders>
            <w:vAlign w:val="center"/>
            <w:hideMark/>
          </w:tcPr>
          <w:p w14:paraId="5A28D14A" w14:textId="77777777" w:rsidR="00107766" w:rsidRPr="0053555E" w:rsidRDefault="00107766" w:rsidP="00107766">
            <w:pPr>
              <w:tabs>
                <w:tab w:val="left" w:pos="9356"/>
              </w:tabs>
              <w:rPr>
                <w:rFonts w:asciiTheme="majorHAnsi" w:eastAsia="Times New Roman" w:hAnsiTheme="majorHAnsi" w:cstheme="majorHAnsi"/>
                <w:b/>
                <w:bCs/>
                <w:sz w:val="22"/>
                <w:szCs w:val="22"/>
                <w:lang w:eastAsia="sk-SK"/>
              </w:rPr>
            </w:pPr>
          </w:p>
        </w:tc>
        <w:tc>
          <w:tcPr>
            <w:tcW w:w="504" w:type="dxa"/>
            <w:tcBorders>
              <w:top w:val="nil"/>
              <w:left w:val="nil"/>
              <w:bottom w:val="single" w:sz="4" w:space="0" w:color="auto"/>
              <w:right w:val="single" w:sz="4" w:space="0" w:color="auto"/>
            </w:tcBorders>
            <w:shd w:val="clear" w:color="auto" w:fill="auto"/>
            <w:vAlign w:val="bottom"/>
            <w:hideMark/>
          </w:tcPr>
          <w:p w14:paraId="6AF1E896" w14:textId="77777777" w:rsidR="00107766" w:rsidRPr="0053555E" w:rsidRDefault="00107766" w:rsidP="00107766">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EF</w:t>
            </w:r>
          </w:p>
        </w:tc>
        <w:tc>
          <w:tcPr>
            <w:tcW w:w="897" w:type="dxa"/>
            <w:tcBorders>
              <w:top w:val="nil"/>
              <w:left w:val="nil"/>
              <w:bottom w:val="single" w:sz="4" w:space="0" w:color="auto"/>
              <w:right w:val="single" w:sz="4" w:space="0" w:color="auto"/>
            </w:tcBorders>
            <w:shd w:val="clear" w:color="auto" w:fill="auto"/>
            <w:vAlign w:val="bottom"/>
          </w:tcPr>
          <w:p w14:paraId="5D74A120" w14:textId="16AF72D8"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898" w:type="dxa"/>
            <w:tcBorders>
              <w:top w:val="nil"/>
              <w:left w:val="nil"/>
              <w:bottom w:val="single" w:sz="4" w:space="0" w:color="auto"/>
              <w:right w:val="single" w:sz="4" w:space="0" w:color="auto"/>
            </w:tcBorders>
            <w:shd w:val="clear" w:color="auto" w:fill="auto"/>
            <w:vAlign w:val="bottom"/>
          </w:tcPr>
          <w:p w14:paraId="5E563259" w14:textId="11E68EBC"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898" w:type="dxa"/>
            <w:tcBorders>
              <w:top w:val="nil"/>
              <w:left w:val="nil"/>
              <w:bottom w:val="single" w:sz="4" w:space="0" w:color="auto"/>
              <w:right w:val="single" w:sz="4" w:space="0" w:color="auto"/>
            </w:tcBorders>
            <w:shd w:val="clear" w:color="auto" w:fill="auto"/>
            <w:vAlign w:val="bottom"/>
          </w:tcPr>
          <w:p w14:paraId="2BD6657D" w14:textId="4004A998"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898" w:type="dxa"/>
            <w:tcBorders>
              <w:top w:val="nil"/>
              <w:left w:val="nil"/>
              <w:bottom w:val="single" w:sz="4" w:space="0" w:color="auto"/>
              <w:right w:val="single" w:sz="4" w:space="0" w:color="auto"/>
            </w:tcBorders>
            <w:shd w:val="clear" w:color="auto" w:fill="auto"/>
            <w:vAlign w:val="bottom"/>
          </w:tcPr>
          <w:p w14:paraId="5B002820" w14:textId="0D03973C"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897" w:type="dxa"/>
            <w:tcBorders>
              <w:top w:val="nil"/>
              <w:left w:val="nil"/>
              <w:bottom w:val="single" w:sz="4" w:space="0" w:color="auto"/>
              <w:right w:val="single" w:sz="4" w:space="0" w:color="auto"/>
            </w:tcBorders>
            <w:shd w:val="clear" w:color="auto" w:fill="auto"/>
            <w:vAlign w:val="bottom"/>
          </w:tcPr>
          <w:p w14:paraId="30104AEA" w14:textId="340C2E43"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898" w:type="dxa"/>
            <w:tcBorders>
              <w:top w:val="nil"/>
              <w:left w:val="nil"/>
              <w:bottom w:val="single" w:sz="4" w:space="0" w:color="auto"/>
              <w:right w:val="single" w:sz="4" w:space="0" w:color="auto"/>
            </w:tcBorders>
            <w:shd w:val="clear" w:color="auto" w:fill="auto"/>
            <w:vAlign w:val="bottom"/>
          </w:tcPr>
          <w:p w14:paraId="7C16AD13" w14:textId="05F38630"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898" w:type="dxa"/>
            <w:tcBorders>
              <w:top w:val="nil"/>
              <w:left w:val="nil"/>
              <w:bottom w:val="single" w:sz="4" w:space="0" w:color="auto"/>
              <w:right w:val="single" w:sz="4" w:space="0" w:color="auto"/>
            </w:tcBorders>
            <w:shd w:val="clear" w:color="auto" w:fill="auto"/>
            <w:vAlign w:val="bottom"/>
          </w:tcPr>
          <w:p w14:paraId="0CFAA957" w14:textId="565281F2"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898" w:type="dxa"/>
            <w:tcBorders>
              <w:top w:val="nil"/>
              <w:left w:val="nil"/>
              <w:bottom w:val="single" w:sz="4" w:space="0" w:color="auto"/>
              <w:right w:val="single" w:sz="4" w:space="0" w:color="auto"/>
            </w:tcBorders>
            <w:shd w:val="clear" w:color="auto" w:fill="auto"/>
            <w:vAlign w:val="bottom"/>
          </w:tcPr>
          <w:p w14:paraId="073F36C4" w14:textId="35BDEB00"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756" w:type="dxa"/>
            <w:tcBorders>
              <w:top w:val="nil"/>
              <w:left w:val="nil"/>
              <w:bottom w:val="single" w:sz="4" w:space="0" w:color="auto"/>
              <w:right w:val="single" w:sz="4" w:space="0" w:color="auto"/>
            </w:tcBorders>
            <w:shd w:val="clear" w:color="auto" w:fill="EEECE1" w:themeFill="background2"/>
            <w:vAlign w:val="bottom"/>
          </w:tcPr>
          <w:p w14:paraId="1F24AD9C" w14:textId="14BE80E0" w:rsidR="00107766" w:rsidRPr="0053555E" w:rsidRDefault="00107766" w:rsidP="00107766">
            <w:pPr>
              <w:jc w:val="center"/>
              <w:rPr>
                <w:rFonts w:asciiTheme="majorHAnsi" w:hAnsiTheme="majorHAnsi" w:cstheme="majorHAnsi"/>
                <w:b/>
                <w:bCs/>
                <w:sz w:val="22"/>
                <w:szCs w:val="22"/>
              </w:rPr>
            </w:pPr>
            <w:r w:rsidRPr="0053555E">
              <w:rPr>
                <w:rFonts w:cs="Calibri"/>
                <w:b/>
                <w:bCs/>
                <w:sz w:val="22"/>
                <w:szCs w:val="20"/>
              </w:rPr>
              <w:t>0</w:t>
            </w:r>
          </w:p>
        </w:tc>
      </w:tr>
      <w:tr w:rsidR="00107766" w:rsidRPr="0053555E" w14:paraId="71237354" w14:textId="77777777" w:rsidTr="007E2A72">
        <w:trPr>
          <w:trHeight w:val="20"/>
        </w:trPr>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14:paraId="6E9EC5F9" w14:textId="77777777" w:rsidR="00107766" w:rsidRPr="0053555E" w:rsidRDefault="00107766" w:rsidP="00107766">
            <w:pPr>
              <w:tabs>
                <w:tab w:val="left" w:pos="9356"/>
              </w:tabs>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PhD.</w:t>
            </w:r>
          </w:p>
        </w:tc>
        <w:tc>
          <w:tcPr>
            <w:tcW w:w="504" w:type="dxa"/>
            <w:tcBorders>
              <w:top w:val="nil"/>
              <w:left w:val="nil"/>
              <w:bottom w:val="single" w:sz="4" w:space="0" w:color="auto"/>
              <w:right w:val="single" w:sz="4" w:space="0" w:color="auto"/>
            </w:tcBorders>
            <w:shd w:val="clear" w:color="auto" w:fill="auto"/>
            <w:vAlign w:val="bottom"/>
            <w:hideMark/>
          </w:tcPr>
          <w:p w14:paraId="5C1DC6AF" w14:textId="77777777" w:rsidR="00107766" w:rsidRPr="0053555E" w:rsidRDefault="00107766" w:rsidP="00107766">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DF</w:t>
            </w:r>
          </w:p>
        </w:tc>
        <w:tc>
          <w:tcPr>
            <w:tcW w:w="897" w:type="dxa"/>
            <w:tcBorders>
              <w:top w:val="nil"/>
              <w:left w:val="nil"/>
              <w:bottom w:val="single" w:sz="4" w:space="0" w:color="auto"/>
              <w:right w:val="single" w:sz="4" w:space="0" w:color="auto"/>
            </w:tcBorders>
            <w:shd w:val="clear" w:color="auto" w:fill="auto"/>
            <w:vAlign w:val="bottom"/>
          </w:tcPr>
          <w:p w14:paraId="7D5C10B2" w14:textId="48828138" w:rsidR="00107766" w:rsidRPr="0053555E" w:rsidRDefault="00107766" w:rsidP="00107766">
            <w:pPr>
              <w:jc w:val="center"/>
              <w:rPr>
                <w:rFonts w:asciiTheme="majorHAnsi" w:hAnsiTheme="majorHAnsi" w:cstheme="majorHAnsi"/>
                <w:sz w:val="22"/>
                <w:szCs w:val="22"/>
              </w:rPr>
            </w:pPr>
            <w:r w:rsidRPr="0053555E">
              <w:rPr>
                <w:rFonts w:cs="Calibri"/>
                <w:sz w:val="22"/>
                <w:szCs w:val="20"/>
              </w:rPr>
              <w:t>26</w:t>
            </w:r>
          </w:p>
        </w:tc>
        <w:tc>
          <w:tcPr>
            <w:tcW w:w="898" w:type="dxa"/>
            <w:tcBorders>
              <w:top w:val="nil"/>
              <w:left w:val="nil"/>
              <w:bottom w:val="single" w:sz="4" w:space="0" w:color="auto"/>
              <w:right w:val="single" w:sz="4" w:space="0" w:color="auto"/>
            </w:tcBorders>
            <w:shd w:val="clear" w:color="auto" w:fill="auto"/>
            <w:vAlign w:val="bottom"/>
          </w:tcPr>
          <w:p w14:paraId="4FF976CC" w14:textId="1FA82C44" w:rsidR="00107766" w:rsidRPr="0053555E" w:rsidRDefault="00107766" w:rsidP="00107766">
            <w:pPr>
              <w:jc w:val="center"/>
              <w:rPr>
                <w:rFonts w:asciiTheme="majorHAnsi" w:hAnsiTheme="majorHAnsi" w:cstheme="majorHAnsi"/>
                <w:sz w:val="22"/>
                <w:szCs w:val="22"/>
              </w:rPr>
            </w:pPr>
            <w:r w:rsidRPr="0053555E">
              <w:rPr>
                <w:rFonts w:cs="Calibri"/>
                <w:sz w:val="22"/>
                <w:szCs w:val="20"/>
              </w:rPr>
              <w:t>10</w:t>
            </w:r>
          </w:p>
        </w:tc>
        <w:tc>
          <w:tcPr>
            <w:tcW w:w="898" w:type="dxa"/>
            <w:tcBorders>
              <w:top w:val="nil"/>
              <w:left w:val="nil"/>
              <w:bottom w:val="single" w:sz="4" w:space="0" w:color="auto"/>
              <w:right w:val="single" w:sz="4" w:space="0" w:color="auto"/>
            </w:tcBorders>
            <w:shd w:val="clear" w:color="auto" w:fill="auto"/>
            <w:vAlign w:val="bottom"/>
          </w:tcPr>
          <w:p w14:paraId="304F4CF2" w14:textId="322A3AB5" w:rsidR="00107766" w:rsidRPr="0053555E" w:rsidRDefault="00107766" w:rsidP="00107766">
            <w:pPr>
              <w:jc w:val="center"/>
              <w:rPr>
                <w:rFonts w:asciiTheme="majorHAnsi" w:hAnsiTheme="majorHAnsi" w:cstheme="majorHAnsi"/>
                <w:sz w:val="22"/>
                <w:szCs w:val="22"/>
              </w:rPr>
            </w:pPr>
            <w:r w:rsidRPr="0053555E">
              <w:rPr>
                <w:rFonts w:cs="Calibri"/>
                <w:sz w:val="22"/>
                <w:szCs w:val="20"/>
              </w:rPr>
              <w:t>15</w:t>
            </w:r>
          </w:p>
        </w:tc>
        <w:tc>
          <w:tcPr>
            <w:tcW w:w="898" w:type="dxa"/>
            <w:tcBorders>
              <w:top w:val="nil"/>
              <w:left w:val="nil"/>
              <w:bottom w:val="single" w:sz="4" w:space="0" w:color="auto"/>
              <w:right w:val="single" w:sz="4" w:space="0" w:color="auto"/>
            </w:tcBorders>
            <w:shd w:val="clear" w:color="auto" w:fill="auto"/>
            <w:vAlign w:val="bottom"/>
          </w:tcPr>
          <w:p w14:paraId="6D47BBC6" w14:textId="3D9897E4" w:rsidR="00107766" w:rsidRPr="0053555E" w:rsidRDefault="00107766" w:rsidP="00107766">
            <w:pPr>
              <w:jc w:val="center"/>
              <w:rPr>
                <w:rFonts w:asciiTheme="majorHAnsi" w:hAnsiTheme="majorHAnsi" w:cstheme="majorHAnsi"/>
                <w:sz w:val="22"/>
                <w:szCs w:val="22"/>
              </w:rPr>
            </w:pPr>
            <w:r w:rsidRPr="0053555E">
              <w:rPr>
                <w:rFonts w:cs="Calibri"/>
                <w:sz w:val="22"/>
                <w:szCs w:val="20"/>
              </w:rPr>
              <w:t>39</w:t>
            </w:r>
          </w:p>
        </w:tc>
        <w:tc>
          <w:tcPr>
            <w:tcW w:w="897" w:type="dxa"/>
            <w:tcBorders>
              <w:top w:val="nil"/>
              <w:left w:val="nil"/>
              <w:bottom w:val="single" w:sz="4" w:space="0" w:color="auto"/>
              <w:right w:val="single" w:sz="4" w:space="0" w:color="auto"/>
            </w:tcBorders>
            <w:shd w:val="clear" w:color="auto" w:fill="auto"/>
            <w:vAlign w:val="bottom"/>
          </w:tcPr>
          <w:p w14:paraId="73FB8F4A" w14:textId="230B3592" w:rsidR="00107766" w:rsidRPr="0053555E" w:rsidRDefault="00107766" w:rsidP="00107766">
            <w:pPr>
              <w:jc w:val="center"/>
              <w:rPr>
                <w:rFonts w:asciiTheme="majorHAnsi" w:hAnsiTheme="majorHAnsi" w:cstheme="majorHAnsi"/>
                <w:sz w:val="22"/>
                <w:szCs w:val="22"/>
              </w:rPr>
            </w:pPr>
            <w:r w:rsidRPr="0053555E">
              <w:rPr>
                <w:rFonts w:cs="Calibri"/>
                <w:sz w:val="22"/>
                <w:szCs w:val="20"/>
              </w:rPr>
              <w:t>7</w:t>
            </w:r>
          </w:p>
        </w:tc>
        <w:tc>
          <w:tcPr>
            <w:tcW w:w="898" w:type="dxa"/>
            <w:tcBorders>
              <w:top w:val="nil"/>
              <w:left w:val="nil"/>
              <w:bottom w:val="single" w:sz="4" w:space="0" w:color="auto"/>
              <w:right w:val="single" w:sz="4" w:space="0" w:color="auto"/>
            </w:tcBorders>
            <w:shd w:val="clear" w:color="auto" w:fill="auto"/>
            <w:vAlign w:val="bottom"/>
          </w:tcPr>
          <w:p w14:paraId="14B50D89" w14:textId="713950B9" w:rsidR="00107766" w:rsidRPr="0053555E" w:rsidRDefault="00107766" w:rsidP="00107766">
            <w:pPr>
              <w:jc w:val="center"/>
              <w:rPr>
                <w:rFonts w:asciiTheme="majorHAnsi" w:hAnsiTheme="majorHAnsi" w:cstheme="majorHAnsi"/>
                <w:sz w:val="22"/>
                <w:szCs w:val="22"/>
              </w:rPr>
            </w:pPr>
            <w:r w:rsidRPr="0053555E">
              <w:rPr>
                <w:rFonts w:cs="Calibri"/>
                <w:sz w:val="22"/>
                <w:szCs w:val="20"/>
              </w:rPr>
              <w:t>7</w:t>
            </w:r>
          </w:p>
        </w:tc>
        <w:tc>
          <w:tcPr>
            <w:tcW w:w="898" w:type="dxa"/>
            <w:tcBorders>
              <w:top w:val="nil"/>
              <w:left w:val="nil"/>
              <w:bottom w:val="single" w:sz="4" w:space="0" w:color="auto"/>
              <w:right w:val="single" w:sz="4" w:space="0" w:color="auto"/>
            </w:tcBorders>
            <w:shd w:val="clear" w:color="auto" w:fill="auto"/>
            <w:vAlign w:val="bottom"/>
          </w:tcPr>
          <w:p w14:paraId="00D4F9CB" w14:textId="65BC1696" w:rsidR="00107766" w:rsidRPr="0053555E" w:rsidRDefault="00107766" w:rsidP="00107766">
            <w:pPr>
              <w:jc w:val="center"/>
              <w:rPr>
                <w:rFonts w:asciiTheme="majorHAnsi" w:hAnsiTheme="majorHAnsi" w:cstheme="majorHAnsi"/>
                <w:sz w:val="22"/>
                <w:szCs w:val="22"/>
              </w:rPr>
            </w:pPr>
            <w:r w:rsidRPr="0053555E">
              <w:rPr>
                <w:rFonts w:cs="Calibri"/>
                <w:sz w:val="22"/>
                <w:szCs w:val="20"/>
              </w:rPr>
              <w:t>3</w:t>
            </w:r>
          </w:p>
        </w:tc>
        <w:tc>
          <w:tcPr>
            <w:tcW w:w="898" w:type="dxa"/>
            <w:tcBorders>
              <w:top w:val="nil"/>
              <w:left w:val="nil"/>
              <w:bottom w:val="single" w:sz="4" w:space="0" w:color="auto"/>
              <w:right w:val="single" w:sz="4" w:space="0" w:color="auto"/>
            </w:tcBorders>
            <w:shd w:val="clear" w:color="auto" w:fill="auto"/>
            <w:vAlign w:val="bottom"/>
          </w:tcPr>
          <w:p w14:paraId="057F9CFE" w14:textId="5D12EFE2" w:rsidR="00107766" w:rsidRPr="0053555E" w:rsidRDefault="00107766" w:rsidP="00107766">
            <w:pPr>
              <w:jc w:val="center"/>
              <w:rPr>
                <w:rFonts w:asciiTheme="majorHAnsi" w:hAnsiTheme="majorHAnsi" w:cstheme="majorHAnsi"/>
                <w:sz w:val="22"/>
                <w:szCs w:val="22"/>
              </w:rPr>
            </w:pPr>
            <w:r w:rsidRPr="0053555E">
              <w:rPr>
                <w:rFonts w:cs="Calibri"/>
                <w:sz w:val="22"/>
                <w:szCs w:val="20"/>
              </w:rPr>
              <w:t>2</w:t>
            </w:r>
          </w:p>
        </w:tc>
        <w:tc>
          <w:tcPr>
            <w:tcW w:w="756" w:type="dxa"/>
            <w:tcBorders>
              <w:top w:val="nil"/>
              <w:left w:val="nil"/>
              <w:bottom w:val="single" w:sz="4" w:space="0" w:color="auto"/>
              <w:right w:val="single" w:sz="4" w:space="0" w:color="auto"/>
            </w:tcBorders>
            <w:shd w:val="clear" w:color="auto" w:fill="EEECE1" w:themeFill="background2"/>
            <w:vAlign w:val="bottom"/>
          </w:tcPr>
          <w:p w14:paraId="0BB67141" w14:textId="4E331CB7" w:rsidR="00107766" w:rsidRPr="0053555E" w:rsidRDefault="00107766" w:rsidP="00107766">
            <w:pPr>
              <w:jc w:val="center"/>
              <w:rPr>
                <w:rFonts w:asciiTheme="majorHAnsi" w:hAnsiTheme="majorHAnsi" w:cstheme="majorHAnsi"/>
                <w:b/>
                <w:bCs/>
                <w:sz w:val="22"/>
                <w:szCs w:val="22"/>
              </w:rPr>
            </w:pPr>
            <w:r w:rsidRPr="0053555E">
              <w:rPr>
                <w:rFonts w:cs="Calibri"/>
                <w:b/>
                <w:bCs/>
                <w:sz w:val="22"/>
                <w:szCs w:val="20"/>
              </w:rPr>
              <w:t>109</w:t>
            </w:r>
          </w:p>
        </w:tc>
      </w:tr>
      <w:tr w:rsidR="00107766" w:rsidRPr="0053555E" w14:paraId="09219527" w14:textId="77777777" w:rsidTr="007E2A72">
        <w:trPr>
          <w:trHeight w:val="20"/>
        </w:trPr>
        <w:tc>
          <w:tcPr>
            <w:tcW w:w="630" w:type="dxa"/>
            <w:vMerge/>
            <w:tcBorders>
              <w:top w:val="nil"/>
              <w:left w:val="single" w:sz="4" w:space="0" w:color="auto"/>
              <w:bottom w:val="single" w:sz="4" w:space="0" w:color="auto"/>
              <w:right w:val="single" w:sz="4" w:space="0" w:color="auto"/>
            </w:tcBorders>
            <w:vAlign w:val="center"/>
            <w:hideMark/>
          </w:tcPr>
          <w:p w14:paraId="780C5E98" w14:textId="77777777" w:rsidR="00107766" w:rsidRPr="0053555E" w:rsidRDefault="00107766" w:rsidP="00107766">
            <w:pPr>
              <w:tabs>
                <w:tab w:val="left" w:pos="9356"/>
              </w:tabs>
              <w:jc w:val="both"/>
              <w:rPr>
                <w:rFonts w:asciiTheme="majorHAnsi" w:eastAsia="Times New Roman" w:hAnsiTheme="majorHAnsi" w:cstheme="majorHAnsi"/>
                <w:b/>
                <w:bCs/>
                <w:sz w:val="22"/>
                <w:szCs w:val="22"/>
                <w:lang w:eastAsia="sk-SK"/>
              </w:rPr>
            </w:pPr>
          </w:p>
        </w:tc>
        <w:tc>
          <w:tcPr>
            <w:tcW w:w="504" w:type="dxa"/>
            <w:tcBorders>
              <w:top w:val="nil"/>
              <w:left w:val="nil"/>
              <w:bottom w:val="single" w:sz="4" w:space="0" w:color="auto"/>
              <w:right w:val="single" w:sz="4" w:space="0" w:color="auto"/>
            </w:tcBorders>
            <w:shd w:val="clear" w:color="auto" w:fill="auto"/>
            <w:vAlign w:val="bottom"/>
            <w:hideMark/>
          </w:tcPr>
          <w:p w14:paraId="0D95F405" w14:textId="77777777" w:rsidR="00107766" w:rsidRPr="0053555E" w:rsidRDefault="00107766" w:rsidP="00107766">
            <w:pPr>
              <w:tabs>
                <w:tab w:val="left" w:pos="9356"/>
              </w:tabs>
              <w:jc w:val="both"/>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EF</w:t>
            </w:r>
          </w:p>
        </w:tc>
        <w:tc>
          <w:tcPr>
            <w:tcW w:w="897" w:type="dxa"/>
            <w:tcBorders>
              <w:top w:val="nil"/>
              <w:left w:val="nil"/>
              <w:bottom w:val="single" w:sz="4" w:space="0" w:color="auto"/>
              <w:right w:val="single" w:sz="4" w:space="0" w:color="auto"/>
            </w:tcBorders>
            <w:shd w:val="clear" w:color="auto" w:fill="auto"/>
            <w:vAlign w:val="bottom"/>
          </w:tcPr>
          <w:p w14:paraId="4CBF0E9A" w14:textId="7B136CA1" w:rsidR="00107766" w:rsidRPr="0053555E" w:rsidRDefault="00107766" w:rsidP="00107766">
            <w:pPr>
              <w:jc w:val="center"/>
              <w:rPr>
                <w:rFonts w:asciiTheme="majorHAnsi" w:hAnsiTheme="majorHAnsi" w:cstheme="majorHAnsi"/>
                <w:sz w:val="22"/>
                <w:szCs w:val="22"/>
              </w:rPr>
            </w:pPr>
            <w:r w:rsidRPr="0053555E">
              <w:rPr>
                <w:rFonts w:cs="Calibri"/>
                <w:sz w:val="22"/>
                <w:szCs w:val="20"/>
              </w:rPr>
              <w:t>2</w:t>
            </w:r>
          </w:p>
        </w:tc>
        <w:tc>
          <w:tcPr>
            <w:tcW w:w="898" w:type="dxa"/>
            <w:tcBorders>
              <w:top w:val="nil"/>
              <w:left w:val="nil"/>
              <w:bottom w:val="single" w:sz="4" w:space="0" w:color="auto"/>
              <w:right w:val="single" w:sz="4" w:space="0" w:color="auto"/>
            </w:tcBorders>
            <w:shd w:val="clear" w:color="auto" w:fill="auto"/>
            <w:vAlign w:val="bottom"/>
          </w:tcPr>
          <w:p w14:paraId="589FF8EB" w14:textId="03B6AE36" w:rsidR="00107766" w:rsidRPr="0053555E" w:rsidRDefault="00107766" w:rsidP="00107766">
            <w:pPr>
              <w:jc w:val="center"/>
              <w:rPr>
                <w:rFonts w:asciiTheme="majorHAnsi" w:hAnsiTheme="majorHAnsi" w:cstheme="majorHAnsi"/>
                <w:sz w:val="22"/>
                <w:szCs w:val="22"/>
              </w:rPr>
            </w:pPr>
            <w:r w:rsidRPr="0053555E">
              <w:rPr>
                <w:rFonts w:cs="Calibri"/>
                <w:sz w:val="22"/>
                <w:szCs w:val="20"/>
              </w:rPr>
              <w:t>4</w:t>
            </w:r>
          </w:p>
        </w:tc>
        <w:tc>
          <w:tcPr>
            <w:tcW w:w="898" w:type="dxa"/>
            <w:tcBorders>
              <w:top w:val="nil"/>
              <w:left w:val="nil"/>
              <w:bottom w:val="single" w:sz="4" w:space="0" w:color="auto"/>
              <w:right w:val="single" w:sz="4" w:space="0" w:color="auto"/>
            </w:tcBorders>
            <w:shd w:val="clear" w:color="auto" w:fill="auto"/>
            <w:vAlign w:val="bottom"/>
          </w:tcPr>
          <w:p w14:paraId="0C1D3A72" w14:textId="23BB9AD9" w:rsidR="00107766" w:rsidRPr="0053555E" w:rsidRDefault="00107766" w:rsidP="00107766">
            <w:pPr>
              <w:jc w:val="center"/>
              <w:rPr>
                <w:rFonts w:asciiTheme="majorHAnsi" w:hAnsiTheme="majorHAnsi" w:cstheme="majorHAnsi"/>
                <w:sz w:val="22"/>
                <w:szCs w:val="22"/>
              </w:rPr>
            </w:pPr>
            <w:r w:rsidRPr="0053555E">
              <w:rPr>
                <w:rFonts w:cs="Calibri"/>
                <w:sz w:val="22"/>
                <w:szCs w:val="20"/>
              </w:rPr>
              <w:t>5</w:t>
            </w:r>
          </w:p>
        </w:tc>
        <w:tc>
          <w:tcPr>
            <w:tcW w:w="898" w:type="dxa"/>
            <w:tcBorders>
              <w:top w:val="nil"/>
              <w:left w:val="nil"/>
              <w:bottom w:val="single" w:sz="4" w:space="0" w:color="auto"/>
              <w:right w:val="single" w:sz="4" w:space="0" w:color="auto"/>
            </w:tcBorders>
            <w:shd w:val="clear" w:color="auto" w:fill="auto"/>
            <w:vAlign w:val="bottom"/>
          </w:tcPr>
          <w:p w14:paraId="5857F08B" w14:textId="291864BD" w:rsidR="00107766" w:rsidRPr="0053555E" w:rsidRDefault="00107766" w:rsidP="00107766">
            <w:pPr>
              <w:jc w:val="center"/>
              <w:rPr>
                <w:rFonts w:asciiTheme="majorHAnsi" w:hAnsiTheme="majorHAnsi" w:cstheme="majorHAnsi"/>
                <w:sz w:val="22"/>
                <w:szCs w:val="22"/>
              </w:rPr>
            </w:pPr>
            <w:r w:rsidRPr="0053555E">
              <w:rPr>
                <w:rFonts w:cs="Calibri"/>
                <w:sz w:val="22"/>
                <w:szCs w:val="20"/>
              </w:rPr>
              <w:t>4</w:t>
            </w:r>
          </w:p>
        </w:tc>
        <w:tc>
          <w:tcPr>
            <w:tcW w:w="897" w:type="dxa"/>
            <w:tcBorders>
              <w:top w:val="nil"/>
              <w:left w:val="nil"/>
              <w:bottom w:val="single" w:sz="4" w:space="0" w:color="auto"/>
              <w:right w:val="single" w:sz="4" w:space="0" w:color="auto"/>
            </w:tcBorders>
            <w:shd w:val="clear" w:color="auto" w:fill="auto"/>
            <w:vAlign w:val="bottom"/>
          </w:tcPr>
          <w:p w14:paraId="40B3E920" w14:textId="760AD204" w:rsidR="00107766" w:rsidRPr="0053555E" w:rsidRDefault="00107766" w:rsidP="00107766">
            <w:pPr>
              <w:jc w:val="center"/>
              <w:rPr>
                <w:rFonts w:asciiTheme="majorHAnsi" w:hAnsiTheme="majorHAnsi" w:cstheme="majorHAnsi"/>
                <w:sz w:val="22"/>
                <w:szCs w:val="22"/>
              </w:rPr>
            </w:pPr>
            <w:r w:rsidRPr="0053555E">
              <w:rPr>
                <w:rFonts w:cs="Calibri"/>
                <w:sz w:val="22"/>
                <w:szCs w:val="20"/>
              </w:rPr>
              <w:t>0</w:t>
            </w:r>
          </w:p>
        </w:tc>
        <w:tc>
          <w:tcPr>
            <w:tcW w:w="898" w:type="dxa"/>
            <w:tcBorders>
              <w:top w:val="nil"/>
              <w:left w:val="nil"/>
              <w:bottom w:val="single" w:sz="4" w:space="0" w:color="auto"/>
              <w:right w:val="single" w:sz="4" w:space="0" w:color="auto"/>
            </w:tcBorders>
            <w:shd w:val="clear" w:color="auto" w:fill="auto"/>
            <w:vAlign w:val="bottom"/>
          </w:tcPr>
          <w:p w14:paraId="5103484A" w14:textId="4C418231" w:rsidR="00107766" w:rsidRPr="0053555E" w:rsidRDefault="00107766" w:rsidP="00107766">
            <w:pPr>
              <w:jc w:val="center"/>
              <w:rPr>
                <w:rFonts w:asciiTheme="majorHAnsi" w:hAnsiTheme="majorHAnsi" w:cstheme="majorHAnsi"/>
                <w:sz w:val="22"/>
                <w:szCs w:val="22"/>
              </w:rPr>
            </w:pPr>
            <w:r w:rsidRPr="0053555E">
              <w:rPr>
                <w:rFonts w:cs="Calibri"/>
                <w:sz w:val="22"/>
                <w:szCs w:val="20"/>
              </w:rPr>
              <w:t>3</w:t>
            </w:r>
          </w:p>
        </w:tc>
        <w:tc>
          <w:tcPr>
            <w:tcW w:w="898" w:type="dxa"/>
            <w:tcBorders>
              <w:top w:val="nil"/>
              <w:left w:val="nil"/>
              <w:bottom w:val="single" w:sz="4" w:space="0" w:color="auto"/>
              <w:right w:val="single" w:sz="4" w:space="0" w:color="auto"/>
            </w:tcBorders>
            <w:shd w:val="clear" w:color="auto" w:fill="auto"/>
            <w:vAlign w:val="bottom"/>
          </w:tcPr>
          <w:p w14:paraId="05F92CA8" w14:textId="2DF0444F" w:rsidR="00107766" w:rsidRPr="0053555E" w:rsidRDefault="00107766" w:rsidP="00107766">
            <w:pPr>
              <w:jc w:val="center"/>
              <w:rPr>
                <w:rFonts w:asciiTheme="majorHAnsi" w:hAnsiTheme="majorHAnsi" w:cstheme="majorHAnsi"/>
                <w:sz w:val="22"/>
                <w:szCs w:val="22"/>
              </w:rPr>
            </w:pPr>
            <w:r w:rsidRPr="0053555E">
              <w:rPr>
                <w:rFonts w:cs="Calibri"/>
                <w:sz w:val="22"/>
                <w:szCs w:val="20"/>
              </w:rPr>
              <w:t>1</w:t>
            </w:r>
          </w:p>
        </w:tc>
        <w:tc>
          <w:tcPr>
            <w:tcW w:w="898" w:type="dxa"/>
            <w:tcBorders>
              <w:top w:val="nil"/>
              <w:left w:val="nil"/>
              <w:bottom w:val="single" w:sz="4" w:space="0" w:color="auto"/>
              <w:right w:val="single" w:sz="4" w:space="0" w:color="auto"/>
            </w:tcBorders>
            <w:shd w:val="clear" w:color="auto" w:fill="auto"/>
            <w:vAlign w:val="bottom"/>
          </w:tcPr>
          <w:p w14:paraId="4332E07A" w14:textId="49F0D7E3" w:rsidR="00107766" w:rsidRPr="0053555E" w:rsidRDefault="00107766" w:rsidP="00107766">
            <w:pPr>
              <w:jc w:val="center"/>
              <w:rPr>
                <w:rFonts w:asciiTheme="majorHAnsi" w:hAnsiTheme="majorHAnsi" w:cstheme="majorHAnsi"/>
                <w:sz w:val="22"/>
                <w:szCs w:val="22"/>
              </w:rPr>
            </w:pPr>
            <w:r w:rsidRPr="0053555E">
              <w:rPr>
                <w:rFonts w:cs="Calibri"/>
                <w:sz w:val="22"/>
                <w:szCs w:val="20"/>
              </w:rPr>
              <w:t>3</w:t>
            </w:r>
          </w:p>
        </w:tc>
        <w:tc>
          <w:tcPr>
            <w:tcW w:w="756" w:type="dxa"/>
            <w:tcBorders>
              <w:top w:val="nil"/>
              <w:left w:val="nil"/>
              <w:bottom w:val="single" w:sz="4" w:space="0" w:color="auto"/>
              <w:right w:val="single" w:sz="4" w:space="0" w:color="auto"/>
            </w:tcBorders>
            <w:shd w:val="clear" w:color="auto" w:fill="EEECE1" w:themeFill="background2"/>
            <w:vAlign w:val="bottom"/>
          </w:tcPr>
          <w:p w14:paraId="11DA920C" w14:textId="35AD7998" w:rsidR="00107766" w:rsidRPr="0053555E" w:rsidRDefault="00107766" w:rsidP="00107766">
            <w:pPr>
              <w:jc w:val="center"/>
              <w:rPr>
                <w:rFonts w:asciiTheme="majorHAnsi" w:hAnsiTheme="majorHAnsi" w:cstheme="majorHAnsi"/>
                <w:b/>
                <w:bCs/>
                <w:sz w:val="22"/>
                <w:szCs w:val="22"/>
              </w:rPr>
            </w:pPr>
            <w:r w:rsidRPr="0053555E">
              <w:rPr>
                <w:rFonts w:cs="Calibri"/>
                <w:b/>
                <w:bCs/>
                <w:sz w:val="22"/>
                <w:szCs w:val="20"/>
              </w:rPr>
              <w:t>22</w:t>
            </w:r>
          </w:p>
        </w:tc>
      </w:tr>
      <w:tr w:rsidR="00107766" w:rsidRPr="0053555E" w14:paraId="176DF831" w14:textId="77777777" w:rsidTr="007E2A72">
        <w:trPr>
          <w:trHeight w:val="20"/>
        </w:trPr>
        <w:tc>
          <w:tcPr>
            <w:tcW w:w="1134"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14:paraId="6863B4E2" w14:textId="77777777" w:rsidR="00107766" w:rsidRPr="0053555E" w:rsidRDefault="00107766" w:rsidP="00107766">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SPOLU</w:t>
            </w:r>
          </w:p>
        </w:tc>
        <w:tc>
          <w:tcPr>
            <w:tcW w:w="897" w:type="dxa"/>
            <w:tcBorders>
              <w:top w:val="nil"/>
              <w:left w:val="nil"/>
              <w:bottom w:val="single" w:sz="4" w:space="0" w:color="auto"/>
              <w:right w:val="single" w:sz="4" w:space="0" w:color="auto"/>
            </w:tcBorders>
            <w:shd w:val="clear" w:color="auto" w:fill="EEECE1" w:themeFill="background2"/>
            <w:vAlign w:val="bottom"/>
          </w:tcPr>
          <w:p w14:paraId="541F3963" w14:textId="6B5846FA" w:rsidR="00107766" w:rsidRPr="0053555E" w:rsidRDefault="00107766" w:rsidP="00107766">
            <w:pPr>
              <w:jc w:val="center"/>
              <w:rPr>
                <w:rFonts w:asciiTheme="majorHAnsi" w:hAnsiTheme="majorHAnsi" w:cstheme="majorHAnsi"/>
                <w:b/>
                <w:bCs/>
                <w:sz w:val="22"/>
                <w:szCs w:val="22"/>
              </w:rPr>
            </w:pPr>
            <w:r w:rsidRPr="0053555E">
              <w:rPr>
                <w:rFonts w:cs="Calibri"/>
                <w:b/>
                <w:bCs/>
                <w:sz w:val="22"/>
                <w:szCs w:val="20"/>
              </w:rPr>
              <w:t>497</w:t>
            </w:r>
          </w:p>
        </w:tc>
        <w:tc>
          <w:tcPr>
            <w:tcW w:w="898" w:type="dxa"/>
            <w:tcBorders>
              <w:top w:val="nil"/>
              <w:left w:val="nil"/>
              <w:bottom w:val="single" w:sz="4" w:space="0" w:color="auto"/>
              <w:right w:val="single" w:sz="4" w:space="0" w:color="auto"/>
            </w:tcBorders>
            <w:shd w:val="clear" w:color="auto" w:fill="EEECE1" w:themeFill="background2"/>
            <w:vAlign w:val="bottom"/>
          </w:tcPr>
          <w:p w14:paraId="4CE96B66" w14:textId="22E8441B" w:rsidR="00107766" w:rsidRPr="0053555E" w:rsidRDefault="00107766" w:rsidP="00107766">
            <w:pPr>
              <w:jc w:val="center"/>
              <w:rPr>
                <w:rFonts w:asciiTheme="majorHAnsi" w:hAnsiTheme="majorHAnsi" w:cstheme="majorHAnsi"/>
                <w:b/>
                <w:bCs/>
                <w:sz w:val="22"/>
                <w:szCs w:val="22"/>
              </w:rPr>
            </w:pPr>
            <w:r w:rsidRPr="0053555E">
              <w:rPr>
                <w:rFonts w:cs="Calibri"/>
                <w:b/>
                <w:bCs/>
                <w:sz w:val="22"/>
                <w:szCs w:val="20"/>
              </w:rPr>
              <w:t>201</w:t>
            </w:r>
          </w:p>
        </w:tc>
        <w:tc>
          <w:tcPr>
            <w:tcW w:w="898" w:type="dxa"/>
            <w:tcBorders>
              <w:top w:val="nil"/>
              <w:left w:val="nil"/>
              <w:bottom w:val="single" w:sz="4" w:space="0" w:color="auto"/>
              <w:right w:val="single" w:sz="4" w:space="0" w:color="auto"/>
            </w:tcBorders>
            <w:shd w:val="clear" w:color="auto" w:fill="EEECE1" w:themeFill="background2"/>
            <w:vAlign w:val="bottom"/>
          </w:tcPr>
          <w:p w14:paraId="31C9F921" w14:textId="0DA50BD6" w:rsidR="00107766" w:rsidRPr="0053555E" w:rsidRDefault="00107766" w:rsidP="00107766">
            <w:pPr>
              <w:jc w:val="center"/>
              <w:rPr>
                <w:rFonts w:asciiTheme="majorHAnsi" w:hAnsiTheme="majorHAnsi" w:cstheme="majorHAnsi"/>
                <w:b/>
                <w:bCs/>
                <w:sz w:val="22"/>
                <w:szCs w:val="22"/>
              </w:rPr>
            </w:pPr>
            <w:r w:rsidRPr="0053555E">
              <w:rPr>
                <w:rFonts w:cs="Calibri"/>
                <w:b/>
                <w:bCs/>
                <w:sz w:val="22"/>
                <w:szCs w:val="20"/>
              </w:rPr>
              <w:t>514</w:t>
            </w:r>
          </w:p>
        </w:tc>
        <w:tc>
          <w:tcPr>
            <w:tcW w:w="898" w:type="dxa"/>
            <w:tcBorders>
              <w:top w:val="nil"/>
              <w:left w:val="nil"/>
              <w:bottom w:val="single" w:sz="4" w:space="0" w:color="auto"/>
              <w:right w:val="single" w:sz="4" w:space="0" w:color="auto"/>
            </w:tcBorders>
            <w:shd w:val="clear" w:color="auto" w:fill="EEECE1" w:themeFill="background2"/>
            <w:vAlign w:val="bottom"/>
          </w:tcPr>
          <w:p w14:paraId="2C672EFF" w14:textId="67C3A20D" w:rsidR="00107766" w:rsidRPr="0053555E" w:rsidRDefault="00107766" w:rsidP="00107766">
            <w:pPr>
              <w:jc w:val="center"/>
              <w:rPr>
                <w:rFonts w:asciiTheme="majorHAnsi" w:hAnsiTheme="majorHAnsi" w:cstheme="majorHAnsi"/>
                <w:b/>
                <w:bCs/>
                <w:sz w:val="22"/>
                <w:szCs w:val="22"/>
              </w:rPr>
            </w:pPr>
            <w:r w:rsidRPr="0053555E">
              <w:rPr>
                <w:rFonts w:cs="Calibri"/>
                <w:b/>
                <w:bCs/>
                <w:sz w:val="22"/>
                <w:szCs w:val="20"/>
              </w:rPr>
              <w:t>353</w:t>
            </w:r>
          </w:p>
        </w:tc>
        <w:tc>
          <w:tcPr>
            <w:tcW w:w="897" w:type="dxa"/>
            <w:tcBorders>
              <w:top w:val="nil"/>
              <w:left w:val="nil"/>
              <w:bottom w:val="single" w:sz="4" w:space="0" w:color="auto"/>
              <w:right w:val="single" w:sz="4" w:space="0" w:color="auto"/>
            </w:tcBorders>
            <w:shd w:val="clear" w:color="auto" w:fill="EEECE1" w:themeFill="background2"/>
            <w:vAlign w:val="bottom"/>
          </w:tcPr>
          <w:p w14:paraId="0D82B578" w14:textId="6B909F59" w:rsidR="00107766" w:rsidRPr="0053555E" w:rsidRDefault="00107766" w:rsidP="00107766">
            <w:pPr>
              <w:jc w:val="center"/>
              <w:rPr>
                <w:rFonts w:asciiTheme="majorHAnsi" w:hAnsiTheme="majorHAnsi" w:cstheme="majorHAnsi"/>
                <w:b/>
                <w:bCs/>
                <w:sz w:val="22"/>
                <w:szCs w:val="22"/>
              </w:rPr>
            </w:pPr>
            <w:r w:rsidRPr="0053555E">
              <w:rPr>
                <w:rFonts w:cs="Calibri"/>
                <w:b/>
                <w:bCs/>
                <w:sz w:val="22"/>
                <w:szCs w:val="20"/>
              </w:rPr>
              <w:t>239</w:t>
            </w:r>
          </w:p>
        </w:tc>
        <w:tc>
          <w:tcPr>
            <w:tcW w:w="898" w:type="dxa"/>
            <w:tcBorders>
              <w:top w:val="nil"/>
              <w:left w:val="nil"/>
              <w:bottom w:val="single" w:sz="4" w:space="0" w:color="auto"/>
              <w:right w:val="single" w:sz="4" w:space="0" w:color="auto"/>
            </w:tcBorders>
            <w:shd w:val="clear" w:color="auto" w:fill="EEECE1" w:themeFill="background2"/>
            <w:vAlign w:val="bottom"/>
          </w:tcPr>
          <w:p w14:paraId="6A788559" w14:textId="33307EF1" w:rsidR="00107766" w:rsidRPr="0053555E" w:rsidRDefault="00107766" w:rsidP="00107766">
            <w:pPr>
              <w:jc w:val="center"/>
              <w:rPr>
                <w:rFonts w:asciiTheme="majorHAnsi" w:hAnsiTheme="majorHAnsi" w:cstheme="majorHAnsi"/>
                <w:b/>
                <w:bCs/>
                <w:sz w:val="22"/>
                <w:szCs w:val="22"/>
              </w:rPr>
            </w:pPr>
            <w:r w:rsidRPr="0053555E">
              <w:rPr>
                <w:rFonts w:cs="Calibri"/>
                <w:b/>
                <w:bCs/>
                <w:sz w:val="22"/>
                <w:szCs w:val="20"/>
              </w:rPr>
              <w:t>522</w:t>
            </w:r>
          </w:p>
        </w:tc>
        <w:tc>
          <w:tcPr>
            <w:tcW w:w="898" w:type="dxa"/>
            <w:tcBorders>
              <w:top w:val="nil"/>
              <w:left w:val="nil"/>
              <w:bottom w:val="single" w:sz="4" w:space="0" w:color="auto"/>
              <w:right w:val="single" w:sz="4" w:space="0" w:color="auto"/>
            </w:tcBorders>
            <w:shd w:val="clear" w:color="auto" w:fill="EEECE1" w:themeFill="background2"/>
            <w:vAlign w:val="bottom"/>
          </w:tcPr>
          <w:p w14:paraId="2CA08F7C" w14:textId="3C78473D" w:rsidR="00107766" w:rsidRPr="0053555E" w:rsidRDefault="00107766" w:rsidP="00107766">
            <w:pPr>
              <w:jc w:val="center"/>
              <w:rPr>
                <w:rFonts w:asciiTheme="majorHAnsi" w:hAnsiTheme="majorHAnsi" w:cstheme="majorHAnsi"/>
                <w:b/>
                <w:bCs/>
                <w:sz w:val="22"/>
                <w:szCs w:val="22"/>
              </w:rPr>
            </w:pPr>
            <w:r w:rsidRPr="0053555E">
              <w:rPr>
                <w:rFonts w:cs="Calibri"/>
                <w:b/>
                <w:bCs/>
                <w:sz w:val="22"/>
                <w:szCs w:val="20"/>
              </w:rPr>
              <w:t>317</w:t>
            </w:r>
          </w:p>
        </w:tc>
        <w:tc>
          <w:tcPr>
            <w:tcW w:w="898" w:type="dxa"/>
            <w:tcBorders>
              <w:top w:val="nil"/>
              <w:left w:val="nil"/>
              <w:bottom w:val="single" w:sz="4" w:space="0" w:color="auto"/>
              <w:right w:val="single" w:sz="4" w:space="0" w:color="auto"/>
            </w:tcBorders>
            <w:shd w:val="clear" w:color="auto" w:fill="EEECE1" w:themeFill="background2"/>
            <w:vAlign w:val="bottom"/>
          </w:tcPr>
          <w:p w14:paraId="26AD4DF5" w14:textId="75EC32EB" w:rsidR="00107766" w:rsidRPr="0053555E" w:rsidRDefault="00107766" w:rsidP="00107766">
            <w:pPr>
              <w:jc w:val="center"/>
              <w:rPr>
                <w:rFonts w:asciiTheme="majorHAnsi" w:hAnsiTheme="majorHAnsi" w:cstheme="majorHAnsi"/>
                <w:b/>
                <w:bCs/>
                <w:sz w:val="22"/>
                <w:szCs w:val="22"/>
              </w:rPr>
            </w:pPr>
            <w:r w:rsidRPr="0053555E">
              <w:rPr>
                <w:rFonts w:cs="Calibri"/>
                <w:b/>
                <w:bCs/>
                <w:sz w:val="22"/>
                <w:szCs w:val="20"/>
              </w:rPr>
              <w:t>46</w:t>
            </w:r>
          </w:p>
        </w:tc>
        <w:tc>
          <w:tcPr>
            <w:tcW w:w="756" w:type="dxa"/>
            <w:tcBorders>
              <w:top w:val="nil"/>
              <w:left w:val="nil"/>
              <w:bottom w:val="single" w:sz="4" w:space="0" w:color="auto"/>
              <w:right w:val="single" w:sz="4" w:space="0" w:color="auto"/>
            </w:tcBorders>
            <w:shd w:val="clear" w:color="auto" w:fill="EEECE1" w:themeFill="background2"/>
            <w:vAlign w:val="bottom"/>
          </w:tcPr>
          <w:p w14:paraId="61947589" w14:textId="68761E6C" w:rsidR="00107766" w:rsidRPr="0053555E" w:rsidRDefault="00107766" w:rsidP="00107766">
            <w:pPr>
              <w:jc w:val="center"/>
              <w:rPr>
                <w:rFonts w:asciiTheme="majorHAnsi" w:hAnsiTheme="majorHAnsi" w:cstheme="majorHAnsi"/>
                <w:b/>
                <w:bCs/>
                <w:sz w:val="22"/>
                <w:szCs w:val="22"/>
              </w:rPr>
            </w:pPr>
            <w:r w:rsidRPr="0053555E">
              <w:rPr>
                <w:rFonts w:cs="Calibri"/>
                <w:b/>
                <w:bCs/>
                <w:sz w:val="22"/>
                <w:szCs w:val="20"/>
              </w:rPr>
              <w:t>2 689</w:t>
            </w:r>
          </w:p>
        </w:tc>
      </w:tr>
    </w:tbl>
    <w:p w14:paraId="70D72718" w14:textId="77777777" w:rsidR="007B3CE3" w:rsidRPr="0053555E" w:rsidRDefault="00BF06A8" w:rsidP="00324438">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 xml:space="preserve">Vysvetlivky: </w:t>
      </w:r>
    </w:p>
    <w:p w14:paraId="0903C5DF" w14:textId="31030C31" w:rsidR="007B3CE3" w:rsidRPr="0053555E" w:rsidRDefault="001F5722" w:rsidP="00324438">
      <w:pPr>
        <w:tabs>
          <w:tab w:val="left" w:pos="9356"/>
        </w:tabs>
        <w:jc w:val="both"/>
        <w:rPr>
          <w:rFonts w:asciiTheme="majorHAnsi" w:hAnsiTheme="majorHAnsi" w:cstheme="majorHAnsi"/>
          <w:sz w:val="20"/>
          <w:szCs w:val="20"/>
          <w:shd w:val="clear" w:color="auto" w:fill="FFFFFF"/>
        </w:rPr>
      </w:pPr>
      <w:r w:rsidRPr="0053555E">
        <w:rPr>
          <w:rFonts w:asciiTheme="majorHAnsi" w:hAnsiTheme="majorHAnsi" w:cstheme="majorHAnsi"/>
          <w:sz w:val="20"/>
          <w:szCs w:val="20"/>
          <w:shd w:val="clear" w:color="auto" w:fill="FFFFFF"/>
        </w:rPr>
        <w:t>Zdroj: AIS Štatistiky počtu študentov - ú</w:t>
      </w:r>
      <w:r w:rsidR="009C57DA" w:rsidRPr="0053555E">
        <w:rPr>
          <w:rFonts w:asciiTheme="majorHAnsi" w:hAnsiTheme="majorHAnsi" w:cstheme="majorHAnsi"/>
          <w:sz w:val="20"/>
          <w:szCs w:val="20"/>
          <w:shd w:val="clear" w:color="auto" w:fill="FFFFFF"/>
        </w:rPr>
        <w:t>spešne skončené štúdiá od 1. 9. 202</w:t>
      </w:r>
      <w:r w:rsidR="00CB6073" w:rsidRPr="0053555E">
        <w:rPr>
          <w:rFonts w:asciiTheme="majorHAnsi" w:hAnsiTheme="majorHAnsi" w:cstheme="majorHAnsi"/>
          <w:sz w:val="20"/>
          <w:szCs w:val="20"/>
          <w:shd w:val="clear" w:color="auto" w:fill="FFFFFF"/>
        </w:rPr>
        <w:t>1</w:t>
      </w:r>
      <w:r w:rsidR="009C57DA" w:rsidRPr="0053555E">
        <w:rPr>
          <w:rFonts w:asciiTheme="majorHAnsi" w:hAnsiTheme="majorHAnsi" w:cstheme="majorHAnsi"/>
          <w:sz w:val="20"/>
          <w:szCs w:val="20"/>
          <w:shd w:val="clear" w:color="auto" w:fill="FFFFFF"/>
        </w:rPr>
        <w:t xml:space="preserve"> do </w:t>
      </w:r>
      <w:r w:rsidR="007B3CE3" w:rsidRPr="0053555E">
        <w:rPr>
          <w:rFonts w:asciiTheme="majorHAnsi" w:hAnsiTheme="majorHAnsi" w:cstheme="majorHAnsi"/>
          <w:sz w:val="20"/>
          <w:szCs w:val="20"/>
          <w:shd w:val="clear" w:color="auto" w:fill="FFFFFF"/>
        </w:rPr>
        <w:t>31.</w:t>
      </w:r>
      <w:r w:rsidRPr="0053555E">
        <w:rPr>
          <w:rFonts w:asciiTheme="majorHAnsi" w:hAnsiTheme="majorHAnsi" w:cstheme="majorHAnsi"/>
          <w:sz w:val="20"/>
          <w:szCs w:val="20"/>
          <w:shd w:val="clear" w:color="auto" w:fill="FFFFFF"/>
        </w:rPr>
        <w:t xml:space="preserve"> </w:t>
      </w:r>
      <w:r w:rsidR="007B3CE3" w:rsidRPr="0053555E">
        <w:rPr>
          <w:rFonts w:asciiTheme="majorHAnsi" w:hAnsiTheme="majorHAnsi" w:cstheme="majorHAnsi"/>
          <w:sz w:val="20"/>
          <w:szCs w:val="20"/>
          <w:shd w:val="clear" w:color="auto" w:fill="FFFFFF"/>
        </w:rPr>
        <w:t>8.</w:t>
      </w:r>
      <w:r w:rsidRPr="0053555E">
        <w:rPr>
          <w:rFonts w:asciiTheme="majorHAnsi" w:hAnsiTheme="majorHAnsi" w:cstheme="majorHAnsi"/>
          <w:sz w:val="20"/>
          <w:szCs w:val="20"/>
          <w:shd w:val="clear" w:color="auto" w:fill="FFFFFF"/>
        </w:rPr>
        <w:t xml:space="preserve"> </w:t>
      </w:r>
      <w:r w:rsidR="007B3CE3" w:rsidRPr="0053555E">
        <w:rPr>
          <w:rFonts w:asciiTheme="majorHAnsi" w:hAnsiTheme="majorHAnsi" w:cstheme="majorHAnsi"/>
          <w:sz w:val="20"/>
          <w:szCs w:val="20"/>
          <w:shd w:val="clear" w:color="auto" w:fill="FFFFFF"/>
        </w:rPr>
        <w:t>20</w:t>
      </w:r>
      <w:r w:rsidR="0047285E" w:rsidRPr="0053555E">
        <w:rPr>
          <w:rFonts w:asciiTheme="majorHAnsi" w:hAnsiTheme="majorHAnsi" w:cstheme="majorHAnsi"/>
          <w:sz w:val="20"/>
          <w:szCs w:val="20"/>
          <w:shd w:val="clear" w:color="auto" w:fill="FFFFFF"/>
        </w:rPr>
        <w:t>2</w:t>
      </w:r>
      <w:r w:rsidR="00CB6073" w:rsidRPr="0053555E">
        <w:rPr>
          <w:rFonts w:asciiTheme="majorHAnsi" w:hAnsiTheme="majorHAnsi" w:cstheme="majorHAnsi"/>
          <w:sz w:val="20"/>
          <w:szCs w:val="20"/>
          <w:shd w:val="clear" w:color="auto" w:fill="FFFFFF"/>
        </w:rPr>
        <w:t>2</w:t>
      </w:r>
    </w:p>
    <w:p w14:paraId="70CAC31E" w14:textId="77777777" w:rsidR="00BF06A8" w:rsidRPr="0053555E" w:rsidRDefault="00BF06A8" w:rsidP="00324438">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 xml:space="preserve">DF – denná forma, EF - externá forma </w:t>
      </w:r>
    </w:p>
    <w:p w14:paraId="2DAC3E33" w14:textId="77777777" w:rsidR="00A17F24" w:rsidRPr="0053555E" w:rsidRDefault="00A17F24" w:rsidP="00324438">
      <w:pPr>
        <w:tabs>
          <w:tab w:val="left" w:pos="9356"/>
        </w:tabs>
        <w:jc w:val="both"/>
        <w:rPr>
          <w:rFonts w:asciiTheme="majorHAnsi" w:hAnsiTheme="majorHAnsi" w:cstheme="majorHAnsi"/>
          <w:sz w:val="20"/>
          <w:szCs w:val="20"/>
          <w:shd w:val="clear" w:color="auto" w:fill="FFFFFF"/>
        </w:rPr>
      </w:pPr>
    </w:p>
    <w:p w14:paraId="43DAFE5F" w14:textId="71B4B74E" w:rsidR="002071AC" w:rsidRPr="0053555E" w:rsidRDefault="005B6294" w:rsidP="00324438">
      <w:pPr>
        <w:tabs>
          <w:tab w:val="left" w:pos="9356"/>
        </w:tabs>
        <w:spacing w:after="120"/>
        <w:jc w:val="both"/>
        <w:rPr>
          <w:rFonts w:asciiTheme="majorHAnsi" w:hAnsiTheme="majorHAnsi" w:cstheme="majorHAnsi"/>
          <w:shd w:val="clear" w:color="auto" w:fill="FFFFFF"/>
        </w:rPr>
      </w:pPr>
      <w:r w:rsidRPr="0053555E">
        <w:rPr>
          <w:rFonts w:asciiTheme="majorHAnsi" w:hAnsiTheme="majorHAnsi" w:cstheme="majorHAnsi"/>
          <w:shd w:val="clear" w:color="auto" w:fill="FFFFFF"/>
        </w:rPr>
        <w:fldChar w:fldCharType="begin"/>
      </w:r>
      <w:r w:rsidRPr="0053555E">
        <w:rPr>
          <w:rFonts w:asciiTheme="majorHAnsi" w:hAnsiTheme="majorHAnsi" w:cstheme="majorHAnsi"/>
          <w:shd w:val="clear" w:color="auto" w:fill="FFFFFF"/>
        </w:rPr>
        <w:instrText xml:space="preserve"> REF _Ref474780333 \h </w:instrText>
      </w:r>
      <w:r w:rsidR="00B57263" w:rsidRPr="0053555E">
        <w:rPr>
          <w:rFonts w:asciiTheme="majorHAnsi" w:hAnsiTheme="majorHAnsi" w:cstheme="majorHAnsi"/>
          <w:shd w:val="clear" w:color="auto" w:fill="FFFFFF"/>
        </w:rPr>
        <w:instrText xml:space="preserve"> \* MERGEFORMAT </w:instrText>
      </w:r>
      <w:r w:rsidRPr="0053555E">
        <w:rPr>
          <w:rFonts w:asciiTheme="majorHAnsi" w:hAnsiTheme="majorHAnsi" w:cstheme="majorHAnsi"/>
          <w:shd w:val="clear" w:color="auto" w:fill="FFFFFF"/>
        </w:rPr>
      </w:r>
      <w:r w:rsidRPr="0053555E">
        <w:rPr>
          <w:rFonts w:asciiTheme="majorHAnsi" w:hAnsiTheme="majorHAnsi" w:cstheme="majorHAnsi"/>
          <w:shd w:val="clear" w:color="auto" w:fill="FFFFFF"/>
        </w:rPr>
        <w:fldChar w:fldCharType="separate"/>
      </w:r>
      <w:r w:rsidR="00EE1B59" w:rsidRPr="00EE1B59">
        <w:rPr>
          <w:rFonts w:asciiTheme="majorHAnsi" w:hAnsiTheme="majorHAnsi" w:cstheme="majorHAnsi"/>
          <w:sz w:val="20"/>
          <w:szCs w:val="20"/>
          <w:shd w:val="clear" w:color="auto" w:fill="FFFFFF"/>
        </w:rPr>
        <w:t xml:space="preserve">Graf č. </w:t>
      </w:r>
      <w:r w:rsidR="00EE1B59" w:rsidRPr="00EE1B59">
        <w:rPr>
          <w:rFonts w:asciiTheme="majorHAnsi" w:hAnsiTheme="majorHAnsi" w:cstheme="majorHAnsi"/>
          <w:sz w:val="20"/>
          <w:szCs w:val="20"/>
        </w:rPr>
        <w:t>16</w:t>
      </w:r>
      <w:r w:rsidRPr="0053555E">
        <w:rPr>
          <w:rFonts w:asciiTheme="majorHAnsi" w:hAnsiTheme="majorHAnsi" w:cstheme="majorHAnsi"/>
          <w:shd w:val="clear" w:color="auto" w:fill="FFFFFF"/>
        </w:rPr>
        <w:fldChar w:fldCharType="end"/>
      </w:r>
      <w:r w:rsidR="00BF06A8" w:rsidRPr="0053555E">
        <w:rPr>
          <w:rFonts w:asciiTheme="majorHAnsi" w:hAnsiTheme="majorHAnsi" w:cstheme="majorHAnsi"/>
          <w:shd w:val="clear" w:color="auto" w:fill="FFFFFF"/>
        </w:rPr>
        <w:t>. znázor</w:t>
      </w:r>
      <w:r w:rsidR="00A17F24" w:rsidRPr="0053555E">
        <w:rPr>
          <w:rFonts w:asciiTheme="majorHAnsi" w:hAnsiTheme="majorHAnsi" w:cstheme="majorHAnsi"/>
          <w:shd w:val="clear" w:color="auto" w:fill="FFFFFF"/>
        </w:rPr>
        <w:t>ňuje</w:t>
      </w:r>
      <w:r w:rsidR="00F053C4" w:rsidRPr="0053555E">
        <w:rPr>
          <w:rFonts w:asciiTheme="majorHAnsi" w:hAnsiTheme="majorHAnsi" w:cstheme="majorHAnsi"/>
          <w:shd w:val="clear" w:color="auto" w:fill="FFFFFF"/>
        </w:rPr>
        <w:t xml:space="preserve"> </w:t>
      </w:r>
      <w:r w:rsidR="001B30A2" w:rsidRPr="0053555E">
        <w:rPr>
          <w:rFonts w:asciiTheme="majorHAnsi" w:hAnsiTheme="majorHAnsi" w:cstheme="majorHAnsi"/>
          <w:shd w:val="clear" w:color="auto" w:fill="FFFFFF"/>
        </w:rPr>
        <w:t xml:space="preserve">prehľad </w:t>
      </w:r>
      <w:r w:rsidR="002071AC" w:rsidRPr="0053555E">
        <w:rPr>
          <w:rFonts w:asciiTheme="majorHAnsi" w:hAnsiTheme="majorHAnsi" w:cstheme="majorHAnsi"/>
          <w:shd w:val="clear" w:color="auto" w:fill="FFFFFF"/>
        </w:rPr>
        <w:t>počtu absolventov v</w:t>
      </w:r>
      <w:r w:rsidR="005E54AA" w:rsidRPr="0053555E">
        <w:rPr>
          <w:rFonts w:asciiTheme="majorHAnsi" w:hAnsiTheme="majorHAnsi" w:cstheme="majorHAnsi"/>
          <w:shd w:val="clear" w:color="auto" w:fill="FFFFFF"/>
        </w:rPr>
        <w:t> </w:t>
      </w:r>
      <w:r w:rsidR="001B30A2" w:rsidRPr="0053555E">
        <w:rPr>
          <w:rFonts w:asciiTheme="majorHAnsi" w:hAnsiTheme="majorHAnsi" w:cstheme="majorHAnsi"/>
          <w:shd w:val="clear" w:color="auto" w:fill="FFFFFF"/>
        </w:rPr>
        <w:t>kalendárnom</w:t>
      </w:r>
      <w:r w:rsidR="005E54AA" w:rsidRPr="0053555E">
        <w:rPr>
          <w:rFonts w:asciiTheme="majorHAnsi" w:hAnsiTheme="majorHAnsi" w:cstheme="majorHAnsi"/>
          <w:shd w:val="clear" w:color="auto" w:fill="FFFFFF"/>
        </w:rPr>
        <w:t xml:space="preserve"> </w:t>
      </w:r>
      <w:r w:rsidR="002071AC" w:rsidRPr="0053555E">
        <w:rPr>
          <w:rFonts w:asciiTheme="majorHAnsi" w:hAnsiTheme="majorHAnsi" w:cstheme="majorHAnsi"/>
          <w:shd w:val="clear" w:color="auto" w:fill="FFFFFF"/>
        </w:rPr>
        <w:t xml:space="preserve">roku </w:t>
      </w:r>
      <w:r w:rsidR="00BC26A5" w:rsidRPr="0053555E">
        <w:rPr>
          <w:rFonts w:asciiTheme="majorHAnsi" w:hAnsiTheme="majorHAnsi" w:cstheme="majorHAnsi"/>
          <w:shd w:val="clear" w:color="auto" w:fill="FFFFFF"/>
        </w:rPr>
        <w:t>20</w:t>
      </w:r>
      <w:r w:rsidR="004A2516" w:rsidRPr="0053555E">
        <w:rPr>
          <w:rFonts w:asciiTheme="majorHAnsi" w:hAnsiTheme="majorHAnsi" w:cstheme="majorHAnsi"/>
          <w:shd w:val="clear" w:color="auto" w:fill="FFFFFF"/>
        </w:rPr>
        <w:t>2</w:t>
      </w:r>
      <w:r w:rsidR="00A35FB9">
        <w:rPr>
          <w:rFonts w:asciiTheme="majorHAnsi" w:hAnsiTheme="majorHAnsi" w:cstheme="majorHAnsi"/>
          <w:shd w:val="clear" w:color="auto" w:fill="FFFFFF"/>
        </w:rPr>
        <w:t>2</w:t>
      </w:r>
      <w:r w:rsidR="002071AC" w:rsidRPr="0053555E">
        <w:rPr>
          <w:rFonts w:asciiTheme="majorHAnsi" w:hAnsiTheme="majorHAnsi" w:cstheme="majorHAnsi"/>
          <w:shd w:val="clear" w:color="auto" w:fill="FFFFFF"/>
        </w:rPr>
        <w:t xml:space="preserve"> na jednotlivých </w:t>
      </w:r>
      <w:r w:rsidR="0074658D" w:rsidRPr="0053555E">
        <w:rPr>
          <w:rFonts w:asciiTheme="majorHAnsi" w:hAnsiTheme="majorHAnsi" w:cstheme="majorHAnsi"/>
          <w:shd w:val="clear" w:color="auto" w:fill="FFFFFF"/>
        </w:rPr>
        <w:t>stupňoch štúdia a percentuálne zastúpenie k celkovému počtu absolventov v kalendárnom roku</w:t>
      </w:r>
      <w:r w:rsidR="002071AC" w:rsidRPr="0053555E">
        <w:rPr>
          <w:rFonts w:asciiTheme="majorHAnsi" w:hAnsiTheme="majorHAnsi" w:cstheme="majorHAnsi"/>
          <w:shd w:val="clear" w:color="auto" w:fill="FFFFFF"/>
        </w:rPr>
        <w:t>.</w:t>
      </w:r>
      <w:r w:rsidR="00E9332C" w:rsidRPr="0053555E">
        <w:rPr>
          <w:rFonts w:asciiTheme="majorHAnsi" w:hAnsiTheme="majorHAnsi" w:cstheme="majorHAnsi"/>
          <w:shd w:val="clear" w:color="auto" w:fill="FFFFFF"/>
        </w:rPr>
        <w:t xml:space="preserve"> </w:t>
      </w:r>
    </w:p>
    <w:p w14:paraId="435D662B" w14:textId="13008428" w:rsidR="002071AC" w:rsidRPr="0053555E" w:rsidRDefault="001A1CAA" w:rsidP="000E3322">
      <w:pPr>
        <w:pStyle w:val="Popis"/>
      </w:pPr>
      <w:bookmarkStart w:id="140" w:name="_Ref474780333"/>
      <w:bookmarkStart w:id="141" w:name="_Toc127593344"/>
      <w:r w:rsidRPr="0053555E">
        <w:t xml:space="preserve">Graf č. </w:t>
      </w:r>
      <w:r w:rsidR="007B5953">
        <w:fldChar w:fldCharType="begin"/>
      </w:r>
      <w:r w:rsidR="007B5953">
        <w:instrText xml:space="preserve"> SEQ Graf_č. \* ARABIC </w:instrText>
      </w:r>
      <w:r w:rsidR="007B5953">
        <w:fldChar w:fldCharType="separate"/>
      </w:r>
      <w:r w:rsidR="00EE1B59">
        <w:rPr>
          <w:noProof/>
        </w:rPr>
        <w:t>16</w:t>
      </w:r>
      <w:r w:rsidR="007B5953">
        <w:rPr>
          <w:noProof/>
        </w:rPr>
        <w:fldChar w:fldCharType="end"/>
      </w:r>
      <w:bookmarkEnd w:id="140"/>
      <w:r w:rsidR="002071AC" w:rsidRPr="0053555E">
        <w:t xml:space="preserve">: Počet </w:t>
      </w:r>
      <w:r w:rsidR="00275D09" w:rsidRPr="0053555E">
        <w:t xml:space="preserve">absolventov STU v </w:t>
      </w:r>
      <w:r w:rsidR="001B30A2" w:rsidRPr="0053555E">
        <w:t>kalendárnom</w:t>
      </w:r>
      <w:r w:rsidR="002071AC" w:rsidRPr="0053555E">
        <w:t xml:space="preserve"> roku </w:t>
      </w:r>
      <w:r w:rsidR="00DB5B1B" w:rsidRPr="0053555E">
        <w:t>20</w:t>
      </w:r>
      <w:r w:rsidR="0047285E" w:rsidRPr="0053555E">
        <w:t>2</w:t>
      </w:r>
      <w:r w:rsidR="00CB6073" w:rsidRPr="0053555E">
        <w:t>2</w:t>
      </w:r>
      <w:bookmarkEnd w:id="141"/>
    </w:p>
    <w:p w14:paraId="0FE46F3E" w14:textId="781BDD6E" w:rsidR="00CB6073" w:rsidRPr="0053555E" w:rsidRDefault="00CB6073" w:rsidP="00CB6073">
      <w:pPr>
        <w:jc w:val="center"/>
      </w:pPr>
      <w:r w:rsidRPr="0053555E">
        <w:rPr>
          <w:noProof/>
          <w:lang w:eastAsia="sk-SK"/>
        </w:rPr>
        <w:drawing>
          <wp:inline distT="0" distB="0" distL="0" distR="0" wp14:anchorId="600ACB4E" wp14:editId="64454E97">
            <wp:extent cx="4710023" cy="2872596"/>
            <wp:effectExtent l="0" t="0" r="0" b="4445"/>
            <wp:docPr id="36" name="Graf 36">
              <a:extLst xmlns:a="http://schemas.openxmlformats.org/drawingml/2006/main">
                <a:ext uri="{FF2B5EF4-FFF2-40B4-BE49-F238E27FC236}">
                  <a16:creationId xmlns:a16="http://schemas.microsoft.com/office/drawing/2014/main" id="{00000000-0008-0000-2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125496C" w14:textId="25A56BB0" w:rsidR="00D13A5B" w:rsidRPr="0053555E" w:rsidRDefault="00D13A5B" w:rsidP="004C554C">
      <w:pPr>
        <w:jc w:val="center"/>
      </w:pPr>
    </w:p>
    <w:p w14:paraId="3E7EB137" w14:textId="77777777" w:rsidR="0047285E" w:rsidRPr="0053555E" w:rsidRDefault="0047285E" w:rsidP="00324438">
      <w:pPr>
        <w:rPr>
          <w:rFonts w:asciiTheme="majorHAnsi" w:hAnsiTheme="majorHAnsi" w:cstheme="majorHAnsi"/>
        </w:rPr>
      </w:pPr>
    </w:p>
    <w:p w14:paraId="1D6163EC" w14:textId="26E4266C" w:rsidR="00E97D82" w:rsidRPr="0053555E" w:rsidRDefault="0074658D" w:rsidP="006072A0">
      <w:pPr>
        <w:tabs>
          <w:tab w:val="left" w:pos="9356"/>
        </w:tabs>
        <w:spacing w:after="120"/>
        <w:jc w:val="both"/>
        <w:rPr>
          <w:rFonts w:asciiTheme="majorHAnsi" w:hAnsiTheme="majorHAnsi" w:cstheme="majorHAnsi"/>
          <w:shd w:val="clear" w:color="auto" w:fill="FFFFFF"/>
        </w:rPr>
      </w:pPr>
      <w:r w:rsidRPr="0053555E">
        <w:rPr>
          <w:rFonts w:asciiTheme="majorHAnsi" w:hAnsiTheme="majorHAnsi" w:cstheme="majorHAnsi"/>
          <w:shd w:val="clear" w:color="auto" w:fill="FFFFFF"/>
        </w:rPr>
        <w:t xml:space="preserve">Od založenia univerzity (prví absolventi v roku 1940) </w:t>
      </w:r>
      <w:r w:rsidRPr="0053555E">
        <w:rPr>
          <w:rFonts w:asciiTheme="majorHAnsi" w:hAnsiTheme="majorHAnsi" w:cstheme="majorHAnsi"/>
        </w:rPr>
        <w:t>do konca roku 20</w:t>
      </w:r>
      <w:r w:rsidR="008A3AEA" w:rsidRPr="0053555E">
        <w:rPr>
          <w:rFonts w:asciiTheme="majorHAnsi" w:hAnsiTheme="majorHAnsi" w:cstheme="majorHAnsi"/>
        </w:rPr>
        <w:t>2</w:t>
      </w:r>
      <w:r w:rsidR="009A1A9B">
        <w:rPr>
          <w:rFonts w:asciiTheme="majorHAnsi" w:hAnsiTheme="majorHAnsi" w:cstheme="majorHAnsi"/>
        </w:rPr>
        <w:t>2</w:t>
      </w:r>
      <w:r w:rsidRPr="0053555E">
        <w:rPr>
          <w:rFonts w:asciiTheme="majorHAnsi" w:hAnsiTheme="majorHAnsi" w:cstheme="majorHAnsi"/>
        </w:rPr>
        <w:t xml:space="preserve"> </w:t>
      </w:r>
      <w:r w:rsidRPr="0053555E">
        <w:rPr>
          <w:rFonts w:asciiTheme="majorHAnsi" w:hAnsiTheme="majorHAnsi" w:cstheme="majorHAnsi"/>
          <w:shd w:val="clear" w:color="auto" w:fill="FFFFFF"/>
        </w:rPr>
        <w:t xml:space="preserve">mala STU celkove </w:t>
      </w:r>
      <w:r w:rsidRPr="0053555E">
        <w:rPr>
          <w:rFonts w:asciiTheme="majorHAnsi" w:hAnsiTheme="majorHAnsi" w:cstheme="majorHAnsi"/>
          <w:b/>
          <w:shd w:val="clear" w:color="auto" w:fill="FFFFFF"/>
        </w:rPr>
        <w:t>1</w:t>
      </w:r>
      <w:r w:rsidR="00EE2769" w:rsidRPr="0053555E">
        <w:rPr>
          <w:rFonts w:asciiTheme="majorHAnsi" w:hAnsiTheme="majorHAnsi" w:cstheme="majorHAnsi"/>
          <w:b/>
          <w:shd w:val="clear" w:color="auto" w:fill="FFFFFF"/>
        </w:rPr>
        <w:t>7</w:t>
      </w:r>
      <w:r w:rsidR="001A2B0C">
        <w:rPr>
          <w:rFonts w:asciiTheme="majorHAnsi" w:hAnsiTheme="majorHAnsi" w:cstheme="majorHAnsi"/>
          <w:b/>
          <w:shd w:val="clear" w:color="auto" w:fill="FFFFFF"/>
        </w:rPr>
        <w:t>4</w:t>
      </w:r>
      <w:r w:rsidRPr="0053555E">
        <w:rPr>
          <w:rFonts w:asciiTheme="majorHAnsi" w:hAnsiTheme="majorHAnsi" w:cstheme="majorHAnsi"/>
          <w:b/>
          <w:shd w:val="clear" w:color="auto" w:fill="FFFFFF"/>
        </w:rPr>
        <w:t> </w:t>
      </w:r>
      <w:r w:rsidR="001A2B0C">
        <w:rPr>
          <w:rFonts w:asciiTheme="majorHAnsi" w:hAnsiTheme="majorHAnsi" w:cstheme="majorHAnsi"/>
          <w:b/>
          <w:shd w:val="clear" w:color="auto" w:fill="FFFFFF"/>
        </w:rPr>
        <w:t>133</w:t>
      </w:r>
      <w:r w:rsidRPr="0053555E">
        <w:rPr>
          <w:rFonts w:asciiTheme="majorHAnsi" w:hAnsiTheme="majorHAnsi" w:cstheme="majorHAnsi"/>
          <w:b/>
          <w:shd w:val="clear" w:color="auto" w:fill="FFFFFF"/>
        </w:rPr>
        <w:t xml:space="preserve"> absolvento</w:t>
      </w:r>
      <w:r w:rsidR="003E4CAE" w:rsidRPr="0053555E">
        <w:rPr>
          <w:rFonts w:asciiTheme="majorHAnsi" w:hAnsiTheme="majorHAnsi" w:cstheme="majorHAnsi"/>
          <w:b/>
          <w:shd w:val="clear" w:color="auto" w:fill="FFFFFF"/>
        </w:rPr>
        <w:t>v</w:t>
      </w:r>
      <w:r w:rsidRPr="0053555E">
        <w:rPr>
          <w:rFonts w:asciiTheme="majorHAnsi" w:hAnsiTheme="majorHAnsi" w:cstheme="majorHAnsi"/>
          <w:b/>
          <w:shd w:val="clear" w:color="auto" w:fill="FFFFFF"/>
        </w:rPr>
        <w:t xml:space="preserve">, </w:t>
      </w:r>
      <w:r w:rsidRPr="0053555E">
        <w:rPr>
          <w:rFonts w:asciiTheme="majorHAnsi" w:hAnsiTheme="majorHAnsi" w:cstheme="majorHAnsi"/>
          <w:shd w:val="clear" w:color="auto" w:fill="FFFFFF"/>
        </w:rPr>
        <w:t xml:space="preserve">z toho </w:t>
      </w:r>
      <w:r w:rsidR="0027609F" w:rsidRPr="0053555E">
        <w:rPr>
          <w:rFonts w:asciiTheme="majorHAnsi" w:hAnsiTheme="majorHAnsi" w:cstheme="majorHAnsi"/>
          <w:b/>
          <w:shd w:val="clear" w:color="auto" w:fill="FFFFFF"/>
        </w:rPr>
        <w:t>4</w:t>
      </w:r>
      <w:r w:rsidR="001A2B0C">
        <w:rPr>
          <w:rFonts w:asciiTheme="majorHAnsi" w:hAnsiTheme="majorHAnsi" w:cstheme="majorHAnsi"/>
          <w:b/>
          <w:shd w:val="clear" w:color="auto" w:fill="FFFFFF"/>
        </w:rPr>
        <w:t>5</w:t>
      </w:r>
      <w:r w:rsidR="0027609F" w:rsidRPr="0053555E">
        <w:rPr>
          <w:rFonts w:asciiTheme="majorHAnsi" w:hAnsiTheme="majorHAnsi" w:cstheme="majorHAnsi"/>
          <w:b/>
          <w:shd w:val="clear" w:color="auto" w:fill="FFFFFF"/>
        </w:rPr>
        <w:t xml:space="preserve"> </w:t>
      </w:r>
      <w:r w:rsidR="001A2B0C">
        <w:rPr>
          <w:rFonts w:asciiTheme="majorHAnsi" w:hAnsiTheme="majorHAnsi" w:cstheme="majorHAnsi"/>
          <w:b/>
          <w:shd w:val="clear" w:color="auto" w:fill="FFFFFF"/>
        </w:rPr>
        <w:t>094</w:t>
      </w:r>
      <w:r w:rsidRPr="0053555E">
        <w:rPr>
          <w:rFonts w:asciiTheme="majorHAnsi" w:hAnsiTheme="majorHAnsi" w:cstheme="majorHAnsi"/>
          <w:shd w:val="clear" w:color="auto" w:fill="FFFFFF"/>
        </w:rPr>
        <w:t xml:space="preserve"> na prvom stupni, </w:t>
      </w:r>
      <w:r w:rsidR="0027609F" w:rsidRPr="0053555E">
        <w:rPr>
          <w:rFonts w:asciiTheme="majorHAnsi" w:hAnsiTheme="majorHAnsi" w:cstheme="majorHAnsi"/>
          <w:b/>
          <w:shd w:val="clear" w:color="auto" w:fill="FFFFFF"/>
        </w:rPr>
        <w:t>12</w:t>
      </w:r>
      <w:r w:rsidR="001A2B0C">
        <w:rPr>
          <w:rFonts w:asciiTheme="majorHAnsi" w:hAnsiTheme="majorHAnsi" w:cstheme="majorHAnsi"/>
          <w:b/>
          <w:shd w:val="clear" w:color="auto" w:fill="FFFFFF"/>
        </w:rPr>
        <w:t>4</w:t>
      </w:r>
      <w:r w:rsidR="00EE2769" w:rsidRPr="0053555E">
        <w:rPr>
          <w:rFonts w:asciiTheme="majorHAnsi" w:hAnsiTheme="majorHAnsi" w:cstheme="majorHAnsi"/>
          <w:b/>
          <w:shd w:val="clear" w:color="auto" w:fill="FFFFFF"/>
        </w:rPr>
        <w:t> </w:t>
      </w:r>
      <w:r w:rsidR="001A2B0C">
        <w:rPr>
          <w:rFonts w:asciiTheme="majorHAnsi" w:hAnsiTheme="majorHAnsi" w:cstheme="majorHAnsi"/>
          <w:b/>
          <w:shd w:val="clear" w:color="auto" w:fill="FFFFFF"/>
        </w:rPr>
        <w:t>908</w:t>
      </w:r>
      <w:r w:rsidR="00EE2769" w:rsidRPr="0053555E">
        <w:rPr>
          <w:rFonts w:asciiTheme="majorHAnsi" w:hAnsiTheme="majorHAnsi" w:cstheme="majorHAnsi"/>
          <w:b/>
          <w:shd w:val="clear" w:color="auto" w:fill="FFFFFF"/>
        </w:rPr>
        <w:t xml:space="preserve"> </w:t>
      </w:r>
      <w:r w:rsidRPr="0053555E">
        <w:rPr>
          <w:rFonts w:asciiTheme="majorHAnsi" w:hAnsiTheme="majorHAnsi" w:cstheme="majorHAnsi"/>
          <w:shd w:val="clear" w:color="auto" w:fill="FFFFFF"/>
        </w:rPr>
        <w:t>na druhom stupni a</w:t>
      </w:r>
      <w:r w:rsidR="00504679" w:rsidRPr="0053555E">
        <w:rPr>
          <w:rFonts w:asciiTheme="majorHAnsi" w:hAnsiTheme="majorHAnsi" w:cstheme="majorHAnsi"/>
          <w:shd w:val="clear" w:color="auto" w:fill="FFFFFF"/>
        </w:rPr>
        <w:t> </w:t>
      </w:r>
      <w:r w:rsidR="00EE2769" w:rsidRPr="0053555E">
        <w:rPr>
          <w:rFonts w:asciiTheme="majorHAnsi" w:hAnsiTheme="majorHAnsi" w:cstheme="majorHAnsi"/>
          <w:b/>
          <w:shd w:val="clear" w:color="auto" w:fill="FFFFFF"/>
        </w:rPr>
        <w:t>4</w:t>
      </w:r>
      <w:r w:rsidR="00504679" w:rsidRPr="0053555E">
        <w:rPr>
          <w:rFonts w:asciiTheme="majorHAnsi" w:hAnsiTheme="majorHAnsi" w:cstheme="majorHAnsi"/>
          <w:b/>
          <w:shd w:val="clear" w:color="auto" w:fill="FFFFFF"/>
        </w:rPr>
        <w:t xml:space="preserve"> </w:t>
      </w:r>
      <w:r w:rsidR="001A2B0C">
        <w:rPr>
          <w:rFonts w:asciiTheme="majorHAnsi" w:hAnsiTheme="majorHAnsi" w:cstheme="majorHAnsi"/>
          <w:b/>
          <w:shd w:val="clear" w:color="auto" w:fill="FFFFFF"/>
        </w:rPr>
        <w:t>131</w:t>
      </w:r>
      <w:r w:rsidR="006072A0" w:rsidRPr="0053555E">
        <w:rPr>
          <w:rFonts w:asciiTheme="majorHAnsi" w:hAnsiTheme="majorHAnsi" w:cstheme="majorHAnsi"/>
          <w:shd w:val="clear" w:color="auto" w:fill="FFFFFF"/>
        </w:rPr>
        <w:t xml:space="preserve"> na</w:t>
      </w:r>
      <w:r w:rsidR="001A2B0C">
        <w:rPr>
          <w:rFonts w:asciiTheme="majorHAnsi" w:hAnsiTheme="majorHAnsi" w:cstheme="majorHAnsi"/>
          <w:shd w:val="clear" w:color="auto" w:fill="FFFFFF"/>
        </w:rPr>
        <w:t> </w:t>
      </w:r>
      <w:r w:rsidR="006072A0" w:rsidRPr="0053555E">
        <w:rPr>
          <w:rFonts w:asciiTheme="majorHAnsi" w:hAnsiTheme="majorHAnsi" w:cstheme="majorHAnsi"/>
          <w:shd w:val="clear" w:color="auto" w:fill="FFFFFF"/>
        </w:rPr>
        <w:t>treťom stupni štúdia.</w:t>
      </w:r>
      <w:r w:rsidR="00E97D82" w:rsidRPr="0053555E">
        <w:rPr>
          <w:rFonts w:asciiTheme="majorHAnsi" w:hAnsiTheme="majorHAnsi" w:cstheme="majorHAnsi"/>
          <w:shd w:val="clear" w:color="auto" w:fill="FFFFFF"/>
        </w:rPr>
        <w:br w:type="page"/>
      </w:r>
    </w:p>
    <w:p w14:paraId="3C431F83" w14:textId="3380E838" w:rsidR="00FD52A5" w:rsidRPr="0053555E" w:rsidRDefault="00B533A4" w:rsidP="00324438">
      <w:pPr>
        <w:tabs>
          <w:tab w:val="left" w:pos="9356"/>
        </w:tabs>
        <w:spacing w:after="120"/>
        <w:jc w:val="both"/>
        <w:rPr>
          <w:rFonts w:asciiTheme="majorHAnsi" w:hAnsiTheme="majorHAnsi" w:cstheme="majorHAnsi"/>
          <w:shd w:val="clear" w:color="auto" w:fill="FFFFFF"/>
        </w:rPr>
      </w:pPr>
      <w:r w:rsidRPr="0053555E">
        <w:rPr>
          <w:rFonts w:asciiTheme="majorHAnsi" w:hAnsiTheme="majorHAnsi" w:cstheme="majorHAnsi"/>
          <w:shd w:val="clear" w:color="auto" w:fill="FFFFFF"/>
        </w:rPr>
        <w:lastRenderedPageBreak/>
        <w:t xml:space="preserve">Prehľad celkového počtu absolventov STU </w:t>
      </w:r>
      <w:r w:rsidR="006A796B" w:rsidRPr="0053555E">
        <w:rPr>
          <w:rFonts w:asciiTheme="majorHAnsi" w:hAnsiTheme="majorHAnsi" w:cstheme="majorHAnsi"/>
          <w:shd w:val="clear" w:color="auto" w:fill="FFFFFF"/>
        </w:rPr>
        <w:t xml:space="preserve">a rozloženie podľa </w:t>
      </w:r>
      <w:r w:rsidRPr="0053555E">
        <w:rPr>
          <w:rFonts w:asciiTheme="majorHAnsi" w:hAnsiTheme="majorHAnsi" w:cstheme="majorHAnsi"/>
          <w:shd w:val="clear" w:color="auto" w:fill="FFFFFF"/>
        </w:rPr>
        <w:t>jednotlivých stupň</w:t>
      </w:r>
      <w:r w:rsidR="006A796B" w:rsidRPr="0053555E">
        <w:rPr>
          <w:rFonts w:asciiTheme="majorHAnsi" w:hAnsiTheme="majorHAnsi" w:cstheme="majorHAnsi"/>
          <w:shd w:val="clear" w:color="auto" w:fill="FFFFFF"/>
        </w:rPr>
        <w:t>ov</w:t>
      </w:r>
      <w:r w:rsidRPr="0053555E">
        <w:rPr>
          <w:rFonts w:asciiTheme="majorHAnsi" w:hAnsiTheme="majorHAnsi" w:cstheme="majorHAnsi"/>
          <w:shd w:val="clear" w:color="auto" w:fill="FFFFFF"/>
        </w:rPr>
        <w:t xml:space="preserve"> štúdia za </w:t>
      </w:r>
      <w:r w:rsidR="00582CB9" w:rsidRPr="0053555E">
        <w:rPr>
          <w:rFonts w:asciiTheme="majorHAnsi" w:hAnsiTheme="majorHAnsi" w:cstheme="majorHAnsi"/>
          <w:shd w:val="clear" w:color="auto" w:fill="FFFFFF"/>
        </w:rPr>
        <w:t xml:space="preserve">ostatných </w:t>
      </w:r>
      <w:r w:rsidR="00601EC8" w:rsidRPr="0053555E">
        <w:rPr>
          <w:rFonts w:asciiTheme="majorHAnsi" w:hAnsiTheme="majorHAnsi" w:cstheme="majorHAnsi"/>
          <w:shd w:val="clear" w:color="auto" w:fill="FFFFFF"/>
        </w:rPr>
        <w:t>desať</w:t>
      </w:r>
      <w:r w:rsidRPr="0053555E">
        <w:rPr>
          <w:rFonts w:asciiTheme="majorHAnsi" w:hAnsiTheme="majorHAnsi" w:cstheme="majorHAnsi"/>
          <w:shd w:val="clear" w:color="auto" w:fill="FFFFFF"/>
        </w:rPr>
        <w:t xml:space="preserve"> kalendárnych rokov uvádza </w:t>
      </w:r>
      <w:r w:rsidRPr="00AB4E85">
        <w:rPr>
          <w:rFonts w:asciiTheme="majorHAnsi" w:hAnsiTheme="majorHAnsi" w:cstheme="majorHAnsi"/>
          <w:shd w:val="clear" w:color="auto" w:fill="FFFFFF"/>
        </w:rPr>
        <w:fldChar w:fldCharType="begin"/>
      </w:r>
      <w:r w:rsidRPr="00AB4E85">
        <w:rPr>
          <w:rFonts w:asciiTheme="majorHAnsi" w:hAnsiTheme="majorHAnsi" w:cstheme="majorHAnsi"/>
          <w:shd w:val="clear" w:color="auto" w:fill="FFFFFF"/>
        </w:rPr>
        <w:instrText xml:space="preserve"> REF _Ref474780344 \h  \* MERGEFORMAT </w:instrText>
      </w:r>
      <w:r w:rsidRPr="00AB4E85">
        <w:rPr>
          <w:rFonts w:asciiTheme="majorHAnsi" w:hAnsiTheme="majorHAnsi" w:cstheme="majorHAnsi"/>
          <w:shd w:val="clear" w:color="auto" w:fill="FFFFFF"/>
        </w:rPr>
      </w:r>
      <w:r w:rsidRPr="00AB4E85">
        <w:rPr>
          <w:rFonts w:asciiTheme="majorHAnsi" w:hAnsiTheme="majorHAnsi" w:cstheme="majorHAnsi"/>
          <w:shd w:val="clear" w:color="auto" w:fill="FFFFFF"/>
        </w:rPr>
        <w:fldChar w:fldCharType="separate"/>
      </w:r>
      <w:r w:rsidR="00EE1B59" w:rsidRPr="00AB4E85">
        <w:rPr>
          <w:rFonts w:asciiTheme="majorHAnsi" w:hAnsiTheme="majorHAnsi" w:cstheme="majorHAnsi"/>
          <w:bCs/>
          <w:iCs/>
          <w:lang w:eastAsia="sk-SK"/>
        </w:rPr>
        <w:t xml:space="preserve">Graf č. </w:t>
      </w:r>
      <w:r w:rsidR="00EE1B59" w:rsidRPr="00AB4E85">
        <w:rPr>
          <w:rFonts w:asciiTheme="majorHAnsi" w:hAnsiTheme="majorHAnsi" w:cstheme="majorHAnsi"/>
        </w:rPr>
        <w:t>17</w:t>
      </w:r>
      <w:r w:rsidRPr="00AB4E85">
        <w:rPr>
          <w:rFonts w:asciiTheme="majorHAnsi" w:hAnsiTheme="majorHAnsi" w:cstheme="majorHAnsi"/>
          <w:shd w:val="clear" w:color="auto" w:fill="FFFFFF"/>
        </w:rPr>
        <w:fldChar w:fldCharType="end"/>
      </w:r>
      <w:r w:rsidRPr="0053555E">
        <w:rPr>
          <w:rFonts w:asciiTheme="majorHAnsi" w:hAnsiTheme="majorHAnsi" w:cstheme="majorHAnsi"/>
          <w:shd w:val="clear" w:color="auto" w:fill="FFFFFF"/>
        </w:rPr>
        <w:t xml:space="preserve">. </w:t>
      </w:r>
    </w:p>
    <w:p w14:paraId="761CC911" w14:textId="77777777" w:rsidR="00D05A56" w:rsidRPr="0053555E" w:rsidRDefault="00D05A56" w:rsidP="00324438">
      <w:pPr>
        <w:tabs>
          <w:tab w:val="left" w:pos="9356"/>
        </w:tabs>
        <w:spacing w:after="120"/>
        <w:jc w:val="both"/>
        <w:rPr>
          <w:rFonts w:asciiTheme="majorHAnsi" w:hAnsiTheme="majorHAnsi" w:cstheme="majorHAnsi"/>
          <w:shd w:val="clear" w:color="auto" w:fill="FFFFFF"/>
        </w:rPr>
      </w:pPr>
    </w:p>
    <w:p w14:paraId="495A8145" w14:textId="1C50E7A3" w:rsidR="00E9332C" w:rsidRPr="0053555E" w:rsidRDefault="00E9332C" w:rsidP="000E3322">
      <w:pPr>
        <w:pStyle w:val="Popis"/>
      </w:pPr>
      <w:bookmarkStart w:id="142" w:name="_Ref474780344"/>
      <w:bookmarkStart w:id="143" w:name="_Toc127593345"/>
      <w:r w:rsidRPr="0053555E">
        <w:t xml:space="preserve">Graf č. </w:t>
      </w:r>
      <w:r w:rsidR="007B5953">
        <w:fldChar w:fldCharType="begin"/>
      </w:r>
      <w:r w:rsidR="007B5953">
        <w:instrText xml:space="preserve"> SEQ Graf_č. \* ARABIC </w:instrText>
      </w:r>
      <w:r w:rsidR="007B5953">
        <w:fldChar w:fldCharType="separate"/>
      </w:r>
      <w:r w:rsidR="00EE1B59">
        <w:rPr>
          <w:noProof/>
        </w:rPr>
        <w:t>17</w:t>
      </w:r>
      <w:r w:rsidR="007B5953">
        <w:rPr>
          <w:noProof/>
        </w:rPr>
        <w:fldChar w:fldCharType="end"/>
      </w:r>
      <w:bookmarkEnd w:id="142"/>
      <w:r w:rsidRPr="0053555E">
        <w:t xml:space="preserve">: Počet absolventov za </w:t>
      </w:r>
      <w:r w:rsidR="00582CB9" w:rsidRPr="0053555E">
        <w:t xml:space="preserve">ostatných </w:t>
      </w:r>
      <w:r w:rsidR="002B4EAA" w:rsidRPr="0053555E">
        <w:t>desať</w:t>
      </w:r>
      <w:r w:rsidRPr="0053555E">
        <w:t xml:space="preserve"> kalendárnych rokov</w:t>
      </w:r>
      <w:bookmarkEnd w:id="143"/>
    </w:p>
    <w:p w14:paraId="5E347299" w14:textId="3E9DAC47" w:rsidR="00F844FF" w:rsidRPr="0053555E" w:rsidRDefault="00F844FF" w:rsidP="00F844FF">
      <w:pPr>
        <w:jc w:val="center"/>
      </w:pPr>
      <w:r w:rsidRPr="0053555E">
        <w:rPr>
          <w:noProof/>
          <w:lang w:eastAsia="sk-SK"/>
        </w:rPr>
        <w:drawing>
          <wp:inline distT="0" distB="0" distL="0" distR="0" wp14:anchorId="41E7010D" wp14:editId="46A2322A">
            <wp:extent cx="5589270" cy="3001992"/>
            <wp:effectExtent l="0" t="0" r="0" b="8255"/>
            <wp:docPr id="37" name="Graf 37">
              <a:extLst xmlns:a="http://schemas.openxmlformats.org/drawingml/2006/main">
                <a:ext uri="{FF2B5EF4-FFF2-40B4-BE49-F238E27FC236}">
                  <a16:creationId xmlns:a16="http://schemas.microsoft.com/office/drawing/2014/main" id="{00000000-0008-0000-2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A81608C" w14:textId="77777777" w:rsidR="0016677D" w:rsidRPr="0053555E" w:rsidRDefault="0016677D" w:rsidP="00324438">
      <w:pPr>
        <w:rPr>
          <w:rFonts w:asciiTheme="majorHAnsi" w:hAnsiTheme="majorHAnsi" w:cstheme="majorHAnsi"/>
        </w:rPr>
      </w:pPr>
    </w:p>
    <w:p w14:paraId="1E286F81" w14:textId="77777777" w:rsidR="00AB4E85" w:rsidRDefault="00AB4E85" w:rsidP="00324438">
      <w:pPr>
        <w:tabs>
          <w:tab w:val="left" w:pos="9356"/>
        </w:tabs>
        <w:spacing w:after="120"/>
        <w:jc w:val="both"/>
        <w:rPr>
          <w:rFonts w:asciiTheme="majorHAnsi" w:hAnsiTheme="majorHAnsi" w:cstheme="majorHAnsi"/>
          <w:shd w:val="clear" w:color="auto" w:fill="FFFFFF"/>
        </w:rPr>
      </w:pPr>
    </w:p>
    <w:p w14:paraId="20617EE7" w14:textId="6E21B4F8" w:rsidR="001D463F" w:rsidRPr="0053555E" w:rsidRDefault="00321A8A" w:rsidP="00324438">
      <w:pPr>
        <w:tabs>
          <w:tab w:val="left" w:pos="9356"/>
        </w:tabs>
        <w:spacing w:after="120"/>
        <w:jc w:val="both"/>
        <w:rPr>
          <w:rFonts w:asciiTheme="majorHAnsi" w:hAnsiTheme="majorHAnsi" w:cstheme="majorHAnsi"/>
          <w:shd w:val="clear" w:color="auto" w:fill="FFFFFF"/>
        </w:rPr>
      </w:pPr>
      <w:r w:rsidRPr="0053555E">
        <w:rPr>
          <w:rFonts w:asciiTheme="majorHAnsi" w:hAnsiTheme="majorHAnsi" w:cstheme="majorHAnsi"/>
          <w:shd w:val="clear" w:color="auto" w:fill="FFFFFF"/>
        </w:rPr>
        <w:t xml:space="preserve">Ak z dôvodu </w:t>
      </w:r>
      <w:r w:rsidR="004501A6">
        <w:rPr>
          <w:rFonts w:asciiTheme="majorHAnsi" w:hAnsiTheme="majorHAnsi" w:cstheme="majorHAnsi"/>
          <w:shd w:val="clear" w:color="auto" w:fill="FFFFFF"/>
        </w:rPr>
        <w:t>krízovej situácie</w:t>
      </w:r>
      <w:r w:rsidR="00E82A0C">
        <w:rPr>
          <w:rFonts w:asciiTheme="majorHAnsi" w:hAnsiTheme="majorHAnsi" w:cstheme="majorHAnsi"/>
          <w:shd w:val="clear" w:color="auto" w:fill="FFFFFF"/>
        </w:rPr>
        <w:t xml:space="preserve"> spôsobenej </w:t>
      </w:r>
      <w:r w:rsidRPr="0053555E">
        <w:rPr>
          <w:rFonts w:asciiTheme="majorHAnsi" w:hAnsiTheme="majorHAnsi" w:cstheme="majorHAnsi"/>
          <w:shd w:val="clear" w:color="auto" w:fill="FFFFFF"/>
        </w:rPr>
        <w:t>pandém</w:t>
      </w:r>
      <w:r w:rsidR="00E82A0C">
        <w:rPr>
          <w:rFonts w:asciiTheme="majorHAnsi" w:hAnsiTheme="majorHAnsi" w:cstheme="majorHAnsi"/>
          <w:shd w:val="clear" w:color="auto" w:fill="FFFFFF"/>
        </w:rPr>
        <w:t>iou</w:t>
      </w:r>
      <w:r w:rsidRPr="0053555E">
        <w:rPr>
          <w:rFonts w:asciiTheme="majorHAnsi" w:hAnsiTheme="majorHAnsi" w:cstheme="majorHAnsi"/>
          <w:shd w:val="clear" w:color="auto" w:fill="FFFFFF"/>
        </w:rPr>
        <w:t xml:space="preserve"> COVID-19 nemohol študent </w:t>
      </w:r>
      <w:r w:rsidR="00E82A0C">
        <w:rPr>
          <w:rFonts w:asciiTheme="majorHAnsi" w:hAnsiTheme="majorHAnsi" w:cstheme="majorHAnsi"/>
          <w:shd w:val="clear" w:color="auto" w:fill="FFFFFF"/>
        </w:rPr>
        <w:t xml:space="preserve">v akademickom roku 2021/2022 </w:t>
      </w:r>
      <w:r w:rsidRPr="0053555E">
        <w:rPr>
          <w:rFonts w:asciiTheme="majorHAnsi" w:hAnsiTheme="majorHAnsi" w:cstheme="majorHAnsi"/>
          <w:shd w:val="clear" w:color="auto" w:fill="FFFFFF"/>
        </w:rPr>
        <w:t xml:space="preserve">riadne skončiť štúdium v lehote podľa § 65 ods. 2 zákona o vysokých školách, rektor mohol na odôvodnenú žiadosť študenta mimoriadne predĺžiť </w:t>
      </w:r>
      <w:r w:rsidR="00E82A0C">
        <w:rPr>
          <w:rFonts w:asciiTheme="majorHAnsi" w:hAnsiTheme="majorHAnsi" w:cstheme="majorHAnsi"/>
          <w:shd w:val="clear" w:color="auto" w:fill="FFFFFF"/>
        </w:rPr>
        <w:t xml:space="preserve">jeho </w:t>
      </w:r>
      <w:r w:rsidRPr="0053555E">
        <w:rPr>
          <w:rFonts w:asciiTheme="majorHAnsi" w:hAnsiTheme="majorHAnsi" w:cstheme="majorHAnsi"/>
          <w:shd w:val="clear" w:color="auto" w:fill="FFFFFF"/>
        </w:rPr>
        <w:t xml:space="preserve">štúdium nad rozsah ustanovený zákonom o vysokých školách a určiť študentovi lehotu, o ktorú sa štúdium predĺži v zmysle osobitných ustanovení § 108e zákona o vysokých školách. </w:t>
      </w:r>
    </w:p>
    <w:p w14:paraId="574E258E" w14:textId="73B10DEF" w:rsidR="001D463F" w:rsidRPr="0053555E" w:rsidRDefault="00321A8A" w:rsidP="00324438">
      <w:pPr>
        <w:tabs>
          <w:tab w:val="left" w:pos="9356"/>
        </w:tabs>
        <w:spacing w:after="120"/>
        <w:jc w:val="both"/>
        <w:rPr>
          <w:rFonts w:asciiTheme="majorHAnsi" w:hAnsiTheme="majorHAnsi" w:cstheme="majorHAnsi"/>
          <w:shd w:val="clear" w:color="auto" w:fill="FFFFFF"/>
        </w:rPr>
      </w:pPr>
      <w:r w:rsidRPr="0053555E">
        <w:rPr>
          <w:rFonts w:asciiTheme="majorHAnsi" w:hAnsiTheme="majorHAnsi" w:cstheme="majorHAnsi"/>
          <w:shd w:val="clear" w:color="auto" w:fill="FFFFFF"/>
        </w:rPr>
        <w:t xml:space="preserve">Rektorovi bolo doručených </w:t>
      </w:r>
      <w:r w:rsidR="00775066">
        <w:rPr>
          <w:rFonts w:asciiTheme="majorHAnsi" w:hAnsiTheme="majorHAnsi" w:cstheme="majorHAnsi"/>
          <w:b/>
          <w:shd w:val="clear" w:color="auto" w:fill="FFFFFF"/>
        </w:rPr>
        <w:t>8</w:t>
      </w:r>
      <w:r w:rsidRPr="0053555E">
        <w:rPr>
          <w:rFonts w:asciiTheme="majorHAnsi" w:hAnsiTheme="majorHAnsi" w:cstheme="majorHAnsi"/>
          <w:b/>
          <w:shd w:val="clear" w:color="auto" w:fill="FFFFFF"/>
        </w:rPr>
        <w:t xml:space="preserve"> žiadostí </w:t>
      </w:r>
      <w:r w:rsidRPr="00A44616">
        <w:rPr>
          <w:rFonts w:asciiTheme="majorHAnsi" w:hAnsiTheme="majorHAnsi" w:cstheme="majorHAnsi"/>
          <w:b/>
          <w:shd w:val="clear" w:color="auto" w:fill="FFFFFF"/>
        </w:rPr>
        <w:t>o mimoriadne predĺženie štúdia</w:t>
      </w:r>
      <w:r w:rsidR="00D53B10" w:rsidRPr="00A44616">
        <w:rPr>
          <w:rFonts w:asciiTheme="majorHAnsi" w:hAnsiTheme="majorHAnsi" w:cstheme="majorHAnsi"/>
          <w:b/>
          <w:shd w:val="clear" w:color="auto" w:fill="FFFFFF"/>
        </w:rPr>
        <w:t xml:space="preserve">, </w:t>
      </w:r>
      <w:r w:rsidR="009C1DBD" w:rsidRPr="00A44616">
        <w:rPr>
          <w:rFonts w:asciiTheme="majorHAnsi" w:hAnsiTheme="majorHAnsi" w:cstheme="majorHAnsi"/>
          <w:shd w:val="clear" w:color="auto" w:fill="FFFFFF"/>
        </w:rPr>
        <w:t xml:space="preserve">z toho </w:t>
      </w:r>
      <w:r w:rsidR="002214D4" w:rsidRPr="00A44616">
        <w:rPr>
          <w:rFonts w:asciiTheme="majorHAnsi" w:hAnsiTheme="majorHAnsi" w:cstheme="majorHAnsi"/>
          <w:shd w:val="clear" w:color="auto" w:fill="FFFFFF"/>
        </w:rPr>
        <w:t>7</w:t>
      </w:r>
      <w:r w:rsidR="009C1DBD" w:rsidRPr="00A44616">
        <w:rPr>
          <w:rFonts w:asciiTheme="majorHAnsi" w:hAnsiTheme="majorHAnsi" w:cstheme="majorHAnsi"/>
          <w:shd w:val="clear" w:color="auto" w:fill="FFFFFF"/>
        </w:rPr>
        <w:t xml:space="preserve"> </w:t>
      </w:r>
      <w:r w:rsidR="00954BE1" w:rsidRPr="00A44616">
        <w:rPr>
          <w:rFonts w:asciiTheme="majorHAnsi" w:hAnsiTheme="majorHAnsi" w:cstheme="majorHAnsi"/>
          <w:shd w:val="clear" w:color="auto" w:fill="FFFFFF"/>
        </w:rPr>
        <w:t xml:space="preserve">od študentov </w:t>
      </w:r>
      <w:r w:rsidR="009B3896" w:rsidRPr="00A44616">
        <w:rPr>
          <w:rFonts w:asciiTheme="majorHAnsi" w:hAnsiTheme="majorHAnsi" w:cstheme="majorHAnsi"/>
          <w:shd w:val="clear" w:color="auto" w:fill="FFFFFF"/>
        </w:rPr>
        <w:t>z</w:t>
      </w:r>
      <w:r w:rsidR="009C1DBD" w:rsidRPr="00A44616">
        <w:rPr>
          <w:rFonts w:asciiTheme="majorHAnsi" w:hAnsiTheme="majorHAnsi" w:cstheme="majorHAnsi"/>
          <w:shd w:val="clear" w:color="auto" w:fill="FFFFFF"/>
        </w:rPr>
        <w:t> </w:t>
      </w:r>
      <w:r w:rsidR="009B3896" w:rsidRPr="00A44616">
        <w:rPr>
          <w:rFonts w:asciiTheme="majorHAnsi" w:hAnsiTheme="majorHAnsi" w:cstheme="majorHAnsi"/>
          <w:shd w:val="clear" w:color="auto" w:fill="FFFFFF"/>
        </w:rPr>
        <w:t>FEI</w:t>
      </w:r>
      <w:r w:rsidR="009C1DBD" w:rsidRPr="00A44616">
        <w:rPr>
          <w:rFonts w:asciiTheme="majorHAnsi" w:hAnsiTheme="majorHAnsi" w:cstheme="majorHAnsi"/>
          <w:shd w:val="clear" w:color="auto" w:fill="FFFFFF"/>
        </w:rPr>
        <w:t xml:space="preserve"> a 1 od študenta z MTF</w:t>
      </w:r>
      <w:r w:rsidRPr="00A44616">
        <w:rPr>
          <w:rFonts w:asciiTheme="majorHAnsi" w:hAnsiTheme="majorHAnsi" w:cstheme="majorHAnsi"/>
          <w:shd w:val="clear" w:color="auto" w:fill="FFFFFF"/>
        </w:rPr>
        <w:t xml:space="preserve">. V prípade </w:t>
      </w:r>
      <w:r w:rsidR="00D53B10" w:rsidRPr="00A44616">
        <w:rPr>
          <w:rFonts w:asciiTheme="majorHAnsi" w:hAnsiTheme="majorHAnsi" w:cstheme="majorHAnsi"/>
          <w:shd w:val="clear" w:color="auto" w:fill="FFFFFF"/>
        </w:rPr>
        <w:t>4</w:t>
      </w:r>
      <w:r w:rsidR="00954BE1" w:rsidRPr="00A44616">
        <w:rPr>
          <w:rFonts w:asciiTheme="majorHAnsi" w:hAnsiTheme="majorHAnsi" w:cstheme="majorHAnsi"/>
          <w:shd w:val="clear" w:color="auto" w:fill="FFFFFF"/>
        </w:rPr>
        <w:t> </w:t>
      </w:r>
      <w:r w:rsidRPr="00A44616">
        <w:rPr>
          <w:rFonts w:asciiTheme="majorHAnsi" w:hAnsiTheme="majorHAnsi" w:cstheme="majorHAnsi"/>
          <w:shd w:val="clear" w:color="auto" w:fill="FFFFFF"/>
        </w:rPr>
        <w:t>žiadostí rektor rozhodol o mimoriadnom</w:t>
      </w:r>
      <w:r w:rsidRPr="0053555E">
        <w:rPr>
          <w:rFonts w:asciiTheme="majorHAnsi" w:hAnsiTheme="majorHAnsi" w:cstheme="majorHAnsi"/>
          <w:shd w:val="clear" w:color="auto" w:fill="FFFFFF"/>
        </w:rPr>
        <w:t xml:space="preserve"> predĺžení štúdia o jeden akademický rok</w:t>
      </w:r>
      <w:r w:rsidR="00B0313E">
        <w:rPr>
          <w:rFonts w:asciiTheme="majorHAnsi" w:hAnsiTheme="majorHAnsi" w:cstheme="majorHAnsi"/>
          <w:shd w:val="clear" w:color="auto" w:fill="FFFFFF"/>
        </w:rPr>
        <w:t>.</w:t>
      </w:r>
    </w:p>
    <w:p w14:paraId="6C0396EB" w14:textId="130CF8CA" w:rsidR="001D463F" w:rsidRPr="0053555E" w:rsidRDefault="002B4DCC" w:rsidP="00324438">
      <w:pPr>
        <w:tabs>
          <w:tab w:val="left" w:pos="9356"/>
        </w:tabs>
        <w:spacing w:after="120"/>
        <w:jc w:val="both"/>
        <w:rPr>
          <w:rFonts w:asciiTheme="majorHAnsi" w:hAnsiTheme="majorHAnsi" w:cstheme="majorHAnsi"/>
          <w:shd w:val="clear" w:color="auto" w:fill="FFFFFF"/>
        </w:rPr>
      </w:pPr>
      <w:r>
        <w:rPr>
          <w:rFonts w:asciiTheme="majorHAnsi" w:hAnsiTheme="majorHAnsi" w:cstheme="majorHAnsi"/>
          <w:shd w:val="clear" w:color="auto" w:fill="FFFFFF"/>
        </w:rPr>
        <w:t>Štyri</w:t>
      </w:r>
      <w:r w:rsidR="00D10BCF" w:rsidRPr="0053555E">
        <w:rPr>
          <w:rFonts w:asciiTheme="majorHAnsi" w:hAnsiTheme="majorHAnsi" w:cstheme="majorHAnsi"/>
          <w:shd w:val="clear" w:color="auto" w:fill="FFFFFF"/>
        </w:rPr>
        <w:t xml:space="preserve"> žiados</w:t>
      </w:r>
      <w:r>
        <w:rPr>
          <w:rFonts w:asciiTheme="majorHAnsi" w:hAnsiTheme="majorHAnsi" w:cstheme="majorHAnsi"/>
          <w:shd w:val="clear" w:color="auto" w:fill="FFFFFF"/>
        </w:rPr>
        <w:t>ti</w:t>
      </w:r>
      <w:r w:rsidR="00D10BCF" w:rsidRPr="0053555E">
        <w:rPr>
          <w:rFonts w:asciiTheme="majorHAnsi" w:hAnsiTheme="majorHAnsi" w:cstheme="majorHAnsi"/>
          <w:shd w:val="clear" w:color="auto" w:fill="FFFFFF"/>
        </w:rPr>
        <w:t xml:space="preserve"> </w:t>
      </w:r>
      <w:r w:rsidR="00B1178B" w:rsidRPr="0053555E">
        <w:rPr>
          <w:rFonts w:asciiTheme="majorHAnsi" w:hAnsiTheme="majorHAnsi" w:cstheme="majorHAnsi"/>
          <w:shd w:val="clear" w:color="auto" w:fill="FFFFFF"/>
        </w:rPr>
        <w:t xml:space="preserve">rektor </w:t>
      </w:r>
      <w:r w:rsidR="00D10BCF" w:rsidRPr="0053555E">
        <w:rPr>
          <w:rFonts w:asciiTheme="majorHAnsi" w:hAnsiTheme="majorHAnsi" w:cstheme="majorHAnsi"/>
          <w:shd w:val="clear" w:color="auto" w:fill="FFFFFF"/>
        </w:rPr>
        <w:t xml:space="preserve">zamietol, </w:t>
      </w:r>
      <w:r w:rsidR="004918DC" w:rsidRPr="0053555E">
        <w:rPr>
          <w:rFonts w:asciiTheme="majorHAnsi" w:hAnsiTheme="majorHAnsi" w:cstheme="majorHAnsi"/>
          <w:shd w:val="clear" w:color="auto" w:fill="FFFFFF"/>
        </w:rPr>
        <w:t>pretože dôvody</w:t>
      </w:r>
      <w:r w:rsidR="00D10BCF" w:rsidRPr="0053555E">
        <w:rPr>
          <w:rFonts w:asciiTheme="majorHAnsi" w:hAnsiTheme="majorHAnsi" w:cstheme="majorHAnsi"/>
          <w:shd w:val="clear" w:color="auto" w:fill="FFFFFF"/>
        </w:rPr>
        <w:t xml:space="preserve"> uvedené v žiadosti </w:t>
      </w:r>
      <w:r w:rsidR="004918DC" w:rsidRPr="0053555E">
        <w:rPr>
          <w:rFonts w:asciiTheme="majorHAnsi" w:hAnsiTheme="majorHAnsi" w:cstheme="majorHAnsi"/>
          <w:shd w:val="clear" w:color="auto" w:fill="FFFFFF"/>
        </w:rPr>
        <w:t>nepreukazovali</w:t>
      </w:r>
      <w:r w:rsidR="00D10BCF" w:rsidRPr="0053555E">
        <w:rPr>
          <w:rFonts w:asciiTheme="majorHAnsi" w:hAnsiTheme="majorHAnsi" w:cstheme="majorHAnsi"/>
          <w:shd w:val="clear" w:color="auto" w:fill="FFFFFF"/>
        </w:rPr>
        <w:t xml:space="preserve"> </w:t>
      </w:r>
      <w:r w:rsidR="00B1178B" w:rsidRPr="0053555E">
        <w:rPr>
          <w:rFonts w:asciiTheme="majorHAnsi" w:hAnsiTheme="majorHAnsi" w:cstheme="majorHAnsi"/>
          <w:shd w:val="clear" w:color="auto" w:fill="FFFFFF"/>
        </w:rPr>
        <w:t>súvislosť</w:t>
      </w:r>
      <w:r w:rsidR="004918DC" w:rsidRPr="0053555E">
        <w:rPr>
          <w:rFonts w:asciiTheme="majorHAnsi" w:hAnsiTheme="majorHAnsi" w:cstheme="majorHAnsi"/>
          <w:shd w:val="clear" w:color="auto" w:fill="FFFFFF"/>
        </w:rPr>
        <w:t xml:space="preserve"> s pandémiou </w:t>
      </w:r>
      <w:r w:rsidR="00B1178B" w:rsidRPr="0053555E">
        <w:rPr>
          <w:rFonts w:asciiTheme="majorHAnsi" w:hAnsiTheme="majorHAnsi" w:cstheme="majorHAnsi"/>
          <w:shd w:val="clear" w:color="auto" w:fill="FFFFFF"/>
        </w:rPr>
        <w:t>C</w:t>
      </w:r>
      <w:r w:rsidR="004918DC" w:rsidRPr="0053555E">
        <w:rPr>
          <w:rFonts w:asciiTheme="majorHAnsi" w:hAnsiTheme="majorHAnsi" w:cstheme="majorHAnsi"/>
          <w:shd w:val="clear" w:color="auto" w:fill="FFFFFF"/>
        </w:rPr>
        <w:t>OVID-19</w:t>
      </w:r>
      <w:r w:rsidR="00B1178B" w:rsidRPr="0053555E">
        <w:rPr>
          <w:rFonts w:asciiTheme="majorHAnsi" w:hAnsiTheme="majorHAnsi" w:cstheme="majorHAnsi"/>
          <w:shd w:val="clear" w:color="auto" w:fill="FFFFFF"/>
        </w:rPr>
        <w:t xml:space="preserve">. </w:t>
      </w:r>
    </w:p>
    <w:p w14:paraId="0090CF0D" w14:textId="77777777" w:rsidR="00812AEE" w:rsidRPr="00816F2A" w:rsidRDefault="00812AEE" w:rsidP="00E91B30">
      <w:pPr>
        <w:tabs>
          <w:tab w:val="left" w:pos="9356"/>
        </w:tabs>
        <w:spacing w:after="120"/>
        <w:jc w:val="both"/>
        <w:rPr>
          <w:rFonts w:asciiTheme="majorHAnsi" w:hAnsiTheme="majorHAnsi" w:cstheme="majorHAnsi"/>
          <w:b/>
          <w:shd w:val="clear" w:color="auto" w:fill="FFFFFF"/>
        </w:rPr>
      </w:pPr>
      <w:bookmarkStart w:id="144" w:name="_Ref534484974"/>
      <w:bookmarkStart w:id="145" w:name="_Ref534484964"/>
      <w:r w:rsidRPr="0053555E">
        <w:rPr>
          <w:rFonts w:asciiTheme="majorHAnsi" w:hAnsiTheme="majorHAnsi" w:cstheme="majorHAnsi"/>
          <w:shd w:val="clear" w:color="auto" w:fill="FFFFFF"/>
        </w:rPr>
        <w:t xml:space="preserve">Pozitívne možno vnímať pozíciu STU medzi vysokými školami </w:t>
      </w:r>
      <w:r w:rsidR="00D9083A" w:rsidRPr="0053555E">
        <w:rPr>
          <w:rFonts w:asciiTheme="majorHAnsi" w:hAnsiTheme="majorHAnsi" w:cstheme="majorHAnsi"/>
          <w:shd w:val="clear" w:color="auto" w:fill="FFFFFF"/>
        </w:rPr>
        <w:t>v Slovenskej republike</w:t>
      </w:r>
      <w:r w:rsidRPr="0053555E">
        <w:rPr>
          <w:rFonts w:asciiTheme="majorHAnsi" w:hAnsiTheme="majorHAnsi" w:cstheme="majorHAnsi"/>
          <w:shd w:val="clear" w:color="auto" w:fill="FFFFFF"/>
        </w:rPr>
        <w:t xml:space="preserve"> získanú atraktívnosťou a kvalitou poskytovaného vysokoškolského</w:t>
      </w:r>
      <w:r w:rsidR="0084129D" w:rsidRPr="0053555E">
        <w:rPr>
          <w:rFonts w:asciiTheme="majorHAnsi" w:hAnsiTheme="majorHAnsi" w:cstheme="majorHAnsi"/>
          <w:shd w:val="clear" w:color="auto" w:fill="FFFFFF"/>
        </w:rPr>
        <w:t xml:space="preserve"> vzdelávania. Je to vidieť aj z </w:t>
      </w:r>
      <w:r w:rsidRPr="0053555E">
        <w:rPr>
          <w:rFonts w:asciiTheme="majorHAnsi" w:hAnsiTheme="majorHAnsi" w:cstheme="majorHAnsi"/>
          <w:shd w:val="clear" w:color="auto" w:fill="FFFFFF"/>
        </w:rPr>
        <w:t xml:space="preserve">percenta evidovaných nezamestnaných absolventov vysokých škôl, ktoré si STU udržiava dlhodobo medzi najnižšími v porovnaní s ostatnými verejnými vysokými školami na Slovensku. </w:t>
      </w:r>
      <w:r w:rsidRPr="00816F2A">
        <w:rPr>
          <w:rFonts w:asciiTheme="majorHAnsi" w:hAnsiTheme="majorHAnsi" w:cstheme="majorHAnsi"/>
          <w:b/>
          <w:shd w:val="clear" w:color="auto" w:fill="FFFFFF"/>
        </w:rPr>
        <w:t xml:space="preserve">STU sa radí medzi najúspešnejšie </w:t>
      </w:r>
      <w:r w:rsidR="00B81FB9" w:rsidRPr="00816F2A">
        <w:rPr>
          <w:rFonts w:asciiTheme="majorHAnsi" w:hAnsiTheme="majorHAnsi" w:cstheme="majorHAnsi"/>
          <w:b/>
          <w:shd w:val="clear" w:color="auto" w:fill="FFFFFF"/>
        </w:rPr>
        <w:t>vysoké školy</w:t>
      </w:r>
      <w:r w:rsidRPr="00816F2A">
        <w:rPr>
          <w:rFonts w:asciiTheme="majorHAnsi" w:hAnsiTheme="majorHAnsi" w:cstheme="majorHAnsi"/>
          <w:b/>
          <w:shd w:val="clear" w:color="auto" w:fill="FFFFFF"/>
        </w:rPr>
        <w:t xml:space="preserve"> na Slovensku</w:t>
      </w:r>
      <w:r w:rsidR="00856C2F" w:rsidRPr="00816F2A">
        <w:rPr>
          <w:rFonts w:asciiTheme="majorHAnsi" w:hAnsiTheme="majorHAnsi" w:cstheme="majorHAnsi"/>
          <w:b/>
          <w:shd w:val="clear" w:color="auto" w:fill="FFFFFF"/>
        </w:rPr>
        <w:t>,</w:t>
      </w:r>
      <w:r w:rsidRPr="00816F2A">
        <w:rPr>
          <w:rFonts w:asciiTheme="majorHAnsi" w:hAnsiTheme="majorHAnsi" w:cstheme="majorHAnsi"/>
          <w:b/>
          <w:shd w:val="clear" w:color="auto" w:fill="FFFFFF"/>
        </w:rPr>
        <w:t xml:space="preserve"> čo sa týka uplatniteľnosti absolventov. </w:t>
      </w:r>
    </w:p>
    <w:p w14:paraId="4E63CBA3" w14:textId="703CDA77" w:rsidR="00812AEE" w:rsidRPr="0053555E" w:rsidRDefault="00812AEE" w:rsidP="00324438">
      <w:pPr>
        <w:tabs>
          <w:tab w:val="left" w:pos="9356"/>
        </w:tabs>
        <w:spacing w:after="120"/>
        <w:jc w:val="both"/>
        <w:rPr>
          <w:rFonts w:asciiTheme="majorHAnsi" w:hAnsiTheme="majorHAnsi" w:cstheme="majorHAnsi"/>
          <w:shd w:val="clear" w:color="auto" w:fill="FFFFFF"/>
        </w:rPr>
      </w:pPr>
      <w:r w:rsidRPr="0053555E">
        <w:rPr>
          <w:rFonts w:asciiTheme="majorHAnsi" w:hAnsiTheme="majorHAnsi" w:cstheme="majorHAnsi"/>
          <w:shd w:val="clear" w:color="auto" w:fill="FFFFFF"/>
        </w:rPr>
        <w:t>Percentuálne vyjadrenie počtu nezamestnaných absolventov verejných vysokých škôl v Slovenskej republike v roku 20</w:t>
      </w:r>
      <w:r w:rsidR="003C5885" w:rsidRPr="0053555E">
        <w:rPr>
          <w:rFonts w:asciiTheme="majorHAnsi" w:hAnsiTheme="majorHAnsi" w:cstheme="majorHAnsi"/>
          <w:shd w:val="clear" w:color="auto" w:fill="FFFFFF"/>
        </w:rPr>
        <w:t>2</w:t>
      </w:r>
      <w:r w:rsidR="00E91B30">
        <w:rPr>
          <w:rFonts w:asciiTheme="majorHAnsi" w:hAnsiTheme="majorHAnsi" w:cstheme="majorHAnsi"/>
          <w:shd w:val="clear" w:color="auto" w:fill="FFFFFF"/>
        </w:rPr>
        <w:t>2</w:t>
      </w:r>
      <w:r w:rsidRPr="0053555E">
        <w:rPr>
          <w:rFonts w:asciiTheme="majorHAnsi" w:hAnsiTheme="majorHAnsi" w:cstheme="majorHAnsi"/>
          <w:shd w:val="clear" w:color="auto" w:fill="FFFFFF"/>
        </w:rPr>
        <w:t xml:space="preserve"> uvádza</w:t>
      </w:r>
      <w:r w:rsidR="00241A2C" w:rsidRPr="0053555E">
        <w:rPr>
          <w:rFonts w:asciiTheme="majorHAnsi" w:hAnsiTheme="majorHAnsi" w:cstheme="majorHAnsi"/>
          <w:shd w:val="clear" w:color="auto" w:fill="FFFFFF"/>
        </w:rPr>
        <w:t xml:space="preserve"> </w:t>
      </w:r>
      <w:r w:rsidR="00241A2C" w:rsidRPr="00AB4E85">
        <w:rPr>
          <w:rFonts w:asciiTheme="majorHAnsi" w:hAnsiTheme="majorHAnsi" w:cstheme="majorHAnsi"/>
          <w:shd w:val="clear" w:color="auto" w:fill="FFFFFF"/>
        </w:rPr>
        <w:fldChar w:fldCharType="begin"/>
      </w:r>
      <w:r w:rsidR="00241A2C" w:rsidRPr="00AB4E85">
        <w:rPr>
          <w:rFonts w:asciiTheme="majorHAnsi" w:hAnsiTheme="majorHAnsi" w:cstheme="majorHAnsi"/>
          <w:shd w:val="clear" w:color="auto" w:fill="FFFFFF"/>
        </w:rPr>
        <w:instrText xml:space="preserve"> REF _Ref534932083 \h </w:instrText>
      </w:r>
      <w:r w:rsidR="00324438" w:rsidRPr="00AB4E85">
        <w:rPr>
          <w:rFonts w:asciiTheme="majorHAnsi" w:hAnsiTheme="majorHAnsi" w:cstheme="majorHAnsi"/>
          <w:shd w:val="clear" w:color="auto" w:fill="FFFFFF"/>
        </w:rPr>
        <w:instrText xml:space="preserve"> \* MERGEFORMAT </w:instrText>
      </w:r>
      <w:r w:rsidR="00241A2C" w:rsidRPr="00AB4E85">
        <w:rPr>
          <w:rFonts w:asciiTheme="majorHAnsi" w:hAnsiTheme="majorHAnsi" w:cstheme="majorHAnsi"/>
          <w:shd w:val="clear" w:color="auto" w:fill="FFFFFF"/>
        </w:rPr>
      </w:r>
      <w:r w:rsidR="00241A2C" w:rsidRPr="00AB4E85">
        <w:rPr>
          <w:rFonts w:asciiTheme="majorHAnsi" w:hAnsiTheme="majorHAnsi" w:cstheme="majorHAnsi"/>
          <w:shd w:val="clear" w:color="auto" w:fill="FFFFFF"/>
        </w:rPr>
        <w:fldChar w:fldCharType="separate"/>
      </w:r>
      <w:r w:rsidR="00EE1B59" w:rsidRPr="00AB4E85">
        <w:rPr>
          <w:rFonts w:asciiTheme="majorHAnsi" w:hAnsiTheme="majorHAnsi" w:cstheme="majorHAnsi"/>
          <w:bCs/>
          <w:iCs/>
          <w:lang w:eastAsia="sk-SK"/>
        </w:rPr>
        <w:t xml:space="preserve">Graf č. </w:t>
      </w:r>
      <w:r w:rsidR="00EE1B59" w:rsidRPr="00AB4E85">
        <w:rPr>
          <w:rFonts w:asciiTheme="majorHAnsi" w:hAnsiTheme="majorHAnsi" w:cstheme="majorHAnsi"/>
        </w:rPr>
        <w:t>18</w:t>
      </w:r>
      <w:r w:rsidR="00241A2C" w:rsidRPr="00AB4E85">
        <w:rPr>
          <w:rFonts w:asciiTheme="majorHAnsi" w:hAnsiTheme="majorHAnsi" w:cstheme="majorHAnsi"/>
          <w:shd w:val="clear" w:color="auto" w:fill="FFFFFF"/>
        </w:rPr>
        <w:fldChar w:fldCharType="end"/>
      </w:r>
      <w:r w:rsidRPr="0053555E">
        <w:rPr>
          <w:rFonts w:asciiTheme="majorHAnsi" w:hAnsiTheme="majorHAnsi" w:cstheme="majorHAnsi"/>
          <w:shd w:val="clear" w:color="auto" w:fill="FFFFFF"/>
        </w:rPr>
        <w:t xml:space="preserve">. </w:t>
      </w:r>
    </w:p>
    <w:p w14:paraId="6588029B" w14:textId="1C701EF2" w:rsidR="0057444B" w:rsidRPr="0053555E" w:rsidRDefault="0057444B" w:rsidP="000E3322">
      <w:pPr>
        <w:pStyle w:val="Popis"/>
      </w:pPr>
      <w:bookmarkStart w:id="146" w:name="_Ref534932083"/>
      <w:bookmarkStart w:id="147" w:name="_Ref534932073"/>
      <w:bookmarkStart w:id="148" w:name="_Toc127593346"/>
      <w:r w:rsidRPr="0053555E">
        <w:lastRenderedPageBreak/>
        <w:t xml:space="preserve">Graf č. </w:t>
      </w:r>
      <w:r w:rsidR="007B5953">
        <w:fldChar w:fldCharType="begin"/>
      </w:r>
      <w:r w:rsidR="007B5953">
        <w:instrText xml:space="preserve"> SEQ Graf_č. \* ARABIC </w:instrText>
      </w:r>
      <w:r w:rsidR="007B5953">
        <w:fldChar w:fldCharType="separate"/>
      </w:r>
      <w:r w:rsidR="00EE1B59">
        <w:rPr>
          <w:noProof/>
        </w:rPr>
        <w:t>18</w:t>
      </w:r>
      <w:r w:rsidR="007B5953">
        <w:rPr>
          <w:noProof/>
        </w:rPr>
        <w:fldChar w:fldCharType="end"/>
      </w:r>
      <w:bookmarkEnd w:id="144"/>
      <w:bookmarkEnd w:id="146"/>
      <w:r w:rsidRPr="0053555E">
        <w:t xml:space="preserve">: </w:t>
      </w:r>
      <w:r w:rsidR="00764AD2" w:rsidRPr="0053555E">
        <w:t>Percentuálne vyjadrenie počtu nezamestnaných abso</w:t>
      </w:r>
      <w:r w:rsidR="00A1796C" w:rsidRPr="0053555E">
        <w:t>lventov verejných vysokých škôl v SR </w:t>
      </w:r>
      <w:r w:rsidR="00764AD2" w:rsidRPr="0053555E">
        <w:t>v roku 20</w:t>
      </w:r>
      <w:bookmarkEnd w:id="145"/>
      <w:bookmarkEnd w:id="147"/>
      <w:r w:rsidR="003C5885" w:rsidRPr="0053555E">
        <w:t>2</w:t>
      </w:r>
      <w:r w:rsidR="002C6759" w:rsidRPr="0053555E">
        <w:t>2</w:t>
      </w:r>
      <w:bookmarkEnd w:id="148"/>
    </w:p>
    <w:p w14:paraId="6F4D6AD4" w14:textId="68D68973" w:rsidR="002C6759" w:rsidRPr="0053555E" w:rsidRDefault="002C6759" w:rsidP="002C6759">
      <w:pPr>
        <w:jc w:val="center"/>
      </w:pPr>
      <w:r w:rsidRPr="0053555E">
        <w:rPr>
          <w:noProof/>
          <w:lang w:eastAsia="sk-SK"/>
        </w:rPr>
        <w:drawing>
          <wp:inline distT="0" distB="0" distL="0" distR="0" wp14:anchorId="0963FFC9" wp14:editId="29246D43">
            <wp:extent cx="5926347" cy="2786332"/>
            <wp:effectExtent l="0" t="0" r="0" b="0"/>
            <wp:docPr id="38" name="Graf 38">
              <a:extLst xmlns:a="http://schemas.openxmlformats.org/drawingml/2006/main">
                <a:ext uri="{FF2B5EF4-FFF2-40B4-BE49-F238E27FC236}">
                  <a16:creationId xmlns:a16="http://schemas.microsoft.com/office/drawing/2014/main" id="{00000000-0008-0000-2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59C691B" w14:textId="77777777" w:rsidR="00133709" w:rsidRPr="0053555E" w:rsidRDefault="00133709" w:rsidP="00324438">
      <w:pPr>
        <w:tabs>
          <w:tab w:val="left" w:pos="9356"/>
        </w:tabs>
        <w:jc w:val="both"/>
        <w:rPr>
          <w:rFonts w:asciiTheme="majorHAnsi" w:hAnsiTheme="majorHAnsi" w:cstheme="majorHAnsi"/>
          <w:bCs/>
          <w:iCs/>
          <w:sz w:val="20"/>
          <w:szCs w:val="20"/>
          <w:lang w:eastAsia="sk-SK"/>
        </w:rPr>
      </w:pPr>
      <w:r w:rsidRPr="0053555E">
        <w:rPr>
          <w:rFonts w:asciiTheme="majorHAnsi" w:hAnsiTheme="majorHAnsi" w:cstheme="majorHAnsi"/>
          <w:bCs/>
          <w:iCs/>
          <w:sz w:val="20"/>
          <w:szCs w:val="20"/>
          <w:lang w:eastAsia="sk-SK"/>
        </w:rPr>
        <w:t>Vysvetlivky:</w:t>
      </w:r>
    </w:p>
    <w:p w14:paraId="0C7929D2" w14:textId="6E2144DB" w:rsidR="00EC7CA6" w:rsidRPr="0053555E" w:rsidRDefault="00260590" w:rsidP="001B3D0D">
      <w:pPr>
        <w:tabs>
          <w:tab w:val="left" w:pos="9356"/>
        </w:tabs>
        <w:spacing w:after="80"/>
        <w:jc w:val="both"/>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
          <w:bCs/>
          <w:sz w:val="20"/>
          <w:szCs w:val="20"/>
          <w:lang w:eastAsia="sk-SK"/>
        </w:rPr>
        <w:t xml:space="preserve">% </w:t>
      </w:r>
      <w:r w:rsidR="007116A8" w:rsidRPr="0053555E">
        <w:rPr>
          <w:rFonts w:asciiTheme="majorHAnsi" w:eastAsia="Times New Roman" w:hAnsiTheme="majorHAnsi" w:cstheme="majorHAnsi"/>
          <w:b/>
          <w:bCs/>
          <w:sz w:val="20"/>
          <w:szCs w:val="20"/>
          <w:lang w:eastAsia="sk-SK"/>
        </w:rPr>
        <w:t xml:space="preserve">evidovaných </w:t>
      </w:r>
      <w:r w:rsidR="00BC006C" w:rsidRPr="0053555E">
        <w:rPr>
          <w:rFonts w:asciiTheme="majorHAnsi" w:eastAsia="Times New Roman" w:hAnsiTheme="majorHAnsi" w:cstheme="majorHAnsi"/>
          <w:b/>
          <w:bCs/>
          <w:sz w:val="20"/>
          <w:szCs w:val="20"/>
          <w:lang w:eastAsia="sk-SK"/>
        </w:rPr>
        <w:t>nezamestnaných</w:t>
      </w:r>
      <w:r w:rsidRPr="0053555E">
        <w:rPr>
          <w:rFonts w:asciiTheme="majorHAnsi" w:eastAsia="Times New Roman" w:hAnsiTheme="majorHAnsi" w:cstheme="majorHAnsi"/>
          <w:b/>
          <w:bCs/>
          <w:sz w:val="20"/>
          <w:szCs w:val="20"/>
          <w:lang w:eastAsia="sk-SK"/>
        </w:rPr>
        <w:t xml:space="preserve"> absolventov</w:t>
      </w:r>
      <w:r w:rsidR="001B3D0D" w:rsidRPr="0053555E">
        <w:rPr>
          <w:rFonts w:asciiTheme="majorHAnsi" w:eastAsia="Times New Roman" w:hAnsiTheme="majorHAnsi" w:cstheme="majorHAnsi"/>
          <w:b/>
          <w:bCs/>
          <w:sz w:val="20"/>
          <w:szCs w:val="20"/>
          <w:lang w:eastAsia="sk-SK"/>
        </w:rPr>
        <w:t xml:space="preserve"> VŠ </w:t>
      </w:r>
      <w:r w:rsidR="00F567E6" w:rsidRPr="0053555E">
        <w:rPr>
          <w:rFonts w:asciiTheme="majorHAnsi" w:eastAsia="Times New Roman" w:hAnsiTheme="majorHAnsi" w:cstheme="majorHAnsi"/>
          <w:sz w:val="20"/>
          <w:szCs w:val="20"/>
          <w:lang w:eastAsia="sk-SK"/>
        </w:rPr>
        <w:t>I. a II. stupňa dennej formy štúdia</w:t>
      </w:r>
      <w:r w:rsidR="00F567E6" w:rsidRPr="0053555E">
        <w:rPr>
          <w:rFonts w:asciiTheme="majorHAnsi" w:eastAsia="Times New Roman" w:hAnsiTheme="majorHAnsi" w:cstheme="majorHAnsi"/>
          <w:bCs/>
          <w:sz w:val="20"/>
          <w:szCs w:val="20"/>
          <w:lang w:eastAsia="sk-SK"/>
        </w:rPr>
        <w:t xml:space="preserve"> </w:t>
      </w:r>
      <w:r w:rsidRPr="0053555E">
        <w:rPr>
          <w:rFonts w:asciiTheme="majorHAnsi" w:eastAsia="Times New Roman" w:hAnsiTheme="majorHAnsi" w:cstheme="majorHAnsi"/>
          <w:bCs/>
          <w:sz w:val="20"/>
          <w:szCs w:val="20"/>
          <w:lang w:eastAsia="sk-SK"/>
        </w:rPr>
        <w:t xml:space="preserve">verejných </w:t>
      </w:r>
      <w:r w:rsidR="00E50F3B" w:rsidRPr="0053555E">
        <w:rPr>
          <w:rFonts w:asciiTheme="majorHAnsi" w:eastAsia="Times New Roman" w:hAnsiTheme="majorHAnsi" w:cstheme="majorHAnsi"/>
          <w:bCs/>
          <w:sz w:val="20"/>
          <w:szCs w:val="20"/>
          <w:lang w:eastAsia="sk-SK"/>
        </w:rPr>
        <w:t>vysokých</w:t>
      </w:r>
      <w:r w:rsidRPr="0053555E">
        <w:rPr>
          <w:rFonts w:asciiTheme="majorHAnsi" w:eastAsia="Times New Roman" w:hAnsiTheme="majorHAnsi" w:cstheme="majorHAnsi"/>
          <w:bCs/>
          <w:sz w:val="20"/>
          <w:szCs w:val="20"/>
          <w:lang w:eastAsia="sk-SK"/>
        </w:rPr>
        <w:t xml:space="preserve"> škôl </w:t>
      </w:r>
      <w:r w:rsidR="00BC006C" w:rsidRPr="0053555E">
        <w:rPr>
          <w:rFonts w:asciiTheme="majorHAnsi" w:eastAsia="Times New Roman" w:hAnsiTheme="majorHAnsi" w:cstheme="majorHAnsi"/>
          <w:bCs/>
          <w:sz w:val="20"/>
          <w:szCs w:val="20"/>
          <w:lang w:eastAsia="sk-SK"/>
        </w:rPr>
        <w:t>v</w:t>
      </w:r>
      <w:r w:rsidR="00F25293" w:rsidRPr="0053555E">
        <w:rPr>
          <w:rFonts w:asciiTheme="majorHAnsi" w:eastAsia="Times New Roman" w:hAnsiTheme="majorHAnsi" w:cstheme="majorHAnsi"/>
          <w:bCs/>
          <w:sz w:val="20"/>
          <w:szCs w:val="20"/>
          <w:lang w:eastAsia="sk-SK"/>
        </w:rPr>
        <w:t xml:space="preserve"> Slovenskej republike </w:t>
      </w:r>
      <w:r w:rsidR="00E50F3B" w:rsidRPr="0053555E">
        <w:rPr>
          <w:rFonts w:asciiTheme="majorHAnsi" w:eastAsia="Times New Roman" w:hAnsiTheme="majorHAnsi" w:cstheme="majorHAnsi"/>
          <w:bCs/>
          <w:sz w:val="20"/>
          <w:szCs w:val="20"/>
          <w:lang w:eastAsia="sk-SK"/>
        </w:rPr>
        <w:t xml:space="preserve">z celkového počtu absolventov </w:t>
      </w:r>
      <w:r w:rsidR="007116A8" w:rsidRPr="0053555E">
        <w:rPr>
          <w:rFonts w:asciiTheme="majorHAnsi" w:eastAsia="Times New Roman" w:hAnsiTheme="majorHAnsi" w:cstheme="majorHAnsi"/>
          <w:sz w:val="20"/>
          <w:szCs w:val="20"/>
          <w:lang w:eastAsia="sk-SK"/>
        </w:rPr>
        <w:t xml:space="preserve">I. a II. stupňa dennej formy štúdia </w:t>
      </w:r>
      <w:r w:rsidR="003E4CAE" w:rsidRPr="0053555E">
        <w:rPr>
          <w:rFonts w:asciiTheme="majorHAnsi" w:eastAsia="Times New Roman" w:hAnsiTheme="majorHAnsi" w:cstheme="majorHAnsi"/>
          <w:bCs/>
          <w:sz w:val="20"/>
          <w:szCs w:val="20"/>
          <w:lang w:eastAsia="sk-SK"/>
        </w:rPr>
        <w:t>príslušnej</w:t>
      </w:r>
      <w:r w:rsidR="0029388C" w:rsidRPr="0053555E">
        <w:rPr>
          <w:rFonts w:asciiTheme="majorHAnsi" w:eastAsia="Times New Roman" w:hAnsiTheme="majorHAnsi" w:cstheme="majorHAnsi"/>
          <w:bCs/>
          <w:sz w:val="20"/>
          <w:szCs w:val="20"/>
          <w:lang w:eastAsia="sk-SK"/>
        </w:rPr>
        <w:t xml:space="preserve"> vysokej školy</w:t>
      </w:r>
      <w:r w:rsidR="00903276" w:rsidRPr="0053555E">
        <w:rPr>
          <w:rFonts w:asciiTheme="majorHAnsi" w:eastAsia="Times New Roman" w:hAnsiTheme="majorHAnsi" w:cstheme="majorHAnsi"/>
          <w:bCs/>
          <w:sz w:val="20"/>
          <w:szCs w:val="20"/>
          <w:lang w:eastAsia="sk-SK"/>
        </w:rPr>
        <w:t xml:space="preserve"> </w:t>
      </w:r>
      <w:r w:rsidR="00903276" w:rsidRPr="0053555E">
        <w:rPr>
          <w:rFonts w:asciiTheme="majorHAnsi" w:eastAsia="Times New Roman" w:hAnsiTheme="majorHAnsi" w:cstheme="majorHAnsi"/>
          <w:sz w:val="20"/>
          <w:szCs w:val="20"/>
          <w:lang w:eastAsia="sk-SK"/>
        </w:rPr>
        <w:t>v kalendárnom roku 20</w:t>
      </w:r>
      <w:r w:rsidR="00101D41" w:rsidRPr="0053555E">
        <w:rPr>
          <w:rFonts w:asciiTheme="majorHAnsi" w:eastAsia="Times New Roman" w:hAnsiTheme="majorHAnsi" w:cstheme="majorHAnsi"/>
          <w:sz w:val="20"/>
          <w:szCs w:val="20"/>
          <w:lang w:eastAsia="sk-SK"/>
        </w:rPr>
        <w:t>2</w:t>
      </w:r>
      <w:r w:rsidR="00B8134C">
        <w:rPr>
          <w:rFonts w:asciiTheme="majorHAnsi" w:eastAsia="Times New Roman" w:hAnsiTheme="majorHAnsi" w:cstheme="majorHAnsi"/>
          <w:sz w:val="20"/>
          <w:szCs w:val="20"/>
          <w:lang w:eastAsia="sk-SK"/>
        </w:rPr>
        <w:t>2</w:t>
      </w:r>
    </w:p>
    <w:p w14:paraId="1F461E41" w14:textId="77777777" w:rsidR="005A10E6" w:rsidRPr="0053555E" w:rsidRDefault="00EC7CA6" w:rsidP="001B3D0D">
      <w:pPr>
        <w:tabs>
          <w:tab w:val="left" w:pos="9356"/>
        </w:tabs>
        <w:spacing w:after="80"/>
        <w:jc w:val="both"/>
        <w:rPr>
          <w:rFonts w:asciiTheme="majorHAnsi" w:eastAsia="Times New Roman" w:hAnsiTheme="majorHAnsi" w:cstheme="majorHAnsi"/>
          <w:bCs/>
          <w:sz w:val="20"/>
          <w:szCs w:val="20"/>
          <w:lang w:eastAsia="sk-SK"/>
        </w:rPr>
      </w:pPr>
      <w:r w:rsidRPr="0053555E">
        <w:rPr>
          <w:rFonts w:asciiTheme="majorHAnsi" w:eastAsia="Times New Roman" w:hAnsiTheme="majorHAnsi" w:cstheme="majorHAnsi"/>
          <w:bCs/>
          <w:sz w:val="20"/>
          <w:szCs w:val="20"/>
          <w:lang w:eastAsia="sk-SK"/>
        </w:rPr>
        <w:t xml:space="preserve">Zdroj: </w:t>
      </w:r>
    </w:p>
    <w:p w14:paraId="60036998" w14:textId="6E2FC7E8" w:rsidR="00812AEE" w:rsidRPr="0053555E" w:rsidRDefault="00133709" w:rsidP="001B3D0D">
      <w:pPr>
        <w:tabs>
          <w:tab w:val="left" w:pos="9356"/>
        </w:tabs>
        <w:spacing w:after="80"/>
        <w:jc w:val="both"/>
        <w:rPr>
          <w:rStyle w:val="Hypertextovprepojenie"/>
          <w:rFonts w:asciiTheme="majorHAnsi" w:eastAsia="Times New Roman" w:hAnsiTheme="majorHAnsi" w:cstheme="majorHAnsi"/>
          <w:color w:val="auto"/>
          <w:sz w:val="20"/>
          <w:szCs w:val="20"/>
          <w:lang w:eastAsia="sk-SK"/>
        </w:rPr>
      </w:pPr>
      <w:r w:rsidRPr="0053555E">
        <w:rPr>
          <w:rFonts w:asciiTheme="majorHAnsi" w:eastAsia="Times New Roman" w:hAnsiTheme="majorHAnsi" w:cstheme="majorHAnsi"/>
          <w:b/>
          <w:bCs/>
          <w:sz w:val="20"/>
          <w:szCs w:val="20"/>
          <w:lang w:eastAsia="sk-SK"/>
        </w:rPr>
        <w:t>Počet absolventov</w:t>
      </w:r>
      <w:r w:rsidRPr="0053555E">
        <w:rPr>
          <w:rFonts w:asciiTheme="majorHAnsi" w:eastAsia="Times New Roman" w:hAnsiTheme="majorHAnsi" w:cstheme="majorHAnsi"/>
          <w:sz w:val="20"/>
          <w:szCs w:val="20"/>
          <w:lang w:eastAsia="sk-SK"/>
        </w:rPr>
        <w:t xml:space="preserve"> </w:t>
      </w:r>
      <w:r w:rsidR="001C6E5D" w:rsidRPr="0053555E">
        <w:rPr>
          <w:rFonts w:asciiTheme="majorHAnsi" w:eastAsia="Times New Roman" w:hAnsiTheme="majorHAnsi" w:cstheme="majorHAnsi"/>
          <w:sz w:val="20"/>
          <w:szCs w:val="20"/>
          <w:lang w:eastAsia="sk-SK"/>
        </w:rPr>
        <w:t xml:space="preserve">I. a II. stupňa dennej </w:t>
      </w:r>
      <w:r w:rsidR="005B6566" w:rsidRPr="0053555E">
        <w:rPr>
          <w:rFonts w:asciiTheme="majorHAnsi" w:eastAsia="Times New Roman" w:hAnsiTheme="majorHAnsi" w:cstheme="majorHAnsi"/>
          <w:sz w:val="20"/>
          <w:szCs w:val="20"/>
          <w:lang w:eastAsia="sk-SK"/>
        </w:rPr>
        <w:t>for</w:t>
      </w:r>
      <w:r w:rsidR="001C6E5D" w:rsidRPr="0053555E">
        <w:rPr>
          <w:rFonts w:asciiTheme="majorHAnsi" w:eastAsia="Times New Roman" w:hAnsiTheme="majorHAnsi" w:cstheme="majorHAnsi"/>
          <w:sz w:val="20"/>
          <w:szCs w:val="20"/>
          <w:lang w:eastAsia="sk-SK"/>
        </w:rPr>
        <w:t>my</w:t>
      </w:r>
      <w:r w:rsidR="00301355" w:rsidRPr="0053555E">
        <w:rPr>
          <w:rFonts w:asciiTheme="majorHAnsi" w:eastAsia="Times New Roman" w:hAnsiTheme="majorHAnsi" w:cstheme="majorHAnsi"/>
          <w:sz w:val="20"/>
          <w:szCs w:val="20"/>
          <w:lang w:eastAsia="sk-SK"/>
        </w:rPr>
        <w:t xml:space="preserve"> štúdia</w:t>
      </w:r>
      <w:r w:rsidR="001C6E5D" w:rsidRPr="0053555E">
        <w:rPr>
          <w:rFonts w:asciiTheme="majorHAnsi" w:eastAsia="Times New Roman" w:hAnsiTheme="majorHAnsi" w:cstheme="majorHAnsi"/>
          <w:sz w:val="20"/>
          <w:szCs w:val="20"/>
          <w:lang w:eastAsia="sk-SK"/>
        </w:rPr>
        <w:t xml:space="preserve"> </w:t>
      </w:r>
      <w:r w:rsidR="001B1E0A" w:rsidRPr="0053555E">
        <w:rPr>
          <w:rFonts w:asciiTheme="majorHAnsi" w:eastAsia="Times New Roman" w:hAnsiTheme="majorHAnsi" w:cstheme="majorHAnsi"/>
          <w:sz w:val="20"/>
          <w:szCs w:val="20"/>
          <w:lang w:eastAsia="sk-SK"/>
        </w:rPr>
        <w:t>za rok 202</w:t>
      </w:r>
      <w:r w:rsidR="00FC5909">
        <w:rPr>
          <w:rFonts w:asciiTheme="majorHAnsi" w:eastAsia="Times New Roman" w:hAnsiTheme="majorHAnsi" w:cstheme="majorHAnsi"/>
          <w:sz w:val="20"/>
          <w:szCs w:val="20"/>
          <w:lang w:eastAsia="sk-SK"/>
        </w:rPr>
        <w:t>2</w:t>
      </w:r>
      <w:r w:rsidR="001B1E0A" w:rsidRPr="0053555E">
        <w:rPr>
          <w:rFonts w:asciiTheme="majorHAnsi" w:eastAsia="Times New Roman" w:hAnsiTheme="majorHAnsi" w:cstheme="majorHAnsi"/>
          <w:sz w:val="20"/>
          <w:szCs w:val="20"/>
          <w:lang w:eastAsia="sk-SK"/>
        </w:rPr>
        <w:t xml:space="preserve"> (</w:t>
      </w:r>
      <w:r w:rsidR="00903276" w:rsidRPr="0053555E">
        <w:rPr>
          <w:rFonts w:asciiTheme="majorHAnsi" w:eastAsia="Times New Roman" w:hAnsiTheme="majorHAnsi" w:cstheme="majorHAnsi"/>
          <w:sz w:val="20"/>
          <w:szCs w:val="20"/>
          <w:lang w:eastAsia="sk-SK"/>
        </w:rPr>
        <w:t xml:space="preserve">k 31. 12. </w:t>
      </w:r>
      <w:r w:rsidR="007A49D5" w:rsidRPr="0053555E">
        <w:rPr>
          <w:rFonts w:asciiTheme="majorHAnsi" w:eastAsia="Times New Roman" w:hAnsiTheme="majorHAnsi" w:cstheme="majorHAnsi"/>
          <w:sz w:val="20"/>
          <w:szCs w:val="20"/>
          <w:lang w:eastAsia="sk-SK"/>
        </w:rPr>
        <w:t>20</w:t>
      </w:r>
      <w:r w:rsidR="001B1E0A" w:rsidRPr="0053555E">
        <w:rPr>
          <w:rFonts w:asciiTheme="majorHAnsi" w:eastAsia="Times New Roman" w:hAnsiTheme="majorHAnsi" w:cstheme="majorHAnsi"/>
          <w:sz w:val="20"/>
          <w:szCs w:val="20"/>
          <w:lang w:eastAsia="sk-SK"/>
        </w:rPr>
        <w:t>2</w:t>
      </w:r>
      <w:r w:rsidR="00FC5909">
        <w:rPr>
          <w:rFonts w:asciiTheme="majorHAnsi" w:eastAsia="Times New Roman" w:hAnsiTheme="majorHAnsi" w:cstheme="majorHAnsi"/>
          <w:sz w:val="20"/>
          <w:szCs w:val="20"/>
          <w:lang w:eastAsia="sk-SK"/>
        </w:rPr>
        <w:t>2</w:t>
      </w:r>
      <w:r w:rsidR="001B1E0A" w:rsidRPr="0053555E">
        <w:rPr>
          <w:rFonts w:asciiTheme="majorHAnsi" w:eastAsia="Times New Roman" w:hAnsiTheme="majorHAnsi" w:cstheme="majorHAnsi"/>
          <w:sz w:val="20"/>
          <w:szCs w:val="20"/>
          <w:lang w:eastAsia="sk-SK"/>
        </w:rPr>
        <w:t>)</w:t>
      </w:r>
      <w:r w:rsidR="00FA541E" w:rsidRPr="0053555E">
        <w:rPr>
          <w:rFonts w:asciiTheme="majorHAnsi" w:eastAsia="Times New Roman" w:hAnsiTheme="majorHAnsi" w:cstheme="majorHAnsi"/>
          <w:sz w:val="20"/>
          <w:szCs w:val="20"/>
          <w:lang w:eastAsia="sk-SK"/>
        </w:rPr>
        <w:t>; CVTI</w:t>
      </w:r>
      <w:r w:rsidR="00AB59E8" w:rsidRPr="0053555E">
        <w:rPr>
          <w:rFonts w:asciiTheme="majorHAnsi" w:eastAsia="Times New Roman" w:hAnsiTheme="majorHAnsi" w:cstheme="majorHAnsi"/>
          <w:sz w:val="20"/>
          <w:szCs w:val="20"/>
          <w:lang w:eastAsia="sk-SK"/>
        </w:rPr>
        <w:t>:</w:t>
      </w:r>
      <w:r w:rsidR="00FA541E" w:rsidRPr="0053555E">
        <w:rPr>
          <w:rFonts w:asciiTheme="majorHAnsi" w:eastAsia="Times New Roman" w:hAnsiTheme="majorHAnsi" w:cstheme="majorHAnsi"/>
          <w:sz w:val="20"/>
          <w:szCs w:val="20"/>
          <w:lang w:eastAsia="sk-SK"/>
        </w:rPr>
        <w:t xml:space="preserve"> </w:t>
      </w:r>
      <w:hyperlink r:id="rId61" w:history="1">
        <w:r w:rsidR="00FC5909" w:rsidRPr="009D051A">
          <w:rPr>
            <w:rStyle w:val="Hypertextovprepojenie"/>
            <w:rFonts w:asciiTheme="majorHAnsi" w:eastAsia="Times New Roman" w:hAnsiTheme="majorHAnsi" w:cstheme="majorHAnsi"/>
            <w:sz w:val="20"/>
            <w:szCs w:val="20"/>
            <w:lang w:eastAsia="sk-SK"/>
          </w:rPr>
          <w:t>http://www.cvtisr.sk/</w:t>
        </w:r>
      </w:hyperlink>
      <w:r w:rsidR="00FC5909">
        <w:rPr>
          <w:rFonts w:asciiTheme="majorHAnsi" w:eastAsia="Times New Roman" w:hAnsiTheme="majorHAnsi" w:cstheme="majorHAnsi"/>
          <w:sz w:val="20"/>
          <w:szCs w:val="20"/>
          <w:lang w:eastAsia="sk-SK"/>
        </w:rPr>
        <w:t xml:space="preserve"> </w:t>
      </w:r>
    </w:p>
    <w:p w14:paraId="7DF6DF15" w14:textId="3A14FB2E" w:rsidR="006072A0" w:rsidRPr="0053555E" w:rsidRDefault="00FA541E" w:rsidP="00324438">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b/>
          <w:bCs/>
          <w:sz w:val="20"/>
          <w:szCs w:val="20"/>
          <w:lang w:eastAsia="sk-SK"/>
        </w:rPr>
        <w:t xml:space="preserve">Počet nezamestnaných </w:t>
      </w:r>
      <w:r w:rsidRPr="0053555E">
        <w:rPr>
          <w:rFonts w:asciiTheme="majorHAnsi" w:eastAsia="Times New Roman" w:hAnsiTheme="majorHAnsi" w:cstheme="majorHAnsi"/>
          <w:sz w:val="20"/>
          <w:szCs w:val="20"/>
          <w:lang w:eastAsia="sk-SK"/>
        </w:rPr>
        <w:t>absolventov</w:t>
      </w:r>
      <w:r w:rsidR="00301355" w:rsidRPr="0053555E">
        <w:rPr>
          <w:rFonts w:asciiTheme="majorHAnsi" w:eastAsia="Times New Roman" w:hAnsiTheme="majorHAnsi" w:cstheme="majorHAnsi"/>
          <w:sz w:val="20"/>
          <w:szCs w:val="20"/>
          <w:lang w:eastAsia="sk-SK"/>
        </w:rPr>
        <w:t xml:space="preserve"> I. a II. stupňa dennej formy štúdia evidovaní 0 až </w:t>
      </w:r>
      <w:r w:rsidR="005D716F">
        <w:rPr>
          <w:rFonts w:asciiTheme="majorHAnsi" w:eastAsia="Times New Roman" w:hAnsiTheme="majorHAnsi" w:cstheme="majorHAnsi"/>
          <w:sz w:val="20"/>
          <w:szCs w:val="20"/>
          <w:lang w:eastAsia="sk-SK"/>
        </w:rPr>
        <w:t>6</w:t>
      </w:r>
      <w:r w:rsidR="00301355" w:rsidRPr="0053555E">
        <w:rPr>
          <w:rFonts w:asciiTheme="majorHAnsi" w:eastAsia="Times New Roman" w:hAnsiTheme="majorHAnsi" w:cstheme="majorHAnsi"/>
          <w:sz w:val="20"/>
          <w:szCs w:val="20"/>
          <w:lang w:eastAsia="sk-SK"/>
        </w:rPr>
        <w:t xml:space="preserve"> mesiacov k </w:t>
      </w:r>
      <w:r w:rsidR="005D716F">
        <w:rPr>
          <w:rFonts w:asciiTheme="majorHAnsi" w:eastAsia="Times New Roman" w:hAnsiTheme="majorHAnsi" w:cstheme="majorHAnsi"/>
          <w:sz w:val="20"/>
          <w:szCs w:val="20"/>
          <w:lang w:eastAsia="sk-SK"/>
        </w:rPr>
        <w:t>septembru</w:t>
      </w:r>
      <w:r w:rsidR="00301355" w:rsidRPr="0053555E">
        <w:rPr>
          <w:rFonts w:asciiTheme="majorHAnsi" w:eastAsia="Times New Roman" w:hAnsiTheme="majorHAnsi" w:cstheme="majorHAnsi"/>
          <w:sz w:val="20"/>
          <w:szCs w:val="20"/>
          <w:lang w:eastAsia="sk-SK"/>
        </w:rPr>
        <w:t xml:space="preserve"> 20</w:t>
      </w:r>
      <w:r w:rsidR="00DA0833" w:rsidRPr="0053555E">
        <w:rPr>
          <w:rFonts w:asciiTheme="majorHAnsi" w:eastAsia="Times New Roman" w:hAnsiTheme="majorHAnsi" w:cstheme="majorHAnsi"/>
          <w:sz w:val="20"/>
          <w:szCs w:val="20"/>
          <w:lang w:eastAsia="sk-SK"/>
        </w:rPr>
        <w:t>2</w:t>
      </w:r>
      <w:r w:rsidR="005D716F">
        <w:rPr>
          <w:rFonts w:asciiTheme="majorHAnsi" w:eastAsia="Times New Roman" w:hAnsiTheme="majorHAnsi" w:cstheme="majorHAnsi"/>
          <w:sz w:val="20"/>
          <w:szCs w:val="20"/>
          <w:lang w:eastAsia="sk-SK"/>
        </w:rPr>
        <w:t>2</w:t>
      </w:r>
      <w:r w:rsidR="006632D7" w:rsidRPr="0053555E">
        <w:rPr>
          <w:rFonts w:asciiTheme="majorHAnsi" w:eastAsia="Times New Roman" w:hAnsiTheme="majorHAnsi" w:cstheme="majorHAnsi"/>
          <w:sz w:val="20"/>
          <w:szCs w:val="20"/>
          <w:lang w:eastAsia="sk-SK"/>
        </w:rPr>
        <w:t>;</w:t>
      </w:r>
      <w:r w:rsidR="007A49D5" w:rsidRPr="0053555E">
        <w:rPr>
          <w:rFonts w:asciiTheme="majorHAnsi" w:eastAsia="Times New Roman" w:hAnsiTheme="majorHAnsi" w:cstheme="majorHAnsi"/>
          <w:sz w:val="20"/>
          <w:szCs w:val="20"/>
          <w:lang w:eastAsia="sk-SK"/>
        </w:rPr>
        <w:t xml:space="preserve"> </w:t>
      </w:r>
      <w:r w:rsidR="00097556" w:rsidRPr="0053555E">
        <w:rPr>
          <w:rFonts w:asciiTheme="majorHAnsi" w:eastAsia="Times New Roman" w:hAnsiTheme="majorHAnsi" w:cstheme="majorHAnsi"/>
          <w:sz w:val="20"/>
          <w:szCs w:val="20"/>
          <w:lang w:eastAsia="sk-SK"/>
        </w:rPr>
        <w:t>Ú</w:t>
      </w:r>
      <w:r w:rsidR="00E77298" w:rsidRPr="0053555E">
        <w:rPr>
          <w:rFonts w:asciiTheme="majorHAnsi" w:eastAsia="Times New Roman" w:hAnsiTheme="majorHAnsi" w:cstheme="majorHAnsi"/>
          <w:sz w:val="20"/>
          <w:szCs w:val="20"/>
          <w:lang w:eastAsia="sk-SK"/>
        </w:rPr>
        <w:t>PSVaR SR</w:t>
      </w:r>
      <w:r w:rsidR="006D3729" w:rsidRPr="0053555E">
        <w:rPr>
          <w:rFonts w:asciiTheme="majorHAnsi" w:eastAsia="Times New Roman" w:hAnsiTheme="majorHAnsi" w:cstheme="majorHAnsi"/>
          <w:sz w:val="20"/>
          <w:szCs w:val="20"/>
          <w:lang w:eastAsia="sk-SK"/>
        </w:rPr>
        <w:t xml:space="preserve"> /</w:t>
      </w:r>
      <w:r w:rsidR="00097556" w:rsidRPr="0053555E">
        <w:rPr>
          <w:rFonts w:asciiTheme="majorHAnsi" w:eastAsia="Times New Roman" w:hAnsiTheme="majorHAnsi" w:cstheme="majorHAnsi"/>
          <w:sz w:val="20"/>
          <w:szCs w:val="20"/>
          <w:lang w:eastAsia="sk-SK"/>
        </w:rPr>
        <w:t xml:space="preserve"> Štatistiky / Nezamestnanosť - absolventi </w:t>
      </w:r>
      <w:r w:rsidR="006D3729" w:rsidRPr="0053555E">
        <w:rPr>
          <w:rFonts w:asciiTheme="majorHAnsi" w:eastAsia="Times New Roman" w:hAnsiTheme="majorHAnsi" w:cstheme="majorHAnsi"/>
          <w:sz w:val="20"/>
          <w:szCs w:val="20"/>
          <w:lang w:eastAsia="sk-SK"/>
        </w:rPr>
        <w:t>–</w:t>
      </w:r>
      <w:r w:rsidR="00097556" w:rsidRPr="0053555E">
        <w:rPr>
          <w:rFonts w:asciiTheme="majorHAnsi" w:eastAsia="Times New Roman" w:hAnsiTheme="majorHAnsi" w:cstheme="majorHAnsi"/>
          <w:sz w:val="20"/>
          <w:szCs w:val="20"/>
          <w:lang w:eastAsia="sk-SK"/>
        </w:rPr>
        <w:t xml:space="preserve"> štatistiky</w:t>
      </w:r>
      <w:r w:rsidR="00AB59E8" w:rsidRPr="0053555E">
        <w:rPr>
          <w:rFonts w:asciiTheme="majorHAnsi" w:eastAsia="Times New Roman" w:hAnsiTheme="majorHAnsi" w:cstheme="majorHAnsi"/>
          <w:sz w:val="20"/>
          <w:szCs w:val="20"/>
          <w:lang w:eastAsia="sk-SK"/>
        </w:rPr>
        <w:t>:</w:t>
      </w:r>
      <w:r w:rsidR="00812AEE" w:rsidRPr="0053555E">
        <w:rPr>
          <w:rFonts w:asciiTheme="majorHAnsi" w:eastAsia="Times New Roman" w:hAnsiTheme="majorHAnsi" w:cstheme="majorHAnsi"/>
          <w:sz w:val="20"/>
          <w:szCs w:val="20"/>
          <w:lang w:eastAsia="sk-SK"/>
        </w:rPr>
        <w:t xml:space="preserve"> </w:t>
      </w:r>
      <w:hyperlink r:id="rId62" w:history="1">
        <w:r w:rsidR="005D716F" w:rsidRPr="009D051A">
          <w:rPr>
            <w:rStyle w:val="Hypertextovprepojenie"/>
            <w:rFonts w:asciiTheme="majorHAnsi" w:eastAsia="Times New Roman" w:hAnsiTheme="majorHAnsi" w:cstheme="majorHAnsi"/>
            <w:sz w:val="20"/>
            <w:szCs w:val="20"/>
            <w:lang w:eastAsia="sk-SK"/>
          </w:rPr>
          <w:t>https://www.upsvr.gov.sk/statistiky/</w:t>
        </w:r>
      </w:hyperlink>
      <w:r w:rsidR="005D716F">
        <w:rPr>
          <w:rFonts w:asciiTheme="majorHAnsi" w:eastAsia="Times New Roman" w:hAnsiTheme="majorHAnsi" w:cstheme="majorHAnsi"/>
          <w:sz w:val="20"/>
          <w:szCs w:val="20"/>
          <w:lang w:eastAsia="sk-SK"/>
        </w:rPr>
        <w:t xml:space="preserve"> </w:t>
      </w:r>
      <w:r w:rsidR="00097556" w:rsidRPr="0053555E">
        <w:rPr>
          <w:rFonts w:asciiTheme="majorHAnsi" w:eastAsia="Times New Roman" w:hAnsiTheme="majorHAnsi" w:cstheme="majorHAnsi"/>
          <w:sz w:val="20"/>
          <w:szCs w:val="20"/>
          <w:lang w:eastAsia="sk-SK"/>
        </w:rPr>
        <w:t xml:space="preserve"> </w:t>
      </w:r>
    </w:p>
    <w:p w14:paraId="02D913EE" w14:textId="77777777" w:rsidR="009020F8" w:rsidRPr="0053555E" w:rsidRDefault="009020F8" w:rsidP="00324438">
      <w:pPr>
        <w:tabs>
          <w:tab w:val="left" w:pos="9356"/>
        </w:tabs>
        <w:jc w:val="both"/>
        <w:rPr>
          <w:rFonts w:asciiTheme="majorHAnsi" w:hAnsiTheme="majorHAnsi" w:cstheme="majorHAnsi"/>
          <w:bCs/>
          <w:iCs/>
          <w:sz w:val="20"/>
          <w:szCs w:val="20"/>
          <w:lang w:eastAsia="sk-SK"/>
        </w:rPr>
      </w:pPr>
    </w:p>
    <w:p w14:paraId="5CDE4922" w14:textId="77777777" w:rsidR="006072A0" w:rsidRPr="0053555E" w:rsidRDefault="006072A0" w:rsidP="00324438">
      <w:pPr>
        <w:tabs>
          <w:tab w:val="left" w:pos="9356"/>
        </w:tabs>
        <w:jc w:val="both"/>
        <w:rPr>
          <w:rFonts w:asciiTheme="majorHAnsi" w:hAnsiTheme="majorHAnsi" w:cstheme="majorHAnsi"/>
          <w:bCs/>
          <w:iCs/>
          <w:sz w:val="20"/>
          <w:szCs w:val="20"/>
          <w:lang w:eastAsia="sk-SK"/>
        </w:rPr>
      </w:pPr>
    </w:p>
    <w:p w14:paraId="56A8759E" w14:textId="578063E0" w:rsidR="00813457" w:rsidRPr="00816F2A" w:rsidRDefault="00816F2A" w:rsidP="00816F2A">
      <w:pPr>
        <w:rPr>
          <w:b/>
          <w:sz w:val="28"/>
          <w:szCs w:val="28"/>
        </w:rPr>
      </w:pPr>
      <w:bookmarkStart w:id="149" w:name="_Prehľad_úspechov,_ktoré"/>
      <w:bookmarkStart w:id="150" w:name="_Údaje_ohľadom_odoberania"/>
      <w:bookmarkStart w:id="151" w:name="_Toc127593229"/>
      <w:bookmarkStart w:id="152" w:name="_Hlk127286697"/>
      <w:bookmarkEnd w:id="149"/>
      <w:bookmarkEnd w:id="150"/>
      <w:r w:rsidRPr="00816F2A">
        <w:rPr>
          <w:b/>
          <w:sz w:val="28"/>
          <w:szCs w:val="28"/>
        </w:rPr>
        <w:t>3.5.1. Údaje o odoberaní</w:t>
      </w:r>
      <w:r w:rsidR="00813457" w:rsidRPr="00816F2A">
        <w:rPr>
          <w:b/>
          <w:sz w:val="28"/>
          <w:szCs w:val="28"/>
        </w:rPr>
        <w:t xml:space="preserve"> vysokoškolských titulov a neplatnosti štátnej skúšky alebo jej časti</w:t>
      </w:r>
      <w:bookmarkEnd w:id="151"/>
    </w:p>
    <w:p w14:paraId="73845FAA" w14:textId="77777777" w:rsidR="00816F2A" w:rsidRPr="00816F2A" w:rsidRDefault="00816F2A" w:rsidP="00816F2A"/>
    <w:bookmarkEnd w:id="152"/>
    <w:p w14:paraId="766CFB5A" w14:textId="77777777" w:rsidR="00B04D31" w:rsidRDefault="00E51439" w:rsidP="00B04D31">
      <w:pPr>
        <w:spacing w:after="120"/>
        <w:jc w:val="both"/>
        <w:rPr>
          <w:rFonts w:asciiTheme="majorHAnsi" w:hAnsiTheme="majorHAnsi" w:cstheme="majorHAnsi"/>
        </w:rPr>
      </w:pPr>
      <w:r w:rsidRPr="0053555E">
        <w:rPr>
          <w:rFonts w:asciiTheme="majorHAnsi" w:hAnsiTheme="majorHAnsi" w:cstheme="majorHAnsi"/>
        </w:rPr>
        <w:t>V</w:t>
      </w:r>
      <w:r w:rsidR="003C1925" w:rsidRPr="0053555E">
        <w:rPr>
          <w:rFonts w:asciiTheme="majorHAnsi" w:hAnsiTheme="majorHAnsi" w:cstheme="majorHAnsi"/>
        </w:rPr>
        <w:t> roku 202</w:t>
      </w:r>
      <w:r w:rsidR="00C242B5">
        <w:rPr>
          <w:rFonts w:asciiTheme="majorHAnsi" w:hAnsiTheme="majorHAnsi" w:cstheme="majorHAnsi"/>
        </w:rPr>
        <w:t>2</w:t>
      </w:r>
      <w:r w:rsidR="003C1925" w:rsidRPr="0053555E">
        <w:rPr>
          <w:rFonts w:asciiTheme="majorHAnsi" w:hAnsiTheme="majorHAnsi" w:cstheme="majorHAnsi"/>
        </w:rPr>
        <w:t xml:space="preserve"> </w:t>
      </w:r>
      <w:r w:rsidRPr="0053555E">
        <w:rPr>
          <w:rFonts w:asciiTheme="majorHAnsi" w:hAnsiTheme="majorHAnsi" w:cstheme="majorHAnsi"/>
          <w:b/>
        </w:rPr>
        <w:t>nebolo na STU vedené žiadne konanie o odňatí titulu</w:t>
      </w:r>
      <w:r w:rsidRPr="0053555E">
        <w:rPr>
          <w:rFonts w:asciiTheme="majorHAnsi" w:hAnsiTheme="majorHAnsi" w:cstheme="majorHAnsi"/>
        </w:rPr>
        <w:t xml:space="preserve">, rektorovi STU </w:t>
      </w:r>
      <w:r w:rsidR="001E1311" w:rsidRPr="0053555E">
        <w:rPr>
          <w:rFonts w:asciiTheme="majorHAnsi" w:hAnsiTheme="majorHAnsi" w:cstheme="majorHAnsi"/>
        </w:rPr>
        <w:t xml:space="preserve">nebol podaný žiadny odôvodnený návrh na začatie konania </w:t>
      </w:r>
      <w:r w:rsidR="00FB7DC5" w:rsidRPr="0053555E">
        <w:rPr>
          <w:rFonts w:asciiTheme="majorHAnsi" w:hAnsiTheme="majorHAnsi" w:cstheme="majorHAnsi"/>
        </w:rPr>
        <w:t xml:space="preserve">o odňatí titulu </w:t>
      </w:r>
      <w:r w:rsidR="001E1311" w:rsidRPr="0053555E">
        <w:rPr>
          <w:rFonts w:asciiTheme="majorHAnsi" w:hAnsiTheme="majorHAnsi" w:cstheme="majorHAnsi"/>
        </w:rPr>
        <w:t xml:space="preserve">ani </w:t>
      </w:r>
      <w:r w:rsidR="00E4516B" w:rsidRPr="0053555E">
        <w:rPr>
          <w:rFonts w:asciiTheme="majorHAnsi" w:hAnsiTheme="majorHAnsi" w:cstheme="majorHAnsi"/>
          <w:b/>
        </w:rPr>
        <w:t xml:space="preserve">žiadna osoba </w:t>
      </w:r>
      <w:r w:rsidR="00FB7DC5" w:rsidRPr="0053555E">
        <w:rPr>
          <w:rFonts w:asciiTheme="majorHAnsi" w:hAnsiTheme="majorHAnsi" w:cstheme="majorHAnsi"/>
          <w:b/>
        </w:rPr>
        <w:t xml:space="preserve">nedoručila </w:t>
      </w:r>
      <w:r w:rsidR="0016224E" w:rsidRPr="0053555E">
        <w:rPr>
          <w:rFonts w:asciiTheme="majorHAnsi" w:hAnsiTheme="majorHAnsi" w:cstheme="majorHAnsi"/>
          <w:b/>
        </w:rPr>
        <w:t xml:space="preserve">písomné </w:t>
      </w:r>
      <w:r w:rsidR="00FB7DC5" w:rsidRPr="0053555E">
        <w:rPr>
          <w:rFonts w:asciiTheme="majorHAnsi" w:hAnsiTheme="majorHAnsi" w:cstheme="majorHAnsi"/>
          <w:b/>
        </w:rPr>
        <w:t>oznámenie o</w:t>
      </w:r>
      <w:r w:rsidR="0042062D" w:rsidRPr="0053555E">
        <w:rPr>
          <w:rFonts w:asciiTheme="majorHAnsi" w:hAnsiTheme="majorHAnsi" w:cstheme="majorHAnsi"/>
          <w:b/>
        </w:rPr>
        <w:t> vzdaní</w:t>
      </w:r>
      <w:r w:rsidR="0042062D" w:rsidRPr="0053555E">
        <w:rPr>
          <w:rFonts w:asciiTheme="majorHAnsi" w:hAnsiTheme="majorHAnsi" w:cstheme="majorHAnsi"/>
        </w:rPr>
        <w:t xml:space="preserve"> </w:t>
      </w:r>
      <w:r w:rsidR="0042062D" w:rsidRPr="0053555E">
        <w:rPr>
          <w:rFonts w:asciiTheme="majorHAnsi" w:hAnsiTheme="majorHAnsi" w:cstheme="majorHAnsi"/>
          <w:b/>
        </w:rPr>
        <w:t>sa akademického titulu</w:t>
      </w:r>
      <w:r w:rsidR="0016224E" w:rsidRPr="0053555E">
        <w:rPr>
          <w:rFonts w:asciiTheme="majorHAnsi" w:hAnsiTheme="majorHAnsi" w:cstheme="majorHAnsi"/>
          <w:b/>
        </w:rPr>
        <w:t xml:space="preserve">, </w:t>
      </w:r>
      <w:r w:rsidR="0042062D" w:rsidRPr="0053555E">
        <w:rPr>
          <w:rFonts w:asciiTheme="majorHAnsi" w:hAnsiTheme="majorHAnsi" w:cstheme="majorHAnsi"/>
          <w:b/>
        </w:rPr>
        <w:t>vedecko-pedagogického titulu alebo umelecko-pedagogického titulu</w:t>
      </w:r>
      <w:r w:rsidR="0016224E" w:rsidRPr="0053555E">
        <w:rPr>
          <w:rFonts w:asciiTheme="majorHAnsi" w:hAnsiTheme="majorHAnsi" w:cstheme="majorHAnsi"/>
        </w:rPr>
        <w:t>.</w:t>
      </w:r>
      <w:bookmarkStart w:id="153" w:name="_Prehľad_úspechov,_ktoré_1"/>
      <w:bookmarkStart w:id="154" w:name="_Ref95465368"/>
      <w:bookmarkStart w:id="155" w:name="_Toc127593230"/>
      <w:bookmarkEnd w:id="153"/>
    </w:p>
    <w:p w14:paraId="38253E7D" w14:textId="77777777" w:rsidR="00B04D31" w:rsidRDefault="00B04D31" w:rsidP="00B04D31">
      <w:pPr>
        <w:spacing w:after="120"/>
        <w:jc w:val="both"/>
        <w:rPr>
          <w:rFonts w:asciiTheme="majorHAnsi" w:hAnsiTheme="majorHAnsi" w:cstheme="majorHAnsi"/>
        </w:rPr>
      </w:pPr>
    </w:p>
    <w:p w14:paraId="27C4D834" w14:textId="50AA810A" w:rsidR="002071AC" w:rsidRPr="00B04D31" w:rsidRDefault="00B04D31" w:rsidP="00B04D31">
      <w:pPr>
        <w:spacing w:after="120"/>
        <w:jc w:val="both"/>
        <w:rPr>
          <w:rFonts w:asciiTheme="majorHAnsi" w:hAnsiTheme="majorHAnsi" w:cstheme="majorHAnsi"/>
        </w:rPr>
      </w:pPr>
      <w:r w:rsidRPr="00B04D31">
        <w:rPr>
          <w:b/>
          <w:sz w:val="28"/>
          <w:szCs w:val="28"/>
        </w:rPr>
        <w:t xml:space="preserve">3.6. </w:t>
      </w:r>
      <w:r w:rsidR="002071AC" w:rsidRPr="00B04D31">
        <w:rPr>
          <w:b/>
          <w:sz w:val="28"/>
          <w:szCs w:val="28"/>
        </w:rPr>
        <w:t>Prehľad úspechov, ktoré dosiahli študenti na národnej a medzinárodnej úrovni</w:t>
      </w:r>
      <w:bookmarkEnd w:id="154"/>
      <w:bookmarkEnd w:id="155"/>
    </w:p>
    <w:p w14:paraId="6620EC61" w14:textId="77777777" w:rsidR="00B04D31" w:rsidRPr="00B04D31" w:rsidRDefault="00B04D31" w:rsidP="00B04D31"/>
    <w:p w14:paraId="45A7129D" w14:textId="00A8A5DD" w:rsidR="00B246EF" w:rsidRPr="0053555E" w:rsidRDefault="002071AC" w:rsidP="00324438">
      <w:pPr>
        <w:tabs>
          <w:tab w:val="right" w:pos="-284"/>
          <w:tab w:val="left" w:pos="9356"/>
        </w:tabs>
        <w:spacing w:after="120"/>
        <w:jc w:val="both"/>
        <w:rPr>
          <w:rFonts w:asciiTheme="majorHAnsi" w:hAnsiTheme="majorHAnsi" w:cstheme="majorHAnsi"/>
        </w:rPr>
      </w:pPr>
      <w:r w:rsidRPr="0053555E">
        <w:rPr>
          <w:rFonts w:asciiTheme="majorHAnsi" w:hAnsiTheme="majorHAnsi" w:cstheme="majorHAnsi"/>
        </w:rPr>
        <w:t>STU umožňuje svojim študentom reprezentovať univerzitu na národnej a</w:t>
      </w:r>
      <w:r w:rsidR="00103566" w:rsidRPr="0053555E">
        <w:rPr>
          <w:rFonts w:asciiTheme="majorHAnsi" w:hAnsiTheme="majorHAnsi" w:cstheme="majorHAnsi"/>
        </w:rPr>
        <w:t>j</w:t>
      </w:r>
      <w:r w:rsidRPr="0053555E">
        <w:rPr>
          <w:rFonts w:asciiTheme="majorHAnsi" w:hAnsiTheme="majorHAnsi" w:cstheme="majorHAnsi"/>
        </w:rPr>
        <w:t> medzinárodnej úrovni, najmä na odborných súťažiach organizovaných inštitúciami, ktoré súvisia s profesijným profilom študijných programov univerzity. Účasť a úspešnosť študentov v súťažiach je jednou z</w:t>
      </w:r>
      <w:r w:rsidR="006323F8" w:rsidRPr="0053555E">
        <w:rPr>
          <w:rFonts w:asciiTheme="majorHAnsi" w:hAnsiTheme="majorHAnsi" w:cstheme="majorHAnsi"/>
        </w:rPr>
        <w:t> </w:t>
      </w:r>
      <w:r w:rsidRPr="0053555E">
        <w:rPr>
          <w:rFonts w:asciiTheme="majorHAnsi" w:hAnsiTheme="majorHAnsi" w:cstheme="majorHAnsi"/>
        </w:rPr>
        <w:t xml:space="preserve">najefektívnejších foriem propagácie kvality </w:t>
      </w:r>
      <w:r w:rsidR="008F07CF" w:rsidRPr="0053555E">
        <w:rPr>
          <w:rFonts w:asciiTheme="majorHAnsi" w:hAnsiTheme="majorHAnsi" w:cstheme="majorHAnsi"/>
        </w:rPr>
        <w:t xml:space="preserve">poskytovaného </w:t>
      </w:r>
      <w:r w:rsidR="00074EFF">
        <w:rPr>
          <w:rFonts w:asciiTheme="majorHAnsi" w:hAnsiTheme="majorHAnsi" w:cstheme="majorHAnsi"/>
        </w:rPr>
        <w:t xml:space="preserve">vysokoškolského </w:t>
      </w:r>
      <w:r w:rsidRPr="0053555E">
        <w:rPr>
          <w:rFonts w:asciiTheme="majorHAnsi" w:hAnsiTheme="majorHAnsi" w:cstheme="majorHAnsi"/>
        </w:rPr>
        <w:t>vzdelávania v od</w:t>
      </w:r>
      <w:r w:rsidR="006323F8" w:rsidRPr="0053555E">
        <w:rPr>
          <w:rFonts w:asciiTheme="majorHAnsi" w:hAnsiTheme="majorHAnsi" w:cstheme="majorHAnsi"/>
        </w:rPr>
        <w:t>bornej a profesijnej komunite</w:t>
      </w:r>
      <w:r w:rsidR="00353AA7" w:rsidRPr="0053555E">
        <w:rPr>
          <w:rFonts w:asciiTheme="majorHAnsi" w:hAnsiTheme="majorHAnsi" w:cstheme="majorHAnsi"/>
        </w:rPr>
        <w:t>.</w:t>
      </w:r>
      <w:r w:rsidR="006323F8" w:rsidRPr="0053555E">
        <w:rPr>
          <w:rFonts w:asciiTheme="majorHAnsi" w:hAnsiTheme="majorHAnsi" w:cstheme="majorHAnsi"/>
        </w:rPr>
        <w:t xml:space="preserve"> </w:t>
      </w:r>
    </w:p>
    <w:p w14:paraId="3581F511" w14:textId="09DA4769" w:rsidR="002071AC" w:rsidRPr="0053555E" w:rsidRDefault="002071AC" w:rsidP="00CC0E84">
      <w:pPr>
        <w:tabs>
          <w:tab w:val="left" w:pos="9356"/>
        </w:tabs>
        <w:spacing w:after="120"/>
        <w:jc w:val="both"/>
        <w:rPr>
          <w:rFonts w:asciiTheme="majorHAnsi" w:hAnsiTheme="majorHAnsi" w:cstheme="majorHAnsi"/>
          <w:b/>
        </w:rPr>
      </w:pPr>
      <w:r w:rsidRPr="0053555E">
        <w:rPr>
          <w:rFonts w:asciiTheme="majorHAnsi" w:hAnsiTheme="majorHAnsi" w:cstheme="majorHAnsi"/>
        </w:rPr>
        <w:t>V </w:t>
      </w:r>
      <w:r w:rsidR="00671EEF" w:rsidRPr="00AB4E85">
        <w:rPr>
          <w:rFonts w:asciiTheme="majorHAnsi" w:hAnsiTheme="majorHAnsi" w:cstheme="majorHAnsi"/>
        </w:rPr>
        <w:fldChar w:fldCharType="begin"/>
      </w:r>
      <w:r w:rsidR="00671EEF" w:rsidRPr="00AB4E85">
        <w:rPr>
          <w:rFonts w:asciiTheme="majorHAnsi" w:hAnsiTheme="majorHAnsi" w:cstheme="majorHAnsi"/>
        </w:rPr>
        <w:instrText xml:space="preserve"> REF _Ref31718523 \h </w:instrText>
      </w:r>
      <w:r w:rsidR="00144566" w:rsidRPr="00AB4E85">
        <w:rPr>
          <w:rFonts w:asciiTheme="majorHAnsi" w:hAnsiTheme="majorHAnsi" w:cstheme="majorHAnsi"/>
        </w:rPr>
        <w:instrText xml:space="preserve"> \* MERGEFORMAT </w:instrText>
      </w:r>
      <w:r w:rsidR="00671EEF" w:rsidRPr="00AB4E85">
        <w:rPr>
          <w:rFonts w:asciiTheme="majorHAnsi" w:hAnsiTheme="majorHAnsi" w:cstheme="majorHAnsi"/>
        </w:rPr>
      </w:r>
      <w:r w:rsidR="00671EEF" w:rsidRPr="00AB4E85">
        <w:rPr>
          <w:rFonts w:asciiTheme="majorHAnsi" w:hAnsiTheme="majorHAnsi" w:cstheme="majorHAnsi"/>
        </w:rPr>
        <w:fldChar w:fldCharType="separate"/>
      </w:r>
      <w:r w:rsidR="00EE1B59" w:rsidRPr="00AB4E85">
        <w:rPr>
          <w:rFonts w:asciiTheme="majorHAnsi" w:hAnsiTheme="majorHAnsi" w:cstheme="majorHAnsi"/>
        </w:rPr>
        <w:t>Tab. č. 34</w:t>
      </w:r>
      <w:r w:rsidR="00671EEF" w:rsidRPr="00AB4E85">
        <w:rPr>
          <w:rFonts w:asciiTheme="majorHAnsi" w:hAnsiTheme="majorHAnsi" w:cstheme="majorHAnsi"/>
        </w:rPr>
        <w:fldChar w:fldCharType="end"/>
      </w:r>
      <w:r w:rsidR="00AB4E85">
        <w:rPr>
          <w:rFonts w:asciiTheme="majorHAnsi" w:hAnsiTheme="majorHAnsi" w:cstheme="majorHAnsi"/>
        </w:rPr>
        <w:t xml:space="preserve"> a</w:t>
      </w:r>
      <w:r w:rsidR="00E52CF5" w:rsidRPr="00AB4E85">
        <w:rPr>
          <w:rFonts w:asciiTheme="majorHAnsi" w:hAnsiTheme="majorHAnsi" w:cstheme="majorHAnsi"/>
        </w:rPr>
        <w:t> </w:t>
      </w:r>
      <w:r w:rsidR="00671EEF" w:rsidRPr="00AB4E85">
        <w:rPr>
          <w:rFonts w:asciiTheme="majorHAnsi" w:hAnsiTheme="majorHAnsi" w:cstheme="majorHAnsi"/>
        </w:rPr>
        <w:fldChar w:fldCharType="begin"/>
      </w:r>
      <w:r w:rsidR="00671EEF" w:rsidRPr="00AB4E85">
        <w:rPr>
          <w:rFonts w:asciiTheme="majorHAnsi" w:hAnsiTheme="majorHAnsi" w:cstheme="majorHAnsi"/>
        </w:rPr>
        <w:instrText xml:space="preserve"> REF _Ref31718589 \h </w:instrText>
      </w:r>
      <w:r w:rsidR="00144566" w:rsidRPr="00AB4E85">
        <w:rPr>
          <w:rFonts w:asciiTheme="majorHAnsi" w:hAnsiTheme="majorHAnsi" w:cstheme="majorHAnsi"/>
        </w:rPr>
        <w:instrText xml:space="preserve"> \* MERGEFORMAT </w:instrText>
      </w:r>
      <w:r w:rsidR="00671EEF" w:rsidRPr="00AB4E85">
        <w:rPr>
          <w:rFonts w:asciiTheme="majorHAnsi" w:hAnsiTheme="majorHAnsi" w:cstheme="majorHAnsi"/>
        </w:rPr>
      </w:r>
      <w:r w:rsidR="00671EEF" w:rsidRPr="00AB4E85">
        <w:rPr>
          <w:rFonts w:asciiTheme="majorHAnsi" w:hAnsiTheme="majorHAnsi" w:cstheme="majorHAnsi"/>
        </w:rPr>
        <w:fldChar w:fldCharType="separate"/>
      </w:r>
      <w:r w:rsidR="00EE1B59" w:rsidRPr="00AB4E85">
        <w:rPr>
          <w:rFonts w:asciiTheme="majorHAnsi" w:hAnsiTheme="majorHAnsi" w:cstheme="majorHAnsi"/>
        </w:rPr>
        <w:t>Tab. č. 35</w:t>
      </w:r>
      <w:r w:rsidR="00671EEF" w:rsidRPr="00AB4E85">
        <w:rPr>
          <w:rFonts w:asciiTheme="majorHAnsi" w:hAnsiTheme="majorHAnsi" w:cstheme="majorHAnsi"/>
        </w:rPr>
        <w:fldChar w:fldCharType="end"/>
      </w:r>
      <w:r w:rsidR="000061E2" w:rsidRPr="0053555E">
        <w:rPr>
          <w:rFonts w:asciiTheme="majorHAnsi" w:hAnsiTheme="majorHAnsi" w:cstheme="majorHAnsi"/>
          <w:sz w:val="20"/>
        </w:rPr>
        <w:t xml:space="preserve"> </w:t>
      </w:r>
      <w:r w:rsidRPr="0053555E">
        <w:rPr>
          <w:rFonts w:asciiTheme="majorHAnsi" w:hAnsiTheme="majorHAnsi" w:cstheme="majorHAnsi"/>
        </w:rPr>
        <w:t xml:space="preserve">je uvedený kvantitatívny prehľad najvýznamnejších ocenení, ktoré študenti STU dosiahli </w:t>
      </w:r>
      <w:r w:rsidR="003602FC" w:rsidRPr="0053555E">
        <w:rPr>
          <w:rFonts w:asciiTheme="majorHAnsi" w:hAnsiTheme="majorHAnsi" w:cstheme="majorHAnsi"/>
        </w:rPr>
        <w:t>v priebehu</w:t>
      </w:r>
      <w:r w:rsidRPr="0053555E">
        <w:rPr>
          <w:rFonts w:asciiTheme="majorHAnsi" w:hAnsiTheme="majorHAnsi" w:cstheme="majorHAnsi"/>
        </w:rPr>
        <w:t xml:space="preserve"> akad</w:t>
      </w:r>
      <w:r w:rsidR="003602FC" w:rsidRPr="0053555E">
        <w:rPr>
          <w:rFonts w:asciiTheme="majorHAnsi" w:hAnsiTheme="majorHAnsi" w:cstheme="majorHAnsi"/>
        </w:rPr>
        <w:t>emického</w:t>
      </w:r>
      <w:r w:rsidRPr="0053555E">
        <w:rPr>
          <w:rFonts w:asciiTheme="majorHAnsi" w:hAnsiTheme="majorHAnsi" w:cstheme="majorHAnsi"/>
        </w:rPr>
        <w:t xml:space="preserve"> roka </w:t>
      </w:r>
      <w:r w:rsidR="00EA24BA" w:rsidRPr="0053555E">
        <w:rPr>
          <w:rFonts w:asciiTheme="majorHAnsi" w:hAnsiTheme="majorHAnsi" w:cstheme="majorHAnsi"/>
        </w:rPr>
        <w:t>2021/2022</w:t>
      </w:r>
      <w:r w:rsidRPr="0053555E">
        <w:rPr>
          <w:rFonts w:asciiTheme="majorHAnsi" w:hAnsiTheme="majorHAnsi" w:cstheme="majorHAnsi"/>
        </w:rPr>
        <w:t xml:space="preserve"> </w:t>
      </w:r>
      <w:r w:rsidRPr="0053555E">
        <w:rPr>
          <w:rFonts w:asciiTheme="majorHAnsi" w:hAnsiTheme="majorHAnsi" w:cstheme="majorHAnsi"/>
          <w:b/>
        </w:rPr>
        <w:t xml:space="preserve">(spolu </w:t>
      </w:r>
      <w:r w:rsidR="008B78DB" w:rsidRPr="0053555E">
        <w:rPr>
          <w:rFonts w:asciiTheme="majorHAnsi" w:hAnsiTheme="majorHAnsi" w:cstheme="majorHAnsi"/>
          <w:b/>
        </w:rPr>
        <w:t xml:space="preserve">získali </w:t>
      </w:r>
      <w:r w:rsidR="009B45A3" w:rsidRPr="0053555E">
        <w:rPr>
          <w:rFonts w:asciiTheme="majorHAnsi" w:hAnsiTheme="majorHAnsi" w:cstheme="majorHAnsi"/>
          <w:b/>
        </w:rPr>
        <w:t>1</w:t>
      </w:r>
      <w:r w:rsidR="00997E3B">
        <w:rPr>
          <w:rFonts w:asciiTheme="majorHAnsi" w:hAnsiTheme="majorHAnsi" w:cstheme="majorHAnsi"/>
          <w:b/>
        </w:rPr>
        <w:t>52</w:t>
      </w:r>
      <w:r w:rsidR="006A3A07" w:rsidRPr="0053555E">
        <w:rPr>
          <w:rFonts w:asciiTheme="majorHAnsi" w:hAnsiTheme="majorHAnsi" w:cstheme="majorHAnsi"/>
          <w:b/>
        </w:rPr>
        <w:t xml:space="preserve"> </w:t>
      </w:r>
      <w:r w:rsidR="00366FE6" w:rsidRPr="0053555E">
        <w:rPr>
          <w:rFonts w:asciiTheme="majorHAnsi" w:hAnsiTheme="majorHAnsi" w:cstheme="majorHAnsi"/>
          <w:b/>
        </w:rPr>
        <w:t xml:space="preserve">ocenení </w:t>
      </w:r>
      <w:r w:rsidR="0084129D" w:rsidRPr="0053555E">
        <w:rPr>
          <w:rFonts w:asciiTheme="majorHAnsi" w:hAnsiTheme="majorHAnsi" w:cstheme="majorHAnsi"/>
          <w:b/>
        </w:rPr>
        <w:t>na </w:t>
      </w:r>
      <w:r w:rsidR="007607B5" w:rsidRPr="0053555E">
        <w:rPr>
          <w:rFonts w:asciiTheme="majorHAnsi" w:hAnsiTheme="majorHAnsi" w:cstheme="majorHAnsi"/>
          <w:b/>
        </w:rPr>
        <w:t xml:space="preserve">národnej úrovni </w:t>
      </w:r>
      <w:r w:rsidR="00353AA7" w:rsidRPr="0053555E">
        <w:rPr>
          <w:rFonts w:asciiTheme="majorHAnsi" w:hAnsiTheme="majorHAnsi" w:cstheme="majorHAnsi"/>
          <w:b/>
        </w:rPr>
        <w:t xml:space="preserve">mimo univerzity </w:t>
      </w:r>
      <w:r w:rsidRPr="0053555E">
        <w:rPr>
          <w:rFonts w:asciiTheme="majorHAnsi" w:hAnsiTheme="majorHAnsi" w:cstheme="majorHAnsi"/>
          <w:b/>
        </w:rPr>
        <w:t>a </w:t>
      </w:r>
      <w:r w:rsidR="00AB1462" w:rsidRPr="0053555E">
        <w:rPr>
          <w:rFonts w:asciiTheme="majorHAnsi" w:hAnsiTheme="majorHAnsi" w:cstheme="majorHAnsi"/>
          <w:b/>
        </w:rPr>
        <w:t>2</w:t>
      </w:r>
      <w:r w:rsidR="00172234">
        <w:rPr>
          <w:rFonts w:asciiTheme="majorHAnsi" w:hAnsiTheme="majorHAnsi" w:cstheme="majorHAnsi"/>
          <w:b/>
        </w:rPr>
        <w:t>2</w:t>
      </w:r>
      <w:r w:rsidRPr="0053555E">
        <w:rPr>
          <w:rFonts w:asciiTheme="majorHAnsi" w:hAnsiTheme="majorHAnsi" w:cstheme="majorHAnsi"/>
          <w:b/>
        </w:rPr>
        <w:t xml:space="preserve"> </w:t>
      </w:r>
      <w:r w:rsidR="00DB0898" w:rsidRPr="0053555E">
        <w:rPr>
          <w:rFonts w:asciiTheme="majorHAnsi" w:hAnsiTheme="majorHAnsi" w:cstheme="majorHAnsi"/>
          <w:b/>
        </w:rPr>
        <w:t xml:space="preserve">ocenení </w:t>
      </w:r>
      <w:r w:rsidR="007607B5" w:rsidRPr="0053555E">
        <w:rPr>
          <w:rFonts w:asciiTheme="majorHAnsi" w:hAnsiTheme="majorHAnsi" w:cstheme="majorHAnsi"/>
          <w:b/>
        </w:rPr>
        <w:t>na medzinárodnej úrovni</w:t>
      </w:r>
      <w:r w:rsidR="00351345">
        <w:rPr>
          <w:rFonts w:asciiTheme="majorHAnsi" w:hAnsiTheme="majorHAnsi" w:cstheme="majorHAnsi"/>
          <w:b/>
        </w:rPr>
        <w:t>, z toho 15 v zahraničí</w:t>
      </w:r>
      <w:r w:rsidRPr="0053555E">
        <w:rPr>
          <w:rFonts w:asciiTheme="majorHAnsi" w:hAnsiTheme="majorHAnsi" w:cstheme="majorHAnsi"/>
          <w:b/>
        </w:rPr>
        <w:t>).</w:t>
      </w:r>
    </w:p>
    <w:p w14:paraId="7366B17E" w14:textId="77777777" w:rsidR="00B04D31" w:rsidRDefault="000E2C8E" w:rsidP="00324438">
      <w:pPr>
        <w:tabs>
          <w:tab w:val="left" w:pos="9356"/>
        </w:tabs>
        <w:spacing w:after="80"/>
        <w:jc w:val="both"/>
        <w:rPr>
          <w:rFonts w:asciiTheme="majorHAnsi" w:hAnsiTheme="majorHAnsi" w:cstheme="majorHAnsi"/>
        </w:rPr>
      </w:pPr>
      <w:r w:rsidRPr="0053555E">
        <w:rPr>
          <w:rFonts w:asciiTheme="majorHAnsi" w:hAnsiTheme="majorHAnsi" w:cstheme="majorHAnsi"/>
        </w:rPr>
        <w:lastRenderedPageBreak/>
        <w:t xml:space="preserve">V rámci získaných ocenení sú </w:t>
      </w:r>
      <w:r w:rsidR="003D7658">
        <w:rPr>
          <w:rFonts w:asciiTheme="majorHAnsi" w:hAnsiTheme="majorHAnsi" w:cstheme="majorHAnsi"/>
        </w:rPr>
        <w:t xml:space="preserve">zohľadnené </w:t>
      </w:r>
      <w:r w:rsidR="002071AC" w:rsidRPr="0053555E">
        <w:rPr>
          <w:rFonts w:asciiTheme="majorHAnsi" w:hAnsiTheme="majorHAnsi" w:cstheme="majorHAnsi"/>
        </w:rPr>
        <w:t>úspechy študentov</w:t>
      </w:r>
      <w:r w:rsidR="008510AC" w:rsidRPr="0053555E">
        <w:rPr>
          <w:rFonts w:asciiTheme="majorHAnsi" w:hAnsiTheme="majorHAnsi" w:cstheme="majorHAnsi"/>
        </w:rPr>
        <w:t xml:space="preserve"> jednotlivcov alebo kolektívov</w:t>
      </w:r>
      <w:r w:rsidR="002071AC" w:rsidRPr="0053555E">
        <w:rPr>
          <w:rFonts w:asciiTheme="majorHAnsi" w:hAnsiTheme="majorHAnsi" w:cstheme="majorHAnsi"/>
        </w:rPr>
        <w:t xml:space="preserve">, ktoré vyplývajú z ich </w:t>
      </w:r>
      <w:r w:rsidR="007824B3" w:rsidRPr="0053555E">
        <w:rPr>
          <w:rFonts w:asciiTheme="majorHAnsi" w:hAnsiTheme="majorHAnsi" w:cstheme="majorHAnsi"/>
        </w:rPr>
        <w:t>mimo študijných</w:t>
      </w:r>
      <w:r w:rsidR="002071AC" w:rsidRPr="0053555E">
        <w:rPr>
          <w:rFonts w:asciiTheme="majorHAnsi" w:hAnsiTheme="majorHAnsi" w:cstheme="majorHAnsi"/>
        </w:rPr>
        <w:t xml:space="preserve"> aktivít (šport, kultúra a</w:t>
      </w:r>
      <w:r w:rsidR="00A865CC" w:rsidRPr="0053555E">
        <w:rPr>
          <w:rFonts w:asciiTheme="majorHAnsi" w:hAnsiTheme="majorHAnsi" w:cstheme="majorHAnsi"/>
        </w:rPr>
        <w:t xml:space="preserve"> </w:t>
      </w:r>
      <w:r w:rsidR="002071AC" w:rsidRPr="0053555E">
        <w:rPr>
          <w:rFonts w:asciiTheme="majorHAnsi" w:hAnsiTheme="majorHAnsi" w:cstheme="majorHAnsi"/>
        </w:rPr>
        <w:t xml:space="preserve">pod.). Tieto ocenenia sú vnímané ako </w:t>
      </w:r>
      <w:r w:rsidR="007B5443" w:rsidRPr="0053555E">
        <w:rPr>
          <w:rFonts w:asciiTheme="majorHAnsi" w:hAnsiTheme="majorHAnsi" w:cstheme="majorHAnsi"/>
        </w:rPr>
        <w:t xml:space="preserve">rovnako </w:t>
      </w:r>
      <w:r w:rsidR="002071AC" w:rsidRPr="0053555E">
        <w:rPr>
          <w:rFonts w:asciiTheme="majorHAnsi" w:hAnsiTheme="majorHAnsi" w:cstheme="majorHAnsi"/>
        </w:rPr>
        <w:t xml:space="preserve">dôležité, pretože okrem toho, že študenti reprezentujú </w:t>
      </w:r>
      <w:r w:rsidR="006323F8" w:rsidRPr="0053555E">
        <w:rPr>
          <w:rFonts w:asciiTheme="majorHAnsi" w:hAnsiTheme="majorHAnsi" w:cstheme="majorHAnsi"/>
        </w:rPr>
        <w:t>univerzitu</w:t>
      </w:r>
      <w:r w:rsidR="002071AC" w:rsidRPr="0053555E">
        <w:rPr>
          <w:rFonts w:asciiTheme="majorHAnsi" w:hAnsiTheme="majorHAnsi" w:cstheme="majorHAnsi"/>
        </w:rPr>
        <w:t xml:space="preserve">, </w:t>
      </w:r>
      <w:r w:rsidR="00751F5C" w:rsidRPr="0053555E">
        <w:rPr>
          <w:rFonts w:asciiTheme="majorHAnsi" w:hAnsiTheme="majorHAnsi" w:cstheme="majorHAnsi"/>
        </w:rPr>
        <w:t xml:space="preserve">aktivity </w:t>
      </w:r>
      <w:r w:rsidR="00592849" w:rsidRPr="0053555E">
        <w:rPr>
          <w:rFonts w:asciiTheme="majorHAnsi" w:hAnsiTheme="majorHAnsi" w:cstheme="majorHAnsi"/>
        </w:rPr>
        <w:t>mimo študijn</w:t>
      </w:r>
      <w:r w:rsidR="00751F5C">
        <w:rPr>
          <w:rFonts w:asciiTheme="majorHAnsi" w:hAnsiTheme="majorHAnsi" w:cstheme="majorHAnsi"/>
        </w:rPr>
        <w:t>ých povinností</w:t>
      </w:r>
      <w:r w:rsidR="002071AC" w:rsidRPr="0053555E">
        <w:rPr>
          <w:rFonts w:asciiTheme="majorHAnsi" w:hAnsiTheme="majorHAnsi" w:cstheme="majorHAnsi"/>
        </w:rPr>
        <w:t xml:space="preserve"> prispievajú k celkovému rozvoju osobnosti mladého človeka.</w:t>
      </w:r>
      <w:r w:rsidR="00D9726A" w:rsidRPr="0053555E">
        <w:rPr>
          <w:rFonts w:asciiTheme="majorHAnsi" w:hAnsiTheme="majorHAnsi" w:cstheme="majorHAnsi"/>
        </w:rPr>
        <w:t xml:space="preserve"> </w:t>
      </w:r>
    </w:p>
    <w:p w14:paraId="1FAC95A1" w14:textId="77777777" w:rsidR="00B04D31" w:rsidRDefault="00B04D31" w:rsidP="00324438">
      <w:pPr>
        <w:tabs>
          <w:tab w:val="left" w:pos="9356"/>
        </w:tabs>
        <w:spacing w:after="80"/>
        <w:jc w:val="both"/>
        <w:rPr>
          <w:rFonts w:asciiTheme="majorHAnsi" w:hAnsiTheme="majorHAnsi" w:cstheme="majorHAnsi"/>
        </w:rPr>
      </w:pPr>
    </w:p>
    <w:p w14:paraId="55A35375" w14:textId="7080FE66" w:rsidR="001905FB" w:rsidRPr="0053555E" w:rsidRDefault="00D9726A" w:rsidP="00324438">
      <w:pPr>
        <w:tabs>
          <w:tab w:val="left" w:pos="9356"/>
        </w:tabs>
        <w:spacing w:after="80"/>
        <w:jc w:val="both"/>
        <w:rPr>
          <w:rFonts w:asciiTheme="majorHAnsi" w:hAnsiTheme="majorHAnsi" w:cstheme="majorHAnsi"/>
          <w:sz w:val="18"/>
        </w:rPr>
      </w:pPr>
      <w:r w:rsidRPr="0053555E">
        <w:rPr>
          <w:rFonts w:asciiTheme="majorHAnsi" w:hAnsiTheme="majorHAnsi" w:cstheme="majorHAnsi"/>
        </w:rPr>
        <w:t xml:space="preserve"> </w:t>
      </w:r>
    </w:p>
    <w:p w14:paraId="75C597E0" w14:textId="76BA5D4F" w:rsidR="002071AC" w:rsidRPr="0053555E" w:rsidRDefault="00671EEF" w:rsidP="000E3322">
      <w:pPr>
        <w:pStyle w:val="Popis"/>
      </w:pPr>
      <w:bookmarkStart w:id="156" w:name="_Ref31718523"/>
      <w:bookmarkStart w:id="157" w:name="_Toc127593297"/>
      <w:r w:rsidRPr="0053555E">
        <w:t xml:space="preserve">Tab. č. </w:t>
      </w:r>
      <w:r w:rsidR="007B5953">
        <w:fldChar w:fldCharType="begin"/>
      </w:r>
      <w:r w:rsidR="007B5953">
        <w:instrText xml:space="preserve"> SEQ Tab._č. \* ARABIC </w:instrText>
      </w:r>
      <w:r w:rsidR="007B5953">
        <w:fldChar w:fldCharType="separate"/>
      </w:r>
      <w:r w:rsidR="00EE1B59">
        <w:rPr>
          <w:noProof/>
        </w:rPr>
        <w:t>34</w:t>
      </w:r>
      <w:r w:rsidR="007B5953">
        <w:rPr>
          <w:noProof/>
        </w:rPr>
        <w:fldChar w:fldCharType="end"/>
      </w:r>
      <w:bookmarkEnd w:id="156"/>
      <w:r w:rsidRPr="0053555E">
        <w:t>:</w:t>
      </w:r>
      <w:r w:rsidR="002071AC" w:rsidRPr="0053555E">
        <w:t xml:space="preserve"> </w:t>
      </w:r>
      <w:r w:rsidR="001717F9" w:rsidRPr="0053555E">
        <w:t>O</w:t>
      </w:r>
      <w:r w:rsidR="002071AC" w:rsidRPr="0053555E">
        <w:t>cenen</w:t>
      </w:r>
      <w:r w:rsidR="001717F9" w:rsidRPr="0053555E">
        <w:t>ia</w:t>
      </w:r>
      <w:r w:rsidR="002071AC" w:rsidRPr="0053555E">
        <w:t xml:space="preserve"> </w:t>
      </w:r>
      <w:r w:rsidR="007F768B" w:rsidRPr="0053555E">
        <w:t>študent</w:t>
      </w:r>
      <w:r w:rsidR="008510AC" w:rsidRPr="0053555E">
        <w:t xml:space="preserve">ov </w:t>
      </w:r>
      <w:r w:rsidR="00366FE6" w:rsidRPr="0053555E">
        <w:t xml:space="preserve">jednotlivcov </w:t>
      </w:r>
      <w:r w:rsidR="00C862E8" w:rsidRPr="0053555E">
        <w:t>alebo kolektívov</w:t>
      </w:r>
      <w:r w:rsidR="00F376F2" w:rsidRPr="0053555E">
        <w:t xml:space="preserve"> </w:t>
      </w:r>
      <w:r w:rsidR="008510AC" w:rsidRPr="0053555E">
        <w:t>dosiahnut</w:t>
      </w:r>
      <w:r w:rsidR="00F376F2" w:rsidRPr="0053555E">
        <w:t>é</w:t>
      </w:r>
      <w:r w:rsidR="008510AC" w:rsidRPr="0053555E">
        <w:t xml:space="preserve"> </w:t>
      </w:r>
      <w:r w:rsidR="002071AC" w:rsidRPr="0053555E">
        <w:t xml:space="preserve">mimo univerzity </w:t>
      </w:r>
      <w:r w:rsidR="00C862E8" w:rsidRPr="0053555E">
        <w:t>na </w:t>
      </w:r>
      <w:r w:rsidR="00805BB4" w:rsidRPr="0053555E">
        <w:t>národnej úrovni</w:t>
      </w:r>
      <w:bookmarkEnd w:id="157"/>
    </w:p>
    <w:tbl>
      <w:tblPr>
        <w:tblW w:w="9229" w:type="dxa"/>
        <w:tblInd w:w="-20" w:type="dxa"/>
        <w:tblLayout w:type="fixed"/>
        <w:tblCellMar>
          <w:left w:w="70" w:type="dxa"/>
          <w:right w:w="70" w:type="dxa"/>
        </w:tblCellMar>
        <w:tblLook w:val="04A0" w:firstRow="1" w:lastRow="0" w:firstColumn="1" w:lastColumn="0" w:noHBand="0" w:noVBand="1"/>
      </w:tblPr>
      <w:tblGrid>
        <w:gridCol w:w="4268"/>
        <w:gridCol w:w="566"/>
        <w:gridCol w:w="567"/>
        <w:gridCol w:w="567"/>
        <w:gridCol w:w="709"/>
        <w:gridCol w:w="638"/>
        <w:gridCol w:w="638"/>
        <w:gridCol w:w="638"/>
        <w:gridCol w:w="638"/>
      </w:tblGrid>
      <w:tr w:rsidR="00090327" w:rsidRPr="0053555E" w14:paraId="31BD6EE7" w14:textId="77777777" w:rsidTr="00737317">
        <w:trPr>
          <w:trHeight w:val="255"/>
        </w:trPr>
        <w:tc>
          <w:tcPr>
            <w:tcW w:w="4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8606D8D" w14:textId="77777777" w:rsidR="008206D3" w:rsidRPr="0053555E" w:rsidRDefault="008206D3" w:rsidP="00324438">
            <w:pP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Ocenenia dosiahnuté na národnej úrovni mimo STU</w:t>
            </w:r>
          </w:p>
        </w:tc>
        <w:tc>
          <w:tcPr>
            <w:tcW w:w="566" w:type="dxa"/>
            <w:tcBorders>
              <w:top w:val="single" w:sz="4" w:space="0" w:color="auto"/>
              <w:left w:val="nil"/>
              <w:bottom w:val="single" w:sz="4" w:space="0" w:color="auto"/>
              <w:right w:val="single" w:sz="4" w:space="0" w:color="auto"/>
            </w:tcBorders>
            <w:shd w:val="clear" w:color="auto" w:fill="EEECE1" w:themeFill="background2"/>
            <w:vAlign w:val="center"/>
            <w:hideMark/>
          </w:tcPr>
          <w:p w14:paraId="665799C1" w14:textId="77777777" w:rsidR="008206D3" w:rsidRPr="0053555E" w:rsidRDefault="008206D3" w:rsidP="00324438">
            <w:pPr>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SvF</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hideMark/>
          </w:tcPr>
          <w:p w14:paraId="49B271A8" w14:textId="77777777" w:rsidR="008206D3" w:rsidRPr="0053555E" w:rsidRDefault="008206D3" w:rsidP="00324438">
            <w:pPr>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SjF</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hideMark/>
          </w:tcPr>
          <w:p w14:paraId="5DBF0D20" w14:textId="77777777" w:rsidR="008206D3" w:rsidRPr="0053555E" w:rsidRDefault="008206D3" w:rsidP="00324438">
            <w:pPr>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FEI</w:t>
            </w:r>
          </w:p>
        </w:tc>
        <w:tc>
          <w:tcPr>
            <w:tcW w:w="709" w:type="dxa"/>
            <w:tcBorders>
              <w:top w:val="single" w:sz="4" w:space="0" w:color="auto"/>
              <w:left w:val="nil"/>
              <w:bottom w:val="single" w:sz="4" w:space="0" w:color="auto"/>
              <w:right w:val="nil"/>
            </w:tcBorders>
            <w:shd w:val="clear" w:color="auto" w:fill="EEECE1" w:themeFill="background2"/>
            <w:vAlign w:val="center"/>
            <w:hideMark/>
          </w:tcPr>
          <w:p w14:paraId="05676F54" w14:textId="77777777" w:rsidR="008206D3" w:rsidRPr="0053555E" w:rsidRDefault="008206D3" w:rsidP="00324438">
            <w:pPr>
              <w:ind w:hanging="14"/>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FCHPT</w:t>
            </w:r>
          </w:p>
        </w:tc>
        <w:tc>
          <w:tcPr>
            <w:tcW w:w="63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C268FCD" w14:textId="77777777" w:rsidR="008206D3" w:rsidRPr="0053555E" w:rsidRDefault="009D4BD1" w:rsidP="00324438">
            <w:pPr>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FAD</w:t>
            </w:r>
          </w:p>
        </w:tc>
        <w:tc>
          <w:tcPr>
            <w:tcW w:w="638"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1E67A4B6" w14:textId="77777777" w:rsidR="008206D3" w:rsidRPr="0053555E" w:rsidRDefault="008206D3" w:rsidP="00324438">
            <w:pPr>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MTF</w:t>
            </w:r>
          </w:p>
        </w:tc>
        <w:tc>
          <w:tcPr>
            <w:tcW w:w="638" w:type="dxa"/>
            <w:tcBorders>
              <w:top w:val="single" w:sz="4" w:space="0" w:color="auto"/>
              <w:left w:val="nil"/>
              <w:bottom w:val="single" w:sz="4" w:space="0" w:color="auto"/>
              <w:right w:val="single" w:sz="4" w:space="0" w:color="auto"/>
            </w:tcBorders>
            <w:shd w:val="clear" w:color="auto" w:fill="EEECE1" w:themeFill="background2"/>
            <w:vAlign w:val="center"/>
            <w:hideMark/>
          </w:tcPr>
          <w:p w14:paraId="092689B3" w14:textId="77777777" w:rsidR="008206D3" w:rsidRPr="0053555E" w:rsidRDefault="008206D3" w:rsidP="00324438">
            <w:pPr>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FIIT</w:t>
            </w:r>
          </w:p>
        </w:tc>
        <w:tc>
          <w:tcPr>
            <w:tcW w:w="638"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267D589E" w14:textId="77777777" w:rsidR="008206D3" w:rsidRPr="0053555E" w:rsidRDefault="008206D3" w:rsidP="00324438">
            <w:pPr>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ÚM</w:t>
            </w:r>
          </w:p>
        </w:tc>
      </w:tr>
      <w:tr w:rsidR="00451273" w:rsidRPr="0053555E" w14:paraId="3B43D2DF"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4B547506" w14:textId="25AF752C"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Actemium - ProCS, s.</w:t>
            </w:r>
            <w:r w:rsidR="00C77E2A">
              <w:rPr>
                <w:rFonts w:cs="Calibri"/>
                <w:sz w:val="20"/>
                <w:szCs w:val="20"/>
              </w:rPr>
              <w:t xml:space="preserve"> </w:t>
            </w:r>
            <w:r w:rsidRPr="0053555E">
              <w:rPr>
                <w:rFonts w:cs="Calibri"/>
                <w:sz w:val="20"/>
                <w:szCs w:val="20"/>
              </w:rPr>
              <w:t>r.</w:t>
            </w:r>
            <w:r w:rsidR="00C77E2A">
              <w:rPr>
                <w:rFonts w:cs="Calibri"/>
                <w:sz w:val="20"/>
                <w:szCs w:val="20"/>
              </w:rPr>
              <w:t xml:space="preserve"> </w:t>
            </w:r>
            <w:r w:rsidRPr="0053555E">
              <w:rPr>
                <w:rFonts w:cs="Calibri"/>
                <w:sz w:val="20"/>
                <w:szCs w:val="20"/>
              </w:rPr>
              <w:t>o.</w:t>
            </w:r>
          </w:p>
        </w:tc>
        <w:tc>
          <w:tcPr>
            <w:tcW w:w="566" w:type="dxa"/>
            <w:tcBorders>
              <w:top w:val="nil"/>
              <w:left w:val="nil"/>
              <w:bottom w:val="single" w:sz="4" w:space="0" w:color="auto"/>
              <w:right w:val="single" w:sz="4" w:space="0" w:color="auto"/>
            </w:tcBorders>
            <w:shd w:val="clear" w:color="auto" w:fill="auto"/>
            <w:noWrap/>
            <w:vAlign w:val="center"/>
          </w:tcPr>
          <w:p w14:paraId="021A509C" w14:textId="27A74360"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46931397" w14:textId="1D5D8440"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13635410" w14:textId="54BACD29" w:rsidR="00451273" w:rsidRPr="0053555E" w:rsidRDefault="00451273" w:rsidP="00451273">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649CA9E0" w14:textId="56770F72" w:rsidR="00451273" w:rsidRPr="0053555E" w:rsidRDefault="00451273" w:rsidP="00451273">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692DDBD3" w14:textId="7A1603C9"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F572B9C" w14:textId="0BCAB1DC"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E30C01C" w14:textId="4A71D379"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F46D41A" w14:textId="094F836E" w:rsidR="00451273" w:rsidRPr="0053555E" w:rsidRDefault="00451273" w:rsidP="00451273">
            <w:pPr>
              <w:jc w:val="center"/>
              <w:rPr>
                <w:rFonts w:asciiTheme="majorHAnsi" w:hAnsiTheme="majorHAnsi" w:cstheme="majorHAnsi"/>
                <w:sz w:val="20"/>
                <w:szCs w:val="20"/>
              </w:rPr>
            </w:pPr>
          </w:p>
        </w:tc>
      </w:tr>
      <w:tr w:rsidR="00451273" w:rsidRPr="0053555E" w14:paraId="424342F6"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33FD7E4B" w14:textId="7041F6DC"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Asociácia čistiarenských expertov SR</w:t>
            </w:r>
          </w:p>
        </w:tc>
        <w:tc>
          <w:tcPr>
            <w:tcW w:w="566" w:type="dxa"/>
            <w:tcBorders>
              <w:top w:val="nil"/>
              <w:left w:val="nil"/>
              <w:bottom w:val="single" w:sz="4" w:space="0" w:color="auto"/>
              <w:right w:val="single" w:sz="4" w:space="0" w:color="auto"/>
            </w:tcBorders>
            <w:shd w:val="clear" w:color="auto" w:fill="auto"/>
            <w:noWrap/>
            <w:vAlign w:val="center"/>
          </w:tcPr>
          <w:p w14:paraId="1EE2CF73" w14:textId="7D3C31CD"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7E3D3E33" w14:textId="1547C423"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0E88190D" w14:textId="56D06F39" w:rsidR="00451273" w:rsidRPr="0053555E" w:rsidRDefault="00451273" w:rsidP="00451273">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1635B834" w14:textId="08A73730" w:rsidR="00451273" w:rsidRPr="0053555E" w:rsidRDefault="00451273" w:rsidP="00451273">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25E86A60" w14:textId="3F01D7D7"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045A34A" w14:textId="5C122427"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A96337C" w14:textId="3560C27E"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F420194" w14:textId="399C1F12" w:rsidR="00451273" w:rsidRPr="0053555E" w:rsidRDefault="00451273" w:rsidP="00451273">
            <w:pPr>
              <w:jc w:val="center"/>
              <w:rPr>
                <w:rFonts w:asciiTheme="majorHAnsi" w:hAnsiTheme="majorHAnsi" w:cstheme="majorHAnsi"/>
                <w:sz w:val="20"/>
                <w:szCs w:val="20"/>
              </w:rPr>
            </w:pPr>
          </w:p>
        </w:tc>
      </w:tr>
      <w:tr w:rsidR="00451273" w:rsidRPr="0053555E" w14:paraId="4ABF93BA"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296CBA0D" w14:textId="114277A9"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Aurela Stodolu</w:t>
            </w:r>
          </w:p>
        </w:tc>
        <w:tc>
          <w:tcPr>
            <w:tcW w:w="566" w:type="dxa"/>
            <w:tcBorders>
              <w:top w:val="nil"/>
              <w:left w:val="nil"/>
              <w:bottom w:val="single" w:sz="4" w:space="0" w:color="auto"/>
              <w:right w:val="single" w:sz="4" w:space="0" w:color="auto"/>
            </w:tcBorders>
            <w:shd w:val="clear" w:color="auto" w:fill="auto"/>
            <w:noWrap/>
            <w:vAlign w:val="center"/>
          </w:tcPr>
          <w:p w14:paraId="4B2A40AA" w14:textId="5D65C62A"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2EFF9F96" w14:textId="09A6C1CF"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1F9A1190" w14:textId="4662726B" w:rsidR="00451273" w:rsidRPr="0053555E" w:rsidRDefault="00451273" w:rsidP="00451273">
            <w:pPr>
              <w:jc w:val="center"/>
              <w:rPr>
                <w:rFonts w:asciiTheme="majorHAnsi" w:hAnsiTheme="majorHAnsi" w:cstheme="majorHAnsi"/>
                <w:sz w:val="20"/>
                <w:szCs w:val="20"/>
              </w:rPr>
            </w:pPr>
            <w:r w:rsidRPr="0053555E">
              <w:rPr>
                <w:rFonts w:cs="Calibri"/>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74A09382" w14:textId="4D5A94B8"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F47C608" w14:textId="6239FE26"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0F84F8A7" w14:textId="508039E6"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B43C6AD" w14:textId="685CF06B"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229DAE6" w14:textId="44C22D9E" w:rsidR="00451273" w:rsidRPr="0053555E" w:rsidRDefault="00451273" w:rsidP="00451273">
            <w:pPr>
              <w:jc w:val="center"/>
              <w:rPr>
                <w:rFonts w:asciiTheme="majorHAnsi" w:hAnsiTheme="majorHAnsi" w:cstheme="majorHAnsi"/>
                <w:sz w:val="20"/>
                <w:szCs w:val="20"/>
              </w:rPr>
            </w:pPr>
          </w:p>
        </w:tc>
      </w:tr>
      <w:tr w:rsidR="00451273" w:rsidRPr="0053555E" w14:paraId="12177D73"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32932F3F" w14:textId="4D6E49B8"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československej sekcie IEEE</w:t>
            </w:r>
          </w:p>
        </w:tc>
        <w:tc>
          <w:tcPr>
            <w:tcW w:w="566" w:type="dxa"/>
            <w:tcBorders>
              <w:top w:val="nil"/>
              <w:left w:val="nil"/>
              <w:bottom w:val="single" w:sz="4" w:space="0" w:color="auto"/>
              <w:right w:val="single" w:sz="4" w:space="0" w:color="auto"/>
            </w:tcBorders>
            <w:shd w:val="clear" w:color="auto" w:fill="auto"/>
            <w:noWrap/>
            <w:vAlign w:val="center"/>
          </w:tcPr>
          <w:p w14:paraId="53885435" w14:textId="7BAD6B56"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30136AAB" w14:textId="24701A4B"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73EFEDCC" w14:textId="04A107A5" w:rsidR="00451273" w:rsidRPr="0053555E" w:rsidRDefault="00451273" w:rsidP="00451273">
            <w:pPr>
              <w:jc w:val="center"/>
              <w:rPr>
                <w:rFonts w:asciiTheme="majorHAnsi" w:hAnsiTheme="majorHAnsi" w:cstheme="majorHAnsi"/>
                <w:sz w:val="20"/>
                <w:szCs w:val="20"/>
              </w:rPr>
            </w:pPr>
            <w:r w:rsidRPr="0053555E">
              <w:rPr>
                <w:rFonts w:cs="Calibri"/>
                <w:sz w:val="20"/>
                <w:szCs w:val="20"/>
              </w:rPr>
              <w:t>9</w:t>
            </w:r>
          </w:p>
        </w:tc>
        <w:tc>
          <w:tcPr>
            <w:tcW w:w="709" w:type="dxa"/>
            <w:tcBorders>
              <w:top w:val="nil"/>
              <w:left w:val="nil"/>
              <w:bottom w:val="single" w:sz="4" w:space="0" w:color="auto"/>
              <w:right w:val="single" w:sz="4" w:space="0" w:color="auto"/>
            </w:tcBorders>
            <w:shd w:val="clear" w:color="auto" w:fill="auto"/>
            <w:noWrap/>
            <w:vAlign w:val="center"/>
          </w:tcPr>
          <w:p w14:paraId="5682967B" w14:textId="27082572"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AD3D1C2" w14:textId="48499F91"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B2300F4" w14:textId="2CC2CD45"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8E865AF" w14:textId="2835A334"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691CAA2" w14:textId="65D7F096" w:rsidR="00451273" w:rsidRPr="0053555E" w:rsidRDefault="00451273" w:rsidP="00451273">
            <w:pPr>
              <w:jc w:val="center"/>
              <w:rPr>
                <w:rFonts w:asciiTheme="majorHAnsi" w:hAnsiTheme="majorHAnsi" w:cstheme="majorHAnsi"/>
                <w:sz w:val="20"/>
                <w:szCs w:val="20"/>
              </w:rPr>
            </w:pPr>
          </w:p>
        </w:tc>
      </w:tr>
      <w:tr w:rsidR="00451273" w:rsidRPr="0053555E" w14:paraId="01639202"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2A345B07" w14:textId="0698F503"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HUMUSOFT</w:t>
            </w:r>
          </w:p>
        </w:tc>
        <w:tc>
          <w:tcPr>
            <w:tcW w:w="566" w:type="dxa"/>
            <w:tcBorders>
              <w:top w:val="nil"/>
              <w:left w:val="nil"/>
              <w:bottom w:val="single" w:sz="4" w:space="0" w:color="auto"/>
              <w:right w:val="single" w:sz="4" w:space="0" w:color="auto"/>
            </w:tcBorders>
            <w:shd w:val="clear" w:color="auto" w:fill="auto"/>
            <w:noWrap/>
            <w:vAlign w:val="center"/>
          </w:tcPr>
          <w:p w14:paraId="3594E280" w14:textId="418236A1"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2BC222DD" w14:textId="46FBB602"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51C0545F" w14:textId="5DEB86B2" w:rsidR="00451273" w:rsidRPr="0053555E" w:rsidRDefault="00451273" w:rsidP="00451273">
            <w:pPr>
              <w:jc w:val="center"/>
              <w:rPr>
                <w:rFonts w:asciiTheme="majorHAnsi" w:hAnsiTheme="majorHAnsi" w:cstheme="majorHAnsi"/>
                <w:sz w:val="20"/>
                <w:szCs w:val="20"/>
              </w:rPr>
            </w:pPr>
            <w:r w:rsidRPr="0053555E">
              <w:rPr>
                <w:rFonts w:cs="Calibri"/>
                <w:sz w:val="20"/>
                <w:szCs w:val="20"/>
              </w:rPr>
              <w:t>3</w:t>
            </w:r>
          </w:p>
        </w:tc>
        <w:tc>
          <w:tcPr>
            <w:tcW w:w="709" w:type="dxa"/>
            <w:tcBorders>
              <w:top w:val="nil"/>
              <w:left w:val="nil"/>
              <w:bottom w:val="single" w:sz="4" w:space="0" w:color="auto"/>
              <w:right w:val="single" w:sz="4" w:space="0" w:color="auto"/>
            </w:tcBorders>
            <w:shd w:val="clear" w:color="auto" w:fill="auto"/>
            <w:noWrap/>
            <w:vAlign w:val="center"/>
          </w:tcPr>
          <w:p w14:paraId="5A71A36A" w14:textId="2F9B50AD" w:rsidR="00451273" w:rsidRPr="0053555E" w:rsidRDefault="00451273" w:rsidP="00451273">
            <w:pPr>
              <w:jc w:val="center"/>
              <w:rPr>
                <w:rFonts w:asciiTheme="majorHAnsi" w:hAnsiTheme="majorHAnsi" w:cstheme="majorHAnsi"/>
                <w:sz w:val="20"/>
                <w:szCs w:val="20"/>
              </w:rPr>
            </w:pPr>
            <w:r w:rsidRPr="0053555E">
              <w:rPr>
                <w:rFonts w:cs="Calibri"/>
                <w:sz w:val="20"/>
                <w:szCs w:val="20"/>
              </w:rPr>
              <w:t>2</w:t>
            </w:r>
          </w:p>
        </w:tc>
        <w:tc>
          <w:tcPr>
            <w:tcW w:w="638" w:type="dxa"/>
            <w:tcBorders>
              <w:top w:val="nil"/>
              <w:left w:val="nil"/>
              <w:bottom w:val="single" w:sz="4" w:space="0" w:color="auto"/>
              <w:right w:val="single" w:sz="4" w:space="0" w:color="auto"/>
            </w:tcBorders>
            <w:shd w:val="clear" w:color="auto" w:fill="auto"/>
            <w:noWrap/>
            <w:vAlign w:val="center"/>
          </w:tcPr>
          <w:p w14:paraId="549710B8" w14:textId="2620442F"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2693C4F" w14:textId="6F6F9126"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A3B77E4" w14:textId="543E271E"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67353D3" w14:textId="4B7B4CCD" w:rsidR="00451273" w:rsidRPr="0053555E" w:rsidRDefault="00451273" w:rsidP="00451273">
            <w:pPr>
              <w:jc w:val="center"/>
              <w:rPr>
                <w:rFonts w:asciiTheme="majorHAnsi" w:hAnsiTheme="majorHAnsi" w:cstheme="majorHAnsi"/>
                <w:sz w:val="20"/>
                <w:szCs w:val="20"/>
              </w:rPr>
            </w:pPr>
          </w:p>
        </w:tc>
      </w:tr>
      <w:tr w:rsidR="00451273" w:rsidRPr="0053555E" w14:paraId="7E3E7D88"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63E50DB9" w14:textId="1FC3DB04"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JCI-Slovensko (za inováciu v podnikaní)</w:t>
            </w:r>
          </w:p>
        </w:tc>
        <w:tc>
          <w:tcPr>
            <w:tcW w:w="566" w:type="dxa"/>
            <w:tcBorders>
              <w:top w:val="nil"/>
              <w:left w:val="nil"/>
              <w:bottom w:val="single" w:sz="4" w:space="0" w:color="auto"/>
              <w:right w:val="single" w:sz="4" w:space="0" w:color="auto"/>
            </w:tcBorders>
            <w:shd w:val="clear" w:color="auto" w:fill="auto"/>
            <w:noWrap/>
            <w:vAlign w:val="center"/>
          </w:tcPr>
          <w:p w14:paraId="654C587C" w14:textId="4FC1800F"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3CEB7007" w14:textId="3B769867"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2F35945C" w14:textId="4A453FD0" w:rsidR="00451273" w:rsidRPr="0053555E" w:rsidRDefault="00451273" w:rsidP="00451273">
            <w:pPr>
              <w:jc w:val="center"/>
              <w:rPr>
                <w:rFonts w:asciiTheme="majorHAnsi" w:hAnsiTheme="majorHAnsi" w:cstheme="majorHAnsi"/>
                <w:sz w:val="20"/>
                <w:szCs w:val="20"/>
              </w:rPr>
            </w:pPr>
            <w:r w:rsidRPr="0053555E">
              <w:rPr>
                <w:rFonts w:cs="Calibri"/>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358962C4" w14:textId="7E914EA4"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29ECEC5" w14:textId="169ACF70"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16F460A" w14:textId="173CE7F1"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4DECBD2" w14:textId="616C6A75"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23DF720" w14:textId="3EE48FC6" w:rsidR="00451273" w:rsidRPr="0053555E" w:rsidRDefault="00451273" w:rsidP="00451273">
            <w:pPr>
              <w:jc w:val="center"/>
              <w:rPr>
                <w:rFonts w:asciiTheme="majorHAnsi" w:hAnsiTheme="majorHAnsi" w:cstheme="majorHAnsi"/>
                <w:sz w:val="20"/>
                <w:szCs w:val="20"/>
              </w:rPr>
            </w:pPr>
          </w:p>
        </w:tc>
      </w:tr>
      <w:tr w:rsidR="00451273" w:rsidRPr="0053555E" w14:paraId="422802EF"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3E62D4B9" w14:textId="400262CA"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komory geodetov a kartografov</w:t>
            </w:r>
          </w:p>
        </w:tc>
        <w:tc>
          <w:tcPr>
            <w:tcW w:w="566" w:type="dxa"/>
            <w:tcBorders>
              <w:top w:val="nil"/>
              <w:left w:val="nil"/>
              <w:bottom w:val="single" w:sz="4" w:space="0" w:color="auto"/>
              <w:right w:val="single" w:sz="4" w:space="0" w:color="auto"/>
            </w:tcBorders>
            <w:shd w:val="clear" w:color="auto" w:fill="auto"/>
            <w:noWrap/>
            <w:vAlign w:val="center"/>
          </w:tcPr>
          <w:p w14:paraId="7087A308" w14:textId="3694C4C3" w:rsidR="00451273" w:rsidRPr="0053555E" w:rsidRDefault="00451273" w:rsidP="00451273">
            <w:pPr>
              <w:jc w:val="center"/>
              <w:rPr>
                <w:rFonts w:asciiTheme="majorHAnsi" w:hAnsiTheme="majorHAnsi" w:cstheme="majorHAnsi"/>
                <w:sz w:val="20"/>
                <w:szCs w:val="20"/>
              </w:rPr>
            </w:pPr>
            <w:r w:rsidRPr="0053555E">
              <w:rPr>
                <w:rFonts w:cs="Calibri"/>
                <w:sz w:val="20"/>
                <w:szCs w:val="20"/>
              </w:rPr>
              <w:t>1</w:t>
            </w:r>
          </w:p>
        </w:tc>
        <w:tc>
          <w:tcPr>
            <w:tcW w:w="567" w:type="dxa"/>
            <w:tcBorders>
              <w:top w:val="nil"/>
              <w:left w:val="nil"/>
              <w:bottom w:val="single" w:sz="4" w:space="0" w:color="auto"/>
              <w:right w:val="single" w:sz="4" w:space="0" w:color="auto"/>
            </w:tcBorders>
            <w:shd w:val="clear" w:color="auto" w:fill="auto"/>
            <w:vAlign w:val="center"/>
          </w:tcPr>
          <w:p w14:paraId="1E866457" w14:textId="6D647058"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24C42FF4" w14:textId="598EB38F" w:rsidR="00451273" w:rsidRPr="0053555E" w:rsidRDefault="00451273" w:rsidP="00451273">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vAlign w:val="center"/>
          </w:tcPr>
          <w:p w14:paraId="15706F05" w14:textId="2782EDAE"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155FE251" w14:textId="376885FC"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A7A0C8D" w14:textId="4E128441"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57404FDE" w14:textId="4F997B0D"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944DEE6" w14:textId="4C14A8B8" w:rsidR="00451273" w:rsidRPr="0053555E" w:rsidRDefault="00451273" w:rsidP="00451273">
            <w:pPr>
              <w:jc w:val="center"/>
              <w:rPr>
                <w:rFonts w:asciiTheme="majorHAnsi" w:hAnsiTheme="majorHAnsi" w:cstheme="majorHAnsi"/>
                <w:sz w:val="20"/>
                <w:szCs w:val="20"/>
              </w:rPr>
            </w:pPr>
          </w:p>
        </w:tc>
      </w:tr>
      <w:tr w:rsidR="00451273" w:rsidRPr="0053555E" w14:paraId="631E701D"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14055B73" w14:textId="318E9624"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ministra dopravy a výstavby SR</w:t>
            </w:r>
          </w:p>
        </w:tc>
        <w:tc>
          <w:tcPr>
            <w:tcW w:w="566" w:type="dxa"/>
            <w:tcBorders>
              <w:top w:val="nil"/>
              <w:left w:val="nil"/>
              <w:bottom w:val="single" w:sz="4" w:space="0" w:color="auto"/>
              <w:right w:val="single" w:sz="4" w:space="0" w:color="auto"/>
            </w:tcBorders>
            <w:shd w:val="clear" w:color="auto" w:fill="auto"/>
            <w:noWrap/>
            <w:vAlign w:val="center"/>
          </w:tcPr>
          <w:p w14:paraId="2C920F57" w14:textId="46229EB9" w:rsidR="00451273" w:rsidRPr="0053555E" w:rsidRDefault="00451273" w:rsidP="00451273">
            <w:pPr>
              <w:jc w:val="center"/>
              <w:rPr>
                <w:rFonts w:asciiTheme="majorHAnsi" w:hAnsiTheme="majorHAnsi" w:cstheme="majorHAnsi"/>
                <w:sz w:val="20"/>
                <w:szCs w:val="20"/>
              </w:rPr>
            </w:pPr>
            <w:r w:rsidRPr="0053555E">
              <w:rPr>
                <w:rFonts w:cs="Calibri"/>
                <w:sz w:val="20"/>
                <w:szCs w:val="20"/>
              </w:rPr>
              <w:t>2</w:t>
            </w:r>
          </w:p>
        </w:tc>
        <w:tc>
          <w:tcPr>
            <w:tcW w:w="567" w:type="dxa"/>
            <w:tcBorders>
              <w:top w:val="nil"/>
              <w:left w:val="nil"/>
              <w:bottom w:val="single" w:sz="4" w:space="0" w:color="auto"/>
              <w:right w:val="single" w:sz="4" w:space="0" w:color="auto"/>
            </w:tcBorders>
            <w:shd w:val="clear" w:color="auto" w:fill="auto"/>
            <w:noWrap/>
            <w:vAlign w:val="center"/>
          </w:tcPr>
          <w:p w14:paraId="7A6337CC" w14:textId="4136E09F"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4B6079FB" w14:textId="528B6484" w:rsidR="00451273" w:rsidRPr="0053555E" w:rsidRDefault="00451273" w:rsidP="00451273">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4F34692D" w14:textId="64E4E8AD"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8B3B8C5" w14:textId="116C6A78"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1C413BE" w14:textId="0803B611"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A362004" w14:textId="63567CEF"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976F192" w14:textId="3FE8DC41" w:rsidR="00451273" w:rsidRPr="0053555E" w:rsidRDefault="00451273" w:rsidP="00451273">
            <w:pPr>
              <w:jc w:val="center"/>
              <w:rPr>
                <w:rFonts w:asciiTheme="majorHAnsi" w:hAnsiTheme="majorHAnsi" w:cstheme="majorHAnsi"/>
                <w:sz w:val="20"/>
                <w:szCs w:val="20"/>
              </w:rPr>
            </w:pPr>
          </w:p>
        </w:tc>
      </w:tr>
      <w:tr w:rsidR="00451273" w:rsidRPr="0053555E" w14:paraId="01970D6D"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21BFEEF7" w14:textId="285FF310"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ministra životného prostredia SR</w:t>
            </w:r>
          </w:p>
        </w:tc>
        <w:tc>
          <w:tcPr>
            <w:tcW w:w="566" w:type="dxa"/>
            <w:tcBorders>
              <w:top w:val="nil"/>
              <w:left w:val="nil"/>
              <w:bottom w:val="single" w:sz="4" w:space="0" w:color="auto"/>
              <w:right w:val="single" w:sz="4" w:space="0" w:color="auto"/>
            </w:tcBorders>
            <w:shd w:val="clear" w:color="auto" w:fill="auto"/>
            <w:noWrap/>
            <w:vAlign w:val="center"/>
          </w:tcPr>
          <w:p w14:paraId="5B3F38D2" w14:textId="03FC7ABE" w:rsidR="00451273" w:rsidRPr="0053555E" w:rsidRDefault="00451273" w:rsidP="00451273">
            <w:pPr>
              <w:jc w:val="center"/>
              <w:rPr>
                <w:rFonts w:asciiTheme="majorHAnsi" w:hAnsiTheme="majorHAnsi" w:cstheme="majorHAnsi"/>
                <w:sz w:val="20"/>
                <w:szCs w:val="20"/>
              </w:rPr>
            </w:pPr>
            <w:r w:rsidRPr="0053555E">
              <w:rPr>
                <w:rFonts w:cs="Calibri"/>
                <w:sz w:val="20"/>
                <w:szCs w:val="20"/>
              </w:rPr>
              <w:t>2</w:t>
            </w:r>
          </w:p>
        </w:tc>
        <w:tc>
          <w:tcPr>
            <w:tcW w:w="567" w:type="dxa"/>
            <w:tcBorders>
              <w:top w:val="nil"/>
              <w:left w:val="nil"/>
              <w:bottom w:val="single" w:sz="4" w:space="0" w:color="auto"/>
              <w:right w:val="single" w:sz="4" w:space="0" w:color="auto"/>
            </w:tcBorders>
            <w:shd w:val="clear" w:color="auto" w:fill="auto"/>
            <w:noWrap/>
            <w:vAlign w:val="center"/>
          </w:tcPr>
          <w:p w14:paraId="2373A7E2" w14:textId="715408F4"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26FC498B" w14:textId="489C078D" w:rsidR="00451273" w:rsidRPr="0053555E" w:rsidRDefault="00451273" w:rsidP="00451273">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379E1511" w14:textId="3CBF2517"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69AF029" w14:textId="114AD124"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0FC3D92" w14:textId="0F141A8A"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7D2DA5D" w14:textId="50B01B4C"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F0FF0D5" w14:textId="073D2B3B" w:rsidR="00451273" w:rsidRPr="0053555E" w:rsidRDefault="00451273" w:rsidP="00451273">
            <w:pPr>
              <w:jc w:val="center"/>
              <w:rPr>
                <w:rFonts w:asciiTheme="majorHAnsi" w:hAnsiTheme="majorHAnsi" w:cstheme="majorHAnsi"/>
                <w:sz w:val="20"/>
                <w:szCs w:val="20"/>
              </w:rPr>
            </w:pPr>
          </w:p>
        </w:tc>
      </w:tr>
      <w:tr w:rsidR="00451273" w:rsidRPr="0053555E" w14:paraId="64CBE3A3"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1AEAAD3F" w14:textId="68DA6156"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MŠVVaŠ SR z výnimočný vedecký prínos</w:t>
            </w:r>
          </w:p>
        </w:tc>
        <w:tc>
          <w:tcPr>
            <w:tcW w:w="566" w:type="dxa"/>
            <w:tcBorders>
              <w:top w:val="nil"/>
              <w:left w:val="nil"/>
              <w:bottom w:val="nil"/>
              <w:right w:val="single" w:sz="4" w:space="0" w:color="auto"/>
            </w:tcBorders>
            <w:shd w:val="clear" w:color="auto" w:fill="auto"/>
            <w:noWrap/>
            <w:vAlign w:val="center"/>
          </w:tcPr>
          <w:p w14:paraId="38050887" w14:textId="7F9DE77B"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nil"/>
              <w:right w:val="single" w:sz="4" w:space="0" w:color="auto"/>
            </w:tcBorders>
            <w:shd w:val="clear" w:color="auto" w:fill="auto"/>
            <w:vAlign w:val="center"/>
          </w:tcPr>
          <w:p w14:paraId="342502B1" w14:textId="3FE866A3"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0AE501CB" w14:textId="24DA7FC5" w:rsidR="00451273" w:rsidRPr="0053555E" w:rsidRDefault="00451273" w:rsidP="00451273">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vAlign w:val="center"/>
          </w:tcPr>
          <w:p w14:paraId="0E8272C9" w14:textId="3BDAE26F" w:rsidR="00451273" w:rsidRPr="0053555E" w:rsidRDefault="00451273" w:rsidP="00451273">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center"/>
          </w:tcPr>
          <w:p w14:paraId="3D7A38AD" w14:textId="605311E1"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4DD0C68" w14:textId="6EB2E6F4"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7F31B729" w14:textId="5E1F37F7"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14CA7BE" w14:textId="7E45FD9C" w:rsidR="00451273" w:rsidRPr="0053555E" w:rsidRDefault="00451273" w:rsidP="00451273">
            <w:pPr>
              <w:jc w:val="center"/>
              <w:rPr>
                <w:rFonts w:asciiTheme="majorHAnsi" w:hAnsiTheme="majorHAnsi" w:cstheme="majorHAnsi"/>
                <w:sz w:val="20"/>
                <w:szCs w:val="20"/>
              </w:rPr>
            </w:pPr>
          </w:p>
        </w:tc>
      </w:tr>
      <w:tr w:rsidR="00451273" w:rsidRPr="0053555E" w14:paraId="2DA1984C"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7CE8C638" w14:textId="3DC45E36"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Národného ce</w:t>
            </w:r>
            <w:r w:rsidR="00D87898">
              <w:rPr>
                <w:rFonts w:cs="Calibri"/>
                <w:sz w:val="20"/>
                <w:szCs w:val="20"/>
              </w:rPr>
              <w:t>n</w:t>
            </w:r>
            <w:r w:rsidRPr="0053555E">
              <w:rPr>
                <w:rFonts w:cs="Calibri"/>
                <w:sz w:val="20"/>
                <w:szCs w:val="20"/>
              </w:rPr>
              <w:t>tra robotiky (NCR)</w:t>
            </w:r>
          </w:p>
        </w:tc>
        <w:tc>
          <w:tcPr>
            <w:tcW w:w="566" w:type="dxa"/>
            <w:tcBorders>
              <w:top w:val="single" w:sz="4" w:space="0" w:color="auto"/>
              <w:left w:val="nil"/>
              <w:bottom w:val="single" w:sz="4" w:space="0" w:color="auto"/>
              <w:right w:val="single" w:sz="4" w:space="0" w:color="auto"/>
            </w:tcBorders>
            <w:shd w:val="clear" w:color="auto" w:fill="auto"/>
            <w:noWrap/>
            <w:vAlign w:val="center"/>
          </w:tcPr>
          <w:p w14:paraId="090942AA" w14:textId="67C646C7" w:rsidR="00451273" w:rsidRPr="0053555E" w:rsidRDefault="00451273" w:rsidP="00451273">
            <w:pPr>
              <w:jc w:val="center"/>
              <w:rPr>
                <w:rFonts w:asciiTheme="majorHAnsi" w:hAnsiTheme="majorHAnsi" w:cstheme="majorHAnsi"/>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34F3206" w14:textId="51B64791" w:rsidR="00451273" w:rsidRPr="0053555E" w:rsidRDefault="00451273" w:rsidP="00451273">
            <w:pPr>
              <w:jc w:val="center"/>
              <w:rPr>
                <w:rFonts w:asciiTheme="majorHAnsi" w:hAnsiTheme="majorHAnsi" w:cstheme="majorHAns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503EE7D8" w14:textId="0A4F006A" w:rsidR="00451273" w:rsidRPr="0053555E" w:rsidRDefault="00451273" w:rsidP="00451273">
            <w:pPr>
              <w:jc w:val="center"/>
              <w:rPr>
                <w:rFonts w:asciiTheme="majorHAnsi" w:hAnsiTheme="majorHAnsi" w:cstheme="majorHAnsi"/>
                <w:sz w:val="20"/>
                <w:szCs w:val="20"/>
              </w:rPr>
            </w:pPr>
            <w:r w:rsidRPr="0053555E">
              <w:rPr>
                <w:rFonts w:cs="Calibri"/>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1851373E" w14:textId="0BFEC0F2"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7EC0FCF8" w14:textId="48863A5A"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CB59FD1" w14:textId="55E836AC"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6EC0FA27" w14:textId="0A756D21" w:rsidR="00451273" w:rsidRPr="0053555E" w:rsidRDefault="00451273" w:rsidP="00451273">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C499337" w14:textId="6DE1CCA9" w:rsidR="00451273" w:rsidRPr="0053555E" w:rsidRDefault="00451273" w:rsidP="00451273">
            <w:pPr>
              <w:jc w:val="center"/>
              <w:rPr>
                <w:rFonts w:asciiTheme="majorHAnsi" w:hAnsiTheme="majorHAnsi" w:cstheme="majorHAnsi"/>
                <w:sz w:val="20"/>
                <w:szCs w:val="20"/>
              </w:rPr>
            </w:pPr>
          </w:p>
        </w:tc>
      </w:tr>
      <w:tr w:rsidR="00451273" w:rsidRPr="0053555E" w14:paraId="53CAF694" w14:textId="77777777" w:rsidTr="00737317">
        <w:trPr>
          <w:trHeight w:val="20"/>
        </w:trPr>
        <w:tc>
          <w:tcPr>
            <w:tcW w:w="4268" w:type="dxa"/>
            <w:tcBorders>
              <w:top w:val="single" w:sz="4" w:space="0" w:color="auto"/>
              <w:left w:val="single" w:sz="4" w:space="0" w:color="auto"/>
              <w:bottom w:val="single" w:sz="4" w:space="0" w:color="auto"/>
              <w:right w:val="single" w:sz="4" w:space="0" w:color="auto"/>
            </w:tcBorders>
            <w:shd w:val="clear" w:color="auto" w:fill="auto"/>
          </w:tcPr>
          <w:p w14:paraId="1277AC75" w14:textId="6116F366"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NAY a.</w:t>
            </w:r>
            <w:r w:rsidR="00C77E2A">
              <w:rPr>
                <w:rFonts w:cs="Calibri"/>
                <w:sz w:val="20"/>
                <w:szCs w:val="20"/>
              </w:rPr>
              <w:t xml:space="preserve"> </w:t>
            </w:r>
            <w:r w:rsidRPr="0053555E">
              <w:rPr>
                <w:rFonts w:cs="Calibri"/>
                <w:sz w:val="20"/>
                <w:szCs w:val="20"/>
              </w:rPr>
              <w:t>s.</w:t>
            </w:r>
          </w:p>
        </w:tc>
        <w:tc>
          <w:tcPr>
            <w:tcW w:w="566" w:type="dxa"/>
            <w:tcBorders>
              <w:top w:val="single" w:sz="4" w:space="0" w:color="auto"/>
              <w:left w:val="nil"/>
              <w:bottom w:val="single" w:sz="4" w:space="0" w:color="auto"/>
              <w:right w:val="single" w:sz="4" w:space="0" w:color="auto"/>
            </w:tcBorders>
            <w:shd w:val="clear" w:color="auto" w:fill="auto"/>
            <w:noWrap/>
            <w:vAlign w:val="center"/>
          </w:tcPr>
          <w:p w14:paraId="141FB489" w14:textId="3C962C1E" w:rsidR="00451273" w:rsidRPr="0053555E" w:rsidRDefault="00451273" w:rsidP="00451273">
            <w:pPr>
              <w:jc w:val="center"/>
              <w:rPr>
                <w:rFonts w:asciiTheme="majorHAnsi" w:hAnsiTheme="majorHAnsi" w:cstheme="majorHAnsi"/>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F5DAFCF" w14:textId="58E46309" w:rsidR="00451273" w:rsidRPr="0053555E" w:rsidRDefault="00451273" w:rsidP="00451273">
            <w:pPr>
              <w:jc w:val="center"/>
              <w:rPr>
                <w:rFonts w:asciiTheme="majorHAnsi" w:hAnsiTheme="majorHAnsi" w:cstheme="majorHAnsi"/>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82E48FA" w14:textId="0F455DE9" w:rsidR="00451273" w:rsidRPr="0053555E" w:rsidRDefault="00451273" w:rsidP="00451273">
            <w:pPr>
              <w:jc w:val="center"/>
              <w:rPr>
                <w:rFonts w:asciiTheme="majorHAnsi" w:hAnsiTheme="majorHAnsi" w:cstheme="majorHAnsi"/>
                <w:sz w:val="20"/>
                <w:szCs w:val="20"/>
              </w:rPr>
            </w:pPr>
            <w:r w:rsidRPr="0053555E">
              <w:rPr>
                <w:rFonts w:cs="Calibri"/>
                <w:sz w:val="20"/>
                <w:szCs w:val="20"/>
              </w:rPr>
              <w:t>1</w:t>
            </w:r>
          </w:p>
        </w:tc>
        <w:tc>
          <w:tcPr>
            <w:tcW w:w="709" w:type="dxa"/>
            <w:tcBorders>
              <w:top w:val="single" w:sz="4" w:space="0" w:color="auto"/>
              <w:left w:val="nil"/>
              <w:bottom w:val="single" w:sz="4" w:space="0" w:color="auto"/>
              <w:right w:val="single" w:sz="4" w:space="0" w:color="auto"/>
            </w:tcBorders>
            <w:shd w:val="clear" w:color="auto" w:fill="auto"/>
            <w:vAlign w:val="center"/>
          </w:tcPr>
          <w:p w14:paraId="52B2822D" w14:textId="473CB25F" w:rsidR="00451273" w:rsidRPr="0053555E" w:rsidRDefault="00451273" w:rsidP="00451273">
            <w:pPr>
              <w:jc w:val="center"/>
              <w:rPr>
                <w:rFonts w:asciiTheme="majorHAnsi" w:hAnsiTheme="majorHAnsi" w:cstheme="majorHAnsi"/>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2538CCA5" w14:textId="3593FEE7" w:rsidR="00451273" w:rsidRPr="0053555E" w:rsidRDefault="00451273" w:rsidP="00451273">
            <w:pPr>
              <w:jc w:val="center"/>
              <w:rPr>
                <w:rFonts w:asciiTheme="majorHAnsi" w:hAnsiTheme="majorHAnsi" w:cstheme="majorHAnsi"/>
                <w:sz w:val="20"/>
                <w:szCs w:val="20"/>
              </w:rPr>
            </w:pPr>
          </w:p>
        </w:tc>
        <w:tc>
          <w:tcPr>
            <w:tcW w:w="638" w:type="dxa"/>
            <w:tcBorders>
              <w:top w:val="single" w:sz="4" w:space="0" w:color="auto"/>
              <w:left w:val="nil"/>
              <w:bottom w:val="single" w:sz="4" w:space="0" w:color="auto"/>
              <w:right w:val="single" w:sz="4" w:space="0" w:color="auto"/>
            </w:tcBorders>
            <w:shd w:val="clear" w:color="auto" w:fill="auto"/>
            <w:noWrap/>
            <w:vAlign w:val="center"/>
          </w:tcPr>
          <w:p w14:paraId="0F0F96AF" w14:textId="3519B07A" w:rsidR="00451273" w:rsidRPr="0053555E" w:rsidRDefault="00451273" w:rsidP="00451273">
            <w:pPr>
              <w:jc w:val="center"/>
              <w:rPr>
                <w:rFonts w:asciiTheme="majorHAnsi" w:hAnsiTheme="majorHAnsi" w:cstheme="majorHAnsi"/>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641468A6" w14:textId="2D97D6D7" w:rsidR="00451273" w:rsidRPr="0053555E" w:rsidRDefault="00451273" w:rsidP="00451273">
            <w:pPr>
              <w:jc w:val="center"/>
              <w:rPr>
                <w:rFonts w:asciiTheme="majorHAnsi" w:hAnsiTheme="majorHAnsi" w:cstheme="majorHAnsi"/>
                <w:sz w:val="20"/>
                <w:szCs w:val="20"/>
              </w:rPr>
            </w:pPr>
          </w:p>
        </w:tc>
        <w:tc>
          <w:tcPr>
            <w:tcW w:w="638" w:type="dxa"/>
            <w:tcBorders>
              <w:top w:val="single" w:sz="4" w:space="0" w:color="auto"/>
              <w:left w:val="nil"/>
              <w:bottom w:val="single" w:sz="4" w:space="0" w:color="auto"/>
              <w:right w:val="single" w:sz="4" w:space="0" w:color="auto"/>
            </w:tcBorders>
            <w:shd w:val="clear" w:color="auto" w:fill="auto"/>
            <w:noWrap/>
            <w:vAlign w:val="center"/>
          </w:tcPr>
          <w:p w14:paraId="7DFFA788" w14:textId="60796EAD" w:rsidR="00451273" w:rsidRPr="0053555E" w:rsidRDefault="00451273" w:rsidP="00451273">
            <w:pPr>
              <w:jc w:val="center"/>
              <w:rPr>
                <w:rFonts w:asciiTheme="majorHAnsi" w:hAnsiTheme="majorHAnsi" w:cstheme="majorHAnsi"/>
                <w:sz w:val="20"/>
                <w:szCs w:val="20"/>
              </w:rPr>
            </w:pPr>
          </w:p>
        </w:tc>
      </w:tr>
      <w:tr w:rsidR="00451273" w:rsidRPr="0053555E" w14:paraId="60596FEF"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5819E35F" w14:textId="1B1EF954"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predsedu Slovenskej zváračskej spoločnosti za ŠVOČ</w:t>
            </w:r>
          </w:p>
        </w:tc>
        <w:tc>
          <w:tcPr>
            <w:tcW w:w="566" w:type="dxa"/>
            <w:tcBorders>
              <w:top w:val="single" w:sz="4" w:space="0" w:color="auto"/>
              <w:left w:val="nil"/>
              <w:bottom w:val="single" w:sz="4" w:space="0" w:color="auto"/>
              <w:right w:val="single" w:sz="4" w:space="0" w:color="auto"/>
            </w:tcBorders>
            <w:shd w:val="clear" w:color="auto" w:fill="auto"/>
            <w:noWrap/>
            <w:vAlign w:val="center"/>
          </w:tcPr>
          <w:p w14:paraId="7434A8EC" w14:textId="68273CFC"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34157C7" w14:textId="4CB8368C"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1CD13274" w14:textId="6B3D4550" w:rsidR="00451273" w:rsidRPr="0053555E" w:rsidRDefault="00451273" w:rsidP="00451273">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tcPr>
          <w:p w14:paraId="208958B8" w14:textId="7E93B1A9"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501D56BF" w14:textId="2DC29AEF"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1095B74E" w14:textId="187B2E20"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3</w:t>
            </w:r>
          </w:p>
        </w:tc>
        <w:tc>
          <w:tcPr>
            <w:tcW w:w="638" w:type="dxa"/>
            <w:tcBorders>
              <w:top w:val="nil"/>
              <w:left w:val="nil"/>
              <w:bottom w:val="single" w:sz="4" w:space="0" w:color="auto"/>
              <w:right w:val="single" w:sz="4" w:space="0" w:color="auto"/>
            </w:tcBorders>
            <w:shd w:val="clear" w:color="auto" w:fill="auto"/>
            <w:noWrap/>
            <w:vAlign w:val="center"/>
          </w:tcPr>
          <w:p w14:paraId="5AA5DD9D" w14:textId="33060905"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2833A54E" w14:textId="1FFE2466" w:rsidR="00451273" w:rsidRPr="0053555E" w:rsidRDefault="00451273" w:rsidP="00451273">
            <w:pPr>
              <w:jc w:val="center"/>
              <w:rPr>
                <w:rFonts w:asciiTheme="majorHAnsi" w:eastAsia="Times New Roman" w:hAnsiTheme="majorHAnsi" w:cstheme="majorHAnsi"/>
                <w:sz w:val="20"/>
                <w:szCs w:val="20"/>
                <w:lang w:eastAsia="sk-SK"/>
              </w:rPr>
            </w:pPr>
          </w:p>
        </w:tc>
      </w:tr>
      <w:tr w:rsidR="00451273" w:rsidRPr="0053555E" w14:paraId="47066988"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6228126B" w14:textId="6BA411F1"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predsedu Slovenskej zváračskej spoločnosti za vynikajúcu ZP</w:t>
            </w:r>
          </w:p>
        </w:tc>
        <w:tc>
          <w:tcPr>
            <w:tcW w:w="566" w:type="dxa"/>
            <w:tcBorders>
              <w:top w:val="nil"/>
              <w:left w:val="nil"/>
              <w:bottom w:val="single" w:sz="4" w:space="0" w:color="auto"/>
              <w:right w:val="single" w:sz="4" w:space="0" w:color="auto"/>
            </w:tcBorders>
            <w:shd w:val="clear" w:color="auto" w:fill="auto"/>
            <w:noWrap/>
            <w:vAlign w:val="center"/>
          </w:tcPr>
          <w:p w14:paraId="3657709B" w14:textId="445B7154"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5387CD10" w14:textId="52117060"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1BD2C817" w14:textId="28990DBE" w:rsidR="00451273" w:rsidRPr="0053555E" w:rsidRDefault="00451273" w:rsidP="00451273">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tcPr>
          <w:p w14:paraId="0052D5B4" w14:textId="0313A7B8"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04DD087A" w14:textId="1DBE927A"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2E9AD8A2" w14:textId="43540C6A"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2</w:t>
            </w:r>
          </w:p>
        </w:tc>
        <w:tc>
          <w:tcPr>
            <w:tcW w:w="638" w:type="dxa"/>
            <w:tcBorders>
              <w:top w:val="nil"/>
              <w:left w:val="nil"/>
              <w:bottom w:val="single" w:sz="4" w:space="0" w:color="auto"/>
              <w:right w:val="single" w:sz="4" w:space="0" w:color="auto"/>
            </w:tcBorders>
            <w:shd w:val="clear" w:color="auto" w:fill="auto"/>
            <w:vAlign w:val="center"/>
          </w:tcPr>
          <w:p w14:paraId="05759C6D" w14:textId="0994CF39"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0BFEBF88" w14:textId="73C728CE" w:rsidR="00451273" w:rsidRPr="0053555E" w:rsidRDefault="00451273" w:rsidP="00451273">
            <w:pPr>
              <w:jc w:val="center"/>
              <w:rPr>
                <w:rFonts w:asciiTheme="majorHAnsi" w:eastAsia="Times New Roman" w:hAnsiTheme="majorHAnsi" w:cstheme="majorHAnsi"/>
                <w:sz w:val="20"/>
                <w:szCs w:val="20"/>
                <w:lang w:eastAsia="sk-SK"/>
              </w:rPr>
            </w:pPr>
          </w:p>
        </w:tc>
      </w:tr>
      <w:tr w:rsidR="00451273" w:rsidRPr="0053555E" w14:paraId="178B5AC2"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5C0B738A" w14:textId="641DC879"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predsedu Úradu kartografie a katastra SR</w:t>
            </w:r>
          </w:p>
        </w:tc>
        <w:tc>
          <w:tcPr>
            <w:tcW w:w="566" w:type="dxa"/>
            <w:tcBorders>
              <w:top w:val="nil"/>
              <w:left w:val="nil"/>
              <w:bottom w:val="single" w:sz="4" w:space="0" w:color="auto"/>
              <w:right w:val="single" w:sz="4" w:space="0" w:color="auto"/>
            </w:tcBorders>
            <w:shd w:val="clear" w:color="auto" w:fill="auto"/>
            <w:noWrap/>
            <w:vAlign w:val="center"/>
          </w:tcPr>
          <w:p w14:paraId="3E5C514C" w14:textId="65A0A36B"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1</w:t>
            </w:r>
          </w:p>
        </w:tc>
        <w:tc>
          <w:tcPr>
            <w:tcW w:w="567" w:type="dxa"/>
            <w:tcBorders>
              <w:top w:val="nil"/>
              <w:left w:val="nil"/>
              <w:bottom w:val="single" w:sz="4" w:space="0" w:color="auto"/>
              <w:right w:val="single" w:sz="4" w:space="0" w:color="auto"/>
            </w:tcBorders>
            <w:shd w:val="clear" w:color="auto" w:fill="auto"/>
            <w:vAlign w:val="center"/>
          </w:tcPr>
          <w:p w14:paraId="76A7941E" w14:textId="0210F2B6"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15EA35FE" w14:textId="12B0F949" w:rsidR="00451273" w:rsidRPr="0053555E" w:rsidRDefault="00451273" w:rsidP="00451273">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tcPr>
          <w:p w14:paraId="552604C0" w14:textId="2415F31F"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2E910B6C" w14:textId="6D939BCF"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0D7007A1" w14:textId="08E1E327"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1DE1535A" w14:textId="2CDE7F59"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68476F72" w14:textId="3A75592D" w:rsidR="00451273" w:rsidRPr="0053555E" w:rsidRDefault="00451273" w:rsidP="00451273">
            <w:pPr>
              <w:jc w:val="center"/>
              <w:rPr>
                <w:rFonts w:asciiTheme="majorHAnsi" w:eastAsia="Times New Roman" w:hAnsiTheme="majorHAnsi" w:cstheme="majorHAnsi"/>
                <w:sz w:val="20"/>
                <w:szCs w:val="20"/>
                <w:lang w:eastAsia="sk-SK"/>
              </w:rPr>
            </w:pPr>
          </w:p>
        </w:tc>
      </w:tr>
      <w:tr w:rsidR="00451273" w:rsidRPr="0053555E" w14:paraId="2C3901BA"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vAlign w:val="center"/>
          </w:tcPr>
          <w:p w14:paraId="58257EFF" w14:textId="0E616ABC"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prof. Jozefa Lacka 2022</w:t>
            </w:r>
          </w:p>
        </w:tc>
        <w:tc>
          <w:tcPr>
            <w:tcW w:w="566" w:type="dxa"/>
            <w:tcBorders>
              <w:top w:val="nil"/>
              <w:left w:val="nil"/>
              <w:bottom w:val="single" w:sz="4" w:space="0" w:color="auto"/>
              <w:right w:val="single" w:sz="4" w:space="0" w:color="auto"/>
            </w:tcBorders>
            <w:shd w:val="clear" w:color="auto" w:fill="auto"/>
            <w:noWrap/>
            <w:vAlign w:val="center"/>
          </w:tcPr>
          <w:p w14:paraId="3185D128" w14:textId="03177EEF"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75B5C12C" w14:textId="5F3BEFCE"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58C0A66D" w14:textId="2A580F08" w:rsidR="00451273" w:rsidRPr="0053555E" w:rsidRDefault="00451273" w:rsidP="00451273">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tcPr>
          <w:p w14:paraId="71BD7DBC" w14:textId="791CA55B"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0D8D82D8" w14:textId="4B6CBC08"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2</w:t>
            </w:r>
          </w:p>
        </w:tc>
        <w:tc>
          <w:tcPr>
            <w:tcW w:w="638" w:type="dxa"/>
            <w:tcBorders>
              <w:top w:val="nil"/>
              <w:left w:val="nil"/>
              <w:bottom w:val="single" w:sz="4" w:space="0" w:color="auto"/>
              <w:right w:val="single" w:sz="4" w:space="0" w:color="auto"/>
            </w:tcBorders>
            <w:shd w:val="clear" w:color="auto" w:fill="auto"/>
            <w:noWrap/>
            <w:vAlign w:val="center"/>
          </w:tcPr>
          <w:p w14:paraId="08E16187" w14:textId="5CD41287"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49672F57" w14:textId="6EC8314D"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168FF865" w14:textId="42EAF461" w:rsidR="00451273" w:rsidRPr="0053555E" w:rsidRDefault="00451273" w:rsidP="00451273">
            <w:pPr>
              <w:jc w:val="center"/>
              <w:rPr>
                <w:rFonts w:asciiTheme="majorHAnsi" w:eastAsia="Times New Roman" w:hAnsiTheme="majorHAnsi" w:cstheme="majorHAnsi"/>
                <w:sz w:val="20"/>
                <w:szCs w:val="20"/>
                <w:lang w:eastAsia="sk-SK"/>
              </w:rPr>
            </w:pPr>
          </w:p>
        </w:tc>
      </w:tr>
      <w:tr w:rsidR="00451273" w:rsidRPr="0053555E" w14:paraId="27F18A14"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vAlign w:val="bottom"/>
          </w:tcPr>
          <w:p w14:paraId="2203F78B" w14:textId="767453D8"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Slovenská nukleárna spoločnosť (SNUS)</w:t>
            </w:r>
          </w:p>
        </w:tc>
        <w:tc>
          <w:tcPr>
            <w:tcW w:w="566" w:type="dxa"/>
            <w:tcBorders>
              <w:top w:val="nil"/>
              <w:left w:val="nil"/>
              <w:bottom w:val="single" w:sz="4" w:space="0" w:color="auto"/>
              <w:right w:val="single" w:sz="4" w:space="0" w:color="auto"/>
            </w:tcBorders>
            <w:shd w:val="clear" w:color="auto" w:fill="auto"/>
            <w:noWrap/>
            <w:vAlign w:val="center"/>
          </w:tcPr>
          <w:p w14:paraId="0D3C411A" w14:textId="376D3B04"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5B9A3F5C" w14:textId="196B9AD1"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477DA01C" w14:textId="51BC0AA5"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39743D65" w14:textId="5B0094A2"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3B6422C2" w14:textId="788A2042"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0B9648DE" w14:textId="4ED7AA32"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1F761EB4" w14:textId="11184B1D"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11849FC2" w14:textId="4AAE0FB2" w:rsidR="00451273" w:rsidRPr="0053555E" w:rsidRDefault="00451273" w:rsidP="00451273">
            <w:pPr>
              <w:jc w:val="center"/>
              <w:rPr>
                <w:rFonts w:asciiTheme="majorHAnsi" w:eastAsia="Times New Roman" w:hAnsiTheme="majorHAnsi" w:cstheme="majorHAnsi"/>
                <w:sz w:val="20"/>
                <w:szCs w:val="20"/>
                <w:lang w:eastAsia="sk-SK"/>
              </w:rPr>
            </w:pPr>
          </w:p>
        </w:tc>
      </w:tr>
      <w:tr w:rsidR="00451273" w:rsidRPr="0053555E" w14:paraId="2EB20408"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784AE85F" w14:textId="6A1EAF5E"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Slovenská spoločnosť pre kybernetiku a informatiku (SSKI)</w:t>
            </w:r>
          </w:p>
        </w:tc>
        <w:tc>
          <w:tcPr>
            <w:tcW w:w="566" w:type="dxa"/>
            <w:tcBorders>
              <w:top w:val="nil"/>
              <w:left w:val="nil"/>
              <w:bottom w:val="single" w:sz="4" w:space="0" w:color="auto"/>
              <w:right w:val="single" w:sz="4" w:space="0" w:color="auto"/>
            </w:tcBorders>
            <w:shd w:val="clear" w:color="auto" w:fill="auto"/>
            <w:noWrap/>
            <w:vAlign w:val="center"/>
          </w:tcPr>
          <w:p w14:paraId="6CC16CCF" w14:textId="747DD807"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53783B68" w14:textId="501EFA66"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468BE883" w14:textId="0875F1EA"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3</w:t>
            </w:r>
          </w:p>
        </w:tc>
        <w:tc>
          <w:tcPr>
            <w:tcW w:w="709" w:type="dxa"/>
            <w:tcBorders>
              <w:top w:val="nil"/>
              <w:left w:val="nil"/>
              <w:bottom w:val="single" w:sz="4" w:space="0" w:color="auto"/>
              <w:right w:val="single" w:sz="4" w:space="0" w:color="auto"/>
            </w:tcBorders>
            <w:shd w:val="clear" w:color="auto" w:fill="auto"/>
            <w:vAlign w:val="center"/>
          </w:tcPr>
          <w:p w14:paraId="0063BA5E" w14:textId="4052FF5E"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0CF15449" w14:textId="66046C46"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213B2779" w14:textId="42A9223F"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75662296" w14:textId="6C065FFD"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6A49DD0C" w14:textId="129CED11" w:rsidR="00451273" w:rsidRPr="0053555E" w:rsidRDefault="00451273" w:rsidP="00451273">
            <w:pPr>
              <w:jc w:val="center"/>
              <w:rPr>
                <w:rFonts w:asciiTheme="majorHAnsi" w:eastAsia="Times New Roman" w:hAnsiTheme="majorHAnsi" w:cstheme="majorHAnsi"/>
                <w:sz w:val="20"/>
                <w:szCs w:val="20"/>
                <w:lang w:eastAsia="sk-SK"/>
              </w:rPr>
            </w:pPr>
          </w:p>
        </w:tc>
      </w:tr>
      <w:tr w:rsidR="00451273" w:rsidRPr="0053555E" w14:paraId="41C62463"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vAlign w:val="bottom"/>
          </w:tcPr>
          <w:p w14:paraId="7E51653E" w14:textId="4AD79070"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Slovenského literárneho fondu</w:t>
            </w:r>
          </w:p>
        </w:tc>
        <w:tc>
          <w:tcPr>
            <w:tcW w:w="566" w:type="dxa"/>
            <w:tcBorders>
              <w:top w:val="nil"/>
              <w:left w:val="nil"/>
              <w:bottom w:val="single" w:sz="4" w:space="0" w:color="auto"/>
              <w:right w:val="single" w:sz="4" w:space="0" w:color="auto"/>
            </w:tcBorders>
            <w:shd w:val="clear" w:color="auto" w:fill="auto"/>
            <w:noWrap/>
            <w:vAlign w:val="center"/>
          </w:tcPr>
          <w:p w14:paraId="13A60086" w14:textId="1AD571A4"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626ED80A" w14:textId="4F78F6EB"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5162DCC9" w14:textId="0F457183" w:rsidR="00451273" w:rsidRPr="0053555E" w:rsidRDefault="00451273" w:rsidP="00451273">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tcPr>
          <w:p w14:paraId="58BCED19" w14:textId="4B1B7DEF"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62E0CF5E" w14:textId="52BAB3A3"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65802994" w14:textId="113DE732"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3</w:t>
            </w:r>
          </w:p>
        </w:tc>
        <w:tc>
          <w:tcPr>
            <w:tcW w:w="638" w:type="dxa"/>
            <w:tcBorders>
              <w:top w:val="nil"/>
              <w:left w:val="nil"/>
              <w:bottom w:val="single" w:sz="4" w:space="0" w:color="auto"/>
              <w:right w:val="single" w:sz="4" w:space="0" w:color="auto"/>
            </w:tcBorders>
            <w:shd w:val="clear" w:color="auto" w:fill="auto"/>
            <w:vAlign w:val="center"/>
          </w:tcPr>
          <w:p w14:paraId="00C80A35" w14:textId="4B9D5F8D"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153C34E6" w14:textId="293F7101" w:rsidR="00451273" w:rsidRPr="0053555E" w:rsidRDefault="00451273" w:rsidP="00451273">
            <w:pPr>
              <w:jc w:val="center"/>
              <w:rPr>
                <w:rFonts w:asciiTheme="majorHAnsi" w:eastAsia="Times New Roman" w:hAnsiTheme="majorHAnsi" w:cstheme="majorHAnsi"/>
                <w:sz w:val="20"/>
                <w:szCs w:val="20"/>
                <w:lang w:eastAsia="sk-SK"/>
              </w:rPr>
            </w:pPr>
          </w:p>
        </w:tc>
      </w:tr>
      <w:tr w:rsidR="00451273" w:rsidRPr="0053555E" w14:paraId="7328891C"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696EBE38" w14:textId="4854328D"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Slovenskej spoločnosti údržby</w:t>
            </w:r>
          </w:p>
        </w:tc>
        <w:tc>
          <w:tcPr>
            <w:tcW w:w="566" w:type="dxa"/>
            <w:tcBorders>
              <w:top w:val="nil"/>
              <w:left w:val="nil"/>
              <w:bottom w:val="single" w:sz="4" w:space="0" w:color="auto"/>
              <w:right w:val="single" w:sz="4" w:space="0" w:color="auto"/>
            </w:tcBorders>
            <w:shd w:val="clear" w:color="auto" w:fill="auto"/>
            <w:noWrap/>
            <w:vAlign w:val="center"/>
          </w:tcPr>
          <w:p w14:paraId="5884612E" w14:textId="612426C9"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1</w:t>
            </w:r>
          </w:p>
        </w:tc>
        <w:tc>
          <w:tcPr>
            <w:tcW w:w="567" w:type="dxa"/>
            <w:tcBorders>
              <w:top w:val="nil"/>
              <w:left w:val="nil"/>
              <w:bottom w:val="single" w:sz="4" w:space="0" w:color="auto"/>
              <w:right w:val="single" w:sz="4" w:space="0" w:color="auto"/>
            </w:tcBorders>
            <w:shd w:val="clear" w:color="auto" w:fill="auto"/>
            <w:vAlign w:val="center"/>
          </w:tcPr>
          <w:p w14:paraId="6990FEB2" w14:textId="6EA5635E"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7A87DC76" w14:textId="76206CA1" w:rsidR="00451273" w:rsidRPr="0053555E" w:rsidRDefault="00451273" w:rsidP="00451273">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tcPr>
          <w:p w14:paraId="492186FD" w14:textId="78BB09EB"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264475F2" w14:textId="5F8A57DE"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2B6D9D2E" w14:textId="300665C1"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2733C681" w14:textId="6F677AC3"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0852FFB5" w14:textId="01DF0650" w:rsidR="00451273" w:rsidRPr="0053555E" w:rsidRDefault="00451273" w:rsidP="00451273">
            <w:pPr>
              <w:jc w:val="center"/>
              <w:rPr>
                <w:rFonts w:asciiTheme="majorHAnsi" w:eastAsia="Times New Roman" w:hAnsiTheme="majorHAnsi" w:cstheme="majorHAnsi"/>
                <w:sz w:val="20"/>
                <w:szCs w:val="20"/>
                <w:lang w:eastAsia="sk-SK"/>
              </w:rPr>
            </w:pPr>
          </w:p>
        </w:tc>
      </w:tr>
      <w:tr w:rsidR="00451273" w:rsidRPr="0053555E" w14:paraId="61194A24"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7520E683" w14:textId="2F9E112E"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Spolku SKSI, SAS, SFVU, SKCOLD (stav. org.)</w:t>
            </w:r>
          </w:p>
        </w:tc>
        <w:tc>
          <w:tcPr>
            <w:tcW w:w="566" w:type="dxa"/>
            <w:tcBorders>
              <w:top w:val="nil"/>
              <w:left w:val="nil"/>
              <w:bottom w:val="single" w:sz="4" w:space="0" w:color="auto"/>
              <w:right w:val="single" w:sz="4" w:space="0" w:color="auto"/>
            </w:tcBorders>
            <w:shd w:val="clear" w:color="auto" w:fill="auto"/>
            <w:noWrap/>
            <w:vAlign w:val="center"/>
          </w:tcPr>
          <w:p w14:paraId="0A382CCC" w14:textId="3F354C6C"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2</w:t>
            </w:r>
          </w:p>
        </w:tc>
        <w:tc>
          <w:tcPr>
            <w:tcW w:w="567" w:type="dxa"/>
            <w:tcBorders>
              <w:top w:val="nil"/>
              <w:left w:val="nil"/>
              <w:bottom w:val="single" w:sz="4" w:space="0" w:color="auto"/>
              <w:right w:val="single" w:sz="4" w:space="0" w:color="auto"/>
            </w:tcBorders>
            <w:shd w:val="clear" w:color="auto" w:fill="auto"/>
            <w:vAlign w:val="center"/>
          </w:tcPr>
          <w:p w14:paraId="281B55AB" w14:textId="59E210B9"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3BB24681" w14:textId="54F4459D" w:rsidR="00451273" w:rsidRPr="0053555E" w:rsidRDefault="00451273" w:rsidP="00451273">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tcPr>
          <w:p w14:paraId="4147A458" w14:textId="3A78833E"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tcPr>
          <w:p w14:paraId="7478A9DE" w14:textId="5959CFD1"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5419AB0C" w14:textId="007A72FC"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77C3DFDF" w14:textId="6FDD832C"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30705929" w14:textId="6401E175" w:rsidR="00451273" w:rsidRPr="0053555E" w:rsidRDefault="00451273" w:rsidP="00451273">
            <w:pPr>
              <w:jc w:val="center"/>
              <w:rPr>
                <w:rFonts w:asciiTheme="majorHAnsi" w:eastAsia="Times New Roman" w:hAnsiTheme="majorHAnsi" w:cstheme="majorHAnsi"/>
                <w:sz w:val="20"/>
                <w:szCs w:val="20"/>
                <w:lang w:eastAsia="sk-SK"/>
              </w:rPr>
            </w:pPr>
          </w:p>
        </w:tc>
      </w:tr>
      <w:tr w:rsidR="00451273" w:rsidRPr="0053555E" w14:paraId="3E2ED24F"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223E3586" w14:textId="0FC2D756"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Ústavu informatiky SAV</w:t>
            </w:r>
          </w:p>
        </w:tc>
        <w:tc>
          <w:tcPr>
            <w:tcW w:w="566" w:type="dxa"/>
            <w:tcBorders>
              <w:top w:val="nil"/>
              <w:left w:val="nil"/>
              <w:bottom w:val="single" w:sz="4" w:space="0" w:color="auto"/>
              <w:right w:val="single" w:sz="4" w:space="0" w:color="auto"/>
            </w:tcBorders>
            <w:shd w:val="clear" w:color="auto" w:fill="auto"/>
            <w:noWrap/>
            <w:vAlign w:val="center"/>
          </w:tcPr>
          <w:p w14:paraId="4798257A" w14:textId="0975660A"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32E2A452" w14:textId="50A8618C"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3BC69FF4" w14:textId="3A1F6BE1" w:rsidR="00451273" w:rsidRPr="0053555E" w:rsidRDefault="00451273" w:rsidP="00451273">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tcPr>
          <w:p w14:paraId="4DF31607" w14:textId="3C4FB991"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01A0E1D7" w14:textId="65865B8A"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140499AC" w14:textId="7499E72A"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0F88278B" w14:textId="65D79FA9"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7561A61E" w14:textId="373340C4" w:rsidR="00451273" w:rsidRPr="0053555E" w:rsidRDefault="00451273" w:rsidP="00451273">
            <w:pPr>
              <w:jc w:val="center"/>
              <w:rPr>
                <w:rFonts w:asciiTheme="majorHAnsi" w:eastAsia="Times New Roman" w:hAnsiTheme="majorHAnsi" w:cstheme="majorHAnsi"/>
                <w:sz w:val="20"/>
                <w:szCs w:val="20"/>
                <w:lang w:eastAsia="sk-SK"/>
              </w:rPr>
            </w:pPr>
          </w:p>
        </w:tc>
      </w:tr>
      <w:tr w:rsidR="00451273" w:rsidRPr="0053555E" w14:paraId="30EB5586"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2546F73E" w14:textId="479313DB"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Cena Zväzu slovenských vedecko</w:t>
            </w:r>
            <w:r w:rsidR="00DE37F4">
              <w:rPr>
                <w:rFonts w:cs="Calibri"/>
                <w:sz w:val="20"/>
                <w:szCs w:val="20"/>
              </w:rPr>
              <w:t>-</w:t>
            </w:r>
            <w:r w:rsidRPr="0053555E">
              <w:rPr>
                <w:rFonts w:cs="Calibri"/>
                <w:sz w:val="20"/>
                <w:szCs w:val="20"/>
              </w:rPr>
              <w:t>technických spoločností (ZSVTS)</w:t>
            </w:r>
          </w:p>
        </w:tc>
        <w:tc>
          <w:tcPr>
            <w:tcW w:w="566" w:type="dxa"/>
            <w:tcBorders>
              <w:top w:val="nil"/>
              <w:left w:val="nil"/>
              <w:bottom w:val="single" w:sz="4" w:space="0" w:color="auto"/>
              <w:right w:val="single" w:sz="4" w:space="0" w:color="auto"/>
            </w:tcBorders>
            <w:shd w:val="clear" w:color="auto" w:fill="auto"/>
            <w:noWrap/>
            <w:vAlign w:val="center"/>
          </w:tcPr>
          <w:p w14:paraId="2E87D77F" w14:textId="77D84FB7"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2C62F20A" w14:textId="66B3179E"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6AEC275F" w14:textId="574D2B41"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00AF5B21" w14:textId="46814A3C"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center"/>
          </w:tcPr>
          <w:p w14:paraId="6247BEF4" w14:textId="6E72BC6F"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757578CB" w14:textId="4F462A3F"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36A80D77" w14:textId="4AFF9ABF"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681962AC" w14:textId="444861F7" w:rsidR="00451273" w:rsidRPr="0053555E" w:rsidRDefault="00451273" w:rsidP="00451273">
            <w:pPr>
              <w:jc w:val="center"/>
              <w:rPr>
                <w:rFonts w:asciiTheme="majorHAnsi" w:eastAsia="Times New Roman" w:hAnsiTheme="majorHAnsi" w:cstheme="majorHAnsi"/>
                <w:sz w:val="20"/>
                <w:szCs w:val="20"/>
                <w:lang w:eastAsia="sk-SK"/>
              </w:rPr>
            </w:pPr>
          </w:p>
        </w:tc>
      </w:tr>
      <w:tr w:rsidR="00451273" w:rsidRPr="0053555E" w14:paraId="4192351C"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4F3CC4E1" w14:textId="27458DB3"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Cenu Slovenskej spoločnosti pre techniku prostredia (SSTP)</w:t>
            </w:r>
          </w:p>
        </w:tc>
        <w:tc>
          <w:tcPr>
            <w:tcW w:w="566" w:type="dxa"/>
            <w:tcBorders>
              <w:top w:val="nil"/>
              <w:left w:val="nil"/>
              <w:bottom w:val="single" w:sz="4" w:space="0" w:color="auto"/>
              <w:right w:val="single" w:sz="4" w:space="0" w:color="auto"/>
            </w:tcBorders>
            <w:shd w:val="clear" w:color="auto" w:fill="auto"/>
            <w:noWrap/>
            <w:vAlign w:val="center"/>
          </w:tcPr>
          <w:p w14:paraId="6959C55A" w14:textId="407727A0"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33F4F0D4" w14:textId="3887845D"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1</w:t>
            </w:r>
          </w:p>
        </w:tc>
        <w:tc>
          <w:tcPr>
            <w:tcW w:w="567" w:type="dxa"/>
            <w:tcBorders>
              <w:top w:val="nil"/>
              <w:left w:val="nil"/>
              <w:bottom w:val="single" w:sz="4" w:space="0" w:color="auto"/>
              <w:right w:val="single" w:sz="4" w:space="0" w:color="auto"/>
            </w:tcBorders>
            <w:shd w:val="clear" w:color="auto" w:fill="auto"/>
            <w:vAlign w:val="center"/>
          </w:tcPr>
          <w:p w14:paraId="56C7B467" w14:textId="627A7A64" w:rsidR="00451273" w:rsidRPr="0053555E" w:rsidRDefault="00451273" w:rsidP="00451273">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tcPr>
          <w:p w14:paraId="4660C6E2" w14:textId="184F1AC4"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09BAA26C" w14:textId="42B3DF77"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57F5C64D" w14:textId="51CF9F28"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0AC5533D" w14:textId="4AE073FE"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4F1707C7" w14:textId="27E31481" w:rsidR="00451273" w:rsidRPr="0053555E" w:rsidRDefault="00451273" w:rsidP="00451273">
            <w:pPr>
              <w:jc w:val="center"/>
              <w:rPr>
                <w:rFonts w:asciiTheme="majorHAnsi" w:eastAsia="Times New Roman" w:hAnsiTheme="majorHAnsi" w:cstheme="majorHAnsi"/>
                <w:sz w:val="20"/>
                <w:szCs w:val="20"/>
                <w:lang w:eastAsia="sk-SK"/>
              </w:rPr>
            </w:pPr>
          </w:p>
        </w:tc>
      </w:tr>
      <w:tr w:rsidR="00451273" w:rsidRPr="0053555E" w14:paraId="6ECE6AA3"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210C4884" w14:textId="48846C97"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Duslo, a.</w:t>
            </w:r>
            <w:r w:rsidR="00C77E2A">
              <w:rPr>
                <w:rFonts w:cs="Calibri"/>
                <w:sz w:val="20"/>
                <w:szCs w:val="20"/>
              </w:rPr>
              <w:t xml:space="preserve"> </w:t>
            </w:r>
            <w:r w:rsidRPr="0053555E">
              <w:rPr>
                <w:rFonts w:cs="Calibri"/>
                <w:sz w:val="20"/>
                <w:szCs w:val="20"/>
              </w:rPr>
              <w:t>s.</w:t>
            </w:r>
          </w:p>
        </w:tc>
        <w:tc>
          <w:tcPr>
            <w:tcW w:w="566" w:type="dxa"/>
            <w:tcBorders>
              <w:top w:val="nil"/>
              <w:left w:val="nil"/>
              <w:bottom w:val="single" w:sz="4" w:space="0" w:color="auto"/>
              <w:right w:val="single" w:sz="4" w:space="0" w:color="auto"/>
            </w:tcBorders>
            <w:shd w:val="clear" w:color="auto" w:fill="auto"/>
            <w:noWrap/>
            <w:vAlign w:val="center"/>
          </w:tcPr>
          <w:p w14:paraId="6F46C585" w14:textId="3638009D"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091469CB" w14:textId="7FD35977"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6F2B4891" w14:textId="0FB63E80" w:rsidR="00451273" w:rsidRPr="0053555E" w:rsidRDefault="00451273" w:rsidP="00451273">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tcPr>
          <w:p w14:paraId="6A8BC8E0" w14:textId="5774027D"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0FA6304A" w14:textId="0990BCDD"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75974479" w14:textId="2519AD6E"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472ABBA2" w14:textId="1FCEB29D"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4D6D226C" w14:textId="4D964F30" w:rsidR="00451273" w:rsidRPr="0053555E" w:rsidRDefault="00451273" w:rsidP="00451273">
            <w:pPr>
              <w:jc w:val="center"/>
              <w:rPr>
                <w:rFonts w:asciiTheme="majorHAnsi" w:eastAsia="Times New Roman" w:hAnsiTheme="majorHAnsi" w:cstheme="majorHAnsi"/>
                <w:sz w:val="20"/>
                <w:szCs w:val="20"/>
                <w:lang w:eastAsia="sk-SK"/>
              </w:rPr>
            </w:pPr>
          </w:p>
        </w:tc>
      </w:tr>
      <w:tr w:rsidR="00451273" w:rsidRPr="0053555E" w14:paraId="66ED30CB"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noWrap/>
          </w:tcPr>
          <w:p w14:paraId="7FDDF482" w14:textId="1B46C336"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Enviral, a.</w:t>
            </w:r>
            <w:r w:rsidR="00C77E2A">
              <w:rPr>
                <w:rFonts w:cs="Calibri"/>
                <w:sz w:val="20"/>
                <w:szCs w:val="20"/>
              </w:rPr>
              <w:t xml:space="preserve"> </w:t>
            </w:r>
            <w:r w:rsidRPr="0053555E">
              <w:rPr>
                <w:rFonts w:cs="Calibri"/>
                <w:sz w:val="20"/>
                <w:szCs w:val="20"/>
              </w:rPr>
              <w:t>s.</w:t>
            </w:r>
          </w:p>
        </w:tc>
        <w:tc>
          <w:tcPr>
            <w:tcW w:w="566" w:type="dxa"/>
            <w:tcBorders>
              <w:top w:val="nil"/>
              <w:left w:val="nil"/>
              <w:bottom w:val="single" w:sz="4" w:space="0" w:color="auto"/>
              <w:right w:val="single" w:sz="4" w:space="0" w:color="auto"/>
            </w:tcBorders>
            <w:shd w:val="clear" w:color="auto" w:fill="auto"/>
            <w:noWrap/>
            <w:vAlign w:val="center"/>
          </w:tcPr>
          <w:p w14:paraId="00FA24D4" w14:textId="1D7C588F"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17638766" w14:textId="6A1C239D"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604E183D" w14:textId="5D8864C1" w:rsidR="00451273" w:rsidRPr="0053555E" w:rsidRDefault="00451273" w:rsidP="00451273">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tcPr>
          <w:p w14:paraId="2F04CCBE" w14:textId="0F45A3C1"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2</w:t>
            </w:r>
          </w:p>
        </w:tc>
        <w:tc>
          <w:tcPr>
            <w:tcW w:w="638" w:type="dxa"/>
            <w:tcBorders>
              <w:top w:val="nil"/>
              <w:left w:val="nil"/>
              <w:bottom w:val="single" w:sz="4" w:space="0" w:color="auto"/>
              <w:right w:val="single" w:sz="4" w:space="0" w:color="auto"/>
            </w:tcBorders>
            <w:shd w:val="clear" w:color="auto" w:fill="auto"/>
            <w:vAlign w:val="center"/>
          </w:tcPr>
          <w:p w14:paraId="662F5875" w14:textId="10AA1B97"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41616CA0" w14:textId="651F1E04"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51911416" w14:textId="57A6F49F"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45BC614A" w14:textId="1A68B25E" w:rsidR="00451273" w:rsidRPr="0053555E" w:rsidRDefault="00451273" w:rsidP="00451273">
            <w:pPr>
              <w:jc w:val="center"/>
              <w:rPr>
                <w:rFonts w:asciiTheme="majorHAnsi" w:eastAsia="Times New Roman" w:hAnsiTheme="majorHAnsi" w:cstheme="majorHAnsi"/>
                <w:sz w:val="20"/>
                <w:szCs w:val="20"/>
                <w:lang w:eastAsia="sk-SK"/>
              </w:rPr>
            </w:pPr>
          </w:p>
        </w:tc>
      </w:tr>
      <w:tr w:rsidR="00451273" w:rsidRPr="0053555E" w14:paraId="69014830"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tcPr>
          <w:p w14:paraId="3475BE94" w14:textId="30C82EF1" w:rsidR="00451273" w:rsidRPr="0053555E" w:rsidRDefault="00451273" w:rsidP="00451273">
            <w:pPr>
              <w:rPr>
                <w:rFonts w:asciiTheme="majorHAnsi" w:eastAsia="Times New Roman" w:hAnsiTheme="majorHAnsi" w:cstheme="majorHAnsi"/>
                <w:sz w:val="20"/>
                <w:szCs w:val="20"/>
                <w:lang w:eastAsia="sk-SK"/>
              </w:rPr>
            </w:pPr>
            <w:r w:rsidRPr="0053555E">
              <w:rPr>
                <w:rFonts w:cs="Calibri"/>
                <w:sz w:val="20"/>
                <w:szCs w:val="20"/>
              </w:rPr>
              <w:t>Evonik Fermas, s.</w:t>
            </w:r>
            <w:r w:rsidR="00C77E2A">
              <w:rPr>
                <w:rFonts w:cs="Calibri"/>
                <w:sz w:val="20"/>
                <w:szCs w:val="20"/>
              </w:rPr>
              <w:t xml:space="preserve"> </w:t>
            </w:r>
            <w:r w:rsidRPr="0053555E">
              <w:rPr>
                <w:rFonts w:cs="Calibri"/>
                <w:sz w:val="20"/>
                <w:szCs w:val="20"/>
              </w:rPr>
              <w:t>r.</w:t>
            </w:r>
            <w:r w:rsidR="00C77E2A">
              <w:rPr>
                <w:rFonts w:cs="Calibri"/>
                <w:sz w:val="20"/>
                <w:szCs w:val="20"/>
              </w:rPr>
              <w:t xml:space="preserve"> </w:t>
            </w:r>
            <w:r w:rsidRPr="0053555E">
              <w:rPr>
                <w:rFonts w:cs="Calibri"/>
                <w:sz w:val="20"/>
                <w:szCs w:val="20"/>
              </w:rPr>
              <w:t>o</w:t>
            </w:r>
            <w:r w:rsidR="00C77E2A">
              <w:rPr>
                <w:rFonts w:cs="Calibri"/>
                <w:sz w:val="20"/>
                <w:szCs w:val="20"/>
              </w:rPr>
              <w:t>.</w:t>
            </w:r>
          </w:p>
        </w:tc>
        <w:tc>
          <w:tcPr>
            <w:tcW w:w="566" w:type="dxa"/>
            <w:tcBorders>
              <w:top w:val="nil"/>
              <w:left w:val="nil"/>
              <w:bottom w:val="single" w:sz="4" w:space="0" w:color="auto"/>
              <w:right w:val="single" w:sz="4" w:space="0" w:color="auto"/>
            </w:tcBorders>
            <w:shd w:val="clear" w:color="auto" w:fill="auto"/>
            <w:noWrap/>
            <w:vAlign w:val="center"/>
          </w:tcPr>
          <w:p w14:paraId="241CFDA6" w14:textId="465E3167"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073B8088" w14:textId="548F21C4" w:rsidR="00451273" w:rsidRPr="0053555E" w:rsidRDefault="00451273" w:rsidP="00451273">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10BE8FDD" w14:textId="548E190D" w:rsidR="00451273" w:rsidRPr="0053555E" w:rsidRDefault="00451273" w:rsidP="00451273">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tcPr>
          <w:p w14:paraId="79A1DC6F" w14:textId="19419126" w:rsidR="00451273" w:rsidRPr="0053555E" w:rsidRDefault="00451273" w:rsidP="00451273">
            <w:pPr>
              <w:jc w:val="center"/>
              <w:rPr>
                <w:rFonts w:asciiTheme="majorHAnsi" w:eastAsia="Times New Roman" w:hAnsiTheme="majorHAnsi" w:cstheme="majorHAnsi"/>
                <w:sz w:val="20"/>
                <w:szCs w:val="20"/>
                <w:lang w:eastAsia="sk-SK"/>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519295A5" w14:textId="68F13743"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7F83B693" w14:textId="75CF5D1C"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7B002B39" w14:textId="3B034B75" w:rsidR="00451273" w:rsidRPr="0053555E" w:rsidRDefault="00451273" w:rsidP="00451273">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5087136E" w14:textId="3D8F7007" w:rsidR="00451273" w:rsidRPr="0053555E" w:rsidRDefault="00451273" w:rsidP="00451273">
            <w:pPr>
              <w:jc w:val="center"/>
              <w:rPr>
                <w:rFonts w:asciiTheme="majorHAnsi" w:eastAsia="Times New Roman" w:hAnsiTheme="majorHAnsi" w:cstheme="majorHAnsi"/>
                <w:sz w:val="20"/>
                <w:szCs w:val="20"/>
                <w:lang w:eastAsia="sk-SK"/>
              </w:rPr>
            </w:pPr>
          </w:p>
        </w:tc>
      </w:tr>
      <w:tr w:rsidR="00973AE6" w:rsidRPr="0053555E" w14:paraId="26491A95" w14:textId="77777777" w:rsidTr="00737317">
        <w:trPr>
          <w:trHeight w:val="20"/>
        </w:trPr>
        <w:tc>
          <w:tcPr>
            <w:tcW w:w="4268" w:type="dxa"/>
            <w:tcBorders>
              <w:top w:val="nil"/>
              <w:left w:val="single" w:sz="4" w:space="0" w:color="auto"/>
              <w:bottom w:val="single" w:sz="4" w:space="0" w:color="auto"/>
              <w:right w:val="single" w:sz="4" w:space="0" w:color="auto"/>
            </w:tcBorders>
            <w:shd w:val="clear" w:color="auto" w:fill="auto"/>
            <w:vAlign w:val="bottom"/>
          </w:tcPr>
          <w:p w14:paraId="713B427C" w14:textId="4899F6FD" w:rsidR="00973AE6" w:rsidRPr="0053555E" w:rsidRDefault="00973AE6" w:rsidP="00973AE6">
            <w:pPr>
              <w:rPr>
                <w:rFonts w:asciiTheme="majorHAnsi" w:eastAsia="Times New Roman" w:hAnsiTheme="majorHAnsi" w:cstheme="majorHAnsi"/>
                <w:sz w:val="20"/>
                <w:szCs w:val="20"/>
                <w:lang w:eastAsia="sk-SK"/>
              </w:rPr>
            </w:pPr>
            <w:r w:rsidRPr="0053555E">
              <w:rPr>
                <w:rFonts w:cs="Calibri"/>
                <w:sz w:val="20"/>
                <w:szCs w:val="20"/>
              </w:rPr>
              <w:t>INSAID AWARD, kategória študent</w:t>
            </w:r>
          </w:p>
        </w:tc>
        <w:tc>
          <w:tcPr>
            <w:tcW w:w="566" w:type="dxa"/>
            <w:tcBorders>
              <w:top w:val="nil"/>
              <w:left w:val="nil"/>
              <w:bottom w:val="single" w:sz="4" w:space="0" w:color="auto"/>
              <w:right w:val="single" w:sz="4" w:space="0" w:color="auto"/>
            </w:tcBorders>
            <w:shd w:val="clear" w:color="auto" w:fill="auto"/>
            <w:noWrap/>
            <w:vAlign w:val="center"/>
          </w:tcPr>
          <w:p w14:paraId="09728237" w14:textId="102128A4" w:rsidR="00973AE6" w:rsidRPr="0053555E" w:rsidRDefault="00973AE6" w:rsidP="00973AE6">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08FA3281" w14:textId="3042DCE6" w:rsidR="00973AE6" w:rsidRPr="0053555E" w:rsidRDefault="00973AE6" w:rsidP="00973AE6">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01702D06" w14:textId="66FDC386" w:rsidR="00973AE6" w:rsidRPr="0053555E" w:rsidRDefault="00973AE6" w:rsidP="00973AE6">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tcPr>
          <w:p w14:paraId="477BEE76" w14:textId="77E9FF8D" w:rsidR="00973AE6" w:rsidRPr="0053555E" w:rsidRDefault="00973AE6" w:rsidP="00973AE6">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7877EFF2" w14:textId="6104C3D9" w:rsidR="00973AE6" w:rsidRPr="0053555E" w:rsidRDefault="00973AE6" w:rsidP="00973AE6">
            <w:pPr>
              <w:jc w:val="center"/>
              <w:rPr>
                <w:rFonts w:asciiTheme="majorHAnsi" w:eastAsia="Times New Roman" w:hAnsiTheme="majorHAnsi" w:cstheme="majorHAnsi"/>
                <w:sz w:val="20"/>
                <w:szCs w:val="20"/>
                <w:lang w:eastAsia="sk-SK"/>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2C3CFC5E" w14:textId="63768E68" w:rsidR="00973AE6" w:rsidRPr="0053555E" w:rsidRDefault="00973AE6" w:rsidP="00973AE6">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3AAA79E4" w14:textId="7F6BBE75" w:rsidR="00973AE6" w:rsidRPr="0053555E" w:rsidRDefault="00973AE6" w:rsidP="00973AE6">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3912EE34" w14:textId="6320E12F" w:rsidR="00973AE6" w:rsidRPr="0053555E" w:rsidRDefault="00973AE6" w:rsidP="00973AE6">
            <w:pPr>
              <w:jc w:val="center"/>
              <w:rPr>
                <w:rFonts w:asciiTheme="majorHAnsi" w:eastAsia="Times New Roman" w:hAnsiTheme="majorHAnsi" w:cstheme="majorHAnsi"/>
                <w:sz w:val="20"/>
                <w:szCs w:val="20"/>
                <w:lang w:eastAsia="sk-SK"/>
              </w:rPr>
            </w:pPr>
          </w:p>
        </w:tc>
      </w:tr>
    </w:tbl>
    <w:p w14:paraId="5BC6B65B" w14:textId="77777777" w:rsidR="00973AE6" w:rsidRPr="0053555E" w:rsidRDefault="00973AE6">
      <w:r w:rsidRPr="0053555E">
        <w:br w:type="page"/>
      </w:r>
    </w:p>
    <w:tbl>
      <w:tblPr>
        <w:tblW w:w="9239" w:type="dxa"/>
        <w:tblInd w:w="-30" w:type="dxa"/>
        <w:tblLayout w:type="fixed"/>
        <w:tblCellMar>
          <w:left w:w="70" w:type="dxa"/>
          <w:right w:w="70" w:type="dxa"/>
        </w:tblCellMar>
        <w:tblLook w:val="04A0" w:firstRow="1" w:lastRow="0" w:firstColumn="1" w:lastColumn="0" w:noHBand="0" w:noVBand="1"/>
      </w:tblPr>
      <w:tblGrid>
        <w:gridCol w:w="4275"/>
        <w:gridCol w:w="567"/>
        <w:gridCol w:w="567"/>
        <w:gridCol w:w="569"/>
        <w:gridCol w:w="709"/>
        <w:gridCol w:w="638"/>
        <w:gridCol w:w="638"/>
        <w:gridCol w:w="638"/>
        <w:gridCol w:w="638"/>
      </w:tblGrid>
      <w:tr w:rsidR="00713F4B" w:rsidRPr="0053555E" w14:paraId="0B6FD697" w14:textId="77777777" w:rsidTr="00CE5B18">
        <w:trPr>
          <w:trHeight w:val="20"/>
        </w:trPr>
        <w:tc>
          <w:tcPr>
            <w:tcW w:w="427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B14D2AD" w14:textId="77777777" w:rsidR="00713F4B" w:rsidRPr="0053555E" w:rsidRDefault="00713F4B" w:rsidP="00652E9F">
            <w:pPr>
              <w:rPr>
                <w:rFonts w:asciiTheme="majorHAnsi" w:hAnsiTheme="majorHAnsi" w:cstheme="majorHAnsi"/>
                <w:sz w:val="20"/>
                <w:szCs w:val="20"/>
              </w:rPr>
            </w:pPr>
            <w:r w:rsidRPr="0053555E">
              <w:rPr>
                <w:rFonts w:asciiTheme="majorHAnsi" w:eastAsia="Times New Roman" w:hAnsiTheme="majorHAnsi" w:cstheme="majorHAnsi"/>
                <w:b/>
                <w:bCs/>
                <w:sz w:val="20"/>
                <w:szCs w:val="20"/>
                <w:lang w:eastAsia="sk-SK"/>
              </w:rPr>
              <w:lastRenderedPageBreak/>
              <w:t>Ocenenia dosiahnuté na národnej úrovni mimo STU</w:t>
            </w: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68E33030" w14:textId="77777777" w:rsidR="00713F4B" w:rsidRPr="0053555E" w:rsidRDefault="00713F4B" w:rsidP="00652E9F">
            <w:pPr>
              <w:jc w:val="center"/>
              <w:rPr>
                <w:rFonts w:asciiTheme="majorHAnsi" w:eastAsia="Times New Roman" w:hAnsiTheme="majorHAnsi" w:cstheme="majorHAnsi"/>
                <w:sz w:val="20"/>
                <w:szCs w:val="20"/>
                <w:lang w:val="en-US" w:eastAsia="sk-SK"/>
              </w:rPr>
            </w:pPr>
            <w:r w:rsidRPr="0053555E">
              <w:rPr>
                <w:rFonts w:asciiTheme="majorHAnsi" w:eastAsia="Times New Roman" w:hAnsiTheme="majorHAnsi" w:cstheme="majorHAnsi"/>
                <w:b/>
                <w:bCs/>
                <w:sz w:val="20"/>
                <w:szCs w:val="20"/>
                <w:lang w:val="en-US" w:eastAsia="sk-SK"/>
              </w:rPr>
              <w:t>SvF</w:t>
            </w: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6EBC8D42" w14:textId="77777777" w:rsidR="00713F4B" w:rsidRPr="0053555E" w:rsidRDefault="00713F4B" w:rsidP="00652E9F">
            <w:pPr>
              <w:jc w:val="center"/>
              <w:rPr>
                <w:rFonts w:asciiTheme="majorHAnsi" w:eastAsia="Times New Roman" w:hAnsiTheme="majorHAnsi" w:cstheme="majorHAnsi"/>
                <w:sz w:val="20"/>
                <w:szCs w:val="20"/>
                <w:lang w:val="en-US" w:eastAsia="sk-SK"/>
              </w:rPr>
            </w:pPr>
            <w:r w:rsidRPr="0053555E">
              <w:rPr>
                <w:rFonts w:asciiTheme="majorHAnsi" w:eastAsia="Times New Roman" w:hAnsiTheme="majorHAnsi" w:cstheme="majorHAnsi"/>
                <w:b/>
                <w:bCs/>
                <w:sz w:val="20"/>
                <w:szCs w:val="20"/>
                <w:lang w:val="en-US" w:eastAsia="sk-SK"/>
              </w:rPr>
              <w:t>SjF</w:t>
            </w:r>
          </w:p>
        </w:tc>
        <w:tc>
          <w:tcPr>
            <w:tcW w:w="569"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5284056D" w14:textId="77777777" w:rsidR="00713F4B" w:rsidRPr="0053555E" w:rsidRDefault="00713F4B" w:rsidP="00652E9F">
            <w:pPr>
              <w:jc w:val="center"/>
              <w:rPr>
                <w:rFonts w:asciiTheme="majorHAnsi" w:eastAsia="Times New Roman" w:hAnsiTheme="majorHAnsi" w:cstheme="majorHAnsi"/>
                <w:sz w:val="20"/>
                <w:szCs w:val="20"/>
                <w:lang w:val="en-US" w:eastAsia="sk-SK"/>
              </w:rPr>
            </w:pPr>
            <w:r w:rsidRPr="0053555E">
              <w:rPr>
                <w:rFonts w:asciiTheme="majorHAnsi" w:eastAsia="Times New Roman" w:hAnsiTheme="majorHAnsi" w:cstheme="majorHAnsi"/>
                <w:b/>
                <w:bCs/>
                <w:sz w:val="20"/>
                <w:szCs w:val="20"/>
                <w:lang w:val="en-US" w:eastAsia="sk-SK"/>
              </w:rPr>
              <w:t>FEI</w:t>
            </w:r>
          </w:p>
        </w:tc>
        <w:tc>
          <w:tcPr>
            <w:tcW w:w="709"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2DD10888" w14:textId="77777777" w:rsidR="00713F4B" w:rsidRPr="0053555E" w:rsidRDefault="00713F4B" w:rsidP="00652E9F">
            <w:pPr>
              <w:jc w:val="center"/>
              <w:rPr>
                <w:rFonts w:asciiTheme="majorHAnsi" w:eastAsia="Times New Roman" w:hAnsiTheme="majorHAnsi" w:cstheme="majorHAnsi"/>
                <w:sz w:val="20"/>
                <w:szCs w:val="20"/>
                <w:lang w:val="en-US" w:eastAsia="sk-SK"/>
              </w:rPr>
            </w:pPr>
            <w:r w:rsidRPr="0053555E">
              <w:rPr>
                <w:rFonts w:asciiTheme="majorHAnsi" w:eastAsia="Times New Roman" w:hAnsiTheme="majorHAnsi" w:cstheme="majorHAnsi"/>
                <w:b/>
                <w:bCs/>
                <w:sz w:val="20"/>
                <w:szCs w:val="20"/>
                <w:lang w:val="en-US" w:eastAsia="sk-SK"/>
              </w:rPr>
              <w:t>FCHPT</w:t>
            </w:r>
          </w:p>
        </w:tc>
        <w:tc>
          <w:tcPr>
            <w:tcW w:w="638"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47410C64" w14:textId="77777777" w:rsidR="00713F4B" w:rsidRPr="0053555E" w:rsidRDefault="00713F4B" w:rsidP="00652E9F">
            <w:pPr>
              <w:jc w:val="center"/>
              <w:rPr>
                <w:rFonts w:asciiTheme="majorHAnsi" w:eastAsia="Times New Roman" w:hAnsiTheme="majorHAnsi" w:cstheme="majorHAnsi"/>
                <w:sz w:val="20"/>
                <w:szCs w:val="20"/>
                <w:lang w:val="en-US" w:eastAsia="sk-SK"/>
              </w:rPr>
            </w:pPr>
            <w:r w:rsidRPr="0053555E">
              <w:rPr>
                <w:rFonts w:asciiTheme="majorHAnsi" w:eastAsia="Times New Roman" w:hAnsiTheme="majorHAnsi" w:cstheme="majorHAnsi"/>
                <w:b/>
                <w:bCs/>
                <w:sz w:val="20"/>
                <w:szCs w:val="20"/>
                <w:lang w:val="en-US" w:eastAsia="sk-SK"/>
              </w:rPr>
              <w:t>FAD</w:t>
            </w:r>
          </w:p>
        </w:tc>
        <w:tc>
          <w:tcPr>
            <w:tcW w:w="638"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25854101" w14:textId="77777777" w:rsidR="00713F4B" w:rsidRPr="0053555E" w:rsidRDefault="00713F4B" w:rsidP="00652E9F">
            <w:pPr>
              <w:jc w:val="center"/>
              <w:rPr>
                <w:rFonts w:asciiTheme="majorHAnsi" w:hAnsiTheme="majorHAnsi" w:cstheme="majorHAnsi"/>
                <w:sz w:val="20"/>
                <w:szCs w:val="20"/>
                <w:lang w:val="en-US"/>
              </w:rPr>
            </w:pPr>
            <w:r w:rsidRPr="0053555E">
              <w:rPr>
                <w:rFonts w:asciiTheme="majorHAnsi" w:eastAsia="Times New Roman" w:hAnsiTheme="majorHAnsi" w:cstheme="majorHAnsi"/>
                <w:b/>
                <w:bCs/>
                <w:sz w:val="20"/>
                <w:szCs w:val="20"/>
                <w:lang w:val="en-US" w:eastAsia="sk-SK"/>
              </w:rPr>
              <w:t>MTF</w:t>
            </w:r>
          </w:p>
        </w:tc>
        <w:tc>
          <w:tcPr>
            <w:tcW w:w="638"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041B93B1" w14:textId="77777777" w:rsidR="00713F4B" w:rsidRPr="0053555E" w:rsidRDefault="00713F4B" w:rsidP="00652E9F">
            <w:pPr>
              <w:jc w:val="center"/>
              <w:rPr>
                <w:rFonts w:asciiTheme="majorHAnsi" w:eastAsia="Times New Roman" w:hAnsiTheme="majorHAnsi" w:cstheme="majorHAnsi"/>
                <w:sz w:val="20"/>
                <w:szCs w:val="20"/>
                <w:lang w:val="en-US" w:eastAsia="sk-SK"/>
              </w:rPr>
            </w:pPr>
            <w:r w:rsidRPr="0053555E">
              <w:rPr>
                <w:rFonts w:asciiTheme="majorHAnsi" w:eastAsia="Times New Roman" w:hAnsiTheme="majorHAnsi" w:cstheme="majorHAnsi"/>
                <w:b/>
                <w:bCs/>
                <w:sz w:val="20"/>
                <w:szCs w:val="20"/>
                <w:lang w:val="en-US" w:eastAsia="sk-SK"/>
              </w:rPr>
              <w:t>FIIT</w:t>
            </w:r>
          </w:p>
        </w:tc>
        <w:tc>
          <w:tcPr>
            <w:tcW w:w="638"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30FD95FD" w14:textId="77777777" w:rsidR="00713F4B" w:rsidRPr="0053555E" w:rsidRDefault="00713F4B" w:rsidP="00652E9F">
            <w:pPr>
              <w:jc w:val="center"/>
              <w:rPr>
                <w:rFonts w:asciiTheme="majorHAnsi" w:eastAsia="Times New Roman" w:hAnsiTheme="majorHAnsi" w:cstheme="majorHAnsi"/>
                <w:sz w:val="20"/>
                <w:szCs w:val="20"/>
                <w:lang w:val="en-US" w:eastAsia="sk-SK"/>
              </w:rPr>
            </w:pPr>
            <w:r w:rsidRPr="0053555E">
              <w:rPr>
                <w:rFonts w:asciiTheme="majorHAnsi" w:eastAsia="Times New Roman" w:hAnsiTheme="majorHAnsi" w:cstheme="majorHAnsi"/>
                <w:b/>
                <w:bCs/>
                <w:sz w:val="20"/>
                <w:szCs w:val="20"/>
                <w:lang w:val="en-US" w:eastAsia="sk-SK"/>
              </w:rPr>
              <w:t>ÚM</w:t>
            </w:r>
          </w:p>
        </w:tc>
      </w:tr>
      <w:tr w:rsidR="003268FD" w:rsidRPr="0053555E" w14:paraId="5FD66794"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bottom"/>
          </w:tcPr>
          <w:p w14:paraId="5C8823DD" w14:textId="73DC2C25"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L´Oréal</w:t>
            </w:r>
          </w:p>
        </w:tc>
        <w:tc>
          <w:tcPr>
            <w:tcW w:w="567" w:type="dxa"/>
            <w:tcBorders>
              <w:top w:val="nil"/>
              <w:left w:val="nil"/>
              <w:bottom w:val="single" w:sz="4" w:space="0" w:color="auto"/>
              <w:right w:val="single" w:sz="4" w:space="0" w:color="auto"/>
            </w:tcBorders>
            <w:shd w:val="clear" w:color="auto" w:fill="auto"/>
            <w:noWrap/>
            <w:vAlign w:val="center"/>
          </w:tcPr>
          <w:p w14:paraId="6DD4BA49" w14:textId="462D27A6"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14FB7D08" w14:textId="3B48A03C"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0EF84EC9" w14:textId="402036CF"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66F3354E" w14:textId="52607C99" w:rsidR="003268FD" w:rsidRPr="0053555E" w:rsidRDefault="003268FD" w:rsidP="003268FD">
            <w:pPr>
              <w:jc w:val="center"/>
              <w:rPr>
                <w:rFonts w:asciiTheme="majorHAnsi" w:hAnsiTheme="majorHAnsi" w:cstheme="majorHAnsi"/>
                <w:sz w:val="20"/>
                <w:szCs w:val="20"/>
              </w:rPr>
            </w:pPr>
            <w:r w:rsidRPr="0053555E">
              <w:rPr>
                <w:rFonts w:cs="Calibri"/>
                <w:sz w:val="20"/>
                <w:szCs w:val="20"/>
              </w:rPr>
              <w:t>2</w:t>
            </w:r>
          </w:p>
        </w:tc>
        <w:tc>
          <w:tcPr>
            <w:tcW w:w="638" w:type="dxa"/>
            <w:tcBorders>
              <w:top w:val="nil"/>
              <w:left w:val="nil"/>
              <w:bottom w:val="single" w:sz="4" w:space="0" w:color="auto"/>
              <w:right w:val="single" w:sz="4" w:space="0" w:color="auto"/>
            </w:tcBorders>
            <w:shd w:val="clear" w:color="auto" w:fill="auto"/>
            <w:noWrap/>
            <w:vAlign w:val="center"/>
          </w:tcPr>
          <w:p w14:paraId="1B50EBB2" w14:textId="40B8802B"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0A6ED6E5" w14:textId="4C1E47E2"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936D0C1" w14:textId="2E2492BE"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6F3537B" w14:textId="2B567072" w:rsidR="003268FD" w:rsidRPr="0053555E" w:rsidRDefault="003268FD" w:rsidP="003268FD">
            <w:pPr>
              <w:jc w:val="center"/>
              <w:rPr>
                <w:rFonts w:asciiTheme="majorHAnsi" w:hAnsiTheme="majorHAnsi" w:cstheme="majorHAnsi"/>
                <w:sz w:val="20"/>
                <w:szCs w:val="20"/>
              </w:rPr>
            </w:pPr>
          </w:p>
        </w:tc>
      </w:tr>
      <w:tr w:rsidR="003268FD" w:rsidRPr="0053555E" w14:paraId="7DC06025"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bottom"/>
          </w:tcPr>
          <w:p w14:paraId="3F50870F" w14:textId="4437A32A" w:rsidR="003268FD" w:rsidRPr="0053555E" w:rsidRDefault="003268FD" w:rsidP="003268FD">
            <w:pPr>
              <w:rPr>
                <w:rFonts w:cs="Calibri"/>
                <w:sz w:val="20"/>
                <w:szCs w:val="20"/>
              </w:rPr>
            </w:pPr>
            <w:r w:rsidRPr="0053555E">
              <w:rPr>
                <w:rFonts w:cs="Calibri"/>
                <w:sz w:val="20"/>
                <w:szCs w:val="20"/>
              </w:rPr>
              <w:t xml:space="preserve">Lifbee Academy, kategória MedTech Lab </w:t>
            </w:r>
          </w:p>
        </w:tc>
        <w:tc>
          <w:tcPr>
            <w:tcW w:w="567" w:type="dxa"/>
            <w:tcBorders>
              <w:top w:val="nil"/>
              <w:left w:val="nil"/>
              <w:bottom w:val="single" w:sz="4" w:space="0" w:color="auto"/>
              <w:right w:val="single" w:sz="4" w:space="0" w:color="auto"/>
            </w:tcBorders>
            <w:shd w:val="clear" w:color="auto" w:fill="auto"/>
            <w:noWrap/>
            <w:vAlign w:val="center"/>
          </w:tcPr>
          <w:p w14:paraId="0F5A32AE" w14:textId="4D56F5C7" w:rsidR="003268FD" w:rsidRPr="0053555E" w:rsidRDefault="003268FD" w:rsidP="003268FD">
            <w:pPr>
              <w:ind w:firstLineChars="100" w:firstLine="200"/>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1256E3BA" w14:textId="6C37F623" w:rsidR="003268FD" w:rsidRPr="0053555E" w:rsidRDefault="003268FD" w:rsidP="003268FD">
            <w:pPr>
              <w:ind w:firstLineChars="100" w:firstLine="200"/>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2A6B17FC" w14:textId="2EE38714"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6983E7F9" w14:textId="2B0C3A3A" w:rsidR="003268FD" w:rsidRPr="0053555E" w:rsidRDefault="003268FD" w:rsidP="003268FD">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04673BF7" w14:textId="2D071744"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0774138E" w14:textId="7EAF7ACD"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0B1ED122" w14:textId="5600FB24"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849AEB6" w14:textId="0119CE03" w:rsidR="003268FD" w:rsidRPr="0053555E" w:rsidRDefault="003268FD" w:rsidP="003268FD">
            <w:pPr>
              <w:jc w:val="center"/>
              <w:rPr>
                <w:rFonts w:asciiTheme="majorHAnsi" w:hAnsiTheme="majorHAnsi" w:cstheme="majorHAnsi"/>
                <w:sz w:val="20"/>
                <w:szCs w:val="20"/>
              </w:rPr>
            </w:pPr>
          </w:p>
        </w:tc>
      </w:tr>
      <w:tr w:rsidR="003268FD" w:rsidRPr="0053555E" w14:paraId="32972FC2"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bottom"/>
          </w:tcPr>
          <w:p w14:paraId="58355816" w14:textId="642AAA09" w:rsidR="003268FD" w:rsidRPr="0053555E" w:rsidRDefault="003268FD" w:rsidP="003268FD">
            <w:pPr>
              <w:rPr>
                <w:rFonts w:cs="Calibri"/>
                <w:sz w:val="20"/>
                <w:szCs w:val="20"/>
              </w:rPr>
            </w:pPr>
            <w:r w:rsidRPr="0053555E">
              <w:rPr>
                <w:rFonts w:cs="Calibri"/>
                <w:sz w:val="20"/>
                <w:szCs w:val="20"/>
              </w:rPr>
              <w:t>Martinus</w:t>
            </w:r>
          </w:p>
        </w:tc>
        <w:tc>
          <w:tcPr>
            <w:tcW w:w="567" w:type="dxa"/>
            <w:tcBorders>
              <w:top w:val="nil"/>
              <w:left w:val="nil"/>
              <w:bottom w:val="single" w:sz="4" w:space="0" w:color="auto"/>
              <w:right w:val="single" w:sz="4" w:space="0" w:color="auto"/>
            </w:tcBorders>
            <w:shd w:val="clear" w:color="auto" w:fill="auto"/>
            <w:noWrap/>
            <w:vAlign w:val="center"/>
          </w:tcPr>
          <w:p w14:paraId="11812C85" w14:textId="1C1FB168" w:rsidR="003268FD" w:rsidRPr="0053555E" w:rsidRDefault="003268FD" w:rsidP="003268FD">
            <w:pPr>
              <w:ind w:firstLineChars="100" w:firstLine="200"/>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2395ACB4" w14:textId="39EA7C79" w:rsidR="003268FD" w:rsidRPr="0053555E" w:rsidRDefault="003268FD" w:rsidP="003268FD">
            <w:pPr>
              <w:ind w:firstLineChars="100" w:firstLine="200"/>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400F4CAF" w14:textId="69C1E8F9"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25FDA081" w14:textId="0330CA84" w:rsidR="003268FD" w:rsidRPr="0053555E" w:rsidRDefault="003268FD" w:rsidP="003268FD">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0E0340EB" w14:textId="79594721"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DDE38DC" w14:textId="3899A4EF"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1382052" w14:textId="19890536"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13CBFCF" w14:textId="04144ADF" w:rsidR="003268FD" w:rsidRPr="0053555E" w:rsidRDefault="003268FD" w:rsidP="003268FD">
            <w:pPr>
              <w:jc w:val="center"/>
              <w:rPr>
                <w:rFonts w:asciiTheme="majorHAnsi" w:hAnsiTheme="majorHAnsi" w:cstheme="majorHAnsi"/>
                <w:sz w:val="20"/>
                <w:szCs w:val="20"/>
              </w:rPr>
            </w:pPr>
          </w:p>
        </w:tc>
      </w:tr>
      <w:tr w:rsidR="003268FD" w:rsidRPr="0053555E" w14:paraId="68B22040"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6D0FEADC" w14:textId="30A4FB06" w:rsidR="003268FD" w:rsidRPr="0053555E" w:rsidRDefault="003268FD" w:rsidP="003268FD">
            <w:pPr>
              <w:rPr>
                <w:rFonts w:cs="Calibri"/>
                <w:sz w:val="20"/>
                <w:szCs w:val="20"/>
              </w:rPr>
            </w:pPr>
            <w:r w:rsidRPr="0053555E">
              <w:rPr>
                <w:rFonts w:cs="Calibri"/>
                <w:sz w:val="20"/>
                <w:szCs w:val="20"/>
              </w:rPr>
              <w:t>Mc Carter a.</w:t>
            </w:r>
            <w:r w:rsidR="00172234">
              <w:rPr>
                <w:rFonts w:cs="Calibri"/>
                <w:sz w:val="20"/>
                <w:szCs w:val="20"/>
              </w:rPr>
              <w:t xml:space="preserve"> </w:t>
            </w:r>
            <w:r w:rsidRPr="0053555E">
              <w:rPr>
                <w:rFonts w:cs="Calibri"/>
                <w:sz w:val="20"/>
                <w:szCs w:val="20"/>
              </w:rPr>
              <w:t>s.</w:t>
            </w:r>
          </w:p>
        </w:tc>
        <w:tc>
          <w:tcPr>
            <w:tcW w:w="567" w:type="dxa"/>
            <w:tcBorders>
              <w:top w:val="nil"/>
              <w:left w:val="nil"/>
              <w:bottom w:val="single" w:sz="4" w:space="0" w:color="auto"/>
              <w:right w:val="single" w:sz="4" w:space="0" w:color="auto"/>
            </w:tcBorders>
            <w:shd w:val="clear" w:color="auto" w:fill="auto"/>
            <w:noWrap/>
            <w:vAlign w:val="center"/>
          </w:tcPr>
          <w:p w14:paraId="16B1DB68" w14:textId="06E59BA8" w:rsidR="003268FD" w:rsidRPr="0053555E" w:rsidRDefault="003268FD" w:rsidP="003268FD">
            <w:pPr>
              <w:ind w:firstLineChars="100" w:firstLine="200"/>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403AE465" w14:textId="73B60D30" w:rsidR="003268FD" w:rsidRPr="0053555E" w:rsidRDefault="003268FD" w:rsidP="003268FD">
            <w:pPr>
              <w:ind w:firstLineChars="100" w:firstLine="200"/>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2E58D8B3" w14:textId="4F138913"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217E14FC" w14:textId="6FFCE7BD" w:rsidR="003268FD" w:rsidRPr="0053555E" w:rsidRDefault="003268FD" w:rsidP="003268FD">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7CF7C5BC" w14:textId="0FEF37F3"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869B45C" w14:textId="00B08BC8"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A38F907" w14:textId="40150012"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6B63F96" w14:textId="710AA2D0" w:rsidR="003268FD" w:rsidRPr="0053555E" w:rsidRDefault="003268FD" w:rsidP="003268FD">
            <w:pPr>
              <w:jc w:val="center"/>
              <w:rPr>
                <w:rFonts w:asciiTheme="majorHAnsi" w:hAnsiTheme="majorHAnsi" w:cstheme="majorHAnsi"/>
                <w:sz w:val="20"/>
                <w:szCs w:val="20"/>
              </w:rPr>
            </w:pPr>
          </w:p>
        </w:tc>
      </w:tr>
      <w:tr w:rsidR="003268FD" w:rsidRPr="0053555E" w14:paraId="6BF295CE"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148C3163" w14:textId="6AFAC002"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Mondi SCP, a.</w:t>
            </w:r>
            <w:r w:rsidR="00172234">
              <w:rPr>
                <w:rFonts w:cs="Calibri"/>
                <w:sz w:val="20"/>
                <w:szCs w:val="20"/>
              </w:rPr>
              <w:t xml:space="preserve"> </w:t>
            </w:r>
            <w:r w:rsidRPr="0053555E">
              <w:rPr>
                <w:rFonts w:cs="Calibri"/>
                <w:sz w:val="20"/>
                <w:szCs w:val="20"/>
              </w:rPr>
              <w:t>s.</w:t>
            </w:r>
          </w:p>
        </w:tc>
        <w:tc>
          <w:tcPr>
            <w:tcW w:w="567" w:type="dxa"/>
            <w:tcBorders>
              <w:top w:val="nil"/>
              <w:left w:val="nil"/>
              <w:bottom w:val="single" w:sz="4" w:space="0" w:color="auto"/>
              <w:right w:val="single" w:sz="4" w:space="0" w:color="auto"/>
            </w:tcBorders>
            <w:shd w:val="clear" w:color="auto" w:fill="auto"/>
            <w:noWrap/>
            <w:vAlign w:val="center"/>
          </w:tcPr>
          <w:p w14:paraId="614F5949" w14:textId="31912A57" w:rsidR="003268FD" w:rsidRPr="0053555E" w:rsidRDefault="003268FD" w:rsidP="003268FD">
            <w:pPr>
              <w:ind w:firstLineChars="100" w:firstLine="200"/>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3C2139CF" w14:textId="2A24E579" w:rsidR="003268FD" w:rsidRPr="0053555E" w:rsidRDefault="003268FD" w:rsidP="003268FD">
            <w:pPr>
              <w:ind w:firstLineChars="100" w:firstLine="200"/>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61B39071" w14:textId="3B7E77F7"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40B91B83" w14:textId="287C9DC2" w:rsidR="003268FD" w:rsidRPr="0053555E" w:rsidRDefault="003268FD" w:rsidP="003268FD">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18614FFA" w14:textId="0ED81DFD"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845E60F" w14:textId="5A44720C"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C97CF26" w14:textId="6CDC4B5F"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6F2CEC1" w14:textId="674212E8" w:rsidR="003268FD" w:rsidRPr="0053555E" w:rsidRDefault="003268FD" w:rsidP="003268FD">
            <w:pPr>
              <w:jc w:val="center"/>
              <w:rPr>
                <w:rFonts w:asciiTheme="majorHAnsi" w:hAnsiTheme="majorHAnsi" w:cstheme="majorHAnsi"/>
                <w:sz w:val="20"/>
                <w:szCs w:val="20"/>
              </w:rPr>
            </w:pPr>
          </w:p>
        </w:tc>
      </w:tr>
      <w:tr w:rsidR="003268FD" w:rsidRPr="0053555E" w14:paraId="28BF17EA"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noWrap/>
          </w:tcPr>
          <w:p w14:paraId="5469FBEB" w14:textId="2555CDA0"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Nadácia pre rozvoj FCHPT STU</w:t>
            </w:r>
          </w:p>
        </w:tc>
        <w:tc>
          <w:tcPr>
            <w:tcW w:w="567" w:type="dxa"/>
            <w:tcBorders>
              <w:top w:val="nil"/>
              <w:left w:val="nil"/>
              <w:bottom w:val="single" w:sz="4" w:space="0" w:color="auto"/>
              <w:right w:val="single" w:sz="4" w:space="0" w:color="auto"/>
            </w:tcBorders>
            <w:shd w:val="clear" w:color="auto" w:fill="auto"/>
            <w:noWrap/>
            <w:vAlign w:val="center"/>
          </w:tcPr>
          <w:p w14:paraId="00F2386C" w14:textId="291208D3"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676B36BD" w14:textId="64841052"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vAlign w:val="center"/>
          </w:tcPr>
          <w:p w14:paraId="171FD0A6" w14:textId="7DCD254E"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3A942308" w14:textId="418AF055" w:rsidR="003268FD" w:rsidRPr="0053555E" w:rsidRDefault="003268FD" w:rsidP="003268FD">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center"/>
          </w:tcPr>
          <w:p w14:paraId="6010C29F" w14:textId="58B8D93B"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7E0729FF" w14:textId="09F009E9"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73E30C7A" w14:textId="591807CC"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8629370" w14:textId="14032E68" w:rsidR="003268FD" w:rsidRPr="0053555E" w:rsidRDefault="003268FD" w:rsidP="003268FD">
            <w:pPr>
              <w:jc w:val="center"/>
              <w:rPr>
                <w:rFonts w:asciiTheme="majorHAnsi" w:hAnsiTheme="majorHAnsi" w:cstheme="majorHAnsi"/>
                <w:sz w:val="20"/>
                <w:szCs w:val="20"/>
              </w:rPr>
            </w:pPr>
          </w:p>
        </w:tc>
      </w:tr>
      <w:tr w:rsidR="003268FD" w:rsidRPr="0053555E" w14:paraId="7C006996"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460538E2" w14:textId="77F0CBBF"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OZ priateľov dejín techniky a vynálezov</w:t>
            </w:r>
          </w:p>
        </w:tc>
        <w:tc>
          <w:tcPr>
            <w:tcW w:w="567" w:type="dxa"/>
            <w:tcBorders>
              <w:top w:val="nil"/>
              <w:left w:val="nil"/>
              <w:bottom w:val="single" w:sz="4" w:space="0" w:color="auto"/>
              <w:right w:val="single" w:sz="4" w:space="0" w:color="auto"/>
            </w:tcBorders>
            <w:shd w:val="clear" w:color="auto" w:fill="auto"/>
            <w:noWrap/>
            <w:vAlign w:val="center"/>
          </w:tcPr>
          <w:p w14:paraId="51641DE0" w14:textId="33E9497D"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08DB0A2C" w14:textId="397310ED"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5621EDC2" w14:textId="421D14BA"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6EAB1905" w14:textId="2A1E06F0" w:rsidR="003268FD" w:rsidRPr="0053555E" w:rsidRDefault="003268FD" w:rsidP="003268FD">
            <w:pPr>
              <w:jc w:val="center"/>
              <w:rPr>
                <w:rFonts w:asciiTheme="majorHAnsi" w:hAnsiTheme="majorHAnsi" w:cstheme="majorHAnsi"/>
                <w:sz w:val="20"/>
                <w:szCs w:val="20"/>
              </w:rPr>
            </w:pPr>
            <w:r w:rsidRPr="0053555E">
              <w:rPr>
                <w:rFonts w:cs="Calibri"/>
                <w:sz w:val="20"/>
                <w:szCs w:val="20"/>
              </w:rPr>
              <w:t>4</w:t>
            </w:r>
          </w:p>
        </w:tc>
        <w:tc>
          <w:tcPr>
            <w:tcW w:w="638" w:type="dxa"/>
            <w:tcBorders>
              <w:top w:val="nil"/>
              <w:left w:val="nil"/>
              <w:bottom w:val="single" w:sz="4" w:space="0" w:color="auto"/>
              <w:right w:val="single" w:sz="4" w:space="0" w:color="auto"/>
            </w:tcBorders>
            <w:shd w:val="clear" w:color="auto" w:fill="auto"/>
            <w:noWrap/>
            <w:vAlign w:val="center"/>
          </w:tcPr>
          <w:p w14:paraId="34EBC416" w14:textId="6318274C"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3CE4FCA" w14:textId="766D8870"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CD7E362" w14:textId="317F29A6"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13AE8C3" w14:textId="46727F01" w:rsidR="003268FD" w:rsidRPr="0053555E" w:rsidRDefault="003268FD" w:rsidP="003268FD">
            <w:pPr>
              <w:jc w:val="center"/>
              <w:rPr>
                <w:rFonts w:asciiTheme="majorHAnsi" w:hAnsiTheme="majorHAnsi" w:cstheme="majorHAnsi"/>
                <w:sz w:val="20"/>
                <w:szCs w:val="20"/>
              </w:rPr>
            </w:pPr>
          </w:p>
        </w:tc>
      </w:tr>
      <w:tr w:rsidR="003268FD" w:rsidRPr="0053555E" w14:paraId="212D350C"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36DF9D4C" w14:textId="13C0EAC2"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RAJO, a.</w:t>
            </w:r>
            <w:r w:rsidR="00172234">
              <w:rPr>
                <w:rFonts w:cs="Calibri"/>
                <w:sz w:val="20"/>
                <w:szCs w:val="20"/>
              </w:rPr>
              <w:t xml:space="preserve"> </w:t>
            </w:r>
            <w:r w:rsidRPr="0053555E">
              <w:rPr>
                <w:rFonts w:cs="Calibri"/>
                <w:sz w:val="20"/>
                <w:szCs w:val="20"/>
              </w:rPr>
              <w:t>s.</w:t>
            </w:r>
          </w:p>
        </w:tc>
        <w:tc>
          <w:tcPr>
            <w:tcW w:w="567" w:type="dxa"/>
            <w:tcBorders>
              <w:top w:val="nil"/>
              <w:left w:val="nil"/>
              <w:bottom w:val="single" w:sz="4" w:space="0" w:color="auto"/>
              <w:right w:val="single" w:sz="4" w:space="0" w:color="auto"/>
            </w:tcBorders>
            <w:shd w:val="clear" w:color="auto" w:fill="auto"/>
            <w:noWrap/>
            <w:vAlign w:val="center"/>
          </w:tcPr>
          <w:p w14:paraId="3BA2458D" w14:textId="17B51B27" w:rsidR="003268FD" w:rsidRPr="0053555E" w:rsidRDefault="003268FD" w:rsidP="003268FD">
            <w:pPr>
              <w:ind w:firstLineChars="100" w:firstLine="200"/>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5B52FD00" w14:textId="0E5D2699" w:rsidR="003268FD" w:rsidRPr="0053555E" w:rsidRDefault="003268FD" w:rsidP="003268FD">
            <w:pPr>
              <w:ind w:firstLineChars="100" w:firstLine="200"/>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19C0CD7B" w14:textId="70B0F2EB"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1497B16A" w14:textId="364D502C" w:rsidR="003268FD" w:rsidRPr="0053555E" w:rsidRDefault="003268FD" w:rsidP="003268FD">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1A7DFF29" w14:textId="642095CF"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EB27E97" w14:textId="6FE29FFD"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0AF579F" w14:textId="4AD531C1"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1C156D6" w14:textId="30A87D21" w:rsidR="003268FD" w:rsidRPr="0053555E" w:rsidRDefault="003268FD" w:rsidP="003268FD">
            <w:pPr>
              <w:jc w:val="center"/>
              <w:rPr>
                <w:rFonts w:asciiTheme="majorHAnsi" w:hAnsiTheme="majorHAnsi" w:cstheme="majorHAnsi"/>
                <w:sz w:val="20"/>
                <w:szCs w:val="20"/>
              </w:rPr>
            </w:pPr>
          </w:p>
        </w:tc>
      </w:tr>
      <w:tr w:rsidR="003268FD" w:rsidRPr="0053555E" w14:paraId="79830824"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noWrap/>
          </w:tcPr>
          <w:p w14:paraId="5E58D703" w14:textId="5040A6DD"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Saneca Pharmaceuticals, a.s.</w:t>
            </w:r>
          </w:p>
        </w:tc>
        <w:tc>
          <w:tcPr>
            <w:tcW w:w="567" w:type="dxa"/>
            <w:tcBorders>
              <w:top w:val="nil"/>
              <w:left w:val="nil"/>
              <w:bottom w:val="single" w:sz="4" w:space="0" w:color="auto"/>
              <w:right w:val="single" w:sz="4" w:space="0" w:color="auto"/>
            </w:tcBorders>
            <w:shd w:val="clear" w:color="auto" w:fill="auto"/>
            <w:noWrap/>
            <w:vAlign w:val="center"/>
          </w:tcPr>
          <w:p w14:paraId="113D7D23" w14:textId="19DF595F"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7EF66288" w14:textId="269E6E89"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4D2EEBCC" w14:textId="4F6408EC"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1C18DCA2" w14:textId="5DB8CEE3" w:rsidR="003268FD" w:rsidRPr="0053555E" w:rsidRDefault="003268FD" w:rsidP="003268FD">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00D4FF6F" w14:textId="6162AA9D"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0657EADE" w14:textId="5B40D61B"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5D9FA33" w14:textId="55633DA5"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6605AAA" w14:textId="51200B6D" w:rsidR="003268FD" w:rsidRPr="0053555E" w:rsidRDefault="003268FD" w:rsidP="003268FD">
            <w:pPr>
              <w:jc w:val="center"/>
              <w:rPr>
                <w:rFonts w:asciiTheme="majorHAnsi" w:hAnsiTheme="majorHAnsi" w:cstheme="majorHAnsi"/>
                <w:sz w:val="20"/>
                <w:szCs w:val="20"/>
              </w:rPr>
            </w:pPr>
          </w:p>
        </w:tc>
      </w:tr>
      <w:tr w:rsidR="003268FD" w:rsidRPr="0053555E" w14:paraId="785AA3CC"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32DC4BDC" w14:textId="56E883E6"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Siemens Slovensko</w:t>
            </w:r>
          </w:p>
        </w:tc>
        <w:tc>
          <w:tcPr>
            <w:tcW w:w="567" w:type="dxa"/>
            <w:tcBorders>
              <w:top w:val="nil"/>
              <w:left w:val="nil"/>
              <w:bottom w:val="single" w:sz="4" w:space="0" w:color="auto"/>
              <w:right w:val="single" w:sz="4" w:space="0" w:color="auto"/>
            </w:tcBorders>
            <w:shd w:val="clear" w:color="auto" w:fill="auto"/>
            <w:noWrap/>
            <w:vAlign w:val="center"/>
          </w:tcPr>
          <w:p w14:paraId="4856F749" w14:textId="28745FD0"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4B59867B" w14:textId="27034507"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44890A27" w14:textId="4BB720C6"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58576278" w14:textId="143D45E8" w:rsidR="003268FD" w:rsidRPr="0053555E" w:rsidRDefault="003268FD" w:rsidP="003268FD">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2B696971" w14:textId="11E1F08A"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05FED159" w14:textId="297F40B4"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BB1E6C7" w14:textId="0587100C"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2EF108D" w14:textId="21383CF4" w:rsidR="003268FD" w:rsidRPr="0053555E" w:rsidRDefault="003268FD" w:rsidP="003268FD">
            <w:pPr>
              <w:jc w:val="center"/>
              <w:rPr>
                <w:rFonts w:asciiTheme="majorHAnsi" w:hAnsiTheme="majorHAnsi" w:cstheme="majorHAnsi"/>
                <w:sz w:val="20"/>
                <w:szCs w:val="20"/>
              </w:rPr>
            </w:pPr>
          </w:p>
        </w:tc>
      </w:tr>
      <w:tr w:rsidR="003268FD" w:rsidRPr="0053555E" w14:paraId="0A968DE3"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noWrap/>
          </w:tcPr>
          <w:p w14:paraId="484ABA40" w14:textId="1C1604C0"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Slovenská elektrochemická spoločnosť a Metrohm Slovensko, s</w:t>
            </w:r>
            <w:r w:rsidR="00172234">
              <w:rPr>
                <w:rFonts w:cs="Calibri"/>
                <w:sz w:val="20"/>
                <w:szCs w:val="20"/>
              </w:rPr>
              <w:t xml:space="preserve"> </w:t>
            </w:r>
            <w:r w:rsidRPr="0053555E">
              <w:rPr>
                <w:rFonts w:cs="Calibri"/>
                <w:sz w:val="20"/>
                <w:szCs w:val="20"/>
              </w:rPr>
              <w:t>.r</w:t>
            </w:r>
            <w:r w:rsidR="00172234">
              <w:rPr>
                <w:rFonts w:cs="Calibri"/>
                <w:sz w:val="20"/>
                <w:szCs w:val="20"/>
              </w:rPr>
              <w:t xml:space="preserve"> </w:t>
            </w:r>
            <w:r w:rsidRPr="0053555E">
              <w:rPr>
                <w:rFonts w:cs="Calibri"/>
                <w:sz w:val="20"/>
                <w:szCs w:val="20"/>
              </w:rPr>
              <w:t>.o.</w:t>
            </w:r>
          </w:p>
        </w:tc>
        <w:tc>
          <w:tcPr>
            <w:tcW w:w="567" w:type="dxa"/>
            <w:tcBorders>
              <w:top w:val="nil"/>
              <w:left w:val="nil"/>
              <w:bottom w:val="single" w:sz="4" w:space="0" w:color="auto"/>
              <w:right w:val="single" w:sz="4" w:space="0" w:color="auto"/>
            </w:tcBorders>
            <w:shd w:val="clear" w:color="auto" w:fill="auto"/>
            <w:noWrap/>
            <w:vAlign w:val="center"/>
          </w:tcPr>
          <w:p w14:paraId="75D80DE0" w14:textId="138C8149"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7C994867" w14:textId="437BED6B"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vAlign w:val="center"/>
          </w:tcPr>
          <w:p w14:paraId="1F7B8557" w14:textId="4B711A01"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60B72010" w14:textId="40F11E8C" w:rsidR="003268FD" w:rsidRPr="0053555E" w:rsidRDefault="003268FD" w:rsidP="003268FD">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center"/>
          </w:tcPr>
          <w:p w14:paraId="6C55EE43" w14:textId="3F9D3B05"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37A2621F" w14:textId="7539A5DE"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6B9B1ABF" w14:textId="5733B1D2"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85E0946" w14:textId="23D5ABFC" w:rsidR="003268FD" w:rsidRPr="0053555E" w:rsidRDefault="003268FD" w:rsidP="003268FD">
            <w:pPr>
              <w:jc w:val="center"/>
              <w:rPr>
                <w:rFonts w:asciiTheme="majorHAnsi" w:hAnsiTheme="majorHAnsi" w:cstheme="majorHAnsi"/>
                <w:sz w:val="20"/>
                <w:szCs w:val="20"/>
              </w:rPr>
            </w:pPr>
          </w:p>
        </w:tc>
      </w:tr>
      <w:tr w:rsidR="003268FD" w:rsidRPr="0053555E" w14:paraId="603420F5"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4CCDED91" w14:textId="7CE85E13"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Slovenská chemická spoločnosť</w:t>
            </w:r>
          </w:p>
        </w:tc>
        <w:tc>
          <w:tcPr>
            <w:tcW w:w="567" w:type="dxa"/>
            <w:tcBorders>
              <w:top w:val="nil"/>
              <w:left w:val="nil"/>
              <w:bottom w:val="single" w:sz="4" w:space="0" w:color="auto"/>
              <w:right w:val="single" w:sz="4" w:space="0" w:color="auto"/>
            </w:tcBorders>
            <w:shd w:val="clear" w:color="auto" w:fill="auto"/>
            <w:noWrap/>
            <w:vAlign w:val="center"/>
          </w:tcPr>
          <w:p w14:paraId="131FC50C" w14:textId="10489561"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44D70A04" w14:textId="044FED7A"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08A81F30" w14:textId="4CFF7C8B"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34C11ED9" w14:textId="264B0D45" w:rsidR="003268FD" w:rsidRPr="0053555E" w:rsidRDefault="003268FD" w:rsidP="003268FD">
            <w:pPr>
              <w:jc w:val="center"/>
              <w:rPr>
                <w:rFonts w:asciiTheme="majorHAnsi" w:hAnsiTheme="majorHAnsi" w:cstheme="majorHAnsi"/>
                <w:sz w:val="20"/>
                <w:szCs w:val="20"/>
              </w:rPr>
            </w:pPr>
            <w:r w:rsidRPr="0053555E">
              <w:rPr>
                <w:rFonts w:cs="Calibri"/>
                <w:sz w:val="20"/>
                <w:szCs w:val="20"/>
              </w:rPr>
              <w:t>3</w:t>
            </w:r>
          </w:p>
        </w:tc>
        <w:tc>
          <w:tcPr>
            <w:tcW w:w="638" w:type="dxa"/>
            <w:tcBorders>
              <w:top w:val="nil"/>
              <w:left w:val="nil"/>
              <w:bottom w:val="single" w:sz="4" w:space="0" w:color="auto"/>
              <w:right w:val="single" w:sz="4" w:space="0" w:color="auto"/>
            </w:tcBorders>
            <w:shd w:val="clear" w:color="auto" w:fill="auto"/>
            <w:noWrap/>
            <w:vAlign w:val="center"/>
          </w:tcPr>
          <w:p w14:paraId="6FC93D53" w14:textId="31F20823"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64298D5" w14:textId="649136D9"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3EDEAA4" w14:textId="01A6517F"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94F3F17" w14:textId="0DEE14F2" w:rsidR="003268FD" w:rsidRPr="0053555E" w:rsidRDefault="003268FD" w:rsidP="003268FD">
            <w:pPr>
              <w:jc w:val="center"/>
              <w:rPr>
                <w:rFonts w:asciiTheme="majorHAnsi" w:hAnsiTheme="majorHAnsi" w:cstheme="majorHAnsi"/>
                <w:sz w:val="20"/>
                <w:szCs w:val="20"/>
              </w:rPr>
            </w:pPr>
          </w:p>
        </w:tc>
      </w:tr>
      <w:tr w:rsidR="003268FD" w:rsidRPr="0053555E" w14:paraId="62F7E0F5"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noWrap/>
          </w:tcPr>
          <w:p w14:paraId="4AE13B68" w14:textId="06EC05D0"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Slovenská spoločnosť chemického inžinierstva</w:t>
            </w:r>
          </w:p>
        </w:tc>
        <w:tc>
          <w:tcPr>
            <w:tcW w:w="567" w:type="dxa"/>
            <w:tcBorders>
              <w:top w:val="nil"/>
              <w:left w:val="nil"/>
              <w:bottom w:val="single" w:sz="4" w:space="0" w:color="auto"/>
              <w:right w:val="single" w:sz="4" w:space="0" w:color="auto"/>
            </w:tcBorders>
            <w:shd w:val="clear" w:color="auto" w:fill="auto"/>
            <w:noWrap/>
            <w:vAlign w:val="center"/>
          </w:tcPr>
          <w:p w14:paraId="3DB0EDE8" w14:textId="4B976522"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47A3B10D" w14:textId="09561F5D"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vAlign w:val="center"/>
          </w:tcPr>
          <w:p w14:paraId="6DCC1C68" w14:textId="0059B4B8"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4A6AB612" w14:textId="2B186442" w:rsidR="003268FD" w:rsidRPr="0053555E" w:rsidRDefault="003268FD" w:rsidP="003268FD">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center"/>
          </w:tcPr>
          <w:p w14:paraId="7AD7A6C7" w14:textId="3DC971C0"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3E26231E" w14:textId="0FC2C342"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581E156E" w14:textId="7E800167"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5290D82" w14:textId="2D2EFBD6" w:rsidR="003268FD" w:rsidRPr="0053555E" w:rsidRDefault="003268FD" w:rsidP="003268FD">
            <w:pPr>
              <w:jc w:val="center"/>
              <w:rPr>
                <w:rFonts w:asciiTheme="majorHAnsi" w:hAnsiTheme="majorHAnsi" w:cstheme="majorHAnsi"/>
                <w:sz w:val="20"/>
                <w:szCs w:val="20"/>
              </w:rPr>
            </w:pPr>
          </w:p>
        </w:tc>
      </w:tr>
      <w:tr w:rsidR="003268FD" w:rsidRPr="0053555E" w14:paraId="3C13E51D"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5A7E01B3" w14:textId="35BFE036"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 xml:space="preserve">Slovenská spoločnosť pre povrchové úpravy </w:t>
            </w:r>
          </w:p>
        </w:tc>
        <w:tc>
          <w:tcPr>
            <w:tcW w:w="567" w:type="dxa"/>
            <w:tcBorders>
              <w:top w:val="nil"/>
              <w:left w:val="nil"/>
              <w:bottom w:val="single" w:sz="4" w:space="0" w:color="auto"/>
              <w:right w:val="single" w:sz="4" w:space="0" w:color="auto"/>
            </w:tcBorders>
            <w:shd w:val="clear" w:color="auto" w:fill="auto"/>
            <w:noWrap/>
            <w:vAlign w:val="center"/>
          </w:tcPr>
          <w:p w14:paraId="2F14230B" w14:textId="0A0F9A5A"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32912FDE" w14:textId="47FDF58C"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06E62D72" w14:textId="0C76B09E"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476A2111" w14:textId="0E589E8F" w:rsidR="003268FD" w:rsidRPr="0053555E" w:rsidRDefault="003268FD" w:rsidP="003268FD">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4D835AEC" w14:textId="29600B82"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343F018" w14:textId="7420CCDC"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05E92D3" w14:textId="302E1D24"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73374C7" w14:textId="741DA41F" w:rsidR="003268FD" w:rsidRPr="0053555E" w:rsidRDefault="003268FD" w:rsidP="003268FD">
            <w:pPr>
              <w:jc w:val="center"/>
              <w:rPr>
                <w:rFonts w:asciiTheme="majorHAnsi" w:hAnsiTheme="majorHAnsi" w:cstheme="majorHAnsi"/>
                <w:sz w:val="20"/>
                <w:szCs w:val="20"/>
              </w:rPr>
            </w:pPr>
          </w:p>
        </w:tc>
      </w:tr>
      <w:tr w:rsidR="003268FD" w:rsidRPr="0053555E" w14:paraId="11AD5402"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624955CF" w14:textId="443ED70B"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Slovnaft, a.</w:t>
            </w:r>
            <w:r w:rsidR="00172234">
              <w:rPr>
                <w:rFonts w:cs="Calibri"/>
                <w:sz w:val="20"/>
                <w:szCs w:val="20"/>
              </w:rPr>
              <w:t xml:space="preserve"> </w:t>
            </w:r>
            <w:r w:rsidRPr="0053555E">
              <w:rPr>
                <w:rFonts w:cs="Calibri"/>
                <w:sz w:val="20"/>
                <w:szCs w:val="20"/>
              </w:rPr>
              <w:t>s.</w:t>
            </w:r>
          </w:p>
        </w:tc>
        <w:tc>
          <w:tcPr>
            <w:tcW w:w="567" w:type="dxa"/>
            <w:tcBorders>
              <w:top w:val="nil"/>
              <w:left w:val="nil"/>
              <w:bottom w:val="single" w:sz="4" w:space="0" w:color="auto"/>
              <w:right w:val="single" w:sz="4" w:space="0" w:color="auto"/>
            </w:tcBorders>
            <w:shd w:val="clear" w:color="auto" w:fill="auto"/>
            <w:noWrap/>
            <w:vAlign w:val="center"/>
          </w:tcPr>
          <w:p w14:paraId="326DE2F5" w14:textId="13A12FBC"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3CA8950A" w14:textId="74C1CFA0"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2A6A77C7" w14:textId="40625299"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5181CA49" w14:textId="4653E262" w:rsidR="003268FD" w:rsidRPr="0053555E" w:rsidRDefault="003268FD" w:rsidP="003268FD">
            <w:pPr>
              <w:jc w:val="center"/>
              <w:rPr>
                <w:rFonts w:asciiTheme="majorHAnsi" w:hAnsiTheme="majorHAnsi" w:cstheme="majorHAnsi"/>
                <w:sz w:val="20"/>
                <w:szCs w:val="20"/>
              </w:rPr>
            </w:pPr>
            <w:r w:rsidRPr="0053555E">
              <w:rPr>
                <w:rFonts w:cs="Calibri"/>
                <w:sz w:val="20"/>
                <w:szCs w:val="20"/>
              </w:rPr>
              <w:t>2</w:t>
            </w:r>
          </w:p>
        </w:tc>
        <w:tc>
          <w:tcPr>
            <w:tcW w:w="638" w:type="dxa"/>
            <w:tcBorders>
              <w:top w:val="nil"/>
              <w:left w:val="nil"/>
              <w:bottom w:val="single" w:sz="4" w:space="0" w:color="auto"/>
              <w:right w:val="single" w:sz="4" w:space="0" w:color="auto"/>
            </w:tcBorders>
            <w:shd w:val="clear" w:color="auto" w:fill="auto"/>
            <w:noWrap/>
            <w:vAlign w:val="center"/>
          </w:tcPr>
          <w:p w14:paraId="7B3A26D0" w14:textId="299CDD64"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00EFE0AB" w14:textId="4FDE98E8"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0D8AB134" w14:textId="5B5E6892"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CBCCA65" w14:textId="64A6502B" w:rsidR="003268FD" w:rsidRPr="0053555E" w:rsidRDefault="003268FD" w:rsidP="003268FD">
            <w:pPr>
              <w:jc w:val="center"/>
              <w:rPr>
                <w:rFonts w:asciiTheme="majorHAnsi" w:hAnsiTheme="majorHAnsi" w:cstheme="majorHAnsi"/>
                <w:sz w:val="20"/>
                <w:szCs w:val="20"/>
              </w:rPr>
            </w:pPr>
          </w:p>
        </w:tc>
      </w:tr>
      <w:tr w:rsidR="003268FD" w:rsidRPr="0053555E" w14:paraId="4EF5FEC8"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417C7B40" w14:textId="2289035C"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Súťaž ISOVER Multi Comfort Students Contest 2022</w:t>
            </w:r>
          </w:p>
        </w:tc>
        <w:tc>
          <w:tcPr>
            <w:tcW w:w="567" w:type="dxa"/>
            <w:tcBorders>
              <w:top w:val="nil"/>
              <w:left w:val="nil"/>
              <w:bottom w:val="single" w:sz="4" w:space="0" w:color="auto"/>
              <w:right w:val="single" w:sz="4" w:space="0" w:color="auto"/>
            </w:tcBorders>
            <w:shd w:val="clear" w:color="auto" w:fill="auto"/>
            <w:noWrap/>
            <w:vAlign w:val="center"/>
          </w:tcPr>
          <w:p w14:paraId="5F911004" w14:textId="29B10C40"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5B204FCE" w14:textId="4A47302D"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01A27053" w14:textId="17079E74"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4FBBD580" w14:textId="58B9507A"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3FA75ED" w14:textId="3BD31997" w:rsidR="003268FD" w:rsidRPr="0053555E" w:rsidRDefault="003268FD" w:rsidP="003268FD">
            <w:pPr>
              <w:jc w:val="center"/>
              <w:rPr>
                <w:rFonts w:asciiTheme="majorHAnsi" w:hAnsiTheme="majorHAnsi" w:cstheme="majorHAnsi"/>
                <w:sz w:val="20"/>
                <w:szCs w:val="20"/>
              </w:rPr>
            </w:pPr>
            <w:r w:rsidRPr="0053555E">
              <w:rPr>
                <w:rFonts w:cs="Calibri"/>
                <w:sz w:val="20"/>
                <w:szCs w:val="20"/>
              </w:rPr>
              <w:t>3</w:t>
            </w:r>
          </w:p>
        </w:tc>
        <w:tc>
          <w:tcPr>
            <w:tcW w:w="638" w:type="dxa"/>
            <w:tcBorders>
              <w:top w:val="nil"/>
              <w:left w:val="nil"/>
              <w:bottom w:val="single" w:sz="4" w:space="0" w:color="auto"/>
              <w:right w:val="single" w:sz="4" w:space="0" w:color="auto"/>
            </w:tcBorders>
            <w:shd w:val="clear" w:color="auto" w:fill="auto"/>
            <w:noWrap/>
            <w:vAlign w:val="center"/>
          </w:tcPr>
          <w:p w14:paraId="6A8AF603" w14:textId="5CFD05E0"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00CC719" w14:textId="70DCAD9B"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53F0D82" w14:textId="01E60865" w:rsidR="003268FD" w:rsidRPr="0053555E" w:rsidRDefault="003268FD" w:rsidP="003268FD">
            <w:pPr>
              <w:jc w:val="center"/>
              <w:rPr>
                <w:rFonts w:asciiTheme="majorHAnsi" w:hAnsiTheme="majorHAnsi" w:cstheme="majorHAnsi"/>
                <w:sz w:val="20"/>
                <w:szCs w:val="20"/>
              </w:rPr>
            </w:pPr>
          </w:p>
        </w:tc>
      </w:tr>
      <w:tr w:rsidR="003268FD" w:rsidRPr="0053555E" w14:paraId="1316458F"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4E3C0E3B" w14:textId="48B597A0"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Študentská osobnosť Slovenska  2021/2022</w:t>
            </w:r>
          </w:p>
        </w:tc>
        <w:tc>
          <w:tcPr>
            <w:tcW w:w="567" w:type="dxa"/>
            <w:tcBorders>
              <w:top w:val="nil"/>
              <w:left w:val="nil"/>
              <w:bottom w:val="single" w:sz="4" w:space="0" w:color="auto"/>
              <w:right w:val="single" w:sz="4" w:space="0" w:color="auto"/>
            </w:tcBorders>
            <w:shd w:val="clear" w:color="auto" w:fill="auto"/>
            <w:noWrap/>
            <w:vAlign w:val="center"/>
          </w:tcPr>
          <w:p w14:paraId="70FAC386" w14:textId="082FBBA2"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5F2BE091" w14:textId="280FFC5A"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3153024E" w14:textId="1A567B65" w:rsidR="003268FD" w:rsidRPr="0053555E" w:rsidRDefault="003268FD" w:rsidP="003268FD">
            <w:pPr>
              <w:jc w:val="center"/>
              <w:rPr>
                <w:rFonts w:asciiTheme="majorHAnsi" w:hAnsiTheme="majorHAnsi" w:cstheme="majorHAnsi"/>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588C25D4" w14:textId="21014CE1" w:rsidR="003268FD" w:rsidRPr="0053555E" w:rsidRDefault="003268FD" w:rsidP="003268FD">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13941866" w14:textId="65072B0D"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378C77D" w14:textId="7D85ECD6"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B89D65C" w14:textId="6B10C5EC" w:rsidR="003268FD" w:rsidRPr="0053555E" w:rsidRDefault="003268FD" w:rsidP="003268FD">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1F159FE" w14:textId="71D748CD" w:rsidR="003268FD" w:rsidRPr="0053555E" w:rsidRDefault="003268FD" w:rsidP="003268FD">
            <w:pPr>
              <w:jc w:val="center"/>
              <w:rPr>
                <w:rFonts w:asciiTheme="majorHAnsi" w:hAnsiTheme="majorHAnsi" w:cstheme="majorHAnsi"/>
                <w:sz w:val="20"/>
                <w:szCs w:val="20"/>
              </w:rPr>
            </w:pPr>
          </w:p>
        </w:tc>
      </w:tr>
      <w:tr w:rsidR="003268FD" w:rsidRPr="0053555E" w14:paraId="27996BC6"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58774215" w14:textId="0CCB8D35"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 xml:space="preserve">Študentská súťaž Bratislava St. Mesto - prieluka na Radlinského ul. </w:t>
            </w:r>
          </w:p>
        </w:tc>
        <w:tc>
          <w:tcPr>
            <w:tcW w:w="567" w:type="dxa"/>
            <w:tcBorders>
              <w:top w:val="nil"/>
              <w:left w:val="nil"/>
              <w:bottom w:val="single" w:sz="4" w:space="0" w:color="auto"/>
              <w:right w:val="single" w:sz="4" w:space="0" w:color="auto"/>
            </w:tcBorders>
            <w:shd w:val="clear" w:color="auto" w:fill="auto"/>
            <w:noWrap/>
            <w:vAlign w:val="center"/>
          </w:tcPr>
          <w:p w14:paraId="722F163D" w14:textId="2A3DFB29"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1375109C" w14:textId="0850BF8C"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0D0ADA43" w14:textId="02C88E76" w:rsidR="003268FD" w:rsidRPr="0053555E" w:rsidRDefault="003268FD" w:rsidP="003268FD">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tcPr>
          <w:p w14:paraId="7463E88B" w14:textId="5851408B"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37DD2325" w14:textId="32A5F392" w:rsidR="003268FD" w:rsidRPr="0053555E" w:rsidRDefault="003268FD" w:rsidP="003268FD">
            <w:pPr>
              <w:jc w:val="center"/>
              <w:rPr>
                <w:rFonts w:asciiTheme="majorHAnsi" w:eastAsia="Times New Roman" w:hAnsiTheme="majorHAnsi" w:cstheme="majorHAnsi"/>
                <w:sz w:val="20"/>
                <w:szCs w:val="20"/>
                <w:lang w:eastAsia="sk-SK"/>
              </w:rPr>
            </w:pPr>
            <w:r w:rsidRPr="0053555E">
              <w:rPr>
                <w:rFonts w:cs="Calibri"/>
                <w:sz w:val="20"/>
                <w:szCs w:val="20"/>
              </w:rPr>
              <w:t>3</w:t>
            </w:r>
          </w:p>
        </w:tc>
        <w:tc>
          <w:tcPr>
            <w:tcW w:w="638" w:type="dxa"/>
            <w:tcBorders>
              <w:top w:val="nil"/>
              <w:left w:val="nil"/>
              <w:bottom w:val="single" w:sz="4" w:space="0" w:color="auto"/>
              <w:right w:val="single" w:sz="4" w:space="0" w:color="auto"/>
            </w:tcBorders>
            <w:shd w:val="clear" w:color="auto" w:fill="auto"/>
            <w:noWrap/>
            <w:vAlign w:val="center"/>
          </w:tcPr>
          <w:p w14:paraId="399A05A7" w14:textId="2E36EA5F"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64D7AEE2" w14:textId="2AC3A252"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415CFE6D" w14:textId="15DBC28F" w:rsidR="003268FD" w:rsidRPr="0053555E" w:rsidRDefault="003268FD" w:rsidP="003268FD">
            <w:pPr>
              <w:jc w:val="center"/>
              <w:rPr>
                <w:rFonts w:asciiTheme="majorHAnsi" w:eastAsia="Times New Roman" w:hAnsiTheme="majorHAnsi" w:cstheme="majorHAnsi"/>
                <w:sz w:val="20"/>
                <w:szCs w:val="20"/>
                <w:lang w:eastAsia="sk-SK"/>
              </w:rPr>
            </w:pPr>
          </w:p>
        </w:tc>
      </w:tr>
      <w:tr w:rsidR="003268FD" w:rsidRPr="0053555E" w14:paraId="4D0EFC6A"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43C84C0B" w14:textId="44472FDA" w:rsidR="003268FD" w:rsidRPr="0053555E" w:rsidRDefault="003268FD" w:rsidP="003268FD">
            <w:pPr>
              <w:rPr>
                <w:rFonts w:cs="Calibri"/>
                <w:sz w:val="20"/>
                <w:szCs w:val="20"/>
              </w:rPr>
            </w:pPr>
            <w:r w:rsidRPr="0053555E">
              <w:rPr>
                <w:rFonts w:cs="Calibri"/>
                <w:sz w:val="20"/>
                <w:szCs w:val="20"/>
              </w:rPr>
              <w:t>Univerzitný technologický inkubátor</w:t>
            </w:r>
          </w:p>
        </w:tc>
        <w:tc>
          <w:tcPr>
            <w:tcW w:w="567" w:type="dxa"/>
            <w:tcBorders>
              <w:top w:val="nil"/>
              <w:left w:val="nil"/>
              <w:bottom w:val="single" w:sz="4" w:space="0" w:color="auto"/>
              <w:right w:val="single" w:sz="4" w:space="0" w:color="auto"/>
            </w:tcBorders>
            <w:shd w:val="clear" w:color="auto" w:fill="auto"/>
            <w:noWrap/>
            <w:vAlign w:val="center"/>
          </w:tcPr>
          <w:p w14:paraId="761A15EA" w14:textId="26D92E69"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61C79CA1" w14:textId="1CD10FD7"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41D0B89C" w14:textId="630E0441" w:rsidR="003268FD" w:rsidRPr="0053555E" w:rsidRDefault="003268FD" w:rsidP="003268FD">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tcPr>
          <w:p w14:paraId="7F4716A1" w14:textId="640F75A8" w:rsidR="003268FD" w:rsidRPr="0053555E" w:rsidRDefault="003268FD" w:rsidP="003268FD">
            <w:pPr>
              <w:jc w:val="center"/>
              <w:rPr>
                <w:rFonts w:asciiTheme="majorHAnsi" w:eastAsia="Times New Roman" w:hAnsiTheme="majorHAnsi" w:cstheme="majorHAnsi"/>
                <w:sz w:val="20"/>
                <w:szCs w:val="20"/>
                <w:lang w:eastAsia="sk-SK"/>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653C1626" w14:textId="5F0B89FB"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4D2A8CCA" w14:textId="7B7C73A1"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74680B2E" w14:textId="63B03F62"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5681CFD5" w14:textId="0BCA1C66" w:rsidR="003268FD" w:rsidRPr="0053555E" w:rsidRDefault="003268FD" w:rsidP="003268FD">
            <w:pPr>
              <w:jc w:val="center"/>
              <w:rPr>
                <w:rFonts w:asciiTheme="majorHAnsi" w:eastAsia="Times New Roman" w:hAnsiTheme="majorHAnsi" w:cstheme="majorHAnsi"/>
                <w:sz w:val="20"/>
                <w:szCs w:val="20"/>
                <w:lang w:eastAsia="sk-SK"/>
              </w:rPr>
            </w:pPr>
          </w:p>
        </w:tc>
      </w:tr>
      <w:tr w:rsidR="003268FD" w:rsidRPr="0053555E" w14:paraId="78DE9D88"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52F646C6" w14:textId="0A94E844"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Xella - Intervencie ako ďalej Kopčany 2022</w:t>
            </w:r>
          </w:p>
        </w:tc>
        <w:tc>
          <w:tcPr>
            <w:tcW w:w="567" w:type="dxa"/>
            <w:tcBorders>
              <w:top w:val="nil"/>
              <w:left w:val="nil"/>
              <w:bottom w:val="single" w:sz="4" w:space="0" w:color="auto"/>
              <w:right w:val="single" w:sz="4" w:space="0" w:color="auto"/>
            </w:tcBorders>
            <w:shd w:val="clear" w:color="auto" w:fill="auto"/>
            <w:noWrap/>
            <w:vAlign w:val="center"/>
          </w:tcPr>
          <w:p w14:paraId="4D05F2B8" w14:textId="74D635CD"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783D600C" w14:textId="1B596481"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659A9914" w14:textId="2BC62515" w:rsidR="003268FD" w:rsidRPr="0053555E" w:rsidRDefault="003268FD" w:rsidP="003268FD">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tcPr>
          <w:p w14:paraId="76EF83AE" w14:textId="402607BC"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5D9BAE3C" w14:textId="0A4653F7" w:rsidR="003268FD" w:rsidRPr="0053555E" w:rsidRDefault="003268FD" w:rsidP="003268FD">
            <w:pPr>
              <w:jc w:val="center"/>
              <w:rPr>
                <w:rFonts w:asciiTheme="majorHAnsi" w:eastAsia="Times New Roman" w:hAnsiTheme="majorHAnsi" w:cstheme="majorHAnsi"/>
                <w:sz w:val="20"/>
                <w:szCs w:val="20"/>
                <w:lang w:eastAsia="sk-SK"/>
              </w:rPr>
            </w:pPr>
            <w:r w:rsidRPr="0053555E">
              <w:rPr>
                <w:rFonts w:cs="Calibri"/>
                <w:sz w:val="20"/>
                <w:szCs w:val="20"/>
              </w:rPr>
              <w:t>2</w:t>
            </w:r>
          </w:p>
        </w:tc>
        <w:tc>
          <w:tcPr>
            <w:tcW w:w="638" w:type="dxa"/>
            <w:tcBorders>
              <w:top w:val="nil"/>
              <w:left w:val="nil"/>
              <w:bottom w:val="single" w:sz="4" w:space="0" w:color="auto"/>
              <w:right w:val="single" w:sz="4" w:space="0" w:color="auto"/>
            </w:tcBorders>
            <w:shd w:val="clear" w:color="auto" w:fill="auto"/>
            <w:noWrap/>
            <w:vAlign w:val="center"/>
          </w:tcPr>
          <w:p w14:paraId="38780FBC" w14:textId="5E1A7516"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71007443" w14:textId="1E4BD441"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39792DCB" w14:textId="706CF04E" w:rsidR="003268FD" w:rsidRPr="0053555E" w:rsidRDefault="003268FD" w:rsidP="003268FD">
            <w:pPr>
              <w:jc w:val="center"/>
              <w:rPr>
                <w:rFonts w:asciiTheme="majorHAnsi" w:eastAsia="Times New Roman" w:hAnsiTheme="majorHAnsi" w:cstheme="majorHAnsi"/>
                <w:sz w:val="20"/>
                <w:szCs w:val="20"/>
                <w:lang w:eastAsia="sk-SK"/>
              </w:rPr>
            </w:pPr>
          </w:p>
        </w:tc>
      </w:tr>
      <w:tr w:rsidR="003268FD" w:rsidRPr="0053555E" w14:paraId="7EBBDA45"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0F4E73FA" w14:textId="13127C7B"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Zväz chemického a farmaceutického priemyslu SR</w:t>
            </w:r>
          </w:p>
        </w:tc>
        <w:tc>
          <w:tcPr>
            <w:tcW w:w="567" w:type="dxa"/>
            <w:tcBorders>
              <w:top w:val="nil"/>
              <w:left w:val="nil"/>
              <w:bottom w:val="single" w:sz="4" w:space="0" w:color="auto"/>
              <w:right w:val="single" w:sz="4" w:space="0" w:color="auto"/>
            </w:tcBorders>
            <w:shd w:val="clear" w:color="auto" w:fill="auto"/>
            <w:noWrap/>
            <w:vAlign w:val="center"/>
          </w:tcPr>
          <w:p w14:paraId="4FC4042D" w14:textId="58DAFA7F"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2DE121B1" w14:textId="4F716195"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30D659FE" w14:textId="6B895D95" w:rsidR="003268FD" w:rsidRPr="0053555E" w:rsidRDefault="003268FD" w:rsidP="003268FD">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tcPr>
          <w:p w14:paraId="2A47452F" w14:textId="055E1D81" w:rsidR="003268FD" w:rsidRPr="0053555E" w:rsidRDefault="003268FD" w:rsidP="003268FD">
            <w:pPr>
              <w:jc w:val="center"/>
              <w:rPr>
                <w:rFonts w:asciiTheme="majorHAnsi" w:eastAsia="Times New Roman" w:hAnsiTheme="majorHAnsi" w:cstheme="majorHAnsi"/>
                <w:sz w:val="20"/>
                <w:szCs w:val="20"/>
                <w:lang w:eastAsia="sk-SK"/>
              </w:rPr>
            </w:pPr>
            <w:r w:rsidRPr="0053555E">
              <w:rPr>
                <w:rFonts w:cs="Calibri"/>
                <w:sz w:val="20"/>
                <w:szCs w:val="20"/>
              </w:rPr>
              <w:t>2</w:t>
            </w:r>
          </w:p>
        </w:tc>
        <w:tc>
          <w:tcPr>
            <w:tcW w:w="638" w:type="dxa"/>
            <w:tcBorders>
              <w:top w:val="nil"/>
              <w:left w:val="nil"/>
              <w:bottom w:val="single" w:sz="4" w:space="0" w:color="auto"/>
              <w:right w:val="single" w:sz="4" w:space="0" w:color="auto"/>
            </w:tcBorders>
            <w:shd w:val="clear" w:color="auto" w:fill="auto"/>
            <w:noWrap/>
            <w:vAlign w:val="center"/>
          </w:tcPr>
          <w:p w14:paraId="0B35E2BC" w14:textId="42145C2D"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2D4804CA" w14:textId="6E207D0C"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3EEC7F97" w14:textId="103576F0"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11E7A544" w14:textId="380AC507" w:rsidR="003268FD" w:rsidRPr="0053555E" w:rsidRDefault="003268FD" w:rsidP="003268FD">
            <w:pPr>
              <w:jc w:val="center"/>
              <w:rPr>
                <w:rFonts w:asciiTheme="majorHAnsi" w:eastAsia="Times New Roman" w:hAnsiTheme="majorHAnsi" w:cstheme="majorHAnsi"/>
                <w:sz w:val="20"/>
                <w:szCs w:val="20"/>
                <w:lang w:eastAsia="sk-SK"/>
              </w:rPr>
            </w:pPr>
          </w:p>
        </w:tc>
      </w:tr>
      <w:tr w:rsidR="003268FD" w:rsidRPr="0053555E" w14:paraId="360224EC"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07B18E98" w14:textId="31CB9943"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 xml:space="preserve">1. miesto Atlét roka </w:t>
            </w:r>
          </w:p>
        </w:tc>
        <w:tc>
          <w:tcPr>
            <w:tcW w:w="567" w:type="dxa"/>
            <w:tcBorders>
              <w:top w:val="nil"/>
              <w:left w:val="nil"/>
              <w:bottom w:val="single" w:sz="4" w:space="0" w:color="auto"/>
              <w:right w:val="single" w:sz="4" w:space="0" w:color="auto"/>
            </w:tcBorders>
            <w:shd w:val="clear" w:color="auto" w:fill="auto"/>
            <w:noWrap/>
            <w:vAlign w:val="center"/>
          </w:tcPr>
          <w:p w14:paraId="41B804B5" w14:textId="63C8D23F"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14:paraId="4B996307" w14:textId="4BB97E39"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noWrap/>
            <w:vAlign w:val="center"/>
          </w:tcPr>
          <w:p w14:paraId="5678E420" w14:textId="4CE5701E" w:rsidR="003268FD" w:rsidRPr="0053555E" w:rsidRDefault="003268FD" w:rsidP="003268FD">
            <w:pPr>
              <w:jc w:val="center"/>
              <w:rPr>
                <w:rFonts w:asciiTheme="majorHAnsi" w:eastAsia="Times New Roman" w:hAnsiTheme="majorHAnsi" w:cstheme="majorHAnsi"/>
                <w:sz w:val="20"/>
                <w:szCs w:val="20"/>
                <w:lang w:eastAsia="sk-SK"/>
              </w:rPr>
            </w:pPr>
            <w:r w:rsidRPr="0053555E">
              <w:rPr>
                <w:rFonts w:cs="Calibri"/>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76D47EA2" w14:textId="3BFA6555"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510AF2FA" w14:textId="0E039F13"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2C1850D7" w14:textId="04810771"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3BE210C9" w14:textId="56793F5F"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6AAAD033" w14:textId="6F6A2779" w:rsidR="003268FD" w:rsidRPr="0053555E" w:rsidRDefault="003268FD" w:rsidP="003268FD">
            <w:pPr>
              <w:jc w:val="center"/>
              <w:rPr>
                <w:rFonts w:asciiTheme="majorHAnsi" w:eastAsia="Times New Roman" w:hAnsiTheme="majorHAnsi" w:cstheme="majorHAnsi"/>
                <w:sz w:val="20"/>
                <w:szCs w:val="20"/>
                <w:lang w:eastAsia="sk-SK"/>
              </w:rPr>
            </w:pPr>
          </w:p>
        </w:tc>
      </w:tr>
      <w:tr w:rsidR="003268FD" w:rsidRPr="0053555E" w14:paraId="4365B044"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0B4F36E6" w14:textId="0E576BCD"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1. miesto Medzin. ŠVOK v Košiciach</w:t>
            </w:r>
          </w:p>
        </w:tc>
        <w:tc>
          <w:tcPr>
            <w:tcW w:w="567" w:type="dxa"/>
            <w:tcBorders>
              <w:top w:val="nil"/>
              <w:left w:val="nil"/>
              <w:bottom w:val="single" w:sz="4" w:space="0" w:color="auto"/>
              <w:right w:val="single" w:sz="4" w:space="0" w:color="auto"/>
            </w:tcBorders>
            <w:shd w:val="clear" w:color="auto" w:fill="auto"/>
            <w:vAlign w:val="center"/>
          </w:tcPr>
          <w:p w14:paraId="78F9BBC4" w14:textId="2A369B3F"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1FA54079" w14:textId="262C3C88"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vAlign w:val="center"/>
          </w:tcPr>
          <w:p w14:paraId="21A71596" w14:textId="0FD81DDC" w:rsidR="003268FD" w:rsidRPr="0053555E" w:rsidRDefault="003268FD" w:rsidP="003268FD">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tcPr>
          <w:p w14:paraId="21F3D4BD" w14:textId="5C5380A4"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223527CF" w14:textId="73B75C0E"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6C44FF2C" w14:textId="466AEE9D" w:rsidR="003268FD" w:rsidRPr="0053555E" w:rsidRDefault="003268FD" w:rsidP="003268FD">
            <w:pPr>
              <w:jc w:val="center"/>
              <w:rPr>
                <w:rFonts w:asciiTheme="majorHAnsi" w:eastAsia="Times New Roman" w:hAnsiTheme="majorHAnsi" w:cstheme="majorHAnsi"/>
                <w:sz w:val="20"/>
                <w:szCs w:val="20"/>
                <w:lang w:eastAsia="sk-SK"/>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center"/>
          </w:tcPr>
          <w:p w14:paraId="2DFE260F" w14:textId="02F66AA3"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0A06D6A8" w14:textId="6CD3587B" w:rsidR="003268FD" w:rsidRPr="0053555E" w:rsidRDefault="003268FD" w:rsidP="003268FD">
            <w:pPr>
              <w:jc w:val="center"/>
              <w:rPr>
                <w:rFonts w:asciiTheme="majorHAnsi" w:eastAsia="Times New Roman" w:hAnsiTheme="majorHAnsi" w:cstheme="majorHAnsi"/>
                <w:sz w:val="20"/>
                <w:szCs w:val="20"/>
                <w:lang w:eastAsia="sk-SK"/>
              </w:rPr>
            </w:pPr>
          </w:p>
        </w:tc>
      </w:tr>
      <w:tr w:rsidR="003268FD" w:rsidRPr="0053555E" w14:paraId="5320F1FB"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2F27F440" w14:textId="276DA990"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1. miesto Medzin.</w:t>
            </w:r>
            <w:r w:rsidR="004D5F42">
              <w:rPr>
                <w:rFonts w:cs="Calibri"/>
                <w:sz w:val="20"/>
                <w:szCs w:val="20"/>
              </w:rPr>
              <w:t xml:space="preserve"> </w:t>
            </w:r>
            <w:r w:rsidRPr="0053555E">
              <w:rPr>
                <w:rFonts w:cs="Calibri"/>
                <w:sz w:val="20"/>
                <w:szCs w:val="20"/>
              </w:rPr>
              <w:t>doktorandský seminár, Smolenice</w:t>
            </w:r>
          </w:p>
        </w:tc>
        <w:tc>
          <w:tcPr>
            <w:tcW w:w="567" w:type="dxa"/>
            <w:tcBorders>
              <w:top w:val="nil"/>
              <w:left w:val="nil"/>
              <w:bottom w:val="single" w:sz="4" w:space="0" w:color="auto"/>
              <w:right w:val="single" w:sz="4" w:space="0" w:color="auto"/>
            </w:tcBorders>
            <w:shd w:val="clear" w:color="auto" w:fill="auto"/>
            <w:vAlign w:val="center"/>
          </w:tcPr>
          <w:p w14:paraId="2AD20308" w14:textId="0BEE89FF"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55CB2432" w14:textId="0A1AEF7F"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vAlign w:val="center"/>
          </w:tcPr>
          <w:p w14:paraId="6D386748" w14:textId="70FE36CB" w:rsidR="003268FD" w:rsidRPr="0053555E" w:rsidRDefault="003268FD" w:rsidP="003268FD">
            <w:pPr>
              <w:jc w:val="center"/>
              <w:rPr>
                <w:rFonts w:asciiTheme="majorHAnsi" w:eastAsia="Times New Roman" w:hAnsiTheme="majorHAnsi" w:cstheme="majorHAnsi"/>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tcPr>
          <w:p w14:paraId="27DF1C2F" w14:textId="2BFB10A0"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354907A0" w14:textId="0A7B01A7"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4DB642B7" w14:textId="55684C4C" w:rsidR="003268FD" w:rsidRPr="0053555E" w:rsidRDefault="003268FD" w:rsidP="003268FD">
            <w:pPr>
              <w:jc w:val="center"/>
              <w:rPr>
                <w:rFonts w:asciiTheme="majorHAnsi" w:eastAsia="Times New Roman" w:hAnsiTheme="majorHAnsi" w:cstheme="majorHAnsi"/>
                <w:sz w:val="20"/>
                <w:szCs w:val="20"/>
                <w:lang w:eastAsia="sk-SK"/>
              </w:rPr>
            </w:pPr>
            <w:r w:rsidRPr="0053555E">
              <w:rPr>
                <w:rFonts w:cs="Calibri"/>
                <w:sz w:val="20"/>
                <w:szCs w:val="20"/>
              </w:rPr>
              <w:t>2</w:t>
            </w:r>
          </w:p>
        </w:tc>
        <w:tc>
          <w:tcPr>
            <w:tcW w:w="638" w:type="dxa"/>
            <w:tcBorders>
              <w:top w:val="nil"/>
              <w:left w:val="nil"/>
              <w:bottom w:val="single" w:sz="4" w:space="0" w:color="auto"/>
              <w:right w:val="single" w:sz="4" w:space="0" w:color="auto"/>
            </w:tcBorders>
            <w:shd w:val="clear" w:color="auto" w:fill="auto"/>
            <w:vAlign w:val="center"/>
          </w:tcPr>
          <w:p w14:paraId="642A4C28" w14:textId="4F617A83"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45B88707" w14:textId="42659DBF" w:rsidR="003268FD" w:rsidRPr="0053555E" w:rsidRDefault="003268FD" w:rsidP="003268FD">
            <w:pPr>
              <w:jc w:val="center"/>
              <w:rPr>
                <w:rFonts w:asciiTheme="majorHAnsi" w:eastAsia="Times New Roman" w:hAnsiTheme="majorHAnsi" w:cstheme="majorHAnsi"/>
                <w:sz w:val="20"/>
                <w:szCs w:val="20"/>
                <w:lang w:eastAsia="sk-SK"/>
              </w:rPr>
            </w:pPr>
          </w:p>
        </w:tc>
      </w:tr>
      <w:tr w:rsidR="003268FD" w:rsidRPr="0053555E" w14:paraId="4CAD091B"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31F00D3D" w14:textId="2C7CA5E2" w:rsidR="003268FD" w:rsidRPr="0053555E" w:rsidRDefault="003268FD" w:rsidP="003268FD">
            <w:pPr>
              <w:rPr>
                <w:rFonts w:asciiTheme="majorHAnsi" w:eastAsia="Times New Roman" w:hAnsiTheme="majorHAnsi" w:cstheme="majorHAnsi"/>
                <w:sz w:val="20"/>
                <w:szCs w:val="20"/>
                <w:lang w:eastAsia="sk-SK"/>
              </w:rPr>
            </w:pPr>
            <w:r w:rsidRPr="0053555E">
              <w:rPr>
                <w:rFonts w:cs="Calibri"/>
                <w:sz w:val="20"/>
                <w:szCs w:val="20"/>
              </w:rPr>
              <w:t>1. miesto Medzinárodná konferencia IDS sekcia Informatin, Automationof Processes</w:t>
            </w:r>
          </w:p>
        </w:tc>
        <w:tc>
          <w:tcPr>
            <w:tcW w:w="567" w:type="dxa"/>
            <w:tcBorders>
              <w:top w:val="nil"/>
              <w:left w:val="nil"/>
              <w:bottom w:val="single" w:sz="4" w:space="0" w:color="auto"/>
              <w:right w:val="single" w:sz="4" w:space="0" w:color="auto"/>
            </w:tcBorders>
            <w:shd w:val="clear" w:color="auto" w:fill="auto"/>
            <w:vAlign w:val="center"/>
          </w:tcPr>
          <w:p w14:paraId="6138BBF1" w14:textId="5930A166" w:rsidR="003268FD" w:rsidRPr="0053555E" w:rsidRDefault="003268FD" w:rsidP="003268FD">
            <w:pPr>
              <w:jc w:val="center"/>
              <w:rPr>
                <w:rFonts w:asciiTheme="majorHAnsi" w:eastAsia="Times New Roman" w:hAnsiTheme="majorHAnsi" w:cstheme="majorHAnsi"/>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14:paraId="588F0423" w14:textId="4662968E" w:rsidR="003268FD" w:rsidRPr="0053555E" w:rsidRDefault="003268FD" w:rsidP="003268FD">
            <w:pPr>
              <w:jc w:val="center"/>
              <w:rPr>
                <w:rFonts w:asciiTheme="majorHAnsi" w:eastAsia="Times New Roman" w:hAnsiTheme="majorHAnsi" w:cstheme="majorHAnsi"/>
                <w:sz w:val="20"/>
                <w:szCs w:val="20"/>
                <w:lang w:eastAsia="sk-SK"/>
              </w:rPr>
            </w:pPr>
          </w:p>
        </w:tc>
        <w:tc>
          <w:tcPr>
            <w:tcW w:w="569" w:type="dxa"/>
            <w:tcBorders>
              <w:top w:val="nil"/>
              <w:left w:val="nil"/>
              <w:bottom w:val="single" w:sz="4" w:space="0" w:color="auto"/>
              <w:right w:val="single" w:sz="4" w:space="0" w:color="auto"/>
            </w:tcBorders>
            <w:shd w:val="clear" w:color="auto" w:fill="auto"/>
            <w:vAlign w:val="center"/>
          </w:tcPr>
          <w:p w14:paraId="019E88A9" w14:textId="10E11BA4" w:rsidR="003268FD" w:rsidRPr="0053555E" w:rsidRDefault="003268FD" w:rsidP="003268FD">
            <w:pPr>
              <w:jc w:val="center"/>
              <w:rPr>
                <w:rFonts w:asciiTheme="majorHAnsi" w:eastAsia="Times New Roman" w:hAnsiTheme="majorHAnsi" w:cstheme="majorHAnsi"/>
                <w:sz w:val="20"/>
                <w:szCs w:val="20"/>
                <w:lang w:eastAsia="sk-SK"/>
              </w:rPr>
            </w:pPr>
            <w:r w:rsidRPr="0053555E">
              <w:rPr>
                <w:rFonts w:cs="Calibri"/>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39ED7BFC" w14:textId="41BD0D70"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66BA3C0D" w14:textId="59B9A35D"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119EAB4C" w14:textId="3595246D"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vAlign w:val="center"/>
          </w:tcPr>
          <w:p w14:paraId="0F1E3DA8" w14:textId="16EC7BF9" w:rsidR="003268FD" w:rsidRPr="0053555E" w:rsidRDefault="003268FD" w:rsidP="003268FD">
            <w:pPr>
              <w:jc w:val="center"/>
              <w:rPr>
                <w:rFonts w:asciiTheme="majorHAnsi" w:eastAsia="Times New Roman" w:hAnsiTheme="majorHAnsi" w:cstheme="majorHAnsi"/>
                <w:sz w:val="20"/>
                <w:szCs w:val="20"/>
                <w:lang w:eastAsia="sk-SK"/>
              </w:rPr>
            </w:pPr>
          </w:p>
        </w:tc>
        <w:tc>
          <w:tcPr>
            <w:tcW w:w="638" w:type="dxa"/>
            <w:tcBorders>
              <w:top w:val="nil"/>
              <w:left w:val="nil"/>
              <w:bottom w:val="single" w:sz="4" w:space="0" w:color="auto"/>
              <w:right w:val="single" w:sz="4" w:space="0" w:color="auto"/>
            </w:tcBorders>
            <w:shd w:val="clear" w:color="auto" w:fill="auto"/>
            <w:noWrap/>
            <w:vAlign w:val="center"/>
          </w:tcPr>
          <w:p w14:paraId="16300E9B" w14:textId="69A5C110" w:rsidR="003268FD" w:rsidRPr="0053555E" w:rsidRDefault="003268FD" w:rsidP="003268FD">
            <w:pPr>
              <w:jc w:val="center"/>
              <w:rPr>
                <w:rFonts w:asciiTheme="majorHAnsi" w:eastAsia="Times New Roman" w:hAnsiTheme="majorHAnsi" w:cstheme="majorHAnsi"/>
                <w:sz w:val="20"/>
                <w:szCs w:val="20"/>
                <w:lang w:eastAsia="sk-SK"/>
              </w:rPr>
            </w:pPr>
          </w:p>
        </w:tc>
      </w:tr>
      <w:tr w:rsidR="003268FD" w:rsidRPr="0053555E" w14:paraId="456C5DC7"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255CAD49" w14:textId="4953FEFA" w:rsidR="003268FD" w:rsidRPr="0053555E" w:rsidRDefault="003268FD" w:rsidP="003268FD">
            <w:pPr>
              <w:rPr>
                <w:rFonts w:cs="Calibri"/>
                <w:sz w:val="20"/>
                <w:szCs w:val="20"/>
              </w:rPr>
            </w:pPr>
            <w:r w:rsidRPr="0053555E">
              <w:rPr>
                <w:rFonts w:cs="Calibri"/>
                <w:sz w:val="20"/>
                <w:szCs w:val="20"/>
              </w:rPr>
              <w:t>1. miesto MSR v atletike - 100 m</w:t>
            </w:r>
          </w:p>
        </w:tc>
        <w:tc>
          <w:tcPr>
            <w:tcW w:w="567" w:type="dxa"/>
            <w:tcBorders>
              <w:top w:val="nil"/>
              <w:left w:val="nil"/>
              <w:bottom w:val="single" w:sz="4" w:space="0" w:color="auto"/>
              <w:right w:val="single" w:sz="4" w:space="0" w:color="auto"/>
            </w:tcBorders>
            <w:shd w:val="clear" w:color="auto" w:fill="auto"/>
            <w:vAlign w:val="center"/>
          </w:tcPr>
          <w:p w14:paraId="6F7090B3" w14:textId="39ACB4E0" w:rsidR="003268FD" w:rsidRPr="0053555E" w:rsidRDefault="003268FD" w:rsidP="003268F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4C6C124C" w14:textId="4F36A0FF" w:rsidR="003268FD" w:rsidRPr="0053555E" w:rsidRDefault="003268FD" w:rsidP="003268FD">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6906BD68" w14:textId="009C9EDB" w:rsidR="003268FD" w:rsidRPr="0053555E" w:rsidRDefault="003268FD" w:rsidP="003268FD">
            <w:pPr>
              <w:jc w:val="center"/>
              <w:rPr>
                <w:rFonts w:cs="Calibri"/>
                <w:sz w:val="20"/>
                <w:szCs w:val="20"/>
              </w:rPr>
            </w:pPr>
            <w:r w:rsidRPr="0053555E">
              <w:rPr>
                <w:rFonts w:cs="Calibri"/>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429D29C7" w14:textId="3D18E5CD"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22589FD2" w14:textId="0CB955B0"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CF7FDAD" w14:textId="35A33B45"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10CBAD24" w14:textId="48627D4B"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0BE0901" w14:textId="095CCE49" w:rsidR="003268FD" w:rsidRPr="0053555E" w:rsidRDefault="003268FD" w:rsidP="003268FD">
            <w:pPr>
              <w:jc w:val="center"/>
              <w:rPr>
                <w:rFonts w:cs="Calibri"/>
                <w:sz w:val="20"/>
                <w:szCs w:val="20"/>
              </w:rPr>
            </w:pPr>
          </w:p>
        </w:tc>
      </w:tr>
      <w:tr w:rsidR="003268FD" w:rsidRPr="0053555E" w14:paraId="53CF9D8C"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1A6EBAB5" w14:textId="033A6A24" w:rsidR="003268FD" w:rsidRPr="0053555E" w:rsidRDefault="003268FD" w:rsidP="003268FD">
            <w:pPr>
              <w:rPr>
                <w:rFonts w:cs="Calibri"/>
                <w:sz w:val="20"/>
                <w:szCs w:val="20"/>
              </w:rPr>
            </w:pPr>
            <w:r w:rsidRPr="0053555E">
              <w:rPr>
                <w:rFonts w:cs="Calibri"/>
                <w:sz w:val="20"/>
                <w:szCs w:val="20"/>
              </w:rPr>
              <w:t>1. miesto MSR v atletike - 200 m</w:t>
            </w:r>
          </w:p>
        </w:tc>
        <w:tc>
          <w:tcPr>
            <w:tcW w:w="567" w:type="dxa"/>
            <w:tcBorders>
              <w:top w:val="nil"/>
              <w:left w:val="nil"/>
              <w:bottom w:val="single" w:sz="4" w:space="0" w:color="auto"/>
              <w:right w:val="single" w:sz="4" w:space="0" w:color="auto"/>
            </w:tcBorders>
            <w:shd w:val="clear" w:color="auto" w:fill="auto"/>
            <w:vAlign w:val="center"/>
          </w:tcPr>
          <w:p w14:paraId="24FD6B87" w14:textId="31A3C1A7" w:rsidR="003268FD" w:rsidRPr="0053555E" w:rsidRDefault="003268FD" w:rsidP="003268F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2912CF3E" w14:textId="7DCB478D" w:rsidR="003268FD" w:rsidRPr="0053555E" w:rsidRDefault="003268FD" w:rsidP="003268FD">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51A55603" w14:textId="1DF7B783" w:rsidR="003268FD" w:rsidRPr="0053555E" w:rsidRDefault="003268FD" w:rsidP="003268FD">
            <w:pPr>
              <w:jc w:val="center"/>
              <w:rPr>
                <w:rFonts w:cs="Calibri"/>
                <w:sz w:val="20"/>
                <w:szCs w:val="20"/>
              </w:rPr>
            </w:pPr>
            <w:r w:rsidRPr="0053555E">
              <w:rPr>
                <w:rFonts w:cs="Calibri"/>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4EE19EC9" w14:textId="28520D6C"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40955BDD" w14:textId="7F34D165"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CF1F4C4" w14:textId="52259F74"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2947E7FC" w14:textId="5392CC47"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69B6DC9" w14:textId="056D779F" w:rsidR="003268FD" w:rsidRPr="0053555E" w:rsidRDefault="003268FD" w:rsidP="003268FD">
            <w:pPr>
              <w:jc w:val="center"/>
              <w:rPr>
                <w:rFonts w:cs="Calibri"/>
                <w:sz w:val="20"/>
                <w:szCs w:val="20"/>
              </w:rPr>
            </w:pPr>
          </w:p>
        </w:tc>
      </w:tr>
      <w:tr w:rsidR="003268FD" w:rsidRPr="0053555E" w14:paraId="2EA2EA2E"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170EBB1D" w14:textId="470227E5" w:rsidR="003268FD" w:rsidRPr="0053555E" w:rsidRDefault="003268FD" w:rsidP="003268FD">
            <w:pPr>
              <w:rPr>
                <w:rFonts w:cs="Calibri"/>
                <w:sz w:val="20"/>
                <w:szCs w:val="20"/>
              </w:rPr>
            </w:pPr>
            <w:r w:rsidRPr="0053555E">
              <w:rPr>
                <w:rFonts w:cs="Calibri"/>
                <w:sz w:val="20"/>
                <w:szCs w:val="20"/>
              </w:rPr>
              <w:t xml:space="preserve">1. miesto Študentská súťaž o najlepší príspevok na medzinárodnej vedeckej konferencii ADEPT 2022 </w:t>
            </w:r>
          </w:p>
        </w:tc>
        <w:tc>
          <w:tcPr>
            <w:tcW w:w="567" w:type="dxa"/>
            <w:tcBorders>
              <w:top w:val="nil"/>
              <w:left w:val="nil"/>
              <w:bottom w:val="single" w:sz="4" w:space="0" w:color="auto"/>
              <w:right w:val="single" w:sz="4" w:space="0" w:color="auto"/>
            </w:tcBorders>
            <w:shd w:val="clear" w:color="auto" w:fill="auto"/>
            <w:vAlign w:val="center"/>
          </w:tcPr>
          <w:p w14:paraId="2B2D17EF" w14:textId="7248FA0F" w:rsidR="003268FD" w:rsidRPr="0053555E" w:rsidRDefault="003268FD" w:rsidP="003268F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7BFC01D7" w14:textId="7A84E228" w:rsidR="003268FD" w:rsidRPr="0053555E" w:rsidRDefault="003268FD" w:rsidP="003268FD">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0DDF8307" w14:textId="13FD92F3" w:rsidR="003268FD" w:rsidRPr="0053555E" w:rsidRDefault="003268FD" w:rsidP="003268FD">
            <w:pPr>
              <w:jc w:val="center"/>
              <w:rPr>
                <w:rFonts w:cs="Calibri"/>
                <w:sz w:val="20"/>
                <w:szCs w:val="20"/>
              </w:rPr>
            </w:pPr>
            <w:r w:rsidRPr="0053555E">
              <w:rPr>
                <w:rFonts w:cs="Calibri"/>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52B26900" w14:textId="31CC3206"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21730D74" w14:textId="6ED9BA47"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5D7D68F" w14:textId="086319BC"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544F075C" w14:textId="22D4851F"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6DA4556" w14:textId="41B39E81" w:rsidR="003268FD" w:rsidRPr="0053555E" w:rsidRDefault="003268FD" w:rsidP="003268FD">
            <w:pPr>
              <w:jc w:val="center"/>
              <w:rPr>
                <w:rFonts w:cs="Calibri"/>
                <w:sz w:val="20"/>
                <w:szCs w:val="20"/>
              </w:rPr>
            </w:pPr>
          </w:p>
        </w:tc>
      </w:tr>
      <w:tr w:rsidR="003268FD" w:rsidRPr="0053555E" w14:paraId="2E6299FA"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1E31B1F7" w14:textId="0E8E2DF3" w:rsidR="003268FD" w:rsidRPr="0053555E" w:rsidRDefault="003268FD" w:rsidP="003268FD">
            <w:pPr>
              <w:rPr>
                <w:rFonts w:cs="Calibri"/>
                <w:sz w:val="20"/>
                <w:szCs w:val="20"/>
              </w:rPr>
            </w:pPr>
            <w:r w:rsidRPr="0053555E">
              <w:rPr>
                <w:rFonts w:cs="Calibri"/>
                <w:sz w:val="20"/>
                <w:szCs w:val="20"/>
              </w:rPr>
              <w:t xml:space="preserve">1. miesto ŠVK v </w:t>
            </w:r>
            <w:r w:rsidR="002413E2" w:rsidRPr="0053555E">
              <w:rPr>
                <w:rFonts w:cs="Calibri"/>
                <w:sz w:val="20"/>
                <w:szCs w:val="20"/>
              </w:rPr>
              <w:t>o</w:t>
            </w:r>
            <w:r w:rsidRPr="0053555E">
              <w:rPr>
                <w:rFonts w:cs="Calibri"/>
                <w:sz w:val="20"/>
                <w:szCs w:val="20"/>
              </w:rPr>
              <w:t xml:space="preserve">dbore metalurgia na TUKE Košice </w:t>
            </w:r>
          </w:p>
        </w:tc>
        <w:tc>
          <w:tcPr>
            <w:tcW w:w="567" w:type="dxa"/>
            <w:tcBorders>
              <w:top w:val="nil"/>
              <w:left w:val="nil"/>
              <w:bottom w:val="single" w:sz="4" w:space="0" w:color="auto"/>
              <w:right w:val="single" w:sz="4" w:space="0" w:color="auto"/>
            </w:tcBorders>
            <w:shd w:val="clear" w:color="auto" w:fill="auto"/>
            <w:vAlign w:val="center"/>
          </w:tcPr>
          <w:p w14:paraId="738516B6" w14:textId="74ADFBD8" w:rsidR="003268FD" w:rsidRPr="0053555E" w:rsidRDefault="003268FD" w:rsidP="003268F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53C536FB" w14:textId="56E51523" w:rsidR="003268FD" w:rsidRPr="0053555E" w:rsidRDefault="003268FD" w:rsidP="003268FD">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4FDB268E" w14:textId="6388FA96" w:rsidR="003268FD" w:rsidRPr="0053555E" w:rsidRDefault="003268FD" w:rsidP="003268FD">
            <w:pPr>
              <w:jc w:val="center"/>
              <w:rPr>
                <w:rFonts w:cs="Calibri"/>
                <w:sz w:val="20"/>
                <w:szCs w:val="20"/>
              </w:rPr>
            </w:pPr>
          </w:p>
        </w:tc>
        <w:tc>
          <w:tcPr>
            <w:tcW w:w="709" w:type="dxa"/>
            <w:tcBorders>
              <w:top w:val="nil"/>
              <w:left w:val="nil"/>
              <w:bottom w:val="single" w:sz="4" w:space="0" w:color="auto"/>
              <w:right w:val="single" w:sz="4" w:space="0" w:color="auto"/>
            </w:tcBorders>
            <w:shd w:val="clear" w:color="auto" w:fill="auto"/>
            <w:vAlign w:val="center"/>
          </w:tcPr>
          <w:p w14:paraId="2562FA97" w14:textId="7C35D3FF" w:rsidR="003268FD" w:rsidRPr="0053555E" w:rsidRDefault="003268FD" w:rsidP="003268FD">
            <w:pPr>
              <w:jc w:val="center"/>
              <w:rPr>
                <w:rFonts w:cs="Calibr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center"/>
          </w:tcPr>
          <w:p w14:paraId="61344700" w14:textId="01A7F051"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D94A42B" w14:textId="5CDEE6AF"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3A6ABEF1" w14:textId="7D9C28F1"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C2BFBAB" w14:textId="4E03A9F6" w:rsidR="003268FD" w:rsidRPr="0053555E" w:rsidRDefault="003268FD" w:rsidP="003268FD">
            <w:pPr>
              <w:jc w:val="center"/>
              <w:rPr>
                <w:rFonts w:cs="Calibri"/>
                <w:sz w:val="20"/>
                <w:szCs w:val="20"/>
              </w:rPr>
            </w:pPr>
          </w:p>
        </w:tc>
      </w:tr>
      <w:tr w:rsidR="003268FD" w:rsidRPr="0053555E" w14:paraId="3F092824"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3903C150" w14:textId="518AD34E" w:rsidR="003268FD" w:rsidRPr="0053555E" w:rsidRDefault="003268FD" w:rsidP="003268FD">
            <w:pPr>
              <w:rPr>
                <w:rFonts w:cs="Calibri"/>
                <w:sz w:val="20"/>
                <w:szCs w:val="20"/>
              </w:rPr>
            </w:pPr>
            <w:r w:rsidRPr="0053555E">
              <w:rPr>
                <w:rFonts w:cs="Calibri"/>
                <w:sz w:val="20"/>
                <w:szCs w:val="20"/>
              </w:rPr>
              <w:t>1. miesto ŠVK v odbore chémia na UKF v Nitre</w:t>
            </w:r>
          </w:p>
        </w:tc>
        <w:tc>
          <w:tcPr>
            <w:tcW w:w="567" w:type="dxa"/>
            <w:tcBorders>
              <w:top w:val="nil"/>
              <w:left w:val="nil"/>
              <w:bottom w:val="single" w:sz="4" w:space="0" w:color="auto"/>
              <w:right w:val="single" w:sz="4" w:space="0" w:color="auto"/>
            </w:tcBorders>
            <w:shd w:val="clear" w:color="auto" w:fill="auto"/>
            <w:vAlign w:val="center"/>
          </w:tcPr>
          <w:p w14:paraId="601BDDDF" w14:textId="51A38AF9" w:rsidR="003268FD" w:rsidRPr="0053555E" w:rsidRDefault="003268FD" w:rsidP="003268F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281B9C9D" w14:textId="2D68BC41" w:rsidR="003268FD" w:rsidRPr="0053555E" w:rsidRDefault="003268FD" w:rsidP="003268FD">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4653FC64" w14:textId="19023B9D" w:rsidR="003268FD" w:rsidRPr="0053555E" w:rsidRDefault="003268FD" w:rsidP="003268FD">
            <w:pPr>
              <w:jc w:val="center"/>
              <w:rPr>
                <w:rFonts w:cs="Calibri"/>
                <w:sz w:val="20"/>
                <w:szCs w:val="20"/>
              </w:rPr>
            </w:pPr>
          </w:p>
        </w:tc>
        <w:tc>
          <w:tcPr>
            <w:tcW w:w="709" w:type="dxa"/>
            <w:tcBorders>
              <w:top w:val="nil"/>
              <w:left w:val="nil"/>
              <w:bottom w:val="single" w:sz="4" w:space="0" w:color="auto"/>
              <w:right w:val="single" w:sz="4" w:space="0" w:color="auto"/>
            </w:tcBorders>
            <w:shd w:val="clear" w:color="auto" w:fill="auto"/>
            <w:vAlign w:val="center"/>
          </w:tcPr>
          <w:p w14:paraId="1F065B80" w14:textId="219D557B" w:rsidR="003268FD" w:rsidRPr="0053555E" w:rsidRDefault="003268FD" w:rsidP="003268FD">
            <w:pPr>
              <w:jc w:val="center"/>
              <w:rPr>
                <w:rFonts w:cs="Calibr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center"/>
          </w:tcPr>
          <w:p w14:paraId="51F108CD" w14:textId="22BB08A1"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6EB8F5E" w14:textId="6E44B9EA"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35E7DC65" w14:textId="058724E7" w:rsidR="003268FD" w:rsidRPr="0053555E"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AFEE0F7" w14:textId="6ADB98F0" w:rsidR="003268FD" w:rsidRPr="0053555E" w:rsidRDefault="003268FD" w:rsidP="003268FD">
            <w:pPr>
              <w:jc w:val="center"/>
              <w:rPr>
                <w:rFonts w:cs="Calibri"/>
                <w:sz w:val="20"/>
                <w:szCs w:val="20"/>
              </w:rPr>
            </w:pPr>
          </w:p>
        </w:tc>
      </w:tr>
      <w:tr w:rsidR="007A438C" w:rsidRPr="00BE78B3" w14:paraId="08F292F6"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47CF455C" w14:textId="4536761E" w:rsidR="007A438C" w:rsidRPr="00BE78B3" w:rsidRDefault="007A438C" w:rsidP="007A438C">
            <w:pPr>
              <w:rPr>
                <w:rFonts w:cs="Calibri"/>
                <w:sz w:val="20"/>
                <w:szCs w:val="20"/>
              </w:rPr>
            </w:pPr>
            <w:r w:rsidRPr="00BE78B3">
              <w:rPr>
                <w:rFonts w:cs="Calibri"/>
                <w:sz w:val="18"/>
                <w:szCs w:val="18"/>
              </w:rPr>
              <w:t>1. miesto Univerzitné MSR v e-športoch LoL (ZS)</w:t>
            </w:r>
          </w:p>
        </w:tc>
        <w:tc>
          <w:tcPr>
            <w:tcW w:w="567" w:type="dxa"/>
            <w:tcBorders>
              <w:top w:val="nil"/>
              <w:left w:val="nil"/>
              <w:bottom w:val="single" w:sz="4" w:space="0" w:color="auto"/>
              <w:right w:val="single" w:sz="4" w:space="0" w:color="auto"/>
            </w:tcBorders>
            <w:shd w:val="clear" w:color="auto" w:fill="auto"/>
            <w:vAlign w:val="center"/>
          </w:tcPr>
          <w:p w14:paraId="75A4BC6D" w14:textId="555E2F3E" w:rsidR="007A438C" w:rsidRPr="00BE78B3" w:rsidRDefault="007A438C" w:rsidP="007A438C">
            <w:pPr>
              <w:jc w:val="center"/>
              <w:rPr>
                <w:rFonts w:cs="Calibri"/>
                <w:sz w:val="20"/>
                <w:szCs w:val="20"/>
              </w:rPr>
            </w:pPr>
            <w:r w:rsidRPr="00BE78B3">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tcPr>
          <w:p w14:paraId="4BDD91EA" w14:textId="19474F44" w:rsidR="007A438C" w:rsidRPr="00BE78B3" w:rsidRDefault="007A438C" w:rsidP="007A438C">
            <w:pPr>
              <w:jc w:val="center"/>
              <w:rPr>
                <w:rFonts w:cs="Calibri"/>
                <w:sz w:val="20"/>
                <w:szCs w:val="20"/>
              </w:rPr>
            </w:pPr>
            <w:r w:rsidRPr="00BE78B3">
              <w:rPr>
                <w:rFonts w:cs="Calibri"/>
                <w:sz w:val="18"/>
                <w:szCs w:val="18"/>
              </w:rPr>
              <w:t>1</w:t>
            </w:r>
          </w:p>
        </w:tc>
        <w:tc>
          <w:tcPr>
            <w:tcW w:w="569" w:type="dxa"/>
            <w:tcBorders>
              <w:top w:val="nil"/>
              <w:left w:val="nil"/>
              <w:bottom w:val="single" w:sz="4" w:space="0" w:color="auto"/>
              <w:right w:val="single" w:sz="4" w:space="0" w:color="auto"/>
            </w:tcBorders>
            <w:shd w:val="clear" w:color="auto" w:fill="auto"/>
            <w:vAlign w:val="center"/>
          </w:tcPr>
          <w:p w14:paraId="0E33A2A4" w14:textId="5FB8B333" w:rsidR="007A438C" w:rsidRPr="00BE78B3" w:rsidRDefault="007A438C" w:rsidP="007A438C">
            <w:pPr>
              <w:jc w:val="center"/>
              <w:rPr>
                <w:rFonts w:cs="Calibri"/>
                <w:sz w:val="20"/>
                <w:szCs w:val="20"/>
              </w:rPr>
            </w:pPr>
            <w:r w:rsidRPr="00BE78B3">
              <w:rPr>
                <w:rFonts w:cs="Calibri"/>
                <w:sz w:val="18"/>
                <w:szCs w:val="18"/>
              </w:rPr>
              <w:t>3</w:t>
            </w:r>
          </w:p>
        </w:tc>
        <w:tc>
          <w:tcPr>
            <w:tcW w:w="709" w:type="dxa"/>
            <w:tcBorders>
              <w:top w:val="nil"/>
              <w:left w:val="nil"/>
              <w:bottom w:val="single" w:sz="4" w:space="0" w:color="auto"/>
              <w:right w:val="single" w:sz="4" w:space="0" w:color="auto"/>
            </w:tcBorders>
            <w:shd w:val="clear" w:color="auto" w:fill="auto"/>
            <w:vAlign w:val="center"/>
          </w:tcPr>
          <w:p w14:paraId="6DF31EE1" w14:textId="1190E91A"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vAlign w:val="center"/>
          </w:tcPr>
          <w:p w14:paraId="22F48B83" w14:textId="7F4B4B54"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noWrap/>
            <w:vAlign w:val="center"/>
          </w:tcPr>
          <w:p w14:paraId="1A98D81D" w14:textId="0695E143"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vAlign w:val="center"/>
          </w:tcPr>
          <w:p w14:paraId="74A79ADC" w14:textId="3EEF71AD" w:rsidR="007A438C" w:rsidRPr="00BE78B3" w:rsidRDefault="007A438C" w:rsidP="007A438C">
            <w:pPr>
              <w:jc w:val="center"/>
              <w:rPr>
                <w:rFonts w:cs="Calibri"/>
                <w:sz w:val="20"/>
                <w:szCs w:val="20"/>
              </w:rPr>
            </w:pPr>
            <w:r w:rsidRPr="00BE78B3">
              <w:rPr>
                <w:rFonts w:cs="Calibri"/>
                <w:sz w:val="18"/>
                <w:szCs w:val="18"/>
              </w:rPr>
              <w:t>1</w:t>
            </w:r>
          </w:p>
        </w:tc>
        <w:tc>
          <w:tcPr>
            <w:tcW w:w="638" w:type="dxa"/>
            <w:tcBorders>
              <w:top w:val="nil"/>
              <w:left w:val="nil"/>
              <w:bottom w:val="single" w:sz="4" w:space="0" w:color="auto"/>
              <w:right w:val="single" w:sz="4" w:space="0" w:color="auto"/>
            </w:tcBorders>
            <w:shd w:val="clear" w:color="auto" w:fill="auto"/>
            <w:noWrap/>
            <w:vAlign w:val="center"/>
          </w:tcPr>
          <w:p w14:paraId="5CECF151" w14:textId="02E8C561" w:rsidR="007A438C" w:rsidRPr="00BE78B3" w:rsidRDefault="007A438C" w:rsidP="007A438C">
            <w:pPr>
              <w:jc w:val="center"/>
              <w:rPr>
                <w:rFonts w:cs="Calibri"/>
                <w:sz w:val="20"/>
                <w:szCs w:val="20"/>
              </w:rPr>
            </w:pPr>
            <w:r w:rsidRPr="00BE78B3">
              <w:rPr>
                <w:rFonts w:cs="Calibri"/>
                <w:sz w:val="18"/>
                <w:szCs w:val="18"/>
              </w:rPr>
              <w:t> </w:t>
            </w:r>
          </w:p>
        </w:tc>
      </w:tr>
      <w:tr w:rsidR="007A438C" w:rsidRPr="00BE78B3" w14:paraId="4BA6B746"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2669D957" w14:textId="36E8D150" w:rsidR="007A438C" w:rsidRPr="00BE78B3" w:rsidRDefault="007A438C" w:rsidP="007A438C">
            <w:pPr>
              <w:rPr>
                <w:rFonts w:cs="Calibri"/>
                <w:sz w:val="20"/>
                <w:szCs w:val="20"/>
              </w:rPr>
            </w:pPr>
            <w:r w:rsidRPr="00BE78B3">
              <w:rPr>
                <w:rFonts w:cs="Calibri"/>
                <w:sz w:val="18"/>
                <w:szCs w:val="18"/>
              </w:rPr>
              <w:t>1. miesto Univerzitné MSR v e-športoch HS (ZS)</w:t>
            </w:r>
          </w:p>
        </w:tc>
        <w:tc>
          <w:tcPr>
            <w:tcW w:w="567" w:type="dxa"/>
            <w:tcBorders>
              <w:top w:val="nil"/>
              <w:left w:val="nil"/>
              <w:bottom w:val="single" w:sz="4" w:space="0" w:color="auto"/>
              <w:right w:val="single" w:sz="4" w:space="0" w:color="auto"/>
            </w:tcBorders>
            <w:shd w:val="clear" w:color="auto" w:fill="auto"/>
            <w:vAlign w:val="center"/>
          </w:tcPr>
          <w:p w14:paraId="45C3A21E" w14:textId="1CB2B0F3" w:rsidR="007A438C" w:rsidRPr="00BE78B3" w:rsidRDefault="007A438C" w:rsidP="007A438C">
            <w:pPr>
              <w:jc w:val="center"/>
              <w:rPr>
                <w:rFonts w:cs="Calibri"/>
                <w:sz w:val="20"/>
                <w:szCs w:val="20"/>
              </w:rPr>
            </w:pPr>
            <w:r w:rsidRPr="00BE78B3">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tcPr>
          <w:p w14:paraId="7D2F259F" w14:textId="0E3B1E51" w:rsidR="007A438C" w:rsidRPr="00BE78B3" w:rsidRDefault="007A438C" w:rsidP="007A438C">
            <w:pPr>
              <w:jc w:val="center"/>
              <w:rPr>
                <w:rFonts w:cs="Calibri"/>
                <w:sz w:val="20"/>
                <w:szCs w:val="20"/>
              </w:rPr>
            </w:pPr>
            <w:r w:rsidRPr="00BE78B3">
              <w:rPr>
                <w:rFonts w:cs="Calibri"/>
                <w:sz w:val="18"/>
                <w:szCs w:val="18"/>
              </w:rPr>
              <w:t> </w:t>
            </w:r>
          </w:p>
        </w:tc>
        <w:tc>
          <w:tcPr>
            <w:tcW w:w="569" w:type="dxa"/>
            <w:tcBorders>
              <w:top w:val="nil"/>
              <w:left w:val="nil"/>
              <w:bottom w:val="single" w:sz="4" w:space="0" w:color="auto"/>
              <w:right w:val="single" w:sz="4" w:space="0" w:color="auto"/>
            </w:tcBorders>
            <w:shd w:val="clear" w:color="auto" w:fill="auto"/>
            <w:vAlign w:val="center"/>
          </w:tcPr>
          <w:p w14:paraId="14C344F8" w14:textId="0D06BA35" w:rsidR="007A438C" w:rsidRPr="00BE78B3" w:rsidRDefault="007A438C" w:rsidP="007A438C">
            <w:pPr>
              <w:jc w:val="center"/>
              <w:rPr>
                <w:rFonts w:cs="Calibri"/>
                <w:sz w:val="20"/>
                <w:szCs w:val="20"/>
              </w:rPr>
            </w:pPr>
            <w:r w:rsidRPr="00BE78B3">
              <w:rPr>
                <w:rFonts w:cs="Calibri"/>
                <w:sz w:val="18"/>
                <w:szCs w:val="18"/>
              </w:rPr>
              <w:t> </w:t>
            </w:r>
          </w:p>
        </w:tc>
        <w:tc>
          <w:tcPr>
            <w:tcW w:w="709" w:type="dxa"/>
            <w:tcBorders>
              <w:top w:val="nil"/>
              <w:left w:val="nil"/>
              <w:bottom w:val="single" w:sz="4" w:space="0" w:color="auto"/>
              <w:right w:val="single" w:sz="4" w:space="0" w:color="auto"/>
            </w:tcBorders>
            <w:shd w:val="clear" w:color="auto" w:fill="auto"/>
            <w:vAlign w:val="center"/>
          </w:tcPr>
          <w:p w14:paraId="2239897B" w14:textId="5622403F"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vAlign w:val="center"/>
          </w:tcPr>
          <w:p w14:paraId="145BEDAE" w14:textId="7B07852E"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noWrap/>
            <w:vAlign w:val="center"/>
          </w:tcPr>
          <w:p w14:paraId="25B9F651" w14:textId="6A8D1CCF"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vAlign w:val="center"/>
          </w:tcPr>
          <w:p w14:paraId="6A2B4D8D" w14:textId="42972F01" w:rsidR="007A438C" w:rsidRPr="00BE78B3" w:rsidRDefault="007A438C" w:rsidP="007A438C">
            <w:pPr>
              <w:jc w:val="center"/>
              <w:rPr>
                <w:rFonts w:cs="Calibri"/>
                <w:sz w:val="20"/>
                <w:szCs w:val="20"/>
              </w:rPr>
            </w:pPr>
            <w:r w:rsidRPr="00BE78B3">
              <w:rPr>
                <w:rFonts w:cs="Calibri"/>
                <w:sz w:val="18"/>
                <w:szCs w:val="18"/>
              </w:rPr>
              <w:t>1</w:t>
            </w:r>
          </w:p>
        </w:tc>
        <w:tc>
          <w:tcPr>
            <w:tcW w:w="638" w:type="dxa"/>
            <w:tcBorders>
              <w:top w:val="nil"/>
              <w:left w:val="nil"/>
              <w:bottom w:val="single" w:sz="4" w:space="0" w:color="auto"/>
              <w:right w:val="single" w:sz="4" w:space="0" w:color="auto"/>
            </w:tcBorders>
            <w:shd w:val="clear" w:color="auto" w:fill="auto"/>
            <w:noWrap/>
            <w:vAlign w:val="center"/>
          </w:tcPr>
          <w:p w14:paraId="1A4B090B" w14:textId="3CF3123B" w:rsidR="007A438C" w:rsidRPr="00BE78B3" w:rsidRDefault="007A438C" w:rsidP="007A438C">
            <w:pPr>
              <w:jc w:val="center"/>
              <w:rPr>
                <w:rFonts w:cs="Calibri"/>
                <w:sz w:val="20"/>
                <w:szCs w:val="20"/>
              </w:rPr>
            </w:pPr>
            <w:r w:rsidRPr="00BE78B3">
              <w:rPr>
                <w:rFonts w:cs="Calibri"/>
                <w:sz w:val="18"/>
                <w:szCs w:val="18"/>
              </w:rPr>
              <w:t> </w:t>
            </w:r>
          </w:p>
        </w:tc>
      </w:tr>
      <w:tr w:rsidR="007A438C" w:rsidRPr="00BE78B3" w14:paraId="4ED79AFE"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26BAD06E" w14:textId="540F253E" w:rsidR="007A438C" w:rsidRPr="00BE78B3" w:rsidRDefault="007A438C" w:rsidP="007A438C">
            <w:pPr>
              <w:rPr>
                <w:rFonts w:cs="Calibri"/>
                <w:sz w:val="20"/>
                <w:szCs w:val="20"/>
              </w:rPr>
            </w:pPr>
            <w:r w:rsidRPr="00BE78B3">
              <w:rPr>
                <w:rFonts w:cs="Calibri"/>
                <w:sz w:val="18"/>
                <w:szCs w:val="18"/>
              </w:rPr>
              <w:t>1. miesto Unicap v e-športoch LoL (ZS)</w:t>
            </w:r>
          </w:p>
        </w:tc>
        <w:tc>
          <w:tcPr>
            <w:tcW w:w="567" w:type="dxa"/>
            <w:tcBorders>
              <w:top w:val="nil"/>
              <w:left w:val="nil"/>
              <w:bottom w:val="single" w:sz="4" w:space="0" w:color="auto"/>
              <w:right w:val="single" w:sz="4" w:space="0" w:color="auto"/>
            </w:tcBorders>
            <w:shd w:val="clear" w:color="auto" w:fill="auto"/>
            <w:vAlign w:val="center"/>
          </w:tcPr>
          <w:p w14:paraId="67DAC4E8" w14:textId="6414A41F" w:rsidR="007A438C" w:rsidRPr="00BE78B3" w:rsidRDefault="007A438C" w:rsidP="007A438C">
            <w:pPr>
              <w:jc w:val="center"/>
              <w:rPr>
                <w:rFonts w:cs="Calibri"/>
                <w:sz w:val="20"/>
                <w:szCs w:val="20"/>
              </w:rPr>
            </w:pPr>
            <w:r w:rsidRPr="00BE78B3">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tcPr>
          <w:p w14:paraId="4EC0D3EB" w14:textId="06E928FC" w:rsidR="007A438C" w:rsidRPr="00BE78B3" w:rsidRDefault="007A438C" w:rsidP="007A438C">
            <w:pPr>
              <w:jc w:val="center"/>
              <w:rPr>
                <w:rFonts w:cs="Calibri"/>
                <w:sz w:val="20"/>
                <w:szCs w:val="20"/>
              </w:rPr>
            </w:pPr>
            <w:r w:rsidRPr="00BE78B3">
              <w:rPr>
                <w:rFonts w:cs="Calibri"/>
                <w:sz w:val="18"/>
                <w:szCs w:val="18"/>
              </w:rPr>
              <w:t> </w:t>
            </w:r>
          </w:p>
        </w:tc>
        <w:tc>
          <w:tcPr>
            <w:tcW w:w="569" w:type="dxa"/>
            <w:tcBorders>
              <w:top w:val="nil"/>
              <w:left w:val="nil"/>
              <w:bottom w:val="single" w:sz="4" w:space="0" w:color="auto"/>
              <w:right w:val="single" w:sz="4" w:space="0" w:color="auto"/>
            </w:tcBorders>
            <w:shd w:val="clear" w:color="auto" w:fill="auto"/>
            <w:vAlign w:val="center"/>
          </w:tcPr>
          <w:p w14:paraId="568EBDD4" w14:textId="39D5F85B" w:rsidR="007A438C" w:rsidRPr="00BE78B3" w:rsidRDefault="007A438C" w:rsidP="007A438C">
            <w:pPr>
              <w:jc w:val="center"/>
              <w:rPr>
                <w:rFonts w:cs="Calibri"/>
                <w:sz w:val="20"/>
                <w:szCs w:val="20"/>
              </w:rPr>
            </w:pPr>
            <w:r w:rsidRPr="00BE78B3">
              <w:rPr>
                <w:rFonts w:cs="Calibri"/>
                <w:sz w:val="18"/>
                <w:szCs w:val="18"/>
              </w:rPr>
              <w:t>4</w:t>
            </w:r>
          </w:p>
        </w:tc>
        <w:tc>
          <w:tcPr>
            <w:tcW w:w="709" w:type="dxa"/>
            <w:tcBorders>
              <w:top w:val="nil"/>
              <w:left w:val="nil"/>
              <w:bottom w:val="single" w:sz="4" w:space="0" w:color="auto"/>
              <w:right w:val="single" w:sz="4" w:space="0" w:color="auto"/>
            </w:tcBorders>
            <w:shd w:val="clear" w:color="auto" w:fill="auto"/>
            <w:vAlign w:val="center"/>
          </w:tcPr>
          <w:p w14:paraId="3D155797" w14:textId="60A5865C"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vAlign w:val="center"/>
          </w:tcPr>
          <w:p w14:paraId="76CE1312" w14:textId="49206651"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noWrap/>
            <w:vAlign w:val="center"/>
          </w:tcPr>
          <w:p w14:paraId="5ABE83DC" w14:textId="7B0204AB"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vAlign w:val="center"/>
          </w:tcPr>
          <w:p w14:paraId="59D58588" w14:textId="177A0CC2" w:rsidR="007A438C" w:rsidRPr="00BE78B3" w:rsidRDefault="007A438C" w:rsidP="007A438C">
            <w:pPr>
              <w:jc w:val="center"/>
              <w:rPr>
                <w:rFonts w:cs="Calibri"/>
                <w:sz w:val="20"/>
                <w:szCs w:val="20"/>
              </w:rPr>
            </w:pPr>
            <w:r w:rsidRPr="00BE78B3">
              <w:rPr>
                <w:rFonts w:cs="Calibri"/>
                <w:sz w:val="18"/>
                <w:szCs w:val="18"/>
              </w:rPr>
              <w:t>1</w:t>
            </w:r>
          </w:p>
        </w:tc>
        <w:tc>
          <w:tcPr>
            <w:tcW w:w="638" w:type="dxa"/>
            <w:tcBorders>
              <w:top w:val="nil"/>
              <w:left w:val="nil"/>
              <w:bottom w:val="single" w:sz="4" w:space="0" w:color="auto"/>
              <w:right w:val="single" w:sz="4" w:space="0" w:color="auto"/>
            </w:tcBorders>
            <w:shd w:val="clear" w:color="auto" w:fill="auto"/>
            <w:noWrap/>
            <w:vAlign w:val="center"/>
          </w:tcPr>
          <w:p w14:paraId="6F70A0D9" w14:textId="40483309" w:rsidR="007A438C" w:rsidRPr="00BE78B3" w:rsidRDefault="007A438C" w:rsidP="007A438C">
            <w:pPr>
              <w:jc w:val="center"/>
              <w:rPr>
                <w:rFonts w:cs="Calibri"/>
                <w:sz w:val="20"/>
                <w:szCs w:val="20"/>
              </w:rPr>
            </w:pPr>
            <w:r w:rsidRPr="00BE78B3">
              <w:rPr>
                <w:rFonts w:cs="Calibri"/>
                <w:sz w:val="18"/>
                <w:szCs w:val="18"/>
              </w:rPr>
              <w:t> </w:t>
            </w:r>
          </w:p>
        </w:tc>
      </w:tr>
      <w:tr w:rsidR="007A438C" w:rsidRPr="00BE78B3" w14:paraId="4F4107FA"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71B82B0C" w14:textId="2CDAC1D4" w:rsidR="007A438C" w:rsidRPr="00BE78B3" w:rsidRDefault="007A438C" w:rsidP="007A438C">
            <w:pPr>
              <w:rPr>
                <w:rFonts w:cs="Calibri"/>
                <w:sz w:val="20"/>
                <w:szCs w:val="20"/>
              </w:rPr>
            </w:pPr>
            <w:r w:rsidRPr="00BE78B3">
              <w:rPr>
                <w:rFonts w:cs="Calibri"/>
                <w:sz w:val="18"/>
                <w:szCs w:val="18"/>
              </w:rPr>
              <w:t>1. miesto Univerzitné MSR v e-športoch LoL (LS)</w:t>
            </w:r>
          </w:p>
        </w:tc>
        <w:tc>
          <w:tcPr>
            <w:tcW w:w="567" w:type="dxa"/>
            <w:tcBorders>
              <w:top w:val="nil"/>
              <w:left w:val="nil"/>
              <w:bottom w:val="single" w:sz="4" w:space="0" w:color="auto"/>
              <w:right w:val="single" w:sz="4" w:space="0" w:color="auto"/>
            </w:tcBorders>
            <w:shd w:val="clear" w:color="auto" w:fill="auto"/>
            <w:vAlign w:val="center"/>
          </w:tcPr>
          <w:p w14:paraId="415866FE" w14:textId="5F4AA886" w:rsidR="007A438C" w:rsidRPr="00BE78B3" w:rsidRDefault="007A438C" w:rsidP="007A438C">
            <w:pPr>
              <w:jc w:val="center"/>
              <w:rPr>
                <w:rFonts w:cs="Calibri"/>
                <w:sz w:val="20"/>
                <w:szCs w:val="20"/>
              </w:rPr>
            </w:pPr>
            <w:r w:rsidRPr="00BE78B3">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tcPr>
          <w:p w14:paraId="7773ED05" w14:textId="4E2FF399" w:rsidR="007A438C" w:rsidRPr="00BE78B3" w:rsidRDefault="007A438C" w:rsidP="007A438C">
            <w:pPr>
              <w:jc w:val="center"/>
              <w:rPr>
                <w:rFonts w:cs="Calibri"/>
                <w:sz w:val="20"/>
                <w:szCs w:val="20"/>
              </w:rPr>
            </w:pPr>
            <w:r w:rsidRPr="00BE78B3">
              <w:rPr>
                <w:rFonts w:cs="Calibri"/>
                <w:sz w:val="18"/>
                <w:szCs w:val="18"/>
              </w:rPr>
              <w:t> </w:t>
            </w:r>
          </w:p>
        </w:tc>
        <w:tc>
          <w:tcPr>
            <w:tcW w:w="569" w:type="dxa"/>
            <w:tcBorders>
              <w:top w:val="nil"/>
              <w:left w:val="nil"/>
              <w:bottom w:val="single" w:sz="4" w:space="0" w:color="auto"/>
              <w:right w:val="single" w:sz="4" w:space="0" w:color="auto"/>
            </w:tcBorders>
            <w:shd w:val="clear" w:color="auto" w:fill="auto"/>
            <w:vAlign w:val="center"/>
          </w:tcPr>
          <w:p w14:paraId="3558D559" w14:textId="20A10309" w:rsidR="007A438C" w:rsidRPr="00BE78B3" w:rsidRDefault="007A438C" w:rsidP="007A438C">
            <w:pPr>
              <w:jc w:val="center"/>
              <w:rPr>
                <w:rFonts w:cs="Calibri"/>
                <w:sz w:val="20"/>
                <w:szCs w:val="20"/>
              </w:rPr>
            </w:pPr>
            <w:r w:rsidRPr="00BE78B3">
              <w:rPr>
                <w:rFonts w:cs="Calibri"/>
                <w:sz w:val="18"/>
                <w:szCs w:val="18"/>
              </w:rPr>
              <w:t>4</w:t>
            </w:r>
          </w:p>
        </w:tc>
        <w:tc>
          <w:tcPr>
            <w:tcW w:w="709" w:type="dxa"/>
            <w:tcBorders>
              <w:top w:val="nil"/>
              <w:left w:val="nil"/>
              <w:bottom w:val="single" w:sz="4" w:space="0" w:color="auto"/>
              <w:right w:val="single" w:sz="4" w:space="0" w:color="auto"/>
            </w:tcBorders>
            <w:shd w:val="clear" w:color="auto" w:fill="auto"/>
            <w:vAlign w:val="center"/>
          </w:tcPr>
          <w:p w14:paraId="2BFD8CFA" w14:textId="5BFE2A90"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vAlign w:val="center"/>
          </w:tcPr>
          <w:p w14:paraId="39161DE6" w14:textId="40B3BC4A"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noWrap/>
            <w:vAlign w:val="center"/>
          </w:tcPr>
          <w:p w14:paraId="2085DA8C" w14:textId="4A4B44E4"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vAlign w:val="center"/>
          </w:tcPr>
          <w:p w14:paraId="4A1DE61B" w14:textId="449EA8C8" w:rsidR="007A438C" w:rsidRPr="00BE78B3" w:rsidRDefault="007A438C" w:rsidP="007A438C">
            <w:pPr>
              <w:jc w:val="center"/>
              <w:rPr>
                <w:rFonts w:cs="Calibri"/>
                <w:sz w:val="20"/>
                <w:szCs w:val="20"/>
              </w:rPr>
            </w:pPr>
            <w:r w:rsidRPr="00BE78B3">
              <w:rPr>
                <w:rFonts w:cs="Calibri"/>
                <w:sz w:val="18"/>
                <w:szCs w:val="18"/>
              </w:rPr>
              <w:t>1</w:t>
            </w:r>
          </w:p>
        </w:tc>
        <w:tc>
          <w:tcPr>
            <w:tcW w:w="638" w:type="dxa"/>
            <w:tcBorders>
              <w:top w:val="nil"/>
              <w:left w:val="nil"/>
              <w:bottom w:val="single" w:sz="4" w:space="0" w:color="auto"/>
              <w:right w:val="single" w:sz="4" w:space="0" w:color="auto"/>
            </w:tcBorders>
            <w:shd w:val="clear" w:color="auto" w:fill="auto"/>
            <w:noWrap/>
            <w:vAlign w:val="center"/>
          </w:tcPr>
          <w:p w14:paraId="78116AF4" w14:textId="15BDE537" w:rsidR="007A438C" w:rsidRPr="00BE78B3" w:rsidRDefault="007A438C" w:rsidP="007A438C">
            <w:pPr>
              <w:jc w:val="center"/>
              <w:rPr>
                <w:rFonts w:cs="Calibri"/>
                <w:sz w:val="20"/>
                <w:szCs w:val="20"/>
              </w:rPr>
            </w:pPr>
            <w:r w:rsidRPr="00BE78B3">
              <w:rPr>
                <w:rFonts w:cs="Calibri"/>
                <w:sz w:val="18"/>
                <w:szCs w:val="18"/>
              </w:rPr>
              <w:t> </w:t>
            </w:r>
          </w:p>
        </w:tc>
      </w:tr>
      <w:tr w:rsidR="007A438C" w:rsidRPr="00BE78B3" w14:paraId="6856D168"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420E0906" w14:textId="310F1951" w:rsidR="007A438C" w:rsidRPr="00BE78B3" w:rsidRDefault="007A438C" w:rsidP="007A438C">
            <w:pPr>
              <w:rPr>
                <w:rFonts w:cs="Calibri"/>
                <w:sz w:val="20"/>
                <w:szCs w:val="20"/>
              </w:rPr>
            </w:pPr>
            <w:r w:rsidRPr="00BE78B3">
              <w:rPr>
                <w:rFonts w:cs="Calibri"/>
                <w:sz w:val="18"/>
                <w:szCs w:val="18"/>
              </w:rPr>
              <w:t>1. miesto univerzitné MSR v e-športoch, TFT (LS)</w:t>
            </w:r>
          </w:p>
        </w:tc>
        <w:tc>
          <w:tcPr>
            <w:tcW w:w="567" w:type="dxa"/>
            <w:tcBorders>
              <w:top w:val="nil"/>
              <w:left w:val="nil"/>
              <w:bottom w:val="single" w:sz="4" w:space="0" w:color="auto"/>
              <w:right w:val="single" w:sz="4" w:space="0" w:color="auto"/>
            </w:tcBorders>
            <w:shd w:val="clear" w:color="auto" w:fill="auto"/>
            <w:vAlign w:val="center"/>
          </w:tcPr>
          <w:p w14:paraId="2F7CF5E2" w14:textId="2B4B03F5" w:rsidR="007A438C" w:rsidRPr="00BE78B3" w:rsidRDefault="007A438C" w:rsidP="007A438C">
            <w:pPr>
              <w:jc w:val="center"/>
              <w:rPr>
                <w:rFonts w:cs="Calibri"/>
                <w:sz w:val="20"/>
                <w:szCs w:val="20"/>
              </w:rPr>
            </w:pPr>
            <w:r w:rsidRPr="00BE78B3">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tcPr>
          <w:p w14:paraId="67F1BC9C" w14:textId="77E38513" w:rsidR="007A438C" w:rsidRPr="00BE78B3" w:rsidRDefault="007A438C" w:rsidP="007A438C">
            <w:pPr>
              <w:jc w:val="center"/>
              <w:rPr>
                <w:rFonts w:cs="Calibri"/>
                <w:sz w:val="20"/>
                <w:szCs w:val="20"/>
              </w:rPr>
            </w:pPr>
            <w:r w:rsidRPr="00BE78B3">
              <w:rPr>
                <w:rFonts w:cs="Calibri"/>
                <w:sz w:val="18"/>
                <w:szCs w:val="18"/>
              </w:rPr>
              <w:t> </w:t>
            </w:r>
          </w:p>
        </w:tc>
        <w:tc>
          <w:tcPr>
            <w:tcW w:w="569" w:type="dxa"/>
            <w:tcBorders>
              <w:top w:val="nil"/>
              <w:left w:val="nil"/>
              <w:bottom w:val="single" w:sz="4" w:space="0" w:color="auto"/>
              <w:right w:val="single" w:sz="4" w:space="0" w:color="auto"/>
            </w:tcBorders>
            <w:shd w:val="clear" w:color="auto" w:fill="auto"/>
            <w:vAlign w:val="center"/>
          </w:tcPr>
          <w:p w14:paraId="3FDDA0E3" w14:textId="6E751725" w:rsidR="007A438C" w:rsidRPr="00BE78B3" w:rsidRDefault="007A438C" w:rsidP="007A438C">
            <w:pPr>
              <w:jc w:val="center"/>
              <w:rPr>
                <w:rFonts w:cs="Calibri"/>
                <w:sz w:val="20"/>
                <w:szCs w:val="20"/>
              </w:rPr>
            </w:pPr>
            <w:r w:rsidRPr="00BE78B3">
              <w:rPr>
                <w:rFonts w:cs="Calibri"/>
                <w:sz w:val="18"/>
                <w:szCs w:val="18"/>
              </w:rPr>
              <w:t> </w:t>
            </w:r>
          </w:p>
        </w:tc>
        <w:tc>
          <w:tcPr>
            <w:tcW w:w="709" w:type="dxa"/>
            <w:tcBorders>
              <w:top w:val="nil"/>
              <w:left w:val="nil"/>
              <w:bottom w:val="single" w:sz="4" w:space="0" w:color="auto"/>
              <w:right w:val="single" w:sz="4" w:space="0" w:color="auto"/>
            </w:tcBorders>
            <w:shd w:val="clear" w:color="auto" w:fill="auto"/>
            <w:vAlign w:val="center"/>
          </w:tcPr>
          <w:p w14:paraId="3471F3BD" w14:textId="1D05E05A" w:rsidR="007A438C" w:rsidRPr="00BE78B3" w:rsidRDefault="007A438C" w:rsidP="007A438C">
            <w:pPr>
              <w:jc w:val="center"/>
              <w:rPr>
                <w:rFonts w:cs="Calibri"/>
                <w:sz w:val="20"/>
                <w:szCs w:val="20"/>
              </w:rPr>
            </w:pPr>
            <w:r w:rsidRPr="00BE78B3">
              <w:rPr>
                <w:rFonts w:cs="Calibri"/>
                <w:sz w:val="18"/>
                <w:szCs w:val="18"/>
              </w:rPr>
              <w:t>1</w:t>
            </w:r>
          </w:p>
        </w:tc>
        <w:tc>
          <w:tcPr>
            <w:tcW w:w="638" w:type="dxa"/>
            <w:tcBorders>
              <w:top w:val="nil"/>
              <w:left w:val="nil"/>
              <w:bottom w:val="single" w:sz="4" w:space="0" w:color="auto"/>
              <w:right w:val="single" w:sz="4" w:space="0" w:color="auto"/>
            </w:tcBorders>
            <w:shd w:val="clear" w:color="auto" w:fill="auto"/>
            <w:vAlign w:val="center"/>
          </w:tcPr>
          <w:p w14:paraId="12A07A3F" w14:textId="057CA48E"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noWrap/>
            <w:vAlign w:val="center"/>
          </w:tcPr>
          <w:p w14:paraId="317E7B89" w14:textId="19C1967B"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vAlign w:val="center"/>
          </w:tcPr>
          <w:p w14:paraId="5C55F688" w14:textId="32B6BDAF"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noWrap/>
            <w:vAlign w:val="center"/>
          </w:tcPr>
          <w:p w14:paraId="68DFAF59" w14:textId="2797A39D" w:rsidR="007A438C" w:rsidRPr="00BE78B3" w:rsidRDefault="007A438C" w:rsidP="007A438C">
            <w:pPr>
              <w:jc w:val="center"/>
              <w:rPr>
                <w:rFonts w:cs="Calibri"/>
                <w:sz w:val="20"/>
                <w:szCs w:val="20"/>
              </w:rPr>
            </w:pPr>
            <w:r w:rsidRPr="00BE78B3">
              <w:rPr>
                <w:rFonts w:cs="Calibri"/>
                <w:sz w:val="18"/>
                <w:szCs w:val="18"/>
              </w:rPr>
              <w:t> </w:t>
            </w:r>
          </w:p>
        </w:tc>
      </w:tr>
      <w:tr w:rsidR="007A438C" w:rsidRPr="00BE78B3" w14:paraId="618F380F"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2D3FC6F2" w14:textId="7F6C8AFC" w:rsidR="007A438C" w:rsidRPr="00BE78B3" w:rsidRDefault="007A438C" w:rsidP="007A438C">
            <w:pPr>
              <w:rPr>
                <w:rFonts w:cs="Calibri"/>
                <w:sz w:val="20"/>
                <w:szCs w:val="20"/>
              </w:rPr>
            </w:pPr>
            <w:r w:rsidRPr="00BE78B3">
              <w:rPr>
                <w:rFonts w:cs="Calibri"/>
                <w:sz w:val="18"/>
                <w:szCs w:val="18"/>
              </w:rPr>
              <w:t>1. miesto univerzitné MSR v e-športoch, HS (LS)</w:t>
            </w:r>
          </w:p>
        </w:tc>
        <w:tc>
          <w:tcPr>
            <w:tcW w:w="567" w:type="dxa"/>
            <w:tcBorders>
              <w:top w:val="nil"/>
              <w:left w:val="nil"/>
              <w:bottom w:val="single" w:sz="4" w:space="0" w:color="auto"/>
              <w:right w:val="single" w:sz="4" w:space="0" w:color="auto"/>
            </w:tcBorders>
            <w:shd w:val="clear" w:color="auto" w:fill="auto"/>
            <w:vAlign w:val="center"/>
          </w:tcPr>
          <w:p w14:paraId="02C00490" w14:textId="021CD44C" w:rsidR="007A438C" w:rsidRPr="00BE78B3" w:rsidRDefault="007A438C" w:rsidP="007A438C">
            <w:pPr>
              <w:jc w:val="center"/>
              <w:rPr>
                <w:rFonts w:cs="Calibri"/>
                <w:sz w:val="20"/>
                <w:szCs w:val="20"/>
              </w:rPr>
            </w:pPr>
            <w:r w:rsidRPr="00BE78B3">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tcPr>
          <w:p w14:paraId="1B7BC934" w14:textId="270906B5" w:rsidR="007A438C" w:rsidRPr="00BE78B3" w:rsidRDefault="007A438C" w:rsidP="007A438C">
            <w:pPr>
              <w:jc w:val="center"/>
              <w:rPr>
                <w:rFonts w:cs="Calibri"/>
                <w:sz w:val="20"/>
                <w:szCs w:val="20"/>
              </w:rPr>
            </w:pPr>
            <w:r w:rsidRPr="00BE78B3">
              <w:rPr>
                <w:rFonts w:cs="Calibri"/>
                <w:sz w:val="18"/>
                <w:szCs w:val="18"/>
              </w:rPr>
              <w:t> </w:t>
            </w:r>
          </w:p>
        </w:tc>
        <w:tc>
          <w:tcPr>
            <w:tcW w:w="569" w:type="dxa"/>
            <w:tcBorders>
              <w:top w:val="nil"/>
              <w:left w:val="nil"/>
              <w:bottom w:val="single" w:sz="4" w:space="0" w:color="auto"/>
              <w:right w:val="single" w:sz="4" w:space="0" w:color="auto"/>
            </w:tcBorders>
            <w:shd w:val="clear" w:color="auto" w:fill="auto"/>
            <w:vAlign w:val="center"/>
          </w:tcPr>
          <w:p w14:paraId="76E28EE8" w14:textId="20530FD8" w:rsidR="007A438C" w:rsidRPr="00BE78B3" w:rsidRDefault="007A438C" w:rsidP="007A438C">
            <w:pPr>
              <w:jc w:val="center"/>
              <w:rPr>
                <w:rFonts w:cs="Calibri"/>
                <w:sz w:val="20"/>
                <w:szCs w:val="20"/>
              </w:rPr>
            </w:pPr>
            <w:r w:rsidRPr="00BE78B3">
              <w:rPr>
                <w:rFonts w:cs="Calibri"/>
                <w:sz w:val="18"/>
                <w:szCs w:val="18"/>
              </w:rPr>
              <w:t> </w:t>
            </w:r>
          </w:p>
        </w:tc>
        <w:tc>
          <w:tcPr>
            <w:tcW w:w="709" w:type="dxa"/>
            <w:tcBorders>
              <w:top w:val="nil"/>
              <w:left w:val="nil"/>
              <w:bottom w:val="single" w:sz="4" w:space="0" w:color="auto"/>
              <w:right w:val="single" w:sz="4" w:space="0" w:color="auto"/>
            </w:tcBorders>
            <w:shd w:val="clear" w:color="auto" w:fill="auto"/>
            <w:vAlign w:val="center"/>
          </w:tcPr>
          <w:p w14:paraId="6C9141E8" w14:textId="2D93A3E4"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vAlign w:val="center"/>
          </w:tcPr>
          <w:p w14:paraId="1B9A4337" w14:textId="1403342D"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noWrap/>
            <w:vAlign w:val="center"/>
          </w:tcPr>
          <w:p w14:paraId="0811580C" w14:textId="59F56DB9" w:rsidR="007A438C" w:rsidRPr="00BE78B3" w:rsidRDefault="007A438C" w:rsidP="007A438C">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vAlign w:val="center"/>
          </w:tcPr>
          <w:p w14:paraId="1C6B6747" w14:textId="377F4812" w:rsidR="007A438C" w:rsidRPr="00BE78B3" w:rsidRDefault="007A438C" w:rsidP="007A438C">
            <w:pPr>
              <w:jc w:val="center"/>
              <w:rPr>
                <w:rFonts w:cs="Calibri"/>
                <w:sz w:val="20"/>
                <w:szCs w:val="20"/>
              </w:rPr>
            </w:pPr>
            <w:r w:rsidRPr="00BE78B3">
              <w:rPr>
                <w:rFonts w:cs="Calibri"/>
                <w:sz w:val="18"/>
                <w:szCs w:val="18"/>
              </w:rPr>
              <w:t>1</w:t>
            </w:r>
          </w:p>
        </w:tc>
        <w:tc>
          <w:tcPr>
            <w:tcW w:w="638" w:type="dxa"/>
            <w:tcBorders>
              <w:top w:val="nil"/>
              <w:left w:val="nil"/>
              <w:bottom w:val="single" w:sz="4" w:space="0" w:color="auto"/>
              <w:right w:val="single" w:sz="4" w:space="0" w:color="auto"/>
            </w:tcBorders>
            <w:shd w:val="clear" w:color="auto" w:fill="auto"/>
            <w:noWrap/>
            <w:vAlign w:val="center"/>
          </w:tcPr>
          <w:p w14:paraId="5F65DAFE" w14:textId="28FCA9AA" w:rsidR="007A438C" w:rsidRPr="00BE78B3" w:rsidRDefault="007A438C" w:rsidP="007A438C">
            <w:pPr>
              <w:jc w:val="center"/>
              <w:rPr>
                <w:rFonts w:cs="Calibri"/>
                <w:sz w:val="20"/>
                <w:szCs w:val="20"/>
              </w:rPr>
            </w:pPr>
            <w:r w:rsidRPr="00BE78B3">
              <w:rPr>
                <w:rFonts w:cs="Calibri"/>
                <w:sz w:val="18"/>
                <w:szCs w:val="18"/>
              </w:rPr>
              <w:t> </w:t>
            </w:r>
          </w:p>
        </w:tc>
      </w:tr>
      <w:tr w:rsidR="003268FD" w:rsidRPr="00BE78B3" w14:paraId="2BB238CF"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513775F4" w14:textId="367D401C" w:rsidR="003268FD" w:rsidRPr="00BE78B3" w:rsidRDefault="003268FD" w:rsidP="003268FD">
            <w:pPr>
              <w:rPr>
                <w:rFonts w:cs="Calibri"/>
                <w:sz w:val="20"/>
                <w:szCs w:val="20"/>
              </w:rPr>
            </w:pPr>
            <w:r w:rsidRPr="00BE78B3">
              <w:rPr>
                <w:rFonts w:cs="Calibri"/>
                <w:sz w:val="20"/>
                <w:szCs w:val="20"/>
              </w:rPr>
              <w:t>1. miesto, MSR, zápasenie</w:t>
            </w:r>
          </w:p>
        </w:tc>
        <w:tc>
          <w:tcPr>
            <w:tcW w:w="567" w:type="dxa"/>
            <w:tcBorders>
              <w:top w:val="nil"/>
              <w:left w:val="nil"/>
              <w:bottom w:val="single" w:sz="4" w:space="0" w:color="auto"/>
              <w:right w:val="single" w:sz="4" w:space="0" w:color="auto"/>
            </w:tcBorders>
            <w:shd w:val="clear" w:color="auto" w:fill="auto"/>
            <w:vAlign w:val="center"/>
          </w:tcPr>
          <w:p w14:paraId="57B501A8" w14:textId="015C828E" w:rsidR="003268FD" w:rsidRPr="00BE78B3" w:rsidRDefault="003268FD" w:rsidP="003268F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560D7913" w14:textId="7495EF30" w:rsidR="003268FD" w:rsidRPr="00BE78B3" w:rsidRDefault="003268FD" w:rsidP="003268FD">
            <w:pPr>
              <w:jc w:val="center"/>
              <w:rPr>
                <w:rFonts w:cs="Calibri"/>
                <w:sz w:val="20"/>
                <w:szCs w:val="20"/>
              </w:rPr>
            </w:pPr>
            <w:r w:rsidRPr="00BE78B3">
              <w:rPr>
                <w:rFonts w:cs="Calibri"/>
                <w:sz w:val="20"/>
                <w:szCs w:val="20"/>
              </w:rPr>
              <w:t>1</w:t>
            </w:r>
          </w:p>
        </w:tc>
        <w:tc>
          <w:tcPr>
            <w:tcW w:w="569" w:type="dxa"/>
            <w:tcBorders>
              <w:top w:val="nil"/>
              <w:left w:val="nil"/>
              <w:bottom w:val="single" w:sz="4" w:space="0" w:color="auto"/>
              <w:right w:val="single" w:sz="4" w:space="0" w:color="auto"/>
            </w:tcBorders>
            <w:shd w:val="clear" w:color="auto" w:fill="auto"/>
            <w:vAlign w:val="center"/>
          </w:tcPr>
          <w:p w14:paraId="5DEAAF15" w14:textId="3DE25CD9" w:rsidR="003268FD" w:rsidRPr="00BE78B3" w:rsidRDefault="003268FD" w:rsidP="003268FD">
            <w:pPr>
              <w:jc w:val="center"/>
              <w:rPr>
                <w:rFonts w:cs="Calibri"/>
                <w:sz w:val="20"/>
                <w:szCs w:val="20"/>
              </w:rPr>
            </w:pPr>
          </w:p>
        </w:tc>
        <w:tc>
          <w:tcPr>
            <w:tcW w:w="709" w:type="dxa"/>
            <w:tcBorders>
              <w:top w:val="nil"/>
              <w:left w:val="nil"/>
              <w:bottom w:val="single" w:sz="4" w:space="0" w:color="auto"/>
              <w:right w:val="single" w:sz="4" w:space="0" w:color="auto"/>
            </w:tcBorders>
            <w:shd w:val="clear" w:color="auto" w:fill="auto"/>
            <w:vAlign w:val="center"/>
          </w:tcPr>
          <w:p w14:paraId="0F4BA906" w14:textId="621EE151"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64A01056" w14:textId="733246F5"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B9FA62E" w14:textId="547A84D8"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66B724F9" w14:textId="5AAE547A" w:rsidR="003268FD" w:rsidRPr="00BE78B3" w:rsidRDefault="003268FD" w:rsidP="003268FD">
            <w:pPr>
              <w:jc w:val="center"/>
              <w:rPr>
                <w:rFonts w:cs="Calibri"/>
                <w:sz w:val="20"/>
                <w:szCs w:val="20"/>
              </w:rPr>
            </w:pPr>
            <w:r w:rsidRPr="00BE78B3">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1B1264D0" w14:textId="4AFF64FF" w:rsidR="003268FD" w:rsidRPr="00BE78B3" w:rsidRDefault="003268FD" w:rsidP="003268FD">
            <w:pPr>
              <w:jc w:val="center"/>
              <w:rPr>
                <w:rFonts w:cs="Calibri"/>
                <w:sz w:val="20"/>
                <w:szCs w:val="20"/>
              </w:rPr>
            </w:pPr>
          </w:p>
        </w:tc>
      </w:tr>
      <w:tr w:rsidR="003268FD" w:rsidRPr="00BE78B3" w14:paraId="547A5D12"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6F3A2E58" w14:textId="70C2D2B9" w:rsidR="003268FD" w:rsidRPr="00BE78B3" w:rsidRDefault="003268FD" w:rsidP="003268FD">
            <w:pPr>
              <w:rPr>
                <w:rFonts w:cs="Calibri"/>
                <w:sz w:val="20"/>
                <w:szCs w:val="20"/>
              </w:rPr>
            </w:pPr>
            <w:r w:rsidRPr="00BE78B3">
              <w:rPr>
                <w:rFonts w:cs="Calibri"/>
                <w:sz w:val="20"/>
                <w:szCs w:val="20"/>
              </w:rPr>
              <w:t xml:space="preserve">1. </w:t>
            </w:r>
            <w:r w:rsidR="00E21138" w:rsidRPr="00BE78B3">
              <w:rPr>
                <w:rFonts w:cs="Calibri"/>
                <w:sz w:val="20"/>
                <w:szCs w:val="20"/>
              </w:rPr>
              <w:t>miesto</w:t>
            </w:r>
            <w:r w:rsidRPr="00BE78B3">
              <w:rPr>
                <w:rFonts w:cs="Calibri"/>
                <w:sz w:val="20"/>
                <w:szCs w:val="20"/>
              </w:rPr>
              <w:t xml:space="preserve"> ŠVK v odbore chémia na UCM v Trnave </w:t>
            </w:r>
          </w:p>
        </w:tc>
        <w:tc>
          <w:tcPr>
            <w:tcW w:w="567" w:type="dxa"/>
            <w:tcBorders>
              <w:top w:val="nil"/>
              <w:left w:val="nil"/>
              <w:bottom w:val="single" w:sz="4" w:space="0" w:color="auto"/>
              <w:right w:val="single" w:sz="4" w:space="0" w:color="auto"/>
            </w:tcBorders>
            <w:shd w:val="clear" w:color="auto" w:fill="auto"/>
            <w:vAlign w:val="center"/>
          </w:tcPr>
          <w:p w14:paraId="2610DB4F" w14:textId="5509330A" w:rsidR="003268FD" w:rsidRPr="00BE78B3" w:rsidRDefault="003268FD" w:rsidP="003268F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6FBA2A8E" w14:textId="18F512AD" w:rsidR="003268FD" w:rsidRPr="00BE78B3" w:rsidRDefault="003268FD" w:rsidP="003268FD">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53FF8704" w14:textId="3010B9E3" w:rsidR="003268FD" w:rsidRPr="00BE78B3" w:rsidRDefault="003268FD" w:rsidP="003268FD">
            <w:pPr>
              <w:jc w:val="center"/>
              <w:rPr>
                <w:rFonts w:cs="Calibri"/>
                <w:sz w:val="20"/>
                <w:szCs w:val="20"/>
              </w:rPr>
            </w:pPr>
          </w:p>
        </w:tc>
        <w:tc>
          <w:tcPr>
            <w:tcW w:w="709" w:type="dxa"/>
            <w:tcBorders>
              <w:top w:val="nil"/>
              <w:left w:val="nil"/>
              <w:bottom w:val="single" w:sz="4" w:space="0" w:color="auto"/>
              <w:right w:val="single" w:sz="4" w:space="0" w:color="auto"/>
            </w:tcBorders>
            <w:shd w:val="clear" w:color="auto" w:fill="auto"/>
            <w:vAlign w:val="center"/>
          </w:tcPr>
          <w:p w14:paraId="0CEB80FE" w14:textId="7083DAD8" w:rsidR="003268FD" w:rsidRPr="00BE78B3" w:rsidRDefault="003268FD" w:rsidP="003268FD">
            <w:pPr>
              <w:jc w:val="center"/>
              <w:rPr>
                <w:rFonts w:cs="Calibri"/>
                <w:sz w:val="20"/>
                <w:szCs w:val="20"/>
              </w:rPr>
            </w:pPr>
            <w:r w:rsidRPr="00BE78B3">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center"/>
          </w:tcPr>
          <w:p w14:paraId="41C05043" w14:textId="6AD929ED"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09D3F8D4" w14:textId="7B473FC9"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23FD925E" w14:textId="319BAF0C"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1E4E036" w14:textId="42D2600E" w:rsidR="003268FD" w:rsidRPr="00BE78B3" w:rsidRDefault="003268FD" w:rsidP="003268FD">
            <w:pPr>
              <w:jc w:val="center"/>
              <w:rPr>
                <w:rFonts w:cs="Calibri"/>
                <w:sz w:val="20"/>
                <w:szCs w:val="20"/>
              </w:rPr>
            </w:pPr>
          </w:p>
        </w:tc>
      </w:tr>
      <w:tr w:rsidR="003268FD" w:rsidRPr="00BE78B3" w14:paraId="5AB56685"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75515321" w14:textId="15D35A77" w:rsidR="003268FD" w:rsidRPr="00BE78B3" w:rsidRDefault="003268FD" w:rsidP="003268FD">
            <w:pPr>
              <w:rPr>
                <w:rFonts w:cs="Calibri"/>
                <w:sz w:val="20"/>
                <w:szCs w:val="20"/>
              </w:rPr>
            </w:pPr>
            <w:r w:rsidRPr="00BE78B3">
              <w:rPr>
                <w:rFonts w:cs="Calibri"/>
                <w:sz w:val="20"/>
                <w:szCs w:val="20"/>
              </w:rPr>
              <w:t>2. miesto AM SR, plávanie 100 m voľný spôsob</w:t>
            </w:r>
          </w:p>
        </w:tc>
        <w:tc>
          <w:tcPr>
            <w:tcW w:w="567" w:type="dxa"/>
            <w:tcBorders>
              <w:top w:val="nil"/>
              <w:left w:val="nil"/>
              <w:bottom w:val="single" w:sz="4" w:space="0" w:color="auto"/>
              <w:right w:val="single" w:sz="4" w:space="0" w:color="auto"/>
            </w:tcBorders>
            <w:shd w:val="clear" w:color="auto" w:fill="auto"/>
            <w:vAlign w:val="center"/>
          </w:tcPr>
          <w:p w14:paraId="4BEEFFCA" w14:textId="5CF7DBFA" w:rsidR="003268FD" w:rsidRPr="00BE78B3" w:rsidRDefault="003268FD" w:rsidP="003268F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2AD7CA51" w14:textId="0CDA36EA" w:rsidR="003268FD" w:rsidRPr="00BE78B3" w:rsidRDefault="003268FD" w:rsidP="003268FD">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3379486A" w14:textId="5752906E" w:rsidR="003268FD" w:rsidRPr="00BE78B3" w:rsidRDefault="003268FD" w:rsidP="003268FD">
            <w:pPr>
              <w:jc w:val="center"/>
              <w:rPr>
                <w:rFonts w:cs="Calibri"/>
                <w:sz w:val="20"/>
                <w:szCs w:val="20"/>
              </w:rPr>
            </w:pPr>
            <w:r w:rsidRPr="00BE78B3">
              <w:rPr>
                <w:rFonts w:cs="Calibri"/>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4EDBCCD2" w14:textId="55B6DBE8"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614D649C" w14:textId="282A4BEE"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119AA15" w14:textId="776702BE"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009ED9AD" w14:textId="3C9736F3"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91160A4" w14:textId="1BBBD5A0" w:rsidR="003268FD" w:rsidRPr="00BE78B3" w:rsidRDefault="003268FD" w:rsidP="003268FD">
            <w:pPr>
              <w:jc w:val="center"/>
              <w:rPr>
                <w:rFonts w:cs="Calibri"/>
                <w:sz w:val="20"/>
                <w:szCs w:val="20"/>
              </w:rPr>
            </w:pPr>
          </w:p>
        </w:tc>
      </w:tr>
      <w:tr w:rsidR="003268FD" w:rsidRPr="00BE78B3" w14:paraId="23A2F772"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7C2AD3AE" w14:textId="02299710" w:rsidR="003268FD" w:rsidRPr="00BE78B3" w:rsidRDefault="003268FD" w:rsidP="003268FD">
            <w:pPr>
              <w:rPr>
                <w:rFonts w:cs="Calibri"/>
                <w:sz w:val="20"/>
                <w:szCs w:val="20"/>
              </w:rPr>
            </w:pPr>
            <w:r w:rsidRPr="00BE78B3">
              <w:rPr>
                <w:rFonts w:cs="Calibri"/>
                <w:sz w:val="20"/>
                <w:szCs w:val="20"/>
              </w:rPr>
              <w:t>2. miesto AM SR, plávanie 4 x 50 m voľný spôsob</w:t>
            </w:r>
          </w:p>
        </w:tc>
        <w:tc>
          <w:tcPr>
            <w:tcW w:w="567" w:type="dxa"/>
            <w:tcBorders>
              <w:top w:val="nil"/>
              <w:left w:val="nil"/>
              <w:bottom w:val="single" w:sz="4" w:space="0" w:color="auto"/>
              <w:right w:val="single" w:sz="4" w:space="0" w:color="auto"/>
            </w:tcBorders>
            <w:shd w:val="clear" w:color="auto" w:fill="auto"/>
            <w:vAlign w:val="center"/>
          </w:tcPr>
          <w:p w14:paraId="1207B279" w14:textId="2BBEE6DB" w:rsidR="003268FD" w:rsidRPr="00BE78B3" w:rsidRDefault="003268FD" w:rsidP="003268F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4C5693F6" w14:textId="2A796E19" w:rsidR="003268FD" w:rsidRPr="00BE78B3" w:rsidRDefault="003268FD" w:rsidP="003268FD">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30773390" w14:textId="498AC039" w:rsidR="003268FD" w:rsidRPr="00BE78B3" w:rsidRDefault="003268FD" w:rsidP="003268FD">
            <w:pPr>
              <w:jc w:val="center"/>
              <w:rPr>
                <w:rFonts w:cs="Calibri"/>
                <w:sz w:val="20"/>
                <w:szCs w:val="20"/>
              </w:rPr>
            </w:pPr>
            <w:r w:rsidRPr="00BE78B3">
              <w:rPr>
                <w:rFonts w:cs="Calibri"/>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6801E411" w14:textId="631F3A4E"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2B974854" w14:textId="79AFB369"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5BE846C" w14:textId="45E135A0"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58EB0F21" w14:textId="1023EF15"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CB05468" w14:textId="0FFF1B1E" w:rsidR="003268FD" w:rsidRPr="00BE78B3" w:rsidRDefault="003268FD" w:rsidP="003268FD">
            <w:pPr>
              <w:jc w:val="center"/>
              <w:rPr>
                <w:rFonts w:cs="Calibri"/>
                <w:sz w:val="20"/>
                <w:szCs w:val="20"/>
              </w:rPr>
            </w:pPr>
          </w:p>
        </w:tc>
      </w:tr>
      <w:tr w:rsidR="003268FD" w:rsidRPr="00BE78B3" w14:paraId="0DC80122"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41709F85" w14:textId="65675D6E" w:rsidR="003268FD" w:rsidRPr="00BE78B3" w:rsidRDefault="003268FD" w:rsidP="003268FD">
            <w:pPr>
              <w:rPr>
                <w:rFonts w:cs="Calibri"/>
                <w:sz w:val="20"/>
                <w:szCs w:val="20"/>
              </w:rPr>
            </w:pPr>
            <w:r w:rsidRPr="00BE78B3">
              <w:rPr>
                <w:rFonts w:cs="Calibri"/>
                <w:sz w:val="20"/>
                <w:szCs w:val="20"/>
              </w:rPr>
              <w:t>2. miesto AM SR, plávanie 50 m voľný spôsob</w:t>
            </w:r>
          </w:p>
        </w:tc>
        <w:tc>
          <w:tcPr>
            <w:tcW w:w="567" w:type="dxa"/>
            <w:tcBorders>
              <w:top w:val="nil"/>
              <w:left w:val="nil"/>
              <w:bottom w:val="single" w:sz="4" w:space="0" w:color="auto"/>
              <w:right w:val="single" w:sz="4" w:space="0" w:color="auto"/>
            </w:tcBorders>
            <w:shd w:val="clear" w:color="auto" w:fill="auto"/>
            <w:vAlign w:val="center"/>
          </w:tcPr>
          <w:p w14:paraId="18A48670" w14:textId="55AB1BA6" w:rsidR="003268FD" w:rsidRPr="00BE78B3" w:rsidRDefault="003268FD" w:rsidP="003268F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7AC63759" w14:textId="0F818CAD" w:rsidR="003268FD" w:rsidRPr="00BE78B3" w:rsidRDefault="003268FD" w:rsidP="003268FD">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2146482C" w14:textId="512322C5" w:rsidR="003268FD" w:rsidRPr="00BE78B3" w:rsidRDefault="003268FD" w:rsidP="003268FD">
            <w:pPr>
              <w:jc w:val="center"/>
              <w:rPr>
                <w:rFonts w:cs="Calibri"/>
                <w:sz w:val="20"/>
                <w:szCs w:val="20"/>
              </w:rPr>
            </w:pPr>
            <w:r w:rsidRPr="00BE78B3">
              <w:rPr>
                <w:rFonts w:cs="Calibri"/>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204B76C2" w14:textId="400CB92C"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0A17C1DA" w14:textId="6482CE0F"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C7485B6" w14:textId="6BD305AD"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2D3A75D4" w14:textId="4D97B432"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6C71045" w14:textId="48C00605" w:rsidR="003268FD" w:rsidRPr="00BE78B3" w:rsidRDefault="003268FD" w:rsidP="003268FD">
            <w:pPr>
              <w:jc w:val="center"/>
              <w:rPr>
                <w:rFonts w:cs="Calibri"/>
                <w:sz w:val="20"/>
                <w:szCs w:val="20"/>
              </w:rPr>
            </w:pPr>
          </w:p>
        </w:tc>
      </w:tr>
      <w:tr w:rsidR="003268FD" w:rsidRPr="00BE78B3" w14:paraId="33E1ED03"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4CE03591" w14:textId="463AB0C0" w:rsidR="003268FD" w:rsidRPr="00BE78B3" w:rsidRDefault="003268FD" w:rsidP="003268FD">
            <w:pPr>
              <w:rPr>
                <w:rFonts w:cs="Calibri"/>
                <w:sz w:val="20"/>
                <w:szCs w:val="20"/>
              </w:rPr>
            </w:pPr>
            <w:r w:rsidRPr="00BE78B3">
              <w:rPr>
                <w:rFonts w:cs="Calibri"/>
                <w:sz w:val="20"/>
                <w:szCs w:val="20"/>
              </w:rPr>
              <w:t>2. miesto Finále univerzít SR, volejbal muži</w:t>
            </w:r>
          </w:p>
        </w:tc>
        <w:tc>
          <w:tcPr>
            <w:tcW w:w="567" w:type="dxa"/>
            <w:tcBorders>
              <w:top w:val="nil"/>
              <w:left w:val="nil"/>
              <w:bottom w:val="single" w:sz="4" w:space="0" w:color="auto"/>
              <w:right w:val="single" w:sz="4" w:space="0" w:color="auto"/>
            </w:tcBorders>
            <w:shd w:val="clear" w:color="auto" w:fill="auto"/>
            <w:vAlign w:val="center"/>
          </w:tcPr>
          <w:p w14:paraId="5073C8B4" w14:textId="2050A312" w:rsidR="003268FD" w:rsidRPr="00BE78B3" w:rsidRDefault="003268FD" w:rsidP="003268F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04E770BE" w14:textId="6F50807B" w:rsidR="003268FD" w:rsidRPr="00BE78B3" w:rsidRDefault="003268FD" w:rsidP="003268FD">
            <w:pPr>
              <w:jc w:val="center"/>
              <w:rPr>
                <w:rFonts w:cs="Calibri"/>
                <w:sz w:val="20"/>
                <w:szCs w:val="20"/>
              </w:rPr>
            </w:pPr>
            <w:r w:rsidRPr="00BE78B3">
              <w:rPr>
                <w:rFonts w:cs="Calibri"/>
                <w:sz w:val="20"/>
                <w:szCs w:val="20"/>
              </w:rPr>
              <w:t>1</w:t>
            </w:r>
          </w:p>
        </w:tc>
        <w:tc>
          <w:tcPr>
            <w:tcW w:w="569" w:type="dxa"/>
            <w:tcBorders>
              <w:top w:val="nil"/>
              <w:left w:val="nil"/>
              <w:bottom w:val="single" w:sz="4" w:space="0" w:color="auto"/>
              <w:right w:val="single" w:sz="4" w:space="0" w:color="auto"/>
            </w:tcBorders>
            <w:shd w:val="clear" w:color="auto" w:fill="auto"/>
            <w:vAlign w:val="center"/>
          </w:tcPr>
          <w:p w14:paraId="3DDCEA36" w14:textId="0CB81721" w:rsidR="003268FD" w:rsidRPr="00BE78B3" w:rsidRDefault="003268FD" w:rsidP="003268FD">
            <w:pPr>
              <w:jc w:val="center"/>
              <w:rPr>
                <w:rFonts w:cs="Calibri"/>
                <w:sz w:val="20"/>
                <w:szCs w:val="20"/>
              </w:rPr>
            </w:pPr>
          </w:p>
        </w:tc>
        <w:tc>
          <w:tcPr>
            <w:tcW w:w="709" w:type="dxa"/>
            <w:tcBorders>
              <w:top w:val="nil"/>
              <w:left w:val="nil"/>
              <w:bottom w:val="single" w:sz="4" w:space="0" w:color="auto"/>
              <w:right w:val="single" w:sz="4" w:space="0" w:color="auto"/>
            </w:tcBorders>
            <w:shd w:val="clear" w:color="auto" w:fill="auto"/>
            <w:vAlign w:val="center"/>
          </w:tcPr>
          <w:p w14:paraId="5F11F481" w14:textId="4328A9F8"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4EDDDF5D" w14:textId="09280CAA"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0CEDF35" w14:textId="198DB3CA"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0B55C7BA" w14:textId="4FE8CB83"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4DBEB61" w14:textId="09B3C988" w:rsidR="003268FD" w:rsidRPr="00BE78B3" w:rsidRDefault="003268FD" w:rsidP="003268FD">
            <w:pPr>
              <w:jc w:val="center"/>
              <w:rPr>
                <w:rFonts w:cs="Calibri"/>
                <w:sz w:val="20"/>
                <w:szCs w:val="20"/>
              </w:rPr>
            </w:pPr>
          </w:p>
        </w:tc>
      </w:tr>
      <w:tr w:rsidR="003268FD" w:rsidRPr="00BE78B3" w14:paraId="41832B03"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7D4E60D5" w14:textId="599AA426" w:rsidR="003268FD" w:rsidRPr="00BE78B3" w:rsidRDefault="003268FD" w:rsidP="003268FD">
            <w:pPr>
              <w:rPr>
                <w:rFonts w:cs="Calibri"/>
                <w:sz w:val="20"/>
                <w:szCs w:val="20"/>
              </w:rPr>
            </w:pPr>
            <w:r w:rsidRPr="00BE78B3">
              <w:rPr>
                <w:rFonts w:cs="Calibri"/>
                <w:sz w:val="20"/>
                <w:szCs w:val="20"/>
              </w:rPr>
              <w:t>2. miesto Letná univerziáda, lukostreľba</w:t>
            </w:r>
          </w:p>
        </w:tc>
        <w:tc>
          <w:tcPr>
            <w:tcW w:w="567" w:type="dxa"/>
            <w:tcBorders>
              <w:top w:val="nil"/>
              <w:left w:val="nil"/>
              <w:bottom w:val="single" w:sz="4" w:space="0" w:color="auto"/>
              <w:right w:val="single" w:sz="4" w:space="0" w:color="auto"/>
            </w:tcBorders>
            <w:shd w:val="clear" w:color="auto" w:fill="auto"/>
            <w:vAlign w:val="center"/>
          </w:tcPr>
          <w:p w14:paraId="42E5B5ED" w14:textId="508CB55E" w:rsidR="003268FD" w:rsidRPr="00BE78B3" w:rsidRDefault="003268FD" w:rsidP="003268F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01812A54" w14:textId="16F980F7" w:rsidR="003268FD" w:rsidRPr="00BE78B3" w:rsidRDefault="003268FD" w:rsidP="003268FD">
            <w:pPr>
              <w:jc w:val="center"/>
              <w:rPr>
                <w:rFonts w:cs="Calibri"/>
                <w:sz w:val="20"/>
                <w:szCs w:val="20"/>
              </w:rPr>
            </w:pPr>
            <w:r w:rsidRPr="00BE78B3">
              <w:rPr>
                <w:rFonts w:cs="Calibri"/>
                <w:sz w:val="20"/>
                <w:szCs w:val="20"/>
              </w:rPr>
              <w:t>2</w:t>
            </w:r>
          </w:p>
        </w:tc>
        <w:tc>
          <w:tcPr>
            <w:tcW w:w="569" w:type="dxa"/>
            <w:tcBorders>
              <w:top w:val="nil"/>
              <w:left w:val="nil"/>
              <w:bottom w:val="single" w:sz="4" w:space="0" w:color="auto"/>
              <w:right w:val="single" w:sz="4" w:space="0" w:color="auto"/>
            </w:tcBorders>
            <w:shd w:val="clear" w:color="auto" w:fill="auto"/>
            <w:vAlign w:val="center"/>
          </w:tcPr>
          <w:p w14:paraId="53419B33" w14:textId="0D5C026A" w:rsidR="003268FD" w:rsidRPr="00BE78B3" w:rsidRDefault="003268FD" w:rsidP="003268FD">
            <w:pPr>
              <w:jc w:val="center"/>
              <w:rPr>
                <w:rFonts w:cs="Calibri"/>
                <w:sz w:val="20"/>
                <w:szCs w:val="20"/>
              </w:rPr>
            </w:pPr>
          </w:p>
        </w:tc>
        <w:tc>
          <w:tcPr>
            <w:tcW w:w="709" w:type="dxa"/>
            <w:tcBorders>
              <w:top w:val="nil"/>
              <w:left w:val="nil"/>
              <w:bottom w:val="single" w:sz="4" w:space="0" w:color="auto"/>
              <w:right w:val="single" w:sz="4" w:space="0" w:color="auto"/>
            </w:tcBorders>
            <w:shd w:val="clear" w:color="auto" w:fill="auto"/>
            <w:vAlign w:val="center"/>
          </w:tcPr>
          <w:p w14:paraId="16EBE6B2" w14:textId="0A0D78E5"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72FE0092" w14:textId="607A88DB"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568CCF0" w14:textId="6C36FC42"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708ADC3D" w14:textId="30D44944"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A301430" w14:textId="51472678" w:rsidR="003268FD" w:rsidRPr="00BE78B3" w:rsidRDefault="003268FD" w:rsidP="003268FD">
            <w:pPr>
              <w:jc w:val="center"/>
              <w:rPr>
                <w:rFonts w:cs="Calibri"/>
                <w:sz w:val="20"/>
                <w:szCs w:val="20"/>
              </w:rPr>
            </w:pPr>
          </w:p>
        </w:tc>
      </w:tr>
      <w:tr w:rsidR="003268FD" w:rsidRPr="00BE78B3" w14:paraId="191F3D31"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6015E70F" w14:textId="5E809932" w:rsidR="003268FD" w:rsidRPr="00BE78B3" w:rsidRDefault="003268FD" w:rsidP="003268FD">
            <w:pPr>
              <w:rPr>
                <w:rFonts w:cs="Calibri"/>
                <w:sz w:val="20"/>
                <w:szCs w:val="20"/>
              </w:rPr>
            </w:pPr>
            <w:r w:rsidRPr="00BE78B3">
              <w:rPr>
                <w:rFonts w:cs="Calibri"/>
                <w:sz w:val="20"/>
                <w:szCs w:val="20"/>
              </w:rPr>
              <w:t>2. miesto Letná univerziáda, plážový volejbal</w:t>
            </w:r>
          </w:p>
        </w:tc>
        <w:tc>
          <w:tcPr>
            <w:tcW w:w="567" w:type="dxa"/>
            <w:tcBorders>
              <w:top w:val="nil"/>
              <w:left w:val="nil"/>
              <w:bottom w:val="single" w:sz="4" w:space="0" w:color="auto"/>
              <w:right w:val="single" w:sz="4" w:space="0" w:color="auto"/>
            </w:tcBorders>
            <w:shd w:val="clear" w:color="auto" w:fill="auto"/>
            <w:vAlign w:val="center"/>
          </w:tcPr>
          <w:p w14:paraId="434E038A" w14:textId="4116AA18" w:rsidR="003268FD" w:rsidRPr="00BE78B3" w:rsidRDefault="003268FD" w:rsidP="003268F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22EA9DDA" w14:textId="77FE8948" w:rsidR="003268FD" w:rsidRPr="00BE78B3" w:rsidRDefault="003268FD" w:rsidP="003268FD">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1DB66A12" w14:textId="1DD5638B" w:rsidR="003268FD" w:rsidRPr="00BE78B3" w:rsidRDefault="003268FD" w:rsidP="003268FD">
            <w:pPr>
              <w:jc w:val="center"/>
              <w:rPr>
                <w:rFonts w:cs="Calibri"/>
                <w:sz w:val="20"/>
                <w:szCs w:val="20"/>
              </w:rPr>
            </w:pPr>
          </w:p>
        </w:tc>
        <w:tc>
          <w:tcPr>
            <w:tcW w:w="709" w:type="dxa"/>
            <w:tcBorders>
              <w:top w:val="nil"/>
              <w:left w:val="nil"/>
              <w:bottom w:val="single" w:sz="4" w:space="0" w:color="auto"/>
              <w:right w:val="single" w:sz="4" w:space="0" w:color="auto"/>
            </w:tcBorders>
            <w:shd w:val="clear" w:color="auto" w:fill="auto"/>
            <w:vAlign w:val="center"/>
          </w:tcPr>
          <w:p w14:paraId="7A0FFF04" w14:textId="41E3AEF3"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52B72B6C" w14:textId="57E1351D"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809A886" w14:textId="147872CE"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0592F1CD" w14:textId="5B0B8606" w:rsidR="003268FD" w:rsidRPr="00BE78B3" w:rsidRDefault="003268FD" w:rsidP="003268FD">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1530622" w14:textId="429AB26A" w:rsidR="003268FD" w:rsidRPr="00BE78B3" w:rsidRDefault="003268FD" w:rsidP="003268FD">
            <w:pPr>
              <w:jc w:val="center"/>
              <w:rPr>
                <w:rFonts w:cs="Calibri"/>
                <w:sz w:val="20"/>
                <w:szCs w:val="20"/>
              </w:rPr>
            </w:pPr>
            <w:r w:rsidRPr="00BE78B3">
              <w:rPr>
                <w:rFonts w:cs="Calibri"/>
                <w:sz w:val="20"/>
                <w:szCs w:val="20"/>
              </w:rPr>
              <w:t>1</w:t>
            </w:r>
          </w:p>
        </w:tc>
      </w:tr>
      <w:tr w:rsidR="00444B22" w:rsidRPr="00BE78B3" w14:paraId="6B05FFA1"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5E7B3792" w14:textId="7ED3631C" w:rsidR="00444B22" w:rsidRPr="00BE78B3" w:rsidRDefault="00444B22" w:rsidP="00444B22">
            <w:pPr>
              <w:rPr>
                <w:rFonts w:cs="Calibri"/>
                <w:sz w:val="20"/>
                <w:szCs w:val="20"/>
              </w:rPr>
            </w:pPr>
            <w:r w:rsidRPr="00BE78B3">
              <w:rPr>
                <w:rFonts w:cs="Calibri"/>
                <w:sz w:val="20"/>
                <w:szCs w:val="20"/>
              </w:rPr>
              <w:t>2. miesto Medzin.</w:t>
            </w:r>
            <w:r w:rsidR="002413E2" w:rsidRPr="00BE78B3">
              <w:rPr>
                <w:rFonts w:cs="Calibri"/>
                <w:sz w:val="20"/>
                <w:szCs w:val="20"/>
              </w:rPr>
              <w:t xml:space="preserve"> </w:t>
            </w:r>
            <w:r w:rsidRPr="00BE78B3">
              <w:rPr>
                <w:rFonts w:cs="Calibri"/>
                <w:sz w:val="20"/>
                <w:szCs w:val="20"/>
              </w:rPr>
              <w:t>doktorandský seminár, Smolenice</w:t>
            </w:r>
          </w:p>
        </w:tc>
        <w:tc>
          <w:tcPr>
            <w:tcW w:w="567" w:type="dxa"/>
            <w:tcBorders>
              <w:top w:val="nil"/>
              <w:left w:val="nil"/>
              <w:bottom w:val="single" w:sz="4" w:space="0" w:color="auto"/>
              <w:right w:val="single" w:sz="4" w:space="0" w:color="auto"/>
            </w:tcBorders>
            <w:shd w:val="clear" w:color="auto" w:fill="auto"/>
            <w:vAlign w:val="center"/>
          </w:tcPr>
          <w:p w14:paraId="380FD3C6" w14:textId="1D88377B" w:rsidR="00444B22" w:rsidRPr="00BE78B3" w:rsidRDefault="00444B22" w:rsidP="00444B22">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523C36CF" w14:textId="7AE59773" w:rsidR="00444B22" w:rsidRPr="00BE78B3" w:rsidRDefault="00444B22" w:rsidP="00444B22">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6B0F81E8" w14:textId="1E588678" w:rsidR="00444B22" w:rsidRPr="00BE78B3" w:rsidRDefault="00444B22" w:rsidP="00444B22">
            <w:pPr>
              <w:jc w:val="center"/>
              <w:rPr>
                <w:rFonts w:cs="Calibri"/>
                <w:sz w:val="20"/>
                <w:szCs w:val="20"/>
              </w:rPr>
            </w:pPr>
          </w:p>
        </w:tc>
        <w:tc>
          <w:tcPr>
            <w:tcW w:w="709" w:type="dxa"/>
            <w:tcBorders>
              <w:top w:val="nil"/>
              <w:left w:val="nil"/>
              <w:bottom w:val="single" w:sz="4" w:space="0" w:color="auto"/>
              <w:right w:val="single" w:sz="4" w:space="0" w:color="auto"/>
            </w:tcBorders>
            <w:shd w:val="clear" w:color="auto" w:fill="auto"/>
            <w:vAlign w:val="center"/>
          </w:tcPr>
          <w:p w14:paraId="4CF791E6" w14:textId="56BB7E3D" w:rsidR="00444B22" w:rsidRPr="00BE78B3"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50A4FEB1" w14:textId="75BF8787" w:rsidR="00444B22" w:rsidRPr="00BE78B3"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4CBB9D8" w14:textId="75269AC7" w:rsidR="00444B22" w:rsidRPr="00BE78B3" w:rsidRDefault="00444B22" w:rsidP="00444B22">
            <w:pPr>
              <w:jc w:val="center"/>
              <w:rPr>
                <w:rFonts w:cs="Calibri"/>
                <w:sz w:val="20"/>
                <w:szCs w:val="20"/>
              </w:rPr>
            </w:pPr>
            <w:r w:rsidRPr="00BE78B3">
              <w:rPr>
                <w:rFonts w:cs="Calibri"/>
                <w:sz w:val="20"/>
                <w:szCs w:val="20"/>
              </w:rPr>
              <w:t>4</w:t>
            </w:r>
          </w:p>
        </w:tc>
        <w:tc>
          <w:tcPr>
            <w:tcW w:w="638" w:type="dxa"/>
            <w:tcBorders>
              <w:top w:val="nil"/>
              <w:left w:val="nil"/>
              <w:bottom w:val="single" w:sz="4" w:space="0" w:color="auto"/>
              <w:right w:val="single" w:sz="4" w:space="0" w:color="auto"/>
            </w:tcBorders>
            <w:shd w:val="clear" w:color="auto" w:fill="auto"/>
            <w:vAlign w:val="center"/>
          </w:tcPr>
          <w:p w14:paraId="76A582BC" w14:textId="64218997" w:rsidR="00444B22" w:rsidRPr="00BE78B3"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6955C62" w14:textId="2AC71319" w:rsidR="00444B22" w:rsidRPr="00BE78B3" w:rsidRDefault="00444B22" w:rsidP="00444B22">
            <w:pPr>
              <w:jc w:val="center"/>
              <w:rPr>
                <w:rFonts w:cs="Calibri"/>
                <w:sz w:val="20"/>
                <w:szCs w:val="20"/>
              </w:rPr>
            </w:pPr>
          </w:p>
        </w:tc>
      </w:tr>
      <w:tr w:rsidR="00A910D8" w:rsidRPr="00BE78B3" w14:paraId="6C6C8E90"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4B8C896D" w14:textId="1702F63E" w:rsidR="00A910D8" w:rsidRPr="00BE78B3" w:rsidRDefault="00A910D8" w:rsidP="00A910D8">
            <w:pPr>
              <w:rPr>
                <w:rFonts w:cs="Calibri"/>
                <w:sz w:val="20"/>
                <w:szCs w:val="20"/>
              </w:rPr>
            </w:pPr>
            <w:r w:rsidRPr="00BE78B3">
              <w:rPr>
                <w:rFonts w:cs="Calibri"/>
                <w:sz w:val="18"/>
                <w:szCs w:val="18"/>
              </w:rPr>
              <w:t>2. miesto Univerzitné MSR v</w:t>
            </w:r>
            <w:r w:rsidR="00267450" w:rsidRPr="00BE78B3">
              <w:rPr>
                <w:rFonts w:cs="Calibri"/>
                <w:sz w:val="18"/>
                <w:szCs w:val="18"/>
              </w:rPr>
              <w:t> </w:t>
            </w:r>
            <w:r w:rsidRPr="00BE78B3">
              <w:rPr>
                <w:rFonts w:cs="Calibri"/>
                <w:sz w:val="18"/>
                <w:szCs w:val="18"/>
              </w:rPr>
              <w:t>e</w:t>
            </w:r>
            <w:r w:rsidR="00267450" w:rsidRPr="00BE78B3">
              <w:rPr>
                <w:rFonts w:cs="Calibri"/>
                <w:sz w:val="18"/>
                <w:szCs w:val="18"/>
              </w:rPr>
              <w:t>-</w:t>
            </w:r>
            <w:r w:rsidRPr="00BE78B3">
              <w:rPr>
                <w:rFonts w:cs="Calibri"/>
                <w:sz w:val="18"/>
                <w:szCs w:val="18"/>
              </w:rPr>
              <w:t>športoch, LoL (ZS)</w:t>
            </w:r>
          </w:p>
        </w:tc>
        <w:tc>
          <w:tcPr>
            <w:tcW w:w="567" w:type="dxa"/>
            <w:tcBorders>
              <w:top w:val="nil"/>
              <w:left w:val="nil"/>
              <w:bottom w:val="single" w:sz="4" w:space="0" w:color="auto"/>
              <w:right w:val="single" w:sz="4" w:space="0" w:color="auto"/>
            </w:tcBorders>
            <w:shd w:val="clear" w:color="auto" w:fill="auto"/>
            <w:vAlign w:val="center"/>
          </w:tcPr>
          <w:p w14:paraId="69810598" w14:textId="77E6F8A8" w:rsidR="00A910D8" w:rsidRPr="00BE78B3" w:rsidRDefault="00A910D8" w:rsidP="00A910D8">
            <w:pPr>
              <w:jc w:val="center"/>
              <w:rPr>
                <w:rFonts w:cs="Calibri"/>
                <w:sz w:val="20"/>
                <w:szCs w:val="20"/>
              </w:rPr>
            </w:pPr>
            <w:r w:rsidRPr="00BE78B3">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tcPr>
          <w:p w14:paraId="15C080BF" w14:textId="72DE3259" w:rsidR="00A910D8" w:rsidRPr="00BE78B3" w:rsidRDefault="00A910D8" w:rsidP="00A910D8">
            <w:pPr>
              <w:jc w:val="center"/>
              <w:rPr>
                <w:rFonts w:cs="Calibri"/>
                <w:sz w:val="20"/>
                <w:szCs w:val="20"/>
              </w:rPr>
            </w:pPr>
            <w:r w:rsidRPr="00BE78B3">
              <w:rPr>
                <w:rFonts w:cs="Calibri"/>
                <w:sz w:val="18"/>
                <w:szCs w:val="18"/>
              </w:rPr>
              <w:t> </w:t>
            </w:r>
          </w:p>
        </w:tc>
        <w:tc>
          <w:tcPr>
            <w:tcW w:w="569" w:type="dxa"/>
            <w:tcBorders>
              <w:top w:val="nil"/>
              <w:left w:val="nil"/>
              <w:bottom w:val="single" w:sz="4" w:space="0" w:color="auto"/>
              <w:right w:val="single" w:sz="4" w:space="0" w:color="auto"/>
            </w:tcBorders>
            <w:shd w:val="clear" w:color="auto" w:fill="auto"/>
            <w:vAlign w:val="center"/>
          </w:tcPr>
          <w:p w14:paraId="1517E1C7" w14:textId="513E8122" w:rsidR="00A910D8" w:rsidRPr="00BE78B3" w:rsidRDefault="00A910D8" w:rsidP="00A910D8">
            <w:pPr>
              <w:jc w:val="center"/>
              <w:rPr>
                <w:rFonts w:cs="Calibri"/>
                <w:sz w:val="20"/>
                <w:szCs w:val="20"/>
              </w:rPr>
            </w:pPr>
            <w:r w:rsidRPr="00BE78B3">
              <w:rPr>
                <w:rFonts w:cs="Calibri"/>
                <w:sz w:val="18"/>
                <w:szCs w:val="18"/>
              </w:rPr>
              <w:t>4</w:t>
            </w:r>
          </w:p>
        </w:tc>
        <w:tc>
          <w:tcPr>
            <w:tcW w:w="709" w:type="dxa"/>
            <w:tcBorders>
              <w:top w:val="nil"/>
              <w:left w:val="nil"/>
              <w:bottom w:val="single" w:sz="4" w:space="0" w:color="auto"/>
              <w:right w:val="single" w:sz="4" w:space="0" w:color="auto"/>
            </w:tcBorders>
            <w:shd w:val="clear" w:color="auto" w:fill="auto"/>
            <w:vAlign w:val="center"/>
          </w:tcPr>
          <w:p w14:paraId="503D4038" w14:textId="65ECD87B" w:rsidR="00A910D8" w:rsidRPr="00BE78B3" w:rsidRDefault="00A910D8" w:rsidP="00A910D8">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vAlign w:val="center"/>
          </w:tcPr>
          <w:p w14:paraId="58D595A2" w14:textId="4A39CC70" w:rsidR="00A910D8" w:rsidRPr="00BE78B3" w:rsidRDefault="00A910D8" w:rsidP="00A910D8">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noWrap/>
            <w:vAlign w:val="center"/>
          </w:tcPr>
          <w:p w14:paraId="14DA5A45" w14:textId="2664B1CA" w:rsidR="00A910D8" w:rsidRPr="00BE78B3" w:rsidRDefault="00A910D8" w:rsidP="00A910D8">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vAlign w:val="center"/>
          </w:tcPr>
          <w:p w14:paraId="17C5CA8E" w14:textId="000568B4" w:rsidR="00A910D8" w:rsidRPr="00BE78B3" w:rsidRDefault="00A910D8" w:rsidP="00A910D8">
            <w:pPr>
              <w:jc w:val="center"/>
              <w:rPr>
                <w:rFonts w:cs="Calibri"/>
                <w:sz w:val="20"/>
                <w:szCs w:val="20"/>
              </w:rPr>
            </w:pPr>
            <w:r w:rsidRPr="00BE78B3">
              <w:rPr>
                <w:rFonts w:cs="Calibri"/>
                <w:sz w:val="18"/>
                <w:szCs w:val="18"/>
              </w:rPr>
              <w:t>1</w:t>
            </w:r>
          </w:p>
        </w:tc>
        <w:tc>
          <w:tcPr>
            <w:tcW w:w="638" w:type="dxa"/>
            <w:tcBorders>
              <w:top w:val="nil"/>
              <w:left w:val="nil"/>
              <w:bottom w:val="single" w:sz="4" w:space="0" w:color="auto"/>
              <w:right w:val="single" w:sz="4" w:space="0" w:color="auto"/>
            </w:tcBorders>
            <w:shd w:val="clear" w:color="auto" w:fill="auto"/>
            <w:noWrap/>
            <w:vAlign w:val="center"/>
          </w:tcPr>
          <w:p w14:paraId="19F879FD" w14:textId="6A8E7E74" w:rsidR="00A910D8" w:rsidRPr="00BE78B3" w:rsidRDefault="00A910D8" w:rsidP="00A910D8">
            <w:pPr>
              <w:jc w:val="center"/>
              <w:rPr>
                <w:rFonts w:cs="Calibri"/>
                <w:sz w:val="20"/>
                <w:szCs w:val="20"/>
              </w:rPr>
            </w:pPr>
            <w:r w:rsidRPr="00BE78B3">
              <w:rPr>
                <w:rFonts w:cs="Calibri"/>
                <w:sz w:val="18"/>
                <w:szCs w:val="18"/>
              </w:rPr>
              <w:t> </w:t>
            </w:r>
          </w:p>
        </w:tc>
      </w:tr>
      <w:tr w:rsidR="00BE78B3" w:rsidRPr="00BE78B3" w14:paraId="372CBE01" w14:textId="77777777" w:rsidTr="00B3077D">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6956F162" w14:textId="77777777" w:rsidR="00267450" w:rsidRPr="00BE78B3" w:rsidRDefault="00267450" w:rsidP="00B3077D">
            <w:pPr>
              <w:rPr>
                <w:rFonts w:cs="Calibri"/>
                <w:sz w:val="20"/>
                <w:szCs w:val="20"/>
              </w:rPr>
            </w:pPr>
            <w:r w:rsidRPr="00BE78B3">
              <w:rPr>
                <w:rFonts w:cs="Calibri"/>
                <w:sz w:val="18"/>
                <w:szCs w:val="18"/>
              </w:rPr>
              <w:t>2. miesto Univerzitné MSR v e-športoch, CS:GO (LS)</w:t>
            </w:r>
          </w:p>
        </w:tc>
        <w:tc>
          <w:tcPr>
            <w:tcW w:w="567" w:type="dxa"/>
            <w:tcBorders>
              <w:top w:val="nil"/>
              <w:left w:val="nil"/>
              <w:bottom w:val="single" w:sz="4" w:space="0" w:color="auto"/>
              <w:right w:val="single" w:sz="4" w:space="0" w:color="auto"/>
            </w:tcBorders>
            <w:shd w:val="clear" w:color="auto" w:fill="auto"/>
            <w:vAlign w:val="center"/>
          </w:tcPr>
          <w:p w14:paraId="47771F0F" w14:textId="77777777" w:rsidR="00267450" w:rsidRPr="00BE78B3" w:rsidRDefault="00267450" w:rsidP="00B3077D">
            <w:pPr>
              <w:jc w:val="center"/>
              <w:rPr>
                <w:rFonts w:cs="Calibri"/>
                <w:sz w:val="20"/>
                <w:szCs w:val="20"/>
              </w:rPr>
            </w:pPr>
            <w:r w:rsidRPr="00BE78B3">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vAlign w:val="center"/>
          </w:tcPr>
          <w:p w14:paraId="3FEF4FDA" w14:textId="77777777" w:rsidR="00267450" w:rsidRPr="00BE78B3" w:rsidRDefault="00267450" w:rsidP="00B3077D">
            <w:pPr>
              <w:jc w:val="center"/>
              <w:rPr>
                <w:rFonts w:cs="Calibri"/>
                <w:sz w:val="20"/>
                <w:szCs w:val="20"/>
              </w:rPr>
            </w:pPr>
            <w:r w:rsidRPr="00BE78B3">
              <w:rPr>
                <w:rFonts w:cs="Calibri"/>
                <w:sz w:val="18"/>
                <w:szCs w:val="18"/>
              </w:rPr>
              <w:t> </w:t>
            </w:r>
          </w:p>
        </w:tc>
        <w:tc>
          <w:tcPr>
            <w:tcW w:w="569" w:type="dxa"/>
            <w:tcBorders>
              <w:top w:val="nil"/>
              <w:left w:val="nil"/>
              <w:bottom w:val="single" w:sz="4" w:space="0" w:color="auto"/>
              <w:right w:val="single" w:sz="4" w:space="0" w:color="auto"/>
            </w:tcBorders>
            <w:shd w:val="clear" w:color="auto" w:fill="auto"/>
            <w:vAlign w:val="center"/>
          </w:tcPr>
          <w:p w14:paraId="5AD72A05" w14:textId="77777777" w:rsidR="00267450" w:rsidRPr="00BE78B3" w:rsidRDefault="00267450" w:rsidP="00B3077D">
            <w:pPr>
              <w:jc w:val="center"/>
              <w:rPr>
                <w:rFonts w:cs="Calibri"/>
                <w:sz w:val="20"/>
                <w:szCs w:val="20"/>
              </w:rPr>
            </w:pPr>
            <w:r w:rsidRPr="00BE78B3">
              <w:rPr>
                <w:rFonts w:cs="Calibri"/>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0B73FB21" w14:textId="77777777" w:rsidR="00267450" w:rsidRPr="00BE78B3" w:rsidRDefault="00267450" w:rsidP="00B3077D">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vAlign w:val="center"/>
          </w:tcPr>
          <w:p w14:paraId="7B75D762" w14:textId="77777777" w:rsidR="00267450" w:rsidRPr="00BE78B3" w:rsidRDefault="00267450" w:rsidP="00B3077D">
            <w:pPr>
              <w:jc w:val="center"/>
              <w:rPr>
                <w:rFonts w:cs="Calibri"/>
                <w:sz w:val="20"/>
                <w:szCs w:val="20"/>
              </w:rPr>
            </w:pPr>
            <w:r w:rsidRPr="00BE78B3">
              <w:rPr>
                <w:rFonts w:cs="Calibri"/>
                <w:sz w:val="18"/>
                <w:szCs w:val="18"/>
              </w:rPr>
              <w:t>1</w:t>
            </w:r>
          </w:p>
        </w:tc>
        <w:tc>
          <w:tcPr>
            <w:tcW w:w="638" w:type="dxa"/>
            <w:tcBorders>
              <w:top w:val="nil"/>
              <w:left w:val="nil"/>
              <w:bottom w:val="single" w:sz="4" w:space="0" w:color="auto"/>
              <w:right w:val="single" w:sz="4" w:space="0" w:color="auto"/>
            </w:tcBorders>
            <w:shd w:val="clear" w:color="auto" w:fill="auto"/>
            <w:noWrap/>
            <w:vAlign w:val="center"/>
          </w:tcPr>
          <w:p w14:paraId="72D4C5DB" w14:textId="77777777" w:rsidR="00267450" w:rsidRPr="00BE78B3" w:rsidRDefault="00267450" w:rsidP="00B3077D">
            <w:pPr>
              <w:jc w:val="center"/>
              <w:rPr>
                <w:rFonts w:cs="Calibri"/>
                <w:sz w:val="20"/>
                <w:szCs w:val="20"/>
              </w:rPr>
            </w:pPr>
            <w:r w:rsidRPr="00BE78B3">
              <w:rPr>
                <w:rFonts w:cs="Calibri"/>
                <w:sz w:val="18"/>
                <w:szCs w:val="18"/>
              </w:rPr>
              <w:t> </w:t>
            </w:r>
          </w:p>
        </w:tc>
        <w:tc>
          <w:tcPr>
            <w:tcW w:w="638" w:type="dxa"/>
            <w:tcBorders>
              <w:top w:val="nil"/>
              <w:left w:val="nil"/>
              <w:bottom w:val="single" w:sz="4" w:space="0" w:color="auto"/>
              <w:right w:val="single" w:sz="4" w:space="0" w:color="auto"/>
            </w:tcBorders>
            <w:shd w:val="clear" w:color="auto" w:fill="auto"/>
            <w:vAlign w:val="center"/>
          </w:tcPr>
          <w:p w14:paraId="67B75B1E" w14:textId="77777777" w:rsidR="00267450" w:rsidRPr="00BE78B3" w:rsidRDefault="00267450" w:rsidP="00B3077D">
            <w:pPr>
              <w:jc w:val="center"/>
              <w:rPr>
                <w:rFonts w:cs="Calibri"/>
                <w:sz w:val="20"/>
                <w:szCs w:val="20"/>
              </w:rPr>
            </w:pPr>
            <w:r w:rsidRPr="00BE78B3">
              <w:rPr>
                <w:rFonts w:cs="Calibri"/>
                <w:sz w:val="18"/>
                <w:szCs w:val="18"/>
              </w:rPr>
              <w:t>3</w:t>
            </w:r>
          </w:p>
        </w:tc>
        <w:tc>
          <w:tcPr>
            <w:tcW w:w="638" w:type="dxa"/>
            <w:tcBorders>
              <w:top w:val="nil"/>
              <w:left w:val="nil"/>
              <w:bottom w:val="single" w:sz="4" w:space="0" w:color="auto"/>
              <w:right w:val="single" w:sz="4" w:space="0" w:color="auto"/>
            </w:tcBorders>
            <w:shd w:val="clear" w:color="auto" w:fill="auto"/>
            <w:noWrap/>
            <w:vAlign w:val="center"/>
          </w:tcPr>
          <w:p w14:paraId="002F71C8" w14:textId="77777777" w:rsidR="00267450" w:rsidRPr="00BE78B3" w:rsidRDefault="00267450" w:rsidP="00B3077D">
            <w:pPr>
              <w:jc w:val="center"/>
              <w:rPr>
                <w:rFonts w:cs="Calibri"/>
                <w:sz w:val="20"/>
                <w:szCs w:val="20"/>
              </w:rPr>
            </w:pPr>
            <w:r w:rsidRPr="00BE78B3">
              <w:rPr>
                <w:rFonts w:cs="Calibri"/>
                <w:sz w:val="18"/>
                <w:szCs w:val="18"/>
              </w:rPr>
              <w:t> </w:t>
            </w:r>
          </w:p>
        </w:tc>
      </w:tr>
    </w:tbl>
    <w:p w14:paraId="1C0A5534" w14:textId="77777777" w:rsidR="00267450" w:rsidRPr="00BE78B3" w:rsidRDefault="00267450">
      <w:r w:rsidRPr="00BE78B3">
        <w:br w:type="page"/>
      </w:r>
    </w:p>
    <w:tbl>
      <w:tblPr>
        <w:tblW w:w="9239" w:type="dxa"/>
        <w:tblInd w:w="-30" w:type="dxa"/>
        <w:tblLayout w:type="fixed"/>
        <w:tblCellMar>
          <w:left w:w="70" w:type="dxa"/>
          <w:right w:w="70" w:type="dxa"/>
        </w:tblCellMar>
        <w:tblLook w:val="04A0" w:firstRow="1" w:lastRow="0" w:firstColumn="1" w:lastColumn="0" w:noHBand="0" w:noVBand="1"/>
      </w:tblPr>
      <w:tblGrid>
        <w:gridCol w:w="4275"/>
        <w:gridCol w:w="567"/>
        <w:gridCol w:w="567"/>
        <w:gridCol w:w="569"/>
        <w:gridCol w:w="709"/>
        <w:gridCol w:w="638"/>
        <w:gridCol w:w="638"/>
        <w:gridCol w:w="638"/>
        <w:gridCol w:w="638"/>
      </w:tblGrid>
      <w:tr w:rsidR="003F5FCB" w:rsidRPr="0053555E" w14:paraId="65C3329F" w14:textId="77777777" w:rsidTr="00B3077D">
        <w:trPr>
          <w:trHeight w:val="20"/>
        </w:trPr>
        <w:tc>
          <w:tcPr>
            <w:tcW w:w="427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E791C8E" w14:textId="77777777" w:rsidR="003F5FCB" w:rsidRPr="0053555E" w:rsidRDefault="003F5FCB" w:rsidP="00B3077D">
            <w:pPr>
              <w:rPr>
                <w:rFonts w:asciiTheme="majorHAnsi" w:hAnsiTheme="majorHAnsi" w:cstheme="majorHAnsi"/>
                <w:sz w:val="20"/>
                <w:szCs w:val="20"/>
              </w:rPr>
            </w:pPr>
            <w:r w:rsidRPr="0053555E">
              <w:rPr>
                <w:rFonts w:asciiTheme="majorHAnsi" w:eastAsia="Times New Roman" w:hAnsiTheme="majorHAnsi" w:cstheme="majorHAnsi"/>
                <w:b/>
                <w:bCs/>
                <w:sz w:val="20"/>
                <w:szCs w:val="20"/>
                <w:lang w:eastAsia="sk-SK"/>
              </w:rPr>
              <w:lastRenderedPageBreak/>
              <w:t>Ocenenia dosiahnuté na národnej úrovni mimo STU</w:t>
            </w: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27492F75" w14:textId="77777777" w:rsidR="003F5FCB" w:rsidRPr="0053555E" w:rsidRDefault="003F5FCB" w:rsidP="00B3077D">
            <w:pPr>
              <w:jc w:val="center"/>
              <w:rPr>
                <w:rFonts w:asciiTheme="majorHAnsi" w:eastAsia="Times New Roman" w:hAnsiTheme="majorHAnsi" w:cstheme="majorHAnsi"/>
                <w:sz w:val="20"/>
                <w:szCs w:val="20"/>
                <w:lang w:val="en-US" w:eastAsia="sk-SK"/>
              </w:rPr>
            </w:pPr>
            <w:r w:rsidRPr="0053555E">
              <w:rPr>
                <w:rFonts w:asciiTheme="majorHAnsi" w:eastAsia="Times New Roman" w:hAnsiTheme="majorHAnsi" w:cstheme="majorHAnsi"/>
                <w:b/>
                <w:bCs/>
                <w:sz w:val="20"/>
                <w:szCs w:val="20"/>
                <w:lang w:val="en-US" w:eastAsia="sk-SK"/>
              </w:rPr>
              <w:t>SvF</w:t>
            </w: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3DAE5400" w14:textId="77777777" w:rsidR="003F5FCB" w:rsidRPr="0053555E" w:rsidRDefault="003F5FCB" w:rsidP="00B3077D">
            <w:pPr>
              <w:jc w:val="center"/>
              <w:rPr>
                <w:rFonts w:asciiTheme="majorHAnsi" w:eastAsia="Times New Roman" w:hAnsiTheme="majorHAnsi" w:cstheme="majorHAnsi"/>
                <w:sz w:val="20"/>
                <w:szCs w:val="20"/>
                <w:lang w:val="en-US" w:eastAsia="sk-SK"/>
              </w:rPr>
            </w:pPr>
            <w:r w:rsidRPr="0053555E">
              <w:rPr>
                <w:rFonts w:asciiTheme="majorHAnsi" w:eastAsia="Times New Roman" w:hAnsiTheme="majorHAnsi" w:cstheme="majorHAnsi"/>
                <w:b/>
                <w:bCs/>
                <w:sz w:val="20"/>
                <w:szCs w:val="20"/>
                <w:lang w:val="en-US" w:eastAsia="sk-SK"/>
              </w:rPr>
              <w:t>SjF</w:t>
            </w:r>
          </w:p>
        </w:tc>
        <w:tc>
          <w:tcPr>
            <w:tcW w:w="569"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63D95C30" w14:textId="77777777" w:rsidR="003F5FCB" w:rsidRPr="0053555E" w:rsidRDefault="003F5FCB" w:rsidP="00B3077D">
            <w:pPr>
              <w:jc w:val="center"/>
              <w:rPr>
                <w:rFonts w:asciiTheme="majorHAnsi" w:eastAsia="Times New Roman" w:hAnsiTheme="majorHAnsi" w:cstheme="majorHAnsi"/>
                <w:sz w:val="20"/>
                <w:szCs w:val="20"/>
                <w:lang w:val="en-US" w:eastAsia="sk-SK"/>
              </w:rPr>
            </w:pPr>
            <w:r w:rsidRPr="0053555E">
              <w:rPr>
                <w:rFonts w:asciiTheme="majorHAnsi" w:eastAsia="Times New Roman" w:hAnsiTheme="majorHAnsi" w:cstheme="majorHAnsi"/>
                <w:b/>
                <w:bCs/>
                <w:sz w:val="20"/>
                <w:szCs w:val="20"/>
                <w:lang w:val="en-US" w:eastAsia="sk-SK"/>
              </w:rPr>
              <w:t>FEI</w:t>
            </w:r>
          </w:p>
        </w:tc>
        <w:tc>
          <w:tcPr>
            <w:tcW w:w="709"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24B295A0" w14:textId="77777777" w:rsidR="003F5FCB" w:rsidRPr="0053555E" w:rsidRDefault="003F5FCB" w:rsidP="00B3077D">
            <w:pPr>
              <w:jc w:val="center"/>
              <w:rPr>
                <w:rFonts w:asciiTheme="majorHAnsi" w:eastAsia="Times New Roman" w:hAnsiTheme="majorHAnsi" w:cstheme="majorHAnsi"/>
                <w:sz w:val="20"/>
                <w:szCs w:val="20"/>
                <w:lang w:val="en-US" w:eastAsia="sk-SK"/>
              </w:rPr>
            </w:pPr>
            <w:r w:rsidRPr="0053555E">
              <w:rPr>
                <w:rFonts w:asciiTheme="majorHAnsi" w:eastAsia="Times New Roman" w:hAnsiTheme="majorHAnsi" w:cstheme="majorHAnsi"/>
                <w:b/>
                <w:bCs/>
                <w:sz w:val="20"/>
                <w:szCs w:val="20"/>
                <w:lang w:val="en-US" w:eastAsia="sk-SK"/>
              </w:rPr>
              <w:t>FCHPT</w:t>
            </w:r>
          </w:p>
        </w:tc>
        <w:tc>
          <w:tcPr>
            <w:tcW w:w="638"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7222DC16" w14:textId="77777777" w:rsidR="003F5FCB" w:rsidRPr="0053555E" w:rsidRDefault="003F5FCB" w:rsidP="00B3077D">
            <w:pPr>
              <w:jc w:val="center"/>
              <w:rPr>
                <w:rFonts w:asciiTheme="majorHAnsi" w:eastAsia="Times New Roman" w:hAnsiTheme="majorHAnsi" w:cstheme="majorHAnsi"/>
                <w:sz w:val="20"/>
                <w:szCs w:val="20"/>
                <w:lang w:val="en-US" w:eastAsia="sk-SK"/>
              </w:rPr>
            </w:pPr>
            <w:r w:rsidRPr="0053555E">
              <w:rPr>
                <w:rFonts w:asciiTheme="majorHAnsi" w:eastAsia="Times New Roman" w:hAnsiTheme="majorHAnsi" w:cstheme="majorHAnsi"/>
                <w:b/>
                <w:bCs/>
                <w:sz w:val="20"/>
                <w:szCs w:val="20"/>
                <w:lang w:val="en-US" w:eastAsia="sk-SK"/>
              </w:rPr>
              <w:t>FAD</w:t>
            </w:r>
          </w:p>
        </w:tc>
        <w:tc>
          <w:tcPr>
            <w:tcW w:w="638"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3E622457" w14:textId="77777777" w:rsidR="003F5FCB" w:rsidRPr="0053555E" w:rsidRDefault="003F5FCB" w:rsidP="00B3077D">
            <w:pPr>
              <w:jc w:val="center"/>
              <w:rPr>
                <w:rFonts w:asciiTheme="majorHAnsi" w:hAnsiTheme="majorHAnsi" w:cstheme="majorHAnsi"/>
                <w:sz w:val="20"/>
                <w:szCs w:val="20"/>
                <w:lang w:val="en-US"/>
              </w:rPr>
            </w:pPr>
            <w:r w:rsidRPr="0053555E">
              <w:rPr>
                <w:rFonts w:asciiTheme="majorHAnsi" w:eastAsia="Times New Roman" w:hAnsiTheme="majorHAnsi" w:cstheme="majorHAnsi"/>
                <w:b/>
                <w:bCs/>
                <w:sz w:val="20"/>
                <w:szCs w:val="20"/>
                <w:lang w:val="en-US" w:eastAsia="sk-SK"/>
              </w:rPr>
              <w:t>MTF</w:t>
            </w:r>
          </w:p>
        </w:tc>
        <w:tc>
          <w:tcPr>
            <w:tcW w:w="638"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5618EA42" w14:textId="77777777" w:rsidR="003F5FCB" w:rsidRPr="0053555E" w:rsidRDefault="003F5FCB" w:rsidP="00B3077D">
            <w:pPr>
              <w:jc w:val="center"/>
              <w:rPr>
                <w:rFonts w:asciiTheme="majorHAnsi" w:eastAsia="Times New Roman" w:hAnsiTheme="majorHAnsi" w:cstheme="majorHAnsi"/>
                <w:sz w:val="20"/>
                <w:szCs w:val="20"/>
                <w:lang w:val="en-US" w:eastAsia="sk-SK"/>
              </w:rPr>
            </w:pPr>
            <w:r w:rsidRPr="0053555E">
              <w:rPr>
                <w:rFonts w:asciiTheme="majorHAnsi" w:eastAsia="Times New Roman" w:hAnsiTheme="majorHAnsi" w:cstheme="majorHAnsi"/>
                <w:b/>
                <w:bCs/>
                <w:sz w:val="20"/>
                <w:szCs w:val="20"/>
                <w:lang w:val="en-US" w:eastAsia="sk-SK"/>
              </w:rPr>
              <w:t>FIIT</w:t>
            </w:r>
          </w:p>
        </w:tc>
        <w:tc>
          <w:tcPr>
            <w:tcW w:w="638"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14DFB8DA" w14:textId="77777777" w:rsidR="003F5FCB" w:rsidRPr="0053555E" w:rsidRDefault="003F5FCB" w:rsidP="00B3077D">
            <w:pPr>
              <w:jc w:val="center"/>
              <w:rPr>
                <w:rFonts w:asciiTheme="majorHAnsi" w:eastAsia="Times New Roman" w:hAnsiTheme="majorHAnsi" w:cstheme="majorHAnsi"/>
                <w:sz w:val="20"/>
                <w:szCs w:val="20"/>
                <w:lang w:val="en-US" w:eastAsia="sk-SK"/>
              </w:rPr>
            </w:pPr>
            <w:r w:rsidRPr="0053555E">
              <w:rPr>
                <w:rFonts w:asciiTheme="majorHAnsi" w:eastAsia="Times New Roman" w:hAnsiTheme="majorHAnsi" w:cstheme="majorHAnsi"/>
                <w:b/>
                <w:bCs/>
                <w:sz w:val="20"/>
                <w:szCs w:val="20"/>
                <w:lang w:val="en-US" w:eastAsia="sk-SK"/>
              </w:rPr>
              <w:t>ÚM</w:t>
            </w:r>
          </w:p>
        </w:tc>
      </w:tr>
      <w:tr w:rsidR="00444B22" w:rsidRPr="0053555E" w14:paraId="3C54814B"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42DFFDF7" w14:textId="1C8991D8" w:rsidR="00444B22" w:rsidRPr="0053555E" w:rsidRDefault="00444B22" w:rsidP="00444B22">
            <w:pPr>
              <w:rPr>
                <w:rFonts w:cs="Calibri"/>
                <w:sz w:val="20"/>
                <w:szCs w:val="20"/>
              </w:rPr>
            </w:pPr>
            <w:r w:rsidRPr="0053555E">
              <w:rPr>
                <w:rFonts w:cs="Calibri"/>
                <w:sz w:val="20"/>
                <w:szCs w:val="20"/>
              </w:rPr>
              <w:t xml:space="preserve">3. miesto AM SR, futbal </w:t>
            </w:r>
          </w:p>
        </w:tc>
        <w:tc>
          <w:tcPr>
            <w:tcW w:w="567" w:type="dxa"/>
            <w:tcBorders>
              <w:top w:val="nil"/>
              <w:left w:val="nil"/>
              <w:bottom w:val="single" w:sz="4" w:space="0" w:color="auto"/>
              <w:right w:val="single" w:sz="4" w:space="0" w:color="auto"/>
            </w:tcBorders>
            <w:shd w:val="clear" w:color="auto" w:fill="auto"/>
            <w:vAlign w:val="center"/>
          </w:tcPr>
          <w:p w14:paraId="261EBE08" w14:textId="0DC53E95" w:rsidR="00444B22" w:rsidRPr="0053555E" w:rsidRDefault="00444B22" w:rsidP="00444B22">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046CEF75" w14:textId="54F00033" w:rsidR="00444B22" w:rsidRPr="0053555E" w:rsidRDefault="00444B22" w:rsidP="00444B22">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622B17F8" w14:textId="452B5B32" w:rsidR="00444B22" w:rsidRPr="0053555E" w:rsidRDefault="00444B22" w:rsidP="00444B22">
            <w:pPr>
              <w:jc w:val="center"/>
              <w:rPr>
                <w:rFonts w:cs="Calibri"/>
                <w:sz w:val="20"/>
                <w:szCs w:val="20"/>
              </w:rPr>
            </w:pPr>
          </w:p>
        </w:tc>
        <w:tc>
          <w:tcPr>
            <w:tcW w:w="709" w:type="dxa"/>
            <w:tcBorders>
              <w:top w:val="nil"/>
              <w:left w:val="nil"/>
              <w:bottom w:val="single" w:sz="4" w:space="0" w:color="auto"/>
              <w:right w:val="single" w:sz="4" w:space="0" w:color="auto"/>
            </w:tcBorders>
            <w:shd w:val="clear" w:color="auto" w:fill="auto"/>
            <w:vAlign w:val="center"/>
          </w:tcPr>
          <w:p w14:paraId="2A437557" w14:textId="5ECAFB15" w:rsidR="00444B22" w:rsidRPr="0053555E" w:rsidRDefault="00444B22" w:rsidP="00444B22">
            <w:pPr>
              <w:jc w:val="center"/>
              <w:rPr>
                <w:rFonts w:cs="Calibr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center"/>
          </w:tcPr>
          <w:p w14:paraId="78F941D3" w14:textId="4FBF38C2"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0D5F36D6" w14:textId="3DF1A60F"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18C77AE6" w14:textId="75A857E5"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7C28426" w14:textId="32345FC7" w:rsidR="00444B22" w:rsidRPr="0053555E" w:rsidRDefault="00444B22" w:rsidP="00444B22">
            <w:pPr>
              <w:jc w:val="center"/>
              <w:rPr>
                <w:rFonts w:cs="Calibri"/>
                <w:sz w:val="20"/>
                <w:szCs w:val="20"/>
              </w:rPr>
            </w:pPr>
          </w:p>
        </w:tc>
      </w:tr>
      <w:tr w:rsidR="00444B22" w:rsidRPr="0053555E" w14:paraId="5739CC51"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6BD6EAA5" w14:textId="779C421C" w:rsidR="00444B22" w:rsidRPr="0053555E" w:rsidRDefault="00444B22" w:rsidP="00444B22">
            <w:pPr>
              <w:rPr>
                <w:rFonts w:cs="Calibri"/>
                <w:sz w:val="20"/>
                <w:szCs w:val="20"/>
              </w:rPr>
            </w:pPr>
            <w:r w:rsidRPr="0053555E">
              <w:rPr>
                <w:rFonts w:cs="Calibri"/>
                <w:sz w:val="20"/>
                <w:szCs w:val="20"/>
              </w:rPr>
              <w:t>3. miesto AM SR, plávanie 4 x 50 m polohové preteky</w:t>
            </w:r>
          </w:p>
        </w:tc>
        <w:tc>
          <w:tcPr>
            <w:tcW w:w="567" w:type="dxa"/>
            <w:tcBorders>
              <w:top w:val="nil"/>
              <w:left w:val="nil"/>
              <w:bottom w:val="single" w:sz="4" w:space="0" w:color="auto"/>
              <w:right w:val="single" w:sz="4" w:space="0" w:color="auto"/>
            </w:tcBorders>
            <w:shd w:val="clear" w:color="auto" w:fill="auto"/>
            <w:vAlign w:val="center"/>
          </w:tcPr>
          <w:p w14:paraId="2EF4B22E" w14:textId="62FE85E3" w:rsidR="00444B22" w:rsidRPr="0053555E" w:rsidRDefault="00444B22" w:rsidP="00444B22">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7C645A76" w14:textId="16449440" w:rsidR="00444B22" w:rsidRPr="0053555E" w:rsidRDefault="00444B22" w:rsidP="00444B22">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30EF5336" w14:textId="64BA88F2" w:rsidR="00444B22" w:rsidRPr="0053555E" w:rsidRDefault="00444B22" w:rsidP="00444B22">
            <w:pPr>
              <w:jc w:val="center"/>
              <w:rPr>
                <w:rFonts w:cs="Calibri"/>
                <w:sz w:val="20"/>
                <w:szCs w:val="20"/>
              </w:rPr>
            </w:pPr>
            <w:r w:rsidRPr="0053555E">
              <w:rPr>
                <w:rFonts w:cs="Calibri"/>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6857F949" w14:textId="71E6BB74"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120347FA" w14:textId="75F147E9"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2ED0F39" w14:textId="7A7C5FF1"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7B6DC988" w14:textId="5640D790"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DD95FB7" w14:textId="1E4B29E4" w:rsidR="00444B22" w:rsidRPr="0053555E" w:rsidRDefault="00444B22" w:rsidP="00444B22">
            <w:pPr>
              <w:jc w:val="center"/>
              <w:rPr>
                <w:rFonts w:cs="Calibri"/>
                <w:sz w:val="20"/>
                <w:szCs w:val="20"/>
              </w:rPr>
            </w:pPr>
          </w:p>
        </w:tc>
      </w:tr>
      <w:tr w:rsidR="00444B22" w:rsidRPr="0053555E" w14:paraId="09EC92FB"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0C8BDEA0" w14:textId="749A9040" w:rsidR="00D42C7B" w:rsidRPr="0053555E" w:rsidRDefault="00444B22" w:rsidP="00650B0F">
            <w:pPr>
              <w:rPr>
                <w:rFonts w:cs="Calibri"/>
                <w:sz w:val="20"/>
                <w:szCs w:val="20"/>
              </w:rPr>
            </w:pPr>
            <w:r w:rsidRPr="0053555E">
              <w:rPr>
                <w:rFonts w:cs="Calibri"/>
                <w:sz w:val="20"/>
                <w:szCs w:val="20"/>
              </w:rPr>
              <w:t>3. miesto AM SR, plávanie 50 m znak</w:t>
            </w:r>
          </w:p>
        </w:tc>
        <w:tc>
          <w:tcPr>
            <w:tcW w:w="567" w:type="dxa"/>
            <w:tcBorders>
              <w:top w:val="nil"/>
              <w:left w:val="nil"/>
              <w:bottom w:val="single" w:sz="4" w:space="0" w:color="auto"/>
              <w:right w:val="single" w:sz="4" w:space="0" w:color="auto"/>
            </w:tcBorders>
            <w:shd w:val="clear" w:color="auto" w:fill="auto"/>
            <w:vAlign w:val="center"/>
          </w:tcPr>
          <w:p w14:paraId="6CE8570C" w14:textId="5963324D" w:rsidR="00444B22" w:rsidRPr="0053555E" w:rsidRDefault="00444B22" w:rsidP="00444B22">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vAlign w:val="center"/>
          </w:tcPr>
          <w:p w14:paraId="286046AC" w14:textId="5FF8080E" w:rsidR="00444B22" w:rsidRPr="0053555E" w:rsidRDefault="00444B22" w:rsidP="00444B22">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1083E9C3" w14:textId="1C194D6A" w:rsidR="00444B22" w:rsidRPr="0053555E" w:rsidRDefault="00444B22" w:rsidP="00444B22">
            <w:pPr>
              <w:jc w:val="center"/>
              <w:rPr>
                <w:rFonts w:cs="Calibri"/>
                <w:sz w:val="20"/>
                <w:szCs w:val="20"/>
              </w:rPr>
            </w:pPr>
            <w:r w:rsidRPr="0053555E">
              <w:rPr>
                <w:rFonts w:cs="Calibri"/>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2FAB96F0" w14:textId="3BB2546A"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64CA3865" w14:textId="4460A2E4"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CE27846" w14:textId="1079A03B"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572CD963" w14:textId="109A9465"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E9CA180" w14:textId="4492C614" w:rsidR="00444B22" w:rsidRPr="0053555E" w:rsidRDefault="00444B22" w:rsidP="00444B22">
            <w:pPr>
              <w:jc w:val="center"/>
              <w:rPr>
                <w:rFonts w:cs="Calibri"/>
                <w:sz w:val="20"/>
                <w:szCs w:val="20"/>
              </w:rPr>
            </w:pPr>
          </w:p>
        </w:tc>
      </w:tr>
      <w:tr w:rsidR="00737317" w:rsidRPr="0053555E" w14:paraId="3D38AF49"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3A63F490" w14:textId="41EDBC1C" w:rsidR="00737317" w:rsidRPr="0053555E" w:rsidRDefault="00737317" w:rsidP="00737317">
            <w:pPr>
              <w:rPr>
                <w:rFonts w:cs="Calibri"/>
                <w:sz w:val="20"/>
                <w:szCs w:val="20"/>
              </w:rPr>
            </w:pPr>
            <w:bookmarkStart w:id="158" w:name="_Hlk127102152"/>
            <w:r w:rsidRPr="0053555E">
              <w:rPr>
                <w:rFonts w:cs="Calibri"/>
                <w:sz w:val="20"/>
                <w:szCs w:val="20"/>
                <w:lang w:val="en-US"/>
              </w:rPr>
              <w:t xml:space="preserve">3. </w:t>
            </w:r>
            <w:r w:rsidRPr="00DE37F4">
              <w:rPr>
                <w:rFonts w:cs="Calibri"/>
                <w:sz w:val="20"/>
                <w:szCs w:val="20"/>
              </w:rPr>
              <w:t>miesto</w:t>
            </w:r>
            <w:r w:rsidRPr="0053555E">
              <w:rPr>
                <w:rFonts w:cs="Calibri"/>
                <w:sz w:val="20"/>
                <w:szCs w:val="20"/>
                <w:lang w:val="en-US"/>
              </w:rPr>
              <w:t xml:space="preserve"> AM SR, triatlon </w:t>
            </w:r>
          </w:p>
        </w:tc>
        <w:tc>
          <w:tcPr>
            <w:tcW w:w="567" w:type="dxa"/>
            <w:tcBorders>
              <w:top w:val="nil"/>
              <w:left w:val="nil"/>
              <w:bottom w:val="single" w:sz="4" w:space="0" w:color="auto"/>
              <w:right w:val="single" w:sz="4" w:space="0" w:color="auto"/>
            </w:tcBorders>
            <w:shd w:val="clear" w:color="auto" w:fill="auto"/>
            <w:vAlign w:val="center"/>
          </w:tcPr>
          <w:p w14:paraId="27A9F8D4" w14:textId="77777777" w:rsidR="00737317" w:rsidRPr="0053555E" w:rsidRDefault="00737317" w:rsidP="00737317">
            <w:pPr>
              <w:jc w:val="center"/>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vAlign w:val="center"/>
          </w:tcPr>
          <w:p w14:paraId="3EBB9F8D" w14:textId="77777777" w:rsidR="00737317" w:rsidRPr="0053555E" w:rsidRDefault="00737317" w:rsidP="00737317">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3EE4C973" w14:textId="58566892" w:rsidR="00737317" w:rsidRPr="0053555E" w:rsidRDefault="00737317" w:rsidP="00737317">
            <w:pPr>
              <w:jc w:val="center"/>
              <w:rPr>
                <w:rFonts w:cs="Calibri"/>
                <w:sz w:val="20"/>
                <w:szCs w:val="20"/>
              </w:rPr>
            </w:pPr>
            <w:r w:rsidRPr="0053555E">
              <w:rPr>
                <w:rFonts w:cs="Calibri"/>
                <w:sz w:val="20"/>
                <w:szCs w:val="20"/>
                <w:lang w:val="en-US"/>
              </w:rPr>
              <w:t>1</w:t>
            </w:r>
          </w:p>
        </w:tc>
        <w:tc>
          <w:tcPr>
            <w:tcW w:w="709" w:type="dxa"/>
            <w:tcBorders>
              <w:top w:val="nil"/>
              <w:left w:val="nil"/>
              <w:bottom w:val="single" w:sz="4" w:space="0" w:color="auto"/>
              <w:right w:val="single" w:sz="4" w:space="0" w:color="auto"/>
            </w:tcBorders>
            <w:shd w:val="clear" w:color="auto" w:fill="auto"/>
            <w:vAlign w:val="center"/>
          </w:tcPr>
          <w:p w14:paraId="6A1129D3" w14:textId="77777777" w:rsidR="00737317" w:rsidRPr="0053555E" w:rsidRDefault="00737317" w:rsidP="00737317">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2F7E76D2" w14:textId="77777777" w:rsidR="00737317" w:rsidRPr="0053555E" w:rsidRDefault="00737317" w:rsidP="00737317">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1A110BC" w14:textId="77777777" w:rsidR="00737317" w:rsidRPr="0053555E" w:rsidRDefault="00737317" w:rsidP="00737317">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3B0BC9D9" w14:textId="77777777" w:rsidR="00737317" w:rsidRPr="0053555E" w:rsidRDefault="00737317" w:rsidP="00737317">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E4B6398" w14:textId="77777777" w:rsidR="00737317" w:rsidRPr="0053555E" w:rsidRDefault="00737317" w:rsidP="00737317">
            <w:pPr>
              <w:jc w:val="center"/>
              <w:rPr>
                <w:rFonts w:cs="Calibri"/>
                <w:sz w:val="20"/>
                <w:szCs w:val="20"/>
              </w:rPr>
            </w:pPr>
          </w:p>
        </w:tc>
      </w:tr>
      <w:tr w:rsidR="00B71214" w:rsidRPr="0053555E" w14:paraId="61A0428D"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308CF441" w14:textId="77777777" w:rsidR="00B71214" w:rsidRPr="0053555E" w:rsidRDefault="00B71214" w:rsidP="004A05EF">
            <w:pPr>
              <w:rPr>
                <w:rFonts w:cs="Calibri"/>
                <w:sz w:val="20"/>
                <w:szCs w:val="20"/>
              </w:rPr>
            </w:pPr>
            <w:r w:rsidRPr="0053555E">
              <w:rPr>
                <w:rFonts w:cs="Calibri"/>
                <w:sz w:val="20"/>
                <w:szCs w:val="20"/>
              </w:rPr>
              <w:t>3. miesto Medzin. doktorandský seminár, Smolenice</w:t>
            </w:r>
          </w:p>
        </w:tc>
        <w:tc>
          <w:tcPr>
            <w:tcW w:w="567" w:type="dxa"/>
            <w:tcBorders>
              <w:top w:val="nil"/>
              <w:left w:val="nil"/>
              <w:bottom w:val="single" w:sz="4" w:space="0" w:color="auto"/>
              <w:right w:val="single" w:sz="4" w:space="0" w:color="auto"/>
            </w:tcBorders>
            <w:shd w:val="clear" w:color="auto" w:fill="auto"/>
            <w:vAlign w:val="center"/>
          </w:tcPr>
          <w:p w14:paraId="2A83310A" w14:textId="77777777" w:rsidR="00B71214" w:rsidRPr="0053555E" w:rsidRDefault="00B71214" w:rsidP="004A05EF">
            <w:pPr>
              <w:jc w:val="center"/>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vAlign w:val="center"/>
          </w:tcPr>
          <w:p w14:paraId="05FD14CB" w14:textId="77777777" w:rsidR="00B71214" w:rsidRPr="0053555E" w:rsidRDefault="00B71214" w:rsidP="004A05EF">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59136026" w14:textId="77777777" w:rsidR="00B71214" w:rsidRPr="0053555E" w:rsidRDefault="00B71214" w:rsidP="004A05EF">
            <w:pPr>
              <w:jc w:val="center"/>
              <w:rPr>
                <w:rFonts w:cs="Calibri"/>
                <w:sz w:val="20"/>
                <w:szCs w:val="20"/>
              </w:rPr>
            </w:pPr>
          </w:p>
        </w:tc>
        <w:tc>
          <w:tcPr>
            <w:tcW w:w="709" w:type="dxa"/>
            <w:tcBorders>
              <w:top w:val="nil"/>
              <w:left w:val="nil"/>
              <w:bottom w:val="single" w:sz="4" w:space="0" w:color="auto"/>
              <w:right w:val="single" w:sz="4" w:space="0" w:color="auto"/>
            </w:tcBorders>
            <w:shd w:val="clear" w:color="auto" w:fill="auto"/>
            <w:vAlign w:val="center"/>
          </w:tcPr>
          <w:p w14:paraId="575C78AE" w14:textId="77777777" w:rsidR="00B71214" w:rsidRPr="0053555E" w:rsidRDefault="00B71214" w:rsidP="004A05EF">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118E941D" w14:textId="77777777" w:rsidR="00B71214" w:rsidRPr="0053555E" w:rsidRDefault="00B71214" w:rsidP="004A05EF">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5D4DB67" w14:textId="77777777" w:rsidR="00B71214" w:rsidRPr="0053555E" w:rsidRDefault="00B71214" w:rsidP="004A05EF">
            <w:pPr>
              <w:jc w:val="center"/>
              <w:rPr>
                <w:rFonts w:cs="Calibri"/>
                <w:sz w:val="20"/>
                <w:szCs w:val="20"/>
              </w:rPr>
            </w:pPr>
            <w:r w:rsidRPr="0053555E">
              <w:rPr>
                <w:rFonts w:cs="Calibri"/>
                <w:sz w:val="20"/>
                <w:szCs w:val="20"/>
              </w:rPr>
              <w:t>2</w:t>
            </w:r>
          </w:p>
        </w:tc>
        <w:tc>
          <w:tcPr>
            <w:tcW w:w="638" w:type="dxa"/>
            <w:tcBorders>
              <w:top w:val="nil"/>
              <w:left w:val="nil"/>
              <w:bottom w:val="single" w:sz="4" w:space="0" w:color="auto"/>
              <w:right w:val="single" w:sz="4" w:space="0" w:color="auto"/>
            </w:tcBorders>
            <w:shd w:val="clear" w:color="auto" w:fill="auto"/>
            <w:vAlign w:val="center"/>
          </w:tcPr>
          <w:p w14:paraId="71F1C11A" w14:textId="77777777" w:rsidR="00B71214" w:rsidRPr="0053555E" w:rsidRDefault="00B71214" w:rsidP="004A05EF">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289F59C" w14:textId="77777777" w:rsidR="00B71214" w:rsidRPr="0053555E" w:rsidRDefault="00B71214" w:rsidP="004A05EF">
            <w:pPr>
              <w:jc w:val="center"/>
              <w:rPr>
                <w:rFonts w:cs="Calibri"/>
                <w:sz w:val="20"/>
                <w:szCs w:val="20"/>
              </w:rPr>
            </w:pPr>
          </w:p>
        </w:tc>
      </w:tr>
      <w:tr w:rsidR="002413E2" w:rsidRPr="0053555E" w14:paraId="7A1521AB" w14:textId="77777777" w:rsidTr="00CE5B18">
        <w:trPr>
          <w:trHeight w:val="204"/>
        </w:trPr>
        <w:tc>
          <w:tcPr>
            <w:tcW w:w="4275" w:type="dxa"/>
            <w:tcBorders>
              <w:top w:val="nil"/>
              <w:left w:val="single" w:sz="4" w:space="0" w:color="auto"/>
              <w:bottom w:val="single" w:sz="4" w:space="0" w:color="auto"/>
              <w:right w:val="single" w:sz="4" w:space="0" w:color="auto"/>
            </w:tcBorders>
            <w:vAlign w:val="center"/>
            <w:hideMark/>
          </w:tcPr>
          <w:p w14:paraId="7D76707B" w14:textId="77777777" w:rsidR="002413E2" w:rsidRPr="0053555E" w:rsidRDefault="002413E2">
            <w:pPr>
              <w:rPr>
                <w:rFonts w:cs="Calibri"/>
                <w:sz w:val="20"/>
                <w:szCs w:val="20"/>
              </w:rPr>
            </w:pPr>
            <w:r w:rsidRPr="0053555E">
              <w:rPr>
                <w:rFonts w:cs="Calibri"/>
                <w:sz w:val="20"/>
                <w:szCs w:val="20"/>
              </w:rPr>
              <w:t>3. miesto Medzin. ŠVOČ vo Zvolene</w:t>
            </w:r>
          </w:p>
        </w:tc>
        <w:tc>
          <w:tcPr>
            <w:tcW w:w="567" w:type="dxa"/>
            <w:tcBorders>
              <w:top w:val="nil"/>
              <w:left w:val="nil"/>
              <w:bottom w:val="single" w:sz="4" w:space="0" w:color="auto"/>
              <w:right w:val="single" w:sz="4" w:space="0" w:color="auto"/>
            </w:tcBorders>
            <w:vAlign w:val="center"/>
          </w:tcPr>
          <w:p w14:paraId="43C61512" w14:textId="0663CFBA" w:rsidR="002413E2" w:rsidRPr="0053555E" w:rsidRDefault="002413E2">
            <w:pPr>
              <w:jc w:val="center"/>
              <w:rPr>
                <w:rFonts w:ascii="Arial" w:hAnsi="Arial" w:cs="Arial"/>
                <w:sz w:val="20"/>
                <w:szCs w:val="20"/>
              </w:rPr>
            </w:pPr>
          </w:p>
        </w:tc>
        <w:tc>
          <w:tcPr>
            <w:tcW w:w="567" w:type="dxa"/>
            <w:tcBorders>
              <w:top w:val="nil"/>
              <w:left w:val="nil"/>
              <w:bottom w:val="single" w:sz="4" w:space="0" w:color="auto"/>
              <w:right w:val="single" w:sz="4" w:space="0" w:color="auto"/>
            </w:tcBorders>
            <w:vAlign w:val="center"/>
          </w:tcPr>
          <w:p w14:paraId="21232D15" w14:textId="7CF2B702" w:rsidR="002413E2" w:rsidRPr="0053555E" w:rsidRDefault="002413E2">
            <w:pPr>
              <w:jc w:val="center"/>
              <w:rPr>
                <w:rFonts w:cs="Calibri"/>
                <w:sz w:val="20"/>
                <w:szCs w:val="20"/>
              </w:rPr>
            </w:pPr>
          </w:p>
        </w:tc>
        <w:tc>
          <w:tcPr>
            <w:tcW w:w="569" w:type="dxa"/>
            <w:tcBorders>
              <w:top w:val="nil"/>
              <w:left w:val="nil"/>
              <w:bottom w:val="single" w:sz="4" w:space="0" w:color="auto"/>
              <w:right w:val="single" w:sz="4" w:space="0" w:color="auto"/>
            </w:tcBorders>
            <w:vAlign w:val="center"/>
          </w:tcPr>
          <w:p w14:paraId="5D85346D" w14:textId="0A7D1DF3" w:rsidR="002413E2" w:rsidRPr="0053555E" w:rsidRDefault="002413E2">
            <w:pPr>
              <w:jc w:val="center"/>
              <w:rPr>
                <w:rFonts w:cs="Calibri"/>
                <w:sz w:val="20"/>
                <w:szCs w:val="20"/>
              </w:rPr>
            </w:pPr>
          </w:p>
        </w:tc>
        <w:tc>
          <w:tcPr>
            <w:tcW w:w="709" w:type="dxa"/>
            <w:tcBorders>
              <w:top w:val="nil"/>
              <w:left w:val="nil"/>
              <w:bottom w:val="single" w:sz="4" w:space="0" w:color="auto"/>
              <w:right w:val="single" w:sz="4" w:space="0" w:color="auto"/>
            </w:tcBorders>
            <w:vAlign w:val="center"/>
          </w:tcPr>
          <w:p w14:paraId="5A392378" w14:textId="63CB54B2" w:rsidR="002413E2" w:rsidRPr="0053555E" w:rsidRDefault="002413E2">
            <w:pPr>
              <w:jc w:val="center"/>
              <w:rPr>
                <w:rFonts w:cs="Calibri"/>
                <w:sz w:val="20"/>
                <w:szCs w:val="20"/>
              </w:rPr>
            </w:pPr>
          </w:p>
        </w:tc>
        <w:tc>
          <w:tcPr>
            <w:tcW w:w="638" w:type="dxa"/>
            <w:tcBorders>
              <w:top w:val="nil"/>
              <w:left w:val="nil"/>
              <w:bottom w:val="single" w:sz="4" w:space="0" w:color="auto"/>
              <w:right w:val="single" w:sz="4" w:space="0" w:color="auto"/>
            </w:tcBorders>
            <w:vAlign w:val="center"/>
          </w:tcPr>
          <w:p w14:paraId="5D12A5AF" w14:textId="120EFB4C" w:rsidR="002413E2" w:rsidRPr="0053555E" w:rsidRDefault="002413E2">
            <w:pPr>
              <w:jc w:val="center"/>
              <w:rPr>
                <w:rFonts w:cs="Calibri"/>
                <w:sz w:val="20"/>
                <w:szCs w:val="20"/>
              </w:rPr>
            </w:pPr>
          </w:p>
        </w:tc>
        <w:tc>
          <w:tcPr>
            <w:tcW w:w="638" w:type="dxa"/>
            <w:tcBorders>
              <w:top w:val="nil"/>
              <w:left w:val="nil"/>
              <w:bottom w:val="single" w:sz="4" w:space="0" w:color="auto"/>
              <w:right w:val="single" w:sz="4" w:space="0" w:color="auto"/>
            </w:tcBorders>
            <w:noWrap/>
            <w:vAlign w:val="center"/>
            <w:hideMark/>
          </w:tcPr>
          <w:p w14:paraId="2F6B046A" w14:textId="77777777" w:rsidR="002413E2" w:rsidRPr="0053555E" w:rsidRDefault="002413E2">
            <w:pPr>
              <w:jc w:val="center"/>
              <w:rPr>
                <w:rFonts w:cs="Calibri"/>
                <w:sz w:val="20"/>
                <w:szCs w:val="20"/>
                <w:lang w:val="en-US"/>
              </w:rPr>
            </w:pPr>
            <w:r w:rsidRPr="0053555E">
              <w:rPr>
                <w:rFonts w:cs="Calibri"/>
                <w:sz w:val="20"/>
                <w:szCs w:val="20"/>
                <w:lang w:val="en-US"/>
              </w:rPr>
              <w:t>2</w:t>
            </w:r>
          </w:p>
        </w:tc>
        <w:tc>
          <w:tcPr>
            <w:tcW w:w="638" w:type="dxa"/>
            <w:tcBorders>
              <w:top w:val="nil"/>
              <w:left w:val="nil"/>
              <w:bottom w:val="single" w:sz="4" w:space="0" w:color="auto"/>
              <w:right w:val="single" w:sz="4" w:space="0" w:color="auto"/>
            </w:tcBorders>
            <w:vAlign w:val="center"/>
          </w:tcPr>
          <w:p w14:paraId="3795282E" w14:textId="21F7213E" w:rsidR="002413E2" w:rsidRPr="0053555E" w:rsidRDefault="002413E2">
            <w:pPr>
              <w:jc w:val="center"/>
              <w:rPr>
                <w:rFonts w:cs="Calibri"/>
                <w:sz w:val="20"/>
                <w:szCs w:val="20"/>
                <w:lang w:val="en-US"/>
              </w:rPr>
            </w:pPr>
          </w:p>
        </w:tc>
        <w:tc>
          <w:tcPr>
            <w:tcW w:w="638" w:type="dxa"/>
            <w:tcBorders>
              <w:top w:val="nil"/>
              <w:left w:val="nil"/>
              <w:bottom w:val="single" w:sz="4" w:space="0" w:color="auto"/>
              <w:right w:val="single" w:sz="4" w:space="0" w:color="auto"/>
            </w:tcBorders>
            <w:noWrap/>
            <w:vAlign w:val="center"/>
          </w:tcPr>
          <w:p w14:paraId="70334619" w14:textId="3E24B9C2" w:rsidR="002413E2" w:rsidRPr="0053555E" w:rsidRDefault="002413E2">
            <w:pPr>
              <w:jc w:val="center"/>
              <w:rPr>
                <w:rFonts w:cs="Calibri"/>
                <w:sz w:val="20"/>
                <w:szCs w:val="20"/>
                <w:lang w:val="en-US"/>
              </w:rPr>
            </w:pPr>
          </w:p>
        </w:tc>
      </w:tr>
      <w:tr w:rsidR="00444B22" w:rsidRPr="0053555E" w14:paraId="7CB40A25"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tcPr>
          <w:p w14:paraId="3D280DF4" w14:textId="3A595050" w:rsidR="00444B22" w:rsidRPr="0053555E" w:rsidRDefault="00444B22" w:rsidP="00444B22">
            <w:pPr>
              <w:rPr>
                <w:rFonts w:cs="Calibri"/>
                <w:sz w:val="20"/>
                <w:szCs w:val="20"/>
              </w:rPr>
            </w:pPr>
            <w:r w:rsidRPr="0053555E">
              <w:rPr>
                <w:rFonts w:cs="Calibri"/>
                <w:sz w:val="20"/>
                <w:szCs w:val="20"/>
              </w:rPr>
              <w:t>3. miesto Športovec roka</w:t>
            </w:r>
          </w:p>
        </w:tc>
        <w:tc>
          <w:tcPr>
            <w:tcW w:w="567" w:type="dxa"/>
            <w:tcBorders>
              <w:top w:val="nil"/>
              <w:left w:val="nil"/>
              <w:bottom w:val="single" w:sz="4" w:space="0" w:color="auto"/>
              <w:right w:val="single" w:sz="4" w:space="0" w:color="auto"/>
            </w:tcBorders>
            <w:shd w:val="clear" w:color="auto" w:fill="auto"/>
            <w:vAlign w:val="center"/>
          </w:tcPr>
          <w:p w14:paraId="44AC2F52" w14:textId="210001F0" w:rsidR="00444B22" w:rsidRPr="0053555E" w:rsidRDefault="00444B22" w:rsidP="00444B22">
            <w:pPr>
              <w:jc w:val="center"/>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vAlign w:val="center"/>
          </w:tcPr>
          <w:p w14:paraId="1CA02E63" w14:textId="403A8B55" w:rsidR="00444B22" w:rsidRPr="0053555E" w:rsidRDefault="00444B22" w:rsidP="00444B22">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48205E63" w14:textId="5C5DB71B" w:rsidR="00444B22" w:rsidRPr="0053555E" w:rsidRDefault="00444B22" w:rsidP="00444B22">
            <w:pPr>
              <w:jc w:val="center"/>
              <w:rPr>
                <w:rFonts w:cs="Calibri"/>
                <w:sz w:val="20"/>
                <w:szCs w:val="20"/>
              </w:rPr>
            </w:pPr>
            <w:r w:rsidRPr="0053555E">
              <w:rPr>
                <w:rFonts w:cs="Calibri"/>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1CD1CE50" w14:textId="7A961D38"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37E49E71" w14:textId="0E4B5204"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89F248C" w14:textId="7696B283"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6C4A0458" w14:textId="769F1894"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E959CFA" w14:textId="20C3123B" w:rsidR="00444B22" w:rsidRPr="0053555E" w:rsidRDefault="00444B22" w:rsidP="00444B22">
            <w:pPr>
              <w:jc w:val="center"/>
              <w:rPr>
                <w:rFonts w:cs="Calibri"/>
                <w:sz w:val="20"/>
                <w:szCs w:val="20"/>
              </w:rPr>
            </w:pPr>
          </w:p>
        </w:tc>
      </w:tr>
      <w:tr w:rsidR="00444B22" w:rsidRPr="0053555E" w14:paraId="70E5440C" w14:textId="77777777" w:rsidTr="00CE5B18">
        <w:trPr>
          <w:trHeight w:val="20"/>
        </w:trPr>
        <w:tc>
          <w:tcPr>
            <w:tcW w:w="4275" w:type="dxa"/>
            <w:tcBorders>
              <w:top w:val="nil"/>
              <w:left w:val="single" w:sz="4" w:space="0" w:color="auto"/>
              <w:bottom w:val="single" w:sz="4" w:space="0" w:color="auto"/>
              <w:right w:val="single" w:sz="4" w:space="0" w:color="auto"/>
            </w:tcBorders>
            <w:shd w:val="clear" w:color="auto" w:fill="auto"/>
            <w:vAlign w:val="center"/>
          </w:tcPr>
          <w:p w14:paraId="50DBDEB8" w14:textId="6901AC05" w:rsidR="00444B22" w:rsidRPr="0053555E" w:rsidRDefault="00444B22" w:rsidP="00444B22">
            <w:pPr>
              <w:rPr>
                <w:rFonts w:cs="Calibri"/>
                <w:sz w:val="20"/>
                <w:szCs w:val="20"/>
              </w:rPr>
            </w:pPr>
            <w:r w:rsidRPr="0053555E">
              <w:rPr>
                <w:rFonts w:cs="Calibri"/>
                <w:sz w:val="20"/>
                <w:szCs w:val="20"/>
              </w:rPr>
              <w:t>3. miesto univerzitné MSR v e-šport</w:t>
            </w:r>
            <w:r w:rsidR="00EF54BF">
              <w:rPr>
                <w:rFonts w:cs="Calibri"/>
                <w:sz w:val="20"/>
                <w:szCs w:val="20"/>
              </w:rPr>
              <w:t>och</w:t>
            </w:r>
            <w:r w:rsidRPr="0053555E">
              <w:rPr>
                <w:rFonts w:cs="Calibri"/>
                <w:sz w:val="20"/>
                <w:szCs w:val="20"/>
              </w:rPr>
              <w:t>, RL</w:t>
            </w:r>
            <w:r w:rsidR="00EF54BF">
              <w:rPr>
                <w:rFonts w:cs="Calibri"/>
                <w:sz w:val="20"/>
                <w:szCs w:val="20"/>
              </w:rPr>
              <w:t xml:space="preserve"> (LS)</w:t>
            </w:r>
          </w:p>
        </w:tc>
        <w:tc>
          <w:tcPr>
            <w:tcW w:w="567" w:type="dxa"/>
            <w:tcBorders>
              <w:top w:val="nil"/>
              <w:left w:val="nil"/>
              <w:bottom w:val="single" w:sz="4" w:space="0" w:color="auto"/>
              <w:right w:val="single" w:sz="4" w:space="0" w:color="auto"/>
            </w:tcBorders>
            <w:shd w:val="clear" w:color="auto" w:fill="auto"/>
            <w:vAlign w:val="center"/>
          </w:tcPr>
          <w:p w14:paraId="1DFC0CFE" w14:textId="1744F881" w:rsidR="00444B22" w:rsidRPr="0053555E" w:rsidRDefault="00444B22" w:rsidP="00444B22">
            <w:pPr>
              <w:jc w:val="center"/>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vAlign w:val="center"/>
          </w:tcPr>
          <w:p w14:paraId="698B1F13" w14:textId="2C1AB2AA" w:rsidR="00444B22" w:rsidRPr="0053555E" w:rsidRDefault="00444B22" w:rsidP="00444B22">
            <w:pPr>
              <w:jc w:val="center"/>
              <w:rPr>
                <w:rFonts w:cs="Calibri"/>
                <w:sz w:val="20"/>
                <w:szCs w:val="20"/>
              </w:rPr>
            </w:pPr>
          </w:p>
        </w:tc>
        <w:tc>
          <w:tcPr>
            <w:tcW w:w="569" w:type="dxa"/>
            <w:tcBorders>
              <w:top w:val="nil"/>
              <w:left w:val="nil"/>
              <w:bottom w:val="single" w:sz="4" w:space="0" w:color="auto"/>
              <w:right w:val="single" w:sz="4" w:space="0" w:color="auto"/>
            </w:tcBorders>
            <w:shd w:val="clear" w:color="auto" w:fill="auto"/>
            <w:vAlign w:val="center"/>
          </w:tcPr>
          <w:p w14:paraId="1933FB97" w14:textId="00313714" w:rsidR="00444B22" w:rsidRPr="0053555E" w:rsidRDefault="00EF54BF" w:rsidP="00444B22">
            <w:pPr>
              <w:jc w:val="center"/>
              <w:rPr>
                <w:rFonts w:cs="Calibri"/>
                <w:sz w:val="20"/>
                <w:szCs w:val="20"/>
              </w:rPr>
            </w:pPr>
            <w:r>
              <w:rPr>
                <w:rFonts w:cs="Calibri"/>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7A47819B" w14:textId="62AFDDEB" w:rsidR="00444B22" w:rsidRPr="0053555E" w:rsidRDefault="00444B22" w:rsidP="00444B22">
            <w:pPr>
              <w:jc w:val="center"/>
              <w:rPr>
                <w:rFonts w:cs="Calibr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center"/>
          </w:tcPr>
          <w:p w14:paraId="24440887" w14:textId="203FAF19"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107E833" w14:textId="554702B5"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0763DF79" w14:textId="164DC2E5" w:rsidR="00444B22" w:rsidRPr="0053555E" w:rsidRDefault="00444B22" w:rsidP="00444B22">
            <w:pPr>
              <w:jc w:val="center"/>
              <w:rPr>
                <w:rFonts w:cs="Calibr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D80CA80" w14:textId="3947E5F5" w:rsidR="00444B22" w:rsidRPr="0053555E" w:rsidRDefault="00444B22" w:rsidP="00444B22">
            <w:pPr>
              <w:jc w:val="center"/>
              <w:rPr>
                <w:rFonts w:cs="Calibri"/>
                <w:sz w:val="20"/>
                <w:szCs w:val="20"/>
              </w:rPr>
            </w:pPr>
          </w:p>
        </w:tc>
      </w:tr>
      <w:bookmarkEnd w:id="158"/>
      <w:tr w:rsidR="00444B22" w:rsidRPr="0053555E" w14:paraId="6C0650D2" w14:textId="77777777" w:rsidTr="00CE5B18">
        <w:trPr>
          <w:trHeight w:val="255"/>
        </w:trPr>
        <w:tc>
          <w:tcPr>
            <w:tcW w:w="4275" w:type="dxa"/>
            <w:tcBorders>
              <w:top w:val="single" w:sz="4" w:space="0" w:color="auto"/>
              <w:left w:val="single" w:sz="4" w:space="0" w:color="auto"/>
              <w:bottom w:val="single" w:sz="4" w:space="0" w:color="auto"/>
              <w:right w:val="single" w:sz="4" w:space="0" w:color="auto"/>
            </w:tcBorders>
            <w:shd w:val="clear" w:color="auto" w:fill="EEECE1" w:themeFill="background2"/>
          </w:tcPr>
          <w:p w14:paraId="25431E83" w14:textId="4CA19D91" w:rsidR="00444B22" w:rsidRPr="0053555E" w:rsidRDefault="00444B22" w:rsidP="00444B22">
            <w:pPr>
              <w:jc w:val="right"/>
              <w:rPr>
                <w:rFonts w:asciiTheme="majorHAnsi" w:eastAsia="Times New Roman" w:hAnsiTheme="majorHAnsi" w:cstheme="majorHAnsi"/>
                <w:b/>
                <w:bCs/>
                <w:sz w:val="20"/>
                <w:szCs w:val="20"/>
                <w:lang w:eastAsia="sk-SK"/>
              </w:rPr>
            </w:pPr>
            <w:r w:rsidRPr="0053555E">
              <w:rPr>
                <w:rFonts w:cs="Calibri"/>
                <w:b/>
                <w:bCs/>
                <w:sz w:val="20"/>
                <w:szCs w:val="20"/>
              </w:rPr>
              <w:t>Spolu získaných ocenení</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tcPr>
          <w:p w14:paraId="1AF648EE" w14:textId="36534FB0" w:rsidR="00444B22" w:rsidRPr="0053555E" w:rsidRDefault="00444B22" w:rsidP="00444B22">
            <w:pPr>
              <w:jc w:val="center"/>
              <w:rPr>
                <w:rFonts w:asciiTheme="majorHAnsi" w:eastAsia="Times New Roman" w:hAnsiTheme="majorHAnsi" w:cstheme="majorHAnsi"/>
                <w:b/>
                <w:bCs/>
                <w:sz w:val="20"/>
                <w:szCs w:val="20"/>
                <w:lang w:eastAsia="sk-SK"/>
              </w:rPr>
            </w:pPr>
            <w:r w:rsidRPr="0053555E">
              <w:rPr>
                <w:rFonts w:cs="Calibri"/>
                <w:b/>
                <w:bCs/>
                <w:sz w:val="20"/>
                <w:szCs w:val="20"/>
              </w:rPr>
              <w:t>9</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tcPr>
          <w:p w14:paraId="755894EB" w14:textId="718BC0E4" w:rsidR="00444B22" w:rsidRPr="0053555E" w:rsidRDefault="00D91D46" w:rsidP="00444B22">
            <w:pPr>
              <w:jc w:val="center"/>
              <w:rPr>
                <w:rFonts w:asciiTheme="majorHAnsi" w:eastAsia="Times New Roman" w:hAnsiTheme="majorHAnsi" w:cstheme="majorHAnsi"/>
                <w:b/>
                <w:bCs/>
                <w:sz w:val="20"/>
                <w:szCs w:val="20"/>
                <w:lang w:eastAsia="sk-SK"/>
              </w:rPr>
            </w:pPr>
            <w:r>
              <w:rPr>
                <w:rFonts w:cs="Calibri"/>
                <w:b/>
                <w:bCs/>
                <w:sz w:val="20"/>
                <w:szCs w:val="20"/>
              </w:rPr>
              <w:t>6</w:t>
            </w:r>
          </w:p>
        </w:tc>
        <w:tc>
          <w:tcPr>
            <w:tcW w:w="569" w:type="dxa"/>
            <w:tcBorders>
              <w:top w:val="single" w:sz="4" w:space="0" w:color="auto"/>
              <w:left w:val="nil"/>
              <w:bottom w:val="single" w:sz="4" w:space="0" w:color="auto"/>
              <w:right w:val="single" w:sz="4" w:space="0" w:color="auto"/>
            </w:tcBorders>
            <w:shd w:val="clear" w:color="auto" w:fill="EEECE1" w:themeFill="background2"/>
            <w:vAlign w:val="center"/>
          </w:tcPr>
          <w:p w14:paraId="6255FFFE" w14:textId="0B00636C" w:rsidR="00444B22" w:rsidRPr="0053555E" w:rsidRDefault="00D91D46" w:rsidP="00444B22">
            <w:pPr>
              <w:jc w:val="center"/>
              <w:rPr>
                <w:rFonts w:asciiTheme="majorHAnsi" w:eastAsia="Times New Roman" w:hAnsiTheme="majorHAnsi" w:cstheme="majorHAnsi"/>
                <w:b/>
                <w:bCs/>
                <w:sz w:val="20"/>
                <w:szCs w:val="20"/>
                <w:lang w:eastAsia="sk-SK"/>
              </w:rPr>
            </w:pPr>
            <w:r>
              <w:rPr>
                <w:rFonts w:cs="Calibri"/>
                <w:b/>
                <w:bCs/>
                <w:sz w:val="20"/>
                <w:szCs w:val="20"/>
              </w:rPr>
              <w:t>52</w:t>
            </w:r>
          </w:p>
        </w:tc>
        <w:tc>
          <w:tcPr>
            <w:tcW w:w="709" w:type="dxa"/>
            <w:tcBorders>
              <w:top w:val="single" w:sz="4" w:space="0" w:color="auto"/>
              <w:left w:val="nil"/>
              <w:bottom w:val="single" w:sz="4" w:space="0" w:color="auto"/>
              <w:right w:val="single" w:sz="4" w:space="0" w:color="auto"/>
            </w:tcBorders>
            <w:shd w:val="clear" w:color="auto" w:fill="EEECE1" w:themeFill="background2"/>
            <w:vAlign w:val="center"/>
          </w:tcPr>
          <w:p w14:paraId="184AA099" w14:textId="73EDDEE7" w:rsidR="00444B22" w:rsidRPr="0053555E" w:rsidRDefault="00444B22" w:rsidP="00444B22">
            <w:pPr>
              <w:jc w:val="center"/>
              <w:rPr>
                <w:rFonts w:asciiTheme="majorHAnsi" w:eastAsia="Times New Roman" w:hAnsiTheme="majorHAnsi" w:cstheme="majorHAnsi"/>
                <w:b/>
                <w:bCs/>
                <w:sz w:val="20"/>
                <w:szCs w:val="20"/>
                <w:lang w:eastAsia="sk-SK"/>
              </w:rPr>
            </w:pPr>
            <w:r w:rsidRPr="0053555E">
              <w:rPr>
                <w:rFonts w:cs="Calibri"/>
                <w:b/>
                <w:bCs/>
                <w:sz w:val="20"/>
                <w:szCs w:val="20"/>
              </w:rPr>
              <w:t>42</w:t>
            </w:r>
          </w:p>
        </w:tc>
        <w:tc>
          <w:tcPr>
            <w:tcW w:w="638" w:type="dxa"/>
            <w:tcBorders>
              <w:top w:val="single" w:sz="4" w:space="0" w:color="auto"/>
              <w:left w:val="nil"/>
              <w:bottom w:val="single" w:sz="4" w:space="0" w:color="auto"/>
              <w:right w:val="single" w:sz="4" w:space="0" w:color="auto"/>
            </w:tcBorders>
            <w:shd w:val="clear" w:color="auto" w:fill="EEECE1" w:themeFill="background2"/>
            <w:vAlign w:val="center"/>
          </w:tcPr>
          <w:p w14:paraId="01FFC196" w14:textId="52839F1C" w:rsidR="00444B22" w:rsidRPr="0053555E" w:rsidRDefault="00444B22" w:rsidP="00444B22">
            <w:pPr>
              <w:jc w:val="center"/>
              <w:rPr>
                <w:rFonts w:asciiTheme="majorHAnsi" w:eastAsia="Times New Roman" w:hAnsiTheme="majorHAnsi" w:cstheme="majorHAnsi"/>
                <w:b/>
                <w:bCs/>
                <w:sz w:val="20"/>
                <w:szCs w:val="20"/>
                <w:lang w:eastAsia="sk-SK"/>
              </w:rPr>
            </w:pPr>
            <w:r w:rsidRPr="0053555E">
              <w:rPr>
                <w:rFonts w:cs="Calibri"/>
                <w:b/>
                <w:bCs/>
                <w:sz w:val="20"/>
                <w:szCs w:val="20"/>
              </w:rPr>
              <w:t>12</w:t>
            </w:r>
          </w:p>
        </w:tc>
        <w:tc>
          <w:tcPr>
            <w:tcW w:w="638" w:type="dxa"/>
            <w:tcBorders>
              <w:top w:val="single" w:sz="4" w:space="0" w:color="auto"/>
              <w:left w:val="nil"/>
              <w:bottom w:val="single" w:sz="4" w:space="0" w:color="auto"/>
              <w:right w:val="single" w:sz="4" w:space="0" w:color="auto"/>
            </w:tcBorders>
            <w:shd w:val="clear" w:color="auto" w:fill="EEECE1" w:themeFill="background2"/>
            <w:vAlign w:val="center"/>
          </w:tcPr>
          <w:p w14:paraId="4BB24D37" w14:textId="106804C1" w:rsidR="00444B22" w:rsidRPr="0053555E" w:rsidRDefault="00444B22" w:rsidP="00444B22">
            <w:pPr>
              <w:jc w:val="center"/>
              <w:rPr>
                <w:rFonts w:asciiTheme="majorHAnsi" w:eastAsia="Times New Roman" w:hAnsiTheme="majorHAnsi" w:cstheme="majorHAnsi"/>
                <w:b/>
                <w:bCs/>
                <w:sz w:val="20"/>
                <w:szCs w:val="20"/>
                <w:lang w:eastAsia="sk-SK"/>
              </w:rPr>
            </w:pPr>
            <w:r w:rsidRPr="0053555E">
              <w:rPr>
                <w:rFonts w:cs="Calibri"/>
                <w:b/>
                <w:bCs/>
                <w:sz w:val="20"/>
                <w:szCs w:val="20"/>
              </w:rPr>
              <w:t>19</w:t>
            </w:r>
          </w:p>
        </w:tc>
        <w:tc>
          <w:tcPr>
            <w:tcW w:w="638" w:type="dxa"/>
            <w:tcBorders>
              <w:top w:val="single" w:sz="4" w:space="0" w:color="auto"/>
              <w:left w:val="nil"/>
              <w:bottom w:val="single" w:sz="4" w:space="0" w:color="auto"/>
              <w:right w:val="single" w:sz="4" w:space="0" w:color="auto"/>
            </w:tcBorders>
            <w:shd w:val="clear" w:color="auto" w:fill="EEECE1" w:themeFill="background2"/>
            <w:vAlign w:val="center"/>
          </w:tcPr>
          <w:p w14:paraId="124919E4" w14:textId="18E97677" w:rsidR="00444B22" w:rsidRPr="0053555E" w:rsidRDefault="00997E3B" w:rsidP="00444B22">
            <w:pPr>
              <w:jc w:val="center"/>
              <w:rPr>
                <w:rFonts w:asciiTheme="majorHAnsi" w:eastAsia="Times New Roman" w:hAnsiTheme="majorHAnsi" w:cstheme="majorHAnsi"/>
                <w:b/>
                <w:bCs/>
                <w:sz w:val="20"/>
                <w:szCs w:val="20"/>
                <w:lang w:eastAsia="sk-SK"/>
              </w:rPr>
            </w:pPr>
            <w:r>
              <w:rPr>
                <w:rFonts w:cs="Calibri"/>
                <w:b/>
                <w:bCs/>
                <w:sz w:val="20"/>
                <w:szCs w:val="20"/>
              </w:rPr>
              <w:t>11</w:t>
            </w:r>
          </w:p>
        </w:tc>
        <w:tc>
          <w:tcPr>
            <w:tcW w:w="638" w:type="dxa"/>
            <w:tcBorders>
              <w:top w:val="single" w:sz="4" w:space="0" w:color="auto"/>
              <w:left w:val="nil"/>
              <w:bottom w:val="single" w:sz="4" w:space="0" w:color="auto"/>
              <w:right w:val="single" w:sz="4" w:space="0" w:color="auto"/>
            </w:tcBorders>
            <w:shd w:val="clear" w:color="auto" w:fill="EEECE1" w:themeFill="background2"/>
            <w:vAlign w:val="center"/>
          </w:tcPr>
          <w:p w14:paraId="19730151" w14:textId="0BC3457F" w:rsidR="00444B22" w:rsidRPr="0053555E" w:rsidRDefault="00444B22" w:rsidP="00444B22">
            <w:pPr>
              <w:jc w:val="center"/>
              <w:rPr>
                <w:rFonts w:asciiTheme="majorHAnsi" w:eastAsia="Times New Roman" w:hAnsiTheme="majorHAnsi" w:cstheme="majorHAnsi"/>
                <w:b/>
                <w:bCs/>
                <w:sz w:val="20"/>
                <w:szCs w:val="20"/>
                <w:lang w:eastAsia="sk-SK"/>
              </w:rPr>
            </w:pPr>
            <w:r w:rsidRPr="0053555E">
              <w:rPr>
                <w:rFonts w:cs="Calibri"/>
                <w:b/>
                <w:bCs/>
                <w:sz w:val="20"/>
                <w:szCs w:val="20"/>
              </w:rPr>
              <w:t>1</w:t>
            </w:r>
          </w:p>
        </w:tc>
      </w:tr>
    </w:tbl>
    <w:p w14:paraId="495784AB" w14:textId="77777777" w:rsidR="009A7874" w:rsidRPr="0053555E" w:rsidRDefault="009A7874" w:rsidP="00324438">
      <w:pPr>
        <w:rPr>
          <w:rFonts w:asciiTheme="majorHAnsi" w:hAnsiTheme="majorHAnsi" w:cstheme="majorHAnsi"/>
        </w:rPr>
      </w:pPr>
    </w:p>
    <w:p w14:paraId="3D89820B" w14:textId="2BC68919" w:rsidR="00A05794" w:rsidRPr="0053555E" w:rsidRDefault="00A05794" w:rsidP="000E3322">
      <w:pPr>
        <w:pStyle w:val="Popis"/>
      </w:pPr>
      <w:bookmarkStart w:id="159" w:name="_Ref31718589"/>
      <w:bookmarkStart w:id="160" w:name="_Ref506811522"/>
      <w:bookmarkStart w:id="161" w:name="_Toc127593298"/>
      <w:r w:rsidRPr="0053555E">
        <w:t xml:space="preserve">Tab. č. </w:t>
      </w:r>
      <w:r w:rsidR="007B5953">
        <w:fldChar w:fldCharType="begin"/>
      </w:r>
      <w:r w:rsidR="007B5953">
        <w:instrText xml:space="preserve"> SEQ Tab._č. \* ARABIC </w:instrText>
      </w:r>
      <w:r w:rsidR="007B5953">
        <w:fldChar w:fldCharType="separate"/>
      </w:r>
      <w:r w:rsidR="00EE1B59">
        <w:rPr>
          <w:noProof/>
        </w:rPr>
        <w:t>35</w:t>
      </w:r>
      <w:r w:rsidR="007B5953">
        <w:rPr>
          <w:noProof/>
        </w:rPr>
        <w:fldChar w:fldCharType="end"/>
      </w:r>
      <w:bookmarkEnd w:id="159"/>
      <w:r w:rsidRPr="0053555E">
        <w:t>: Ocenenia študentov jednotlivcov alebo kolektívov dosiahnuté mimo univerzity na medzinárodnej úrovni</w:t>
      </w:r>
      <w:bookmarkEnd w:id="160"/>
      <w:bookmarkEnd w:id="161"/>
    </w:p>
    <w:tbl>
      <w:tblPr>
        <w:tblW w:w="9219" w:type="dxa"/>
        <w:tblInd w:w="-10" w:type="dxa"/>
        <w:tblLayout w:type="fixed"/>
        <w:tblCellMar>
          <w:left w:w="70" w:type="dxa"/>
          <w:right w:w="70" w:type="dxa"/>
        </w:tblCellMar>
        <w:tblLook w:val="04A0" w:firstRow="1" w:lastRow="0" w:firstColumn="1" w:lastColumn="0" w:noHBand="0" w:noVBand="1"/>
      </w:tblPr>
      <w:tblGrid>
        <w:gridCol w:w="4258"/>
        <w:gridCol w:w="567"/>
        <w:gridCol w:w="567"/>
        <w:gridCol w:w="567"/>
        <w:gridCol w:w="708"/>
        <w:gridCol w:w="638"/>
        <w:gridCol w:w="638"/>
        <w:gridCol w:w="638"/>
        <w:gridCol w:w="638"/>
      </w:tblGrid>
      <w:tr w:rsidR="00A05794" w:rsidRPr="0053555E" w14:paraId="3B331462"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EEECE1" w:themeFill="background2"/>
          </w:tcPr>
          <w:p w14:paraId="5F4EA561" w14:textId="77777777" w:rsidR="00A05794" w:rsidRPr="0053555E" w:rsidRDefault="00A05794" w:rsidP="00324438">
            <w:pPr>
              <w:rPr>
                <w:rFonts w:asciiTheme="majorHAnsi" w:hAnsiTheme="majorHAnsi" w:cstheme="majorHAnsi"/>
                <w:b/>
                <w:bCs/>
                <w:sz w:val="18"/>
                <w:szCs w:val="18"/>
              </w:rPr>
            </w:pPr>
            <w:r w:rsidRPr="0053555E">
              <w:rPr>
                <w:rFonts w:asciiTheme="majorHAnsi" w:eastAsia="Times New Roman" w:hAnsiTheme="majorHAnsi" w:cstheme="majorHAnsi"/>
                <w:b/>
                <w:bCs/>
                <w:sz w:val="20"/>
                <w:szCs w:val="18"/>
                <w:lang w:eastAsia="sk-SK"/>
              </w:rPr>
              <w:t>Ocenenia dosiahnuté v zahraničí</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tcPr>
          <w:p w14:paraId="672B5BB8" w14:textId="77777777" w:rsidR="00A05794" w:rsidRPr="0053555E" w:rsidRDefault="00A05794" w:rsidP="00324438">
            <w:pPr>
              <w:jc w:val="center"/>
              <w:rPr>
                <w:rFonts w:asciiTheme="majorHAnsi" w:hAnsiTheme="majorHAnsi" w:cstheme="majorHAnsi"/>
                <w:b/>
                <w:bCs/>
                <w:sz w:val="18"/>
                <w:szCs w:val="18"/>
              </w:rPr>
            </w:pPr>
            <w:r w:rsidRPr="0053555E">
              <w:rPr>
                <w:rFonts w:asciiTheme="majorHAnsi" w:eastAsia="Times New Roman" w:hAnsiTheme="majorHAnsi" w:cstheme="majorHAnsi"/>
                <w:b/>
                <w:bCs/>
                <w:sz w:val="20"/>
                <w:szCs w:val="18"/>
                <w:lang w:eastAsia="sk-SK"/>
              </w:rPr>
              <w:t>SvF</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tcPr>
          <w:p w14:paraId="056A87C0" w14:textId="77777777" w:rsidR="00A05794" w:rsidRPr="0053555E" w:rsidRDefault="00A05794" w:rsidP="00324438">
            <w:pPr>
              <w:jc w:val="center"/>
              <w:rPr>
                <w:rFonts w:asciiTheme="majorHAnsi" w:hAnsiTheme="majorHAnsi" w:cstheme="majorHAnsi"/>
                <w:b/>
                <w:bCs/>
                <w:sz w:val="18"/>
                <w:szCs w:val="18"/>
              </w:rPr>
            </w:pPr>
            <w:r w:rsidRPr="0053555E">
              <w:rPr>
                <w:rFonts w:asciiTheme="majorHAnsi" w:eastAsia="Times New Roman" w:hAnsiTheme="majorHAnsi" w:cstheme="majorHAnsi"/>
                <w:b/>
                <w:bCs/>
                <w:sz w:val="20"/>
                <w:szCs w:val="18"/>
                <w:lang w:eastAsia="sk-SK"/>
              </w:rPr>
              <w:t>SjF</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tcPr>
          <w:p w14:paraId="62E6856C" w14:textId="77777777" w:rsidR="00A05794" w:rsidRPr="0053555E" w:rsidRDefault="00A05794" w:rsidP="00324438">
            <w:pPr>
              <w:jc w:val="center"/>
              <w:rPr>
                <w:rFonts w:asciiTheme="majorHAnsi" w:hAnsiTheme="majorHAnsi" w:cstheme="majorHAnsi"/>
                <w:b/>
                <w:bCs/>
                <w:sz w:val="18"/>
                <w:szCs w:val="18"/>
              </w:rPr>
            </w:pPr>
            <w:r w:rsidRPr="0053555E">
              <w:rPr>
                <w:rFonts w:asciiTheme="majorHAnsi" w:eastAsia="Times New Roman" w:hAnsiTheme="majorHAnsi" w:cstheme="majorHAnsi"/>
                <w:b/>
                <w:bCs/>
                <w:sz w:val="20"/>
                <w:szCs w:val="18"/>
                <w:lang w:eastAsia="sk-SK"/>
              </w:rPr>
              <w:t>FEI</w:t>
            </w:r>
          </w:p>
        </w:tc>
        <w:tc>
          <w:tcPr>
            <w:tcW w:w="708" w:type="dxa"/>
            <w:tcBorders>
              <w:top w:val="single" w:sz="4" w:space="0" w:color="auto"/>
              <w:left w:val="nil"/>
              <w:bottom w:val="single" w:sz="4" w:space="0" w:color="auto"/>
              <w:right w:val="single" w:sz="4" w:space="0" w:color="auto"/>
            </w:tcBorders>
            <w:shd w:val="clear" w:color="auto" w:fill="EEECE1" w:themeFill="background2"/>
            <w:vAlign w:val="center"/>
          </w:tcPr>
          <w:p w14:paraId="409974AC" w14:textId="77777777" w:rsidR="00A05794" w:rsidRPr="0053555E" w:rsidRDefault="00A05794" w:rsidP="00324438">
            <w:pPr>
              <w:jc w:val="center"/>
              <w:rPr>
                <w:rFonts w:asciiTheme="majorHAnsi" w:hAnsiTheme="majorHAnsi" w:cstheme="majorHAnsi"/>
                <w:b/>
                <w:bCs/>
                <w:sz w:val="18"/>
                <w:szCs w:val="18"/>
              </w:rPr>
            </w:pPr>
            <w:r w:rsidRPr="0053555E">
              <w:rPr>
                <w:rFonts w:asciiTheme="majorHAnsi" w:eastAsia="Times New Roman" w:hAnsiTheme="majorHAnsi" w:cstheme="majorHAnsi"/>
                <w:b/>
                <w:bCs/>
                <w:sz w:val="20"/>
                <w:szCs w:val="18"/>
                <w:lang w:eastAsia="sk-SK"/>
              </w:rPr>
              <w:t>FCHPT</w:t>
            </w:r>
          </w:p>
        </w:tc>
        <w:tc>
          <w:tcPr>
            <w:tcW w:w="638" w:type="dxa"/>
            <w:tcBorders>
              <w:top w:val="single" w:sz="4" w:space="0" w:color="auto"/>
              <w:left w:val="nil"/>
              <w:bottom w:val="single" w:sz="4" w:space="0" w:color="auto"/>
              <w:right w:val="single" w:sz="4" w:space="0" w:color="auto"/>
            </w:tcBorders>
            <w:shd w:val="clear" w:color="auto" w:fill="EEECE1" w:themeFill="background2"/>
            <w:vAlign w:val="center"/>
          </w:tcPr>
          <w:p w14:paraId="5A1DCEAA" w14:textId="77777777" w:rsidR="00A05794" w:rsidRPr="0053555E" w:rsidRDefault="00A05794" w:rsidP="00324438">
            <w:pPr>
              <w:jc w:val="center"/>
              <w:rPr>
                <w:rFonts w:asciiTheme="majorHAnsi" w:hAnsiTheme="majorHAnsi" w:cstheme="majorHAnsi"/>
                <w:b/>
                <w:bCs/>
                <w:sz w:val="18"/>
                <w:szCs w:val="18"/>
              </w:rPr>
            </w:pPr>
            <w:r w:rsidRPr="0053555E">
              <w:rPr>
                <w:rFonts w:asciiTheme="majorHAnsi" w:eastAsia="Times New Roman" w:hAnsiTheme="majorHAnsi" w:cstheme="majorHAnsi"/>
                <w:b/>
                <w:bCs/>
                <w:sz w:val="20"/>
                <w:szCs w:val="18"/>
                <w:lang w:eastAsia="sk-SK"/>
              </w:rPr>
              <w:t>FAD</w:t>
            </w:r>
          </w:p>
        </w:tc>
        <w:tc>
          <w:tcPr>
            <w:tcW w:w="638" w:type="dxa"/>
            <w:tcBorders>
              <w:top w:val="single" w:sz="4" w:space="0" w:color="auto"/>
              <w:left w:val="nil"/>
              <w:bottom w:val="single" w:sz="4" w:space="0" w:color="auto"/>
              <w:right w:val="single" w:sz="4" w:space="0" w:color="auto"/>
            </w:tcBorders>
            <w:shd w:val="clear" w:color="auto" w:fill="EEECE1" w:themeFill="background2"/>
            <w:vAlign w:val="center"/>
          </w:tcPr>
          <w:p w14:paraId="448E23FA" w14:textId="77777777" w:rsidR="00A05794" w:rsidRPr="0053555E" w:rsidRDefault="00A05794" w:rsidP="00324438">
            <w:pPr>
              <w:jc w:val="center"/>
              <w:rPr>
                <w:rFonts w:asciiTheme="majorHAnsi" w:hAnsiTheme="majorHAnsi" w:cstheme="majorHAnsi"/>
                <w:b/>
                <w:bCs/>
                <w:sz w:val="18"/>
                <w:szCs w:val="18"/>
              </w:rPr>
            </w:pPr>
            <w:r w:rsidRPr="0053555E">
              <w:rPr>
                <w:rFonts w:asciiTheme="majorHAnsi" w:eastAsia="Times New Roman" w:hAnsiTheme="majorHAnsi" w:cstheme="majorHAnsi"/>
                <w:b/>
                <w:bCs/>
                <w:sz w:val="20"/>
                <w:szCs w:val="18"/>
                <w:lang w:eastAsia="sk-SK"/>
              </w:rPr>
              <w:t>MTF</w:t>
            </w:r>
          </w:p>
        </w:tc>
        <w:tc>
          <w:tcPr>
            <w:tcW w:w="638" w:type="dxa"/>
            <w:tcBorders>
              <w:top w:val="single" w:sz="4" w:space="0" w:color="auto"/>
              <w:left w:val="nil"/>
              <w:bottom w:val="single" w:sz="4" w:space="0" w:color="auto"/>
              <w:right w:val="single" w:sz="4" w:space="0" w:color="auto"/>
            </w:tcBorders>
            <w:shd w:val="clear" w:color="auto" w:fill="EEECE1" w:themeFill="background2"/>
            <w:vAlign w:val="center"/>
          </w:tcPr>
          <w:p w14:paraId="1C070DF5" w14:textId="77777777" w:rsidR="00A05794" w:rsidRPr="0053555E" w:rsidRDefault="00A05794" w:rsidP="00324438">
            <w:pPr>
              <w:jc w:val="center"/>
              <w:rPr>
                <w:rFonts w:asciiTheme="majorHAnsi" w:hAnsiTheme="majorHAnsi" w:cstheme="majorHAnsi"/>
                <w:b/>
                <w:bCs/>
                <w:sz w:val="18"/>
                <w:szCs w:val="18"/>
              </w:rPr>
            </w:pPr>
            <w:r w:rsidRPr="0053555E">
              <w:rPr>
                <w:rFonts w:asciiTheme="majorHAnsi" w:eastAsia="Times New Roman" w:hAnsiTheme="majorHAnsi" w:cstheme="majorHAnsi"/>
                <w:b/>
                <w:bCs/>
                <w:sz w:val="20"/>
                <w:szCs w:val="18"/>
                <w:lang w:eastAsia="sk-SK"/>
              </w:rPr>
              <w:t>FIIT</w:t>
            </w:r>
          </w:p>
        </w:tc>
        <w:tc>
          <w:tcPr>
            <w:tcW w:w="638" w:type="dxa"/>
            <w:tcBorders>
              <w:top w:val="single" w:sz="4" w:space="0" w:color="auto"/>
              <w:left w:val="nil"/>
              <w:bottom w:val="single" w:sz="4" w:space="0" w:color="auto"/>
              <w:right w:val="single" w:sz="4" w:space="0" w:color="auto"/>
            </w:tcBorders>
            <w:shd w:val="clear" w:color="auto" w:fill="EEECE1" w:themeFill="background2"/>
            <w:vAlign w:val="center"/>
          </w:tcPr>
          <w:p w14:paraId="55AF2534" w14:textId="77777777" w:rsidR="00A05794" w:rsidRPr="0053555E" w:rsidRDefault="00A05794" w:rsidP="00324438">
            <w:pPr>
              <w:jc w:val="center"/>
              <w:rPr>
                <w:rFonts w:asciiTheme="majorHAnsi" w:hAnsiTheme="majorHAnsi" w:cstheme="majorHAnsi"/>
                <w:b/>
                <w:bCs/>
                <w:sz w:val="18"/>
                <w:szCs w:val="18"/>
              </w:rPr>
            </w:pPr>
            <w:r w:rsidRPr="0053555E">
              <w:rPr>
                <w:rFonts w:asciiTheme="majorHAnsi" w:eastAsia="Times New Roman" w:hAnsiTheme="majorHAnsi" w:cstheme="majorHAnsi"/>
                <w:b/>
                <w:bCs/>
                <w:sz w:val="20"/>
                <w:szCs w:val="18"/>
                <w:lang w:eastAsia="sk-SK"/>
              </w:rPr>
              <w:t>ÚM</w:t>
            </w:r>
          </w:p>
        </w:tc>
      </w:tr>
      <w:tr w:rsidR="004A05EF" w:rsidRPr="0053555E" w14:paraId="74A38A6D"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auto"/>
            <w:vAlign w:val="center"/>
          </w:tcPr>
          <w:p w14:paraId="31A1BAEF" w14:textId="55610760" w:rsidR="004A05EF" w:rsidRPr="0053555E" w:rsidRDefault="004A05EF" w:rsidP="004A05EF">
            <w:pPr>
              <w:rPr>
                <w:rFonts w:asciiTheme="majorHAnsi" w:hAnsiTheme="majorHAnsi" w:cstheme="majorHAnsi"/>
                <w:b/>
                <w:bCs/>
                <w:sz w:val="20"/>
                <w:szCs w:val="20"/>
              </w:rPr>
            </w:pPr>
            <w:r w:rsidRPr="0053555E">
              <w:rPr>
                <w:rFonts w:cs="Calibri"/>
                <w:sz w:val="20"/>
                <w:szCs w:val="20"/>
              </w:rPr>
              <w:t>Cena Karla Štulíka (analytická chémia), Praha</w:t>
            </w:r>
          </w:p>
        </w:tc>
        <w:tc>
          <w:tcPr>
            <w:tcW w:w="567" w:type="dxa"/>
            <w:tcBorders>
              <w:top w:val="single" w:sz="4" w:space="0" w:color="auto"/>
              <w:left w:val="nil"/>
              <w:bottom w:val="single" w:sz="4" w:space="0" w:color="auto"/>
              <w:right w:val="single" w:sz="4" w:space="0" w:color="auto"/>
            </w:tcBorders>
            <w:shd w:val="clear" w:color="auto" w:fill="auto"/>
            <w:vAlign w:val="center"/>
          </w:tcPr>
          <w:p w14:paraId="248D39AB" w14:textId="0FAA5A85"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8EA1C9A" w14:textId="1FB2210B"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85824BA" w14:textId="212B92F9" w:rsidR="004A05EF" w:rsidRPr="0053555E" w:rsidRDefault="004A05EF" w:rsidP="004A05EF">
            <w:pPr>
              <w:jc w:val="center"/>
              <w:rPr>
                <w:rFonts w:asciiTheme="majorHAnsi" w:hAnsiTheme="majorHAnsi" w:cstheme="majorHAnsi"/>
                <w:b/>
                <w:bCs/>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5885B2CF" w14:textId="3E59DFDA" w:rsidR="004A05EF" w:rsidRPr="0053555E" w:rsidRDefault="004A05EF" w:rsidP="004A05EF">
            <w:pPr>
              <w:jc w:val="center"/>
              <w:rPr>
                <w:rFonts w:asciiTheme="majorHAnsi" w:hAnsiTheme="majorHAnsi" w:cstheme="majorHAnsi"/>
                <w:b/>
                <w:bCs/>
                <w:sz w:val="20"/>
                <w:szCs w:val="20"/>
              </w:rPr>
            </w:pPr>
            <w:r w:rsidRPr="0053555E">
              <w:rPr>
                <w:rFonts w:cs="Calibri"/>
                <w:sz w:val="20"/>
                <w:szCs w:val="20"/>
              </w:rPr>
              <w:t>1</w:t>
            </w:r>
          </w:p>
        </w:tc>
        <w:tc>
          <w:tcPr>
            <w:tcW w:w="638" w:type="dxa"/>
            <w:tcBorders>
              <w:top w:val="single" w:sz="4" w:space="0" w:color="auto"/>
              <w:left w:val="nil"/>
              <w:bottom w:val="single" w:sz="4" w:space="0" w:color="auto"/>
              <w:right w:val="single" w:sz="4" w:space="0" w:color="auto"/>
            </w:tcBorders>
            <w:shd w:val="clear" w:color="auto" w:fill="auto"/>
            <w:vAlign w:val="center"/>
          </w:tcPr>
          <w:p w14:paraId="1C2994BB" w14:textId="06E66A41"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023B8222" w14:textId="1F378F0F"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3FFC0EAB" w14:textId="688B5572"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43CB986E" w14:textId="5F129FDA" w:rsidR="004A05EF" w:rsidRPr="0053555E" w:rsidRDefault="004A05EF" w:rsidP="004A05EF">
            <w:pPr>
              <w:jc w:val="center"/>
              <w:rPr>
                <w:rFonts w:asciiTheme="majorHAnsi" w:hAnsiTheme="majorHAnsi" w:cstheme="majorHAnsi"/>
                <w:b/>
                <w:bCs/>
                <w:sz w:val="20"/>
                <w:szCs w:val="20"/>
              </w:rPr>
            </w:pPr>
          </w:p>
        </w:tc>
      </w:tr>
      <w:tr w:rsidR="004A05EF" w:rsidRPr="0053555E" w14:paraId="64604B70"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auto"/>
            <w:vAlign w:val="bottom"/>
          </w:tcPr>
          <w:p w14:paraId="410268F7" w14:textId="3DB9C8B9" w:rsidR="004A05EF" w:rsidRPr="0053555E" w:rsidRDefault="004A05EF" w:rsidP="004A05EF">
            <w:pPr>
              <w:rPr>
                <w:rFonts w:asciiTheme="majorHAnsi" w:hAnsiTheme="majorHAnsi" w:cstheme="majorHAnsi"/>
                <w:b/>
                <w:bCs/>
                <w:sz w:val="20"/>
                <w:szCs w:val="20"/>
              </w:rPr>
            </w:pPr>
            <w:r w:rsidRPr="0053555E">
              <w:rPr>
                <w:rFonts w:cs="Calibri"/>
                <w:sz w:val="20"/>
                <w:szCs w:val="20"/>
              </w:rPr>
              <w:t>Strieborná medaila vydavateľstva Ziggurat Publishing, Londýn</w:t>
            </w:r>
          </w:p>
        </w:tc>
        <w:tc>
          <w:tcPr>
            <w:tcW w:w="567" w:type="dxa"/>
            <w:tcBorders>
              <w:top w:val="single" w:sz="4" w:space="0" w:color="auto"/>
              <w:left w:val="nil"/>
              <w:bottom w:val="single" w:sz="4" w:space="0" w:color="auto"/>
              <w:right w:val="single" w:sz="4" w:space="0" w:color="auto"/>
            </w:tcBorders>
            <w:shd w:val="clear" w:color="auto" w:fill="auto"/>
            <w:vAlign w:val="center"/>
          </w:tcPr>
          <w:p w14:paraId="14819ED4" w14:textId="5BE35EE9"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BB6EF5A" w14:textId="088B1CFA"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4091C59" w14:textId="155F6AA6" w:rsidR="004A05EF" w:rsidRPr="0053555E" w:rsidRDefault="004A05EF" w:rsidP="004A05EF">
            <w:pPr>
              <w:jc w:val="center"/>
              <w:rPr>
                <w:rFonts w:asciiTheme="majorHAnsi" w:hAnsiTheme="majorHAnsi" w:cstheme="majorHAnsi"/>
                <w:b/>
                <w:bCs/>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2C915534" w14:textId="7CED0436"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5E7E81AF" w14:textId="5086F7E2"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3641EF97" w14:textId="3177E900"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1A91459B" w14:textId="4651CB5E"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5228054D" w14:textId="4459DBCB" w:rsidR="004A05EF" w:rsidRPr="0053555E" w:rsidRDefault="004A05EF" w:rsidP="004A05EF">
            <w:pPr>
              <w:jc w:val="center"/>
              <w:rPr>
                <w:rFonts w:asciiTheme="majorHAnsi" w:hAnsiTheme="majorHAnsi" w:cstheme="majorHAnsi"/>
                <w:b/>
                <w:bCs/>
                <w:sz w:val="20"/>
                <w:szCs w:val="20"/>
              </w:rPr>
            </w:pPr>
          </w:p>
        </w:tc>
      </w:tr>
      <w:tr w:rsidR="004A05EF" w:rsidRPr="0053555E" w14:paraId="244D6401"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auto"/>
            <w:vAlign w:val="bottom"/>
          </w:tcPr>
          <w:p w14:paraId="5D3AFA2D" w14:textId="1C24E343" w:rsidR="004A05EF" w:rsidRPr="0053555E" w:rsidRDefault="004A05EF" w:rsidP="004A05EF">
            <w:pPr>
              <w:rPr>
                <w:rFonts w:asciiTheme="majorHAnsi" w:hAnsiTheme="majorHAnsi" w:cstheme="majorHAnsi"/>
                <w:b/>
                <w:bCs/>
                <w:sz w:val="20"/>
                <w:szCs w:val="20"/>
              </w:rPr>
            </w:pPr>
            <w:r w:rsidRPr="0053555E">
              <w:rPr>
                <w:rFonts w:cs="Calibri"/>
                <w:sz w:val="20"/>
                <w:szCs w:val="20"/>
              </w:rPr>
              <w:t>Študentská súťaž Iceland Lake Myvath Community House</w:t>
            </w:r>
          </w:p>
        </w:tc>
        <w:tc>
          <w:tcPr>
            <w:tcW w:w="567" w:type="dxa"/>
            <w:tcBorders>
              <w:top w:val="single" w:sz="4" w:space="0" w:color="auto"/>
              <w:left w:val="nil"/>
              <w:bottom w:val="single" w:sz="4" w:space="0" w:color="auto"/>
              <w:right w:val="single" w:sz="4" w:space="0" w:color="auto"/>
            </w:tcBorders>
            <w:shd w:val="clear" w:color="auto" w:fill="auto"/>
            <w:vAlign w:val="center"/>
          </w:tcPr>
          <w:p w14:paraId="3A9C7F2B" w14:textId="68F55267"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0C760E6" w14:textId="3A5EFBF9"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BDD2DF3" w14:textId="3CBD0469" w:rsidR="004A05EF" w:rsidRPr="0053555E" w:rsidRDefault="004A05EF" w:rsidP="004A05EF">
            <w:pPr>
              <w:jc w:val="center"/>
              <w:rPr>
                <w:rFonts w:asciiTheme="majorHAnsi" w:hAnsiTheme="majorHAnsi" w:cstheme="majorHAnsi"/>
                <w:b/>
                <w:bCs/>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0F388751" w14:textId="2BC77A4A"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06ABDF35" w14:textId="5F0BCA5C" w:rsidR="004A05EF" w:rsidRPr="0053555E" w:rsidRDefault="004A05EF" w:rsidP="004A05EF">
            <w:pPr>
              <w:jc w:val="center"/>
              <w:rPr>
                <w:rFonts w:asciiTheme="majorHAnsi" w:hAnsiTheme="majorHAnsi" w:cstheme="majorHAnsi"/>
                <w:b/>
                <w:bCs/>
                <w:sz w:val="20"/>
                <w:szCs w:val="20"/>
              </w:rPr>
            </w:pPr>
            <w:r w:rsidRPr="0053555E">
              <w:rPr>
                <w:rFonts w:cs="Calibri"/>
                <w:sz w:val="20"/>
                <w:szCs w:val="20"/>
              </w:rPr>
              <w:t>1</w:t>
            </w:r>
          </w:p>
        </w:tc>
        <w:tc>
          <w:tcPr>
            <w:tcW w:w="638" w:type="dxa"/>
            <w:tcBorders>
              <w:top w:val="single" w:sz="4" w:space="0" w:color="auto"/>
              <w:left w:val="nil"/>
              <w:bottom w:val="single" w:sz="4" w:space="0" w:color="auto"/>
              <w:right w:val="single" w:sz="4" w:space="0" w:color="auto"/>
            </w:tcBorders>
            <w:shd w:val="clear" w:color="auto" w:fill="auto"/>
            <w:vAlign w:val="center"/>
          </w:tcPr>
          <w:p w14:paraId="0A9EB140" w14:textId="60326177"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0502922F" w14:textId="041C541A"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4EAED5D0" w14:textId="4AF3C012" w:rsidR="004A05EF" w:rsidRPr="0053555E" w:rsidRDefault="004A05EF" w:rsidP="004A05EF">
            <w:pPr>
              <w:jc w:val="center"/>
              <w:rPr>
                <w:rFonts w:asciiTheme="majorHAnsi" w:hAnsiTheme="majorHAnsi" w:cstheme="majorHAnsi"/>
                <w:b/>
                <w:bCs/>
                <w:sz w:val="20"/>
                <w:szCs w:val="20"/>
              </w:rPr>
            </w:pPr>
          </w:p>
        </w:tc>
      </w:tr>
      <w:tr w:rsidR="004A05EF" w:rsidRPr="0053555E" w14:paraId="4052EFE3"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auto"/>
          </w:tcPr>
          <w:p w14:paraId="4802533A" w14:textId="527F5A89" w:rsidR="004A05EF" w:rsidRPr="0053555E" w:rsidRDefault="004A05EF" w:rsidP="004A05EF">
            <w:pPr>
              <w:rPr>
                <w:rFonts w:asciiTheme="majorHAnsi" w:hAnsiTheme="majorHAnsi" w:cstheme="majorHAnsi"/>
                <w:b/>
                <w:bCs/>
                <w:sz w:val="20"/>
                <w:szCs w:val="20"/>
              </w:rPr>
            </w:pPr>
            <w:r w:rsidRPr="0053555E">
              <w:rPr>
                <w:rFonts w:cs="Calibri"/>
                <w:sz w:val="20"/>
                <w:szCs w:val="20"/>
              </w:rPr>
              <w:t>študentská súťaž Inspireli Awards</w:t>
            </w:r>
          </w:p>
        </w:tc>
        <w:tc>
          <w:tcPr>
            <w:tcW w:w="567" w:type="dxa"/>
            <w:tcBorders>
              <w:top w:val="single" w:sz="4" w:space="0" w:color="auto"/>
              <w:left w:val="nil"/>
              <w:bottom w:val="single" w:sz="4" w:space="0" w:color="auto"/>
              <w:right w:val="single" w:sz="4" w:space="0" w:color="auto"/>
            </w:tcBorders>
            <w:shd w:val="clear" w:color="auto" w:fill="auto"/>
            <w:vAlign w:val="center"/>
          </w:tcPr>
          <w:p w14:paraId="1C3FC23F" w14:textId="0AF2876F"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50BAD1F" w14:textId="5BCAB79A"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BFD6DFB" w14:textId="2667162E" w:rsidR="004A05EF" w:rsidRPr="0053555E" w:rsidRDefault="004A05EF" w:rsidP="004A05EF">
            <w:pPr>
              <w:jc w:val="center"/>
              <w:rPr>
                <w:rFonts w:asciiTheme="majorHAnsi" w:hAnsiTheme="majorHAnsi" w:cstheme="majorHAnsi"/>
                <w:b/>
                <w:bCs/>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0471095C" w14:textId="1EAB274D"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7F80B35C" w14:textId="4C4F6B01" w:rsidR="004A05EF" w:rsidRPr="0053555E" w:rsidRDefault="004A05EF" w:rsidP="004A05EF">
            <w:pPr>
              <w:jc w:val="center"/>
              <w:rPr>
                <w:rFonts w:asciiTheme="majorHAnsi" w:hAnsiTheme="majorHAnsi" w:cstheme="majorHAnsi"/>
                <w:b/>
                <w:bCs/>
                <w:sz w:val="20"/>
                <w:szCs w:val="20"/>
              </w:rPr>
            </w:pPr>
            <w:r w:rsidRPr="0053555E">
              <w:rPr>
                <w:rFonts w:cs="Calibri"/>
                <w:sz w:val="20"/>
                <w:szCs w:val="20"/>
              </w:rPr>
              <w:t>1</w:t>
            </w:r>
          </w:p>
        </w:tc>
        <w:tc>
          <w:tcPr>
            <w:tcW w:w="638" w:type="dxa"/>
            <w:tcBorders>
              <w:top w:val="single" w:sz="4" w:space="0" w:color="auto"/>
              <w:left w:val="nil"/>
              <w:bottom w:val="single" w:sz="4" w:space="0" w:color="auto"/>
              <w:right w:val="single" w:sz="4" w:space="0" w:color="auto"/>
            </w:tcBorders>
            <w:shd w:val="clear" w:color="auto" w:fill="auto"/>
            <w:vAlign w:val="center"/>
          </w:tcPr>
          <w:p w14:paraId="076DBF52" w14:textId="07D2027A"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185159AD" w14:textId="3423BCC6"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03E9EDC2" w14:textId="4DD30997" w:rsidR="004A05EF" w:rsidRPr="0053555E" w:rsidRDefault="004A05EF" w:rsidP="004A05EF">
            <w:pPr>
              <w:jc w:val="center"/>
              <w:rPr>
                <w:rFonts w:asciiTheme="majorHAnsi" w:hAnsiTheme="majorHAnsi" w:cstheme="majorHAnsi"/>
                <w:b/>
                <w:bCs/>
                <w:sz w:val="20"/>
                <w:szCs w:val="20"/>
              </w:rPr>
            </w:pPr>
          </w:p>
        </w:tc>
      </w:tr>
      <w:tr w:rsidR="004A05EF" w:rsidRPr="0053555E" w14:paraId="0F06AF99"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auto"/>
          </w:tcPr>
          <w:p w14:paraId="48C9AB16" w14:textId="44CDC07B" w:rsidR="004A05EF" w:rsidRPr="0053555E" w:rsidRDefault="004A05EF" w:rsidP="004A05EF">
            <w:pPr>
              <w:rPr>
                <w:rFonts w:asciiTheme="majorHAnsi" w:hAnsiTheme="majorHAnsi" w:cstheme="majorHAnsi"/>
                <w:b/>
                <w:bCs/>
                <w:sz w:val="20"/>
                <w:szCs w:val="20"/>
              </w:rPr>
            </w:pPr>
            <w:r w:rsidRPr="0053555E">
              <w:rPr>
                <w:rFonts w:cs="Calibri"/>
                <w:sz w:val="20"/>
                <w:szCs w:val="20"/>
              </w:rPr>
              <w:t>Študentská súťaž IT SPY - semifinalista</w:t>
            </w:r>
          </w:p>
        </w:tc>
        <w:tc>
          <w:tcPr>
            <w:tcW w:w="567" w:type="dxa"/>
            <w:tcBorders>
              <w:top w:val="single" w:sz="4" w:space="0" w:color="auto"/>
              <w:left w:val="nil"/>
              <w:bottom w:val="single" w:sz="4" w:space="0" w:color="auto"/>
              <w:right w:val="single" w:sz="4" w:space="0" w:color="auto"/>
            </w:tcBorders>
            <w:shd w:val="clear" w:color="auto" w:fill="auto"/>
            <w:vAlign w:val="center"/>
          </w:tcPr>
          <w:p w14:paraId="7BB539BD" w14:textId="2EFB64F9"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2750430" w14:textId="154263CD"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0E2EA172" w14:textId="5370A067" w:rsidR="004A05EF" w:rsidRPr="0053555E" w:rsidRDefault="004A05EF" w:rsidP="004A05EF">
            <w:pPr>
              <w:jc w:val="center"/>
              <w:rPr>
                <w:rFonts w:asciiTheme="majorHAnsi" w:hAnsiTheme="majorHAnsi" w:cstheme="majorHAnsi"/>
                <w:b/>
                <w:bCs/>
                <w:sz w:val="20"/>
                <w:szCs w:val="20"/>
              </w:rPr>
            </w:pPr>
            <w:r w:rsidRPr="0053555E">
              <w:rPr>
                <w:rFonts w:cs="Calibri"/>
                <w:sz w:val="20"/>
                <w:szCs w:val="20"/>
              </w:rPr>
              <w:t>2</w:t>
            </w:r>
          </w:p>
        </w:tc>
        <w:tc>
          <w:tcPr>
            <w:tcW w:w="708" w:type="dxa"/>
            <w:tcBorders>
              <w:top w:val="single" w:sz="4" w:space="0" w:color="auto"/>
              <w:left w:val="nil"/>
              <w:bottom w:val="single" w:sz="4" w:space="0" w:color="auto"/>
              <w:right w:val="single" w:sz="4" w:space="0" w:color="auto"/>
            </w:tcBorders>
            <w:shd w:val="clear" w:color="auto" w:fill="auto"/>
            <w:vAlign w:val="center"/>
          </w:tcPr>
          <w:p w14:paraId="2DF45D92" w14:textId="270F7437"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12B664A3" w14:textId="64E082C0"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7A3F7656" w14:textId="1EB5B98B"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6FABB920" w14:textId="5D8057E5"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29E9F271" w14:textId="5A0DC661" w:rsidR="004A05EF" w:rsidRPr="0053555E" w:rsidRDefault="004A05EF" w:rsidP="004A05EF">
            <w:pPr>
              <w:jc w:val="center"/>
              <w:rPr>
                <w:rFonts w:asciiTheme="majorHAnsi" w:hAnsiTheme="majorHAnsi" w:cstheme="majorHAnsi"/>
                <w:b/>
                <w:bCs/>
                <w:sz w:val="20"/>
                <w:szCs w:val="20"/>
              </w:rPr>
            </w:pPr>
          </w:p>
        </w:tc>
      </w:tr>
      <w:tr w:rsidR="004A05EF" w:rsidRPr="0053555E" w14:paraId="21240CFE"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auto"/>
          </w:tcPr>
          <w:p w14:paraId="0E8B2C32" w14:textId="7646C44E" w:rsidR="004A05EF" w:rsidRPr="0053555E" w:rsidRDefault="004A05EF" w:rsidP="004A05EF">
            <w:pPr>
              <w:rPr>
                <w:rFonts w:asciiTheme="majorHAnsi" w:hAnsiTheme="majorHAnsi" w:cstheme="majorHAnsi"/>
                <w:b/>
                <w:bCs/>
                <w:sz w:val="20"/>
                <w:szCs w:val="20"/>
              </w:rPr>
            </w:pPr>
            <w:r w:rsidRPr="0053555E">
              <w:rPr>
                <w:rFonts w:cs="Calibri"/>
                <w:sz w:val="20"/>
                <w:szCs w:val="20"/>
              </w:rPr>
              <w:t>Študentská súťaž Lunawood Urban Challenge 2021 (kategória Architektúra)</w:t>
            </w:r>
          </w:p>
        </w:tc>
        <w:tc>
          <w:tcPr>
            <w:tcW w:w="567" w:type="dxa"/>
            <w:tcBorders>
              <w:top w:val="single" w:sz="4" w:space="0" w:color="auto"/>
              <w:left w:val="nil"/>
              <w:bottom w:val="single" w:sz="4" w:space="0" w:color="auto"/>
              <w:right w:val="single" w:sz="4" w:space="0" w:color="auto"/>
            </w:tcBorders>
            <w:shd w:val="clear" w:color="auto" w:fill="auto"/>
            <w:vAlign w:val="center"/>
          </w:tcPr>
          <w:p w14:paraId="0C2B22B4" w14:textId="04FCCFB8"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DDF1121" w14:textId="7D5D7274"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1A1129B" w14:textId="4C7E411D" w:rsidR="004A05EF" w:rsidRPr="0053555E" w:rsidRDefault="004A05EF" w:rsidP="004A05EF">
            <w:pPr>
              <w:jc w:val="center"/>
              <w:rPr>
                <w:rFonts w:asciiTheme="majorHAnsi" w:hAnsiTheme="majorHAnsi" w:cstheme="majorHAnsi"/>
                <w:b/>
                <w:bCs/>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3B538246" w14:textId="16EA2126"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0DB99997" w14:textId="1404DDF0"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2445E763" w14:textId="3C9BDE51"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28CA76EA" w14:textId="10639DA1"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7A40C074" w14:textId="1FB8D22C" w:rsidR="004A05EF" w:rsidRPr="0053555E" w:rsidRDefault="004A05EF" w:rsidP="004A05EF">
            <w:pPr>
              <w:jc w:val="center"/>
              <w:rPr>
                <w:rFonts w:asciiTheme="majorHAnsi" w:hAnsiTheme="majorHAnsi" w:cstheme="majorHAnsi"/>
                <w:b/>
                <w:bCs/>
                <w:sz w:val="20"/>
                <w:szCs w:val="20"/>
              </w:rPr>
            </w:pPr>
          </w:p>
        </w:tc>
      </w:tr>
      <w:tr w:rsidR="004A05EF" w:rsidRPr="0053555E" w14:paraId="470184B8"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auto"/>
          </w:tcPr>
          <w:p w14:paraId="7F1320A5" w14:textId="5854ADBB" w:rsidR="004A05EF" w:rsidRPr="0053555E" w:rsidRDefault="004A05EF" w:rsidP="004A05EF">
            <w:pPr>
              <w:rPr>
                <w:rFonts w:asciiTheme="majorHAnsi" w:hAnsiTheme="majorHAnsi" w:cstheme="majorHAnsi"/>
                <w:b/>
                <w:bCs/>
                <w:sz w:val="20"/>
                <w:szCs w:val="20"/>
              </w:rPr>
            </w:pPr>
            <w:r w:rsidRPr="0053555E">
              <w:rPr>
                <w:rFonts w:cs="Calibri"/>
                <w:sz w:val="20"/>
                <w:szCs w:val="20"/>
              </w:rPr>
              <w:t>Študentská súťaž proHolz Student Trophy 2020</w:t>
            </w:r>
          </w:p>
        </w:tc>
        <w:tc>
          <w:tcPr>
            <w:tcW w:w="567" w:type="dxa"/>
            <w:tcBorders>
              <w:top w:val="single" w:sz="4" w:space="0" w:color="auto"/>
              <w:left w:val="nil"/>
              <w:bottom w:val="single" w:sz="4" w:space="0" w:color="auto"/>
              <w:right w:val="single" w:sz="4" w:space="0" w:color="auto"/>
            </w:tcBorders>
            <w:shd w:val="clear" w:color="auto" w:fill="auto"/>
            <w:vAlign w:val="center"/>
          </w:tcPr>
          <w:p w14:paraId="1BD858DF" w14:textId="7336930B"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5D63176" w14:textId="71B977D1"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5345C87" w14:textId="2294E64E" w:rsidR="004A05EF" w:rsidRPr="0053555E" w:rsidRDefault="004A05EF" w:rsidP="004A05EF">
            <w:pPr>
              <w:jc w:val="center"/>
              <w:rPr>
                <w:rFonts w:asciiTheme="majorHAnsi" w:hAnsiTheme="majorHAnsi" w:cstheme="majorHAnsi"/>
                <w:b/>
                <w:bCs/>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14CE66A9" w14:textId="2F066701"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4D451D09" w14:textId="19C30007"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6F77D296" w14:textId="42AC9494"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62D6A90B" w14:textId="7E621A9A"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60200235" w14:textId="58A2F371" w:rsidR="004A05EF" w:rsidRPr="0053555E" w:rsidRDefault="004A05EF" w:rsidP="004A05EF">
            <w:pPr>
              <w:jc w:val="center"/>
              <w:rPr>
                <w:rFonts w:asciiTheme="majorHAnsi" w:hAnsiTheme="majorHAnsi" w:cstheme="majorHAnsi"/>
                <w:b/>
                <w:bCs/>
                <w:sz w:val="20"/>
                <w:szCs w:val="20"/>
              </w:rPr>
            </w:pPr>
          </w:p>
        </w:tc>
      </w:tr>
      <w:tr w:rsidR="004A05EF" w:rsidRPr="0053555E" w14:paraId="4C5C1AE6"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auto"/>
          </w:tcPr>
          <w:p w14:paraId="204D5C0A" w14:textId="3377507F" w:rsidR="004A05EF" w:rsidRPr="0053555E" w:rsidRDefault="004A05EF" w:rsidP="004A05EF">
            <w:pPr>
              <w:rPr>
                <w:rFonts w:asciiTheme="majorHAnsi" w:hAnsiTheme="majorHAnsi" w:cstheme="majorHAnsi"/>
                <w:b/>
                <w:bCs/>
                <w:sz w:val="20"/>
                <w:szCs w:val="20"/>
              </w:rPr>
            </w:pPr>
            <w:r w:rsidRPr="0053555E">
              <w:rPr>
                <w:rFonts w:cs="Calibri"/>
                <w:sz w:val="20"/>
                <w:szCs w:val="20"/>
              </w:rPr>
              <w:t>Študentská vedecká konferencia na VŠCHT Praha</w:t>
            </w:r>
          </w:p>
        </w:tc>
        <w:tc>
          <w:tcPr>
            <w:tcW w:w="567" w:type="dxa"/>
            <w:tcBorders>
              <w:top w:val="single" w:sz="4" w:space="0" w:color="auto"/>
              <w:left w:val="nil"/>
              <w:bottom w:val="single" w:sz="4" w:space="0" w:color="auto"/>
              <w:right w:val="single" w:sz="4" w:space="0" w:color="auto"/>
            </w:tcBorders>
            <w:shd w:val="clear" w:color="auto" w:fill="auto"/>
            <w:vAlign w:val="center"/>
          </w:tcPr>
          <w:p w14:paraId="52D0B343" w14:textId="0A3A25F7"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B7A040E" w14:textId="0FB41299"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02FA6A73" w14:textId="4553FFF9" w:rsidR="004A05EF" w:rsidRPr="0053555E" w:rsidRDefault="004A05EF" w:rsidP="004A05EF">
            <w:pPr>
              <w:jc w:val="center"/>
              <w:rPr>
                <w:rFonts w:asciiTheme="majorHAnsi" w:hAnsiTheme="majorHAnsi" w:cstheme="majorHAnsi"/>
                <w:b/>
                <w:bCs/>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5BD27DB1" w14:textId="62381810" w:rsidR="004A05EF" w:rsidRPr="0053555E" w:rsidRDefault="004A05EF" w:rsidP="004A05EF">
            <w:pPr>
              <w:jc w:val="center"/>
              <w:rPr>
                <w:rFonts w:asciiTheme="majorHAnsi" w:hAnsiTheme="majorHAnsi" w:cstheme="majorHAnsi"/>
                <w:b/>
                <w:bCs/>
                <w:sz w:val="20"/>
                <w:szCs w:val="20"/>
              </w:rPr>
            </w:pPr>
            <w:r w:rsidRPr="0053555E">
              <w:rPr>
                <w:rFonts w:cs="Calibri"/>
                <w:sz w:val="20"/>
                <w:szCs w:val="20"/>
              </w:rPr>
              <w:t>2</w:t>
            </w:r>
          </w:p>
        </w:tc>
        <w:tc>
          <w:tcPr>
            <w:tcW w:w="638" w:type="dxa"/>
            <w:tcBorders>
              <w:top w:val="single" w:sz="4" w:space="0" w:color="auto"/>
              <w:left w:val="nil"/>
              <w:bottom w:val="single" w:sz="4" w:space="0" w:color="auto"/>
              <w:right w:val="single" w:sz="4" w:space="0" w:color="auto"/>
            </w:tcBorders>
            <w:shd w:val="clear" w:color="auto" w:fill="auto"/>
            <w:vAlign w:val="center"/>
          </w:tcPr>
          <w:p w14:paraId="352CC6D2" w14:textId="68E4DD17"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11D436C4" w14:textId="71CCD2B8"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1545B3D4" w14:textId="5EFF8154"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2E108F74" w14:textId="14A37D02" w:rsidR="004A05EF" w:rsidRPr="0053555E" w:rsidRDefault="004A05EF" w:rsidP="004A05EF">
            <w:pPr>
              <w:jc w:val="center"/>
              <w:rPr>
                <w:rFonts w:asciiTheme="majorHAnsi" w:hAnsiTheme="majorHAnsi" w:cstheme="majorHAnsi"/>
                <w:b/>
                <w:bCs/>
                <w:sz w:val="20"/>
                <w:szCs w:val="20"/>
              </w:rPr>
            </w:pPr>
          </w:p>
        </w:tc>
      </w:tr>
      <w:tr w:rsidR="004A05EF" w:rsidRPr="0053555E" w14:paraId="6BD5D176"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auto"/>
            <w:vAlign w:val="bottom"/>
          </w:tcPr>
          <w:p w14:paraId="0480C785" w14:textId="5125CFF0" w:rsidR="004A05EF" w:rsidRPr="0053555E" w:rsidRDefault="004A05EF" w:rsidP="004A05EF">
            <w:pPr>
              <w:rPr>
                <w:rFonts w:asciiTheme="majorHAnsi" w:hAnsiTheme="majorHAnsi" w:cstheme="majorHAnsi"/>
                <w:b/>
                <w:bCs/>
                <w:sz w:val="20"/>
                <w:szCs w:val="20"/>
              </w:rPr>
            </w:pPr>
            <w:r w:rsidRPr="0053555E">
              <w:rPr>
                <w:rFonts w:cs="Calibri"/>
                <w:sz w:val="20"/>
                <w:szCs w:val="20"/>
              </w:rPr>
              <w:t>Xella 2022</w:t>
            </w:r>
          </w:p>
        </w:tc>
        <w:tc>
          <w:tcPr>
            <w:tcW w:w="567" w:type="dxa"/>
            <w:tcBorders>
              <w:top w:val="single" w:sz="4" w:space="0" w:color="auto"/>
              <w:left w:val="nil"/>
              <w:bottom w:val="single" w:sz="4" w:space="0" w:color="auto"/>
              <w:right w:val="single" w:sz="4" w:space="0" w:color="auto"/>
            </w:tcBorders>
            <w:shd w:val="clear" w:color="auto" w:fill="auto"/>
            <w:vAlign w:val="center"/>
          </w:tcPr>
          <w:p w14:paraId="5B72E440" w14:textId="6FC74E15"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1AB4829" w14:textId="73CF38EA"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02FC2FBB" w14:textId="428FD1CB" w:rsidR="004A05EF" w:rsidRPr="0053555E" w:rsidRDefault="004A05EF" w:rsidP="004A05EF">
            <w:pPr>
              <w:jc w:val="center"/>
              <w:rPr>
                <w:rFonts w:asciiTheme="majorHAnsi" w:hAnsiTheme="majorHAnsi" w:cstheme="majorHAnsi"/>
                <w:b/>
                <w:bCs/>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1FBFBC74" w14:textId="23AA4DAF"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19AD655E" w14:textId="646E48C2" w:rsidR="004A05EF" w:rsidRPr="0053555E" w:rsidRDefault="004A05EF" w:rsidP="004A05EF">
            <w:pPr>
              <w:jc w:val="center"/>
              <w:rPr>
                <w:rFonts w:asciiTheme="majorHAnsi" w:hAnsiTheme="majorHAnsi" w:cstheme="majorHAnsi"/>
                <w:b/>
                <w:bCs/>
                <w:sz w:val="20"/>
                <w:szCs w:val="20"/>
              </w:rPr>
            </w:pPr>
            <w:r w:rsidRPr="0053555E">
              <w:rPr>
                <w:rFonts w:cs="Calibri"/>
                <w:sz w:val="20"/>
                <w:szCs w:val="20"/>
              </w:rPr>
              <w:t>2</w:t>
            </w:r>
          </w:p>
        </w:tc>
        <w:tc>
          <w:tcPr>
            <w:tcW w:w="638" w:type="dxa"/>
            <w:tcBorders>
              <w:top w:val="single" w:sz="4" w:space="0" w:color="auto"/>
              <w:left w:val="nil"/>
              <w:bottom w:val="single" w:sz="4" w:space="0" w:color="auto"/>
              <w:right w:val="single" w:sz="4" w:space="0" w:color="auto"/>
            </w:tcBorders>
            <w:shd w:val="clear" w:color="auto" w:fill="auto"/>
            <w:vAlign w:val="center"/>
          </w:tcPr>
          <w:p w14:paraId="2C168C9C" w14:textId="59BCDEB1"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781CFEC1" w14:textId="3366BB7F"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0B663A43" w14:textId="0B1157EC" w:rsidR="004A05EF" w:rsidRPr="0053555E" w:rsidRDefault="004A05EF" w:rsidP="004A05EF">
            <w:pPr>
              <w:jc w:val="center"/>
              <w:rPr>
                <w:rFonts w:asciiTheme="majorHAnsi" w:hAnsiTheme="majorHAnsi" w:cstheme="majorHAnsi"/>
                <w:b/>
                <w:bCs/>
                <w:sz w:val="20"/>
                <w:szCs w:val="20"/>
              </w:rPr>
            </w:pPr>
          </w:p>
        </w:tc>
      </w:tr>
      <w:tr w:rsidR="004A05EF" w:rsidRPr="0053555E" w14:paraId="2B441101"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auto"/>
            <w:vAlign w:val="bottom"/>
          </w:tcPr>
          <w:p w14:paraId="04D193C2" w14:textId="751A5E73" w:rsidR="004A05EF" w:rsidRPr="0053555E" w:rsidRDefault="004A05EF" w:rsidP="004A05EF">
            <w:pPr>
              <w:rPr>
                <w:rFonts w:asciiTheme="majorHAnsi" w:hAnsiTheme="majorHAnsi" w:cstheme="majorHAnsi"/>
                <w:b/>
                <w:bCs/>
                <w:sz w:val="20"/>
                <w:szCs w:val="20"/>
              </w:rPr>
            </w:pPr>
            <w:r w:rsidRPr="0053555E">
              <w:rPr>
                <w:rFonts w:cs="Calibri"/>
                <w:sz w:val="20"/>
                <w:szCs w:val="20"/>
              </w:rPr>
              <w:t>1. miesto Medziuniverzitné majstrovstvá sveta, plávanie  - kraul 50 m</w:t>
            </w:r>
          </w:p>
        </w:tc>
        <w:tc>
          <w:tcPr>
            <w:tcW w:w="567" w:type="dxa"/>
            <w:tcBorders>
              <w:top w:val="single" w:sz="4" w:space="0" w:color="auto"/>
              <w:left w:val="nil"/>
              <w:bottom w:val="single" w:sz="4" w:space="0" w:color="auto"/>
              <w:right w:val="single" w:sz="4" w:space="0" w:color="auto"/>
            </w:tcBorders>
            <w:shd w:val="clear" w:color="auto" w:fill="auto"/>
            <w:vAlign w:val="center"/>
          </w:tcPr>
          <w:p w14:paraId="771E1E90" w14:textId="6FCE29CC"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9877724" w14:textId="4C0B7D2E"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CF29198" w14:textId="74F08B8A" w:rsidR="004A05EF" w:rsidRPr="0053555E" w:rsidRDefault="004A05EF" w:rsidP="004A05EF">
            <w:pPr>
              <w:jc w:val="center"/>
              <w:rPr>
                <w:rFonts w:asciiTheme="majorHAnsi" w:hAnsiTheme="majorHAnsi" w:cstheme="majorHAnsi"/>
                <w:b/>
                <w:bCs/>
                <w:sz w:val="20"/>
                <w:szCs w:val="20"/>
              </w:rPr>
            </w:pPr>
            <w:r w:rsidRPr="0053555E">
              <w:rPr>
                <w:rFonts w:cs="Calibri"/>
                <w:sz w:val="20"/>
                <w:szCs w:val="20"/>
              </w:rPr>
              <w:t>1</w:t>
            </w:r>
          </w:p>
        </w:tc>
        <w:tc>
          <w:tcPr>
            <w:tcW w:w="708" w:type="dxa"/>
            <w:tcBorders>
              <w:top w:val="single" w:sz="4" w:space="0" w:color="auto"/>
              <w:left w:val="nil"/>
              <w:bottom w:val="single" w:sz="4" w:space="0" w:color="auto"/>
              <w:right w:val="single" w:sz="4" w:space="0" w:color="auto"/>
            </w:tcBorders>
            <w:shd w:val="clear" w:color="auto" w:fill="auto"/>
            <w:vAlign w:val="center"/>
          </w:tcPr>
          <w:p w14:paraId="40C8552D" w14:textId="5772EE84"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60787AD5" w14:textId="2F029F50"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090D3545" w14:textId="3DB82443"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5AC13D28" w14:textId="68FC02F7"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4253FE00" w14:textId="0733CAE9" w:rsidR="004A05EF" w:rsidRPr="0053555E" w:rsidRDefault="004A05EF" w:rsidP="004A05EF">
            <w:pPr>
              <w:jc w:val="center"/>
              <w:rPr>
                <w:rFonts w:asciiTheme="majorHAnsi" w:hAnsiTheme="majorHAnsi" w:cstheme="majorHAnsi"/>
                <w:b/>
                <w:bCs/>
                <w:sz w:val="20"/>
                <w:szCs w:val="20"/>
              </w:rPr>
            </w:pPr>
          </w:p>
        </w:tc>
      </w:tr>
      <w:tr w:rsidR="004A05EF" w:rsidRPr="0053555E" w14:paraId="4614AE9E"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auto"/>
            <w:vAlign w:val="bottom"/>
          </w:tcPr>
          <w:p w14:paraId="6D4D2662" w14:textId="616CF070" w:rsidR="004A05EF" w:rsidRPr="0053555E" w:rsidRDefault="004A05EF" w:rsidP="004A05EF">
            <w:pPr>
              <w:rPr>
                <w:rFonts w:asciiTheme="majorHAnsi" w:hAnsiTheme="majorHAnsi" w:cstheme="majorHAnsi"/>
                <w:b/>
                <w:bCs/>
                <w:sz w:val="20"/>
                <w:szCs w:val="20"/>
              </w:rPr>
            </w:pPr>
            <w:r w:rsidRPr="0053555E">
              <w:rPr>
                <w:rFonts w:cs="Calibri"/>
                <w:sz w:val="20"/>
                <w:szCs w:val="20"/>
              </w:rPr>
              <w:t>1. miesto Medziuniverzitné majstrovstvá sveta, plávanie  - motýlik 100 m</w:t>
            </w:r>
          </w:p>
        </w:tc>
        <w:tc>
          <w:tcPr>
            <w:tcW w:w="567" w:type="dxa"/>
            <w:tcBorders>
              <w:top w:val="single" w:sz="4" w:space="0" w:color="auto"/>
              <w:left w:val="nil"/>
              <w:bottom w:val="single" w:sz="4" w:space="0" w:color="auto"/>
              <w:right w:val="single" w:sz="4" w:space="0" w:color="auto"/>
            </w:tcBorders>
            <w:shd w:val="clear" w:color="auto" w:fill="auto"/>
            <w:vAlign w:val="center"/>
          </w:tcPr>
          <w:p w14:paraId="43C66155" w14:textId="01581C4E"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C90CABA" w14:textId="53265A04"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9BE1B09" w14:textId="6A7226BF" w:rsidR="004A05EF" w:rsidRPr="0053555E" w:rsidRDefault="004A05EF" w:rsidP="004A05EF">
            <w:pPr>
              <w:jc w:val="center"/>
              <w:rPr>
                <w:rFonts w:asciiTheme="majorHAnsi" w:hAnsiTheme="majorHAnsi" w:cstheme="majorHAnsi"/>
                <w:b/>
                <w:bCs/>
                <w:sz w:val="20"/>
                <w:szCs w:val="20"/>
              </w:rPr>
            </w:pPr>
            <w:r w:rsidRPr="0053555E">
              <w:rPr>
                <w:rFonts w:cs="Calibri"/>
                <w:sz w:val="20"/>
                <w:szCs w:val="20"/>
              </w:rPr>
              <w:t>1</w:t>
            </w:r>
          </w:p>
        </w:tc>
        <w:tc>
          <w:tcPr>
            <w:tcW w:w="708" w:type="dxa"/>
            <w:tcBorders>
              <w:top w:val="single" w:sz="4" w:space="0" w:color="auto"/>
              <w:left w:val="nil"/>
              <w:bottom w:val="single" w:sz="4" w:space="0" w:color="auto"/>
              <w:right w:val="single" w:sz="4" w:space="0" w:color="auto"/>
            </w:tcBorders>
            <w:shd w:val="clear" w:color="auto" w:fill="auto"/>
            <w:vAlign w:val="center"/>
          </w:tcPr>
          <w:p w14:paraId="1D1FFD77" w14:textId="6F3523C7"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6F4B85DC" w14:textId="12A67F61"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3F5B3BA3" w14:textId="5C53F0C2"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2A0BB9A7" w14:textId="605C400F"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1EDE028D" w14:textId="270AB205" w:rsidR="004A05EF" w:rsidRPr="0053555E" w:rsidRDefault="004A05EF" w:rsidP="004A05EF">
            <w:pPr>
              <w:jc w:val="center"/>
              <w:rPr>
                <w:rFonts w:asciiTheme="majorHAnsi" w:hAnsiTheme="majorHAnsi" w:cstheme="majorHAnsi"/>
                <w:b/>
                <w:bCs/>
                <w:sz w:val="20"/>
                <w:szCs w:val="20"/>
              </w:rPr>
            </w:pPr>
          </w:p>
        </w:tc>
      </w:tr>
      <w:tr w:rsidR="004A05EF" w:rsidRPr="0053555E" w14:paraId="38B3AC82"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auto"/>
            <w:vAlign w:val="bottom"/>
          </w:tcPr>
          <w:p w14:paraId="0B75347A" w14:textId="52FBCB11" w:rsidR="004A05EF" w:rsidRPr="0053555E" w:rsidRDefault="004A05EF" w:rsidP="004A05EF">
            <w:pPr>
              <w:rPr>
                <w:rFonts w:asciiTheme="majorHAnsi" w:hAnsiTheme="majorHAnsi" w:cstheme="majorHAnsi"/>
                <w:b/>
                <w:bCs/>
                <w:sz w:val="20"/>
                <w:szCs w:val="20"/>
              </w:rPr>
            </w:pPr>
            <w:r w:rsidRPr="0053555E">
              <w:rPr>
                <w:rFonts w:cs="Calibri"/>
                <w:sz w:val="20"/>
                <w:szCs w:val="20"/>
              </w:rPr>
              <w:t>2. miesto Medziuniverzitné majstrovstvá sveta, plávanie  - kraul 200 m</w:t>
            </w:r>
          </w:p>
        </w:tc>
        <w:tc>
          <w:tcPr>
            <w:tcW w:w="567" w:type="dxa"/>
            <w:tcBorders>
              <w:top w:val="single" w:sz="4" w:space="0" w:color="auto"/>
              <w:left w:val="nil"/>
              <w:bottom w:val="single" w:sz="4" w:space="0" w:color="auto"/>
              <w:right w:val="single" w:sz="4" w:space="0" w:color="auto"/>
            </w:tcBorders>
            <w:shd w:val="clear" w:color="auto" w:fill="auto"/>
            <w:vAlign w:val="center"/>
          </w:tcPr>
          <w:p w14:paraId="2A6AF501" w14:textId="108590E3"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445E22E" w14:textId="2C428F70"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802EF1A" w14:textId="685AF3EF" w:rsidR="004A05EF" w:rsidRPr="0053555E" w:rsidRDefault="004A05EF" w:rsidP="004A05EF">
            <w:pPr>
              <w:jc w:val="center"/>
              <w:rPr>
                <w:rFonts w:asciiTheme="majorHAnsi" w:hAnsiTheme="majorHAnsi" w:cstheme="majorHAnsi"/>
                <w:b/>
                <w:bCs/>
                <w:sz w:val="20"/>
                <w:szCs w:val="20"/>
              </w:rPr>
            </w:pPr>
            <w:r w:rsidRPr="0053555E">
              <w:rPr>
                <w:rFonts w:cs="Calibri"/>
                <w:sz w:val="20"/>
                <w:szCs w:val="20"/>
              </w:rPr>
              <w:t>1</w:t>
            </w:r>
          </w:p>
        </w:tc>
        <w:tc>
          <w:tcPr>
            <w:tcW w:w="708" w:type="dxa"/>
            <w:tcBorders>
              <w:top w:val="single" w:sz="4" w:space="0" w:color="auto"/>
              <w:left w:val="nil"/>
              <w:bottom w:val="single" w:sz="4" w:space="0" w:color="auto"/>
              <w:right w:val="single" w:sz="4" w:space="0" w:color="auto"/>
            </w:tcBorders>
            <w:shd w:val="clear" w:color="auto" w:fill="auto"/>
            <w:vAlign w:val="center"/>
          </w:tcPr>
          <w:p w14:paraId="539BA3F7" w14:textId="64AA83B9"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14EE2DAC" w14:textId="18717260"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105AEB64" w14:textId="1B483B30"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0B050EE2" w14:textId="315CD908"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5C18A661" w14:textId="4E125BE9" w:rsidR="004A05EF" w:rsidRPr="0053555E" w:rsidRDefault="004A05EF" w:rsidP="004A05EF">
            <w:pPr>
              <w:jc w:val="center"/>
              <w:rPr>
                <w:rFonts w:asciiTheme="majorHAnsi" w:hAnsiTheme="majorHAnsi" w:cstheme="majorHAnsi"/>
                <w:b/>
                <w:bCs/>
                <w:sz w:val="20"/>
                <w:szCs w:val="20"/>
              </w:rPr>
            </w:pPr>
          </w:p>
        </w:tc>
      </w:tr>
      <w:tr w:rsidR="004A05EF" w:rsidRPr="0053555E" w14:paraId="4A4CC79F"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auto"/>
            <w:vAlign w:val="bottom"/>
          </w:tcPr>
          <w:p w14:paraId="25C7AF80" w14:textId="49DC3D61" w:rsidR="004A05EF" w:rsidRPr="0053555E" w:rsidRDefault="004A05EF" w:rsidP="004A05EF">
            <w:pPr>
              <w:rPr>
                <w:rFonts w:asciiTheme="majorHAnsi" w:hAnsiTheme="majorHAnsi" w:cstheme="majorHAnsi"/>
                <w:b/>
                <w:bCs/>
                <w:sz w:val="20"/>
                <w:szCs w:val="20"/>
              </w:rPr>
            </w:pPr>
            <w:r w:rsidRPr="0053555E">
              <w:rPr>
                <w:rFonts w:cs="Calibri"/>
                <w:sz w:val="20"/>
                <w:szCs w:val="20"/>
              </w:rPr>
              <w:t>2. miesto na medzinárodnej súťaži v Gliwiciach v Poľsku z projektu ProSkill</w:t>
            </w:r>
          </w:p>
        </w:tc>
        <w:tc>
          <w:tcPr>
            <w:tcW w:w="567" w:type="dxa"/>
            <w:tcBorders>
              <w:top w:val="single" w:sz="4" w:space="0" w:color="auto"/>
              <w:left w:val="nil"/>
              <w:bottom w:val="single" w:sz="4" w:space="0" w:color="auto"/>
              <w:right w:val="single" w:sz="4" w:space="0" w:color="auto"/>
            </w:tcBorders>
            <w:shd w:val="clear" w:color="auto" w:fill="auto"/>
            <w:vAlign w:val="center"/>
          </w:tcPr>
          <w:p w14:paraId="78A4798B" w14:textId="6D8035CB"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8D7C49A" w14:textId="6F14013B"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89E3291" w14:textId="22702686" w:rsidR="004A05EF" w:rsidRPr="0053555E" w:rsidRDefault="004A05EF" w:rsidP="004A05EF">
            <w:pPr>
              <w:jc w:val="center"/>
              <w:rPr>
                <w:rFonts w:asciiTheme="majorHAnsi" w:hAnsiTheme="majorHAnsi" w:cstheme="majorHAnsi"/>
                <w:b/>
                <w:bCs/>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1806D0BA" w14:textId="7C8C48EA"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58822033" w14:textId="533D80F3"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131A19F3" w14:textId="03AEC758" w:rsidR="004A05EF" w:rsidRPr="0053555E" w:rsidRDefault="004A05EF" w:rsidP="004A05EF">
            <w:pPr>
              <w:jc w:val="center"/>
              <w:rPr>
                <w:rFonts w:asciiTheme="majorHAnsi" w:hAnsiTheme="majorHAnsi" w:cstheme="majorHAnsi"/>
                <w:b/>
                <w:bCs/>
                <w:sz w:val="20"/>
                <w:szCs w:val="20"/>
              </w:rPr>
            </w:pPr>
            <w:r w:rsidRPr="0053555E">
              <w:rPr>
                <w:rFonts w:cs="Calibri"/>
                <w:sz w:val="20"/>
                <w:szCs w:val="20"/>
              </w:rPr>
              <w:t>1</w:t>
            </w:r>
          </w:p>
        </w:tc>
        <w:tc>
          <w:tcPr>
            <w:tcW w:w="638" w:type="dxa"/>
            <w:tcBorders>
              <w:top w:val="single" w:sz="4" w:space="0" w:color="auto"/>
              <w:left w:val="nil"/>
              <w:bottom w:val="single" w:sz="4" w:space="0" w:color="auto"/>
              <w:right w:val="single" w:sz="4" w:space="0" w:color="auto"/>
            </w:tcBorders>
            <w:shd w:val="clear" w:color="auto" w:fill="auto"/>
            <w:vAlign w:val="center"/>
          </w:tcPr>
          <w:p w14:paraId="6B623573" w14:textId="35B7C125"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31A96321" w14:textId="51FEC426" w:rsidR="004A05EF" w:rsidRPr="0053555E" w:rsidRDefault="004A05EF" w:rsidP="004A05EF">
            <w:pPr>
              <w:jc w:val="center"/>
              <w:rPr>
                <w:rFonts w:asciiTheme="majorHAnsi" w:hAnsiTheme="majorHAnsi" w:cstheme="majorHAnsi"/>
                <w:b/>
                <w:bCs/>
                <w:sz w:val="20"/>
                <w:szCs w:val="20"/>
              </w:rPr>
            </w:pPr>
          </w:p>
        </w:tc>
      </w:tr>
      <w:tr w:rsidR="004A05EF" w:rsidRPr="0053555E" w14:paraId="4E5DD48E"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auto"/>
            <w:vAlign w:val="bottom"/>
          </w:tcPr>
          <w:p w14:paraId="227BC39C" w14:textId="570E1978" w:rsidR="004A05EF" w:rsidRPr="0053555E" w:rsidRDefault="004A05EF" w:rsidP="004A05EF">
            <w:pPr>
              <w:rPr>
                <w:rFonts w:asciiTheme="majorHAnsi" w:hAnsiTheme="majorHAnsi" w:cstheme="majorHAnsi"/>
                <w:b/>
                <w:bCs/>
                <w:sz w:val="20"/>
                <w:szCs w:val="20"/>
              </w:rPr>
            </w:pPr>
            <w:r w:rsidRPr="0053555E">
              <w:rPr>
                <w:rFonts w:cs="Calibri"/>
                <w:sz w:val="20"/>
                <w:szCs w:val="20"/>
              </w:rPr>
              <w:t>2. miesto na medzinárodnej súťaži v Maďarsku János Zambó International Case Study Competion</w:t>
            </w:r>
          </w:p>
        </w:tc>
        <w:tc>
          <w:tcPr>
            <w:tcW w:w="567" w:type="dxa"/>
            <w:tcBorders>
              <w:top w:val="single" w:sz="4" w:space="0" w:color="auto"/>
              <w:left w:val="nil"/>
              <w:bottom w:val="single" w:sz="4" w:space="0" w:color="auto"/>
              <w:right w:val="single" w:sz="4" w:space="0" w:color="auto"/>
            </w:tcBorders>
            <w:shd w:val="clear" w:color="auto" w:fill="auto"/>
            <w:vAlign w:val="center"/>
          </w:tcPr>
          <w:p w14:paraId="010BF3D8" w14:textId="183EF10B"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296537A" w14:textId="6A9CB0FE"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C0D3708" w14:textId="4382AAFC" w:rsidR="004A05EF" w:rsidRPr="0053555E" w:rsidRDefault="004A05EF" w:rsidP="004A05EF">
            <w:pPr>
              <w:jc w:val="center"/>
              <w:rPr>
                <w:rFonts w:asciiTheme="majorHAnsi" w:hAnsiTheme="majorHAnsi" w:cstheme="majorHAnsi"/>
                <w:b/>
                <w:bCs/>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4204E654" w14:textId="2CD62AC0"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5104F5BD" w14:textId="7988CD54"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4654299A" w14:textId="6F484A04" w:rsidR="004A05EF" w:rsidRPr="0053555E" w:rsidRDefault="004A05EF" w:rsidP="004A05EF">
            <w:pPr>
              <w:jc w:val="center"/>
              <w:rPr>
                <w:rFonts w:asciiTheme="majorHAnsi" w:hAnsiTheme="majorHAnsi" w:cstheme="majorHAnsi"/>
                <w:b/>
                <w:bCs/>
                <w:sz w:val="20"/>
                <w:szCs w:val="20"/>
              </w:rPr>
            </w:pPr>
            <w:r w:rsidRPr="0053555E">
              <w:rPr>
                <w:rFonts w:cs="Calibri"/>
                <w:sz w:val="20"/>
                <w:szCs w:val="20"/>
              </w:rPr>
              <w:t>1</w:t>
            </w:r>
          </w:p>
        </w:tc>
        <w:tc>
          <w:tcPr>
            <w:tcW w:w="638" w:type="dxa"/>
            <w:tcBorders>
              <w:top w:val="single" w:sz="4" w:space="0" w:color="auto"/>
              <w:left w:val="nil"/>
              <w:bottom w:val="single" w:sz="4" w:space="0" w:color="auto"/>
              <w:right w:val="single" w:sz="4" w:space="0" w:color="auto"/>
            </w:tcBorders>
            <w:shd w:val="clear" w:color="auto" w:fill="auto"/>
            <w:vAlign w:val="center"/>
          </w:tcPr>
          <w:p w14:paraId="25CCDFE6" w14:textId="7E321C3C"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3FB6440F" w14:textId="65796C06" w:rsidR="004A05EF" w:rsidRPr="0053555E" w:rsidRDefault="004A05EF" w:rsidP="004A05EF">
            <w:pPr>
              <w:jc w:val="center"/>
              <w:rPr>
                <w:rFonts w:asciiTheme="majorHAnsi" w:hAnsiTheme="majorHAnsi" w:cstheme="majorHAnsi"/>
                <w:b/>
                <w:bCs/>
                <w:sz w:val="20"/>
                <w:szCs w:val="20"/>
              </w:rPr>
            </w:pPr>
          </w:p>
        </w:tc>
      </w:tr>
      <w:tr w:rsidR="004A05EF" w:rsidRPr="0053555E" w14:paraId="728A3C58"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auto"/>
            <w:vAlign w:val="bottom"/>
          </w:tcPr>
          <w:p w14:paraId="00B03504" w14:textId="61CA8A0B" w:rsidR="004A05EF" w:rsidRPr="0053555E" w:rsidRDefault="004A05EF" w:rsidP="004A05EF">
            <w:pPr>
              <w:rPr>
                <w:rFonts w:cs="Calibri"/>
                <w:sz w:val="20"/>
                <w:szCs w:val="20"/>
              </w:rPr>
            </w:pPr>
            <w:r w:rsidRPr="0053555E">
              <w:rPr>
                <w:rFonts w:cs="Calibri"/>
                <w:sz w:val="20"/>
                <w:szCs w:val="20"/>
              </w:rPr>
              <w:t>2. miesto Paris International open IBJJF Jiu -Jitsu Championship 2022</w:t>
            </w:r>
          </w:p>
        </w:tc>
        <w:tc>
          <w:tcPr>
            <w:tcW w:w="567" w:type="dxa"/>
            <w:tcBorders>
              <w:top w:val="single" w:sz="4" w:space="0" w:color="auto"/>
              <w:left w:val="nil"/>
              <w:bottom w:val="single" w:sz="4" w:space="0" w:color="auto"/>
              <w:right w:val="single" w:sz="4" w:space="0" w:color="auto"/>
            </w:tcBorders>
            <w:shd w:val="clear" w:color="auto" w:fill="auto"/>
            <w:vAlign w:val="center"/>
          </w:tcPr>
          <w:p w14:paraId="02EE7D60" w14:textId="6302C92F"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24C71B8" w14:textId="41B1F4A2" w:rsidR="004A05EF" w:rsidRPr="0053555E" w:rsidRDefault="004A05EF" w:rsidP="004A05EF">
            <w:pPr>
              <w:jc w:val="center"/>
              <w:rPr>
                <w:rFonts w:asciiTheme="majorHAnsi" w:hAnsiTheme="majorHAnsi" w:cstheme="majorHAnsi"/>
                <w:b/>
                <w:bCs/>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9B35468" w14:textId="02959E30" w:rsidR="004A05EF" w:rsidRPr="0053555E" w:rsidRDefault="004A05EF" w:rsidP="004A05EF">
            <w:pPr>
              <w:jc w:val="center"/>
              <w:rPr>
                <w:rFonts w:asciiTheme="majorHAnsi" w:hAnsiTheme="majorHAnsi" w:cstheme="majorHAnsi"/>
                <w:bCs/>
                <w:sz w:val="20"/>
                <w:szCs w:val="20"/>
              </w:rPr>
            </w:pPr>
            <w:r w:rsidRPr="0053555E">
              <w:rPr>
                <w:rFonts w:cs="Calibri"/>
                <w:sz w:val="20"/>
                <w:szCs w:val="20"/>
              </w:rPr>
              <w:t>1</w:t>
            </w:r>
          </w:p>
        </w:tc>
        <w:tc>
          <w:tcPr>
            <w:tcW w:w="708" w:type="dxa"/>
            <w:tcBorders>
              <w:top w:val="single" w:sz="4" w:space="0" w:color="auto"/>
              <w:left w:val="nil"/>
              <w:bottom w:val="single" w:sz="4" w:space="0" w:color="auto"/>
              <w:right w:val="single" w:sz="4" w:space="0" w:color="auto"/>
            </w:tcBorders>
            <w:shd w:val="clear" w:color="auto" w:fill="auto"/>
            <w:vAlign w:val="center"/>
          </w:tcPr>
          <w:p w14:paraId="0FB9D996" w14:textId="2F32D766"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67DD095F" w14:textId="103A14AB"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25BD7AB6" w14:textId="264924B9" w:rsidR="004A05EF" w:rsidRPr="0053555E" w:rsidRDefault="004A05EF" w:rsidP="004A05EF">
            <w:pPr>
              <w:jc w:val="center"/>
              <w:rPr>
                <w:rFonts w:cs="Calibri"/>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71195734" w14:textId="2D1C006D" w:rsidR="004A05EF" w:rsidRPr="0053555E" w:rsidRDefault="004A05EF" w:rsidP="004A05EF">
            <w:pPr>
              <w:jc w:val="center"/>
              <w:rPr>
                <w:rFonts w:asciiTheme="majorHAnsi" w:hAnsiTheme="majorHAnsi" w:cstheme="majorHAnsi"/>
                <w:b/>
                <w:bCs/>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center"/>
          </w:tcPr>
          <w:p w14:paraId="743363D8" w14:textId="3D136BD1" w:rsidR="004A05EF" w:rsidRPr="0053555E" w:rsidRDefault="004A05EF" w:rsidP="004A05EF">
            <w:pPr>
              <w:jc w:val="center"/>
              <w:rPr>
                <w:rFonts w:asciiTheme="majorHAnsi" w:hAnsiTheme="majorHAnsi" w:cstheme="majorHAnsi"/>
                <w:b/>
                <w:bCs/>
                <w:sz w:val="20"/>
                <w:szCs w:val="20"/>
              </w:rPr>
            </w:pPr>
          </w:p>
        </w:tc>
      </w:tr>
      <w:tr w:rsidR="004A05EF" w:rsidRPr="0053555E" w14:paraId="7342C073" w14:textId="77777777" w:rsidTr="00737317">
        <w:trPr>
          <w:trHeight w:val="255"/>
        </w:trPr>
        <w:tc>
          <w:tcPr>
            <w:tcW w:w="4258" w:type="dxa"/>
            <w:tcBorders>
              <w:top w:val="single" w:sz="4" w:space="0" w:color="auto"/>
              <w:left w:val="single" w:sz="4" w:space="0" w:color="auto"/>
              <w:bottom w:val="single" w:sz="4" w:space="0" w:color="auto"/>
              <w:right w:val="single" w:sz="4" w:space="0" w:color="auto"/>
            </w:tcBorders>
            <w:shd w:val="clear" w:color="auto" w:fill="EEECE1" w:themeFill="background2"/>
          </w:tcPr>
          <w:p w14:paraId="3C39E4F2" w14:textId="75D8F555" w:rsidR="004A05EF" w:rsidRPr="0053555E" w:rsidRDefault="004A05EF" w:rsidP="004A05EF">
            <w:pPr>
              <w:jc w:val="right"/>
              <w:rPr>
                <w:rFonts w:asciiTheme="majorHAnsi" w:hAnsiTheme="majorHAnsi" w:cstheme="majorHAnsi"/>
                <w:b/>
                <w:bCs/>
                <w:sz w:val="20"/>
                <w:szCs w:val="20"/>
              </w:rPr>
            </w:pPr>
            <w:r w:rsidRPr="0053555E">
              <w:rPr>
                <w:rFonts w:cs="Calibri"/>
                <w:b/>
                <w:bCs/>
                <w:sz w:val="20"/>
                <w:szCs w:val="20"/>
              </w:rPr>
              <w:t>Spolu získaných ocenení</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tcPr>
          <w:p w14:paraId="1410DDD3" w14:textId="45FE6E60" w:rsidR="004A05EF" w:rsidRPr="0053555E" w:rsidRDefault="004A05EF" w:rsidP="004A05EF">
            <w:pPr>
              <w:jc w:val="center"/>
              <w:rPr>
                <w:rFonts w:asciiTheme="majorHAnsi" w:hAnsiTheme="majorHAnsi" w:cstheme="majorHAnsi"/>
                <w:b/>
                <w:bCs/>
                <w:sz w:val="20"/>
                <w:szCs w:val="20"/>
              </w:rPr>
            </w:pPr>
            <w:r w:rsidRPr="0053555E">
              <w:rPr>
                <w:rFonts w:cs="Calibri"/>
                <w:b/>
                <w:bCs/>
                <w:sz w:val="20"/>
                <w:szCs w:val="20"/>
              </w:rPr>
              <w:t>0</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tcPr>
          <w:p w14:paraId="661AAD2F" w14:textId="5B431B6C" w:rsidR="004A05EF" w:rsidRPr="0053555E" w:rsidRDefault="004A05EF" w:rsidP="004A05EF">
            <w:pPr>
              <w:jc w:val="center"/>
              <w:rPr>
                <w:rFonts w:asciiTheme="majorHAnsi" w:hAnsiTheme="majorHAnsi" w:cstheme="majorHAnsi"/>
                <w:b/>
                <w:bCs/>
                <w:sz w:val="20"/>
                <w:szCs w:val="20"/>
              </w:rPr>
            </w:pPr>
            <w:r w:rsidRPr="0053555E">
              <w:rPr>
                <w:rFonts w:cs="Calibri"/>
                <w:b/>
                <w:bCs/>
                <w:sz w:val="20"/>
                <w:szCs w:val="20"/>
              </w:rPr>
              <w:t>0</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tcPr>
          <w:p w14:paraId="2872D37F" w14:textId="1B8882F7" w:rsidR="004A05EF" w:rsidRPr="0053555E" w:rsidRDefault="004A05EF" w:rsidP="004A05EF">
            <w:pPr>
              <w:jc w:val="center"/>
              <w:rPr>
                <w:rFonts w:asciiTheme="majorHAnsi" w:hAnsiTheme="majorHAnsi" w:cstheme="majorHAnsi"/>
                <w:b/>
                <w:bCs/>
                <w:sz w:val="20"/>
                <w:szCs w:val="20"/>
              </w:rPr>
            </w:pPr>
            <w:r w:rsidRPr="0053555E">
              <w:rPr>
                <w:rFonts w:cs="Calibri"/>
                <w:b/>
                <w:bCs/>
                <w:sz w:val="20"/>
                <w:szCs w:val="20"/>
              </w:rPr>
              <w:t>6</w:t>
            </w:r>
          </w:p>
        </w:tc>
        <w:tc>
          <w:tcPr>
            <w:tcW w:w="708" w:type="dxa"/>
            <w:tcBorders>
              <w:top w:val="single" w:sz="4" w:space="0" w:color="auto"/>
              <w:left w:val="nil"/>
              <w:bottom w:val="single" w:sz="4" w:space="0" w:color="auto"/>
              <w:right w:val="single" w:sz="4" w:space="0" w:color="auto"/>
            </w:tcBorders>
            <w:shd w:val="clear" w:color="auto" w:fill="EEECE1" w:themeFill="background2"/>
            <w:vAlign w:val="center"/>
          </w:tcPr>
          <w:p w14:paraId="5828666F" w14:textId="433F5B5D" w:rsidR="004A05EF" w:rsidRPr="0053555E" w:rsidRDefault="004A05EF" w:rsidP="004A05EF">
            <w:pPr>
              <w:jc w:val="center"/>
              <w:rPr>
                <w:rFonts w:asciiTheme="majorHAnsi" w:hAnsiTheme="majorHAnsi" w:cstheme="majorHAnsi"/>
                <w:b/>
                <w:bCs/>
                <w:sz w:val="20"/>
                <w:szCs w:val="20"/>
              </w:rPr>
            </w:pPr>
            <w:r w:rsidRPr="0053555E">
              <w:rPr>
                <w:rFonts w:cs="Calibri"/>
                <w:b/>
                <w:bCs/>
                <w:sz w:val="20"/>
                <w:szCs w:val="20"/>
              </w:rPr>
              <w:t>3</w:t>
            </w:r>
          </w:p>
        </w:tc>
        <w:tc>
          <w:tcPr>
            <w:tcW w:w="638" w:type="dxa"/>
            <w:tcBorders>
              <w:top w:val="single" w:sz="4" w:space="0" w:color="auto"/>
              <w:left w:val="nil"/>
              <w:bottom w:val="single" w:sz="4" w:space="0" w:color="auto"/>
              <w:right w:val="single" w:sz="4" w:space="0" w:color="auto"/>
            </w:tcBorders>
            <w:shd w:val="clear" w:color="auto" w:fill="EEECE1" w:themeFill="background2"/>
            <w:vAlign w:val="center"/>
          </w:tcPr>
          <w:p w14:paraId="20EE8C1D" w14:textId="651C29E0" w:rsidR="004A05EF" w:rsidRPr="0053555E" w:rsidRDefault="004A05EF" w:rsidP="004A05EF">
            <w:pPr>
              <w:jc w:val="center"/>
              <w:rPr>
                <w:rFonts w:asciiTheme="majorHAnsi" w:hAnsiTheme="majorHAnsi" w:cstheme="majorHAnsi"/>
                <w:b/>
                <w:bCs/>
                <w:sz w:val="20"/>
                <w:szCs w:val="20"/>
              </w:rPr>
            </w:pPr>
            <w:r w:rsidRPr="0053555E">
              <w:rPr>
                <w:rFonts w:cs="Calibri"/>
                <w:b/>
                <w:bCs/>
                <w:sz w:val="20"/>
                <w:szCs w:val="20"/>
              </w:rPr>
              <w:t>4</w:t>
            </w:r>
          </w:p>
        </w:tc>
        <w:tc>
          <w:tcPr>
            <w:tcW w:w="638" w:type="dxa"/>
            <w:tcBorders>
              <w:top w:val="single" w:sz="4" w:space="0" w:color="auto"/>
              <w:left w:val="nil"/>
              <w:bottom w:val="single" w:sz="4" w:space="0" w:color="auto"/>
              <w:right w:val="single" w:sz="4" w:space="0" w:color="auto"/>
            </w:tcBorders>
            <w:shd w:val="clear" w:color="auto" w:fill="EEECE1" w:themeFill="background2"/>
            <w:vAlign w:val="center"/>
          </w:tcPr>
          <w:p w14:paraId="7A81FB90" w14:textId="236E9D11" w:rsidR="004A05EF" w:rsidRPr="0053555E" w:rsidRDefault="004A05EF" w:rsidP="004A05EF">
            <w:pPr>
              <w:jc w:val="center"/>
              <w:rPr>
                <w:rFonts w:asciiTheme="majorHAnsi" w:hAnsiTheme="majorHAnsi" w:cstheme="majorHAnsi"/>
                <w:b/>
                <w:bCs/>
                <w:sz w:val="20"/>
                <w:szCs w:val="20"/>
              </w:rPr>
            </w:pPr>
            <w:r w:rsidRPr="0053555E">
              <w:rPr>
                <w:rFonts w:cs="Calibri"/>
                <w:b/>
                <w:bCs/>
                <w:sz w:val="20"/>
                <w:szCs w:val="20"/>
              </w:rPr>
              <w:t>2</w:t>
            </w:r>
          </w:p>
        </w:tc>
        <w:tc>
          <w:tcPr>
            <w:tcW w:w="638" w:type="dxa"/>
            <w:tcBorders>
              <w:top w:val="single" w:sz="4" w:space="0" w:color="auto"/>
              <w:left w:val="nil"/>
              <w:bottom w:val="single" w:sz="4" w:space="0" w:color="auto"/>
              <w:right w:val="single" w:sz="4" w:space="0" w:color="auto"/>
            </w:tcBorders>
            <w:shd w:val="clear" w:color="auto" w:fill="EEECE1" w:themeFill="background2"/>
            <w:vAlign w:val="center"/>
          </w:tcPr>
          <w:p w14:paraId="679CCB01" w14:textId="56A008BB" w:rsidR="004A05EF" w:rsidRPr="0053555E" w:rsidRDefault="004A05EF" w:rsidP="004A05EF">
            <w:pPr>
              <w:jc w:val="center"/>
              <w:rPr>
                <w:rFonts w:asciiTheme="majorHAnsi" w:hAnsiTheme="majorHAnsi" w:cstheme="majorHAnsi"/>
                <w:b/>
                <w:bCs/>
                <w:sz w:val="20"/>
                <w:szCs w:val="20"/>
              </w:rPr>
            </w:pPr>
            <w:r w:rsidRPr="0053555E">
              <w:rPr>
                <w:rFonts w:cs="Calibri"/>
                <w:b/>
                <w:bCs/>
                <w:sz w:val="20"/>
                <w:szCs w:val="20"/>
              </w:rPr>
              <w:t>0</w:t>
            </w:r>
          </w:p>
        </w:tc>
        <w:tc>
          <w:tcPr>
            <w:tcW w:w="638" w:type="dxa"/>
            <w:tcBorders>
              <w:top w:val="single" w:sz="4" w:space="0" w:color="auto"/>
              <w:left w:val="nil"/>
              <w:bottom w:val="single" w:sz="4" w:space="0" w:color="auto"/>
              <w:right w:val="single" w:sz="4" w:space="0" w:color="auto"/>
            </w:tcBorders>
            <w:shd w:val="clear" w:color="auto" w:fill="EEECE1" w:themeFill="background2"/>
            <w:vAlign w:val="center"/>
          </w:tcPr>
          <w:p w14:paraId="0524E3C5" w14:textId="2A80D60E" w:rsidR="004A05EF" w:rsidRPr="0053555E" w:rsidRDefault="004A05EF" w:rsidP="004A05EF">
            <w:pPr>
              <w:jc w:val="center"/>
              <w:rPr>
                <w:rFonts w:asciiTheme="majorHAnsi" w:hAnsiTheme="majorHAnsi" w:cstheme="majorHAnsi"/>
                <w:b/>
                <w:bCs/>
                <w:sz w:val="20"/>
                <w:szCs w:val="20"/>
              </w:rPr>
            </w:pPr>
            <w:r w:rsidRPr="0053555E">
              <w:rPr>
                <w:rFonts w:cs="Calibri"/>
                <w:b/>
                <w:bCs/>
                <w:sz w:val="20"/>
                <w:szCs w:val="20"/>
              </w:rPr>
              <w:t>0</w:t>
            </w:r>
          </w:p>
        </w:tc>
      </w:tr>
    </w:tbl>
    <w:p w14:paraId="62DDEB58" w14:textId="637225E0" w:rsidR="00E36C14" w:rsidRPr="0053555E" w:rsidRDefault="00E36C14">
      <w:pPr>
        <w:rPr>
          <w:rFonts w:asciiTheme="majorHAnsi" w:hAnsiTheme="majorHAnsi" w:cstheme="majorHAnsi"/>
          <w:sz w:val="20"/>
          <w:szCs w:val="20"/>
        </w:rPr>
      </w:pPr>
    </w:p>
    <w:p w14:paraId="1F5FC018" w14:textId="33DA7250" w:rsidR="00223548" w:rsidRPr="0053555E" w:rsidRDefault="002071AC" w:rsidP="00B04D31">
      <w:pPr>
        <w:tabs>
          <w:tab w:val="left" w:pos="9356"/>
        </w:tabs>
        <w:spacing w:after="120"/>
        <w:jc w:val="both"/>
        <w:rPr>
          <w:rFonts w:asciiTheme="majorHAnsi" w:hAnsiTheme="majorHAnsi" w:cstheme="majorHAnsi"/>
        </w:rPr>
      </w:pPr>
      <w:r w:rsidRPr="0053555E">
        <w:rPr>
          <w:rFonts w:asciiTheme="majorHAnsi" w:hAnsiTheme="majorHAnsi" w:cstheme="majorHAnsi"/>
        </w:rPr>
        <w:t xml:space="preserve">Špecifickou možnosťou reprezentácie univerzity sú národné alebo medzinárodné študentské </w:t>
      </w:r>
      <w:r w:rsidR="00826281" w:rsidRPr="0053555E">
        <w:rPr>
          <w:rFonts w:asciiTheme="majorHAnsi" w:hAnsiTheme="majorHAnsi" w:cstheme="majorHAnsi"/>
        </w:rPr>
        <w:t xml:space="preserve">vedecké </w:t>
      </w:r>
      <w:r w:rsidRPr="0053555E">
        <w:rPr>
          <w:rFonts w:asciiTheme="majorHAnsi" w:hAnsiTheme="majorHAnsi" w:cstheme="majorHAnsi"/>
        </w:rPr>
        <w:t>k</w:t>
      </w:r>
      <w:r w:rsidR="00B04D31">
        <w:rPr>
          <w:rFonts w:asciiTheme="majorHAnsi" w:hAnsiTheme="majorHAnsi" w:cstheme="majorHAnsi"/>
        </w:rPr>
        <w:t>onferencie, zamerané najmä</w:t>
      </w:r>
      <w:r w:rsidRPr="0053555E">
        <w:rPr>
          <w:rFonts w:asciiTheme="majorHAnsi" w:hAnsiTheme="majorHAnsi" w:cstheme="majorHAnsi"/>
        </w:rPr>
        <w:t xml:space="preserve"> na prezentáciu študentskej vedeckej, odbornej a umeleckej činnosti</w:t>
      </w:r>
      <w:r w:rsidR="0002523C" w:rsidRPr="0053555E">
        <w:rPr>
          <w:rFonts w:asciiTheme="majorHAnsi" w:hAnsiTheme="majorHAnsi" w:cstheme="majorHAnsi"/>
        </w:rPr>
        <w:t xml:space="preserve"> (ŠVOČ)</w:t>
      </w:r>
      <w:r w:rsidRPr="0053555E">
        <w:rPr>
          <w:rFonts w:asciiTheme="majorHAnsi" w:hAnsiTheme="majorHAnsi" w:cstheme="majorHAnsi"/>
        </w:rPr>
        <w:t xml:space="preserve">. Úspechy študentov STU v tejto oblasti sú </w:t>
      </w:r>
      <w:r w:rsidR="0002523C" w:rsidRPr="0053555E">
        <w:rPr>
          <w:rFonts w:asciiTheme="majorHAnsi" w:hAnsiTheme="majorHAnsi" w:cstheme="majorHAnsi"/>
        </w:rPr>
        <w:t>tiež zaznamenané v uvedených tabuľkách</w:t>
      </w:r>
      <w:r w:rsidR="00DE3BC6" w:rsidRPr="0053555E">
        <w:rPr>
          <w:rFonts w:asciiTheme="majorHAnsi" w:hAnsiTheme="majorHAnsi" w:cstheme="majorHAnsi"/>
        </w:rPr>
        <w:t xml:space="preserve">. </w:t>
      </w:r>
      <w:r w:rsidR="00223548" w:rsidRPr="0053555E">
        <w:rPr>
          <w:rFonts w:asciiTheme="majorHAnsi" w:hAnsiTheme="majorHAnsi" w:cstheme="majorHAnsi"/>
        </w:rPr>
        <w:t>Jedným z takýchto podujatí je aj</w:t>
      </w:r>
      <w:r w:rsidR="00223548" w:rsidRPr="0053555E">
        <w:rPr>
          <w:rFonts w:asciiTheme="majorHAnsi" w:hAnsiTheme="majorHAnsi" w:cstheme="majorHAnsi"/>
          <w:b/>
        </w:rPr>
        <w:t xml:space="preserve"> XX</w:t>
      </w:r>
      <w:r w:rsidR="004A05EF" w:rsidRPr="0053555E">
        <w:rPr>
          <w:rFonts w:asciiTheme="majorHAnsi" w:hAnsiTheme="majorHAnsi" w:cstheme="majorHAnsi"/>
          <w:b/>
        </w:rPr>
        <w:t>I</w:t>
      </w:r>
      <w:r w:rsidR="00223548" w:rsidRPr="0053555E">
        <w:rPr>
          <w:rFonts w:asciiTheme="majorHAnsi" w:hAnsiTheme="majorHAnsi" w:cstheme="majorHAnsi"/>
          <w:b/>
        </w:rPr>
        <w:t>I. ročník súťaže SVOČ stavebných fakúlt Českej republiky a Slovenskej republiky</w:t>
      </w:r>
      <w:r w:rsidR="00223548" w:rsidRPr="0053555E">
        <w:rPr>
          <w:rFonts w:asciiTheme="majorHAnsi" w:hAnsiTheme="majorHAnsi" w:cstheme="majorHAnsi"/>
        </w:rPr>
        <w:t>,</w:t>
      </w:r>
      <w:r w:rsidR="00223548" w:rsidRPr="0053555E">
        <w:rPr>
          <w:rFonts w:asciiTheme="majorHAnsi" w:hAnsiTheme="majorHAnsi" w:cstheme="majorHAnsi"/>
          <w:bCs/>
        </w:rPr>
        <w:t xml:space="preserve"> ktorá sa </w:t>
      </w:r>
      <w:r w:rsidR="005A3694" w:rsidRPr="0053555E">
        <w:rPr>
          <w:rFonts w:asciiTheme="majorHAnsi" w:hAnsiTheme="majorHAnsi" w:cstheme="majorHAnsi"/>
          <w:bCs/>
        </w:rPr>
        <w:t>v roku 202</w:t>
      </w:r>
      <w:r w:rsidR="00F37F0A">
        <w:rPr>
          <w:rFonts w:asciiTheme="majorHAnsi" w:hAnsiTheme="majorHAnsi" w:cstheme="majorHAnsi"/>
          <w:bCs/>
        </w:rPr>
        <w:t>2</w:t>
      </w:r>
      <w:r w:rsidR="005A3694" w:rsidRPr="0053555E">
        <w:rPr>
          <w:rFonts w:asciiTheme="majorHAnsi" w:hAnsiTheme="majorHAnsi" w:cstheme="majorHAnsi"/>
          <w:bCs/>
        </w:rPr>
        <w:t xml:space="preserve"> </w:t>
      </w:r>
      <w:r w:rsidR="00223548" w:rsidRPr="0053555E">
        <w:rPr>
          <w:rFonts w:asciiTheme="majorHAnsi" w:hAnsiTheme="majorHAnsi" w:cstheme="majorHAnsi"/>
          <w:bCs/>
        </w:rPr>
        <w:t xml:space="preserve">uskutočnila </w:t>
      </w:r>
      <w:r w:rsidR="00250480" w:rsidRPr="0053555E">
        <w:rPr>
          <w:rFonts w:asciiTheme="majorHAnsi" w:hAnsiTheme="majorHAnsi" w:cstheme="majorHAnsi"/>
          <w:bCs/>
        </w:rPr>
        <w:t xml:space="preserve">online </w:t>
      </w:r>
      <w:r w:rsidR="003B5596">
        <w:rPr>
          <w:rFonts w:asciiTheme="majorHAnsi" w:hAnsiTheme="majorHAnsi" w:cstheme="majorHAnsi"/>
          <w:bCs/>
        </w:rPr>
        <w:t>19</w:t>
      </w:r>
      <w:r w:rsidR="00250480" w:rsidRPr="0053555E">
        <w:rPr>
          <w:rFonts w:asciiTheme="majorHAnsi" w:hAnsiTheme="majorHAnsi" w:cstheme="majorHAnsi"/>
          <w:bCs/>
        </w:rPr>
        <w:t>.</w:t>
      </w:r>
      <w:r w:rsidR="00016533" w:rsidRPr="0053555E">
        <w:rPr>
          <w:rFonts w:asciiTheme="majorHAnsi" w:hAnsiTheme="majorHAnsi" w:cstheme="majorHAnsi"/>
          <w:bCs/>
        </w:rPr>
        <w:t> </w:t>
      </w:r>
      <w:r w:rsidR="00B04D31">
        <w:rPr>
          <w:rFonts w:asciiTheme="majorHAnsi" w:hAnsiTheme="majorHAnsi" w:cstheme="majorHAnsi"/>
          <w:bCs/>
        </w:rPr>
        <w:t>mája</w:t>
      </w:r>
      <w:r w:rsidR="00EE256B" w:rsidRPr="0053555E">
        <w:rPr>
          <w:rFonts w:asciiTheme="majorHAnsi" w:hAnsiTheme="majorHAnsi" w:cstheme="majorHAnsi"/>
          <w:bCs/>
        </w:rPr>
        <w:t>. O</w:t>
      </w:r>
      <w:r w:rsidR="00250480" w:rsidRPr="0053555E">
        <w:rPr>
          <w:rFonts w:asciiTheme="majorHAnsi" w:hAnsiTheme="majorHAnsi" w:cstheme="majorHAnsi"/>
          <w:bCs/>
        </w:rPr>
        <w:t xml:space="preserve">rganizátorom </w:t>
      </w:r>
      <w:r w:rsidR="00EE256B" w:rsidRPr="0053555E">
        <w:rPr>
          <w:rFonts w:asciiTheme="majorHAnsi" w:hAnsiTheme="majorHAnsi" w:cstheme="majorHAnsi"/>
          <w:bCs/>
        </w:rPr>
        <w:t xml:space="preserve">súťaže </w:t>
      </w:r>
      <w:r w:rsidR="00250480" w:rsidRPr="0053555E">
        <w:rPr>
          <w:rFonts w:asciiTheme="majorHAnsi" w:hAnsiTheme="majorHAnsi" w:cstheme="majorHAnsi"/>
          <w:bCs/>
        </w:rPr>
        <w:t xml:space="preserve">bola </w:t>
      </w:r>
      <w:r w:rsidR="003B5596">
        <w:rPr>
          <w:rFonts w:asciiTheme="majorHAnsi" w:hAnsiTheme="majorHAnsi" w:cstheme="majorHAnsi"/>
          <w:bCs/>
        </w:rPr>
        <w:t>STU</w:t>
      </w:r>
      <w:r w:rsidR="00223548" w:rsidRPr="0053555E">
        <w:rPr>
          <w:rFonts w:asciiTheme="majorHAnsi" w:hAnsiTheme="majorHAnsi" w:cstheme="majorHAnsi"/>
          <w:bCs/>
        </w:rPr>
        <w:t xml:space="preserve"> za účasti </w:t>
      </w:r>
      <w:r w:rsidR="00223548" w:rsidRPr="0053555E">
        <w:rPr>
          <w:rFonts w:asciiTheme="majorHAnsi" w:hAnsiTheme="majorHAnsi" w:cstheme="majorHAnsi"/>
        </w:rPr>
        <w:t>študentov stavebných fakúlt ČVUT Praha, VUT Brno, VŠB TU Ostrava, ŽU Žilina</w:t>
      </w:r>
      <w:r w:rsidR="003B5596">
        <w:rPr>
          <w:rFonts w:asciiTheme="majorHAnsi" w:hAnsiTheme="majorHAnsi" w:cstheme="majorHAnsi"/>
        </w:rPr>
        <w:t>,</w:t>
      </w:r>
      <w:r w:rsidR="00223548" w:rsidRPr="0053555E">
        <w:rPr>
          <w:rFonts w:asciiTheme="majorHAnsi" w:hAnsiTheme="majorHAnsi" w:cstheme="majorHAnsi"/>
        </w:rPr>
        <w:t xml:space="preserve"> TU Košice a STU Bratislava. Študenti súťažili v</w:t>
      </w:r>
      <w:r w:rsidR="003B5596">
        <w:rPr>
          <w:rFonts w:asciiTheme="majorHAnsi" w:hAnsiTheme="majorHAnsi" w:cstheme="majorHAnsi"/>
        </w:rPr>
        <w:t> </w:t>
      </w:r>
      <w:r w:rsidR="003029BF">
        <w:rPr>
          <w:rFonts w:asciiTheme="majorHAnsi" w:hAnsiTheme="majorHAnsi" w:cstheme="majorHAnsi"/>
          <w:bCs/>
        </w:rPr>
        <w:t>jedenástich</w:t>
      </w:r>
      <w:r w:rsidR="003029BF" w:rsidRPr="0053555E">
        <w:rPr>
          <w:rFonts w:asciiTheme="majorHAnsi" w:hAnsiTheme="majorHAnsi" w:cstheme="majorHAnsi"/>
          <w:bCs/>
        </w:rPr>
        <w:t xml:space="preserve"> </w:t>
      </w:r>
      <w:r w:rsidR="00223548" w:rsidRPr="0053555E">
        <w:rPr>
          <w:rFonts w:asciiTheme="majorHAnsi" w:hAnsiTheme="majorHAnsi" w:cstheme="majorHAnsi"/>
        </w:rPr>
        <w:t xml:space="preserve">sekciách. </w:t>
      </w:r>
      <w:r w:rsidR="00145A28">
        <w:rPr>
          <w:rFonts w:asciiTheme="majorHAnsi" w:hAnsiTheme="majorHAnsi" w:cstheme="majorHAnsi"/>
        </w:rPr>
        <w:t>Š</w:t>
      </w:r>
      <w:r w:rsidR="00223548" w:rsidRPr="0053555E">
        <w:rPr>
          <w:rFonts w:asciiTheme="majorHAnsi" w:hAnsiTheme="majorHAnsi" w:cstheme="majorHAnsi"/>
        </w:rPr>
        <w:t>tudenti</w:t>
      </w:r>
      <w:r w:rsidR="00145A28" w:rsidRPr="00145A28">
        <w:rPr>
          <w:rFonts w:asciiTheme="majorHAnsi" w:hAnsiTheme="majorHAnsi" w:cstheme="majorHAnsi"/>
        </w:rPr>
        <w:t xml:space="preserve"> </w:t>
      </w:r>
      <w:r w:rsidR="00145A28" w:rsidRPr="0053555E">
        <w:rPr>
          <w:rFonts w:asciiTheme="majorHAnsi" w:hAnsiTheme="majorHAnsi" w:cstheme="majorHAnsi"/>
        </w:rPr>
        <w:t>STU</w:t>
      </w:r>
      <w:r w:rsidR="003029BF">
        <w:rPr>
          <w:rFonts w:asciiTheme="majorHAnsi" w:hAnsiTheme="majorHAnsi" w:cstheme="majorHAnsi"/>
        </w:rPr>
        <w:t xml:space="preserve"> </w:t>
      </w:r>
      <w:r w:rsidR="003D2969">
        <w:rPr>
          <w:rFonts w:asciiTheme="majorHAnsi" w:hAnsiTheme="majorHAnsi" w:cstheme="majorHAnsi"/>
        </w:rPr>
        <w:t xml:space="preserve">sa umiestnili na prvých troch miestach v 7 sekciách </w:t>
      </w:r>
      <w:r w:rsidR="00223548" w:rsidRPr="0053555E">
        <w:rPr>
          <w:rFonts w:asciiTheme="majorHAnsi" w:hAnsiTheme="majorHAnsi" w:cstheme="majorHAnsi"/>
        </w:rPr>
        <w:t>(</w:t>
      </w:r>
      <w:r w:rsidR="003D2969">
        <w:rPr>
          <w:rFonts w:asciiTheme="majorHAnsi" w:hAnsiTheme="majorHAnsi" w:cstheme="majorHAnsi"/>
        </w:rPr>
        <w:t>2</w:t>
      </w:r>
      <w:r w:rsidR="00223548" w:rsidRPr="0053555E">
        <w:rPr>
          <w:rFonts w:asciiTheme="majorHAnsi" w:hAnsiTheme="majorHAnsi" w:cstheme="majorHAnsi"/>
        </w:rPr>
        <w:t xml:space="preserve"> x 1. miesto, </w:t>
      </w:r>
      <w:r w:rsidR="00FD0861">
        <w:rPr>
          <w:rFonts w:asciiTheme="majorHAnsi" w:hAnsiTheme="majorHAnsi" w:cstheme="majorHAnsi"/>
        </w:rPr>
        <w:t>3</w:t>
      </w:r>
      <w:r w:rsidR="00223548" w:rsidRPr="0053555E">
        <w:rPr>
          <w:rFonts w:asciiTheme="majorHAnsi" w:hAnsiTheme="majorHAnsi" w:cstheme="majorHAnsi"/>
        </w:rPr>
        <w:t xml:space="preserve"> x 2. miesto</w:t>
      </w:r>
      <w:r w:rsidR="00CD44BB" w:rsidRPr="0053555E">
        <w:rPr>
          <w:rFonts w:asciiTheme="majorHAnsi" w:hAnsiTheme="majorHAnsi" w:cstheme="majorHAnsi"/>
        </w:rPr>
        <w:t xml:space="preserve"> </w:t>
      </w:r>
      <w:r w:rsidR="00223548" w:rsidRPr="0053555E">
        <w:rPr>
          <w:rFonts w:asciiTheme="majorHAnsi" w:hAnsiTheme="majorHAnsi" w:cstheme="majorHAnsi"/>
        </w:rPr>
        <w:t>a 2 x 3. miesto). Celkový prehľad umiestení je uvedený v</w:t>
      </w:r>
      <w:r w:rsidR="009F50B6">
        <w:rPr>
          <w:rFonts w:asciiTheme="majorHAnsi" w:hAnsiTheme="majorHAnsi" w:cstheme="majorHAnsi"/>
          <w:sz w:val="20"/>
        </w:rPr>
        <w:t xml:space="preserve"> </w:t>
      </w:r>
      <w:r w:rsidR="009F50B6" w:rsidRPr="00AB4E85">
        <w:rPr>
          <w:rFonts w:asciiTheme="majorHAnsi" w:hAnsiTheme="majorHAnsi" w:cstheme="majorHAnsi"/>
        </w:rPr>
        <w:fldChar w:fldCharType="begin"/>
      </w:r>
      <w:r w:rsidR="009F50B6" w:rsidRPr="00AB4E85">
        <w:rPr>
          <w:rFonts w:asciiTheme="majorHAnsi" w:hAnsiTheme="majorHAnsi" w:cstheme="majorHAnsi"/>
        </w:rPr>
        <w:instrText xml:space="preserve"> REF _Ref127222215 \h  \* MERGEFORMAT </w:instrText>
      </w:r>
      <w:r w:rsidR="009F50B6" w:rsidRPr="00AB4E85">
        <w:rPr>
          <w:rFonts w:asciiTheme="majorHAnsi" w:hAnsiTheme="majorHAnsi" w:cstheme="majorHAnsi"/>
        </w:rPr>
      </w:r>
      <w:r w:rsidR="009F50B6" w:rsidRPr="00AB4E85">
        <w:rPr>
          <w:rFonts w:asciiTheme="majorHAnsi" w:hAnsiTheme="majorHAnsi" w:cstheme="majorHAnsi"/>
        </w:rPr>
        <w:fldChar w:fldCharType="separate"/>
      </w:r>
      <w:r w:rsidR="00EE1B59" w:rsidRPr="00AB4E85">
        <w:t xml:space="preserve">Tab. č. </w:t>
      </w:r>
      <w:r w:rsidR="00EE1B59" w:rsidRPr="00AB4E85">
        <w:rPr>
          <w:noProof/>
        </w:rPr>
        <w:t>36</w:t>
      </w:r>
      <w:r w:rsidR="009F50B6" w:rsidRPr="00AB4E85">
        <w:rPr>
          <w:rFonts w:asciiTheme="majorHAnsi" w:hAnsiTheme="majorHAnsi" w:cstheme="majorHAnsi"/>
        </w:rPr>
        <w:fldChar w:fldCharType="end"/>
      </w:r>
      <w:r w:rsidR="009F50B6">
        <w:rPr>
          <w:rFonts w:asciiTheme="majorHAnsi" w:hAnsiTheme="majorHAnsi" w:cstheme="majorHAnsi"/>
          <w:sz w:val="16"/>
        </w:rPr>
        <w:t>.</w:t>
      </w:r>
    </w:p>
    <w:p w14:paraId="70A28FE6" w14:textId="28AE9E4F" w:rsidR="00223548" w:rsidRPr="0053555E" w:rsidRDefault="00223548" w:rsidP="000E3322">
      <w:pPr>
        <w:pStyle w:val="Popis"/>
      </w:pPr>
      <w:bookmarkStart w:id="162" w:name="_Ref31718599"/>
      <w:bookmarkStart w:id="163" w:name="_Ref127222215"/>
      <w:bookmarkStart w:id="164" w:name="_Toc32478036"/>
      <w:bookmarkStart w:id="165" w:name="_Ref127222206"/>
      <w:bookmarkStart w:id="166" w:name="_Toc127593299"/>
      <w:r w:rsidRPr="0053555E">
        <w:lastRenderedPageBreak/>
        <w:t xml:space="preserve">Tab. č. </w:t>
      </w:r>
      <w:bookmarkEnd w:id="162"/>
      <w:r w:rsidR="00376ACE" w:rsidRPr="0053555E">
        <w:fldChar w:fldCharType="begin"/>
      </w:r>
      <w:r w:rsidR="00376ACE" w:rsidRPr="0053555E">
        <w:instrText xml:space="preserve"> SEQ Tab._č. \* ARABIC  \* MERGEFORMAT </w:instrText>
      </w:r>
      <w:r w:rsidR="00376ACE" w:rsidRPr="0053555E">
        <w:fldChar w:fldCharType="separate"/>
      </w:r>
      <w:r w:rsidR="00EE1B59">
        <w:rPr>
          <w:noProof/>
        </w:rPr>
        <w:t>36</w:t>
      </w:r>
      <w:r w:rsidR="00376ACE" w:rsidRPr="0053555E">
        <w:fldChar w:fldCharType="end"/>
      </w:r>
      <w:bookmarkEnd w:id="163"/>
      <w:r w:rsidRPr="0053555E">
        <w:t>: Výsledky XX</w:t>
      </w:r>
      <w:r w:rsidR="00984862" w:rsidRPr="0053555E">
        <w:t>I</w:t>
      </w:r>
      <w:r w:rsidRPr="0053555E">
        <w:t>. ročníka súťaže ŠVOČ stavebných fakúlt Českej republiky a Slovenskej republiky</w:t>
      </w:r>
      <w:bookmarkEnd w:id="164"/>
      <w:bookmarkEnd w:id="165"/>
      <w:bookmarkEnd w:id="166"/>
    </w:p>
    <w:tbl>
      <w:tblPr>
        <w:tblW w:w="7155" w:type="dxa"/>
        <w:tblInd w:w="55" w:type="dxa"/>
        <w:tblCellMar>
          <w:left w:w="70" w:type="dxa"/>
          <w:right w:w="70" w:type="dxa"/>
        </w:tblCellMar>
        <w:tblLook w:val="04A0" w:firstRow="1" w:lastRow="0" w:firstColumn="1" w:lastColumn="0" w:noHBand="0" w:noVBand="1"/>
      </w:tblPr>
      <w:tblGrid>
        <w:gridCol w:w="1568"/>
        <w:gridCol w:w="925"/>
        <w:gridCol w:w="923"/>
        <w:gridCol w:w="928"/>
        <w:gridCol w:w="924"/>
        <w:gridCol w:w="925"/>
        <w:gridCol w:w="962"/>
      </w:tblGrid>
      <w:tr w:rsidR="00223548" w:rsidRPr="0053555E" w14:paraId="611A318A" w14:textId="77777777" w:rsidTr="00223548">
        <w:trPr>
          <w:trHeight w:val="453"/>
        </w:trPr>
        <w:tc>
          <w:tcPr>
            <w:tcW w:w="1568" w:type="dxa"/>
            <w:tcBorders>
              <w:top w:val="single" w:sz="4" w:space="0" w:color="auto"/>
              <w:left w:val="single" w:sz="4" w:space="0" w:color="auto"/>
              <w:bottom w:val="single" w:sz="4" w:space="0" w:color="auto"/>
              <w:right w:val="single" w:sz="4" w:space="0" w:color="auto"/>
            </w:tcBorders>
            <w:vAlign w:val="center"/>
            <w:hideMark/>
          </w:tcPr>
          <w:p w14:paraId="27776284" w14:textId="77777777" w:rsidR="00223548" w:rsidRPr="0053555E" w:rsidRDefault="00223548">
            <w:pPr>
              <w:tabs>
                <w:tab w:val="left" w:pos="9356"/>
              </w:tabs>
              <w:jc w:val="both"/>
              <w:rPr>
                <w:rFonts w:asciiTheme="majorHAnsi" w:eastAsia="Times New Roman" w:hAnsiTheme="majorHAnsi" w:cstheme="majorHAnsi"/>
                <w:sz w:val="20"/>
                <w:szCs w:val="18"/>
                <w:lang w:eastAsia="sk-SK"/>
              </w:rPr>
            </w:pPr>
            <w:r w:rsidRPr="0053555E">
              <w:rPr>
                <w:rFonts w:asciiTheme="majorHAnsi" w:eastAsia="Times New Roman" w:hAnsiTheme="majorHAnsi" w:cstheme="majorHAnsi"/>
                <w:sz w:val="20"/>
                <w:szCs w:val="18"/>
                <w:lang w:eastAsia="sk-SK"/>
              </w:rPr>
              <w:t>Umiestnenie</w:t>
            </w:r>
          </w:p>
          <w:p w14:paraId="2A0B3473" w14:textId="77777777" w:rsidR="00223548" w:rsidRPr="0053555E" w:rsidRDefault="00223548">
            <w:pPr>
              <w:tabs>
                <w:tab w:val="left" w:pos="9356"/>
              </w:tabs>
              <w:jc w:val="both"/>
              <w:rPr>
                <w:rFonts w:asciiTheme="majorHAnsi" w:eastAsia="Times New Roman" w:hAnsiTheme="majorHAnsi" w:cstheme="majorHAnsi"/>
                <w:sz w:val="20"/>
                <w:szCs w:val="18"/>
                <w:lang w:eastAsia="sk-SK"/>
              </w:rPr>
            </w:pPr>
            <w:r w:rsidRPr="0053555E">
              <w:rPr>
                <w:rFonts w:asciiTheme="majorHAnsi" w:eastAsia="Times New Roman" w:hAnsiTheme="majorHAnsi" w:cstheme="majorHAnsi"/>
                <w:sz w:val="20"/>
                <w:szCs w:val="18"/>
                <w:lang w:eastAsia="sk-SK"/>
              </w:rPr>
              <w:t>(počet prác)</w:t>
            </w:r>
          </w:p>
        </w:tc>
        <w:tc>
          <w:tcPr>
            <w:tcW w:w="925" w:type="dxa"/>
            <w:tcBorders>
              <w:top w:val="single" w:sz="4" w:space="0" w:color="auto"/>
              <w:left w:val="nil"/>
              <w:bottom w:val="single" w:sz="4" w:space="0" w:color="auto"/>
              <w:right w:val="single" w:sz="4" w:space="0" w:color="auto"/>
            </w:tcBorders>
            <w:vAlign w:val="center"/>
            <w:hideMark/>
          </w:tcPr>
          <w:p w14:paraId="0AE7F918" w14:textId="77777777" w:rsidR="00223548" w:rsidRPr="0053555E" w:rsidRDefault="00223548">
            <w:pPr>
              <w:tabs>
                <w:tab w:val="left" w:pos="9356"/>
              </w:tabs>
              <w:jc w:val="center"/>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ČVUT Praha</w:t>
            </w:r>
          </w:p>
        </w:tc>
        <w:tc>
          <w:tcPr>
            <w:tcW w:w="923" w:type="dxa"/>
            <w:tcBorders>
              <w:top w:val="single" w:sz="4" w:space="0" w:color="auto"/>
              <w:left w:val="nil"/>
              <w:bottom w:val="single" w:sz="4" w:space="0" w:color="auto"/>
              <w:right w:val="single" w:sz="4" w:space="0" w:color="auto"/>
            </w:tcBorders>
            <w:vAlign w:val="center"/>
            <w:hideMark/>
          </w:tcPr>
          <w:p w14:paraId="004BD4FB" w14:textId="77777777" w:rsidR="00223548" w:rsidRPr="0053555E" w:rsidRDefault="00223548">
            <w:pPr>
              <w:tabs>
                <w:tab w:val="left" w:pos="9356"/>
              </w:tabs>
              <w:jc w:val="center"/>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VUT Brno</w:t>
            </w:r>
          </w:p>
        </w:tc>
        <w:tc>
          <w:tcPr>
            <w:tcW w:w="928" w:type="dxa"/>
            <w:tcBorders>
              <w:top w:val="single" w:sz="4" w:space="0" w:color="auto"/>
              <w:left w:val="nil"/>
              <w:bottom w:val="single" w:sz="4" w:space="0" w:color="auto"/>
              <w:right w:val="single" w:sz="4" w:space="0" w:color="auto"/>
            </w:tcBorders>
            <w:vAlign w:val="center"/>
            <w:hideMark/>
          </w:tcPr>
          <w:p w14:paraId="78364AB1" w14:textId="77777777" w:rsidR="00223548" w:rsidRPr="0053555E" w:rsidRDefault="00223548">
            <w:pPr>
              <w:tabs>
                <w:tab w:val="left" w:pos="9356"/>
              </w:tabs>
              <w:jc w:val="center"/>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VŠB TU Ostrava</w:t>
            </w:r>
          </w:p>
        </w:tc>
        <w:tc>
          <w:tcPr>
            <w:tcW w:w="924" w:type="dxa"/>
            <w:tcBorders>
              <w:top w:val="single" w:sz="4" w:space="0" w:color="auto"/>
              <w:left w:val="nil"/>
              <w:bottom w:val="single" w:sz="4" w:space="0" w:color="auto"/>
              <w:right w:val="single" w:sz="4" w:space="0" w:color="auto"/>
            </w:tcBorders>
            <w:vAlign w:val="center"/>
            <w:hideMark/>
          </w:tcPr>
          <w:p w14:paraId="55DC5A44" w14:textId="77777777" w:rsidR="00223548" w:rsidRPr="0053555E" w:rsidRDefault="00223548">
            <w:pPr>
              <w:tabs>
                <w:tab w:val="left" w:pos="9356"/>
              </w:tabs>
              <w:jc w:val="center"/>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ŽU</w:t>
            </w:r>
          </w:p>
          <w:p w14:paraId="017FD593" w14:textId="77777777" w:rsidR="00223548" w:rsidRPr="0053555E" w:rsidRDefault="00223548">
            <w:pPr>
              <w:tabs>
                <w:tab w:val="left" w:pos="9356"/>
              </w:tabs>
              <w:jc w:val="center"/>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Žilina</w:t>
            </w:r>
          </w:p>
        </w:tc>
        <w:tc>
          <w:tcPr>
            <w:tcW w:w="925" w:type="dxa"/>
            <w:tcBorders>
              <w:top w:val="single" w:sz="4" w:space="0" w:color="auto"/>
              <w:left w:val="nil"/>
              <w:bottom w:val="single" w:sz="4" w:space="0" w:color="auto"/>
              <w:right w:val="single" w:sz="4" w:space="0" w:color="auto"/>
            </w:tcBorders>
            <w:vAlign w:val="center"/>
            <w:hideMark/>
          </w:tcPr>
          <w:p w14:paraId="203106FA" w14:textId="77777777" w:rsidR="00223548" w:rsidRPr="0053555E" w:rsidRDefault="00223548">
            <w:pPr>
              <w:tabs>
                <w:tab w:val="left" w:pos="9356"/>
              </w:tabs>
              <w:jc w:val="center"/>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TU Košice</w:t>
            </w:r>
          </w:p>
        </w:tc>
        <w:tc>
          <w:tcPr>
            <w:tcW w:w="962" w:type="dxa"/>
            <w:tcBorders>
              <w:top w:val="single" w:sz="4" w:space="0" w:color="auto"/>
              <w:left w:val="nil"/>
              <w:bottom w:val="single" w:sz="4" w:space="0" w:color="auto"/>
              <w:right w:val="single" w:sz="4" w:space="0" w:color="auto"/>
            </w:tcBorders>
            <w:shd w:val="clear" w:color="auto" w:fill="EEECE1" w:themeFill="background2"/>
            <w:vAlign w:val="center"/>
            <w:hideMark/>
          </w:tcPr>
          <w:p w14:paraId="13E55C7F" w14:textId="77777777" w:rsidR="00223548" w:rsidRPr="0053555E" w:rsidRDefault="00223548">
            <w:pPr>
              <w:tabs>
                <w:tab w:val="left" w:pos="9356"/>
              </w:tabs>
              <w:jc w:val="center"/>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STU Bratislava</w:t>
            </w:r>
          </w:p>
        </w:tc>
      </w:tr>
      <w:tr w:rsidR="00FB0C7A" w:rsidRPr="0053555E" w14:paraId="33243632" w14:textId="77777777" w:rsidTr="00223548">
        <w:trPr>
          <w:trHeight w:val="255"/>
        </w:trPr>
        <w:tc>
          <w:tcPr>
            <w:tcW w:w="1568" w:type="dxa"/>
            <w:tcBorders>
              <w:top w:val="nil"/>
              <w:left w:val="single" w:sz="4" w:space="0" w:color="auto"/>
              <w:bottom w:val="single" w:sz="4" w:space="0" w:color="auto"/>
              <w:right w:val="single" w:sz="4" w:space="0" w:color="auto"/>
            </w:tcBorders>
            <w:hideMark/>
          </w:tcPr>
          <w:p w14:paraId="44EB6292" w14:textId="77777777" w:rsidR="00FB0C7A" w:rsidRPr="0053555E" w:rsidRDefault="00FB0C7A" w:rsidP="00FB0C7A">
            <w:pPr>
              <w:tabs>
                <w:tab w:val="left" w:pos="9356"/>
              </w:tabs>
              <w:jc w:val="both"/>
              <w:rPr>
                <w:rFonts w:asciiTheme="majorHAnsi" w:eastAsia="Times New Roman" w:hAnsiTheme="majorHAnsi" w:cstheme="majorHAnsi"/>
                <w:sz w:val="20"/>
                <w:szCs w:val="18"/>
                <w:lang w:eastAsia="sk-SK"/>
              </w:rPr>
            </w:pPr>
            <w:r w:rsidRPr="0053555E">
              <w:rPr>
                <w:rFonts w:asciiTheme="majorHAnsi" w:eastAsia="Times New Roman" w:hAnsiTheme="majorHAnsi" w:cstheme="majorHAnsi"/>
                <w:sz w:val="20"/>
                <w:szCs w:val="18"/>
                <w:lang w:eastAsia="sk-SK"/>
              </w:rPr>
              <w:t>1. miesto</w:t>
            </w:r>
          </w:p>
        </w:tc>
        <w:tc>
          <w:tcPr>
            <w:tcW w:w="925" w:type="dxa"/>
            <w:tcBorders>
              <w:top w:val="nil"/>
              <w:left w:val="nil"/>
              <w:bottom w:val="single" w:sz="4" w:space="0" w:color="auto"/>
              <w:right w:val="single" w:sz="4" w:space="0" w:color="auto"/>
            </w:tcBorders>
            <w:vAlign w:val="center"/>
            <w:hideMark/>
          </w:tcPr>
          <w:p w14:paraId="15315EB2" w14:textId="30182B5A" w:rsidR="00FB0C7A" w:rsidRPr="0053555E" w:rsidRDefault="00FB0C7A" w:rsidP="00FB0C7A">
            <w:pPr>
              <w:jc w:val="center"/>
              <w:rPr>
                <w:rFonts w:cs="Calibri"/>
                <w:sz w:val="20"/>
                <w:szCs w:val="18"/>
              </w:rPr>
            </w:pPr>
            <w:r w:rsidRPr="0053555E">
              <w:rPr>
                <w:rFonts w:cs="Calibri"/>
                <w:sz w:val="20"/>
                <w:szCs w:val="18"/>
              </w:rPr>
              <w:t>5</w:t>
            </w:r>
          </w:p>
        </w:tc>
        <w:tc>
          <w:tcPr>
            <w:tcW w:w="923" w:type="dxa"/>
            <w:tcBorders>
              <w:top w:val="nil"/>
              <w:left w:val="nil"/>
              <w:bottom w:val="single" w:sz="4" w:space="0" w:color="auto"/>
              <w:right w:val="single" w:sz="4" w:space="0" w:color="auto"/>
            </w:tcBorders>
            <w:vAlign w:val="center"/>
            <w:hideMark/>
          </w:tcPr>
          <w:p w14:paraId="220A9C78" w14:textId="0AF048CD" w:rsidR="00FB0C7A" w:rsidRPr="0053555E" w:rsidRDefault="00FB0C7A" w:rsidP="00FB0C7A">
            <w:pPr>
              <w:jc w:val="center"/>
              <w:rPr>
                <w:rFonts w:cs="Calibri"/>
                <w:sz w:val="20"/>
                <w:szCs w:val="18"/>
              </w:rPr>
            </w:pPr>
            <w:r w:rsidRPr="0053555E">
              <w:rPr>
                <w:rFonts w:cs="Calibri"/>
                <w:sz w:val="20"/>
                <w:szCs w:val="18"/>
              </w:rPr>
              <w:t>3</w:t>
            </w:r>
          </w:p>
        </w:tc>
        <w:tc>
          <w:tcPr>
            <w:tcW w:w="928" w:type="dxa"/>
            <w:tcBorders>
              <w:top w:val="nil"/>
              <w:left w:val="nil"/>
              <w:bottom w:val="single" w:sz="4" w:space="0" w:color="auto"/>
              <w:right w:val="single" w:sz="4" w:space="0" w:color="auto"/>
            </w:tcBorders>
            <w:vAlign w:val="center"/>
            <w:hideMark/>
          </w:tcPr>
          <w:p w14:paraId="0C217E37" w14:textId="1F2848C5" w:rsidR="00FB0C7A" w:rsidRPr="0053555E" w:rsidRDefault="00FB0C7A" w:rsidP="00FB0C7A">
            <w:pPr>
              <w:jc w:val="center"/>
              <w:rPr>
                <w:rFonts w:cs="Calibri"/>
                <w:sz w:val="20"/>
                <w:szCs w:val="18"/>
              </w:rPr>
            </w:pPr>
            <w:r w:rsidRPr="0053555E">
              <w:rPr>
                <w:rFonts w:cs="Calibri"/>
                <w:sz w:val="20"/>
                <w:szCs w:val="18"/>
              </w:rPr>
              <w:t>1</w:t>
            </w:r>
          </w:p>
        </w:tc>
        <w:tc>
          <w:tcPr>
            <w:tcW w:w="924" w:type="dxa"/>
            <w:tcBorders>
              <w:top w:val="nil"/>
              <w:left w:val="nil"/>
              <w:bottom w:val="single" w:sz="4" w:space="0" w:color="auto"/>
              <w:right w:val="single" w:sz="4" w:space="0" w:color="auto"/>
            </w:tcBorders>
            <w:vAlign w:val="center"/>
            <w:hideMark/>
          </w:tcPr>
          <w:p w14:paraId="7BF3B68E" w14:textId="2E5DDE39" w:rsidR="00FB0C7A" w:rsidRPr="0053555E" w:rsidRDefault="00FB0C7A" w:rsidP="00FB0C7A">
            <w:pPr>
              <w:jc w:val="center"/>
              <w:rPr>
                <w:rFonts w:cs="Calibri"/>
                <w:sz w:val="20"/>
                <w:szCs w:val="18"/>
              </w:rPr>
            </w:pPr>
            <w:r w:rsidRPr="0053555E">
              <w:rPr>
                <w:rFonts w:cs="Calibri"/>
                <w:sz w:val="20"/>
                <w:szCs w:val="18"/>
              </w:rPr>
              <w:t> </w:t>
            </w:r>
          </w:p>
        </w:tc>
        <w:tc>
          <w:tcPr>
            <w:tcW w:w="925" w:type="dxa"/>
            <w:tcBorders>
              <w:top w:val="nil"/>
              <w:left w:val="nil"/>
              <w:bottom w:val="single" w:sz="4" w:space="0" w:color="auto"/>
              <w:right w:val="single" w:sz="4" w:space="0" w:color="auto"/>
            </w:tcBorders>
            <w:vAlign w:val="center"/>
            <w:hideMark/>
          </w:tcPr>
          <w:p w14:paraId="4FAF56BA" w14:textId="73FC9E2D" w:rsidR="00FB0C7A" w:rsidRPr="0053555E" w:rsidRDefault="00FB0C7A" w:rsidP="00FB0C7A">
            <w:pPr>
              <w:jc w:val="center"/>
              <w:rPr>
                <w:rFonts w:cs="Calibri"/>
                <w:sz w:val="20"/>
                <w:szCs w:val="18"/>
              </w:rPr>
            </w:pPr>
            <w:r w:rsidRPr="0053555E">
              <w:rPr>
                <w:rFonts w:cs="Calibri"/>
                <w:sz w:val="20"/>
                <w:szCs w:val="18"/>
              </w:rPr>
              <w:t> </w:t>
            </w:r>
          </w:p>
        </w:tc>
        <w:tc>
          <w:tcPr>
            <w:tcW w:w="962" w:type="dxa"/>
            <w:tcBorders>
              <w:top w:val="nil"/>
              <w:left w:val="nil"/>
              <w:bottom w:val="single" w:sz="4" w:space="0" w:color="auto"/>
              <w:right w:val="single" w:sz="4" w:space="0" w:color="auto"/>
            </w:tcBorders>
            <w:shd w:val="clear" w:color="auto" w:fill="EEECE1" w:themeFill="background2"/>
            <w:vAlign w:val="center"/>
            <w:hideMark/>
          </w:tcPr>
          <w:p w14:paraId="149F0234" w14:textId="536BE7CD" w:rsidR="00FB0C7A" w:rsidRPr="0053555E" w:rsidRDefault="00FB0C7A" w:rsidP="00FB0C7A">
            <w:pPr>
              <w:jc w:val="center"/>
              <w:rPr>
                <w:rFonts w:cs="Calibri"/>
                <w:sz w:val="20"/>
                <w:szCs w:val="18"/>
              </w:rPr>
            </w:pPr>
            <w:r w:rsidRPr="0053555E">
              <w:rPr>
                <w:rFonts w:cs="Calibri"/>
                <w:sz w:val="20"/>
                <w:szCs w:val="18"/>
              </w:rPr>
              <w:t>2</w:t>
            </w:r>
          </w:p>
        </w:tc>
      </w:tr>
      <w:tr w:rsidR="00FB0C7A" w:rsidRPr="0053555E" w14:paraId="5F897F67" w14:textId="77777777" w:rsidTr="00223548">
        <w:trPr>
          <w:trHeight w:val="255"/>
        </w:trPr>
        <w:tc>
          <w:tcPr>
            <w:tcW w:w="1568" w:type="dxa"/>
            <w:tcBorders>
              <w:top w:val="nil"/>
              <w:left w:val="single" w:sz="4" w:space="0" w:color="auto"/>
              <w:bottom w:val="single" w:sz="4" w:space="0" w:color="auto"/>
              <w:right w:val="single" w:sz="4" w:space="0" w:color="auto"/>
            </w:tcBorders>
            <w:hideMark/>
          </w:tcPr>
          <w:p w14:paraId="0F3FE393" w14:textId="77777777" w:rsidR="00FB0C7A" w:rsidRPr="0053555E" w:rsidRDefault="00FB0C7A" w:rsidP="00FB0C7A">
            <w:pPr>
              <w:tabs>
                <w:tab w:val="left" w:pos="9356"/>
              </w:tabs>
              <w:jc w:val="both"/>
              <w:rPr>
                <w:rFonts w:asciiTheme="majorHAnsi" w:eastAsia="Times New Roman" w:hAnsiTheme="majorHAnsi" w:cstheme="majorHAnsi"/>
                <w:sz w:val="20"/>
                <w:szCs w:val="18"/>
                <w:lang w:eastAsia="sk-SK"/>
              </w:rPr>
            </w:pPr>
            <w:r w:rsidRPr="0053555E">
              <w:rPr>
                <w:rFonts w:asciiTheme="majorHAnsi" w:eastAsia="Times New Roman" w:hAnsiTheme="majorHAnsi" w:cstheme="majorHAnsi"/>
                <w:sz w:val="20"/>
                <w:szCs w:val="18"/>
                <w:lang w:eastAsia="sk-SK"/>
              </w:rPr>
              <w:t>2. miesto</w:t>
            </w:r>
          </w:p>
        </w:tc>
        <w:tc>
          <w:tcPr>
            <w:tcW w:w="925" w:type="dxa"/>
            <w:tcBorders>
              <w:top w:val="nil"/>
              <w:left w:val="nil"/>
              <w:bottom w:val="single" w:sz="4" w:space="0" w:color="auto"/>
              <w:right w:val="single" w:sz="4" w:space="0" w:color="auto"/>
            </w:tcBorders>
            <w:vAlign w:val="center"/>
            <w:hideMark/>
          </w:tcPr>
          <w:p w14:paraId="210A35DA" w14:textId="725DE8EF" w:rsidR="00FB0C7A" w:rsidRPr="0053555E" w:rsidRDefault="00FB0C7A" w:rsidP="00FB0C7A">
            <w:pPr>
              <w:jc w:val="center"/>
              <w:rPr>
                <w:rFonts w:cs="Calibri"/>
                <w:sz w:val="20"/>
                <w:szCs w:val="18"/>
              </w:rPr>
            </w:pPr>
            <w:r w:rsidRPr="0053555E">
              <w:rPr>
                <w:rFonts w:cs="Calibri"/>
                <w:sz w:val="20"/>
                <w:szCs w:val="18"/>
              </w:rPr>
              <w:t>1</w:t>
            </w:r>
          </w:p>
        </w:tc>
        <w:tc>
          <w:tcPr>
            <w:tcW w:w="923" w:type="dxa"/>
            <w:tcBorders>
              <w:top w:val="nil"/>
              <w:left w:val="nil"/>
              <w:bottom w:val="single" w:sz="4" w:space="0" w:color="auto"/>
              <w:right w:val="single" w:sz="4" w:space="0" w:color="auto"/>
            </w:tcBorders>
            <w:vAlign w:val="center"/>
            <w:hideMark/>
          </w:tcPr>
          <w:p w14:paraId="1FC0AF8F" w14:textId="6EAB6323" w:rsidR="00FB0C7A" w:rsidRPr="0053555E" w:rsidRDefault="00FB0C7A" w:rsidP="00FB0C7A">
            <w:pPr>
              <w:jc w:val="center"/>
              <w:rPr>
                <w:rFonts w:cs="Calibri"/>
                <w:sz w:val="20"/>
                <w:szCs w:val="18"/>
              </w:rPr>
            </w:pPr>
            <w:r w:rsidRPr="0053555E">
              <w:rPr>
                <w:rFonts w:cs="Calibri"/>
                <w:sz w:val="20"/>
                <w:szCs w:val="18"/>
              </w:rPr>
              <w:t>4</w:t>
            </w:r>
          </w:p>
        </w:tc>
        <w:tc>
          <w:tcPr>
            <w:tcW w:w="928" w:type="dxa"/>
            <w:tcBorders>
              <w:top w:val="nil"/>
              <w:left w:val="nil"/>
              <w:bottom w:val="single" w:sz="4" w:space="0" w:color="auto"/>
              <w:right w:val="single" w:sz="4" w:space="0" w:color="auto"/>
            </w:tcBorders>
            <w:vAlign w:val="center"/>
            <w:hideMark/>
          </w:tcPr>
          <w:p w14:paraId="3E1BBFBD" w14:textId="6F30AF9A" w:rsidR="00FB0C7A" w:rsidRPr="0053555E" w:rsidRDefault="00FB0C7A" w:rsidP="00FB0C7A">
            <w:pPr>
              <w:jc w:val="center"/>
              <w:rPr>
                <w:rFonts w:cs="Calibri"/>
                <w:sz w:val="20"/>
                <w:szCs w:val="18"/>
              </w:rPr>
            </w:pPr>
            <w:r w:rsidRPr="0053555E">
              <w:rPr>
                <w:rFonts w:cs="Calibri"/>
                <w:sz w:val="20"/>
                <w:szCs w:val="18"/>
              </w:rPr>
              <w:t> </w:t>
            </w:r>
          </w:p>
        </w:tc>
        <w:tc>
          <w:tcPr>
            <w:tcW w:w="924" w:type="dxa"/>
            <w:tcBorders>
              <w:top w:val="nil"/>
              <w:left w:val="nil"/>
              <w:bottom w:val="single" w:sz="4" w:space="0" w:color="auto"/>
              <w:right w:val="single" w:sz="4" w:space="0" w:color="auto"/>
            </w:tcBorders>
            <w:vAlign w:val="center"/>
            <w:hideMark/>
          </w:tcPr>
          <w:p w14:paraId="499797BE" w14:textId="1F5068A0" w:rsidR="00FB0C7A" w:rsidRPr="0053555E" w:rsidRDefault="00FB0C7A" w:rsidP="00FB0C7A">
            <w:pPr>
              <w:jc w:val="center"/>
              <w:rPr>
                <w:rFonts w:cs="Calibri"/>
                <w:sz w:val="20"/>
                <w:szCs w:val="18"/>
              </w:rPr>
            </w:pPr>
            <w:r w:rsidRPr="0053555E">
              <w:rPr>
                <w:rFonts w:cs="Calibri"/>
                <w:sz w:val="20"/>
                <w:szCs w:val="18"/>
              </w:rPr>
              <w:t>3</w:t>
            </w:r>
          </w:p>
        </w:tc>
        <w:tc>
          <w:tcPr>
            <w:tcW w:w="925" w:type="dxa"/>
            <w:tcBorders>
              <w:top w:val="nil"/>
              <w:left w:val="nil"/>
              <w:bottom w:val="single" w:sz="4" w:space="0" w:color="auto"/>
              <w:right w:val="single" w:sz="4" w:space="0" w:color="auto"/>
            </w:tcBorders>
            <w:vAlign w:val="center"/>
            <w:hideMark/>
          </w:tcPr>
          <w:p w14:paraId="57A524F2" w14:textId="73BB0A5D" w:rsidR="00FB0C7A" w:rsidRPr="0053555E" w:rsidRDefault="00FB0C7A" w:rsidP="00FB0C7A">
            <w:pPr>
              <w:jc w:val="center"/>
              <w:rPr>
                <w:rFonts w:cs="Calibri"/>
                <w:sz w:val="20"/>
                <w:szCs w:val="18"/>
              </w:rPr>
            </w:pPr>
            <w:r w:rsidRPr="0053555E">
              <w:rPr>
                <w:rFonts w:cs="Calibri"/>
                <w:sz w:val="20"/>
                <w:szCs w:val="18"/>
              </w:rPr>
              <w:t> </w:t>
            </w:r>
          </w:p>
        </w:tc>
        <w:tc>
          <w:tcPr>
            <w:tcW w:w="962" w:type="dxa"/>
            <w:tcBorders>
              <w:top w:val="nil"/>
              <w:left w:val="nil"/>
              <w:bottom w:val="single" w:sz="4" w:space="0" w:color="auto"/>
              <w:right w:val="single" w:sz="4" w:space="0" w:color="auto"/>
            </w:tcBorders>
            <w:shd w:val="clear" w:color="auto" w:fill="EEECE1" w:themeFill="background2"/>
            <w:vAlign w:val="center"/>
            <w:hideMark/>
          </w:tcPr>
          <w:p w14:paraId="75873858" w14:textId="5E4DA1AC" w:rsidR="00FB0C7A" w:rsidRPr="0053555E" w:rsidRDefault="00FB0C7A" w:rsidP="00FB0C7A">
            <w:pPr>
              <w:jc w:val="center"/>
              <w:rPr>
                <w:rFonts w:cs="Calibri"/>
                <w:sz w:val="20"/>
                <w:szCs w:val="18"/>
              </w:rPr>
            </w:pPr>
            <w:r w:rsidRPr="0053555E">
              <w:rPr>
                <w:rFonts w:cs="Calibri"/>
                <w:sz w:val="20"/>
                <w:szCs w:val="18"/>
              </w:rPr>
              <w:t>3</w:t>
            </w:r>
          </w:p>
        </w:tc>
      </w:tr>
      <w:tr w:rsidR="00FB0C7A" w:rsidRPr="0053555E" w14:paraId="3405C15A" w14:textId="77777777" w:rsidTr="00223548">
        <w:trPr>
          <w:trHeight w:val="255"/>
        </w:trPr>
        <w:tc>
          <w:tcPr>
            <w:tcW w:w="1568" w:type="dxa"/>
            <w:tcBorders>
              <w:top w:val="nil"/>
              <w:left w:val="single" w:sz="4" w:space="0" w:color="auto"/>
              <w:bottom w:val="single" w:sz="4" w:space="0" w:color="auto"/>
              <w:right w:val="single" w:sz="4" w:space="0" w:color="auto"/>
            </w:tcBorders>
            <w:hideMark/>
          </w:tcPr>
          <w:p w14:paraId="38E980F0" w14:textId="77777777" w:rsidR="00FB0C7A" w:rsidRPr="0053555E" w:rsidRDefault="00FB0C7A" w:rsidP="00FB0C7A">
            <w:pPr>
              <w:tabs>
                <w:tab w:val="left" w:pos="9356"/>
              </w:tabs>
              <w:jc w:val="both"/>
              <w:rPr>
                <w:rFonts w:asciiTheme="majorHAnsi" w:eastAsia="Times New Roman" w:hAnsiTheme="majorHAnsi" w:cstheme="majorHAnsi"/>
                <w:sz w:val="20"/>
                <w:szCs w:val="18"/>
                <w:lang w:eastAsia="sk-SK"/>
              </w:rPr>
            </w:pPr>
            <w:r w:rsidRPr="0053555E">
              <w:rPr>
                <w:rFonts w:asciiTheme="majorHAnsi" w:eastAsia="Times New Roman" w:hAnsiTheme="majorHAnsi" w:cstheme="majorHAnsi"/>
                <w:sz w:val="20"/>
                <w:szCs w:val="18"/>
                <w:lang w:eastAsia="sk-SK"/>
              </w:rPr>
              <w:t>3. miesto</w:t>
            </w:r>
          </w:p>
        </w:tc>
        <w:tc>
          <w:tcPr>
            <w:tcW w:w="925" w:type="dxa"/>
            <w:tcBorders>
              <w:top w:val="nil"/>
              <w:left w:val="nil"/>
              <w:bottom w:val="single" w:sz="4" w:space="0" w:color="auto"/>
              <w:right w:val="single" w:sz="4" w:space="0" w:color="auto"/>
            </w:tcBorders>
            <w:vAlign w:val="center"/>
            <w:hideMark/>
          </w:tcPr>
          <w:p w14:paraId="71044DF4" w14:textId="2FD11262" w:rsidR="00FB0C7A" w:rsidRPr="0053555E" w:rsidRDefault="00FB0C7A" w:rsidP="00FB0C7A">
            <w:pPr>
              <w:jc w:val="center"/>
              <w:rPr>
                <w:rFonts w:cs="Calibri"/>
                <w:sz w:val="20"/>
                <w:szCs w:val="18"/>
              </w:rPr>
            </w:pPr>
            <w:r w:rsidRPr="0053555E">
              <w:rPr>
                <w:rFonts w:cs="Calibri"/>
                <w:sz w:val="20"/>
                <w:szCs w:val="18"/>
              </w:rPr>
              <w:t>4</w:t>
            </w:r>
          </w:p>
        </w:tc>
        <w:tc>
          <w:tcPr>
            <w:tcW w:w="923" w:type="dxa"/>
            <w:tcBorders>
              <w:top w:val="nil"/>
              <w:left w:val="nil"/>
              <w:bottom w:val="single" w:sz="4" w:space="0" w:color="auto"/>
              <w:right w:val="single" w:sz="4" w:space="0" w:color="auto"/>
            </w:tcBorders>
            <w:vAlign w:val="center"/>
            <w:hideMark/>
          </w:tcPr>
          <w:p w14:paraId="4D2F7084" w14:textId="5C16DC8B" w:rsidR="00FB0C7A" w:rsidRPr="0053555E" w:rsidRDefault="00FB0C7A" w:rsidP="00FB0C7A">
            <w:pPr>
              <w:jc w:val="center"/>
              <w:rPr>
                <w:rFonts w:cs="Calibri"/>
                <w:sz w:val="20"/>
                <w:szCs w:val="18"/>
              </w:rPr>
            </w:pPr>
            <w:r w:rsidRPr="0053555E">
              <w:rPr>
                <w:rFonts w:cs="Calibri"/>
                <w:sz w:val="20"/>
                <w:szCs w:val="18"/>
              </w:rPr>
              <w:t>3</w:t>
            </w:r>
          </w:p>
        </w:tc>
        <w:tc>
          <w:tcPr>
            <w:tcW w:w="928" w:type="dxa"/>
            <w:tcBorders>
              <w:top w:val="nil"/>
              <w:left w:val="nil"/>
              <w:bottom w:val="single" w:sz="4" w:space="0" w:color="auto"/>
              <w:right w:val="single" w:sz="4" w:space="0" w:color="auto"/>
            </w:tcBorders>
            <w:vAlign w:val="center"/>
            <w:hideMark/>
          </w:tcPr>
          <w:p w14:paraId="2FFC60EE" w14:textId="4A298B2A" w:rsidR="00FB0C7A" w:rsidRPr="0053555E" w:rsidRDefault="00FB0C7A" w:rsidP="00FB0C7A">
            <w:pPr>
              <w:jc w:val="center"/>
              <w:rPr>
                <w:rFonts w:cs="Calibri"/>
                <w:sz w:val="20"/>
                <w:szCs w:val="18"/>
              </w:rPr>
            </w:pPr>
            <w:r w:rsidRPr="0053555E">
              <w:rPr>
                <w:rFonts w:cs="Calibri"/>
                <w:sz w:val="20"/>
                <w:szCs w:val="18"/>
              </w:rPr>
              <w:t>1</w:t>
            </w:r>
          </w:p>
        </w:tc>
        <w:tc>
          <w:tcPr>
            <w:tcW w:w="924" w:type="dxa"/>
            <w:tcBorders>
              <w:top w:val="nil"/>
              <w:left w:val="nil"/>
              <w:bottom w:val="single" w:sz="4" w:space="0" w:color="auto"/>
              <w:right w:val="single" w:sz="4" w:space="0" w:color="auto"/>
            </w:tcBorders>
            <w:vAlign w:val="center"/>
            <w:hideMark/>
          </w:tcPr>
          <w:p w14:paraId="001F504C" w14:textId="64C898DB" w:rsidR="00FB0C7A" w:rsidRPr="0053555E" w:rsidRDefault="00FB0C7A" w:rsidP="00FB0C7A">
            <w:pPr>
              <w:jc w:val="center"/>
              <w:rPr>
                <w:rFonts w:cs="Calibri"/>
                <w:sz w:val="20"/>
                <w:szCs w:val="18"/>
              </w:rPr>
            </w:pPr>
            <w:r w:rsidRPr="0053555E">
              <w:rPr>
                <w:rFonts w:cs="Calibri"/>
                <w:sz w:val="20"/>
                <w:szCs w:val="18"/>
              </w:rPr>
              <w:t> </w:t>
            </w:r>
          </w:p>
        </w:tc>
        <w:tc>
          <w:tcPr>
            <w:tcW w:w="925" w:type="dxa"/>
            <w:tcBorders>
              <w:top w:val="nil"/>
              <w:left w:val="nil"/>
              <w:bottom w:val="single" w:sz="4" w:space="0" w:color="auto"/>
              <w:right w:val="single" w:sz="4" w:space="0" w:color="auto"/>
            </w:tcBorders>
            <w:vAlign w:val="center"/>
            <w:hideMark/>
          </w:tcPr>
          <w:p w14:paraId="4C58322D" w14:textId="6467CABE" w:rsidR="00FB0C7A" w:rsidRPr="0053555E" w:rsidRDefault="00FB0C7A" w:rsidP="00FB0C7A">
            <w:pPr>
              <w:jc w:val="center"/>
              <w:rPr>
                <w:rFonts w:cs="Calibri"/>
                <w:sz w:val="20"/>
                <w:szCs w:val="18"/>
              </w:rPr>
            </w:pPr>
            <w:r w:rsidRPr="0053555E">
              <w:rPr>
                <w:rFonts w:cs="Calibri"/>
                <w:sz w:val="20"/>
                <w:szCs w:val="18"/>
              </w:rPr>
              <w:t>1</w:t>
            </w:r>
          </w:p>
        </w:tc>
        <w:tc>
          <w:tcPr>
            <w:tcW w:w="962" w:type="dxa"/>
            <w:tcBorders>
              <w:top w:val="nil"/>
              <w:left w:val="nil"/>
              <w:bottom w:val="single" w:sz="4" w:space="0" w:color="auto"/>
              <w:right w:val="single" w:sz="4" w:space="0" w:color="auto"/>
            </w:tcBorders>
            <w:shd w:val="clear" w:color="auto" w:fill="EEECE1" w:themeFill="background2"/>
            <w:vAlign w:val="center"/>
            <w:hideMark/>
          </w:tcPr>
          <w:p w14:paraId="6E89B586" w14:textId="4810478B" w:rsidR="00FB0C7A" w:rsidRPr="0053555E" w:rsidRDefault="00FB0C7A" w:rsidP="00FB0C7A">
            <w:pPr>
              <w:jc w:val="center"/>
              <w:rPr>
                <w:rFonts w:cs="Calibri"/>
                <w:sz w:val="20"/>
                <w:szCs w:val="18"/>
              </w:rPr>
            </w:pPr>
            <w:r w:rsidRPr="0053555E">
              <w:rPr>
                <w:rFonts w:cs="Calibri"/>
                <w:sz w:val="20"/>
                <w:szCs w:val="18"/>
              </w:rPr>
              <w:t>2</w:t>
            </w:r>
          </w:p>
        </w:tc>
      </w:tr>
    </w:tbl>
    <w:p w14:paraId="630E2585" w14:textId="77777777" w:rsidR="00B04D31" w:rsidRDefault="00B04D31" w:rsidP="00220CF3">
      <w:pPr>
        <w:tabs>
          <w:tab w:val="left" w:pos="9356"/>
        </w:tabs>
        <w:spacing w:before="120"/>
        <w:jc w:val="both"/>
        <w:rPr>
          <w:rFonts w:asciiTheme="majorHAnsi" w:hAnsiTheme="majorHAnsi" w:cstheme="majorHAnsi"/>
        </w:rPr>
      </w:pPr>
    </w:p>
    <w:p w14:paraId="7394DF25" w14:textId="3829B708" w:rsidR="0076244A" w:rsidRPr="0053555E" w:rsidRDefault="002C77EA" w:rsidP="00220CF3">
      <w:pPr>
        <w:tabs>
          <w:tab w:val="left" w:pos="9356"/>
        </w:tabs>
        <w:spacing w:before="120"/>
        <w:jc w:val="both"/>
        <w:rPr>
          <w:rFonts w:asciiTheme="majorHAnsi" w:hAnsiTheme="majorHAnsi" w:cstheme="majorHAnsi"/>
        </w:rPr>
      </w:pPr>
      <w:r>
        <w:rPr>
          <w:rFonts w:asciiTheme="majorHAnsi" w:hAnsiTheme="majorHAnsi" w:cstheme="majorHAnsi"/>
        </w:rPr>
        <w:t>P</w:t>
      </w:r>
      <w:r w:rsidR="005A3694" w:rsidRPr="0053555E">
        <w:rPr>
          <w:rFonts w:asciiTheme="majorHAnsi" w:hAnsiTheme="majorHAnsi" w:cstheme="majorHAnsi"/>
        </w:rPr>
        <w:t xml:space="preserve">andémia COVID-19 </w:t>
      </w:r>
      <w:r w:rsidR="00C14E59">
        <w:rPr>
          <w:rFonts w:asciiTheme="majorHAnsi" w:hAnsiTheme="majorHAnsi" w:cstheme="majorHAnsi"/>
        </w:rPr>
        <w:t xml:space="preserve">ovplyvnila </w:t>
      </w:r>
      <w:r w:rsidR="00220CF3">
        <w:rPr>
          <w:rFonts w:asciiTheme="majorHAnsi" w:hAnsiTheme="majorHAnsi" w:cstheme="majorHAnsi"/>
        </w:rPr>
        <w:t>najmä</w:t>
      </w:r>
      <w:r w:rsidR="00052FBE">
        <w:rPr>
          <w:rFonts w:asciiTheme="majorHAnsi" w:hAnsiTheme="majorHAnsi" w:cstheme="majorHAnsi"/>
        </w:rPr>
        <w:t xml:space="preserve"> zimn</w:t>
      </w:r>
      <w:r w:rsidR="00AD146E">
        <w:rPr>
          <w:rFonts w:asciiTheme="majorHAnsi" w:hAnsiTheme="majorHAnsi" w:cstheme="majorHAnsi"/>
        </w:rPr>
        <w:t>ý</w:t>
      </w:r>
      <w:r w:rsidR="00052FBE">
        <w:rPr>
          <w:rFonts w:asciiTheme="majorHAnsi" w:hAnsiTheme="majorHAnsi" w:cstheme="majorHAnsi"/>
        </w:rPr>
        <w:t xml:space="preserve"> semest</w:t>
      </w:r>
      <w:r w:rsidR="00AD146E">
        <w:rPr>
          <w:rFonts w:asciiTheme="majorHAnsi" w:hAnsiTheme="majorHAnsi" w:cstheme="majorHAnsi"/>
        </w:rPr>
        <w:t>er</w:t>
      </w:r>
      <w:r w:rsidR="00052FBE">
        <w:rPr>
          <w:rFonts w:asciiTheme="majorHAnsi" w:hAnsiTheme="majorHAnsi" w:cstheme="majorHAnsi"/>
        </w:rPr>
        <w:t xml:space="preserve"> </w:t>
      </w:r>
      <w:r w:rsidR="008163CC">
        <w:rPr>
          <w:rFonts w:asciiTheme="majorHAnsi" w:hAnsiTheme="majorHAnsi" w:cstheme="majorHAnsi"/>
        </w:rPr>
        <w:t>akademick</w:t>
      </w:r>
      <w:r w:rsidR="00052FBE">
        <w:rPr>
          <w:rFonts w:asciiTheme="majorHAnsi" w:hAnsiTheme="majorHAnsi" w:cstheme="majorHAnsi"/>
        </w:rPr>
        <w:t>ého</w:t>
      </w:r>
      <w:r w:rsidR="008163CC">
        <w:rPr>
          <w:rFonts w:asciiTheme="majorHAnsi" w:hAnsiTheme="majorHAnsi" w:cstheme="majorHAnsi"/>
        </w:rPr>
        <w:t xml:space="preserve"> rok</w:t>
      </w:r>
      <w:r w:rsidR="00052FBE">
        <w:rPr>
          <w:rFonts w:asciiTheme="majorHAnsi" w:hAnsiTheme="majorHAnsi" w:cstheme="majorHAnsi"/>
        </w:rPr>
        <w:t>a</w:t>
      </w:r>
      <w:r w:rsidR="008163CC">
        <w:rPr>
          <w:rFonts w:asciiTheme="majorHAnsi" w:hAnsiTheme="majorHAnsi" w:cstheme="majorHAnsi"/>
        </w:rPr>
        <w:t xml:space="preserve"> 2021/2022</w:t>
      </w:r>
      <w:r w:rsidR="008F335E">
        <w:rPr>
          <w:rFonts w:asciiTheme="majorHAnsi" w:hAnsiTheme="majorHAnsi" w:cstheme="majorHAnsi"/>
        </w:rPr>
        <w:t>,</w:t>
      </w:r>
      <w:r w:rsidR="008163CC">
        <w:rPr>
          <w:rFonts w:asciiTheme="majorHAnsi" w:hAnsiTheme="majorHAnsi" w:cstheme="majorHAnsi"/>
        </w:rPr>
        <w:t xml:space="preserve"> </w:t>
      </w:r>
      <w:r w:rsidR="00AD146E">
        <w:rPr>
          <w:rFonts w:asciiTheme="majorHAnsi" w:hAnsiTheme="majorHAnsi" w:cstheme="majorHAnsi"/>
        </w:rPr>
        <w:t xml:space="preserve">preto aj </w:t>
      </w:r>
      <w:r w:rsidR="00583FB0">
        <w:rPr>
          <w:rFonts w:asciiTheme="majorHAnsi" w:hAnsiTheme="majorHAnsi" w:cstheme="majorHAnsi"/>
        </w:rPr>
        <w:t>v tejto oblasti</w:t>
      </w:r>
      <w:r w:rsidR="00583FB0" w:rsidRPr="0053555E">
        <w:rPr>
          <w:rFonts w:asciiTheme="majorHAnsi" w:hAnsiTheme="majorHAnsi" w:cstheme="majorHAnsi"/>
        </w:rPr>
        <w:t xml:space="preserve"> </w:t>
      </w:r>
      <w:r w:rsidR="00583FB0">
        <w:rPr>
          <w:rFonts w:asciiTheme="majorHAnsi" w:hAnsiTheme="majorHAnsi" w:cstheme="majorHAnsi"/>
        </w:rPr>
        <w:t xml:space="preserve">bolo potrebné prispôsobiť </w:t>
      </w:r>
      <w:r w:rsidR="00B04D31">
        <w:rPr>
          <w:rFonts w:asciiTheme="majorHAnsi" w:hAnsiTheme="majorHAnsi" w:cstheme="majorHAnsi"/>
        </w:rPr>
        <w:t xml:space="preserve">sa </w:t>
      </w:r>
      <w:r w:rsidR="00583FB0">
        <w:rPr>
          <w:rFonts w:asciiTheme="majorHAnsi" w:hAnsiTheme="majorHAnsi" w:cstheme="majorHAnsi"/>
        </w:rPr>
        <w:t xml:space="preserve">situácii a </w:t>
      </w:r>
      <w:r w:rsidR="00343FC1">
        <w:rPr>
          <w:rFonts w:asciiTheme="majorHAnsi" w:hAnsiTheme="majorHAnsi" w:cstheme="majorHAnsi"/>
        </w:rPr>
        <w:t xml:space="preserve">mnohé </w:t>
      </w:r>
      <w:r w:rsidR="002E3850">
        <w:rPr>
          <w:rFonts w:asciiTheme="majorHAnsi" w:hAnsiTheme="majorHAnsi" w:cstheme="majorHAnsi"/>
        </w:rPr>
        <w:t xml:space="preserve">z </w:t>
      </w:r>
      <w:r w:rsidR="001376FF">
        <w:rPr>
          <w:rFonts w:asciiTheme="majorHAnsi" w:hAnsiTheme="majorHAnsi" w:cstheme="majorHAnsi"/>
        </w:rPr>
        <w:t>aktivít</w:t>
      </w:r>
      <w:r w:rsidR="00343FC1">
        <w:rPr>
          <w:rFonts w:asciiTheme="majorHAnsi" w:hAnsiTheme="majorHAnsi" w:cstheme="majorHAnsi"/>
        </w:rPr>
        <w:t xml:space="preserve"> </w:t>
      </w:r>
      <w:r w:rsidR="00B04D31">
        <w:rPr>
          <w:rFonts w:asciiTheme="majorHAnsi" w:hAnsiTheme="majorHAnsi" w:cstheme="majorHAnsi"/>
        </w:rPr>
        <w:t xml:space="preserve">boli </w:t>
      </w:r>
      <w:r w:rsidR="00343FC1">
        <w:rPr>
          <w:rFonts w:asciiTheme="majorHAnsi" w:hAnsiTheme="majorHAnsi" w:cstheme="majorHAnsi"/>
        </w:rPr>
        <w:t xml:space="preserve">v </w:t>
      </w:r>
      <w:r w:rsidR="006F30F0">
        <w:rPr>
          <w:rFonts w:asciiTheme="majorHAnsi" w:hAnsiTheme="majorHAnsi" w:cstheme="majorHAnsi"/>
        </w:rPr>
        <w:t xml:space="preserve">online </w:t>
      </w:r>
      <w:r w:rsidR="00343FC1">
        <w:rPr>
          <w:rFonts w:asciiTheme="majorHAnsi" w:hAnsiTheme="majorHAnsi" w:cstheme="majorHAnsi"/>
        </w:rPr>
        <w:t>p</w:t>
      </w:r>
      <w:r w:rsidR="006F30F0">
        <w:rPr>
          <w:rFonts w:asciiTheme="majorHAnsi" w:hAnsiTheme="majorHAnsi" w:cstheme="majorHAnsi"/>
        </w:rPr>
        <w:t>riestor</w:t>
      </w:r>
      <w:r w:rsidR="00343FC1">
        <w:rPr>
          <w:rFonts w:asciiTheme="majorHAnsi" w:hAnsiTheme="majorHAnsi" w:cstheme="majorHAnsi"/>
        </w:rPr>
        <w:t>e</w:t>
      </w:r>
      <w:r w:rsidR="005A3694" w:rsidRPr="0053555E">
        <w:rPr>
          <w:rFonts w:asciiTheme="majorHAnsi" w:hAnsiTheme="majorHAnsi" w:cstheme="majorHAnsi"/>
        </w:rPr>
        <w:t xml:space="preserve">. </w:t>
      </w:r>
      <w:r w:rsidR="001525DB">
        <w:rPr>
          <w:rFonts w:asciiTheme="majorHAnsi" w:hAnsiTheme="majorHAnsi" w:cstheme="majorHAnsi"/>
        </w:rPr>
        <w:t>V letnom semestri sa postupne</w:t>
      </w:r>
      <w:r w:rsidR="00E541B0">
        <w:rPr>
          <w:rFonts w:asciiTheme="majorHAnsi" w:hAnsiTheme="majorHAnsi" w:cstheme="majorHAnsi"/>
        </w:rPr>
        <w:t xml:space="preserve"> </w:t>
      </w:r>
      <w:r w:rsidR="00323B3D">
        <w:rPr>
          <w:rFonts w:asciiTheme="majorHAnsi" w:hAnsiTheme="majorHAnsi" w:cstheme="majorHAnsi"/>
        </w:rPr>
        <w:t>epidemické</w:t>
      </w:r>
      <w:r w:rsidR="00E541B0">
        <w:rPr>
          <w:rFonts w:asciiTheme="majorHAnsi" w:hAnsiTheme="majorHAnsi" w:cstheme="majorHAnsi"/>
        </w:rPr>
        <w:t xml:space="preserve"> opatrenia </w:t>
      </w:r>
      <w:r w:rsidR="001525DB">
        <w:rPr>
          <w:rFonts w:asciiTheme="majorHAnsi" w:hAnsiTheme="majorHAnsi" w:cstheme="majorHAnsi"/>
        </w:rPr>
        <w:t xml:space="preserve">uvoľňovali. </w:t>
      </w:r>
      <w:r w:rsidR="005A3694" w:rsidRPr="00D71C23">
        <w:rPr>
          <w:rFonts w:asciiTheme="majorHAnsi" w:hAnsiTheme="majorHAnsi" w:cstheme="majorHAnsi"/>
          <w:b/>
        </w:rPr>
        <w:t>Na národnej úrovni</w:t>
      </w:r>
      <w:r w:rsidR="005A3694" w:rsidRPr="0053555E">
        <w:rPr>
          <w:rFonts w:asciiTheme="majorHAnsi" w:hAnsiTheme="majorHAnsi" w:cstheme="majorHAnsi"/>
        </w:rPr>
        <w:t xml:space="preserve"> </w:t>
      </w:r>
      <w:r w:rsidR="00CC1632" w:rsidRPr="00CC1632">
        <w:rPr>
          <w:rFonts w:asciiTheme="majorHAnsi" w:hAnsiTheme="majorHAnsi" w:cstheme="majorHAnsi"/>
          <w:b/>
        </w:rPr>
        <w:t>mimo STU</w:t>
      </w:r>
      <w:r w:rsidR="00CC1632">
        <w:rPr>
          <w:rFonts w:asciiTheme="majorHAnsi" w:hAnsiTheme="majorHAnsi" w:cstheme="majorHAnsi"/>
        </w:rPr>
        <w:t xml:space="preserve"> </w:t>
      </w:r>
      <w:r w:rsidR="00E757C0">
        <w:rPr>
          <w:rFonts w:asciiTheme="majorHAnsi" w:hAnsiTheme="majorHAnsi" w:cstheme="majorHAnsi"/>
        </w:rPr>
        <w:t xml:space="preserve">získali študenti STU </w:t>
      </w:r>
      <w:r w:rsidR="00E757C0" w:rsidRPr="0053555E">
        <w:rPr>
          <w:rFonts w:asciiTheme="majorHAnsi" w:hAnsiTheme="majorHAnsi" w:cstheme="majorHAnsi"/>
          <w:b/>
        </w:rPr>
        <w:t>o </w:t>
      </w:r>
      <w:r w:rsidR="00E757C0">
        <w:rPr>
          <w:rFonts w:asciiTheme="majorHAnsi" w:hAnsiTheme="majorHAnsi" w:cstheme="majorHAnsi"/>
          <w:b/>
        </w:rPr>
        <w:t>49</w:t>
      </w:r>
      <w:r w:rsidR="00E757C0" w:rsidRPr="0053555E">
        <w:rPr>
          <w:rFonts w:asciiTheme="majorHAnsi" w:hAnsiTheme="majorHAnsi" w:cstheme="majorHAnsi"/>
          <w:b/>
        </w:rPr>
        <w:t xml:space="preserve"> ocenen</w:t>
      </w:r>
      <w:r w:rsidR="00E757C0">
        <w:rPr>
          <w:rFonts w:asciiTheme="majorHAnsi" w:hAnsiTheme="majorHAnsi" w:cstheme="majorHAnsi"/>
          <w:b/>
        </w:rPr>
        <w:t>í</w:t>
      </w:r>
      <w:r w:rsidR="00E757C0" w:rsidRPr="0053555E">
        <w:rPr>
          <w:rFonts w:asciiTheme="majorHAnsi" w:hAnsiTheme="majorHAnsi" w:cstheme="majorHAnsi"/>
        </w:rPr>
        <w:t xml:space="preserve"> </w:t>
      </w:r>
      <w:r w:rsidR="00E757C0" w:rsidRPr="00E757C0">
        <w:rPr>
          <w:rFonts w:asciiTheme="majorHAnsi" w:hAnsiTheme="majorHAnsi" w:cstheme="majorHAnsi"/>
          <w:b/>
        </w:rPr>
        <w:t>viac</w:t>
      </w:r>
      <w:r w:rsidR="00E757C0">
        <w:rPr>
          <w:rFonts w:asciiTheme="majorHAnsi" w:hAnsiTheme="majorHAnsi" w:cstheme="majorHAnsi"/>
        </w:rPr>
        <w:t xml:space="preserve"> ako v</w:t>
      </w:r>
      <w:r w:rsidR="005A3694" w:rsidRPr="0053555E">
        <w:rPr>
          <w:rFonts w:asciiTheme="majorHAnsi" w:hAnsiTheme="majorHAnsi" w:cstheme="majorHAnsi"/>
        </w:rPr>
        <w:t xml:space="preserve"> akademick</w:t>
      </w:r>
      <w:r w:rsidR="00E757C0">
        <w:rPr>
          <w:rFonts w:asciiTheme="majorHAnsi" w:hAnsiTheme="majorHAnsi" w:cstheme="majorHAnsi"/>
        </w:rPr>
        <w:t>om</w:t>
      </w:r>
      <w:r w:rsidR="005A3694" w:rsidRPr="0053555E">
        <w:rPr>
          <w:rFonts w:asciiTheme="majorHAnsi" w:hAnsiTheme="majorHAnsi" w:cstheme="majorHAnsi"/>
        </w:rPr>
        <w:t xml:space="preserve"> roku 20</w:t>
      </w:r>
      <w:r w:rsidR="00F770E5">
        <w:rPr>
          <w:rFonts w:asciiTheme="majorHAnsi" w:hAnsiTheme="majorHAnsi" w:cstheme="majorHAnsi"/>
        </w:rPr>
        <w:t>20</w:t>
      </w:r>
      <w:r w:rsidR="005A3694" w:rsidRPr="0053555E">
        <w:rPr>
          <w:rFonts w:asciiTheme="majorHAnsi" w:hAnsiTheme="majorHAnsi" w:cstheme="majorHAnsi"/>
        </w:rPr>
        <w:t>/202</w:t>
      </w:r>
      <w:r w:rsidR="00F770E5">
        <w:rPr>
          <w:rFonts w:asciiTheme="majorHAnsi" w:hAnsiTheme="majorHAnsi" w:cstheme="majorHAnsi"/>
        </w:rPr>
        <w:t>1</w:t>
      </w:r>
      <w:r w:rsidR="00090A01">
        <w:rPr>
          <w:rFonts w:asciiTheme="majorHAnsi" w:hAnsiTheme="majorHAnsi" w:cstheme="majorHAnsi"/>
          <w:b/>
        </w:rPr>
        <w:t xml:space="preserve">, </w:t>
      </w:r>
      <w:r w:rsidR="00090A01" w:rsidRPr="00090A01">
        <w:rPr>
          <w:rFonts w:asciiTheme="majorHAnsi" w:hAnsiTheme="majorHAnsi" w:cstheme="majorHAnsi"/>
        </w:rPr>
        <w:t>čo sa približuje</w:t>
      </w:r>
      <w:r w:rsidR="005A3694" w:rsidRPr="0053555E">
        <w:rPr>
          <w:rFonts w:asciiTheme="majorHAnsi" w:hAnsiTheme="majorHAnsi" w:cstheme="majorHAnsi"/>
        </w:rPr>
        <w:t xml:space="preserve"> akademickému roku 2018/2019 (pred pandémiou COVID-19)</w:t>
      </w:r>
      <w:r w:rsidR="00B04D31">
        <w:rPr>
          <w:rFonts w:asciiTheme="majorHAnsi" w:hAnsiTheme="majorHAnsi" w:cstheme="majorHAnsi"/>
        </w:rPr>
        <w:t>, keď</w:t>
      </w:r>
      <w:r w:rsidR="00264ED6">
        <w:rPr>
          <w:rFonts w:asciiTheme="majorHAnsi" w:hAnsiTheme="majorHAnsi" w:cstheme="majorHAnsi"/>
        </w:rPr>
        <w:t xml:space="preserve"> študenti STU získali 164 ocenení</w:t>
      </w:r>
      <w:r w:rsidR="008874BA">
        <w:rPr>
          <w:rFonts w:asciiTheme="majorHAnsi" w:hAnsiTheme="majorHAnsi" w:cstheme="majorHAnsi"/>
        </w:rPr>
        <w:t xml:space="preserve">. </w:t>
      </w:r>
      <w:r w:rsidR="008874BA" w:rsidRPr="008874BA">
        <w:rPr>
          <w:rFonts w:asciiTheme="majorHAnsi" w:hAnsiTheme="majorHAnsi" w:cstheme="majorHAnsi"/>
          <w:b/>
        </w:rPr>
        <w:t>Na</w:t>
      </w:r>
      <w:r w:rsidR="005A3694" w:rsidRPr="0053555E">
        <w:rPr>
          <w:rFonts w:asciiTheme="majorHAnsi" w:hAnsiTheme="majorHAnsi" w:cstheme="majorHAnsi"/>
          <w:b/>
        </w:rPr>
        <w:t xml:space="preserve"> medzinárodnej úrovni</w:t>
      </w:r>
      <w:r w:rsidR="005A3694" w:rsidRPr="0053555E">
        <w:rPr>
          <w:rFonts w:asciiTheme="majorHAnsi" w:hAnsiTheme="majorHAnsi" w:cstheme="majorHAnsi"/>
        </w:rPr>
        <w:t xml:space="preserve"> </w:t>
      </w:r>
      <w:r w:rsidR="00DF767E">
        <w:rPr>
          <w:rFonts w:asciiTheme="majorHAnsi" w:hAnsiTheme="majorHAnsi" w:cstheme="majorHAnsi"/>
        </w:rPr>
        <w:t xml:space="preserve">získali študenti STU </w:t>
      </w:r>
      <w:r w:rsidR="005A3694" w:rsidRPr="0053555E">
        <w:rPr>
          <w:rFonts w:asciiTheme="majorHAnsi" w:hAnsiTheme="majorHAnsi" w:cstheme="majorHAnsi"/>
        </w:rPr>
        <w:t xml:space="preserve">v akademickom roku </w:t>
      </w:r>
      <w:r w:rsidR="00EA24BA" w:rsidRPr="0053555E">
        <w:rPr>
          <w:rFonts w:asciiTheme="majorHAnsi" w:hAnsiTheme="majorHAnsi" w:cstheme="majorHAnsi"/>
        </w:rPr>
        <w:t>2021/2022</w:t>
      </w:r>
      <w:r w:rsidR="005A3694" w:rsidRPr="0053555E">
        <w:rPr>
          <w:rFonts w:asciiTheme="majorHAnsi" w:hAnsiTheme="majorHAnsi" w:cstheme="majorHAnsi"/>
        </w:rPr>
        <w:t xml:space="preserve"> </w:t>
      </w:r>
      <w:r w:rsidR="00095DA9" w:rsidRPr="008874BA">
        <w:rPr>
          <w:rFonts w:asciiTheme="majorHAnsi" w:hAnsiTheme="majorHAnsi" w:cstheme="majorHAnsi"/>
          <w:b/>
        </w:rPr>
        <w:t>o</w:t>
      </w:r>
      <w:r w:rsidR="00095DA9">
        <w:rPr>
          <w:rFonts w:asciiTheme="majorHAnsi" w:hAnsiTheme="majorHAnsi" w:cstheme="majorHAnsi"/>
        </w:rPr>
        <w:t> </w:t>
      </w:r>
      <w:r w:rsidR="00095DA9" w:rsidRPr="008874BA">
        <w:rPr>
          <w:rFonts w:asciiTheme="majorHAnsi" w:hAnsiTheme="majorHAnsi" w:cstheme="majorHAnsi"/>
          <w:b/>
        </w:rPr>
        <w:t>5 ocenení menej</w:t>
      </w:r>
      <w:r w:rsidR="005A3694" w:rsidRPr="0053555E">
        <w:rPr>
          <w:rFonts w:asciiTheme="majorHAnsi" w:hAnsiTheme="majorHAnsi" w:cstheme="majorHAnsi"/>
          <w:b/>
        </w:rPr>
        <w:t xml:space="preserve"> </w:t>
      </w:r>
      <w:r w:rsidR="005A3694" w:rsidRPr="00DF767E">
        <w:rPr>
          <w:rFonts w:asciiTheme="majorHAnsi" w:hAnsiTheme="majorHAnsi" w:cstheme="majorHAnsi"/>
        </w:rPr>
        <w:t>oproti a</w:t>
      </w:r>
      <w:r w:rsidR="005A3694" w:rsidRPr="0053555E">
        <w:rPr>
          <w:rFonts w:asciiTheme="majorHAnsi" w:hAnsiTheme="majorHAnsi" w:cstheme="majorHAnsi"/>
        </w:rPr>
        <w:t>kademickému roku 20</w:t>
      </w:r>
      <w:r w:rsidR="00095DA9">
        <w:rPr>
          <w:rFonts w:asciiTheme="majorHAnsi" w:hAnsiTheme="majorHAnsi" w:cstheme="majorHAnsi"/>
        </w:rPr>
        <w:t>20</w:t>
      </w:r>
      <w:r w:rsidR="005A3694" w:rsidRPr="0053555E">
        <w:rPr>
          <w:rFonts w:asciiTheme="majorHAnsi" w:hAnsiTheme="majorHAnsi" w:cstheme="majorHAnsi"/>
        </w:rPr>
        <w:t>/202</w:t>
      </w:r>
      <w:r w:rsidR="00095DA9">
        <w:rPr>
          <w:rFonts w:asciiTheme="majorHAnsi" w:hAnsiTheme="majorHAnsi" w:cstheme="majorHAnsi"/>
        </w:rPr>
        <w:t>1</w:t>
      </w:r>
      <w:r w:rsidR="00D71C23">
        <w:rPr>
          <w:rFonts w:asciiTheme="majorHAnsi" w:hAnsiTheme="majorHAnsi" w:cstheme="majorHAnsi"/>
        </w:rPr>
        <w:t>.</w:t>
      </w:r>
    </w:p>
    <w:p w14:paraId="31418B59" w14:textId="25021A71" w:rsidR="007045A4" w:rsidRPr="0053555E" w:rsidRDefault="007045A4" w:rsidP="00324438">
      <w:pPr>
        <w:tabs>
          <w:tab w:val="left" w:pos="9356"/>
        </w:tabs>
        <w:jc w:val="both"/>
        <w:rPr>
          <w:rFonts w:asciiTheme="majorHAnsi" w:hAnsiTheme="majorHAnsi" w:cstheme="majorHAnsi"/>
        </w:rPr>
      </w:pPr>
    </w:p>
    <w:p w14:paraId="3A8BA761" w14:textId="77777777" w:rsidR="007045A4" w:rsidRPr="0053555E" w:rsidRDefault="007045A4" w:rsidP="00324438">
      <w:pPr>
        <w:tabs>
          <w:tab w:val="left" w:pos="9356"/>
        </w:tabs>
        <w:jc w:val="both"/>
        <w:rPr>
          <w:rFonts w:asciiTheme="majorHAnsi" w:hAnsiTheme="majorHAnsi" w:cstheme="majorHAnsi"/>
        </w:rPr>
      </w:pPr>
    </w:p>
    <w:p w14:paraId="1AA10A1C" w14:textId="6D7B7A6E" w:rsidR="002071AC" w:rsidRPr="00B04D31" w:rsidRDefault="00B04D31" w:rsidP="00B04D31">
      <w:pPr>
        <w:rPr>
          <w:b/>
          <w:sz w:val="28"/>
          <w:szCs w:val="28"/>
        </w:rPr>
      </w:pPr>
      <w:bookmarkStart w:id="167" w:name="_Prehľad_ocenení_študentov"/>
      <w:bookmarkStart w:id="168" w:name="_Toc127593231"/>
      <w:bookmarkEnd w:id="167"/>
      <w:r w:rsidRPr="00B04D31">
        <w:rPr>
          <w:b/>
          <w:sz w:val="28"/>
          <w:szCs w:val="28"/>
        </w:rPr>
        <w:t xml:space="preserve">3.7. </w:t>
      </w:r>
      <w:r w:rsidR="002071AC" w:rsidRPr="00B04D31">
        <w:rPr>
          <w:b/>
          <w:sz w:val="28"/>
          <w:szCs w:val="28"/>
        </w:rPr>
        <w:t xml:space="preserve">Prehľad ocenení študentov </w:t>
      </w:r>
      <w:r w:rsidR="009A5733" w:rsidRPr="00B04D31">
        <w:rPr>
          <w:b/>
          <w:sz w:val="28"/>
          <w:szCs w:val="28"/>
        </w:rPr>
        <w:t xml:space="preserve">dosiahnutých </w:t>
      </w:r>
      <w:r w:rsidR="009F0C70" w:rsidRPr="00B04D31">
        <w:rPr>
          <w:b/>
          <w:sz w:val="28"/>
          <w:szCs w:val="28"/>
        </w:rPr>
        <w:t xml:space="preserve">v </w:t>
      </w:r>
      <w:r w:rsidR="002071AC" w:rsidRPr="00B04D31">
        <w:rPr>
          <w:b/>
          <w:sz w:val="28"/>
          <w:szCs w:val="28"/>
        </w:rPr>
        <w:t xml:space="preserve">rámci </w:t>
      </w:r>
      <w:r w:rsidR="00236DEA" w:rsidRPr="00B04D31">
        <w:rPr>
          <w:b/>
          <w:sz w:val="28"/>
          <w:szCs w:val="28"/>
        </w:rPr>
        <w:t>STU</w:t>
      </w:r>
      <w:bookmarkEnd w:id="168"/>
    </w:p>
    <w:p w14:paraId="3514C180" w14:textId="77777777" w:rsidR="00B04D31" w:rsidRPr="00B04D31" w:rsidRDefault="00B04D31" w:rsidP="00B04D31"/>
    <w:p w14:paraId="2F0D8DCB" w14:textId="3B42769D" w:rsidR="007045A4" w:rsidRPr="0053555E" w:rsidRDefault="002071AC" w:rsidP="00324438">
      <w:pPr>
        <w:tabs>
          <w:tab w:val="left" w:pos="9356"/>
        </w:tabs>
        <w:jc w:val="both"/>
        <w:rPr>
          <w:rFonts w:asciiTheme="majorHAnsi" w:hAnsiTheme="majorHAnsi" w:cstheme="majorHAnsi"/>
          <w:shd w:val="clear" w:color="auto" w:fill="FFFFFF"/>
        </w:rPr>
      </w:pPr>
      <w:r w:rsidRPr="0053555E">
        <w:rPr>
          <w:rFonts w:asciiTheme="majorHAnsi" w:hAnsiTheme="majorHAnsi" w:cstheme="majorHAnsi"/>
          <w:shd w:val="clear" w:color="auto" w:fill="FFFFFF"/>
        </w:rPr>
        <w:t xml:space="preserve">Ocenenia študentov v rámci </w:t>
      </w:r>
      <w:r w:rsidR="00E227CC" w:rsidRPr="0053555E">
        <w:rPr>
          <w:rFonts w:asciiTheme="majorHAnsi" w:hAnsiTheme="majorHAnsi" w:cstheme="majorHAnsi"/>
          <w:shd w:val="clear" w:color="auto" w:fill="FFFFFF"/>
        </w:rPr>
        <w:t>STU</w:t>
      </w:r>
      <w:r w:rsidRPr="0053555E">
        <w:rPr>
          <w:rFonts w:asciiTheme="majorHAnsi" w:hAnsiTheme="majorHAnsi" w:cstheme="majorHAnsi"/>
          <w:shd w:val="clear" w:color="auto" w:fill="FFFFFF"/>
        </w:rPr>
        <w:t xml:space="preserve"> sú </w:t>
      </w:r>
      <w:r w:rsidR="001F0A8C" w:rsidRPr="0053555E">
        <w:rPr>
          <w:rFonts w:asciiTheme="majorHAnsi" w:hAnsiTheme="majorHAnsi" w:cstheme="majorHAnsi"/>
          <w:shd w:val="clear" w:color="auto" w:fill="FFFFFF"/>
        </w:rPr>
        <w:t xml:space="preserve">spravidla </w:t>
      </w:r>
      <w:r w:rsidR="0030503B" w:rsidRPr="0053555E">
        <w:rPr>
          <w:rFonts w:asciiTheme="majorHAnsi" w:hAnsiTheme="majorHAnsi" w:cstheme="majorHAnsi"/>
          <w:shd w:val="clear" w:color="auto" w:fill="FFFFFF"/>
        </w:rPr>
        <w:t>spojené s priznaním štipendia v súlade so</w:t>
      </w:r>
      <w:r w:rsidR="00F408BC" w:rsidRPr="0053555E">
        <w:rPr>
          <w:rFonts w:asciiTheme="majorHAnsi" w:hAnsiTheme="majorHAnsi" w:cstheme="majorHAnsi"/>
          <w:shd w:val="clear" w:color="auto" w:fill="FFFFFF"/>
        </w:rPr>
        <w:t> </w:t>
      </w:r>
      <w:r w:rsidR="0030503B" w:rsidRPr="0053555E">
        <w:rPr>
          <w:rFonts w:asciiTheme="majorHAnsi" w:hAnsiTheme="majorHAnsi" w:cstheme="majorHAnsi"/>
          <w:shd w:val="clear" w:color="auto" w:fill="FFFFFF"/>
        </w:rPr>
        <w:t>Š</w:t>
      </w:r>
      <w:r w:rsidRPr="0053555E">
        <w:rPr>
          <w:rFonts w:asciiTheme="majorHAnsi" w:hAnsiTheme="majorHAnsi" w:cstheme="majorHAnsi"/>
          <w:shd w:val="clear" w:color="auto" w:fill="FFFFFF"/>
        </w:rPr>
        <w:t>tipendijný</w:t>
      </w:r>
      <w:r w:rsidR="0030503B" w:rsidRPr="0053555E">
        <w:rPr>
          <w:rFonts w:asciiTheme="majorHAnsi" w:hAnsiTheme="majorHAnsi" w:cstheme="majorHAnsi"/>
          <w:shd w:val="clear" w:color="auto" w:fill="FFFFFF"/>
        </w:rPr>
        <w:t>m</w:t>
      </w:r>
      <w:r w:rsidRPr="0053555E">
        <w:rPr>
          <w:rFonts w:asciiTheme="majorHAnsi" w:hAnsiTheme="majorHAnsi" w:cstheme="majorHAnsi"/>
          <w:shd w:val="clear" w:color="auto" w:fill="FFFFFF"/>
        </w:rPr>
        <w:t xml:space="preserve"> poriadk</w:t>
      </w:r>
      <w:r w:rsidR="0030503B" w:rsidRPr="0053555E">
        <w:rPr>
          <w:rFonts w:asciiTheme="majorHAnsi" w:hAnsiTheme="majorHAnsi" w:cstheme="majorHAnsi"/>
          <w:shd w:val="clear" w:color="auto" w:fill="FFFFFF"/>
        </w:rPr>
        <w:t>om</w:t>
      </w:r>
      <w:r w:rsidRPr="0053555E">
        <w:rPr>
          <w:rFonts w:asciiTheme="majorHAnsi" w:hAnsiTheme="majorHAnsi" w:cstheme="majorHAnsi"/>
          <w:shd w:val="clear" w:color="auto" w:fill="FFFFFF"/>
        </w:rPr>
        <w:t xml:space="preserve"> STU</w:t>
      </w:r>
      <w:r w:rsidR="00BC7601">
        <w:rPr>
          <w:rFonts w:asciiTheme="majorHAnsi" w:hAnsiTheme="majorHAnsi" w:cstheme="majorHAnsi"/>
          <w:shd w:val="clear" w:color="auto" w:fill="FFFFFF"/>
        </w:rPr>
        <w:t xml:space="preserve">. </w:t>
      </w:r>
      <w:r w:rsidR="00B04D31">
        <w:rPr>
          <w:rFonts w:asciiTheme="majorHAnsi" w:hAnsiTheme="majorHAnsi" w:cstheme="majorHAnsi"/>
          <w:shd w:val="clear" w:color="auto" w:fill="FFFFFF"/>
        </w:rPr>
        <w:t>V</w:t>
      </w:r>
      <w:r w:rsidR="0030503B" w:rsidRPr="0053555E">
        <w:rPr>
          <w:rFonts w:asciiTheme="majorHAnsi" w:hAnsiTheme="majorHAnsi" w:cstheme="majorHAnsi"/>
          <w:shd w:val="clear" w:color="auto" w:fill="FFFFFF"/>
        </w:rPr>
        <w:t> akad</w:t>
      </w:r>
      <w:r w:rsidR="001B50D5" w:rsidRPr="0053555E">
        <w:rPr>
          <w:rFonts w:asciiTheme="majorHAnsi" w:hAnsiTheme="majorHAnsi" w:cstheme="majorHAnsi"/>
          <w:shd w:val="clear" w:color="auto" w:fill="FFFFFF"/>
        </w:rPr>
        <w:t>emickom</w:t>
      </w:r>
      <w:r w:rsidR="0030503B" w:rsidRPr="0053555E">
        <w:rPr>
          <w:rFonts w:asciiTheme="majorHAnsi" w:hAnsiTheme="majorHAnsi" w:cstheme="majorHAnsi"/>
          <w:shd w:val="clear" w:color="auto" w:fill="FFFFFF"/>
        </w:rPr>
        <w:t xml:space="preserve"> roku </w:t>
      </w:r>
      <w:r w:rsidR="00EA24BA" w:rsidRPr="0053555E">
        <w:rPr>
          <w:rFonts w:asciiTheme="majorHAnsi" w:hAnsiTheme="majorHAnsi" w:cstheme="majorHAnsi"/>
          <w:shd w:val="clear" w:color="auto" w:fill="FFFFFF"/>
        </w:rPr>
        <w:t>2021/2022</w:t>
      </w:r>
      <w:r w:rsidRPr="0053555E">
        <w:rPr>
          <w:rFonts w:asciiTheme="majorHAnsi" w:hAnsiTheme="majorHAnsi" w:cstheme="majorHAnsi"/>
          <w:shd w:val="clear" w:color="auto" w:fill="FFFFFF"/>
        </w:rPr>
        <w:t xml:space="preserve"> </w:t>
      </w:r>
      <w:r w:rsidR="00B04D31">
        <w:rPr>
          <w:rFonts w:asciiTheme="majorHAnsi" w:hAnsiTheme="majorHAnsi" w:cstheme="majorHAnsi"/>
          <w:shd w:val="clear" w:color="auto" w:fill="FFFFFF"/>
        </w:rPr>
        <w:t>získalo</w:t>
      </w:r>
      <w:r w:rsidR="00B04D31" w:rsidRPr="0053555E">
        <w:rPr>
          <w:rFonts w:asciiTheme="majorHAnsi" w:hAnsiTheme="majorHAnsi" w:cstheme="majorHAnsi"/>
          <w:shd w:val="clear" w:color="auto" w:fill="FFFFFF"/>
        </w:rPr>
        <w:t xml:space="preserve"> niektoré z ocenení </w:t>
      </w:r>
      <w:r w:rsidR="00002E8D">
        <w:rPr>
          <w:rFonts w:asciiTheme="majorHAnsi" w:hAnsiTheme="majorHAnsi" w:cstheme="majorHAnsi"/>
          <w:b/>
          <w:shd w:val="clear" w:color="auto" w:fill="FFFFFF"/>
        </w:rPr>
        <w:t>554</w:t>
      </w:r>
      <w:r w:rsidR="00BC7601" w:rsidRPr="00BC7601">
        <w:rPr>
          <w:rFonts w:asciiTheme="majorHAnsi" w:hAnsiTheme="majorHAnsi" w:cstheme="majorHAnsi"/>
          <w:shd w:val="clear" w:color="auto" w:fill="FFFFFF"/>
        </w:rPr>
        <w:t xml:space="preserve"> </w:t>
      </w:r>
      <w:r w:rsidR="00BC7601" w:rsidRPr="0053555E">
        <w:rPr>
          <w:rFonts w:asciiTheme="majorHAnsi" w:hAnsiTheme="majorHAnsi" w:cstheme="majorHAnsi"/>
          <w:shd w:val="clear" w:color="auto" w:fill="FFFFFF"/>
        </w:rPr>
        <w:t>študentov vrátane ocenených kolektívov</w:t>
      </w:r>
      <w:r w:rsidR="000F6159">
        <w:rPr>
          <w:rFonts w:asciiTheme="majorHAnsi" w:hAnsiTheme="majorHAnsi" w:cstheme="majorHAnsi"/>
          <w:b/>
          <w:shd w:val="clear" w:color="auto" w:fill="FFFFFF"/>
        </w:rPr>
        <w:t xml:space="preserve">, z toho 88 ocenení udelil rektor </w:t>
      </w:r>
      <w:r w:rsidR="00396F67" w:rsidRPr="005E4018">
        <w:rPr>
          <w:rFonts w:asciiTheme="majorHAnsi" w:hAnsiTheme="majorHAnsi" w:cstheme="majorHAnsi"/>
          <w:shd w:val="clear" w:color="auto" w:fill="FFFFFF"/>
        </w:rPr>
        <w:t>(</w:t>
      </w:r>
      <w:r w:rsidR="005E4018" w:rsidRPr="005E4018">
        <w:rPr>
          <w:rFonts w:asciiTheme="majorHAnsi" w:hAnsiTheme="majorHAnsi" w:cstheme="majorHAnsi"/>
          <w:shd w:val="clear" w:color="auto" w:fill="FFFFFF"/>
        </w:rPr>
        <w:t xml:space="preserve">47 </w:t>
      </w:r>
      <w:r w:rsidR="00896CD2" w:rsidRPr="005E4018">
        <w:rPr>
          <w:rFonts w:asciiTheme="majorHAnsi" w:hAnsiTheme="majorHAnsi" w:cstheme="majorHAnsi"/>
          <w:shd w:val="clear" w:color="auto" w:fill="FFFFFF"/>
        </w:rPr>
        <w:t>Cen</w:t>
      </w:r>
      <w:r w:rsidR="005E4018" w:rsidRPr="005E4018">
        <w:rPr>
          <w:rFonts w:asciiTheme="majorHAnsi" w:hAnsiTheme="majorHAnsi" w:cstheme="majorHAnsi"/>
          <w:shd w:val="clear" w:color="auto" w:fill="FFFFFF"/>
        </w:rPr>
        <w:t>a</w:t>
      </w:r>
      <w:r w:rsidR="00896CD2" w:rsidRPr="00896CD2">
        <w:rPr>
          <w:rFonts w:asciiTheme="majorHAnsi" w:hAnsiTheme="majorHAnsi" w:cstheme="majorHAnsi"/>
          <w:shd w:val="clear" w:color="auto" w:fill="FFFFFF"/>
        </w:rPr>
        <w:t xml:space="preserve"> rektora a</w:t>
      </w:r>
      <w:r w:rsidR="005E4018">
        <w:rPr>
          <w:rFonts w:asciiTheme="majorHAnsi" w:hAnsiTheme="majorHAnsi" w:cstheme="majorHAnsi"/>
          <w:shd w:val="clear" w:color="auto" w:fill="FFFFFF"/>
        </w:rPr>
        <w:t xml:space="preserve"> 41 </w:t>
      </w:r>
      <w:r w:rsidR="00896CD2" w:rsidRPr="00896CD2">
        <w:rPr>
          <w:rFonts w:asciiTheme="majorHAnsi" w:hAnsiTheme="majorHAnsi" w:cstheme="majorHAnsi"/>
          <w:shd w:val="clear" w:color="auto" w:fill="FFFFFF"/>
        </w:rPr>
        <w:t>Študent roka</w:t>
      </w:r>
      <w:r w:rsidR="005E4018">
        <w:rPr>
          <w:rFonts w:asciiTheme="majorHAnsi" w:hAnsiTheme="majorHAnsi" w:cstheme="majorHAnsi"/>
          <w:shd w:val="clear" w:color="auto" w:fill="FFFFFF"/>
        </w:rPr>
        <w:t>)</w:t>
      </w:r>
      <w:r w:rsidRPr="00896CD2">
        <w:rPr>
          <w:rFonts w:asciiTheme="majorHAnsi" w:hAnsiTheme="majorHAnsi" w:cstheme="majorHAnsi"/>
          <w:shd w:val="clear" w:color="auto" w:fill="FFFFFF"/>
        </w:rPr>
        <w:t>.</w:t>
      </w:r>
      <w:r w:rsidR="001F0A8C" w:rsidRPr="00896CD2">
        <w:rPr>
          <w:rFonts w:asciiTheme="majorHAnsi" w:hAnsiTheme="majorHAnsi" w:cstheme="majorHAnsi"/>
          <w:shd w:val="clear" w:color="auto" w:fill="FFFFFF"/>
        </w:rPr>
        <w:t xml:space="preserve"> </w:t>
      </w:r>
      <w:r w:rsidR="00C93D22" w:rsidRPr="00896CD2">
        <w:rPr>
          <w:rFonts w:asciiTheme="majorHAnsi" w:hAnsiTheme="majorHAnsi" w:cstheme="majorHAnsi"/>
          <w:shd w:val="clear" w:color="auto" w:fill="FFFFFF"/>
        </w:rPr>
        <w:t>V porovnaní s predchádzajúcim akademickým rokom</w:t>
      </w:r>
      <w:r w:rsidR="00C93D22" w:rsidRPr="0053555E">
        <w:rPr>
          <w:rFonts w:asciiTheme="majorHAnsi" w:hAnsiTheme="majorHAnsi" w:cstheme="majorHAnsi"/>
          <w:shd w:val="clear" w:color="auto" w:fill="FFFFFF"/>
        </w:rPr>
        <w:t xml:space="preserve"> </w:t>
      </w:r>
      <w:r w:rsidR="00A9401D" w:rsidRPr="0053555E">
        <w:rPr>
          <w:rFonts w:asciiTheme="majorHAnsi" w:hAnsiTheme="majorHAnsi" w:cstheme="majorHAnsi"/>
          <w:shd w:val="clear" w:color="auto" w:fill="FFFFFF"/>
        </w:rPr>
        <w:t xml:space="preserve">bolo </w:t>
      </w:r>
      <w:r w:rsidR="003132F2" w:rsidRPr="0053555E">
        <w:rPr>
          <w:rFonts w:asciiTheme="majorHAnsi" w:hAnsiTheme="majorHAnsi" w:cstheme="majorHAnsi"/>
          <w:shd w:val="clear" w:color="auto" w:fill="FFFFFF"/>
        </w:rPr>
        <w:t xml:space="preserve">v rámci univerzity </w:t>
      </w:r>
      <w:r w:rsidR="00A9401D" w:rsidRPr="0053555E">
        <w:rPr>
          <w:rFonts w:asciiTheme="majorHAnsi" w:hAnsiTheme="majorHAnsi" w:cstheme="majorHAnsi"/>
          <w:shd w:val="clear" w:color="auto" w:fill="FFFFFF"/>
        </w:rPr>
        <w:t>udelených</w:t>
      </w:r>
      <w:r w:rsidR="00A9401D" w:rsidRPr="0053555E">
        <w:rPr>
          <w:rFonts w:asciiTheme="majorHAnsi" w:hAnsiTheme="majorHAnsi" w:cstheme="majorHAnsi"/>
          <w:b/>
          <w:shd w:val="clear" w:color="auto" w:fill="FFFFFF"/>
        </w:rPr>
        <w:t xml:space="preserve"> o </w:t>
      </w:r>
      <w:r w:rsidR="00002E8D">
        <w:rPr>
          <w:rFonts w:asciiTheme="majorHAnsi" w:hAnsiTheme="majorHAnsi" w:cstheme="majorHAnsi"/>
          <w:b/>
          <w:shd w:val="clear" w:color="auto" w:fill="FFFFFF"/>
        </w:rPr>
        <w:t>147</w:t>
      </w:r>
      <w:r w:rsidR="00A9401D" w:rsidRPr="0053555E">
        <w:rPr>
          <w:rFonts w:asciiTheme="majorHAnsi" w:hAnsiTheme="majorHAnsi" w:cstheme="majorHAnsi"/>
          <w:b/>
          <w:shd w:val="clear" w:color="auto" w:fill="FFFFFF"/>
        </w:rPr>
        <w:t xml:space="preserve"> ocenení </w:t>
      </w:r>
      <w:r w:rsidR="00002E8D">
        <w:rPr>
          <w:rFonts w:asciiTheme="majorHAnsi" w:hAnsiTheme="majorHAnsi" w:cstheme="majorHAnsi"/>
          <w:b/>
          <w:shd w:val="clear" w:color="auto" w:fill="FFFFFF"/>
        </w:rPr>
        <w:t>menej</w:t>
      </w:r>
      <w:r w:rsidR="00A9401D" w:rsidRPr="0053555E">
        <w:rPr>
          <w:rFonts w:asciiTheme="majorHAnsi" w:hAnsiTheme="majorHAnsi" w:cstheme="majorHAnsi"/>
          <w:b/>
          <w:shd w:val="clear" w:color="auto" w:fill="FFFFFF"/>
        </w:rPr>
        <w:t xml:space="preserve">. </w:t>
      </w:r>
      <w:r w:rsidRPr="0053555E">
        <w:rPr>
          <w:rFonts w:asciiTheme="majorHAnsi" w:hAnsiTheme="majorHAnsi" w:cstheme="majorHAnsi"/>
          <w:shd w:val="clear" w:color="auto" w:fill="FFFFFF"/>
        </w:rPr>
        <w:t>Prehľad ocenení je v </w:t>
      </w:r>
      <w:r w:rsidR="00671EEF" w:rsidRPr="008D03BB">
        <w:rPr>
          <w:rFonts w:asciiTheme="majorHAnsi" w:hAnsiTheme="majorHAnsi" w:cstheme="majorHAnsi"/>
          <w:shd w:val="clear" w:color="auto" w:fill="FFFFFF"/>
        </w:rPr>
        <w:fldChar w:fldCharType="begin"/>
      </w:r>
      <w:r w:rsidR="00671EEF" w:rsidRPr="008D03BB">
        <w:rPr>
          <w:rFonts w:asciiTheme="majorHAnsi" w:hAnsiTheme="majorHAnsi" w:cstheme="majorHAnsi"/>
          <w:shd w:val="clear" w:color="auto" w:fill="FFFFFF"/>
        </w:rPr>
        <w:instrText xml:space="preserve"> REF _Ref31718652 \h </w:instrText>
      </w:r>
      <w:r w:rsidR="00A52011" w:rsidRPr="008D03BB">
        <w:rPr>
          <w:rFonts w:asciiTheme="majorHAnsi" w:hAnsiTheme="majorHAnsi" w:cstheme="majorHAnsi"/>
          <w:shd w:val="clear" w:color="auto" w:fill="FFFFFF"/>
        </w:rPr>
        <w:instrText xml:space="preserve"> \* MERGEFORMAT </w:instrText>
      </w:r>
      <w:r w:rsidR="00671EEF" w:rsidRPr="008D03BB">
        <w:rPr>
          <w:rFonts w:asciiTheme="majorHAnsi" w:hAnsiTheme="majorHAnsi" w:cstheme="majorHAnsi"/>
          <w:shd w:val="clear" w:color="auto" w:fill="FFFFFF"/>
        </w:rPr>
      </w:r>
      <w:r w:rsidR="00671EEF" w:rsidRPr="008D03BB">
        <w:rPr>
          <w:rFonts w:asciiTheme="majorHAnsi" w:hAnsiTheme="majorHAnsi" w:cstheme="majorHAnsi"/>
          <w:shd w:val="clear" w:color="auto" w:fill="FFFFFF"/>
        </w:rPr>
        <w:fldChar w:fldCharType="separate"/>
      </w:r>
      <w:r w:rsidR="00EE1B59" w:rsidRPr="008D03BB">
        <w:rPr>
          <w:rFonts w:asciiTheme="majorHAnsi" w:hAnsiTheme="majorHAnsi" w:cstheme="majorHAnsi"/>
        </w:rPr>
        <w:t>Tab. č. 37</w:t>
      </w:r>
      <w:r w:rsidR="00671EEF" w:rsidRPr="008D03BB">
        <w:rPr>
          <w:rFonts w:asciiTheme="majorHAnsi" w:hAnsiTheme="majorHAnsi" w:cstheme="majorHAnsi"/>
          <w:shd w:val="clear" w:color="auto" w:fill="FFFFFF"/>
        </w:rPr>
        <w:fldChar w:fldCharType="end"/>
      </w:r>
      <w:r w:rsidRPr="008D03BB">
        <w:rPr>
          <w:rFonts w:asciiTheme="majorHAnsi" w:hAnsiTheme="majorHAnsi" w:cstheme="majorHAnsi"/>
          <w:shd w:val="clear" w:color="auto" w:fill="FFFFFF"/>
        </w:rPr>
        <w:t>.</w:t>
      </w:r>
    </w:p>
    <w:p w14:paraId="5A2BCFBD" w14:textId="77777777" w:rsidR="006A4861" w:rsidRPr="0053555E" w:rsidRDefault="006A4861" w:rsidP="00324438">
      <w:pPr>
        <w:tabs>
          <w:tab w:val="left" w:pos="9356"/>
        </w:tabs>
        <w:jc w:val="both"/>
        <w:rPr>
          <w:rFonts w:asciiTheme="majorHAnsi" w:hAnsiTheme="majorHAnsi" w:cstheme="majorHAnsi"/>
          <w:shd w:val="clear" w:color="auto" w:fill="FFFFFF"/>
        </w:rPr>
      </w:pPr>
    </w:p>
    <w:p w14:paraId="0A01873F" w14:textId="2D38CC5B" w:rsidR="002071AC" w:rsidRPr="0053555E" w:rsidRDefault="00671EEF" w:rsidP="000E3322">
      <w:pPr>
        <w:pStyle w:val="Popis"/>
      </w:pPr>
      <w:bookmarkStart w:id="169" w:name="_Ref31718652"/>
      <w:bookmarkStart w:id="170" w:name="_Toc127593300"/>
      <w:r w:rsidRPr="0053555E">
        <w:t xml:space="preserve">Tab. č. </w:t>
      </w:r>
      <w:r w:rsidR="007B5953">
        <w:fldChar w:fldCharType="begin"/>
      </w:r>
      <w:r w:rsidR="007B5953">
        <w:instrText xml:space="preserve"> SEQ Tab._č. \* ARABIC </w:instrText>
      </w:r>
      <w:r w:rsidR="007B5953">
        <w:fldChar w:fldCharType="separate"/>
      </w:r>
      <w:r w:rsidR="00EE1B59">
        <w:rPr>
          <w:noProof/>
        </w:rPr>
        <w:t>37</w:t>
      </w:r>
      <w:r w:rsidR="007B5953">
        <w:rPr>
          <w:noProof/>
        </w:rPr>
        <w:fldChar w:fldCharType="end"/>
      </w:r>
      <w:bookmarkEnd w:id="169"/>
      <w:r w:rsidRPr="0053555E">
        <w:t xml:space="preserve">: </w:t>
      </w:r>
      <w:r w:rsidR="002071AC" w:rsidRPr="0053555E">
        <w:t>Ocenenia študentov</w:t>
      </w:r>
      <w:r w:rsidR="008510AC" w:rsidRPr="0053555E">
        <w:t xml:space="preserve"> </w:t>
      </w:r>
      <w:r w:rsidR="00236DEA" w:rsidRPr="0053555E">
        <w:t xml:space="preserve">alebo kolektívov študentov </w:t>
      </w:r>
      <w:r w:rsidR="008510AC" w:rsidRPr="0053555E">
        <w:t>STU</w:t>
      </w:r>
      <w:r w:rsidR="002071AC" w:rsidRPr="0053555E">
        <w:t xml:space="preserve"> </w:t>
      </w:r>
      <w:r w:rsidR="008510AC" w:rsidRPr="0053555E">
        <w:t xml:space="preserve">dosiahnuté </w:t>
      </w:r>
      <w:r w:rsidR="002071AC" w:rsidRPr="0053555E">
        <w:t xml:space="preserve">v rámci </w:t>
      </w:r>
      <w:r w:rsidR="008510AC" w:rsidRPr="0053555E">
        <w:t>univerzity</w:t>
      </w:r>
      <w:bookmarkEnd w:id="170"/>
    </w:p>
    <w:tbl>
      <w:tblPr>
        <w:tblW w:w="9072" w:type="dxa"/>
        <w:tblInd w:w="-5" w:type="dxa"/>
        <w:tblLayout w:type="fixed"/>
        <w:tblCellMar>
          <w:left w:w="70" w:type="dxa"/>
          <w:right w:w="70" w:type="dxa"/>
        </w:tblCellMar>
        <w:tblLook w:val="04A0" w:firstRow="1" w:lastRow="0" w:firstColumn="1" w:lastColumn="0" w:noHBand="0" w:noVBand="1"/>
      </w:tblPr>
      <w:tblGrid>
        <w:gridCol w:w="1134"/>
        <w:gridCol w:w="2835"/>
        <w:gridCol w:w="637"/>
        <w:gridCol w:w="638"/>
        <w:gridCol w:w="638"/>
        <w:gridCol w:w="638"/>
        <w:gridCol w:w="638"/>
        <w:gridCol w:w="638"/>
        <w:gridCol w:w="638"/>
        <w:gridCol w:w="638"/>
      </w:tblGrid>
      <w:tr w:rsidR="00AE2568" w:rsidRPr="0053555E" w14:paraId="28AB9B2D" w14:textId="77777777" w:rsidTr="00011E57">
        <w:trPr>
          <w:trHeight w:val="20"/>
        </w:trPr>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77AE4277" w14:textId="170627E3" w:rsidR="0076244A" w:rsidRPr="0053555E" w:rsidRDefault="0076244A" w:rsidP="00324438">
            <w:pPr>
              <w:jc w:val="both"/>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Ocenenia</w:t>
            </w:r>
          </w:p>
        </w:tc>
        <w:tc>
          <w:tcPr>
            <w:tcW w:w="637" w:type="dxa"/>
            <w:tcBorders>
              <w:top w:val="single" w:sz="4" w:space="0" w:color="auto"/>
              <w:left w:val="nil"/>
              <w:bottom w:val="nil"/>
              <w:right w:val="single" w:sz="4" w:space="0" w:color="auto"/>
            </w:tcBorders>
            <w:shd w:val="clear" w:color="auto" w:fill="EEECE1" w:themeFill="background2"/>
            <w:vAlign w:val="center"/>
            <w:hideMark/>
          </w:tcPr>
          <w:p w14:paraId="7338D37A" w14:textId="77777777" w:rsidR="0076244A" w:rsidRPr="0053555E" w:rsidRDefault="0076244A" w:rsidP="00324438">
            <w:pPr>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SvF</w:t>
            </w:r>
          </w:p>
        </w:tc>
        <w:tc>
          <w:tcPr>
            <w:tcW w:w="638" w:type="dxa"/>
            <w:tcBorders>
              <w:top w:val="single" w:sz="4" w:space="0" w:color="auto"/>
              <w:left w:val="nil"/>
              <w:bottom w:val="nil"/>
              <w:right w:val="single" w:sz="4" w:space="0" w:color="auto"/>
            </w:tcBorders>
            <w:shd w:val="clear" w:color="auto" w:fill="EEECE1" w:themeFill="background2"/>
            <w:vAlign w:val="center"/>
            <w:hideMark/>
          </w:tcPr>
          <w:p w14:paraId="6615E016" w14:textId="77777777" w:rsidR="0076244A" w:rsidRPr="0053555E" w:rsidRDefault="0076244A" w:rsidP="00324438">
            <w:pPr>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SjF</w:t>
            </w:r>
          </w:p>
        </w:tc>
        <w:tc>
          <w:tcPr>
            <w:tcW w:w="638" w:type="dxa"/>
            <w:tcBorders>
              <w:top w:val="single" w:sz="4" w:space="0" w:color="auto"/>
              <w:left w:val="nil"/>
              <w:bottom w:val="nil"/>
              <w:right w:val="single" w:sz="4" w:space="0" w:color="auto"/>
            </w:tcBorders>
            <w:shd w:val="clear" w:color="auto" w:fill="EEECE1" w:themeFill="background2"/>
            <w:vAlign w:val="center"/>
            <w:hideMark/>
          </w:tcPr>
          <w:p w14:paraId="70429411" w14:textId="77777777" w:rsidR="0076244A" w:rsidRPr="0053555E" w:rsidRDefault="0076244A" w:rsidP="00324438">
            <w:pPr>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FEI</w:t>
            </w:r>
          </w:p>
        </w:tc>
        <w:tc>
          <w:tcPr>
            <w:tcW w:w="638" w:type="dxa"/>
            <w:tcBorders>
              <w:top w:val="single" w:sz="4" w:space="0" w:color="auto"/>
              <w:left w:val="nil"/>
              <w:bottom w:val="nil"/>
              <w:right w:val="single" w:sz="4" w:space="0" w:color="auto"/>
            </w:tcBorders>
            <w:shd w:val="clear" w:color="auto" w:fill="EEECE1" w:themeFill="background2"/>
            <w:vAlign w:val="center"/>
            <w:hideMark/>
          </w:tcPr>
          <w:p w14:paraId="4537357B" w14:textId="77777777" w:rsidR="0076244A" w:rsidRPr="0053555E" w:rsidRDefault="0076244A" w:rsidP="00324438">
            <w:pPr>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FCHPT</w:t>
            </w:r>
          </w:p>
        </w:tc>
        <w:tc>
          <w:tcPr>
            <w:tcW w:w="638" w:type="dxa"/>
            <w:tcBorders>
              <w:top w:val="single" w:sz="4" w:space="0" w:color="auto"/>
              <w:left w:val="nil"/>
              <w:bottom w:val="nil"/>
              <w:right w:val="single" w:sz="4" w:space="0" w:color="auto"/>
            </w:tcBorders>
            <w:shd w:val="clear" w:color="auto" w:fill="EEECE1" w:themeFill="background2"/>
            <w:vAlign w:val="center"/>
            <w:hideMark/>
          </w:tcPr>
          <w:p w14:paraId="720B7956" w14:textId="77777777" w:rsidR="0076244A" w:rsidRPr="0053555E" w:rsidRDefault="009D4BD1" w:rsidP="00324438">
            <w:pPr>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FAD</w:t>
            </w:r>
          </w:p>
        </w:tc>
        <w:tc>
          <w:tcPr>
            <w:tcW w:w="638" w:type="dxa"/>
            <w:tcBorders>
              <w:top w:val="single" w:sz="4" w:space="0" w:color="auto"/>
              <w:left w:val="nil"/>
              <w:bottom w:val="nil"/>
              <w:right w:val="single" w:sz="4" w:space="0" w:color="auto"/>
            </w:tcBorders>
            <w:shd w:val="clear" w:color="auto" w:fill="EEECE1" w:themeFill="background2"/>
            <w:vAlign w:val="center"/>
            <w:hideMark/>
          </w:tcPr>
          <w:p w14:paraId="3D3AC749" w14:textId="77777777" w:rsidR="0076244A" w:rsidRPr="0053555E" w:rsidRDefault="0076244A" w:rsidP="00324438">
            <w:pPr>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MTF</w:t>
            </w:r>
          </w:p>
        </w:tc>
        <w:tc>
          <w:tcPr>
            <w:tcW w:w="638" w:type="dxa"/>
            <w:tcBorders>
              <w:top w:val="single" w:sz="4" w:space="0" w:color="auto"/>
              <w:left w:val="nil"/>
              <w:bottom w:val="nil"/>
              <w:right w:val="single" w:sz="4" w:space="0" w:color="auto"/>
            </w:tcBorders>
            <w:shd w:val="clear" w:color="auto" w:fill="EEECE1" w:themeFill="background2"/>
            <w:vAlign w:val="center"/>
            <w:hideMark/>
          </w:tcPr>
          <w:p w14:paraId="12FC1CDB" w14:textId="77777777" w:rsidR="0076244A" w:rsidRPr="0053555E" w:rsidRDefault="0076244A" w:rsidP="00324438">
            <w:pPr>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FIIT</w:t>
            </w:r>
          </w:p>
        </w:tc>
        <w:tc>
          <w:tcPr>
            <w:tcW w:w="638" w:type="dxa"/>
            <w:tcBorders>
              <w:top w:val="single" w:sz="4" w:space="0" w:color="auto"/>
              <w:left w:val="nil"/>
              <w:bottom w:val="nil"/>
              <w:right w:val="single" w:sz="4" w:space="0" w:color="auto"/>
            </w:tcBorders>
            <w:shd w:val="clear" w:color="auto" w:fill="EEECE1" w:themeFill="background2"/>
            <w:vAlign w:val="center"/>
            <w:hideMark/>
          </w:tcPr>
          <w:p w14:paraId="6CEBAF29" w14:textId="77777777" w:rsidR="0076244A" w:rsidRPr="0053555E" w:rsidRDefault="0076244A" w:rsidP="00324438">
            <w:pPr>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ÚM</w:t>
            </w:r>
          </w:p>
        </w:tc>
      </w:tr>
      <w:tr w:rsidR="00A90A46" w:rsidRPr="0053555E" w14:paraId="62CF3DC5" w14:textId="77777777" w:rsidTr="009937B7">
        <w:trPr>
          <w:trHeight w:val="20"/>
        </w:trPr>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A6CDABF" w14:textId="77777777" w:rsidR="00A90A46" w:rsidRPr="0053555E" w:rsidRDefault="00A90A46" w:rsidP="00A90A46">
            <w:pPr>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 xml:space="preserve">Ocenenie </w:t>
            </w:r>
          </w:p>
          <w:p w14:paraId="1D10C394" w14:textId="77777777" w:rsidR="00A90A46" w:rsidRPr="0053555E" w:rsidRDefault="00A90A46" w:rsidP="00A90A46">
            <w:pP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Cena rektora STU</w:t>
            </w:r>
          </w:p>
        </w:tc>
        <w:tc>
          <w:tcPr>
            <w:tcW w:w="2835" w:type="dxa"/>
            <w:tcBorders>
              <w:top w:val="nil"/>
              <w:left w:val="nil"/>
              <w:bottom w:val="single" w:sz="4" w:space="0" w:color="auto"/>
              <w:right w:val="single" w:sz="4" w:space="0" w:color="auto"/>
            </w:tcBorders>
            <w:shd w:val="clear" w:color="auto" w:fill="auto"/>
            <w:vAlign w:val="center"/>
            <w:hideMark/>
          </w:tcPr>
          <w:p w14:paraId="272BD7B7" w14:textId="77777777" w:rsidR="00A90A46" w:rsidRPr="0053555E" w:rsidRDefault="00A90A46" w:rsidP="00A90A46">
            <w:pPr>
              <w:jc w:val="both"/>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I. stupeň</w:t>
            </w:r>
          </w:p>
        </w:tc>
        <w:tc>
          <w:tcPr>
            <w:tcW w:w="637" w:type="dxa"/>
            <w:tcBorders>
              <w:top w:val="single" w:sz="4" w:space="0" w:color="auto"/>
              <w:left w:val="nil"/>
              <w:bottom w:val="single" w:sz="4" w:space="0" w:color="auto"/>
              <w:right w:val="single" w:sz="4" w:space="0" w:color="auto"/>
            </w:tcBorders>
            <w:shd w:val="clear" w:color="auto" w:fill="auto"/>
            <w:vAlign w:val="bottom"/>
          </w:tcPr>
          <w:p w14:paraId="57FF3DE1" w14:textId="3A8229CE" w:rsidR="00A90A46" w:rsidRPr="0053555E" w:rsidRDefault="00A90A46" w:rsidP="00A90A46">
            <w:pPr>
              <w:jc w:val="center"/>
              <w:rPr>
                <w:rFonts w:asciiTheme="majorHAnsi" w:hAnsiTheme="majorHAnsi" w:cstheme="majorHAnsi"/>
                <w:sz w:val="20"/>
                <w:szCs w:val="20"/>
              </w:rPr>
            </w:pPr>
            <w:r w:rsidRPr="0053555E">
              <w:rPr>
                <w:rFonts w:cs="Calibri"/>
                <w:sz w:val="20"/>
                <w:szCs w:val="20"/>
              </w:rPr>
              <w:t>4</w:t>
            </w:r>
          </w:p>
        </w:tc>
        <w:tc>
          <w:tcPr>
            <w:tcW w:w="638" w:type="dxa"/>
            <w:tcBorders>
              <w:top w:val="single" w:sz="4" w:space="0" w:color="auto"/>
              <w:left w:val="nil"/>
              <w:bottom w:val="single" w:sz="4" w:space="0" w:color="auto"/>
              <w:right w:val="single" w:sz="4" w:space="0" w:color="auto"/>
            </w:tcBorders>
            <w:shd w:val="clear" w:color="auto" w:fill="auto"/>
            <w:vAlign w:val="bottom"/>
          </w:tcPr>
          <w:p w14:paraId="75F5B5A1" w14:textId="1A5CF728" w:rsidR="00A90A46" w:rsidRPr="0053555E" w:rsidRDefault="00A90A46" w:rsidP="00A90A46">
            <w:pPr>
              <w:jc w:val="center"/>
              <w:rPr>
                <w:rFonts w:asciiTheme="majorHAnsi" w:hAnsiTheme="majorHAnsi" w:cstheme="majorHAnsi"/>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bottom"/>
          </w:tcPr>
          <w:p w14:paraId="6E45D9F8" w14:textId="71CF4975" w:rsidR="00A90A46" w:rsidRPr="0053555E" w:rsidRDefault="00A90A46" w:rsidP="00A90A46">
            <w:pPr>
              <w:jc w:val="center"/>
              <w:rPr>
                <w:rFonts w:asciiTheme="majorHAnsi" w:hAnsiTheme="majorHAnsi" w:cstheme="majorHAnsi"/>
                <w:sz w:val="20"/>
                <w:szCs w:val="20"/>
              </w:rPr>
            </w:pPr>
            <w:r w:rsidRPr="0053555E">
              <w:rPr>
                <w:rFonts w:cs="Calibri"/>
                <w:sz w:val="20"/>
                <w:szCs w:val="20"/>
              </w:rPr>
              <w:t>3</w:t>
            </w:r>
          </w:p>
        </w:tc>
        <w:tc>
          <w:tcPr>
            <w:tcW w:w="638" w:type="dxa"/>
            <w:tcBorders>
              <w:top w:val="single" w:sz="4" w:space="0" w:color="auto"/>
              <w:left w:val="nil"/>
              <w:bottom w:val="single" w:sz="4" w:space="0" w:color="auto"/>
              <w:right w:val="single" w:sz="4" w:space="0" w:color="auto"/>
            </w:tcBorders>
            <w:shd w:val="clear" w:color="auto" w:fill="auto"/>
            <w:vAlign w:val="bottom"/>
          </w:tcPr>
          <w:p w14:paraId="08C8024C" w14:textId="59D261F7" w:rsidR="00A90A46" w:rsidRPr="0053555E" w:rsidRDefault="00A90A46" w:rsidP="00A90A46">
            <w:pPr>
              <w:jc w:val="center"/>
              <w:rPr>
                <w:rFonts w:asciiTheme="majorHAnsi" w:hAnsiTheme="majorHAnsi" w:cstheme="majorHAnsi"/>
                <w:sz w:val="20"/>
                <w:szCs w:val="20"/>
              </w:rPr>
            </w:pPr>
            <w:r w:rsidRPr="0053555E">
              <w:rPr>
                <w:rFonts w:cs="Calibri"/>
                <w:sz w:val="20"/>
                <w:szCs w:val="20"/>
              </w:rPr>
              <w:t>3</w:t>
            </w:r>
          </w:p>
        </w:tc>
        <w:tc>
          <w:tcPr>
            <w:tcW w:w="638" w:type="dxa"/>
            <w:tcBorders>
              <w:top w:val="single" w:sz="4" w:space="0" w:color="auto"/>
              <w:left w:val="nil"/>
              <w:bottom w:val="single" w:sz="4" w:space="0" w:color="auto"/>
              <w:right w:val="single" w:sz="4" w:space="0" w:color="auto"/>
            </w:tcBorders>
            <w:shd w:val="clear" w:color="auto" w:fill="auto"/>
            <w:vAlign w:val="bottom"/>
          </w:tcPr>
          <w:p w14:paraId="7C0CD32E" w14:textId="7B82855B" w:rsidR="00A90A46" w:rsidRPr="0053555E" w:rsidRDefault="00A90A46" w:rsidP="00A90A46">
            <w:pPr>
              <w:jc w:val="center"/>
              <w:rPr>
                <w:rFonts w:asciiTheme="majorHAnsi" w:hAnsiTheme="majorHAnsi" w:cstheme="majorHAnsi"/>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bottom"/>
          </w:tcPr>
          <w:p w14:paraId="130E870C" w14:textId="63A92919"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single" w:sz="4" w:space="0" w:color="auto"/>
              <w:left w:val="nil"/>
              <w:bottom w:val="single" w:sz="4" w:space="0" w:color="auto"/>
              <w:right w:val="single" w:sz="4" w:space="0" w:color="auto"/>
            </w:tcBorders>
            <w:shd w:val="clear" w:color="auto" w:fill="auto"/>
            <w:vAlign w:val="bottom"/>
          </w:tcPr>
          <w:p w14:paraId="2F5F8A3D" w14:textId="5942ED5E" w:rsidR="00A90A46" w:rsidRPr="0053555E" w:rsidRDefault="00A90A46" w:rsidP="00A90A46">
            <w:pPr>
              <w:jc w:val="center"/>
              <w:rPr>
                <w:rFonts w:asciiTheme="majorHAnsi" w:hAnsiTheme="majorHAnsi" w:cstheme="majorHAnsi"/>
                <w:sz w:val="20"/>
                <w:szCs w:val="20"/>
              </w:rPr>
            </w:pPr>
          </w:p>
        </w:tc>
        <w:tc>
          <w:tcPr>
            <w:tcW w:w="638" w:type="dxa"/>
            <w:tcBorders>
              <w:top w:val="single" w:sz="4" w:space="0" w:color="auto"/>
              <w:left w:val="nil"/>
              <w:bottom w:val="single" w:sz="4" w:space="0" w:color="auto"/>
              <w:right w:val="single" w:sz="4" w:space="0" w:color="auto"/>
            </w:tcBorders>
            <w:shd w:val="clear" w:color="auto" w:fill="auto"/>
            <w:vAlign w:val="bottom"/>
          </w:tcPr>
          <w:p w14:paraId="7F470672" w14:textId="0981CD9D" w:rsidR="00A90A46" w:rsidRPr="0053555E" w:rsidRDefault="00A90A46" w:rsidP="00A90A46">
            <w:pPr>
              <w:jc w:val="center"/>
              <w:rPr>
                <w:rFonts w:asciiTheme="majorHAnsi" w:hAnsiTheme="majorHAnsi" w:cstheme="majorHAnsi"/>
                <w:sz w:val="20"/>
                <w:szCs w:val="20"/>
              </w:rPr>
            </w:pPr>
            <w:r w:rsidRPr="0053555E">
              <w:rPr>
                <w:rFonts w:cs="Calibri"/>
                <w:sz w:val="20"/>
                <w:szCs w:val="20"/>
              </w:rPr>
              <w:t>2</w:t>
            </w:r>
          </w:p>
        </w:tc>
      </w:tr>
      <w:tr w:rsidR="00A90A46" w:rsidRPr="0053555E" w14:paraId="08CA6565" w14:textId="77777777" w:rsidTr="009937B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4381A03C" w14:textId="77777777" w:rsidR="00A90A46" w:rsidRPr="0053555E" w:rsidRDefault="00A90A46" w:rsidP="00A90A46">
            <w:pPr>
              <w:jc w:val="both"/>
              <w:rPr>
                <w:rFonts w:asciiTheme="majorHAnsi" w:eastAsia="Times New Roman" w:hAnsiTheme="majorHAnsi" w:cstheme="majorHAnsi"/>
                <w:sz w:val="20"/>
                <w:szCs w:val="20"/>
                <w:lang w:eastAsia="sk-SK"/>
              </w:rPr>
            </w:pPr>
          </w:p>
        </w:tc>
        <w:tc>
          <w:tcPr>
            <w:tcW w:w="2835" w:type="dxa"/>
            <w:tcBorders>
              <w:top w:val="nil"/>
              <w:left w:val="nil"/>
              <w:bottom w:val="single" w:sz="4" w:space="0" w:color="auto"/>
              <w:right w:val="single" w:sz="4" w:space="0" w:color="auto"/>
            </w:tcBorders>
            <w:shd w:val="clear" w:color="auto" w:fill="auto"/>
            <w:vAlign w:val="center"/>
            <w:hideMark/>
          </w:tcPr>
          <w:p w14:paraId="5EECE653" w14:textId="77777777" w:rsidR="00A90A46" w:rsidRPr="0053555E" w:rsidRDefault="00A90A46" w:rsidP="00A90A46">
            <w:pPr>
              <w:jc w:val="both"/>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II. stupeň</w:t>
            </w:r>
          </w:p>
        </w:tc>
        <w:tc>
          <w:tcPr>
            <w:tcW w:w="637" w:type="dxa"/>
            <w:tcBorders>
              <w:top w:val="nil"/>
              <w:left w:val="nil"/>
              <w:bottom w:val="single" w:sz="4" w:space="0" w:color="auto"/>
              <w:right w:val="single" w:sz="4" w:space="0" w:color="auto"/>
            </w:tcBorders>
            <w:shd w:val="clear" w:color="auto" w:fill="auto"/>
            <w:vAlign w:val="bottom"/>
          </w:tcPr>
          <w:p w14:paraId="414CF7C3" w14:textId="17BDC808" w:rsidR="00A90A46" w:rsidRPr="0053555E" w:rsidRDefault="00A90A46" w:rsidP="00A90A46">
            <w:pPr>
              <w:jc w:val="center"/>
              <w:rPr>
                <w:rFonts w:asciiTheme="majorHAnsi" w:hAnsiTheme="majorHAnsi" w:cstheme="majorHAnsi"/>
                <w:sz w:val="20"/>
                <w:szCs w:val="20"/>
              </w:rPr>
            </w:pPr>
            <w:r w:rsidRPr="0053555E">
              <w:rPr>
                <w:rFonts w:cs="Calibri"/>
                <w:sz w:val="20"/>
                <w:szCs w:val="20"/>
              </w:rPr>
              <w:t>5</w:t>
            </w:r>
          </w:p>
        </w:tc>
        <w:tc>
          <w:tcPr>
            <w:tcW w:w="638" w:type="dxa"/>
            <w:tcBorders>
              <w:top w:val="nil"/>
              <w:left w:val="nil"/>
              <w:bottom w:val="single" w:sz="4" w:space="0" w:color="auto"/>
              <w:right w:val="single" w:sz="4" w:space="0" w:color="auto"/>
            </w:tcBorders>
            <w:shd w:val="clear" w:color="auto" w:fill="auto"/>
            <w:vAlign w:val="bottom"/>
          </w:tcPr>
          <w:p w14:paraId="40C9C61D" w14:textId="770D41BF" w:rsidR="00A90A46" w:rsidRPr="0053555E" w:rsidRDefault="00A90A46" w:rsidP="00A90A46">
            <w:pPr>
              <w:jc w:val="center"/>
              <w:rPr>
                <w:rFonts w:asciiTheme="majorHAnsi" w:hAnsiTheme="majorHAnsi" w:cstheme="majorHAnsi"/>
                <w:sz w:val="20"/>
                <w:szCs w:val="20"/>
              </w:rPr>
            </w:pPr>
            <w:r w:rsidRPr="0053555E">
              <w:rPr>
                <w:rFonts w:cs="Calibri"/>
                <w:sz w:val="20"/>
                <w:szCs w:val="20"/>
              </w:rPr>
              <w:t>5</w:t>
            </w:r>
          </w:p>
        </w:tc>
        <w:tc>
          <w:tcPr>
            <w:tcW w:w="638" w:type="dxa"/>
            <w:tcBorders>
              <w:top w:val="nil"/>
              <w:left w:val="nil"/>
              <w:bottom w:val="single" w:sz="4" w:space="0" w:color="auto"/>
              <w:right w:val="single" w:sz="4" w:space="0" w:color="auto"/>
            </w:tcBorders>
            <w:shd w:val="clear" w:color="auto" w:fill="auto"/>
            <w:vAlign w:val="bottom"/>
          </w:tcPr>
          <w:p w14:paraId="17C20AF3" w14:textId="66783317" w:rsidR="00A90A46" w:rsidRPr="0053555E" w:rsidRDefault="00A90A46" w:rsidP="00A90A46">
            <w:pPr>
              <w:jc w:val="center"/>
              <w:rPr>
                <w:rFonts w:asciiTheme="majorHAnsi" w:hAnsiTheme="majorHAnsi" w:cstheme="majorHAnsi"/>
                <w:sz w:val="20"/>
                <w:szCs w:val="20"/>
              </w:rPr>
            </w:pPr>
            <w:r w:rsidRPr="0053555E">
              <w:rPr>
                <w:rFonts w:cs="Calibri"/>
                <w:sz w:val="20"/>
                <w:szCs w:val="20"/>
              </w:rPr>
              <w:t>3</w:t>
            </w:r>
          </w:p>
        </w:tc>
        <w:tc>
          <w:tcPr>
            <w:tcW w:w="638" w:type="dxa"/>
            <w:tcBorders>
              <w:top w:val="nil"/>
              <w:left w:val="nil"/>
              <w:bottom w:val="single" w:sz="4" w:space="0" w:color="auto"/>
              <w:right w:val="single" w:sz="4" w:space="0" w:color="auto"/>
            </w:tcBorders>
            <w:shd w:val="clear" w:color="auto" w:fill="auto"/>
            <w:vAlign w:val="bottom"/>
          </w:tcPr>
          <w:p w14:paraId="0A2AB98A" w14:textId="1AB39250" w:rsidR="00A90A46" w:rsidRPr="0053555E" w:rsidRDefault="00A90A46" w:rsidP="00A90A46">
            <w:pPr>
              <w:jc w:val="center"/>
              <w:rPr>
                <w:rFonts w:asciiTheme="majorHAnsi" w:hAnsiTheme="majorHAnsi" w:cstheme="majorHAnsi"/>
                <w:sz w:val="20"/>
                <w:szCs w:val="20"/>
              </w:rPr>
            </w:pPr>
            <w:r w:rsidRPr="0053555E">
              <w:rPr>
                <w:rFonts w:cs="Calibri"/>
                <w:sz w:val="20"/>
                <w:szCs w:val="20"/>
              </w:rPr>
              <w:t>8</w:t>
            </w:r>
          </w:p>
        </w:tc>
        <w:tc>
          <w:tcPr>
            <w:tcW w:w="638" w:type="dxa"/>
            <w:tcBorders>
              <w:top w:val="nil"/>
              <w:left w:val="nil"/>
              <w:bottom w:val="single" w:sz="4" w:space="0" w:color="auto"/>
              <w:right w:val="single" w:sz="4" w:space="0" w:color="auto"/>
            </w:tcBorders>
            <w:shd w:val="clear" w:color="auto" w:fill="auto"/>
            <w:vAlign w:val="bottom"/>
          </w:tcPr>
          <w:p w14:paraId="241C8B85" w14:textId="165162AD"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7621437B" w14:textId="6F8E37E3" w:rsidR="00A90A46" w:rsidRPr="0053555E" w:rsidRDefault="00A90A46" w:rsidP="00A90A46">
            <w:pPr>
              <w:jc w:val="center"/>
              <w:rPr>
                <w:rFonts w:asciiTheme="majorHAnsi" w:hAnsiTheme="majorHAnsi" w:cstheme="majorHAnsi"/>
                <w:sz w:val="20"/>
                <w:szCs w:val="20"/>
              </w:rPr>
            </w:pPr>
            <w:r w:rsidRPr="0053555E">
              <w:rPr>
                <w:rFonts w:cs="Calibri"/>
                <w:sz w:val="20"/>
                <w:szCs w:val="20"/>
              </w:rPr>
              <w:t>2</w:t>
            </w:r>
          </w:p>
        </w:tc>
        <w:tc>
          <w:tcPr>
            <w:tcW w:w="638" w:type="dxa"/>
            <w:tcBorders>
              <w:top w:val="nil"/>
              <w:left w:val="nil"/>
              <w:bottom w:val="single" w:sz="4" w:space="0" w:color="auto"/>
              <w:right w:val="single" w:sz="4" w:space="0" w:color="auto"/>
            </w:tcBorders>
            <w:shd w:val="clear" w:color="auto" w:fill="auto"/>
            <w:vAlign w:val="bottom"/>
          </w:tcPr>
          <w:p w14:paraId="7526C18A" w14:textId="12DAE319"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6ADBAEB6" w14:textId="77990BFB" w:rsidR="00A90A46" w:rsidRPr="0053555E" w:rsidRDefault="00A90A46" w:rsidP="00A90A46">
            <w:pPr>
              <w:jc w:val="center"/>
              <w:rPr>
                <w:rFonts w:asciiTheme="majorHAnsi" w:hAnsiTheme="majorHAnsi" w:cstheme="majorHAnsi"/>
                <w:sz w:val="20"/>
                <w:szCs w:val="20"/>
              </w:rPr>
            </w:pPr>
          </w:p>
        </w:tc>
      </w:tr>
      <w:tr w:rsidR="00A90A46" w:rsidRPr="0053555E" w14:paraId="40877F93" w14:textId="77777777" w:rsidTr="009937B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57A08F1C" w14:textId="77777777" w:rsidR="00A90A46" w:rsidRPr="0053555E" w:rsidRDefault="00A90A46" w:rsidP="00A90A46">
            <w:pPr>
              <w:jc w:val="both"/>
              <w:rPr>
                <w:rFonts w:asciiTheme="majorHAnsi" w:eastAsia="Times New Roman" w:hAnsiTheme="majorHAnsi" w:cstheme="majorHAnsi"/>
                <w:sz w:val="20"/>
                <w:szCs w:val="20"/>
                <w:lang w:eastAsia="sk-SK"/>
              </w:rPr>
            </w:pPr>
          </w:p>
        </w:tc>
        <w:tc>
          <w:tcPr>
            <w:tcW w:w="2835" w:type="dxa"/>
            <w:tcBorders>
              <w:top w:val="nil"/>
              <w:left w:val="nil"/>
              <w:bottom w:val="single" w:sz="4" w:space="0" w:color="auto"/>
              <w:right w:val="single" w:sz="4" w:space="0" w:color="auto"/>
            </w:tcBorders>
            <w:shd w:val="clear" w:color="auto" w:fill="auto"/>
            <w:vAlign w:val="center"/>
            <w:hideMark/>
          </w:tcPr>
          <w:p w14:paraId="459F0096" w14:textId="77777777" w:rsidR="00A90A46" w:rsidRPr="0053555E" w:rsidRDefault="00A90A46" w:rsidP="00A90A46">
            <w:pPr>
              <w:jc w:val="both"/>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III. stupeň</w:t>
            </w:r>
          </w:p>
        </w:tc>
        <w:tc>
          <w:tcPr>
            <w:tcW w:w="637" w:type="dxa"/>
            <w:tcBorders>
              <w:top w:val="nil"/>
              <w:left w:val="nil"/>
              <w:bottom w:val="single" w:sz="4" w:space="0" w:color="auto"/>
              <w:right w:val="single" w:sz="4" w:space="0" w:color="auto"/>
            </w:tcBorders>
            <w:shd w:val="clear" w:color="auto" w:fill="auto"/>
            <w:vAlign w:val="bottom"/>
          </w:tcPr>
          <w:p w14:paraId="7FE6450B" w14:textId="72B49BFD" w:rsidR="00A90A46" w:rsidRPr="0053555E" w:rsidRDefault="00A90A46" w:rsidP="00A90A46">
            <w:pPr>
              <w:jc w:val="center"/>
              <w:rPr>
                <w:rFonts w:asciiTheme="majorHAnsi" w:hAnsiTheme="majorHAnsi" w:cstheme="majorHAnsi"/>
                <w:sz w:val="20"/>
                <w:szCs w:val="20"/>
              </w:rPr>
            </w:pPr>
            <w:r w:rsidRPr="0053555E">
              <w:rPr>
                <w:rFonts w:cs="Calibri"/>
                <w:sz w:val="20"/>
                <w:szCs w:val="20"/>
              </w:rPr>
              <w:t>3</w:t>
            </w:r>
          </w:p>
        </w:tc>
        <w:tc>
          <w:tcPr>
            <w:tcW w:w="638" w:type="dxa"/>
            <w:tcBorders>
              <w:top w:val="nil"/>
              <w:left w:val="nil"/>
              <w:bottom w:val="single" w:sz="4" w:space="0" w:color="auto"/>
              <w:right w:val="single" w:sz="4" w:space="0" w:color="auto"/>
            </w:tcBorders>
            <w:shd w:val="clear" w:color="auto" w:fill="auto"/>
            <w:vAlign w:val="bottom"/>
          </w:tcPr>
          <w:p w14:paraId="3FF3ACEF" w14:textId="6BF4648E"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bottom"/>
          </w:tcPr>
          <w:p w14:paraId="023E2312" w14:textId="533F6DFD"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24D41FA4" w14:textId="0BE59FFD" w:rsidR="00A90A46" w:rsidRPr="0053555E" w:rsidRDefault="00A90A46" w:rsidP="00A90A46">
            <w:pPr>
              <w:jc w:val="center"/>
              <w:rPr>
                <w:rFonts w:asciiTheme="majorHAnsi" w:hAnsiTheme="majorHAnsi" w:cstheme="majorHAnsi"/>
                <w:sz w:val="20"/>
                <w:szCs w:val="20"/>
              </w:rPr>
            </w:pPr>
            <w:r w:rsidRPr="0053555E">
              <w:rPr>
                <w:rFonts w:cs="Calibri"/>
                <w:sz w:val="20"/>
                <w:szCs w:val="20"/>
              </w:rPr>
              <w:t>5</w:t>
            </w:r>
          </w:p>
        </w:tc>
        <w:tc>
          <w:tcPr>
            <w:tcW w:w="638" w:type="dxa"/>
            <w:tcBorders>
              <w:top w:val="nil"/>
              <w:left w:val="nil"/>
              <w:bottom w:val="single" w:sz="4" w:space="0" w:color="auto"/>
              <w:right w:val="single" w:sz="4" w:space="0" w:color="auto"/>
            </w:tcBorders>
            <w:shd w:val="clear" w:color="auto" w:fill="auto"/>
            <w:vAlign w:val="bottom"/>
          </w:tcPr>
          <w:p w14:paraId="78CE8F99" w14:textId="12B0EACB"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bottom"/>
          </w:tcPr>
          <w:p w14:paraId="2767DA31" w14:textId="03A95866"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bottom"/>
          </w:tcPr>
          <w:p w14:paraId="562A5C25" w14:textId="1962F04C"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bottom"/>
          </w:tcPr>
          <w:p w14:paraId="321DE92F" w14:textId="456D9E69" w:rsidR="00A90A46" w:rsidRPr="0053555E" w:rsidRDefault="00A90A46" w:rsidP="00A90A46">
            <w:pPr>
              <w:jc w:val="center"/>
              <w:rPr>
                <w:rFonts w:asciiTheme="majorHAnsi" w:hAnsiTheme="majorHAnsi" w:cstheme="majorHAnsi"/>
                <w:sz w:val="20"/>
                <w:szCs w:val="20"/>
              </w:rPr>
            </w:pPr>
          </w:p>
        </w:tc>
      </w:tr>
      <w:tr w:rsidR="00A90A46" w:rsidRPr="0053555E" w14:paraId="7D94BFEC" w14:textId="77777777" w:rsidTr="009937B7">
        <w:trPr>
          <w:trHeight w:val="20"/>
        </w:trPr>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935F987" w14:textId="77777777" w:rsidR="00A90A46" w:rsidRPr="0053555E" w:rsidRDefault="00A90A46" w:rsidP="00A90A46">
            <w:pPr>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Ocenenie rektora</w:t>
            </w:r>
          </w:p>
          <w:p w14:paraId="16B282B1" w14:textId="77777777" w:rsidR="00A90A46" w:rsidRPr="0053555E" w:rsidRDefault="00A90A46" w:rsidP="00A90A46">
            <w:pPr>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Študent roka</w:t>
            </w:r>
          </w:p>
          <w:p w14:paraId="594C8130" w14:textId="77777777" w:rsidR="00A90A46" w:rsidRPr="0053555E" w:rsidRDefault="00A90A46" w:rsidP="00A90A46">
            <w:pPr>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2021</w:t>
            </w:r>
          </w:p>
        </w:tc>
        <w:tc>
          <w:tcPr>
            <w:tcW w:w="2835" w:type="dxa"/>
            <w:tcBorders>
              <w:top w:val="nil"/>
              <w:left w:val="nil"/>
              <w:bottom w:val="single" w:sz="4" w:space="0" w:color="auto"/>
              <w:right w:val="single" w:sz="4" w:space="0" w:color="auto"/>
            </w:tcBorders>
            <w:shd w:val="clear" w:color="auto" w:fill="auto"/>
            <w:hideMark/>
          </w:tcPr>
          <w:p w14:paraId="6704F3D0" w14:textId="77777777" w:rsidR="00A90A46" w:rsidRPr="0053555E" w:rsidRDefault="00A90A46" w:rsidP="00A90A46">
            <w:pPr>
              <w:jc w:val="both"/>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najlepší študent I. stupňa štúdia</w:t>
            </w:r>
          </w:p>
        </w:tc>
        <w:tc>
          <w:tcPr>
            <w:tcW w:w="637" w:type="dxa"/>
            <w:tcBorders>
              <w:top w:val="nil"/>
              <w:left w:val="nil"/>
              <w:bottom w:val="single" w:sz="4" w:space="0" w:color="auto"/>
              <w:right w:val="single" w:sz="4" w:space="0" w:color="auto"/>
            </w:tcBorders>
            <w:shd w:val="clear" w:color="auto" w:fill="auto"/>
            <w:vAlign w:val="bottom"/>
          </w:tcPr>
          <w:p w14:paraId="440A698C" w14:textId="2FF95DB7"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5E800AC8" w14:textId="19C29C3E"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bottom"/>
          </w:tcPr>
          <w:p w14:paraId="712A7C36" w14:textId="06F5A550"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05EC107E" w14:textId="0978E1DA"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4C416267" w14:textId="44A0FB63"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0368DED7" w14:textId="12248849"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69399447" w14:textId="250EFBEE"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60FA4E25" w14:textId="19B6416D"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r>
      <w:tr w:rsidR="00A90A46" w:rsidRPr="0053555E" w14:paraId="5085C5CC" w14:textId="77777777" w:rsidTr="009937B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4E93C2CF" w14:textId="77777777" w:rsidR="00A90A46" w:rsidRPr="0053555E" w:rsidRDefault="00A90A46" w:rsidP="00A90A46">
            <w:pPr>
              <w:jc w:val="both"/>
              <w:rPr>
                <w:rFonts w:asciiTheme="majorHAnsi" w:eastAsia="Times New Roman" w:hAnsiTheme="majorHAnsi" w:cstheme="majorHAnsi"/>
                <w:sz w:val="20"/>
                <w:szCs w:val="20"/>
                <w:lang w:eastAsia="sk-SK"/>
              </w:rPr>
            </w:pPr>
          </w:p>
        </w:tc>
        <w:tc>
          <w:tcPr>
            <w:tcW w:w="2835" w:type="dxa"/>
            <w:tcBorders>
              <w:top w:val="nil"/>
              <w:left w:val="nil"/>
              <w:bottom w:val="single" w:sz="4" w:space="0" w:color="auto"/>
              <w:right w:val="single" w:sz="4" w:space="0" w:color="auto"/>
            </w:tcBorders>
            <w:shd w:val="clear" w:color="auto" w:fill="auto"/>
            <w:vAlign w:val="bottom"/>
            <w:hideMark/>
          </w:tcPr>
          <w:p w14:paraId="15A565A1" w14:textId="77777777" w:rsidR="00A90A46" w:rsidRPr="0053555E" w:rsidRDefault="00A90A46" w:rsidP="00A90A46">
            <w:pPr>
              <w:jc w:val="both"/>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najlepší študent II. stupňa štúdia</w:t>
            </w:r>
          </w:p>
        </w:tc>
        <w:tc>
          <w:tcPr>
            <w:tcW w:w="637" w:type="dxa"/>
            <w:tcBorders>
              <w:top w:val="nil"/>
              <w:left w:val="nil"/>
              <w:bottom w:val="single" w:sz="4" w:space="0" w:color="auto"/>
              <w:right w:val="single" w:sz="4" w:space="0" w:color="auto"/>
            </w:tcBorders>
            <w:shd w:val="clear" w:color="auto" w:fill="auto"/>
            <w:vAlign w:val="bottom"/>
          </w:tcPr>
          <w:p w14:paraId="05389095" w14:textId="043853DA"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660F555B" w14:textId="061F0B4D"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754A6ADB" w14:textId="7C7E422B"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42F25BDA" w14:textId="05E4662A"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66BAA39E" w14:textId="1CD574ED"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2123D40B" w14:textId="6EA4932D"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768A7632" w14:textId="6C8E008D"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vAlign w:val="bottom"/>
          </w:tcPr>
          <w:p w14:paraId="38E551F4" w14:textId="15BF68C3"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r>
      <w:tr w:rsidR="00A90A46" w:rsidRPr="0053555E" w14:paraId="6F553E77" w14:textId="77777777" w:rsidTr="009937B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3701F9E1" w14:textId="77777777" w:rsidR="00A90A46" w:rsidRPr="0053555E" w:rsidRDefault="00A90A46" w:rsidP="00A90A46">
            <w:pPr>
              <w:jc w:val="both"/>
              <w:rPr>
                <w:rFonts w:asciiTheme="majorHAnsi" w:eastAsia="Times New Roman" w:hAnsiTheme="majorHAnsi" w:cstheme="majorHAnsi"/>
                <w:sz w:val="20"/>
                <w:szCs w:val="20"/>
                <w:lang w:eastAsia="sk-SK"/>
              </w:rPr>
            </w:pPr>
          </w:p>
        </w:tc>
        <w:tc>
          <w:tcPr>
            <w:tcW w:w="2835" w:type="dxa"/>
            <w:tcBorders>
              <w:top w:val="nil"/>
              <w:left w:val="nil"/>
              <w:bottom w:val="single" w:sz="4" w:space="0" w:color="auto"/>
              <w:right w:val="single" w:sz="4" w:space="0" w:color="auto"/>
            </w:tcBorders>
            <w:shd w:val="clear" w:color="auto" w:fill="auto"/>
            <w:vAlign w:val="bottom"/>
            <w:hideMark/>
          </w:tcPr>
          <w:p w14:paraId="61DBED40" w14:textId="77777777" w:rsidR="00A90A46" w:rsidRPr="0053555E" w:rsidRDefault="00A90A46" w:rsidP="00A90A46">
            <w:pPr>
              <w:jc w:val="both"/>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najlepší študent III. stupňa štúdia</w:t>
            </w:r>
          </w:p>
        </w:tc>
        <w:tc>
          <w:tcPr>
            <w:tcW w:w="637" w:type="dxa"/>
            <w:tcBorders>
              <w:top w:val="nil"/>
              <w:left w:val="nil"/>
              <w:bottom w:val="single" w:sz="4" w:space="0" w:color="auto"/>
              <w:right w:val="single" w:sz="4" w:space="0" w:color="auto"/>
            </w:tcBorders>
            <w:shd w:val="clear" w:color="auto" w:fill="auto"/>
            <w:noWrap/>
            <w:vAlign w:val="bottom"/>
          </w:tcPr>
          <w:p w14:paraId="4D299926" w14:textId="3082D589"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bottom"/>
          </w:tcPr>
          <w:p w14:paraId="4FE52C08" w14:textId="007A10D1"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bottom"/>
          </w:tcPr>
          <w:p w14:paraId="25D717F5" w14:textId="721C8F77"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bottom"/>
          </w:tcPr>
          <w:p w14:paraId="47BEDECE" w14:textId="66E2C82C"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bottom"/>
          </w:tcPr>
          <w:p w14:paraId="007665A6" w14:textId="43B08EB1"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bottom"/>
          </w:tcPr>
          <w:p w14:paraId="5926387E" w14:textId="422C6835"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bottom"/>
          </w:tcPr>
          <w:p w14:paraId="2A52138A" w14:textId="5AEA8DF8"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bottom"/>
          </w:tcPr>
          <w:p w14:paraId="29C46B4D" w14:textId="2C3F9E42"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r>
      <w:tr w:rsidR="00A90A46" w:rsidRPr="0053555E" w14:paraId="6475774F" w14:textId="77777777" w:rsidTr="009937B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344A3EBC" w14:textId="77777777" w:rsidR="00A90A46" w:rsidRPr="0053555E" w:rsidRDefault="00A90A46" w:rsidP="00A90A46">
            <w:pPr>
              <w:jc w:val="both"/>
              <w:rPr>
                <w:rFonts w:asciiTheme="majorHAnsi" w:eastAsia="Times New Roman" w:hAnsiTheme="majorHAnsi" w:cstheme="majorHAnsi"/>
                <w:sz w:val="20"/>
                <w:szCs w:val="20"/>
                <w:lang w:eastAsia="sk-SK"/>
              </w:rPr>
            </w:pPr>
          </w:p>
        </w:tc>
        <w:tc>
          <w:tcPr>
            <w:tcW w:w="2835" w:type="dxa"/>
            <w:tcBorders>
              <w:top w:val="nil"/>
              <w:left w:val="nil"/>
              <w:bottom w:val="single" w:sz="4" w:space="0" w:color="auto"/>
              <w:right w:val="single" w:sz="4" w:space="0" w:color="auto"/>
            </w:tcBorders>
            <w:shd w:val="clear" w:color="auto" w:fill="auto"/>
            <w:hideMark/>
          </w:tcPr>
          <w:p w14:paraId="1F559488" w14:textId="77777777" w:rsidR="00A90A46" w:rsidRPr="0053555E" w:rsidRDefault="00A90A46" w:rsidP="00A90A46">
            <w:pPr>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najlepšie absolvovaná akademická mobilita na STU</w:t>
            </w:r>
          </w:p>
        </w:tc>
        <w:tc>
          <w:tcPr>
            <w:tcW w:w="637" w:type="dxa"/>
            <w:tcBorders>
              <w:top w:val="nil"/>
              <w:left w:val="nil"/>
              <w:bottom w:val="single" w:sz="4" w:space="0" w:color="auto"/>
              <w:right w:val="single" w:sz="4" w:space="0" w:color="auto"/>
            </w:tcBorders>
            <w:shd w:val="clear" w:color="auto" w:fill="auto"/>
            <w:noWrap/>
            <w:vAlign w:val="center"/>
          </w:tcPr>
          <w:p w14:paraId="312FDDE7" w14:textId="69A2DFC5"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1460BF1D" w14:textId="32555E2F"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E9066FE" w14:textId="6350EB07"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4CC0599" w14:textId="0740FDB0"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01FFAAEF" w14:textId="6E352107"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84D38F6" w14:textId="423E61A7"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58F20AA" w14:textId="00045BB2"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EE50ECB" w14:textId="59F0A55A" w:rsidR="00A90A46" w:rsidRPr="0053555E" w:rsidRDefault="00A90A46" w:rsidP="00A90A46">
            <w:pPr>
              <w:jc w:val="center"/>
              <w:rPr>
                <w:rFonts w:asciiTheme="majorHAnsi" w:hAnsiTheme="majorHAnsi" w:cstheme="majorHAnsi"/>
                <w:sz w:val="20"/>
                <w:szCs w:val="20"/>
              </w:rPr>
            </w:pPr>
          </w:p>
        </w:tc>
      </w:tr>
      <w:tr w:rsidR="00A90A46" w:rsidRPr="0053555E" w14:paraId="014EDF5A" w14:textId="77777777" w:rsidTr="009937B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096EEB64" w14:textId="77777777" w:rsidR="00A90A46" w:rsidRPr="0053555E" w:rsidRDefault="00A90A46" w:rsidP="00A90A46">
            <w:pPr>
              <w:jc w:val="both"/>
              <w:rPr>
                <w:rFonts w:asciiTheme="majorHAnsi" w:eastAsia="Times New Roman" w:hAnsiTheme="majorHAnsi" w:cstheme="majorHAnsi"/>
                <w:sz w:val="20"/>
                <w:szCs w:val="20"/>
                <w:lang w:eastAsia="sk-SK"/>
              </w:rPr>
            </w:pPr>
          </w:p>
        </w:tc>
        <w:tc>
          <w:tcPr>
            <w:tcW w:w="2835" w:type="dxa"/>
            <w:tcBorders>
              <w:top w:val="nil"/>
              <w:left w:val="nil"/>
              <w:bottom w:val="single" w:sz="4" w:space="0" w:color="auto"/>
              <w:right w:val="single" w:sz="4" w:space="0" w:color="auto"/>
            </w:tcBorders>
            <w:shd w:val="clear" w:color="auto" w:fill="auto"/>
            <w:vAlign w:val="bottom"/>
            <w:hideMark/>
          </w:tcPr>
          <w:p w14:paraId="7F491F0F" w14:textId="77777777" w:rsidR="00A90A46" w:rsidRPr="0053555E" w:rsidRDefault="00A90A46" w:rsidP="00A90A46">
            <w:pPr>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mimoriadny výsledok v oblasti výskumu alebo vývoja</w:t>
            </w:r>
          </w:p>
        </w:tc>
        <w:tc>
          <w:tcPr>
            <w:tcW w:w="637" w:type="dxa"/>
            <w:tcBorders>
              <w:top w:val="nil"/>
              <w:left w:val="nil"/>
              <w:bottom w:val="single" w:sz="4" w:space="0" w:color="auto"/>
              <w:right w:val="single" w:sz="4" w:space="0" w:color="auto"/>
            </w:tcBorders>
            <w:shd w:val="clear" w:color="auto" w:fill="auto"/>
            <w:noWrap/>
            <w:vAlign w:val="center"/>
          </w:tcPr>
          <w:p w14:paraId="33398A72" w14:textId="36F9DCA3"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418104F7" w14:textId="4747400A"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0DA8517F" w14:textId="634C16A7"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0D4B3FD8" w14:textId="24714F26"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1ADCF89E" w14:textId="2612D8D8"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A3A9340" w14:textId="7B7DD9A0"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42FCD87" w14:textId="122A4AA2"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8EC6E43" w14:textId="100B0778" w:rsidR="00A90A46" w:rsidRPr="0053555E" w:rsidRDefault="00A90A46" w:rsidP="00A90A46">
            <w:pPr>
              <w:jc w:val="center"/>
              <w:rPr>
                <w:rFonts w:asciiTheme="majorHAnsi" w:hAnsiTheme="majorHAnsi" w:cstheme="majorHAnsi"/>
                <w:sz w:val="20"/>
                <w:szCs w:val="20"/>
              </w:rPr>
            </w:pPr>
          </w:p>
        </w:tc>
      </w:tr>
      <w:tr w:rsidR="00A90A46" w:rsidRPr="0053555E" w14:paraId="400E2BB2" w14:textId="77777777" w:rsidTr="009937B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49DB3F76" w14:textId="77777777" w:rsidR="00A90A46" w:rsidRPr="0053555E" w:rsidRDefault="00A90A46" w:rsidP="00A90A46">
            <w:pPr>
              <w:jc w:val="both"/>
              <w:rPr>
                <w:rFonts w:asciiTheme="majorHAnsi" w:eastAsia="Times New Roman" w:hAnsiTheme="majorHAnsi" w:cstheme="majorHAnsi"/>
                <w:sz w:val="20"/>
                <w:szCs w:val="20"/>
                <w:lang w:eastAsia="sk-SK"/>
              </w:rPr>
            </w:pPr>
          </w:p>
        </w:tc>
        <w:tc>
          <w:tcPr>
            <w:tcW w:w="2835" w:type="dxa"/>
            <w:tcBorders>
              <w:top w:val="nil"/>
              <w:left w:val="nil"/>
              <w:bottom w:val="single" w:sz="4" w:space="0" w:color="auto"/>
              <w:right w:val="single" w:sz="4" w:space="0" w:color="auto"/>
            </w:tcBorders>
            <w:shd w:val="clear" w:color="auto" w:fill="auto"/>
            <w:vAlign w:val="bottom"/>
            <w:hideMark/>
          </w:tcPr>
          <w:p w14:paraId="7B1E5B72" w14:textId="77777777" w:rsidR="00A90A46" w:rsidRPr="0053555E" w:rsidRDefault="00A90A46" w:rsidP="00A90A46">
            <w:pPr>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významný reprezentant STU v športe</w:t>
            </w:r>
          </w:p>
        </w:tc>
        <w:tc>
          <w:tcPr>
            <w:tcW w:w="637" w:type="dxa"/>
            <w:tcBorders>
              <w:top w:val="nil"/>
              <w:left w:val="nil"/>
              <w:bottom w:val="single" w:sz="4" w:space="0" w:color="auto"/>
              <w:right w:val="single" w:sz="4" w:space="0" w:color="auto"/>
            </w:tcBorders>
            <w:shd w:val="clear" w:color="auto" w:fill="auto"/>
            <w:noWrap/>
            <w:vAlign w:val="center"/>
          </w:tcPr>
          <w:p w14:paraId="56A717F4" w14:textId="6BEA65BE"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634EC913" w14:textId="68EC344B"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084CB25" w14:textId="1E76A2CA"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61724433" w14:textId="3CA6E000"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7AF38BB" w14:textId="1F90D914"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182066D5" w14:textId="182985C7"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E15A776" w14:textId="264AA1AF"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0FC6288C" w14:textId="3C15AAEA" w:rsidR="00A90A46" w:rsidRPr="0053555E" w:rsidRDefault="00A90A46" w:rsidP="00A90A46">
            <w:pPr>
              <w:jc w:val="center"/>
              <w:rPr>
                <w:rFonts w:asciiTheme="majorHAnsi" w:hAnsiTheme="majorHAnsi" w:cstheme="majorHAnsi"/>
                <w:sz w:val="20"/>
                <w:szCs w:val="20"/>
              </w:rPr>
            </w:pPr>
          </w:p>
        </w:tc>
      </w:tr>
      <w:tr w:rsidR="00A90A46" w:rsidRPr="0053555E" w14:paraId="55D43D6E" w14:textId="77777777" w:rsidTr="009937B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7AAF2546" w14:textId="77777777" w:rsidR="00A90A46" w:rsidRPr="0053555E" w:rsidRDefault="00A90A46" w:rsidP="00A90A46">
            <w:pPr>
              <w:jc w:val="both"/>
              <w:rPr>
                <w:rFonts w:asciiTheme="majorHAnsi" w:eastAsia="Times New Roman" w:hAnsiTheme="majorHAnsi" w:cstheme="majorHAnsi"/>
                <w:sz w:val="20"/>
                <w:szCs w:val="20"/>
                <w:lang w:eastAsia="sk-SK"/>
              </w:rPr>
            </w:pPr>
          </w:p>
        </w:tc>
        <w:tc>
          <w:tcPr>
            <w:tcW w:w="2835" w:type="dxa"/>
            <w:tcBorders>
              <w:top w:val="nil"/>
              <w:left w:val="nil"/>
              <w:bottom w:val="single" w:sz="4" w:space="0" w:color="auto"/>
              <w:right w:val="single" w:sz="4" w:space="0" w:color="auto"/>
            </w:tcBorders>
            <w:shd w:val="clear" w:color="auto" w:fill="auto"/>
            <w:vAlign w:val="bottom"/>
            <w:hideMark/>
          </w:tcPr>
          <w:p w14:paraId="2C35F7ED" w14:textId="77777777" w:rsidR="00A90A46" w:rsidRPr="0053555E" w:rsidRDefault="00A90A46" w:rsidP="00A90A46">
            <w:pPr>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významný reprezentant STU v umení</w:t>
            </w:r>
          </w:p>
        </w:tc>
        <w:tc>
          <w:tcPr>
            <w:tcW w:w="637" w:type="dxa"/>
            <w:tcBorders>
              <w:top w:val="nil"/>
              <w:left w:val="nil"/>
              <w:bottom w:val="single" w:sz="4" w:space="0" w:color="auto"/>
              <w:right w:val="single" w:sz="4" w:space="0" w:color="auto"/>
            </w:tcBorders>
            <w:shd w:val="clear" w:color="auto" w:fill="auto"/>
            <w:noWrap/>
            <w:vAlign w:val="center"/>
          </w:tcPr>
          <w:p w14:paraId="2D74FE90" w14:textId="6B7E975F"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7C56AE61" w14:textId="489F0859"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46CB7CD" w14:textId="06CA8C8A"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9D3F0FC" w14:textId="675F0A4E"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52D0F89E" w14:textId="186664D8"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5DEB604" w14:textId="72D960E0"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BF99184" w14:textId="241C75A1"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0505B87" w14:textId="0BFDD68C" w:rsidR="00A90A46" w:rsidRPr="0053555E" w:rsidRDefault="00A90A46" w:rsidP="00A90A46">
            <w:pPr>
              <w:jc w:val="center"/>
              <w:rPr>
                <w:rFonts w:asciiTheme="majorHAnsi" w:hAnsiTheme="majorHAnsi" w:cstheme="majorHAnsi"/>
                <w:sz w:val="20"/>
                <w:szCs w:val="20"/>
              </w:rPr>
            </w:pPr>
          </w:p>
        </w:tc>
      </w:tr>
      <w:tr w:rsidR="00A90A46" w:rsidRPr="0053555E" w14:paraId="722CEE14" w14:textId="77777777" w:rsidTr="009937B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4A459AAC" w14:textId="77777777" w:rsidR="00A90A46" w:rsidRPr="0053555E" w:rsidRDefault="00A90A46" w:rsidP="00A90A46">
            <w:pPr>
              <w:jc w:val="both"/>
              <w:rPr>
                <w:rFonts w:asciiTheme="majorHAnsi" w:eastAsia="Times New Roman" w:hAnsiTheme="majorHAnsi" w:cstheme="majorHAnsi"/>
                <w:sz w:val="20"/>
                <w:szCs w:val="20"/>
                <w:lang w:eastAsia="sk-SK"/>
              </w:rPr>
            </w:pPr>
          </w:p>
        </w:tc>
        <w:tc>
          <w:tcPr>
            <w:tcW w:w="2835" w:type="dxa"/>
            <w:tcBorders>
              <w:top w:val="nil"/>
              <w:left w:val="nil"/>
              <w:bottom w:val="single" w:sz="4" w:space="0" w:color="auto"/>
              <w:right w:val="single" w:sz="4" w:space="0" w:color="auto"/>
            </w:tcBorders>
            <w:shd w:val="clear" w:color="auto" w:fill="auto"/>
            <w:vAlign w:val="bottom"/>
            <w:hideMark/>
          </w:tcPr>
          <w:p w14:paraId="6B4BA008" w14:textId="77777777" w:rsidR="00A90A46" w:rsidRPr="0053555E" w:rsidRDefault="00A90A46" w:rsidP="00A90A46">
            <w:pPr>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mimoriadna činnosť pri rozvoji</w:t>
            </w:r>
          </w:p>
          <w:p w14:paraId="4F475428" w14:textId="77777777" w:rsidR="00A90A46" w:rsidRPr="0053555E" w:rsidRDefault="00A90A46" w:rsidP="00A90A46">
            <w:pPr>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alebo propagácii STU</w:t>
            </w:r>
          </w:p>
        </w:tc>
        <w:tc>
          <w:tcPr>
            <w:tcW w:w="637" w:type="dxa"/>
            <w:tcBorders>
              <w:top w:val="nil"/>
              <w:left w:val="nil"/>
              <w:bottom w:val="single" w:sz="4" w:space="0" w:color="auto"/>
              <w:right w:val="single" w:sz="4" w:space="0" w:color="auto"/>
            </w:tcBorders>
            <w:shd w:val="clear" w:color="auto" w:fill="auto"/>
            <w:noWrap/>
            <w:vAlign w:val="center"/>
          </w:tcPr>
          <w:p w14:paraId="7E74691B" w14:textId="181015C7"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2F12433" w14:textId="193424B7"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080687E1" w14:textId="237E3AEA"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D9783EC" w14:textId="30E07F00"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38ACF5FD" w14:textId="2B376280"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E65AB1F" w14:textId="6CEE3295"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7D62B7A6" w14:textId="7908895E"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F2C5104" w14:textId="554FFF78" w:rsidR="00A90A46" w:rsidRPr="0053555E" w:rsidRDefault="00A90A46" w:rsidP="00A90A46">
            <w:pPr>
              <w:jc w:val="center"/>
              <w:rPr>
                <w:rFonts w:asciiTheme="majorHAnsi" w:hAnsiTheme="majorHAnsi" w:cstheme="majorHAnsi"/>
                <w:sz w:val="20"/>
                <w:szCs w:val="20"/>
              </w:rPr>
            </w:pPr>
          </w:p>
        </w:tc>
      </w:tr>
      <w:tr w:rsidR="00A90A46" w:rsidRPr="0053555E" w14:paraId="63B62A98" w14:textId="77777777" w:rsidTr="009937B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40B6571F" w14:textId="77777777" w:rsidR="00A90A46" w:rsidRPr="0053555E" w:rsidRDefault="00A90A46" w:rsidP="00A90A46">
            <w:pPr>
              <w:jc w:val="both"/>
              <w:rPr>
                <w:rFonts w:asciiTheme="majorHAnsi" w:eastAsia="Times New Roman" w:hAnsiTheme="majorHAnsi" w:cstheme="majorHAnsi"/>
                <w:sz w:val="20"/>
                <w:szCs w:val="20"/>
                <w:lang w:eastAsia="sk-SK"/>
              </w:rPr>
            </w:pPr>
          </w:p>
        </w:tc>
        <w:tc>
          <w:tcPr>
            <w:tcW w:w="2835" w:type="dxa"/>
            <w:tcBorders>
              <w:top w:val="nil"/>
              <w:left w:val="nil"/>
              <w:bottom w:val="single" w:sz="4" w:space="0" w:color="auto"/>
              <w:right w:val="single" w:sz="4" w:space="0" w:color="auto"/>
            </w:tcBorders>
            <w:shd w:val="clear" w:color="auto" w:fill="auto"/>
            <w:hideMark/>
          </w:tcPr>
          <w:p w14:paraId="2E3922CB" w14:textId="77777777" w:rsidR="00A90A46" w:rsidRPr="0053555E" w:rsidRDefault="00A90A46" w:rsidP="00A90A46">
            <w:pPr>
              <w:jc w:val="both"/>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humánny čin roka</w:t>
            </w:r>
          </w:p>
        </w:tc>
        <w:tc>
          <w:tcPr>
            <w:tcW w:w="637" w:type="dxa"/>
            <w:tcBorders>
              <w:top w:val="nil"/>
              <w:left w:val="nil"/>
              <w:bottom w:val="single" w:sz="4" w:space="0" w:color="auto"/>
              <w:right w:val="single" w:sz="4" w:space="0" w:color="auto"/>
            </w:tcBorders>
            <w:shd w:val="clear" w:color="auto" w:fill="auto"/>
            <w:noWrap/>
            <w:vAlign w:val="center"/>
          </w:tcPr>
          <w:p w14:paraId="60F89A1D" w14:textId="6CEFB3F2" w:rsidR="00A90A46" w:rsidRPr="0053555E" w:rsidRDefault="00A90A46" w:rsidP="00A90A46">
            <w:pPr>
              <w:jc w:val="center"/>
              <w:rPr>
                <w:rFonts w:asciiTheme="majorHAnsi" w:hAnsiTheme="majorHAnsi" w:cstheme="majorHAnsi"/>
                <w:sz w:val="20"/>
                <w:szCs w:val="20"/>
              </w:rPr>
            </w:pPr>
            <w:r w:rsidRPr="0053555E">
              <w:rPr>
                <w:rFonts w:cs="Calibri"/>
                <w:sz w:val="20"/>
                <w:szCs w:val="20"/>
              </w:rPr>
              <w:t>2</w:t>
            </w:r>
          </w:p>
        </w:tc>
        <w:tc>
          <w:tcPr>
            <w:tcW w:w="638" w:type="dxa"/>
            <w:tcBorders>
              <w:top w:val="nil"/>
              <w:left w:val="nil"/>
              <w:bottom w:val="single" w:sz="4" w:space="0" w:color="auto"/>
              <w:right w:val="single" w:sz="4" w:space="0" w:color="auto"/>
            </w:tcBorders>
            <w:shd w:val="clear" w:color="auto" w:fill="auto"/>
            <w:noWrap/>
            <w:vAlign w:val="center"/>
          </w:tcPr>
          <w:p w14:paraId="3C3D389B" w14:textId="3C2025CC"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13B165A2" w14:textId="142DC391" w:rsidR="00A90A46" w:rsidRPr="0053555E" w:rsidRDefault="00A90A46" w:rsidP="00A90A46">
            <w:pPr>
              <w:jc w:val="center"/>
              <w:rPr>
                <w:rFonts w:asciiTheme="majorHAnsi" w:hAnsiTheme="majorHAnsi" w:cstheme="majorHAnsi"/>
                <w:sz w:val="20"/>
                <w:szCs w:val="20"/>
              </w:rPr>
            </w:pPr>
            <w:r w:rsidRPr="0053555E">
              <w:rPr>
                <w:rFonts w:cs="Calibri"/>
                <w:sz w:val="20"/>
                <w:szCs w:val="20"/>
              </w:rPr>
              <w:t>2</w:t>
            </w:r>
          </w:p>
        </w:tc>
        <w:tc>
          <w:tcPr>
            <w:tcW w:w="638" w:type="dxa"/>
            <w:tcBorders>
              <w:top w:val="nil"/>
              <w:left w:val="nil"/>
              <w:bottom w:val="single" w:sz="4" w:space="0" w:color="auto"/>
              <w:right w:val="single" w:sz="4" w:space="0" w:color="auto"/>
            </w:tcBorders>
            <w:shd w:val="clear" w:color="auto" w:fill="auto"/>
            <w:noWrap/>
            <w:vAlign w:val="center"/>
          </w:tcPr>
          <w:p w14:paraId="1794AABB" w14:textId="3454523C" w:rsidR="00A90A46" w:rsidRPr="0053555E" w:rsidRDefault="00A90A46" w:rsidP="00A90A46">
            <w:pPr>
              <w:jc w:val="center"/>
              <w:rPr>
                <w:rFonts w:asciiTheme="majorHAnsi" w:hAnsiTheme="majorHAnsi" w:cstheme="majorHAnsi"/>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3D668839" w14:textId="3856C6EC"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2184C6B4" w14:textId="70BDF7E5"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DC7B29D" w14:textId="01D202B1"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11C3F52" w14:textId="578AC5C5" w:rsidR="00A90A46" w:rsidRPr="0053555E" w:rsidRDefault="00A90A46" w:rsidP="00A90A46">
            <w:pPr>
              <w:jc w:val="center"/>
              <w:rPr>
                <w:rFonts w:asciiTheme="majorHAnsi" w:hAnsiTheme="majorHAnsi" w:cstheme="majorHAnsi"/>
                <w:sz w:val="20"/>
                <w:szCs w:val="20"/>
              </w:rPr>
            </w:pPr>
          </w:p>
        </w:tc>
      </w:tr>
      <w:tr w:rsidR="00A90A46" w:rsidRPr="0053555E" w14:paraId="7A63592B" w14:textId="77777777" w:rsidTr="00011E57">
        <w:trPr>
          <w:trHeight w:val="20"/>
        </w:trPr>
        <w:tc>
          <w:tcPr>
            <w:tcW w:w="39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CE228" w14:textId="77777777" w:rsidR="00A90A46" w:rsidRPr="0053555E" w:rsidRDefault="00A90A46" w:rsidP="00A90A46">
            <w:pPr>
              <w:jc w:val="both"/>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Cena dekana za I. stupeň štúdia</w:t>
            </w:r>
          </w:p>
        </w:tc>
        <w:tc>
          <w:tcPr>
            <w:tcW w:w="637" w:type="dxa"/>
            <w:tcBorders>
              <w:top w:val="nil"/>
              <w:left w:val="nil"/>
              <w:bottom w:val="single" w:sz="4" w:space="0" w:color="auto"/>
              <w:right w:val="single" w:sz="4" w:space="0" w:color="auto"/>
            </w:tcBorders>
            <w:shd w:val="clear" w:color="auto" w:fill="auto"/>
            <w:vAlign w:val="center"/>
          </w:tcPr>
          <w:p w14:paraId="5DCD09AC" w14:textId="68EE2168" w:rsidR="00A90A46" w:rsidRPr="0053555E" w:rsidRDefault="00A90A46" w:rsidP="00A90A46">
            <w:pPr>
              <w:jc w:val="center"/>
              <w:rPr>
                <w:rFonts w:asciiTheme="majorHAnsi" w:hAnsiTheme="majorHAnsi" w:cstheme="majorHAnsi"/>
                <w:sz w:val="20"/>
                <w:szCs w:val="20"/>
              </w:rPr>
            </w:pPr>
            <w:r w:rsidRPr="0053555E">
              <w:rPr>
                <w:rFonts w:cs="Calibri"/>
                <w:sz w:val="20"/>
                <w:szCs w:val="20"/>
              </w:rPr>
              <w:t>7</w:t>
            </w:r>
          </w:p>
        </w:tc>
        <w:tc>
          <w:tcPr>
            <w:tcW w:w="638" w:type="dxa"/>
            <w:tcBorders>
              <w:top w:val="nil"/>
              <w:left w:val="nil"/>
              <w:bottom w:val="single" w:sz="4" w:space="0" w:color="auto"/>
              <w:right w:val="single" w:sz="4" w:space="0" w:color="auto"/>
            </w:tcBorders>
            <w:shd w:val="clear" w:color="auto" w:fill="auto"/>
            <w:vAlign w:val="center"/>
          </w:tcPr>
          <w:p w14:paraId="1DF8EFF7" w14:textId="010AD61D" w:rsidR="00A90A46" w:rsidRPr="0053555E" w:rsidRDefault="00A90A46" w:rsidP="00A90A46">
            <w:pPr>
              <w:jc w:val="center"/>
              <w:rPr>
                <w:rFonts w:asciiTheme="majorHAnsi" w:hAnsiTheme="majorHAnsi" w:cstheme="majorHAnsi"/>
                <w:sz w:val="20"/>
                <w:szCs w:val="20"/>
              </w:rPr>
            </w:pPr>
            <w:r w:rsidRPr="0053555E">
              <w:rPr>
                <w:rFonts w:cs="Calibri"/>
                <w:sz w:val="20"/>
                <w:szCs w:val="20"/>
              </w:rPr>
              <w:t>11</w:t>
            </w:r>
          </w:p>
        </w:tc>
        <w:tc>
          <w:tcPr>
            <w:tcW w:w="638" w:type="dxa"/>
            <w:tcBorders>
              <w:top w:val="nil"/>
              <w:left w:val="nil"/>
              <w:bottom w:val="single" w:sz="4" w:space="0" w:color="auto"/>
              <w:right w:val="single" w:sz="4" w:space="0" w:color="auto"/>
            </w:tcBorders>
            <w:shd w:val="clear" w:color="auto" w:fill="auto"/>
            <w:noWrap/>
            <w:vAlign w:val="center"/>
          </w:tcPr>
          <w:p w14:paraId="721AA075" w14:textId="738986A1" w:rsidR="00A90A46" w:rsidRPr="0053555E" w:rsidRDefault="00A90A46" w:rsidP="00A90A46">
            <w:pPr>
              <w:jc w:val="center"/>
              <w:rPr>
                <w:rFonts w:asciiTheme="majorHAnsi" w:hAnsiTheme="majorHAnsi" w:cstheme="majorHAnsi"/>
                <w:sz w:val="20"/>
                <w:szCs w:val="20"/>
              </w:rPr>
            </w:pPr>
            <w:r w:rsidRPr="0053555E">
              <w:rPr>
                <w:rFonts w:cs="Calibri"/>
                <w:sz w:val="20"/>
                <w:szCs w:val="20"/>
              </w:rPr>
              <w:t>16</w:t>
            </w:r>
          </w:p>
        </w:tc>
        <w:tc>
          <w:tcPr>
            <w:tcW w:w="638" w:type="dxa"/>
            <w:tcBorders>
              <w:top w:val="nil"/>
              <w:left w:val="nil"/>
              <w:bottom w:val="single" w:sz="4" w:space="0" w:color="auto"/>
              <w:right w:val="single" w:sz="4" w:space="0" w:color="auto"/>
            </w:tcBorders>
            <w:shd w:val="clear" w:color="auto" w:fill="auto"/>
            <w:vAlign w:val="center"/>
          </w:tcPr>
          <w:p w14:paraId="028A9E85" w14:textId="3456120C" w:rsidR="00A90A46" w:rsidRPr="0053555E" w:rsidRDefault="00A90A46" w:rsidP="00A90A46">
            <w:pPr>
              <w:jc w:val="center"/>
              <w:rPr>
                <w:rFonts w:asciiTheme="majorHAnsi" w:hAnsiTheme="majorHAnsi" w:cstheme="majorHAnsi"/>
                <w:sz w:val="20"/>
                <w:szCs w:val="20"/>
              </w:rPr>
            </w:pPr>
            <w:r w:rsidRPr="0053555E">
              <w:rPr>
                <w:rFonts w:cs="Calibri"/>
                <w:sz w:val="20"/>
                <w:szCs w:val="20"/>
              </w:rPr>
              <w:t>19</w:t>
            </w:r>
          </w:p>
        </w:tc>
        <w:tc>
          <w:tcPr>
            <w:tcW w:w="638" w:type="dxa"/>
            <w:tcBorders>
              <w:top w:val="nil"/>
              <w:left w:val="nil"/>
              <w:bottom w:val="single" w:sz="4" w:space="0" w:color="auto"/>
              <w:right w:val="single" w:sz="4" w:space="0" w:color="auto"/>
            </w:tcBorders>
            <w:shd w:val="clear" w:color="auto" w:fill="auto"/>
            <w:vAlign w:val="center"/>
          </w:tcPr>
          <w:p w14:paraId="1AF00B17" w14:textId="741A0DF8"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05E642BC" w14:textId="5E2EA7D3" w:rsidR="00A90A46" w:rsidRPr="0053555E" w:rsidRDefault="00A90A46" w:rsidP="00A90A46">
            <w:pPr>
              <w:jc w:val="center"/>
              <w:rPr>
                <w:rFonts w:asciiTheme="majorHAnsi" w:hAnsiTheme="majorHAnsi" w:cstheme="majorHAnsi"/>
                <w:sz w:val="20"/>
                <w:szCs w:val="20"/>
              </w:rPr>
            </w:pPr>
            <w:r w:rsidRPr="0053555E">
              <w:rPr>
                <w:rFonts w:cs="Calibri"/>
                <w:sz w:val="20"/>
                <w:szCs w:val="20"/>
              </w:rPr>
              <w:t>4</w:t>
            </w:r>
          </w:p>
        </w:tc>
        <w:tc>
          <w:tcPr>
            <w:tcW w:w="638" w:type="dxa"/>
            <w:tcBorders>
              <w:top w:val="nil"/>
              <w:left w:val="nil"/>
              <w:bottom w:val="single" w:sz="4" w:space="0" w:color="auto"/>
              <w:right w:val="single" w:sz="4" w:space="0" w:color="auto"/>
            </w:tcBorders>
            <w:shd w:val="clear" w:color="auto" w:fill="auto"/>
            <w:vAlign w:val="center"/>
          </w:tcPr>
          <w:p w14:paraId="6D9AD473" w14:textId="136D6EA5" w:rsidR="00A90A46" w:rsidRPr="0053555E" w:rsidRDefault="00A90A46" w:rsidP="00A90A46">
            <w:pPr>
              <w:jc w:val="center"/>
              <w:rPr>
                <w:rFonts w:asciiTheme="majorHAnsi" w:hAnsiTheme="majorHAnsi" w:cstheme="majorHAnsi"/>
                <w:sz w:val="20"/>
                <w:szCs w:val="20"/>
              </w:rPr>
            </w:pPr>
            <w:r w:rsidRPr="0053555E">
              <w:rPr>
                <w:rFonts w:cs="Calibri"/>
                <w:sz w:val="20"/>
                <w:szCs w:val="20"/>
              </w:rPr>
              <w:t>3</w:t>
            </w:r>
          </w:p>
        </w:tc>
        <w:tc>
          <w:tcPr>
            <w:tcW w:w="638" w:type="dxa"/>
            <w:tcBorders>
              <w:top w:val="nil"/>
              <w:left w:val="nil"/>
              <w:bottom w:val="single" w:sz="4" w:space="0" w:color="auto"/>
              <w:right w:val="single" w:sz="4" w:space="0" w:color="auto"/>
            </w:tcBorders>
            <w:shd w:val="clear" w:color="auto" w:fill="auto"/>
            <w:vAlign w:val="center"/>
          </w:tcPr>
          <w:p w14:paraId="67D53BC8" w14:textId="42DC03DB" w:rsidR="00A90A46" w:rsidRPr="0053555E" w:rsidRDefault="00A90A46" w:rsidP="00A90A46">
            <w:pPr>
              <w:jc w:val="center"/>
              <w:rPr>
                <w:rFonts w:asciiTheme="majorHAnsi" w:hAnsiTheme="majorHAnsi" w:cstheme="majorHAnsi"/>
                <w:sz w:val="20"/>
                <w:szCs w:val="20"/>
              </w:rPr>
            </w:pPr>
          </w:p>
        </w:tc>
      </w:tr>
      <w:tr w:rsidR="00A90A46" w:rsidRPr="0053555E" w14:paraId="6395323E" w14:textId="77777777" w:rsidTr="00011E57">
        <w:trPr>
          <w:trHeight w:val="20"/>
        </w:trPr>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60CDF1" w14:textId="77777777" w:rsidR="00A90A46" w:rsidRPr="0053555E" w:rsidRDefault="00A90A46" w:rsidP="00A90A46">
            <w:pPr>
              <w:jc w:val="both"/>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Cena dekana za II. stupeň štúdia</w:t>
            </w:r>
          </w:p>
        </w:tc>
        <w:tc>
          <w:tcPr>
            <w:tcW w:w="637" w:type="dxa"/>
            <w:tcBorders>
              <w:top w:val="nil"/>
              <w:left w:val="nil"/>
              <w:bottom w:val="single" w:sz="4" w:space="0" w:color="auto"/>
              <w:right w:val="single" w:sz="4" w:space="0" w:color="auto"/>
            </w:tcBorders>
            <w:shd w:val="clear" w:color="auto" w:fill="auto"/>
            <w:vAlign w:val="center"/>
          </w:tcPr>
          <w:p w14:paraId="2CC97231" w14:textId="3CC8898A" w:rsidR="00A90A46" w:rsidRPr="0053555E" w:rsidRDefault="00A90A46" w:rsidP="00A90A46">
            <w:pPr>
              <w:jc w:val="center"/>
              <w:rPr>
                <w:rFonts w:asciiTheme="majorHAnsi" w:hAnsiTheme="majorHAnsi" w:cstheme="majorHAnsi"/>
                <w:sz w:val="20"/>
                <w:szCs w:val="20"/>
              </w:rPr>
            </w:pPr>
            <w:r w:rsidRPr="0053555E">
              <w:rPr>
                <w:rFonts w:cs="Calibri"/>
                <w:sz w:val="20"/>
                <w:szCs w:val="20"/>
              </w:rPr>
              <w:t>7</w:t>
            </w:r>
          </w:p>
        </w:tc>
        <w:tc>
          <w:tcPr>
            <w:tcW w:w="638" w:type="dxa"/>
            <w:tcBorders>
              <w:top w:val="nil"/>
              <w:left w:val="nil"/>
              <w:bottom w:val="single" w:sz="4" w:space="0" w:color="auto"/>
              <w:right w:val="single" w:sz="4" w:space="0" w:color="auto"/>
            </w:tcBorders>
            <w:shd w:val="clear" w:color="auto" w:fill="auto"/>
            <w:vAlign w:val="center"/>
          </w:tcPr>
          <w:p w14:paraId="472E7AE5" w14:textId="6C2E3335" w:rsidR="00A90A46" w:rsidRPr="0053555E" w:rsidRDefault="00A90A46" w:rsidP="00A90A46">
            <w:pPr>
              <w:jc w:val="center"/>
              <w:rPr>
                <w:rFonts w:asciiTheme="majorHAnsi" w:hAnsiTheme="majorHAnsi" w:cstheme="majorHAnsi"/>
                <w:sz w:val="20"/>
                <w:szCs w:val="20"/>
              </w:rPr>
            </w:pPr>
            <w:r w:rsidRPr="0053555E">
              <w:rPr>
                <w:rFonts w:cs="Calibri"/>
                <w:sz w:val="20"/>
                <w:szCs w:val="20"/>
              </w:rPr>
              <w:t>11</w:t>
            </w:r>
          </w:p>
        </w:tc>
        <w:tc>
          <w:tcPr>
            <w:tcW w:w="638" w:type="dxa"/>
            <w:tcBorders>
              <w:top w:val="nil"/>
              <w:left w:val="nil"/>
              <w:bottom w:val="single" w:sz="4" w:space="0" w:color="auto"/>
              <w:right w:val="single" w:sz="4" w:space="0" w:color="auto"/>
            </w:tcBorders>
            <w:shd w:val="clear" w:color="auto" w:fill="auto"/>
            <w:vAlign w:val="center"/>
          </w:tcPr>
          <w:p w14:paraId="5D2D8CC4" w14:textId="238D135C" w:rsidR="00A90A46" w:rsidRPr="0053555E" w:rsidRDefault="00A90A46" w:rsidP="00A90A46">
            <w:pPr>
              <w:jc w:val="center"/>
              <w:rPr>
                <w:rFonts w:asciiTheme="majorHAnsi" w:hAnsiTheme="majorHAnsi" w:cstheme="majorHAnsi"/>
                <w:sz w:val="20"/>
                <w:szCs w:val="20"/>
              </w:rPr>
            </w:pPr>
            <w:r w:rsidRPr="0053555E">
              <w:rPr>
                <w:rFonts w:cs="Calibri"/>
                <w:sz w:val="20"/>
                <w:szCs w:val="20"/>
              </w:rPr>
              <w:t>31</w:t>
            </w:r>
          </w:p>
        </w:tc>
        <w:tc>
          <w:tcPr>
            <w:tcW w:w="638" w:type="dxa"/>
            <w:tcBorders>
              <w:top w:val="nil"/>
              <w:left w:val="nil"/>
              <w:bottom w:val="single" w:sz="4" w:space="0" w:color="auto"/>
              <w:right w:val="single" w:sz="4" w:space="0" w:color="auto"/>
            </w:tcBorders>
            <w:shd w:val="clear" w:color="auto" w:fill="auto"/>
            <w:vAlign w:val="center"/>
          </w:tcPr>
          <w:p w14:paraId="377E126C" w14:textId="23DB33DF" w:rsidR="00A90A46" w:rsidRPr="0053555E" w:rsidRDefault="00A90A46" w:rsidP="00A90A46">
            <w:pPr>
              <w:jc w:val="center"/>
              <w:rPr>
                <w:rFonts w:asciiTheme="majorHAnsi" w:hAnsiTheme="majorHAnsi" w:cstheme="majorHAnsi"/>
                <w:sz w:val="20"/>
                <w:szCs w:val="20"/>
              </w:rPr>
            </w:pPr>
            <w:r w:rsidRPr="0053555E">
              <w:rPr>
                <w:rFonts w:cs="Calibri"/>
                <w:sz w:val="20"/>
                <w:szCs w:val="20"/>
              </w:rPr>
              <w:t>20</w:t>
            </w:r>
          </w:p>
        </w:tc>
        <w:tc>
          <w:tcPr>
            <w:tcW w:w="638" w:type="dxa"/>
            <w:tcBorders>
              <w:top w:val="nil"/>
              <w:left w:val="nil"/>
              <w:bottom w:val="single" w:sz="4" w:space="0" w:color="auto"/>
              <w:right w:val="single" w:sz="4" w:space="0" w:color="auto"/>
            </w:tcBorders>
            <w:shd w:val="clear" w:color="auto" w:fill="auto"/>
            <w:vAlign w:val="center"/>
          </w:tcPr>
          <w:p w14:paraId="7A957D31" w14:textId="2696D2D0"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53F0B756" w14:textId="464A60ED" w:rsidR="00A90A46" w:rsidRPr="0053555E" w:rsidRDefault="00A90A46" w:rsidP="00A90A46">
            <w:pPr>
              <w:jc w:val="center"/>
              <w:rPr>
                <w:rFonts w:asciiTheme="majorHAnsi" w:hAnsiTheme="majorHAnsi" w:cstheme="majorHAnsi"/>
                <w:sz w:val="20"/>
                <w:szCs w:val="20"/>
              </w:rPr>
            </w:pPr>
            <w:r w:rsidRPr="0053555E">
              <w:rPr>
                <w:rFonts w:cs="Calibri"/>
                <w:sz w:val="20"/>
                <w:szCs w:val="20"/>
              </w:rPr>
              <w:t>8</w:t>
            </w:r>
          </w:p>
        </w:tc>
        <w:tc>
          <w:tcPr>
            <w:tcW w:w="638" w:type="dxa"/>
            <w:tcBorders>
              <w:top w:val="nil"/>
              <w:left w:val="nil"/>
              <w:bottom w:val="single" w:sz="4" w:space="0" w:color="auto"/>
              <w:right w:val="single" w:sz="4" w:space="0" w:color="auto"/>
            </w:tcBorders>
            <w:shd w:val="clear" w:color="auto" w:fill="auto"/>
            <w:vAlign w:val="center"/>
          </w:tcPr>
          <w:p w14:paraId="54B645DE" w14:textId="653FF60D" w:rsidR="00A90A46" w:rsidRPr="0053555E" w:rsidRDefault="00A90A46" w:rsidP="00A90A46">
            <w:pPr>
              <w:jc w:val="center"/>
              <w:rPr>
                <w:rFonts w:asciiTheme="majorHAnsi" w:hAnsiTheme="majorHAnsi" w:cstheme="majorHAnsi"/>
                <w:sz w:val="20"/>
                <w:szCs w:val="20"/>
              </w:rPr>
            </w:pPr>
            <w:r w:rsidRPr="0053555E">
              <w:rPr>
                <w:rFonts w:cs="Calibri"/>
                <w:sz w:val="20"/>
                <w:szCs w:val="20"/>
              </w:rPr>
              <w:t>3</w:t>
            </w:r>
          </w:p>
        </w:tc>
        <w:tc>
          <w:tcPr>
            <w:tcW w:w="638" w:type="dxa"/>
            <w:tcBorders>
              <w:top w:val="nil"/>
              <w:left w:val="nil"/>
              <w:bottom w:val="single" w:sz="4" w:space="0" w:color="auto"/>
              <w:right w:val="single" w:sz="4" w:space="0" w:color="auto"/>
            </w:tcBorders>
            <w:shd w:val="clear" w:color="auto" w:fill="auto"/>
            <w:vAlign w:val="center"/>
          </w:tcPr>
          <w:p w14:paraId="6FA33781" w14:textId="0D8CB61D" w:rsidR="00A90A46" w:rsidRPr="0053555E" w:rsidRDefault="00A90A46" w:rsidP="00A90A46">
            <w:pPr>
              <w:jc w:val="center"/>
              <w:rPr>
                <w:rFonts w:asciiTheme="majorHAnsi" w:hAnsiTheme="majorHAnsi" w:cstheme="majorHAnsi"/>
                <w:sz w:val="20"/>
                <w:szCs w:val="20"/>
              </w:rPr>
            </w:pPr>
          </w:p>
        </w:tc>
      </w:tr>
      <w:tr w:rsidR="00A90A46" w:rsidRPr="0053555E" w14:paraId="5300B0D7" w14:textId="77777777" w:rsidTr="00011E57">
        <w:trPr>
          <w:trHeight w:val="20"/>
        </w:trPr>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B56164" w14:textId="77777777" w:rsidR="00A90A46" w:rsidRPr="0053555E" w:rsidRDefault="00A90A46" w:rsidP="00A90A46">
            <w:pPr>
              <w:jc w:val="both"/>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Cena dekana za III. stupeň štúdia</w:t>
            </w:r>
          </w:p>
        </w:tc>
        <w:tc>
          <w:tcPr>
            <w:tcW w:w="637" w:type="dxa"/>
            <w:tcBorders>
              <w:top w:val="nil"/>
              <w:left w:val="nil"/>
              <w:bottom w:val="single" w:sz="4" w:space="0" w:color="auto"/>
              <w:right w:val="single" w:sz="4" w:space="0" w:color="auto"/>
            </w:tcBorders>
            <w:shd w:val="clear" w:color="auto" w:fill="auto"/>
            <w:vAlign w:val="center"/>
          </w:tcPr>
          <w:p w14:paraId="6266369B" w14:textId="41157DAD"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0649CD20" w14:textId="1B12F389"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584EFEEB" w14:textId="59729034"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69966359" w14:textId="49D59806" w:rsidR="00A90A46" w:rsidRPr="0053555E" w:rsidRDefault="00A90A46" w:rsidP="00A90A46">
            <w:pPr>
              <w:jc w:val="center"/>
              <w:rPr>
                <w:rFonts w:asciiTheme="majorHAnsi" w:hAnsiTheme="majorHAnsi" w:cstheme="majorHAnsi"/>
                <w:sz w:val="20"/>
                <w:szCs w:val="20"/>
              </w:rPr>
            </w:pPr>
            <w:r w:rsidRPr="0053555E">
              <w:rPr>
                <w:rFonts w:cs="Calibri"/>
                <w:sz w:val="20"/>
                <w:szCs w:val="20"/>
              </w:rPr>
              <w:t>4</w:t>
            </w:r>
          </w:p>
        </w:tc>
        <w:tc>
          <w:tcPr>
            <w:tcW w:w="638" w:type="dxa"/>
            <w:tcBorders>
              <w:top w:val="nil"/>
              <w:left w:val="nil"/>
              <w:bottom w:val="single" w:sz="4" w:space="0" w:color="auto"/>
              <w:right w:val="single" w:sz="4" w:space="0" w:color="auto"/>
            </w:tcBorders>
            <w:shd w:val="clear" w:color="auto" w:fill="auto"/>
            <w:vAlign w:val="center"/>
          </w:tcPr>
          <w:p w14:paraId="496E2F57" w14:textId="032248D0"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231AE690" w14:textId="6D3FF8DA"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5A0BE080" w14:textId="232C1575" w:rsidR="00A90A46" w:rsidRPr="0053555E" w:rsidRDefault="00A90A46" w:rsidP="00A90A46">
            <w:pPr>
              <w:jc w:val="center"/>
              <w:rPr>
                <w:rFonts w:asciiTheme="majorHAnsi" w:hAnsiTheme="majorHAnsi" w:cstheme="majorHAnsi"/>
                <w:sz w:val="20"/>
                <w:szCs w:val="20"/>
              </w:rPr>
            </w:pPr>
          </w:p>
        </w:tc>
        <w:tc>
          <w:tcPr>
            <w:tcW w:w="638" w:type="dxa"/>
            <w:tcBorders>
              <w:top w:val="nil"/>
              <w:left w:val="nil"/>
              <w:bottom w:val="single" w:sz="4" w:space="0" w:color="auto"/>
              <w:right w:val="single" w:sz="4" w:space="0" w:color="auto"/>
            </w:tcBorders>
            <w:shd w:val="clear" w:color="auto" w:fill="auto"/>
            <w:vAlign w:val="center"/>
          </w:tcPr>
          <w:p w14:paraId="14B08590" w14:textId="6A3329EF" w:rsidR="00A90A46" w:rsidRPr="0053555E" w:rsidRDefault="00A90A46" w:rsidP="00A90A46">
            <w:pPr>
              <w:jc w:val="center"/>
              <w:rPr>
                <w:rFonts w:asciiTheme="majorHAnsi" w:hAnsiTheme="majorHAnsi" w:cstheme="majorHAnsi"/>
                <w:sz w:val="20"/>
                <w:szCs w:val="20"/>
              </w:rPr>
            </w:pPr>
          </w:p>
        </w:tc>
      </w:tr>
      <w:tr w:rsidR="00A90A46" w:rsidRPr="0053555E" w14:paraId="2C82B88D" w14:textId="77777777" w:rsidTr="00011E57">
        <w:trPr>
          <w:trHeight w:val="20"/>
        </w:trPr>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8D058A" w14:textId="77777777" w:rsidR="00A90A46" w:rsidRPr="0053555E" w:rsidRDefault="00A90A46" w:rsidP="00A90A46">
            <w:pPr>
              <w:rPr>
                <w:rFonts w:asciiTheme="majorHAnsi" w:eastAsia="Times New Roman" w:hAnsiTheme="majorHAnsi" w:cstheme="majorHAnsi"/>
                <w:sz w:val="18"/>
                <w:szCs w:val="20"/>
                <w:lang w:eastAsia="sk-SK"/>
              </w:rPr>
            </w:pPr>
            <w:r w:rsidRPr="0053555E">
              <w:rPr>
                <w:rFonts w:asciiTheme="majorHAnsi" w:eastAsia="Times New Roman" w:hAnsiTheme="majorHAnsi" w:cstheme="majorHAnsi"/>
                <w:sz w:val="18"/>
                <w:szCs w:val="20"/>
                <w:lang w:eastAsia="sk-SK"/>
              </w:rPr>
              <w:t>Ďalšie ocenenia dekanov fakúlt za štúdium, záverečné práce, šport, aktívny podiel na rozvoji, propagácii alebo reprezentácii (pochvalné listy, pochvalné uznania a diplomy dekana a pod.)</w:t>
            </w:r>
          </w:p>
        </w:tc>
        <w:tc>
          <w:tcPr>
            <w:tcW w:w="637" w:type="dxa"/>
            <w:tcBorders>
              <w:top w:val="nil"/>
              <w:left w:val="nil"/>
              <w:bottom w:val="single" w:sz="4" w:space="0" w:color="auto"/>
              <w:right w:val="single" w:sz="4" w:space="0" w:color="auto"/>
            </w:tcBorders>
            <w:shd w:val="clear" w:color="auto" w:fill="auto"/>
            <w:vAlign w:val="center"/>
          </w:tcPr>
          <w:p w14:paraId="291A6C61" w14:textId="5B346798" w:rsidR="00A90A46" w:rsidRPr="0053555E" w:rsidRDefault="00A90A46" w:rsidP="00A90A46">
            <w:pPr>
              <w:jc w:val="center"/>
              <w:rPr>
                <w:rFonts w:asciiTheme="majorHAnsi" w:hAnsiTheme="majorHAnsi" w:cstheme="majorHAnsi"/>
                <w:sz w:val="20"/>
                <w:szCs w:val="20"/>
              </w:rPr>
            </w:pPr>
            <w:r w:rsidRPr="0053555E">
              <w:rPr>
                <w:rFonts w:cs="Calibri"/>
                <w:sz w:val="20"/>
                <w:szCs w:val="20"/>
              </w:rPr>
              <w:t>57</w:t>
            </w:r>
          </w:p>
        </w:tc>
        <w:tc>
          <w:tcPr>
            <w:tcW w:w="638" w:type="dxa"/>
            <w:tcBorders>
              <w:top w:val="nil"/>
              <w:left w:val="nil"/>
              <w:bottom w:val="single" w:sz="4" w:space="0" w:color="auto"/>
              <w:right w:val="single" w:sz="4" w:space="0" w:color="auto"/>
            </w:tcBorders>
            <w:shd w:val="clear" w:color="auto" w:fill="auto"/>
            <w:vAlign w:val="center"/>
          </w:tcPr>
          <w:p w14:paraId="75BC98A1" w14:textId="65B1D1A5" w:rsidR="00A90A46" w:rsidRPr="0053555E" w:rsidRDefault="00A90A46" w:rsidP="00A90A46">
            <w:pPr>
              <w:jc w:val="center"/>
              <w:rPr>
                <w:rFonts w:asciiTheme="majorHAnsi" w:hAnsiTheme="majorHAnsi" w:cstheme="majorHAnsi"/>
                <w:sz w:val="20"/>
                <w:szCs w:val="20"/>
              </w:rPr>
            </w:pPr>
            <w:r w:rsidRPr="0053555E">
              <w:rPr>
                <w:rFonts w:cs="Calibri"/>
                <w:sz w:val="20"/>
                <w:szCs w:val="20"/>
              </w:rPr>
              <w:t>9</w:t>
            </w:r>
          </w:p>
        </w:tc>
        <w:tc>
          <w:tcPr>
            <w:tcW w:w="638" w:type="dxa"/>
            <w:tcBorders>
              <w:top w:val="nil"/>
              <w:left w:val="nil"/>
              <w:bottom w:val="single" w:sz="4" w:space="0" w:color="auto"/>
              <w:right w:val="single" w:sz="4" w:space="0" w:color="auto"/>
            </w:tcBorders>
            <w:shd w:val="clear" w:color="auto" w:fill="auto"/>
            <w:vAlign w:val="center"/>
          </w:tcPr>
          <w:p w14:paraId="5F385F0F" w14:textId="1EDA38CC" w:rsidR="00A90A46" w:rsidRPr="0053555E" w:rsidRDefault="00A90A46" w:rsidP="00A90A46">
            <w:pPr>
              <w:jc w:val="center"/>
              <w:rPr>
                <w:rFonts w:asciiTheme="majorHAnsi" w:hAnsiTheme="majorHAnsi" w:cstheme="majorHAnsi"/>
                <w:sz w:val="20"/>
                <w:szCs w:val="20"/>
              </w:rPr>
            </w:pPr>
            <w:r w:rsidRPr="0053555E">
              <w:rPr>
                <w:rFonts w:cs="Calibri"/>
                <w:sz w:val="20"/>
                <w:szCs w:val="20"/>
              </w:rPr>
              <w:t>59</w:t>
            </w:r>
          </w:p>
        </w:tc>
        <w:tc>
          <w:tcPr>
            <w:tcW w:w="638" w:type="dxa"/>
            <w:tcBorders>
              <w:top w:val="nil"/>
              <w:left w:val="nil"/>
              <w:bottom w:val="single" w:sz="4" w:space="0" w:color="auto"/>
              <w:right w:val="single" w:sz="4" w:space="0" w:color="auto"/>
            </w:tcBorders>
            <w:shd w:val="clear" w:color="auto" w:fill="auto"/>
            <w:vAlign w:val="center"/>
          </w:tcPr>
          <w:p w14:paraId="10A3A4FC" w14:textId="07A6DD0A" w:rsidR="00A90A46" w:rsidRPr="0053555E" w:rsidRDefault="00A90A46" w:rsidP="00A90A46">
            <w:pPr>
              <w:jc w:val="center"/>
              <w:rPr>
                <w:rFonts w:asciiTheme="majorHAnsi" w:hAnsiTheme="majorHAnsi" w:cstheme="majorHAnsi"/>
                <w:sz w:val="20"/>
                <w:szCs w:val="20"/>
              </w:rPr>
            </w:pPr>
            <w:r w:rsidRPr="0053555E">
              <w:rPr>
                <w:rFonts w:cs="Calibri"/>
                <w:sz w:val="20"/>
                <w:szCs w:val="20"/>
              </w:rPr>
              <w:t>26</w:t>
            </w:r>
          </w:p>
        </w:tc>
        <w:tc>
          <w:tcPr>
            <w:tcW w:w="638" w:type="dxa"/>
            <w:tcBorders>
              <w:top w:val="nil"/>
              <w:left w:val="nil"/>
              <w:bottom w:val="single" w:sz="4" w:space="0" w:color="auto"/>
              <w:right w:val="single" w:sz="4" w:space="0" w:color="auto"/>
            </w:tcBorders>
            <w:shd w:val="clear" w:color="auto" w:fill="auto"/>
            <w:vAlign w:val="center"/>
          </w:tcPr>
          <w:p w14:paraId="70FD058D" w14:textId="23147788" w:rsidR="00A90A46" w:rsidRPr="0053555E" w:rsidRDefault="00A90A46" w:rsidP="00A90A46">
            <w:pPr>
              <w:jc w:val="center"/>
              <w:rPr>
                <w:rFonts w:asciiTheme="majorHAnsi" w:hAnsiTheme="majorHAnsi" w:cstheme="majorHAnsi"/>
                <w:sz w:val="20"/>
                <w:szCs w:val="20"/>
              </w:rPr>
            </w:pPr>
            <w:r w:rsidRPr="0053555E">
              <w:rPr>
                <w:rFonts w:cs="Calibri"/>
                <w:sz w:val="20"/>
                <w:szCs w:val="20"/>
              </w:rPr>
              <w:t>18</w:t>
            </w:r>
          </w:p>
        </w:tc>
        <w:tc>
          <w:tcPr>
            <w:tcW w:w="638" w:type="dxa"/>
            <w:tcBorders>
              <w:top w:val="nil"/>
              <w:left w:val="nil"/>
              <w:bottom w:val="single" w:sz="4" w:space="0" w:color="auto"/>
              <w:right w:val="single" w:sz="4" w:space="0" w:color="auto"/>
            </w:tcBorders>
            <w:shd w:val="clear" w:color="auto" w:fill="auto"/>
            <w:vAlign w:val="center"/>
          </w:tcPr>
          <w:p w14:paraId="35CAE04B" w14:textId="53A66E44" w:rsidR="00A90A46" w:rsidRPr="0053555E" w:rsidRDefault="00A90A46" w:rsidP="00A90A46">
            <w:pPr>
              <w:jc w:val="center"/>
              <w:rPr>
                <w:rFonts w:asciiTheme="majorHAnsi" w:hAnsiTheme="majorHAnsi" w:cstheme="majorHAnsi"/>
                <w:sz w:val="20"/>
                <w:szCs w:val="20"/>
              </w:rPr>
            </w:pPr>
            <w:r w:rsidRPr="0053555E">
              <w:rPr>
                <w:rFonts w:cs="Calibri"/>
                <w:sz w:val="20"/>
                <w:szCs w:val="20"/>
              </w:rPr>
              <w:t>26</w:t>
            </w:r>
          </w:p>
        </w:tc>
        <w:tc>
          <w:tcPr>
            <w:tcW w:w="638" w:type="dxa"/>
            <w:tcBorders>
              <w:top w:val="nil"/>
              <w:left w:val="nil"/>
              <w:bottom w:val="single" w:sz="4" w:space="0" w:color="auto"/>
              <w:right w:val="single" w:sz="4" w:space="0" w:color="auto"/>
            </w:tcBorders>
            <w:shd w:val="clear" w:color="auto" w:fill="auto"/>
            <w:vAlign w:val="center"/>
          </w:tcPr>
          <w:p w14:paraId="430B70A4" w14:textId="7F068D55" w:rsidR="00A90A46" w:rsidRPr="0053555E" w:rsidRDefault="00A90A46" w:rsidP="00A90A46">
            <w:pPr>
              <w:jc w:val="center"/>
              <w:rPr>
                <w:rFonts w:asciiTheme="majorHAnsi" w:hAnsiTheme="majorHAnsi" w:cstheme="majorHAnsi"/>
                <w:sz w:val="20"/>
                <w:szCs w:val="20"/>
              </w:rPr>
            </w:pPr>
            <w:r w:rsidRPr="0053555E">
              <w:rPr>
                <w:rFonts w:cs="Calibri"/>
                <w:sz w:val="20"/>
                <w:szCs w:val="20"/>
              </w:rPr>
              <w:t>126</w:t>
            </w:r>
          </w:p>
        </w:tc>
        <w:tc>
          <w:tcPr>
            <w:tcW w:w="638" w:type="dxa"/>
            <w:tcBorders>
              <w:top w:val="nil"/>
              <w:left w:val="nil"/>
              <w:bottom w:val="single" w:sz="4" w:space="0" w:color="auto"/>
              <w:right w:val="single" w:sz="4" w:space="0" w:color="auto"/>
            </w:tcBorders>
            <w:shd w:val="clear" w:color="auto" w:fill="auto"/>
            <w:vAlign w:val="center"/>
          </w:tcPr>
          <w:p w14:paraId="28ED23CA" w14:textId="47DCA6E4" w:rsidR="00A90A46" w:rsidRPr="0053555E" w:rsidRDefault="00A90A46" w:rsidP="00A90A46">
            <w:pPr>
              <w:jc w:val="center"/>
              <w:rPr>
                <w:rFonts w:asciiTheme="majorHAnsi" w:hAnsiTheme="majorHAnsi" w:cstheme="majorHAnsi"/>
                <w:sz w:val="20"/>
                <w:szCs w:val="20"/>
              </w:rPr>
            </w:pPr>
          </w:p>
        </w:tc>
      </w:tr>
      <w:tr w:rsidR="00A90A46" w:rsidRPr="0053555E" w14:paraId="7186CB36" w14:textId="77777777" w:rsidTr="009937B7">
        <w:trPr>
          <w:trHeight w:val="20"/>
        </w:trPr>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155CEE" w14:textId="47C23275" w:rsidR="00A90A46" w:rsidRPr="0053555E" w:rsidRDefault="00A90A46" w:rsidP="00A90A46">
            <w:pPr>
              <w:rPr>
                <w:rFonts w:asciiTheme="majorHAnsi" w:eastAsia="Times New Roman" w:hAnsiTheme="majorHAnsi" w:cstheme="majorHAnsi"/>
                <w:b/>
                <w:bCs/>
                <w:sz w:val="20"/>
                <w:szCs w:val="20"/>
                <w:lang w:eastAsia="sk-SK"/>
              </w:rPr>
            </w:pPr>
            <w:r w:rsidRPr="0053555E">
              <w:rPr>
                <w:rFonts w:cs="Calibri"/>
                <w:sz w:val="18"/>
                <w:szCs w:val="18"/>
              </w:rPr>
              <w:t>Majstrovstvá STU vo florbale</w:t>
            </w:r>
          </w:p>
        </w:tc>
        <w:tc>
          <w:tcPr>
            <w:tcW w:w="637" w:type="dxa"/>
            <w:tcBorders>
              <w:top w:val="nil"/>
              <w:left w:val="nil"/>
              <w:bottom w:val="single" w:sz="4" w:space="0" w:color="auto"/>
              <w:right w:val="single" w:sz="4" w:space="0" w:color="auto"/>
            </w:tcBorders>
            <w:shd w:val="clear" w:color="auto" w:fill="auto"/>
            <w:noWrap/>
            <w:vAlign w:val="center"/>
          </w:tcPr>
          <w:p w14:paraId="5C9B049B" w14:textId="108FB6FB" w:rsidR="00A90A46" w:rsidRPr="0053555E" w:rsidRDefault="00A90A46" w:rsidP="00A90A46">
            <w:pPr>
              <w:jc w:val="center"/>
              <w:rPr>
                <w:rFonts w:cs="Calibri"/>
                <w:b/>
                <w:bCs/>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420C8899" w14:textId="26867DAA" w:rsidR="00A90A46" w:rsidRPr="0053555E" w:rsidRDefault="00A90A46" w:rsidP="00A90A46">
            <w:pPr>
              <w:jc w:val="center"/>
              <w:rPr>
                <w:rFonts w:cs="Calibri"/>
                <w:b/>
                <w:bCs/>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5E12AB3" w14:textId="0EDBEFAD" w:rsidR="00A90A46" w:rsidRPr="0053555E" w:rsidRDefault="00A90A46" w:rsidP="00A90A46">
            <w:pPr>
              <w:jc w:val="center"/>
              <w:rPr>
                <w:rFonts w:cs="Calibri"/>
                <w:b/>
                <w:bCs/>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5A2FFC0D" w14:textId="47B53C6D" w:rsidR="00A90A46" w:rsidRPr="0053555E" w:rsidRDefault="00A90A46" w:rsidP="00A90A46">
            <w:pPr>
              <w:jc w:val="center"/>
              <w:rPr>
                <w:rFonts w:cs="Calibri"/>
                <w:b/>
                <w:bCs/>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7DE575A1" w14:textId="4A3AAABF" w:rsidR="00A90A46" w:rsidRPr="0053555E" w:rsidRDefault="00A90A46" w:rsidP="00A90A46">
            <w:pPr>
              <w:jc w:val="center"/>
              <w:rPr>
                <w:rFonts w:cs="Calibri"/>
                <w:b/>
                <w:bCs/>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66DEABCE" w14:textId="2F8AE2F4" w:rsidR="00A90A46" w:rsidRPr="0053555E" w:rsidRDefault="00A90A46" w:rsidP="00A90A46">
            <w:pPr>
              <w:jc w:val="center"/>
              <w:rPr>
                <w:rFonts w:cs="Calibri"/>
                <w:bCs/>
                <w:sz w:val="20"/>
                <w:szCs w:val="20"/>
              </w:rPr>
            </w:pPr>
            <w:r w:rsidRPr="0053555E">
              <w:rPr>
                <w:rFonts w:cs="Calibri"/>
                <w:sz w:val="20"/>
                <w:szCs w:val="20"/>
              </w:rPr>
              <w:t>1</w:t>
            </w:r>
          </w:p>
        </w:tc>
        <w:tc>
          <w:tcPr>
            <w:tcW w:w="638" w:type="dxa"/>
            <w:tcBorders>
              <w:top w:val="nil"/>
              <w:left w:val="nil"/>
              <w:bottom w:val="single" w:sz="4" w:space="0" w:color="auto"/>
              <w:right w:val="single" w:sz="4" w:space="0" w:color="auto"/>
            </w:tcBorders>
            <w:shd w:val="clear" w:color="auto" w:fill="auto"/>
            <w:noWrap/>
            <w:vAlign w:val="center"/>
          </w:tcPr>
          <w:p w14:paraId="0771E3AB" w14:textId="746B74F3" w:rsidR="00A90A46" w:rsidRPr="0053555E" w:rsidRDefault="00A90A46" w:rsidP="00A90A46">
            <w:pPr>
              <w:jc w:val="center"/>
              <w:rPr>
                <w:rFonts w:cs="Calibri"/>
                <w:b/>
                <w:bCs/>
                <w:sz w:val="20"/>
                <w:szCs w:val="20"/>
              </w:rPr>
            </w:pPr>
          </w:p>
        </w:tc>
        <w:tc>
          <w:tcPr>
            <w:tcW w:w="638" w:type="dxa"/>
            <w:tcBorders>
              <w:top w:val="nil"/>
              <w:left w:val="nil"/>
              <w:bottom w:val="single" w:sz="4" w:space="0" w:color="auto"/>
              <w:right w:val="single" w:sz="4" w:space="0" w:color="auto"/>
            </w:tcBorders>
            <w:shd w:val="clear" w:color="auto" w:fill="auto"/>
            <w:noWrap/>
            <w:vAlign w:val="center"/>
          </w:tcPr>
          <w:p w14:paraId="3737C4D4" w14:textId="76FB5656" w:rsidR="00A90A46" w:rsidRPr="0053555E" w:rsidRDefault="00A90A46" w:rsidP="00A90A46">
            <w:pPr>
              <w:jc w:val="center"/>
              <w:rPr>
                <w:rFonts w:cs="Calibri"/>
                <w:b/>
                <w:bCs/>
                <w:sz w:val="20"/>
                <w:szCs w:val="20"/>
              </w:rPr>
            </w:pPr>
          </w:p>
        </w:tc>
      </w:tr>
      <w:tr w:rsidR="00A90A46" w:rsidRPr="0053555E" w14:paraId="1D0FABC9" w14:textId="77777777" w:rsidTr="00011E57">
        <w:trPr>
          <w:trHeight w:val="20"/>
        </w:trPr>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DEECD98" w14:textId="77777777" w:rsidR="00A90A46" w:rsidRPr="0053555E" w:rsidRDefault="00A90A46" w:rsidP="00A90A46">
            <w:pPr>
              <w:jc w:val="right"/>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Spolu získaných ocenení</w:t>
            </w:r>
          </w:p>
        </w:tc>
        <w:tc>
          <w:tcPr>
            <w:tcW w:w="637" w:type="dxa"/>
            <w:tcBorders>
              <w:top w:val="nil"/>
              <w:left w:val="nil"/>
              <w:bottom w:val="single" w:sz="4" w:space="0" w:color="auto"/>
              <w:right w:val="single" w:sz="4" w:space="0" w:color="auto"/>
            </w:tcBorders>
            <w:shd w:val="clear" w:color="auto" w:fill="EEECE1" w:themeFill="background2"/>
            <w:noWrap/>
            <w:vAlign w:val="center"/>
          </w:tcPr>
          <w:p w14:paraId="3D5207ED" w14:textId="17440578" w:rsidR="00A90A46" w:rsidRPr="0053555E" w:rsidRDefault="00A90A46" w:rsidP="00A90A46">
            <w:pPr>
              <w:jc w:val="center"/>
              <w:rPr>
                <w:rFonts w:asciiTheme="majorHAnsi" w:hAnsiTheme="majorHAnsi" w:cstheme="majorHAnsi"/>
                <w:b/>
                <w:bCs/>
                <w:sz w:val="20"/>
                <w:szCs w:val="20"/>
              </w:rPr>
            </w:pPr>
            <w:r w:rsidRPr="0053555E">
              <w:rPr>
                <w:rFonts w:cs="Calibri"/>
                <w:b/>
                <w:bCs/>
                <w:sz w:val="20"/>
                <w:szCs w:val="20"/>
              </w:rPr>
              <w:t>92</w:t>
            </w:r>
          </w:p>
        </w:tc>
        <w:tc>
          <w:tcPr>
            <w:tcW w:w="638" w:type="dxa"/>
            <w:tcBorders>
              <w:top w:val="nil"/>
              <w:left w:val="nil"/>
              <w:bottom w:val="single" w:sz="4" w:space="0" w:color="auto"/>
              <w:right w:val="single" w:sz="4" w:space="0" w:color="auto"/>
            </w:tcBorders>
            <w:shd w:val="clear" w:color="auto" w:fill="EEECE1" w:themeFill="background2"/>
            <w:noWrap/>
            <w:vAlign w:val="center"/>
          </w:tcPr>
          <w:p w14:paraId="0F06E26C" w14:textId="3E139880" w:rsidR="00A90A46" w:rsidRPr="0053555E" w:rsidRDefault="00A90A46" w:rsidP="00A90A46">
            <w:pPr>
              <w:jc w:val="center"/>
              <w:rPr>
                <w:rFonts w:asciiTheme="majorHAnsi" w:hAnsiTheme="majorHAnsi" w:cstheme="majorHAnsi"/>
                <w:b/>
                <w:bCs/>
                <w:sz w:val="20"/>
                <w:szCs w:val="20"/>
              </w:rPr>
            </w:pPr>
            <w:r w:rsidRPr="0053555E">
              <w:rPr>
                <w:rFonts w:cs="Calibri"/>
                <w:b/>
                <w:bCs/>
                <w:sz w:val="20"/>
                <w:szCs w:val="20"/>
              </w:rPr>
              <w:t>40</w:t>
            </w:r>
          </w:p>
        </w:tc>
        <w:tc>
          <w:tcPr>
            <w:tcW w:w="638" w:type="dxa"/>
            <w:tcBorders>
              <w:top w:val="nil"/>
              <w:left w:val="nil"/>
              <w:bottom w:val="single" w:sz="4" w:space="0" w:color="auto"/>
              <w:right w:val="single" w:sz="4" w:space="0" w:color="auto"/>
            </w:tcBorders>
            <w:shd w:val="clear" w:color="auto" w:fill="EEECE1" w:themeFill="background2"/>
            <w:noWrap/>
            <w:vAlign w:val="center"/>
          </w:tcPr>
          <w:p w14:paraId="1628FC1D" w14:textId="51AFB07C" w:rsidR="00A90A46" w:rsidRPr="0053555E" w:rsidRDefault="00A90A46" w:rsidP="00A90A46">
            <w:pPr>
              <w:jc w:val="center"/>
              <w:rPr>
                <w:rFonts w:asciiTheme="majorHAnsi" w:hAnsiTheme="majorHAnsi" w:cstheme="majorHAnsi"/>
                <w:b/>
                <w:bCs/>
                <w:sz w:val="20"/>
                <w:szCs w:val="20"/>
              </w:rPr>
            </w:pPr>
            <w:r w:rsidRPr="0053555E">
              <w:rPr>
                <w:rFonts w:cs="Calibri"/>
                <w:b/>
                <w:bCs/>
                <w:sz w:val="20"/>
                <w:szCs w:val="20"/>
              </w:rPr>
              <w:t>120</w:t>
            </w:r>
          </w:p>
        </w:tc>
        <w:tc>
          <w:tcPr>
            <w:tcW w:w="638" w:type="dxa"/>
            <w:tcBorders>
              <w:top w:val="nil"/>
              <w:left w:val="nil"/>
              <w:bottom w:val="single" w:sz="4" w:space="0" w:color="auto"/>
              <w:right w:val="single" w:sz="4" w:space="0" w:color="auto"/>
            </w:tcBorders>
            <w:shd w:val="clear" w:color="auto" w:fill="EEECE1" w:themeFill="background2"/>
            <w:noWrap/>
            <w:vAlign w:val="center"/>
          </w:tcPr>
          <w:p w14:paraId="3D5CA4D3" w14:textId="4B4A140C" w:rsidR="00A90A46" w:rsidRPr="0053555E" w:rsidRDefault="00A90A46" w:rsidP="00A90A46">
            <w:pPr>
              <w:jc w:val="center"/>
              <w:rPr>
                <w:rFonts w:asciiTheme="majorHAnsi" w:hAnsiTheme="majorHAnsi" w:cstheme="majorHAnsi"/>
                <w:b/>
                <w:bCs/>
                <w:sz w:val="20"/>
                <w:szCs w:val="20"/>
              </w:rPr>
            </w:pPr>
            <w:r w:rsidRPr="0053555E">
              <w:rPr>
                <w:rFonts w:cs="Calibri"/>
                <w:b/>
                <w:bCs/>
                <w:sz w:val="20"/>
                <w:szCs w:val="20"/>
              </w:rPr>
              <w:t>92</w:t>
            </w:r>
          </w:p>
        </w:tc>
        <w:tc>
          <w:tcPr>
            <w:tcW w:w="638" w:type="dxa"/>
            <w:tcBorders>
              <w:top w:val="nil"/>
              <w:left w:val="nil"/>
              <w:bottom w:val="single" w:sz="4" w:space="0" w:color="auto"/>
              <w:right w:val="single" w:sz="4" w:space="0" w:color="auto"/>
            </w:tcBorders>
            <w:shd w:val="clear" w:color="auto" w:fill="EEECE1" w:themeFill="background2"/>
            <w:noWrap/>
            <w:vAlign w:val="center"/>
          </w:tcPr>
          <w:p w14:paraId="262C06A6" w14:textId="542C8CE4" w:rsidR="00A90A46" w:rsidRPr="0053555E" w:rsidRDefault="00A90A46" w:rsidP="00A90A46">
            <w:pPr>
              <w:jc w:val="center"/>
              <w:rPr>
                <w:rFonts w:asciiTheme="majorHAnsi" w:hAnsiTheme="majorHAnsi" w:cstheme="majorHAnsi"/>
                <w:b/>
                <w:bCs/>
                <w:sz w:val="20"/>
                <w:szCs w:val="20"/>
              </w:rPr>
            </w:pPr>
            <w:r w:rsidRPr="0053555E">
              <w:rPr>
                <w:rFonts w:cs="Calibri"/>
                <w:b/>
                <w:bCs/>
                <w:sz w:val="20"/>
                <w:szCs w:val="20"/>
              </w:rPr>
              <w:t>23</w:t>
            </w:r>
          </w:p>
        </w:tc>
        <w:tc>
          <w:tcPr>
            <w:tcW w:w="638" w:type="dxa"/>
            <w:tcBorders>
              <w:top w:val="nil"/>
              <w:left w:val="nil"/>
              <w:bottom w:val="single" w:sz="4" w:space="0" w:color="auto"/>
              <w:right w:val="single" w:sz="4" w:space="0" w:color="auto"/>
            </w:tcBorders>
            <w:shd w:val="clear" w:color="auto" w:fill="EEECE1" w:themeFill="background2"/>
            <w:noWrap/>
            <w:vAlign w:val="center"/>
          </w:tcPr>
          <w:p w14:paraId="0207D989" w14:textId="653145E5" w:rsidR="00A90A46" w:rsidRPr="0053555E" w:rsidRDefault="00A90A46" w:rsidP="00A90A46">
            <w:pPr>
              <w:jc w:val="center"/>
              <w:rPr>
                <w:rFonts w:asciiTheme="majorHAnsi" w:hAnsiTheme="majorHAnsi" w:cstheme="majorHAnsi"/>
                <w:b/>
                <w:bCs/>
                <w:sz w:val="20"/>
                <w:szCs w:val="20"/>
              </w:rPr>
            </w:pPr>
            <w:r w:rsidRPr="0053555E">
              <w:rPr>
                <w:rFonts w:cs="Calibri"/>
                <w:b/>
                <w:bCs/>
                <w:sz w:val="20"/>
                <w:szCs w:val="20"/>
              </w:rPr>
              <w:t>46</w:t>
            </w:r>
          </w:p>
        </w:tc>
        <w:tc>
          <w:tcPr>
            <w:tcW w:w="638" w:type="dxa"/>
            <w:tcBorders>
              <w:top w:val="nil"/>
              <w:left w:val="nil"/>
              <w:bottom w:val="single" w:sz="4" w:space="0" w:color="auto"/>
              <w:right w:val="single" w:sz="4" w:space="0" w:color="auto"/>
            </w:tcBorders>
            <w:shd w:val="clear" w:color="auto" w:fill="EEECE1" w:themeFill="background2"/>
            <w:noWrap/>
            <w:vAlign w:val="center"/>
          </w:tcPr>
          <w:p w14:paraId="02311E56" w14:textId="4ACE0998" w:rsidR="00A90A46" w:rsidRPr="0053555E" w:rsidRDefault="00A90A46" w:rsidP="00A90A46">
            <w:pPr>
              <w:jc w:val="center"/>
              <w:rPr>
                <w:rFonts w:asciiTheme="majorHAnsi" w:hAnsiTheme="majorHAnsi" w:cstheme="majorHAnsi"/>
                <w:b/>
                <w:bCs/>
                <w:sz w:val="20"/>
                <w:szCs w:val="20"/>
              </w:rPr>
            </w:pPr>
            <w:r w:rsidRPr="0053555E">
              <w:rPr>
                <w:rFonts w:cs="Calibri"/>
                <w:b/>
                <w:bCs/>
                <w:sz w:val="20"/>
                <w:szCs w:val="20"/>
              </w:rPr>
              <w:t>136</w:t>
            </w:r>
          </w:p>
        </w:tc>
        <w:tc>
          <w:tcPr>
            <w:tcW w:w="638" w:type="dxa"/>
            <w:tcBorders>
              <w:top w:val="nil"/>
              <w:left w:val="nil"/>
              <w:bottom w:val="single" w:sz="4" w:space="0" w:color="auto"/>
              <w:right w:val="single" w:sz="4" w:space="0" w:color="auto"/>
            </w:tcBorders>
            <w:shd w:val="clear" w:color="auto" w:fill="EEECE1" w:themeFill="background2"/>
            <w:noWrap/>
            <w:vAlign w:val="center"/>
          </w:tcPr>
          <w:p w14:paraId="31657A40" w14:textId="516492B4" w:rsidR="00A90A46" w:rsidRPr="0053555E" w:rsidRDefault="00A90A46" w:rsidP="00A90A46">
            <w:pPr>
              <w:jc w:val="center"/>
              <w:rPr>
                <w:rFonts w:asciiTheme="majorHAnsi" w:hAnsiTheme="majorHAnsi" w:cstheme="majorHAnsi"/>
                <w:b/>
                <w:bCs/>
                <w:sz w:val="20"/>
                <w:szCs w:val="20"/>
              </w:rPr>
            </w:pPr>
            <w:r w:rsidRPr="0053555E">
              <w:rPr>
                <w:rFonts w:cs="Calibri"/>
                <w:b/>
                <w:bCs/>
                <w:sz w:val="20"/>
                <w:szCs w:val="20"/>
              </w:rPr>
              <w:t>5</w:t>
            </w:r>
          </w:p>
        </w:tc>
      </w:tr>
    </w:tbl>
    <w:p w14:paraId="58A1ACDD" w14:textId="4AC3BBD7" w:rsidR="006A4861" w:rsidRDefault="006A4861" w:rsidP="006A4861">
      <w:bookmarkStart w:id="171" w:name="_Študentská_vedecká_odborná"/>
      <w:bookmarkStart w:id="172" w:name="_Ref95465798"/>
      <w:bookmarkStart w:id="173" w:name="_Toc127593232"/>
      <w:bookmarkEnd w:id="171"/>
    </w:p>
    <w:p w14:paraId="19439B20" w14:textId="087331EC" w:rsidR="002071AC" w:rsidRPr="008D03BB" w:rsidRDefault="006A4861" w:rsidP="00E553BF">
      <w:r>
        <w:br w:type="page"/>
      </w:r>
      <w:r w:rsidR="00E553BF" w:rsidRPr="00E553BF">
        <w:rPr>
          <w:b/>
          <w:sz w:val="28"/>
          <w:szCs w:val="28"/>
        </w:rPr>
        <w:lastRenderedPageBreak/>
        <w:t xml:space="preserve">3.8. </w:t>
      </w:r>
      <w:r w:rsidR="002071AC" w:rsidRPr="00E553BF">
        <w:rPr>
          <w:b/>
          <w:sz w:val="28"/>
          <w:szCs w:val="28"/>
        </w:rPr>
        <w:t xml:space="preserve">Študentská vedecká </w:t>
      </w:r>
      <w:r w:rsidR="00217DAB" w:rsidRPr="00E553BF">
        <w:rPr>
          <w:b/>
          <w:sz w:val="28"/>
          <w:szCs w:val="28"/>
        </w:rPr>
        <w:t xml:space="preserve">odborná </w:t>
      </w:r>
      <w:r w:rsidR="002071AC" w:rsidRPr="00E553BF">
        <w:rPr>
          <w:b/>
          <w:sz w:val="28"/>
          <w:szCs w:val="28"/>
        </w:rPr>
        <w:t>činnosť na STU</w:t>
      </w:r>
      <w:bookmarkEnd w:id="172"/>
      <w:bookmarkEnd w:id="173"/>
    </w:p>
    <w:p w14:paraId="7F6FF3E8" w14:textId="77777777" w:rsidR="00E553BF" w:rsidRPr="00E553BF" w:rsidRDefault="00E553BF" w:rsidP="00E553BF"/>
    <w:p w14:paraId="51A2D538" w14:textId="732C64BB" w:rsidR="002071AC" w:rsidRPr="0053555E" w:rsidRDefault="002071AC" w:rsidP="00324438">
      <w:pPr>
        <w:tabs>
          <w:tab w:val="left" w:pos="9356"/>
        </w:tabs>
        <w:spacing w:after="120"/>
        <w:jc w:val="both"/>
        <w:rPr>
          <w:rFonts w:asciiTheme="majorHAnsi" w:hAnsiTheme="majorHAnsi" w:cstheme="majorHAnsi"/>
        </w:rPr>
      </w:pPr>
      <w:r w:rsidRPr="0053555E">
        <w:rPr>
          <w:rFonts w:asciiTheme="majorHAnsi" w:hAnsiTheme="majorHAnsi" w:cstheme="majorHAnsi"/>
          <w:shd w:val="clear" w:color="auto" w:fill="FFFFFF"/>
        </w:rPr>
        <w:t xml:space="preserve">Dôležitou </w:t>
      </w:r>
      <w:r w:rsidR="00192BDB" w:rsidRPr="0053555E">
        <w:rPr>
          <w:rFonts w:asciiTheme="majorHAnsi" w:hAnsiTheme="majorHAnsi" w:cstheme="majorHAnsi"/>
          <w:shd w:val="clear" w:color="auto" w:fill="FFFFFF"/>
        </w:rPr>
        <w:t>oblasťou</w:t>
      </w:r>
      <w:r w:rsidRPr="0053555E">
        <w:rPr>
          <w:rFonts w:asciiTheme="majorHAnsi" w:hAnsiTheme="majorHAnsi" w:cstheme="majorHAnsi"/>
          <w:shd w:val="clear" w:color="auto" w:fill="FFFFFF"/>
        </w:rPr>
        <w:t xml:space="preserve"> komplexného vysokoškolského vzdelávania je rozvoj vedeckej </w:t>
      </w:r>
      <w:r w:rsidR="007D645F">
        <w:rPr>
          <w:rFonts w:asciiTheme="majorHAnsi" w:hAnsiTheme="majorHAnsi" w:cstheme="majorHAnsi"/>
          <w:shd w:val="clear" w:color="auto" w:fill="FFFFFF"/>
        </w:rPr>
        <w:t xml:space="preserve">odbornej </w:t>
      </w:r>
      <w:r w:rsidRPr="0053555E">
        <w:rPr>
          <w:rFonts w:asciiTheme="majorHAnsi" w:hAnsiTheme="majorHAnsi" w:cstheme="majorHAnsi"/>
          <w:shd w:val="clear" w:color="auto" w:fill="FFFFFF"/>
        </w:rPr>
        <w:t>a umeleckej činnosti študentov</w:t>
      </w:r>
      <w:r w:rsidR="00306037" w:rsidRPr="0053555E">
        <w:rPr>
          <w:rFonts w:asciiTheme="majorHAnsi" w:hAnsiTheme="majorHAnsi" w:cstheme="majorHAnsi"/>
          <w:shd w:val="clear" w:color="auto" w:fill="FFFFFF"/>
        </w:rPr>
        <w:t xml:space="preserve"> v študijných odboro</w:t>
      </w:r>
      <w:r w:rsidR="00192BDB" w:rsidRPr="0053555E">
        <w:rPr>
          <w:rFonts w:asciiTheme="majorHAnsi" w:hAnsiTheme="majorHAnsi" w:cstheme="majorHAnsi"/>
          <w:shd w:val="clear" w:color="auto" w:fill="FFFFFF"/>
        </w:rPr>
        <w:t>ch</w:t>
      </w:r>
      <w:r w:rsidR="00306037" w:rsidRPr="0053555E">
        <w:rPr>
          <w:rFonts w:asciiTheme="majorHAnsi" w:hAnsiTheme="majorHAnsi" w:cstheme="majorHAnsi"/>
          <w:shd w:val="clear" w:color="auto" w:fill="FFFFFF"/>
        </w:rPr>
        <w:t>, v ktorých sa uskutočňuje vysokoškolské štúdium.</w:t>
      </w:r>
      <w:r w:rsidR="00B50192" w:rsidRPr="0053555E">
        <w:rPr>
          <w:rFonts w:asciiTheme="majorHAnsi" w:hAnsiTheme="majorHAnsi" w:cstheme="majorHAnsi"/>
          <w:shd w:val="clear" w:color="auto" w:fill="FFFFFF"/>
        </w:rPr>
        <w:t xml:space="preserve"> Na </w:t>
      </w:r>
      <w:r w:rsidRPr="0053555E">
        <w:rPr>
          <w:rFonts w:asciiTheme="majorHAnsi" w:hAnsiTheme="majorHAnsi" w:cstheme="majorHAnsi"/>
          <w:shd w:val="clear" w:color="auto" w:fill="FFFFFF"/>
        </w:rPr>
        <w:t xml:space="preserve">túto oblasť je špecificky zameraná </w:t>
      </w:r>
      <w:r w:rsidR="00DA5AE0" w:rsidRPr="0053555E">
        <w:rPr>
          <w:rFonts w:asciiTheme="majorHAnsi" w:hAnsiTheme="majorHAnsi" w:cstheme="majorHAnsi"/>
        </w:rPr>
        <w:t>š</w:t>
      </w:r>
      <w:r w:rsidRPr="0053555E">
        <w:rPr>
          <w:rFonts w:asciiTheme="majorHAnsi" w:hAnsiTheme="majorHAnsi" w:cstheme="majorHAnsi"/>
        </w:rPr>
        <w:t>tudentská vedecká odborná činnosť</w:t>
      </w:r>
      <w:r w:rsidR="00DA5AE0" w:rsidRPr="0053555E">
        <w:rPr>
          <w:rFonts w:asciiTheme="majorHAnsi" w:hAnsiTheme="majorHAnsi" w:cstheme="majorHAnsi"/>
        </w:rPr>
        <w:t>, resp. š</w:t>
      </w:r>
      <w:r w:rsidR="00217DAB" w:rsidRPr="0053555E">
        <w:rPr>
          <w:rFonts w:asciiTheme="majorHAnsi" w:hAnsiTheme="majorHAnsi" w:cstheme="majorHAnsi"/>
        </w:rPr>
        <w:t xml:space="preserve">tudentská tvorivá vedecká odborná a umelecká činnosť (ďalej </w:t>
      </w:r>
      <w:r w:rsidR="00EF3744" w:rsidRPr="0053555E">
        <w:rPr>
          <w:rFonts w:asciiTheme="majorHAnsi" w:hAnsiTheme="majorHAnsi" w:cstheme="majorHAnsi"/>
        </w:rPr>
        <w:t>tiež</w:t>
      </w:r>
      <w:r w:rsidR="00217DAB" w:rsidRPr="0053555E">
        <w:rPr>
          <w:rFonts w:asciiTheme="majorHAnsi" w:hAnsiTheme="majorHAnsi" w:cstheme="majorHAnsi"/>
        </w:rPr>
        <w:t xml:space="preserve"> „ŠVOČ“)</w:t>
      </w:r>
      <w:r w:rsidR="00A112F9" w:rsidRPr="0053555E">
        <w:rPr>
          <w:rFonts w:asciiTheme="majorHAnsi" w:hAnsiTheme="majorHAnsi" w:cstheme="majorHAnsi"/>
        </w:rPr>
        <w:t xml:space="preserve"> už spomenutá </w:t>
      </w:r>
      <w:r w:rsidR="00E553BF">
        <w:rPr>
          <w:rFonts w:asciiTheme="majorHAnsi" w:hAnsiTheme="majorHAnsi" w:cstheme="majorHAnsi"/>
        </w:rPr>
        <w:t>v</w:t>
      </w:r>
      <w:r w:rsidR="002A7A00" w:rsidRPr="0053555E">
        <w:rPr>
          <w:rFonts w:asciiTheme="majorHAnsi" w:hAnsiTheme="majorHAnsi" w:cstheme="majorHAnsi"/>
        </w:rPr>
        <w:t xml:space="preserve"> tejto </w:t>
      </w:r>
      <w:r w:rsidR="00E553BF">
        <w:rPr>
          <w:rFonts w:asciiTheme="majorHAnsi" w:hAnsiTheme="majorHAnsi" w:cstheme="majorHAnsi"/>
        </w:rPr>
        <w:t>správe</w:t>
      </w:r>
      <w:r w:rsidRPr="0053555E">
        <w:rPr>
          <w:rFonts w:asciiTheme="majorHAnsi" w:hAnsiTheme="majorHAnsi" w:cstheme="majorHAnsi"/>
        </w:rPr>
        <w:t xml:space="preserve">, ktorá má na STU dlhoročnú tradíciu. Zúčastňujú sa jej </w:t>
      </w:r>
      <w:r w:rsidR="00E553BF">
        <w:rPr>
          <w:rFonts w:asciiTheme="majorHAnsi" w:hAnsiTheme="majorHAnsi" w:cstheme="majorHAnsi"/>
        </w:rPr>
        <w:t>najmä</w:t>
      </w:r>
      <w:r w:rsidRPr="0053555E">
        <w:rPr>
          <w:rFonts w:asciiTheme="majorHAnsi" w:hAnsiTheme="majorHAnsi" w:cstheme="majorHAnsi"/>
        </w:rPr>
        <w:t xml:space="preserve"> študenti v 2. a 3. roku štúdia na </w:t>
      </w:r>
      <w:r w:rsidR="00E60027" w:rsidRPr="0053555E">
        <w:rPr>
          <w:rFonts w:asciiTheme="majorHAnsi" w:hAnsiTheme="majorHAnsi" w:cstheme="majorHAnsi"/>
        </w:rPr>
        <w:t>prvom</w:t>
      </w:r>
      <w:r w:rsidRPr="0053555E">
        <w:rPr>
          <w:rFonts w:asciiTheme="majorHAnsi" w:hAnsiTheme="majorHAnsi" w:cstheme="majorHAnsi"/>
        </w:rPr>
        <w:t xml:space="preserve"> st</w:t>
      </w:r>
      <w:r w:rsidR="00B50192" w:rsidRPr="0053555E">
        <w:rPr>
          <w:rFonts w:asciiTheme="majorHAnsi" w:hAnsiTheme="majorHAnsi" w:cstheme="majorHAnsi"/>
        </w:rPr>
        <w:t>upni a </w:t>
      </w:r>
      <w:r w:rsidR="009B1AB4">
        <w:rPr>
          <w:rFonts w:asciiTheme="majorHAnsi" w:hAnsiTheme="majorHAnsi" w:cstheme="majorHAnsi"/>
        </w:rPr>
        <w:t>študenti</w:t>
      </w:r>
      <w:r w:rsidR="00B50192" w:rsidRPr="0053555E">
        <w:rPr>
          <w:rFonts w:asciiTheme="majorHAnsi" w:hAnsiTheme="majorHAnsi" w:cstheme="majorHAnsi"/>
        </w:rPr>
        <w:t xml:space="preserve"> </w:t>
      </w:r>
      <w:r w:rsidR="00E60027" w:rsidRPr="0053555E">
        <w:rPr>
          <w:rFonts w:asciiTheme="majorHAnsi" w:hAnsiTheme="majorHAnsi" w:cstheme="majorHAnsi"/>
        </w:rPr>
        <w:t>druh</w:t>
      </w:r>
      <w:r w:rsidR="009B1AB4">
        <w:rPr>
          <w:rFonts w:asciiTheme="majorHAnsi" w:hAnsiTheme="majorHAnsi" w:cstheme="majorHAnsi"/>
        </w:rPr>
        <w:t>ého</w:t>
      </w:r>
      <w:r w:rsidRPr="0053555E">
        <w:rPr>
          <w:rFonts w:asciiTheme="majorHAnsi" w:hAnsiTheme="majorHAnsi" w:cstheme="majorHAnsi"/>
        </w:rPr>
        <w:t xml:space="preserve"> stup</w:t>
      </w:r>
      <w:r w:rsidR="009B1AB4">
        <w:rPr>
          <w:rFonts w:asciiTheme="majorHAnsi" w:hAnsiTheme="majorHAnsi" w:cstheme="majorHAnsi"/>
        </w:rPr>
        <w:t>ňa</w:t>
      </w:r>
      <w:r w:rsidRPr="0053555E">
        <w:rPr>
          <w:rFonts w:asciiTheme="majorHAnsi" w:hAnsiTheme="majorHAnsi" w:cstheme="majorHAnsi"/>
        </w:rPr>
        <w:t xml:space="preserve">. ŠVOČ sa každý rok </w:t>
      </w:r>
      <w:r w:rsidR="00B0304E">
        <w:rPr>
          <w:rFonts w:asciiTheme="majorHAnsi" w:hAnsiTheme="majorHAnsi" w:cstheme="majorHAnsi"/>
        </w:rPr>
        <w:t>ukončuje</w:t>
      </w:r>
      <w:r w:rsidRPr="0053555E">
        <w:rPr>
          <w:rFonts w:asciiTheme="majorHAnsi" w:hAnsiTheme="majorHAnsi" w:cstheme="majorHAnsi"/>
        </w:rPr>
        <w:t xml:space="preserve"> konferenciou (Študentská vedecká konferencia – ŠVK), na ktorej študenti prezentujú výsledky svojej vedeckej odbornej činnosti. ŠVK prebieha vo forme jednodňovej konferencie v odborných sekciách, kde študenti </w:t>
      </w:r>
      <w:r w:rsidR="0038362F" w:rsidRPr="0053555E">
        <w:rPr>
          <w:rFonts w:asciiTheme="majorHAnsi" w:hAnsiTheme="majorHAnsi" w:cstheme="majorHAnsi"/>
        </w:rPr>
        <w:t>majú</w:t>
      </w:r>
      <w:r w:rsidRPr="0053555E">
        <w:rPr>
          <w:rFonts w:asciiTheme="majorHAnsi" w:hAnsiTheme="majorHAnsi" w:cstheme="majorHAnsi"/>
        </w:rPr>
        <w:t xml:space="preserve"> možnosť prezentovať svoje práce</w:t>
      </w:r>
      <w:r w:rsidR="006142BF">
        <w:rPr>
          <w:rFonts w:asciiTheme="majorHAnsi" w:hAnsiTheme="majorHAnsi" w:cstheme="majorHAnsi"/>
        </w:rPr>
        <w:t>.</w:t>
      </w:r>
      <w:r w:rsidRPr="0053555E">
        <w:rPr>
          <w:rFonts w:asciiTheme="majorHAnsi" w:hAnsiTheme="majorHAnsi" w:cstheme="majorHAnsi"/>
        </w:rPr>
        <w:t xml:space="preserve"> Niektoré </w:t>
      </w:r>
      <w:r w:rsidR="00811C33" w:rsidRPr="0053555E">
        <w:rPr>
          <w:rFonts w:asciiTheme="majorHAnsi" w:hAnsiTheme="majorHAnsi" w:cstheme="majorHAnsi"/>
        </w:rPr>
        <w:t>fa</w:t>
      </w:r>
      <w:r w:rsidRPr="0053555E">
        <w:rPr>
          <w:rFonts w:asciiTheme="majorHAnsi" w:hAnsiTheme="majorHAnsi" w:cstheme="majorHAnsi"/>
        </w:rPr>
        <w:t>kulty vydávajú pri</w:t>
      </w:r>
      <w:r w:rsidR="00CB65B3">
        <w:rPr>
          <w:rFonts w:asciiTheme="majorHAnsi" w:hAnsiTheme="majorHAnsi" w:cstheme="majorHAnsi"/>
        </w:rPr>
        <w:t> </w:t>
      </w:r>
      <w:r w:rsidRPr="0053555E">
        <w:rPr>
          <w:rFonts w:asciiTheme="majorHAnsi" w:hAnsiTheme="majorHAnsi" w:cstheme="majorHAnsi"/>
        </w:rPr>
        <w:t>príležitosti ŠVK zborník prác študentov.</w:t>
      </w:r>
    </w:p>
    <w:p w14:paraId="6EDAA0D4" w14:textId="1E4B5E4C" w:rsidR="00757AE6" w:rsidRPr="0053555E" w:rsidRDefault="00E553BF" w:rsidP="00324438">
      <w:pPr>
        <w:tabs>
          <w:tab w:val="left" w:pos="9356"/>
        </w:tabs>
        <w:autoSpaceDE w:val="0"/>
        <w:autoSpaceDN w:val="0"/>
        <w:adjustRightInd w:val="0"/>
        <w:spacing w:after="120"/>
        <w:jc w:val="both"/>
        <w:rPr>
          <w:rFonts w:asciiTheme="majorHAnsi" w:hAnsiTheme="majorHAnsi" w:cstheme="majorHAnsi"/>
        </w:rPr>
      </w:pPr>
      <w:r>
        <w:rPr>
          <w:rFonts w:asciiTheme="majorHAnsi" w:hAnsiTheme="majorHAnsi" w:cstheme="majorHAnsi"/>
        </w:rPr>
        <w:t>V každej odbornej sekcii odborná komisia</w:t>
      </w:r>
      <w:r w:rsidR="00302AF8" w:rsidRPr="0053555E">
        <w:rPr>
          <w:rFonts w:asciiTheme="majorHAnsi" w:hAnsiTheme="majorHAnsi" w:cstheme="majorHAnsi"/>
        </w:rPr>
        <w:t>,</w:t>
      </w:r>
      <w:r w:rsidR="002071AC" w:rsidRPr="0053555E">
        <w:rPr>
          <w:rFonts w:asciiTheme="majorHAnsi" w:hAnsiTheme="majorHAnsi" w:cstheme="majorHAnsi"/>
        </w:rPr>
        <w:t xml:space="preserve"> </w:t>
      </w:r>
      <w:r>
        <w:rPr>
          <w:rFonts w:asciiTheme="majorHAnsi" w:hAnsiTheme="majorHAnsi" w:cstheme="majorHAnsi"/>
        </w:rPr>
        <w:t>zložená</w:t>
      </w:r>
      <w:r w:rsidR="00302AF8" w:rsidRPr="0053555E">
        <w:rPr>
          <w:rFonts w:asciiTheme="majorHAnsi" w:hAnsiTheme="majorHAnsi" w:cstheme="majorHAnsi"/>
        </w:rPr>
        <w:t xml:space="preserve"> </w:t>
      </w:r>
      <w:r w:rsidR="005C5476" w:rsidRPr="0053555E">
        <w:rPr>
          <w:rFonts w:asciiTheme="majorHAnsi" w:hAnsiTheme="majorHAnsi" w:cstheme="majorHAnsi"/>
        </w:rPr>
        <w:t xml:space="preserve">z </w:t>
      </w:r>
      <w:r w:rsidR="00302AF8" w:rsidRPr="0053555E">
        <w:rPr>
          <w:rFonts w:asciiTheme="majorHAnsi" w:hAnsiTheme="majorHAnsi" w:cstheme="majorHAnsi"/>
        </w:rPr>
        <w:t xml:space="preserve">odborníkov z STU aj z odborníkov z praxe, </w:t>
      </w:r>
      <w:r w:rsidR="002071AC" w:rsidRPr="0053555E">
        <w:rPr>
          <w:rFonts w:asciiTheme="majorHAnsi" w:hAnsiTheme="majorHAnsi" w:cstheme="majorHAnsi"/>
        </w:rPr>
        <w:t>vyhodnoc</w:t>
      </w:r>
      <w:r>
        <w:rPr>
          <w:rFonts w:asciiTheme="majorHAnsi" w:hAnsiTheme="majorHAnsi" w:cstheme="majorHAnsi"/>
        </w:rPr>
        <w:t>uje</w:t>
      </w:r>
      <w:r w:rsidR="005F74C4" w:rsidRPr="0053555E">
        <w:rPr>
          <w:rFonts w:asciiTheme="majorHAnsi" w:hAnsiTheme="majorHAnsi" w:cstheme="majorHAnsi"/>
        </w:rPr>
        <w:t xml:space="preserve"> najlepšie práce, ktoré sú </w:t>
      </w:r>
      <w:r w:rsidR="002071AC" w:rsidRPr="0053555E">
        <w:rPr>
          <w:rFonts w:asciiTheme="majorHAnsi" w:hAnsiTheme="majorHAnsi" w:cstheme="majorHAnsi"/>
        </w:rPr>
        <w:t xml:space="preserve">slávnostne vyhlásené na záver ŠVK. Študenti víťazných prác sú okrem diplomov </w:t>
      </w:r>
      <w:r w:rsidR="006142BF">
        <w:rPr>
          <w:rFonts w:asciiTheme="majorHAnsi" w:hAnsiTheme="majorHAnsi" w:cstheme="majorHAnsi"/>
        </w:rPr>
        <w:t xml:space="preserve">spravidla </w:t>
      </w:r>
      <w:r w:rsidR="002071AC" w:rsidRPr="0053555E">
        <w:rPr>
          <w:rFonts w:asciiTheme="majorHAnsi" w:hAnsiTheme="majorHAnsi" w:cstheme="majorHAnsi"/>
        </w:rPr>
        <w:t xml:space="preserve">ocenení </w:t>
      </w:r>
      <w:r w:rsidR="005F74C4" w:rsidRPr="0053555E">
        <w:rPr>
          <w:rFonts w:asciiTheme="majorHAnsi" w:hAnsiTheme="majorHAnsi" w:cstheme="majorHAnsi"/>
        </w:rPr>
        <w:t>aj </w:t>
      </w:r>
      <w:r w:rsidR="003C37FF" w:rsidRPr="0053555E">
        <w:rPr>
          <w:rFonts w:asciiTheme="majorHAnsi" w:hAnsiTheme="majorHAnsi" w:cstheme="majorHAnsi"/>
        </w:rPr>
        <w:t>motivačným</w:t>
      </w:r>
      <w:r w:rsidR="002071AC" w:rsidRPr="0053555E">
        <w:rPr>
          <w:rFonts w:asciiTheme="majorHAnsi" w:hAnsiTheme="majorHAnsi" w:cstheme="majorHAnsi"/>
        </w:rPr>
        <w:t xml:space="preserve"> štipendiom</w:t>
      </w:r>
      <w:r w:rsidR="00676593" w:rsidRPr="0053555E">
        <w:rPr>
          <w:rFonts w:asciiTheme="majorHAnsi" w:hAnsiTheme="majorHAnsi" w:cstheme="majorHAnsi"/>
        </w:rPr>
        <w:t xml:space="preserve"> alebo mimoriadnym štipendiom z vlastných zdrojov STU</w:t>
      </w:r>
      <w:r w:rsidR="002071AC" w:rsidRPr="0053555E">
        <w:rPr>
          <w:rFonts w:asciiTheme="majorHAnsi" w:hAnsiTheme="majorHAnsi" w:cstheme="majorHAnsi"/>
        </w:rPr>
        <w:t xml:space="preserve">. Niektoré </w:t>
      </w:r>
      <w:r w:rsidR="00811C33" w:rsidRPr="0053555E">
        <w:rPr>
          <w:rFonts w:asciiTheme="majorHAnsi" w:hAnsiTheme="majorHAnsi" w:cstheme="majorHAnsi"/>
        </w:rPr>
        <w:t>fa</w:t>
      </w:r>
      <w:r w:rsidR="002071AC" w:rsidRPr="0053555E">
        <w:rPr>
          <w:rFonts w:asciiTheme="majorHAnsi" w:hAnsiTheme="majorHAnsi" w:cstheme="majorHAnsi"/>
        </w:rPr>
        <w:t>kulty využívajú pri organizovaní ŠVK a oceňovaní najlepších prác podporu sponzorov – vo väčšine prípadov významných firiem z danej odbornej oblasti (</w:t>
      </w:r>
      <w:r w:rsidR="003E10BD" w:rsidRPr="0053555E">
        <w:rPr>
          <w:rFonts w:asciiTheme="majorHAnsi" w:hAnsiTheme="majorHAnsi" w:cstheme="majorHAnsi"/>
        </w:rPr>
        <w:t xml:space="preserve">napr. </w:t>
      </w:r>
      <w:r w:rsidR="002071AC" w:rsidRPr="0053555E">
        <w:rPr>
          <w:rFonts w:asciiTheme="majorHAnsi" w:hAnsiTheme="majorHAnsi" w:cstheme="majorHAnsi"/>
        </w:rPr>
        <w:t>Slovens</w:t>
      </w:r>
      <w:r w:rsidR="00C1206F" w:rsidRPr="0053555E">
        <w:rPr>
          <w:rFonts w:asciiTheme="majorHAnsi" w:hAnsiTheme="majorHAnsi" w:cstheme="majorHAnsi"/>
        </w:rPr>
        <w:t>ká spoločnosť pre kybernetiku a </w:t>
      </w:r>
      <w:r w:rsidR="002071AC" w:rsidRPr="0053555E">
        <w:rPr>
          <w:rFonts w:asciiTheme="majorHAnsi" w:hAnsiTheme="majorHAnsi" w:cstheme="majorHAnsi"/>
        </w:rPr>
        <w:t>informatiku, Oracle, Slovenská elektrizačná prenosová</w:t>
      </w:r>
      <w:r w:rsidR="00C1206F" w:rsidRPr="0053555E">
        <w:rPr>
          <w:rFonts w:asciiTheme="majorHAnsi" w:hAnsiTheme="majorHAnsi" w:cstheme="majorHAnsi"/>
        </w:rPr>
        <w:t xml:space="preserve"> sústava, </w:t>
      </w:r>
      <w:r w:rsidR="002071AC" w:rsidRPr="0053555E">
        <w:rPr>
          <w:rFonts w:asciiTheme="majorHAnsi" w:hAnsiTheme="majorHAnsi" w:cstheme="majorHAnsi"/>
        </w:rPr>
        <w:t>Slovnaft, Slovenský plynárenský priemysel</w:t>
      </w:r>
      <w:r w:rsidR="00587172" w:rsidRPr="0053555E">
        <w:rPr>
          <w:rFonts w:asciiTheme="majorHAnsi" w:hAnsiTheme="majorHAnsi" w:cstheme="majorHAnsi"/>
        </w:rPr>
        <w:t xml:space="preserve">, </w:t>
      </w:r>
      <w:r w:rsidR="00676593" w:rsidRPr="0053555E">
        <w:rPr>
          <w:rFonts w:asciiTheme="majorHAnsi" w:hAnsiTheme="majorHAnsi" w:cstheme="majorHAnsi"/>
        </w:rPr>
        <w:t xml:space="preserve">Slovenská zváračská spoločnosť, </w:t>
      </w:r>
      <w:r w:rsidR="00587172" w:rsidRPr="0053555E">
        <w:rPr>
          <w:rFonts w:asciiTheme="majorHAnsi" w:hAnsiTheme="majorHAnsi" w:cstheme="majorHAnsi"/>
        </w:rPr>
        <w:t>STRABAG</w:t>
      </w:r>
      <w:r w:rsidR="00676593" w:rsidRPr="0053555E">
        <w:rPr>
          <w:rFonts w:asciiTheme="majorHAnsi" w:hAnsiTheme="majorHAnsi" w:cstheme="majorHAnsi"/>
        </w:rPr>
        <w:t>,</w:t>
      </w:r>
      <w:r w:rsidR="002071AC" w:rsidRPr="0053555E">
        <w:rPr>
          <w:rFonts w:asciiTheme="majorHAnsi" w:hAnsiTheme="majorHAnsi" w:cstheme="majorHAnsi"/>
        </w:rPr>
        <w:t xml:space="preserve"> </w:t>
      </w:r>
      <w:r w:rsidR="00676593" w:rsidRPr="0053555E">
        <w:rPr>
          <w:rFonts w:asciiTheme="majorHAnsi" w:hAnsiTheme="majorHAnsi" w:cstheme="majorHAnsi"/>
        </w:rPr>
        <w:t xml:space="preserve">Zväz slovenských </w:t>
      </w:r>
      <w:r w:rsidR="00843CD3" w:rsidRPr="0053555E">
        <w:rPr>
          <w:rFonts w:asciiTheme="majorHAnsi" w:hAnsiTheme="majorHAnsi" w:cstheme="majorHAnsi"/>
        </w:rPr>
        <w:t>vedecko technických</w:t>
      </w:r>
      <w:r w:rsidR="00676593" w:rsidRPr="0053555E">
        <w:rPr>
          <w:rFonts w:asciiTheme="majorHAnsi" w:hAnsiTheme="majorHAnsi" w:cstheme="majorHAnsi"/>
        </w:rPr>
        <w:t xml:space="preserve"> spoločností </w:t>
      </w:r>
      <w:r w:rsidR="002071AC" w:rsidRPr="0053555E">
        <w:rPr>
          <w:rFonts w:asciiTheme="majorHAnsi" w:hAnsiTheme="majorHAnsi" w:cstheme="majorHAnsi"/>
        </w:rPr>
        <w:t>a ďalšie).</w:t>
      </w:r>
      <w:r w:rsidR="00C46730" w:rsidRPr="0053555E">
        <w:rPr>
          <w:rFonts w:asciiTheme="majorHAnsi" w:hAnsiTheme="majorHAnsi" w:cstheme="majorHAnsi"/>
        </w:rPr>
        <w:t xml:space="preserve"> </w:t>
      </w:r>
    </w:p>
    <w:p w14:paraId="5458DCE6" w14:textId="7311B5EF" w:rsidR="007069A6" w:rsidRPr="0053555E" w:rsidRDefault="00BE52CA" w:rsidP="00324438">
      <w:pPr>
        <w:tabs>
          <w:tab w:val="left" w:pos="9356"/>
        </w:tabs>
        <w:autoSpaceDE w:val="0"/>
        <w:autoSpaceDN w:val="0"/>
        <w:adjustRightInd w:val="0"/>
        <w:spacing w:after="120"/>
        <w:jc w:val="both"/>
        <w:rPr>
          <w:rFonts w:asciiTheme="majorHAnsi" w:hAnsiTheme="majorHAnsi" w:cstheme="majorHAnsi"/>
        </w:rPr>
      </w:pPr>
      <w:r>
        <w:rPr>
          <w:rFonts w:asciiTheme="majorHAnsi" w:hAnsiTheme="majorHAnsi" w:cstheme="majorHAnsi"/>
        </w:rPr>
        <w:t xml:space="preserve">Z dôvodu </w:t>
      </w:r>
      <w:r w:rsidR="00B5504A" w:rsidRPr="0053555E">
        <w:rPr>
          <w:rFonts w:asciiTheme="majorHAnsi" w:hAnsiTheme="majorHAnsi" w:cstheme="majorHAnsi"/>
        </w:rPr>
        <w:t xml:space="preserve">pretrvávajúcej </w:t>
      </w:r>
      <w:r w:rsidR="000C2869" w:rsidRPr="0053555E">
        <w:rPr>
          <w:rFonts w:asciiTheme="majorHAnsi" w:hAnsiTheme="majorHAnsi" w:cstheme="majorHAnsi"/>
        </w:rPr>
        <w:t>pandémi</w:t>
      </w:r>
      <w:r w:rsidR="005C5476" w:rsidRPr="0053555E">
        <w:rPr>
          <w:rFonts w:asciiTheme="majorHAnsi" w:hAnsiTheme="majorHAnsi" w:cstheme="majorHAnsi"/>
        </w:rPr>
        <w:t>i</w:t>
      </w:r>
      <w:r w:rsidR="000C2869" w:rsidRPr="0053555E">
        <w:rPr>
          <w:rFonts w:asciiTheme="majorHAnsi" w:hAnsiTheme="majorHAnsi" w:cstheme="majorHAnsi"/>
        </w:rPr>
        <w:t xml:space="preserve"> COVID-19 </w:t>
      </w:r>
      <w:r w:rsidR="00DF4AB8">
        <w:rPr>
          <w:rFonts w:asciiTheme="majorHAnsi" w:hAnsiTheme="majorHAnsi" w:cstheme="majorHAnsi"/>
        </w:rPr>
        <w:t xml:space="preserve">najmä v prvom </w:t>
      </w:r>
      <w:r w:rsidR="00C14409">
        <w:rPr>
          <w:rFonts w:asciiTheme="majorHAnsi" w:hAnsiTheme="majorHAnsi" w:cstheme="majorHAnsi"/>
        </w:rPr>
        <w:t>semestri</w:t>
      </w:r>
      <w:r w:rsidR="00DF4AB8">
        <w:rPr>
          <w:rFonts w:asciiTheme="majorHAnsi" w:hAnsiTheme="majorHAnsi" w:cstheme="majorHAnsi"/>
        </w:rPr>
        <w:t xml:space="preserve"> </w:t>
      </w:r>
      <w:r w:rsidR="000C2869" w:rsidRPr="0053555E">
        <w:rPr>
          <w:rFonts w:asciiTheme="majorHAnsi" w:hAnsiTheme="majorHAnsi" w:cstheme="majorHAnsi"/>
        </w:rPr>
        <w:t>akademick</w:t>
      </w:r>
      <w:r w:rsidR="00DF4AB8">
        <w:rPr>
          <w:rFonts w:asciiTheme="majorHAnsi" w:hAnsiTheme="majorHAnsi" w:cstheme="majorHAnsi"/>
        </w:rPr>
        <w:t>ého</w:t>
      </w:r>
      <w:r w:rsidR="000C2869" w:rsidRPr="0053555E">
        <w:rPr>
          <w:rFonts w:asciiTheme="majorHAnsi" w:hAnsiTheme="majorHAnsi" w:cstheme="majorHAnsi"/>
        </w:rPr>
        <w:t xml:space="preserve"> roku </w:t>
      </w:r>
      <w:r w:rsidR="00EA24BA" w:rsidRPr="0053555E">
        <w:rPr>
          <w:rFonts w:asciiTheme="majorHAnsi" w:hAnsiTheme="majorHAnsi" w:cstheme="majorHAnsi"/>
        </w:rPr>
        <w:t>2021/2022</w:t>
      </w:r>
      <w:r w:rsidR="00B5504A" w:rsidRPr="0053555E">
        <w:rPr>
          <w:rFonts w:asciiTheme="majorHAnsi" w:hAnsiTheme="majorHAnsi" w:cstheme="majorHAnsi"/>
        </w:rPr>
        <w:t xml:space="preserve"> </w:t>
      </w:r>
      <w:r w:rsidR="00C14409">
        <w:rPr>
          <w:rFonts w:asciiTheme="majorHAnsi" w:hAnsiTheme="majorHAnsi" w:cstheme="majorHAnsi"/>
        </w:rPr>
        <w:t xml:space="preserve">boli </w:t>
      </w:r>
      <w:r w:rsidR="00DF4AB8">
        <w:rPr>
          <w:rFonts w:asciiTheme="majorHAnsi" w:hAnsiTheme="majorHAnsi" w:cstheme="majorHAnsi"/>
        </w:rPr>
        <w:t xml:space="preserve">niektoré </w:t>
      </w:r>
      <w:r w:rsidR="00C14409" w:rsidRPr="0053555E">
        <w:rPr>
          <w:rFonts w:asciiTheme="majorHAnsi" w:hAnsiTheme="majorHAnsi" w:cstheme="majorHAnsi"/>
        </w:rPr>
        <w:t xml:space="preserve">ŠVK </w:t>
      </w:r>
      <w:r w:rsidR="00B5504A" w:rsidRPr="0053555E">
        <w:rPr>
          <w:rFonts w:asciiTheme="majorHAnsi" w:hAnsiTheme="majorHAnsi" w:cstheme="majorHAnsi"/>
        </w:rPr>
        <w:t>organizova</w:t>
      </w:r>
      <w:r w:rsidR="00C14409">
        <w:rPr>
          <w:rFonts w:asciiTheme="majorHAnsi" w:hAnsiTheme="majorHAnsi" w:cstheme="majorHAnsi"/>
        </w:rPr>
        <w:t>né online</w:t>
      </w:r>
      <w:r w:rsidR="00334D89" w:rsidRPr="0053555E">
        <w:rPr>
          <w:rFonts w:asciiTheme="majorHAnsi" w:hAnsiTheme="majorHAnsi" w:cstheme="majorHAnsi"/>
        </w:rPr>
        <w:t>.</w:t>
      </w:r>
      <w:r w:rsidR="00757AE6" w:rsidRPr="0053555E">
        <w:rPr>
          <w:rFonts w:asciiTheme="majorHAnsi" w:hAnsiTheme="majorHAnsi" w:cstheme="majorHAnsi"/>
        </w:rPr>
        <w:t xml:space="preserve"> </w:t>
      </w:r>
    </w:p>
    <w:p w14:paraId="701F555E" w14:textId="51DE9D3A" w:rsidR="00F705AE" w:rsidRPr="0053555E" w:rsidRDefault="00F705AE" w:rsidP="00324438">
      <w:pPr>
        <w:tabs>
          <w:tab w:val="left" w:pos="9356"/>
        </w:tabs>
        <w:autoSpaceDE w:val="0"/>
        <w:autoSpaceDN w:val="0"/>
        <w:adjustRightInd w:val="0"/>
        <w:spacing w:after="120"/>
        <w:jc w:val="both"/>
        <w:rPr>
          <w:rFonts w:asciiTheme="majorHAnsi" w:hAnsiTheme="majorHAnsi" w:cstheme="majorHAnsi"/>
        </w:rPr>
      </w:pPr>
      <w:r w:rsidRPr="0053555E">
        <w:rPr>
          <w:rFonts w:asciiTheme="majorHAnsi" w:hAnsiTheme="majorHAnsi" w:cstheme="majorHAnsi"/>
        </w:rPr>
        <w:t xml:space="preserve">Niektoré </w:t>
      </w:r>
      <w:r w:rsidR="0030647D" w:rsidRPr="0053555E">
        <w:rPr>
          <w:rFonts w:asciiTheme="majorHAnsi" w:hAnsiTheme="majorHAnsi" w:cstheme="majorHAnsi"/>
        </w:rPr>
        <w:t>fakulty</w:t>
      </w:r>
      <w:r w:rsidRPr="0053555E">
        <w:rPr>
          <w:rFonts w:asciiTheme="majorHAnsi" w:hAnsiTheme="majorHAnsi" w:cstheme="majorHAnsi"/>
        </w:rPr>
        <w:t xml:space="preserve"> organizujú okrem ŠVK ako podporu vedeckej práce študentov tretieho stupňa štúdia aj </w:t>
      </w:r>
      <w:r w:rsidRPr="0053555E">
        <w:rPr>
          <w:rFonts w:asciiTheme="majorHAnsi" w:hAnsiTheme="majorHAnsi" w:cstheme="majorHAnsi"/>
          <w:b/>
        </w:rPr>
        <w:t>medzinárodné doktorandské semináre</w:t>
      </w:r>
      <w:r w:rsidR="00D630FF" w:rsidRPr="0053555E">
        <w:rPr>
          <w:rFonts w:asciiTheme="majorHAnsi" w:hAnsiTheme="majorHAnsi" w:cstheme="majorHAnsi"/>
          <w:b/>
        </w:rPr>
        <w:t xml:space="preserve"> a </w:t>
      </w:r>
      <w:r w:rsidR="00B52BBB" w:rsidRPr="0053555E">
        <w:rPr>
          <w:rFonts w:asciiTheme="majorHAnsi" w:hAnsiTheme="majorHAnsi" w:cstheme="majorHAnsi"/>
          <w:b/>
        </w:rPr>
        <w:t>konferencie</w:t>
      </w:r>
      <w:r w:rsidRPr="0053555E">
        <w:rPr>
          <w:rFonts w:asciiTheme="majorHAnsi" w:hAnsiTheme="majorHAnsi" w:cstheme="majorHAnsi"/>
        </w:rPr>
        <w:t xml:space="preserve">. </w:t>
      </w:r>
      <w:r w:rsidR="009C76D0">
        <w:rPr>
          <w:rFonts w:asciiTheme="majorHAnsi" w:hAnsiTheme="majorHAnsi" w:cstheme="majorHAnsi"/>
        </w:rPr>
        <w:t xml:space="preserve">Zároveň sa doktorandi STU </w:t>
      </w:r>
      <w:r w:rsidR="007B66C1">
        <w:rPr>
          <w:rFonts w:asciiTheme="majorHAnsi" w:hAnsiTheme="majorHAnsi" w:cstheme="majorHAnsi"/>
        </w:rPr>
        <w:t xml:space="preserve">pravidelne </w:t>
      </w:r>
      <w:r w:rsidR="009C76D0">
        <w:rPr>
          <w:rFonts w:asciiTheme="majorHAnsi" w:hAnsiTheme="majorHAnsi" w:cstheme="majorHAnsi"/>
        </w:rPr>
        <w:t xml:space="preserve">zúčastňujú medzinárodných doktorandských </w:t>
      </w:r>
      <w:r w:rsidR="007B66C1">
        <w:rPr>
          <w:rFonts w:asciiTheme="majorHAnsi" w:hAnsiTheme="majorHAnsi" w:cstheme="majorHAnsi"/>
        </w:rPr>
        <w:t>seminárov a konferencií organizovaných inými</w:t>
      </w:r>
      <w:r w:rsidR="005817AD">
        <w:rPr>
          <w:rFonts w:asciiTheme="majorHAnsi" w:hAnsiTheme="majorHAnsi" w:cstheme="majorHAnsi"/>
        </w:rPr>
        <w:t xml:space="preserve"> vysokými školami na Slovensku aj v zahraničí</w:t>
      </w:r>
      <w:r w:rsidR="009F6984">
        <w:rPr>
          <w:rFonts w:asciiTheme="majorHAnsi" w:hAnsiTheme="majorHAnsi" w:cstheme="majorHAnsi"/>
        </w:rPr>
        <w:t>, na ktorý získali v </w:t>
      </w:r>
      <w:r w:rsidR="005817AD">
        <w:rPr>
          <w:rFonts w:asciiTheme="majorHAnsi" w:hAnsiTheme="majorHAnsi" w:cstheme="majorHAnsi"/>
        </w:rPr>
        <w:t>posudzovanom</w:t>
      </w:r>
      <w:r w:rsidR="009F6984">
        <w:rPr>
          <w:rFonts w:asciiTheme="majorHAnsi" w:hAnsiTheme="majorHAnsi" w:cstheme="majorHAnsi"/>
        </w:rPr>
        <w:t xml:space="preserve"> období aj ocenenia za svoje príspevky</w:t>
      </w:r>
      <w:r w:rsidR="005817AD">
        <w:rPr>
          <w:rFonts w:asciiTheme="majorHAnsi" w:hAnsiTheme="majorHAnsi" w:cstheme="majorHAnsi"/>
        </w:rPr>
        <w:t xml:space="preserve"> (</w:t>
      </w:r>
      <w:r w:rsidR="00600943" w:rsidRPr="008D03BB">
        <w:rPr>
          <w:rFonts w:asciiTheme="majorHAnsi" w:hAnsiTheme="majorHAnsi" w:cstheme="majorHAnsi"/>
        </w:rPr>
        <w:fldChar w:fldCharType="begin"/>
      </w:r>
      <w:r w:rsidR="00600943" w:rsidRPr="008D03BB">
        <w:rPr>
          <w:rFonts w:asciiTheme="majorHAnsi" w:hAnsiTheme="majorHAnsi" w:cstheme="majorHAnsi"/>
        </w:rPr>
        <w:instrText xml:space="preserve"> REF _Ref31718523 \h  \* MERGEFORMAT </w:instrText>
      </w:r>
      <w:r w:rsidR="00600943" w:rsidRPr="008D03BB">
        <w:rPr>
          <w:rFonts w:asciiTheme="majorHAnsi" w:hAnsiTheme="majorHAnsi" w:cstheme="majorHAnsi"/>
        </w:rPr>
      </w:r>
      <w:r w:rsidR="00600943" w:rsidRPr="008D03BB">
        <w:rPr>
          <w:rFonts w:asciiTheme="majorHAnsi" w:hAnsiTheme="majorHAnsi" w:cstheme="majorHAnsi"/>
        </w:rPr>
        <w:fldChar w:fldCharType="separate"/>
      </w:r>
      <w:r w:rsidR="00EE1B59" w:rsidRPr="008D03BB">
        <w:t xml:space="preserve">Tab. č. </w:t>
      </w:r>
      <w:r w:rsidR="00EE1B59" w:rsidRPr="008D03BB">
        <w:rPr>
          <w:noProof/>
        </w:rPr>
        <w:t>34</w:t>
      </w:r>
      <w:r w:rsidR="00600943" w:rsidRPr="008D03BB">
        <w:rPr>
          <w:rFonts w:asciiTheme="majorHAnsi" w:hAnsiTheme="majorHAnsi" w:cstheme="majorHAnsi"/>
        </w:rPr>
        <w:fldChar w:fldCharType="end"/>
      </w:r>
      <w:r w:rsidR="00600943">
        <w:rPr>
          <w:rFonts w:asciiTheme="majorHAnsi" w:hAnsiTheme="majorHAnsi" w:cstheme="majorHAnsi"/>
        </w:rPr>
        <w:t>).</w:t>
      </w:r>
      <w:r w:rsidR="009F6984">
        <w:rPr>
          <w:rFonts w:asciiTheme="majorHAnsi" w:hAnsiTheme="majorHAnsi" w:cstheme="majorHAnsi"/>
        </w:rPr>
        <w:t xml:space="preserve"> </w:t>
      </w:r>
    </w:p>
    <w:p w14:paraId="7D1AF3FA" w14:textId="27D40C41" w:rsidR="002071AC" w:rsidRPr="0053555E" w:rsidRDefault="002071AC" w:rsidP="00324438">
      <w:pPr>
        <w:tabs>
          <w:tab w:val="left" w:pos="9356"/>
        </w:tabs>
        <w:jc w:val="both"/>
        <w:rPr>
          <w:rFonts w:asciiTheme="majorHAnsi" w:hAnsiTheme="majorHAnsi" w:cstheme="majorHAnsi"/>
        </w:rPr>
      </w:pPr>
      <w:r w:rsidRPr="0053555E">
        <w:rPr>
          <w:rFonts w:asciiTheme="majorHAnsi" w:hAnsiTheme="majorHAnsi" w:cstheme="majorHAnsi"/>
        </w:rPr>
        <w:t>Kvantitatívny prehľad ŠV</w:t>
      </w:r>
      <w:r w:rsidR="00524CE0" w:rsidRPr="0053555E">
        <w:rPr>
          <w:rFonts w:asciiTheme="majorHAnsi" w:hAnsiTheme="majorHAnsi" w:cstheme="majorHAnsi"/>
        </w:rPr>
        <w:t>K</w:t>
      </w:r>
      <w:r w:rsidRPr="0053555E">
        <w:rPr>
          <w:rFonts w:asciiTheme="majorHAnsi" w:hAnsiTheme="majorHAnsi" w:cstheme="majorHAnsi"/>
        </w:rPr>
        <w:t xml:space="preserve"> </w:t>
      </w:r>
      <w:r w:rsidR="004370BF" w:rsidRPr="0053555E">
        <w:rPr>
          <w:rFonts w:asciiTheme="majorHAnsi" w:hAnsiTheme="majorHAnsi" w:cstheme="majorHAnsi"/>
        </w:rPr>
        <w:t xml:space="preserve">v akademickom roku </w:t>
      </w:r>
      <w:r w:rsidR="00EA24BA" w:rsidRPr="0053555E">
        <w:rPr>
          <w:rFonts w:asciiTheme="majorHAnsi" w:hAnsiTheme="majorHAnsi" w:cstheme="majorHAnsi"/>
        </w:rPr>
        <w:t>2021/2022</w:t>
      </w:r>
      <w:r w:rsidR="004370BF" w:rsidRPr="0053555E">
        <w:rPr>
          <w:rFonts w:asciiTheme="majorHAnsi" w:hAnsiTheme="majorHAnsi" w:cstheme="majorHAnsi"/>
        </w:rPr>
        <w:t xml:space="preserve"> </w:t>
      </w:r>
      <w:r w:rsidR="008873E9" w:rsidRPr="0053555E">
        <w:rPr>
          <w:rFonts w:asciiTheme="majorHAnsi" w:hAnsiTheme="majorHAnsi" w:cstheme="majorHAnsi"/>
        </w:rPr>
        <w:t xml:space="preserve">v porovnaní s predchádzajúcimi akademickými rokmi </w:t>
      </w:r>
      <w:r w:rsidR="00633006" w:rsidRPr="0053555E">
        <w:rPr>
          <w:rFonts w:asciiTheme="majorHAnsi" w:hAnsiTheme="majorHAnsi" w:cstheme="majorHAnsi"/>
        </w:rPr>
        <w:t>uvádza</w:t>
      </w:r>
      <w:r w:rsidRPr="0053555E">
        <w:rPr>
          <w:rFonts w:asciiTheme="majorHAnsi" w:hAnsiTheme="majorHAnsi" w:cstheme="majorHAnsi"/>
        </w:rPr>
        <w:t> </w:t>
      </w:r>
      <w:r w:rsidR="001B62D3" w:rsidRPr="008D03BB">
        <w:rPr>
          <w:rFonts w:asciiTheme="majorHAnsi" w:hAnsiTheme="majorHAnsi" w:cstheme="majorHAnsi"/>
        </w:rPr>
        <w:fldChar w:fldCharType="begin"/>
      </w:r>
      <w:r w:rsidR="001B62D3" w:rsidRPr="008D03BB">
        <w:rPr>
          <w:rFonts w:asciiTheme="majorHAnsi" w:hAnsiTheme="majorHAnsi" w:cstheme="majorHAnsi"/>
        </w:rPr>
        <w:instrText xml:space="preserve"> REF _Ref31718731 \h </w:instrText>
      </w:r>
      <w:r w:rsidR="00643268" w:rsidRPr="008D03BB">
        <w:rPr>
          <w:rFonts w:asciiTheme="majorHAnsi" w:hAnsiTheme="majorHAnsi" w:cstheme="majorHAnsi"/>
        </w:rPr>
        <w:instrText xml:space="preserve"> \* MERGEFORMAT </w:instrText>
      </w:r>
      <w:r w:rsidR="001B62D3" w:rsidRPr="008D03BB">
        <w:rPr>
          <w:rFonts w:asciiTheme="majorHAnsi" w:hAnsiTheme="majorHAnsi" w:cstheme="majorHAnsi"/>
        </w:rPr>
      </w:r>
      <w:r w:rsidR="001B62D3" w:rsidRPr="008D03BB">
        <w:rPr>
          <w:rFonts w:asciiTheme="majorHAnsi" w:hAnsiTheme="majorHAnsi" w:cstheme="majorHAnsi"/>
        </w:rPr>
        <w:fldChar w:fldCharType="separate"/>
      </w:r>
      <w:r w:rsidR="00EE1B59" w:rsidRPr="008D03BB">
        <w:rPr>
          <w:rFonts w:asciiTheme="majorHAnsi" w:hAnsiTheme="majorHAnsi" w:cstheme="majorHAnsi"/>
        </w:rPr>
        <w:t>Tab. č. 38</w:t>
      </w:r>
      <w:r w:rsidR="001B62D3" w:rsidRPr="008D03BB">
        <w:rPr>
          <w:rFonts w:asciiTheme="majorHAnsi" w:hAnsiTheme="majorHAnsi" w:cstheme="majorHAnsi"/>
        </w:rPr>
        <w:fldChar w:fldCharType="end"/>
      </w:r>
      <w:r w:rsidR="00D72256" w:rsidRPr="008D03BB">
        <w:rPr>
          <w:rFonts w:asciiTheme="majorHAnsi" w:hAnsiTheme="majorHAnsi" w:cstheme="majorHAnsi"/>
        </w:rPr>
        <w:t xml:space="preserve"> </w:t>
      </w:r>
      <w:r w:rsidR="00235DAA" w:rsidRPr="008D03BB">
        <w:rPr>
          <w:rFonts w:asciiTheme="majorHAnsi" w:hAnsiTheme="majorHAnsi" w:cstheme="majorHAnsi"/>
        </w:rPr>
        <w:t>a</w:t>
      </w:r>
      <w:r w:rsidRPr="008D03BB">
        <w:rPr>
          <w:rFonts w:asciiTheme="majorHAnsi" w:hAnsiTheme="majorHAnsi" w:cstheme="majorHAnsi"/>
        </w:rPr>
        <w:t xml:space="preserve"> </w:t>
      </w:r>
      <w:r w:rsidR="00785765" w:rsidRPr="008D03BB">
        <w:rPr>
          <w:rFonts w:asciiTheme="majorHAnsi" w:hAnsiTheme="majorHAnsi" w:cstheme="majorHAnsi"/>
        </w:rPr>
        <w:fldChar w:fldCharType="begin"/>
      </w:r>
      <w:r w:rsidR="00785765" w:rsidRPr="008D03BB">
        <w:rPr>
          <w:rFonts w:asciiTheme="majorHAnsi" w:hAnsiTheme="majorHAnsi" w:cstheme="majorHAnsi"/>
        </w:rPr>
        <w:instrText xml:space="preserve"> REF _Ref31892599 \h </w:instrText>
      </w:r>
      <w:r w:rsidR="00324438" w:rsidRPr="008D03BB">
        <w:rPr>
          <w:rFonts w:asciiTheme="majorHAnsi" w:hAnsiTheme="majorHAnsi" w:cstheme="majorHAnsi"/>
        </w:rPr>
        <w:instrText xml:space="preserve"> \* MERGEFORMAT </w:instrText>
      </w:r>
      <w:r w:rsidR="00785765" w:rsidRPr="008D03BB">
        <w:rPr>
          <w:rFonts w:asciiTheme="majorHAnsi" w:hAnsiTheme="majorHAnsi" w:cstheme="majorHAnsi"/>
        </w:rPr>
      </w:r>
      <w:r w:rsidR="00785765" w:rsidRPr="008D03BB">
        <w:rPr>
          <w:rFonts w:asciiTheme="majorHAnsi" w:hAnsiTheme="majorHAnsi" w:cstheme="majorHAnsi"/>
        </w:rPr>
        <w:fldChar w:fldCharType="separate"/>
      </w:r>
      <w:r w:rsidR="00EE1B59" w:rsidRPr="008D03BB">
        <w:rPr>
          <w:rFonts w:asciiTheme="majorHAnsi" w:hAnsiTheme="majorHAnsi" w:cstheme="majorHAnsi"/>
        </w:rPr>
        <w:t>Graf č. 19</w:t>
      </w:r>
      <w:r w:rsidR="00785765" w:rsidRPr="008D03BB">
        <w:rPr>
          <w:rFonts w:asciiTheme="majorHAnsi" w:hAnsiTheme="majorHAnsi" w:cstheme="majorHAnsi"/>
        </w:rPr>
        <w:fldChar w:fldCharType="end"/>
      </w:r>
      <w:r w:rsidRPr="0053555E">
        <w:rPr>
          <w:rFonts w:asciiTheme="majorHAnsi" w:hAnsiTheme="majorHAnsi" w:cstheme="majorHAnsi"/>
        </w:rPr>
        <w:t>.</w:t>
      </w:r>
    </w:p>
    <w:p w14:paraId="0E0EAF57" w14:textId="77777777" w:rsidR="002071AC" w:rsidRPr="0053555E" w:rsidRDefault="002071AC" w:rsidP="00324438">
      <w:pPr>
        <w:tabs>
          <w:tab w:val="left" w:pos="9356"/>
        </w:tabs>
        <w:jc w:val="both"/>
        <w:rPr>
          <w:rFonts w:asciiTheme="majorHAnsi" w:hAnsiTheme="majorHAnsi" w:cstheme="majorHAnsi"/>
          <w:sz w:val="20"/>
          <w:szCs w:val="20"/>
        </w:rPr>
      </w:pPr>
    </w:p>
    <w:p w14:paraId="64695746" w14:textId="129EECFB" w:rsidR="002071AC" w:rsidRPr="0053555E" w:rsidRDefault="001B62D3" w:rsidP="000E3322">
      <w:pPr>
        <w:pStyle w:val="Popis"/>
      </w:pPr>
      <w:bookmarkStart w:id="174" w:name="_Ref31718731"/>
      <w:bookmarkStart w:id="175" w:name="_Toc127593301"/>
      <w:r w:rsidRPr="0053555E">
        <w:t xml:space="preserve">Tab. č. </w:t>
      </w:r>
      <w:r w:rsidR="007B5953">
        <w:fldChar w:fldCharType="begin"/>
      </w:r>
      <w:r w:rsidR="007B5953">
        <w:instrText xml:space="preserve"> SEQ Tab._č. \* ARABIC </w:instrText>
      </w:r>
      <w:r w:rsidR="007B5953">
        <w:fldChar w:fldCharType="separate"/>
      </w:r>
      <w:r w:rsidR="00EE1B59">
        <w:rPr>
          <w:noProof/>
        </w:rPr>
        <w:t>38</w:t>
      </w:r>
      <w:r w:rsidR="007B5953">
        <w:rPr>
          <w:noProof/>
        </w:rPr>
        <w:fldChar w:fldCharType="end"/>
      </w:r>
      <w:bookmarkEnd w:id="174"/>
      <w:r w:rsidRPr="0053555E">
        <w:t>:</w:t>
      </w:r>
      <w:r w:rsidR="002071AC" w:rsidRPr="0053555E">
        <w:t xml:space="preserve"> Kvantitatívny p</w:t>
      </w:r>
      <w:r w:rsidR="007F5401" w:rsidRPr="0053555E">
        <w:t>rehľad ŠV</w:t>
      </w:r>
      <w:r w:rsidR="00524CE0" w:rsidRPr="0053555E">
        <w:t>K</w:t>
      </w:r>
      <w:r w:rsidR="007F5401" w:rsidRPr="0053555E">
        <w:t xml:space="preserve"> na STU </w:t>
      </w:r>
      <w:r w:rsidR="00ED38E7" w:rsidRPr="0053555E">
        <w:t>za ostatné tri akademické roky</w:t>
      </w:r>
      <w:bookmarkEnd w:id="175"/>
    </w:p>
    <w:tbl>
      <w:tblPr>
        <w:tblW w:w="9012" w:type="dxa"/>
        <w:tblInd w:w="55" w:type="dxa"/>
        <w:tblLayout w:type="fixed"/>
        <w:tblCellMar>
          <w:left w:w="70" w:type="dxa"/>
          <w:right w:w="70" w:type="dxa"/>
        </w:tblCellMar>
        <w:tblLook w:val="04A0" w:firstRow="1" w:lastRow="0" w:firstColumn="1" w:lastColumn="0" w:noHBand="0" w:noVBand="1"/>
      </w:tblPr>
      <w:tblGrid>
        <w:gridCol w:w="866"/>
        <w:gridCol w:w="905"/>
        <w:gridCol w:w="905"/>
        <w:gridCol w:w="905"/>
        <w:gridCol w:w="905"/>
        <w:gridCol w:w="905"/>
        <w:gridCol w:w="905"/>
        <w:gridCol w:w="905"/>
        <w:gridCol w:w="905"/>
        <w:gridCol w:w="906"/>
      </w:tblGrid>
      <w:tr w:rsidR="00725FE9" w:rsidRPr="0053555E" w14:paraId="13499B78" w14:textId="77777777" w:rsidTr="00FB4951">
        <w:trPr>
          <w:trHeight w:val="20"/>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5FAE3" w14:textId="3919DFF2" w:rsidR="00725FE9" w:rsidRPr="0053555E" w:rsidRDefault="00725FE9" w:rsidP="00725FE9">
            <w:pPr>
              <w:tabs>
                <w:tab w:val="left" w:pos="9356"/>
              </w:tabs>
              <w:jc w:val="both"/>
              <w:rPr>
                <w:rFonts w:asciiTheme="majorHAnsi" w:eastAsia="Times New Roman" w:hAnsiTheme="majorHAnsi" w:cstheme="majorHAnsi"/>
                <w:sz w:val="22"/>
                <w:szCs w:val="22"/>
                <w:lang w:eastAsia="sk-SK"/>
              </w:rPr>
            </w:pPr>
          </w:p>
        </w:tc>
        <w:tc>
          <w:tcPr>
            <w:tcW w:w="27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FB6A3DD" w14:textId="1287B593" w:rsidR="00725FE9" w:rsidRPr="0053555E" w:rsidRDefault="00725FE9" w:rsidP="00725FE9">
            <w:pPr>
              <w:jc w:val="center"/>
              <w:rPr>
                <w:rFonts w:asciiTheme="majorHAnsi" w:hAnsiTheme="majorHAnsi" w:cstheme="majorHAnsi"/>
                <w:b/>
                <w:bCs/>
                <w:sz w:val="22"/>
                <w:szCs w:val="20"/>
              </w:rPr>
            </w:pPr>
            <w:r w:rsidRPr="0053555E">
              <w:rPr>
                <w:rFonts w:cs="Calibri"/>
                <w:b/>
                <w:bCs/>
                <w:sz w:val="22"/>
                <w:szCs w:val="20"/>
              </w:rPr>
              <w:t>2019/2020</w:t>
            </w:r>
          </w:p>
        </w:tc>
        <w:tc>
          <w:tcPr>
            <w:tcW w:w="27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CB9477A" w14:textId="695C3877" w:rsidR="00725FE9" w:rsidRPr="0053555E" w:rsidRDefault="00725FE9" w:rsidP="00725FE9">
            <w:pPr>
              <w:jc w:val="center"/>
              <w:rPr>
                <w:rFonts w:asciiTheme="majorHAnsi" w:hAnsiTheme="majorHAnsi" w:cstheme="majorHAnsi"/>
                <w:b/>
                <w:bCs/>
                <w:sz w:val="22"/>
                <w:szCs w:val="20"/>
              </w:rPr>
            </w:pPr>
            <w:r w:rsidRPr="0053555E">
              <w:rPr>
                <w:rFonts w:cs="Calibri"/>
                <w:b/>
                <w:bCs/>
                <w:sz w:val="22"/>
                <w:szCs w:val="20"/>
              </w:rPr>
              <w:t>2020/2021</w:t>
            </w:r>
          </w:p>
        </w:tc>
        <w:tc>
          <w:tcPr>
            <w:tcW w:w="271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AF7E643" w14:textId="1C8FB0F3" w:rsidR="00725FE9" w:rsidRPr="0053555E" w:rsidRDefault="00725FE9" w:rsidP="00725FE9">
            <w:pPr>
              <w:jc w:val="center"/>
              <w:rPr>
                <w:rFonts w:asciiTheme="majorHAnsi" w:hAnsiTheme="majorHAnsi" w:cstheme="majorHAnsi"/>
                <w:b/>
                <w:bCs/>
                <w:sz w:val="22"/>
                <w:szCs w:val="20"/>
              </w:rPr>
            </w:pPr>
            <w:r w:rsidRPr="0053555E">
              <w:rPr>
                <w:rFonts w:cs="Calibri"/>
                <w:b/>
                <w:bCs/>
                <w:sz w:val="22"/>
                <w:szCs w:val="20"/>
              </w:rPr>
              <w:t>2021/2022</w:t>
            </w:r>
          </w:p>
        </w:tc>
      </w:tr>
      <w:tr w:rsidR="00F96E9E" w:rsidRPr="0053555E" w14:paraId="0CB555D4" w14:textId="77777777" w:rsidTr="00FB4951">
        <w:trPr>
          <w:trHeight w:val="20"/>
        </w:trPr>
        <w:tc>
          <w:tcPr>
            <w:tcW w:w="866" w:type="dxa"/>
            <w:vMerge/>
            <w:tcBorders>
              <w:top w:val="single" w:sz="4" w:space="0" w:color="auto"/>
              <w:left w:val="single" w:sz="4" w:space="0" w:color="auto"/>
              <w:bottom w:val="single" w:sz="4" w:space="0" w:color="auto"/>
              <w:right w:val="single" w:sz="4" w:space="0" w:color="auto"/>
            </w:tcBorders>
            <w:vAlign w:val="center"/>
            <w:hideMark/>
          </w:tcPr>
          <w:p w14:paraId="09DDF947" w14:textId="77777777" w:rsidR="00F96E9E" w:rsidRPr="0053555E" w:rsidRDefault="00F96E9E" w:rsidP="00324438">
            <w:pPr>
              <w:tabs>
                <w:tab w:val="left" w:pos="9356"/>
              </w:tabs>
              <w:jc w:val="both"/>
              <w:rPr>
                <w:rFonts w:asciiTheme="majorHAnsi" w:eastAsia="Times New Roman" w:hAnsiTheme="majorHAnsi" w:cstheme="majorHAnsi"/>
                <w:sz w:val="22"/>
                <w:szCs w:val="22"/>
                <w:lang w:eastAsia="sk-SK"/>
              </w:rPr>
            </w:pPr>
          </w:p>
        </w:tc>
        <w:tc>
          <w:tcPr>
            <w:tcW w:w="905" w:type="dxa"/>
            <w:tcBorders>
              <w:top w:val="nil"/>
              <w:left w:val="nil"/>
              <w:bottom w:val="single" w:sz="4" w:space="0" w:color="auto"/>
              <w:right w:val="single" w:sz="4" w:space="0" w:color="auto"/>
            </w:tcBorders>
            <w:shd w:val="clear" w:color="auto" w:fill="auto"/>
            <w:noWrap/>
            <w:vAlign w:val="bottom"/>
            <w:hideMark/>
          </w:tcPr>
          <w:p w14:paraId="23B0D27D" w14:textId="77777777" w:rsidR="00F96E9E" w:rsidRPr="0053555E" w:rsidRDefault="00F96E9E" w:rsidP="00324438">
            <w:pPr>
              <w:tabs>
                <w:tab w:val="left" w:pos="9356"/>
              </w:tabs>
              <w:jc w:val="both"/>
              <w:rPr>
                <w:rFonts w:asciiTheme="majorHAnsi" w:hAnsiTheme="majorHAnsi" w:cstheme="majorHAnsi"/>
                <w:b/>
                <w:bCs/>
                <w:sz w:val="22"/>
                <w:szCs w:val="20"/>
              </w:rPr>
            </w:pPr>
            <w:r w:rsidRPr="0053555E">
              <w:rPr>
                <w:rFonts w:asciiTheme="majorHAnsi" w:hAnsiTheme="majorHAnsi" w:cstheme="majorHAnsi"/>
                <w:b/>
                <w:bCs/>
                <w:sz w:val="22"/>
                <w:szCs w:val="20"/>
              </w:rPr>
              <w:t>sekcie</w:t>
            </w:r>
          </w:p>
        </w:tc>
        <w:tc>
          <w:tcPr>
            <w:tcW w:w="905" w:type="dxa"/>
            <w:tcBorders>
              <w:top w:val="nil"/>
              <w:left w:val="nil"/>
              <w:bottom w:val="single" w:sz="4" w:space="0" w:color="auto"/>
              <w:right w:val="single" w:sz="4" w:space="0" w:color="auto"/>
            </w:tcBorders>
            <w:shd w:val="clear" w:color="auto" w:fill="auto"/>
            <w:noWrap/>
            <w:vAlign w:val="bottom"/>
            <w:hideMark/>
          </w:tcPr>
          <w:p w14:paraId="5187DA01" w14:textId="77777777" w:rsidR="00F96E9E" w:rsidRPr="0053555E" w:rsidRDefault="00F96E9E" w:rsidP="00324438">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práce</w:t>
            </w:r>
          </w:p>
        </w:tc>
        <w:tc>
          <w:tcPr>
            <w:tcW w:w="905" w:type="dxa"/>
            <w:tcBorders>
              <w:top w:val="nil"/>
              <w:left w:val="nil"/>
              <w:bottom w:val="single" w:sz="4" w:space="0" w:color="auto"/>
              <w:right w:val="single" w:sz="4" w:space="0" w:color="auto"/>
            </w:tcBorders>
            <w:shd w:val="clear" w:color="auto" w:fill="auto"/>
            <w:noWrap/>
            <w:vAlign w:val="bottom"/>
            <w:hideMark/>
          </w:tcPr>
          <w:p w14:paraId="63C334F9" w14:textId="77777777" w:rsidR="00F96E9E" w:rsidRPr="0053555E" w:rsidRDefault="00F96E9E" w:rsidP="00324438">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študenti</w:t>
            </w:r>
          </w:p>
        </w:tc>
        <w:tc>
          <w:tcPr>
            <w:tcW w:w="905" w:type="dxa"/>
            <w:tcBorders>
              <w:top w:val="nil"/>
              <w:left w:val="nil"/>
              <w:bottom w:val="single" w:sz="4" w:space="0" w:color="auto"/>
              <w:right w:val="single" w:sz="4" w:space="0" w:color="auto"/>
            </w:tcBorders>
            <w:shd w:val="clear" w:color="auto" w:fill="auto"/>
            <w:noWrap/>
            <w:vAlign w:val="bottom"/>
            <w:hideMark/>
          </w:tcPr>
          <w:p w14:paraId="52D421C7" w14:textId="77777777" w:rsidR="00F96E9E" w:rsidRPr="0053555E" w:rsidRDefault="00F96E9E" w:rsidP="00324438">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sekcie</w:t>
            </w:r>
          </w:p>
        </w:tc>
        <w:tc>
          <w:tcPr>
            <w:tcW w:w="905" w:type="dxa"/>
            <w:tcBorders>
              <w:top w:val="nil"/>
              <w:left w:val="nil"/>
              <w:bottom w:val="single" w:sz="4" w:space="0" w:color="auto"/>
              <w:right w:val="single" w:sz="4" w:space="0" w:color="auto"/>
            </w:tcBorders>
            <w:shd w:val="clear" w:color="auto" w:fill="auto"/>
            <w:noWrap/>
            <w:vAlign w:val="bottom"/>
            <w:hideMark/>
          </w:tcPr>
          <w:p w14:paraId="2F20A9A8" w14:textId="77777777" w:rsidR="00F96E9E" w:rsidRPr="0053555E" w:rsidRDefault="00F96E9E" w:rsidP="00324438">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práce</w:t>
            </w:r>
          </w:p>
        </w:tc>
        <w:tc>
          <w:tcPr>
            <w:tcW w:w="905" w:type="dxa"/>
            <w:tcBorders>
              <w:top w:val="nil"/>
              <w:left w:val="nil"/>
              <w:bottom w:val="single" w:sz="4" w:space="0" w:color="auto"/>
              <w:right w:val="single" w:sz="4" w:space="0" w:color="auto"/>
            </w:tcBorders>
            <w:shd w:val="clear" w:color="auto" w:fill="auto"/>
            <w:noWrap/>
            <w:vAlign w:val="bottom"/>
            <w:hideMark/>
          </w:tcPr>
          <w:p w14:paraId="13196E1F" w14:textId="77777777" w:rsidR="00F96E9E" w:rsidRPr="0053555E" w:rsidRDefault="00F96E9E" w:rsidP="00324438">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študenti</w:t>
            </w:r>
          </w:p>
        </w:tc>
        <w:tc>
          <w:tcPr>
            <w:tcW w:w="905" w:type="dxa"/>
            <w:tcBorders>
              <w:top w:val="nil"/>
              <w:left w:val="nil"/>
              <w:bottom w:val="single" w:sz="4" w:space="0" w:color="auto"/>
              <w:right w:val="single" w:sz="4" w:space="0" w:color="auto"/>
            </w:tcBorders>
            <w:shd w:val="clear" w:color="auto" w:fill="auto"/>
            <w:noWrap/>
            <w:vAlign w:val="bottom"/>
            <w:hideMark/>
          </w:tcPr>
          <w:p w14:paraId="51A257CE" w14:textId="77777777" w:rsidR="00F96E9E" w:rsidRPr="0053555E" w:rsidRDefault="00F96E9E" w:rsidP="00324438">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sekcie</w:t>
            </w:r>
          </w:p>
        </w:tc>
        <w:tc>
          <w:tcPr>
            <w:tcW w:w="905" w:type="dxa"/>
            <w:tcBorders>
              <w:top w:val="nil"/>
              <w:left w:val="nil"/>
              <w:bottom w:val="single" w:sz="4" w:space="0" w:color="auto"/>
              <w:right w:val="single" w:sz="4" w:space="0" w:color="auto"/>
            </w:tcBorders>
            <w:shd w:val="clear" w:color="auto" w:fill="auto"/>
            <w:noWrap/>
            <w:vAlign w:val="bottom"/>
            <w:hideMark/>
          </w:tcPr>
          <w:p w14:paraId="5C0F4AAF" w14:textId="77777777" w:rsidR="00F96E9E" w:rsidRPr="0053555E" w:rsidRDefault="00F96E9E" w:rsidP="00324438">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práce</w:t>
            </w:r>
          </w:p>
        </w:tc>
        <w:tc>
          <w:tcPr>
            <w:tcW w:w="906" w:type="dxa"/>
            <w:tcBorders>
              <w:top w:val="nil"/>
              <w:left w:val="nil"/>
              <w:bottom w:val="single" w:sz="4" w:space="0" w:color="auto"/>
              <w:right w:val="single" w:sz="4" w:space="0" w:color="auto"/>
            </w:tcBorders>
            <w:shd w:val="clear" w:color="auto" w:fill="auto"/>
            <w:noWrap/>
            <w:vAlign w:val="bottom"/>
            <w:hideMark/>
          </w:tcPr>
          <w:p w14:paraId="51B0F50A" w14:textId="77777777" w:rsidR="00F96E9E" w:rsidRPr="0053555E" w:rsidRDefault="00F96E9E" w:rsidP="00324438">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študenti</w:t>
            </w:r>
          </w:p>
        </w:tc>
      </w:tr>
      <w:tr w:rsidR="00725FE9" w:rsidRPr="0053555E" w14:paraId="1CD9F78A" w14:textId="77777777" w:rsidTr="00725FE9">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3AA6DA6" w14:textId="77777777" w:rsidR="00725FE9" w:rsidRPr="0053555E" w:rsidRDefault="00725FE9" w:rsidP="00725FE9">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SvF</w:t>
            </w:r>
          </w:p>
        </w:tc>
        <w:tc>
          <w:tcPr>
            <w:tcW w:w="905" w:type="dxa"/>
            <w:tcBorders>
              <w:top w:val="nil"/>
              <w:left w:val="nil"/>
              <w:bottom w:val="single" w:sz="4" w:space="0" w:color="auto"/>
              <w:right w:val="single" w:sz="4" w:space="0" w:color="auto"/>
            </w:tcBorders>
            <w:shd w:val="clear" w:color="auto" w:fill="auto"/>
            <w:noWrap/>
            <w:vAlign w:val="bottom"/>
          </w:tcPr>
          <w:p w14:paraId="5C3D45A8" w14:textId="5B03AD00" w:rsidR="00725FE9" w:rsidRPr="0053555E" w:rsidRDefault="00725FE9" w:rsidP="00725FE9">
            <w:pPr>
              <w:jc w:val="center"/>
              <w:rPr>
                <w:rFonts w:asciiTheme="majorHAnsi" w:hAnsiTheme="majorHAnsi" w:cstheme="majorHAnsi"/>
                <w:sz w:val="22"/>
                <w:szCs w:val="22"/>
              </w:rPr>
            </w:pPr>
          </w:p>
        </w:tc>
        <w:tc>
          <w:tcPr>
            <w:tcW w:w="905" w:type="dxa"/>
            <w:tcBorders>
              <w:top w:val="nil"/>
              <w:left w:val="nil"/>
              <w:bottom w:val="single" w:sz="4" w:space="0" w:color="auto"/>
              <w:right w:val="single" w:sz="4" w:space="0" w:color="auto"/>
            </w:tcBorders>
            <w:shd w:val="clear" w:color="auto" w:fill="auto"/>
            <w:noWrap/>
            <w:vAlign w:val="bottom"/>
          </w:tcPr>
          <w:p w14:paraId="35A61B65" w14:textId="560A0F8E" w:rsidR="00725FE9" w:rsidRPr="0053555E" w:rsidRDefault="00725FE9" w:rsidP="00725FE9">
            <w:pPr>
              <w:jc w:val="center"/>
              <w:rPr>
                <w:rFonts w:asciiTheme="majorHAnsi" w:hAnsiTheme="majorHAnsi" w:cstheme="majorHAnsi"/>
                <w:sz w:val="22"/>
                <w:szCs w:val="22"/>
              </w:rPr>
            </w:pPr>
          </w:p>
        </w:tc>
        <w:tc>
          <w:tcPr>
            <w:tcW w:w="905" w:type="dxa"/>
            <w:tcBorders>
              <w:top w:val="nil"/>
              <w:left w:val="nil"/>
              <w:bottom w:val="single" w:sz="4" w:space="0" w:color="auto"/>
              <w:right w:val="single" w:sz="4" w:space="0" w:color="auto"/>
            </w:tcBorders>
            <w:shd w:val="clear" w:color="auto" w:fill="auto"/>
            <w:noWrap/>
            <w:vAlign w:val="bottom"/>
          </w:tcPr>
          <w:p w14:paraId="4075B19B" w14:textId="79F8BA25" w:rsidR="00725FE9" w:rsidRPr="0053555E" w:rsidRDefault="00725FE9" w:rsidP="00725FE9">
            <w:pPr>
              <w:jc w:val="center"/>
              <w:rPr>
                <w:rFonts w:asciiTheme="majorHAnsi" w:hAnsiTheme="majorHAnsi" w:cstheme="majorHAnsi"/>
                <w:sz w:val="22"/>
                <w:szCs w:val="22"/>
              </w:rPr>
            </w:pPr>
          </w:p>
        </w:tc>
        <w:tc>
          <w:tcPr>
            <w:tcW w:w="905" w:type="dxa"/>
            <w:tcBorders>
              <w:top w:val="nil"/>
              <w:left w:val="nil"/>
              <w:bottom w:val="single" w:sz="4" w:space="0" w:color="auto"/>
              <w:right w:val="single" w:sz="4" w:space="0" w:color="auto"/>
            </w:tcBorders>
            <w:shd w:val="clear" w:color="auto" w:fill="auto"/>
            <w:noWrap/>
            <w:vAlign w:val="bottom"/>
          </w:tcPr>
          <w:p w14:paraId="7E2B5ED2" w14:textId="2A8E3414" w:rsidR="00725FE9" w:rsidRPr="0053555E" w:rsidRDefault="00725FE9" w:rsidP="00725FE9">
            <w:pPr>
              <w:jc w:val="center"/>
              <w:rPr>
                <w:rFonts w:asciiTheme="majorHAnsi" w:hAnsiTheme="majorHAnsi" w:cstheme="majorHAnsi"/>
                <w:sz w:val="22"/>
                <w:szCs w:val="22"/>
              </w:rPr>
            </w:pPr>
            <w:r w:rsidRPr="0053555E">
              <w:rPr>
                <w:rFonts w:cs="Calibri"/>
                <w:sz w:val="22"/>
                <w:szCs w:val="20"/>
              </w:rPr>
              <w:t>14</w:t>
            </w:r>
          </w:p>
        </w:tc>
        <w:tc>
          <w:tcPr>
            <w:tcW w:w="905" w:type="dxa"/>
            <w:tcBorders>
              <w:top w:val="nil"/>
              <w:left w:val="nil"/>
              <w:bottom w:val="single" w:sz="4" w:space="0" w:color="auto"/>
              <w:right w:val="single" w:sz="4" w:space="0" w:color="auto"/>
            </w:tcBorders>
            <w:shd w:val="clear" w:color="auto" w:fill="auto"/>
            <w:noWrap/>
            <w:vAlign w:val="bottom"/>
          </w:tcPr>
          <w:p w14:paraId="60E1A47C" w14:textId="2C70AE1F" w:rsidR="00725FE9" w:rsidRPr="0053555E" w:rsidRDefault="00725FE9" w:rsidP="00725FE9">
            <w:pPr>
              <w:jc w:val="center"/>
              <w:rPr>
                <w:rFonts w:asciiTheme="majorHAnsi" w:hAnsiTheme="majorHAnsi" w:cstheme="majorHAnsi"/>
                <w:sz w:val="22"/>
                <w:szCs w:val="22"/>
              </w:rPr>
            </w:pPr>
            <w:r w:rsidRPr="0053555E">
              <w:rPr>
                <w:rFonts w:cs="Calibri"/>
                <w:sz w:val="22"/>
                <w:szCs w:val="20"/>
              </w:rPr>
              <w:t>129</w:t>
            </w:r>
          </w:p>
        </w:tc>
        <w:tc>
          <w:tcPr>
            <w:tcW w:w="905" w:type="dxa"/>
            <w:tcBorders>
              <w:top w:val="nil"/>
              <w:left w:val="nil"/>
              <w:bottom w:val="single" w:sz="4" w:space="0" w:color="auto"/>
              <w:right w:val="single" w:sz="4" w:space="0" w:color="auto"/>
            </w:tcBorders>
            <w:shd w:val="clear" w:color="auto" w:fill="auto"/>
            <w:noWrap/>
            <w:vAlign w:val="bottom"/>
          </w:tcPr>
          <w:p w14:paraId="4B700F2C" w14:textId="79D4A058" w:rsidR="00725FE9" w:rsidRPr="0053555E" w:rsidRDefault="00725FE9" w:rsidP="00725FE9">
            <w:pPr>
              <w:jc w:val="center"/>
              <w:rPr>
                <w:rFonts w:asciiTheme="majorHAnsi" w:hAnsiTheme="majorHAnsi" w:cstheme="majorHAnsi"/>
                <w:sz w:val="22"/>
                <w:szCs w:val="22"/>
              </w:rPr>
            </w:pPr>
            <w:r w:rsidRPr="0053555E">
              <w:rPr>
                <w:rFonts w:cs="Calibri"/>
                <w:sz w:val="22"/>
                <w:szCs w:val="20"/>
              </w:rPr>
              <w:t>140</w:t>
            </w:r>
          </w:p>
        </w:tc>
        <w:tc>
          <w:tcPr>
            <w:tcW w:w="905" w:type="dxa"/>
            <w:tcBorders>
              <w:top w:val="nil"/>
              <w:left w:val="nil"/>
              <w:bottom w:val="single" w:sz="4" w:space="0" w:color="auto"/>
              <w:right w:val="single" w:sz="4" w:space="0" w:color="auto"/>
            </w:tcBorders>
            <w:shd w:val="clear" w:color="auto" w:fill="auto"/>
            <w:noWrap/>
            <w:vAlign w:val="bottom"/>
          </w:tcPr>
          <w:p w14:paraId="2502FAEE" w14:textId="55C05CA6" w:rsidR="00725FE9" w:rsidRPr="0053555E" w:rsidRDefault="00725FE9" w:rsidP="00725FE9">
            <w:pPr>
              <w:jc w:val="center"/>
              <w:rPr>
                <w:rFonts w:asciiTheme="majorHAnsi" w:hAnsiTheme="majorHAnsi" w:cstheme="majorHAnsi"/>
                <w:sz w:val="22"/>
                <w:szCs w:val="22"/>
              </w:rPr>
            </w:pPr>
            <w:r w:rsidRPr="0053555E">
              <w:rPr>
                <w:rFonts w:cs="Calibri"/>
                <w:sz w:val="22"/>
                <w:szCs w:val="20"/>
              </w:rPr>
              <w:t>14</w:t>
            </w:r>
          </w:p>
        </w:tc>
        <w:tc>
          <w:tcPr>
            <w:tcW w:w="905" w:type="dxa"/>
            <w:tcBorders>
              <w:top w:val="nil"/>
              <w:left w:val="nil"/>
              <w:bottom w:val="single" w:sz="4" w:space="0" w:color="auto"/>
              <w:right w:val="single" w:sz="4" w:space="0" w:color="auto"/>
            </w:tcBorders>
            <w:shd w:val="clear" w:color="auto" w:fill="auto"/>
            <w:noWrap/>
            <w:vAlign w:val="bottom"/>
          </w:tcPr>
          <w:p w14:paraId="7E613E2B" w14:textId="0E59DF7A" w:rsidR="00725FE9" w:rsidRPr="0053555E" w:rsidRDefault="00725FE9" w:rsidP="00725FE9">
            <w:pPr>
              <w:jc w:val="center"/>
              <w:rPr>
                <w:rFonts w:asciiTheme="majorHAnsi" w:hAnsiTheme="majorHAnsi" w:cstheme="majorHAnsi"/>
                <w:sz w:val="22"/>
                <w:szCs w:val="22"/>
              </w:rPr>
            </w:pPr>
            <w:r w:rsidRPr="0053555E">
              <w:rPr>
                <w:rFonts w:cs="Calibri"/>
                <w:sz w:val="22"/>
                <w:szCs w:val="20"/>
              </w:rPr>
              <w:t>127</w:t>
            </w:r>
          </w:p>
        </w:tc>
        <w:tc>
          <w:tcPr>
            <w:tcW w:w="906" w:type="dxa"/>
            <w:tcBorders>
              <w:top w:val="nil"/>
              <w:left w:val="nil"/>
              <w:bottom w:val="single" w:sz="4" w:space="0" w:color="auto"/>
              <w:right w:val="single" w:sz="4" w:space="0" w:color="auto"/>
            </w:tcBorders>
            <w:shd w:val="clear" w:color="auto" w:fill="auto"/>
            <w:noWrap/>
            <w:vAlign w:val="bottom"/>
          </w:tcPr>
          <w:p w14:paraId="739B0349" w14:textId="0FB91493" w:rsidR="00725FE9" w:rsidRPr="0053555E" w:rsidRDefault="00725FE9" w:rsidP="00725FE9">
            <w:pPr>
              <w:jc w:val="center"/>
              <w:rPr>
                <w:rFonts w:asciiTheme="majorHAnsi" w:hAnsiTheme="majorHAnsi" w:cstheme="majorHAnsi"/>
                <w:sz w:val="22"/>
                <w:szCs w:val="22"/>
              </w:rPr>
            </w:pPr>
            <w:r w:rsidRPr="0053555E">
              <w:rPr>
                <w:rFonts w:cs="Calibri"/>
                <w:sz w:val="22"/>
                <w:szCs w:val="20"/>
              </w:rPr>
              <w:t>144</w:t>
            </w:r>
          </w:p>
        </w:tc>
      </w:tr>
      <w:tr w:rsidR="00725FE9" w:rsidRPr="0053555E" w14:paraId="09416761" w14:textId="77777777" w:rsidTr="00725FE9">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0FA31E3" w14:textId="77777777" w:rsidR="00725FE9" w:rsidRPr="0053555E" w:rsidRDefault="00725FE9" w:rsidP="00725FE9">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SjF</w:t>
            </w:r>
          </w:p>
        </w:tc>
        <w:tc>
          <w:tcPr>
            <w:tcW w:w="905" w:type="dxa"/>
            <w:tcBorders>
              <w:top w:val="nil"/>
              <w:left w:val="nil"/>
              <w:bottom w:val="single" w:sz="4" w:space="0" w:color="auto"/>
              <w:right w:val="single" w:sz="4" w:space="0" w:color="auto"/>
            </w:tcBorders>
            <w:shd w:val="clear" w:color="000000" w:fill="FFFFFF"/>
            <w:noWrap/>
            <w:vAlign w:val="bottom"/>
          </w:tcPr>
          <w:p w14:paraId="4958B99D" w14:textId="14D20C3D" w:rsidR="00725FE9" w:rsidRPr="0053555E" w:rsidRDefault="00725FE9" w:rsidP="00725FE9">
            <w:pPr>
              <w:jc w:val="center"/>
              <w:rPr>
                <w:rFonts w:asciiTheme="majorHAnsi" w:hAnsiTheme="majorHAnsi" w:cstheme="majorHAnsi"/>
                <w:sz w:val="22"/>
                <w:szCs w:val="22"/>
              </w:rPr>
            </w:pPr>
          </w:p>
        </w:tc>
        <w:tc>
          <w:tcPr>
            <w:tcW w:w="905" w:type="dxa"/>
            <w:tcBorders>
              <w:top w:val="nil"/>
              <w:left w:val="nil"/>
              <w:bottom w:val="single" w:sz="4" w:space="0" w:color="auto"/>
              <w:right w:val="single" w:sz="4" w:space="0" w:color="auto"/>
            </w:tcBorders>
            <w:shd w:val="clear" w:color="000000" w:fill="FFFFFF"/>
            <w:noWrap/>
            <w:vAlign w:val="bottom"/>
          </w:tcPr>
          <w:p w14:paraId="6BD5A874" w14:textId="18C33B99" w:rsidR="00725FE9" w:rsidRPr="0053555E" w:rsidRDefault="00725FE9" w:rsidP="00725FE9">
            <w:pPr>
              <w:jc w:val="center"/>
              <w:rPr>
                <w:rFonts w:asciiTheme="majorHAnsi" w:hAnsiTheme="majorHAnsi" w:cstheme="majorHAnsi"/>
                <w:sz w:val="22"/>
                <w:szCs w:val="22"/>
              </w:rPr>
            </w:pPr>
          </w:p>
        </w:tc>
        <w:tc>
          <w:tcPr>
            <w:tcW w:w="905" w:type="dxa"/>
            <w:tcBorders>
              <w:top w:val="nil"/>
              <w:left w:val="nil"/>
              <w:bottom w:val="single" w:sz="4" w:space="0" w:color="auto"/>
              <w:right w:val="single" w:sz="4" w:space="0" w:color="auto"/>
            </w:tcBorders>
            <w:shd w:val="clear" w:color="000000" w:fill="FFFFFF"/>
            <w:noWrap/>
            <w:vAlign w:val="bottom"/>
          </w:tcPr>
          <w:p w14:paraId="7EAC63F8" w14:textId="3710C0DA" w:rsidR="00725FE9" w:rsidRPr="0053555E" w:rsidRDefault="00725FE9" w:rsidP="00725FE9">
            <w:pPr>
              <w:jc w:val="center"/>
              <w:rPr>
                <w:rFonts w:asciiTheme="majorHAnsi" w:hAnsiTheme="majorHAnsi" w:cstheme="majorHAnsi"/>
                <w:sz w:val="22"/>
                <w:szCs w:val="22"/>
              </w:rPr>
            </w:pPr>
          </w:p>
        </w:tc>
        <w:tc>
          <w:tcPr>
            <w:tcW w:w="905" w:type="dxa"/>
            <w:tcBorders>
              <w:top w:val="nil"/>
              <w:left w:val="nil"/>
              <w:bottom w:val="single" w:sz="4" w:space="0" w:color="auto"/>
              <w:right w:val="single" w:sz="4" w:space="0" w:color="auto"/>
            </w:tcBorders>
            <w:shd w:val="clear" w:color="000000" w:fill="FFFFFF"/>
            <w:noWrap/>
            <w:vAlign w:val="bottom"/>
          </w:tcPr>
          <w:p w14:paraId="36842EC9" w14:textId="2DB45991" w:rsidR="00725FE9" w:rsidRPr="0053555E" w:rsidRDefault="00725FE9" w:rsidP="00725FE9">
            <w:pPr>
              <w:jc w:val="center"/>
              <w:rPr>
                <w:rFonts w:asciiTheme="majorHAnsi" w:hAnsiTheme="majorHAnsi" w:cstheme="majorHAnsi"/>
                <w:sz w:val="22"/>
                <w:szCs w:val="22"/>
              </w:rPr>
            </w:pPr>
            <w:r w:rsidRPr="0053555E">
              <w:rPr>
                <w:rFonts w:cs="Calibri"/>
                <w:sz w:val="22"/>
                <w:szCs w:val="20"/>
              </w:rPr>
              <w:t>7</w:t>
            </w:r>
          </w:p>
        </w:tc>
        <w:tc>
          <w:tcPr>
            <w:tcW w:w="905" w:type="dxa"/>
            <w:tcBorders>
              <w:top w:val="nil"/>
              <w:left w:val="nil"/>
              <w:bottom w:val="single" w:sz="4" w:space="0" w:color="auto"/>
              <w:right w:val="single" w:sz="4" w:space="0" w:color="auto"/>
            </w:tcBorders>
            <w:shd w:val="clear" w:color="000000" w:fill="FFFFFF"/>
            <w:noWrap/>
            <w:vAlign w:val="bottom"/>
          </w:tcPr>
          <w:p w14:paraId="08039B15" w14:textId="7ADCDC40" w:rsidR="00725FE9" w:rsidRPr="0053555E" w:rsidRDefault="00725FE9" w:rsidP="00725FE9">
            <w:pPr>
              <w:jc w:val="center"/>
              <w:rPr>
                <w:rFonts w:asciiTheme="majorHAnsi" w:hAnsiTheme="majorHAnsi" w:cstheme="majorHAnsi"/>
                <w:sz w:val="22"/>
                <w:szCs w:val="22"/>
              </w:rPr>
            </w:pPr>
            <w:r w:rsidRPr="0053555E">
              <w:rPr>
                <w:rFonts w:cs="Calibri"/>
                <w:sz w:val="22"/>
                <w:szCs w:val="20"/>
              </w:rPr>
              <w:t>50</w:t>
            </w:r>
          </w:p>
        </w:tc>
        <w:tc>
          <w:tcPr>
            <w:tcW w:w="905" w:type="dxa"/>
            <w:tcBorders>
              <w:top w:val="nil"/>
              <w:left w:val="nil"/>
              <w:bottom w:val="single" w:sz="4" w:space="0" w:color="auto"/>
              <w:right w:val="single" w:sz="4" w:space="0" w:color="auto"/>
            </w:tcBorders>
            <w:shd w:val="clear" w:color="000000" w:fill="FFFFFF"/>
            <w:noWrap/>
            <w:vAlign w:val="bottom"/>
          </w:tcPr>
          <w:p w14:paraId="0D6121BD" w14:textId="05FA7585" w:rsidR="00725FE9" w:rsidRPr="0053555E" w:rsidRDefault="00725FE9" w:rsidP="00725FE9">
            <w:pPr>
              <w:jc w:val="center"/>
              <w:rPr>
                <w:rFonts w:asciiTheme="majorHAnsi" w:hAnsiTheme="majorHAnsi" w:cstheme="majorHAnsi"/>
                <w:sz w:val="22"/>
                <w:szCs w:val="22"/>
              </w:rPr>
            </w:pPr>
            <w:r w:rsidRPr="0053555E">
              <w:rPr>
                <w:rFonts w:cs="Calibri"/>
                <w:sz w:val="22"/>
                <w:szCs w:val="20"/>
              </w:rPr>
              <w:t>50</w:t>
            </w:r>
          </w:p>
        </w:tc>
        <w:tc>
          <w:tcPr>
            <w:tcW w:w="905" w:type="dxa"/>
            <w:tcBorders>
              <w:top w:val="nil"/>
              <w:left w:val="nil"/>
              <w:bottom w:val="single" w:sz="4" w:space="0" w:color="auto"/>
              <w:right w:val="single" w:sz="4" w:space="0" w:color="auto"/>
            </w:tcBorders>
            <w:shd w:val="clear" w:color="000000" w:fill="FFFFFF"/>
            <w:noWrap/>
            <w:vAlign w:val="bottom"/>
          </w:tcPr>
          <w:p w14:paraId="62581079" w14:textId="32F85729" w:rsidR="00725FE9" w:rsidRPr="0053555E" w:rsidRDefault="00725FE9" w:rsidP="00725FE9">
            <w:pPr>
              <w:jc w:val="center"/>
              <w:rPr>
                <w:rFonts w:asciiTheme="majorHAnsi" w:hAnsiTheme="majorHAnsi" w:cstheme="majorHAnsi"/>
                <w:sz w:val="22"/>
                <w:szCs w:val="22"/>
              </w:rPr>
            </w:pPr>
            <w:r w:rsidRPr="0053555E">
              <w:rPr>
                <w:rFonts w:cs="Calibri"/>
                <w:sz w:val="22"/>
                <w:szCs w:val="20"/>
              </w:rPr>
              <w:t>5</w:t>
            </w:r>
          </w:p>
        </w:tc>
        <w:tc>
          <w:tcPr>
            <w:tcW w:w="905" w:type="dxa"/>
            <w:tcBorders>
              <w:top w:val="nil"/>
              <w:left w:val="nil"/>
              <w:bottom w:val="single" w:sz="4" w:space="0" w:color="auto"/>
              <w:right w:val="single" w:sz="4" w:space="0" w:color="auto"/>
            </w:tcBorders>
            <w:shd w:val="clear" w:color="000000" w:fill="FFFFFF"/>
            <w:noWrap/>
            <w:vAlign w:val="bottom"/>
          </w:tcPr>
          <w:p w14:paraId="677CD05D" w14:textId="07AD21F9" w:rsidR="00725FE9" w:rsidRPr="0053555E" w:rsidRDefault="00725FE9" w:rsidP="00725FE9">
            <w:pPr>
              <w:jc w:val="center"/>
              <w:rPr>
                <w:rFonts w:asciiTheme="majorHAnsi" w:hAnsiTheme="majorHAnsi" w:cstheme="majorHAnsi"/>
                <w:sz w:val="22"/>
                <w:szCs w:val="22"/>
              </w:rPr>
            </w:pPr>
            <w:r w:rsidRPr="0053555E">
              <w:rPr>
                <w:rFonts w:cs="Calibri"/>
                <w:sz w:val="22"/>
                <w:szCs w:val="20"/>
              </w:rPr>
              <w:t>37</w:t>
            </w:r>
          </w:p>
        </w:tc>
        <w:tc>
          <w:tcPr>
            <w:tcW w:w="906" w:type="dxa"/>
            <w:tcBorders>
              <w:top w:val="nil"/>
              <w:left w:val="nil"/>
              <w:bottom w:val="single" w:sz="4" w:space="0" w:color="auto"/>
              <w:right w:val="single" w:sz="4" w:space="0" w:color="auto"/>
            </w:tcBorders>
            <w:shd w:val="clear" w:color="000000" w:fill="FFFFFF"/>
            <w:noWrap/>
            <w:vAlign w:val="bottom"/>
          </w:tcPr>
          <w:p w14:paraId="3A527AE5" w14:textId="62B4847E" w:rsidR="00725FE9" w:rsidRPr="0053555E" w:rsidRDefault="00725FE9" w:rsidP="00725FE9">
            <w:pPr>
              <w:jc w:val="center"/>
              <w:rPr>
                <w:rFonts w:asciiTheme="majorHAnsi" w:hAnsiTheme="majorHAnsi" w:cstheme="majorHAnsi"/>
                <w:sz w:val="22"/>
                <w:szCs w:val="22"/>
              </w:rPr>
            </w:pPr>
            <w:r w:rsidRPr="0053555E">
              <w:rPr>
                <w:rFonts w:cs="Calibri"/>
                <w:sz w:val="22"/>
                <w:szCs w:val="20"/>
              </w:rPr>
              <w:t>38</w:t>
            </w:r>
          </w:p>
        </w:tc>
      </w:tr>
      <w:tr w:rsidR="00725FE9" w:rsidRPr="0053555E" w14:paraId="2C3E33B9" w14:textId="77777777" w:rsidTr="00FB4951">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D27B2F4" w14:textId="77777777" w:rsidR="00725FE9" w:rsidRPr="0053555E" w:rsidRDefault="00725FE9" w:rsidP="00725FE9">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FEI</w:t>
            </w:r>
          </w:p>
        </w:tc>
        <w:tc>
          <w:tcPr>
            <w:tcW w:w="905" w:type="dxa"/>
            <w:tcBorders>
              <w:top w:val="nil"/>
              <w:left w:val="nil"/>
              <w:bottom w:val="single" w:sz="4" w:space="0" w:color="auto"/>
              <w:right w:val="single" w:sz="4" w:space="0" w:color="auto"/>
            </w:tcBorders>
            <w:shd w:val="clear" w:color="auto" w:fill="auto"/>
            <w:noWrap/>
            <w:vAlign w:val="bottom"/>
            <w:hideMark/>
          </w:tcPr>
          <w:p w14:paraId="670915C0" w14:textId="6CFEA74F" w:rsidR="00725FE9" w:rsidRPr="0053555E" w:rsidRDefault="00725FE9" w:rsidP="00725FE9">
            <w:pPr>
              <w:jc w:val="center"/>
              <w:rPr>
                <w:rFonts w:asciiTheme="majorHAnsi" w:hAnsiTheme="majorHAnsi" w:cstheme="majorHAnsi"/>
                <w:sz w:val="22"/>
                <w:szCs w:val="22"/>
              </w:rPr>
            </w:pPr>
            <w:r w:rsidRPr="0053555E">
              <w:rPr>
                <w:rFonts w:cs="Calibri"/>
                <w:sz w:val="22"/>
                <w:szCs w:val="20"/>
              </w:rPr>
              <w:t>8</w:t>
            </w:r>
          </w:p>
        </w:tc>
        <w:tc>
          <w:tcPr>
            <w:tcW w:w="905" w:type="dxa"/>
            <w:tcBorders>
              <w:top w:val="nil"/>
              <w:left w:val="nil"/>
              <w:bottom w:val="single" w:sz="4" w:space="0" w:color="auto"/>
              <w:right w:val="single" w:sz="4" w:space="0" w:color="auto"/>
            </w:tcBorders>
            <w:shd w:val="clear" w:color="auto" w:fill="auto"/>
            <w:noWrap/>
            <w:vAlign w:val="bottom"/>
            <w:hideMark/>
          </w:tcPr>
          <w:p w14:paraId="62946228" w14:textId="4D63F8A3" w:rsidR="00725FE9" w:rsidRPr="0053555E" w:rsidRDefault="00725FE9" w:rsidP="00725FE9">
            <w:pPr>
              <w:jc w:val="center"/>
              <w:rPr>
                <w:rFonts w:asciiTheme="majorHAnsi" w:hAnsiTheme="majorHAnsi" w:cstheme="majorHAnsi"/>
                <w:sz w:val="22"/>
                <w:szCs w:val="22"/>
              </w:rPr>
            </w:pPr>
            <w:r w:rsidRPr="0053555E">
              <w:rPr>
                <w:rFonts w:cs="Calibri"/>
                <w:sz w:val="22"/>
                <w:szCs w:val="20"/>
              </w:rPr>
              <w:t>30</w:t>
            </w:r>
          </w:p>
        </w:tc>
        <w:tc>
          <w:tcPr>
            <w:tcW w:w="905" w:type="dxa"/>
            <w:tcBorders>
              <w:top w:val="nil"/>
              <w:left w:val="nil"/>
              <w:bottom w:val="single" w:sz="4" w:space="0" w:color="auto"/>
              <w:right w:val="single" w:sz="4" w:space="0" w:color="auto"/>
            </w:tcBorders>
            <w:shd w:val="clear" w:color="auto" w:fill="auto"/>
            <w:noWrap/>
            <w:vAlign w:val="bottom"/>
            <w:hideMark/>
          </w:tcPr>
          <w:p w14:paraId="71867896" w14:textId="17F63073" w:rsidR="00725FE9" w:rsidRPr="0053555E" w:rsidRDefault="00725FE9" w:rsidP="00725FE9">
            <w:pPr>
              <w:jc w:val="center"/>
              <w:rPr>
                <w:rFonts w:asciiTheme="majorHAnsi" w:hAnsiTheme="majorHAnsi" w:cstheme="majorHAnsi"/>
                <w:sz w:val="22"/>
                <w:szCs w:val="22"/>
              </w:rPr>
            </w:pPr>
            <w:r w:rsidRPr="0053555E">
              <w:rPr>
                <w:rFonts w:cs="Calibri"/>
                <w:sz w:val="22"/>
                <w:szCs w:val="20"/>
              </w:rPr>
              <w:t>30</w:t>
            </w:r>
          </w:p>
        </w:tc>
        <w:tc>
          <w:tcPr>
            <w:tcW w:w="905" w:type="dxa"/>
            <w:tcBorders>
              <w:top w:val="nil"/>
              <w:left w:val="nil"/>
              <w:bottom w:val="single" w:sz="4" w:space="0" w:color="auto"/>
              <w:right w:val="single" w:sz="4" w:space="0" w:color="auto"/>
            </w:tcBorders>
            <w:shd w:val="clear" w:color="auto" w:fill="auto"/>
            <w:noWrap/>
            <w:vAlign w:val="bottom"/>
            <w:hideMark/>
          </w:tcPr>
          <w:p w14:paraId="4ECD0D73" w14:textId="4C5C420C" w:rsidR="00725FE9" w:rsidRPr="0053555E" w:rsidRDefault="00725FE9" w:rsidP="00725FE9">
            <w:pPr>
              <w:jc w:val="center"/>
              <w:rPr>
                <w:rFonts w:asciiTheme="majorHAnsi" w:hAnsiTheme="majorHAnsi" w:cstheme="majorHAnsi"/>
                <w:sz w:val="22"/>
                <w:szCs w:val="22"/>
              </w:rPr>
            </w:pPr>
            <w:r w:rsidRPr="0053555E">
              <w:rPr>
                <w:rFonts w:cs="Calibri"/>
                <w:sz w:val="22"/>
                <w:szCs w:val="20"/>
              </w:rPr>
              <w:t>8</w:t>
            </w:r>
          </w:p>
        </w:tc>
        <w:tc>
          <w:tcPr>
            <w:tcW w:w="905" w:type="dxa"/>
            <w:tcBorders>
              <w:top w:val="nil"/>
              <w:left w:val="nil"/>
              <w:bottom w:val="single" w:sz="4" w:space="0" w:color="auto"/>
              <w:right w:val="single" w:sz="4" w:space="0" w:color="auto"/>
            </w:tcBorders>
            <w:shd w:val="clear" w:color="auto" w:fill="auto"/>
            <w:noWrap/>
            <w:vAlign w:val="bottom"/>
            <w:hideMark/>
          </w:tcPr>
          <w:p w14:paraId="2B89D177" w14:textId="6ABEBB80" w:rsidR="00725FE9" w:rsidRPr="0053555E" w:rsidRDefault="00725FE9" w:rsidP="00725FE9">
            <w:pPr>
              <w:jc w:val="center"/>
              <w:rPr>
                <w:rFonts w:asciiTheme="majorHAnsi" w:hAnsiTheme="majorHAnsi" w:cstheme="majorHAnsi"/>
                <w:sz w:val="22"/>
                <w:szCs w:val="22"/>
              </w:rPr>
            </w:pPr>
            <w:r w:rsidRPr="0053555E">
              <w:rPr>
                <w:rFonts w:cs="Calibri"/>
                <w:sz w:val="22"/>
                <w:szCs w:val="20"/>
              </w:rPr>
              <w:t>30</w:t>
            </w:r>
          </w:p>
        </w:tc>
        <w:tc>
          <w:tcPr>
            <w:tcW w:w="905" w:type="dxa"/>
            <w:tcBorders>
              <w:top w:val="nil"/>
              <w:left w:val="nil"/>
              <w:bottom w:val="single" w:sz="4" w:space="0" w:color="auto"/>
              <w:right w:val="single" w:sz="4" w:space="0" w:color="auto"/>
            </w:tcBorders>
            <w:shd w:val="clear" w:color="auto" w:fill="auto"/>
            <w:noWrap/>
            <w:vAlign w:val="bottom"/>
            <w:hideMark/>
          </w:tcPr>
          <w:p w14:paraId="61359027" w14:textId="5DFE5C48" w:rsidR="00725FE9" w:rsidRPr="0053555E" w:rsidRDefault="00725FE9" w:rsidP="00725FE9">
            <w:pPr>
              <w:jc w:val="center"/>
              <w:rPr>
                <w:rFonts w:asciiTheme="majorHAnsi" w:hAnsiTheme="majorHAnsi" w:cstheme="majorHAnsi"/>
                <w:sz w:val="22"/>
                <w:szCs w:val="22"/>
              </w:rPr>
            </w:pPr>
            <w:r w:rsidRPr="0053555E">
              <w:rPr>
                <w:rFonts w:cs="Calibri"/>
                <w:sz w:val="22"/>
                <w:szCs w:val="20"/>
              </w:rPr>
              <w:t>29</w:t>
            </w:r>
          </w:p>
        </w:tc>
        <w:tc>
          <w:tcPr>
            <w:tcW w:w="905" w:type="dxa"/>
            <w:tcBorders>
              <w:top w:val="nil"/>
              <w:left w:val="nil"/>
              <w:bottom w:val="single" w:sz="4" w:space="0" w:color="auto"/>
              <w:right w:val="single" w:sz="4" w:space="0" w:color="auto"/>
            </w:tcBorders>
            <w:shd w:val="clear" w:color="auto" w:fill="auto"/>
            <w:noWrap/>
            <w:vAlign w:val="bottom"/>
            <w:hideMark/>
          </w:tcPr>
          <w:p w14:paraId="5EE824C6" w14:textId="31E5010E" w:rsidR="00725FE9" w:rsidRPr="0053555E" w:rsidRDefault="00725FE9" w:rsidP="00725FE9">
            <w:pPr>
              <w:jc w:val="center"/>
              <w:rPr>
                <w:rFonts w:asciiTheme="majorHAnsi" w:hAnsiTheme="majorHAnsi" w:cstheme="majorHAnsi"/>
                <w:sz w:val="22"/>
                <w:szCs w:val="22"/>
              </w:rPr>
            </w:pPr>
            <w:r w:rsidRPr="0053555E">
              <w:rPr>
                <w:rFonts w:cs="Calibri"/>
                <w:sz w:val="22"/>
                <w:szCs w:val="20"/>
              </w:rPr>
              <w:t>3</w:t>
            </w:r>
          </w:p>
        </w:tc>
        <w:tc>
          <w:tcPr>
            <w:tcW w:w="905" w:type="dxa"/>
            <w:tcBorders>
              <w:top w:val="nil"/>
              <w:left w:val="nil"/>
              <w:bottom w:val="single" w:sz="4" w:space="0" w:color="auto"/>
              <w:right w:val="single" w:sz="4" w:space="0" w:color="auto"/>
            </w:tcBorders>
            <w:shd w:val="clear" w:color="auto" w:fill="auto"/>
            <w:noWrap/>
            <w:vAlign w:val="bottom"/>
            <w:hideMark/>
          </w:tcPr>
          <w:p w14:paraId="0AD79C65" w14:textId="262073BF" w:rsidR="00725FE9" w:rsidRPr="0053555E" w:rsidRDefault="00725FE9" w:rsidP="00725FE9">
            <w:pPr>
              <w:jc w:val="center"/>
              <w:rPr>
                <w:rFonts w:asciiTheme="majorHAnsi" w:hAnsiTheme="majorHAnsi" w:cstheme="majorHAnsi"/>
                <w:sz w:val="22"/>
                <w:szCs w:val="22"/>
              </w:rPr>
            </w:pPr>
            <w:r w:rsidRPr="0053555E">
              <w:rPr>
                <w:rFonts w:cs="Calibri"/>
                <w:sz w:val="22"/>
                <w:szCs w:val="20"/>
              </w:rPr>
              <w:t>14</w:t>
            </w:r>
          </w:p>
        </w:tc>
        <w:tc>
          <w:tcPr>
            <w:tcW w:w="906" w:type="dxa"/>
            <w:tcBorders>
              <w:top w:val="nil"/>
              <w:left w:val="nil"/>
              <w:bottom w:val="single" w:sz="4" w:space="0" w:color="auto"/>
              <w:right w:val="single" w:sz="4" w:space="0" w:color="auto"/>
            </w:tcBorders>
            <w:shd w:val="clear" w:color="auto" w:fill="auto"/>
            <w:noWrap/>
            <w:vAlign w:val="bottom"/>
            <w:hideMark/>
          </w:tcPr>
          <w:p w14:paraId="0C9787B7" w14:textId="511F1285" w:rsidR="00725FE9" w:rsidRPr="0053555E" w:rsidRDefault="00725FE9" w:rsidP="00725FE9">
            <w:pPr>
              <w:jc w:val="center"/>
              <w:rPr>
                <w:rFonts w:asciiTheme="majorHAnsi" w:hAnsiTheme="majorHAnsi" w:cstheme="majorHAnsi"/>
                <w:sz w:val="22"/>
                <w:szCs w:val="22"/>
              </w:rPr>
            </w:pPr>
            <w:r w:rsidRPr="0053555E">
              <w:rPr>
                <w:rFonts w:cs="Calibri"/>
                <w:sz w:val="22"/>
                <w:szCs w:val="20"/>
              </w:rPr>
              <w:t>14</w:t>
            </w:r>
          </w:p>
        </w:tc>
      </w:tr>
      <w:tr w:rsidR="00725FE9" w:rsidRPr="0053555E" w14:paraId="19D9E07E" w14:textId="77777777" w:rsidTr="00FB4951">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9531B8B" w14:textId="77777777" w:rsidR="00725FE9" w:rsidRPr="0053555E" w:rsidRDefault="00725FE9" w:rsidP="00725FE9">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FCHPT</w:t>
            </w:r>
          </w:p>
        </w:tc>
        <w:tc>
          <w:tcPr>
            <w:tcW w:w="905" w:type="dxa"/>
            <w:tcBorders>
              <w:top w:val="nil"/>
              <w:left w:val="nil"/>
              <w:bottom w:val="single" w:sz="4" w:space="0" w:color="auto"/>
              <w:right w:val="single" w:sz="4" w:space="0" w:color="auto"/>
            </w:tcBorders>
            <w:shd w:val="clear" w:color="auto" w:fill="auto"/>
            <w:noWrap/>
            <w:vAlign w:val="bottom"/>
            <w:hideMark/>
          </w:tcPr>
          <w:p w14:paraId="34548D72" w14:textId="63E493FE" w:rsidR="00725FE9" w:rsidRPr="0053555E" w:rsidRDefault="00725FE9" w:rsidP="00725FE9">
            <w:pPr>
              <w:jc w:val="center"/>
              <w:rPr>
                <w:rFonts w:asciiTheme="majorHAnsi" w:hAnsiTheme="majorHAnsi" w:cstheme="majorHAnsi"/>
                <w:sz w:val="22"/>
                <w:szCs w:val="22"/>
              </w:rPr>
            </w:pPr>
            <w:r w:rsidRPr="0053555E">
              <w:rPr>
                <w:rFonts w:cs="Calibri"/>
                <w:sz w:val="22"/>
                <w:szCs w:val="20"/>
              </w:rPr>
              <w:t>27</w:t>
            </w:r>
          </w:p>
        </w:tc>
        <w:tc>
          <w:tcPr>
            <w:tcW w:w="905" w:type="dxa"/>
            <w:tcBorders>
              <w:top w:val="nil"/>
              <w:left w:val="nil"/>
              <w:bottom w:val="single" w:sz="4" w:space="0" w:color="auto"/>
              <w:right w:val="single" w:sz="4" w:space="0" w:color="auto"/>
            </w:tcBorders>
            <w:shd w:val="clear" w:color="auto" w:fill="auto"/>
            <w:noWrap/>
            <w:vAlign w:val="bottom"/>
            <w:hideMark/>
          </w:tcPr>
          <w:p w14:paraId="2AC3221C" w14:textId="6C13201D" w:rsidR="00725FE9" w:rsidRPr="0053555E" w:rsidRDefault="00725FE9" w:rsidP="00725FE9">
            <w:pPr>
              <w:jc w:val="center"/>
              <w:rPr>
                <w:rFonts w:asciiTheme="majorHAnsi" w:hAnsiTheme="majorHAnsi" w:cstheme="majorHAnsi"/>
                <w:sz w:val="22"/>
                <w:szCs w:val="22"/>
              </w:rPr>
            </w:pPr>
            <w:r w:rsidRPr="0053555E">
              <w:rPr>
                <w:rFonts w:cs="Calibri"/>
                <w:sz w:val="22"/>
                <w:szCs w:val="20"/>
              </w:rPr>
              <w:t>241</w:t>
            </w:r>
          </w:p>
        </w:tc>
        <w:tc>
          <w:tcPr>
            <w:tcW w:w="905" w:type="dxa"/>
            <w:tcBorders>
              <w:top w:val="nil"/>
              <w:left w:val="nil"/>
              <w:bottom w:val="single" w:sz="4" w:space="0" w:color="auto"/>
              <w:right w:val="single" w:sz="4" w:space="0" w:color="auto"/>
            </w:tcBorders>
            <w:shd w:val="clear" w:color="auto" w:fill="auto"/>
            <w:noWrap/>
            <w:vAlign w:val="bottom"/>
            <w:hideMark/>
          </w:tcPr>
          <w:p w14:paraId="1B0061E4" w14:textId="58B7EF9E" w:rsidR="00725FE9" w:rsidRPr="0053555E" w:rsidRDefault="00725FE9" w:rsidP="00725FE9">
            <w:pPr>
              <w:jc w:val="center"/>
              <w:rPr>
                <w:rFonts w:asciiTheme="majorHAnsi" w:hAnsiTheme="majorHAnsi" w:cstheme="majorHAnsi"/>
                <w:sz w:val="22"/>
                <w:szCs w:val="22"/>
              </w:rPr>
            </w:pPr>
            <w:r w:rsidRPr="0053555E">
              <w:rPr>
                <w:rFonts w:cs="Calibri"/>
                <w:sz w:val="22"/>
                <w:szCs w:val="20"/>
              </w:rPr>
              <w:t>246</w:t>
            </w:r>
          </w:p>
        </w:tc>
        <w:tc>
          <w:tcPr>
            <w:tcW w:w="905" w:type="dxa"/>
            <w:tcBorders>
              <w:top w:val="nil"/>
              <w:left w:val="nil"/>
              <w:bottom w:val="single" w:sz="4" w:space="0" w:color="auto"/>
              <w:right w:val="single" w:sz="4" w:space="0" w:color="auto"/>
            </w:tcBorders>
            <w:shd w:val="clear" w:color="auto" w:fill="auto"/>
            <w:noWrap/>
            <w:vAlign w:val="bottom"/>
            <w:hideMark/>
          </w:tcPr>
          <w:p w14:paraId="78B839DF" w14:textId="2C5618E3" w:rsidR="00725FE9" w:rsidRPr="0053555E" w:rsidRDefault="00725FE9" w:rsidP="00725FE9">
            <w:pPr>
              <w:jc w:val="center"/>
              <w:rPr>
                <w:rFonts w:asciiTheme="majorHAnsi" w:hAnsiTheme="majorHAnsi" w:cstheme="majorHAnsi"/>
                <w:sz w:val="22"/>
                <w:szCs w:val="22"/>
              </w:rPr>
            </w:pPr>
            <w:r w:rsidRPr="0053555E">
              <w:rPr>
                <w:rFonts w:cs="Calibri"/>
                <w:sz w:val="22"/>
                <w:szCs w:val="20"/>
              </w:rPr>
              <w:t>18</w:t>
            </w:r>
          </w:p>
        </w:tc>
        <w:tc>
          <w:tcPr>
            <w:tcW w:w="905" w:type="dxa"/>
            <w:tcBorders>
              <w:top w:val="nil"/>
              <w:left w:val="nil"/>
              <w:bottom w:val="single" w:sz="4" w:space="0" w:color="auto"/>
              <w:right w:val="single" w:sz="4" w:space="0" w:color="auto"/>
            </w:tcBorders>
            <w:shd w:val="clear" w:color="auto" w:fill="auto"/>
            <w:noWrap/>
            <w:vAlign w:val="bottom"/>
            <w:hideMark/>
          </w:tcPr>
          <w:p w14:paraId="4E911C3E" w14:textId="375B6066" w:rsidR="00725FE9" w:rsidRPr="0053555E" w:rsidRDefault="00725FE9" w:rsidP="00725FE9">
            <w:pPr>
              <w:jc w:val="center"/>
              <w:rPr>
                <w:rFonts w:asciiTheme="majorHAnsi" w:hAnsiTheme="majorHAnsi" w:cstheme="majorHAnsi"/>
                <w:sz w:val="22"/>
                <w:szCs w:val="22"/>
              </w:rPr>
            </w:pPr>
            <w:r w:rsidRPr="0053555E">
              <w:rPr>
                <w:rFonts w:cs="Calibri"/>
                <w:sz w:val="22"/>
                <w:szCs w:val="20"/>
              </w:rPr>
              <w:t>164</w:t>
            </w:r>
          </w:p>
        </w:tc>
        <w:tc>
          <w:tcPr>
            <w:tcW w:w="905" w:type="dxa"/>
            <w:tcBorders>
              <w:top w:val="nil"/>
              <w:left w:val="nil"/>
              <w:bottom w:val="single" w:sz="4" w:space="0" w:color="auto"/>
              <w:right w:val="single" w:sz="4" w:space="0" w:color="auto"/>
            </w:tcBorders>
            <w:shd w:val="clear" w:color="auto" w:fill="auto"/>
            <w:noWrap/>
            <w:vAlign w:val="bottom"/>
            <w:hideMark/>
          </w:tcPr>
          <w:p w14:paraId="2FF556A8" w14:textId="2A1E0A63" w:rsidR="00725FE9" w:rsidRPr="0053555E" w:rsidRDefault="00725FE9" w:rsidP="00725FE9">
            <w:pPr>
              <w:jc w:val="center"/>
              <w:rPr>
                <w:rFonts w:asciiTheme="majorHAnsi" w:hAnsiTheme="majorHAnsi" w:cstheme="majorHAnsi"/>
                <w:sz w:val="22"/>
                <w:szCs w:val="22"/>
              </w:rPr>
            </w:pPr>
            <w:r w:rsidRPr="0053555E">
              <w:rPr>
                <w:rFonts w:cs="Calibri"/>
                <w:sz w:val="22"/>
                <w:szCs w:val="20"/>
              </w:rPr>
              <w:t>164</w:t>
            </w:r>
          </w:p>
        </w:tc>
        <w:tc>
          <w:tcPr>
            <w:tcW w:w="905" w:type="dxa"/>
            <w:tcBorders>
              <w:top w:val="nil"/>
              <w:left w:val="nil"/>
              <w:bottom w:val="single" w:sz="4" w:space="0" w:color="auto"/>
              <w:right w:val="single" w:sz="4" w:space="0" w:color="auto"/>
            </w:tcBorders>
            <w:shd w:val="clear" w:color="auto" w:fill="auto"/>
            <w:noWrap/>
            <w:vAlign w:val="bottom"/>
            <w:hideMark/>
          </w:tcPr>
          <w:p w14:paraId="720A4697" w14:textId="4406EAB3" w:rsidR="00725FE9" w:rsidRPr="0053555E" w:rsidRDefault="00725FE9" w:rsidP="00725FE9">
            <w:pPr>
              <w:jc w:val="center"/>
              <w:rPr>
                <w:rFonts w:asciiTheme="majorHAnsi" w:hAnsiTheme="majorHAnsi" w:cstheme="majorHAnsi"/>
                <w:sz w:val="22"/>
                <w:szCs w:val="22"/>
              </w:rPr>
            </w:pPr>
            <w:r w:rsidRPr="0053555E">
              <w:rPr>
                <w:rFonts w:cs="Calibri"/>
                <w:sz w:val="22"/>
                <w:szCs w:val="20"/>
              </w:rPr>
              <w:t>21</w:t>
            </w:r>
          </w:p>
        </w:tc>
        <w:tc>
          <w:tcPr>
            <w:tcW w:w="905" w:type="dxa"/>
            <w:tcBorders>
              <w:top w:val="nil"/>
              <w:left w:val="nil"/>
              <w:bottom w:val="single" w:sz="4" w:space="0" w:color="auto"/>
              <w:right w:val="single" w:sz="4" w:space="0" w:color="auto"/>
            </w:tcBorders>
            <w:shd w:val="clear" w:color="auto" w:fill="auto"/>
            <w:noWrap/>
            <w:vAlign w:val="bottom"/>
            <w:hideMark/>
          </w:tcPr>
          <w:p w14:paraId="0F430DB6" w14:textId="75FECFF0" w:rsidR="00725FE9" w:rsidRPr="0053555E" w:rsidRDefault="00725FE9" w:rsidP="00725FE9">
            <w:pPr>
              <w:jc w:val="center"/>
              <w:rPr>
                <w:rFonts w:asciiTheme="majorHAnsi" w:hAnsiTheme="majorHAnsi" w:cstheme="majorHAnsi"/>
                <w:sz w:val="22"/>
                <w:szCs w:val="22"/>
              </w:rPr>
            </w:pPr>
            <w:r w:rsidRPr="0053555E">
              <w:rPr>
                <w:rFonts w:cs="Calibri"/>
                <w:sz w:val="22"/>
                <w:szCs w:val="20"/>
              </w:rPr>
              <w:t>179</w:t>
            </w:r>
          </w:p>
        </w:tc>
        <w:tc>
          <w:tcPr>
            <w:tcW w:w="906" w:type="dxa"/>
            <w:tcBorders>
              <w:top w:val="nil"/>
              <w:left w:val="nil"/>
              <w:bottom w:val="single" w:sz="4" w:space="0" w:color="auto"/>
              <w:right w:val="single" w:sz="4" w:space="0" w:color="auto"/>
            </w:tcBorders>
            <w:shd w:val="clear" w:color="auto" w:fill="auto"/>
            <w:noWrap/>
            <w:vAlign w:val="bottom"/>
            <w:hideMark/>
          </w:tcPr>
          <w:p w14:paraId="1A71C687" w14:textId="756D5055" w:rsidR="00725FE9" w:rsidRPr="0053555E" w:rsidRDefault="00725FE9" w:rsidP="00725FE9">
            <w:pPr>
              <w:jc w:val="center"/>
              <w:rPr>
                <w:rFonts w:asciiTheme="majorHAnsi" w:hAnsiTheme="majorHAnsi" w:cstheme="majorHAnsi"/>
                <w:sz w:val="22"/>
                <w:szCs w:val="22"/>
              </w:rPr>
            </w:pPr>
            <w:r w:rsidRPr="0053555E">
              <w:rPr>
                <w:rFonts w:cs="Calibri"/>
                <w:sz w:val="22"/>
                <w:szCs w:val="20"/>
              </w:rPr>
              <w:t>179</w:t>
            </w:r>
          </w:p>
        </w:tc>
      </w:tr>
      <w:tr w:rsidR="00725FE9" w:rsidRPr="0053555E" w14:paraId="2796DBAF" w14:textId="77777777" w:rsidTr="00FB4951">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6860522" w14:textId="77777777" w:rsidR="00725FE9" w:rsidRPr="0053555E" w:rsidRDefault="00725FE9" w:rsidP="00725FE9">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FAD</w:t>
            </w:r>
          </w:p>
        </w:tc>
        <w:tc>
          <w:tcPr>
            <w:tcW w:w="905" w:type="dxa"/>
            <w:tcBorders>
              <w:top w:val="nil"/>
              <w:left w:val="nil"/>
              <w:bottom w:val="single" w:sz="4" w:space="0" w:color="auto"/>
              <w:right w:val="single" w:sz="4" w:space="0" w:color="auto"/>
            </w:tcBorders>
            <w:shd w:val="clear" w:color="auto" w:fill="auto"/>
            <w:noWrap/>
            <w:vAlign w:val="bottom"/>
            <w:hideMark/>
          </w:tcPr>
          <w:p w14:paraId="6E7FCE81" w14:textId="58D1F90A" w:rsidR="00725FE9" w:rsidRPr="0053555E" w:rsidRDefault="00725FE9" w:rsidP="00725FE9">
            <w:pPr>
              <w:jc w:val="center"/>
              <w:rPr>
                <w:rFonts w:asciiTheme="majorHAnsi" w:hAnsiTheme="majorHAnsi" w:cstheme="majorHAnsi"/>
                <w:sz w:val="22"/>
                <w:szCs w:val="22"/>
              </w:rPr>
            </w:pPr>
            <w:r w:rsidRPr="0053555E">
              <w:rPr>
                <w:rFonts w:cs="Calibri"/>
                <w:sz w:val="22"/>
                <w:szCs w:val="20"/>
              </w:rPr>
              <w:t>7</w:t>
            </w:r>
          </w:p>
        </w:tc>
        <w:tc>
          <w:tcPr>
            <w:tcW w:w="905" w:type="dxa"/>
            <w:tcBorders>
              <w:top w:val="nil"/>
              <w:left w:val="nil"/>
              <w:bottom w:val="single" w:sz="4" w:space="0" w:color="auto"/>
              <w:right w:val="single" w:sz="4" w:space="0" w:color="auto"/>
            </w:tcBorders>
            <w:shd w:val="clear" w:color="auto" w:fill="auto"/>
            <w:noWrap/>
            <w:vAlign w:val="bottom"/>
            <w:hideMark/>
          </w:tcPr>
          <w:p w14:paraId="38220CF2" w14:textId="183FD503" w:rsidR="00725FE9" w:rsidRPr="0053555E" w:rsidRDefault="00725FE9" w:rsidP="00725FE9">
            <w:pPr>
              <w:jc w:val="center"/>
              <w:rPr>
                <w:rFonts w:asciiTheme="majorHAnsi" w:hAnsiTheme="majorHAnsi" w:cstheme="majorHAnsi"/>
                <w:sz w:val="22"/>
                <w:szCs w:val="22"/>
              </w:rPr>
            </w:pPr>
            <w:r w:rsidRPr="0053555E">
              <w:rPr>
                <w:rFonts w:cs="Calibri"/>
                <w:sz w:val="22"/>
                <w:szCs w:val="20"/>
              </w:rPr>
              <w:t>248</w:t>
            </w:r>
          </w:p>
        </w:tc>
        <w:tc>
          <w:tcPr>
            <w:tcW w:w="905" w:type="dxa"/>
            <w:tcBorders>
              <w:top w:val="nil"/>
              <w:left w:val="nil"/>
              <w:bottom w:val="single" w:sz="4" w:space="0" w:color="auto"/>
              <w:right w:val="single" w:sz="4" w:space="0" w:color="auto"/>
            </w:tcBorders>
            <w:shd w:val="clear" w:color="auto" w:fill="auto"/>
            <w:noWrap/>
            <w:vAlign w:val="bottom"/>
            <w:hideMark/>
          </w:tcPr>
          <w:p w14:paraId="0D5770EA" w14:textId="7A763A1E" w:rsidR="00725FE9" w:rsidRPr="0053555E" w:rsidRDefault="00725FE9" w:rsidP="00725FE9">
            <w:pPr>
              <w:jc w:val="center"/>
              <w:rPr>
                <w:rFonts w:asciiTheme="majorHAnsi" w:hAnsiTheme="majorHAnsi" w:cstheme="majorHAnsi"/>
                <w:sz w:val="22"/>
                <w:szCs w:val="22"/>
              </w:rPr>
            </w:pPr>
            <w:r w:rsidRPr="0053555E">
              <w:rPr>
                <w:rFonts w:cs="Calibri"/>
                <w:sz w:val="22"/>
                <w:szCs w:val="20"/>
              </w:rPr>
              <w:t>305</w:t>
            </w:r>
          </w:p>
        </w:tc>
        <w:tc>
          <w:tcPr>
            <w:tcW w:w="905" w:type="dxa"/>
            <w:tcBorders>
              <w:top w:val="nil"/>
              <w:left w:val="nil"/>
              <w:bottom w:val="single" w:sz="4" w:space="0" w:color="auto"/>
              <w:right w:val="single" w:sz="4" w:space="0" w:color="auto"/>
            </w:tcBorders>
            <w:shd w:val="clear" w:color="auto" w:fill="auto"/>
            <w:noWrap/>
            <w:vAlign w:val="bottom"/>
            <w:hideMark/>
          </w:tcPr>
          <w:p w14:paraId="6E93820B" w14:textId="3D41F755" w:rsidR="00725FE9" w:rsidRPr="0053555E" w:rsidRDefault="00725FE9" w:rsidP="00725FE9">
            <w:pPr>
              <w:jc w:val="center"/>
              <w:rPr>
                <w:rFonts w:asciiTheme="majorHAnsi" w:hAnsiTheme="majorHAnsi" w:cstheme="majorHAnsi"/>
                <w:sz w:val="22"/>
                <w:szCs w:val="22"/>
              </w:rPr>
            </w:pPr>
            <w:r w:rsidRPr="0053555E">
              <w:rPr>
                <w:rFonts w:cs="Calibri"/>
                <w:sz w:val="22"/>
                <w:szCs w:val="20"/>
              </w:rPr>
              <w:t>8</w:t>
            </w:r>
          </w:p>
        </w:tc>
        <w:tc>
          <w:tcPr>
            <w:tcW w:w="905" w:type="dxa"/>
            <w:tcBorders>
              <w:top w:val="nil"/>
              <w:left w:val="nil"/>
              <w:bottom w:val="single" w:sz="4" w:space="0" w:color="auto"/>
              <w:right w:val="single" w:sz="4" w:space="0" w:color="auto"/>
            </w:tcBorders>
            <w:shd w:val="clear" w:color="auto" w:fill="auto"/>
            <w:noWrap/>
            <w:vAlign w:val="bottom"/>
            <w:hideMark/>
          </w:tcPr>
          <w:p w14:paraId="2BF0D350" w14:textId="55426CFD" w:rsidR="00725FE9" w:rsidRPr="0053555E" w:rsidRDefault="00725FE9" w:rsidP="00725FE9">
            <w:pPr>
              <w:jc w:val="center"/>
              <w:rPr>
                <w:rFonts w:asciiTheme="majorHAnsi" w:hAnsiTheme="majorHAnsi" w:cstheme="majorHAnsi"/>
                <w:sz w:val="22"/>
                <w:szCs w:val="22"/>
              </w:rPr>
            </w:pPr>
            <w:r w:rsidRPr="0053555E">
              <w:rPr>
                <w:rFonts w:cs="Calibri"/>
                <w:sz w:val="22"/>
                <w:szCs w:val="20"/>
              </w:rPr>
              <w:t>238</w:t>
            </w:r>
          </w:p>
        </w:tc>
        <w:tc>
          <w:tcPr>
            <w:tcW w:w="905" w:type="dxa"/>
            <w:tcBorders>
              <w:top w:val="nil"/>
              <w:left w:val="nil"/>
              <w:bottom w:val="single" w:sz="4" w:space="0" w:color="auto"/>
              <w:right w:val="single" w:sz="4" w:space="0" w:color="auto"/>
            </w:tcBorders>
            <w:shd w:val="clear" w:color="auto" w:fill="auto"/>
            <w:noWrap/>
            <w:vAlign w:val="bottom"/>
            <w:hideMark/>
          </w:tcPr>
          <w:p w14:paraId="50E76C84" w14:textId="15BF8B4B" w:rsidR="00725FE9" w:rsidRPr="0053555E" w:rsidRDefault="00725FE9" w:rsidP="00725FE9">
            <w:pPr>
              <w:jc w:val="center"/>
              <w:rPr>
                <w:rFonts w:asciiTheme="majorHAnsi" w:hAnsiTheme="majorHAnsi" w:cstheme="majorHAnsi"/>
                <w:sz w:val="22"/>
                <w:szCs w:val="22"/>
              </w:rPr>
            </w:pPr>
            <w:r w:rsidRPr="0053555E">
              <w:rPr>
                <w:rFonts w:cs="Calibri"/>
                <w:sz w:val="22"/>
                <w:szCs w:val="20"/>
              </w:rPr>
              <w:t>295</w:t>
            </w:r>
          </w:p>
        </w:tc>
        <w:tc>
          <w:tcPr>
            <w:tcW w:w="905" w:type="dxa"/>
            <w:tcBorders>
              <w:top w:val="nil"/>
              <w:left w:val="nil"/>
              <w:bottom w:val="single" w:sz="4" w:space="0" w:color="auto"/>
              <w:right w:val="single" w:sz="4" w:space="0" w:color="auto"/>
            </w:tcBorders>
            <w:shd w:val="clear" w:color="auto" w:fill="auto"/>
            <w:noWrap/>
            <w:vAlign w:val="bottom"/>
            <w:hideMark/>
          </w:tcPr>
          <w:p w14:paraId="593AF698" w14:textId="34EAC1F2" w:rsidR="00725FE9" w:rsidRPr="0053555E" w:rsidRDefault="00725FE9" w:rsidP="00725FE9">
            <w:pPr>
              <w:jc w:val="center"/>
              <w:rPr>
                <w:rFonts w:asciiTheme="majorHAnsi" w:hAnsiTheme="majorHAnsi" w:cstheme="majorHAnsi"/>
                <w:sz w:val="22"/>
                <w:szCs w:val="22"/>
              </w:rPr>
            </w:pPr>
            <w:r w:rsidRPr="0053555E">
              <w:rPr>
                <w:rFonts w:cs="Calibri"/>
                <w:sz w:val="22"/>
                <w:szCs w:val="20"/>
              </w:rPr>
              <w:t>8</w:t>
            </w:r>
          </w:p>
        </w:tc>
        <w:tc>
          <w:tcPr>
            <w:tcW w:w="905" w:type="dxa"/>
            <w:tcBorders>
              <w:top w:val="nil"/>
              <w:left w:val="nil"/>
              <w:bottom w:val="single" w:sz="4" w:space="0" w:color="auto"/>
              <w:right w:val="single" w:sz="4" w:space="0" w:color="auto"/>
            </w:tcBorders>
            <w:shd w:val="clear" w:color="auto" w:fill="auto"/>
            <w:noWrap/>
            <w:vAlign w:val="bottom"/>
            <w:hideMark/>
          </w:tcPr>
          <w:p w14:paraId="4612FB9C" w14:textId="20E75DC1" w:rsidR="00725FE9" w:rsidRPr="0053555E" w:rsidRDefault="00725FE9" w:rsidP="00725FE9">
            <w:pPr>
              <w:jc w:val="center"/>
              <w:rPr>
                <w:rFonts w:asciiTheme="majorHAnsi" w:hAnsiTheme="majorHAnsi" w:cstheme="majorHAnsi"/>
                <w:sz w:val="22"/>
                <w:szCs w:val="22"/>
              </w:rPr>
            </w:pPr>
            <w:r w:rsidRPr="0053555E">
              <w:rPr>
                <w:rFonts w:cs="Calibri"/>
                <w:sz w:val="22"/>
                <w:szCs w:val="20"/>
              </w:rPr>
              <w:t>221</w:t>
            </w:r>
          </w:p>
        </w:tc>
        <w:tc>
          <w:tcPr>
            <w:tcW w:w="906" w:type="dxa"/>
            <w:tcBorders>
              <w:top w:val="nil"/>
              <w:left w:val="nil"/>
              <w:bottom w:val="single" w:sz="4" w:space="0" w:color="auto"/>
              <w:right w:val="single" w:sz="4" w:space="0" w:color="auto"/>
            </w:tcBorders>
            <w:shd w:val="clear" w:color="auto" w:fill="auto"/>
            <w:noWrap/>
            <w:vAlign w:val="bottom"/>
            <w:hideMark/>
          </w:tcPr>
          <w:p w14:paraId="614B7A11" w14:textId="32915379" w:rsidR="00725FE9" w:rsidRPr="0053555E" w:rsidRDefault="00725FE9" w:rsidP="00725FE9">
            <w:pPr>
              <w:jc w:val="center"/>
              <w:rPr>
                <w:rFonts w:asciiTheme="majorHAnsi" w:hAnsiTheme="majorHAnsi" w:cstheme="majorHAnsi"/>
                <w:sz w:val="22"/>
                <w:szCs w:val="22"/>
              </w:rPr>
            </w:pPr>
            <w:r w:rsidRPr="0053555E">
              <w:rPr>
                <w:rFonts w:cs="Calibri"/>
                <w:sz w:val="22"/>
                <w:szCs w:val="20"/>
              </w:rPr>
              <w:t>240</w:t>
            </w:r>
          </w:p>
        </w:tc>
      </w:tr>
      <w:tr w:rsidR="00725FE9" w:rsidRPr="0053555E" w14:paraId="332DAB06" w14:textId="77777777" w:rsidTr="00725FE9">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1768590" w14:textId="77777777" w:rsidR="00725FE9" w:rsidRPr="0053555E" w:rsidRDefault="00725FE9" w:rsidP="00725FE9">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MTF</w:t>
            </w:r>
          </w:p>
        </w:tc>
        <w:tc>
          <w:tcPr>
            <w:tcW w:w="905" w:type="dxa"/>
            <w:tcBorders>
              <w:top w:val="nil"/>
              <w:left w:val="nil"/>
              <w:bottom w:val="single" w:sz="4" w:space="0" w:color="auto"/>
              <w:right w:val="single" w:sz="4" w:space="0" w:color="auto"/>
            </w:tcBorders>
            <w:shd w:val="clear" w:color="auto" w:fill="auto"/>
            <w:noWrap/>
            <w:vAlign w:val="bottom"/>
          </w:tcPr>
          <w:p w14:paraId="1AEEDFF9" w14:textId="22FC498E" w:rsidR="00725FE9" w:rsidRPr="0053555E" w:rsidRDefault="00725FE9" w:rsidP="00725FE9">
            <w:pPr>
              <w:jc w:val="center"/>
              <w:rPr>
                <w:rFonts w:asciiTheme="majorHAnsi" w:hAnsiTheme="majorHAnsi" w:cstheme="majorHAnsi"/>
                <w:sz w:val="22"/>
                <w:szCs w:val="22"/>
              </w:rPr>
            </w:pPr>
          </w:p>
        </w:tc>
        <w:tc>
          <w:tcPr>
            <w:tcW w:w="905" w:type="dxa"/>
            <w:tcBorders>
              <w:top w:val="nil"/>
              <w:left w:val="nil"/>
              <w:bottom w:val="single" w:sz="4" w:space="0" w:color="auto"/>
              <w:right w:val="single" w:sz="4" w:space="0" w:color="auto"/>
            </w:tcBorders>
            <w:shd w:val="clear" w:color="auto" w:fill="auto"/>
            <w:noWrap/>
            <w:vAlign w:val="bottom"/>
          </w:tcPr>
          <w:p w14:paraId="59131432" w14:textId="12C8233B" w:rsidR="00725FE9" w:rsidRPr="0053555E" w:rsidRDefault="00725FE9" w:rsidP="00725FE9">
            <w:pPr>
              <w:jc w:val="center"/>
              <w:rPr>
                <w:rFonts w:asciiTheme="majorHAnsi" w:hAnsiTheme="majorHAnsi" w:cstheme="majorHAnsi"/>
                <w:sz w:val="22"/>
                <w:szCs w:val="22"/>
              </w:rPr>
            </w:pPr>
          </w:p>
        </w:tc>
        <w:tc>
          <w:tcPr>
            <w:tcW w:w="905" w:type="dxa"/>
            <w:tcBorders>
              <w:top w:val="nil"/>
              <w:left w:val="nil"/>
              <w:bottom w:val="single" w:sz="4" w:space="0" w:color="auto"/>
              <w:right w:val="single" w:sz="4" w:space="0" w:color="auto"/>
            </w:tcBorders>
            <w:shd w:val="clear" w:color="auto" w:fill="auto"/>
            <w:noWrap/>
            <w:vAlign w:val="bottom"/>
          </w:tcPr>
          <w:p w14:paraId="4BFA999B" w14:textId="592C47B7" w:rsidR="00725FE9" w:rsidRPr="0053555E" w:rsidRDefault="00725FE9" w:rsidP="00725FE9">
            <w:pPr>
              <w:jc w:val="center"/>
              <w:rPr>
                <w:rFonts w:asciiTheme="majorHAnsi" w:hAnsiTheme="majorHAnsi" w:cstheme="majorHAnsi"/>
                <w:sz w:val="22"/>
                <w:szCs w:val="22"/>
              </w:rPr>
            </w:pPr>
          </w:p>
        </w:tc>
        <w:tc>
          <w:tcPr>
            <w:tcW w:w="905" w:type="dxa"/>
            <w:tcBorders>
              <w:top w:val="nil"/>
              <w:left w:val="nil"/>
              <w:bottom w:val="single" w:sz="4" w:space="0" w:color="auto"/>
              <w:right w:val="single" w:sz="4" w:space="0" w:color="auto"/>
            </w:tcBorders>
            <w:shd w:val="clear" w:color="auto" w:fill="auto"/>
            <w:noWrap/>
            <w:vAlign w:val="bottom"/>
          </w:tcPr>
          <w:p w14:paraId="67E3A82C" w14:textId="56725A89" w:rsidR="00725FE9" w:rsidRPr="0053555E" w:rsidRDefault="00725FE9" w:rsidP="00725FE9">
            <w:pPr>
              <w:jc w:val="center"/>
              <w:rPr>
                <w:rFonts w:asciiTheme="majorHAnsi" w:hAnsiTheme="majorHAnsi" w:cstheme="majorHAnsi"/>
                <w:sz w:val="22"/>
                <w:szCs w:val="22"/>
              </w:rPr>
            </w:pPr>
            <w:r w:rsidRPr="0053555E">
              <w:rPr>
                <w:rFonts w:cs="Calibri"/>
                <w:sz w:val="22"/>
                <w:szCs w:val="20"/>
              </w:rPr>
              <w:t>9</w:t>
            </w:r>
          </w:p>
        </w:tc>
        <w:tc>
          <w:tcPr>
            <w:tcW w:w="905" w:type="dxa"/>
            <w:tcBorders>
              <w:top w:val="nil"/>
              <w:left w:val="nil"/>
              <w:bottom w:val="single" w:sz="4" w:space="0" w:color="auto"/>
              <w:right w:val="single" w:sz="4" w:space="0" w:color="auto"/>
            </w:tcBorders>
            <w:shd w:val="clear" w:color="auto" w:fill="auto"/>
            <w:noWrap/>
            <w:vAlign w:val="bottom"/>
          </w:tcPr>
          <w:p w14:paraId="23B78A29" w14:textId="7C081D59" w:rsidR="00725FE9" w:rsidRPr="0053555E" w:rsidRDefault="00725FE9" w:rsidP="00725FE9">
            <w:pPr>
              <w:jc w:val="center"/>
              <w:rPr>
                <w:rFonts w:asciiTheme="majorHAnsi" w:hAnsiTheme="majorHAnsi" w:cstheme="majorHAnsi"/>
                <w:sz w:val="22"/>
                <w:szCs w:val="22"/>
              </w:rPr>
            </w:pPr>
            <w:r w:rsidRPr="0053555E">
              <w:rPr>
                <w:rFonts w:cs="Calibri"/>
                <w:sz w:val="22"/>
                <w:szCs w:val="20"/>
              </w:rPr>
              <w:t>56</w:t>
            </w:r>
          </w:p>
        </w:tc>
        <w:tc>
          <w:tcPr>
            <w:tcW w:w="905" w:type="dxa"/>
            <w:tcBorders>
              <w:top w:val="nil"/>
              <w:left w:val="nil"/>
              <w:bottom w:val="single" w:sz="4" w:space="0" w:color="auto"/>
              <w:right w:val="single" w:sz="4" w:space="0" w:color="auto"/>
            </w:tcBorders>
            <w:shd w:val="clear" w:color="auto" w:fill="auto"/>
            <w:noWrap/>
            <w:vAlign w:val="bottom"/>
          </w:tcPr>
          <w:p w14:paraId="533C0921" w14:textId="5E5AC888" w:rsidR="00725FE9" w:rsidRPr="0053555E" w:rsidRDefault="00725FE9" w:rsidP="00725FE9">
            <w:pPr>
              <w:jc w:val="center"/>
              <w:rPr>
                <w:rFonts w:asciiTheme="majorHAnsi" w:hAnsiTheme="majorHAnsi" w:cstheme="majorHAnsi"/>
                <w:sz w:val="22"/>
                <w:szCs w:val="22"/>
              </w:rPr>
            </w:pPr>
            <w:r w:rsidRPr="0053555E">
              <w:rPr>
                <w:rFonts w:cs="Calibri"/>
                <w:sz w:val="22"/>
                <w:szCs w:val="20"/>
              </w:rPr>
              <w:t>65</w:t>
            </w:r>
          </w:p>
        </w:tc>
        <w:tc>
          <w:tcPr>
            <w:tcW w:w="905" w:type="dxa"/>
            <w:tcBorders>
              <w:top w:val="nil"/>
              <w:left w:val="nil"/>
              <w:bottom w:val="single" w:sz="4" w:space="0" w:color="auto"/>
              <w:right w:val="single" w:sz="4" w:space="0" w:color="auto"/>
            </w:tcBorders>
            <w:shd w:val="clear" w:color="auto" w:fill="auto"/>
            <w:noWrap/>
            <w:vAlign w:val="bottom"/>
          </w:tcPr>
          <w:p w14:paraId="413726B5" w14:textId="37FC3802" w:rsidR="00725FE9" w:rsidRPr="0053555E" w:rsidRDefault="00725FE9" w:rsidP="00725FE9">
            <w:pPr>
              <w:jc w:val="center"/>
              <w:rPr>
                <w:rFonts w:asciiTheme="majorHAnsi" w:hAnsiTheme="majorHAnsi" w:cstheme="majorHAnsi"/>
                <w:sz w:val="22"/>
                <w:szCs w:val="22"/>
              </w:rPr>
            </w:pPr>
            <w:r w:rsidRPr="0053555E">
              <w:rPr>
                <w:rFonts w:cs="Calibri"/>
                <w:sz w:val="22"/>
                <w:szCs w:val="20"/>
              </w:rPr>
              <w:t>12</w:t>
            </w:r>
          </w:p>
        </w:tc>
        <w:tc>
          <w:tcPr>
            <w:tcW w:w="905" w:type="dxa"/>
            <w:tcBorders>
              <w:top w:val="nil"/>
              <w:left w:val="nil"/>
              <w:bottom w:val="single" w:sz="4" w:space="0" w:color="auto"/>
              <w:right w:val="single" w:sz="4" w:space="0" w:color="auto"/>
            </w:tcBorders>
            <w:shd w:val="clear" w:color="auto" w:fill="auto"/>
            <w:noWrap/>
            <w:vAlign w:val="bottom"/>
          </w:tcPr>
          <w:p w14:paraId="7BD4C0EC" w14:textId="5332A643" w:rsidR="00725FE9" w:rsidRPr="0053555E" w:rsidRDefault="00725FE9" w:rsidP="00725FE9">
            <w:pPr>
              <w:jc w:val="center"/>
              <w:rPr>
                <w:rFonts w:asciiTheme="majorHAnsi" w:hAnsiTheme="majorHAnsi" w:cstheme="majorHAnsi"/>
                <w:sz w:val="22"/>
                <w:szCs w:val="22"/>
              </w:rPr>
            </w:pPr>
            <w:r w:rsidRPr="0053555E">
              <w:rPr>
                <w:rFonts w:cs="Calibri"/>
                <w:sz w:val="22"/>
                <w:szCs w:val="20"/>
              </w:rPr>
              <w:t>84</w:t>
            </w:r>
          </w:p>
        </w:tc>
        <w:tc>
          <w:tcPr>
            <w:tcW w:w="906" w:type="dxa"/>
            <w:tcBorders>
              <w:top w:val="nil"/>
              <w:left w:val="nil"/>
              <w:bottom w:val="single" w:sz="4" w:space="0" w:color="auto"/>
              <w:right w:val="single" w:sz="4" w:space="0" w:color="auto"/>
            </w:tcBorders>
            <w:shd w:val="clear" w:color="auto" w:fill="auto"/>
            <w:noWrap/>
            <w:vAlign w:val="bottom"/>
          </w:tcPr>
          <w:p w14:paraId="2BFA0F67" w14:textId="6C9CBD34" w:rsidR="00725FE9" w:rsidRPr="0053555E" w:rsidRDefault="00725FE9" w:rsidP="00725FE9">
            <w:pPr>
              <w:jc w:val="center"/>
              <w:rPr>
                <w:rFonts w:asciiTheme="majorHAnsi" w:hAnsiTheme="majorHAnsi" w:cstheme="majorHAnsi"/>
                <w:sz w:val="22"/>
                <w:szCs w:val="22"/>
              </w:rPr>
            </w:pPr>
            <w:r w:rsidRPr="0053555E">
              <w:rPr>
                <w:rFonts w:cs="Calibri"/>
                <w:sz w:val="22"/>
                <w:szCs w:val="20"/>
              </w:rPr>
              <w:t>99</w:t>
            </w:r>
          </w:p>
        </w:tc>
      </w:tr>
      <w:tr w:rsidR="00725FE9" w:rsidRPr="0053555E" w14:paraId="1B2CAA03" w14:textId="77777777" w:rsidTr="00FB4951">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A06DF64" w14:textId="77777777" w:rsidR="00725FE9" w:rsidRPr="0053555E" w:rsidRDefault="00725FE9" w:rsidP="00725FE9">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FIIT</w:t>
            </w:r>
          </w:p>
        </w:tc>
        <w:tc>
          <w:tcPr>
            <w:tcW w:w="905" w:type="dxa"/>
            <w:tcBorders>
              <w:top w:val="nil"/>
              <w:left w:val="nil"/>
              <w:bottom w:val="single" w:sz="4" w:space="0" w:color="auto"/>
              <w:right w:val="single" w:sz="4" w:space="0" w:color="auto"/>
            </w:tcBorders>
            <w:shd w:val="clear" w:color="000000" w:fill="FFFFFF"/>
            <w:noWrap/>
            <w:vAlign w:val="bottom"/>
            <w:hideMark/>
          </w:tcPr>
          <w:p w14:paraId="74B4F3D7" w14:textId="08065DBB" w:rsidR="00725FE9" w:rsidRPr="0053555E" w:rsidRDefault="00725FE9" w:rsidP="00725FE9">
            <w:pPr>
              <w:jc w:val="center"/>
              <w:rPr>
                <w:rFonts w:asciiTheme="majorHAnsi" w:hAnsiTheme="majorHAnsi" w:cstheme="majorHAnsi"/>
                <w:sz w:val="22"/>
                <w:szCs w:val="22"/>
              </w:rPr>
            </w:pPr>
            <w:r w:rsidRPr="0053555E">
              <w:rPr>
                <w:rFonts w:cs="Calibri"/>
                <w:sz w:val="22"/>
                <w:szCs w:val="20"/>
              </w:rPr>
              <w:t>1</w:t>
            </w:r>
          </w:p>
        </w:tc>
        <w:tc>
          <w:tcPr>
            <w:tcW w:w="905" w:type="dxa"/>
            <w:tcBorders>
              <w:top w:val="nil"/>
              <w:left w:val="nil"/>
              <w:bottom w:val="single" w:sz="4" w:space="0" w:color="auto"/>
              <w:right w:val="single" w:sz="4" w:space="0" w:color="auto"/>
            </w:tcBorders>
            <w:shd w:val="clear" w:color="000000" w:fill="FFFFFF"/>
            <w:noWrap/>
            <w:vAlign w:val="bottom"/>
            <w:hideMark/>
          </w:tcPr>
          <w:p w14:paraId="5CFB6A54" w14:textId="6622B208" w:rsidR="00725FE9" w:rsidRPr="0053555E" w:rsidRDefault="00725FE9" w:rsidP="00725FE9">
            <w:pPr>
              <w:jc w:val="center"/>
              <w:rPr>
                <w:rFonts w:asciiTheme="majorHAnsi" w:hAnsiTheme="majorHAnsi" w:cstheme="majorHAnsi"/>
                <w:sz w:val="22"/>
                <w:szCs w:val="22"/>
              </w:rPr>
            </w:pPr>
            <w:r w:rsidRPr="0053555E">
              <w:rPr>
                <w:rFonts w:cs="Calibri"/>
                <w:sz w:val="22"/>
                <w:szCs w:val="20"/>
              </w:rPr>
              <w:t>46</w:t>
            </w:r>
          </w:p>
        </w:tc>
        <w:tc>
          <w:tcPr>
            <w:tcW w:w="905" w:type="dxa"/>
            <w:tcBorders>
              <w:top w:val="nil"/>
              <w:left w:val="nil"/>
              <w:bottom w:val="single" w:sz="4" w:space="0" w:color="auto"/>
              <w:right w:val="single" w:sz="4" w:space="0" w:color="auto"/>
            </w:tcBorders>
            <w:shd w:val="clear" w:color="000000" w:fill="FFFFFF"/>
            <w:noWrap/>
            <w:vAlign w:val="bottom"/>
            <w:hideMark/>
          </w:tcPr>
          <w:p w14:paraId="342AEFA9" w14:textId="2470EF81" w:rsidR="00725FE9" w:rsidRPr="0053555E" w:rsidRDefault="00725FE9" w:rsidP="00725FE9">
            <w:pPr>
              <w:jc w:val="center"/>
              <w:rPr>
                <w:rFonts w:asciiTheme="majorHAnsi" w:hAnsiTheme="majorHAnsi" w:cstheme="majorHAnsi"/>
                <w:sz w:val="22"/>
                <w:szCs w:val="22"/>
              </w:rPr>
            </w:pPr>
            <w:r w:rsidRPr="0053555E">
              <w:rPr>
                <w:rFonts w:cs="Calibri"/>
                <w:sz w:val="22"/>
                <w:szCs w:val="20"/>
              </w:rPr>
              <w:t>56</w:t>
            </w:r>
          </w:p>
        </w:tc>
        <w:tc>
          <w:tcPr>
            <w:tcW w:w="905" w:type="dxa"/>
            <w:tcBorders>
              <w:top w:val="nil"/>
              <w:left w:val="nil"/>
              <w:bottom w:val="single" w:sz="4" w:space="0" w:color="auto"/>
              <w:right w:val="single" w:sz="4" w:space="0" w:color="auto"/>
            </w:tcBorders>
            <w:shd w:val="clear" w:color="auto" w:fill="auto"/>
            <w:noWrap/>
            <w:vAlign w:val="bottom"/>
            <w:hideMark/>
          </w:tcPr>
          <w:p w14:paraId="6E38E362" w14:textId="098376CF" w:rsidR="00725FE9" w:rsidRPr="0053555E" w:rsidRDefault="00725FE9" w:rsidP="00725FE9">
            <w:pPr>
              <w:jc w:val="center"/>
              <w:rPr>
                <w:rFonts w:asciiTheme="majorHAnsi" w:hAnsiTheme="majorHAnsi" w:cstheme="majorHAnsi"/>
                <w:sz w:val="22"/>
                <w:szCs w:val="22"/>
              </w:rPr>
            </w:pPr>
            <w:r w:rsidRPr="0053555E">
              <w:rPr>
                <w:rFonts w:cs="Calibri"/>
                <w:sz w:val="22"/>
                <w:szCs w:val="20"/>
              </w:rPr>
              <w:t>3</w:t>
            </w:r>
          </w:p>
        </w:tc>
        <w:tc>
          <w:tcPr>
            <w:tcW w:w="905" w:type="dxa"/>
            <w:tcBorders>
              <w:top w:val="nil"/>
              <w:left w:val="nil"/>
              <w:bottom w:val="single" w:sz="4" w:space="0" w:color="auto"/>
              <w:right w:val="single" w:sz="4" w:space="0" w:color="auto"/>
            </w:tcBorders>
            <w:shd w:val="clear" w:color="auto" w:fill="auto"/>
            <w:noWrap/>
            <w:vAlign w:val="bottom"/>
            <w:hideMark/>
          </w:tcPr>
          <w:p w14:paraId="17782143" w14:textId="09072D01" w:rsidR="00725FE9" w:rsidRPr="0053555E" w:rsidRDefault="00725FE9" w:rsidP="00725FE9">
            <w:pPr>
              <w:jc w:val="center"/>
              <w:rPr>
                <w:rFonts w:asciiTheme="majorHAnsi" w:hAnsiTheme="majorHAnsi" w:cstheme="majorHAnsi"/>
                <w:sz w:val="22"/>
                <w:szCs w:val="22"/>
              </w:rPr>
            </w:pPr>
            <w:r w:rsidRPr="0053555E">
              <w:rPr>
                <w:rFonts w:cs="Calibri"/>
                <w:sz w:val="22"/>
                <w:szCs w:val="20"/>
              </w:rPr>
              <w:t>67</w:t>
            </w:r>
          </w:p>
        </w:tc>
        <w:tc>
          <w:tcPr>
            <w:tcW w:w="905" w:type="dxa"/>
            <w:tcBorders>
              <w:top w:val="nil"/>
              <w:left w:val="nil"/>
              <w:bottom w:val="single" w:sz="4" w:space="0" w:color="auto"/>
              <w:right w:val="single" w:sz="4" w:space="0" w:color="auto"/>
            </w:tcBorders>
            <w:shd w:val="clear" w:color="auto" w:fill="auto"/>
            <w:noWrap/>
            <w:vAlign w:val="bottom"/>
            <w:hideMark/>
          </w:tcPr>
          <w:p w14:paraId="76A0C826" w14:textId="4D78ED4F" w:rsidR="00725FE9" w:rsidRPr="0053555E" w:rsidRDefault="00725FE9" w:rsidP="00725FE9">
            <w:pPr>
              <w:jc w:val="center"/>
              <w:rPr>
                <w:rFonts w:asciiTheme="majorHAnsi" w:hAnsiTheme="majorHAnsi" w:cstheme="majorHAnsi"/>
                <w:sz w:val="22"/>
                <w:szCs w:val="22"/>
              </w:rPr>
            </w:pPr>
            <w:r w:rsidRPr="0053555E">
              <w:rPr>
                <w:rFonts w:cs="Calibri"/>
                <w:sz w:val="22"/>
                <w:szCs w:val="20"/>
              </w:rPr>
              <w:t>67</w:t>
            </w:r>
          </w:p>
        </w:tc>
        <w:tc>
          <w:tcPr>
            <w:tcW w:w="905" w:type="dxa"/>
            <w:tcBorders>
              <w:top w:val="nil"/>
              <w:left w:val="nil"/>
              <w:bottom w:val="single" w:sz="4" w:space="0" w:color="auto"/>
              <w:right w:val="single" w:sz="4" w:space="0" w:color="auto"/>
            </w:tcBorders>
            <w:shd w:val="clear" w:color="auto" w:fill="auto"/>
            <w:noWrap/>
            <w:vAlign w:val="bottom"/>
            <w:hideMark/>
          </w:tcPr>
          <w:p w14:paraId="112B5E95" w14:textId="0EB0DBF1" w:rsidR="00725FE9" w:rsidRPr="0053555E" w:rsidRDefault="00725FE9" w:rsidP="00725FE9">
            <w:pPr>
              <w:jc w:val="center"/>
              <w:rPr>
                <w:rFonts w:asciiTheme="majorHAnsi" w:hAnsiTheme="majorHAnsi" w:cstheme="majorHAnsi"/>
                <w:sz w:val="22"/>
                <w:szCs w:val="22"/>
              </w:rPr>
            </w:pPr>
            <w:r w:rsidRPr="0053555E">
              <w:rPr>
                <w:rFonts w:cs="Calibri"/>
                <w:sz w:val="22"/>
                <w:szCs w:val="20"/>
              </w:rPr>
              <w:t>3</w:t>
            </w:r>
          </w:p>
        </w:tc>
        <w:tc>
          <w:tcPr>
            <w:tcW w:w="905" w:type="dxa"/>
            <w:tcBorders>
              <w:top w:val="nil"/>
              <w:left w:val="nil"/>
              <w:bottom w:val="single" w:sz="4" w:space="0" w:color="auto"/>
              <w:right w:val="single" w:sz="4" w:space="0" w:color="auto"/>
            </w:tcBorders>
            <w:shd w:val="clear" w:color="auto" w:fill="auto"/>
            <w:noWrap/>
            <w:vAlign w:val="bottom"/>
            <w:hideMark/>
          </w:tcPr>
          <w:p w14:paraId="47D82882" w14:textId="3A99FB5F" w:rsidR="00725FE9" w:rsidRPr="0053555E" w:rsidRDefault="00725FE9" w:rsidP="00725FE9">
            <w:pPr>
              <w:jc w:val="center"/>
              <w:rPr>
                <w:rFonts w:asciiTheme="majorHAnsi" w:hAnsiTheme="majorHAnsi" w:cstheme="majorHAnsi"/>
                <w:sz w:val="22"/>
                <w:szCs w:val="22"/>
              </w:rPr>
            </w:pPr>
            <w:r w:rsidRPr="0053555E">
              <w:rPr>
                <w:rFonts w:cs="Calibri"/>
                <w:sz w:val="22"/>
                <w:szCs w:val="20"/>
              </w:rPr>
              <w:t>73</w:t>
            </w:r>
          </w:p>
        </w:tc>
        <w:tc>
          <w:tcPr>
            <w:tcW w:w="906" w:type="dxa"/>
            <w:tcBorders>
              <w:top w:val="nil"/>
              <w:left w:val="nil"/>
              <w:bottom w:val="single" w:sz="4" w:space="0" w:color="auto"/>
              <w:right w:val="single" w:sz="4" w:space="0" w:color="auto"/>
            </w:tcBorders>
            <w:shd w:val="clear" w:color="auto" w:fill="auto"/>
            <w:noWrap/>
            <w:vAlign w:val="bottom"/>
            <w:hideMark/>
          </w:tcPr>
          <w:p w14:paraId="4A96EDC6" w14:textId="6D427832" w:rsidR="00725FE9" w:rsidRPr="0053555E" w:rsidRDefault="00725FE9" w:rsidP="00725FE9">
            <w:pPr>
              <w:jc w:val="center"/>
              <w:rPr>
                <w:rFonts w:asciiTheme="majorHAnsi" w:hAnsiTheme="majorHAnsi" w:cstheme="majorHAnsi"/>
                <w:sz w:val="22"/>
                <w:szCs w:val="22"/>
              </w:rPr>
            </w:pPr>
            <w:r w:rsidRPr="0053555E">
              <w:rPr>
                <w:rFonts w:cs="Calibri"/>
                <w:sz w:val="22"/>
                <w:szCs w:val="20"/>
              </w:rPr>
              <w:t>76</w:t>
            </w:r>
          </w:p>
        </w:tc>
      </w:tr>
      <w:tr w:rsidR="00725FE9" w:rsidRPr="0053555E" w14:paraId="3F973A6A" w14:textId="77777777" w:rsidTr="00725FE9">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B82E9D8" w14:textId="77777777" w:rsidR="00725FE9" w:rsidRPr="0053555E" w:rsidRDefault="00725FE9" w:rsidP="00725FE9">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UM</w:t>
            </w:r>
          </w:p>
        </w:tc>
        <w:tc>
          <w:tcPr>
            <w:tcW w:w="905" w:type="dxa"/>
            <w:tcBorders>
              <w:top w:val="nil"/>
              <w:left w:val="nil"/>
              <w:bottom w:val="single" w:sz="4" w:space="0" w:color="auto"/>
              <w:right w:val="single" w:sz="4" w:space="0" w:color="auto"/>
            </w:tcBorders>
            <w:shd w:val="clear" w:color="000000" w:fill="FFFFFF"/>
            <w:noWrap/>
            <w:vAlign w:val="bottom"/>
          </w:tcPr>
          <w:p w14:paraId="0851B227" w14:textId="280B81D6" w:rsidR="00725FE9" w:rsidRPr="0053555E" w:rsidRDefault="00725FE9" w:rsidP="00725FE9">
            <w:pPr>
              <w:jc w:val="center"/>
              <w:rPr>
                <w:rFonts w:asciiTheme="majorHAnsi" w:hAnsiTheme="majorHAnsi" w:cstheme="majorHAnsi"/>
                <w:sz w:val="22"/>
                <w:szCs w:val="22"/>
              </w:rPr>
            </w:pPr>
          </w:p>
        </w:tc>
        <w:tc>
          <w:tcPr>
            <w:tcW w:w="905" w:type="dxa"/>
            <w:tcBorders>
              <w:top w:val="nil"/>
              <w:left w:val="nil"/>
              <w:bottom w:val="single" w:sz="4" w:space="0" w:color="auto"/>
              <w:right w:val="single" w:sz="4" w:space="0" w:color="auto"/>
            </w:tcBorders>
            <w:shd w:val="clear" w:color="000000" w:fill="FFFFFF"/>
            <w:noWrap/>
            <w:vAlign w:val="bottom"/>
          </w:tcPr>
          <w:p w14:paraId="412C3BDD" w14:textId="347282AA" w:rsidR="00725FE9" w:rsidRPr="0053555E" w:rsidRDefault="00725FE9" w:rsidP="00725FE9">
            <w:pPr>
              <w:jc w:val="center"/>
              <w:rPr>
                <w:rFonts w:asciiTheme="majorHAnsi" w:hAnsiTheme="majorHAnsi" w:cstheme="majorHAnsi"/>
                <w:sz w:val="22"/>
                <w:szCs w:val="22"/>
              </w:rPr>
            </w:pPr>
          </w:p>
        </w:tc>
        <w:tc>
          <w:tcPr>
            <w:tcW w:w="905" w:type="dxa"/>
            <w:tcBorders>
              <w:top w:val="nil"/>
              <w:left w:val="nil"/>
              <w:bottom w:val="single" w:sz="4" w:space="0" w:color="auto"/>
              <w:right w:val="single" w:sz="4" w:space="0" w:color="auto"/>
            </w:tcBorders>
            <w:shd w:val="clear" w:color="000000" w:fill="FFFFFF"/>
            <w:noWrap/>
            <w:vAlign w:val="bottom"/>
          </w:tcPr>
          <w:p w14:paraId="590161E1" w14:textId="439E8C20" w:rsidR="00725FE9" w:rsidRPr="0053555E" w:rsidRDefault="00725FE9" w:rsidP="00725FE9">
            <w:pPr>
              <w:jc w:val="center"/>
              <w:rPr>
                <w:rFonts w:asciiTheme="majorHAnsi" w:hAnsiTheme="majorHAnsi" w:cstheme="majorHAnsi"/>
                <w:sz w:val="22"/>
                <w:szCs w:val="22"/>
              </w:rPr>
            </w:pPr>
          </w:p>
        </w:tc>
        <w:tc>
          <w:tcPr>
            <w:tcW w:w="905" w:type="dxa"/>
            <w:tcBorders>
              <w:top w:val="nil"/>
              <w:left w:val="nil"/>
              <w:bottom w:val="single" w:sz="4" w:space="0" w:color="auto"/>
              <w:right w:val="single" w:sz="4" w:space="0" w:color="auto"/>
            </w:tcBorders>
            <w:shd w:val="clear" w:color="000000" w:fill="FFFFFF"/>
            <w:noWrap/>
            <w:vAlign w:val="bottom"/>
          </w:tcPr>
          <w:p w14:paraId="2514D15A" w14:textId="162B3BC1" w:rsidR="00725FE9" w:rsidRPr="0053555E" w:rsidRDefault="00725FE9" w:rsidP="00725FE9">
            <w:pPr>
              <w:jc w:val="center"/>
              <w:rPr>
                <w:rFonts w:asciiTheme="majorHAnsi" w:hAnsiTheme="majorHAnsi" w:cstheme="majorHAnsi"/>
                <w:sz w:val="22"/>
                <w:szCs w:val="22"/>
              </w:rPr>
            </w:pPr>
            <w:r w:rsidRPr="0053555E">
              <w:rPr>
                <w:rFonts w:cs="Calibri"/>
                <w:sz w:val="22"/>
                <w:szCs w:val="20"/>
              </w:rPr>
              <w:t>0</w:t>
            </w:r>
          </w:p>
        </w:tc>
        <w:tc>
          <w:tcPr>
            <w:tcW w:w="905" w:type="dxa"/>
            <w:tcBorders>
              <w:top w:val="nil"/>
              <w:left w:val="nil"/>
              <w:bottom w:val="single" w:sz="4" w:space="0" w:color="auto"/>
              <w:right w:val="single" w:sz="4" w:space="0" w:color="auto"/>
            </w:tcBorders>
            <w:shd w:val="clear" w:color="000000" w:fill="FFFFFF"/>
            <w:noWrap/>
            <w:vAlign w:val="bottom"/>
          </w:tcPr>
          <w:p w14:paraId="2AB030A7" w14:textId="13A00680" w:rsidR="00725FE9" w:rsidRPr="0053555E" w:rsidRDefault="00725FE9" w:rsidP="00725FE9">
            <w:pPr>
              <w:jc w:val="center"/>
              <w:rPr>
                <w:rFonts w:asciiTheme="majorHAnsi" w:hAnsiTheme="majorHAnsi" w:cstheme="majorHAnsi"/>
                <w:sz w:val="22"/>
                <w:szCs w:val="22"/>
              </w:rPr>
            </w:pPr>
            <w:r w:rsidRPr="0053555E">
              <w:rPr>
                <w:rFonts w:cs="Calibri"/>
                <w:sz w:val="22"/>
                <w:szCs w:val="20"/>
              </w:rPr>
              <w:t>0</w:t>
            </w:r>
          </w:p>
        </w:tc>
        <w:tc>
          <w:tcPr>
            <w:tcW w:w="905" w:type="dxa"/>
            <w:tcBorders>
              <w:top w:val="nil"/>
              <w:left w:val="nil"/>
              <w:bottom w:val="single" w:sz="4" w:space="0" w:color="auto"/>
              <w:right w:val="single" w:sz="4" w:space="0" w:color="auto"/>
            </w:tcBorders>
            <w:shd w:val="clear" w:color="000000" w:fill="FFFFFF"/>
            <w:noWrap/>
            <w:vAlign w:val="bottom"/>
          </w:tcPr>
          <w:p w14:paraId="44475108" w14:textId="7D26167E" w:rsidR="00725FE9" w:rsidRPr="0053555E" w:rsidRDefault="00725FE9" w:rsidP="00725FE9">
            <w:pPr>
              <w:jc w:val="center"/>
              <w:rPr>
                <w:rFonts w:asciiTheme="majorHAnsi" w:hAnsiTheme="majorHAnsi" w:cstheme="majorHAnsi"/>
                <w:sz w:val="22"/>
                <w:szCs w:val="22"/>
              </w:rPr>
            </w:pPr>
            <w:r w:rsidRPr="0053555E">
              <w:rPr>
                <w:rFonts w:cs="Calibri"/>
                <w:sz w:val="22"/>
                <w:szCs w:val="20"/>
              </w:rPr>
              <w:t>0</w:t>
            </w:r>
          </w:p>
        </w:tc>
        <w:tc>
          <w:tcPr>
            <w:tcW w:w="905" w:type="dxa"/>
            <w:tcBorders>
              <w:top w:val="nil"/>
              <w:left w:val="nil"/>
              <w:bottom w:val="single" w:sz="4" w:space="0" w:color="auto"/>
              <w:right w:val="single" w:sz="4" w:space="0" w:color="auto"/>
            </w:tcBorders>
            <w:shd w:val="clear" w:color="000000" w:fill="FFFFFF"/>
            <w:noWrap/>
            <w:vAlign w:val="bottom"/>
          </w:tcPr>
          <w:p w14:paraId="7EFC7BFD" w14:textId="3939D03E" w:rsidR="00725FE9" w:rsidRPr="0053555E" w:rsidRDefault="00725FE9" w:rsidP="00725FE9">
            <w:pPr>
              <w:jc w:val="center"/>
              <w:rPr>
                <w:rFonts w:asciiTheme="majorHAnsi" w:hAnsiTheme="majorHAnsi" w:cstheme="majorHAnsi"/>
                <w:sz w:val="22"/>
                <w:szCs w:val="22"/>
              </w:rPr>
            </w:pPr>
            <w:r w:rsidRPr="0053555E">
              <w:rPr>
                <w:rFonts w:cs="Calibri"/>
                <w:sz w:val="22"/>
                <w:szCs w:val="20"/>
              </w:rPr>
              <w:t>2</w:t>
            </w:r>
          </w:p>
        </w:tc>
        <w:tc>
          <w:tcPr>
            <w:tcW w:w="905" w:type="dxa"/>
            <w:tcBorders>
              <w:top w:val="nil"/>
              <w:left w:val="nil"/>
              <w:bottom w:val="single" w:sz="4" w:space="0" w:color="auto"/>
              <w:right w:val="single" w:sz="4" w:space="0" w:color="auto"/>
            </w:tcBorders>
            <w:shd w:val="clear" w:color="000000" w:fill="FFFFFF"/>
            <w:noWrap/>
            <w:vAlign w:val="bottom"/>
          </w:tcPr>
          <w:p w14:paraId="372DA22E" w14:textId="79F6A6B9" w:rsidR="00725FE9" w:rsidRPr="0053555E" w:rsidRDefault="00725FE9" w:rsidP="00725FE9">
            <w:pPr>
              <w:jc w:val="center"/>
              <w:rPr>
                <w:rFonts w:asciiTheme="majorHAnsi" w:hAnsiTheme="majorHAnsi" w:cstheme="majorHAnsi"/>
                <w:sz w:val="22"/>
                <w:szCs w:val="22"/>
              </w:rPr>
            </w:pPr>
            <w:r w:rsidRPr="0053555E">
              <w:rPr>
                <w:rFonts w:cs="Calibri"/>
                <w:sz w:val="22"/>
                <w:szCs w:val="20"/>
              </w:rPr>
              <w:t>3</w:t>
            </w:r>
          </w:p>
        </w:tc>
        <w:tc>
          <w:tcPr>
            <w:tcW w:w="906" w:type="dxa"/>
            <w:tcBorders>
              <w:top w:val="nil"/>
              <w:left w:val="nil"/>
              <w:bottom w:val="single" w:sz="4" w:space="0" w:color="auto"/>
              <w:right w:val="single" w:sz="4" w:space="0" w:color="auto"/>
            </w:tcBorders>
            <w:shd w:val="clear" w:color="000000" w:fill="FFFFFF"/>
            <w:noWrap/>
            <w:vAlign w:val="bottom"/>
          </w:tcPr>
          <w:p w14:paraId="6CB38F8E" w14:textId="0666FD00" w:rsidR="00725FE9" w:rsidRPr="0053555E" w:rsidRDefault="00725FE9" w:rsidP="00725FE9">
            <w:pPr>
              <w:jc w:val="center"/>
              <w:rPr>
                <w:rFonts w:asciiTheme="majorHAnsi" w:hAnsiTheme="majorHAnsi" w:cstheme="majorHAnsi"/>
                <w:sz w:val="22"/>
                <w:szCs w:val="22"/>
              </w:rPr>
            </w:pPr>
            <w:r w:rsidRPr="0053555E">
              <w:rPr>
                <w:rFonts w:cs="Calibri"/>
                <w:sz w:val="22"/>
                <w:szCs w:val="20"/>
              </w:rPr>
              <w:t>3</w:t>
            </w:r>
          </w:p>
        </w:tc>
      </w:tr>
      <w:tr w:rsidR="00725FE9" w:rsidRPr="0053555E" w14:paraId="0DD5B90C" w14:textId="77777777" w:rsidTr="00FB4951">
        <w:trPr>
          <w:trHeight w:val="20"/>
        </w:trPr>
        <w:tc>
          <w:tcPr>
            <w:tcW w:w="866"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27A8C9DA" w14:textId="77777777" w:rsidR="00725FE9" w:rsidRPr="0053555E" w:rsidRDefault="00725FE9" w:rsidP="00725FE9">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STU</w:t>
            </w:r>
          </w:p>
        </w:tc>
        <w:tc>
          <w:tcPr>
            <w:tcW w:w="905" w:type="dxa"/>
            <w:tcBorders>
              <w:top w:val="nil"/>
              <w:left w:val="nil"/>
              <w:bottom w:val="single" w:sz="4" w:space="0" w:color="auto"/>
              <w:right w:val="single" w:sz="4" w:space="0" w:color="auto"/>
            </w:tcBorders>
            <w:shd w:val="clear" w:color="auto" w:fill="EEECE1" w:themeFill="background2"/>
            <w:noWrap/>
            <w:vAlign w:val="bottom"/>
            <w:hideMark/>
          </w:tcPr>
          <w:p w14:paraId="115485C4" w14:textId="214D6484" w:rsidR="00725FE9" w:rsidRPr="0053555E" w:rsidRDefault="00725FE9" w:rsidP="00725FE9">
            <w:pPr>
              <w:jc w:val="center"/>
              <w:rPr>
                <w:rFonts w:asciiTheme="majorHAnsi" w:hAnsiTheme="majorHAnsi" w:cstheme="majorHAnsi"/>
                <w:b/>
                <w:bCs/>
                <w:sz w:val="22"/>
                <w:szCs w:val="22"/>
              </w:rPr>
            </w:pPr>
            <w:r w:rsidRPr="0053555E">
              <w:rPr>
                <w:rFonts w:cs="Calibri"/>
                <w:b/>
                <w:bCs/>
                <w:sz w:val="22"/>
                <w:szCs w:val="20"/>
              </w:rPr>
              <w:t>43</w:t>
            </w:r>
          </w:p>
        </w:tc>
        <w:tc>
          <w:tcPr>
            <w:tcW w:w="905" w:type="dxa"/>
            <w:tcBorders>
              <w:top w:val="nil"/>
              <w:left w:val="nil"/>
              <w:bottom w:val="single" w:sz="4" w:space="0" w:color="auto"/>
              <w:right w:val="single" w:sz="4" w:space="0" w:color="auto"/>
            </w:tcBorders>
            <w:shd w:val="clear" w:color="auto" w:fill="EEECE1" w:themeFill="background2"/>
            <w:noWrap/>
            <w:vAlign w:val="bottom"/>
            <w:hideMark/>
          </w:tcPr>
          <w:p w14:paraId="729C744F" w14:textId="2EB7AA22" w:rsidR="00725FE9" w:rsidRPr="0053555E" w:rsidRDefault="00725FE9" w:rsidP="00725FE9">
            <w:pPr>
              <w:jc w:val="center"/>
              <w:rPr>
                <w:rFonts w:asciiTheme="majorHAnsi" w:hAnsiTheme="majorHAnsi" w:cstheme="majorHAnsi"/>
                <w:b/>
                <w:bCs/>
                <w:sz w:val="22"/>
                <w:szCs w:val="22"/>
              </w:rPr>
            </w:pPr>
            <w:r w:rsidRPr="0053555E">
              <w:rPr>
                <w:rFonts w:cs="Calibri"/>
                <w:b/>
                <w:bCs/>
                <w:sz w:val="22"/>
                <w:szCs w:val="20"/>
              </w:rPr>
              <w:t>565</w:t>
            </w:r>
          </w:p>
        </w:tc>
        <w:tc>
          <w:tcPr>
            <w:tcW w:w="905" w:type="dxa"/>
            <w:tcBorders>
              <w:top w:val="nil"/>
              <w:left w:val="nil"/>
              <w:bottom w:val="single" w:sz="4" w:space="0" w:color="auto"/>
              <w:right w:val="single" w:sz="4" w:space="0" w:color="auto"/>
            </w:tcBorders>
            <w:shd w:val="clear" w:color="auto" w:fill="EEECE1" w:themeFill="background2"/>
            <w:noWrap/>
            <w:vAlign w:val="bottom"/>
            <w:hideMark/>
          </w:tcPr>
          <w:p w14:paraId="7726FF2B" w14:textId="3330BC08" w:rsidR="00725FE9" w:rsidRPr="0053555E" w:rsidRDefault="00725FE9" w:rsidP="00725FE9">
            <w:pPr>
              <w:jc w:val="center"/>
              <w:rPr>
                <w:rFonts w:asciiTheme="majorHAnsi" w:hAnsiTheme="majorHAnsi" w:cstheme="majorHAnsi"/>
                <w:b/>
                <w:bCs/>
                <w:sz w:val="22"/>
                <w:szCs w:val="22"/>
              </w:rPr>
            </w:pPr>
            <w:r w:rsidRPr="0053555E">
              <w:rPr>
                <w:rFonts w:cs="Calibri"/>
                <w:b/>
                <w:bCs/>
                <w:sz w:val="22"/>
                <w:szCs w:val="20"/>
              </w:rPr>
              <w:t>637</w:t>
            </w:r>
          </w:p>
        </w:tc>
        <w:tc>
          <w:tcPr>
            <w:tcW w:w="905" w:type="dxa"/>
            <w:tcBorders>
              <w:top w:val="nil"/>
              <w:left w:val="nil"/>
              <w:bottom w:val="single" w:sz="4" w:space="0" w:color="auto"/>
              <w:right w:val="single" w:sz="4" w:space="0" w:color="auto"/>
            </w:tcBorders>
            <w:shd w:val="clear" w:color="auto" w:fill="EEECE1" w:themeFill="background2"/>
            <w:noWrap/>
            <w:vAlign w:val="bottom"/>
            <w:hideMark/>
          </w:tcPr>
          <w:p w14:paraId="2E181A38" w14:textId="73273F8F" w:rsidR="00725FE9" w:rsidRPr="0053555E" w:rsidRDefault="00725FE9" w:rsidP="00725FE9">
            <w:pPr>
              <w:jc w:val="center"/>
              <w:rPr>
                <w:rFonts w:asciiTheme="majorHAnsi" w:hAnsiTheme="majorHAnsi" w:cstheme="majorHAnsi"/>
                <w:b/>
                <w:bCs/>
                <w:sz w:val="22"/>
                <w:szCs w:val="22"/>
              </w:rPr>
            </w:pPr>
            <w:r w:rsidRPr="0053555E">
              <w:rPr>
                <w:rFonts w:cs="Calibri"/>
                <w:b/>
                <w:bCs/>
                <w:sz w:val="22"/>
                <w:szCs w:val="20"/>
              </w:rPr>
              <w:t>67</w:t>
            </w:r>
          </w:p>
        </w:tc>
        <w:tc>
          <w:tcPr>
            <w:tcW w:w="905" w:type="dxa"/>
            <w:tcBorders>
              <w:top w:val="nil"/>
              <w:left w:val="nil"/>
              <w:bottom w:val="single" w:sz="4" w:space="0" w:color="auto"/>
              <w:right w:val="single" w:sz="4" w:space="0" w:color="auto"/>
            </w:tcBorders>
            <w:shd w:val="clear" w:color="auto" w:fill="EEECE1" w:themeFill="background2"/>
            <w:noWrap/>
            <w:vAlign w:val="bottom"/>
            <w:hideMark/>
          </w:tcPr>
          <w:p w14:paraId="6DB2AB16" w14:textId="7564AC1F" w:rsidR="00725FE9" w:rsidRPr="0053555E" w:rsidRDefault="00725FE9" w:rsidP="00725FE9">
            <w:pPr>
              <w:jc w:val="center"/>
              <w:rPr>
                <w:rFonts w:asciiTheme="majorHAnsi" w:hAnsiTheme="majorHAnsi" w:cstheme="majorHAnsi"/>
                <w:b/>
                <w:bCs/>
                <w:sz w:val="22"/>
                <w:szCs w:val="22"/>
              </w:rPr>
            </w:pPr>
            <w:r w:rsidRPr="0053555E">
              <w:rPr>
                <w:rFonts w:cs="Calibri"/>
                <w:b/>
                <w:bCs/>
                <w:sz w:val="22"/>
                <w:szCs w:val="20"/>
              </w:rPr>
              <w:t>734</w:t>
            </w:r>
          </w:p>
        </w:tc>
        <w:tc>
          <w:tcPr>
            <w:tcW w:w="905" w:type="dxa"/>
            <w:tcBorders>
              <w:top w:val="nil"/>
              <w:left w:val="nil"/>
              <w:bottom w:val="single" w:sz="4" w:space="0" w:color="auto"/>
              <w:right w:val="single" w:sz="4" w:space="0" w:color="auto"/>
            </w:tcBorders>
            <w:shd w:val="clear" w:color="auto" w:fill="EEECE1" w:themeFill="background2"/>
            <w:noWrap/>
            <w:vAlign w:val="bottom"/>
            <w:hideMark/>
          </w:tcPr>
          <w:p w14:paraId="7A5A5589" w14:textId="60D35226" w:rsidR="00725FE9" w:rsidRPr="0053555E" w:rsidRDefault="00725FE9" w:rsidP="00725FE9">
            <w:pPr>
              <w:jc w:val="center"/>
              <w:rPr>
                <w:rFonts w:asciiTheme="majorHAnsi" w:hAnsiTheme="majorHAnsi" w:cstheme="majorHAnsi"/>
                <w:b/>
                <w:bCs/>
                <w:sz w:val="22"/>
                <w:szCs w:val="22"/>
              </w:rPr>
            </w:pPr>
            <w:r w:rsidRPr="0053555E">
              <w:rPr>
                <w:rFonts w:cs="Calibri"/>
                <w:b/>
                <w:bCs/>
                <w:sz w:val="22"/>
                <w:szCs w:val="20"/>
              </w:rPr>
              <w:t>810</w:t>
            </w:r>
          </w:p>
        </w:tc>
        <w:tc>
          <w:tcPr>
            <w:tcW w:w="905" w:type="dxa"/>
            <w:tcBorders>
              <w:top w:val="nil"/>
              <w:left w:val="nil"/>
              <w:bottom w:val="single" w:sz="4" w:space="0" w:color="auto"/>
              <w:right w:val="single" w:sz="4" w:space="0" w:color="auto"/>
            </w:tcBorders>
            <w:shd w:val="clear" w:color="auto" w:fill="EEECE1" w:themeFill="background2"/>
            <w:noWrap/>
            <w:vAlign w:val="bottom"/>
            <w:hideMark/>
          </w:tcPr>
          <w:p w14:paraId="7690745C" w14:textId="6952889A" w:rsidR="00725FE9" w:rsidRPr="0053555E" w:rsidRDefault="00725FE9" w:rsidP="00725FE9">
            <w:pPr>
              <w:jc w:val="center"/>
              <w:rPr>
                <w:rFonts w:asciiTheme="majorHAnsi" w:hAnsiTheme="majorHAnsi" w:cstheme="majorHAnsi"/>
                <w:b/>
                <w:bCs/>
                <w:sz w:val="22"/>
                <w:szCs w:val="22"/>
              </w:rPr>
            </w:pPr>
            <w:r w:rsidRPr="0053555E">
              <w:rPr>
                <w:rFonts w:cs="Calibri"/>
                <w:b/>
                <w:bCs/>
                <w:sz w:val="22"/>
                <w:szCs w:val="20"/>
              </w:rPr>
              <w:t>68</w:t>
            </w:r>
          </w:p>
        </w:tc>
        <w:tc>
          <w:tcPr>
            <w:tcW w:w="905" w:type="dxa"/>
            <w:tcBorders>
              <w:top w:val="nil"/>
              <w:left w:val="nil"/>
              <w:bottom w:val="single" w:sz="4" w:space="0" w:color="auto"/>
              <w:right w:val="single" w:sz="4" w:space="0" w:color="auto"/>
            </w:tcBorders>
            <w:shd w:val="clear" w:color="auto" w:fill="EEECE1" w:themeFill="background2"/>
            <w:noWrap/>
            <w:vAlign w:val="bottom"/>
            <w:hideMark/>
          </w:tcPr>
          <w:p w14:paraId="1ECCD68C" w14:textId="6863861B" w:rsidR="00725FE9" w:rsidRPr="0053555E" w:rsidRDefault="00725FE9" w:rsidP="00725FE9">
            <w:pPr>
              <w:jc w:val="center"/>
              <w:rPr>
                <w:rFonts w:asciiTheme="majorHAnsi" w:hAnsiTheme="majorHAnsi" w:cstheme="majorHAnsi"/>
                <w:b/>
                <w:bCs/>
                <w:sz w:val="22"/>
                <w:szCs w:val="22"/>
              </w:rPr>
            </w:pPr>
            <w:r w:rsidRPr="0053555E">
              <w:rPr>
                <w:rFonts w:cs="Calibri"/>
                <w:b/>
                <w:bCs/>
                <w:sz w:val="22"/>
                <w:szCs w:val="20"/>
              </w:rPr>
              <w:t>738</w:t>
            </w:r>
          </w:p>
        </w:tc>
        <w:tc>
          <w:tcPr>
            <w:tcW w:w="906" w:type="dxa"/>
            <w:tcBorders>
              <w:top w:val="nil"/>
              <w:left w:val="nil"/>
              <w:bottom w:val="single" w:sz="4" w:space="0" w:color="auto"/>
              <w:right w:val="single" w:sz="4" w:space="0" w:color="auto"/>
            </w:tcBorders>
            <w:shd w:val="clear" w:color="auto" w:fill="EEECE1" w:themeFill="background2"/>
            <w:noWrap/>
            <w:vAlign w:val="bottom"/>
            <w:hideMark/>
          </w:tcPr>
          <w:p w14:paraId="334F8CB5" w14:textId="60DF84DB" w:rsidR="00725FE9" w:rsidRPr="0053555E" w:rsidRDefault="00725FE9" w:rsidP="00725FE9">
            <w:pPr>
              <w:jc w:val="center"/>
              <w:rPr>
                <w:rFonts w:asciiTheme="majorHAnsi" w:hAnsiTheme="majorHAnsi" w:cstheme="majorHAnsi"/>
                <w:b/>
                <w:bCs/>
                <w:sz w:val="22"/>
                <w:szCs w:val="22"/>
              </w:rPr>
            </w:pPr>
            <w:r w:rsidRPr="0053555E">
              <w:rPr>
                <w:rFonts w:cs="Calibri"/>
                <w:b/>
                <w:bCs/>
                <w:sz w:val="22"/>
                <w:szCs w:val="20"/>
              </w:rPr>
              <w:t>793</w:t>
            </w:r>
          </w:p>
        </w:tc>
      </w:tr>
    </w:tbl>
    <w:p w14:paraId="5B28CB2A" w14:textId="77777777" w:rsidR="00717AFF" w:rsidRPr="0053555E" w:rsidRDefault="00717AFF" w:rsidP="00324438">
      <w:pPr>
        <w:tabs>
          <w:tab w:val="left" w:pos="9356"/>
        </w:tabs>
        <w:jc w:val="both"/>
        <w:rPr>
          <w:rFonts w:asciiTheme="majorHAnsi" w:hAnsiTheme="majorHAnsi" w:cstheme="majorHAnsi"/>
          <w:sz w:val="20"/>
          <w:szCs w:val="20"/>
        </w:rPr>
      </w:pPr>
    </w:p>
    <w:p w14:paraId="4706E0E0" w14:textId="77777777" w:rsidR="00717AFF" w:rsidRPr="0053555E" w:rsidRDefault="00717AFF" w:rsidP="00324438">
      <w:pPr>
        <w:tabs>
          <w:tab w:val="left" w:pos="9356"/>
        </w:tabs>
        <w:jc w:val="both"/>
        <w:rPr>
          <w:rFonts w:asciiTheme="majorHAnsi" w:hAnsiTheme="majorHAnsi" w:cstheme="majorHAnsi"/>
          <w:sz w:val="20"/>
          <w:szCs w:val="20"/>
        </w:rPr>
      </w:pPr>
    </w:p>
    <w:p w14:paraId="6DEDCA50" w14:textId="79817A76" w:rsidR="002071AC" w:rsidRPr="0053555E" w:rsidRDefault="008D0789" w:rsidP="000E3322">
      <w:pPr>
        <w:pStyle w:val="Popis"/>
      </w:pPr>
      <w:bookmarkStart w:id="176" w:name="_Ref31892599"/>
      <w:bookmarkStart w:id="177" w:name="_Ref474780366"/>
      <w:bookmarkStart w:id="178" w:name="_Toc127593347"/>
      <w:r w:rsidRPr="0053555E">
        <w:lastRenderedPageBreak/>
        <w:t xml:space="preserve">Graf č. </w:t>
      </w:r>
      <w:r w:rsidR="007B5953">
        <w:fldChar w:fldCharType="begin"/>
      </w:r>
      <w:r w:rsidR="007B5953">
        <w:instrText xml:space="preserve"> SEQ Graf_č. \* ARABIC </w:instrText>
      </w:r>
      <w:r w:rsidR="007B5953">
        <w:fldChar w:fldCharType="separate"/>
      </w:r>
      <w:r w:rsidR="00EE1B59">
        <w:rPr>
          <w:noProof/>
        </w:rPr>
        <w:t>19</w:t>
      </w:r>
      <w:r w:rsidR="007B5953">
        <w:rPr>
          <w:noProof/>
        </w:rPr>
        <w:fldChar w:fldCharType="end"/>
      </w:r>
      <w:bookmarkEnd w:id="176"/>
      <w:r w:rsidR="0039230D" w:rsidRPr="0053555E">
        <w:t>: Kvantitatívny prehľad ŠV</w:t>
      </w:r>
      <w:r w:rsidR="00524CE0" w:rsidRPr="0053555E">
        <w:t>K</w:t>
      </w:r>
      <w:r w:rsidR="0039230D" w:rsidRPr="0053555E">
        <w:t xml:space="preserve"> na STU za </w:t>
      </w:r>
      <w:r w:rsidR="00F3440E" w:rsidRPr="0053555E">
        <w:t>ostat</w:t>
      </w:r>
      <w:r w:rsidR="0039230D" w:rsidRPr="0053555E">
        <w:t>ných sedem akademických rokov</w:t>
      </w:r>
      <w:bookmarkEnd w:id="177"/>
      <w:bookmarkEnd w:id="178"/>
    </w:p>
    <w:p w14:paraId="1286A804" w14:textId="52926B3D" w:rsidR="006B465D" w:rsidRPr="0053555E" w:rsidRDefault="006B465D" w:rsidP="006B465D">
      <w:pPr>
        <w:jc w:val="center"/>
      </w:pPr>
      <w:r w:rsidRPr="0053555E">
        <w:rPr>
          <w:noProof/>
          <w:lang w:eastAsia="sk-SK"/>
        </w:rPr>
        <w:drawing>
          <wp:inline distT="0" distB="0" distL="0" distR="0" wp14:anchorId="5628DD39" wp14:editId="4DBED3DC">
            <wp:extent cx="4761230" cy="3131389"/>
            <wp:effectExtent l="0" t="0" r="1270" b="0"/>
            <wp:docPr id="8" name="Graf 8">
              <a:extLst xmlns:a="http://schemas.openxmlformats.org/drawingml/2006/main">
                <a:ext uri="{FF2B5EF4-FFF2-40B4-BE49-F238E27FC236}">
                  <a16:creationId xmlns:a16="http://schemas.microsoft.com/office/drawing/2014/main" id="{00000000-0008-0000-3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6775034" w14:textId="16B2A3A7" w:rsidR="00E36C14" w:rsidRPr="0053555E" w:rsidRDefault="00E36C14" w:rsidP="00E36C14">
      <w:pPr>
        <w:jc w:val="center"/>
      </w:pPr>
      <w:r w:rsidRPr="0053555E">
        <w:t xml:space="preserve"> </w:t>
      </w:r>
    </w:p>
    <w:p w14:paraId="3A4CBF85" w14:textId="77777777" w:rsidR="00725D25" w:rsidRPr="0053555E" w:rsidRDefault="00725D25" w:rsidP="000137B8">
      <w:pPr>
        <w:jc w:val="center"/>
      </w:pPr>
    </w:p>
    <w:p w14:paraId="1E369248" w14:textId="77777777" w:rsidR="00E553BF" w:rsidRPr="00E553BF" w:rsidRDefault="00E553BF" w:rsidP="00E553BF">
      <w:pPr>
        <w:rPr>
          <w:b/>
          <w:sz w:val="32"/>
          <w:szCs w:val="32"/>
        </w:rPr>
      </w:pPr>
      <w:bookmarkStart w:id="179" w:name="_Informácie_o_poskytovaní"/>
      <w:bookmarkStart w:id="180" w:name="_Toc127593233"/>
      <w:bookmarkEnd w:id="179"/>
      <w:r w:rsidRPr="00E553BF">
        <w:rPr>
          <w:b/>
          <w:sz w:val="32"/>
          <w:szCs w:val="32"/>
        </w:rPr>
        <w:t xml:space="preserve">4. </w:t>
      </w:r>
      <w:r w:rsidR="002071AC" w:rsidRPr="00E553BF">
        <w:rPr>
          <w:b/>
          <w:sz w:val="32"/>
          <w:szCs w:val="32"/>
        </w:rPr>
        <w:t>Informácie o poskytovaní ďalšieho vzdelávania</w:t>
      </w:r>
      <w:bookmarkEnd w:id="180"/>
    </w:p>
    <w:p w14:paraId="2D5C28FC" w14:textId="7693C697" w:rsidR="002071AC" w:rsidRPr="00E553BF" w:rsidRDefault="002071AC" w:rsidP="00E553BF">
      <w:r w:rsidRPr="00E553BF">
        <w:t xml:space="preserve"> </w:t>
      </w:r>
    </w:p>
    <w:p w14:paraId="439D12F4" w14:textId="412FC4B4" w:rsidR="002071AC" w:rsidRPr="0053555E" w:rsidRDefault="00E553BF" w:rsidP="00324438">
      <w:pPr>
        <w:tabs>
          <w:tab w:val="left" w:pos="9356"/>
        </w:tabs>
        <w:spacing w:after="120"/>
        <w:jc w:val="both"/>
        <w:rPr>
          <w:rFonts w:asciiTheme="majorHAnsi" w:hAnsiTheme="majorHAnsi" w:cstheme="majorHAnsi"/>
        </w:rPr>
      </w:pPr>
      <w:r>
        <w:rPr>
          <w:rFonts w:asciiTheme="majorHAnsi" w:hAnsiTheme="majorHAnsi" w:cstheme="majorHAnsi"/>
        </w:rPr>
        <w:t>Ďalšie vzdelávanie na STU poskytujú jednotlivé súčasti</w:t>
      </w:r>
      <w:r w:rsidR="002071AC" w:rsidRPr="0053555E">
        <w:rPr>
          <w:rFonts w:asciiTheme="majorHAnsi" w:hAnsiTheme="majorHAnsi" w:cstheme="majorHAnsi"/>
        </w:rPr>
        <w:t xml:space="preserve"> </w:t>
      </w:r>
      <w:r w:rsidR="008B728A" w:rsidRPr="0053555E">
        <w:rPr>
          <w:rFonts w:asciiTheme="majorHAnsi" w:hAnsiTheme="majorHAnsi" w:cstheme="majorHAnsi"/>
        </w:rPr>
        <w:t>STU</w:t>
      </w:r>
      <w:r>
        <w:rPr>
          <w:rFonts w:asciiTheme="majorHAnsi" w:hAnsiTheme="majorHAnsi" w:cstheme="majorHAnsi"/>
        </w:rPr>
        <w:t>, osobitne Inštitút</w:t>
      </w:r>
      <w:r w:rsidR="002071AC" w:rsidRPr="0053555E">
        <w:rPr>
          <w:rFonts w:asciiTheme="majorHAnsi" w:hAnsiTheme="majorHAnsi" w:cstheme="majorHAnsi"/>
        </w:rPr>
        <w:t xml:space="preserve"> celoživotného vzdelávania </w:t>
      </w:r>
      <w:r w:rsidR="008B728A" w:rsidRPr="0053555E">
        <w:rPr>
          <w:rFonts w:asciiTheme="majorHAnsi" w:hAnsiTheme="majorHAnsi" w:cstheme="majorHAnsi"/>
        </w:rPr>
        <w:t xml:space="preserve">STU </w:t>
      </w:r>
      <w:r>
        <w:rPr>
          <w:rFonts w:asciiTheme="majorHAnsi" w:hAnsiTheme="majorHAnsi" w:cstheme="majorHAnsi"/>
        </w:rPr>
        <w:t>(ICV), špecializované</w:t>
      </w:r>
      <w:r w:rsidR="002071AC" w:rsidRPr="0053555E">
        <w:rPr>
          <w:rFonts w:asciiTheme="majorHAnsi" w:hAnsiTheme="majorHAnsi" w:cstheme="majorHAnsi"/>
        </w:rPr>
        <w:t xml:space="preserve"> </w:t>
      </w:r>
      <w:r>
        <w:rPr>
          <w:rFonts w:asciiTheme="majorHAnsi" w:hAnsiTheme="majorHAnsi" w:cstheme="majorHAnsi"/>
        </w:rPr>
        <w:t>pracovisko univerzity zamerané sa ďalšie vzdelávanie</w:t>
      </w:r>
      <w:r w:rsidR="002071AC" w:rsidRPr="0053555E">
        <w:rPr>
          <w:rFonts w:asciiTheme="majorHAnsi" w:hAnsiTheme="majorHAnsi" w:cstheme="majorHAnsi"/>
        </w:rPr>
        <w:t>.</w:t>
      </w:r>
    </w:p>
    <w:p w14:paraId="7BECF873" w14:textId="58C5D927" w:rsidR="002071AC" w:rsidRPr="0053555E" w:rsidRDefault="002071AC" w:rsidP="00324438">
      <w:pPr>
        <w:tabs>
          <w:tab w:val="left" w:pos="9356"/>
        </w:tabs>
        <w:jc w:val="both"/>
        <w:rPr>
          <w:rFonts w:asciiTheme="majorHAnsi" w:hAnsiTheme="majorHAnsi" w:cstheme="majorHAnsi"/>
        </w:rPr>
      </w:pPr>
      <w:r w:rsidRPr="0053555E">
        <w:rPr>
          <w:rFonts w:asciiTheme="majorHAnsi" w:hAnsiTheme="majorHAnsi" w:cstheme="majorHAnsi"/>
        </w:rPr>
        <w:t xml:space="preserve">V </w:t>
      </w:r>
      <w:r w:rsidR="00DB5CBF" w:rsidRPr="0053555E">
        <w:rPr>
          <w:rFonts w:asciiTheme="majorHAnsi" w:hAnsiTheme="majorHAnsi" w:cstheme="majorHAnsi"/>
        </w:rPr>
        <w:t>akad</w:t>
      </w:r>
      <w:r w:rsidR="00334EC3" w:rsidRPr="0053555E">
        <w:rPr>
          <w:rFonts w:asciiTheme="majorHAnsi" w:hAnsiTheme="majorHAnsi" w:cstheme="majorHAnsi"/>
        </w:rPr>
        <w:t>emickom</w:t>
      </w:r>
      <w:r w:rsidR="00DB5CBF" w:rsidRPr="0053555E">
        <w:rPr>
          <w:rFonts w:asciiTheme="majorHAnsi" w:hAnsiTheme="majorHAnsi" w:cstheme="majorHAnsi"/>
        </w:rPr>
        <w:t xml:space="preserve"> </w:t>
      </w:r>
      <w:r w:rsidRPr="0053555E">
        <w:rPr>
          <w:rFonts w:asciiTheme="majorHAnsi" w:hAnsiTheme="majorHAnsi" w:cstheme="majorHAnsi"/>
        </w:rPr>
        <w:t xml:space="preserve">roku </w:t>
      </w:r>
      <w:r w:rsidR="00EA24BA" w:rsidRPr="0053555E">
        <w:rPr>
          <w:rFonts w:asciiTheme="majorHAnsi" w:hAnsiTheme="majorHAnsi" w:cstheme="majorHAnsi"/>
        </w:rPr>
        <w:t>2021/2022</w:t>
      </w:r>
      <w:r w:rsidR="00DB5CBF" w:rsidRPr="0053555E">
        <w:rPr>
          <w:rFonts w:asciiTheme="majorHAnsi" w:hAnsiTheme="majorHAnsi" w:cstheme="majorHAnsi"/>
        </w:rPr>
        <w:t xml:space="preserve"> </w:t>
      </w:r>
      <w:r w:rsidRPr="0053555E">
        <w:rPr>
          <w:rFonts w:asciiTheme="majorHAnsi" w:hAnsiTheme="majorHAnsi" w:cstheme="majorHAnsi"/>
        </w:rPr>
        <w:t xml:space="preserve">sa realizovalo </w:t>
      </w:r>
      <w:r w:rsidR="00DB5CBF" w:rsidRPr="0053555E">
        <w:rPr>
          <w:rFonts w:asciiTheme="majorHAnsi" w:hAnsiTheme="majorHAnsi" w:cstheme="majorHAnsi"/>
        </w:rPr>
        <w:t xml:space="preserve">celkovo </w:t>
      </w:r>
      <w:r w:rsidR="008D5ED3" w:rsidRPr="0053555E">
        <w:rPr>
          <w:rFonts w:asciiTheme="majorHAnsi" w:hAnsiTheme="majorHAnsi" w:cstheme="majorHAnsi"/>
          <w:b/>
        </w:rPr>
        <w:t>1</w:t>
      </w:r>
      <w:r w:rsidR="00FE78F5">
        <w:rPr>
          <w:rFonts w:asciiTheme="majorHAnsi" w:hAnsiTheme="majorHAnsi" w:cstheme="majorHAnsi"/>
          <w:b/>
        </w:rPr>
        <w:t>30</w:t>
      </w:r>
      <w:r w:rsidR="00F07D6F" w:rsidRPr="0053555E">
        <w:rPr>
          <w:rFonts w:asciiTheme="majorHAnsi" w:hAnsiTheme="majorHAnsi" w:cstheme="majorHAnsi"/>
          <w:b/>
        </w:rPr>
        <w:t xml:space="preserve"> </w:t>
      </w:r>
      <w:r w:rsidR="00890859" w:rsidRPr="0053555E">
        <w:rPr>
          <w:rFonts w:asciiTheme="majorHAnsi" w:hAnsiTheme="majorHAnsi" w:cstheme="majorHAnsi"/>
          <w:b/>
        </w:rPr>
        <w:t xml:space="preserve">kurzov </w:t>
      </w:r>
      <w:r w:rsidR="00F07D6F" w:rsidRPr="0053555E">
        <w:rPr>
          <w:rFonts w:asciiTheme="majorHAnsi" w:hAnsiTheme="majorHAnsi" w:cstheme="majorHAnsi"/>
          <w:b/>
        </w:rPr>
        <w:t>vzdelávacích p</w:t>
      </w:r>
      <w:r w:rsidRPr="0053555E">
        <w:rPr>
          <w:rFonts w:asciiTheme="majorHAnsi" w:hAnsiTheme="majorHAnsi" w:cstheme="majorHAnsi"/>
          <w:b/>
        </w:rPr>
        <w:t>rogramov</w:t>
      </w:r>
      <w:r w:rsidRPr="0053555E">
        <w:rPr>
          <w:rFonts w:asciiTheme="majorHAnsi" w:hAnsiTheme="majorHAnsi" w:cstheme="majorHAnsi"/>
        </w:rPr>
        <w:t xml:space="preserve"> ďalšieho vzdelávania, ktor</w:t>
      </w:r>
      <w:r w:rsidR="00DB5CBF" w:rsidRPr="0053555E">
        <w:rPr>
          <w:rFonts w:asciiTheme="majorHAnsi" w:hAnsiTheme="majorHAnsi" w:cstheme="majorHAnsi"/>
        </w:rPr>
        <w:t>ých</w:t>
      </w:r>
      <w:r w:rsidRPr="0053555E">
        <w:rPr>
          <w:rFonts w:asciiTheme="majorHAnsi" w:hAnsiTheme="majorHAnsi" w:cstheme="majorHAnsi"/>
        </w:rPr>
        <w:t xml:space="preserve"> </w:t>
      </w:r>
      <w:r w:rsidR="00DB5CBF" w:rsidRPr="0053555E">
        <w:rPr>
          <w:rFonts w:asciiTheme="majorHAnsi" w:hAnsiTheme="majorHAnsi" w:cstheme="majorHAnsi"/>
        </w:rPr>
        <w:t>sa zúčastnilo s</w:t>
      </w:r>
      <w:r w:rsidRPr="0053555E">
        <w:rPr>
          <w:rFonts w:asciiTheme="majorHAnsi" w:hAnsiTheme="majorHAnsi" w:cstheme="majorHAnsi"/>
        </w:rPr>
        <w:t xml:space="preserve">polu </w:t>
      </w:r>
      <w:r w:rsidR="00FE78F5">
        <w:rPr>
          <w:rFonts w:asciiTheme="majorHAnsi" w:hAnsiTheme="majorHAnsi" w:cstheme="majorHAnsi"/>
          <w:b/>
        </w:rPr>
        <w:t>3 855</w:t>
      </w:r>
      <w:r w:rsidRPr="0053555E">
        <w:rPr>
          <w:rFonts w:asciiTheme="majorHAnsi" w:hAnsiTheme="majorHAnsi" w:cstheme="majorHAnsi"/>
          <w:b/>
        </w:rPr>
        <w:t xml:space="preserve"> frekventantov</w:t>
      </w:r>
      <w:r w:rsidR="008D1C76" w:rsidRPr="0053555E">
        <w:rPr>
          <w:rFonts w:asciiTheme="majorHAnsi" w:hAnsiTheme="majorHAnsi" w:cstheme="majorHAnsi"/>
          <w:b/>
        </w:rPr>
        <w:t xml:space="preserve"> </w:t>
      </w:r>
      <w:r w:rsidR="008D1C76" w:rsidRPr="0053555E">
        <w:rPr>
          <w:rFonts w:asciiTheme="majorHAnsi" w:hAnsiTheme="majorHAnsi" w:cstheme="majorHAnsi"/>
        </w:rPr>
        <w:t>(ďalej tiež „účastník vzdelávania“)</w:t>
      </w:r>
      <w:r w:rsidRPr="0053555E">
        <w:rPr>
          <w:rFonts w:asciiTheme="majorHAnsi" w:hAnsiTheme="majorHAnsi" w:cstheme="majorHAnsi"/>
        </w:rPr>
        <w:t xml:space="preserve">. Kvantitatívny prehľad ďalšieho vzdelávania </w:t>
      </w:r>
      <w:r w:rsidR="005358AC" w:rsidRPr="0053555E">
        <w:rPr>
          <w:rFonts w:asciiTheme="majorHAnsi" w:hAnsiTheme="majorHAnsi" w:cstheme="majorHAnsi"/>
        </w:rPr>
        <w:t>na </w:t>
      </w:r>
      <w:r w:rsidR="00DB5CBF" w:rsidRPr="0053555E">
        <w:rPr>
          <w:rFonts w:asciiTheme="majorHAnsi" w:hAnsiTheme="majorHAnsi" w:cstheme="majorHAnsi"/>
        </w:rPr>
        <w:t xml:space="preserve">jednotlivých súčastiach STU a osobitne na ICV </w:t>
      </w:r>
      <w:r w:rsidRPr="0053555E">
        <w:rPr>
          <w:rFonts w:asciiTheme="majorHAnsi" w:hAnsiTheme="majorHAnsi" w:cstheme="majorHAnsi"/>
        </w:rPr>
        <w:t>je uvedený v </w:t>
      </w:r>
      <w:r w:rsidR="001B62D3" w:rsidRPr="008D03BB">
        <w:rPr>
          <w:rFonts w:asciiTheme="majorHAnsi" w:hAnsiTheme="majorHAnsi" w:cstheme="majorHAnsi"/>
        </w:rPr>
        <w:fldChar w:fldCharType="begin"/>
      </w:r>
      <w:r w:rsidR="001B62D3" w:rsidRPr="008D03BB">
        <w:rPr>
          <w:rFonts w:asciiTheme="majorHAnsi" w:hAnsiTheme="majorHAnsi" w:cstheme="majorHAnsi"/>
        </w:rPr>
        <w:instrText xml:space="preserve"> REF _Ref31718765 \h </w:instrText>
      </w:r>
      <w:r w:rsidR="00324438" w:rsidRPr="008D03BB">
        <w:rPr>
          <w:rFonts w:asciiTheme="majorHAnsi" w:hAnsiTheme="majorHAnsi" w:cstheme="majorHAnsi"/>
        </w:rPr>
        <w:instrText xml:space="preserve"> \* MERGEFORMAT </w:instrText>
      </w:r>
      <w:r w:rsidR="001B62D3" w:rsidRPr="008D03BB">
        <w:rPr>
          <w:rFonts w:asciiTheme="majorHAnsi" w:hAnsiTheme="majorHAnsi" w:cstheme="majorHAnsi"/>
        </w:rPr>
      </w:r>
      <w:r w:rsidR="001B62D3" w:rsidRPr="008D03BB">
        <w:rPr>
          <w:rFonts w:asciiTheme="majorHAnsi" w:hAnsiTheme="majorHAnsi" w:cstheme="majorHAnsi"/>
        </w:rPr>
        <w:fldChar w:fldCharType="separate"/>
      </w:r>
      <w:r w:rsidR="00EE1B59" w:rsidRPr="008D03BB">
        <w:rPr>
          <w:rFonts w:asciiTheme="majorHAnsi" w:hAnsiTheme="majorHAnsi" w:cstheme="majorHAnsi"/>
        </w:rPr>
        <w:t>Tab. č. 39</w:t>
      </w:r>
      <w:r w:rsidR="001B62D3" w:rsidRPr="008D03BB">
        <w:rPr>
          <w:rFonts w:asciiTheme="majorHAnsi" w:hAnsiTheme="majorHAnsi" w:cstheme="majorHAnsi"/>
        </w:rPr>
        <w:fldChar w:fldCharType="end"/>
      </w:r>
      <w:r w:rsidRPr="0053555E">
        <w:rPr>
          <w:rFonts w:asciiTheme="majorHAnsi" w:hAnsiTheme="majorHAnsi" w:cstheme="majorHAnsi"/>
        </w:rPr>
        <w:t>.</w:t>
      </w:r>
    </w:p>
    <w:p w14:paraId="4D043D80" w14:textId="77777777" w:rsidR="002071AC" w:rsidRPr="0053555E" w:rsidRDefault="002071AC" w:rsidP="00324438">
      <w:pPr>
        <w:tabs>
          <w:tab w:val="left" w:pos="9356"/>
        </w:tabs>
        <w:jc w:val="both"/>
        <w:rPr>
          <w:rFonts w:asciiTheme="majorHAnsi" w:hAnsiTheme="majorHAnsi" w:cstheme="majorHAnsi"/>
        </w:rPr>
      </w:pPr>
    </w:p>
    <w:p w14:paraId="36B83CBB" w14:textId="009B3B9E" w:rsidR="002071AC" w:rsidRPr="0053555E" w:rsidRDefault="001B62D3" w:rsidP="000E3322">
      <w:pPr>
        <w:pStyle w:val="Popis"/>
      </w:pPr>
      <w:bookmarkStart w:id="181" w:name="_Ref31718765"/>
      <w:bookmarkStart w:id="182" w:name="_Toc127593302"/>
      <w:r w:rsidRPr="0053555E">
        <w:t xml:space="preserve">Tab. č. </w:t>
      </w:r>
      <w:r w:rsidR="007B5953">
        <w:fldChar w:fldCharType="begin"/>
      </w:r>
      <w:r w:rsidR="007B5953">
        <w:instrText xml:space="preserve"> SEQ Tab._č. \* ARABIC </w:instrText>
      </w:r>
      <w:r w:rsidR="007B5953">
        <w:fldChar w:fldCharType="separate"/>
      </w:r>
      <w:r w:rsidR="00EE1B59">
        <w:rPr>
          <w:noProof/>
        </w:rPr>
        <w:t>39</w:t>
      </w:r>
      <w:r w:rsidR="007B5953">
        <w:rPr>
          <w:noProof/>
        </w:rPr>
        <w:fldChar w:fldCharType="end"/>
      </w:r>
      <w:bookmarkEnd w:id="181"/>
      <w:r w:rsidRPr="0053555E">
        <w:t>:</w:t>
      </w:r>
      <w:r w:rsidR="00334EC3" w:rsidRPr="0053555E">
        <w:t xml:space="preserve"> </w:t>
      </w:r>
      <w:r w:rsidR="002071AC" w:rsidRPr="0053555E">
        <w:t xml:space="preserve">Kvantitatívny prehľad uskutočnených </w:t>
      </w:r>
      <w:r w:rsidR="00F07D6F" w:rsidRPr="0053555E">
        <w:t>vzdelávacích programov</w:t>
      </w:r>
      <w:r w:rsidR="00121A4B" w:rsidRPr="0053555E">
        <w:t xml:space="preserve"> ďalšieho vzdelávania na </w:t>
      </w:r>
      <w:r w:rsidR="00334EC3" w:rsidRPr="0053555E">
        <w:t xml:space="preserve">STU </w:t>
      </w:r>
      <w:r w:rsidR="002C6956" w:rsidRPr="0053555E">
        <w:t>v</w:t>
      </w:r>
      <w:r w:rsidR="00334EC3" w:rsidRPr="0053555E">
        <w:t> </w:t>
      </w:r>
      <w:r w:rsidR="002071AC" w:rsidRPr="0053555E">
        <w:t>akad</w:t>
      </w:r>
      <w:r w:rsidR="00334EC3" w:rsidRPr="0053555E">
        <w:t>emick</w:t>
      </w:r>
      <w:r w:rsidR="002C6956" w:rsidRPr="0053555E">
        <w:t>om</w:t>
      </w:r>
      <w:r w:rsidR="002071AC" w:rsidRPr="0053555E">
        <w:t xml:space="preserve"> rok</w:t>
      </w:r>
      <w:r w:rsidR="002C6956" w:rsidRPr="0053555E">
        <w:t>u</w:t>
      </w:r>
      <w:r w:rsidR="002071AC" w:rsidRPr="0053555E">
        <w:t xml:space="preserve"> </w:t>
      </w:r>
      <w:r w:rsidR="00EA24BA" w:rsidRPr="0053555E">
        <w:t>2021/2022</w:t>
      </w:r>
      <w:bookmarkEnd w:id="182"/>
    </w:p>
    <w:tbl>
      <w:tblPr>
        <w:tblW w:w="9012" w:type="dxa"/>
        <w:tblInd w:w="55" w:type="dxa"/>
        <w:tblLayout w:type="fixed"/>
        <w:tblCellMar>
          <w:left w:w="70" w:type="dxa"/>
          <w:right w:w="70" w:type="dxa"/>
        </w:tblCellMar>
        <w:tblLook w:val="04A0" w:firstRow="1" w:lastRow="0" w:firstColumn="1" w:lastColumn="0" w:noHBand="0" w:noVBand="1"/>
      </w:tblPr>
      <w:tblGrid>
        <w:gridCol w:w="791"/>
        <w:gridCol w:w="1276"/>
        <w:gridCol w:w="694"/>
        <w:gridCol w:w="695"/>
        <w:gridCol w:w="694"/>
        <w:gridCol w:w="752"/>
        <w:gridCol w:w="637"/>
        <w:gridCol w:w="695"/>
        <w:gridCol w:w="694"/>
        <w:gridCol w:w="695"/>
        <w:gridCol w:w="694"/>
        <w:gridCol w:w="695"/>
      </w:tblGrid>
      <w:tr w:rsidR="008344FC" w:rsidRPr="0053555E" w14:paraId="1A6B0CD1" w14:textId="77777777" w:rsidTr="00B344DA">
        <w:trPr>
          <w:trHeight w:val="375"/>
        </w:trPr>
        <w:tc>
          <w:tcPr>
            <w:tcW w:w="20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FE949E" w14:textId="77777777" w:rsidR="00D1379E" w:rsidRPr="0053555E" w:rsidRDefault="00D1379E" w:rsidP="00324438">
            <w:pPr>
              <w:tabs>
                <w:tab w:val="left" w:pos="9356"/>
              </w:tabs>
              <w:jc w:val="both"/>
              <w:rPr>
                <w:rFonts w:asciiTheme="majorHAnsi" w:eastAsia="Times New Roman" w:hAnsiTheme="majorHAnsi" w:cstheme="majorHAnsi"/>
                <w:b/>
                <w:sz w:val="18"/>
                <w:szCs w:val="18"/>
                <w:lang w:eastAsia="sk-SK"/>
              </w:rPr>
            </w:pP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45986490" w14:textId="77777777" w:rsidR="00D1379E" w:rsidRPr="0053555E" w:rsidRDefault="00D1379E" w:rsidP="00324438">
            <w:pPr>
              <w:tabs>
                <w:tab w:val="left" w:pos="9356"/>
              </w:tabs>
              <w:jc w:val="center"/>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SvF</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0256C920" w14:textId="77777777" w:rsidR="00D1379E" w:rsidRPr="0053555E" w:rsidRDefault="00D1379E" w:rsidP="00324438">
            <w:pPr>
              <w:tabs>
                <w:tab w:val="left" w:pos="9356"/>
              </w:tabs>
              <w:jc w:val="center"/>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SjF</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566E77D0" w14:textId="77777777" w:rsidR="00D1379E" w:rsidRPr="0053555E" w:rsidRDefault="00D1379E" w:rsidP="00324438">
            <w:pPr>
              <w:tabs>
                <w:tab w:val="left" w:pos="9356"/>
              </w:tabs>
              <w:jc w:val="center"/>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FEI</w:t>
            </w:r>
          </w:p>
        </w:tc>
        <w:tc>
          <w:tcPr>
            <w:tcW w:w="752" w:type="dxa"/>
            <w:tcBorders>
              <w:top w:val="single" w:sz="4" w:space="0" w:color="auto"/>
              <w:left w:val="nil"/>
              <w:bottom w:val="single" w:sz="4" w:space="0" w:color="auto"/>
              <w:right w:val="single" w:sz="4" w:space="0" w:color="auto"/>
            </w:tcBorders>
            <w:shd w:val="clear" w:color="auto" w:fill="auto"/>
            <w:noWrap/>
            <w:vAlign w:val="center"/>
            <w:hideMark/>
          </w:tcPr>
          <w:p w14:paraId="66F74054" w14:textId="77777777" w:rsidR="00D1379E" w:rsidRPr="0053555E" w:rsidRDefault="00D1379E" w:rsidP="00324438">
            <w:pPr>
              <w:tabs>
                <w:tab w:val="left" w:pos="9356"/>
              </w:tabs>
              <w:jc w:val="center"/>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FCHPT</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14:paraId="366BB839" w14:textId="77777777" w:rsidR="00D1379E" w:rsidRPr="0053555E" w:rsidRDefault="009D4BD1" w:rsidP="00324438">
            <w:pPr>
              <w:tabs>
                <w:tab w:val="left" w:pos="9356"/>
              </w:tabs>
              <w:jc w:val="center"/>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FAD</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5D873726" w14:textId="77777777" w:rsidR="00D1379E" w:rsidRPr="0053555E" w:rsidRDefault="00D1379E" w:rsidP="00324438">
            <w:pPr>
              <w:tabs>
                <w:tab w:val="left" w:pos="9356"/>
              </w:tabs>
              <w:jc w:val="center"/>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MTF</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275BA1D8" w14:textId="77777777" w:rsidR="00D1379E" w:rsidRPr="0053555E" w:rsidRDefault="00D1379E" w:rsidP="00324438">
            <w:pPr>
              <w:tabs>
                <w:tab w:val="left" w:pos="9356"/>
              </w:tabs>
              <w:jc w:val="center"/>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FIIT</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015CAAAC" w14:textId="77777777" w:rsidR="00D1379E" w:rsidRPr="0053555E" w:rsidRDefault="00D1379E" w:rsidP="00324438">
            <w:pPr>
              <w:tabs>
                <w:tab w:val="left" w:pos="9356"/>
              </w:tabs>
              <w:jc w:val="center"/>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ÚM</w:t>
            </w:r>
            <w:r w:rsidR="007B70BC" w:rsidRPr="0053555E">
              <w:rPr>
                <w:rFonts w:asciiTheme="majorHAnsi" w:eastAsia="Times New Roman" w:hAnsiTheme="majorHAnsi" w:cstheme="majorHAnsi"/>
                <w:b/>
                <w:sz w:val="22"/>
                <w:szCs w:val="22"/>
                <w:lang w:eastAsia="sk-SK"/>
              </w:rPr>
              <w:t>*</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5B0C3BBC" w14:textId="77777777" w:rsidR="00D1379E" w:rsidRPr="0053555E" w:rsidRDefault="00D1379E" w:rsidP="00324438">
            <w:pPr>
              <w:tabs>
                <w:tab w:val="left" w:pos="9356"/>
              </w:tabs>
              <w:jc w:val="center"/>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ICV</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7F5C7E6D" w14:textId="77777777" w:rsidR="00D1379E" w:rsidRPr="0053555E" w:rsidRDefault="00D1379E" w:rsidP="00324438">
            <w:pPr>
              <w:tabs>
                <w:tab w:val="left" w:pos="9356"/>
              </w:tabs>
              <w:jc w:val="center"/>
              <w:rPr>
                <w:rFonts w:asciiTheme="majorHAnsi" w:eastAsia="Times New Roman" w:hAnsiTheme="majorHAnsi" w:cstheme="majorHAnsi"/>
                <w:b/>
                <w:sz w:val="22"/>
                <w:szCs w:val="22"/>
                <w:lang w:eastAsia="sk-SK"/>
              </w:rPr>
            </w:pPr>
            <w:r w:rsidRPr="0053555E">
              <w:rPr>
                <w:rFonts w:asciiTheme="majorHAnsi" w:eastAsia="Times New Roman" w:hAnsiTheme="majorHAnsi" w:cstheme="majorHAnsi"/>
                <w:b/>
                <w:sz w:val="22"/>
                <w:szCs w:val="22"/>
                <w:lang w:eastAsia="sk-SK"/>
              </w:rPr>
              <w:t>STU</w:t>
            </w:r>
          </w:p>
        </w:tc>
      </w:tr>
      <w:tr w:rsidR="005871E9" w:rsidRPr="0053555E" w14:paraId="0F99C7A2" w14:textId="77777777" w:rsidTr="00B344DA">
        <w:trPr>
          <w:cantSplit/>
          <w:trHeight w:val="620"/>
        </w:trPr>
        <w:tc>
          <w:tcPr>
            <w:tcW w:w="79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7D77316" w14:textId="77777777" w:rsidR="005871E9" w:rsidRPr="0053555E" w:rsidRDefault="005871E9" w:rsidP="005871E9">
            <w:pPr>
              <w:tabs>
                <w:tab w:val="left" w:pos="9356"/>
              </w:tabs>
              <w:jc w:val="center"/>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Neakredito-vané  programy</w:t>
            </w:r>
          </w:p>
        </w:tc>
        <w:tc>
          <w:tcPr>
            <w:tcW w:w="1276" w:type="dxa"/>
            <w:tcBorders>
              <w:top w:val="nil"/>
              <w:left w:val="nil"/>
              <w:bottom w:val="single" w:sz="4" w:space="0" w:color="auto"/>
              <w:right w:val="single" w:sz="4" w:space="0" w:color="auto"/>
            </w:tcBorders>
            <w:shd w:val="clear" w:color="auto" w:fill="auto"/>
            <w:vAlign w:val="center"/>
            <w:hideMark/>
          </w:tcPr>
          <w:p w14:paraId="3F66DF92" w14:textId="77777777" w:rsidR="005871E9" w:rsidRPr="0053555E" w:rsidRDefault="005871E9" w:rsidP="005871E9">
            <w:pPr>
              <w:tabs>
                <w:tab w:val="left" w:pos="9356"/>
              </w:tabs>
              <w:jc w:val="both"/>
              <w:rPr>
                <w:rFonts w:asciiTheme="majorHAnsi" w:eastAsia="Times New Roman" w:hAnsiTheme="majorHAnsi" w:cstheme="majorHAnsi"/>
                <w:sz w:val="18"/>
                <w:szCs w:val="22"/>
                <w:lang w:eastAsia="sk-SK"/>
              </w:rPr>
            </w:pPr>
            <w:r w:rsidRPr="0053555E">
              <w:rPr>
                <w:rFonts w:asciiTheme="majorHAnsi" w:eastAsia="Times New Roman" w:hAnsiTheme="majorHAnsi" w:cstheme="majorHAnsi"/>
                <w:sz w:val="18"/>
                <w:szCs w:val="22"/>
                <w:lang w:eastAsia="sk-SK"/>
              </w:rPr>
              <w:t>Počet frekventantov</w:t>
            </w:r>
          </w:p>
        </w:tc>
        <w:tc>
          <w:tcPr>
            <w:tcW w:w="694" w:type="dxa"/>
            <w:tcBorders>
              <w:top w:val="nil"/>
              <w:left w:val="nil"/>
              <w:bottom w:val="single" w:sz="4" w:space="0" w:color="auto"/>
              <w:right w:val="single" w:sz="4" w:space="0" w:color="auto"/>
            </w:tcBorders>
            <w:shd w:val="clear" w:color="auto" w:fill="auto"/>
            <w:noWrap/>
            <w:vAlign w:val="center"/>
            <w:hideMark/>
          </w:tcPr>
          <w:p w14:paraId="689BAFF0" w14:textId="447FAD77" w:rsidR="005871E9" w:rsidRPr="0053555E" w:rsidRDefault="005871E9" w:rsidP="005871E9">
            <w:pPr>
              <w:jc w:val="center"/>
              <w:rPr>
                <w:rFonts w:asciiTheme="majorHAnsi" w:hAnsiTheme="majorHAnsi" w:cstheme="majorHAnsi"/>
              </w:rPr>
            </w:pPr>
            <w:r w:rsidRPr="0053555E">
              <w:rPr>
                <w:rFonts w:cs="Arial"/>
              </w:rPr>
              <w:t>142</w:t>
            </w:r>
          </w:p>
        </w:tc>
        <w:tc>
          <w:tcPr>
            <w:tcW w:w="695" w:type="dxa"/>
            <w:tcBorders>
              <w:top w:val="nil"/>
              <w:left w:val="nil"/>
              <w:bottom w:val="single" w:sz="4" w:space="0" w:color="auto"/>
              <w:right w:val="single" w:sz="4" w:space="0" w:color="auto"/>
            </w:tcBorders>
            <w:shd w:val="clear" w:color="auto" w:fill="auto"/>
            <w:noWrap/>
            <w:vAlign w:val="center"/>
            <w:hideMark/>
          </w:tcPr>
          <w:p w14:paraId="37B98A77" w14:textId="215AA9E3" w:rsidR="005871E9" w:rsidRPr="0053555E" w:rsidRDefault="005871E9" w:rsidP="005871E9">
            <w:pPr>
              <w:jc w:val="center"/>
              <w:rPr>
                <w:rFonts w:asciiTheme="majorHAnsi" w:hAnsiTheme="majorHAnsi" w:cstheme="majorHAnsi"/>
              </w:rPr>
            </w:pPr>
            <w:r w:rsidRPr="0053555E">
              <w:rPr>
                <w:rFonts w:cs="Arial"/>
              </w:rPr>
              <w:t>30</w:t>
            </w:r>
          </w:p>
        </w:tc>
        <w:tc>
          <w:tcPr>
            <w:tcW w:w="694" w:type="dxa"/>
            <w:tcBorders>
              <w:top w:val="nil"/>
              <w:left w:val="nil"/>
              <w:bottom w:val="single" w:sz="4" w:space="0" w:color="auto"/>
              <w:right w:val="single" w:sz="4" w:space="0" w:color="auto"/>
            </w:tcBorders>
            <w:shd w:val="clear" w:color="000000" w:fill="FFFFFF"/>
            <w:noWrap/>
            <w:vAlign w:val="center"/>
            <w:hideMark/>
          </w:tcPr>
          <w:p w14:paraId="6401CFDE" w14:textId="1CE95B7B" w:rsidR="005871E9" w:rsidRPr="0053555E" w:rsidRDefault="00252ADF" w:rsidP="005871E9">
            <w:pPr>
              <w:jc w:val="center"/>
              <w:rPr>
                <w:rFonts w:asciiTheme="majorHAnsi" w:hAnsiTheme="majorHAnsi" w:cstheme="majorHAnsi"/>
              </w:rPr>
            </w:pPr>
            <w:r>
              <w:rPr>
                <w:rFonts w:cs="Arial"/>
              </w:rPr>
              <w:t>40</w:t>
            </w:r>
          </w:p>
        </w:tc>
        <w:tc>
          <w:tcPr>
            <w:tcW w:w="752" w:type="dxa"/>
            <w:tcBorders>
              <w:top w:val="nil"/>
              <w:left w:val="nil"/>
              <w:bottom w:val="single" w:sz="4" w:space="0" w:color="auto"/>
              <w:right w:val="single" w:sz="4" w:space="0" w:color="auto"/>
            </w:tcBorders>
            <w:shd w:val="clear" w:color="auto" w:fill="auto"/>
            <w:noWrap/>
            <w:vAlign w:val="center"/>
            <w:hideMark/>
          </w:tcPr>
          <w:p w14:paraId="34907348" w14:textId="76C9D9FB" w:rsidR="005871E9" w:rsidRPr="0053555E" w:rsidRDefault="005871E9" w:rsidP="005871E9">
            <w:pPr>
              <w:jc w:val="center"/>
              <w:rPr>
                <w:rFonts w:asciiTheme="majorHAnsi" w:hAnsiTheme="majorHAnsi" w:cstheme="majorHAnsi"/>
              </w:rPr>
            </w:pPr>
            <w:r w:rsidRPr="0053555E">
              <w:rPr>
                <w:rFonts w:cs="Arial"/>
              </w:rPr>
              <w:t>2 087</w:t>
            </w:r>
          </w:p>
        </w:tc>
        <w:tc>
          <w:tcPr>
            <w:tcW w:w="637" w:type="dxa"/>
            <w:tcBorders>
              <w:top w:val="nil"/>
              <w:left w:val="nil"/>
              <w:bottom w:val="single" w:sz="4" w:space="0" w:color="auto"/>
              <w:right w:val="single" w:sz="4" w:space="0" w:color="auto"/>
            </w:tcBorders>
            <w:shd w:val="clear" w:color="auto" w:fill="auto"/>
            <w:noWrap/>
            <w:vAlign w:val="center"/>
            <w:hideMark/>
          </w:tcPr>
          <w:p w14:paraId="24A35FC2" w14:textId="30D90D93" w:rsidR="005871E9" w:rsidRPr="0053555E" w:rsidRDefault="005871E9" w:rsidP="005871E9">
            <w:pPr>
              <w:jc w:val="center"/>
              <w:rPr>
                <w:rFonts w:asciiTheme="majorHAnsi" w:hAnsiTheme="majorHAnsi" w:cstheme="majorHAnsi"/>
              </w:rPr>
            </w:pPr>
            <w:r w:rsidRPr="0053555E">
              <w:rPr>
                <w:rFonts w:cs="Arial"/>
              </w:rPr>
              <w:t>461</w:t>
            </w:r>
          </w:p>
        </w:tc>
        <w:tc>
          <w:tcPr>
            <w:tcW w:w="695" w:type="dxa"/>
            <w:tcBorders>
              <w:top w:val="nil"/>
              <w:left w:val="nil"/>
              <w:bottom w:val="single" w:sz="4" w:space="0" w:color="auto"/>
              <w:right w:val="single" w:sz="4" w:space="0" w:color="auto"/>
            </w:tcBorders>
            <w:shd w:val="clear" w:color="auto" w:fill="auto"/>
            <w:noWrap/>
            <w:vAlign w:val="center"/>
            <w:hideMark/>
          </w:tcPr>
          <w:p w14:paraId="2A9D5DB6" w14:textId="6EA23FE9" w:rsidR="005871E9" w:rsidRPr="0053555E" w:rsidRDefault="005871E9" w:rsidP="005871E9">
            <w:pPr>
              <w:jc w:val="center"/>
              <w:rPr>
                <w:rFonts w:asciiTheme="majorHAnsi" w:hAnsiTheme="majorHAnsi" w:cstheme="majorHAnsi"/>
              </w:rPr>
            </w:pPr>
            <w:r w:rsidRPr="0053555E">
              <w:rPr>
                <w:rFonts w:cs="Arial"/>
              </w:rPr>
              <w:t>70</w:t>
            </w:r>
          </w:p>
        </w:tc>
        <w:tc>
          <w:tcPr>
            <w:tcW w:w="694" w:type="dxa"/>
            <w:tcBorders>
              <w:top w:val="nil"/>
              <w:left w:val="nil"/>
              <w:bottom w:val="single" w:sz="4" w:space="0" w:color="auto"/>
              <w:right w:val="single" w:sz="4" w:space="0" w:color="auto"/>
            </w:tcBorders>
            <w:shd w:val="clear" w:color="auto" w:fill="auto"/>
            <w:noWrap/>
            <w:vAlign w:val="center"/>
            <w:hideMark/>
          </w:tcPr>
          <w:p w14:paraId="7220C67D" w14:textId="3D85C308" w:rsidR="005871E9" w:rsidRPr="0053555E" w:rsidRDefault="005871E9" w:rsidP="005871E9">
            <w:pPr>
              <w:jc w:val="center"/>
              <w:rPr>
                <w:rFonts w:asciiTheme="majorHAnsi" w:hAnsiTheme="majorHAnsi" w:cstheme="majorHAnsi"/>
              </w:rPr>
            </w:pPr>
            <w:r w:rsidRPr="0053555E">
              <w:rPr>
                <w:rFonts w:cs="Arial"/>
              </w:rPr>
              <w:t>45</w:t>
            </w:r>
          </w:p>
        </w:tc>
        <w:tc>
          <w:tcPr>
            <w:tcW w:w="695" w:type="dxa"/>
            <w:tcBorders>
              <w:top w:val="nil"/>
              <w:left w:val="nil"/>
              <w:bottom w:val="nil"/>
              <w:right w:val="single" w:sz="4" w:space="0" w:color="auto"/>
            </w:tcBorders>
            <w:shd w:val="clear" w:color="auto" w:fill="auto"/>
            <w:noWrap/>
            <w:vAlign w:val="center"/>
          </w:tcPr>
          <w:p w14:paraId="6E6B8C2A" w14:textId="4F97EBC3" w:rsidR="005871E9" w:rsidRPr="0053555E" w:rsidRDefault="005871E9" w:rsidP="005871E9">
            <w:pPr>
              <w:jc w:val="center"/>
              <w:rPr>
                <w:rFonts w:asciiTheme="majorHAnsi" w:hAnsiTheme="majorHAnsi" w:cstheme="majorHAnsi"/>
              </w:rPr>
            </w:pPr>
            <w:r w:rsidRPr="0053555E">
              <w:rPr>
                <w:rFonts w:cs="Arial"/>
              </w:rPr>
              <w:t> </w:t>
            </w:r>
          </w:p>
        </w:tc>
        <w:tc>
          <w:tcPr>
            <w:tcW w:w="694" w:type="dxa"/>
            <w:tcBorders>
              <w:top w:val="nil"/>
              <w:left w:val="nil"/>
              <w:bottom w:val="single" w:sz="4" w:space="0" w:color="auto"/>
              <w:right w:val="single" w:sz="4" w:space="0" w:color="auto"/>
            </w:tcBorders>
            <w:shd w:val="clear" w:color="auto" w:fill="auto"/>
            <w:noWrap/>
            <w:vAlign w:val="center"/>
            <w:hideMark/>
          </w:tcPr>
          <w:p w14:paraId="2EED10AF" w14:textId="3529A324" w:rsidR="005871E9" w:rsidRPr="0053555E" w:rsidRDefault="005871E9" w:rsidP="005871E9">
            <w:pPr>
              <w:jc w:val="center"/>
              <w:rPr>
                <w:rFonts w:asciiTheme="majorHAnsi" w:hAnsiTheme="majorHAnsi" w:cstheme="majorHAnsi"/>
              </w:rPr>
            </w:pPr>
            <w:r w:rsidRPr="0053555E">
              <w:rPr>
                <w:rFonts w:cs="Arial"/>
              </w:rPr>
              <w:t>569</w:t>
            </w:r>
          </w:p>
        </w:tc>
        <w:tc>
          <w:tcPr>
            <w:tcW w:w="695" w:type="dxa"/>
            <w:tcBorders>
              <w:top w:val="nil"/>
              <w:left w:val="nil"/>
              <w:bottom w:val="single" w:sz="4" w:space="0" w:color="auto"/>
              <w:right w:val="single" w:sz="4" w:space="0" w:color="auto"/>
            </w:tcBorders>
            <w:shd w:val="clear" w:color="auto" w:fill="auto"/>
            <w:noWrap/>
            <w:vAlign w:val="center"/>
            <w:hideMark/>
          </w:tcPr>
          <w:p w14:paraId="57A5D2EE" w14:textId="50588805" w:rsidR="005871E9" w:rsidRPr="0053555E" w:rsidRDefault="005871E9" w:rsidP="005871E9">
            <w:pPr>
              <w:jc w:val="center"/>
              <w:rPr>
                <w:rFonts w:asciiTheme="majorHAnsi" w:hAnsiTheme="majorHAnsi" w:cstheme="majorHAnsi"/>
                <w:b/>
                <w:bCs/>
              </w:rPr>
            </w:pPr>
            <w:r w:rsidRPr="0053555E">
              <w:rPr>
                <w:rFonts w:cs="Arial"/>
                <w:b/>
                <w:bCs/>
              </w:rPr>
              <w:t>3 4</w:t>
            </w:r>
            <w:r w:rsidR="00252ADF">
              <w:rPr>
                <w:rFonts w:cs="Arial"/>
                <w:b/>
                <w:bCs/>
              </w:rPr>
              <w:t>4</w:t>
            </w:r>
            <w:r w:rsidRPr="0053555E">
              <w:rPr>
                <w:rFonts w:cs="Arial"/>
                <w:b/>
                <w:bCs/>
              </w:rPr>
              <w:t>4</w:t>
            </w:r>
          </w:p>
        </w:tc>
      </w:tr>
      <w:tr w:rsidR="005871E9" w:rsidRPr="0053555E" w14:paraId="22EDD188" w14:textId="77777777" w:rsidTr="00B344DA">
        <w:trPr>
          <w:cantSplit/>
          <w:trHeight w:val="620"/>
        </w:trPr>
        <w:tc>
          <w:tcPr>
            <w:tcW w:w="791" w:type="dxa"/>
            <w:vMerge/>
            <w:tcBorders>
              <w:top w:val="nil"/>
              <w:left w:val="single" w:sz="4" w:space="0" w:color="auto"/>
              <w:bottom w:val="single" w:sz="4" w:space="0" w:color="000000"/>
              <w:right w:val="single" w:sz="4" w:space="0" w:color="auto"/>
            </w:tcBorders>
            <w:vAlign w:val="center"/>
            <w:hideMark/>
          </w:tcPr>
          <w:p w14:paraId="198C5D28" w14:textId="77777777" w:rsidR="005871E9" w:rsidRPr="0053555E" w:rsidRDefault="005871E9" w:rsidP="005871E9">
            <w:pPr>
              <w:tabs>
                <w:tab w:val="left" w:pos="9356"/>
              </w:tabs>
              <w:jc w:val="center"/>
              <w:rPr>
                <w:rFonts w:asciiTheme="majorHAnsi" w:eastAsia="Times New Roman" w:hAnsiTheme="majorHAnsi" w:cstheme="majorHAnsi"/>
                <w:b/>
                <w:bCs/>
                <w:sz w:val="20"/>
                <w:szCs w:val="18"/>
                <w:lang w:eastAsia="sk-SK"/>
              </w:rPr>
            </w:pPr>
          </w:p>
        </w:tc>
        <w:tc>
          <w:tcPr>
            <w:tcW w:w="1276" w:type="dxa"/>
            <w:tcBorders>
              <w:top w:val="nil"/>
              <w:left w:val="nil"/>
              <w:bottom w:val="single" w:sz="4" w:space="0" w:color="auto"/>
              <w:right w:val="single" w:sz="4" w:space="0" w:color="auto"/>
            </w:tcBorders>
            <w:shd w:val="clear" w:color="auto" w:fill="auto"/>
            <w:vAlign w:val="center"/>
            <w:hideMark/>
          </w:tcPr>
          <w:p w14:paraId="38DE9010" w14:textId="77777777" w:rsidR="005871E9" w:rsidRPr="0053555E" w:rsidRDefault="005871E9" w:rsidP="005871E9">
            <w:pPr>
              <w:tabs>
                <w:tab w:val="left" w:pos="9356"/>
              </w:tabs>
              <w:jc w:val="both"/>
              <w:rPr>
                <w:rFonts w:asciiTheme="majorHAnsi" w:eastAsia="Times New Roman" w:hAnsiTheme="majorHAnsi" w:cstheme="majorHAnsi"/>
                <w:sz w:val="18"/>
                <w:szCs w:val="22"/>
                <w:lang w:eastAsia="sk-SK"/>
              </w:rPr>
            </w:pPr>
            <w:r w:rsidRPr="0053555E">
              <w:rPr>
                <w:rFonts w:asciiTheme="majorHAnsi" w:eastAsia="Times New Roman" w:hAnsiTheme="majorHAnsi" w:cstheme="majorHAnsi"/>
                <w:sz w:val="18"/>
                <w:szCs w:val="22"/>
                <w:lang w:eastAsia="sk-SK"/>
              </w:rPr>
              <w:t>Počet kurzov</w:t>
            </w:r>
          </w:p>
        </w:tc>
        <w:tc>
          <w:tcPr>
            <w:tcW w:w="694" w:type="dxa"/>
            <w:tcBorders>
              <w:top w:val="nil"/>
              <w:left w:val="nil"/>
              <w:bottom w:val="single" w:sz="4" w:space="0" w:color="auto"/>
              <w:right w:val="single" w:sz="4" w:space="0" w:color="auto"/>
            </w:tcBorders>
            <w:shd w:val="clear" w:color="auto" w:fill="auto"/>
            <w:noWrap/>
            <w:vAlign w:val="center"/>
            <w:hideMark/>
          </w:tcPr>
          <w:p w14:paraId="4D49890F" w14:textId="529AC66D" w:rsidR="005871E9" w:rsidRPr="0053555E" w:rsidRDefault="005871E9" w:rsidP="005871E9">
            <w:pPr>
              <w:jc w:val="center"/>
              <w:rPr>
                <w:rFonts w:asciiTheme="majorHAnsi" w:hAnsiTheme="majorHAnsi" w:cstheme="majorHAnsi"/>
              </w:rPr>
            </w:pPr>
            <w:r w:rsidRPr="0053555E">
              <w:rPr>
                <w:rFonts w:cs="Arial"/>
              </w:rPr>
              <w:t>4</w:t>
            </w:r>
          </w:p>
        </w:tc>
        <w:tc>
          <w:tcPr>
            <w:tcW w:w="695" w:type="dxa"/>
            <w:tcBorders>
              <w:top w:val="nil"/>
              <w:left w:val="nil"/>
              <w:bottom w:val="single" w:sz="4" w:space="0" w:color="auto"/>
              <w:right w:val="single" w:sz="4" w:space="0" w:color="auto"/>
            </w:tcBorders>
            <w:shd w:val="clear" w:color="auto" w:fill="auto"/>
            <w:noWrap/>
            <w:vAlign w:val="center"/>
            <w:hideMark/>
          </w:tcPr>
          <w:p w14:paraId="191BD6B9" w14:textId="21F533EA" w:rsidR="005871E9" w:rsidRPr="0053555E" w:rsidRDefault="005871E9" w:rsidP="005871E9">
            <w:pPr>
              <w:jc w:val="center"/>
              <w:rPr>
                <w:rFonts w:asciiTheme="majorHAnsi" w:hAnsiTheme="majorHAnsi" w:cstheme="majorHAnsi"/>
              </w:rPr>
            </w:pPr>
            <w:r w:rsidRPr="0053555E">
              <w:rPr>
                <w:rFonts w:cs="Arial"/>
              </w:rPr>
              <w:t>7</w:t>
            </w:r>
          </w:p>
        </w:tc>
        <w:tc>
          <w:tcPr>
            <w:tcW w:w="694" w:type="dxa"/>
            <w:tcBorders>
              <w:top w:val="nil"/>
              <w:left w:val="nil"/>
              <w:bottom w:val="single" w:sz="4" w:space="0" w:color="auto"/>
              <w:right w:val="single" w:sz="4" w:space="0" w:color="auto"/>
            </w:tcBorders>
            <w:shd w:val="clear" w:color="000000" w:fill="FFFFFF"/>
            <w:noWrap/>
            <w:vAlign w:val="center"/>
            <w:hideMark/>
          </w:tcPr>
          <w:p w14:paraId="5C093B9D" w14:textId="79CF2A46" w:rsidR="005871E9" w:rsidRPr="0053555E" w:rsidRDefault="00252ADF" w:rsidP="005871E9">
            <w:pPr>
              <w:jc w:val="center"/>
              <w:rPr>
                <w:rFonts w:asciiTheme="majorHAnsi" w:hAnsiTheme="majorHAnsi" w:cstheme="majorHAnsi"/>
              </w:rPr>
            </w:pPr>
            <w:r>
              <w:rPr>
                <w:rFonts w:cs="Arial"/>
              </w:rPr>
              <w:t>7</w:t>
            </w:r>
          </w:p>
        </w:tc>
        <w:tc>
          <w:tcPr>
            <w:tcW w:w="752" w:type="dxa"/>
            <w:tcBorders>
              <w:top w:val="nil"/>
              <w:left w:val="nil"/>
              <w:bottom w:val="single" w:sz="4" w:space="0" w:color="auto"/>
              <w:right w:val="single" w:sz="4" w:space="0" w:color="auto"/>
            </w:tcBorders>
            <w:shd w:val="clear" w:color="auto" w:fill="auto"/>
            <w:noWrap/>
            <w:vAlign w:val="center"/>
            <w:hideMark/>
          </w:tcPr>
          <w:p w14:paraId="6940F004" w14:textId="113301AC" w:rsidR="005871E9" w:rsidRPr="0053555E" w:rsidRDefault="005871E9" w:rsidP="005871E9">
            <w:pPr>
              <w:jc w:val="center"/>
              <w:rPr>
                <w:rFonts w:asciiTheme="majorHAnsi" w:hAnsiTheme="majorHAnsi" w:cstheme="majorHAnsi"/>
              </w:rPr>
            </w:pPr>
            <w:r w:rsidRPr="0053555E">
              <w:rPr>
                <w:rFonts w:cs="Arial"/>
              </w:rPr>
              <w:t>25</w:t>
            </w:r>
          </w:p>
        </w:tc>
        <w:tc>
          <w:tcPr>
            <w:tcW w:w="637" w:type="dxa"/>
            <w:tcBorders>
              <w:top w:val="nil"/>
              <w:left w:val="nil"/>
              <w:bottom w:val="single" w:sz="4" w:space="0" w:color="auto"/>
              <w:right w:val="single" w:sz="4" w:space="0" w:color="auto"/>
            </w:tcBorders>
            <w:shd w:val="clear" w:color="auto" w:fill="auto"/>
            <w:noWrap/>
            <w:vAlign w:val="center"/>
            <w:hideMark/>
          </w:tcPr>
          <w:p w14:paraId="7B44BE90" w14:textId="1588B170" w:rsidR="005871E9" w:rsidRPr="0053555E" w:rsidRDefault="005871E9" w:rsidP="005871E9">
            <w:pPr>
              <w:jc w:val="center"/>
              <w:rPr>
                <w:rFonts w:asciiTheme="majorHAnsi" w:hAnsiTheme="majorHAnsi" w:cstheme="majorHAnsi"/>
              </w:rPr>
            </w:pPr>
            <w:r w:rsidRPr="0053555E">
              <w:rPr>
                <w:rFonts w:cs="Arial"/>
              </w:rPr>
              <w:t>4</w:t>
            </w:r>
          </w:p>
        </w:tc>
        <w:tc>
          <w:tcPr>
            <w:tcW w:w="695" w:type="dxa"/>
            <w:tcBorders>
              <w:top w:val="nil"/>
              <w:left w:val="nil"/>
              <w:bottom w:val="single" w:sz="4" w:space="0" w:color="auto"/>
              <w:right w:val="single" w:sz="4" w:space="0" w:color="auto"/>
            </w:tcBorders>
            <w:shd w:val="clear" w:color="auto" w:fill="auto"/>
            <w:noWrap/>
            <w:vAlign w:val="center"/>
            <w:hideMark/>
          </w:tcPr>
          <w:p w14:paraId="174F96D9" w14:textId="3ADFF783" w:rsidR="005871E9" w:rsidRPr="0053555E" w:rsidRDefault="005871E9" w:rsidP="005871E9">
            <w:pPr>
              <w:jc w:val="center"/>
              <w:rPr>
                <w:rFonts w:asciiTheme="majorHAnsi" w:hAnsiTheme="majorHAnsi" w:cstheme="majorHAnsi"/>
              </w:rPr>
            </w:pPr>
            <w:r w:rsidRPr="0053555E">
              <w:rPr>
                <w:rFonts w:cs="Arial"/>
              </w:rPr>
              <w:t>6</w:t>
            </w:r>
          </w:p>
        </w:tc>
        <w:tc>
          <w:tcPr>
            <w:tcW w:w="694" w:type="dxa"/>
            <w:tcBorders>
              <w:top w:val="nil"/>
              <w:left w:val="nil"/>
              <w:bottom w:val="single" w:sz="4" w:space="0" w:color="auto"/>
              <w:right w:val="single" w:sz="4" w:space="0" w:color="auto"/>
            </w:tcBorders>
            <w:shd w:val="clear" w:color="auto" w:fill="auto"/>
            <w:noWrap/>
            <w:vAlign w:val="center"/>
            <w:hideMark/>
          </w:tcPr>
          <w:p w14:paraId="635AB21C" w14:textId="22F5BBEE" w:rsidR="005871E9" w:rsidRPr="0053555E" w:rsidRDefault="005871E9" w:rsidP="005871E9">
            <w:pPr>
              <w:jc w:val="center"/>
              <w:rPr>
                <w:rFonts w:asciiTheme="majorHAnsi" w:hAnsiTheme="majorHAnsi" w:cstheme="majorHAnsi"/>
              </w:rPr>
            </w:pPr>
            <w:r w:rsidRPr="0053555E">
              <w:rPr>
                <w:rFonts w:cs="Arial"/>
              </w:rPr>
              <w:t>7</w:t>
            </w:r>
          </w:p>
        </w:tc>
        <w:tc>
          <w:tcPr>
            <w:tcW w:w="695" w:type="dxa"/>
            <w:tcBorders>
              <w:top w:val="single" w:sz="4" w:space="0" w:color="auto"/>
              <w:left w:val="nil"/>
              <w:bottom w:val="nil"/>
              <w:right w:val="single" w:sz="4" w:space="0" w:color="auto"/>
            </w:tcBorders>
            <w:shd w:val="clear" w:color="auto" w:fill="auto"/>
            <w:noWrap/>
            <w:vAlign w:val="center"/>
          </w:tcPr>
          <w:p w14:paraId="296FCD9D" w14:textId="48376104" w:rsidR="005871E9" w:rsidRPr="0053555E" w:rsidRDefault="005871E9" w:rsidP="005871E9">
            <w:pPr>
              <w:jc w:val="center"/>
              <w:rPr>
                <w:rFonts w:asciiTheme="majorHAnsi" w:hAnsiTheme="majorHAnsi" w:cstheme="majorHAnsi"/>
              </w:rPr>
            </w:pPr>
            <w:r w:rsidRPr="0053555E">
              <w:rPr>
                <w:rFonts w:cs="Arial"/>
              </w:rPr>
              <w:t> </w:t>
            </w:r>
          </w:p>
        </w:tc>
        <w:tc>
          <w:tcPr>
            <w:tcW w:w="694" w:type="dxa"/>
            <w:tcBorders>
              <w:top w:val="nil"/>
              <w:left w:val="nil"/>
              <w:bottom w:val="single" w:sz="4" w:space="0" w:color="auto"/>
              <w:right w:val="single" w:sz="4" w:space="0" w:color="auto"/>
            </w:tcBorders>
            <w:shd w:val="clear" w:color="auto" w:fill="auto"/>
            <w:noWrap/>
            <w:vAlign w:val="center"/>
            <w:hideMark/>
          </w:tcPr>
          <w:p w14:paraId="412FDA06" w14:textId="65D40002" w:rsidR="005871E9" w:rsidRPr="0053555E" w:rsidRDefault="005871E9" w:rsidP="005871E9">
            <w:pPr>
              <w:jc w:val="center"/>
              <w:rPr>
                <w:rFonts w:asciiTheme="majorHAnsi" w:hAnsiTheme="majorHAnsi" w:cstheme="majorHAnsi"/>
              </w:rPr>
            </w:pPr>
            <w:r w:rsidRPr="0053555E">
              <w:rPr>
                <w:rFonts w:cs="Arial"/>
              </w:rPr>
              <w:t>27</w:t>
            </w:r>
          </w:p>
        </w:tc>
        <w:tc>
          <w:tcPr>
            <w:tcW w:w="695" w:type="dxa"/>
            <w:tcBorders>
              <w:top w:val="nil"/>
              <w:left w:val="nil"/>
              <w:bottom w:val="single" w:sz="4" w:space="0" w:color="auto"/>
              <w:right w:val="single" w:sz="4" w:space="0" w:color="auto"/>
            </w:tcBorders>
            <w:shd w:val="clear" w:color="auto" w:fill="auto"/>
            <w:noWrap/>
            <w:vAlign w:val="center"/>
            <w:hideMark/>
          </w:tcPr>
          <w:p w14:paraId="63CBF7C9" w14:textId="0BAB3317" w:rsidR="005871E9" w:rsidRPr="0053555E" w:rsidRDefault="00111F96" w:rsidP="005871E9">
            <w:pPr>
              <w:jc w:val="center"/>
              <w:rPr>
                <w:rFonts w:asciiTheme="majorHAnsi" w:hAnsiTheme="majorHAnsi" w:cstheme="majorHAnsi"/>
                <w:b/>
                <w:bCs/>
              </w:rPr>
            </w:pPr>
            <w:r>
              <w:rPr>
                <w:rFonts w:cs="Arial"/>
                <w:b/>
                <w:bCs/>
              </w:rPr>
              <w:t>92</w:t>
            </w:r>
          </w:p>
        </w:tc>
      </w:tr>
      <w:tr w:rsidR="005871E9" w:rsidRPr="0053555E" w14:paraId="56E7FF30" w14:textId="77777777" w:rsidTr="00B344DA">
        <w:trPr>
          <w:trHeight w:val="480"/>
        </w:trPr>
        <w:tc>
          <w:tcPr>
            <w:tcW w:w="79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88C1D62" w14:textId="77777777" w:rsidR="005871E9" w:rsidRPr="0053555E" w:rsidRDefault="005871E9" w:rsidP="005871E9">
            <w:pPr>
              <w:tabs>
                <w:tab w:val="left" w:pos="9356"/>
              </w:tabs>
              <w:jc w:val="center"/>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Akredito-</w:t>
            </w:r>
          </w:p>
          <w:p w14:paraId="524FFD4F" w14:textId="77777777" w:rsidR="005871E9" w:rsidRPr="0053555E" w:rsidRDefault="005871E9" w:rsidP="005871E9">
            <w:pPr>
              <w:tabs>
                <w:tab w:val="left" w:pos="9356"/>
              </w:tabs>
              <w:jc w:val="center"/>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vané  programy</w:t>
            </w:r>
          </w:p>
        </w:tc>
        <w:tc>
          <w:tcPr>
            <w:tcW w:w="1276" w:type="dxa"/>
            <w:tcBorders>
              <w:top w:val="nil"/>
              <w:left w:val="nil"/>
              <w:bottom w:val="single" w:sz="4" w:space="0" w:color="auto"/>
              <w:right w:val="single" w:sz="4" w:space="0" w:color="auto"/>
            </w:tcBorders>
            <w:shd w:val="clear" w:color="auto" w:fill="auto"/>
            <w:vAlign w:val="center"/>
            <w:hideMark/>
          </w:tcPr>
          <w:p w14:paraId="61B5AF31" w14:textId="77777777" w:rsidR="005871E9" w:rsidRPr="0053555E" w:rsidRDefault="005871E9" w:rsidP="005871E9">
            <w:pPr>
              <w:tabs>
                <w:tab w:val="left" w:pos="9356"/>
              </w:tabs>
              <w:jc w:val="both"/>
              <w:rPr>
                <w:rFonts w:asciiTheme="majorHAnsi" w:eastAsia="Times New Roman" w:hAnsiTheme="majorHAnsi" w:cstheme="majorHAnsi"/>
                <w:sz w:val="18"/>
                <w:szCs w:val="22"/>
                <w:lang w:eastAsia="sk-SK"/>
              </w:rPr>
            </w:pPr>
            <w:r w:rsidRPr="0053555E">
              <w:rPr>
                <w:rFonts w:asciiTheme="majorHAnsi" w:eastAsia="Times New Roman" w:hAnsiTheme="majorHAnsi" w:cstheme="majorHAnsi"/>
                <w:sz w:val="18"/>
                <w:szCs w:val="22"/>
                <w:lang w:eastAsia="sk-SK"/>
              </w:rPr>
              <w:t>Počet frekventantov</w:t>
            </w:r>
          </w:p>
        </w:tc>
        <w:tc>
          <w:tcPr>
            <w:tcW w:w="694" w:type="dxa"/>
            <w:tcBorders>
              <w:top w:val="nil"/>
              <w:left w:val="nil"/>
              <w:bottom w:val="single" w:sz="4" w:space="0" w:color="auto"/>
              <w:right w:val="single" w:sz="4" w:space="0" w:color="auto"/>
            </w:tcBorders>
            <w:shd w:val="clear" w:color="auto" w:fill="auto"/>
            <w:noWrap/>
            <w:vAlign w:val="center"/>
            <w:hideMark/>
          </w:tcPr>
          <w:p w14:paraId="120ECF6F" w14:textId="3A25B514" w:rsidR="005871E9" w:rsidRPr="0053555E" w:rsidRDefault="005871E9" w:rsidP="005871E9">
            <w:pPr>
              <w:jc w:val="center"/>
              <w:rPr>
                <w:rFonts w:asciiTheme="majorHAnsi" w:hAnsiTheme="majorHAnsi" w:cstheme="majorHAnsi"/>
              </w:rPr>
            </w:pPr>
            <w:r w:rsidRPr="0053555E">
              <w:rPr>
                <w:rFonts w:cs="Arial"/>
              </w:rPr>
              <w:t>37</w:t>
            </w:r>
          </w:p>
        </w:tc>
        <w:tc>
          <w:tcPr>
            <w:tcW w:w="695" w:type="dxa"/>
            <w:tcBorders>
              <w:top w:val="nil"/>
              <w:left w:val="nil"/>
              <w:bottom w:val="single" w:sz="4" w:space="0" w:color="auto"/>
              <w:right w:val="single" w:sz="4" w:space="0" w:color="auto"/>
            </w:tcBorders>
            <w:shd w:val="clear" w:color="auto" w:fill="auto"/>
            <w:noWrap/>
            <w:vAlign w:val="center"/>
            <w:hideMark/>
          </w:tcPr>
          <w:p w14:paraId="5D3886A0" w14:textId="526D392E" w:rsidR="005871E9" w:rsidRPr="0053555E" w:rsidRDefault="005871E9" w:rsidP="005871E9">
            <w:pPr>
              <w:jc w:val="center"/>
              <w:rPr>
                <w:rFonts w:asciiTheme="majorHAnsi" w:hAnsiTheme="majorHAnsi" w:cstheme="majorHAnsi"/>
              </w:rPr>
            </w:pPr>
            <w:r w:rsidRPr="0053555E">
              <w:rPr>
                <w:rFonts w:cs="Arial"/>
              </w:rPr>
              <w:t>38</w:t>
            </w:r>
          </w:p>
        </w:tc>
        <w:tc>
          <w:tcPr>
            <w:tcW w:w="694" w:type="dxa"/>
            <w:tcBorders>
              <w:top w:val="nil"/>
              <w:left w:val="nil"/>
              <w:bottom w:val="single" w:sz="4" w:space="0" w:color="auto"/>
              <w:right w:val="single" w:sz="4" w:space="0" w:color="auto"/>
            </w:tcBorders>
            <w:shd w:val="clear" w:color="000000" w:fill="FFFFFF"/>
            <w:noWrap/>
            <w:vAlign w:val="center"/>
            <w:hideMark/>
          </w:tcPr>
          <w:p w14:paraId="5C9195E5" w14:textId="724FA0A2" w:rsidR="005871E9" w:rsidRPr="0053555E" w:rsidRDefault="00252ADF" w:rsidP="005871E9">
            <w:pPr>
              <w:jc w:val="center"/>
              <w:rPr>
                <w:rFonts w:asciiTheme="majorHAnsi" w:hAnsiTheme="majorHAnsi" w:cstheme="majorHAnsi"/>
              </w:rPr>
            </w:pPr>
            <w:r>
              <w:rPr>
                <w:rFonts w:cs="Arial"/>
              </w:rPr>
              <w:t>54</w:t>
            </w:r>
          </w:p>
        </w:tc>
        <w:tc>
          <w:tcPr>
            <w:tcW w:w="752" w:type="dxa"/>
            <w:tcBorders>
              <w:top w:val="nil"/>
              <w:left w:val="nil"/>
              <w:bottom w:val="single" w:sz="4" w:space="0" w:color="auto"/>
              <w:right w:val="single" w:sz="4" w:space="0" w:color="auto"/>
            </w:tcBorders>
            <w:shd w:val="clear" w:color="auto" w:fill="auto"/>
            <w:noWrap/>
            <w:vAlign w:val="center"/>
            <w:hideMark/>
          </w:tcPr>
          <w:p w14:paraId="58305000" w14:textId="1D9ADA05" w:rsidR="005871E9" w:rsidRPr="0053555E" w:rsidRDefault="005871E9" w:rsidP="005871E9">
            <w:pPr>
              <w:jc w:val="center"/>
              <w:rPr>
                <w:rFonts w:asciiTheme="majorHAnsi" w:hAnsiTheme="majorHAnsi" w:cstheme="majorHAnsi"/>
              </w:rPr>
            </w:pPr>
            <w:r w:rsidRPr="0053555E">
              <w:rPr>
                <w:rFonts w:cs="Arial"/>
              </w:rPr>
              <w:t>168</w:t>
            </w:r>
          </w:p>
        </w:tc>
        <w:tc>
          <w:tcPr>
            <w:tcW w:w="637" w:type="dxa"/>
            <w:tcBorders>
              <w:top w:val="nil"/>
              <w:left w:val="nil"/>
              <w:bottom w:val="single" w:sz="4" w:space="0" w:color="auto"/>
              <w:right w:val="single" w:sz="4" w:space="0" w:color="auto"/>
            </w:tcBorders>
            <w:shd w:val="clear" w:color="auto" w:fill="auto"/>
            <w:noWrap/>
            <w:vAlign w:val="center"/>
          </w:tcPr>
          <w:p w14:paraId="5079F9B9" w14:textId="58AAB95F" w:rsidR="005871E9" w:rsidRPr="0053555E" w:rsidRDefault="005871E9" w:rsidP="005871E9">
            <w:pPr>
              <w:jc w:val="center"/>
              <w:rPr>
                <w:rFonts w:asciiTheme="majorHAnsi" w:hAnsiTheme="majorHAnsi" w:cstheme="majorHAnsi"/>
              </w:rPr>
            </w:pPr>
            <w:r w:rsidRPr="0053555E">
              <w:rPr>
                <w:rFonts w:cs="Arial"/>
              </w:rPr>
              <w:t> </w:t>
            </w:r>
          </w:p>
        </w:tc>
        <w:tc>
          <w:tcPr>
            <w:tcW w:w="695" w:type="dxa"/>
            <w:tcBorders>
              <w:top w:val="nil"/>
              <w:left w:val="nil"/>
              <w:bottom w:val="single" w:sz="4" w:space="0" w:color="auto"/>
              <w:right w:val="single" w:sz="4" w:space="0" w:color="auto"/>
            </w:tcBorders>
            <w:shd w:val="clear" w:color="auto" w:fill="auto"/>
            <w:noWrap/>
            <w:vAlign w:val="center"/>
          </w:tcPr>
          <w:p w14:paraId="726E135C" w14:textId="28965D43" w:rsidR="005871E9" w:rsidRPr="0053555E" w:rsidRDefault="005871E9" w:rsidP="005871E9">
            <w:pPr>
              <w:jc w:val="center"/>
              <w:rPr>
                <w:rFonts w:asciiTheme="majorHAnsi" w:hAnsiTheme="majorHAnsi" w:cstheme="majorHAnsi"/>
              </w:rPr>
            </w:pPr>
            <w:r w:rsidRPr="0053555E">
              <w:rPr>
                <w:rFonts w:cs="Arial"/>
              </w:rPr>
              <w:t> </w:t>
            </w:r>
          </w:p>
        </w:tc>
        <w:tc>
          <w:tcPr>
            <w:tcW w:w="694" w:type="dxa"/>
            <w:tcBorders>
              <w:top w:val="nil"/>
              <w:left w:val="nil"/>
              <w:bottom w:val="single" w:sz="4" w:space="0" w:color="auto"/>
              <w:right w:val="single" w:sz="4" w:space="0" w:color="auto"/>
            </w:tcBorders>
            <w:shd w:val="clear" w:color="auto" w:fill="auto"/>
            <w:noWrap/>
            <w:vAlign w:val="center"/>
          </w:tcPr>
          <w:p w14:paraId="03E99282" w14:textId="2B848E76" w:rsidR="005871E9" w:rsidRPr="0053555E" w:rsidRDefault="005871E9" w:rsidP="005871E9">
            <w:pPr>
              <w:jc w:val="center"/>
              <w:rPr>
                <w:rFonts w:asciiTheme="majorHAnsi" w:hAnsiTheme="majorHAnsi" w:cstheme="majorHAnsi"/>
              </w:rPr>
            </w:pPr>
            <w:r w:rsidRPr="0053555E">
              <w:rPr>
                <w:rFonts w:cs="Arial"/>
              </w:rPr>
              <w:t> </w:t>
            </w:r>
          </w:p>
        </w:tc>
        <w:tc>
          <w:tcPr>
            <w:tcW w:w="695" w:type="dxa"/>
            <w:tcBorders>
              <w:top w:val="single" w:sz="4" w:space="0" w:color="auto"/>
              <w:left w:val="nil"/>
              <w:bottom w:val="nil"/>
              <w:right w:val="single" w:sz="4" w:space="0" w:color="auto"/>
            </w:tcBorders>
            <w:shd w:val="clear" w:color="auto" w:fill="auto"/>
            <w:noWrap/>
            <w:vAlign w:val="center"/>
            <w:hideMark/>
          </w:tcPr>
          <w:p w14:paraId="32A62FDD" w14:textId="7367E4D1" w:rsidR="005871E9" w:rsidRPr="0053555E" w:rsidRDefault="005871E9" w:rsidP="005871E9">
            <w:pPr>
              <w:jc w:val="center"/>
              <w:rPr>
                <w:rFonts w:asciiTheme="majorHAnsi" w:hAnsiTheme="majorHAnsi" w:cstheme="majorHAnsi"/>
              </w:rPr>
            </w:pPr>
            <w:r w:rsidRPr="0053555E">
              <w:rPr>
                <w:rFonts w:cs="Arial"/>
              </w:rPr>
              <w:t>99</w:t>
            </w:r>
          </w:p>
        </w:tc>
        <w:tc>
          <w:tcPr>
            <w:tcW w:w="694" w:type="dxa"/>
            <w:tcBorders>
              <w:top w:val="nil"/>
              <w:left w:val="nil"/>
              <w:bottom w:val="single" w:sz="4" w:space="0" w:color="auto"/>
              <w:right w:val="single" w:sz="4" w:space="0" w:color="auto"/>
            </w:tcBorders>
            <w:shd w:val="clear" w:color="auto" w:fill="auto"/>
            <w:noWrap/>
            <w:vAlign w:val="center"/>
            <w:hideMark/>
          </w:tcPr>
          <w:p w14:paraId="2C86F253" w14:textId="787A461C" w:rsidR="005871E9" w:rsidRPr="0053555E" w:rsidRDefault="005871E9" w:rsidP="005871E9">
            <w:pPr>
              <w:jc w:val="center"/>
              <w:rPr>
                <w:rFonts w:asciiTheme="majorHAnsi" w:hAnsiTheme="majorHAnsi" w:cstheme="majorHAnsi"/>
              </w:rPr>
            </w:pPr>
            <w:r w:rsidRPr="0053555E">
              <w:rPr>
                <w:rFonts w:cs="Arial"/>
              </w:rPr>
              <w:t>15</w:t>
            </w:r>
          </w:p>
        </w:tc>
        <w:tc>
          <w:tcPr>
            <w:tcW w:w="695" w:type="dxa"/>
            <w:tcBorders>
              <w:top w:val="nil"/>
              <w:left w:val="nil"/>
              <w:bottom w:val="single" w:sz="4" w:space="0" w:color="auto"/>
              <w:right w:val="single" w:sz="4" w:space="0" w:color="auto"/>
            </w:tcBorders>
            <w:shd w:val="clear" w:color="auto" w:fill="auto"/>
            <w:noWrap/>
            <w:vAlign w:val="center"/>
            <w:hideMark/>
          </w:tcPr>
          <w:p w14:paraId="500B271A" w14:textId="62BFA356" w:rsidR="005871E9" w:rsidRPr="0053555E" w:rsidRDefault="00111F96" w:rsidP="005871E9">
            <w:pPr>
              <w:jc w:val="center"/>
              <w:rPr>
                <w:rFonts w:asciiTheme="majorHAnsi" w:hAnsiTheme="majorHAnsi" w:cstheme="majorHAnsi"/>
                <w:b/>
                <w:bCs/>
              </w:rPr>
            </w:pPr>
            <w:r>
              <w:rPr>
                <w:rFonts w:cs="Arial"/>
                <w:b/>
                <w:bCs/>
              </w:rPr>
              <w:t>411</w:t>
            </w:r>
          </w:p>
        </w:tc>
      </w:tr>
      <w:tr w:rsidR="005871E9" w:rsidRPr="0053555E" w14:paraId="542F74CA" w14:textId="77777777" w:rsidTr="00B344DA">
        <w:trPr>
          <w:trHeight w:val="614"/>
        </w:trPr>
        <w:tc>
          <w:tcPr>
            <w:tcW w:w="791" w:type="dxa"/>
            <w:vMerge/>
            <w:tcBorders>
              <w:top w:val="nil"/>
              <w:left w:val="single" w:sz="4" w:space="0" w:color="auto"/>
              <w:bottom w:val="single" w:sz="4" w:space="0" w:color="000000"/>
              <w:right w:val="single" w:sz="4" w:space="0" w:color="auto"/>
            </w:tcBorders>
            <w:vAlign w:val="center"/>
            <w:hideMark/>
          </w:tcPr>
          <w:p w14:paraId="1D35C01D" w14:textId="77777777" w:rsidR="005871E9" w:rsidRPr="0053555E" w:rsidRDefault="005871E9" w:rsidP="005871E9">
            <w:pPr>
              <w:tabs>
                <w:tab w:val="left" w:pos="9356"/>
              </w:tabs>
              <w:jc w:val="both"/>
              <w:rPr>
                <w:rFonts w:asciiTheme="majorHAnsi" w:eastAsia="Times New Roman" w:hAnsiTheme="majorHAnsi" w:cstheme="majorHAnsi"/>
                <w:b/>
                <w:bCs/>
                <w:sz w:val="20"/>
                <w:szCs w:val="18"/>
                <w:lang w:eastAsia="sk-SK"/>
              </w:rPr>
            </w:pPr>
          </w:p>
        </w:tc>
        <w:tc>
          <w:tcPr>
            <w:tcW w:w="1276" w:type="dxa"/>
            <w:tcBorders>
              <w:top w:val="nil"/>
              <w:left w:val="nil"/>
              <w:bottom w:val="single" w:sz="4" w:space="0" w:color="auto"/>
              <w:right w:val="single" w:sz="4" w:space="0" w:color="auto"/>
            </w:tcBorders>
            <w:shd w:val="clear" w:color="auto" w:fill="auto"/>
            <w:vAlign w:val="center"/>
            <w:hideMark/>
          </w:tcPr>
          <w:p w14:paraId="3217CCB0" w14:textId="77777777" w:rsidR="005871E9" w:rsidRPr="0053555E" w:rsidRDefault="005871E9" w:rsidP="005871E9">
            <w:pPr>
              <w:tabs>
                <w:tab w:val="left" w:pos="9356"/>
              </w:tabs>
              <w:jc w:val="both"/>
              <w:rPr>
                <w:rFonts w:asciiTheme="majorHAnsi" w:eastAsia="Times New Roman" w:hAnsiTheme="majorHAnsi" w:cstheme="majorHAnsi"/>
                <w:sz w:val="18"/>
                <w:szCs w:val="22"/>
                <w:lang w:eastAsia="sk-SK"/>
              </w:rPr>
            </w:pPr>
            <w:r w:rsidRPr="0053555E">
              <w:rPr>
                <w:rFonts w:asciiTheme="majorHAnsi" w:eastAsia="Times New Roman" w:hAnsiTheme="majorHAnsi" w:cstheme="majorHAnsi"/>
                <w:sz w:val="18"/>
                <w:szCs w:val="22"/>
                <w:lang w:eastAsia="sk-SK"/>
              </w:rPr>
              <w:t>Počet kurzov</w:t>
            </w:r>
          </w:p>
        </w:tc>
        <w:tc>
          <w:tcPr>
            <w:tcW w:w="694" w:type="dxa"/>
            <w:tcBorders>
              <w:top w:val="nil"/>
              <w:left w:val="nil"/>
              <w:bottom w:val="single" w:sz="4" w:space="0" w:color="auto"/>
              <w:right w:val="single" w:sz="4" w:space="0" w:color="auto"/>
            </w:tcBorders>
            <w:shd w:val="clear" w:color="auto" w:fill="auto"/>
            <w:noWrap/>
            <w:vAlign w:val="center"/>
            <w:hideMark/>
          </w:tcPr>
          <w:p w14:paraId="56143F99" w14:textId="7FA4DE12" w:rsidR="005871E9" w:rsidRPr="0053555E" w:rsidRDefault="005871E9" w:rsidP="005871E9">
            <w:pPr>
              <w:jc w:val="center"/>
              <w:rPr>
                <w:rFonts w:asciiTheme="majorHAnsi" w:hAnsiTheme="majorHAnsi" w:cstheme="majorHAnsi"/>
              </w:rPr>
            </w:pPr>
            <w:r w:rsidRPr="0053555E">
              <w:rPr>
                <w:rFonts w:cs="Arial"/>
              </w:rPr>
              <w:t>3</w:t>
            </w:r>
          </w:p>
        </w:tc>
        <w:tc>
          <w:tcPr>
            <w:tcW w:w="695" w:type="dxa"/>
            <w:tcBorders>
              <w:top w:val="nil"/>
              <w:left w:val="nil"/>
              <w:bottom w:val="single" w:sz="4" w:space="0" w:color="auto"/>
              <w:right w:val="single" w:sz="4" w:space="0" w:color="auto"/>
            </w:tcBorders>
            <w:shd w:val="clear" w:color="auto" w:fill="auto"/>
            <w:noWrap/>
            <w:vAlign w:val="center"/>
            <w:hideMark/>
          </w:tcPr>
          <w:p w14:paraId="61D8AB3E" w14:textId="58B50AC5" w:rsidR="005871E9" w:rsidRPr="0053555E" w:rsidRDefault="005871E9" w:rsidP="005871E9">
            <w:pPr>
              <w:jc w:val="center"/>
              <w:rPr>
                <w:rFonts w:asciiTheme="majorHAnsi" w:hAnsiTheme="majorHAnsi" w:cstheme="majorHAnsi"/>
              </w:rPr>
            </w:pPr>
            <w:r w:rsidRPr="0053555E">
              <w:rPr>
                <w:rFonts w:cs="Arial"/>
              </w:rPr>
              <w:t>2</w:t>
            </w:r>
          </w:p>
        </w:tc>
        <w:tc>
          <w:tcPr>
            <w:tcW w:w="694" w:type="dxa"/>
            <w:tcBorders>
              <w:top w:val="nil"/>
              <w:left w:val="nil"/>
              <w:bottom w:val="single" w:sz="4" w:space="0" w:color="auto"/>
              <w:right w:val="single" w:sz="4" w:space="0" w:color="auto"/>
            </w:tcBorders>
            <w:shd w:val="clear" w:color="auto" w:fill="auto"/>
            <w:noWrap/>
            <w:vAlign w:val="center"/>
            <w:hideMark/>
          </w:tcPr>
          <w:p w14:paraId="502E617C" w14:textId="08CE3CB2" w:rsidR="005871E9" w:rsidRPr="0053555E" w:rsidRDefault="005871E9" w:rsidP="005871E9">
            <w:pPr>
              <w:jc w:val="center"/>
              <w:rPr>
                <w:rFonts w:asciiTheme="majorHAnsi" w:hAnsiTheme="majorHAnsi" w:cstheme="majorHAnsi"/>
              </w:rPr>
            </w:pPr>
            <w:r w:rsidRPr="0053555E">
              <w:rPr>
                <w:rFonts w:cs="Arial"/>
              </w:rPr>
              <w:t>3</w:t>
            </w:r>
          </w:p>
        </w:tc>
        <w:tc>
          <w:tcPr>
            <w:tcW w:w="752" w:type="dxa"/>
            <w:tcBorders>
              <w:top w:val="nil"/>
              <w:left w:val="nil"/>
              <w:bottom w:val="single" w:sz="4" w:space="0" w:color="auto"/>
              <w:right w:val="single" w:sz="4" w:space="0" w:color="auto"/>
            </w:tcBorders>
            <w:shd w:val="clear" w:color="auto" w:fill="auto"/>
            <w:noWrap/>
            <w:vAlign w:val="center"/>
            <w:hideMark/>
          </w:tcPr>
          <w:p w14:paraId="1E5EA478" w14:textId="43F84ECC" w:rsidR="005871E9" w:rsidRPr="0053555E" w:rsidRDefault="005871E9" w:rsidP="005871E9">
            <w:pPr>
              <w:jc w:val="center"/>
              <w:rPr>
                <w:rFonts w:asciiTheme="majorHAnsi" w:hAnsiTheme="majorHAnsi" w:cstheme="majorHAnsi"/>
              </w:rPr>
            </w:pPr>
            <w:r w:rsidRPr="0053555E">
              <w:rPr>
                <w:rFonts w:cs="Arial"/>
              </w:rPr>
              <w:t>17</w:t>
            </w:r>
          </w:p>
        </w:tc>
        <w:tc>
          <w:tcPr>
            <w:tcW w:w="637" w:type="dxa"/>
            <w:tcBorders>
              <w:top w:val="nil"/>
              <w:left w:val="nil"/>
              <w:bottom w:val="single" w:sz="4" w:space="0" w:color="auto"/>
              <w:right w:val="single" w:sz="4" w:space="0" w:color="auto"/>
            </w:tcBorders>
            <w:shd w:val="clear" w:color="auto" w:fill="auto"/>
            <w:noWrap/>
            <w:vAlign w:val="center"/>
          </w:tcPr>
          <w:p w14:paraId="2FD861F1" w14:textId="27F3C6BF" w:rsidR="005871E9" w:rsidRPr="0053555E" w:rsidRDefault="005871E9" w:rsidP="005871E9">
            <w:pPr>
              <w:jc w:val="center"/>
              <w:rPr>
                <w:rFonts w:asciiTheme="majorHAnsi" w:hAnsiTheme="majorHAnsi" w:cstheme="majorHAnsi"/>
              </w:rPr>
            </w:pPr>
            <w:r w:rsidRPr="0053555E">
              <w:rPr>
                <w:rFonts w:cs="Arial"/>
              </w:rPr>
              <w:t> </w:t>
            </w:r>
          </w:p>
        </w:tc>
        <w:tc>
          <w:tcPr>
            <w:tcW w:w="695" w:type="dxa"/>
            <w:tcBorders>
              <w:top w:val="nil"/>
              <w:left w:val="nil"/>
              <w:bottom w:val="single" w:sz="4" w:space="0" w:color="auto"/>
              <w:right w:val="single" w:sz="4" w:space="0" w:color="auto"/>
            </w:tcBorders>
            <w:shd w:val="clear" w:color="auto" w:fill="auto"/>
            <w:noWrap/>
            <w:vAlign w:val="center"/>
          </w:tcPr>
          <w:p w14:paraId="1B3225EE" w14:textId="4E1C50AC" w:rsidR="005871E9" w:rsidRPr="0053555E" w:rsidRDefault="005871E9" w:rsidP="005871E9">
            <w:pPr>
              <w:jc w:val="center"/>
              <w:rPr>
                <w:rFonts w:asciiTheme="majorHAnsi" w:hAnsiTheme="majorHAnsi" w:cstheme="majorHAnsi"/>
              </w:rPr>
            </w:pPr>
            <w:r w:rsidRPr="0053555E">
              <w:rPr>
                <w:rFonts w:cs="Arial"/>
              </w:rPr>
              <w:t> </w:t>
            </w:r>
          </w:p>
        </w:tc>
        <w:tc>
          <w:tcPr>
            <w:tcW w:w="694" w:type="dxa"/>
            <w:tcBorders>
              <w:top w:val="nil"/>
              <w:left w:val="nil"/>
              <w:bottom w:val="single" w:sz="4" w:space="0" w:color="auto"/>
              <w:right w:val="single" w:sz="4" w:space="0" w:color="auto"/>
            </w:tcBorders>
            <w:shd w:val="clear" w:color="auto" w:fill="auto"/>
            <w:noWrap/>
            <w:vAlign w:val="center"/>
          </w:tcPr>
          <w:p w14:paraId="6DE5EAF5" w14:textId="2F4FB4AC" w:rsidR="005871E9" w:rsidRPr="0053555E" w:rsidRDefault="005871E9" w:rsidP="005871E9">
            <w:pPr>
              <w:jc w:val="center"/>
              <w:rPr>
                <w:rFonts w:asciiTheme="majorHAnsi" w:hAnsiTheme="majorHAnsi" w:cstheme="majorHAnsi"/>
              </w:rPr>
            </w:pPr>
            <w:r w:rsidRPr="0053555E">
              <w:rPr>
                <w:rFonts w:cs="Arial"/>
              </w:rPr>
              <w:t> </w:t>
            </w:r>
          </w:p>
        </w:tc>
        <w:tc>
          <w:tcPr>
            <w:tcW w:w="695" w:type="dxa"/>
            <w:tcBorders>
              <w:top w:val="single" w:sz="4" w:space="0" w:color="auto"/>
              <w:left w:val="nil"/>
              <w:bottom w:val="nil"/>
              <w:right w:val="single" w:sz="4" w:space="0" w:color="auto"/>
            </w:tcBorders>
            <w:shd w:val="clear" w:color="auto" w:fill="auto"/>
            <w:noWrap/>
            <w:vAlign w:val="center"/>
            <w:hideMark/>
          </w:tcPr>
          <w:p w14:paraId="2873AE7E" w14:textId="797442B2" w:rsidR="005871E9" w:rsidRPr="0053555E" w:rsidRDefault="005871E9" w:rsidP="005871E9">
            <w:pPr>
              <w:jc w:val="center"/>
              <w:rPr>
                <w:rFonts w:asciiTheme="majorHAnsi" w:hAnsiTheme="majorHAnsi" w:cstheme="majorHAnsi"/>
              </w:rPr>
            </w:pPr>
            <w:r w:rsidRPr="0053555E">
              <w:rPr>
                <w:rFonts w:cs="Arial"/>
              </w:rPr>
              <w:t>12</w:t>
            </w:r>
          </w:p>
        </w:tc>
        <w:tc>
          <w:tcPr>
            <w:tcW w:w="694" w:type="dxa"/>
            <w:tcBorders>
              <w:top w:val="nil"/>
              <w:left w:val="nil"/>
              <w:bottom w:val="single" w:sz="4" w:space="0" w:color="auto"/>
              <w:right w:val="single" w:sz="4" w:space="0" w:color="auto"/>
            </w:tcBorders>
            <w:shd w:val="clear" w:color="auto" w:fill="auto"/>
            <w:noWrap/>
            <w:vAlign w:val="center"/>
            <w:hideMark/>
          </w:tcPr>
          <w:p w14:paraId="78F9EA6B" w14:textId="4CA57303" w:rsidR="005871E9" w:rsidRPr="0053555E" w:rsidRDefault="005871E9" w:rsidP="005871E9">
            <w:pPr>
              <w:jc w:val="center"/>
              <w:rPr>
                <w:rFonts w:asciiTheme="majorHAnsi" w:hAnsiTheme="majorHAnsi" w:cstheme="majorHAnsi"/>
              </w:rPr>
            </w:pPr>
            <w:r w:rsidRPr="0053555E">
              <w:rPr>
                <w:rFonts w:cs="Arial"/>
              </w:rPr>
              <w:t>1</w:t>
            </w:r>
          </w:p>
        </w:tc>
        <w:tc>
          <w:tcPr>
            <w:tcW w:w="695" w:type="dxa"/>
            <w:tcBorders>
              <w:top w:val="nil"/>
              <w:left w:val="nil"/>
              <w:bottom w:val="single" w:sz="4" w:space="0" w:color="auto"/>
              <w:right w:val="single" w:sz="4" w:space="0" w:color="auto"/>
            </w:tcBorders>
            <w:shd w:val="clear" w:color="auto" w:fill="auto"/>
            <w:noWrap/>
            <w:vAlign w:val="center"/>
            <w:hideMark/>
          </w:tcPr>
          <w:p w14:paraId="26A2F220" w14:textId="0840ECF7" w:rsidR="005871E9" w:rsidRPr="0053555E" w:rsidRDefault="005871E9" w:rsidP="005871E9">
            <w:pPr>
              <w:jc w:val="center"/>
              <w:rPr>
                <w:rFonts w:asciiTheme="majorHAnsi" w:hAnsiTheme="majorHAnsi" w:cstheme="majorHAnsi"/>
                <w:b/>
                <w:bCs/>
              </w:rPr>
            </w:pPr>
            <w:r w:rsidRPr="0053555E">
              <w:rPr>
                <w:rFonts w:cs="Arial"/>
                <w:b/>
                <w:bCs/>
              </w:rPr>
              <w:t>38</w:t>
            </w:r>
          </w:p>
        </w:tc>
      </w:tr>
      <w:tr w:rsidR="005871E9" w:rsidRPr="0053555E" w14:paraId="45117D22" w14:textId="77777777" w:rsidTr="00B344DA">
        <w:trPr>
          <w:trHeight w:val="480"/>
        </w:trPr>
        <w:tc>
          <w:tcPr>
            <w:tcW w:w="791" w:type="dxa"/>
            <w:vMerge w:val="restart"/>
            <w:tcBorders>
              <w:top w:val="nil"/>
              <w:left w:val="single" w:sz="4" w:space="0" w:color="auto"/>
              <w:bottom w:val="single" w:sz="4" w:space="0" w:color="000000"/>
              <w:right w:val="single" w:sz="4" w:space="0" w:color="auto"/>
            </w:tcBorders>
            <w:shd w:val="clear" w:color="auto" w:fill="EEECE1" w:themeFill="background2"/>
            <w:noWrap/>
            <w:textDirection w:val="btLr"/>
            <w:vAlign w:val="center"/>
            <w:hideMark/>
          </w:tcPr>
          <w:p w14:paraId="3BA047F1" w14:textId="77777777" w:rsidR="005871E9" w:rsidRPr="0053555E" w:rsidRDefault="005871E9" w:rsidP="005871E9">
            <w:pPr>
              <w:tabs>
                <w:tab w:val="left" w:pos="9356"/>
              </w:tabs>
              <w:jc w:val="center"/>
              <w:rPr>
                <w:rFonts w:asciiTheme="majorHAnsi" w:eastAsia="Times New Roman" w:hAnsiTheme="majorHAnsi" w:cstheme="majorHAnsi"/>
                <w:b/>
                <w:bCs/>
                <w:sz w:val="20"/>
                <w:szCs w:val="18"/>
                <w:lang w:eastAsia="sk-SK"/>
              </w:rPr>
            </w:pPr>
            <w:r w:rsidRPr="0053555E">
              <w:rPr>
                <w:rFonts w:asciiTheme="majorHAnsi" w:eastAsia="Times New Roman" w:hAnsiTheme="majorHAnsi" w:cstheme="majorHAnsi"/>
                <w:b/>
                <w:bCs/>
                <w:sz w:val="20"/>
                <w:szCs w:val="18"/>
                <w:lang w:eastAsia="sk-SK"/>
              </w:rPr>
              <w:t>Spolu</w:t>
            </w:r>
          </w:p>
        </w:tc>
        <w:tc>
          <w:tcPr>
            <w:tcW w:w="1276" w:type="dxa"/>
            <w:tcBorders>
              <w:top w:val="nil"/>
              <w:left w:val="nil"/>
              <w:bottom w:val="single" w:sz="4" w:space="0" w:color="auto"/>
              <w:right w:val="single" w:sz="4" w:space="0" w:color="auto"/>
            </w:tcBorders>
            <w:shd w:val="clear" w:color="auto" w:fill="EEECE1" w:themeFill="background2"/>
            <w:noWrap/>
            <w:vAlign w:val="center"/>
            <w:hideMark/>
          </w:tcPr>
          <w:p w14:paraId="0EF4CB3C" w14:textId="77777777" w:rsidR="005871E9" w:rsidRPr="0053555E" w:rsidRDefault="005871E9" w:rsidP="005871E9">
            <w:pPr>
              <w:tabs>
                <w:tab w:val="left" w:pos="9356"/>
              </w:tabs>
              <w:jc w:val="both"/>
              <w:rPr>
                <w:rFonts w:asciiTheme="majorHAnsi" w:eastAsia="Times New Roman" w:hAnsiTheme="majorHAnsi" w:cstheme="majorHAnsi"/>
                <w:b/>
                <w:sz w:val="18"/>
                <w:szCs w:val="22"/>
                <w:lang w:eastAsia="sk-SK"/>
              </w:rPr>
            </w:pPr>
            <w:r w:rsidRPr="0053555E">
              <w:rPr>
                <w:rFonts w:asciiTheme="majorHAnsi" w:eastAsia="Times New Roman" w:hAnsiTheme="majorHAnsi" w:cstheme="majorHAnsi"/>
                <w:b/>
                <w:sz w:val="18"/>
                <w:szCs w:val="22"/>
                <w:lang w:eastAsia="sk-SK"/>
              </w:rPr>
              <w:t>Počet frekventantov</w:t>
            </w:r>
          </w:p>
        </w:tc>
        <w:tc>
          <w:tcPr>
            <w:tcW w:w="694" w:type="dxa"/>
            <w:tcBorders>
              <w:top w:val="nil"/>
              <w:left w:val="nil"/>
              <w:bottom w:val="single" w:sz="4" w:space="0" w:color="auto"/>
              <w:right w:val="single" w:sz="4" w:space="0" w:color="auto"/>
            </w:tcBorders>
            <w:shd w:val="clear" w:color="auto" w:fill="EEECE1" w:themeFill="background2"/>
            <w:noWrap/>
            <w:vAlign w:val="center"/>
            <w:hideMark/>
          </w:tcPr>
          <w:p w14:paraId="602578BD" w14:textId="5B63D6D5" w:rsidR="005871E9" w:rsidRPr="0053555E" w:rsidRDefault="005871E9" w:rsidP="005871E9">
            <w:pPr>
              <w:jc w:val="center"/>
              <w:rPr>
                <w:rFonts w:asciiTheme="majorHAnsi" w:hAnsiTheme="majorHAnsi" w:cstheme="majorHAnsi"/>
                <w:b/>
                <w:bCs/>
              </w:rPr>
            </w:pPr>
            <w:r w:rsidRPr="0053555E">
              <w:rPr>
                <w:rFonts w:cs="Arial"/>
                <w:b/>
                <w:bCs/>
              </w:rPr>
              <w:t>179</w:t>
            </w:r>
          </w:p>
        </w:tc>
        <w:tc>
          <w:tcPr>
            <w:tcW w:w="695" w:type="dxa"/>
            <w:tcBorders>
              <w:top w:val="nil"/>
              <w:left w:val="nil"/>
              <w:bottom w:val="single" w:sz="4" w:space="0" w:color="auto"/>
              <w:right w:val="single" w:sz="4" w:space="0" w:color="auto"/>
            </w:tcBorders>
            <w:shd w:val="clear" w:color="auto" w:fill="EEECE1" w:themeFill="background2"/>
            <w:noWrap/>
            <w:vAlign w:val="center"/>
            <w:hideMark/>
          </w:tcPr>
          <w:p w14:paraId="1895D07E" w14:textId="3FD26EB2" w:rsidR="005871E9" w:rsidRPr="0053555E" w:rsidRDefault="005871E9" w:rsidP="005871E9">
            <w:pPr>
              <w:jc w:val="center"/>
              <w:rPr>
                <w:rFonts w:asciiTheme="majorHAnsi" w:hAnsiTheme="majorHAnsi" w:cstheme="majorHAnsi"/>
                <w:b/>
                <w:bCs/>
              </w:rPr>
            </w:pPr>
            <w:r w:rsidRPr="0053555E">
              <w:rPr>
                <w:rFonts w:cs="Arial"/>
                <w:b/>
                <w:bCs/>
              </w:rPr>
              <w:t>68</w:t>
            </w:r>
          </w:p>
        </w:tc>
        <w:tc>
          <w:tcPr>
            <w:tcW w:w="694" w:type="dxa"/>
            <w:tcBorders>
              <w:top w:val="nil"/>
              <w:left w:val="nil"/>
              <w:bottom w:val="single" w:sz="4" w:space="0" w:color="auto"/>
              <w:right w:val="single" w:sz="4" w:space="0" w:color="auto"/>
            </w:tcBorders>
            <w:shd w:val="clear" w:color="auto" w:fill="EEECE1" w:themeFill="background2"/>
            <w:noWrap/>
            <w:vAlign w:val="center"/>
            <w:hideMark/>
          </w:tcPr>
          <w:p w14:paraId="466C1F7B" w14:textId="6F35F9A6" w:rsidR="005871E9" w:rsidRPr="0053555E" w:rsidRDefault="00252ADF" w:rsidP="005871E9">
            <w:pPr>
              <w:jc w:val="center"/>
              <w:rPr>
                <w:rFonts w:asciiTheme="majorHAnsi" w:hAnsiTheme="majorHAnsi" w:cstheme="majorHAnsi"/>
                <w:b/>
                <w:bCs/>
              </w:rPr>
            </w:pPr>
            <w:r>
              <w:rPr>
                <w:rFonts w:cs="Arial"/>
                <w:b/>
                <w:bCs/>
              </w:rPr>
              <w:t>94</w:t>
            </w:r>
          </w:p>
        </w:tc>
        <w:tc>
          <w:tcPr>
            <w:tcW w:w="752" w:type="dxa"/>
            <w:tcBorders>
              <w:top w:val="nil"/>
              <w:left w:val="nil"/>
              <w:bottom w:val="single" w:sz="4" w:space="0" w:color="auto"/>
              <w:right w:val="single" w:sz="4" w:space="0" w:color="auto"/>
            </w:tcBorders>
            <w:shd w:val="clear" w:color="auto" w:fill="EEECE1" w:themeFill="background2"/>
            <w:noWrap/>
            <w:vAlign w:val="center"/>
            <w:hideMark/>
          </w:tcPr>
          <w:p w14:paraId="3D0083E1" w14:textId="36222A11" w:rsidR="005871E9" w:rsidRPr="0053555E" w:rsidRDefault="005871E9" w:rsidP="005871E9">
            <w:pPr>
              <w:jc w:val="center"/>
              <w:rPr>
                <w:rFonts w:asciiTheme="majorHAnsi" w:hAnsiTheme="majorHAnsi" w:cstheme="majorHAnsi"/>
                <w:b/>
                <w:bCs/>
              </w:rPr>
            </w:pPr>
            <w:r w:rsidRPr="0053555E">
              <w:rPr>
                <w:rFonts w:cs="Arial"/>
                <w:b/>
                <w:bCs/>
              </w:rPr>
              <w:t>2 255</w:t>
            </w:r>
          </w:p>
        </w:tc>
        <w:tc>
          <w:tcPr>
            <w:tcW w:w="637" w:type="dxa"/>
            <w:tcBorders>
              <w:top w:val="nil"/>
              <w:left w:val="nil"/>
              <w:bottom w:val="single" w:sz="4" w:space="0" w:color="auto"/>
              <w:right w:val="single" w:sz="4" w:space="0" w:color="auto"/>
            </w:tcBorders>
            <w:shd w:val="clear" w:color="auto" w:fill="EEECE1" w:themeFill="background2"/>
            <w:noWrap/>
            <w:vAlign w:val="center"/>
            <w:hideMark/>
          </w:tcPr>
          <w:p w14:paraId="57D0328B" w14:textId="46067100" w:rsidR="005871E9" w:rsidRPr="0053555E" w:rsidRDefault="005871E9" w:rsidP="005871E9">
            <w:pPr>
              <w:jc w:val="center"/>
              <w:rPr>
                <w:rFonts w:asciiTheme="majorHAnsi" w:hAnsiTheme="majorHAnsi" w:cstheme="majorHAnsi"/>
                <w:b/>
                <w:bCs/>
              </w:rPr>
            </w:pPr>
            <w:r w:rsidRPr="0053555E">
              <w:rPr>
                <w:rFonts w:cs="Arial"/>
                <w:b/>
                <w:bCs/>
              </w:rPr>
              <w:t>461</w:t>
            </w:r>
          </w:p>
        </w:tc>
        <w:tc>
          <w:tcPr>
            <w:tcW w:w="695" w:type="dxa"/>
            <w:tcBorders>
              <w:top w:val="nil"/>
              <w:left w:val="nil"/>
              <w:bottom w:val="single" w:sz="4" w:space="0" w:color="auto"/>
              <w:right w:val="single" w:sz="4" w:space="0" w:color="auto"/>
            </w:tcBorders>
            <w:shd w:val="clear" w:color="auto" w:fill="EEECE1" w:themeFill="background2"/>
            <w:noWrap/>
            <w:vAlign w:val="center"/>
            <w:hideMark/>
          </w:tcPr>
          <w:p w14:paraId="692FD63C" w14:textId="616744D6" w:rsidR="005871E9" w:rsidRPr="0053555E" w:rsidRDefault="005871E9" w:rsidP="005871E9">
            <w:pPr>
              <w:jc w:val="center"/>
              <w:rPr>
                <w:rFonts w:asciiTheme="majorHAnsi" w:hAnsiTheme="majorHAnsi" w:cstheme="majorHAnsi"/>
                <w:b/>
                <w:bCs/>
              </w:rPr>
            </w:pPr>
            <w:r w:rsidRPr="0053555E">
              <w:rPr>
                <w:rFonts w:cs="Arial"/>
                <w:b/>
                <w:bCs/>
              </w:rPr>
              <w:t>70</w:t>
            </w:r>
          </w:p>
        </w:tc>
        <w:tc>
          <w:tcPr>
            <w:tcW w:w="694" w:type="dxa"/>
            <w:tcBorders>
              <w:top w:val="nil"/>
              <w:left w:val="nil"/>
              <w:bottom w:val="single" w:sz="4" w:space="0" w:color="auto"/>
              <w:right w:val="single" w:sz="4" w:space="0" w:color="auto"/>
            </w:tcBorders>
            <w:shd w:val="clear" w:color="auto" w:fill="EEECE1" w:themeFill="background2"/>
            <w:noWrap/>
            <w:vAlign w:val="center"/>
            <w:hideMark/>
          </w:tcPr>
          <w:p w14:paraId="6B3AB088" w14:textId="1D701FB5" w:rsidR="005871E9" w:rsidRPr="0053555E" w:rsidRDefault="005871E9" w:rsidP="005871E9">
            <w:pPr>
              <w:jc w:val="center"/>
              <w:rPr>
                <w:rFonts w:asciiTheme="majorHAnsi" w:hAnsiTheme="majorHAnsi" w:cstheme="majorHAnsi"/>
                <w:b/>
                <w:bCs/>
              </w:rPr>
            </w:pPr>
            <w:r w:rsidRPr="0053555E">
              <w:rPr>
                <w:rFonts w:cs="Arial"/>
                <w:b/>
                <w:bCs/>
              </w:rPr>
              <w:t>45</w:t>
            </w:r>
          </w:p>
        </w:tc>
        <w:tc>
          <w:tcPr>
            <w:tcW w:w="695"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45935175" w14:textId="6B459381" w:rsidR="005871E9" w:rsidRPr="0053555E" w:rsidRDefault="005871E9" w:rsidP="005871E9">
            <w:pPr>
              <w:jc w:val="center"/>
              <w:rPr>
                <w:rFonts w:asciiTheme="majorHAnsi" w:hAnsiTheme="majorHAnsi" w:cstheme="majorHAnsi"/>
                <w:b/>
                <w:bCs/>
              </w:rPr>
            </w:pPr>
            <w:r w:rsidRPr="0053555E">
              <w:rPr>
                <w:rFonts w:cs="Arial"/>
                <w:b/>
                <w:bCs/>
              </w:rPr>
              <w:t>99</w:t>
            </w:r>
          </w:p>
        </w:tc>
        <w:tc>
          <w:tcPr>
            <w:tcW w:w="694" w:type="dxa"/>
            <w:tcBorders>
              <w:top w:val="nil"/>
              <w:left w:val="nil"/>
              <w:bottom w:val="single" w:sz="4" w:space="0" w:color="auto"/>
              <w:right w:val="single" w:sz="4" w:space="0" w:color="auto"/>
            </w:tcBorders>
            <w:shd w:val="clear" w:color="auto" w:fill="EEECE1" w:themeFill="background2"/>
            <w:noWrap/>
            <w:vAlign w:val="center"/>
            <w:hideMark/>
          </w:tcPr>
          <w:p w14:paraId="3FA8DFAD" w14:textId="0191A39B" w:rsidR="005871E9" w:rsidRPr="0053555E" w:rsidRDefault="005871E9" w:rsidP="005871E9">
            <w:pPr>
              <w:jc w:val="center"/>
              <w:rPr>
                <w:rFonts w:asciiTheme="majorHAnsi" w:hAnsiTheme="majorHAnsi" w:cstheme="majorHAnsi"/>
                <w:b/>
                <w:bCs/>
              </w:rPr>
            </w:pPr>
            <w:r w:rsidRPr="0053555E">
              <w:rPr>
                <w:rFonts w:cs="Arial"/>
                <w:b/>
                <w:bCs/>
              </w:rPr>
              <w:t>584</w:t>
            </w:r>
          </w:p>
        </w:tc>
        <w:tc>
          <w:tcPr>
            <w:tcW w:w="695" w:type="dxa"/>
            <w:tcBorders>
              <w:top w:val="nil"/>
              <w:left w:val="nil"/>
              <w:bottom w:val="single" w:sz="4" w:space="0" w:color="auto"/>
              <w:right w:val="single" w:sz="4" w:space="0" w:color="auto"/>
            </w:tcBorders>
            <w:shd w:val="clear" w:color="auto" w:fill="EEECE1" w:themeFill="background2"/>
            <w:noWrap/>
            <w:vAlign w:val="center"/>
            <w:hideMark/>
          </w:tcPr>
          <w:p w14:paraId="4C99D872" w14:textId="189E5B8B" w:rsidR="005871E9" w:rsidRPr="0053555E" w:rsidRDefault="005871E9" w:rsidP="005871E9">
            <w:pPr>
              <w:jc w:val="center"/>
              <w:rPr>
                <w:rFonts w:asciiTheme="majorHAnsi" w:hAnsiTheme="majorHAnsi" w:cstheme="majorHAnsi"/>
                <w:b/>
                <w:bCs/>
              </w:rPr>
            </w:pPr>
            <w:r w:rsidRPr="0053555E">
              <w:rPr>
                <w:rFonts w:cs="Arial"/>
                <w:b/>
                <w:bCs/>
              </w:rPr>
              <w:t>3 8</w:t>
            </w:r>
            <w:r w:rsidR="00111F96">
              <w:rPr>
                <w:rFonts w:cs="Arial"/>
                <w:b/>
                <w:bCs/>
              </w:rPr>
              <w:t>55</w:t>
            </w:r>
          </w:p>
        </w:tc>
      </w:tr>
      <w:tr w:rsidR="005871E9" w:rsidRPr="0053555E" w14:paraId="477FFA11" w14:textId="77777777" w:rsidTr="00B344DA">
        <w:trPr>
          <w:trHeight w:val="480"/>
        </w:trPr>
        <w:tc>
          <w:tcPr>
            <w:tcW w:w="791" w:type="dxa"/>
            <w:vMerge/>
            <w:tcBorders>
              <w:top w:val="nil"/>
              <w:left w:val="single" w:sz="4" w:space="0" w:color="auto"/>
              <w:bottom w:val="single" w:sz="4" w:space="0" w:color="000000"/>
              <w:right w:val="single" w:sz="4" w:space="0" w:color="auto"/>
            </w:tcBorders>
            <w:shd w:val="clear" w:color="auto" w:fill="EEECE1" w:themeFill="background2"/>
            <w:vAlign w:val="center"/>
            <w:hideMark/>
          </w:tcPr>
          <w:p w14:paraId="4AFA5486" w14:textId="77777777" w:rsidR="005871E9" w:rsidRPr="0053555E" w:rsidRDefault="005871E9" w:rsidP="005871E9">
            <w:pPr>
              <w:tabs>
                <w:tab w:val="left" w:pos="9356"/>
              </w:tabs>
              <w:jc w:val="both"/>
              <w:rPr>
                <w:rFonts w:asciiTheme="majorHAnsi" w:eastAsia="Times New Roman" w:hAnsiTheme="majorHAnsi" w:cstheme="majorHAnsi"/>
                <w:b/>
                <w:bCs/>
                <w:sz w:val="18"/>
                <w:szCs w:val="18"/>
                <w:lang w:eastAsia="sk-SK"/>
              </w:rPr>
            </w:pPr>
          </w:p>
        </w:tc>
        <w:tc>
          <w:tcPr>
            <w:tcW w:w="1276" w:type="dxa"/>
            <w:tcBorders>
              <w:top w:val="nil"/>
              <w:left w:val="nil"/>
              <w:bottom w:val="single" w:sz="4" w:space="0" w:color="auto"/>
              <w:right w:val="single" w:sz="4" w:space="0" w:color="auto"/>
            </w:tcBorders>
            <w:shd w:val="clear" w:color="auto" w:fill="EEECE1" w:themeFill="background2"/>
            <w:vAlign w:val="center"/>
            <w:hideMark/>
          </w:tcPr>
          <w:p w14:paraId="008963FD" w14:textId="77777777" w:rsidR="005871E9" w:rsidRPr="0053555E" w:rsidRDefault="005871E9" w:rsidP="005871E9">
            <w:pPr>
              <w:tabs>
                <w:tab w:val="left" w:pos="9356"/>
              </w:tabs>
              <w:jc w:val="both"/>
              <w:rPr>
                <w:rFonts w:asciiTheme="majorHAnsi" w:eastAsia="Times New Roman" w:hAnsiTheme="majorHAnsi" w:cstheme="majorHAnsi"/>
                <w:b/>
                <w:sz w:val="18"/>
                <w:szCs w:val="22"/>
                <w:lang w:eastAsia="sk-SK"/>
              </w:rPr>
            </w:pPr>
            <w:r w:rsidRPr="0053555E">
              <w:rPr>
                <w:rFonts w:asciiTheme="majorHAnsi" w:eastAsia="Times New Roman" w:hAnsiTheme="majorHAnsi" w:cstheme="majorHAnsi"/>
                <w:b/>
                <w:sz w:val="18"/>
                <w:szCs w:val="22"/>
                <w:lang w:eastAsia="sk-SK"/>
              </w:rPr>
              <w:t>Počet kurzov</w:t>
            </w:r>
          </w:p>
        </w:tc>
        <w:tc>
          <w:tcPr>
            <w:tcW w:w="694" w:type="dxa"/>
            <w:tcBorders>
              <w:top w:val="nil"/>
              <w:left w:val="nil"/>
              <w:bottom w:val="single" w:sz="4" w:space="0" w:color="auto"/>
              <w:right w:val="single" w:sz="4" w:space="0" w:color="auto"/>
            </w:tcBorders>
            <w:shd w:val="clear" w:color="auto" w:fill="EEECE1" w:themeFill="background2"/>
            <w:noWrap/>
            <w:vAlign w:val="center"/>
            <w:hideMark/>
          </w:tcPr>
          <w:p w14:paraId="31CD8314" w14:textId="21BCA00E" w:rsidR="005871E9" w:rsidRPr="0053555E" w:rsidRDefault="005871E9" w:rsidP="005871E9">
            <w:pPr>
              <w:jc w:val="center"/>
              <w:rPr>
                <w:rFonts w:asciiTheme="majorHAnsi" w:hAnsiTheme="majorHAnsi" w:cstheme="majorHAnsi"/>
                <w:b/>
                <w:bCs/>
              </w:rPr>
            </w:pPr>
            <w:r w:rsidRPr="0053555E">
              <w:rPr>
                <w:rFonts w:cs="Arial"/>
                <w:b/>
                <w:bCs/>
              </w:rPr>
              <w:t>7</w:t>
            </w:r>
          </w:p>
        </w:tc>
        <w:tc>
          <w:tcPr>
            <w:tcW w:w="695" w:type="dxa"/>
            <w:tcBorders>
              <w:top w:val="nil"/>
              <w:left w:val="nil"/>
              <w:bottom w:val="single" w:sz="4" w:space="0" w:color="auto"/>
              <w:right w:val="single" w:sz="4" w:space="0" w:color="auto"/>
            </w:tcBorders>
            <w:shd w:val="clear" w:color="auto" w:fill="EEECE1" w:themeFill="background2"/>
            <w:noWrap/>
            <w:vAlign w:val="center"/>
            <w:hideMark/>
          </w:tcPr>
          <w:p w14:paraId="342A6983" w14:textId="43824546" w:rsidR="005871E9" w:rsidRPr="0053555E" w:rsidRDefault="005871E9" w:rsidP="005871E9">
            <w:pPr>
              <w:jc w:val="center"/>
              <w:rPr>
                <w:rFonts w:asciiTheme="majorHAnsi" w:hAnsiTheme="majorHAnsi" w:cstheme="majorHAnsi"/>
                <w:b/>
                <w:bCs/>
              </w:rPr>
            </w:pPr>
            <w:r w:rsidRPr="0053555E">
              <w:rPr>
                <w:rFonts w:cs="Arial"/>
                <w:b/>
                <w:bCs/>
              </w:rPr>
              <w:t>9</w:t>
            </w:r>
          </w:p>
        </w:tc>
        <w:tc>
          <w:tcPr>
            <w:tcW w:w="694" w:type="dxa"/>
            <w:tcBorders>
              <w:top w:val="nil"/>
              <w:left w:val="nil"/>
              <w:bottom w:val="single" w:sz="4" w:space="0" w:color="auto"/>
              <w:right w:val="single" w:sz="4" w:space="0" w:color="auto"/>
            </w:tcBorders>
            <w:shd w:val="clear" w:color="auto" w:fill="EEECE1" w:themeFill="background2"/>
            <w:noWrap/>
            <w:vAlign w:val="center"/>
            <w:hideMark/>
          </w:tcPr>
          <w:p w14:paraId="5A1EA45D" w14:textId="290CF075" w:rsidR="005871E9" w:rsidRPr="0053555E" w:rsidRDefault="00252ADF" w:rsidP="005871E9">
            <w:pPr>
              <w:jc w:val="center"/>
              <w:rPr>
                <w:rFonts w:asciiTheme="majorHAnsi" w:hAnsiTheme="majorHAnsi" w:cstheme="majorHAnsi"/>
                <w:b/>
                <w:bCs/>
              </w:rPr>
            </w:pPr>
            <w:r>
              <w:rPr>
                <w:rFonts w:cs="Arial"/>
                <w:b/>
                <w:bCs/>
              </w:rPr>
              <w:t>15</w:t>
            </w:r>
          </w:p>
        </w:tc>
        <w:tc>
          <w:tcPr>
            <w:tcW w:w="752" w:type="dxa"/>
            <w:tcBorders>
              <w:top w:val="nil"/>
              <w:left w:val="nil"/>
              <w:bottom w:val="single" w:sz="4" w:space="0" w:color="auto"/>
              <w:right w:val="single" w:sz="4" w:space="0" w:color="auto"/>
            </w:tcBorders>
            <w:shd w:val="clear" w:color="auto" w:fill="EEECE1" w:themeFill="background2"/>
            <w:noWrap/>
            <w:vAlign w:val="center"/>
            <w:hideMark/>
          </w:tcPr>
          <w:p w14:paraId="649456D7" w14:textId="58487B4A" w:rsidR="005871E9" w:rsidRPr="0053555E" w:rsidRDefault="005871E9" w:rsidP="005871E9">
            <w:pPr>
              <w:jc w:val="center"/>
              <w:rPr>
                <w:rFonts w:asciiTheme="majorHAnsi" w:hAnsiTheme="majorHAnsi" w:cstheme="majorHAnsi"/>
                <w:b/>
                <w:bCs/>
              </w:rPr>
            </w:pPr>
            <w:r w:rsidRPr="0053555E">
              <w:rPr>
                <w:rFonts w:cs="Arial"/>
                <w:b/>
                <w:bCs/>
              </w:rPr>
              <w:t>42</w:t>
            </w:r>
          </w:p>
        </w:tc>
        <w:tc>
          <w:tcPr>
            <w:tcW w:w="637" w:type="dxa"/>
            <w:tcBorders>
              <w:top w:val="nil"/>
              <w:left w:val="nil"/>
              <w:bottom w:val="single" w:sz="4" w:space="0" w:color="auto"/>
              <w:right w:val="single" w:sz="4" w:space="0" w:color="auto"/>
            </w:tcBorders>
            <w:shd w:val="clear" w:color="auto" w:fill="EEECE1" w:themeFill="background2"/>
            <w:noWrap/>
            <w:vAlign w:val="center"/>
            <w:hideMark/>
          </w:tcPr>
          <w:p w14:paraId="29D4708A" w14:textId="18189A8E" w:rsidR="005871E9" w:rsidRPr="0053555E" w:rsidRDefault="005871E9" w:rsidP="005871E9">
            <w:pPr>
              <w:jc w:val="center"/>
              <w:rPr>
                <w:rFonts w:asciiTheme="majorHAnsi" w:hAnsiTheme="majorHAnsi" w:cstheme="majorHAnsi"/>
                <w:b/>
                <w:bCs/>
              </w:rPr>
            </w:pPr>
            <w:r w:rsidRPr="0053555E">
              <w:rPr>
                <w:rFonts w:cs="Arial"/>
                <w:b/>
                <w:bCs/>
              </w:rPr>
              <w:t>4</w:t>
            </w:r>
          </w:p>
        </w:tc>
        <w:tc>
          <w:tcPr>
            <w:tcW w:w="695" w:type="dxa"/>
            <w:tcBorders>
              <w:top w:val="nil"/>
              <w:left w:val="nil"/>
              <w:bottom w:val="single" w:sz="4" w:space="0" w:color="auto"/>
              <w:right w:val="single" w:sz="4" w:space="0" w:color="auto"/>
            </w:tcBorders>
            <w:shd w:val="clear" w:color="auto" w:fill="EEECE1" w:themeFill="background2"/>
            <w:noWrap/>
            <w:vAlign w:val="center"/>
            <w:hideMark/>
          </w:tcPr>
          <w:p w14:paraId="55EE3054" w14:textId="7FA32E57" w:rsidR="005871E9" w:rsidRPr="0053555E" w:rsidRDefault="005871E9" w:rsidP="005871E9">
            <w:pPr>
              <w:jc w:val="center"/>
              <w:rPr>
                <w:rFonts w:asciiTheme="majorHAnsi" w:hAnsiTheme="majorHAnsi" w:cstheme="majorHAnsi"/>
                <w:b/>
                <w:bCs/>
              </w:rPr>
            </w:pPr>
            <w:r w:rsidRPr="0053555E">
              <w:rPr>
                <w:rFonts w:cs="Arial"/>
                <w:b/>
                <w:bCs/>
              </w:rPr>
              <w:t>6</w:t>
            </w:r>
          </w:p>
        </w:tc>
        <w:tc>
          <w:tcPr>
            <w:tcW w:w="694" w:type="dxa"/>
            <w:tcBorders>
              <w:top w:val="nil"/>
              <w:left w:val="nil"/>
              <w:bottom w:val="single" w:sz="4" w:space="0" w:color="auto"/>
              <w:right w:val="single" w:sz="4" w:space="0" w:color="auto"/>
            </w:tcBorders>
            <w:shd w:val="clear" w:color="auto" w:fill="EEECE1" w:themeFill="background2"/>
            <w:noWrap/>
            <w:vAlign w:val="center"/>
            <w:hideMark/>
          </w:tcPr>
          <w:p w14:paraId="2DC0EA52" w14:textId="50EA2972" w:rsidR="005871E9" w:rsidRPr="0053555E" w:rsidRDefault="005871E9" w:rsidP="005871E9">
            <w:pPr>
              <w:jc w:val="center"/>
              <w:rPr>
                <w:rFonts w:asciiTheme="majorHAnsi" w:hAnsiTheme="majorHAnsi" w:cstheme="majorHAnsi"/>
                <w:b/>
                <w:bCs/>
              </w:rPr>
            </w:pPr>
            <w:r w:rsidRPr="0053555E">
              <w:rPr>
                <w:rFonts w:cs="Arial"/>
                <w:b/>
                <w:bCs/>
              </w:rPr>
              <w:t>7</w:t>
            </w:r>
          </w:p>
        </w:tc>
        <w:tc>
          <w:tcPr>
            <w:tcW w:w="695" w:type="dxa"/>
            <w:tcBorders>
              <w:top w:val="nil"/>
              <w:left w:val="nil"/>
              <w:bottom w:val="single" w:sz="4" w:space="0" w:color="auto"/>
              <w:right w:val="single" w:sz="4" w:space="0" w:color="auto"/>
            </w:tcBorders>
            <w:shd w:val="clear" w:color="auto" w:fill="EEECE1" w:themeFill="background2"/>
            <w:noWrap/>
            <w:vAlign w:val="center"/>
            <w:hideMark/>
          </w:tcPr>
          <w:p w14:paraId="5CEA2387" w14:textId="667E288D" w:rsidR="005871E9" w:rsidRPr="0053555E" w:rsidRDefault="005871E9" w:rsidP="005871E9">
            <w:pPr>
              <w:jc w:val="center"/>
              <w:rPr>
                <w:rFonts w:asciiTheme="majorHAnsi" w:hAnsiTheme="majorHAnsi" w:cstheme="majorHAnsi"/>
                <w:b/>
                <w:bCs/>
              </w:rPr>
            </w:pPr>
            <w:r w:rsidRPr="0053555E">
              <w:rPr>
                <w:rFonts w:cs="Arial"/>
                <w:b/>
                <w:bCs/>
              </w:rPr>
              <w:t>12</w:t>
            </w:r>
          </w:p>
        </w:tc>
        <w:tc>
          <w:tcPr>
            <w:tcW w:w="694" w:type="dxa"/>
            <w:tcBorders>
              <w:top w:val="nil"/>
              <w:left w:val="nil"/>
              <w:bottom w:val="single" w:sz="4" w:space="0" w:color="auto"/>
              <w:right w:val="single" w:sz="4" w:space="0" w:color="auto"/>
            </w:tcBorders>
            <w:shd w:val="clear" w:color="auto" w:fill="EEECE1" w:themeFill="background2"/>
            <w:noWrap/>
            <w:vAlign w:val="center"/>
            <w:hideMark/>
          </w:tcPr>
          <w:p w14:paraId="1D61E6C9" w14:textId="76A929B2" w:rsidR="005871E9" w:rsidRPr="0053555E" w:rsidRDefault="005871E9" w:rsidP="005871E9">
            <w:pPr>
              <w:jc w:val="center"/>
              <w:rPr>
                <w:rFonts w:asciiTheme="majorHAnsi" w:hAnsiTheme="majorHAnsi" w:cstheme="majorHAnsi"/>
                <w:b/>
                <w:bCs/>
              </w:rPr>
            </w:pPr>
            <w:r w:rsidRPr="0053555E">
              <w:rPr>
                <w:rFonts w:cs="Arial"/>
                <w:b/>
                <w:bCs/>
              </w:rPr>
              <w:t>28</w:t>
            </w:r>
          </w:p>
        </w:tc>
        <w:tc>
          <w:tcPr>
            <w:tcW w:w="695" w:type="dxa"/>
            <w:tcBorders>
              <w:top w:val="nil"/>
              <w:left w:val="nil"/>
              <w:bottom w:val="single" w:sz="4" w:space="0" w:color="auto"/>
              <w:right w:val="single" w:sz="4" w:space="0" w:color="auto"/>
            </w:tcBorders>
            <w:shd w:val="clear" w:color="auto" w:fill="EEECE1" w:themeFill="background2"/>
            <w:noWrap/>
            <w:vAlign w:val="center"/>
            <w:hideMark/>
          </w:tcPr>
          <w:p w14:paraId="4FDF6058" w14:textId="165E6FFC" w:rsidR="005871E9" w:rsidRPr="0053555E" w:rsidRDefault="005871E9" w:rsidP="005871E9">
            <w:pPr>
              <w:jc w:val="center"/>
              <w:rPr>
                <w:rFonts w:asciiTheme="majorHAnsi" w:hAnsiTheme="majorHAnsi" w:cstheme="majorHAnsi"/>
                <w:b/>
                <w:bCs/>
              </w:rPr>
            </w:pPr>
            <w:r w:rsidRPr="0053555E">
              <w:rPr>
                <w:rFonts w:cs="Arial"/>
                <w:b/>
                <w:bCs/>
              </w:rPr>
              <w:t>1</w:t>
            </w:r>
            <w:r w:rsidR="00111F96">
              <w:rPr>
                <w:rFonts w:cs="Arial"/>
                <w:b/>
                <w:bCs/>
              </w:rPr>
              <w:t>30</w:t>
            </w:r>
          </w:p>
        </w:tc>
      </w:tr>
    </w:tbl>
    <w:p w14:paraId="13A93FCF" w14:textId="77777777" w:rsidR="00D1379E" w:rsidRPr="0053555E" w:rsidRDefault="007B70BC" w:rsidP="00324438">
      <w:pPr>
        <w:tabs>
          <w:tab w:val="left" w:pos="9356"/>
        </w:tabs>
        <w:jc w:val="both"/>
        <w:rPr>
          <w:rFonts w:asciiTheme="majorHAnsi" w:hAnsiTheme="majorHAnsi" w:cstheme="majorHAnsi"/>
          <w:sz w:val="20"/>
          <w:szCs w:val="20"/>
        </w:rPr>
      </w:pPr>
      <w:r w:rsidRPr="0053555E">
        <w:rPr>
          <w:rFonts w:asciiTheme="majorHAnsi" w:hAnsiTheme="majorHAnsi" w:cstheme="majorHAnsi"/>
          <w:sz w:val="20"/>
          <w:szCs w:val="20"/>
        </w:rPr>
        <w:t xml:space="preserve">Vysvetlivky: </w:t>
      </w:r>
    </w:p>
    <w:p w14:paraId="5F01B5AC" w14:textId="77777777" w:rsidR="007B70BC" w:rsidRPr="0053555E" w:rsidRDefault="00554A9D" w:rsidP="00E36C14">
      <w:pPr>
        <w:tabs>
          <w:tab w:val="left" w:pos="9356"/>
        </w:tabs>
        <w:spacing w:after="120"/>
        <w:jc w:val="both"/>
        <w:rPr>
          <w:rFonts w:asciiTheme="majorHAnsi" w:hAnsiTheme="majorHAnsi" w:cstheme="majorHAnsi"/>
          <w:sz w:val="20"/>
          <w:szCs w:val="20"/>
        </w:rPr>
      </w:pPr>
      <w:r w:rsidRPr="0053555E">
        <w:rPr>
          <w:rFonts w:asciiTheme="majorHAnsi" w:hAnsiTheme="majorHAnsi" w:cstheme="majorHAnsi"/>
          <w:sz w:val="20"/>
          <w:szCs w:val="20"/>
        </w:rPr>
        <w:t xml:space="preserve">* </w:t>
      </w:r>
      <w:r w:rsidR="008D41F6" w:rsidRPr="0053555E">
        <w:rPr>
          <w:rFonts w:asciiTheme="majorHAnsi" w:hAnsiTheme="majorHAnsi" w:cstheme="majorHAnsi"/>
          <w:sz w:val="20"/>
          <w:szCs w:val="20"/>
        </w:rPr>
        <w:t xml:space="preserve">V rámci univerzitného pracoviska Ústavu manažmentu </w:t>
      </w:r>
      <w:r w:rsidR="009E2A0F" w:rsidRPr="0053555E">
        <w:rPr>
          <w:rFonts w:asciiTheme="majorHAnsi" w:hAnsiTheme="majorHAnsi" w:cstheme="majorHAnsi"/>
          <w:sz w:val="20"/>
          <w:szCs w:val="20"/>
        </w:rPr>
        <w:t xml:space="preserve">STU </w:t>
      </w:r>
      <w:r w:rsidR="008D41F6" w:rsidRPr="0053555E">
        <w:rPr>
          <w:rFonts w:asciiTheme="majorHAnsi" w:hAnsiTheme="majorHAnsi" w:cstheme="majorHAnsi"/>
          <w:sz w:val="20"/>
          <w:szCs w:val="20"/>
        </w:rPr>
        <w:t>sú poskytované akreditované</w:t>
      </w:r>
      <w:r w:rsidR="007B70BC" w:rsidRPr="0053555E">
        <w:rPr>
          <w:rFonts w:asciiTheme="majorHAnsi" w:hAnsiTheme="majorHAnsi" w:cstheme="majorHAnsi"/>
          <w:sz w:val="20"/>
          <w:szCs w:val="20"/>
        </w:rPr>
        <w:t xml:space="preserve"> </w:t>
      </w:r>
      <w:r w:rsidR="00F471CB" w:rsidRPr="0053555E">
        <w:rPr>
          <w:rFonts w:asciiTheme="majorHAnsi" w:hAnsiTheme="majorHAnsi" w:cstheme="majorHAnsi"/>
          <w:sz w:val="20"/>
          <w:szCs w:val="20"/>
        </w:rPr>
        <w:t xml:space="preserve">vzdelávacie </w:t>
      </w:r>
      <w:r w:rsidR="00F35742" w:rsidRPr="0053555E">
        <w:rPr>
          <w:rFonts w:asciiTheme="majorHAnsi" w:hAnsiTheme="majorHAnsi" w:cstheme="majorHAnsi"/>
          <w:sz w:val="20"/>
          <w:szCs w:val="20"/>
        </w:rPr>
        <w:t>programy</w:t>
      </w:r>
      <w:r w:rsidR="007B70BC" w:rsidRPr="0053555E">
        <w:rPr>
          <w:rFonts w:asciiTheme="majorHAnsi" w:hAnsiTheme="majorHAnsi" w:cstheme="majorHAnsi"/>
          <w:sz w:val="20"/>
          <w:szCs w:val="20"/>
        </w:rPr>
        <w:t xml:space="preserve"> dopl</w:t>
      </w:r>
      <w:r w:rsidR="00F35742" w:rsidRPr="0053555E">
        <w:rPr>
          <w:rFonts w:asciiTheme="majorHAnsi" w:hAnsiTheme="majorHAnsi" w:cstheme="majorHAnsi"/>
          <w:sz w:val="20"/>
          <w:szCs w:val="20"/>
        </w:rPr>
        <w:t>ň</w:t>
      </w:r>
      <w:r w:rsidR="007B70BC" w:rsidRPr="0053555E">
        <w:rPr>
          <w:rFonts w:asciiTheme="majorHAnsi" w:hAnsiTheme="majorHAnsi" w:cstheme="majorHAnsi"/>
          <w:sz w:val="20"/>
          <w:szCs w:val="20"/>
        </w:rPr>
        <w:t>ujúce</w:t>
      </w:r>
      <w:r w:rsidR="00F35742" w:rsidRPr="0053555E">
        <w:rPr>
          <w:rFonts w:asciiTheme="majorHAnsi" w:hAnsiTheme="majorHAnsi" w:cstheme="majorHAnsi"/>
          <w:sz w:val="20"/>
          <w:szCs w:val="20"/>
        </w:rPr>
        <w:t>ho</w:t>
      </w:r>
      <w:r w:rsidR="007B70BC" w:rsidRPr="0053555E">
        <w:rPr>
          <w:rFonts w:asciiTheme="majorHAnsi" w:hAnsiTheme="majorHAnsi" w:cstheme="majorHAnsi"/>
          <w:sz w:val="20"/>
          <w:szCs w:val="20"/>
        </w:rPr>
        <w:t xml:space="preserve"> </w:t>
      </w:r>
      <w:r w:rsidR="00F35742" w:rsidRPr="0053555E">
        <w:rPr>
          <w:rFonts w:asciiTheme="majorHAnsi" w:hAnsiTheme="majorHAnsi" w:cstheme="majorHAnsi"/>
          <w:sz w:val="20"/>
          <w:szCs w:val="20"/>
        </w:rPr>
        <w:t>pedagogického</w:t>
      </w:r>
      <w:r w:rsidR="007B70BC" w:rsidRPr="0053555E">
        <w:rPr>
          <w:rFonts w:asciiTheme="majorHAnsi" w:hAnsiTheme="majorHAnsi" w:cstheme="majorHAnsi"/>
          <w:sz w:val="20"/>
          <w:szCs w:val="20"/>
        </w:rPr>
        <w:t xml:space="preserve"> štúdi</w:t>
      </w:r>
      <w:r w:rsidR="00F35742" w:rsidRPr="0053555E">
        <w:rPr>
          <w:rFonts w:asciiTheme="majorHAnsi" w:hAnsiTheme="majorHAnsi" w:cstheme="majorHAnsi"/>
          <w:sz w:val="20"/>
          <w:szCs w:val="20"/>
        </w:rPr>
        <w:t>a</w:t>
      </w:r>
      <w:r w:rsidR="007B70BC" w:rsidRPr="0053555E">
        <w:rPr>
          <w:rFonts w:asciiTheme="majorHAnsi" w:hAnsiTheme="majorHAnsi" w:cstheme="majorHAnsi"/>
          <w:sz w:val="20"/>
          <w:szCs w:val="20"/>
        </w:rPr>
        <w:t xml:space="preserve"> </w:t>
      </w:r>
      <w:r w:rsidR="00F35742" w:rsidRPr="0053555E">
        <w:rPr>
          <w:rFonts w:asciiTheme="majorHAnsi" w:hAnsiTheme="majorHAnsi" w:cstheme="majorHAnsi"/>
          <w:sz w:val="20"/>
          <w:szCs w:val="20"/>
        </w:rPr>
        <w:t>(DP</w:t>
      </w:r>
      <w:r w:rsidR="008D41F6" w:rsidRPr="0053555E">
        <w:rPr>
          <w:rFonts w:asciiTheme="majorHAnsi" w:hAnsiTheme="majorHAnsi" w:cstheme="majorHAnsi"/>
          <w:sz w:val="20"/>
          <w:szCs w:val="20"/>
        </w:rPr>
        <w:t>Š)</w:t>
      </w:r>
    </w:p>
    <w:p w14:paraId="5FA380A4" w14:textId="1EEE2C8B" w:rsidR="00502436" w:rsidRPr="0053555E" w:rsidRDefault="00502436" w:rsidP="00324438">
      <w:pPr>
        <w:tabs>
          <w:tab w:val="left" w:pos="9356"/>
        </w:tabs>
        <w:jc w:val="both"/>
        <w:rPr>
          <w:rFonts w:asciiTheme="majorHAnsi" w:hAnsiTheme="majorHAnsi" w:cstheme="majorHAnsi"/>
        </w:rPr>
      </w:pPr>
      <w:r w:rsidRPr="0053555E">
        <w:rPr>
          <w:rFonts w:asciiTheme="majorHAnsi" w:hAnsiTheme="majorHAnsi" w:cstheme="majorHAnsi"/>
        </w:rPr>
        <w:lastRenderedPageBreak/>
        <w:t xml:space="preserve">Uskutočňovanie </w:t>
      </w:r>
      <w:r w:rsidR="00BD3C8F" w:rsidRPr="0053555E">
        <w:rPr>
          <w:rFonts w:asciiTheme="majorHAnsi" w:hAnsiTheme="majorHAnsi" w:cstheme="majorHAnsi"/>
        </w:rPr>
        <w:t>ď</w:t>
      </w:r>
      <w:r w:rsidRPr="0053555E">
        <w:rPr>
          <w:rFonts w:asciiTheme="majorHAnsi" w:hAnsiTheme="majorHAnsi" w:cstheme="majorHAnsi"/>
        </w:rPr>
        <w:t xml:space="preserve">alšieho vzdelávania na STU </w:t>
      </w:r>
      <w:r w:rsidR="000C04E4" w:rsidRPr="0053555E">
        <w:rPr>
          <w:rFonts w:asciiTheme="majorHAnsi" w:hAnsiTheme="majorHAnsi" w:cstheme="majorHAnsi"/>
        </w:rPr>
        <w:t xml:space="preserve">počas </w:t>
      </w:r>
      <w:r w:rsidR="00A70554">
        <w:rPr>
          <w:rFonts w:asciiTheme="majorHAnsi" w:hAnsiTheme="majorHAnsi" w:cstheme="majorHAnsi"/>
        </w:rPr>
        <w:t>zimného semestra</w:t>
      </w:r>
      <w:r w:rsidR="000C04E4" w:rsidRPr="0053555E">
        <w:rPr>
          <w:rFonts w:asciiTheme="majorHAnsi" w:hAnsiTheme="majorHAnsi" w:cstheme="majorHAnsi"/>
        </w:rPr>
        <w:t xml:space="preserve"> </w:t>
      </w:r>
      <w:r w:rsidRPr="0053555E">
        <w:rPr>
          <w:rFonts w:asciiTheme="majorHAnsi" w:hAnsiTheme="majorHAnsi" w:cstheme="majorHAnsi"/>
        </w:rPr>
        <w:t>akademick</w:t>
      </w:r>
      <w:r w:rsidR="000C04E4" w:rsidRPr="0053555E">
        <w:rPr>
          <w:rFonts w:asciiTheme="majorHAnsi" w:hAnsiTheme="majorHAnsi" w:cstheme="majorHAnsi"/>
        </w:rPr>
        <w:t>ého</w:t>
      </w:r>
      <w:r w:rsidRPr="0053555E">
        <w:rPr>
          <w:rFonts w:asciiTheme="majorHAnsi" w:hAnsiTheme="majorHAnsi" w:cstheme="majorHAnsi"/>
        </w:rPr>
        <w:t xml:space="preserve"> roku </w:t>
      </w:r>
      <w:r w:rsidR="00EA24BA" w:rsidRPr="0053555E">
        <w:rPr>
          <w:rFonts w:asciiTheme="majorHAnsi" w:hAnsiTheme="majorHAnsi" w:cstheme="majorHAnsi"/>
        </w:rPr>
        <w:t>2021/2022</w:t>
      </w:r>
      <w:r w:rsidRPr="0053555E">
        <w:rPr>
          <w:rFonts w:asciiTheme="majorHAnsi" w:hAnsiTheme="majorHAnsi" w:cstheme="majorHAnsi"/>
        </w:rPr>
        <w:t xml:space="preserve"> </w:t>
      </w:r>
      <w:r w:rsidR="001246B1">
        <w:rPr>
          <w:rFonts w:asciiTheme="majorHAnsi" w:hAnsiTheme="majorHAnsi" w:cstheme="majorHAnsi"/>
        </w:rPr>
        <w:t xml:space="preserve">stále </w:t>
      </w:r>
      <w:r w:rsidR="001A3BEA">
        <w:rPr>
          <w:rFonts w:asciiTheme="majorHAnsi" w:hAnsiTheme="majorHAnsi" w:cstheme="majorHAnsi"/>
        </w:rPr>
        <w:t>ovplyvňovala pandémia</w:t>
      </w:r>
      <w:r w:rsidRPr="0053555E">
        <w:rPr>
          <w:rFonts w:asciiTheme="majorHAnsi" w:hAnsiTheme="majorHAnsi" w:cstheme="majorHAnsi"/>
        </w:rPr>
        <w:t xml:space="preserve"> COVID-19.</w:t>
      </w:r>
      <w:r w:rsidR="00BD3C8F" w:rsidRPr="0053555E">
        <w:rPr>
          <w:rFonts w:asciiTheme="majorHAnsi" w:hAnsiTheme="majorHAnsi" w:cstheme="majorHAnsi"/>
        </w:rPr>
        <w:t xml:space="preserve"> Vzdelávacie programy sa podľa možnost</w:t>
      </w:r>
      <w:r w:rsidR="00F526B5" w:rsidRPr="0053555E">
        <w:rPr>
          <w:rFonts w:asciiTheme="majorHAnsi" w:hAnsiTheme="majorHAnsi" w:cstheme="majorHAnsi"/>
        </w:rPr>
        <w:t xml:space="preserve">í </w:t>
      </w:r>
      <w:r w:rsidR="00BD3C8F" w:rsidRPr="0053555E">
        <w:rPr>
          <w:rFonts w:asciiTheme="majorHAnsi" w:hAnsiTheme="majorHAnsi" w:cstheme="majorHAnsi"/>
        </w:rPr>
        <w:t xml:space="preserve">uskutočňovali </w:t>
      </w:r>
      <w:r w:rsidR="00F526B5" w:rsidRPr="0053555E">
        <w:rPr>
          <w:rFonts w:asciiTheme="majorHAnsi" w:hAnsiTheme="majorHAnsi" w:cstheme="majorHAnsi"/>
        </w:rPr>
        <w:t xml:space="preserve">online </w:t>
      </w:r>
      <w:r w:rsidR="00BD3C8F" w:rsidRPr="0053555E">
        <w:rPr>
          <w:rFonts w:asciiTheme="majorHAnsi" w:hAnsiTheme="majorHAnsi" w:cstheme="majorHAnsi"/>
        </w:rPr>
        <w:t xml:space="preserve">prostredníctvom </w:t>
      </w:r>
      <w:r w:rsidR="00F526B5" w:rsidRPr="0053555E">
        <w:rPr>
          <w:rFonts w:asciiTheme="majorHAnsi" w:hAnsiTheme="majorHAnsi" w:cstheme="majorHAnsi"/>
        </w:rPr>
        <w:t>videokonferencie</w:t>
      </w:r>
      <w:r w:rsidR="001246B1">
        <w:rPr>
          <w:rFonts w:asciiTheme="majorHAnsi" w:hAnsiTheme="majorHAnsi" w:cstheme="majorHAnsi"/>
        </w:rPr>
        <w:t>, najmä vzdelávanie seniorov</w:t>
      </w:r>
      <w:r w:rsidR="00F526B5" w:rsidRPr="0053555E">
        <w:rPr>
          <w:rFonts w:asciiTheme="majorHAnsi" w:hAnsiTheme="majorHAnsi" w:cstheme="majorHAnsi"/>
        </w:rPr>
        <w:t xml:space="preserve">. </w:t>
      </w:r>
      <w:r w:rsidR="006D11BE" w:rsidRPr="0053555E">
        <w:rPr>
          <w:rFonts w:asciiTheme="majorHAnsi" w:hAnsiTheme="majorHAnsi" w:cstheme="majorHAnsi"/>
        </w:rPr>
        <w:t xml:space="preserve">Niektoré vzdelávacie programy však nebolo možné uskutočniť online, nakoľko podmienky na </w:t>
      </w:r>
      <w:r w:rsidR="001C4051">
        <w:rPr>
          <w:rFonts w:asciiTheme="majorHAnsi" w:hAnsiTheme="majorHAnsi" w:cstheme="majorHAnsi"/>
        </w:rPr>
        <w:t>ich</w:t>
      </w:r>
      <w:r w:rsidR="006D11BE" w:rsidRPr="0053555E">
        <w:rPr>
          <w:rFonts w:asciiTheme="majorHAnsi" w:hAnsiTheme="majorHAnsi" w:cstheme="majorHAnsi"/>
        </w:rPr>
        <w:t xml:space="preserve"> absolvovanie sú založené na nevyhnutnosti prezenčnej účasti frekventantov (FCHPT - senzorické hodnotenie, laboratórne experimenty). </w:t>
      </w:r>
      <w:r w:rsidR="00653959">
        <w:rPr>
          <w:rFonts w:asciiTheme="majorHAnsi" w:hAnsiTheme="majorHAnsi" w:cstheme="majorHAnsi"/>
        </w:rPr>
        <w:t xml:space="preserve">V letnom semestri 2021/2022 s postupným uvoľňovaním </w:t>
      </w:r>
      <w:r w:rsidR="001B2040" w:rsidRPr="0053555E">
        <w:rPr>
          <w:rFonts w:asciiTheme="majorHAnsi" w:hAnsiTheme="majorHAnsi" w:cstheme="majorHAnsi"/>
        </w:rPr>
        <w:t>epidemick</w:t>
      </w:r>
      <w:r w:rsidR="001B2040">
        <w:rPr>
          <w:rFonts w:asciiTheme="majorHAnsi" w:hAnsiTheme="majorHAnsi" w:cstheme="majorHAnsi"/>
        </w:rPr>
        <w:t>ých</w:t>
      </w:r>
      <w:r w:rsidR="001B2040" w:rsidRPr="0053555E">
        <w:rPr>
          <w:rFonts w:asciiTheme="majorHAnsi" w:hAnsiTheme="majorHAnsi" w:cstheme="majorHAnsi"/>
        </w:rPr>
        <w:t xml:space="preserve"> </w:t>
      </w:r>
      <w:r w:rsidR="00653959">
        <w:rPr>
          <w:rFonts w:asciiTheme="majorHAnsi" w:hAnsiTheme="majorHAnsi" w:cstheme="majorHAnsi"/>
        </w:rPr>
        <w:t xml:space="preserve">opatrení sa </w:t>
      </w:r>
      <w:r w:rsidR="007B3453" w:rsidRPr="0053555E">
        <w:rPr>
          <w:rFonts w:asciiTheme="majorHAnsi" w:hAnsiTheme="majorHAnsi" w:cstheme="majorHAnsi"/>
        </w:rPr>
        <w:t xml:space="preserve">vzdelávacie programy </w:t>
      </w:r>
      <w:r w:rsidR="000C04E4" w:rsidRPr="0053555E">
        <w:rPr>
          <w:rFonts w:asciiTheme="majorHAnsi" w:hAnsiTheme="majorHAnsi" w:cstheme="majorHAnsi"/>
        </w:rPr>
        <w:t xml:space="preserve">uskutočnili </w:t>
      </w:r>
      <w:r w:rsidR="00CB6985">
        <w:rPr>
          <w:rFonts w:asciiTheme="majorHAnsi" w:hAnsiTheme="majorHAnsi" w:cstheme="majorHAnsi"/>
        </w:rPr>
        <w:t xml:space="preserve">spravidla </w:t>
      </w:r>
      <w:r w:rsidR="000C04E4" w:rsidRPr="0053555E">
        <w:rPr>
          <w:rFonts w:asciiTheme="majorHAnsi" w:hAnsiTheme="majorHAnsi" w:cstheme="majorHAnsi"/>
        </w:rPr>
        <w:t>prezenčne</w:t>
      </w:r>
      <w:r w:rsidR="007B3453" w:rsidRPr="0053555E">
        <w:rPr>
          <w:rFonts w:asciiTheme="majorHAnsi" w:hAnsiTheme="majorHAnsi" w:cstheme="majorHAnsi"/>
        </w:rPr>
        <w:t xml:space="preserve">. </w:t>
      </w:r>
    </w:p>
    <w:p w14:paraId="1E8B08C5" w14:textId="77777777" w:rsidR="00502436" w:rsidRPr="0053555E" w:rsidRDefault="00502436" w:rsidP="00324438">
      <w:pPr>
        <w:tabs>
          <w:tab w:val="left" w:pos="9356"/>
        </w:tabs>
        <w:jc w:val="both"/>
        <w:rPr>
          <w:rFonts w:asciiTheme="majorHAnsi" w:hAnsiTheme="majorHAnsi" w:cstheme="majorHAnsi"/>
        </w:rPr>
      </w:pPr>
    </w:p>
    <w:p w14:paraId="56DC2457" w14:textId="32C2623E" w:rsidR="00E947AE" w:rsidRPr="0053555E" w:rsidRDefault="009E2A0F" w:rsidP="00324438">
      <w:pPr>
        <w:tabs>
          <w:tab w:val="left" w:pos="9356"/>
        </w:tabs>
        <w:jc w:val="both"/>
        <w:rPr>
          <w:rFonts w:asciiTheme="majorHAnsi" w:hAnsiTheme="majorHAnsi" w:cstheme="majorHAnsi"/>
        </w:rPr>
      </w:pPr>
      <w:r w:rsidRPr="0053555E">
        <w:rPr>
          <w:rFonts w:asciiTheme="majorHAnsi" w:hAnsiTheme="majorHAnsi" w:cstheme="majorHAnsi"/>
        </w:rPr>
        <w:t>Prehľad aktivít ďalšieho vzd</w:t>
      </w:r>
      <w:r w:rsidR="006A2AA4" w:rsidRPr="0053555E">
        <w:rPr>
          <w:rFonts w:asciiTheme="majorHAnsi" w:hAnsiTheme="majorHAnsi" w:cstheme="majorHAnsi"/>
        </w:rPr>
        <w:t xml:space="preserve">elávania na </w:t>
      </w:r>
      <w:r w:rsidRPr="0053555E">
        <w:rPr>
          <w:rFonts w:asciiTheme="majorHAnsi" w:hAnsiTheme="majorHAnsi" w:cstheme="majorHAnsi"/>
        </w:rPr>
        <w:t>STU za</w:t>
      </w:r>
      <w:r w:rsidR="006A2AA4" w:rsidRPr="0053555E">
        <w:rPr>
          <w:rFonts w:asciiTheme="majorHAnsi" w:hAnsiTheme="majorHAnsi" w:cstheme="majorHAnsi"/>
        </w:rPr>
        <w:t xml:space="preserve"> </w:t>
      </w:r>
      <w:r w:rsidRPr="0053555E">
        <w:rPr>
          <w:rFonts w:asciiTheme="majorHAnsi" w:hAnsiTheme="majorHAnsi" w:cstheme="majorHAnsi"/>
        </w:rPr>
        <w:t xml:space="preserve">ostatných </w:t>
      </w:r>
      <w:r w:rsidR="005C6DC8" w:rsidRPr="0053555E">
        <w:rPr>
          <w:rFonts w:asciiTheme="majorHAnsi" w:hAnsiTheme="majorHAnsi" w:cstheme="majorHAnsi"/>
        </w:rPr>
        <w:t>sedem</w:t>
      </w:r>
      <w:r w:rsidRPr="0053555E">
        <w:rPr>
          <w:rFonts w:asciiTheme="majorHAnsi" w:hAnsiTheme="majorHAnsi" w:cstheme="majorHAnsi"/>
        </w:rPr>
        <w:t xml:space="preserve"> </w:t>
      </w:r>
      <w:r w:rsidR="00393B08" w:rsidRPr="0053555E">
        <w:rPr>
          <w:rFonts w:asciiTheme="majorHAnsi" w:hAnsiTheme="majorHAnsi" w:cstheme="majorHAnsi"/>
        </w:rPr>
        <w:t xml:space="preserve">akademických </w:t>
      </w:r>
      <w:r w:rsidRPr="0053555E">
        <w:rPr>
          <w:rFonts w:asciiTheme="majorHAnsi" w:hAnsiTheme="majorHAnsi" w:cstheme="majorHAnsi"/>
        </w:rPr>
        <w:t xml:space="preserve">rokov </w:t>
      </w:r>
      <w:r w:rsidR="00393B08" w:rsidRPr="0053555E">
        <w:rPr>
          <w:rFonts w:asciiTheme="majorHAnsi" w:hAnsiTheme="majorHAnsi" w:cstheme="majorHAnsi"/>
        </w:rPr>
        <w:t>uvádza</w:t>
      </w:r>
      <w:r w:rsidR="00E947AE" w:rsidRPr="0053555E">
        <w:rPr>
          <w:rFonts w:asciiTheme="majorHAnsi" w:hAnsiTheme="majorHAnsi" w:cstheme="majorHAnsi"/>
        </w:rPr>
        <w:t> </w:t>
      </w:r>
      <w:r w:rsidR="001B62D3" w:rsidRPr="008D03BB">
        <w:rPr>
          <w:rFonts w:asciiTheme="majorHAnsi" w:hAnsiTheme="majorHAnsi" w:cstheme="majorHAnsi"/>
        </w:rPr>
        <w:fldChar w:fldCharType="begin"/>
      </w:r>
      <w:r w:rsidR="001B62D3" w:rsidRPr="008D03BB">
        <w:rPr>
          <w:rFonts w:asciiTheme="majorHAnsi" w:hAnsiTheme="majorHAnsi" w:cstheme="majorHAnsi"/>
        </w:rPr>
        <w:instrText xml:space="preserve"> REF _Ref31718793 \h </w:instrText>
      </w:r>
      <w:r w:rsidR="00B91341" w:rsidRPr="008D03BB">
        <w:rPr>
          <w:rFonts w:asciiTheme="majorHAnsi" w:hAnsiTheme="majorHAnsi" w:cstheme="majorHAnsi"/>
        </w:rPr>
        <w:instrText xml:space="preserve"> \* MERGEFORMAT </w:instrText>
      </w:r>
      <w:r w:rsidR="001B62D3" w:rsidRPr="008D03BB">
        <w:rPr>
          <w:rFonts w:asciiTheme="majorHAnsi" w:hAnsiTheme="majorHAnsi" w:cstheme="majorHAnsi"/>
        </w:rPr>
      </w:r>
      <w:r w:rsidR="001B62D3" w:rsidRPr="008D03BB">
        <w:rPr>
          <w:rFonts w:asciiTheme="majorHAnsi" w:hAnsiTheme="majorHAnsi" w:cstheme="majorHAnsi"/>
        </w:rPr>
        <w:fldChar w:fldCharType="separate"/>
      </w:r>
      <w:r w:rsidR="00EE1B59" w:rsidRPr="008D03BB">
        <w:rPr>
          <w:rFonts w:asciiTheme="majorHAnsi" w:hAnsiTheme="majorHAnsi" w:cstheme="majorHAnsi"/>
        </w:rPr>
        <w:t>Tab. č. 40</w:t>
      </w:r>
      <w:r w:rsidR="001B62D3" w:rsidRPr="008D03BB">
        <w:rPr>
          <w:rFonts w:asciiTheme="majorHAnsi" w:hAnsiTheme="majorHAnsi" w:cstheme="majorHAnsi"/>
        </w:rPr>
        <w:fldChar w:fldCharType="end"/>
      </w:r>
      <w:r w:rsidR="00D72256" w:rsidRPr="008D03BB">
        <w:rPr>
          <w:rFonts w:asciiTheme="majorHAnsi" w:hAnsiTheme="majorHAnsi" w:cstheme="majorHAnsi"/>
        </w:rPr>
        <w:t xml:space="preserve"> </w:t>
      </w:r>
      <w:r w:rsidR="002071AC" w:rsidRPr="008D03BB">
        <w:rPr>
          <w:rFonts w:asciiTheme="majorHAnsi" w:hAnsiTheme="majorHAnsi" w:cstheme="majorHAnsi"/>
        </w:rPr>
        <w:t>a v </w:t>
      </w:r>
      <w:r w:rsidR="005B6294" w:rsidRPr="008D03BB">
        <w:rPr>
          <w:rFonts w:asciiTheme="majorHAnsi" w:hAnsiTheme="majorHAnsi" w:cstheme="majorHAnsi"/>
        </w:rPr>
        <w:fldChar w:fldCharType="begin"/>
      </w:r>
      <w:r w:rsidR="005B6294" w:rsidRPr="008D03BB">
        <w:rPr>
          <w:rFonts w:asciiTheme="majorHAnsi" w:hAnsiTheme="majorHAnsi" w:cstheme="majorHAnsi"/>
        </w:rPr>
        <w:instrText xml:space="preserve"> REF _Ref474780388 \h </w:instrText>
      </w:r>
      <w:r w:rsidR="00B57263" w:rsidRPr="008D03BB">
        <w:rPr>
          <w:rFonts w:asciiTheme="majorHAnsi" w:hAnsiTheme="majorHAnsi" w:cstheme="majorHAnsi"/>
        </w:rPr>
        <w:instrText xml:space="preserve"> \* MERGEFORMAT </w:instrText>
      </w:r>
      <w:r w:rsidR="005B6294" w:rsidRPr="008D03BB">
        <w:rPr>
          <w:rFonts w:asciiTheme="majorHAnsi" w:hAnsiTheme="majorHAnsi" w:cstheme="majorHAnsi"/>
        </w:rPr>
      </w:r>
      <w:r w:rsidR="005B6294" w:rsidRPr="008D03BB">
        <w:rPr>
          <w:rFonts w:asciiTheme="majorHAnsi" w:hAnsiTheme="majorHAnsi" w:cstheme="majorHAnsi"/>
        </w:rPr>
        <w:fldChar w:fldCharType="separate"/>
      </w:r>
      <w:r w:rsidR="00EE1B59" w:rsidRPr="008D03BB">
        <w:rPr>
          <w:rFonts w:asciiTheme="majorHAnsi" w:hAnsiTheme="majorHAnsi" w:cstheme="majorHAnsi"/>
        </w:rPr>
        <w:t>Graf č. 20</w:t>
      </w:r>
      <w:r w:rsidR="005B6294" w:rsidRPr="008D03BB">
        <w:rPr>
          <w:rFonts w:asciiTheme="majorHAnsi" w:hAnsiTheme="majorHAnsi" w:cstheme="majorHAnsi"/>
        </w:rPr>
        <w:fldChar w:fldCharType="end"/>
      </w:r>
      <w:r w:rsidR="002071AC" w:rsidRPr="0053555E">
        <w:rPr>
          <w:rFonts w:asciiTheme="majorHAnsi" w:hAnsiTheme="majorHAnsi" w:cstheme="majorHAnsi"/>
        </w:rPr>
        <w:t xml:space="preserve">. </w:t>
      </w:r>
    </w:p>
    <w:p w14:paraId="566AEEFA" w14:textId="43997C1A" w:rsidR="00E36C14" w:rsidRPr="0053555E" w:rsidRDefault="00E36C14">
      <w:pPr>
        <w:rPr>
          <w:rFonts w:asciiTheme="majorHAnsi" w:hAnsiTheme="majorHAnsi" w:cstheme="majorHAnsi"/>
        </w:rPr>
      </w:pPr>
    </w:p>
    <w:p w14:paraId="5F5ED0B3" w14:textId="43DAE287" w:rsidR="002071AC" w:rsidRPr="0053555E" w:rsidRDefault="001B62D3" w:rsidP="000E3322">
      <w:pPr>
        <w:pStyle w:val="Popis"/>
      </w:pPr>
      <w:bookmarkStart w:id="183" w:name="_Ref31718793"/>
      <w:bookmarkStart w:id="184" w:name="_Toc127593303"/>
      <w:r w:rsidRPr="0053555E">
        <w:t xml:space="preserve">Tab. č. </w:t>
      </w:r>
      <w:r w:rsidR="007B5953">
        <w:fldChar w:fldCharType="begin"/>
      </w:r>
      <w:r w:rsidR="007B5953">
        <w:instrText xml:space="preserve"> SEQ Tab._č. \* ARABIC </w:instrText>
      </w:r>
      <w:r w:rsidR="007B5953">
        <w:fldChar w:fldCharType="separate"/>
      </w:r>
      <w:r w:rsidR="00EE1B59">
        <w:rPr>
          <w:noProof/>
        </w:rPr>
        <w:t>40</w:t>
      </w:r>
      <w:r w:rsidR="007B5953">
        <w:rPr>
          <w:noProof/>
        </w:rPr>
        <w:fldChar w:fldCharType="end"/>
      </w:r>
      <w:bookmarkEnd w:id="183"/>
      <w:r w:rsidRPr="0053555E">
        <w:t xml:space="preserve">: </w:t>
      </w:r>
      <w:r w:rsidR="002071AC" w:rsidRPr="0053555E">
        <w:t xml:space="preserve">Prehľad </w:t>
      </w:r>
      <w:r w:rsidR="000423FD" w:rsidRPr="0053555E">
        <w:t>vzdelávacích programov</w:t>
      </w:r>
      <w:r w:rsidR="002071AC" w:rsidRPr="0053555E">
        <w:t xml:space="preserve"> ďalšieho vz</w:t>
      </w:r>
      <w:r w:rsidR="00B95A7C" w:rsidRPr="0053555E">
        <w:t xml:space="preserve">delávania na STU za </w:t>
      </w:r>
      <w:r w:rsidR="00CF2941" w:rsidRPr="0053555E">
        <w:t>sedem</w:t>
      </w:r>
      <w:r w:rsidR="00CF72E7" w:rsidRPr="0053555E">
        <w:t xml:space="preserve"> </w:t>
      </w:r>
      <w:r w:rsidR="00B95A7C" w:rsidRPr="0053555E">
        <w:t>ak</w:t>
      </w:r>
      <w:r w:rsidR="000423FD" w:rsidRPr="0053555E">
        <w:t>ad</w:t>
      </w:r>
      <w:r w:rsidR="00CF72E7" w:rsidRPr="0053555E">
        <w:t>emických</w:t>
      </w:r>
      <w:r w:rsidR="00B95A7C" w:rsidRPr="0053555E">
        <w:t xml:space="preserve"> rok</w:t>
      </w:r>
      <w:r w:rsidR="00CF72E7" w:rsidRPr="0053555E">
        <w:t>ov</w:t>
      </w:r>
      <w:bookmarkEnd w:id="184"/>
    </w:p>
    <w:tbl>
      <w:tblPr>
        <w:tblW w:w="9012" w:type="dxa"/>
        <w:tblInd w:w="55" w:type="dxa"/>
        <w:tblLayout w:type="fixed"/>
        <w:tblCellMar>
          <w:left w:w="70" w:type="dxa"/>
          <w:right w:w="70" w:type="dxa"/>
        </w:tblCellMar>
        <w:tblLook w:val="04A0" w:firstRow="1" w:lastRow="0" w:firstColumn="1" w:lastColumn="0" w:noHBand="0" w:noVBand="1"/>
      </w:tblPr>
      <w:tblGrid>
        <w:gridCol w:w="791"/>
        <w:gridCol w:w="1417"/>
        <w:gridCol w:w="972"/>
        <w:gridCol w:w="972"/>
        <w:gridCol w:w="972"/>
        <w:gridCol w:w="972"/>
        <w:gridCol w:w="972"/>
        <w:gridCol w:w="972"/>
        <w:gridCol w:w="972"/>
      </w:tblGrid>
      <w:tr w:rsidR="005871E9" w:rsidRPr="0053555E" w14:paraId="04363AB8" w14:textId="77777777" w:rsidTr="006A2AA4">
        <w:trPr>
          <w:trHeight w:val="390"/>
        </w:trPr>
        <w:tc>
          <w:tcPr>
            <w:tcW w:w="22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941BC" w14:textId="77777777" w:rsidR="005871E9" w:rsidRPr="0053555E" w:rsidRDefault="005871E9" w:rsidP="005871E9">
            <w:pPr>
              <w:tabs>
                <w:tab w:val="left" w:pos="9356"/>
              </w:tabs>
              <w:jc w:val="both"/>
              <w:rPr>
                <w:rFonts w:asciiTheme="majorHAnsi" w:eastAsia="Times New Roman" w:hAnsiTheme="majorHAnsi" w:cstheme="majorHAnsi"/>
                <w:sz w:val="20"/>
                <w:szCs w:val="20"/>
                <w:lang w:eastAsia="sk-SK"/>
              </w:rPr>
            </w:pPr>
          </w:p>
        </w:tc>
        <w:tc>
          <w:tcPr>
            <w:tcW w:w="972" w:type="dxa"/>
            <w:tcBorders>
              <w:top w:val="single" w:sz="4" w:space="0" w:color="auto"/>
              <w:left w:val="nil"/>
              <w:bottom w:val="single" w:sz="4" w:space="0" w:color="auto"/>
              <w:right w:val="single" w:sz="4" w:space="0" w:color="auto"/>
            </w:tcBorders>
            <w:vAlign w:val="center"/>
          </w:tcPr>
          <w:p w14:paraId="6DDBB9E9" w14:textId="38D16479" w:rsidR="005871E9" w:rsidRPr="0053555E" w:rsidRDefault="005871E9" w:rsidP="005871E9">
            <w:pPr>
              <w:jc w:val="center"/>
              <w:rPr>
                <w:rFonts w:asciiTheme="majorHAnsi" w:hAnsiTheme="majorHAnsi" w:cstheme="majorHAnsi"/>
                <w:b/>
                <w:bCs/>
                <w:sz w:val="18"/>
                <w:szCs w:val="22"/>
              </w:rPr>
            </w:pPr>
            <w:r w:rsidRPr="0053555E">
              <w:rPr>
                <w:rFonts w:cs="Arial"/>
                <w:b/>
                <w:bCs/>
                <w:sz w:val="18"/>
                <w:szCs w:val="20"/>
              </w:rPr>
              <w:t>2015/2016</w:t>
            </w:r>
          </w:p>
        </w:tc>
        <w:tc>
          <w:tcPr>
            <w:tcW w:w="972" w:type="dxa"/>
            <w:tcBorders>
              <w:top w:val="single" w:sz="4" w:space="0" w:color="auto"/>
              <w:left w:val="single" w:sz="4" w:space="0" w:color="auto"/>
              <w:bottom w:val="single" w:sz="4" w:space="0" w:color="auto"/>
              <w:right w:val="single" w:sz="4" w:space="0" w:color="auto"/>
            </w:tcBorders>
            <w:vAlign w:val="center"/>
          </w:tcPr>
          <w:p w14:paraId="21782013" w14:textId="5C352A70" w:rsidR="005871E9" w:rsidRPr="0053555E" w:rsidRDefault="005871E9" w:rsidP="005871E9">
            <w:pPr>
              <w:jc w:val="center"/>
              <w:rPr>
                <w:rFonts w:asciiTheme="majorHAnsi" w:hAnsiTheme="majorHAnsi" w:cstheme="majorHAnsi"/>
                <w:b/>
                <w:bCs/>
                <w:sz w:val="18"/>
                <w:szCs w:val="22"/>
              </w:rPr>
            </w:pPr>
            <w:r w:rsidRPr="0053555E">
              <w:rPr>
                <w:rFonts w:cs="Arial"/>
                <w:b/>
                <w:bCs/>
                <w:sz w:val="18"/>
                <w:szCs w:val="20"/>
              </w:rPr>
              <w:t>2016/2017</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33945" w14:textId="58828BC3" w:rsidR="005871E9" w:rsidRPr="0053555E" w:rsidRDefault="005871E9" w:rsidP="005871E9">
            <w:pPr>
              <w:jc w:val="center"/>
              <w:rPr>
                <w:rFonts w:asciiTheme="majorHAnsi" w:hAnsiTheme="majorHAnsi" w:cstheme="majorHAnsi"/>
                <w:b/>
                <w:bCs/>
                <w:sz w:val="18"/>
                <w:szCs w:val="22"/>
              </w:rPr>
            </w:pPr>
            <w:r w:rsidRPr="0053555E">
              <w:rPr>
                <w:rFonts w:cs="Arial"/>
                <w:b/>
                <w:bCs/>
                <w:sz w:val="18"/>
                <w:szCs w:val="20"/>
              </w:rPr>
              <w:t>2017/2018</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1768C0AB" w14:textId="4F97EB16" w:rsidR="005871E9" w:rsidRPr="0053555E" w:rsidRDefault="005871E9" w:rsidP="005871E9">
            <w:pPr>
              <w:jc w:val="center"/>
              <w:rPr>
                <w:rFonts w:asciiTheme="majorHAnsi" w:hAnsiTheme="majorHAnsi" w:cstheme="majorHAnsi"/>
                <w:b/>
                <w:bCs/>
                <w:sz w:val="18"/>
                <w:szCs w:val="22"/>
              </w:rPr>
            </w:pPr>
            <w:r w:rsidRPr="0053555E">
              <w:rPr>
                <w:rFonts w:cs="Arial"/>
                <w:b/>
                <w:bCs/>
                <w:sz w:val="18"/>
                <w:szCs w:val="20"/>
              </w:rPr>
              <w:t>2018/2019</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28B4273B" w14:textId="4FF000D4" w:rsidR="005871E9" w:rsidRPr="0053555E" w:rsidRDefault="005871E9" w:rsidP="005871E9">
            <w:pPr>
              <w:jc w:val="center"/>
              <w:rPr>
                <w:rFonts w:asciiTheme="majorHAnsi" w:hAnsiTheme="majorHAnsi" w:cstheme="majorHAnsi"/>
                <w:b/>
                <w:bCs/>
                <w:sz w:val="18"/>
                <w:szCs w:val="22"/>
              </w:rPr>
            </w:pPr>
            <w:r w:rsidRPr="0053555E">
              <w:rPr>
                <w:rFonts w:cs="Arial"/>
                <w:b/>
                <w:bCs/>
                <w:sz w:val="18"/>
                <w:szCs w:val="20"/>
              </w:rPr>
              <w:t>2019/2020</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2251C45F" w14:textId="0DD10307" w:rsidR="005871E9" w:rsidRPr="0053555E" w:rsidRDefault="005871E9" w:rsidP="005871E9">
            <w:pPr>
              <w:jc w:val="center"/>
              <w:rPr>
                <w:rFonts w:asciiTheme="majorHAnsi" w:hAnsiTheme="majorHAnsi" w:cstheme="majorHAnsi"/>
                <w:b/>
                <w:bCs/>
                <w:sz w:val="18"/>
                <w:szCs w:val="22"/>
              </w:rPr>
            </w:pPr>
            <w:r w:rsidRPr="0053555E">
              <w:rPr>
                <w:rFonts w:cs="Arial"/>
                <w:b/>
                <w:bCs/>
                <w:sz w:val="18"/>
                <w:szCs w:val="20"/>
              </w:rPr>
              <w:t>2020/2021</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35E7445B" w14:textId="5DE7779C" w:rsidR="005871E9" w:rsidRPr="0053555E" w:rsidRDefault="005871E9" w:rsidP="005871E9">
            <w:pPr>
              <w:jc w:val="center"/>
              <w:rPr>
                <w:rFonts w:asciiTheme="majorHAnsi" w:hAnsiTheme="majorHAnsi" w:cstheme="majorHAnsi"/>
                <w:b/>
                <w:bCs/>
                <w:sz w:val="18"/>
                <w:szCs w:val="22"/>
              </w:rPr>
            </w:pPr>
            <w:r w:rsidRPr="0053555E">
              <w:rPr>
                <w:rFonts w:cs="Arial"/>
                <w:b/>
                <w:bCs/>
                <w:sz w:val="18"/>
                <w:szCs w:val="20"/>
              </w:rPr>
              <w:t>2021/2022</w:t>
            </w:r>
          </w:p>
        </w:tc>
      </w:tr>
      <w:tr w:rsidR="005871E9" w:rsidRPr="0053555E" w14:paraId="091E36FB" w14:textId="77777777" w:rsidTr="006A2AA4">
        <w:trPr>
          <w:trHeight w:val="562"/>
        </w:trPr>
        <w:tc>
          <w:tcPr>
            <w:tcW w:w="79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F774849" w14:textId="77777777" w:rsidR="005871E9" w:rsidRPr="0053555E" w:rsidRDefault="005871E9" w:rsidP="005871E9">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Neakredito-vané  programy</w:t>
            </w:r>
          </w:p>
        </w:tc>
        <w:tc>
          <w:tcPr>
            <w:tcW w:w="1417" w:type="dxa"/>
            <w:tcBorders>
              <w:top w:val="nil"/>
              <w:left w:val="nil"/>
              <w:bottom w:val="single" w:sz="4" w:space="0" w:color="auto"/>
              <w:right w:val="single" w:sz="4" w:space="0" w:color="auto"/>
            </w:tcBorders>
            <w:shd w:val="clear" w:color="auto" w:fill="auto"/>
            <w:vAlign w:val="center"/>
            <w:hideMark/>
          </w:tcPr>
          <w:p w14:paraId="0E1CEF24" w14:textId="77777777" w:rsidR="005871E9" w:rsidRPr="0053555E" w:rsidRDefault="005871E9" w:rsidP="005871E9">
            <w:pPr>
              <w:tabs>
                <w:tab w:val="left" w:pos="9356"/>
              </w:tabs>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Počet frekventantov</w:t>
            </w:r>
          </w:p>
        </w:tc>
        <w:tc>
          <w:tcPr>
            <w:tcW w:w="972" w:type="dxa"/>
            <w:tcBorders>
              <w:top w:val="single" w:sz="4" w:space="0" w:color="auto"/>
              <w:left w:val="nil"/>
              <w:bottom w:val="single" w:sz="4" w:space="0" w:color="auto"/>
              <w:right w:val="single" w:sz="4" w:space="0" w:color="auto"/>
            </w:tcBorders>
            <w:vAlign w:val="center"/>
          </w:tcPr>
          <w:p w14:paraId="070EEAA9" w14:textId="274B5EC7" w:rsidR="005871E9" w:rsidRPr="0053555E" w:rsidRDefault="005871E9" w:rsidP="005871E9">
            <w:pPr>
              <w:jc w:val="center"/>
              <w:rPr>
                <w:rFonts w:asciiTheme="majorHAnsi" w:hAnsiTheme="majorHAnsi" w:cstheme="majorHAnsi"/>
                <w:szCs w:val="22"/>
              </w:rPr>
            </w:pPr>
            <w:r w:rsidRPr="0053555E">
              <w:rPr>
                <w:rFonts w:cs="Arial"/>
                <w:szCs w:val="20"/>
              </w:rPr>
              <w:t>3 495</w:t>
            </w:r>
          </w:p>
        </w:tc>
        <w:tc>
          <w:tcPr>
            <w:tcW w:w="972" w:type="dxa"/>
            <w:tcBorders>
              <w:top w:val="single" w:sz="4" w:space="0" w:color="auto"/>
              <w:left w:val="single" w:sz="4" w:space="0" w:color="auto"/>
              <w:bottom w:val="single" w:sz="4" w:space="0" w:color="auto"/>
              <w:right w:val="single" w:sz="4" w:space="0" w:color="auto"/>
            </w:tcBorders>
            <w:vAlign w:val="center"/>
          </w:tcPr>
          <w:p w14:paraId="624CF9CF" w14:textId="6A82EF83" w:rsidR="005871E9" w:rsidRPr="0053555E" w:rsidRDefault="005871E9" w:rsidP="005871E9">
            <w:pPr>
              <w:jc w:val="center"/>
              <w:rPr>
                <w:rFonts w:asciiTheme="majorHAnsi" w:hAnsiTheme="majorHAnsi" w:cstheme="majorHAnsi"/>
                <w:szCs w:val="22"/>
              </w:rPr>
            </w:pPr>
            <w:r w:rsidRPr="0053555E">
              <w:rPr>
                <w:rFonts w:cs="Arial"/>
                <w:szCs w:val="20"/>
              </w:rPr>
              <w:t>3 175</w:t>
            </w:r>
          </w:p>
        </w:tc>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3E185EAE" w14:textId="66BCC8FD" w:rsidR="005871E9" w:rsidRPr="0053555E" w:rsidRDefault="005871E9" w:rsidP="005871E9">
            <w:pPr>
              <w:jc w:val="center"/>
              <w:rPr>
                <w:rFonts w:asciiTheme="majorHAnsi" w:hAnsiTheme="majorHAnsi" w:cstheme="majorHAnsi"/>
                <w:szCs w:val="22"/>
              </w:rPr>
            </w:pPr>
            <w:r w:rsidRPr="0053555E">
              <w:rPr>
                <w:rFonts w:cs="Arial"/>
                <w:szCs w:val="20"/>
              </w:rPr>
              <w:t>3 023</w:t>
            </w:r>
          </w:p>
        </w:tc>
        <w:tc>
          <w:tcPr>
            <w:tcW w:w="972" w:type="dxa"/>
            <w:tcBorders>
              <w:top w:val="nil"/>
              <w:left w:val="nil"/>
              <w:bottom w:val="single" w:sz="4" w:space="0" w:color="auto"/>
              <w:right w:val="single" w:sz="4" w:space="0" w:color="auto"/>
            </w:tcBorders>
            <w:shd w:val="clear" w:color="000000" w:fill="FFFFFF"/>
            <w:noWrap/>
            <w:vAlign w:val="center"/>
            <w:hideMark/>
          </w:tcPr>
          <w:p w14:paraId="47F502F1" w14:textId="4C5E3D85" w:rsidR="005871E9" w:rsidRPr="0053555E" w:rsidRDefault="005871E9" w:rsidP="005871E9">
            <w:pPr>
              <w:jc w:val="center"/>
              <w:rPr>
                <w:rFonts w:asciiTheme="majorHAnsi" w:hAnsiTheme="majorHAnsi" w:cstheme="majorHAnsi"/>
                <w:szCs w:val="22"/>
              </w:rPr>
            </w:pPr>
            <w:r w:rsidRPr="0053555E">
              <w:rPr>
                <w:rFonts w:cs="Arial"/>
                <w:szCs w:val="20"/>
              </w:rPr>
              <w:t>3 398</w:t>
            </w:r>
          </w:p>
        </w:tc>
        <w:tc>
          <w:tcPr>
            <w:tcW w:w="972" w:type="dxa"/>
            <w:tcBorders>
              <w:top w:val="nil"/>
              <w:left w:val="nil"/>
              <w:bottom w:val="single" w:sz="4" w:space="0" w:color="auto"/>
              <w:right w:val="single" w:sz="4" w:space="0" w:color="auto"/>
            </w:tcBorders>
            <w:shd w:val="clear" w:color="000000" w:fill="FFFFFF"/>
            <w:noWrap/>
            <w:vAlign w:val="center"/>
            <w:hideMark/>
          </w:tcPr>
          <w:p w14:paraId="1D7EA734" w14:textId="5E1FEF4F" w:rsidR="005871E9" w:rsidRPr="0053555E" w:rsidRDefault="005871E9" w:rsidP="005871E9">
            <w:pPr>
              <w:jc w:val="center"/>
              <w:rPr>
                <w:rFonts w:asciiTheme="majorHAnsi" w:hAnsiTheme="majorHAnsi" w:cstheme="majorHAnsi"/>
                <w:szCs w:val="22"/>
              </w:rPr>
            </w:pPr>
            <w:r w:rsidRPr="0053555E">
              <w:rPr>
                <w:rFonts w:cs="Arial"/>
                <w:szCs w:val="20"/>
              </w:rPr>
              <w:t>2 991</w:t>
            </w:r>
          </w:p>
        </w:tc>
        <w:tc>
          <w:tcPr>
            <w:tcW w:w="972" w:type="dxa"/>
            <w:tcBorders>
              <w:top w:val="nil"/>
              <w:left w:val="nil"/>
              <w:bottom w:val="single" w:sz="4" w:space="0" w:color="auto"/>
              <w:right w:val="single" w:sz="4" w:space="0" w:color="auto"/>
            </w:tcBorders>
            <w:shd w:val="clear" w:color="000000" w:fill="FFFFFF"/>
            <w:noWrap/>
            <w:vAlign w:val="center"/>
            <w:hideMark/>
          </w:tcPr>
          <w:p w14:paraId="1EE12C97" w14:textId="68E754FE" w:rsidR="005871E9" w:rsidRPr="0053555E" w:rsidRDefault="005871E9" w:rsidP="005871E9">
            <w:pPr>
              <w:jc w:val="center"/>
              <w:rPr>
                <w:rFonts w:asciiTheme="majorHAnsi" w:hAnsiTheme="majorHAnsi" w:cstheme="majorHAnsi"/>
                <w:szCs w:val="22"/>
              </w:rPr>
            </w:pPr>
            <w:r w:rsidRPr="0053555E">
              <w:rPr>
                <w:rFonts w:cs="Arial"/>
                <w:szCs w:val="20"/>
              </w:rPr>
              <w:t>1 982</w:t>
            </w:r>
          </w:p>
        </w:tc>
        <w:tc>
          <w:tcPr>
            <w:tcW w:w="972" w:type="dxa"/>
            <w:tcBorders>
              <w:top w:val="nil"/>
              <w:left w:val="nil"/>
              <w:bottom w:val="single" w:sz="4" w:space="0" w:color="auto"/>
              <w:right w:val="single" w:sz="4" w:space="0" w:color="auto"/>
            </w:tcBorders>
            <w:shd w:val="clear" w:color="000000" w:fill="FFFFFF"/>
            <w:noWrap/>
            <w:vAlign w:val="center"/>
            <w:hideMark/>
          </w:tcPr>
          <w:p w14:paraId="3F786742" w14:textId="7434FEE2" w:rsidR="005871E9" w:rsidRPr="0053555E" w:rsidRDefault="005871E9" w:rsidP="005871E9">
            <w:pPr>
              <w:jc w:val="center"/>
              <w:rPr>
                <w:rFonts w:asciiTheme="majorHAnsi" w:hAnsiTheme="majorHAnsi" w:cstheme="majorHAnsi"/>
                <w:szCs w:val="22"/>
              </w:rPr>
            </w:pPr>
            <w:r w:rsidRPr="0053555E">
              <w:rPr>
                <w:rFonts w:cs="Arial"/>
                <w:szCs w:val="20"/>
              </w:rPr>
              <w:t>3 4</w:t>
            </w:r>
            <w:r w:rsidR="00A0537D">
              <w:rPr>
                <w:rFonts w:cs="Arial"/>
                <w:szCs w:val="20"/>
              </w:rPr>
              <w:t>4</w:t>
            </w:r>
            <w:r w:rsidRPr="0053555E">
              <w:rPr>
                <w:rFonts w:cs="Arial"/>
                <w:szCs w:val="20"/>
              </w:rPr>
              <w:t>4</w:t>
            </w:r>
          </w:p>
        </w:tc>
      </w:tr>
      <w:tr w:rsidR="005871E9" w:rsidRPr="0053555E" w14:paraId="4EC121B8" w14:textId="77777777" w:rsidTr="006A2AA4">
        <w:trPr>
          <w:trHeight w:val="562"/>
        </w:trPr>
        <w:tc>
          <w:tcPr>
            <w:tcW w:w="791" w:type="dxa"/>
            <w:vMerge/>
            <w:tcBorders>
              <w:top w:val="nil"/>
              <w:left w:val="single" w:sz="4" w:space="0" w:color="auto"/>
              <w:bottom w:val="single" w:sz="4" w:space="0" w:color="auto"/>
              <w:right w:val="single" w:sz="4" w:space="0" w:color="auto"/>
            </w:tcBorders>
            <w:vAlign w:val="center"/>
            <w:hideMark/>
          </w:tcPr>
          <w:p w14:paraId="672FF327" w14:textId="77777777" w:rsidR="005871E9" w:rsidRPr="0053555E" w:rsidRDefault="005871E9" w:rsidP="005871E9">
            <w:pPr>
              <w:tabs>
                <w:tab w:val="left" w:pos="9356"/>
              </w:tabs>
              <w:jc w:val="center"/>
              <w:rPr>
                <w:rFonts w:asciiTheme="majorHAnsi" w:eastAsia="Times New Roman" w:hAnsiTheme="majorHAnsi" w:cstheme="majorHAnsi"/>
                <w:b/>
                <w:bCs/>
                <w:sz w:val="20"/>
                <w:szCs w:val="20"/>
                <w:lang w:eastAsia="sk-SK"/>
              </w:rPr>
            </w:pPr>
          </w:p>
        </w:tc>
        <w:tc>
          <w:tcPr>
            <w:tcW w:w="1417" w:type="dxa"/>
            <w:tcBorders>
              <w:top w:val="nil"/>
              <w:left w:val="nil"/>
              <w:bottom w:val="single" w:sz="4" w:space="0" w:color="auto"/>
              <w:right w:val="single" w:sz="4" w:space="0" w:color="auto"/>
            </w:tcBorders>
            <w:shd w:val="clear" w:color="auto" w:fill="auto"/>
            <w:vAlign w:val="center"/>
            <w:hideMark/>
          </w:tcPr>
          <w:p w14:paraId="3590134F" w14:textId="77777777" w:rsidR="005871E9" w:rsidRPr="0053555E" w:rsidRDefault="005871E9" w:rsidP="005871E9">
            <w:pPr>
              <w:tabs>
                <w:tab w:val="left" w:pos="9356"/>
              </w:tabs>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Počet kurzov</w:t>
            </w:r>
          </w:p>
        </w:tc>
        <w:tc>
          <w:tcPr>
            <w:tcW w:w="972" w:type="dxa"/>
            <w:tcBorders>
              <w:top w:val="single" w:sz="4" w:space="0" w:color="auto"/>
              <w:left w:val="nil"/>
              <w:bottom w:val="single" w:sz="4" w:space="0" w:color="auto"/>
              <w:right w:val="single" w:sz="4" w:space="0" w:color="auto"/>
            </w:tcBorders>
            <w:vAlign w:val="center"/>
          </w:tcPr>
          <w:p w14:paraId="73418601" w14:textId="608EBC73" w:rsidR="005871E9" w:rsidRPr="0053555E" w:rsidRDefault="005871E9" w:rsidP="005871E9">
            <w:pPr>
              <w:jc w:val="center"/>
              <w:rPr>
                <w:rFonts w:asciiTheme="majorHAnsi" w:hAnsiTheme="majorHAnsi" w:cstheme="majorHAnsi"/>
                <w:szCs w:val="22"/>
              </w:rPr>
            </w:pPr>
            <w:r w:rsidRPr="0053555E">
              <w:rPr>
                <w:rFonts w:cs="Arial"/>
                <w:szCs w:val="20"/>
              </w:rPr>
              <w:t>114</w:t>
            </w:r>
          </w:p>
        </w:tc>
        <w:tc>
          <w:tcPr>
            <w:tcW w:w="972" w:type="dxa"/>
            <w:tcBorders>
              <w:top w:val="single" w:sz="4" w:space="0" w:color="auto"/>
              <w:left w:val="single" w:sz="4" w:space="0" w:color="auto"/>
              <w:bottom w:val="single" w:sz="4" w:space="0" w:color="auto"/>
              <w:right w:val="single" w:sz="4" w:space="0" w:color="auto"/>
            </w:tcBorders>
            <w:vAlign w:val="center"/>
          </w:tcPr>
          <w:p w14:paraId="33BEB911" w14:textId="660A02A6" w:rsidR="005871E9" w:rsidRPr="0053555E" w:rsidRDefault="005871E9" w:rsidP="005871E9">
            <w:pPr>
              <w:jc w:val="center"/>
              <w:rPr>
                <w:rFonts w:asciiTheme="majorHAnsi" w:hAnsiTheme="majorHAnsi" w:cstheme="majorHAnsi"/>
                <w:szCs w:val="22"/>
              </w:rPr>
            </w:pPr>
            <w:r w:rsidRPr="0053555E">
              <w:rPr>
                <w:rFonts w:cs="Arial"/>
                <w:szCs w:val="20"/>
              </w:rPr>
              <w:t>95</w:t>
            </w:r>
          </w:p>
        </w:tc>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36CE9FD0" w14:textId="1267ADB8" w:rsidR="005871E9" w:rsidRPr="0053555E" w:rsidRDefault="005871E9" w:rsidP="005871E9">
            <w:pPr>
              <w:jc w:val="center"/>
              <w:rPr>
                <w:rFonts w:asciiTheme="majorHAnsi" w:hAnsiTheme="majorHAnsi" w:cstheme="majorHAnsi"/>
                <w:szCs w:val="22"/>
              </w:rPr>
            </w:pPr>
            <w:r w:rsidRPr="0053555E">
              <w:rPr>
                <w:rFonts w:cs="Arial"/>
                <w:szCs w:val="20"/>
              </w:rPr>
              <w:t>104</w:t>
            </w:r>
          </w:p>
        </w:tc>
        <w:tc>
          <w:tcPr>
            <w:tcW w:w="972" w:type="dxa"/>
            <w:tcBorders>
              <w:top w:val="nil"/>
              <w:left w:val="nil"/>
              <w:bottom w:val="single" w:sz="4" w:space="0" w:color="auto"/>
              <w:right w:val="single" w:sz="4" w:space="0" w:color="auto"/>
            </w:tcBorders>
            <w:shd w:val="clear" w:color="000000" w:fill="FFFFFF"/>
            <w:noWrap/>
            <w:vAlign w:val="center"/>
            <w:hideMark/>
          </w:tcPr>
          <w:p w14:paraId="2FD5B1D9" w14:textId="038666BE" w:rsidR="005871E9" w:rsidRPr="0053555E" w:rsidRDefault="005871E9" w:rsidP="005871E9">
            <w:pPr>
              <w:jc w:val="center"/>
              <w:rPr>
                <w:rFonts w:asciiTheme="majorHAnsi" w:hAnsiTheme="majorHAnsi" w:cstheme="majorHAnsi"/>
                <w:szCs w:val="22"/>
              </w:rPr>
            </w:pPr>
            <w:r w:rsidRPr="0053555E">
              <w:rPr>
                <w:rFonts w:cs="Arial"/>
                <w:szCs w:val="20"/>
              </w:rPr>
              <w:t>129</w:t>
            </w:r>
          </w:p>
        </w:tc>
        <w:tc>
          <w:tcPr>
            <w:tcW w:w="972" w:type="dxa"/>
            <w:tcBorders>
              <w:top w:val="nil"/>
              <w:left w:val="nil"/>
              <w:bottom w:val="single" w:sz="4" w:space="0" w:color="auto"/>
              <w:right w:val="single" w:sz="4" w:space="0" w:color="auto"/>
            </w:tcBorders>
            <w:shd w:val="clear" w:color="000000" w:fill="FFFFFF"/>
            <w:noWrap/>
            <w:vAlign w:val="center"/>
            <w:hideMark/>
          </w:tcPr>
          <w:p w14:paraId="3414B005" w14:textId="2CA7DB3A" w:rsidR="005871E9" w:rsidRPr="0053555E" w:rsidRDefault="005871E9" w:rsidP="005871E9">
            <w:pPr>
              <w:jc w:val="center"/>
              <w:rPr>
                <w:rFonts w:asciiTheme="majorHAnsi" w:hAnsiTheme="majorHAnsi" w:cstheme="majorHAnsi"/>
                <w:szCs w:val="22"/>
              </w:rPr>
            </w:pPr>
            <w:r w:rsidRPr="0053555E">
              <w:rPr>
                <w:rFonts w:cs="Arial"/>
                <w:szCs w:val="20"/>
              </w:rPr>
              <w:t>123</w:t>
            </w:r>
          </w:p>
        </w:tc>
        <w:tc>
          <w:tcPr>
            <w:tcW w:w="972" w:type="dxa"/>
            <w:tcBorders>
              <w:top w:val="nil"/>
              <w:left w:val="nil"/>
              <w:bottom w:val="single" w:sz="4" w:space="0" w:color="auto"/>
              <w:right w:val="single" w:sz="4" w:space="0" w:color="auto"/>
            </w:tcBorders>
            <w:shd w:val="clear" w:color="000000" w:fill="FFFFFF"/>
            <w:noWrap/>
            <w:vAlign w:val="center"/>
            <w:hideMark/>
          </w:tcPr>
          <w:p w14:paraId="18B16FA8" w14:textId="032471E9" w:rsidR="005871E9" w:rsidRPr="0053555E" w:rsidRDefault="005871E9" w:rsidP="005871E9">
            <w:pPr>
              <w:jc w:val="center"/>
              <w:rPr>
                <w:rFonts w:asciiTheme="majorHAnsi" w:hAnsiTheme="majorHAnsi" w:cstheme="majorHAnsi"/>
                <w:szCs w:val="22"/>
              </w:rPr>
            </w:pPr>
            <w:r w:rsidRPr="0053555E">
              <w:rPr>
                <w:rFonts w:cs="Arial"/>
                <w:szCs w:val="20"/>
              </w:rPr>
              <w:t>79</w:t>
            </w:r>
          </w:p>
        </w:tc>
        <w:tc>
          <w:tcPr>
            <w:tcW w:w="972" w:type="dxa"/>
            <w:tcBorders>
              <w:top w:val="nil"/>
              <w:left w:val="nil"/>
              <w:bottom w:val="single" w:sz="4" w:space="0" w:color="auto"/>
              <w:right w:val="single" w:sz="4" w:space="0" w:color="auto"/>
            </w:tcBorders>
            <w:shd w:val="clear" w:color="000000" w:fill="FFFFFF"/>
            <w:noWrap/>
            <w:vAlign w:val="center"/>
            <w:hideMark/>
          </w:tcPr>
          <w:p w14:paraId="6A155094" w14:textId="50FACC24" w:rsidR="005871E9" w:rsidRPr="0053555E" w:rsidRDefault="00A0537D" w:rsidP="005871E9">
            <w:pPr>
              <w:jc w:val="center"/>
              <w:rPr>
                <w:rFonts w:asciiTheme="majorHAnsi" w:hAnsiTheme="majorHAnsi" w:cstheme="majorHAnsi"/>
                <w:szCs w:val="22"/>
              </w:rPr>
            </w:pPr>
            <w:r>
              <w:rPr>
                <w:rFonts w:cs="Arial"/>
                <w:szCs w:val="20"/>
              </w:rPr>
              <w:t>92</w:t>
            </w:r>
          </w:p>
        </w:tc>
      </w:tr>
      <w:tr w:rsidR="005871E9" w:rsidRPr="0053555E" w14:paraId="5EA07421" w14:textId="77777777" w:rsidTr="006A2AA4">
        <w:trPr>
          <w:trHeight w:val="562"/>
        </w:trPr>
        <w:tc>
          <w:tcPr>
            <w:tcW w:w="79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2377585" w14:textId="77777777" w:rsidR="005871E9" w:rsidRPr="0053555E" w:rsidRDefault="005871E9" w:rsidP="005871E9">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Akredito-vané  programy</w:t>
            </w:r>
          </w:p>
        </w:tc>
        <w:tc>
          <w:tcPr>
            <w:tcW w:w="1417" w:type="dxa"/>
            <w:tcBorders>
              <w:top w:val="nil"/>
              <w:left w:val="nil"/>
              <w:bottom w:val="single" w:sz="4" w:space="0" w:color="auto"/>
              <w:right w:val="single" w:sz="4" w:space="0" w:color="auto"/>
            </w:tcBorders>
            <w:shd w:val="clear" w:color="auto" w:fill="auto"/>
            <w:vAlign w:val="center"/>
            <w:hideMark/>
          </w:tcPr>
          <w:p w14:paraId="04A45BD1" w14:textId="77777777" w:rsidR="005871E9" w:rsidRPr="0053555E" w:rsidRDefault="005871E9" w:rsidP="005871E9">
            <w:pPr>
              <w:tabs>
                <w:tab w:val="left" w:pos="9356"/>
              </w:tabs>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Počet frekventantov</w:t>
            </w:r>
          </w:p>
        </w:tc>
        <w:tc>
          <w:tcPr>
            <w:tcW w:w="972" w:type="dxa"/>
            <w:tcBorders>
              <w:top w:val="single" w:sz="4" w:space="0" w:color="auto"/>
              <w:left w:val="nil"/>
              <w:bottom w:val="single" w:sz="4" w:space="0" w:color="auto"/>
              <w:right w:val="single" w:sz="4" w:space="0" w:color="auto"/>
            </w:tcBorders>
            <w:vAlign w:val="center"/>
          </w:tcPr>
          <w:p w14:paraId="30631501" w14:textId="19CBA997" w:rsidR="005871E9" w:rsidRPr="0053555E" w:rsidRDefault="005871E9" w:rsidP="005871E9">
            <w:pPr>
              <w:jc w:val="center"/>
              <w:rPr>
                <w:rFonts w:asciiTheme="majorHAnsi" w:hAnsiTheme="majorHAnsi" w:cstheme="majorHAnsi"/>
                <w:szCs w:val="22"/>
              </w:rPr>
            </w:pPr>
            <w:r w:rsidRPr="0053555E">
              <w:rPr>
                <w:rFonts w:cs="Arial"/>
                <w:szCs w:val="20"/>
              </w:rPr>
              <w:t>589</w:t>
            </w:r>
          </w:p>
        </w:tc>
        <w:tc>
          <w:tcPr>
            <w:tcW w:w="972" w:type="dxa"/>
            <w:tcBorders>
              <w:top w:val="single" w:sz="4" w:space="0" w:color="auto"/>
              <w:left w:val="single" w:sz="4" w:space="0" w:color="auto"/>
              <w:bottom w:val="single" w:sz="4" w:space="0" w:color="auto"/>
              <w:right w:val="single" w:sz="4" w:space="0" w:color="auto"/>
            </w:tcBorders>
            <w:vAlign w:val="center"/>
          </w:tcPr>
          <w:p w14:paraId="6429840E" w14:textId="688135A5" w:rsidR="005871E9" w:rsidRPr="0053555E" w:rsidRDefault="005871E9" w:rsidP="005871E9">
            <w:pPr>
              <w:jc w:val="center"/>
              <w:rPr>
                <w:rFonts w:asciiTheme="majorHAnsi" w:hAnsiTheme="majorHAnsi" w:cstheme="majorHAnsi"/>
                <w:szCs w:val="22"/>
              </w:rPr>
            </w:pPr>
            <w:r w:rsidRPr="0053555E">
              <w:rPr>
                <w:rFonts w:cs="Arial"/>
                <w:szCs w:val="20"/>
              </w:rPr>
              <w:t>729</w:t>
            </w:r>
          </w:p>
        </w:tc>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27BBEBDF" w14:textId="0D17C61A" w:rsidR="005871E9" w:rsidRPr="0053555E" w:rsidRDefault="005871E9" w:rsidP="005871E9">
            <w:pPr>
              <w:jc w:val="center"/>
              <w:rPr>
                <w:rFonts w:asciiTheme="majorHAnsi" w:hAnsiTheme="majorHAnsi" w:cstheme="majorHAnsi"/>
                <w:szCs w:val="22"/>
              </w:rPr>
            </w:pPr>
            <w:r w:rsidRPr="0053555E">
              <w:rPr>
                <w:rFonts w:cs="Arial"/>
                <w:szCs w:val="20"/>
              </w:rPr>
              <w:t>545</w:t>
            </w:r>
          </w:p>
        </w:tc>
        <w:tc>
          <w:tcPr>
            <w:tcW w:w="972" w:type="dxa"/>
            <w:tcBorders>
              <w:top w:val="nil"/>
              <w:left w:val="nil"/>
              <w:bottom w:val="single" w:sz="4" w:space="0" w:color="auto"/>
              <w:right w:val="single" w:sz="4" w:space="0" w:color="auto"/>
            </w:tcBorders>
            <w:shd w:val="clear" w:color="000000" w:fill="FFFFFF"/>
            <w:noWrap/>
            <w:vAlign w:val="center"/>
            <w:hideMark/>
          </w:tcPr>
          <w:p w14:paraId="6F549B3B" w14:textId="76E78EA9" w:rsidR="005871E9" w:rsidRPr="0053555E" w:rsidRDefault="005871E9" w:rsidP="005871E9">
            <w:pPr>
              <w:jc w:val="center"/>
              <w:rPr>
                <w:rFonts w:asciiTheme="majorHAnsi" w:hAnsiTheme="majorHAnsi" w:cstheme="majorHAnsi"/>
                <w:szCs w:val="22"/>
              </w:rPr>
            </w:pPr>
            <w:r w:rsidRPr="0053555E">
              <w:rPr>
                <w:rFonts w:cs="Arial"/>
                <w:szCs w:val="20"/>
              </w:rPr>
              <w:t>692</w:t>
            </w:r>
          </w:p>
        </w:tc>
        <w:tc>
          <w:tcPr>
            <w:tcW w:w="972" w:type="dxa"/>
            <w:tcBorders>
              <w:top w:val="nil"/>
              <w:left w:val="nil"/>
              <w:bottom w:val="single" w:sz="4" w:space="0" w:color="auto"/>
              <w:right w:val="single" w:sz="4" w:space="0" w:color="auto"/>
            </w:tcBorders>
            <w:shd w:val="clear" w:color="000000" w:fill="FFFFFF"/>
            <w:noWrap/>
            <w:vAlign w:val="center"/>
            <w:hideMark/>
          </w:tcPr>
          <w:p w14:paraId="1BD422BE" w14:textId="688AF566" w:rsidR="005871E9" w:rsidRPr="0053555E" w:rsidRDefault="005871E9" w:rsidP="005871E9">
            <w:pPr>
              <w:jc w:val="center"/>
              <w:rPr>
                <w:rFonts w:asciiTheme="majorHAnsi" w:hAnsiTheme="majorHAnsi" w:cstheme="majorHAnsi"/>
                <w:szCs w:val="22"/>
              </w:rPr>
            </w:pPr>
            <w:r w:rsidRPr="0053555E">
              <w:rPr>
                <w:rFonts w:cs="Arial"/>
                <w:szCs w:val="20"/>
              </w:rPr>
              <w:t>926</w:t>
            </w:r>
          </w:p>
        </w:tc>
        <w:tc>
          <w:tcPr>
            <w:tcW w:w="972" w:type="dxa"/>
            <w:tcBorders>
              <w:top w:val="nil"/>
              <w:left w:val="nil"/>
              <w:bottom w:val="single" w:sz="4" w:space="0" w:color="auto"/>
              <w:right w:val="single" w:sz="4" w:space="0" w:color="auto"/>
            </w:tcBorders>
            <w:shd w:val="clear" w:color="000000" w:fill="FFFFFF"/>
            <w:noWrap/>
            <w:vAlign w:val="center"/>
            <w:hideMark/>
          </w:tcPr>
          <w:p w14:paraId="344593B0" w14:textId="1A7162B7" w:rsidR="005871E9" w:rsidRPr="0053555E" w:rsidRDefault="005871E9" w:rsidP="005871E9">
            <w:pPr>
              <w:jc w:val="center"/>
              <w:rPr>
                <w:rFonts w:asciiTheme="majorHAnsi" w:hAnsiTheme="majorHAnsi" w:cstheme="majorHAnsi"/>
                <w:szCs w:val="22"/>
              </w:rPr>
            </w:pPr>
            <w:r w:rsidRPr="0053555E">
              <w:rPr>
                <w:rFonts w:cs="Arial"/>
                <w:szCs w:val="20"/>
              </w:rPr>
              <w:t>359</w:t>
            </w:r>
          </w:p>
        </w:tc>
        <w:tc>
          <w:tcPr>
            <w:tcW w:w="972" w:type="dxa"/>
            <w:tcBorders>
              <w:top w:val="nil"/>
              <w:left w:val="nil"/>
              <w:bottom w:val="single" w:sz="4" w:space="0" w:color="auto"/>
              <w:right w:val="single" w:sz="4" w:space="0" w:color="auto"/>
            </w:tcBorders>
            <w:shd w:val="clear" w:color="000000" w:fill="FFFFFF"/>
            <w:noWrap/>
            <w:vAlign w:val="center"/>
            <w:hideMark/>
          </w:tcPr>
          <w:p w14:paraId="6C3F9768" w14:textId="7498B0E6" w:rsidR="005871E9" w:rsidRPr="0053555E" w:rsidRDefault="00A0537D" w:rsidP="005871E9">
            <w:pPr>
              <w:jc w:val="center"/>
              <w:rPr>
                <w:rFonts w:asciiTheme="majorHAnsi" w:hAnsiTheme="majorHAnsi" w:cstheme="majorHAnsi"/>
                <w:szCs w:val="22"/>
              </w:rPr>
            </w:pPr>
            <w:r>
              <w:rPr>
                <w:rFonts w:cs="Arial"/>
                <w:szCs w:val="20"/>
              </w:rPr>
              <w:t>411</w:t>
            </w:r>
          </w:p>
        </w:tc>
      </w:tr>
      <w:tr w:rsidR="005871E9" w:rsidRPr="0053555E" w14:paraId="5AFE6339" w14:textId="77777777" w:rsidTr="006A2AA4">
        <w:trPr>
          <w:trHeight w:val="562"/>
        </w:trPr>
        <w:tc>
          <w:tcPr>
            <w:tcW w:w="791" w:type="dxa"/>
            <w:vMerge/>
            <w:tcBorders>
              <w:top w:val="nil"/>
              <w:left w:val="single" w:sz="4" w:space="0" w:color="auto"/>
              <w:bottom w:val="single" w:sz="4" w:space="0" w:color="auto"/>
              <w:right w:val="single" w:sz="4" w:space="0" w:color="auto"/>
            </w:tcBorders>
            <w:vAlign w:val="center"/>
            <w:hideMark/>
          </w:tcPr>
          <w:p w14:paraId="4C93FFDD" w14:textId="77777777" w:rsidR="005871E9" w:rsidRPr="0053555E" w:rsidRDefault="005871E9" w:rsidP="005871E9">
            <w:pPr>
              <w:tabs>
                <w:tab w:val="left" w:pos="9356"/>
              </w:tabs>
              <w:jc w:val="center"/>
              <w:rPr>
                <w:rFonts w:asciiTheme="majorHAnsi" w:eastAsia="Times New Roman" w:hAnsiTheme="majorHAnsi" w:cstheme="majorHAnsi"/>
                <w:b/>
                <w:bCs/>
                <w:sz w:val="20"/>
                <w:szCs w:val="20"/>
                <w:lang w:eastAsia="sk-SK"/>
              </w:rPr>
            </w:pPr>
          </w:p>
        </w:tc>
        <w:tc>
          <w:tcPr>
            <w:tcW w:w="1417" w:type="dxa"/>
            <w:tcBorders>
              <w:top w:val="nil"/>
              <w:left w:val="nil"/>
              <w:bottom w:val="single" w:sz="4" w:space="0" w:color="auto"/>
              <w:right w:val="single" w:sz="4" w:space="0" w:color="auto"/>
            </w:tcBorders>
            <w:shd w:val="clear" w:color="auto" w:fill="auto"/>
            <w:vAlign w:val="center"/>
            <w:hideMark/>
          </w:tcPr>
          <w:p w14:paraId="64CB8E03" w14:textId="77777777" w:rsidR="005871E9" w:rsidRPr="0053555E" w:rsidRDefault="005871E9" w:rsidP="005871E9">
            <w:pPr>
              <w:tabs>
                <w:tab w:val="left" w:pos="9356"/>
              </w:tabs>
              <w:jc w:val="both"/>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Počet kurzov</w:t>
            </w:r>
          </w:p>
        </w:tc>
        <w:tc>
          <w:tcPr>
            <w:tcW w:w="972" w:type="dxa"/>
            <w:tcBorders>
              <w:top w:val="single" w:sz="4" w:space="0" w:color="auto"/>
              <w:left w:val="nil"/>
              <w:bottom w:val="single" w:sz="4" w:space="0" w:color="auto"/>
              <w:right w:val="single" w:sz="4" w:space="0" w:color="auto"/>
            </w:tcBorders>
            <w:vAlign w:val="center"/>
          </w:tcPr>
          <w:p w14:paraId="7013E2ED" w14:textId="01D12444" w:rsidR="005871E9" w:rsidRPr="0053555E" w:rsidRDefault="005871E9" w:rsidP="005871E9">
            <w:pPr>
              <w:jc w:val="center"/>
              <w:rPr>
                <w:rFonts w:asciiTheme="majorHAnsi" w:hAnsiTheme="majorHAnsi" w:cstheme="majorHAnsi"/>
                <w:szCs w:val="22"/>
              </w:rPr>
            </w:pPr>
            <w:r w:rsidRPr="0053555E">
              <w:rPr>
                <w:rFonts w:cs="Arial"/>
                <w:szCs w:val="20"/>
              </w:rPr>
              <w:t>26</w:t>
            </w:r>
          </w:p>
        </w:tc>
        <w:tc>
          <w:tcPr>
            <w:tcW w:w="972" w:type="dxa"/>
            <w:tcBorders>
              <w:top w:val="single" w:sz="4" w:space="0" w:color="auto"/>
              <w:left w:val="single" w:sz="4" w:space="0" w:color="auto"/>
              <w:bottom w:val="single" w:sz="4" w:space="0" w:color="auto"/>
              <w:right w:val="single" w:sz="4" w:space="0" w:color="auto"/>
            </w:tcBorders>
            <w:vAlign w:val="center"/>
          </w:tcPr>
          <w:p w14:paraId="45F59622" w14:textId="0895B36F" w:rsidR="005871E9" w:rsidRPr="0053555E" w:rsidRDefault="005871E9" w:rsidP="005871E9">
            <w:pPr>
              <w:jc w:val="center"/>
              <w:rPr>
                <w:rFonts w:asciiTheme="majorHAnsi" w:hAnsiTheme="majorHAnsi" w:cstheme="majorHAnsi"/>
                <w:szCs w:val="22"/>
              </w:rPr>
            </w:pPr>
            <w:r w:rsidRPr="0053555E">
              <w:rPr>
                <w:rFonts w:cs="Arial"/>
                <w:szCs w:val="20"/>
              </w:rPr>
              <w:t>35</w:t>
            </w:r>
          </w:p>
        </w:tc>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798D6FE3" w14:textId="1DDA44E4" w:rsidR="005871E9" w:rsidRPr="0053555E" w:rsidRDefault="005871E9" w:rsidP="005871E9">
            <w:pPr>
              <w:jc w:val="center"/>
              <w:rPr>
                <w:rFonts w:asciiTheme="majorHAnsi" w:hAnsiTheme="majorHAnsi" w:cstheme="majorHAnsi"/>
                <w:szCs w:val="22"/>
              </w:rPr>
            </w:pPr>
            <w:r w:rsidRPr="0053555E">
              <w:rPr>
                <w:rFonts w:cs="Arial"/>
                <w:szCs w:val="20"/>
              </w:rPr>
              <w:t>35</w:t>
            </w:r>
          </w:p>
        </w:tc>
        <w:tc>
          <w:tcPr>
            <w:tcW w:w="972" w:type="dxa"/>
            <w:tcBorders>
              <w:top w:val="nil"/>
              <w:left w:val="nil"/>
              <w:bottom w:val="single" w:sz="4" w:space="0" w:color="auto"/>
              <w:right w:val="single" w:sz="4" w:space="0" w:color="auto"/>
            </w:tcBorders>
            <w:shd w:val="clear" w:color="000000" w:fill="FFFFFF"/>
            <w:noWrap/>
            <w:vAlign w:val="center"/>
            <w:hideMark/>
          </w:tcPr>
          <w:p w14:paraId="420A59FD" w14:textId="41FF7C7D" w:rsidR="005871E9" w:rsidRPr="0053555E" w:rsidRDefault="005871E9" w:rsidP="005871E9">
            <w:pPr>
              <w:jc w:val="center"/>
              <w:rPr>
                <w:rFonts w:asciiTheme="majorHAnsi" w:hAnsiTheme="majorHAnsi" w:cstheme="majorHAnsi"/>
                <w:szCs w:val="22"/>
              </w:rPr>
            </w:pPr>
            <w:r w:rsidRPr="0053555E">
              <w:rPr>
                <w:rFonts w:cs="Arial"/>
                <w:szCs w:val="20"/>
              </w:rPr>
              <w:t>45</w:t>
            </w:r>
          </w:p>
        </w:tc>
        <w:tc>
          <w:tcPr>
            <w:tcW w:w="972" w:type="dxa"/>
            <w:tcBorders>
              <w:top w:val="nil"/>
              <w:left w:val="nil"/>
              <w:bottom w:val="single" w:sz="4" w:space="0" w:color="auto"/>
              <w:right w:val="single" w:sz="4" w:space="0" w:color="auto"/>
            </w:tcBorders>
            <w:shd w:val="clear" w:color="000000" w:fill="FFFFFF"/>
            <w:noWrap/>
            <w:vAlign w:val="center"/>
            <w:hideMark/>
          </w:tcPr>
          <w:p w14:paraId="222B28F0" w14:textId="1A619F75" w:rsidR="005871E9" w:rsidRPr="0053555E" w:rsidRDefault="005871E9" w:rsidP="005871E9">
            <w:pPr>
              <w:jc w:val="center"/>
              <w:rPr>
                <w:rFonts w:asciiTheme="majorHAnsi" w:hAnsiTheme="majorHAnsi" w:cstheme="majorHAnsi"/>
                <w:szCs w:val="22"/>
              </w:rPr>
            </w:pPr>
            <w:r w:rsidRPr="0053555E">
              <w:rPr>
                <w:rFonts w:cs="Arial"/>
                <w:szCs w:val="20"/>
              </w:rPr>
              <w:t>46</w:t>
            </w:r>
          </w:p>
        </w:tc>
        <w:tc>
          <w:tcPr>
            <w:tcW w:w="972" w:type="dxa"/>
            <w:tcBorders>
              <w:top w:val="nil"/>
              <w:left w:val="nil"/>
              <w:bottom w:val="single" w:sz="4" w:space="0" w:color="auto"/>
              <w:right w:val="single" w:sz="4" w:space="0" w:color="auto"/>
            </w:tcBorders>
            <w:shd w:val="clear" w:color="000000" w:fill="FFFFFF"/>
            <w:noWrap/>
            <w:vAlign w:val="center"/>
            <w:hideMark/>
          </w:tcPr>
          <w:p w14:paraId="6CCE337C" w14:textId="5F85177D" w:rsidR="005871E9" w:rsidRPr="0053555E" w:rsidRDefault="005871E9" w:rsidP="005871E9">
            <w:pPr>
              <w:jc w:val="center"/>
              <w:rPr>
                <w:rFonts w:asciiTheme="majorHAnsi" w:hAnsiTheme="majorHAnsi" w:cstheme="majorHAnsi"/>
                <w:szCs w:val="22"/>
              </w:rPr>
            </w:pPr>
            <w:r w:rsidRPr="0053555E">
              <w:rPr>
                <w:rFonts w:cs="Arial"/>
                <w:szCs w:val="20"/>
              </w:rPr>
              <w:t>22</w:t>
            </w:r>
          </w:p>
        </w:tc>
        <w:tc>
          <w:tcPr>
            <w:tcW w:w="972" w:type="dxa"/>
            <w:tcBorders>
              <w:top w:val="nil"/>
              <w:left w:val="nil"/>
              <w:bottom w:val="single" w:sz="4" w:space="0" w:color="auto"/>
              <w:right w:val="single" w:sz="4" w:space="0" w:color="auto"/>
            </w:tcBorders>
            <w:shd w:val="clear" w:color="000000" w:fill="FFFFFF"/>
            <w:noWrap/>
            <w:vAlign w:val="center"/>
            <w:hideMark/>
          </w:tcPr>
          <w:p w14:paraId="3D9A1402" w14:textId="1298CCD6" w:rsidR="005871E9" w:rsidRPr="0053555E" w:rsidRDefault="005871E9" w:rsidP="005871E9">
            <w:pPr>
              <w:jc w:val="center"/>
              <w:rPr>
                <w:rFonts w:asciiTheme="majorHAnsi" w:hAnsiTheme="majorHAnsi" w:cstheme="majorHAnsi"/>
                <w:szCs w:val="22"/>
              </w:rPr>
            </w:pPr>
            <w:r w:rsidRPr="0053555E">
              <w:rPr>
                <w:rFonts w:cs="Arial"/>
                <w:szCs w:val="20"/>
              </w:rPr>
              <w:t>38</w:t>
            </w:r>
          </w:p>
        </w:tc>
      </w:tr>
      <w:tr w:rsidR="005871E9" w:rsidRPr="0053555E" w14:paraId="6B4514FF" w14:textId="77777777" w:rsidTr="006A2AA4">
        <w:trPr>
          <w:trHeight w:val="562"/>
        </w:trPr>
        <w:tc>
          <w:tcPr>
            <w:tcW w:w="791" w:type="dxa"/>
            <w:vMerge w:val="restart"/>
            <w:tcBorders>
              <w:top w:val="nil"/>
              <w:left w:val="single" w:sz="4" w:space="0" w:color="auto"/>
              <w:bottom w:val="single" w:sz="4" w:space="0" w:color="auto"/>
              <w:right w:val="single" w:sz="4" w:space="0" w:color="auto"/>
            </w:tcBorders>
            <w:shd w:val="clear" w:color="auto" w:fill="EEECE1" w:themeFill="background2"/>
            <w:noWrap/>
            <w:textDirection w:val="btLr"/>
            <w:vAlign w:val="center"/>
            <w:hideMark/>
          </w:tcPr>
          <w:p w14:paraId="6C315B05" w14:textId="77777777" w:rsidR="005871E9" w:rsidRPr="0053555E" w:rsidRDefault="005871E9" w:rsidP="005871E9">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Spolu</w:t>
            </w:r>
          </w:p>
        </w:tc>
        <w:tc>
          <w:tcPr>
            <w:tcW w:w="1417" w:type="dxa"/>
            <w:tcBorders>
              <w:top w:val="nil"/>
              <w:left w:val="nil"/>
              <w:bottom w:val="single" w:sz="4" w:space="0" w:color="auto"/>
              <w:right w:val="single" w:sz="4" w:space="0" w:color="auto"/>
            </w:tcBorders>
            <w:shd w:val="clear" w:color="auto" w:fill="EEECE1" w:themeFill="background2"/>
            <w:noWrap/>
            <w:vAlign w:val="center"/>
            <w:hideMark/>
          </w:tcPr>
          <w:p w14:paraId="3C7DBC70" w14:textId="77777777" w:rsidR="005871E9" w:rsidRPr="0053555E" w:rsidRDefault="005871E9" w:rsidP="005871E9">
            <w:pPr>
              <w:tabs>
                <w:tab w:val="left" w:pos="9356"/>
              </w:tabs>
              <w:jc w:val="both"/>
              <w:rPr>
                <w:rFonts w:asciiTheme="majorHAnsi" w:eastAsia="Times New Roman" w:hAnsiTheme="majorHAnsi" w:cstheme="majorHAnsi"/>
                <w:b/>
                <w:sz w:val="20"/>
                <w:szCs w:val="22"/>
                <w:lang w:eastAsia="sk-SK"/>
              </w:rPr>
            </w:pPr>
            <w:r w:rsidRPr="0053555E">
              <w:rPr>
                <w:rFonts w:asciiTheme="majorHAnsi" w:eastAsia="Times New Roman" w:hAnsiTheme="majorHAnsi" w:cstheme="majorHAnsi"/>
                <w:b/>
                <w:sz w:val="20"/>
                <w:szCs w:val="22"/>
                <w:lang w:eastAsia="sk-SK"/>
              </w:rPr>
              <w:t>Počet frekventantov</w:t>
            </w:r>
          </w:p>
        </w:tc>
        <w:tc>
          <w:tcPr>
            <w:tcW w:w="972" w:type="dxa"/>
            <w:tcBorders>
              <w:top w:val="single" w:sz="4" w:space="0" w:color="auto"/>
              <w:left w:val="nil"/>
              <w:bottom w:val="single" w:sz="4" w:space="0" w:color="auto"/>
              <w:right w:val="single" w:sz="4" w:space="0" w:color="auto"/>
            </w:tcBorders>
            <w:shd w:val="clear" w:color="auto" w:fill="EEECE1" w:themeFill="background2"/>
            <w:vAlign w:val="center"/>
          </w:tcPr>
          <w:p w14:paraId="3EB2E4A3" w14:textId="3A8745E6" w:rsidR="005871E9" w:rsidRPr="0053555E" w:rsidRDefault="005871E9" w:rsidP="005871E9">
            <w:pPr>
              <w:jc w:val="center"/>
              <w:rPr>
                <w:rFonts w:asciiTheme="majorHAnsi" w:hAnsiTheme="majorHAnsi" w:cstheme="majorHAnsi"/>
                <w:b/>
                <w:bCs/>
                <w:szCs w:val="22"/>
              </w:rPr>
            </w:pPr>
            <w:r w:rsidRPr="0053555E">
              <w:rPr>
                <w:rFonts w:cs="Arial"/>
                <w:b/>
                <w:bCs/>
                <w:szCs w:val="20"/>
              </w:rPr>
              <w:t xml:space="preserve">4 084 </w:t>
            </w:r>
          </w:p>
        </w:tc>
        <w:tc>
          <w:tcPr>
            <w:tcW w:w="97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FFA13C9" w14:textId="4C95A417" w:rsidR="005871E9" w:rsidRPr="0053555E" w:rsidRDefault="005871E9" w:rsidP="005871E9">
            <w:pPr>
              <w:jc w:val="center"/>
              <w:rPr>
                <w:rFonts w:asciiTheme="majorHAnsi" w:hAnsiTheme="majorHAnsi" w:cstheme="majorHAnsi"/>
                <w:b/>
                <w:bCs/>
                <w:szCs w:val="22"/>
              </w:rPr>
            </w:pPr>
            <w:r w:rsidRPr="0053555E">
              <w:rPr>
                <w:rFonts w:cs="Arial"/>
                <w:b/>
                <w:bCs/>
                <w:szCs w:val="20"/>
              </w:rPr>
              <w:t xml:space="preserve">3 904 </w:t>
            </w:r>
          </w:p>
        </w:tc>
        <w:tc>
          <w:tcPr>
            <w:tcW w:w="972"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7D5E64D" w14:textId="53132D40" w:rsidR="005871E9" w:rsidRPr="0053555E" w:rsidRDefault="005871E9" w:rsidP="005871E9">
            <w:pPr>
              <w:jc w:val="center"/>
              <w:rPr>
                <w:rFonts w:asciiTheme="majorHAnsi" w:hAnsiTheme="majorHAnsi" w:cstheme="majorHAnsi"/>
                <w:b/>
                <w:bCs/>
                <w:szCs w:val="22"/>
              </w:rPr>
            </w:pPr>
            <w:r w:rsidRPr="0053555E">
              <w:rPr>
                <w:rFonts w:cs="Arial"/>
                <w:b/>
                <w:bCs/>
                <w:szCs w:val="20"/>
              </w:rPr>
              <w:t xml:space="preserve">3 568 </w:t>
            </w:r>
          </w:p>
        </w:tc>
        <w:tc>
          <w:tcPr>
            <w:tcW w:w="972" w:type="dxa"/>
            <w:tcBorders>
              <w:top w:val="nil"/>
              <w:left w:val="nil"/>
              <w:bottom w:val="single" w:sz="4" w:space="0" w:color="auto"/>
              <w:right w:val="single" w:sz="4" w:space="0" w:color="auto"/>
            </w:tcBorders>
            <w:shd w:val="clear" w:color="auto" w:fill="EEECE1" w:themeFill="background2"/>
            <w:noWrap/>
            <w:vAlign w:val="center"/>
            <w:hideMark/>
          </w:tcPr>
          <w:p w14:paraId="13F1018D" w14:textId="3B58F0A2" w:rsidR="005871E9" w:rsidRPr="0053555E" w:rsidRDefault="005871E9" w:rsidP="005871E9">
            <w:pPr>
              <w:jc w:val="center"/>
              <w:rPr>
                <w:rFonts w:asciiTheme="majorHAnsi" w:hAnsiTheme="majorHAnsi" w:cstheme="majorHAnsi"/>
                <w:b/>
                <w:bCs/>
                <w:szCs w:val="22"/>
              </w:rPr>
            </w:pPr>
            <w:r w:rsidRPr="0053555E">
              <w:rPr>
                <w:rFonts w:cs="Arial"/>
                <w:b/>
                <w:bCs/>
                <w:szCs w:val="20"/>
              </w:rPr>
              <w:t xml:space="preserve">4 090 </w:t>
            </w:r>
          </w:p>
        </w:tc>
        <w:tc>
          <w:tcPr>
            <w:tcW w:w="972" w:type="dxa"/>
            <w:tcBorders>
              <w:top w:val="nil"/>
              <w:left w:val="nil"/>
              <w:bottom w:val="single" w:sz="4" w:space="0" w:color="auto"/>
              <w:right w:val="single" w:sz="4" w:space="0" w:color="auto"/>
            </w:tcBorders>
            <w:shd w:val="clear" w:color="auto" w:fill="EEECE1" w:themeFill="background2"/>
            <w:noWrap/>
            <w:vAlign w:val="center"/>
            <w:hideMark/>
          </w:tcPr>
          <w:p w14:paraId="1FD52F14" w14:textId="4B3D756C" w:rsidR="005871E9" w:rsidRPr="0053555E" w:rsidRDefault="005871E9" w:rsidP="005871E9">
            <w:pPr>
              <w:jc w:val="center"/>
              <w:rPr>
                <w:rFonts w:asciiTheme="majorHAnsi" w:hAnsiTheme="majorHAnsi" w:cstheme="majorHAnsi"/>
                <w:b/>
                <w:bCs/>
                <w:szCs w:val="22"/>
              </w:rPr>
            </w:pPr>
            <w:r w:rsidRPr="0053555E">
              <w:rPr>
                <w:rFonts w:cs="Arial"/>
                <w:b/>
                <w:bCs/>
                <w:szCs w:val="20"/>
              </w:rPr>
              <w:t xml:space="preserve">3 917 </w:t>
            </w:r>
          </w:p>
        </w:tc>
        <w:tc>
          <w:tcPr>
            <w:tcW w:w="972" w:type="dxa"/>
            <w:tcBorders>
              <w:top w:val="nil"/>
              <w:left w:val="nil"/>
              <w:bottom w:val="single" w:sz="4" w:space="0" w:color="auto"/>
              <w:right w:val="single" w:sz="4" w:space="0" w:color="auto"/>
            </w:tcBorders>
            <w:shd w:val="clear" w:color="auto" w:fill="EEECE1" w:themeFill="background2"/>
            <w:noWrap/>
            <w:vAlign w:val="center"/>
            <w:hideMark/>
          </w:tcPr>
          <w:p w14:paraId="507BD63A" w14:textId="027F81F9" w:rsidR="005871E9" w:rsidRPr="0053555E" w:rsidRDefault="005871E9" w:rsidP="005871E9">
            <w:pPr>
              <w:jc w:val="center"/>
              <w:rPr>
                <w:rFonts w:asciiTheme="majorHAnsi" w:hAnsiTheme="majorHAnsi" w:cstheme="majorHAnsi"/>
                <w:b/>
                <w:bCs/>
                <w:szCs w:val="22"/>
              </w:rPr>
            </w:pPr>
            <w:r w:rsidRPr="0053555E">
              <w:rPr>
                <w:rFonts w:cs="Arial"/>
                <w:b/>
                <w:bCs/>
                <w:szCs w:val="20"/>
              </w:rPr>
              <w:t xml:space="preserve">2 341 </w:t>
            </w:r>
          </w:p>
        </w:tc>
        <w:tc>
          <w:tcPr>
            <w:tcW w:w="972" w:type="dxa"/>
            <w:tcBorders>
              <w:top w:val="nil"/>
              <w:left w:val="nil"/>
              <w:bottom w:val="single" w:sz="4" w:space="0" w:color="auto"/>
              <w:right w:val="single" w:sz="4" w:space="0" w:color="auto"/>
            </w:tcBorders>
            <w:shd w:val="clear" w:color="auto" w:fill="EEECE1" w:themeFill="background2"/>
            <w:noWrap/>
            <w:vAlign w:val="center"/>
            <w:hideMark/>
          </w:tcPr>
          <w:p w14:paraId="39D63F3F" w14:textId="6E369C6E" w:rsidR="005871E9" w:rsidRPr="0053555E" w:rsidRDefault="005871E9" w:rsidP="005871E9">
            <w:pPr>
              <w:jc w:val="center"/>
              <w:rPr>
                <w:rFonts w:asciiTheme="majorHAnsi" w:hAnsiTheme="majorHAnsi" w:cstheme="majorHAnsi"/>
                <w:b/>
                <w:bCs/>
                <w:szCs w:val="22"/>
              </w:rPr>
            </w:pPr>
            <w:r w:rsidRPr="0053555E">
              <w:rPr>
                <w:rFonts w:cs="Arial"/>
                <w:b/>
                <w:bCs/>
                <w:szCs w:val="20"/>
              </w:rPr>
              <w:t>3 8</w:t>
            </w:r>
            <w:r w:rsidR="00695A91">
              <w:rPr>
                <w:rFonts w:cs="Arial"/>
                <w:b/>
                <w:bCs/>
                <w:szCs w:val="20"/>
              </w:rPr>
              <w:t>55</w:t>
            </w:r>
            <w:r w:rsidRPr="0053555E">
              <w:rPr>
                <w:rFonts w:cs="Arial"/>
                <w:b/>
                <w:bCs/>
                <w:szCs w:val="20"/>
              </w:rPr>
              <w:t xml:space="preserve"> </w:t>
            </w:r>
          </w:p>
        </w:tc>
      </w:tr>
      <w:tr w:rsidR="005871E9" w:rsidRPr="0053555E" w14:paraId="0F2E0C5A" w14:textId="77777777" w:rsidTr="006A2AA4">
        <w:trPr>
          <w:trHeight w:val="562"/>
        </w:trPr>
        <w:tc>
          <w:tcPr>
            <w:tcW w:w="791" w:type="dxa"/>
            <w:vMerge/>
            <w:tcBorders>
              <w:top w:val="nil"/>
              <w:left w:val="single" w:sz="4" w:space="0" w:color="auto"/>
              <w:bottom w:val="single" w:sz="4" w:space="0" w:color="auto"/>
              <w:right w:val="single" w:sz="4" w:space="0" w:color="auto"/>
            </w:tcBorders>
            <w:shd w:val="clear" w:color="auto" w:fill="EEECE1" w:themeFill="background2"/>
            <w:vAlign w:val="center"/>
            <w:hideMark/>
          </w:tcPr>
          <w:p w14:paraId="544374EB" w14:textId="77777777" w:rsidR="005871E9" w:rsidRPr="0053555E" w:rsidRDefault="005871E9" w:rsidP="005871E9">
            <w:pPr>
              <w:tabs>
                <w:tab w:val="left" w:pos="9356"/>
              </w:tabs>
              <w:jc w:val="both"/>
              <w:rPr>
                <w:rFonts w:asciiTheme="majorHAnsi" w:eastAsia="Times New Roman" w:hAnsiTheme="majorHAnsi" w:cstheme="majorHAnsi"/>
                <w:b/>
                <w:bCs/>
                <w:sz w:val="20"/>
                <w:szCs w:val="20"/>
                <w:lang w:eastAsia="sk-SK"/>
              </w:rPr>
            </w:pPr>
          </w:p>
        </w:tc>
        <w:tc>
          <w:tcPr>
            <w:tcW w:w="1417" w:type="dxa"/>
            <w:tcBorders>
              <w:top w:val="nil"/>
              <w:left w:val="nil"/>
              <w:bottom w:val="single" w:sz="4" w:space="0" w:color="auto"/>
              <w:right w:val="single" w:sz="4" w:space="0" w:color="auto"/>
            </w:tcBorders>
            <w:shd w:val="clear" w:color="auto" w:fill="EEECE1" w:themeFill="background2"/>
            <w:vAlign w:val="center"/>
            <w:hideMark/>
          </w:tcPr>
          <w:p w14:paraId="3AE945FF" w14:textId="77777777" w:rsidR="005871E9" w:rsidRPr="0053555E" w:rsidRDefault="005871E9" w:rsidP="005871E9">
            <w:pPr>
              <w:tabs>
                <w:tab w:val="left" w:pos="9356"/>
              </w:tabs>
              <w:jc w:val="both"/>
              <w:rPr>
                <w:rFonts w:asciiTheme="majorHAnsi" w:eastAsia="Times New Roman" w:hAnsiTheme="majorHAnsi" w:cstheme="majorHAnsi"/>
                <w:b/>
                <w:sz w:val="20"/>
                <w:szCs w:val="22"/>
                <w:lang w:eastAsia="sk-SK"/>
              </w:rPr>
            </w:pPr>
            <w:r w:rsidRPr="0053555E">
              <w:rPr>
                <w:rFonts w:asciiTheme="majorHAnsi" w:eastAsia="Times New Roman" w:hAnsiTheme="majorHAnsi" w:cstheme="majorHAnsi"/>
                <w:b/>
                <w:sz w:val="20"/>
                <w:szCs w:val="22"/>
                <w:lang w:eastAsia="sk-SK"/>
              </w:rPr>
              <w:t>Počet kurzov</w:t>
            </w:r>
          </w:p>
        </w:tc>
        <w:tc>
          <w:tcPr>
            <w:tcW w:w="972" w:type="dxa"/>
            <w:tcBorders>
              <w:top w:val="single" w:sz="4" w:space="0" w:color="auto"/>
              <w:left w:val="nil"/>
              <w:bottom w:val="single" w:sz="4" w:space="0" w:color="auto"/>
              <w:right w:val="single" w:sz="4" w:space="0" w:color="auto"/>
            </w:tcBorders>
            <w:shd w:val="clear" w:color="auto" w:fill="EEECE1" w:themeFill="background2"/>
            <w:vAlign w:val="center"/>
          </w:tcPr>
          <w:p w14:paraId="222F0D52" w14:textId="0D188318" w:rsidR="005871E9" w:rsidRPr="0053555E" w:rsidRDefault="005871E9" w:rsidP="005871E9">
            <w:pPr>
              <w:jc w:val="center"/>
              <w:rPr>
                <w:rFonts w:asciiTheme="majorHAnsi" w:hAnsiTheme="majorHAnsi" w:cstheme="majorHAnsi"/>
                <w:b/>
                <w:bCs/>
                <w:szCs w:val="22"/>
              </w:rPr>
            </w:pPr>
            <w:r w:rsidRPr="0053555E">
              <w:rPr>
                <w:rFonts w:cs="Arial"/>
                <w:b/>
                <w:bCs/>
                <w:szCs w:val="20"/>
              </w:rPr>
              <w:t>140</w:t>
            </w:r>
          </w:p>
        </w:tc>
        <w:tc>
          <w:tcPr>
            <w:tcW w:w="97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21ED9C9" w14:textId="79D3401C" w:rsidR="005871E9" w:rsidRPr="0053555E" w:rsidRDefault="005871E9" w:rsidP="005871E9">
            <w:pPr>
              <w:jc w:val="center"/>
              <w:rPr>
                <w:rFonts w:asciiTheme="majorHAnsi" w:hAnsiTheme="majorHAnsi" w:cstheme="majorHAnsi"/>
                <w:b/>
                <w:bCs/>
                <w:szCs w:val="22"/>
              </w:rPr>
            </w:pPr>
            <w:r w:rsidRPr="0053555E">
              <w:rPr>
                <w:rFonts w:cs="Arial"/>
                <w:b/>
                <w:bCs/>
                <w:szCs w:val="20"/>
              </w:rPr>
              <w:t>130</w:t>
            </w:r>
          </w:p>
        </w:tc>
        <w:tc>
          <w:tcPr>
            <w:tcW w:w="972"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7495A312" w14:textId="57741495" w:rsidR="005871E9" w:rsidRPr="0053555E" w:rsidRDefault="005871E9" w:rsidP="005871E9">
            <w:pPr>
              <w:jc w:val="center"/>
              <w:rPr>
                <w:rFonts w:asciiTheme="majorHAnsi" w:hAnsiTheme="majorHAnsi" w:cstheme="majorHAnsi"/>
                <w:b/>
                <w:bCs/>
                <w:szCs w:val="22"/>
              </w:rPr>
            </w:pPr>
            <w:r w:rsidRPr="0053555E">
              <w:rPr>
                <w:rFonts w:cs="Arial"/>
                <w:b/>
                <w:bCs/>
                <w:szCs w:val="20"/>
              </w:rPr>
              <w:t>139</w:t>
            </w:r>
          </w:p>
        </w:tc>
        <w:tc>
          <w:tcPr>
            <w:tcW w:w="972" w:type="dxa"/>
            <w:tcBorders>
              <w:top w:val="nil"/>
              <w:left w:val="nil"/>
              <w:bottom w:val="single" w:sz="4" w:space="0" w:color="auto"/>
              <w:right w:val="single" w:sz="4" w:space="0" w:color="auto"/>
            </w:tcBorders>
            <w:shd w:val="clear" w:color="auto" w:fill="EEECE1" w:themeFill="background2"/>
            <w:noWrap/>
            <w:vAlign w:val="center"/>
            <w:hideMark/>
          </w:tcPr>
          <w:p w14:paraId="2B9DEC71" w14:textId="78136E53" w:rsidR="005871E9" w:rsidRPr="0053555E" w:rsidRDefault="005871E9" w:rsidP="005871E9">
            <w:pPr>
              <w:jc w:val="center"/>
              <w:rPr>
                <w:rFonts w:asciiTheme="majorHAnsi" w:hAnsiTheme="majorHAnsi" w:cstheme="majorHAnsi"/>
                <w:b/>
                <w:bCs/>
                <w:szCs w:val="22"/>
              </w:rPr>
            </w:pPr>
            <w:r w:rsidRPr="0053555E">
              <w:rPr>
                <w:rFonts w:cs="Arial"/>
                <w:b/>
                <w:bCs/>
                <w:szCs w:val="20"/>
              </w:rPr>
              <w:t>174</w:t>
            </w:r>
          </w:p>
        </w:tc>
        <w:tc>
          <w:tcPr>
            <w:tcW w:w="972" w:type="dxa"/>
            <w:tcBorders>
              <w:top w:val="nil"/>
              <w:left w:val="nil"/>
              <w:bottom w:val="single" w:sz="4" w:space="0" w:color="auto"/>
              <w:right w:val="single" w:sz="4" w:space="0" w:color="auto"/>
            </w:tcBorders>
            <w:shd w:val="clear" w:color="auto" w:fill="EEECE1" w:themeFill="background2"/>
            <w:noWrap/>
            <w:vAlign w:val="center"/>
            <w:hideMark/>
          </w:tcPr>
          <w:p w14:paraId="6484820A" w14:textId="692DBCDF" w:rsidR="005871E9" w:rsidRPr="0053555E" w:rsidRDefault="005871E9" w:rsidP="005871E9">
            <w:pPr>
              <w:jc w:val="center"/>
              <w:rPr>
                <w:rFonts w:asciiTheme="majorHAnsi" w:hAnsiTheme="majorHAnsi" w:cstheme="majorHAnsi"/>
                <w:b/>
                <w:bCs/>
                <w:szCs w:val="22"/>
              </w:rPr>
            </w:pPr>
            <w:r w:rsidRPr="0053555E">
              <w:rPr>
                <w:rFonts w:cs="Arial"/>
                <w:b/>
                <w:bCs/>
                <w:szCs w:val="20"/>
              </w:rPr>
              <w:t>169</w:t>
            </w:r>
          </w:p>
        </w:tc>
        <w:tc>
          <w:tcPr>
            <w:tcW w:w="972" w:type="dxa"/>
            <w:tcBorders>
              <w:top w:val="nil"/>
              <w:left w:val="nil"/>
              <w:bottom w:val="single" w:sz="4" w:space="0" w:color="auto"/>
              <w:right w:val="single" w:sz="4" w:space="0" w:color="auto"/>
            </w:tcBorders>
            <w:shd w:val="clear" w:color="auto" w:fill="EEECE1" w:themeFill="background2"/>
            <w:noWrap/>
            <w:vAlign w:val="center"/>
            <w:hideMark/>
          </w:tcPr>
          <w:p w14:paraId="4A7DB56A" w14:textId="7B352E66" w:rsidR="005871E9" w:rsidRPr="0053555E" w:rsidRDefault="005871E9" w:rsidP="005871E9">
            <w:pPr>
              <w:jc w:val="center"/>
              <w:rPr>
                <w:rFonts w:asciiTheme="majorHAnsi" w:hAnsiTheme="majorHAnsi" w:cstheme="majorHAnsi"/>
                <w:b/>
                <w:bCs/>
                <w:szCs w:val="22"/>
              </w:rPr>
            </w:pPr>
            <w:r w:rsidRPr="0053555E">
              <w:rPr>
                <w:rFonts w:cs="Arial"/>
                <w:b/>
                <w:bCs/>
                <w:szCs w:val="20"/>
              </w:rPr>
              <w:t>101</w:t>
            </w:r>
          </w:p>
        </w:tc>
        <w:tc>
          <w:tcPr>
            <w:tcW w:w="972" w:type="dxa"/>
            <w:tcBorders>
              <w:top w:val="nil"/>
              <w:left w:val="nil"/>
              <w:bottom w:val="single" w:sz="4" w:space="0" w:color="auto"/>
              <w:right w:val="single" w:sz="4" w:space="0" w:color="auto"/>
            </w:tcBorders>
            <w:shd w:val="clear" w:color="auto" w:fill="EEECE1" w:themeFill="background2"/>
            <w:noWrap/>
            <w:vAlign w:val="center"/>
            <w:hideMark/>
          </w:tcPr>
          <w:p w14:paraId="53A5800B" w14:textId="2F5D0B15" w:rsidR="005871E9" w:rsidRPr="0053555E" w:rsidRDefault="00695A91" w:rsidP="005871E9">
            <w:pPr>
              <w:jc w:val="center"/>
              <w:rPr>
                <w:rFonts w:asciiTheme="majorHAnsi" w:hAnsiTheme="majorHAnsi" w:cstheme="majorHAnsi"/>
                <w:b/>
                <w:bCs/>
                <w:szCs w:val="22"/>
              </w:rPr>
            </w:pPr>
            <w:r>
              <w:rPr>
                <w:rFonts w:cs="Arial"/>
                <w:b/>
                <w:bCs/>
                <w:szCs w:val="20"/>
              </w:rPr>
              <w:t>130</w:t>
            </w:r>
          </w:p>
        </w:tc>
      </w:tr>
    </w:tbl>
    <w:p w14:paraId="749C90D0" w14:textId="77777777" w:rsidR="002071AC" w:rsidRPr="0053555E" w:rsidRDefault="002071AC" w:rsidP="00324438">
      <w:pPr>
        <w:tabs>
          <w:tab w:val="left" w:pos="9356"/>
        </w:tabs>
        <w:jc w:val="both"/>
        <w:rPr>
          <w:rFonts w:asciiTheme="majorHAnsi" w:hAnsiTheme="majorHAnsi" w:cstheme="majorHAnsi"/>
        </w:rPr>
      </w:pPr>
    </w:p>
    <w:p w14:paraId="356C7DA4" w14:textId="77777777" w:rsidR="002E1BFD" w:rsidRPr="0053555E" w:rsidRDefault="002E1BFD" w:rsidP="00324438">
      <w:pPr>
        <w:tabs>
          <w:tab w:val="left" w:pos="9356"/>
        </w:tabs>
        <w:jc w:val="both"/>
        <w:rPr>
          <w:rFonts w:asciiTheme="majorHAnsi" w:hAnsiTheme="majorHAnsi" w:cstheme="majorHAnsi"/>
        </w:rPr>
      </w:pPr>
    </w:p>
    <w:p w14:paraId="1E1CBCA5" w14:textId="30E27656" w:rsidR="00484834" w:rsidRDefault="001A1CAA" w:rsidP="000E3322">
      <w:pPr>
        <w:pStyle w:val="Popis"/>
      </w:pPr>
      <w:bookmarkStart w:id="185" w:name="_Ref474780388"/>
      <w:bookmarkStart w:id="186" w:name="_Toc127593348"/>
      <w:r w:rsidRPr="0053555E">
        <w:t xml:space="preserve">Graf č. </w:t>
      </w:r>
      <w:r w:rsidR="007B5953">
        <w:fldChar w:fldCharType="begin"/>
      </w:r>
      <w:r w:rsidR="007B5953">
        <w:instrText xml:space="preserve"> SEQ Graf_č. \* ARABIC </w:instrText>
      </w:r>
      <w:r w:rsidR="007B5953">
        <w:fldChar w:fldCharType="separate"/>
      </w:r>
      <w:r w:rsidR="00EE1B59">
        <w:rPr>
          <w:noProof/>
        </w:rPr>
        <w:t>20</w:t>
      </w:r>
      <w:r w:rsidR="007B5953">
        <w:rPr>
          <w:noProof/>
        </w:rPr>
        <w:fldChar w:fldCharType="end"/>
      </w:r>
      <w:bookmarkEnd w:id="185"/>
      <w:r w:rsidR="002071AC" w:rsidRPr="0053555E">
        <w:t xml:space="preserve">: Počet frekventantov </w:t>
      </w:r>
      <w:r w:rsidR="00F471CB" w:rsidRPr="0053555E">
        <w:t>vzdelávacích programov</w:t>
      </w:r>
      <w:r w:rsidR="002071AC" w:rsidRPr="0053555E">
        <w:t xml:space="preserve"> ďalšieh</w:t>
      </w:r>
      <w:r w:rsidR="00A1796C" w:rsidRPr="0053555E">
        <w:t xml:space="preserve">o vzdelávania za </w:t>
      </w:r>
      <w:r w:rsidR="00DB4444" w:rsidRPr="0053555E">
        <w:t xml:space="preserve">ostatných </w:t>
      </w:r>
      <w:r w:rsidR="00E07D6E" w:rsidRPr="0053555E">
        <w:t>sedem</w:t>
      </w:r>
      <w:r w:rsidR="00A1796C" w:rsidRPr="0053555E">
        <w:t> </w:t>
      </w:r>
      <w:r w:rsidR="00CF72E7" w:rsidRPr="0053555E">
        <w:t xml:space="preserve">akademických </w:t>
      </w:r>
      <w:r w:rsidR="002071AC" w:rsidRPr="0053555E">
        <w:t>rokov</w:t>
      </w:r>
      <w:bookmarkEnd w:id="186"/>
    </w:p>
    <w:p w14:paraId="7FDA1403" w14:textId="0E2CEA50" w:rsidR="00695A91" w:rsidRDefault="00695A91" w:rsidP="005B7D45">
      <w:pPr>
        <w:jc w:val="center"/>
      </w:pPr>
      <w:r w:rsidRPr="00695A91">
        <w:rPr>
          <w:rFonts w:asciiTheme="majorHAnsi" w:hAnsiTheme="majorHAnsi" w:cstheme="majorHAnsi"/>
          <w:noProof/>
          <w:lang w:eastAsia="sk-SK"/>
        </w:rPr>
        <w:drawing>
          <wp:inline distT="0" distB="0" distL="0" distR="0" wp14:anchorId="6C25B948" wp14:editId="6F37C813">
            <wp:extent cx="5076825" cy="3000375"/>
            <wp:effectExtent l="0" t="0" r="0" b="0"/>
            <wp:docPr id="12" name="Graf 12">
              <a:extLst xmlns:a="http://schemas.openxmlformats.org/drawingml/2006/main">
                <a:ext uri="{FF2B5EF4-FFF2-40B4-BE49-F238E27FC236}">
                  <a16:creationId xmlns:a16="http://schemas.microsoft.com/office/drawing/2014/main" id="{00000000-0008-0000-3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B38DEF2" w14:textId="77777777" w:rsidR="00695A91" w:rsidRPr="00695A91" w:rsidRDefault="00695A91" w:rsidP="00695A91"/>
    <w:p w14:paraId="7FD0FDB0" w14:textId="5268AC46" w:rsidR="00122F7C" w:rsidRPr="0053555E" w:rsidRDefault="00122F7C" w:rsidP="00122F7C">
      <w:pPr>
        <w:jc w:val="center"/>
      </w:pPr>
    </w:p>
    <w:p w14:paraId="72E3021E" w14:textId="1A840E97" w:rsidR="00B17672" w:rsidRPr="0053555E" w:rsidRDefault="00E07D6E" w:rsidP="00B17672">
      <w:pPr>
        <w:tabs>
          <w:tab w:val="left" w:pos="9356"/>
        </w:tabs>
        <w:jc w:val="both"/>
        <w:rPr>
          <w:rFonts w:asciiTheme="majorHAnsi" w:hAnsiTheme="majorHAnsi" w:cstheme="majorHAnsi"/>
        </w:rPr>
      </w:pPr>
      <w:r w:rsidRPr="0053555E">
        <w:rPr>
          <w:rFonts w:asciiTheme="majorHAnsi" w:hAnsiTheme="majorHAnsi" w:cstheme="majorHAnsi"/>
        </w:rPr>
        <w:t xml:space="preserve">Z prezentovaných ukazovateľov je možné konštatovať, že </w:t>
      </w:r>
      <w:r w:rsidR="00584D20">
        <w:rPr>
          <w:rFonts w:asciiTheme="majorHAnsi" w:hAnsiTheme="majorHAnsi" w:cstheme="majorHAnsi"/>
        </w:rPr>
        <w:t>v období</w:t>
      </w:r>
      <w:r w:rsidRPr="0053555E">
        <w:rPr>
          <w:rFonts w:asciiTheme="majorHAnsi" w:hAnsiTheme="majorHAnsi" w:cstheme="majorHAnsi"/>
        </w:rPr>
        <w:t xml:space="preserve"> pandémi</w:t>
      </w:r>
      <w:r w:rsidR="00584D20">
        <w:rPr>
          <w:rFonts w:asciiTheme="majorHAnsi" w:hAnsiTheme="majorHAnsi" w:cstheme="majorHAnsi"/>
        </w:rPr>
        <w:t>e</w:t>
      </w:r>
      <w:r w:rsidRPr="0053555E">
        <w:rPr>
          <w:rFonts w:asciiTheme="majorHAnsi" w:hAnsiTheme="majorHAnsi" w:cstheme="majorHAnsi"/>
        </w:rPr>
        <w:t xml:space="preserve"> COVID-19 </w:t>
      </w:r>
      <w:r w:rsidR="0084474F">
        <w:rPr>
          <w:rFonts w:asciiTheme="majorHAnsi" w:hAnsiTheme="majorHAnsi" w:cstheme="majorHAnsi"/>
        </w:rPr>
        <w:t>sa STU prispôsobila novej situácii</w:t>
      </w:r>
      <w:r w:rsidR="00584D20">
        <w:rPr>
          <w:rFonts w:asciiTheme="majorHAnsi" w:hAnsiTheme="majorHAnsi" w:cstheme="majorHAnsi"/>
        </w:rPr>
        <w:t xml:space="preserve"> aj v oblasti poskytovania ďalšieho vzdelávania</w:t>
      </w:r>
      <w:r w:rsidR="00D117FF">
        <w:rPr>
          <w:rFonts w:asciiTheme="majorHAnsi" w:hAnsiTheme="majorHAnsi" w:cstheme="majorHAnsi"/>
        </w:rPr>
        <w:t>.</w:t>
      </w:r>
      <w:r w:rsidR="003260FE" w:rsidRPr="0053555E">
        <w:rPr>
          <w:rFonts w:asciiTheme="majorHAnsi" w:hAnsiTheme="majorHAnsi" w:cstheme="majorHAnsi"/>
        </w:rPr>
        <w:t xml:space="preserve"> </w:t>
      </w:r>
      <w:r w:rsidR="00302980">
        <w:rPr>
          <w:rFonts w:asciiTheme="majorHAnsi" w:hAnsiTheme="majorHAnsi" w:cstheme="majorHAnsi"/>
        </w:rPr>
        <w:t xml:space="preserve">V akademickom roku 2021/2022 bolo na </w:t>
      </w:r>
      <w:r w:rsidR="009639F5" w:rsidRPr="0053555E">
        <w:rPr>
          <w:rFonts w:asciiTheme="majorHAnsi" w:hAnsiTheme="majorHAnsi" w:cstheme="majorHAnsi"/>
        </w:rPr>
        <w:t>STU</w:t>
      </w:r>
      <w:r w:rsidR="0001678D" w:rsidRPr="0053555E">
        <w:rPr>
          <w:rFonts w:asciiTheme="majorHAnsi" w:hAnsiTheme="majorHAnsi" w:cstheme="majorHAnsi"/>
        </w:rPr>
        <w:t xml:space="preserve"> </w:t>
      </w:r>
      <w:r w:rsidR="00302980">
        <w:rPr>
          <w:rFonts w:asciiTheme="majorHAnsi" w:hAnsiTheme="majorHAnsi" w:cstheme="majorHAnsi"/>
        </w:rPr>
        <w:t>poskytnutých</w:t>
      </w:r>
      <w:r w:rsidR="00021295" w:rsidRPr="0053555E">
        <w:rPr>
          <w:rFonts w:asciiTheme="majorHAnsi" w:hAnsiTheme="majorHAnsi" w:cstheme="majorHAnsi"/>
        </w:rPr>
        <w:t xml:space="preserve"> </w:t>
      </w:r>
      <w:r w:rsidR="00A003FB" w:rsidRPr="001344DA">
        <w:rPr>
          <w:rFonts w:asciiTheme="majorHAnsi" w:hAnsiTheme="majorHAnsi" w:cstheme="majorHAnsi"/>
          <w:b/>
        </w:rPr>
        <w:t>o </w:t>
      </w:r>
      <w:r w:rsidR="00625845" w:rsidRPr="001344DA">
        <w:rPr>
          <w:rFonts w:asciiTheme="majorHAnsi" w:hAnsiTheme="majorHAnsi" w:cstheme="majorHAnsi"/>
          <w:b/>
        </w:rPr>
        <w:t>29</w:t>
      </w:r>
      <w:r w:rsidR="00A003FB" w:rsidRPr="001344DA">
        <w:rPr>
          <w:rFonts w:asciiTheme="majorHAnsi" w:hAnsiTheme="majorHAnsi" w:cstheme="majorHAnsi"/>
          <w:b/>
        </w:rPr>
        <w:t xml:space="preserve"> </w:t>
      </w:r>
      <w:r w:rsidR="000E3A6F" w:rsidRPr="001344DA">
        <w:rPr>
          <w:rFonts w:asciiTheme="majorHAnsi" w:hAnsiTheme="majorHAnsi" w:cstheme="majorHAnsi"/>
          <w:b/>
        </w:rPr>
        <w:t xml:space="preserve">kurzov </w:t>
      </w:r>
      <w:r w:rsidR="00272C9F" w:rsidRPr="001344DA">
        <w:rPr>
          <w:rFonts w:asciiTheme="majorHAnsi" w:hAnsiTheme="majorHAnsi" w:cstheme="majorHAnsi"/>
          <w:b/>
        </w:rPr>
        <w:t xml:space="preserve">vzdelávacích programov </w:t>
      </w:r>
      <w:r w:rsidR="0051409B" w:rsidRPr="001344DA">
        <w:rPr>
          <w:rFonts w:asciiTheme="majorHAnsi" w:hAnsiTheme="majorHAnsi" w:cstheme="majorHAnsi"/>
          <w:b/>
        </w:rPr>
        <w:t>via</w:t>
      </w:r>
      <w:r w:rsidR="0051409B">
        <w:rPr>
          <w:rFonts w:asciiTheme="majorHAnsi" w:hAnsiTheme="majorHAnsi" w:cstheme="majorHAnsi"/>
        </w:rPr>
        <w:t xml:space="preserve">c </w:t>
      </w:r>
      <w:r w:rsidR="000E3A6F" w:rsidRPr="0053555E">
        <w:rPr>
          <w:rFonts w:asciiTheme="majorHAnsi" w:hAnsiTheme="majorHAnsi" w:cstheme="majorHAnsi"/>
        </w:rPr>
        <w:t xml:space="preserve">a zúčastnilo sa ich </w:t>
      </w:r>
      <w:r w:rsidR="000E3A6F" w:rsidRPr="001344DA">
        <w:rPr>
          <w:rFonts w:asciiTheme="majorHAnsi" w:hAnsiTheme="majorHAnsi" w:cstheme="majorHAnsi"/>
          <w:b/>
        </w:rPr>
        <w:t>o 1</w:t>
      </w:r>
      <w:r w:rsidR="00FF44B2" w:rsidRPr="001344DA">
        <w:rPr>
          <w:rFonts w:asciiTheme="majorHAnsi" w:hAnsiTheme="majorHAnsi" w:cstheme="majorHAnsi"/>
          <w:b/>
        </w:rPr>
        <w:t> </w:t>
      </w:r>
      <w:r w:rsidR="000E3A6F" w:rsidRPr="001344DA">
        <w:rPr>
          <w:rFonts w:asciiTheme="majorHAnsi" w:hAnsiTheme="majorHAnsi" w:cstheme="majorHAnsi"/>
          <w:b/>
        </w:rPr>
        <w:t>5</w:t>
      </w:r>
      <w:r w:rsidR="0051409B" w:rsidRPr="001344DA">
        <w:rPr>
          <w:rFonts w:asciiTheme="majorHAnsi" w:hAnsiTheme="majorHAnsi" w:cstheme="majorHAnsi"/>
          <w:b/>
        </w:rPr>
        <w:t>14</w:t>
      </w:r>
      <w:r w:rsidR="000E3A6F" w:rsidRPr="001344DA">
        <w:rPr>
          <w:rFonts w:asciiTheme="majorHAnsi" w:hAnsiTheme="majorHAnsi" w:cstheme="majorHAnsi"/>
          <w:b/>
        </w:rPr>
        <w:t xml:space="preserve"> </w:t>
      </w:r>
      <w:r w:rsidR="00FF44B2" w:rsidRPr="001344DA">
        <w:rPr>
          <w:rFonts w:asciiTheme="majorHAnsi" w:hAnsiTheme="majorHAnsi" w:cstheme="majorHAnsi"/>
          <w:b/>
        </w:rPr>
        <w:t>frekventantov viac</w:t>
      </w:r>
      <w:r w:rsidR="00FF44B2" w:rsidRPr="0053555E">
        <w:rPr>
          <w:rFonts w:asciiTheme="majorHAnsi" w:hAnsiTheme="majorHAnsi" w:cstheme="majorHAnsi"/>
        </w:rPr>
        <w:t xml:space="preserve"> </w:t>
      </w:r>
      <w:r w:rsidR="00FF44B2">
        <w:rPr>
          <w:rFonts w:asciiTheme="majorHAnsi" w:hAnsiTheme="majorHAnsi" w:cstheme="majorHAnsi"/>
        </w:rPr>
        <w:t>v</w:t>
      </w:r>
      <w:r w:rsidR="00302980" w:rsidRPr="0053555E">
        <w:rPr>
          <w:rFonts w:asciiTheme="majorHAnsi" w:hAnsiTheme="majorHAnsi" w:cstheme="majorHAnsi"/>
        </w:rPr>
        <w:t> porovnaní s</w:t>
      </w:r>
      <w:r w:rsidR="00302980">
        <w:rPr>
          <w:rFonts w:asciiTheme="majorHAnsi" w:hAnsiTheme="majorHAnsi" w:cstheme="majorHAnsi"/>
        </w:rPr>
        <w:t> </w:t>
      </w:r>
      <w:r w:rsidR="00302980" w:rsidRPr="0053555E">
        <w:rPr>
          <w:rFonts w:asciiTheme="majorHAnsi" w:hAnsiTheme="majorHAnsi" w:cstheme="majorHAnsi"/>
        </w:rPr>
        <w:t>akademickým rokom 20</w:t>
      </w:r>
      <w:r w:rsidR="00302980">
        <w:rPr>
          <w:rFonts w:asciiTheme="majorHAnsi" w:hAnsiTheme="majorHAnsi" w:cstheme="majorHAnsi"/>
        </w:rPr>
        <w:t>20</w:t>
      </w:r>
      <w:r w:rsidR="00302980" w:rsidRPr="0053555E">
        <w:rPr>
          <w:rFonts w:asciiTheme="majorHAnsi" w:hAnsiTheme="majorHAnsi" w:cstheme="majorHAnsi"/>
        </w:rPr>
        <w:t>/202</w:t>
      </w:r>
      <w:r w:rsidR="00302980">
        <w:rPr>
          <w:rFonts w:asciiTheme="majorHAnsi" w:hAnsiTheme="majorHAnsi" w:cstheme="majorHAnsi"/>
        </w:rPr>
        <w:t>1</w:t>
      </w:r>
      <w:r w:rsidR="00FF44B2">
        <w:rPr>
          <w:rFonts w:asciiTheme="majorHAnsi" w:hAnsiTheme="majorHAnsi" w:cstheme="majorHAnsi"/>
        </w:rPr>
        <w:t xml:space="preserve">, čo je </w:t>
      </w:r>
      <w:r w:rsidR="001344DA">
        <w:rPr>
          <w:rFonts w:asciiTheme="majorHAnsi" w:hAnsiTheme="majorHAnsi" w:cstheme="majorHAnsi"/>
        </w:rPr>
        <w:t>veľmi pozitívne</w:t>
      </w:r>
      <w:r w:rsidR="00303679" w:rsidRPr="0053555E">
        <w:rPr>
          <w:rFonts w:asciiTheme="majorHAnsi" w:hAnsiTheme="majorHAnsi" w:cstheme="majorHAnsi"/>
        </w:rPr>
        <w:t>.</w:t>
      </w:r>
      <w:r w:rsidR="00B17672" w:rsidRPr="0053555E">
        <w:rPr>
          <w:rFonts w:asciiTheme="majorHAnsi" w:hAnsiTheme="majorHAnsi" w:cstheme="majorHAnsi"/>
        </w:rPr>
        <w:t xml:space="preserve"> </w:t>
      </w:r>
    </w:p>
    <w:p w14:paraId="017687CD" w14:textId="3B4474ED" w:rsidR="006A082B" w:rsidRPr="0053555E" w:rsidRDefault="006A082B" w:rsidP="00B17672">
      <w:pPr>
        <w:tabs>
          <w:tab w:val="left" w:pos="9356"/>
        </w:tabs>
        <w:jc w:val="both"/>
        <w:rPr>
          <w:rFonts w:asciiTheme="majorHAnsi" w:hAnsiTheme="majorHAnsi" w:cstheme="majorHAnsi"/>
        </w:rPr>
      </w:pPr>
    </w:p>
    <w:p w14:paraId="4C467D71" w14:textId="77777777" w:rsidR="006A082B" w:rsidRPr="0053555E" w:rsidRDefault="006A082B" w:rsidP="00B17672">
      <w:pPr>
        <w:tabs>
          <w:tab w:val="left" w:pos="9356"/>
        </w:tabs>
        <w:jc w:val="both"/>
        <w:rPr>
          <w:rFonts w:asciiTheme="majorHAnsi" w:hAnsiTheme="majorHAnsi" w:cstheme="majorHAnsi"/>
        </w:rPr>
      </w:pPr>
    </w:p>
    <w:p w14:paraId="09D52240" w14:textId="748B5EF6" w:rsidR="002071AC" w:rsidRPr="001A3BEA" w:rsidRDefault="001A3BEA" w:rsidP="001A3BEA">
      <w:pPr>
        <w:rPr>
          <w:b/>
          <w:sz w:val="28"/>
          <w:szCs w:val="28"/>
        </w:rPr>
      </w:pPr>
      <w:bookmarkStart w:id="187" w:name="_Toc127593234"/>
      <w:r w:rsidRPr="001A3BEA">
        <w:rPr>
          <w:b/>
          <w:sz w:val="28"/>
          <w:szCs w:val="28"/>
        </w:rPr>
        <w:t xml:space="preserve">4.1. </w:t>
      </w:r>
      <w:r w:rsidR="002071AC" w:rsidRPr="001A3BEA">
        <w:rPr>
          <w:b/>
          <w:sz w:val="28"/>
          <w:szCs w:val="28"/>
        </w:rPr>
        <w:t xml:space="preserve">Ďalšie vzdelávanie na </w:t>
      </w:r>
      <w:r w:rsidR="00145224" w:rsidRPr="001A3BEA">
        <w:rPr>
          <w:b/>
          <w:sz w:val="28"/>
          <w:szCs w:val="28"/>
        </w:rPr>
        <w:t>jednotlivých súčastiach</w:t>
      </w:r>
      <w:r w:rsidR="002071AC" w:rsidRPr="001A3BEA">
        <w:rPr>
          <w:b/>
          <w:sz w:val="28"/>
          <w:szCs w:val="28"/>
        </w:rPr>
        <w:t xml:space="preserve"> STU</w:t>
      </w:r>
      <w:bookmarkEnd w:id="187"/>
    </w:p>
    <w:p w14:paraId="21C6F184" w14:textId="77777777" w:rsidR="001A3BEA" w:rsidRPr="001A3BEA" w:rsidRDefault="001A3BEA" w:rsidP="001A3BEA"/>
    <w:p w14:paraId="508FB3B6" w14:textId="6602E061" w:rsidR="002071AC" w:rsidRPr="0053555E" w:rsidRDefault="002071AC" w:rsidP="00C73944">
      <w:pPr>
        <w:tabs>
          <w:tab w:val="left" w:pos="9356"/>
        </w:tabs>
        <w:spacing w:after="120"/>
        <w:jc w:val="both"/>
        <w:rPr>
          <w:rFonts w:asciiTheme="majorHAnsi" w:hAnsiTheme="majorHAnsi" w:cstheme="majorHAnsi"/>
        </w:rPr>
      </w:pPr>
      <w:r w:rsidRPr="0053555E">
        <w:rPr>
          <w:rFonts w:asciiTheme="majorHAnsi" w:hAnsiTheme="majorHAnsi" w:cstheme="majorHAnsi"/>
        </w:rPr>
        <w:t xml:space="preserve">V akademickom roku </w:t>
      </w:r>
      <w:r w:rsidR="00EA24BA" w:rsidRPr="0053555E">
        <w:rPr>
          <w:rFonts w:asciiTheme="majorHAnsi" w:hAnsiTheme="majorHAnsi" w:cstheme="majorHAnsi"/>
        </w:rPr>
        <w:t>2021/2022</w:t>
      </w:r>
      <w:r w:rsidRPr="0053555E">
        <w:rPr>
          <w:rFonts w:asciiTheme="majorHAnsi" w:hAnsiTheme="majorHAnsi" w:cstheme="majorHAnsi"/>
        </w:rPr>
        <w:t xml:space="preserve"> prebiehali </w:t>
      </w:r>
      <w:r w:rsidR="00B50CA9" w:rsidRPr="0053555E">
        <w:rPr>
          <w:rFonts w:asciiTheme="majorHAnsi" w:hAnsiTheme="majorHAnsi" w:cstheme="majorHAnsi"/>
        </w:rPr>
        <w:t>vzdelávacie programy</w:t>
      </w:r>
      <w:r w:rsidR="00043C65" w:rsidRPr="0053555E">
        <w:rPr>
          <w:rFonts w:asciiTheme="majorHAnsi" w:hAnsiTheme="majorHAnsi" w:cstheme="majorHAnsi"/>
        </w:rPr>
        <w:t xml:space="preserve"> ďalšieho vzdelávania </w:t>
      </w:r>
      <w:r w:rsidR="00BA7A35" w:rsidRPr="0053555E">
        <w:rPr>
          <w:rFonts w:asciiTheme="majorHAnsi" w:hAnsiTheme="majorHAnsi" w:cstheme="majorHAnsi"/>
        </w:rPr>
        <w:t>na </w:t>
      </w:r>
      <w:r w:rsidR="004924A1" w:rsidRPr="0053555E">
        <w:rPr>
          <w:rFonts w:asciiTheme="majorHAnsi" w:hAnsiTheme="majorHAnsi" w:cstheme="majorHAnsi"/>
        </w:rPr>
        <w:t>všetkých súčastiach</w:t>
      </w:r>
      <w:r w:rsidRPr="0053555E">
        <w:rPr>
          <w:rFonts w:asciiTheme="majorHAnsi" w:hAnsiTheme="majorHAnsi" w:cstheme="majorHAnsi"/>
        </w:rPr>
        <w:t xml:space="preserve"> STU</w:t>
      </w:r>
      <w:r w:rsidR="004924A1" w:rsidRPr="0053555E">
        <w:rPr>
          <w:rFonts w:asciiTheme="majorHAnsi" w:hAnsiTheme="majorHAnsi" w:cstheme="majorHAnsi"/>
        </w:rPr>
        <w:t xml:space="preserve"> vrátane ICV</w:t>
      </w:r>
      <w:r w:rsidR="005249FE" w:rsidRPr="0053555E">
        <w:rPr>
          <w:rFonts w:asciiTheme="majorHAnsi" w:hAnsiTheme="majorHAnsi" w:cstheme="majorHAnsi"/>
        </w:rPr>
        <w:t xml:space="preserve"> </w:t>
      </w:r>
      <w:r w:rsidR="00067FC0">
        <w:rPr>
          <w:rFonts w:asciiTheme="majorHAnsi" w:hAnsiTheme="majorHAnsi" w:cstheme="majorHAnsi"/>
        </w:rPr>
        <w:t>v</w:t>
      </w:r>
      <w:r w:rsidR="005249FE" w:rsidRPr="0053555E">
        <w:rPr>
          <w:rFonts w:asciiTheme="majorHAnsi" w:hAnsiTheme="majorHAnsi" w:cstheme="majorHAnsi"/>
        </w:rPr>
        <w:t xml:space="preserve"> režime</w:t>
      </w:r>
      <w:r w:rsidR="00920DEE">
        <w:rPr>
          <w:rFonts w:asciiTheme="majorHAnsi" w:hAnsiTheme="majorHAnsi" w:cstheme="majorHAnsi"/>
        </w:rPr>
        <w:t xml:space="preserve"> prispôsobenom danej situácii</w:t>
      </w:r>
      <w:r w:rsidRPr="0053555E">
        <w:rPr>
          <w:rFonts w:asciiTheme="majorHAnsi" w:hAnsiTheme="majorHAnsi" w:cstheme="majorHAnsi"/>
        </w:rPr>
        <w:t xml:space="preserve">. </w:t>
      </w:r>
      <w:r w:rsidR="00067FC0">
        <w:rPr>
          <w:rFonts w:asciiTheme="majorHAnsi" w:hAnsiTheme="majorHAnsi" w:cstheme="majorHAnsi"/>
        </w:rPr>
        <w:t>S</w:t>
      </w:r>
      <w:r w:rsidR="00296BE2" w:rsidRPr="0053555E">
        <w:rPr>
          <w:rFonts w:asciiTheme="majorHAnsi" w:hAnsiTheme="majorHAnsi" w:cstheme="majorHAnsi"/>
        </w:rPr>
        <w:t>ú </w:t>
      </w:r>
      <w:r w:rsidR="00043C65" w:rsidRPr="0053555E">
        <w:rPr>
          <w:rFonts w:asciiTheme="majorHAnsi" w:hAnsiTheme="majorHAnsi" w:cstheme="majorHAnsi"/>
        </w:rPr>
        <w:t xml:space="preserve"> rozdelené na </w:t>
      </w:r>
      <w:hyperlink r:id="rId65" w:history="1">
        <w:r w:rsidRPr="008D03BB">
          <w:rPr>
            <w:rStyle w:val="Hypertextovprepojenie"/>
            <w:rFonts w:asciiTheme="majorHAnsi" w:hAnsiTheme="majorHAnsi" w:cstheme="majorHAnsi"/>
            <w:b/>
            <w:color w:val="auto"/>
            <w:u w:val="none"/>
          </w:rPr>
          <w:t xml:space="preserve">akreditované a neakreditované </w:t>
        </w:r>
        <w:r w:rsidR="000423FD" w:rsidRPr="008D03BB">
          <w:rPr>
            <w:rStyle w:val="Hypertextovprepojenie"/>
            <w:rFonts w:asciiTheme="majorHAnsi" w:hAnsiTheme="majorHAnsi" w:cstheme="majorHAnsi"/>
            <w:b/>
            <w:color w:val="auto"/>
            <w:u w:val="none"/>
          </w:rPr>
          <w:t xml:space="preserve">vzdelávacie </w:t>
        </w:r>
        <w:r w:rsidRPr="008D03BB">
          <w:rPr>
            <w:rStyle w:val="Hypertextovprepojenie"/>
            <w:rFonts w:asciiTheme="majorHAnsi" w:hAnsiTheme="majorHAnsi" w:cstheme="majorHAnsi"/>
            <w:b/>
            <w:color w:val="auto"/>
            <w:u w:val="none"/>
          </w:rPr>
          <w:t>programy</w:t>
        </w:r>
      </w:hyperlink>
      <w:r w:rsidRPr="0053555E">
        <w:rPr>
          <w:rFonts w:asciiTheme="majorHAnsi" w:hAnsiTheme="majorHAnsi" w:cstheme="majorHAnsi"/>
        </w:rPr>
        <w:t xml:space="preserve">. </w:t>
      </w:r>
      <w:r w:rsidR="009610B8">
        <w:rPr>
          <w:rFonts w:asciiTheme="majorHAnsi" w:hAnsiTheme="majorHAnsi" w:cstheme="majorHAnsi"/>
        </w:rPr>
        <w:t xml:space="preserve">STU realizuje </w:t>
      </w:r>
      <w:r w:rsidR="00D327B0">
        <w:rPr>
          <w:rFonts w:asciiTheme="majorHAnsi" w:hAnsiTheme="majorHAnsi" w:cstheme="majorHAnsi"/>
        </w:rPr>
        <w:t xml:space="preserve">akreditované </w:t>
      </w:r>
      <w:r w:rsidR="009610B8">
        <w:rPr>
          <w:rFonts w:asciiTheme="majorHAnsi" w:hAnsiTheme="majorHAnsi" w:cstheme="majorHAnsi"/>
        </w:rPr>
        <w:t>v</w:t>
      </w:r>
      <w:r w:rsidR="000423FD" w:rsidRPr="0053555E">
        <w:rPr>
          <w:rFonts w:asciiTheme="majorHAnsi" w:hAnsiTheme="majorHAnsi" w:cstheme="majorHAnsi"/>
        </w:rPr>
        <w:t>zdelávacie p</w:t>
      </w:r>
      <w:r w:rsidRPr="0053555E">
        <w:rPr>
          <w:rFonts w:asciiTheme="majorHAnsi" w:hAnsiTheme="majorHAnsi" w:cstheme="majorHAnsi"/>
        </w:rPr>
        <w:t>rogramy</w:t>
      </w:r>
      <w:r w:rsidR="009610B8">
        <w:rPr>
          <w:rFonts w:asciiTheme="majorHAnsi" w:hAnsiTheme="majorHAnsi" w:cstheme="majorHAnsi"/>
        </w:rPr>
        <w:t xml:space="preserve">, ktoré jej boli </w:t>
      </w:r>
      <w:r w:rsidRPr="0053555E">
        <w:rPr>
          <w:rFonts w:asciiTheme="majorHAnsi" w:hAnsiTheme="majorHAnsi" w:cstheme="majorHAnsi"/>
        </w:rPr>
        <w:t xml:space="preserve">akreditované </w:t>
      </w:r>
      <w:r w:rsidR="00DE550E">
        <w:rPr>
          <w:rFonts w:asciiTheme="majorHAnsi" w:hAnsiTheme="majorHAnsi" w:cstheme="majorHAnsi"/>
        </w:rPr>
        <w:t>m</w:t>
      </w:r>
      <w:r w:rsidRPr="0053555E">
        <w:rPr>
          <w:rFonts w:asciiTheme="majorHAnsi" w:hAnsiTheme="majorHAnsi" w:cstheme="majorHAnsi"/>
        </w:rPr>
        <w:t>inisterstvom školstva a</w:t>
      </w:r>
      <w:r w:rsidR="000D547F" w:rsidRPr="0053555E">
        <w:rPr>
          <w:rFonts w:asciiTheme="majorHAnsi" w:hAnsiTheme="majorHAnsi" w:cstheme="majorHAnsi"/>
        </w:rPr>
        <w:t>lebo</w:t>
      </w:r>
      <w:r w:rsidRPr="0053555E">
        <w:rPr>
          <w:rFonts w:asciiTheme="majorHAnsi" w:hAnsiTheme="majorHAnsi" w:cstheme="majorHAnsi"/>
        </w:rPr>
        <w:t xml:space="preserve"> ďalšími subjektmi, </w:t>
      </w:r>
      <w:r w:rsidR="002A22D0">
        <w:rPr>
          <w:rFonts w:asciiTheme="majorHAnsi" w:hAnsiTheme="majorHAnsi" w:cstheme="majorHAnsi"/>
        </w:rPr>
        <w:t>napríklad</w:t>
      </w:r>
      <w:r w:rsidRPr="0053555E">
        <w:rPr>
          <w:rFonts w:asciiTheme="majorHAnsi" w:hAnsiTheme="majorHAnsi" w:cstheme="majorHAnsi"/>
        </w:rPr>
        <w:t xml:space="preserve"> </w:t>
      </w:r>
      <w:r w:rsidR="00181110" w:rsidRPr="0053555E">
        <w:rPr>
          <w:rFonts w:asciiTheme="majorHAnsi" w:hAnsiTheme="majorHAnsi" w:cstheme="majorHAnsi"/>
        </w:rPr>
        <w:t>Národný</w:t>
      </w:r>
      <w:r w:rsidR="002A22D0">
        <w:rPr>
          <w:rFonts w:asciiTheme="majorHAnsi" w:hAnsiTheme="majorHAnsi" w:cstheme="majorHAnsi"/>
        </w:rPr>
        <w:t>m</w:t>
      </w:r>
      <w:r w:rsidR="00181110" w:rsidRPr="0053555E">
        <w:rPr>
          <w:rFonts w:asciiTheme="majorHAnsi" w:hAnsiTheme="majorHAnsi" w:cstheme="majorHAnsi"/>
        </w:rPr>
        <w:t xml:space="preserve"> </w:t>
      </w:r>
      <w:r w:rsidR="00D327B0" w:rsidRPr="0053555E">
        <w:rPr>
          <w:rFonts w:asciiTheme="majorHAnsi" w:hAnsiTheme="majorHAnsi" w:cstheme="majorHAnsi"/>
        </w:rPr>
        <w:t>inšpektorá</w:t>
      </w:r>
      <w:r w:rsidR="00D327B0">
        <w:rPr>
          <w:rFonts w:asciiTheme="majorHAnsi" w:hAnsiTheme="majorHAnsi" w:cstheme="majorHAnsi"/>
        </w:rPr>
        <w:t>tom</w:t>
      </w:r>
      <w:r w:rsidR="00181110" w:rsidRPr="0053555E">
        <w:rPr>
          <w:rFonts w:asciiTheme="majorHAnsi" w:hAnsiTheme="majorHAnsi" w:cstheme="majorHAnsi"/>
        </w:rPr>
        <w:t xml:space="preserve"> práce na </w:t>
      </w:r>
      <w:r w:rsidRPr="0053555E">
        <w:rPr>
          <w:rFonts w:asciiTheme="majorHAnsi" w:hAnsiTheme="majorHAnsi" w:cstheme="majorHAnsi"/>
        </w:rPr>
        <w:t xml:space="preserve">FEI, FIBAA TU WIEN </w:t>
      </w:r>
      <w:r w:rsidR="00AF2A19" w:rsidRPr="0053555E">
        <w:rPr>
          <w:rFonts w:asciiTheme="majorHAnsi" w:hAnsiTheme="majorHAnsi" w:cstheme="majorHAnsi"/>
        </w:rPr>
        <w:t>na ICV</w:t>
      </w:r>
      <w:r w:rsidR="00732367">
        <w:rPr>
          <w:rFonts w:asciiTheme="majorHAnsi" w:hAnsiTheme="majorHAnsi" w:cstheme="majorHAnsi"/>
        </w:rPr>
        <w:t xml:space="preserve">, </w:t>
      </w:r>
      <w:r w:rsidR="000F08B1">
        <w:rPr>
          <w:rFonts w:asciiTheme="majorHAnsi" w:hAnsiTheme="majorHAnsi" w:cstheme="majorHAnsi"/>
        </w:rPr>
        <w:t xml:space="preserve">prípadne </w:t>
      </w:r>
      <w:r w:rsidR="00590B25">
        <w:rPr>
          <w:rFonts w:asciiTheme="majorHAnsi" w:hAnsiTheme="majorHAnsi" w:cstheme="majorHAnsi"/>
        </w:rPr>
        <w:t xml:space="preserve">akreditovaný </w:t>
      </w:r>
      <w:r w:rsidR="00667FE8">
        <w:rPr>
          <w:rFonts w:asciiTheme="majorHAnsi" w:hAnsiTheme="majorHAnsi" w:cstheme="majorHAnsi"/>
        </w:rPr>
        <w:t>vzdelávací</w:t>
      </w:r>
      <w:r w:rsidR="009D5DC2">
        <w:rPr>
          <w:rFonts w:asciiTheme="majorHAnsi" w:hAnsiTheme="majorHAnsi" w:cstheme="majorHAnsi"/>
        </w:rPr>
        <w:t xml:space="preserve"> </w:t>
      </w:r>
      <w:r w:rsidR="0076304D">
        <w:rPr>
          <w:rFonts w:asciiTheme="majorHAnsi" w:hAnsiTheme="majorHAnsi" w:cstheme="majorHAnsi"/>
        </w:rPr>
        <w:t xml:space="preserve">program </w:t>
      </w:r>
      <w:r w:rsidR="00590B25">
        <w:rPr>
          <w:rFonts w:asciiTheme="majorHAnsi" w:hAnsiTheme="majorHAnsi" w:cstheme="majorHAnsi"/>
        </w:rPr>
        <w:t xml:space="preserve">uskutočňovaný na SjF v rámci spolupráce </w:t>
      </w:r>
      <w:r w:rsidR="00590B25" w:rsidRPr="007A2ED8">
        <w:rPr>
          <w:rFonts w:asciiTheme="majorHAnsi" w:hAnsiTheme="majorHAnsi" w:cstheme="majorHAnsi"/>
        </w:rPr>
        <w:t xml:space="preserve">so </w:t>
      </w:r>
      <w:r w:rsidR="009D5DC2" w:rsidRPr="007A2ED8">
        <w:rPr>
          <w:rFonts w:asciiTheme="majorHAnsi" w:hAnsiTheme="majorHAnsi" w:cstheme="majorHAnsi"/>
        </w:rPr>
        <w:t>Slovenským metrologickým ústavom</w:t>
      </w:r>
      <w:r w:rsidR="00AF2A19" w:rsidRPr="0053555E">
        <w:rPr>
          <w:rFonts w:asciiTheme="majorHAnsi" w:hAnsiTheme="majorHAnsi" w:cstheme="majorHAnsi"/>
        </w:rPr>
        <w:t xml:space="preserve">. </w:t>
      </w:r>
      <w:r w:rsidR="004202AC">
        <w:rPr>
          <w:rFonts w:asciiTheme="majorHAnsi" w:hAnsiTheme="majorHAnsi" w:cstheme="majorHAnsi"/>
        </w:rPr>
        <w:t>V</w:t>
      </w:r>
      <w:r w:rsidR="00145224" w:rsidRPr="0053555E">
        <w:rPr>
          <w:rFonts w:asciiTheme="majorHAnsi" w:hAnsiTheme="majorHAnsi" w:cstheme="majorHAnsi"/>
        </w:rPr>
        <w:t> akad</w:t>
      </w:r>
      <w:r w:rsidR="00417CF2" w:rsidRPr="0053555E">
        <w:rPr>
          <w:rFonts w:asciiTheme="majorHAnsi" w:hAnsiTheme="majorHAnsi" w:cstheme="majorHAnsi"/>
        </w:rPr>
        <w:t>emickom</w:t>
      </w:r>
      <w:r w:rsidR="00145224" w:rsidRPr="0053555E">
        <w:rPr>
          <w:rFonts w:asciiTheme="majorHAnsi" w:hAnsiTheme="majorHAnsi" w:cstheme="majorHAnsi"/>
        </w:rPr>
        <w:t xml:space="preserve"> roku </w:t>
      </w:r>
      <w:r w:rsidR="00EA24BA" w:rsidRPr="0053555E">
        <w:rPr>
          <w:rFonts w:asciiTheme="majorHAnsi" w:hAnsiTheme="majorHAnsi" w:cstheme="majorHAnsi"/>
        </w:rPr>
        <w:t>2021/2022</w:t>
      </w:r>
      <w:r w:rsidR="00181110" w:rsidRPr="0053555E">
        <w:rPr>
          <w:rFonts w:asciiTheme="majorHAnsi" w:hAnsiTheme="majorHAnsi" w:cstheme="majorHAnsi"/>
        </w:rPr>
        <w:t xml:space="preserve"> </w:t>
      </w:r>
      <w:r w:rsidR="004202AC" w:rsidRPr="0053555E">
        <w:rPr>
          <w:rFonts w:asciiTheme="majorHAnsi" w:hAnsiTheme="majorHAnsi" w:cstheme="majorHAnsi"/>
        </w:rPr>
        <w:t xml:space="preserve">sa </w:t>
      </w:r>
      <w:r w:rsidR="00D9779D">
        <w:rPr>
          <w:rFonts w:asciiTheme="majorHAnsi" w:hAnsiTheme="majorHAnsi" w:cstheme="majorHAnsi"/>
        </w:rPr>
        <w:t xml:space="preserve">celkovo </w:t>
      </w:r>
      <w:r w:rsidR="004202AC" w:rsidRPr="0053555E">
        <w:rPr>
          <w:rFonts w:asciiTheme="majorHAnsi" w:hAnsiTheme="majorHAnsi" w:cstheme="majorHAnsi"/>
        </w:rPr>
        <w:t xml:space="preserve">uskutočnilo </w:t>
      </w:r>
      <w:r w:rsidR="00C73944">
        <w:rPr>
          <w:rFonts w:asciiTheme="majorHAnsi" w:hAnsiTheme="majorHAnsi" w:cstheme="majorHAnsi"/>
          <w:b/>
        </w:rPr>
        <w:t>38</w:t>
      </w:r>
      <w:r w:rsidR="00AF2A19" w:rsidRPr="0053555E">
        <w:rPr>
          <w:rFonts w:asciiTheme="majorHAnsi" w:hAnsiTheme="majorHAnsi" w:cstheme="majorHAnsi"/>
          <w:b/>
        </w:rPr>
        <w:t xml:space="preserve"> </w:t>
      </w:r>
      <w:r w:rsidR="008E0F36" w:rsidRPr="0053555E">
        <w:rPr>
          <w:rFonts w:asciiTheme="majorHAnsi" w:hAnsiTheme="majorHAnsi" w:cstheme="majorHAnsi"/>
          <w:b/>
        </w:rPr>
        <w:t xml:space="preserve">kurzov </w:t>
      </w:r>
      <w:r w:rsidR="00AF2A19" w:rsidRPr="0053555E">
        <w:rPr>
          <w:rFonts w:asciiTheme="majorHAnsi" w:hAnsiTheme="majorHAnsi" w:cstheme="majorHAnsi"/>
          <w:b/>
        </w:rPr>
        <w:t xml:space="preserve">akreditovaných </w:t>
      </w:r>
      <w:r w:rsidR="00145224" w:rsidRPr="0053555E">
        <w:rPr>
          <w:rFonts w:asciiTheme="majorHAnsi" w:hAnsiTheme="majorHAnsi" w:cstheme="majorHAnsi"/>
          <w:b/>
        </w:rPr>
        <w:t xml:space="preserve">vzdelávacích </w:t>
      </w:r>
      <w:r w:rsidR="00AF2A19" w:rsidRPr="0053555E">
        <w:rPr>
          <w:rFonts w:asciiTheme="majorHAnsi" w:hAnsiTheme="majorHAnsi" w:cstheme="majorHAnsi"/>
          <w:b/>
        </w:rPr>
        <w:t>programov</w:t>
      </w:r>
      <w:r w:rsidR="00AF2A19" w:rsidRPr="0053555E">
        <w:rPr>
          <w:rFonts w:asciiTheme="majorHAnsi" w:hAnsiTheme="majorHAnsi" w:cstheme="majorHAnsi"/>
        </w:rPr>
        <w:t>.</w:t>
      </w:r>
      <w:r w:rsidR="00590B25">
        <w:rPr>
          <w:rFonts w:asciiTheme="majorHAnsi" w:hAnsiTheme="majorHAnsi" w:cstheme="majorHAnsi"/>
        </w:rPr>
        <w:t xml:space="preserve"> </w:t>
      </w:r>
    </w:p>
    <w:p w14:paraId="33EE2B61" w14:textId="70C78AAE" w:rsidR="002071AC" w:rsidRPr="0053555E" w:rsidRDefault="002071AC" w:rsidP="00324438">
      <w:pPr>
        <w:tabs>
          <w:tab w:val="left" w:pos="9356"/>
        </w:tabs>
        <w:spacing w:after="120"/>
        <w:jc w:val="both"/>
        <w:rPr>
          <w:rFonts w:asciiTheme="majorHAnsi" w:hAnsiTheme="majorHAnsi" w:cstheme="majorHAnsi"/>
        </w:rPr>
      </w:pPr>
      <w:r w:rsidRPr="0053555E">
        <w:rPr>
          <w:rFonts w:asciiTheme="majorHAnsi" w:hAnsiTheme="majorHAnsi" w:cstheme="majorHAnsi"/>
        </w:rPr>
        <w:t>Akreditované</w:t>
      </w:r>
      <w:r w:rsidR="00145224" w:rsidRPr="0053555E">
        <w:rPr>
          <w:rFonts w:asciiTheme="majorHAnsi" w:hAnsiTheme="majorHAnsi" w:cstheme="majorHAnsi"/>
        </w:rPr>
        <w:t xml:space="preserve"> vzdelávacie </w:t>
      </w:r>
      <w:r w:rsidRPr="0053555E">
        <w:rPr>
          <w:rFonts w:asciiTheme="majorHAnsi" w:hAnsiTheme="majorHAnsi" w:cstheme="majorHAnsi"/>
        </w:rPr>
        <w:t xml:space="preserve">programy </w:t>
      </w:r>
      <w:r w:rsidR="00067FC0">
        <w:rPr>
          <w:rFonts w:asciiTheme="majorHAnsi" w:hAnsiTheme="majorHAnsi" w:cstheme="majorHAnsi"/>
        </w:rPr>
        <w:t>sa končia</w:t>
      </w:r>
      <w:r w:rsidRPr="0053555E">
        <w:rPr>
          <w:rFonts w:asciiTheme="majorHAnsi" w:hAnsiTheme="majorHAnsi" w:cstheme="majorHAnsi"/>
        </w:rPr>
        <w:t xml:space="preserve"> </w:t>
      </w:r>
      <w:r w:rsidR="00526601">
        <w:rPr>
          <w:rFonts w:asciiTheme="majorHAnsi" w:hAnsiTheme="majorHAnsi" w:cstheme="majorHAnsi"/>
        </w:rPr>
        <w:t xml:space="preserve">záverečnými </w:t>
      </w:r>
      <w:r w:rsidRPr="0053555E">
        <w:rPr>
          <w:rFonts w:asciiTheme="majorHAnsi" w:hAnsiTheme="majorHAnsi" w:cstheme="majorHAnsi"/>
        </w:rPr>
        <w:t xml:space="preserve">skúškami a absolventi dostávajú </w:t>
      </w:r>
      <w:r w:rsidR="00043C65" w:rsidRPr="0053555E">
        <w:rPr>
          <w:rFonts w:asciiTheme="majorHAnsi" w:hAnsiTheme="majorHAnsi" w:cstheme="majorHAnsi"/>
        </w:rPr>
        <w:t>o</w:t>
      </w:r>
      <w:r w:rsidRPr="0053555E">
        <w:rPr>
          <w:rFonts w:asciiTheme="majorHAnsi" w:hAnsiTheme="majorHAnsi" w:cstheme="majorHAnsi"/>
        </w:rPr>
        <w:t>svedčeni</w:t>
      </w:r>
      <w:r w:rsidR="00417CF2" w:rsidRPr="0053555E">
        <w:rPr>
          <w:rFonts w:asciiTheme="majorHAnsi" w:hAnsiTheme="majorHAnsi" w:cstheme="majorHAnsi"/>
        </w:rPr>
        <w:t>e</w:t>
      </w:r>
      <w:r w:rsidRPr="0053555E">
        <w:rPr>
          <w:rFonts w:asciiTheme="majorHAnsi" w:hAnsiTheme="majorHAnsi" w:cstheme="majorHAnsi"/>
        </w:rPr>
        <w:t xml:space="preserve"> o absolvovaní vzdelávac</w:t>
      </w:r>
      <w:r w:rsidR="00145224" w:rsidRPr="0053555E">
        <w:rPr>
          <w:rFonts w:asciiTheme="majorHAnsi" w:hAnsiTheme="majorHAnsi" w:cstheme="majorHAnsi"/>
        </w:rPr>
        <w:t>ieho</w:t>
      </w:r>
      <w:r w:rsidRPr="0053555E">
        <w:rPr>
          <w:rFonts w:asciiTheme="majorHAnsi" w:hAnsiTheme="majorHAnsi" w:cstheme="majorHAnsi"/>
        </w:rPr>
        <w:t xml:space="preserve"> </w:t>
      </w:r>
      <w:r w:rsidR="00145224" w:rsidRPr="0053555E">
        <w:rPr>
          <w:rFonts w:asciiTheme="majorHAnsi" w:hAnsiTheme="majorHAnsi" w:cstheme="majorHAnsi"/>
        </w:rPr>
        <w:t>programu</w:t>
      </w:r>
      <w:r w:rsidRPr="0053555E">
        <w:rPr>
          <w:rFonts w:asciiTheme="majorHAnsi" w:hAnsiTheme="majorHAnsi" w:cstheme="majorHAnsi"/>
        </w:rPr>
        <w:t xml:space="preserve"> </w:t>
      </w:r>
      <w:r w:rsidR="00145224" w:rsidRPr="0053555E">
        <w:rPr>
          <w:rFonts w:asciiTheme="majorHAnsi" w:hAnsiTheme="majorHAnsi" w:cstheme="majorHAnsi"/>
        </w:rPr>
        <w:t>ďalšieho</w:t>
      </w:r>
      <w:r w:rsidRPr="0053555E">
        <w:rPr>
          <w:rFonts w:asciiTheme="majorHAnsi" w:hAnsiTheme="majorHAnsi" w:cstheme="majorHAnsi"/>
        </w:rPr>
        <w:t xml:space="preserve"> vzdelávania, ktor</w:t>
      </w:r>
      <w:r w:rsidR="00B01910" w:rsidRPr="0053555E">
        <w:rPr>
          <w:rFonts w:asciiTheme="majorHAnsi" w:hAnsiTheme="majorHAnsi" w:cstheme="majorHAnsi"/>
        </w:rPr>
        <w:t>é</w:t>
      </w:r>
      <w:r w:rsidRPr="0053555E">
        <w:rPr>
          <w:rFonts w:asciiTheme="majorHAnsi" w:hAnsiTheme="majorHAnsi" w:cstheme="majorHAnsi"/>
        </w:rPr>
        <w:t xml:space="preserve"> vydáva STU.</w:t>
      </w:r>
      <w:r w:rsidR="005249FE" w:rsidRPr="0053555E">
        <w:rPr>
          <w:rFonts w:asciiTheme="majorHAnsi" w:hAnsiTheme="majorHAnsi" w:cstheme="majorHAnsi"/>
        </w:rPr>
        <w:t xml:space="preserve"> V akademickom roku </w:t>
      </w:r>
      <w:r w:rsidR="00EA24BA" w:rsidRPr="0053555E">
        <w:rPr>
          <w:rFonts w:asciiTheme="majorHAnsi" w:hAnsiTheme="majorHAnsi" w:cstheme="majorHAnsi"/>
        </w:rPr>
        <w:t>2021/2022</w:t>
      </w:r>
      <w:r w:rsidR="005249FE" w:rsidRPr="0053555E">
        <w:rPr>
          <w:rFonts w:asciiTheme="majorHAnsi" w:hAnsiTheme="majorHAnsi" w:cstheme="majorHAnsi"/>
        </w:rPr>
        <w:t xml:space="preserve"> </w:t>
      </w:r>
      <w:r w:rsidR="009766DC">
        <w:rPr>
          <w:rFonts w:asciiTheme="majorHAnsi" w:hAnsiTheme="majorHAnsi" w:cstheme="majorHAnsi"/>
        </w:rPr>
        <w:t xml:space="preserve">STU </w:t>
      </w:r>
      <w:r w:rsidR="005249FE" w:rsidRPr="0053555E">
        <w:rPr>
          <w:rFonts w:asciiTheme="majorHAnsi" w:hAnsiTheme="majorHAnsi" w:cstheme="majorHAnsi"/>
        </w:rPr>
        <w:t>vyda</w:t>
      </w:r>
      <w:r w:rsidR="00DE550E">
        <w:rPr>
          <w:rFonts w:asciiTheme="majorHAnsi" w:hAnsiTheme="majorHAnsi" w:cstheme="majorHAnsi"/>
        </w:rPr>
        <w:t>la</w:t>
      </w:r>
      <w:r w:rsidR="005249FE" w:rsidRPr="0053555E">
        <w:rPr>
          <w:rFonts w:asciiTheme="majorHAnsi" w:hAnsiTheme="majorHAnsi" w:cstheme="majorHAnsi"/>
        </w:rPr>
        <w:t xml:space="preserve"> </w:t>
      </w:r>
      <w:r w:rsidR="00C73944">
        <w:rPr>
          <w:rFonts w:asciiTheme="majorHAnsi" w:hAnsiTheme="majorHAnsi" w:cstheme="majorHAnsi"/>
          <w:b/>
        </w:rPr>
        <w:t>2</w:t>
      </w:r>
      <w:r w:rsidR="00721EEC">
        <w:rPr>
          <w:rFonts w:asciiTheme="majorHAnsi" w:hAnsiTheme="majorHAnsi" w:cstheme="majorHAnsi"/>
          <w:b/>
        </w:rPr>
        <w:t>54</w:t>
      </w:r>
      <w:r w:rsidR="005249FE" w:rsidRPr="0053555E">
        <w:rPr>
          <w:rFonts w:asciiTheme="majorHAnsi" w:hAnsiTheme="majorHAnsi" w:cstheme="majorHAnsi"/>
          <w:b/>
        </w:rPr>
        <w:t xml:space="preserve"> osvedčení</w:t>
      </w:r>
      <w:r w:rsidR="00250D8B" w:rsidRPr="0053555E">
        <w:rPr>
          <w:rFonts w:asciiTheme="majorHAnsi" w:hAnsiTheme="majorHAnsi" w:cstheme="majorHAnsi"/>
          <w:b/>
        </w:rPr>
        <w:t xml:space="preserve"> o absolvovaní akreditovaného vzdelávacieho programu</w:t>
      </w:r>
      <w:r w:rsidR="00DE550E">
        <w:rPr>
          <w:rFonts w:asciiTheme="majorHAnsi" w:hAnsiTheme="majorHAnsi" w:cstheme="majorHAnsi"/>
          <w:b/>
        </w:rPr>
        <w:t xml:space="preserve"> </w:t>
      </w:r>
      <w:r w:rsidR="00DE550E" w:rsidRPr="00560C05">
        <w:rPr>
          <w:rFonts w:asciiTheme="majorHAnsi" w:hAnsiTheme="majorHAnsi" w:cstheme="majorHAnsi"/>
        </w:rPr>
        <w:t>na základe akreditácie</w:t>
      </w:r>
      <w:r w:rsidR="00DE550E">
        <w:rPr>
          <w:rFonts w:asciiTheme="majorHAnsi" w:hAnsiTheme="majorHAnsi" w:cstheme="majorHAnsi"/>
          <w:b/>
        </w:rPr>
        <w:t xml:space="preserve"> </w:t>
      </w:r>
      <w:r w:rsidR="00560C05">
        <w:rPr>
          <w:rFonts w:asciiTheme="majorHAnsi" w:hAnsiTheme="majorHAnsi" w:cstheme="majorHAnsi"/>
        </w:rPr>
        <w:t>ministerstva školstva</w:t>
      </w:r>
      <w:r w:rsidR="003237B4" w:rsidRPr="0053555E">
        <w:rPr>
          <w:rFonts w:asciiTheme="majorHAnsi" w:hAnsiTheme="majorHAnsi" w:cstheme="majorHAnsi"/>
        </w:rPr>
        <w:t xml:space="preserve">, z toho </w:t>
      </w:r>
      <w:r w:rsidR="00A11179">
        <w:rPr>
          <w:rFonts w:asciiTheme="majorHAnsi" w:hAnsiTheme="majorHAnsi" w:cstheme="majorHAnsi"/>
        </w:rPr>
        <w:t>17</w:t>
      </w:r>
      <w:r w:rsidR="003237B4" w:rsidRPr="0053555E">
        <w:rPr>
          <w:rFonts w:asciiTheme="majorHAnsi" w:hAnsiTheme="majorHAnsi" w:cstheme="majorHAnsi"/>
        </w:rPr>
        <w:t xml:space="preserve"> v rámci vzdelávacích programov zabezpečovaných na SvF, </w:t>
      </w:r>
      <w:r w:rsidR="005173A3">
        <w:rPr>
          <w:rFonts w:asciiTheme="majorHAnsi" w:hAnsiTheme="majorHAnsi" w:cstheme="majorHAnsi"/>
        </w:rPr>
        <w:t>55</w:t>
      </w:r>
      <w:r w:rsidR="003237B4" w:rsidRPr="0053555E">
        <w:rPr>
          <w:rFonts w:asciiTheme="majorHAnsi" w:hAnsiTheme="majorHAnsi" w:cstheme="majorHAnsi"/>
        </w:rPr>
        <w:t xml:space="preserve"> na FEI a 1</w:t>
      </w:r>
      <w:r w:rsidR="005173A3">
        <w:rPr>
          <w:rFonts w:asciiTheme="majorHAnsi" w:hAnsiTheme="majorHAnsi" w:cstheme="majorHAnsi"/>
        </w:rPr>
        <w:t>82</w:t>
      </w:r>
      <w:r w:rsidR="003237B4" w:rsidRPr="0053555E">
        <w:rPr>
          <w:rFonts w:asciiTheme="majorHAnsi" w:hAnsiTheme="majorHAnsi" w:cstheme="majorHAnsi"/>
        </w:rPr>
        <w:t xml:space="preserve"> na FCHPT</w:t>
      </w:r>
      <w:r w:rsidR="00C82E4F" w:rsidRPr="0053555E">
        <w:rPr>
          <w:rFonts w:asciiTheme="majorHAnsi" w:hAnsiTheme="majorHAnsi" w:cstheme="majorHAnsi"/>
        </w:rPr>
        <w:t xml:space="preserve">. V uvedenom počte nie </w:t>
      </w:r>
      <w:r w:rsidR="00C67852" w:rsidRPr="0053555E">
        <w:rPr>
          <w:rFonts w:asciiTheme="majorHAnsi" w:hAnsiTheme="majorHAnsi" w:cstheme="majorHAnsi"/>
        </w:rPr>
        <w:t>je</w:t>
      </w:r>
      <w:r w:rsidR="00C82E4F" w:rsidRPr="0053555E">
        <w:rPr>
          <w:rFonts w:asciiTheme="majorHAnsi" w:hAnsiTheme="majorHAnsi" w:cstheme="majorHAnsi"/>
        </w:rPr>
        <w:t xml:space="preserve"> zahrnut</w:t>
      </w:r>
      <w:r w:rsidR="00C67852" w:rsidRPr="0053555E">
        <w:rPr>
          <w:rFonts w:asciiTheme="majorHAnsi" w:hAnsiTheme="majorHAnsi" w:cstheme="majorHAnsi"/>
        </w:rPr>
        <w:t xml:space="preserve">ých </w:t>
      </w:r>
      <w:r w:rsidR="00FA75EE" w:rsidRPr="006B6BC8">
        <w:rPr>
          <w:rFonts w:asciiTheme="majorHAnsi" w:hAnsiTheme="majorHAnsi" w:cstheme="majorHAnsi"/>
          <w:b/>
        </w:rPr>
        <w:t>35</w:t>
      </w:r>
      <w:r w:rsidR="00C82E4F" w:rsidRPr="006B6BC8">
        <w:rPr>
          <w:rFonts w:asciiTheme="majorHAnsi" w:hAnsiTheme="majorHAnsi" w:cstheme="majorHAnsi"/>
          <w:b/>
        </w:rPr>
        <w:t xml:space="preserve"> vysvedčen</w:t>
      </w:r>
      <w:r w:rsidR="00C67852" w:rsidRPr="006B6BC8">
        <w:rPr>
          <w:rFonts w:asciiTheme="majorHAnsi" w:hAnsiTheme="majorHAnsi" w:cstheme="majorHAnsi"/>
          <w:b/>
        </w:rPr>
        <w:t>í</w:t>
      </w:r>
      <w:r w:rsidR="00C82E4F" w:rsidRPr="006B6BC8">
        <w:rPr>
          <w:rFonts w:asciiTheme="majorHAnsi" w:hAnsiTheme="majorHAnsi" w:cstheme="majorHAnsi"/>
          <w:b/>
        </w:rPr>
        <w:t xml:space="preserve"> o</w:t>
      </w:r>
      <w:r w:rsidR="00961ADF" w:rsidRPr="006B6BC8">
        <w:rPr>
          <w:rFonts w:asciiTheme="majorHAnsi" w:hAnsiTheme="majorHAnsi" w:cstheme="majorHAnsi"/>
          <w:b/>
        </w:rPr>
        <w:t> </w:t>
      </w:r>
      <w:r w:rsidR="009D3D47" w:rsidRPr="006B6BC8">
        <w:rPr>
          <w:rFonts w:asciiTheme="majorHAnsi" w:hAnsiTheme="majorHAnsi" w:cstheme="majorHAnsi"/>
          <w:b/>
        </w:rPr>
        <w:t>pedagogickej</w:t>
      </w:r>
      <w:r w:rsidR="00961ADF" w:rsidRPr="006B6BC8">
        <w:rPr>
          <w:rFonts w:asciiTheme="majorHAnsi" w:hAnsiTheme="majorHAnsi" w:cstheme="majorHAnsi"/>
          <w:b/>
        </w:rPr>
        <w:t xml:space="preserve"> spôsobilosti</w:t>
      </w:r>
      <w:r w:rsidR="00961ADF" w:rsidRPr="0053555E">
        <w:rPr>
          <w:rFonts w:asciiTheme="majorHAnsi" w:hAnsiTheme="majorHAnsi" w:cstheme="majorHAnsi"/>
        </w:rPr>
        <w:t xml:space="preserve">, ktoré sú </w:t>
      </w:r>
      <w:r w:rsidR="009D3D47" w:rsidRPr="0053555E">
        <w:rPr>
          <w:rFonts w:asciiTheme="majorHAnsi" w:hAnsiTheme="majorHAnsi" w:cstheme="majorHAnsi"/>
        </w:rPr>
        <w:t>vydávané po</w:t>
      </w:r>
      <w:r w:rsidR="00961ADF" w:rsidRPr="0053555E">
        <w:rPr>
          <w:rFonts w:asciiTheme="majorHAnsi" w:hAnsiTheme="majorHAnsi" w:cstheme="majorHAnsi"/>
        </w:rPr>
        <w:t xml:space="preserve"> absolvovaní doplňujúceho pedagogického štúdia</w:t>
      </w:r>
      <w:r w:rsidR="009D3D47" w:rsidRPr="0053555E">
        <w:rPr>
          <w:rFonts w:asciiTheme="majorHAnsi" w:hAnsiTheme="majorHAnsi" w:cstheme="majorHAnsi"/>
        </w:rPr>
        <w:t>, ktorému</w:t>
      </w:r>
      <w:r w:rsidR="00961ADF" w:rsidRPr="0053555E">
        <w:rPr>
          <w:rFonts w:asciiTheme="majorHAnsi" w:hAnsiTheme="majorHAnsi" w:cstheme="majorHAnsi"/>
        </w:rPr>
        <w:t xml:space="preserve"> bude</w:t>
      </w:r>
      <w:r w:rsidR="009D3D47" w:rsidRPr="0053555E">
        <w:rPr>
          <w:rFonts w:asciiTheme="majorHAnsi" w:hAnsiTheme="majorHAnsi" w:cstheme="majorHAnsi"/>
        </w:rPr>
        <w:t xml:space="preserve"> venovaná pozornosť </w:t>
      </w:r>
      <w:r w:rsidR="00961ADF" w:rsidRPr="0053555E">
        <w:rPr>
          <w:rFonts w:asciiTheme="majorHAnsi" w:hAnsiTheme="majorHAnsi" w:cstheme="majorHAnsi"/>
        </w:rPr>
        <w:t xml:space="preserve">v ďalšej časti </w:t>
      </w:r>
      <w:r w:rsidR="009D3D47" w:rsidRPr="0053555E">
        <w:rPr>
          <w:rFonts w:asciiTheme="majorHAnsi" w:hAnsiTheme="majorHAnsi" w:cstheme="majorHAnsi"/>
        </w:rPr>
        <w:t>tejto</w:t>
      </w:r>
      <w:r w:rsidR="00961ADF" w:rsidRPr="0053555E">
        <w:rPr>
          <w:rFonts w:asciiTheme="majorHAnsi" w:hAnsiTheme="majorHAnsi" w:cstheme="majorHAnsi"/>
        </w:rPr>
        <w:t xml:space="preserve"> správy.</w:t>
      </w:r>
      <w:r w:rsidR="009D3D47" w:rsidRPr="0053555E">
        <w:rPr>
          <w:rFonts w:asciiTheme="majorHAnsi" w:hAnsiTheme="majorHAnsi" w:cstheme="majorHAnsi"/>
        </w:rPr>
        <w:t xml:space="preserve"> </w:t>
      </w:r>
    </w:p>
    <w:p w14:paraId="5302EF0B" w14:textId="2C6DAA84" w:rsidR="002071AC" w:rsidRPr="0053555E" w:rsidRDefault="00145224" w:rsidP="00324438">
      <w:pPr>
        <w:tabs>
          <w:tab w:val="left" w:pos="9356"/>
        </w:tabs>
        <w:spacing w:after="120"/>
        <w:jc w:val="both"/>
        <w:rPr>
          <w:rFonts w:asciiTheme="majorHAnsi" w:hAnsiTheme="majorHAnsi" w:cstheme="majorHAnsi"/>
        </w:rPr>
      </w:pPr>
      <w:r w:rsidRPr="0053555E">
        <w:rPr>
          <w:rFonts w:asciiTheme="majorHAnsi" w:hAnsiTheme="majorHAnsi" w:cstheme="majorHAnsi"/>
        </w:rPr>
        <w:t>V</w:t>
      </w:r>
      <w:r w:rsidR="002071AC" w:rsidRPr="0053555E">
        <w:rPr>
          <w:rFonts w:asciiTheme="majorHAnsi" w:hAnsiTheme="majorHAnsi" w:cstheme="majorHAnsi"/>
        </w:rPr>
        <w:t xml:space="preserve">äčšie zastúpenie </w:t>
      </w:r>
      <w:r w:rsidR="00C67852" w:rsidRPr="0053555E">
        <w:rPr>
          <w:rFonts w:asciiTheme="majorHAnsi" w:hAnsiTheme="majorHAnsi" w:cstheme="majorHAnsi"/>
        </w:rPr>
        <w:t xml:space="preserve">v rámci poskytovaného ďalšieho vzdelávania </w:t>
      </w:r>
      <w:r w:rsidR="002071AC" w:rsidRPr="0053555E">
        <w:rPr>
          <w:rFonts w:asciiTheme="majorHAnsi" w:hAnsiTheme="majorHAnsi" w:cstheme="majorHAnsi"/>
        </w:rPr>
        <w:t xml:space="preserve">mali </w:t>
      </w:r>
      <w:r w:rsidR="002071AC" w:rsidRPr="0053555E">
        <w:rPr>
          <w:rFonts w:asciiTheme="majorHAnsi" w:hAnsiTheme="majorHAnsi" w:cstheme="majorHAnsi"/>
          <w:b/>
        </w:rPr>
        <w:t xml:space="preserve">neakreditované </w:t>
      </w:r>
      <w:r w:rsidRPr="0053555E">
        <w:rPr>
          <w:rFonts w:asciiTheme="majorHAnsi" w:hAnsiTheme="majorHAnsi" w:cstheme="majorHAnsi"/>
          <w:b/>
        </w:rPr>
        <w:t>vzdelávacie programy</w:t>
      </w:r>
      <w:r w:rsidR="000B20CD" w:rsidRPr="0053555E">
        <w:rPr>
          <w:rFonts w:asciiTheme="majorHAnsi" w:hAnsiTheme="majorHAnsi" w:cstheme="majorHAnsi"/>
        </w:rPr>
        <w:t xml:space="preserve">, ktorých sa uskutočnilo </w:t>
      </w:r>
      <w:r w:rsidR="00F33828">
        <w:rPr>
          <w:rFonts w:asciiTheme="majorHAnsi" w:hAnsiTheme="majorHAnsi" w:cstheme="majorHAnsi"/>
          <w:b/>
        </w:rPr>
        <w:t>92</w:t>
      </w:r>
      <w:r w:rsidR="00894DEF" w:rsidRPr="0053555E">
        <w:rPr>
          <w:rFonts w:asciiTheme="majorHAnsi" w:hAnsiTheme="majorHAnsi" w:cstheme="majorHAnsi"/>
          <w:b/>
        </w:rPr>
        <w:t xml:space="preserve"> kurzov</w:t>
      </w:r>
      <w:r w:rsidR="00D9264F" w:rsidRPr="0053555E">
        <w:rPr>
          <w:rFonts w:asciiTheme="majorHAnsi" w:hAnsiTheme="majorHAnsi" w:cstheme="majorHAnsi"/>
        </w:rPr>
        <w:t>, pričom účastníci väčšinou po </w:t>
      </w:r>
      <w:r w:rsidR="00B01910" w:rsidRPr="0053555E">
        <w:rPr>
          <w:rFonts w:asciiTheme="majorHAnsi" w:hAnsiTheme="majorHAnsi" w:cstheme="majorHAnsi"/>
        </w:rPr>
        <w:t>s</w:t>
      </w:r>
      <w:r w:rsidR="002071AC" w:rsidRPr="0053555E">
        <w:rPr>
          <w:rFonts w:asciiTheme="majorHAnsi" w:hAnsiTheme="majorHAnsi" w:cstheme="majorHAnsi"/>
        </w:rPr>
        <w:t xml:space="preserve">končení programu získali osvedčenie o absolvovaní vydané pracoviskom garantujúcim </w:t>
      </w:r>
      <w:r w:rsidR="00417CF2" w:rsidRPr="0053555E">
        <w:rPr>
          <w:rFonts w:asciiTheme="majorHAnsi" w:hAnsiTheme="majorHAnsi" w:cstheme="majorHAnsi"/>
        </w:rPr>
        <w:t xml:space="preserve">vzdelávací </w:t>
      </w:r>
      <w:r w:rsidR="002071AC" w:rsidRPr="0053555E">
        <w:rPr>
          <w:rFonts w:asciiTheme="majorHAnsi" w:hAnsiTheme="majorHAnsi" w:cstheme="majorHAnsi"/>
        </w:rPr>
        <w:t>program.</w:t>
      </w:r>
    </w:p>
    <w:p w14:paraId="6FACC7BE" w14:textId="615FA965" w:rsidR="00F23610" w:rsidRPr="00067FC0" w:rsidRDefault="002071AC" w:rsidP="00067FC0">
      <w:pPr>
        <w:pStyle w:val="Nzov"/>
        <w:tabs>
          <w:tab w:val="left" w:pos="9356"/>
        </w:tabs>
        <w:spacing w:after="120"/>
        <w:jc w:val="both"/>
        <w:rPr>
          <w:rFonts w:asciiTheme="majorHAnsi" w:hAnsiTheme="majorHAnsi" w:cstheme="majorHAnsi"/>
          <w:szCs w:val="24"/>
        </w:rPr>
      </w:pPr>
      <w:r w:rsidRPr="0053555E">
        <w:rPr>
          <w:rFonts w:asciiTheme="majorHAnsi" w:hAnsiTheme="majorHAnsi" w:cstheme="majorHAnsi"/>
          <w:szCs w:val="24"/>
        </w:rPr>
        <w:t>Mnohé z</w:t>
      </w:r>
      <w:r w:rsidR="00B01910" w:rsidRPr="0053555E">
        <w:rPr>
          <w:rFonts w:asciiTheme="majorHAnsi" w:hAnsiTheme="majorHAnsi" w:cstheme="majorHAnsi"/>
          <w:szCs w:val="24"/>
        </w:rPr>
        <w:t xml:space="preserve">o vzdelávacích programov ďalšieho </w:t>
      </w:r>
      <w:r w:rsidRPr="0053555E">
        <w:rPr>
          <w:rFonts w:asciiTheme="majorHAnsi" w:hAnsiTheme="majorHAnsi" w:cstheme="majorHAnsi"/>
          <w:szCs w:val="24"/>
        </w:rPr>
        <w:t>vzdelávania na STU boli realizované na základe požiadaviek z</w:t>
      </w:r>
      <w:r w:rsidR="00067FC0">
        <w:rPr>
          <w:rFonts w:asciiTheme="majorHAnsi" w:hAnsiTheme="majorHAnsi" w:cstheme="majorHAnsi"/>
          <w:szCs w:val="24"/>
        </w:rPr>
        <w:t> </w:t>
      </w:r>
      <w:r w:rsidRPr="0053555E">
        <w:rPr>
          <w:rFonts w:asciiTheme="majorHAnsi" w:hAnsiTheme="majorHAnsi" w:cstheme="majorHAnsi"/>
          <w:szCs w:val="24"/>
        </w:rPr>
        <w:t>praxe</w:t>
      </w:r>
      <w:r w:rsidR="00067FC0">
        <w:rPr>
          <w:rFonts w:asciiTheme="majorHAnsi" w:hAnsiTheme="majorHAnsi" w:cstheme="majorHAnsi"/>
          <w:szCs w:val="24"/>
        </w:rPr>
        <w:t xml:space="preserve">. </w:t>
      </w:r>
      <w:r w:rsidRPr="0053555E">
        <w:rPr>
          <w:rFonts w:asciiTheme="majorHAnsi" w:eastAsiaTheme="minorEastAsia" w:hAnsiTheme="majorHAnsi" w:cstheme="majorHAnsi"/>
          <w:szCs w:val="24"/>
          <w:lang w:eastAsia="en-US"/>
        </w:rPr>
        <w:t xml:space="preserve">Okrem toho </w:t>
      </w:r>
      <w:r w:rsidR="00410297" w:rsidRPr="0053555E">
        <w:rPr>
          <w:rFonts w:asciiTheme="majorHAnsi" w:eastAsiaTheme="minorEastAsia" w:hAnsiTheme="majorHAnsi" w:cstheme="majorHAnsi"/>
          <w:szCs w:val="24"/>
          <w:lang w:eastAsia="en-US"/>
        </w:rPr>
        <w:t>súčasti STU</w:t>
      </w:r>
      <w:r w:rsidRPr="0053555E">
        <w:rPr>
          <w:rFonts w:asciiTheme="majorHAnsi" w:eastAsiaTheme="minorEastAsia" w:hAnsiTheme="majorHAnsi" w:cstheme="majorHAnsi"/>
          <w:szCs w:val="24"/>
          <w:lang w:eastAsia="en-US"/>
        </w:rPr>
        <w:t xml:space="preserve"> </w:t>
      </w:r>
      <w:r w:rsidR="00F471CB" w:rsidRPr="0053555E">
        <w:rPr>
          <w:rFonts w:asciiTheme="majorHAnsi" w:eastAsiaTheme="minorEastAsia" w:hAnsiTheme="majorHAnsi" w:cstheme="majorHAnsi"/>
          <w:szCs w:val="24"/>
          <w:lang w:eastAsia="en-US"/>
        </w:rPr>
        <w:t xml:space="preserve">pravidelne </w:t>
      </w:r>
      <w:r w:rsidRPr="0053555E">
        <w:rPr>
          <w:rFonts w:asciiTheme="majorHAnsi" w:eastAsiaTheme="minorEastAsia" w:hAnsiTheme="majorHAnsi" w:cstheme="majorHAnsi"/>
          <w:szCs w:val="24"/>
          <w:lang w:eastAsia="en-US"/>
        </w:rPr>
        <w:t>organiz</w:t>
      </w:r>
      <w:r w:rsidR="0006644A" w:rsidRPr="0053555E">
        <w:rPr>
          <w:rFonts w:asciiTheme="majorHAnsi" w:eastAsiaTheme="minorEastAsia" w:hAnsiTheme="majorHAnsi" w:cstheme="majorHAnsi"/>
          <w:szCs w:val="24"/>
          <w:lang w:eastAsia="en-US"/>
        </w:rPr>
        <w:t>ujú</w:t>
      </w:r>
      <w:r w:rsidRPr="0053555E">
        <w:rPr>
          <w:rFonts w:asciiTheme="majorHAnsi" w:eastAsiaTheme="minorEastAsia" w:hAnsiTheme="majorHAnsi" w:cstheme="majorHAnsi"/>
          <w:szCs w:val="24"/>
          <w:lang w:eastAsia="en-US"/>
        </w:rPr>
        <w:t xml:space="preserve"> kurzy fyziky</w:t>
      </w:r>
      <w:r w:rsidR="00240E6C" w:rsidRPr="0053555E">
        <w:rPr>
          <w:rFonts w:asciiTheme="majorHAnsi" w:eastAsiaTheme="minorEastAsia" w:hAnsiTheme="majorHAnsi" w:cstheme="majorHAnsi"/>
          <w:szCs w:val="24"/>
          <w:lang w:eastAsia="en-US"/>
        </w:rPr>
        <w:t xml:space="preserve">, </w:t>
      </w:r>
      <w:r w:rsidRPr="0053555E">
        <w:rPr>
          <w:rFonts w:asciiTheme="majorHAnsi" w:eastAsiaTheme="minorEastAsia" w:hAnsiTheme="majorHAnsi" w:cstheme="majorHAnsi"/>
          <w:szCs w:val="24"/>
          <w:lang w:eastAsia="en-US"/>
        </w:rPr>
        <w:t>stredoškolskej matematiky</w:t>
      </w:r>
      <w:r w:rsidR="008216BB">
        <w:rPr>
          <w:rFonts w:asciiTheme="majorHAnsi" w:eastAsiaTheme="minorEastAsia" w:hAnsiTheme="majorHAnsi" w:cstheme="majorHAnsi"/>
          <w:szCs w:val="24"/>
          <w:lang w:eastAsia="en-US"/>
        </w:rPr>
        <w:t xml:space="preserve"> a</w:t>
      </w:r>
      <w:r w:rsidR="00240E6C" w:rsidRPr="0053555E">
        <w:rPr>
          <w:rFonts w:asciiTheme="majorHAnsi" w:eastAsiaTheme="minorEastAsia" w:hAnsiTheme="majorHAnsi" w:cstheme="majorHAnsi"/>
          <w:szCs w:val="24"/>
          <w:lang w:eastAsia="en-US"/>
        </w:rPr>
        <w:t xml:space="preserve"> </w:t>
      </w:r>
      <w:r w:rsidR="00C64BED" w:rsidRPr="0053555E">
        <w:rPr>
          <w:rFonts w:asciiTheme="majorHAnsi" w:eastAsiaTheme="minorEastAsia" w:hAnsiTheme="majorHAnsi" w:cstheme="majorHAnsi"/>
          <w:szCs w:val="24"/>
          <w:lang w:eastAsia="en-US"/>
        </w:rPr>
        <w:t xml:space="preserve">v prípade FCHPT </w:t>
      </w:r>
      <w:r w:rsidR="00240E6C" w:rsidRPr="0053555E">
        <w:rPr>
          <w:rFonts w:asciiTheme="majorHAnsi" w:eastAsiaTheme="minorEastAsia" w:hAnsiTheme="majorHAnsi" w:cstheme="majorHAnsi"/>
          <w:szCs w:val="24"/>
          <w:lang w:eastAsia="en-US"/>
        </w:rPr>
        <w:t>kurzy chémi</w:t>
      </w:r>
      <w:r w:rsidR="00C64BED" w:rsidRPr="0053555E">
        <w:rPr>
          <w:rFonts w:asciiTheme="majorHAnsi" w:eastAsiaTheme="minorEastAsia" w:hAnsiTheme="majorHAnsi" w:cstheme="majorHAnsi"/>
          <w:szCs w:val="24"/>
          <w:lang w:eastAsia="en-US"/>
        </w:rPr>
        <w:t>e</w:t>
      </w:r>
      <w:r w:rsidR="00240E6C" w:rsidRPr="0053555E">
        <w:rPr>
          <w:rFonts w:asciiTheme="majorHAnsi" w:eastAsiaTheme="minorEastAsia" w:hAnsiTheme="majorHAnsi" w:cstheme="majorHAnsi"/>
          <w:szCs w:val="24"/>
          <w:lang w:eastAsia="en-US"/>
        </w:rPr>
        <w:t xml:space="preserve">. Tieto kurzy </w:t>
      </w:r>
      <w:r w:rsidR="00067FC0">
        <w:rPr>
          <w:rFonts w:asciiTheme="majorHAnsi" w:eastAsiaTheme="minorEastAsia" w:hAnsiTheme="majorHAnsi" w:cstheme="majorHAnsi"/>
          <w:szCs w:val="24"/>
          <w:lang w:eastAsia="en-US"/>
        </w:rPr>
        <w:t>sa</w:t>
      </w:r>
      <w:r w:rsidR="00240E6C" w:rsidRPr="0053555E">
        <w:rPr>
          <w:rFonts w:asciiTheme="majorHAnsi" w:eastAsiaTheme="minorEastAsia" w:hAnsiTheme="majorHAnsi" w:cstheme="majorHAnsi"/>
          <w:szCs w:val="24"/>
          <w:lang w:eastAsia="en-US"/>
        </w:rPr>
        <w:t xml:space="preserve"> </w:t>
      </w:r>
      <w:r w:rsidR="00067FC0">
        <w:rPr>
          <w:rFonts w:asciiTheme="majorHAnsi" w:eastAsiaTheme="minorEastAsia" w:hAnsiTheme="majorHAnsi" w:cstheme="majorHAnsi"/>
          <w:szCs w:val="24"/>
          <w:lang w:eastAsia="en-US"/>
        </w:rPr>
        <w:t>organizujú</w:t>
      </w:r>
      <w:r w:rsidR="00370629" w:rsidRPr="0053555E">
        <w:rPr>
          <w:rFonts w:asciiTheme="majorHAnsi" w:eastAsiaTheme="minorEastAsia" w:hAnsiTheme="majorHAnsi" w:cstheme="majorHAnsi"/>
          <w:szCs w:val="24"/>
          <w:lang w:eastAsia="en-US"/>
        </w:rPr>
        <w:t xml:space="preserve"> spravidla na</w:t>
      </w:r>
      <w:r w:rsidR="008216BB">
        <w:rPr>
          <w:rFonts w:asciiTheme="majorHAnsi" w:eastAsiaTheme="minorEastAsia" w:hAnsiTheme="majorHAnsi" w:cstheme="majorHAnsi"/>
          <w:szCs w:val="24"/>
          <w:lang w:eastAsia="en-US"/>
        </w:rPr>
        <w:t> </w:t>
      </w:r>
      <w:r w:rsidR="00370629" w:rsidRPr="0053555E">
        <w:rPr>
          <w:rFonts w:asciiTheme="majorHAnsi" w:eastAsiaTheme="minorEastAsia" w:hAnsiTheme="majorHAnsi" w:cstheme="majorHAnsi"/>
          <w:szCs w:val="24"/>
          <w:lang w:eastAsia="en-US"/>
        </w:rPr>
        <w:t xml:space="preserve">začiatku akademického </w:t>
      </w:r>
      <w:r w:rsidR="00D01FD7" w:rsidRPr="0053555E">
        <w:rPr>
          <w:rFonts w:asciiTheme="majorHAnsi" w:eastAsiaTheme="minorEastAsia" w:hAnsiTheme="majorHAnsi" w:cstheme="majorHAnsi"/>
          <w:szCs w:val="24"/>
          <w:lang w:eastAsia="en-US"/>
        </w:rPr>
        <w:t>r</w:t>
      </w:r>
      <w:r w:rsidR="00370629" w:rsidRPr="0053555E">
        <w:rPr>
          <w:rFonts w:asciiTheme="majorHAnsi" w:eastAsiaTheme="minorEastAsia" w:hAnsiTheme="majorHAnsi" w:cstheme="majorHAnsi"/>
          <w:szCs w:val="24"/>
          <w:lang w:eastAsia="en-US"/>
        </w:rPr>
        <w:t xml:space="preserve">oka </w:t>
      </w:r>
      <w:r w:rsidR="00E05F6B" w:rsidRPr="0053555E">
        <w:rPr>
          <w:rFonts w:asciiTheme="majorHAnsi" w:eastAsiaTheme="minorEastAsia" w:hAnsiTheme="majorHAnsi" w:cstheme="majorHAnsi"/>
          <w:szCs w:val="24"/>
          <w:lang w:eastAsia="en-US"/>
        </w:rPr>
        <w:t xml:space="preserve">v rámci úvodu do štúdia </w:t>
      </w:r>
      <w:r w:rsidR="00AE269D" w:rsidRPr="0053555E">
        <w:rPr>
          <w:rFonts w:asciiTheme="majorHAnsi" w:eastAsiaTheme="minorEastAsia" w:hAnsiTheme="majorHAnsi" w:cstheme="majorHAnsi"/>
          <w:szCs w:val="24"/>
          <w:lang w:eastAsia="en-US"/>
        </w:rPr>
        <w:t xml:space="preserve">a </w:t>
      </w:r>
      <w:r w:rsidR="00370629" w:rsidRPr="0053555E">
        <w:rPr>
          <w:rFonts w:asciiTheme="majorHAnsi" w:eastAsiaTheme="minorEastAsia" w:hAnsiTheme="majorHAnsi" w:cstheme="majorHAnsi"/>
          <w:szCs w:val="24"/>
          <w:lang w:eastAsia="en-US"/>
        </w:rPr>
        <w:t xml:space="preserve">sú </w:t>
      </w:r>
      <w:r w:rsidR="00D01FD7" w:rsidRPr="0053555E">
        <w:rPr>
          <w:rFonts w:asciiTheme="majorHAnsi" w:eastAsiaTheme="minorEastAsia" w:hAnsiTheme="majorHAnsi" w:cstheme="majorHAnsi"/>
          <w:szCs w:val="24"/>
          <w:lang w:eastAsia="en-US"/>
        </w:rPr>
        <w:t xml:space="preserve">určené </w:t>
      </w:r>
      <w:r w:rsidR="00E05F6B" w:rsidRPr="0053555E">
        <w:rPr>
          <w:rFonts w:asciiTheme="majorHAnsi" w:eastAsiaTheme="minorEastAsia" w:hAnsiTheme="majorHAnsi" w:cstheme="majorHAnsi"/>
          <w:szCs w:val="24"/>
          <w:lang w:eastAsia="en-US"/>
        </w:rPr>
        <w:t>predovšetkým pre</w:t>
      </w:r>
      <w:r w:rsidR="006D5E06">
        <w:rPr>
          <w:rFonts w:asciiTheme="majorHAnsi" w:eastAsiaTheme="minorEastAsia" w:hAnsiTheme="majorHAnsi" w:cstheme="majorHAnsi"/>
          <w:szCs w:val="24"/>
          <w:lang w:eastAsia="en-US"/>
        </w:rPr>
        <w:t> </w:t>
      </w:r>
      <w:r w:rsidR="00E05F6B" w:rsidRPr="0053555E">
        <w:rPr>
          <w:rFonts w:asciiTheme="majorHAnsi" w:eastAsiaTheme="minorEastAsia" w:hAnsiTheme="majorHAnsi" w:cstheme="majorHAnsi"/>
          <w:szCs w:val="24"/>
          <w:lang w:eastAsia="en-US"/>
        </w:rPr>
        <w:t>záujemcov z </w:t>
      </w:r>
      <w:r w:rsidRPr="0053555E">
        <w:rPr>
          <w:rFonts w:asciiTheme="majorHAnsi" w:eastAsiaTheme="minorEastAsia" w:hAnsiTheme="majorHAnsi" w:cstheme="majorHAnsi"/>
          <w:szCs w:val="24"/>
          <w:lang w:eastAsia="en-US"/>
        </w:rPr>
        <w:t xml:space="preserve">novoprijatých študentov prvých ročníkov </w:t>
      </w:r>
      <w:r w:rsidR="00AF2A19" w:rsidRPr="0053555E">
        <w:rPr>
          <w:rFonts w:asciiTheme="majorHAnsi" w:eastAsiaTheme="minorEastAsia" w:hAnsiTheme="majorHAnsi" w:cstheme="majorHAnsi"/>
          <w:szCs w:val="24"/>
          <w:lang w:eastAsia="en-US"/>
        </w:rPr>
        <w:t>na prvom stupni</w:t>
      </w:r>
      <w:r w:rsidRPr="0053555E">
        <w:rPr>
          <w:rFonts w:asciiTheme="majorHAnsi" w:eastAsiaTheme="minorEastAsia" w:hAnsiTheme="majorHAnsi" w:cstheme="majorHAnsi"/>
          <w:szCs w:val="24"/>
          <w:lang w:eastAsia="en-US"/>
        </w:rPr>
        <w:t xml:space="preserve"> štúdia</w:t>
      </w:r>
      <w:r w:rsidR="00027017" w:rsidRPr="0053555E">
        <w:rPr>
          <w:rFonts w:asciiTheme="majorHAnsi" w:eastAsiaTheme="minorEastAsia" w:hAnsiTheme="majorHAnsi" w:cstheme="majorHAnsi"/>
          <w:szCs w:val="24"/>
          <w:lang w:eastAsia="en-US"/>
        </w:rPr>
        <w:t xml:space="preserve">. </w:t>
      </w:r>
      <w:r w:rsidR="006D5E06">
        <w:rPr>
          <w:rFonts w:asciiTheme="majorHAnsi" w:eastAsiaTheme="minorEastAsia" w:hAnsiTheme="majorHAnsi" w:cstheme="majorHAnsi"/>
          <w:szCs w:val="24"/>
          <w:lang w:eastAsia="en-US"/>
        </w:rPr>
        <w:t xml:space="preserve">V akademickom roku 2021/2022 boli </w:t>
      </w:r>
      <w:r w:rsidR="00981080">
        <w:rPr>
          <w:rFonts w:asciiTheme="majorHAnsi" w:eastAsiaTheme="minorEastAsia" w:hAnsiTheme="majorHAnsi" w:cstheme="majorHAnsi"/>
          <w:szCs w:val="24"/>
          <w:lang w:eastAsia="en-US"/>
        </w:rPr>
        <w:t xml:space="preserve">na fakultách aj kurzy slovenského jazyka predovšetkým pre </w:t>
      </w:r>
      <w:r w:rsidR="000E7474">
        <w:rPr>
          <w:rFonts w:asciiTheme="majorHAnsi" w:eastAsiaTheme="minorEastAsia" w:hAnsiTheme="majorHAnsi" w:cstheme="majorHAnsi"/>
          <w:szCs w:val="24"/>
          <w:lang w:eastAsia="en-US"/>
        </w:rPr>
        <w:t xml:space="preserve">novoprijatých </w:t>
      </w:r>
      <w:r w:rsidR="00981080">
        <w:rPr>
          <w:rFonts w:asciiTheme="majorHAnsi" w:eastAsiaTheme="minorEastAsia" w:hAnsiTheme="majorHAnsi" w:cstheme="majorHAnsi"/>
          <w:szCs w:val="24"/>
          <w:lang w:eastAsia="en-US"/>
        </w:rPr>
        <w:t>zahraničných študentov študujúcich v štátnom jazyku</w:t>
      </w:r>
      <w:r w:rsidR="00C01BA0">
        <w:rPr>
          <w:rFonts w:asciiTheme="majorHAnsi" w:eastAsiaTheme="minorEastAsia" w:hAnsiTheme="majorHAnsi" w:cstheme="majorHAnsi"/>
          <w:szCs w:val="24"/>
          <w:lang w:eastAsia="en-US"/>
        </w:rPr>
        <w:t xml:space="preserve"> </w:t>
      </w:r>
      <w:r w:rsidR="00042E20">
        <w:rPr>
          <w:rFonts w:asciiTheme="majorHAnsi" w:eastAsiaTheme="minorEastAsia" w:hAnsiTheme="majorHAnsi" w:cstheme="majorHAnsi"/>
          <w:szCs w:val="24"/>
          <w:lang w:eastAsia="en-US"/>
        </w:rPr>
        <w:t>na</w:t>
      </w:r>
      <w:r w:rsidR="00C01BA0">
        <w:rPr>
          <w:rFonts w:asciiTheme="majorHAnsi" w:eastAsiaTheme="minorEastAsia" w:hAnsiTheme="majorHAnsi" w:cstheme="majorHAnsi"/>
          <w:szCs w:val="24"/>
          <w:lang w:eastAsia="en-US"/>
        </w:rPr>
        <w:t xml:space="preserve"> zlepšeni</w:t>
      </w:r>
      <w:r w:rsidR="00067FC0">
        <w:rPr>
          <w:rFonts w:asciiTheme="majorHAnsi" w:eastAsiaTheme="minorEastAsia" w:hAnsiTheme="majorHAnsi" w:cstheme="majorHAnsi"/>
          <w:szCs w:val="24"/>
          <w:lang w:eastAsia="en-US"/>
        </w:rPr>
        <w:t>e</w:t>
      </w:r>
      <w:r w:rsidR="00C01BA0">
        <w:rPr>
          <w:rFonts w:asciiTheme="majorHAnsi" w:eastAsiaTheme="minorEastAsia" w:hAnsiTheme="majorHAnsi" w:cstheme="majorHAnsi"/>
          <w:szCs w:val="24"/>
          <w:lang w:eastAsia="en-US"/>
        </w:rPr>
        <w:t xml:space="preserve"> jazykových znalostí </w:t>
      </w:r>
      <w:r w:rsidR="000E7474">
        <w:rPr>
          <w:rFonts w:asciiTheme="majorHAnsi" w:eastAsiaTheme="minorEastAsia" w:hAnsiTheme="majorHAnsi" w:cstheme="majorHAnsi"/>
          <w:szCs w:val="24"/>
          <w:lang w:eastAsia="en-US"/>
        </w:rPr>
        <w:t xml:space="preserve">najmä </w:t>
      </w:r>
      <w:r w:rsidR="0064182A">
        <w:rPr>
          <w:rFonts w:asciiTheme="majorHAnsi" w:eastAsiaTheme="minorEastAsia" w:hAnsiTheme="majorHAnsi" w:cstheme="majorHAnsi"/>
          <w:szCs w:val="24"/>
          <w:lang w:eastAsia="en-US"/>
        </w:rPr>
        <w:t>odbornej</w:t>
      </w:r>
      <w:r w:rsidR="000E7474">
        <w:rPr>
          <w:rFonts w:asciiTheme="majorHAnsi" w:eastAsiaTheme="minorEastAsia" w:hAnsiTheme="majorHAnsi" w:cstheme="majorHAnsi"/>
          <w:szCs w:val="24"/>
          <w:lang w:eastAsia="en-US"/>
        </w:rPr>
        <w:t xml:space="preserve"> terminológie </w:t>
      </w:r>
      <w:r w:rsidR="00C01BA0">
        <w:rPr>
          <w:rFonts w:asciiTheme="majorHAnsi" w:eastAsiaTheme="minorEastAsia" w:hAnsiTheme="majorHAnsi" w:cstheme="majorHAnsi"/>
          <w:szCs w:val="24"/>
          <w:lang w:eastAsia="en-US"/>
        </w:rPr>
        <w:t>nevyhnutn</w:t>
      </w:r>
      <w:r w:rsidR="0064182A">
        <w:rPr>
          <w:rFonts w:asciiTheme="majorHAnsi" w:eastAsiaTheme="minorEastAsia" w:hAnsiTheme="majorHAnsi" w:cstheme="majorHAnsi"/>
          <w:szCs w:val="24"/>
          <w:lang w:eastAsia="en-US"/>
        </w:rPr>
        <w:t>ej</w:t>
      </w:r>
      <w:r w:rsidR="00C01BA0">
        <w:rPr>
          <w:rFonts w:asciiTheme="majorHAnsi" w:eastAsiaTheme="minorEastAsia" w:hAnsiTheme="majorHAnsi" w:cstheme="majorHAnsi"/>
          <w:szCs w:val="24"/>
          <w:lang w:eastAsia="en-US"/>
        </w:rPr>
        <w:t xml:space="preserve"> pre</w:t>
      </w:r>
      <w:r w:rsidR="00042E20">
        <w:rPr>
          <w:rFonts w:asciiTheme="majorHAnsi" w:eastAsiaTheme="minorEastAsia" w:hAnsiTheme="majorHAnsi" w:cstheme="majorHAnsi"/>
          <w:szCs w:val="24"/>
          <w:lang w:eastAsia="en-US"/>
        </w:rPr>
        <w:t> </w:t>
      </w:r>
      <w:r w:rsidR="00C01BA0">
        <w:rPr>
          <w:rFonts w:asciiTheme="majorHAnsi" w:eastAsiaTheme="minorEastAsia" w:hAnsiTheme="majorHAnsi" w:cstheme="majorHAnsi"/>
          <w:szCs w:val="24"/>
          <w:lang w:eastAsia="en-US"/>
        </w:rPr>
        <w:t>štúdium</w:t>
      </w:r>
      <w:r w:rsidR="0064182A">
        <w:rPr>
          <w:rFonts w:asciiTheme="majorHAnsi" w:eastAsiaTheme="minorEastAsia" w:hAnsiTheme="majorHAnsi" w:cstheme="majorHAnsi"/>
          <w:szCs w:val="24"/>
          <w:lang w:eastAsia="en-US"/>
        </w:rPr>
        <w:t xml:space="preserve"> technických predmetov</w:t>
      </w:r>
      <w:r w:rsidR="00C01BA0">
        <w:rPr>
          <w:rFonts w:asciiTheme="majorHAnsi" w:eastAsiaTheme="minorEastAsia" w:hAnsiTheme="majorHAnsi" w:cstheme="majorHAnsi"/>
          <w:szCs w:val="24"/>
          <w:lang w:eastAsia="en-US"/>
        </w:rPr>
        <w:t xml:space="preserve">. </w:t>
      </w:r>
      <w:r w:rsidR="00067FC0">
        <w:rPr>
          <w:rFonts w:asciiTheme="majorHAnsi" w:eastAsiaTheme="minorEastAsia" w:hAnsiTheme="majorHAnsi" w:cstheme="majorHAnsi"/>
          <w:szCs w:val="24"/>
          <w:lang w:eastAsia="en-US"/>
        </w:rPr>
        <w:t>P</w:t>
      </w:r>
      <w:r w:rsidR="00B01910" w:rsidRPr="0053555E">
        <w:rPr>
          <w:rFonts w:asciiTheme="majorHAnsi" w:eastAsiaTheme="minorEastAsia" w:hAnsiTheme="majorHAnsi" w:cstheme="majorHAnsi"/>
          <w:szCs w:val="24"/>
          <w:lang w:eastAsia="en-US"/>
        </w:rPr>
        <w:t>redstavovali</w:t>
      </w:r>
      <w:r w:rsidRPr="0053555E">
        <w:rPr>
          <w:rFonts w:asciiTheme="majorHAnsi" w:eastAsiaTheme="minorEastAsia" w:hAnsiTheme="majorHAnsi" w:cstheme="majorHAnsi"/>
          <w:szCs w:val="24"/>
          <w:lang w:eastAsia="en-US"/>
        </w:rPr>
        <w:t xml:space="preserve"> jednu z možností </w:t>
      </w:r>
      <w:r w:rsidR="00067FC0">
        <w:rPr>
          <w:rFonts w:asciiTheme="majorHAnsi" w:eastAsiaTheme="minorEastAsia" w:hAnsiTheme="majorHAnsi" w:cstheme="majorHAnsi"/>
          <w:szCs w:val="24"/>
          <w:lang w:eastAsia="en-US"/>
        </w:rPr>
        <w:t>pomoci</w:t>
      </w:r>
      <w:r w:rsidRPr="0053555E">
        <w:rPr>
          <w:rFonts w:asciiTheme="majorHAnsi" w:eastAsiaTheme="minorEastAsia" w:hAnsiTheme="majorHAnsi" w:cstheme="majorHAnsi"/>
          <w:szCs w:val="24"/>
          <w:lang w:eastAsia="en-US"/>
        </w:rPr>
        <w:t xml:space="preserve"> študentom úspešne zvládnuť </w:t>
      </w:r>
      <w:r w:rsidR="00B82F16" w:rsidRPr="0053555E">
        <w:rPr>
          <w:rFonts w:asciiTheme="majorHAnsi" w:eastAsiaTheme="minorEastAsia" w:hAnsiTheme="majorHAnsi" w:cstheme="majorHAnsi"/>
          <w:szCs w:val="24"/>
          <w:lang w:eastAsia="en-US"/>
        </w:rPr>
        <w:t>(</w:t>
      </w:r>
      <w:r w:rsidR="00067FC0">
        <w:rPr>
          <w:rFonts w:asciiTheme="majorHAnsi" w:eastAsiaTheme="minorEastAsia" w:hAnsiTheme="majorHAnsi" w:cstheme="majorHAnsi"/>
          <w:szCs w:val="24"/>
          <w:lang w:eastAsia="en-US"/>
        </w:rPr>
        <w:t>najmä</w:t>
      </w:r>
      <w:r w:rsidRPr="0053555E">
        <w:rPr>
          <w:rFonts w:asciiTheme="majorHAnsi" w:eastAsiaTheme="minorEastAsia" w:hAnsiTheme="majorHAnsi" w:cstheme="majorHAnsi"/>
          <w:szCs w:val="24"/>
          <w:lang w:eastAsia="en-US"/>
        </w:rPr>
        <w:t xml:space="preserve"> v prvých </w:t>
      </w:r>
      <w:r w:rsidR="00B82F16" w:rsidRPr="0053555E">
        <w:rPr>
          <w:rFonts w:asciiTheme="majorHAnsi" w:eastAsiaTheme="minorEastAsia" w:hAnsiTheme="majorHAnsi" w:cstheme="majorHAnsi"/>
          <w:szCs w:val="24"/>
          <w:lang w:eastAsia="en-US"/>
        </w:rPr>
        <w:t>rokoch)</w:t>
      </w:r>
      <w:r w:rsidRPr="0053555E">
        <w:rPr>
          <w:rFonts w:asciiTheme="majorHAnsi" w:eastAsiaTheme="minorEastAsia" w:hAnsiTheme="majorHAnsi" w:cstheme="majorHAnsi"/>
          <w:szCs w:val="24"/>
          <w:lang w:eastAsia="en-US"/>
        </w:rPr>
        <w:t xml:space="preserve"> náročné štúdium na vysokej škole technického zamerania. </w:t>
      </w:r>
      <w:r w:rsidR="0006644A" w:rsidRPr="0053555E">
        <w:rPr>
          <w:rFonts w:asciiTheme="majorHAnsi" w:eastAsiaTheme="minorEastAsia" w:hAnsiTheme="majorHAnsi" w:cstheme="majorHAnsi"/>
          <w:szCs w:val="24"/>
          <w:lang w:eastAsia="en-US"/>
        </w:rPr>
        <w:t>Na </w:t>
      </w:r>
      <w:r w:rsidR="009D4BD1" w:rsidRPr="0053555E">
        <w:rPr>
          <w:rFonts w:asciiTheme="majorHAnsi" w:eastAsiaTheme="minorEastAsia" w:hAnsiTheme="majorHAnsi" w:cstheme="majorHAnsi"/>
          <w:szCs w:val="24"/>
          <w:lang w:eastAsia="en-US"/>
        </w:rPr>
        <w:t>FAD</w:t>
      </w:r>
      <w:r w:rsidR="009E017A" w:rsidRPr="0053555E">
        <w:rPr>
          <w:rFonts w:asciiTheme="majorHAnsi" w:eastAsiaTheme="minorEastAsia" w:hAnsiTheme="majorHAnsi" w:cstheme="majorHAnsi"/>
          <w:szCs w:val="24"/>
          <w:lang w:eastAsia="en-US"/>
        </w:rPr>
        <w:t xml:space="preserve"> sa každoročne konajú kurzy kreslenia </w:t>
      </w:r>
      <w:r w:rsidR="00093579" w:rsidRPr="0053555E">
        <w:rPr>
          <w:rFonts w:asciiTheme="majorHAnsi" w:eastAsiaTheme="minorEastAsia" w:hAnsiTheme="majorHAnsi" w:cstheme="majorHAnsi"/>
          <w:szCs w:val="24"/>
          <w:lang w:eastAsia="en-US"/>
        </w:rPr>
        <w:t xml:space="preserve">určené pre verejnosť, </w:t>
      </w:r>
      <w:r w:rsidR="004270CE" w:rsidRPr="0053555E">
        <w:rPr>
          <w:rFonts w:asciiTheme="majorHAnsi" w:eastAsiaTheme="minorEastAsia" w:hAnsiTheme="majorHAnsi" w:cstheme="majorHAnsi"/>
          <w:szCs w:val="24"/>
          <w:lang w:eastAsia="en-US"/>
        </w:rPr>
        <w:t>najmä pre záujemcov o štúdium na</w:t>
      </w:r>
      <w:r w:rsidR="006D5E06">
        <w:rPr>
          <w:rFonts w:asciiTheme="majorHAnsi" w:eastAsiaTheme="minorEastAsia" w:hAnsiTheme="majorHAnsi" w:cstheme="majorHAnsi"/>
          <w:szCs w:val="24"/>
          <w:lang w:eastAsia="en-US"/>
        </w:rPr>
        <w:t> </w:t>
      </w:r>
      <w:r w:rsidR="004270CE" w:rsidRPr="0053555E">
        <w:rPr>
          <w:rFonts w:asciiTheme="majorHAnsi" w:eastAsiaTheme="minorEastAsia" w:hAnsiTheme="majorHAnsi" w:cstheme="majorHAnsi"/>
          <w:szCs w:val="24"/>
          <w:lang w:eastAsia="en-US"/>
        </w:rPr>
        <w:t>fakulte ako prípravu na prijímacie konanie</w:t>
      </w:r>
      <w:r w:rsidR="007807A0" w:rsidRPr="0053555E">
        <w:rPr>
          <w:rFonts w:asciiTheme="majorHAnsi" w:eastAsiaTheme="minorEastAsia" w:hAnsiTheme="majorHAnsi" w:cstheme="majorHAnsi"/>
          <w:szCs w:val="24"/>
          <w:lang w:eastAsia="en-US"/>
        </w:rPr>
        <w:t xml:space="preserve">. </w:t>
      </w:r>
      <w:r w:rsidR="00A54264" w:rsidRPr="0053555E">
        <w:rPr>
          <w:rFonts w:asciiTheme="majorHAnsi" w:eastAsiaTheme="minorEastAsia" w:hAnsiTheme="majorHAnsi" w:cstheme="majorHAnsi"/>
          <w:szCs w:val="24"/>
          <w:lang w:eastAsia="en-US"/>
        </w:rPr>
        <w:t xml:space="preserve">Organizovanie týchto </w:t>
      </w:r>
      <w:r w:rsidR="007807A0" w:rsidRPr="0053555E">
        <w:rPr>
          <w:rFonts w:asciiTheme="majorHAnsi" w:eastAsiaTheme="minorEastAsia" w:hAnsiTheme="majorHAnsi" w:cstheme="majorHAnsi"/>
          <w:szCs w:val="24"/>
          <w:lang w:eastAsia="en-US"/>
        </w:rPr>
        <w:t>kurz</w:t>
      </w:r>
      <w:r w:rsidR="00573CA7" w:rsidRPr="0053555E">
        <w:rPr>
          <w:rFonts w:asciiTheme="majorHAnsi" w:eastAsiaTheme="minorEastAsia" w:hAnsiTheme="majorHAnsi" w:cstheme="majorHAnsi"/>
          <w:szCs w:val="24"/>
          <w:lang w:eastAsia="en-US"/>
        </w:rPr>
        <w:t xml:space="preserve">ov fakulta využíva </w:t>
      </w:r>
      <w:r w:rsidR="00093579" w:rsidRPr="0053555E">
        <w:rPr>
          <w:rFonts w:asciiTheme="majorHAnsi" w:eastAsiaTheme="minorEastAsia" w:hAnsiTheme="majorHAnsi" w:cstheme="majorHAnsi"/>
          <w:szCs w:val="24"/>
          <w:lang w:eastAsia="en-US"/>
        </w:rPr>
        <w:t>ako jednu z </w:t>
      </w:r>
      <w:r w:rsidR="00110C15" w:rsidRPr="0053555E">
        <w:rPr>
          <w:rFonts w:asciiTheme="majorHAnsi" w:eastAsiaTheme="minorEastAsia" w:hAnsiTheme="majorHAnsi" w:cstheme="majorHAnsi"/>
          <w:szCs w:val="24"/>
          <w:lang w:eastAsia="en-US"/>
        </w:rPr>
        <w:t>foriem</w:t>
      </w:r>
      <w:r w:rsidR="00093579" w:rsidRPr="0053555E">
        <w:rPr>
          <w:rFonts w:asciiTheme="majorHAnsi" w:eastAsiaTheme="minorEastAsia" w:hAnsiTheme="majorHAnsi" w:cstheme="majorHAnsi"/>
          <w:szCs w:val="24"/>
          <w:lang w:eastAsia="en-US"/>
        </w:rPr>
        <w:t xml:space="preserve"> </w:t>
      </w:r>
      <w:r w:rsidR="00110C15" w:rsidRPr="0053555E">
        <w:rPr>
          <w:rFonts w:asciiTheme="majorHAnsi" w:eastAsiaTheme="minorEastAsia" w:hAnsiTheme="majorHAnsi" w:cstheme="majorHAnsi"/>
          <w:szCs w:val="24"/>
          <w:lang w:eastAsia="en-US"/>
        </w:rPr>
        <w:t>propagácie.</w:t>
      </w:r>
      <w:r w:rsidR="006D5E06">
        <w:rPr>
          <w:rFonts w:asciiTheme="majorHAnsi" w:eastAsiaTheme="minorEastAsia" w:hAnsiTheme="majorHAnsi" w:cstheme="majorHAnsi"/>
          <w:szCs w:val="24"/>
          <w:lang w:eastAsia="en-US"/>
        </w:rPr>
        <w:t xml:space="preserve"> </w:t>
      </w:r>
      <w:r w:rsidRPr="0053555E">
        <w:rPr>
          <w:rFonts w:asciiTheme="majorHAnsi" w:hAnsiTheme="majorHAnsi" w:cstheme="majorHAnsi"/>
        </w:rPr>
        <w:t xml:space="preserve">Pre zamestnancov STU, študentov i pre verejnosť boli na </w:t>
      </w:r>
      <w:r w:rsidR="00896F91" w:rsidRPr="0053555E">
        <w:rPr>
          <w:rFonts w:asciiTheme="majorHAnsi" w:hAnsiTheme="majorHAnsi" w:cstheme="majorHAnsi"/>
        </w:rPr>
        <w:t>súčastiach STU</w:t>
      </w:r>
      <w:r w:rsidRPr="0053555E">
        <w:rPr>
          <w:rFonts w:asciiTheme="majorHAnsi" w:hAnsiTheme="majorHAnsi" w:cstheme="majorHAnsi"/>
        </w:rPr>
        <w:t xml:space="preserve"> </w:t>
      </w:r>
      <w:r w:rsidR="00067FC0">
        <w:rPr>
          <w:rFonts w:asciiTheme="majorHAnsi" w:hAnsiTheme="majorHAnsi" w:cstheme="majorHAnsi"/>
        </w:rPr>
        <w:t>v ponuke</w:t>
      </w:r>
      <w:r w:rsidRPr="0053555E">
        <w:rPr>
          <w:rFonts w:asciiTheme="majorHAnsi" w:hAnsiTheme="majorHAnsi" w:cstheme="majorHAnsi"/>
        </w:rPr>
        <w:t xml:space="preserve"> aj jazykové kurzy</w:t>
      </w:r>
      <w:r w:rsidR="00A26D09">
        <w:rPr>
          <w:rFonts w:asciiTheme="majorHAnsi" w:hAnsiTheme="majorHAnsi" w:cstheme="majorHAnsi"/>
        </w:rPr>
        <w:t>,</w:t>
      </w:r>
      <w:r w:rsidR="00274050">
        <w:rPr>
          <w:rFonts w:asciiTheme="majorHAnsi" w:hAnsiTheme="majorHAnsi" w:cstheme="majorHAnsi"/>
        </w:rPr>
        <w:t xml:space="preserve"> najmä anglického jazyka</w:t>
      </w:r>
      <w:r w:rsidR="00A26D09">
        <w:rPr>
          <w:rFonts w:asciiTheme="majorHAnsi" w:hAnsiTheme="majorHAnsi" w:cstheme="majorHAnsi"/>
        </w:rPr>
        <w:t>.</w:t>
      </w:r>
    </w:p>
    <w:p w14:paraId="34895D4D" w14:textId="3E78F697" w:rsidR="00912F38" w:rsidRPr="0053555E" w:rsidRDefault="00067FC0" w:rsidP="00324438">
      <w:pPr>
        <w:tabs>
          <w:tab w:val="left" w:pos="9356"/>
        </w:tabs>
        <w:spacing w:after="120"/>
        <w:jc w:val="both"/>
        <w:rPr>
          <w:rFonts w:asciiTheme="majorHAnsi" w:hAnsiTheme="majorHAnsi" w:cstheme="majorHAnsi"/>
        </w:rPr>
      </w:pPr>
      <w:r>
        <w:rPr>
          <w:rFonts w:asciiTheme="majorHAnsi" w:hAnsiTheme="majorHAnsi" w:cstheme="majorHAnsi"/>
        </w:rPr>
        <w:t>Z</w:t>
      </w:r>
      <w:r w:rsidR="002071AC" w:rsidRPr="0053555E">
        <w:rPr>
          <w:rFonts w:asciiTheme="majorHAnsi" w:hAnsiTheme="majorHAnsi" w:cstheme="majorHAnsi"/>
        </w:rPr>
        <w:t xml:space="preserve"> anonymných dotazníkov</w:t>
      </w:r>
      <w:r>
        <w:rPr>
          <w:rFonts w:asciiTheme="majorHAnsi" w:hAnsiTheme="majorHAnsi" w:cstheme="majorHAnsi"/>
        </w:rPr>
        <w:t xml:space="preserve"> </w:t>
      </w:r>
      <w:r w:rsidR="007E5E35" w:rsidRPr="0053555E">
        <w:rPr>
          <w:rFonts w:asciiTheme="majorHAnsi" w:hAnsiTheme="majorHAnsi" w:cstheme="majorHAnsi"/>
        </w:rPr>
        <w:t xml:space="preserve">bola zrejmá </w:t>
      </w:r>
      <w:r w:rsidR="002071AC" w:rsidRPr="0053555E">
        <w:rPr>
          <w:rFonts w:asciiTheme="majorHAnsi" w:hAnsiTheme="majorHAnsi" w:cstheme="majorHAnsi"/>
        </w:rPr>
        <w:t>spokoj</w:t>
      </w:r>
      <w:r w:rsidR="007E5E35" w:rsidRPr="0053555E">
        <w:rPr>
          <w:rFonts w:asciiTheme="majorHAnsi" w:hAnsiTheme="majorHAnsi" w:cstheme="majorHAnsi"/>
        </w:rPr>
        <w:t>nosť</w:t>
      </w:r>
      <w:r>
        <w:rPr>
          <w:rFonts w:asciiTheme="majorHAnsi" w:hAnsiTheme="majorHAnsi" w:cstheme="majorHAnsi"/>
        </w:rPr>
        <w:t xml:space="preserve"> </w:t>
      </w:r>
      <w:r w:rsidR="00336C60" w:rsidRPr="0053555E">
        <w:rPr>
          <w:rFonts w:asciiTheme="majorHAnsi" w:hAnsiTheme="majorHAnsi" w:cstheme="majorHAnsi"/>
        </w:rPr>
        <w:t>s </w:t>
      </w:r>
      <w:r w:rsidR="00AF2A19" w:rsidRPr="0053555E">
        <w:rPr>
          <w:rFonts w:asciiTheme="majorHAnsi" w:hAnsiTheme="majorHAnsi" w:cstheme="majorHAnsi"/>
        </w:rPr>
        <w:t xml:space="preserve">personálnym </w:t>
      </w:r>
      <w:r>
        <w:rPr>
          <w:rFonts w:asciiTheme="majorHAnsi" w:hAnsiTheme="majorHAnsi" w:cstheme="majorHAnsi"/>
        </w:rPr>
        <w:t>i</w:t>
      </w:r>
      <w:r w:rsidR="002071AC" w:rsidRPr="0053555E">
        <w:rPr>
          <w:rFonts w:asciiTheme="majorHAnsi" w:hAnsiTheme="majorHAnsi" w:cstheme="majorHAnsi"/>
        </w:rPr>
        <w:t xml:space="preserve"> materiálnym zabezpečením</w:t>
      </w:r>
      <w:r w:rsidR="00AF7F83" w:rsidRPr="0053555E">
        <w:rPr>
          <w:rFonts w:asciiTheme="majorHAnsi" w:hAnsiTheme="majorHAnsi" w:cstheme="majorHAnsi"/>
        </w:rPr>
        <w:t xml:space="preserve"> </w:t>
      </w:r>
      <w:r w:rsidR="00751744" w:rsidRPr="0053555E">
        <w:rPr>
          <w:rFonts w:asciiTheme="majorHAnsi" w:hAnsiTheme="majorHAnsi" w:cstheme="majorHAnsi"/>
        </w:rPr>
        <w:t xml:space="preserve">a </w:t>
      </w:r>
      <w:r w:rsidR="00AF7F83" w:rsidRPr="0053555E">
        <w:rPr>
          <w:rFonts w:asciiTheme="majorHAnsi" w:hAnsiTheme="majorHAnsi" w:cstheme="majorHAnsi"/>
        </w:rPr>
        <w:t xml:space="preserve">v prípade online vzdelávania </w:t>
      </w:r>
      <w:r w:rsidR="00336C60" w:rsidRPr="0053555E">
        <w:rPr>
          <w:rFonts w:asciiTheme="majorHAnsi" w:hAnsiTheme="majorHAnsi" w:cstheme="majorHAnsi"/>
        </w:rPr>
        <w:t xml:space="preserve">aj s kvalitou dištančného vzdelávania </w:t>
      </w:r>
      <w:r w:rsidR="00F153EF" w:rsidRPr="0053555E">
        <w:rPr>
          <w:rFonts w:asciiTheme="majorHAnsi" w:hAnsiTheme="majorHAnsi" w:cstheme="majorHAnsi"/>
        </w:rPr>
        <w:t>STU</w:t>
      </w:r>
      <w:r w:rsidR="006D5B38" w:rsidRPr="0053555E">
        <w:rPr>
          <w:rFonts w:asciiTheme="majorHAnsi" w:hAnsiTheme="majorHAnsi" w:cstheme="majorHAnsi"/>
        </w:rPr>
        <w:t>.</w:t>
      </w:r>
    </w:p>
    <w:p w14:paraId="0D135B5C" w14:textId="77777777" w:rsidR="00D27462" w:rsidRDefault="00D27462" w:rsidP="00324438">
      <w:pPr>
        <w:tabs>
          <w:tab w:val="left" w:pos="567"/>
          <w:tab w:val="left" w:pos="9356"/>
        </w:tabs>
        <w:jc w:val="both"/>
        <w:rPr>
          <w:rFonts w:asciiTheme="majorHAnsi" w:hAnsiTheme="majorHAnsi" w:cstheme="majorHAnsi"/>
          <w:b/>
          <w:u w:val="single"/>
        </w:rPr>
      </w:pPr>
    </w:p>
    <w:p w14:paraId="54088265" w14:textId="77777777" w:rsidR="00D27462" w:rsidRDefault="00D27462" w:rsidP="00324438">
      <w:pPr>
        <w:tabs>
          <w:tab w:val="left" w:pos="567"/>
          <w:tab w:val="left" w:pos="9356"/>
        </w:tabs>
        <w:jc w:val="both"/>
        <w:rPr>
          <w:rFonts w:asciiTheme="majorHAnsi" w:hAnsiTheme="majorHAnsi" w:cstheme="majorHAnsi"/>
          <w:b/>
          <w:u w:val="single"/>
        </w:rPr>
      </w:pPr>
    </w:p>
    <w:p w14:paraId="1E9BD4F8" w14:textId="158D2D17" w:rsidR="003A0A15" w:rsidRPr="00D27462" w:rsidRDefault="0024242B" w:rsidP="00324438">
      <w:pPr>
        <w:tabs>
          <w:tab w:val="left" w:pos="567"/>
          <w:tab w:val="left" w:pos="9356"/>
        </w:tabs>
        <w:jc w:val="both"/>
        <w:rPr>
          <w:rFonts w:asciiTheme="majorHAnsi" w:hAnsiTheme="majorHAnsi" w:cstheme="majorHAnsi"/>
        </w:rPr>
      </w:pPr>
      <w:r w:rsidRPr="0053555E">
        <w:rPr>
          <w:rFonts w:asciiTheme="majorHAnsi" w:hAnsiTheme="majorHAnsi" w:cstheme="majorHAnsi"/>
        </w:rPr>
        <w:t>V rámci ÚM sú r</w:t>
      </w:r>
      <w:r w:rsidR="003A0A15" w:rsidRPr="0053555E">
        <w:rPr>
          <w:rFonts w:asciiTheme="majorHAnsi" w:hAnsiTheme="majorHAnsi" w:cstheme="majorHAnsi"/>
        </w:rPr>
        <w:t>ealiz</w:t>
      </w:r>
      <w:r w:rsidR="001B6787" w:rsidRPr="0053555E">
        <w:rPr>
          <w:rFonts w:asciiTheme="majorHAnsi" w:hAnsiTheme="majorHAnsi" w:cstheme="majorHAnsi"/>
        </w:rPr>
        <w:t>ované</w:t>
      </w:r>
      <w:r w:rsidR="003A0A15" w:rsidRPr="0053555E">
        <w:rPr>
          <w:rFonts w:asciiTheme="majorHAnsi" w:hAnsiTheme="majorHAnsi" w:cstheme="majorHAnsi"/>
          <w:b/>
        </w:rPr>
        <w:t xml:space="preserve"> </w:t>
      </w:r>
      <w:r w:rsidR="003A0A15" w:rsidRPr="0053555E">
        <w:rPr>
          <w:rFonts w:asciiTheme="majorHAnsi" w:hAnsiTheme="majorHAnsi" w:cstheme="majorHAnsi"/>
        </w:rPr>
        <w:t xml:space="preserve">akreditované vzdelávacie programy </w:t>
      </w:r>
      <w:hyperlink r:id="rId66" w:history="1">
        <w:r w:rsidR="003A0A15" w:rsidRPr="00D27462">
          <w:rPr>
            <w:rStyle w:val="Hypertextovprepojenie"/>
            <w:rFonts w:asciiTheme="majorHAnsi" w:hAnsiTheme="majorHAnsi" w:cstheme="majorHAnsi"/>
            <w:b/>
            <w:color w:val="auto"/>
            <w:u w:val="none"/>
          </w:rPr>
          <w:t>doplňujúceho pedagogického štúdia</w:t>
        </w:r>
      </w:hyperlink>
      <w:r w:rsidR="003A0A15" w:rsidRPr="0053555E">
        <w:rPr>
          <w:rFonts w:asciiTheme="majorHAnsi" w:hAnsiTheme="majorHAnsi" w:cstheme="majorHAnsi"/>
        </w:rPr>
        <w:t xml:space="preserve">. V akademickom roku </w:t>
      </w:r>
      <w:r w:rsidR="00EA24BA" w:rsidRPr="0053555E">
        <w:rPr>
          <w:rFonts w:asciiTheme="majorHAnsi" w:hAnsiTheme="majorHAnsi" w:cstheme="majorHAnsi"/>
        </w:rPr>
        <w:t>2021/2022</w:t>
      </w:r>
      <w:r w:rsidR="003A0A15" w:rsidRPr="0053555E">
        <w:rPr>
          <w:rFonts w:asciiTheme="majorHAnsi" w:hAnsiTheme="majorHAnsi" w:cstheme="majorHAnsi"/>
        </w:rPr>
        <w:t xml:space="preserve"> prebiehalo štvorsemestrálne </w:t>
      </w:r>
      <w:r w:rsidR="003A0A15" w:rsidRPr="00D27462">
        <w:rPr>
          <w:rFonts w:asciiTheme="majorHAnsi" w:hAnsiTheme="majorHAnsi" w:cstheme="majorHAnsi"/>
        </w:rPr>
        <w:t>doplňujúce pedagogické štúdium:</w:t>
      </w:r>
    </w:p>
    <w:p w14:paraId="5B45F294" w14:textId="632EBD46" w:rsidR="003A0A15" w:rsidRPr="0053555E" w:rsidRDefault="003A0A15" w:rsidP="00E027F7">
      <w:pPr>
        <w:pStyle w:val="Odsekzoznamu"/>
        <w:numPr>
          <w:ilvl w:val="0"/>
          <w:numId w:val="3"/>
        </w:numPr>
        <w:tabs>
          <w:tab w:val="left" w:pos="9356"/>
        </w:tabs>
        <w:spacing w:after="0" w:line="240" w:lineRule="auto"/>
        <w:ind w:left="426" w:hanging="426"/>
        <w:jc w:val="both"/>
        <w:rPr>
          <w:rFonts w:asciiTheme="majorHAnsi" w:hAnsiTheme="majorHAnsi" w:cstheme="majorHAnsi"/>
          <w:sz w:val="24"/>
          <w:szCs w:val="24"/>
        </w:rPr>
      </w:pPr>
      <w:r w:rsidRPr="0053555E">
        <w:rPr>
          <w:rFonts w:asciiTheme="majorHAnsi" w:hAnsiTheme="majorHAnsi" w:cstheme="majorHAnsi"/>
          <w:b/>
          <w:sz w:val="24"/>
          <w:szCs w:val="24"/>
        </w:rPr>
        <w:t>v dennej forme</w:t>
      </w:r>
      <w:r w:rsidRPr="0053555E">
        <w:rPr>
          <w:rFonts w:asciiTheme="majorHAnsi" w:hAnsiTheme="majorHAnsi" w:cstheme="majorHAnsi"/>
          <w:sz w:val="24"/>
          <w:szCs w:val="24"/>
        </w:rPr>
        <w:t xml:space="preserve"> pre študentov 2. stupňa vysokoškolského štúdia všetkých </w:t>
      </w:r>
      <w:r w:rsidR="00247E8E" w:rsidRPr="0053555E">
        <w:rPr>
          <w:rFonts w:asciiTheme="majorHAnsi" w:hAnsiTheme="majorHAnsi" w:cstheme="majorHAnsi"/>
          <w:sz w:val="24"/>
          <w:szCs w:val="24"/>
        </w:rPr>
        <w:t>fa</w:t>
      </w:r>
      <w:r w:rsidRPr="0053555E">
        <w:rPr>
          <w:rFonts w:asciiTheme="majorHAnsi" w:hAnsiTheme="majorHAnsi" w:cstheme="majorHAnsi"/>
          <w:sz w:val="24"/>
          <w:szCs w:val="24"/>
        </w:rPr>
        <w:t>kúlt STU, úspešne skončil</w:t>
      </w:r>
      <w:r w:rsidR="00912F38" w:rsidRPr="0053555E">
        <w:rPr>
          <w:rFonts w:asciiTheme="majorHAnsi" w:hAnsiTheme="majorHAnsi" w:cstheme="majorHAnsi"/>
          <w:sz w:val="24"/>
          <w:szCs w:val="24"/>
        </w:rPr>
        <w:t>i</w:t>
      </w:r>
      <w:r w:rsidRPr="0053555E">
        <w:rPr>
          <w:rFonts w:asciiTheme="majorHAnsi" w:hAnsiTheme="majorHAnsi" w:cstheme="majorHAnsi"/>
          <w:sz w:val="24"/>
          <w:szCs w:val="24"/>
        </w:rPr>
        <w:t xml:space="preserve"> </w:t>
      </w:r>
      <w:r w:rsidR="00854228">
        <w:rPr>
          <w:rFonts w:asciiTheme="majorHAnsi" w:hAnsiTheme="majorHAnsi" w:cstheme="majorHAnsi"/>
          <w:b/>
          <w:sz w:val="24"/>
          <w:szCs w:val="24"/>
        </w:rPr>
        <w:t>4</w:t>
      </w:r>
      <w:r w:rsidRPr="0053555E">
        <w:rPr>
          <w:rFonts w:asciiTheme="majorHAnsi" w:hAnsiTheme="majorHAnsi" w:cstheme="majorHAnsi"/>
          <w:b/>
          <w:sz w:val="24"/>
          <w:szCs w:val="24"/>
        </w:rPr>
        <w:t xml:space="preserve"> študent</w:t>
      </w:r>
      <w:r w:rsidR="00912F38" w:rsidRPr="0053555E">
        <w:rPr>
          <w:rFonts w:asciiTheme="majorHAnsi" w:hAnsiTheme="majorHAnsi" w:cstheme="majorHAnsi"/>
          <w:b/>
          <w:sz w:val="24"/>
          <w:szCs w:val="24"/>
        </w:rPr>
        <w:t>i</w:t>
      </w:r>
      <w:r w:rsidRPr="0053555E">
        <w:rPr>
          <w:rFonts w:asciiTheme="majorHAnsi" w:hAnsiTheme="majorHAnsi" w:cstheme="majorHAnsi"/>
          <w:sz w:val="24"/>
          <w:szCs w:val="24"/>
        </w:rPr>
        <w:t>,</w:t>
      </w:r>
    </w:p>
    <w:p w14:paraId="2577F25B" w14:textId="1C99A639" w:rsidR="003A0A15" w:rsidRPr="0053555E" w:rsidRDefault="003A0A15" w:rsidP="00E027F7">
      <w:pPr>
        <w:pStyle w:val="Odsekzoznamu"/>
        <w:numPr>
          <w:ilvl w:val="0"/>
          <w:numId w:val="3"/>
        </w:numPr>
        <w:tabs>
          <w:tab w:val="left" w:pos="9356"/>
        </w:tabs>
        <w:spacing w:after="120" w:line="240" w:lineRule="auto"/>
        <w:ind w:left="425" w:hanging="425"/>
        <w:contextualSpacing w:val="0"/>
        <w:jc w:val="both"/>
        <w:rPr>
          <w:rFonts w:asciiTheme="majorHAnsi" w:hAnsiTheme="majorHAnsi" w:cstheme="majorHAnsi"/>
          <w:sz w:val="24"/>
          <w:szCs w:val="24"/>
        </w:rPr>
      </w:pPr>
      <w:r w:rsidRPr="0053555E">
        <w:rPr>
          <w:rFonts w:asciiTheme="majorHAnsi" w:hAnsiTheme="majorHAnsi" w:cstheme="majorHAnsi"/>
          <w:b/>
          <w:sz w:val="24"/>
          <w:szCs w:val="24"/>
        </w:rPr>
        <w:t>v externej forme</w:t>
      </w:r>
      <w:r w:rsidRPr="0053555E">
        <w:rPr>
          <w:rFonts w:asciiTheme="majorHAnsi" w:hAnsiTheme="majorHAnsi" w:cstheme="majorHAnsi"/>
          <w:sz w:val="24"/>
          <w:szCs w:val="24"/>
        </w:rPr>
        <w:t xml:space="preserve"> pre absolventov 2. stupňa vysokoškolského štúdia v technických študijných odboroch, úspešne skončilo </w:t>
      </w:r>
      <w:r w:rsidR="00681B14">
        <w:rPr>
          <w:rFonts w:asciiTheme="majorHAnsi" w:hAnsiTheme="majorHAnsi" w:cstheme="majorHAnsi"/>
          <w:b/>
          <w:sz w:val="24"/>
          <w:szCs w:val="24"/>
        </w:rPr>
        <w:t>31</w:t>
      </w:r>
      <w:r w:rsidRPr="0053555E">
        <w:rPr>
          <w:rFonts w:asciiTheme="majorHAnsi" w:hAnsiTheme="majorHAnsi" w:cstheme="majorHAnsi"/>
          <w:b/>
          <w:sz w:val="24"/>
          <w:szCs w:val="24"/>
        </w:rPr>
        <w:t xml:space="preserve"> </w:t>
      </w:r>
      <w:r w:rsidR="00C2344E" w:rsidRPr="0053555E">
        <w:rPr>
          <w:rFonts w:asciiTheme="majorHAnsi" w:hAnsiTheme="majorHAnsi" w:cstheme="majorHAnsi"/>
          <w:b/>
          <w:sz w:val="24"/>
          <w:szCs w:val="24"/>
        </w:rPr>
        <w:t>účastníkov vzdelávania</w:t>
      </w:r>
      <w:r w:rsidRPr="0053555E">
        <w:rPr>
          <w:rFonts w:asciiTheme="majorHAnsi" w:hAnsiTheme="majorHAnsi" w:cstheme="majorHAnsi"/>
          <w:sz w:val="24"/>
          <w:szCs w:val="24"/>
        </w:rPr>
        <w:t>.</w:t>
      </w:r>
    </w:p>
    <w:p w14:paraId="3DA9F208" w14:textId="4CD0B576" w:rsidR="00681B14" w:rsidRPr="00681B14" w:rsidRDefault="00681B14" w:rsidP="00681B14">
      <w:pPr>
        <w:spacing w:after="120"/>
        <w:jc w:val="both"/>
        <w:rPr>
          <w:rFonts w:asciiTheme="majorHAnsi" w:hAnsiTheme="majorHAnsi" w:cstheme="majorHAnsi"/>
        </w:rPr>
      </w:pPr>
      <w:r w:rsidRPr="00681B14">
        <w:rPr>
          <w:rFonts w:asciiTheme="majorHAnsi" w:hAnsiTheme="majorHAnsi" w:cstheme="majorHAnsi"/>
        </w:rPr>
        <w:t>Doplňujúce pedagogické štúdium sa z dôvodu pandémie COVID</w:t>
      </w:r>
      <w:r w:rsidR="000D2A65">
        <w:rPr>
          <w:rFonts w:asciiTheme="majorHAnsi" w:hAnsiTheme="majorHAnsi" w:cstheme="majorHAnsi"/>
        </w:rPr>
        <w:t>-19</w:t>
      </w:r>
      <w:r w:rsidRPr="00681B14">
        <w:rPr>
          <w:rFonts w:asciiTheme="majorHAnsi" w:hAnsiTheme="majorHAnsi" w:cstheme="majorHAnsi"/>
        </w:rPr>
        <w:t xml:space="preserve"> realizovalo v zimnom semestri dištančnou (online) formou</w:t>
      </w:r>
      <w:r w:rsidR="00D27462">
        <w:rPr>
          <w:rFonts w:asciiTheme="majorHAnsi" w:hAnsiTheme="majorHAnsi" w:cstheme="majorHAnsi"/>
        </w:rPr>
        <w:t>, záverečné skúšky</w:t>
      </w:r>
      <w:r w:rsidRPr="00681B14">
        <w:rPr>
          <w:rFonts w:asciiTheme="majorHAnsi" w:hAnsiTheme="majorHAnsi" w:cstheme="majorHAnsi"/>
        </w:rPr>
        <w:t xml:space="preserve"> prezenčnou formou.</w:t>
      </w:r>
    </w:p>
    <w:p w14:paraId="66C5D17A" w14:textId="0456239D" w:rsidR="005050FB" w:rsidRPr="0053555E" w:rsidRDefault="00681B14" w:rsidP="00681B14">
      <w:pPr>
        <w:jc w:val="both"/>
        <w:rPr>
          <w:rFonts w:asciiTheme="majorHAnsi" w:hAnsiTheme="majorHAnsi" w:cstheme="majorHAnsi"/>
        </w:rPr>
      </w:pPr>
      <w:r w:rsidRPr="00681B14">
        <w:rPr>
          <w:rFonts w:asciiTheme="majorHAnsi" w:hAnsiTheme="majorHAnsi" w:cstheme="majorHAnsi"/>
        </w:rPr>
        <w:t xml:space="preserve">Podľa zákona o pedagogických zamestnancoch a odborných zamestnancoch </w:t>
      </w:r>
      <w:r w:rsidR="00F33BB3">
        <w:rPr>
          <w:rFonts w:asciiTheme="majorHAnsi" w:hAnsiTheme="majorHAnsi" w:cstheme="majorHAnsi"/>
        </w:rPr>
        <w:t>sú</w:t>
      </w:r>
      <w:r w:rsidRPr="00681B14">
        <w:rPr>
          <w:rFonts w:asciiTheme="majorHAnsi" w:hAnsiTheme="majorHAnsi" w:cstheme="majorHAnsi"/>
        </w:rPr>
        <w:t xml:space="preserve"> program</w:t>
      </w:r>
      <w:r w:rsidR="00F33BB3">
        <w:rPr>
          <w:rFonts w:asciiTheme="majorHAnsi" w:hAnsiTheme="majorHAnsi" w:cstheme="majorHAnsi"/>
        </w:rPr>
        <w:t>y</w:t>
      </w:r>
      <w:r w:rsidRPr="00681B14">
        <w:rPr>
          <w:rFonts w:asciiTheme="majorHAnsi" w:hAnsiTheme="majorHAnsi" w:cstheme="majorHAnsi"/>
        </w:rPr>
        <w:t xml:space="preserve"> doplňujúceho pedagogického štúdia akreditovan</w:t>
      </w:r>
      <w:r w:rsidR="00F33BB3">
        <w:rPr>
          <w:rFonts w:asciiTheme="majorHAnsi" w:hAnsiTheme="majorHAnsi" w:cstheme="majorHAnsi"/>
        </w:rPr>
        <w:t>é</w:t>
      </w:r>
      <w:r w:rsidRPr="00681B14">
        <w:rPr>
          <w:rFonts w:asciiTheme="majorHAnsi" w:hAnsiTheme="majorHAnsi" w:cstheme="majorHAnsi"/>
        </w:rPr>
        <w:t xml:space="preserve"> pre učiteľstvo strojníckych a</w:t>
      </w:r>
      <w:r w:rsidR="00D27462">
        <w:rPr>
          <w:rFonts w:asciiTheme="majorHAnsi" w:hAnsiTheme="majorHAnsi" w:cstheme="majorHAnsi"/>
        </w:rPr>
        <w:t> </w:t>
      </w:r>
      <w:r w:rsidRPr="00681B14">
        <w:rPr>
          <w:rFonts w:asciiTheme="majorHAnsi" w:hAnsiTheme="majorHAnsi" w:cstheme="majorHAnsi"/>
        </w:rPr>
        <w:t>materiálovo</w:t>
      </w:r>
      <w:r w:rsidR="00D27462">
        <w:rPr>
          <w:rFonts w:asciiTheme="majorHAnsi" w:hAnsiTheme="majorHAnsi" w:cstheme="majorHAnsi"/>
        </w:rPr>
        <w:t xml:space="preserve"> </w:t>
      </w:r>
      <w:r w:rsidRPr="00681B14">
        <w:rPr>
          <w:rFonts w:asciiTheme="majorHAnsi" w:hAnsiTheme="majorHAnsi" w:cstheme="majorHAnsi"/>
        </w:rPr>
        <w:t>technologických, stavebných, architektonických a</w:t>
      </w:r>
      <w:r w:rsidR="00D27462">
        <w:rPr>
          <w:rFonts w:asciiTheme="majorHAnsi" w:hAnsiTheme="majorHAnsi" w:cstheme="majorHAnsi"/>
        </w:rPr>
        <w:t xml:space="preserve"> </w:t>
      </w:r>
      <w:r w:rsidR="00F33BB3">
        <w:rPr>
          <w:rFonts w:asciiTheme="majorHAnsi" w:hAnsiTheme="majorHAnsi" w:cstheme="majorHAnsi"/>
        </w:rPr>
        <w:t> </w:t>
      </w:r>
      <w:r w:rsidRPr="00681B14">
        <w:rPr>
          <w:rFonts w:asciiTheme="majorHAnsi" w:hAnsiTheme="majorHAnsi" w:cstheme="majorHAnsi"/>
        </w:rPr>
        <w:t xml:space="preserve">dizajnérskych, chemickotechnologických a potravinárskych predmetov, elektrotechnických a informačnotechnologických predmetov a ekonomických a manažérskych predmetov </w:t>
      </w:r>
      <w:r w:rsidR="007304BE">
        <w:rPr>
          <w:rFonts w:asciiTheme="majorHAnsi" w:hAnsiTheme="majorHAnsi" w:cstheme="majorHAnsi"/>
        </w:rPr>
        <w:t xml:space="preserve">v dennej a externej forme štúdia </w:t>
      </w:r>
      <w:r w:rsidRPr="00681B14">
        <w:rPr>
          <w:rFonts w:asciiTheme="majorHAnsi" w:hAnsiTheme="majorHAnsi" w:cstheme="majorHAnsi"/>
        </w:rPr>
        <w:t>pre študentov a absolventov príslušných študijných odborov, resp. študijných programov jednotlivých fakúlt STU.</w:t>
      </w:r>
      <w:r w:rsidR="002A2A1A">
        <w:rPr>
          <w:rFonts w:asciiTheme="majorHAnsi" w:hAnsiTheme="majorHAnsi" w:cstheme="majorHAnsi"/>
        </w:rPr>
        <w:t xml:space="preserve"> STU má </w:t>
      </w:r>
      <w:r w:rsidR="007304BE">
        <w:rPr>
          <w:rFonts w:asciiTheme="majorHAnsi" w:hAnsiTheme="majorHAnsi" w:cstheme="majorHAnsi"/>
        </w:rPr>
        <w:t xml:space="preserve">spolu 12 </w:t>
      </w:r>
      <w:r w:rsidR="002A2A1A">
        <w:rPr>
          <w:rFonts w:asciiTheme="majorHAnsi" w:hAnsiTheme="majorHAnsi" w:cstheme="majorHAnsi"/>
        </w:rPr>
        <w:t>akredito</w:t>
      </w:r>
      <w:r w:rsidR="007304BE">
        <w:rPr>
          <w:rFonts w:asciiTheme="majorHAnsi" w:hAnsiTheme="majorHAnsi" w:cstheme="majorHAnsi"/>
        </w:rPr>
        <w:t xml:space="preserve">vaných </w:t>
      </w:r>
      <w:r w:rsidR="007304BE" w:rsidRPr="00681B14">
        <w:rPr>
          <w:rFonts w:asciiTheme="majorHAnsi" w:hAnsiTheme="majorHAnsi" w:cstheme="majorHAnsi"/>
        </w:rPr>
        <w:t>program</w:t>
      </w:r>
      <w:r w:rsidR="007304BE">
        <w:rPr>
          <w:rFonts w:asciiTheme="majorHAnsi" w:hAnsiTheme="majorHAnsi" w:cstheme="majorHAnsi"/>
        </w:rPr>
        <w:t>ov</w:t>
      </w:r>
      <w:r w:rsidR="007304BE" w:rsidRPr="00681B14">
        <w:rPr>
          <w:rFonts w:asciiTheme="majorHAnsi" w:hAnsiTheme="majorHAnsi" w:cstheme="majorHAnsi"/>
        </w:rPr>
        <w:t xml:space="preserve"> doplňujúceho pedagogického štúdia</w:t>
      </w:r>
      <w:r w:rsidR="007304BE">
        <w:rPr>
          <w:rFonts w:asciiTheme="majorHAnsi" w:hAnsiTheme="majorHAnsi" w:cstheme="majorHAnsi"/>
        </w:rPr>
        <w:t>.</w:t>
      </w:r>
    </w:p>
    <w:p w14:paraId="4E022DA8" w14:textId="77777777" w:rsidR="00912F38" w:rsidRPr="0053555E" w:rsidRDefault="00912F38" w:rsidP="005050FB">
      <w:pPr>
        <w:jc w:val="both"/>
        <w:rPr>
          <w:rFonts w:asciiTheme="majorHAnsi" w:hAnsiTheme="majorHAnsi" w:cstheme="majorHAnsi"/>
        </w:rPr>
      </w:pPr>
    </w:p>
    <w:p w14:paraId="449E54EE" w14:textId="77777777" w:rsidR="00912F38" w:rsidRPr="0053555E" w:rsidRDefault="00912F38" w:rsidP="005050FB">
      <w:pPr>
        <w:jc w:val="both"/>
        <w:rPr>
          <w:rFonts w:asciiTheme="majorHAnsi" w:hAnsiTheme="majorHAnsi" w:cstheme="majorHAnsi"/>
        </w:rPr>
      </w:pPr>
    </w:p>
    <w:p w14:paraId="092D1292" w14:textId="4AAF02E1" w:rsidR="00AF2A19" w:rsidRPr="00D27462" w:rsidRDefault="00D27462" w:rsidP="00D27462">
      <w:pPr>
        <w:rPr>
          <w:b/>
          <w:sz w:val="28"/>
          <w:szCs w:val="28"/>
        </w:rPr>
      </w:pPr>
      <w:bookmarkStart w:id="188" w:name="_Aktivity_Inštitútu_celoživotného"/>
      <w:bookmarkStart w:id="189" w:name="_Ref506455393"/>
      <w:bookmarkStart w:id="190" w:name="_Ref506455418"/>
      <w:bookmarkStart w:id="191" w:name="_Ref506455489"/>
      <w:bookmarkStart w:id="192" w:name="_Ref506455528"/>
      <w:bookmarkStart w:id="193" w:name="_Toc127593235"/>
      <w:bookmarkEnd w:id="188"/>
      <w:r w:rsidRPr="00D27462">
        <w:rPr>
          <w:b/>
          <w:sz w:val="28"/>
          <w:szCs w:val="28"/>
        </w:rPr>
        <w:t xml:space="preserve">4.2. </w:t>
      </w:r>
      <w:r w:rsidR="00AF2A19" w:rsidRPr="00D27462">
        <w:rPr>
          <w:b/>
          <w:sz w:val="28"/>
          <w:szCs w:val="28"/>
        </w:rPr>
        <w:t xml:space="preserve">Aktivity Inštitútu celoživotného vzdelávania </w:t>
      </w:r>
      <w:r w:rsidR="00ED5995" w:rsidRPr="00D27462">
        <w:rPr>
          <w:b/>
          <w:sz w:val="28"/>
          <w:szCs w:val="28"/>
        </w:rPr>
        <w:t xml:space="preserve">STU </w:t>
      </w:r>
      <w:r w:rsidR="00AF2A19" w:rsidRPr="00D27462">
        <w:rPr>
          <w:b/>
          <w:sz w:val="28"/>
          <w:szCs w:val="28"/>
        </w:rPr>
        <w:t>(ICV)</w:t>
      </w:r>
      <w:bookmarkEnd w:id="189"/>
      <w:bookmarkEnd w:id="190"/>
      <w:bookmarkEnd w:id="191"/>
      <w:bookmarkEnd w:id="192"/>
      <w:bookmarkEnd w:id="193"/>
    </w:p>
    <w:p w14:paraId="370E48E1" w14:textId="77777777" w:rsidR="00D27462" w:rsidRPr="00D27462" w:rsidRDefault="00D27462" w:rsidP="00D27462"/>
    <w:p w14:paraId="212E11EE" w14:textId="223F8F47" w:rsidR="00F72410" w:rsidRPr="0053555E" w:rsidRDefault="00252725" w:rsidP="00324438">
      <w:pPr>
        <w:tabs>
          <w:tab w:val="left" w:pos="567"/>
          <w:tab w:val="left" w:pos="9356"/>
        </w:tabs>
        <w:spacing w:after="120"/>
        <w:jc w:val="both"/>
        <w:rPr>
          <w:rFonts w:asciiTheme="majorHAnsi" w:hAnsiTheme="majorHAnsi" w:cstheme="majorHAnsi"/>
        </w:rPr>
      </w:pPr>
      <w:hyperlink r:id="rId67" w:history="1">
        <w:r w:rsidR="00ED5995" w:rsidRPr="00D27462">
          <w:rPr>
            <w:rStyle w:val="Hypertextovprepojenie"/>
            <w:rFonts w:asciiTheme="majorHAnsi" w:hAnsiTheme="majorHAnsi" w:cstheme="majorHAnsi"/>
            <w:b/>
            <w:color w:val="auto"/>
            <w:u w:val="none"/>
          </w:rPr>
          <w:t xml:space="preserve">Inštitút celoživotného vzdelávania </w:t>
        </w:r>
        <w:r w:rsidR="008977CD" w:rsidRPr="00D27462">
          <w:rPr>
            <w:rStyle w:val="Hypertextovprepojenie"/>
            <w:rFonts w:asciiTheme="majorHAnsi" w:hAnsiTheme="majorHAnsi" w:cstheme="majorHAnsi"/>
            <w:b/>
            <w:color w:val="auto"/>
            <w:u w:val="none"/>
          </w:rPr>
          <w:t>STU</w:t>
        </w:r>
      </w:hyperlink>
      <w:r w:rsidR="008977CD" w:rsidRPr="0053555E">
        <w:rPr>
          <w:rFonts w:asciiTheme="majorHAnsi" w:hAnsiTheme="majorHAnsi" w:cstheme="majorHAnsi"/>
        </w:rPr>
        <w:t xml:space="preserve"> </w:t>
      </w:r>
      <w:r w:rsidR="00ED5995" w:rsidRPr="0053555E">
        <w:rPr>
          <w:rFonts w:asciiTheme="majorHAnsi" w:hAnsiTheme="majorHAnsi" w:cstheme="majorHAnsi"/>
        </w:rPr>
        <w:t xml:space="preserve">(ICV) </w:t>
      </w:r>
      <w:r w:rsidR="00D27462">
        <w:rPr>
          <w:rFonts w:asciiTheme="majorHAnsi" w:hAnsiTheme="majorHAnsi" w:cstheme="majorHAnsi"/>
        </w:rPr>
        <w:t>je</w:t>
      </w:r>
      <w:r w:rsidR="00D27462" w:rsidRPr="0053555E">
        <w:rPr>
          <w:rFonts w:asciiTheme="majorHAnsi" w:hAnsiTheme="majorHAnsi" w:cstheme="majorHAnsi"/>
        </w:rPr>
        <w:t xml:space="preserve"> </w:t>
      </w:r>
      <w:r w:rsidR="008977CD" w:rsidRPr="0053555E">
        <w:rPr>
          <w:rFonts w:asciiTheme="majorHAnsi" w:hAnsiTheme="majorHAnsi" w:cstheme="majorHAnsi"/>
        </w:rPr>
        <w:t xml:space="preserve">z hľadiska počtu frekventantov a absolventov jedným z najväčších inštitútov </w:t>
      </w:r>
      <w:r w:rsidR="000F1770" w:rsidRPr="0053555E">
        <w:rPr>
          <w:rFonts w:asciiTheme="majorHAnsi" w:hAnsiTheme="majorHAnsi" w:cstheme="majorHAnsi"/>
        </w:rPr>
        <w:t>celoživotného</w:t>
      </w:r>
      <w:r w:rsidR="008977CD" w:rsidRPr="0053555E">
        <w:rPr>
          <w:rFonts w:asciiTheme="majorHAnsi" w:hAnsiTheme="majorHAnsi" w:cstheme="majorHAnsi"/>
        </w:rPr>
        <w:t xml:space="preserve"> vzdelávania </w:t>
      </w:r>
      <w:r w:rsidR="00C84CAC" w:rsidRPr="0053555E">
        <w:rPr>
          <w:rFonts w:asciiTheme="majorHAnsi" w:hAnsiTheme="majorHAnsi" w:cstheme="majorHAnsi"/>
        </w:rPr>
        <w:t>zriadených</w:t>
      </w:r>
      <w:r w:rsidR="000F1770" w:rsidRPr="0053555E">
        <w:rPr>
          <w:rFonts w:asciiTheme="majorHAnsi" w:hAnsiTheme="majorHAnsi" w:cstheme="majorHAnsi"/>
        </w:rPr>
        <w:t xml:space="preserve"> vysokou školou na </w:t>
      </w:r>
      <w:r w:rsidR="008977CD" w:rsidRPr="0053555E">
        <w:rPr>
          <w:rFonts w:asciiTheme="majorHAnsi" w:hAnsiTheme="majorHAnsi" w:cstheme="majorHAnsi"/>
        </w:rPr>
        <w:t>Slovensku. ICV je členom Slovenskej akademickej asociácie pre celoživotné vzdelávanie (SAACV). ICV sa skladá z týchto súčastí: Centrum vzdelávania, Jazykové centrum</w:t>
      </w:r>
      <w:r w:rsidR="004E12A2" w:rsidRPr="0053555E">
        <w:rPr>
          <w:rFonts w:asciiTheme="majorHAnsi" w:hAnsiTheme="majorHAnsi" w:cstheme="majorHAnsi"/>
        </w:rPr>
        <w:t xml:space="preserve"> a</w:t>
      </w:r>
      <w:r w:rsidR="003F0226" w:rsidRPr="0053555E">
        <w:rPr>
          <w:rFonts w:asciiTheme="majorHAnsi" w:hAnsiTheme="majorHAnsi" w:cstheme="majorHAnsi"/>
        </w:rPr>
        <w:t> </w:t>
      </w:r>
      <w:r w:rsidR="008977CD" w:rsidRPr="0053555E">
        <w:rPr>
          <w:rFonts w:asciiTheme="majorHAnsi" w:hAnsiTheme="majorHAnsi" w:cstheme="majorHAnsi"/>
        </w:rPr>
        <w:t>Univerzita tretieho veku.</w:t>
      </w:r>
    </w:p>
    <w:p w14:paraId="71AF52C0" w14:textId="5DAEF3A0" w:rsidR="00A4100F" w:rsidRPr="00260F84" w:rsidRDefault="00447F34" w:rsidP="00260F84">
      <w:pPr>
        <w:tabs>
          <w:tab w:val="left" w:pos="709"/>
          <w:tab w:val="left" w:pos="9356"/>
        </w:tabs>
        <w:jc w:val="both"/>
        <w:rPr>
          <w:rFonts w:asciiTheme="majorHAnsi" w:hAnsiTheme="majorHAnsi" w:cstheme="majorHAnsi"/>
          <w:b/>
        </w:rPr>
      </w:pPr>
      <w:r w:rsidRPr="00D27462">
        <w:rPr>
          <w:rFonts w:asciiTheme="majorHAnsi" w:hAnsiTheme="majorHAnsi" w:cstheme="majorHAnsi"/>
          <w:b/>
        </w:rPr>
        <w:t>Centrum</w:t>
      </w:r>
      <w:r w:rsidR="00AF2A19" w:rsidRPr="00D27462">
        <w:rPr>
          <w:rFonts w:asciiTheme="majorHAnsi" w:hAnsiTheme="majorHAnsi" w:cstheme="majorHAnsi"/>
          <w:b/>
        </w:rPr>
        <w:t xml:space="preserve"> vzdelávania</w:t>
      </w:r>
      <w:r w:rsidR="00A4100F" w:rsidRPr="00D27462">
        <w:rPr>
          <w:rFonts w:asciiTheme="majorHAnsi" w:hAnsiTheme="majorHAnsi" w:cstheme="majorHAnsi"/>
          <w:b/>
        </w:rPr>
        <w:t xml:space="preserve"> ICV</w:t>
      </w:r>
      <w:r w:rsidR="00AF2A19" w:rsidRPr="00D27462">
        <w:rPr>
          <w:rFonts w:asciiTheme="majorHAnsi" w:hAnsiTheme="majorHAnsi" w:cstheme="majorHAnsi"/>
          <w:b/>
        </w:rPr>
        <w:t xml:space="preserve"> (</w:t>
      </w:r>
      <w:r w:rsidRPr="00D27462">
        <w:rPr>
          <w:rFonts w:asciiTheme="majorHAnsi" w:hAnsiTheme="majorHAnsi" w:cstheme="majorHAnsi"/>
          <w:b/>
        </w:rPr>
        <w:t>C</w:t>
      </w:r>
      <w:r w:rsidR="00D27462">
        <w:rPr>
          <w:rFonts w:asciiTheme="majorHAnsi" w:hAnsiTheme="majorHAnsi" w:cstheme="majorHAnsi"/>
          <w:b/>
        </w:rPr>
        <w:t xml:space="preserve">V) </w:t>
      </w:r>
      <w:r w:rsidR="00D27462" w:rsidRPr="00D27462">
        <w:rPr>
          <w:rFonts w:asciiTheme="majorHAnsi" w:hAnsiTheme="majorHAnsi" w:cstheme="majorHAnsi"/>
        </w:rPr>
        <w:t>v</w:t>
      </w:r>
      <w:r w:rsidR="008977CD" w:rsidRPr="0053555E">
        <w:rPr>
          <w:rFonts w:asciiTheme="majorHAnsi" w:hAnsiTheme="majorHAnsi" w:cstheme="majorHAnsi"/>
        </w:rPr>
        <w:t xml:space="preserve"> akademickom roku </w:t>
      </w:r>
      <w:r w:rsidR="00EA24BA" w:rsidRPr="0053555E">
        <w:rPr>
          <w:rFonts w:asciiTheme="majorHAnsi" w:hAnsiTheme="majorHAnsi" w:cstheme="majorHAnsi"/>
        </w:rPr>
        <w:t>2021/2022</w:t>
      </w:r>
      <w:r w:rsidR="008977CD" w:rsidRPr="0053555E">
        <w:rPr>
          <w:rFonts w:asciiTheme="majorHAnsi" w:hAnsiTheme="majorHAnsi" w:cstheme="majorHAnsi"/>
        </w:rPr>
        <w:t xml:space="preserve"> </w:t>
      </w:r>
      <w:r w:rsidR="000F5810">
        <w:rPr>
          <w:rFonts w:asciiTheme="majorHAnsi" w:hAnsiTheme="majorHAnsi" w:cstheme="majorHAnsi"/>
        </w:rPr>
        <w:t xml:space="preserve">CV </w:t>
      </w:r>
      <w:r w:rsidR="008977CD" w:rsidRPr="0053555E">
        <w:rPr>
          <w:rFonts w:asciiTheme="majorHAnsi" w:hAnsiTheme="majorHAnsi" w:cstheme="majorHAnsi"/>
        </w:rPr>
        <w:t xml:space="preserve">organizačne zabezpečovalo </w:t>
      </w:r>
      <w:r w:rsidR="008977CD" w:rsidRPr="0053555E">
        <w:rPr>
          <w:rFonts w:asciiTheme="majorHAnsi" w:hAnsiTheme="majorHAnsi" w:cstheme="majorHAnsi"/>
          <w:b/>
        </w:rPr>
        <w:t>akreditované dvojročné kombinované vzdelávanie Professional MBA Automotive Industry v anglickom jazyku</w:t>
      </w:r>
      <w:r w:rsidR="00D27462">
        <w:rPr>
          <w:rFonts w:asciiTheme="majorHAnsi" w:hAnsiTheme="majorHAnsi" w:cstheme="majorHAnsi"/>
        </w:rPr>
        <w:t xml:space="preserve">, jeho </w:t>
      </w:r>
      <w:r w:rsidR="00A4100F">
        <w:rPr>
          <w:rFonts w:asciiTheme="majorHAnsi" w:hAnsiTheme="majorHAnsi" w:cstheme="majorHAnsi"/>
        </w:rPr>
        <w:t xml:space="preserve">desiatej skupiny. </w:t>
      </w:r>
      <w:r w:rsidR="00D27462">
        <w:rPr>
          <w:rFonts w:asciiTheme="majorHAnsi" w:hAnsiTheme="majorHAnsi" w:cstheme="majorHAnsi"/>
        </w:rPr>
        <w:t>B</w:t>
      </w:r>
      <w:r w:rsidR="00A4100F">
        <w:rPr>
          <w:rFonts w:asciiTheme="majorHAnsi" w:hAnsiTheme="majorHAnsi" w:cstheme="majorHAnsi"/>
        </w:rPr>
        <w:t>olo</w:t>
      </w:r>
      <w:r w:rsidR="00D27462">
        <w:rPr>
          <w:rFonts w:asciiTheme="majorHAnsi" w:hAnsiTheme="majorHAnsi" w:cstheme="majorHAnsi"/>
        </w:rPr>
        <w:t xml:space="preserve"> v nej</w:t>
      </w:r>
      <w:r w:rsidR="00A4100F">
        <w:rPr>
          <w:rFonts w:asciiTheme="majorHAnsi" w:hAnsiTheme="majorHAnsi" w:cstheme="majorHAnsi"/>
        </w:rPr>
        <w:t xml:space="preserve"> </w:t>
      </w:r>
      <w:r w:rsidR="00A4100F" w:rsidRPr="00D27462">
        <w:rPr>
          <w:rFonts w:asciiTheme="majorHAnsi" w:hAnsiTheme="majorHAnsi" w:cstheme="majorHAnsi"/>
        </w:rPr>
        <w:t>15 účastníkov</w:t>
      </w:r>
      <w:r w:rsidR="00A4100F">
        <w:rPr>
          <w:rFonts w:asciiTheme="majorHAnsi" w:hAnsiTheme="majorHAnsi" w:cstheme="majorHAnsi"/>
        </w:rPr>
        <w:t xml:space="preserve">, z toho 4 zo Slovenska. </w:t>
      </w:r>
      <w:r w:rsidR="00260F84">
        <w:rPr>
          <w:rFonts w:asciiTheme="majorHAnsi" w:eastAsia="Calibri" w:hAnsiTheme="majorHAnsi" w:cstheme="majorHAnsi"/>
        </w:rPr>
        <w:t>Ôsmi si</w:t>
      </w:r>
      <w:r w:rsidR="00A4100F">
        <w:rPr>
          <w:rFonts w:asciiTheme="majorHAnsi" w:eastAsia="Calibri" w:hAnsiTheme="majorHAnsi" w:cstheme="majorHAnsi"/>
        </w:rPr>
        <w:t xml:space="preserve"> vybrali pre </w:t>
      </w:r>
      <w:r w:rsidR="001A652B">
        <w:rPr>
          <w:rFonts w:asciiTheme="majorHAnsi" w:eastAsia="Calibri" w:hAnsiTheme="majorHAnsi" w:cstheme="majorHAnsi"/>
        </w:rPr>
        <w:t>záverečné</w:t>
      </w:r>
      <w:r w:rsidR="00A4100F">
        <w:rPr>
          <w:rFonts w:asciiTheme="majorHAnsi" w:eastAsia="Calibri" w:hAnsiTheme="majorHAnsi" w:cstheme="majorHAnsi"/>
        </w:rPr>
        <w:t xml:space="preserve"> práce slovenských školiteľov. </w:t>
      </w:r>
      <w:r w:rsidR="00C0570D">
        <w:rPr>
          <w:rFonts w:asciiTheme="majorHAnsi" w:hAnsiTheme="majorHAnsi" w:cstheme="majorHAnsi"/>
        </w:rPr>
        <w:t xml:space="preserve">Z dôvodu pandémie Covid-19 </w:t>
      </w:r>
      <w:r w:rsidR="001A652B">
        <w:rPr>
          <w:rFonts w:asciiTheme="majorHAnsi" w:hAnsiTheme="majorHAnsi" w:cstheme="majorHAnsi"/>
        </w:rPr>
        <w:t>sa predĺžilo</w:t>
      </w:r>
      <w:r w:rsidR="00A4100F">
        <w:rPr>
          <w:rFonts w:asciiTheme="majorHAnsi" w:hAnsiTheme="majorHAnsi" w:cstheme="majorHAnsi"/>
        </w:rPr>
        <w:t xml:space="preserve"> štúdi</w:t>
      </w:r>
      <w:r w:rsidR="00C0570D">
        <w:rPr>
          <w:rFonts w:asciiTheme="majorHAnsi" w:hAnsiTheme="majorHAnsi" w:cstheme="majorHAnsi"/>
        </w:rPr>
        <w:t>um</w:t>
      </w:r>
      <w:r w:rsidR="00A4100F">
        <w:rPr>
          <w:rFonts w:asciiTheme="majorHAnsi" w:hAnsiTheme="majorHAnsi" w:cstheme="majorHAnsi"/>
        </w:rPr>
        <w:t xml:space="preserve">, ktorého riadna dĺžka mala byť dva roky. </w:t>
      </w:r>
      <w:r w:rsidR="00A4100F">
        <w:rPr>
          <w:rFonts w:asciiTheme="majorHAnsi" w:eastAsia="Calibri" w:hAnsiTheme="majorHAnsi" w:cstheme="majorHAnsi"/>
        </w:rPr>
        <w:t xml:space="preserve">Vzhľadom na pandemické opatrenia </w:t>
      </w:r>
      <w:r w:rsidR="002A0838">
        <w:rPr>
          <w:rFonts w:asciiTheme="majorHAnsi" w:eastAsia="Calibri" w:hAnsiTheme="majorHAnsi" w:cstheme="majorHAnsi"/>
        </w:rPr>
        <w:t>účastníci vzdelávania</w:t>
      </w:r>
      <w:r w:rsidR="00A4100F">
        <w:rPr>
          <w:rFonts w:asciiTheme="majorHAnsi" w:eastAsia="Calibri" w:hAnsiTheme="majorHAnsi" w:cstheme="majorHAnsi"/>
        </w:rPr>
        <w:t xml:space="preserve"> vypracovali aj obhajovali </w:t>
      </w:r>
      <w:r w:rsidR="002A0838">
        <w:rPr>
          <w:rFonts w:asciiTheme="majorHAnsi" w:eastAsia="Calibri" w:hAnsiTheme="majorHAnsi" w:cstheme="majorHAnsi"/>
        </w:rPr>
        <w:t>záverečné</w:t>
      </w:r>
      <w:r w:rsidR="00A4100F">
        <w:rPr>
          <w:rFonts w:asciiTheme="majorHAnsi" w:eastAsia="Calibri" w:hAnsiTheme="majorHAnsi" w:cstheme="majorHAnsi"/>
        </w:rPr>
        <w:t xml:space="preserve"> práce postupne. Prv</w:t>
      </w:r>
      <w:r w:rsidR="006606D4">
        <w:rPr>
          <w:rFonts w:asciiTheme="majorHAnsi" w:eastAsia="Calibri" w:hAnsiTheme="majorHAnsi" w:cstheme="majorHAnsi"/>
        </w:rPr>
        <w:t>é</w:t>
      </w:r>
      <w:r w:rsidR="00A4100F">
        <w:rPr>
          <w:rFonts w:asciiTheme="majorHAnsi" w:eastAsia="Calibri" w:hAnsiTheme="majorHAnsi" w:cstheme="majorHAnsi"/>
        </w:rPr>
        <w:t xml:space="preserve"> obhajob</w:t>
      </w:r>
      <w:r w:rsidR="006606D4">
        <w:rPr>
          <w:rFonts w:asciiTheme="majorHAnsi" w:eastAsia="Calibri" w:hAnsiTheme="majorHAnsi" w:cstheme="majorHAnsi"/>
        </w:rPr>
        <w:t>y</w:t>
      </w:r>
      <w:r w:rsidR="00A4100F">
        <w:rPr>
          <w:rFonts w:asciiTheme="majorHAnsi" w:eastAsia="Calibri" w:hAnsiTheme="majorHAnsi" w:cstheme="majorHAnsi"/>
        </w:rPr>
        <w:t xml:space="preserve"> </w:t>
      </w:r>
      <w:r w:rsidR="00293AFA">
        <w:rPr>
          <w:rFonts w:asciiTheme="majorHAnsi" w:eastAsia="Calibri" w:hAnsiTheme="majorHAnsi" w:cstheme="majorHAnsi"/>
        </w:rPr>
        <w:t>záverečných</w:t>
      </w:r>
      <w:r w:rsidR="00A4100F">
        <w:rPr>
          <w:rFonts w:asciiTheme="majorHAnsi" w:eastAsia="Calibri" w:hAnsiTheme="majorHAnsi" w:cstheme="majorHAnsi"/>
        </w:rPr>
        <w:t xml:space="preserve"> prác sa uskutočnil</w:t>
      </w:r>
      <w:r w:rsidR="006606D4">
        <w:rPr>
          <w:rFonts w:asciiTheme="majorHAnsi" w:eastAsia="Calibri" w:hAnsiTheme="majorHAnsi" w:cstheme="majorHAnsi"/>
        </w:rPr>
        <w:t>i</w:t>
      </w:r>
      <w:r w:rsidR="00260F84">
        <w:rPr>
          <w:rFonts w:asciiTheme="majorHAnsi" w:eastAsia="Calibri" w:hAnsiTheme="majorHAnsi" w:cstheme="majorHAnsi"/>
        </w:rPr>
        <w:t xml:space="preserve"> v roku 2021,</w:t>
      </w:r>
      <w:r w:rsidR="00A4100F">
        <w:rPr>
          <w:rFonts w:asciiTheme="majorHAnsi" w:eastAsia="Calibri" w:hAnsiTheme="majorHAnsi" w:cstheme="majorHAnsi"/>
        </w:rPr>
        <w:t xml:space="preserve"> znevýhodnen</w:t>
      </w:r>
      <w:r w:rsidR="00FE43D4">
        <w:rPr>
          <w:rFonts w:asciiTheme="majorHAnsi" w:eastAsia="Calibri" w:hAnsiTheme="majorHAnsi" w:cstheme="majorHAnsi"/>
        </w:rPr>
        <w:t>í</w:t>
      </w:r>
      <w:r w:rsidR="00A4100F">
        <w:rPr>
          <w:rFonts w:asciiTheme="majorHAnsi" w:eastAsia="Calibri" w:hAnsiTheme="majorHAnsi" w:cstheme="majorHAnsi"/>
        </w:rPr>
        <w:t xml:space="preserve"> </w:t>
      </w:r>
      <w:r w:rsidR="00260F84">
        <w:rPr>
          <w:rFonts w:asciiTheme="majorHAnsi" w:eastAsia="Calibri" w:hAnsiTheme="majorHAnsi" w:cstheme="majorHAnsi"/>
        </w:rPr>
        <w:t>opatreniami</w:t>
      </w:r>
      <w:r w:rsidR="00A4100F">
        <w:rPr>
          <w:rFonts w:asciiTheme="majorHAnsi" w:eastAsia="Calibri" w:hAnsiTheme="majorHAnsi" w:cstheme="majorHAnsi"/>
        </w:rPr>
        <w:t xml:space="preserve"> odovzdal</w:t>
      </w:r>
      <w:r w:rsidR="00692A66">
        <w:rPr>
          <w:rFonts w:asciiTheme="majorHAnsi" w:eastAsia="Calibri" w:hAnsiTheme="majorHAnsi" w:cstheme="majorHAnsi"/>
        </w:rPr>
        <w:t>i</w:t>
      </w:r>
      <w:r w:rsidR="00A4100F">
        <w:rPr>
          <w:rFonts w:asciiTheme="majorHAnsi" w:eastAsia="Calibri" w:hAnsiTheme="majorHAnsi" w:cstheme="majorHAnsi"/>
        </w:rPr>
        <w:t xml:space="preserve"> </w:t>
      </w:r>
      <w:r w:rsidR="00293AFA">
        <w:rPr>
          <w:rFonts w:asciiTheme="majorHAnsi" w:eastAsia="Calibri" w:hAnsiTheme="majorHAnsi" w:cstheme="majorHAnsi"/>
        </w:rPr>
        <w:t>záverečn</w:t>
      </w:r>
      <w:r w:rsidR="00FE43D4">
        <w:rPr>
          <w:rFonts w:asciiTheme="majorHAnsi" w:eastAsia="Calibri" w:hAnsiTheme="majorHAnsi" w:cstheme="majorHAnsi"/>
        </w:rPr>
        <w:t>é</w:t>
      </w:r>
      <w:r w:rsidR="00A4100F">
        <w:rPr>
          <w:rFonts w:asciiTheme="majorHAnsi" w:eastAsia="Calibri" w:hAnsiTheme="majorHAnsi" w:cstheme="majorHAnsi"/>
        </w:rPr>
        <w:t xml:space="preserve"> práce vo februári 2022. Dvaja </w:t>
      </w:r>
      <w:r w:rsidR="00692A66">
        <w:rPr>
          <w:rFonts w:asciiTheme="majorHAnsi" w:eastAsia="Calibri" w:hAnsiTheme="majorHAnsi" w:cstheme="majorHAnsi"/>
        </w:rPr>
        <w:t>zahraniční účastníci vzdelávania</w:t>
      </w:r>
      <w:r w:rsidR="00A4100F">
        <w:rPr>
          <w:rFonts w:asciiTheme="majorHAnsi" w:eastAsia="Calibri" w:hAnsiTheme="majorHAnsi" w:cstheme="majorHAnsi"/>
        </w:rPr>
        <w:t>, ktorým nebolo umožnené pricestovať na Slovensko</w:t>
      </w:r>
      <w:r w:rsidR="00692A66">
        <w:rPr>
          <w:rFonts w:asciiTheme="majorHAnsi" w:eastAsia="Calibri" w:hAnsiTheme="majorHAnsi" w:cstheme="majorHAnsi"/>
        </w:rPr>
        <w:t>,</w:t>
      </w:r>
      <w:r w:rsidR="00A4100F">
        <w:rPr>
          <w:rFonts w:asciiTheme="majorHAnsi" w:eastAsia="Calibri" w:hAnsiTheme="majorHAnsi" w:cstheme="majorHAnsi"/>
        </w:rPr>
        <w:t xml:space="preserve"> ešte </w:t>
      </w:r>
      <w:r w:rsidR="000326E3">
        <w:rPr>
          <w:rFonts w:asciiTheme="majorHAnsi" w:eastAsia="Calibri" w:hAnsiTheme="majorHAnsi" w:cstheme="majorHAnsi"/>
        </w:rPr>
        <w:t>neodovzdali</w:t>
      </w:r>
      <w:r w:rsidR="00A4100F">
        <w:rPr>
          <w:rFonts w:asciiTheme="majorHAnsi" w:eastAsia="Calibri" w:hAnsiTheme="majorHAnsi" w:cstheme="majorHAnsi"/>
        </w:rPr>
        <w:t xml:space="preserve"> </w:t>
      </w:r>
      <w:r w:rsidR="000A23CE">
        <w:rPr>
          <w:rFonts w:asciiTheme="majorHAnsi" w:eastAsia="Calibri" w:hAnsiTheme="majorHAnsi" w:cstheme="majorHAnsi"/>
        </w:rPr>
        <w:t>záverečn</w:t>
      </w:r>
      <w:r w:rsidR="000326E3">
        <w:rPr>
          <w:rFonts w:asciiTheme="majorHAnsi" w:eastAsia="Calibri" w:hAnsiTheme="majorHAnsi" w:cstheme="majorHAnsi"/>
        </w:rPr>
        <w:t>é</w:t>
      </w:r>
      <w:r w:rsidR="00A4100F">
        <w:rPr>
          <w:rFonts w:asciiTheme="majorHAnsi" w:eastAsia="Calibri" w:hAnsiTheme="majorHAnsi" w:cstheme="majorHAnsi"/>
        </w:rPr>
        <w:t xml:space="preserve"> prác</w:t>
      </w:r>
      <w:r w:rsidR="000326E3">
        <w:rPr>
          <w:rFonts w:asciiTheme="majorHAnsi" w:eastAsia="Calibri" w:hAnsiTheme="majorHAnsi" w:cstheme="majorHAnsi"/>
        </w:rPr>
        <w:t>e</w:t>
      </w:r>
      <w:r w:rsidR="00A4100F">
        <w:rPr>
          <w:rFonts w:asciiTheme="majorHAnsi" w:eastAsia="Calibri" w:hAnsiTheme="majorHAnsi" w:cstheme="majorHAnsi"/>
        </w:rPr>
        <w:t>. 5. decembra 2022 sa vo Viedni uskutočnil</w:t>
      </w:r>
      <w:r w:rsidR="000326E3">
        <w:rPr>
          <w:rFonts w:asciiTheme="majorHAnsi" w:eastAsia="Calibri" w:hAnsiTheme="majorHAnsi" w:cstheme="majorHAnsi"/>
        </w:rPr>
        <w:t>i</w:t>
      </w:r>
      <w:r w:rsidR="00A4100F">
        <w:rPr>
          <w:rFonts w:asciiTheme="majorHAnsi" w:eastAsia="Calibri" w:hAnsiTheme="majorHAnsi" w:cstheme="majorHAnsi"/>
        </w:rPr>
        <w:t xml:space="preserve"> promóci</w:t>
      </w:r>
      <w:r w:rsidR="000326E3">
        <w:rPr>
          <w:rFonts w:asciiTheme="majorHAnsi" w:eastAsia="Calibri" w:hAnsiTheme="majorHAnsi" w:cstheme="majorHAnsi"/>
        </w:rPr>
        <w:t>e</w:t>
      </w:r>
      <w:r w:rsidR="00A4100F">
        <w:rPr>
          <w:rFonts w:asciiTheme="majorHAnsi" w:eastAsia="Calibri" w:hAnsiTheme="majorHAnsi" w:cstheme="majorHAnsi"/>
        </w:rPr>
        <w:t xml:space="preserve"> 11 </w:t>
      </w:r>
      <w:r w:rsidR="000A23CE">
        <w:rPr>
          <w:rFonts w:asciiTheme="majorHAnsi" w:eastAsia="Calibri" w:hAnsiTheme="majorHAnsi" w:cstheme="majorHAnsi"/>
        </w:rPr>
        <w:t>absolventov</w:t>
      </w:r>
      <w:r w:rsidR="0033001C">
        <w:rPr>
          <w:rFonts w:asciiTheme="majorHAnsi" w:eastAsia="Calibri" w:hAnsiTheme="majorHAnsi" w:cstheme="majorHAnsi"/>
        </w:rPr>
        <w:t xml:space="preserve"> </w:t>
      </w:r>
      <w:r w:rsidR="00900BB4">
        <w:rPr>
          <w:rFonts w:asciiTheme="majorHAnsi" w:eastAsia="Calibri" w:hAnsiTheme="majorHAnsi" w:cstheme="majorHAnsi"/>
        </w:rPr>
        <w:t>vrátane</w:t>
      </w:r>
      <w:r w:rsidR="00A4100F">
        <w:rPr>
          <w:rFonts w:asciiTheme="majorHAnsi" w:eastAsia="Calibri" w:hAnsiTheme="majorHAnsi" w:cstheme="majorHAnsi"/>
        </w:rPr>
        <w:t xml:space="preserve"> </w:t>
      </w:r>
      <w:r w:rsidR="0033001C">
        <w:rPr>
          <w:rFonts w:asciiTheme="majorHAnsi" w:eastAsia="Calibri" w:hAnsiTheme="majorHAnsi" w:cstheme="majorHAnsi"/>
        </w:rPr>
        <w:t>4 </w:t>
      </w:r>
      <w:r w:rsidR="00A4100F">
        <w:rPr>
          <w:rFonts w:asciiTheme="majorHAnsi" w:eastAsia="Calibri" w:hAnsiTheme="majorHAnsi" w:cstheme="majorHAnsi"/>
        </w:rPr>
        <w:t>zo Slovenska</w:t>
      </w:r>
      <w:r w:rsidR="00900BB4">
        <w:rPr>
          <w:rFonts w:asciiTheme="majorHAnsi" w:eastAsia="Calibri" w:hAnsiTheme="majorHAnsi" w:cstheme="majorHAnsi"/>
        </w:rPr>
        <w:t>, ktorí</w:t>
      </w:r>
      <w:r w:rsidR="00A4100F">
        <w:rPr>
          <w:rFonts w:asciiTheme="majorHAnsi" w:eastAsia="Calibri" w:hAnsiTheme="majorHAnsi" w:cstheme="majorHAnsi"/>
        </w:rPr>
        <w:t xml:space="preserve"> </w:t>
      </w:r>
      <w:r w:rsidR="00900BB4">
        <w:rPr>
          <w:rFonts w:asciiTheme="majorHAnsi" w:eastAsia="Calibri" w:hAnsiTheme="majorHAnsi" w:cstheme="majorHAnsi"/>
        </w:rPr>
        <w:t xml:space="preserve">úspešne </w:t>
      </w:r>
      <w:r w:rsidR="00A4100F">
        <w:rPr>
          <w:rFonts w:asciiTheme="majorHAnsi" w:eastAsia="Calibri" w:hAnsiTheme="majorHAnsi" w:cstheme="majorHAnsi"/>
        </w:rPr>
        <w:t xml:space="preserve">obhájili svoje </w:t>
      </w:r>
      <w:r w:rsidR="00900BB4">
        <w:rPr>
          <w:rFonts w:asciiTheme="majorHAnsi" w:eastAsia="Calibri" w:hAnsiTheme="majorHAnsi" w:cstheme="majorHAnsi"/>
        </w:rPr>
        <w:t xml:space="preserve">záverečné </w:t>
      </w:r>
      <w:r w:rsidR="00A4100F">
        <w:rPr>
          <w:rFonts w:asciiTheme="majorHAnsi" w:eastAsia="Calibri" w:hAnsiTheme="majorHAnsi" w:cstheme="majorHAnsi"/>
        </w:rPr>
        <w:t xml:space="preserve">práce a získali titul. </w:t>
      </w:r>
    </w:p>
    <w:p w14:paraId="4C3E50ED" w14:textId="6B4749B7" w:rsidR="00EB68EB" w:rsidRPr="0053555E" w:rsidRDefault="00EB68EB" w:rsidP="00EB68EB">
      <w:pPr>
        <w:tabs>
          <w:tab w:val="left" w:pos="567"/>
        </w:tabs>
        <w:spacing w:after="120"/>
        <w:jc w:val="both"/>
        <w:rPr>
          <w:rFonts w:asciiTheme="majorHAnsi" w:hAnsiTheme="majorHAnsi" w:cstheme="majorHAnsi"/>
        </w:rPr>
      </w:pPr>
      <w:r w:rsidRPr="0053555E">
        <w:rPr>
          <w:rFonts w:asciiTheme="majorHAnsi" w:hAnsiTheme="majorHAnsi" w:cstheme="majorHAnsi"/>
        </w:rPr>
        <w:t xml:space="preserve">Význam globálneho </w:t>
      </w:r>
      <w:r w:rsidR="006A6D37" w:rsidRPr="0053555E">
        <w:rPr>
          <w:rFonts w:asciiTheme="majorHAnsi" w:hAnsiTheme="majorHAnsi" w:cstheme="majorHAnsi"/>
        </w:rPr>
        <w:t>vzdelávania</w:t>
      </w:r>
      <w:r w:rsidRPr="0053555E">
        <w:rPr>
          <w:rFonts w:asciiTheme="majorHAnsi" w:hAnsiTheme="majorHAnsi" w:cstheme="majorHAnsi"/>
        </w:rPr>
        <w:t xml:space="preserve"> je aj v tom, že STU vytvorila podmienky pre spoluprácu s TU Viedeň na programe, v ktorom pôsobí viac ako </w:t>
      </w:r>
      <w:r w:rsidRPr="0053555E">
        <w:rPr>
          <w:rFonts w:asciiTheme="majorHAnsi" w:hAnsiTheme="majorHAnsi" w:cstheme="majorHAnsi"/>
          <w:b/>
        </w:rPr>
        <w:t>40 lektorov</w:t>
      </w:r>
      <w:r w:rsidRPr="0053555E">
        <w:rPr>
          <w:rFonts w:asciiTheme="majorHAnsi" w:hAnsiTheme="majorHAnsi" w:cstheme="majorHAnsi"/>
        </w:rPr>
        <w:t xml:space="preserve"> </w:t>
      </w:r>
      <w:r w:rsidR="00260F84">
        <w:rPr>
          <w:rFonts w:asciiTheme="majorHAnsi" w:hAnsiTheme="majorHAnsi" w:cstheme="majorHAnsi"/>
        </w:rPr>
        <w:t>najmä</w:t>
      </w:r>
      <w:r w:rsidRPr="0053555E">
        <w:rPr>
          <w:rFonts w:asciiTheme="majorHAnsi" w:hAnsiTheme="majorHAnsi" w:cstheme="majorHAnsi"/>
        </w:rPr>
        <w:t xml:space="preserve"> z Rakúska a</w:t>
      </w:r>
      <w:r w:rsidR="00D641C4">
        <w:rPr>
          <w:rFonts w:asciiTheme="majorHAnsi" w:hAnsiTheme="majorHAnsi" w:cstheme="majorHAnsi"/>
        </w:rPr>
        <w:t> </w:t>
      </w:r>
      <w:r w:rsidRPr="0053555E">
        <w:rPr>
          <w:rFonts w:asciiTheme="majorHAnsi" w:hAnsiTheme="majorHAnsi" w:cstheme="majorHAnsi"/>
        </w:rPr>
        <w:t>Slovenska</w:t>
      </w:r>
      <w:r w:rsidR="00D641C4">
        <w:rPr>
          <w:rFonts w:asciiTheme="majorHAnsi" w:hAnsiTheme="majorHAnsi" w:cstheme="majorHAnsi"/>
        </w:rPr>
        <w:t>,</w:t>
      </w:r>
      <w:r w:rsidRPr="0053555E">
        <w:rPr>
          <w:rFonts w:asciiTheme="majorHAnsi" w:hAnsiTheme="majorHAnsi" w:cstheme="majorHAnsi"/>
        </w:rPr>
        <w:t xml:space="preserve"> s</w:t>
      </w:r>
      <w:r w:rsidR="00F4466C">
        <w:rPr>
          <w:rFonts w:asciiTheme="majorHAnsi" w:hAnsiTheme="majorHAnsi" w:cstheme="majorHAnsi"/>
        </w:rPr>
        <w:t> </w:t>
      </w:r>
      <w:r w:rsidRPr="0053555E">
        <w:rPr>
          <w:rFonts w:asciiTheme="majorHAnsi" w:hAnsiTheme="majorHAnsi" w:cstheme="majorHAnsi"/>
        </w:rPr>
        <w:t xml:space="preserve">viac ako </w:t>
      </w:r>
      <w:r w:rsidRPr="0053555E">
        <w:rPr>
          <w:rFonts w:asciiTheme="majorHAnsi" w:hAnsiTheme="majorHAnsi" w:cstheme="majorHAnsi"/>
          <w:b/>
        </w:rPr>
        <w:t>100 absolventmi</w:t>
      </w:r>
      <w:r w:rsidRPr="0053555E">
        <w:rPr>
          <w:rFonts w:asciiTheme="majorHAnsi" w:hAnsiTheme="majorHAnsi" w:cstheme="majorHAnsi"/>
        </w:rPr>
        <w:t>. Absolventi vzdelávacieho programu boli alebo stále sú manažér</w:t>
      </w:r>
      <w:r w:rsidR="001F17EE" w:rsidRPr="0053555E">
        <w:rPr>
          <w:rFonts w:asciiTheme="majorHAnsi" w:hAnsiTheme="majorHAnsi" w:cstheme="majorHAnsi"/>
        </w:rPr>
        <w:t>mi</w:t>
      </w:r>
      <w:r w:rsidRPr="0053555E">
        <w:rPr>
          <w:rFonts w:asciiTheme="majorHAnsi" w:hAnsiTheme="majorHAnsi" w:cstheme="majorHAnsi"/>
        </w:rPr>
        <w:t xml:space="preserve"> významných výrobných i nevýrobných globálnych spoločností z </w:t>
      </w:r>
      <w:r w:rsidRPr="0053555E">
        <w:rPr>
          <w:rFonts w:asciiTheme="majorHAnsi" w:hAnsiTheme="majorHAnsi" w:cstheme="majorHAnsi"/>
          <w:b/>
        </w:rPr>
        <w:t>29 štátov Ázie, Európy, Afriky a Ameriky</w:t>
      </w:r>
      <w:r w:rsidRPr="0053555E">
        <w:rPr>
          <w:rFonts w:asciiTheme="majorHAnsi" w:hAnsiTheme="majorHAnsi" w:cstheme="majorHAnsi"/>
        </w:rPr>
        <w:t>.</w:t>
      </w:r>
    </w:p>
    <w:p w14:paraId="373445DF" w14:textId="1A9C441A" w:rsidR="00F36DEE" w:rsidRPr="00260F84" w:rsidRDefault="00AF2A19" w:rsidP="00260F84">
      <w:pPr>
        <w:tabs>
          <w:tab w:val="left" w:pos="709"/>
          <w:tab w:val="left" w:pos="9356"/>
        </w:tabs>
        <w:jc w:val="both"/>
        <w:rPr>
          <w:rFonts w:asciiTheme="majorHAnsi" w:hAnsiTheme="majorHAnsi" w:cstheme="majorHAnsi"/>
          <w:b/>
        </w:rPr>
      </w:pPr>
      <w:r w:rsidRPr="00260F84">
        <w:rPr>
          <w:rFonts w:asciiTheme="majorHAnsi" w:hAnsiTheme="majorHAnsi" w:cstheme="majorHAnsi"/>
          <w:b/>
        </w:rPr>
        <w:t xml:space="preserve">Jazykové centrum </w:t>
      </w:r>
      <w:r w:rsidR="00F4466C" w:rsidRPr="00260F84">
        <w:rPr>
          <w:rFonts w:asciiTheme="majorHAnsi" w:hAnsiTheme="majorHAnsi" w:cstheme="majorHAnsi"/>
          <w:b/>
        </w:rPr>
        <w:t xml:space="preserve">ICV </w:t>
      </w:r>
      <w:r w:rsidR="00260F84">
        <w:rPr>
          <w:rFonts w:asciiTheme="majorHAnsi" w:hAnsiTheme="majorHAnsi" w:cstheme="majorHAnsi"/>
          <w:b/>
        </w:rPr>
        <w:t xml:space="preserve">(JC) </w:t>
      </w:r>
      <w:r w:rsidR="00F36DEE" w:rsidRPr="00F85739">
        <w:rPr>
          <w:rFonts w:asciiTheme="majorHAnsi" w:hAnsiTheme="majorHAnsi" w:cstheme="majorHAnsi"/>
        </w:rPr>
        <w:t>z</w:t>
      </w:r>
      <w:r w:rsidR="00AE6DBB" w:rsidRPr="0053555E">
        <w:rPr>
          <w:rFonts w:asciiTheme="majorHAnsi" w:hAnsiTheme="majorHAnsi" w:cstheme="majorHAnsi"/>
        </w:rPr>
        <w:t xml:space="preserve">abezpečuje </w:t>
      </w:r>
      <w:r w:rsidR="00F85739" w:rsidRPr="0053555E">
        <w:rPr>
          <w:rFonts w:asciiTheme="majorHAnsi" w:hAnsiTheme="majorHAnsi" w:cstheme="majorHAnsi"/>
        </w:rPr>
        <w:t>v súlade s</w:t>
      </w:r>
      <w:r w:rsidR="00260F84">
        <w:rPr>
          <w:rFonts w:asciiTheme="majorHAnsi" w:hAnsiTheme="majorHAnsi" w:cstheme="majorHAnsi"/>
        </w:rPr>
        <w:t>o zákonom</w:t>
      </w:r>
      <w:r w:rsidR="00F85739" w:rsidRPr="0053555E">
        <w:rPr>
          <w:rFonts w:asciiTheme="majorHAnsi" w:hAnsiTheme="majorHAnsi" w:cstheme="majorHAnsi"/>
        </w:rPr>
        <w:t xml:space="preserve"> o pobyte cudzincov </w:t>
      </w:r>
      <w:r w:rsidR="000C5C47" w:rsidRPr="0053555E">
        <w:rPr>
          <w:rFonts w:asciiTheme="majorHAnsi" w:hAnsiTheme="majorHAnsi" w:cstheme="majorHAnsi"/>
        </w:rPr>
        <w:t>vzdelávacie programy jazykovej prípravy pre zahraničných záujemcov o štúdium v slovenskom jazyku na STU,</w:t>
      </w:r>
      <w:r w:rsidR="00560C66">
        <w:rPr>
          <w:rFonts w:asciiTheme="majorHAnsi" w:hAnsiTheme="majorHAnsi" w:cstheme="majorHAnsi"/>
        </w:rPr>
        <w:t xml:space="preserve"> </w:t>
      </w:r>
      <w:r w:rsidR="00636935" w:rsidRPr="0053555E">
        <w:rPr>
          <w:rFonts w:asciiTheme="majorHAnsi" w:hAnsiTheme="majorHAnsi" w:cstheme="majorHAnsi"/>
        </w:rPr>
        <w:t>ktorými sú</w:t>
      </w:r>
      <w:r w:rsidR="00F36DEE" w:rsidRPr="0053555E">
        <w:rPr>
          <w:rFonts w:asciiTheme="majorHAnsi" w:hAnsiTheme="majorHAnsi" w:cstheme="majorHAnsi"/>
        </w:rPr>
        <w:t xml:space="preserve">: </w:t>
      </w:r>
    </w:p>
    <w:p w14:paraId="6B693BB3" w14:textId="57BC8C45" w:rsidR="00F36DEE" w:rsidRPr="0053555E" w:rsidRDefault="00F36DEE" w:rsidP="00E027F7">
      <w:pPr>
        <w:pStyle w:val="Odsekzoznamu"/>
        <w:numPr>
          <w:ilvl w:val="0"/>
          <w:numId w:val="8"/>
        </w:numPr>
        <w:tabs>
          <w:tab w:val="left" w:pos="9356"/>
        </w:tabs>
        <w:spacing w:after="120"/>
        <w:ind w:left="426" w:hanging="426"/>
        <w:jc w:val="both"/>
        <w:rPr>
          <w:rFonts w:asciiTheme="majorHAnsi" w:hAnsiTheme="majorHAnsi" w:cstheme="majorHAnsi"/>
        </w:rPr>
      </w:pPr>
      <w:r w:rsidRPr="0053555E">
        <w:rPr>
          <w:rFonts w:asciiTheme="majorHAnsi" w:hAnsiTheme="majorHAnsi" w:cstheme="majorHAnsi"/>
          <w:b/>
        </w:rPr>
        <w:t>Modul Slovenský Jazyk Intenzívny (MSJI)</w:t>
      </w:r>
      <w:r w:rsidRPr="0053555E">
        <w:rPr>
          <w:rFonts w:asciiTheme="majorHAnsi" w:hAnsiTheme="majorHAnsi" w:cstheme="majorHAnsi"/>
        </w:rPr>
        <w:t xml:space="preserve">, </w:t>
      </w:r>
      <w:r w:rsidR="00560C66">
        <w:rPr>
          <w:rFonts w:asciiTheme="majorHAnsi" w:hAnsiTheme="majorHAnsi" w:cstheme="majorHAnsi"/>
        </w:rPr>
        <w:t xml:space="preserve">jazyková </w:t>
      </w:r>
      <w:r w:rsidRPr="0053555E">
        <w:rPr>
          <w:rFonts w:asciiTheme="majorHAnsi" w:hAnsiTheme="majorHAnsi" w:cstheme="majorHAnsi"/>
        </w:rPr>
        <w:t xml:space="preserve">úroveň A1  ̶  B1 </w:t>
      </w:r>
      <w:r w:rsidR="000B13A1" w:rsidRPr="0053555E">
        <w:rPr>
          <w:rFonts w:asciiTheme="majorHAnsi" w:hAnsiTheme="majorHAnsi" w:cstheme="majorHAnsi"/>
        </w:rPr>
        <w:t xml:space="preserve">v rozsahu </w:t>
      </w:r>
      <w:r w:rsidRPr="0053555E">
        <w:rPr>
          <w:rFonts w:asciiTheme="majorHAnsi" w:hAnsiTheme="majorHAnsi" w:cstheme="majorHAnsi"/>
        </w:rPr>
        <w:t xml:space="preserve">640 hodín, </w:t>
      </w:r>
    </w:p>
    <w:p w14:paraId="3F242B01" w14:textId="58812C88" w:rsidR="00F36DEE" w:rsidRPr="0053555E" w:rsidRDefault="00F36DEE" w:rsidP="00E027F7">
      <w:pPr>
        <w:pStyle w:val="Odsekzoznamu"/>
        <w:numPr>
          <w:ilvl w:val="0"/>
          <w:numId w:val="8"/>
        </w:numPr>
        <w:tabs>
          <w:tab w:val="left" w:pos="9356"/>
        </w:tabs>
        <w:spacing w:after="120"/>
        <w:ind w:left="426" w:hanging="426"/>
        <w:jc w:val="both"/>
        <w:rPr>
          <w:rFonts w:asciiTheme="majorHAnsi" w:hAnsiTheme="majorHAnsi" w:cstheme="majorHAnsi"/>
        </w:rPr>
      </w:pPr>
      <w:r w:rsidRPr="0053555E">
        <w:rPr>
          <w:rFonts w:asciiTheme="majorHAnsi" w:hAnsiTheme="majorHAnsi" w:cstheme="majorHAnsi"/>
          <w:b/>
        </w:rPr>
        <w:t>Modul Intenzívny Slovenský Jazyk (MISJ)</w:t>
      </w:r>
      <w:r w:rsidRPr="0053555E">
        <w:rPr>
          <w:rFonts w:asciiTheme="majorHAnsi" w:hAnsiTheme="majorHAnsi" w:cstheme="majorHAnsi"/>
        </w:rPr>
        <w:t xml:space="preserve">, </w:t>
      </w:r>
      <w:r w:rsidR="00A5661F">
        <w:rPr>
          <w:rFonts w:asciiTheme="majorHAnsi" w:hAnsiTheme="majorHAnsi" w:cstheme="majorHAnsi"/>
        </w:rPr>
        <w:t xml:space="preserve">jazyková </w:t>
      </w:r>
      <w:r w:rsidRPr="0053555E">
        <w:rPr>
          <w:rFonts w:asciiTheme="majorHAnsi" w:hAnsiTheme="majorHAnsi" w:cstheme="majorHAnsi"/>
        </w:rPr>
        <w:t>úroveň A1 – B2</w:t>
      </w:r>
      <w:r w:rsidR="00567AAD" w:rsidRPr="0053555E">
        <w:rPr>
          <w:rFonts w:asciiTheme="majorHAnsi" w:hAnsiTheme="majorHAnsi" w:cstheme="majorHAnsi"/>
        </w:rPr>
        <w:t xml:space="preserve"> </w:t>
      </w:r>
      <w:r w:rsidR="000B13A1" w:rsidRPr="0053555E">
        <w:rPr>
          <w:rFonts w:asciiTheme="majorHAnsi" w:hAnsiTheme="majorHAnsi" w:cstheme="majorHAnsi"/>
        </w:rPr>
        <w:t xml:space="preserve">v rozsahu </w:t>
      </w:r>
      <w:r w:rsidRPr="0053555E">
        <w:rPr>
          <w:rFonts w:asciiTheme="majorHAnsi" w:hAnsiTheme="majorHAnsi" w:cstheme="majorHAnsi"/>
        </w:rPr>
        <w:t>1</w:t>
      </w:r>
      <w:r w:rsidR="000B13A1" w:rsidRPr="0053555E">
        <w:rPr>
          <w:rFonts w:asciiTheme="majorHAnsi" w:hAnsiTheme="majorHAnsi" w:cstheme="majorHAnsi"/>
        </w:rPr>
        <w:t xml:space="preserve"> </w:t>
      </w:r>
      <w:r w:rsidRPr="0053555E">
        <w:rPr>
          <w:rFonts w:asciiTheme="majorHAnsi" w:hAnsiTheme="majorHAnsi" w:cstheme="majorHAnsi"/>
        </w:rPr>
        <w:t>000 hodín</w:t>
      </w:r>
      <w:r w:rsidR="00567AAD" w:rsidRPr="0053555E">
        <w:rPr>
          <w:rFonts w:asciiTheme="majorHAnsi" w:hAnsiTheme="majorHAnsi" w:cstheme="majorHAnsi"/>
        </w:rPr>
        <w:t>.</w:t>
      </w:r>
    </w:p>
    <w:p w14:paraId="69928B45" w14:textId="183636A1" w:rsidR="00F36DEE" w:rsidRPr="0053555E" w:rsidRDefault="00F36DEE" w:rsidP="00F36DEE">
      <w:pPr>
        <w:tabs>
          <w:tab w:val="left" w:pos="9356"/>
        </w:tabs>
        <w:spacing w:after="120"/>
        <w:jc w:val="both"/>
        <w:rPr>
          <w:rFonts w:asciiTheme="majorHAnsi" w:hAnsiTheme="majorHAnsi" w:cstheme="majorHAnsi"/>
        </w:rPr>
      </w:pPr>
      <w:r w:rsidRPr="0053555E">
        <w:rPr>
          <w:rFonts w:asciiTheme="majorHAnsi" w:hAnsiTheme="majorHAnsi" w:cstheme="majorHAnsi"/>
        </w:rPr>
        <w:lastRenderedPageBreak/>
        <w:t xml:space="preserve">Jazykové úrovne sú stanovené podľa Spoločného európskeho referenčného rámca (začiatočníci až pokročilí). Štúdium </w:t>
      </w:r>
      <w:r w:rsidR="00260F84">
        <w:rPr>
          <w:rFonts w:asciiTheme="majorHAnsi" w:hAnsiTheme="majorHAnsi" w:cstheme="majorHAnsi"/>
        </w:rPr>
        <w:t>je</w:t>
      </w:r>
      <w:r w:rsidRPr="0053555E">
        <w:rPr>
          <w:rFonts w:asciiTheme="majorHAnsi" w:hAnsiTheme="majorHAnsi" w:cstheme="majorHAnsi"/>
        </w:rPr>
        <w:t xml:space="preserve"> </w:t>
      </w:r>
      <w:r w:rsidR="00260F84">
        <w:rPr>
          <w:rFonts w:asciiTheme="majorHAnsi" w:hAnsiTheme="majorHAnsi" w:cstheme="majorHAnsi"/>
        </w:rPr>
        <w:t>25</w:t>
      </w:r>
      <w:r w:rsidRPr="0053555E">
        <w:rPr>
          <w:rFonts w:asciiTheme="majorHAnsi" w:hAnsiTheme="majorHAnsi" w:cstheme="majorHAnsi"/>
        </w:rPr>
        <w:t xml:space="preserve"> </w:t>
      </w:r>
      <w:r w:rsidR="00260F84">
        <w:rPr>
          <w:rFonts w:asciiTheme="majorHAnsi" w:hAnsiTheme="majorHAnsi" w:cstheme="majorHAnsi"/>
        </w:rPr>
        <w:t>vyučovacích</w:t>
      </w:r>
      <w:r w:rsidR="00260F84" w:rsidRPr="0053555E">
        <w:rPr>
          <w:rFonts w:asciiTheme="majorHAnsi" w:hAnsiTheme="majorHAnsi" w:cstheme="majorHAnsi"/>
        </w:rPr>
        <w:t xml:space="preserve"> </w:t>
      </w:r>
      <w:r w:rsidRPr="0053555E">
        <w:rPr>
          <w:rFonts w:asciiTheme="majorHAnsi" w:hAnsiTheme="majorHAnsi" w:cstheme="majorHAnsi"/>
        </w:rPr>
        <w:t>hodín</w:t>
      </w:r>
      <w:r w:rsidR="00260F84">
        <w:rPr>
          <w:rFonts w:asciiTheme="majorHAnsi" w:hAnsiTheme="majorHAnsi" w:cstheme="majorHAnsi"/>
        </w:rPr>
        <w:t xml:space="preserve"> </w:t>
      </w:r>
      <w:r w:rsidRPr="0053555E">
        <w:rPr>
          <w:rFonts w:asciiTheme="majorHAnsi" w:hAnsiTheme="majorHAnsi" w:cstheme="majorHAnsi"/>
        </w:rPr>
        <w:t>týždenne</w:t>
      </w:r>
      <w:r w:rsidR="00260F84">
        <w:rPr>
          <w:rFonts w:asciiTheme="majorHAnsi" w:hAnsiTheme="majorHAnsi" w:cstheme="majorHAnsi"/>
        </w:rPr>
        <w:t>,</w:t>
      </w:r>
      <w:r w:rsidRPr="0053555E">
        <w:rPr>
          <w:rFonts w:asciiTheme="majorHAnsi" w:hAnsiTheme="majorHAnsi" w:cstheme="majorHAnsi"/>
        </w:rPr>
        <w:t xml:space="preserve"> jedna </w:t>
      </w:r>
      <w:r w:rsidR="00260F84">
        <w:rPr>
          <w:rFonts w:asciiTheme="majorHAnsi" w:hAnsiTheme="majorHAnsi" w:cstheme="majorHAnsi"/>
        </w:rPr>
        <w:t>t</w:t>
      </w:r>
      <w:r w:rsidR="00636935" w:rsidRPr="0053555E">
        <w:rPr>
          <w:rFonts w:asciiTheme="majorHAnsi" w:hAnsiTheme="majorHAnsi" w:cstheme="majorHAnsi"/>
        </w:rPr>
        <w:t>rvá</w:t>
      </w:r>
      <w:r w:rsidRPr="0053555E">
        <w:rPr>
          <w:rFonts w:asciiTheme="majorHAnsi" w:hAnsiTheme="majorHAnsi" w:cstheme="majorHAnsi"/>
        </w:rPr>
        <w:t xml:space="preserve"> 45 minút.</w:t>
      </w:r>
    </w:p>
    <w:p w14:paraId="35F5C1F7" w14:textId="4AD8FC1E" w:rsidR="00F36DEE" w:rsidRPr="0053555E" w:rsidRDefault="00F36DEE" w:rsidP="00F36DEE">
      <w:pPr>
        <w:tabs>
          <w:tab w:val="left" w:pos="9356"/>
        </w:tabs>
        <w:spacing w:after="120"/>
        <w:jc w:val="both"/>
        <w:rPr>
          <w:rFonts w:asciiTheme="majorHAnsi" w:hAnsiTheme="majorHAnsi" w:cstheme="majorHAnsi"/>
        </w:rPr>
      </w:pPr>
      <w:r w:rsidRPr="0053555E">
        <w:rPr>
          <w:rFonts w:asciiTheme="majorHAnsi" w:hAnsiTheme="majorHAnsi" w:cstheme="majorHAnsi"/>
        </w:rPr>
        <w:t xml:space="preserve">Po úspešnom </w:t>
      </w:r>
      <w:r w:rsidR="00290443" w:rsidRPr="0053555E">
        <w:rPr>
          <w:rFonts w:asciiTheme="majorHAnsi" w:hAnsiTheme="majorHAnsi" w:cstheme="majorHAnsi"/>
        </w:rPr>
        <w:t>s</w:t>
      </w:r>
      <w:r w:rsidRPr="0053555E">
        <w:rPr>
          <w:rFonts w:asciiTheme="majorHAnsi" w:hAnsiTheme="majorHAnsi" w:cstheme="majorHAnsi"/>
        </w:rPr>
        <w:t xml:space="preserve">končení štúdia vzdelávacieho programu (MSJI a MISJ) môže byť </w:t>
      </w:r>
      <w:r w:rsidR="00B571D2" w:rsidRPr="0053555E">
        <w:rPr>
          <w:rFonts w:asciiTheme="majorHAnsi" w:hAnsiTheme="majorHAnsi" w:cstheme="majorHAnsi"/>
        </w:rPr>
        <w:t xml:space="preserve">zahraničný </w:t>
      </w:r>
      <w:r w:rsidR="00290443" w:rsidRPr="0053555E">
        <w:rPr>
          <w:rFonts w:asciiTheme="majorHAnsi" w:hAnsiTheme="majorHAnsi" w:cstheme="majorHAnsi"/>
        </w:rPr>
        <w:t xml:space="preserve">záujemca o štúdium </w:t>
      </w:r>
      <w:r w:rsidRPr="0053555E">
        <w:rPr>
          <w:rFonts w:asciiTheme="majorHAnsi" w:hAnsiTheme="majorHAnsi" w:cstheme="majorHAnsi"/>
        </w:rPr>
        <w:t xml:space="preserve">prijatý </w:t>
      </w:r>
      <w:r w:rsidR="000E2169" w:rsidRPr="0053555E">
        <w:rPr>
          <w:rFonts w:asciiTheme="majorHAnsi" w:hAnsiTheme="majorHAnsi" w:cstheme="majorHAnsi"/>
        </w:rPr>
        <w:t xml:space="preserve">v rámci prijímacieho konania </w:t>
      </w:r>
      <w:r w:rsidRPr="0053555E">
        <w:rPr>
          <w:rFonts w:asciiTheme="majorHAnsi" w:hAnsiTheme="majorHAnsi" w:cstheme="majorHAnsi"/>
        </w:rPr>
        <w:t>na</w:t>
      </w:r>
      <w:r w:rsidR="00FD3C0C" w:rsidRPr="0053555E">
        <w:rPr>
          <w:rFonts w:asciiTheme="majorHAnsi" w:hAnsiTheme="majorHAnsi" w:cstheme="majorHAnsi"/>
        </w:rPr>
        <w:t xml:space="preserve"> štúdium študijného programu uskutočňovaného v slovenskom jazyku na </w:t>
      </w:r>
      <w:r w:rsidRPr="0053555E">
        <w:rPr>
          <w:rFonts w:asciiTheme="majorHAnsi" w:hAnsiTheme="majorHAnsi" w:cstheme="majorHAnsi"/>
        </w:rPr>
        <w:t xml:space="preserve">vybranú </w:t>
      </w:r>
      <w:r w:rsidR="00FD3C0C" w:rsidRPr="0053555E">
        <w:rPr>
          <w:rFonts w:asciiTheme="majorHAnsi" w:hAnsiTheme="majorHAnsi" w:cstheme="majorHAnsi"/>
        </w:rPr>
        <w:t>súčasť</w:t>
      </w:r>
      <w:r w:rsidRPr="0053555E">
        <w:rPr>
          <w:rFonts w:asciiTheme="majorHAnsi" w:hAnsiTheme="majorHAnsi" w:cstheme="majorHAnsi"/>
        </w:rPr>
        <w:t xml:space="preserve"> STU, ak splní podmienky </w:t>
      </w:r>
      <w:r w:rsidR="00FD3C0C" w:rsidRPr="0053555E">
        <w:rPr>
          <w:rFonts w:asciiTheme="majorHAnsi" w:hAnsiTheme="majorHAnsi" w:cstheme="majorHAnsi"/>
        </w:rPr>
        <w:t>prijatia</w:t>
      </w:r>
      <w:r w:rsidRPr="0053555E">
        <w:rPr>
          <w:rFonts w:asciiTheme="majorHAnsi" w:hAnsiTheme="majorHAnsi" w:cstheme="majorHAnsi"/>
        </w:rPr>
        <w:t xml:space="preserve"> v</w:t>
      </w:r>
      <w:r w:rsidR="00A20644">
        <w:rPr>
          <w:rFonts w:asciiTheme="majorHAnsi" w:hAnsiTheme="majorHAnsi" w:cstheme="majorHAnsi"/>
        </w:rPr>
        <w:t> </w:t>
      </w:r>
      <w:r w:rsidRPr="0053555E">
        <w:rPr>
          <w:rFonts w:asciiTheme="majorHAnsi" w:hAnsiTheme="majorHAnsi" w:cstheme="majorHAnsi"/>
        </w:rPr>
        <w:t xml:space="preserve">súlade so </w:t>
      </w:r>
      <w:r w:rsidR="00B571D2" w:rsidRPr="0053555E">
        <w:rPr>
          <w:rFonts w:asciiTheme="majorHAnsi" w:hAnsiTheme="majorHAnsi" w:cstheme="majorHAnsi"/>
        </w:rPr>
        <w:t>zákonom</w:t>
      </w:r>
      <w:r w:rsidRPr="0053555E">
        <w:rPr>
          <w:rFonts w:asciiTheme="majorHAnsi" w:hAnsiTheme="majorHAnsi" w:cstheme="majorHAnsi"/>
        </w:rPr>
        <w:t xml:space="preserve"> o vysokých školách.</w:t>
      </w:r>
      <w:r w:rsidR="000E2169" w:rsidRPr="0053555E">
        <w:rPr>
          <w:rFonts w:asciiTheme="majorHAnsi" w:hAnsiTheme="majorHAnsi" w:cstheme="majorHAnsi"/>
        </w:rPr>
        <w:t xml:space="preserve"> </w:t>
      </w:r>
    </w:p>
    <w:p w14:paraId="31CE9B34" w14:textId="62D0390F" w:rsidR="00F36DEE" w:rsidRPr="0053555E" w:rsidRDefault="00F36DEE" w:rsidP="004B643B">
      <w:pPr>
        <w:tabs>
          <w:tab w:val="left" w:pos="9356"/>
        </w:tabs>
        <w:spacing w:after="120"/>
        <w:jc w:val="both"/>
        <w:rPr>
          <w:rFonts w:asciiTheme="majorHAnsi" w:hAnsiTheme="majorHAnsi" w:cstheme="majorHAnsi"/>
        </w:rPr>
      </w:pPr>
      <w:r w:rsidRPr="0053555E">
        <w:rPr>
          <w:rFonts w:asciiTheme="majorHAnsi" w:hAnsiTheme="majorHAnsi" w:cstheme="majorHAnsi"/>
        </w:rPr>
        <w:t xml:space="preserve">Výučbu slovenského jazyka zabezpečujú </w:t>
      </w:r>
      <w:r w:rsidR="00260F84">
        <w:rPr>
          <w:rFonts w:asciiTheme="majorHAnsi" w:hAnsiTheme="majorHAnsi" w:cstheme="majorHAnsi"/>
        </w:rPr>
        <w:t>siedmi</w:t>
      </w:r>
      <w:r w:rsidR="00437223">
        <w:rPr>
          <w:rFonts w:asciiTheme="majorHAnsi" w:hAnsiTheme="majorHAnsi" w:cstheme="majorHAnsi"/>
        </w:rPr>
        <w:t xml:space="preserve"> </w:t>
      </w:r>
      <w:r w:rsidRPr="0053555E">
        <w:rPr>
          <w:rFonts w:asciiTheme="majorHAnsi" w:hAnsiTheme="majorHAnsi" w:cstheme="majorHAnsi"/>
        </w:rPr>
        <w:t xml:space="preserve">lektori s kvalifikáciou a praxou </w:t>
      </w:r>
      <w:r w:rsidR="00C9716F">
        <w:rPr>
          <w:rFonts w:asciiTheme="majorHAnsi" w:hAnsiTheme="majorHAnsi" w:cstheme="majorHAnsi"/>
        </w:rPr>
        <w:t xml:space="preserve">vo </w:t>
      </w:r>
      <w:r w:rsidRPr="0053555E">
        <w:rPr>
          <w:rFonts w:asciiTheme="majorHAnsi" w:hAnsiTheme="majorHAnsi" w:cstheme="majorHAnsi"/>
        </w:rPr>
        <w:t>výučb</w:t>
      </w:r>
      <w:r w:rsidR="00C9716F">
        <w:rPr>
          <w:rFonts w:asciiTheme="majorHAnsi" w:hAnsiTheme="majorHAnsi" w:cstheme="majorHAnsi"/>
        </w:rPr>
        <w:t>e</w:t>
      </w:r>
      <w:r w:rsidRPr="0053555E">
        <w:rPr>
          <w:rFonts w:asciiTheme="majorHAnsi" w:hAnsiTheme="majorHAnsi" w:cstheme="majorHAnsi"/>
        </w:rPr>
        <w:t xml:space="preserve"> slovenského jazyka ako cudzieho jazyka </w:t>
      </w:r>
      <w:r w:rsidR="004B643B">
        <w:rPr>
          <w:rFonts w:asciiTheme="majorHAnsi" w:hAnsiTheme="majorHAnsi" w:cstheme="majorHAnsi"/>
        </w:rPr>
        <w:t>a</w:t>
      </w:r>
      <w:r w:rsidRPr="0053555E">
        <w:rPr>
          <w:rFonts w:asciiTheme="majorHAnsi" w:hAnsiTheme="majorHAnsi" w:cstheme="majorHAnsi"/>
        </w:rPr>
        <w:t xml:space="preserve"> s kvalifikáciou výučby cudzích jazykov − anglického jazyka, nemeckého jazyka, španielskeho jazyka a ruského jazyka</w:t>
      </w:r>
      <w:r w:rsidR="003F0226" w:rsidRPr="0053555E">
        <w:rPr>
          <w:rFonts w:asciiTheme="majorHAnsi" w:hAnsiTheme="majorHAnsi" w:cstheme="majorHAnsi"/>
        </w:rPr>
        <w:t xml:space="preserve">. </w:t>
      </w:r>
    </w:p>
    <w:p w14:paraId="5E24DDC6" w14:textId="58F9C82E" w:rsidR="00F36DEE" w:rsidRPr="0053555E" w:rsidRDefault="00F36DEE" w:rsidP="00DB3C43">
      <w:pPr>
        <w:tabs>
          <w:tab w:val="left" w:pos="9356"/>
        </w:tabs>
        <w:spacing w:after="120"/>
        <w:jc w:val="both"/>
        <w:rPr>
          <w:rFonts w:asciiTheme="majorHAnsi" w:hAnsiTheme="majorHAnsi" w:cstheme="majorHAnsi"/>
        </w:rPr>
      </w:pPr>
      <w:r w:rsidRPr="0053555E">
        <w:rPr>
          <w:rFonts w:asciiTheme="majorHAnsi" w:hAnsiTheme="majorHAnsi" w:cstheme="majorHAnsi"/>
        </w:rPr>
        <w:t xml:space="preserve">Hodnotenie </w:t>
      </w:r>
      <w:r w:rsidR="00F33E96" w:rsidRPr="0053555E">
        <w:rPr>
          <w:rFonts w:asciiTheme="majorHAnsi" w:hAnsiTheme="majorHAnsi" w:cstheme="majorHAnsi"/>
        </w:rPr>
        <w:t xml:space="preserve">v rámci vzdelávania </w:t>
      </w:r>
      <w:r w:rsidR="004B643B">
        <w:rPr>
          <w:rFonts w:asciiTheme="majorHAnsi" w:hAnsiTheme="majorHAnsi" w:cstheme="majorHAnsi"/>
        </w:rPr>
        <w:t>sa realizuje priebežne</w:t>
      </w:r>
      <w:r w:rsidR="00CD6736" w:rsidRPr="0053555E">
        <w:rPr>
          <w:rFonts w:asciiTheme="majorHAnsi" w:hAnsiTheme="majorHAnsi" w:cstheme="majorHAnsi"/>
        </w:rPr>
        <w:t xml:space="preserve"> (</w:t>
      </w:r>
      <w:r w:rsidRPr="0053555E">
        <w:rPr>
          <w:rFonts w:asciiTheme="majorHAnsi" w:hAnsiTheme="majorHAnsi" w:cstheme="majorHAnsi"/>
        </w:rPr>
        <w:t>testy, cvičenia, riešenie príkladov</w:t>
      </w:r>
      <w:r w:rsidR="00CD6736" w:rsidRPr="0053555E">
        <w:rPr>
          <w:rFonts w:asciiTheme="majorHAnsi" w:hAnsiTheme="majorHAnsi" w:cstheme="majorHAnsi"/>
        </w:rPr>
        <w:t>) a zá</w:t>
      </w:r>
      <w:r w:rsidRPr="0053555E">
        <w:rPr>
          <w:rFonts w:asciiTheme="majorHAnsi" w:hAnsiTheme="majorHAnsi" w:cstheme="majorHAnsi"/>
        </w:rPr>
        <w:t>verečn</w:t>
      </w:r>
      <w:r w:rsidR="00CD6736" w:rsidRPr="0053555E">
        <w:rPr>
          <w:rFonts w:asciiTheme="majorHAnsi" w:hAnsiTheme="majorHAnsi" w:cstheme="majorHAnsi"/>
        </w:rPr>
        <w:t>ým</w:t>
      </w:r>
      <w:r w:rsidRPr="0053555E">
        <w:rPr>
          <w:rFonts w:asciiTheme="majorHAnsi" w:hAnsiTheme="majorHAnsi" w:cstheme="majorHAnsi"/>
        </w:rPr>
        <w:t xml:space="preserve"> hodnoten</w:t>
      </w:r>
      <w:r w:rsidR="00CD6736" w:rsidRPr="0053555E">
        <w:rPr>
          <w:rFonts w:asciiTheme="majorHAnsi" w:hAnsiTheme="majorHAnsi" w:cstheme="majorHAnsi"/>
        </w:rPr>
        <w:t>ím</w:t>
      </w:r>
      <w:r w:rsidRPr="0053555E">
        <w:rPr>
          <w:rFonts w:asciiTheme="majorHAnsi" w:hAnsiTheme="majorHAnsi" w:cstheme="majorHAnsi"/>
        </w:rPr>
        <w:t xml:space="preserve"> písomn</w:t>
      </w:r>
      <w:r w:rsidR="00CD6736" w:rsidRPr="0053555E">
        <w:rPr>
          <w:rFonts w:asciiTheme="majorHAnsi" w:hAnsiTheme="majorHAnsi" w:cstheme="majorHAnsi"/>
        </w:rPr>
        <w:t>ou</w:t>
      </w:r>
      <w:r w:rsidR="002D5E32" w:rsidRPr="0053555E">
        <w:rPr>
          <w:rFonts w:asciiTheme="majorHAnsi" w:hAnsiTheme="majorHAnsi" w:cstheme="majorHAnsi"/>
        </w:rPr>
        <w:t xml:space="preserve"> </w:t>
      </w:r>
      <w:r w:rsidRPr="0053555E">
        <w:rPr>
          <w:rFonts w:asciiTheme="majorHAnsi" w:hAnsiTheme="majorHAnsi" w:cstheme="majorHAnsi"/>
        </w:rPr>
        <w:t>form</w:t>
      </w:r>
      <w:r w:rsidR="002D5E32" w:rsidRPr="0053555E">
        <w:rPr>
          <w:rFonts w:asciiTheme="majorHAnsi" w:hAnsiTheme="majorHAnsi" w:cstheme="majorHAnsi"/>
        </w:rPr>
        <w:t xml:space="preserve">ou </w:t>
      </w:r>
      <w:r w:rsidR="00AC405F" w:rsidRPr="0053555E">
        <w:rPr>
          <w:rFonts w:asciiTheme="majorHAnsi" w:hAnsiTheme="majorHAnsi" w:cstheme="majorHAnsi"/>
        </w:rPr>
        <w:t>(</w:t>
      </w:r>
      <w:r w:rsidRPr="0053555E">
        <w:rPr>
          <w:rFonts w:asciiTheme="majorHAnsi" w:hAnsiTheme="majorHAnsi" w:cstheme="majorHAnsi"/>
        </w:rPr>
        <w:t>záverečn</w:t>
      </w:r>
      <w:r w:rsidR="00AC405F" w:rsidRPr="0053555E">
        <w:rPr>
          <w:rFonts w:asciiTheme="majorHAnsi" w:hAnsiTheme="majorHAnsi" w:cstheme="majorHAnsi"/>
        </w:rPr>
        <w:t>ý</w:t>
      </w:r>
      <w:r w:rsidRPr="0053555E">
        <w:rPr>
          <w:rFonts w:asciiTheme="majorHAnsi" w:hAnsiTheme="majorHAnsi" w:cstheme="majorHAnsi"/>
        </w:rPr>
        <w:t xml:space="preserve"> test</w:t>
      </w:r>
      <w:r w:rsidR="00AC405F" w:rsidRPr="0053555E">
        <w:rPr>
          <w:rFonts w:asciiTheme="majorHAnsi" w:hAnsiTheme="majorHAnsi" w:cstheme="majorHAnsi"/>
        </w:rPr>
        <w:t xml:space="preserve"> s </w:t>
      </w:r>
      <w:r w:rsidRPr="0053555E">
        <w:rPr>
          <w:rFonts w:asciiTheme="majorHAnsi" w:hAnsiTheme="majorHAnsi" w:cstheme="majorHAnsi"/>
        </w:rPr>
        <w:t>úspešnosťou nad 60</w:t>
      </w:r>
      <w:r w:rsidR="002D5E32" w:rsidRPr="0053555E">
        <w:rPr>
          <w:rFonts w:asciiTheme="majorHAnsi" w:hAnsiTheme="majorHAnsi" w:cstheme="majorHAnsi"/>
        </w:rPr>
        <w:t xml:space="preserve"> </w:t>
      </w:r>
      <w:r w:rsidR="00530B60" w:rsidRPr="0053555E">
        <w:rPr>
          <w:rFonts w:asciiTheme="majorHAnsi" w:hAnsiTheme="majorHAnsi" w:cstheme="majorHAnsi"/>
        </w:rPr>
        <w:t>%) a</w:t>
      </w:r>
      <w:r w:rsidR="00AC405F" w:rsidRPr="0053555E">
        <w:rPr>
          <w:rFonts w:asciiTheme="majorHAnsi" w:hAnsiTheme="majorHAnsi" w:cstheme="majorHAnsi"/>
        </w:rPr>
        <w:t> </w:t>
      </w:r>
      <w:r w:rsidRPr="0053555E">
        <w:rPr>
          <w:rFonts w:asciiTheme="majorHAnsi" w:hAnsiTheme="majorHAnsi" w:cstheme="majorHAnsi"/>
        </w:rPr>
        <w:t>ústn</w:t>
      </w:r>
      <w:r w:rsidR="00AC405F" w:rsidRPr="0053555E">
        <w:rPr>
          <w:rFonts w:asciiTheme="majorHAnsi" w:hAnsiTheme="majorHAnsi" w:cstheme="majorHAnsi"/>
        </w:rPr>
        <w:t>ou formou</w:t>
      </w:r>
      <w:r w:rsidR="00530B60" w:rsidRPr="0053555E">
        <w:rPr>
          <w:rFonts w:asciiTheme="majorHAnsi" w:hAnsiTheme="majorHAnsi" w:cstheme="majorHAnsi"/>
        </w:rPr>
        <w:t xml:space="preserve">. </w:t>
      </w:r>
      <w:r w:rsidRPr="0053555E">
        <w:rPr>
          <w:rFonts w:asciiTheme="majorHAnsi" w:hAnsiTheme="majorHAnsi" w:cstheme="majorHAnsi"/>
        </w:rPr>
        <w:t xml:space="preserve">Na záver </w:t>
      </w:r>
      <w:r w:rsidR="00AC405F" w:rsidRPr="0053555E">
        <w:rPr>
          <w:rFonts w:asciiTheme="majorHAnsi" w:hAnsiTheme="majorHAnsi" w:cstheme="majorHAnsi"/>
        </w:rPr>
        <w:t xml:space="preserve">dostane </w:t>
      </w:r>
      <w:r w:rsidR="00530B60" w:rsidRPr="0053555E">
        <w:rPr>
          <w:rFonts w:asciiTheme="majorHAnsi" w:hAnsiTheme="majorHAnsi" w:cstheme="majorHAnsi"/>
        </w:rPr>
        <w:t>účastník</w:t>
      </w:r>
      <w:r w:rsidRPr="0053555E">
        <w:rPr>
          <w:rFonts w:asciiTheme="majorHAnsi" w:hAnsiTheme="majorHAnsi" w:cstheme="majorHAnsi"/>
        </w:rPr>
        <w:t xml:space="preserve"> </w:t>
      </w:r>
      <w:r w:rsidR="00AC405F" w:rsidRPr="0053555E">
        <w:rPr>
          <w:rFonts w:asciiTheme="majorHAnsi" w:hAnsiTheme="majorHAnsi" w:cstheme="majorHAnsi"/>
        </w:rPr>
        <w:t xml:space="preserve">vzdelávania </w:t>
      </w:r>
      <w:r w:rsidRPr="0053555E">
        <w:rPr>
          <w:rFonts w:asciiTheme="majorHAnsi" w:hAnsiTheme="majorHAnsi" w:cstheme="majorHAnsi"/>
        </w:rPr>
        <w:t xml:space="preserve">„Osvedčenie“ o absolvovaní </w:t>
      </w:r>
      <w:r w:rsidR="00AC405F" w:rsidRPr="0053555E">
        <w:rPr>
          <w:rFonts w:asciiTheme="majorHAnsi" w:hAnsiTheme="majorHAnsi" w:cstheme="majorHAnsi"/>
        </w:rPr>
        <w:t xml:space="preserve">vzdelávacieho programu </w:t>
      </w:r>
      <w:r w:rsidRPr="0053555E">
        <w:rPr>
          <w:rFonts w:asciiTheme="majorHAnsi" w:hAnsiTheme="majorHAnsi" w:cstheme="majorHAnsi"/>
        </w:rPr>
        <w:t>s uvedením rozsahu</w:t>
      </w:r>
      <w:r w:rsidR="00A54DCB" w:rsidRPr="0053555E">
        <w:rPr>
          <w:rFonts w:asciiTheme="majorHAnsi" w:hAnsiTheme="majorHAnsi" w:cstheme="majorHAnsi"/>
        </w:rPr>
        <w:t xml:space="preserve"> vzdelávania</w:t>
      </w:r>
      <w:r w:rsidRPr="0053555E">
        <w:rPr>
          <w:rFonts w:asciiTheme="majorHAnsi" w:hAnsiTheme="majorHAnsi" w:cstheme="majorHAnsi"/>
        </w:rPr>
        <w:t xml:space="preserve">, úrovne </w:t>
      </w:r>
      <w:r w:rsidR="00A54DCB" w:rsidRPr="0053555E">
        <w:rPr>
          <w:rFonts w:asciiTheme="majorHAnsi" w:hAnsiTheme="majorHAnsi" w:cstheme="majorHAnsi"/>
        </w:rPr>
        <w:t>jazykových znalostí a</w:t>
      </w:r>
      <w:r w:rsidR="00B33562">
        <w:rPr>
          <w:rFonts w:asciiTheme="majorHAnsi" w:hAnsiTheme="majorHAnsi" w:cstheme="majorHAnsi"/>
        </w:rPr>
        <w:t xml:space="preserve"> hodnotenia </w:t>
      </w:r>
      <w:r w:rsidRPr="0053555E">
        <w:rPr>
          <w:rFonts w:asciiTheme="majorHAnsi" w:hAnsiTheme="majorHAnsi" w:cstheme="majorHAnsi"/>
        </w:rPr>
        <w:t>klasifikačn</w:t>
      </w:r>
      <w:r w:rsidR="00B33562">
        <w:rPr>
          <w:rFonts w:asciiTheme="majorHAnsi" w:hAnsiTheme="majorHAnsi" w:cstheme="majorHAnsi"/>
        </w:rPr>
        <w:t>ou</w:t>
      </w:r>
      <w:r w:rsidRPr="0053555E">
        <w:rPr>
          <w:rFonts w:asciiTheme="majorHAnsi" w:hAnsiTheme="majorHAnsi" w:cstheme="majorHAnsi"/>
        </w:rPr>
        <w:t xml:space="preserve"> stupnic</w:t>
      </w:r>
      <w:r w:rsidR="00B33562">
        <w:rPr>
          <w:rFonts w:asciiTheme="majorHAnsi" w:hAnsiTheme="majorHAnsi" w:cstheme="majorHAnsi"/>
        </w:rPr>
        <w:t>ou</w:t>
      </w:r>
      <w:r w:rsidR="00AC0149">
        <w:rPr>
          <w:rFonts w:asciiTheme="majorHAnsi" w:hAnsiTheme="majorHAnsi" w:cstheme="majorHAnsi"/>
        </w:rPr>
        <w:t xml:space="preserve">, </w:t>
      </w:r>
      <w:r w:rsidRPr="0053555E">
        <w:rPr>
          <w:rFonts w:asciiTheme="majorHAnsi" w:hAnsiTheme="majorHAnsi" w:cstheme="majorHAnsi"/>
        </w:rPr>
        <w:t>ktorú tvorí šesť stupňov.</w:t>
      </w:r>
    </w:p>
    <w:p w14:paraId="586C2429" w14:textId="4BA1A729" w:rsidR="00DA7FC2" w:rsidRPr="004B643B" w:rsidRDefault="00DA7FC2" w:rsidP="004B643B">
      <w:pPr>
        <w:pStyle w:val="Block"/>
        <w:tabs>
          <w:tab w:val="left" w:pos="10656"/>
        </w:tabs>
        <w:spacing w:after="0"/>
        <w:rPr>
          <w:rFonts w:asciiTheme="majorHAnsi" w:hAnsiTheme="majorHAnsi" w:cstheme="majorHAnsi"/>
          <w:sz w:val="24"/>
          <w:szCs w:val="24"/>
        </w:rPr>
      </w:pPr>
      <w:r w:rsidRPr="00DA7FC2">
        <w:rPr>
          <w:rFonts w:ascii="Calibri" w:hAnsi="Calibri" w:cs="Calibri"/>
          <w:sz w:val="24"/>
          <w:szCs w:val="24"/>
        </w:rPr>
        <w:t xml:space="preserve">V Akademickom roku 2021/2022 bola výučba slovenského jazyka </w:t>
      </w:r>
      <w:r w:rsidR="00E810E2">
        <w:rPr>
          <w:rFonts w:ascii="Calibri" w:hAnsi="Calibri" w:cs="Calibri"/>
          <w:sz w:val="24"/>
          <w:szCs w:val="24"/>
        </w:rPr>
        <w:t>prezenčnou aj dištančnou metódou</w:t>
      </w:r>
      <w:r w:rsidR="004B643B">
        <w:rPr>
          <w:rFonts w:ascii="Calibri" w:hAnsi="Calibri" w:cs="Calibri"/>
          <w:sz w:val="24"/>
          <w:szCs w:val="24"/>
        </w:rPr>
        <w:t xml:space="preserve">. </w:t>
      </w:r>
      <w:r w:rsidRPr="009819C8">
        <w:rPr>
          <w:rFonts w:ascii="Calibri" w:hAnsi="Calibri" w:cs="Calibri"/>
          <w:sz w:val="24"/>
          <w:szCs w:val="24"/>
        </w:rPr>
        <w:t>Výučbu slovenského jazyka absolvovalo</w:t>
      </w:r>
      <w:r w:rsidR="00DB3C43" w:rsidRPr="009819C8">
        <w:rPr>
          <w:rFonts w:ascii="Calibri" w:hAnsi="Calibri" w:cs="Calibri"/>
          <w:sz w:val="24"/>
          <w:szCs w:val="24"/>
        </w:rPr>
        <w:t xml:space="preserve"> </w:t>
      </w:r>
      <w:r w:rsidRPr="009819C8">
        <w:rPr>
          <w:rFonts w:asciiTheme="majorHAnsi" w:hAnsiTheme="majorHAnsi" w:cstheme="majorHAnsi"/>
          <w:b/>
          <w:sz w:val="24"/>
          <w:szCs w:val="24"/>
        </w:rPr>
        <w:t xml:space="preserve">28 </w:t>
      </w:r>
      <w:r w:rsidR="00A751E9" w:rsidRPr="009819C8">
        <w:rPr>
          <w:rFonts w:asciiTheme="majorHAnsi" w:hAnsiTheme="majorHAnsi" w:cstheme="majorHAnsi"/>
          <w:sz w:val="24"/>
          <w:szCs w:val="24"/>
        </w:rPr>
        <w:t>účastníkov vzdelávania</w:t>
      </w:r>
      <w:r w:rsidRPr="009819C8">
        <w:rPr>
          <w:rFonts w:asciiTheme="majorHAnsi" w:hAnsiTheme="majorHAnsi" w:cstheme="majorHAnsi"/>
          <w:sz w:val="24"/>
          <w:szCs w:val="24"/>
        </w:rPr>
        <w:t xml:space="preserve"> od októbra 2021 </w:t>
      </w:r>
      <w:r w:rsidRPr="004B643B">
        <w:rPr>
          <w:rFonts w:asciiTheme="majorHAnsi" w:hAnsiTheme="majorHAnsi" w:cstheme="majorHAnsi"/>
          <w:sz w:val="24"/>
          <w:szCs w:val="24"/>
        </w:rPr>
        <w:t>(Kazachstan, Rusko, Sýria, Irak, Irán, Sudán, Ukrajina)</w:t>
      </w:r>
      <w:r w:rsidR="007533A1" w:rsidRPr="004B643B">
        <w:rPr>
          <w:rFonts w:asciiTheme="majorHAnsi" w:hAnsiTheme="majorHAnsi" w:cstheme="majorHAnsi"/>
          <w:sz w:val="24"/>
          <w:szCs w:val="24"/>
        </w:rPr>
        <w:t xml:space="preserve"> v rozsahu </w:t>
      </w:r>
      <w:r w:rsidRPr="004B643B">
        <w:rPr>
          <w:rFonts w:asciiTheme="majorHAnsi" w:hAnsiTheme="majorHAnsi" w:cstheme="majorHAnsi"/>
          <w:sz w:val="24"/>
          <w:szCs w:val="24"/>
        </w:rPr>
        <w:t>640 a 1000 hod.</w:t>
      </w:r>
      <w:r w:rsidR="00A751E9" w:rsidRPr="004B643B">
        <w:rPr>
          <w:rFonts w:asciiTheme="majorHAnsi" w:hAnsiTheme="majorHAnsi" w:cstheme="majorHAnsi"/>
          <w:sz w:val="24"/>
          <w:szCs w:val="24"/>
        </w:rPr>
        <w:t xml:space="preserve"> a </w:t>
      </w:r>
      <w:r w:rsidRPr="004B643B">
        <w:rPr>
          <w:rFonts w:asciiTheme="majorHAnsi" w:hAnsiTheme="majorHAnsi" w:cstheme="majorHAnsi"/>
          <w:b/>
          <w:sz w:val="24"/>
          <w:szCs w:val="24"/>
        </w:rPr>
        <w:t>16</w:t>
      </w:r>
      <w:r w:rsidRPr="004B643B">
        <w:rPr>
          <w:rFonts w:asciiTheme="majorHAnsi" w:hAnsiTheme="majorHAnsi" w:cstheme="majorHAnsi"/>
          <w:sz w:val="24"/>
          <w:szCs w:val="24"/>
        </w:rPr>
        <w:t xml:space="preserve"> </w:t>
      </w:r>
      <w:r w:rsidR="00A751E9" w:rsidRPr="004B643B">
        <w:rPr>
          <w:rFonts w:asciiTheme="majorHAnsi" w:hAnsiTheme="majorHAnsi" w:cstheme="majorHAnsi"/>
          <w:sz w:val="24"/>
          <w:szCs w:val="24"/>
        </w:rPr>
        <w:t xml:space="preserve">účastníkov vzdelávania </w:t>
      </w:r>
      <w:r w:rsidRPr="004B643B">
        <w:rPr>
          <w:rFonts w:asciiTheme="majorHAnsi" w:hAnsiTheme="majorHAnsi" w:cstheme="majorHAnsi"/>
          <w:sz w:val="24"/>
          <w:szCs w:val="24"/>
        </w:rPr>
        <w:t>od apríla 2022 z Ukrajiny,</w:t>
      </w:r>
      <w:r w:rsidR="002B1768" w:rsidRPr="004B643B">
        <w:rPr>
          <w:rFonts w:asciiTheme="majorHAnsi" w:hAnsiTheme="majorHAnsi" w:cstheme="majorHAnsi"/>
          <w:sz w:val="24"/>
          <w:szCs w:val="24"/>
        </w:rPr>
        <w:t xml:space="preserve"> v rozsahu </w:t>
      </w:r>
      <w:r w:rsidRPr="004B643B">
        <w:rPr>
          <w:rFonts w:asciiTheme="majorHAnsi" w:hAnsiTheme="majorHAnsi" w:cstheme="majorHAnsi"/>
          <w:sz w:val="24"/>
          <w:szCs w:val="24"/>
        </w:rPr>
        <w:t xml:space="preserve">500 hod. </w:t>
      </w:r>
      <w:r w:rsidR="002B1768" w:rsidRPr="004B643B">
        <w:rPr>
          <w:rFonts w:asciiTheme="majorHAnsi" w:hAnsiTheme="majorHAnsi" w:cstheme="majorHAnsi"/>
          <w:sz w:val="24"/>
          <w:szCs w:val="24"/>
        </w:rPr>
        <w:t>P</w:t>
      </w:r>
      <w:r w:rsidRPr="004B643B">
        <w:rPr>
          <w:rFonts w:asciiTheme="majorHAnsi" w:hAnsiTheme="majorHAnsi" w:cstheme="majorHAnsi"/>
          <w:sz w:val="24"/>
          <w:szCs w:val="24"/>
        </w:rPr>
        <w:t>riebeh výučby a účas</w:t>
      </w:r>
      <w:r w:rsidR="009D59DF" w:rsidRPr="004B643B">
        <w:rPr>
          <w:rFonts w:asciiTheme="majorHAnsi" w:hAnsiTheme="majorHAnsi" w:cstheme="majorHAnsi"/>
          <w:sz w:val="24"/>
          <w:szCs w:val="24"/>
        </w:rPr>
        <w:t>ť</w:t>
      </w:r>
      <w:r w:rsidRPr="004B643B">
        <w:rPr>
          <w:rFonts w:asciiTheme="majorHAnsi" w:hAnsiTheme="majorHAnsi" w:cstheme="majorHAnsi"/>
          <w:sz w:val="24"/>
          <w:szCs w:val="24"/>
        </w:rPr>
        <w:t xml:space="preserve"> na vzdelávaní </w:t>
      </w:r>
      <w:r w:rsidR="004B643B" w:rsidRPr="004B643B">
        <w:rPr>
          <w:rFonts w:asciiTheme="majorHAnsi" w:hAnsiTheme="majorHAnsi" w:cstheme="majorHAnsi"/>
          <w:sz w:val="24"/>
          <w:szCs w:val="24"/>
        </w:rPr>
        <w:t>pravidelne monitoruje vedenie</w:t>
      </w:r>
      <w:r w:rsidRPr="004B643B">
        <w:rPr>
          <w:rFonts w:asciiTheme="majorHAnsi" w:hAnsiTheme="majorHAnsi" w:cstheme="majorHAnsi"/>
          <w:sz w:val="24"/>
          <w:szCs w:val="24"/>
        </w:rPr>
        <w:t xml:space="preserve"> ICV</w:t>
      </w:r>
      <w:r w:rsidR="000D4210" w:rsidRPr="004B643B">
        <w:rPr>
          <w:rFonts w:asciiTheme="majorHAnsi" w:hAnsiTheme="majorHAnsi" w:cstheme="majorHAnsi"/>
          <w:sz w:val="24"/>
          <w:szCs w:val="24"/>
        </w:rPr>
        <w:t xml:space="preserve">, zároveň je </w:t>
      </w:r>
      <w:r w:rsidRPr="004B643B">
        <w:rPr>
          <w:rFonts w:asciiTheme="majorHAnsi" w:hAnsiTheme="majorHAnsi" w:cstheme="majorHAnsi"/>
          <w:sz w:val="24"/>
          <w:szCs w:val="24"/>
        </w:rPr>
        <w:t xml:space="preserve">možnosť kontroly </w:t>
      </w:r>
      <w:r w:rsidR="00413D2E" w:rsidRPr="004B643B">
        <w:rPr>
          <w:rFonts w:asciiTheme="majorHAnsi" w:hAnsiTheme="majorHAnsi" w:cstheme="majorHAnsi"/>
          <w:sz w:val="24"/>
          <w:szCs w:val="24"/>
        </w:rPr>
        <w:t xml:space="preserve">aj </w:t>
      </w:r>
      <w:r w:rsidRPr="004B643B">
        <w:rPr>
          <w:rFonts w:asciiTheme="majorHAnsi" w:hAnsiTheme="majorHAnsi" w:cstheme="majorHAnsi"/>
          <w:sz w:val="24"/>
          <w:szCs w:val="24"/>
        </w:rPr>
        <w:t xml:space="preserve">zo strany Cudzineckej polície SR. </w:t>
      </w:r>
    </w:p>
    <w:p w14:paraId="28E397FF" w14:textId="6C4DDC2A" w:rsidR="00F36DEE" w:rsidRPr="004B643B" w:rsidRDefault="00413D2E" w:rsidP="004B643B">
      <w:pPr>
        <w:spacing w:after="120"/>
        <w:jc w:val="both"/>
        <w:rPr>
          <w:rFonts w:asciiTheme="minorHAnsi" w:hAnsiTheme="minorHAns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Calibri"/>
        </w:rPr>
        <w:t xml:space="preserve">Účastníci vzdelávania sa </w:t>
      </w:r>
      <w:r w:rsidR="00DA7FC2">
        <w:rPr>
          <w:rFonts w:cs="Calibri"/>
        </w:rPr>
        <w:t xml:space="preserve">zúčastňujú podujatí </w:t>
      </w:r>
      <w:r w:rsidR="002C7DB0">
        <w:rPr>
          <w:rFonts w:cs="Calibri"/>
        </w:rPr>
        <w:t xml:space="preserve">propagujúcich štúdium na STU, najmä </w:t>
      </w:r>
      <w:r w:rsidR="00DA7FC2">
        <w:rPr>
          <w:rFonts w:cs="Calibri"/>
        </w:rPr>
        <w:t>Dni otvorených dverí na fakultách a </w:t>
      </w:r>
      <w:r w:rsidR="002C7DB0">
        <w:rPr>
          <w:rFonts w:cs="Calibri"/>
        </w:rPr>
        <w:t>ÚM</w:t>
      </w:r>
      <w:r w:rsidR="00DA7FC2">
        <w:rPr>
          <w:rFonts w:cs="Calibri"/>
        </w:rPr>
        <w:t xml:space="preserve">. </w:t>
      </w:r>
      <w:r w:rsidR="004F6067">
        <w:rPr>
          <w:rFonts w:cs="Calibri"/>
        </w:rPr>
        <w:t xml:space="preserve">Zároveň </w:t>
      </w:r>
      <w:r w:rsidR="004B643B">
        <w:rPr>
          <w:rFonts w:cs="Calibri"/>
        </w:rPr>
        <w:t>dostávajú poradenstvo v oblasti uznávania</w:t>
      </w:r>
      <w:r w:rsidR="00DA7FC2">
        <w:rPr>
          <w:rFonts w:cs="Calibri"/>
        </w:rPr>
        <w:t xml:space="preserve"> dokladov o vzdelaní </w:t>
      </w:r>
      <w:r w:rsidR="004B643B">
        <w:rPr>
          <w:rFonts w:cs="Calibri"/>
        </w:rPr>
        <w:t>i</w:t>
      </w:r>
      <w:r w:rsidR="00DA7FC2">
        <w:rPr>
          <w:rFonts w:cs="Calibri"/>
        </w:rPr>
        <w:t xml:space="preserve">  v ďalších otázkach súvisiacich so</w:t>
      </w:r>
      <w:r w:rsidR="004F6067">
        <w:rPr>
          <w:rFonts w:cs="Calibri"/>
        </w:rPr>
        <w:t> </w:t>
      </w:r>
      <w:r w:rsidR="00DA7FC2">
        <w:rPr>
          <w:rFonts w:cs="Calibri"/>
        </w:rPr>
        <w:t>štúdiom</w:t>
      </w:r>
      <w:r w:rsidR="004F6067">
        <w:rPr>
          <w:rFonts w:cs="Calibri"/>
        </w:rPr>
        <w:t xml:space="preserve"> na STU</w:t>
      </w:r>
      <w:r w:rsidR="00DA7FC2">
        <w:rPr>
          <w:rFonts w:cs="Calibri"/>
        </w:rPr>
        <w:t>.</w:t>
      </w:r>
      <w:r w:rsidR="004B643B">
        <w:rPr>
          <w:rFonts w:asciiTheme="minorHAnsi" w:hAnsiTheme="minorHAns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6DEE" w:rsidRPr="0053555E">
        <w:rPr>
          <w:rFonts w:asciiTheme="majorHAnsi" w:hAnsiTheme="majorHAnsi" w:cstheme="majorHAnsi"/>
        </w:rPr>
        <w:t xml:space="preserve">Realizácia vzdelávania slovenského jazyka pre zahraničných záujemcov na ICV </w:t>
      </w:r>
      <w:r w:rsidR="006E72DC" w:rsidRPr="0053555E">
        <w:rPr>
          <w:rFonts w:asciiTheme="majorHAnsi" w:hAnsiTheme="majorHAnsi" w:cstheme="majorHAnsi"/>
        </w:rPr>
        <w:t xml:space="preserve">prispieva </w:t>
      </w:r>
      <w:r w:rsidR="003B5D5E" w:rsidRPr="0053555E">
        <w:rPr>
          <w:rFonts w:asciiTheme="majorHAnsi" w:hAnsiTheme="majorHAnsi" w:cstheme="majorHAnsi"/>
        </w:rPr>
        <w:t>aj </w:t>
      </w:r>
      <w:r w:rsidR="006E72DC" w:rsidRPr="0053555E">
        <w:rPr>
          <w:rFonts w:asciiTheme="majorHAnsi" w:hAnsiTheme="majorHAnsi" w:cstheme="majorHAnsi"/>
        </w:rPr>
        <w:t>k </w:t>
      </w:r>
      <w:r w:rsidR="00F36DEE" w:rsidRPr="0053555E">
        <w:rPr>
          <w:rFonts w:asciiTheme="majorHAnsi" w:hAnsiTheme="majorHAnsi" w:cstheme="majorHAnsi"/>
        </w:rPr>
        <w:t>zvýšeniu povedomi</w:t>
      </w:r>
      <w:r w:rsidR="006E72DC" w:rsidRPr="0053555E">
        <w:rPr>
          <w:rFonts w:asciiTheme="majorHAnsi" w:hAnsiTheme="majorHAnsi" w:cstheme="majorHAnsi"/>
        </w:rPr>
        <w:t>a</w:t>
      </w:r>
      <w:r w:rsidR="00F36DEE" w:rsidRPr="0053555E">
        <w:rPr>
          <w:rFonts w:asciiTheme="majorHAnsi" w:hAnsiTheme="majorHAnsi" w:cstheme="majorHAnsi"/>
        </w:rPr>
        <w:t xml:space="preserve"> o </w:t>
      </w:r>
      <w:r w:rsidR="006E72DC" w:rsidRPr="0053555E">
        <w:rPr>
          <w:rFonts w:asciiTheme="majorHAnsi" w:hAnsiTheme="majorHAnsi" w:cstheme="majorHAnsi"/>
        </w:rPr>
        <w:t>STU v širšom medzinárodnom priestore</w:t>
      </w:r>
      <w:r w:rsidR="00F36DEE" w:rsidRPr="0053555E">
        <w:rPr>
          <w:rFonts w:asciiTheme="majorHAnsi" w:hAnsiTheme="majorHAnsi" w:cstheme="majorHAnsi"/>
        </w:rPr>
        <w:t xml:space="preserve">. </w:t>
      </w:r>
      <w:r w:rsidR="00F36DEE" w:rsidRPr="0024202F">
        <w:rPr>
          <w:rFonts w:asciiTheme="majorHAnsi" w:hAnsiTheme="majorHAnsi" w:cstheme="majorHAnsi"/>
        </w:rPr>
        <w:t>V</w:t>
      </w:r>
      <w:r w:rsidR="00D467B4">
        <w:rPr>
          <w:rFonts w:asciiTheme="majorHAnsi" w:hAnsiTheme="majorHAnsi" w:cstheme="majorHAnsi"/>
        </w:rPr>
        <w:t> ostatnom období</w:t>
      </w:r>
      <w:r w:rsidR="00F36DEE" w:rsidRPr="0024202F">
        <w:rPr>
          <w:rFonts w:asciiTheme="majorHAnsi" w:hAnsiTheme="majorHAnsi" w:cstheme="majorHAnsi"/>
        </w:rPr>
        <w:t xml:space="preserve"> sa zvýšil záujem zo strany zahraničných záujemcov </w:t>
      </w:r>
      <w:r w:rsidR="003B5D5E" w:rsidRPr="0024202F">
        <w:rPr>
          <w:rFonts w:asciiTheme="majorHAnsi" w:hAnsiTheme="majorHAnsi" w:cstheme="majorHAnsi"/>
        </w:rPr>
        <w:t>o štúd</w:t>
      </w:r>
      <w:r w:rsidR="003B5D5E" w:rsidRPr="0053555E">
        <w:rPr>
          <w:rFonts w:asciiTheme="majorHAnsi" w:hAnsiTheme="majorHAnsi" w:cstheme="majorHAnsi"/>
        </w:rPr>
        <w:t>ium slovenského jazyka na </w:t>
      </w:r>
      <w:r w:rsidR="00D334F3" w:rsidRPr="0053555E">
        <w:rPr>
          <w:rFonts w:asciiTheme="majorHAnsi" w:hAnsiTheme="majorHAnsi" w:cstheme="majorHAnsi"/>
        </w:rPr>
        <w:t>ICV</w:t>
      </w:r>
      <w:r w:rsidR="00F36DEE" w:rsidRPr="0053555E">
        <w:rPr>
          <w:rFonts w:asciiTheme="majorHAnsi" w:hAnsiTheme="majorHAnsi" w:cstheme="majorHAnsi"/>
        </w:rPr>
        <w:t xml:space="preserve">, ktorí </w:t>
      </w:r>
      <w:r w:rsidR="00D334F3" w:rsidRPr="0053555E">
        <w:rPr>
          <w:rFonts w:asciiTheme="majorHAnsi" w:hAnsiTheme="majorHAnsi" w:cstheme="majorHAnsi"/>
        </w:rPr>
        <w:t>majú záujem</w:t>
      </w:r>
      <w:r w:rsidR="00F36DEE" w:rsidRPr="0053555E">
        <w:rPr>
          <w:rFonts w:asciiTheme="majorHAnsi" w:hAnsiTheme="majorHAnsi" w:cstheme="majorHAnsi"/>
        </w:rPr>
        <w:t xml:space="preserve"> následne študovať na </w:t>
      </w:r>
      <w:r w:rsidR="00D334F3" w:rsidRPr="0053555E">
        <w:rPr>
          <w:rFonts w:asciiTheme="majorHAnsi" w:hAnsiTheme="majorHAnsi" w:cstheme="majorHAnsi"/>
        </w:rPr>
        <w:t>STU</w:t>
      </w:r>
      <w:r w:rsidR="00F36DEE" w:rsidRPr="0053555E">
        <w:rPr>
          <w:rFonts w:asciiTheme="majorHAnsi" w:hAnsiTheme="majorHAnsi" w:cstheme="majorHAnsi"/>
        </w:rPr>
        <w:t xml:space="preserve">. </w:t>
      </w:r>
    </w:p>
    <w:p w14:paraId="3E4ACA35" w14:textId="7F1AFF2F" w:rsidR="00F36DEE" w:rsidRPr="0053555E" w:rsidRDefault="00F36DEE" w:rsidP="00FC7024">
      <w:pPr>
        <w:tabs>
          <w:tab w:val="left" w:pos="9356"/>
        </w:tabs>
        <w:jc w:val="both"/>
        <w:rPr>
          <w:rFonts w:asciiTheme="majorHAnsi" w:hAnsiTheme="majorHAnsi" w:cstheme="majorHAnsi"/>
        </w:rPr>
      </w:pPr>
      <w:r w:rsidRPr="0053555E">
        <w:rPr>
          <w:rFonts w:asciiTheme="majorHAnsi" w:hAnsiTheme="majorHAnsi" w:cstheme="majorHAnsi"/>
        </w:rPr>
        <w:t xml:space="preserve">JC umožňuje </w:t>
      </w:r>
      <w:r w:rsidR="00C57B9B" w:rsidRPr="0053555E">
        <w:rPr>
          <w:rFonts w:asciiTheme="majorHAnsi" w:hAnsiTheme="majorHAnsi" w:cstheme="majorHAnsi"/>
        </w:rPr>
        <w:t xml:space="preserve">účastníkom vzdelávania </w:t>
      </w:r>
      <w:r w:rsidR="00DC63F2" w:rsidRPr="0053555E">
        <w:rPr>
          <w:rFonts w:asciiTheme="majorHAnsi" w:hAnsiTheme="majorHAnsi" w:cstheme="majorHAnsi"/>
        </w:rPr>
        <w:t xml:space="preserve">získať </w:t>
      </w:r>
      <w:r w:rsidR="0008096A" w:rsidRPr="0053555E">
        <w:rPr>
          <w:rFonts w:asciiTheme="majorHAnsi" w:hAnsiTheme="majorHAnsi" w:cstheme="majorHAnsi"/>
        </w:rPr>
        <w:t xml:space="preserve">znalosti </w:t>
      </w:r>
      <w:r w:rsidRPr="0053555E">
        <w:rPr>
          <w:rFonts w:asciiTheme="majorHAnsi" w:hAnsiTheme="majorHAnsi" w:cstheme="majorHAnsi"/>
        </w:rPr>
        <w:t>slovensk</w:t>
      </w:r>
      <w:r w:rsidR="0008096A" w:rsidRPr="0053555E">
        <w:rPr>
          <w:rFonts w:asciiTheme="majorHAnsi" w:hAnsiTheme="majorHAnsi" w:cstheme="majorHAnsi"/>
        </w:rPr>
        <w:t>ého</w:t>
      </w:r>
      <w:r w:rsidRPr="0053555E">
        <w:rPr>
          <w:rFonts w:asciiTheme="majorHAnsi" w:hAnsiTheme="majorHAnsi" w:cstheme="majorHAnsi"/>
        </w:rPr>
        <w:t xml:space="preserve"> jazyk</w:t>
      </w:r>
      <w:r w:rsidR="0008096A" w:rsidRPr="0053555E">
        <w:rPr>
          <w:rFonts w:asciiTheme="majorHAnsi" w:hAnsiTheme="majorHAnsi" w:cstheme="majorHAnsi"/>
        </w:rPr>
        <w:t>a</w:t>
      </w:r>
      <w:r w:rsidRPr="0053555E">
        <w:rPr>
          <w:rFonts w:asciiTheme="majorHAnsi" w:hAnsiTheme="majorHAnsi" w:cstheme="majorHAnsi"/>
        </w:rPr>
        <w:t xml:space="preserve"> a</w:t>
      </w:r>
      <w:r w:rsidR="0008096A" w:rsidRPr="0053555E">
        <w:rPr>
          <w:rFonts w:asciiTheme="majorHAnsi" w:hAnsiTheme="majorHAnsi" w:cstheme="majorHAnsi"/>
        </w:rPr>
        <w:t> </w:t>
      </w:r>
      <w:r w:rsidRPr="0053555E">
        <w:rPr>
          <w:rFonts w:asciiTheme="majorHAnsi" w:hAnsiTheme="majorHAnsi" w:cstheme="majorHAnsi"/>
        </w:rPr>
        <w:t>anglick</w:t>
      </w:r>
      <w:r w:rsidR="0008096A" w:rsidRPr="0053555E">
        <w:rPr>
          <w:rFonts w:asciiTheme="majorHAnsi" w:hAnsiTheme="majorHAnsi" w:cstheme="majorHAnsi"/>
        </w:rPr>
        <w:t xml:space="preserve">ého </w:t>
      </w:r>
      <w:r w:rsidR="00307769" w:rsidRPr="0053555E">
        <w:rPr>
          <w:rFonts w:asciiTheme="majorHAnsi" w:hAnsiTheme="majorHAnsi" w:cstheme="majorHAnsi"/>
        </w:rPr>
        <w:t>jazyk</w:t>
      </w:r>
      <w:r w:rsidR="0008096A" w:rsidRPr="0053555E">
        <w:rPr>
          <w:rFonts w:asciiTheme="majorHAnsi" w:hAnsiTheme="majorHAnsi" w:cstheme="majorHAnsi"/>
        </w:rPr>
        <w:t>a</w:t>
      </w:r>
      <w:r w:rsidR="00307769" w:rsidRPr="0053555E">
        <w:rPr>
          <w:rFonts w:asciiTheme="majorHAnsi" w:hAnsiTheme="majorHAnsi" w:cstheme="majorHAnsi"/>
        </w:rPr>
        <w:t xml:space="preserve"> ako predp</w:t>
      </w:r>
      <w:r w:rsidR="00345A25" w:rsidRPr="0053555E">
        <w:rPr>
          <w:rFonts w:asciiTheme="majorHAnsi" w:hAnsiTheme="majorHAnsi" w:cstheme="majorHAnsi"/>
        </w:rPr>
        <w:t>oklad pre </w:t>
      </w:r>
      <w:r w:rsidR="00307769" w:rsidRPr="0053555E">
        <w:rPr>
          <w:rFonts w:asciiTheme="majorHAnsi" w:hAnsiTheme="majorHAnsi" w:cstheme="majorHAnsi"/>
        </w:rPr>
        <w:t>následné</w:t>
      </w:r>
      <w:r w:rsidRPr="0053555E">
        <w:rPr>
          <w:rFonts w:asciiTheme="majorHAnsi" w:hAnsiTheme="majorHAnsi" w:cstheme="majorHAnsi"/>
        </w:rPr>
        <w:t xml:space="preserve"> </w:t>
      </w:r>
      <w:r w:rsidR="00307769" w:rsidRPr="0053555E">
        <w:rPr>
          <w:rFonts w:asciiTheme="majorHAnsi" w:hAnsiTheme="majorHAnsi" w:cstheme="majorHAnsi"/>
        </w:rPr>
        <w:t>vysokoškolské štúdium</w:t>
      </w:r>
      <w:r w:rsidRPr="0053555E">
        <w:rPr>
          <w:rFonts w:asciiTheme="majorHAnsi" w:hAnsiTheme="majorHAnsi" w:cstheme="majorHAnsi"/>
        </w:rPr>
        <w:t xml:space="preserve"> na STU v slovenskom jazyku alebo </w:t>
      </w:r>
      <w:r w:rsidR="00C57B9B" w:rsidRPr="0053555E">
        <w:rPr>
          <w:rFonts w:asciiTheme="majorHAnsi" w:hAnsiTheme="majorHAnsi" w:cstheme="majorHAnsi"/>
        </w:rPr>
        <w:t>v </w:t>
      </w:r>
      <w:r w:rsidRPr="0053555E">
        <w:rPr>
          <w:rFonts w:asciiTheme="majorHAnsi" w:hAnsiTheme="majorHAnsi" w:cstheme="majorHAnsi"/>
        </w:rPr>
        <w:t>anglickom jazyku</w:t>
      </w:r>
      <w:r w:rsidR="00C57B9B" w:rsidRPr="0053555E">
        <w:rPr>
          <w:rFonts w:asciiTheme="majorHAnsi" w:hAnsiTheme="majorHAnsi" w:cstheme="majorHAnsi"/>
        </w:rPr>
        <w:t>. Zároveň</w:t>
      </w:r>
      <w:r w:rsidR="009E1C4A" w:rsidRPr="0053555E">
        <w:rPr>
          <w:rFonts w:asciiTheme="majorHAnsi" w:hAnsiTheme="majorHAnsi" w:cstheme="majorHAnsi"/>
        </w:rPr>
        <w:t xml:space="preserve"> si môžu účastníci vzdelávania</w:t>
      </w:r>
      <w:r w:rsidRPr="0053555E">
        <w:rPr>
          <w:rFonts w:asciiTheme="majorHAnsi" w:hAnsiTheme="majorHAnsi" w:cstheme="majorHAnsi"/>
        </w:rPr>
        <w:t xml:space="preserve"> doplniť vedomosti </w:t>
      </w:r>
      <w:r w:rsidR="0054754D" w:rsidRPr="0053555E">
        <w:rPr>
          <w:rFonts w:asciiTheme="majorHAnsi" w:hAnsiTheme="majorHAnsi" w:cstheme="majorHAnsi"/>
        </w:rPr>
        <w:t>v</w:t>
      </w:r>
      <w:r w:rsidRPr="0053555E">
        <w:rPr>
          <w:rFonts w:asciiTheme="majorHAnsi" w:hAnsiTheme="majorHAnsi" w:cstheme="majorHAnsi"/>
        </w:rPr>
        <w:t xml:space="preserve"> odborných technických predmeto</w:t>
      </w:r>
      <w:r w:rsidR="0054754D" w:rsidRPr="0053555E">
        <w:rPr>
          <w:rFonts w:asciiTheme="majorHAnsi" w:hAnsiTheme="majorHAnsi" w:cstheme="majorHAnsi"/>
        </w:rPr>
        <w:t>ch v rámci</w:t>
      </w:r>
      <w:r w:rsidRPr="0053555E">
        <w:rPr>
          <w:rFonts w:asciiTheme="majorHAnsi" w:hAnsiTheme="majorHAnsi" w:cstheme="majorHAnsi"/>
        </w:rPr>
        <w:t xml:space="preserve"> odborne zameraných modulo</w:t>
      </w:r>
      <w:r w:rsidR="00587FF6" w:rsidRPr="0053555E">
        <w:rPr>
          <w:rFonts w:asciiTheme="majorHAnsi" w:hAnsiTheme="majorHAnsi" w:cstheme="majorHAnsi"/>
        </w:rPr>
        <w:t xml:space="preserve">v vyučovaných </w:t>
      </w:r>
      <w:r w:rsidRPr="0053555E">
        <w:rPr>
          <w:rFonts w:asciiTheme="majorHAnsi" w:hAnsiTheme="majorHAnsi" w:cstheme="majorHAnsi"/>
        </w:rPr>
        <w:t xml:space="preserve">v </w:t>
      </w:r>
      <w:r w:rsidR="00587FF6" w:rsidRPr="0053555E">
        <w:rPr>
          <w:rFonts w:asciiTheme="majorHAnsi" w:hAnsiTheme="majorHAnsi" w:cstheme="majorHAnsi"/>
        </w:rPr>
        <w:t xml:space="preserve">slovenskom </w:t>
      </w:r>
      <w:r w:rsidRPr="0053555E">
        <w:rPr>
          <w:rFonts w:asciiTheme="majorHAnsi" w:hAnsiTheme="majorHAnsi" w:cstheme="majorHAnsi"/>
        </w:rPr>
        <w:t>jazyku a</w:t>
      </w:r>
      <w:r w:rsidR="009E1C4A" w:rsidRPr="0053555E">
        <w:rPr>
          <w:rFonts w:asciiTheme="majorHAnsi" w:hAnsiTheme="majorHAnsi" w:cstheme="majorHAnsi"/>
        </w:rPr>
        <w:t> v </w:t>
      </w:r>
      <w:r w:rsidR="00587FF6" w:rsidRPr="0053555E">
        <w:rPr>
          <w:rFonts w:asciiTheme="majorHAnsi" w:hAnsiTheme="majorHAnsi" w:cstheme="majorHAnsi"/>
        </w:rPr>
        <w:t xml:space="preserve">anglickom </w:t>
      </w:r>
      <w:r w:rsidR="004B643B">
        <w:rPr>
          <w:rFonts w:asciiTheme="majorHAnsi" w:hAnsiTheme="majorHAnsi" w:cstheme="majorHAnsi"/>
        </w:rPr>
        <w:t>jazyku. Garant</w:t>
      </w:r>
      <w:r w:rsidRPr="0053555E">
        <w:rPr>
          <w:rFonts w:asciiTheme="majorHAnsi" w:hAnsiTheme="majorHAnsi" w:cstheme="majorHAnsi"/>
        </w:rPr>
        <w:t>mi a</w:t>
      </w:r>
      <w:r w:rsidR="00283914" w:rsidRPr="0053555E">
        <w:rPr>
          <w:rFonts w:asciiTheme="majorHAnsi" w:hAnsiTheme="majorHAnsi" w:cstheme="majorHAnsi"/>
        </w:rPr>
        <w:t> </w:t>
      </w:r>
      <w:r w:rsidRPr="0053555E">
        <w:rPr>
          <w:rFonts w:asciiTheme="majorHAnsi" w:hAnsiTheme="majorHAnsi" w:cstheme="majorHAnsi"/>
        </w:rPr>
        <w:t>lektormi</w:t>
      </w:r>
      <w:r w:rsidR="00283914" w:rsidRPr="0053555E">
        <w:rPr>
          <w:rFonts w:asciiTheme="majorHAnsi" w:hAnsiTheme="majorHAnsi" w:cstheme="majorHAnsi"/>
        </w:rPr>
        <w:t xml:space="preserve"> odborne zameraných modulov </w:t>
      </w:r>
      <w:r w:rsidRPr="0053555E">
        <w:rPr>
          <w:rFonts w:asciiTheme="majorHAnsi" w:hAnsiTheme="majorHAnsi" w:cstheme="majorHAnsi"/>
        </w:rPr>
        <w:t xml:space="preserve">sú </w:t>
      </w:r>
      <w:r w:rsidR="00283914" w:rsidRPr="0053555E">
        <w:rPr>
          <w:rFonts w:asciiTheme="majorHAnsi" w:hAnsiTheme="majorHAnsi" w:cstheme="majorHAnsi"/>
        </w:rPr>
        <w:t>učitelia</w:t>
      </w:r>
      <w:r w:rsidR="003D0CD3" w:rsidRPr="0053555E">
        <w:rPr>
          <w:rFonts w:asciiTheme="majorHAnsi" w:hAnsiTheme="majorHAnsi" w:cstheme="majorHAnsi"/>
        </w:rPr>
        <w:t xml:space="preserve"> a výskumní pracovníci v danom odbore</w:t>
      </w:r>
      <w:r w:rsidRPr="0053555E">
        <w:rPr>
          <w:rFonts w:asciiTheme="majorHAnsi" w:hAnsiTheme="majorHAnsi" w:cstheme="majorHAnsi"/>
        </w:rPr>
        <w:t xml:space="preserve"> z jednotlivých </w:t>
      </w:r>
      <w:r w:rsidR="003D0CD3" w:rsidRPr="0053555E">
        <w:rPr>
          <w:rFonts w:asciiTheme="majorHAnsi" w:hAnsiTheme="majorHAnsi" w:cstheme="majorHAnsi"/>
        </w:rPr>
        <w:t>súčastí</w:t>
      </w:r>
      <w:r w:rsidRPr="0053555E">
        <w:rPr>
          <w:rFonts w:asciiTheme="majorHAnsi" w:hAnsiTheme="majorHAnsi" w:cstheme="majorHAnsi"/>
        </w:rPr>
        <w:t xml:space="preserve"> STU</w:t>
      </w:r>
      <w:r w:rsidR="00F807B9" w:rsidRPr="0053555E">
        <w:rPr>
          <w:rFonts w:asciiTheme="majorHAnsi" w:hAnsiTheme="majorHAnsi" w:cstheme="majorHAnsi"/>
        </w:rPr>
        <w:t>. Ide o nasledovné odborne zamerané moduly:</w:t>
      </w:r>
    </w:p>
    <w:p w14:paraId="65CBAD1D" w14:textId="77777777" w:rsidR="00180946" w:rsidRPr="00180946" w:rsidRDefault="00180946" w:rsidP="00E027F7">
      <w:pPr>
        <w:pStyle w:val="Odsekzoznamu"/>
        <w:numPr>
          <w:ilvl w:val="0"/>
          <w:numId w:val="17"/>
        </w:numPr>
        <w:tabs>
          <w:tab w:val="left" w:pos="9356"/>
        </w:tabs>
        <w:spacing w:after="120"/>
        <w:ind w:left="426" w:hanging="426"/>
        <w:jc w:val="both"/>
        <w:rPr>
          <w:rFonts w:asciiTheme="majorHAnsi" w:hAnsiTheme="majorHAnsi" w:cstheme="majorHAnsi"/>
        </w:rPr>
      </w:pPr>
      <w:r w:rsidRPr="00180946">
        <w:rPr>
          <w:rFonts w:asciiTheme="majorHAnsi" w:hAnsiTheme="majorHAnsi" w:cstheme="majorHAnsi"/>
        </w:rPr>
        <w:t xml:space="preserve">Modul SPRIEVODCA PRE ZAHRANIČNÝCH ŠTUDENTOV / (24 hodín)/ Module GUIDE FOR FOREIGN STUDENTS </w:t>
      </w:r>
    </w:p>
    <w:p w14:paraId="51BD1916" w14:textId="77777777" w:rsidR="00180946" w:rsidRPr="00180946" w:rsidRDefault="00180946" w:rsidP="00E027F7">
      <w:pPr>
        <w:pStyle w:val="Odsekzoznamu"/>
        <w:numPr>
          <w:ilvl w:val="0"/>
          <w:numId w:val="17"/>
        </w:numPr>
        <w:tabs>
          <w:tab w:val="left" w:pos="9356"/>
        </w:tabs>
        <w:spacing w:after="120"/>
        <w:ind w:left="426" w:hanging="426"/>
        <w:jc w:val="both"/>
        <w:rPr>
          <w:rFonts w:asciiTheme="majorHAnsi" w:hAnsiTheme="majorHAnsi" w:cstheme="majorHAnsi"/>
        </w:rPr>
      </w:pPr>
      <w:r w:rsidRPr="00180946">
        <w:rPr>
          <w:rFonts w:asciiTheme="majorHAnsi" w:hAnsiTheme="majorHAnsi" w:cstheme="majorHAnsi"/>
        </w:rPr>
        <w:t xml:space="preserve">Modul MATEMATIKA (28 hodín) / Module MATHEMATICS </w:t>
      </w:r>
    </w:p>
    <w:p w14:paraId="5E783BE1" w14:textId="77777777" w:rsidR="00180946" w:rsidRPr="00180946" w:rsidRDefault="00180946" w:rsidP="00E027F7">
      <w:pPr>
        <w:pStyle w:val="Odsekzoznamu"/>
        <w:numPr>
          <w:ilvl w:val="0"/>
          <w:numId w:val="17"/>
        </w:numPr>
        <w:tabs>
          <w:tab w:val="left" w:pos="9356"/>
        </w:tabs>
        <w:spacing w:after="120"/>
        <w:ind w:left="426" w:hanging="426"/>
        <w:jc w:val="both"/>
        <w:rPr>
          <w:rFonts w:asciiTheme="majorHAnsi" w:hAnsiTheme="majorHAnsi" w:cstheme="majorHAnsi"/>
        </w:rPr>
      </w:pPr>
      <w:r w:rsidRPr="00180946">
        <w:rPr>
          <w:rFonts w:asciiTheme="majorHAnsi" w:hAnsiTheme="majorHAnsi" w:cstheme="majorHAnsi"/>
        </w:rPr>
        <w:t>Modul MATEMETIKA II (24 hodín) / Module MATEHEMATICS II</w:t>
      </w:r>
    </w:p>
    <w:p w14:paraId="459E0D3D" w14:textId="65AD30E6" w:rsidR="00180946" w:rsidRPr="00180946" w:rsidRDefault="00180946" w:rsidP="00E027F7">
      <w:pPr>
        <w:pStyle w:val="Odsekzoznamu"/>
        <w:numPr>
          <w:ilvl w:val="0"/>
          <w:numId w:val="17"/>
        </w:numPr>
        <w:tabs>
          <w:tab w:val="left" w:pos="9356"/>
        </w:tabs>
        <w:spacing w:after="120"/>
        <w:ind w:left="426" w:hanging="426"/>
        <w:jc w:val="both"/>
        <w:rPr>
          <w:rFonts w:asciiTheme="majorHAnsi" w:hAnsiTheme="majorHAnsi" w:cstheme="majorHAnsi"/>
        </w:rPr>
      </w:pPr>
      <w:r w:rsidRPr="00180946">
        <w:rPr>
          <w:rFonts w:asciiTheme="majorHAnsi" w:hAnsiTheme="majorHAnsi" w:cstheme="majorHAnsi"/>
        </w:rPr>
        <w:t>Modul FYZIKA  ̶  základy (26 hodín) / Module PHYSICS  ̶ elementary</w:t>
      </w:r>
    </w:p>
    <w:p w14:paraId="5B6EC994" w14:textId="4039D505" w:rsidR="00180946" w:rsidRPr="00180946" w:rsidRDefault="00180946" w:rsidP="00E027F7">
      <w:pPr>
        <w:pStyle w:val="Odsekzoznamu"/>
        <w:numPr>
          <w:ilvl w:val="0"/>
          <w:numId w:val="17"/>
        </w:numPr>
        <w:tabs>
          <w:tab w:val="left" w:pos="9356"/>
        </w:tabs>
        <w:spacing w:after="120"/>
        <w:ind w:left="426" w:hanging="426"/>
        <w:jc w:val="both"/>
        <w:rPr>
          <w:rFonts w:asciiTheme="majorHAnsi" w:hAnsiTheme="majorHAnsi" w:cstheme="majorHAnsi"/>
        </w:rPr>
      </w:pPr>
      <w:r w:rsidRPr="00180946">
        <w:rPr>
          <w:rFonts w:asciiTheme="majorHAnsi" w:hAnsiTheme="majorHAnsi" w:cstheme="majorHAnsi"/>
        </w:rPr>
        <w:t>Modul FYZIKA I  ̶  technická (22 hodín) / Module PHYSICS I  ̶ technical</w:t>
      </w:r>
    </w:p>
    <w:p w14:paraId="44382C99" w14:textId="77777777" w:rsidR="00180946" w:rsidRPr="00180946" w:rsidRDefault="00180946" w:rsidP="00E027F7">
      <w:pPr>
        <w:pStyle w:val="Odsekzoznamu"/>
        <w:numPr>
          <w:ilvl w:val="0"/>
          <w:numId w:val="17"/>
        </w:numPr>
        <w:tabs>
          <w:tab w:val="left" w:pos="9356"/>
        </w:tabs>
        <w:spacing w:after="120"/>
        <w:ind w:left="426" w:hanging="426"/>
        <w:jc w:val="both"/>
        <w:rPr>
          <w:rFonts w:asciiTheme="majorHAnsi" w:hAnsiTheme="majorHAnsi" w:cstheme="majorHAnsi"/>
        </w:rPr>
      </w:pPr>
      <w:r w:rsidRPr="00180946">
        <w:rPr>
          <w:rFonts w:asciiTheme="majorHAnsi" w:hAnsiTheme="majorHAnsi" w:cstheme="majorHAnsi"/>
        </w:rPr>
        <w:t>Modul FYZIKA II  ̶  technická (28 hodín) / Module PHYSICS II  ̶  technical</w:t>
      </w:r>
    </w:p>
    <w:p w14:paraId="3A13D0C2" w14:textId="77777777" w:rsidR="00180946" w:rsidRPr="00180946" w:rsidRDefault="00180946" w:rsidP="00E027F7">
      <w:pPr>
        <w:pStyle w:val="Odsekzoznamu"/>
        <w:numPr>
          <w:ilvl w:val="0"/>
          <w:numId w:val="17"/>
        </w:numPr>
        <w:tabs>
          <w:tab w:val="left" w:pos="9356"/>
        </w:tabs>
        <w:spacing w:after="120"/>
        <w:ind w:left="426" w:hanging="426"/>
        <w:jc w:val="both"/>
        <w:rPr>
          <w:rFonts w:asciiTheme="majorHAnsi" w:hAnsiTheme="majorHAnsi" w:cstheme="majorHAnsi"/>
        </w:rPr>
      </w:pPr>
      <w:r w:rsidRPr="00180946">
        <w:rPr>
          <w:rFonts w:asciiTheme="majorHAnsi" w:hAnsiTheme="majorHAnsi" w:cstheme="majorHAnsi"/>
        </w:rPr>
        <w:t>Modul  CHÉMIA (52 hodín) / Module CHEMISTRY</w:t>
      </w:r>
    </w:p>
    <w:p w14:paraId="253C80E3" w14:textId="77777777" w:rsidR="00180946" w:rsidRPr="00180946" w:rsidRDefault="00180946" w:rsidP="00E027F7">
      <w:pPr>
        <w:pStyle w:val="Odsekzoznamu"/>
        <w:numPr>
          <w:ilvl w:val="0"/>
          <w:numId w:val="17"/>
        </w:numPr>
        <w:tabs>
          <w:tab w:val="left" w:pos="9356"/>
        </w:tabs>
        <w:spacing w:after="120"/>
        <w:ind w:left="426" w:hanging="426"/>
        <w:jc w:val="both"/>
        <w:rPr>
          <w:rFonts w:asciiTheme="majorHAnsi" w:hAnsiTheme="majorHAnsi" w:cstheme="majorHAnsi"/>
        </w:rPr>
      </w:pPr>
      <w:r w:rsidRPr="00180946">
        <w:rPr>
          <w:rFonts w:asciiTheme="majorHAnsi" w:hAnsiTheme="majorHAnsi" w:cstheme="majorHAnsi"/>
        </w:rPr>
        <w:t>Modul INFORMATIKA  ̶  základy (30 hodín) / Module INFORMATICS  ̶  elementary</w:t>
      </w:r>
    </w:p>
    <w:p w14:paraId="1D295936" w14:textId="1EF16BBB" w:rsidR="00180946" w:rsidRPr="00180946" w:rsidRDefault="00180946" w:rsidP="00E027F7">
      <w:pPr>
        <w:pStyle w:val="Odsekzoznamu"/>
        <w:numPr>
          <w:ilvl w:val="0"/>
          <w:numId w:val="17"/>
        </w:numPr>
        <w:tabs>
          <w:tab w:val="left" w:pos="9356"/>
        </w:tabs>
        <w:spacing w:after="120"/>
        <w:ind w:left="426" w:hanging="426"/>
        <w:jc w:val="both"/>
        <w:rPr>
          <w:rFonts w:asciiTheme="majorHAnsi" w:hAnsiTheme="majorHAnsi" w:cstheme="majorHAnsi"/>
        </w:rPr>
      </w:pPr>
      <w:r w:rsidRPr="00180946">
        <w:rPr>
          <w:rFonts w:asciiTheme="majorHAnsi" w:hAnsiTheme="majorHAnsi" w:cstheme="majorHAnsi"/>
        </w:rPr>
        <w:t>Modul STATIKA (54 hodín) / Module STATICS</w:t>
      </w:r>
    </w:p>
    <w:p w14:paraId="565030CD" w14:textId="067D32F5" w:rsidR="00180946" w:rsidRPr="00180946" w:rsidRDefault="00180946" w:rsidP="00E027F7">
      <w:pPr>
        <w:pStyle w:val="Odsekzoznamu"/>
        <w:numPr>
          <w:ilvl w:val="0"/>
          <w:numId w:val="17"/>
        </w:numPr>
        <w:tabs>
          <w:tab w:val="left" w:pos="9356"/>
        </w:tabs>
        <w:spacing w:after="120"/>
        <w:ind w:left="426" w:hanging="426"/>
        <w:jc w:val="both"/>
        <w:rPr>
          <w:rFonts w:asciiTheme="majorHAnsi" w:hAnsiTheme="majorHAnsi" w:cstheme="majorHAnsi"/>
        </w:rPr>
      </w:pPr>
      <w:r w:rsidRPr="00180946">
        <w:rPr>
          <w:rFonts w:asciiTheme="majorHAnsi" w:hAnsiTheme="majorHAnsi" w:cstheme="majorHAnsi"/>
        </w:rPr>
        <w:t>Modul PRUŽNOSŤ (28 hodín) / Module ELASCITY</w:t>
      </w:r>
    </w:p>
    <w:p w14:paraId="5D6D0D8D" w14:textId="77777777" w:rsidR="00180946" w:rsidRPr="00180946" w:rsidRDefault="00180946" w:rsidP="00E027F7">
      <w:pPr>
        <w:pStyle w:val="Odsekzoznamu"/>
        <w:numPr>
          <w:ilvl w:val="0"/>
          <w:numId w:val="17"/>
        </w:numPr>
        <w:tabs>
          <w:tab w:val="left" w:pos="9356"/>
        </w:tabs>
        <w:spacing w:after="120"/>
        <w:ind w:left="426" w:hanging="426"/>
        <w:jc w:val="both"/>
        <w:rPr>
          <w:rFonts w:asciiTheme="majorHAnsi" w:hAnsiTheme="majorHAnsi" w:cstheme="majorHAnsi"/>
        </w:rPr>
      </w:pPr>
      <w:r w:rsidRPr="00180946">
        <w:rPr>
          <w:rFonts w:asciiTheme="majorHAnsi" w:hAnsiTheme="majorHAnsi" w:cstheme="majorHAnsi"/>
        </w:rPr>
        <w:t>Modul ZÁKLADY PRÁCE S PC (24 hodín) / Module BASICS OF WORKING WITH PC</w:t>
      </w:r>
    </w:p>
    <w:p w14:paraId="3BADB556" w14:textId="77777777" w:rsidR="00180946" w:rsidRPr="00180946" w:rsidRDefault="00180946" w:rsidP="00E027F7">
      <w:pPr>
        <w:pStyle w:val="Odsekzoznamu"/>
        <w:numPr>
          <w:ilvl w:val="0"/>
          <w:numId w:val="17"/>
        </w:numPr>
        <w:tabs>
          <w:tab w:val="left" w:pos="9356"/>
        </w:tabs>
        <w:spacing w:after="120"/>
        <w:ind w:left="426" w:hanging="426"/>
        <w:jc w:val="both"/>
        <w:rPr>
          <w:rFonts w:asciiTheme="majorHAnsi" w:hAnsiTheme="majorHAnsi" w:cstheme="majorHAnsi"/>
        </w:rPr>
      </w:pPr>
      <w:r w:rsidRPr="00180946">
        <w:rPr>
          <w:rFonts w:asciiTheme="majorHAnsi" w:hAnsiTheme="majorHAnsi" w:cstheme="majorHAnsi"/>
        </w:rPr>
        <w:lastRenderedPageBreak/>
        <w:t>Modul ENVIRONMENTÁLNE INŽINIERSTVO / Module ENVIRONMENTAL ENGINEERING</w:t>
      </w:r>
    </w:p>
    <w:p w14:paraId="1212794A" w14:textId="77777777" w:rsidR="00180946" w:rsidRPr="00180946" w:rsidRDefault="00180946" w:rsidP="00E027F7">
      <w:pPr>
        <w:pStyle w:val="Odsekzoznamu"/>
        <w:numPr>
          <w:ilvl w:val="0"/>
          <w:numId w:val="17"/>
        </w:numPr>
        <w:tabs>
          <w:tab w:val="left" w:pos="9356"/>
        </w:tabs>
        <w:spacing w:after="120"/>
        <w:ind w:left="426" w:hanging="426"/>
        <w:jc w:val="both"/>
        <w:rPr>
          <w:rFonts w:asciiTheme="majorHAnsi" w:hAnsiTheme="majorHAnsi" w:cstheme="majorHAnsi"/>
        </w:rPr>
      </w:pPr>
      <w:r w:rsidRPr="00180946">
        <w:rPr>
          <w:rFonts w:asciiTheme="majorHAnsi" w:hAnsiTheme="majorHAnsi" w:cstheme="majorHAnsi"/>
        </w:rPr>
        <w:t>Modul GEOLÓGIA (24 hodín) / Module GEOLOGY</w:t>
      </w:r>
    </w:p>
    <w:p w14:paraId="755ECF75" w14:textId="77777777" w:rsidR="00BE7FE9" w:rsidRDefault="00180946" w:rsidP="00E027F7">
      <w:pPr>
        <w:pStyle w:val="Odsekzoznamu"/>
        <w:numPr>
          <w:ilvl w:val="0"/>
          <w:numId w:val="17"/>
        </w:numPr>
        <w:tabs>
          <w:tab w:val="left" w:pos="9356"/>
        </w:tabs>
        <w:spacing w:after="120"/>
        <w:ind w:left="426" w:hanging="426"/>
        <w:jc w:val="both"/>
        <w:rPr>
          <w:rFonts w:asciiTheme="majorHAnsi" w:hAnsiTheme="majorHAnsi" w:cstheme="majorHAnsi"/>
        </w:rPr>
      </w:pPr>
      <w:r w:rsidRPr="00180946">
        <w:rPr>
          <w:rFonts w:asciiTheme="majorHAnsi" w:hAnsiTheme="majorHAnsi" w:cstheme="majorHAnsi"/>
        </w:rPr>
        <w:t>Modul TECHNICKÉ KRESLENIE (30 hodín) / Module TECHNICAL DRAWING</w:t>
      </w:r>
    </w:p>
    <w:p w14:paraId="09AC539C" w14:textId="0920D9FA" w:rsidR="000564FF" w:rsidRDefault="00F36DEE" w:rsidP="00F36DEE">
      <w:pPr>
        <w:tabs>
          <w:tab w:val="left" w:pos="9356"/>
        </w:tabs>
        <w:spacing w:after="120"/>
        <w:jc w:val="both"/>
        <w:rPr>
          <w:rFonts w:asciiTheme="majorHAnsi" w:hAnsiTheme="majorHAnsi" w:cstheme="majorHAnsi"/>
        </w:rPr>
      </w:pPr>
      <w:r w:rsidRPr="0053555E">
        <w:rPr>
          <w:rFonts w:asciiTheme="majorHAnsi" w:hAnsiTheme="majorHAnsi" w:cstheme="majorHAnsi"/>
        </w:rPr>
        <w:t xml:space="preserve">Vzhľadom na nízky záujem o kurzy cudzích jazykov počas </w:t>
      </w:r>
      <w:r w:rsidR="00124A5A" w:rsidRPr="0053555E">
        <w:rPr>
          <w:rFonts w:asciiTheme="majorHAnsi" w:hAnsiTheme="majorHAnsi" w:cstheme="majorHAnsi"/>
        </w:rPr>
        <w:t>pandémie COVID-19</w:t>
      </w:r>
      <w:r w:rsidR="006E0F66" w:rsidRPr="0053555E">
        <w:rPr>
          <w:rFonts w:asciiTheme="majorHAnsi" w:hAnsiTheme="majorHAnsi" w:cstheme="majorHAnsi"/>
        </w:rPr>
        <w:t>, bol na JC v </w:t>
      </w:r>
      <w:r w:rsidR="00124A5A" w:rsidRPr="0053555E">
        <w:rPr>
          <w:rFonts w:asciiTheme="majorHAnsi" w:hAnsiTheme="majorHAnsi" w:cstheme="majorHAnsi"/>
        </w:rPr>
        <w:t>hodnotenom</w:t>
      </w:r>
      <w:r w:rsidRPr="0053555E">
        <w:rPr>
          <w:rFonts w:asciiTheme="majorHAnsi" w:hAnsiTheme="majorHAnsi" w:cstheme="majorHAnsi"/>
        </w:rPr>
        <w:t xml:space="preserve"> období realizovan</w:t>
      </w:r>
      <w:r w:rsidR="00426286">
        <w:rPr>
          <w:rFonts w:asciiTheme="majorHAnsi" w:hAnsiTheme="majorHAnsi" w:cstheme="majorHAnsi"/>
        </w:rPr>
        <w:t>ý</w:t>
      </w:r>
      <w:r w:rsidRPr="0053555E">
        <w:rPr>
          <w:rFonts w:asciiTheme="majorHAnsi" w:hAnsiTheme="majorHAnsi" w:cstheme="majorHAnsi"/>
        </w:rPr>
        <w:t xml:space="preserve"> len </w:t>
      </w:r>
      <w:r w:rsidR="004B643B">
        <w:rPr>
          <w:rFonts w:asciiTheme="majorHAnsi" w:hAnsiTheme="majorHAnsi" w:cstheme="majorHAnsi"/>
        </w:rPr>
        <w:t>jeden</w:t>
      </w:r>
      <w:r w:rsidRPr="0053555E">
        <w:rPr>
          <w:rFonts w:asciiTheme="majorHAnsi" w:hAnsiTheme="majorHAnsi" w:cstheme="majorHAnsi"/>
        </w:rPr>
        <w:t xml:space="preserve"> kurz anglického jazyka</w:t>
      </w:r>
      <w:r w:rsidR="007E344B">
        <w:rPr>
          <w:rFonts w:asciiTheme="majorHAnsi" w:hAnsiTheme="majorHAnsi" w:cstheme="majorHAnsi"/>
        </w:rPr>
        <w:t xml:space="preserve"> (úroveň B2)</w:t>
      </w:r>
      <w:r w:rsidR="004B643B">
        <w:rPr>
          <w:rFonts w:asciiTheme="majorHAnsi" w:hAnsiTheme="majorHAnsi" w:cstheme="majorHAnsi"/>
        </w:rPr>
        <w:t xml:space="preserve"> za účasti</w:t>
      </w:r>
      <w:r w:rsidR="00426286">
        <w:rPr>
          <w:rFonts w:asciiTheme="majorHAnsi" w:hAnsiTheme="majorHAnsi" w:cstheme="majorHAnsi"/>
        </w:rPr>
        <w:t xml:space="preserve"> 9 frekventantov</w:t>
      </w:r>
      <w:r w:rsidRPr="0053555E">
        <w:rPr>
          <w:rFonts w:asciiTheme="majorHAnsi" w:hAnsiTheme="majorHAnsi" w:cstheme="majorHAnsi"/>
        </w:rPr>
        <w:t>.</w:t>
      </w:r>
    </w:p>
    <w:p w14:paraId="1160F7D0" w14:textId="59E94B96" w:rsidR="007E344B" w:rsidRPr="007C72F9" w:rsidRDefault="00AF2A19" w:rsidP="007C72F9">
      <w:pPr>
        <w:rPr>
          <w:rFonts w:asciiTheme="majorHAnsi" w:hAnsiTheme="majorHAnsi" w:cstheme="majorHAnsi"/>
        </w:rPr>
      </w:pPr>
      <w:r w:rsidRPr="004B643B">
        <w:rPr>
          <w:rFonts w:asciiTheme="majorHAnsi" w:hAnsiTheme="majorHAnsi" w:cstheme="majorHAnsi"/>
          <w:b/>
          <w:bCs/>
        </w:rPr>
        <w:t>Univerzita tretieho veku</w:t>
      </w:r>
      <w:r w:rsidR="007E344B" w:rsidRPr="004B643B">
        <w:rPr>
          <w:rFonts w:asciiTheme="majorHAnsi" w:hAnsiTheme="majorHAnsi" w:cstheme="majorHAnsi"/>
          <w:b/>
          <w:bCs/>
        </w:rPr>
        <w:t xml:space="preserve"> ICV</w:t>
      </w:r>
      <w:r w:rsidRPr="004B643B">
        <w:rPr>
          <w:rFonts w:asciiTheme="majorHAnsi" w:hAnsiTheme="majorHAnsi" w:cstheme="majorHAnsi"/>
          <w:b/>
          <w:bCs/>
        </w:rPr>
        <w:t xml:space="preserve"> (UTV)</w:t>
      </w:r>
      <w:r w:rsidR="008A1A80" w:rsidRPr="0053555E">
        <w:rPr>
          <w:rFonts w:asciiTheme="majorHAnsi" w:hAnsiTheme="majorHAnsi" w:cstheme="majorHAnsi"/>
          <w:snapToGrid w:val="0"/>
        </w:rPr>
        <w:t xml:space="preserve"> pripravuje a zabezpečuje z</w:t>
      </w:r>
      <w:r w:rsidR="00972035" w:rsidRPr="0053555E">
        <w:rPr>
          <w:rFonts w:asciiTheme="majorHAnsi" w:hAnsiTheme="majorHAnsi" w:cstheme="majorHAnsi"/>
          <w:snapToGrid w:val="0"/>
        </w:rPr>
        <w:t>áujmové vzdelávanie seniorov vo </w:t>
      </w:r>
      <w:r w:rsidR="008A1A80" w:rsidRPr="0053555E">
        <w:rPr>
          <w:rFonts w:asciiTheme="majorHAnsi" w:hAnsiTheme="majorHAnsi" w:cstheme="majorHAnsi"/>
          <w:snapToGrid w:val="0"/>
        </w:rPr>
        <w:t xml:space="preserve">vybraných vzdelávacích programoch zameraných najmä na oblasti: </w:t>
      </w:r>
      <w:r w:rsidR="005C115C" w:rsidRPr="0053555E">
        <w:rPr>
          <w:rFonts w:asciiTheme="majorHAnsi" w:hAnsiTheme="majorHAnsi" w:cstheme="majorHAnsi"/>
          <w:snapToGrid w:val="0"/>
        </w:rPr>
        <w:t>a</w:t>
      </w:r>
      <w:r w:rsidR="008A1A80" w:rsidRPr="0053555E">
        <w:rPr>
          <w:rFonts w:asciiTheme="majorHAnsi" w:hAnsiTheme="majorHAnsi" w:cstheme="majorHAnsi"/>
          <w:snapToGrid w:val="0"/>
        </w:rPr>
        <w:t>rchitektú</w:t>
      </w:r>
      <w:r w:rsidR="005C115C" w:rsidRPr="0053555E">
        <w:rPr>
          <w:rFonts w:asciiTheme="majorHAnsi" w:hAnsiTheme="majorHAnsi" w:cstheme="majorHAnsi"/>
          <w:snapToGrid w:val="0"/>
        </w:rPr>
        <w:t>ra a tvorivosť, životný štýl a </w:t>
      </w:r>
      <w:r w:rsidR="008A1A80" w:rsidRPr="0053555E">
        <w:rPr>
          <w:rFonts w:asciiTheme="majorHAnsi" w:hAnsiTheme="majorHAnsi" w:cstheme="majorHAnsi"/>
          <w:snapToGrid w:val="0"/>
        </w:rPr>
        <w:t xml:space="preserve">technika, </w:t>
      </w:r>
      <w:r w:rsidR="005C115C" w:rsidRPr="0053555E">
        <w:rPr>
          <w:rFonts w:asciiTheme="majorHAnsi" w:hAnsiTheme="majorHAnsi" w:cstheme="majorHAnsi"/>
          <w:snapToGrid w:val="0"/>
        </w:rPr>
        <w:t>i</w:t>
      </w:r>
      <w:r w:rsidR="008A1A80" w:rsidRPr="0053555E">
        <w:rPr>
          <w:rFonts w:asciiTheme="majorHAnsi" w:hAnsiTheme="majorHAnsi" w:cstheme="majorHAnsi"/>
          <w:snapToGrid w:val="0"/>
        </w:rPr>
        <w:t>nformačné a komunikačné technológie, predovšetkým formou predn</w:t>
      </w:r>
      <w:r w:rsidR="005C115C" w:rsidRPr="0053555E">
        <w:rPr>
          <w:rFonts w:asciiTheme="majorHAnsi" w:hAnsiTheme="majorHAnsi" w:cstheme="majorHAnsi"/>
          <w:snapToGrid w:val="0"/>
        </w:rPr>
        <w:t>ášok a </w:t>
      </w:r>
      <w:r w:rsidR="008A1A80" w:rsidRPr="0053555E">
        <w:rPr>
          <w:rFonts w:asciiTheme="majorHAnsi" w:hAnsiTheme="majorHAnsi" w:cstheme="majorHAnsi"/>
          <w:snapToGrid w:val="0"/>
        </w:rPr>
        <w:t>praktickej výučby.</w:t>
      </w:r>
      <w:r w:rsidR="00DD11E0">
        <w:rPr>
          <w:rFonts w:asciiTheme="majorHAnsi" w:hAnsiTheme="majorHAnsi" w:cstheme="majorHAnsi"/>
          <w:snapToGrid w:val="0"/>
        </w:rPr>
        <w:t xml:space="preserve"> </w:t>
      </w:r>
      <w:r w:rsidR="00070B1A">
        <w:rPr>
          <w:rFonts w:asciiTheme="majorHAnsi" w:hAnsiTheme="majorHAnsi" w:cstheme="majorHAnsi"/>
          <w:snapToGrid w:val="0"/>
        </w:rPr>
        <w:t>V</w:t>
      </w:r>
      <w:r w:rsidR="00070B1A" w:rsidRPr="007E344B">
        <w:rPr>
          <w:rFonts w:asciiTheme="majorHAnsi" w:hAnsiTheme="majorHAnsi" w:cstheme="majorHAnsi"/>
          <w:snapToGrid w:val="0"/>
        </w:rPr>
        <w:t xml:space="preserve">zdelávacích programov </w:t>
      </w:r>
      <w:r w:rsidR="007C72F9">
        <w:rPr>
          <w:rFonts w:asciiTheme="majorHAnsi" w:hAnsiTheme="majorHAnsi" w:cstheme="majorHAnsi"/>
          <w:snapToGrid w:val="0"/>
        </w:rPr>
        <w:t>v</w:t>
      </w:r>
      <w:r w:rsidR="007C72F9" w:rsidRPr="007E344B">
        <w:rPr>
          <w:rFonts w:asciiTheme="majorHAnsi" w:hAnsiTheme="majorHAnsi" w:cstheme="majorHAnsi"/>
          <w:snapToGrid w:val="0"/>
        </w:rPr>
        <w:t xml:space="preserve"> akademick</w:t>
      </w:r>
      <w:r w:rsidR="007C72F9">
        <w:rPr>
          <w:rFonts w:asciiTheme="majorHAnsi" w:hAnsiTheme="majorHAnsi" w:cstheme="majorHAnsi"/>
          <w:snapToGrid w:val="0"/>
        </w:rPr>
        <w:t>om</w:t>
      </w:r>
      <w:r w:rsidR="007C72F9" w:rsidRPr="007E344B">
        <w:rPr>
          <w:rFonts w:asciiTheme="majorHAnsi" w:hAnsiTheme="majorHAnsi" w:cstheme="majorHAnsi"/>
          <w:snapToGrid w:val="0"/>
        </w:rPr>
        <w:t xml:space="preserve"> rok</w:t>
      </w:r>
      <w:r w:rsidR="007C72F9">
        <w:rPr>
          <w:rFonts w:asciiTheme="majorHAnsi" w:hAnsiTheme="majorHAnsi" w:cstheme="majorHAnsi"/>
          <w:snapToGrid w:val="0"/>
        </w:rPr>
        <w:t>u</w:t>
      </w:r>
      <w:r w:rsidR="007C72F9" w:rsidRPr="007E344B">
        <w:rPr>
          <w:rFonts w:asciiTheme="majorHAnsi" w:hAnsiTheme="majorHAnsi" w:cstheme="majorHAnsi"/>
          <w:snapToGrid w:val="0"/>
        </w:rPr>
        <w:t xml:space="preserve"> 2021/2022 </w:t>
      </w:r>
      <w:r w:rsidR="00070B1A" w:rsidRPr="007E344B">
        <w:rPr>
          <w:rFonts w:asciiTheme="majorHAnsi" w:hAnsiTheme="majorHAnsi" w:cstheme="majorHAnsi"/>
          <w:snapToGrid w:val="0"/>
        </w:rPr>
        <w:t xml:space="preserve">sa </w:t>
      </w:r>
      <w:r w:rsidR="00070B1A">
        <w:rPr>
          <w:rFonts w:asciiTheme="majorHAnsi" w:hAnsiTheme="majorHAnsi" w:cstheme="majorHAnsi"/>
          <w:snapToGrid w:val="0"/>
        </w:rPr>
        <w:t xml:space="preserve">zúčastnilo </w:t>
      </w:r>
      <w:r w:rsidR="005E7133">
        <w:rPr>
          <w:rFonts w:asciiTheme="majorHAnsi" w:hAnsiTheme="majorHAnsi" w:cstheme="majorHAnsi"/>
          <w:snapToGrid w:val="0"/>
        </w:rPr>
        <w:t>v 1.</w:t>
      </w:r>
      <w:r w:rsidR="007E344B" w:rsidRPr="007E344B">
        <w:rPr>
          <w:rFonts w:asciiTheme="majorHAnsi" w:hAnsiTheme="majorHAnsi" w:cstheme="majorHAnsi"/>
          <w:snapToGrid w:val="0"/>
        </w:rPr>
        <w:t xml:space="preserve"> všeobecnom ročníku a v 2</w:t>
      </w:r>
      <w:r w:rsidR="000146EF">
        <w:rPr>
          <w:rFonts w:asciiTheme="majorHAnsi" w:hAnsiTheme="majorHAnsi" w:cstheme="majorHAnsi"/>
          <w:snapToGrid w:val="0"/>
        </w:rPr>
        <w:t>2</w:t>
      </w:r>
      <w:r w:rsidR="007E344B" w:rsidRPr="007E344B">
        <w:rPr>
          <w:rFonts w:asciiTheme="majorHAnsi" w:hAnsiTheme="majorHAnsi" w:cstheme="majorHAnsi"/>
          <w:snapToGrid w:val="0"/>
        </w:rPr>
        <w:t xml:space="preserve"> </w:t>
      </w:r>
      <w:r w:rsidR="00070B1A">
        <w:rPr>
          <w:rFonts w:asciiTheme="majorHAnsi" w:hAnsiTheme="majorHAnsi" w:cstheme="majorHAnsi"/>
          <w:snapToGrid w:val="0"/>
        </w:rPr>
        <w:t xml:space="preserve">ďalších </w:t>
      </w:r>
      <w:r w:rsidR="008F5367">
        <w:rPr>
          <w:rFonts w:asciiTheme="majorHAnsi" w:hAnsiTheme="majorHAnsi" w:cstheme="majorHAnsi"/>
          <w:snapToGrid w:val="0"/>
        </w:rPr>
        <w:t>kurzoch</w:t>
      </w:r>
      <w:r w:rsidR="007E344B" w:rsidRPr="007E344B">
        <w:rPr>
          <w:rFonts w:asciiTheme="majorHAnsi" w:hAnsiTheme="majorHAnsi" w:cstheme="majorHAnsi"/>
          <w:snapToGrid w:val="0"/>
        </w:rPr>
        <w:t xml:space="preserve"> spolu </w:t>
      </w:r>
      <w:r w:rsidR="007E344B" w:rsidRPr="005E7133">
        <w:rPr>
          <w:rFonts w:asciiTheme="majorHAnsi" w:hAnsiTheme="majorHAnsi" w:cstheme="majorHAnsi"/>
          <w:b/>
          <w:snapToGrid w:val="0"/>
        </w:rPr>
        <w:t xml:space="preserve">516 </w:t>
      </w:r>
      <w:r w:rsidR="005E7133" w:rsidRPr="005E7133">
        <w:rPr>
          <w:rFonts w:asciiTheme="majorHAnsi" w:hAnsiTheme="majorHAnsi" w:cstheme="majorHAnsi"/>
          <w:b/>
          <w:snapToGrid w:val="0"/>
        </w:rPr>
        <w:t>frekventantov</w:t>
      </w:r>
      <w:r w:rsidR="007C72F9">
        <w:rPr>
          <w:rFonts w:asciiTheme="majorHAnsi" w:hAnsiTheme="majorHAnsi" w:cstheme="majorHAnsi"/>
          <w:b/>
          <w:snapToGrid w:val="0"/>
        </w:rPr>
        <w:t xml:space="preserve">. </w:t>
      </w:r>
      <w:r w:rsidR="007C72F9">
        <w:rPr>
          <w:rFonts w:asciiTheme="majorHAnsi" w:hAnsiTheme="majorHAnsi" w:cstheme="majorHAnsi"/>
          <w:snapToGrid w:val="0"/>
        </w:rPr>
        <w:t>N</w:t>
      </w:r>
      <w:r w:rsidR="007E344B" w:rsidRPr="007E344B">
        <w:rPr>
          <w:rFonts w:asciiTheme="majorHAnsi" w:hAnsiTheme="majorHAnsi" w:cstheme="majorHAnsi"/>
          <w:snapToGrid w:val="0"/>
        </w:rPr>
        <w:t>apriek náročnej pandemick</w:t>
      </w:r>
      <w:r w:rsidR="008F5367">
        <w:rPr>
          <w:rFonts w:asciiTheme="majorHAnsi" w:hAnsiTheme="majorHAnsi" w:cstheme="majorHAnsi"/>
          <w:snapToGrid w:val="0"/>
        </w:rPr>
        <w:t>ej</w:t>
      </w:r>
      <w:r w:rsidR="007E344B" w:rsidRPr="007E344B">
        <w:rPr>
          <w:rFonts w:asciiTheme="majorHAnsi" w:hAnsiTheme="majorHAnsi" w:cstheme="majorHAnsi"/>
          <w:snapToGrid w:val="0"/>
        </w:rPr>
        <w:t xml:space="preserve"> situácii sa záujem o túto formu vzdelávania oproti </w:t>
      </w:r>
      <w:r w:rsidR="00714D74">
        <w:rPr>
          <w:rFonts w:asciiTheme="majorHAnsi" w:hAnsiTheme="majorHAnsi" w:cstheme="majorHAnsi"/>
          <w:snapToGrid w:val="0"/>
        </w:rPr>
        <w:t>akademickému</w:t>
      </w:r>
      <w:r w:rsidR="007E344B" w:rsidRPr="007E344B">
        <w:rPr>
          <w:rFonts w:asciiTheme="majorHAnsi" w:hAnsiTheme="majorHAnsi" w:cstheme="majorHAnsi"/>
          <w:snapToGrid w:val="0"/>
        </w:rPr>
        <w:t xml:space="preserve"> roku </w:t>
      </w:r>
      <w:r w:rsidR="00714D74">
        <w:rPr>
          <w:rFonts w:asciiTheme="majorHAnsi" w:hAnsiTheme="majorHAnsi" w:cstheme="majorHAnsi"/>
          <w:snapToGrid w:val="0"/>
        </w:rPr>
        <w:t xml:space="preserve">2020/2021 </w:t>
      </w:r>
      <w:r w:rsidR="00714D74" w:rsidRPr="007E344B">
        <w:rPr>
          <w:rFonts w:asciiTheme="majorHAnsi" w:hAnsiTheme="majorHAnsi" w:cstheme="majorHAnsi"/>
          <w:snapToGrid w:val="0"/>
        </w:rPr>
        <w:t xml:space="preserve">výrazne zvýšil </w:t>
      </w:r>
      <w:r w:rsidR="007E344B" w:rsidRPr="007E344B">
        <w:rPr>
          <w:rFonts w:asciiTheme="majorHAnsi" w:hAnsiTheme="majorHAnsi" w:cstheme="majorHAnsi"/>
          <w:snapToGrid w:val="0"/>
        </w:rPr>
        <w:t>(</w:t>
      </w:r>
      <w:r w:rsidR="00321073">
        <w:rPr>
          <w:rFonts w:asciiTheme="majorHAnsi" w:hAnsiTheme="majorHAnsi" w:cstheme="majorHAnsi"/>
          <w:snapToGrid w:val="0"/>
        </w:rPr>
        <w:t xml:space="preserve">o </w:t>
      </w:r>
      <w:r w:rsidR="007E344B" w:rsidRPr="007E344B">
        <w:rPr>
          <w:rFonts w:asciiTheme="majorHAnsi" w:hAnsiTheme="majorHAnsi" w:cstheme="majorHAnsi"/>
          <w:snapToGrid w:val="0"/>
        </w:rPr>
        <w:t>2</w:t>
      </w:r>
      <w:r w:rsidR="009F5EA1">
        <w:rPr>
          <w:rFonts w:asciiTheme="majorHAnsi" w:hAnsiTheme="majorHAnsi" w:cstheme="majorHAnsi"/>
          <w:snapToGrid w:val="0"/>
        </w:rPr>
        <w:t>64</w:t>
      </w:r>
      <w:r w:rsidR="007E344B" w:rsidRPr="007E344B">
        <w:rPr>
          <w:rFonts w:asciiTheme="majorHAnsi" w:hAnsiTheme="majorHAnsi" w:cstheme="majorHAnsi"/>
          <w:snapToGrid w:val="0"/>
        </w:rPr>
        <w:t xml:space="preserve"> online </w:t>
      </w:r>
      <w:r w:rsidR="00321073">
        <w:rPr>
          <w:rFonts w:asciiTheme="majorHAnsi" w:hAnsiTheme="majorHAnsi" w:cstheme="majorHAnsi"/>
          <w:snapToGrid w:val="0"/>
        </w:rPr>
        <w:t>frekventantov</w:t>
      </w:r>
      <w:r w:rsidR="007E344B" w:rsidRPr="007E344B">
        <w:rPr>
          <w:rFonts w:asciiTheme="majorHAnsi" w:hAnsiTheme="majorHAnsi" w:cstheme="majorHAnsi"/>
          <w:snapToGrid w:val="0"/>
        </w:rPr>
        <w:t>).</w:t>
      </w:r>
      <w:r w:rsidR="007C72F9">
        <w:rPr>
          <w:rFonts w:asciiTheme="majorHAnsi" w:hAnsiTheme="majorHAnsi" w:cstheme="majorHAnsi"/>
          <w:snapToGrid w:val="0"/>
        </w:rPr>
        <w:t xml:space="preserve"> </w:t>
      </w:r>
    </w:p>
    <w:p w14:paraId="31CE53C7" w14:textId="6E4CC8A1" w:rsidR="007E344B" w:rsidRPr="007E344B" w:rsidRDefault="007E344B" w:rsidP="007C72F9">
      <w:pPr>
        <w:jc w:val="both"/>
        <w:rPr>
          <w:rFonts w:asciiTheme="majorHAnsi" w:hAnsiTheme="majorHAnsi" w:cstheme="majorHAnsi"/>
          <w:snapToGrid w:val="0"/>
        </w:rPr>
      </w:pPr>
      <w:r w:rsidRPr="007E344B">
        <w:rPr>
          <w:rFonts w:asciiTheme="majorHAnsi" w:hAnsiTheme="majorHAnsi" w:cstheme="majorHAnsi"/>
          <w:snapToGrid w:val="0"/>
        </w:rPr>
        <w:t xml:space="preserve">Ponuka vzdelávacích programov na UTV bola </w:t>
      </w:r>
      <w:r w:rsidR="007C72F9">
        <w:rPr>
          <w:rFonts w:asciiTheme="majorHAnsi" w:hAnsiTheme="majorHAnsi" w:cstheme="majorHAnsi"/>
          <w:snapToGrid w:val="0"/>
        </w:rPr>
        <w:t xml:space="preserve">rozšírená o 6 nových programov: </w:t>
      </w:r>
      <w:r w:rsidRPr="007E344B">
        <w:rPr>
          <w:rFonts w:asciiTheme="majorHAnsi" w:hAnsiTheme="majorHAnsi" w:cstheme="majorHAnsi"/>
          <w:snapToGrid w:val="0"/>
        </w:rPr>
        <w:t>Nebojte sa on-line vzdelávania</w:t>
      </w:r>
      <w:r w:rsidR="007C72F9">
        <w:rPr>
          <w:rFonts w:asciiTheme="majorHAnsi" w:hAnsiTheme="majorHAnsi" w:cstheme="majorHAnsi"/>
          <w:snapToGrid w:val="0"/>
        </w:rPr>
        <w:t xml:space="preserve">, </w:t>
      </w:r>
      <w:r w:rsidRPr="007E344B">
        <w:rPr>
          <w:rFonts w:asciiTheme="majorHAnsi" w:hAnsiTheme="majorHAnsi" w:cstheme="majorHAnsi"/>
          <w:snapToGrid w:val="0"/>
        </w:rPr>
        <w:t>Potraviny pre tretie tisícročie</w:t>
      </w:r>
      <w:r w:rsidR="007C72F9">
        <w:rPr>
          <w:rFonts w:asciiTheme="majorHAnsi" w:hAnsiTheme="majorHAnsi" w:cstheme="majorHAnsi"/>
          <w:snapToGrid w:val="0"/>
        </w:rPr>
        <w:t xml:space="preserve">, </w:t>
      </w:r>
      <w:r w:rsidRPr="007E344B">
        <w:rPr>
          <w:rFonts w:asciiTheme="majorHAnsi" w:hAnsiTheme="majorHAnsi" w:cstheme="majorHAnsi"/>
          <w:snapToGrid w:val="0"/>
        </w:rPr>
        <w:t>Ako kreslením oddychovať</w:t>
      </w:r>
      <w:r w:rsidR="007C72F9">
        <w:rPr>
          <w:rFonts w:asciiTheme="majorHAnsi" w:hAnsiTheme="majorHAnsi" w:cstheme="majorHAnsi"/>
          <w:snapToGrid w:val="0"/>
        </w:rPr>
        <w:t xml:space="preserve">, </w:t>
      </w:r>
      <w:r w:rsidRPr="007E344B">
        <w:rPr>
          <w:rFonts w:asciiTheme="majorHAnsi" w:hAnsiTheme="majorHAnsi" w:cstheme="majorHAnsi"/>
          <w:snapToGrid w:val="0"/>
        </w:rPr>
        <w:t>Multimédia pre PC a smartfón (on-line forma)</w:t>
      </w:r>
      <w:r w:rsidR="007C72F9">
        <w:rPr>
          <w:rFonts w:asciiTheme="majorHAnsi" w:hAnsiTheme="majorHAnsi" w:cstheme="majorHAnsi"/>
          <w:snapToGrid w:val="0"/>
        </w:rPr>
        <w:t xml:space="preserve">, </w:t>
      </w:r>
      <w:r w:rsidRPr="007E344B">
        <w:rPr>
          <w:rFonts w:asciiTheme="majorHAnsi" w:hAnsiTheme="majorHAnsi" w:cstheme="majorHAnsi"/>
          <w:snapToGrid w:val="0"/>
        </w:rPr>
        <w:t>Kreatívne využitie počítačov</w:t>
      </w:r>
      <w:r w:rsidR="007C72F9">
        <w:rPr>
          <w:rFonts w:asciiTheme="majorHAnsi" w:hAnsiTheme="majorHAnsi" w:cstheme="majorHAnsi"/>
          <w:snapToGrid w:val="0"/>
        </w:rPr>
        <w:t xml:space="preserve"> a </w:t>
      </w:r>
      <w:r w:rsidRPr="007E344B">
        <w:rPr>
          <w:rFonts w:asciiTheme="majorHAnsi" w:hAnsiTheme="majorHAnsi" w:cstheme="majorHAnsi"/>
          <w:snapToGrid w:val="0"/>
        </w:rPr>
        <w:t>MS Office</w:t>
      </w:r>
      <w:r w:rsidR="007C72F9">
        <w:rPr>
          <w:rFonts w:asciiTheme="majorHAnsi" w:hAnsiTheme="majorHAnsi" w:cstheme="majorHAnsi"/>
          <w:snapToGrid w:val="0"/>
        </w:rPr>
        <w:t xml:space="preserve">, ďalšie boli </w:t>
      </w:r>
      <w:r w:rsidR="00932BA0" w:rsidRPr="007E344B">
        <w:rPr>
          <w:rFonts w:asciiTheme="majorHAnsi" w:hAnsiTheme="majorHAnsi" w:cstheme="majorHAnsi"/>
          <w:snapToGrid w:val="0"/>
        </w:rPr>
        <w:t>inovované</w:t>
      </w:r>
      <w:r w:rsidR="007C72F9">
        <w:rPr>
          <w:rFonts w:asciiTheme="majorHAnsi" w:hAnsiTheme="majorHAnsi" w:cstheme="majorHAnsi"/>
          <w:snapToGrid w:val="0"/>
        </w:rPr>
        <w:t>.</w:t>
      </w:r>
      <w:r w:rsidR="00932BA0" w:rsidRPr="007E344B">
        <w:rPr>
          <w:rFonts w:asciiTheme="majorHAnsi" w:hAnsiTheme="majorHAnsi" w:cstheme="majorHAnsi"/>
          <w:snapToGrid w:val="0"/>
        </w:rPr>
        <w:t xml:space="preserve"> </w:t>
      </w:r>
      <w:r w:rsidRPr="007E344B">
        <w:rPr>
          <w:rFonts w:asciiTheme="majorHAnsi" w:hAnsiTheme="majorHAnsi" w:cstheme="majorHAnsi"/>
          <w:snapToGrid w:val="0"/>
        </w:rPr>
        <w:t>Rozsah realizovaných vzdelávacích aktivít sa zvýšil celkovo na 714 hodín</w:t>
      </w:r>
      <w:r w:rsidR="00B85637">
        <w:rPr>
          <w:rFonts w:asciiTheme="majorHAnsi" w:hAnsiTheme="majorHAnsi" w:cstheme="majorHAnsi"/>
          <w:snapToGrid w:val="0"/>
        </w:rPr>
        <w:t xml:space="preserve">. Výučba prebiehala </w:t>
      </w:r>
      <w:r w:rsidR="007C72F9">
        <w:rPr>
          <w:rFonts w:asciiTheme="majorHAnsi" w:hAnsiTheme="majorHAnsi" w:cstheme="majorHAnsi"/>
          <w:snapToGrid w:val="0"/>
        </w:rPr>
        <w:t>dištančne</w:t>
      </w:r>
      <w:r w:rsidR="000F234D">
        <w:rPr>
          <w:rFonts w:asciiTheme="majorHAnsi" w:hAnsiTheme="majorHAnsi" w:cstheme="majorHAnsi"/>
          <w:snapToGrid w:val="0"/>
        </w:rPr>
        <w:t xml:space="preserve"> </w:t>
      </w:r>
      <w:r w:rsidR="0064199B">
        <w:rPr>
          <w:rFonts w:asciiTheme="majorHAnsi" w:hAnsiTheme="majorHAnsi" w:cstheme="majorHAnsi"/>
          <w:snapToGrid w:val="0"/>
        </w:rPr>
        <w:t>pre 6 kurzov</w:t>
      </w:r>
      <w:r w:rsidR="007C72F9">
        <w:rPr>
          <w:rFonts w:asciiTheme="majorHAnsi" w:hAnsiTheme="majorHAnsi" w:cstheme="majorHAnsi"/>
          <w:snapToGrid w:val="0"/>
        </w:rPr>
        <w:t xml:space="preserve">, </w:t>
      </w:r>
      <w:r w:rsidR="0064199B">
        <w:rPr>
          <w:rFonts w:asciiTheme="majorHAnsi" w:hAnsiTheme="majorHAnsi" w:cstheme="majorHAnsi"/>
          <w:snapToGrid w:val="0"/>
        </w:rPr>
        <w:t xml:space="preserve">ostatné boli </w:t>
      </w:r>
      <w:r w:rsidR="00EA355D">
        <w:rPr>
          <w:rFonts w:asciiTheme="majorHAnsi" w:hAnsiTheme="majorHAnsi" w:cstheme="majorHAnsi"/>
          <w:snapToGrid w:val="0"/>
        </w:rPr>
        <w:t xml:space="preserve">prezenčne. </w:t>
      </w:r>
      <w:r w:rsidR="007C72F9">
        <w:rPr>
          <w:rFonts w:asciiTheme="majorHAnsi" w:hAnsiTheme="majorHAnsi" w:cstheme="majorHAnsi"/>
          <w:snapToGrid w:val="0"/>
        </w:rPr>
        <w:t>Realizo</w:t>
      </w:r>
      <w:r w:rsidR="00932BA0">
        <w:rPr>
          <w:rFonts w:asciiTheme="majorHAnsi" w:hAnsiTheme="majorHAnsi" w:cstheme="majorHAnsi"/>
          <w:snapToGrid w:val="0"/>
        </w:rPr>
        <w:t>valo</w:t>
      </w:r>
      <w:r w:rsidRPr="007E344B">
        <w:rPr>
          <w:rFonts w:asciiTheme="majorHAnsi" w:hAnsiTheme="majorHAnsi" w:cstheme="majorHAnsi"/>
          <w:snapToGrid w:val="0"/>
        </w:rPr>
        <w:t xml:space="preserve"> </w:t>
      </w:r>
      <w:r w:rsidR="007C72F9">
        <w:rPr>
          <w:rFonts w:asciiTheme="majorHAnsi" w:hAnsiTheme="majorHAnsi" w:cstheme="majorHAnsi"/>
          <w:snapToGrid w:val="0"/>
        </w:rPr>
        <w:t xml:space="preserve">ju </w:t>
      </w:r>
      <w:r w:rsidRPr="007E344B">
        <w:rPr>
          <w:rFonts w:asciiTheme="majorHAnsi" w:hAnsiTheme="majorHAnsi" w:cstheme="majorHAnsi"/>
          <w:snapToGrid w:val="0"/>
        </w:rPr>
        <w:t xml:space="preserve">66 prednášajúcich a lektorov. </w:t>
      </w:r>
    </w:p>
    <w:p w14:paraId="3647730B" w14:textId="750122CF" w:rsidR="001958DA" w:rsidRDefault="00E6681D" w:rsidP="007E344B">
      <w:pPr>
        <w:jc w:val="both"/>
        <w:rPr>
          <w:rFonts w:asciiTheme="majorHAnsi" w:hAnsiTheme="majorHAnsi" w:cstheme="majorHAnsi"/>
          <w:b/>
          <w:snapToGrid w:val="0"/>
        </w:rPr>
      </w:pPr>
      <w:r w:rsidRPr="001958DA">
        <w:rPr>
          <w:rFonts w:asciiTheme="majorHAnsi" w:hAnsiTheme="majorHAnsi" w:cstheme="majorHAnsi"/>
          <w:b/>
          <w:snapToGrid w:val="0"/>
        </w:rPr>
        <w:t xml:space="preserve">UTV </w:t>
      </w:r>
      <w:r>
        <w:rPr>
          <w:rFonts w:asciiTheme="majorHAnsi" w:hAnsiTheme="majorHAnsi" w:cstheme="majorHAnsi"/>
          <w:b/>
          <w:snapToGrid w:val="0"/>
        </w:rPr>
        <w:t>p</w:t>
      </w:r>
      <w:r w:rsidR="001958DA" w:rsidRPr="001958DA">
        <w:rPr>
          <w:rFonts w:asciiTheme="majorHAnsi" w:hAnsiTheme="majorHAnsi" w:cstheme="majorHAnsi"/>
          <w:b/>
          <w:snapToGrid w:val="0"/>
        </w:rPr>
        <w:t>očas</w:t>
      </w:r>
      <w:r w:rsidR="007E344B" w:rsidRPr="001958DA">
        <w:rPr>
          <w:rFonts w:asciiTheme="majorHAnsi" w:hAnsiTheme="majorHAnsi" w:cstheme="majorHAnsi"/>
          <w:b/>
          <w:snapToGrid w:val="0"/>
        </w:rPr>
        <w:t xml:space="preserve"> </w:t>
      </w:r>
      <w:r w:rsidR="007C72F9">
        <w:rPr>
          <w:rFonts w:asciiTheme="majorHAnsi" w:hAnsiTheme="majorHAnsi" w:cstheme="majorHAnsi"/>
          <w:b/>
          <w:snapToGrid w:val="0"/>
        </w:rPr>
        <w:t xml:space="preserve">24 </w:t>
      </w:r>
      <w:r w:rsidR="007E344B" w:rsidRPr="001958DA">
        <w:rPr>
          <w:rFonts w:asciiTheme="majorHAnsi" w:hAnsiTheme="majorHAnsi" w:cstheme="majorHAnsi"/>
          <w:b/>
          <w:snapToGrid w:val="0"/>
        </w:rPr>
        <w:t xml:space="preserve">rokov existencie </w:t>
      </w:r>
      <w:r>
        <w:rPr>
          <w:rFonts w:asciiTheme="majorHAnsi" w:hAnsiTheme="majorHAnsi" w:cstheme="majorHAnsi"/>
          <w:b/>
          <w:snapToGrid w:val="0"/>
        </w:rPr>
        <w:t>zabezpečovalo</w:t>
      </w:r>
      <w:r w:rsidR="007E344B" w:rsidRPr="001958DA">
        <w:rPr>
          <w:rFonts w:asciiTheme="majorHAnsi" w:hAnsiTheme="majorHAnsi" w:cstheme="majorHAnsi"/>
          <w:b/>
          <w:snapToGrid w:val="0"/>
        </w:rPr>
        <w:t xml:space="preserve"> </w:t>
      </w:r>
      <w:r>
        <w:rPr>
          <w:rFonts w:asciiTheme="majorHAnsi" w:hAnsiTheme="majorHAnsi" w:cstheme="majorHAnsi"/>
          <w:b/>
          <w:snapToGrid w:val="0"/>
        </w:rPr>
        <w:t xml:space="preserve">ďalšie vzdelávane pre </w:t>
      </w:r>
      <w:r w:rsidR="007E344B" w:rsidRPr="001958DA">
        <w:rPr>
          <w:rFonts w:asciiTheme="majorHAnsi" w:hAnsiTheme="majorHAnsi" w:cstheme="majorHAnsi"/>
          <w:b/>
          <w:snapToGrid w:val="0"/>
        </w:rPr>
        <w:t>14 217 frekventantov.</w:t>
      </w:r>
    </w:p>
    <w:p w14:paraId="47A14E05" w14:textId="4AE7D890" w:rsidR="007C72F9" w:rsidRDefault="007C72F9" w:rsidP="007E344B">
      <w:pPr>
        <w:jc w:val="both"/>
        <w:rPr>
          <w:rFonts w:asciiTheme="majorHAnsi" w:hAnsiTheme="majorHAnsi" w:cstheme="majorHAnsi"/>
          <w:b/>
          <w:snapToGrid w:val="0"/>
        </w:rPr>
      </w:pPr>
    </w:p>
    <w:p w14:paraId="57BC5D4B" w14:textId="77777777" w:rsidR="00C63597" w:rsidRDefault="00C63597">
      <w:pPr>
        <w:rPr>
          <w:rFonts w:asciiTheme="majorHAnsi" w:hAnsiTheme="majorHAnsi" w:cstheme="majorHAnsi"/>
          <w:snapToGrid w:val="0"/>
        </w:rPr>
      </w:pPr>
    </w:p>
    <w:p w14:paraId="4495DA67" w14:textId="77777777" w:rsidR="00C63597" w:rsidRDefault="00C63597">
      <w:pPr>
        <w:rPr>
          <w:rFonts w:asciiTheme="majorHAnsi" w:hAnsiTheme="majorHAnsi" w:cstheme="majorHAnsi"/>
          <w:snapToGrid w:val="0"/>
        </w:rPr>
      </w:pPr>
    </w:p>
    <w:p w14:paraId="199B3643" w14:textId="77777777" w:rsidR="00C63597" w:rsidRDefault="00C63597">
      <w:pPr>
        <w:rPr>
          <w:rFonts w:asciiTheme="majorHAnsi" w:hAnsiTheme="majorHAnsi" w:cstheme="majorHAnsi"/>
          <w:b/>
          <w:snapToGrid w:val="0"/>
          <w:sz w:val="32"/>
          <w:szCs w:val="32"/>
        </w:rPr>
      </w:pPr>
      <w:r w:rsidRPr="00C63597">
        <w:rPr>
          <w:rFonts w:asciiTheme="majorHAnsi" w:hAnsiTheme="majorHAnsi" w:cstheme="majorHAnsi"/>
          <w:b/>
          <w:snapToGrid w:val="0"/>
          <w:sz w:val="32"/>
          <w:szCs w:val="32"/>
        </w:rPr>
        <w:t>5. Výsledky výskumnej, umeleckej a ďalšej tvorivej činnosti STU v roku 2022</w:t>
      </w:r>
    </w:p>
    <w:p w14:paraId="1B10C71D" w14:textId="77777777" w:rsidR="00C63597" w:rsidRDefault="00C63597">
      <w:pPr>
        <w:rPr>
          <w:rFonts w:asciiTheme="majorHAnsi" w:hAnsiTheme="majorHAnsi" w:cstheme="majorHAnsi"/>
          <w:b/>
          <w:snapToGrid w:val="0"/>
        </w:rPr>
      </w:pPr>
    </w:p>
    <w:p w14:paraId="2469AD0D" w14:textId="1406F77D" w:rsidR="00C63597" w:rsidRPr="000A64F1" w:rsidRDefault="00C63597" w:rsidP="00C63597">
      <w:pPr>
        <w:jc w:val="both"/>
        <w:rPr>
          <w:rFonts w:cstheme="minorHAnsi"/>
        </w:rPr>
      </w:pPr>
      <w:r w:rsidRPr="000A64F1">
        <w:rPr>
          <w:rFonts w:cstheme="minorHAnsi"/>
        </w:rPr>
        <w:t>Slovenská technická uni</w:t>
      </w:r>
      <w:r>
        <w:rPr>
          <w:rFonts w:cstheme="minorHAnsi"/>
        </w:rPr>
        <w:t>verzita v Bratislave je moderná, výskumno-vzdelávacia inštitúcia a najlepšia technická univerzita</w:t>
      </w:r>
      <w:r w:rsidRPr="000A64F1">
        <w:rPr>
          <w:rFonts w:cstheme="minorHAnsi"/>
        </w:rPr>
        <w:t xml:space="preserve"> na Slovensku. Výskum na univerzite je úzko prepojený s praxou, ponúka široké spektrum oblastí výskumu a STU vytvára podmienky pre zapájanie sa do výskumu pre všetky tri stupne štúdií. </w:t>
      </w:r>
    </w:p>
    <w:p w14:paraId="504E700E" w14:textId="41CEFE8A" w:rsidR="00C63597" w:rsidRDefault="00C63597" w:rsidP="00C63597">
      <w:pPr>
        <w:jc w:val="both"/>
        <w:rPr>
          <w:rFonts w:cstheme="minorHAnsi"/>
        </w:rPr>
      </w:pPr>
      <w:r w:rsidRPr="000A64F1">
        <w:rPr>
          <w:rFonts w:cstheme="minorHAnsi"/>
        </w:rPr>
        <w:t>Univerzita má vo vede bohaté skúsenosti doma aj na medzinárodnej úrovni a výskumné tímy sa zapájajú do spolupráce so zahraničnými univerzitami, fakultami a výskumnými pracoviskami. Ročne riešia stovky výskumných projektov financovaných z rôznych grantových agentúr a projektov zmluvného výskumu pre priemyselnú prax. V najprestížnejších</w:t>
      </w:r>
      <w:r>
        <w:rPr>
          <w:rFonts w:cstheme="minorHAnsi"/>
        </w:rPr>
        <w:t xml:space="preserve"> európskych výskumných programoch</w:t>
      </w:r>
      <w:r w:rsidRPr="000A64F1">
        <w:rPr>
          <w:rFonts w:cstheme="minorHAnsi"/>
        </w:rPr>
        <w:t xml:space="preserve"> Horizont 2020 a Horizont Európa patrí STU medzi najlepšie na Slovensku podľa počtu získaných projektov ako aj v objeme získaných finančných prostriedkov. </w:t>
      </w:r>
    </w:p>
    <w:p w14:paraId="3D07C295" w14:textId="3B872504" w:rsidR="00C63597" w:rsidRDefault="00C63597" w:rsidP="00C63597">
      <w:pPr>
        <w:jc w:val="both"/>
        <w:rPr>
          <w:rFonts w:cstheme="minorHAnsi"/>
        </w:rPr>
      </w:pPr>
    </w:p>
    <w:p w14:paraId="0FF42258" w14:textId="77777777" w:rsidR="00C63597" w:rsidRPr="000A64F1" w:rsidRDefault="00C63597" w:rsidP="00C63597">
      <w:pPr>
        <w:jc w:val="both"/>
      </w:pPr>
      <w:r w:rsidRPr="000A64F1">
        <w:t xml:space="preserve">Slovenská technická univerzita dlhoročne patrí medzi popredné výskumné univerzity na Slovensku, čo potvrdzuje jej postavenie vo svetových rebríčkoch univerzít. Zo Slovenska sa v najprestížnejších rebríčkoch (QS World University Rankings®, Times Higher Education World University Rankings) umiestňuje stále viac univerzít, avšak zatiaľ sa ich počty pohybujú medzi 6 až 8. </w:t>
      </w:r>
    </w:p>
    <w:p w14:paraId="6FFF8D8E" w14:textId="24AA947E" w:rsidR="00C63597" w:rsidRPr="000A64F1" w:rsidRDefault="00C63597" w:rsidP="00C63597">
      <w:pPr>
        <w:jc w:val="both"/>
      </w:pPr>
      <w:r w:rsidRPr="000A64F1">
        <w:t xml:space="preserve">Univerzita sa umiestnila v troch významných svetových rebríčkoch: v QS World University Rankings®, THE (Times Higher Education) World University Rankings a U.S. News Best Global Universities. Najlepšie sa STU umiestnila v rebríčku QS World University Rankings® na pozícii 801 – 1000 z 1422 hodnotených univerzít, pričom sa v rebríčku okrem STU umiestnilo ďalších 5 slovenských univerzít. </w:t>
      </w:r>
    </w:p>
    <w:p w14:paraId="56EB24F7" w14:textId="3FFA3CFE" w:rsidR="00C63597" w:rsidRPr="000A64F1" w:rsidRDefault="00C63597" w:rsidP="00C63597">
      <w:pPr>
        <w:jc w:val="both"/>
      </w:pPr>
      <w:r w:rsidRPr="000A64F1">
        <w:lastRenderedPageBreak/>
        <w:t xml:space="preserve">V THE World University Rankings sa STU umiestnila na pozícii 1501 –  1800 z 2345 hodnotených univerzít, pričom sa v rebríčku okrem STU umiestnilo ďalších 8 univerzít. </w:t>
      </w:r>
    </w:p>
    <w:p w14:paraId="15F5F64B" w14:textId="77777777" w:rsidR="00C63597" w:rsidRPr="000A64F1" w:rsidRDefault="00C63597" w:rsidP="00C63597">
      <w:pPr>
        <w:spacing w:after="240"/>
        <w:jc w:val="both"/>
      </w:pPr>
      <w:r w:rsidRPr="000A64F1">
        <w:t>U.S. News Best Global Universities už 30 rokov porovnávajú americké univerzity so svetom. V tomto rebríčku sa umiestnilo päť univerzít zo Slovenska vrátane STU. Okrem THE hodnotia ostatné rebríčky STU ako najlepšiu univerzitu s technickým zameraním na Slovensku.</w:t>
      </w:r>
    </w:p>
    <w:p w14:paraId="17F65791" w14:textId="4DC7899E" w:rsidR="00C63597" w:rsidRDefault="00C63597" w:rsidP="00C63597">
      <w:pPr>
        <w:jc w:val="both"/>
      </w:pPr>
      <w:r w:rsidRPr="000A64F1">
        <w:t>STU sa umiestnila na druhom mieste z 32 hodnotených univerzít na Slovensku v rebríčku UniRank. UniRank je neakademický typ rankingu – nehodnotí výkony vo vede, či kvalitu vzdelávania, ale hodnotí kvalitu, dôveryhodnosť a popularitu webov a profilov univerzít na sociálnych sieťach. UniRank pracuje s dátami z rôznych webových metrík, je určený primárne pre medzinárodné publikum, ktoré si vďaka tomu môže lepšie overiť popularitu a relevanciu webových sídiel univerzít.</w:t>
      </w:r>
    </w:p>
    <w:p w14:paraId="7AF7553A" w14:textId="6B709E9A" w:rsidR="00C63597" w:rsidRDefault="00C63597" w:rsidP="00C63597">
      <w:pPr>
        <w:jc w:val="both"/>
      </w:pPr>
    </w:p>
    <w:p w14:paraId="0E061962" w14:textId="77777777" w:rsidR="00C63597" w:rsidRPr="000A64F1" w:rsidRDefault="00C63597" w:rsidP="00C63597">
      <w:pPr>
        <w:jc w:val="both"/>
      </w:pPr>
    </w:p>
    <w:p w14:paraId="1B087648" w14:textId="6D380C7B" w:rsidR="00C63597" w:rsidRPr="000A64F1" w:rsidRDefault="00C63597" w:rsidP="00C63597">
      <w:pPr>
        <w:spacing w:after="160" w:line="259" w:lineRule="auto"/>
        <w:rPr>
          <w:rFonts w:eastAsia="Times New Roman" w:cstheme="minorHAnsi"/>
          <w:b/>
          <w:bCs/>
          <w:iCs/>
          <w:sz w:val="28"/>
          <w:szCs w:val="28"/>
        </w:rPr>
      </w:pPr>
      <w:bookmarkStart w:id="194" w:name="_Toc64379191"/>
      <w:r>
        <w:rPr>
          <w:b/>
          <w:sz w:val="28"/>
          <w:szCs w:val="28"/>
        </w:rPr>
        <w:t>5.</w:t>
      </w:r>
      <w:r w:rsidRPr="000A64F1">
        <w:rPr>
          <w:b/>
          <w:sz w:val="28"/>
          <w:szCs w:val="28"/>
        </w:rPr>
        <w:t>1. Granty</w:t>
      </w:r>
      <w:bookmarkEnd w:id="194"/>
    </w:p>
    <w:p w14:paraId="2EAE6C0B" w14:textId="77777777" w:rsidR="00C63597" w:rsidRPr="000A64F1" w:rsidRDefault="00C63597" w:rsidP="00C63597">
      <w:pPr>
        <w:jc w:val="both"/>
        <w:rPr>
          <w:rFonts w:cstheme="minorHAnsi"/>
        </w:rPr>
      </w:pPr>
      <w:r w:rsidRPr="000A64F1">
        <w:rPr>
          <w:rFonts w:cstheme="minorHAnsi"/>
        </w:rPr>
        <w:t xml:space="preserve">Základnými východiskami pre uskutočňovanie vedecko-výskumnej činnosti univerzity sú získané finančné prostriedky z rozpočtu odvíjajúce sa od externých faktorov daných hodnotením univerzity, či už v rámci komplexnej akreditácie, alebo podiel univerzity na ukazovateľoch, ktorými vstupuje do rozdelenia dotácie na bežný kalendárny rok. Medzi interné faktory patrí existujúca výskumná kapacita univerzity a jej prístrojová báza, resp. infraštruktúra pracovísk. Z pohľadu týchto ukazovateľov patrí STU medzi najlepšie univerzity na Slovensku. </w:t>
      </w:r>
    </w:p>
    <w:p w14:paraId="7473AB33" w14:textId="77777777" w:rsidR="00C63597" w:rsidRPr="000A64F1" w:rsidRDefault="00C63597" w:rsidP="00C63597">
      <w:pPr>
        <w:jc w:val="both"/>
        <w:rPr>
          <w:rFonts w:cstheme="minorHAnsi"/>
        </w:rPr>
      </w:pPr>
    </w:p>
    <w:p w14:paraId="147BAF21" w14:textId="62961FC7" w:rsidR="00C63597" w:rsidRPr="000A64F1" w:rsidRDefault="00C63597" w:rsidP="00C63597">
      <w:pPr>
        <w:rPr>
          <w:b/>
          <w:sz w:val="28"/>
          <w:szCs w:val="28"/>
        </w:rPr>
      </w:pPr>
      <w:bookmarkStart w:id="195" w:name="_Toc64379192"/>
      <w:r>
        <w:rPr>
          <w:b/>
          <w:sz w:val="28"/>
          <w:szCs w:val="28"/>
        </w:rPr>
        <w:t>5</w:t>
      </w:r>
      <w:r w:rsidRPr="000A64F1">
        <w:rPr>
          <w:b/>
          <w:sz w:val="28"/>
          <w:szCs w:val="28"/>
        </w:rPr>
        <w:t>.1.1. Domáce grantové schémy</w:t>
      </w:r>
      <w:bookmarkEnd w:id="195"/>
      <w:r w:rsidRPr="000A64F1">
        <w:rPr>
          <w:b/>
          <w:sz w:val="28"/>
          <w:szCs w:val="28"/>
        </w:rPr>
        <w:t xml:space="preserve"> </w:t>
      </w:r>
    </w:p>
    <w:p w14:paraId="2093BA88" w14:textId="77777777" w:rsidR="00C63597" w:rsidRDefault="00C63597" w:rsidP="00C63597">
      <w:pPr>
        <w:jc w:val="both"/>
        <w:rPr>
          <w:rFonts w:cstheme="minorHAnsi"/>
          <w:sz w:val="28"/>
          <w:szCs w:val="28"/>
        </w:rPr>
      </w:pPr>
    </w:p>
    <w:p w14:paraId="046389C5" w14:textId="6414F30C" w:rsidR="00C63597" w:rsidRPr="000A64F1" w:rsidRDefault="00C63597" w:rsidP="00C63597">
      <w:pPr>
        <w:jc w:val="both"/>
        <w:rPr>
          <w:rFonts w:cstheme="minorHAnsi"/>
        </w:rPr>
      </w:pPr>
      <w:r w:rsidRPr="000A64F1">
        <w:rPr>
          <w:rFonts w:cstheme="minorHAnsi"/>
        </w:rPr>
        <w:t xml:space="preserve">V úspešnosti získavania grantov dominuje na Slovensku 4 až 5 univerzít. V </w:t>
      </w:r>
      <w:r w:rsidRPr="008D03BB">
        <w:rPr>
          <w:rFonts w:cstheme="minorHAnsi"/>
          <w:b/>
        </w:rPr>
        <w:t>domácich výskumných grantoch</w:t>
      </w:r>
      <w:r w:rsidRPr="000A64F1">
        <w:rPr>
          <w:rFonts w:cstheme="minorHAnsi"/>
        </w:rPr>
        <w:t xml:space="preserve"> spolu 7 vysokých škôl získalo 81 % podiel na získaných finančných prostriedkoch a </w:t>
      </w:r>
      <w:r w:rsidRPr="008D03BB">
        <w:rPr>
          <w:rFonts w:cstheme="minorHAnsi"/>
          <w:b/>
        </w:rPr>
        <w:t>STU získala 18 % z celkového objemu prostriedkov</w:t>
      </w:r>
      <w:r w:rsidRPr="000A64F1">
        <w:rPr>
          <w:rFonts w:cstheme="minorHAnsi"/>
        </w:rPr>
        <w:t xml:space="preserve">. Graf č. </w:t>
      </w:r>
      <w:r w:rsidR="00172BB3">
        <w:rPr>
          <w:rFonts w:cstheme="minorHAnsi"/>
        </w:rPr>
        <w:t>2</w:t>
      </w:r>
      <w:r w:rsidRPr="000A64F1">
        <w:rPr>
          <w:rFonts w:cstheme="minorHAnsi"/>
        </w:rPr>
        <w:t>1 dokumentuje podiel STU a vybraných verejných vysokých škôl na Slovensku pri získavaní domácich výskumných grantov podľa informácií MŠVVaŠ SR, ktoré boli použité ako podklad pri určení dotácie na rok 2023 (v súlade s metodikou delenia dotácie teda ide o údaje za roky 2020 a 2021).</w:t>
      </w:r>
    </w:p>
    <w:p w14:paraId="79A8FE7D" w14:textId="77777777" w:rsidR="00C63597" w:rsidRPr="000A64F1" w:rsidRDefault="00C63597" w:rsidP="00C63597">
      <w:pPr>
        <w:jc w:val="both"/>
        <w:rPr>
          <w:rFonts w:cstheme="minorHAnsi"/>
        </w:rPr>
      </w:pPr>
    </w:p>
    <w:p w14:paraId="6337FCE4" w14:textId="60C2BFA1" w:rsidR="00C63597" w:rsidRPr="000A64F1" w:rsidRDefault="00C63597" w:rsidP="00C63597">
      <w:pPr>
        <w:jc w:val="both"/>
        <w:rPr>
          <w:rFonts w:cstheme="minorHAnsi"/>
        </w:rPr>
      </w:pPr>
      <w:r w:rsidRPr="000A64F1">
        <w:rPr>
          <w:rFonts w:cstheme="minorHAnsi"/>
          <w:bCs/>
        </w:rPr>
        <w:t xml:space="preserve">Graf č. </w:t>
      </w:r>
      <w:r w:rsidR="00172BB3">
        <w:rPr>
          <w:rFonts w:cstheme="minorHAnsi"/>
          <w:bCs/>
        </w:rPr>
        <w:t>2</w:t>
      </w:r>
      <w:r w:rsidRPr="000A64F1">
        <w:rPr>
          <w:rFonts w:cstheme="minorHAnsi"/>
          <w:bCs/>
        </w:rPr>
        <w:t>1: Podiel verejných vysokých škôl na domácich grantoch</w:t>
      </w:r>
    </w:p>
    <w:p w14:paraId="75ED9DDA" w14:textId="77777777" w:rsidR="00C63597" w:rsidRPr="000A64F1" w:rsidRDefault="00C63597" w:rsidP="00C63597">
      <w:pPr>
        <w:jc w:val="center"/>
        <w:rPr>
          <w:rFonts w:cstheme="minorHAnsi"/>
          <w:highlight w:val="red"/>
        </w:rPr>
      </w:pPr>
      <w:r w:rsidRPr="000A64F1">
        <w:rPr>
          <w:noProof/>
          <w:lang w:eastAsia="sk-SK"/>
        </w:rPr>
        <w:drawing>
          <wp:inline distT="0" distB="0" distL="0" distR="0" wp14:anchorId="49FC981A" wp14:editId="7A63E945">
            <wp:extent cx="4603750" cy="2393950"/>
            <wp:effectExtent l="0" t="0" r="0" b="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7CDAB08" w14:textId="77777777" w:rsidR="00C63597" w:rsidRPr="000A64F1" w:rsidRDefault="00C63597" w:rsidP="00C63597">
      <w:pPr>
        <w:jc w:val="center"/>
        <w:rPr>
          <w:sz w:val="18"/>
          <w:szCs w:val="18"/>
        </w:rPr>
      </w:pPr>
      <w:r w:rsidRPr="000A64F1">
        <w:rPr>
          <w:sz w:val="18"/>
          <w:szCs w:val="18"/>
        </w:rPr>
        <w:t>Zdroj: MŠVVaŠ SR</w:t>
      </w:r>
    </w:p>
    <w:p w14:paraId="68272F0A" w14:textId="77777777" w:rsidR="00C63597" w:rsidRPr="000A64F1" w:rsidRDefault="00C63597" w:rsidP="00C63597">
      <w:pPr>
        <w:jc w:val="both"/>
        <w:rPr>
          <w:rFonts w:cstheme="minorHAnsi"/>
        </w:rPr>
      </w:pPr>
    </w:p>
    <w:p w14:paraId="5A7D1C07" w14:textId="43E4845E" w:rsidR="00C63597" w:rsidRPr="000A64F1" w:rsidRDefault="00C63597" w:rsidP="00C63597">
      <w:pPr>
        <w:jc w:val="both"/>
        <w:rPr>
          <w:rFonts w:cstheme="minorHAnsi"/>
        </w:rPr>
      </w:pPr>
      <w:r w:rsidRPr="000A64F1">
        <w:rPr>
          <w:rFonts w:cstheme="minorHAnsi"/>
        </w:rPr>
        <w:t>Porovnanie najúspešnejších vysokých škôl v získavaní finančných prostriedkov z výskumných domácich grantových agentúr dokumentuje graf č. 2</w:t>
      </w:r>
      <w:r w:rsidR="00172BB3">
        <w:rPr>
          <w:rFonts w:cstheme="minorHAnsi"/>
        </w:rPr>
        <w:t>2</w:t>
      </w:r>
      <w:r w:rsidRPr="000A64F1">
        <w:rPr>
          <w:rFonts w:cstheme="minorHAnsi"/>
        </w:rPr>
        <w:t>. Krivka s označením ostatné zahŕňa sumár údajov 13 zvyšných vysokých škôl. Uvedené sú údaje podľa MŠVVaŠ SR použité pri delení dotácie na príslušný rok. STU v období posledných troch rokov zaznamenáva stagnáciu rastu objemu prostriedkov v domácich výskumných grantoch.</w:t>
      </w:r>
      <w:r w:rsidRPr="000A64F1">
        <w:rPr>
          <w:rFonts w:cstheme="minorHAnsi"/>
          <w:b/>
        </w:rPr>
        <w:t xml:space="preserve"> </w:t>
      </w:r>
      <w:r w:rsidRPr="000A64F1">
        <w:rPr>
          <w:rFonts w:cstheme="minorHAnsi"/>
        </w:rPr>
        <w:t>Vzhľadom na to, že ani ostatné vysoké školy nezaznamenali výrazný nárast, ide pravdepodobne o situáciu</w:t>
      </w:r>
      <w:r w:rsidRPr="000A64F1">
        <w:rPr>
          <w:rFonts w:cstheme="minorHAnsi"/>
          <w:b/>
        </w:rPr>
        <w:t xml:space="preserve"> </w:t>
      </w:r>
      <w:r w:rsidRPr="000A64F1">
        <w:rPr>
          <w:rFonts w:cstheme="minorHAnsi"/>
        </w:rPr>
        <w:t>spôsobenú globálnou pandémiou. Graf č. 2</w:t>
      </w:r>
      <w:r w:rsidR="00172BB3">
        <w:rPr>
          <w:rFonts w:cstheme="minorHAnsi"/>
        </w:rPr>
        <w:t>2</w:t>
      </w:r>
      <w:r w:rsidRPr="000A64F1">
        <w:rPr>
          <w:rFonts w:cstheme="minorHAnsi"/>
        </w:rPr>
        <w:t>a porovnáva výkon 20 vysokých škôl v získavaní finančných prostriedkov na jedného akademického pracovníka, počet pracovníkov je údaj z roka 2021 uvádzaný v rozpise dotácie na rok 2023.</w:t>
      </w:r>
    </w:p>
    <w:p w14:paraId="0CA91741" w14:textId="77777777" w:rsidR="00C63597" w:rsidRPr="000A64F1" w:rsidRDefault="00C63597" w:rsidP="00C63597">
      <w:pPr>
        <w:jc w:val="both"/>
        <w:rPr>
          <w:rFonts w:cstheme="minorHAnsi"/>
        </w:rPr>
      </w:pPr>
    </w:p>
    <w:p w14:paraId="4DEDE2DE" w14:textId="237CCED3" w:rsidR="00C63597" w:rsidRDefault="00C63597" w:rsidP="00C63597">
      <w:pPr>
        <w:jc w:val="both"/>
        <w:rPr>
          <w:rFonts w:cstheme="minorHAnsi"/>
        </w:rPr>
      </w:pPr>
      <w:r w:rsidRPr="000A64F1">
        <w:rPr>
          <w:rFonts w:cstheme="minorHAnsi"/>
        </w:rPr>
        <w:t>Graf č. 2</w:t>
      </w:r>
      <w:r w:rsidR="00172BB3">
        <w:rPr>
          <w:rFonts w:cstheme="minorHAnsi"/>
        </w:rPr>
        <w:t>2</w:t>
      </w:r>
      <w:r w:rsidRPr="000A64F1">
        <w:rPr>
          <w:rFonts w:cstheme="minorHAnsi"/>
        </w:rPr>
        <w:t>: Objem prostriedkov získaných z domácich výskumných grantov</w:t>
      </w:r>
    </w:p>
    <w:p w14:paraId="06172A3B" w14:textId="77777777" w:rsidR="008D03BB" w:rsidRPr="000A64F1" w:rsidRDefault="008D03BB" w:rsidP="00C63597">
      <w:pPr>
        <w:jc w:val="both"/>
        <w:rPr>
          <w:rFonts w:cstheme="minorHAnsi"/>
        </w:rPr>
      </w:pPr>
    </w:p>
    <w:p w14:paraId="3A2538B7" w14:textId="77777777" w:rsidR="00C63597" w:rsidRPr="000A64F1" w:rsidRDefault="00C63597" w:rsidP="00C63597">
      <w:pPr>
        <w:jc w:val="center"/>
        <w:rPr>
          <w:rFonts w:cs="Calibri"/>
          <w:highlight w:val="red"/>
        </w:rPr>
      </w:pPr>
      <w:r w:rsidRPr="000A64F1">
        <w:rPr>
          <w:noProof/>
          <w:lang w:eastAsia="sk-SK"/>
        </w:rPr>
        <w:drawing>
          <wp:inline distT="0" distB="0" distL="0" distR="0" wp14:anchorId="65F8F560" wp14:editId="18005A93">
            <wp:extent cx="5778500" cy="2914650"/>
            <wp:effectExtent l="0" t="0" r="0"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0FD84B2" w14:textId="77777777" w:rsidR="00C63597" w:rsidRPr="000A64F1" w:rsidRDefault="00C63597" w:rsidP="00C63597">
      <w:pPr>
        <w:jc w:val="center"/>
        <w:rPr>
          <w:rFonts w:cs="Calibri"/>
          <w:sz w:val="18"/>
          <w:szCs w:val="18"/>
        </w:rPr>
      </w:pPr>
      <w:r w:rsidRPr="000A64F1">
        <w:rPr>
          <w:rFonts w:cs="Calibri"/>
          <w:sz w:val="18"/>
          <w:szCs w:val="18"/>
        </w:rPr>
        <w:t>Zdroj: MŠVVaŠ SR</w:t>
      </w:r>
    </w:p>
    <w:p w14:paraId="58D86DB0" w14:textId="77777777" w:rsidR="00C63597" w:rsidRPr="000A64F1" w:rsidRDefault="00C63597" w:rsidP="00C63597">
      <w:pPr>
        <w:jc w:val="both"/>
        <w:rPr>
          <w:rFonts w:cstheme="minorHAnsi"/>
        </w:rPr>
      </w:pPr>
    </w:p>
    <w:p w14:paraId="01F4EEA7" w14:textId="246288A4" w:rsidR="00C63597" w:rsidRPr="000A64F1" w:rsidRDefault="00C63597" w:rsidP="00C63597">
      <w:pPr>
        <w:jc w:val="both"/>
        <w:rPr>
          <w:rFonts w:cstheme="minorHAnsi"/>
        </w:rPr>
      </w:pPr>
      <w:r w:rsidRPr="000A64F1">
        <w:rPr>
          <w:rFonts w:cstheme="minorHAnsi"/>
        </w:rPr>
        <w:t>Graf č. 2</w:t>
      </w:r>
      <w:r w:rsidR="00172BB3">
        <w:rPr>
          <w:rFonts w:cstheme="minorHAnsi"/>
        </w:rPr>
        <w:t>2</w:t>
      </w:r>
      <w:r w:rsidRPr="000A64F1">
        <w:rPr>
          <w:rFonts w:cstheme="minorHAnsi"/>
        </w:rPr>
        <w:t>a: Domáce výskumné granty na jedného akademického zamestnanca</w:t>
      </w:r>
    </w:p>
    <w:p w14:paraId="2C743DDB" w14:textId="77777777" w:rsidR="00C63597" w:rsidRPr="000A64F1" w:rsidRDefault="00C63597" w:rsidP="00C63597">
      <w:pPr>
        <w:jc w:val="both"/>
        <w:rPr>
          <w:rFonts w:cstheme="minorHAnsi"/>
        </w:rPr>
      </w:pPr>
    </w:p>
    <w:p w14:paraId="0275D574" w14:textId="77777777" w:rsidR="00C63597" w:rsidRPr="000A64F1" w:rsidRDefault="00C63597" w:rsidP="00C63597">
      <w:pPr>
        <w:jc w:val="center"/>
        <w:rPr>
          <w:rFonts w:cstheme="minorHAnsi"/>
          <w:b/>
        </w:rPr>
      </w:pPr>
      <w:r w:rsidRPr="00C63597">
        <w:rPr>
          <w:rFonts w:asciiTheme="majorHAnsi" w:hAnsiTheme="majorHAnsi" w:cstheme="majorHAnsi"/>
          <w:noProof/>
          <w:lang w:eastAsia="sk-SK"/>
        </w:rPr>
        <w:drawing>
          <wp:inline distT="0" distB="0" distL="0" distR="0" wp14:anchorId="27C161FB" wp14:editId="45E7719B">
            <wp:extent cx="5219700" cy="2927350"/>
            <wp:effectExtent l="0" t="0" r="0" b="635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D8A73EA" w14:textId="77777777" w:rsidR="00C63597" w:rsidRPr="000A64F1" w:rsidRDefault="00C63597" w:rsidP="00C63597">
      <w:pPr>
        <w:jc w:val="center"/>
        <w:rPr>
          <w:sz w:val="18"/>
          <w:szCs w:val="18"/>
        </w:rPr>
      </w:pPr>
      <w:r w:rsidRPr="000A64F1">
        <w:rPr>
          <w:sz w:val="18"/>
          <w:szCs w:val="18"/>
        </w:rPr>
        <w:t>Zdroj: MŠVVaŠ SR</w:t>
      </w:r>
    </w:p>
    <w:p w14:paraId="438DE1BA" w14:textId="77777777" w:rsidR="00C63597" w:rsidRPr="000A64F1" w:rsidRDefault="00C63597" w:rsidP="00C63597">
      <w:pPr>
        <w:jc w:val="both"/>
        <w:rPr>
          <w:rFonts w:cstheme="minorHAnsi"/>
        </w:rPr>
      </w:pPr>
    </w:p>
    <w:p w14:paraId="08B6670F" w14:textId="77777777" w:rsidR="00172BB3" w:rsidRDefault="00172BB3" w:rsidP="00C63597">
      <w:pPr>
        <w:jc w:val="both"/>
        <w:rPr>
          <w:rFonts w:cstheme="minorHAnsi"/>
        </w:rPr>
      </w:pPr>
    </w:p>
    <w:p w14:paraId="351987F2" w14:textId="30716181" w:rsidR="00C63597" w:rsidRPr="000A64F1" w:rsidRDefault="00C63597" w:rsidP="00C63597">
      <w:pPr>
        <w:jc w:val="both"/>
        <w:rPr>
          <w:rFonts w:cstheme="minorHAnsi"/>
        </w:rPr>
      </w:pPr>
      <w:r w:rsidRPr="000A64F1">
        <w:rPr>
          <w:rFonts w:cstheme="minorHAnsi"/>
        </w:rPr>
        <w:t xml:space="preserve">Tab. č. </w:t>
      </w:r>
      <w:r w:rsidR="00172BB3">
        <w:rPr>
          <w:rFonts w:cstheme="minorHAnsi"/>
        </w:rPr>
        <w:t>4</w:t>
      </w:r>
      <w:r w:rsidRPr="000A64F1">
        <w:rPr>
          <w:rFonts w:cstheme="minorHAnsi"/>
        </w:rPr>
        <w:t>1 uvádza prepočítané počty tvorivých výskumných a umeleckých pracovníkov (učiteľov a výskumných a umeleckých pracovníkov s vysokoškolským vzdelaním) 1-12/2022. STU už niekoľko rokov zaznamenáva medziročný pokles počtu tvorivých pracovníkov. Tento rok STU vykázala stabilný počet tvorivých zamestnancov. Podiel súčastí STU na celkovej výskumnej kapacite v roku 2020 je ilustrovaný v grafe č. </w:t>
      </w:r>
      <w:r w:rsidR="00172BB3">
        <w:rPr>
          <w:rFonts w:cstheme="minorHAnsi"/>
        </w:rPr>
        <w:t>2</w:t>
      </w:r>
      <w:r w:rsidRPr="000A64F1">
        <w:rPr>
          <w:rFonts w:cstheme="minorHAnsi"/>
        </w:rPr>
        <w:t>3.</w:t>
      </w:r>
    </w:p>
    <w:p w14:paraId="2F810D8E" w14:textId="77777777" w:rsidR="00C63597" w:rsidRPr="000A64F1" w:rsidRDefault="00C63597" w:rsidP="00C63597">
      <w:pPr>
        <w:jc w:val="both"/>
        <w:rPr>
          <w:rFonts w:cstheme="minorHAnsi"/>
        </w:rPr>
      </w:pPr>
    </w:p>
    <w:p w14:paraId="04F1D4BC" w14:textId="0CD40F91" w:rsidR="00C63597" w:rsidRPr="000A64F1" w:rsidRDefault="00C63597" w:rsidP="00C63597">
      <w:pPr>
        <w:jc w:val="both"/>
        <w:rPr>
          <w:rFonts w:cstheme="minorHAnsi"/>
        </w:rPr>
      </w:pPr>
      <w:r w:rsidRPr="000A64F1">
        <w:rPr>
          <w:rFonts w:cstheme="minorHAnsi"/>
        </w:rPr>
        <w:t xml:space="preserve">Tab. č. </w:t>
      </w:r>
      <w:r w:rsidR="00172BB3">
        <w:rPr>
          <w:rFonts w:cstheme="minorHAnsi"/>
        </w:rPr>
        <w:t>4</w:t>
      </w:r>
      <w:r w:rsidRPr="000A64F1">
        <w:rPr>
          <w:rFonts w:cstheme="minorHAnsi"/>
        </w:rPr>
        <w:t>1: Prepočítané počty tvorivých pracovníkov súčastí STU za obdobie 1-12/2022</w:t>
      </w:r>
    </w:p>
    <w:p w14:paraId="4C7AE319" w14:textId="77777777" w:rsidR="00C63597" w:rsidRPr="000A64F1" w:rsidRDefault="00C63597" w:rsidP="00C63597">
      <w:pPr>
        <w:jc w:val="both"/>
        <w:rPr>
          <w:rFonts w:cstheme="minorHAnsi"/>
        </w:rPr>
      </w:pPr>
    </w:p>
    <w:tbl>
      <w:tblPr>
        <w:tblW w:w="8364" w:type="dxa"/>
        <w:tblCellMar>
          <w:left w:w="70" w:type="dxa"/>
          <w:right w:w="70" w:type="dxa"/>
        </w:tblCellMar>
        <w:tblLook w:val="04A0" w:firstRow="1" w:lastRow="0" w:firstColumn="1" w:lastColumn="0" w:noHBand="0" w:noVBand="1"/>
      </w:tblPr>
      <w:tblGrid>
        <w:gridCol w:w="1418"/>
        <w:gridCol w:w="992"/>
        <w:gridCol w:w="765"/>
        <w:gridCol w:w="699"/>
        <w:gridCol w:w="1088"/>
        <w:gridCol w:w="1134"/>
        <w:gridCol w:w="1134"/>
        <w:gridCol w:w="1134"/>
      </w:tblGrid>
      <w:tr w:rsidR="00C63597" w:rsidRPr="000A64F1" w14:paraId="47076531" w14:textId="77777777" w:rsidTr="00C63597">
        <w:trPr>
          <w:trHeight w:val="310"/>
        </w:trPr>
        <w:tc>
          <w:tcPr>
            <w:tcW w:w="1418" w:type="dxa"/>
            <w:tcBorders>
              <w:top w:val="nil"/>
              <w:left w:val="nil"/>
              <w:bottom w:val="nil"/>
              <w:right w:val="nil"/>
            </w:tcBorders>
            <w:shd w:val="clear" w:color="auto" w:fill="auto"/>
            <w:noWrap/>
            <w:vAlign w:val="bottom"/>
            <w:hideMark/>
          </w:tcPr>
          <w:p w14:paraId="216715C5" w14:textId="77777777" w:rsidR="00C63597" w:rsidRPr="000A64F1" w:rsidRDefault="00C63597" w:rsidP="00C63597">
            <w:pPr>
              <w:rPr>
                <w:rFonts w:ascii="Times New Roman" w:eastAsia="Times New Roman" w:hAnsi="Times New Roman" w:cs="Times New Roman"/>
                <w:lang w:eastAsia="sk-SK"/>
              </w:rPr>
            </w:pPr>
          </w:p>
        </w:tc>
        <w:tc>
          <w:tcPr>
            <w:tcW w:w="3544" w:type="dxa"/>
            <w:gridSpan w:val="4"/>
            <w:tcBorders>
              <w:top w:val="single" w:sz="8" w:space="0" w:color="auto"/>
              <w:left w:val="single" w:sz="8" w:space="0" w:color="auto"/>
              <w:bottom w:val="single" w:sz="8" w:space="0" w:color="auto"/>
              <w:right w:val="single" w:sz="8" w:space="0" w:color="000000"/>
            </w:tcBorders>
            <w:shd w:val="clear" w:color="000000" w:fill="EEECE1"/>
            <w:noWrap/>
            <w:vAlign w:val="center"/>
            <w:hideMark/>
          </w:tcPr>
          <w:p w14:paraId="0ABAD853" w14:textId="77777777" w:rsidR="00C63597" w:rsidRPr="000A64F1" w:rsidRDefault="00C63597" w:rsidP="00C63597">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VŠ učitelia</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3D098CA5" w14:textId="77777777" w:rsidR="00C63597" w:rsidRPr="000A64F1" w:rsidRDefault="00C63597" w:rsidP="00C63597">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Výsk. prac. s VŠ vzdel.</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32655B07" w14:textId="77777777" w:rsidR="00C63597" w:rsidRPr="000A64F1" w:rsidRDefault="00C63597" w:rsidP="00C63597">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Výskumná kapacita</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7561E126" w14:textId="77777777" w:rsidR="00C63597" w:rsidRPr="000A64F1" w:rsidRDefault="00C63597" w:rsidP="00C63597">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Rozdiel VK oproti 2021</w:t>
            </w:r>
          </w:p>
        </w:tc>
      </w:tr>
      <w:tr w:rsidR="00C63597" w:rsidRPr="000A64F1" w14:paraId="75384D00" w14:textId="77777777" w:rsidTr="00C63597">
        <w:trPr>
          <w:trHeight w:val="320"/>
        </w:trPr>
        <w:tc>
          <w:tcPr>
            <w:tcW w:w="1418" w:type="dxa"/>
            <w:tcBorders>
              <w:top w:val="nil"/>
              <w:left w:val="nil"/>
              <w:bottom w:val="nil"/>
              <w:right w:val="nil"/>
            </w:tcBorders>
            <w:shd w:val="clear" w:color="auto" w:fill="auto"/>
            <w:noWrap/>
            <w:vAlign w:val="bottom"/>
            <w:hideMark/>
          </w:tcPr>
          <w:p w14:paraId="01C1E258" w14:textId="77777777" w:rsidR="00C63597" w:rsidRPr="000A64F1" w:rsidRDefault="00C63597" w:rsidP="00C63597">
            <w:pPr>
              <w:jc w:val="center"/>
              <w:rPr>
                <w:rFonts w:eastAsia="Times New Roman" w:cs="Calibri"/>
                <w:b/>
                <w:bCs/>
                <w:color w:val="000000"/>
                <w:sz w:val="20"/>
                <w:szCs w:val="20"/>
                <w:lang w:eastAsia="sk-SK"/>
              </w:rPr>
            </w:pPr>
          </w:p>
        </w:tc>
        <w:tc>
          <w:tcPr>
            <w:tcW w:w="992" w:type="dxa"/>
            <w:tcBorders>
              <w:top w:val="nil"/>
              <w:left w:val="single" w:sz="8" w:space="0" w:color="auto"/>
              <w:bottom w:val="nil"/>
              <w:right w:val="single" w:sz="8" w:space="0" w:color="auto"/>
            </w:tcBorders>
            <w:shd w:val="clear" w:color="000000" w:fill="EEECE1"/>
            <w:noWrap/>
            <w:vAlign w:val="center"/>
            <w:hideMark/>
          </w:tcPr>
          <w:p w14:paraId="0614FFC5" w14:textId="77777777" w:rsidR="00C63597" w:rsidRPr="000A64F1" w:rsidRDefault="00C63597" w:rsidP="00C63597">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profesori</w:t>
            </w:r>
          </w:p>
        </w:tc>
        <w:tc>
          <w:tcPr>
            <w:tcW w:w="765" w:type="dxa"/>
            <w:tcBorders>
              <w:top w:val="nil"/>
              <w:left w:val="nil"/>
              <w:bottom w:val="nil"/>
              <w:right w:val="single" w:sz="8" w:space="0" w:color="auto"/>
            </w:tcBorders>
            <w:shd w:val="clear" w:color="000000" w:fill="EEECE1"/>
            <w:noWrap/>
            <w:vAlign w:val="center"/>
            <w:hideMark/>
          </w:tcPr>
          <w:p w14:paraId="6EA4EC14" w14:textId="77777777" w:rsidR="00C63597" w:rsidRPr="000A64F1" w:rsidRDefault="00C63597" w:rsidP="00C63597">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docenti</w:t>
            </w:r>
          </w:p>
        </w:tc>
        <w:tc>
          <w:tcPr>
            <w:tcW w:w="699" w:type="dxa"/>
            <w:tcBorders>
              <w:top w:val="nil"/>
              <w:left w:val="nil"/>
              <w:bottom w:val="nil"/>
              <w:right w:val="single" w:sz="8" w:space="0" w:color="auto"/>
            </w:tcBorders>
            <w:shd w:val="clear" w:color="000000" w:fill="EEECE1"/>
            <w:noWrap/>
            <w:vAlign w:val="center"/>
            <w:hideMark/>
          </w:tcPr>
          <w:p w14:paraId="48019EFC" w14:textId="77777777" w:rsidR="00C63597" w:rsidRPr="000A64F1" w:rsidRDefault="00C63597" w:rsidP="00C63597">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odb. asist.</w:t>
            </w:r>
          </w:p>
        </w:tc>
        <w:tc>
          <w:tcPr>
            <w:tcW w:w="1088" w:type="dxa"/>
            <w:tcBorders>
              <w:top w:val="nil"/>
              <w:left w:val="nil"/>
              <w:bottom w:val="nil"/>
              <w:right w:val="single" w:sz="8" w:space="0" w:color="auto"/>
            </w:tcBorders>
            <w:shd w:val="clear" w:color="000000" w:fill="EEECE1"/>
            <w:noWrap/>
            <w:vAlign w:val="center"/>
            <w:hideMark/>
          </w:tcPr>
          <w:p w14:paraId="013D117A" w14:textId="77777777" w:rsidR="00C63597" w:rsidRPr="000A64F1" w:rsidRDefault="00C63597" w:rsidP="00C63597">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spolu</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1ED42653" w14:textId="77777777" w:rsidR="00C63597" w:rsidRPr="000A64F1" w:rsidRDefault="00C63597" w:rsidP="00C63597">
            <w:pPr>
              <w:rPr>
                <w:rFonts w:eastAsia="Times New Roman" w:cs="Calibri"/>
                <w:b/>
                <w:bCs/>
                <w:color w:val="000000"/>
                <w:sz w:val="20"/>
                <w:szCs w:val="20"/>
                <w:lang w:eastAsia="sk-SK"/>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BCF100D" w14:textId="77777777" w:rsidR="00C63597" w:rsidRPr="000A64F1" w:rsidRDefault="00C63597" w:rsidP="00C63597">
            <w:pPr>
              <w:rPr>
                <w:rFonts w:eastAsia="Times New Roman" w:cs="Calibri"/>
                <w:b/>
                <w:bCs/>
                <w:color w:val="000000"/>
                <w:sz w:val="20"/>
                <w:szCs w:val="20"/>
                <w:lang w:eastAsia="sk-SK"/>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1A79627" w14:textId="77777777" w:rsidR="00C63597" w:rsidRPr="000A64F1" w:rsidRDefault="00C63597" w:rsidP="00C63597">
            <w:pPr>
              <w:rPr>
                <w:rFonts w:eastAsia="Times New Roman" w:cs="Calibri"/>
                <w:b/>
                <w:bCs/>
                <w:color w:val="000000"/>
                <w:sz w:val="20"/>
                <w:szCs w:val="20"/>
                <w:lang w:eastAsia="sk-SK"/>
              </w:rPr>
            </w:pPr>
          </w:p>
        </w:tc>
      </w:tr>
      <w:tr w:rsidR="00C63597" w:rsidRPr="000A64F1" w14:paraId="4AFABE8F" w14:textId="77777777" w:rsidTr="00C63597">
        <w:trPr>
          <w:trHeight w:val="300"/>
        </w:trPr>
        <w:tc>
          <w:tcPr>
            <w:tcW w:w="141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BEEFC5A" w14:textId="77777777" w:rsidR="00C63597" w:rsidRPr="000A64F1" w:rsidRDefault="00C63597" w:rsidP="00C63597">
            <w:pPr>
              <w:rPr>
                <w:rFonts w:eastAsia="Times New Roman" w:cs="Calibri"/>
                <w:b/>
                <w:bCs/>
                <w:color w:val="000000"/>
                <w:sz w:val="20"/>
                <w:szCs w:val="20"/>
                <w:lang w:eastAsia="sk-SK"/>
              </w:rPr>
            </w:pPr>
            <w:r w:rsidRPr="000A64F1">
              <w:rPr>
                <w:rFonts w:eastAsia="Times New Roman" w:cs="Calibri"/>
                <w:b/>
                <w:bCs/>
                <w:color w:val="000000"/>
                <w:sz w:val="20"/>
                <w:szCs w:val="20"/>
                <w:lang w:eastAsia="sk-SK"/>
              </w:rPr>
              <w:t>SvF</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6A53CC34"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32,14</w:t>
            </w:r>
          </w:p>
        </w:tc>
        <w:tc>
          <w:tcPr>
            <w:tcW w:w="765" w:type="dxa"/>
            <w:tcBorders>
              <w:top w:val="single" w:sz="8" w:space="0" w:color="auto"/>
              <w:left w:val="nil"/>
              <w:bottom w:val="single" w:sz="8" w:space="0" w:color="auto"/>
              <w:right w:val="single" w:sz="8" w:space="0" w:color="auto"/>
            </w:tcBorders>
            <w:shd w:val="clear" w:color="auto" w:fill="auto"/>
            <w:noWrap/>
            <w:vAlign w:val="center"/>
            <w:hideMark/>
          </w:tcPr>
          <w:p w14:paraId="2BCDD9FB"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64,33</w:t>
            </w:r>
          </w:p>
        </w:tc>
        <w:tc>
          <w:tcPr>
            <w:tcW w:w="699" w:type="dxa"/>
            <w:tcBorders>
              <w:top w:val="single" w:sz="8" w:space="0" w:color="auto"/>
              <w:left w:val="nil"/>
              <w:bottom w:val="single" w:sz="8" w:space="0" w:color="auto"/>
              <w:right w:val="single" w:sz="8" w:space="0" w:color="auto"/>
            </w:tcBorders>
            <w:shd w:val="clear" w:color="auto" w:fill="auto"/>
            <w:noWrap/>
            <w:vAlign w:val="center"/>
            <w:hideMark/>
          </w:tcPr>
          <w:p w14:paraId="13304C07"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84,92</w:t>
            </w:r>
          </w:p>
        </w:tc>
        <w:tc>
          <w:tcPr>
            <w:tcW w:w="1088" w:type="dxa"/>
            <w:tcBorders>
              <w:top w:val="single" w:sz="8" w:space="0" w:color="auto"/>
              <w:left w:val="nil"/>
              <w:bottom w:val="single" w:sz="8" w:space="0" w:color="auto"/>
              <w:right w:val="single" w:sz="8" w:space="0" w:color="auto"/>
            </w:tcBorders>
            <w:shd w:val="clear" w:color="auto" w:fill="auto"/>
            <w:noWrap/>
            <w:vAlign w:val="center"/>
            <w:hideMark/>
          </w:tcPr>
          <w:p w14:paraId="3EE153DA"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181,39</w:t>
            </w:r>
          </w:p>
        </w:tc>
        <w:tc>
          <w:tcPr>
            <w:tcW w:w="1134" w:type="dxa"/>
            <w:tcBorders>
              <w:top w:val="nil"/>
              <w:left w:val="nil"/>
              <w:bottom w:val="single" w:sz="8" w:space="0" w:color="auto"/>
              <w:right w:val="single" w:sz="8" w:space="0" w:color="auto"/>
            </w:tcBorders>
            <w:shd w:val="clear" w:color="auto" w:fill="auto"/>
            <w:noWrap/>
            <w:vAlign w:val="center"/>
            <w:hideMark/>
          </w:tcPr>
          <w:p w14:paraId="655AAB95"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40,52</w:t>
            </w:r>
          </w:p>
        </w:tc>
        <w:tc>
          <w:tcPr>
            <w:tcW w:w="1134" w:type="dxa"/>
            <w:tcBorders>
              <w:top w:val="nil"/>
              <w:left w:val="nil"/>
              <w:bottom w:val="single" w:sz="8" w:space="0" w:color="auto"/>
              <w:right w:val="single" w:sz="8" w:space="0" w:color="auto"/>
            </w:tcBorders>
            <w:shd w:val="clear" w:color="auto" w:fill="auto"/>
            <w:noWrap/>
            <w:vAlign w:val="center"/>
            <w:hideMark/>
          </w:tcPr>
          <w:p w14:paraId="627567B7"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222</w:t>
            </w:r>
          </w:p>
        </w:tc>
        <w:tc>
          <w:tcPr>
            <w:tcW w:w="1134" w:type="dxa"/>
            <w:tcBorders>
              <w:top w:val="nil"/>
              <w:left w:val="nil"/>
              <w:bottom w:val="single" w:sz="8" w:space="0" w:color="auto"/>
              <w:right w:val="single" w:sz="8" w:space="0" w:color="auto"/>
            </w:tcBorders>
            <w:shd w:val="clear" w:color="auto" w:fill="auto"/>
            <w:noWrap/>
            <w:vAlign w:val="center"/>
            <w:hideMark/>
          </w:tcPr>
          <w:p w14:paraId="4D18C999"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-4</w:t>
            </w:r>
          </w:p>
        </w:tc>
      </w:tr>
      <w:tr w:rsidR="00C63597" w:rsidRPr="000A64F1" w14:paraId="717ABD9B" w14:textId="77777777" w:rsidTr="00C63597">
        <w:trPr>
          <w:trHeight w:val="300"/>
        </w:trPr>
        <w:tc>
          <w:tcPr>
            <w:tcW w:w="1418" w:type="dxa"/>
            <w:tcBorders>
              <w:top w:val="nil"/>
              <w:left w:val="single" w:sz="8" w:space="0" w:color="auto"/>
              <w:bottom w:val="single" w:sz="8" w:space="0" w:color="auto"/>
              <w:right w:val="single" w:sz="8" w:space="0" w:color="auto"/>
            </w:tcBorders>
            <w:shd w:val="clear" w:color="000000" w:fill="FFFFFF"/>
            <w:noWrap/>
            <w:vAlign w:val="center"/>
            <w:hideMark/>
          </w:tcPr>
          <w:p w14:paraId="106D54D6" w14:textId="77777777" w:rsidR="00C63597" w:rsidRPr="000A64F1" w:rsidRDefault="00C63597" w:rsidP="00C63597">
            <w:pPr>
              <w:rPr>
                <w:rFonts w:eastAsia="Times New Roman" w:cs="Calibri"/>
                <w:b/>
                <w:bCs/>
                <w:color w:val="000000"/>
                <w:sz w:val="20"/>
                <w:szCs w:val="20"/>
                <w:lang w:eastAsia="sk-SK"/>
              </w:rPr>
            </w:pPr>
            <w:r w:rsidRPr="000A64F1">
              <w:rPr>
                <w:rFonts w:eastAsia="Times New Roman" w:cs="Calibri"/>
                <w:b/>
                <w:bCs/>
                <w:color w:val="000000"/>
                <w:sz w:val="20"/>
                <w:szCs w:val="20"/>
                <w:lang w:eastAsia="sk-SK"/>
              </w:rPr>
              <w:t>SjF</w:t>
            </w:r>
          </w:p>
        </w:tc>
        <w:tc>
          <w:tcPr>
            <w:tcW w:w="992" w:type="dxa"/>
            <w:tcBorders>
              <w:top w:val="nil"/>
              <w:left w:val="nil"/>
              <w:bottom w:val="single" w:sz="8" w:space="0" w:color="auto"/>
              <w:right w:val="single" w:sz="8" w:space="0" w:color="auto"/>
            </w:tcBorders>
            <w:shd w:val="clear" w:color="auto" w:fill="auto"/>
            <w:noWrap/>
            <w:vAlign w:val="center"/>
            <w:hideMark/>
          </w:tcPr>
          <w:p w14:paraId="4D5C43E6"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20,03</w:t>
            </w:r>
          </w:p>
        </w:tc>
        <w:tc>
          <w:tcPr>
            <w:tcW w:w="765" w:type="dxa"/>
            <w:tcBorders>
              <w:top w:val="nil"/>
              <w:left w:val="nil"/>
              <w:bottom w:val="single" w:sz="8" w:space="0" w:color="auto"/>
              <w:right w:val="single" w:sz="8" w:space="0" w:color="auto"/>
            </w:tcBorders>
            <w:shd w:val="clear" w:color="auto" w:fill="auto"/>
            <w:noWrap/>
            <w:vAlign w:val="center"/>
            <w:hideMark/>
          </w:tcPr>
          <w:p w14:paraId="67A5A432"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29</w:t>
            </w:r>
          </w:p>
        </w:tc>
        <w:tc>
          <w:tcPr>
            <w:tcW w:w="699" w:type="dxa"/>
            <w:tcBorders>
              <w:top w:val="nil"/>
              <w:left w:val="nil"/>
              <w:bottom w:val="single" w:sz="8" w:space="0" w:color="auto"/>
              <w:right w:val="single" w:sz="8" w:space="0" w:color="auto"/>
            </w:tcBorders>
            <w:shd w:val="clear" w:color="auto" w:fill="auto"/>
            <w:noWrap/>
            <w:vAlign w:val="center"/>
            <w:hideMark/>
          </w:tcPr>
          <w:p w14:paraId="5899039B"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39,68</w:t>
            </w:r>
          </w:p>
        </w:tc>
        <w:tc>
          <w:tcPr>
            <w:tcW w:w="1088" w:type="dxa"/>
            <w:tcBorders>
              <w:top w:val="nil"/>
              <w:left w:val="nil"/>
              <w:bottom w:val="single" w:sz="8" w:space="0" w:color="auto"/>
              <w:right w:val="single" w:sz="8" w:space="0" w:color="auto"/>
            </w:tcBorders>
            <w:shd w:val="clear" w:color="auto" w:fill="auto"/>
            <w:noWrap/>
            <w:vAlign w:val="center"/>
            <w:hideMark/>
          </w:tcPr>
          <w:p w14:paraId="012C2B4D"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88,71</w:t>
            </w:r>
          </w:p>
        </w:tc>
        <w:tc>
          <w:tcPr>
            <w:tcW w:w="1134" w:type="dxa"/>
            <w:tcBorders>
              <w:top w:val="nil"/>
              <w:left w:val="nil"/>
              <w:bottom w:val="single" w:sz="8" w:space="0" w:color="auto"/>
              <w:right w:val="single" w:sz="8" w:space="0" w:color="auto"/>
            </w:tcBorders>
            <w:shd w:val="clear" w:color="auto" w:fill="auto"/>
            <w:noWrap/>
            <w:vAlign w:val="center"/>
            <w:hideMark/>
          </w:tcPr>
          <w:p w14:paraId="1685E239"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21,14</w:t>
            </w:r>
          </w:p>
        </w:tc>
        <w:tc>
          <w:tcPr>
            <w:tcW w:w="1134" w:type="dxa"/>
            <w:tcBorders>
              <w:top w:val="nil"/>
              <w:left w:val="nil"/>
              <w:bottom w:val="single" w:sz="8" w:space="0" w:color="auto"/>
              <w:right w:val="single" w:sz="8" w:space="0" w:color="auto"/>
            </w:tcBorders>
            <w:shd w:val="clear" w:color="auto" w:fill="auto"/>
            <w:noWrap/>
            <w:vAlign w:val="center"/>
            <w:hideMark/>
          </w:tcPr>
          <w:p w14:paraId="29444F7E"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110</w:t>
            </w:r>
          </w:p>
        </w:tc>
        <w:tc>
          <w:tcPr>
            <w:tcW w:w="1134" w:type="dxa"/>
            <w:tcBorders>
              <w:top w:val="nil"/>
              <w:left w:val="nil"/>
              <w:bottom w:val="single" w:sz="8" w:space="0" w:color="auto"/>
              <w:right w:val="single" w:sz="8" w:space="0" w:color="auto"/>
            </w:tcBorders>
            <w:shd w:val="clear" w:color="auto" w:fill="auto"/>
            <w:noWrap/>
            <w:vAlign w:val="center"/>
            <w:hideMark/>
          </w:tcPr>
          <w:p w14:paraId="3CAA6F40"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-4</w:t>
            </w:r>
          </w:p>
        </w:tc>
      </w:tr>
      <w:tr w:rsidR="00C63597" w:rsidRPr="000A64F1" w14:paraId="5D43F19A" w14:textId="77777777" w:rsidTr="00C63597">
        <w:trPr>
          <w:trHeight w:val="300"/>
        </w:trPr>
        <w:tc>
          <w:tcPr>
            <w:tcW w:w="1418" w:type="dxa"/>
            <w:tcBorders>
              <w:top w:val="nil"/>
              <w:left w:val="single" w:sz="8" w:space="0" w:color="auto"/>
              <w:bottom w:val="single" w:sz="8" w:space="0" w:color="auto"/>
              <w:right w:val="single" w:sz="8" w:space="0" w:color="auto"/>
            </w:tcBorders>
            <w:shd w:val="clear" w:color="000000" w:fill="FFFFFF"/>
            <w:noWrap/>
            <w:vAlign w:val="center"/>
            <w:hideMark/>
          </w:tcPr>
          <w:p w14:paraId="0CC8D341" w14:textId="77777777" w:rsidR="00C63597" w:rsidRPr="000A64F1" w:rsidRDefault="00C63597" w:rsidP="00C63597">
            <w:pPr>
              <w:rPr>
                <w:rFonts w:eastAsia="Times New Roman" w:cs="Calibri"/>
                <w:b/>
                <w:bCs/>
                <w:color w:val="000000"/>
                <w:sz w:val="20"/>
                <w:szCs w:val="20"/>
                <w:lang w:eastAsia="sk-SK"/>
              </w:rPr>
            </w:pPr>
            <w:r w:rsidRPr="000A64F1">
              <w:rPr>
                <w:rFonts w:eastAsia="Times New Roman" w:cs="Calibri"/>
                <w:b/>
                <w:bCs/>
                <w:color w:val="000000"/>
                <w:sz w:val="20"/>
                <w:szCs w:val="20"/>
                <w:lang w:eastAsia="sk-SK"/>
              </w:rPr>
              <w:t>FEI</w:t>
            </w:r>
          </w:p>
        </w:tc>
        <w:tc>
          <w:tcPr>
            <w:tcW w:w="992" w:type="dxa"/>
            <w:tcBorders>
              <w:top w:val="nil"/>
              <w:left w:val="nil"/>
              <w:bottom w:val="single" w:sz="8" w:space="0" w:color="auto"/>
              <w:right w:val="single" w:sz="8" w:space="0" w:color="auto"/>
            </w:tcBorders>
            <w:shd w:val="clear" w:color="auto" w:fill="auto"/>
            <w:noWrap/>
            <w:vAlign w:val="center"/>
            <w:hideMark/>
          </w:tcPr>
          <w:p w14:paraId="0F5D267B"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31,95</w:t>
            </w:r>
          </w:p>
        </w:tc>
        <w:tc>
          <w:tcPr>
            <w:tcW w:w="765" w:type="dxa"/>
            <w:tcBorders>
              <w:top w:val="nil"/>
              <w:left w:val="nil"/>
              <w:bottom w:val="single" w:sz="8" w:space="0" w:color="auto"/>
              <w:right w:val="single" w:sz="8" w:space="0" w:color="auto"/>
            </w:tcBorders>
            <w:shd w:val="clear" w:color="auto" w:fill="auto"/>
            <w:noWrap/>
            <w:vAlign w:val="center"/>
            <w:hideMark/>
          </w:tcPr>
          <w:p w14:paraId="0399E333"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46,5</w:t>
            </w:r>
          </w:p>
        </w:tc>
        <w:tc>
          <w:tcPr>
            <w:tcW w:w="699" w:type="dxa"/>
            <w:tcBorders>
              <w:top w:val="nil"/>
              <w:left w:val="nil"/>
              <w:bottom w:val="single" w:sz="8" w:space="0" w:color="auto"/>
              <w:right w:val="single" w:sz="8" w:space="0" w:color="auto"/>
            </w:tcBorders>
            <w:shd w:val="clear" w:color="auto" w:fill="auto"/>
            <w:noWrap/>
            <w:vAlign w:val="center"/>
            <w:hideMark/>
          </w:tcPr>
          <w:p w14:paraId="41ADDCF1"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68,87</w:t>
            </w:r>
          </w:p>
        </w:tc>
        <w:tc>
          <w:tcPr>
            <w:tcW w:w="1088" w:type="dxa"/>
            <w:tcBorders>
              <w:top w:val="nil"/>
              <w:left w:val="nil"/>
              <w:bottom w:val="single" w:sz="8" w:space="0" w:color="auto"/>
              <w:right w:val="single" w:sz="8" w:space="0" w:color="auto"/>
            </w:tcBorders>
            <w:shd w:val="clear" w:color="auto" w:fill="auto"/>
            <w:noWrap/>
            <w:vAlign w:val="center"/>
            <w:hideMark/>
          </w:tcPr>
          <w:p w14:paraId="4601D2FB"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147,32</w:t>
            </w:r>
          </w:p>
        </w:tc>
        <w:tc>
          <w:tcPr>
            <w:tcW w:w="1134" w:type="dxa"/>
            <w:tcBorders>
              <w:top w:val="nil"/>
              <w:left w:val="nil"/>
              <w:bottom w:val="single" w:sz="8" w:space="0" w:color="auto"/>
              <w:right w:val="single" w:sz="8" w:space="0" w:color="auto"/>
            </w:tcBorders>
            <w:shd w:val="clear" w:color="auto" w:fill="auto"/>
            <w:noWrap/>
            <w:vAlign w:val="center"/>
            <w:hideMark/>
          </w:tcPr>
          <w:p w14:paraId="4F07C152"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90,11</w:t>
            </w:r>
          </w:p>
        </w:tc>
        <w:tc>
          <w:tcPr>
            <w:tcW w:w="1134" w:type="dxa"/>
            <w:tcBorders>
              <w:top w:val="nil"/>
              <w:left w:val="nil"/>
              <w:bottom w:val="single" w:sz="8" w:space="0" w:color="auto"/>
              <w:right w:val="single" w:sz="8" w:space="0" w:color="auto"/>
            </w:tcBorders>
            <w:shd w:val="clear" w:color="auto" w:fill="auto"/>
            <w:noWrap/>
            <w:vAlign w:val="center"/>
            <w:hideMark/>
          </w:tcPr>
          <w:p w14:paraId="77905455"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237</w:t>
            </w:r>
          </w:p>
        </w:tc>
        <w:tc>
          <w:tcPr>
            <w:tcW w:w="1134" w:type="dxa"/>
            <w:tcBorders>
              <w:top w:val="nil"/>
              <w:left w:val="nil"/>
              <w:bottom w:val="single" w:sz="8" w:space="0" w:color="auto"/>
              <w:right w:val="single" w:sz="8" w:space="0" w:color="auto"/>
            </w:tcBorders>
            <w:shd w:val="clear" w:color="auto" w:fill="auto"/>
            <w:noWrap/>
            <w:vAlign w:val="center"/>
            <w:hideMark/>
          </w:tcPr>
          <w:p w14:paraId="77003025"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11</w:t>
            </w:r>
          </w:p>
        </w:tc>
      </w:tr>
      <w:tr w:rsidR="00C63597" w:rsidRPr="000A64F1" w14:paraId="6CF85593" w14:textId="77777777" w:rsidTr="00C63597">
        <w:trPr>
          <w:trHeight w:val="300"/>
        </w:trPr>
        <w:tc>
          <w:tcPr>
            <w:tcW w:w="1418" w:type="dxa"/>
            <w:tcBorders>
              <w:top w:val="nil"/>
              <w:left w:val="single" w:sz="8" w:space="0" w:color="auto"/>
              <w:bottom w:val="single" w:sz="8" w:space="0" w:color="auto"/>
              <w:right w:val="single" w:sz="8" w:space="0" w:color="auto"/>
            </w:tcBorders>
            <w:shd w:val="clear" w:color="000000" w:fill="FFFFFF"/>
            <w:noWrap/>
            <w:vAlign w:val="center"/>
            <w:hideMark/>
          </w:tcPr>
          <w:p w14:paraId="12988C05" w14:textId="77777777" w:rsidR="00C63597" w:rsidRPr="000A64F1" w:rsidRDefault="00C63597" w:rsidP="00C63597">
            <w:pPr>
              <w:rPr>
                <w:rFonts w:eastAsia="Times New Roman" w:cs="Calibri"/>
                <w:b/>
                <w:bCs/>
                <w:color w:val="000000"/>
                <w:sz w:val="20"/>
                <w:szCs w:val="20"/>
                <w:lang w:eastAsia="sk-SK"/>
              </w:rPr>
            </w:pPr>
            <w:r w:rsidRPr="000A64F1">
              <w:rPr>
                <w:rFonts w:eastAsia="Times New Roman" w:cs="Calibri"/>
                <w:b/>
                <w:bCs/>
                <w:color w:val="000000"/>
                <w:sz w:val="20"/>
                <w:szCs w:val="20"/>
                <w:lang w:eastAsia="sk-SK"/>
              </w:rPr>
              <w:t>FCHPT</w:t>
            </w:r>
          </w:p>
        </w:tc>
        <w:tc>
          <w:tcPr>
            <w:tcW w:w="992" w:type="dxa"/>
            <w:tcBorders>
              <w:top w:val="nil"/>
              <w:left w:val="nil"/>
              <w:bottom w:val="single" w:sz="8" w:space="0" w:color="auto"/>
              <w:right w:val="single" w:sz="8" w:space="0" w:color="auto"/>
            </w:tcBorders>
            <w:shd w:val="clear" w:color="auto" w:fill="auto"/>
            <w:noWrap/>
            <w:vAlign w:val="center"/>
            <w:hideMark/>
          </w:tcPr>
          <w:p w14:paraId="014064F3"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32,11</w:t>
            </w:r>
          </w:p>
        </w:tc>
        <w:tc>
          <w:tcPr>
            <w:tcW w:w="765" w:type="dxa"/>
            <w:tcBorders>
              <w:top w:val="nil"/>
              <w:left w:val="nil"/>
              <w:bottom w:val="single" w:sz="8" w:space="0" w:color="auto"/>
              <w:right w:val="single" w:sz="8" w:space="0" w:color="auto"/>
            </w:tcBorders>
            <w:shd w:val="clear" w:color="auto" w:fill="auto"/>
            <w:noWrap/>
            <w:vAlign w:val="center"/>
            <w:hideMark/>
          </w:tcPr>
          <w:p w14:paraId="1E6D7C8C"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65,75</w:t>
            </w:r>
          </w:p>
        </w:tc>
        <w:tc>
          <w:tcPr>
            <w:tcW w:w="699" w:type="dxa"/>
            <w:tcBorders>
              <w:top w:val="nil"/>
              <w:left w:val="nil"/>
              <w:bottom w:val="single" w:sz="8" w:space="0" w:color="auto"/>
              <w:right w:val="single" w:sz="8" w:space="0" w:color="auto"/>
            </w:tcBorders>
            <w:shd w:val="clear" w:color="auto" w:fill="auto"/>
            <w:noWrap/>
            <w:vAlign w:val="center"/>
            <w:hideMark/>
          </w:tcPr>
          <w:p w14:paraId="694FB829"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77,96</w:t>
            </w:r>
          </w:p>
        </w:tc>
        <w:tc>
          <w:tcPr>
            <w:tcW w:w="1088" w:type="dxa"/>
            <w:tcBorders>
              <w:top w:val="nil"/>
              <w:left w:val="nil"/>
              <w:bottom w:val="single" w:sz="8" w:space="0" w:color="auto"/>
              <w:right w:val="single" w:sz="8" w:space="0" w:color="auto"/>
            </w:tcBorders>
            <w:shd w:val="clear" w:color="auto" w:fill="auto"/>
            <w:noWrap/>
            <w:vAlign w:val="center"/>
            <w:hideMark/>
          </w:tcPr>
          <w:p w14:paraId="3258F62B"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175,82</w:t>
            </w:r>
          </w:p>
        </w:tc>
        <w:tc>
          <w:tcPr>
            <w:tcW w:w="1134" w:type="dxa"/>
            <w:tcBorders>
              <w:top w:val="nil"/>
              <w:left w:val="nil"/>
              <w:bottom w:val="single" w:sz="8" w:space="0" w:color="auto"/>
              <w:right w:val="single" w:sz="8" w:space="0" w:color="auto"/>
            </w:tcBorders>
            <w:shd w:val="clear" w:color="auto" w:fill="auto"/>
            <w:noWrap/>
            <w:vAlign w:val="center"/>
            <w:hideMark/>
          </w:tcPr>
          <w:p w14:paraId="19E895C2"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103,22</w:t>
            </w:r>
          </w:p>
        </w:tc>
        <w:tc>
          <w:tcPr>
            <w:tcW w:w="1134" w:type="dxa"/>
            <w:tcBorders>
              <w:top w:val="nil"/>
              <w:left w:val="nil"/>
              <w:bottom w:val="single" w:sz="8" w:space="0" w:color="auto"/>
              <w:right w:val="single" w:sz="8" w:space="0" w:color="auto"/>
            </w:tcBorders>
            <w:shd w:val="clear" w:color="auto" w:fill="auto"/>
            <w:noWrap/>
            <w:vAlign w:val="center"/>
            <w:hideMark/>
          </w:tcPr>
          <w:p w14:paraId="0AC5E78E"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279</w:t>
            </w:r>
          </w:p>
        </w:tc>
        <w:tc>
          <w:tcPr>
            <w:tcW w:w="1134" w:type="dxa"/>
            <w:tcBorders>
              <w:top w:val="nil"/>
              <w:left w:val="nil"/>
              <w:bottom w:val="single" w:sz="8" w:space="0" w:color="auto"/>
              <w:right w:val="single" w:sz="8" w:space="0" w:color="auto"/>
            </w:tcBorders>
            <w:shd w:val="clear" w:color="auto" w:fill="auto"/>
            <w:noWrap/>
            <w:vAlign w:val="center"/>
            <w:hideMark/>
          </w:tcPr>
          <w:p w14:paraId="6550EF47"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-13</w:t>
            </w:r>
          </w:p>
        </w:tc>
      </w:tr>
      <w:tr w:rsidR="00C63597" w:rsidRPr="000A64F1" w14:paraId="252B20F8" w14:textId="77777777" w:rsidTr="00C63597">
        <w:trPr>
          <w:trHeight w:val="300"/>
        </w:trPr>
        <w:tc>
          <w:tcPr>
            <w:tcW w:w="1418" w:type="dxa"/>
            <w:tcBorders>
              <w:top w:val="nil"/>
              <w:left w:val="single" w:sz="8" w:space="0" w:color="auto"/>
              <w:bottom w:val="single" w:sz="8" w:space="0" w:color="auto"/>
              <w:right w:val="single" w:sz="8" w:space="0" w:color="auto"/>
            </w:tcBorders>
            <w:shd w:val="clear" w:color="000000" w:fill="FFFFFF"/>
            <w:noWrap/>
            <w:vAlign w:val="center"/>
            <w:hideMark/>
          </w:tcPr>
          <w:p w14:paraId="0DF7DFFE" w14:textId="77777777" w:rsidR="00C63597" w:rsidRPr="000A64F1" w:rsidRDefault="00C63597" w:rsidP="00C63597">
            <w:pPr>
              <w:rPr>
                <w:rFonts w:eastAsia="Times New Roman" w:cs="Calibri"/>
                <w:b/>
                <w:bCs/>
                <w:color w:val="000000"/>
                <w:sz w:val="20"/>
                <w:szCs w:val="20"/>
                <w:lang w:eastAsia="sk-SK"/>
              </w:rPr>
            </w:pPr>
            <w:r w:rsidRPr="000A64F1">
              <w:rPr>
                <w:rFonts w:eastAsia="Times New Roman" w:cs="Calibri"/>
                <w:b/>
                <w:bCs/>
                <w:color w:val="000000"/>
                <w:sz w:val="20"/>
                <w:szCs w:val="20"/>
                <w:lang w:eastAsia="sk-SK"/>
              </w:rPr>
              <w:t>FA</w:t>
            </w:r>
          </w:p>
        </w:tc>
        <w:tc>
          <w:tcPr>
            <w:tcW w:w="992" w:type="dxa"/>
            <w:tcBorders>
              <w:top w:val="nil"/>
              <w:left w:val="nil"/>
              <w:bottom w:val="single" w:sz="8" w:space="0" w:color="auto"/>
              <w:right w:val="single" w:sz="8" w:space="0" w:color="auto"/>
            </w:tcBorders>
            <w:shd w:val="clear" w:color="auto" w:fill="auto"/>
            <w:noWrap/>
            <w:vAlign w:val="center"/>
            <w:hideMark/>
          </w:tcPr>
          <w:p w14:paraId="7958C2DA"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14,51</w:t>
            </w:r>
          </w:p>
        </w:tc>
        <w:tc>
          <w:tcPr>
            <w:tcW w:w="765" w:type="dxa"/>
            <w:tcBorders>
              <w:top w:val="nil"/>
              <w:left w:val="nil"/>
              <w:bottom w:val="single" w:sz="8" w:space="0" w:color="auto"/>
              <w:right w:val="single" w:sz="8" w:space="0" w:color="auto"/>
            </w:tcBorders>
            <w:shd w:val="clear" w:color="auto" w:fill="auto"/>
            <w:noWrap/>
            <w:vAlign w:val="center"/>
            <w:hideMark/>
          </w:tcPr>
          <w:p w14:paraId="5D380C25"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32,8</w:t>
            </w:r>
          </w:p>
        </w:tc>
        <w:tc>
          <w:tcPr>
            <w:tcW w:w="699" w:type="dxa"/>
            <w:tcBorders>
              <w:top w:val="nil"/>
              <w:left w:val="nil"/>
              <w:bottom w:val="single" w:sz="8" w:space="0" w:color="auto"/>
              <w:right w:val="single" w:sz="8" w:space="0" w:color="auto"/>
            </w:tcBorders>
            <w:shd w:val="clear" w:color="auto" w:fill="auto"/>
            <w:noWrap/>
            <w:vAlign w:val="center"/>
            <w:hideMark/>
          </w:tcPr>
          <w:p w14:paraId="4A36D775"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41,26</w:t>
            </w:r>
          </w:p>
        </w:tc>
        <w:tc>
          <w:tcPr>
            <w:tcW w:w="1088" w:type="dxa"/>
            <w:tcBorders>
              <w:top w:val="nil"/>
              <w:left w:val="nil"/>
              <w:bottom w:val="single" w:sz="8" w:space="0" w:color="auto"/>
              <w:right w:val="single" w:sz="8" w:space="0" w:color="auto"/>
            </w:tcBorders>
            <w:shd w:val="clear" w:color="auto" w:fill="auto"/>
            <w:noWrap/>
            <w:vAlign w:val="center"/>
            <w:hideMark/>
          </w:tcPr>
          <w:p w14:paraId="34F4928C"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88,57</w:t>
            </w:r>
          </w:p>
        </w:tc>
        <w:tc>
          <w:tcPr>
            <w:tcW w:w="1134" w:type="dxa"/>
            <w:tcBorders>
              <w:top w:val="nil"/>
              <w:left w:val="nil"/>
              <w:bottom w:val="single" w:sz="8" w:space="0" w:color="auto"/>
              <w:right w:val="single" w:sz="8" w:space="0" w:color="auto"/>
            </w:tcBorders>
            <w:shd w:val="clear" w:color="auto" w:fill="auto"/>
            <w:noWrap/>
            <w:vAlign w:val="center"/>
            <w:hideMark/>
          </w:tcPr>
          <w:p w14:paraId="25A6E60B"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18,33</w:t>
            </w:r>
          </w:p>
        </w:tc>
        <w:tc>
          <w:tcPr>
            <w:tcW w:w="1134" w:type="dxa"/>
            <w:tcBorders>
              <w:top w:val="nil"/>
              <w:left w:val="nil"/>
              <w:bottom w:val="single" w:sz="8" w:space="0" w:color="auto"/>
              <w:right w:val="single" w:sz="8" w:space="0" w:color="auto"/>
            </w:tcBorders>
            <w:shd w:val="clear" w:color="auto" w:fill="auto"/>
            <w:noWrap/>
            <w:vAlign w:val="center"/>
            <w:hideMark/>
          </w:tcPr>
          <w:p w14:paraId="0ED3FE07"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107</w:t>
            </w:r>
          </w:p>
        </w:tc>
        <w:tc>
          <w:tcPr>
            <w:tcW w:w="1134" w:type="dxa"/>
            <w:tcBorders>
              <w:top w:val="nil"/>
              <w:left w:val="nil"/>
              <w:bottom w:val="single" w:sz="8" w:space="0" w:color="auto"/>
              <w:right w:val="single" w:sz="8" w:space="0" w:color="auto"/>
            </w:tcBorders>
            <w:shd w:val="clear" w:color="auto" w:fill="auto"/>
            <w:noWrap/>
            <w:vAlign w:val="center"/>
            <w:hideMark/>
          </w:tcPr>
          <w:p w14:paraId="75C517B3"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-6</w:t>
            </w:r>
          </w:p>
        </w:tc>
      </w:tr>
      <w:tr w:rsidR="00C63597" w:rsidRPr="000A64F1" w14:paraId="7BD39735" w14:textId="77777777" w:rsidTr="00C63597">
        <w:trPr>
          <w:trHeight w:val="300"/>
        </w:trPr>
        <w:tc>
          <w:tcPr>
            <w:tcW w:w="1418" w:type="dxa"/>
            <w:tcBorders>
              <w:top w:val="nil"/>
              <w:left w:val="single" w:sz="8" w:space="0" w:color="auto"/>
              <w:bottom w:val="single" w:sz="8" w:space="0" w:color="auto"/>
              <w:right w:val="single" w:sz="8" w:space="0" w:color="auto"/>
            </w:tcBorders>
            <w:shd w:val="clear" w:color="000000" w:fill="FFFFFF"/>
            <w:noWrap/>
            <w:vAlign w:val="center"/>
            <w:hideMark/>
          </w:tcPr>
          <w:p w14:paraId="029C9626" w14:textId="77777777" w:rsidR="00C63597" w:rsidRPr="000A64F1" w:rsidRDefault="00C63597" w:rsidP="00C63597">
            <w:pPr>
              <w:rPr>
                <w:rFonts w:eastAsia="Times New Roman" w:cs="Calibri"/>
                <w:b/>
                <w:bCs/>
                <w:color w:val="000000"/>
                <w:sz w:val="20"/>
                <w:szCs w:val="20"/>
                <w:lang w:eastAsia="sk-SK"/>
              </w:rPr>
            </w:pPr>
            <w:r w:rsidRPr="000A64F1">
              <w:rPr>
                <w:rFonts w:eastAsia="Times New Roman" w:cs="Calibri"/>
                <w:b/>
                <w:bCs/>
                <w:color w:val="000000"/>
                <w:sz w:val="20"/>
                <w:szCs w:val="20"/>
                <w:lang w:eastAsia="sk-SK"/>
              </w:rPr>
              <w:t>MTF</w:t>
            </w:r>
          </w:p>
        </w:tc>
        <w:tc>
          <w:tcPr>
            <w:tcW w:w="992" w:type="dxa"/>
            <w:tcBorders>
              <w:top w:val="nil"/>
              <w:left w:val="nil"/>
              <w:bottom w:val="single" w:sz="8" w:space="0" w:color="auto"/>
              <w:right w:val="single" w:sz="8" w:space="0" w:color="auto"/>
            </w:tcBorders>
            <w:shd w:val="clear" w:color="auto" w:fill="auto"/>
            <w:noWrap/>
            <w:vAlign w:val="center"/>
            <w:hideMark/>
          </w:tcPr>
          <w:p w14:paraId="4C38F14B"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19,25</w:t>
            </w:r>
          </w:p>
        </w:tc>
        <w:tc>
          <w:tcPr>
            <w:tcW w:w="765" w:type="dxa"/>
            <w:tcBorders>
              <w:top w:val="nil"/>
              <w:left w:val="nil"/>
              <w:bottom w:val="single" w:sz="8" w:space="0" w:color="auto"/>
              <w:right w:val="single" w:sz="8" w:space="0" w:color="auto"/>
            </w:tcBorders>
            <w:shd w:val="clear" w:color="auto" w:fill="auto"/>
            <w:noWrap/>
            <w:vAlign w:val="center"/>
            <w:hideMark/>
          </w:tcPr>
          <w:p w14:paraId="3F8D9AA6"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43,85</w:t>
            </w:r>
          </w:p>
        </w:tc>
        <w:tc>
          <w:tcPr>
            <w:tcW w:w="699" w:type="dxa"/>
            <w:tcBorders>
              <w:top w:val="nil"/>
              <w:left w:val="nil"/>
              <w:bottom w:val="single" w:sz="8" w:space="0" w:color="auto"/>
              <w:right w:val="single" w:sz="8" w:space="0" w:color="auto"/>
            </w:tcBorders>
            <w:shd w:val="clear" w:color="auto" w:fill="auto"/>
            <w:noWrap/>
            <w:vAlign w:val="center"/>
            <w:hideMark/>
          </w:tcPr>
          <w:p w14:paraId="367298F7"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65,46</w:t>
            </w:r>
          </w:p>
        </w:tc>
        <w:tc>
          <w:tcPr>
            <w:tcW w:w="1088" w:type="dxa"/>
            <w:tcBorders>
              <w:top w:val="nil"/>
              <w:left w:val="nil"/>
              <w:bottom w:val="single" w:sz="8" w:space="0" w:color="auto"/>
              <w:right w:val="single" w:sz="8" w:space="0" w:color="auto"/>
            </w:tcBorders>
            <w:shd w:val="clear" w:color="auto" w:fill="auto"/>
            <w:noWrap/>
            <w:vAlign w:val="center"/>
            <w:hideMark/>
          </w:tcPr>
          <w:p w14:paraId="6562FA38"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128,56</w:t>
            </w:r>
          </w:p>
        </w:tc>
        <w:tc>
          <w:tcPr>
            <w:tcW w:w="1134" w:type="dxa"/>
            <w:tcBorders>
              <w:top w:val="nil"/>
              <w:left w:val="nil"/>
              <w:bottom w:val="single" w:sz="8" w:space="0" w:color="auto"/>
              <w:right w:val="single" w:sz="8" w:space="0" w:color="auto"/>
            </w:tcBorders>
            <w:shd w:val="clear" w:color="auto" w:fill="auto"/>
            <w:noWrap/>
            <w:vAlign w:val="center"/>
            <w:hideMark/>
          </w:tcPr>
          <w:p w14:paraId="212622EB"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56,08</w:t>
            </w:r>
          </w:p>
        </w:tc>
        <w:tc>
          <w:tcPr>
            <w:tcW w:w="1134" w:type="dxa"/>
            <w:tcBorders>
              <w:top w:val="nil"/>
              <w:left w:val="nil"/>
              <w:bottom w:val="single" w:sz="8" w:space="0" w:color="auto"/>
              <w:right w:val="single" w:sz="8" w:space="0" w:color="auto"/>
            </w:tcBorders>
            <w:shd w:val="clear" w:color="auto" w:fill="auto"/>
            <w:noWrap/>
            <w:vAlign w:val="center"/>
            <w:hideMark/>
          </w:tcPr>
          <w:p w14:paraId="4F164C6A"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185</w:t>
            </w:r>
          </w:p>
        </w:tc>
        <w:tc>
          <w:tcPr>
            <w:tcW w:w="1134" w:type="dxa"/>
            <w:tcBorders>
              <w:top w:val="nil"/>
              <w:left w:val="nil"/>
              <w:bottom w:val="single" w:sz="8" w:space="0" w:color="auto"/>
              <w:right w:val="single" w:sz="8" w:space="0" w:color="auto"/>
            </w:tcBorders>
            <w:shd w:val="clear" w:color="auto" w:fill="auto"/>
            <w:noWrap/>
            <w:vAlign w:val="center"/>
            <w:hideMark/>
          </w:tcPr>
          <w:p w14:paraId="257E5D72"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0</w:t>
            </w:r>
          </w:p>
        </w:tc>
      </w:tr>
      <w:tr w:rsidR="00C63597" w:rsidRPr="000A64F1" w14:paraId="4B7EE79E" w14:textId="77777777" w:rsidTr="00C63597">
        <w:trPr>
          <w:trHeight w:val="300"/>
        </w:trPr>
        <w:tc>
          <w:tcPr>
            <w:tcW w:w="1418" w:type="dxa"/>
            <w:tcBorders>
              <w:top w:val="nil"/>
              <w:left w:val="single" w:sz="8" w:space="0" w:color="auto"/>
              <w:bottom w:val="single" w:sz="8" w:space="0" w:color="auto"/>
              <w:right w:val="single" w:sz="8" w:space="0" w:color="auto"/>
            </w:tcBorders>
            <w:shd w:val="clear" w:color="000000" w:fill="FFFFFF"/>
            <w:noWrap/>
            <w:vAlign w:val="center"/>
            <w:hideMark/>
          </w:tcPr>
          <w:p w14:paraId="7F5CC050" w14:textId="77777777" w:rsidR="00C63597" w:rsidRPr="000A64F1" w:rsidRDefault="00C63597" w:rsidP="00C63597">
            <w:pPr>
              <w:rPr>
                <w:rFonts w:eastAsia="Times New Roman" w:cs="Calibri"/>
                <w:b/>
                <w:bCs/>
                <w:color w:val="000000"/>
                <w:sz w:val="20"/>
                <w:szCs w:val="20"/>
                <w:lang w:eastAsia="sk-SK"/>
              </w:rPr>
            </w:pPr>
            <w:r w:rsidRPr="000A64F1">
              <w:rPr>
                <w:rFonts w:eastAsia="Times New Roman" w:cs="Calibri"/>
                <w:b/>
                <w:bCs/>
                <w:color w:val="000000"/>
                <w:sz w:val="20"/>
                <w:szCs w:val="20"/>
                <w:lang w:eastAsia="sk-SK"/>
              </w:rPr>
              <w:t>FIIT</w:t>
            </w:r>
          </w:p>
        </w:tc>
        <w:tc>
          <w:tcPr>
            <w:tcW w:w="992" w:type="dxa"/>
            <w:tcBorders>
              <w:top w:val="nil"/>
              <w:left w:val="nil"/>
              <w:bottom w:val="single" w:sz="8" w:space="0" w:color="auto"/>
              <w:right w:val="single" w:sz="8" w:space="0" w:color="auto"/>
            </w:tcBorders>
            <w:shd w:val="clear" w:color="auto" w:fill="auto"/>
            <w:noWrap/>
            <w:vAlign w:val="center"/>
            <w:hideMark/>
          </w:tcPr>
          <w:p w14:paraId="244ACB34"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4,1</w:t>
            </w:r>
          </w:p>
        </w:tc>
        <w:tc>
          <w:tcPr>
            <w:tcW w:w="765" w:type="dxa"/>
            <w:tcBorders>
              <w:top w:val="nil"/>
              <w:left w:val="nil"/>
              <w:bottom w:val="single" w:sz="8" w:space="0" w:color="auto"/>
              <w:right w:val="single" w:sz="8" w:space="0" w:color="auto"/>
            </w:tcBorders>
            <w:shd w:val="clear" w:color="auto" w:fill="auto"/>
            <w:noWrap/>
            <w:vAlign w:val="center"/>
            <w:hideMark/>
          </w:tcPr>
          <w:p w14:paraId="64625365"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9,38</w:t>
            </w:r>
          </w:p>
        </w:tc>
        <w:tc>
          <w:tcPr>
            <w:tcW w:w="699" w:type="dxa"/>
            <w:tcBorders>
              <w:top w:val="nil"/>
              <w:left w:val="nil"/>
              <w:bottom w:val="single" w:sz="8" w:space="0" w:color="auto"/>
              <w:right w:val="single" w:sz="8" w:space="0" w:color="auto"/>
            </w:tcBorders>
            <w:shd w:val="clear" w:color="auto" w:fill="auto"/>
            <w:noWrap/>
            <w:vAlign w:val="center"/>
            <w:hideMark/>
          </w:tcPr>
          <w:p w14:paraId="2B262ACD"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20,23</w:t>
            </w:r>
          </w:p>
        </w:tc>
        <w:tc>
          <w:tcPr>
            <w:tcW w:w="1088" w:type="dxa"/>
            <w:tcBorders>
              <w:top w:val="nil"/>
              <w:left w:val="nil"/>
              <w:bottom w:val="single" w:sz="8" w:space="0" w:color="auto"/>
              <w:right w:val="single" w:sz="8" w:space="0" w:color="auto"/>
            </w:tcBorders>
            <w:shd w:val="clear" w:color="auto" w:fill="auto"/>
            <w:noWrap/>
            <w:vAlign w:val="center"/>
            <w:hideMark/>
          </w:tcPr>
          <w:p w14:paraId="7244BD88"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33,71</w:t>
            </w:r>
          </w:p>
        </w:tc>
        <w:tc>
          <w:tcPr>
            <w:tcW w:w="1134" w:type="dxa"/>
            <w:tcBorders>
              <w:top w:val="nil"/>
              <w:left w:val="nil"/>
              <w:bottom w:val="single" w:sz="8" w:space="0" w:color="auto"/>
              <w:right w:val="single" w:sz="8" w:space="0" w:color="auto"/>
            </w:tcBorders>
            <w:shd w:val="clear" w:color="auto" w:fill="auto"/>
            <w:noWrap/>
            <w:vAlign w:val="center"/>
            <w:hideMark/>
          </w:tcPr>
          <w:p w14:paraId="5227FA0C"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18,47</w:t>
            </w:r>
          </w:p>
        </w:tc>
        <w:tc>
          <w:tcPr>
            <w:tcW w:w="1134" w:type="dxa"/>
            <w:tcBorders>
              <w:top w:val="nil"/>
              <w:left w:val="nil"/>
              <w:bottom w:val="single" w:sz="8" w:space="0" w:color="auto"/>
              <w:right w:val="single" w:sz="8" w:space="0" w:color="auto"/>
            </w:tcBorders>
            <w:shd w:val="clear" w:color="auto" w:fill="auto"/>
            <w:noWrap/>
            <w:vAlign w:val="center"/>
            <w:hideMark/>
          </w:tcPr>
          <w:p w14:paraId="62B09113"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52</w:t>
            </w:r>
          </w:p>
        </w:tc>
        <w:tc>
          <w:tcPr>
            <w:tcW w:w="1134" w:type="dxa"/>
            <w:tcBorders>
              <w:top w:val="nil"/>
              <w:left w:val="nil"/>
              <w:bottom w:val="single" w:sz="8" w:space="0" w:color="auto"/>
              <w:right w:val="single" w:sz="8" w:space="0" w:color="auto"/>
            </w:tcBorders>
            <w:shd w:val="clear" w:color="auto" w:fill="auto"/>
            <w:noWrap/>
            <w:vAlign w:val="center"/>
            <w:hideMark/>
          </w:tcPr>
          <w:p w14:paraId="2ABA6344"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15</w:t>
            </w:r>
          </w:p>
        </w:tc>
      </w:tr>
      <w:tr w:rsidR="00C63597" w:rsidRPr="000A64F1" w14:paraId="293900CC" w14:textId="77777777" w:rsidTr="00C63597">
        <w:trPr>
          <w:trHeight w:val="300"/>
        </w:trPr>
        <w:tc>
          <w:tcPr>
            <w:tcW w:w="1418" w:type="dxa"/>
            <w:tcBorders>
              <w:top w:val="nil"/>
              <w:left w:val="single" w:sz="8" w:space="0" w:color="auto"/>
              <w:bottom w:val="single" w:sz="8" w:space="0" w:color="auto"/>
              <w:right w:val="single" w:sz="8" w:space="0" w:color="auto"/>
            </w:tcBorders>
            <w:shd w:val="clear" w:color="000000" w:fill="FFFFFF"/>
            <w:noWrap/>
            <w:vAlign w:val="center"/>
            <w:hideMark/>
          </w:tcPr>
          <w:p w14:paraId="5E886FEA" w14:textId="77777777" w:rsidR="00C63597" w:rsidRPr="000A64F1" w:rsidRDefault="00C63597" w:rsidP="00C63597">
            <w:pPr>
              <w:rPr>
                <w:rFonts w:eastAsia="Times New Roman" w:cs="Calibri"/>
                <w:b/>
                <w:bCs/>
                <w:color w:val="000000"/>
                <w:sz w:val="20"/>
                <w:szCs w:val="20"/>
                <w:lang w:eastAsia="sk-SK"/>
              </w:rPr>
            </w:pPr>
            <w:r w:rsidRPr="000A64F1">
              <w:rPr>
                <w:rFonts w:eastAsia="Times New Roman" w:cs="Calibri"/>
                <w:b/>
                <w:bCs/>
                <w:color w:val="000000"/>
                <w:sz w:val="20"/>
                <w:szCs w:val="20"/>
                <w:lang w:eastAsia="sk-SK"/>
              </w:rPr>
              <w:t>Rektorát</w:t>
            </w:r>
          </w:p>
        </w:tc>
        <w:tc>
          <w:tcPr>
            <w:tcW w:w="992" w:type="dxa"/>
            <w:tcBorders>
              <w:top w:val="nil"/>
              <w:left w:val="nil"/>
              <w:bottom w:val="single" w:sz="8" w:space="0" w:color="auto"/>
              <w:right w:val="single" w:sz="8" w:space="0" w:color="auto"/>
            </w:tcBorders>
            <w:shd w:val="clear" w:color="auto" w:fill="auto"/>
            <w:noWrap/>
            <w:vAlign w:val="center"/>
            <w:hideMark/>
          </w:tcPr>
          <w:p w14:paraId="333A43D8"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 </w:t>
            </w:r>
          </w:p>
        </w:tc>
        <w:tc>
          <w:tcPr>
            <w:tcW w:w="765" w:type="dxa"/>
            <w:tcBorders>
              <w:top w:val="nil"/>
              <w:left w:val="nil"/>
              <w:bottom w:val="single" w:sz="8" w:space="0" w:color="auto"/>
              <w:right w:val="single" w:sz="8" w:space="0" w:color="auto"/>
            </w:tcBorders>
            <w:shd w:val="clear" w:color="auto" w:fill="auto"/>
            <w:noWrap/>
            <w:vAlign w:val="center"/>
            <w:hideMark/>
          </w:tcPr>
          <w:p w14:paraId="5D497528"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 </w:t>
            </w:r>
          </w:p>
        </w:tc>
        <w:tc>
          <w:tcPr>
            <w:tcW w:w="699" w:type="dxa"/>
            <w:tcBorders>
              <w:top w:val="nil"/>
              <w:left w:val="nil"/>
              <w:bottom w:val="single" w:sz="8" w:space="0" w:color="auto"/>
              <w:right w:val="single" w:sz="8" w:space="0" w:color="auto"/>
            </w:tcBorders>
            <w:shd w:val="clear" w:color="auto" w:fill="auto"/>
            <w:noWrap/>
            <w:vAlign w:val="center"/>
            <w:hideMark/>
          </w:tcPr>
          <w:p w14:paraId="66206881"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 </w:t>
            </w:r>
          </w:p>
        </w:tc>
        <w:tc>
          <w:tcPr>
            <w:tcW w:w="1088" w:type="dxa"/>
            <w:tcBorders>
              <w:top w:val="nil"/>
              <w:left w:val="nil"/>
              <w:bottom w:val="single" w:sz="8" w:space="0" w:color="auto"/>
              <w:right w:val="single" w:sz="8" w:space="0" w:color="auto"/>
            </w:tcBorders>
            <w:shd w:val="clear" w:color="auto" w:fill="auto"/>
            <w:noWrap/>
            <w:vAlign w:val="center"/>
            <w:hideMark/>
          </w:tcPr>
          <w:p w14:paraId="04560910"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 </w:t>
            </w:r>
          </w:p>
        </w:tc>
        <w:tc>
          <w:tcPr>
            <w:tcW w:w="1134" w:type="dxa"/>
            <w:tcBorders>
              <w:top w:val="nil"/>
              <w:left w:val="nil"/>
              <w:bottom w:val="single" w:sz="8" w:space="0" w:color="auto"/>
              <w:right w:val="single" w:sz="8" w:space="0" w:color="auto"/>
            </w:tcBorders>
            <w:shd w:val="clear" w:color="auto" w:fill="auto"/>
            <w:noWrap/>
            <w:vAlign w:val="center"/>
            <w:hideMark/>
          </w:tcPr>
          <w:p w14:paraId="73A66960"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0</w:t>
            </w:r>
          </w:p>
        </w:tc>
        <w:tc>
          <w:tcPr>
            <w:tcW w:w="1134" w:type="dxa"/>
            <w:tcBorders>
              <w:top w:val="nil"/>
              <w:left w:val="nil"/>
              <w:bottom w:val="single" w:sz="8" w:space="0" w:color="auto"/>
              <w:right w:val="single" w:sz="8" w:space="0" w:color="auto"/>
            </w:tcBorders>
            <w:shd w:val="clear" w:color="auto" w:fill="auto"/>
            <w:noWrap/>
            <w:vAlign w:val="center"/>
            <w:hideMark/>
          </w:tcPr>
          <w:p w14:paraId="52257B6A"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0</w:t>
            </w:r>
          </w:p>
        </w:tc>
        <w:tc>
          <w:tcPr>
            <w:tcW w:w="1134" w:type="dxa"/>
            <w:tcBorders>
              <w:top w:val="nil"/>
              <w:left w:val="nil"/>
              <w:bottom w:val="single" w:sz="8" w:space="0" w:color="auto"/>
              <w:right w:val="single" w:sz="8" w:space="0" w:color="auto"/>
            </w:tcBorders>
            <w:shd w:val="clear" w:color="auto" w:fill="auto"/>
            <w:noWrap/>
            <w:vAlign w:val="center"/>
            <w:hideMark/>
          </w:tcPr>
          <w:p w14:paraId="02FC6EF3"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-5</w:t>
            </w:r>
          </w:p>
        </w:tc>
      </w:tr>
      <w:tr w:rsidR="00C63597" w:rsidRPr="000A64F1" w14:paraId="695B9CC4" w14:textId="77777777" w:rsidTr="00C63597">
        <w:trPr>
          <w:trHeight w:val="300"/>
        </w:trPr>
        <w:tc>
          <w:tcPr>
            <w:tcW w:w="1418" w:type="dxa"/>
            <w:tcBorders>
              <w:top w:val="nil"/>
              <w:left w:val="single" w:sz="8" w:space="0" w:color="auto"/>
              <w:bottom w:val="single" w:sz="8" w:space="0" w:color="auto"/>
              <w:right w:val="single" w:sz="8" w:space="0" w:color="auto"/>
            </w:tcBorders>
            <w:shd w:val="clear" w:color="000000" w:fill="FFFFFF"/>
            <w:noWrap/>
            <w:vAlign w:val="center"/>
            <w:hideMark/>
          </w:tcPr>
          <w:p w14:paraId="0AE06583" w14:textId="77777777" w:rsidR="00C63597" w:rsidRPr="000A64F1" w:rsidRDefault="00C63597" w:rsidP="00C63597">
            <w:pPr>
              <w:rPr>
                <w:rFonts w:eastAsia="Times New Roman" w:cs="Calibri"/>
                <w:b/>
                <w:bCs/>
                <w:color w:val="000000"/>
                <w:sz w:val="20"/>
                <w:szCs w:val="20"/>
                <w:lang w:eastAsia="sk-SK"/>
              </w:rPr>
            </w:pPr>
            <w:r w:rsidRPr="000A64F1">
              <w:rPr>
                <w:rFonts w:eastAsia="Times New Roman" w:cs="Calibri"/>
                <w:b/>
                <w:bCs/>
                <w:color w:val="000000"/>
                <w:sz w:val="20"/>
                <w:szCs w:val="20"/>
                <w:lang w:eastAsia="sk-SK"/>
              </w:rPr>
              <w:t>ÚM</w:t>
            </w:r>
          </w:p>
        </w:tc>
        <w:tc>
          <w:tcPr>
            <w:tcW w:w="992" w:type="dxa"/>
            <w:tcBorders>
              <w:top w:val="nil"/>
              <w:left w:val="nil"/>
              <w:bottom w:val="single" w:sz="8" w:space="0" w:color="auto"/>
              <w:right w:val="single" w:sz="8" w:space="0" w:color="auto"/>
            </w:tcBorders>
            <w:shd w:val="clear" w:color="auto" w:fill="auto"/>
            <w:noWrap/>
            <w:vAlign w:val="center"/>
            <w:hideMark/>
          </w:tcPr>
          <w:p w14:paraId="5DA2FD13"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5,6</w:t>
            </w:r>
          </w:p>
        </w:tc>
        <w:tc>
          <w:tcPr>
            <w:tcW w:w="765" w:type="dxa"/>
            <w:tcBorders>
              <w:top w:val="nil"/>
              <w:left w:val="nil"/>
              <w:bottom w:val="single" w:sz="8" w:space="0" w:color="auto"/>
              <w:right w:val="single" w:sz="8" w:space="0" w:color="auto"/>
            </w:tcBorders>
            <w:shd w:val="clear" w:color="auto" w:fill="auto"/>
            <w:noWrap/>
            <w:vAlign w:val="center"/>
            <w:hideMark/>
          </w:tcPr>
          <w:p w14:paraId="50D39B5E"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8,17</w:t>
            </w:r>
          </w:p>
        </w:tc>
        <w:tc>
          <w:tcPr>
            <w:tcW w:w="699" w:type="dxa"/>
            <w:tcBorders>
              <w:top w:val="nil"/>
              <w:left w:val="nil"/>
              <w:bottom w:val="single" w:sz="8" w:space="0" w:color="auto"/>
              <w:right w:val="single" w:sz="8" w:space="0" w:color="auto"/>
            </w:tcBorders>
            <w:shd w:val="clear" w:color="auto" w:fill="auto"/>
            <w:noWrap/>
            <w:vAlign w:val="center"/>
            <w:hideMark/>
          </w:tcPr>
          <w:p w14:paraId="60FC3A57"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16,34</w:t>
            </w:r>
          </w:p>
        </w:tc>
        <w:tc>
          <w:tcPr>
            <w:tcW w:w="1088" w:type="dxa"/>
            <w:tcBorders>
              <w:top w:val="nil"/>
              <w:left w:val="nil"/>
              <w:bottom w:val="single" w:sz="8" w:space="0" w:color="auto"/>
              <w:right w:val="single" w:sz="8" w:space="0" w:color="auto"/>
            </w:tcBorders>
            <w:shd w:val="clear" w:color="auto" w:fill="auto"/>
            <w:noWrap/>
            <w:vAlign w:val="center"/>
            <w:hideMark/>
          </w:tcPr>
          <w:p w14:paraId="4757099A"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30,11</w:t>
            </w:r>
          </w:p>
        </w:tc>
        <w:tc>
          <w:tcPr>
            <w:tcW w:w="1134" w:type="dxa"/>
            <w:tcBorders>
              <w:top w:val="nil"/>
              <w:left w:val="nil"/>
              <w:bottom w:val="single" w:sz="8" w:space="0" w:color="auto"/>
              <w:right w:val="single" w:sz="8" w:space="0" w:color="auto"/>
            </w:tcBorders>
            <w:shd w:val="clear" w:color="auto" w:fill="auto"/>
            <w:noWrap/>
            <w:vAlign w:val="center"/>
            <w:hideMark/>
          </w:tcPr>
          <w:p w14:paraId="7118254B"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3,75</w:t>
            </w:r>
          </w:p>
        </w:tc>
        <w:tc>
          <w:tcPr>
            <w:tcW w:w="1134" w:type="dxa"/>
            <w:tcBorders>
              <w:top w:val="nil"/>
              <w:left w:val="nil"/>
              <w:bottom w:val="single" w:sz="8" w:space="0" w:color="auto"/>
              <w:right w:val="single" w:sz="8" w:space="0" w:color="auto"/>
            </w:tcBorders>
            <w:shd w:val="clear" w:color="auto" w:fill="auto"/>
            <w:noWrap/>
            <w:vAlign w:val="center"/>
            <w:hideMark/>
          </w:tcPr>
          <w:p w14:paraId="465BB1F8"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34</w:t>
            </w:r>
          </w:p>
        </w:tc>
        <w:tc>
          <w:tcPr>
            <w:tcW w:w="1134" w:type="dxa"/>
            <w:tcBorders>
              <w:top w:val="nil"/>
              <w:left w:val="nil"/>
              <w:bottom w:val="single" w:sz="8" w:space="0" w:color="auto"/>
              <w:right w:val="single" w:sz="8" w:space="0" w:color="auto"/>
            </w:tcBorders>
            <w:shd w:val="clear" w:color="auto" w:fill="auto"/>
            <w:noWrap/>
            <w:vAlign w:val="center"/>
            <w:hideMark/>
          </w:tcPr>
          <w:p w14:paraId="46C75D85" w14:textId="77777777" w:rsidR="00C63597" w:rsidRPr="000A64F1" w:rsidRDefault="00C63597" w:rsidP="00C63597">
            <w:pPr>
              <w:jc w:val="center"/>
              <w:rPr>
                <w:rFonts w:eastAsia="Times New Roman" w:cs="Calibri"/>
                <w:color w:val="000000"/>
                <w:sz w:val="22"/>
                <w:szCs w:val="22"/>
                <w:lang w:eastAsia="sk-SK"/>
              </w:rPr>
            </w:pPr>
            <w:r w:rsidRPr="000A64F1">
              <w:rPr>
                <w:rFonts w:eastAsia="Times New Roman" w:cs="Calibri"/>
                <w:color w:val="000000"/>
                <w:sz w:val="22"/>
                <w:szCs w:val="22"/>
                <w:lang w:eastAsia="sk-SK"/>
              </w:rPr>
              <w:t>5</w:t>
            </w:r>
          </w:p>
        </w:tc>
      </w:tr>
      <w:tr w:rsidR="00C63597" w:rsidRPr="000A64F1" w14:paraId="33A030C0" w14:textId="77777777" w:rsidTr="00C63597">
        <w:trPr>
          <w:trHeight w:val="270"/>
        </w:trPr>
        <w:tc>
          <w:tcPr>
            <w:tcW w:w="1418" w:type="dxa"/>
            <w:tcBorders>
              <w:top w:val="nil"/>
              <w:left w:val="single" w:sz="8" w:space="0" w:color="auto"/>
              <w:bottom w:val="single" w:sz="8" w:space="0" w:color="auto"/>
              <w:right w:val="single" w:sz="8" w:space="0" w:color="auto"/>
            </w:tcBorders>
            <w:shd w:val="clear" w:color="000000" w:fill="EEECE1"/>
            <w:noWrap/>
            <w:vAlign w:val="center"/>
            <w:hideMark/>
          </w:tcPr>
          <w:p w14:paraId="7A9A0928" w14:textId="77777777" w:rsidR="00C63597" w:rsidRPr="000A64F1" w:rsidRDefault="00C63597" w:rsidP="00C63597">
            <w:pPr>
              <w:rPr>
                <w:rFonts w:eastAsia="Times New Roman" w:cs="Calibri"/>
                <w:b/>
                <w:bCs/>
                <w:color w:val="000000"/>
                <w:sz w:val="20"/>
                <w:szCs w:val="20"/>
                <w:lang w:eastAsia="sk-SK"/>
              </w:rPr>
            </w:pPr>
            <w:r w:rsidRPr="000A64F1">
              <w:rPr>
                <w:rFonts w:eastAsia="Times New Roman" w:cs="Calibri"/>
                <w:b/>
                <w:bCs/>
                <w:color w:val="000000"/>
                <w:sz w:val="20"/>
                <w:szCs w:val="20"/>
                <w:lang w:eastAsia="sk-SK"/>
              </w:rPr>
              <w:t>STU spolu</w:t>
            </w:r>
          </w:p>
        </w:tc>
        <w:tc>
          <w:tcPr>
            <w:tcW w:w="992" w:type="dxa"/>
            <w:tcBorders>
              <w:top w:val="nil"/>
              <w:left w:val="nil"/>
              <w:bottom w:val="single" w:sz="8" w:space="0" w:color="auto"/>
              <w:right w:val="single" w:sz="8" w:space="0" w:color="auto"/>
            </w:tcBorders>
            <w:shd w:val="clear" w:color="000000" w:fill="EEECE1"/>
            <w:noWrap/>
            <w:vAlign w:val="center"/>
            <w:hideMark/>
          </w:tcPr>
          <w:p w14:paraId="025E2A56" w14:textId="77777777" w:rsidR="00C63597" w:rsidRPr="000A64F1" w:rsidRDefault="00C63597" w:rsidP="00C63597">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159,69</w:t>
            </w:r>
          </w:p>
        </w:tc>
        <w:tc>
          <w:tcPr>
            <w:tcW w:w="765" w:type="dxa"/>
            <w:tcBorders>
              <w:top w:val="nil"/>
              <w:left w:val="nil"/>
              <w:bottom w:val="single" w:sz="8" w:space="0" w:color="auto"/>
              <w:right w:val="single" w:sz="8" w:space="0" w:color="auto"/>
            </w:tcBorders>
            <w:shd w:val="clear" w:color="000000" w:fill="EEECE1"/>
            <w:noWrap/>
            <w:vAlign w:val="center"/>
            <w:hideMark/>
          </w:tcPr>
          <w:p w14:paraId="718AE0CF" w14:textId="77777777" w:rsidR="00C63597" w:rsidRPr="000A64F1" w:rsidRDefault="00C63597" w:rsidP="00C63597">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299,78</w:t>
            </w:r>
          </w:p>
        </w:tc>
        <w:tc>
          <w:tcPr>
            <w:tcW w:w="699" w:type="dxa"/>
            <w:tcBorders>
              <w:top w:val="nil"/>
              <w:left w:val="nil"/>
              <w:bottom w:val="single" w:sz="8" w:space="0" w:color="auto"/>
              <w:right w:val="single" w:sz="8" w:space="0" w:color="auto"/>
            </w:tcBorders>
            <w:shd w:val="clear" w:color="000000" w:fill="EEECE1"/>
            <w:noWrap/>
            <w:vAlign w:val="center"/>
            <w:hideMark/>
          </w:tcPr>
          <w:p w14:paraId="77DF4E8C" w14:textId="77777777" w:rsidR="00C63597" w:rsidRPr="000A64F1" w:rsidRDefault="00C63597" w:rsidP="00C63597">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414,72</w:t>
            </w:r>
          </w:p>
        </w:tc>
        <w:tc>
          <w:tcPr>
            <w:tcW w:w="1088" w:type="dxa"/>
            <w:tcBorders>
              <w:top w:val="nil"/>
              <w:left w:val="nil"/>
              <w:bottom w:val="single" w:sz="8" w:space="0" w:color="auto"/>
              <w:right w:val="single" w:sz="8" w:space="0" w:color="auto"/>
            </w:tcBorders>
            <w:shd w:val="clear" w:color="000000" w:fill="EEECE1"/>
            <w:noWrap/>
            <w:vAlign w:val="center"/>
            <w:hideMark/>
          </w:tcPr>
          <w:p w14:paraId="4CD5509D" w14:textId="77777777" w:rsidR="00C63597" w:rsidRPr="000A64F1" w:rsidRDefault="00C63597" w:rsidP="00C63597">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874,19</w:t>
            </w:r>
          </w:p>
        </w:tc>
        <w:tc>
          <w:tcPr>
            <w:tcW w:w="1134" w:type="dxa"/>
            <w:tcBorders>
              <w:top w:val="nil"/>
              <w:left w:val="nil"/>
              <w:bottom w:val="single" w:sz="8" w:space="0" w:color="auto"/>
              <w:right w:val="single" w:sz="8" w:space="0" w:color="auto"/>
            </w:tcBorders>
            <w:shd w:val="clear" w:color="000000" w:fill="EEECE1"/>
            <w:noWrap/>
            <w:vAlign w:val="center"/>
            <w:hideMark/>
          </w:tcPr>
          <w:p w14:paraId="2E826556" w14:textId="77777777" w:rsidR="00C63597" w:rsidRPr="000A64F1" w:rsidRDefault="00C63597" w:rsidP="00C63597">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351,62</w:t>
            </w:r>
          </w:p>
        </w:tc>
        <w:tc>
          <w:tcPr>
            <w:tcW w:w="1134" w:type="dxa"/>
            <w:tcBorders>
              <w:top w:val="nil"/>
              <w:left w:val="nil"/>
              <w:bottom w:val="single" w:sz="8" w:space="0" w:color="auto"/>
              <w:right w:val="single" w:sz="8" w:space="0" w:color="auto"/>
            </w:tcBorders>
            <w:shd w:val="clear" w:color="000000" w:fill="EEECE1"/>
            <w:noWrap/>
            <w:vAlign w:val="center"/>
            <w:hideMark/>
          </w:tcPr>
          <w:p w14:paraId="5B7666F6" w14:textId="77777777" w:rsidR="00C63597" w:rsidRPr="000A64F1" w:rsidRDefault="00C63597" w:rsidP="00C63597">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1226</w:t>
            </w:r>
          </w:p>
        </w:tc>
        <w:tc>
          <w:tcPr>
            <w:tcW w:w="1134" w:type="dxa"/>
            <w:tcBorders>
              <w:top w:val="nil"/>
              <w:left w:val="nil"/>
              <w:bottom w:val="single" w:sz="8" w:space="0" w:color="auto"/>
              <w:right w:val="single" w:sz="8" w:space="0" w:color="auto"/>
            </w:tcBorders>
            <w:shd w:val="clear" w:color="000000" w:fill="EEECE1"/>
            <w:noWrap/>
            <w:vAlign w:val="center"/>
            <w:hideMark/>
          </w:tcPr>
          <w:p w14:paraId="6858D996" w14:textId="77777777" w:rsidR="00C63597" w:rsidRPr="000A64F1" w:rsidRDefault="00C63597" w:rsidP="00C63597">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-1</w:t>
            </w:r>
          </w:p>
        </w:tc>
      </w:tr>
    </w:tbl>
    <w:p w14:paraId="237B06C0" w14:textId="77777777" w:rsidR="00C63597" w:rsidRPr="000A64F1" w:rsidRDefault="00C63597" w:rsidP="00C63597">
      <w:pPr>
        <w:jc w:val="center"/>
        <w:rPr>
          <w:sz w:val="18"/>
          <w:szCs w:val="18"/>
        </w:rPr>
      </w:pPr>
      <w:r w:rsidRPr="000A64F1">
        <w:rPr>
          <w:sz w:val="18"/>
          <w:szCs w:val="18"/>
        </w:rPr>
        <w:t>Zdroj: STU</w:t>
      </w:r>
    </w:p>
    <w:p w14:paraId="41BEB4CA" w14:textId="77777777" w:rsidR="00C63597" w:rsidRPr="000A64F1" w:rsidRDefault="00C63597" w:rsidP="00C63597">
      <w:pPr>
        <w:jc w:val="center"/>
        <w:rPr>
          <w:sz w:val="18"/>
          <w:szCs w:val="18"/>
        </w:rPr>
      </w:pPr>
    </w:p>
    <w:p w14:paraId="546BF650" w14:textId="77777777" w:rsidR="00172BB3" w:rsidRDefault="00172BB3" w:rsidP="00C63597">
      <w:pPr>
        <w:jc w:val="both"/>
        <w:rPr>
          <w:rFonts w:cstheme="minorHAnsi"/>
        </w:rPr>
      </w:pPr>
    </w:p>
    <w:p w14:paraId="4C2A7655" w14:textId="6EE4A3C7" w:rsidR="00C63597" w:rsidRPr="000A64F1" w:rsidRDefault="00C63597" w:rsidP="00C63597">
      <w:pPr>
        <w:jc w:val="both"/>
        <w:rPr>
          <w:rFonts w:cstheme="minorHAnsi"/>
        </w:rPr>
      </w:pPr>
      <w:r w:rsidRPr="000A64F1">
        <w:rPr>
          <w:rFonts w:cstheme="minorHAnsi"/>
        </w:rPr>
        <w:t xml:space="preserve">Graf č. </w:t>
      </w:r>
      <w:r w:rsidR="00172BB3">
        <w:rPr>
          <w:rFonts w:cstheme="minorHAnsi"/>
        </w:rPr>
        <w:t>2</w:t>
      </w:r>
      <w:r w:rsidRPr="000A64F1">
        <w:rPr>
          <w:rFonts w:cstheme="minorHAnsi"/>
        </w:rPr>
        <w:t>3: Podiel jednotlivých súčastí STU na celkovej výskumnej kapacite za obdobie 1-12/2022</w:t>
      </w:r>
    </w:p>
    <w:p w14:paraId="140A89A0" w14:textId="77777777" w:rsidR="00C63597" w:rsidRPr="000A64F1" w:rsidRDefault="00C63597" w:rsidP="00C63597">
      <w:pPr>
        <w:jc w:val="both"/>
        <w:rPr>
          <w:rFonts w:cstheme="minorHAnsi"/>
        </w:rPr>
      </w:pPr>
    </w:p>
    <w:p w14:paraId="734E846E" w14:textId="77777777" w:rsidR="00C63597" w:rsidRPr="000A64F1" w:rsidRDefault="00C63597" w:rsidP="00C63597">
      <w:pPr>
        <w:jc w:val="both"/>
        <w:rPr>
          <w:rFonts w:cstheme="minorHAnsi"/>
        </w:rPr>
      </w:pPr>
      <w:r w:rsidRPr="000A64F1">
        <w:rPr>
          <w:noProof/>
          <w:lang w:eastAsia="sk-SK"/>
        </w:rPr>
        <w:drawing>
          <wp:inline distT="0" distB="0" distL="0" distR="0" wp14:anchorId="52B8F049" wp14:editId="1BE6F8DD">
            <wp:extent cx="6007100" cy="2527300"/>
            <wp:effectExtent l="0" t="0" r="0" b="635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63B70D7" w14:textId="77777777" w:rsidR="00C63597" w:rsidRPr="000A64F1" w:rsidRDefault="00C63597" w:rsidP="00C63597">
      <w:pPr>
        <w:jc w:val="center"/>
        <w:rPr>
          <w:sz w:val="18"/>
          <w:szCs w:val="18"/>
        </w:rPr>
      </w:pPr>
      <w:r w:rsidRPr="000A64F1">
        <w:rPr>
          <w:sz w:val="18"/>
          <w:szCs w:val="18"/>
        </w:rPr>
        <w:t>Zdroj: STU</w:t>
      </w:r>
    </w:p>
    <w:p w14:paraId="5164ABC4" w14:textId="77777777" w:rsidR="00C63597" w:rsidRPr="000A64F1" w:rsidRDefault="00C63597" w:rsidP="00C63597">
      <w:pPr>
        <w:jc w:val="center"/>
        <w:rPr>
          <w:sz w:val="18"/>
          <w:szCs w:val="18"/>
        </w:rPr>
      </w:pPr>
    </w:p>
    <w:p w14:paraId="3E61A8E8" w14:textId="77777777" w:rsidR="00172BB3" w:rsidRDefault="00C63597" w:rsidP="00C63597">
      <w:pPr>
        <w:jc w:val="both"/>
        <w:rPr>
          <w:rFonts w:cstheme="minorHAnsi"/>
        </w:rPr>
      </w:pPr>
      <w:r w:rsidRPr="000A64F1">
        <w:rPr>
          <w:rFonts w:cstheme="minorHAnsi"/>
        </w:rPr>
        <w:t>Financovanie výskumných aktivít na univerzitách je viaczdrojové. Veľký dôraz sa kladie na súťažný zdroj financovania. Pred rokom 2016 dominovali vo finančných zdrojoch STU štrukturálne fondy. V programovom období 2014-2021 mal Bratislavský kraj pre vysoký HDP minimálny p</w:t>
      </w:r>
      <w:r w:rsidR="00172BB3">
        <w:rPr>
          <w:rFonts w:cstheme="minorHAnsi"/>
        </w:rPr>
        <w:t xml:space="preserve">rístup k štrukturálnym fondom. </w:t>
      </w:r>
    </w:p>
    <w:p w14:paraId="40D97FF1" w14:textId="77777777" w:rsidR="00172BB3" w:rsidRDefault="00172BB3" w:rsidP="00C63597">
      <w:pPr>
        <w:jc w:val="both"/>
        <w:rPr>
          <w:rFonts w:cstheme="minorHAnsi"/>
        </w:rPr>
      </w:pPr>
    </w:p>
    <w:p w14:paraId="6F7A0D6C" w14:textId="77777777" w:rsidR="00172BB3" w:rsidRDefault="00172BB3" w:rsidP="00C63597">
      <w:pPr>
        <w:jc w:val="both"/>
        <w:rPr>
          <w:rFonts w:cstheme="minorHAnsi"/>
        </w:rPr>
      </w:pPr>
    </w:p>
    <w:p w14:paraId="06E35950" w14:textId="0870EE7E" w:rsidR="00C63597" w:rsidRPr="000A64F1" w:rsidRDefault="00C63597" w:rsidP="00C63597">
      <w:pPr>
        <w:jc w:val="both"/>
        <w:rPr>
          <w:rFonts w:cstheme="minorHAnsi"/>
        </w:rPr>
      </w:pPr>
      <w:r w:rsidRPr="000A64F1">
        <w:rPr>
          <w:rFonts w:cstheme="minorHAnsi"/>
        </w:rPr>
        <w:t xml:space="preserve">Nasledujúce tabuľky a grafy ukazujú úspešnosť STU v získavaní prostriedkov na výskumné aktivity z domácich grantových agentúr. Tabuľka č. </w:t>
      </w:r>
      <w:r w:rsidR="00172BB3">
        <w:rPr>
          <w:rFonts w:cstheme="minorHAnsi"/>
        </w:rPr>
        <w:t>4</w:t>
      </w:r>
      <w:r w:rsidRPr="000A64F1">
        <w:rPr>
          <w:rFonts w:cstheme="minorHAnsi"/>
        </w:rPr>
        <w:t xml:space="preserve">2 a graf č. </w:t>
      </w:r>
      <w:r w:rsidR="00172BB3">
        <w:rPr>
          <w:rFonts w:cstheme="minorHAnsi"/>
        </w:rPr>
        <w:t>2</w:t>
      </w:r>
      <w:r w:rsidRPr="000A64F1">
        <w:rPr>
          <w:rFonts w:cstheme="minorHAnsi"/>
        </w:rPr>
        <w:t>4 ukazujú vývoj v získavaní finančných prostriedkov súčastí STU od roku 2013 z domácich grantových agentúr (VEGA, KEGA a APVV). STU zaznamenáva nárast do roku 2019. V ostatných rokoch STU zaznamenáva stagnáciu, resp. mierny pokles.</w:t>
      </w:r>
    </w:p>
    <w:p w14:paraId="5AE5FE0B" w14:textId="77777777" w:rsidR="00C63597" w:rsidRPr="000A64F1" w:rsidRDefault="00C63597" w:rsidP="00C63597">
      <w:pPr>
        <w:jc w:val="both"/>
        <w:rPr>
          <w:rFonts w:cstheme="minorHAnsi"/>
        </w:rPr>
      </w:pPr>
    </w:p>
    <w:p w14:paraId="444FDDBD" w14:textId="1EE2BD5F" w:rsidR="00C63597" w:rsidRPr="000A64F1" w:rsidRDefault="00C63597" w:rsidP="00C63597">
      <w:pPr>
        <w:jc w:val="both"/>
        <w:rPr>
          <w:rFonts w:cstheme="minorHAnsi"/>
        </w:rPr>
      </w:pPr>
      <w:r w:rsidRPr="000A64F1">
        <w:rPr>
          <w:rFonts w:cstheme="minorHAnsi"/>
        </w:rPr>
        <w:t xml:space="preserve">Tab. č. </w:t>
      </w:r>
      <w:r w:rsidR="00172BB3">
        <w:rPr>
          <w:rFonts w:cstheme="minorHAnsi"/>
        </w:rPr>
        <w:t>4</w:t>
      </w:r>
      <w:r w:rsidRPr="000A64F1">
        <w:rPr>
          <w:rFonts w:cstheme="minorHAnsi"/>
        </w:rPr>
        <w:t>2: Finančné prostriedky získané súčasťami STU v rokoch 2013 - 2022 z domácich grantových agentúr (v eurách)</w:t>
      </w:r>
    </w:p>
    <w:p w14:paraId="46FA6B29" w14:textId="77777777" w:rsidR="00C63597" w:rsidRPr="000A64F1" w:rsidRDefault="00C63597" w:rsidP="00C63597">
      <w:pPr>
        <w:jc w:val="both"/>
        <w:rPr>
          <w:rFonts w:cstheme="minorHAnsi"/>
        </w:rPr>
      </w:pPr>
    </w:p>
    <w:tbl>
      <w:tblPr>
        <w:tblW w:w="9417" w:type="dxa"/>
        <w:tblInd w:w="70" w:type="dxa"/>
        <w:tblCellMar>
          <w:left w:w="70" w:type="dxa"/>
          <w:right w:w="70" w:type="dxa"/>
        </w:tblCellMar>
        <w:tblLook w:val="04A0" w:firstRow="1" w:lastRow="0" w:firstColumn="1" w:lastColumn="0" w:noHBand="0" w:noVBand="1"/>
      </w:tblPr>
      <w:tblGrid>
        <w:gridCol w:w="617"/>
        <w:gridCol w:w="880"/>
        <w:gridCol w:w="880"/>
        <w:gridCol w:w="880"/>
        <w:gridCol w:w="880"/>
        <w:gridCol w:w="880"/>
        <w:gridCol w:w="880"/>
        <w:gridCol w:w="880"/>
        <w:gridCol w:w="880"/>
        <w:gridCol w:w="880"/>
        <w:gridCol w:w="880"/>
      </w:tblGrid>
      <w:tr w:rsidR="00C63597" w:rsidRPr="000A64F1" w14:paraId="16789414" w14:textId="77777777" w:rsidTr="00C63597">
        <w:trPr>
          <w:trHeight w:val="255"/>
        </w:trPr>
        <w:tc>
          <w:tcPr>
            <w:tcW w:w="617" w:type="dxa"/>
            <w:tcBorders>
              <w:top w:val="nil"/>
              <w:left w:val="nil"/>
              <w:bottom w:val="nil"/>
              <w:right w:val="nil"/>
            </w:tcBorders>
            <w:shd w:val="clear" w:color="auto" w:fill="auto"/>
            <w:noWrap/>
            <w:hideMark/>
          </w:tcPr>
          <w:p w14:paraId="0FEDD306" w14:textId="77777777" w:rsidR="00C63597" w:rsidRPr="000A64F1" w:rsidRDefault="00C63597" w:rsidP="00C63597">
            <w:pPr>
              <w:rPr>
                <w:rFonts w:eastAsia="Times New Roman" w:cs="Times New Roman"/>
                <w:sz w:val="18"/>
                <w:szCs w:val="18"/>
                <w:lang w:eastAsia="sk-SK"/>
              </w:rPr>
            </w:pPr>
          </w:p>
        </w:tc>
        <w:tc>
          <w:tcPr>
            <w:tcW w:w="8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31C53977" w14:textId="77777777" w:rsidR="00C63597" w:rsidRPr="000A64F1" w:rsidRDefault="00C63597" w:rsidP="00C63597">
            <w:pPr>
              <w:jc w:val="center"/>
              <w:rPr>
                <w:rFonts w:eastAsia="Times New Roman" w:cs="Times New Roman"/>
                <w:b/>
                <w:bCs/>
                <w:sz w:val="18"/>
                <w:szCs w:val="18"/>
                <w:lang w:eastAsia="sk-SK"/>
              </w:rPr>
            </w:pPr>
            <w:r w:rsidRPr="000A64F1">
              <w:rPr>
                <w:rFonts w:eastAsia="Times New Roman" w:cs="Times New Roman"/>
                <w:b/>
                <w:bCs/>
                <w:sz w:val="18"/>
                <w:szCs w:val="18"/>
                <w:lang w:eastAsia="sk-SK"/>
              </w:rPr>
              <w:t>2013</w:t>
            </w:r>
          </w:p>
        </w:tc>
        <w:tc>
          <w:tcPr>
            <w:tcW w:w="8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763A4B1E" w14:textId="77777777" w:rsidR="00C63597" w:rsidRPr="000A64F1" w:rsidRDefault="00C63597" w:rsidP="00C63597">
            <w:pPr>
              <w:jc w:val="center"/>
              <w:rPr>
                <w:rFonts w:eastAsia="Times New Roman" w:cs="Times New Roman"/>
                <w:b/>
                <w:bCs/>
                <w:sz w:val="18"/>
                <w:szCs w:val="18"/>
                <w:lang w:eastAsia="sk-SK"/>
              </w:rPr>
            </w:pPr>
            <w:r w:rsidRPr="000A64F1">
              <w:rPr>
                <w:rFonts w:eastAsia="Times New Roman" w:cs="Times New Roman"/>
                <w:b/>
                <w:bCs/>
                <w:sz w:val="18"/>
                <w:szCs w:val="18"/>
                <w:lang w:eastAsia="sk-SK"/>
              </w:rPr>
              <w:t>2014</w:t>
            </w:r>
          </w:p>
        </w:tc>
        <w:tc>
          <w:tcPr>
            <w:tcW w:w="8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3560A347" w14:textId="77777777" w:rsidR="00C63597" w:rsidRPr="000A64F1" w:rsidRDefault="00C63597" w:rsidP="00C63597">
            <w:pPr>
              <w:jc w:val="center"/>
              <w:rPr>
                <w:rFonts w:eastAsia="Times New Roman" w:cs="Times New Roman"/>
                <w:b/>
                <w:bCs/>
                <w:sz w:val="18"/>
                <w:szCs w:val="18"/>
                <w:lang w:eastAsia="sk-SK"/>
              </w:rPr>
            </w:pPr>
            <w:r w:rsidRPr="000A64F1">
              <w:rPr>
                <w:rFonts w:eastAsia="Times New Roman" w:cs="Times New Roman"/>
                <w:b/>
                <w:bCs/>
                <w:sz w:val="18"/>
                <w:szCs w:val="18"/>
                <w:lang w:eastAsia="sk-SK"/>
              </w:rPr>
              <w:t>2015</w:t>
            </w:r>
          </w:p>
        </w:tc>
        <w:tc>
          <w:tcPr>
            <w:tcW w:w="8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5764AB7D" w14:textId="77777777" w:rsidR="00C63597" w:rsidRPr="000A64F1" w:rsidRDefault="00C63597" w:rsidP="00C63597">
            <w:pPr>
              <w:jc w:val="center"/>
              <w:rPr>
                <w:rFonts w:eastAsia="Times New Roman" w:cs="Times New Roman"/>
                <w:b/>
                <w:bCs/>
                <w:sz w:val="18"/>
                <w:szCs w:val="18"/>
                <w:lang w:eastAsia="sk-SK"/>
              </w:rPr>
            </w:pPr>
            <w:r w:rsidRPr="000A64F1">
              <w:rPr>
                <w:rFonts w:eastAsia="Times New Roman" w:cs="Times New Roman"/>
                <w:b/>
                <w:bCs/>
                <w:sz w:val="18"/>
                <w:szCs w:val="18"/>
                <w:lang w:eastAsia="sk-SK"/>
              </w:rPr>
              <w:t>2016</w:t>
            </w:r>
          </w:p>
        </w:tc>
        <w:tc>
          <w:tcPr>
            <w:tcW w:w="8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4C13CC4D" w14:textId="77777777" w:rsidR="00C63597" w:rsidRPr="000A64F1" w:rsidRDefault="00C63597" w:rsidP="00C63597">
            <w:pPr>
              <w:jc w:val="center"/>
              <w:rPr>
                <w:rFonts w:eastAsia="Times New Roman" w:cs="Times New Roman"/>
                <w:b/>
                <w:bCs/>
                <w:sz w:val="18"/>
                <w:szCs w:val="18"/>
                <w:lang w:eastAsia="sk-SK"/>
              </w:rPr>
            </w:pPr>
            <w:r w:rsidRPr="000A64F1">
              <w:rPr>
                <w:rFonts w:eastAsia="Times New Roman" w:cs="Times New Roman"/>
                <w:b/>
                <w:bCs/>
                <w:sz w:val="18"/>
                <w:szCs w:val="18"/>
                <w:lang w:eastAsia="sk-SK"/>
              </w:rPr>
              <w:t>2017</w:t>
            </w:r>
          </w:p>
        </w:tc>
        <w:tc>
          <w:tcPr>
            <w:tcW w:w="8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2E918369" w14:textId="77777777" w:rsidR="00C63597" w:rsidRPr="000A64F1" w:rsidRDefault="00C63597" w:rsidP="00C63597">
            <w:pPr>
              <w:jc w:val="center"/>
              <w:rPr>
                <w:rFonts w:eastAsia="Times New Roman" w:cs="Times New Roman"/>
                <w:b/>
                <w:bCs/>
                <w:sz w:val="18"/>
                <w:szCs w:val="18"/>
                <w:lang w:eastAsia="sk-SK"/>
              </w:rPr>
            </w:pPr>
            <w:r w:rsidRPr="000A64F1">
              <w:rPr>
                <w:rFonts w:eastAsia="Times New Roman" w:cs="Times New Roman"/>
                <w:b/>
                <w:bCs/>
                <w:sz w:val="18"/>
                <w:szCs w:val="18"/>
                <w:lang w:eastAsia="sk-SK"/>
              </w:rPr>
              <w:t>2018</w:t>
            </w:r>
          </w:p>
        </w:tc>
        <w:tc>
          <w:tcPr>
            <w:tcW w:w="880" w:type="dxa"/>
            <w:tcBorders>
              <w:top w:val="single" w:sz="4" w:space="0" w:color="auto"/>
              <w:left w:val="single" w:sz="4" w:space="0" w:color="auto"/>
              <w:bottom w:val="nil"/>
              <w:right w:val="single" w:sz="4" w:space="0" w:color="auto"/>
            </w:tcBorders>
            <w:shd w:val="clear" w:color="auto" w:fill="EEECE1" w:themeFill="background2"/>
            <w:noWrap/>
            <w:vAlign w:val="center"/>
            <w:hideMark/>
          </w:tcPr>
          <w:p w14:paraId="1F6B1A07" w14:textId="77777777" w:rsidR="00C63597" w:rsidRPr="000A64F1" w:rsidRDefault="00C63597" w:rsidP="00C63597">
            <w:pPr>
              <w:jc w:val="center"/>
              <w:rPr>
                <w:rFonts w:eastAsia="Times New Roman" w:cs="Times New Roman"/>
                <w:b/>
                <w:bCs/>
                <w:sz w:val="18"/>
                <w:szCs w:val="18"/>
                <w:lang w:eastAsia="sk-SK"/>
              </w:rPr>
            </w:pPr>
            <w:r w:rsidRPr="000A64F1">
              <w:rPr>
                <w:rFonts w:eastAsia="Times New Roman" w:cs="Times New Roman"/>
                <w:b/>
                <w:bCs/>
                <w:sz w:val="18"/>
                <w:szCs w:val="18"/>
                <w:lang w:eastAsia="sk-SK"/>
              </w:rPr>
              <w:t>2019</w:t>
            </w:r>
          </w:p>
        </w:tc>
        <w:tc>
          <w:tcPr>
            <w:tcW w:w="880" w:type="dxa"/>
            <w:tcBorders>
              <w:top w:val="single" w:sz="4" w:space="0" w:color="auto"/>
              <w:left w:val="single" w:sz="4" w:space="0" w:color="auto"/>
              <w:bottom w:val="nil"/>
              <w:right w:val="single" w:sz="4" w:space="0" w:color="auto"/>
            </w:tcBorders>
            <w:shd w:val="clear" w:color="auto" w:fill="EEECE1" w:themeFill="background2"/>
            <w:noWrap/>
            <w:vAlign w:val="center"/>
            <w:hideMark/>
          </w:tcPr>
          <w:p w14:paraId="6AD251F0" w14:textId="77777777" w:rsidR="00C63597" w:rsidRPr="000A64F1" w:rsidRDefault="00C63597" w:rsidP="00C63597">
            <w:pPr>
              <w:jc w:val="center"/>
              <w:rPr>
                <w:rFonts w:eastAsia="Times New Roman" w:cs="Times New Roman"/>
                <w:b/>
                <w:bCs/>
                <w:sz w:val="18"/>
                <w:szCs w:val="18"/>
                <w:lang w:eastAsia="sk-SK"/>
              </w:rPr>
            </w:pPr>
            <w:r w:rsidRPr="000A64F1">
              <w:rPr>
                <w:rFonts w:eastAsia="Times New Roman" w:cs="Times New Roman"/>
                <w:b/>
                <w:bCs/>
                <w:sz w:val="18"/>
                <w:szCs w:val="18"/>
                <w:lang w:eastAsia="sk-SK"/>
              </w:rPr>
              <w:t>2020</w:t>
            </w:r>
          </w:p>
        </w:tc>
        <w:tc>
          <w:tcPr>
            <w:tcW w:w="880" w:type="dxa"/>
            <w:tcBorders>
              <w:top w:val="single" w:sz="4" w:space="0" w:color="auto"/>
              <w:left w:val="single" w:sz="4" w:space="0" w:color="auto"/>
              <w:bottom w:val="nil"/>
              <w:right w:val="single" w:sz="4" w:space="0" w:color="auto"/>
            </w:tcBorders>
            <w:shd w:val="clear" w:color="auto" w:fill="EEECE1" w:themeFill="background2"/>
            <w:noWrap/>
            <w:vAlign w:val="center"/>
            <w:hideMark/>
          </w:tcPr>
          <w:p w14:paraId="219E4466" w14:textId="77777777" w:rsidR="00C63597" w:rsidRPr="000A64F1" w:rsidRDefault="00C63597" w:rsidP="00C63597">
            <w:pPr>
              <w:jc w:val="center"/>
              <w:rPr>
                <w:rFonts w:eastAsia="Times New Roman" w:cs="Times New Roman"/>
                <w:b/>
                <w:bCs/>
                <w:sz w:val="18"/>
                <w:szCs w:val="18"/>
                <w:lang w:eastAsia="sk-SK"/>
              </w:rPr>
            </w:pPr>
            <w:r w:rsidRPr="000A64F1">
              <w:rPr>
                <w:rFonts w:eastAsia="Times New Roman" w:cs="Times New Roman"/>
                <w:b/>
                <w:bCs/>
                <w:sz w:val="18"/>
                <w:szCs w:val="18"/>
                <w:lang w:eastAsia="sk-SK"/>
              </w:rPr>
              <w:t>2021</w:t>
            </w:r>
          </w:p>
        </w:tc>
        <w:tc>
          <w:tcPr>
            <w:tcW w:w="880" w:type="dxa"/>
            <w:tcBorders>
              <w:top w:val="single" w:sz="4" w:space="0" w:color="auto"/>
              <w:left w:val="single" w:sz="4" w:space="0" w:color="auto"/>
              <w:bottom w:val="nil"/>
              <w:right w:val="single" w:sz="4" w:space="0" w:color="auto"/>
            </w:tcBorders>
            <w:shd w:val="clear" w:color="auto" w:fill="EEECE1" w:themeFill="background2"/>
            <w:noWrap/>
            <w:vAlign w:val="center"/>
            <w:hideMark/>
          </w:tcPr>
          <w:p w14:paraId="4FB2B939" w14:textId="77777777" w:rsidR="00C63597" w:rsidRPr="000A64F1" w:rsidRDefault="00C63597" w:rsidP="00C63597">
            <w:pPr>
              <w:jc w:val="center"/>
              <w:rPr>
                <w:rFonts w:eastAsia="Times New Roman" w:cs="Times New Roman"/>
                <w:b/>
                <w:bCs/>
                <w:sz w:val="18"/>
                <w:szCs w:val="18"/>
                <w:lang w:eastAsia="sk-SK"/>
              </w:rPr>
            </w:pPr>
            <w:r w:rsidRPr="000A64F1">
              <w:rPr>
                <w:rFonts w:eastAsia="Times New Roman" w:cs="Times New Roman"/>
                <w:b/>
                <w:bCs/>
                <w:sz w:val="18"/>
                <w:szCs w:val="18"/>
                <w:lang w:eastAsia="sk-SK"/>
              </w:rPr>
              <w:t>2022</w:t>
            </w:r>
          </w:p>
        </w:tc>
      </w:tr>
      <w:tr w:rsidR="00C63597" w:rsidRPr="000A64F1" w14:paraId="66847A79" w14:textId="77777777" w:rsidTr="00C63597">
        <w:trPr>
          <w:trHeight w:val="255"/>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D58AF9" w14:textId="77777777" w:rsidR="00C63597" w:rsidRPr="000A64F1" w:rsidRDefault="00C63597" w:rsidP="00C63597">
            <w:pPr>
              <w:jc w:val="center"/>
              <w:rPr>
                <w:rFonts w:eastAsia="Times New Roman" w:cs="Times New Roman"/>
                <w:b/>
                <w:bCs/>
                <w:sz w:val="18"/>
                <w:szCs w:val="18"/>
                <w:lang w:eastAsia="sk-SK"/>
              </w:rPr>
            </w:pPr>
            <w:r w:rsidRPr="000A64F1">
              <w:rPr>
                <w:rFonts w:eastAsia="Times New Roman" w:cs="Times New Roman"/>
                <w:b/>
                <w:bCs/>
                <w:sz w:val="18"/>
                <w:szCs w:val="18"/>
                <w:lang w:eastAsia="sk-SK"/>
              </w:rPr>
              <w:t>SvF</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145C7" w14:textId="77777777" w:rsidR="00C63597" w:rsidRPr="000A64F1" w:rsidRDefault="00C63597" w:rsidP="00C63597">
            <w:pPr>
              <w:jc w:val="center"/>
              <w:rPr>
                <w:rFonts w:eastAsia="Times New Roman" w:cs="Times New Roman"/>
                <w:sz w:val="18"/>
                <w:szCs w:val="18"/>
                <w:lang w:eastAsia="sk-SK"/>
              </w:rPr>
            </w:pPr>
            <w:r w:rsidRPr="000A64F1">
              <w:rPr>
                <w:rFonts w:eastAsia="Times New Roman" w:cs="Times New Roman"/>
                <w:sz w:val="18"/>
                <w:szCs w:val="18"/>
                <w:lang w:eastAsia="sk-SK"/>
              </w:rPr>
              <w:t>1 043 969</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EBC89" w14:textId="77777777" w:rsidR="00C63597" w:rsidRPr="000A64F1" w:rsidRDefault="00C63597" w:rsidP="00C63597">
            <w:pPr>
              <w:jc w:val="center"/>
              <w:rPr>
                <w:rFonts w:eastAsia="Times New Roman" w:cs="Times New Roman"/>
                <w:sz w:val="18"/>
                <w:szCs w:val="18"/>
                <w:lang w:eastAsia="sk-SK"/>
              </w:rPr>
            </w:pPr>
            <w:r w:rsidRPr="000A64F1">
              <w:rPr>
                <w:rFonts w:eastAsia="Times New Roman" w:cs="Times New Roman"/>
                <w:sz w:val="18"/>
                <w:szCs w:val="18"/>
                <w:lang w:eastAsia="sk-SK"/>
              </w:rPr>
              <w:t>1 039 452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3940F" w14:textId="77777777" w:rsidR="00C63597" w:rsidRPr="000A64F1" w:rsidRDefault="00C63597" w:rsidP="00C63597">
            <w:pPr>
              <w:jc w:val="center"/>
              <w:rPr>
                <w:rFonts w:eastAsia="Times New Roman" w:cs="Times New Roman"/>
                <w:sz w:val="18"/>
                <w:szCs w:val="18"/>
                <w:lang w:eastAsia="sk-SK"/>
              </w:rPr>
            </w:pPr>
            <w:r w:rsidRPr="000A64F1">
              <w:rPr>
                <w:rFonts w:eastAsia="Times New Roman" w:cs="Times New Roman"/>
                <w:sz w:val="18"/>
                <w:szCs w:val="18"/>
                <w:lang w:eastAsia="sk-SK"/>
              </w:rPr>
              <w:t>808 032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3D771" w14:textId="77777777" w:rsidR="00C63597" w:rsidRPr="000A64F1" w:rsidRDefault="00C63597" w:rsidP="00C63597">
            <w:pPr>
              <w:jc w:val="center"/>
              <w:rPr>
                <w:rFonts w:eastAsia="Times New Roman" w:cs="Times New Roman"/>
                <w:sz w:val="18"/>
                <w:szCs w:val="18"/>
                <w:lang w:eastAsia="sk-SK"/>
              </w:rPr>
            </w:pPr>
            <w:r w:rsidRPr="000A64F1">
              <w:rPr>
                <w:rFonts w:eastAsia="Times New Roman" w:cs="Times New Roman"/>
                <w:sz w:val="18"/>
                <w:szCs w:val="18"/>
                <w:lang w:eastAsia="sk-SK"/>
              </w:rPr>
              <w:t>803 346</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CFBA5" w14:textId="77777777" w:rsidR="00C63597" w:rsidRPr="000A64F1" w:rsidRDefault="00C63597" w:rsidP="00C63597">
            <w:pPr>
              <w:jc w:val="center"/>
              <w:rPr>
                <w:rFonts w:eastAsia="Times New Roman" w:cs="Times New Roman"/>
                <w:sz w:val="18"/>
                <w:szCs w:val="18"/>
                <w:lang w:eastAsia="sk-SK"/>
              </w:rPr>
            </w:pPr>
            <w:r w:rsidRPr="000A64F1">
              <w:rPr>
                <w:rFonts w:eastAsia="Times New Roman" w:cs="Times New Roman"/>
                <w:sz w:val="18"/>
                <w:szCs w:val="18"/>
                <w:lang w:eastAsia="sk-SK"/>
              </w:rPr>
              <w:t>957 733</w:t>
            </w:r>
          </w:p>
        </w:tc>
        <w:tc>
          <w:tcPr>
            <w:tcW w:w="880" w:type="dxa"/>
            <w:tcBorders>
              <w:top w:val="nil"/>
              <w:left w:val="nil"/>
              <w:bottom w:val="single" w:sz="4" w:space="0" w:color="auto"/>
              <w:right w:val="nil"/>
            </w:tcBorders>
            <w:shd w:val="clear" w:color="auto" w:fill="auto"/>
            <w:noWrap/>
            <w:vAlign w:val="center"/>
          </w:tcPr>
          <w:p w14:paraId="33BEAA81" w14:textId="77777777" w:rsidR="00C63597" w:rsidRPr="000A64F1" w:rsidRDefault="00C63597" w:rsidP="00C63597">
            <w:pPr>
              <w:jc w:val="center"/>
              <w:rPr>
                <w:rFonts w:eastAsia="Times New Roman" w:cs="Times New Roman"/>
                <w:sz w:val="18"/>
                <w:szCs w:val="18"/>
                <w:lang w:eastAsia="sk-SK"/>
              </w:rPr>
            </w:pPr>
            <w:r w:rsidRPr="000A64F1">
              <w:rPr>
                <w:rFonts w:eastAsia="Times New Roman" w:cs="Times New Roman"/>
                <w:sz w:val="18"/>
                <w:szCs w:val="18"/>
                <w:lang w:eastAsia="sk-SK"/>
              </w:rPr>
              <w:t>888 432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FEE3B" w14:textId="77777777" w:rsidR="00C63597" w:rsidRPr="000A64F1" w:rsidRDefault="00C63597" w:rsidP="00C63597">
            <w:pPr>
              <w:jc w:val="center"/>
              <w:rPr>
                <w:rFonts w:eastAsia="Times New Roman" w:cs="Times New Roman"/>
                <w:sz w:val="18"/>
                <w:szCs w:val="18"/>
                <w:lang w:eastAsia="sk-SK"/>
              </w:rPr>
            </w:pPr>
            <w:r w:rsidRPr="000A64F1">
              <w:rPr>
                <w:rFonts w:eastAsia="Times New Roman" w:cs="Times New Roman"/>
                <w:sz w:val="18"/>
                <w:szCs w:val="18"/>
                <w:lang w:eastAsia="sk-SK"/>
              </w:rPr>
              <w:t>1 134 558</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76831F54" w14:textId="77777777" w:rsidR="00C63597" w:rsidRPr="000A64F1" w:rsidRDefault="00C63597" w:rsidP="00C63597">
            <w:pPr>
              <w:jc w:val="center"/>
              <w:rPr>
                <w:rFonts w:eastAsia="Times New Roman" w:cs="Times New Roman"/>
                <w:sz w:val="18"/>
                <w:szCs w:val="18"/>
                <w:lang w:eastAsia="sk-SK"/>
              </w:rPr>
            </w:pPr>
            <w:r w:rsidRPr="000A64F1">
              <w:rPr>
                <w:rFonts w:eastAsia="Times New Roman" w:cs="Times New Roman"/>
                <w:sz w:val="18"/>
                <w:szCs w:val="18"/>
                <w:lang w:eastAsia="sk-SK"/>
              </w:rPr>
              <w:t>1 297 854</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1F55C7D0" w14:textId="77777777" w:rsidR="00C63597" w:rsidRPr="000A64F1" w:rsidRDefault="00C63597" w:rsidP="00C63597">
            <w:pPr>
              <w:jc w:val="center"/>
              <w:rPr>
                <w:rFonts w:eastAsia="Times New Roman" w:cs="Times New Roman"/>
                <w:sz w:val="18"/>
                <w:szCs w:val="18"/>
                <w:lang w:eastAsia="sk-SK"/>
              </w:rPr>
            </w:pPr>
            <w:r w:rsidRPr="000A64F1">
              <w:rPr>
                <w:rFonts w:eastAsia="Times New Roman" w:cs="Times New Roman"/>
                <w:sz w:val="18"/>
                <w:szCs w:val="18"/>
                <w:lang w:eastAsia="sk-SK"/>
              </w:rPr>
              <w:t>1 177 015</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38DF386D" w14:textId="77777777" w:rsidR="00C63597" w:rsidRPr="000A64F1" w:rsidRDefault="00C63597" w:rsidP="00C63597">
            <w:pPr>
              <w:jc w:val="center"/>
              <w:rPr>
                <w:rFonts w:eastAsia="Times New Roman" w:cs="Times New Roman"/>
                <w:sz w:val="18"/>
                <w:szCs w:val="18"/>
                <w:lang w:eastAsia="sk-SK"/>
              </w:rPr>
            </w:pPr>
            <w:r w:rsidRPr="000A64F1">
              <w:rPr>
                <w:rFonts w:eastAsia="Times New Roman" w:cs="Times New Roman"/>
                <w:sz w:val="18"/>
                <w:szCs w:val="18"/>
                <w:lang w:eastAsia="sk-SK"/>
              </w:rPr>
              <w:t>1 050 354</w:t>
            </w:r>
          </w:p>
        </w:tc>
      </w:tr>
      <w:tr w:rsidR="00C63597" w:rsidRPr="000A64F1" w14:paraId="666A0AD8" w14:textId="77777777" w:rsidTr="00C63597">
        <w:trPr>
          <w:trHeight w:val="255"/>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5B5BBD"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SjF</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B04BA"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330 684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12DB6"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453 498</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3664C"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431 869</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860E1"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623 513</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96776"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697 368</w:t>
            </w:r>
          </w:p>
        </w:tc>
        <w:tc>
          <w:tcPr>
            <w:tcW w:w="880" w:type="dxa"/>
            <w:tcBorders>
              <w:top w:val="nil"/>
              <w:left w:val="nil"/>
              <w:bottom w:val="single" w:sz="4" w:space="0" w:color="auto"/>
              <w:right w:val="nil"/>
            </w:tcBorders>
            <w:shd w:val="clear" w:color="auto" w:fill="auto"/>
            <w:noWrap/>
            <w:vAlign w:val="center"/>
          </w:tcPr>
          <w:p w14:paraId="1702FDE6"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696 279</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68D326D6"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1 015 014</w:t>
            </w:r>
          </w:p>
        </w:tc>
        <w:tc>
          <w:tcPr>
            <w:tcW w:w="880" w:type="dxa"/>
            <w:tcBorders>
              <w:top w:val="nil"/>
              <w:left w:val="nil"/>
              <w:bottom w:val="single" w:sz="4" w:space="0" w:color="auto"/>
              <w:right w:val="single" w:sz="4" w:space="0" w:color="auto"/>
            </w:tcBorders>
            <w:shd w:val="clear" w:color="auto" w:fill="auto"/>
            <w:noWrap/>
            <w:vAlign w:val="center"/>
          </w:tcPr>
          <w:p w14:paraId="0785C81F"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996 267</w:t>
            </w:r>
          </w:p>
        </w:tc>
        <w:tc>
          <w:tcPr>
            <w:tcW w:w="880" w:type="dxa"/>
            <w:tcBorders>
              <w:top w:val="nil"/>
              <w:left w:val="nil"/>
              <w:bottom w:val="single" w:sz="4" w:space="0" w:color="auto"/>
              <w:right w:val="single" w:sz="4" w:space="0" w:color="auto"/>
            </w:tcBorders>
            <w:shd w:val="clear" w:color="auto" w:fill="auto"/>
            <w:noWrap/>
            <w:vAlign w:val="center"/>
          </w:tcPr>
          <w:p w14:paraId="325B01B6"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1 078 783</w:t>
            </w:r>
          </w:p>
        </w:tc>
        <w:tc>
          <w:tcPr>
            <w:tcW w:w="880" w:type="dxa"/>
            <w:tcBorders>
              <w:top w:val="nil"/>
              <w:left w:val="nil"/>
              <w:bottom w:val="single" w:sz="4" w:space="0" w:color="auto"/>
              <w:right w:val="single" w:sz="4" w:space="0" w:color="auto"/>
            </w:tcBorders>
            <w:shd w:val="clear" w:color="auto" w:fill="auto"/>
            <w:noWrap/>
            <w:vAlign w:val="center"/>
          </w:tcPr>
          <w:p w14:paraId="685D82A6"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1 229 426</w:t>
            </w:r>
          </w:p>
        </w:tc>
      </w:tr>
      <w:tr w:rsidR="00C63597" w:rsidRPr="000A64F1" w14:paraId="52637D43" w14:textId="77777777" w:rsidTr="00C63597">
        <w:trPr>
          <w:trHeight w:val="255"/>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2EF9EE"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FEI</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6E3CB"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1 704 448</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DD5C2"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1 879 933</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E6CB6"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1 861 484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D5810"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1 932 213</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81E67"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1 664 679</w:t>
            </w:r>
          </w:p>
        </w:tc>
        <w:tc>
          <w:tcPr>
            <w:tcW w:w="880" w:type="dxa"/>
            <w:tcBorders>
              <w:top w:val="nil"/>
              <w:left w:val="nil"/>
              <w:bottom w:val="single" w:sz="4" w:space="0" w:color="auto"/>
              <w:right w:val="nil"/>
            </w:tcBorders>
            <w:shd w:val="clear" w:color="auto" w:fill="auto"/>
            <w:noWrap/>
            <w:vAlign w:val="center"/>
          </w:tcPr>
          <w:p w14:paraId="26931EED"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1 906 679</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751624D7"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1 798 876</w:t>
            </w:r>
          </w:p>
        </w:tc>
        <w:tc>
          <w:tcPr>
            <w:tcW w:w="880" w:type="dxa"/>
            <w:tcBorders>
              <w:top w:val="nil"/>
              <w:left w:val="nil"/>
              <w:bottom w:val="single" w:sz="4" w:space="0" w:color="auto"/>
              <w:right w:val="single" w:sz="4" w:space="0" w:color="auto"/>
            </w:tcBorders>
            <w:shd w:val="clear" w:color="auto" w:fill="auto"/>
            <w:noWrap/>
            <w:vAlign w:val="center"/>
          </w:tcPr>
          <w:p w14:paraId="6D903587"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1 727 787</w:t>
            </w:r>
          </w:p>
        </w:tc>
        <w:tc>
          <w:tcPr>
            <w:tcW w:w="880" w:type="dxa"/>
            <w:tcBorders>
              <w:top w:val="nil"/>
              <w:left w:val="nil"/>
              <w:bottom w:val="single" w:sz="4" w:space="0" w:color="auto"/>
              <w:right w:val="single" w:sz="4" w:space="0" w:color="auto"/>
            </w:tcBorders>
            <w:shd w:val="clear" w:color="auto" w:fill="auto"/>
            <w:noWrap/>
            <w:vAlign w:val="center"/>
          </w:tcPr>
          <w:p w14:paraId="50626BC3"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1 667 253</w:t>
            </w:r>
          </w:p>
        </w:tc>
        <w:tc>
          <w:tcPr>
            <w:tcW w:w="880" w:type="dxa"/>
            <w:tcBorders>
              <w:top w:val="nil"/>
              <w:left w:val="nil"/>
              <w:bottom w:val="single" w:sz="4" w:space="0" w:color="auto"/>
              <w:right w:val="single" w:sz="4" w:space="0" w:color="auto"/>
            </w:tcBorders>
            <w:shd w:val="clear" w:color="auto" w:fill="auto"/>
            <w:noWrap/>
            <w:vAlign w:val="center"/>
          </w:tcPr>
          <w:p w14:paraId="6ACCEB15"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1 830 811</w:t>
            </w:r>
          </w:p>
        </w:tc>
      </w:tr>
      <w:tr w:rsidR="00C63597" w:rsidRPr="000A64F1" w14:paraId="4CCBF156" w14:textId="77777777" w:rsidTr="00C63597">
        <w:trPr>
          <w:trHeight w:val="255"/>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C95E43"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FCHPT</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211E6"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1 419 833</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56B10"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1 525 810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91BBA"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1 565 576</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9A363"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1 365 626</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DC742"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1 847 051</w:t>
            </w:r>
          </w:p>
        </w:tc>
        <w:tc>
          <w:tcPr>
            <w:tcW w:w="880" w:type="dxa"/>
            <w:tcBorders>
              <w:top w:val="single" w:sz="4" w:space="0" w:color="auto"/>
              <w:left w:val="nil"/>
              <w:bottom w:val="single" w:sz="4" w:space="0" w:color="auto"/>
              <w:right w:val="nil"/>
            </w:tcBorders>
            <w:shd w:val="clear" w:color="auto" w:fill="auto"/>
            <w:noWrap/>
            <w:vAlign w:val="center"/>
          </w:tcPr>
          <w:p w14:paraId="329214F5"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2 221 958</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AB6A6"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2 628 836</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4C7DC842"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2 550 979</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10787089"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2 519 423</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7781E21A"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2 227 087</w:t>
            </w:r>
          </w:p>
        </w:tc>
      </w:tr>
      <w:tr w:rsidR="00C63597" w:rsidRPr="000A64F1" w14:paraId="0673EC6B" w14:textId="77777777" w:rsidTr="00C63597">
        <w:trPr>
          <w:trHeight w:val="255"/>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F64DAD"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FA</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ED317"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109 708</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5131D"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160 844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B1FD1"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164 139</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07E6D"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124 552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EEBD9"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100 992</w:t>
            </w:r>
          </w:p>
        </w:tc>
        <w:tc>
          <w:tcPr>
            <w:tcW w:w="880" w:type="dxa"/>
            <w:tcBorders>
              <w:top w:val="nil"/>
              <w:left w:val="nil"/>
              <w:bottom w:val="single" w:sz="4" w:space="0" w:color="auto"/>
              <w:right w:val="nil"/>
            </w:tcBorders>
            <w:shd w:val="clear" w:color="auto" w:fill="auto"/>
            <w:noWrap/>
            <w:vAlign w:val="center"/>
          </w:tcPr>
          <w:p w14:paraId="062AABEB"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116 026</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2E11FFCF"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97 206</w:t>
            </w:r>
          </w:p>
        </w:tc>
        <w:tc>
          <w:tcPr>
            <w:tcW w:w="880" w:type="dxa"/>
            <w:tcBorders>
              <w:top w:val="nil"/>
              <w:left w:val="nil"/>
              <w:bottom w:val="single" w:sz="4" w:space="0" w:color="auto"/>
              <w:right w:val="single" w:sz="4" w:space="0" w:color="auto"/>
            </w:tcBorders>
            <w:shd w:val="clear" w:color="auto" w:fill="auto"/>
            <w:noWrap/>
            <w:vAlign w:val="center"/>
          </w:tcPr>
          <w:p w14:paraId="038F6CD6"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79 436</w:t>
            </w:r>
          </w:p>
        </w:tc>
        <w:tc>
          <w:tcPr>
            <w:tcW w:w="880" w:type="dxa"/>
            <w:tcBorders>
              <w:top w:val="nil"/>
              <w:left w:val="nil"/>
              <w:bottom w:val="single" w:sz="4" w:space="0" w:color="auto"/>
              <w:right w:val="single" w:sz="4" w:space="0" w:color="auto"/>
            </w:tcBorders>
            <w:shd w:val="clear" w:color="auto" w:fill="auto"/>
            <w:noWrap/>
            <w:vAlign w:val="center"/>
          </w:tcPr>
          <w:p w14:paraId="304F0FE8"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45 756</w:t>
            </w:r>
          </w:p>
        </w:tc>
        <w:tc>
          <w:tcPr>
            <w:tcW w:w="880" w:type="dxa"/>
            <w:tcBorders>
              <w:top w:val="nil"/>
              <w:left w:val="nil"/>
              <w:bottom w:val="single" w:sz="4" w:space="0" w:color="auto"/>
              <w:right w:val="single" w:sz="4" w:space="0" w:color="auto"/>
            </w:tcBorders>
            <w:shd w:val="clear" w:color="auto" w:fill="auto"/>
            <w:noWrap/>
            <w:vAlign w:val="center"/>
          </w:tcPr>
          <w:p w14:paraId="6421F9AA"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62 565</w:t>
            </w:r>
          </w:p>
        </w:tc>
      </w:tr>
      <w:tr w:rsidR="00C63597" w:rsidRPr="000A64F1" w14:paraId="1646EC75" w14:textId="77777777" w:rsidTr="00C63597">
        <w:trPr>
          <w:trHeight w:val="255"/>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416970"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MTF</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6B9BD"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313 340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06F84"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457 504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2C524"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491 002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1B3AB"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467 161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68CCD"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556 349</w:t>
            </w:r>
          </w:p>
        </w:tc>
        <w:tc>
          <w:tcPr>
            <w:tcW w:w="880" w:type="dxa"/>
            <w:tcBorders>
              <w:top w:val="nil"/>
              <w:left w:val="nil"/>
              <w:bottom w:val="single" w:sz="4" w:space="0" w:color="auto"/>
              <w:right w:val="nil"/>
            </w:tcBorders>
            <w:shd w:val="clear" w:color="auto" w:fill="auto"/>
            <w:noWrap/>
            <w:vAlign w:val="center"/>
          </w:tcPr>
          <w:p w14:paraId="17B45A9C"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629 802</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7D04C6BE"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800 704</w:t>
            </w:r>
          </w:p>
        </w:tc>
        <w:tc>
          <w:tcPr>
            <w:tcW w:w="880" w:type="dxa"/>
            <w:tcBorders>
              <w:top w:val="nil"/>
              <w:left w:val="nil"/>
              <w:bottom w:val="single" w:sz="4" w:space="0" w:color="auto"/>
              <w:right w:val="single" w:sz="4" w:space="0" w:color="auto"/>
            </w:tcBorders>
            <w:shd w:val="clear" w:color="auto" w:fill="auto"/>
            <w:noWrap/>
            <w:vAlign w:val="center"/>
          </w:tcPr>
          <w:p w14:paraId="3B497071"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835 067</w:t>
            </w:r>
          </w:p>
        </w:tc>
        <w:tc>
          <w:tcPr>
            <w:tcW w:w="880" w:type="dxa"/>
            <w:tcBorders>
              <w:top w:val="nil"/>
              <w:left w:val="nil"/>
              <w:bottom w:val="single" w:sz="4" w:space="0" w:color="auto"/>
              <w:right w:val="single" w:sz="4" w:space="0" w:color="auto"/>
            </w:tcBorders>
            <w:shd w:val="clear" w:color="auto" w:fill="auto"/>
            <w:noWrap/>
            <w:vAlign w:val="center"/>
          </w:tcPr>
          <w:p w14:paraId="0B6B7DFD"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903 475</w:t>
            </w:r>
          </w:p>
        </w:tc>
        <w:tc>
          <w:tcPr>
            <w:tcW w:w="880" w:type="dxa"/>
            <w:tcBorders>
              <w:top w:val="nil"/>
              <w:left w:val="nil"/>
              <w:bottom w:val="single" w:sz="4" w:space="0" w:color="auto"/>
              <w:right w:val="single" w:sz="4" w:space="0" w:color="auto"/>
            </w:tcBorders>
            <w:shd w:val="clear" w:color="auto" w:fill="auto"/>
            <w:noWrap/>
            <w:vAlign w:val="center"/>
          </w:tcPr>
          <w:p w14:paraId="35CD0BB5"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899 226</w:t>
            </w:r>
          </w:p>
        </w:tc>
      </w:tr>
      <w:tr w:rsidR="00C63597" w:rsidRPr="000A64F1" w14:paraId="26DA7F32" w14:textId="77777777" w:rsidTr="00C63597">
        <w:trPr>
          <w:trHeight w:val="255"/>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EA05D8"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FIIT</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EF1EE"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128 237</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415B9"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152 743</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22104"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84 311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962E1"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97 596</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33611"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128 952</w:t>
            </w:r>
          </w:p>
        </w:tc>
        <w:tc>
          <w:tcPr>
            <w:tcW w:w="880" w:type="dxa"/>
            <w:tcBorders>
              <w:top w:val="nil"/>
              <w:left w:val="nil"/>
              <w:bottom w:val="single" w:sz="4" w:space="0" w:color="auto"/>
              <w:right w:val="nil"/>
            </w:tcBorders>
            <w:shd w:val="clear" w:color="auto" w:fill="auto"/>
            <w:noWrap/>
            <w:vAlign w:val="center"/>
          </w:tcPr>
          <w:p w14:paraId="388E0C55"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193 703</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3C7BF0C5"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296 638</w:t>
            </w:r>
          </w:p>
        </w:tc>
        <w:tc>
          <w:tcPr>
            <w:tcW w:w="880" w:type="dxa"/>
            <w:tcBorders>
              <w:top w:val="nil"/>
              <w:left w:val="nil"/>
              <w:bottom w:val="single" w:sz="4" w:space="0" w:color="auto"/>
              <w:right w:val="single" w:sz="4" w:space="0" w:color="auto"/>
            </w:tcBorders>
            <w:shd w:val="clear" w:color="auto" w:fill="auto"/>
            <w:noWrap/>
            <w:vAlign w:val="center"/>
          </w:tcPr>
          <w:p w14:paraId="79D091E0"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147 670</w:t>
            </w:r>
          </w:p>
        </w:tc>
        <w:tc>
          <w:tcPr>
            <w:tcW w:w="880" w:type="dxa"/>
            <w:tcBorders>
              <w:top w:val="nil"/>
              <w:left w:val="nil"/>
              <w:bottom w:val="single" w:sz="4" w:space="0" w:color="auto"/>
              <w:right w:val="single" w:sz="4" w:space="0" w:color="auto"/>
            </w:tcBorders>
            <w:shd w:val="clear" w:color="auto" w:fill="auto"/>
            <w:noWrap/>
            <w:vAlign w:val="center"/>
          </w:tcPr>
          <w:p w14:paraId="5179362F"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68 878</w:t>
            </w:r>
          </w:p>
        </w:tc>
        <w:tc>
          <w:tcPr>
            <w:tcW w:w="880" w:type="dxa"/>
            <w:tcBorders>
              <w:top w:val="nil"/>
              <w:left w:val="nil"/>
              <w:bottom w:val="single" w:sz="4" w:space="0" w:color="auto"/>
              <w:right w:val="single" w:sz="4" w:space="0" w:color="auto"/>
            </w:tcBorders>
            <w:shd w:val="clear" w:color="auto" w:fill="auto"/>
            <w:noWrap/>
            <w:vAlign w:val="center"/>
          </w:tcPr>
          <w:p w14:paraId="32209400"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103 901</w:t>
            </w:r>
          </w:p>
        </w:tc>
      </w:tr>
      <w:tr w:rsidR="00C63597" w:rsidRPr="000A64F1" w14:paraId="7541CA0B" w14:textId="77777777" w:rsidTr="00C63597">
        <w:trPr>
          <w:trHeight w:val="255"/>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4E67AC"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UM</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C0868"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22 245</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B25DE"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24 399</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8964F"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5 322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B1451"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2 234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72312"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8 793</w:t>
            </w:r>
          </w:p>
        </w:tc>
        <w:tc>
          <w:tcPr>
            <w:tcW w:w="880" w:type="dxa"/>
            <w:tcBorders>
              <w:top w:val="nil"/>
              <w:left w:val="nil"/>
              <w:bottom w:val="single" w:sz="4" w:space="0" w:color="auto"/>
              <w:right w:val="nil"/>
            </w:tcBorders>
            <w:shd w:val="clear" w:color="auto" w:fill="auto"/>
            <w:noWrap/>
            <w:vAlign w:val="center"/>
          </w:tcPr>
          <w:p w14:paraId="6F09337E"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27 391</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4F094D54"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29 578</w:t>
            </w:r>
          </w:p>
        </w:tc>
        <w:tc>
          <w:tcPr>
            <w:tcW w:w="880" w:type="dxa"/>
            <w:tcBorders>
              <w:top w:val="nil"/>
              <w:left w:val="nil"/>
              <w:bottom w:val="single" w:sz="4" w:space="0" w:color="auto"/>
              <w:right w:val="single" w:sz="4" w:space="0" w:color="auto"/>
            </w:tcBorders>
            <w:shd w:val="clear" w:color="auto" w:fill="auto"/>
            <w:noWrap/>
            <w:vAlign w:val="center"/>
          </w:tcPr>
          <w:p w14:paraId="32E8605D"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31 430</w:t>
            </w:r>
          </w:p>
        </w:tc>
        <w:tc>
          <w:tcPr>
            <w:tcW w:w="880" w:type="dxa"/>
            <w:tcBorders>
              <w:top w:val="nil"/>
              <w:left w:val="nil"/>
              <w:bottom w:val="single" w:sz="4" w:space="0" w:color="auto"/>
              <w:right w:val="single" w:sz="4" w:space="0" w:color="auto"/>
            </w:tcBorders>
            <w:shd w:val="clear" w:color="auto" w:fill="auto"/>
            <w:noWrap/>
            <w:vAlign w:val="center"/>
          </w:tcPr>
          <w:p w14:paraId="17C5A941"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6 814</w:t>
            </w:r>
          </w:p>
        </w:tc>
        <w:tc>
          <w:tcPr>
            <w:tcW w:w="880" w:type="dxa"/>
            <w:tcBorders>
              <w:top w:val="nil"/>
              <w:left w:val="nil"/>
              <w:bottom w:val="single" w:sz="4" w:space="0" w:color="auto"/>
              <w:right w:val="single" w:sz="4" w:space="0" w:color="auto"/>
            </w:tcBorders>
            <w:shd w:val="clear" w:color="auto" w:fill="auto"/>
            <w:noWrap/>
            <w:vAlign w:val="center"/>
          </w:tcPr>
          <w:p w14:paraId="14FAD172"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41 637</w:t>
            </w:r>
          </w:p>
        </w:tc>
      </w:tr>
      <w:tr w:rsidR="00C63597" w:rsidRPr="000A64F1" w14:paraId="458179E5" w14:textId="77777777" w:rsidTr="00C63597">
        <w:trPr>
          <w:trHeight w:val="255"/>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F0FAB5"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R-STU</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EF58D"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229 500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F0F8C"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8 968</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421EF"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8 968</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6B0E1"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57 564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C8685"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102 876</w:t>
            </w:r>
          </w:p>
        </w:tc>
        <w:tc>
          <w:tcPr>
            <w:tcW w:w="880" w:type="dxa"/>
            <w:tcBorders>
              <w:top w:val="nil"/>
              <w:left w:val="nil"/>
              <w:bottom w:val="single" w:sz="4" w:space="0" w:color="auto"/>
              <w:right w:val="nil"/>
            </w:tcBorders>
            <w:shd w:val="clear" w:color="auto" w:fill="auto"/>
            <w:noWrap/>
            <w:vAlign w:val="center"/>
          </w:tcPr>
          <w:p w14:paraId="674193E6"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115 307</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59D3DADC"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43 410</w:t>
            </w:r>
          </w:p>
        </w:tc>
        <w:tc>
          <w:tcPr>
            <w:tcW w:w="880" w:type="dxa"/>
            <w:tcBorders>
              <w:top w:val="nil"/>
              <w:left w:val="nil"/>
              <w:bottom w:val="single" w:sz="4" w:space="0" w:color="auto"/>
              <w:right w:val="single" w:sz="4" w:space="0" w:color="auto"/>
            </w:tcBorders>
            <w:shd w:val="clear" w:color="auto" w:fill="auto"/>
            <w:noWrap/>
            <w:vAlign w:val="center"/>
          </w:tcPr>
          <w:p w14:paraId="2F8010E0"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44 035</w:t>
            </w:r>
          </w:p>
        </w:tc>
        <w:tc>
          <w:tcPr>
            <w:tcW w:w="880" w:type="dxa"/>
            <w:tcBorders>
              <w:top w:val="nil"/>
              <w:left w:val="nil"/>
              <w:bottom w:val="single" w:sz="4" w:space="0" w:color="auto"/>
              <w:right w:val="single" w:sz="4" w:space="0" w:color="auto"/>
            </w:tcBorders>
            <w:shd w:val="clear" w:color="auto" w:fill="auto"/>
            <w:noWrap/>
            <w:vAlign w:val="center"/>
          </w:tcPr>
          <w:p w14:paraId="5F142AE1"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0</w:t>
            </w:r>
          </w:p>
        </w:tc>
        <w:tc>
          <w:tcPr>
            <w:tcW w:w="880" w:type="dxa"/>
            <w:tcBorders>
              <w:top w:val="nil"/>
              <w:left w:val="nil"/>
              <w:bottom w:val="single" w:sz="4" w:space="0" w:color="auto"/>
              <w:right w:val="single" w:sz="4" w:space="0" w:color="auto"/>
            </w:tcBorders>
            <w:shd w:val="clear" w:color="auto" w:fill="auto"/>
            <w:noWrap/>
            <w:vAlign w:val="center"/>
          </w:tcPr>
          <w:p w14:paraId="23BDDAD9" w14:textId="77777777" w:rsidR="00C63597" w:rsidRPr="000A64F1" w:rsidRDefault="00C63597" w:rsidP="00C63597">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0</w:t>
            </w:r>
          </w:p>
        </w:tc>
      </w:tr>
      <w:tr w:rsidR="00C63597" w:rsidRPr="000A64F1" w14:paraId="19D1F944" w14:textId="77777777" w:rsidTr="00C63597">
        <w:trPr>
          <w:trHeight w:val="255"/>
        </w:trPr>
        <w:tc>
          <w:tcPr>
            <w:tcW w:w="61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132E0F79"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STU</w:t>
            </w:r>
          </w:p>
        </w:tc>
        <w:tc>
          <w:tcPr>
            <w:tcW w:w="8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69146128"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5 301 964</w:t>
            </w:r>
          </w:p>
        </w:tc>
        <w:tc>
          <w:tcPr>
            <w:tcW w:w="8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DE03151"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5 703 150</w:t>
            </w:r>
          </w:p>
        </w:tc>
        <w:tc>
          <w:tcPr>
            <w:tcW w:w="8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CD0DEF2"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5 420 702</w:t>
            </w:r>
          </w:p>
        </w:tc>
        <w:tc>
          <w:tcPr>
            <w:tcW w:w="8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405C0AE"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5 473 805</w:t>
            </w:r>
          </w:p>
        </w:tc>
        <w:tc>
          <w:tcPr>
            <w:tcW w:w="8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BBDBA16"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6 064 793</w:t>
            </w:r>
          </w:p>
        </w:tc>
        <w:tc>
          <w:tcPr>
            <w:tcW w:w="880" w:type="dxa"/>
            <w:tcBorders>
              <w:top w:val="nil"/>
              <w:left w:val="nil"/>
              <w:bottom w:val="single" w:sz="4" w:space="0" w:color="auto"/>
              <w:right w:val="nil"/>
            </w:tcBorders>
            <w:shd w:val="clear" w:color="auto" w:fill="EEECE1" w:themeFill="background2"/>
            <w:noWrap/>
            <w:vAlign w:val="center"/>
          </w:tcPr>
          <w:p w14:paraId="4898C6E4"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6 795 577</w:t>
            </w:r>
          </w:p>
        </w:tc>
        <w:tc>
          <w:tcPr>
            <w:tcW w:w="880" w:type="dxa"/>
            <w:tcBorders>
              <w:top w:val="single" w:sz="4" w:space="0" w:color="auto"/>
              <w:left w:val="single" w:sz="4" w:space="0" w:color="auto"/>
              <w:bottom w:val="single" w:sz="4" w:space="0" w:color="auto"/>
              <w:right w:val="nil"/>
            </w:tcBorders>
            <w:shd w:val="clear" w:color="auto" w:fill="EEECE1" w:themeFill="background2"/>
            <w:noWrap/>
            <w:vAlign w:val="center"/>
          </w:tcPr>
          <w:p w14:paraId="2812FE0F"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7 844 821</w:t>
            </w:r>
          </w:p>
        </w:tc>
        <w:tc>
          <w:tcPr>
            <w:tcW w:w="880" w:type="dxa"/>
            <w:tcBorders>
              <w:top w:val="single" w:sz="4" w:space="0" w:color="auto"/>
              <w:left w:val="single" w:sz="4" w:space="0" w:color="auto"/>
              <w:bottom w:val="single" w:sz="4" w:space="0" w:color="auto"/>
              <w:right w:val="nil"/>
            </w:tcBorders>
            <w:shd w:val="clear" w:color="auto" w:fill="EEECE1" w:themeFill="background2"/>
            <w:noWrap/>
            <w:vAlign w:val="center"/>
          </w:tcPr>
          <w:p w14:paraId="7BA94822"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7 710 525</w:t>
            </w:r>
          </w:p>
        </w:tc>
        <w:tc>
          <w:tcPr>
            <w:tcW w:w="880" w:type="dxa"/>
            <w:tcBorders>
              <w:top w:val="single" w:sz="4" w:space="0" w:color="auto"/>
              <w:left w:val="single" w:sz="4" w:space="0" w:color="auto"/>
              <w:bottom w:val="single" w:sz="4" w:space="0" w:color="auto"/>
              <w:right w:val="nil"/>
            </w:tcBorders>
            <w:shd w:val="clear" w:color="auto" w:fill="EEECE1" w:themeFill="background2"/>
            <w:noWrap/>
            <w:vAlign w:val="center"/>
          </w:tcPr>
          <w:p w14:paraId="28413385"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7 467 397</w:t>
            </w:r>
          </w:p>
        </w:tc>
        <w:tc>
          <w:tcPr>
            <w:tcW w:w="880" w:type="dxa"/>
            <w:tcBorders>
              <w:top w:val="nil"/>
              <w:left w:val="single" w:sz="4" w:space="0" w:color="auto"/>
              <w:bottom w:val="single" w:sz="4" w:space="0" w:color="auto"/>
              <w:right w:val="single" w:sz="4" w:space="0" w:color="auto"/>
            </w:tcBorders>
            <w:shd w:val="clear" w:color="auto" w:fill="EEECE1" w:themeFill="background2"/>
            <w:noWrap/>
            <w:vAlign w:val="center"/>
          </w:tcPr>
          <w:p w14:paraId="68622FD5" w14:textId="77777777" w:rsidR="00C63597" w:rsidRPr="000A64F1" w:rsidRDefault="00C63597" w:rsidP="00C63597">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7 445 007</w:t>
            </w:r>
          </w:p>
        </w:tc>
      </w:tr>
    </w:tbl>
    <w:p w14:paraId="275454FC" w14:textId="77777777" w:rsidR="00C63597" w:rsidRPr="000A64F1" w:rsidRDefault="00C63597" w:rsidP="00C63597">
      <w:pPr>
        <w:jc w:val="center"/>
        <w:rPr>
          <w:sz w:val="18"/>
          <w:szCs w:val="18"/>
        </w:rPr>
      </w:pPr>
      <w:r w:rsidRPr="000A64F1">
        <w:rPr>
          <w:sz w:val="18"/>
          <w:szCs w:val="18"/>
        </w:rPr>
        <w:t>Zdroj: rektorát STU</w:t>
      </w:r>
    </w:p>
    <w:p w14:paraId="694D129F" w14:textId="77777777" w:rsidR="00C63597" w:rsidRPr="000A64F1" w:rsidRDefault="00C63597" w:rsidP="00C63597">
      <w:pPr>
        <w:jc w:val="both"/>
        <w:rPr>
          <w:rFonts w:cstheme="minorHAnsi"/>
          <w:color w:val="C00000"/>
        </w:rPr>
      </w:pPr>
    </w:p>
    <w:p w14:paraId="1C65C412" w14:textId="77777777" w:rsidR="00172BB3" w:rsidRDefault="00172BB3" w:rsidP="00C63597">
      <w:pPr>
        <w:jc w:val="both"/>
        <w:rPr>
          <w:rFonts w:cstheme="minorHAnsi"/>
        </w:rPr>
      </w:pPr>
    </w:p>
    <w:p w14:paraId="4CD05E1D" w14:textId="721EA325" w:rsidR="00C63597" w:rsidRPr="000A64F1" w:rsidRDefault="00C63597" w:rsidP="00C63597">
      <w:pPr>
        <w:jc w:val="both"/>
        <w:rPr>
          <w:rFonts w:cstheme="minorHAnsi"/>
        </w:rPr>
      </w:pPr>
      <w:r w:rsidRPr="000A64F1">
        <w:rPr>
          <w:rFonts w:cstheme="minorHAnsi"/>
        </w:rPr>
        <w:t>Graf č.</w:t>
      </w:r>
      <w:r w:rsidR="00172BB3">
        <w:rPr>
          <w:rFonts w:cstheme="minorHAnsi"/>
        </w:rPr>
        <w:t xml:space="preserve"> 2</w:t>
      </w:r>
      <w:r w:rsidRPr="000A64F1">
        <w:rPr>
          <w:rFonts w:cstheme="minorHAnsi"/>
        </w:rPr>
        <w:t>4: Finančné prostriedky z domácich grantových agentúr</w:t>
      </w:r>
    </w:p>
    <w:p w14:paraId="70B75E24" w14:textId="77777777" w:rsidR="00C63597" w:rsidRPr="000A64F1" w:rsidRDefault="00C63597" w:rsidP="00C63597">
      <w:pPr>
        <w:jc w:val="both"/>
        <w:rPr>
          <w:rFonts w:cstheme="minorHAnsi"/>
        </w:rPr>
      </w:pPr>
    </w:p>
    <w:p w14:paraId="45A38297" w14:textId="77777777" w:rsidR="00C63597" w:rsidRPr="000A64F1" w:rsidRDefault="00C63597" w:rsidP="00C63597">
      <w:pPr>
        <w:jc w:val="center"/>
        <w:rPr>
          <w:rFonts w:cstheme="minorHAnsi"/>
          <w:b/>
        </w:rPr>
      </w:pPr>
      <w:r w:rsidRPr="000A64F1">
        <w:rPr>
          <w:noProof/>
          <w:lang w:eastAsia="sk-SK"/>
        </w:rPr>
        <w:drawing>
          <wp:inline distT="0" distB="0" distL="0" distR="0" wp14:anchorId="06E5EFAF" wp14:editId="3E28C54C">
            <wp:extent cx="5030470" cy="2695575"/>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CD5A9E8" w14:textId="77777777" w:rsidR="00C63597" w:rsidRPr="000A64F1" w:rsidRDefault="00C63597" w:rsidP="00C63597">
      <w:pPr>
        <w:jc w:val="center"/>
        <w:rPr>
          <w:sz w:val="18"/>
          <w:szCs w:val="18"/>
        </w:rPr>
      </w:pPr>
      <w:r w:rsidRPr="000A64F1">
        <w:rPr>
          <w:sz w:val="18"/>
          <w:szCs w:val="18"/>
        </w:rPr>
        <w:t>Zdroj: rektorát STU</w:t>
      </w:r>
    </w:p>
    <w:p w14:paraId="1BE3F4F6" w14:textId="53E74913" w:rsidR="00C63597" w:rsidRDefault="00C63597" w:rsidP="00C63597">
      <w:pPr>
        <w:jc w:val="center"/>
        <w:rPr>
          <w:rFonts w:cstheme="minorHAnsi"/>
          <w:b/>
        </w:rPr>
      </w:pPr>
    </w:p>
    <w:p w14:paraId="6AEB3784" w14:textId="38A7AE26" w:rsidR="00172BB3" w:rsidRDefault="00172BB3" w:rsidP="00C63597">
      <w:pPr>
        <w:jc w:val="center"/>
        <w:rPr>
          <w:rFonts w:cstheme="minorHAnsi"/>
          <w:b/>
        </w:rPr>
      </w:pPr>
    </w:p>
    <w:p w14:paraId="13D0B4C2" w14:textId="4CE1EAD5" w:rsidR="00172BB3" w:rsidRDefault="00172BB3" w:rsidP="00C63597">
      <w:pPr>
        <w:jc w:val="center"/>
        <w:rPr>
          <w:rFonts w:cstheme="minorHAnsi"/>
          <w:b/>
        </w:rPr>
      </w:pPr>
    </w:p>
    <w:p w14:paraId="11FAC0DA" w14:textId="2FDF0396" w:rsidR="00172BB3" w:rsidRDefault="00172BB3" w:rsidP="00C63597">
      <w:pPr>
        <w:jc w:val="center"/>
        <w:rPr>
          <w:rFonts w:cstheme="minorHAnsi"/>
          <w:b/>
        </w:rPr>
      </w:pPr>
    </w:p>
    <w:p w14:paraId="19996A23" w14:textId="180D44F2" w:rsidR="00172BB3" w:rsidRDefault="00172BB3" w:rsidP="00C63597">
      <w:pPr>
        <w:jc w:val="center"/>
        <w:rPr>
          <w:rFonts w:cstheme="minorHAnsi"/>
          <w:b/>
        </w:rPr>
      </w:pPr>
    </w:p>
    <w:p w14:paraId="501AB282" w14:textId="4F81A583" w:rsidR="00172BB3" w:rsidRDefault="00172BB3" w:rsidP="00C63597">
      <w:pPr>
        <w:jc w:val="center"/>
        <w:rPr>
          <w:rFonts w:cstheme="minorHAnsi"/>
          <w:b/>
        </w:rPr>
      </w:pPr>
    </w:p>
    <w:p w14:paraId="3BB76E61" w14:textId="5A22E20D" w:rsidR="00172BB3" w:rsidRDefault="00172BB3" w:rsidP="00C63597">
      <w:pPr>
        <w:jc w:val="center"/>
        <w:rPr>
          <w:rFonts w:cstheme="minorHAnsi"/>
          <w:b/>
        </w:rPr>
      </w:pPr>
    </w:p>
    <w:p w14:paraId="18F2E582" w14:textId="77777777" w:rsidR="00172BB3" w:rsidRDefault="00172BB3" w:rsidP="00C63597">
      <w:pPr>
        <w:jc w:val="both"/>
        <w:rPr>
          <w:rFonts w:cstheme="minorHAnsi"/>
          <w:b/>
        </w:rPr>
      </w:pPr>
    </w:p>
    <w:p w14:paraId="33CFE147" w14:textId="77777777" w:rsidR="00172BB3" w:rsidRDefault="00172BB3" w:rsidP="00C63597">
      <w:pPr>
        <w:jc w:val="both"/>
        <w:rPr>
          <w:rFonts w:cstheme="minorHAnsi"/>
          <w:b/>
        </w:rPr>
      </w:pPr>
    </w:p>
    <w:p w14:paraId="20955E37" w14:textId="77777777" w:rsidR="00172BB3" w:rsidRDefault="00172BB3" w:rsidP="00C63597">
      <w:pPr>
        <w:jc w:val="both"/>
        <w:rPr>
          <w:rFonts w:cstheme="minorHAnsi"/>
          <w:b/>
        </w:rPr>
      </w:pPr>
    </w:p>
    <w:p w14:paraId="59862975" w14:textId="77777777" w:rsidR="00172BB3" w:rsidRDefault="00172BB3" w:rsidP="00C63597">
      <w:pPr>
        <w:jc w:val="both"/>
        <w:rPr>
          <w:rFonts w:cstheme="minorHAnsi"/>
          <w:b/>
        </w:rPr>
      </w:pPr>
    </w:p>
    <w:p w14:paraId="13394661" w14:textId="15E3A6E4" w:rsidR="00C63597" w:rsidRPr="000A64F1" w:rsidRDefault="00C63597" w:rsidP="00C63597">
      <w:pPr>
        <w:jc w:val="both"/>
        <w:rPr>
          <w:rFonts w:cstheme="minorHAnsi"/>
        </w:rPr>
      </w:pPr>
      <w:r w:rsidRPr="000A64F1">
        <w:rPr>
          <w:rFonts w:cstheme="minorHAnsi"/>
        </w:rPr>
        <w:t xml:space="preserve">Graf č. </w:t>
      </w:r>
      <w:r w:rsidR="00172BB3">
        <w:rPr>
          <w:rFonts w:cstheme="minorHAnsi"/>
        </w:rPr>
        <w:t>2</w:t>
      </w:r>
      <w:r w:rsidRPr="000A64F1">
        <w:rPr>
          <w:rFonts w:cstheme="minorHAnsi"/>
        </w:rPr>
        <w:t>4a: Finančné prostriedky z domácich grantových agentúr podľa jednotlivých súčastí za rok 2022</w:t>
      </w:r>
    </w:p>
    <w:p w14:paraId="174DB5E2" w14:textId="77777777" w:rsidR="00C63597" w:rsidRPr="000A64F1" w:rsidRDefault="00C63597" w:rsidP="00C63597">
      <w:pPr>
        <w:jc w:val="both"/>
        <w:rPr>
          <w:rFonts w:cstheme="minorHAnsi"/>
        </w:rPr>
      </w:pPr>
    </w:p>
    <w:p w14:paraId="1B474CE3" w14:textId="77777777" w:rsidR="00C63597" w:rsidRPr="000A64F1" w:rsidRDefault="00C63597" w:rsidP="00C63597">
      <w:pPr>
        <w:jc w:val="both"/>
        <w:rPr>
          <w:rFonts w:cstheme="minorHAnsi"/>
        </w:rPr>
      </w:pPr>
      <w:r w:rsidRPr="000A64F1">
        <w:rPr>
          <w:noProof/>
          <w:lang w:eastAsia="sk-SK"/>
        </w:rPr>
        <w:drawing>
          <wp:inline distT="0" distB="0" distL="0" distR="0" wp14:anchorId="3D25BB58" wp14:editId="6B90E46D">
            <wp:extent cx="5422900" cy="2736850"/>
            <wp:effectExtent l="0" t="0" r="6350" b="635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95D5345" w14:textId="77777777" w:rsidR="00C63597" w:rsidRPr="000A64F1" w:rsidRDefault="00C63597" w:rsidP="00C63597">
      <w:pPr>
        <w:jc w:val="center"/>
        <w:rPr>
          <w:rFonts w:cstheme="minorHAnsi"/>
        </w:rPr>
      </w:pPr>
      <w:r w:rsidRPr="000A64F1">
        <w:rPr>
          <w:sz w:val="18"/>
          <w:szCs w:val="18"/>
        </w:rPr>
        <w:t>Zdroj: rektorát STU</w:t>
      </w:r>
    </w:p>
    <w:p w14:paraId="2C503763" w14:textId="77777777" w:rsidR="00C63597" w:rsidRPr="000A64F1" w:rsidRDefault="00C63597" w:rsidP="00C63597">
      <w:pPr>
        <w:rPr>
          <w:rFonts w:cstheme="minorHAnsi"/>
        </w:rPr>
      </w:pPr>
    </w:p>
    <w:p w14:paraId="401F0828" w14:textId="77777777" w:rsidR="00172BB3" w:rsidRDefault="00172BB3" w:rsidP="00C63597">
      <w:pPr>
        <w:jc w:val="both"/>
        <w:rPr>
          <w:rFonts w:cstheme="minorHAnsi"/>
        </w:rPr>
      </w:pPr>
    </w:p>
    <w:p w14:paraId="27F34D39" w14:textId="77777777" w:rsidR="00172BB3" w:rsidRDefault="00172BB3" w:rsidP="00C63597">
      <w:pPr>
        <w:jc w:val="both"/>
        <w:rPr>
          <w:rFonts w:cstheme="minorHAnsi"/>
        </w:rPr>
      </w:pPr>
    </w:p>
    <w:p w14:paraId="52E411A2" w14:textId="77777777" w:rsidR="00172BB3" w:rsidRDefault="00172BB3" w:rsidP="00C63597">
      <w:pPr>
        <w:jc w:val="both"/>
        <w:rPr>
          <w:rFonts w:cstheme="minorHAnsi"/>
        </w:rPr>
      </w:pPr>
    </w:p>
    <w:p w14:paraId="1C69A915" w14:textId="5E00AFCE" w:rsidR="00C63597" w:rsidRPr="000A64F1" w:rsidRDefault="00C63597" w:rsidP="00C63597">
      <w:pPr>
        <w:jc w:val="both"/>
        <w:rPr>
          <w:rFonts w:cstheme="minorHAnsi"/>
        </w:rPr>
      </w:pPr>
      <w:r w:rsidRPr="000A64F1">
        <w:rPr>
          <w:rFonts w:cstheme="minorHAnsi"/>
        </w:rPr>
        <w:t xml:space="preserve">Graf č. </w:t>
      </w:r>
      <w:r w:rsidR="009E70B6">
        <w:rPr>
          <w:rFonts w:cstheme="minorHAnsi"/>
        </w:rPr>
        <w:t>2</w:t>
      </w:r>
      <w:r w:rsidRPr="000A64F1">
        <w:rPr>
          <w:rFonts w:cstheme="minorHAnsi"/>
        </w:rPr>
        <w:t>5a: Podiel súčastí STU na získavaní finančných prostriedkov z domácich výskumných grantových agentúr – grantoch VEGA v roku 2022</w:t>
      </w:r>
    </w:p>
    <w:p w14:paraId="1C88557C" w14:textId="77777777" w:rsidR="00C63597" w:rsidRPr="000A64F1" w:rsidRDefault="00C63597" w:rsidP="00C63597">
      <w:pPr>
        <w:rPr>
          <w:rFonts w:cstheme="minorHAnsi"/>
        </w:rPr>
      </w:pPr>
      <w:r w:rsidRPr="000A64F1">
        <w:rPr>
          <w:noProof/>
          <w:lang w:eastAsia="sk-SK"/>
        </w:rPr>
        <w:drawing>
          <wp:inline distT="0" distB="0" distL="0" distR="0" wp14:anchorId="3098120D" wp14:editId="54F9384A">
            <wp:extent cx="5760720" cy="29210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5443B22" w14:textId="77777777" w:rsidR="00C63597" w:rsidRPr="000A64F1" w:rsidRDefault="00C63597" w:rsidP="00C63597">
      <w:pPr>
        <w:jc w:val="center"/>
        <w:rPr>
          <w:sz w:val="18"/>
          <w:szCs w:val="18"/>
        </w:rPr>
      </w:pPr>
      <w:r w:rsidRPr="000A64F1">
        <w:rPr>
          <w:sz w:val="18"/>
          <w:szCs w:val="18"/>
        </w:rPr>
        <w:t>Zdroj: rektorát STU</w:t>
      </w:r>
    </w:p>
    <w:p w14:paraId="159D4CF6" w14:textId="77777777" w:rsidR="00C63597" w:rsidRPr="000A64F1" w:rsidRDefault="00C63597" w:rsidP="00C63597">
      <w:pPr>
        <w:jc w:val="center"/>
        <w:rPr>
          <w:sz w:val="18"/>
          <w:szCs w:val="18"/>
        </w:rPr>
      </w:pPr>
    </w:p>
    <w:p w14:paraId="233BAB66" w14:textId="77777777" w:rsidR="00172BB3" w:rsidRDefault="00172BB3" w:rsidP="00C63597">
      <w:pPr>
        <w:jc w:val="both"/>
        <w:rPr>
          <w:rFonts w:cstheme="minorHAnsi"/>
        </w:rPr>
      </w:pPr>
    </w:p>
    <w:p w14:paraId="3F456CF0" w14:textId="77777777" w:rsidR="00172BB3" w:rsidRDefault="00172BB3" w:rsidP="00C63597">
      <w:pPr>
        <w:jc w:val="both"/>
        <w:rPr>
          <w:rFonts w:cstheme="minorHAnsi"/>
        </w:rPr>
      </w:pPr>
    </w:p>
    <w:p w14:paraId="189C95FA" w14:textId="77777777" w:rsidR="00172BB3" w:rsidRDefault="00172BB3" w:rsidP="00C63597">
      <w:pPr>
        <w:jc w:val="both"/>
        <w:rPr>
          <w:rFonts w:cstheme="minorHAnsi"/>
        </w:rPr>
      </w:pPr>
    </w:p>
    <w:p w14:paraId="48A38F32" w14:textId="77777777" w:rsidR="009E70B6" w:rsidRDefault="009E70B6" w:rsidP="00C63597">
      <w:pPr>
        <w:jc w:val="both"/>
        <w:rPr>
          <w:rFonts w:cstheme="minorHAnsi"/>
        </w:rPr>
      </w:pPr>
    </w:p>
    <w:p w14:paraId="29725ADE" w14:textId="2D9E5AD3" w:rsidR="00C63597" w:rsidRPr="000A64F1" w:rsidRDefault="00C63597" w:rsidP="009E70B6">
      <w:pPr>
        <w:jc w:val="both"/>
      </w:pPr>
      <w:r w:rsidRPr="000A64F1">
        <w:rPr>
          <w:rFonts w:cstheme="minorHAnsi"/>
        </w:rPr>
        <w:lastRenderedPageBreak/>
        <w:t xml:space="preserve">Graf č. </w:t>
      </w:r>
      <w:r w:rsidR="009E70B6">
        <w:rPr>
          <w:rFonts w:cstheme="minorHAnsi"/>
        </w:rPr>
        <w:t>2</w:t>
      </w:r>
      <w:r w:rsidRPr="000A64F1">
        <w:rPr>
          <w:rFonts w:cstheme="minorHAnsi"/>
        </w:rPr>
        <w:t xml:space="preserve">5b: </w:t>
      </w:r>
      <w:r w:rsidRPr="000A64F1">
        <w:t xml:space="preserve">Podiel jednotlivých súčastí na grantoch VEGA </w:t>
      </w:r>
      <w:r w:rsidR="009E70B6">
        <w:t>na jedného tvorivého pracovníka</w:t>
      </w:r>
    </w:p>
    <w:p w14:paraId="2314D2D0" w14:textId="77777777" w:rsidR="00C63597" w:rsidRPr="000A64F1" w:rsidRDefault="00C63597" w:rsidP="00C63597">
      <w:pPr>
        <w:jc w:val="center"/>
        <w:rPr>
          <w:rFonts w:cstheme="minorHAnsi"/>
        </w:rPr>
      </w:pPr>
      <w:r w:rsidRPr="000A64F1">
        <w:rPr>
          <w:noProof/>
          <w:lang w:eastAsia="sk-SK"/>
        </w:rPr>
        <w:drawing>
          <wp:inline distT="0" distB="0" distL="0" distR="0" wp14:anchorId="77F1583B" wp14:editId="00D2B81D">
            <wp:extent cx="5760720" cy="2548255"/>
            <wp:effectExtent l="0" t="0" r="0" b="444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0E83912" w14:textId="77777777" w:rsidR="00C63597" w:rsidRPr="000A64F1" w:rsidRDefault="00C63597" w:rsidP="00C63597">
      <w:pPr>
        <w:jc w:val="center"/>
        <w:rPr>
          <w:sz w:val="18"/>
          <w:szCs w:val="18"/>
        </w:rPr>
      </w:pPr>
      <w:r w:rsidRPr="000A64F1">
        <w:rPr>
          <w:sz w:val="18"/>
          <w:szCs w:val="18"/>
        </w:rPr>
        <w:t>Zdroj: rektorát STU</w:t>
      </w:r>
    </w:p>
    <w:p w14:paraId="2EEF9871" w14:textId="77777777" w:rsidR="009E70B6" w:rsidRDefault="009E70B6" w:rsidP="00C63597">
      <w:pPr>
        <w:rPr>
          <w:rFonts w:cstheme="minorHAnsi"/>
          <w:b/>
        </w:rPr>
      </w:pPr>
    </w:p>
    <w:p w14:paraId="61BBAC53" w14:textId="0F182A90" w:rsidR="00C63597" w:rsidRPr="000A64F1" w:rsidRDefault="00C63597" w:rsidP="00C63597">
      <w:pPr>
        <w:rPr>
          <w:rFonts w:cstheme="minorHAnsi"/>
        </w:rPr>
      </w:pPr>
      <w:r w:rsidRPr="000A64F1">
        <w:rPr>
          <w:rFonts w:cstheme="minorHAnsi"/>
        </w:rPr>
        <w:t xml:space="preserve">Graf č. </w:t>
      </w:r>
      <w:r w:rsidR="009E70B6">
        <w:rPr>
          <w:rFonts w:cstheme="minorHAnsi"/>
        </w:rPr>
        <w:t>2</w:t>
      </w:r>
      <w:r w:rsidRPr="000A64F1">
        <w:rPr>
          <w:rFonts w:cstheme="minorHAnsi"/>
        </w:rPr>
        <w:t>6a: Podiel súčastí STU na grantoch APVV v roku 2022</w:t>
      </w:r>
    </w:p>
    <w:p w14:paraId="77CEE42F" w14:textId="77777777" w:rsidR="00C63597" w:rsidRPr="000A64F1" w:rsidRDefault="00C63597" w:rsidP="00C63597">
      <w:pPr>
        <w:ind w:left="284"/>
        <w:jc w:val="center"/>
        <w:rPr>
          <w:b/>
        </w:rPr>
      </w:pPr>
      <w:r w:rsidRPr="000A64F1">
        <w:rPr>
          <w:noProof/>
          <w:lang w:eastAsia="sk-SK"/>
        </w:rPr>
        <w:drawing>
          <wp:inline distT="0" distB="0" distL="0" distR="0" wp14:anchorId="2EEDDA92" wp14:editId="75E6E90E">
            <wp:extent cx="5086350" cy="2813050"/>
            <wp:effectExtent l="0" t="0" r="0" b="635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714DED3" w14:textId="77777777" w:rsidR="00C63597" w:rsidRPr="000A64F1" w:rsidRDefault="00C63597" w:rsidP="00C63597">
      <w:pPr>
        <w:jc w:val="center"/>
        <w:rPr>
          <w:sz w:val="18"/>
          <w:szCs w:val="18"/>
        </w:rPr>
      </w:pPr>
      <w:r w:rsidRPr="000A64F1">
        <w:rPr>
          <w:sz w:val="18"/>
          <w:szCs w:val="18"/>
        </w:rPr>
        <w:t>Zdroj: rektorát STU</w:t>
      </w:r>
    </w:p>
    <w:p w14:paraId="0EA54A89" w14:textId="77777777" w:rsidR="009E70B6" w:rsidRDefault="009E70B6" w:rsidP="009E70B6">
      <w:pPr>
        <w:jc w:val="both"/>
        <w:rPr>
          <w:rFonts w:cstheme="minorHAnsi"/>
        </w:rPr>
      </w:pPr>
    </w:p>
    <w:p w14:paraId="4DBA920D" w14:textId="683AD700" w:rsidR="009E70B6" w:rsidRPr="000A64F1" w:rsidRDefault="00C63597" w:rsidP="009E70B6">
      <w:pPr>
        <w:jc w:val="both"/>
      </w:pPr>
      <w:r w:rsidRPr="000A64F1">
        <w:rPr>
          <w:rFonts w:cstheme="minorHAnsi"/>
        </w:rPr>
        <w:t xml:space="preserve">Graf č. </w:t>
      </w:r>
      <w:r w:rsidR="009E70B6">
        <w:rPr>
          <w:rFonts w:cstheme="minorHAnsi"/>
        </w:rPr>
        <w:t>2</w:t>
      </w:r>
      <w:r w:rsidRPr="000A64F1">
        <w:rPr>
          <w:rFonts w:cstheme="minorHAnsi"/>
        </w:rPr>
        <w:t xml:space="preserve">6b: Podiel súčastí STU na grantoch APVV v roku 2022 </w:t>
      </w:r>
      <w:r w:rsidR="009E70B6">
        <w:t>na jedného tvorivého pracovníka</w:t>
      </w:r>
    </w:p>
    <w:p w14:paraId="2E1B6CA7" w14:textId="77777777" w:rsidR="00C63597" w:rsidRPr="000A64F1" w:rsidRDefault="00C63597" w:rsidP="00C63597">
      <w:pPr>
        <w:rPr>
          <w:rFonts w:cstheme="minorHAnsi"/>
        </w:rPr>
      </w:pPr>
      <w:r w:rsidRPr="000A64F1">
        <w:rPr>
          <w:noProof/>
          <w:lang w:eastAsia="sk-SK"/>
        </w:rPr>
        <w:drawing>
          <wp:inline distT="0" distB="0" distL="0" distR="0" wp14:anchorId="3687B782" wp14:editId="0F97CA60">
            <wp:extent cx="5760720" cy="2324735"/>
            <wp:effectExtent l="0" t="0" r="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D241F2A" w14:textId="77777777" w:rsidR="00C63597" w:rsidRPr="000A64F1" w:rsidRDefault="00C63597" w:rsidP="00C63597">
      <w:pPr>
        <w:jc w:val="center"/>
        <w:rPr>
          <w:sz w:val="18"/>
          <w:szCs w:val="18"/>
        </w:rPr>
      </w:pPr>
      <w:r w:rsidRPr="000A64F1">
        <w:rPr>
          <w:sz w:val="18"/>
          <w:szCs w:val="18"/>
        </w:rPr>
        <w:t>Zdroj: rektorát STU</w:t>
      </w:r>
    </w:p>
    <w:p w14:paraId="347E88B4" w14:textId="2F66DACA" w:rsidR="009E70B6" w:rsidRPr="000A64F1" w:rsidRDefault="009E70B6" w:rsidP="009E70B6">
      <w:pPr>
        <w:rPr>
          <w:b/>
          <w:sz w:val="28"/>
          <w:szCs w:val="28"/>
        </w:rPr>
      </w:pPr>
      <w:bookmarkStart w:id="196" w:name="_Toc64379193"/>
      <w:r>
        <w:rPr>
          <w:b/>
          <w:sz w:val="28"/>
          <w:szCs w:val="28"/>
        </w:rPr>
        <w:lastRenderedPageBreak/>
        <w:t>5.</w:t>
      </w:r>
      <w:r w:rsidRPr="000A64F1">
        <w:rPr>
          <w:b/>
          <w:sz w:val="28"/>
          <w:szCs w:val="28"/>
        </w:rPr>
        <w:t>2. Zahraničné grantové schémy</w:t>
      </w:r>
      <w:bookmarkEnd w:id="196"/>
      <w:r w:rsidRPr="000A64F1">
        <w:rPr>
          <w:b/>
          <w:sz w:val="28"/>
          <w:szCs w:val="28"/>
        </w:rPr>
        <w:t xml:space="preserve"> </w:t>
      </w:r>
    </w:p>
    <w:p w14:paraId="754F2B1E" w14:textId="77777777" w:rsidR="009E70B6" w:rsidRPr="000A64F1" w:rsidRDefault="009E70B6" w:rsidP="009E70B6">
      <w:pPr>
        <w:jc w:val="both"/>
        <w:rPr>
          <w:rFonts w:cstheme="minorHAnsi"/>
        </w:rPr>
      </w:pPr>
    </w:p>
    <w:p w14:paraId="793613E8" w14:textId="08FCB4FB" w:rsidR="009E70B6" w:rsidRPr="000A64F1" w:rsidRDefault="009E70B6" w:rsidP="009E70B6">
      <w:pPr>
        <w:jc w:val="both"/>
        <w:rPr>
          <w:rFonts w:cstheme="minorHAnsi"/>
        </w:rPr>
      </w:pPr>
      <w:r w:rsidRPr="000A64F1">
        <w:rPr>
          <w:rFonts w:cstheme="minorHAnsi"/>
        </w:rPr>
        <w:t xml:space="preserve">V </w:t>
      </w:r>
      <w:r w:rsidRPr="008D03BB">
        <w:rPr>
          <w:rFonts w:cstheme="minorHAnsi"/>
          <w:b/>
        </w:rPr>
        <w:t>zahraničných výskumných grantoch</w:t>
      </w:r>
      <w:r w:rsidRPr="000A64F1">
        <w:rPr>
          <w:rFonts w:cstheme="minorHAnsi"/>
        </w:rPr>
        <w:t xml:space="preserve"> sa len 7 vysokých škôl podieľa na 83 % z objemu získaných finančn</w:t>
      </w:r>
      <w:r>
        <w:rPr>
          <w:rFonts w:cstheme="minorHAnsi"/>
        </w:rPr>
        <w:t xml:space="preserve">ých prostriedkov. </w:t>
      </w:r>
      <w:r w:rsidRPr="008D03BB">
        <w:rPr>
          <w:rFonts w:cstheme="minorHAnsi"/>
          <w:b/>
        </w:rPr>
        <w:t>STU má 18 % podiel</w:t>
      </w:r>
      <w:r w:rsidRPr="000A64F1">
        <w:rPr>
          <w:rFonts w:cstheme="minorHAnsi"/>
        </w:rPr>
        <w:t xml:space="preserve">. Graf č. </w:t>
      </w:r>
      <w:r>
        <w:rPr>
          <w:rFonts w:cstheme="minorHAnsi"/>
        </w:rPr>
        <w:t>2</w:t>
      </w:r>
      <w:r w:rsidRPr="000A64F1">
        <w:rPr>
          <w:rFonts w:cstheme="minorHAnsi"/>
        </w:rPr>
        <w:t xml:space="preserve">7a dokumentuje podiel STU a vybraných verejných vysokých škôl na Slovensku pri získavaní zahraničných grantov podľa údajov MŠVVaŠ SR, ktoré boli použité ako podklad pri určení dotácie na rok 2023 (v súlade s metodikou delenia dotácie teda ide o údaje za roky 2020 a 2021). V ostatných zahraničných grantoch, ktoré zobrazuje graf č. </w:t>
      </w:r>
      <w:r>
        <w:rPr>
          <w:rFonts w:cstheme="minorHAnsi"/>
        </w:rPr>
        <w:t>2</w:t>
      </w:r>
      <w:r w:rsidRPr="000A64F1">
        <w:rPr>
          <w:rFonts w:cstheme="minorHAnsi"/>
        </w:rPr>
        <w:t>7b, STU figuruje na druhom mieste s 9 % z celkového objemu získaných finančných prostriedkov.</w:t>
      </w:r>
    </w:p>
    <w:p w14:paraId="30ECD04B" w14:textId="157601F4" w:rsidR="009E70B6" w:rsidRPr="000A64F1" w:rsidRDefault="009E70B6" w:rsidP="009E70B6">
      <w:pPr>
        <w:jc w:val="both"/>
        <w:rPr>
          <w:rFonts w:cstheme="minorHAnsi"/>
        </w:rPr>
      </w:pPr>
      <w:r w:rsidRPr="000A64F1">
        <w:rPr>
          <w:rFonts w:cstheme="minorHAnsi"/>
        </w:rPr>
        <w:t xml:space="preserve">Porovnanie najúspešnejších vysokých škôl v získavaní finančných prostriedkov z výskumných zahraničných grantových agentúr dokumentuje graf č. </w:t>
      </w:r>
      <w:r>
        <w:rPr>
          <w:rFonts w:cstheme="minorHAnsi"/>
        </w:rPr>
        <w:t>2</w:t>
      </w:r>
      <w:r w:rsidRPr="000A64F1">
        <w:rPr>
          <w:rFonts w:cstheme="minorHAnsi"/>
        </w:rPr>
        <w:t xml:space="preserve">8. Podiel s označením ostatné zahŕňa sumár údajov 14 zvyšných vysokých škôl. Uvedené sú údaje podľa MŠVVaŠ SR použité pri delení dotácie na príslušný rok. Graf č. </w:t>
      </w:r>
      <w:r>
        <w:rPr>
          <w:rFonts w:cstheme="minorHAnsi"/>
        </w:rPr>
        <w:t>2</w:t>
      </w:r>
      <w:r w:rsidRPr="000A64F1">
        <w:rPr>
          <w:rFonts w:cstheme="minorHAnsi"/>
        </w:rPr>
        <w:t>8a porovnáva výkon 20 vysokých škôl v získavaní finančných prostriedkov na jedného akademického pracovníka, počet pracovníkov je údaj z roka 2021 uvádzaný v rozpise dotácie na rok 2023.</w:t>
      </w:r>
    </w:p>
    <w:p w14:paraId="07FFA7D7" w14:textId="77777777" w:rsidR="009E70B6" w:rsidRPr="000A64F1" w:rsidRDefault="009E70B6" w:rsidP="009E70B6">
      <w:pPr>
        <w:rPr>
          <w:rFonts w:cstheme="minorHAnsi"/>
        </w:rPr>
      </w:pPr>
    </w:p>
    <w:p w14:paraId="75D6875E" w14:textId="58771C9F" w:rsidR="009E70B6" w:rsidRDefault="009E70B6" w:rsidP="009E70B6">
      <w:pPr>
        <w:rPr>
          <w:rFonts w:cstheme="minorHAnsi"/>
        </w:rPr>
      </w:pPr>
      <w:r w:rsidRPr="000A64F1">
        <w:rPr>
          <w:rFonts w:cstheme="minorHAnsi"/>
        </w:rPr>
        <w:t xml:space="preserve">Graf č. </w:t>
      </w:r>
      <w:r>
        <w:rPr>
          <w:rFonts w:cstheme="minorHAnsi"/>
        </w:rPr>
        <w:t>2</w:t>
      </w:r>
      <w:r w:rsidRPr="000A64F1">
        <w:rPr>
          <w:rFonts w:cstheme="minorHAnsi"/>
        </w:rPr>
        <w:t xml:space="preserve">7a: Podiel verejných vysokých škôl na výskumných zahraničných grantoch </w:t>
      </w:r>
    </w:p>
    <w:p w14:paraId="6C91F745" w14:textId="77777777" w:rsidR="00D03B25" w:rsidRPr="000A64F1" w:rsidRDefault="00D03B25" w:rsidP="009E70B6">
      <w:pPr>
        <w:rPr>
          <w:rFonts w:cstheme="minorHAnsi"/>
        </w:rPr>
      </w:pPr>
    </w:p>
    <w:p w14:paraId="42141E0E" w14:textId="77777777" w:rsidR="009E70B6" w:rsidRPr="000A64F1" w:rsidRDefault="009E70B6" w:rsidP="009E70B6">
      <w:pPr>
        <w:jc w:val="center"/>
        <w:rPr>
          <w:rFonts w:cstheme="minorHAnsi"/>
          <w:highlight w:val="red"/>
        </w:rPr>
      </w:pPr>
      <w:r w:rsidRPr="000A64F1">
        <w:rPr>
          <w:noProof/>
          <w:lang w:eastAsia="sk-SK"/>
        </w:rPr>
        <w:drawing>
          <wp:inline distT="0" distB="0" distL="0" distR="0" wp14:anchorId="5C52CF75" wp14:editId="3C139C0F">
            <wp:extent cx="4133850" cy="2266950"/>
            <wp:effectExtent l="0" t="0" r="0" b="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8D1D123" w14:textId="22A7653A" w:rsidR="009E70B6" w:rsidRDefault="009E70B6" w:rsidP="009E70B6">
      <w:pPr>
        <w:jc w:val="center"/>
        <w:rPr>
          <w:sz w:val="18"/>
          <w:szCs w:val="18"/>
        </w:rPr>
      </w:pPr>
      <w:r w:rsidRPr="000A64F1">
        <w:rPr>
          <w:sz w:val="18"/>
          <w:szCs w:val="18"/>
        </w:rPr>
        <w:t>Zdroj: MŠVVaŠ SR</w:t>
      </w:r>
    </w:p>
    <w:p w14:paraId="0AE3145A" w14:textId="77777777" w:rsidR="00D03B25" w:rsidRPr="000A64F1" w:rsidRDefault="00D03B25" w:rsidP="009E70B6">
      <w:pPr>
        <w:jc w:val="center"/>
        <w:rPr>
          <w:rFonts w:cstheme="minorHAnsi"/>
        </w:rPr>
      </w:pPr>
    </w:p>
    <w:p w14:paraId="6CF6D353" w14:textId="45FB3E29" w:rsidR="009E70B6" w:rsidRPr="000A64F1" w:rsidRDefault="009E70B6" w:rsidP="009E70B6">
      <w:pPr>
        <w:rPr>
          <w:rFonts w:cstheme="minorHAnsi"/>
        </w:rPr>
      </w:pPr>
      <w:r w:rsidRPr="000A64F1">
        <w:rPr>
          <w:rFonts w:cstheme="minorHAnsi"/>
        </w:rPr>
        <w:t xml:space="preserve">Graf č. </w:t>
      </w:r>
      <w:r w:rsidR="00D03B25">
        <w:rPr>
          <w:rFonts w:cstheme="minorHAnsi"/>
        </w:rPr>
        <w:t>2</w:t>
      </w:r>
      <w:r w:rsidRPr="000A64F1">
        <w:rPr>
          <w:rFonts w:cstheme="minorHAnsi"/>
        </w:rPr>
        <w:t xml:space="preserve">7b: Podiel verejných vysokých škôl na ostatných zahraničných grantoch </w:t>
      </w:r>
    </w:p>
    <w:p w14:paraId="54160B24" w14:textId="77777777" w:rsidR="009E70B6" w:rsidRPr="000A64F1" w:rsidRDefault="009E70B6" w:rsidP="009E70B6">
      <w:pPr>
        <w:rPr>
          <w:rFonts w:cstheme="minorHAnsi"/>
        </w:rPr>
      </w:pPr>
    </w:p>
    <w:p w14:paraId="6CB644CF" w14:textId="77777777" w:rsidR="009E70B6" w:rsidRPr="000A64F1" w:rsidRDefault="009E70B6" w:rsidP="009E70B6">
      <w:pPr>
        <w:jc w:val="center"/>
        <w:rPr>
          <w:rFonts w:cstheme="minorHAnsi"/>
          <w:noProof/>
          <w:lang w:eastAsia="sk-SK"/>
        </w:rPr>
      </w:pPr>
      <w:r w:rsidRPr="000A64F1">
        <w:rPr>
          <w:noProof/>
          <w:lang w:eastAsia="sk-SK"/>
        </w:rPr>
        <w:drawing>
          <wp:inline distT="0" distB="0" distL="0" distR="0" wp14:anchorId="0CBFF204" wp14:editId="5BCB3BE7">
            <wp:extent cx="4200525" cy="2359025"/>
            <wp:effectExtent l="0" t="0" r="0" b="3175"/>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77AA626" w14:textId="77777777" w:rsidR="009E70B6" w:rsidRPr="000A64F1" w:rsidRDefault="009E70B6" w:rsidP="009E70B6">
      <w:pPr>
        <w:jc w:val="center"/>
        <w:rPr>
          <w:rFonts w:cstheme="minorHAnsi"/>
        </w:rPr>
      </w:pPr>
      <w:r w:rsidRPr="000A64F1">
        <w:rPr>
          <w:sz w:val="18"/>
          <w:szCs w:val="18"/>
        </w:rPr>
        <w:t>Zdroj: MŠVVaŠ SR</w:t>
      </w:r>
    </w:p>
    <w:p w14:paraId="2744B77A" w14:textId="77777777" w:rsidR="009E70B6" w:rsidRPr="000A64F1" w:rsidRDefault="009E70B6" w:rsidP="009E70B6">
      <w:pPr>
        <w:rPr>
          <w:rFonts w:cstheme="minorHAnsi"/>
        </w:rPr>
      </w:pPr>
    </w:p>
    <w:p w14:paraId="123F9B97" w14:textId="0AC9CCC9" w:rsidR="009E70B6" w:rsidRPr="000A64F1" w:rsidRDefault="009E70B6" w:rsidP="009E70B6">
      <w:pPr>
        <w:rPr>
          <w:rFonts w:cstheme="minorHAnsi"/>
        </w:rPr>
      </w:pPr>
      <w:r w:rsidRPr="000A64F1">
        <w:rPr>
          <w:rFonts w:cstheme="minorHAnsi"/>
        </w:rPr>
        <w:lastRenderedPageBreak/>
        <w:t xml:space="preserve">Graf č. </w:t>
      </w:r>
      <w:r w:rsidR="00D03B25">
        <w:rPr>
          <w:rFonts w:cstheme="minorHAnsi"/>
        </w:rPr>
        <w:t>2</w:t>
      </w:r>
      <w:r w:rsidRPr="000A64F1">
        <w:rPr>
          <w:rFonts w:cstheme="minorHAnsi"/>
        </w:rPr>
        <w:t xml:space="preserve">8: Zahraničné výskumné granty </w:t>
      </w:r>
    </w:p>
    <w:p w14:paraId="2D40A249" w14:textId="77777777" w:rsidR="009E70B6" w:rsidRPr="000A64F1" w:rsidRDefault="009E70B6" w:rsidP="009E70B6">
      <w:pPr>
        <w:rPr>
          <w:rFonts w:cstheme="minorHAnsi"/>
          <w:noProof/>
          <w:lang w:eastAsia="sk-SK"/>
        </w:rPr>
      </w:pPr>
    </w:p>
    <w:p w14:paraId="239E875D" w14:textId="77777777" w:rsidR="009E70B6" w:rsidRPr="000A64F1" w:rsidRDefault="009E70B6" w:rsidP="009E70B6">
      <w:pPr>
        <w:jc w:val="center"/>
        <w:rPr>
          <w:rFonts w:cstheme="minorHAnsi"/>
          <w:noProof/>
          <w:lang w:eastAsia="sk-SK"/>
        </w:rPr>
      </w:pPr>
      <w:r w:rsidRPr="000A64F1">
        <w:rPr>
          <w:noProof/>
          <w:lang w:eastAsia="sk-SK"/>
        </w:rPr>
        <w:drawing>
          <wp:inline distT="0" distB="0" distL="0" distR="0" wp14:anchorId="3221724D" wp14:editId="73E10594">
            <wp:extent cx="3876675" cy="4181475"/>
            <wp:effectExtent l="0" t="0" r="0" b="0"/>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3BBC125" w14:textId="77777777" w:rsidR="009E70B6" w:rsidRPr="000A64F1" w:rsidRDefault="009E70B6" w:rsidP="009E70B6">
      <w:pPr>
        <w:jc w:val="center"/>
        <w:rPr>
          <w:sz w:val="18"/>
          <w:szCs w:val="18"/>
        </w:rPr>
      </w:pPr>
      <w:r w:rsidRPr="000A64F1">
        <w:rPr>
          <w:sz w:val="18"/>
          <w:szCs w:val="18"/>
        </w:rPr>
        <w:t>Zdroj: MŠVVaŠ SR</w:t>
      </w:r>
    </w:p>
    <w:p w14:paraId="24ED716C" w14:textId="77777777" w:rsidR="009E70B6" w:rsidRPr="000A64F1" w:rsidRDefault="009E70B6" w:rsidP="009E70B6">
      <w:pPr>
        <w:jc w:val="center"/>
        <w:rPr>
          <w:sz w:val="18"/>
          <w:szCs w:val="18"/>
        </w:rPr>
      </w:pPr>
    </w:p>
    <w:p w14:paraId="5D53EE01" w14:textId="6D67A8DF" w:rsidR="009E70B6" w:rsidRDefault="009E70B6" w:rsidP="009E70B6">
      <w:pPr>
        <w:rPr>
          <w:rFonts w:cstheme="minorHAnsi"/>
        </w:rPr>
      </w:pPr>
      <w:r w:rsidRPr="000A64F1">
        <w:rPr>
          <w:rFonts w:cstheme="minorHAnsi"/>
        </w:rPr>
        <w:t xml:space="preserve">Graf č. </w:t>
      </w:r>
      <w:r w:rsidR="00D03B25">
        <w:rPr>
          <w:rFonts w:cstheme="minorHAnsi"/>
        </w:rPr>
        <w:t>2</w:t>
      </w:r>
      <w:r w:rsidRPr="000A64F1">
        <w:rPr>
          <w:rFonts w:cstheme="minorHAnsi"/>
        </w:rPr>
        <w:t>8a: Zahraničné výskumné granty na jedného akademického zamestnanca</w:t>
      </w:r>
    </w:p>
    <w:p w14:paraId="21044489" w14:textId="77777777" w:rsidR="00D03B25" w:rsidRPr="000A64F1" w:rsidRDefault="00D03B25" w:rsidP="009E70B6">
      <w:pPr>
        <w:rPr>
          <w:rFonts w:cstheme="minorHAnsi"/>
        </w:rPr>
      </w:pPr>
    </w:p>
    <w:p w14:paraId="2F495975" w14:textId="6DDA312E" w:rsidR="009E70B6" w:rsidRPr="000A64F1" w:rsidRDefault="009E70B6" w:rsidP="009E70B6">
      <w:pPr>
        <w:jc w:val="center"/>
        <w:rPr>
          <w:rFonts w:cstheme="minorHAnsi"/>
          <w:noProof/>
          <w:sz w:val="12"/>
          <w:szCs w:val="12"/>
          <w:lang w:eastAsia="sk-SK"/>
        </w:rPr>
      </w:pPr>
      <w:r w:rsidRPr="000A64F1">
        <w:rPr>
          <w:rFonts w:cstheme="minorHAnsi"/>
          <w:noProof/>
          <w:sz w:val="12"/>
          <w:szCs w:val="12"/>
          <w:lang w:eastAsia="sk-SK"/>
        </w:rPr>
        <w:drawing>
          <wp:inline distT="0" distB="0" distL="0" distR="0" wp14:anchorId="2C96BCB4" wp14:editId="22BADA56">
            <wp:extent cx="3371850" cy="3709035"/>
            <wp:effectExtent l="0" t="0" r="0" b="5715"/>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77492" cy="3715241"/>
                    </a:xfrm>
                    <a:prstGeom prst="rect">
                      <a:avLst/>
                    </a:prstGeom>
                    <a:noFill/>
                    <a:ln>
                      <a:noFill/>
                    </a:ln>
                  </pic:spPr>
                </pic:pic>
              </a:graphicData>
            </a:graphic>
          </wp:inline>
        </w:drawing>
      </w:r>
    </w:p>
    <w:p w14:paraId="2BF9A3DD" w14:textId="77777777" w:rsidR="009E70B6" w:rsidRPr="000A64F1" w:rsidRDefault="009E70B6" w:rsidP="009E70B6">
      <w:pPr>
        <w:jc w:val="center"/>
        <w:rPr>
          <w:sz w:val="18"/>
          <w:szCs w:val="18"/>
        </w:rPr>
      </w:pPr>
      <w:r w:rsidRPr="000A64F1">
        <w:rPr>
          <w:sz w:val="18"/>
          <w:szCs w:val="18"/>
        </w:rPr>
        <w:t>Zdroj: MŠVVaŠ SR</w:t>
      </w:r>
    </w:p>
    <w:p w14:paraId="23101E44" w14:textId="77777777" w:rsidR="009E70B6" w:rsidRPr="000A64F1" w:rsidRDefault="009E70B6" w:rsidP="009E70B6">
      <w:pPr>
        <w:jc w:val="center"/>
        <w:rPr>
          <w:rFonts w:cstheme="minorHAnsi"/>
          <w:noProof/>
          <w:lang w:eastAsia="sk-SK"/>
        </w:rPr>
      </w:pPr>
    </w:p>
    <w:p w14:paraId="3C65ED65" w14:textId="3AD6C0F9" w:rsidR="009E70B6" w:rsidRPr="000A64F1" w:rsidRDefault="009E70B6" w:rsidP="009E70B6">
      <w:pPr>
        <w:jc w:val="both"/>
      </w:pPr>
      <w:r w:rsidRPr="000A64F1">
        <w:t xml:space="preserve">Podrobné informácie o úspešnosti v získavaní finančných prostriedkov súčastí STU v rokoch 2013 až 2022 zo zahraničných výskumných agentúr sú v tab. č. </w:t>
      </w:r>
      <w:r w:rsidR="00D03B25">
        <w:t>4</w:t>
      </w:r>
      <w:r w:rsidRPr="000A64F1">
        <w:t xml:space="preserve">3 a na úrovni celej univerzity v grafe č. </w:t>
      </w:r>
      <w:r w:rsidR="00D03B25">
        <w:t>2</w:t>
      </w:r>
      <w:r w:rsidRPr="000A64F1">
        <w:t xml:space="preserve">9. Úspešnosť jednotlivých súčastí STU v získavaní zdrojov z grantových agentúr je v grafe č. </w:t>
      </w:r>
      <w:r w:rsidR="00D03B25">
        <w:t>2</w:t>
      </w:r>
      <w:r w:rsidRPr="000A64F1">
        <w:t xml:space="preserve">9a. Finančný prínos pripadajúci na tvorivého pracovníka dokumentuje graf č. </w:t>
      </w:r>
      <w:r w:rsidR="00D03B25">
        <w:t>2</w:t>
      </w:r>
      <w:r w:rsidRPr="000A64F1">
        <w:t>9b.</w:t>
      </w:r>
    </w:p>
    <w:p w14:paraId="2D511B9A" w14:textId="77777777" w:rsidR="009E70B6" w:rsidRPr="000A64F1" w:rsidRDefault="009E70B6" w:rsidP="009E70B6">
      <w:pPr>
        <w:jc w:val="both"/>
        <w:rPr>
          <w:b/>
        </w:rPr>
      </w:pPr>
    </w:p>
    <w:p w14:paraId="1B9CA99B" w14:textId="658600D9" w:rsidR="009E70B6" w:rsidRPr="000A64F1" w:rsidRDefault="009E70B6" w:rsidP="009E70B6">
      <w:pPr>
        <w:jc w:val="both"/>
        <w:rPr>
          <w:b/>
        </w:rPr>
      </w:pPr>
      <w:r w:rsidRPr="000A64F1">
        <w:rPr>
          <w:rFonts w:cstheme="minorHAnsi"/>
        </w:rPr>
        <w:t xml:space="preserve">Tab. č. </w:t>
      </w:r>
      <w:r w:rsidR="00D03B25">
        <w:rPr>
          <w:rFonts w:cstheme="minorHAnsi"/>
        </w:rPr>
        <w:t>4</w:t>
      </w:r>
      <w:r w:rsidRPr="000A64F1">
        <w:rPr>
          <w:rFonts w:cstheme="minorHAnsi"/>
        </w:rPr>
        <w:t xml:space="preserve">3: </w:t>
      </w:r>
      <w:r w:rsidRPr="000A64F1">
        <w:t>Finančné prostriedky získané súčasťami STU v rokoch 2013 - 2022 zo zahraničných výskumných grantových agentúr (v eurách)</w:t>
      </w:r>
    </w:p>
    <w:p w14:paraId="64235DCC" w14:textId="77777777" w:rsidR="009E70B6" w:rsidRPr="000A64F1" w:rsidRDefault="009E70B6" w:rsidP="009E70B6">
      <w:pPr>
        <w:jc w:val="both"/>
        <w:rPr>
          <w:b/>
        </w:rPr>
      </w:pPr>
    </w:p>
    <w:tbl>
      <w:tblPr>
        <w:tblW w:w="9458" w:type="dxa"/>
        <w:tblInd w:w="70" w:type="dxa"/>
        <w:tblCellMar>
          <w:left w:w="70" w:type="dxa"/>
          <w:right w:w="70" w:type="dxa"/>
        </w:tblCellMar>
        <w:tblLook w:val="04A0" w:firstRow="1" w:lastRow="0" w:firstColumn="1" w:lastColumn="0" w:noHBand="0" w:noVBand="1"/>
      </w:tblPr>
      <w:tblGrid>
        <w:gridCol w:w="709"/>
        <w:gridCol w:w="781"/>
        <w:gridCol w:w="888"/>
        <w:gridCol w:w="954"/>
        <w:gridCol w:w="888"/>
        <w:gridCol w:w="888"/>
        <w:gridCol w:w="870"/>
        <w:gridCol w:w="870"/>
        <w:gridCol w:w="870"/>
        <w:gridCol w:w="870"/>
        <w:gridCol w:w="870"/>
      </w:tblGrid>
      <w:tr w:rsidR="009E70B6" w:rsidRPr="000A64F1" w14:paraId="7AC5934D" w14:textId="77777777" w:rsidTr="005D4B0B">
        <w:trPr>
          <w:trHeight w:val="315"/>
        </w:trPr>
        <w:tc>
          <w:tcPr>
            <w:tcW w:w="709" w:type="dxa"/>
            <w:tcBorders>
              <w:top w:val="nil"/>
              <w:left w:val="nil"/>
              <w:bottom w:val="single" w:sz="8" w:space="0" w:color="auto"/>
              <w:right w:val="single" w:sz="8" w:space="0" w:color="auto"/>
            </w:tcBorders>
            <w:shd w:val="clear" w:color="auto" w:fill="auto"/>
            <w:noWrap/>
            <w:hideMark/>
          </w:tcPr>
          <w:p w14:paraId="3BD247AE" w14:textId="77777777" w:rsidR="009E70B6" w:rsidRPr="000A64F1" w:rsidRDefault="009E70B6" w:rsidP="005D4B0B">
            <w:pPr>
              <w:rPr>
                <w:rFonts w:eastAsia="Times New Roman" w:cs="Times New Roman"/>
                <w:color w:val="000000"/>
                <w:sz w:val="18"/>
                <w:szCs w:val="18"/>
                <w:lang w:eastAsia="sk-SK"/>
              </w:rPr>
            </w:pPr>
            <w:r w:rsidRPr="000A64F1">
              <w:rPr>
                <w:rFonts w:eastAsia="Times New Roman" w:cs="Times New Roman"/>
                <w:color w:val="000000"/>
                <w:sz w:val="18"/>
                <w:szCs w:val="18"/>
                <w:lang w:eastAsia="sk-SK"/>
              </w:rPr>
              <w:t> </w:t>
            </w:r>
          </w:p>
        </w:tc>
        <w:tc>
          <w:tcPr>
            <w:tcW w:w="781" w:type="dxa"/>
            <w:tcBorders>
              <w:top w:val="single" w:sz="8" w:space="0" w:color="auto"/>
              <w:left w:val="nil"/>
              <w:bottom w:val="single" w:sz="8" w:space="0" w:color="auto"/>
              <w:right w:val="single" w:sz="8" w:space="0" w:color="auto"/>
            </w:tcBorders>
            <w:shd w:val="clear" w:color="auto" w:fill="EEECE1" w:themeFill="background2"/>
            <w:noWrap/>
            <w:vAlign w:val="center"/>
            <w:hideMark/>
          </w:tcPr>
          <w:p w14:paraId="0D14BF9F"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2013</w:t>
            </w:r>
          </w:p>
        </w:tc>
        <w:tc>
          <w:tcPr>
            <w:tcW w:w="888" w:type="dxa"/>
            <w:tcBorders>
              <w:top w:val="single" w:sz="8" w:space="0" w:color="auto"/>
              <w:left w:val="nil"/>
              <w:bottom w:val="single" w:sz="8" w:space="0" w:color="auto"/>
              <w:right w:val="single" w:sz="8" w:space="0" w:color="auto"/>
            </w:tcBorders>
            <w:shd w:val="clear" w:color="auto" w:fill="EEECE1" w:themeFill="background2"/>
            <w:noWrap/>
            <w:vAlign w:val="center"/>
            <w:hideMark/>
          </w:tcPr>
          <w:p w14:paraId="7007EF54"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2014</w:t>
            </w:r>
          </w:p>
        </w:tc>
        <w:tc>
          <w:tcPr>
            <w:tcW w:w="954" w:type="dxa"/>
            <w:tcBorders>
              <w:top w:val="single" w:sz="8" w:space="0" w:color="auto"/>
              <w:left w:val="nil"/>
              <w:bottom w:val="single" w:sz="8" w:space="0" w:color="auto"/>
              <w:right w:val="single" w:sz="8" w:space="0" w:color="auto"/>
            </w:tcBorders>
            <w:shd w:val="clear" w:color="auto" w:fill="EEECE1" w:themeFill="background2"/>
            <w:noWrap/>
            <w:vAlign w:val="center"/>
            <w:hideMark/>
          </w:tcPr>
          <w:p w14:paraId="7B756F09"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2015</w:t>
            </w:r>
          </w:p>
        </w:tc>
        <w:tc>
          <w:tcPr>
            <w:tcW w:w="888" w:type="dxa"/>
            <w:tcBorders>
              <w:top w:val="single" w:sz="8" w:space="0" w:color="auto"/>
              <w:left w:val="nil"/>
              <w:bottom w:val="single" w:sz="8" w:space="0" w:color="auto"/>
              <w:right w:val="single" w:sz="8" w:space="0" w:color="auto"/>
            </w:tcBorders>
            <w:shd w:val="clear" w:color="auto" w:fill="EEECE1" w:themeFill="background2"/>
            <w:noWrap/>
            <w:vAlign w:val="center"/>
            <w:hideMark/>
          </w:tcPr>
          <w:p w14:paraId="6331A07B"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2016</w:t>
            </w:r>
          </w:p>
        </w:tc>
        <w:tc>
          <w:tcPr>
            <w:tcW w:w="888" w:type="dxa"/>
            <w:tcBorders>
              <w:top w:val="single" w:sz="8" w:space="0" w:color="auto"/>
              <w:left w:val="nil"/>
              <w:bottom w:val="single" w:sz="8" w:space="0" w:color="auto"/>
              <w:right w:val="single" w:sz="8" w:space="0" w:color="auto"/>
            </w:tcBorders>
            <w:shd w:val="clear" w:color="auto" w:fill="EEECE1" w:themeFill="background2"/>
            <w:noWrap/>
            <w:vAlign w:val="center"/>
            <w:hideMark/>
          </w:tcPr>
          <w:p w14:paraId="01E68466"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2017</w:t>
            </w:r>
          </w:p>
        </w:tc>
        <w:tc>
          <w:tcPr>
            <w:tcW w:w="870" w:type="dxa"/>
            <w:tcBorders>
              <w:top w:val="single" w:sz="8" w:space="0" w:color="auto"/>
              <w:left w:val="nil"/>
              <w:bottom w:val="single" w:sz="8" w:space="0" w:color="auto"/>
              <w:right w:val="single" w:sz="8" w:space="0" w:color="auto"/>
            </w:tcBorders>
            <w:shd w:val="clear" w:color="auto" w:fill="EEECE1" w:themeFill="background2"/>
            <w:vAlign w:val="center"/>
            <w:hideMark/>
          </w:tcPr>
          <w:p w14:paraId="0371FE3F"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2018</w:t>
            </w:r>
          </w:p>
        </w:tc>
        <w:tc>
          <w:tcPr>
            <w:tcW w:w="870" w:type="dxa"/>
            <w:tcBorders>
              <w:top w:val="single" w:sz="8" w:space="0" w:color="auto"/>
              <w:left w:val="nil"/>
              <w:bottom w:val="single" w:sz="8" w:space="0" w:color="auto"/>
              <w:right w:val="single" w:sz="8" w:space="0" w:color="auto"/>
            </w:tcBorders>
            <w:shd w:val="clear" w:color="auto" w:fill="EEECE1" w:themeFill="background2"/>
            <w:vAlign w:val="center"/>
            <w:hideMark/>
          </w:tcPr>
          <w:p w14:paraId="47336B6A"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2019</w:t>
            </w:r>
          </w:p>
        </w:tc>
        <w:tc>
          <w:tcPr>
            <w:tcW w:w="870" w:type="dxa"/>
            <w:tcBorders>
              <w:top w:val="single" w:sz="8" w:space="0" w:color="auto"/>
              <w:left w:val="nil"/>
              <w:bottom w:val="single" w:sz="8" w:space="0" w:color="auto"/>
              <w:right w:val="single" w:sz="8" w:space="0" w:color="auto"/>
            </w:tcBorders>
            <w:shd w:val="clear" w:color="auto" w:fill="EEECE1" w:themeFill="background2"/>
            <w:vAlign w:val="center"/>
            <w:hideMark/>
          </w:tcPr>
          <w:p w14:paraId="1AAC98A5"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2020</w:t>
            </w:r>
          </w:p>
        </w:tc>
        <w:tc>
          <w:tcPr>
            <w:tcW w:w="870" w:type="dxa"/>
            <w:tcBorders>
              <w:top w:val="single" w:sz="8" w:space="0" w:color="auto"/>
              <w:left w:val="nil"/>
              <w:bottom w:val="single" w:sz="8" w:space="0" w:color="auto"/>
              <w:right w:val="single" w:sz="8" w:space="0" w:color="auto"/>
            </w:tcBorders>
            <w:shd w:val="clear" w:color="auto" w:fill="EEECE1" w:themeFill="background2"/>
            <w:vAlign w:val="center"/>
            <w:hideMark/>
          </w:tcPr>
          <w:p w14:paraId="6A689FA5"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2021</w:t>
            </w:r>
          </w:p>
        </w:tc>
        <w:tc>
          <w:tcPr>
            <w:tcW w:w="870" w:type="dxa"/>
            <w:tcBorders>
              <w:top w:val="single" w:sz="8" w:space="0" w:color="auto"/>
              <w:left w:val="nil"/>
              <w:bottom w:val="single" w:sz="8" w:space="0" w:color="auto"/>
              <w:right w:val="single" w:sz="8" w:space="0" w:color="auto"/>
            </w:tcBorders>
            <w:shd w:val="clear" w:color="auto" w:fill="EEECE1" w:themeFill="background2"/>
            <w:vAlign w:val="center"/>
            <w:hideMark/>
          </w:tcPr>
          <w:p w14:paraId="4AC17580"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2022</w:t>
            </w:r>
          </w:p>
        </w:tc>
      </w:tr>
      <w:tr w:rsidR="009E70B6" w:rsidRPr="000A64F1" w14:paraId="7222AA20" w14:textId="77777777" w:rsidTr="005D4B0B">
        <w:trPr>
          <w:trHeight w:val="315"/>
        </w:trPr>
        <w:tc>
          <w:tcPr>
            <w:tcW w:w="70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8B0EF15"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SvF</w:t>
            </w:r>
          </w:p>
        </w:tc>
        <w:tc>
          <w:tcPr>
            <w:tcW w:w="781" w:type="dxa"/>
            <w:tcBorders>
              <w:top w:val="nil"/>
              <w:left w:val="nil"/>
              <w:bottom w:val="single" w:sz="8" w:space="0" w:color="auto"/>
              <w:right w:val="single" w:sz="8" w:space="0" w:color="auto"/>
            </w:tcBorders>
            <w:shd w:val="clear" w:color="auto" w:fill="FFFFFF" w:themeFill="background1"/>
            <w:noWrap/>
            <w:vAlign w:val="center"/>
            <w:hideMark/>
          </w:tcPr>
          <w:p w14:paraId="06D0A0B8"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60 925</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0CB26D24"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142 462</w:t>
            </w:r>
          </w:p>
        </w:tc>
        <w:tc>
          <w:tcPr>
            <w:tcW w:w="954" w:type="dxa"/>
            <w:tcBorders>
              <w:top w:val="nil"/>
              <w:left w:val="nil"/>
              <w:bottom w:val="single" w:sz="8" w:space="0" w:color="auto"/>
              <w:right w:val="single" w:sz="8" w:space="0" w:color="auto"/>
            </w:tcBorders>
            <w:shd w:val="clear" w:color="auto" w:fill="FFFFFF" w:themeFill="background1"/>
            <w:noWrap/>
            <w:vAlign w:val="center"/>
            <w:hideMark/>
          </w:tcPr>
          <w:p w14:paraId="3411BDB1"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126 180</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27A7114F"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91 679</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4F4FCDA7"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361 142</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43916439"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65 475</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3BBEAF68"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55 839</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1D5BF450"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107 262</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6BB85822"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241 950</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1A19FD9A"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143 792</w:t>
            </w:r>
          </w:p>
        </w:tc>
      </w:tr>
      <w:tr w:rsidR="009E70B6" w:rsidRPr="000A64F1" w14:paraId="168AB38B" w14:textId="77777777" w:rsidTr="005D4B0B">
        <w:trPr>
          <w:trHeight w:val="315"/>
        </w:trPr>
        <w:tc>
          <w:tcPr>
            <w:tcW w:w="70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6E57BC5"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SjF</w:t>
            </w:r>
          </w:p>
        </w:tc>
        <w:tc>
          <w:tcPr>
            <w:tcW w:w="781" w:type="dxa"/>
            <w:tcBorders>
              <w:top w:val="nil"/>
              <w:left w:val="nil"/>
              <w:bottom w:val="single" w:sz="8" w:space="0" w:color="auto"/>
              <w:right w:val="single" w:sz="8" w:space="0" w:color="auto"/>
            </w:tcBorders>
            <w:shd w:val="clear" w:color="auto" w:fill="FFFFFF" w:themeFill="background1"/>
            <w:noWrap/>
            <w:vAlign w:val="center"/>
            <w:hideMark/>
          </w:tcPr>
          <w:p w14:paraId="1CCA0F02"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22 825</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0EAE7C6C"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9 886</w:t>
            </w:r>
          </w:p>
        </w:tc>
        <w:tc>
          <w:tcPr>
            <w:tcW w:w="954" w:type="dxa"/>
            <w:tcBorders>
              <w:top w:val="nil"/>
              <w:left w:val="nil"/>
              <w:bottom w:val="single" w:sz="8" w:space="0" w:color="auto"/>
              <w:right w:val="single" w:sz="8" w:space="0" w:color="auto"/>
            </w:tcBorders>
            <w:shd w:val="clear" w:color="auto" w:fill="FFFFFF" w:themeFill="background1"/>
            <w:noWrap/>
            <w:vAlign w:val="center"/>
            <w:hideMark/>
          </w:tcPr>
          <w:p w14:paraId="56E7F3A8"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7 155</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1B7B4542"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56 140</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631CA48E"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16 391</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5CE1C289"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0</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5BF0F1A3"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35 438</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4572DB52"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25 432</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6254C236"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104 129</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68AB8142"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188 232</w:t>
            </w:r>
          </w:p>
        </w:tc>
      </w:tr>
      <w:tr w:rsidR="009E70B6" w:rsidRPr="000A64F1" w14:paraId="5E613AAC" w14:textId="77777777" w:rsidTr="005D4B0B">
        <w:trPr>
          <w:trHeight w:val="315"/>
        </w:trPr>
        <w:tc>
          <w:tcPr>
            <w:tcW w:w="70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216AAEB"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FEI</w:t>
            </w:r>
          </w:p>
        </w:tc>
        <w:tc>
          <w:tcPr>
            <w:tcW w:w="781" w:type="dxa"/>
            <w:tcBorders>
              <w:top w:val="nil"/>
              <w:left w:val="nil"/>
              <w:bottom w:val="single" w:sz="8" w:space="0" w:color="auto"/>
              <w:right w:val="single" w:sz="8" w:space="0" w:color="auto"/>
            </w:tcBorders>
            <w:shd w:val="clear" w:color="auto" w:fill="FFFFFF" w:themeFill="background1"/>
            <w:noWrap/>
            <w:vAlign w:val="center"/>
            <w:hideMark/>
          </w:tcPr>
          <w:p w14:paraId="1AA7E7E5"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449 097</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3677EC99"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227 671</w:t>
            </w:r>
          </w:p>
        </w:tc>
        <w:tc>
          <w:tcPr>
            <w:tcW w:w="954" w:type="dxa"/>
            <w:tcBorders>
              <w:top w:val="nil"/>
              <w:left w:val="nil"/>
              <w:bottom w:val="single" w:sz="8" w:space="0" w:color="auto"/>
              <w:right w:val="single" w:sz="8" w:space="0" w:color="auto"/>
            </w:tcBorders>
            <w:shd w:val="clear" w:color="auto" w:fill="FFFFFF" w:themeFill="background1"/>
            <w:noWrap/>
            <w:vAlign w:val="center"/>
            <w:hideMark/>
          </w:tcPr>
          <w:p w14:paraId="31BC6A19"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407 165</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243F039F"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1 282 842</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207AA9A1"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611 936</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1CCA482D"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904 013</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173FB327"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1 531 701</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01C8999E"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810 858</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07B9E997"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387 833</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0242F943"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547 138</w:t>
            </w:r>
          </w:p>
        </w:tc>
      </w:tr>
      <w:tr w:rsidR="009E70B6" w:rsidRPr="000A64F1" w14:paraId="65D4C7BA" w14:textId="77777777" w:rsidTr="005D4B0B">
        <w:trPr>
          <w:trHeight w:val="315"/>
        </w:trPr>
        <w:tc>
          <w:tcPr>
            <w:tcW w:w="70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314C409"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FCHPT</w:t>
            </w:r>
          </w:p>
        </w:tc>
        <w:tc>
          <w:tcPr>
            <w:tcW w:w="781" w:type="dxa"/>
            <w:tcBorders>
              <w:top w:val="nil"/>
              <w:left w:val="nil"/>
              <w:bottom w:val="single" w:sz="8" w:space="0" w:color="auto"/>
              <w:right w:val="single" w:sz="8" w:space="0" w:color="auto"/>
            </w:tcBorders>
            <w:shd w:val="clear" w:color="auto" w:fill="FFFFFF" w:themeFill="background1"/>
            <w:noWrap/>
            <w:vAlign w:val="center"/>
            <w:hideMark/>
          </w:tcPr>
          <w:p w14:paraId="5EB17844"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139 335</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595FB13A"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463 711</w:t>
            </w:r>
          </w:p>
        </w:tc>
        <w:tc>
          <w:tcPr>
            <w:tcW w:w="954" w:type="dxa"/>
            <w:tcBorders>
              <w:top w:val="nil"/>
              <w:left w:val="nil"/>
              <w:bottom w:val="single" w:sz="8" w:space="0" w:color="auto"/>
              <w:right w:val="single" w:sz="8" w:space="0" w:color="auto"/>
            </w:tcBorders>
            <w:shd w:val="clear" w:color="auto" w:fill="FFFFFF" w:themeFill="background1"/>
            <w:noWrap/>
            <w:vAlign w:val="center"/>
            <w:hideMark/>
          </w:tcPr>
          <w:p w14:paraId="471EE6D2"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86 980</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0789DD96"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482 664</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4F06680E"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181 513</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43D2D380"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373 055</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0A08BD5B"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181 488</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0C54F619"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162 464</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3271CCBD"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38 026</w:t>
            </w:r>
          </w:p>
        </w:tc>
        <w:tc>
          <w:tcPr>
            <w:tcW w:w="870" w:type="dxa"/>
            <w:tcBorders>
              <w:top w:val="nil"/>
              <w:left w:val="nil"/>
              <w:bottom w:val="single" w:sz="8" w:space="0" w:color="auto"/>
              <w:right w:val="single" w:sz="8" w:space="0" w:color="auto"/>
            </w:tcBorders>
            <w:shd w:val="clear" w:color="auto" w:fill="FFFFFF" w:themeFill="background1"/>
            <w:vAlign w:val="center"/>
          </w:tcPr>
          <w:p w14:paraId="52C83637"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745 559</w:t>
            </w:r>
          </w:p>
        </w:tc>
      </w:tr>
      <w:tr w:rsidR="009E70B6" w:rsidRPr="000A64F1" w14:paraId="3546384B" w14:textId="77777777" w:rsidTr="005D4B0B">
        <w:trPr>
          <w:trHeight w:val="315"/>
        </w:trPr>
        <w:tc>
          <w:tcPr>
            <w:tcW w:w="70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EFF0C0E"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FA</w:t>
            </w:r>
          </w:p>
        </w:tc>
        <w:tc>
          <w:tcPr>
            <w:tcW w:w="781" w:type="dxa"/>
            <w:tcBorders>
              <w:top w:val="nil"/>
              <w:left w:val="nil"/>
              <w:bottom w:val="single" w:sz="8" w:space="0" w:color="auto"/>
              <w:right w:val="single" w:sz="8" w:space="0" w:color="auto"/>
            </w:tcBorders>
            <w:shd w:val="clear" w:color="auto" w:fill="FFFFFF" w:themeFill="background1"/>
            <w:noWrap/>
            <w:vAlign w:val="center"/>
            <w:hideMark/>
          </w:tcPr>
          <w:p w14:paraId="097E34A1"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13 601</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49B5B92A"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43 596</w:t>
            </w:r>
          </w:p>
        </w:tc>
        <w:tc>
          <w:tcPr>
            <w:tcW w:w="954" w:type="dxa"/>
            <w:tcBorders>
              <w:top w:val="nil"/>
              <w:left w:val="nil"/>
              <w:bottom w:val="single" w:sz="8" w:space="0" w:color="auto"/>
              <w:right w:val="single" w:sz="8" w:space="0" w:color="auto"/>
            </w:tcBorders>
            <w:shd w:val="clear" w:color="auto" w:fill="FFFFFF" w:themeFill="background1"/>
            <w:noWrap/>
            <w:vAlign w:val="center"/>
            <w:hideMark/>
          </w:tcPr>
          <w:p w14:paraId="5B8D4E55"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79 847</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5702F70F"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51 049</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27CCCEAC"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40 000</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77215640"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144 617</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54F6D72D"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77 318</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1CA9B1FE"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79 072</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351E0C2E"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116 367</w:t>
            </w:r>
          </w:p>
        </w:tc>
        <w:tc>
          <w:tcPr>
            <w:tcW w:w="870" w:type="dxa"/>
            <w:tcBorders>
              <w:top w:val="nil"/>
              <w:left w:val="nil"/>
              <w:bottom w:val="single" w:sz="8" w:space="0" w:color="auto"/>
              <w:right w:val="single" w:sz="8" w:space="0" w:color="auto"/>
            </w:tcBorders>
            <w:shd w:val="clear" w:color="auto" w:fill="FFFFFF" w:themeFill="background1"/>
            <w:vAlign w:val="center"/>
          </w:tcPr>
          <w:p w14:paraId="5CC60F4F"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265 318</w:t>
            </w:r>
          </w:p>
        </w:tc>
      </w:tr>
      <w:tr w:rsidR="009E70B6" w:rsidRPr="000A64F1" w14:paraId="50C53731" w14:textId="77777777" w:rsidTr="005D4B0B">
        <w:trPr>
          <w:trHeight w:val="315"/>
        </w:trPr>
        <w:tc>
          <w:tcPr>
            <w:tcW w:w="70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1EA72FB"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MTF</w:t>
            </w:r>
          </w:p>
        </w:tc>
        <w:tc>
          <w:tcPr>
            <w:tcW w:w="781" w:type="dxa"/>
            <w:tcBorders>
              <w:top w:val="nil"/>
              <w:left w:val="nil"/>
              <w:bottom w:val="single" w:sz="8" w:space="0" w:color="auto"/>
              <w:right w:val="single" w:sz="8" w:space="0" w:color="auto"/>
            </w:tcBorders>
            <w:shd w:val="clear" w:color="auto" w:fill="FFFFFF" w:themeFill="background1"/>
            <w:noWrap/>
            <w:vAlign w:val="center"/>
            <w:hideMark/>
          </w:tcPr>
          <w:p w14:paraId="7A49E9F0"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4 027</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00A08577"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22 695</w:t>
            </w:r>
          </w:p>
        </w:tc>
        <w:tc>
          <w:tcPr>
            <w:tcW w:w="954" w:type="dxa"/>
            <w:tcBorders>
              <w:top w:val="nil"/>
              <w:left w:val="nil"/>
              <w:bottom w:val="single" w:sz="8" w:space="0" w:color="auto"/>
              <w:right w:val="single" w:sz="8" w:space="0" w:color="auto"/>
            </w:tcBorders>
            <w:shd w:val="clear" w:color="auto" w:fill="FFFFFF" w:themeFill="background1"/>
            <w:noWrap/>
            <w:vAlign w:val="center"/>
            <w:hideMark/>
          </w:tcPr>
          <w:p w14:paraId="292CE1A6"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22 779</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39D978B8"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1 726</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66F900E6"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48 333</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79A455D0"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21 903</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307CF9BC"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30 310</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45856DCC"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191 348</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2AD21669"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410 695</w:t>
            </w:r>
          </w:p>
        </w:tc>
        <w:tc>
          <w:tcPr>
            <w:tcW w:w="870" w:type="dxa"/>
            <w:tcBorders>
              <w:top w:val="nil"/>
              <w:left w:val="nil"/>
              <w:bottom w:val="single" w:sz="8" w:space="0" w:color="auto"/>
              <w:right w:val="single" w:sz="8" w:space="0" w:color="auto"/>
            </w:tcBorders>
            <w:shd w:val="clear" w:color="auto" w:fill="FFFFFF" w:themeFill="background1"/>
            <w:vAlign w:val="center"/>
          </w:tcPr>
          <w:p w14:paraId="58B271D1"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178 297</w:t>
            </w:r>
          </w:p>
        </w:tc>
      </w:tr>
      <w:tr w:rsidR="009E70B6" w:rsidRPr="000A64F1" w14:paraId="4B69769D" w14:textId="77777777" w:rsidTr="005D4B0B">
        <w:trPr>
          <w:trHeight w:val="315"/>
        </w:trPr>
        <w:tc>
          <w:tcPr>
            <w:tcW w:w="70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8E32B97"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FIIT</w:t>
            </w:r>
          </w:p>
        </w:tc>
        <w:tc>
          <w:tcPr>
            <w:tcW w:w="781" w:type="dxa"/>
            <w:tcBorders>
              <w:top w:val="nil"/>
              <w:left w:val="nil"/>
              <w:bottom w:val="single" w:sz="8" w:space="0" w:color="auto"/>
              <w:right w:val="single" w:sz="8" w:space="0" w:color="auto"/>
            </w:tcBorders>
            <w:shd w:val="clear" w:color="auto" w:fill="FFFFFF" w:themeFill="background1"/>
            <w:noWrap/>
            <w:vAlign w:val="center"/>
            <w:hideMark/>
          </w:tcPr>
          <w:p w14:paraId="7E0C230F"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4 251</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32A9E32C"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470</w:t>
            </w:r>
          </w:p>
        </w:tc>
        <w:tc>
          <w:tcPr>
            <w:tcW w:w="954" w:type="dxa"/>
            <w:tcBorders>
              <w:top w:val="nil"/>
              <w:left w:val="nil"/>
              <w:bottom w:val="single" w:sz="8" w:space="0" w:color="auto"/>
              <w:right w:val="single" w:sz="8" w:space="0" w:color="auto"/>
            </w:tcBorders>
            <w:shd w:val="clear" w:color="auto" w:fill="FFFFFF" w:themeFill="background1"/>
            <w:noWrap/>
            <w:vAlign w:val="center"/>
            <w:hideMark/>
          </w:tcPr>
          <w:p w14:paraId="3A7CD80A"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5 735</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6278D54B"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27 546</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509B7A08"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18 471</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77A5724C"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24 575</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211ED54F"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0</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36E9E961"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0</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46AAF220"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84 006</w:t>
            </w:r>
          </w:p>
        </w:tc>
        <w:tc>
          <w:tcPr>
            <w:tcW w:w="870" w:type="dxa"/>
            <w:tcBorders>
              <w:top w:val="nil"/>
              <w:left w:val="nil"/>
              <w:bottom w:val="single" w:sz="8" w:space="0" w:color="auto"/>
              <w:right w:val="single" w:sz="8" w:space="0" w:color="auto"/>
            </w:tcBorders>
            <w:shd w:val="clear" w:color="auto" w:fill="FFFFFF" w:themeFill="background1"/>
            <w:vAlign w:val="center"/>
          </w:tcPr>
          <w:p w14:paraId="27177ED5"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74 221</w:t>
            </w:r>
          </w:p>
        </w:tc>
      </w:tr>
      <w:tr w:rsidR="009E70B6" w:rsidRPr="000A64F1" w14:paraId="30504365" w14:textId="77777777" w:rsidTr="005D4B0B">
        <w:trPr>
          <w:trHeight w:val="315"/>
        </w:trPr>
        <w:tc>
          <w:tcPr>
            <w:tcW w:w="70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7F83895"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UM</w:t>
            </w:r>
          </w:p>
        </w:tc>
        <w:tc>
          <w:tcPr>
            <w:tcW w:w="781" w:type="dxa"/>
            <w:tcBorders>
              <w:top w:val="nil"/>
              <w:left w:val="nil"/>
              <w:bottom w:val="single" w:sz="8" w:space="0" w:color="auto"/>
              <w:right w:val="single" w:sz="8" w:space="0" w:color="auto"/>
            </w:tcBorders>
            <w:shd w:val="clear" w:color="auto" w:fill="FFFFFF" w:themeFill="background1"/>
            <w:noWrap/>
            <w:vAlign w:val="center"/>
            <w:hideMark/>
          </w:tcPr>
          <w:p w14:paraId="789F73E8"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121 246</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182E8BF0"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39 127</w:t>
            </w:r>
          </w:p>
        </w:tc>
        <w:tc>
          <w:tcPr>
            <w:tcW w:w="954" w:type="dxa"/>
            <w:tcBorders>
              <w:top w:val="nil"/>
              <w:left w:val="nil"/>
              <w:bottom w:val="single" w:sz="8" w:space="0" w:color="auto"/>
              <w:right w:val="single" w:sz="8" w:space="0" w:color="auto"/>
            </w:tcBorders>
            <w:shd w:val="clear" w:color="auto" w:fill="FFFFFF" w:themeFill="background1"/>
            <w:noWrap/>
            <w:vAlign w:val="center"/>
            <w:hideMark/>
          </w:tcPr>
          <w:p w14:paraId="4CBB2504"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39 279</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4287F873"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14 618</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75532020"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26 856</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11046F5A"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164 962</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72308FC2"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276 154</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4C07EAEE"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338 305</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66CC8433"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107 897</w:t>
            </w:r>
          </w:p>
        </w:tc>
        <w:tc>
          <w:tcPr>
            <w:tcW w:w="870" w:type="dxa"/>
            <w:tcBorders>
              <w:top w:val="nil"/>
              <w:left w:val="nil"/>
              <w:bottom w:val="single" w:sz="8" w:space="0" w:color="auto"/>
              <w:right w:val="single" w:sz="8" w:space="0" w:color="auto"/>
            </w:tcBorders>
            <w:shd w:val="clear" w:color="auto" w:fill="FFFFFF" w:themeFill="background1"/>
            <w:vAlign w:val="center"/>
          </w:tcPr>
          <w:p w14:paraId="4EF88D44"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172 146</w:t>
            </w:r>
          </w:p>
        </w:tc>
      </w:tr>
      <w:tr w:rsidR="009E70B6" w:rsidRPr="000A64F1" w14:paraId="12CEB827" w14:textId="77777777" w:rsidTr="005D4B0B">
        <w:trPr>
          <w:trHeight w:val="315"/>
        </w:trPr>
        <w:tc>
          <w:tcPr>
            <w:tcW w:w="70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2363D6E"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R-STU</w:t>
            </w:r>
          </w:p>
        </w:tc>
        <w:tc>
          <w:tcPr>
            <w:tcW w:w="781" w:type="dxa"/>
            <w:tcBorders>
              <w:top w:val="nil"/>
              <w:left w:val="nil"/>
              <w:bottom w:val="single" w:sz="8" w:space="0" w:color="auto"/>
              <w:right w:val="single" w:sz="8" w:space="0" w:color="auto"/>
            </w:tcBorders>
            <w:shd w:val="clear" w:color="auto" w:fill="FFFFFF" w:themeFill="background1"/>
            <w:noWrap/>
            <w:vAlign w:val="center"/>
            <w:hideMark/>
          </w:tcPr>
          <w:p w14:paraId="45DF603B"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0</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257B84E9"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24 588</w:t>
            </w:r>
          </w:p>
        </w:tc>
        <w:tc>
          <w:tcPr>
            <w:tcW w:w="954" w:type="dxa"/>
            <w:tcBorders>
              <w:top w:val="nil"/>
              <w:left w:val="nil"/>
              <w:bottom w:val="single" w:sz="8" w:space="0" w:color="auto"/>
              <w:right w:val="single" w:sz="8" w:space="0" w:color="auto"/>
            </w:tcBorders>
            <w:shd w:val="clear" w:color="auto" w:fill="FFFFFF" w:themeFill="background1"/>
            <w:noWrap/>
            <w:vAlign w:val="center"/>
            <w:hideMark/>
          </w:tcPr>
          <w:p w14:paraId="0EA6B172"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374 180</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2BF20AE0"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111 143</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7F981082"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0</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07BE42F7"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0</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291BBB66"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0</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27F0FE57"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0</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635A119E"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0</w:t>
            </w:r>
          </w:p>
        </w:tc>
        <w:tc>
          <w:tcPr>
            <w:tcW w:w="870" w:type="dxa"/>
            <w:tcBorders>
              <w:top w:val="nil"/>
              <w:left w:val="nil"/>
              <w:bottom w:val="single" w:sz="8" w:space="0" w:color="auto"/>
              <w:right w:val="single" w:sz="8" w:space="0" w:color="auto"/>
            </w:tcBorders>
            <w:shd w:val="clear" w:color="auto" w:fill="FFFFFF" w:themeFill="background1"/>
            <w:vAlign w:val="center"/>
            <w:hideMark/>
          </w:tcPr>
          <w:p w14:paraId="1162B537" w14:textId="77777777" w:rsidR="009E70B6" w:rsidRPr="000A64F1" w:rsidRDefault="009E70B6" w:rsidP="005D4B0B">
            <w:pPr>
              <w:jc w:val="center"/>
              <w:rPr>
                <w:rFonts w:eastAsia="Times New Roman" w:cs="Times New Roman"/>
                <w:color w:val="000000"/>
                <w:sz w:val="18"/>
                <w:szCs w:val="18"/>
                <w:lang w:eastAsia="sk-SK"/>
              </w:rPr>
            </w:pPr>
            <w:r w:rsidRPr="000A64F1">
              <w:rPr>
                <w:rFonts w:eastAsia="Times New Roman" w:cs="Times New Roman"/>
                <w:color w:val="000000"/>
                <w:sz w:val="18"/>
                <w:szCs w:val="18"/>
                <w:lang w:eastAsia="sk-SK"/>
              </w:rPr>
              <w:t>0</w:t>
            </w:r>
          </w:p>
        </w:tc>
      </w:tr>
      <w:tr w:rsidR="009E70B6" w:rsidRPr="000A64F1" w14:paraId="72C07888" w14:textId="77777777" w:rsidTr="005D4B0B">
        <w:trPr>
          <w:trHeight w:val="315"/>
        </w:trPr>
        <w:tc>
          <w:tcPr>
            <w:tcW w:w="709" w:type="dxa"/>
            <w:tcBorders>
              <w:top w:val="nil"/>
              <w:left w:val="single" w:sz="8" w:space="0" w:color="auto"/>
              <w:bottom w:val="single" w:sz="8" w:space="0" w:color="auto"/>
              <w:right w:val="single" w:sz="8" w:space="0" w:color="auto"/>
            </w:tcBorders>
            <w:shd w:val="clear" w:color="auto" w:fill="EEECE1" w:themeFill="background2"/>
            <w:noWrap/>
            <w:vAlign w:val="center"/>
            <w:hideMark/>
          </w:tcPr>
          <w:p w14:paraId="1F7B7A59"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STU</w:t>
            </w:r>
          </w:p>
        </w:tc>
        <w:tc>
          <w:tcPr>
            <w:tcW w:w="781" w:type="dxa"/>
            <w:tcBorders>
              <w:top w:val="nil"/>
              <w:left w:val="nil"/>
              <w:bottom w:val="single" w:sz="8" w:space="0" w:color="auto"/>
              <w:right w:val="single" w:sz="8" w:space="0" w:color="auto"/>
            </w:tcBorders>
            <w:shd w:val="clear" w:color="auto" w:fill="EEECE1" w:themeFill="background2"/>
            <w:noWrap/>
            <w:vAlign w:val="center"/>
            <w:hideMark/>
          </w:tcPr>
          <w:p w14:paraId="5F117B6D"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815 307</w:t>
            </w:r>
          </w:p>
        </w:tc>
        <w:tc>
          <w:tcPr>
            <w:tcW w:w="888" w:type="dxa"/>
            <w:tcBorders>
              <w:top w:val="nil"/>
              <w:left w:val="nil"/>
              <w:bottom w:val="single" w:sz="8" w:space="0" w:color="auto"/>
              <w:right w:val="single" w:sz="8" w:space="0" w:color="auto"/>
            </w:tcBorders>
            <w:shd w:val="clear" w:color="auto" w:fill="EEECE1" w:themeFill="background2"/>
            <w:noWrap/>
            <w:vAlign w:val="center"/>
            <w:hideMark/>
          </w:tcPr>
          <w:p w14:paraId="3CB8EF4C"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974 206</w:t>
            </w:r>
          </w:p>
        </w:tc>
        <w:tc>
          <w:tcPr>
            <w:tcW w:w="954" w:type="dxa"/>
            <w:tcBorders>
              <w:top w:val="nil"/>
              <w:left w:val="nil"/>
              <w:bottom w:val="single" w:sz="8" w:space="0" w:color="auto"/>
              <w:right w:val="single" w:sz="8" w:space="0" w:color="auto"/>
            </w:tcBorders>
            <w:shd w:val="clear" w:color="auto" w:fill="EEECE1" w:themeFill="background2"/>
            <w:noWrap/>
            <w:vAlign w:val="center"/>
            <w:hideMark/>
          </w:tcPr>
          <w:p w14:paraId="1DC10343"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1 149 300</w:t>
            </w:r>
          </w:p>
        </w:tc>
        <w:tc>
          <w:tcPr>
            <w:tcW w:w="888" w:type="dxa"/>
            <w:tcBorders>
              <w:top w:val="nil"/>
              <w:left w:val="nil"/>
              <w:bottom w:val="single" w:sz="8" w:space="0" w:color="auto"/>
              <w:right w:val="single" w:sz="8" w:space="0" w:color="auto"/>
            </w:tcBorders>
            <w:shd w:val="clear" w:color="auto" w:fill="EEECE1" w:themeFill="background2"/>
            <w:noWrap/>
            <w:vAlign w:val="center"/>
            <w:hideMark/>
          </w:tcPr>
          <w:p w14:paraId="10A6F437"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2 119 406</w:t>
            </w:r>
          </w:p>
        </w:tc>
        <w:tc>
          <w:tcPr>
            <w:tcW w:w="888" w:type="dxa"/>
            <w:tcBorders>
              <w:top w:val="nil"/>
              <w:left w:val="nil"/>
              <w:bottom w:val="single" w:sz="8" w:space="0" w:color="auto"/>
              <w:right w:val="single" w:sz="8" w:space="0" w:color="auto"/>
            </w:tcBorders>
            <w:shd w:val="clear" w:color="auto" w:fill="EEECE1" w:themeFill="background2"/>
            <w:noWrap/>
            <w:vAlign w:val="center"/>
            <w:hideMark/>
          </w:tcPr>
          <w:p w14:paraId="6FF39168"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1 304 642</w:t>
            </w:r>
          </w:p>
        </w:tc>
        <w:tc>
          <w:tcPr>
            <w:tcW w:w="870" w:type="dxa"/>
            <w:tcBorders>
              <w:top w:val="nil"/>
              <w:left w:val="nil"/>
              <w:bottom w:val="single" w:sz="8" w:space="0" w:color="auto"/>
              <w:right w:val="single" w:sz="8" w:space="0" w:color="auto"/>
            </w:tcBorders>
            <w:shd w:val="clear" w:color="auto" w:fill="EEECE1" w:themeFill="background2"/>
            <w:vAlign w:val="center"/>
            <w:hideMark/>
          </w:tcPr>
          <w:p w14:paraId="6E1E4228"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1 698 600</w:t>
            </w:r>
          </w:p>
        </w:tc>
        <w:tc>
          <w:tcPr>
            <w:tcW w:w="870" w:type="dxa"/>
            <w:tcBorders>
              <w:top w:val="nil"/>
              <w:left w:val="nil"/>
              <w:bottom w:val="single" w:sz="8" w:space="0" w:color="auto"/>
              <w:right w:val="single" w:sz="8" w:space="0" w:color="auto"/>
            </w:tcBorders>
            <w:shd w:val="clear" w:color="auto" w:fill="EEECE1" w:themeFill="background2"/>
            <w:vAlign w:val="center"/>
            <w:hideMark/>
          </w:tcPr>
          <w:p w14:paraId="19DCF0A5"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2 188 248</w:t>
            </w:r>
          </w:p>
        </w:tc>
        <w:tc>
          <w:tcPr>
            <w:tcW w:w="870" w:type="dxa"/>
            <w:tcBorders>
              <w:top w:val="nil"/>
              <w:left w:val="nil"/>
              <w:bottom w:val="single" w:sz="8" w:space="0" w:color="auto"/>
              <w:right w:val="single" w:sz="8" w:space="0" w:color="auto"/>
            </w:tcBorders>
            <w:shd w:val="clear" w:color="auto" w:fill="EEECE1" w:themeFill="background2"/>
            <w:vAlign w:val="center"/>
            <w:hideMark/>
          </w:tcPr>
          <w:p w14:paraId="4C08A403"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1 714 741</w:t>
            </w:r>
          </w:p>
        </w:tc>
        <w:tc>
          <w:tcPr>
            <w:tcW w:w="870" w:type="dxa"/>
            <w:tcBorders>
              <w:top w:val="nil"/>
              <w:left w:val="nil"/>
              <w:bottom w:val="single" w:sz="8" w:space="0" w:color="auto"/>
              <w:right w:val="single" w:sz="8" w:space="0" w:color="auto"/>
            </w:tcBorders>
            <w:shd w:val="clear" w:color="auto" w:fill="EEECE1" w:themeFill="background2"/>
            <w:vAlign w:val="center"/>
            <w:hideMark/>
          </w:tcPr>
          <w:p w14:paraId="0288D82B" w14:textId="77777777" w:rsidR="009E70B6" w:rsidRPr="000A64F1" w:rsidRDefault="009E70B6" w:rsidP="005D4B0B">
            <w:pPr>
              <w:jc w:val="center"/>
              <w:rPr>
                <w:rFonts w:eastAsia="Times New Roman" w:cs="Times New Roman"/>
                <w:b/>
                <w:bCs/>
                <w:color w:val="000000"/>
                <w:sz w:val="18"/>
                <w:szCs w:val="18"/>
                <w:lang w:eastAsia="sk-SK"/>
              </w:rPr>
            </w:pPr>
            <w:r w:rsidRPr="000A64F1">
              <w:rPr>
                <w:rFonts w:eastAsia="Times New Roman" w:cs="Times New Roman"/>
                <w:b/>
                <w:bCs/>
                <w:color w:val="000000"/>
                <w:sz w:val="18"/>
                <w:szCs w:val="18"/>
                <w:lang w:eastAsia="sk-SK"/>
              </w:rPr>
              <w:t>1 490 903</w:t>
            </w:r>
          </w:p>
        </w:tc>
        <w:tc>
          <w:tcPr>
            <w:tcW w:w="870" w:type="dxa"/>
            <w:tcBorders>
              <w:top w:val="nil"/>
              <w:left w:val="nil"/>
              <w:bottom w:val="single" w:sz="8" w:space="0" w:color="auto"/>
              <w:right w:val="single" w:sz="8" w:space="0" w:color="auto"/>
            </w:tcBorders>
            <w:shd w:val="clear" w:color="auto" w:fill="EEECE1" w:themeFill="background2"/>
            <w:vAlign w:val="center"/>
            <w:hideMark/>
          </w:tcPr>
          <w:p w14:paraId="56D98B43" w14:textId="77777777" w:rsidR="009E70B6" w:rsidRPr="000A64F1" w:rsidRDefault="009E70B6" w:rsidP="005D4B0B">
            <w:pPr>
              <w:jc w:val="center"/>
              <w:rPr>
                <w:rFonts w:cs="Calibri"/>
                <w:b/>
                <w:bCs/>
                <w:color w:val="000000"/>
                <w:sz w:val="18"/>
                <w:szCs w:val="18"/>
              </w:rPr>
            </w:pPr>
            <w:r w:rsidRPr="000A64F1">
              <w:rPr>
                <w:rFonts w:cs="Calibri"/>
                <w:b/>
                <w:bCs/>
                <w:color w:val="000000"/>
                <w:sz w:val="18"/>
                <w:szCs w:val="18"/>
              </w:rPr>
              <w:t>2 314 702</w:t>
            </w:r>
          </w:p>
        </w:tc>
      </w:tr>
    </w:tbl>
    <w:p w14:paraId="5CDCFF87" w14:textId="77777777" w:rsidR="009E70B6" w:rsidRPr="000A64F1" w:rsidRDefault="009E70B6" w:rsidP="009E70B6">
      <w:pPr>
        <w:jc w:val="center"/>
        <w:rPr>
          <w:sz w:val="18"/>
          <w:szCs w:val="18"/>
        </w:rPr>
      </w:pPr>
      <w:r w:rsidRPr="000A64F1">
        <w:rPr>
          <w:sz w:val="18"/>
          <w:szCs w:val="18"/>
        </w:rPr>
        <w:t>Zdroj: STU</w:t>
      </w:r>
    </w:p>
    <w:p w14:paraId="2543BD47" w14:textId="77777777" w:rsidR="009E70B6" w:rsidRPr="000A64F1" w:rsidRDefault="009E70B6" w:rsidP="009E70B6">
      <w:pPr>
        <w:rPr>
          <w:rFonts w:cstheme="minorHAnsi"/>
        </w:rPr>
      </w:pPr>
    </w:p>
    <w:p w14:paraId="48787BA3" w14:textId="77777777" w:rsidR="00D03B25" w:rsidRDefault="00D03B25" w:rsidP="009E70B6">
      <w:pPr>
        <w:jc w:val="both"/>
        <w:rPr>
          <w:rFonts w:cstheme="minorHAnsi"/>
        </w:rPr>
      </w:pPr>
    </w:p>
    <w:p w14:paraId="61FC35BD" w14:textId="77777777" w:rsidR="00D03B25" w:rsidRDefault="00D03B25" w:rsidP="009E70B6">
      <w:pPr>
        <w:jc w:val="both"/>
        <w:rPr>
          <w:rFonts w:cstheme="minorHAnsi"/>
        </w:rPr>
      </w:pPr>
    </w:p>
    <w:p w14:paraId="32C12177" w14:textId="45F4F8DE" w:rsidR="009E70B6" w:rsidRPr="000A64F1" w:rsidRDefault="009E70B6" w:rsidP="009E70B6">
      <w:pPr>
        <w:jc w:val="both"/>
      </w:pPr>
      <w:r w:rsidRPr="000A64F1">
        <w:rPr>
          <w:rFonts w:cstheme="minorHAnsi"/>
        </w:rPr>
        <w:t xml:space="preserve">Graf č. </w:t>
      </w:r>
      <w:r w:rsidR="00D03B25">
        <w:rPr>
          <w:rFonts w:cstheme="minorHAnsi"/>
        </w:rPr>
        <w:t>2</w:t>
      </w:r>
      <w:r w:rsidRPr="000A64F1">
        <w:rPr>
          <w:rFonts w:cstheme="minorHAnsi"/>
        </w:rPr>
        <w:t xml:space="preserve">9: </w:t>
      </w:r>
      <w:r w:rsidRPr="000A64F1">
        <w:t>Vývoj v získavaní finančných prostriedkov STU v rokoch 2013 až 2022 zo zahraničných výskumných grantových agentúr v eurách</w:t>
      </w:r>
    </w:p>
    <w:p w14:paraId="362D8F73" w14:textId="77777777" w:rsidR="009E70B6" w:rsidRPr="000A64F1" w:rsidRDefault="009E70B6" w:rsidP="009E70B6">
      <w:pPr>
        <w:jc w:val="both"/>
      </w:pPr>
    </w:p>
    <w:p w14:paraId="0CE4F19E" w14:textId="77777777" w:rsidR="009E70B6" w:rsidRPr="000A64F1" w:rsidRDefault="009E70B6" w:rsidP="009E70B6">
      <w:pPr>
        <w:jc w:val="both"/>
        <w:rPr>
          <w:rFonts w:cstheme="minorHAnsi"/>
        </w:rPr>
      </w:pPr>
      <w:r w:rsidRPr="000A64F1">
        <w:rPr>
          <w:noProof/>
          <w:lang w:eastAsia="sk-SK"/>
        </w:rPr>
        <w:drawing>
          <wp:inline distT="0" distB="0" distL="0" distR="0" wp14:anchorId="6D561686" wp14:editId="1AAAF510">
            <wp:extent cx="5626100" cy="2849245"/>
            <wp:effectExtent l="0" t="0" r="0" b="8255"/>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615EEC6" w14:textId="77777777" w:rsidR="009E70B6" w:rsidRPr="000A64F1" w:rsidRDefault="009E70B6" w:rsidP="009E70B6">
      <w:pPr>
        <w:jc w:val="center"/>
        <w:rPr>
          <w:sz w:val="18"/>
          <w:szCs w:val="18"/>
        </w:rPr>
      </w:pPr>
      <w:r w:rsidRPr="000A64F1">
        <w:rPr>
          <w:sz w:val="18"/>
          <w:szCs w:val="18"/>
        </w:rPr>
        <w:t>Zdroj: STU</w:t>
      </w:r>
    </w:p>
    <w:p w14:paraId="5275FA7E" w14:textId="77777777" w:rsidR="009E70B6" w:rsidRPr="000A64F1" w:rsidRDefault="009E70B6" w:rsidP="009E70B6">
      <w:pPr>
        <w:jc w:val="center"/>
        <w:rPr>
          <w:sz w:val="18"/>
          <w:szCs w:val="18"/>
        </w:rPr>
      </w:pPr>
    </w:p>
    <w:p w14:paraId="31C84B2E" w14:textId="77777777" w:rsidR="00D03B25" w:rsidRDefault="00D03B25" w:rsidP="009E70B6">
      <w:pPr>
        <w:jc w:val="both"/>
        <w:rPr>
          <w:rFonts w:cstheme="minorHAnsi"/>
        </w:rPr>
      </w:pPr>
    </w:p>
    <w:p w14:paraId="3E8B05A6" w14:textId="77777777" w:rsidR="00D03B25" w:rsidRDefault="00D03B25" w:rsidP="009E70B6">
      <w:pPr>
        <w:jc w:val="both"/>
        <w:rPr>
          <w:rFonts w:cstheme="minorHAnsi"/>
        </w:rPr>
      </w:pPr>
    </w:p>
    <w:p w14:paraId="098E2AE8" w14:textId="77777777" w:rsidR="00D03B25" w:rsidRDefault="00D03B25" w:rsidP="009E70B6">
      <w:pPr>
        <w:jc w:val="both"/>
        <w:rPr>
          <w:rFonts w:cstheme="minorHAnsi"/>
        </w:rPr>
      </w:pPr>
    </w:p>
    <w:p w14:paraId="4910EEE6" w14:textId="77777777" w:rsidR="00D03B25" w:rsidRDefault="00D03B25" w:rsidP="009E70B6">
      <w:pPr>
        <w:jc w:val="both"/>
        <w:rPr>
          <w:rFonts w:cstheme="minorHAnsi"/>
        </w:rPr>
      </w:pPr>
    </w:p>
    <w:p w14:paraId="1317A871" w14:textId="68CE53BA" w:rsidR="009E70B6" w:rsidRPr="000A64F1" w:rsidRDefault="009E70B6" w:rsidP="009E70B6">
      <w:pPr>
        <w:jc w:val="both"/>
      </w:pPr>
      <w:r w:rsidRPr="000A64F1">
        <w:rPr>
          <w:rFonts w:cstheme="minorHAnsi"/>
        </w:rPr>
        <w:t xml:space="preserve">Graf č. </w:t>
      </w:r>
      <w:r w:rsidR="00D03B25">
        <w:rPr>
          <w:rFonts w:cstheme="minorHAnsi"/>
        </w:rPr>
        <w:t>2</w:t>
      </w:r>
      <w:r w:rsidRPr="000A64F1">
        <w:rPr>
          <w:rFonts w:cstheme="minorHAnsi"/>
        </w:rPr>
        <w:t xml:space="preserve">9a: </w:t>
      </w:r>
      <w:r w:rsidRPr="000A64F1">
        <w:t>Podiel súčastí STU na zahraničných výskumných grantoch rok 2022</w:t>
      </w:r>
    </w:p>
    <w:p w14:paraId="0DA5A369" w14:textId="77777777" w:rsidR="009E70B6" w:rsidRPr="000A64F1" w:rsidRDefault="009E70B6" w:rsidP="009E70B6">
      <w:pPr>
        <w:jc w:val="both"/>
      </w:pPr>
    </w:p>
    <w:p w14:paraId="267ABB01" w14:textId="77777777" w:rsidR="009E70B6" w:rsidRPr="000A64F1" w:rsidRDefault="009E70B6" w:rsidP="009E70B6">
      <w:pPr>
        <w:jc w:val="both"/>
        <w:rPr>
          <w:rFonts w:cstheme="minorHAnsi"/>
        </w:rPr>
      </w:pPr>
      <w:r w:rsidRPr="000A64F1">
        <w:rPr>
          <w:noProof/>
          <w:lang w:eastAsia="sk-SK"/>
        </w:rPr>
        <w:drawing>
          <wp:inline distT="0" distB="0" distL="0" distR="0" wp14:anchorId="2B882D52" wp14:editId="223F79B5">
            <wp:extent cx="5657850" cy="3067050"/>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D64D042" w14:textId="77777777" w:rsidR="009E70B6" w:rsidRPr="000A64F1" w:rsidRDefault="009E70B6" w:rsidP="009E70B6">
      <w:pPr>
        <w:jc w:val="center"/>
        <w:rPr>
          <w:sz w:val="18"/>
          <w:szCs w:val="18"/>
        </w:rPr>
      </w:pPr>
      <w:r w:rsidRPr="000A64F1">
        <w:rPr>
          <w:sz w:val="18"/>
          <w:szCs w:val="18"/>
        </w:rPr>
        <w:t>Zdroj: STU</w:t>
      </w:r>
    </w:p>
    <w:p w14:paraId="2F9644FA" w14:textId="77777777" w:rsidR="009E70B6" w:rsidRPr="000A64F1" w:rsidRDefault="009E70B6" w:rsidP="009E70B6">
      <w:pPr>
        <w:jc w:val="both"/>
        <w:rPr>
          <w:rFonts w:cstheme="minorHAnsi"/>
        </w:rPr>
      </w:pPr>
    </w:p>
    <w:p w14:paraId="32E0EBDC" w14:textId="108A03E2" w:rsidR="009E70B6" w:rsidRPr="000A64F1" w:rsidRDefault="009E70B6" w:rsidP="009E70B6">
      <w:pPr>
        <w:jc w:val="both"/>
      </w:pPr>
      <w:r w:rsidRPr="000A64F1">
        <w:rPr>
          <w:rFonts w:cstheme="minorHAnsi"/>
        </w:rPr>
        <w:t xml:space="preserve">Graf č. </w:t>
      </w:r>
      <w:r w:rsidR="00D03B25">
        <w:rPr>
          <w:rFonts w:cstheme="minorHAnsi"/>
        </w:rPr>
        <w:t>2</w:t>
      </w:r>
      <w:r w:rsidRPr="000A64F1">
        <w:rPr>
          <w:rFonts w:cstheme="minorHAnsi"/>
        </w:rPr>
        <w:t xml:space="preserve">9b: </w:t>
      </w:r>
      <w:r w:rsidRPr="000A64F1">
        <w:t>Podiel súčastí STU na zahraničných výskumných grantoch rok 2022</w:t>
      </w:r>
      <w:r w:rsidRPr="000A64F1">
        <w:rPr>
          <w:rFonts w:cstheme="minorHAnsi"/>
        </w:rPr>
        <w:t xml:space="preserve"> </w:t>
      </w:r>
      <w:r w:rsidRPr="000A64F1">
        <w:t>na jedného tvorivého pracovníka, pričom priemer na pracovníka je 1888 eur</w:t>
      </w:r>
    </w:p>
    <w:p w14:paraId="79C523DF" w14:textId="77777777" w:rsidR="009E70B6" w:rsidRPr="000A64F1" w:rsidRDefault="009E70B6" w:rsidP="009E70B6">
      <w:pPr>
        <w:jc w:val="both"/>
      </w:pPr>
    </w:p>
    <w:p w14:paraId="1AFE10C2" w14:textId="77777777" w:rsidR="009E70B6" w:rsidRPr="000A64F1" w:rsidRDefault="009E70B6" w:rsidP="009E70B6">
      <w:pPr>
        <w:jc w:val="both"/>
        <w:rPr>
          <w:rFonts w:cstheme="minorHAnsi"/>
        </w:rPr>
      </w:pPr>
      <w:r w:rsidRPr="000A64F1">
        <w:rPr>
          <w:noProof/>
          <w:lang w:eastAsia="sk-SK"/>
        </w:rPr>
        <w:drawing>
          <wp:inline distT="0" distB="0" distL="0" distR="0" wp14:anchorId="782CE333" wp14:editId="6D15228C">
            <wp:extent cx="5626100" cy="2101850"/>
            <wp:effectExtent l="0" t="0" r="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FD5A7F0" w14:textId="77777777" w:rsidR="009E70B6" w:rsidRPr="000A64F1" w:rsidRDefault="009E70B6" w:rsidP="009E70B6">
      <w:pPr>
        <w:jc w:val="center"/>
        <w:rPr>
          <w:sz w:val="18"/>
          <w:szCs w:val="18"/>
        </w:rPr>
      </w:pPr>
      <w:r w:rsidRPr="000A64F1">
        <w:rPr>
          <w:sz w:val="18"/>
          <w:szCs w:val="18"/>
        </w:rPr>
        <w:t>Zdroj: STU</w:t>
      </w:r>
    </w:p>
    <w:p w14:paraId="62986446" w14:textId="77777777" w:rsidR="009E70B6" w:rsidRPr="000A64F1" w:rsidRDefault="009E70B6" w:rsidP="009E70B6">
      <w:pPr>
        <w:jc w:val="both"/>
        <w:rPr>
          <w:rFonts w:cstheme="majorHAnsi"/>
        </w:rPr>
      </w:pPr>
    </w:p>
    <w:p w14:paraId="0B4BB337" w14:textId="3B0422F8" w:rsidR="009E70B6" w:rsidRPr="000A64F1" w:rsidRDefault="009E70B6" w:rsidP="009E70B6">
      <w:pPr>
        <w:jc w:val="both"/>
        <w:rPr>
          <w:rFonts w:cstheme="majorHAnsi"/>
        </w:rPr>
      </w:pPr>
      <w:r w:rsidRPr="000A64F1">
        <w:rPr>
          <w:rFonts w:cstheme="majorHAnsi"/>
        </w:rPr>
        <w:t xml:space="preserve">STU sa dlhoročne zapája do medzinárodných vedecko-výskumných programov a patrí medzi najúspešnejšie organizácie na Slovensku </w:t>
      </w:r>
      <w:r w:rsidRPr="000A64F1">
        <w:rPr>
          <w:rFonts w:eastAsia="Times New Roman" w:cstheme="majorHAnsi"/>
          <w:b/>
          <w:lang w:eastAsia="sk-SK"/>
        </w:rPr>
        <w:t>v po</w:t>
      </w:r>
      <w:r w:rsidR="00D03B25">
        <w:rPr>
          <w:rFonts w:eastAsia="Times New Roman" w:cstheme="majorHAnsi"/>
          <w:b/>
          <w:lang w:eastAsia="sk-SK"/>
        </w:rPr>
        <w:t>čte financovaných projektov i</w:t>
      </w:r>
      <w:r w:rsidRPr="000A64F1">
        <w:rPr>
          <w:rFonts w:eastAsia="Times New Roman" w:cstheme="majorHAnsi"/>
          <w:b/>
          <w:lang w:eastAsia="sk-SK"/>
        </w:rPr>
        <w:t xml:space="preserve"> v objeme získaného príspevku z EK v rámcových programoch Horizont 2020 a Horizont Európa</w:t>
      </w:r>
      <w:r w:rsidRPr="000A64F1">
        <w:rPr>
          <w:rFonts w:cstheme="majorHAnsi"/>
        </w:rPr>
        <w:t xml:space="preserve">. </w:t>
      </w:r>
    </w:p>
    <w:p w14:paraId="7226FA07" w14:textId="77777777" w:rsidR="009E70B6" w:rsidRPr="000A64F1" w:rsidRDefault="009E70B6" w:rsidP="009E70B6">
      <w:pPr>
        <w:jc w:val="both"/>
        <w:rPr>
          <w:rFonts w:cstheme="majorHAnsi"/>
        </w:rPr>
      </w:pPr>
      <w:r w:rsidRPr="000A64F1">
        <w:rPr>
          <w:rFonts w:cstheme="majorHAnsi"/>
        </w:rPr>
        <w:t>V roku 2022 bola STU aktívna v 27 projektoch Horizont 2020 (18 projektov riešila FEI STU, MTF 3, SvF a ÚM po 2 projekty a FIIT 1 projekt</w:t>
      </w:r>
      <w:r>
        <w:rPr>
          <w:rFonts w:cstheme="majorHAnsi"/>
        </w:rPr>
        <w:t>;</w:t>
      </w:r>
      <w:r w:rsidRPr="000A64F1">
        <w:rPr>
          <w:rFonts w:cstheme="majorHAnsi"/>
        </w:rPr>
        <w:t xml:space="preserve"> </w:t>
      </w:r>
      <w:r>
        <w:rPr>
          <w:rFonts w:cstheme="majorHAnsi"/>
        </w:rPr>
        <w:t>j</w:t>
      </w:r>
      <w:r w:rsidRPr="000A64F1">
        <w:rPr>
          <w:rFonts w:cstheme="majorHAnsi"/>
        </w:rPr>
        <w:t>eden projekt bol centrálne administrovaný z úrovne univerzity s čiastkovými projektami, ktoré po odbornej stránke zastrešovali fakulty) a v 10 projektoch Horizont Európa (6 projektov sa riešilo na FEI STU, po jednom projekte na SvF, MTF a FCHPT a jeden projekt zdieľajú spolu MTF a FEI). Zoznam projektov aktívnych v roku 2022 je prílohou výročnej správy.</w:t>
      </w:r>
    </w:p>
    <w:p w14:paraId="1DCC844F" w14:textId="77777777" w:rsidR="00C63597" w:rsidRPr="000A64F1" w:rsidRDefault="00C63597" w:rsidP="00C63597">
      <w:pPr>
        <w:rPr>
          <w:rFonts w:cstheme="minorHAnsi"/>
          <w:b/>
        </w:rPr>
      </w:pPr>
    </w:p>
    <w:p w14:paraId="5A8161DF" w14:textId="77777777" w:rsidR="00C63597" w:rsidRDefault="00C63597" w:rsidP="00C63597">
      <w:pPr>
        <w:jc w:val="both"/>
      </w:pPr>
    </w:p>
    <w:p w14:paraId="2074A98F" w14:textId="08DA7857" w:rsidR="005D4B0B" w:rsidRPr="000A64F1" w:rsidRDefault="005D4B0B" w:rsidP="005D4B0B">
      <w:pPr>
        <w:rPr>
          <w:b/>
          <w:sz w:val="28"/>
          <w:szCs w:val="28"/>
        </w:rPr>
      </w:pPr>
      <w:r>
        <w:rPr>
          <w:b/>
          <w:sz w:val="28"/>
          <w:szCs w:val="28"/>
        </w:rPr>
        <w:lastRenderedPageBreak/>
        <w:t>5.3</w:t>
      </w:r>
      <w:r w:rsidRPr="000A64F1">
        <w:rPr>
          <w:b/>
          <w:sz w:val="28"/>
          <w:szCs w:val="28"/>
        </w:rPr>
        <w:t>. Zmluvný výskum</w:t>
      </w:r>
    </w:p>
    <w:p w14:paraId="3699A765" w14:textId="77777777" w:rsidR="005D4B0B" w:rsidRPr="000A64F1" w:rsidRDefault="005D4B0B" w:rsidP="005D4B0B">
      <w:pPr>
        <w:jc w:val="both"/>
        <w:rPr>
          <w:rFonts w:cstheme="minorHAnsi"/>
        </w:rPr>
      </w:pPr>
    </w:p>
    <w:p w14:paraId="3FB79C5E" w14:textId="77777777" w:rsidR="005D4B0B" w:rsidRPr="000A64F1" w:rsidRDefault="005D4B0B" w:rsidP="005D4B0B">
      <w:pPr>
        <w:autoSpaceDE w:val="0"/>
        <w:autoSpaceDN w:val="0"/>
        <w:adjustRightInd w:val="0"/>
        <w:jc w:val="both"/>
      </w:pPr>
      <w:r w:rsidRPr="000A64F1">
        <w:t>Spolupráca STU v Bratislave s priemyselnou praxou v oblasti poskytovania inovatívnych a netradičných riešení pre priamu aplikáciu v hospodárskej sfére spravidla vychádza z prioritných tém výskumu pracovísk univerzity. Pracoviská fakúlt riešia pre domáce a zahraničné hospodárske subjekty výskumné projekty formou zmluvného výskumu, ktorý sa získava súťažnou formou. Tento má často exaktne definovaný predmet plnenia a formu výstupu a jeho výsledky sa obyčajne odovzdávajú oponentúrou výsledkov.</w:t>
      </w:r>
    </w:p>
    <w:p w14:paraId="01F6915A" w14:textId="77777777" w:rsidR="005D4B0B" w:rsidRPr="000A64F1" w:rsidRDefault="005D4B0B" w:rsidP="005D4B0B">
      <w:pPr>
        <w:jc w:val="both"/>
        <w:rPr>
          <w:rFonts w:cstheme="minorHAnsi"/>
        </w:rPr>
      </w:pPr>
    </w:p>
    <w:p w14:paraId="6B32DCF2" w14:textId="4A1A9FC8" w:rsidR="005D4B0B" w:rsidRPr="000A64F1" w:rsidRDefault="005D4B0B" w:rsidP="005D4B0B">
      <w:r>
        <w:rPr>
          <w:rFonts w:cstheme="minorHAnsi"/>
        </w:rPr>
        <w:t>Graf č. 3</w:t>
      </w:r>
      <w:r w:rsidRPr="000A64F1">
        <w:rPr>
          <w:rFonts w:cstheme="minorHAnsi"/>
        </w:rPr>
        <w:t xml:space="preserve">0: </w:t>
      </w:r>
      <w:r w:rsidRPr="000A64F1">
        <w:t>Podiel verejných vysokých škôl na výskumných projektoch od iných subjektov</w:t>
      </w:r>
    </w:p>
    <w:p w14:paraId="1953130D" w14:textId="77777777" w:rsidR="005D4B0B" w:rsidRPr="000A64F1" w:rsidRDefault="005D4B0B" w:rsidP="005D4B0B">
      <w:pPr>
        <w:rPr>
          <w:rFonts w:cstheme="minorHAnsi"/>
        </w:rPr>
      </w:pPr>
    </w:p>
    <w:p w14:paraId="230E89C1" w14:textId="77777777" w:rsidR="005D4B0B" w:rsidRPr="000A64F1" w:rsidRDefault="005D4B0B" w:rsidP="005D4B0B">
      <w:pPr>
        <w:jc w:val="center"/>
        <w:rPr>
          <w:rFonts w:cstheme="minorHAnsi"/>
        </w:rPr>
      </w:pPr>
      <w:r w:rsidRPr="000A64F1">
        <w:rPr>
          <w:noProof/>
          <w:lang w:eastAsia="sk-SK"/>
        </w:rPr>
        <w:drawing>
          <wp:inline distT="0" distB="0" distL="0" distR="0" wp14:anchorId="1E7F811F" wp14:editId="06DA04B6">
            <wp:extent cx="3917950" cy="2508250"/>
            <wp:effectExtent l="0" t="0" r="6350" b="6350"/>
            <wp:docPr id="68" name="Graf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FC77525" w14:textId="77777777" w:rsidR="005D4B0B" w:rsidRPr="000A64F1" w:rsidRDefault="005D4B0B" w:rsidP="005D4B0B">
      <w:pPr>
        <w:jc w:val="center"/>
        <w:rPr>
          <w:sz w:val="18"/>
          <w:szCs w:val="18"/>
        </w:rPr>
      </w:pPr>
      <w:r w:rsidRPr="000A64F1">
        <w:rPr>
          <w:sz w:val="18"/>
          <w:szCs w:val="18"/>
        </w:rPr>
        <w:t>Zdroj: MŠVVaŠ SR</w:t>
      </w:r>
    </w:p>
    <w:p w14:paraId="21E609F3" w14:textId="77777777" w:rsidR="005D4B0B" w:rsidRPr="000A64F1" w:rsidRDefault="005D4B0B" w:rsidP="005D4B0B">
      <w:pPr>
        <w:jc w:val="center"/>
        <w:rPr>
          <w:rFonts w:cstheme="minorHAnsi"/>
        </w:rPr>
      </w:pPr>
    </w:p>
    <w:p w14:paraId="11186C59" w14:textId="44016419" w:rsidR="005D4B0B" w:rsidRPr="000A64F1" w:rsidRDefault="005D4B0B" w:rsidP="005D4B0B">
      <w:pPr>
        <w:jc w:val="both"/>
        <w:rPr>
          <w:rFonts w:cstheme="minorHAnsi"/>
        </w:rPr>
      </w:pPr>
      <w:r>
        <w:rPr>
          <w:rFonts w:cstheme="minorHAnsi"/>
        </w:rPr>
        <w:t>Graf č. 3</w:t>
      </w:r>
      <w:r w:rsidRPr="000A64F1">
        <w:rPr>
          <w:rFonts w:cstheme="minorHAnsi"/>
        </w:rPr>
        <w:t xml:space="preserve">0 dokumentuje podiel STU a vybraných verejných vysokých škôl na Slovensku pri získavaní finančných prostriedkov na výskumných projektoch od iných subjektov (ZoD) podľa informácií MŠVVaŠ SR, ktoré boli použité ako podklad pri určení dotácie na rok 2023 (v súlade s metodikou delenia dotácie ide o údaje za roky 2020 a 2021). Vo výskumných grantoch od iných subjektov 7 univerzít získalo spolu 96 % z objemu získaných finančných prostriedkov a STU získala 32 % z celkového finančného objemu. STU spolu s ŽU dominujú v získavaní  finančných prostriedkov na výskumných projektoch od iných subjektov (ZoD). </w:t>
      </w:r>
    </w:p>
    <w:p w14:paraId="7101473B" w14:textId="77777777" w:rsidR="005D4B0B" w:rsidRPr="000A64F1" w:rsidRDefault="005D4B0B" w:rsidP="005D4B0B">
      <w:pPr>
        <w:autoSpaceDE w:val="0"/>
        <w:autoSpaceDN w:val="0"/>
        <w:adjustRightInd w:val="0"/>
        <w:jc w:val="both"/>
        <w:rPr>
          <w:noProof/>
        </w:rPr>
      </w:pPr>
    </w:p>
    <w:p w14:paraId="5916856A" w14:textId="235FAFBC" w:rsidR="005D4B0B" w:rsidRPr="000A64F1" w:rsidRDefault="005D4B0B" w:rsidP="005D4B0B">
      <w:pPr>
        <w:autoSpaceDE w:val="0"/>
        <w:autoSpaceDN w:val="0"/>
        <w:adjustRightInd w:val="0"/>
        <w:jc w:val="both"/>
        <w:rPr>
          <w:noProof/>
        </w:rPr>
      </w:pPr>
      <w:r w:rsidRPr="000A64F1">
        <w:rPr>
          <w:noProof/>
        </w:rPr>
        <w:t xml:space="preserve">V roku 2022 sa na STU riešilo 384 projektov zmluvného výskumu pre priemyselnú prax. Celkový objem financií zmluvného výskumu sa zvýšil oproti roku 2021 o 44,2 %. </w:t>
      </w:r>
      <w:r w:rsidRPr="00A91295">
        <w:rPr>
          <w:noProof/>
        </w:rPr>
        <w:t>Jednotlivé projekty sú  uvedené v tabuľke 19 prílohy výročnej správy STU.</w:t>
      </w:r>
      <w:r w:rsidRPr="000A64F1">
        <w:rPr>
          <w:noProof/>
        </w:rPr>
        <w:t xml:space="preserve"> Prehľad počtu zmluvných výskumných projektov a objemu zdrojov získaných zmluvným výskumom za rok 2022, v členení podľa súčastí STU uvádzajú tab. č. </w:t>
      </w:r>
      <w:r>
        <w:rPr>
          <w:noProof/>
        </w:rPr>
        <w:t>4</w:t>
      </w:r>
      <w:r w:rsidRPr="000A64F1">
        <w:rPr>
          <w:noProof/>
        </w:rPr>
        <w:t>4 a </w:t>
      </w:r>
      <w:r>
        <w:rPr>
          <w:noProof/>
        </w:rPr>
        <w:t>4</w:t>
      </w:r>
      <w:r w:rsidRPr="000A64F1">
        <w:rPr>
          <w:noProof/>
        </w:rPr>
        <w:t>4a (Zdroj: STU).</w:t>
      </w:r>
    </w:p>
    <w:p w14:paraId="50090B66" w14:textId="77777777" w:rsidR="005D4B0B" w:rsidRPr="000A64F1" w:rsidRDefault="005D4B0B" w:rsidP="005D4B0B">
      <w:pPr>
        <w:jc w:val="both"/>
        <w:rPr>
          <w:rFonts w:cstheme="minorHAnsi"/>
        </w:rPr>
      </w:pPr>
    </w:p>
    <w:p w14:paraId="0607245F" w14:textId="4F4CE06C" w:rsidR="005D4B0B" w:rsidRPr="000A64F1" w:rsidRDefault="005D4B0B" w:rsidP="005D4B0B">
      <w:pPr>
        <w:jc w:val="both"/>
        <w:rPr>
          <w:noProof/>
        </w:rPr>
      </w:pPr>
      <w:r w:rsidRPr="000A64F1">
        <w:rPr>
          <w:rFonts w:cstheme="minorHAnsi"/>
        </w:rPr>
        <w:t xml:space="preserve">Tab. č. </w:t>
      </w:r>
      <w:r>
        <w:rPr>
          <w:rFonts w:cstheme="minorHAnsi"/>
        </w:rPr>
        <w:t>4</w:t>
      </w:r>
      <w:r w:rsidRPr="000A64F1">
        <w:rPr>
          <w:rFonts w:cstheme="minorHAnsi"/>
        </w:rPr>
        <w:t xml:space="preserve">4: </w:t>
      </w:r>
      <w:r w:rsidRPr="000A64F1">
        <w:rPr>
          <w:noProof/>
        </w:rPr>
        <w:t>Prehľad počtu zmluvných výskumných projektov STU v roku 2022</w:t>
      </w:r>
    </w:p>
    <w:tbl>
      <w:tblPr>
        <w:tblW w:w="9214" w:type="dxa"/>
        <w:tblInd w:w="-5" w:type="dxa"/>
        <w:tblCellMar>
          <w:left w:w="70" w:type="dxa"/>
          <w:right w:w="70" w:type="dxa"/>
        </w:tblCellMar>
        <w:tblLook w:val="04A0" w:firstRow="1" w:lastRow="0" w:firstColumn="1" w:lastColumn="0" w:noHBand="0" w:noVBand="1"/>
      </w:tblPr>
      <w:tblGrid>
        <w:gridCol w:w="993"/>
        <w:gridCol w:w="992"/>
        <w:gridCol w:w="850"/>
        <w:gridCol w:w="851"/>
        <w:gridCol w:w="992"/>
        <w:gridCol w:w="851"/>
        <w:gridCol w:w="992"/>
        <w:gridCol w:w="850"/>
        <w:gridCol w:w="851"/>
        <w:gridCol w:w="992"/>
      </w:tblGrid>
      <w:tr w:rsidR="005D4B0B" w:rsidRPr="000A64F1" w14:paraId="041866D4" w14:textId="77777777" w:rsidTr="005D4B0B">
        <w:trPr>
          <w:trHeight w:val="29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AFB98"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SvF</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F62E111"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SjF</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F6123C4"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FEI</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CA5E0D4"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FCHPT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2AF21EC"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FA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3B52CC9"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MTF</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883CA86"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FIIT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2FD56A9"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ÚM</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BF28562"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RSTU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1F3E157"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Spolu</w:t>
            </w:r>
          </w:p>
        </w:tc>
      </w:tr>
      <w:tr w:rsidR="005D4B0B" w:rsidRPr="000A64F1" w14:paraId="0995BB12" w14:textId="77777777" w:rsidTr="005D4B0B">
        <w:trPr>
          <w:trHeight w:val="290"/>
        </w:trPr>
        <w:tc>
          <w:tcPr>
            <w:tcW w:w="993" w:type="dxa"/>
            <w:tcBorders>
              <w:top w:val="nil"/>
              <w:left w:val="single" w:sz="4" w:space="0" w:color="auto"/>
              <w:bottom w:val="single" w:sz="4" w:space="0" w:color="auto"/>
              <w:right w:val="single" w:sz="4" w:space="0" w:color="auto"/>
            </w:tcBorders>
            <w:shd w:val="clear" w:color="000000" w:fill="EEECE1"/>
            <w:vAlign w:val="center"/>
            <w:hideMark/>
          </w:tcPr>
          <w:p w14:paraId="372D8A8A"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49</w:t>
            </w:r>
          </w:p>
        </w:tc>
        <w:tc>
          <w:tcPr>
            <w:tcW w:w="992" w:type="dxa"/>
            <w:tcBorders>
              <w:top w:val="nil"/>
              <w:left w:val="nil"/>
              <w:bottom w:val="single" w:sz="4" w:space="0" w:color="auto"/>
              <w:right w:val="single" w:sz="4" w:space="0" w:color="auto"/>
            </w:tcBorders>
            <w:shd w:val="clear" w:color="000000" w:fill="EEECE1"/>
            <w:vAlign w:val="center"/>
            <w:hideMark/>
          </w:tcPr>
          <w:p w14:paraId="6928B174"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16</w:t>
            </w:r>
          </w:p>
        </w:tc>
        <w:tc>
          <w:tcPr>
            <w:tcW w:w="850" w:type="dxa"/>
            <w:tcBorders>
              <w:top w:val="nil"/>
              <w:left w:val="nil"/>
              <w:bottom w:val="single" w:sz="4" w:space="0" w:color="auto"/>
              <w:right w:val="single" w:sz="4" w:space="0" w:color="auto"/>
            </w:tcBorders>
            <w:shd w:val="clear" w:color="000000" w:fill="EEECE1"/>
            <w:vAlign w:val="center"/>
            <w:hideMark/>
          </w:tcPr>
          <w:p w14:paraId="592C9E2F"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8</w:t>
            </w:r>
          </w:p>
        </w:tc>
        <w:tc>
          <w:tcPr>
            <w:tcW w:w="851" w:type="dxa"/>
            <w:tcBorders>
              <w:top w:val="nil"/>
              <w:left w:val="nil"/>
              <w:bottom w:val="single" w:sz="4" w:space="0" w:color="auto"/>
              <w:right w:val="single" w:sz="4" w:space="0" w:color="auto"/>
            </w:tcBorders>
            <w:shd w:val="clear" w:color="000000" w:fill="EEECE1"/>
            <w:vAlign w:val="center"/>
            <w:hideMark/>
          </w:tcPr>
          <w:p w14:paraId="1FBD5242"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26</w:t>
            </w:r>
          </w:p>
        </w:tc>
        <w:tc>
          <w:tcPr>
            <w:tcW w:w="992" w:type="dxa"/>
            <w:tcBorders>
              <w:top w:val="nil"/>
              <w:left w:val="nil"/>
              <w:bottom w:val="single" w:sz="4" w:space="0" w:color="auto"/>
              <w:right w:val="single" w:sz="4" w:space="0" w:color="auto"/>
            </w:tcBorders>
            <w:shd w:val="clear" w:color="000000" w:fill="EEECE1"/>
            <w:vAlign w:val="center"/>
            <w:hideMark/>
          </w:tcPr>
          <w:p w14:paraId="3D097802"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0</w:t>
            </w:r>
          </w:p>
        </w:tc>
        <w:tc>
          <w:tcPr>
            <w:tcW w:w="851" w:type="dxa"/>
            <w:tcBorders>
              <w:top w:val="nil"/>
              <w:left w:val="nil"/>
              <w:bottom w:val="single" w:sz="4" w:space="0" w:color="auto"/>
              <w:right w:val="single" w:sz="4" w:space="0" w:color="auto"/>
            </w:tcBorders>
            <w:shd w:val="clear" w:color="000000" w:fill="EEECE1"/>
            <w:vAlign w:val="center"/>
            <w:hideMark/>
          </w:tcPr>
          <w:p w14:paraId="2F4DA9E3"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271</w:t>
            </w:r>
          </w:p>
        </w:tc>
        <w:tc>
          <w:tcPr>
            <w:tcW w:w="992" w:type="dxa"/>
            <w:tcBorders>
              <w:top w:val="nil"/>
              <w:left w:val="nil"/>
              <w:bottom w:val="single" w:sz="4" w:space="0" w:color="auto"/>
              <w:right w:val="single" w:sz="4" w:space="0" w:color="auto"/>
            </w:tcBorders>
            <w:shd w:val="clear" w:color="000000" w:fill="EEECE1"/>
            <w:vAlign w:val="center"/>
            <w:hideMark/>
          </w:tcPr>
          <w:p w14:paraId="517B360A"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12</w:t>
            </w:r>
          </w:p>
        </w:tc>
        <w:tc>
          <w:tcPr>
            <w:tcW w:w="850" w:type="dxa"/>
            <w:tcBorders>
              <w:top w:val="nil"/>
              <w:left w:val="nil"/>
              <w:bottom w:val="single" w:sz="4" w:space="0" w:color="auto"/>
              <w:right w:val="single" w:sz="4" w:space="0" w:color="auto"/>
            </w:tcBorders>
            <w:shd w:val="clear" w:color="000000" w:fill="EEECE1"/>
            <w:vAlign w:val="center"/>
            <w:hideMark/>
          </w:tcPr>
          <w:p w14:paraId="7ED50FE5"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2</w:t>
            </w:r>
          </w:p>
        </w:tc>
        <w:tc>
          <w:tcPr>
            <w:tcW w:w="851" w:type="dxa"/>
            <w:tcBorders>
              <w:top w:val="nil"/>
              <w:left w:val="nil"/>
              <w:bottom w:val="single" w:sz="4" w:space="0" w:color="auto"/>
              <w:right w:val="single" w:sz="4" w:space="0" w:color="auto"/>
            </w:tcBorders>
            <w:shd w:val="clear" w:color="000000" w:fill="EEECE1"/>
            <w:vAlign w:val="center"/>
            <w:hideMark/>
          </w:tcPr>
          <w:p w14:paraId="4ECFC478"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0</w:t>
            </w:r>
          </w:p>
        </w:tc>
        <w:tc>
          <w:tcPr>
            <w:tcW w:w="992" w:type="dxa"/>
            <w:tcBorders>
              <w:top w:val="nil"/>
              <w:left w:val="nil"/>
              <w:bottom w:val="single" w:sz="4" w:space="0" w:color="auto"/>
              <w:right w:val="single" w:sz="4" w:space="0" w:color="auto"/>
            </w:tcBorders>
            <w:shd w:val="clear" w:color="000000" w:fill="EEECE1"/>
            <w:vAlign w:val="center"/>
            <w:hideMark/>
          </w:tcPr>
          <w:p w14:paraId="13B1083D"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384</w:t>
            </w:r>
          </w:p>
        </w:tc>
      </w:tr>
    </w:tbl>
    <w:p w14:paraId="503649C6" w14:textId="77777777" w:rsidR="005D4B0B" w:rsidRPr="000A64F1" w:rsidRDefault="005D4B0B" w:rsidP="005D4B0B">
      <w:pPr>
        <w:jc w:val="both"/>
        <w:rPr>
          <w:noProof/>
          <w:color w:val="0070C0"/>
        </w:rPr>
      </w:pPr>
    </w:p>
    <w:p w14:paraId="4DB91F86" w14:textId="54470A40" w:rsidR="005D4B0B" w:rsidRPr="000A64F1" w:rsidRDefault="005D4B0B" w:rsidP="005D4B0B">
      <w:pPr>
        <w:jc w:val="both"/>
        <w:rPr>
          <w:noProof/>
        </w:rPr>
      </w:pPr>
      <w:r w:rsidRPr="000A64F1">
        <w:rPr>
          <w:rFonts w:cstheme="minorHAnsi"/>
        </w:rPr>
        <w:t xml:space="preserve">Tab. č. </w:t>
      </w:r>
      <w:r>
        <w:rPr>
          <w:rFonts w:cstheme="minorHAnsi"/>
        </w:rPr>
        <w:t>4</w:t>
      </w:r>
      <w:r w:rsidRPr="000A64F1">
        <w:rPr>
          <w:rFonts w:cstheme="minorHAnsi"/>
        </w:rPr>
        <w:t xml:space="preserve">4a: </w:t>
      </w:r>
      <w:r w:rsidRPr="000A64F1">
        <w:rPr>
          <w:noProof/>
        </w:rPr>
        <w:t>Prehľad finančných úhrad za zmluvné výskumné projekty STU v roku 2022</w:t>
      </w:r>
    </w:p>
    <w:tbl>
      <w:tblPr>
        <w:tblW w:w="9214" w:type="dxa"/>
        <w:tblInd w:w="-5" w:type="dxa"/>
        <w:tblCellMar>
          <w:left w:w="70" w:type="dxa"/>
          <w:right w:w="70" w:type="dxa"/>
        </w:tblCellMar>
        <w:tblLook w:val="04A0" w:firstRow="1" w:lastRow="0" w:firstColumn="1" w:lastColumn="0" w:noHBand="0" w:noVBand="1"/>
      </w:tblPr>
      <w:tblGrid>
        <w:gridCol w:w="993"/>
        <w:gridCol w:w="992"/>
        <w:gridCol w:w="850"/>
        <w:gridCol w:w="851"/>
        <w:gridCol w:w="850"/>
        <w:gridCol w:w="993"/>
        <w:gridCol w:w="850"/>
        <w:gridCol w:w="992"/>
        <w:gridCol w:w="709"/>
        <w:gridCol w:w="1134"/>
      </w:tblGrid>
      <w:tr w:rsidR="005D4B0B" w:rsidRPr="000A64F1" w14:paraId="5D11EDB5" w14:textId="77777777" w:rsidTr="005D4B0B">
        <w:trPr>
          <w:trHeight w:val="29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B356A"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SvF</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3D0644"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SjF</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926219E"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FEI</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6E465BD"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FCHPT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31FFE77"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FA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D721044"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MTF</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BE6F643"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FIIT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6826851"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ÚM</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3E8CE8F"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RSTU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490358" w14:textId="77777777" w:rsidR="005D4B0B" w:rsidRPr="000A64F1" w:rsidRDefault="005D4B0B" w:rsidP="005D4B0B">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Spolu</w:t>
            </w:r>
          </w:p>
        </w:tc>
      </w:tr>
      <w:tr w:rsidR="005D4B0B" w:rsidRPr="000A64F1" w14:paraId="0D24DBF8" w14:textId="77777777" w:rsidTr="005D4B0B">
        <w:trPr>
          <w:trHeight w:val="290"/>
        </w:trPr>
        <w:tc>
          <w:tcPr>
            <w:tcW w:w="993" w:type="dxa"/>
            <w:tcBorders>
              <w:top w:val="nil"/>
              <w:left w:val="single" w:sz="4" w:space="0" w:color="auto"/>
              <w:bottom w:val="single" w:sz="4" w:space="0" w:color="auto"/>
              <w:right w:val="single" w:sz="4" w:space="0" w:color="auto"/>
            </w:tcBorders>
            <w:shd w:val="clear" w:color="000000" w:fill="EEECE1"/>
            <w:noWrap/>
            <w:vAlign w:val="center"/>
            <w:hideMark/>
          </w:tcPr>
          <w:p w14:paraId="13D90F13"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1 013 359</w:t>
            </w:r>
          </w:p>
        </w:tc>
        <w:tc>
          <w:tcPr>
            <w:tcW w:w="992" w:type="dxa"/>
            <w:tcBorders>
              <w:top w:val="nil"/>
              <w:left w:val="nil"/>
              <w:bottom w:val="single" w:sz="4" w:space="0" w:color="auto"/>
              <w:right w:val="single" w:sz="4" w:space="0" w:color="auto"/>
            </w:tcBorders>
            <w:shd w:val="clear" w:color="000000" w:fill="EEECE1"/>
            <w:noWrap/>
            <w:vAlign w:val="center"/>
            <w:hideMark/>
          </w:tcPr>
          <w:p w14:paraId="092408F9"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220 853</w:t>
            </w:r>
          </w:p>
        </w:tc>
        <w:tc>
          <w:tcPr>
            <w:tcW w:w="850" w:type="dxa"/>
            <w:tcBorders>
              <w:top w:val="nil"/>
              <w:left w:val="nil"/>
              <w:bottom w:val="single" w:sz="4" w:space="0" w:color="auto"/>
              <w:right w:val="single" w:sz="4" w:space="0" w:color="auto"/>
            </w:tcBorders>
            <w:shd w:val="clear" w:color="000000" w:fill="EEECE1"/>
            <w:noWrap/>
            <w:vAlign w:val="center"/>
            <w:hideMark/>
          </w:tcPr>
          <w:p w14:paraId="4678ED5B"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73 480</w:t>
            </w:r>
          </w:p>
        </w:tc>
        <w:tc>
          <w:tcPr>
            <w:tcW w:w="851" w:type="dxa"/>
            <w:tcBorders>
              <w:top w:val="nil"/>
              <w:left w:val="nil"/>
              <w:bottom w:val="single" w:sz="4" w:space="0" w:color="auto"/>
              <w:right w:val="single" w:sz="4" w:space="0" w:color="auto"/>
            </w:tcBorders>
            <w:shd w:val="clear" w:color="000000" w:fill="EEECE1"/>
            <w:noWrap/>
            <w:vAlign w:val="center"/>
            <w:hideMark/>
          </w:tcPr>
          <w:p w14:paraId="28369F0A"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245 382</w:t>
            </w:r>
          </w:p>
        </w:tc>
        <w:tc>
          <w:tcPr>
            <w:tcW w:w="850" w:type="dxa"/>
            <w:tcBorders>
              <w:top w:val="nil"/>
              <w:left w:val="nil"/>
              <w:bottom w:val="single" w:sz="4" w:space="0" w:color="auto"/>
              <w:right w:val="single" w:sz="4" w:space="0" w:color="auto"/>
            </w:tcBorders>
            <w:shd w:val="clear" w:color="000000" w:fill="EEECE1"/>
            <w:noWrap/>
            <w:vAlign w:val="center"/>
            <w:hideMark/>
          </w:tcPr>
          <w:p w14:paraId="52801A73"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0</w:t>
            </w:r>
          </w:p>
        </w:tc>
        <w:tc>
          <w:tcPr>
            <w:tcW w:w="993" w:type="dxa"/>
            <w:tcBorders>
              <w:top w:val="nil"/>
              <w:left w:val="nil"/>
              <w:bottom w:val="single" w:sz="4" w:space="0" w:color="auto"/>
              <w:right w:val="single" w:sz="4" w:space="0" w:color="auto"/>
            </w:tcBorders>
            <w:shd w:val="clear" w:color="000000" w:fill="EEECE1"/>
            <w:noWrap/>
            <w:vAlign w:val="center"/>
            <w:hideMark/>
          </w:tcPr>
          <w:p w14:paraId="17838320"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645 518</w:t>
            </w:r>
          </w:p>
        </w:tc>
        <w:tc>
          <w:tcPr>
            <w:tcW w:w="850" w:type="dxa"/>
            <w:tcBorders>
              <w:top w:val="nil"/>
              <w:left w:val="nil"/>
              <w:bottom w:val="single" w:sz="4" w:space="0" w:color="auto"/>
              <w:right w:val="single" w:sz="4" w:space="0" w:color="auto"/>
            </w:tcBorders>
            <w:shd w:val="clear" w:color="000000" w:fill="EEECE1"/>
            <w:noWrap/>
            <w:vAlign w:val="center"/>
            <w:hideMark/>
          </w:tcPr>
          <w:p w14:paraId="2B4A11D5"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222 866</w:t>
            </w:r>
          </w:p>
        </w:tc>
        <w:tc>
          <w:tcPr>
            <w:tcW w:w="992" w:type="dxa"/>
            <w:tcBorders>
              <w:top w:val="nil"/>
              <w:left w:val="nil"/>
              <w:bottom w:val="single" w:sz="4" w:space="0" w:color="auto"/>
              <w:right w:val="single" w:sz="4" w:space="0" w:color="auto"/>
            </w:tcBorders>
            <w:shd w:val="clear" w:color="000000" w:fill="EEECE1"/>
            <w:vAlign w:val="center"/>
            <w:hideMark/>
          </w:tcPr>
          <w:p w14:paraId="539ADC7D"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185 595</w:t>
            </w:r>
          </w:p>
        </w:tc>
        <w:tc>
          <w:tcPr>
            <w:tcW w:w="709" w:type="dxa"/>
            <w:tcBorders>
              <w:top w:val="nil"/>
              <w:left w:val="nil"/>
              <w:bottom w:val="single" w:sz="4" w:space="0" w:color="auto"/>
              <w:right w:val="single" w:sz="4" w:space="0" w:color="auto"/>
            </w:tcBorders>
            <w:shd w:val="clear" w:color="000000" w:fill="EEECE1"/>
            <w:noWrap/>
            <w:vAlign w:val="center"/>
            <w:hideMark/>
          </w:tcPr>
          <w:p w14:paraId="77098584"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0</w:t>
            </w:r>
          </w:p>
        </w:tc>
        <w:tc>
          <w:tcPr>
            <w:tcW w:w="1134" w:type="dxa"/>
            <w:tcBorders>
              <w:top w:val="nil"/>
              <w:left w:val="nil"/>
              <w:bottom w:val="single" w:sz="4" w:space="0" w:color="auto"/>
              <w:right w:val="single" w:sz="4" w:space="0" w:color="auto"/>
            </w:tcBorders>
            <w:shd w:val="clear" w:color="000000" w:fill="EEECE1"/>
            <w:noWrap/>
            <w:vAlign w:val="center"/>
            <w:hideMark/>
          </w:tcPr>
          <w:p w14:paraId="43541E8D" w14:textId="77777777" w:rsidR="005D4B0B" w:rsidRPr="000A64F1" w:rsidRDefault="005D4B0B" w:rsidP="005D4B0B">
            <w:pPr>
              <w:jc w:val="center"/>
              <w:rPr>
                <w:rFonts w:eastAsia="Times New Roman" w:cs="Calibri"/>
                <w:color w:val="000000"/>
                <w:sz w:val="20"/>
                <w:szCs w:val="20"/>
                <w:lang w:eastAsia="sk-SK"/>
              </w:rPr>
            </w:pPr>
            <w:r w:rsidRPr="000A64F1">
              <w:rPr>
                <w:rFonts w:eastAsia="Times New Roman" w:cs="Calibri"/>
                <w:color w:val="000000"/>
                <w:sz w:val="20"/>
                <w:szCs w:val="20"/>
                <w:lang w:eastAsia="sk-SK"/>
              </w:rPr>
              <w:t>2 607 052</w:t>
            </w:r>
          </w:p>
        </w:tc>
      </w:tr>
    </w:tbl>
    <w:p w14:paraId="5A177D47" w14:textId="77777777" w:rsidR="005D4B0B" w:rsidRPr="000A64F1" w:rsidRDefault="005D4B0B" w:rsidP="005D4B0B">
      <w:pPr>
        <w:jc w:val="both"/>
      </w:pPr>
    </w:p>
    <w:p w14:paraId="522DF1DF" w14:textId="10F99CB1" w:rsidR="005D4B0B" w:rsidRPr="000A64F1" w:rsidRDefault="005D4B0B" w:rsidP="005D4B0B">
      <w:pPr>
        <w:jc w:val="both"/>
      </w:pPr>
      <w:r>
        <w:lastRenderedPageBreak/>
        <w:t>Graf č. 3</w:t>
      </w:r>
      <w:r w:rsidRPr="000A64F1">
        <w:t>1: Výskumné zmluvy o dielo za rok 2022 v eurách</w:t>
      </w:r>
    </w:p>
    <w:p w14:paraId="47A4D320" w14:textId="77777777" w:rsidR="005D4B0B" w:rsidRPr="000A64F1" w:rsidRDefault="005D4B0B" w:rsidP="005D4B0B">
      <w:pPr>
        <w:jc w:val="both"/>
      </w:pPr>
    </w:p>
    <w:p w14:paraId="194447AC" w14:textId="77777777" w:rsidR="005D4B0B" w:rsidRPr="000A64F1" w:rsidRDefault="005D4B0B" w:rsidP="005D4B0B">
      <w:pPr>
        <w:jc w:val="both"/>
      </w:pPr>
    </w:p>
    <w:p w14:paraId="6B7E4B2D" w14:textId="77777777" w:rsidR="005D4B0B" w:rsidRPr="000A64F1" w:rsidRDefault="005D4B0B" w:rsidP="005D4B0B">
      <w:pPr>
        <w:jc w:val="both"/>
      </w:pPr>
      <w:r>
        <w:rPr>
          <w:noProof/>
          <w:lang w:eastAsia="sk-SK"/>
        </w:rPr>
        <w:drawing>
          <wp:inline distT="0" distB="0" distL="0" distR="0" wp14:anchorId="58D38ED4" wp14:editId="471B403E">
            <wp:extent cx="5610225" cy="2228850"/>
            <wp:effectExtent l="0" t="0" r="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716F84E" w14:textId="77777777" w:rsidR="005D4B0B" w:rsidRPr="000A64F1" w:rsidRDefault="005D4B0B" w:rsidP="005D4B0B">
      <w:pPr>
        <w:jc w:val="center"/>
        <w:rPr>
          <w:sz w:val="18"/>
          <w:szCs w:val="18"/>
        </w:rPr>
      </w:pPr>
      <w:r w:rsidRPr="000A64F1">
        <w:rPr>
          <w:sz w:val="18"/>
          <w:szCs w:val="18"/>
        </w:rPr>
        <w:t>Zdroj: STU</w:t>
      </w:r>
    </w:p>
    <w:p w14:paraId="7740A505" w14:textId="77777777" w:rsidR="005D4B0B" w:rsidRPr="000A64F1" w:rsidRDefault="005D4B0B" w:rsidP="005D4B0B">
      <w:pPr>
        <w:jc w:val="both"/>
      </w:pPr>
    </w:p>
    <w:p w14:paraId="0607A51C" w14:textId="4208AC14" w:rsidR="005D4B0B" w:rsidRPr="000A64F1" w:rsidRDefault="005D4B0B" w:rsidP="005D4B0B">
      <w:pPr>
        <w:jc w:val="both"/>
      </w:pPr>
      <w:r>
        <w:t>Graf č. 3</w:t>
      </w:r>
      <w:r w:rsidRPr="000A64F1">
        <w:t>1</w:t>
      </w:r>
      <w:r>
        <w:t>a</w:t>
      </w:r>
      <w:r w:rsidRPr="000A64F1">
        <w:t xml:space="preserve"> znázorňuje úspešnosť jednotlivých sú</w:t>
      </w:r>
      <w:r>
        <w:t>častí STU za rok 2022. Graf č. 3</w:t>
      </w:r>
      <w:r w:rsidRPr="000A64F1">
        <w:t>1a vypovedá o výkonnosti jednotlivých súčastí vo výskumných zmluvách o dielo za rok 2022 v eurách pripadajúcich na tvorivého pracovníka, pričom priemer STU je 2 126,- € na tvorivého pracovníka.</w:t>
      </w:r>
    </w:p>
    <w:p w14:paraId="6E55D30C" w14:textId="77777777" w:rsidR="005D4B0B" w:rsidRPr="000A64F1" w:rsidRDefault="005D4B0B" w:rsidP="005D4B0B">
      <w:pPr>
        <w:jc w:val="both"/>
      </w:pPr>
    </w:p>
    <w:p w14:paraId="6D8E762F" w14:textId="4AA8EB1C" w:rsidR="005D4B0B" w:rsidRPr="000A64F1" w:rsidRDefault="005D4B0B" w:rsidP="005D4B0B">
      <w:pPr>
        <w:jc w:val="both"/>
      </w:pPr>
      <w:r>
        <w:t>Graf č. 3</w:t>
      </w:r>
      <w:r w:rsidRPr="000A64F1">
        <w:t>1a: Výskumné zmluvy o dielo za rok 2022 v eurách na tvorivého pracovníka</w:t>
      </w:r>
    </w:p>
    <w:p w14:paraId="0D58C89C" w14:textId="77777777" w:rsidR="005D4B0B" w:rsidRPr="000A64F1" w:rsidRDefault="005D4B0B" w:rsidP="005D4B0B">
      <w:pPr>
        <w:jc w:val="both"/>
      </w:pPr>
    </w:p>
    <w:p w14:paraId="2214D2EE" w14:textId="77777777" w:rsidR="005D4B0B" w:rsidRPr="000A64F1" w:rsidRDefault="005D4B0B" w:rsidP="005D4B0B">
      <w:pPr>
        <w:jc w:val="both"/>
      </w:pPr>
      <w:r w:rsidRPr="000A64F1">
        <w:rPr>
          <w:noProof/>
          <w:lang w:eastAsia="sk-SK"/>
        </w:rPr>
        <w:drawing>
          <wp:inline distT="0" distB="0" distL="0" distR="0" wp14:anchorId="7B7C7392" wp14:editId="706A9B34">
            <wp:extent cx="5760720" cy="2175510"/>
            <wp:effectExtent l="0" t="0" r="0" b="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3ECA82A" w14:textId="77777777" w:rsidR="005D4B0B" w:rsidRPr="000A64F1" w:rsidRDefault="005D4B0B" w:rsidP="005D4B0B">
      <w:pPr>
        <w:jc w:val="center"/>
        <w:rPr>
          <w:sz w:val="18"/>
          <w:szCs w:val="18"/>
        </w:rPr>
      </w:pPr>
      <w:r w:rsidRPr="000A64F1">
        <w:rPr>
          <w:sz w:val="18"/>
          <w:szCs w:val="18"/>
        </w:rPr>
        <w:t>Zdroj: STU</w:t>
      </w:r>
    </w:p>
    <w:p w14:paraId="78FC1378" w14:textId="77777777" w:rsidR="005D4B0B" w:rsidRPr="000A64F1" w:rsidRDefault="005D4B0B" w:rsidP="005D4B0B">
      <w:pPr>
        <w:jc w:val="both"/>
      </w:pPr>
    </w:p>
    <w:p w14:paraId="5381A6A3" w14:textId="77777777" w:rsidR="005D4B0B" w:rsidRDefault="005D4B0B" w:rsidP="005D4B0B">
      <w:pPr>
        <w:jc w:val="both"/>
        <w:rPr>
          <w:b/>
          <w:sz w:val="28"/>
          <w:szCs w:val="28"/>
        </w:rPr>
      </w:pPr>
    </w:p>
    <w:p w14:paraId="7983D5FB" w14:textId="6EA47FC0" w:rsidR="005D4B0B" w:rsidRPr="000A64F1" w:rsidRDefault="005D4B0B" w:rsidP="005D4B0B">
      <w:pPr>
        <w:jc w:val="both"/>
        <w:rPr>
          <w:b/>
          <w:sz w:val="28"/>
          <w:szCs w:val="28"/>
        </w:rPr>
      </w:pPr>
      <w:r>
        <w:rPr>
          <w:b/>
          <w:sz w:val="28"/>
          <w:szCs w:val="28"/>
        </w:rPr>
        <w:t>5.4</w:t>
      </w:r>
      <w:r w:rsidRPr="000A64F1">
        <w:rPr>
          <w:b/>
          <w:sz w:val="28"/>
          <w:szCs w:val="28"/>
        </w:rPr>
        <w:t>. Výstupy tvorivej činnosti</w:t>
      </w:r>
    </w:p>
    <w:p w14:paraId="51B4F3E5" w14:textId="77777777" w:rsidR="005D4B0B" w:rsidRPr="000A64F1" w:rsidRDefault="005D4B0B" w:rsidP="005D4B0B">
      <w:pPr>
        <w:jc w:val="both"/>
        <w:rPr>
          <w:b/>
          <w:sz w:val="28"/>
          <w:szCs w:val="28"/>
        </w:rPr>
      </w:pPr>
    </w:p>
    <w:p w14:paraId="25FD7FD2" w14:textId="77777777" w:rsidR="005D4B0B" w:rsidRPr="000A64F1" w:rsidRDefault="005D4B0B" w:rsidP="005D4B0B">
      <w:pPr>
        <w:jc w:val="both"/>
      </w:pPr>
      <w:r w:rsidRPr="000A64F1">
        <w:t xml:space="preserve">Úroveň výstupov tvorivej činnosti je rozhodujúcim faktorom pri hodnotení kvality vedeckej a umeleckej činnosti každej univerzity. Je významným ukazovateľom pre potenciálnych partnerov univerzity, zahraničné agentúry hodnotiace kvalitu v oblasti vedy a umenia v európskom priestore, ale aj vo svete, a zároveň tvorí východiskovú bázu pre hodnotenie výkonu STU z pozície MŠVVaŠ SR. </w:t>
      </w:r>
    </w:p>
    <w:p w14:paraId="091D56C9" w14:textId="77777777" w:rsidR="005D4B0B" w:rsidRPr="000A64F1" w:rsidRDefault="005D4B0B" w:rsidP="005D4B0B">
      <w:pPr>
        <w:jc w:val="both"/>
        <w:rPr>
          <w:rFonts w:eastAsia="Times New Roman" w:cs="Times New Roman"/>
        </w:rPr>
      </w:pPr>
    </w:p>
    <w:p w14:paraId="45971909" w14:textId="77777777" w:rsidR="005D4B0B" w:rsidRPr="000A64F1" w:rsidRDefault="005D4B0B" w:rsidP="005D4B0B">
      <w:pPr>
        <w:jc w:val="both"/>
        <w:rPr>
          <w:rFonts w:eastAsia="Times New Roman" w:cs="Times New Roman"/>
        </w:rPr>
      </w:pPr>
    </w:p>
    <w:p w14:paraId="579E8415" w14:textId="77777777" w:rsidR="005D4B0B" w:rsidRDefault="005D4B0B" w:rsidP="005D4B0B">
      <w:pPr>
        <w:jc w:val="both"/>
      </w:pPr>
    </w:p>
    <w:p w14:paraId="50A85B11" w14:textId="10FFAED4" w:rsidR="005D4B0B" w:rsidRPr="000A64F1" w:rsidRDefault="00F44FFC" w:rsidP="005D4B0B">
      <w:pPr>
        <w:jc w:val="both"/>
      </w:pPr>
      <w:r>
        <w:lastRenderedPageBreak/>
        <w:t>Graf č. 3</w:t>
      </w:r>
      <w:r w:rsidR="005D4B0B" w:rsidRPr="000A64F1">
        <w:t>2: Podiel verejných VŠ na celkovej publikačnej činnosti pri delení dotácie na rok 2023</w:t>
      </w:r>
    </w:p>
    <w:p w14:paraId="65BA6B1F" w14:textId="77777777" w:rsidR="005D4B0B" w:rsidRPr="000A64F1" w:rsidRDefault="005D4B0B" w:rsidP="005D4B0B">
      <w:pPr>
        <w:jc w:val="both"/>
      </w:pPr>
    </w:p>
    <w:p w14:paraId="3BAC7D32" w14:textId="77777777" w:rsidR="005D4B0B" w:rsidRPr="000A64F1" w:rsidRDefault="005D4B0B" w:rsidP="005D4B0B">
      <w:pPr>
        <w:jc w:val="center"/>
        <w:rPr>
          <w:rFonts w:eastAsia="Times New Roman" w:cs="Calibri"/>
          <w:b/>
        </w:rPr>
      </w:pPr>
    </w:p>
    <w:p w14:paraId="634BC772" w14:textId="77777777" w:rsidR="005D4B0B" w:rsidRPr="000A64F1" w:rsidRDefault="005D4B0B" w:rsidP="005D4B0B">
      <w:pPr>
        <w:jc w:val="center"/>
        <w:rPr>
          <w:rFonts w:eastAsia="Times New Roman" w:cs="Calibri"/>
          <w:sz w:val="20"/>
          <w:szCs w:val="20"/>
        </w:rPr>
      </w:pPr>
      <w:r w:rsidRPr="000A64F1">
        <w:rPr>
          <w:noProof/>
          <w:lang w:eastAsia="sk-SK"/>
        </w:rPr>
        <w:drawing>
          <wp:inline distT="0" distB="0" distL="0" distR="0" wp14:anchorId="44D0FAC6" wp14:editId="00C3EEED">
            <wp:extent cx="4089400" cy="2349500"/>
            <wp:effectExtent l="0" t="0" r="0" b="0"/>
            <wp:docPr id="69" name="Graf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D2F49E9" w14:textId="77777777" w:rsidR="005D4B0B" w:rsidRPr="000A64F1" w:rsidRDefault="005D4B0B" w:rsidP="005D4B0B">
      <w:pPr>
        <w:jc w:val="center"/>
        <w:rPr>
          <w:sz w:val="18"/>
          <w:szCs w:val="18"/>
        </w:rPr>
      </w:pPr>
      <w:r w:rsidRPr="000A64F1">
        <w:rPr>
          <w:sz w:val="18"/>
          <w:szCs w:val="18"/>
        </w:rPr>
        <w:t>Zdroj: MŠVVaŠ SR</w:t>
      </w:r>
    </w:p>
    <w:p w14:paraId="4A336641" w14:textId="77777777" w:rsidR="005D4B0B" w:rsidRPr="000A64F1" w:rsidRDefault="005D4B0B" w:rsidP="005D4B0B">
      <w:pPr>
        <w:jc w:val="both"/>
        <w:rPr>
          <w:rFonts w:eastAsia="Times New Roman" w:cs="Times New Roman"/>
        </w:rPr>
      </w:pPr>
    </w:p>
    <w:p w14:paraId="231CAC19" w14:textId="77777777" w:rsidR="005D4B0B" w:rsidRDefault="005D4B0B" w:rsidP="005D4B0B">
      <w:pPr>
        <w:jc w:val="both"/>
        <w:rPr>
          <w:rFonts w:eastAsia="Times New Roman" w:cs="Times New Roman"/>
        </w:rPr>
      </w:pPr>
      <w:r w:rsidRPr="000A64F1">
        <w:rPr>
          <w:rFonts w:eastAsia="Times New Roman" w:cs="Times New Roman"/>
        </w:rPr>
        <w:t xml:space="preserve">STU sa dlhodobo usiluje o vytváranie optimálnych podmienok na realizáciu tvorivej činnosti svojich zamestnancov, ako aj o motiváciu svojich študentov a zamestnancov k prezentácii výsledkov svojej vedeckej a umeleckej činnosti na medzinárodne uznávanej úrovni. Nevyhnutnou súčasťou v tomto procese je evidencia výstupov tvorivej činnosti pracovníkov STU v renomovaných databázach a pravidelné hodnotenie ohlasov na výstupy evidované zamestnancami STU.   </w:t>
      </w:r>
    </w:p>
    <w:p w14:paraId="5BE5CE6E" w14:textId="77777777" w:rsidR="005D4B0B" w:rsidRDefault="005D4B0B" w:rsidP="005D4B0B">
      <w:pPr>
        <w:jc w:val="both"/>
        <w:rPr>
          <w:rFonts w:eastAsia="Times New Roman" w:cs="Times New Roman"/>
        </w:rPr>
      </w:pPr>
    </w:p>
    <w:p w14:paraId="37E78EC1" w14:textId="77777777" w:rsidR="00F44FFC" w:rsidRPr="000A64F1" w:rsidRDefault="00F44FFC" w:rsidP="00F44FFC">
      <w:pPr>
        <w:jc w:val="both"/>
      </w:pPr>
      <w:r>
        <w:rPr>
          <w:rFonts w:eastAsia="Times New Roman" w:cs="Times New Roman"/>
        </w:rPr>
        <w:t xml:space="preserve">Pre hodnotenie univerzity sú zásadné výstupy vo vedeckých periodikách evidovaných vo svetových citačných databázach. </w:t>
      </w:r>
      <w:r w:rsidRPr="000A64F1">
        <w:t>Počet záznamov jednotlivých fakúlt STU indexovaných vo Web of Science v jednotlivých kvartiloch je možné zistiť od roku 2016, keď STU začala využívať nový knižničný systém ARL slúžiaci i na evidenciu publikačnej činnosti a ohlasov.</w:t>
      </w:r>
    </w:p>
    <w:p w14:paraId="495C5535" w14:textId="77777777" w:rsidR="00F44FFC" w:rsidRPr="000A64F1" w:rsidRDefault="00F44FFC" w:rsidP="00F44FFC">
      <w:pPr>
        <w:jc w:val="both"/>
        <w:rPr>
          <w:rFonts w:cstheme="minorHAnsi"/>
        </w:rPr>
      </w:pPr>
    </w:p>
    <w:p w14:paraId="763DBCF3" w14:textId="0AE9AF90" w:rsidR="00F44FFC" w:rsidRPr="000A64F1" w:rsidRDefault="00F44FFC" w:rsidP="00F44FFC">
      <w:pPr>
        <w:jc w:val="both"/>
      </w:pPr>
      <w:r w:rsidRPr="000A64F1">
        <w:rPr>
          <w:rFonts w:cstheme="minorHAnsi"/>
        </w:rPr>
        <w:t xml:space="preserve">Tab. č. </w:t>
      </w:r>
      <w:r>
        <w:rPr>
          <w:rFonts w:cstheme="minorHAnsi"/>
        </w:rPr>
        <w:t>4</w:t>
      </w:r>
      <w:r w:rsidRPr="000A64F1">
        <w:rPr>
          <w:rFonts w:cstheme="minorHAnsi"/>
        </w:rPr>
        <w:t xml:space="preserve">5: </w:t>
      </w:r>
      <w:r w:rsidRPr="000A64F1">
        <w:t>Počty publikácií jednotlivých fakúlt STU vo Web of Science v JIF Q1, Q2, Q3 a Q4 evidované v ARL</w:t>
      </w:r>
    </w:p>
    <w:tbl>
      <w:tblPr>
        <w:tblW w:w="10365" w:type="dxa"/>
        <w:tblInd w:w="-294" w:type="dxa"/>
        <w:tblCellMar>
          <w:left w:w="70" w:type="dxa"/>
          <w:right w:w="70" w:type="dxa"/>
        </w:tblCellMar>
        <w:tblLook w:val="04A0" w:firstRow="1" w:lastRow="0" w:firstColumn="1" w:lastColumn="0" w:noHBand="0" w:noVBand="1"/>
      </w:tblPr>
      <w:tblGrid>
        <w:gridCol w:w="938"/>
        <w:gridCol w:w="331"/>
        <w:gridCol w:w="331"/>
        <w:gridCol w:w="331"/>
        <w:gridCol w:w="331"/>
        <w:gridCol w:w="331"/>
        <w:gridCol w:w="331"/>
        <w:gridCol w:w="331"/>
        <w:gridCol w:w="331"/>
        <w:gridCol w:w="331"/>
        <w:gridCol w:w="331"/>
        <w:gridCol w:w="331"/>
        <w:gridCol w:w="331"/>
        <w:gridCol w:w="331"/>
        <w:gridCol w:w="331"/>
        <w:gridCol w:w="331"/>
        <w:gridCol w:w="331"/>
        <w:gridCol w:w="384"/>
        <w:gridCol w:w="331"/>
        <w:gridCol w:w="331"/>
        <w:gridCol w:w="331"/>
        <w:gridCol w:w="384"/>
        <w:gridCol w:w="331"/>
        <w:gridCol w:w="331"/>
        <w:gridCol w:w="331"/>
        <w:gridCol w:w="384"/>
        <w:gridCol w:w="331"/>
        <w:gridCol w:w="331"/>
        <w:gridCol w:w="331"/>
      </w:tblGrid>
      <w:tr w:rsidR="00F44FFC" w:rsidRPr="000A64F1" w14:paraId="377C8619" w14:textId="77777777" w:rsidTr="00F44FFC">
        <w:trPr>
          <w:trHeight w:val="300"/>
        </w:trPr>
        <w:tc>
          <w:tcPr>
            <w:tcW w:w="93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986A94B" w14:textId="77777777" w:rsidR="00F44FFC" w:rsidRPr="000A64F1" w:rsidRDefault="00F44FFC" w:rsidP="00F44FFC">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Fakulty STU</w:t>
            </w:r>
          </w:p>
        </w:tc>
        <w:tc>
          <w:tcPr>
            <w:tcW w:w="1324" w:type="dxa"/>
            <w:gridSpan w:val="4"/>
            <w:tcBorders>
              <w:top w:val="single" w:sz="8" w:space="0" w:color="auto"/>
              <w:left w:val="nil"/>
              <w:bottom w:val="single" w:sz="8" w:space="0" w:color="auto"/>
              <w:right w:val="single" w:sz="8" w:space="0" w:color="000000"/>
            </w:tcBorders>
            <w:shd w:val="clear" w:color="000000" w:fill="D9D9D9"/>
            <w:vAlign w:val="center"/>
            <w:hideMark/>
          </w:tcPr>
          <w:p w14:paraId="7E197530" w14:textId="77777777" w:rsidR="00F44FFC" w:rsidRPr="000A64F1" w:rsidRDefault="00F44FFC" w:rsidP="00F44FFC">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2016</w:t>
            </w:r>
          </w:p>
        </w:tc>
        <w:tc>
          <w:tcPr>
            <w:tcW w:w="1324" w:type="dxa"/>
            <w:gridSpan w:val="4"/>
            <w:tcBorders>
              <w:top w:val="single" w:sz="8" w:space="0" w:color="auto"/>
              <w:left w:val="nil"/>
              <w:bottom w:val="single" w:sz="8" w:space="0" w:color="auto"/>
              <w:right w:val="single" w:sz="8" w:space="0" w:color="000000"/>
            </w:tcBorders>
            <w:shd w:val="clear" w:color="000000" w:fill="D9D9D9"/>
            <w:vAlign w:val="center"/>
            <w:hideMark/>
          </w:tcPr>
          <w:p w14:paraId="31B1B590" w14:textId="77777777" w:rsidR="00F44FFC" w:rsidRPr="000A64F1" w:rsidRDefault="00F44FFC" w:rsidP="00F44FFC">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2017</w:t>
            </w:r>
          </w:p>
        </w:tc>
        <w:tc>
          <w:tcPr>
            <w:tcW w:w="1324" w:type="dxa"/>
            <w:gridSpan w:val="4"/>
            <w:tcBorders>
              <w:top w:val="single" w:sz="8" w:space="0" w:color="auto"/>
              <w:left w:val="nil"/>
              <w:bottom w:val="single" w:sz="8" w:space="0" w:color="auto"/>
              <w:right w:val="single" w:sz="8" w:space="0" w:color="000000"/>
            </w:tcBorders>
            <w:shd w:val="clear" w:color="000000" w:fill="D9D9D9"/>
            <w:vAlign w:val="center"/>
            <w:hideMark/>
          </w:tcPr>
          <w:p w14:paraId="098F2A5C" w14:textId="77777777" w:rsidR="00F44FFC" w:rsidRPr="000A64F1" w:rsidRDefault="00F44FFC" w:rsidP="00F44FFC">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2018</w:t>
            </w:r>
          </w:p>
        </w:tc>
        <w:tc>
          <w:tcPr>
            <w:tcW w:w="1324" w:type="dxa"/>
            <w:gridSpan w:val="4"/>
            <w:tcBorders>
              <w:top w:val="single" w:sz="8" w:space="0" w:color="auto"/>
              <w:left w:val="nil"/>
              <w:bottom w:val="single" w:sz="8" w:space="0" w:color="auto"/>
              <w:right w:val="single" w:sz="8" w:space="0" w:color="000000"/>
            </w:tcBorders>
            <w:shd w:val="clear" w:color="000000" w:fill="D9D9D9"/>
            <w:vAlign w:val="center"/>
            <w:hideMark/>
          </w:tcPr>
          <w:p w14:paraId="5458C51E" w14:textId="77777777" w:rsidR="00F44FFC" w:rsidRPr="000A64F1" w:rsidRDefault="00F44FFC" w:rsidP="00F44FFC">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2019</w:t>
            </w:r>
          </w:p>
        </w:tc>
        <w:tc>
          <w:tcPr>
            <w:tcW w:w="1377" w:type="dxa"/>
            <w:gridSpan w:val="4"/>
            <w:tcBorders>
              <w:top w:val="single" w:sz="8" w:space="0" w:color="auto"/>
              <w:left w:val="nil"/>
              <w:bottom w:val="single" w:sz="8" w:space="0" w:color="auto"/>
              <w:right w:val="single" w:sz="8" w:space="0" w:color="000000"/>
            </w:tcBorders>
            <w:shd w:val="clear" w:color="000000" w:fill="D9D9D9"/>
            <w:vAlign w:val="center"/>
            <w:hideMark/>
          </w:tcPr>
          <w:p w14:paraId="6C8EE47D" w14:textId="77777777" w:rsidR="00F44FFC" w:rsidRPr="000A64F1" w:rsidRDefault="00F44FFC" w:rsidP="00F44FFC">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2020</w:t>
            </w:r>
          </w:p>
        </w:tc>
        <w:tc>
          <w:tcPr>
            <w:tcW w:w="1377" w:type="dxa"/>
            <w:gridSpan w:val="4"/>
            <w:tcBorders>
              <w:top w:val="single" w:sz="8" w:space="0" w:color="auto"/>
              <w:left w:val="nil"/>
              <w:bottom w:val="single" w:sz="8" w:space="0" w:color="auto"/>
              <w:right w:val="single" w:sz="8" w:space="0" w:color="000000"/>
            </w:tcBorders>
            <w:shd w:val="clear" w:color="000000" w:fill="D9D9D9"/>
            <w:vAlign w:val="center"/>
            <w:hideMark/>
          </w:tcPr>
          <w:p w14:paraId="40E09263" w14:textId="77777777" w:rsidR="00F44FFC" w:rsidRPr="000A64F1" w:rsidRDefault="00F44FFC" w:rsidP="00F44FFC">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2021</w:t>
            </w:r>
          </w:p>
        </w:tc>
        <w:tc>
          <w:tcPr>
            <w:tcW w:w="1377" w:type="dxa"/>
            <w:gridSpan w:val="4"/>
            <w:tcBorders>
              <w:top w:val="single" w:sz="8" w:space="0" w:color="auto"/>
              <w:left w:val="nil"/>
              <w:bottom w:val="single" w:sz="8" w:space="0" w:color="auto"/>
              <w:right w:val="single" w:sz="8" w:space="0" w:color="000000"/>
            </w:tcBorders>
            <w:shd w:val="clear" w:color="000000" w:fill="D9D9D9"/>
            <w:vAlign w:val="center"/>
            <w:hideMark/>
          </w:tcPr>
          <w:p w14:paraId="025CA6ED" w14:textId="77777777" w:rsidR="00F44FFC" w:rsidRPr="000A64F1" w:rsidRDefault="00F44FFC" w:rsidP="00F44FFC">
            <w:pPr>
              <w:jc w:val="center"/>
              <w:rPr>
                <w:rFonts w:eastAsia="Times New Roman" w:cs="Calibri"/>
                <w:b/>
                <w:bCs/>
                <w:color w:val="000000"/>
                <w:sz w:val="20"/>
                <w:szCs w:val="20"/>
                <w:lang w:eastAsia="sk-SK"/>
              </w:rPr>
            </w:pPr>
            <w:r w:rsidRPr="000A64F1">
              <w:rPr>
                <w:rFonts w:eastAsia="Times New Roman" w:cs="Calibri"/>
                <w:b/>
                <w:bCs/>
                <w:color w:val="000000"/>
                <w:sz w:val="20"/>
                <w:szCs w:val="20"/>
                <w:lang w:eastAsia="sk-SK"/>
              </w:rPr>
              <w:t>2022</w:t>
            </w:r>
          </w:p>
        </w:tc>
      </w:tr>
      <w:tr w:rsidR="00F44FFC" w:rsidRPr="000A64F1" w14:paraId="6ED2EDEF" w14:textId="77777777" w:rsidTr="00F44FFC">
        <w:trPr>
          <w:trHeight w:val="320"/>
        </w:trPr>
        <w:tc>
          <w:tcPr>
            <w:tcW w:w="938" w:type="dxa"/>
            <w:vMerge/>
            <w:tcBorders>
              <w:top w:val="single" w:sz="8" w:space="0" w:color="auto"/>
              <w:left w:val="single" w:sz="8" w:space="0" w:color="auto"/>
              <w:bottom w:val="single" w:sz="8" w:space="0" w:color="000000"/>
              <w:right w:val="single" w:sz="8" w:space="0" w:color="auto"/>
            </w:tcBorders>
            <w:vAlign w:val="center"/>
            <w:hideMark/>
          </w:tcPr>
          <w:p w14:paraId="3F31492C" w14:textId="77777777" w:rsidR="00F44FFC" w:rsidRPr="000A64F1" w:rsidRDefault="00F44FFC" w:rsidP="00F44FFC">
            <w:pPr>
              <w:rPr>
                <w:rFonts w:eastAsia="Times New Roman" w:cs="Calibri"/>
                <w:b/>
                <w:bCs/>
                <w:color w:val="000000"/>
                <w:sz w:val="18"/>
                <w:szCs w:val="18"/>
                <w:lang w:eastAsia="sk-SK"/>
              </w:rPr>
            </w:pPr>
          </w:p>
        </w:tc>
        <w:tc>
          <w:tcPr>
            <w:tcW w:w="331" w:type="dxa"/>
            <w:tcBorders>
              <w:top w:val="nil"/>
              <w:left w:val="nil"/>
              <w:bottom w:val="double" w:sz="6" w:space="0" w:color="auto"/>
              <w:right w:val="single" w:sz="8" w:space="0" w:color="auto"/>
            </w:tcBorders>
            <w:shd w:val="clear" w:color="000000" w:fill="D9D9D9"/>
            <w:vAlign w:val="center"/>
            <w:hideMark/>
          </w:tcPr>
          <w:p w14:paraId="60D0F087"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Q1</w:t>
            </w:r>
          </w:p>
        </w:tc>
        <w:tc>
          <w:tcPr>
            <w:tcW w:w="331" w:type="dxa"/>
            <w:tcBorders>
              <w:top w:val="nil"/>
              <w:left w:val="nil"/>
              <w:bottom w:val="double" w:sz="6" w:space="0" w:color="auto"/>
              <w:right w:val="single" w:sz="8" w:space="0" w:color="auto"/>
            </w:tcBorders>
            <w:shd w:val="clear" w:color="000000" w:fill="D9D9D9"/>
            <w:vAlign w:val="center"/>
            <w:hideMark/>
          </w:tcPr>
          <w:p w14:paraId="4AA85930"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Q2</w:t>
            </w:r>
          </w:p>
        </w:tc>
        <w:tc>
          <w:tcPr>
            <w:tcW w:w="331" w:type="dxa"/>
            <w:tcBorders>
              <w:top w:val="nil"/>
              <w:left w:val="nil"/>
              <w:bottom w:val="double" w:sz="6" w:space="0" w:color="auto"/>
              <w:right w:val="single" w:sz="8" w:space="0" w:color="auto"/>
            </w:tcBorders>
            <w:shd w:val="clear" w:color="000000" w:fill="D9D9D9"/>
            <w:vAlign w:val="center"/>
            <w:hideMark/>
          </w:tcPr>
          <w:p w14:paraId="377260BA"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Q3</w:t>
            </w:r>
          </w:p>
        </w:tc>
        <w:tc>
          <w:tcPr>
            <w:tcW w:w="331" w:type="dxa"/>
            <w:tcBorders>
              <w:top w:val="nil"/>
              <w:left w:val="nil"/>
              <w:bottom w:val="double" w:sz="6" w:space="0" w:color="auto"/>
              <w:right w:val="single" w:sz="8" w:space="0" w:color="auto"/>
            </w:tcBorders>
            <w:shd w:val="clear" w:color="000000" w:fill="D9D9D9"/>
            <w:vAlign w:val="center"/>
            <w:hideMark/>
          </w:tcPr>
          <w:p w14:paraId="39F594B1"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Q4</w:t>
            </w:r>
          </w:p>
        </w:tc>
        <w:tc>
          <w:tcPr>
            <w:tcW w:w="331" w:type="dxa"/>
            <w:tcBorders>
              <w:top w:val="nil"/>
              <w:left w:val="nil"/>
              <w:bottom w:val="double" w:sz="6" w:space="0" w:color="auto"/>
              <w:right w:val="single" w:sz="8" w:space="0" w:color="auto"/>
            </w:tcBorders>
            <w:shd w:val="clear" w:color="000000" w:fill="D9D9D9"/>
            <w:vAlign w:val="center"/>
            <w:hideMark/>
          </w:tcPr>
          <w:p w14:paraId="1D560AF7"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Q1</w:t>
            </w:r>
          </w:p>
        </w:tc>
        <w:tc>
          <w:tcPr>
            <w:tcW w:w="331" w:type="dxa"/>
            <w:tcBorders>
              <w:top w:val="nil"/>
              <w:left w:val="nil"/>
              <w:bottom w:val="double" w:sz="6" w:space="0" w:color="auto"/>
              <w:right w:val="single" w:sz="8" w:space="0" w:color="auto"/>
            </w:tcBorders>
            <w:shd w:val="clear" w:color="000000" w:fill="D9D9D9"/>
            <w:vAlign w:val="center"/>
            <w:hideMark/>
          </w:tcPr>
          <w:p w14:paraId="08EF7635"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Q2</w:t>
            </w:r>
          </w:p>
        </w:tc>
        <w:tc>
          <w:tcPr>
            <w:tcW w:w="331" w:type="dxa"/>
            <w:tcBorders>
              <w:top w:val="nil"/>
              <w:left w:val="nil"/>
              <w:bottom w:val="double" w:sz="6" w:space="0" w:color="auto"/>
              <w:right w:val="single" w:sz="8" w:space="0" w:color="auto"/>
            </w:tcBorders>
            <w:shd w:val="clear" w:color="000000" w:fill="D9D9D9"/>
            <w:vAlign w:val="center"/>
            <w:hideMark/>
          </w:tcPr>
          <w:p w14:paraId="659685E0"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Q3</w:t>
            </w:r>
          </w:p>
        </w:tc>
        <w:tc>
          <w:tcPr>
            <w:tcW w:w="331" w:type="dxa"/>
            <w:tcBorders>
              <w:top w:val="nil"/>
              <w:left w:val="nil"/>
              <w:bottom w:val="double" w:sz="6" w:space="0" w:color="auto"/>
              <w:right w:val="single" w:sz="8" w:space="0" w:color="auto"/>
            </w:tcBorders>
            <w:shd w:val="clear" w:color="000000" w:fill="D9D9D9"/>
            <w:vAlign w:val="center"/>
            <w:hideMark/>
          </w:tcPr>
          <w:p w14:paraId="5A9ACC2C"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Q4</w:t>
            </w:r>
          </w:p>
        </w:tc>
        <w:tc>
          <w:tcPr>
            <w:tcW w:w="331" w:type="dxa"/>
            <w:tcBorders>
              <w:top w:val="nil"/>
              <w:left w:val="nil"/>
              <w:bottom w:val="double" w:sz="6" w:space="0" w:color="auto"/>
              <w:right w:val="single" w:sz="8" w:space="0" w:color="auto"/>
            </w:tcBorders>
            <w:shd w:val="clear" w:color="000000" w:fill="D9D9D9"/>
            <w:vAlign w:val="center"/>
            <w:hideMark/>
          </w:tcPr>
          <w:p w14:paraId="7F97A01A"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Q1</w:t>
            </w:r>
          </w:p>
        </w:tc>
        <w:tc>
          <w:tcPr>
            <w:tcW w:w="331" w:type="dxa"/>
            <w:tcBorders>
              <w:top w:val="nil"/>
              <w:left w:val="nil"/>
              <w:bottom w:val="double" w:sz="6" w:space="0" w:color="auto"/>
              <w:right w:val="single" w:sz="8" w:space="0" w:color="auto"/>
            </w:tcBorders>
            <w:shd w:val="clear" w:color="000000" w:fill="D9D9D9"/>
            <w:vAlign w:val="center"/>
            <w:hideMark/>
          </w:tcPr>
          <w:p w14:paraId="76E609C4"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Q2</w:t>
            </w:r>
          </w:p>
        </w:tc>
        <w:tc>
          <w:tcPr>
            <w:tcW w:w="331" w:type="dxa"/>
            <w:tcBorders>
              <w:top w:val="nil"/>
              <w:left w:val="nil"/>
              <w:bottom w:val="double" w:sz="6" w:space="0" w:color="auto"/>
              <w:right w:val="single" w:sz="8" w:space="0" w:color="auto"/>
            </w:tcBorders>
            <w:shd w:val="clear" w:color="000000" w:fill="D9D9D9"/>
            <w:vAlign w:val="center"/>
            <w:hideMark/>
          </w:tcPr>
          <w:p w14:paraId="72119C03"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Q3</w:t>
            </w:r>
          </w:p>
        </w:tc>
        <w:tc>
          <w:tcPr>
            <w:tcW w:w="331" w:type="dxa"/>
            <w:tcBorders>
              <w:top w:val="nil"/>
              <w:left w:val="nil"/>
              <w:bottom w:val="double" w:sz="6" w:space="0" w:color="auto"/>
              <w:right w:val="single" w:sz="8" w:space="0" w:color="auto"/>
            </w:tcBorders>
            <w:shd w:val="clear" w:color="000000" w:fill="D9D9D9"/>
            <w:vAlign w:val="center"/>
            <w:hideMark/>
          </w:tcPr>
          <w:p w14:paraId="289B0A04"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Q4</w:t>
            </w:r>
          </w:p>
        </w:tc>
        <w:tc>
          <w:tcPr>
            <w:tcW w:w="331" w:type="dxa"/>
            <w:tcBorders>
              <w:top w:val="single" w:sz="8" w:space="0" w:color="auto"/>
              <w:left w:val="nil"/>
              <w:bottom w:val="double" w:sz="6" w:space="0" w:color="auto"/>
              <w:right w:val="single" w:sz="8" w:space="0" w:color="000000"/>
            </w:tcBorders>
            <w:shd w:val="clear" w:color="000000" w:fill="D9D9D9"/>
            <w:vAlign w:val="center"/>
            <w:hideMark/>
          </w:tcPr>
          <w:p w14:paraId="5EDBF6B8"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Q1</w:t>
            </w:r>
          </w:p>
        </w:tc>
        <w:tc>
          <w:tcPr>
            <w:tcW w:w="331" w:type="dxa"/>
            <w:tcBorders>
              <w:top w:val="nil"/>
              <w:left w:val="nil"/>
              <w:bottom w:val="double" w:sz="6" w:space="0" w:color="auto"/>
              <w:right w:val="single" w:sz="8" w:space="0" w:color="auto"/>
            </w:tcBorders>
            <w:shd w:val="clear" w:color="000000" w:fill="D9D9D9"/>
            <w:vAlign w:val="center"/>
            <w:hideMark/>
          </w:tcPr>
          <w:p w14:paraId="3794E4AF"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Q2</w:t>
            </w:r>
          </w:p>
        </w:tc>
        <w:tc>
          <w:tcPr>
            <w:tcW w:w="331" w:type="dxa"/>
            <w:tcBorders>
              <w:top w:val="nil"/>
              <w:left w:val="nil"/>
              <w:bottom w:val="double" w:sz="6" w:space="0" w:color="auto"/>
              <w:right w:val="single" w:sz="8" w:space="0" w:color="auto"/>
            </w:tcBorders>
            <w:shd w:val="clear" w:color="000000" w:fill="D9D9D9"/>
            <w:vAlign w:val="center"/>
            <w:hideMark/>
          </w:tcPr>
          <w:p w14:paraId="6615E05E"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Q3</w:t>
            </w:r>
          </w:p>
        </w:tc>
        <w:tc>
          <w:tcPr>
            <w:tcW w:w="331" w:type="dxa"/>
            <w:tcBorders>
              <w:top w:val="nil"/>
              <w:left w:val="nil"/>
              <w:bottom w:val="double" w:sz="6" w:space="0" w:color="auto"/>
              <w:right w:val="single" w:sz="8" w:space="0" w:color="auto"/>
            </w:tcBorders>
            <w:shd w:val="clear" w:color="000000" w:fill="D9D9D9"/>
            <w:vAlign w:val="center"/>
            <w:hideMark/>
          </w:tcPr>
          <w:p w14:paraId="704D6B55"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Q4</w:t>
            </w:r>
          </w:p>
        </w:tc>
        <w:tc>
          <w:tcPr>
            <w:tcW w:w="384" w:type="dxa"/>
            <w:tcBorders>
              <w:top w:val="single" w:sz="8" w:space="0" w:color="auto"/>
              <w:left w:val="nil"/>
              <w:bottom w:val="double" w:sz="6" w:space="0" w:color="auto"/>
              <w:right w:val="single" w:sz="8" w:space="0" w:color="000000"/>
            </w:tcBorders>
            <w:shd w:val="clear" w:color="000000" w:fill="D9D9D9"/>
            <w:vAlign w:val="center"/>
            <w:hideMark/>
          </w:tcPr>
          <w:p w14:paraId="651B9F60"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Q1</w:t>
            </w:r>
          </w:p>
        </w:tc>
        <w:tc>
          <w:tcPr>
            <w:tcW w:w="331" w:type="dxa"/>
            <w:tcBorders>
              <w:top w:val="nil"/>
              <w:left w:val="nil"/>
              <w:bottom w:val="double" w:sz="6" w:space="0" w:color="auto"/>
              <w:right w:val="single" w:sz="8" w:space="0" w:color="auto"/>
            </w:tcBorders>
            <w:shd w:val="clear" w:color="000000" w:fill="D9D9D9"/>
            <w:vAlign w:val="center"/>
            <w:hideMark/>
          </w:tcPr>
          <w:p w14:paraId="6FBE1DAF"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Q2</w:t>
            </w:r>
          </w:p>
        </w:tc>
        <w:tc>
          <w:tcPr>
            <w:tcW w:w="331" w:type="dxa"/>
            <w:tcBorders>
              <w:top w:val="nil"/>
              <w:left w:val="nil"/>
              <w:bottom w:val="double" w:sz="6" w:space="0" w:color="auto"/>
              <w:right w:val="single" w:sz="8" w:space="0" w:color="auto"/>
            </w:tcBorders>
            <w:shd w:val="clear" w:color="000000" w:fill="D9D9D9"/>
            <w:vAlign w:val="center"/>
            <w:hideMark/>
          </w:tcPr>
          <w:p w14:paraId="6B85AD6B"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Q3</w:t>
            </w:r>
          </w:p>
        </w:tc>
        <w:tc>
          <w:tcPr>
            <w:tcW w:w="331" w:type="dxa"/>
            <w:tcBorders>
              <w:top w:val="nil"/>
              <w:left w:val="nil"/>
              <w:bottom w:val="double" w:sz="6" w:space="0" w:color="auto"/>
              <w:right w:val="single" w:sz="8" w:space="0" w:color="auto"/>
            </w:tcBorders>
            <w:shd w:val="clear" w:color="000000" w:fill="D9D9D9"/>
            <w:vAlign w:val="center"/>
            <w:hideMark/>
          </w:tcPr>
          <w:p w14:paraId="025AE2FA"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Q4</w:t>
            </w:r>
          </w:p>
        </w:tc>
        <w:tc>
          <w:tcPr>
            <w:tcW w:w="384" w:type="dxa"/>
            <w:tcBorders>
              <w:top w:val="single" w:sz="8" w:space="0" w:color="auto"/>
              <w:left w:val="nil"/>
              <w:bottom w:val="double" w:sz="6" w:space="0" w:color="auto"/>
              <w:right w:val="single" w:sz="8" w:space="0" w:color="000000"/>
            </w:tcBorders>
            <w:shd w:val="clear" w:color="000000" w:fill="D9D9D9"/>
            <w:vAlign w:val="center"/>
            <w:hideMark/>
          </w:tcPr>
          <w:p w14:paraId="73C24318"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Q1</w:t>
            </w:r>
          </w:p>
        </w:tc>
        <w:tc>
          <w:tcPr>
            <w:tcW w:w="331" w:type="dxa"/>
            <w:tcBorders>
              <w:top w:val="nil"/>
              <w:left w:val="nil"/>
              <w:bottom w:val="double" w:sz="6" w:space="0" w:color="auto"/>
              <w:right w:val="single" w:sz="8" w:space="0" w:color="auto"/>
            </w:tcBorders>
            <w:shd w:val="clear" w:color="000000" w:fill="D9D9D9"/>
            <w:vAlign w:val="center"/>
            <w:hideMark/>
          </w:tcPr>
          <w:p w14:paraId="7E94EB59"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Q2</w:t>
            </w:r>
          </w:p>
        </w:tc>
        <w:tc>
          <w:tcPr>
            <w:tcW w:w="331" w:type="dxa"/>
            <w:tcBorders>
              <w:top w:val="nil"/>
              <w:left w:val="nil"/>
              <w:bottom w:val="double" w:sz="6" w:space="0" w:color="auto"/>
              <w:right w:val="single" w:sz="8" w:space="0" w:color="auto"/>
            </w:tcBorders>
            <w:shd w:val="clear" w:color="000000" w:fill="D9D9D9"/>
            <w:vAlign w:val="center"/>
            <w:hideMark/>
          </w:tcPr>
          <w:p w14:paraId="3215C160"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Q3</w:t>
            </w:r>
          </w:p>
        </w:tc>
        <w:tc>
          <w:tcPr>
            <w:tcW w:w="331" w:type="dxa"/>
            <w:tcBorders>
              <w:top w:val="nil"/>
              <w:left w:val="nil"/>
              <w:bottom w:val="double" w:sz="6" w:space="0" w:color="auto"/>
              <w:right w:val="single" w:sz="8" w:space="0" w:color="auto"/>
            </w:tcBorders>
            <w:shd w:val="clear" w:color="000000" w:fill="D9D9D9"/>
            <w:vAlign w:val="center"/>
            <w:hideMark/>
          </w:tcPr>
          <w:p w14:paraId="07A84616"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Q4</w:t>
            </w:r>
          </w:p>
        </w:tc>
        <w:tc>
          <w:tcPr>
            <w:tcW w:w="384" w:type="dxa"/>
            <w:tcBorders>
              <w:top w:val="nil"/>
              <w:left w:val="nil"/>
              <w:bottom w:val="double" w:sz="6" w:space="0" w:color="auto"/>
              <w:right w:val="single" w:sz="8" w:space="0" w:color="auto"/>
            </w:tcBorders>
            <w:shd w:val="clear" w:color="000000" w:fill="D9D9D9"/>
            <w:vAlign w:val="center"/>
            <w:hideMark/>
          </w:tcPr>
          <w:p w14:paraId="5D957509"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Q1</w:t>
            </w:r>
          </w:p>
        </w:tc>
        <w:tc>
          <w:tcPr>
            <w:tcW w:w="331" w:type="dxa"/>
            <w:tcBorders>
              <w:top w:val="nil"/>
              <w:left w:val="nil"/>
              <w:bottom w:val="double" w:sz="6" w:space="0" w:color="auto"/>
              <w:right w:val="single" w:sz="8" w:space="0" w:color="auto"/>
            </w:tcBorders>
            <w:shd w:val="clear" w:color="000000" w:fill="D9D9D9"/>
            <w:vAlign w:val="center"/>
            <w:hideMark/>
          </w:tcPr>
          <w:p w14:paraId="49B7B934"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Q2</w:t>
            </w:r>
          </w:p>
        </w:tc>
        <w:tc>
          <w:tcPr>
            <w:tcW w:w="331" w:type="dxa"/>
            <w:tcBorders>
              <w:top w:val="nil"/>
              <w:left w:val="nil"/>
              <w:bottom w:val="double" w:sz="6" w:space="0" w:color="auto"/>
              <w:right w:val="single" w:sz="8" w:space="0" w:color="auto"/>
            </w:tcBorders>
            <w:shd w:val="clear" w:color="000000" w:fill="D9D9D9"/>
            <w:vAlign w:val="center"/>
            <w:hideMark/>
          </w:tcPr>
          <w:p w14:paraId="2848DF0D"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Q3</w:t>
            </w:r>
          </w:p>
        </w:tc>
        <w:tc>
          <w:tcPr>
            <w:tcW w:w="331" w:type="dxa"/>
            <w:tcBorders>
              <w:top w:val="nil"/>
              <w:left w:val="nil"/>
              <w:bottom w:val="double" w:sz="6" w:space="0" w:color="auto"/>
              <w:right w:val="single" w:sz="8" w:space="0" w:color="auto"/>
            </w:tcBorders>
            <w:shd w:val="clear" w:color="000000" w:fill="D9D9D9"/>
            <w:vAlign w:val="center"/>
            <w:hideMark/>
          </w:tcPr>
          <w:p w14:paraId="0EA1C36D" w14:textId="77777777" w:rsidR="00F44FFC" w:rsidRPr="000A64F1" w:rsidRDefault="00F44FFC" w:rsidP="00F44FFC">
            <w:pPr>
              <w:jc w:val="center"/>
              <w:rPr>
                <w:rFonts w:eastAsia="Times New Roman" w:cs="Calibri"/>
                <w:b/>
                <w:bCs/>
                <w:color w:val="000000"/>
                <w:sz w:val="16"/>
                <w:szCs w:val="16"/>
                <w:lang w:eastAsia="sk-SK"/>
              </w:rPr>
            </w:pPr>
            <w:r w:rsidRPr="000A64F1">
              <w:rPr>
                <w:rFonts w:eastAsia="Times New Roman" w:cs="Calibri"/>
                <w:b/>
                <w:bCs/>
                <w:color w:val="000000"/>
                <w:sz w:val="16"/>
                <w:szCs w:val="16"/>
                <w:lang w:eastAsia="sk-SK"/>
              </w:rPr>
              <w:t>Q4</w:t>
            </w:r>
          </w:p>
        </w:tc>
      </w:tr>
      <w:tr w:rsidR="00F44FFC" w:rsidRPr="000A64F1" w14:paraId="689F3CE3" w14:textId="77777777" w:rsidTr="00F44FFC">
        <w:trPr>
          <w:trHeight w:val="330"/>
        </w:trPr>
        <w:tc>
          <w:tcPr>
            <w:tcW w:w="938" w:type="dxa"/>
            <w:tcBorders>
              <w:top w:val="nil"/>
              <w:left w:val="single" w:sz="8" w:space="0" w:color="auto"/>
              <w:bottom w:val="single" w:sz="8" w:space="0" w:color="auto"/>
              <w:right w:val="single" w:sz="8" w:space="0" w:color="auto"/>
            </w:tcBorders>
            <w:shd w:val="clear" w:color="000000" w:fill="D9D9D9"/>
            <w:vAlign w:val="center"/>
            <w:hideMark/>
          </w:tcPr>
          <w:p w14:paraId="2CFED2A7" w14:textId="77777777" w:rsidR="00F44FFC" w:rsidRPr="000A64F1" w:rsidRDefault="00F44FFC" w:rsidP="00F44FFC">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SVF</w:t>
            </w:r>
          </w:p>
        </w:tc>
        <w:tc>
          <w:tcPr>
            <w:tcW w:w="331" w:type="dxa"/>
            <w:tcBorders>
              <w:top w:val="nil"/>
              <w:left w:val="nil"/>
              <w:bottom w:val="single" w:sz="8" w:space="0" w:color="auto"/>
              <w:right w:val="single" w:sz="8" w:space="0" w:color="auto"/>
            </w:tcBorders>
            <w:shd w:val="clear" w:color="000000" w:fill="C5E0B3"/>
            <w:vAlign w:val="center"/>
            <w:hideMark/>
          </w:tcPr>
          <w:p w14:paraId="46E408A4"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29</w:t>
            </w:r>
          </w:p>
        </w:tc>
        <w:tc>
          <w:tcPr>
            <w:tcW w:w="331" w:type="dxa"/>
            <w:tcBorders>
              <w:top w:val="nil"/>
              <w:left w:val="nil"/>
              <w:bottom w:val="single" w:sz="8" w:space="0" w:color="auto"/>
              <w:right w:val="single" w:sz="8" w:space="0" w:color="auto"/>
            </w:tcBorders>
            <w:shd w:val="clear" w:color="000000" w:fill="EDEDED"/>
            <w:vAlign w:val="center"/>
            <w:hideMark/>
          </w:tcPr>
          <w:p w14:paraId="352C495B"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22</w:t>
            </w:r>
          </w:p>
        </w:tc>
        <w:tc>
          <w:tcPr>
            <w:tcW w:w="331" w:type="dxa"/>
            <w:tcBorders>
              <w:top w:val="nil"/>
              <w:left w:val="nil"/>
              <w:bottom w:val="single" w:sz="8" w:space="0" w:color="auto"/>
              <w:right w:val="single" w:sz="8" w:space="0" w:color="auto"/>
            </w:tcBorders>
            <w:shd w:val="clear" w:color="000000" w:fill="FFF2CC"/>
            <w:vAlign w:val="center"/>
            <w:hideMark/>
          </w:tcPr>
          <w:p w14:paraId="7F06F05C"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13</w:t>
            </w:r>
          </w:p>
        </w:tc>
        <w:tc>
          <w:tcPr>
            <w:tcW w:w="331" w:type="dxa"/>
            <w:tcBorders>
              <w:top w:val="nil"/>
              <w:left w:val="nil"/>
              <w:bottom w:val="single" w:sz="8" w:space="0" w:color="auto"/>
              <w:right w:val="single" w:sz="8" w:space="0" w:color="auto"/>
            </w:tcBorders>
            <w:shd w:val="clear" w:color="000000" w:fill="D9E2F3"/>
            <w:vAlign w:val="center"/>
            <w:hideMark/>
          </w:tcPr>
          <w:p w14:paraId="4840047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6</w:t>
            </w:r>
          </w:p>
        </w:tc>
        <w:tc>
          <w:tcPr>
            <w:tcW w:w="331" w:type="dxa"/>
            <w:tcBorders>
              <w:top w:val="nil"/>
              <w:left w:val="nil"/>
              <w:bottom w:val="single" w:sz="8" w:space="0" w:color="auto"/>
              <w:right w:val="single" w:sz="8" w:space="0" w:color="auto"/>
            </w:tcBorders>
            <w:shd w:val="clear" w:color="000000" w:fill="C5E0B3"/>
            <w:vAlign w:val="center"/>
            <w:hideMark/>
          </w:tcPr>
          <w:p w14:paraId="5AF90E0B"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32</w:t>
            </w:r>
          </w:p>
        </w:tc>
        <w:tc>
          <w:tcPr>
            <w:tcW w:w="331" w:type="dxa"/>
            <w:tcBorders>
              <w:top w:val="nil"/>
              <w:left w:val="nil"/>
              <w:bottom w:val="single" w:sz="8" w:space="0" w:color="auto"/>
              <w:right w:val="single" w:sz="8" w:space="0" w:color="auto"/>
            </w:tcBorders>
            <w:shd w:val="clear" w:color="000000" w:fill="EDEDED"/>
            <w:vAlign w:val="center"/>
            <w:hideMark/>
          </w:tcPr>
          <w:p w14:paraId="1F9CA5A6"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13</w:t>
            </w:r>
          </w:p>
        </w:tc>
        <w:tc>
          <w:tcPr>
            <w:tcW w:w="331" w:type="dxa"/>
            <w:tcBorders>
              <w:top w:val="nil"/>
              <w:left w:val="nil"/>
              <w:bottom w:val="single" w:sz="8" w:space="0" w:color="auto"/>
              <w:right w:val="single" w:sz="8" w:space="0" w:color="auto"/>
            </w:tcBorders>
            <w:shd w:val="clear" w:color="000000" w:fill="FFF2CC"/>
            <w:vAlign w:val="center"/>
            <w:hideMark/>
          </w:tcPr>
          <w:p w14:paraId="578B8920"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19</w:t>
            </w:r>
          </w:p>
        </w:tc>
        <w:tc>
          <w:tcPr>
            <w:tcW w:w="331" w:type="dxa"/>
            <w:tcBorders>
              <w:top w:val="nil"/>
              <w:left w:val="nil"/>
              <w:bottom w:val="single" w:sz="8" w:space="0" w:color="auto"/>
              <w:right w:val="single" w:sz="8" w:space="0" w:color="auto"/>
            </w:tcBorders>
            <w:shd w:val="clear" w:color="000000" w:fill="D9E2F3"/>
            <w:vAlign w:val="center"/>
            <w:hideMark/>
          </w:tcPr>
          <w:p w14:paraId="1F1876D4"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8</w:t>
            </w:r>
          </w:p>
        </w:tc>
        <w:tc>
          <w:tcPr>
            <w:tcW w:w="331" w:type="dxa"/>
            <w:tcBorders>
              <w:top w:val="nil"/>
              <w:left w:val="nil"/>
              <w:bottom w:val="single" w:sz="8" w:space="0" w:color="auto"/>
              <w:right w:val="single" w:sz="8" w:space="0" w:color="auto"/>
            </w:tcBorders>
            <w:shd w:val="clear" w:color="000000" w:fill="C5E0B3"/>
            <w:vAlign w:val="center"/>
            <w:hideMark/>
          </w:tcPr>
          <w:p w14:paraId="08937391"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43</w:t>
            </w:r>
          </w:p>
        </w:tc>
        <w:tc>
          <w:tcPr>
            <w:tcW w:w="331" w:type="dxa"/>
            <w:tcBorders>
              <w:top w:val="nil"/>
              <w:left w:val="nil"/>
              <w:bottom w:val="single" w:sz="8" w:space="0" w:color="auto"/>
              <w:right w:val="single" w:sz="8" w:space="0" w:color="auto"/>
            </w:tcBorders>
            <w:shd w:val="clear" w:color="000000" w:fill="EDEDED"/>
            <w:vAlign w:val="center"/>
            <w:hideMark/>
          </w:tcPr>
          <w:p w14:paraId="1BC53F45"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18</w:t>
            </w:r>
          </w:p>
        </w:tc>
        <w:tc>
          <w:tcPr>
            <w:tcW w:w="331" w:type="dxa"/>
            <w:tcBorders>
              <w:top w:val="nil"/>
              <w:left w:val="nil"/>
              <w:bottom w:val="single" w:sz="8" w:space="0" w:color="auto"/>
              <w:right w:val="single" w:sz="8" w:space="0" w:color="auto"/>
            </w:tcBorders>
            <w:shd w:val="clear" w:color="000000" w:fill="FFF2CC"/>
            <w:vAlign w:val="center"/>
            <w:hideMark/>
          </w:tcPr>
          <w:p w14:paraId="7918F961"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5</w:t>
            </w:r>
          </w:p>
        </w:tc>
        <w:tc>
          <w:tcPr>
            <w:tcW w:w="331" w:type="dxa"/>
            <w:tcBorders>
              <w:top w:val="nil"/>
              <w:left w:val="nil"/>
              <w:bottom w:val="single" w:sz="8" w:space="0" w:color="auto"/>
              <w:right w:val="single" w:sz="8" w:space="0" w:color="auto"/>
            </w:tcBorders>
            <w:shd w:val="clear" w:color="000000" w:fill="D9E2F3"/>
            <w:vAlign w:val="center"/>
            <w:hideMark/>
          </w:tcPr>
          <w:p w14:paraId="4E23EABC"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10</w:t>
            </w:r>
          </w:p>
        </w:tc>
        <w:tc>
          <w:tcPr>
            <w:tcW w:w="331" w:type="dxa"/>
            <w:tcBorders>
              <w:top w:val="double" w:sz="6" w:space="0" w:color="auto"/>
              <w:left w:val="nil"/>
              <w:bottom w:val="single" w:sz="8" w:space="0" w:color="auto"/>
              <w:right w:val="single" w:sz="8" w:space="0" w:color="000000"/>
            </w:tcBorders>
            <w:shd w:val="clear" w:color="000000" w:fill="C5E0B3"/>
            <w:vAlign w:val="center"/>
            <w:hideMark/>
          </w:tcPr>
          <w:p w14:paraId="52F108BC"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43</w:t>
            </w:r>
          </w:p>
        </w:tc>
        <w:tc>
          <w:tcPr>
            <w:tcW w:w="331" w:type="dxa"/>
            <w:tcBorders>
              <w:top w:val="nil"/>
              <w:left w:val="nil"/>
              <w:bottom w:val="single" w:sz="8" w:space="0" w:color="auto"/>
              <w:right w:val="single" w:sz="8" w:space="0" w:color="auto"/>
            </w:tcBorders>
            <w:shd w:val="clear" w:color="000000" w:fill="EDEDED"/>
            <w:vAlign w:val="center"/>
            <w:hideMark/>
          </w:tcPr>
          <w:p w14:paraId="03E8F75B"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21</w:t>
            </w:r>
          </w:p>
        </w:tc>
        <w:tc>
          <w:tcPr>
            <w:tcW w:w="331" w:type="dxa"/>
            <w:tcBorders>
              <w:top w:val="nil"/>
              <w:left w:val="nil"/>
              <w:bottom w:val="single" w:sz="8" w:space="0" w:color="auto"/>
              <w:right w:val="single" w:sz="8" w:space="0" w:color="auto"/>
            </w:tcBorders>
            <w:shd w:val="clear" w:color="000000" w:fill="FFF2CC"/>
            <w:vAlign w:val="center"/>
            <w:hideMark/>
          </w:tcPr>
          <w:p w14:paraId="1B66167B"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14</w:t>
            </w:r>
          </w:p>
        </w:tc>
        <w:tc>
          <w:tcPr>
            <w:tcW w:w="331" w:type="dxa"/>
            <w:tcBorders>
              <w:top w:val="nil"/>
              <w:left w:val="nil"/>
              <w:bottom w:val="single" w:sz="8" w:space="0" w:color="auto"/>
              <w:right w:val="single" w:sz="8" w:space="0" w:color="auto"/>
            </w:tcBorders>
            <w:shd w:val="clear" w:color="000000" w:fill="D9E2F3"/>
            <w:vAlign w:val="center"/>
            <w:hideMark/>
          </w:tcPr>
          <w:p w14:paraId="36793DE8"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6</w:t>
            </w:r>
          </w:p>
        </w:tc>
        <w:tc>
          <w:tcPr>
            <w:tcW w:w="384" w:type="dxa"/>
            <w:tcBorders>
              <w:top w:val="double" w:sz="6" w:space="0" w:color="auto"/>
              <w:left w:val="nil"/>
              <w:bottom w:val="single" w:sz="8" w:space="0" w:color="auto"/>
              <w:right w:val="single" w:sz="8" w:space="0" w:color="000000"/>
            </w:tcBorders>
            <w:shd w:val="clear" w:color="000000" w:fill="C5E0B3"/>
            <w:vAlign w:val="center"/>
            <w:hideMark/>
          </w:tcPr>
          <w:p w14:paraId="6448C339"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49</w:t>
            </w:r>
          </w:p>
        </w:tc>
        <w:tc>
          <w:tcPr>
            <w:tcW w:w="331" w:type="dxa"/>
            <w:tcBorders>
              <w:top w:val="nil"/>
              <w:left w:val="nil"/>
              <w:bottom w:val="single" w:sz="8" w:space="0" w:color="auto"/>
              <w:right w:val="single" w:sz="8" w:space="0" w:color="auto"/>
            </w:tcBorders>
            <w:shd w:val="clear" w:color="000000" w:fill="EDEDED"/>
            <w:vAlign w:val="center"/>
            <w:hideMark/>
          </w:tcPr>
          <w:p w14:paraId="567648A8"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28</w:t>
            </w:r>
          </w:p>
        </w:tc>
        <w:tc>
          <w:tcPr>
            <w:tcW w:w="331" w:type="dxa"/>
            <w:tcBorders>
              <w:top w:val="nil"/>
              <w:left w:val="nil"/>
              <w:bottom w:val="single" w:sz="8" w:space="0" w:color="auto"/>
              <w:right w:val="single" w:sz="8" w:space="0" w:color="auto"/>
            </w:tcBorders>
            <w:shd w:val="clear" w:color="000000" w:fill="FFF2CC"/>
            <w:vAlign w:val="center"/>
            <w:hideMark/>
          </w:tcPr>
          <w:p w14:paraId="12CE44E7"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16</w:t>
            </w:r>
          </w:p>
        </w:tc>
        <w:tc>
          <w:tcPr>
            <w:tcW w:w="331" w:type="dxa"/>
            <w:tcBorders>
              <w:top w:val="nil"/>
              <w:left w:val="nil"/>
              <w:bottom w:val="single" w:sz="8" w:space="0" w:color="auto"/>
              <w:right w:val="single" w:sz="8" w:space="0" w:color="auto"/>
            </w:tcBorders>
            <w:shd w:val="clear" w:color="000000" w:fill="D9E2F3"/>
            <w:vAlign w:val="center"/>
            <w:hideMark/>
          </w:tcPr>
          <w:p w14:paraId="0E360CAA"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5</w:t>
            </w:r>
          </w:p>
        </w:tc>
        <w:tc>
          <w:tcPr>
            <w:tcW w:w="384" w:type="dxa"/>
            <w:tcBorders>
              <w:top w:val="double" w:sz="6" w:space="0" w:color="auto"/>
              <w:left w:val="nil"/>
              <w:bottom w:val="single" w:sz="8" w:space="0" w:color="auto"/>
              <w:right w:val="single" w:sz="8" w:space="0" w:color="000000"/>
            </w:tcBorders>
            <w:shd w:val="clear" w:color="000000" w:fill="C5E0B3"/>
            <w:vAlign w:val="center"/>
            <w:hideMark/>
          </w:tcPr>
          <w:p w14:paraId="4A9098D1" w14:textId="77777777" w:rsidR="00F44FFC" w:rsidRPr="000A64F1" w:rsidRDefault="00F44FFC" w:rsidP="00F44FFC">
            <w:pPr>
              <w:spacing w:line="256" w:lineRule="auto"/>
              <w:jc w:val="center"/>
              <w:rPr>
                <w:rFonts w:eastAsia="Times New Roman" w:cs="Times New Roman"/>
                <w:sz w:val="16"/>
                <w:szCs w:val="16"/>
                <w:lang w:eastAsia="sk-SK"/>
              </w:rPr>
            </w:pPr>
            <w:r w:rsidRPr="000A64F1">
              <w:rPr>
                <w:rFonts w:eastAsia="Times New Roman" w:cs="Times New Roman"/>
                <w:sz w:val="16"/>
                <w:szCs w:val="16"/>
                <w:lang w:eastAsia="sk-SK"/>
              </w:rPr>
              <w:t>48</w:t>
            </w:r>
          </w:p>
        </w:tc>
        <w:tc>
          <w:tcPr>
            <w:tcW w:w="331" w:type="dxa"/>
            <w:tcBorders>
              <w:top w:val="nil"/>
              <w:left w:val="nil"/>
              <w:bottom w:val="single" w:sz="8" w:space="0" w:color="auto"/>
              <w:right w:val="single" w:sz="8" w:space="0" w:color="auto"/>
            </w:tcBorders>
            <w:shd w:val="clear" w:color="000000" w:fill="E7E6E6"/>
            <w:vAlign w:val="center"/>
            <w:hideMark/>
          </w:tcPr>
          <w:p w14:paraId="28437992" w14:textId="77777777" w:rsidR="00F44FFC" w:rsidRPr="000A64F1" w:rsidRDefault="00F44FFC" w:rsidP="00F44FFC">
            <w:pPr>
              <w:spacing w:line="256" w:lineRule="auto"/>
              <w:jc w:val="center"/>
              <w:rPr>
                <w:rFonts w:eastAsia="Times New Roman" w:cs="Times New Roman"/>
                <w:sz w:val="16"/>
                <w:szCs w:val="16"/>
                <w:lang w:eastAsia="sk-SK"/>
              </w:rPr>
            </w:pPr>
            <w:r w:rsidRPr="000A64F1">
              <w:rPr>
                <w:rFonts w:eastAsia="Times New Roman" w:cs="Times New Roman"/>
                <w:sz w:val="16"/>
                <w:szCs w:val="16"/>
                <w:lang w:eastAsia="sk-SK"/>
              </w:rPr>
              <w:t>41</w:t>
            </w:r>
          </w:p>
        </w:tc>
        <w:tc>
          <w:tcPr>
            <w:tcW w:w="331" w:type="dxa"/>
            <w:tcBorders>
              <w:top w:val="nil"/>
              <w:left w:val="nil"/>
              <w:bottom w:val="single" w:sz="8" w:space="0" w:color="auto"/>
              <w:right w:val="single" w:sz="8" w:space="0" w:color="auto"/>
            </w:tcBorders>
            <w:shd w:val="clear" w:color="000000" w:fill="FFF2CC"/>
            <w:vAlign w:val="center"/>
            <w:hideMark/>
          </w:tcPr>
          <w:p w14:paraId="3F9BA23E" w14:textId="77777777" w:rsidR="00F44FFC" w:rsidRPr="000A64F1" w:rsidRDefault="00F44FFC" w:rsidP="00F44FFC">
            <w:pPr>
              <w:spacing w:line="256" w:lineRule="auto"/>
              <w:jc w:val="center"/>
              <w:rPr>
                <w:rFonts w:eastAsia="Times New Roman" w:cs="Times New Roman"/>
                <w:sz w:val="16"/>
                <w:szCs w:val="16"/>
                <w:lang w:eastAsia="sk-SK"/>
              </w:rPr>
            </w:pPr>
            <w:r w:rsidRPr="000A64F1">
              <w:rPr>
                <w:rFonts w:eastAsia="Times New Roman" w:cs="Times New Roman"/>
                <w:sz w:val="16"/>
                <w:szCs w:val="16"/>
                <w:lang w:eastAsia="sk-SK"/>
              </w:rPr>
              <w:t>12</w:t>
            </w:r>
          </w:p>
        </w:tc>
        <w:tc>
          <w:tcPr>
            <w:tcW w:w="331" w:type="dxa"/>
            <w:tcBorders>
              <w:top w:val="nil"/>
              <w:left w:val="nil"/>
              <w:bottom w:val="single" w:sz="8" w:space="0" w:color="auto"/>
              <w:right w:val="single" w:sz="8" w:space="0" w:color="auto"/>
            </w:tcBorders>
            <w:shd w:val="clear" w:color="000000" w:fill="D9E2F3"/>
            <w:vAlign w:val="center"/>
            <w:hideMark/>
          </w:tcPr>
          <w:p w14:paraId="50ABF3F2" w14:textId="77777777" w:rsidR="00F44FFC" w:rsidRPr="000A64F1" w:rsidRDefault="00F44FFC" w:rsidP="00F44FFC">
            <w:pPr>
              <w:spacing w:line="256" w:lineRule="auto"/>
              <w:jc w:val="center"/>
              <w:rPr>
                <w:rFonts w:eastAsia="Times New Roman" w:cs="Times New Roman"/>
                <w:sz w:val="16"/>
                <w:szCs w:val="16"/>
                <w:lang w:eastAsia="sk-SK"/>
              </w:rPr>
            </w:pPr>
            <w:r w:rsidRPr="000A64F1">
              <w:rPr>
                <w:rFonts w:eastAsia="Times New Roman" w:cs="Times New Roman"/>
                <w:sz w:val="16"/>
                <w:szCs w:val="16"/>
                <w:lang w:eastAsia="sk-SK"/>
              </w:rPr>
              <w:t>9</w:t>
            </w:r>
          </w:p>
        </w:tc>
        <w:tc>
          <w:tcPr>
            <w:tcW w:w="384" w:type="dxa"/>
            <w:tcBorders>
              <w:top w:val="nil"/>
              <w:left w:val="nil"/>
              <w:bottom w:val="single" w:sz="8" w:space="0" w:color="auto"/>
              <w:right w:val="single" w:sz="8" w:space="0" w:color="auto"/>
            </w:tcBorders>
            <w:shd w:val="clear" w:color="000000" w:fill="C5E0B3"/>
            <w:vAlign w:val="center"/>
            <w:hideMark/>
          </w:tcPr>
          <w:p w14:paraId="6FBA796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62</w:t>
            </w:r>
          </w:p>
        </w:tc>
        <w:tc>
          <w:tcPr>
            <w:tcW w:w="331" w:type="dxa"/>
            <w:tcBorders>
              <w:top w:val="nil"/>
              <w:left w:val="nil"/>
              <w:bottom w:val="single" w:sz="8" w:space="0" w:color="auto"/>
              <w:right w:val="single" w:sz="8" w:space="0" w:color="auto"/>
            </w:tcBorders>
            <w:shd w:val="clear" w:color="000000" w:fill="E7E6E6"/>
            <w:vAlign w:val="center"/>
            <w:hideMark/>
          </w:tcPr>
          <w:p w14:paraId="5FD16E17"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30</w:t>
            </w:r>
          </w:p>
        </w:tc>
        <w:tc>
          <w:tcPr>
            <w:tcW w:w="331" w:type="dxa"/>
            <w:tcBorders>
              <w:top w:val="nil"/>
              <w:left w:val="nil"/>
              <w:bottom w:val="single" w:sz="8" w:space="0" w:color="auto"/>
              <w:right w:val="single" w:sz="8" w:space="0" w:color="auto"/>
            </w:tcBorders>
            <w:shd w:val="clear" w:color="000000" w:fill="FFF2CC"/>
            <w:vAlign w:val="center"/>
            <w:hideMark/>
          </w:tcPr>
          <w:p w14:paraId="00794F63"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14</w:t>
            </w:r>
          </w:p>
        </w:tc>
        <w:tc>
          <w:tcPr>
            <w:tcW w:w="331" w:type="dxa"/>
            <w:tcBorders>
              <w:top w:val="nil"/>
              <w:left w:val="nil"/>
              <w:bottom w:val="single" w:sz="8" w:space="0" w:color="auto"/>
              <w:right w:val="single" w:sz="8" w:space="0" w:color="auto"/>
            </w:tcBorders>
            <w:shd w:val="clear" w:color="000000" w:fill="D9E2F3"/>
            <w:vAlign w:val="center"/>
            <w:hideMark/>
          </w:tcPr>
          <w:p w14:paraId="48E73313"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12</w:t>
            </w:r>
          </w:p>
        </w:tc>
      </w:tr>
      <w:tr w:rsidR="00F44FFC" w:rsidRPr="000A64F1" w14:paraId="6ED32970" w14:textId="77777777" w:rsidTr="00F44FFC">
        <w:trPr>
          <w:trHeight w:val="320"/>
        </w:trPr>
        <w:tc>
          <w:tcPr>
            <w:tcW w:w="938" w:type="dxa"/>
            <w:tcBorders>
              <w:top w:val="nil"/>
              <w:left w:val="single" w:sz="8" w:space="0" w:color="auto"/>
              <w:bottom w:val="single" w:sz="8" w:space="0" w:color="auto"/>
              <w:right w:val="single" w:sz="8" w:space="0" w:color="auto"/>
            </w:tcBorders>
            <w:shd w:val="clear" w:color="000000" w:fill="D9D9D9"/>
            <w:vAlign w:val="center"/>
            <w:hideMark/>
          </w:tcPr>
          <w:p w14:paraId="3FEFC5BA" w14:textId="77777777" w:rsidR="00F44FFC" w:rsidRPr="000A64F1" w:rsidRDefault="00F44FFC" w:rsidP="00F44FFC">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SJF</w:t>
            </w:r>
          </w:p>
        </w:tc>
        <w:tc>
          <w:tcPr>
            <w:tcW w:w="331" w:type="dxa"/>
            <w:tcBorders>
              <w:top w:val="nil"/>
              <w:left w:val="nil"/>
              <w:bottom w:val="single" w:sz="8" w:space="0" w:color="auto"/>
              <w:right w:val="single" w:sz="8" w:space="0" w:color="auto"/>
            </w:tcBorders>
            <w:shd w:val="clear" w:color="000000" w:fill="C5E0B3"/>
            <w:vAlign w:val="center"/>
            <w:hideMark/>
          </w:tcPr>
          <w:p w14:paraId="6C8154AC"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5</w:t>
            </w:r>
          </w:p>
        </w:tc>
        <w:tc>
          <w:tcPr>
            <w:tcW w:w="331" w:type="dxa"/>
            <w:tcBorders>
              <w:top w:val="nil"/>
              <w:left w:val="nil"/>
              <w:bottom w:val="single" w:sz="8" w:space="0" w:color="auto"/>
              <w:right w:val="single" w:sz="8" w:space="0" w:color="auto"/>
            </w:tcBorders>
            <w:shd w:val="clear" w:color="000000" w:fill="EDEDED"/>
            <w:vAlign w:val="center"/>
            <w:hideMark/>
          </w:tcPr>
          <w:p w14:paraId="389A3E19"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w:t>
            </w:r>
          </w:p>
        </w:tc>
        <w:tc>
          <w:tcPr>
            <w:tcW w:w="331" w:type="dxa"/>
            <w:tcBorders>
              <w:top w:val="nil"/>
              <w:left w:val="nil"/>
              <w:bottom w:val="single" w:sz="8" w:space="0" w:color="auto"/>
              <w:right w:val="single" w:sz="8" w:space="0" w:color="auto"/>
            </w:tcBorders>
            <w:shd w:val="clear" w:color="000000" w:fill="FFF2CC"/>
            <w:vAlign w:val="center"/>
            <w:hideMark/>
          </w:tcPr>
          <w:p w14:paraId="104D296A"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w:t>
            </w:r>
          </w:p>
        </w:tc>
        <w:tc>
          <w:tcPr>
            <w:tcW w:w="331" w:type="dxa"/>
            <w:tcBorders>
              <w:top w:val="nil"/>
              <w:left w:val="nil"/>
              <w:bottom w:val="single" w:sz="8" w:space="0" w:color="auto"/>
              <w:right w:val="single" w:sz="8" w:space="0" w:color="auto"/>
            </w:tcBorders>
            <w:shd w:val="clear" w:color="000000" w:fill="D9E2F3"/>
            <w:vAlign w:val="center"/>
            <w:hideMark/>
          </w:tcPr>
          <w:p w14:paraId="7B3A834C"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w:t>
            </w:r>
          </w:p>
        </w:tc>
        <w:tc>
          <w:tcPr>
            <w:tcW w:w="331" w:type="dxa"/>
            <w:tcBorders>
              <w:top w:val="nil"/>
              <w:left w:val="nil"/>
              <w:bottom w:val="single" w:sz="8" w:space="0" w:color="auto"/>
              <w:right w:val="single" w:sz="8" w:space="0" w:color="auto"/>
            </w:tcBorders>
            <w:shd w:val="clear" w:color="000000" w:fill="C5E0B3"/>
            <w:vAlign w:val="center"/>
            <w:hideMark/>
          </w:tcPr>
          <w:p w14:paraId="0ECBF8D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w:t>
            </w:r>
          </w:p>
        </w:tc>
        <w:tc>
          <w:tcPr>
            <w:tcW w:w="331" w:type="dxa"/>
            <w:tcBorders>
              <w:top w:val="nil"/>
              <w:left w:val="nil"/>
              <w:bottom w:val="single" w:sz="8" w:space="0" w:color="auto"/>
              <w:right w:val="single" w:sz="8" w:space="0" w:color="auto"/>
            </w:tcBorders>
            <w:shd w:val="clear" w:color="000000" w:fill="EDEDED"/>
            <w:vAlign w:val="center"/>
            <w:hideMark/>
          </w:tcPr>
          <w:p w14:paraId="421712AC"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w:t>
            </w:r>
          </w:p>
        </w:tc>
        <w:tc>
          <w:tcPr>
            <w:tcW w:w="331" w:type="dxa"/>
            <w:tcBorders>
              <w:top w:val="nil"/>
              <w:left w:val="nil"/>
              <w:bottom w:val="single" w:sz="8" w:space="0" w:color="auto"/>
              <w:right w:val="single" w:sz="8" w:space="0" w:color="auto"/>
            </w:tcBorders>
            <w:shd w:val="clear" w:color="000000" w:fill="FFF2CC"/>
            <w:vAlign w:val="center"/>
            <w:hideMark/>
          </w:tcPr>
          <w:p w14:paraId="0A3428E7"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w:t>
            </w:r>
          </w:p>
        </w:tc>
        <w:tc>
          <w:tcPr>
            <w:tcW w:w="331" w:type="dxa"/>
            <w:tcBorders>
              <w:top w:val="nil"/>
              <w:left w:val="nil"/>
              <w:bottom w:val="single" w:sz="8" w:space="0" w:color="auto"/>
              <w:right w:val="single" w:sz="8" w:space="0" w:color="auto"/>
            </w:tcBorders>
            <w:shd w:val="clear" w:color="000000" w:fill="D9E2F3"/>
            <w:vAlign w:val="center"/>
            <w:hideMark/>
          </w:tcPr>
          <w:p w14:paraId="0E11E649"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9</w:t>
            </w:r>
          </w:p>
        </w:tc>
        <w:tc>
          <w:tcPr>
            <w:tcW w:w="331" w:type="dxa"/>
            <w:tcBorders>
              <w:top w:val="nil"/>
              <w:left w:val="nil"/>
              <w:bottom w:val="single" w:sz="8" w:space="0" w:color="auto"/>
              <w:right w:val="single" w:sz="8" w:space="0" w:color="auto"/>
            </w:tcBorders>
            <w:shd w:val="clear" w:color="000000" w:fill="C5E0B3"/>
            <w:vAlign w:val="center"/>
            <w:hideMark/>
          </w:tcPr>
          <w:p w14:paraId="5FBC331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w:t>
            </w:r>
          </w:p>
        </w:tc>
        <w:tc>
          <w:tcPr>
            <w:tcW w:w="331" w:type="dxa"/>
            <w:tcBorders>
              <w:top w:val="nil"/>
              <w:left w:val="nil"/>
              <w:bottom w:val="single" w:sz="8" w:space="0" w:color="auto"/>
              <w:right w:val="single" w:sz="8" w:space="0" w:color="auto"/>
            </w:tcBorders>
            <w:shd w:val="clear" w:color="000000" w:fill="EDEDED"/>
            <w:vAlign w:val="center"/>
            <w:hideMark/>
          </w:tcPr>
          <w:p w14:paraId="5201F35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w:t>
            </w:r>
          </w:p>
        </w:tc>
        <w:tc>
          <w:tcPr>
            <w:tcW w:w="331" w:type="dxa"/>
            <w:tcBorders>
              <w:top w:val="nil"/>
              <w:left w:val="nil"/>
              <w:bottom w:val="single" w:sz="8" w:space="0" w:color="auto"/>
              <w:right w:val="single" w:sz="8" w:space="0" w:color="auto"/>
            </w:tcBorders>
            <w:shd w:val="clear" w:color="000000" w:fill="FFF2CC"/>
            <w:vAlign w:val="center"/>
            <w:hideMark/>
          </w:tcPr>
          <w:p w14:paraId="2FE24573"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5</w:t>
            </w:r>
          </w:p>
        </w:tc>
        <w:tc>
          <w:tcPr>
            <w:tcW w:w="331" w:type="dxa"/>
            <w:tcBorders>
              <w:top w:val="nil"/>
              <w:left w:val="nil"/>
              <w:bottom w:val="single" w:sz="8" w:space="0" w:color="auto"/>
              <w:right w:val="single" w:sz="8" w:space="0" w:color="auto"/>
            </w:tcBorders>
            <w:shd w:val="clear" w:color="000000" w:fill="D9E2F3"/>
            <w:vAlign w:val="center"/>
            <w:hideMark/>
          </w:tcPr>
          <w:p w14:paraId="168F20A0"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6</w:t>
            </w:r>
          </w:p>
        </w:tc>
        <w:tc>
          <w:tcPr>
            <w:tcW w:w="331" w:type="dxa"/>
            <w:tcBorders>
              <w:top w:val="single" w:sz="8" w:space="0" w:color="auto"/>
              <w:left w:val="nil"/>
              <w:bottom w:val="single" w:sz="8" w:space="0" w:color="auto"/>
              <w:right w:val="single" w:sz="8" w:space="0" w:color="000000"/>
            </w:tcBorders>
            <w:shd w:val="clear" w:color="000000" w:fill="C5E0B3"/>
            <w:vAlign w:val="center"/>
            <w:hideMark/>
          </w:tcPr>
          <w:p w14:paraId="0BE3576B"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w:t>
            </w:r>
          </w:p>
        </w:tc>
        <w:tc>
          <w:tcPr>
            <w:tcW w:w="331" w:type="dxa"/>
            <w:tcBorders>
              <w:top w:val="nil"/>
              <w:left w:val="nil"/>
              <w:bottom w:val="single" w:sz="8" w:space="0" w:color="auto"/>
              <w:right w:val="single" w:sz="8" w:space="0" w:color="auto"/>
            </w:tcBorders>
            <w:shd w:val="clear" w:color="000000" w:fill="EDEDED"/>
            <w:vAlign w:val="center"/>
            <w:hideMark/>
          </w:tcPr>
          <w:p w14:paraId="2B9D6DA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w:t>
            </w:r>
          </w:p>
        </w:tc>
        <w:tc>
          <w:tcPr>
            <w:tcW w:w="331" w:type="dxa"/>
            <w:tcBorders>
              <w:top w:val="nil"/>
              <w:left w:val="nil"/>
              <w:bottom w:val="single" w:sz="8" w:space="0" w:color="auto"/>
              <w:right w:val="single" w:sz="8" w:space="0" w:color="auto"/>
            </w:tcBorders>
            <w:shd w:val="clear" w:color="000000" w:fill="FFF2CC"/>
            <w:vAlign w:val="center"/>
            <w:hideMark/>
          </w:tcPr>
          <w:p w14:paraId="51855C77"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w:t>
            </w:r>
          </w:p>
        </w:tc>
        <w:tc>
          <w:tcPr>
            <w:tcW w:w="331" w:type="dxa"/>
            <w:tcBorders>
              <w:top w:val="nil"/>
              <w:left w:val="nil"/>
              <w:bottom w:val="single" w:sz="8" w:space="0" w:color="auto"/>
              <w:right w:val="single" w:sz="8" w:space="0" w:color="auto"/>
            </w:tcBorders>
            <w:shd w:val="clear" w:color="000000" w:fill="D9E2F3"/>
            <w:vAlign w:val="center"/>
            <w:hideMark/>
          </w:tcPr>
          <w:p w14:paraId="04391A2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10</w:t>
            </w:r>
          </w:p>
        </w:tc>
        <w:tc>
          <w:tcPr>
            <w:tcW w:w="384" w:type="dxa"/>
            <w:tcBorders>
              <w:top w:val="single" w:sz="8" w:space="0" w:color="auto"/>
              <w:left w:val="nil"/>
              <w:bottom w:val="single" w:sz="8" w:space="0" w:color="auto"/>
              <w:right w:val="single" w:sz="8" w:space="0" w:color="000000"/>
            </w:tcBorders>
            <w:shd w:val="clear" w:color="000000" w:fill="C5E0B3"/>
            <w:vAlign w:val="center"/>
            <w:hideMark/>
          </w:tcPr>
          <w:p w14:paraId="1DADD4C4"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w:t>
            </w:r>
          </w:p>
        </w:tc>
        <w:tc>
          <w:tcPr>
            <w:tcW w:w="331" w:type="dxa"/>
            <w:tcBorders>
              <w:top w:val="nil"/>
              <w:left w:val="nil"/>
              <w:bottom w:val="single" w:sz="8" w:space="0" w:color="auto"/>
              <w:right w:val="single" w:sz="8" w:space="0" w:color="auto"/>
            </w:tcBorders>
            <w:shd w:val="clear" w:color="000000" w:fill="EDEDED"/>
            <w:vAlign w:val="center"/>
            <w:hideMark/>
          </w:tcPr>
          <w:p w14:paraId="30C82152"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6</w:t>
            </w:r>
          </w:p>
        </w:tc>
        <w:tc>
          <w:tcPr>
            <w:tcW w:w="331" w:type="dxa"/>
            <w:tcBorders>
              <w:top w:val="nil"/>
              <w:left w:val="nil"/>
              <w:bottom w:val="single" w:sz="8" w:space="0" w:color="auto"/>
              <w:right w:val="single" w:sz="8" w:space="0" w:color="auto"/>
            </w:tcBorders>
            <w:shd w:val="clear" w:color="000000" w:fill="FFF2CC"/>
            <w:vAlign w:val="center"/>
            <w:hideMark/>
          </w:tcPr>
          <w:p w14:paraId="08B31086"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5</w:t>
            </w:r>
          </w:p>
        </w:tc>
        <w:tc>
          <w:tcPr>
            <w:tcW w:w="331" w:type="dxa"/>
            <w:tcBorders>
              <w:top w:val="nil"/>
              <w:left w:val="nil"/>
              <w:bottom w:val="single" w:sz="8" w:space="0" w:color="auto"/>
              <w:right w:val="single" w:sz="8" w:space="0" w:color="auto"/>
            </w:tcBorders>
            <w:shd w:val="clear" w:color="000000" w:fill="D9E2F3"/>
            <w:vAlign w:val="center"/>
            <w:hideMark/>
          </w:tcPr>
          <w:p w14:paraId="588D8DF7"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5</w:t>
            </w:r>
          </w:p>
        </w:tc>
        <w:tc>
          <w:tcPr>
            <w:tcW w:w="384" w:type="dxa"/>
            <w:tcBorders>
              <w:top w:val="single" w:sz="8" w:space="0" w:color="auto"/>
              <w:left w:val="nil"/>
              <w:bottom w:val="single" w:sz="8" w:space="0" w:color="auto"/>
              <w:right w:val="single" w:sz="8" w:space="0" w:color="000000"/>
            </w:tcBorders>
            <w:shd w:val="clear" w:color="000000" w:fill="C5E0B3"/>
            <w:vAlign w:val="center"/>
            <w:hideMark/>
          </w:tcPr>
          <w:p w14:paraId="498C19CB"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4</w:t>
            </w:r>
          </w:p>
        </w:tc>
        <w:tc>
          <w:tcPr>
            <w:tcW w:w="331" w:type="dxa"/>
            <w:tcBorders>
              <w:top w:val="nil"/>
              <w:left w:val="nil"/>
              <w:bottom w:val="single" w:sz="8" w:space="0" w:color="auto"/>
              <w:right w:val="single" w:sz="8" w:space="0" w:color="auto"/>
            </w:tcBorders>
            <w:shd w:val="clear" w:color="000000" w:fill="E7E6E6"/>
            <w:vAlign w:val="center"/>
            <w:hideMark/>
          </w:tcPr>
          <w:p w14:paraId="1EC64B27"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17</w:t>
            </w:r>
          </w:p>
        </w:tc>
        <w:tc>
          <w:tcPr>
            <w:tcW w:w="331" w:type="dxa"/>
            <w:tcBorders>
              <w:top w:val="nil"/>
              <w:left w:val="nil"/>
              <w:bottom w:val="single" w:sz="8" w:space="0" w:color="auto"/>
              <w:right w:val="single" w:sz="8" w:space="0" w:color="auto"/>
            </w:tcBorders>
            <w:shd w:val="clear" w:color="000000" w:fill="FFF2CC"/>
            <w:vAlign w:val="center"/>
            <w:hideMark/>
          </w:tcPr>
          <w:p w14:paraId="383DD8CE"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3</w:t>
            </w:r>
          </w:p>
        </w:tc>
        <w:tc>
          <w:tcPr>
            <w:tcW w:w="331" w:type="dxa"/>
            <w:tcBorders>
              <w:top w:val="nil"/>
              <w:left w:val="nil"/>
              <w:bottom w:val="single" w:sz="8" w:space="0" w:color="auto"/>
              <w:right w:val="single" w:sz="8" w:space="0" w:color="auto"/>
            </w:tcBorders>
            <w:shd w:val="clear" w:color="000000" w:fill="D9E2F3"/>
            <w:vAlign w:val="center"/>
            <w:hideMark/>
          </w:tcPr>
          <w:p w14:paraId="37B3352C"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2</w:t>
            </w:r>
          </w:p>
        </w:tc>
        <w:tc>
          <w:tcPr>
            <w:tcW w:w="384" w:type="dxa"/>
            <w:tcBorders>
              <w:top w:val="nil"/>
              <w:left w:val="nil"/>
              <w:bottom w:val="single" w:sz="8" w:space="0" w:color="auto"/>
              <w:right w:val="single" w:sz="8" w:space="0" w:color="auto"/>
            </w:tcBorders>
            <w:shd w:val="clear" w:color="000000" w:fill="C5E0B3"/>
            <w:vAlign w:val="center"/>
            <w:hideMark/>
          </w:tcPr>
          <w:p w14:paraId="710BA6C2"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5</w:t>
            </w:r>
          </w:p>
        </w:tc>
        <w:tc>
          <w:tcPr>
            <w:tcW w:w="331" w:type="dxa"/>
            <w:tcBorders>
              <w:top w:val="nil"/>
              <w:left w:val="nil"/>
              <w:bottom w:val="single" w:sz="8" w:space="0" w:color="auto"/>
              <w:right w:val="single" w:sz="8" w:space="0" w:color="auto"/>
            </w:tcBorders>
            <w:shd w:val="clear" w:color="000000" w:fill="E7E6E6"/>
            <w:vAlign w:val="center"/>
            <w:hideMark/>
          </w:tcPr>
          <w:p w14:paraId="67094F25"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9</w:t>
            </w:r>
          </w:p>
        </w:tc>
        <w:tc>
          <w:tcPr>
            <w:tcW w:w="331" w:type="dxa"/>
            <w:tcBorders>
              <w:top w:val="nil"/>
              <w:left w:val="nil"/>
              <w:bottom w:val="single" w:sz="8" w:space="0" w:color="auto"/>
              <w:right w:val="single" w:sz="8" w:space="0" w:color="auto"/>
            </w:tcBorders>
            <w:shd w:val="clear" w:color="000000" w:fill="FFF2CC"/>
            <w:vAlign w:val="center"/>
            <w:hideMark/>
          </w:tcPr>
          <w:p w14:paraId="6B2E2338"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w:t>
            </w:r>
          </w:p>
        </w:tc>
        <w:tc>
          <w:tcPr>
            <w:tcW w:w="331" w:type="dxa"/>
            <w:tcBorders>
              <w:top w:val="nil"/>
              <w:left w:val="nil"/>
              <w:bottom w:val="single" w:sz="8" w:space="0" w:color="auto"/>
              <w:right w:val="single" w:sz="8" w:space="0" w:color="auto"/>
            </w:tcBorders>
            <w:shd w:val="clear" w:color="000000" w:fill="D9E2F3"/>
            <w:vAlign w:val="center"/>
            <w:hideMark/>
          </w:tcPr>
          <w:p w14:paraId="640A00F2"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w:t>
            </w:r>
          </w:p>
        </w:tc>
      </w:tr>
      <w:tr w:rsidR="00F44FFC" w:rsidRPr="000A64F1" w14:paraId="66F9426F" w14:textId="77777777" w:rsidTr="00F44FFC">
        <w:trPr>
          <w:trHeight w:val="320"/>
        </w:trPr>
        <w:tc>
          <w:tcPr>
            <w:tcW w:w="938" w:type="dxa"/>
            <w:tcBorders>
              <w:top w:val="nil"/>
              <w:left w:val="single" w:sz="8" w:space="0" w:color="auto"/>
              <w:bottom w:val="single" w:sz="8" w:space="0" w:color="auto"/>
              <w:right w:val="single" w:sz="8" w:space="0" w:color="auto"/>
            </w:tcBorders>
            <w:shd w:val="clear" w:color="000000" w:fill="D9D9D9"/>
            <w:vAlign w:val="center"/>
            <w:hideMark/>
          </w:tcPr>
          <w:p w14:paraId="35E9B29C" w14:textId="77777777" w:rsidR="00F44FFC" w:rsidRPr="000A64F1" w:rsidRDefault="00F44FFC" w:rsidP="00F44FFC">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FEI</w:t>
            </w:r>
          </w:p>
        </w:tc>
        <w:tc>
          <w:tcPr>
            <w:tcW w:w="331" w:type="dxa"/>
            <w:tcBorders>
              <w:top w:val="nil"/>
              <w:left w:val="nil"/>
              <w:bottom w:val="single" w:sz="8" w:space="0" w:color="auto"/>
              <w:right w:val="single" w:sz="8" w:space="0" w:color="auto"/>
            </w:tcBorders>
            <w:shd w:val="clear" w:color="000000" w:fill="C5E0B3"/>
            <w:vAlign w:val="center"/>
            <w:hideMark/>
          </w:tcPr>
          <w:p w14:paraId="6175ED80"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18</w:t>
            </w:r>
          </w:p>
        </w:tc>
        <w:tc>
          <w:tcPr>
            <w:tcW w:w="331" w:type="dxa"/>
            <w:tcBorders>
              <w:top w:val="nil"/>
              <w:left w:val="nil"/>
              <w:bottom w:val="single" w:sz="8" w:space="0" w:color="auto"/>
              <w:right w:val="single" w:sz="8" w:space="0" w:color="auto"/>
            </w:tcBorders>
            <w:shd w:val="clear" w:color="000000" w:fill="EDEDED"/>
            <w:vAlign w:val="center"/>
            <w:hideMark/>
          </w:tcPr>
          <w:p w14:paraId="042537BF"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21</w:t>
            </w:r>
          </w:p>
        </w:tc>
        <w:tc>
          <w:tcPr>
            <w:tcW w:w="331" w:type="dxa"/>
            <w:tcBorders>
              <w:top w:val="nil"/>
              <w:left w:val="nil"/>
              <w:bottom w:val="single" w:sz="8" w:space="0" w:color="auto"/>
              <w:right w:val="single" w:sz="8" w:space="0" w:color="auto"/>
            </w:tcBorders>
            <w:shd w:val="clear" w:color="000000" w:fill="FFF2CC"/>
            <w:vAlign w:val="center"/>
            <w:hideMark/>
          </w:tcPr>
          <w:p w14:paraId="22D8519C"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19</w:t>
            </w:r>
          </w:p>
        </w:tc>
        <w:tc>
          <w:tcPr>
            <w:tcW w:w="331" w:type="dxa"/>
            <w:tcBorders>
              <w:top w:val="nil"/>
              <w:left w:val="nil"/>
              <w:bottom w:val="single" w:sz="8" w:space="0" w:color="auto"/>
              <w:right w:val="single" w:sz="8" w:space="0" w:color="auto"/>
            </w:tcBorders>
            <w:shd w:val="clear" w:color="000000" w:fill="D9E2F3"/>
            <w:vAlign w:val="center"/>
            <w:hideMark/>
          </w:tcPr>
          <w:p w14:paraId="5FBFA27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25</w:t>
            </w:r>
          </w:p>
        </w:tc>
        <w:tc>
          <w:tcPr>
            <w:tcW w:w="331" w:type="dxa"/>
            <w:tcBorders>
              <w:top w:val="nil"/>
              <w:left w:val="nil"/>
              <w:bottom w:val="single" w:sz="8" w:space="0" w:color="auto"/>
              <w:right w:val="single" w:sz="8" w:space="0" w:color="auto"/>
            </w:tcBorders>
            <w:shd w:val="clear" w:color="000000" w:fill="C5E0B3"/>
            <w:vAlign w:val="center"/>
            <w:hideMark/>
          </w:tcPr>
          <w:p w14:paraId="55C986E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26</w:t>
            </w:r>
          </w:p>
        </w:tc>
        <w:tc>
          <w:tcPr>
            <w:tcW w:w="331" w:type="dxa"/>
            <w:tcBorders>
              <w:top w:val="nil"/>
              <w:left w:val="nil"/>
              <w:bottom w:val="single" w:sz="8" w:space="0" w:color="auto"/>
              <w:right w:val="single" w:sz="8" w:space="0" w:color="auto"/>
            </w:tcBorders>
            <w:shd w:val="clear" w:color="000000" w:fill="EDEDED"/>
            <w:vAlign w:val="center"/>
            <w:hideMark/>
          </w:tcPr>
          <w:p w14:paraId="2F4A130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22</w:t>
            </w:r>
          </w:p>
        </w:tc>
        <w:tc>
          <w:tcPr>
            <w:tcW w:w="331" w:type="dxa"/>
            <w:tcBorders>
              <w:top w:val="nil"/>
              <w:left w:val="nil"/>
              <w:bottom w:val="single" w:sz="8" w:space="0" w:color="auto"/>
              <w:right w:val="single" w:sz="8" w:space="0" w:color="auto"/>
            </w:tcBorders>
            <w:shd w:val="clear" w:color="000000" w:fill="FFF2CC"/>
            <w:vAlign w:val="center"/>
            <w:hideMark/>
          </w:tcPr>
          <w:p w14:paraId="47C9DB93"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39</w:t>
            </w:r>
          </w:p>
        </w:tc>
        <w:tc>
          <w:tcPr>
            <w:tcW w:w="331" w:type="dxa"/>
            <w:tcBorders>
              <w:top w:val="nil"/>
              <w:left w:val="nil"/>
              <w:bottom w:val="single" w:sz="8" w:space="0" w:color="auto"/>
              <w:right w:val="single" w:sz="8" w:space="0" w:color="auto"/>
            </w:tcBorders>
            <w:shd w:val="clear" w:color="000000" w:fill="D9E2F3"/>
            <w:vAlign w:val="center"/>
            <w:hideMark/>
          </w:tcPr>
          <w:p w14:paraId="25F967E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34</w:t>
            </w:r>
          </w:p>
        </w:tc>
        <w:tc>
          <w:tcPr>
            <w:tcW w:w="331" w:type="dxa"/>
            <w:tcBorders>
              <w:top w:val="nil"/>
              <w:left w:val="nil"/>
              <w:bottom w:val="single" w:sz="8" w:space="0" w:color="auto"/>
              <w:right w:val="single" w:sz="8" w:space="0" w:color="auto"/>
            </w:tcBorders>
            <w:shd w:val="clear" w:color="000000" w:fill="C5E0B3"/>
            <w:vAlign w:val="center"/>
            <w:hideMark/>
          </w:tcPr>
          <w:p w14:paraId="6C14BA8C"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24</w:t>
            </w:r>
          </w:p>
        </w:tc>
        <w:tc>
          <w:tcPr>
            <w:tcW w:w="331" w:type="dxa"/>
            <w:tcBorders>
              <w:top w:val="nil"/>
              <w:left w:val="nil"/>
              <w:bottom w:val="single" w:sz="8" w:space="0" w:color="auto"/>
              <w:right w:val="single" w:sz="8" w:space="0" w:color="auto"/>
            </w:tcBorders>
            <w:shd w:val="clear" w:color="000000" w:fill="EDEDED"/>
            <w:vAlign w:val="center"/>
            <w:hideMark/>
          </w:tcPr>
          <w:p w14:paraId="724589B0"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18</w:t>
            </w:r>
          </w:p>
        </w:tc>
        <w:tc>
          <w:tcPr>
            <w:tcW w:w="331" w:type="dxa"/>
            <w:tcBorders>
              <w:top w:val="nil"/>
              <w:left w:val="nil"/>
              <w:bottom w:val="single" w:sz="8" w:space="0" w:color="auto"/>
              <w:right w:val="single" w:sz="8" w:space="0" w:color="auto"/>
            </w:tcBorders>
            <w:shd w:val="clear" w:color="000000" w:fill="FFF2CC"/>
            <w:vAlign w:val="center"/>
            <w:hideMark/>
          </w:tcPr>
          <w:p w14:paraId="70C01674"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28</w:t>
            </w:r>
          </w:p>
        </w:tc>
        <w:tc>
          <w:tcPr>
            <w:tcW w:w="331" w:type="dxa"/>
            <w:tcBorders>
              <w:top w:val="nil"/>
              <w:left w:val="nil"/>
              <w:bottom w:val="single" w:sz="8" w:space="0" w:color="auto"/>
              <w:right w:val="single" w:sz="8" w:space="0" w:color="auto"/>
            </w:tcBorders>
            <w:shd w:val="clear" w:color="000000" w:fill="D9E2F3"/>
            <w:vAlign w:val="center"/>
            <w:hideMark/>
          </w:tcPr>
          <w:p w14:paraId="142A412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32</w:t>
            </w:r>
          </w:p>
        </w:tc>
        <w:tc>
          <w:tcPr>
            <w:tcW w:w="331" w:type="dxa"/>
            <w:tcBorders>
              <w:top w:val="single" w:sz="8" w:space="0" w:color="auto"/>
              <w:left w:val="nil"/>
              <w:bottom w:val="single" w:sz="8" w:space="0" w:color="auto"/>
              <w:right w:val="single" w:sz="8" w:space="0" w:color="000000"/>
            </w:tcBorders>
            <w:shd w:val="clear" w:color="000000" w:fill="C5E0B3"/>
            <w:vAlign w:val="center"/>
            <w:hideMark/>
          </w:tcPr>
          <w:p w14:paraId="34131784"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16</w:t>
            </w:r>
          </w:p>
        </w:tc>
        <w:tc>
          <w:tcPr>
            <w:tcW w:w="331" w:type="dxa"/>
            <w:tcBorders>
              <w:top w:val="nil"/>
              <w:left w:val="nil"/>
              <w:bottom w:val="single" w:sz="8" w:space="0" w:color="auto"/>
              <w:right w:val="single" w:sz="8" w:space="0" w:color="auto"/>
            </w:tcBorders>
            <w:shd w:val="clear" w:color="000000" w:fill="EDEDED"/>
            <w:vAlign w:val="center"/>
            <w:hideMark/>
          </w:tcPr>
          <w:p w14:paraId="5B79F752"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25</w:t>
            </w:r>
          </w:p>
        </w:tc>
        <w:tc>
          <w:tcPr>
            <w:tcW w:w="331" w:type="dxa"/>
            <w:tcBorders>
              <w:top w:val="nil"/>
              <w:left w:val="nil"/>
              <w:bottom w:val="single" w:sz="8" w:space="0" w:color="auto"/>
              <w:right w:val="single" w:sz="8" w:space="0" w:color="auto"/>
            </w:tcBorders>
            <w:shd w:val="clear" w:color="000000" w:fill="FFF2CC"/>
            <w:vAlign w:val="center"/>
            <w:hideMark/>
          </w:tcPr>
          <w:p w14:paraId="7111F2DB"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16</w:t>
            </w:r>
          </w:p>
        </w:tc>
        <w:tc>
          <w:tcPr>
            <w:tcW w:w="331" w:type="dxa"/>
            <w:tcBorders>
              <w:top w:val="nil"/>
              <w:left w:val="nil"/>
              <w:bottom w:val="single" w:sz="8" w:space="0" w:color="auto"/>
              <w:right w:val="single" w:sz="8" w:space="0" w:color="auto"/>
            </w:tcBorders>
            <w:shd w:val="clear" w:color="000000" w:fill="D9E2F3"/>
            <w:vAlign w:val="center"/>
            <w:hideMark/>
          </w:tcPr>
          <w:p w14:paraId="589EB53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28</w:t>
            </w:r>
          </w:p>
        </w:tc>
        <w:tc>
          <w:tcPr>
            <w:tcW w:w="384" w:type="dxa"/>
            <w:tcBorders>
              <w:top w:val="single" w:sz="8" w:space="0" w:color="auto"/>
              <w:left w:val="nil"/>
              <w:bottom w:val="single" w:sz="8" w:space="0" w:color="auto"/>
              <w:right w:val="single" w:sz="8" w:space="0" w:color="000000"/>
            </w:tcBorders>
            <w:shd w:val="clear" w:color="000000" w:fill="C5E0B3"/>
            <w:vAlign w:val="center"/>
            <w:hideMark/>
          </w:tcPr>
          <w:p w14:paraId="5B9BE4C3"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25</w:t>
            </w:r>
          </w:p>
        </w:tc>
        <w:tc>
          <w:tcPr>
            <w:tcW w:w="331" w:type="dxa"/>
            <w:tcBorders>
              <w:top w:val="nil"/>
              <w:left w:val="nil"/>
              <w:bottom w:val="single" w:sz="8" w:space="0" w:color="auto"/>
              <w:right w:val="single" w:sz="8" w:space="0" w:color="auto"/>
            </w:tcBorders>
            <w:shd w:val="clear" w:color="000000" w:fill="EDEDED"/>
            <w:vAlign w:val="center"/>
            <w:hideMark/>
          </w:tcPr>
          <w:p w14:paraId="06A3F37F"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24</w:t>
            </w:r>
          </w:p>
        </w:tc>
        <w:tc>
          <w:tcPr>
            <w:tcW w:w="331" w:type="dxa"/>
            <w:tcBorders>
              <w:top w:val="nil"/>
              <w:left w:val="nil"/>
              <w:bottom w:val="single" w:sz="8" w:space="0" w:color="auto"/>
              <w:right w:val="single" w:sz="8" w:space="0" w:color="auto"/>
            </w:tcBorders>
            <w:shd w:val="clear" w:color="000000" w:fill="FFF2CC"/>
            <w:vAlign w:val="center"/>
            <w:hideMark/>
          </w:tcPr>
          <w:p w14:paraId="5AC0FCC4"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16</w:t>
            </w:r>
          </w:p>
        </w:tc>
        <w:tc>
          <w:tcPr>
            <w:tcW w:w="331" w:type="dxa"/>
            <w:tcBorders>
              <w:top w:val="nil"/>
              <w:left w:val="nil"/>
              <w:bottom w:val="single" w:sz="8" w:space="0" w:color="auto"/>
              <w:right w:val="single" w:sz="8" w:space="0" w:color="auto"/>
            </w:tcBorders>
            <w:shd w:val="clear" w:color="000000" w:fill="D9E2F3"/>
            <w:vAlign w:val="center"/>
            <w:hideMark/>
          </w:tcPr>
          <w:p w14:paraId="38ADDCCC"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40</w:t>
            </w:r>
          </w:p>
        </w:tc>
        <w:tc>
          <w:tcPr>
            <w:tcW w:w="384" w:type="dxa"/>
            <w:tcBorders>
              <w:top w:val="single" w:sz="8" w:space="0" w:color="auto"/>
              <w:left w:val="nil"/>
              <w:bottom w:val="single" w:sz="8" w:space="0" w:color="auto"/>
              <w:right w:val="single" w:sz="8" w:space="0" w:color="000000"/>
            </w:tcBorders>
            <w:shd w:val="clear" w:color="000000" w:fill="C5E0B3"/>
            <w:vAlign w:val="center"/>
            <w:hideMark/>
          </w:tcPr>
          <w:p w14:paraId="00FC3FAD"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33</w:t>
            </w:r>
          </w:p>
        </w:tc>
        <w:tc>
          <w:tcPr>
            <w:tcW w:w="331" w:type="dxa"/>
            <w:tcBorders>
              <w:top w:val="nil"/>
              <w:left w:val="nil"/>
              <w:bottom w:val="single" w:sz="8" w:space="0" w:color="auto"/>
              <w:right w:val="single" w:sz="8" w:space="0" w:color="auto"/>
            </w:tcBorders>
            <w:shd w:val="clear" w:color="000000" w:fill="E7E6E6"/>
            <w:vAlign w:val="center"/>
            <w:hideMark/>
          </w:tcPr>
          <w:p w14:paraId="682380D9"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58</w:t>
            </w:r>
          </w:p>
        </w:tc>
        <w:tc>
          <w:tcPr>
            <w:tcW w:w="331" w:type="dxa"/>
            <w:tcBorders>
              <w:top w:val="nil"/>
              <w:left w:val="nil"/>
              <w:bottom w:val="single" w:sz="8" w:space="0" w:color="auto"/>
              <w:right w:val="single" w:sz="8" w:space="0" w:color="auto"/>
            </w:tcBorders>
            <w:shd w:val="clear" w:color="000000" w:fill="FFF2CC"/>
            <w:vAlign w:val="center"/>
            <w:hideMark/>
          </w:tcPr>
          <w:p w14:paraId="3512FD18"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23</w:t>
            </w:r>
          </w:p>
        </w:tc>
        <w:tc>
          <w:tcPr>
            <w:tcW w:w="331" w:type="dxa"/>
            <w:tcBorders>
              <w:top w:val="nil"/>
              <w:left w:val="nil"/>
              <w:bottom w:val="single" w:sz="8" w:space="0" w:color="auto"/>
              <w:right w:val="single" w:sz="8" w:space="0" w:color="auto"/>
            </w:tcBorders>
            <w:shd w:val="clear" w:color="000000" w:fill="D9E2F3"/>
            <w:vAlign w:val="center"/>
            <w:hideMark/>
          </w:tcPr>
          <w:p w14:paraId="3484551D"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20</w:t>
            </w:r>
          </w:p>
        </w:tc>
        <w:tc>
          <w:tcPr>
            <w:tcW w:w="384" w:type="dxa"/>
            <w:tcBorders>
              <w:top w:val="nil"/>
              <w:left w:val="nil"/>
              <w:bottom w:val="single" w:sz="8" w:space="0" w:color="auto"/>
              <w:right w:val="single" w:sz="8" w:space="0" w:color="auto"/>
            </w:tcBorders>
            <w:shd w:val="clear" w:color="000000" w:fill="C5E0B3"/>
            <w:vAlign w:val="center"/>
            <w:hideMark/>
          </w:tcPr>
          <w:p w14:paraId="53C219B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21</w:t>
            </w:r>
          </w:p>
        </w:tc>
        <w:tc>
          <w:tcPr>
            <w:tcW w:w="331" w:type="dxa"/>
            <w:tcBorders>
              <w:top w:val="nil"/>
              <w:left w:val="nil"/>
              <w:bottom w:val="single" w:sz="8" w:space="0" w:color="auto"/>
              <w:right w:val="single" w:sz="8" w:space="0" w:color="auto"/>
            </w:tcBorders>
            <w:shd w:val="clear" w:color="000000" w:fill="E7E6E6"/>
            <w:vAlign w:val="center"/>
            <w:hideMark/>
          </w:tcPr>
          <w:p w14:paraId="5862708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36</w:t>
            </w:r>
          </w:p>
        </w:tc>
        <w:tc>
          <w:tcPr>
            <w:tcW w:w="331" w:type="dxa"/>
            <w:tcBorders>
              <w:top w:val="nil"/>
              <w:left w:val="nil"/>
              <w:bottom w:val="single" w:sz="8" w:space="0" w:color="auto"/>
              <w:right w:val="single" w:sz="8" w:space="0" w:color="auto"/>
            </w:tcBorders>
            <w:shd w:val="clear" w:color="000000" w:fill="FFF2CC"/>
            <w:vAlign w:val="center"/>
            <w:hideMark/>
          </w:tcPr>
          <w:p w14:paraId="5384CBF4"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19</w:t>
            </w:r>
          </w:p>
        </w:tc>
        <w:tc>
          <w:tcPr>
            <w:tcW w:w="331" w:type="dxa"/>
            <w:tcBorders>
              <w:top w:val="nil"/>
              <w:left w:val="nil"/>
              <w:bottom w:val="single" w:sz="8" w:space="0" w:color="auto"/>
              <w:right w:val="single" w:sz="8" w:space="0" w:color="auto"/>
            </w:tcBorders>
            <w:shd w:val="clear" w:color="000000" w:fill="D9E2F3"/>
            <w:vAlign w:val="center"/>
            <w:hideMark/>
          </w:tcPr>
          <w:p w14:paraId="28913DB6"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16</w:t>
            </w:r>
          </w:p>
        </w:tc>
      </w:tr>
      <w:tr w:rsidR="00F44FFC" w:rsidRPr="000A64F1" w14:paraId="64EAB7A6" w14:textId="77777777" w:rsidTr="00F44FFC">
        <w:trPr>
          <w:trHeight w:val="320"/>
        </w:trPr>
        <w:tc>
          <w:tcPr>
            <w:tcW w:w="938" w:type="dxa"/>
            <w:tcBorders>
              <w:top w:val="nil"/>
              <w:left w:val="single" w:sz="8" w:space="0" w:color="auto"/>
              <w:bottom w:val="single" w:sz="8" w:space="0" w:color="auto"/>
              <w:right w:val="single" w:sz="8" w:space="0" w:color="auto"/>
            </w:tcBorders>
            <w:shd w:val="clear" w:color="000000" w:fill="D9D9D9"/>
            <w:vAlign w:val="center"/>
            <w:hideMark/>
          </w:tcPr>
          <w:p w14:paraId="03769BEE" w14:textId="77777777" w:rsidR="00F44FFC" w:rsidRPr="000A64F1" w:rsidRDefault="00F44FFC" w:rsidP="00F44FFC">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FCHPT</w:t>
            </w:r>
          </w:p>
        </w:tc>
        <w:tc>
          <w:tcPr>
            <w:tcW w:w="331" w:type="dxa"/>
            <w:tcBorders>
              <w:top w:val="nil"/>
              <w:left w:val="nil"/>
              <w:bottom w:val="single" w:sz="8" w:space="0" w:color="auto"/>
              <w:right w:val="single" w:sz="8" w:space="0" w:color="auto"/>
            </w:tcBorders>
            <w:shd w:val="clear" w:color="000000" w:fill="C5E0B3"/>
            <w:vAlign w:val="center"/>
            <w:hideMark/>
          </w:tcPr>
          <w:p w14:paraId="7848B9BF"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62</w:t>
            </w:r>
          </w:p>
        </w:tc>
        <w:tc>
          <w:tcPr>
            <w:tcW w:w="331" w:type="dxa"/>
            <w:tcBorders>
              <w:top w:val="nil"/>
              <w:left w:val="nil"/>
              <w:bottom w:val="single" w:sz="8" w:space="0" w:color="auto"/>
              <w:right w:val="single" w:sz="8" w:space="0" w:color="auto"/>
            </w:tcBorders>
            <w:shd w:val="clear" w:color="000000" w:fill="EDEDED"/>
            <w:vAlign w:val="center"/>
            <w:hideMark/>
          </w:tcPr>
          <w:p w14:paraId="190ACEBF"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51</w:t>
            </w:r>
          </w:p>
        </w:tc>
        <w:tc>
          <w:tcPr>
            <w:tcW w:w="331" w:type="dxa"/>
            <w:tcBorders>
              <w:top w:val="nil"/>
              <w:left w:val="nil"/>
              <w:bottom w:val="single" w:sz="8" w:space="0" w:color="auto"/>
              <w:right w:val="single" w:sz="8" w:space="0" w:color="auto"/>
            </w:tcBorders>
            <w:shd w:val="clear" w:color="000000" w:fill="FFF2CC"/>
            <w:vAlign w:val="center"/>
            <w:hideMark/>
          </w:tcPr>
          <w:p w14:paraId="4EAA40B0"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47</w:t>
            </w:r>
          </w:p>
        </w:tc>
        <w:tc>
          <w:tcPr>
            <w:tcW w:w="331" w:type="dxa"/>
            <w:tcBorders>
              <w:top w:val="nil"/>
              <w:left w:val="nil"/>
              <w:bottom w:val="single" w:sz="8" w:space="0" w:color="auto"/>
              <w:right w:val="single" w:sz="8" w:space="0" w:color="auto"/>
            </w:tcBorders>
            <w:shd w:val="clear" w:color="000000" w:fill="D9E2F3"/>
            <w:vAlign w:val="center"/>
            <w:hideMark/>
          </w:tcPr>
          <w:p w14:paraId="74808ED4"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23</w:t>
            </w:r>
          </w:p>
        </w:tc>
        <w:tc>
          <w:tcPr>
            <w:tcW w:w="331" w:type="dxa"/>
            <w:tcBorders>
              <w:top w:val="nil"/>
              <w:left w:val="nil"/>
              <w:bottom w:val="single" w:sz="8" w:space="0" w:color="auto"/>
              <w:right w:val="single" w:sz="8" w:space="0" w:color="auto"/>
            </w:tcBorders>
            <w:shd w:val="clear" w:color="000000" w:fill="C5E0B3"/>
            <w:vAlign w:val="center"/>
            <w:hideMark/>
          </w:tcPr>
          <w:p w14:paraId="02F454A1"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70</w:t>
            </w:r>
          </w:p>
        </w:tc>
        <w:tc>
          <w:tcPr>
            <w:tcW w:w="331" w:type="dxa"/>
            <w:tcBorders>
              <w:top w:val="nil"/>
              <w:left w:val="nil"/>
              <w:bottom w:val="single" w:sz="8" w:space="0" w:color="auto"/>
              <w:right w:val="single" w:sz="8" w:space="0" w:color="auto"/>
            </w:tcBorders>
            <w:shd w:val="clear" w:color="000000" w:fill="EDEDED"/>
            <w:vAlign w:val="center"/>
            <w:hideMark/>
          </w:tcPr>
          <w:p w14:paraId="725F5078"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81</w:t>
            </w:r>
          </w:p>
        </w:tc>
        <w:tc>
          <w:tcPr>
            <w:tcW w:w="331" w:type="dxa"/>
            <w:tcBorders>
              <w:top w:val="nil"/>
              <w:left w:val="nil"/>
              <w:bottom w:val="single" w:sz="8" w:space="0" w:color="auto"/>
              <w:right w:val="single" w:sz="8" w:space="0" w:color="auto"/>
            </w:tcBorders>
            <w:shd w:val="clear" w:color="000000" w:fill="FFF2CC"/>
            <w:vAlign w:val="center"/>
            <w:hideMark/>
          </w:tcPr>
          <w:p w14:paraId="4D9EFD56"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45</w:t>
            </w:r>
          </w:p>
        </w:tc>
        <w:tc>
          <w:tcPr>
            <w:tcW w:w="331" w:type="dxa"/>
            <w:tcBorders>
              <w:top w:val="nil"/>
              <w:left w:val="nil"/>
              <w:bottom w:val="single" w:sz="8" w:space="0" w:color="auto"/>
              <w:right w:val="single" w:sz="8" w:space="0" w:color="auto"/>
            </w:tcBorders>
            <w:shd w:val="clear" w:color="000000" w:fill="D9E2F3"/>
            <w:vAlign w:val="center"/>
            <w:hideMark/>
          </w:tcPr>
          <w:p w14:paraId="6769B2D1"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39</w:t>
            </w:r>
          </w:p>
        </w:tc>
        <w:tc>
          <w:tcPr>
            <w:tcW w:w="331" w:type="dxa"/>
            <w:tcBorders>
              <w:top w:val="nil"/>
              <w:left w:val="nil"/>
              <w:bottom w:val="single" w:sz="8" w:space="0" w:color="auto"/>
              <w:right w:val="single" w:sz="8" w:space="0" w:color="auto"/>
            </w:tcBorders>
            <w:shd w:val="clear" w:color="000000" w:fill="C5E0B3"/>
            <w:vAlign w:val="center"/>
            <w:hideMark/>
          </w:tcPr>
          <w:p w14:paraId="5CFDEF50"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82</w:t>
            </w:r>
          </w:p>
        </w:tc>
        <w:tc>
          <w:tcPr>
            <w:tcW w:w="331" w:type="dxa"/>
            <w:tcBorders>
              <w:top w:val="nil"/>
              <w:left w:val="nil"/>
              <w:bottom w:val="single" w:sz="8" w:space="0" w:color="auto"/>
              <w:right w:val="single" w:sz="8" w:space="0" w:color="auto"/>
            </w:tcBorders>
            <w:shd w:val="clear" w:color="000000" w:fill="EDEDED"/>
            <w:vAlign w:val="center"/>
            <w:hideMark/>
          </w:tcPr>
          <w:p w14:paraId="14D2C5C7"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62</w:t>
            </w:r>
          </w:p>
        </w:tc>
        <w:tc>
          <w:tcPr>
            <w:tcW w:w="331" w:type="dxa"/>
            <w:tcBorders>
              <w:top w:val="nil"/>
              <w:left w:val="nil"/>
              <w:bottom w:val="single" w:sz="8" w:space="0" w:color="auto"/>
              <w:right w:val="single" w:sz="8" w:space="0" w:color="auto"/>
            </w:tcBorders>
            <w:shd w:val="clear" w:color="000000" w:fill="FFF2CC"/>
            <w:vAlign w:val="center"/>
            <w:hideMark/>
          </w:tcPr>
          <w:p w14:paraId="74FA247A"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51</w:t>
            </w:r>
          </w:p>
        </w:tc>
        <w:tc>
          <w:tcPr>
            <w:tcW w:w="331" w:type="dxa"/>
            <w:tcBorders>
              <w:top w:val="nil"/>
              <w:left w:val="nil"/>
              <w:bottom w:val="single" w:sz="8" w:space="0" w:color="auto"/>
              <w:right w:val="single" w:sz="8" w:space="0" w:color="auto"/>
            </w:tcBorders>
            <w:shd w:val="clear" w:color="000000" w:fill="D9E2F3"/>
            <w:vAlign w:val="center"/>
            <w:hideMark/>
          </w:tcPr>
          <w:p w14:paraId="3B565D92"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22</w:t>
            </w:r>
          </w:p>
        </w:tc>
        <w:tc>
          <w:tcPr>
            <w:tcW w:w="331" w:type="dxa"/>
            <w:tcBorders>
              <w:top w:val="single" w:sz="8" w:space="0" w:color="auto"/>
              <w:left w:val="nil"/>
              <w:bottom w:val="single" w:sz="8" w:space="0" w:color="auto"/>
              <w:right w:val="single" w:sz="8" w:space="0" w:color="000000"/>
            </w:tcBorders>
            <w:shd w:val="clear" w:color="000000" w:fill="C5E0B3"/>
            <w:vAlign w:val="center"/>
            <w:hideMark/>
          </w:tcPr>
          <w:p w14:paraId="7B50909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86</w:t>
            </w:r>
          </w:p>
        </w:tc>
        <w:tc>
          <w:tcPr>
            <w:tcW w:w="331" w:type="dxa"/>
            <w:tcBorders>
              <w:top w:val="nil"/>
              <w:left w:val="nil"/>
              <w:bottom w:val="single" w:sz="8" w:space="0" w:color="auto"/>
              <w:right w:val="single" w:sz="8" w:space="0" w:color="auto"/>
            </w:tcBorders>
            <w:shd w:val="clear" w:color="000000" w:fill="EDEDED"/>
            <w:vAlign w:val="center"/>
            <w:hideMark/>
          </w:tcPr>
          <w:p w14:paraId="5CC8CA6C"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73</w:t>
            </w:r>
          </w:p>
        </w:tc>
        <w:tc>
          <w:tcPr>
            <w:tcW w:w="331" w:type="dxa"/>
            <w:tcBorders>
              <w:top w:val="nil"/>
              <w:left w:val="nil"/>
              <w:bottom w:val="single" w:sz="8" w:space="0" w:color="auto"/>
              <w:right w:val="single" w:sz="8" w:space="0" w:color="auto"/>
            </w:tcBorders>
            <w:shd w:val="clear" w:color="000000" w:fill="FFF2CC"/>
            <w:vAlign w:val="center"/>
            <w:hideMark/>
          </w:tcPr>
          <w:p w14:paraId="1E0A86F3"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44</w:t>
            </w:r>
          </w:p>
        </w:tc>
        <w:tc>
          <w:tcPr>
            <w:tcW w:w="331" w:type="dxa"/>
            <w:tcBorders>
              <w:top w:val="nil"/>
              <w:left w:val="nil"/>
              <w:bottom w:val="single" w:sz="8" w:space="0" w:color="auto"/>
              <w:right w:val="single" w:sz="8" w:space="0" w:color="auto"/>
            </w:tcBorders>
            <w:shd w:val="clear" w:color="000000" w:fill="D9E2F3"/>
            <w:vAlign w:val="center"/>
            <w:hideMark/>
          </w:tcPr>
          <w:p w14:paraId="14E7D978"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22</w:t>
            </w:r>
          </w:p>
        </w:tc>
        <w:tc>
          <w:tcPr>
            <w:tcW w:w="384" w:type="dxa"/>
            <w:tcBorders>
              <w:top w:val="single" w:sz="8" w:space="0" w:color="auto"/>
              <w:left w:val="nil"/>
              <w:bottom w:val="single" w:sz="8" w:space="0" w:color="auto"/>
              <w:right w:val="single" w:sz="8" w:space="0" w:color="000000"/>
            </w:tcBorders>
            <w:shd w:val="clear" w:color="000000" w:fill="C5E0B3"/>
            <w:vAlign w:val="center"/>
            <w:hideMark/>
          </w:tcPr>
          <w:p w14:paraId="1D8E851F"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105</w:t>
            </w:r>
          </w:p>
        </w:tc>
        <w:tc>
          <w:tcPr>
            <w:tcW w:w="331" w:type="dxa"/>
            <w:tcBorders>
              <w:top w:val="nil"/>
              <w:left w:val="nil"/>
              <w:bottom w:val="single" w:sz="8" w:space="0" w:color="auto"/>
              <w:right w:val="single" w:sz="8" w:space="0" w:color="auto"/>
            </w:tcBorders>
            <w:shd w:val="clear" w:color="000000" w:fill="EDEDED"/>
            <w:vAlign w:val="center"/>
            <w:hideMark/>
          </w:tcPr>
          <w:p w14:paraId="7F95B666"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73</w:t>
            </w:r>
          </w:p>
        </w:tc>
        <w:tc>
          <w:tcPr>
            <w:tcW w:w="331" w:type="dxa"/>
            <w:tcBorders>
              <w:top w:val="nil"/>
              <w:left w:val="nil"/>
              <w:bottom w:val="single" w:sz="8" w:space="0" w:color="auto"/>
              <w:right w:val="single" w:sz="8" w:space="0" w:color="auto"/>
            </w:tcBorders>
            <w:shd w:val="clear" w:color="000000" w:fill="FFF2CC"/>
            <w:vAlign w:val="center"/>
            <w:hideMark/>
          </w:tcPr>
          <w:p w14:paraId="2D83537A"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52</w:t>
            </w:r>
          </w:p>
        </w:tc>
        <w:tc>
          <w:tcPr>
            <w:tcW w:w="331" w:type="dxa"/>
            <w:tcBorders>
              <w:top w:val="nil"/>
              <w:left w:val="nil"/>
              <w:bottom w:val="single" w:sz="8" w:space="0" w:color="auto"/>
              <w:right w:val="single" w:sz="8" w:space="0" w:color="auto"/>
            </w:tcBorders>
            <w:shd w:val="clear" w:color="000000" w:fill="D9E2F3"/>
            <w:vAlign w:val="center"/>
            <w:hideMark/>
          </w:tcPr>
          <w:p w14:paraId="222642D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23</w:t>
            </w:r>
          </w:p>
        </w:tc>
        <w:tc>
          <w:tcPr>
            <w:tcW w:w="384" w:type="dxa"/>
            <w:tcBorders>
              <w:top w:val="single" w:sz="8" w:space="0" w:color="auto"/>
              <w:left w:val="nil"/>
              <w:bottom w:val="single" w:sz="8" w:space="0" w:color="auto"/>
              <w:right w:val="single" w:sz="8" w:space="0" w:color="000000"/>
            </w:tcBorders>
            <w:shd w:val="clear" w:color="000000" w:fill="C5E0B3"/>
            <w:vAlign w:val="center"/>
            <w:hideMark/>
          </w:tcPr>
          <w:p w14:paraId="30E0066E"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103</w:t>
            </w:r>
          </w:p>
        </w:tc>
        <w:tc>
          <w:tcPr>
            <w:tcW w:w="331" w:type="dxa"/>
            <w:tcBorders>
              <w:top w:val="nil"/>
              <w:left w:val="nil"/>
              <w:bottom w:val="single" w:sz="8" w:space="0" w:color="auto"/>
              <w:right w:val="single" w:sz="8" w:space="0" w:color="auto"/>
            </w:tcBorders>
            <w:shd w:val="clear" w:color="000000" w:fill="E7E6E6"/>
            <w:vAlign w:val="center"/>
            <w:hideMark/>
          </w:tcPr>
          <w:p w14:paraId="1D638441"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95</w:t>
            </w:r>
          </w:p>
        </w:tc>
        <w:tc>
          <w:tcPr>
            <w:tcW w:w="331" w:type="dxa"/>
            <w:tcBorders>
              <w:top w:val="nil"/>
              <w:left w:val="nil"/>
              <w:bottom w:val="single" w:sz="8" w:space="0" w:color="auto"/>
              <w:right w:val="single" w:sz="8" w:space="0" w:color="auto"/>
            </w:tcBorders>
            <w:shd w:val="clear" w:color="000000" w:fill="FFF2CC"/>
            <w:vAlign w:val="center"/>
            <w:hideMark/>
          </w:tcPr>
          <w:p w14:paraId="0DD5605F"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27</w:t>
            </w:r>
          </w:p>
        </w:tc>
        <w:tc>
          <w:tcPr>
            <w:tcW w:w="331" w:type="dxa"/>
            <w:tcBorders>
              <w:top w:val="nil"/>
              <w:left w:val="nil"/>
              <w:bottom w:val="single" w:sz="8" w:space="0" w:color="auto"/>
              <w:right w:val="single" w:sz="8" w:space="0" w:color="auto"/>
            </w:tcBorders>
            <w:shd w:val="clear" w:color="000000" w:fill="D9E2F3"/>
            <w:vAlign w:val="center"/>
            <w:hideMark/>
          </w:tcPr>
          <w:p w14:paraId="4DDEDD2D"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9</w:t>
            </w:r>
          </w:p>
        </w:tc>
        <w:tc>
          <w:tcPr>
            <w:tcW w:w="384" w:type="dxa"/>
            <w:tcBorders>
              <w:top w:val="nil"/>
              <w:left w:val="nil"/>
              <w:bottom w:val="single" w:sz="8" w:space="0" w:color="auto"/>
              <w:right w:val="single" w:sz="8" w:space="0" w:color="auto"/>
            </w:tcBorders>
            <w:shd w:val="clear" w:color="000000" w:fill="C5E0B3"/>
            <w:vAlign w:val="center"/>
            <w:hideMark/>
          </w:tcPr>
          <w:p w14:paraId="79D7D7D1"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106</w:t>
            </w:r>
          </w:p>
        </w:tc>
        <w:tc>
          <w:tcPr>
            <w:tcW w:w="331" w:type="dxa"/>
            <w:tcBorders>
              <w:top w:val="nil"/>
              <w:left w:val="nil"/>
              <w:bottom w:val="single" w:sz="8" w:space="0" w:color="auto"/>
              <w:right w:val="single" w:sz="8" w:space="0" w:color="auto"/>
            </w:tcBorders>
            <w:shd w:val="clear" w:color="000000" w:fill="E7E6E6"/>
            <w:vAlign w:val="center"/>
            <w:hideMark/>
          </w:tcPr>
          <w:p w14:paraId="687F7046"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62</w:t>
            </w:r>
          </w:p>
        </w:tc>
        <w:tc>
          <w:tcPr>
            <w:tcW w:w="331" w:type="dxa"/>
            <w:tcBorders>
              <w:top w:val="nil"/>
              <w:left w:val="nil"/>
              <w:bottom w:val="single" w:sz="8" w:space="0" w:color="auto"/>
              <w:right w:val="single" w:sz="8" w:space="0" w:color="auto"/>
            </w:tcBorders>
            <w:shd w:val="clear" w:color="000000" w:fill="FFF2CC"/>
            <w:vAlign w:val="center"/>
            <w:hideMark/>
          </w:tcPr>
          <w:p w14:paraId="7C03174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31</w:t>
            </w:r>
          </w:p>
        </w:tc>
        <w:tc>
          <w:tcPr>
            <w:tcW w:w="331" w:type="dxa"/>
            <w:tcBorders>
              <w:top w:val="nil"/>
              <w:left w:val="nil"/>
              <w:bottom w:val="single" w:sz="8" w:space="0" w:color="auto"/>
              <w:right w:val="single" w:sz="8" w:space="0" w:color="auto"/>
            </w:tcBorders>
            <w:shd w:val="clear" w:color="000000" w:fill="D9E2F3"/>
            <w:vAlign w:val="center"/>
            <w:hideMark/>
          </w:tcPr>
          <w:p w14:paraId="1DA1D811"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27</w:t>
            </w:r>
          </w:p>
        </w:tc>
      </w:tr>
      <w:tr w:rsidR="00F44FFC" w:rsidRPr="000A64F1" w14:paraId="797AD13E" w14:textId="77777777" w:rsidTr="00F44FFC">
        <w:trPr>
          <w:trHeight w:val="320"/>
        </w:trPr>
        <w:tc>
          <w:tcPr>
            <w:tcW w:w="938" w:type="dxa"/>
            <w:tcBorders>
              <w:top w:val="nil"/>
              <w:left w:val="single" w:sz="8" w:space="0" w:color="auto"/>
              <w:bottom w:val="single" w:sz="8" w:space="0" w:color="auto"/>
              <w:right w:val="single" w:sz="8" w:space="0" w:color="auto"/>
            </w:tcBorders>
            <w:shd w:val="clear" w:color="000000" w:fill="D9D9D9"/>
            <w:vAlign w:val="center"/>
            <w:hideMark/>
          </w:tcPr>
          <w:p w14:paraId="1B945358" w14:textId="77777777" w:rsidR="00F44FFC" w:rsidRPr="000A64F1" w:rsidRDefault="00F44FFC" w:rsidP="00F44FFC">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FAD</w:t>
            </w:r>
          </w:p>
        </w:tc>
        <w:tc>
          <w:tcPr>
            <w:tcW w:w="331" w:type="dxa"/>
            <w:tcBorders>
              <w:top w:val="nil"/>
              <w:left w:val="nil"/>
              <w:bottom w:val="single" w:sz="8" w:space="0" w:color="auto"/>
              <w:right w:val="single" w:sz="8" w:space="0" w:color="auto"/>
            </w:tcBorders>
            <w:shd w:val="clear" w:color="000000" w:fill="C5E0B3"/>
            <w:vAlign w:val="center"/>
            <w:hideMark/>
          </w:tcPr>
          <w:p w14:paraId="244E09FF"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EDEDED"/>
            <w:vAlign w:val="center"/>
            <w:hideMark/>
          </w:tcPr>
          <w:p w14:paraId="60E249DC"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FFF2CC"/>
            <w:vAlign w:val="center"/>
            <w:hideMark/>
          </w:tcPr>
          <w:p w14:paraId="64386F09"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D9E2F3"/>
            <w:vAlign w:val="center"/>
            <w:hideMark/>
          </w:tcPr>
          <w:p w14:paraId="64089E9C"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C5E0B3"/>
            <w:vAlign w:val="center"/>
            <w:hideMark/>
          </w:tcPr>
          <w:p w14:paraId="39B9A78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EDEDED"/>
            <w:vAlign w:val="center"/>
            <w:hideMark/>
          </w:tcPr>
          <w:p w14:paraId="225DC71B"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w:t>
            </w:r>
          </w:p>
        </w:tc>
        <w:tc>
          <w:tcPr>
            <w:tcW w:w="331" w:type="dxa"/>
            <w:tcBorders>
              <w:top w:val="nil"/>
              <w:left w:val="nil"/>
              <w:bottom w:val="single" w:sz="8" w:space="0" w:color="auto"/>
              <w:right w:val="single" w:sz="8" w:space="0" w:color="auto"/>
            </w:tcBorders>
            <w:shd w:val="clear" w:color="000000" w:fill="FFF2CC"/>
            <w:vAlign w:val="center"/>
            <w:hideMark/>
          </w:tcPr>
          <w:p w14:paraId="02AC2C75"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w:t>
            </w:r>
          </w:p>
        </w:tc>
        <w:tc>
          <w:tcPr>
            <w:tcW w:w="331" w:type="dxa"/>
            <w:tcBorders>
              <w:top w:val="nil"/>
              <w:left w:val="nil"/>
              <w:bottom w:val="single" w:sz="8" w:space="0" w:color="auto"/>
              <w:right w:val="single" w:sz="8" w:space="0" w:color="auto"/>
            </w:tcBorders>
            <w:shd w:val="clear" w:color="000000" w:fill="D9E2F3"/>
            <w:vAlign w:val="center"/>
            <w:hideMark/>
          </w:tcPr>
          <w:p w14:paraId="22322939"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C5E0B3"/>
            <w:vAlign w:val="center"/>
            <w:hideMark/>
          </w:tcPr>
          <w:p w14:paraId="79642355"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EDEDED"/>
            <w:vAlign w:val="center"/>
            <w:hideMark/>
          </w:tcPr>
          <w:p w14:paraId="11AC6A7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FFF2CC"/>
            <w:vAlign w:val="center"/>
            <w:hideMark/>
          </w:tcPr>
          <w:p w14:paraId="1E7E2BEF"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D9E2F3"/>
            <w:vAlign w:val="center"/>
            <w:hideMark/>
          </w:tcPr>
          <w:p w14:paraId="6968203A"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w:t>
            </w:r>
          </w:p>
        </w:tc>
        <w:tc>
          <w:tcPr>
            <w:tcW w:w="331" w:type="dxa"/>
            <w:tcBorders>
              <w:top w:val="single" w:sz="8" w:space="0" w:color="auto"/>
              <w:left w:val="nil"/>
              <w:bottom w:val="single" w:sz="8" w:space="0" w:color="auto"/>
              <w:right w:val="single" w:sz="8" w:space="0" w:color="000000"/>
            </w:tcBorders>
            <w:shd w:val="clear" w:color="000000" w:fill="C5E0B3"/>
            <w:vAlign w:val="center"/>
            <w:hideMark/>
          </w:tcPr>
          <w:p w14:paraId="5AA937F2"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w:t>
            </w:r>
          </w:p>
        </w:tc>
        <w:tc>
          <w:tcPr>
            <w:tcW w:w="331" w:type="dxa"/>
            <w:tcBorders>
              <w:top w:val="nil"/>
              <w:left w:val="nil"/>
              <w:bottom w:val="single" w:sz="8" w:space="0" w:color="auto"/>
              <w:right w:val="single" w:sz="8" w:space="0" w:color="auto"/>
            </w:tcBorders>
            <w:shd w:val="clear" w:color="000000" w:fill="EDEDED"/>
            <w:vAlign w:val="center"/>
            <w:hideMark/>
          </w:tcPr>
          <w:p w14:paraId="28D427D1"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FFF2CC"/>
            <w:vAlign w:val="center"/>
            <w:hideMark/>
          </w:tcPr>
          <w:p w14:paraId="6E083BCA"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D9E2F3"/>
            <w:vAlign w:val="center"/>
            <w:hideMark/>
          </w:tcPr>
          <w:p w14:paraId="4CEA9D6F"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84" w:type="dxa"/>
            <w:tcBorders>
              <w:top w:val="single" w:sz="8" w:space="0" w:color="auto"/>
              <w:left w:val="nil"/>
              <w:bottom w:val="single" w:sz="8" w:space="0" w:color="auto"/>
              <w:right w:val="single" w:sz="8" w:space="0" w:color="000000"/>
            </w:tcBorders>
            <w:shd w:val="clear" w:color="000000" w:fill="C5E0B3"/>
            <w:vAlign w:val="center"/>
            <w:hideMark/>
          </w:tcPr>
          <w:p w14:paraId="5FA67846"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w:t>
            </w:r>
          </w:p>
        </w:tc>
        <w:tc>
          <w:tcPr>
            <w:tcW w:w="331" w:type="dxa"/>
            <w:tcBorders>
              <w:top w:val="nil"/>
              <w:left w:val="nil"/>
              <w:bottom w:val="single" w:sz="8" w:space="0" w:color="auto"/>
              <w:right w:val="single" w:sz="8" w:space="0" w:color="auto"/>
            </w:tcBorders>
            <w:shd w:val="clear" w:color="000000" w:fill="EDEDED"/>
            <w:vAlign w:val="center"/>
            <w:hideMark/>
          </w:tcPr>
          <w:p w14:paraId="1061042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FFF2CC"/>
            <w:vAlign w:val="center"/>
            <w:hideMark/>
          </w:tcPr>
          <w:p w14:paraId="74E9F7A7"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D9E2F3"/>
            <w:vAlign w:val="center"/>
            <w:hideMark/>
          </w:tcPr>
          <w:p w14:paraId="4ECEC28B"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84" w:type="dxa"/>
            <w:tcBorders>
              <w:top w:val="single" w:sz="8" w:space="0" w:color="auto"/>
              <w:left w:val="nil"/>
              <w:bottom w:val="single" w:sz="8" w:space="0" w:color="auto"/>
              <w:right w:val="single" w:sz="8" w:space="0" w:color="000000"/>
            </w:tcBorders>
            <w:shd w:val="clear" w:color="000000" w:fill="C5E0B3"/>
            <w:vAlign w:val="center"/>
            <w:hideMark/>
          </w:tcPr>
          <w:p w14:paraId="6D0A3884"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1</w:t>
            </w:r>
          </w:p>
        </w:tc>
        <w:tc>
          <w:tcPr>
            <w:tcW w:w="331" w:type="dxa"/>
            <w:tcBorders>
              <w:top w:val="nil"/>
              <w:left w:val="nil"/>
              <w:bottom w:val="single" w:sz="8" w:space="0" w:color="auto"/>
              <w:right w:val="single" w:sz="8" w:space="0" w:color="auto"/>
            </w:tcBorders>
            <w:shd w:val="clear" w:color="000000" w:fill="E7E6E6"/>
            <w:vAlign w:val="center"/>
            <w:hideMark/>
          </w:tcPr>
          <w:p w14:paraId="3C2720FB"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2</w:t>
            </w:r>
          </w:p>
        </w:tc>
        <w:tc>
          <w:tcPr>
            <w:tcW w:w="331" w:type="dxa"/>
            <w:tcBorders>
              <w:top w:val="nil"/>
              <w:left w:val="nil"/>
              <w:bottom w:val="single" w:sz="8" w:space="0" w:color="auto"/>
              <w:right w:val="single" w:sz="8" w:space="0" w:color="auto"/>
            </w:tcBorders>
            <w:shd w:val="clear" w:color="000000" w:fill="FFF2CC"/>
            <w:vAlign w:val="center"/>
            <w:hideMark/>
          </w:tcPr>
          <w:p w14:paraId="44290EEE"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D9E2F3"/>
            <w:vAlign w:val="center"/>
            <w:hideMark/>
          </w:tcPr>
          <w:p w14:paraId="762EA0D1"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0</w:t>
            </w:r>
          </w:p>
        </w:tc>
        <w:tc>
          <w:tcPr>
            <w:tcW w:w="384" w:type="dxa"/>
            <w:tcBorders>
              <w:top w:val="nil"/>
              <w:left w:val="nil"/>
              <w:bottom w:val="single" w:sz="8" w:space="0" w:color="auto"/>
              <w:right w:val="single" w:sz="8" w:space="0" w:color="auto"/>
            </w:tcBorders>
            <w:shd w:val="clear" w:color="000000" w:fill="C5E0B3"/>
            <w:vAlign w:val="center"/>
            <w:hideMark/>
          </w:tcPr>
          <w:p w14:paraId="75DC6264"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E7E6E6"/>
            <w:vAlign w:val="center"/>
            <w:hideMark/>
          </w:tcPr>
          <w:p w14:paraId="22B788E5"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w:t>
            </w:r>
          </w:p>
        </w:tc>
        <w:tc>
          <w:tcPr>
            <w:tcW w:w="331" w:type="dxa"/>
            <w:tcBorders>
              <w:top w:val="nil"/>
              <w:left w:val="nil"/>
              <w:bottom w:val="single" w:sz="8" w:space="0" w:color="auto"/>
              <w:right w:val="single" w:sz="8" w:space="0" w:color="auto"/>
            </w:tcBorders>
            <w:shd w:val="clear" w:color="000000" w:fill="FFF2CC"/>
            <w:vAlign w:val="center"/>
            <w:hideMark/>
          </w:tcPr>
          <w:p w14:paraId="760B88B0"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D9E2F3"/>
            <w:vAlign w:val="center"/>
            <w:hideMark/>
          </w:tcPr>
          <w:p w14:paraId="3387BD6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r>
      <w:tr w:rsidR="00F44FFC" w:rsidRPr="000A64F1" w14:paraId="2B718E8A" w14:textId="77777777" w:rsidTr="00F44FFC">
        <w:trPr>
          <w:trHeight w:val="320"/>
        </w:trPr>
        <w:tc>
          <w:tcPr>
            <w:tcW w:w="938" w:type="dxa"/>
            <w:tcBorders>
              <w:top w:val="nil"/>
              <w:left w:val="single" w:sz="8" w:space="0" w:color="auto"/>
              <w:bottom w:val="single" w:sz="8" w:space="0" w:color="auto"/>
              <w:right w:val="single" w:sz="8" w:space="0" w:color="auto"/>
            </w:tcBorders>
            <w:shd w:val="clear" w:color="000000" w:fill="D9D9D9"/>
            <w:vAlign w:val="center"/>
            <w:hideMark/>
          </w:tcPr>
          <w:p w14:paraId="77BA1EC6" w14:textId="77777777" w:rsidR="00F44FFC" w:rsidRPr="000A64F1" w:rsidRDefault="00F44FFC" w:rsidP="00F44FFC">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MTF</w:t>
            </w:r>
          </w:p>
        </w:tc>
        <w:tc>
          <w:tcPr>
            <w:tcW w:w="331" w:type="dxa"/>
            <w:tcBorders>
              <w:top w:val="nil"/>
              <w:left w:val="nil"/>
              <w:bottom w:val="single" w:sz="8" w:space="0" w:color="auto"/>
              <w:right w:val="single" w:sz="8" w:space="0" w:color="auto"/>
            </w:tcBorders>
            <w:shd w:val="clear" w:color="000000" w:fill="C5E0B3"/>
            <w:vAlign w:val="center"/>
            <w:hideMark/>
          </w:tcPr>
          <w:p w14:paraId="3A3B7775"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12</w:t>
            </w:r>
          </w:p>
        </w:tc>
        <w:tc>
          <w:tcPr>
            <w:tcW w:w="331" w:type="dxa"/>
            <w:tcBorders>
              <w:top w:val="nil"/>
              <w:left w:val="nil"/>
              <w:bottom w:val="single" w:sz="8" w:space="0" w:color="auto"/>
              <w:right w:val="single" w:sz="8" w:space="0" w:color="auto"/>
            </w:tcBorders>
            <w:shd w:val="clear" w:color="000000" w:fill="EDEDED"/>
            <w:vAlign w:val="center"/>
            <w:hideMark/>
          </w:tcPr>
          <w:p w14:paraId="1662A224"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11</w:t>
            </w:r>
          </w:p>
        </w:tc>
        <w:tc>
          <w:tcPr>
            <w:tcW w:w="331" w:type="dxa"/>
            <w:tcBorders>
              <w:top w:val="nil"/>
              <w:left w:val="nil"/>
              <w:bottom w:val="single" w:sz="8" w:space="0" w:color="auto"/>
              <w:right w:val="single" w:sz="8" w:space="0" w:color="auto"/>
            </w:tcBorders>
            <w:shd w:val="clear" w:color="000000" w:fill="FFF2CC"/>
            <w:vAlign w:val="center"/>
            <w:hideMark/>
          </w:tcPr>
          <w:p w14:paraId="60F3025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15</w:t>
            </w:r>
          </w:p>
        </w:tc>
        <w:tc>
          <w:tcPr>
            <w:tcW w:w="331" w:type="dxa"/>
            <w:tcBorders>
              <w:top w:val="nil"/>
              <w:left w:val="nil"/>
              <w:bottom w:val="single" w:sz="8" w:space="0" w:color="auto"/>
              <w:right w:val="single" w:sz="8" w:space="0" w:color="auto"/>
            </w:tcBorders>
            <w:shd w:val="clear" w:color="000000" w:fill="D9E2F3"/>
            <w:vAlign w:val="center"/>
            <w:hideMark/>
          </w:tcPr>
          <w:p w14:paraId="65AE87F8"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8</w:t>
            </w:r>
          </w:p>
        </w:tc>
        <w:tc>
          <w:tcPr>
            <w:tcW w:w="331" w:type="dxa"/>
            <w:tcBorders>
              <w:top w:val="nil"/>
              <w:left w:val="nil"/>
              <w:bottom w:val="single" w:sz="8" w:space="0" w:color="auto"/>
              <w:right w:val="single" w:sz="8" w:space="0" w:color="auto"/>
            </w:tcBorders>
            <w:shd w:val="clear" w:color="000000" w:fill="C5E0B3"/>
            <w:vAlign w:val="center"/>
            <w:hideMark/>
          </w:tcPr>
          <w:p w14:paraId="73A31B4B"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14</w:t>
            </w:r>
          </w:p>
        </w:tc>
        <w:tc>
          <w:tcPr>
            <w:tcW w:w="331" w:type="dxa"/>
            <w:tcBorders>
              <w:top w:val="nil"/>
              <w:left w:val="nil"/>
              <w:bottom w:val="single" w:sz="8" w:space="0" w:color="auto"/>
              <w:right w:val="single" w:sz="8" w:space="0" w:color="auto"/>
            </w:tcBorders>
            <w:shd w:val="clear" w:color="000000" w:fill="EDEDED"/>
            <w:vAlign w:val="center"/>
            <w:hideMark/>
          </w:tcPr>
          <w:p w14:paraId="535B0328"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11</w:t>
            </w:r>
          </w:p>
        </w:tc>
        <w:tc>
          <w:tcPr>
            <w:tcW w:w="331" w:type="dxa"/>
            <w:tcBorders>
              <w:top w:val="nil"/>
              <w:left w:val="nil"/>
              <w:bottom w:val="single" w:sz="8" w:space="0" w:color="auto"/>
              <w:right w:val="single" w:sz="8" w:space="0" w:color="auto"/>
            </w:tcBorders>
            <w:shd w:val="clear" w:color="000000" w:fill="FFF2CC"/>
            <w:vAlign w:val="center"/>
            <w:hideMark/>
          </w:tcPr>
          <w:p w14:paraId="6594F98F"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17</w:t>
            </w:r>
          </w:p>
        </w:tc>
        <w:tc>
          <w:tcPr>
            <w:tcW w:w="331" w:type="dxa"/>
            <w:tcBorders>
              <w:top w:val="nil"/>
              <w:left w:val="nil"/>
              <w:bottom w:val="single" w:sz="8" w:space="0" w:color="auto"/>
              <w:right w:val="single" w:sz="8" w:space="0" w:color="auto"/>
            </w:tcBorders>
            <w:shd w:val="clear" w:color="000000" w:fill="D9E2F3"/>
            <w:vAlign w:val="center"/>
            <w:hideMark/>
          </w:tcPr>
          <w:p w14:paraId="1F36CF99"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14</w:t>
            </w:r>
          </w:p>
        </w:tc>
        <w:tc>
          <w:tcPr>
            <w:tcW w:w="331" w:type="dxa"/>
            <w:tcBorders>
              <w:top w:val="nil"/>
              <w:left w:val="nil"/>
              <w:bottom w:val="single" w:sz="8" w:space="0" w:color="auto"/>
              <w:right w:val="single" w:sz="8" w:space="0" w:color="auto"/>
            </w:tcBorders>
            <w:shd w:val="clear" w:color="000000" w:fill="C5E0B3"/>
            <w:vAlign w:val="center"/>
            <w:hideMark/>
          </w:tcPr>
          <w:p w14:paraId="14C6E299"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14</w:t>
            </w:r>
          </w:p>
        </w:tc>
        <w:tc>
          <w:tcPr>
            <w:tcW w:w="331" w:type="dxa"/>
            <w:tcBorders>
              <w:top w:val="nil"/>
              <w:left w:val="nil"/>
              <w:bottom w:val="single" w:sz="8" w:space="0" w:color="auto"/>
              <w:right w:val="single" w:sz="8" w:space="0" w:color="auto"/>
            </w:tcBorders>
            <w:shd w:val="clear" w:color="000000" w:fill="EDEDED"/>
            <w:vAlign w:val="center"/>
            <w:hideMark/>
          </w:tcPr>
          <w:p w14:paraId="2CEFBC09"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8</w:t>
            </w:r>
          </w:p>
        </w:tc>
        <w:tc>
          <w:tcPr>
            <w:tcW w:w="331" w:type="dxa"/>
            <w:tcBorders>
              <w:top w:val="nil"/>
              <w:left w:val="nil"/>
              <w:bottom w:val="single" w:sz="8" w:space="0" w:color="auto"/>
              <w:right w:val="single" w:sz="8" w:space="0" w:color="auto"/>
            </w:tcBorders>
            <w:shd w:val="clear" w:color="000000" w:fill="FFF2CC"/>
            <w:vAlign w:val="center"/>
            <w:hideMark/>
          </w:tcPr>
          <w:p w14:paraId="040D5E72"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23</w:t>
            </w:r>
          </w:p>
        </w:tc>
        <w:tc>
          <w:tcPr>
            <w:tcW w:w="331" w:type="dxa"/>
            <w:tcBorders>
              <w:top w:val="nil"/>
              <w:left w:val="nil"/>
              <w:bottom w:val="single" w:sz="8" w:space="0" w:color="auto"/>
              <w:right w:val="single" w:sz="8" w:space="0" w:color="auto"/>
            </w:tcBorders>
            <w:shd w:val="clear" w:color="000000" w:fill="D9E2F3"/>
            <w:vAlign w:val="center"/>
            <w:hideMark/>
          </w:tcPr>
          <w:p w14:paraId="0FECDF3C"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13</w:t>
            </w:r>
          </w:p>
        </w:tc>
        <w:tc>
          <w:tcPr>
            <w:tcW w:w="331" w:type="dxa"/>
            <w:tcBorders>
              <w:top w:val="single" w:sz="8" w:space="0" w:color="auto"/>
              <w:left w:val="nil"/>
              <w:bottom w:val="single" w:sz="8" w:space="0" w:color="auto"/>
              <w:right w:val="single" w:sz="8" w:space="0" w:color="000000"/>
            </w:tcBorders>
            <w:shd w:val="clear" w:color="000000" w:fill="C5E0B3"/>
            <w:vAlign w:val="center"/>
            <w:hideMark/>
          </w:tcPr>
          <w:p w14:paraId="0D3CAD88"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20</w:t>
            </w:r>
          </w:p>
        </w:tc>
        <w:tc>
          <w:tcPr>
            <w:tcW w:w="331" w:type="dxa"/>
            <w:tcBorders>
              <w:top w:val="nil"/>
              <w:left w:val="nil"/>
              <w:bottom w:val="single" w:sz="8" w:space="0" w:color="auto"/>
              <w:right w:val="single" w:sz="8" w:space="0" w:color="auto"/>
            </w:tcBorders>
            <w:shd w:val="clear" w:color="000000" w:fill="EDEDED"/>
            <w:vAlign w:val="center"/>
            <w:hideMark/>
          </w:tcPr>
          <w:p w14:paraId="6BD9FEB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32</w:t>
            </w:r>
          </w:p>
        </w:tc>
        <w:tc>
          <w:tcPr>
            <w:tcW w:w="331" w:type="dxa"/>
            <w:tcBorders>
              <w:top w:val="nil"/>
              <w:left w:val="nil"/>
              <w:bottom w:val="single" w:sz="8" w:space="0" w:color="auto"/>
              <w:right w:val="single" w:sz="8" w:space="0" w:color="auto"/>
            </w:tcBorders>
            <w:shd w:val="clear" w:color="000000" w:fill="FFF2CC"/>
            <w:vAlign w:val="center"/>
            <w:hideMark/>
          </w:tcPr>
          <w:p w14:paraId="250E8BA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17</w:t>
            </w:r>
          </w:p>
        </w:tc>
        <w:tc>
          <w:tcPr>
            <w:tcW w:w="331" w:type="dxa"/>
            <w:tcBorders>
              <w:top w:val="nil"/>
              <w:left w:val="nil"/>
              <w:bottom w:val="single" w:sz="8" w:space="0" w:color="auto"/>
              <w:right w:val="single" w:sz="8" w:space="0" w:color="auto"/>
            </w:tcBorders>
            <w:shd w:val="clear" w:color="000000" w:fill="D9E2F3"/>
            <w:vAlign w:val="center"/>
            <w:hideMark/>
          </w:tcPr>
          <w:p w14:paraId="3A113ECB"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11</w:t>
            </w:r>
          </w:p>
        </w:tc>
        <w:tc>
          <w:tcPr>
            <w:tcW w:w="384" w:type="dxa"/>
            <w:tcBorders>
              <w:top w:val="single" w:sz="8" w:space="0" w:color="auto"/>
              <w:left w:val="nil"/>
              <w:bottom w:val="single" w:sz="8" w:space="0" w:color="auto"/>
              <w:right w:val="single" w:sz="8" w:space="0" w:color="000000"/>
            </w:tcBorders>
            <w:shd w:val="clear" w:color="000000" w:fill="C5E0B3"/>
            <w:vAlign w:val="center"/>
            <w:hideMark/>
          </w:tcPr>
          <w:p w14:paraId="42A2CE82"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27</w:t>
            </w:r>
          </w:p>
        </w:tc>
        <w:tc>
          <w:tcPr>
            <w:tcW w:w="331" w:type="dxa"/>
            <w:tcBorders>
              <w:top w:val="nil"/>
              <w:left w:val="nil"/>
              <w:bottom w:val="single" w:sz="8" w:space="0" w:color="auto"/>
              <w:right w:val="single" w:sz="8" w:space="0" w:color="auto"/>
            </w:tcBorders>
            <w:shd w:val="clear" w:color="000000" w:fill="EDEDED"/>
            <w:vAlign w:val="center"/>
            <w:hideMark/>
          </w:tcPr>
          <w:p w14:paraId="7AD9261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28</w:t>
            </w:r>
          </w:p>
        </w:tc>
        <w:tc>
          <w:tcPr>
            <w:tcW w:w="331" w:type="dxa"/>
            <w:tcBorders>
              <w:top w:val="nil"/>
              <w:left w:val="nil"/>
              <w:bottom w:val="single" w:sz="8" w:space="0" w:color="auto"/>
              <w:right w:val="single" w:sz="8" w:space="0" w:color="auto"/>
            </w:tcBorders>
            <w:shd w:val="clear" w:color="000000" w:fill="FFF2CC"/>
            <w:vAlign w:val="center"/>
            <w:hideMark/>
          </w:tcPr>
          <w:p w14:paraId="77984561"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14</w:t>
            </w:r>
          </w:p>
        </w:tc>
        <w:tc>
          <w:tcPr>
            <w:tcW w:w="331" w:type="dxa"/>
            <w:tcBorders>
              <w:top w:val="nil"/>
              <w:left w:val="nil"/>
              <w:bottom w:val="single" w:sz="8" w:space="0" w:color="auto"/>
              <w:right w:val="single" w:sz="8" w:space="0" w:color="auto"/>
            </w:tcBorders>
            <w:shd w:val="clear" w:color="000000" w:fill="D9E2F3"/>
            <w:vAlign w:val="center"/>
            <w:hideMark/>
          </w:tcPr>
          <w:p w14:paraId="27AA9D71"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12</w:t>
            </w:r>
          </w:p>
        </w:tc>
        <w:tc>
          <w:tcPr>
            <w:tcW w:w="384" w:type="dxa"/>
            <w:tcBorders>
              <w:top w:val="single" w:sz="8" w:space="0" w:color="auto"/>
              <w:left w:val="nil"/>
              <w:bottom w:val="single" w:sz="8" w:space="0" w:color="auto"/>
              <w:right w:val="single" w:sz="8" w:space="0" w:color="000000"/>
            </w:tcBorders>
            <w:shd w:val="clear" w:color="000000" w:fill="C5E0B3"/>
            <w:vAlign w:val="center"/>
            <w:hideMark/>
          </w:tcPr>
          <w:p w14:paraId="5766ADA0"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38</w:t>
            </w:r>
          </w:p>
        </w:tc>
        <w:tc>
          <w:tcPr>
            <w:tcW w:w="331" w:type="dxa"/>
            <w:tcBorders>
              <w:top w:val="nil"/>
              <w:left w:val="nil"/>
              <w:bottom w:val="single" w:sz="8" w:space="0" w:color="auto"/>
              <w:right w:val="single" w:sz="8" w:space="0" w:color="auto"/>
            </w:tcBorders>
            <w:shd w:val="clear" w:color="000000" w:fill="E7E6E6"/>
            <w:vAlign w:val="center"/>
            <w:hideMark/>
          </w:tcPr>
          <w:p w14:paraId="191FA819"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43</w:t>
            </w:r>
          </w:p>
        </w:tc>
        <w:tc>
          <w:tcPr>
            <w:tcW w:w="331" w:type="dxa"/>
            <w:tcBorders>
              <w:top w:val="nil"/>
              <w:left w:val="nil"/>
              <w:bottom w:val="single" w:sz="8" w:space="0" w:color="auto"/>
              <w:right w:val="single" w:sz="8" w:space="0" w:color="auto"/>
            </w:tcBorders>
            <w:shd w:val="clear" w:color="000000" w:fill="FFF2CC"/>
            <w:vAlign w:val="center"/>
            <w:hideMark/>
          </w:tcPr>
          <w:p w14:paraId="6E8079CE"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8</w:t>
            </w:r>
          </w:p>
        </w:tc>
        <w:tc>
          <w:tcPr>
            <w:tcW w:w="331" w:type="dxa"/>
            <w:tcBorders>
              <w:top w:val="nil"/>
              <w:left w:val="nil"/>
              <w:bottom w:val="single" w:sz="8" w:space="0" w:color="auto"/>
              <w:right w:val="single" w:sz="8" w:space="0" w:color="auto"/>
            </w:tcBorders>
            <w:shd w:val="clear" w:color="000000" w:fill="D9E2F3"/>
            <w:vAlign w:val="center"/>
            <w:hideMark/>
          </w:tcPr>
          <w:p w14:paraId="51CDD2EA"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9</w:t>
            </w:r>
          </w:p>
        </w:tc>
        <w:tc>
          <w:tcPr>
            <w:tcW w:w="384" w:type="dxa"/>
            <w:tcBorders>
              <w:top w:val="nil"/>
              <w:left w:val="nil"/>
              <w:bottom w:val="single" w:sz="8" w:space="0" w:color="auto"/>
              <w:right w:val="single" w:sz="8" w:space="0" w:color="auto"/>
            </w:tcBorders>
            <w:shd w:val="clear" w:color="000000" w:fill="C5E0B3"/>
            <w:vAlign w:val="center"/>
            <w:hideMark/>
          </w:tcPr>
          <w:p w14:paraId="6021373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35</w:t>
            </w:r>
          </w:p>
        </w:tc>
        <w:tc>
          <w:tcPr>
            <w:tcW w:w="331" w:type="dxa"/>
            <w:tcBorders>
              <w:top w:val="nil"/>
              <w:left w:val="nil"/>
              <w:bottom w:val="single" w:sz="8" w:space="0" w:color="auto"/>
              <w:right w:val="single" w:sz="8" w:space="0" w:color="auto"/>
            </w:tcBorders>
            <w:shd w:val="clear" w:color="000000" w:fill="E7E6E6"/>
            <w:vAlign w:val="center"/>
            <w:hideMark/>
          </w:tcPr>
          <w:p w14:paraId="7551365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32</w:t>
            </w:r>
          </w:p>
        </w:tc>
        <w:tc>
          <w:tcPr>
            <w:tcW w:w="331" w:type="dxa"/>
            <w:tcBorders>
              <w:top w:val="nil"/>
              <w:left w:val="nil"/>
              <w:bottom w:val="single" w:sz="8" w:space="0" w:color="auto"/>
              <w:right w:val="single" w:sz="8" w:space="0" w:color="auto"/>
            </w:tcBorders>
            <w:shd w:val="clear" w:color="000000" w:fill="FFF2CC"/>
            <w:vAlign w:val="center"/>
            <w:hideMark/>
          </w:tcPr>
          <w:p w14:paraId="479F7CC1"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10</w:t>
            </w:r>
          </w:p>
        </w:tc>
        <w:tc>
          <w:tcPr>
            <w:tcW w:w="331" w:type="dxa"/>
            <w:tcBorders>
              <w:top w:val="nil"/>
              <w:left w:val="nil"/>
              <w:bottom w:val="single" w:sz="8" w:space="0" w:color="auto"/>
              <w:right w:val="single" w:sz="8" w:space="0" w:color="auto"/>
            </w:tcBorders>
            <w:shd w:val="clear" w:color="000000" w:fill="D9E2F3"/>
            <w:vAlign w:val="center"/>
            <w:hideMark/>
          </w:tcPr>
          <w:p w14:paraId="4C81D267"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w:t>
            </w:r>
          </w:p>
        </w:tc>
      </w:tr>
      <w:tr w:rsidR="00F44FFC" w:rsidRPr="000A64F1" w14:paraId="2B71F6E7" w14:textId="77777777" w:rsidTr="00F44FFC">
        <w:trPr>
          <w:trHeight w:val="320"/>
        </w:trPr>
        <w:tc>
          <w:tcPr>
            <w:tcW w:w="938" w:type="dxa"/>
            <w:tcBorders>
              <w:top w:val="nil"/>
              <w:left w:val="single" w:sz="8" w:space="0" w:color="auto"/>
              <w:bottom w:val="single" w:sz="8" w:space="0" w:color="auto"/>
              <w:right w:val="single" w:sz="8" w:space="0" w:color="auto"/>
            </w:tcBorders>
            <w:shd w:val="clear" w:color="000000" w:fill="D9D9D9"/>
            <w:vAlign w:val="center"/>
            <w:hideMark/>
          </w:tcPr>
          <w:p w14:paraId="3E7604CC" w14:textId="77777777" w:rsidR="00F44FFC" w:rsidRPr="000A64F1" w:rsidRDefault="00F44FFC" w:rsidP="00F44FFC">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FIIT</w:t>
            </w:r>
          </w:p>
        </w:tc>
        <w:tc>
          <w:tcPr>
            <w:tcW w:w="331" w:type="dxa"/>
            <w:tcBorders>
              <w:top w:val="nil"/>
              <w:left w:val="nil"/>
              <w:bottom w:val="single" w:sz="8" w:space="0" w:color="auto"/>
              <w:right w:val="single" w:sz="8" w:space="0" w:color="auto"/>
            </w:tcBorders>
            <w:shd w:val="clear" w:color="000000" w:fill="C5E0B3"/>
            <w:vAlign w:val="center"/>
            <w:hideMark/>
          </w:tcPr>
          <w:p w14:paraId="50A2D695"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w:t>
            </w:r>
          </w:p>
        </w:tc>
        <w:tc>
          <w:tcPr>
            <w:tcW w:w="331" w:type="dxa"/>
            <w:tcBorders>
              <w:top w:val="nil"/>
              <w:left w:val="nil"/>
              <w:bottom w:val="single" w:sz="8" w:space="0" w:color="auto"/>
              <w:right w:val="single" w:sz="8" w:space="0" w:color="auto"/>
            </w:tcBorders>
            <w:shd w:val="clear" w:color="000000" w:fill="EDEDED"/>
            <w:vAlign w:val="center"/>
            <w:hideMark/>
          </w:tcPr>
          <w:p w14:paraId="120EEF1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w:t>
            </w:r>
          </w:p>
        </w:tc>
        <w:tc>
          <w:tcPr>
            <w:tcW w:w="331" w:type="dxa"/>
            <w:tcBorders>
              <w:top w:val="nil"/>
              <w:left w:val="nil"/>
              <w:bottom w:val="single" w:sz="8" w:space="0" w:color="auto"/>
              <w:right w:val="single" w:sz="8" w:space="0" w:color="auto"/>
            </w:tcBorders>
            <w:shd w:val="clear" w:color="000000" w:fill="FFF2CC"/>
            <w:vAlign w:val="center"/>
            <w:hideMark/>
          </w:tcPr>
          <w:p w14:paraId="61F81555"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w:t>
            </w:r>
          </w:p>
        </w:tc>
        <w:tc>
          <w:tcPr>
            <w:tcW w:w="331" w:type="dxa"/>
            <w:tcBorders>
              <w:top w:val="nil"/>
              <w:left w:val="nil"/>
              <w:bottom w:val="single" w:sz="8" w:space="0" w:color="auto"/>
              <w:right w:val="single" w:sz="8" w:space="0" w:color="auto"/>
            </w:tcBorders>
            <w:shd w:val="clear" w:color="000000" w:fill="D9E2F3"/>
            <w:vAlign w:val="center"/>
            <w:hideMark/>
          </w:tcPr>
          <w:p w14:paraId="05574A01"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w:t>
            </w:r>
          </w:p>
        </w:tc>
        <w:tc>
          <w:tcPr>
            <w:tcW w:w="331" w:type="dxa"/>
            <w:tcBorders>
              <w:top w:val="nil"/>
              <w:left w:val="nil"/>
              <w:bottom w:val="single" w:sz="8" w:space="0" w:color="auto"/>
              <w:right w:val="single" w:sz="8" w:space="0" w:color="auto"/>
            </w:tcBorders>
            <w:shd w:val="clear" w:color="000000" w:fill="C5E0B3"/>
            <w:vAlign w:val="center"/>
            <w:hideMark/>
          </w:tcPr>
          <w:p w14:paraId="00BEBFF7"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w:t>
            </w:r>
          </w:p>
        </w:tc>
        <w:tc>
          <w:tcPr>
            <w:tcW w:w="331" w:type="dxa"/>
            <w:tcBorders>
              <w:top w:val="nil"/>
              <w:left w:val="nil"/>
              <w:bottom w:val="single" w:sz="8" w:space="0" w:color="auto"/>
              <w:right w:val="single" w:sz="8" w:space="0" w:color="auto"/>
            </w:tcBorders>
            <w:shd w:val="clear" w:color="000000" w:fill="EDEDED"/>
            <w:vAlign w:val="center"/>
            <w:hideMark/>
          </w:tcPr>
          <w:p w14:paraId="30D711AA"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FFF2CC"/>
            <w:vAlign w:val="center"/>
            <w:hideMark/>
          </w:tcPr>
          <w:p w14:paraId="45CD83AC"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D9E2F3"/>
            <w:vAlign w:val="center"/>
            <w:hideMark/>
          </w:tcPr>
          <w:p w14:paraId="78412573"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7</w:t>
            </w:r>
          </w:p>
        </w:tc>
        <w:tc>
          <w:tcPr>
            <w:tcW w:w="331" w:type="dxa"/>
            <w:tcBorders>
              <w:top w:val="nil"/>
              <w:left w:val="nil"/>
              <w:bottom w:val="single" w:sz="8" w:space="0" w:color="auto"/>
              <w:right w:val="single" w:sz="8" w:space="0" w:color="auto"/>
            </w:tcBorders>
            <w:shd w:val="clear" w:color="000000" w:fill="C5E0B3"/>
            <w:vAlign w:val="center"/>
            <w:hideMark/>
          </w:tcPr>
          <w:p w14:paraId="7646ABB4"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EDEDED"/>
            <w:vAlign w:val="center"/>
            <w:hideMark/>
          </w:tcPr>
          <w:p w14:paraId="10360D35"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w:t>
            </w:r>
          </w:p>
        </w:tc>
        <w:tc>
          <w:tcPr>
            <w:tcW w:w="331" w:type="dxa"/>
            <w:tcBorders>
              <w:top w:val="nil"/>
              <w:left w:val="nil"/>
              <w:bottom w:val="single" w:sz="8" w:space="0" w:color="auto"/>
              <w:right w:val="single" w:sz="8" w:space="0" w:color="auto"/>
            </w:tcBorders>
            <w:shd w:val="clear" w:color="000000" w:fill="FFF2CC"/>
            <w:vAlign w:val="center"/>
            <w:hideMark/>
          </w:tcPr>
          <w:p w14:paraId="04A564A1"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6</w:t>
            </w:r>
          </w:p>
        </w:tc>
        <w:tc>
          <w:tcPr>
            <w:tcW w:w="331" w:type="dxa"/>
            <w:tcBorders>
              <w:top w:val="nil"/>
              <w:left w:val="nil"/>
              <w:bottom w:val="single" w:sz="8" w:space="0" w:color="auto"/>
              <w:right w:val="single" w:sz="8" w:space="0" w:color="auto"/>
            </w:tcBorders>
            <w:shd w:val="clear" w:color="000000" w:fill="D9E2F3"/>
            <w:vAlign w:val="center"/>
            <w:hideMark/>
          </w:tcPr>
          <w:p w14:paraId="581214B5"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w:t>
            </w:r>
          </w:p>
        </w:tc>
        <w:tc>
          <w:tcPr>
            <w:tcW w:w="331" w:type="dxa"/>
            <w:tcBorders>
              <w:top w:val="single" w:sz="8" w:space="0" w:color="auto"/>
              <w:left w:val="nil"/>
              <w:bottom w:val="single" w:sz="8" w:space="0" w:color="auto"/>
              <w:right w:val="single" w:sz="8" w:space="0" w:color="000000"/>
            </w:tcBorders>
            <w:shd w:val="clear" w:color="000000" w:fill="C5E0B3"/>
            <w:vAlign w:val="center"/>
            <w:hideMark/>
          </w:tcPr>
          <w:p w14:paraId="48B141A4"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8</w:t>
            </w:r>
          </w:p>
        </w:tc>
        <w:tc>
          <w:tcPr>
            <w:tcW w:w="331" w:type="dxa"/>
            <w:tcBorders>
              <w:top w:val="nil"/>
              <w:left w:val="nil"/>
              <w:bottom w:val="single" w:sz="8" w:space="0" w:color="auto"/>
              <w:right w:val="single" w:sz="8" w:space="0" w:color="auto"/>
            </w:tcBorders>
            <w:shd w:val="clear" w:color="000000" w:fill="EDEDED"/>
            <w:vAlign w:val="center"/>
            <w:hideMark/>
          </w:tcPr>
          <w:p w14:paraId="532FFAE8"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5</w:t>
            </w:r>
          </w:p>
        </w:tc>
        <w:tc>
          <w:tcPr>
            <w:tcW w:w="331" w:type="dxa"/>
            <w:tcBorders>
              <w:top w:val="nil"/>
              <w:left w:val="nil"/>
              <w:bottom w:val="single" w:sz="8" w:space="0" w:color="auto"/>
              <w:right w:val="single" w:sz="8" w:space="0" w:color="auto"/>
            </w:tcBorders>
            <w:shd w:val="clear" w:color="000000" w:fill="FFF2CC"/>
            <w:vAlign w:val="center"/>
            <w:hideMark/>
          </w:tcPr>
          <w:p w14:paraId="72B97750"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w:t>
            </w:r>
          </w:p>
        </w:tc>
        <w:tc>
          <w:tcPr>
            <w:tcW w:w="331" w:type="dxa"/>
            <w:tcBorders>
              <w:top w:val="nil"/>
              <w:left w:val="nil"/>
              <w:bottom w:val="single" w:sz="8" w:space="0" w:color="auto"/>
              <w:right w:val="single" w:sz="8" w:space="0" w:color="auto"/>
            </w:tcBorders>
            <w:shd w:val="clear" w:color="000000" w:fill="D9E2F3"/>
            <w:vAlign w:val="center"/>
            <w:hideMark/>
          </w:tcPr>
          <w:p w14:paraId="50231A85"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w:t>
            </w:r>
          </w:p>
        </w:tc>
        <w:tc>
          <w:tcPr>
            <w:tcW w:w="384" w:type="dxa"/>
            <w:tcBorders>
              <w:top w:val="single" w:sz="8" w:space="0" w:color="auto"/>
              <w:left w:val="nil"/>
              <w:bottom w:val="single" w:sz="8" w:space="0" w:color="auto"/>
              <w:right w:val="single" w:sz="8" w:space="0" w:color="000000"/>
            </w:tcBorders>
            <w:shd w:val="clear" w:color="000000" w:fill="C5E0B3"/>
            <w:vAlign w:val="center"/>
            <w:hideMark/>
          </w:tcPr>
          <w:p w14:paraId="6DBD2DD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w:t>
            </w:r>
          </w:p>
        </w:tc>
        <w:tc>
          <w:tcPr>
            <w:tcW w:w="331" w:type="dxa"/>
            <w:tcBorders>
              <w:top w:val="nil"/>
              <w:left w:val="nil"/>
              <w:bottom w:val="single" w:sz="8" w:space="0" w:color="auto"/>
              <w:right w:val="single" w:sz="8" w:space="0" w:color="auto"/>
            </w:tcBorders>
            <w:shd w:val="clear" w:color="000000" w:fill="EDEDED"/>
            <w:vAlign w:val="center"/>
            <w:hideMark/>
          </w:tcPr>
          <w:p w14:paraId="0D95776A"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w:t>
            </w:r>
          </w:p>
        </w:tc>
        <w:tc>
          <w:tcPr>
            <w:tcW w:w="331" w:type="dxa"/>
            <w:tcBorders>
              <w:top w:val="nil"/>
              <w:left w:val="nil"/>
              <w:bottom w:val="single" w:sz="8" w:space="0" w:color="auto"/>
              <w:right w:val="single" w:sz="8" w:space="0" w:color="auto"/>
            </w:tcBorders>
            <w:shd w:val="clear" w:color="000000" w:fill="FFF2CC"/>
            <w:vAlign w:val="center"/>
            <w:hideMark/>
          </w:tcPr>
          <w:p w14:paraId="3A12E85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5</w:t>
            </w:r>
          </w:p>
        </w:tc>
        <w:tc>
          <w:tcPr>
            <w:tcW w:w="331" w:type="dxa"/>
            <w:tcBorders>
              <w:top w:val="nil"/>
              <w:left w:val="nil"/>
              <w:bottom w:val="single" w:sz="8" w:space="0" w:color="auto"/>
              <w:right w:val="single" w:sz="8" w:space="0" w:color="auto"/>
            </w:tcBorders>
            <w:shd w:val="clear" w:color="000000" w:fill="D9E2F3"/>
            <w:vAlign w:val="center"/>
            <w:hideMark/>
          </w:tcPr>
          <w:p w14:paraId="0268FCE0"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w:t>
            </w:r>
          </w:p>
        </w:tc>
        <w:tc>
          <w:tcPr>
            <w:tcW w:w="384" w:type="dxa"/>
            <w:tcBorders>
              <w:top w:val="single" w:sz="8" w:space="0" w:color="auto"/>
              <w:left w:val="nil"/>
              <w:bottom w:val="single" w:sz="8" w:space="0" w:color="auto"/>
              <w:right w:val="single" w:sz="8" w:space="0" w:color="000000"/>
            </w:tcBorders>
            <w:shd w:val="clear" w:color="000000" w:fill="C5E0B3"/>
            <w:vAlign w:val="center"/>
            <w:hideMark/>
          </w:tcPr>
          <w:p w14:paraId="10B9BCA0"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7</w:t>
            </w:r>
          </w:p>
        </w:tc>
        <w:tc>
          <w:tcPr>
            <w:tcW w:w="331" w:type="dxa"/>
            <w:tcBorders>
              <w:top w:val="nil"/>
              <w:left w:val="nil"/>
              <w:bottom w:val="single" w:sz="8" w:space="0" w:color="auto"/>
              <w:right w:val="single" w:sz="8" w:space="0" w:color="auto"/>
            </w:tcBorders>
            <w:shd w:val="clear" w:color="000000" w:fill="E7E6E6"/>
            <w:vAlign w:val="center"/>
            <w:hideMark/>
          </w:tcPr>
          <w:p w14:paraId="4085EFCA"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2</w:t>
            </w:r>
          </w:p>
        </w:tc>
        <w:tc>
          <w:tcPr>
            <w:tcW w:w="331" w:type="dxa"/>
            <w:tcBorders>
              <w:top w:val="nil"/>
              <w:left w:val="nil"/>
              <w:bottom w:val="single" w:sz="8" w:space="0" w:color="auto"/>
              <w:right w:val="single" w:sz="8" w:space="0" w:color="auto"/>
            </w:tcBorders>
            <w:shd w:val="clear" w:color="000000" w:fill="FFF2CC"/>
            <w:vAlign w:val="center"/>
            <w:hideMark/>
          </w:tcPr>
          <w:p w14:paraId="6D4CE28F"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1</w:t>
            </w:r>
          </w:p>
        </w:tc>
        <w:tc>
          <w:tcPr>
            <w:tcW w:w="331" w:type="dxa"/>
            <w:tcBorders>
              <w:top w:val="nil"/>
              <w:left w:val="nil"/>
              <w:bottom w:val="single" w:sz="8" w:space="0" w:color="auto"/>
              <w:right w:val="single" w:sz="8" w:space="0" w:color="auto"/>
            </w:tcBorders>
            <w:shd w:val="clear" w:color="000000" w:fill="D9E2F3"/>
            <w:vAlign w:val="center"/>
            <w:hideMark/>
          </w:tcPr>
          <w:p w14:paraId="399C8169"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3</w:t>
            </w:r>
          </w:p>
        </w:tc>
        <w:tc>
          <w:tcPr>
            <w:tcW w:w="384" w:type="dxa"/>
            <w:tcBorders>
              <w:top w:val="nil"/>
              <w:left w:val="nil"/>
              <w:bottom w:val="single" w:sz="8" w:space="0" w:color="auto"/>
              <w:right w:val="single" w:sz="8" w:space="0" w:color="auto"/>
            </w:tcBorders>
            <w:shd w:val="clear" w:color="000000" w:fill="C5E0B3"/>
            <w:vAlign w:val="center"/>
            <w:hideMark/>
          </w:tcPr>
          <w:p w14:paraId="441D5D8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w:t>
            </w:r>
          </w:p>
        </w:tc>
        <w:tc>
          <w:tcPr>
            <w:tcW w:w="331" w:type="dxa"/>
            <w:tcBorders>
              <w:top w:val="nil"/>
              <w:left w:val="nil"/>
              <w:bottom w:val="single" w:sz="8" w:space="0" w:color="auto"/>
              <w:right w:val="single" w:sz="8" w:space="0" w:color="auto"/>
            </w:tcBorders>
            <w:shd w:val="clear" w:color="000000" w:fill="E7E6E6"/>
            <w:vAlign w:val="center"/>
            <w:hideMark/>
          </w:tcPr>
          <w:p w14:paraId="359AE435"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5</w:t>
            </w:r>
          </w:p>
        </w:tc>
        <w:tc>
          <w:tcPr>
            <w:tcW w:w="331" w:type="dxa"/>
            <w:tcBorders>
              <w:top w:val="nil"/>
              <w:left w:val="nil"/>
              <w:bottom w:val="single" w:sz="8" w:space="0" w:color="auto"/>
              <w:right w:val="single" w:sz="8" w:space="0" w:color="auto"/>
            </w:tcBorders>
            <w:shd w:val="clear" w:color="000000" w:fill="FFF2CC"/>
            <w:vAlign w:val="center"/>
            <w:hideMark/>
          </w:tcPr>
          <w:p w14:paraId="12319402"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w:t>
            </w:r>
          </w:p>
        </w:tc>
        <w:tc>
          <w:tcPr>
            <w:tcW w:w="331" w:type="dxa"/>
            <w:tcBorders>
              <w:top w:val="nil"/>
              <w:left w:val="nil"/>
              <w:bottom w:val="single" w:sz="8" w:space="0" w:color="auto"/>
              <w:right w:val="single" w:sz="8" w:space="0" w:color="auto"/>
            </w:tcBorders>
            <w:shd w:val="clear" w:color="000000" w:fill="D9E2F3"/>
            <w:vAlign w:val="center"/>
            <w:hideMark/>
          </w:tcPr>
          <w:p w14:paraId="1307C089"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w:t>
            </w:r>
          </w:p>
        </w:tc>
      </w:tr>
      <w:tr w:rsidR="00F44FFC" w:rsidRPr="000A64F1" w14:paraId="6BF493C8" w14:textId="77777777" w:rsidTr="00F44FFC">
        <w:trPr>
          <w:trHeight w:val="490"/>
        </w:trPr>
        <w:tc>
          <w:tcPr>
            <w:tcW w:w="938" w:type="dxa"/>
            <w:tcBorders>
              <w:top w:val="nil"/>
              <w:left w:val="single" w:sz="8" w:space="0" w:color="auto"/>
              <w:bottom w:val="single" w:sz="8" w:space="0" w:color="auto"/>
              <w:right w:val="single" w:sz="8" w:space="0" w:color="auto"/>
            </w:tcBorders>
            <w:shd w:val="clear" w:color="000000" w:fill="D9D9D9"/>
            <w:vAlign w:val="center"/>
            <w:hideMark/>
          </w:tcPr>
          <w:p w14:paraId="4E19B90F" w14:textId="77777777" w:rsidR="00F44FFC" w:rsidRPr="000A64F1" w:rsidRDefault="00F44FFC" w:rsidP="00F44FFC">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Centrálne pracoviská</w:t>
            </w:r>
          </w:p>
        </w:tc>
        <w:tc>
          <w:tcPr>
            <w:tcW w:w="331" w:type="dxa"/>
            <w:tcBorders>
              <w:top w:val="nil"/>
              <w:left w:val="nil"/>
              <w:bottom w:val="single" w:sz="8" w:space="0" w:color="auto"/>
              <w:right w:val="single" w:sz="8" w:space="0" w:color="auto"/>
            </w:tcBorders>
            <w:shd w:val="clear" w:color="000000" w:fill="C5E0B3"/>
            <w:vAlign w:val="center"/>
            <w:hideMark/>
          </w:tcPr>
          <w:p w14:paraId="4BDD56A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w:t>
            </w:r>
          </w:p>
        </w:tc>
        <w:tc>
          <w:tcPr>
            <w:tcW w:w="331" w:type="dxa"/>
            <w:tcBorders>
              <w:top w:val="nil"/>
              <w:left w:val="nil"/>
              <w:bottom w:val="single" w:sz="8" w:space="0" w:color="auto"/>
              <w:right w:val="single" w:sz="8" w:space="0" w:color="auto"/>
            </w:tcBorders>
            <w:shd w:val="clear" w:color="000000" w:fill="EDEDED"/>
            <w:vAlign w:val="center"/>
            <w:hideMark/>
          </w:tcPr>
          <w:p w14:paraId="05533013"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4</w:t>
            </w:r>
          </w:p>
        </w:tc>
        <w:tc>
          <w:tcPr>
            <w:tcW w:w="331" w:type="dxa"/>
            <w:tcBorders>
              <w:top w:val="nil"/>
              <w:left w:val="nil"/>
              <w:bottom w:val="single" w:sz="8" w:space="0" w:color="auto"/>
              <w:right w:val="single" w:sz="8" w:space="0" w:color="auto"/>
            </w:tcBorders>
            <w:shd w:val="clear" w:color="000000" w:fill="FFF2CC"/>
            <w:vAlign w:val="center"/>
            <w:hideMark/>
          </w:tcPr>
          <w:p w14:paraId="6367FABA"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w:t>
            </w:r>
          </w:p>
        </w:tc>
        <w:tc>
          <w:tcPr>
            <w:tcW w:w="331" w:type="dxa"/>
            <w:tcBorders>
              <w:top w:val="nil"/>
              <w:left w:val="nil"/>
              <w:bottom w:val="single" w:sz="8" w:space="0" w:color="auto"/>
              <w:right w:val="single" w:sz="8" w:space="0" w:color="auto"/>
            </w:tcBorders>
            <w:shd w:val="clear" w:color="000000" w:fill="D9E2F3"/>
            <w:vAlign w:val="center"/>
            <w:hideMark/>
          </w:tcPr>
          <w:p w14:paraId="270AA9C2"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C5E0B3"/>
            <w:vAlign w:val="center"/>
            <w:hideMark/>
          </w:tcPr>
          <w:p w14:paraId="5F1F3870"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8</w:t>
            </w:r>
          </w:p>
        </w:tc>
        <w:tc>
          <w:tcPr>
            <w:tcW w:w="331" w:type="dxa"/>
            <w:tcBorders>
              <w:top w:val="nil"/>
              <w:left w:val="nil"/>
              <w:bottom w:val="single" w:sz="8" w:space="0" w:color="auto"/>
              <w:right w:val="single" w:sz="8" w:space="0" w:color="auto"/>
            </w:tcBorders>
            <w:shd w:val="clear" w:color="000000" w:fill="EDEDED"/>
            <w:vAlign w:val="center"/>
            <w:hideMark/>
          </w:tcPr>
          <w:p w14:paraId="4BC50D09"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5</w:t>
            </w:r>
          </w:p>
        </w:tc>
        <w:tc>
          <w:tcPr>
            <w:tcW w:w="331" w:type="dxa"/>
            <w:tcBorders>
              <w:top w:val="nil"/>
              <w:left w:val="nil"/>
              <w:bottom w:val="single" w:sz="8" w:space="0" w:color="auto"/>
              <w:right w:val="single" w:sz="8" w:space="0" w:color="auto"/>
            </w:tcBorders>
            <w:shd w:val="clear" w:color="000000" w:fill="FFF2CC"/>
            <w:vAlign w:val="center"/>
            <w:hideMark/>
          </w:tcPr>
          <w:p w14:paraId="6191DEC5"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6</w:t>
            </w:r>
          </w:p>
        </w:tc>
        <w:tc>
          <w:tcPr>
            <w:tcW w:w="331" w:type="dxa"/>
            <w:tcBorders>
              <w:top w:val="nil"/>
              <w:left w:val="nil"/>
              <w:bottom w:val="single" w:sz="8" w:space="0" w:color="auto"/>
              <w:right w:val="single" w:sz="8" w:space="0" w:color="auto"/>
            </w:tcBorders>
            <w:shd w:val="clear" w:color="000000" w:fill="D9E2F3"/>
            <w:vAlign w:val="center"/>
            <w:hideMark/>
          </w:tcPr>
          <w:p w14:paraId="341C16D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3</w:t>
            </w:r>
          </w:p>
        </w:tc>
        <w:tc>
          <w:tcPr>
            <w:tcW w:w="331" w:type="dxa"/>
            <w:tcBorders>
              <w:top w:val="nil"/>
              <w:left w:val="nil"/>
              <w:bottom w:val="single" w:sz="8" w:space="0" w:color="auto"/>
              <w:right w:val="single" w:sz="8" w:space="0" w:color="auto"/>
            </w:tcBorders>
            <w:shd w:val="clear" w:color="000000" w:fill="C5E0B3"/>
            <w:vAlign w:val="center"/>
            <w:hideMark/>
          </w:tcPr>
          <w:p w14:paraId="34A5FA52"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7</w:t>
            </w:r>
          </w:p>
        </w:tc>
        <w:tc>
          <w:tcPr>
            <w:tcW w:w="331" w:type="dxa"/>
            <w:tcBorders>
              <w:top w:val="nil"/>
              <w:left w:val="nil"/>
              <w:bottom w:val="single" w:sz="8" w:space="0" w:color="auto"/>
              <w:right w:val="single" w:sz="8" w:space="0" w:color="auto"/>
            </w:tcBorders>
            <w:shd w:val="clear" w:color="000000" w:fill="EDEDED"/>
            <w:vAlign w:val="center"/>
            <w:hideMark/>
          </w:tcPr>
          <w:p w14:paraId="5E80F40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w:t>
            </w:r>
          </w:p>
        </w:tc>
        <w:tc>
          <w:tcPr>
            <w:tcW w:w="331" w:type="dxa"/>
            <w:tcBorders>
              <w:top w:val="nil"/>
              <w:left w:val="nil"/>
              <w:bottom w:val="single" w:sz="8" w:space="0" w:color="auto"/>
              <w:right w:val="single" w:sz="8" w:space="0" w:color="auto"/>
            </w:tcBorders>
            <w:shd w:val="clear" w:color="000000" w:fill="FFF2CC"/>
            <w:vAlign w:val="center"/>
            <w:hideMark/>
          </w:tcPr>
          <w:p w14:paraId="141F95E1"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w:t>
            </w:r>
          </w:p>
        </w:tc>
        <w:tc>
          <w:tcPr>
            <w:tcW w:w="331" w:type="dxa"/>
            <w:tcBorders>
              <w:top w:val="nil"/>
              <w:left w:val="nil"/>
              <w:bottom w:val="single" w:sz="8" w:space="0" w:color="auto"/>
              <w:right w:val="single" w:sz="8" w:space="0" w:color="auto"/>
            </w:tcBorders>
            <w:shd w:val="clear" w:color="000000" w:fill="D9E2F3"/>
            <w:vAlign w:val="center"/>
            <w:hideMark/>
          </w:tcPr>
          <w:p w14:paraId="1AC59595"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w:t>
            </w:r>
          </w:p>
        </w:tc>
        <w:tc>
          <w:tcPr>
            <w:tcW w:w="331" w:type="dxa"/>
            <w:tcBorders>
              <w:top w:val="single" w:sz="8" w:space="0" w:color="auto"/>
              <w:left w:val="nil"/>
              <w:bottom w:val="single" w:sz="8" w:space="0" w:color="auto"/>
              <w:right w:val="single" w:sz="8" w:space="0" w:color="000000"/>
            </w:tcBorders>
            <w:shd w:val="clear" w:color="000000" w:fill="C5E0B3"/>
            <w:vAlign w:val="center"/>
            <w:hideMark/>
          </w:tcPr>
          <w:p w14:paraId="29083B7D"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11</w:t>
            </w:r>
          </w:p>
        </w:tc>
        <w:tc>
          <w:tcPr>
            <w:tcW w:w="331" w:type="dxa"/>
            <w:tcBorders>
              <w:top w:val="nil"/>
              <w:left w:val="nil"/>
              <w:bottom w:val="single" w:sz="8" w:space="0" w:color="auto"/>
              <w:right w:val="single" w:sz="8" w:space="0" w:color="auto"/>
            </w:tcBorders>
            <w:shd w:val="clear" w:color="000000" w:fill="EDEDED"/>
            <w:vAlign w:val="center"/>
            <w:hideMark/>
          </w:tcPr>
          <w:p w14:paraId="3BDEF364"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12</w:t>
            </w:r>
          </w:p>
        </w:tc>
        <w:tc>
          <w:tcPr>
            <w:tcW w:w="331" w:type="dxa"/>
            <w:tcBorders>
              <w:top w:val="nil"/>
              <w:left w:val="nil"/>
              <w:bottom w:val="single" w:sz="8" w:space="0" w:color="auto"/>
              <w:right w:val="single" w:sz="8" w:space="0" w:color="auto"/>
            </w:tcBorders>
            <w:shd w:val="clear" w:color="000000" w:fill="FFF2CC"/>
            <w:vAlign w:val="center"/>
            <w:hideMark/>
          </w:tcPr>
          <w:p w14:paraId="732C1A04"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w:t>
            </w:r>
          </w:p>
        </w:tc>
        <w:tc>
          <w:tcPr>
            <w:tcW w:w="331" w:type="dxa"/>
            <w:tcBorders>
              <w:top w:val="nil"/>
              <w:left w:val="nil"/>
              <w:bottom w:val="single" w:sz="8" w:space="0" w:color="auto"/>
              <w:right w:val="single" w:sz="8" w:space="0" w:color="auto"/>
            </w:tcBorders>
            <w:shd w:val="clear" w:color="000000" w:fill="D9E2F3"/>
            <w:vAlign w:val="center"/>
            <w:hideMark/>
          </w:tcPr>
          <w:p w14:paraId="7DEF11B9"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84" w:type="dxa"/>
            <w:tcBorders>
              <w:top w:val="single" w:sz="8" w:space="0" w:color="auto"/>
              <w:left w:val="nil"/>
              <w:bottom w:val="single" w:sz="8" w:space="0" w:color="auto"/>
              <w:right w:val="single" w:sz="8" w:space="0" w:color="000000"/>
            </w:tcBorders>
            <w:shd w:val="clear" w:color="000000" w:fill="C5E0B3"/>
            <w:vAlign w:val="center"/>
            <w:hideMark/>
          </w:tcPr>
          <w:p w14:paraId="5787D33A"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5</w:t>
            </w:r>
          </w:p>
        </w:tc>
        <w:tc>
          <w:tcPr>
            <w:tcW w:w="331" w:type="dxa"/>
            <w:tcBorders>
              <w:top w:val="nil"/>
              <w:left w:val="nil"/>
              <w:bottom w:val="single" w:sz="8" w:space="0" w:color="auto"/>
              <w:right w:val="single" w:sz="8" w:space="0" w:color="auto"/>
            </w:tcBorders>
            <w:shd w:val="clear" w:color="000000" w:fill="EDEDED"/>
            <w:vAlign w:val="center"/>
            <w:hideMark/>
          </w:tcPr>
          <w:p w14:paraId="10BF3D00"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7</w:t>
            </w:r>
          </w:p>
        </w:tc>
        <w:tc>
          <w:tcPr>
            <w:tcW w:w="331" w:type="dxa"/>
            <w:tcBorders>
              <w:top w:val="nil"/>
              <w:left w:val="nil"/>
              <w:bottom w:val="single" w:sz="8" w:space="0" w:color="auto"/>
              <w:right w:val="single" w:sz="8" w:space="0" w:color="auto"/>
            </w:tcBorders>
            <w:shd w:val="clear" w:color="000000" w:fill="FFF2CC"/>
            <w:vAlign w:val="center"/>
            <w:hideMark/>
          </w:tcPr>
          <w:p w14:paraId="1393F62E"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w:t>
            </w:r>
          </w:p>
        </w:tc>
        <w:tc>
          <w:tcPr>
            <w:tcW w:w="331" w:type="dxa"/>
            <w:tcBorders>
              <w:top w:val="nil"/>
              <w:left w:val="nil"/>
              <w:bottom w:val="single" w:sz="8" w:space="0" w:color="auto"/>
              <w:right w:val="single" w:sz="8" w:space="0" w:color="auto"/>
            </w:tcBorders>
            <w:shd w:val="clear" w:color="000000" w:fill="D9E2F3"/>
            <w:vAlign w:val="center"/>
            <w:hideMark/>
          </w:tcPr>
          <w:p w14:paraId="2E57F9A3"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w:t>
            </w:r>
          </w:p>
        </w:tc>
        <w:tc>
          <w:tcPr>
            <w:tcW w:w="384" w:type="dxa"/>
            <w:tcBorders>
              <w:top w:val="single" w:sz="8" w:space="0" w:color="auto"/>
              <w:left w:val="nil"/>
              <w:bottom w:val="single" w:sz="8" w:space="0" w:color="auto"/>
              <w:right w:val="single" w:sz="8" w:space="0" w:color="000000"/>
            </w:tcBorders>
            <w:shd w:val="clear" w:color="000000" w:fill="C5E0B3"/>
            <w:vAlign w:val="center"/>
            <w:hideMark/>
          </w:tcPr>
          <w:p w14:paraId="00109B2A"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3</w:t>
            </w:r>
          </w:p>
        </w:tc>
        <w:tc>
          <w:tcPr>
            <w:tcW w:w="331" w:type="dxa"/>
            <w:tcBorders>
              <w:top w:val="nil"/>
              <w:left w:val="nil"/>
              <w:bottom w:val="single" w:sz="8" w:space="0" w:color="auto"/>
              <w:right w:val="single" w:sz="8" w:space="0" w:color="auto"/>
            </w:tcBorders>
            <w:shd w:val="clear" w:color="000000" w:fill="E7E6E6"/>
            <w:vAlign w:val="center"/>
            <w:hideMark/>
          </w:tcPr>
          <w:p w14:paraId="181D4F89"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9</w:t>
            </w:r>
          </w:p>
        </w:tc>
        <w:tc>
          <w:tcPr>
            <w:tcW w:w="331" w:type="dxa"/>
            <w:tcBorders>
              <w:top w:val="nil"/>
              <w:left w:val="nil"/>
              <w:bottom w:val="single" w:sz="8" w:space="0" w:color="auto"/>
              <w:right w:val="single" w:sz="8" w:space="0" w:color="auto"/>
            </w:tcBorders>
            <w:shd w:val="clear" w:color="000000" w:fill="FFF2CC"/>
            <w:vAlign w:val="center"/>
            <w:hideMark/>
          </w:tcPr>
          <w:p w14:paraId="3780F3DE"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2</w:t>
            </w:r>
          </w:p>
        </w:tc>
        <w:tc>
          <w:tcPr>
            <w:tcW w:w="331" w:type="dxa"/>
            <w:tcBorders>
              <w:top w:val="nil"/>
              <w:left w:val="nil"/>
              <w:bottom w:val="single" w:sz="8" w:space="0" w:color="auto"/>
              <w:right w:val="single" w:sz="8" w:space="0" w:color="auto"/>
            </w:tcBorders>
            <w:shd w:val="clear" w:color="000000" w:fill="D9E2F3"/>
            <w:vAlign w:val="center"/>
            <w:hideMark/>
          </w:tcPr>
          <w:p w14:paraId="69185C83" w14:textId="77777777" w:rsidR="00F44FFC" w:rsidRPr="000A64F1" w:rsidRDefault="00F44FFC" w:rsidP="00F44FFC">
            <w:pPr>
              <w:spacing w:line="256" w:lineRule="auto"/>
              <w:jc w:val="center"/>
              <w:rPr>
                <w:rFonts w:eastAsia="Times New Roman" w:cs="Times New Roman"/>
                <w:color w:val="000000"/>
                <w:sz w:val="16"/>
                <w:szCs w:val="16"/>
                <w:lang w:eastAsia="sk-SK"/>
              </w:rPr>
            </w:pPr>
            <w:r w:rsidRPr="000A64F1">
              <w:rPr>
                <w:rFonts w:eastAsia="Times New Roman" w:cs="Times New Roman"/>
                <w:color w:val="000000"/>
                <w:sz w:val="16"/>
                <w:szCs w:val="16"/>
                <w:lang w:eastAsia="sk-SK"/>
              </w:rPr>
              <w:t>2</w:t>
            </w:r>
          </w:p>
        </w:tc>
        <w:tc>
          <w:tcPr>
            <w:tcW w:w="384" w:type="dxa"/>
            <w:tcBorders>
              <w:top w:val="nil"/>
              <w:left w:val="nil"/>
              <w:bottom w:val="single" w:sz="8" w:space="0" w:color="auto"/>
              <w:right w:val="single" w:sz="8" w:space="0" w:color="auto"/>
            </w:tcBorders>
            <w:shd w:val="clear" w:color="000000" w:fill="C5E0B3"/>
            <w:vAlign w:val="center"/>
            <w:hideMark/>
          </w:tcPr>
          <w:p w14:paraId="66A2058C"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2</w:t>
            </w:r>
          </w:p>
        </w:tc>
        <w:tc>
          <w:tcPr>
            <w:tcW w:w="331" w:type="dxa"/>
            <w:tcBorders>
              <w:top w:val="nil"/>
              <w:left w:val="nil"/>
              <w:bottom w:val="single" w:sz="8" w:space="0" w:color="auto"/>
              <w:right w:val="single" w:sz="8" w:space="0" w:color="auto"/>
            </w:tcBorders>
            <w:shd w:val="clear" w:color="000000" w:fill="E7E6E6"/>
            <w:vAlign w:val="center"/>
            <w:hideMark/>
          </w:tcPr>
          <w:p w14:paraId="70BBC4A4"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1</w:t>
            </w:r>
          </w:p>
        </w:tc>
        <w:tc>
          <w:tcPr>
            <w:tcW w:w="331" w:type="dxa"/>
            <w:tcBorders>
              <w:top w:val="nil"/>
              <w:left w:val="nil"/>
              <w:bottom w:val="single" w:sz="8" w:space="0" w:color="auto"/>
              <w:right w:val="single" w:sz="8" w:space="0" w:color="auto"/>
            </w:tcBorders>
            <w:shd w:val="clear" w:color="000000" w:fill="FFF2CC"/>
            <w:vAlign w:val="center"/>
            <w:hideMark/>
          </w:tcPr>
          <w:p w14:paraId="6E73C049"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c>
          <w:tcPr>
            <w:tcW w:w="331" w:type="dxa"/>
            <w:tcBorders>
              <w:top w:val="nil"/>
              <w:left w:val="nil"/>
              <w:bottom w:val="single" w:sz="8" w:space="0" w:color="auto"/>
              <w:right w:val="single" w:sz="8" w:space="0" w:color="auto"/>
            </w:tcBorders>
            <w:shd w:val="clear" w:color="000000" w:fill="D9E2F3"/>
            <w:vAlign w:val="center"/>
            <w:hideMark/>
          </w:tcPr>
          <w:p w14:paraId="69A4A255" w14:textId="77777777" w:rsidR="00F44FFC" w:rsidRPr="000A64F1" w:rsidRDefault="00F44FFC" w:rsidP="00F44FFC">
            <w:pPr>
              <w:jc w:val="center"/>
              <w:rPr>
                <w:rFonts w:eastAsia="Times New Roman" w:cs="Calibri"/>
                <w:color w:val="000000"/>
                <w:sz w:val="16"/>
                <w:szCs w:val="16"/>
                <w:lang w:eastAsia="sk-SK"/>
              </w:rPr>
            </w:pPr>
            <w:r w:rsidRPr="000A64F1">
              <w:rPr>
                <w:rFonts w:eastAsia="Times New Roman" w:cs="Calibri"/>
                <w:color w:val="000000"/>
                <w:sz w:val="16"/>
                <w:szCs w:val="16"/>
                <w:lang w:eastAsia="sk-SK"/>
              </w:rPr>
              <w:t>0</w:t>
            </w:r>
          </w:p>
        </w:tc>
      </w:tr>
    </w:tbl>
    <w:p w14:paraId="20D657FE" w14:textId="77777777" w:rsidR="00F44FFC" w:rsidRPr="000A64F1" w:rsidRDefault="00F44FFC" w:rsidP="00F44FFC">
      <w:pPr>
        <w:ind w:firstLine="708"/>
        <w:rPr>
          <w:rFonts w:eastAsia="Times New Roman" w:cs="Calibri Light"/>
          <w:bCs/>
          <w:sz w:val="18"/>
          <w:szCs w:val="18"/>
        </w:rPr>
      </w:pPr>
      <w:r w:rsidRPr="000A64F1">
        <w:rPr>
          <w:rFonts w:eastAsia="Times New Roman" w:cs="Calibri Light"/>
          <w:bCs/>
          <w:sz w:val="18"/>
          <w:szCs w:val="18"/>
        </w:rPr>
        <w:t>Zdroj: Knižničný systém ARL</w:t>
      </w:r>
    </w:p>
    <w:p w14:paraId="59FA7A52" w14:textId="77777777" w:rsidR="00F44FFC" w:rsidRPr="000A64F1" w:rsidRDefault="00F44FFC" w:rsidP="00F44FFC">
      <w:pPr>
        <w:jc w:val="both"/>
        <w:rPr>
          <w:rFonts w:eastAsia="Times New Roman" w:cs="Times New Roman"/>
        </w:rPr>
      </w:pPr>
      <w:r w:rsidRPr="000A64F1">
        <w:rPr>
          <w:rFonts w:eastAsia="Times New Roman" w:cs="Times New Roman"/>
        </w:rPr>
        <w:t xml:space="preserve">Poznámka: podklady sú vypracované k 31.1.2023 </w:t>
      </w:r>
      <w:r w:rsidRPr="000A64F1">
        <w:t>za vykazovacie obdobie za rok 2022</w:t>
      </w:r>
    </w:p>
    <w:p w14:paraId="79338DD4" w14:textId="77777777" w:rsidR="00F44FFC" w:rsidRPr="000A64F1" w:rsidRDefault="00F44FFC" w:rsidP="00F44FFC">
      <w:pPr>
        <w:jc w:val="both"/>
        <w:rPr>
          <w:rFonts w:eastAsia="Times New Roman" w:cs="Times New Roman"/>
        </w:rPr>
      </w:pPr>
    </w:p>
    <w:p w14:paraId="7B9ADF9B" w14:textId="77777777" w:rsidR="00F44FFC" w:rsidRDefault="00F44FFC" w:rsidP="00F44FFC">
      <w:pPr>
        <w:jc w:val="both"/>
      </w:pPr>
    </w:p>
    <w:p w14:paraId="442CABAC" w14:textId="77777777" w:rsidR="00F44FFC" w:rsidRDefault="00F44FFC" w:rsidP="00F44FFC">
      <w:pPr>
        <w:jc w:val="both"/>
      </w:pPr>
    </w:p>
    <w:p w14:paraId="49D4E963" w14:textId="68EE1B91" w:rsidR="00F44FFC" w:rsidRPr="000A64F1" w:rsidRDefault="00F44FFC" w:rsidP="00F44FFC">
      <w:pPr>
        <w:jc w:val="both"/>
      </w:pPr>
      <w:r w:rsidRPr="000A64F1">
        <w:lastRenderedPageBreak/>
        <w:t>Počty publikácií jednotlivých fakúlt STU indexované vo Web of Science v JIF Q1 dokladujú, že najvyšší počet indexovaných záznamov vykazuje FCHPT. Ich tendencia od roku 2016 je stúpajúca, s výnimkou roku 2019. Druhý najvyšší podiel vykazuje Stavebná fakulta.</w:t>
      </w:r>
    </w:p>
    <w:p w14:paraId="080A600C" w14:textId="77777777" w:rsidR="00F44FFC" w:rsidRPr="000A64F1" w:rsidRDefault="00F44FFC" w:rsidP="00F44FFC">
      <w:pPr>
        <w:jc w:val="both"/>
        <w:rPr>
          <w:rFonts w:eastAsia="Times New Roman" w:cs="Times New Roman"/>
        </w:rPr>
      </w:pPr>
    </w:p>
    <w:p w14:paraId="1113611D" w14:textId="476C9233" w:rsidR="00F44FFC" w:rsidRDefault="00F44FFC" w:rsidP="00F44FFC">
      <w:pPr>
        <w:jc w:val="both"/>
      </w:pPr>
      <w:r>
        <w:t>Graf č. 33</w:t>
      </w:r>
      <w:r w:rsidRPr="000A64F1">
        <w:t>: Počty publikácií jednotlivých fakúlt STU vo Web of Science v JIF Q1</w:t>
      </w:r>
    </w:p>
    <w:p w14:paraId="2B317676" w14:textId="77777777" w:rsidR="00F44FFC" w:rsidRPr="000A64F1" w:rsidRDefault="00F44FFC" w:rsidP="00F44FFC">
      <w:pPr>
        <w:jc w:val="both"/>
      </w:pPr>
    </w:p>
    <w:p w14:paraId="2F814438" w14:textId="77777777" w:rsidR="00F44FFC" w:rsidRPr="000A64F1" w:rsidRDefault="00F44FFC" w:rsidP="00F44FFC">
      <w:pPr>
        <w:pStyle w:val="Odsekzoznamu1"/>
        <w:spacing w:after="0" w:line="240" w:lineRule="auto"/>
        <w:ind w:left="0"/>
        <w:rPr>
          <w:rFonts w:asciiTheme="minorHAnsi" w:hAnsiTheme="minorHAnsi" w:cstheme="majorHAnsi"/>
          <w:b/>
          <w:bCs/>
          <w:lang w:val="sk-SK"/>
        </w:rPr>
      </w:pPr>
      <w:r w:rsidRPr="000A64F1">
        <w:rPr>
          <w:noProof/>
          <w:lang w:val="sk-SK" w:eastAsia="sk-SK"/>
        </w:rPr>
        <w:drawing>
          <wp:inline distT="0" distB="0" distL="0" distR="0" wp14:anchorId="132406C6" wp14:editId="630788A8">
            <wp:extent cx="5772150" cy="2901950"/>
            <wp:effectExtent l="0" t="0" r="0" b="1270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D22D20B" w14:textId="77777777" w:rsidR="00F44FFC" w:rsidRPr="000A64F1" w:rsidRDefault="00F44FFC" w:rsidP="00F44FFC">
      <w:pPr>
        <w:pStyle w:val="Odsekzoznamu1"/>
        <w:spacing w:after="0" w:line="240" w:lineRule="auto"/>
        <w:ind w:left="0" w:firstLine="709"/>
        <w:rPr>
          <w:rFonts w:asciiTheme="minorHAnsi" w:hAnsiTheme="minorHAnsi" w:cstheme="majorHAnsi"/>
          <w:bCs/>
          <w:sz w:val="18"/>
          <w:szCs w:val="18"/>
          <w:lang w:val="sk-SK"/>
        </w:rPr>
      </w:pPr>
      <w:r w:rsidRPr="000A64F1">
        <w:rPr>
          <w:rFonts w:asciiTheme="minorHAnsi" w:hAnsiTheme="minorHAnsi" w:cstheme="majorHAnsi"/>
          <w:bCs/>
          <w:sz w:val="18"/>
          <w:szCs w:val="18"/>
          <w:lang w:val="sk-SK"/>
        </w:rPr>
        <w:t>Zdroj: Knižničný systém ARL</w:t>
      </w:r>
    </w:p>
    <w:p w14:paraId="0BE09E3B" w14:textId="77777777" w:rsidR="00F44FFC" w:rsidRPr="000A64F1" w:rsidRDefault="00F44FFC" w:rsidP="00F44FFC">
      <w:pPr>
        <w:jc w:val="both"/>
      </w:pPr>
    </w:p>
    <w:p w14:paraId="4322F3AF" w14:textId="77777777" w:rsidR="00F44FFC" w:rsidRPr="000A64F1" w:rsidRDefault="00F44FFC" w:rsidP="00F44FFC">
      <w:pPr>
        <w:jc w:val="both"/>
      </w:pPr>
      <w:r w:rsidRPr="000A64F1">
        <w:t>Vývoj počtu publikácií jednotlivých fakúlt publikovaných vo Web of Science v JIF Q1 po prepočítaní na tvorivého zamestnanca po fakultách vykazuje výrazné rozdiely. Vzhľadom na relatívne malý počet publikácií a veľký počet zamestnancov je vývoj tohto ukazovateľa silne ovplyvnený výkyvmi v počte záznamov evidovaných v jednotlivých rokoch. Nárast vykazujú takmer všetky pracoviská. Výnimkou sú Centrálne pracoviská, čo môže byť spôsobené organizačnou zmenou súvisiacou s prechodom Centra STU pre nanodiagnostiku pod MTF v roku 2021.</w:t>
      </w:r>
    </w:p>
    <w:p w14:paraId="2EEB4788" w14:textId="176A7FE7" w:rsidR="00F44FFC" w:rsidRDefault="00F44FFC" w:rsidP="00F44FFC">
      <w:pPr>
        <w:jc w:val="both"/>
        <w:rPr>
          <w:highlight w:val="yellow"/>
        </w:rPr>
      </w:pPr>
    </w:p>
    <w:p w14:paraId="27540224" w14:textId="66946D23" w:rsidR="00B555B7" w:rsidRPr="000A64F1" w:rsidRDefault="00B555B7" w:rsidP="00B555B7">
      <w:pPr>
        <w:rPr>
          <w:b/>
          <w:sz w:val="28"/>
          <w:szCs w:val="28"/>
        </w:rPr>
      </w:pPr>
      <w:r>
        <w:rPr>
          <w:b/>
          <w:sz w:val="28"/>
          <w:szCs w:val="28"/>
        </w:rPr>
        <w:t>5.5</w:t>
      </w:r>
      <w:r w:rsidRPr="000A64F1">
        <w:rPr>
          <w:b/>
          <w:sz w:val="28"/>
          <w:szCs w:val="28"/>
        </w:rPr>
        <w:t>. Využitie dosiahnutých výsledkov vo výskume v praxi</w:t>
      </w:r>
    </w:p>
    <w:p w14:paraId="5CE2E6A2" w14:textId="77777777" w:rsidR="00B555B7" w:rsidRPr="000A64F1" w:rsidRDefault="00B555B7" w:rsidP="00B555B7">
      <w:pPr>
        <w:pStyle w:val="Bezriadkovania"/>
        <w:jc w:val="both"/>
        <w:rPr>
          <w:b/>
          <w:sz w:val="28"/>
          <w:szCs w:val="28"/>
        </w:rPr>
      </w:pPr>
    </w:p>
    <w:p w14:paraId="07B6C09A" w14:textId="4D66F702" w:rsidR="00B555B7" w:rsidRPr="000A64F1" w:rsidRDefault="00B555B7" w:rsidP="00B555B7">
      <w:pPr>
        <w:pStyle w:val="Bezriadkovania"/>
        <w:jc w:val="both"/>
        <w:rPr>
          <w:b/>
          <w:sz w:val="28"/>
          <w:szCs w:val="28"/>
        </w:rPr>
      </w:pPr>
      <w:r>
        <w:rPr>
          <w:b/>
          <w:sz w:val="28"/>
          <w:szCs w:val="28"/>
        </w:rPr>
        <w:t>5.5</w:t>
      </w:r>
      <w:r w:rsidRPr="000A64F1">
        <w:rPr>
          <w:b/>
          <w:sz w:val="28"/>
          <w:szCs w:val="28"/>
        </w:rPr>
        <w:t xml:space="preserve">.1. </w:t>
      </w:r>
      <w:bookmarkStart w:id="197" w:name="_Toc477769467"/>
      <w:r w:rsidRPr="000A64F1">
        <w:rPr>
          <w:rFonts w:eastAsia="MS Mincho"/>
          <w:b/>
          <w:sz w:val="28"/>
          <w:szCs w:val="28"/>
        </w:rPr>
        <w:t>Kancelária spolupráce sa praxou</w:t>
      </w:r>
      <w:bookmarkEnd w:id="197"/>
    </w:p>
    <w:p w14:paraId="09078F11" w14:textId="77777777" w:rsidR="00B555B7" w:rsidRPr="000A64F1" w:rsidRDefault="00B555B7" w:rsidP="00B555B7">
      <w:pPr>
        <w:pStyle w:val="Bezriadkovania"/>
        <w:jc w:val="both"/>
        <w:rPr>
          <w:sz w:val="24"/>
          <w:szCs w:val="24"/>
        </w:rPr>
      </w:pPr>
    </w:p>
    <w:p w14:paraId="02083EB8" w14:textId="77777777" w:rsidR="00B555B7" w:rsidRPr="000A64F1" w:rsidRDefault="00B555B7" w:rsidP="00B555B7">
      <w:pPr>
        <w:pStyle w:val="Bezriadkovania"/>
        <w:jc w:val="both"/>
        <w:rPr>
          <w:sz w:val="24"/>
          <w:szCs w:val="24"/>
        </w:rPr>
      </w:pPr>
      <w:r w:rsidRPr="000A64F1">
        <w:rPr>
          <w:sz w:val="24"/>
          <w:szCs w:val="24"/>
        </w:rPr>
        <w:t>Kancelária spolupráce s praxou (KSP) zabezpečuje ochranu priemyselného vlastníctva na STU v súlade so smernicou o Ochrane a správe práv priemyselného vlastníctva na STU. KSP je organizačnou zložkou špecializovaného univerzitného pracoviska Know-how centrum STU. KSP poskytuje pôvodcom predmetov priemyselného vlastníctva odborné poradenstvo v oblasti ochrany priemyselného vlastníctva, podávanie prihlášok na Úrade priemyselného vlastníctva SR, propagáciu výsledkov výskumu a vývoja uplatniteľných v praxi, vyhľadávanie a rokovania s partnermi z priemyslu, atď.</w:t>
      </w:r>
    </w:p>
    <w:p w14:paraId="115ACD86" w14:textId="77777777" w:rsidR="00B555B7" w:rsidRPr="000A64F1" w:rsidRDefault="00B555B7" w:rsidP="00B555B7">
      <w:pPr>
        <w:pStyle w:val="Bezriadkovania"/>
        <w:jc w:val="both"/>
        <w:rPr>
          <w:sz w:val="24"/>
          <w:szCs w:val="24"/>
        </w:rPr>
      </w:pPr>
    </w:p>
    <w:p w14:paraId="638B3564" w14:textId="77777777" w:rsidR="00B555B7" w:rsidRPr="000A64F1" w:rsidRDefault="00B555B7" w:rsidP="00B555B7">
      <w:pPr>
        <w:pStyle w:val="Bezriadkovania"/>
        <w:jc w:val="both"/>
        <w:rPr>
          <w:sz w:val="24"/>
          <w:szCs w:val="24"/>
        </w:rPr>
      </w:pPr>
      <w:r w:rsidRPr="000A64F1">
        <w:rPr>
          <w:sz w:val="24"/>
          <w:szCs w:val="24"/>
        </w:rPr>
        <w:t xml:space="preserve">V roku 2022 bolo KSP doručených </w:t>
      </w:r>
      <w:r w:rsidRPr="00B555B7">
        <w:rPr>
          <w:sz w:val="24"/>
          <w:szCs w:val="24"/>
        </w:rPr>
        <w:t>39 Oznámení pôvodcu o vytvorení predmetu priemyselného vlastníctva.</w:t>
      </w:r>
      <w:r w:rsidRPr="000A64F1">
        <w:rPr>
          <w:sz w:val="24"/>
          <w:szCs w:val="24"/>
        </w:rPr>
        <w:t xml:space="preserve"> Počet podaných patentových prihlášok na Úrad priemyselného vlastníctva SR v roku 2022 bol 25. Počet udelených patentov bol 17. Počet podaných prihlášok úžitkových vzorov na Úrad priemyselného vlastníctva SR v roku 2021 bol 31. Počet zapísaných úžitkových vzorov bol 27. V roku 2022 boli udelené 2 patenty v Českej republike.</w:t>
      </w:r>
    </w:p>
    <w:p w14:paraId="6E8C3882" w14:textId="77777777" w:rsidR="00B555B7" w:rsidRPr="000A64F1" w:rsidRDefault="00B555B7" w:rsidP="00B555B7">
      <w:pPr>
        <w:pStyle w:val="Bezriadkovania"/>
        <w:jc w:val="both"/>
        <w:rPr>
          <w:sz w:val="24"/>
          <w:szCs w:val="24"/>
        </w:rPr>
      </w:pPr>
    </w:p>
    <w:p w14:paraId="1460C4BF" w14:textId="77777777" w:rsidR="00B555B7" w:rsidRPr="000A64F1" w:rsidRDefault="00B555B7" w:rsidP="00B555B7">
      <w:pPr>
        <w:pStyle w:val="Bezriadkovania"/>
        <w:jc w:val="both"/>
        <w:rPr>
          <w:sz w:val="24"/>
          <w:szCs w:val="24"/>
        </w:rPr>
      </w:pPr>
      <w:r w:rsidRPr="00B555B7">
        <w:rPr>
          <w:b/>
          <w:sz w:val="24"/>
          <w:szCs w:val="24"/>
        </w:rPr>
        <w:t>V roku 2022 bola podpísaná historicky prvá licenčná zmluva</w:t>
      </w:r>
      <w:r w:rsidRPr="000A64F1">
        <w:rPr>
          <w:sz w:val="24"/>
          <w:szCs w:val="24"/>
        </w:rPr>
        <w:t xml:space="preserve"> na využitie vynálezu, konkrétne Granulátora partikulárneho materiálu s matricou, na ktorom sa spoločne podieľali zamestnanci Strojníckej fakulty STU: doc. Ing. Peter Peciar, PhD., prof. Ing. Roman Fekete, PhD., prof. Ing. Marián Peciar, PhD. a Ing. Oliver Macho, PhD.</w:t>
      </w:r>
    </w:p>
    <w:p w14:paraId="5F688E0E" w14:textId="77777777" w:rsidR="00B555B7" w:rsidRPr="000A64F1" w:rsidRDefault="00B555B7" w:rsidP="00B555B7">
      <w:pPr>
        <w:pStyle w:val="Bezriadkovania"/>
        <w:jc w:val="both"/>
        <w:rPr>
          <w:sz w:val="24"/>
          <w:szCs w:val="24"/>
        </w:rPr>
      </w:pPr>
    </w:p>
    <w:p w14:paraId="491E918B" w14:textId="77777777" w:rsidR="00B555B7" w:rsidRPr="000A64F1" w:rsidRDefault="00B555B7" w:rsidP="00B555B7">
      <w:pPr>
        <w:pStyle w:val="Bezriadkovania"/>
        <w:jc w:val="both"/>
        <w:rPr>
          <w:sz w:val="24"/>
          <w:szCs w:val="24"/>
        </w:rPr>
      </w:pPr>
      <w:r w:rsidRPr="000A64F1">
        <w:rPr>
          <w:sz w:val="24"/>
          <w:szCs w:val="24"/>
        </w:rPr>
        <w:t xml:space="preserve">Prihlasovanie do zahraničia: 2 Európske patentové prihlášky, 1 národná patentová prihláška v Japonsku, 1 národná patentová prihláška v USA a 1 národná patentová prihláška v Číne. </w:t>
      </w:r>
    </w:p>
    <w:p w14:paraId="34C24EE6" w14:textId="77777777" w:rsidR="00B555B7" w:rsidRPr="000A64F1" w:rsidRDefault="00B555B7" w:rsidP="00B555B7">
      <w:pPr>
        <w:pStyle w:val="Bezriadkovania"/>
        <w:jc w:val="both"/>
        <w:rPr>
          <w:sz w:val="24"/>
          <w:szCs w:val="24"/>
        </w:rPr>
      </w:pPr>
    </w:p>
    <w:p w14:paraId="68824927" w14:textId="4980E70E" w:rsidR="00B555B7" w:rsidRPr="000A64F1" w:rsidRDefault="00B555B7" w:rsidP="00B555B7">
      <w:pPr>
        <w:pStyle w:val="Bezriadkovania"/>
        <w:jc w:val="both"/>
        <w:rPr>
          <w:sz w:val="24"/>
          <w:szCs w:val="24"/>
        </w:rPr>
      </w:pPr>
      <w:r w:rsidRPr="000A64F1">
        <w:rPr>
          <w:sz w:val="24"/>
          <w:szCs w:val="24"/>
        </w:rPr>
        <w:t>Zamestnanci KSP počas celého roka 2022 aktívne participovali na projekte Národná infraštruktúra pre podporu transferu technológií na Slovensku – NITT SK II</w:t>
      </w:r>
      <w:r>
        <w:rPr>
          <w:sz w:val="24"/>
          <w:szCs w:val="24"/>
        </w:rPr>
        <w:t>. Na konferencii</w:t>
      </w:r>
      <w:r w:rsidRPr="000A64F1">
        <w:rPr>
          <w:sz w:val="24"/>
          <w:szCs w:val="24"/>
        </w:rPr>
        <w:t xml:space="preserve"> „Cooperation Innovation Tech</w:t>
      </w:r>
      <w:r>
        <w:rPr>
          <w:sz w:val="24"/>
          <w:szCs w:val="24"/>
        </w:rPr>
        <w:t>nology Transfer 2022“</w:t>
      </w:r>
      <w:r w:rsidRPr="000A64F1">
        <w:rPr>
          <w:sz w:val="24"/>
          <w:szCs w:val="24"/>
        </w:rPr>
        <w:t xml:space="preserve"> </w:t>
      </w:r>
      <w:r>
        <w:rPr>
          <w:sz w:val="24"/>
          <w:szCs w:val="24"/>
        </w:rPr>
        <w:t>zameranej na z</w:t>
      </w:r>
      <w:r w:rsidRPr="000A64F1">
        <w:rPr>
          <w:sz w:val="24"/>
          <w:szCs w:val="24"/>
        </w:rPr>
        <w:t>jednodušenie kontaktu medzi akademickou a podnikateľskou sférou pri transfere technológií STU reprezentovali ako rečníci viacerí zam</w:t>
      </w:r>
      <w:r>
        <w:rPr>
          <w:sz w:val="24"/>
          <w:szCs w:val="24"/>
        </w:rPr>
        <w:t xml:space="preserve">estnanci STU. </w:t>
      </w:r>
    </w:p>
    <w:p w14:paraId="693D3A00" w14:textId="77777777" w:rsidR="00B555B7" w:rsidRPr="000A64F1" w:rsidRDefault="00B555B7" w:rsidP="00B555B7">
      <w:pPr>
        <w:pStyle w:val="Bezriadkovania"/>
        <w:jc w:val="both"/>
        <w:rPr>
          <w:sz w:val="24"/>
          <w:szCs w:val="24"/>
        </w:rPr>
      </w:pPr>
    </w:p>
    <w:p w14:paraId="29EB66D4" w14:textId="77777777" w:rsidR="00B555B7" w:rsidRPr="000A64F1" w:rsidRDefault="00B555B7" w:rsidP="00B555B7">
      <w:pPr>
        <w:pStyle w:val="Bezriadkovania"/>
        <w:jc w:val="both"/>
        <w:rPr>
          <w:sz w:val="24"/>
          <w:szCs w:val="24"/>
        </w:rPr>
      </w:pPr>
      <w:r w:rsidRPr="000A64F1">
        <w:rPr>
          <w:sz w:val="24"/>
          <w:szCs w:val="24"/>
        </w:rPr>
        <w:t xml:space="preserve">Udelené/zapísané predmety priemyselného vlastníctva STU v roku 2022 v registri Úradu priemyselného vlastníctva SR: </w:t>
      </w:r>
    </w:p>
    <w:p w14:paraId="46D48C09" w14:textId="77777777" w:rsidR="00B555B7" w:rsidRPr="000A64F1" w:rsidRDefault="00B555B7" w:rsidP="00B555B7">
      <w:pPr>
        <w:pStyle w:val="Bezriadkovania"/>
        <w:jc w:val="both"/>
        <w:rPr>
          <w:sz w:val="24"/>
          <w:szCs w:val="24"/>
        </w:rPr>
      </w:pPr>
    </w:p>
    <w:p w14:paraId="630D17E0" w14:textId="77777777" w:rsidR="00B555B7" w:rsidRPr="000A64F1" w:rsidRDefault="00B555B7" w:rsidP="00E027F7">
      <w:pPr>
        <w:pStyle w:val="Bezriadkovania"/>
        <w:numPr>
          <w:ilvl w:val="0"/>
          <w:numId w:val="24"/>
        </w:numPr>
        <w:jc w:val="both"/>
        <w:rPr>
          <w:sz w:val="24"/>
          <w:szCs w:val="24"/>
        </w:rPr>
      </w:pPr>
      <w:r w:rsidRPr="000A64F1">
        <w:rPr>
          <w:b/>
          <w:sz w:val="24"/>
          <w:szCs w:val="24"/>
        </w:rPr>
        <w:t>Patent č. 288934</w:t>
      </w:r>
      <w:r w:rsidRPr="000A64F1">
        <w:rPr>
          <w:sz w:val="24"/>
          <w:szCs w:val="24"/>
        </w:rPr>
        <w:t>, Kabína nakladača/mobilného pracovného stroja s čelnými vstupnými vysúvacími dverami</w:t>
      </w:r>
    </w:p>
    <w:p w14:paraId="0859C7B7" w14:textId="77777777" w:rsidR="00B555B7" w:rsidRPr="000A64F1" w:rsidRDefault="00B555B7" w:rsidP="00E027F7">
      <w:pPr>
        <w:pStyle w:val="Bezriadkovania"/>
        <w:numPr>
          <w:ilvl w:val="0"/>
          <w:numId w:val="24"/>
        </w:numPr>
        <w:jc w:val="both"/>
        <w:rPr>
          <w:sz w:val="24"/>
          <w:szCs w:val="24"/>
        </w:rPr>
      </w:pPr>
      <w:r w:rsidRPr="000A64F1">
        <w:rPr>
          <w:b/>
          <w:sz w:val="24"/>
          <w:szCs w:val="24"/>
        </w:rPr>
        <w:t>Patent č. 288946</w:t>
      </w:r>
      <w:r w:rsidRPr="000A64F1">
        <w:rPr>
          <w:sz w:val="24"/>
          <w:szCs w:val="24"/>
        </w:rPr>
        <w:t>, Spôsob prípravy α-anoméru aromatických galaktozidov</w:t>
      </w:r>
    </w:p>
    <w:p w14:paraId="774F7B10" w14:textId="77777777" w:rsidR="00B555B7" w:rsidRPr="000A64F1" w:rsidRDefault="00B555B7" w:rsidP="00E027F7">
      <w:pPr>
        <w:pStyle w:val="Bezriadkovania"/>
        <w:numPr>
          <w:ilvl w:val="0"/>
          <w:numId w:val="24"/>
        </w:numPr>
        <w:jc w:val="both"/>
        <w:rPr>
          <w:sz w:val="24"/>
          <w:szCs w:val="24"/>
        </w:rPr>
      </w:pPr>
      <w:r w:rsidRPr="000A64F1">
        <w:rPr>
          <w:b/>
          <w:sz w:val="24"/>
          <w:szCs w:val="24"/>
        </w:rPr>
        <w:t>Patent č. 288948</w:t>
      </w:r>
      <w:r w:rsidRPr="000A64F1">
        <w:rPr>
          <w:sz w:val="24"/>
          <w:szCs w:val="24"/>
        </w:rPr>
        <w:t>, Nástroj a zostava na meranie súosovosti clinchovacích razníkov a razníc</w:t>
      </w:r>
    </w:p>
    <w:p w14:paraId="3F310EDF" w14:textId="77777777" w:rsidR="00B555B7" w:rsidRPr="000A64F1" w:rsidRDefault="00B555B7" w:rsidP="00E027F7">
      <w:pPr>
        <w:pStyle w:val="Bezriadkovania"/>
        <w:numPr>
          <w:ilvl w:val="0"/>
          <w:numId w:val="24"/>
        </w:numPr>
        <w:jc w:val="both"/>
        <w:rPr>
          <w:sz w:val="24"/>
          <w:szCs w:val="24"/>
        </w:rPr>
      </w:pPr>
      <w:r w:rsidRPr="000A64F1">
        <w:rPr>
          <w:b/>
          <w:sz w:val="24"/>
          <w:szCs w:val="24"/>
        </w:rPr>
        <w:t>Patent č. 288951</w:t>
      </w:r>
      <w:r w:rsidRPr="000A64F1">
        <w:rPr>
          <w:sz w:val="24"/>
          <w:szCs w:val="24"/>
        </w:rPr>
        <w:t xml:space="preserve">, Postup prípravy aragonitových častíc zo síranu vápenatého </w:t>
      </w:r>
    </w:p>
    <w:p w14:paraId="581456CE" w14:textId="77777777" w:rsidR="00B555B7" w:rsidRPr="000A64F1" w:rsidRDefault="00B555B7" w:rsidP="00E027F7">
      <w:pPr>
        <w:pStyle w:val="Bezriadkovania"/>
        <w:numPr>
          <w:ilvl w:val="0"/>
          <w:numId w:val="24"/>
        </w:numPr>
        <w:jc w:val="both"/>
        <w:rPr>
          <w:sz w:val="24"/>
          <w:szCs w:val="24"/>
        </w:rPr>
      </w:pPr>
      <w:r w:rsidRPr="000A64F1">
        <w:rPr>
          <w:b/>
          <w:sz w:val="24"/>
          <w:szCs w:val="24"/>
        </w:rPr>
        <w:t>Patent č. 288956</w:t>
      </w:r>
      <w:r w:rsidRPr="000A64F1">
        <w:rPr>
          <w:sz w:val="24"/>
          <w:szCs w:val="24"/>
        </w:rPr>
        <w:t>, Aktívny elektronický blokovací systém tankovacej pištole pri tankovaní nesprávneho druhu pohonných hmôt</w:t>
      </w:r>
    </w:p>
    <w:p w14:paraId="1F52F5DA" w14:textId="77777777" w:rsidR="00B555B7" w:rsidRPr="000A64F1" w:rsidRDefault="00B555B7" w:rsidP="00E027F7">
      <w:pPr>
        <w:pStyle w:val="Bezriadkovania"/>
        <w:numPr>
          <w:ilvl w:val="0"/>
          <w:numId w:val="24"/>
        </w:numPr>
        <w:ind w:left="714" w:hanging="357"/>
        <w:jc w:val="both"/>
        <w:rPr>
          <w:sz w:val="24"/>
          <w:szCs w:val="24"/>
        </w:rPr>
      </w:pPr>
      <w:r w:rsidRPr="000A64F1">
        <w:rPr>
          <w:b/>
          <w:sz w:val="24"/>
          <w:szCs w:val="24"/>
        </w:rPr>
        <w:t>Patent č. 288964</w:t>
      </w:r>
      <w:r w:rsidRPr="000A64F1">
        <w:rPr>
          <w:sz w:val="24"/>
          <w:szCs w:val="24"/>
        </w:rPr>
        <w:t xml:space="preserve">, Smart multifunkčný kĺb </w:t>
      </w:r>
    </w:p>
    <w:p w14:paraId="4CAE7DF1" w14:textId="77777777" w:rsidR="00B555B7" w:rsidRPr="000A64F1" w:rsidRDefault="00B555B7" w:rsidP="00E027F7">
      <w:pPr>
        <w:pStyle w:val="Bezriadkovania"/>
        <w:numPr>
          <w:ilvl w:val="0"/>
          <w:numId w:val="24"/>
        </w:numPr>
        <w:jc w:val="both"/>
        <w:rPr>
          <w:sz w:val="24"/>
          <w:szCs w:val="24"/>
        </w:rPr>
      </w:pPr>
      <w:r w:rsidRPr="000A64F1">
        <w:rPr>
          <w:b/>
          <w:sz w:val="24"/>
          <w:szCs w:val="24"/>
        </w:rPr>
        <w:t>Patent č. 288969</w:t>
      </w:r>
      <w:r w:rsidRPr="000A64F1">
        <w:rPr>
          <w:sz w:val="24"/>
          <w:szCs w:val="24"/>
        </w:rPr>
        <w:t>, Elektrický kompostér na spracovanie bioodpadov a/alebo bioplastov</w:t>
      </w:r>
    </w:p>
    <w:p w14:paraId="5D2266E8" w14:textId="77777777" w:rsidR="00B555B7" w:rsidRPr="000A64F1" w:rsidRDefault="00B555B7" w:rsidP="00E027F7">
      <w:pPr>
        <w:pStyle w:val="Bezriadkovania"/>
        <w:numPr>
          <w:ilvl w:val="0"/>
          <w:numId w:val="24"/>
        </w:numPr>
        <w:jc w:val="both"/>
        <w:rPr>
          <w:sz w:val="24"/>
          <w:szCs w:val="24"/>
        </w:rPr>
      </w:pPr>
      <w:r w:rsidRPr="000A64F1">
        <w:rPr>
          <w:b/>
          <w:sz w:val="24"/>
          <w:szCs w:val="24"/>
        </w:rPr>
        <w:t>Patent č. 288984</w:t>
      </w:r>
      <w:r w:rsidRPr="000A64F1">
        <w:rPr>
          <w:sz w:val="24"/>
          <w:szCs w:val="24"/>
        </w:rPr>
        <w:t>, Spôsob a zariadenie na automatickú kalibráciu pracoviska priemyselného robota</w:t>
      </w:r>
    </w:p>
    <w:p w14:paraId="0BD2C2C1" w14:textId="77777777" w:rsidR="00B555B7" w:rsidRPr="000A64F1" w:rsidRDefault="00B555B7" w:rsidP="00E027F7">
      <w:pPr>
        <w:pStyle w:val="Bezriadkovania"/>
        <w:numPr>
          <w:ilvl w:val="0"/>
          <w:numId w:val="24"/>
        </w:numPr>
        <w:jc w:val="both"/>
        <w:rPr>
          <w:sz w:val="24"/>
          <w:szCs w:val="24"/>
        </w:rPr>
      </w:pPr>
      <w:r w:rsidRPr="000A64F1">
        <w:rPr>
          <w:b/>
          <w:sz w:val="24"/>
          <w:szCs w:val="24"/>
        </w:rPr>
        <w:t>Patent č. 288988</w:t>
      </w:r>
      <w:r w:rsidRPr="000A64F1">
        <w:rPr>
          <w:sz w:val="24"/>
          <w:szCs w:val="24"/>
        </w:rPr>
        <w:t>, Ventil pár monoméru parylénu</w:t>
      </w:r>
    </w:p>
    <w:p w14:paraId="2F860BE1" w14:textId="77777777" w:rsidR="00B555B7" w:rsidRPr="000A64F1" w:rsidRDefault="00B555B7" w:rsidP="00E027F7">
      <w:pPr>
        <w:pStyle w:val="Bezriadkovania"/>
        <w:numPr>
          <w:ilvl w:val="0"/>
          <w:numId w:val="24"/>
        </w:numPr>
        <w:jc w:val="both"/>
        <w:rPr>
          <w:sz w:val="24"/>
          <w:szCs w:val="24"/>
        </w:rPr>
      </w:pPr>
      <w:r w:rsidRPr="000A64F1">
        <w:rPr>
          <w:b/>
          <w:sz w:val="24"/>
          <w:szCs w:val="24"/>
        </w:rPr>
        <w:t>Patent č. 288989</w:t>
      </w:r>
      <w:r w:rsidRPr="000A64F1">
        <w:rPr>
          <w:sz w:val="24"/>
          <w:szCs w:val="24"/>
        </w:rPr>
        <w:t xml:space="preserve">, Difúzor pár monoméru parylénu </w:t>
      </w:r>
    </w:p>
    <w:p w14:paraId="44827F32" w14:textId="77777777" w:rsidR="00B555B7" w:rsidRPr="000A64F1" w:rsidRDefault="00B555B7" w:rsidP="00E027F7">
      <w:pPr>
        <w:pStyle w:val="Bezriadkovania"/>
        <w:numPr>
          <w:ilvl w:val="0"/>
          <w:numId w:val="24"/>
        </w:numPr>
        <w:jc w:val="both"/>
        <w:rPr>
          <w:sz w:val="24"/>
          <w:szCs w:val="24"/>
        </w:rPr>
      </w:pPr>
      <w:r w:rsidRPr="000A64F1">
        <w:rPr>
          <w:b/>
          <w:sz w:val="24"/>
          <w:szCs w:val="24"/>
        </w:rPr>
        <w:t>Patent č. 289009</w:t>
      </w:r>
      <w:r w:rsidRPr="000A64F1">
        <w:rPr>
          <w:sz w:val="24"/>
          <w:szCs w:val="24"/>
        </w:rPr>
        <w:t xml:space="preserve">, Zapojenie obvodu pozorovateľa vstupnej poruchy s filtrom FIR pre sústavy s dominantnou dynamikou 1. rádu </w:t>
      </w:r>
    </w:p>
    <w:p w14:paraId="5D566D71" w14:textId="77777777" w:rsidR="00B555B7" w:rsidRPr="000A64F1" w:rsidRDefault="00B555B7" w:rsidP="00E027F7">
      <w:pPr>
        <w:pStyle w:val="Bezriadkovania"/>
        <w:numPr>
          <w:ilvl w:val="0"/>
          <w:numId w:val="24"/>
        </w:numPr>
        <w:jc w:val="both"/>
        <w:rPr>
          <w:rFonts w:cs="Calibri"/>
          <w:sz w:val="24"/>
          <w:szCs w:val="24"/>
        </w:rPr>
      </w:pPr>
      <w:r w:rsidRPr="000A64F1">
        <w:rPr>
          <w:rFonts w:cs="Calibri"/>
          <w:b/>
          <w:sz w:val="24"/>
          <w:szCs w:val="24"/>
        </w:rPr>
        <w:t>Patent č. 289011</w:t>
      </w:r>
      <w:r w:rsidRPr="000A64F1">
        <w:rPr>
          <w:rFonts w:cs="Calibri"/>
          <w:sz w:val="24"/>
          <w:szCs w:val="24"/>
        </w:rPr>
        <w:t>, Dvojzávitovkový kontinuálny granulátor partikulárneho materiálu</w:t>
      </w:r>
    </w:p>
    <w:p w14:paraId="57B15E71" w14:textId="77777777" w:rsidR="00B555B7" w:rsidRPr="000A64F1" w:rsidRDefault="00B555B7" w:rsidP="00E027F7">
      <w:pPr>
        <w:pStyle w:val="Bezriadkovania"/>
        <w:numPr>
          <w:ilvl w:val="0"/>
          <w:numId w:val="24"/>
        </w:numPr>
        <w:jc w:val="both"/>
        <w:rPr>
          <w:rFonts w:cs="Calibri"/>
          <w:sz w:val="24"/>
          <w:szCs w:val="24"/>
        </w:rPr>
      </w:pPr>
      <w:r w:rsidRPr="000A64F1">
        <w:rPr>
          <w:rFonts w:cs="Calibri"/>
          <w:b/>
          <w:sz w:val="24"/>
          <w:szCs w:val="24"/>
        </w:rPr>
        <w:t>Patent č. 289017</w:t>
      </w:r>
      <w:r w:rsidRPr="000A64F1">
        <w:rPr>
          <w:rFonts w:cs="Calibri"/>
          <w:sz w:val="24"/>
          <w:szCs w:val="24"/>
        </w:rPr>
        <w:t>, Prípravok na úpravu koncov rúr pred ťahaním</w:t>
      </w:r>
    </w:p>
    <w:p w14:paraId="4A80FF73" w14:textId="77777777" w:rsidR="00B555B7" w:rsidRPr="000A64F1" w:rsidRDefault="00B555B7" w:rsidP="00E027F7">
      <w:pPr>
        <w:pStyle w:val="Bezriadkovania"/>
        <w:numPr>
          <w:ilvl w:val="0"/>
          <w:numId w:val="24"/>
        </w:numPr>
        <w:jc w:val="both"/>
        <w:rPr>
          <w:rFonts w:cs="Calibri"/>
          <w:sz w:val="24"/>
          <w:szCs w:val="24"/>
        </w:rPr>
      </w:pPr>
      <w:r w:rsidRPr="000A64F1">
        <w:rPr>
          <w:rFonts w:cs="Calibri"/>
          <w:b/>
          <w:sz w:val="24"/>
          <w:szCs w:val="24"/>
        </w:rPr>
        <w:t>Patent č. 289018</w:t>
      </w:r>
      <w:r w:rsidRPr="000A64F1">
        <w:rPr>
          <w:rFonts w:cs="Calibri"/>
          <w:sz w:val="24"/>
          <w:szCs w:val="24"/>
        </w:rPr>
        <w:t xml:space="preserve">, Zapojenie ovládania na aktiváciu a časovanie zapálenia pyrotechnického palníka </w:t>
      </w:r>
    </w:p>
    <w:p w14:paraId="51D4B5EB" w14:textId="77777777" w:rsidR="00B555B7" w:rsidRPr="000A64F1" w:rsidRDefault="00B555B7" w:rsidP="00E027F7">
      <w:pPr>
        <w:pStyle w:val="Bezriadkovania"/>
        <w:numPr>
          <w:ilvl w:val="0"/>
          <w:numId w:val="24"/>
        </w:numPr>
        <w:jc w:val="both"/>
        <w:rPr>
          <w:rFonts w:cs="Calibri"/>
          <w:sz w:val="24"/>
          <w:szCs w:val="24"/>
        </w:rPr>
      </w:pPr>
      <w:r w:rsidRPr="000A64F1">
        <w:rPr>
          <w:rFonts w:cs="Calibri"/>
          <w:b/>
          <w:sz w:val="24"/>
          <w:szCs w:val="24"/>
        </w:rPr>
        <w:t>Patent č. 289023</w:t>
      </w:r>
      <w:r w:rsidRPr="000A64F1">
        <w:rPr>
          <w:rFonts w:cs="Calibri"/>
          <w:sz w:val="24"/>
          <w:szCs w:val="24"/>
        </w:rPr>
        <w:t>, Výmenník tepla s koaxiálnymi skrutkovito stočenými rúrami</w:t>
      </w:r>
    </w:p>
    <w:p w14:paraId="6853DBB9" w14:textId="77777777" w:rsidR="00B555B7" w:rsidRPr="00B555B7" w:rsidRDefault="00B555B7" w:rsidP="00E027F7">
      <w:pPr>
        <w:pStyle w:val="Odsekzoznamu"/>
        <w:numPr>
          <w:ilvl w:val="0"/>
          <w:numId w:val="24"/>
        </w:numPr>
        <w:spacing w:after="0"/>
        <w:rPr>
          <w:rFonts w:cs="Calibri"/>
          <w:sz w:val="24"/>
          <w:szCs w:val="24"/>
        </w:rPr>
      </w:pPr>
      <w:r w:rsidRPr="00B555B7">
        <w:rPr>
          <w:rFonts w:cs="Calibri"/>
          <w:b/>
          <w:sz w:val="24"/>
          <w:szCs w:val="24"/>
        </w:rPr>
        <w:t>Patent č. 289024</w:t>
      </w:r>
      <w:r w:rsidRPr="00B555B7">
        <w:rPr>
          <w:rFonts w:cs="Calibri"/>
          <w:sz w:val="24"/>
          <w:szCs w:val="24"/>
        </w:rPr>
        <w:t>, Zariadenie na snímanie uhla hojdania bremena žeriava</w:t>
      </w:r>
    </w:p>
    <w:p w14:paraId="742142DD" w14:textId="77777777" w:rsidR="00B555B7" w:rsidRPr="00B555B7" w:rsidRDefault="00B555B7" w:rsidP="00E027F7">
      <w:pPr>
        <w:pStyle w:val="Odsekzoznamu"/>
        <w:numPr>
          <w:ilvl w:val="0"/>
          <w:numId w:val="24"/>
        </w:numPr>
        <w:spacing w:after="0"/>
        <w:rPr>
          <w:rFonts w:cs="Calibri"/>
          <w:sz w:val="24"/>
          <w:szCs w:val="24"/>
        </w:rPr>
      </w:pPr>
      <w:r w:rsidRPr="00B555B7">
        <w:rPr>
          <w:rFonts w:cs="Calibri"/>
          <w:b/>
          <w:sz w:val="24"/>
          <w:szCs w:val="24"/>
        </w:rPr>
        <w:t>Patent č. 289031</w:t>
      </w:r>
      <w:r w:rsidRPr="00B555B7">
        <w:rPr>
          <w:rFonts w:cs="Calibri"/>
          <w:sz w:val="24"/>
          <w:szCs w:val="24"/>
        </w:rPr>
        <w:t>, Systém na automatické čistenie podláh</w:t>
      </w:r>
    </w:p>
    <w:p w14:paraId="3B0EFF63" w14:textId="77777777" w:rsidR="00B555B7" w:rsidRPr="00B555B7" w:rsidRDefault="00B555B7" w:rsidP="00B555B7">
      <w:pPr>
        <w:pStyle w:val="Odsekzoznamu"/>
        <w:jc w:val="both"/>
        <w:rPr>
          <w:rFonts w:cs="Calibri"/>
          <w:sz w:val="24"/>
          <w:szCs w:val="24"/>
        </w:rPr>
      </w:pPr>
    </w:p>
    <w:p w14:paraId="49685068"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9421</w:t>
      </w:r>
      <w:r w:rsidRPr="00B555B7">
        <w:rPr>
          <w:rFonts w:cs="Calibri"/>
          <w:sz w:val="24"/>
          <w:szCs w:val="24"/>
        </w:rPr>
        <w:t>, Polotuhá tlmiaca spojovacia tyč pre železničné vozne s pružnými pohárikmi</w:t>
      </w:r>
    </w:p>
    <w:p w14:paraId="41E17EA5"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9422</w:t>
      </w:r>
      <w:r w:rsidRPr="00B555B7">
        <w:rPr>
          <w:rFonts w:cs="Calibri"/>
          <w:sz w:val="24"/>
          <w:szCs w:val="24"/>
        </w:rPr>
        <w:t>, Polotuhá spojovacia tyč pre železničné vozne s lanom a tlmiacimi kovovými blokmi</w:t>
      </w:r>
    </w:p>
    <w:p w14:paraId="02C46A1E"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9426</w:t>
      </w:r>
      <w:r w:rsidRPr="00B555B7">
        <w:rPr>
          <w:rFonts w:cs="Calibri"/>
          <w:sz w:val="24"/>
          <w:szCs w:val="24"/>
        </w:rPr>
        <w:t>, Polotuhá tlmiaca spojovacia tyč pre železničné vozne s kardanovým kĺbom</w:t>
      </w:r>
    </w:p>
    <w:p w14:paraId="4427C323"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lastRenderedPageBreak/>
        <w:t>Úžitkový vzor č. 9430</w:t>
      </w:r>
      <w:r w:rsidRPr="00B555B7">
        <w:rPr>
          <w:rFonts w:cs="Calibri"/>
          <w:sz w:val="24"/>
          <w:szCs w:val="24"/>
        </w:rPr>
        <w:t xml:space="preserve">, Aktívna spájkovacia zliatina na báze Zn s prídavkom Ti </w:t>
      </w:r>
    </w:p>
    <w:p w14:paraId="4475DF12"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9463</w:t>
      </w:r>
      <w:r w:rsidRPr="00B555B7">
        <w:rPr>
          <w:rFonts w:cs="Calibri"/>
          <w:sz w:val="24"/>
          <w:szCs w:val="24"/>
        </w:rPr>
        <w:t>, Spôsob kontroly požiarnych charakteristík elektrických káblov</w:t>
      </w:r>
    </w:p>
    <w:p w14:paraId="78FB9FB6"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9464</w:t>
      </w:r>
      <w:r w:rsidRPr="00B555B7">
        <w:rPr>
          <w:rFonts w:cs="Calibri"/>
          <w:sz w:val="24"/>
          <w:szCs w:val="24"/>
        </w:rPr>
        <w:t>, Bezpečnostný systém manipulátora</w:t>
      </w:r>
    </w:p>
    <w:p w14:paraId="682AF1B7"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9493</w:t>
      </w:r>
      <w:r w:rsidRPr="00B555B7">
        <w:rPr>
          <w:rFonts w:cs="Calibri"/>
          <w:sz w:val="24"/>
          <w:szCs w:val="24"/>
        </w:rPr>
        <w:t>, Spôsob opravy hlavy valcov piestového stroja s priamočiarym vratným pohybom</w:t>
      </w:r>
    </w:p>
    <w:p w14:paraId="5287E933"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9508</w:t>
      </w:r>
      <w:r w:rsidRPr="00B555B7">
        <w:rPr>
          <w:rFonts w:cs="Calibri"/>
          <w:sz w:val="24"/>
          <w:szCs w:val="24"/>
        </w:rPr>
        <w:t>, Nôž do strunovej kosačky so zvlnenou čepeľou</w:t>
      </w:r>
    </w:p>
    <w:p w14:paraId="430A1CB3"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9518</w:t>
      </w:r>
      <w:r w:rsidRPr="00B555B7">
        <w:rPr>
          <w:rFonts w:cs="Calibri"/>
          <w:sz w:val="24"/>
          <w:szCs w:val="24"/>
        </w:rPr>
        <w:t>, Testovacie zariadenie s implementovaným modelovým pohonom elektromobilu</w:t>
      </w:r>
    </w:p>
    <w:p w14:paraId="75FBCA54"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9537</w:t>
      </w:r>
      <w:r w:rsidRPr="00B555B7">
        <w:rPr>
          <w:rFonts w:cs="Calibri"/>
          <w:sz w:val="24"/>
          <w:szCs w:val="24"/>
        </w:rPr>
        <w:t>, Temperovaný rotačný homogenizátor partikulárneho materiálu s vizuálnou kontrolou procesu miešania</w:t>
      </w:r>
    </w:p>
    <w:p w14:paraId="578DE769"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9551</w:t>
      </w:r>
      <w:r w:rsidRPr="00B555B7">
        <w:rPr>
          <w:rFonts w:cs="Calibri"/>
          <w:sz w:val="24"/>
          <w:szCs w:val="24"/>
        </w:rPr>
        <w:t>, Spôsob kontroly držania volantu vozidla a zapojenie</w:t>
      </w:r>
    </w:p>
    <w:p w14:paraId="79F37A63"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9568</w:t>
      </w:r>
      <w:r w:rsidRPr="00B555B7">
        <w:rPr>
          <w:rFonts w:cs="Calibri"/>
          <w:sz w:val="24"/>
          <w:szCs w:val="24"/>
        </w:rPr>
        <w:t>, Skúšobné filtračné testovacie zariadenie na zachytávanie aerosólov obsahujúcich škodlivé mikroorganizmy</w:t>
      </w:r>
    </w:p>
    <w:p w14:paraId="0CAB209A"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9571</w:t>
      </w:r>
      <w:r w:rsidRPr="00B555B7">
        <w:rPr>
          <w:rFonts w:cs="Calibri"/>
          <w:sz w:val="24"/>
          <w:szCs w:val="24"/>
        </w:rPr>
        <w:t>, Diagnostický senzor vretenníka</w:t>
      </w:r>
    </w:p>
    <w:p w14:paraId="1C0E7882"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9578</w:t>
      </w:r>
      <w:r w:rsidRPr="00B555B7">
        <w:rPr>
          <w:rFonts w:cs="Calibri"/>
          <w:sz w:val="24"/>
          <w:szCs w:val="24"/>
        </w:rPr>
        <w:t>, Systém robotického polohovania zváraných súčastí pomocou silovo-momentového snímača</w:t>
      </w:r>
    </w:p>
    <w:p w14:paraId="7231CE6B"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9579</w:t>
      </w:r>
      <w:r w:rsidRPr="00B555B7">
        <w:rPr>
          <w:rFonts w:cs="Calibri"/>
          <w:sz w:val="24"/>
          <w:szCs w:val="24"/>
        </w:rPr>
        <w:t>, Spôsob získavania glukorafanínu z vesnovky obyčajnej</w:t>
      </w:r>
    </w:p>
    <w:p w14:paraId="7BC8CBBD"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9592</w:t>
      </w:r>
      <w:r w:rsidRPr="00B555B7">
        <w:rPr>
          <w:rFonts w:cs="Calibri"/>
          <w:sz w:val="24"/>
          <w:szCs w:val="24"/>
        </w:rPr>
        <w:t>, Nástroj na prekreslenie digitálneho obrázka robotickou kresbou, spôsob prekreslenia obrázka robotickou kresbou a spôsob kalibrácie nástroja</w:t>
      </w:r>
    </w:p>
    <w:p w14:paraId="613D0F03"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9593</w:t>
      </w:r>
      <w:r w:rsidRPr="00B555B7">
        <w:rPr>
          <w:rFonts w:cs="Calibri"/>
          <w:sz w:val="24"/>
          <w:szCs w:val="24"/>
        </w:rPr>
        <w:t>, Zariadenie a spôsob merania mechanických vlastností na vopred stanovenom mieste zvarového spoja</w:t>
      </w:r>
    </w:p>
    <w:p w14:paraId="7E75E1F1"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9595</w:t>
      </w:r>
      <w:r w:rsidRPr="00B555B7">
        <w:rPr>
          <w:rFonts w:cs="Calibri"/>
          <w:sz w:val="24"/>
          <w:szCs w:val="24"/>
        </w:rPr>
        <w:t>, Zariadenie na meranie relatívnych premiestnení, systém na rýchlu diagnostiku obsahujúci uvedené zariadenie a spôsob diagnostiky a monitorovania technického stavu priehradovej mostnej konštrukcie uvedeným systémom</w:t>
      </w:r>
    </w:p>
    <w:p w14:paraId="0B69E46C"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9609</w:t>
      </w:r>
      <w:r w:rsidRPr="00B555B7">
        <w:rPr>
          <w:rFonts w:cs="Calibri"/>
          <w:sz w:val="24"/>
          <w:szCs w:val="24"/>
        </w:rPr>
        <w:t>, Multifunkčný komunikačný bod na implementáciu v telemedicíne</w:t>
      </w:r>
    </w:p>
    <w:p w14:paraId="786CBF19"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9613</w:t>
      </w:r>
      <w:r w:rsidRPr="00B555B7">
        <w:rPr>
          <w:rFonts w:cs="Calibri"/>
          <w:sz w:val="24"/>
          <w:szCs w:val="24"/>
        </w:rPr>
        <w:t>, Kolaboratívny robotický systém na interagovanie pomocou ukazovacích gest a spôsob jeho činnosti</w:t>
      </w:r>
    </w:p>
    <w:p w14:paraId="7EEC274D"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9618</w:t>
      </w:r>
      <w:r w:rsidRPr="00B555B7">
        <w:rPr>
          <w:rFonts w:cs="Calibri"/>
          <w:sz w:val="24"/>
          <w:szCs w:val="24"/>
        </w:rPr>
        <w:t>, Mikroprocesorová platforma s vnoreným dynamickým procesom</w:t>
      </w:r>
    </w:p>
    <w:p w14:paraId="44ACB3AD"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9632</w:t>
      </w:r>
      <w:r w:rsidRPr="00B555B7">
        <w:rPr>
          <w:rFonts w:cs="Calibri"/>
          <w:sz w:val="24"/>
          <w:szCs w:val="24"/>
        </w:rPr>
        <w:t>, Komplexné zariadenie s prestupovou komorou na difúznu úpravu vlastností surovín</w:t>
      </w:r>
    </w:p>
    <w:p w14:paraId="3075D3AF"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9633</w:t>
      </w:r>
      <w:r w:rsidRPr="00B555B7">
        <w:rPr>
          <w:rFonts w:cs="Calibri"/>
          <w:sz w:val="24"/>
          <w:szCs w:val="24"/>
        </w:rPr>
        <w:t>, Komplex ventilov s prestupovou komorou na spoľahlivú separáciu dvoch priestorov</w:t>
      </w:r>
    </w:p>
    <w:p w14:paraId="3346A044"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9634</w:t>
      </w:r>
      <w:r w:rsidRPr="00B555B7">
        <w:rPr>
          <w:rFonts w:cs="Calibri"/>
          <w:sz w:val="24"/>
          <w:szCs w:val="24"/>
        </w:rPr>
        <w:t>, Difúzna komora na účinnú úpravu vlastností surovín</w:t>
      </w:r>
    </w:p>
    <w:p w14:paraId="377F1351"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9635</w:t>
      </w:r>
      <w:r w:rsidRPr="00B555B7">
        <w:rPr>
          <w:rFonts w:cs="Calibri"/>
          <w:sz w:val="24"/>
          <w:szCs w:val="24"/>
        </w:rPr>
        <w:t>, Komplexné zariadenie nízkoenergetického znižovania vlhkosti surovín s efektom prestupovej komory</w:t>
      </w:r>
    </w:p>
    <w:p w14:paraId="2114D043"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9647</w:t>
      </w:r>
      <w:r w:rsidRPr="00B555B7">
        <w:rPr>
          <w:rFonts w:cs="Calibri"/>
          <w:sz w:val="24"/>
          <w:szCs w:val="24"/>
        </w:rPr>
        <w:t>, Zariadenie na výrobu nylonových pružín</w:t>
      </w:r>
    </w:p>
    <w:p w14:paraId="368658E8" w14:textId="77777777" w:rsidR="00B555B7" w:rsidRPr="00B555B7" w:rsidRDefault="00B555B7" w:rsidP="00E027F7">
      <w:pPr>
        <w:pStyle w:val="Odsekzoznamu"/>
        <w:numPr>
          <w:ilvl w:val="0"/>
          <w:numId w:val="25"/>
        </w:numPr>
        <w:spacing w:after="0"/>
        <w:ind w:left="714" w:hanging="357"/>
        <w:jc w:val="both"/>
        <w:rPr>
          <w:rFonts w:cs="Calibri"/>
          <w:sz w:val="24"/>
          <w:szCs w:val="24"/>
        </w:rPr>
      </w:pPr>
      <w:r w:rsidRPr="00B555B7">
        <w:rPr>
          <w:rFonts w:cs="Calibri"/>
          <w:b/>
          <w:sz w:val="24"/>
          <w:szCs w:val="24"/>
        </w:rPr>
        <w:t>Úžitkový vzor č. 9660</w:t>
      </w:r>
      <w:r w:rsidRPr="00B555B7">
        <w:rPr>
          <w:rFonts w:cs="Calibri"/>
          <w:sz w:val="24"/>
          <w:szCs w:val="24"/>
        </w:rPr>
        <w:t>, Aktívna spájkovacia zliatina na báze Sn legovaná Sc</w:t>
      </w:r>
    </w:p>
    <w:p w14:paraId="6BB97C8F" w14:textId="77777777" w:rsidR="00B555B7" w:rsidRPr="000A64F1" w:rsidRDefault="00B555B7" w:rsidP="00F44FFC">
      <w:pPr>
        <w:jc w:val="both"/>
        <w:rPr>
          <w:highlight w:val="yellow"/>
        </w:rPr>
      </w:pPr>
    </w:p>
    <w:p w14:paraId="30E6BA22" w14:textId="0ADBE43F" w:rsidR="005D4B0B" w:rsidRPr="000A64F1" w:rsidRDefault="005D4B0B" w:rsidP="005D4B0B">
      <w:pPr>
        <w:jc w:val="both"/>
        <w:rPr>
          <w:rFonts w:eastAsia="Times New Roman" w:cs="Times New Roman"/>
        </w:rPr>
      </w:pPr>
      <w:r w:rsidRPr="000A64F1">
        <w:rPr>
          <w:rFonts w:eastAsia="Times New Roman" w:cs="Times New Roman"/>
        </w:rPr>
        <w:t xml:space="preserve">  </w:t>
      </w:r>
    </w:p>
    <w:p w14:paraId="4AA3E2A5" w14:textId="77777777" w:rsidR="00C63597" w:rsidRPr="000A64F1" w:rsidRDefault="00C63597" w:rsidP="00C63597">
      <w:pPr>
        <w:jc w:val="both"/>
        <w:rPr>
          <w:rFonts w:cstheme="minorHAnsi"/>
        </w:rPr>
      </w:pPr>
    </w:p>
    <w:p w14:paraId="134A3905" w14:textId="570E1357" w:rsidR="00B555B7" w:rsidRPr="000A64F1" w:rsidRDefault="00B555B7" w:rsidP="00B555B7">
      <w:pPr>
        <w:jc w:val="both"/>
        <w:rPr>
          <w:b/>
          <w:sz w:val="28"/>
          <w:szCs w:val="28"/>
        </w:rPr>
      </w:pPr>
      <w:r>
        <w:rPr>
          <w:b/>
          <w:sz w:val="28"/>
          <w:szCs w:val="28"/>
        </w:rPr>
        <w:lastRenderedPageBreak/>
        <w:t>5.5</w:t>
      </w:r>
      <w:r w:rsidRPr="000A64F1">
        <w:rPr>
          <w:b/>
          <w:sz w:val="28"/>
          <w:szCs w:val="28"/>
        </w:rPr>
        <w:t>.2. Univerzitný technologický inkubátor</w:t>
      </w:r>
    </w:p>
    <w:p w14:paraId="217A3EC6" w14:textId="77777777" w:rsidR="00B555B7" w:rsidRPr="000A64F1" w:rsidRDefault="00B555B7" w:rsidP="00B555B7">
      <w:pPr>
        <w:jc w:val="both"/>
        <w:rPr>
          <w:b/>
        </w:rPr>
      </w:pPr>
    </w:p>
    <w:p w14:paraId="4C33530E" w14:textId="08BA0C34" w:rsidR="006D48F6" w:rsidRDefault="00B555B7" w:rsidP="006D48F6">
      <w:pPr>
        <w:spacing w:after="240"/>
        <w:jc w:val="both"/>
      </w:pPr>
      <w:r w:rsidRPr="000A64F1">
        <w:t>Ťažiskom podpory Univerzitného technologického inkubátora STU (UTI STU) je poskytovanie vhodných podmienok na rozvoj podnikateľských nápadov s využitím moderných technológií (</w:t>
      </w:r>
      <w:r w:rsidRPr="000A64F1">
        <w:rPr>
          <w:b/>
        </w:rPr>
        <w:t>3-mesačný program ŠTART</w:t>
      </w:r>
      <w:r w:rsidR="004B4D20">
        <w:t>) a pomoc</w:t>
      </w:r>
      <w:r w:rsidRPr="000A64F1">
        <w:t xml:space="preserve"> pri vzniku a rozvoji startupov (</w:t>
      </w:r>
      <w:r w:rsidRPr="000A64F1">
        <w:rPr>
          <w:b/>
        </w:rPr>
        <w:t>2-ročný program INQB</w:t>
      </w:r>
      <w:r w:rsidRPr="000A64F1">
        <w:t>).</w:t>
      </w:r>
      <w:r w:rsidR="006D48F6">
        <w:t xml:space="preserve"> P</w:t>
      </w:r>
      <w:r w:rsidRPr="000A64F1">
        <w:t>rostredníctvom mentoringu, networkingu, či prihlasovaním projektov/startupov do súťaží</w:t>
      </w:r>
      <w:r w:rsidR="006D48F6" w:rsidRPr="006D48F6">
        <w:t xml:space="preserve"> </w:t>
      </w:r>
      <w:r w:rsidR="006D48F6">
        <w:t xml:space="preserve">pomáha nádejným mladým podnikateľom </w:t>
      </w:r>
      <w:r w:rsidR="006D48F6" w:rsidRPr="000A64F1">
        <w:t>rozv</w:t>
      </w:r>
      <w:r w:rsidR="006D48F6">
        <w:t>íjať podnikateľské zručnosti</w:t>
      </w:r>
      <w:r w:rsidRPr="000A64F1">
        <w:t xml:space="preserve">. Na záver inkubačných programov prezentujú svoj podnikateľský nápad pred odbornou porotou a investormi na podujatí Startup Pitch. </w:t>
      </w:r>
      <w:bookmarkStart w:id="198" w:name="_heading=h.gjdgxs" w:colFirst="0" w:colLast="0"/>
      <w:bookmarkEnd w:id="198"/>
    </w:p>
    <w:p w14:paraId="19240014" w14:textId="783ECC97" w:rsidR="006D48F6" w:rsidRPr="006D48F6" w:rsidRDefault="006D48F6" w:rsidP="006D48F6">
      <w:pPr>
        <w:spacing w:after="240"/>
        <w:jc w:val="both"/>
        <w:rPr>
          <w:color w:val="000000"/>
        </w:rPr>
      </w:pPr>
      <w:r w:rsidRPr="000A64F1">
        <w:t xml:space="preserve">Do programu ŠTART bolo v roku 2022 </w:t>
      </w:r>
      <w:r w:rsidRPr="000A64F1">
        <w:rPr>
          <w:b/>
        </w:rPr>
        <w:t>prijatých 30 projektov</w:t>
      </w:r>
      <w:r w:rsidRPr="000A64F1">
        <w:t xml:space="preserve"> (z 59 prihlásených), ktoré spĺňali kritériá, úspešne </w:t>
      </w:r>
      <w:r>
        <w:t xml:space="preserve">ho </w:t>
      </w:r>
      <w:r w:rsidRPr="000A64F1">
        <w:t>ukončilo 13 projektov (</w:t>
      </w:r>
      <w:r w:rsidRPr="000A64F1">
        <w:rPr>
          <w:color w:val="000000"/>
        </w:rPr>
        <w:t>Offli, Hoteliro, Jobio, BioEnta, Automatic Irrigation, Zaves obraz, Ornaled, Vyskilluj, eONic, MKMK consultancy, Nadýchni sa života,</w:t>
      </w:r>
      <w:r>
        <w:rPr>
          <w:color w:val="000000"/>
        </w:rPr>
        <w:t xml:space="preserve"> Green Deal Solution, YOURLOX). </w:t>
      </w:r>
      <w:r w:rsidRPr="000A64F1">
        <w:rPr>
          <w:color w:val="000000"/>
        </w:rPr>
        <w:t xml:space="preserve">Po validácii nápadu v inkubačnom programe ŠTART a úspešnej prezentácii nápadov na podujatí Startup Pitch môžu jeho členovia vstúpiť do 2-ročného programu INQB. </w:t>
      </w:r>
      <w:r w:rsidRPr="000A64F1">
        <w:t xml:space="preserve">V programe INQB bolo </w:t>
      </w:r>
      <w:r w:rsidRPr="000A64F1">
        <w:rPr>
          <w:color w:val="000000"/>
        </w:rPr>
        <w:t xml:space="preserve">v roku 2022 </w:t>
      </w:r>
      <w:r w:rsidRPr="000A64F1">
        <w:rPr>
          <w:b/>
          <w:color w:val="000000"/>
        </w:rPr>
        <w:t>inkubovaných 9 firiem</w:t>
      </w:r>
      <w:r w:rsidRPr="000A64F1">
        <w:rPr>
          <w:color w:val="000000"/>
        </w:rPr>
        <w:t>.</w:t>
      </w:r>
    </w:p>
    <w:p w14:paraId="31CDAEF1" w14:textId="5F07F572" w:rsidR="00B555B7" w:rsidRPr="000A64F1" w:rsidRDefault="00B555B7" w:rsidP="00B555B7">
      <w:pPr>
        <w:spacing w:after="240"/>
        <w:jc w:val="both"/>
        <w:rPr>
          <w:b/>
        </w:rPr>
      </w:pPr>
      <w:r w:rsidRPr="000A64F1">
        <w:rPr>
          <w:color w:val="000000"/>
        </w:rPr>
        <w:t xml:space="preserve">Startup </w:t>
      </w:r>
      <w:r w:rsidRPr="000A64F1">
        <w:rPr>
          <w:b/>
          <w:color w:val="000000"/>
        </w:rPr>
        <w:t>Nanodi s.r.o.</w:t>
      </w:r>
      <w:r w:rsidRPr="000A64F1">
        <w:rPr>
          <w:color w:val="000000"/>
        </w:rPr>
        <w:t>, k</w:t>
      </w:r>
      <w:r w:rsidR="00D53E5A">
        <w:rPr>
          <w:color w:val="000000"/>
        </w:rPr>
        <w:t>torý navrhol</w:t>
      </w:r>
      <w:r w:rsidRPr="000A64F1">
        <w:rPr>
          <w:color w:val="000000"/>
        </w:rPr>
        <w:t xml:space="preserve"> dizajn </w:t>
      </w:r>
      <w:r w:rsidR="00D53E5A">
        <w:rPr>
          <w:color w:val="000000"/>
        </w:rPr>
        <w:t>dezinfekčného</w:t>
      </w:r>
      <w:r w:rsidRPr="000A64F1">
        <w:rPr>
          <w:color w:val="000000"/>
        </w:rPr>
        <w:t xml:space="preserve"> stojan</w:t>
      </w:r>
      <w:r w:rsidR="00D53E5A">
        <w:rPr>
          <w:color w:val="000000"/>
        </w:rPr>
        <w:t>u a čističky vzduchu</w:t>
      </w:r>
      <w:r w:rsidRPr="000A64F1">
        <w:rPr>
          <w:color w:val="000000"/>
        </w:rPr>
        <w:t xml:space="preserve"> s te</w:t>
      </w:r>
      <w:r w:rsidR="00D53E5A">
        <w:rPr>
          <w:color w:val="000000"/>
        </w:rPr>
        <w:t>chnológiou diamantových vrstiev,</w:t>
      </w:r>
      <w:r w:rsidRPr="000A64F1">
        <w:rPr>
          <w:color w:val="000000"/>
        </w:rPr>
        <w:t xml:space="preserve"> </w:t>
      </w:r>
      <w:r w:rsidR="00D53E5A">
        <w:rPr>
          <w:color w:val="000000"/>
        </w:rPr>
        <w:t>získal v roku 2022</w:t>
      </w:r>
      <w:r w:rsidRPr="000A64F1">
        <w:rPr>
          <w:color w:val="000000"/>
        </w:rPr>
        <w:t xml:space="preserve"> People´s Choice Award na Demo Day akceleračného programu Challenger konzultačnej spoločnosti CIVITTA Slovakia. </w:t>
      </w:r>
    </w:p>
    <w:p w14:paraId="6FFE5FC0" w14:textId="03DE4496" w:rsidR="00B555B7" w:rsidRPr="000A64F1" w:rsidRDefault="00B555B7" w:rsidP="00D53E5A">
      <w:pPr>
        <w:spacing w:after="240"/>
        <w:jc w:val="both"/>
        <w:rPr>
          <w:b/>
        </w:rPr>
      </w:pPr>
      <w:r w:rsidRPr="000A64F1">
        <w:rPr>
          <w:color w:val="000000"/>
        </w:rPr>
        <w:t xml:space="preserve">Univerzitný technologický inkubátor STU v roku 2022 zorganizoval celkovo </w:t>
      </w:r>
      <w:r w:rsidRPr="000A64F1">
        <w:rPr>
          <w:b/>
          <w:color w:val="000000"/>
        </w:rPr>
        <w:t>33 podujatí</w:t>
      </w:r>
      <w:r w:rsidRPr="000A64F1">
        <w:rPr>
          <w:color w:val="000000"/>
        </w:rPr>
        <w:t>, z toho 15 vzdelávacích podujatí pre verejnosť a študentov STU, 18 interných vzdelávacích podujatí pre členov programu ŠTART a INQB, a 2 podujatia</w:t>
      </w:r>
      <w:r w:rsidR="00D53E5A">
        <w:rPr>
          <w:color w:val="000000"/>
        </w:rPr>
        <w:t xml:space="preserve"> </w:t>
      </w:r>
      <w:r w:rsidRPr="000A64F1">
        <w:rPr>
          <w:color w:val="000000"/>
        </w:rPr>
        <w:t>Startup Pitch.</w:t>
      </w:r>
      <w:r w:rsidR="00D53E5A">
        <w:rPr>
          <w:color w:val="000000"/>
        </w:rPr>
        <w:t xml:space="preserve"> </w:t>
      </w:r>
      <w:r w:rsidRPr="000A64F1">
        <w:rPr>
          <w:color w:val="000000"/>
        </w:rPr>
        <w:t xml:space="preserve">Podujatia pre verejnosť a študentov STU majú za cieľ </w:t>
      </w:r>
      <w:r w:rsidRPr="000A64F1">
        <w:rPr>
          <w:b/>
          <w:color w:val="000000"/>
        </w:rPr>
        <w:t>vzdelávať širokú verejnosť</w:t>
      </w:r>
      <w:r w:rsidRPr="000A64F1">
        <w:rPr>
          <w:color w:val="000000"/>
        </w:rPr>
        <w:t xml:space="preserve"> v oblasti podnikania, duševného vlastníctva, či </w:t>
      </w:r>
      <w:r w:rsidRPr="000A64F1">
        <w:t>mäkkých zručností</w:t>
      </w:r>
      <w:r w:rsidRPr="000A64F1">
        <w:rPr>
          <w:color w:val="000000"/>
        </w:rPr>
        <w:t xml:space="preserve">. Všetky podujatia okrem jedného boli vysielané naživo na sociálnej sieti Facebook, tri sa uskutočnili hybridne na troch fakultách STU (FEI, FCHPT, SvF). </w:t>
      </w:r>
      <w:r w:rsidRPr="000A64F1">
        <w:t xml:space="preserve">Najviac zhliadnutí mali prednášky: Time management od Veroniky Báthory (12 339 zhliadnutí), GDPR a cookies od Elišky Džuganovej (9 520 zhliadnutí) a Financovanie startupov + ESOP od Petra Pašeka (9 504 zhliadnutí). </w:t>
      </w:r>
    </w:p>
    <w:p w14:paraId="0CAC2F7B" w14:textId="71BDEEB2" w:rsidR="00B555B7" w:rsidRPr="000A64F1" w:rsidRDefault="00D53E5A" w:rsidP="00B555B7">
      <w:pPr>
        <w:pBdr>
          <w:top w:val="nil"/>
          <w:left w:val="nil"/>
          <w:bottom w:val="nil"/>
          <w:right w:val="nil"/>
          <w:between w:val="nil"/>
        </w:pBdr>
        <w:spacing w:after="240"/>
        <w:jc w:val="both"/>
        <w:rPr>
          <w:color w:val="000000"/>
        </w:rPr>
      </w:pPr>
      <w:r>
        <w:rPr>
          <w:color w:val="000000"/>
        </w:rPr>
        <w:t>UTI</w:t>
      </w:r>
      <w:r w:rsidR="00B555B7" w:rsidRPr="000A64F1">
        <w:rPr>
          <w:color w:val="000000"/>
        </w:rPr>
        <w:t xml:space="preserve"> STU m</w:t>
      </w:r>
      <w:r w:rsidR="00B555B7" w:rsidRPr="000A64F1">
        <w:t xml:space="preserve">al k 31. 12. 2022 </w:t>
      </w:r>
      <w:r w:rsidR="00B555B7" w:rsidRPr="000A64F1">
        <w:rPr>
          <w:b/>
          <w:color w:val="000000"/>
        </w:rPr>
        <w:t>24 aktívnych mentorov a spoločností</w:t>
      </w:r>
      <w:r w:rsidR="00B555B7" w:rsidRPr="000A64F1">
        <w:rPr>
          <w:color w:val="000000"/>
        </w:rPr>
        <w:t xml:space="preserve">, pracujúcich bez nároku na honorár, s ktorými má podpísané Dohody o spolupráci. K novým mentorom pribudol Denis Sedlák zo Slovenskej vesmírnej kancelárie, Miroslav Kohút zo spoločnosti ITAPS a investičná spoločnosť Limerock Advisory. </w:t>
      </w:r>
    </w:p>
    <w:p w14:paraId="0B87768B" w14:textId="6BFD7C71" w:rsidR="00B555B7" w:rsidRPr="000A64F1" w:rsidRDefault="00B555B7" w:rsidP="00B555B7">
      <w:pPr>
        <w:pBdr>
          <w:top w:val="nil"/>
          <w:left w:val="nil"/>
          <w:bottom w:val="nil"/>
          <w:right w:val="nil"/>
          <w:between w:val="nil"/>
        </w:pBdr>
        <w:jc w:val="both"/>
        <w:rPr>
          <w:color w:val="000000"/>
        </w:rPr>
      </w:pPr>
      <w:r w:rsidRPr="000A64F1">
        <w:rPr>
          <w:color w:val="000000"/>
        </w:rPr>
        <w:t>Univerzitný technologický inkubátor STU uzatvoril/predĺžil v roku 2022 zmluvy s týmito inštitúciami:</w:t>
      </w:r>
      <w:r w:rsidR="00D53E5A">
        <w:rPr>
          <w:color w:val="000000"/>
        </w:rPr>
        <w:t xml:space="preserve"> </w:t>
      </w:r>
      <w:r w:rsidRPr="000A64F1">
        <w:rPr>
          <w:rFonts w:eastAsia="Calibri" w:cs="Calibri"/>
          <w:color w:val="000000"/>
        </w:rPr>
        <w:t>Centrum vedecko-technických informácií</w:t>
      </w:r>
      <w:r w:rsidRPr="000A64F1">
        <w:rPr>
          <w:color w:val="000000"/>
        </w:rPr>
        <w:t xml:space="preserve"> SR (do konca júna 2025)</w:t>
      </w:r>
      <w:r w:rsidR="00D53E5A">
        <w:rPr>
          <w:color w:val="000000"/>
        </w:rPr>
        <w:t xml:space="preserve">, </w:t>
      </w:r>
      <w:r w:rsidRPr="000A64F1">
        <w:rPr>
          <w:color w:val="000000"/>
        </w:rPr>
        <w:t>Britské veľvyslanectvo (British Embassy Bratislava) venovalo finančný príspevok v hodnote 1200 eur do programu ŠTART a finančnú výhru pre 3 víťazné projekty na finálnej prezentácii nápad</w:t>
      </w:r>
      <w:r w:rsidR="00D53E5A">
        <w:rPr>
          <w:color w:val="000000"/>
        </w:rPr>
        <w:t xml:space="preserve">ov Startup Pitch (február 2022), </w:t>
      </w:r>
      <w:r w:rsidRPr="000A64F1">
        <w:rPr>
          <w:color w:val="000000"/>
        </w:rPr>
        <w:t>Dell Technologies predĺžilo zmluvu o výpožičke IT zariadení (4 monitory, 4 notebooky, 1 projektor) do konca roka 2027</w:t>
      </w:r>
      <w:r w:rsidR="00D53E5A">
        <w:rPr>
          <w:color w:val="000000"/>
        </w:rPr>
        <w:t xml:space="preserve"> a </w:t>
      </w:r>
      <w:r w:rsidRPr="000A64F1">
        <w:rPr>
          <w:color w:val="000000"/>
        </w:rPr>
        <w:t>Takeda Pharmaceuticals Slovakia poskytlo sponzorský dar vo výške 1100 eur na ocenenie 3 startupistov v rámci poduajtia Startup Pitch (jún 2022).</w:t>
      </w:r>
    </w:p>
    <w:p w14:paraId="66DB6B97" w14:textId="77777777" w:rsidR="00B555B7" w:rsidRPr="000A64F1" w:rsidRDefault="00B555B7" w:rsidP="00B555B7">
      <w:pPr>
        <w:pBdr>
          <w:top w:val="nil"/>
          <w:left w:val="nil"/>
          <w:bottom w:val="nil"/>
          <w:right w:val="nil"/>
          <w:between w:val="nil"/>
        </w:pBdr>
        <w:rPr>
          <w:color w:val="000000"/>
        </w:rPr>
      </w:pPr>
    </w:p>
    <w:p w14:paraId="52C8782D" w14:textId="39C826DC" w:rsidR="00B555B7" w:rsidRPr="000A64F1" w:rsidRDefault="00B555B7" w:rsidP="00B555B7">
      <w:pPr>
        <w:spacing w:after="240"/>
        <w:jc w:val="both"/>
        <w:rPr>
          <w:rFonts w:eastAsia="Calibri" w:cs="Calibri"/>
          <w:color w:val="000000"/>
        </w:rPr>
      </w:pPr>
      <w:r w:rsidRPr="000A64F1">
        <w:rPr>
          <w:rFonts w:eastAsia="Calibri" w:cs="Calibri"/>
          <w:color w:val="000000"/>
        </w:rPr>
        <w:t xml:space="preserve">Univerzitný technologický inkubátor STU spolupracuje s viacerými podnikateľmi, odborníkmi z praxe, firmami a inštitúciami z rôznych odvetví, ako aj s jednotlivými fakultami STU, pracoviskami a útvarmi. Medzi stabilných partnerov UTI STU patria: ESET, Dell Technologies, </w:t>
      </w:r>
      <w:r w:rsidRPr="000A64F1">
        <w:rPr>
          <w:rFonts w:eastAsia="Calibri" w:cs="Calibri"/>
          <w:color w:val="000000"/>
        </w:rPr>
        <w:lastRenderedPageBreak/>
        <w:t>CVTI SR, Grow with Google, Civitta, Kiuub, Univerzita Komenského v Bratislave, Startitup, Martinus, Britské veľvyslanectvo, Takeda, SAPIE, SARIO.</w:t>
      </w:r>
    </w:p>
    <w:p w14:paraId="4DADA5C1" w14:textId="77777777" w:rsidR="004B4D20" w:rsidRPr="000A64F1" w:rsidRDefault="004B4D20" w:rsidP="004B4D20">
      <w:pPr>
        <w:spacing w:after="240"/>
        <w:jc w:val="both"/>
      </w:pPr>
      <w:r w:rsidRPr="000A64F1">
        <w:t xml:space="preserve">V </w:t>
      </w:r>
      <w:r>
        <w:t>UTI</w:t>
      </w:r>
      <w:r w:rsidRPr="000A64F1">
        <w:t xml:space="preserve"> STU  bolo inkubovaných celkovo</w:t>
      </w:r>
      <w:r>
        <w:t xml:space="preserve"> </w:t>
      </w:r>
      <w:r w:rsidRPr="000A64F1">
        <w:t xml:space="preserve">(2005 – 2022) </w:t>
      </w:r>
      <w:r w:rsidRPr="000A64F1">
        <w:rPr>
          <w:b/>
        </w:rPr>
        <w:t>88</w:t>
      </w:r>
      <w:r w:rsidRPr="000A64F1">
        <w:t> </w:t>
      </w:r>
      <w:r w:rsidRPr="000A64F1">
        <w:rPr>
          <w:b/>
        </w:rPr>
        <w:t xml:space="preserve"> firiem</w:t>
      </w:r>
      <w:r w:rsidRPr="000A64F1">
        <w:t>. Z nich 55 je naďalej aktívnych</w:t>
      </w:r>
      <w:r>
        <w:t>,</w:t>
      </w:r>
      <w:r w:rsidRPr="000A64F1">
        <w:t xml:space="preserve"> </w:t>
      </w:r>
      <w:r>
        <w:t>spoločne mali</w:t>
      </w:r>
      <w:r w:rsidRPr="000A64F1">
        <w:t xml:space="preserve"> za rok 2021 celkové výnosy 42,76 milióna eur. </w:t>
      </w:r>
    </w:p>
    <w:p w14:paraId="6FB740AB" w14:textId="77777777" w:rsidR="00B555B7" w:rsidRPr="000A64F1" w:rsidRDefault="00B555B7" w:rsidP="00B555B7"/>
    <w:p w14:paraId="6438D6A8" w14:textId="42C5D546" w:rsidR="00B555B7" w:rsidRPr="000A64F1" w:rsidRDefault="004B4D20" w:rsidP="00B555B7">
      <w:pPr>
        <w:jc w:val="both"/>
        <w:rPr>
          <w:b/>
          <w:sz w:val="28"/>
          <w:szCs w:val="28"/>
        </w:rPr>
      </w:pPr>
      <w:r>
        <w:rPr>
          <w:b/>
          <w:sz w:val="28"/>
          <w:szCs w:val="28"/>
        </w:rPr>
        <w:t>5.5</w:t>
      </w:r>
      <w:r w:rsidR="00B555B7" w:rsidRPr="000A64F1">
        <w:rPr>
          <w:b/>
          <w:sz w:val="28"/>
          <w:szCs w:val="28"/>
        </w:rPr>
        <w:t>.3. STU Scientific, s.r.o.</w:t>
      </w:r>
    </w:p>
    <w:p w14:paraId="738FD2A7" w14:textId="77777777" w:rsidR="00B555B7" w:rsidRPr="000A64F1" w:rsidRDefault="00B555B7" w:rsidP="00B555B7">
      <w:pPr>
        <w:jc w:val="both"/>
        <w:rPr>
          <w:rFonts w:eastAsia="Calibri" w:cs="Calibri"/>
          <w:color w:val="000000"/>
        </w:rPr>
      </w:pPr>
    </w:p>
    <w:p w14:paraId="6F9158E3" w14:textId="707FC17E" w:rsidR="00B555B7" w:rsidRPr="000A64F1" w:rsidRDefault="00B555B7" w:rsidP="00B555B7">
      <w:pPr>
        <w:spacing w:after="240"/>
        <w:jc w:val="both"/>
        <w:rPr>
          <w:rFonts w:cstheme="minorHAnsi"/>
        </w:rPr>
      </w:pPr>
      <w:r w:rsidRPr="000A64F1">
        <w:rPr>
          <w:rFonts w:cstheme="minorHAnsi"/>
        </w:rPr>
        <w:t xml:space="preserve">Poslaním spoločnosti STU Scientific, s.r.o., je podporovať ekonomické zhodnocovanie duševného vlastníctva Slovenskej technickej univerzity v Bratislave, členov jej akademickej obce a jej ďalších partnerov v podnikateľskom prostredí. Myslí sa tým najmä zhodnocovanie nových poznatkov, know-how, technických riešení vyplývajúcich z výskumu a inej tvorivej činnosti pri ich prenose do hospodárskej a spoločenskej praxe, vrátane realizácie podnikateľských zámerov, teda kapitalizácia duševného vlastníctva. </w:t>
      </w:r>
    </w:p>
    <w:p w14:paraId="360BDEFF" w14:textId="77777777" w:rsidR="00B555B7" w:rsidRPr="000A64F1" w:rsidRDefault="00B555B7" w:rsidP="00B555B7">
      <w:pPr>
        <w:spacing w:after="240"/>
        <w:jc w:val="both"/>
        <w:rPr>
          <w:rFonts w:cstheme="minorHAnsi"/>
        </w:rPr>
      </w:pPr>
      <w:r w:rsidRPr="000A64F1">
        <w:rPr>
          <w:rFonts w:cstheme="minorHAnsi"/>
        </w:rPr>
        <w:t>Spoločnosť v roku 2022 pokračovala vo svojej hlavnej činnosti, ktorou je prostredníctvom univerzitných spin-off spoločnosti podporovať technologický transfer z prostredia univerzity do spoločenskej a hospodárskej praxe.</w:t>
      </w:r>
    </w:p>
    <w:p w14:paraId="0076B116" w14:textId="77777777" w:rsidR="00B555B7" w:rsidRPr="000A64F1" w:rsidRDefault="00B555B7" w:rsidP="00B555B7">
      <w:pPr>
        <w:autoSpaceDE w:val="0"/>
        <w:autoSpaceDN w:val="0"/>
        <w:adjustRightInd w:val="0"/>
        <w:jc w:val="both"/>
        <w:rPr>
          <w:rFonts w:cstheme="minorHAnsi"/>
        </w:rPr>
      </w:pPr>
      <w:r w:rsidRPr="000A64F1">
        <w:rPr>
          <w:rFonts w:cstheme="minorHAnsi"/>
        </w:rPr>
        <w:t xml:space="preserve">V súlade s platnou smernicou rektora č. 8/2021 – SR s názvom „Pravidlá pre zakladanie spin-off spoločností na Slovenskej technickej univerzite v Bratislave“ bola v danom roku založená nová spin-off spoločnosť s názvom </w:t>
      </w:r>
      <w:r w:rsidRPr="000A64F1">
        <w:rPr>
          <w:rFonts w:cstheme="minorHAnsi"/>
          <w:b/>
        </w:rPr>
        <w:t xml:space="preserve">MicroPoll s.r.o. </w:t>
      </w:r>
      <w:r w:rsidRPr="000A64F1">
        <w:rPr>
          <w:rFonts w:cstheme="minorHAnsi"/>
        </w:rPr>
        <w:t>so sídlom na Vazovovej 5, Bratislava.</w:t>
      </w:r>
    </w:p>
    <w:p w14:paraId="6474414D" w14:textId="2DBB1A2A" w:rsidR="00B555B7" w:rsidRPr="000A64F1" w:rsidRDefault="00B555B7" w:rsidP="00B555B7">
      <w:pPr>
        <w:autoSpaceDE w:val="0"/>
        <w:autoSpaceDN w:val="0"/>
        <w:adjustRightInd w:val="0"/>
        <w:jc w:val="both"/>
        <w:rPr>
          <w:rStyle w:val="fontstyle21"/>
          <w:rFonts w:cstheme="minorHAnsi"/>
        </w:rPr>
      </w:pPr>
      <w:r w:rsidRPr="000A64F1">
        <w:rPr>
          <w:rFonts w:cstheme="minorHAnsi"/>
        </w:rPr>
        <w:t xml:space="preserve">Univerzitný spin-off založili prevažne členovia akademickej obce Fakulty chemickej a potravinárskej technológie. Predmet činnosti spoločnosti je zameraný </w:t>
      </w:r>
      <w:r w:rsidR="004B4D20">
        <w:rPr>
          <w:rFonts w:cstheme="minorHAnsi"/>
        </w:rPr>
        <w:t>najmä</w:t>
      </w:r>
      <w:r w:rsidRPr="000A64F1">
        <w:rPr>
          <w:rFonts w:cstheme="minorHAnsi"/>
        </w:rPr>
        <w:t xml:space="preserve"> na analýzu </w:t>
      </w:r>
      <w:r w:rsidRPr="000A64F1">
        <w:rPr>
          <w:rStyle w:val="fontstyle21"/>
          <w:rFonts w:cstheme="minorHAnsi"/>
        </w:rPr>
        <w:t>mikroplastov a nanoplastov v stredo/východo-európskom regióne, vývoj a aplikáciu senzorov a biosenzorov, v</w:t>
      </w:r>
      <w:r w:rsidRPr="000A64F1">
        <w:rPr>
          <w:rFonts w:cstheme="minorHAnsi"/>
          <w:color w:val="000000"/>
        </w:rPr>
        <w:t>ývoj a aplikáciu nanomateriálov a environmentálne priateľských oxidačných činidiel z hľadiska ich využitia, prednostne v oblasti čistenia odpadových vôd a environmentálnych záťaži, ako aj na v</w:t>
      </w:r>
      <w:r w:rsidRPr="000A64F1">
        <w:rPr>
          <w:rStyle w:val="fontstyle21"/>
          <w:rFonts w:cstheme="minorHAnsi"/>
        </w:rPr>
        <w:t xml:space="preserve">yužiteľnosť SMART senzorov v oblasti získavania bioaktívnych molekúl. </w:t>
      </w:r>
    </w:p>
    <w:p w14:paraId="5AFA1C89" w14:textId="77777777" w:rsidR="00B555B7" w:rsidRPr="000A64F1" w:rsidRDefault="00B555B7" w:rsidP="00B555B7">
      <w:pPr>
        <w:autoSpaceDE w:val="0"/>
        <w:autoSpaceDN w:val="0"/>
        <w:adjustRightInd w:val="0"/>
        <w:jc w:val="both"/>
        <w:rPr>
          <w:rStyle w:val="fontstyle21"/>
          <w:rFonts w:cstheme="minorHAnsi"/>
        </w:rPr>
      </w:pPr>
    </w:p>
    <w:p w14:paraId="482598D9" w14:textId="128BF7B1" w:rsidR="00B555B7" w:rsidRPr="000A64F1" w:rsidRDefault="00B555B7" w:rsidP="00B555B7">
      <w:pPr>
        <w:autoSpaceDE w:val="0"/>
        <w:autoSpaceDN w:val="0"/>
        <w:adjustRightInd w:val="0"/>
        <w:jc w:val="both"/>
        <w:rPr>
          <w:rFonts w:cstheme="minorHAnsi"/>
          <w:b/>
        </w:rPr>
      </w:pPr>
      <w:r w:rsidRPr="000A64F1">
        <w:rPr>
          <w:rStyle w:val="fontstyle21"/>
          <w:rFonts w:cstheme="minorHAnsi"/>
        </w:rPr>
        <w:t>Zároveň sa uskutočnili, resp. sú pripravené zakladajúce valné zhromaždenia ďalších troch nových spin-off spoločno</w:t>
      </w:r>
      <w:r w:rsidR="004B4D20">
        <w:rPr>
          <w:rStyle w:val="fontstyle21"/>
          <w:rFonts w:cstheme="minorHAnsi"/>
        </w:rPr>
        <w:t>stí:</w:t>
      </w:r>
      <w:r w:rsidRPr="000A64F1">
        <w:rPr>
          <w:rStyle w:val="fontstyle21"/>
          <w:rFonts w:cstheme="minorHAnsi"/>
        </w:rPr>
        <w:t xml:space="preserve"> </w:t>
      </w:r>
      <w:r w:rsidRPr="000A64F1">
        <w:rPr>
          <w:rFonts w:cstheme="minorHAnsi"/>
          <w:b/>
        </w:rPr>
        <w:t>Neural medical s.r.o., Orglabs s.r.o. a Campus data, s.r.o.</w:t>
      </w:r>
    </w:p>
    <w:p w14:paraId="656597F1" w14:textId="77777777" w:rsidR="00B555B7" w:rsidRPr="000A64F1" w:rsidRDefault="00B555B7" w:rsidP="00B555B7">
      <w:pPr>
        <w:autoSpaceDE w:val="0"/>
        <w:autoSpaceDN w:val="0"/>
        <w:adjustRightInd w:val="0"/>
        <w:jc w:val="both"/>
        <w:rPr>
          <w:rStyle w:val="fontstyle21"/>
          <w:rFonts w:cstheme="minorHAnsi"/>
          <w:b/>
        </w:rPr>
      </w:pPr>
    </w:p>
    <w:p w14:paraId="0582F3F6" w14:textId="09787BF1" w:rsidR="00B555B7" w:rsidRDefault="00B555B7" w:rsidP="00B555B7">
      <w:pPr>
        <w:autoSpaceDE w:val="0"/>
        <w:autoSpaceDN w:val="0"/>
        <w:adjustRightInd w:val="0"/>
        <w:jc w:val="both"/>
        <w:rPr>
          <w:rFonts w:cstheme="minorHAnsi"/>
          <w:b/>
        </w:rPr>
      </w:pPr>
      <w:r w:rsidRPr="000A64F1">
        <w:rPr>
          <w:rFonts w:cstheme="minorHAnsi"/>
        </w:rPr>
        <w:t>V</w:t>
      </w:r>
      <w:r w:rsidR="004B4D20">
        <w:rPr>
          <w:rFonts w:cstheme="minorHAnsi"/>
        </w:rPr>
        <w:t> </w:t>
      </w:r>
      <w:r w:rsidRPr="000A64F1">
        <w:rPr>
          <w:rFonts w:cstheme="minorHAnsi"/>
        </w:rPr>
        <w:t>roku</w:t>
      </w:r>
      <w:r w:rsidR="004B4D20">
        <w:rPr>
          <w:rFonts w:cstheme="minorHAnsi"/>
        </w:rPr>
        <w:t xml:space="preserve"> 2022 naďalej vyvíjali</w:t>
      </w:r>
      <w:r w:rsidRPr="000A64F1">
        <w:rPr>
          <w:rFonts w:cstheme="minorHAnsi"/>
        </w:rPr>
        <w:t xml:space="preserve"> činnosť už existujúce u</w:t>
      </w:r>
      <w:r w:rsidR="004B4D20">
        <w:rPr>
          <w:rFonts w:cstheme="minorHAnsi"/>
        </w:rPr>
        <w:t>niverzitné spin-off spoločnosti:</w:t>
      </w:r>
      <w:r w:rsidRPr="000A64F1">
        <w:rPr>
          <w:rFonts w:cstheme="minorHAnsi"/>
        </w:rPr>
        <w:t xml:space="preserve"> </w:t>
      </w:r>
      <w:r w:rsidRPr="000A64F1">
        <w:rPr>
          <w:rFonts w:cstheme="minorHAnsi"/>
          <w:b/>
        </w:rPr>
        <w:t>STUVITAL, s.r.o., IVMA STU, s.r.o., SMME - STU, s.r.o., Hydrotechnika STU, s.r.o., ENFEI s.r.o. a B&amp;J NUCLEAR, s.r.o.</w:t>
      </w:r>
    </w:p>
    <w:p w14:paraId="6E3787E4" w14:textId="77777777" w:rsidR="008D270A" w:rsidRDefault="008D270A" w:rsidP="00B555B7">
      <w:pPr>
        <w:autoSpaceDE w:val="0"/>
        <w:autoSpaceDN w:val="0"/>
        <w:adjustRightInd w:val="0"/>
        <w:jc w:val="both"/>
        <w:rPr>
          <w:rFonts w:cstheme="minorHAnsi"/>
          <w:b/>
        </w:rPr>
      </w:pPr>
    </w:p>
    <w:p w14:paraId="237389A1" w14:textId="2751CBD5" w:rsidR="004B4D20" w:rsidRDefault="004B4D20" w:rsidP="00B555B7">
      <w:pPr>
        <w:autoSpaceDE w:val="0"/>
        <w:autoSpaceDN w:val="0"/>
        <w:adjustRightInd w:val="0"/>
        <w:jc w:val="both"/>
        <w:rPr>
          <w:rFonts w:cstheme="minorHAnsi"/>
          <w:b/>
        </w:rPr>
      </w:pPr>
    </w:p>
    <w:p w14:paraId="08057FA7" w14:textId="6D9D0F88" w:rsidR="004B4D20" w:rsidRPr="008D270A" w:rsidRDefault="00456C9E" w:rsidP="00B555B7">
      <w:pPr>
        <w:autoSpaceDE w:val="0"/>
        <w:autoSpaceDN w:val="0"/>
        <w:adjustRightInd w:val="0"/>
        <w:jc w:val="both"/>
        <w:rPr>
          <w:rFonts w:cstheme="minorHAnsi"/>
          <w:b/>
          <w:sz w:val="28"/>
          <w:szCs w:val="28"/>
        </w:rPr>
      </w:pPr>
      <w:r>
        <w:rPr>
          <w:rFonts w:cstheme="minorHAnsi"/>
          <w:b/>
          <w:sz w:val="28"/>
          <w:szCs w:val="28"/>
        </w:rPr>
        <w:t>5.6</w:t>
      </w:r>
      <w:r w:rsidR="008D270A" w:rsidRPr="008D270A">
        <w:rPr>
          <w:rFonts w:cstheme="minorHAnsi"/>
          <w:b/>
          <w:sz w:val="28"/>
          <w:szCs w:val="28"/>
        </w:rPr>
        <w:t>. Podporné služby v oblasti výskumu</w:t>
      </w:r>
    </w:p>
    <w:p w14:paraId="0BD5DE11" w14:textId="77777777" w:rsidR="00B555B7" w:rsidRPr="000A64F1" w:rsidRDefault="00B555B7" w:rsidP="00B555B7">
      <w:pPr>
        <w:jc w:val="both"/>
        <w:rPr>
          <w:rFonts w:asciiTheme="majorHAnsi" w:hAnsiTheme="majorHAnsi" w:cstheme="majorHAnsi"/>
          <w:b/>
        </w:rPr>
      </w:pPr>
    </w:p>
    <w:p w14:paraId="5574A054" w14:textId="7F01EF07" w:rsidR="008D270A" w:rsidRPr="000A64F1" w:rsidRDefault="008D270A" w:rsidP="008D270A">
      <w:pPr>
        <w:jc w:val="both"/>
        <w:rPr>
          <w:rFonts w:cs="Arial"/>
        </w:rPr>
      </w:pPr>
      <w:r w:rsidRPr="000A64F1">
        <w:rPr>
          <w:rFonts w:cs="Arial"/>
        </w:rPr>
        <w:t>Úlohou Univerzitnej knižnice STU ako vedecko-informačného, koordinačného a poradenského pracoviska Útvaru vedy a medzinárodnej vedecko</w:t>
      </w:r>
      <w:r>
        <w:rPr>
          <w:rFonts w:cs="Arial"/>
        </w:rPr>
        <w:t>-</w:t>
      </w:r>
      <w:r w:rsidRPr="000A64F1">
        <w:rPr>
          <w:rFonts w:cs="Arial"/>
        </w:rPr>
        <w:t xml:space="preserve">technickej spolupráce STU je koordinácia aktivít knižníc STU pre podporu štúdia a vedecko-výskumnej činnosti na STU. Východiská pre pôsobnosť Univerzitnej knižnice STU určujú ciele a indikátory Dlhodobého zámeru rozvoja STU. Svojou činnosťou zabezpečuje sprístupnenie informačných zdrojov (databáz), metodicky usmerňuje a realizuje evidenciu výstupov vedeckej a umeleckej tvorivej činnosti. Ďalšími podpornými a servisnými aktivitami podporuje proces vzdelávania a rozvoj vedeckovýskumnej tvorivej činnosti na STU.   </w:t>
      </w:r>
    </w:p>
    <w:p w14:paraId="4D78BB6B" w14:textId="6966F2EE" w:rsidR="008D270A" w:rsidRPr="000A64F1" w:rsidRDefault="00456C9E" w:rsidP="008D270A">
      <w:pPr>
        <w:rPr>
          <w:rFonts w:eastAsia="Times New Roman" w:cs="Arial"/>
          <w:b/>
          <w:sz w:val="28"/>
          <w:szCs w:val="28"/>
          <w:lang w:eastAsia="sk-SK"/>
        </w:rPr>
      </w:pPr>
      <w:r>
        <w:rPr>
          <w:rFonts w:eastAsia="Times New Roman" w:cs="Arial"/>
          <w:b/>
          <w:sz w:val="28"/>
          <w:szCs w:val="28"/>
          <w:lang w:eastAsia="sk-SK"/>
        </w:rPr>
        <w:lastRenderedPageBreak/>
        <w:t>5.6</w:t>
      </w:r>
      <w:r w:rsidR="008D270A" w:rsidRPr="000A64F1">
        <w:rPr>
          <w:rFonts w:eastAsia="Times New Roman" w:cs="Arial"/>
          <w:b/>
          <w:sz w:val="28"/>
          <w:szCs w:val="28"/>
          <w:lang w:eastAsia="sk-SK"/>
        </w:rPr>
        <w:t>.1. Evidencia výstupov tvorivej činnosti</w:t>
      </w:r>
    </w:p>
    <w:p w14:paraId="2BBADB9A" w14:textId="77777777" w:rsidR="008D270A" w:rsidRPr="000A64F1" w:rsidRDefault="008D270A" w:rsidP="008D270A">
      <w:pPr>
        <w:jc w:val="both"/>
        <w:rPr>
          <w:sz w:val="20"/>
          <w:szCs w:val="20"/>
        </w:rPr>
      </w:pPr>
    </w:p>
    <w:p w14:paraId="3A8773B8" w14:textId="77777777" w:rsidR="008D270A" w:rsidRPr="000A64F1" w:rsidRDefault="008D270A" w:rsidP="008D270A">
      <w:pPr>
        <w:jc w:val="both"/>
        <w:rPr>
          <w:rFonts w:cs="Arial"/>
        </w:rPr>
      </w:pPr>
      <w:r w:rsidRPr="000A64F1">
        <w:rPr>
          <w:rFonts w:cs="Arial"/>
        </w:rPr>
        <w:t>Výkon vysokej školy v oblasti tvorivej činnosti má priamy vplyv na objem finančných prostriedkov poskytovaných v rámci inštitucionálnej formy podpory výskumu a vývoja verejných vysokých škôl. Evidencia publikačnej činnosti a výkon STU v tejto oblasti je preto mimoriadne významným parametrom vstupujúcim do rozpisu dotácií vysokým školám.</w:t>
      </w:r>
    </w:p>
    <w:p w14:paraId="3904DEEC" w14:textId="5BBF2BE6" w:rsidR="008D270A" w:rsidRPr="000A64F1" w:rsidRDefault="008D270A" w:rsidP="008D270A">
      <w:pPr>
        <w:jc w:val="both"/>
        <w:rPr>
          <w:rFonts w:cs="Arial"/>
        </w:rPr>
      </w:pPr>
      <w:r w:rsidRPr="000A64F1">
        <w:rPr>
          <w:rFonts w:cs="Arial"/>
          <w:b/>
        </w:rPr>
        <w:t>Najvýraznejšími aktivitami v roku 2022 boli činnosti súvisiace s implementáciou vyhlášky MŠVVaŠ SR č. 397/2020 o CREPČ a CREUČ, účinnej od 1.1.2021</w:t>
      </w:r>
      <w:r w:rsidRPr="000A64F1">
        <w:rPr>
          <w:rFonts w:cs="Arial"/>
        </w:rPr>
        <w:t>. Pravidlá evidencie podľa novej vyhlášky sa týkali nielen spracovania všetkých dokumentov od 1.2.2022, ale aj dokumentov vydaných pred 1.2.2022, čo znamenalo nielen úpravy v knižničnom systéme ARL, ale najmä rekategorizáciu starších záznamov (celá STU cca 117 000 záznamov).</w:t>
      </w:r>
    </w:p>
    <w:p w14:paraId="0AE8CAFF" w14:textId="77777777" w:rsidR="008D270A" w:rsidRPr="000A64F1" w:rsidRDefault="008D270A" w:rsidP="008D270A">
      <w:pPr>
        <w:rPr>
          <w:rFonts w:eastAsia="Times New Roman" w:cs="Arial"/>
          <w:lang w:eastAsia="sk-SK"/>
        </w:rPr>
      </w:pPr>
    </w:p>
    <w:p w14:paraId="1FC04226" w14:textId="1F3A54C5" w:rsidR="008D270A" w:rsidRPr="000A64F1" w:rsidRDefault="00456C9E" w:rsidP="008D270A">
      <w:pPr>
        <w:rPr>
          <w:rFonts w:eastAsia="Times New Roman" w:cs="Arial"/>
          <w:b/>
          <w:sz w:val="28"/>
          <w:szCs w:val="28"/>
          <w:lang w:eastAsia="sk-SK"/>
        </w:rPr>
      </w:pPr>
      <w:r>
        <w:rPr>
          <w:rFonts w:eastAsia="Times New Roman" w:cs="Arial"/>
          <w:b/>
          <w:sz w:val="28"/>
          <w:szCs w:val="28"/>
          <w:lang w:eastAsia="sk-SK"/>
        </w:rPr>
        <w:t>5.6</w:t>
      </w:r>
      <w:r w:rsidR="008D270A" w:rsidRPr="000A64F1">
        <w:rPr>
          <w:rFonts w:eastAsia="Times New Roman" w:cs="Arial"/>
          <w:b/>
          <w:sz w:val="28"/>
          <w:szCs w:val="28"/>
          <w:lang w:eastAsia="sk-SK"/>
        </w:rPr>
        <w:t>.2. Elektronické informačné zdroje na STU</w:t>
      </w:r>
    </w:p>
    <w:p w14:paraId="2DB67769" w14:textId="77777777" w:rsidR="008D270A" w:rsidRPr="000A64F1" w:rsidRDefault="008D270A" w:rsidP="008D270A">
      <w:pPr>
        <w:rPr>
          <w:rFonts w:eastAsia="Times New Roman" w:cs="Arial"/>
          <w:lang w:eastAsia="sk-SK"/>
        </w:rPr>
      </w:pPr>
    </w:p>
    <w:p w14:paraId="11A6B534" w14:textId="4451C672" w:rsidR="008D270A" w:rsidRPr="008D270A" w:rsidRDefault="008D270A" w:rsidP="008D270A">
      <w:pPr>
        <w:pStyle w:val="Default"/>
        <w:jc w:val="both"/>
        <w:rPr>
          <w:rFonts w:asciiTheme="majorHAnsi" w:hAnsiTheme="majorHAnsi" w:cstheme="majorHAnsi"/>
          <w:color w:val="auto"/>
          <w:lang w:val="sk-SK"/>
        </w:rPr>
      </w:pPr>
      <w:r w:rsidRPr="008D270A">
        <w:rPr>
          <w:rFonts w:asciiTheme="majorHAnsi" w:hAnsiTheme="majorHAnsi" w:cstheme="majorHAnsi"/>
          <w:color w:val="auto"/>
          <w:lang w:val="sk-SK"/>
        </w:rPr>
        <w:t>V roku 2022 mala STU zabezpečený prístup k 19-tim elektronickým inf</w:t>
      </w:r>
      <w:r>
        <w:rPr>
          <w:rFonts w:asciiTheme="majorHAnsi" w:hAnsiTheme="majorHAnsi" w:cstheme="majorHAnsi"/>
          <w:color w:val="auto"/>
          <w:lang w:val="sk-SK"/>
        </w:rPr>
        <w:t xml:space="preserve">ormačným zdrojom (EIZ). </w:t>
      </w:r>
      <w:r w:rsidRPr="008D270A">
        <w:rPr>
          <w:rFonts w:asciiTheme="majorHAnsi" w:hAnsiTheme="majorHAnsi" w:cstheme="majorHAnsi"/>
          <w:color w:val="auto"/>
          <w:lang w:val="sk-SK"/>
        </w:rPr>
        <w:t xml:space="preserve">Zabezpečenie prístupov do vedeckých EIZ (ďalej len EIZ/databázy) realizuje </w:t>
      </w:r>
      <w:r w:rsidRPr="008D270A">
        <w:rPr>
          <w:rFonts w:asciiTheme="majorHAnsi" w:eastAsia="Times New Roman" w:hAnsiTheme="majorHAnsi" w:cstheme="majorHAnsi"/>
          <w:color w:val="auto"/>
          <w:lang w:val="sk-SK" w:eastAsia="sk-SK"/>
        </w:rPr>
        <w:t xml:space="preserve">MŠVVaŠ SR prostredníctvom CVTI SR v súlade s platnou metodikou rozpisu dotácií zo ŠR verejným vysokým školám pre jednotlivé verejné vysoké školy. </w:t>
      </w:r>
      <w:r w:rsidRPr="008D270A">
        <w:rPr>
          <w:rFonts w:asciiTheme="majorHAnsi" w:hAnsiTheme="majorHAnsi" w:cstheme="majorHAnsi"/>
          <w:b/>
          <w:lang w:val="sk-SK"/>
        </w:rPr>
        <w:t>STU v Bratislave</w:t>
      </w:r>
      <w:r w:rsidRPr="008D270A">
        <w:rPr>
          <w:rFonts w:asciiTheme="majorHAnsi" w:hAnsiTheme="majorHAnsi" w:cstheme="majorHAnsi"/>
          <w:lang w:val="sk-SK"/>
        </w:rPr>
        <w:t xml:space="preserve"> okrem spolufinancovania zabezpečenia konzorciálnych prístupov do vedeckých elektronických informačných zdrojov CVTI SR a MŠVVaŠ SR </w:t>
      </w:r>
      <w:r w:rsidRPr="008D270A">
        <w:rPr>
          <w:rFonts w:asciiTheme="majorHAnsi" w:hAnsiTheme="majorHAnsi" w:cstheme="majorHAnsi"/>
          <w:b/>
          <w:lang w:val="sk-SK"/>
        </w:rPr>
        <w:t>vynakladá aj vlastné prostriedky na rozšírenie portfólia priestoru vedeckého poznania</w:t>
      </w:r>
      <w:r w:rsidRPr="008D270A">
        <w:rPr>
          <w:rFonts w:asciiTheme="majorHAnsi" w:hAnsiTheme="majorHAnsi" w:cstheme="majorHAnsi"/>
          <w:lang w:val="sk-SK"/>
        </w:rPr>
        <w:t xml:space="preserve"> ako podporu vedecko-výskumnej činnosti na STU. </w:t>
      </w:r>
    </w:p>
    <w:p w14:paraId="4382394C" w14:textId="77777777" w:rsidR="008D270A" w:rsidRPr="008D270A" w:rsidRDefault="008D270A" w:rsidP="008D270A">
      <w:pPr>
        <w:jc w:val="both"/>
        <w:rPr>
          <w:rFonts w:asciiTheme="majorHAnsi" w:hAnsiTheme="majorHAnsi" w:cstheme="majorHAnsi"/>
        </w:rPr>
      </w:pPr>
    </w:p>
    <w:p w14:paraId="13F5374E" w14:textId="77777777" w:rsidR="008D270A" w:rsidRPr="000A64F1" w:rsidRDefault="008D270A" w:rsidP="008D270A">
      <w:pPr>
        <w:tabs>
          <w:tab w:val="left" w:pos="2490"/>
        </w:tabs>
        <w:jc w:val="center"/>
        <w:rPr>
          <w:rFonts w:eastAsia="Times New Roman" w:cs="Arial"/>
          <w:lang w:eastAsia="sk-SK"/>
        </w:rPr>
      </w:pPr>
      <w:r w:rsidRPr="000A64F1">
        <w:rPr>
          <w:noProof/>
          <w:lang w:eastAsia="sk-SK"/>
        </w:rPr>
        <w:drawing>
          <wp:inline distT="0" distB="0" distL="0" distR="0" wp14:anchorId="4E8FB23C" wp14:editId="79B592DE">
            <wp:extent cx="4145365" cy="4724400"/>
            <wp:effectExtent l="19050" t="19050" r="26670" b="1905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35422" t="15422" r="26626" b="7686"/>
                    <a:stretch/>
                  </pic:blipFill>
                  <pic:spPr bwMode="auto">
                    <a:xfrm>
                      <a:off x="0" y="0"/>
                      <a:ext cx="4145365" cy="47244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157561F" w14:textId="77777777" w:rsidR="008D270A" w:rsidRPr="000A64F1" w:rsidRDefault="008D270A" w:rsidP="008D270A">
      <w:pPr>
        <w:jc w:val="center"/>
        <w:rPr>
          <w:sz w:val="18"/>
          <w:szCs w:val="18"/>
        </w:rPr>
      </w:pPr>
      <w:r w:rsidRPr="000A64F1">
        <w:rPr>
          <w:sz w:val="18"/>
          <w:szCs w:val="18"/>
        </w:rPr>
        <w:t>Obr. 1 Prístup STU k EIZ v roku 2022</w:t>
      </w:r>
    </w:p>
    <w:p w14:paraId="0BD81A30" w14:textId="711A1B45" w:rsidR="00606CBD" w:rsidRPr="000A64F1" w:rsidRDefault="00456C9E" w:rsidP="00606CBD">
      <w:pPr>
        <w:rPr>
          <w:rFonts w:eastAsia="Times New Roman" w:cs="Arial"/>
          <w:b/>
          <w:sz w:val="28"/>
          <w:szCs w:val="28"/>
          <w:lang w:eastAsia="sk-SK"/>
        </w:rPr>
      </w:pPr>
      <w:r>
        <w:rPr>
          <w:rFonts w:eastAsia="Times New Roman" w:cs="Arial"/>
          <w:b/>
          <w:sz w:val="28"/>
          <w:szCs w:val="28"/>
          <w:lang w:eastAsia="sk-SK"/>
        </w:rPr>
        <w:lastRenderedPageBreak/>
        <w:t>5.6</w:t>
      </w:r>
      <w:r w:rsidR="00606CBD">
        <w:rPr>
          <w:rFonts w:eastAsia="Times New Roman" w:cs="Arial"/>
          <w:b/>
          <w:sz w:val="28"/>
          <w:szCs w:val="28"/>
          <w:lang w:eastAsia="sk-SK"/>
        </w:rPr>
        <w:t>.3</w:t>
      </w:r>
      <w:r w:rsidR="00606CBD" w:rsidRPr="000A64F1">
        <w:rPr>
          <w:rFonts w:eastAsia="Times New Roman" w:cs="Arial"/>
          <w:b/>
          <w:sz w:val="28"/>
          <w:szCs w:val="28"/>
          <w:lang w:eastAsia="sk-SK"/>
        </w:rPr>
        <w:t>. Podporné činnosti</w:t>
      </w:r>
    </w:p>
    <w:p w14:paraId="7C714EE4" w14:textId="77777777" w:rsidR="00606CBD" w:rsidRPr="000A64F1" w:rsidRDefault="00606CBD" w:rsidP="00606CBD">
      <w:pPr>
        <w:rPr>
          <w:rFonts w:asciiTheme="majorHAnsi" w:eastAsia="Times New Roman" w:hAnsiTheme="majorHAnsi" w:cstheme="majorHAnsi"/>
          <w:lang w:eastAsia="sk-SK"/>
        </w:rPr>
      </w:pPr>
    </w:p>
    <w:p w14:paraId="21EC8E85" w14:textId="77777777" w:rsidR="00606CBD" w:rsidRPr="00606CBD" w:rsidRDefault="00606CBD" w:rsidP="00E027F7">
      <w:pPr>
        <w:pStyle w:val="Odsekzoznamu"/>
        <w:numPr>
          <w:ilvl w:val="0"/>
          <w:numId w:val="26"/>
        </w:numPr>
        <w:spacing w:after="0" w:line="240" w:lineRule="auto"/>
        <w:ind w:left="284" w:hanging="284"/>
        <w:jc w:val="both"/>
        <w:rPr>
          <w:rFonts w:asciiTheme="majorHAnsi" w:hAnsiTheme="majorHAnsi" w:cstheme="majorHAnsi"/>
          <w:b/>
          <w:sz w:val="24"/>
          <w:szCs w:val="24"/>
        </w:rPr>
      </w:pPr>
      <w:r w:rsidRPr="00606CBD">
        <w:rPr>
          <w:rFonts w:asciiTheme="majorHAnsi" w:hAnsiTheme="majorHAnsi" w:cstheme="majorHAnsi"/>
          <w:b/>
          <w:sz w:val="24"/>
          <w:szCs w:val="24"/>
        </w:rPr>
        <w:t>Hodnotiace procesy</w:t>
      </w:r>
    </w:p>
    <w:p w14:paraId="0B244A61" w14:textId="77777777" w:rsidR="00606CBD" w:rsidRPr="00606CBD" w:rsidRDefault="00606CBD" w:rsidP="00606CBD">
      <w:pPr>
        <w:jc w:val="both"/>
        <w:rPr>
          <w:rFonts w:asciiTheme="majorHAnsi" w:hAnsiTheme="majorHAnsi" w:cstheme="majorHAnsi"/>
        </w:rPr>
      </w:pPr>
      <w:r w:rsidRPr="00606CBD">
        <w:rPr>
          <w:rStyle w:val="markedcontent"/>
          <w:rFonts w:asciiTheme="majorHAnsi" w:hAnsiTheme="majorHAnsi" w:cstheme="majorHAnsi"/>
        </w:rPr>
        <w:t>V súvislosti s novým nazeraním na „výkonové hodnotenie“ vedy sa</w:t>
      </w:r>
      <w:r w:rsidRPr="00606CBD">
        <w:rPr>
          <w:rFonts w:asciiTheme="majorHAnsi" w:hAnsiTheme="majorHAnsi" w:cstheme="majorHAnsi"/>
        </w:rPr>
        <w:t xml:space="preserve"> </w:t>
      </w:r>
      <w:r w:rsidRPr="00606CBD">
        <w:rPr>
          <w:rStyle w:val="markedcontent"/>
          <w:rFonts w:asciiTheme="majorHAnsi" w:hAnsiTheme="majorHAnsi" w:cstheme="majorHAnsi"/>
        </w:rPr>
        <w:t xml:space="preserve">začali výraznejšie presadzovať </w:t>
      </w:r>
      <w:r w:rsidRPr="00606CBD">
        <w:rPr>
          <w:rStyle w:val="markedcontent"/>
          <w:rFonts w:asciiTheme="majorHAnsi" w:hAnsiTheme="majorHAnsi" w:cstheme="majorHAnsi"/>
          <w:b/>
        </w:rPr>
        <w:t>bibliometrické ukazovatele</w:t>
      </w:r>
      <w:r w:rsidRPr="00606CBD">
        <w:rPr>
          <w:rStyle w:val="markedcontent"/>
          <w:rFonts w:asciiTheme="majorHAnsi" w:hAnsiTheme="majorHAnsi" w:cstheme="majorHAnsi"/>
        </w:rPr>
        <w:t xml:space="preserve"> a metódy bibliometrického</w:t>
      </w:r>
      <w:r w:rsidRPr="00606CBD">
        <w:rPr>
          <w:rFonts w:asciiTheme="majorHAnsi" w:hAnsiTheme="majorHAnsi" w:cstheme="majorHAnsi"/>
        </w:rPr>
        <w:t xml:space="preserve"> </w:t>
      </w:r>
      <w:r w:rsidRPr="00606CBD">
        <w:rPr>
          <w:rStyle w:val="markedcontent"/>
          <w:rFonts w:asciiTheme="majorHAnsi" w:hAnsiTheme="majorHAnsi" w:cstheme="majorHAnsi"/>
        </w:rPr>
        <w:t>výskumu. Publikácie, ohlasy a vzťahy medzi nimi môžu poskytovať do veľkej miery pravdivý obraz</w:t>
      </w:r>
      <w:r w:rsidRPr="00606CBD">
        <w:rPr>
          <w:rFonts w:asciiTheme="majorHAnsi" w:hAnsiTheme="majorHAnsi" w:cstheme="majorHAnsi"/>
        </w:rPr>
        <w:t xml:space="preserve"> </w:t>
      </w:r>
      <w:r w:rsidRPr="00606CBD">
        <w:rPr>
          <w:rStyle w:val="markedcontent"/>
          <w:rFonts w:asciiTheme="majorHAnsi" w:hAnsiTheme="majorHAnsi" w:cstheme="majorHAnsi"/>
        </w:rPr>
        <w:t>vedných disciplín, pričom mnohé závisí od účelu použitia získaných výsledkov. Dokladujú</w:t>
      </w:r>
      <w:r w:rsidRPr="00606CBD">
        <w:rPr>
          <w:rFonts w:asciiTheme="majorHAnsi" w:hAnsiTheme="majorHAnsi" w:cstheme="majorHAnsi"/>
        </w:rPr>
        <w:t xml:space="preserve"> </w:t>
      </w:r>
      <w:r w:rsidRPr="00606CBD">
        <w:rPr>
          <w:rStyle w:val="markedcontent"/>
          <w:rFonts w:asciiTheme="majorHAnsi" w:hAnsiTheme="majorHAnsi" w:cstheme="majorHAnsi"/>
        </w:rPr>
        <w:t>dynamiku vývoja, aktuálne trendy výskumu, väzby na iné vedné disciplíny na rôznych</w:t>
      </w:r>
      <w:r w:rsidRPr="00606CBD">
        <w:rPr>
          <w:rFonts w:asciiTheme="majorHAnsi" w:hAnsiTheme="majorHAnsi" w:cstheme="majorHAnsi"/>
        </w:rPr>
        <w:t xml:space="preserve"> </w:t>
      </w:r>
      <w:r w:rsidRPr="00606CBD">
        <w:rPr>
          <w:rStyle w:val="markedcontent"/>
          <w:rFonts w:asciiTheme="majorHAnsi" w:hAnsiTheme="majorHAnsi" w:cstheme="majorHAnsi"/>
        </w:rPr>
        <w:t>úrovniach, medzinárodnej, národnej aj inštitucionálnej. Preto sú publikácie a ohlasy</w:t>
      </w:r>
      <w:r w:rsidRPr="00606CBD">
        <w:rPr>
          <w:rFonts w:asciiTheme="majorHAnsi" w:hAnsiTheme="majorHAnsi" w:cstheme="majorHAnsi"/>
        </w:rPr>
        <w:t xml:space="preserve"> </w:t>
      </w:r>
      <w:r w:rsidRPr="00606CBD">
        <w:rPr>
          <w:rStyle w:val="markedcontent"/>
          <w:rFonts w:asciiTheme="majorHAnsi" w:hAnsiTheme="majorHAnsi" w:cstheme="majorHAnsi"/>
        </w:rPr>
        <w:t xml:space="preserve">základným východiskom pre bibliometrické výskumy. Akademické knižnice STU poskytujú support a výstupy z evidencie publikačnej činnosti a ohlasov pre takmer všetky hodnotiace procesy úrovne vedy. V roku 2022 navyše prebehlo </w:t>
      </w:r>
      <w:r w:rsidRPr="00606CBD">
        <w:rPr>
          <w:rStyle w:val="markedcontent"/>
          <w:rFonts w:asciiTheme="majorHAnsi" w:hAnsiTheme="majorHAnsi" w:cstheme="majorHAnsi"/>
          <w:b/>
        </w:rPr>
        <w:t>P</w:t>
      </w:r>
      <w:r w:rsidRPr="00606CBD">
        <w:rPr>
          <w:rFonts w:asciiTheme="majorHAnsi" w:hAnsiTheme="majorHAnsi" w:cstheme="majorHAnsi"/>
          <w:b/>
        </w:rPr>
        <w:t>eriodické hodnotenie výskumnej, vývojovej, umeleckej a ďalšej tvorivej činnosti</w:t>
      </w:r>
      <w:r w:rsidRPr="00606CBD">
        <w:rPr>
          <w:rFonts w:asciiTheme="majorHAnsi" w:hAnsiTheme="majorHAnsi" w:cstheme="majorHAnsi"/>
        </w:rPr>
        <w:t>, realizované systémom VER 2022 za hodnotené obdobie 2014-2019, kde podklady pre výstupy zabezpečili práve akademické knižnice STU.</w:t>
      </w:r>
    </w:p>
    <w:p w14:paraId="0A461859" w14:textId="77777777" w:rsidR="00606CBD" w:rsidRPr="00606CBD" w:rsidRDefault="00606CBD" w:rsidP="00606CBD">
      <w:pPr>
        <w:jc w:val="both"/>
        <w:rPr>
          <w:rFonts w:asciiTheme="majorHAnsi" w:hAnsiTheme="majorHAnsi" w:cstheme="majorHAnsi"/>
        </w:rPr>
      </w:pPr>
    </w:p>
    <w:p w14:paraId="3E20CF25" w14:textId="77777777" w:rsidR="00606CBD" w:rsidRPr="00606CBD" w:rsidRDefault="00606CBD" w:rsidP="00606CBD">
      <w:pPr>
        <w:jc w:val="both"/>
        <w:rPr>
          <w:rFonts w:asciiTheme="majorHAnsi" w:hAnsiTheme="majorHAnsi" w:cstheme="majorHAnsi"/>
          <w:bCs/>
        </w:rPr>
      </w:pPr>
      <w:r w:rsidRPr="00606CBD">
        <w:rPr>
          <w:rFonts w:asciiTheme="majorHAnsi" w:eastAsia="Times New Roman" w:hAnsiTheme="majorHAnsi" w:cstheme="majorHAnsi"/>
          <w:lang w:eastAsia="sk-SK"/>
        </w:rPr>
        <w:t xml:space="preserve">V snahe motivovať na STU zamestnancov a študentov k zvyšovaniu výkonu, ale najmä kvality výstupov tvorivej činnosti, STU trvale aplikuje mnohé motivačné nástroje v tejto oblasti. Univerzitná knižnica, ako súčasť Útvaru </w:t>
      </w:r>
      <w:r w:rsidRPr="00606CBD">
        <w:rPr>
          <w:rFonts w:asciiTheme="majorHAnsi" w:hAnsiTheme="majorHAnsi" w:cstheme="majorHAnsi"/>
          <w:bCs/>
        </w:rPr>
        <w:t>vedy a medzinárodnej vedeckotechnickej spolupráce Rektorátu STU, za týmto účelom poskytuje vybrané výstupy zo svetových databáz a výstupy rôznych bibliometrických výkonov. Výstupy slúžia jednak na sledovanie plnenia cieľov a fungovania motivačných schém, a zároveň na hodnotenie indikátorov nastavených v Dlhodobom zámere STU najmä v oblastiach:</w:t>
      </w:r>
    </w:p>
    <w:p w14:paraId="0BB79CDB" w14:textId="77777777" w:rsidR="00606CBD" w:rsidRPr="00606CBD" w:rsidRDefault="00606CBD" w:rsidP="00E027F7">
      <w:pPr>
        <w:pStyle w:val="Odsekzoznamu1"/>
        <w:numPr>
          <w:ilvl w:val="0"/>
          <w:numId w:val="27"/>
        </w:numPr>
        <w:spacing w:after="0" w:line="240" w:lineRule="auto"/>
        <w:ind w:left="284" w:hanging="284"/>
        <w:jc w:val="both"/>
        <w:rPr>
          <w:rFonts w:asciiTheme="majorHAnsi" w:hAnsiTheme="majorHAnsi" w:cstheme="majorHAnsi"/>
          <w:bCs/>
          <w:sz w:val="24"/>
          <w:szCs w:val="24"/>
          <w:lang w:val="sk-SK"/>
        </w:rPr>
      </w:pPr>
      <w:r w:rsidRPr="00606CBD">
        <w:rPr>
          <w:rFonts w:asciiTheme="majorHAnsi" w:hAnsiTheme="majorHAnsi" w:cstheme="majorHAnsi"/>
          <w:bCs/>
          <w:sz w:val="24"/>
          <w:szCs w:val="24"/>
          <w:lang w:val="sk-SK"/>
        </w:rPr>
        <w:t xml:space="preserve">Publikácie vo vedeckých periodikách evidovaných vo svetových vedeckých citačných databázach (WOS, a z toho v prvom kvartile podľa Impakt faktora IF). </w:t>
      </w:r>
    </w:p>
    <w:p w14:paraId="1E092BF1" w14:textId="77777777" w:rsidR="00606CBD" w:rsidRPr="00606CBD" w:rsidRDefault="00606CBD" w:rsidP="00E027F7">
      <w:pPr>
        <w:pStyle w:val="Odsekzoznamu1"/>
        <w:numPr>
          <w:ilvl w:val="0"/>
          <w:numId w:val="27"/>
        </w:numPr>
        <w:spacing w:after="0" w:line="240" w:lineRule="auto"/>
        <w:ind w:left="284" w:hanging="284"/>
        <w:jc w:val="both"/>
        <w:rPr>
          <w:rFonts w:asciiTheme="majorHAnsi" w:hAnsiTheme="majorHAnsi" w:cstheme="majorHAnsi"/>
          <w:bCs/>
          <w:sz w:val="24"/>
          <w:szCs w:val="24"/>
          <w:lang w:val="sk-SK"/>
        </w:rPr>
      </w:pPr>
      <w:r w:rsidRPr="00606CBD">
        <w:rPr>
          <w:rFonts w:asciiTheme="majorHAnsi" w:hAnsiTheme="majorHAnsi" w:cstheme="majorHAnsi"/>
          <w:bCs/>
          <w:sz w:val="24"/>
          <w:szCs w:val="24"/>
          <w:lang w:val="sk-SK"/>
        </w:rPr>
        <w:t>Porovnanie počtu publikácií vo vedeckých periodikách evidovaných vo svetových vedeckých citačných databázach (WOS, a z toho v prvom kvartile podľa Impakt faktora IF) v rámci vybraných univerzít na Slovensku.</w:t>
      </w:r>
    </w:p>
    <w:p w14:paraId="60E780BC" w14:textId="77777777" w:rsidR="00606CBD" w:rsidRPr="00606CBD" w:rsidRDefault="00606CBD" w:rsidP="00E027F7">
      <w:pPr>
        <w:pStyle w:val="Odsekzoznamu1"/>
        <w:numPr>
          <w:ilvl w:val="0"/>
          <w:numId w:val="27"/>
        </w:numPr>
        <w:spacing w:after="0" w:line="240" w:lineRule="auto"/>
        <w:ind w:left="284" w:hanging="284"/>
        <w:jc w:val="both"/>
        <w:rPr>
          <w:rFonts w:asciiTheme="majorHAnsi" w:hAnsiTheme="majorHAnsi" w:cstheme="majorHAnsi"/>
          <w:bCs/>
          <w:sz w:val="24"/>
          <w:szCs w:val="24"/>
          <w:lang w:val="sk-SK"/>
        </w:rPr>
      </w:pPr>
      <w:r w:rsidRPr="00606CBD">
        <w:rPr>
          <w:rFonts w:asciiTheme="majorHAnsi" w:hAnsiTheme="majorHAnsi" w:cstheme="majorHAnsi"/>
          <w:bCs/>
          <w:sz w:val="24"/>
          <w:szCs w:val="24"/>
          <w:lang w:val="sk-SK"/>
        </w:rPr>
        <w:t>Publikácií autorov z STU v databáze Highly Cited Researchers WOS.</w:t>
      </w:r>
    </w:p>
    <w:p w14:paraId="2C429160" w14:textId="77777777" w:rsidR="00606CBD" w:rsidRPr="00606CBD" w:rsidRDefault="00606CBD" w:rsidP="00E027F7">
      <w:pPr>
        <w:pStyle w:val="Odsekzoznamu1"/>
        <w:numPr>
          <w:ilvl w:val="0"/>
          <w:numId w:val="27"/>
        </w:numPr>
        <w:spacing w:after="0" w:line="240" w:lineRule="auto"/>
        <w:ind w:left="284" w:hanging="284"/>
        <w:jc w:val="both"/>
        <w:rPr>
          <w:rFonts w:asciiTheme="majorHAnsi" w:hAnsiTheme="majorHAnsi" w:cstheme="majorHAnsi"/>
          <w:bCs/>
          <w:sz w:val="24"/>
          <w:szCs w:val="24"/>
          <w:lang w:val="sk-SK"/>
        </w:rPr>
      </w:pPr>
      <w:r w:rsidRPr="00606CBD">
        <w:rPr>
          <w:rFonts w:asciiTheme="majorHAnsi" w:hAnsiTheme="majorHAnsi" w:cstheme="majorHAnsi"/>
          <w:bCs/>
          <w:sz w:val="24"/>
          <w:szCs w:val="24"/>
          <w:lang w:val="sk-SK"/>
        </w:rPr>
        <w:t>Počty publikácií s autorskou spoluúčasťou študentov.</w:t>
      </w:r>
    </w:p>
    <w:p w14:paraId="10CFEAFE" w14:textId="77777777" w:rsidR="00606CBD" w:rsidRPr="00606CBD" w:rsidRDefault="00606CBD" w:rsidP="00606CBD">
      <w:pPr>
        <w:jc w:val="both"/>
        <w:rPr>
          <w:rFonts w:asciiTheme="majorHAnsi" w:hAnsiTheme="majorHAnsi" w:cstheme="majorHAnsi"/>
          <w:bCs/>
        </w:rPr>
      </w:pPr>
    </w:p>
    <w:p w14:paraId="1376C0F5" w14:textId="77777777" w:rsidR="00606CBD" w:rsidRPr="00606CBD" w:rsidRDefault="00606CBD" w:rsidP="00E027F7">
      <w:pPr>
        <w:pStyle w:val="Odsekzoznamu"/>
        <w:numPr>
          <w:ilvl w:val="0"/>
          <w:numId w:val="26"/>
        </w:numPr>
        <w:spacing w:after="0" w:line="240" w:lineRule="auto"/>
        <w:ind w:left="284" w:hanging="284"/>
        <w:jc w:val="both"/>
        <w:rPr>
          <w:rFonts w:asciiTheme="majorHAnsi" w:hAnsiTheme="majorHAnsi" w:cstheme="majorHAnsi"/>
          <w:b/>
          <w:sz w:val="24"/>
          <w:szCs w:val="24"/>
        </w:rPr>
      </w:pPr>
      <w:r w:rsidRPr="00606CBD">
        <w:rPr>
          <w:rFonts w:asciiTheme="majorHAnsi" w:hAnsiTheme="majorHAnsi" w:cstheme="majorHAnsi"/>
          <w:b/>
          <w:sz w:val="24"/>
          <w:szCs w:val="24"/>
        </w:rPr>
        <w:t>Otvorená veda, Open Access, inštitucionálny repozitár OA STU</w:t>
      </w:r>
    </w:p>
    <w:p w14:paraId="4DD530B3" w14:textId="77777777" w:rsidR="00606CBD" w:rsidRPr="00606CBD" w:rsidRDefault="00606CBD" w:rsidP="00606CBD">
      <w:pPr>
        <w:jc w:val="both"/>
        <w:rPr>
          <w:rStyle w:val="Vrazn"/>
          <w:rFonts w:asciiTheme="majorHAnsi" w:eastAsia="Times New Roman" w:hAnsiTheme="majorHAnsi" w:cstheme="majorHAnsi"/>
          <w:b w:val="0"/>
          <w:bCs w:val="0"/>
          <w:lang w:eastAsia="sk-SK"/>
        </w:rPr>
      </w:pPr>
      <w:r w:rsidRPr="00606CBD">
        <w:rPr>
          <w:rFonts w:asciiTheme="majorHAnsi" w:eastAsia="Times New Roman" w:hAnsiTheme="majorHAnsi" w:cstheme="majorHAnsi"/>
          <w:lang w:eastAsia="sk-SK"/>
        </w:rPr>
        <w:t xml:space="preserve">STU má zastúpenie v štruktúrach </w:t>
      </w:r>
      <w:r w:rsidRPr="00606CBD">
        <w:rPr>
          <w:rFonts w:asciiTheme="majorHAnsi" w:hAnsiTheme="majorHAnsi" w:cstheme="majorHAnsi"/>
        </w:rPr>
        <w:t xml:space="preserve">národného koordinátora pre oblasť otvorenej vedy v SR </w:t>
      </w:r>
      <w:r w:rsidRPr="00606CBD">
        <w:rPr>
          <w:rFonts w:asciiTheme="majorHAnsi" w:eastAsia="Times New Roman" w:hAnsiTheme="majorHAnsi" w:cstheme="majorHAnsi"/>
          <w:lang w:eastAsia="sk-SK"/>
        </w:rPr>
        <w:t xml:space="preserve">- </w:t>
      </w:r>
      <w:r w:rsidRPr="00606CBD">
        <w:rPr>
          <w:rFonts w:asciiTheme="majorHAnsi" w:hAnsiTheme="majorHAnsi" w:cstheme="majorHAnsi"/>
        </w:rPr>
        <w:t xml:space="preserve">Kontaktná kancelária pre otvorený prístup je zriadená na pôde CVTI SR. Medzi jej úlohy patrí zlepšiť povedomie o problematike otvoreného prístupu a otvorenej vedy, aktívne prispievať k riešeniu úloh v rámci Národnej stratégie pre otvorenú vedu na roky 2021-2028 a Akčného plánu k Národnej stratégii, ktorý sa aktualizuje každé 2 roky. V roku 2022 sa realizovali z iniciatívy Univerzitnej knižnice STU: aktivity na uzatvorenie rámcovej dohody medzi STU a UK pri využívaní </w:t>
      </w:r>
      <w:r w:rsidRPr="00606CBD">
        <w:rPr>
          <w:rFonts w:asciiTheme="majorHAnsi" w:hAnsiTheme="majorHAnsi" w:cstheme="majorHAnsi"/>
          <w:b/>
        </w:rPr>
        <w:t>spoločného repozitáru</w:t>
      </w:r>
      <w:r w:rsidRPr="00606CBD">
        <w:rPr>
          <w:rFonts w:asciiTheme="majorHAnsi" w:hAnsiTheme="majorHAnsi" w:cstheme="majorHAnsi"/>
        </w:rPr>
        <w:t xml:space="preserve">, prednáška na tému </w:t>
      </w:r>
      <w:r w:rsidRPr="00606CBD">
        <w:rPr>
          <w:rStyle w:val="Vrazn"/>
          <w:rFonts w:asciiTheme="majorHAnsi" w:hAnsiTheme="majorHAnsi" w:cstheme="majorHAnsi"/>
          <w:shd w:val="clear" w:color="auto" w:fill="FFFFFF"/>
        </w:rPr>
        <w:t>Vývoj vedeckej komunikácie, Open Access a Open Science.</w:t>
      </w:r>
      <w:r w:rsidRPr="00606CBD">
        <w:rPr>
          <w:rFonts w:asciiTheme="majorHAnsi" w:eastAsia="Times New Roman" w:hAnsiTheme="majorHAnsi" w:cstheme="majorHAnsi"/>
          <w:lang w:eastAsia="sk-SK"/>
        </w:rPr>
        <w:t xml:space="preserve"> Okrem toho vznikol </w:t>
      </w:r>
      <w:r w:rsidRPr="00606CBD">
        <w:rPr>
          <w:rFonts w:asciiTheme="majorHAnsi" w:eastAsia="Times New Roman" w:hAnsiTheme="majorHAnsi" w:cstheme="majorHAnsi"/>
          <w:b/>
          <w:lang w:eastAsia="sk-SK"/>
        </w:rPr>
        <w:t>prehľad OA časopisov bez poplatkov</w:t>
      </w:r>
      <w:r w:rsidRPr="00606CBD">
        <w:rPr>
          <w:rFonts w:asciiTheme="majorHAnsi" w:eastAsia="Times New Roman" w:hAnsiTheme="majorHAnsi" w:cstheme="majorHAnsi"/>
          <w:lang w:eastAsia="sk-SK"/>
        </w:rPr>
        <w:t xml:space="preserve"> zverejnený na stránke Virtuálnej knižnice.</w:t>
      </w:r>
    </w:p>
    <w:p w14:paraId="06BA17A0" w14:textId="77777777" w:rsidR="00606CBD" w:rsidRPr="00606CBD" w:rsidRDefault="00606CBD" w:rsidP="00606CBD">
      <w:pPr>
        <w:jc w:val="both"/>
        <w:rPr>
          <w:rFonts w:asciiTheme="majorHAnsi" w:eastAsia="Times New Roman" w:hAnsiTheme="majorHAnsi" w:cstheme="majorHAnsi"/>
          <w:b/>
          <w:lang w:eastAsia="sk-SK"/>
        </w:rPr>
      </w:pPr>
    </w:p>
    <w:p w14:paraId="2C290B60" w14:textId="77777777" w:rsidR="00606CBD" w:rsidRPr="00606CBD" w:rsidRDefault="00606CBD" w:rsidP="00E027F7">
      <w:pPr>
        <w:pStyle w:val="Odsekzoznamu"/>
        <w:numPr>
          <w:ilvl w:val="0"/>
          <w:numId w:val="26"/>
        </w:numPr>
        <w:spacing w:after="0" w:line="240" w:lineRule="auto"/>
        <w:ind w:left="284" w:hanging="284"/>
        <w:jc w:val="both"/>
        <w:rPr>
          <w:rFonts w:asciiTheme="majorHAnsi" w:hAnsiTheme="majorHAnsi" w:cstheme="majorHAnsi"/>
          <w:b/>
          <w:sz w:val="24"/>
          <w:szCs w:val="24"/>
        </w:rPr>
      </w:pPr>
      <w:r w:rsidRPr="00606CBD">
        <w:rPr>
          <w:rFonts w:asciiTheme="majorHAnsi" w:hAnsiTheme="majorHAnsi" w:cstheme="majorHAnsi"/>
          <w:b/>
          <w:sz w:val="24"/>
          <w:szCs w:val="24"/>
        </w:rPr>
        <w:t>Podpora vedeckého publikovania</w:t>
      </w:r>
    </w:p>
    <w:p w14:paraId="3DA628D5" w14:textId="77777777" w:rsidR="00606CBD" w:rsidRPr="00606CBD" w:rsidRDefault="00606CBD" w:rsidP="00606CBD">
      <w:pPr>
        <w:jc w:val="both"/>
        <w:rPr>
          <w:rFonts w:asciiTheme="majorHAnsi" w:eastAsia="Times New Roman" w:hAnsiTheme="majorHAnsi" w:cstheme="majorHAnsi"/>
          <w:lang w:eastAsia="sk-SK"/>
        </w:rPr>
      </w:pPr>
      <w:r w:rsidRPr="00606CBD">
        <w:rPr>
          <w:rFonts w:asciiTheme="majorHAnsi" w:eastAsia="Times New Roman" w:hAnsiTheme="majorHAnsi" w:cstheme="majorHAnsi"/>
          <w:lang w:eastAsia="sk-SK"/>
        </w:rPr>
        <w:t>Na roky 2020-2023 bola podpísaná Dohoda o poskytovaní vydavateľských služieb medzi STU a DeGruyter Poland Sp. z o. o. na poskytovanie podporných, marketingových a distribučných služieb pre vedecké časopisy vydávané na STU (</w:t>
      </w:r>
      <w:r w:rsidRPr="00606CBD">
        <w:rPr>
          <w:rFonts w:asciiTheme="majorHAnsi" w:eastAsia="Times New Roman" w:hAnsiTheme="majorHAnsi" w:cstheme="majorHAnsi"/>
          <w:b/>
          <w:lang w:eastAsia="sk-SK"/>
        </w:rPr>
        <w:t>Sciendo</w:t>
      </w:r>
      <w:r w:rsidRPr="00606CBD">
        <w:rPr>
          <w:rFonts w:asciiTheme="majorHAnsi" w:eastAsia="Times New Roman" w:hAnsiTheme="majorHAnsi" w:cstheme="majorHAnsi"/>
          <w:lang w:eastAsia="sk-SK"/>
        </w:rPr>
        <w:t xml:space="preserve">). Pre rok 2022 bol zabezpečený naďalej prístup k službe </w:t>
      </w:r>
      <w:r w:rsidRPr="00606CBD">
        <w:rPr>
          <w:rFonts w:asciiTheme="majorHAnsi" w:eastAsia="Times New Roman" w:hAnsiTheme="majorHAnsi" w:cstheme="majorHAnsi"/>
          <w:b/>
          <w:lang w:eastAsia="sk-SK"/>
        </w:rPr>
        <w:t>Writefull</w:t>
      </w:r>
      <w:r w:rsidRPr="00606CBD">
        <w:rPr>
          <w:rFonts w:asciiTheme="majorHAnsi" w:eastAsia="Times New Roman" w:hAnsiTheme="majorHAnsi" w:cstheme="majorHAnsi"/>
          <w:lang w:eastAsia="sk-SK"/>
        </w:rPr>
        <w:t>, ktorá v roku 2022 predstavila nové funkcionality, ktoré prispievajú k podpore vedeckého publikovania na STU a zabezpečený prístup k </w:t>
      </w:r>
      <w:r w:rsidRPr="00606CBD">
        <w:rPr>
          <w:rFonts w:asciiTheme="majorHAnsi" w:eastAsia="Times New Roman" w:hAnsiTheme="majorHAnsi" w:cstheme="majorHAnsi"/>
          <w:b/>
          <w:lang w:eastAsia="sk-SK"/>
        </w:rPr>
        <w:t>CitacePRO Plus</w:t>
      </w:r>
      <w:r w:rsidRPr="00606CBD">
        <w:rPr>
          <w:rFonts w:asciiTheme="majorHAnsi" w:eastAsia="Times New Roman" w:hAnsiTheme="majorHAnsi" w:cstheme="majorHAnsi"/>
          <w:lang w:eastAsia="sk-SK"/>
        </w:rPr>
        <w:t xml:space="preserve"> ako nástroju na automatické generovanie a správu citácií. Stálymi činnosťami </w:t>
      </w:r>
      <w:r w:rsidRPr="00606CBD">
        <w:rPr>
          <w:rFonts w:asciiTheme="majorHAnsi" w:eastAsia="Times New Roman" w:hAnsiTheme="majorHAnsi" w:cstheme="majorHAnsi"/>
          <w:lang w:eastAsia="sk-SK"/>
        </w:rPr>
        <w:lastRenderedPageBreak/>
        <w:t xml:space="preserve">akademických knižníc sa stalo </w:t>
      </w:r>
      <w:r w:rsidRPr="00606CBD">
        <w:rPr>
          <w:rFonts w:asciiTheme="majorHAnsi" w:eastAsia="Times New Roman" w:hAnsiTheme="majorHAnsi" w:cstheme="majorHAnsi"/>
          <w:b/>
          <w:lang w:eastAsia="sk-SK"/>
        </w:rPr>
        <w:t>overovanie bonity publikačných zdrojov</w:t>
      </w:r>
      <w:r w:rsidRPr="00606CBD">
        <w:rPr>
          <w:rFonts w:asciiTheme="majorHAnsi" w:eastAsia="Times New Roman" w:hAnsiTheme="majorHAnsi" w:cstheme="majorHAnsi"/>
          <w:lang w:eastAsia="sk-SK"/>
        </w:rPr>
        <w:t xml:space="preserve">, účasť na podujatiach, ktoré sa venujú </w:t>
      </w:r>
      <w:r w:rsidRPr="00606CBD">
        <w:rPr>
          <w:rFonts w:asciiTheme="majorHAnsi" w:eastAsia="Times New Roman" w:hAnsiTheme="majorHAnsi" w:cstheme="majorHAnsi"/>
          <w:b/>
          <w:lang w:eastAsia="sk-SK"/>
        </w:rPr>
        <w:t>etike publikovania</w:t>
      </w:r>
      <w:r w:rsidRPr="00606CBD">
        <w:rPr>
          <w:rFonts w:asciiTheme="majorHAnsi" w:eastAsia="Times New Roman" w:hAnsiTheme="majorHAnsi" w:cstheme="majorHAnsi"/>
          <w:lang w:eastAsia="sk-SK"/>
        </w:rPr>
        <w:t>.</w:t>
      </w:r>
    </w:p>
    <w:p w14:paraId="2A794DBE" w14:textId="77777777" w:rsidR="00606CBD" w:rsidRPr="00606CBD" w:rsidRDefault="00606CBD" w:rsidP="00606CBD">
      <w:pPr>
        <w:jc w:val="both"/>
        <w:rPr>
          <w:rFonts w:asciiTheme="majorHAnsi" w:eastAsia="Times New Roman" w:hAnsiTheme="majorHAnsi" w:cstheme="majorHAnsi"/>
          <w:b/>
          <w:lang w:eastAsia="sk-SK"/>
        </w:rPr>
      </w:pPr>
    </w:p>
    <w:p w14:paraId="0AA84E1D" w14:textId="77777777" w:rsidR="00606CBD" w:rsidRPr="00606CBD" w:rsidRDefault="00606CBD" w:rsidP="00E027F7">
      <w:pPr>
        <w:pStyle w:val="Odsekzoznamu"/>
        <w:numPr>
          <w:ilvl w:val="0"/>
          <w:numId w:val="26"/>
        </w:numPr>
        <w:spacing w:after="0" w:line="240" w:lineRule="auto"/>
        <w:ind w:left="284" w:hanging="284"/>
        <w:jc w:val="both"/>
        <w:rPr>
          <w:rFonts w:asciiTheme="majorHAnsi" w:hAnsiTheme="majorHAnsi" w:cstheme="majorHAnsi"/>
          <w:b/>
          <w:sz w:val="24"/>
          <w:szCs w:val="24"/>
        </w:rPr>
      </w:pPr>
      <w:r w:rsidRPr="00606CBD">
        <w:rPr>
          <w:rFonts w:asciiTheme="majorHAnsi" w:hAnsiTheme="majorHAnsi" w:cstheme="majorHAnsi"/>
          <w:b/>
          <w:sz w:val="24"/>
          <w:szCs w:val="24"/>
        </w:rPr>
        <w:t>STN online normy</w:t>
      </w:r>
    </w:p>
    <w:p w14:paraId="75C96B13" w14:textId="77777777" w:rsidR="00606CBD" w:rsidRPr="00606CBD" w:rsidRDefault="00606CBD" w:rsidP="00606CBD">
      <w:pPr>
        <w:jc w:val="both"/>
        <w:rPr>
          <w:rFonts w:asciiTheme="majorHAnsi" w:eastAsia="Times New Roman" w:hAnsiTheme="majorHAnsi" w:cstheme="majorHAnsi"/>
          <w:lang w:eastAsia="sk-SK"/>
        </w:rPr>
      </w:pPr>
      <w:r w:rsidRPr="00606CBD">
        <w:rPr>
          <w:rFonts w:asciiTheme="majorHAnsi" w:eastAsia="Times New Roman" w:hAnsiTheme="majorHAnsi" w:cstheme="majorHAnsi"/>
          <w:lang w:eastAsia="sk-SK"/>
        </w:rPr>
        <w:t xml:space="preserve">Na základe Zmluvy medzi STU Bratislava a </w:t>
      </w:r>
      <w:r w:rsidRPr="00606CBD">
        <w:rPr>
          <w:rFonts w:asciiTheme="majorHAnsi" w:hAnsiTheme="majorHAnsi" w:cstheme="majorHAnsi"/>
        </w:rPr>
        <w:t xml:space="preserve">Úradom pre normalizáciu, metrológiu a skúšobníctvo SR </w:t>
      </w:r>
      <w:r w:rsidRPr="00606CBD">
        <w:rPr>
          <w:rFonts w:asciiTheme="majorHAnsi" w:eastAsia="Times New Roman" w:hAnsiTheme="majorHAnsi" w:cstheme="majorHAnsi"/>
          <w:lang w:eastAsia="sk-SK"/>
        </w:rPr>
        <w:t>je stále zabezpečený prístup k online normám pre študentov a zamestnancov STU.</w:t>
      </w:r>
    </w:p>
    <w:p w14:paraId="4B1DAF1D" w14:textId="77777777" w:rsidR="00606CBD" w:rsidRPr="00606CBD" w:rsidRDefault="00606CBD" w:rsidP="00606CBD">
      <w:pPr>
        <w:jc w:val="center"/>
        <w:rPr>
          <w:rFonts w:asciiTheme="majorHAnsi" w:hAnsiTheme="majorHAnsi" w:cstheme="majorHAnsi"/>
        </w:rPr>
      </w:pPr>
    </w:p>
    <w:p w14:paraId="4CD3C513" w14:textId="611A43BF" w:rsidR="00606CBD" w:rsidRPr="00606CBD" w:rsidRDefault="00B7058D" w:rsidP="00606CBD">
      <w:pPr>
        <w:jc w:val="both"/>
        <w:rPr>
          <w:rFonts w:asciiTheme="majorHAnsi" w:hAnsiTheme="majorHAnsi" w:cstheme="majorHAnsi"/>
        </w:rPr>
      </w:pPr>
      <w:r>
        <w:rPr>
          <w:rFonts w:asciiTheme="majorHAnsi" w:hAnsiTheme="majorHAnsi" w:cstheme="majorHAnsi"/>
        </w:rPr>
        <w:t>Graf č. 3</w:t>
      </w:r>
      <w:r w:rsidR="00606CBD" w:rsidRPr="00606CBD">
        <w:rPr>
          <w:rFonts w:asciiTheme="majorHAnsi" w:hAnsiTheme="majorHAnsi" w:cstheme="majorHAnsi"/>
        </w:rPr>
        <w:t>4: Podiel verejných VŠ na celkovej publikačnej činnosti pri delení dotácie na rok 2023</w:t>
      </w:r>
    </w:p>
    <w:p w14:paraId="733C4610" w14:textId="77777777" w:rsidR="00606CBD" w:rsidRPr="00606CBD" w:rsidRDefault="00606CBD" w:rsidP="00606CBD">
      <w:pPr>
        <w:jc w:val="center"/>
        <w:rPr>
          <w:rFonts w:asciiTheme="majorHAnsi" w:eastAsia="Times New Roman" w:hAnsiTheme="majorHAnsi" w:cstheme="majorHAnsi"/>
          <w:b/>
        </w:rPr>
      </w:pPr>
    </w:p>
    <w:p w14:paraId="6A58BDAF" w14:textId="77777777" w:rsidR="00606CBD" w:rsidRPr="00606CBD" w:rsidRDefault="00606CBD" w:rsidP="00606CBD">
      <w:pPr>
        <w:jc w:val="center"/>
        <w:rPr>
          <w:rFonts w:asciiTheme="majorHAnsi" w:eastAsia="Times New Roman" w:hAnsiTheme="majorHAnsi" w:cstheme="majorHAnsi"/>
          <w:sz w:val="20"/>
          <w:szCs w:val="20"/>
        </w:rPr>
      </w:pPr>
      <w:r w:rsidRPr="00606CBD">
        <w:rPr>
          <w:rFonts w:asciiTheme="majorHAnsi" w:hAnsiTheme="majorHAnsi" w:cstheme="majorHAnsi"/>
          <w:noProof/>
          <w:lang w:eastAsia="sk-SK"/>
        </w:rPr>
        <w:drawing>
          <wp:inline distT="0" distB="0" distL="0" distR="0" wp14:anchorId="77AF14F2" wp14:editId="5E91B22B">
            <wp:extent cx="4089400" cy="2349500"/>
            <wp:effectExtent l="0" t="0" r="0" b="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971D5BD" w14:textId="77777777" w:rsidR="00606CBD" w:rsidRPr="00606CBD" w:rsidRDefault="00606CBD" w:rsidP="00606CBD">
      <w:pPr>
        <w:jc w:val="center"/>
        <w:rPr>
          <w:rFonts w:asciiTheme="majorHAnsi" w:hAnsiTheme="majorHAnsi" w:cstheme="majorHAnsi"/>
          <w:sz w:val="18"/>
          <w:szCs w:val="18"/>
        </w:rPr>
      </w:pPr>
      <w:r w:rsidRPr="00606CBD">
        <w:rPr>
          <w:rFonts w:asciiTheme="majorHAnsi" w:hAnsiTheme="majorHAnsi" w:cstheme="majorHAnsi"/>
          <w:sz w:val="18"/>
          <w:szCs w:val="18"/>
        </w:rPr>
        <w:t>Zdroj: MŠVVaŠ SR</w:t>
      </w:r>
    </w:p>
    <w:p w14:paraId="4F219478" w14:textId="77777777" w:rsidR="00606CBD" w:rsidRPr="00606CBD" w:rsidRDefault="00606CBD" w:rsidP="00606CBD">
      <w:pPr>
        <w:jc w:val="both"/>
        <w:rPr>
          <w:rFonts w:asciiTheme="majorHAnsi" w:hAnsiTheme="majorHAnsi" w:cstheme="majorHAnsi"/>
        </w:rPr>
      </w:pPr>
    </w:p>
    <w:p w14:paraId="56498D25" w14:textId="77777777" w:rsidR="00606CBD" w:rsidRPr="00606CBD" w:rsidRDefault="00606CBD" w:rsidP="00606CBD">
      <w:pPr>
        <w:jc w:val="both"/>
        <w:rPr>
          <w:rFonts w:asciiTheme="majorHAnsi" w:hAnsiTheme="majorHAnsi" w:cstheme="majorHAnsi"/>
        </w:rPr>
      </w:pPr>
    </w:p>
    <w:p w14:paraId="5EB89E34" w14:textId="5EEAFFE3" w:rsidR="00606CBD" w:rsidRPr="00606CBD" w:rsidRDefault="00456C9E" w:rsidP="00606CBD">
      <w:pPr>
        <w:jc w:val="both"/>
        <w:rPr>
          <w:rFonts w:asciiTheme="majorHAnsi" w:eastAsia="Times New Roman" w:hAnsiTheme="majorHAnsi" w:cstheme="majorHAnsi"/>
          <w:b/>
          <w:sz w:val="28"/>
          <w:szCs w:val="28"/>
          <w:lang w:eastAsia="sk-SK"/>
        </w:rPr>
      </w:pPr>
      <w:r>
        <w:rPr>
          <w:rFonts w:asciiTheme="majorHAnsi" w:eastAsia="Times New Roman" w:hAnsiTheme="majorHAnsi" w:cstheme="majorHAnsi"/>
          <w:b/>
          <w:sz w:val="28"/>
          <w:szCs w:val="28"/>
          <w:lang w:eastAsia="sk-SK"/>
        </w:rPr>
        <w:t>5.6</w:t>
      </w:r>
      <w:r w:rsidR="00606CBD" w:rsidRPr="00606CBD">
        <w:rPr>
          <w:rFonts w:asciiTheme="majorHAnsi" w:eastAsia="Times New Roman" w:hAnsiTheme="majorHAnsi" w:cstheme="majorHAnsi"/>
          <w:b/>
          <w:sz w:val="28"/>
          <w:szCs w:val="28"/>
          <w:lang w:eastAsia="sk-SK"/>
        </w:rPr>
        <w:t>.</w:t>
      </w:r>
      <w:r w:rsidR="00606CBD">
        <w:rPr>
          <w:rFonts w:asciiTheme="majorHAnsi" w:eastAsia="Times New Roman" w:hAnsiTheme="majorHAnsi" w:cstheme="majorHAnsi"/>
          <w:b/>
          <w:sz w:val="28"/>
          <w:szCs w:val="28"/>
          <w:lang w:eastAsia="sk-SK"/>
        </w:rPr>
        <w:t>4.</w:t>
      </w:r>
      <w:r w:rsidR="00606CBD" w:rsidRPr="00606CBD">
        <w:rPr>
          <w:rFonts w:asciiTheme="majorHAnsi" w:eastAsia="Times New Roman" w:hAnsiTheme="majorHAnsi" w:cstheme="majorHAnsi"/>
          <w:b/>
          <w:sz w:val="28"/>
          <w:szCs w:val="28"/>
          <w:lang w:eastAsia="sk-SK"/>
        </w:rPr>
        <w:t xml:space="preserve"> </w:t>
      </w:r>
      <w:r w:rsidR="00606CBD" w:rsidRPr="00606CBD">
        <w:rPr>
          <w:rFonts w:asciiTheme="majorHAnsi" w:hAnsiTheme="majorHAnsi" w:cstheme="majorHAnsi"/>
          <w:b/>
          <w:sz w:val="28"/>
          <w:szCs w:val="28"/>
        </w:rPr>
        <w:t>HR Excellence in Research</w:t>
      </w:r>
    </w:p>
    <w:p w14:paraId="6B9A21F5" w14:textId="77777777" w:rsidR="00606CBD" w:rsidRPr="00606CBD" w:rsidRDefault="00606CBD" w:rsidP="00606CBD">
      <w:pPr>
        <w:jc w:val="both"/>
        <w:rPr>
          <w:rFonts w:asciiTheme="majorHAnsi" w:eastAsia="Times New Roman" w:hAnsiTheme="majorHAnsi" w:cstheme="majorHAnsi"/>
          <w:lang w:eastAsia="sk-SK"/>
        </w:rPr>
      </w:pPr>
    </w:p>
    <w:p w14:paraId="13159184" w14:textId="1DA2EB6C" w:rsidR="00606CBD" w:rsidRPr="00606CBD" w:rsidRDefault="00606CBD" w:rsidP="00606CBD">
      <w:pPr>
        <w:jc w:val="both"/>
        <w:rPr>
          <w:rFonts w:asciiTheme="majorHAnsi" w:hAnsiTheme="majorHAnsi" w:cstheme="majorHAnsi"/>
        </w:rPr>
      </w:pPr>
      <w:r w:rsidRPr="00606CBD">
        <w:rPr>
          <w:rFonts w:asciiTheme="majorHAnsi" w:eastAsia="Times New Roman" w:hAnsiTheme="majorHAnsi" w:cstheme="majorHAnsi"/>
          <w:b/>
          <w:lang w:eastAsia="sk-SK"/>
        </w:rPr>
        <w:t>Koncom novembra 2022 sa STU úspešne pripojila</w:t>
      </w:r>
      <w:r w:rsidRPr="00606CBD">
        <w:rPr>
          <w:rFonts w:asciiTheme="majorHAnsi" w:eastAsia="Times New Roman" w:hAnsiTheme="majorHAnsi" w:cstheme="majorHAnsi"/>
          <w:lang w:eastAsia="sk-SK"/>
        </w:rPr>
        <w:t xml:space="preserve"> k vedeckým inštitúciám Európskej Únie, ktoré získali značku </w:t>
      </w:r>
      <w:r w:rsidRPr="00606CBD">
        <w:rPr>
          <w:rFonts w:asciiTheme="majorHAnsi" w:eastAsia="Times New Roman" w:hAnsiTheme="majorHAnsi" w:cstheme="majorHAnsi"/>
          <w:b/>
          <w:lang w:eastAsia="sk-SK"/>
        </w:rPr>
        <w:t>„HR Excellence in Research“</w:t>
      </w:r>
      <w:r w:rsidRPr="00606CBD">
        <w:rPr>
          <w:rFonts w:asciiTheme="majorHAnsi" w:eastAsia="Times New Roman" w:hAnsiTheme="majorHAnsi" w:cstheme="majorHAnsi"/>
          <w:lang w:eastAsia="sk-SK"/>
        </w:rPr>
        <w:t>. Ide o </w:t>
      </w:r>
      <w:r w:rsidRPr="00606CBD">
        <w:rPr>
          <w:rFonts w:asciiTheme="majorHAnsi" w:eastAsia="Times New Roman" w:hAnsiTheme="majorHAnsi" w:cstheme="majorHAnsi"/>
          <w:b/>
          <w:lang w:eastAsia="sk-SK"/>
        </w:rPr>
        <w:t>prestížne ocenenie</w:t>
      </w:r>
      <w:r w:rsidRPr="00606CBD">
        <w:rPr>
          <w:rFonts w:asciiTheme="majorHAnsi" w:eastAsia="Times New Roman" w:hAnsiTheme="majorHAnsi" w:cstheme="majorHAnsi"/>
          <w:lang w:eastAsia="sk-SK"/>
        </w:rPr>
        <w:t xml:space="preserve"> udeľované Európskou komisiou inštitúciám, ktoré preukázali svoj záväzok dodržiavať 40 princípov a zásad</w:t>
      </w:r>
      <w:r w:rsidRPr="00606CBD">
        <w:rPr>
          <w:rFonts w:asciiTheme="majorHAnsi" w:hAnsiTheme="majorHAnsi" w:cstheme="majorHAnsi"/>
        </w:rPr>
        <w:t xml:space="preserve"> Európskej charty výskumných pracovníkov a Kódexu správania pre nábor výskumných pracovníkov v rámci Stratégie ľudských zdrojov vo výskume (Human Resources Strategy for Researchers – HRS4R).</w:t>
      </w:r>
    </w:p>
    <w:p w14:paraId="3D7C42CE" w14:textId="77777777" w:rsidR="00606CBD" w:rsidRPr="00606CBD" w:rsidRDefault="00606CBD" w:rsidP="00606CBD">
      <w:pPr>
        <w:rPr>
          <w:rFonts w:asciiTheme="majorHAnsi" w:hAnsiTheme="majorHAnsi" w:cstheme="majorHAnsi"/>
        </w:rPr>
      </w:pPr>
    </w:p>
    <w:p w14:paraId="6C5E29E8" w14:textId="5D1F9F44" w:rsidR="00606CBD" w:rsidRPr="00606CBD" w:rsidRDefault="00606CBD" w:rsidP="00606CBD">
      <w:pPr>
        <w:jc w:val="both"/>
        <w:rPr>
          <w:rFonts w:asciiTheme="majorHAnsi" w:hAnsiTheme="majorHAnsi" w:cstheme="majorHAnsi"/>
        </w:rPr>
      </w:pPr>
      <w:r w:rsidRPr="00606CBD">
        <w:rPr>
          <w:rFonts w:asciiTheme="majorHAnsi" w:hAnsiTheme="majorHAnsi" w:cstheme="majorHAnsi"/>
        </w:rPr>
        <w:t>STU a jej fakulty sa tým zaväzujú ku kontinuálnemu zlepšovaniu sa v oblasti výskumnej etiky, náboru, hodnotenia a pracovného prostredia výskumníkov s dlhodobým cieľom vytvárať priaznivé podmienky pre kariérny rast a poradenstvo, nepretržité vzdelávanie a internacionalizáciu, ako aj ku zvyšovaniu informovanosti svojich výskumných pracovníkov. Veľký dôraz sa bude klásť na zdieľanie dobrej praxe medzi fakultami.</w:t>
      </w:r>
      <w:r>
        <w:rPr>
          <w:rFonts w:asciiTheme="majorHAnsi" w:hAnsiTheme="majorHAnsi" w:cstheme="majorHAnsi"/>
        </w:rPr>
        <w:t xml:space="preserve"> </w:t>
      </w:r>
      <w:r w:rsidRPr="00606CBD">
        <w:rPr>
          <w:rFonts w:asciiTheme="majorHAnsi" w:hAnsiTheme="majorHAnsi" w:cstheme="majorHAnsi"/>
        </w:rPr>
        <w:t>Okrem zvýšenia atraktivity inštitúcie pre výskumných pracovníkov hľadajúcich nového zamestnávateľa, zvýši toto ocenenie aj šance STU podieľať sa na medzinárodných výskumných projektoch.</w:t>
      </w:r>
    </w:p>
    <w:p w14:paraId="402CF52E" w14:textId="5D08D847" w:rsidR="00606CBD" w:rsidRDefault="00606CBD" w:rsidP="00606CBD">
      <w:pPr>
        <w:rPr>
          <w:rFonts w:asciiTheme="majorHAnsi" w:hAnsiTheme="majorHAnsi" w:cstheme="majorHAnsi"/>
          <w:color w:val="1F497D"/>
        </w:rPr>
      </w:pPr>
      <w:r w:rsidRPr="00606CBD">
        <w:rPr>
          <w:rFonts w:asciiTheme="majorHAnsi" w:hAnsiTheme="majorHAnsi" w:cstheme="majorHAnsi"/>
        </w:rPr>
        <w:t xml:space="preserve">Všetky informácie o procese implementácie stratégie HRS4R sú zverejnené na stránke  </w:t>
      </w:r>
      <w:hyperlink r:id="rId92" w:history="1">
        <w:r w:rsidRPr="00606CBD">
          <w:rPr>
            <w:rStyle w:val="Hypertextovprepojenie"/>
            <w:rFonts w:asciiTheme="majorHAnsi" w:hAnsiTheme="majorHAnsi" w:cstheme="majorHAnsi"/>
          </w:rPr>
          <w:t>www.stuba.sk/hrs4r</w:t>
        </w:r>
      </w:hyperlink>
      <w:r w:rsidRPr="00606CBD">
        <w:rPr>
          <w:rFonts w:asciiTheme="majorHAnsi" w:hAnsiTheme="majorHAnsi" w:cstheme="majorHAnsi"/>
          <w:color w:val="1F497D"/>
        </w:rPr>
        <w:t>.</w:t>
      </w:r>
    </w:p>
    <w:p w14:paraId="375DFD47" w14:textId="2E106B8D" w:rsidR="00606CBD" w:rsidRDefault="00606CBD" w:rsidP="00606CBD">
      <w:pPr>
        <w:rPr>
          <w:rFonts w:asciiTheme="majorHAnsi" w:hAnsiTheme="majorHAnsi" w:cstheme="majorHAnsi"/>
          <w:color w:val="1F497D"/>
        </w:rPr>
      </w:pPr>
    </w:p>
    <w:p w14:paraId="2E38DCD6" w14:textId="3A5E3C01" w:rsidR="00D76CA4" w:rsidRPr="000A64F1" w:rsidRDefault="00456C9E" w:rsidP="00D76CA4">
      <w:pPr>
        <w:jc w:val="both"/>
        <w:rPr>
          <w:b/>
          <w:sz w:val="28"/>
          <w:szCs w:val="28"/>
        </w:rPr>
      </w:pPr>
      <w:r>
        <w:rPr>
          <w:b/>
          <w:sz w:val="28"/>
          <w:szCs w:val="28"/>
        </w:rPr>
        <w:t>5.7</w:t>
      </w:r>
      <w:r w:rsidR="00D76CA4" w:rsidRPr="000A64F1">
        <w:rPr>
          <w:b/>
          <w:sz w:val="28"/>
          <w:szCs w:val="28"/>
        </w:rPr>
        <w:t>. Doktorandská škola STU</w:t>
      </w:r>
    </w:p>
    <w:p w14:paraId="567CD389" w14:textId="77777777" w:rsidR="00D76CA4" w:rsidRPr="000A64F1" w:rsidRDefault="00D76CA4" w:rsidP="00D76CA4">
      <w:pPr>
        <w:jc w:val="both"/>
        <w:rPr>
          <w:rFonts w:eastAsia="Times New Roman" w:cs="Times New Roman"/>
          <w:b/>
          <w:sz w:val="22"/>
          <w:szCs w:val="22"/>
          <w:lang w:eastAsia="sk-SK"/>
        </w:rPr>
      </w:pPr>
    </w:p>
    <w:p w14:paraId="0DCC07CA" w14:textId="77777777" w:rsidR="00D76CA4" w:rsidRPr="000A64F1" w:rsidRDefault="00D76CA4" w:rsidP="00D76CA4">
      <w:pPr>
        <w:spacing w:after="240"/>
        <w:jc w:val="both"/>
      </w:pPr>
      <w:r w:rsidRPr="000A64F1">
        <w:t xml:space="preserve">V rámci rozvoja vedecko-výskumných kompetencií doktorandov a mladých výskumných pracovníkov sa v roku 2019 začali realizovať prvé vzdelávacie aktivity. Majú interdisciplinárnu </w:t>
      </w:r>
      <w:r w:rsidRPr="000A64F1">
        <w:lastRenderedPageBreak/>
        <w:t xml:space="preserve">povahu a idú nad rámec vzdelávania, ktoré ponúkajú jednotlivé fakulty. Zastrešuje ich Doktorandská škola STU a majú za cieľ rozvoj vedecko-výskumných zručností a kompetencií doktorandov a mladých výskumných pracovníkov v oblastiach ako publikovanie, prezentačné zručnosti a komunikácia, financovanie výskumu a písanie grantov, kariérny rozvoj, etika vo výskume, ochrana duševného vlastníctva a pod. </w:t>
      </w:r>
    </w:p>
    <w:p w14:paraId="67537BC4" w14:textId="77777777" w:rsidR="00D76CA4" w:rsidRPr="000A64F1" w:rsidRDefault="00D76CA4" w:rsidP="00D76CA4">
      <w:pPr>
        <w:spacing w:after="240"/>
        <w:jc w:val="both"/>
        <w:rPr>
          <w:rStyle w:val="Vrazn"/>
          <w:b w:val="0"/>
        </w:rPr>
      </w:pPr>
      <w:r w:rsidRPr="000A64F1">
        <w:t xml:space="preserve">S cieľom pripraviť a realizovať program v oblasti soft skills pre PhD. študentov DŠ STU v  letnom semestri 2021/2022 zorganizovala semináre v rámci predmetu </w:t>
      </w:r>
      <w:r w:rsidRPr="000A64F1">
        <w:rPr>
          <w:b/>
        </w:rPr>
        <w:t>Metodológia vedeckej práce 2</w:t>
      </w:r>
      <w:r w:rsidRPr="000A64F1">
        <w:t xml:space="preserve"> na nasledovné témy</w:t>
      </w:r>
      <w:r w:rsidRPr="000A64F1">
        <w:rPr>
          <w:b/>
        </w:rPr>
        <w:t xml:space="preserve">: </w:t>
      </w:r>
      <w:r w:rsidRPr="000A64F1">
        <w:rPr>
          <w:rStyle w:val="Vrazn"/>
        </w:rPr>
        <w:t>Žiadosť o mobilitu, výskumné pobyty v zahraničí, štipendiá</w:t>
      </w:r>
      <w:r w:rsidRPr="000A64F1">
        <w:t xml:space="preserve"> - Zuzana Kalináčová, Karla Zimanová, Kristína Sallerová, SAIA, Slavomíra Valkovičová, STU; </w:t>
      </w:r>
      <w:r w:rsidRPr="000A64F1">
        <w:rPr>
          <w:rStyle w:val="Vrazn"/>
        </w:rPr>
        <w:t>Archivácia a manažment výskumných dát</w:t>
      </w:r>
      <w:r w:rsidRPr="000A64F1">
        <w:t xml:space="preserve"> – Zuzana Stožická, Silvia Sofianos, CVTI SR; </w:t>
      </w:r>
      <w:r w:rsidRPr="000A64F1">
        <w:rPr>
          <w:rStyle w:val="Vrazn"/>
        </w:rPr>
        <w:t>Hodnotenie vedy a výskumu, viditeľnosť vedy</w:t>
      </w:r>
      <w:r w:rsidRPr="000A64F1">
        <w:t xml:space="preserve"> – Zuzana Stožická, Simona Hudecová, CVTI SR; </w:t>
      </w:r>
      <w:r w:rsidRPr="000A64F1">
        <w:rPr>
          <w:rStyle w:val="Vrazn"/>
        </w:rPr>
        <w:t>Vývoj vedeckej komunikácie, Open Access a Open Science</w:t>
      </w:r>
      <w:r w:rsidRPr="000A64F1">
        <w:t xml:space="preserve"> – PhDr. Kvetoslava Rešetová, PhD., STU; </w:t>
      </w:r>
      <w:r w:rsidRPr="000A64F1">
        <w:rPr>
          <w:rStyle w:val="Vrazn"/>
        </w:rPr>
        <w:t>Kariéra vo vede, postdok programy</w:t>
      </w:r>
      <w:r w:rsidRPr="000A64F1">
        <w:t xml:space="preserve"> - Janka Kottulová, SAIA, Mariena Talapková, STU; </w:t>
      </w:r>
      <w:r w:rsidRPr="000A64F1">
        <w:rPr>
          <w:rStyle w:val="Vrazn"/>
        </w:rPr>
        <w:t>Ako napísať úspešný projekt, ako sa uchádzať o grant, financovanie bádania</w:t>
      </w:r>
      <w:r w:rsidRPr="000A64F1">
        <w:t xml:space="preserve"> - Janka Kottulová, SAIA, Andrej Takáč, STU. Predmet je o</w:t>
      </w:r>
      <w:r w:rsidRPr="000A64F1">
        <w:rPr>
          <w:rStyle w:val="Vrazn"/>
        </w:rPr>
        <w:t>dporúčaný pre všetky študijné odbory, 1. ročník PhD. štúdia, avšak prednášok sa mohli zúčastniť PhD (a aj sa zúčastňovali) študenti všetkých odborov aj ročníkov.</w:t>
      </w:r>
    </w:p>
    <w:p w14:paraId="08BFEE91" w14:textId="40C19209" w:rsidR="00D76CA4" w:rsidRPr="000A64F1" w:rsidRDefault="00D76CA4" w:rsidP="00D76CA4">
      <w:pPr>
        <w:spacing w:after="240"/>
        <w:jc w:val="both"/>
        <w:rPr>
          <w:rStyle w:val="Vrazn"/>
        </w:rPr>
      </w:pPr>
      <w:r>
        <w:rPr>
          <w:rStyle w:val="Vrazn"/>
          <w:b w:val="0"/>
        </w:rPr>
        <w:t xml:space="preserve">Okrem </w:t>
      </w:r>
      <w:r w:rsidRPr="00D76CA4">
        <w:rPr>
          <w:rStyle w:val="Vrazn"/>
          <w:b w:val="0"/>
        </w:rPr>
        <w:t>uvedených prednášok boli študentom ponúknuté</w:t>
      </w:r>
      <w:r w:rsidRPr="000A64F1">
        <w:rPr>
          <w:rStyle w:val="Vrazn"/>
        </w:rPr>
        <w:t xml:space="preserve"> </w:t>
      </w:r>
      <w:r w:rsidRPr="00D76CA4">
        <w:rPr>
          <w:rStyle w:val="Vrazn"/>
          <w:b w:val="0"/>
        </w:rPr>
        <w:t>webináre BENELUX a Škandinávia - Štipendiá na štúdium, výskum a kurzy (SAIA), Nemecko, Rakúsko, Švajčiarsko - ŠTIPENDIÁ na štúdium, výskum a jazykové kurzy (SAIA), 14+ krajín strednej a juhovýchodnej Európy - Štipendiá CEEPUS (SAIA), Cesta do fantÁZIE - Štipendiá do Japonska, J. Kórey, Indie, Číny a ďalej! (SAIA), Ako sa zviditeľniť - Aké kroky vedú k úspešnej prezentácii výsledkov vlastnej práce (CVTI SR), Ako písať vedecký článok alebo</w:t>
      </w:r>
      <w:r w:rsidRPr="00D76CA4">
        <w:rPr>
          <w:b/>
        </w:rPr>
        <w:t xml:space="preserve"> </w:t>
      </w:r>
      <w:r w:rsidRPr="000A64F1">
        <w:t>záverečnú prácu v odbornej angličtine (Albertina icome), Štipendiá NŠP na študijné a výskumné pobyty do celého sveta - Ako podať žiadosť? (SAIA), NŠP: Štipendiá do celého sveta na študijné a výskumné pobyty + Ako získať akceptačný list? (SAIA), RAKÚSKO - Štipendiá na výskumné pobyty a projektová spolupráca (SAIA), RAKÚSKO - Štipendiá na študijné/výskumné/jazykové pobyty (SAIA), ŠTIPENDIUM do 26 krajín sveta (štúdium, výskum, jazykové kurzy) (SAIA), Ako zviditeľniť svoj výskum v SCOPUS (CVTI SR), Webináre zamerané na rozvoj prenosných zručností (SAIA Euraxess).</w:t>
      </w:r>
    </w:p>
    <w:p w14:paraId="462FD46B" w14:textId="6554BEE5" w:rsidR="00D76CA4" w:rsidRPr="000A64F1" w:rsidRDefault="00D76CA4" w:rsidP="00D76CA4">
      <w:pPr>
        <w:spacing w:after="240"/>
        <w:jc w:val="both"/>
        <w:rPr>
          <w:highlight w:val="yellow"/>
        </w:rPr>
      </w:pPr>
      <w:r w:rsidRPr="000A64F1">
        <w:t>V zimnom semestri 2022/2023 v rámci DŠ STU v rámci predmetu Metodológia vedeckej práce 1 zorganizovali semináre/webináre na témy:</w:t>
      </w:r>
      <w:r w:rsidRPr="000A64F1">
        <w:rPr>
          <w:b/>
        </w:rPr>
        <w:t xml:space="preserve"> </w:t>
      </w:r>
      <w:r w:rsidRPr="00D76CA4">
        <w:rPr>
          <w:rStyle w:val="Vrazn"/>
        </w:rPr>
        <w:t xml:space="preserve">Elektronické informačné zdroje, vyhľadávanie, citovanie a DOI </w:t>
      </w:r>
      <w:r w:rsidRPr="00D76CA4">
        <w:t xml:space="preserve">- Mgr. Alena Václavová, STU; </w:t>
      </w:r>
      <w:r w:rsidRPr="00D76CA4">
        <w:rPr>
          <w:rStyle w:val="Vrazn"/>
        </w:rPr>
        <w:t xml:space="preserve">Príprava a tvorba prezentácie na konferenciu, tvorba posteru. Techniky prednesu, príprava na vystúpenie na konferencii v SR a v zahraničí </w:t>
      </w:r>
      <w:r w:rsidRPr="00D76CA4">
        <w:t xml:space="preserve">- prof. Ing. Ľubica Stuchlíková, PhD. a prof. Ing. Martin Weis, DrSc., STU; </w:t>
      </w:r>
      <w:r w:rsidRPr="00D76CA4">
        <w:rPr>
          <w:rStyle w:val="Vrazn"/>
        </w:rPr>
        <w:t xml:space="preserve">Stratégia a technika písania vedeckého článku. Právne a etické aspekty vedeckého publikovania. Recenzné konanie, autorské práva </w:t>
      </w:r>
      <w:r w:rsidRPr="00D76CA4">
        <w:t xml:space="preserve">- RNDR. Zuzana Stožická, PhD., CVTI SR; </w:t>
      </w:r>
      <w:r w:rsidRPr="00D76CA4">
        <w:rPr>
          <w:rStyle w:val="Vrazn"/>
        </w:rPr>
        <w:t xml:space="preserve">Etika vo výskume, vedecká integrita </w:t>
      </w:r>
      <w:r w:rsidRPr="00D76CA4">
        <w:t xml:space="preserve">- RNDr. Soňa Ftáčniková, PhD., CVTI SR; </w:t>
      </w:r>
      <w:r w:rsidRPr="00D76CA4">
        <w:rPr>
          <w:rStyle w:val="Vrazn"/>
        </w:rPr>
        <w:t xml:space="preserve">Kvalitatívne a kvantitatívne analytické metódy a techniky </w:t>
      </w:r>
      <w:r w:rsidRPr="00D76CA4">
        <w:t xml:space="preserve">- prof. RNDr. Beáta Stehlíková, CSc., STU; </w:t>
      </w:r>
      <w:r w:rsidRPr="00D76CA4">
        <w:rPr>
          <w:rStyle w:val="Vrazn"/>
        </w:rPr>
        <w:t xml:space="preserve">Metodika vedeckého bádania, vedeckého experimentu </w:t>
      </w:r>
      <w:r w:rsidRPr="00D76CA4">
        <w:t xml:space="preserve">- Mgr. Martina Porubčinová, PhD., SAV. Ako bonusovú prednášku sme ponúkli prednášku </w:t>
      </w:r>
      <w:r w:rsidRPr="00D76CA4">
        <w:rPr>
          <w:rStyle w:val="Vrazn"/>
        </w:rPr>
        <w:t>Chcem podnikať v life sciences</w:t>
      </w:r>
      <w:r w:rsidRPr="000A64F1">
        <w:rPr>
          <w:b/>
        </w:rPr>
        <w:t xml:space="preserve"> </w:t>
      </w:r>
      <w:r w:rsidRPr="000A64F1">
        <w:t>- Ing. Andrej Takáč, STU. Prednáška vznikla v rámci implementácie projektu Interreg SK-AT CARLiS – Careers in Life Sciences.</w:t>
      </w:r>
    </w:p>
    <w:p w14:paraId="33F4D900" w14:textId="77777777" w:rsidR="00D76CA4" w:rsidRPr="000A64F1" w:rsidRDefault="00D76CA4" w:rsidP="00D76CA4">
      <w:pPr>
        <w:jc w:val="both"/>
      </w:pPr>
      <w:r w:rsidRPr="000A64F1">
        <w:t>Študenti využili ponuku prednášok a na prednášky sa radi registrovali. Takýmto spôsobom si doktorandi mali možnosť rozvíjať svoje mäkké zručnosti.</w:t>
      </w:r>
    </w:p>
    <w:p w14:paraId="53359D74" w14:textId="77777777" w:rsidR="00D76CA4" w:rsidRPr="000A64F1" w:rsidRDefault="00D76CA4" w:rsidP="00D76CA4">
      <w:pPr>
        <w:jc w:val="both"/>
      </w:pPr>
    </w:p>
    <w:p w14:paraId="4AE65DC8" w14:textId="77777777" w:rsidR="00D76CA4" w:rsidRPr="000A64F1" w:rsidRDefault="00D76CA4" w:rsidP="00D76CA4">
      <w:pPr>
        <w:jc w:val="both"/>
      </w:pPr>
    </w:p>
    <w:p w14:paraId="02A8980D" w14:textId="37ABD966" w:rsidR="00D76CA4" w:rsidRPr="000A64F1" w:rsidRDefault="00456C9E" w:rsidP="00D76CA4">
      <w:pPr>
        <w:rPr>
          <w:b/>
          <w:sz w:val="28"/>
          <w:szCs w:val="28"/>
        </w:rPr>
      </w:pPr>
      <w:bookmarkStart w:id="199" w:name="_Toc64379195"/>
      <w:r>
        <w:rPr>
          <w:b/>
          <w:sz w:val="28"/>
          <w:szCs w:val="28"/>
        </w:rPr>
        <w:lastRenderedPageBreak/>
        <w:t>5.8</w:t>
      </w:r>
      <w:r w:rsidR="00D76CA4" w:rsidRPr="000A64F1">
        <w:rPr>
          <w:b/>
          <w:sz w:val="28"/>
          <w:szCs w:val="28"/>
        </w:rPr>
        <w:t>. Ocenenia na STU</w:t>
      </w:r>
      <w:bookmarkEnd w:id="199"/>
    </w:p>
    <w:p w14:paraId="18DDEEC3" w14:textId="77777777" w:rsidR="00D76CA4" w:rsidRPr="000A64F1" w:rsidRDefault="00D76CA4" w:rsidP="00D76CA4">
      <w:pPr>
        <w:rPr>
          <w:b/>
        </w:rPr>
      </w:pPr>
    </w:p>
    <w:p w14:paraId="22EA2AC2" w14:textId="43AA4C9B" w:rsidR="00D76CA4" w:rsidRPr="00D76CA4" w:rsidRDefault="00D76CA4" w:rsidP="00D76CA4">
      <w:pPr>
        <w:jc w:val="both"/>
        <w:rPr>
          <w:rFonts w:cs="Calibri"/>
        </w:rPr>
      </w:pPr>
      <w:r w:rsidRPr="000A64F1">
        <w:rPr>
          <w:rFonts w:cs="Calibri"/>
        </w:rPr>
        <w:t>Rek</w:t>
      </w:r>
      <w:r>
        <w:rPr>
          <w:rFonts w:cs="Calibri"/>
        </w:rPr>
        <w:t>tor STU udelil v roku 2022</w:t>
      </w:r>
      <w:r w:rsidRPr="000A64F1">
        <w:rPr>
          <w:rFonts w:cs="Calibri"/>
        </w:rPr>
        <w:t xml:space="preserve"> </w:t>
      </w:r>
      <w:r>
        <w:rPr>
          <w:rFonts w:cs="Calibri"/>
          <w:b/>
        </w:rPr>
        <w:t>Plaketu STU</w:t>
      </w:r>
      <w:r w:rsidRPr="000A64F1">
        <w:rPr>
          <w:rFonts w:cs="Calibri"/>
        </w:rPr>
        <w:t xml:space="preserve"> </w:t>
      </w:r>
      <w:r w:rsidRPr="00D76CA4">
        <w:rPr>
          <w:rFonts w:cs="Calibri"/>
          <w:b/>
          <w:color w:val="333333"/>
          <w:shd w:val="clear" w:color="auto" w:fill="FFFFFF"/>
        </w:rPr>
        <w:t>prof. Ing. Pavlovi Fellnerovi, DrSc.</w:t>
      </w:r>
    </w:p>
    <w:p w14:paraId="0C771FB5" w14:textId="77777777" w:rsidR="00D76CA4" w:rsidRDefault="00D76CA4" w:rsidP="00D76CA4">
      <w:pPr>
        <w:rPr>
          <w:rFonts w:cs="Calibri"/>
          <w:color w:val="333333"/>
          <w:shd w:val="clear" w:color="auto" w:fill="FFFFFF"/>
        </w:rPr>
      </w:pPr>
    </w:p>
    <w:p w14:paraId="51082451" w14:textId="77777777" w:rsidR="00D76CA4" w:rsidRPr="009163F7" w:rsidRDefault="00D76CA4" w:rsidP="00D76CA4">
      <w:pPr>
        <w:jc w:val="both"/>
        <w:rPr>
          <w:rFonts w:cs="Calibri"/>
        </w:rPr>
      </w:pPr>
      <w:r w:rsidRPr="009163F7">
        <w:rPr>
          <w:rFonts w:cs="Calibri"/>
        </w:rPr>
        <w:t>Od roku 2007 rektor Slovenskej technickej univerzity v Bratislave udeľuj</w:t>
      </w:r>
      <w:r>
        <w:rPr>
          <w:rFonts w:cs="Calibri"/>
        </w:rPr>
        <w:t>e významným osobnostiam ocenenie</w:t>
      </w:r>
      <w:r w:rsidRPr="009163F7">
        <w:rPr>
          <w:rFonts w:cs="Calibri"/>
        </w:rPr>
        <w:t xml:space="preserve"> Vedec roka STU. Cenu „</w:t>
      </w:r>
      <w:r w:rsidRPr="009163F7">
        <w:rPr>
          <w:rFonts w:cs="Calibri"/>
          <w:b/>
        </w:rPr>
        <w:t>Vedecká osobnosť roka STU za rok 2022</w:t>
      </w:r>
      <w:r w:rsidRPr="009163F7">
        <w:rPr>
          <w:rFonts w:cs="Calibri"/>
        </w:rPr>
        <w:t xml:space="preserve">“ v kategórii </w:t>
      </w:r>
      <w:r w:rsidRPr="009163F7">
        <w:rPr>
          <w:rFonts w:cs="Calibri"/>
          <w:b/>
        </w:rPr>
        <w:t>Významný vedecký prínos</w:t>
      </w:r>
      <w:r w:rsidRPr="009163F7">
        <w:rPr>
          <w:rFonts w:cs="Calibri"/>
        </w:rPr>
        <w:t xml:space="preserve"> získal </w:t>
      </w:r>
      <w:r w:rsidRPr="00173B2C">
        <w:rPr>
          <w:b/>
          <w:bCs/>
        </w:rPr>
        <w:t>doc. Ing. Tomáš Mackuľak, PhD.</w:t>
      </w:r>
      <w:r w:rsidRPr="009163F7">
        <w:rPr>
          <w:rFonts w:cs="Calibri"/>
        </w:rPr>
        <w:t xml:space="preserve">, Fakulta </w:t>
      </w:r>
      <w:r>
        <w:rPr>
          <w:rFonts w:cs="Calibri"/>
        </w:rPr>
        <w:t>chemickej a potravinárskej technológie</w:t>
      </w:r>
      <w:r w:rsidRPr="009163F7">
        <w:rPr>
          <w:rFonts w:cs="Calibri"/>
        </w:rPr>
        <w:t>.</w:t>
      </w:r>
    </w:p>
    <w:p w14:paraId="40660ECB" w14:textId="7F3AF40D" w:rsidR="00D76CA4" w:rsidRDefault="00D76CA4" w:rsidP="00D76CA4">
      <w:pPr>
        <w:jc w:val="both"/>
        <w:rPr>
          <w:rFonts w:cs="Calibri"/>
        </w:rPr>
      </w:pPr>
      <w:r w:rsidRPr="009163F7">
        <w:rPr>
          <w:rFonts w:cs="Calibri"/>
        </w:rPr>
        <w:t>Cenu Vedec</w:t>
      </w:r>
      <w:r>
        <w:rPr>
          <w:rFonts w:cs="Calibri"/>
        </w:rPr>
        <w:t>ká osobnosť</w:t>
      </w:r>
      <w:r w:rsidRPr="009163F7">
        <w:rPr>
          <w:rFonts w:cs="Calibri"/>
        </w:rPr>
        <w:t xml:space="preserve"> roka STU </w:t>
      </w:r>
      <w:r>
        <w:rPr>
          <w:rFonts w:cs="Calibri"/>
        </w:rPr>
        <w:t xml:space="preserve">za rok 2022 </w:t>
      </w:r>
      <w:r w:rsidRPr="009163F7">
        <w:rPr>
          <w:rFonts w:cs="Calibri"/>
        </w:rPr>
        <w:t xml:space="preserve">v kategórii </w:t>
      </w:r>
      <w:r w:rsidRPr="009163F7">
        <w:rPr>
          <w:rFonts w:cs="Calibri"/>
          <w:b/>
        </w:rPr>
        <w:t xml:space="preserve">Mladý vedec </w:t>
      </w:r>
      <w:r w:rsidRPr="009163F7">
        <w:rPr>
          <w:rFonts w:cs="Calibri"/>
        </w:rPr>
        <w:t>získal</w:t>
      </w:r>
      <w:r>
        <w:rPr>
          <w:rFonts w:cs="Calibri"/>
        </w:rPr>
        <w:t xml:space="preserve">i </w:t>
      </w:r>
      <w:r w:rsidRPr="009163F7">
        <w:rPr>
          <w:rFonts w:cs="Calibri"/>
        </w:rPr>
        <w:t xml:space="preserve"> </w:t>
      </w:r>
      <w:r w:rsidRPr="00173B2C">
        <w:rPr>
          <w:b/>
          <w:bCs/>
        </w:rPr>
        <w:t>Ing. Anton Kuzma, PhD.</w:t>
      </w:r>
      <w:r w:rsidRPr="009163F7">
        <w:rPr>
          <w:bCs/>
        </w:rPr>
        <w:t>,</w:t>
      </w:r>
      <w:r w:rsidRPr="00173B2C">
        <w:rPr>
          <w:b/>
          <w:bCs/>
        </w:rPr>
        <w:t xml:space="preserve"> </w:t>
      </w:r>
      <w:r w:rsidRPr="009163F7">
        <w:rPr>
          <w:bCs/>
        </w:rPr>
        <w:t>Fakulta elektrotechniky a informatiky a</w:t>
      </w:r>
      <w:r w:rsidRPr="00173B2C">
        <w:rPr>
          <w:b/>
          <w:bCs/>
        </w:rPr>
        <w:t xml:space="preserve"> Ing. Ján Janošovský, PhD</w:t>
      </w:r>
      <w:r w:rsidRPr="0026686C">
        <w:rPr>
          <w:b/>
          <w:bCs/>
        </w:rPr>
        <w:t>.</w:t>
      </w:r>
      <w:r w:rsidRPr="0026686C">
        <w:rPr>
          <w:bCs/>
        </w:rPr>
        <w:t>,</w:t>
      </w:r>
      <w:r>
        <w:rPr>
          <w:bCs/>
        </w:rPr>
        <w:t xml:space="preserve"> </w:t>
      </w:r>
      <w:r w:rsidRPr="009163F7">
        <w:rPr>
          <w:rFonts w:cs="Calibri"/>
        </w:rPr>
        <w:t xml:space="preserve">Fakulta </w:t>
      </w:r>
      <w:r>
        <w:rPr>
          <w:rFonts w:cs="Calibri"/>
        </w:rPr>
        <w:t>chemickej a potravinárskej technológie</w:t>
      </w:r>
      <w:r w:rsidRPr="009163F7">
        <w:rPr>
          <w:rFonts w:cs="Calibri"/>
        </w:rPr>
        <w:t>.</w:t>
      </w:r>
    </w:p>
    <w:p w14:paraId="13B198A7" w14:textId="596427C8" w:rsidR="00D76CA4" w:rsidRDefault="00D76CA4" w:rsidP="00D76CA4">
      <w:pPr>
        <w:jc w:val="both"/>
        <w:rPr>
          <w:rFonts w:cs="Calibri"/>
        </w:rPr>
      </w:pPr>
    </w:p>
    <w:p w14:paraId="550AC86E" w14:textId="1A3750A0" w:rsidR="00EA487B" w:rsidRPr="000A64F1" w:rsidRDefault="00456C9E" w:rsidP="00EA487B">
      <w:pPr>
        <w:jc w:val="both"/>
        <w:rPr>
          <w:b/>
          <w:color w:val="000000" w:themeColor="text1"/>
          <w:sz w:val="28"/>
          <w:szCs w:val="28"/>
        </w:rPr>
      </w:pPr>
      <w:bookmarkStart w:id="200" w:name="_Toc64379196"/>
      <w:r>
        <w:rPr>
          <w:b/>
          <w:color w:val="000000" w:themeColor="text1"/>
          <w:sz w:val="28"/>
          <w:szCs w:val="28"/>
        </w:rPr>
        <w:t>5.9</w:t>
      </w:r>
      <w:r w:rsidR="00EA487B" w:rsidRPr="000A64F1">
        <w:rPr>
          <w:b/>
          <w:color w:val="000000" w:themeColor="text1"/>
          <w:sz w:val="28"/>
          <w:szCs w:val="28"/>
        </w:rPr>
        <w:t>. Interné schémy podpory tvorivej činnosti na STU</w:t>
      </w:r>
      <w:bookmarkEnd w:id="200"/>
    </w:p>
    <w:p w14:paraId="19B806B8" w14:textId="77777777" w:rsidR="00EA487B" w:rsidRPr="000A64F1" w:rsidRDefault="00EA487B" w:rsidP="00EA487B">
      <w:pPr>
        <w:rPr>
          <w:sz w:val="28"/>
          <w:szCs w:val="28"/>
        </w:rPr>
      </w:pPr>
    </w:p>
    <w:p w14:paraId="43E683C1" w14:textId="6406F2D3" w:rsidR="00EA487B" w:rsidRPr="00835C76" w:rsidRDefault="00456C9E" w:rsidP="00EA487B">
      <w:pPr>
        <w:jc w:val="both"/>
        <w:rPr>
          <w:b/>
          <w:color w:val="FF0000"/>
          <w:sz w:val="28"/>
          <w:szCs w:val="28"/>
        </w:rPr>
      </w:pPr>
      <w:bookmarkStart w:id="201" w:name="_Toc477769461"/>
      <w:bookmarkStart w:id="202" w:name="_Toc32472944"/>
      <w:bookmarkStart w:id="203" w:name="_Toc64379197"/>
      <w:r>
        <w:rPr>
          <w:b/>
          <w:sz w:val="28"/>
          <w:szCs w:val="28"/>
        </w:rPr>
        <w:t>5.9</w:t>
      </w:r>
      <w:r w:rsidR="00EA487B" w:rsidRPr="00B7058D">
        <w:rPr>
          <w:b/>
          <w:sz w:val="28"/>
          <w:szCs w:val="28"/>
        </w:rPr>
        <w:t>.1. Programy na podporu mladých výskumných pracovníkov</w:t>
      </w:r>
      <w:bookmarkEnd w:id="201"/>
      <w:bookmarkEnd w:id="202"/>
      <w:bookmarkEnd w:id="203"/>
    </w:p>
    <w:p w14:paraId="7D5964D1" w14:textId="77777777" w:rsidR="00EA487B" w:rsidRPr="000A64F1" w:rsidRDefault="00EA487B" w:rsidP="00EA487B"/>
    <w:p w14:paraId="697DA0BB" w14:textId="794F935C" w:rsidR="00EA487B" w:rsidRPr="000A64F1" w:rsidRDefault="00EA487B" w:rsidP="00EA487B">
      <w:pPr>
        <w:jc w:val="both"/>
        <w:rPr>
          <w:rFonts w:eastAsia="Times New Roman"/>
          <w:lang w:eastAsia="sk-SK"/>
        </w:rPr>
      </w:pPr>
      <w:r w:rsidRPr="000A64F1">
        <w:rPr>
          <w:rFonts w:eastAsia="Times New Roman"/>
          <w:b/>
          <w:lang w:eastAsia="sk-SK"/>
        </w:rPr>
        <w:t>Program na podporu mladých výskumníkov</w:t>
      </w:r>
      <w:r w:rsidRPr="000A64F1">
        <w:rPr>
          <w:rFonts w:eastAsia="Times New Roman"/>
          <w:lang w:eastAsia="sk-SK"/>
        </w:rPr>
        <w:t xml:space="preserve"> je jedným z viacerých motivačných nástrojov STU. V roku 2022 už dvanásty rok mladí vedci so svojimi projektmi uspeli v súťaži v rámci schémy Programu na podporu mladých výskumníkov a dostali od STU granty na riešenie vedecko-výskumných projektov. V súlade s platnou smernicou mladí zamestnanci (PhD. študenti a zamestnanci do 30 rokov) podali spolu 102 projektov, o 31 menej ako v roku 2021. Z toho 90 projektov bolo financovaných, z nich 40 projektov implementovali ženy a 50 muži. STU na tento účel vyčlenila </w:t>
      </w:r>
      <w:r w:rsidR="00B7058D">
        <w:rPr>
          <w:rFonts w:eastAsia="Times New Roman"/>
          <w:lang w:eastAsia="sk-SK"/>
        </w:rPr>
        <w:t>89 575 eur</w:t>
      </w:r>
      <w:r w:rsidRPr="000A64F1">
        <w:rPr>
          <w:rFonts w:eastAsia="Times New Roman"/>
          <w:lang w:eastAsia="sk-SK"/>
        </w:rPr>
        <w:t>. Úspešnosť fakúlt a ÚM v </w:t>
      </w:r>
      <w:r w:rsidR="00B7058D">
        <w:rPr>
          <w:rFonts w:eastAsia="Times New Roman"/>
          <w:lang w:eastAsia="sk-SK"/>
        </w:rPr>
        <w:t xml:space="preserve"> programe</w:t>
      </w:r>
      <w:r w:rsidRPr="000A64F1">
        <w:rPr>
          <w:rFonts w:eastAsia="Times New Roman"/>
          <w:lang w:eastAsia="sk-SK"/>
        </w:rPr>
        <w:t xml:space="preserve">: SvF 21 projektov, SjF 6 projektov, FEI 17, FCHPT 29 projektov, FA 2, MTF 9, FIIT 5 a ÚM 1 projekt. </w:t>
      </w:r>
    </w:p>
    <w:p w14:paraId="138C1B0D" w14:textId="77777777" w:rsidR="00EA487B" w:rsidRPr="000A64F1" w:rsidRDefault="00EA487B" w:rsidP="00EA487B">
      <w:pPr>
        <w:jc w:val="both"/>
        <w:rPr>
          <w:rFonts w:eastAsia="Times New Roman"/>
          <w:lang w:eastAsia="sk-SK"/>
        </w:rPr>
      </w:pPr>
    </w:p>
    <w:p w14:paraId="00F67188" w14:textId="0ADFCFF3" w:rsidR="00EA487B" w:rsidRPr="000A64F1" w:rsidRDefault="00EA487B" w:rsidP="00EA487B">
      <w:pPr>
        <w:jc w:val="both"/>
        <w:rPr>
          <w:b/>
        </w:rPr>
      </w:pPr>
      <w:r w:rsidRPr="000A64F1">
        <w:rPr>
          <w:rFonts w:cstheme="minorHAnsi"/>
        </w:rPr>
        <w:t xml:space="preserve">Tab. č. </w:t>
      </w:r>
      <w:r w:rsidR="00B7058D">
        <w:rPr>
          <w:rFonts w:cstheme="minorHAnsi"/>
        </w:rPr>
        <w:t>4</w:t>
      </w:r>
      <w:r w:rsidRPr="000A64F1">
        <w:rPr>
          <w:rFonts w:cstheme="minorHAnsi"/>
        </w:rPr>
        <w:t xml:space="preserve">6: </w:t>
      </w:r>
      <w:r w:rsidRPr="000A64F1">
        <w:t>Finančné prostriedky pridelené v rámci výzvy Projekty mladých výskumníkov (v eurách)</w:t>
      </w:r>
    </w:p>
    <w:tbl>
      <w:tblPr>
        <w:tblW w:w="9043" w:type="dxa"/>
        <w:tblLayout w:type="fixed"/>
        <w:tblCellMar>
          <w:left w:w="70" w:type="dxa"/>
          <w:right w:w="70" w:type="dxa"/>
        </w:tblCellMar>
        <w:tblLook w:val="04A0" w:firstRow="1" w:lastRow="0" w:firstColumn="1" w:lastColumn="0" w:noHBand="0" w:noVBand="1"/>
      </w:tblPr>
      <w:tblGrid>
        <w:gridCol w:w="617"/>
        <w:gridCol w:w="659"/>
        <w:gridCol w:w="709"/>
        <w:gridCol w:w="709"/>
        <w:gridCol w:w="709"/>
        <w:gridCol w:w="709"/>
        <w:gridCol w:w="708"/>
        <w:gridCol w:w="709"/>
        <w:gridCol w:w="709"/>
        <w:gridCol w:w="709"/>
        <w:gridCol w:w="708"/>
        <w:gridCol w:w="709"/>
        <w:gridCol w:w="679"/>
      </w:tblGrid>
      <w:tr w:rsidR="00EA487B" w:rsidRPr="000A64F1" w14:paraId="4C2595B7" w14:textId="77777777" w:rsidTr="00EA487B">
        <w:trPr>
          <w:trHeight w:val="300"/>
        </w:trPr>
        <w:tc>
          <w:tcPr>
            <w:tcW w:w="617" w:type="dxa"/>
            <w:tcBorders>
              <w:top w:val="nil"/>
              <w:left w:val="nil"/>
              <w:bottom w:val="nil"/>
              <w:right w:val="nil"/>
            </w:tcBorders>
            <w:shd w:val="clear" w:color="auto" w:fill="auto"/>
            <w:vAlign w:val="center"/>
            <w:hideMark/>
          </w:tcPr>
          <w:p w14:paraId="096E1D8A" w14:textId="77777777" w:rsidR="00EA487B" w:rsidRPr="000A64F1" w:rsidRDefault="00EA487B" w:rsidP="00EA487B">
            <w:pPr>
              <w:rPr>
                <w:rFonts w:ascii="Times New Roman" w:eastAsia="Times New Roman" w:hAnsi="Times New Roman" w:cs="Times New Roman"/>
                <w:sz w:val="20"/>
                <w:szCs w:val="20"/>
                <w:lang w:eastAsia="sk-SK"/>
              </w:rPr>
            </w:pPr>
          </w:p>
        </w:tc>
        <w:tc>
          <w:tcPr>
            <w:tcW w:w="659" w:type="dxa"/>
            <w:tcBorders>
              <w:top w:val="single" w:sz="8" w:space="0" w:color="auto"/>
              <w:left w:val="single" w:sz="8" w:space="0" w:color="auto"/>
              <w:bottom w:val="single" w:sz="8" w:space="0" w:color="auto"/>
              <w:right w:val="single" w:sz="8" w:space="0" w:color="auto"/>
            </w:tcBorders>
            <w:shd w:val="clear" w:color="000000" w:fill="EBF1DE"/>
            <w:noWrap/>
            <w:vAlign w:val="center"/>
            <w:hideMark/>
          </w:tcPr>
          <w:p w14:paraId="606FF446" w14:textId="77777777" w:rsidR="00EA487B" w:rsidRPr="000A64F1" w:rsidRDefault="00EA487B" w:rsidP="00EA487B">
            <w:pPr>
              <w:jc w:val="center"/>
              <w:rPr>
                <w:rFonts w:eastAsia="Times New Roman" w:cs="Calibri"/>
                <w:b/>
                <w:bCs/>
                <w:color w:val="000000"/>
                <w:sz w:val="18"/>
                <w:szCs w:val="18"/>
              </w:rPr>
            </w:pPr>
            <w:r w:rsidRPr="000A64F1">
              <w:rPr>
                <w:rFonts w:cs="Calibri"/>
                <w:b/>
                <w:bCs/>
                <w:color w:val="000000"/>
                <w:sz w:val="18"/>
                <w:szCs w:val="18"/>
              </w:rPr>
              <w:t>2011</w:t>
            </w:r>
          </w:p>
        </w:tc>
        <w:tc>
          <w:tcPr>
            <w:tcW w:w="709" w:type="dxa"/>
            <w:tcBorders>
              <w:top w:val="single" w:sz="8" w:space="0" w:color="auto"/>
              <w:left w:val="nil"/>
              <w:bottom w:val="single" w:sz="8" w:space="0" w:color="auto"/>
              <w:right w:val="single" w:sz="8" w:space="0" w:color="auto"/>
            </w:tcBorders>
            <w:shd w:val="clear" w:color="000000" w:fill="EBF1DE"/>
            <w:noWrap/>
            <w:vAlign w:val="center"/>
            <w:hideMark/>
          </w:tcPr>
          <w:p w14:paraId="41FB0F2A"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2012</w:t>
            </w:r>
          </w:p>
        </w:tc>
        <w:tc>
          <w:tcPr>
            <w:tcW w:w="709" w:type="dxa"/>
            <w:tcBorders>
              <w:top w:val="single" w:sz="8" w:space="0" w:color="auto"/>
              <w:left w:val="nil"/>
              <w:bottom w:val="single" w:sz="8" w:space="0" w:color="auto"/>
              <w:right w:val="single" w:sz="8" w:space="0" w:color="auto"/>
            </w:tcBorders>
            <w:shd w:val="clear" w:color="000000" w:fill="EBF1DE"/>
            <w:noWrap/>
            <w:vAlign w:val="center"/>
            <w:hideMark/>
          </w:tcPr>
          <w:p w14:paraId="57818570"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2013</w:t>
            </w:r>
          </w:p>
        </w:tc>
        <w:tc>
          <w:tcPr>
            <w:tcW w:w="709" w:type="dxa"/>
            <w:tcBorders>
              <w:top w:val="single" w:sz="8" w:space="0" w:color="auto"/>
              <w:left w:val="nil"/>
              <w:bottom w:val="single" w:sz="8" w:space="0" w:color="auto"/>
              <w:right w:val="single" w:sz="8" w:space="0" w:color="auto"/>
            </w:tcBorders>
            <w:shd w:val="clear" w:color="000000" w:fill="EBF1DE"/>
            <w:noWrap/>
            <w:vAlign w:val="center"/>
            <w:hideMark/>
          </w:tcPr>
          <w:p w14:paraId="1EE908F5"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2014</w:t>
            </w:r>
          </w:p>
        </w:tc>
        <w:tc>
          <w:tcPr>
            <w:tcW w:w="709" w:type="dxa"/>
            <w:tcBorders>
              <w:top w:val="single" w:sz="8" w:space="0" w:color="auto"/>
              <w:left w:val="nil"/>
              <w:bottom w:val="single" w:sz="8" w:space="0" w:color="auto"/>
              <w:right w:val="single" w:sz="8" w:space="0" w:color="auto"/>
            </w:tcBorders>
            <w:shd w:val="clear" w:color="000000" w:fill="EBF1DE"/>
            <w:noWrap/>
            <w:vAlign w:val="center"/>
            <w:hideMark/>
          </w:tcPr>
          <w:p w14:paraId="6D096EBA"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2015</w:t>
            </w:r>
          </w:p>
        </w:tc>
        <w:tc>
          <w:tcPr>
            <w:tcW w:w="708" w:type="dxa"/>
            <w:tcBorders>
              <w:top w:val="single" w:sz="8" w:space="0" w:color="auto"/>
              <w:left w:val="nil"/>
              <w:bottom w:val="single" w:sz="8" w:space="0" w:color="auto"/>
              <w:right w:val="single" w:sz="8" w:space="0" w:color="auto"/>
            </w:tcBorders>
            <w:shd w:val="clear" w:color="000000" w:fill="EBF1DE"/>
            <w:noWrap/>
            <w:vAlign w:val="center"/>
            <w:hideMark/>
          </w:tcPr>
          <w:p w14:paraId="1DE9B99A"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2016</w:t>
            </w:r>
          </w:p>
        </w:tc>
        <w:tc>
          <w:tcPr>
            <w:tcW w:w="709" w:type="dxa"/>
            <w:tcBorders>
              <w:top w:val="single" w:sz="8" w:space="0" w:color="auto"/>
              <w:left w:val="nil"/>
              <w:bottom w:val="single" w:sz="8" w:space="0" w:color="auto"/>
              <w:right w:val="single" w:sz="8" w:space="0" w:color="auto"/>
            </w:tcBorders>
            <w:shd w:val="clear" w:color="000000" w:fill="EBF1DE"/>
            <w:noWrap/>
            <w:vAlign w:val="center"/>
            <w:hideMark/>
          </w:tcPr>
          <w:p w14:paraId="2A820F4E"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2017</w:t>
            </w:r>
          </w:p>
        </w:tc>
        <w:tc>
          <w:tcPr>
            <w:tcW w:w="709" w:type="dxa"/>
            <w:tcBorders>
              <w:top w:val="single" w:sz="8" w:space="0" w:color="auto"/>
              <w:left w:val="nil"/>
              <w:bottom w:val="single" w:sz="8" w:space="0" w:color="auto"/>
              <w:right w:val="single" w:sz="8" w:space="0" w:color="auto"/>
            </w:tcBorders>
            <w:shd w:val="clear" w:color="000000" w:fill="EBF1DE"/>
            <w:noWrap/>
            <w:vAlign w:val="center"/>
            <w:hideMark/>
          </w:tcPr>
          <w:p w14:paraId="5A91EC51"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2018</w:t>
            </w:r>
          </w:p>
        </w:tc>
        <w:tc>
          <w:tcPr>
            <w:tcW w:w="709" w:type="dxa"/>
            <w:tcBorders>
              <w:top w:val="single" w:sz="8" w:space="0" w:color="auto"/>
              <w:left w:val="nil"/>
              <w:bottom w:val="single" w:sz="8" w:space="0" w:color="auto"/>
              <w:right w:val="single" w:sz="8" w:space="0" w:color="auto"/>
            </w:tcBorders>
            <w:shd w:val="clear" w:color="000000" w:fill="EBF1DE"/>
            <w:noWrap/>
            <w:vAlign w:val="center"/>
            <w:hideMark/>
          </w:tcPr>
          <w:p w14:paraId="2B23B61F"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2019</w:t>
            </w:r>
          </w:p>
        </w:tc>
        <w:tc>
          <w:tcPr>
            <w:tcW w:w="708" w:type="dxa"/>
            <w:tcBorders>
              <w:top w:val="single" w:sz="8" w:space="0" w:color="auto"/>
              <w:left w:val="nil"/>
              <w:bottom w:val="single" w:sz="8" w:space="0" w:color="auto"/>
              <w:right w:val="single" w:sz="8" w:space="0" w:color="auto"/>
            </w:tcBorders>
            <w:shd w:val="clear" w:color="000000" w:fill="EBF1DE"/>
            <w:noWrap/>
            <w:vAlign w:val="center"/>
            <w:hideMark/>
          </w:tcPr>
          <w:p w14:paraId="140E7CCF"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2020</w:t>
            </w:r>
          </w:p>
        </w:tc>
        <w:tc>
          <w:tcPr>
            <w:tcW w:w="709" w:type="dxa"/>
            <w:tcBorders>
              <w:top w:val="single" w:sz="8" w:space="0" w:color="auto"/>
              <w:left w:val="nil"/>
              <w:bottom w:val="single" w:sz="8" w:space="0" w:color="auto"/>
              <w:right w:val="single" w:sz="8" w:space="0" w:color="auto"/>
            </w:tcBorders>
            <w:shd w:val="clear" w:color="000000" w:fill="EBF1DE"/>
            <w:noWrap/>
            <w:vAlign w:val="center"/>
            <w:hideMark/>
          </w:tcPr>
          <w:p w14:paraId="0AD6D7DC"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2021</w:t>
            </w:r>
          </w:p>
        </w:tc>
        <w:tc>
          <w:tcPr>
            <w:tcW w:w="679" w:type="dxa"/>
            <w:tcBorders>
              <w:top w:val="single" w:sz="8" w:space="0" w:color="auto"/>
              <w:left w:val="nil"/>
              <w:bottom w:val="single" w:sz="8" w:space="0" w:color="auto"/>
              <w:right w:val="single" w:sz="8" w:space="0" w:color="auto"/>
            </w:tcBorders>
            <w:shd w:val="clear" w:color="000000" w:fill="EBF1DE"/>
            <w:noWrap/>
            <w:vAlign w:val="center"/>
            <w:hideMark/>
          </w:tcPr>
          <w:p w14:paraId="6F23D169"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2022</w:t>
            </w:r>
          </w:p>
        </w:tc>
      </w:tr>
      <w:tr w:rsidR="00EA487B" w:rsidRPr="000A64F1" w14:paraId="4B6F1B1D" w14:textId="77777777" w:rsidTr="00EA487B">
        <w:trPr>
          <w:trHeight w:val="300"/>
        </w:trPr>
        <w:tc>
          <w:tcPr>
            <w:tcW w:w="6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ED6EF6" w14:textId="77777777" w:rsidR="00EA487B" w:rsidRPr="000A64F1" w:rsidRDefault="00EA487B" w:rsidP="00EA487B">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Svf</w:t>
            </w:r>
          </w:p>
        </w:tc>
        <w:tc>
          <w:tcPr>
            <w:tcW w:w="659" w:type="dxa"/>
            <w:tcBorders>
              <w:top w:val="nil"/>
              <w:left w:val="nil"/>
              <w:bottom w:val="single" w:sz="8" w:space="0" w:color="auto"/>
              <w:right w:val="single" w:sz="8" w:space="0" w:color="auto"/>
            </w:tcBorders>
            <w:shd w:val="clear" w:color="auto" w:fill="auto"/>
            <w:noWrap/>
            <w:vAlign w:val="center"/>
            <w:hideMark/>
          </w:tcPr>
          <w:p w14:paraId="27C6B945" w14:textId="77777777" w:rsidR="00EA487B" w:rsidRPr="000A64F1" w:rsidRDefault="00EA487B" w:rsidP="00EA487B">
            <w:pPr>
              <w:jc w:val="center"/>
              <w:rPr>
                <w:rFonts w:eastAsia="Times New Roman" w:cs="Calibri"/>
                <w:color w:val="000000"/>
                <w:sz w:val="18"/>
                <w:szCs w:val="18"/>
              </w:rPr>
            </w:pPr>
            <w:r w:rsidRPr="000A64F1">
              <w:rPr>
                <w:rFonts w:cs="Calibri"/>
                <w:color w:val="000000"/>
                <w:sz w:val="18"/>
                <w:szCs w:val="18"/>
              </w:rPr>
              <w:t>9 780</w:t>
            </w:r>
          </w:p>
        </w:tc>
        <w:tc>
          <w:tcPr>
            <w:tcW w:w="709" w:type="dxa"/>
            <w:tcBorders>
              <w:top w:val="nil"/>
              <w:left w:val="nil"/>
              <w:bottom w:val="single" w:sz="8" w:space="0" w:color="auto"/>
              <w:right w:val="single" w:sz="8" w:space="0" w:color="auto"/>
            </w:tcBorders>
            <w:shd w:val="clear" w:color="auto" w:fill="auto"/>
            <w:noWrap/>
            <w:vAlign w:val="center"/>
            <w:hideMark/>
          </w:tcPr>
          <w:p w14:paraId="0DBE671C" w14:textId="77777777" w:rsidR="00EA487B" w:rsidRPr="000A64F1" w:rsidRDefault="00EA487B" w:rsidP="00EA487B">
            <w:pPr>
              <w:jc w:val="center"/>
              <w:rPr>
                <w:rFonts w:cs="Calibri"/>
                <w:color w:val="000000"/>
                <w:sz w:val="18"/>
                <w:szCs w:val="18"/>
              </w:rPr>
            </w:pPr>
            <w:r w:rsidRPr="000A64F1">
              <w:rPr>
                <w:rFonts w:cs="Calibri"/>
                <w:color w:val="000000"/>
                <w:sz w:val="18"/>
                <w:szCs w:val="18"/>
              </w:rPr>
              <w:t>16 977</w:t>
            </w:r>
          </w:p>
        </w:tc>
        <w:tc>
          <w:tcPr>
            <w:tcW w:w="709" w:type="dxa"/>
            <w:tcBorders>
              <w:top w:val="nil"/>
              <w:left w:val="nil"/>
              <w:bottom w:val="single" w:sz="8" w:space="0" w:color="auto"/>
              <w:right w:val="single" w:sz="8" w:space="0" w:color="auto"/>
            </w:tcBorders>
            <w:shd w:val="clear" w:color="auto" w:fill="auto"/>
            <w:noWrap/>
            <w:vAlign w:val="center"/>
            <w:hideMark/>
          </w:tcPr>
          <w:p w14:paraId="5C8644E2" w14:textId="77777777" w:rsidR="00EA487B" w:rsidRPr="000A64F1" w:rsidRDefault="00EA487B" w:rsidP="00EA487B">
            <w:pPr>
              <w:jc w:val="center"/>
              <w:rPr>
                <w:rFonts w:cs="Calibri"/>
                <w:color w:val="000000"/>
                <w:sz w:val="18"/>
                <w:szCs w:val="18"/>
              </w:rPr>
            </w:pPr>
            <w:r w:rsidRPr="000A64F1">
              <w:rPr>
                <w:rFonts w:cs="Calibri"/>
                <w:color w:val="000000"/>
                <w:sz w:val="18"/>
                <w:szCs w:val="18"/>
              </w:rPr>
              <w:t>29 586</w:t>
            </w:r>
          </w:p>
        </w:tc>
        <w:tc>
          <w:tcPr>
            <w:tcW w:w="709" w:type="dxa"/>
            <w:tcBorders>
              <w:top w:val="nil"/>
              <w:left w:val="nil"/>
              <w:bottom w:val="single" w:sz="8" w:space="0" w:color="auto"/>
              <w:right w:val="single" w:sz="8" w:space="0" w:color="auto"/>
            </w:tcBorders>
            <w:shd w:val="clear" w:color="auto" w:fill="auto"/>
            <w:noWrap/>
            <w:vAlign w:val="center"/>
            <w:hideMark/>
          </w:tcPr>
          <w:p w14:paraId="260D7648" w14:textId="77777777" w:rsidR="00EA487B" w:rsidRPr="000A64F1" w:rsidRDefault="00EA487B" w:rsidP="00EA487B">
            <w:pPr>
              <w:jc w:val="center"/>
              <w:rPr>
                <w:rFonts w:cs="Calibri"/>
                <w:color w:val="000000"/>
                <w:sz w:val="18"/>
                <w:szCs w:val="18"/>
              </w:rPr>
            </w:pPr>
            <w:r w:rsidRPr="000A64F1">
              <w:rPr>
                <w:rFonts w:cs="Calibri"/>
                <w:color w:val="000000"/>
                <w:sz w:val="18"/>
                <w:szCs w:val="18"/>
              </w:rPr>
              <w:t>26 930</w:t>
            </w:r>
          </w:p>
        </w:tc>
        <w:tc>
          <w:tcPr>
            <w:tcW w:w="709" w:type="dxa"/>
            <w:tcBorders>
              <w:top w:val="nil"/>
              <w:left w:val="nil"/>
              <w:bottom w:val="single" w:sz="8" w:space="0" w:color="auto"/>
              <w:right w:val="single" w:sz="8" w:space="0" w:color="auto"/>
            </w:tcBorders>
            <w:shd w:val="clear" w:color="auto" w:fill="auto"/>
            <w:noWrap/>
            <w:vAlign w:val="center"/>
            <w:hideMark/>
          </w:tcPr>
          <w:p w14:paraId="6D7F7C60" w14:textId="77777777" w:rsidR="00EA487B" w:rsidRPr="000A64F1" w:rsidRDefault="00EA487B" w:rsidP="00EA487B">
            <w:pPr>
              <w:jc w:val="center"/>
              <w:rPr>
                <w:rFonts w:cs="Calibri"/>
                <w:color w:val="000000"/>
                <w:sz w:val="18"/>
                <w:szCs w:val="18"/>
              </w:rPr>
            </w:pPr>
            <w:r w:rsidRPr="000A64F1">
              <w:rPr>
                <w:rFonts w:cs="Calibri"/>
                <w:color w:val="000000"/>
                <w:sz w:val="18"/>
                <w:szCs w:val="18"/>
              </w:rPr>
              <w:t>26 673</w:t>
            </w:r>
          </w:p>
        </w:tc>
        <w:tc>
          <w:tcPr>
            <w:tcW w:w="708" w:type="dxa"/>
            <w:tcBorders>
              <w:top w:val="nil"/>
              <w:left w:val="nil"/>
              <w:bottom w:val="single" w:sz="8" w:space="0" w:color="auto"/>
              <w:right w:val="single" w:sz="8" w:space="0" w:color="auto"/>
            </w:tcBorders>
            <w:shd w:val="clear" w:color="auto" w:fill="auto"/>
            <w:noWrap/>
            <w:vAlign w:val="center"/>
            <w:hideMark/>
          </w:tcPr>
          <w:p w14:paraId="4ED34F02" w14:textId="77777777" w:rsidR="00EA487B" w:rsidRPr="000A64F1" w:rsidRDefault="00EA487B" w:rsidP="00EA487B">
            <w:pPr>
              <w:jc w:val="center"/>
              <w:rPr>
                <w:rFonts w:cs="Calibri"/>
                <w:color w:val="000000"/>
                <w:sz w:val="18"/>
                <w:szCs w:val="18"/>
              </w:rPr>
            </w:pPr>
            <w:r w:rsidRPr="000A64F1">
              <w:rPr>
                <w:rFonts w:cs="Calibri"/>
                <w:color w:val="000000"/>
                <w:sz w:val="18"/>
                <w:szCs w:val="18"/>
              </w:rPr>
              <w:t>29 691</w:t>
            </w:r>
          </w:p>
        </w:tc>
        <w:tc>
          <w:tcPr>
            <w:tcW w:w="709" w:type="dxa"/>
            <w:tcBorders>
              <w:top w:val="nil"/>
              <w:left w:val="nil"/>
              <w:bottom w:val="single" w:sz="8" w:space="0" w:color="auto"/>
              <w:right w:val="single" w:sz="8" w:space="0" w:color="auto"/>
            </w:tcBorders>
            <w:shd w:val="clear" w:color="auto" w:fill="auto"/>
            <w:noWrap/>
            <w:vAlign w:val="center"/>
            <w:hideMark/>
          </w:tcPr>
          <w:p w14:paraId="1B8ADB5E" w14:textId="77777777" w:rsidR="00EA487B" w:rsidRPr="000A64F1" w:rsidRDefault="00EA487B" w:rsidP="00EA487B">
            <w:pPr>
              <w:jc w:val="center"/>
              <w:rPr>
                <w:rFonts w:cs="Calibri"/>
                <w:color w:val="000000"/>
                <w:sz w:val="18"/>
                <w:szCs w:val="18"/>
              </w:rPr>
            </w:pPr>
            <w:r w:rsidRPr="000A64F1">
              <w:rPr>
                <w:rFonts w:cs="Calibri"/>
                <w:color w:val="000000"/>
                <w:sz w:val="18"/>
                <w:szCs w:val="18"/>
              </w:rPr>
              <w:t>28 931</w:t>
            </w:r>
          </w:p>
        </w:tc>
        <w:tc>
          <w:tcPr>
            <w:tcW w:w="709" w:type="dxa"/>
            <w:tcBorders>
              <w:top w:val="nil"/>
              <w:left w:val="nil"/>
              <w:bottom w:val="single" w:sz="8" w:space="0" w:color="auto"/>
              <w:right w:val="single" w:sz="8" w:space="0" w:color="auto"/>
            </w:tcBorders>
            <w:shd w:val="clear" w:color="auto" w:fill="auto"/>
            <w:noWrap/>
            <w:vAlign w:val="center"/>
            <w:hideMark/>
          </w:tcPr>
          <w:p w14:paraId="390E5E3F" w14:textId="77777777" w:rsidR="00EA487B" w:rsidRPr="000A64F1" w:rsidRDefault="00EA487B" w:rsidP="00EA487B">
            <w:pPr>
              <w:jc w:val="center"/>
              <w:rPr>
                <w:rFonts w:cs="Calibri"/>
                <w:color w:val="000000"/>
                <w:sz w:val="18"/>
                <w:szCs w:val="18"/>
              </w:rPr>
            </w:pPr>
            <w:r w:rsidRPr="000A64F1">
              <w:rPr>
                <w:rFonts w:cs="Calibri"/>
                <w:color w:val="000000"/>
                <w:sz w:val="18"/>
                <w:szCs w:val="18"/>
              </w:rPr>
              <w:t>31 250</w:t>
            </w:r>
          </w:p>
        </w:tc>
        <w:tc>
          <w:tcPr>
            <w:tcW w:w="709" w:type="dxa"/>
            <w:tcBorders>
              <w:top w:val="nil"/>
              <w:left w:val="nil"/>
              <w:bottom w:val="single" w:sz="8" w:space="0" w:color="auto"/>
              <w:right w:val="single" w:sz="8" w:space="0" w:color="auto"/>
            </w:tcBorders>
            <w:shd w:val="clear" w:color="auto" w:fill="auto"/>
            <w:noWrap/>
            <w:vAlign w:val="center"/>
            <w:hideMark/>
          </w:tcPr>
          <w:p w14:paraId="77425A18" w14:textId="77777777" w:rsidR="00EA487B" w:rsidRPr="000A64F1" w:rsidRDefault="00EA487B" w:rsidP="00EA487B">
            <w:pPr>
              <w:jc w:val="center"/>
              <w:rPr>
                <w:rFonts w:cs="Calibri"/>
                <w:color w:val="000000"/>
                <w:sz w:val="18"/>
                <w:szCs w:val="18"/>
              </w:rPr>
            </w:pPr>
            <w:r w:rsidRPr="000A64F1">
              <w:rPr>
                <w:rFonts w:cs="Calibri"/>
                <w:color w:val="000000"/>
                <w:sz w:val="18"/>
                <w:szCs w:val="18"/>
              </w:rPr>
              <w:t>26 990</w:t>
            </w:r>
          </w:p>
        </w:tc>
        <w:tc>
          <w:tcPr>
            <w:tcW w:w="708" w:type="dxa"/>
            <w:tcBorders>
              <w:top w:val="nil"/>
              <w:left w:val="nil"/>
              <w:bottom w:val="single" w:sz="8" w:space="0" w:color="auto"/>
              <w:right w:val="single" w:sz="8" w:space="0" w:color="auto"/>
            </w:tcBorders>
            <w:shd w:val="clear" w:color="auto" w:fill="auto"/>
            <w:noWrap/>
            <w:vAlign w:val="center"/>
            <w:hideMark/>
          </w:tcPr>
          <w:p w14:paraId="4787484C" w14:textId="77777777" w:rsidR="00EA487B" w:rsidRPr="000A64F1" w:rsidRDefault="00EA487B" w:rsidP="00EA487B">
            <w:pPr>
              <w:jc w:val="center"/>
              <w:rPr>
                <w:rFonts w:cs="Calibri"/>
                <w:color w:val="000000"/>
                <w:sz w:val="18"/>
                <w:szCs w:val="18"/>
              </w:rPr>
            </w:pPr>
            <w:r w:rsidRPr="000A64F1">
              <w:rPr>
                <w:rFonts w:cs="Calibri"/>
                <w:color w:val="000000"/>
                <w:sz w:val="18"/>
                <w:szCs w:val="18"/>
              </w:rPr>
              <w:t>28 850</w:t>
            </w:r>
          </w:p>
        </w:tc>
        <w:tc>
          <w:tcPr>
            <w:tcW w:w="709" w:type="dxa"/>
            <w:tcBorders>
              <w:top w:val="nil"/>
              <w:left w:val="nil"/>
              <w:bottom w:val="single" w:sz="8" w:space="0" w:color="auto"/>
              <w:right w:val="single" w:sz="8" w:space="0" w:color="auto"/>
            </w:tcBorders>
            <w:shd w:val="clear" w:color="auto" w:fill="auto"/>
            <w:noWrap/>
            <w:vAlign w:val="center"/>
            <w:hideMark/>
          </w:tcPr>
          <w:p w14:paraId="2BED75EF" w14:textId="77777777" w:rsidR="00EA487B" w:rsidRPr="000A64F1" w:rsidRDefault="00EA487B" w:rsidP="00EA487B">
            <w:pPr>
              <w:jc w:val="center"/>
              <w:rPr>
                <w:rFonts w:cs="Calibri"/>
                <w:color w:val="000000"/>
                <w:sz w:val="18"/>
                <w:szCs w:val="18"/>
              </w:rPr>
            </w:pPr>
            <w:r w:rsidRPr="000A64F1">
              <w:rPr>
                <w:rFonts w:cs="Calibri"/>
                <w:color w:val="000000"/>
                <w:sz w:val="18"/>
                <w:szCs w:val="18"/>
              </w:rPr>
              <w:t>11 000</w:t>
            </w:r>
          </w:p>
        </w:tc>
        <w:tc>
          <w:tcPr>
            <w:tcW w:w="679" w:type="dxa"/>
            <w:tcBorders>
              <w:top w:val="nil"/>
              <w:left w:val="nil"/>
              <w:bottom w:val="single" w:sz="8" w:space="0" w:color="auto"/>
              <w:right w:val="single" w:sz="8" w:space="0" w:color="auto"/>
            </w:tcBorders>
            <w:shd w:val="clear" w:color="auto" w:fill="auto"/>
            <w:noWrap/>
            <w:vAlign w:val="center"/>
            <w:hideMark/>
          </w:tcPr>
          <w:p w14:paraId="4FD221FF" w14:textId="77777777" w:rsidR="00EA487B" w:rsidRPr="000A64F1" w:rsidRDefault="00EA487B" w:rsidP="00EA487B">
            <w:pPr>
              <w:jc w:val="center"/>
              <w:rPr>
                <w:rFonts w:cs="Calibri"/>
                <w:color w:val="000000"/>
                <w:sz w:val="18"/>
                <w:szCs w:val="18"/>
              </w:rPr>
            </w:pPr>
            <w:r w:rsidRPr="000A64F1">
              <w:rPr>
                <w:rFonts w:cs="Calibri"/>
                <w:color w:val="000000"/>
                <w:sz w:val="18"/>
                <w:szCs w:val="18"/>
              </w:rPr>
              <w:t>21 000</w:t>
            </w:r>
          </w:p>
        </w:tc>
      </w:tr>
      <w:tr w:rsidR="00EA487B" w:rsidRPr="000A64F1" w14:paraId="69C22650" w14:textId="77777777" w:rsidTr="00EA487B">
        <w:trPr>
          <w:trHeight w:val="300"/>
        </w:trPr>
        <w:tc>
          <w:tcPr>
            <w:tcW w:w="617" w:type="dxa"/>
            <w:tcBorders>
              <w:top w:val="nil"/>
              <w:left w:val="single" w:sz="8" w:space="0" w:color="auto"/>
              <w:bottom w:val="single" w:sz="8" w:space="0" w:color="auto"/>
              <w:right w:val="single" w:sz="8" w:space="0" w:color="auto"/>
            </w:tcBorders>
            <w:shd w:val="clear" w:color="auto" w:fill="auto"/>
            <w:vAlign w:val="center"/>
            <w:hideMark/>
          </w:tcPr>
          <w:p w14:paraId="006FFB76" w14:textId="77777777" w:rsidR="00EA487B" w:rsidRPr="000A64F1" w:rsidRDefault="00EA487B" w:rsidP="00EA487B">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SjF</w:t>
            </w:r>
          </w:p>
        </w:tc>
        <w:tc>
          <w:tcPr>
            <w:tcW w:w="659" w:type="dxa"/>
            <w:tcBorders>
              <w:top w:val="nil"/>
              <w:left w:val="nil"/>
              <w:bottom w:val="single" w:sz="8" w:space="0" w:color="auto"/>
              <w:right w:val="single" w:sz="8" w:space="0" w:color="auto"/>
            </w:tcBorders>
            <w:shd w:val="clear" w:color="auto" w:fill="auto"/>
            <w:noWrap/>
            <w:vAlign w:val="center"/>
            <w:hideMark/>
          </w:tcPr>
          <w:p w14:paraId="630E7BC3" w14:textId="77777777" w:rsidR="00EA487B" w:rsidRPr="000A64F1" w:rsidRDefault="00EA487B" w:rsidP="00EA487B">
            <w:pPr>
              <w:jc w:val="center"/>
              <w:rPr>
                <w:rFonts w:cs="Calibri"/>
                <w:color w:val="000000"/>
                <w:sz w:val="18"/>
                <w:szCs w:val="18"/>
              </w:rPr>
            </w:pPr>
            <w:r w:rsidRPr="000A64F1">
              <w:rPr>
                <w:rFonts w:cs="Calibri"/>
                <w:color w:val="000000"/>
                <w:sz w:val="18"/>
                <w:szCs w:val="18"/>
              </w:rPr>
              <w:t>8 518</w:t>
            </w:r>
          </w:p>
        </w:tc>
        <w:tc>
          <w:tcPr>
            <w:tcW w:w="709" w:type="dxa"/>
            <w:tcBorders>
              <w:top w:val="nil"/>
              <w:left w:val="nil"/>
              <w:bottom w:val="single" w:sz="8" w:space="0" w:color="auto"/>
              <w:right w:val="single" w:sz="8" w:space="0" w:color="auto"/>
            </w:tcBorders>
            <w:shd w:val="clear" w:color="auto" w:fill="auto"/>
            <w:noWrap/>
            <w:vAlign w:val="center"/>
            <w:hideMark/>
          </w:tcPr>
          <w:p w14:paraId="3DAED3E3" w14:textId="77777777" w:rsidR="00EA487B" w:rsidRPr="000A64F1" w:rsidRDefault="00EA487B" w:rsidP="00EA487B">
            <w:pPr>
              <w:jc w:val="center"/>
              <w:rPr>
                <w:rFonts w:cs="Calibri"/>
                <w:color w:val="000000"/>
                <w:sz w:val="18"/>
                <w:szCs w:val="18"/>
              </w:rPr>
            </w:pPr>
            <w:r w:rsidRPr="000A64F1">
              <w:rPr>
                <w:rFonts w:cs="Calibri"/>
                <w:color w:val="000000"/>
                <w:sz w:val="18"/>
                <w:szCs w:val="18"/>
              </w:rPr>
              <w:t>8 489</w:t>
            </w:r>
          </w:p>
        </w:tc>
        <w:tc>
          <w:tcPr>
            <w:tcW w:w="709" w:type="dxa"/>
            <w:tcBorders>
              <w:top w:val="nil"/>
              <w:left w:val="nil"/>
              <w:bottom w:val="single" w:sz="8" w:space="0" w:color="auto"/>
              <w:right w:val="single" w:sz="8" w:space="0" w:color="auto"/>
            </w:tcBorders>
            <w:shd w:val="clear" w:color="auto" w:fill="auto"/>
            <w:noWrap/>
            <w:vAlign w:val="center"/>
            <w:hideMark/>
          </w:tcPr>
          <w:p w14:paraId="77038DEB" w14:textId="77777777" w:rsidR="00EA487B" w:rsidRPr="000A64F1" w:rsidRDefault="00EA487B" w:rsidP="00EA487B">
            <w:pPr>
              <w:jc w:val="center"/>
              <w:rPr>
                <w:rFonts w:cs="Calibri"/>
                <w:color w:val="000000"/>
                <w:sz w:val="18"/>
                <w:szCs w:val="18"/>
              </w:rPr>
            </w:pPr>
            <w:r w:rsidRPr="000A64F1">
              <w:rPr>
                <w:rFonts w:cs="Calibri"/>
                <w:color w:val="000000"/>
                <w:sz w:val="18"/>
                <w:szCs w:val="18"/>
              </w:rPr>
              <w:t>14 766</w:t>
            </w:r>
          </w:p>
        </w:tc>
        <w:tc>
          <w:tcPr>
            <w:tcW w:w="709" w:type="dxa"/>
            <w:tcBorders>
              <w:top w:val="nil"/>
              <w:left w:val="nil"/>
              <w:bottom w:val="single" w:sz="8" w:space="0" w:color="auto"/>
              <w:right w:val="single" w:sz="8" w:space="0" w:color="auto"/>
            </w:tcBorders>
            <w:shd w:val="clear" w:color="auto" w:fill="auto"/>
            <w:noWrap/>
            <w:vAlign w:val="center"/>
            <w:hideMark/>
          </w:tcPr>
          <w:p w14:paraId="5E686422" w14:textId="77777777" w:rsidR="00EA487B" w:rsidRPr="000A64F1" w:rsidRDefault="00EA487B" w:rsidP="00EA487B">
            <w:pPr>
              <w:jc w:val="center"/>
              <w:rPr>
                <w:rFonts w:cs="Calibri"/>
                <w:color w:val="000000"/>
                <w:sz w:val="18"/>
                <w:szCs w:val="18"/>
              </w:rPr>
            </w:pPr>
            <w:r w:rsidRPr="000A64F1">
              <w:rPr>
                <w:rFonts w:cs="Calibri"/>
                <w:color w:val="000000"/>
                <w:sz w:val="18"/>
                <w:szCs w:val="18"/>
              </w:rPr>
              <w:t>8 943</w:t>
            </w:r>
          </w:p>
        </w:tc>
        <w:tc>
          <w:tcPr>
            <w:tcW w:w="709" w:type="dxa"/>
            <w:tcBorders>
              <w:top w:val="nil"/>
              <w:left w:val="nil"/>
              <w:bottom w:val="single" w:sz="8" w:space="0" w:color="auto"/>
              <w:right w:val="single" w:sz="8" w:space="0" w:color="auto"/>
            </w:tcBorders>
            <w:shd w:val="clear" w:color="auto" w:fill="auto"/>
            <w:noWrap/>
            <w:vAlign w:val="center"/>
            <w:hideMark/>
          </w:tcPr>
          <w:p w14:paraId="65D65E9D" w14:textId="77777777" w:rsidR="00EA487B" w:rsidRPr="000A64F1" w:rsidRDefault="00EA487B" w:rsidP="00EA487B">
            <w:pPr>
              <w:jc w:val="center"/>
              <w:rPr>
                <w:rFonts w:cs="Calibri"/>
                <w:color w:val="000000"/>
                <w:sz w:val="18"/>
                <w:szCs w:val="18"/>
              </w:rPr>
            </w:pPr>
            <w:r w:rsidRPr="000A64F1">
              <w:rPr>
                <w:rFonts w:cs="Calibri"/>
                <w:color w:val="000000"/>
                <w:sz w:val="18"/>
                <w:szCs w:val="18"/>
              </w:rPr>
              <w:t>8 998</w:t>
            </w:r>
          </w:p>
        </w:tc>
        <w:tc>
          <w:tcPr>
            <w:tcW w:w="708" w:type="dxa"/>
            <w:tcBorders>
              <w:top w:val="nil"/>
              <w:left w:val="nil"/>
              <w:bottom w:val="single" w:sz="8" w:space="0" w:color="auto"/>
              <w:right w:val="single" w:sz="8" w:space="0" w:color="auto"/>
            </w:tcBorders>
            <w:shd w:val="clear" w:color="auto" w:fill="auto"/>
            <w:noWrap/>
            <w:vAlign w:val="center"/>
            <w:hideMark/>
          </w:tcPr>
          <w:p w14:paraId="6BF8AD4F" w14:textId="77777777" w:rsidR="00EA487B" w:rsidRPr="000A64F1" w:rsidRDefault="00EA487B" w:rsidP="00EA487B">
            <w:pPr>
              <w:jc w:val="center"/>
              <w:rPr>
                <w:rFonts w:cs="Calibri"/>
                <w:color w:val="000000"/>
                <w:sz w:val="18"/>
                <w:szCs w:val="18"/>
              </w:rPr>
            </w:pPr>
            <w:r w:rsidRPr="000A64F1">
              <w:rPr>
                <w:rFonts w:cs="Calibri"/>
                <w:color w:val="000000"/>
                <w:sz w:val="18"/>
                <w:szCs w:val="18"/>
              </w:rPr>
              <w:t>9 000</w:t>
            </w:r>
          </w:p>
        </w:tc>
        <w:tc>
          <w:tcPr>
            <w:tcW w:w="709" w:type="dxa"/>
            <w:tcBorders>
              <w:top w:val="nil"/>
              <w:left w:val="nil"/>
              <w:bottom w:val="single" w:sz="8" w:space="0" w:color="auto"/>
              <w:right w:val="single" w:sz="8" w:space="0" w:color="auto"/>
            </w:tcBorders>
            <w:shd w:val="clear" w:color="auto" w:fill="auto"/>
            <w:noWrap/>
            <w:vAlign w:val="center"/>
            <w:hideMark/>
          </w:tcPr>
          <w:p w14:paraId="3E1DAEB4" w14:textId="77777777" w:rsidR="00EA487B" w:rsidRPr="000A64F1" w:rsidRDefault="00EA487B" w:rsidP="00EA487B">
            <w:pPr>
              <w:jc w:val="center"/>
              <w:rPr>
                <w:rFonts w:cs="Calibri"/>
                <w:color w:val="000000"/>
                <w:sz w:val="18"/>
                <w:szCs w:val="18"/>
              </w:rPr>
            </w:pPr>
            <w:r w:rsidRPr="000A64F1">
              <w:rPr>
                <w:rFonts w:cs="Calibri"/>
                <w:color w:val="000000"/>
                <w:sz w:val="18"/>
                <w:szCs w:val="18"/>
              </w:rPr>
              <w:t>9 000</w:t>
            </w:r>
          </w:p>
        </w:tc>
        <w:tc>
          <w:tcPr>
            <w:tcW w:w="709" w:type="dxa"/>
            <w:tcBorders>
              <w:top w:val="nil"/>
              <w:left w:val="nil"/>
              <w:bottom w:val="single" w:sz="8" w:space="0" w:color="auto"/>
              <w:right w:val="single" w:sz="8" w:space="0" w:color="auto"/>
            </w:tcBorders>
            <w:shd w:val="clear" w:color="auto" w:fill="auto"/>
            <w:noWrap/>
            <w:vAlign w:val="center"/>
            <w:hideMark/>
          </w:tcPr>
          <w:p w14:paraId="13C404BD" w14:textId="77777777" w:rsidR="00EA487B" w:rsidRPr="000A64F1" w:rsidRDefault="00EA487B" w:rsidP="00EA487B">
            <w:pPr>
              <w:jc w:val="center"/>
              <w:rPr>
                <w:rFonts w:cs="Calibri"/>
                <w:color w:val="000000"/>
                <w:sz w:val="18"/>
                <w:szCs w:val="18"/>
              </w:rPr>
            </w:pPr>
            <w:r w:rsidRPr="000A64F1">
              <w:rPr>
                <w:rFonts w:cs="Calibri"/>
                <w:color w:val="000000"/>
                <w:sz w:val="18"/>
                <w:szCs w:val="18"/>
              </w:rPr>
              <w:t>6 000</w:t>
            </w:r>
          </w:p>
        </w:tc>
        <w:tc>
          <w:tcPr>
            <w:tcW w:w="709" w:type="dxa"/>
            <w:tcBorders>
              <w:top w:val="nil"/>
              <w:left w:val="nil"/>
              <w:bottom w:val="single" w:sz="8" w:space="0" w:color="auto"/>
              <w:right w:val="single" w:sz="8" w:space="0" w:color="auto"/>
            </w:tcBorders>
            <w:shd w:val="clear" w:color="auto" w:fill="auto"/>
            <w:noWrap/>
            <w:vAlign w:val="center"/>
            <w:hideMark/>
          </w:tcPr>
          <w:p w14:paraId="61F675DD" w14:textId="77777777" w:rsidR="00EA487B" w:rsidRPr="000A64F1" w:rsidRDefault="00EA487B" w:rsidP="00EA487B">
            <w:pPr>
              <w:jc w:val="center"/>
              <w:rPr>
                <w:rFonts w:cs="Calibri"/>
                <w:color w:val="000000"/>
                <w:sz w:val="18"/>
                <w:szCs w:val="18"/>
              </w:rPr>
            </w:pPr>
            <w:r w:rsidRPr="000A64F1">
              <w:rPr>
                <w:rFonts w:cs="Calibri"/>
                <w:color w:val="000000"/>
                <w:sz w:val="18"/>
                <w:szCs w:val="18"/>
              </w:rPr>
              <w:t>9 000</w:t>
            </w:r>
          </w:p>
        </w:tc>
        <w:tc>
          <w:tcPr>
            <w:tcW w:w="708" w:type="dxa"/>
            <w:tcBorders>
              <w:top w:val="nil"/>
              <w:left w:val="nil"/>
              <w:bottom w:val="single" w:sz="8" w:space="0" w:color="auto"/>
              <w:right w:val="single" w:sz="8" w:space="0" w:color="auto"/>
            </w:tcBorders>
            <w:shd w:val="clear" w:color="auto" w:fill="auto"/>
            <w:noWrap/>
            <w:vAlign w:val="center"/>
            <w:hideMark/>
          </w:tcPr>
          <w:p w14:paraId="471489C2" w14:textId="77777777" w:rsidR="00EA487B" w:rsidRPr="000A64F1" w:rsidRDefault="00EA487B" w:rsidP="00EA487B">
            <w:pPr>
              <w:jc w:val="center"/>
              <w:rPr>
                <w:rFonts w:cs="Calibri"/>
                <w:color w:val="000000"/>
                <w:sz w:val="18"/>
                <w:szCs w:val="18"/>
              </w:rPr>
            </w:pPr>
            <w:r w:rsidRPr="000A64F1">
              <w:rPr>
                <w:rFonts w:cs="Calibri"/>
                <w:color w:val="000000"/>
                <w:sz w:val="18"/>
                <w:szCs w:val="18"/>
              </w:rPr>
              <w:t>6 000</w:t>
            </w:r>
          </w:p>
        </w:tc>
        <w:tc>
          <w:tcPr>
            <w:tcW w:w="709" w:type="dxa"/>
            <w:tcBorders>
              <w:top w:val="nil"/>
              <w:left w:val="nil"/>
              <w:bottom w:val="single" w:sz="8" w:space="0" w:color="auto"/>
              <w:right w:val="single" w:sz="8" w:space="0" w:color="auto"/>
            </w:tcBorders>
            <w:shd w:val="clear" w:color="auto" w:fill="auto"/>
            <w:noWrap/>
            <w:vAlign w:val="center"/>
            <w:hideMark/>
          </w:tcPr>
          <w:p w14:paraId="79F5B595" w14:textId="77777777" w:rsidR="00EA487B" w:rsidRPr="000A64F1" w:rsidRDefault="00EA487B" w:rsidP="00EA487B">
            <w:pPr>
              <w:jc w:val="center"/>
              <w:rPr>
                <w:rFonts w:cs="Calibri"/>
                <w:color w:val="000000"/>
                <w:sz w:val="18"/>
                <w:szCs w:val="18"/>
              </w:rPr>
            </w:pPr>
            <w:r w:rsidRPr="000A64F1">
              <w:rPr>
                <w:rFonts w:cs="Calibri"/>
                <w:color w:val="000000"/>
                <w:sz w:val="18"/>
                <w:szCs w:val="18"/>
              </w:rPr>
              <w:t>4 000</w:t>
            </w:r>
          </w:p>
        </w:tc>
        <w:tc>
          <w:tcPr>
            <w:tcW w:w="679" w:type="dxa"/>
            <w:tcBorders>
              <w:top w:val="nil"/>
              <w:left w:val="nil"/>
              <w:bottom w:val="single" w:sz="8" w:space="0" w:color="auto"/>
              <w:right w:val="single" w:sz="8" w:space="0" w:color="auto"/>
            </w:tcBorders>
            <w:shd w:val="clear" w:color="auto" w:fill="auto"/>
            <w:noWrap/>
            <w:vAlign w:val="center"/>
            <w:hideMark/>
          </w:tcPr>
          <w:p w14:paraId="62441AB9" w14:textId="77777777" w:rsidR="00EA487B" w:rsidRPr="000A64F1" w:rsidRDefault="00EA487B" w:rsidP="00EA487B">
            <w:pPr>
              <w:jc w:val="center"/>
              <w:rPr>
                <w:rFonts w:cs="Calibri"/>
                <w:color w:val="000000"/>
                <w:sz w:val="18"/>
                <w:szCs w:val="18"/>
              </w:rPr>
            </w:pPr>
            <w:r w:rsidRPr="000A64F1">
              <w:rPr>
                <w:rFonts w:cs="Calibri"/>
                <w:color w:val="000000"/>
                <w:sz w:val="18"/>
                <w:szCs w:val="18"/>
              </w:rPr>
              <w:t>5 980</w:t>
            </w:r>
          </w:p>
        </w:tc>
      </w:tr>
      <w:tr w:rsidR="00EA487B" w:rsidRPr="000A64F1" w14:paraId="0434C21F" w14:textId="77777777" w:rsidTr="00EA487B">
        <w:trPr>
          <w:trHeight w:val="300"/>
        </w:trPr>
        <w:tc>
          <w:tcPr>
            <w:tcW w:w="617" w:type="dxa"/>
            <w:tcBorders>
              <w:top w:val="nil"/>
              <w:left w:val="single" w:sz="8" w:space="0" w:color="auto"/>
              <w:bottom w:val="single" w:sz="8" w:space="0" w:color="auto"/>
              <w:right w:val="single" w:sz="8" w:space="0" w:color="auto"/>
            </w:tcBorders>
            <w:shd w:val="clear" w:color="auto" w:fill="auto"/>
            <w:vAlign w:val="center"/>
            <w:hideMark/>
          </w:tcPr>
          <w:p w14:paraId="5844B59C" w14:textId="77777777" w:rsidR="00EA487B" w:rsidRPr="000A64F1" w:rsidRDefault="00EA487B" w:rsidP="00EA487B">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FEI</w:t>
            </w:r>
          </w:p>
        </w:tc>
        <w:tc>
          <w:tcPr>
            <w:tcW w:w="659" w:type="dxa"/>
            <w:tcBorders>
              <w:top w:val="nil"/>
              <w:left w:val="nil"/>
              <w:bottom w:val="single" w:sz="8" w:space="0" w:color="auto"/>
              <w:right w:val="single" w:sz="8" w:space="0" w:color="auto"/>
            </w:tcBorders>
            <w:shd w:val="clear" w:color="auto" w:fill="auto"/>
            <w:noWrap/>
            <w:vAlign w:val="center"/>
            <w:hideMark/>
          </w:tcPr>
          <w:p w14:paraId="5EF806C0" w14:textId="77777777" w:rsidR="00EA487B" w:rsidRPr="000A64F1" w:rsidRDefault="00EA487B" w:rsidP="00EA487B">
            <w:pPr>
              <w:jc w:val="center"/>
              <w:rPr>
                <w:rFonts w:cs="Calibri"/>
                <w:color w:val="000000"/>
                <w:sz w:val="18"/>
                <w:szCs w:val="18"/>
              </w:rPr>
            </w:pPr>
            <w:r w:rsidRPr="000A64F1">
              <w:rPr>
                <w:rFonts w:cs="Calibri"/>
                <w:color w:val="000000"/>
                <w:sz w:val="18"/>
                <w:szCs w:val="18"/>
              </w:rPr>
              <w:t>8 281</w:t>
            </w:r>
          </w:p>
        </w:tc>
        <w:tc>
          <w:tcPr>
            <w:tcW w:w="709" w:type="dxa"/>
            <w:tcBorders>
              <w:top w:val="nil"/>
              <w:left w:val="nil"/>
              <w:bottom w:val="single" w:sz="8" w:space="0" w:color="auto"/>
              <w:right w:val="single" w:sz="8" w:space="0" w:color="auto"/>
            </w:tcBorders>
            <w:shd w:val="clear" w:color="auto" w:fill="auto"/>
            <w:noWrap/>
            <w:vAlign w:val="center"/>
            <w:hideMark/>
          </w:tcPr>
          <w:p w14:paraId="6C27CEDC" w14:textId="77777777" w:rsidR="00EA487B" w:rsidRPr="000A64F1" w:rsidRDefault="00EA487B" w:rsidP="00EA487B">
            <w:pPr>
              <w:jc w:val="center"/>
              <w:rPr>
                <w:rFonts w:cs="Calibri"/>
                <w:color w:val="000000"/>
                <w:sz w:val="18"/>
                <w:szCs w:val="18"/>
              </w:rPr>
            </w:pPr>
            <w:r w:rsidRPr="000A64F1">
              <w:rPr>
                <w:rFonts w:cs="Calibri"/>
                <w:color w:val="000000"/>
                <w:sz w:val="18"/>
                <w:szCs w:val="18"/>
              </w:rPr>
              <w:t>16 000</w:t>
            </w:r>
          </w:p>
        </w:tc>
        <w:tc>
          <w:tcPr>
            <w:tcW w:w="709" w:type="dxa"/>
            <w:tcBorders>
              <w:top w:val="nil"/>
              <w:left w:val="nil"/>
              <w:bottom w:val="single" w:sz="8" w:space="0" w:color="auto"/>
              <w:right w:val="single" w:sz="8" w:space="0" w:color="auto"/>
            </w:tcBorders>
            <w:shd w:val="clear" w:color="auto" w:fill="auto"/>
            <w:noWrap/>
            <w:vAlign w:val="center"/>
            <w:hideMark/>
          </w:tcPr>
          <w:p w14:paraId="4E37C954" w14:textId="77777777" w:rsidR="00EA487B" w:rsidRPr="000A64F1" w:rsidRDefault="00EA487B" w:rsidP="00EA487B">
            <w:pPr>
              <w:jc w:val="center"/>
              <w:rPr>
                <w:rFonts w:cs="Calibri"/>
                <w:color w:val="000000"/>
                <w:sz w:val="18"/>
                <w:szCs w:val="18"/>
              </w:rPr>
            </w:pPr>
            <w:r w:rsidRPr="000A64F1">
              <w:rPr>
                <w:rFonts w:cs="Calibri"/>
                <w:color w:val="000000"/>
                <w:sz w:val="18"/>
                <w:szCs w:val="18"/>
              </w:rPr>
              <w:t>16 716</w:t>
            </w:r>
          </w:p>
        </w:tc>
        <w:tc>
          <w:tcPr>
            <w:tcW w:w="709" w:type="dxa"/>
            <w:tcBorders>
              <w:top w:val="nil"/>
              <w:left w:val="nil"/>
              <w:bottom w:val="single" w:sz="8" w:space="0" w:color="auto"/>
              <w:right w:val="single" w:sz="8" w:space="0" w:color="auto"/>
            </w:tcBorders>
            <w:shd w:val="clear" w:color="auto" w:fill="auto"/>
            <w:noWrap/>
            <w:vAlign w:val="center"/>
            <w:hideMark/>
          </w:tcPr>
          <w:p w14:paraId="4D337BA6" w14:textId="77777777" w:rsidR="00EA487B" w:rsidRPr="000A64F1" w:rsidRDefault="00EA487B" w:rsidP="00EA487B">
            <w:pPr>
              <w:jc w:val="center"/>
              <w:rPr>
                <w:rFonts w:cs="Calibri"/>
                <w:color w:val="000000"/>
                <w:sz w:val="18"/>
                <w:szCs w:val="18"/>
              </w:rPr>
            </w:pPr>
            <w:r w:rsidRPr="000A64F1">
              <w:rPr>
                <w:rFonts w:cs="Calibri"/>
                <w:color w:val="000000"/>
                <w:sz w:val="18"/>
                <w:szCs w:val="18"/>
              </w:rPr>
              <w:t>19 798</w:t>
            </w:r>
          </w:p>
        </w:tc>
        <w:tc>
          <w:tcPr>
            <w:tcW w:w="709" w:type="dxa"/>
            <w:tcBorders>
              <w:top w:val="nil"/>
              <w:left w:val="nil"/>
              <w:bottom w:val="single" w:sz="8" w:space="0" w:color="auto"/>
              <w:right w:val="single" w:sz="8" w:space="0" w:color="auto"/>
            </w:tcBorders>
            <w:shd w:val="clear" w:color="auto" w:fill="auto"/>
            <w:noWrap/>
            <w:vAlign w:val="center"/>
            <w:hideMark/>
          </w:tcPr>
          <w:p w14:paraId="4B1B6ADE" w14:textId="77777777" w:rsidR="00EA487B" w:rsidRPr="000A64F1" w:rsidRDefault="00EA487B" w:rsidP="00EA487B">
            <w:pPr>
              <w:jc w:val="center"/>
              <w:rPr>
                <w:rFonts w:cs="Calibri"/>
                <w:color w:val="000000"/>
                <w:sz w:val="18"/>
                <w:szCs w:val="18"/>
              </w:rPr>
            </w:pPr>
            <w:r w:rsidRPr="000A64F1">
              <w:rPr>
                <w:rFonts w:cs="Calibri"/>
                <w:color w:val="000000"/>
                <w:sz w:val="18"/>
                <w:szCs w:val="18"/>
              </w:rPr>
              <w:t>16 892</w:t>
            </w:r>
          </w:p>
        </w:tc>
        <w:tc>
          <w:tcPr>
            <w:tcW w:w="708" w:type="dxa"/>
            <w:tcBorders>
              <w:top w:val="nil"/>
              <w:left w:val="nil"/>
              <w:bottom w:val="single" w:sz="8" w:space="0" w:color="auto"/>
              <w:right w:val="single" w:sz="8" w:space="0" w:color="auto"/>
            </w:tcBorders>
            <w:shd w:val="clear" w:color="auto" w:fill="auto"/>
            <w:noWrap/>
            <w:vAlign w:val="center"/>
            <w:hideMark/>
          </w:tcPr>
          <w:p w14:paraId="75DF9F23" w14:textId="77777777" w:rsidR="00EA487B" w:rsidRPr="000A64F1" w:rsidRDefault="00EA487B" w:rsidP="00EA487B">
            <w:pPr>
              <w:jc w:val="center"/>
              <w:rPr>
                <w:rFonts w:cs="Calibri"/>
                <w:color w:val="000000"/>
                <w:sz w:val="18"/>
                <w:szCs w:val="18"/>
              </w:rPr>
            </w:pPr>
            <w:r w:rsidRPr="000A64F1">
              <w:rPr>
                <w:rFonts w:cs="Calibri"/>
                <w:color w:val="000000"/>
                <w:sz w:val="18"/>
                <w:szCs w:val="18"/>
              </w:rPr>
              <w:t>18 867</w:t>
            </w:r>
          </w:p>
        </w:tc>
        <w:tc>
          <w:tcPr>
            <w:tcW w:w="709" w:type="dxa"/>
            <w:tcBorders>
              <w:top w:val="nil"/>
              <w:left w:val="nil"/>
              <w:bottom w:val="single" w:sz="8" w:space="0" w:color="auto"/>
              <w:right w:val="single" w:sz="8" w:space="0" w:color="auto"/>
            </w:tcBorders>
            <w:shd w:val="clear" w:color="auto" w:fill="auto"/>
            <w:noWrap/>
            <w:vAlign w:val="center"/>
            <w:hideMark/>
          </w:tcPr>
          <w:p w14:paraId="1EE8EF6A" w14:textId="77777777" w:rsidR="00EA487B" w:rsidRPr="000A64F1" w:rsidRDefault="00EA487B" w:rsidP="00EA487B">
            <w:pPr>
              <w:jc w:val="center"/>
              <w:rPr>
                <w:rFonts w:cs="Calibri"/>
                <w:color w:val="000000"/>
                <w:sz w:val="18"/>
                <w:szCs w:val="18"/>
              </w:rPr>
            </w:pPr>
            <w:r w:rsidRPr="000A64F1">
              <w:rPr>
                <w:rFonts w:cs="Calibri"/>
                <w:color w:val="000000"/>
                <w:sz w:val="18"/>
                <w:szCs w:val="18"/>
              </w:rPr>
              <w:t>17 930</w:t>
            </w:r>
          </w:p>
        </w:tc>
        <w:tc>
          <w:tcPr>
            <w:tcW w:w="709" w:type="dxa"/>
            <w:tcBorders>
              <w:top w:val="nil"/>
              <w:left w:val="nil"/>
              <w:bottom w:val="single" w:sz="8" w:space="0" w:color="auto"/>
              <w:right w:val="single" w:sz="8" w:space="0" w:color="auto"/>
            </w:tcBorders>
            <w:shd w:val="clear" w:color="auto" w:fill="auto"/>
            <w:noWrap/>
            <w:vAlign w:val="center"/>
            <w:hideMark/>
          </w:tcPr>
          <w:p w14:paraId="693565FC" w14:textId="77777777" w:rsidR="00EA487B" w:rsidRPr="000A64F1" w:rsidRDefault="00EA487B" w:rsidP="00EA487B">
            <w:pPr>
              <w:jc w:val="center"/>
              <w:rPr>
                <w:rFonts w:cs="Calibri"/>
                <w:color w:val="000000"/>
                <w:sz w:val="18"/>
                <w:szCs w:val="18"/>
              </w:rPr>
            </w:pPr>
            <w:r w:rsidRPr="000A64F1">
              <w:rPr>
                <w:rFonts w:cs="Calibri"/>
                <w:color w:val="000000"/>
                <w:sz w:val="18"/>
                <w:szCs w:val="18"/>
              </w:rPr>
              <w:t>9 000</w:t>
            </w:r>
          </w:p>
        </w:tc>
        <w:tc>
          <w:tcPr>
            <w:tcW w:w="709" w:type="dxa"/>
            <w:tcBorders>
              <w:top w:val="nil"/>
              <w:left w:val="nil"/>
              <w:bottom w:val="single" w:sz="8" w:space="0" w:color="auto"/>
              <w:right w:val="single" w:sz="8" w:space="0" w:color="auto"/>
            </w:tcBorders>
            <w:shd w:val="clear" w:color="auto" w:fill="auto"/>
            <w:noWrap/>
            <w:vAlign w:val="center"/>
            <w:hideMark/>
          </w:tcPr>
          <w:p w14:paraId="40966264" w14:textId="77777777" w:rsidR="00EA487B" w:rsidRPr="000A64F1" w:rsidRDefault="00EA487B" w:rsidP="00EA487B">
            <w:pPr>
              <w:jc w:val="center"/>
              <w:rPr>
                <w:rFonts w:cs="Calibri"/>
                <w:color w:val="000000"/>
                <w:sz w:val="18"/>
                <w:szCs w:val="18"/>
              </w:rPr>
            </w:pPr>
            <w:r w:rsidRPr="000A64F1">
              <w:rPr>
                <w:rFonts w:cs="Calibri"/>
                <w:color w:val="000000"/>
                <w:sz w:val="18"/>
                <w:szCs w:val="18"/>
              </w:rPr>
              <w:t>18 999</w:t>
            </w:r>
          </w:p>
        </w:tc>
        <w:tc>
          <w:tcPr>
            <w:tcW w:w="708" w:type="dxa"/>
            <w:tcBorders>
              <w:top w:val="nil"/>
              <w:left w:val="nil"/>
              <w:bottom w:val="single" w:sz="8" w:space="0" w:color="auto"/>
              <w:right w:val="single" w:sz="8" w:space="0" w:color="auto"/>
            </w:tcBorders>
            <w:shd w:val="clear" w:color="auto" w:fill="auto"/>
            <w:noWrap/>
            <w:vAlign w:val="center"/>
            <w:hideMark/>
          </w:tcPr>
          <w:p w14:paraId="64497B1B" w14:textId="77777777" w:rsidR="00EA487B" w:rsidRPr="000A64F1" w:rsidRDefault="00EA487B" w:rsidP="00EA487B">
            <w:pPr>
              <w:jc w:val="center"/>
              <w:rPr>
                <w:rFonts w:cs="Calibri"/>
                <w:color w:val="000000"/>
                <w:sz w:val="18"/>
                <w:szCs w:val="18"/>
              </w:rPr>
            </w:pPr>
            <w:r w:rsidRPr="000A64F1">
              <w:rPr>
                <w:rFonts w:cs="Calibri"/>
                <w:color w:val="000000"/>
                <w:sz w:val="18"/>
                <w:szCs w:val="18"/>
              </w:rPr>
              <w:t>13 000</w:t>
            </w:r>
          </w:p>
        </w:tc>
        <w:tc>
          <w:tcPr>
            <w:tcW w:w="709" w:type="dxa"/>
            <w:tcBorders>
              <w:top w:val="nil"/>
              <w:left w:val="nil"/>
              <w:bottom w:val="single" w:sz="8" w:space="0" w:color="auto"/>
              <w:right w:val="single" w:sz="8" w:space="0" w:color="auto"/>
            </w:tcBorders>
            <w:shd w:val="clear" w:color="auto" w:fill="auto"/>
            <w:noWrap/>
            <w:vAlign w:val="center"/>
            <w:hideMark/>
          </w:tcPr>
          <w:p w14:paraId="7204A069" w14:textId="77777777" w:rsidR="00EA487B" w:rsidRPr="000A64F1" w:rsidRDefault="00EA487B" w:rsidP="00EA487B">
            <w:pPr>
              <w:jc w:val="center"/>
              <w:rPr>
                <w:rFonts w:cs="Calibri"/>
                <w:color w:val="000000"/>
                <w:sz w:val="18"/>
                <w:szCs w:val="18"/>
              </w:rPr>
            </w:pPr>
            <w:r w:rsidRPr="000A64F1">
              <w:rPr>
                <w:rFonts w:cs="Calibri"/>
                <w:color w:val="000000"/>
                <w:sz w:val="18"/>
                <w:szCs w:val="18"/>
              </w:rPr>
              <w:t>11 000</w:t>
            </w:r>
          </w:p>
        </w:tc>
        <w:tc>
          <w:tcPr>
            <w:tcW w:w="679" w:type="dxa"/>
            <w:tcBorders>
              <w:top w:val="nil"/>
              <w:left w:val="nil"/>
              <w:bottom w:val="single" w:sz="8" w:space="0" w:color="auto"/>
              <w:right w:val="single" w:sz="8" w:space="0" w:color="auto"/>
            </w:tcBorders>
            <w:shd w:val="clear" w:color="auto" w:fill="auto"/>
            <w:noWrap/>
            <w:vAlign w:val="center"/>
            <w:hideMark/>
          </w:tcPr>
          <w:p w14:paraId="368AC1AC" w14:textId="77777777" w:rsidR="00EA487B" w:rsidRPr="000A64F1" w:rsidRDefault="00EA487B" w:rsidP="00EA487B">
            <w:pPr>
              <w:jc w:val="center"/>
              <w:rPr>
                <w:rFonts w:cs="Calibri"/>
                <w:color w:val="000000"/>
                <w:sz w:val="18"/>
                <w:szCs w:val="18"/>
              </w:rPr>
            </w:pPr>
            <w:r w:rsidRPr="000A64F1">
              <w:rPr>
                <w:rFonts w:cs="Calibri"/>
                <w:color w:val="000000"/>
                <w:sz w:val="18"/>
                <w:szCs w:val="18"/>
              </w:rPr>
              <w:t>16 995</w:t>
            </w:r>
          </w:p>
        </w:tc>
      </w:tr>
      <w:tr w:rsidR="00EA487B" w:rsidRPr="000A64F1" w14:paraId="15ECB6D7" w14:textId="77777777" w:rsidTr="00EA487B">
        <w:trPr>
          <w:trHeight w:val="300"/>
        </w:trPr>
        <w:tc>
          <w:tcPr>
            <w:tcW w:w="617" w:type="dxa"/>
            <w:tcBorders>
              <w:top w:val="nil"/>
              <w:left w:val="single" w:sz="8" w:space="0" w:color="auto"/>
              <w:bottom w:val="single" w:sz="8" w:space="0" w:color="auto"/>
              <w:right w:val="single" w:sz="8" w:space="0" w:color="auto"/>
            </w:tcBorders>
            <w:shd w:val="clear" w:color="auto" w:fill="auto"/>
            <w:vAlign w:val="center"/>
            <w:hideMark/>
          </w:tcPr>
          <w:p w14:paraId="7707E28B" w14:textId="77777777" w:rsidR="00EA487B" w:rsidRPr="000A64F1" w:rsidRDefault="00EA487B" w:rsidP="00EA487B">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FCHPT</w:t>
            </w:r>
          </w:p>
        </w:tc>
        <w:tc>
          <w:tcPr>
            <w:tcW w:w="659" w:type="dxa"/>
            <w:tcBorders>
              <w:top w:val="nil"/>
              <w:left w:val="nil"/>
              <w:bottom w:val="single" w:sz="8" w:space="0" w:color="auto"/>
              <w:right w:val="single" w:sz="8" w:space="0" w:color="auto"/>
            </w:tcBorders>
            <w:shd w:val="clear" w:color="auto" w:fill="auto"/>
            <w:noWrap/>
            <w:vAlign w:val="center"/>
            <w:hideMark/>
          </w:tcPr>
          <w:p w14:paraId="048AF30C" w14:textId="77777777" w:rsidR="00EA487B" w:rsidRPr="000A64F1" w:rsidRDefault="00EA487B" w:rsidP="00EA487B">
            <w:pPr>
              <w:jc w:val="center"/>
              <w:rPr>
                <w:rFonts w:cs="Calibri"/>
                <w:color w:val="000000"/>
                <w:sz w:val="18"/>
                <w:szCs w:val="18"/>
              </w:rPr>
            </w:pPr>
            <w:r w:rsidRPr="000A64F1">
              <w:rPr>
                <w:rFonts w:cs="Calibri"/>
                <w:color w:val="000000"/>
                <w:sz w:val="18"/>
                <w:szCs w:val="18"/>
              </w:rPr>
              <w:t>13 820</w:t>
            </w:r>
          </w:p>
        </w:tc>
        <w:tc>
          <w:tcPr>
            <w:tcW w:w="709" w:type="dxa"/>
            <w:tcBorders>
              <w:top w:val="nil"/>
              <w:left w:val="nil"/>
              <w:bottom w:val="single" w:sz="8" w:space="0" w:color="auto"/>
              <w:right w:val="single" w:sz="8" w:space="0" w:color="auto"/>
            </w:tcBorders>
            <w:shd w:val="clear" w:color="auto" w:fill="auto"/>
            <w:noWrap/>
            <w:vAlign w:val="center"/>
            <w:hideMark/>
          </w:tcPr>
          <w:p w14:paraId="619AD346" w14:textId="77777777" w:rsidR="00EA487B" w:rsidRPr="000A64F1" w:rsidRDefault="00EA487B" w:rsidP="00EA487B">
            <w:pPr>
              <w:jc w:val="center"/>
              <w:rPr>
                <w:rFonts w:cs="Calibri"/>
                <w:color w:val="000000"/>
                <w:sz w:val="18"/>
                <w:szCs w:val="18"/>
              </w:rPr>
            </w:pPr>
            <w:r w:rsidRPr="000A64F1">
              <w:rPr>
                <w:rFonts w:cs="Calibri"/>
                <w:color w:val="000000"/>
                <w:sz w:val="18"/>
                <w:szCs w:val="18"/>
              </w:rPr>
              <w:t>15 588</w:t>
            </w:r>
          </w:p>
        </w:tc>
        <w:tc>
          <w:tcPr>
            <w:tcW w:w="709" w:type="dxa"/>
            <w:tcBorders>
              <w:top w:val="nil"/>
              <w:left w:val="nil"/>
              <w:bottom w:val="single" w:sz="8" w:space="0" w:color="auto"/>
              <w:right w:val="single" w:sz="8" w:space="0" w:color="auto"/>
            </w:tcBorders>
            <w:shd w:val="clear" w:color="auto" w:fill="auto"/>
            <w:noWrap/>
            <w:vAlign w:val="center"/>
            <w:hideMark/>
          </w:tcPr>
          <w:p w14:paraId="0BA7FBF3" w14:textId="77777777" w:rsidR="00EA487B" w:rsidRPr="000A64F1" w:rsidRDefault="00EA487B" w:rsidP="00EA487B">
            <w:pPr>
              <w:jc w:val="center"/>
              <w:rPr>
                <w:rFonts w:cs="Calibri"/>
                <w:color w:val="000000"/>
                <w:sz w:val="18"/>
                <w:szCs w:val="18"/>
              </w:rPr>
            </w:pPr>
            <w:r w:rsidRPr="000A64F1">
              <w:rPr>
                <w:rFonts w:cs="Calibri"/>
                <w:color w:val="000000"/>
                <w:sz w:val="18"/>
                <w:szCs w:val="18"/>
              </w:rPr>
              <w:t>28 367</w:t>
            </w:r>
          </w:p>
        </w:tc>
        <w:tc>
          <w:tcPr>
            <w:tcW w:w="709" w:type="dxa"/>
            <w:tcBorders>
              <w:top w:val="nil"/>
              <w:left w:val="nil"/>
              <w:bottom w:val="single" w:sz="8" w:space="0" w:color="auto"/>
              <w:right w:val="single" w:sz="8" w:space="0" w:color="auto"/>
            </w:tcBorders>
            <w:shd w:val="clear" w:color="auto" w:fill="auto"/>
            <w:noWrap/>
            <w:vAlign w:val="center"/>
            <w:hideMark/>
          </w:tcPr>
          <w:p w14:paraId="467952BF" w14:textId="77777777" w:rsidR="00EA487B" w:rsidRPr="000A64F1" w:rsidRDefault="00EA487B" w:rsidP="00EA487B">
            <w:pPr>
              <w:jc w:val="center"/>
              <w:rPr>
                <w:rFonts w:cs="Calibri"/>
                <w:color w:val="000000"/>
                <w:sz w:val="18"/>
                <w:szCs w:val="18"/>
              </w:rPr>
            </w:pPr>
            <w:r w:rsidRPr="000A64F1">
              <w:rPr>
                <w:rFonts w:cs="Calibri"/>
                <w:color w:val="000000"/>
                <w:sz w:val="18"/>
                <w:szCs w:val="18"/>
              </w:rPr>
              <w:t>27 000</w:t>
            </w:r>
          </w:p>
        </w:tc>
        <w:tc>
          <w:tcPr>
            <w:tcW w:w="709" w:type="dxa"/>
            <w:tcBorders>
              <w:top w:val="nil"/>
              <w:left w:val="nil"/>
              <w:bottom w:val="single" w:sz="8" w:space="0" w:color="auto"/>
              <w:right w:val="single" w:sz="8" w:space="0" w:color="auto"/>
            </w:tcBorders>
            <w:shd w:val="clear" w:color="auto" w:fill="auto"/>
            <w:noWrap/>
            <w:vAlign w:val="center"/>
            <w:hideMark/>
          </w:tcPr>
          <w:p w14:paraId="37684F71" w14:textId="77777777" w:rsidR="00EA487B" w:rsidRPr="000A64F1" w:rsidRDefault="00EA487B" w:rsidP="00EA487B">
            <w:pPr>
              <w:jc w:val="center"/>
              <w:rPr>
                <w:rFonts w:cs="Calibri"/>
                <w:color w:val="000000"/>
                <w:sz w:val="18"/>
                <w:szCs w:val="18"/>
              </w:rPr>
            </w:pPr>
            <w:r w:rsidRPr="000A64F1">
              <w:rPr>
                <w:rFonts w:cs="Calibri"/>
                <w:color w:val="000000"/>
                <w:sz w:val="18"/>
                <w:szCs w:val="18"/>
              </w:rPr>
              <w:t>25 990</w:t>
            </w:r>
          </w:p>
        </w:tc>
        <w:tc>
          <w:tcPr>
            <w:tcW w:w="708" w:type="dxa"/>
            <w:tcBorders>
              <w:top w:val="nil"/>
              <w:left w:val="nil"/>
              <w:bottom w:val="single" w:sz="8" w:space="0" w:color="auto"/>
              <w:right w:val="single" w:sz="8" w:space="0" w:color="auto"/>
            </w:tcBorders>
            <w:shd w:val="clear" w:color="auto" w:fill="auto"/>
            <w:noWrap/>
            <w:vAlign w:val="center"/>
            <w:hideMark/>
          </w:tcPr>
          <w:p w14:paraId="37BC64AA" w14:textId="77777777" w:rsidR="00EA487B" w:rsidRPr="000A64F1" w:rsidRDefault="00EA487B" w:rsidP="00EA487B">
            <w:pPr>
              <w:jc w:val="center"/>
              <w:rPr>
                <w:rFonts w:cs="Calibri"/>
                <w:color w:val="000000"/>
                <w:sz w:val="18"/>
                <w:szCs w:val="18"/>
              </w:rPr>
            </w:pPr>
            <w:r w:rsidRPr="000A64F1">
              <w:rPr>
                <w:rFonts w:cs="Calibri"/>
                <w:color w:val="000000"/>
                <w:sz w:val="18"/>
                <w:szCs w:val="18"/>
              </w:rPr>
              <w:t>23 980</w:t>
            </w:r>
          </w:p>
        </w:tc>
        <w:tc>
          <w:tcPr>
            <w:tcW w:w="709" w:type="dxa"/>
            <w:tcBorders>
              <w:top w:val="nil"/>
              <w:left w:val="nil"/>
              <w:bottom w:val="single" w:sz="8" w:space="0" w:color="auto"/>
              <w:right w:val="single" w:sz="8" w:space="0" w:color="auto"/>
            </w:tcBorders>
            <w:shd w:val="clear" w:color="auto" w:fill="auto"/>
            <w:noWrap/>
            <w:vAlign w:val="center"/>
            <w:hideMark/>
          </w:tcPr>
          <w:p w14:paraId="516E9397" w14:textId="77777777" w:rsidR="00EA487B" w:rsidRPr="000A64F1" w:rsidRDefault="00EA487B" w:rsidP="00EA487B">
            <w:pPr>
              <w:jc w:val="center"/>
              <w:rPr>
                <w:rFonts w:cs="Calibri"/>
                <w:color w:val="000000"/>
                <w:sz w:val="18"/>
                <w:szCs w:val="18"/>
              </w:rPr>
            </w:pPr>
            <w:r w:rsidRPr="000A64F1">
              <w:rPr>
                <w:rFonts w:cs="Calibri"/>
                <w:color w:val="000000"/>
                <w:sz w:val="18"/>
                <w:szCs w:val="18"/>
              </w:rPr>
              <w:t>24 900</w:t>
            </w:r>
          </w:p>
        </w:tc>
        <w:tc>
          <w:tcPr>
            <w:tcW w:w="709" w:type="dxa"/>
            <w:tcBorders>
              <w:top w:val="nil"/>
              <w:left w:val="nil"/>
              <w:bottom w:val="single" w:sz="8" w:space="0" w:color="auto"/>
              <w:right w:val="single" w:sz="8" w:space="0" w:color="auto"/>
            </w:tcBorders>
            <w:shd w:val="clear" w:color="auto" w:fill="auto"/>
            <w:noWrap/>
            <w:vAlign w:val="center"/>
            <w:hideMark/>
          </w:tcPr>
          <w:p w14:paraId="1A20ECC9" w14:textId="77777777" w:rsidR="00EA487B" w:rsidRPr="000A64F1" w:rsidRDefault="00EA487B" w:rsidP="00EA487B">
            <w:pPr>
              <w:jc w:val="center"/>
              <w:rPr>
                <w:rFonts w:cs="Calibri"/>
                <w:color w:val="000000"/>
                <w:sz w:val="18"/>
                <w:szCs w:val="18"/>
              </w:rPr>
            </w:pPr>
            <w:r w:rsidRPr="000A64F1">
              <w:rPr>
                <w:rFonts w:cs="Calibri"/>
                <w:color w:val="000000"/>
                <w:sz w:val="18"/>
                <w:szCs w:val="18"/>
              </w:rPr>
              <w:t>30 990</w:t>
            </w:r>
          </w:p>
        </w:tc>
        <w:tc>
          <w:tcPr>
            <w:tcW w:w="709" w:type="dxa"/>
            <w:tcBorders>
              <w:top w:val="nil"/>
              <w:left w:val="nil"/>
              <w:bottom w:val="single" w:sz="8" w:space="0" w:color="auto"/>
              <w:right w:val="single" w:sz="8" w:space="0" w:color="auto"/>
            </w:tcBorders>
            <w:shd w:val="clear" w:color="auto" w:fill="auto"/>
            <w:noWrap/>
            <w:vAlign w:val="center"/>
            <w:hideMark/>
          </w:tcPr>
          <w:p w14:paraId="7C28A831" w14:textId="77777777" w:rsidR="00EA487B" w:rsidRPr="000A64F1" w:rsidRDefault="00EA487B" w:rsidP="00EA487B">
            <w:pPr>
              <w:jc w:val="center"/>
              <w:rPr>
                <w:rFonts w:cs="Calibri"/>
                <w:color w:val="000000"/>
                <w:sz w:val="18"/>
                <w:szCs w:val="18"/>
              </w:rPr>
            </w:pPr>
            <w:r w:rsidRPr="000A64F1">
              <w:rPr>
                <w:rFonts w:cs="Calibri"/>
                <w:color w:val="000000"/>
                <w:sz w:val="18"/>
                <w:szCs w:val="18"/>
              </w:rPr>
              <w:t>28 990</w:t>
            </w:r>
          </w:p>
        </w:tc>
        <w:tc>
          <w:tcPr>
            <w:tcW w:w="708" w:type="dxa"/>
            <w:tcBorders>
              <w:top w:val="nil"/>
              <w:left w:val="nil"/>
              <w:bottom w:val="single" w:sz="8" w:space="0" w:color="auto"/>
              <w:right w:val="single" w:sz="8" w:space="0" w:color="auto"/>
            </w:tcBorders>
            <w:shd w:val="clear" w:color="auto" w:fill="auto"/>
            <w:noWrap/>
            <w:vAlign w:val="center"/>
            <w:hideMark/>
          </w:tcPr>
          <w:p w14:paraId="3EC96373" w14:textId="77777777" w:rsidR="00EA487B" w:rsidRPr="000A64F1" w:rsidRDefault="00EA487B" w:rsidP="00EA487B">
            <w:pPr>
              <w:jc w:val="center"/>
              <w:rPr>
                <w:rFonts w:cs="Calibri"/>
                <w:color w:val="000000"/>
                <w:sz w:val="18"/>
                <w:szCs w:val="18"/>
              </w:rPr>
            </w:pPr>
            <w:r w:rsidRPr="000A64F1">
              <w:rPr>
                <w:rFonts w:cs="Calibri"/>
                <w:color w:val="000000"/>
                <w:sz w:val="18"/>
                <w:szCs w:val="18"/>
              </w:rPr>
              <w:t>31 570</w:t>
            </w:r>
          </w:p>
        </w:tc>
        <w:tc>
          <w:tcPr>
            <w:tcW w:w="709" w:type="dxa"/>
            <w:tcBorders>
              <w:top w:val="nil"/>
              <w:left w:val="nil"/>
              <w:bottom w:val="single" w:sz="8" w:space="0" w:color="auto"/>
              <w:right w:val="single" w:sz="8" w:space="0" w:color="auto"/>
            </w:tcBorders>
            <w:shd w:val="clear" w:color="auto" w:fill="auto"/>
            <w:noWrap/>
            <w:vAlign w:val="center"/>
            <w:hideMark/>
          </w:tcPr>
          <w:p w14:paraId="4EF91229" w14:textId="77777777" w:rsidR="00EA487B" w:rsidRPr="000A64F1" w:rsidRDefault="00EA487B" w:rsidP="00EA487B">
            <w:pPr>
              <w:jc w:val="center"/>
              <w:rPr>
                <w:rFonts w:cs="Calibri"/>
                <w:color w:val="000000"/>
                <w:sz w:val="18"/>
                <w:szCs w:val="18"/>
              </w:rPr>
            </w:pPr>
            <w:r w:rsidRPr="000A64F1">
              <w:rPr>
                <w:rFonts w:cs="Calibri"/>
                <w:color w:val="000000"/>
                <w:sz w:val="18"/>
                <w:szCs w:val="18"/>
              </w:rPr>
              <w:t>13 000</w:t>
            </w:r>
          </w:p>
        </w:tc>
        <w:tc>
          <w:tcPr>
            <w:tcW w:w="679" w:type="dxa"/>
            <w:tcBorders>
              <w:top w:val="nil"/>
              <w:left w:val="nil"/>
              <w:bottom w:val="single" w:sz="8" w:space="0" w:color="auto"/>
              <w:right w:val="single" w:sz="8" w:space="0" w:color="auto"/>
            </w:tcBorders>
            <w:shd w:val="clear" w:color="auto" w:fill="auto"/>
            <w:noWrap/>
            <w:vAlign w:val="center"/>
            <w:hideMark/>
          </w:tcPr>
          <w:p w14:paraId="443A9180" w14:textId="77777777" w:rsidR="00EA487B" w:rsidRPr="000A64F1" w:rsidRDefault="00EA487B" w:rsidP="00EA487B">
            <w:pPr>
              <w:jc w:val="center"/>
              <w:rPr>
                <w:rFonts w:cs="Calibri"/>
                <w:color w:val="000000"/>
                <w:sz w:val="18"/>
                <w:szCs w:val="18"/>
              </w:rPr>
            </w:pPr>
            <w:r w:rsidRPr="000A64F1">
              <w:rPr>
                <w:rFonts w:cs="Calibri"/>
                <w:color w:val="000000"/>
                <w:sz w:val="18"/>
                <w:szCs w:val="18"/>
              </w:rPr>
              <w:t>28 900</w:t>
            </w:r>
          </w:p>
        </w:tc>
      </w:tr>
      <w:tr w:rsidR="00EA487B" w:rsidRPr="000A64F1" w14:paraId="109BD619" w14:textId="77777777" w:rsidTr="00EA487B">
        <w:trPr>
          <w:trHeight w:val="300"/>
        </w:trPr>
        <w:tc>
          <w:tcPr>
            <w:tcW w:w="617" w:type="dxa"/>
            <w:tcBorders>
              <w:top w:val="nil"/>
              <w:left w:val="single" w:sz="8" w:space="0" w:color="auto"/>
              <w:bottom w:val="single" w:sz="8" w:space="0" w:color="auto"/>
              <w:right w:val="single" w:sz="8" w:space="0" w:color="auto"/>
            </w:tcBorders>
            <w:shd w:val="clear" w:color="auto" w:fill="auto"/>
            <w:vAlign w:val="center"/>
            <w:hideMark/>
          </w:tcPr>
          <w:p w14:paraId="352F19B1" w14:textId="77777777" w:rsidR="00EA487B" w:rsidRPr="000A64F1" w:rsidRDefault="00EA487B" w:rsidP="00EA487B">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FA</w:t>
            </w:r>
          </w:p>
        </w:tc>
        <w:tc>
          <w:tcPr>
            <w:tcW w:w="659" w:type="dxa"/>
            <w:tcBorders>
              <w:top w:val="nil"/>
              <w:left w:val="nil"/>
              <w:bottom w:val="single" w:sz="8" w:space="0" w:color="auto"/>
              <w:right w:val="single" w:sz="8" w:space="0" w:color="auto"/>
            </w:tcBorders>
            <w:shd w:val="clear" w:color="auto" w:fill="auto"/>
            <w:noWrap/>
            <w:vAlign w:val="center"/>
            <w:hideMark/>
          </w:tcPr>
          <w:p w14:paraId="6AF96EFE" w14:textId="77777777" w:rsidR="00EA487B" w:rsidRPr="000A64F1" w:rsidRDefault="00EA487B" w:rsidP="00EA487B">
            <w:pPr>
              <w:jc w:val="center"/>
              <w:rPr>
                <w:rFonts w:cs="Calibri"/>
                <w:color w:val="000000"/>
                <w:sz w:val="18"/>
                <w:szCs w:val="18"/>
              </w:rPr>
            </w:pPr>
            <w:r w:rsidRPr="000A64F1">
              <w:rPr>
                <w:rFonts w:cs="Calibri"/>
                <w:color w:val="000000"/>
                <w:sz w:val="18"/>
                <w:szCs w:val="18"/>
              </w:rPr>
              <w:t>6 790</w:t>
            </w:r>
          </w:p>
        </w:tc>
        <w:tc>
          <w:tcPr>
            <w:tcW w:w="709" w:type="dxa"/>
            <w:tcBorders>
              <w:top w:val="nil"/>
              <w:left w:val="nil"/>
              <w:bottom w:val="single" w:sz="8" w:space="0" w:color="auto"/>
              <w:right w:val="single" w:sz="8" w:space="0" w:color="auto"/>
            </w:tcBorders>
            <w:shd w:val="clear" w:color="auto" w:fill="auto"/>
            <w:noWrap/>
            <w:vAlign w:val="center"/>
            <w:hideMark/>
          </w:tcPr>
          <w:p w14:paraId="7E24025A" w14:textId="77777777" w:rsidR="00EA487B" w:rsidRPr="000A64F1" w:rsidRDefault="00EA487B" w:rsidP="00EA487B">
            <w:pPr>
              <w:jc w:val="center"/>
              <w:rPr>
                <w:rFonts w:cs="Calibri"/>
                <w:color w:val="000000"/>
                <w:sz w:val="18"/>
                <w:szCs w:val="18"/>
              </w:rPr>
            </w:pPr>
            <w:r w:rsidRPr="000A64F1">
              <w:rPr>
                <w:rFonts w:cs="Calibri"/>
                <w:color w:val="000000"/>
                <w:sz w:val="18"/>
                <w:szCs w:val="18"/>
              </w:rPr>
              <w:t>6 174</w:t>
            </w:r>
          </w:p>
        </w:tc>
        <w:tc>
          <w:tcPr>
            <w:tcW w:w="709" w:type="dxa"/>
            <w:tcBorders>
              <w:top w:val="nil"/>
              <w:left w:val="nil"/>
              <w:bottom w:val="single" w:sz="8" w:space="0" w:color="auto"/>
              <w:right w:val="single" w:sz="8" w:space="0" w:color="auto"/>
            </w:tcBorders>
            <w:shd w:val="clear" w:color="auto" w:fill="auto"/>
            <w:noWrap/>
            <w:vAlign w:val="center"/>
            <w:hideMark/>
          </w:tcPr>
          <w:p w14:paraId="467B2F1B" w14:textId="77777777" w:rsidR="00EA487B" w:rsidRPr="000A64F1" w:rsidRDefault="00EA487B" w:rsidP="00EA487B">
            <w:pPr>
              <w:jc w:val="center"/>
              <w:rPr>
                <w:rFonts w:cs="Calibri"/>
                <w:color w:val="000000"/>
                <w:sz w:val="18"/>
                <w:szCs w:val="18"/>
              </w:rPr>
            </w:pPr>
            <w:r w:rsidRPr="000A64F1">
              <w:rPr>
                <w:rFonts w:cs="Calibri"/>
                <w:color w:val="000000"/>
                <w:sz w:val="18"/>
                <w:szCs w:val="18"/>
              </w:rPr>
              <w:t>8 760</w:t>
            </w:r>
          </w:p>
        </w:tc>
        <w:tc>
          <w:tcPr>
            <w:tcW w:w="709" w:type="dxa"/>
            <w:tcBorders>
              <w:top w:val="nil"/>
              <w:left w:val="nil"/>
              <w:bottom w:val="single" w:sz="8" w:space="0" w:color="auto"/>
              <w:right w:val="single" w:sz="8" w:space="0" w:color="auto"/>
            </w:tcBorders>
            <w:shd w:val="clear" w:color="auto" w:fill="auto"/>
            <w:noWrap/>
            <w:vAlign w:val="center"/>
            <w:hideMark/>
          </w:tcPr>
          <w:p w14:paraId="7ECAF4BF" w14:textId="77777777" w:rsidR="00EA487B" w:rsidRPr="000A64F1" w:rsidRDefault="00EA487B" w:rsidP="00EA487B">
            <w:pPr>
              <w:jc w:val="center"/>
              <w:rPr>
                <w:rFonts w:cs="Calibri"/>
                <w:color w:val="000000"/>
                <w:sz w:val="18"/>
                <w:szCs w:val="18"/>
              </w:rPr>
            </w:pPr>
            <w:r w:rsidRPr="000A64F1">
              <w:rPr>
                <w:rFonts w:cs="Calibri"/>
                <w:color w:val="000000"/>
                <w:sz w:val="18"/>
                <w:szCs w:val="18"/>
              </w:rPr>
              <w:t>7 000</w:t>
            </w:r>
          </w:p>
        </w:tc>
        <w:tc>
          <w:tcPr>
            <w:tcW w:w="709" w:type="dxa"/>
            <w:tcBorders>
              <w:top w:val="nil"/>
              <w:left w:val="nil"/>
              <w:bottom w:val="single" w:sz="8" w:space="0" w:color="auto"/>
              <w:right w:val="single" w:sz="8" w:space="0" w:color="auto"/>
            </w:tcBorders>
            <w:shd w:val="clear" w:color="auto" w:fill="auto"/>
            <w:noWrap/>
            <w:vAlign w:val="center"/>
            <w:hideMark/>
          </w:tcPr>
          <w:p w14:paraId="4B1C50B3" w14:textId="77777777" w:rsidR="00EA487B" w:rsidRPr="000A64F1" w:rsidRDefault="00EA487B" w:rsidP="00EA487B">
            <w:pPr>
              <w:jc w:val="center"/>
              <w:rPr>
                <w:rFonts w:cs="Calibri"/>
                <w:color w:val="000000"/>
                <w:sz w:val="18"/>
                <w:szCs w:val="18"/>
              </w:rPr>
            </w:pPr>
            <w:r w:rsidRPr="000A64F1">
              <w:rPr>
                <w:rFonts w:cs="Calibri"/>
                <w:color w:val="000000"/>
                <w:sz w:val="18"/>
                <w:szCs w:val="18"/>
              </w:rPr>
              <w:t>6 830</w:t>
            </w:r>
          </w:p>
        </w:tc>
        <w:tc>
          <w:tcPr>
            <w:tcW w:w="708" w:type="dxa"/>
            <w:tcBorders>
              <w:top w:val="nil"/>
              <w:left w:val="nil"/>
              <w:bottom w:val="single" w:sz="8" w:space="0" w:color="auto"/>
              <w:right w:val="single" w:sz="8" w:space="0" w:color="auto"/>
            </w:tcBorders>
            <w:shd w:val="clear" w:color="auto" w:fill="auto"/>
            <w:noWrap/>
            <w:vAlign w:val="center"/>
            <w:hideMark/>
          </w:tcPr>
          <w:p w14:paraId="1850D30C" w14:textId="77777777" w:rsidR="00EA487B" w:rsidRPr="000A64F1" w:rsidRDefault="00EA487B" w:rsidP="00EA487B">
            <w:pPr>
              <w:jc w:val="center"/>
              <w:rPr>
                <w:rFonts w:cs="Calibri"/>
                <w:color w:val="000000"/>
                <w:sz w:val="18"/>
                <w:szCs w:val="18"/>
              </w:rPr>
            </w:pPr>
            <w:r w:rsidRPr="000A64F1">
              <w:rPr>
                <w:rFonts w:cs="Calibri"/>
                <w:color w:val="000000"/>
                <w:sz w:val="18"/>
                <w:szCs w:val="18"/>
              </w:rPr>
              <w:t>5 960</w:t>
            </w:r>
          </w:p>
        </w:tc>
        <w:tc>
          <w:tcPr>
            <w:tcW w:w="709" w:type="dxa"/>
            <w:tcBorders>
              <w:top w:val="nil"/>
              <w:left w:val="nil"/>
              <w:bottom w:val="single" w:sz="8" w:space="0" w:color="auto"/>
              <w:right w:val="single" w:sz="8" w:space="0" w:color="auto"/>
            </w:tcBorders>
            <w:shd w:val="clear" w:color="auto" w:fill="auto"/>
            <w:noWrap/>
            <w:vAlign w:val="center"/>
            <w:hideMark/>
          </w:tcPr>
          <w:p w14:paraId="6FBD3C0A" w14:textId="77777777" w:rsidR="00EA487B" w:rsidRPr="000A64F1" w:rsidRDefault="00EA487B" w:rsidP="00EA487B">
            <w:pPr>
              <w:jc w:val="center"/>
              <w:rPr>
                <w:rFonts w:cs="Calibri"/>
                <w:color w:val="000000"/>
                <w:sz w:val="18"/>
                <w:szCs w:val="18"/>
              </w:rPr>
            </w:pPr>
            <w:r w:rsidRPr="000A64F1">
              <w:rPr>
                <w:rFonts w:cs="Calibri"/>
                <w:color w:val="000000"/>
                <w:sz w:val="18"/>
                <w:szCs w:val="18"/>
              </w:rPr>
              <w:t>6 865</w:t>
            </w:r>
          </w:p>
        </w:tc>
        <w:tc>
          <w:tcPr>
            <w:tcW w:w="709" w:type="dxa"/>
            <w:tcBorders>
              <w:top w:val="nil"/>
              <w:left w:val="nil"/>
              <w:bottom w:val="single" w:sz="8" w:space="0" w:color="auto"/>
              <w:right w:val="single" w:sz="8" w:space="0" w:color="auto"/>
            </w:tcBorders>
            <w:shd w:val="clear" w:color="auto" w:fill="auto"/>
            <w:noWrap/>
            <w:vAlign w:val="center"/>
            <w:hideMark/>
          </w:tcPr>
          <w:p w14:paraId="49B52CD1" w14:textId="77777777" w:rsidR="00EA487B" w:rsidRPr="000A64F1" w:rsidRDefault="00EA487B" w:rsidP="00EA487B">
            <w:pPr>
              <w:jc w:val="center"/>
              <w:rPr>
                <w:rFonts w:cs="Calibri"/>
                <w:color w:val="000000"/>
                <w:sz w:val="18"/>
                <w:szCs w:val="18"/>
              </w:rPr>
            </w:pPr>
            <w:r w:rsidRPr="000A64F1">
              <w:rPr>
                <w:rFonts w:cs="Calibri"/>
                <w:color w:val="000000"/>
                <w:sz w:val="18"/>
                <w:szCs w:val="18"/>
              </w:rPr>
              <w:t>4 950</w:t>
            </w:r>
          </w:p>
        </w:tc>
        <w:tc>
          <w:tcPr>
            <w:tcW w:w="709" w:type="dxa"/>
            <w:tcBorders>
              <w:top w:val="nil"/>
              <w:left w:val="nil"/>
              <w:bottom w:val="single" w:sz="8" w:space="0" w:color="auto"/>
              <w:right w:val="single" w:sz="8" w:space="0" w:color="auto"/>
            </w:tcBorders>
            <w:shd w:val="clear" w:color="auto" w:fill="auto"/>
            <w:noWrap/>
            <w:vAlign w:val="center"/>
            <w:hideMark/>
          </w:tcPr>
          <w:p w14:paraId="46851808" w14:textId="77777777" w:rsidR="00EA487B" w:rsidRPr="000A64F1" w:rsidRDefault="00EA487B" w:rsidP="00EA487B">
            <w:pPr>
              <w:jc w:val="center"/>
              <w:rPr>
                <w:rFonts w:cs="Calibri"/>
                <w:color w:val="000000"/>
                <w:sz w:val="18"/>
                <w:szCs w:val="18"/>
              </w:rPr>
            </w:pPr>
            <w:r w:rsidRPr="000A64F1">
              <w:rPr>
                <w:rFonts w:cs="Calibri"/>
                <w:color w:val="000000"/>
                <w:sz w:val="18"/>
                <w:szCs w:val="18"/>
              </w:rPr>
              <w:t>6 655</w:t>
            </w:r>
          </w:p>
        </w:tc>
        <w:tc>
          <w:tcPr>
            <w:tcW w:w="708" w:type="dxa"/>
            <w:tcBorders>
              <w:top w:val="nil"/>
              <w:left w:val="nil"/>
              <w:bottom w:val="single" w:sz="8" w:space="0" w:color="auto"/>
              <w:right w:val="single" w:sz="8" w:space="0" w:color="auto"/>
            </w:tcBorders>
            <w:shd w:val="clear" w:color="auto" w:fill="auto"/>
            <w:noWrap/>
            <w:vAlign w:val="center"/>
            <w:hideMark/>
          </w:tcPr>
          <w:p w14:paraId="7AF7B708" w14:textId="77777777" w:rsidR="00EA487B" w:rsidRPr="000A64F1" w:rsidRDefault="00EA487B" w:rsidP="00EA487B">
            <w:pPr>
              <w:jc w:val="center"/>
              <w:rPr>
                <w:rFonts w:cs="Calibri"/>
                <w:color w:val="000000"/>
                <w:sz w:val="18"/>
                <w:szCs w:val="18"/>
              </w:rPr>
            </w:pPr>
            <w:r w:rsidRPr="000A64F1">
              <w:rPr>
                <w:rFonts w:cs="Calibri"/>
                <w:color w:val="000000"/>
                <w:sz w:val="18"/>
                <w:szCs w:val="18"/>
              </w:rPr>
              <w:t>5 000</w:t>
            </w:r>
          </w:p>
        </w:tc>
        <w:tc>
          <w:tcPr>
            <w:tcW w:w="709" w:type="dxa"/>
            <w:tcBorders>
              <w:top w:val="nil"/>
              <w:left w:val="nil"/>
              <w:bottom w:val="single" w:sz="8" w:space="0" w:color="auto"/>
              <w:right w:val="single" w:sz="8" w:space="0" w:color="auto"/>
            </w:tcBorders>
            <w:shd w:val="clear" w:color="auto" w:fill="auto"/>
            <w:noWrap/>
            <w:vAlign w:val="center"/>
            <w:hideMark/>
          </w:tcPr>
          <w:p w14:paraId="0C359CBB" w14:textId="77777777" w:rsidR="00EA487B" w:rsidRPr="000A64F1" w:rsidRDefault="00EA487B" w:rsidP="00EA487B">
            <w:pPr>
              <w:jc w:val="center"/>
              <w:rPr>
                <w:rFonts w:cs="Calibri"/>
                <w:color w:val="000000"/>
                <w:sz w:val="18"/>
                <w:szCs w:val="18"/>
              </w:rPr>
            </w:pPr>
            <w:r w:rsidRPr="000A64F1">
              <w:rPr>
                <w:rFonts w:cs="Calibri"/>
                <w:color w:val="000000"/>
                <w:sz w:val="18"/>
                <w:szCs w:val="18"/>
              </w:rPr>
              <w:t>3 000</w:t>
            </w:r>
          </w:p>
        </w:tc>
        <w:tc>
          <w:tcPr>
            <w:tcW w:w="679" w:type="dxa"/>
            <w:tcBorders>
              <w:top w:val="nil"/>
              <w:left w:val="nil"/>
              <w:bottom w:val="single" w:sz="8" w:space="0" w:color="auto"/>
              <w:right w:val="single" w:sz="8" w:space="0" w:color="auto"/>
            </w:tcBorders>
            <w:shd w:val="clear" w:color="auto" w:fill="auto"/>
            <w:noWrap/>
            <w:vAlign w:val="center"/>
            <w:hideMark/>
          </w:tcPr>
          <w:p w14:paraId="7FCA57EB" w14:textId="77777777" w:rsidR="00EA487B" w:rsidRPr="000A64F1" w:rsidRDefault="00EA487B" w:rsidP="00EA487B">
            <w:pPr>
              <w:jc w:val="center"/>
              <w:rPr>
                <w:rFonts w:cs="Calibri"/>
                <w:color w:val="000000"/>
                <w:sz w:val="18"/>
                <w:szCs w:val="18"/>
              </w:rPr>
            </w:pPr>
            <w:r w:rsidRPr="000A64F1">
              <w:rPr>
                <w:rFonts w:cs="Calibri"/>
                <w:color w:val="000000"/>
                <w:sz w:val="18"/>
                <w:szCs w:val="18"/>
              </w:rPr>
              <w:t>2 000</w:t>
            </w:r>
          </w:p>
        </w:tc>
      </w:tr>
      <w:tr w:rsidR="00EA487B" w:rsidRPr="000A64F1" w14:paraId="27D7D8E1" w14:textId="77777777" w:rsidTr="00EA487B">
        <w:trPr>
          <w:trHeight w:val="300"/>
        </w:trPr>
        <w:tc>
          <w:tcPr>
            <w:tcW w:w="617" w:type="dxa"/>
            <w:tcBorders>
              <w:top w:val="nil"/>
              <w:left w:val="single" w:sz="8" w:space="0" w:color="auto"/>
              <w:bottom w:val="single" w:sz="8" w:space="0" w:color="auto"/>
              <w:right w:val="single" w:sz="8" w:space="0" w:color="auto"/>
            </w:tcBorders>
            <w:shd w:val="clear" w:color="auto" w:fill="auto"/>
            <w:vAlign w:val="center"/>
            <w:hideMark/>
          </w:tcPr>
          <w:p w14:paraId="45713D25" w14:textId="77777777" w:rsidR="00EA487B" w:rsidRPr="000A64F1" w:rsidRDefault="00EA487B" w:rsidP="00EA487B">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MTF</w:t>
            </w:r>
          </w:p>
        </w:tc>
        <w:tc>
          <w:tcPr>
            <w:tcW w:w="659" w:type="dxa"/>
            <w:tcBorders>
              <w:top w:val="nil"/>
              <w:left w:val="nil"/>
              <w:bottom w:val="single" w:sz="8" w:space="0" w:color="auto"/>
              <w:right w:val="single" w:sz="8" w:space="0" w:color="auto"/>
            </w:tcBorders>
            <w:shd w:val="clear" w:color="auto" w:fill="auto"/>
            <w:noWrap/>
            <w:vAlign w:val="center"/>
            <w:hideMark/>
          </w:tcPr>
          <w:p w14:paraId="244399E5" w14:textId="77777777" w:rsidR="00EA487B" w:rsidRPr="000A64F1" w:rsidRDefault="00EA487B" w:rsidP="00EA487B">
            <w:pPr>
              <w:jc w:val="center"/>
              <w:rPr>
                <w:rFonts w:cs="Calibri"/>
                <w:color w:val="000000"/>
                <w:sz w:val="18"/>
                <w:szCs w:val="18"/>
              </w:rPr>
            </w:pPr>
            <w:r w:rsidRPr="000A64F1">
              <w:rPr>
                <w:rFonts w:cs="Calibri"/>
                <w:color w:val="000000"/>
                <w:sz w:val="18"/>
                <w:szCs w:val="18"/>
              </w:rPr>
              <w:t>5 827</w:t>
            </w:r>
          </w:p>
        </w:tc>
        <w:tc>
          <w:tcPr>
            <w:tcW w:w="709" w:type="dxa"/>
            <w:tcBorders>
              <w:top w:val="nil"/>
              <w:left w:val="nil"/>
              <w:bottom w:val="single" w:sz="8" w:space="0" w:color="auto"/>
              <w:right w:val="single" w:sz="8" w:space="0" w:color="auto"/>
            </w:tcBorders>
            <w:shd w:val="clear" w:color="auto" w:fill="auto"/>
            <w:noWrap/>
            <w:vAlign w:val="center"/>
            <w:hideMark/>
          </w:tcPr>
          <w:p w14:paraId="5073BDC8" w14:textId="77777777" w:rsidR="00EA487B" w:rsidRPr="000A64F1" w:rsidRDefault="00EA487B" w:rsidP="00EA487B">
            <w:pPr>
              <w:jc w:val="center"/>
              <w:rPr>
                <w:rFonts w:cs="Calibri"/>
                <w:color w:val="000000"/>
                <w:sz w:val="18"/>
                <w:szCs w:val="18"/>
              </w:rPr>
            </w:pPr>
            <w:r w:rsidRPr="000A64F1">
              <w:rPr>
                <w:rFonts w:cs="Calibri"/>
                <w:color w:val="000000"/>
                <w:sz w:val="18"/>
                <w:szCs w:val="18"/>
              </w:rPr>
              <w:t>10 650</w:t>
            </w:r>
          </w:p>
        </w:tc>
        <w:tc>
          <w:tcPr>
            <w:tcW w:w="709" w:type="dxa"/>
            <w:tcBorders>
              <w:top w:val="nil"/>
              <w:left w:val="nil"/>
              <w:bottom w:val="single" w:sz="8" w:space="0" w:color="auto"/>
              <w:right w:val="single" w:sz="8" w:space="0" w:color="auto"/>
            </w:tcBorders>
            <w:shd w:val="clear" w:color="auto" w:fill="auto"/>
            <w:noWrap/>
            <w:vAlign w:val="center"/>
            <w:hideMark/>
          </w:tcPr>
          <w:p w14:paraId="03448876" w14:textId="77777777" w:rsidR="00EA487B" w:rsidRPr="000A64F1" w:rsidRDefault="00EA487B" w:rsidP="00EA487B">
            <w:pPr>
              <w:jc w:val="center"/>
              <w:rPr>
                <w:rFonts w:cs="Calibri"/>
                <w:color w:val="000000"/>
                <w:sz w:val="18"/>
                <w:szCs w:val="18"/>
              </w:rPr>
            </w:pPr>
            <w:r w:rsidRPr="000A64F1">
              <w:rPr>
                <w:rFonts w:cs="Calibri"/>
                <w:color w:val="000000"/>
                <w:sz w:val="18"/>
                <w:szCs w:val="18"/>
              </w:rPr>
              <w:t>10 999</w:t>
            </w:r>
          </w:p>
        </w:tc>
        <w:tc>
          <w:tcPr>
            <w:tcW w:w="709" w:type="dxa"/>
            <w:tcBorders>
              <w:top w:val="nil"/>
              <w:left w:val="nil"/>
              <w:bottom w:val="single" w:sz="8" w:space="0" w:color="auto"/>
              <w:right w:val="single" w:sz="8" w:space="0" w:color="auto"/>
            </w:tcBorders>
            <w:shd w:val="clear" w:color="auto" w:fill="auto"/>
            <w:noWrap/>
            <w:vAlign w:val="center"/>
            <w:hideMark/>
          </w:tcPr>
          <w:p w14:paraId="7733D26F" w14:textId="77777777" w:rsidR="00EA487B" w:rsidRPr="000A64F1" w:rsidRDefault="00EA487B" w:rsidP="00EA487B">
            <w:pPr>
              <w:jc w:val="center"/>
              <w:rPr>
                <w:rFonts w:cs="Calibri"/>
                <w:color w:val="000000"/>
                <w:sz w:val="18"/>
                <w:szCs w:val="18"/>
              </w:rPr>
            </w:pPr>
            <w:r w:rsidRPr="000A64F1">
              <w:rPr>
                <w:rFonts w:cs="Calibri"/>
                <w:color w:val="000000"/>
                <w:sz w:val="18"/>
                <w:szCs w:val="18"/>
              </w:rPr>
              <w:t>10 882</w:t>
            </w:r>
          </w:p>
        </w:tc>
        <w:tc>
          <w:tcPr>
            <w:tcW w:w="709" w:type="dxa"/>
            <w:tcBorders>
              <w:top w:val="nil"/>
              <w:left w:val="nil"/>
              <w:bottom w:val="single" w:sz="8" w:space="0" w:color="auto"/>
              <w:right w:val="single" w:sz="8" w:space="0" w:color="auto"/>
            </w:tcBorders>
            <w:shd w:val="clear" w:color="auto" w:fill="auto"/>
            <w:noWrap/>
            <w:vAlign w:val="center"/>
            <w:hideMark/>
          </w:tcPr>
          <w:p w14:paraId="1A1CD5AE" w14:textId="77777777" w:rsidR="00EA487B" w:rsidRPr="000A64F1" w:rsidRDefault="00EA487B" w:rsidP="00EA487B">
            <w:pPr>
              <w:jc w:val="center"/>
              <w:rPr>
                <w:rFonts w:cs="Calibri"/>
                <w:color w:val="000000"/>
                <w:sz w:val="18"/>
                <w:szCs w:val="18"/>
              </w:rPr>
            </w:pPr>
            <w:r w:rsidRPr="000A64F1">
              <w:rPr>
                <w:rFonts w:cs="Calibri"/>
                <w:color w:val="000000"/>
                <w:sz w:val="18"/>
                <w:szCs w:val="18"/>
              </w:rPr>
              <w:t>13 000</w:t>
            </w:r>
          </w:p>
        </w:tc>
        <w:tc>
          <w:tcPr>
            <w:tcW w:w="708" w:type="dxa"/>
            <w:tcBorders>
              <w:top w:val="nil"/>
              <w:left w:val="nil"/>
              <w:bottom w:val="single" w:sz="8" w:space="0" w:color="auto"/>
              <w:right w:val="single" w:sz="8" w:space="0" w:color="auto"/>
            </w:tcBorders>
            <w:shd w:val="clear" w:color="auto" w:fill="auto"/>
            <w:noWrap/>
            <w:vAlign w:val="center"/>
            <w:hideMark/>
          </w:tcPr>
          <w:p w14:paraId="5F3E273C" w14:textId="77777777" w:rsidR="00EA487B" w:rsidRPr="000A64F1" w:rsidRDefault="00EA487B" w:rsidP="00EA487B">
            <w:pPr>
              <w:jc w:val="center"/>
              <w:rPr>
                <w:rFonts w:cs="Calibri"/>
                <w:color w:val="000000"/>
                <w:sz w:val="18"/>
                <w:szCs w:val="18"/>
              </w:rPr>
            </w:pPr>
            <w:r w:rsidRPr="000A64F1">
              <w:rPr>
                <w:rFonts w:cs="Calibri"/>
                <w:color w:val="000000"/>
                <w:sz w:val="18"/>
                <w:szCs w:val="18"/>
              </w:rPr>
              <w:t>18 000</w:t>
            </w:r>
          </w:p>
        </w:tc>
        <w:tc>
          <w:tcPr>
            <w:tcW w:w="709" w:type="dxa"/>
            <w:tcBorders>
              <w:top w:val="nil"/>
              <w:left w:val="nil"/>
              <w:bottom w:val="single" w:sz="8" w:space="0" w:color="auto"/>
              <w:right w:val="single" w:sz="8" w:space="0" w:color="auto"/>
            </w:tcBorders>
            <w:shd w:val="clear" w:color="auto" w:fill="auto"/>
            <w:noWrap/>
            <w:vAlign w:val="center"/>
            <w:hideMark/>
          </w:tcPr>
          <w:p w14:paraId="6E741D62" w14:textId="77777777" w:rsidR="00EA487B" w:rsidRPr="000A64F1" w:rsidRDefault="00EA487B" w:rsidP="00EA487B">
            <w:pPr>
              <w:jc w:val="center"/>
              <w:rPr>
                <w:rFonts w:cs="Calibri"/>
                <w:color w:val="000000"/>
                <w:sz w:val="18"/>
                <w:szCs w:val="18"/>
              </w:rPr>
            </w:pPr>
            <w:r w:rsidRPr="000A64F1">
              <w:rPr>
                <w:rFonts w:cs="Calibri"/>
                <w:color w:val="000000"/>
                <w:sz w:val="18"/>
                <w:szCs w:val="18"/>
              </w:rPr>
              <w:t>15 000</w:t>
            </w:r>
          </w:p>
        </w:tc>
        <w:tc>
          <w:tcPr>
            <w:tcW w:w="709" w:type="dxa"/>
            <w:tcBorders>
              <w:top w:val="nil"/>
              <w:left w:val="nil"/>
              <w:bottom w:val="single" w:sz="8" w:space="0" w:color="auto"/>
              <w:right w:val="single" w:sz="8" w:space="0" w:color="auto"/>
            </w:tcBorders>
            <w:shd w:val="clear" w:color="auto" w:fill="auto"/>
            <w:noWrap/>
            <w:vAlign w:val="center"/>
            <w:hideMark/>
          </w:tcPr>
          <w:p w14:paraId="77982AB7" w14:textId="77777777" w:rsidR="00EA487B" w:rsidRPr="000A64F1" w:rsidRDefault="00EA487B" w:rsidP="00EA487B">
            <w:pPr>
              <w:jc w:val="center"/>
              <w:rPr>
                <w:rFonts w:cs="Calibri"/>
                <w:color w:val="000000"/>
                <w:sz w:val="18"/>
                <w:szCs w:val="18"/>
              </w:rPr>
            </w:pPr>
            <w:r w:rsidRPr="000A64F1">
              <w:rPr>
                <w:rFonts w:cs="Calibri"/>
                <w:color w:val="000000"/>
                <w:sz w:val="18"/>
                <w:szCs w:val="18"/>
              </w:rPr>
              <w:t>15 000</w:t>
            </w:r>
          </w:p>
        </w:tc>
        <w:tc>
          <w:tcPr>
            <w:tcW w:w="709" w:type="dxa"/>
            <w:tcBorders>
              <w:top w:val="nil"/>
              <w:left w:val="nil"/>
              <w:bottom w:val="single" w:sz="8" w:space="0" w:color="auto"/>
              <w:right w:val="single" w:sz="8" w:space="0" w:color="auto"/>
            </w:tcBorders>
            <w:shd w:val="clear" w:color="auto" w:fill="auto"/>
            <w:noWrap/>
            <w:vAlign w:val="center"/>
            <w:hideMark/>
          </w:tcPr>
          <w:p w14:paraId="23ABA0E6" w14:textId="77777777" w:rsidR="00EA487B" w:rsidRPr="000A64F1" w:rsidRDefault="00EA487B" w:rsidP="00EA487B">
            <w:pPr>
              <w:jc w:val="center"/>
              <w:rPr>
                <w:rFonts w:cs="Calibri"/>
                <w:color w:val="000000"/>
                <w:sz w:val="18"/>
                <w:szCs w:val="18"/>
              </w:rPr>
            </w:pPr>
            <w:r w:rsidRPr="000A64F1">
              <w:rPr>
                <w:rFonts w:cs="Calibri"/>
                <w:color w:val="000000"/>
                <w:sz w:val="18"/>
                <w:szCs w:val="18"/>
              </w:rPr>
              <w:t>13 000</w:t>
            </w:r>
          </w:p>
        </w:tc>
        <w:tc>
          <w:tcPr>
            <w:tcW w:w="708" w:type="dxa"/>
            <w:tcBorders>
              <w:top w:val="nil"/>
              <w:left w:val="nil"/>
              <w:bottom w:val="single" w:sz="8" w:space="0" w:color="auto"/>
              <w:right w:val="single" w:sz="8" w:space="0" w:color="auto"/>
            </w:tcBorders>
            <w:shd w:val="clear" w:color="auto" w:fill="auto"/>
            <w:noWrap/>
            <w:vAlign w:val="center"/>
            <w:hideMark/>
          </w:tcPr>
          <w:p w14:paraId="0A48591F" w14:textId="77777777" w:rsidR="00EA487B" w:rsidRPr="000A64F1" w:rsidRDefault="00EA487B" w:rsidP="00EA487B">
            <w:pPr>
              <w:jc w:val="center"/>
              <w:rPr>
                <w:rFonts w:cs="Calibri"/>
                <w:color w:val="000000"/>
                <w:sz w:val="18"/>
                <w:szCs w:val="18"/>
              </w:rPr>
            </w:pPr>
            <w:r w:rsidRPr="000A64F1">
              <w:rPr>
                <w:rFonts w:cs="Calibri"/>
                <w:color w:val="000000"/>
                <w:sz w:val="18"/>
                <w:szCs w:val="18"/>
              </w:rPr>
              <w:t>10 000</w:t>
            </w:r>
          </w:p>
        </w:tc>
        <w:tc>
          <w:tcPr>
            <w:tcW w:w="709" w:type="dxa"/>
            <w:tcBorders>
              <w:top w:val="nil"/>
              <w:left w:val="nil"/>
              <w:bottom w:val="single" w:sz="8" w:space="0" w:color="auto"/>
              <w:right w:val="single" w:sz="8" w:space="0" w:color="auto"/>
            </w:tcBorders>
            <w:shd w:val="clear" w:color="auto" w:fill="auto"/>
            <w:noWrap/>
            <w:vAlign w:val="center"/>
            <w:hideMark/>
          </w:tcPr>
          <w:p w14:paraId="148FAB45" w14:textId="77777777" w:rsidR="00EA487B" w:rsidRPr="000A64F1" w:rsidRDefault="00EA487B" w:rsidP="00EA487B">
            <w:pPr>
              <w:jc w:val="center"/>
              <w:rPr>
                <w:rFonts w:cs="Calibri"/>
                <w:color w:val="000000"/>
                <w:sz w:val="18"/>
                <w:szCs w:val="18"/>
              </w:rPr>
            </w:pPr>
            <w:r w:rsidRPr="000A64F1">
              <w:rPr>
                <w:rFonts w:cs="Calibri"/>
                <w:color w:val="000000"/>
                <w:sz w:val="18"/>
                <w:szCs w:val="18"/>
              </w:rPr>
              <w:t>6 000</w:t>
            </w:r>
          </w:p>
        </w:tc>
        <w:tc>
          <w:tcPr>
            <w:tcW w:w="679" w:type="dxa"/>
            <w:tcBorders>
              <w:top w:val="nil"/>
              <w:left w:val="nil"/>
              <w:bottom w:val="single" w:sz="8" w:space="0" w:color="auto"/>
              <w:right w:val="single" w:sz="8" w:space="0" w:color="auto"/>
            </w:tcBorders>
            <w:shd w:val="clear" w:color="auto" w:fill="auto"/>
            <w:noWrap/>
            <w:vAlign w:val="center"/>
            <w:hideMark/>
          </w:tcPr>
          <w:p w14:paraId="66AA2199" w14:textId="77777777" w:rsidR="00EA487B" w:rsidRPr="000A64F1" w:rsidRDefault="00EA487B" w:rsidP="00EA487B">
            <w:pPr>
              <w:jc w:val="center"/>
              <w:rPr>
                <w:rFonts w:cs="Calibri"/>
                <w:color w:val="000000"/>
                <w:sz w:val="18"/>
                <w:szCs w:val="18"/>
              </w:rPr>
            </w:pPr>
            <w:r w:rsidRPr="000A64F1">
              <w:rPr>
                <w:rFonts w:cs="Calibri"/>
                <w:color w:val="000000"/>
                <w:sz w:val="18"/>
                <w:szCs w:val="18"/>
              </w:rPr>
              <w:t>9 000</w:t>
            </w:r>
          </w:p>
        </w:tc>
      </w:tr>
      <w:tr w:rsidR="00EA487B" w:rsidRPr="000A64F1" w14:paraId="3E79ACEE" w14:textId="77777777" w:rsidTr="00EA487B">
        <w:trPr>
          <w:trHeight w:val="300"/>
        </w:trPr>
        <w:tc>
          <w:tcPr>
            <w:tcW w:w="617" w:type="dxa"/>
            <w:tcBorders>
              <w:top w:val="nil"/>
              <w:left w:val="single" w:sz="8" w:space="0" w:color="auto"/>
              <w:bottom w:val="single" w:sz="8" w:space="0" w:color="auto"/>
              <w:right w:val="single" w:sz="8" w:space="0" w:color="auto"/>
            </w:tcBorders>
            <w:shd w:val="clear" w:color="auto" w:fill="auto"/>
            <w:vAlign w:val="center"/>
            <w:hideMark/>
          </w:tcPr>
          <w:p w14:paraId="1EA7F19A" w14:textId="77777777" w:rsidR="00EA487B" w:rsidRPr="000A64F1" w:rsidRDefault="00EA487B" w:rsidP="00EA487B">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FIIT</w:t>
            </w:r>
          </w:p>
        </w:tc>
        <w:tc>
          <w:tcPr>
            <w:tcW w:w="659" w:type="dxa"/>
            <w:tcBorders>
              <w:top w:val="nil"/>
              <w:left w:val="nil"/>
              <w:bottom w:val="single" w:sz="8" w:space="0" w:color="auto"/>
              <w:right w:val="single" w:sz="8" w:space="0" w:color="auto"/>
            </w:tcBorders>
            <w:shd w:val="clear" w:color="auto" w:fill="auto"/>
            <w:noWrap/>
            <w:vAlign w:val="center"/>
            <w:hideMark/>
          </w:tcPr>
          <w:p w14:paraId="2BEC6DD3" w14:textId="77777777" w:rsidR="00EA487B" w:rsidRPr="000A64F1" w:rsidRDefault="00EA487B" w:rsidP="00EA487B">
            <w:pPr>
              <w:jc w:val="center"/>
              <w:rPr>
                <w:rFonts w:cs="Calibri"/>
                <w:color w:val="000000"/>
                <w:sz w:val="18"/>
                <w:szCs w:val="18"/>
              </w:rPr>
            </w:pPr>
            <w:r w:rsidRPr="000A64F1">
              <w:rPr>
                <w:rFonts w:cs="Calibri"/>
                <w:color w:val="000000"/>
                <w:sz w:val="18"/>
                <w:szCs w:val="18"/>
              </w:rPr>
              <w:t>5 896</w:t>
            </w:r>
          </w:p>
        </w:tc>
        <w:tc>
          <w:tcPr>
            <w:tcW w:w="709" w:type="dxa"/>
            <w:tcBorders>
              <w:top w:val="nil"/>
              <w:left w:val="nil"/>
              <w:bottom w:val="single" w:sz="8" w:space="0" w:color="auto"/>
              <w:right w:val="single" w:sz="8" w:space="0" w:color="auto"/>
            </w:tcBorders>
            <w:shd w:val="clear" w:color="auto" w:fill="auto"/>
            <w:noWrap/>
            <w:vAlign w:val="center"/>
            <w:hideMark/>
          </w:tcPr>
          <w:p w14:paraId="283DF911" w14:textId="77777777" w:rsidR="00EA487B" w:rsidRPr="000A64F1" w:rsidRDefault="00EA487B" w:rsidP="00EA487B">
            <w:pPr>
              <w:jc w:val="center"/>
              <w:rPr>
                <w:rFonts w:cs="Calibri"/>
                <w:color w:val="000000"/>
                <w:sz w:val="18"/>
                <w:szCs w:val="18"/>
              </w:rPr>
            </w:pPr>
            <w:r w:rsidRPr="000A64F1">
              <w:rPr>
                <w:rFonts w:cs="Calibri"/>
                <w:color w:val="000000"/>
                <w:sz w:val="18"/>
                <w:szCs w:val="18"/>
              </w:rPr>
              <w:t>3 859</w:t>
            </w:r>
          </w:p>
        </w:tc>
        <w:tc>
          <w:tcPr>
            <w:tcW w:w="709" w:type="dxa"/>
            <w:tcBorders>
              <w:top w:val="nil"/>
              <w:left w:val="nil"/>
              <w:bottom w:val="single" w:sz="8" w:space="0" w:color="auto"/>
              <w:right w:val="single" w:sz="8" w:space="0" w:color="auto"/>
            </w:tcBorders>
            <w:shd w:val="clear" w:color="auto" w:fill="auto"/>
            <w:noWrap/>
            <w:vAlign w:val="center"/>
            <w:hideMark/>
          </w:tcPr>
          <w:p w14:paraId="6C88CA9A" w14:textId="77777777" w:rsidR="00EA487B" w:rsidRPr="000A64F1" w:rsidRDefault="00EA487B" w:rsidP="00EA487B">
            <w:pPr>
              <w:jc w:val="center"/>
              <w:rPr>
                <w:rFonts w:cs="Calibri"/>
                <w:color w:val="000000"/>
                <w:sz w:val="18"/>
                <w:szCs w:val="18"/>
              </w:rPr>
            </w:pPr>
            <w:r w:rsidRPr="000A64F1">
              <w:rPr>
                <w:rFonts w:cs="Calibri"/>
                <w:color w:val="000000"/>
                <w:sz w:val="18"/>
                <w:szCs w:val="18"/>
              </w:rPr>
              <w:t>8 000</w:t>
            </w:r>
          </w:p>
        </w:tc>
        <w:tc>
          <w:tcPr>
            <w:tcW w:w="709" w:type="dxa"/>
            <w:tcBorders>
              <w:top w:val="nil"/>
              <w:left w:val="nil"/>
              <w:bottom w:val="single" w:sz="8" w:space="0" w:color="auto"/>
              <w:right w:val="single" w:sz="8" w:space="0" w:color="auto"/>
            </w:tcBorders>
            <w:shd w:val="clear" w:color="auto" w:fill="auto"/>
            <w:noWrap/>
            <w:vAlign w:val="center"/>
            <w:hideMark/>
          </w:tcPr>
          <w:p w14:paraId="56D17672" w14:textId="77777777" w:rsidR="00EA487B" w:rsidRPr="000A64F1" w:rsidRDefault="00EA487B" w:rsidP="00EA487B">
            <w:pPr>
              <w:jc w:val="center"/>
              <w:rPr>
                <w:rFonts w:cs="Calibri"/>
                <w:color w:val="000000"/>
                <w:sz w:val="18"/>
                <w:szCs w:val="18"/>
              </w:rPr>
            </w:pPr>
            <w:r w:rsidRPr="000A64F1">
              <w:rPr>
                <w:rFonts w:cs="Calibri"/>
                <w:color w:val="000000"/>
                <w:sz w:val="18"/>
                <w:szCs w:val="18"/>
              </w:rPr>
              <w:t>7 990</w:t>
            </w:r>
          </w:p>
        </w:tc>
        <w:tc>
          <w:tcPr>
            <w:tcW w:w="709" w:type="dxa"/>
            <w:tcBorders>
              <w:top w:val="nil"/>
              <w:left w:val="nil"/>
              <w:bottom w:val="single" w:sz="8" w:space="0" w:color="auto"/>
              <w:right w:val="single" w:sz="8" w:space="0" w:color="auto"/>
            </w:tcBorders>
            <w:shd w:val="clear" w:color="auto" w:fill="auto"/>
            <w:noWrap/>
            <w:vAlign w:val="center"/>
            <w:hideMark/>
          </w:tcPr>
          <w:p w14:paraId="3CB9E109" w14:textId="77777777" w:rsidR="00EA487B" w:rsidRPr="000A64F1" w:rsidRDefault="00EA487B" w:rsidP="00EA487B">
            <w:pPr>
              <w:jc w:val="center"/>
              <w:rPr>
                <w:rFonts w:cs="Calibri"/>
                <w:color w:val="000000"/>
                <w:sz w:val="18"/>
                <w:szCs w:val="18"/>
              </w:rPr>
            </w:pPr>
            <w:r w:rsidRPr="000A64F1">
              <w:rPr>
                <w:rFonts w:cs="Calibri"/>
                <w:color w:val="000000"/>
                <w:sz w:val="18"/>
                <w:szCs w:val="18"/>
              </w:rPr>
              <w:t>9 679</w:t>
            </w:r>
          </w:p>
        </w:tc>
        <w:tc>
          <w:tcPr>
            <w:tcW w:w="708" w:type="dxa"/>
            <w:tcBorders>
              <w:top w:val="nil"/>
              <w:left w:val="nil"/>
              <w:bottom w:val="single" w:sz="8" w:space="0" w:color="auto"/>
              <w:right w:val="single" w:sz="8" w:space="0" w:color="auto"/>
            </w:tcBorders>
            <w:shd w:val="clear" w:color="auto" w:fill="auto"/>
            <w:noWrap/>
            <w:vAlign w:val="center"/>
            <w:hideMark/>
          </w:tcPr>
          <w:p w14:paraId="41FAE625" w14:textId="77777777" w:rsidR="00EA487B" w:rsidRPr="000A64F1" w:rsidRDefault="00EA487B" w:rsidP="00EA487B">
            <w:pPr>
              <w:jc w:val="center"/>
              <w:rPr>
                <w:rFonts w:cs="Calibri"/>
                <w:color w:val="000000"/>
                <w:sz w:val="18"/>
                <w:szCs w:val="18"/>
              </w:rPr>
            </w:pPr>
            <w:r w:rsidRPr="000A64F1">
              <w:rPr>
                <w:rFonts w:cs="Calibri"/>
                <w:color w:val="000000"/>
                <w:sz w:val="18"/>
                <w:szCs w:val="18"/>
              </w:rPr>
              <w:t>13 000</w:t>
            </w:r>
          </w:p>
        </w:tc>
        <w:tc>
          <w:tcPr>
            <w:tcW w:w="709" w:type="dxa"/>
            <w:tcBorders>
              <w:top w:val="nil"/>
              <w:left w:val="nil"/>
              <w:bottom w:val="single" w:sz="8" w:space="0" w:color="auto"/>
              <w:right w:val="single" w:sz="8" w:space="0" w:color="auto"/>
            </w:tcBorders>
            <w:shd w:val="clear" w:color="auto" w:fill="auto"/>
            <w:noWrap/>
            <w:vAlign w:val="center"/>
            <w:hideMark/>
          </w:tcPr>
          <w:p w14:paraId="515BE50B" w14:textId="77777777" w:rsidR="00EA487B" w:rsidRPr="000A64F1" w:rsidRDefault="00EA487B" w:rsidP="00EA487B">
            <w:pPr>
              <w:jc w:val="center"/>
              <w:rPr>
                <w:rFonts w:cs="Calibri"/>
                <w:color w:val="000000"/>
                <w:sz w:val="18"/>
                <w:szCs w:val="18"/>
              </w:rPr>
            </w:pPr>
            <w:r w:rsidRPr="000A64F1">
              <w:rPr>
                <w:rFonts w:cs="Calibri"/>
                <w:color w:val="000000"/>
                <w:sz w:val="18"/>
                <w:szCs w:val="18"/>
              </w:rPr>
              <w:t>14 000</w:t>
            </w:r>
          </w:p>
        </w:tc>
        <w:tc>
          <w:tcPr>
            <w:tcW w:w="709" w:type="dxa"/>
            <w:tcBorders>
              <w:top w:val="nil"/>
              <w:left w:val="nil"/>
              <w:bottom w:val="single" w:sz="8" w:space="0" w:color="auto"/>
              <w:right w:val="single" w:sz="8" w:space="0" w:color="auto"/>
            </w:tcBorders>
            <w:shd w:val="clear" w:color="auto" w:fill="auto"/>
            <w:noWrap/>
            <w:vAlign w:val="center"/>
            <w:hideMark/>
          </w:tcPr>
          <w:p w14:paraId="4D6EBB66" w14:textId="77777777" w:rsidR="00EA487B" w:rsidRPr="000A64F1" w:rsidRDefault="00EA487B" w:rsidP="00EA487B">
            <w:pPr>
              <w:jc w:val="center"/>
              <w:rPr>
                <w:rFonts w:cs="Calibri"/>
                <w:color w:val="000000"/>
                <w:sz w:val="18"/>
                <w:szCs w:val="18"/>
              </w:rPr>
            </w:pPr>
            <w:r w:rsidRPr="000A64F1">
              <w:rPr>
                <w:rFonts w:cs="Calibri"/>
                <w:color w:val="000000"/>
                <w:sz w:val="18"/>
                <w:szCs w:val="18"/>
              </w:rPr>
              <w:t>14 000</w:t>
            </w:r>
          </w:p>
        </w:tc>
        <w:tc>
          <w:tcPr>
            <w:tcW w:w="709" w:type="dxa"/>
            <w:tcBorders>
              <w:top w:val="nil"/>
              <w:left w:val="nil"/>
              <w:bottom w:val="single" w:sz="8" w:space="0" w:color="auto"/>
              <w:right w:val="single" w:sz="8" w:space="0" w:color="auto"/>
            </w:tcBorders>
            <w:shd w:val="clear" w:color="auto" w:fill="auto"/>
            <w:noWrap/>
            <w:vAlign w:val="center"/>
            <w:hideMark/>
          </w:tcPr>
          <w:p w14:paraId="2C18212E" w14:textId="77777777" w:rsidR="00EA487B" w:rsidRPr="000A64F1" w:rsidRDefault="00EA487B" w:rsidP="00EA487B">
            <w:pPr>
              <w:jc w:val="center"/>
              <w:rPr>
                <w:rFonts w:cs="Calibri"/>
                <w:color w:val="000000"/>
                <w:sz w:val="18"/>
                <w:szCs w:val="18"/>
              </w:rPr>
            </w:pPr>
            <w:r w:rsidRPr="000A64F1">
              <w:rPr>
                <w:rFonts w:cs="Calibri"/>
                <w:color w:val="000000"/>
                <w:sz w:val="18"/>
                <w:szCs w:val="18"/>
              </w:rPr>
              <w:t>14 000</w:t>
            </w:r>
          </w:p>
        </w:tc>
        <w:tc>
          <w:tcPr>
            <w:tcW w:w="708" w:type="dxa"/>
            <w:tcBorders>
              <w:top w:val="nil"/>
              <w:left w:val="nil"/>
              <w:bottom w:val="single" w:sz="8" w:space="0" w:color="auto"/>
              <w:right w:val="single" w:sz="8" w:space="0" w:color="auto"/>
            </w:tcBorders>
            <w:shd w:val="clear" w:color="auto" w:fill="auto"/>
            <w:noWrap/>
            <w:vAlign w:val="center"/>
            <w:hideMark/>
          </w:tcPr>
          <w:p w14:paraId="34BDB57B" w14:textId="77777777" w:rsidR="00EA487B" w:rsidRPr="000A64F1" w:rsidRDefault="00EA487B" w:rsidP="00EA487B">
            <w:pPr>
              <w:jc w:val="center"/>
              <w:rPr>
                <w:rFonts w:cs="Calibri"/>
                <w:color w:val="000000"/>
                <w:sz w:val="18"/>
                <w:szCs w:val="18"/>
              </w:rPr>
            </w:pPr>
            <w:r w:rsidRPr="000A64F1">
              <w:rPr>
                <w:rFonts w:cs="Calibri"/>
                <w:color w:val="000000"/>
                <w:sz w:val="18"/>
                <w:szCs w:val="18"/>
              </w:rPr>
              <w:t>11 790</w:t>
            </w:r>
          </w:p>
        </w:tc>
        <w:tc>
          <w:tcPr>
            <w:tcW w:w="709" w:type="dxa"/>
            <w:tcBorders>
              <w:top w:val="nil"/>
              <w:left w:val="nil"/>
              <w:bottom w:val="single" w:sz="8" w:space="0" w:color="auto"/>
              <w:right w:val="single" w:sz="8" w:space="0" w:color="auto"/>
            </w:tcBorders>
            <w:shd w:val="clear" w:color="auto" w:fill="auto"/>
            <w:noWrap/>
            <w:vAlign w:val="center"/>
            <w:hideMark/>
          </w:tcPr>
          <w:p w14:paraId="6CE80C5E" w14:textId="77777777" w:rsidR="00EA487B" w:rsidRPr="000A64F1" w:rsidRDefault="00EA487B" w:rsidP="00EA487B">
            <w:pPr>
              <w:jc w:val="center"/>
              <w:rPr>
                <w:rFonts w:cs="Calibri"/>
                <w:color w:val="000000"/>
                <w:sz w:val="18"/>
                <w:szCs w:val="18"/>
              </w:rPr>
            </w:pPr>
            <w:r w:rsidRPr="000A64F1">
              <w:rPr>
                <w:rFonts w:cs="Calibri"/>
                <w:color w:val="000000"/>
                <w:sz w:val="18"/>
                <w:szCs w:val="18"/>
              </w:rPr>
              <w:t>2 000</w:t>
            </w:r>
          </w:p>
        </w:tc>
        <w:tc>
          <w:tcPr>
            <w:tcW w:w="679" w:type="dxa"/>
            <w:tcBorders>
              <w:top w:val="nil"/>
              <w:left w:val="nil"/>
              <w:bottom w:val="single" w:sz="8" w:space="0" w:color="auto"/>
              <w:right w:val="single" w:sz="8" w:space="0" w:color="auto"/>
            </w:tcBorders>
            <w:shd w:val="clear" w:color="auto" w:fill="auto"/>
            <w:noWrap/>
            <w:vAlign w:val="center"/>
            <w:hideMark/>
          </w:tcPr>
          <w:p w14:paraId="1D2F6671" w14:textId="77777777" w:rsidR="00EA487B" w:rsidRPr="000A64F1" w:rsidRDefault="00EA487B" w:rsidP="00EA487B">
            <w:pPr>
              <w:jc w:val="center"/>
              <w:rPr>
                <w:rFonts w:cs="Calibri"/>
                <w:color w:val="000000"/>
                <w:sz w:val="18"/>
                <w:szCs w:val="18"/>
              </w:rPr>
            </w:pPr>
            <w:r w:rsidRPr="000A64F1">
              <w:rPr>
                <w:rFonts w:cs="Calibri"/>
                <w:color w:val="000000"/>
                <w:sz w:val="18"/>
                <w:szCs w:val="18"/>
              </w:rPr>
              <w:t>5 000</w:t>
            </w:r>
          </w:p>
        </w:tc>
      </w:tr>
      <w:tr w:rsidR="00EA487B" w:rsidRPr="000A64F1" w14:paraId="18274ECA" w14:textId="77777777" w:rsidTr="00EA487B">
        <w:trPr>
          <w:trHeight w:val="300"/>
        </w:trPr>
        <w:tc>
          <w:tcPr>
            <w:tcW w:w="617" w:type="dxa"/>
            <w:tcBorders>
              <w:top w:val="nil"/>
              <w:left w:val="single" w:sz="8" w:space="0" w:color="auto"/>
              <w:bottom w:val="single" w:sz="8" w:space="0" w:color="auto"/>
              <w:right w:val="single" w:sz="8" w:space="0" w:color="auto"/>
            </w:tcBorders>
            <w:shd w:val="clear" w:color="auto" w:fill="auto"/>
            <w:vAlign w:val="center"/>
            <w:hideMark/>
          </w:tcPr>
          <w:p w14:paraId="5CEC02EC" w14:textId="77777777" w:rsidR="00EA487B" w:rsidRPr="000A64F1" w:rsidRDefault="00EA487B" w:rsidP="00EA487B">
            <w:pPr>
              <w:rPr>
                <w:rFonts w:eastAsia="Times New Roman" w:cs="Calibri"/>
                <w:b/>
                <w:bCs/>
                <w:color w:val="000000"/>
                <w:sz w:val="18"/>
                <w:szCs w:val="18"/>
                <w:lang w:eastAsia="sk-SK"/>
              </w:rPr>
            </w:pPr>
            <w:r w:rsidRPr="000A64F1">
              <w:rPr>
                <w:rFonts w:eastAsia="Times New Roman" w:cs="Calibri"/>
                <w:b/>
                <w:bCs/>
                <w:color w:val="000000"/>
                <w:sz w:val="18"/>
                <w:szCs w:val="18"/>
                <w:lang w:eastAsia="sk-SK"/>
              </w:rPr>
              <w:t>ÚM</w:t>
            </w:r>
          </w:p>
        </w:tc>
        <w:tc>
          <w:tcPr>
            <w:tcW w:w="659" w:type="dxa"/>
            <w:tcBorders>
              <w:top w:val="nil"/>
              <w:left w:val="nil"/>
              <w:bottom w:val="single" w:sz="8" w:space="0" w:color="auto"/>
              <w:right w:val="single" w:sz="8" w:space="0" w:color="auto"/>
            </w:tcBorders>
            <w:shd w:val="clear" w:color="auto" w:fill="auto"/>
            <w:noWrap/>
            <w:vAlign w:val="center"/>
            <w:hideMark/>
          </w:tcPr>
          <w:p w14:paraId="6538F71E" w14:textId="77777777" w:rsidR="00EA487B" w:rsidRPr="000A64F1" w:rsidRDefault="00EA487B" w:rsidP="00EA487B">
            <w:pPr>
              <w:jc w:val="center"/>
              <w:rPr>
                <w:rFonts w:cs="Calibri"/>
                <w:color w:val="000000"/>
                <w:sz w:val="18"/>
                <w:szCs w:val="18"/>
              </w:rPr>
            </w:pPr>
            <w:r w:rsidRPr="000A64F1">
              <w:rPr>
                <w:rFonts w:cs="Calibri"/>
                <w:color w:val="000000"/>
                <w:sz w:val="18"/>
                <w:szCs w:val="18"/>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556D1C81" w14:textId="77777777" w:rsidR="00EA487B" w:rsidRPr="000A64F1" w:rsidRDefault="00EA487B" w:rsidP="00EA487B">
            <w:pPr>
              <w:jc w:val="center"/>
              <w:rPr>
                <w:rFonts w:cs="Calibri"/>
                <w:color w:val="000000"/>
                <w:sz w:val="18"/>
                <w:szCs w:val="18"/>
              </w:rPr>
            </w:pPr>
            <w:r w:rsidRPr="000A64F1">
              <w:rPr>
                <w:rFonts w:cs="Calibri"/>
                <w:color w:val="000000"/>
                <w:sz w:val="18"/>
                <w:szCs w:val="18"/>
              </w:rPr>
              <w:t>2 264</w:t>
            </w:r>
          </w:p>
        </w:tc>
        <w:tc>
          <w:tcPr>
            <w:tcW w:w="709" w:type="dxa"/>
            <w:tcBorders>
              <w:top w:val="nil"/>
              <w:left w:val="nil"/>
              <w:bottom w:val="single" w:sz="8" w:space="0" w:color="auto"/>
              <w:right w:val="single" w:sz="8" w:space="0" w:color="auto"/>
            </w:tcBorders>
            <w:shd w:val="clear" w:color="auto" w:fill="auto"/>
            <w:noWrap/>
            <w:vAlign w:val="center"/>
            <w:hideMark/>
          </w:tcPr>
          <w:p w14:paraId="55EB5C33" w14:textId="77777777" w:rsidR="00EA487B" w:rsidRPr="000A64F1" w:rsidRDefault="00EA487B" w:rsidP="00EA487B">
            <w:pPr>
              <w:jc w:val="center"/>
              <w:rPr>
                <w:rFonts w:cs="Calibri"/>
                <w:color w:val="000000"/>
                <w:sz w:val="18"/>
                <w:szCs w:val="18"/>
              </w:rPr>
            </w:pPr>
            <w:r w:rsidRPr="000A64F1">
              <w:rPr>
                <w:rFonts w:cs="Calibri"/>
                <w:color w:val="000000"/>
                <w:sz w:val="18"/>
                <w:szCs w:val="18"/>
              </w:rPr>
              <w:t>3 000</w:t>
            </w:r>
          </w:p>
        </w:tc>
        <w:tc>
          <w:tcPr>
            <w:tcW w:w="709" w:type="dxa"/>
            <w:tcBorders>
              <w:top w:val="nil"/>
              <w:left w:val="nil"/>
              <w:bottom w:val="single" w:sz="8" w:space="0" w:color="auto"/>
              <w:right w:val="single" w:sz="8" w:space="0" w:color="auto"/>
            </w:tcBorders>
            <w:shd w:val="clear" w:color="auto" w:fill="auto"/>
            <w:noWrap/>
            <w:vAlign w:val="center"/>
            <w:hideMark/>
          </w:tcPr>
          <w:p w14:paraId="413CFA7A" w14:textId="77777777" w:rsidR="00EA487B" w:rsidRPr="000A64F1" w:rsidRDefault="00EA487B" w:rsidP="00EA487B">
            <w:pPr>
              <w:jc w:val="center"/>
              <w:rPr>
                <w:rFonts w:cs="Calibri"/>
                <w:color w:val="000000"/>
                <w:sz w:val="18"/>
                <w:szCs w:val="18"/>
              </w:rPr>
            </w:pPr>
            <w:r w:rsidRPr="000A64F1">
              <w:rPr>
                <w:rFonts w:cs="Calibri"/>
                <w:color w:val="000000"/>
                <w:sz w:val="18"/>
                <w:szCs w:val="18"/>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5B61EE04" w14:textId="77777777" w:rsidR="00EA487B" w:rsidRPr="000A64F1" w:rsidRDefault="00EA487B" w:rsidP="00EA487B">
            <w:pPr>
              <w:jc w:val="center"/>
              <w:rPr>
                <w:rFonts w:cs="Calibri"/>
                <w:color w:val="000000"/>
                <w:sz w:val="18"/>
                <w:szCs w:val="18"/>
              </w:rPr>
            </w:pPr>
            <w:r w:rsidRPr="000A64F1">
              <w:rPr>
                <w:rFonts w:cs="Calibri"/>
                <w:color w:val="000000"/>
                <w:sz w:val="18"/>
                <w:szCs w:val="18"/>
              </w:rPr>
              <w:t>2 000</w:t>
            </w:r>
          </w:p>
        </w:tc>
        <w:tc>
          <w:tcPr>
            <w:tcW w:w="708" w:type="dxa"/>
            <w:tcBorders>
              <w:top w:val="nil"/>
              <w:left w:val="nil"/>
              <w:bottom w:val="single" w:sz="8" w:space="0" w:color="auto"/>
              <w:right w:val="single" w:sz="8" w:space="0" w:color="auto"/>
            </w:tcBorders>
            <w:shd w:val="clear" w:color="auto" w:fill="auto"/>
            <w:noWrap/>
            <w:vAlign w:val="center"/>
            <w:hideMark/>
          </w:tcPr>
          <w:p w14:paraId="56F4E52C" w14:textId="77777777" w:rsidR="00EA487B" w:rsidRPr="000A64F1" w:rsidRDefault="00EA487B" w:rsidP="00EA487B">
            <w:pPr>
              <w:jc w:val="center"/>
              <w:rPr>
                <w:rFonts w:cs="Calibri"/>
                <w:color w:val="000000"/>
                <w:sz w:val="18"/>
                <w:szCs w:val="18"/>
              </w:rPr>
            </w:pPr>
            <w:r w:rsidRPr="000A64F1">
              <w:rPr>
                <w:rFonts w:cs="Calibri"/>
                <w:color w:val="000000"/>
                <w:sz w:val="18"/>
                <w:szCs w:val="18"/>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0C089B09" w14:textId="77777777" w:rsidR="00EA487B" w:rsidRPr="000A64F1" w:rsidRDefault="00EA487B" w:rsidP="00EA487B">
            <w:pPr>
              <w:jc w:val="center"/>
              <w:rPr>
                <w:rFonts w:cs="Calibri"/>
                <w:color w:val="000000"/>
                <w:sz w:val="18"/>
                <w:szCs w:val="18"/>
              </w:rPr>
            </w:pPr>
            <w:r w:rsidRPr="000A64F1">
              <w:rPr>
                <w:rFonts w:cs="Calibri"/>
                <w:color w:val="000000"/>
                <w:sz w:val="18"/>
                <w:szCs w:val="18"/>
              </w:rPr>
              <w:t>3 000</w:t>
            </w:r>
          </w:p>
        </w:tc>
        <w:tc>
          <w:tcPr>
            <w:tcW w:w="709" w:type="dxa"/>
            <w:tcBorders>
              <w:top w:val="nil"/>
              <w:left w:val="nil"/>
              <w:bottom w:val="single" w:sz="8" w:space="0" w:color="auto"/>
              <w:right w:val="single" w:sz="8" w:space="0" w:color="auto"/>
            </w:tcBorders>
            <w:shd w:val="clear" w:color="auto" w:fill="auto"/>
            <w:noWrap/>
            <w:vAlign w:val="center"/>
            <w:hideMark/>
          </w:tcPr>
          <w:p w14:paraId="413057C6" w14:textId="77777777" w:rsidR="00EA487B" w:rsidRPr="000A64F1" w:rsidRDefault="00EA487B" w:rsidP="00EA487B">
            <w:pPr>
              <w:jc w:val="center"/>
              <w:rPr>
                <w:rFonts w:cs="Calibri"/>
                <w:color w:val="000000"/>
                <w:sz w:val="18"/>
                <w:szCs w:val="18"/>
              </w:rPr>
            </w:pPr>
            <w:r w:rsidRPr="000A64F1">
              <w:rPr>
                <w:rFonts w:cs="Calibri"/>
                <w:color w:val="000000"/>
                <w:sz w:val="18"/>
                <w:szCs w:val="18"/>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76A426E9" w14:textId="77777777" w:rsidR="00EA487B" w:rsidRPr="000A64F1" w:rsidRDefault="00EA487B" w:rsidP="00EA487B">
            <w:pPr>
              <w:jc w:val="center"/>
              <w:rPr>
                <w:rFonts w:cs="Calibri"/>
                <w:color w:val="000000"/>
                <w:sz w:val="18"/>
                <w:szCs w:val="18"/>
              </w:rPr>
            </w:pPr>
            <w:r w:rsidRPr="000A64F1">
              <w:rPr>
                <w:rFonts w:cs="Calibri"/>
                <w:color w:val="000000"/>
                <w:sz w:val="18"/>
                <w:szCs w:val="18"/>
              </w:rPr>
              <w:t>2 000</w:t>
            </w:r>
          </w:p>
        </w:tc>
        <w:tc>
          <w:tcPr>
            <w:tcW w:w="708" w:type="dxa"/>
            <w:tcBorders>
              <w:top w:val="nil"/>
              <w:left w:val="nil"/>
              <w:bottom w:val="single" w:sz="8" w:space="0" w:color="auto"/>
              <w:right w:val="single" w:sz="8" w:space="0" w:color="auto"/>
            </w:tcBorders>
            <w:shd w:val="clear" w:color="auto" w:fill="auto"/>
            <w:noWrap/>
            <w:vAlign w:val="center"/>
            <w:hideMark/>
          </w:tcPr>
          <w:p w14:paraId="1275ACA3" w14:textId="77777777" w:rsidR="00EA487B" w:rsidRPr="000A64F1" w:rsidRDefault="00EA487B" w:rsidP="00EA487B">
            <w:pPr>
              <w:jc w:val="center"/>
              <w:rPr>
                <w:rFonts w:cs="Calibri"/>
                <w:color w:val="000000"/>
                <w:sz w:val="18"/>
                <w:szCs w:val="18"/>
              </w:rPr>
            </w:pPr>
            <w:r w:rsidRPr="000A64F1">
              <w:rPr>
                <w:rFonts w:cs="Calibri"/>
                <w:color w:val="000000"/>
                <w:sz w:val="18"/>
                <w:szCs w:val="18"/>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476CA395" w14:textId="77777777" w:rsidR="00EA487B" w:rsidRPr="000A64F1" w:rsidRDefault="00EA487B" w:rsidP="00EA487B">
            <w:pPr>
              <w:jc w:val="center"/>
              <w:rPr>
                <w:rFonts w:cs="Calibri"/>
                <w:color w:val="000000"/>
                <w:sz w:val="18"/>
                <w:szCs w:val="18"/>
              </w:rPr>
            </w:pPr>
            <w:r w:rsidRPr="000A64F1">
              <w:rPr>
                <w:rFonts w:cs="Calibri"/>
                <w:color w:val="000000"/>
                <w:sz w:val="18"/>
                <w:szCs w:val="18"/>
              </w:rPr>
              <w:t>1 000</w:t>
            </w:r>
          </w:p>
        </w:tc>
        <w:tc>
          <w:tcPr>
            <w:tcW w:w="679" w:type="dxa"/>
            <w:tcBorders>
              <w:top w:val="nil"/>
              <w:left w:val="nil"/>
              <w:bottom w:val="single" w:sz="8" w:space="0" w:color="auto"/>
              <w:right w:val="single" w:sz="8" w:space="0" w:color="auto"/>
            </w:tcBorders>
            <w:shd w:val="clear" w:color="auto" w:fill="auto"/>
            <w:noWrap/>
            <w:vAlign w:val="center"/>
            <w:hideMark/>
          </w:tcPr>
          <w:p w14:paraId="2DCC7813" w14:textId="77777777" w:rsidR="00EA487B" w:rsidRPr="000A64F1" w:rsidRDefault="00EA487B" w:rsidP="00EA487B">
            <w:pPr>
              <w:jc w:val="center"/>
              <w:rPr>
                <w:rFonts w:cs="Calibri"/>
                <w:color w:val="000000"/>
                <w:sz w:val="18"/>
                <w:szCs w:val="18"/>
              </w:rPr>
            </w:pPr>
            <w:r w:rsidRPr="000A64F1">
              <w:rPr>
                <w:rFonts w:cs="Calibri"/>
                <w:color w:val="000000"/>
                <w:sz w:val="18"/>
                <w:szCs w:val="18"/>
              </w:rPr>
              <w:t>700</w:t>
            </w:r>
          </w:p>
        </w:tc>
      </w:tr>
      <w:tr w:rsidR="00EA487B" w:rsidRPr="000A64F1" w14:paraId="6B61E0E2" w14:textId="77777777" w:rsidTr="00EA487B">
        <w:trPr>
          <w:trHeight w:val="300"/>
        </w:trPr>
        <w:tc>
          <w:tcPr>
            <w:tcW w:w="617" w:type="dxa"/>
            <w:tcBorders>
              <w:top w:val="nil"/>
              <w:left w:val="single" w:sz="8" w:space="0" w:color="auto"/>
              <w:bottom w:val="single" w:sz="8" w:space="0" w:color="auto"/>
              <w:right w:val="single" w:sz="8" w:space="0" w:color="auto"/>
            </w:tcBorders>
            <w:shd w:val="clear" w:color="000000" w:fill="EBF1DE"/>
            <w:vAlign w:val="center"/>
            <w:hideMark/>
          </w:tcPr>
          <w:p w14:paraId="370665B6" w14:textId="77777777" w:rsidR="00EA487B" w:rsidRPr="000A64F1" w:rsidRDefault="00EA487B" w:rsidP="00EA487B">
            <w:pPr>
              <w:rPr>
                <w:rFonts w:eastAsia="Times New Roman" w:cs="Calibri"/>
                <w:b/>
                <w:bCs/>
                <w:color w:val="000000"/>
                <w:sz w:val="18"/>
                <w:szCs w:val="18"/>
              </w:rPr>
            </w:pPr>
            <w:r w:rsidRPr="000A64F1">
              <w:rPr>
                <w:rFonts w:cs="Calibri"/>
                <w:b/>
                <w:bCs/>
                <w:color w:val="000000"/>
                <w:sz w:val="18"/>
                <w:szCs w:val="18"/>
              </w:rPr>
              <w:t>Spolu</w:t>
            </w:r>
          </w:p>
        </w:tc>
        <w:tc>
          <w:tcPr>
            <w:tcW w:w="659" w:type="dxa"/>
            <w:tcBorders>
              <w:top w:val="nil"/>
              <w:left w:val="nil"/>
              <w:bottom w:val="single" w:sz="8" w:space="0" w:color="auto"/>
              <w:right w:val="single" w:sz="8" w:space="0" w:color="auto"/>
            </w:tcBorders>
            <w:shd w:val="clear" w:color="000000" w:fill="EBF1DE"/>
            <w:noWrap/>
            <w:vAlign w:val="center"/>
            <w:hideMark/>
          </w:tcPr>
          <w:p w14:paraId="0B78D827"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59911</w:t>
            </w:r>
          </w:p>
        </w:tc>
        <w:tc>
          <w:tcPr>
            <w:tcW w:w="709" w:type="dxa"/>
            <w:tcBorders>
              <w:top w:val="nil"/>
              <w:left w:val="nil"/>
              <w:bottom w:val="single" w:sz="8" w:space="0" w:color="auto"/>
              <w:right w:val="single" w:sz="8" w:space="0" w:color="auto"/>
            </w:tcBorders>
            <w:shd w:val="clear" w:color="000000" w:fill="EBF1DE"/>
            <w:noWrap/>
            <w:vAlign w:val="center"/>
            <w:hideMark/>
          </w:tcPr>
          <w:p w14:paraId="36090C43"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80000</w:t>
            </w:r>
          </w:p>
        </w:tc>
        <w:tc>
          <w:tcPr>
            <w:tcW w:w="709" w:type="dxa"/>
            <w:tcBorders>
              <w:top w:val="nil"/>
              <w:left w:val="nil"/>
              <w:bottom w:val="single" w:sz="8" w:space="0" w:color="auto"/>
              <w:right w:val="single" w:sz="8" w:space="0" w:color="auto"/>
            </w:tcBorders>
            <w:shd w:val="clear" w:color="000000" w:fill="EBF1DE"/>
            <w:noWrap/>
            <w:vAlign w:val="center"/>
            <w:hideMark/>
          </w:tcPr>
          <w:p w14:paraId="142833BE"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120194</w:t>
            </w:r>
          </w:p>
        </w:tc>
        <w:tc>
          <w:tcPr>
            <w:tcW w:w="709" w:type="dxa"/>
            <w:tcBorders>
              <w:top w:val="nil"/>
              <w:left w:val="nil"/>
              <w:bottom w:val="single" w:sz="8" w:space="0" w:color="auto"/>
              <w:right w:val="single" w:sz="8" w:space="0" w:color="auto"/>
            </w:tcBorders>
            <w:shd w:val="clear" w:color="000000" w:fill="EBF1DE"/>
            <w:noWrap/>
            <w:vAlign w:val="center"/>
            <w:hideMark/>
          </w:tcPr>
          <w:p w14:paraId="6555CBD9"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110542</w:t>
            </w:r>
          </w:p>
        </w:tc>
        <w:tc>
          <w:tcPr>
            <w:tcW w:w="709" w:type="dxa"/>
            <w:tcBorders>
              <w:top w:val="nil"/>
              <w:left w:val="nil"/>
              <w:bottom w:val="single" w:sz="8" w:space="0" w:color="auto"/>
              <w:right w:val="single" w:sz="8" w:space="0" w:color="auto"/>
            </w:tcBorders>
            <w:shd w:val="clear" w:color="000000" w:fill="EBF1DE"/>
            <w:noWrap/>
            <w:vAlign w:val="center"/>
            <w:hideMark/>
          </w:tcPr>
          <w:p w14:paraId="277A3D25"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110062</w:t>
            </w:r>
          </w:p>
        </w:tc>
        <w:tc>
          <w:tcPr>
            <w:tcW w:w="708" w:type="dxa"/>
            <w:tcBorders>
              <w:top w:val="nil"/>
              <w:left w:val="nil"/>
              <w:bottom w:val="single" w:sz="8" w:space="0" w:color="auto"/>
              <w:right w:val="single" w:sz="8" w:space="0" w:color="auto"/>
            </w:tcBorders>
            <w:shd w:val="clear" w:color="000000" w:fill="EBF1DE"/>
            <w:noWrap/>
            <w:vAlign w:val="center"/>
            <w:hideMark/>
          </w:tcPr>
          <w:p w14:paraId="17886AD8"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120498</w:t>
            </w:r>
          </w:p>
        </w:tc>
        <w:tc>
          <w:tcPr>
            <w:tcW w:w="709" w:type="dxa"/>
            <w:tcBorders>
              <w:top w:val="nil"/>
              <w:left w:val="nil"/>
              <w:bottom w:val="single" w:sz="8" w:space="0" w:color="auto"/>
              <w:right w:val="single" w:sz="8" w:space="0" w:color="auto"/>
            </w:tcBorders>
            <w:shd w:val="clear" w:color="000000" w:fill="EBF1DE"/>
            <w:noWrap/>
            <w:vAlign w:val="center"/>
            <w:hideMark/>
          </w:tcPr>
          <w:p w14:paraId="67778EFF"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119626</w:t>
            </w:r>
          </w:p>
        </w:tc>
        <w:tc>
          <w:tcPr>
            <w:tcW w:w="709" w:type="dxa"/>
            <w:tcBorders>
              <w:top w:val="nil"/>
              <w:left w:val="nil"/>
              <w:bottom w:val="single" w:sz="8" w:space="0" w:color="auto"/>
              <w:right w:val="single" w:sz="8" w:space="0" w:color="auto"/>
            </w:tcBorders>
            <w:shd w:val="clear" w:color="000000" w:fill="EBF1DE"/>
            <w:noWrap/>
            <w:vAlign w:val="center"/>
            <w:hideMark/>
          </w:tcPr>
          <w:p w14:paraId="70B5C51E"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112190</w:t>
            </w:r>
          </w:p>
        </w:tc>
        <w:tc>
          <w:tcPr>
            <w:tcW w:w="709" w:type="dxa"/>
            <w:tcBorders>
              <w:top w:val="nil"/>
              <w:left w:val="nil"/>
              <w:bottom w:val="single" w:sz="8" w:space="0" w:color="auto"/>
              <w:right w:val="single" w:sz="8" w:space="0" w:color="auto"/>
            </w:tcBorders>
            <w:shd w:val="clear" w:color="000000" w:fill="EBF1DE"/>
            <w:noWrap/>
            <w:vAlign w:val="center"/>
            <w:hideMark/>
          </w:tcPr>
          <w:p w14:paraId="0858131A"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119634</w:t>
            </w:r>
          </w:p>
        </w:tc>
        <w:tc>
          <w:tcPr>
            <w:tcW w:w="708" w:type="dxa"/>
            <w:tcBorders>
              <w:top w:val="nil"/>
              <w:left w:val="nil"/>
              <w:bottom w:val="single" w:sz="8" w:space="0" w:color="auto"/>
              <w:right w:val="single" w:sz="8" w:space="0" w:color="auto"/>
            </w:tcBorders>
            <w:shd w:val="clear" w:color="000000" w:fill="EBF1DE"/>
            <w:noWrap/>
            <w:vAlign w:val="center"/>
            <w:hideMark/>
          </w:tcPr>
          <w:p w14:paraId="35E18205"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107210</w:t>
            </w:r>
          </w:p>
        </w:tc>
        <w:tc>
          <w:tcPr>
            <w:tcW w:w="709" w:type="dxa"/>
            <w:tcBorders>
              <w:top w:val="nil"/>
              <w:left w:val="nil"/>
              <w:bottom w:val="single" w:sz="8" w:space="0" w:color="auto"/>
              <w:right w:val="single" w:sz="8" w:space="0" w:color="auto"/>
            </w:tcBorders>
            <w:shd w:val="clear" w:color="000000" w:fill="EBF1DE"/>
            <w:noWrap/>
            <w:vAlign w:val="center"/>
            <w:hideMark/>
          </w:tcPr>
          <w:p w14:paraId="2745CEC9"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51000</w:t>
            </w:r>
          </w:p>
        </w:tc>
        <w:tc>
          <w:tcPr>
            <w:tcW w:w="679" w:type="dxa"/>
            <w:tcBorders>
              <w:top w:val="nil"/>
              <w:left w:val="nil"/>
              <w:bottom w:val="single" w:sz="8" w:space="0" w:color="auto"/>
              <w:right w:val="single" w:sz="8" w:space="0" w:color="auto"/>
            </w:tcBorders>
            <w:shd w:val="clear" w:color="000000" w:fill="EBF1DE"/>
            <w:noWrap/>
            <w:vAlign w:val="center"/>
            <w:hideMark/>
          </w:tcPr>
          <w:p w14:paraId="3C1ACE1C" w14:textId="77777777" w:rsidR="00EA487B" w:rsidRPr="000A64F1" w:rsidRDefault="00EA487B" w:rsidP="00EA487B">
            <w:pPr>
              <w:jc w:val="center"/>
              <w:rPr>
                <w:rFonts w:cs="Calibri"/>
                <w:b/>
                <w:bCs/>
                <w:color w:val="000000"/>
                <w:sz w:val="18"/>
                <w:szCs w:val="18"/>
              </w:rPr>
            </w:pPr>
            <w:r w:rsidRPr="000A64F1">
              <w:rPr>
                <w:rFonts w:cs="Calibri"/>
                <w:b/>
                <w:bCs/>
                <w:color w:val="000000"/>
                <w:sz w:val="18"/>
                <w:szCs w:val="18"/>
              </w:rPr>
              <w:t>89575</w:t>
            </w:r>
          </w:p>
        </w:tc>
      </w:tr>
    </w:tbl>
    <w:p w14:paraId="24FD40B4" w14:textId="77777777" w:rsidR="00EA487B" w:rsidRPr="000A64F1" w:rsidRDefault="00EA487B" w:rsidP="00EA487B">
      <w:pPr>
        <w:autoSpaceDE w:val="0"/>
        <w:autoSpaceDN w:val="0"/>
        <w:adjustRightInd w:val="0"/>
        <w:rPr>
          <w:rFonts w:asciiTheme="majorHAnsi" w:hAnsiTheme="majorHAnsi" w:cstheme="majorHAnsi"/>
          <w:b/>
        </w:rPr>
      </w:pPr>
    </w:p>
    <w:p w14:paraId="22A803F2" w14:textId="1564C180" w:rsidR="00EA487B" w:rsidRPr="007050F5" w:rsidRDefault="00B7058D" w:rsidP="00EA487B">
      <w:pPr>
        <w:pStyle w:val="Default"/>
        <w:jc w:val="both"/>
        <w:rPr>
          <w:rFonts w:ascii="Calibri" w:hAnsi="Calibri" w:cs="Calibri"/>
          <w:bCs/>
          <w:lang w:val="sk-SK"/>
        </w:rPr>
      </w:pPr>
      <w:r>
        <w:rPr>
          <w:rFonts w:ascii="Calibri" w:hAnsi="Calibri" w:cs="Calibri"/>
          <w:bCs/>
          <w:color w:val="auto"/>
          <w:lang w:val="sk-SK"/>
        </w:rPr>
        <w:t>M</w:t>
      </w:r>
      <w:r w:rsidR="00EA487B" w:rsidRPr="000A64F1">
        <w:rPr>
          <w:rFonts w:ascii="Calibri" w:hAnsi="Calibri" w:cs="Calibri"/>
          <w:bCs/>
          <w:color w:val="auto"/>
          <w:lang w:val="sk-SK"/>
        </w:rPr>
        <w:t xml:space="preserve">ladých výskumných pracovníkov </w:t>
      </w:r>
      <w:r>
        <w:rPr>
          <w:rFonts w:ascii="Calibri" w:hAnsi="Calibri" w:cs="Calibri"/>
          <w:bCs/>
          <w:color w:val="auto"/>
          <w:lang w:val="sk-SK"/>
        </w:rPr>
        <w:t>podporu</w:t>
      </w:r>
      <w:r w:rsidR="00EA487B" w:rsidRPr="000A64F1">
        <w:rPr>
          <w:rFonts w:ascii="Calibri" w:hAnsi="Calibri" w:cs="Calibri"/>
          <w:bCs/>
          <w:color w:val="auto"/>
          <w:lang w:val="sk-SK"/>
        </w:rPr>
        <w:t>je</w:t>
      </w:r>
      <w:r>
        <w:rPr>
          <w:rFonts w:ascii="Calibri" w:hAnsi="Calibri" w:cs="Calibri"/>
          <w:bCs/>
          <w:color w:val="auto"/>
          <w:lang w:val="sk-SK"/>
        </w:rPr>
        <w:t xml:space="preserve"> aj</w:t>
      </w:r>
      <w:r w:rsidR="00EA487B" w:rsidRPr="000A64F1">
        <w:rPr>
          <w:rFonts w:ascii="Calibri" w:hAnsi="Calibri" w:cs="Calibri"/>
          <w:bCs/>
          <w:color w:val="auto"/>
          <w:lang w:val="sk-SK"/>
        </w:rPr>
        <w:t xml:space="preserve"> nadstavba programu mladých, </w:t>
      </w:r>
      <w:r w:rsidR="00EA487B" w:rsidRPr="000A64F1">
        <w:rPr>
          <w:rFonts w:ascii="Calibri" w:hAnsi="Calibri" w:cs="Calibri"/>
          <w:b/>
          <w:bCs/>
          <w:color w:val="auto"/>
          <w:lang w:val="sk-SK"/>
        </w:rPr>
        <w:t>Grantová schéma na podporu</w:t>
      </w:r>
      <w:r w:rsidR="00EA487B" w:rsidRPr="000A64F1">
        <w:rPr>
          <w:rFonts w:ascii="Calibri" w:hAnsi="Calibri" w:cs="Calibri"/>
          <w:bCs/>
          <w:color w:val="auto"/>
          <w:lang w:val="sk-SK"/>
        </w:rPr>
        <w:t xml:space="preserve"> </w:t>
      </w:r>
      <w:r w:rsidR="00EA487B" w:rsidRPr="000A64F1">
        <w:rPr>
          <w:rFonts w:ascii="Calibri" w:hAnsi="Calibri" w:cs="Calibri"/>
          <w:b/>
          <w:color w:val="auto"/>
          <w:lang w:val="sk-SK"/>
        </w:rPr>
        <w:t>excelentných tímov mladých výskumníkov</w:t>
      </w:r>
      <w:r w:rsidR="00EA487B" w:rsidRPr="000A64F1">
        <w:rPr>
          <w:rFonts w:ascii="Calibri" w:hAnsi="Calibri" w:cs="Calibri"/>
          <w:color w:val="auto"/>
          <w:lang w:val="sk-SK"/>
        </w:rPr>
        <w:t xml:space="preserve"> v podmienkach Slovenskej technickej univerzity v Bratislave. Mladí výskumníci, t. j. mladí vysokoškolskí učitelia, výskumní pracovníci a študenti STU tretieho stupňa vysokoškolského štúdia dennej formy do 33 rokov, získavajú v grantovej schéme skúsenosti s prácou vo výskumnom kolektíve a skúsenosti s prípravu projektov do grantových schém Slovenskej republiky alebo do výskumných schém Európskej únie.</w:t>
      </w:r>
      <w:r w:rsidR="00EA487B" w:rsidRPr="000A64F1">
        <w:rPr>
          <w:rFonts w:ascii="Calibri" w:hAnsi="Calibri" w:cs="Calibri"/>
          <w:b/>
          <w:bCs/>
          <w:color w:val="auto"/>
          <w:lang w:val="sk-SK"/>
        </w:rPr>
        <w:t xml:space="preserve"> </w:t>
      </w:r>
      <w:r w:rsidR="00EA487B" w:rsidRPr="000A64F1">
        <w:rPr>
          <w:rFonts w:ascii="Calibri" w:hAnsi="Calibri" w:cs="Calibri"/>
          <w:color w:val="auto"/>
          <w:lang w:val="sk-SK"/>
        </w:rPr>
        <w:t>V roku 2022 pokračoval program ôsmym ročníkom a podporu získalo 7 projektov v celkovej hodnote 43 800 eur. Do programu sa zapojili všetky súčasti STU</w:t>
      </w:r>
      <w:r w:rsidR="00EA487B" w:rsidRPr="000A64F1">
        <w:rPr>
          <w:rFonts w:ascii="Calibri" w:hAnsi="Calibri" w:cs="Calibri"/>
          <w:lang w:val="sk-SK"/>
        </w:rPr>
        <w:t xml:space="preserve"> (o dve súčasti viac ako minulý rok), ktoré spoločne vytvorili 18 tímov (o tri viac ako v </w:t>
      </w:r>
      <w:r w:rsidR="00EA487B" w:rsidRPr="000A64F1">
        <w:rPr>
          <w:rFonts w:ascii="Calibri" w:hAnsi="Calibri" w:cs="Calibri"/>
          <w:lang w:val="sk-SK"/>
        </w:rPr>
        <w:lastRenderedPageBreak/>
        <w:t>predchádzajúcom roku). V predložených návrhoch sú na pozícii hlavných riešiteľov šiesti (5 žien a 1 muž) mladí výskumníci z FCHPT, štyria zo SvF, traja z</w:t>
      </w:r>
      <w:r w:rsidR="00EA487B" w:rsidRPr="000A64F1">
        <w:rPr>
          <w:rFonts w:ascii="Calibri" w:hAnsi="Calibri" w:cs="Calibri"/>
          <w:bCs/>
          <w:lang w:val="sk-SK"/>
        </w:rPr>
        <w:t xml:space="preserve"> FEI a po jednom zo SjF, FAD, </w:t>
      </w:r>
      <w:r w:rsidR="00EA487B" w:rsidRPr="007050F5">
        <w:rPr>
          <w:rFonts w:ascii="Calibri" w:hAnsi="Calibri" w:cs="Calibri"/>
          <w:bCs/>
          <w:lang w:val="sk-SK"/>
        </w:rPr>
        <w:t xml:space="preserve">MTF, FIIT a ÚM. </w:t>
      </w:r>
    </w:p>
    <w:p w14:paraId="22AC2A7D" w14:textId="77777777" w:rsidR="00EA487B" w:rsidRPr="007050F5" w:rsidRDefault="00EA487B" w:rsidP="00EA487B">
      <w:pPr>
        <w:pStyle w:val="Default"/>
        <w:jc w:val="both"/>
        <w:rPr>
          <w:rFonts w:ascii="Calibri" w:hAnsi="Calibri" w:cs="Calibri"/>
          <w:color w:val="auto"/>
          <w:lang w:val="sk-SK"/>
        </w:rPr>
      </w:pPr>
    </w:p>
    <w:p w14:paraId="41E6D381" w14:textId="77777777" w:rsidR="00EA487B" w:rsidRPr="007050F5" w:rsidRDefault="00EA487B" w:rsidP="00EA487B">
      <w:pPr>
        <w:jc w:val="both"/>
        <w:rPr>
          <w:rFonts w:cs="Calibri"/>
          <w:bCs/>
        </w:rPr>
      </w:pPr>
      <w:r w:rsidRPr="007050F5">
        <w:rPr>
          <w:rFonts w:cs="Calibri"/>
          <w:bCs/>
        </w:rPr>
        <w:t xml:space="preserve">Projekty podľa umiestnenia od najvyššieho: </w:t>
      </w:r>
    </w:p>
    <w:p w14:paraId="4F4CCA63" w14:textId="77777777" w:rsidR="00EA487B" w:rsidRPr="007050F5" w:rsidRDefault="00EA487B" w:rsidP="00E027F7">
      <w:pPr>
        <w:pStyle w:val="Odsekzoznamu"/>
        <w:numPr>
          <w:ilvl w:val="0"/>
          <w:numId w:val="28"/>
        </w:numPr>
        <w:spacing w:after="0" w:line="240" w:lineRule="auto"/>
        <w:jc w:val="both"/>
        <w:rPr>
          <w:rFonts w:cs="Calibri"/>
          <w:bCs/>
        </w:rPr>
      </w:pPr>
      <w:r w:rsidRPr="007050F5">
        <w:rPr>
          <w:rFonts w:cs="Calibri"/>
          <w:bCs/>
        </w:rPr>
        <w:t>Biochar ako účinný materiál pre vývoj miniaturizovaných senzorov na dezinfekciu vôd, BIOCHAR, hlavná riešiteľka Ing. Katarína Nemčeková, PhD., FCHPT + SvF,</w:t>
      </w:r>
    </w:p>
    <w:p w14:paraId="4FFD1F97" w14:textId="77777777" w:rsidR="00EA487B" w:rsidRPr="007050F5" w:rsidRDefault="00EA487B" w:rsidP="00E027F7">
      <w:pPr>
        <w:pStyle w:val="Odsekzoznamu"/>
        <w:numPr>
          <w:ilvl w:val="0"/>
          <w:numId w:val="28"/>
        </w:numPr>
        <w:spacing w:after="0" w:line="240" w:lineRule="auto"/>
        <w:jc w:val="both"/>
        <w:rPr>
          <w:rFonts w:cs="Calibri"/>
          <w:bCs/>
        </w:rPr>
      </w:pPr>
      <w:r w:rsidRPr="007050F5">
        <w:rPr>
          <w:rFonts w:cs="Calibri"/>
          <w:bCs/>
          <w:color w:val="000000"/>
        </w:rPr>
        <w:t>Spojenie molekulového dokovania a spektroskopie na objasnenie správania sa flavonoidov v prítomnosti redoxne aktívnych kovov - cesta k liečbe civilizačných ochorení</w:t>
      </w:r>
      <w:r w:rsidRPr="007050F5">
        <w:rPr>
          <w:rFonts w:cs="Calibri"/>
          <w:bCs/>
        </w:rPr>
        <w:t xml:space="preserve">, FLAVDOK, hlavná riešiteľka </w:t>
      </w:r>
      <w:r w:rsidRPr="007050F5">
        <w:rPr>
          <w:rFonts w:cs="Calibri"/>
          <w:color w:val="000000"/>
        </w:rPr>
        <w:t>Ing. Miriama Šimunková, PhD.</w:t>
      </w:r>
      <w:r w:rsidRPr="007050F5">
        <w:rPr>
          <w:rFonts w:cs="Calibri"/>
          <w:bCs/>
        </w:rPr>
        <w:t>, </w:t>
      </w:r>
      <w:r w:rsidRPr="007050F5">
        <w:rPr>
          <w:rFonts w:cs="Calibri"/>
          <w:color w:val="000000"/>
        </w:rPr>
        <w:t>FCHPT + FEI</w:t>
      </w:r>
      <w:r w:rsidRPr="007050F5">
        <w:rPr>
          <w:rFonts w:cs="Calibri"/>
          <w:bCs/>
        </w:rPr>
        <w:t>,</w:t>
      </w:r>
    </w:p>
    <w:p w14:paraId="3CB1C5B6" w14:textId="77777777" w:rsidR="00EA487B" w:rsidRPr="007050F5" w:rsidRDefault="00EA487B" w:rsidP="00E027F7">
      <w:pPr>
        <w:pStyle w:val="Odsekzoznamu"/>
        <w:numPr>
          <w:ilvl w:val="0"/>
          <w:numId w:val="28"/>
        </w:numPr>
        <w:spacing w:after="0" w:line="240" w:lineRule="auto"/>
        <w:jc w:val="both"/>
        <w:rPr>
          <w:rFonts w:cs="Calibri"/>
          <w:bCs/>
        </w:rPr>
      </w:pPr>
      <w:r w:rsidRPr="007050F5">
        <w:rPr>
          <w:rFonts w:cs="Calibri"/>
          <w:bCs/>
          <w:color w:val="000000"/>
        </w:rPr>
        <w:t>Výskum a vývoj integrácie PV a PCM do fasádneho elementu a charakterizácia fyzikálnych vlastností</w:t>
      </w:r>
      <w:r w:rsidRPr="007050F5">
        <w:rPr>
          <w:rFonts w:cs="Calibri"/>
          <w:bCs/>
        </w:rPr>
        <w:t xml:space="preserve">, PVPCMGLASS, hlavný riešiteľ Ing. </w:t>
      </w:r>
      <w:r w:rsidRPr="007050F5">
        <w:rPr>
          <w:rFonts w:cs="Calibri"/>
          <w:color w:val="000000"/>
        </w:rPr>
        <w:t>Jakub Čurpek, PhD.</w:t>
      </w:r>
      <w:r w:rsidRPr="007050F5">
        <w:rPr>
          <w:rFonts w:cs="Calibri"/>
          <w:bCs/>
        </w:rPr>
        <w:t>, </w:t>
      </w:r>
      <w:r w:rsidRPr="007050F5">
        <w:rPr>
          <w:rFonts w:cs="Calibri"/>
          <w:color w:val="000000"/>
        </w:rPr>
        <w:t>SvF + FEI</w:t>
      </w:r>
      <w:r w:rsidRPr="007050F5">
        <w:rPr>
          <w:rFonts w:cs="Calibri"/>
          <w:bCs/>
        </w:rPr>
        <w:t>,</w:t>
      </w:r>
    </w:p>
    <w:p w14:paraId="0AFAB980" w14:textId="77777777" w:rsidR="00EA487B" w:rsidRPr="007050F5" w:rsidRDefault="00EA487B" w:rsidP="00E027F7">
      <w:pPr>
        <w:pStyle w:val="Odsekzoznamu"/>
        <w:numPr>
          <w:ilvl w:val="0"/>
          <w:numId w:val="28"/>
        </w:numPr>
        <w:spacing w:after="0" w:line="240" w:lineRule="auto"/>
        <w:jc w:val="both"/>
        <w:rPr>
          <w:rFonts w:cs="Calibri"/>
          <w:bCs/>
        </w:rPr>
      </w:pPr>
      <w:r w:rsidRPr="007050F5">
        <w:rPr>
          <w:rFonts w:cs="Calibri"/>
          <w:bCs/>
        </w:rPr>
        <w:t xml:space="preserve">Elastomérne kompozitné materiály s účinkami absorpčného tienenia elektromagnetického žiarenia, ELKOMATIEŽ, hlavná riešiteľka </w:t>
      </w:r>
      <w:r w:rsidRPr="007050F5">
        <w:rPr>
          <w:rFonts w:cs="Calibri"/>
        </w:rPr>
        <w:t>Ing. Andrea Kvasničáková, PhD.</w:t>
      </w:r>
      <w:r w:rsidRPr="007050F5">
        <w:rPr>
          <w:rFonts w:cs="Calibri"/>
          <w:bCs/>
        </w:rPr>
        <w:t xml:space="preserve">, </w:t>
      </w:r>
      <w:r w:rsidRPr="007050F5">
        <w:rPr>
          <w:rFonts w:cs="Calibri"/>
        </w:rPr>
        <w:t>FCHPT + FEI</w:t>
      </w:r>
      <w:r w:rsidRPr="007050F5">
        <w:rPr>
          <w:rFonts w:cs="Calibri"/>
          <w:bCs/>
        </w:rPr>
        <w:t>,</w:t>
      </w:r>
    </w:p>
    <w:p w14:paraId="4FAB29EF" w14:textId="77777777" w:rsidR="00EA487B" w:rsidRPr="007050F5" w:rsidRDefault="00EA487B" w:rsidP="00E027F7">
      <w:pPr>
        <w:pStyle w:val="Odsekzoznamu"/>
        <w:numPr>
          <w:ilvl w:val="0"/>
          <w:numId w:val="29"/>
        </w:numPr>
        <w:spacing w:after="0" w:line="240" w:lineRule="auto"/>
        <w:jc w:val="both"/>
        <w:rPr>
          <w:rFonts w:cs="Calibri"/>
          <w:bCs/>
        </w:rPr>
      </w:pPr>
      <w:r w:rsidRPr="007050F5">
        <w:rPr>
          <w:rFonts w:cs="Calibri"/>
          <w:bCs/>
        </w:rPr>
        <w:t xml:space="preserve">Komplexné Kolaboratívne HRI pracovisko, COCOHRIP, hlavný riešiteľ </w:t>
      </w:r>
      <w:r w:rsidRPr="007050F5">
        <w:rPr>
          <w:rFonts w:cs="Calibri"/>
        </w:rPr>
        <w:t>Ing. Marek Čorňák</w:t>
      </w:r>
      <w:r w:rsidRPr="007050F5">
        <w:rPr>
          <w:rFonts w:cs="Calibri"/>
          <w:bCs/>
        </w:rPr>
        <w:t xml:space="preserve">, </w:t>
      </w:r>
      <w:r w:rsidRPr="007050F5">
        <w:rPr>
          <w:rFonts w:cs="Calibri"/>
        </w:rPr>
        <w:t>FEI + SjF</w:t>
      </w:r>
      <w:r w:rsidRPr="007050F5">
        <w:rPr>
          <w:rFonts w:cs="Calibri"/>
          <w:bCs/>
        </w:rPr>
        <w:t>,</w:t>
      </w:r>
    </w:p>
    <w:p w14:paraId="747485C5" w14:textId="77777777" w:rsidR="00EA487B" w:rsidRPr="007050F5" w:rsidRDefault="00EA487B" w:rsidP="00E027F7">
      <w:pPr>
        <w:pStyle w:val="Odsekzoznamu"/>
        <w:numPr>
          <w:ilvl w:val="0"/>
          <w:numId w:val="29"/>
        </w:numPr>
        <w:spacing w:after="0" w:line="240" w:lineRule="auto"/>
        <w:jc w:val="both"/>
        <w:rPr>
          <w:rFonts w:cs="Calibri"/>
          <w:bCs/>
        </w:rPr>
      </w:pPr>
      <w:r w:rsidRPr="007050F5">
        <w:rPr>
          <w:rFonts w:cs="Calibri"/>
          <w:bCs/>
          <w:color w:val="000000"/>
        </w:rPr>
        <w:t>Navigácia autonómneho vozidla v interiéri s použitím umelej inteligencie</w:t>
      </w:r>
      <w:r w:rsidRPr="007050F5">
        <w:rPr>
          <w:rFonts w:cs="Calibri"/>
          <w:bCs/>
        </w:rPr>
        <w:t xml:space="preserve">, NAVI-AI, hlavný riešiteľ </w:t>
      </w:r>
      <w:r w:rsidRPr="007050F5">
        <w:rPr>
          <w:rFonts w:cs="Calibri"/>
          <w:color w:val="000000"/>
        </w:rPr>
        <w:t>Ing. Lukáš Hudec, PhD.</w:t>
      </w:r>
      <w:r w:rsidRPr="007050F5">
        <w:rPr>
          <w:rFonts w:cs="Calibri"/>
          <w:bCs/>
        </w:rPr>
        <w:t xml:space="preserve">, </w:t>
      </w:r>
      <w:r w:rsidRPr="007050F5">
        <w:rPr>
          <w:rFonts w:cs="Calibri"/>
          <w:color w:val="000000"/>
        </w:rPr>
        <w:t>FIIT + FEI</w:t>
      </w:r>
      <w:r w:rsidRPr="007050F5">
        <w:rPr>
          <w:rFonts w:cs="Calibri"/>
          <w:bCs/>
        </w:rPr>
        <w:t>,</w:t>
      </w:r>
    </w:p>
    <w:p w14:paraId="353CCF80" w14:textId="77777777" w:rsidR="00EA487B" w:rsidRPr="007050F5" w:rsidRDefault="00EA487B" w:rsidP="00E027F7">
      <w:pPr>
        <w:pStyle w:val="Odsekzoznamu"/>
        <w:numPr>
          <w:ilvl w:val="0"/>
          <w:numId w:val="29"/>
        </w:numPr>
        <w:spacing w:after="0" w:line="240" w:lineRule="auto"/>
        <w:jc w:val="both"/>
        <w:rPr>
          <w:rFonts w:cs="Calibri"/>
          <w:bCs/>
        </w:rPr>
      </w:pPr>
      <w:r w:rsidRPr="007050F5">
        <w:rPr>
          <w:rFonts w:cs="Calibri"/>
          <w:bCs/>
          <w:color w:val="000000"/>
        </w:rPr>
        <w:t xml:space="preserve">Riešenie problémov autentickosti nápojov spojením metód analytickej chémie s chemometrickými postupmi, SOLUTION, hlavný riešiteľ </w:t>
      </w:r>
      <w:r w:rsidRPr="007050F5">
        <w:rPr>
          <w:rFonts w:cs="Calibri"/>
          <w:color w:val="000000"/>
        </w:rPr>
        <w:t>Mgr. Liudmyla Khvalbota, PhD., FCHPT + FIIT.</w:t>
      </w:r>
    </w:p>
    <w:p w14:paraId="78F141EE" w14:textId="77777777" w:rsidR="00EA487B" w:rsidRPr="007050F5" w:rsidRDefault="00EA487B" w:rsidP="00EA487B">
      <w:pPr>
        <w:pStyle w:val="Odsekzoznamu"/>
        <w:jc w:val="both"/>
        <w:rPr>
          <w:rFonts w:cs="Calibri"/>
          <w:bCs/>
        </w:rPr>
      </w:pPr>
    </w:p>
    <w:p w14:paraId="5A7B3EE5" w14:textId="37A4D23D" w:rsidR="00EA487B" w:rsidRPr="007050F5" w:rsidRDefault="00456C9E" w:rsidP="00EA487B">
      <w:pPr>
        <w:jc w:val="both"/>
        <w:rPr>
          <w:rFonts w:cs="Calibri"/>
          <w:b/>
          <w:sz w:val="28"/>
          <w:szCs w:val="28"/>
        </w:rPr>
      </w:pPr>
      <w:bookmarkStart w:id="204" w:name="_Toc32472948"/>
      <w:bookmarkStart w:id="205" w:name="_Toc64379198"/>
      <w:r>
        <w:rPr>
          <w:rFonts w:cs="Calibri"/>
          <w:b/>
          <w:sz w:val="28"/>
          <w:szCs w:val="28"/>
        </w:rPr>
        <w:t>5.9</w:t>
      </w:r>
      <w:r w:rsidR="00EA487B" w:rsidRPr="007050F5">
        <w:rPr>
          <w:rFonts w:cs="Calibri"/>
          <w:b/>
          <w:sz w:val="28"/>
          <w:szCs w:val="28"/>
        </w:rPr>
        <w:t>.2. Postdoktorandské pracovné miesta</w:t>
      </w:r>
      <w:bookmarkEnd w:id="204"/>
      <w:bookmarkEnd w:id="205"/>
    </w:p>
    <w:p w14:paraId="4528C5B6" w14:textId="77777777" w:rsidR="00EA487B" w:rsidRPr="007050F5" w:rsidRDefault="00EA487B" w:rsidP="00EA487B">
      <w:pPr>
        <w:rPr>
          <w:rFonts w:cs="Calibri"/>
          <w:lang w:eastAsia="cs-CZ"/>
        </w:rPr>
      </w:pPr>
    </w:p>
    <w:p w14:paraId="522568B8" w14:textId="0A0C2A76" w:rsidR="00EA487B" w:rsidRPr="007050F5" w:rsidRDefault="00A05E4A" w:rsidP="00EA487B">
      <w:pPr>
        <w:jc w:val="both"/>
        <w:rPr>
          <w:rFonts w:cs="Calibri"/>
        </w:rPr>
      </w:pPr>
      <w:r>
        <w:rPr>
          <w:rFonts w:cs="Calibri"/>
        </w:rPr>
        <w:t>P</w:t>
      </w:r>
      <w:r w:rsidRPr="00A05E4A">
        <w:rPr>
          <w:rFonts w:cs="Calibri"/>
        </w:rPr>
        <w:t>rogram Postdoktorandské pracovné pobyty na STU</w:t>
      </w:r>
      <w:r w:rsidRPr="007050F5">
        <w:rPr>
          <w:rFonts w:cs="Calibri"/>
        </w:rPr>
        <w:t xml:space="preserve"> </w:t>
      </w:r>
      <w:r w:rsidRPr="00A05E4A">
        <w:rPr>
          <w:rFonts w:cs="Calibri"/>
        </w:rPr>
        <w:t>nahradil</w:t>
      </w:r>
      <w:r>
        <w:rPr>
          <w:rFonts w:cs="Calibri"/>
        </w:rPr>
        <w:t xml:space="preserve"> p</w:t>
      </w:r>
      <w:r w:rsidRPr="00A05E4A">
        <w:rPr>
          <w:rFonts w:cs="Calibri"/>
        </w:rPr>
        <w:t>rogram SASPRO 2</w:t>
      </w:r>
      <w:r>
        <w:rPr>
          <w:rFonts w:cs="Calibri"/>
        </w:rPr>
        <w:t>.</w:t>
      </w:r>
      <w:r w:rsidRPr="00A05E4A">
        <w:rPr>
          <w:rFonts w:cs="Calibri"/>
        </w:rPr>
        <w:t xml:space="preserve"> </w:t>
      </w:r>
      <w:r>
        <w:rPr>
          <w:rFonts w:cs="Calibri"/>
        </w:rPr>
        <w:t>Jeho c</w:t>
      </w:r>
      <w:r w:rsidR="00EA487B" w:rsidRPr="007050F5">
        <w:rPr>
          <w:rFonts w:cs="Calibri"/>
        </w:rPr>
        <w:t>ieľom je posilniť vedecké organizácie SAV a fakulty STU a UK o výskumníkov zo špičkových zahraničných pracovísk, zlepšiť spoluprácu medzi vedeckými a aplikačnými sektormi, či podporiť multidisciplinárne prístupy riešenia projektov. Rovnako je snahou prehĺbiť prepojenie SAV, STU a UK navzájom, podporiť ich spoluprácu so zahraničnými pracoviskami a vybudovať sieť kontaktov, ktorá uľahčí medzinárodnú spoluprácu.</w:t>
      </w:r>
    </w:p>
    <w:p w14:paraId="0829FCAA" w14:textId="77777777" w:rsidR="00EA487B" w:rsidRPr="007050F5" w:rsidRDefault="00EA487B" w:rsidP="00EA487B">
      <w:pPr>
        <w:jc w:val="both"/>
        <w:rPr>
          <w:rFonts w:cs="Calibri"/>
        </w:rPr>
      </w:pPr>
    </w:p>
    <w:p w14:paraId="4DCEA839" w14:textId="233901E1" w:rsidR="00EA487B" w:rsidRPr="00A05E4A" w:rsidRDefault="00EA487B" w:rsidP="00EA487B">
      <w:pPr>
        <w:jc w:val="both"/>
        <w:rPr>
          <w:rFonts w:cs="Calibri"/>
        </w:rPr>
      </w:pPr>
      <w:r w:rsidRPr="00A05E4A">
        <w:rPr>
          <w:rFonts w:cs="Calibri"/>
        </w:rPr>
        <w:t xml:space="preserve">V roku 2022 pôsobilo </w:t>
      </w:r>
      <w:r w:rsidR="00A05E4A">
        <w:rPr>
          <w:rFonts w:cs="Calibri"/>
        </w:rPr>
        <w:t xml:space="preserve">v rámci SASPRO 2 </w:t>
      </w:r>
      <w:r w:rsidRPr="00A05E4A">
        <w:rPr>
          <w:rFonts w:cs="Calibri"/>
        </w:rPr>
        <w:t>na STU 9 výskumníkov a výskumníčok, ktorí riešili nasledovné projekty:</w:t>
      </w:r>
    </w:p>
    <w:p w14:paraId="0C1881D4" w14:textId="77777777" w:rsidR="00EA487B" w:rsidRPr="00A05E4A" w:rsidRDefault="00EA487B" w:rsidP="00E027F7">
      <w:pPr>
        <w:pStyle w:val="Odsekzoznamu"/>
        <w:numPr>
          <w:ilvl w:val="0"/>
          <w:numId w:val="29"/>
        </w:numPr>
        <w:spacing w:after="0" w:line="240" w:lineRule="auto"/>
        <w:jc w:val="both"/>
        <w:rPr>
          <w:rFonts w:cs="Calibri"/>
          <w:bCs/>
          <w:color w:val="000000"/>
          <w:sz w:val="24"/>
          <w:szCs w:val="24"/>
        </w:rPr>
      </w:pPr>
      <w:r w:rsidRPr="00A05E4A">
        <w:rPr>
          <w:rFonts w:cs="Calibri"/>
          <w:bCs/>
          <w:color w:val="000000"/>
          <w:sz w:val="24"/>
          <w:szCs w:val="24"/>
        </w:rPr>
        <w:t>Hardvérové zabezpečenie neurónových sietí – HARSONN, Bc. Xiaolu Hou, Ph.D., FIIT,</w:t>
      </w:r>
    </w:p>
    <w:p w14:paraId="233963CE" w14:textId="77777777" w:rsidR="00EA487B" w:rsidRPr="00A05E4A" w:rsidRDefault="00EA487B" w:rsidP="00E027F7">
      <w:pPr>
        <w:pStyle w:val="Odsekzoznamu"/>
        <w:numPr>
          <w:ilvl w:val="0"/>
          <w:numId w:val="29"/>
        </w:numPr>
        <w:spacing w:after="0" w:line="240" w:lineRule="auto"/>
        <w:jc w:val="both"/>
        <w:rPr>
          <w:rFonts w:cs="Calibri"/>
          <w:bCs/>
          <w:color w:val="000000"/>
          <w:sz w:val="24"/>
          <w:szCs w:val="24"/>
        </w:rPr>
      </w:pPr>
      <w:r w:rsidRPr="00A05E4A">
        <w:rPr>
          <w:rFonts w:cs="Calibri"/>
          <w:bCs/>
          <w:color w:val="000000"/>
          <w:sz w:val="24"/>
          <w:szCs w:val="24"/>
        </w:rPr>
        <w:t>AIpology - Umelá inteligencia pre personalizovanú onkológiu, doc. Mgr. Michal Kováč, MSc., PhD., FIIT,</w:t>
      </w:r>
    </w:p>
    <w:p w14:paraId="6BB69BBE" w14:textId="77777777" w:rsidR="00EA487B" w:rsidRPr="00A05E4A" w:rsidRDefault="00EA487B" w:rsidP="00E027F7">
      <w:pPr>
        <w:pStyle w:val="Odsekzoznamu"/>
        <w:numPr>
          <w:ilvl w:val="0"/>
          <w:numId w:val="29"/>
        </w:numPr>
        <w:spacing w:after="0" w:line="240" w:lineRule="auto"/>
        <w:jc w:val="both"/>
        <w:rPr>
          <w:rFonts w:cs="Calibri"/>
          <w:bCs/>
          <w:color w:val="000000"/>
          <w:sz w:val="24"/>
          <w:szCs w:val="24"/>
        </w:rPr>
      </w:pPr>
      <w:r w:rsidRPr="00A05E4A">
        <w:rPr>
          <w:rFonts w:cs="Calibri"/>
          <w:bCs/>
          <w:color w:val="000000"/>
          <w:sz w:val="24"/>
          <w:szCs w:val="24"/>
        </w:rPr>
        <w:t>Pokrok v usmerneniach pre zodpovedné strojové učenie – RESML, Dr. Amirhosein Mosavi, PhD., FCHPT,</w:t>
      </w:r>
    </w:p>
    <w:p w14:paraId="5781B3EB" w14:textId="77777777" w:rsidR="00EA487B" w:rsidRPr="00A05E4A" w:rsidRDefault="00EA487B" w:rsidP="00E027F7">
      <w:pPr>
        <w:pStyle w:val="Odsekzoznamu"/>
        <w:numPr>
          <w:ilvl w:val="0"/>
          <w:numId w:val="29"/>
        </w:numPr>
        <w:spacing w:after="0" w:line="240" w:lineRule="auto"/>
        <w:jc w:val="both"/>
        <w:rPr>
          <w:rFonts w:cs="Calibri"/>
          <w:bCs/>
          <w:color w:val="000000"/>
          <w:sz w:val="24"/>
          <w:szCs w:val="24"/>
        </w:rPr>
      </w:pPr>
      <w:r w:rsidRPr="00A05E4A">
        <w:rPr>
          <w:rFonts w:cs="Calibri"/>
          <w:bCs/>
          <w:color w:val="000000"/>
          <w:sz w:val="24"/>
          <w:szCs w:val="24"/>
        </w:rPr>
        <w:t>Numerické metódy pre výpočtovo sa vyvíjajúce variety – NMCEM, MSc. Jooyoung Hahn, PhD., SvF,</w:t>
      </w:r>
    </w:p>
    <w:p w14:paraId="25E02DCB" w14:textId="77777777" w:rsidR="00EA487B" w:rsidRPr="00A05E4A" w:rsidRDefault="00EA487B" w:rsidP="00E027F7">
      <w:pPr>
        <w:pStyle w:val="Odsekzoznamu"/>
        <w:numPr>
          <w:ilvl w:val="0"/>
          <w:numId w:val="29"/>
        </w:numPr>
        <w:spacing w:after="0" w:line="240" w:lineRule="auto"/>
        <w:jc w:val="both"/>
        <w:rPr>
          <w:rFonts w:cs="Calibri"/>
          <w:bCs/>
          <w:color w:val="000000"/>
          <w:sz w:val="24"/>
          <w:szCs w:val="24"/>
        </w:rPr>
      </w:pPr>
      <w:r w:rsidRPr="00A05E4A">
        <w:rPr>
          <w:rFonts w:cs="Calibri"/>
          <w:bCs/>
          <w:color w:val="000000"/>
          <w:sz w:val="24"/>
          <w:szCs w:val="24"/>
        </w:rPr>
        <w:t>Zelené analytické prístupy pre kontrolu kvality vinárskeho priemyslu založené na digitálnom obraze a chemometrii – GWICVCA, Dr. Adriano De Araújo Gomes, FCHPT,</w:t>
      </w:r>
    </w:p>
    <w:p w14:paraId="24497C0C" w14:textId="77777777" w:rsidR="00EA487B" w:rsidRPr="00A05E4A" w:rsidRDefault="00EA487B" w:rsidP="00E027F7">
      <w:pPr>
        <w:pStyle w:val="Odsekzoznamu"/>
        <w:numPr>
          <w:ilvl w:val="0"/>
          <w:numId w:val="29"/>
        </w:numPr>
        <w:spacing w:after="0" w:line="240" w:lineRule="auto"/>
        <w:jc w:val="both"/>
        <w:rPr>
          <w:rFonts w:cs="Calibri"/>
          <w:bCs/>
          <w:color w:val="000000"/>
          <w:sz w:val="24"/>
          <w:szCs w:val="24"/>
        </w:rPr>
      </w:pPr>
      <w:r w:rsidRPr="00A05E4A">
        <w:rPr>
          <w:rFonts w:cs="Calibri"/>
          <w:bCs/>
          <w:color w:val="000000"/>
          <w:sz w:val="24"/>
          <w:szCs w:val="24"/>
        </w:rPr>
        <w:t>Spoločné aspekty teoretickej fyziky a technických vied, Mgr. Veronika Gáliková, PhD., SjF,</w:t>
      </w:r>
    </w:p>
    <w:p w14:paraId="32288DC9" w14:textId="77777777" w:rsidR="00EA487B" w:rsidRPr="00A05E4A" w:rsidRDefault="00EA487B" w:rsidP="00E027F7">
      <w:pPr>
        <w:pStyle w:val="Odsekzoznamu"/>
        <w:numPr>
          <w:ilvl w:val="0"/>
          <w:numId w:val="29"/>
        </w:numPr>
        <w:spacing w:after="0" w:line="240" w:lineRule="auto"/>
        <w:jc w:val="both"/>
        <w:rPr>
          <w:rFonts w:cs="Calibri"/>
          <w:bCs/>
          <w:color w:val="000000"/>
          <w:sz w:val="24"/>
          <w:szCs w:val="24"/>
        </w:rPr>
      </w:pPr>
      <w:r w:rsidRPr="00A05E4A">
        <w:rPr>
          <w:rFonts w:cs="Calibri"/>
          <w:bCs/>
          <w:color w:val="000000"/>
          <w:sz w:val="24"/>
          <w:szCs w:val="24"/>
        </w:rPr>
        <w:t>Grafický nitrid uhlíka - pokročilé nanomateriály v čistení odpadových vôd, doc. RNDr. Tomáš Homola, PhD., FCHPT,</w:t>
      </w:r>
    </w:p>
    <w:p w14:paraId="58D41F0D" w14:textId="77777777" w:rsidR="00EA487B" w:rsidRPr="00A05E4A" w:rsidRDefault="00EA487B" w:rsidP="00E027F7">
      <w:pPr>
        <w:pStyle w:val="Odsekzoznamu"/>
        <w:numPr>
          <w:ilvl w:val="0"/>
          <w:numId w:val="29"/>
        </w:numPr>
        <w:spacing w:after="0" w:line="240" w:lineRule="auto"/>
        <w:jc w:val="both"/>
        <w:rPr>
          <w:rFonts w:cs="Calibri"/>
          <w:bCs/>
          <w:color w:val="000000"/>
          <w:sz w:val="24"/>
          <w:szCs w:val="24"/>
        </w:rPr>
      </w:pPr>
      <w:r w:rsidRPr="00A05E4A">
        <w:rPr>
          <w:rFonts w:cs="Calibri"/>
          <w:bCs/>
          <w:color w:val="000000"/>
          <w:sz w:val="24"/>
          <w:szCs w:val="24"/>
        </w:rPr>
        <w:t>Výskum regionálnej inovačnej kapacity – REGINNO, Ing. Sila Ceren Varis Husar, PhD., ÚM,</w:t>
      </w:r>
    </w:p>
    <w:p w14:paraId="5CB8170E" w14:textId="77777777" w:rsidR="00EA487B" w:rsidRPr="00A05E4A" w:rsidRDefault="00EA487B" w:rsidP="00E027F7">
      <w:pPr>
        <w:pStyle w:val="Odsekzoznamu"/>
        <w:numPr>
          <w:ilvl w:val="0"/>
          <w:numId w:val="29"/>
        </w:numPr>
        <w:spacing w:after="0" w:line="240" w:lineRule="auto"/>
        <w:jc w:val="both"/>
        <w:rPr>
          <w:rFonts w:cs="Calibri"/>
          <w:bCs/>
          <w:color w:val="000000"/>
          <w:sz w:val="24"/>
          <w:szCs w:val="24"/>
        </w:rPr>
      </w:pPr>
      <w:r w:rsidRPr="00A05E4A">
        <w:rPr>
          <w:rFonts w:cs="Calibri"/>
          <w:bCs/>
          <w:color w:val="000000"/>
          <w:sz w:val="24"/>
          <w:szCs w:val="24"/>
        </w:rPr>
        <w:lastRenderedPageBreak/>
        <w:t>Atomárne 2D vrstvy kvaternárnych a ternárnych zliatin pre inovatívnu fotokatalýzu - A2CAT, Dr. Ravi Kumar Biroju, MTF.</w:t>
      </w:r>
    </w:p>
    <w:p w14:paraId="1D594C0E" w14:textId="77777777" w:rsidR="00EA487B" w:rsidRPr="007050F5" w:rsidRDefault="00EA487B" w:rsidP="00EA487B">
      <w:pPr>
        <w:jc w:val="both"/>
        <w:rPr>
          <w:rFonts w:cs="Calibri"/>
          <w:bCs/>
          <w:color w:val="000000"/>
        </w:rPr>
      </w:pPr>
    </w:p>
    <w:p w14:paraId="05C77202" w14:textId="77777777" w:rsidR="00EA487B" w:rsidRPr="000A64F1" w:rsidRDefault="00EA487B" w:rsidP="00EA487B">
      <w:pPr>
        <w:jc w:val="both"/>
        <w:rPr>
          <w:color w:val="1F497D"/>
        </w:rPr>
      </w:pPr>
      <w:r w:rsidRPr="007050F5">
        <w:rPr>
          <w:rFonts w:cs="Calibri"/>
        </w:rPr>
        <w:t>Viac informácií, nielen o</w:t>
      </w:r>
      <w:r w:rsidRPr="000A64F1">
        <w:t xml:space="preserve"> SASRPO 2 štipendistoch, nájdete na oficiálnej stránke projektu </w:t>
      </w:r>
      <w:hyperlink r:id="rId93" w:history="1">
        <w:r w:rsidRPr="000A64F1">
          <w:rPr>
            <w:rStyle w:val="Hypertextovprepojenie"/>
          </w:rPr>
          <w:t>www.saspro2.sav.sk</w:t>
        </w:r>
      </w:hyperlink>
      <w:r w:rsidRPr="000A64F1">
        <w:rPr>
          <w:color w:val="1F497D"/>
        </w:rPr>
        <w:t>.</w:t>
      </w:r>
    </w:p>
    <w:p w14:paraId="4F6D5DB0" w14:textId="77777777" w:rsidR="00EA487B" w:rsidRPr="000A64F1" w:rsidRDefault="00EA487B" w:rsidP="00EA487B"/>
    <w:p w14:paraId="31B01429" w14:textId="77777777" w:rsidR="00EA487B" w:rsidRPr="000A64F1" w:rsidRDefault="00EA487B" w:rsidP="00EA487B">
      <w:pPr>
        <w:jc w:val="both"/>
        <w:rPr>
          <w:i/>
          <w:iCs/>
        </w:rPr>
      </w:pPr>
      <w:r w:rsidRPr="000A64F1">
        <w:rPr>
          <w:i/>
          <w:iCs/>
        </w:rPr>
        <w:t>Tento projekt získal financovanie z výskumného a inovačného programu Európskej únie Horizon 2020 v rámci Marie Skłodowska – Curie, dohody o grante č. 945478.</w:t>
      </w:r>
    </w:p>
    <w:p w14:paraId="4B023FF6" w14:textId="77777777" w:rsidR="00EA487B" w:rsidRPr="000A64F1" w:rsidRDefault="00EA487B" w:rsidP="00EA487B">
      <w:pPr>
        <w:pStyle w:val="Default"/>
        <w:jc w:val="both"/>
        <w:rPr>
          <w:rStyle w:val="Vrazn"/>
          <w:rFonts w:cstheme="majorHAnsi"/>
          <w:b w:val="0"/>
          <w:iCs/>
          <w:color w:val="auto"/>
          <w:lang w:val="sk-SK"/>
        </w:rPr>
      </w:pPr>
    </w:p>
    <w:p w14:paraId="305C9CC1" w14:textId="77777777" w:rsidR="00EA487B" w:rsidRPr="000A64F1" w:rsidRDefault="00EA487B" w:rsidP="00EA487B">
      <w:pPr>
        <w:pStyle w:val="Default"/>
        <w:jc w:val="both"/>
        <w:rPr>
          <w:rStyle w:val="Vrazn"/>
          <w:rFonts w:cstheme="majorHAnsi"/>
          <w:b w:val="0"/>
          <w:iCs/>
          <w:color w:val="auto"/>
          <w:lang w:val="sk-SK"/>
        </w:rPr>
      </w:pPr>
    </w:p>
    <w:p w14:paraId="6BF67087" w14:textId="348A30FD" w:rsidR="00EA487B" w:rsidRPr="000A64F1" w:rsidRDefault="00456C9E" w:rsidP="00EA487B">
      <w:pPr>
        <w:jc w:val="both"/>
        <w:rPr>
          <w:b/>
          <w:color w:val="000000" w:themeColor="text1"/>
          <w:sz w:val="28"/>
          <w:szCs w:val="28"/>
        </w:rPr>
      </w:pPr>
      <w:r>
        <w:rPr>
          <w:b/>
          <w:color w:val="000000" w:themeColor="text1"/>
          <w:sz w:val="28"/>
          <w:szCs w:val="28"/>
        </w:rPr>
        <w:t>5.10</w:t>
      </w:r>
      <w:r w:rsidR="00EA487B" w:rsidRPr="000A64F1">
        <w:rPr>
          <w:b/>
          <w:color w:val="000000" w:themeColor="text1"/>
          <w:sz w:val="28"/>
          <w:szCs w:val="28"/>
        </w:rPr>
        <w:t>.</w:t>
      </w:r>
      <w:r w:rsidR="00EA487B" w:rsidRPr="000A64F1">
        <w:rPr>
          <w:b/>
          <w:color w:val="000000" w:themeColor="text1"/>
          <w:sz w:val="28"/>
          <w:szCs w:val="28"/>
        </w:rPr>
        <w:tab/>
        <w:t>Významné výsledky dosiahnuté v oblasti vedy, techniky a umenia na Slovenskej technickej univerzite v roku 2022</w:t>
      </w:r>
    </w:p>
    <w:p w14:paraId="6847D1C4" w14:textId="77777777" w:rsidR="00EA487B" w:rsidRPr="000A64F1" w:rsidRDefault="00EA487B" w:rsidP="00EA487B">
      <w:pPr>
        <w:pStyle w:val="Default"/>
        <w:rPr>
          <w:rFonts w:asciiTheme="majorHAnsi" w:hAnsiTheme="majorHAnsi" w:cstheme="majorHAnsi"/>
          <w:color w:val="auto"/>
          <w:lang w:val="sk-SK"/>
        </w:rPr>
      </w:pPr>
    </w:p>
    <w:p w14:paraId="26474D9B" w14:textId="77777777" w:rsidR="00EA487B" w:rsidRPr="000A64F1" w:rsidRDefault="00EA487B" w:rsidP="00EA487B">
      <w:pPr>
        <w:jc w:val="both"/>
      </w:pPr>
      <w:r w:rsidRPr="000A64F1">
        <w:rPr>
          <w:rFonts w:eastAsia="Times New Roman" w:cs="Arial"/>
          <w:lang w:eastAsia="sk-SK"/>
        </w:rPr>
        <w:t>Koncom novembra 2022 sa STU úspešne pripojila k vedeckým inštitúciám Európskej Únie, ktoré získali značku „</w:t>
      </w:r>
      <w:r w:rsidRPr="000A64F1">
        <w:rPr>
          <w:rFonts w:eastAsia="Times New Roman" w:cs="Arial"/>
          <w:b/>
          <w:lang w:eastAsia="sk-SK"/>
        </w:rPr>
        <w:t>HR Excellence in Research</w:t>
      </w:r>
      <w:r w:rsidRPr="000A64F1">
        <w:rPr>
          <w:rFonts w:eastAsia="Times New Roman" w:cs="Arial"/>
          <w:lang w:eastAsia="sk-SK"/>
        </w:rPr>
        <w:t>“. Ide o </w:t>
      </w:r>
      <w:r w:rsidRPr="000A64F1">
        <w:rPr>
          <w:rFonts w:eastAsia="Times New Roman" w:cs="Arial"/>
          <w:b/>
          <w:lang w:eastAsia="sk-SK"/>
        </w:rPr>
        <w:t>prestížne ocenenie</w:t>
      </w:r>
      <w:r w:rsidRPr="000A64F1">
        <w:rPr>
          <w:rFonts w:eastAsia="Times New Roman" w:cs="Arial"/>
          <w:lang w:eastAsia="sk-SK"/>
        </w:rPr>
        <w:t xml:space="preserve"> udeľované Európskou komisiou inštitúciám, ktoré preukázali svoj záväzok dodržiavať 40 princípov a zásad</w:t>
      </w:r>
      <w:r w:rsidRPr="000A64F1">
        <w:t xml:space="preserve"> Európskej charty výskumných pracovníkov a Kódexu správania pre nábor výskumných pracovníkov v rámci Stratégie ľudských zdrojov vo výskume (Human Resources Strategy for Researchers – HRS4R).</w:t>
      </w:r>
    </w:p>
    <w:p w14:paraId="18790163" w14:textId="77777777" w:rsidR="00EA487B" w:rsidRPr="000A64F1" w:rsidRDefault="00EA487B" w:rsidP="00EA487B">
      <w:pPr>
        <w:jc w:val="both"/>
      </w:pPr>
    </w:p>
    <w:p w14:paraId="7536F0C7" w14:textId="1CDB847E" w:rsidR="00EA487B" w:rsidRPr="000A64F1" w:rsidRDefault="00EA487B" w:rsidP="00EA487B">
      <w:pPr>
        <w:jc w:val="both"/>
      </w:pPr>
      <w:r w:rsidRPr="000A64F1">
        <w:rPr>
          <w:rStyle w:val="Vrazn"/>
        </w:rPr>
        <w:t xml:space="preserve">Program L'Oréal - UNESCO Pre ženy vo vede na Slovensku ocenil </w:t>
      </w:r>
      <w:r w:rsidRPr="00A05E4A">
        <w:rPr>
          <w:rStyle w:val="Vrazn"/>
          <w:b w:val="0"/>
        </w:rPr>
        <w:t>tri talentované vedkyne</w:t>
      </w:r>
      <w:r w:rsidRPr="000A64F1">
        <w:rPr>
          <w:rStyle w:val="Vrazn"/>
        </w:rPr>
        <w:t xml:space="preserve">. </w:t>
      </w:r>
      <w:r w:rsidRPr="00A05E4A">
        <w:rPr>
          <w:b/>
        </w:rPr>
        <w:t>V kategórii inžinierske vedy a technológie zvíťazila Bc. Xiaolu Hou, Ph.D., ktorá pôsobí na FIIT STU.</w:t>
      </w:r>
      <w:r w:rsidRPr="000A64F1">
        <w:t xml:space="preserve"> </w:t>
      </w:r>
      <w:r w:rsidR="00A05E4A">
        <w:t>S</w:t>
      </w:r>
      <w:r w:rsidRPr="000A64F1">
        <w:t>kúma možné útoky a protiopatrenia na implementáciu umelej inteligencie vo vstavaných zariadeniach. Výsledky jej výskumu sa dajú použiť na ochranu súkromia používateľov a dôvernosti údajov pre zariadenia internetu vecí.</w:t>
      </w:r>
    </w:p>
    <w:p w14:paraId="57BFFCE0" w14:textId="77777777" w:rsidR="00EA487B" w:rsidRPr="000A64F1" w:rsidRDefault="00EA487B" w:rsidP="00EA487B">
      <w:pPr>
        <w:jc w:val="both"/>
      </w:pPr>
    </w:p>
    <w:p w14:paraId="7B54FD81" w14:textId="77777777" w:rsidR="00EA487B" w:rsidRPr="000A64F1" w:rsidRDefault="00EA487B" w:rsidP="00EA487B">
      <w:pPr>
        <w:jc w:val="both"/>
      </w:pPr>
      <w:r w:rsidRPr="000A64F1">
        <w:t xml:space="preserve">Finalistkou kategórie Výnimočná osobnosť vysokoškolského vzdelávania 2022, ocenenia </w:t>
      </w:r>
      <w:r w:rsidRPr="000A64F1">
        <w:rPr>
          <w:b/>
        </w:rPr>
        <w:t xml:space="preserve">ESET Science Award </w:t>
      </w:r>
      <w:r w:rsidRPr="000A64F1">
        <w:t xml:space="preserve">bola </w:t>
      </w:r>
      <w:r w:rsidRPr="00A05E4A">
        <w:rPr>
          <w:b/>
        </w:rPr>
        <w:t>doc. Ing. Andrea Šagátová, PhD., z FEI STU</w:t>
      </w:r>
      <w:r w:rsidRPr="000A64F1">
        <w:t xml:space="preserve">, ktorá sa </w:t>
      </w:r>
      <w:r w:rsidRPr="000A64F1">
        <w:rPr>
          <w:color w:val="333333"/>
        </w:rPr>
        <w:t>primárne venuje témam jadrovej fyziky a techniky. Okrem pedagogickej činnosti sa venuje vedeckému výskumu spojenému s mierovým využitím radiácie, ktorého výsledky možno uplatniť v mnohých oblastiach života, napríklad v zdravotníctve, v životnom prostredí, v priemysle, vo vesmíre, ale aj v umení. Svoje poslanie vidí v odbore, ktorému sa venuje.</w:t>
      </w:r>
    </w:p>
    <w:p w14:paraId="068E3FCB" w14:textId="77777777" w:rsidR="00EA487B" w:rsidRPr="000A64F1" w:rsidRDefault="00EA487B" w:rsidP="00EA487B">
      <w:pPr>
        <w:jc w:val="both"/>
      </w:pPr>
    </w:p>
    <w:p w14:paraId="1A320107" w14:textId="77777777" w:rsidR="00EA487B" w:rsidRPr="000A64F1" w:rsidRDefault="00EA487B" w:rsidP="00EA487B">
      <w:pPr>
        <w:jc w:val="both"/>
      </w:pPr>
      <w:r w:rsidRPr="000A64F1">
        <w:t xml:space="preserve">Úrad pre normalizáciu, metrológiu a skúšobníctvo Slovenskej republiky vyhodnotil ako </w:t>
      </w:r>
      <w:r w:rsidRPr="000A64F1">
        <w:rPr>
          <w:b/>
        </w:rPr>
        <w:t>najlepší vedecký príspevok v oblasti kvality</w:t>
      </w:r>
      <w:r w:rsidRPr="000A64F1">
        <w:t xml:space="preserve"> za rok 2022 príspevok zástupcov </w:t>
      </w:r>
      <w:r w:rsidRPr="00A05E4A">
        <w:rPr>
          <w:b/>
        </w:rPr>
        <w:t>Ústavu výrobných systémov, environmentálnej techniky a manažmentu kvality Strojníckej fakulty STU</w:t>
      </w:r>
      <w:r w:rsidRPr="000A64F1">
        <w:t xml:space="preserve"> v Bratislave, </w:t>
      </w:r>
      <w:r>
        <w:t xml:space="preserve">doc. Ing. </w:t>
      </w:r>
      <w:r w:rsidRPr="000A64F1">
        <w:t>Petra Križana,</w:t>
      </w:r>
      <w:r>
        <w:t xml:space="preserve"> PhD., </w:t>
      </w:r>
      <w:r w:rsidRPr="000A64F1">
        <w:t xml:space="preserve"> </w:t>
      </w:r>
      <w:r w:rsidRPr="00E44020">
        <w:t xml:space="preserve">Dr.h.c. prof. Ing. </w:t>
      </w:r>
      <w:r w:rsidRPr="000A64F1">
        <w:t>Ľubomíra Šooša</w:t>
      </w:r>
      <w:r>
        <w:t>, PhD.</w:t>
      </w:r>
      <w:r w:rsidRPr="000A64F1">
        <w:t xml:space="preserve"> a</w:t>
      </w:r>
      <w:r>
        <w:t xml:space="preserve"> doc. Ing. </w:t>
      </w:r>
      <w:r w:rsidRPr="000A64F1">
        <w:t>Ľudovíta Kollátha</w:t>
      </w:r>
      <w:r>
        <w:t>, PhD.,</w:t>
      </w:r>
      <w:r w:rsidRPr="000A64F1">
        <w:t xml:space="preserve"> s názvom Výskum materiálového zhodnocovania komunálneho odpadu technológiou briketovania.</w:t>
      </w:r>
    </w:p>
    <w:p w14:paraId="0B5E1874" w14:textId="77777777" w:rsidR="00EA487B" w:rsidRPr="000A64F1" w:rsidRDefault="00EA487B" w:rsidP="00EA487B">
      <w:pPr>
        <w:jc w:val="both"/>
      </w:pPr>
    </w:p>
    <w:p w14:paraId="33DCC261" w14:textId="77777777" w:rsidR="00EA487B" w:rsidRPr="000A64F1" w:rsidRDefault="00EA487B" w:rsidP="00EA487B">
      <w:pPr>
        <w:jc w:val="both"/>
      </w:pPr>
      <w:r w:rsidRPr="000A64F1">
        <w:rPr>
          <w:b/>
          <w:bCs/>
        </w:rPr>
        <w:t xml:space="preserve">Slovenská zváračská spoločnosť </w:t>
      </w:r>
      <w:r w:rsidRPr="000A64F1">
        <w:rPr>
          <w:bCs/>
        </w:rPr>
        <w:t>ako člen Zväzu slovenských vedeckotechnických spoločností</w:t>
      </w:r>
      <w:r w:rsidRPr="000A64F1">
        <w:t xml:space="preserve">, udelila ocenenie v kategórii </w:t>
      </w:r>
      <w:r w:rsidRPr="00A05E4A">
        <w:rPr>
          <w:b/>
        </w:rPr>
        <w:t>„</w:t>
      </w:r>
      <w:r w:rsidRPr="00A05E4A">
        <w:rPr>
          <w:b/>
          <w:bCs/>
        </w:rPr>
        <w:t>NAJoriginálnejší príspevok</w:t>
      </w:r>
      <w:r w:rsidRPr="00A05E4A">
        <w:rPr>
          <w:b/>
        </w:rPr>
        <w:t xml:space="preserve">“ za rok 2021 </w:t>
      </w:r>
      <w:r w:rsidRPr="00A05E4A">
        <w:rPr>
          <w:b/>
          <w:bCs/>
        </w:rPr>
        <w:t>prof. Ing. Romanovi Koleňákovi, PhD., z MTF STU,</w:t>
      </w:r>
      <w:r w:rsidRPr="000A64F1">
        <w:rPr>
          <w:bCs/>
        </w:rPr>
        <w:t xml:space="preserve"> za </w:t>
      </w:r>
      <w:r w:rsidRPr="000A64F1">
        <w:t>výsledky výskumnej práce publikované v príspevku s názvom „Ultrazvukové spájkovanie kombinácie AlN keramika/meď“.</w:t>
      </w:r>
    </w:p>
    <w:p w14:paraId="3719CB78" w14:textId="77777777" w:rsidR="00EA487B" w:rsidRPr="000A64F1" w:rsidRDefault="00EA487B" w:rsidP="00EA487B">
      <w:pPr>
        <w:jc w:val="both"/>
      </w:pPr>
    </w:p>
    <w:p w14:paraId="739F9854" w14:textId="29376E9D" w:rsidR="00EA487B" w:rsidRPr="000A64F1" w:rsidRDefault="00EA487B" w:rsidP="00EA487B">
      <w:pPr>
        <w:jc w:val="both"/>
      </w:pPr>
      <w:r w:rsidRPr="000A64F1">
        <w:t xml:space="preserve">Cenu Ministerstva kultúry SR </w:t>
      </w:r>
      <w:r w:rsidRPr="000A64F1">
        <w:rPr>
          <w:b/>
        </w:rPr>
        <w:t>Kultúrna pamiatka roka – Fénix</w:t>
      </w:r>
      <w:r w:rsidRPr="000A64F1">
        <w:t xml:space="preserve">, za obnovu/reštaurovanie objektu národnej kultúrnej pamiatky alebo jeho ucelenej časti v máji 2022 získali </w:t>
      </w:r>
      <w:r w:rsidRPr="00A05E4A">
        <w:rPr>
          <w:b/>
        </w:rPr>
        <w:t xml:space="preserve">architekti  </w:t>
      </w:r>
      <w:r w:rsidRPr="00A05E4A">
        <w:rPr>
          <w:b/>
        </w:rPr>
        <w:lastRenderedPageBreak/>
        <w:t xml:space="preserve">FAD </w:t>
      </w:r>
      <w:r w:rsidR="00D232A7">
        <w:rPr>
          <w:b/>
        </w:rPr>
        <w:t xml:space="preserve">STU, </w:t>
      </w:r>
      <w:r w:rsidRPr="00A05E4A">
        <w:rPr>
          <w:b/>
        </w:rPr>
        <w:t>doc. Ing. arch. Mgr. Andrej Botek, PhD. a Ing. arch. Pavol Pauliny, PhD.</w:t>
      </w:r>
      <w:r>
        <w:t>,</w:t>
      </w:r>
      <w:r w:rsidRPr="000A64F1">
        <w:t xml:space="preserve"> za Meštiansky dom v opevnení Martineum v Bratislave. </w:t>
      </w:r>
    </w:p>
    <w:p w14:paraId="4CA3B145" w14:textId="77777777" w:rsidR="00EA487B" w:rsidRPr="000A64F1" w:rsidRDefault="00EA487B" w:rsidP="00EA487B">
      <w:pPr>
        <w:jc w:val="both"/>
      </w:pPr>
    </w:p>
    <w:p w14:paraId="3ED48D7E" w14:textId="367BDFE6" w:rsidR="00EA487B" w:rsidRPr="000A64F1" w:rsidRDefault="00EA487B" w:rsidP="00EA487B">
      <w:pPr>
        <w:jc w:val="both"/>
      </w:pPr>
      <w:r w:rsidRPr="000A64F1">
        <w:t xml:space="preserve">Rada pre vedu, vzdelanie a kultúru KBS udelila </w:t>
      </w:r>
      <w:r w:rsidRPr="000A64F1">
        <w:rPr>
          <w:b/>
        </w:rPr>
        <w:t>Cenu Fra Angelica</w:t>
      </w:r>
      <w:r w:rsidRPr="000A64F1">
        <w:t xml:space="preserve"> za prínos pre umenie a kultúru dvanástim laureátom, medzi ktorými bol architekt </w:t>
      </w:r>
      <w:r w:rsidRPr="00A05E4A">
        <w:rPr>
          <w:b/>
        </w:rPr>
        <w:t>Ing. arch. Michal Bogár, PhD., z</w:t>
      </w:r>
      <w:r w:rsidR="00D232A7">
        <w:rPr>
          <w:b/>
        </w:rPr>
        <w:t> </w:t>
      </w:r>
      <w:r w:rsidRPr="00A05E4A">
        <w:rPr>
          <w:b/>
        </w:rPr>
        <w:t>FAD</w:t>
      </w:r>
      <w:r w:rsidR="00D232A7">
        <w:rPr>
          <w:b/>
        </w:rPr>
        <w:t xml:space="preserve"> STU</w:t>
      </w:r>
      <w:r w:rsidRPr="000A64F1">
        <w:t>.</w:t>
      </w:r>
    </w:p>
    <w:p w14:paraId="7B44E40D" w14:textId="77777777" w:rsidR="00EA487B" w:rsidRPr="000A64F1" w:rsidRDefault="00EA487B" w:rsidP="00EA487B">
      <w:pPr>
        <w:jc w:val="both"/>
      </w:pPr>
    </w:p>
    <w:p w14:paraId="1CEDB94A" w14:textId="7FA89A2E" w:rsidR="00EA487B" w:rsidRPr="000A64F1" w:rsidRDefault="00EA487B" w:rsidP="00EA487B">
      <w:pPr>
        <w:jc w:val="both"/>
      </w:pPr>
      <w:r w:rsidRPr="000A64F1">
        <w:rPr>
          <w:b/>
        </w:rPr>
        <w:t>Cenu CE ZA AR 2022</w:t>
      </w:r>
      <w:r w:rsidRPr="000A64F1">
        <w:t xml:space="preserve"> v kategórii Exteriér - Obnova turistického areálu Malý Slavín v Mestských lesoch Bratislavy získal kolektív autorov, v ktorom pôsobil </w:t>
      </w:r>
      <w:r w:rsidRPr="00A05E4A">
        <w:rPr>
          <w:b/>
        </w:rPr>
        <w:t>Ing. arch. Róbert Bakyta z Fakulty architektúry a</w:t>
      </w:r>
      <w:r w:rsidR="00D232A7">
        <w:rPr>
          <w:b/>
        </w:rPr>
        <w:t> </w:t>
      </w:r>
      <w:r w:rsidRPr="00A05E4A">
        <w:rPr>
          <w:b/>
        </w:rPr>
        <w:t>dizajnu</w:t>
      </w:r>
      <w:r w:rsidR="00D232A7">
        <w:rPr>
          <w:b/>
        </w:rPr>
        <w:t xml:space="preserve"> STU</w:t>
      </w:r>
      <w:r w:rsidRPr="000A64F1">
        <w:t>.</w:t>
      </w:r>
    </w:p>
    <w:p w14:paraId="66EA1B61" w14:textId="77777777" w:rsidR="00EA487B" w:rsidRPr="000A64F1" w:rsidRDefault="00EA487B" w:rsidP="00EA487B">
      <w:pPr>
        <w:jc w:val="both"/>
      </w:pPr>
    </w:p>
    <w:p w14:paraId="3E294DBA" w14:textId="77777777" w:rsidR="00EA487B" w:rsidRPr="000A64F1" w:rsidRDefault="00EA487B" w:rsidP="00EA487B">
      <w:pPr>
        <w:jc w:val="both"/>
      </w:pPr>
      <w:r w:rsidRPr="000A64F1">
        <w:t xml:space="preserve">Spolok architektov Slovenska slávnostne odovzdal </w:t>
      </w:r>
      <w:r w:rsidRPr="000A64F1">
        <w:rPr>
          <w:b/>
        </w:rPr>
        <w:t>Cenu Dušana Jurkoviča</w:t>
      </w:r>
      <w:r w:rsidRPr="000A64F1">
        <w:t xml:space="preserve">. Ocenenie získal kolektív autorov za realizáciu diela Konverzia Jurkovičovej Teplárne v Bratislave. Členom víťazného tímu je pedagóg FAD STU, vedúci Ústavu dejín a teórie architektúry a obnovy pamiatok, Ing. arch. Pavol Pauliny, PhD. Nomináciu získala aj realizácia rekonštrukcie Martinea pri katedrále sv. Martina v Bratislave, ktorej autormi sú  </w:t>
      </w:r>
      <w:r w:rsidRPr="00D232A7">
        <w:rPr>
          <w:b/>
        </w:rPr>
        <w:t>pedagógovia FAD doc. Mgr. Ing. arch. Andrej Botek, PhD a Ing. arch. Pavol Pauliny, PhD.</w:t>
      </w:r>
      <w:r w:rsidRPr="000A64F1">
        <w:t> </w:t>
      </w:r>
    </w:p>
    <w:p w14:paraId="5197AB37" w14:textId="77777777" w:rsidR="00EA487B" w:rsidRPr="000A64F1" w:rsidRDefault="00EA487B" w:rsidP="00EA487B">
      <w:pPr>
        <w:jc w:val="both"/>
      </w:pPr>
    </w:p>
    <w:p w14:paraId="4290443B" w14:textId="77777777" w:rsidR="00EA487B" w:rsidRPr="000A64F1" w:rsidRDefault="00EA487B" w:rsidP="00EA487B">
      <w:pPr>
        <w:jc w:val="both"/>
      </w:pPr>
      <w:r w:rsidRPr="00D232A7">
        <w:rPr>
          <w:b/>
        </w:rPr>
        <w:t>Ing. Miroslava Mališová</w:t>
      </w:r>
      <w:r w:rsidRPr="000A64F1">
        <w:t xml:space="preserve">, študentka tretieho ročníka doktorandského štúdia na FCHPT STU, získala </w:t>
      </w:r>
      <w:r w:rsidRPr="000A64F1">
        <w:rPr>
          <w:b/>
        </w:rPr>
        <w:t>Cenu sv. Gorazda</w:t>
      </w:r>
      <w:r w:rsidRPr="000A64F1">
        <w:t>. Prestížne ocenenie jej ministerstvo školstva udelilo za inovatívny prístup pri výskume bionafty, výnimočné študijné úspechy, reprezentáciu fakulty a univerzity na slovenskej a svetovej úrovni a za osvetovú činnosť v oblasti vedy a techniky.</w:t>
      </w:r>
    </w:p>
    <w:p w14:paraId="339670D0" w14:textId="77777777" w:rsidR="00EA487B" w:rsidRPr="000A64F1" w:rsidRDefault="00EA487B" w:rsidP="00EA487B">
      <w:pPr>
        <w:jc w:val="both"/>
      </w:pPr>
    </w:p>
    <w:p w14:paraId="2D72AC30" w14:textId="77777777" w:rsidR="00EA487B" w:rsidRPr="000A64F1" w:rsidRDefault="00EA487B" w:rsidP="00EA487B">
      <w:pPr>
        <w:jc w:val="both"/>
      </w:pPr>
      <w:r w:rsidRPr="000A64F1">
        <w:t xml:space="preserve">Na medzinárodnej výstave územného plánovania získal študentský projekt vedený </w:t>
      </w:r>
      <w:r w:rsidRPr="00D232A7">
        <w:rPr>
          <w:b/>
        </w:rPr>
        <w:t>ÚM STU</w:t>
      </w:r>
      <w:r w:rsidRPr="000A64F1">
        <w:t xml:space="preserve"> ocenenie </w:t>
      </w:r>
      <w:r w:rsidRPr="000A64F1">
        <w:rPr>
          <w:b/>
        </w:rPr>
        <w:t>Srbskej asociácie plánovačov</w:t>
      </w:r>
      <w:r w:rsidRPr="000A64F1">
        <w:t xml:space="preserve"> za projekt „Pozitívne energetické štvrte – trojnárodný kurz o prístupoch integrovaného priestorového a energetického plánovania pre existujúce sídla“. Téma pozitívnych energetických štvrtí (Positive Energy District – PED) sa dostáva do popredia ako jedno z kľúčových riešení aktuálnej energetickej krízy a poskytuje nástroje pre transformáciu miest smerom k udržateľnosti a nezávislosti. </w:t>
      </w:r>
    </w:p>
    <w:p w14:paraId="23447200" w14:textId="77777777" w:rsidR="00EA487B" w:rsidRPr="000A64F1" w:rsidRDefault="00EA487B" w:rsidP="00EA487B">
      <w:pPr>
        <w:jc w:val="both"/>
      </w:pPr>
    </w:p>
    <w:p w14:paraId="13D62532" w14:textId="77777777" w:rsidR="00EA487B" w:rsidRPr="000A64F1" w:rsidRDefault="00EA487B" w:rsidP="00EA487B">
      <w:pPr>
        <w:jc w:val="both"/>
      </w:pPr>
      <w:bookmarkStart w:id="206" w:name="_Toc64379199"/>
    </w:p>
    <w:p w14:paraId="195DB5AD" w14:textId="2A4A796B" w:rsidR="00EA487B" w:rsidRPr="000A64F1" w:rsidRDefault="00D232A7" w:rsidP="00EA487B">
      <w:pPr>
        <w:rPr>
          <w:b/>
          <w:sz w:val="32"/>
          <w:szCs w:val="32"/>
        </w:rPr>
      </w:pPr>
      <w:r>
        <w:rPr>
          <w:b/>
          <w:sz w:val="32"/>
          <w:szCs w:val="32"/>
        </w:rPr>
        <w:t>6</w:t>
      </w:r>
      <w:r w:rsidR="00EA487B" w:rsidRPr="000A64F1">
        <w:rPr>
          <w:b/>
          <w:sz w:val="32"/>
          <w:szCs w:val="32"/>
        </w:rPr>
        <w:t>. Habilitačné konania a konania na vymenúvanie profesorov</w:t>
      </w:r>
      <w:bookmarkEnd w:id="206"/>
    </w:p>
    <w:p w14:paraId="3B0F5E67" w14:textId="77777777" w:rsidR="00EA487B" w:rsidRPr="000A64F1" w:rsidRDefault="00EA487B" w:rsidP="00EA487B"/>
    <w:p w14:paraId="57A563DE" w14:textId="27BFAEC6" w:rsidR="00EA487B" w:rsidRPr="000A64F1" w:rsidRDefault="00EA487B" w:rsidP="00EA487B">
      <w:pPr>
        <w:jc w:val="both"/>
        <w:rPr>
          <w:rFonts w:cs="Calibri"/>
        </w:rPr>
      </w:pPr>
      <w:r w:rsidRPr="000A64F1">
        <w:rPr>
          <w:rFonts w:cs="Calibri"/>
        </w:rPr>
        <w:t xml:space="preserve">Na zasadnutiach Vedeckej rady STU (VR STU) boli prerokované návrhy na vymenovanie za profesora, ktoré predkladali dekani fakúlt. Spolu bolo prerokovaných 6 návrhov (tab. č. </w:t>
      </w:r>
      <w:r w:rsidR="00D232A7">
        <w:rPr>
          <w:rFonts w:cs="Calibri"/>
        </w:rPr>
        <w:t>4</w:t>
      </w:r>
      <w:r w:rsidRPr="000A64F1">
        <w:rPr>
          <w:rFonts w:cs="Calibri"/>
        </w:rPr>
        <w:t>7). Z toho 5 návrhov boli muži a 1 ná</w:t>
      </w:r>
      <w:r w:rsidR="00D232A7">
        <w:rPr>
          <w:rFonts w:cs="Calibri"/>
        </w:rPr>
        <w:t>vrh žena. Schválené návrhy predseda VR STU postúpil</w:t>
      </w:r>
      <w:r w:rsidRPr="000A64F1">
        <w:rPr>
          <w:rFonts w:cs="Calibri"/>
        </w:rPr>
        <w:t xml:space="preserve"> na MŠVVaŠ SR v počte 4. Neschválený bol 1 návrh a o 1 návrhu sa kvôli procesnému pochybeniu nehlasovalo. </w:t>
      </w:r>
    </w:p>
    <w:p w14:paraId="7EF51C4D" w14:textId="77777777" w:rsidR="00EA487B" w:rsidRPr="000A64F1" w:rsidRDefault="00EA487B" w:rsidP="00EA487B">
      <w:pPr>
        <w:jc w:val="both"/>
      </w:pPr>
    </w:p>
    <w:p w14:paraId="1C4BC251" w14:textId="6AC38958" w:rsidR="00EA487B" w:rsidRPr="000A64F1" w:rsidRDefault="00EA487B" w:rsidP="00EA487B">
      <w:r w:rsidRPr="000A64F1">
        <w:rPr>
          <w:rFonts w:cs="Times New Roman"/>
        </w:rPr>
        <w:t xml:space="preserve">Tab. č. </w:t>
      </w:r>
      <w:r w:rsidR="00D232A7">
        <w:rPr>
          <w:rFonts w:cs="Times New Roman"/>
        </w:rPr>
        <w:t>4</w:t>
      </w:r>
      <w:r w:rsidRPr="000A64F1">
        <w:rPr>
          <w:rFonts w:cs="Times New Roman"/>
        </w:rPr>
        <w:t>7: Prehľad návrhov na vymenovanie za profesora na VR STU podľa fakúlt</w:t>
      </w:r>
    </w:p>
    <w:tbl>
      <w:tblPr>
        <w:tblW w:w="9020" w:type="dxa"/>
        <w:tblInd w:w="-5" w:type="dxa"/>
        <w:tblCellMar>
          <w:left w:w="70" w:type="dxa"/>
          <w:right w:w="70" w:type="dxa"/>
        </w:tblCellMar>
        <w:tblLook w:val="04A0" w:firstRow="1" w:lastRow="0" w:firstColumn="1" w:lastColumn="0" w:noHBand="0" w:noVBand="1"/>
      </w:tblPr>
      <w:tblGrid>
        <w:gridCol w:w="1340"/>
        <w:gridCol w:w="960"/>
        <w:gridCol w:w="960"/>
        <w:gridCol w:w="960"/>
        <w:gridCol w:w="960"/>
        <w:gridCol w:w="960"/>
        <w:gridCol w:w="960"/>
        <w:gridCol w:w="960"/>
        <w:gridCol w:w="960"/>
      </w:tblGrid>
      <w:tr w:rsidR="00EA487B" w:rsidRPr="000A64F1" w14:paraId="2450B123" w14:textId="77777777" w:rsidTr="00EA487B">
        <w:trPr>
          <w:trHeight w:val="310"/>
        </w:trPr>
        <w:tc>
          <w:tcPr>
            <w:tcW w:w="1340"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216A5925"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VR STU</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07EAB15E"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SvF</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51A31D38"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SjF</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79A4BE6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FEI</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4029D6E1"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FCHPT</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20253EA5"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FAD</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4FE10FA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MTF</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0822D0C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FIIT</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3AB09BAB"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STU</w:t>
            </w:r>
          </w:p>
        </w:tc>
      </w:tr>
      <w:tr w:rsidR="00EA487B" w:rsidRPr="000A64F1" w14:paraId="6E1AF9FB" w14:textId="77777777" w:rsidTr="00EA487B">
        <w:trPr>
          <w:trHeight w:val="310"/>
        </w:trPr>
        <w:tc>
          <w:tcPr>
            <w:tcW w:w="1340" w:type="dxa"/>
            <w:tcBorders>
              <w:top w:val="nil"/>
              <w:left w:val="single" w:sz="4" w:space="0" w:color="auto"/>
              <w:bottom w:val="single" w:sz="4" w:space="0" w:color="auto"/>
              <w:right w:val="single" w:sz="4" w:space="0" w:color="auto"/>
            </w:tcBorders>
            <w:shd w:val="clear" w:color="000000" w:fill="EBF1DE"/>
            <w:vAlign w:val="center"/>
            <w:hideMark/>
          </w:tcPr>
          <w:p w14:paraId="46A8402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21.3.2022</w:t>
            </w:r>
          </w:p>
        </w:tc>
        <w:tc>
          <w:tcPr>
            <w:tcW w:w="960" w:type="dxa"/>
            <w:tcBorders>
              <w:top w:val="nil"/>
              <w:left w:val="nil"/>
              <w:bottom w:val="single" w:sz="4" w:space="0" w:color="auto"/>
              <w:right w:val="single" w:sz="4" w:space="0" w:color="auto"/>
            </w:tcBorders>
            <w:shd w:val="clear" w:color="000000" w:fill="FFFFFF"/>
            <w:vAlign w:val="center"/>
            <w:hideMark/>
          </w:tcPr>
          <w:p w14:paraId="3FB26ACB"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14:paraId="3AB7B7ED"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14:paraId="3517D232"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14:paraId="6DE78C7F"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14:paraId="6705D726"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14:paraId="661BC61D"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960" w:type="dxa"/>
            <w:tcBorders>
              <w:top w:val="nil"/>
              <w:left w:val="nil"/>
              <w:bottom w:val="single" w:sz="4" w:space="0" w:color="auto"/>
              <w:right w:val="single" w:sz="4" w:space="0" w:color="auto"/>
            </w:tcBorders>
            <w:shd w:val="clear" w:color="000000" w:fill="FFFFFF"/>
            <w:vAlign w:val="center"/>
            <w:hideMark/>
          </w:tcPr>
          <w:p w14:paraId="528C234C"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EBF1DE"/>
            <w:vAlign w:val="center"/>
            <w:hideMark/>
          </w:tcPr>
          <w:p w14:paraId="6532EF80"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r>
      <w:tr w:rsidR="00EA487B" w:rsidRPr="000A64F1" w14:paraId="29EBCFB4" w14:textId="77777777" w:rsidTr="00EA487B">
        <w:trPr>
          <w:trHeight w:val="310"/>
        </w:trPr>
        <w:tc>
          <w:tcPr>
            <w:tcW w:w="1340" w:type="dxa"/>
            <w:tcBorders>
              <w:top w:val="nil"/>
              <w:left w:val="single" w:sz="4" w:space="0" w:color="auto"/>
              <w:bottom w:val="single" w:sz="4" w:space="0" w:color="auto"/>
              <w:right w:val="single" w:sz="4" w:space="0" w:color="auto"/>
            </w:tcBorders>
            <w:shd w:val="clear" w:color="000000" w:fill="EBF1DE"/>
            <w:vAlign w:val="center"/>
            <w:hideMark/>
          </w:tcPr>
          <w:p w14:paraId="1BF51563"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20.6.2022</w:t>
            </w:r>
          </w:p>
        </w:tc>
        <w:tc>
          <w:tcPr>
            <w:tcW w:w="960" w:type="dxa"/>
            <w:tcBorders>
              <w:top w:val="nil"/>
              <w:left w:val="nil"/>
              <w:bottom w:val="single" w:sz="4" w:space="0" w:color="auto"/>
              <w:right w:val="single" w:sz="4" w:space="0" w:color="auto"/>
            </w:tcBorders>
            <w:shd w:val="clear" w:color="000000" w:fill="FFFFFF"/>
            <w:vAlign w:val="center"/>
            <w:hideMark/>
          </w:tcPr>
          <w:p w14:paraId="24422C8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960" w:type="dxa"/>
            <w:tcBorders>
              <w:top w:val="nil"/>
              <w:left w:val="nil"/>
              <w:bottom w:val="single" w:sz="4" w:space="0" w:color="auto"/>
              <w:right w:val="single" w:sz="4" w:space="0" w:color="auto"/>
            </w:tcBorders>
            <w:shd w:val="clear" w:color="000000" w:fill="FFFFFF"/>
            <w:vAlign w:val="center"/>
            <w:hideMark/>
          </w:tcPr>
          <w:p w14:paraId="19B37F1B"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2</w:t>
            </w:r>
          </w:p>
        </w:tc>
        <w:tc>
          <w:tcPr>
            <w:tcW w:w="960" w:type="dxa"/>
            <w:tcBorders>
              <w:top w:val="nil"/>
              <w:left w:val="nil"/>
              <w:bottom w:val="single" w:sz="4" w:space="0" w:color="auto"/>
              <w:right w:val="single" w:sz="4" w:space="0" w:color="auto"/>
            </w:tcBorders>
            <w:shd w:val="clear" w:color="000000" w:fill="FFFFFF"/>
            <w:vAlign w:val="center"/>
            <w:hideMark/>
          </w:tcPr>
          <w:p w14:paraId="161FE18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14:paraId="601C1D7C"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960" w:type="dxa"/>
            <w:tcBorders>
              <w:top w:val="nil"/>
              <w:left w:val="nil"/>
              <w:bottom w:val="single" w:sz="4" w:space="0" w:color="auto"/>
              <w:right w:val="single" w:sz="4" w:space="0" w:color="auto"/>
            </w:tcBorders>
            <w:shd w:val="clear" w:color="000000" w:fill="FFFFFF"/>
            <w:vAlign w:val="center"/>
            <w:hideMark/>
          </w:tcPr>
          <w:p w14:paraId="31A3FA49"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14:paraId="7AC58CFF"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14:paraId="07BF019C"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EBF1DE"/>
            <w:vAlign w:val="center"/>
            <w:hideMark/>
          </w:tcPr>
          <w:p w14:paraId="45AD7199"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4</w:t>
            </w:r>
          </w:p>
        </w:tc>
      </w:tr>
      <w:tr w:rsidR="00EA487B" w:rsidRPr="000A64F1" w14:paraId="2190576A" w14:textId="77777777" w:rsidTr="00EA487B">
        <w:trPr>
          <w:trHeight w:val="310"/>
        </w:trPr>
        <w:tc>
          <w:tcPr>
            <w:tcW w:w="1340" w:type="dxa"/>
            <w:tcBorders>
              <w:top w:val="nil"/>
              <w:left w:val="single" w:sz="4" w:space="0" w:color="auto"/>
              <w:bottom w:val="single" w:sz="4" w:space="0" w:color="auto"/>
              <w:right w:val="single" w:sz="4" w:space="0" w:color="auto"/>
            </w:tcBorders>
            <w:shd w:val="clear" w:color="000000" w:fill="EBF1DE"/>
            <w:vAlign w:val="center"/>
            <w:hideMark/>
          </w:tcPr>
          <w:p w14:paraId="568BED0D"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14.12.2022</w:t>
            </w:r>
          </w:p>
        </w:tc>
        <w:tc>
          <w:tcPr>
            <w:tcW w:w="960" w:type="dxa"/>
            <w:tcBorders>
              <w:top w:val="nil"/>
              <w:left w:val="nil"/>
              <w:bottom w:val="single" w:sz="4" w:space="0" w:color="auto"/>
              <w:right w:val="single" w:sz="4" w:space="0" w:color="auto"/>
            </w:tcBorders>
            <w:shd w:val="clear" w:color="000000" w:fill="FFFFFF"/>
            <w:vAlign w:val="center"/>
            <w:hideMark/>
          </w:tcPr>
          <w:p w14:paraId="5112028F"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r>
              <w:rPr>
                <w:rFonts w:eastAsia="Times New Roman" w:cs="Calibri"/>
                <w:color w:val="00000A"/>
                <w:lang w:eastAsia="sk-SK"/>
              </w:rPr>
              <w:t>1</w:t>
            </w:r>
          </w:p>
        </w:tc>
        <w:tc>
          <w:tcPr>
            <w:tcW w:w="960" w:type="dxa"/>
            <w:tcBorders>
              <w:top w:val="nil"/>
              <w:left w:val="nil"/>
              <w:bottom w:val="single" w:sz="4" w:space="0" w:color="auto"/>
              <w:right w:val="single" w:sz="4" w:space="0" w:color="auto"/>
            </w:tcBorders>
            <w:shd w:val="clear" w:color="000000" w:fill="FFFFFF"/>
            <w:vAlign w:val="center"/>
            <w:hideMark/>
          </w:tcPr>
          <w:p w14:paraId="3AF904F0" w14:textId="77777777" w:rsidR="00EA487B" w:rsidRPr="000A64F1" w:rsidRDefault="00EA487B" w:rsidP="00EA487B">
            <w:pPr>
              <w:jc w:val="center"/>
              <w:rPr>
                <w:rFonts w:eastAsia="Times New Roman" w:cs="Calibri"/>
                <w:color w:val="00000A"/>
                <w:lang w:eastAsia="sk-SK"/>
              </w:rPr>
            </w:pPr>
          </w:p>
        </w:tc>
        <w:tc>
          <w:tcPr>
            <w:tcW w:w="960" w:type="dxa"/>
            <w:tcBorders>
              <w:top w:val="nil"/>
              <w:left w:val="nil"/>
              <w:bottom w:val="single" w:sz="4" w:space="0" w:color="auto"/>
              <w:right w:val="single" w:sz="4" w:space="0" w:color="auto"/>
            </w:tcBorders>
            <w:shd w:val="clear" w:color="000000" w:fill="FFFFFF"/>
            <w:vAlign w:val="center"/>
            <w:hideMark/>
          </w:tcPr>
          <w:p w14:paraId="7E3F2E9F"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14:paraId="58EC75E2"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14:paraId="02733D24"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14:paraId="19FD3FFC"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14:paraId="238C58F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EBF1DE"/>
            <w:vAlign w:val="center"/>
            <w:hideMark/>
          </w:tcPr>
          <w:p w14:paraId="5A3E42A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r>
      <w:tr w:rsidR="00EA487B" w:rsidRPr="000A64F1" w14:paraId="1B99E566" w14:textId="77777777" w:rsidTr="00EA487B">
        <w:trPr>
          <w:trHeight w:val="310"/>
        </w:trPr>
        <w:tc>
          <w:tcPr>
            <w:tcW w:w="1340" w:type="dxa"/>
            <w:tcBorders>
              <w:top w:val="nil"/>
              <w:left w:val="single" w:sz="4" w:space="0" w:color="auto"/>
              <w:bottom w:val="single" w:sz="4" w:space="0" w:color="auto"/>
              <w:right w:val="single" w:sz="4" w:space="0" w:color="auto"/>
            </w:tcBorders>
            <w:shd w:val="clear" w:color="000000" w:fill="D8E4BC"/>
            <w:vAlign w:val="center"/>
            <w:hideMark/>
          </w:tcPr>
          <w:p w14:paraId="39764750"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Spolu</w:t>
            </w:r>
          </w:p>
        </w:tc>
        <w:tc>
          <w:tcPr>
            <w:tcW w:w="960" w:type="dxa"/>
            <w:tcBorders>
              <w:top w:val="nil"/>
              <w:left w:val="nil"/>
              <w:bottom w:val="single" w:sz="4" w:space="0" w:color="auto"/>
              <w:right w:val="single" w:sz="4" w:space="0" w:color="auto"/>
            </w:tcBorders>
            <w:shd w:val="clear" w:color="000000" w:fill="D8E4BC"/>
            <w:vAlign w:val="center"/>
            <w:hideMark/>
          </w:tcPr>
          <w:p w14:paraId="099A9EAF"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960" w:type="dxa"/>
            <w:tcBorders>
              <w:top w:val="nil"/>
              <w:left w:val="nil"/>
              <w:bottom w:val="single" w:sz="4" w:space="0" w:color="auto"/>
              <w:right w:val="single" w:sz="4" w:space="0" w:color="auto"/>
            </w:tcBorders>
            <w:shd w:val="clear" w:color="000000" w:fill="D8E4BC"/>
            <w:vAlign w:val="center"/>
            <w:hideMark/>
          </w:tcPr>
          <w:p w14:paraId="0BC65228"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3</w:t>
            </w:r>
          </w:p>
        </w:tc>
        <w:tc>
          <w:tcPr>
            <w:tcW w:w="960" w:type="dxa"/>
            <w:tcBorders>
              <w:top w:val="nil"/>
              <w:left w:val="nil"/>
              <w:bottom w:val="single" w:sz="4" w:space="0" w:color="auto"/>
              <w:right w:val="single" w:sz="4" w:space="0" w:color="auto"/>
            </w:tcBorders>
            <w:shd w:val="clear" w:color="000000" w:fill="D8E4BC"/>
            <w:vAlign w:val="center"/>
            <w:hideMark/>
          </w:tcPr>
          <w:p w14:paraId="524A6CF2"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D8E4BC"/>
            <w:vAlign w:val="center"/>
            <w:hideMark/>
          </w:tcPr>
          <w:p w14:paraId="0C426465"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960" w:type="dxa"/>
            <w:tcBorders>
              <w:top w:val="nil"/>
              <w:left w:val="nil"/>
              <w:bottom w:val="single" w:sz="4" w:space="0" w:color="auto"/>
              <w:right w:val="single" w:sz="4" w:space="0" w:color="auto"/>
            </w:tcBorders>
            <w:shd w:val="clear" w:color="000000" w:fill="D8E4BC"/>
            <w:vAlign w:val="center"/>
            <w:hideMark/>
          </w:tcPr>
          <w:p w14:paraId="6A12406B"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D8E4BC"/>
            <w:vAlign w:val="center"/>
            <w:hideMark/>
          </w:tcPr>
          <w:p w14:paraId="593E3EE2"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960" w:type="dxa"/>
            <w:tcBorders>
              <w:top w:val="nil"/>
              <w:left w:val="nil"/>
              <w:bottom w:val="single" w:sz="4" w:space="0" w:color="auto"/>
              <w:right w:val="single" w:sz="4" w:space="0" w:color="auto"/>
            </w:tcBorders>
            <w:shd w:val="clear" w:color="000000" w:fill="D8E4BC"/>
            <w:vAlign w:val="center"/>
            <w:hideMark/>
          </w:tcPr>
          <w:p w14:paraId="43FF412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D8E4BC"/>
            <w:vAlign w:val="center"/>
            <w:hideMark/>
          </w:tcPr>
          <w:p w14:paraId="3273B2A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6</w:t>
            </w:r>
          </w:p>
        </w:tc>
      </w:tr>
    </w:tbl>
    <w:p w14:paraId="7A023206" w14:textId="77777777" w:rsidR="00EA487B" w:rsidRPr="000A64F1" w:rsidRDefault="00EA487B" w:rsidP="00EA487B">
      <w:pPr>
        <w:jc w:val="both"/>
        <w:rPr>
          <w:rFonts w:cs="Times New Roman"/>
        </w:rPr>
      </w:pPr>
    </w:p>
    <w:p w14:paraId="301FF334" w14:textId="77777777" w:rsidR="00D232A7" w:rsidRDefault="00D232A7" w:rsidP="00EA487B">
      <w:pPr>
        <w:rPr>
          <w:rFonts w:cs="Calibri"/>
          <w:b/>
        </w:rPr>
      </w:pPr>
    </w:p>
    <w:p w14:paraId="7E94B2D0" w14:textId="77777777" w:rsidR="00D232A7" w:rsidRDefault="00D232A7" w:rsidP="00EA487B">
      <w:pPr>
        <w:rPr>
          <w:rFonts w:cs="Calibri"/>
          <w:b/>
        </w:rPr>
      </w:pPr>
    </w:p>
    <w:p w14:paraId="41460452" w14:textId="5030E381" w:rsidR="00EA487B" w:rsidRPr="000A64F1" w:rsidRDefault="00EA487B" w:rsidP="00EA487B">
      <w:pPr>
        <w:rPr>
          <w:rFonts w:cs="Calibri"/>
        </w:rPr>
      </w:pPr>
      <w:r w:rsidRPr="00D232A7">
        <w:rPr>
          <w:rFonts w:cs="Calibri"/>
          <w:b/>
        </w:rPr>
        <w:lastRenderedPageBreak/>
        <w:t>V roku 2022 rektor STU vymenoval 15 docentov, z toho 6 mužov a 9 žien</w:t>
      </w:r>
      <w:r w:rsidRPr="000A64F1">
        <w:rPr>
          <w:rFonts w:cs="Calibri"/>
        </w:rPr>
        <w:t xml:space="preserve">. (tab. č. </w:t>
      </w:r>
      <w:r w:rsidR="00D232A7">
        <w:rPr>
          <w:rFonts w:cs="Calibri"/>
        </w:rPr>
        <w:t>4</w:t>
      </w:r>
      <w:r w:rsidRPr="000A64F1">
        <w:rPr>
          <w:rFonts w:cs="Calibri"/>
        </w:rPr>
        <w:t>8).</w:t>
      </w:r>
    </w:p>
    <w:p w14:paraId="3620863F" w14:textId="77777777" w:rsidR="00EA487B" w:rsidRPr="000A64F1" w:rsidRDefault="00EA487B" w:rsidP="00EA487B">
      <w:pPr>
        <w:jc w:val="both"/>
        <w:rPr>
          <w:rFonts w:cs="Times New Roman"/>
        </w:rPr>
      </w:pPr>
    </w:p>
    <w:p w14:paraId="18CAEB2B" w14:textId="08E0F4D2" w:rsidR="00EA487B" w:rsidRPr="000A64F1" w:rsidRDefault="00EA487B" w:rsidP="00EA487B">
      <w:pPr>
        <w:rPr>
          <w:rFonts w:cs="Times New Roman"/>
        </w:rPr>
      </w:pPr>
      <w:r w:rsidRPr="000A64F1">
        <w:rPr>
          <w:rFonts w:cs="Times New Roman"/>
        </w:rPr>
        <w:t xml:space="preserve">Tab. č. </w:t>
      </w:r>
      <w:r w:rsidR="00D232A7">
        <w:rPr>
          <w:rFonts w:cs="Times New Roman"/>
        </w:rPr>
        <w:t>4</w:t>
      </w:r>
      <w:r w:rsidRPr="000A64F1">
        <w:rPr>
          <w:rFonts w:cs="Times New Roman"/>
        </w:rPr>
        <w:t>8: Prehľad vymenovaných docentov</w:t>
      </w:r>
    </w:p>
    <w:tbl>
      <w:tblPr>
        <w:tblW w:w="9040" w:type="dxa"/>
        <w:tblInd w:w="-5" w:type="dxa"/>
        <w:tblCellMar>
          <w:left w:w="70" w:type="dxa"/>
          <w:right w:w="70" w:type="dxa"/>
        </w:tblCellMar>
        <w:tblLook w:val="04A0" w:firstRow="1" w:lastRow="0" w:firstColumn="1" w:lastColumn="0" w:noHBand="0" w:noVBand="1"/>
      </w:tblPr>
      <w:tblGrid>
        <w:gridCol w:w="1340"/>
        <w:gridCol w:w="960"/>
        <w:gridCol w:w="819"/>
        <w:gridCol w:w="850"/>
        <w:gridCol w:w="851"/>
        <w:gridCol w:w="850"/>
        <w:gridCol w:w="851"/>
        <w:gridCol w:w="850"/>
        <w:gridCol w:w="709"/>
        <w:gridCol w:w="960"/>
      </w:tblGrid>
      <w:tr w:rsidR="00EA487B" w:rsidRPr="000A64F1" w14:paraId="5DB38602" w14:textId="77777777" w:rsidTr="00EA487B">
        <w:trPr>
          <w:trHeight w:val="310"/>
        </w:trPr>
        <w:tc>
          <w:tcPr>
            <w:tcW w:w="1340"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3BAC80A7"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Docenti</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63D04AB3"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SvF</w:t>
            </w:r>
          </w:p>
        </w:tc>
        <w:tc>
          <w:tcPr>
            <w:tcW w:w="819" w:type="dxa"/>
            <w:tcBorders>
              <w:top w:val="single" w:sz="4" w:space="0" w:color="auto"/>
              <w:left w:val="nil"/>
              <w:bottom w:val="single" w:sz="4" w:space="0" w:color="auto"/>
              <w:right w:val="single" w:sz="4" w:space="0" w:color="auto"/>
            </w:tcBorders>
            <w:shd w:val="clear" w:color="000000" w:fill="EBF1DE"/>
            <w:vAlign w:val="center"/>
            <w:hideMark/>
          </w:tcPr>
          <w:p w14:paraId="48CEB288"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SjF</w:t>
            </w:r>
          </w:p>
        </w:tc>
        <w:tc>
          <w:tcPr>
            <w:tcW w:w="850" w:type="dxa"/>
            <w:tcBorders>
              <w:top w:val="single" w:sz="4" w:space="0" w:color="auto"/>
              <w:left w:val="nil"/>
              <w:bottom w:val="single" w:sz="4" w:space="0" w:color="auto"/>
              <w:right w:val="single" w:sz="4" w:space="0" w:color="auto"/>
            </w:tcBorders>
            <w:shd w:val="clear" w:color="000000" w:fill="EBF1DE"/>
            <w:vAlign w:val="center"/>
            <w:hideMark/>
          </w:tcPr>
          <w:p w14:paraId="3CA3EEC3"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FEI</w:t>
            </w:r>
          </w:p>
        </w:tc>
        <w:tc>
          <w:tcPr>
            <w:tcW w:w="851" w:type="dxa"/>
            <w:tcBorders>
              <w:top w:val="single" w:sz="4" w:space="0" w:color="auto"/>
              <w:left w:val="nil"/>
              <w:bottom w:val="single" w:sz="4" w:space="0" w:color="auto"/>
              <w:right w:val="single" w:sz="4" w:space="0" w:color="auto"/>
            </w:tcBorders>
            <w:shd w:val="clear" w:color="000000" w:fill="EBF1DE"/>
            <w:vAlign w:val="center"/>
            <w:hideMark/>
          </w:tcPr>
          <w:p w14:paraId="780B8322"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FCHPT</w:t>
            </w:r>
          </w:p>
        </w:tc>
        <w:tc>
          <w:tcPr>
            <w:tcW w:w="850" w:type="dxa"/>
            <w:tcBorders>
              <w:top w:val="single" w:sz="4" w:space="0" w:color="auto"/>
              <w:left w:val="nil"/>
              <w:bottom w:val="single" w:sz="4" w:space="0" w:color="auto"/>
              <w:right w:val="single" w:sz="4" w:space="0" w:color="auto"/>
            </w:tcBorders>
            <w:shd w:val="clear" w:color="000000" w:fill="EBF1DE"/>
            <w:vAlign w:val="center"/>
            <w:hideMark/>
          </w:tcPr>
          <w:p w14:paraId="6CB29673"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FAD</w:t>
            </w:r>
          </w:p>
        </w:tc>
        <w:tc>
          <w:tcPr>
            <w:tcW w:w="851" w:type="dxa"/>
            <w:tcBorders>
              <w:top w:val="single" w:sz="4" w:space="0" w:color="auto"/>
              <w:left w:val="nil"/>
              <w:bottom w:val="single" w:sz="4" w:space="0" w:color="auto"/>
              <w:right w:val="single" w:sz="4" w:space="0" w:color="auto"/>
            </w:tcBorders>
            <w:shd w:val="clear" w:color="000000" w:fill="EBF1DE"/>
            <w:vAlign w:val="center"/>
            <w:hideMark/>
          </w:tcPr>
          <w:p w14:paraId="1A42B796"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MTF</w:t>
            </w:r>
          </w:p>
        </w:tc>
        <w:tc>
          <w:tcPr>
            <w:tcW w:w="850" w:type="dxa"/>
            <w:tcBorders>
              <w:top w:val="single" w:sz="4" w:space="0" w:color="auto"/>
              <w:left w:val="nil"/>
              <w:bottom w:val="single" w:sz="4" w:space="0" w:color="auto"/>
              <w:right w:val="single" w:sz="4" w:space="0" w:color="auto"/>
            </w:tcBorders>
            <w:shd w:val="clear" w:color="000000" w:fill="EBF1DE"/>
            <w:vAlign w:val="center"/>
            <w:hideMark/>
          </w:tcPr>
          <w:p w14:paraId="0C89A812"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FIIT</w:t>
            </w:r>
          </w:p>
        </w:tc>
        <w:tc>
          <w:tcPr>
            <w:tcW w:w="709" w:type="dxa"/>
            <w:tcBorders>
              <w:top w:val="single" w:sz="4" w:space="0" w:color="auto"/>
              <w:left w:val="nil"/>
              <w:bottom w:val="single" w:sz="4" w:space="0" w:color="auto"/>
              <w:right w:val="single" w:sz="4" w:space="0" w:color="auto"/>
            </w:tcBorders>
            <w:shd w:val="clear" w:color="000000" w:fill="EBF1DE"/>
            <w:vAlign w:val="center"/>
            <w:hideMark/>
          </w:tcPr>
          <w:p w14:paraId="18018552"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ÚM</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0D6458E8"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STU</w:t>
            </w:r>
          </w:p>
        </w:tc>
      </w:tr>
      <w:tr w:rsidR="00EA487B" w:rsidRPr="000A64F1" w14:paraId="22998ED7" w14:textId="77777777" w:rsidTr="00EA487B">
        <w:trPr>
          <w:trHeight w:val="310"/>
        </w:trPr>
        <w:tc>
          <w:tcPr>
            <w:tcW w:w="1340" w:type="dxa"/>
            <w:tcBorders>
              <w:top w:val="nil"/>
              <w:left w:val="single" w:sz="4" w:space="0" w:color="auto"/>
              <w:bottom w:val="single" w:sz="4" w:space="0" w:color="auto"/>
              <w:right w:val="single" w:sz="4" w:space="0" w:color="auto"/>
            </w:tcBorders>
            <w:shd w:val="clear" w:color="000000" w:fill="EBF1DE"/>
            <w:vAlign w:val="center"/>
            <w:hideMark/>
          </w:tcPr>
          <w:p w14:paraId="4B28F0BD"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1/2022</w:t>
            </w:r>
          </w:p>
        </w:tc>
        <w:tc>
          <w:tcPr>
            <w:tcW w:w="960" w:type="dxa"/>
            <w:tcBorders>
              <w:top w:val="nil"/>
              <w:left w:val="nil"/>
              <w:bottom w:val="single" w:sz="4" w:space="0" w:color="auto"/>
              <w:right w:val="single" w:sz="4" w:space="0" w:color="auto"/>
            </w:tcBorders>
            <w:shd w:val="clear" w:color="auto" w:fill="auto"/>
            <w:vAlign w:val="center"/>
            <w:hideMark/>
          </w:tcPr>
          <w:p w14:paraId="7CA85FB8"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2</w:t>
            </w:r>
          </w:p>
        </w:tc>
        <w:tc>
          <w:tcPr>
            <w:tcW w:w="819" w:type="dxa"/>
            <w:tcBorders>
              <w:top w:val="nil"/>
              <w:left w:val="nil"/>
              <w:bottom w:val="single" w:sz="4" w:space="0" w:color="auto"/>
              <w:right w:val="single" w:sz="4" w:space="0" w:color="auto"/>
            </w:tcBorders>
            <w:shd w:val="clear" w:color="auto" w:fill="auto"/>
            <w:vAlign w:val="center"/>
            <w:hideMark/>
          </w:tcPr>
          <w:p w14:paraId="626D069C"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850" w:type="dxa"/>
            <w:tcBorders>
              <w:top w:val="nil"/>
              <w:left w:val="nil"/>
              <w:bottom w:val="single" w:sz="4" w:space="0" w:color="auto"/>
              <w:right w:val="single" w:sz="4" w:space="0" w:color="auto"/>
            </w:tcBorders>
            <w:shd w:val="clear" w:color="auto" w:fill="auto"/>
            <w:vAlign w:val="center"/>
            <w:hideMark/>
          </w:tcPr>
          <w:p w14:paraId="0BA376C0"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1" w:type="dxa"/>
            <w:tcBorders>
              <w:top w:val="nil"/>
              <w:left w:val="nil"/>
              <w:bottom w:val="single" w:sz="4" w:space="0" w:color="auto"/>
              <w:right w:val="single" w:sz="4" w:space="0" w:color="auto"/>
            </w:tcBorders>
            <w:shd w:val="clear" w:color="auto" w:fill="auto"/>
            <w:vAlign w:val="center"/>
            <w:hideMark/>
          </w:tcPr>
          <w:p w14:paraId="190F62B1"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0" w:type="dxa"/>
            <w:tcBorders>
              <w:top w:val="nil"/>
              <w:left w:val="nil"/>
              <w:bottom w:val="single" w:sz="4" w:space="0" w:color="auto"/>
              <w:right w:val="single" w:sz="4" w:space="0" w:color="auto"/>
            </w:tcBorders>
            <w:shd w:val="clear" w:color="auto" w:fill="auto"/>
            <w:vAlign w:val="center"/>
            <w:hideMark/>
          </w:tcPr>
          <w:p w14:paraId="7E49E9F4"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1" w:type="dxa"/>
            <w:tcBorders>
              <w:top w:val="nil"/>
              <w:left w:val="nil"/>
              <w:bottom w:val="single" w:sz="4" w:space="0" w:color="auto"/>
              <w:right w:val="single" w:sz="4" w:space="0" w:color="auto"/>
            </w:tcBorders>
            <w:shd w:val="clear" w:color="auto" w:fill="auto"/>
            <w:vAlign w:val="center"/>
            <w:hideMark/>
          </w:tcPr>
          <w:p w14:paraId="74A124AE"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0" w:type="dxa"/>
            <w:tcBorders>
              <w:top w:val="nil"/>
              <w:left w:val="nil"/>
              <w:bottom w:val="single" w:sz="4" w:space="0" w:color="auto"/>
              <w:right w:val="single" w:sz="4" w:space="0" w:color="auto"/>
            </w:tcBorders>
            <w:shd w:val="clear" w:color="auto" w:fill="auto"/>
            <w:vAlign w:val="center"/>
            <w:hideMark/>
          </w:tcPr>
          <w:p w14:paraId="65092EE7"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709" w:type="dxa"/>
            <w:tcBorders>
              <w:top w:val="nil"/>
              <w:left w:val="nil"/>
              <w:bottom w:val="single" w:sz="4" w:space="0" w:color="auto"/>
              <w:right w:val="single" w:sz="4" w:space="0" w:color="auto"/>
            </w:tcBorders>
            <w:shd w:val="clear" w:color="auto" w:fill="auto"/>
            <w:vAlign w:val="center"/>
            <w:hideMark/>
          </w:tcPr>
          <w:p w14:paraId="2C595253"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EBF1DE"/>
            <w:vAlign w:val="center"/>
            <w:hideMark/>
          </w:tcPr>
          <w:p w14:paraId="79B7FE09"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3</w:t>
            </w:r>
          </w:p>
        </w:tc>
      </w:tr>
      <w:tr w:rsidR="00EA487B" w:rsidRPr="000A64F1" w14:paraId="4C24EFF4" w14:textId="77777777" w:rsidTr="00EA487B">
        <w:trPr>
          <w:trHeight w:val="310"/>
        </w:trPr>
        <w:tc>
          <w:tcPr>
            <w:tcW w:w="1340" w:type="dxa"/>
            <w:tcBorders>
              <w:top w:val="nil"/>
              <w:left w:val="single" w:sz="4" w:space="0" w:color="auto"/>
              <w:bottom w:val="single" w:sz="4" w:space="0" w:color="auto"/>
              <w:right w:val="single" w:sz="4" w:space="0" w:color="auto"/>
            </w:tcBorders>
            <w:shd w:val="clear" w:color="000000" w:fill="EBF1DE"/>
            <w:vAlign w:val="center"/>
            <w:hideMark/>
          </w:tcPr>
          <w:p w14:paraId="78099369"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3/2022</w:t>
            </w:r>
          </w:p>
        </w:tc>
        <w:tc>
          <w:tcPr>
            <w:tcW w:w="960" w:type="dxa"/>
            <w:tcBorders>
              <w:top w:val="nil"/>
              <w:left w:val="nil"/>
              <w:bottom w:val="single" w:sz="4" w:space="0" w:color="auto"/>
              <w:right w:val="single" w:sz="4" w:space="0" w:color="auto"/>
            </w:tcBorders>
            <w:shd w:val="clear" w:color="auto" w:fill="auto"/>
            <w:vAlign w:val="center"/>
            <w:hideMark/>
          </w:tcPr>
          <w:p w14:paraId="22692406"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819" w:type="dxa"/>
            <w:tcBorders>
              <w:top w:val="nil"/>
              <w:left w:val="nil"/>
              <w:bottom w:val="single" w:sz="4" w:space="0" w:color="auto"/>
              <w:right w:val="single" w:sz="4" w:space="0" w:color="auto"/>
            </w:tcBorders>
            <w:shd w:val="clear" w:color="auto" w:fill="auto"/>
            <w:vAlign w:val="center"/>
            <w:hideMark/>
          </w:tcPr>
          <w:p w14:paraId="3697BDD7"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0" w:type="dxa"/>
            <w:tcBorders>
              <w:top w:val="nil"/>
              <w:left w:val="nil"/>
              <w:bottom w:val="single" w:sz="4" w:space="0" w:color="auto"/>
              <w:right w:val="single" w:sz="4" w:space="0" w:color="auto"/>
            </w:tcBorders>
            <w:shd w:val="clear" w:color="auto" w:fill="auto"/>
            <w:vAlign w:val="center"/>
            <w:hideMark/>
          </w:tcPr>
          <w:p w14:paraId="765ABBC4"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1" w:type="dxa"/>
            <w:tcBorders>
              <w:top w:val="nil"/>
              <w:left w:val="nil"/>
              <w:bottom w:val="single" w:sz="4" w:space="0" w:color="auto"/>
              <w:right w:val="single" w:sz="4" w:space="0" w:color="auto"/>
            </w:tcBorders>
            <w:shd w:val="clear" w:color="auto" w:fill="auto"/>
            <w:vAlign w:val="center"/>
            <w:hideMark/>
          </w:tcPr>
          <w:p w14:paraId="11E2462B"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0" w:type="dxa"/>
            <w:tcBorders>
              <w:top w:val="nil"/>
              <w:left w:val="nil"/>
              <w:bottom w:val="single" w:sz="4" w:space="0" w:color="auto"/>
              <w:right w:val="single" w:sz="4" w:space="0" w:color="auto"/>
            </w:tcBorders>
            <w:shd w:val="clear" w:color="auto" w:fill="auto"/>
            <w:vAlign w:val="center"/>
            <w:hideMark/>
          </w:tcPr>
          <w:p w14:paraId="30AA8BC1"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1" w:type="dxa"/>
            <w:tcBorders>
              <w:top w:val="nil"/>
              <w:left w:val="nil"/>
              <w:bottom w:val="single" w:sz="4" w:space="0" w:color="auto"/>
              <w:right w:val="single" w:sz="4" w:space="0" w:color="auto"/>
            </w:tcBorders>
            <w:shd w:val="clear" w:color="auto" w:fill="auto"/>
            <w:vAlign w:val="center"/>
            <w:hideMark/>
          </w:tcPr>
          <w:p w14:paraId="19C0446E"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850" w:type="dxa"/>
            <w:tcBorders>
              <w:top w:val="nil"/>
              <w:left w:val="nil"/>
              <w:bottom w:val="single" w:sz="4" w:space="0" w:color="auto"/>
              <w:right w:val="single" w:sz="4" w:space="0" w:color="auto"/>
            </w:tcBorders>
            <w:shd w:val="clear" w:color="auto" w:fill="auto"/>
            <w:vAlign w:val="center"/>
            <w:hideMark/>
          </w:tcPr>
          <w:p w14:paraId="000DF739"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3</w:t>
            </w:r>
          </w:p>
        </w:tc>
        <w:tc>
          <w:tcPr>
            <w:tcW w:w="709" w:type="dxa"/>
            <w:tcBorders>
              <w:top w:val="nil"/>
              <w:left w:val="nil"/>
              <w:bottom w:val="single" w:sz="4" w:space="0" w:color="auto"/>
              <w:right w:val="single" w:sz="4" w:space="0" w:color="auto"/>
            </w:tcBorders>
            <w:shd w:val="clear" w:color="auto" w:fill="auto"/>
            <w:vAlign w:val="center"/>
            <w:hideMark/>
          </w:tcPr>
          <w:p w14:paraId="32D1EF38"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EBF1DE"/>
            <w:vAlign w:val="center"/>
            <w:hideMark/>
          </w:tcPr>
          <w:p w14:paraId="3AD302F3"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5</w:t>
            </w:r>
          </w:p>
        </w:tc>
      </w:tr>
      <w:tr w:rsidR="00EA487B" w:rsidRPr="000A64F1" w14:paraId="3BC52B64" w14:textId="77777777" w:rsidTr="00EA487B">
        <w:trPr>
          <w:trHeight w:val="310"/>
        </w:trPr>
        <w:tc>
          <w:tcPr>
            <w:tcW w:w="1340" w:type="dxa"/>
            <w:tcBorders>
              <w:top w:val="nil"/>
              <w:left w:val="single" w:sz="4" w:space="0" w:color="auto"/>
              <w:bottom w:val="single" w:sz="4" w:space="0" w:color="auto"/>
              <w:right w:val="single" w:sz="4" w:space="0" w:color="auto"/>
            </w:tcBorders>
            <w:shd w:val="clear" w:color="000000" w:fill="EBF1DE"/>
            <w:vAlign w:val="center"/>
            <w:hideMark/>
          </w:tcPr>
          <w:p w14:paraId="40164F03"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6/2022</w:t>
            </w:r>
          </w:p>
        </w:tc>
        <w:tc>
          <w:tcPr>
            <w:tcW w:w="960" w:type="dxa"/>
            <w:tcBorders>
              <w:top w:val="nil"/>
              <w:left w:val="nil"/>
              <w:bottom w:val="single" w:sz="4" w:space="0" w:color="auto"/>
              <w:right w:val="single" w:sz="4" w:space="0" w:color="auto"/>
            </w:tcBorders>
            <w:shd w:val="clear" w:color="auto" w:fill="auto"/>
            <w:vAlign w:val="center"/>
            <w:hideMark/>
          </w:tcPr>
          <w:p w14:paraId="32E20B18"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19" w:type="dxa"/>
            <w:tcBorders>
              <w:top w:val="nil"/>
              <w:left w:val="nil"/>
              <w:bottom w:val="single" w:sz="4" w:space="0" w:color="auto"/>
              <w:right w:val="single" w:sz="4" w:space="0" w:color="auto"/>
            </w:tcBorders>
            <w:shd w:val="clear" w:color="auto" w:fill="auto"/>
            <w:vAlign w:val="center"/>
            <w:hideMark/>
          </w:tcPr>
          <w:p w14:paraId="24D06BDD"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0" w:type="dxa"/>
            <w:tcBorders>
              <w:top w:val="nil"/>
              <w:left w:val="nil"/>
              <w:bottom w:val="single" w:sz="4" w:space="0" w:color="auto"/>
              <w:right w:val="single" w:sz="4" w:space="0" w:color="auto"/>
            </w:tcBorders>
            <w:shd w:val="clear" w:color="auto" w:fill="auto"/>
            <w:vAlign w:val="center"/>
            <w:hideMark/>
          </w:tcPr>
          <w:p w14:paraId="6AC6D673"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1" w:type="dxa"/>
            <w:tcBorders>
              <w:top w:val="nil"/>
              <w:left w:val="nil"/>
              <w:bottom w:val="single" w:sz="4" w:space="0" w:color="auto"/>
              <w:right w:val="single" w:sz="4" w:space="0" w:color="auto"/>
            </w:tcBorders>
            <w:shd w:val="clear" w:color="auto" w:fill="auto"/>
            <w:vAlign w:val="center"/>
            <w:hideMark/>
          </w:tcPr>
          <w:p w14:paraId="691DD975"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0" w:type="dxa"/>
            <w:tcBorders>
              <w:top w:val="nil"/>
              <w:left w:val="nil"/>
              <w:bottom w:val="single" w:sz="4" w:space="0" w:color="auto"/>
              <w:right w:val="single" w:sz="4" w:space="0" w:color="auto"/>
            </w:tcBorders>
            <w:shd w:val="clear" w:color="auto" w:fill="auto"/>
            <w:vAlign w:val="center"/>
            <w:hideMark/>
          </w:tcPr>
          <w:p w14:paraId="392C5C0F"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851" w:type="dxa"/>
            <w:tcBorders>
              <w:top w:val="nil"/>
              <w:left w:val="nil"/>
              <w:bottom w:val="single" w:sz="4" w:space="0" w:color="auto"/>
              <w:right w:val="single" w:sz="4" w:space="0" w:color="auto"/>
            </w:tcBorders>
            <w:shd w:val="clear" w:color="auto" w:fill="auto"/>
            <w:vAlign w:val="center"/>
            <w:hideMark/>
          </w:tcPr>
          <w:p w14:paraId="75D47D45"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850" w:type="dxa"/>
            <w:tcBorders>
              <w:top w:val="nil"/>
              <w:left w:val="nil"/>
              <w:bottom w:val="single" w:sz="4" w:space="0" w:color="auto"/>
              <w:right w:val="single" w:sz="4" w:space="0" w:color="auto"/>
            </w:tcBorders>
            <w:shd w:val="clear" w:color="auto" w:fill="auto"/>
            <w:vAlign w:val="center"/>
            <w:hideMark/>
          </w:tcPr>
          <w:p w14:paraId="73D6A764"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709" w:type="dxa"/>
            <w:tcBorders>
              <w:top w:val="nil"/>
              <w:left w:val="nil"/>
              <w:bottom w:val="single" w:sz="4" w:space="0" w:color="auto"/>
              <w:right w:val="single" w:sz="4" w:space="0" w:color="auto"/>
            </w:tcBorders>
            <w:shd w:val="clear" w:color="auto" w:fill="auto"/>
            <w:vAlign w:val="center"/>
            <w:hideMark/>
          </w:tcPr>
          <w:p w14:paraId="0CE093C1"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EBF1DE"/>
            <w:vAlign w:val="center"/>
            <w:hideMark/>
          </w:tcPr>
          <w:p w14:paraId="1E91004C"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2</w:t>
            </w:r>
          </w:p>
        </w:tc>
      </w:tr>
      <w:tr w:rsidR="00EA487B" w:rsidRPr="000A64F1" w14:paraId="156190B7" w14:textId="77777777" w:rsidTr="00EA487B">
        <w:trPr>
          <w:trHeight w:val="310"/>
        </w:trPr>
        <w:tc>
          <w:tcPr>
            <w:tcW w:w="1340" w:type="dxa"/>
            <w:tcBorders>
              <w:top w:val="nil"/>
              <w:left w:val="single" w:sz="4" w:space="0" w:color="auto"/>
              <w:bottom w:val="single" w:sz="4" w:space="0" w:color="auto"/>
              <w:right w:val="single" w:sz="4" w:space="0" w:color="auto"/>
            </w:tcBorders>
            <w:shd w:val="clear" w:color="000000" w:fill="EBF1DE"/>
            <w:vAlign w:val="center"/>
            <w:hideMark/>
          </w:tcPr>
          <w:p w14:paraId="161E759F"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9/2022</w:t>
            </w:r>
          </w:p>
        </w:tc>
        <w:tc>
          <w:tcPr>
            <w:tcW w:w="960" w:type="dxa"/>
            <w:tcBorders>
              <w:top w:val="nil"/>
              <w:left w:val="nil"/>
              <w:bottom w:val="single" w:sz="4" w:space="0" w:color="auto"/>
              <w:right w:val="single" w:sz="4" w:space="0" w:color="auto"/>
            </w:tcBorders>
            <w:shd w:val="clear" w:color="auto" w:fill="auto"/>
            <w:vAlign w:val="center"/>
            <w:hideMark/>
          </w:tcPr>
          <w:p w14:paraId="29930385"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19" w:type="dxa"/>
            <w:tcBorders>
              <w:top w:val="nil"/>
              <w:left w:val="nil"/>
              <w:bottom w:val="single" w:sz="4" w:space="0" w:color="auto"/>
              <w:right w:val="single" w:sz="4" w:space="0" w:color="auto"/>
            </w:tcBorders>
            <w:shd w:val="clear" w:color="auto" w:fill="auto"/>
            <w:vAlign w:val="center"/>
            <w:hideMark/>
          </w:tcPr>
          <w:p w14:paraId="07FAC5FC"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0" w:type="dxa"/>
            <w:tcBorders>
              <w:top w:val="nil"/>
              <w:left w:val="nil"/>
              <w:bottom w:val="single" w:sz="4" w:space="0" w:color="auto"/>
              <w:right w:val="single" w:sz="4" w:space="0" w:color="auto"/>
            </w:tcBorders>
            <w:shd w:val="clear" w:color="auto" w:fill="auto"/>
            <w:vAlign w:val="center"/>
            <w:hideMark/>
          </w:tcPr>
          <w:p w14:paraId="3A89FEA8"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851" w:type="dxa"/>
            <w:tcBorders>
              <w:top w:val="nil"/>
              <w:left w:val="nil"/>
              <w:bottom w:val="single" w:sz="4" w:space="0" w:color="auto"/>
              <w:right w:val="single" w:sz="4" w:space="0" w:color="auto"/>
            </w:tcBorders>
            <w:shd w:val="clear" w:color="auto" w:fill="auto"/>
            <w:vAlign w:val="center"/>
            <w:hideMark/>
          </w:tcPr>
          <w:p w14:paraId="5AFB5004"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0" w:type="dxa"/>
            <w:tcBorders>
              <w:top w:val="nil"/>
              <w:left w:val="nil"/>
              <w:bottom w:val="single" w:sz="4" w:space="0" w:color="auto"/>
              <w:right w:val="single" w:sz="4" w:space="0" w:color="auto"/>
            </w:tcBorders>
            <w:shd w:val="clear" w:color="auto" w:fill="auto"/>
            <w:vAlign w:val="center"/>
            <w:hideMark/>
          </w:tcPr>
          <w:p w14:paraId="76399340"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1" w:type="dxa"/>
            <w:tcBorders>
              <w:top w:val="nil"/>
              <w:left w:val="nil"/>
              <w:bottom w:val="single" w:sz="4" w:space="0" w:color="auto"/>
              <w:right w:val="single" w:sz="4" w:space="0" w:color="auto"/>
            </w:tcBorders>
            <w:shd w:val="clear" w:color="auto" w:fill="auto"/>
            <w:vAlign w:val="center"/>
            <w:hideMark/>
          </w:tcPr>
          <w:p w14:paraId="19D2EA60"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0" w:type="dxa"/>
            <w:tcBorders>
              <w:top w:val="nil"/>
              <w:left w:val="nil"/>
              <w:bottom w:val="single" w:sz="4" w:space="0" w:color="auto"/>
              <w:right w:val="single" w:sz="4" w:space="0" w:color="auto"/>
            </w:tcBorders>
            <w:shd w:val="clear" w:color="auto" w:fill="auto"/>
            <w:vAlign w:val="center"/>
            <w:hideMark/>
          </w:tcPr>
          <w:p w14:paraId="4B761C8C"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709" w:type="dxa"/>
            <w:tcBorders>
              <w:top w:val="nil"/>
              <w:left w:val="nil"/>
              <w:bottom w:val="single" w:sz="4" w:space="0" w:color="auto"/>
              <w:right w:val="single" w:sz="4" w:space="0" w:color="auto"/>
            </w:tcBorders>
            <w:shd w:val="clear" w:color="auto" w:fill="auto"/>
            <w:vAlign w:val="center"/>
            <w:hideMark/>
          </w:tcPr>
          <w:p w14:paraId="0D31FF21"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EBF1DE"/>
            <w:vAlign w:val="center"/>
            <w:hideMark/>
          </w:tcPr>
          <w:p w14:paraId="5215476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r>
      <w:tr w:rsidR="00EA487B" w:rsidRPr="000A64F1" w14:paraId="6DA1A5C7" w14:textId="77777777" w:rsidTr="00EA487B">
        <w:trPr>
          <w:trHeight w:val="310"/>
        </w:trPr>
        <w:tc>
          <w:tcPr>
            <w:tcW w:w="1340" w:type="dxa"/>
            <w:tcBorders>
              <w:top w:val="nil"/>
              <w:left w:val="single" w:sz="4" w:space="0" w:color="auto"/>
              <w:bottom w:val="single" w:sz="4" w:space="0" w:color="auto"/>
              <w:right w:val="single" w:sz="4" w:space="0" w:color="auto"/>
            </w:tcBorders>
            <w:shd w:val="clear" w:color="000000" w:fill="EBF1DE"/>
            <w:vAlign w:val="center"/>
            <w:hideMark/>
          </w:tcPr>
          <w:p w14:paraId="5AF982D6"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11/2022</w:t>
            </w:r>
          </w:p>
        </w:tc>
        <w:tc>
          <w:tcPr>
            <w:tcW w:w="960" w:type="dxa"/>
            <w:tcBorders>
              <w:top w:val="nil"/>
              <w:left w:val="nil"/>
              <w:bottom w:val="single" w:sz="4" w:space="0" w:color="auto"/>
              <w:right w:val="single" w:sz="4" w:space="0" w:color="auto"/>
            </w:tcBorders>
            <w:shd w:val="clear" w:color="auto" w:fill="auto"/>
            <w:vAlign w:val="center"/>
            <w:hideMark/>
          </w:tcPr>
          <w:p w14:paraId="311D3B16"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819" w:type="dxa"/>
            <w:tcBorders>
              <w:top w:val="nil"/>
              <w:left w:val="nil"/>
              <w:bottom w:val="single" w:sz="4" w:space="0" w:color="auto"/>
              <w:right w:val="single" w:sz="4" w:space="0" w:color="auto"/>
            </w:tcBorders>
            <w:shd w:val="clear" w:color="auto" w:fill="auto"/>
            <w:vAlign w:val="center"/>
            <w:hideMark/>
          </w:tcPr>
          <w:p w14:paraId="497091AF"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850" w:type="dxa"/>
            <w:tcBorders>
              <w:top w:val="nil"/>
              <w:left w:val="nil"/>
              <w:bottom w:val="single" w:sz="4" w:space="0" w:color="auto"/>
              <w:right w:val="single" w:sz="4" w:space="0" w:color="auto"/>
            </w:tcBorders>
            <w:shd w:val="clear" w:color="auto" w:fill="auto"/>
            <w:vAlign w:val="center"/>
            <w:hideMark/>
          </w:tcPr>
          <w:p w14:paraId="7E91C67B"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1" w:type="dxa"/>
            <w:tcBorders>
              <w:top w:val="nil"/>
              <w:left w:val="nil"/>
              <w:bottom w:val="single" w:sz="4" w:space="0" w:color="auto"/>
              <w:right w:val="single" w:sz="4" w:space="0" w:color="auto"/>
            </w:tcBorders>
            <w:shd w:val="clear" w:color="auto" w:fill="auto"/>
            <w:vAlign w:val="center"/>
            <w:hideMark/>
          </w:tcPr>
          <w:p w14:paraId="397849B4"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2</w:t>
            </w:r>
          </w:p>
        </w:tc>
        <w:tc>
          <w:tcPr>
            <w:tcW w:w="850" w:type="dxa"/>
            <w:tcBorders>
              <w:top w:val="nil"/>
              <w:left w:val="nil"/>
              <w:bottom w:val="single" w:sz="4" w:space="0" w:color="auto"/>
              <w:right w:val="single" w:sz="4" w:space="0" w:color="auto"/>
            </w:tcBorders>
            <w:shd w:val="clear" w:color="auto" w:fill="auto"/>
            <w:vAlign w:val="center"/>
            <w:hideMark/>
          </w:tcPr>
          <w:p w14:paraId="56B06351"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1" w:type="dxa"/>
            <w:tcBorders>
              <w:top w:val="nil"/>
              <w:left w:val="nil"/>
              <w:bottom w:val="single" w:sz="4" w:space="0" w:color="auto"/>
              <w:right w:val="single" w:sz="4" w:space="0" w:color="auto"/>
            </w:tcBorders>
            <w:shd w:val="clear" w:color="auto" w:fill="auto"/>
            <w:vAlign w:val="center"/>
            <w:hideMark/>
          </w:tcPr>
          <w:p w14:paraId="47DF0DF7"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850" w:type="dxa"/>
            <w:tcBorders>
              <w:top w:val="nil"/>
              <w:left w:val="nil"/>
              <w:bottom w:val="single" w:sz="4" w:space="0" w:color="auto"/>
              <w:right w:val="single" w:sz="4" w:space="0" w:color="auto"/>
            </w:tcBorders>
            <w:shd w:val="clear" w:color="auto" w:fill="auto"/>
            <w:vAlign w:val="center"/>
            <w:hideMark/>
          </w:tcPr>
          <w:p w14:paraId="53279A04"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709" w:type="dxa"/>
            <w:tcBorders>
              <w:top w:val="nil"/>
              <w:left w:val="nil"/>
              <w:bottom w:val="single" w:sz="4" w:space="0" w:color="auto"/>
              <w:right w:val="single" w:sz="4" w:space="0" w:color="auto"/>
            </w:tcBorders>
            <w:shd w:val="clear" w:color="auto" w:fill="auto"/>
            <w:vAlign w:val="center"/>
            <w:hideMark/>
          </w:tcPr>
          <w:p w14:paraId="314C6AC3"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EBF1DE"/>
            <w:vAlign w:val="center"/>
            <w:hideMark/>
          </w:tcPr>
          <w:p w14:paraId="5BA8967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4</w:t>
            </w:r>
          </w:p>
        </w:tc>
      </w:tr>
      <w:tr w:rsidR="00EA487B" w:rsidRPr="000A64F1" w14:paraId="2F62D39F" w14:textId="77777777" w:rsidTr="00EA487B">
        <w:trPr>
          <w:trHeight w:val="310"/>
        </w:trPr>
        <w:tc>
          <w:tcPr>
            <w:tcW w:w="1340" w:type="dxa"/>
            <w:tcBorders>
              <w:top w:val="nil"/>
              <w:left w:val="single" w:sz="4" w:space="0" w:color="auto"/>
              <w:bottom w:val="single" w:sz="4" w:space="0" w:color="auto"/>
              <w:right w:val="single" w:sz="4" w:space="0" w:color="auto"/>
            </w:tcBorders>
            <w:shd w:val="clear" w:color="000000" w:fill="D8E4BC"/>
            <w:vAlign w:val="center"/>
            <w:hideMark/>
          </w:tcPr>
          <w:p w14:paraId="6D61ACDD"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Spolu</w:t>
            </w:r>
          </w:p>
        </w:tc>
        <w:tc>
          <w:tcPr>
            <w:tcW w:w="960" w:type="dxa"/>
            <w:tcBorders>
              <w:top w:val="nil"/>
              <w:left w:val="nil"/>
              <w:bottom w:val="single" w:sz="4" w:space="0" w:color="auto"/>
              <w:right w:val="single" w:sz="4" w:space="0" w:color="auto"/>
            </w:tcBorders>
            <w:shd w:val="clear" w:color="000000" w:fill="D8E4BC"/>
            <w:vAlign w:val="center"/>
            <w:hideMark/>
          </w:tcPr>
          <w:p w14:paraId="573197F0"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4</w:t>
            </w:r>
          </w:p>
        </w:tc>
        <w:tc>
          <w:tcPr>
            <w:tcW w:w="819" w:type="dxa"/>
            <w:tcBorders>
              <w:top w:val="nil"/>
              <w:left w:val="nil"/>
              <w:bottom w:val="single" w:sz="4" w:space="0" w:color="auto"/>
              <w:right w:val="single" w:sz="4" w:space="0" w:color="auto"/>
            </w:tcBorders>
            <w:shd w:val="clear" w:color="000000" w:fill="D8E4BC"/>
            <w:vAlign w:val="center"/>
            <w:hideMark/>
          </w:tcPr>
          <w:p w14:paraId="249EC38E"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2</w:t>
            </w:r>
          </w:p>
        </w:tc>
        <w:tc>
          <w:tcPr>
            <w:tcW w:w="850" w:type="dxa"/>
            <w:tcBorders>
              <w:top w:val="nil"/>
              <w:left w:val="nil"/>
              <w:bottom w:val="single" w:sz="4" w:space="0" w:color="auto"/>
              <w:right w:val="single" w:sz="4" w:space="0" w:color="auto"/>
            </w:tcBorders>
            <w:shd w:val="clear" w:color="000000" w:fill="D8E4BC"/>
            <w:vAlign w:val="center"/>
            <w:hideMark/>
          </w:tcPr>
          <w:p w14:paraId="79C0F19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851" w:type="dxa"/>
            <w:tcBorders>
              <w:top w:val="nil"/>
              <w:left w:val="nil"/>
              <w:bottom w:val="single" w:sz="4" w:space="0" w:color="auto"/>
              <w:right w:val="single" w:sz="4" w:space="0" w:color="auto"/>
            </w:tcBorders>
            <w:shd w:val="clear" w:color="000000" w:fill="D8E4BC"/>
            <w:vAlign w:val="center"/>
            <w:hideMark/>
          </w:tcPr>
          <w:p w14:paraId="7A01AB09"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2</w:t>
            </w:r>
          </w:p>
        </w:tc>
        <w:tc>
          <w:tcPr>
            <w:tcW w:w="850" w:type="dxa"/>
            <w:tcBorders>
              <w:top w:val="nil"/>
              <w:left w:val="nil"/>
              <w:bottom w:val="single" w:sz="4" w:space="0" w:color="auto"/>
              <w:right w:val="single" w:sz="4" w:space="0" w:color="auto"/>
            </w:tcBorders>
            <w:shd w:val="clear" w:color="000000" w:fill="D8E4BC"/>
            <w:vAlign w:val="center"/>
            <w:hideMark/>
          </w:tcPr>
          <w:p w14:paraId="2D0B6F7B"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851" w:type="dxa"/>
            <w:tcBorders>
              <w:top w:val="nil"/>
              <w:left w:val="nil"/>
              <w:bottom w:val="single" w:sz="4" w:space="0" w:color="auto"/>
              <w:right w:val="single" w:sz="4" w:space="0" w:color="auto"/>
            </w:tcBorders>
            <w:shd w:val="clear" w:color="000000" w:fill="D8E4BC"/>
            <w:vAlign w:val="center"/>
            <w:hideMark/>
          </w:tcPr>
          <w:p w14:paraId="2AC09B39"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2</w:t>
            </w:r>
          </w:p>
        </w:tc>
        <w:tc>
          <w:tcPr>
            <w:tcW w:w="850" w:type="dxa"/>
            <w:tcBorders>
              <w:top w:val="nil"/>
              <w:left w:val="nil"/>
              <w:bottom w:val="single" w:sz="4" w:space="0" w:color="auto"/>
              <w:right w:val="single" w:sz="4" w:space="0" w:color="auto"/>
            </w:tcBorders>
            <w:shd w:val="clear" w:color="000000" w:fill="D8E4BC"/>
            <w:vAlign w:val="center"/>
            <w:hideMark/>
          </w:tcPr>
          <w:p w14:paraId="3A0FB5DF"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3</w:t>
            </w:r>
          </w:p>
        </w:tc>
        <w:tc>
          <w:tcPr>
            <w:tcW w:w="709" w:type="dxa"/>
            <w:tcBorders>
              <w:top w:val="nil"/>
              <w:left w:val="nil"/>
              <w:bottom w:val="single" w:sz="4" w:space="0" w:color="auto"/>
              <w:right w:val="single" w:sz="4" w:space="0" w:color="auto"/>
            </w:tcBorders>
            <w:shd w:val="clear" w:color="000000" w:fill="D8E4BC"/>
            <w:vAlign w:val="center"/>
            <w:hideMark/>
          </w:tcPr>
          <w:p w14:paraId="07C0EF87"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D8E4BC"/>
            <w:vAlign w:val="center"/>
            <w:hideMark/>
          </w:tcPr>
          <w:p w14:paraId="0FB1B469"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15</w:t>
            </w:r>
          </w:p>
        </w:tc>
      </w:tr>
    </w:tbl>
    <w:p w14:paraId="7D5D4C6E" w14:textId="77777777" w:rsidR="00EA487B" w:rsidRPr="000A64F1" w:rsidRDefault="00EA487B" w:rsidP="00EA487B">
      <w:pPr>
        <w:spacing w:after="120"/>
        <w:rPr>
          <w:rFonts w:cs="Times New Roman"/>
          <w:b/>
        </w:rPr>
      </w:pPr>
    </w:p>
    <w:p w14:paraId="7F4A17B6" w14:textId="77777777" w:rsidR="00EA487B" w:rsidRPr="000A64F1" w:rsidRDefault="00EA487B" w:rsidP="00EA487B">
      <w:pPr>
        <w:spacing w:after="240"/>
        <w:rPr>
          <w:rFonts w:cs="Calibri"/>
        </w:rPr>
      </w:pPr>
      <w:r w:rsidRPr="000A64F1">
        <w:rPr>
          <w:rFonts w:cs="Calibri"/>
          <w:b/>
        </w:rPr>
        <w:t>UDELENIE TITULU „doctor honoris causa“</w:t>
      </w:r>
    </w:p>
    <w:p w14:paraId="587C95C8" w14:textId="36FBD04A" w:rsidR="00EA487B" w:rsidRPr="000A64F1" w:rsidRDefault="00EA487B" w:rsidP="00EA487B">
      <w:pPr>
        <w:spacing w:after="120"/>
        <w:jc w:val="both"/>
        <w:rPr>
          <w:rFonts w:cs="Calibri"/>
        </w:rPr>
      </w:pPr>
      <w:r w:rsidRPr="000A64F1">
        <w:rPr>
          <w:rFonts w:cs="Calibri"/>
        </w:rPr>
        <w:t xml:space="preserve">Na zasadnutí Vedeckej rady STU dňa 19.10.2022 boli prerokované a schválené návrhy na udelenie titulu „doctor honoris causa“ </w:t>
      </w:r>
      <w:r w:rsidRPr="00D232A7">
        <w:rPr>
          <w:rFonts w:cs="Calibri"/>
          <w:b/>
        </w:rPr>
        <w:t>prof. Bernardovi L. Feringovi a prof. Jean-Marie Lehnovi.</w:t>
      </w:r>
      <w:r w:rsidRPr="000A64F1">
        <w:rPr>
          <w:rFonts w:cs="Calibri"/>
        </w:rPr>
        <w:t xml:space="preserve"> Odovzdanie </w:t>
      </w:r>
      <w:r w:rsidR="00D232A7">
        <w:rPr>
          <w:rFonts w:cs="Calibri"/>
        </w:rPr>
        <w:t>čestného titulu sa uskutočnilo</w:t>
      </w:r>
      <w:r w:rsidRPr="000A64F1">
        <w:rPr>
          <w:rFonts w:cs="Calibri"/>
        </w:rPr>
        <w:t xml:space="preserve"> v </w:t>
      </w:r>
      <w:r w:rsidR="00D232A7">
        <w:rPr>
          <w:rFonts w:cs="Calibri"/>
        </w:rPr>
        <w:t>marci</w:t>
      </w:r>
      <w:r w:rsidRPr="000A64F1">
        <w:rPr>
          <w:rFonts w:cs="Calibri"/>
        </w:rPr>
        <w:t xml:space="preserve"> 2023. Obaja menovaní sú nositeľmi Nobelovej ceny.</w:t>
      </w:r>
    </w:p>
    <w:p w14:paraId="0256E217" w14:textId="77777777" w:rsidR="00D232A7" w:rsidRDefault="00D232A7" w:rsidP="00EA487B">
      <w:pPr>
        <w:spacing w:after="240"/>
        <w:rPr>
          <w:rFonts w:cs="Calibri"/>
          <w:b/>
        </w:rPr>
      </w:pPr>
    </w:p>
    <w:p w14:paraId="729DECF6" w14:textId="7BFF0B06" w:rsidR="00EA487B" w:rsidRPr="000A64F1" w:rsidRDefault="00EA487B" w:rsidP="00EA487B">
      <w:pPr>
        <w:spacing w:after="240"/>
        <w:rPr>
          <w:rFonts w:cs="Calibri"/>
          <w:b/>
        </w:rPr>
      </w:pPr>
      <w:r w:rsidRPr="000A64F1">
        <w:rPr>
          <w:rFonts w:cs="Calibri"/>
          <w:b/>
        </w:rPr>
        <w:t>UDELENIE ČESTNÉHO TITULU „profesor emeritus“</w:t>
      </w:r>
    </w:p>
    <w:p w14:paraId="2F989CDE" w14:textId="394E0A11" w:rsidR="00EA487B" w:rsidRPr="000A64F1" w:rsidRDefault="00EA487B" w:rsidP="00EA487B">
      <w:pPr>
        <w:jc w:val="both"/>
        <w:rPr>
          <w:rFonts w:cs="Calibri"/>
        </w:rPr>
      </w:pPr>
      <w:r w:rsidRPr="000A64F1">
        <w:rPr>
          <w:rFonts w:cs="Calibri"/>
        </w:rPr>
        <w:t xml:space="preserve">Na Vedeckej rade STU boli prerokované a schválené  návrhy na udelenie </w:t>
      </w:r>
      <w:r w:rsidR="00D232A7">
        <w:rPr>
          <w:rFonts w:cs="Calibri"/>
        </w:rPr>
        <w:t>deviatich čestných titulov „profesor emeritus“:</w:t>
      </w:r>
    </w:p>
    <w:p w14:paraId="0CC6C219" w14:textId="77777777" w:rsidR="00EA487B" w:rsidRPr="000A64F1" w:rsidRDefault="00EA487B" w:rsidP="00EA487B">
      <w:pPr>
        <w:jc w:val="both"/>
        <w:rPr>
          <w:rFonts w:cs="Calibri"/>
        </w:rPr>
      </w:pPr>
    </w:p>
    <w:p w14:paraId="66DC7E43" w14:textId="77777777" w:rsidR="00EA487B" w:rsidRPr="000A64F1" w:rsidRDefault="00EA487B" w:rsidP="00EA487B">
      <w:pPr>
        <w:shd w:val="clear" w:color="auto" w:fill="FFFFFF"/>
        <w:spacing w:after="120"/>
        <w:rPr>
          <w:rFonts w:eastAsia="Times New Roman" w:cs="Calibri"/>
          <w:color w:val="333333"/>
          <w:lang w:eastAsia="sk-SK"/>
        </w:rPr>
      </w:pPr>
      <w:r w:rsidRPr="000A64F1">
        <w:rPr>
          <w:rFonts w:eastAsia="Times New Roman" w:cs="Calibri"/>
          <w:b/>
          <w:color w:val="333333"/>
          <w:lang w:eastAsia="sk-SK"/>
        </w:rPr>
        <w:t>20.6.2022</w:t>
      </w:r>
      <w:r w:rsidRPr="000A64F1">
        <w:rPr>
          <w:rFonts w:eastAsia="Times New Roman" w:cs="Calibri"/>
          <w:color w:val="333333"/>
          <w:lang w:eastAsia="sk-SK"/>
        </w:rPr>
        <w:br/>
        <w:t>prof. Ing. Juraj Bilčík, PhD.</w:t>
      </w:r>
      <w:r w:rsidRPr="000A64F1">
        <w:rPr>
          <w:rFonts w:eastAsia="Times New Roman" w:cs="Calibri"/>
          <w:color w:val="333333"/>
          <w:lang w:eastAsia="sk-SK"/>
        </w:rPr>
        <w:br/>
        <w:t>prof. Ing. Ľudovít Fillo, PhD.</w:t>
      </w:r>
      <w:r w:rsidRPr="000A64F1">
        <w:rPr>
          <w:rFonts w:eastAsia="Times New Roman" w:cs="Calibri"/>
          <w:color w:val="333333"/>
          <w:lang w:eastAsia="sk-SK"/>
        </w:rPr>
        <w:br/>
        <w:t>prof. Ing. Ján Labuda, DrSc.</w:t>
      </w:r>
      <w:r w:rsidRPr="000A64F1">
        <w:rPr>
          <w:rFonts w:eastAsia="Times New Roman" w:cs="Calibri"/>
          <w:color w:val="333333"/>
          <w:lang w:eastAsia="sk-SK"/>
        </w:rPr>
        <w:br/>
        <w:t>prof. Ing. Peter Šimon, DrSc.</w:t>
      </w:r>
    </w:p>
    <w:p w14:paraId="33E4C155" w14:textId="77777777" w:rsidR="00EA487B" w:rsidRPr="000A64F1" w:rsidRDefault="00EA487B" w:rsidP="00EA487B">
      <w:pPr>
        <w:shd w:val="clear" w:color="auto" w:fill="FFFFFF"/>
        <w:spacing w:before="120" w:after="120"/>
        <w:rPr>
          <w:rFonts w:eastAsia="Times New Roman" w:cs="Calibri"/>
          <w:color w:val="333333"/>
          <w:lang w:eastAsia="sk-SK"/>
        </w:rPr>
      </w:pPr>
      <w:r w:rsidRPr="000A64F1">
        <w:rPr>
          <w:rFonts w:eastAsia="Times New Roman" w:cs="Calibri"/>
          <w:b/>
          <w:bCs/>
          <w:color w:val="333333"/>
          <w:lang w:eastAsia="sk-SK"/>
        </w:rPr>
        <w:t>19.10.2022</w:t>
      </w:r>
      <w:r w:rsidRPr="000A64F1">
        <w:rPr>
          <w:rFonts w:eastAsia="Times New Roman" w:cs="Calibri"/>
          <w:color w:val="333333"/>
          <w:lang w:eastAsia="sk-SK"/>
        </w:rPr>
        <w:br/>
        <w:t>prof. prof. Ing. Peter Grgač, CSc.</w:t>
      </w:r>
      <w:r w:rsidRPr="000A64F1">
        <w:rPr>
          <w:rFonts w:eastAsia="Times New Roman" w:cs="Calibri"/>
          <w:color w:val="333333"/>
          <w:lang w:eastAsia="sk-SK"/>
        </w:rPr>
        <w:br/>
        <w:t>prof. Ing. Peter Sakál, CSc.</w:t>
      </w:r>
      <w:r w:rsidRPr="000A64F1">
        <w:rPr>
          <w:rFonts w:eastAsia="Times New Roman" w:cs="Calibri"/>
          <w:color w:val="333333"/>
          <w:lang w:eastAsia="sk-SK"/>
        </w:rPr>
        <w:br/>
        <w:t>prof. Ing. Alajos Mészáros, PhD., Dr.h.c.</w:t>
      </w:r>
      <w:r w:rsidRPr="000A64F1">
        <w:rPr>
          <w:rFonts w:eastAsia="Times New Roman" w:cs="Calibri"/>
          <w:color w:val="333333"/>
          <w:lang w:eastAsia="sk-SK"/>
        </w:rPr>
        <w:br/>
      </w:r>
      <w:r w:rsidRPr="000A64F1">
        <w:rPr>
          <w:rFonts w:eastAsia="Times New Roman" w:cs="Calibri"/>
          <w:b/>
          <w:bCs/>
          <w:color w:val="333333"/>
          <w:lang w:eastAsia="sk-SK"/>
        </w:rPr>
        <w:t>14.12.2022</w:t>
      </w:r>
      <w:r w:rsidRPr="000A64F1">
        <w:rPr>
          <w:rFonts w:eastAsia="Times New Roman" w:cs="Calibri"/>
          <w:b/>
          <w:bCs/>
          <w:color w:val="333333"/>
          <w:lang w:eastAsia="sk-SK"/>
        </w:rPr>
        <w:br/>
      </w:r>
      <w:r w:rsidRPr="000A64F1">
        <w:rPr>
          <w:rFonts w:eastAsia="Times New Roman" w:cs="Calibri"/>
          <w:color w:val="333333"/>
          <w:lang w:eastAsia="sk-SK"/>
        </w:rPr>
        <w:t>prof. Ing. arch. Bohumil Kováč, PhD.</w:t>
      </w:r>
      <w:r w:rsidRPr="000A64F1">
        <w:rPr>
          <w:rFonts w:eastAsia="Times New Roman" w:cs="Calibri"/>
          <w:color w:val="333333"/>
          <w:lang w:eastAsia="sk-SK"/>
        </w:rPr>
        <w:br/>
        <w:t>prof. h.c. prof. Ing. Karol Velíšek, CSc.</w:t>
      </w:r>
    </w:p>
    <w:p w14:paraId="69D9B06B" w14:textId="77777777" w:rsidR="00EA487B" w:rsidRPr="000A64F1" w:rsidRDefault="00EA487B" w:rsidP="00EA487B">
      <w:pPr>
        <w:tabs>
          <w:tab w:val="left" w:pos="284"/>
          <w:tab w:val="left" w:pos="7371"/>
          <w:tab w:val="left" w:pos="7797"/>
          <w:tab w:val="left" w:pos="8647"/>
        </w:tabs>
        <w:rPr>
          <w:rFonts w:eastAsia="Times New Roman" w:cs="Calibri"/>
          <w:lang w:eastAsia="sk-SK"/>
        </w:rPr>
      </w:pPr>
    </w:p>
    <w:p w14:paraId="5F51F134" w14:textId="124DFD35" w:rsidR="00EA487B" w:rsidRPr="000A64F1" w:rsidRDefault="00EA487B" w:rsidP="00EA487B">
      <w:pPr>
        <w:rPr>
          <w:rFonts w:cs="Calibri"/>
        </w:rPr>
      </w:pPr>
      <w:r w:rsidRPr="000A64F1">
        <w:rPr>
          <w:rFonts w:cs="Calibri"/>
        </w:rPr>
        <w:t xml:space="preserve">Tab. č. </w:t>
      </w:r>
      <w:r w:rsidR="00D232A7">
        <w:rPr>
          <w:rFonts w:cs="Calibri"/>
        </w:rPr>
        <w:t>4</w:t>
      </w:r>
      <w:r w:rsidRPr="000A64F1">
        <w:rPr>
          <w:rFonts w:cs="Calibri"/>
        </w:rPr>
        <w:t>9: Prehľad návrhov na udelenie titulu „profesor emeritus“</w:t>
      </w:r>
      <w:r w:rsidR="00D232A7">
        <w:rPr>
          <w:rFonts w:cs="Calibri"/>
        </w:rPr>
        <w:t xml:space="preserve"> podľa súčastí</w:t>
      </w:r>
    </w:p>
    <w:tbl>
      <w:tblPr>
        <w:tblW w:w="9020" w:type="dxa"/>
        <w:tblInd w:w="-5" w:type="dxa"/>
        <w:tblCellMar>
          <w:left w:w="70" w:type="dxa"/>
          <w:right w:w="70" w:type="dxa"/>
        </w:tblCellMar>
        <w:tblLook w:val="04A0" w:firstRow="1" w:lastRow="0" w:firstColumn="1" w:lastColumn="0" w:noHBand="0" w:noVBand="1"/>
      </w:tblPr>
      <w:tblGrid>
        <w:gridCol w:w="1340"/>
        <w:gridCol w:w="960"/>
        <w:gridCol w:w="960"/>
        <w:gridCol w:w="960"/>
        <w:gridCol w:w="960"/>
        <w:gridCol w:w="960"/>
        <w:gridCol w:w="960"/>
        <w:gridCol w:w="960"/>
        <w:gridCol w:w="960"/>
      </w:tblGrid>
      <w:tr w:rsidR="00EA487B" w:rsidRPr="000A64F1" w14:paraId="28E7FB10" w14:textId="77777777" w:rsidTr="00EA487B">
        <w:trPr>
          <w:trHeight w:val="310"/>
        </w:trPr>
        <w:tc>
          <w:tcPr>
            <w:tcW w:w="1340"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659F4D27"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VR STU</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2B5FB546"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SvF</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11BA0BAF"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SjF</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295EF677"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FEI</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3B220E6B"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FCHPT</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248FFAE3"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FAD</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42988C0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MTF</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71413099"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FIIT</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6CF25D08"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STU</w:t>
            </w:r>
          </w:p>
        </w:tc>
      </w:tr>
      <w:tr w:rsidR="00EA487B" w:rsidRPr="000A64F1" w14:paraId="7A0B9E99" w14:textId="77777777" w:rsidTr="00EA487B">
        <w:trPr>
          <w:trHeight w:val="310"/>
        </w:trPr>
        <w:tc>
          <w:tcPr>
            <w:tcW w:w="1340" w:type="dxa"/>
            <w:tcBorders>
              <w:top w:val="nil"/>
              <w:left w:val="single" w:sz="4" w:space="0" w:color="auto"/>
              <w:bottom w:val="single" w:sz="4" w:space="0" w:color="auto"/>
              <w:right w:val="single" w:sz="4" w:space="0" w:color="auto"/>
            </w:tcBorders>
            <w:shd w:val="clear" w:color="000000" w:fill="EBF1DE"/>
            <w:vAlign w:val="center"/>
            <w:hideMark/>
          </w:tcPr>
          <w:p w14:paraId="669751B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20.6.2022</w:t>
            </w:r>
          </w:p>
        </w:tc>
        <w:tc>
          <w:tcPr>
            <w:tcW w:w="960" w:type="dxa"/>
            <w:tcBorders>
              <w:top w:val="nil"/>
              <w:left w:val="nil"/>
              <w:bottom w:val="single" w:sz="4" w:space="0" w:color="auto"/>
              <w:right w:val="single" w:sz="4" w:space="0" w:color="auto"/>
            </w:tcBorders>
            <w:shd w:val="clear" w:color="auto" w:fill="auto"/>
            <w:vAlign w:val="center"/>
            <w:hideMark/>
          </w:tcPr>
          <w:p w14:paraId="56274042"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2</w:t>
            </w:r>
          </w:p>
        </w:tc>
        <w:tc>
          <w:tcPr>
            <w:tcW w:w="960" w:type="dxa"/>
            <w:tcBorders>
              <w:top w:val="nil"/>
              <w:left w:val="nil"/>
              <w:bottom w:val="single" w:sz="4" w:space="0" w:color="auto"/>
              <w:right w:val="single" w:sz="4" w:space="0" w:color="auto"/>
            </w:tcBorders>
            <w:shd w:val="clear" w:color="auto" w:fill="auto"/>
            <w:vAlign w:val="center"/>
            <w:hideMark/>
          </w:tcPr>
          <w:p w14:paraId="3AD90F33"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14:paraId="3428EE98"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14:paraId="2156199C"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2</w:t>
            </w:r>
          </w:p>
        </w:tc>
        <w:tc>
          <w:tcPr>
            <w:tcW w:w="960" w:type="dxa"/>
            <w:tcBorders>
              <w:top w:val="nil"/>
              <w:left w:val="nil"/>
              <w:bottom w:val="single" w:sz="4" w:space="0" w:color="auto"/>
              <w:right w:val="single" w:sz="4" w:space="0" w:color="auto"/>
            </w:tcBorders>
            <w:shd w:val="clear" w:color="auto" w:fill="auto"/>
            <w:vAlign w:val="center"/>
            <w:hideMark/>
          </w:tcPr>
          <w:p w14:paraId="7F2127B8"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14:paraId="35FDCAEF"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14:paraId="645F0DDC"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EBF1DE"/>
            <w:vAlign w:val="center"/>
            <w:hideMark/>
          </w:tcPr>
          <w:p w14:paraId="2DA3A55D"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4</w:t>
            </w:r>
          </w:p>
        </w:tc>
      </w:tr>
      <w:tr w:rsidR="00EA487B" w:rsidRPr="000A64F1" w14:paraId="7794AE29" w14:textId="77777777" w:rsidTr="00EA487B">
        <w:trPr>
          <w:trHeight w:val="310"/>
        </w:trPr>
        <w:tc>
          <w:tcPr>
            <w:tcW w:w="1340" w:type="dxa"/>
            <w:tcBorders>
              <w:top w:val="nil"/>
              <w:left w:val="single" w:sz="4" w:space="0" w:color="auto"/>
              <w:bottom w:val="single" w:sz="4" w:space="0" w:color="auto"/>
              <w:right w:val="single" w:sz="4" w:space="0" w:color="auto"/>
            </w:tcBorders>
            <w:shd w:val="clear" w:color="000000" w:fill="EBF1DE"/>
            <w:vAlign w:val="center"/>
            <w:hideMark/>
          </w:tcPr>
          <w:p w14:paraId="2AD04E2B"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19.10.2022</w:t>
            </w:r>
          </w:p>
        </w:tc>
        <w:tc>
          <w:tcPr>
            <w:tcW w:w="960" w:type="dxa"/>
            <w:tcBorders>
              <w:top w:val="nil"/>
              <w:left w:val="nil"/>
              <w:bottom w:val="single" w:sz="4" w:space="0" w:color="auto"/>
              <w:right w:val="single" w:sz="4" w:space="0" w:color="auto"/>
            </w:tcBorders>
            <w:shd w:val="clear" w:color="auto" w:fill="auto"/>
            <w:vAlign w:val="center"/>
            <w:hideMark/>
          </w:tcPr>
          <w:p w14:paraId="14538165"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14:paraId="6297B4E4"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14:paraId="71036751"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14:paraId="2A9F7C1F"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4369881B"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14:paraId="42973B4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2</w:t>
            </w:r>
          </w:p>
        </w:tc>
        <w:tc>
          <w:tcPr>
            <w:tcW w:w="960" w:type="dxa"/>
            <w:tcBorders>
              <w:top w:val="nil"/>
              <w:left w:val="nil"/>
              <w:bottom w:val="single" w:sz="4" w:space="0" w:color="auto"/>
              <w:right w:val="single" w:sz="4" w:space="0" w:color="auto"/>
            </w:tcBorders>
            <w:shd w:val="clear" w:color="auto" w:fill="auto"/>
            <w:vAlign w:val="center"/>
            <w:hideMark/>
          </w:tcPr>
          <w:p w14:paraId="3ECA6AA9"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EBF1DE"/>
            <w:vAlign w:val="center"/>
            <w:hideMark/>
          </w:tcPr>
          <w:p w14:paraId="766ABAFF"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3</w:t>
            </w:r>
          </w:p>
        </w:tc>
      </w:tr>
      <w:tr w:rsidR="00EA487B" w:rsidRPr="000A64F1" w14:paraId="4CC6AC1B" w14:textId="77777777" w:rsidTr="00EA487B">
        <w:trPr>
          <w:trHeight w:val="310"/>
        </w:trPr>
        <w:tc>
          <w:tcPr>
            <w:tcW w:w="1340" w:type="dxa"/>
            <w:tcBorders>
              <w:top w:val="nil"/>
              <w:left w:val="single" w:sz="4" w:space="0" w:color="auto"/>
              <w:bottom w:val="single" w:sz="4" w:space="0" w:color="auto"/>
              <w:right w:val="single" w:sz="4" w:space="0" w:color="auto"/>
            </w:tcBorders>
            <w:shd w:val="clear" w:color="000000" w:fill="EBF1DE"/>
            <w:vAlign w:val="center"/>
            <w:hideMark/>
          </w:tcPr>
          <w:p w14:paraId="1DEA5FE5"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14.12.2022</w:t>
            </w:r>
          </w:p>
        </w:tc>
        <w:tc>
          <w:tcPr>
            <w:tcW w:w="960" w:type="dxa"/>
            <w:tcBorders>
              <w:top w:val="nil"/>
              <w:left w:val="nil"/>
              <w:bottom w:val="single" w:sz="4" w:space="0" w:color="auto"/>
              <w:right w:val="single" w:sz="4" w:space="0" w:color="auto"/>
            </w:tcBorders>
            <w:shd w:val="clear" w:color="auto" w:fill="auto"/>
            <w:vAlign w:val="center"/>
            <w:hideMark/>
          </w:tcPr>
          <w:p w14:paraId="436D978D"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14:paraId="5E5BE160"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14:paraId="05E201F6"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14:paraId="4A71E4ED"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14:paraId="0E683889"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4F4D8A7A"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6CC658B0"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EBF1DE"/>
            <w:vAlign w:val="center"/>
            <w:hideMark/>
          </w:tcPr>
          <w:p w14:paraId="10454722"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2</w:t>
            </w:r>
          </w:p>
        </w:tc>
      </w:tr>
      <w:tr w:rsidR="00EA487B" w:rsidRPr="000A64F1" w14:paraId="3D28CE75" w14:textId="77777777" w:rsidTr="00EA487B">
        <w:trPr>
          <w:trHeight w:val="310"/>
        </w:trPr>
        <w:tc>
          <w:tcPr>
            <w:tcW w:w="1340" w:type="dxa"/>
            <w:tcBorders>
              <w:top w:val="nil"/>
              <w:left w:val="single" w:sz="4" w:space="0" w:color="auto"/>
              <w:bottom w:val="single" w:sz="4" w:space="0" w:color="auto"/>
              <w:right w:val="single" w:sz="4" w:space="0" w:color="auto"/>
            </w:tcBorders>
            <w:shd w:val="clear" w:color="000000" w:fill="D8E4BC"/>
            <w:vAlign w:val="center"/>
            <w:hideMark/>
          </w:tcPr>
          <w:p w14:paraId="7CC56FF5"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Spolu</w:t>
            </w:r>
          </w:p>
        </w:tc>
        <w:tc>
          <w:tcPr>
            <w:tcW w:w="960" w:type="dxa"/>
            <w:tcBorders>
              <w:top w:val="nil"/>
              <w:left w:val="nil"/>
              <w:bottom w:val="single" w:sz="4" w:space="0" w:color="auto"/>
              <w:right w:val="single" w:sz="4" w:space="0" w:color="auto"/>
            </w:tcBorders>
            <w:shd w:val="clear" w:color="000000" w:fill="D8E4BC"/>
            <w:vAlign w:val="center"/>
            <w:hideMark/>
          </w:tcPr>
          <w:p w14:paraId="3D64F647"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2</w:t>
            </w:r>
          </w:p>
        </w:tc>
        <w:tc>
          <w:tcPr>
            <w:tcW w:w="960" w:type="dxa"/>
            <w:tcBorders>
              <w:top w:val="nil"/>
              <w:left w:val="nil"/>
              <w:bottom w:val="single" w:sz="4" w:space="0" w:color="auto"/>
              <w:right w:val="single" w:sz="4" w:space="0" w:color="auto"/>
            </w:tcBorders>
            <w:shd w:val="clear" w:color="000000" w:fill="D8E4BC"/>
            <w:vAlign w:val="center"/>
            <w:hideMark/>
          </w:tcPr>
          <w:p w14:paraId="6548C766"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D8E4BC"/>
            <w:vAlign w:val="center"/>
            <w:hideMark/>
          </w:tcPr>
          <w:p w14:paraId="34168A71"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D8E4BC"/>
            <w:vAlign w:val="center"/>
            <w:hideMark/>
          </w:tcPr>
          <w:p w14:paraId="5FC9EA97"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3</w:t>
            </w:r>
          </w:p>
        </w:tc>
        <w:tc>
          <w:tcPr>
            <w:tcW w:w="960" w:type="dxa"/>
            <w:tcBorders>
              <w:top w:val="nil"/>
              <w:left w:val="nil"/>
              <w:bottom w:val="single" w:sz="4" w:space="0" w:color="auto"/>
              <w:right w:val="single" w:sz="4" w:space="0" w:color="auto"/>
            </w:tcBorders>
            <w:shd w:val="clear" w:color="000000" w:fill="D8E4BC"/>
            <w:vAlign w:val="center"/>
            <w:hideMark/>
          </w:tcPr>
          <w:p w14:paraId="60397F04"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1</w:t>
            </w:r>
          </w:p>
        </w:tc>
        <w:tc>
          <w:tcPr>
            <w:tcW w:w="960" w:type="dxa"/>
            <w:tcBorders>
              <w:top w:val="nil"/>
              <w:left w:val="nil"/>
              <w:bottom w:val="single" w:sz="4" w:space="0" w:color="auto"/>
              <w:right w:val="single" w:sz="4" w:space="0" w:color="auto"/>
            </w:tcBorders>
            <w:shd w:val="clear" w:color="000000" w:fill="D8E4BC"/>
            <w:vAlign w:val="center"/>
            <w:hideMark/>
          </w:tcPr>
          <w:p w14:paraId="18CAA654"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3</w:t>
            </w:r>
          </w:p>
        </w:tc>
        <w:tc>
          <w:tcPr>
            <w:tcW w:w="960" w:type="dxa"/>
            <w:tcBorders>
              <w:top w:val="nil"/>
              <w:left w:val="nil"/>
              <w:bottom w:val="single" w:sz="4" w:space="0" w:color="auto"/>
              <w:right w:val="single" w:sz="4" w:space="0" w:color="auto"/>
            </w:tcBorders>
            <w:shd w:val="clear" w:color="000000" w:fill="D8E4BC"/>
            <w:vAlign w:val="center"/>
            <w:hideMark/>
          </w:tcPr>
          <w:p w14:paraId="315BB13E"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 </w:t>
            </w:r>
          </w:p>
        </w:tc>
        <w:tc>
          <w:tcPr>
            <w:tcW w:w="960" w:type="dxa"/>
            <w:tcBorders>
              <w:top w:val="nil"/>
              <w:left w:val="nil"/>
              <w:bottom w:val="single" w:sz="4" w:space="0" w:color="auto"/>
              <w:right w:val="single" w:sz="4" w:space="0" w:color="auto"/>
            </w:tcBorders>
            <w:shd w:val="clear" w:color="000000" w:fill="D8E4BC"/>
            <w:vAlign w:val="center"/>
            <w:hideMark/>
          </w:tcPr>
          <w:p w14:paraId="25AB715D" w14:textId="77777777" w:rsidR="00EA487B" w:rsidRPr="000A64F1" w:rsidRDefault="00EA487B" w:rsidP="00EA487B">
            <w:pPr>
              <w:jc w:val="center"/>
              <w:rPr>
                <w:rFonts w:eastAsia="Times New Roman" w:cs="Calibri"/>
                <w:color w:val="00000A"/>
                <w:lang w:eastAsia="sk-SK"/>
              </w:rPr>
            </w:pPr>
            <w:r w:rsidRPr="000A64F1">
              <w:rPr>
                <w:rFonts w:eastAsia="Times New Roman" w:cs="Calibri"/>
                <w:color w:val="00000A"/>
                <w:lang w:eastAsia="sk-SK"/>
              </w:rPr>
              <w:t>9</w:t>
            </w:r>
          </w:p>
        </w:tc>
      </w:tr>
    </w:tbl>
    <w:p w14:paraId="618537E4" w14:textId="77777777" w:rsidR="00EA487B" w:rsidRPr="000A64F1" w:rsidRDefault="00EA487B" w:rsidP="00EA487B">
      <w:pPr>
        <w:spacing w:after="120"/>
        <w:rPr>
          <w:rFonts w:cs="Times New Roman"/>
        </w:rPr>
      </w:pPr>
    </w:p>
    <w:p w14:paraId="143A04F5" w14:textId="77777777" w:rsidR="00D232A7" w:rsidRDefault="00D232A7" w:rsidP="00EA487B">
      <w:pPr>
        <w:spacing w:after="240"/>
        <w:rPr>
          <w:rFonts w:cs="Calibri"/>
          <w:b/>
        </w:rPr>
      </w:pPr>
    </w:p>
    <w:p w14:paraId="4EBE1A6A" w14:textId="58475821" w:rsidR="00EA487B" w:rsidRPr="000A64F1" w:rsidRDefault="00EA487B" w:rsidP="00EA487B">
      <w:pPr>
        <w:spacing w:after="240"/>
        <w:rPr>
          <w:rFonts w:cs="Calibri"/>
          <w:b/>
        </w:rPr>
      </w:pPr>
      <w:r w:rsidRPr="000A64F1">
        <w:rPr>
          <w:rFonts w:cs="Calibri"/>
          <w:b/>
        </w:rPr>
        <w:lastRenderedPageBreak/>
        <w:t>Vedecký kvalifikačný stupeň</w:t>
      </w:r>
    </w:p>
    <w:p w14:paraId="6E08469F" w14:textId="77777777" w:rsidR="00EA487B" w:rsidRPr="000A64F1" w:rsidRDefault="00EA487B" w:rsidP="00EA487B">
      <w:pPr>
        <w:jc w:val="both"/>
        <w:rPr>
          <w:rFonts w:cs="Calibri"/>
        </w:rPr>
      </w:pPr>
      <w:r w:rsidRPr="000A64F1">
        <w:rPr>
          <w:rFonts w:cs="Calibri"/>
        </w:rPr>
        <w:t xml:space="preserve">Atestačná komisia STU, ktorej poslanie vyplýva z príslušných ustanovení vyhlášky SAV o vedeckých kvalifikačných stupňoch v roku 2022 pracovala v zložení: prof. Ing. Ján Híveš, PhD.,  prof. Ing. Kamila Hlavčová, PhD., prof. Ing. Stanislav Ďuriš, PhD., prof. Ing. Viera Stopjaková. PhD., prof. Ing. Milan Polakovič, CSc., doc. Ing. arch. Ján Legény, PhD. (do 26.9.2022), doc. Ing. arch. Zuzana Čerešňová, PhD. (od 26.9.2022), prof. Ing. Peter Šugár, CSc., doc. Ing. Valentino Vranić, PhD., doc. Ing. Anna Ujhelyiová, PhD., doc. RNDr. Ján Feranec, DrSc., doc. Ing. Jaromír Markovič, PhD., doc. Ing. Jozef Novák, DrSc., Ing. Vladimír Mastihuba, PhD., Ing. arch. Vojtech Hrdina, PhD., Ing. Peter Švec, DrSc., doc. Ing. Ladislav Hluchý, CSc., </w:t>
      </w:r>
    </w:p>
    <w:p w14:paraId="4E8A341A" w14:textId="77777777" w:rsidR="00EA487B" w:rsidRPr="000A64F1" w:rsidRDefault="00EA487B" w:rsidP="00EA487B">
      <w:pPr>
        <w:rPr>
          <w:rFonts w:cs="Calibri"/>
          <w:highlight w:val="yellow"/>
        </w:rPr>
      </w:pPr>
    </w:p>
    <w:p w14:paraId="6C81ECC6" w14:textId="53BAE3E6" w:rsidR="00EA487B" w:rsidRPr="000A64F1" w:rsidRDefault="00250A4A" w:rsidP="00250A4A">
      <w:pPr>
        <w:spacing w:before="120"/>
        <w:jc w:val="both"/>
        <w:rPr>
          <w:rFonts w:cs="Calibri"/>
        </w:rPr>
      </w:pPr>
      <w:r>
        <w:rPr>
          <w:rFonts w:cs="Calibri"/>
          <w:bCs/>
        </w:rPr>
        <w:t xml:space="preserve">Na </w:t>
      </w:r>
      <w:r w:rsidR="00EA487B" w:rsidRPr="000A64F1">
        <w:rPr>
          <w:rFonts w:cs="Calibri"/>
          <w:bCs/>
        </w:rPr>
        <w:t xml:space="preserve">zasadnutí dňa 22.3.2022 Atestačná komisia prerokovala, schválila a </w:t>
      </w:r>
      <w:r w:rsidR="00EA487B" w:rsidRPr="000A64F1">
        <w:rPr>
          <w:rFonts w:cs="Calibri"/>
        </w:rPr>
        <w:t xml:space="preserve">odporučila postúpiť </w:t>
      </w:r>
      <w:r>
        <w:rPr>
          <w:rFonts w:cs="Calibri"/>
        </w:rPr>
        <w:t xml:space="preserve">na MŠVVaŠ SR na ďalšie konanie </w:t>
      </w:r>
      <w:r w:rsidR="00EA487B" w:rsidRPr="000A64F1">
        <w:rPr>
          <w:rFonts w:cs="Calibri"/>
        </w:rPr>
        <w:t>13 návrhov (z toho 7 mužov a 6 žien) na priznanie vedeckého kvalifikačného stupňa IIa:</w:t>
      </w:r>
    </w:p>
    <w:p w14:paraId="4F655BB1" w14:textId="77777777" w:rsidR="00EA487B" w:rsidRPr="000A64F1" w:rsidRDefault="00EA487B" w:rsidP="00EA487B">
      <w:pPr>
        <w:jc w:val="both"/>
        <w:rPr>
          <w:rFonts w:cs="Calibri"/>
        </w:rPr>
      </w:pPr>
      <w:r w:rsidRPr="000A64F1">
        <w:rPr>
          <w:rFonts w:cs="Calibri"/>
          <w:b/>
        </w:rPr>
        <w:t>Ing. Michal Kaliňák, PhD</w:t>
      </w:r>
      <w:r w:rsidRPr="000A64F1">
        <w:rPr>
          <w:rFonts w:cs="Calibri"/>
        </w:rPr>
        <w:t>. – Biochémia, FCHPT STU, Centrálne laboratóriá</w:t>
      </w:r>
    </w:p>
    <w:p w14:paraId="7E7B8790" w14:textId="77777777" w:rsidR="00EA487B" w:rsidRPr="000A64F1" w:rsidRDefault="00EA487B" w:rsidP="00EA487B">
      <w:pPr>
        <w:jc w:val="both"/>
        <w:rPr>
          <w:rFonts w:cs="Calibri"/>
        </w:rPr>
      </w:pPr>
      <w:r w:rsidRPr="000A64F1">
        <w:rPr>
          <w:rFonts w:cs="Calibri"/>
          <w:b/>
        </w:rPr>
        <w:t>Ing. Veronika Majová, PhD</w:t>
      </w:r>
      <w:r w:rsidRPr="000A64F1">
        <w:rPr>
          <w:rFonts w:cs="Calibri"/>
        </w:rPr>
        <w:t>. – Technické vedy – Technológia makromolekulových látok – FCHPT STU, Oddelenie dreva, celulózy a papiera</w:t>
      </w:r>
    </w:p>
    <w:p w14:paraId="640C9F96" w14:textId="77777777" w:rsidR="00EA487B" w:rsidRPr="000A64F1" w:rsidRDefault="00EA487B" w:rsidP="00EA487B">
      <w:pPr>
        <w:jc w:val="both"/>
        <w:rPr>
          <w:rFonts w:cs="Calibri"/>
        </w:rPr>
      </w:pPr>
      <w:r w:rsidRPr="000A64F1">
        <w:rPr>
          <w:rFonts w:cs="Calibri"/>
          <w:b/>
        </w:rPr>
        <w:t>Ing. Emília Mališová, PhD. –</w:t>
      </w:r>
      <w:r w:rsidRPr="000A64F1">
        <w:rPr>
          <w:rFonts w:cs="Calibri"/>
        </w:rPr>
        <w:t xml:space="preserve"> Technické vedy – Anorganická technológia a materiály, FCHPT STU</w:t>
      </w:r>
    </w:p>
    <w:p w14:paraId="53533C7F" w14:textId="77777777" w:rsidR="00EA487B" w:rsidRPr="000A64F1" w:rsidRDefault="00EA487B" w:rsidP="00EA487B">
      <w:pPr>
        <w:jc w:val="both"/>
        <w:rPr>
          <w:rFonts w:cs="Calibri"/>
        </w:rPr>
      </w:pPr>
      <w:r w:rsidRPr="000A64F1">
        <w:rPr>
          <w:rFonts w:cs="Calibri"/>
          <w:b/>
        </w:rPr>
        <w:t>Ing. Silvia Mošovská, PhD</w:t>
      </w:r>
      <w:r w:rsidRPr="000A64F1">
        <w:rPr>
          <w:rFonts w:cs="Calibri"/>
        </w:rPr>
        <w:t>. – Biologické vedy-mikrobiológia, FCHPT STU, Oddelenie výživy a hodnotenia kvality potravín</w:t>
      </w:r>
    </w:p>
    <w:p w14:paraId="3B44A968" w14:textId="77777777" w:rsidR="00EA487B" w:rsidRPr="000A64F1" w:rsidRDefault="00EA487B" w:rsidP="00EA487B">
      <w:pPr>
        <w:jc w:val="both"/>
        <w:rPr>
          <w:rFonts w:cs="Calibri"/>
        </w:rPr>
      </w:pPr>
      <w:r w:rsidRPr="000A64F1">
        <w:rPr>
          <w:rFonts w:cs="Calibri"/>
          <w:b/>
        </w:rPr>
        <w:t>Ing. Miroslava Puchoňová, PhD</w:t>
      </w:r>
      <w:r w:rsidRPr="000A64F1">
        <w:rPr>
          <w:rFonts w:cs="Calibri"/>
        </w:rPr>
        <w:t xml:space="preserve">. – Anorganická chémia, FCHPT STU, Oddelenie anorganickej chémie </w:t>
      </w:r>
    </w:p>
    <w:p w14:paraId="5423C961" w14:textId="77777777" w:rsidR="00EA487B" w:rsidRPr="000A64F1" w:rsidRDefault="00EA487B" w:rsidP="00EA487B">
      <w:pPr>
        <w:jc w:val="both"/>
        <w:rPr>
          <w:rFonts w:cs="Calibri"/>
        </w:rPr>
      </w:pPr>
      <w:r w:rsidRPr="000A64F1">
        <w:rPr>
          <w:rFonts w:cs="Calibri"/>
          <w:b/>
        </w:rPr>
        <w:t>Ing. Miriama Šimunková, PhD</w:t>
      </w:r>
      <w:r w:rsidRPr="000A64F1">
        <w:rPr>
          <w:rFonts w:cs="Calibri"/>
        </w:rPr>
        <w:t>. – Fyzikálna chémia, FCHPT STU, Oddelenie fyzikálnej chémie</w:t>
      </w:r>
    </w:p>
    <w:p w14:paraId="7BF17CD4" w14:textId="77777777" w:rsidR="00EA487B" w:rsidRPr="000A64F1" w:rsidRDefault="00EA487B" w:rsidP="00EA487B">
      <w:pPr>
        <w:jc w:val="both"/>
        <w:rPr>
          <w:rFonts w:cs="Calibri"/>
        </w:rPr>
      </w:pPr>
      <w:r w:rsidRPr="000A64F1">
        <w:rPr>
          <w:rFonts w:cs="Calibri"/>
          <w:b/>
        </w:rPr>
        <w:t>Ing. Matej Pašák, PhD</w:t>
      </w:r>
      <w:r w:rsidRPr="000A64F1">
        <w:rPr>
          <w:rFonts w:cs="Calibri"/>
        </w:rPr>
        <w:t>. – Technické vedy – Strojárstvo – Materiálové inžinierstvo, MTF STU v Trnave, Ústav materiálov</w:t>
      </w:r>
    </w:p>
    <w:p w14:paraId="7A4ED51C" w14:textId="77777777" w:rsidR="00EA487B" w:rsidRPr="000A64F1" w:rsidRDefault="00EA487B" w:rsidP="00EA487B">
      <w:pPr>
        <w:jc w:val="both"/>
        <w:rPr>
          <w:rFonts w:cs="Calibri"/>
        </w:rPr>
      </w:pPr>
      <w:r w:rsidRPr="000A64F1">
        <w:rPr>
          <w:rFonts w:cs="Calibri"/>
          <w:b/>
        </w:rPr>
        <w:t>Ing. Zuzana Szabová, PhD</w:t>
      </w:r>
      <w:r w:rsidRPr="000A64F1">
        <w:rPr>
          <w:rFonts w:cs="Calibri"/>
        </w:rPr>
        <w:t>. – Technické vedy - Bezpečnostné vedy, MTF STU v Trnave, Katedra bezpečnostného inžinierstva</w:t>
      </w:r>
    </w:p>
    <w:p w14:paraId="3D529C5E" w14:textId="77777777" w:rsidR="00EA487B" w:rsidRPr="000A64F1" w:rsidRDefault="00EA487B" w:rsidP="00EA487B">
      <w:pPr>
        <w:jc w:val="both"/>
        <w:rPr>
          <w:rFonts w:cs="Calibri"/>
        </w:rPr>
      </w:pPr>
      <w:r w:rsidRPr="000A64F1">
        <w:rPr>
          <w:rFonts w:cs="Calibri"/>
          <w:b/>
        </w:rPr>
        <w:t>Mgr. Zoltán Száraz, PhD</w:t>
      </w:r>
      <w:r w:rsidRPr="000A64F1">
        <w:rPr>
          <w:rFonts w:cs="Calibri"/>
        </w:rPr>
        <w:t>. – Fyzikálne vedy, MTF STU v Trnave, Ústav výskumu progresívnych technológií</w:t>
      </w:r>
    </w:p>
    <w:p w14:paraId="25458C1B" w14:textId="77777777" w:rsidR="00EA487B" w:rsidRPr="000A64F1" w:rsidRDefault="00EA487B" w:rsidP="00EA487B">
      <w:pPr>
        <w:jc w:val="both"/>
        <w:rPr>
          <w:rFonts w:cs="Calibri"/>
        </w:rPr>
      </w:pPr>
      <w:r w:rsidRPr="000A64F1">
        <w:rPr>
          <w:rFonts w:cs="Calibri"/>
          <w:b/>
        </w:rPr>
        <w:t>Ing. Tomáš Vopát, PhD</w:t>
      </w:r>
      <w:r w:rsidRPr="000A64F1">
        <w:rPr>
          <w:rFonts w:cs="Calibri"/>
        </w:rPr>
        <w:t>. - Technické vedy- Strojárstvo – Obrábanie, tvárnenie a povrchová úprava, MTF STU v Trnave, Katedra obrábania a počítačovej podpory technológií</w:t>
      </w:r>
    </w:p>
    <w:p w14:paraId="781CA5FF" w14:textId="77777777" w:rsidR="00EA487B" w:rsidRPr="000A64F1" w:rsidRDefault="00EA487B" w:rsidP="00EA487B">
      <w:pPr>
        <w:jc w:val="both"/>
        <w:rPr>
          <w:rFonts w:cs="Calibri"/>
        </w:rPr>
      </w:pPr>
      <w:r w:rsidRPr="000A64F1">
        <w:rPr>
          <w:rFonts w:cs="Calibri"/>
          <w:b/>
        </w:rPr>
        <w:t>Ing. Marek Macák, PhD</w:t>
      </w:r>
      <w:r w:rsidRPr="000A64F1">
        <w:rPr>
          <w:rFonts w:cs="Calibri"/>
        </w:rPr>
        <w:t>. – Matematické vedy - Numerická matematika a vedecko-technické výpočty, SvF STU, Katedra matematiky a deskriptívnej geometrie</w:t>
      </w:r>
    </w:p>
    <w:p w14:paraId="7E191EB2" w14:textId="77777777" w:rsidR="00EA487B" w:rsidRPr="000A64F1" w:rsidRDefault="00EA487B" w:rsidP="00EA487B">
      <w:pPr>
        <w:jc w:val="both"/>
        <w:rPr>
          <w:rFonts w:cs="Calibri"/>
        </w:rPr>
      </w:pPr>
      <w:r w:rsidRPr="000A64F1">
        <w:rPr>
          <w:rFonts w:cs="Calibri"/>
          <w:b/>
        </w:rPr>
        <w:t>Ing. Daniel Urbán, PhD</w:t>
      </w:r>
      <w:r w:rsidRPr="000A64F1">
        <w:rPr>
          <w:rFonts w:cs="Calibri"/>
        </w:rPr>
        <w:t>. – Technické vedy – Pozemné stavby, SvF STU, Katedra materiálového inžinierstva a fyziky</w:t>
      </w:r>
    </w:p>
    <w:p w14:paraId="24BB84A2" w14:textId="77777777" w:rsidR="00EA487B" w:rsidRPr="000A64F1" w:rsidRDefault="00EA487B" w:rsidP="00EA487B">
      <w:pPr>
        <w:jc w:val="both"/>
        <w:rPr>
          <w:rFonts w:cs="Calibri"/>
        </w:rPr>
      </w:pPr>
      <w:r w:rsidRPr="000A64F1">
        <w:rPr>
          <w:rFonts w:cs="Calibri"/>
          <w:b/>
        </w:rPr>
        <w:t>Ing. Peter Valent, PhD., MSc</w:t>
      </w:r>
      <w:r w:rsidRPr="000A64F1">
        <w:rPr>
          <w:rFonts w:cs="Calibri"/>
        </w:rPr>
        <w:t>. – Technické vedy – Vodné stavby (aj pre vodohospodárske vedy), SvF STU, Katedra vodného hospodárstva krajiny</w:t>
      </w:r>
    </w:p>
    <w:p w14:paraId="48DBF8F8" w14:textId="77777777" w:rsidR="00EA487B" w:rsidRPr="000A64F1" w:rsidRDefault="00EA487B" w:rsidP="00EA487B">
      <w:pPr>
        <w:rPr>
          <w:rFonts w:cs="Times New Roman"/>
          <w:color w:val="000000"/>
        </w:rPr>
      </w:pPr>
    </w:p>
    <w:p w14:paraId="09316D4E" w14:textId="2DC6DCFE" w:rsidR="00EA487B" w:rsidRPr="000A64F1" w:rsidRDefault="00250A4A" w:rsidP="00250A4A">
      <w:pPr>
        <w:spacing w:before="120"/>
        <w:jc w:val="both"/>
        <w:rPr>
          <w:rFonts w:cs="Calibri"/>
        </w:rPr>
      </w:pPr>
      <w:r>
        <w:rPr>
          <w:rFonts w:cs="Calibri"/>
          <w:bCs/>
        </w:rPr>
        <w:t xml:space="preserve">Na </w:t>
      </w:r>
      <w:r w:rsidR="00EA487B">
        <w:rPr>
          <w:rFonts w:cs="Calibri"/>
          <w:bCs/>
        </w:rPr>
        <w:t>zasadnutí dňa 20.</w:t>
      </w:r>
      <w:r w:rsidR="00EA487B" w:rsidRPr="000A64F1">
        <w:rPr>
          <w:rFonts w:cs="Calibri"/>
          <w:bCs/>
        </w:rPr>
        <w:t xml:space="preserve">9.2022 Atestačná komisia prerokovala, schválila a </w:t>
      </w:r>
      <w:r w:rsidR="00EA487B" w:rsidRPr="000A64F1">
        <w:rPr>
          <w:rFonts w:cs="Calibri"/>
        </w:rPr>
        <w:t xml:space="preserve">odporučila postúpiť </w:t>
      </w:r>
      <w:r>
        <w:rPr>
          <w:rFonts w:cs="Calibri"/>
        </w:rPr>
        <w:t xml:space="preserve">na MŠVVaŠ SR na ďalšie konanie </w:t>
      </w:r>
      <w:r w:rsidR="00EA487B" w:rsidRPr="000A64F1">
        <w:rPr>
          <w:rFonts w:cs="Calibri"/>
        </w:rPr>
        <w:t>13 návrhov (z toho 7 mužov a 6 žien) na priznanie vedeckého kvalifikačného stupňa IIa:</w:t>
      </w:r>
    </w:p>
    <w:p w14:paraId="483B0009" w14:textId="77777777" w:rsidR="00EA487B" w:rsidRPr="000A64F1" w:rsidRDefault="00EA487B" w:rsidP="00EA487B">
      <w:pPr>
        <w:jc w:val="both"/>
        <w:rPr>
          <w:rFonts w:cs="Calibri"/>
        </w:rPr>
      </w:pPr>
      <w:r w:rsidRPr="000A64F1">
        <w:rPr>
          <w:rFonts w:cs="Calibri"/>
          <w:b/>
        </w:rPr>
        <w:t>RNDr. Jana Blaškovičová, PhD</w:t>
      </w:r>
      <w:r w:rsidRPr="000A64F1">
        <w:rPr>
          <w:rFonts w:cs="Calibri"/>
        </w:rPr>
        <w:t>. – Chémia, FCHPT STU, Ústav analytickej chémie</w:t>
      </w:r>
    </w:p>
    <w:p w14:paraId="1A7D23AD" w14:textId="77777777" w:rsidR="00EA487B" w:rsidRPr="000A64F1" w:rsidRDefault="00EA487B" w:rsidP="00EA487B">
      <w:pPr>
        <w:jc w:val="both"/>
        <w:rPr>
          <w:rFonts w:cs="Calibri"/>
        </w:rPr>
      </w:pPr>
      <w:r w:rsidRPr="000A64F1">
        <w:rPr>
          <w:rFonts w:cs="Calibri"/>
          <w:b/>
        </w:rPr>
        <w:t>Ing. Jozef Feranc, PhD</w:t>
      </w:r>
      <w:r w:rsidRPr="000A64F1">
        <w:rPr>
          <w:rFonts w:cs="Calibri"/>
        </w:rPr>
        <w:t>. – Technické vedy – Technológia makromolekulových látok, FCHPT STU, Ústav prírodných a syntetických polymérov</w:t>
      </w:r>
    </w:p>
    <w:p w14:paraId="4DCE657C" w14:textId="77777777" w:rsidR="00EA487B" w:rsidRPr="000A64F1" w:rsidRDefault="00EA487B" w:rsidP="00EA487B">
      <w:pPr>
        <w:jc w:val="both"/>
        <w:rPr>
          <w:rFonts w:cs="Calibri"/>
        </w:rPr>
      </w:pPr>
      <w:r w:rsidRPr="000A64F1">
        <w:rPr>
          <w:rFonts w:cs="Calibri"/>
          <w:b/>
        </w:rPr>
        <w:t>Ing. Zora Hajdúchová, PhD</w:t>
      </w:r>
      <w:r w:rsidRPr="000A64F1">
        <w:rPr>
          <w:rFonts w:cs="Calibri"/>
        </w:rPr>
        <w:t>. – Technické vedy – Anorganická technológia a materiály, FCHPT STU, Ústav anorganickej chémie, technológie a materiálov</w:t>
      </w:r>
    </w:p>
    <w:p w14:paraId="02182463" w14:textId="77777777" w:rsidR="00EA487B" w:rsidRPr="000A64F1" w:rsidRDefault="00EA487B" w:rsidP="00EA487B">
      <w:pPr>
        <w:jc w:val="both"/>
        <w:rPr>
          <w:rFonts w:cs="Calibri"/>
        </w:rPr>
      </w:pPr>
      <w:r w:rsidRPr="000A64F1">
        <w:rPr>
          <w:rFonts w:cs="Calibri"/>
          <w:b/>
        </w:rPr>
        <w:t>Ing. Jana Nováčiková, PhD</w:t>
      </w:r>
      <w:r w:rsidRPr="000A64F1">
        <w:rPr>
          <w:rFonts w:cs="Calibri"/>
        </w:rPr>
        <w:t>. – Chémia, FCHPT STU, Centrálne laboratóriá</w:t>
      </w:r>
    </w:p>
    <w:p w14:paraId="73389160" w14:textId="77777777" w:rsidR="00EA487B" w:rsidRPr="000A64F1" w:rsidRDefault="00EA487B" w:rsidP="00EA487B">
      <w:pPr>
        <w:jc w:val="both"/>
        <w:rPr>
          <w:rFonts w:cs="Calibri"/>
        </w:rPr>
      </w:pPr>
      <w:r w:rsidRPr="000A64F1">
        <w:rPr>
          <w:rFonts w:cs="Calibri"/>
          <w:b/>
        </w:rPr>
        <w:lastRenderedPageBreak/>
        <w:t>Ing. Leona Omaníková, PhD</w:t>
      </w:r>
      <w:r w:rsidRPr="000A64F1">
        <w:rPr>
          <w:rFonts w:cs="Calibri"/>
        </w:rPr>
        <w:t>. - Technické vedy – Technológia makromolekulových látok, FCHPT STU, Ústav prírodných a syntetických polymérov</w:t>
      </w:r>
    </w:p>
    <w:p w14:paraId="5C2DFE8C" w14:textId="77777777" w:rsidR="00EA487B" w:rsidRPr="000A64F1" w:rsidRDefault="00EA487B" w:rsidP="00EA487B">
      <w:pPr>
        <w:jc w:val="both"/>
        <w:rPr>
          <w:rFonts w:cs="Calibri"/>
        </w:rPr>
      </w:pPr>
      <w:r w:rsidRPr="000A64F1">
        <w:rPr>
          <w:rFonts w:cs="Calibri"/>
          <w:b/>
        </w:rPr>
        <w:t>Ing. Helena Fidlerová, PhD</w:t>
      </w:r>
      <w:r w:rsidRPr="000A64F1">
        <w:rPr>
          <w:rFonts w:cs="Calibri"/>
        </w:rPr>
        <w:t>. – Technické vedy – Strojárstvo (Priemyselné inžinierstvo), MTF STU v Trnave, Ústav priemyselného inžinierstva a manažmentu</w:t>
      </w:r>
    </w:p>
    <w:p w14:paraId="6B8B1633" w14:textId="77777777" w:rsidR="00EA487B" w:rsidRPr="000A64F1" w:rsidRDefault="00EA487B" w:rsidP="00EA487B">
      <w:pPr>
        <w:jc w:val="both"/>
        <w:rPr>
          <w:rFonts w:cs="Calibri"/>
        </w:rPr>
      </w:pPr>
      <w:r w:rsidRPr="000A64F1">
        <w:rPr>
          <w:rFonts w:cs="Calibri"/>
          <w:b/>
        </w:rPr>
        <w:t>Ing. Peter Gogola, PhD</w:t>
      </w:r>
      <w:r w:rsidRPr="000A64F1">
        <w:rPr>
          <w:rFonts w:cs="Calibri"/>
        </w:rPr>
        <w:t>. – Technické vedy - Strojárstvo (Materiály), MTF STU v Trnave, Ústav materiálov</w:t>
      </w:r>
    </w:p>
    <w:p w14:paraId="51DF9E75" w14:textId="77777777" w:rsidR="00EA487B" w:rsidRPr="000A64F1" w:rsidRDefault="00EA487B" w:rsidP="00EA487B">
      <w:pPr>
        <w:jc w:val="both"/>
        <w:rPr>
          <w:rFonts w:cs="Calibri"/>
        </w:rPr>
      </w:pPr>
      <w:r w:rsidRPr="000A64F1">
        <w:rPr>
          <w:rFonts w:cs="Calibri"/>
          <w:b/>
        </w:rPr>
        <w:t>doc. Ing. Erika Hodúlová, PhD</w:t>
      </w:r>
      <w:r w:rsidRPr="000A64F1">
        <w:rPr>
          <w:rFonts w:cs="Calibri"/>
        </w:rPr>
        <w:t xml:space="preserve">. – Technické vedy - Strojárstvo (Zváranie, zlievanie, prášková metalurgia a aditívna výroba), MTF STU v Trnave, Katedra zvárania a spájania materiálov </w:t>
      </w:r>
    </w:p>
    <w:p w14:paraId="0ACED921" w14:textId="77777777" w:rsidR="00EA487B" w:rsidRPr="000A64F1" w:rsidRDefault="00EA487B" w:rsidP="00EA487B">
      <w:pPr>
        <w:jc w:val="both"/>
        <w:rPr>
          <w:rFonts w:cs="Calibri"/>
        </w:rPr>
      </w:pPr>
      <w:r w:rsidRPr="000A64F1">
        <w:rPr>
          <w:rFonts w:cs="Calibri"/>
          <w:b/>
        </w:rPr>
        <w:t>Ing. Pavol Noga, PhD. –</w:t>
      </w:r>
      <w:r w:rsidRPr="000A64F1">
        <w:rPr>
          <w:rFonts w:cs="Calibri"/>
        </w:rPr>
        <w:t xml:space="preserve"> Technické vedy – Materiálové inžinierstvo, MTF STU v Trnave, Ústav výskumu progresívnych technológií</w:t>
      </w:r>
    </w:p>
    <w:p w14:paraId="3C6C8CAC" w14:textId="77777777" w:rsidR="00EA487B" w:rsidRPr="000A64F1" w:rsidRDefault="00EA487B" w:rsidP="00EA487B">
      <w:pPr>
        <w:jc w:val="both"/>
        <w:rPr>
          <w:rFonts w:cs="Calibri"/>
        </w:rPr>
      </w:pPr>
      <w:r w:rsidRPr="000A64F1">
        <w:rPr>
          <w:rFonts w:cs="Calibri"/>
          <w:b/>
        </w:rPr>
        <w:t>Ing. Jozef Hallon, PhD</w:t>
      </w:r>
      <w:r w:rsidRPr="000A64F1">
        <w:rPr>
          <w:rFonts w:cs="Calibri"/>
        </w:rPr>
        <w:t>. – Technické vedy – Meracia technika, FEI STU, Ústav elektrotechniky</w:t>
      </w:r>
    </w:p>
    <w:p w14:paraId="2B5D797A" w14:textId="77777777" w:rsidR="00EA487B" w:rsidRPr="000A64F1" w:rsidRDefault="00EA487B" w:rsidP="00EA487B">
      <w:pPr>
        <w:jc w:val="both"/>
        <w:rPr>
          <w:rFonts w:cs="Calibri"/>
        </w:rPr>
      </w:pPr>
      <w:r w:rsidRPr="000A64F1">
        <w:rPr>
          <w:rFonts w:cs="Calibri"/>
          <w:b/>
        </w:rPr>
        <w:t>Ing. Michal Mičjan, PhD</w:t>
      </w:r>
      <w:r w:rsidRPr="000A64F1">
        <w:rPr>
          <w:rFonts w:cs="Calibri"/>
        </w:rPr>
        <w:t>. – Technické vedy – Mikroelektronika, FEI STU, Ústav elektroniky a fotoniky</w:t>
      </w:r>
    </w:p>
    <w:p w14:paraId="3C0A12BD" w14:textId="77777777" w:rsidR="00EA487B" w:rsidRPr="000A64F1" w:rsidRDefault="00EA487B" w:rsidP="00EA487B">
      <w:pPr>
        <w:jc w:val="both"/>
        <w:rPr>
          <w:rFonts w:cs="Calibri"/>
        </w:rPr>
      </w:pPr>
      <w:r w:rsidRPr="000A64F1">
        <w:rPr>
          <w:rFonts w:cs="Calibri"/>
          <w:b/>
        </w:rPr>
        <w:t>doc. Ing. Daniel Valúch, PhD</w:t>
      </w:r>
      <w:r w:rsidRPr="000A64F1">
        <w:rPr>
          <w:rFonts w:cs="Calibri"/>
        </w:rPr>
        <w:t>. – Technické vedy – Rádioelektronika, FEI STU, Ústav elektrotechniky</w:t>
      </w:r>
    </w:p>
    <w:p w14:paraId="697DB932" w14:textId="77777777" w:rsidR="00EA487B" w:rsidRPr="000A64F1" w:rsidRDefault="00EA487B" w:rsidP="00EA487B">
      <w:pPr>
        <w:jc w:val="both"/>
        <w:rPr>
          <w:rFonts w:cs="Calibri"/>
        </w:rPr>
      </w:pPr>
      <w:r w:rsidRPr="000A64F1">
        <w:rPr>
          <w:rFonts w:cs="Calibri"/>
          <w:b/>
        </w:rPr>
        <w:t>MSc. Jooyoung Hahn, PhD.</w:t>
      </w:r>
      <w:r w:rsidRPr="000A64F1">
        <w:rPr>
          <w:rFonts w:cs="Calibri"/>
        </w:rPr>
        <w:t xml:space="preserve"> – Aplikovaná matematika, SvF STU, Katedra matematiky a deskriptívnej geometrie</w:t>
      </w:r>
    </w:p>
    <w:p w14:paraId="17369985" w14:textId="77777777" w:rsidR="00EA487B" w:rsidRPr="000A64F1" w:rsidRDefault="00EA487B" w:rsidP="00EA487B">
      <w:pPr>
        <w:spacing w:before="120"/>
        <w:rPr>
          <w:rFonts w:cs="Calibri"/>
        </w:rPr>
      </w:pPr>
    </w:p>
    <w:p w14:paraId="72570B81" w14:textId="48F01784" w:rsidR="00D76CA4" w:rsidRPr="009163F7" w:rsidRDefault="00EA487B" w:rsidP="00EA487B">
      <w:pPr>
        <w:jc w:val="both"/>
        <w:rPr>
          <w:rFonts w:cs="Calibri"/>
        </w:rPr>
      </w:pPr>
      <w:r w:rsidRPr="000A64F1">
        <w:rPr>
          <w:rFonts w:cs="Calibri"/>
          <w:lang w:eastAsia="sk-SK"/>
        </w:rPr>
        <w:t xml:space="preserve">Dňa 16.9.2022 sme požiadali o </w:t>
      </w:r>
      <w:r w:rsidRPr="000A64F1">
        <w:rPr>
          <w:rFonts w:cs="Calibri"/>
        </w:rPr>
        <w:t>schválenie nového člena Atestačnej komisie STU doc. Ing. arch. Zuzany Čerešňovej, PhD., ktorá bola do uvedenej pozície menovaná namiesto doterajšieho člena doc. Ing. arch. Jána Legényho, PhD., ktorý</w:t>
      </w:r>
      <w:r>
        <w:rPr>
          <w:rFonts w:cs="Calibri"/>
        </w:rPr>
        <w:t xml:space="preserve"> </w:t>
      </w:r>
      <w:r w:rsidRPr="000A64F1">
        <w:rPr>
          <w:rFonts w:cs="Calibri"/>
        </w:rPr>
        <w:t>odstúpil na vlastnú žiadosť.</w:t>
      </w:r>
    </w:p>
    <w:p w14:paraId="46FAD797" w14:textId="77777777" w:rsidR="00606CBD" w:rsidRPr="00606CBD" w:rsidRDefault="00606CBD" w:rsidP="00606CBD">
      <w:pPr>
        <w:rPr>
          <w:rFonts w:asciiTheme="majorHAnsi" w:hAnsiTheme="majorHAnsi" w:cstheme="majorHAnsi"/>
          <w:color w:val="1F497D"/>
        </w:rPr>
      </w:pPr>
    </w:p>
    <w:p w14:paraId="17C6AE2B" w14:textId="77777777" w:rsidR="00606CBD" w:rsidRPr="000A64F1" w:rsidRDefault="00606CBD" w:rsidP="00606CBD">
      <w:pPr>
        <w:rPr>
          <w:b/>
        </w:rPr>
      </w:pPr>
    </w:p>
    <w:p w14:paraId="1FCADCF7" w14:textId="77777777" w:rsidR="00A52AC0" w:rsidRPr="00A52AC0" w:rsidRDefault="00A52AC0" w:rsidP="00A52AC0">
      <w:pPr>
        <w:rPr>
          <w:rFonts w:asciiTheme="majorHAnsi" w:hAnsiTheme="majorHAnsi" w:cstheme="majorHAnsi"/>
          <w:b/>
          <w:sz w:val="32"/>
          <w:szCs w:val="32"/>
        </w:rPr>
      </w:pPr>
      <w:bookmarkStart w:id="207" w:name="_Toc450247188"/>
      <w:r w:rsidRPr="00A52AC0">
        <w:rPr>
          <w:rFonts w:asciiTheme="majorHAnsi" w:hAnsiTheme="majorHAnsi" w:cstheme="majorHAnsi"/>
          <w:b/>
          <w:sz w:val="32"/>
          <w:szCs w:val="32"/>
        </w:rPr>
        <w:t>7. Zamestnanci vysokej školy</w:t>
      </w:r>
      <w:bookmarkEnd w:id="207"/>
    </w:p>
    <w:p w14:paraId="448BB7E3" w14:textId="77777777" w:rsidR="00A52AC0" w:rsidRPr="00A52AC0" w:rsidRDefault="00A52AC0" w:rsidP="00A52AC0">
      <w:pPr>
        <w:rPr>
          <w:rFonts w:asciiTheme="majorHAnsi" w:hAnsiTheme="majorHAnsi" w:cstheme="majorHAnsi"/>
          <w:color w:val="FF0000"/>
          <w:lang w:eastAsia="cs-CZ"/>
        </w:rPr>
      </w:pPr>
    </w:p>
    <w:p w14:paraId="3F1A563B" w14:textId="271D0EEE" w:rsidR="00A52AC0" w:rsidRPr="00A52AC0" w:rsidRDefault="00A52AC0" w:rsidP="00A52AC0">
      <w:pPr>
        <w:pStyle w:val="Default"/>
        <w:jc w:val="both"/>
        <w:rPr>
          <w:rFonts w:asciiTheme="majorHAnsi" w:hAnsiTheme="majorHAnsi" w:cstheme="majorHAnsi"/>
          <w:color w:val="auto"/>
          <w:lang w:val="sk-SK"/>
        </w:rPr>
      </w:pPr>
      <w:r w:rsidRPr="00A52AC0">
        <w:rPr>
          <w:rFonts w:asciiTheme="majorHAnsi" w:hAnsiTheme="majorHAnsi" w:cstheme="majorHAnsi"/>
          <w:color w:val="auto"/>
          <w:lang w:val="sk-SK"/>
        </w:rPr>
        <w:t xml:space="preserve">Na STU dlhodobo pokračuje trend znižovania počtu zamestnancov. Celkový </w:t>
      </w:r>
      <w:r w:rsidRPr="00A52AC0">
        <w:rPr>
          <w:rFonts w:asciiTheme="majorHAnsi" w:hAnsiTheme="majorHAnsi" w:cstheme="majorHAnsi"/>
          <w:b/>
          <w:color w:val="auto"/>
          <w:lang w:val="sk-SK"/>
        </w:rPr>
        <w:t>počet zamestnancov univerzity medziročne klesol aj v roku 2022</w:t>
      </w:r>
      <w:r w:rsidRPr="00A52AC0">
        <w:rPr>
          <w:rFonts w:asciiTheme="majorHAnsi" w:hAnsiTheme="majorHAnsi" w:cstheme="majorHAnsi"/>
          <w:color w:val="auto"/>
          <w:lang w:val="sk-SK"/>
        </w:rPr>
        <w:t xml:space="preserve">. Negatívnom je, že pokračovalo aj znižovanie počtu vysokoškolských učiteľov, </w:t>
      </w:r>
      <w:r>
        <w:rPr>
          <w:rFonts w:asciiTheme="majorHAnsi" w:hAnsiTheme="majorHAnsi" w:cstheme="majorHAnsi"/>
          <w:color w:val="auto"/>
          <w:lang w:val="sk-SK"/>
        </w:rPr>
        <w:t>aj počtu</w:t>
      </w:r>
      <w:r w:rsidRPr="00A52AC0">
        <w:rPr>
          <w:rFonts w:asciiTheme="majorHAnsi" w:hAnsiTheme="majorHAnsi" w:cstheme="majorHAnsi"/>
          <w:color w:val="auto"/>
          <w:lang w:val="sk-SK"/>
        </w:rPr>
        <w:t xml:space="preserve"> žien na </w:t>
      </w:r>
      <w:r>
        <w:rPr>
          <w:rFonts w:asciiTheme="majorHAnsi" w:hAnsiTheme="majorHAnsi" w:cstheme="majorHAnsi"/>
          <w:color w:val="auto"/>
          <w:lang w:val="sk-SK"/>
        </w:rPr>
        <w:t xml:space="preserve">týchto </w:t>
      </w:r>
      <w:r w:rsidRPr="00A52AC0">
        <w:rPr>
          <w:rFonts w:asciiTheme="majorHAnsi" w:hAnsiTheme="majorHAnsi" w:cstheme="majorHAnsi"/>
          <w:color w:val="auto"/>
          <w:lang w:val="sk-SK"/>
        </w:rPr>
        <w:t>miestach</w:t>
      </w:r>
      <w:r>
        <w:rPr>
          <w:rFonts w:asciiTheme="majorHAnsi" w:hAnsiTheme="majorHAnsi" w:cstheme="majorHAnsi"/>
          <w:color w:val="auto"/>
          <w:lang w:val="sk-SK"/>
        </w:rPr>
        <w:t>.</w:t>
      </w:r>
      <w:r w:rsidRPr="00A52AC0">
        <w:rPr>
          <w:rFonts w:asciiTheme="majorHAnsi" w:hAnsiTheme="majorHAnsi" w:cstheme="majorHAnsi"/>
          <w:color w:val="auto"/>
          <w:lang w:val="sk-SK"/>
        </w:rPr>
        <w:t xml:space="preserve"> Pozitívne možno vnímať nárast počtu vedeckovýskumných pracovníkov.  </w:t>
      </w:r>
      <w:r w:rsidRPr="00A52AC0">
        <w:rPr>
          <w:rFonts w:asciiTheme="majorHAnsi" w:hAnsiTheme="majorHAnsi" w:cstheme="majorHAnsi"/>
          <w:b/>
          <w:color w:val="auto"/>
          <w:lang w:val="sk-SK"/>
        </w:rPr>
        <w:t>V roku 2022 bol priemerný počet zamestnancov na STU 2542, z toho bolo 942 vysokoškolských učiteľov a 465 vedeckovýskumných zamestnancov.</w:t>
      </w:r>
      <w:r w:rsidRPr="00A52AC0">
        <w:rPr>
          <w:rFonts w:asciiTheme="majorHAnsi" w:hAnsiTheme="majorHAnsi" w:cstheme="majorHAnsi"/>
          <w:color w:val="auto"/>
          <w:lang w:val="sk-SK"/>
        </w:rPr>
        <w:t xml:space="preserve"> Tabuľk</w:t>
      </w:r>
      <w:r>
        <w:rPr>
          <w:rFonts w:asciiTheme="majorHAnsi" w:hAnsiTheme="majorHAnsi" w:cstheme="majorHAnsi"/>
          <w:color w:val="auto"/>
          <w:lang w:val="sk-SK"/>
        </w:rPr>
        <w:t>a 50</w:t>
      </w:r>
      <w:r w:rsidRPr="00A52AC0">
        <w:rPr>
          <w:rFonts w:asciiTheme="majorHAnsi" w:hAnsiTheme="majorHAnsi" w:cstheme="majorHAnsi"/>
          <w:color w:val="auto"/>
          <w:lang w:val="sk-SK"/>
        </w:rPr>
        <w:t xml:space="preserve"> ukazuje porovnanie počtu zamest</w:t>
      </w:r>
      <w:r>
        <w:rPr>
          <w:rFonts w:asciiTheme="majorHAnsi" w:hAnsiTheme="majorHAnsi" w:cstheme="majorHAnsi"/>
          <w:color w:val="auto"/>
          <w:lang w:val="sk-SK"/>
        </w:rPr>
        <w:t>nancov za posledné obdobie</w:t>
      </w:r>
      <w:r w:rsidRPr="00A52AC0">
        <w:rPr>
          <w:rFonts w:asciiTheme="majorHAnsi" w:hAnsiTheme="majorHAnsi" w:cstheme="majorHAnsi"/>
          <w:color w:val="auto"/>
          <w:lang w:val="sk-SK"/>
        </w:rPr>
        <w:t xml:space="preserve"> ako priemerný počet fyzických osôb za celý kalendárny rok. </w:t>
      </w:r>
    </w:p>
    <w:p w14:paraId="706AFC4F" w14:textId="77777777" w:rsidR="00A52AC0" w:rsidRPr="00A52AC0" w:rsidRDefault="00A52AC0" w:rsidP="00A52AC0">
      <w:pPr>
        <w:pStyle w:val="Default"/>
        <w:jc w:val="both"/>
        <w:rPr>
          <w:rFonts w:asciiTheme="majorHAnsi" w:hAnsiTheme="majorHAnsi" w:cstheme="majorHAnsi"/>
          <w:b/>
          <w:color w:val="auto"/>
          <w:lang w:val="sk-SK"/>
        </w:rPr>
      </w:pPr>
    </w:p>
    <w:p w14:paraId="535E4B99" w14:textId="1029CCDF" w:rsidR="00A52AC0" w:rsidRPr="00A52AC0" w:rsidRDefault="00A52AC0" w:rsidP="00A52AC0">
      <w:pPr>
        <w:rPr>
          <w:rFonts w:asciiTheme="majorHAnsi" w:hAnsiTheme="majorHAnsi" w:cstheme="majorHAnsi"/>
        </w:rPr>
      </w:pPr>
      <w:r>
        <w:rPr>
          <w:rFonts w:asciiTheme="majorHAnsi" w:hAnsiTheme="majorHAnsi" w:cstheme="majorHAnsi"/>
        </w:rPr>
        <w:t>Tab. č. 50</w:t>
      </w:r>
      <w:r w:rsidRPr="00A52AC0">
        <w:rPr>
          <w:rFonts w:asciiTheme="majorHAnsi" w:hAnsiTheme="majorHAnsi" w:cstheme="majorHAnsi"/>
        </w:rPr>
        <w:t>: Porovnanie počtu zamestnancov STU v Bratislave</w:t>
      </w:r>
      <w:r w:rsidRPr="00A52AC0">
        <w:rPr>
          <w:rFonts w:asciiTheme="majorHAnsi" w:hAnsiTheme="majorHAnsi" w:cstheme="majorHAnsi"/>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1547"/>
        <w:gridCol w:w="1892"/>
        <w:gridCol w:w="1382"/>
      </w:tblGrid>
      <w:tr w:rsidR="00A52AC0" w:rsidRPr="00A52AC0" w14:paraId="4825E0F5" w14:textId="77777777" w:rsidTr="000E3322">
        <w:tc>
          <w:tcPr>
            <w:tcW w:w="1023" w:type="dxa"/>
            <w:shd w:val="clear" w:color="auto" w:fill="EEECE1" w:themeFill="background2"/>
          </w:tcPr>
          <w:p w14:paraId="638711CF"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Rok</w:t>
            </w:r>
          </w:p>
        </w:tc>
        <w:tc>
          <w:tcPr>
            <w:tcW w:w="1547" w:type="dxa"/>
            <w:shd w:val="clear" w:color="auto" w:fill="EEECE1" w:themeFill="background2"/>
          </w:tcPr>
          <w:p w14:paraId="4FC31B3F"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Počet vysokoškolských učiteľov</w:t>
            </w:r>
          </w:p>
        </w:tc>
        <w:tc>
          <w:tcPr>
            <w:tcW w:w="1792" w:type="dxa"/>
            <w:shd w:val="clear" w:color="auto" w:fill="EEECE1" w:themeFill="background2"/>
          </w:tcPr>
          <w:p w14:paraId="0AF9330E"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 xml:space="preserve">Počet vedeckovýskumných pracovníkov </w:t>
            </w:r>
          </w:p>
        </w:tc>
        <w:tc>
          <w:tcPr>
            <w:tcW w:w="1382" w:type="dxa"/>
            <w:shd w:val="clear" w:color="auto" w:fill="EEECE1" w:themeFill="background2"/>
          </w:tcPr>
          <w:p w14:paraId="15285A88"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Počet zamestnancov STU</w:t>
            </w:r>
          </w:p>
        </w:tc>
      </w:tr>
      <w:tr w:rsidR="00A52AC0" w:rsidRPr="00A52AC0" w14:paraId="4F486990" w14:textId="77777777" w:rsidTr="000E3322">
        <w:tc>
          <w:tcPr>
            <w:tcW w:w="1023" w:type="dxa"/>
            <w:shd w:val="clear" w:color="auto" w:fill="auto"/>
          </w:tcPr>
          <w:p w14:paraId="7033F0C4"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2012</w:t>
            </w:r>
          </w:p>
        </w:tc>
        <w:tc>
          <w:tcPr>
            <w:tcW w:w="1547" w:type="dxa"/>
            <w:shd w:val="clear" w:color="auto" w:fill="auto"/>
          </w:tcPr>
          <w:p w14:paraId="13A88046"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noProof/>
                <w:sz w:val="20"/>
                <w:szCs w:val="20"/>
              </w:rPr>
              <w:t>1 172</w:t>
            </w:r>
          </w:p>
        </w:tc>
        <w:tc>
          <w:tcPr>
            <w:tcW w:w="1792" w:type="dxa"/>
            <w:shd w:val="clear" w:color="auto" w:fill="auto"/>
          </w:tcPr>
          <w:p w14:paraId="424DB4A7"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noProof/>
                <w:sz w:val="20"/>
                <w:szCs w:val="20"/>
              </w:rPr>
              <w:t>425</w:t>
            </w:r>
          </w:p>
        </w:tc>
        <w:tc>
          <w:tcPr>
            <w:tcW w:w="1382" w:type="dxa"/>
            <w:shd w:val="clear" w:color="auto" w:fill="auto"/>
          </w:tcPr>
          <w:p w14:paraId="3A183F7D"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noProof/>
                <w:sz w:val="20"/>
                <w:szCs w:val="20"/>
              </w:rPr>
              <w:t>3 015</w:t>
            </w:r>
          </w:p>
        </w:tc>
      </w:tr>
      <w:tr w:rsidR="00A52AC0" w:rsidRPr="00A52AC0" w14:paraId="08F70E99" w14:textId="77777777" w:rsidTr="000E3322">
        <w:tc>
          <w:tcPr>
            <w:tcW w:w="1023" w:type="dxa"/>
            <w:shd w:val="clear" w:color="auto" w:fill="auto"/>
          </w:tcPr>
          <w:p w14:paraId="28069A46"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2013</w:t>
            </w:r>
          </w:p>
        </w:tc>
        <w:tc>
          <w:tcPr>
            <w:tcW w:w="1547" w:type="dxa"/>
            <w:shd w:val="clear" w:color="auto" w:fill="auto"/>
          </w:tcPr>
          <w:p w14:paraId="2059248E"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noProof/>
                <w:sz w:val="20"/>
                <w:szCs w:val="20"/>
              </w:rPr>
              <w:t>1 175</w:t>
            </w:r>
          </w:p>
        </w:tc>
        <w:tc>
          <w:tcPr>
            <w:tcW w:w="1792" w:type="dxa"/>
            <w:shd w:val="clear" w:color="auto" w:fill="auto"/>
          </w:tcPr>
          <w:p w14:paraId="16DC2D1C"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noProof/>
                <w:sz w:val="20"/>
                <w:szCs w:val="20"/>
              </w:rPr>
              <w:t>450</w:t>
            </w:r>
          </w:p>
        </w:tc>
        <w:tc>
          <w:tcPr>
            <w:tcW w:w="1382" w:type="dxa"/>
            <w:shd w:val="clear" w:color="auto" w:fill="auto"/>
          </w:tcPr>
          <w:p w14:paraId="17BB56A1"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noProof/>
                <w:sz w:val="20"/>
                <w:szCs w:val="20"/>
              </w:rPr>
              <w:t>2 998</w:t>
            </w:r>
          </w:p>
        </w:tc>
      </w:tr>
      <w:tr w:rsidR="00A52AC0" w:rsidRPr="00A52AC0" w14:paraId="4E3137E2" w14:textId="77777777" w:rsidTr="000E3322">
        <w:tc>
          <w:tcPr>
            <w:tcW w:w="1023" w:type="dxa"/>
            <w:shd w:val="clear" w:color="auto" w:fill="auto"/>
          </w:tcPr>
          <w:p w14:paraId="08F7A83A"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2014</w:t>
            </w:r>
          </w:p>
        </w:tc>
        <w:tc>
          <w:tcPr>
            <w:tcW w:w="1547" w:type="dxa"/>
            <w:shd w:val="clear" w:color="auto" w:fill="auto"/>
          </w:tcPr>
          <w:p w14:paraId="1FFD65BB"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1 158</w:t>
            </w:r>
          </w:p>
        </w:tc>
        <w:tc>
          <w:tcPr>
            <w:tcW w:w="1792" w:type="dxa"/>
            <w:shd w:val="clear" w:color="auto" w:fill="auto"/>
          </w:tcPr>
          <w:p w14:paraId="5734744C"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438</w:t>
            </w:r>
          </w:p>
        </w:tc>
        <w:tc>
          <w:tcPr>
            <w:tcW w:w="1382" w:type="dxa"/>
            <w:shd w:val="clear" w:color="auto" w:fill="auto"/>
          </w:tcPr>
          <w:p w14:paraId="125E7EC0"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2 935</w:t>
            </w:r>
          </w:p>
        </w:tc>
      </w:tr>
      <w:tr w:rsidR="00A52AC0" w:rsidRPr="00A52AC0" w14:paraId="67A878DE" w14:textId="77777777" w:rsidTr="000E3322">
        <w:tc>
          <w:tcPr>
            <w:tcW w:w="1023" w:type="dxa"/>
            <w:shd w:val="clear" w:color="auto" w:fill="auto"/>
          </w:tcPr>
          <w:p w14:paraId="5139B26A"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2015</w:t>
            </w:r>
          </w:p>
        </w:tc>
        <w:tc>
          <w:tcPr>
            <w:tcW w:w="1547" w:type="dxa"/>
            <w:shd w:val="clear" w:color="auto" w:fill="auto"/>
          </w:tcPr>
          <w:p w14:paraId="2D7E7A21"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1 118</w:t>
            </w:r>
          </w:p>
        </w:tc>
        <w:tc>
          <w:tcPr>
            <w:tcW w:w="1792" w:type="dxa"/>
            <w:shd w:val="clear" w:color="auto" w:fill="auto"/>
          </w:tcPr>
          <w:p w14:paraId="682013DC"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425</w:t>
            </w:r>
          </w:p>
        </w:tc>
        <w:tc>
          <w:tcPr>
            <w:tcW w:w="1382" w:type="dxa"/>
            <w:shd w:val="clear" w:color="auto" w:fill="auto"/>
          </w:tcPr>
          <w:p w14:paraId="31A6D0E4"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2 835</w:t>
            </w:r>
          </w:p>
        </w:tc>
      </w:tr>
      <w:tr w:rsidR="00A52AC0" w:rsidRPr="00A52AC0" w14:paraId="2CA23506" w14:textId="77777777" w:rsidTr="000E3322">
        <w:tc>
          <w:tcPr>
            <w:tcW w:w="1023" w:type="dxa"/>
            <w:shd w:val="clear" w:color="auto" w:fill="auto"/>
          </w:tcPr>
          <w:p w14:paraId="4531C5C6"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2016</w:t>
            </w:r>
          </w:p>
        </w:tc>
        <w:tc>
          <w:tcPr>
            <w:tcW w:w="1547" w:type="dxa"/>
            <w:shd w:val="clear" w:color="auto" w:fill="auto"/>
          </w:tcPr>
          <w:p w14:paraId="217D10B4"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1 086</w:t>
            </w:r>
          </w:p>
        </w:tc>
        <w:tc>
          <w:tcPr>
            <w:tcW w:w="1792" w:type="dxa"/>
            <w:shd w:val="clear" w:color="auto" w:fill="auto"/>
          </w:tcPr>
          <w:p w14:paraId="55F67FB6"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412</w:t>
            </w:r>
          </w:p>
        </w:tc>
        <w:tc>
          <w:tcPr>
            <w:tcW w:w="1382" w:type="dxa"/>
            <w:shd w:val="clear" w:color="auto" w:fill="auto"/>
          </w:tcPr>
          <w:p w14:paraId="6C8E5D67"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2 745</w:t>
            </w:r>
          </w:p>
        </w:tc>
      </w:tr>
      <w:tr w:rsidR="00A52AC0" w:rsidRPr="00A52AC0" w14:paraId="1FA57011" w14:textId="77777777" w:rsidTr="000E3322">
        <w:tc>
          <w:tcPr>
            <w:tcW w:w="1023" w:type="dxa"/>
            <w:shd w:val="clear" w:color="auto" w:fill="auto"/>
          </w:tcPr>
          <w:p w14:paraId="65D903B7"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2017</w:t>
            </w:r>
          </w:p>
        </w:tc>
        <w:tc>
          <w:tcPr>
            <w:tcW w:w="1547" w:type="dxa"/>
            <w:shd w:val="clear" w:color="auto" w:fill="auto"/>
          </w:tcPr>
          <w:p w14:paraId="517069D5"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1 052</w:t>
            </w:r>
          </w:p>
        </w:tc>
        <w:tc>
          <w:tcPr>
            <w:tcW w:w="1792" w:type="dxa"/>
            <w:shd w:val="clear" w:color="auto" w:fill="auto"/>
          </w:tcPr>
          <w:p w14:paraId="6098EEDD"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404</w:t>
            </w:r>
          </w:p>
        </w:tc>
        <w:tc>
          <w:tcPr>
            <w:tcW w:w="1382" w:type="dxa"/>
            <w:shd w:val="clear" w:color="auto" w:fill="auto"/>
          </w:tcPr>
          <w:p w14:paraId="66106FFF"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2 652</w:t>
            </w:r>
          </w:p>
        </w:tc>
      </w:tr>
      <w:tr w:rsidR="00A52AC0" w:rsidRPr="00A52AC0" w14:paraId="388E8D3C" w14:textId="77777777" w:rsidTr="000E3322">
        <w:tc>
          <w:tcPr>
            <w:tcW w:w="1023" w:type="dxa"/>
            <w:shd w:val="clear" w:color="auto" w:fill="auto"/>
          </w:tcPr>
          <w:p w14:paraId="28C8FB44"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2018</w:t>
            </w:r>
          </w:p>
        </w:tc>
        <w:tc>
          <w:tcPr>
            <w:tcW w:w="1547" w:type="dxa"/>
            <w:shd w:val="clear" w:color="auto" w:fill="auto"/>
          </w:tcPr>
          <w:p w14:paraId="415C374B"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1030</w:t>
            </w:r>
          </w:p>
        </w:tc>
        <w:tc>
          <w:tcPr>
            <w:tcW w:w="1792" w:type="dxa"/>
            <w:shd w:val="clear" w:color="auto" w:fill="auto"/>
          </w:tcPr>
          <w:p w14:paraId="09C21F0D"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435</w:t>
            </w:r>
          </w:p>
        </w:tc>
        <w:tc>
          <w:tcPr>
            <w:tcW w:w="1382" w:type="dxa"/>
            <w:shd w:val="clear" w:color="auto" w:fill="auto"/>
          </w:tcPr>
          <w:p w14:paraId="772DF14A"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2633</w:t>
            </w:r>
          </w:p>
        </w:tc>
      </w:tr>
      <w:tr w:rsidR="00A52AC0" w:rsidRPr="00A52AC0" w14:paraId="6249FDA5" w14:textId="77777777" w:rsidTr="000E3322">
        <w:tc>
          <w:tcPr>
            <w:tcW w:w="1023" w:type="dxa"/>
            <w:shd w:val="clear" w:color="auto" w:fill="auto"/>
          </w:tcPr>
          <w:p w14:paraId="4FCCF942"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2019</w:t>
            </w:r>
          </w:p>
        </w:tc>
        <w:tc>
          <w:tcPr>
            <w:tcW w:w="1547" w:type="dxa"/>
            <w:shd w:val="clear" w:color="auto" w:fill="auto"/>
          </w:tcPr>
          <w:p w14:paraId="0583373E"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1017</w:t>
            </w:r>
          </w:p>
        </w:tc>
        <w:tc>
          <w:tcPr>
            <w:tcW w:w="1792" w:type="dxa"/>
            <w:shd w:val="clear" w:color="auto" w:fill="auto"/>
          </w:tcPr>
          <w:p w14:paraId="15EAE5F8"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432</w:t>
            </w:r>
          </w:p>
        </w:tc>
        <w:tc>
          <w:tcPr>
            <w:tcW w:w="1382" w:type="dxa"/>
            <w:shd w:val="clear" w:color="auto" w:fill="auto"/>
          </w:tcPr>
          <w:p w14:paraId="6F852785"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2607</w:t>
            </w:r>
          </w:p>
        </w:tc>
      </w:tr>
      <w:tr w:rsidR="00A52AC0" w:rsidRPr="00A52AC0" w14:paraId="3620DF4F" w14:textId="77777777" w:rsidTr="000E3322">
        <w:tc>
          <w:tcPr>
            <w:tcW w:w="1023" w:type="dxa"/>
            <w:shd w:val="clear" w:color="auto" w:fill="auto"/>
          </w:tcPr>
          <w:p w14:paraId="4B94852C"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2020</w:t>
            </w:r>
          </w:p>
        </w:tc>
        <w:tc>
          <w:tcPr>
            <w:tcW w:w="1547" w:type="dxa"/>
            <w:shd w:val="clear" w:color="auto" w:fill="auto"/>
          </w:tcPr>
          <w:p w14:paraId="1BC5C7D9"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994</w:t>
            </w:r>
          </w:p>
        </w:tc>
        <w:tc>
          <w:tcPr>
            <w:tcW w:w="1792" w:type="dxa"/>
            <w:shd w:val="clear" w:color="auto" w:fill="auto"/>
          </w:tcPr>
          <w:p w14:paraId="0D9081AA"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449</w:t>
            </w:r>
          </w:p>
        </w:tc>
        <w:tc>
          <w:tcPr>
            <w:tcW w:w="1382" w:type="dxa"/>
            <w:shd w:val="clear" w:color="auto" w:fill="auto"/>
          </w:tcPr>
          <w:p w14:paraId="7BCB0237"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2593</w:t>
            </w:r>
          </w:p>
        </w:tc>
      </w:tr>
      <w:tr w:rsidR="00A52AC0" w:rsidRPr="00A52AC0" w14:paraId="71184EF2" w14:textId="77777777" w:rsidTr="000E3322">
        <w:tc>
          <w:tcPr>
            <w:tcW w:w="1023" w:type="dxa"/>
            <w:shd w:val="clear" w:color="auto" w:fill="auto"/>
          </w:tcPr>
          <w:p w14:paraId="26239FC2"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2021</w:t>
            </w:r>
          </w:p>
        </w:tc>
        <w:tc>
          <w:tcPr>
            <w:tcW w:w="1547" w:type="dxa"/>
            <w:shd w:val="clear" w:color="auto" w:fill="auto"/>
          </w:tcPr>
          <w:p w14:paraId="3FB4A8F2"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981</w:t>
            </w:r>
          </w:p>
        </w:tc>
        <w:tc>
          <w:tcPr>
            <w:tcW w:w="1792" w:type="dxa"/>
            <w:shd w:val="clear" w:color="auto" w:fill="auto"/>
          </w:tcPr>
          <w:p w14:paraId="10C23318"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445</w:t>
            </w:r>
          </w:p>
        </w:tc>
        <w:tc>
          <w:tcPr>
            <w:tcW w:w="1382" w:type="dxa"/>
            <w:shd w:val="clear" w:color="auto" w:fill="auto"/>
          </w:tcPr>
          <w:p w14:paraId="052ED7C5"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2561</w:t>
            </w:r>
          </w:p>
        </w:tc>
      </w:tr>
      <w:tr w:rsidR="00A52AC0" w:rsidRPr="00A52AC0" w14:paraId="2482B208" w14:textId="77777777" w:rsidTr="000E3322">
        <w:tc>
          <w:tcPr>
            <w:tcW w:w="1023" w:type="dxa"/>
            <w:shd w:val="clear" w:color="auto" w:fill="auto"/>
          </w:tcPr>
          <w:p w14:paraId="4C998476"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2022</w:t>
            </w:r>
          </w:p>
        </w:tc>
        <w:tc>
          <w:tcPr>
            <w:tcW w:w="1547" w:type="dxa"/>
            <w:shd w:val="clear" w:color="auto" w:fill="auto"/>
          </w:tcPr>
          <w:p w14:paraId="387B8819"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942</w:t>
            </w:r>
          </w:p>
        </w:tc>
        <w:tc>
          <w:tcPr>
            <w:tcW w:w="1792" w:type="dxa"/>
            <w:shd w:val="clear" w:color="auto" w:fill="auto"/>
          </w:tcPr>
          <w:p w14:paraId="7620E9C4"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465</w:t>
            </w:r>
          </w:p>
        </w:tc>
        <w:tc>
          <w:tcPr>
            <w:tcW w:w="1382" w:type="dxa"/>
            <w:shd w:val="clear" w:color="auto" w:fill="auto"/>
          </w:tcPr>
          <w:p w14:paraId="67B4F75E" w14:textId="77777777" w:rsidR="00A52AC0" w:rsidRPr="00A52AC0" w:rsidRDefault="00A52AC0" w:rsidP="000E3322">
            <w:pPr>
              <w:rPr>
                <w:rFonts w:asciiTheme="majorHAnsi" w:hAnsiTheme="majorHAnsi" w:cstheme="majorHAnsi"/>
                <w:sz w:val="20"/>
                <w:szCs w:val="20"/>
              </w:rPr>
            </w:pPr>
            <w:r w:rsidRPr="00A52AC0">
              <w:rPr>
                <w:rFonts w:asciiTheme="majorHAnsi" w:hAnsiTheme="majorHAnsi" w:cstheme="majorHAnsi"/>
                <w:sz w:val="20"/>
                <w:szCs w:val="20"/>
              </w:rPr>
              <w:t>2542</w:t>
            </w:r>
          </w:p>
        </w:tc>
      </w:tr>
    </w:tbl>
    <w:p w14:paraId="44F4B16D" w14:textId="77777777" w:rsidR="00A52AC0" w:rsidRPr="00A52AC0" w:rsidRDefault="00A52AC0" w:rsidP="00A52AC0">
      <w:pPr>
        <w:pStyle w:val="Default"/>
        <w:jc w:val="both"/>
        <w:rPr>
          <w:rFonts w:asciiTheme="majorHAnsi" w:hAnsiTheme="majorHAnsi" w:cstheme="majorHAnsi"/>
          <w:color w:val="auto"/>
          <w:sz w:val="20"/>
          <w:szCs w:val="20"/>
          <w:lang w:val="sk-SK"/>
        </w:rPr>
      </w:pPr>
      <w:r w:rsidRPr="00A52AC0">
        <w:rPr>
          <w:rFonts w:asciiTheme="majorHAnsi" w:hAnsiTheme="majorHAnsi" w:cstheme="majorHAnsi"/>
          <w:color w:val="auto"/>
          <w:sz w:val="20"/>
          <w:szCs w:val="20"/>
          <w:lang w:val="sk-SK"/>
        </w:rPr>
        <w:t>(Vysvetlivky: uvádza sa priemerný počet zamestnancov vo fyzických osobách za celý kalendárny rok, bez ohľadu na úväzok. Počet zamestnancov: všetci zamestnanci univerzity vrátane administratívnych a prevádzkových.)</w:t>
      </w:r>
    </w:p>
    <w:p w14:paraId="22DCAD9B" w14:textId="54E317F2" w:rsidR="00A52AC0" w:rsidRPr="00A52AC0" w:rsidRDefault="00A52AC0" w:rsidP="00A52AC0">
      <w:pPr>
        <w:autoSpaceDE w:val="0"/>
        <w:autoSpaceDN w:val="0"/>
        <w:adjustRightInd w:val="0"/>
        <w:rPr>
          <w:rFonts w:asciiTheme="majorHAnsi" w:hAnsiTheme="majorHAnsi" w:cstheme="majorHAnsi"/>
        </w:rPr>
      </w:pPr>
      <w:r w:rsidRPr="00A52AC0">
        <w:rPr>
          <w:rFonts w:asciiTheme="majorHAnsi" w:hAnsiTheme="majorHAnsi" w:cstheme="majorHAnsi"/>
        </w:rPr>
        <w:lastRenderedPageBreak/>
        <w:t xml:space="preserve">Podľa požiadavky ministerstva školstva je sledovaná kvalifikačná štruktúra vysokoškolských učiteľov v tejto správe uvádzaná </w:t>
      </w:r>
      <w:r w:rsidRPr="00A52AC0">
        <w:rPr>
          <w:rFonts w:asciiTheme="majorHAnsi" w:hAnsiTheme="majorHAnsi" w:cstheme="majorHAnsi"/>
          <w:b/>
        </w:rPr>
        <w:t>ku dňu 31. 10.</w:t>
      </w:r>
      <w:r w:rsidRPr="00A52AC0">
        <w:rPr>
          <w:rFonts w:asciiTheme="majorHAnsi" w:hAnsiTheme="majorHAnsi" w:cstheme="majorHAnsi"/>
        </w:rPr>
        <w:t xml:space="preserve"> príslušného roku. Prepočítaný (podľa typu úväzku) evidenčný počet učiteľov k 31.10.2022 na Slovenskej technickej univerzite v Bratislave dosiahol hodnotu 849,67 pričom najväčší podiel na celkovom počte – 42 %, predstavujú učitelia s vedeckou hodnosťou PhD., CSc. Najväčší počet učiteľov s touto vedeckou hodnosťou pôsobil na Fakulte chemickej a potravinárskej technológie. Presný prehľad kvalifikačnej štruktúry učiteľov je v prílohe výročnej správy v Tabuľke č. 10/MŠVVaŠ SR. Je tu tiež zvlášť sledovaný údaj o počte žien pôsobiacich na pracovných miestach vysokoškolských učiteľov. K 31.10.2022 bol prepočítaný evidenčný počet žien pôsobiacich na týchto pracovných miestach 286,82</w:t>
      </w:r>
      <w:r w:rsidRPr="00A52AC0">
        <w:rPr>
          <w:rFonts w:asciiTheme="majorHAnsi" w:hAnsiTheme="majorHAnsi" w:cstheme="majorHAnsi"/>
          <w:color w:val="FF0000"/>
        </w:rPr>
        <w:t xml:space="preserve"> </w:t>
      </w:r>
      <w:r w:rsidRPr="00A52AC0">
        <w:rPr>
          <w:rFonts w:asciiTheme="majorHAnsi" w:hAnsiTheme="majorHAnsi" w:cstheme="majorHAnsi"/>
        </w:rPr>
        <w:t xml:space="preserve">čo predstavovalo 33,8 % z celkového počtu vysokoškolských učiteľov. </w:t>
      </w:r>
    </w:p>
    <w:p w14:paraId="06FCC716" w14:textId="77777777" w:rsidR="00A52AC0" w:rsidRPr="00A52AC0" w:rsidRDefault="00A52AC0" w:rsidP="00A52AC0">
      <w:pPr>
        <w:pStyle w:val="Default"/>
        <w:jc w:val="both"/>
        <w:rPr>
          <w:rFonts w:asciiTheme="majorHAnsi" w:hAnsiTheme="majorHAnsi" w:cstheme="majorHAnsi"/>
          <w:color w:val="FF0000"/>
          <w:lang w:val="sk-SK"/>
        </w:rPr>
      </w:pPr>
    </w:p>
    <w:p w14:paraId="2A6E5E2D" w14:textId="77777777" w:rsidR="00A52AC0" w:rsidRPr="00A52AC0" w:rsidRDefault="00A52AC0" w:rsidP="00A52AC0">
      <w:pPr>
        <w:rPr>
          <w:rFonts w:asciiTheme="majorHAnsi" w:hAnsiTheme="majorHAnsi" w:cstheme="majorHAnsi"/>
        </w:rPr>
      </w:pPr>
      <w:r w:rsidRPr="00A52AC0">
        <w:rPr>
          <w:rFonts w:asciiTheme="majorHAnsi" w:hAnsiTheme="majorHAnsi" w:cstheme="majorHAnsi"/>
          <w:b/>
        </w:rPr>
        <w:t>Na STU platila kolektívna zmluva so zameraním na podporu  a motivovanie mladých pedagógov formou zamestnaneckých benefitov práve pre zamestnancov do 35 rokov veku.</w:t>
      </w:r>
      <w:r w:rsidRPr="00A52AC0">
        <w:rPr>
          <w:rFonts w:asciiTheme="majorHAnsi" w:hAnsiTheme="majorHAnsi" w:cstheme="majorHAnsi"/>
        </w:rPr>
        <w:t xml:space="preserve"> </w:t>
      </w:r>
    </w:p>
    <w:p w14:paraId="671FAD40" w14:textId="77777777" w:rsidR="00A52AC0" w:rsidRPr="00A52AC0" w:rsidRDefault="00A52AC0" w:rsidP="00A52AC0">
      <w:pPr>
        <w:rPr>
          <w:rFonts w:asciiTheme="majorHAnsi" w:hAnsiTheme="majorHAnsi" w:cstheme="majorHAnsi"/>
        </w:rPr>
      </w:pPr>
      <w:r w:rsidRPr="00A52AC0">
        <w:rPr>
          <w:rFonts w:asciiTheme="majorHAnsi" w:hAnsiTheme="majorHAnsi" w:cstheme="majorHAnsi"/>
        </w:rPr>
        <w:t xml:space="preserve">Mladí zamestnanci do 35 rokov veku môžu získať  príspevok pri uzavretí manželstva a pri kúpe bytu.  Tieto príspevky sa vyplácajú zo sociálneho fondu. Z tohto fondu je možné poskytnúť zamestnancom aj ďalšie príspevky, napríklad príspevok pri narodení dieťaťa, príspevok v prípade sociálnej núdze, príspevok na rekreáciu zamestnancov a príspevok na detskú rekreáciu, či príspevok pre bezplatných darcov krvi, alebo aj príspevok na zdravotnícku pomôcku. </w:t>
      </w:r>
    </w:p>
    <w:p w14:paraId="45466656" w14:textId="77777777" w:rsidR="00A52AC0" w:rsidRPr="00A52AC0" w:rsidRDefault="00A52AC0" w:rsidP="00A52AC0">
      <w:pPr>
        <w:rPr>
          <w:rFonts w:asciiTheme="majorHAnsi" w:hAnsiTheme="majorHAnsi" w:cstheme="majorHAnsi"/>
        </w:rPr>
      </w:pPr>
      <w:r w:rsidRPr="00A52AC0">
        <w:rPr>
          <w:rFonts w:asciiTheme="majorHAnsi" w:hAnsiTheme="majorHAnsi" w:cstheme="majorHAnsi"/>
        </w:rPr>
        <w:t>Zamestnanci, ktorí sú rodičmi detí do 15 rokov, majú nárok na jeden deň plateného voľna každé tri mesiace, pričom toto voľno si možno kumulovať a využiť ho počas školských prázdnin.</w:t>
      </w:r>
    </w:p>
    <w:p w14:paraId="38D0D546" w14:textId="77777777" w:rsidR="00A52AC0" w:rsidRPr="00A52AC0" w:rsidRDefault="00A52AC0" w:rsidP="00A52AC0">
      <w:pPr>
        <w:rPr>
          <w:rFonts w:asciiTheme="majorHAnsi" w:hAnsiTheme="majorHAnsi" w:cstheme="majorHAnsi"/>
          <w:color w:val="FF0000"/>
        </w:rPr>
      </w:pPr>
      <w:r w:rsidRPr="00A52AC0">
        <w:rPr>
          <w:rFonts w:asciiTheme="majorHAnsi" w:hAnsiTheme="majorHAnsi" w:cstheme="majorHAnsi"/>
        </w:rPr>
        <w:t>STU podľa kolektívnej zmluvy poskytuje aj finančný príspevok pri životnom jubileu. V súlade s novelou zákona 553/2003 Z. z. je od roku 2020 možné poskytovať tento príspevok nielen pri životnom jubileu 50 roku veku, ale aj pri životnom jubileu 60 rokov veku, čo bolo zapracované aj do Kolektívnej zmluvy STU. Výška príspevku závisí od počtu rokov odpracovaných na Slovenskej technickej univerzite v Bratislave.</w:t>
      </w:r>
    </w:p>
    <w:p w14:paraId="3C1473E6" w14:textId="77777777" w:rsidR="00606CBD" w:rsidRPr="000A64F1" w:rsidRDefault="00606CBD" w:rsidP="00606CBD">
      <w:pPr>
        <w:rPr>
          <w:b/>
        </w:rPr>
      </w:pPr>
    </w:p>
    <w:p w14:paraId="26B4E069" w14:textId="03BA61CE" w:rsidR="00B555B7" w:rsidRDefault="00B555B7" w:rsidP="00B555B7">
      <w:pPr>
        <w:rPr>
          <w:rFonts w:eastAsia="Times New Roman" w:cs="Arial"/>
          <w:b/>
          <w:sz w:val="28"/>
          <w:szCs w:val="28"/>
          <w:lang w:eastAsia="sk-SK"/>
        </w:rPr>
      </w:pPr>
    </w:p>
    <w:p w14:paraId="2046D023" w14:textId="4E58078C" w:rsidR="008D270A" w:rsidRDefault="008D270A" w:rsidP="00B555B7">
      <w:pPr>
        <w:rPr>
          <w:rFonts w:eastAsia="Times New Roman" w:cs="Arial"/>
          <w:b/>
          <w:sz w:val="28"/>
          <w:szCs w:val="28"/>
          <w:lang w:eastAsia="sk-SK"/>
        </w:rPr>
      </w:pPr>
    </w:p>
    <w:p w14:paraId="7D224A55" w14:textId="3A9E90DC" w:rsidR="002071AC" w:rsidRPr="00A52AC0" w:rsidRDefault="00A52AC0" w:rsidP="00A52AC0">
      <w:pPr>
        <w:rPr>
          <w:b/>
          <w:sz w:val="32"/>
          <w:szCs w:val="32"/>
        </w:rPr>
      </w:pPr>
      <w:bookmarkStart w:id="208" w:name="_Podpora_študentov"/>
      <w:bookmarkStart w:id="209" w:name="_Toc127593236"/>
      <w:bookmarkEnd w:id="208"/>
      <w:r w:rsidRPr="00A52AC0">
        <w:rPr>
          <w:b/>
          <w:sz w:val="32"/>
          <w:szCs w:val="32"/>
        </w:rPr>
        <w:t xml:space="preserve">8. </w:t>
      </w:r>
      <w:r w:rsidR="002071AC" w:rsidRPr="00A52AC0">
        <w:rPr>
          <w:b/>
          <w:sz w:val="32"/>
          <w:szCs w:val="32"/>
        </w:rPr>
        <w:t>Podpora študentov</w:t>
      </w:r>
      <w:bookmarkEnd w:id="209"/>
    </w:p>
    <w:p w14:paraId="1F2943C7" w14:textId="77777777" w:rsidR="00A52AC0" w:rsidRPr="00A52AC0" w:rsidRDefault="00A52AC0" w:rsidP="00A52AC0"/>
    <w:p w14:paraId="278AA72D" w14:textId="3242D11B" w:rsidR="00EF3744" w:rsidRPr="0053555E" w:rsidRDefault="00CE1CCD" w:rsidP="00324438">
      <w:pPr>
        <w:spacing w:after="120"/>
        <w:jc w:val="both"/>
        <w:rPr>
          <w:rFonts w:asciiTheme="majorHAnsi" w:hAnsiTheme="majorHAnsi" w:cstheme="majorHAnsi"/>
          <w:lang w:eastAsia="sk-SK"/>
        </w:rPr>
      </w:pPr>
      <w:r w:rsidRPr="0053555E">
        <w:rPr>
          <w:rFonts w:asciiTheme="majorHAnsi" w:hAnsiTheme="majorHAnsi" w:cstheme="majorHAnsi"/>
          <w:lang w:eastAsia="sk-SK"/>
        </w:rPr>
        <w:t xml:space="preserve">STU poskytuje študentom </w:t>
      </w:r>
      <w:r w:rsidR="00E22857" w:rsidRPr="0053555E">
        <w:rPr>
          <w:rFonts w:asciiTheme="majorHAnsi" w:hAnsiTheme="majorHAnsi" w:cstheme="majorHAnsi"/>
          <w:lang w:eastAsia="sk-SK"/>
        </w:rPr>
        <w:t xml:space="preserve">podporu </w:t>
      </w:r>
      <w:r w:rsidR="00E22857" w:rsidRPr="0053555E">
        <w:rPr>
          <w:rFonts w:asciiTheme="majorHAnsi" w:hAnsiTheme="majorHAnsi" w:cstheme="majorHAnsi"/>
          <w:b/>
          <w:lang w:eastAsia="sk-SK"/>
        </w:rPr>
        <w:t xml:space="preserve">v študijnej </w:t>
      </w:r>
      <w:r w:rsidR="00D5720F" w:rsidRPr="0053555E">
        <w:rPr>
          <w:rFonts w:asciiTheme="majorHAnsi" w:hAnsiTheme="majorHAnsi" w:cstheme="majorHAnsi"/>
          <w:b/>
          <w:lang w:eastAsia="sk-SK"/>
        </w:rPr>
        <w:t>a kariér</w:t>
      </w:r>
      <w:r w:rsidR="000E3322">
        <w:rPr>
          <w:rFonts w:asciiTheme="majorHAnsi" w:hAnsiTheme="majorHAnsi" w:cstheme="majorHAnsi"/>
          <w:b/>
          <w:lang w:eastAsia="sk-SK"/>
        </w:rPr>
        <w:t>n</w:t>
      </w:r>
      <w:r w:rsidR="00DF251A" w:rsidRPr="0053555E">
        <w:rPr>
          <w:rFonts w:asciiTheme="majorHAnsi" w:hAnsiTheme="majorHAnsi" w:cstheme="majorHAnsi"/>
          <w:b/>
          <w:lang w:eastAsia="sk-SK"/>
        </w:rPr>
        <w:t>ej</w:t>
      </w:r>
      <w:r w:rsidR="00D5720F" w:rsidRPr="0053555E">
        <w:rPr>
          <w:rFonts w:asciiTheme="majorHAnsi" w:hAnsiTheme="majorHAnsi" w:cstheme="majorHAnsi"/>
          <w:b/>
          <w:lang w:eastAsia="sk-SK"/>
        </w:rPr>
        <w:t xml:space="preserve"> </w:t>
      </w:r>
      <w:r w:rsidR="00E22857" w:rsidRPr="0053555E">
        <w:rPr>
          <w:rFonts w:asciiTheme="majorHAnsi" w:hAnsiTheme="majorHAnsi" w:cstheme="majorHAnsi"/>
          <w:b/>
          <w:lang w:eastAsia="sk-SK"/>
        </w:rPr>
        <w:t xml:space="preserve">oblasti, </w:t>
      </w:r>
      <w:r w:rsidR="00EF3744" w:rsidRPr="0053555E">
        <w:rPr>
          <w:rFonts w:asciiTheme="majorHAnsi" w:hAnsiTheme="majorHAnsi" w:cstheme="majorHAnsi"/>
          <w:b/>
          <w:lang w:eastAsia="sk-SK"/>
        </w:rPr>
        <w:t>vo výskumnej, vývojovej alebo umeleckej a ďalšej tvorivej oblasti</w:t>
      </w:r>
      <w:r w:rsidR="00E22857" w:rsidRPr="0053555E">
        <w:rPr>
          <w:rFonts w:asciiTheme="majorHAnsi" w:hAnsiTheme="majorHAnsi" w:cstheme="majorHAnsi"/>
          <w:b/>
          <w:lang w:eastAsia="sk-SK"/>
        </w:rPr>
        <w:t xml:space="preserve"> a v sociálnej oblasti</w:t>
      </w:r>
      <w:r w:rsidR="00E22857" w:rsidRPr="0053555E">
        <w:rPr>
          <w:rFonts w:asciiTheme="majorHAnsi" w:hAnsiTheme="majorHAnsi" w:cstheme="majorHAnsi"/>
          <w:lang w:eastAsia="sk-SK"/>
        </w:rPr>
        <w:t xml:space="preserve"> formou priamej a nepriamej podpory. </w:t>
      </w:r>
    </w:p>
    <w:p w14:paraId="0D3C2C69" w14:textId="6B571BBC" w:rsidR="00EF3744" w:rsidRPr="0053555E" w:rsidRDefault="00CE1CCD" w:rsidP="00324438">
      <w:pPr>
        <w:spacing w:after="120"/>
        <w:jc w:val="both"/>
        <w:rPr>
          <w:rFonts w:asciiTheme="majorHAnsi" w:hAnsiTheme="majorHAnsi" w:cstheme="majorHAnsi"/>
          <w:lang w:eastAsia="sk-SK"/>
        </w:rPr>
      </w:pPr>
      <w:r w:rsidRPr="0053555E">
        <w:rPr>
          <w:rFonts w:asciiTheme="majorHAnsi" w:hAnsiTheme="majorHAnsi" w:cstheme="majorHAnsi"/>
          <w:b/>
          <w:lang w:eastAsia="sk-SK"/>
        </w:rPr>
        <w:t xml:space="preserve">V študijnej </w:t>
      </w:r>
      <w:r w:rsidR="00D5720F" w:rsidRPr="0053555E">
        <w:rPr>
          <w:rFonts w:asciiTheme="majorHAnsi" w:hAnsiTheme="majorHAnsi" w:cstheme="majorHAnsi"/>
          <w:b/>
          <w:lang w:eastAsia="sk-SK"/>
        </w:rPr>
        <w:t>a kariér</w:t>
      </w:r>
      <w:r w:rsidR="000E3322">
        <w:rPr>
          <w:rFonts w:asciiTheme="majorHAnsi" w:hAnsiTheme="majorHAnsi" w:cstheme="majorHAnsi"/>
          <w:b/>
          <w:lang w:eastAsia="sk-SK"/>
        </w:rPr>
        <w:t>n</w:t>
      </w:r>
      <w:r w:rsidR="00DF251A" w:rsidRPr="0053555E">
        <w:rPr>
          <w:rFonts w:asciiTheme="majorHAnsi" w:hAnsiTheme="majorHAnsi" w:cstheme="majorHAnsi"/>
          <w:b/>
          <w:lang w:eastAsia="sk-SK"/>
        </w:rPr>
        <w:t>e</w:t>
      </w:r>
      <w:r w:rsidR="00D5720F" w:rsidRPr="0053555E">
        <w:rPr>
          <w:rFonts w:asciiTheme="majorHAnsi" w:hAnsiTheme="majorHAnsi" w:cstheme="majorHAnsi"/>
          <w:b/>
          <w:lang w:eastAsia="sk-SK"/>
        </w:rPr>
        <w:t xml:space="preserve">j </w:t>
      </w:r>
      <w:r w:rsidRPr="0053555E">
        <w:rPr>
          <w:rFonts w:asciiTheme="majorHAnsi" w:hAnsiTheme="majorHAnsi" w:cstheme="majorHAnsi"/>
          <w:b/>
          <w:lang w:eastAsia="sk-SK"/>
        </w:rPr>
        <w:t>oblasti</w:t>
      </w:r>
      <w:r w:rsidRPr="0053555E">
        <w:rPr>
          <w:rFonts w:asciiTheme="majorHAnsi" w:hAnsiTheme="majorHAnsi" w:cstheme="majorHAnsi"/>
          <w:lang w:eastAsia="sk-SK"/>
        </w:rPr>
        <w:t xml:space="preserve"> je to </w:t>
      </w:r>
      <w:r w:rsidR="008D3736" w:rsidRPr="0053555E">
        <w:rPr>
          <w:rFonts w:asciiTheme="majorHAnsi" w:hAnsiTheme="majorHAnsi" w:cstheme="majorHAnsi"/>
          <w:lang w:eastAsia="sk-SK"/>
        </w:rPr>
        <w:t xml:space="preserve">najmä </w:t>
      </w:r>
      <w:r w:rsidRPr="0053555E">
        <w:rPr>
          <w:rFonts w:asciiTheme="majorHAnsi" w:hAnsiTheme="majorHAnsi" w:cstheme="majorHAnsi"/>
          <w:lang w:eastAsia="sk-SK"/>
        </w:rPr>
        <w:t xml:space="preserve">poskytovanie </w:t>
      </w:r>
      <w:r w:rsidR="00EF3744" w:rsidRPr="0053555E">
        <w:rPr>
          <w:rFonts w:asciiTheme="majorHAnsi" w:hAnsiTheme="majorHAnsi" w:cstheme="majorHAnsi"/>
          <w:lang w:eastAsia="sk-SK"/>
        </w:rPr>
        <w:t>informačných</w:t>
      </w:r>
      <w:r w:rsidR="00CB1A8D" w:rsidRPr="0053555E">
        <w:rPr>
          <w:rFonts w:asciiTheme="majorHAnsi" w:hAnsiTheme="majorHAnsi" w:cstheme="majorHAnsi"/>
          <w:lang w:eastAsia="sk-SK"/>
        </w:rPr>
        <w:t xml:space="preserve"> </w:t>
      </w:r>
      <w:r w:rsidR="00EF3744" w:rsidRPr="0053555E">
        <w:rPr>
          <w:rFonts w:asciiTheme="majorHAnsi" w:hAnsiTheme="majorHAnsi" w:cstheme="majorHAnsi"/>
          <w:lang w:eastAsia="sk-SK"/>
        </w:rPr>
        <w:t>a pora</w:t>
      </w:r>
      <w:r w:rsidR="00B378EB" w:rsidRPr="0053555E">
        <w:rPr>
          <w:rFonts w:asciiTheme="majorHAnsi" w:hAnsiTheme="majorHAnsi" w:cstheme="majorHAnsi"/>
          <w:lang w:eastAsia="sk-SK"/>
        </w:rPr>
        <w:t>denských služieb súvisiacich so </w:t>
      </w:r>
      <w:r w:rsidR="00EF3744" w:rsidRPr="0053555E">
        <w:rPr>
          <w:rFonts w:asciiTheme="majorHAnsi" w:hAnsiTheme="majorHAnsi" w:cstheme="majorHAnsi"/>
          <w:lang w:eastAsia="sk-SK"/>
        </w:rPr>
        <w:t>štúdiom a s možnosťou uplatnenia v</w:t>
      </w:r>
      <w:r w:rsidR="00F077BE" w:rsidRPr="0053555E">
        <w:rPr>
          <w:rFonts w:asciiTheme="majorHAnsi" w:hAnsiTheme="majorHAnsi" w:cstheme="majorHAnsi"/>
          <w:lang w:eastAsia="sk-SK"/>
        </w:rPr>
        <w:t> </w:t>
      </w:r>
      <w:r w:rsidR="00EF3744" w:rsidRPr="0053555E">
        <w:rPr>
          <w:rFonts w:asciiTheme="majorHAnsi" w:hAnsiTheme="majorHAnsi" w:cstheme="majorHAnsi"/>
          <w:lang w:eastAsia="sk-SK"/>
        </w:rPr>
        <w:t>praxi</w:t>
      </w:r>
      <w:r w:rsidR="00F077BE" w:rsidRPr="0053555E">
        <w:rPr>
          <w:rFonts w:asciiTheme="majorHAnsi" w:hAnsiTheme="majorHAnsi" w:cstheme="majorHAnsi"/>
          <w:lang w:eastAsia="sk-SK"/>
        </w:rPr>
        <w:t xml:space="preserve"> </w:t>
      </w:r>
      <w:r w:rsidR="00A63F9F" w:rsidRPr="0053555E">
        <w:rPr>
          <w:rFonts w:asciiTheme="majorHAnsi" w:hAnsiTheme="majorHAnsi" w:cstheme="majorHAnsi"/>
          <w:lang w:eastAsia="sk-SK"/>
        </w:rPr>
        <w:t>(kariér</w:t>
      </w:r>
      <w:r w:rsidR="000E3322">
        <w:rPr>
          <w:rFonts w:asciiTheme="majorHAnsi" w:hAnsiTheme="majorHAnsi" w:cstheme="majorHAnsi"/>
          <w:lang w:eastAsia="sk-SK"/>
        </w:rPr>
        <w:t>ne</w:t>
      </w:r>
      <w:r w:rsidR="00A63F9F" w:rsidRPr="0053555E">
        <w:rPr>
          <w:rFonts w:asciiTheme="majorHAnsi" w:hAnsiTheme="majorHAnsi" w:cstheme="majorHAnsi"/>
          <w:lang w:eastAsia="sk-SK"/>
        </w:rPr>
        <w:t xml:space="preserve"> poradenstvo)</w:t>
      </w:r>
      <w:r w:rsidR="00312AF5" w:rsidRPr="0053555E">
        <w:rPr>
          <w:rFonts w:asciiTheme="majorHAnsi" w:hAnsiTheme="majorHAnsi" w:cstheme="majorHAnsi"/>
          <w:lang w:eastAsia="sk-SK"/>
        </w:rPr>
        <w:t xml:space="preserve"> </w:t>
      </w:r>
      <w:r w:rsidR="00625817" w:rsidRPr="0053555E">
        <w:rPr>
          <w:rFonts w:asciiTheme="majorHAnsi" w:hAnsiTheme="majorHAnsi" w:cstheme="majorHAnsi"/>
          <w:lang w:eastAsia="sk-SK"/>
        </w:rPr>
        <w:t>pre</w:t>
      </w:r>
      <w:r w:rsidR="00896829">
        <w:rPr>
          <w:rFonts w:asciiTheme="majorHAnsi" w:hAnsiTheme="majorHAnsi" w:cstheme="majorHAnsi"/>
          <w:lang w:eastAsia="sk-SK"/>
        </w:rPr>
        <w:t> </w:t>
      </w:r>
      <w:r w:rsidR="008D485B" w:rsidRPr="0053555E">
        <w:rPr>
          <w:rFonts w:asciiTheme="majorHAnsi" w:hAnsiTheme="majorHAnsi" w:cstheme="majorHAnsi"/>
          <w:lang w:eastAsia="sk-SK"/>
        </w:rPr>
        <w:t xml:space="preserve">všetkých </w:t>
      </w:r>
      <w:r w:rsidR="00625817" w:rsidRPr="0053555E">
        <w:rPr>
          <w:rFonts w:asciiTheme="majorHAnsi" w:hAnsiTheme="majorHAnsi" w:cstheme="majorHAnsi"/>
          <w:lang w:eastAsia="sk-SK"/>
        </w:rPr>
        <w:t xml:space="preserve">študentov </w:t>
      </w:r>
      <w:r w:rsidR="007417F7">
        <w:rPr>
          <w:rFonts w:asciiTheme="majorHAnsi" w:hAnsiTheme="majorHAnsi" w:cstheme="majorHAnsi"/>
          <w:lang w:eastAsia="sk-SK"/>
        </w:rPr>
        <w:t xml:space="preserve">STU </w:t>
      </w:r>
      <w:r w:rsidR="008D485B" w:rsidRPr="0053555E">
        <w:rPr>
          <w:rFonts w:asciiTheme="majorHAnsi" w:hAnsiTheme="majorHAnsi" w:cstheme="majorHAnsi"/>
          <w:lang w:eastAsia="sk-SK"/>
        </w:rPr>
        <w:t xml:space="preserve">a osobitne pre </w:t>
      </w:r>
      <w:r w:rsidR="009E230F" w:rsidRPr="0053555E">
        <w:rPr>
          <w:rFonts w:asciiTheme="majorHAnsi" w:hAnsiTheme="majorHAnsi" w:cstheme="majorHAnsi"/>
          <w:lang w:eastAsia="sk-SK"/>
        </w:rPr>
        <w:t xml:space="preserve">študentov so špecifickými potrebami </w:t>
      </w:r>
      <w:r w:rsidR="00F077BE" w:rsidRPr="0053555E">
        <w:rPr>
          <w:rFonts w:asciiTheme="majorHAnsi" w:hAnsiTheme="majorHAnsi" w:cstheme="majorHAnsi"/>
          <w:lang w:eastAsia="sk-SK"/>
        </w:rPr>
        <w:t>prostredníctvom</w:t>
      </w:r>
      <w:r w:rsidR="00F13BE1">
        <w:rPr>
          <w:rFonts w:asciiTheme="majorHAnsi" w:hAnsiTheme="majorHAnsi" w:cstheme="majorHAnsi"/>
          <w:lang w:eastAsia="sk-SK"/>
        </w:rPr>
        <w:t xml:space="preserve"> </w:t>
      </w:r>
      <w:r w:rsidR="001A1A3A">
        <w:rPr>
          <w:rFonts w:asciiTheme="majorHAnsi" w:hAnsiTheme="majorHAnsi" w:cstheme="majorHAnsi"/>
          <w:lang w:eastAsia="sk-SK"/>
        </w:rPr>
        <w:t xml:space="preserve">garantov študijných programov, </w:t>
      </w:r>
      <w:r w:rsidR="00D63B3C">
        <w:rPr>
          <w:rFonts w:asciiTheme="majorHAnsi" w:hAnsiTheme="majorHAnsi" w:cstheme="majorHAnsi"/>
          <w:lang w:eastAsia="sk-SK"/>
        </w:rPr>
        <w:t xml:space="preserve">študijných poradcov, </w:t>
      </w:r>
      <w:r w:rsidR="00F077BE" w:rsidRPr="0053555E">
        <w:rPr>
          <w:rFonts w:asciiTheme="majorHAnsi" w:hAnsiTheme="majorHAnsi" w:cstheme="majorHAnsi"/>
          <w:lang w:eastAsia="sk-SK"/>
        </w:rPr>
        <w:t>študijných oddelení</w:t>
      </w:r>
      <w:r w:rsidR="00903DAD" w:rsidRPr="0053555E">
        <w:rPr>
          <w:rFonts w:asciiTheme="majorHAnsi" w:hAnsiTheme="majorHAnsi" w:cstheme="majorHAnsi"/>
          <w:lang w:eastAsia="sk-SK"/>
        </w:rPr>
        <w:t xml:space="preserve">, </w:t>
      </w:r>
      <w:r w:rsidR="001A1A3A">
        <w:rPr>
          <w:rFonts w:asciiTheme="majorHAnsi" w:hAnsiTheme="majorHAnsi" w:cstheme="majorHAnsi"/>
          <w:lang w:eastAsia="sk-SK"/>
        </w:rPr>
        <w:t>prodekanov pre</w:t>
      </w:r>
      <w:r w:rsidR="001546DC">
        <w:rPr>
          <w:rFonts w:asciiTheme="majorHAnsi" w:hAnsiTheme="majorHAnsi" w:cstheme="majorHAnsi"/>
          <w:lang w:eastAsia="sk-SK"/>
        </w:rPr>
        <w:t> </w:t>
      </w:r>
      <w:r w:rsidR="001A1A3A">
        <w:rPr>
          <w:rFonts w:asciiTheme="majorHAnsi" w:hAnsiTheme="majorHAnsi" w:cstheme="majorHAnsi"/>
          <w:lang w:eastAsia="sk-SK"/>
        </w:rPr>
        <w:t xml:space="preserve">vzdelávanie, </w:t>
      </w:r>
      <w:r w:rsidR="00903DAD" w:rsidRPr="0053555E">
        <w:rPr>
          <w:rFonts w:asciiTheme="majorHAnsi" w:hAnsiTheme="majorHAnsi" w:cstheme="majorHAnsi"/>
          <w:lang w:eastAsia="sk-SK"/>
        </w:rPr>
        <w:t>Poradenského centra STU</w:t>
      </w:r>
      <w:r w:rsidR="00B35ADD" w:rsidRPr="0053555E">
        <w:rPr>
          <w:rFonts w:asciiTheme="majorHAnsi" w:hAnsiTheme="majorHAnsi" w:cstheme="majorHAnsi"/>
          <w:lang w:eastAsia="sk-SK"/>
        </w:rPr>
        <w:t>,</w:t>
      </w:r>
      <w:r w:rsidR="008D3736" w:rsidRPr="0053555E">
        <w:rPr>
          <w:rFonts w:asciiTheme="majorHAnsi" w:hAnsiTheme="majorHAnsi" w:cstheme="majorHAnsi"/>
          <w:lang w:eastAsia="sk-SK"/>
        </w:rPr>
        <w:t xml:space="preserve"> </w:t>
      </w:r>
      <w:r w:rsidR="00B35ADD" w:rsidRPr="0053555E">
        <w:rPr>
          <w:rFonts w:asciiTheme="majorHAnsi" w:hAnsiTheme="majorHAnsi" w:cstheme="majorHAnsi"/>
          <w:lang w:eastAsia="sk-SK"/>
        </w:rPr>
        <w:t>univerzitného a fakultných koordinátorov pre</w:t>
      </w:r>
      <w:r w:rsidR="001A1A3A">
        <w:rPr>
          <w:rFonts w:asciiTheme="majorHAnsi" w:hAnsiTheme="majorHAnsi" w:cstheme="majorHAnsi"/>
          <w:lang w:eastAsia="sk-SK"/>
        </w:rPr>
        <w:t> </w:t>
      </w:r>
      <w:r w:rsidR="00B35ADD" w:rsidRPr="0053555E">
        <w:rPr>
          <w:rFonts w:asciiTheme="majorHAnsi" w:hAnsiTheme="majorHAnsi" w:cstheme="majorHAnsi"/>
          <w:lang w:eastAsia="sk-SK"/>
        </w:rPr>
        <w:t xml:space="preserve">študentov so špecifickými potrebami </w:t>
      </w:r>
      <w:r w:rsidR="008D3736" w:rsidRPr="0053555E">
        <w:rPr>
          <w:rFonts w:asciiTheme="majorHAnsi" w:hAnsiTheme="majorHAnsi" w:cstheme="majorHAnsi"/>
          <w:lang w:eastAsia="sk-SK"/>
        </w:rPr>
        <w:t>a</w:t>
      </w:r>
      <w:r w:rsidR="00BD7135" w:rsidRPr="0053555E">
        <w:rPr>
          <w:rFonts w:asciiTheme="majorHAnsi" w:hAnsiTheme="majorHAnsi" w:cstheme="majorHAnsi"/>
          <w:lang w:eastAsia="sk-SK"/>
        </w:rPr>
        <w:t xml:space="preserve"> </w:t>
      </w:r>
      <w:r w:rsidR="008D3736" w:rsidRPr="0053555E">
        <w:rPr>
          <w:rFonts w:asciiTheme="majorHAnsi" w:hAnsiTheme="majorHAnsi" w:cstheme="majorHAnsi"/>
          <w:lang w:eastAsia="sk-SK"/>
        </w:rPr>
        <w:t>ďalších zamestnancov univerzity</w:t>
      </w:r>
      <w:r w:rsidR="003D3EEB" w:rsidRPr="0053555E">
        <w:rPr>
          <w:rFonts w:asciiTheme="majorHAnsi" w:hAnsiTheme="majorHAnsi" w:cstheme="majorHAnsi"/>
          <w:lang w:eastAsia="sk-SK"/>
        </w:rPr>
        <w:t>;</w:t>
      </w:r>
      <w:r w:rsidR="006D7BAD" w:rsidRPr="0053555E">
        <w:rPr>
          <w:rFonts w:asciiTheme="majorHAnsi" w:hAnsiTheme="majorHAnsi" w:cstheme="majorHAnsi"/>
          <w:lang w:eastAsia="sk-SK"/>
        </w:rPr>
        <w:t xml:space="preserve"> </w:t>
      </w:r>
      <w:r w:rsidR="00A63F9F" w:rsidRPr="0053555E">
        <w:rPr>
          <w:rFonts w:asciiTheme="majorHAnsi" w:hAnsiTheme="majorHAnsi" w:cstheme="majorHAnsi"/>
          <w:lang w:eastAsia="sk-SK"/>
        </w:rPr>
        <w:t xml:space="preserve">poskytovanie poradenstva </w:t>
      </w:r>
      <w:r w:rsidR="00E538CA" w:rsidRPr="0053555E">
        <w:rPr>
          <w:rFonts w:asciiTheme="majorHAnsi" w:hAnsiTheme="majorHAnsi" w:cstheme="majorHAnsi"/>
          <w:lang w:eastAsia="sk-SK"/>
        </w:rPr>
        <w:t>o </w:t>
      </w:r>
      <w:r w:rsidR="00A63F9F" w:rsidRPr="0053555E">
        <w:rPr>
          <w:rFonts w:asciiTheme="majorHAnsi" w:hAnsiTheme="majorHAnsi" w:cstheme="majorHAnsi"/>
          <w:lang w:eastAsia="sk-SK"/>
        </w:rPr>
        <w:t>možnostiach štúdia na iných vysokých š</w:t>
      </w:r>
      <w:r w:rsidR="006E0F66" w:rsidRPr="0053555E">
        <w:rPr>
          <w:rFonts w:asciiTheme="majorHAnsi" w:hAnsiTheme="majorHAnsi" w:cstheme="majorHAnsi"/>
          <w:lang w:eastAsia="sk-SK"/>
        </w:rPr>
        <w:t>kolách v </w:t>
      </w:r>
      <w:r w:rsidR="004C136A" w:rsidRPr="0053555E">
        <w:rPr>
          <w:rFonts w:asciiTheme="majorHAnsi" w:hAnsiTheme="majorHAnsi" w:cstheme="majorHAnsi"/>
          <w:lang w:eastAsia="sk-SK"/>
        </w:rPr>
        <w:t>Slovenskej republike a v </w:t>
      </w:r>
      <w:r w:rsidR="00A63F9F" w:rsidRPr="0053555E">
        <w:rPr>
          <w:rFonts w:asciiTheme="majorHAnsi" w:hAnsiTheme="majorHAnsi" w:cstheme="majorHAnsi"/>
          <w:lang w:eastAsia="sk-SK"/>
        </w:rPr>
        <w:t>zahraničí</w:t>
      </w:r>
      <w:r w:rsidR="004C136A" w:rsidRPr="0053555E">
        <w:rPr>
          <w:rFonts w:asciiTheme="majorHAnsi" w:hAnsiTheme="majorHAnsi" w:cstheme="majorHAnsi"/>
          <w:lang w:eastAsia="sk-SK"/>
        </w:rPr>
        <w:t xml:space="preserve"> </w:t>
      </w:r>
      <w:r w:rsidR="00E35E2C" w:rsidRPr="0053555E">
        <w:rPr>
          <w:rFonts w:asciiTheme="majorHAnsi" w:hAnsiTheme="majorHAnsi" w:cstheme="majorHAnsi"/>
          <w:lang w:eastAsia="sk-SK"/>
        </w:rPr>
        <w:t>prostredníctvom</w:t>
      </w:r>
      <w:r w:rsidR="004C136A" w:rsidRPr="0053555E">
        <w:rPr>
          <w:rFonts w:asciiTheme="majorHAnsi" w:hAnsiTheme="majorHAnsi" w:cstheme="majorHAnsi"/>
          <w:lang w:eastAsia="sk-SK"/>
        </w:rPr>
        <w:t xml:space="preserve"> koordinátorov</w:t>
      </w:r>
      <w:r w:rsidR="003D3EEB" w:rsidRPr="0053555E">
        <w:rPr>
          <w:rFonts w:asciiTheme="majorHAnsi" w:hAnsiTheme="majorHAnsi" w:cstheme="majorHAnsi"/>
          <w:lang w:eastAsia="sk-SK"/>
        </w:rPr>
        <w:t xml:space="preserve"> </w:t>
      </w:r>
      <w:r w:rsidR="006961AB" w:rsidRPr="0053555E">
        <w:rPr>
          <w:rFonts w:asciiTheme="majorHAnsi" w:hAnsiTheme="majorHAnsi" w:cstheme="majorHAnsi"/>
          <w:lang w:eastAsia="sk-SK"/>
        </w:rPr>
        <w:t>pre</w:t>
      </w:r>
      <w:r w:rsidR="003420E3">
        <w:rPr>
          <w:rFonts w:asciiTheme="majorHAnsi" w:hAnsiTheme="majorHAnsi" w:cstheme="majorHAnsi"/>
          <w:lang w:eastAsia="sk-SK"/>
        </w:rPr>
        <w:t> </w:t>
      </w:r>
      <w:r w:rsidR="006961AB" w:rsidRPr="0053555E">
        <w:rPr>
          <w:rFonts w:asciiTheme="majorHAnsi" w:hAnsiTheme="majorHAnsi" w:cstheme="majorHAnsi"/>
          <w:lang w:eastAsia="sk-SK"/>
        </w:rPr>
        <w:t>akademické mobility</w:t>
      </w:r>
      <w:r w:rsidR="00730E52" w:rsidRPr="0053555E">
        <w:rPr>
          <w:rFonts w:asciiTheme="majorHAnsi" w:hAnsiTheme="majorHAnsi" w:cstheme="majorHAnsi"/>
          <w:lang w:eastAsia="sk-SK"/>
        </w:rPr>
        <w:t>;</w:t>
      </w:r>
      <w:r w:rsidR="00E35E2C" w:rsidRPr="0053555E">
        <w:rPr>
          <w:rFonts w:asciiTheme="majorHAnsi" w:hAnsiTheme="majorHAnsi" w:cstheme="majorHAnsi"/>
          <w:lang w:eastAsia="sk-SK"/>
        </w:rPr>
        <w:t xml:space="preserve"> </w:t>
      </w:r>
      <w:r w:rsidR="00EF3744" w:rsidRPr="0053555E">
        <w:rPr>
          <w:rFonts w:asciiTheme="majorHAnsi" w:hAnsiTheme="majorHAnsi" w:cstheme="majorHAnsi"/>
          <w:lang w:eastAsia="sk-SK"/>
        </w:rPr>
        <w:t xml:space="preserve">poskytovanie </w:t>
      </w:r>
      <w:r w:rsidRPr="0053555E">
        <w:rPr>
          <w:rFonts w:asciiTheme="majorHAnsi" w:hAnsiTheme="majorHAnsi" w:cstheme="majorHAnsi"/>
          <w:lang w:eastAsia="sk-SK"/>
        </w:rPr>
        <w:t>konzultáci</w:t>
      </w:r>
      <w:r w:rsidR="00BD7135" w:rsidRPr="0053555E">
        <w:rPr>
          <w:rFonts w:asciiTheme="majorHAnsi" w:hAnsiTheme="majorHAnsi" w:cstheme="majorHAnsi"/>
          <w:lang w:eastAsia="sk-SK"/>
        </w:rPr>
        <w:t>í</w:t>
      </w:r>
      <w:r w:rsidRPr="0053555E">
        <w:rPr>
          <w:rFonts w:asciiTheme="majorHAnsi" w:hAnsiTheme="majorHAnsi" w:cstheme="majorHAnsi"/>
          <w:lang w:eastAsia="sk-SK"/>
        </w:rPr>
        <w:t xml:space="preserve"> učiteľmi</w:t>
      </w:r>
      <w:r w:rsidR="00EB0BAD">
        <w:rPr>
          <w:rFonts w:asciiTheme="majorHAnsi" w:hAnsiTheme="majorHAnsi" w:cstheme="majorHAnsi"/>
          <w:lang w:eastAsia="sk-SK"/>
        </w:rPr>
        <w:t xml:space="preserve"> </w:t>
      </w:r>
      <w:r w:rsidR="002117F4">
        <w:rPr>
          <w:rFonts w:asciiTheme="majorHAnsi" w:hAnsiTheme="majorHAnsi" w:cstheme="majorHAnsi"/>
          <w:lang w:eastAsia="sk-SK"/>
        </w:rPr>
        <w:t>zabezpečujúcimi predmety vrátane doktorandov</w:t>
      </w:r>
      <w:r w:rsidR="00730E52" w:rsidRPr="0053555E">
        <w:rPr>
          <w:rFonts w:asciiTheme="majorHAnsi" w:hAnsiTheme="majorHAnsi" w:cstheme="majorHAnsi"/>
          <w:lang w:eastAsia="sk-SK"/>
        </w:rPr>
        <w:t>;</w:t>
      </w:r>
      <w:r w:rsidRPr="0053555E">
        <w:rPr>
          <w:rFonts w:asciiTheme="majorHAnsi" w:hAnsiTheme="majorHAnsi" w:cstheme="majorHAnsi"/>
          <w:lang w:eastAsia="sk-SK"/>
        </w:rPr>
        <w:t xml:space="preserve"> </w:t>
      </w:r>
      <w:r w:rsidR="008D3736" w:rsidRPr="0053555E">
        <w:rPr>
          <w:rFonts w:asciiTheme="majorHAnsi" w:hAnsiTheme="majorHAnsi" w:cstheme="majorHAnsi"/>
          <w:lang w:eastAsia="sk-SK"/>
        </w:rPr>
        <w:t xml:space="preserve">podpora </w:t>
      </w:r>
      <w:r w:rsidRPr="0053555E">
        <w:rPr>
          <w:rFonts w:asciiTheme="majorHAnsi" w:hAnsiTheme="majorHAnsi" w:cstheme="majorHAnsi"/>
          <w:lang w:eastAsia="sk-SK"/>
        </w:rPr>
        <w:t>študentsk</w:t>
      </w:r>
      <w:r w:rsidR="008D3736" w:rsidRPr="0053555E">
        <w:rPr>
          <w:rFonts w:asciiTheme="majorHAnsi" w:hAnsiTheme="majorHAnsi" w:cstheme="majorHAnsi"/>
          <w:lang w:eastAsia="sk-SK"/>
        </w:rPr>
        <w:t>ého</w:t>
      </w:r>
      <w:r w:rsidRPr="0053555E">
        <w:rPr>
          <w:rFonts w:asciiTheme="majorHAnsi" w:hAnsiTheme="majorHAnsi" w:cstheme="majorHAnsi"/>
          <w:lang w:eastAsia="sk-SK"/>
        </w:rPr>
        <w:t xml:space="preserve"> </w:t>
      </w:r>
      <w:r w:rsidR="00CD40DD">
        <w:rPr>
          <w:rFonts w:asciiTheme="majorHAnsi" w:hAnsiTheme="majorHAnsi" w:cstheme="majorHAnsi"/>
          <w:lang w:eastAsia="sk-SK"/>
        </w:rPr>
        <w:t>sprevádzania</w:t>
      </w:r>
      <w:r w:rsidR="008D3736" w:rsidRPr="0053555E">
        <w:rPr>
          <w:rFonts w:asciiTheme="majorHAnsi" w:hAnsiTheme="majorHAnsi" w:cstheme="majorHAnsi"/>
          <w:lang w:eastAsia="sk-SK"/>
        </w:rPr>
        <w:t>,</w:t>
      </w:r>
      <w:r w:rsidR="00F077BE" w:rsidRPr="0053555E">
        <w:rPr>
          <w:rFonts w:asciiTheme="majorHAnsi" w:hAnsiTheme="majorHAnsi" w:cstheme="majorHAnsi"/>
          <w:lang w:eastAsia="sk-SK"/>
        </w:rPr>
        <w:t xml:space="preserve"> </w:t>
      </w:r>
      <w:r w:rsidR="008D3736" w:rsidRPr="0053555E">
        <w:rPr>
          <w:rFonts w:asciiTheme="majorHAnsi" w:hAnsiTheme="majorHAnsi" w:cstheme="majorHAnsi"/>
          <w:lang w:eastAsia="sk-SK"/>
        </w:rPr>
        <w:t xml:space="preserve">resp. študentských radcov </w:t>
      </w:r>
      <w:r w:rsidR="00F32D4F" w:rsidRPr="0053555E">
        <w:rPr>
          <w:rFonts w:asciiTheme="majorHAnsi" w:hAnsiTheme="majorHAnsi" w:cstheme="majorHAnsi"/>
          <w:lang w:eastAsia="sk-SK"/>
        </w:rPr>
        <w:t>- tútorov (vzájomné podporovanie sa </w:t>
      </w:r>
      <w:r w:rsidR="008D3736" w:rsidRPr="0053555E">
        <w:rPr>
          <w:rFonts w:asciiTheme="majorHAnsi" w:hAnsiTheme="majorHAnsi" w:cstheme="majorHAnsi"/>
          <w:lang w:eastAsia="sk-SK"/>
        </w:rPr>
        <w:t>študentov hlavne formou doučovania)</w:t>
      </w:r>
      <w:r w:rsidR="00730E52" w:rsidRPr="0053555E">
        <w:rPr>
          <w:rFonts w:asciiTheme="majorHAnsi" w:hAnsiTheme="majorHAnsi" w:cstheme="majorHAnsi"/>
          <w:lang w:eastAsia="sk-SK"/>
        </w:rPr>
        <w:t>;</w:t>
      </w:r>
      <w:r w:rsidRPr="0053555E">
        <w:rPr>
          <w:rFonts w:asciiTheme="majorHAnsi" w:hAnsiTheme="majorHAnsi" w:cstheme="majorHAnsi"/>
          <w:lang w:eastAsia="sk-SK"/>
        </w:rPr>
        <w:t xml:space="preserve"> zabezpečovanie odborných praxí</w:t>
      </w:r>
      <w:r w:rsidR="008D3736" w:rsidRPr="0053555E">
        <w:rPr>
          <w:rFonts w:asciiTheme="majorHAnsi" w:hAnsiTheme="majorHAnsi" w:cstheme="majorHAnsi"/>
          <w:lang w:eastAsia="sk-SK"/>
        </w:rPr>
        <w:t>, stáží</w:t>
      </w:r>
      <w:r w:rsidRPr="0053555E">
        <w:rPr>
          <w:rFonts w:asciiTheme="majorHAnsi" w:hAnsiTheme="majorHAnsi" w:cstheme="majorHAnsi"/>
          <w:lang w:eastAsia="sk-SK"/>
        </w:rPr>
        <w:t xml:space="preserve"> a tém </w:t>
      </w:r>
      <w:r w:rsidR="00C62612" w:rsidRPr="0053555E">
        <w:rPr>
          <w:rFonts w:asciiTheme="majorHAnsi" w:hAnsiTheme="majorHAnsi" w:cstheme="majorHAnsi"/>
          <w:lang w:eastAsia="sk-SK"/>
        </w:rPr>
        <w:t>záverečných prác v </w:t>
      </w:r>
      <w:r w:rsidR="008D3736" w:rsidRPr="0053555E">
        <w:rPr>
          <w:rFonts w:asciiTheme="majorHAnsi" w:hAnsiTheme="majorHAnsi" w:cstheme="majorHAnsi"/>
          <w:lang w:eastAsia="sk-SK"/>
        </w:rPr>
        <w:t>spolupráci s </w:t>
      </w:r>
      <w:r w:rsidRPr="0053555E">
        <w:rPr>
          <w:rFonts w:asciiTheme="majorHAnsi" w:hAnsiTheme="majorHAnsi" w:cstheme="majorHAnsi"/>
          <w:lang w:eastAsia="sk-SK"/>
        </w:rPr>
        <w:t xml:space="preserve">priemyselnými </w:t>
      </w:r>
      <w:r w:rsidR="008D3736" w:rsidRPr="0053555E">
        <w:rPr>
          <w:rFonts w:asciiTheme="majorHAnsi" w:hAnsiTheme="majorHAnsi" w:cstheme="majorHAnsi"/>
          <w:lang w:eastAsia="sk-SK"/>
        </w:rPr>
        <w:t>podnikmi</w:t>
      </w:r>
      <w:r w:rsidRPr="0053555E">
        <w:rPr>
          <w:rFonts w:asciiTheme="majorHAnsi" w:hAnsiTheme="majorHAnsi" w:cstheme="majorHAnsi"/>
          <w:lang w:eastAsia="sk-SK"/>
        </w:rPr>
        <w:t>.</w:t>
      </w:r>
      <w:r w:rsidR="001546DC" w:rsidRPr="001546DC">
        <w:rPr>
          <w:rFonts w:asciiTheme="majorHAnsi" w:hAnsiTheme="majorHAnsi" w:cstheme="majorHAnsi"/>
          <w:lang w:eastAsia="sk-SK"/>
        </w:rPr>
        <w:t xml:space="preserve"> </w:t>
      </w:r>
      <w:r w:rsidR="001546DC">
        <w:rPr>
          <w:rFonts w:asciiTheme="majorHAnsi" w:hAnsiTheme="majorHAnsi" w:cstheme="majorHAnsi"/>
          <w:lang w:eastAsia="sk-SK"/>
        </w:rPr>
        <w:t>Študenti STU sa môžu obrátiť v </w:t>
      </w:r>
      <w:r w:rsidR="00A4478F">
        <w:rPr>
          <w:rFonts w:asciiTheme="majorHAnsi" w:hAnsiTheme="majorHAnsi" w:cstheme="majorHAnsi"/>
          <w:lang w:eastAsia="sk-SK"/>
        </w:rPr>
        <w:t>otázkach</w:t>
      </w:r>
      <w:r w:rsidR="001546DC">
        <w:rPr>
          <w:rFonts w:asciiTheme="majorHAnsi" w:hAnsiTheme="majorHAnsi" w:cstheme="majorHAnsi"/>
          <w:lang w:eastAsia="sk-SK"/>
        </w:rPr>
        <w:t xml:space="preserve"> právnych predpisov, </w:t>
      </w:r>
      <w:r w:rsidR="001546DC">
        <w:rPr>
          <w:rFonts w:asciiTheme="majorHAnsi" w:hAnsiTheme="majorHAnsi" w:cstheme="majorHAnsi"/>
          <w:lang w:eastAsia="sk-SK"/>
        </w:rPr>
        <w:lastRenderedPageBreak/>
        <w:t>študijných predpisov, sociálne</w:t>
      </w:r>
      <w:r w:rsidR="00177051">
        <w:rPr>
          <w:rFonts w:asciiTheme="majorHAnsi" w:hAnsiTheme="majorHAnsi" w:cstheme="majorHAnsi"/>
          <w:lang w:eastAsia="sk-SK"/>
        </w:rPr>
        <w:t>ho</w:t>
      </w:r>
      <w:r w:rsidR="001546DC">
        <w:rPr>
          <w:rFonts w:asciiTheme="majorHAnsi" w:hAnsiTheme="majorHAnsi" w:cstheme="majorHAnsi"/>
          <w:lang w:eastAsia="sk-SK"/>
        </w:rPr>
        <w:t xml:space="preserve"> zabezpečenia a </w:t>
      </w:r>
      <w:r w:rsidR="00177051">
        <w:rPr>
          <w:rFonts w:asciiTheme="majorHAnsi" w:hAnsiTheme="majorHAnsi" w:cstheme="majorHAnsi"/>
          <w:lang w:eastAsia="sk-SK"/>
        </w:rPr>
        <w:t>ďalších</w:t>
      </w:r>
      <w:r w:rsidR="001546DC">
        <w:rPr>
          <w:rFonts w:asciiTheme="majorHAnsi" w:hAnsiTheme="majorHAnsi" w:cstheme="majorHAnsi"/>
          <w:lang w:eastAsia="sk-SK"/>
        </w:rPr>
        <w:t xml:space="preserve"> otázkach súvisiacich so</w:t>
      </w:r>
      <w:r w:rsidR="00177051">
        <w:rPr>
          <w:rFonts w:asciiTheme="majorHAnsi" w:hAnsiTheme="majorHAnsi" w:cstheme="majorHAnsi"/>
          <w:lang w:eastAsia="sk-SK"/>
        </w:rPr>
        <w:t> </w:t>
      </w:r>
      <w:r w:rsidR="001546DC">
        <w:rPr>
          <w:rFonts w:asciiTheme="majorHAnsi" w:hAnsiTheme="majorHAnsi" w:cstheme="majorHAnsi"/>
          <w:lang w:eastAsia="sk-SK"/>
        </w:rPr>
        <w:t xml:space="preserve">štúdiom </w:t>
      </w:r>
      <w:r w:rsidR="00177051">
        <w:rPr>
          <w:rFonts w:asciiTheme="majorHAnsi" w:hAnsiTheme="majorHAnsi" w:cstheme="majorHAnsi"/>
          <w:lang w:eastAsia="sk-SK"/>
        </w:rPr>
        <w:t>na rektorátne pracovisk</w:t>
      </w:r>
      <w:r w:rsidR="00A65A49">
        <w:rPr>
          <w:rFonts w:asciiTheme="majorHAnsi" w:hAnsiTheme="majorHAnsi" w:cstheme="majorHAnsi"/>
          <w:lang w:eastAsia="sk-SK"/>
        </w:rPr>
        <w:t>o</w:t>
      </w:r>
      <w:r w:rsidR="00177051">
        <w:rPr>
          <w:rFonts w:asciiTheme="majorHAnsi" w:hAnsiTheme="majorHAnsi" w:cstheme="majorHAnsi"/>
          <w:lang w:eastAsia="sk-SK"/>
        </w:rPr>
        <w:t xml:space="preserve"> </w:t>
      </w:r>
      <w:r w:rsidR="001546DC">
        <w:rPr>
          <w:rFonts w:asciiTheme="majorHAnsi" w:hAnsiTheme="majorHAnsi" w:cstheme="majorHAnsi"/>
          <w:lang w:eastAsia="sk-SK"/>
        </w:rPr>
        <w:t>Útvar vzdelávania a </w:t>
      </w:r>
      <w:r w:rsidR="00A65A49">
        <w:rPr>
          <w:rFonts w:asciiTheme="majorHAnsi" w:hAnsiTheme="majorHAnsi" w:cstheme="majorHAnsi"/>
          <w:lang w:eastAsia="sk-SK"/>
        </w:rPr>
        <w:t>starostlivosť</w:t>
      </w:r>
      <w:r w:rsidR="001546DC">
        <w:rPr>
          <w:rFonts w:asciiTheme="majorHAnsi" w:hAnsiTheme="majorHAnsi" w:cstheme="majorHAnsi"/>
          <w:lang w:eastAsia="sk-SK"/>
        </w:rPr>
        <w:t xml:space="preserve"> o</w:t>
      </w:r>
      <w:r w:rsidR="00177051">
        <w:rPr>
          <w:rFonts w:asciiTheme="majorHAnsi" w:hAnsiTheme="majorHAnsi" w:cstheme="majorHAnsi"/>
          <w:lang w:eastAsia="sk-SK"/>
        </w:rPr>
        <w:t> </w:t>
      </w:r>
      <w:r w:rsidR="001546DC">
        <w:rPr>
          <w:rFonts w:asciiTheme="majorHAnsi" w:hAnsiTheme="majorHAnsi" w:cstheme="majorHAnsi"/>
          <w:lang w:eastAsia="sk-SK"/>
        </w:rPr>
        <w:t>študentov</w:t>
      </w:r>
      <w:r w:rsidR="00177051">
        <w:rPr>
          <w:rFonts w:asciiTheme="majorHAnsi" w:hAnsiTheme="majorHAnsi" w:cstheme="majorHAnsi"/>
          <w:lang w:eastAsia="sk-SK"/>
        </w:rPr>
        <w:t xml:space="preserve"> a</w:t>
      </w:r>
      <w:r w:rsidR="00A65A49">
        <w:rPr>
          <w:rFonts w:asciiTheme="majorHAnsi" w:hAnsiTheme="majorHAnsi" w:cstheme="majorHAnsi"/>
          <w:lang w:eastAsia="sk-SK"/>
        </w:rPr>
        <w:t xml:space="preserve"> tiež priamo na </w:t>
      </w:r>
      <w:r w:rsidR="00177051">
        <w:rPr>
          <w:rFonts w:asciiTheme="majorHAnsi" w:hAnsiTheme="majorHAnsi" w:cstheme="majorHAnsi"/>
          <w:lang w:eastAsia="sk-SK"/>
        </w:rPr>
        <w:t>prorektora pre vzdelávanie a </w:t>
      </w:r>
      <w:r w:rsidR="00A65A49">
        <w:rPr>
          <w:rFonts w:asciiTheme="majorHAnsi" w:hAnsiTheme="majorHAnsi" w:cstheme="majorHAnsi"/>
          <w:lang w:eastAsia="sk-SK"/>
        </w:rPr>
        <w:t>starostlivosť</w:t>
      </w:r>
      <w:r w:rsidR="00177051">
        <w:rPr>
          <w:rFonts w:asciiTheme="majorHAnsi" w:hAnsiTheme="majorHAnsi" w:cstheme="majorHAnsi"/>
          <w:lang w:eastAsia="sk-SK"/>
        </w:rPr>
        <w:t xml:space="preserve"> o študentov.</w:t>
      </w:r>
    </w:p>
    <w:p w14:paraId="5880816C" w14:textId="1942DAD9" w:rsidR="00EF3744" w:rsidRPr="0053555E" w:rsidRDefault="00EF3744" w:rsidP="00324438">
      <w:pPr>
        <w:spacing w:after="120"/>
        <w:jc w:val="both"/>
        <w:rPr>
          <w:rFonts w:asciiTheme="majorHAnsi" w:hAnsiTheme="majorHAnsi" w:cstheme="majorHAnsi"/>
          <w:lang w:eastAsia="sk-SK"/>
        </w:rPr>
      </w:pPr>
      <w:r w:rsidRPr="0053555E">
        <w:rPr>
          <w:rFonts w:asciiTheme="majorHAnsi" w:hAnsiTheme="majorHAnsi" w:cstheme="majorHAnsi"/>
          <w:b/>
          <w:lang w:eastAsia="sk-SK"/>
        </w:rPr>
        <w:t>Vo výskumnej, vývojovej alebo umeleckej a ďalšej tvorivej oblasti</w:t>
      </w:r>
      <w:r w:rsidRPr="0053555E">
        <w:rPr>
          <w:rFonts w:asciiTheme="majorHAnsi" w:hAnsiTheme="majorHAnsi" w:cstheme="majorHAnsi"/>
          <w:lang w:eastAsia="sk-SK"/>
        </w:rPr>
        <w:t xml:space="preserve"> sa podpora študentov uskutočňuje </w:t>
      </w:r>
      <w:r w:rsidR="008D3736" w:rsidRPr="0053555E">
        <w:rPr>
          <w:rFonts w:asciiTheme="majorHAnsi" w:hAnsiTheme="majorHAnsi" w:cstheme="majorHAnsi"/>
          <w:lang w:eastAsia="sk-SK"/>
        </w:rPr>
        <w:t xml:space="preserve">najmä </w:t>
      </w:r>
      <w:r w:rsidRPr="0053555E">
        <w:rPr>
          <w:rFonts w:asciiTheme="majorHAnsi" w:hAnsiTheme="majorHAnsi" w:cstheme="majorHAnsi"/>
          <w:lang w:eastAsia="sk-SK"/>
        </w:rPr>
        <w:t xml:space="preserve">zapájaním študentov </w:t>
      </w:r>
      <w:r w:rsidR="008D3736" w:rsidRPr="0053555E">
        <w:rPr>
          <w:rFonts w:asciiTheme="majorHAnsi" w:hAnsiTheme="majorHAnsi" w:cstheme="majorHAnsi"/>
          <w:lang w:eastAsia="sk-SK"/>
        </w:rPr>
        <w:t>spravidla</w:t>
      </w:r>
      <w:r w:rsidRPr="0053555E">
        <w:rPr>
          <w:rFonts w:asciiTheme="majorHAnsi" w:hAnsiTheme="majorHAnsi" w:cstheme="majorHAnsi"/>
          <w:lang w:eastAsia="sk-SK"/>
        </w:rPr>
        <w:t xml:space="preserve"> druhého a tretieho stupňa </w:t>
      </w:r>
      <w:r w:rsidR="008D3736" w:rsidRPr="0053555E">
        <w:rPr>
          <w:rFonts w:asciiTheme="majorHAnsi" w:hAnsiTheme="majorHAnsi" w:cstheme="majorHAnsi"/>
          <w:lang w:eastAsia="sk-SK"/>
        </w:rPr>
        <w:t xml:space="preserve">štúdia </w:t>
      </w:r>
      <w:r w:rsidR="004873BD" w:rsidRPr="0053555E">
        <w:rPr>
          <w:rFonts w:asciiTheme="majorHAnsi" w:hAnsiTheme="majorHAnsi" w:cstheme="majorHAnsi"/>
          <w:lang w:eastAsia="sk-SK"/>
        </w:rPr>
        <w:t>do </w:t>
      </w:r>
      <w:r w:rsidRPr="0053555E">
        <w:rPr>
          <w:rFonts w:asciiTheme="majorHAnsi" w:hAnsiTheme="majorHAnsi" w:cstheme="majorHAnsi"/>
          <w:lang w:eastAsia="sk-SK"/>
        </w:rPr>
        <w:t>riešenia výskumných úloh a</w:t>
      </w:r>
      <w:r w:rsidR="0042757B">
        <w:rPr>
          <w:rFonts w:asciiTheme="majorHAnsi" w:hAnsiTheme="majorHAnsi" w:cstheme="majorHAnsi"/>
          <w:lang w:eastAsia="sk-SK"/>
        </w:rPr>
        <w:t xml:space="preserve"> </w:t>
      </w:r>
      <w:r w:rsidRPr="0053555E">
        <w:rPr>
          <w:rFonts w:asciiTheme="majorHAnsi" w:hAnsiTheme="majorHAnsi" w:cstheme="majorHAnsi"/>
          <w:lang w:eastAsia="sk-SK"/>
        </w:rPr>
        <w:t xml:space="preserve">projektov, </w:t>
      </w:r>
      <w:r w:rsidR="00936B45" w:rsidRPr="0053555E">
        <w:rPr>
          <w:rFonts w:asciiTheme="majorHAnsi" w:hAnsiTheme="majorHAnsi" w:cstheme="majorHAnsi"/>
          <w:lang w:eastAsia="sk-SK"/>
        </w:rPr>
        <w:t xml:space="preserve">vytváraním podmienok pre </w:t>
      </w:r>
      <w:r w:rsidR="00315635" w:rsidRPr="0053555E">
        <w:rPr>
          <w:rFonts w:asciiTheme="majorHAnsi" w:hAnsiTheme="majorHAnsi" w:cstheme="majorHAnsi"/>
          <w:lang w:eastAsia="sk-SK"/>
        </w:rPr>
        <w:t>š</w:t>
      </w:r>
      <w:r w:rsidR="00936B45" w:rsidRPr="0053555E">
        <w:rPr>
          <w:rFonts w:asciiTheme="majorHAnsi" w:hAnsiTheme="majorHAnsi" w:cstheme="majorHAnsi"/>
          <w:lang w:eastAsia="sk-SK"/>
        </w:rPr>
        <w:t xml:space="preserve">tudentskú vedeckú </w:t>
      </w:r>
      <w:r w:rsidR="00447B29" w:rsidRPr="0053555E">
        <w:rPr>
          <w:rFonts w:asciiTheme="majorHAnsi" w:hAnsiTheme="majorHAnsi" w:cstheme="majorHAnsi"/>
          <w:lang w:eastAsia="sk-SK"/>
        </w:rPr>
        <w:t xml:space="preserve">odbornú </w:t>
      </w:r>
      <w:r w:rsidR="00936B45" w:rsidRPr="0053555E">
        <w:rPr>
          <w:rFonts w:asciiTheme="majorHAnsi" w:hAnsiTheme="majorHAnsi" w:cstheme="majorHAnsi"/>
          <w:lang w:eastAsia="sk-SK"/>
        </w:rPr>
        <w:t xml:space="preserve">činnosť, resp. </w:t>
      </w:r>
      <w:r w:rsidR="00315635" w:rsidRPr="0053555E">
        <w:rPr>
          <w:rFonts w:asciiTheme="majorHAnsi" w:hAnsiTheme="majorHAnsi" w:cstheme="majorHAnsi"/>
          <w:lang w:eastAsia="sk-SK"/>
        </w:rPr>
        <w:t>študentskú</w:t>
      </w:r>
      <w:r w:rsidR="00936B45" w:rsidRPr="0053555E">
        <w:rPr>
          <w:rFonts w:asciiTheme="majorHAnsi" w:hAnsiTheme="majorHAnsi" w:cstheme="majorHAnsi"/>
          <w:lang w:eastAsia="sk-SK"/>
        </w:rPr>
        <w:t xml:space="preserve"> tvorivú vedeckú odbornú a umeleckú činnosť, </w:t>
      </w:r>
      <w:r w:rsidRPr="0053555E">
        <w:rPr>
          <w:rFonts w:asciiTheme="majorHAnsi" w:hAnsiTheme="majorHAnsi" w:cstheme="majorHAnsi"/>
          <w:lang w:eastAsia="sk-SK"/>
        </w:rPr>
        <w:t>organizovaním študentsk</w:t>
      </w:r>
      <w:r w:rsidR="00936B45" w:rsidRPr="0053555E">
        <w:rPr>
          <w:rFonts w:asciiTheme="majorHAnsi" w:hAnsiTheme="majorHAnsi" w:cstheme="majorHAnsi"/>
          <w:lang w:eastAsia="sk-SK"/>
        </w:rPr>
        <w:t>ých</w:t>
      </w:r>
      <w:r w:rsidRPr="0053555E">
        <w:rPr>
          <w:rFonts w:asciiTheme="majorHAnsi" w:hAnsiTheme="majorHAnsi" w:cstheme="majorHAnsi"/>
          <w:lang w:eastAsia="sk-SK"/>
        </w:rPr>
        <w:t xml:space="preserve"> vedeck</w:t>
      </w:r>
      <w:r w:rsidR="00936B45" w:rsidRPr="0053555E">
        <w:rPr>
          <w:rFonts w:asciiTheme="majorHAnsi" w:hAnsiTheme="majorHAnsi" w:cstheme="majorHAnsi"/>
          <w:lang w:eastAsia="sk-SK"/>
        </w:rPr>
        <w:t>ých</w:t>
      </w:r>
      <w:r w:rsidRPr="0053555E">
        <w:rPr>
          <w:rFonts w:asciiTheme="majorHAnsi" w:hAnsiTheme="majorHAnsi" w:cstheme="majorHAnsi"/>
          <w:lang w:eastAsia="sk-SK"/>
        </w:rPr>
        <w:t xml:space="preserve"> konferenc</w:t>
      </w:r>
      <w:r w:rsidR="00936B45" w:rsidRPr="0053555E">
        <w:rPr>
          <w:rFonts w:asciiTheme="majorHAnsi" w:hAnsiTheme="majorHAnsi" w:cstheme="majorHAnsi"/>
          <w:lang w:eastAsia="sk-SK"/>
        </w:rPr>
        <w:t>ií</w:t>
      </w:r>
      <w:r w:rsidRPr="0053555E">
        <w:rPr>
          <w:rFonts w:asciiTheme="majorHAnsi" w:hAnsiTheme="majorHAnsi" w:cstheme="majorHAnsi"/>
          <w:lang w:eastAsia="sk-SK"/>
        </w:rPr>
        <w:t xml:space="preserve"> a oc</w:t>
      </w:r>
      <w:r w:rsidR="006E0F66" w:rsidRPr="0053555E">
        <w:rPr>
          <w:rFonts w:asciiTheme="majorHAnsi" w:hAnsiTheme="majorHAnsi" w:cstheme="majorHAnsi"/>
          <w:lang w:eastAsia="sk-SK"/>
        </w:rPr>
        <w:t>eňovaním prác prezentovaných na </w:t>
      </w:r>
      <w:r w:rsidR="00936B45" w:rsidRPr="0053555E">
        <w:rPr>
          <w:rFonts w:asciiTheme="majorHAnsi" w:hAnsiTheme="majorHAnsi" w:cstheme="majorHAnsi"/>
          <w:lang w:eastAsia="sk-SK"/>
        </w:rPr>
        <w:t>týchto</w:t>
      </w:r>
      <w:r w:rsidRPr="0053555E">
        <w:rPr>
          <w:rFonts w:asciiTheme="majorHAnsi" w:hAnsiTheme="majorHAnsi" w:cstheme="majorHAnsi"/>
          <w:lang w:eastAsia="sk-SK"/>
        </w:rPr>
        <w:t xml:space="preserve"> konferenci</w:t>
      </w:r>
      <w:r w:rsidR="00936B45" w:rsidRPr="0053555E">
        <w:rPr>
          <w:rFonts w:asciiTheme="majorHAnsi" w:hAnsiTheme="majorHAnsi" w:cstheme="majorHAnsi"/>
          <w:lang w:eastAsia="sk-SK"/>
        </w:rPr>
        <w:t>ách</w:t>
      </w:r>
      <w:r w:rsidRPr="0053555E">
        <w:rPr>
          <w:rFonts w:asciiTheme="majorHAnsi" w:hAnsiTheme="majorHAnsi" w:cstheme="majorHAnsi"/>
          <w:lang w:eastAsia="sk-SK"/>
        </w:rPr>
        <w:t>.</w:t>
      </w:r>
    </w:p>
    <w:p w14:paraId="54F1FECC" w14:textId="1F160AFC" w:rsidR="00EF3744" w:rsidRPr="0053555E" w:rsidRDefault="00EF3744" w:rsidP="00324438">
      <w:pPr>
        <w:spacing w:after="120"/>
        <w:jc w:val="both"/>
        <w:rPr>
          <w:rFonts w:asciiTheme="majorHAnsi" w:hAnsiTheme="majorHAnsi" w:cstheme="majorHAnsi"/>
          <w:lang w:eastAsia="sk-SK"/>
        </w:rPr>
      </w:pPr>
      <w:r w:rsidRPr="0053555E">
        <w:rPr>
          <w:rFonts w:asciiTheme="majorHAnsi" w:hAnsiTheme="majorHAnsi" w:cstheme="majorHAnsi"/>
          <w:b/>
          <w:lang w:eastAsia="sk-SK"/>
        </w:rPr>
        <w:t>V sociálnej oblasti</w:t>
      </w:r>
      <w:r w:rsidRPr="0053555E">
        <w:rPr>
          <w:rFonts w:asciiTheme="majorHAnsi" w:hAnsiTheme="majorHAnsi" w:cstheme="majorHAnsi"/>
          <w:lang w:eastAsia="sk-SK"/>
        </w:rPr>
        <w:t xml:space="preserve"> sa podpora študentov realizuje </w:t>
      </w:r>
      <w:r w:rsidR="00936B45" w:rsidRPr="0053555E">
        <w:rPr>
          <w:rFonts w:asciiTheme="majorHAnsi" w:hAnsiTheme="majorHAnsi" w:cstheme="majorHAnsi"/>
          <w:lang w:eastAsia="sk-SK"/>
        </w:rPr>
        <w:t>priamou a nepriamou formou. Priamou formou sociálnej podpory je poskytovanie štipendií</w:t>
      </w:r>
      <w:r w:rsidR="008D3736" w:rsidRPr="0053555E">
        <w:rPr>
          <w:rFonts w:asciiTheme="majorHAnsi" w:hAnsiTheme="majorHAnsi" w:cstheme="majorHAnsi"/>
          <w:lang w:eastAsia="sk-SK"/>
        </w:rPr>
        <w:t xml:space="preserve"> (sociálnych, </w:t>
      </w:r>
      <w:r w:rsidR="005E4C10" w:rsidRPr="0053555E">
        <w:rPr>
          <w:rFonts w:asciiTheme="majorHAnsi" w:hAnsiTheme="majorHAnsi" w:cstheme="majorHAnsi"/>
          <w:lang w:eastAsia="sk-SK"/>
        </w:rPr>
        <w:t xml:space="preserve">tehotenských, </w:t>
      </w:r>
      <w:r w:rsidR="008D3736" w:rsidRPr="0053555E">
        <w:rPr>
          <w:rFonts w:asciiTheme="majorHAnsi" w:hAnsiTheme="majorHAnsi" w:cstheme="majorHAnsi"/>
          <w:lang w:eastAsia="sk-SK"/>
        </w:rPr>
        <w:t>motivačných a mimoriadnych z vlastných zdrojov STU)</w:t>
      </w:r>
      <w:r w:rsidR="00936B45" w:rsidRPr="0053555E">
        <w:rPr>
          <w:rFonts w:asciiTheme="majorHAnsi" w:hAnsiTheme="majorHAnsi" w:cstheme="majorHAnsi"/>
          <w:lang w:eastAsia="sk-SK"/>
        </w:rPr>
        <w:t xml:space="preserve">. Nepriamou formou sociálnej podpory je </w:t>
      </w:r>
      <w:r w:rsidR="008D3736" w:rsidRPr="0053555E">
        <w:rPr>
          <w:rFonts w:asciiTheme="majorHAnsi" w:hAnsiTheme="majorHAnsi" w:cstheme="majorHAnsi"/>
          <w:lang w:eastAsia="sk-SK"/>
        </w:rPr>
        <w:t xml:space="preserve">najmä </w:t>
      </w:r>
      <w:r w:rsidR="00936B45" w:rsidRPr="0053555E">
        <w:rPr>
          <w:rFonts w:asciiTheme="majorHAnsi" w:hAnsiTheme="majorHAnsi" w:cstheme="majorHAnsi"/>
          <w:lang w:eastAsia="sk-SK"/>
        </w:rPr>
        <w:t xml:space="preserve">poskytovanie služieb, ktorými </w:t>
      </w:r>
      <w:r w:rsidR="000F4104" w:rsidRPr="0053555E">
        <w:rPr>
          <w:rFonts w:asciiTheme="majorHAnsi" w:hAnsiTheme="majorHAnsi" w:cstheme="majorHAnsi"/>
          <w:lang w:eastAsia="sk-SK"/>
        </w:rPr>
        <w:t>sú</w:t>
      </w:r>
      <w:r w:rsidR="00936B45" w:rsidRPr="0053555E">
        <w:rPr>
          <w:rFonts w:asciiTheme="majorHAnsi" w:hAnsiTheme="majorHAnsi" w:cstheme="majorHAnsi"/>
          <w:lang w:eastAsia="sk-SK"/>
        </w:rPr>
        <w:t xml:space="preserve"> stravovanie a ubytovanie, finančná podpora</w:t>
      </w:r>
      <w:r w:rsidR="000F0A1F">
        <w:rPr>
          <w:rFonts w:asciiTheme="majorHAnsi" w:hAnsiTheme="majorHAnsi" w:cstheme="majorHAnsi"/>
          <w:lang w:eastAsia="sk-SK"/>
        </w:rPr>
        <w:t>, sociálne poradenstvo</w:t>
      </w:r>
      <w:r w:rsidR="00936B45" w:rsidRPr="0053555E">
        <w:rPr>
          <w:rFonts w:asciiTheme="majorHAnsi" w:hAnsiTheme="majorHAnsi" w:cstheme="majorHAnsi"/>
          <w:lang w:eastAsia="sk-SK"/>
        </w:rPr>
        <w:t xml:space="preserve"> a organizačná podpora športových činností, kultúrnych činností a iných záujmových činností študentov, podpora činnosti študentských organizácií </w:t>
      </w:r>
      <w:r w:rsidR="008D3736" w:rsidRPr="0053555E">
        <w:rPr>
          <w:rFonts w:asciiTheme="majorHAnsi" w:hAnsiTheme="majorHAnsi" w:cstheme="majorHAnsi"/>
          <w:lang w:eastAsia="sk-SK"/>
        </w:rPr>
        <w:t>pôsobiacich na </w:t>
      </w:r>
      <w:r w:rsidR="002B4CC0" w:rsidRPr="0053555E">
        <w:rPr>
          <w:rFonts w:asciiTheme="majorHAnsi" w:hAnsiTheme="majorHAnsi" w:cstheme="majorHAnsi"/>
          <w:lang w:eastAsia="sk-SK"/>
        </w:rPr>
        <w:t xml:space="preserve">STU a ich </w:t>
      </w:r>
      <w:r w:rsidR="00936B45" w:rsidRPr="0053555E">
        <w:rPr>
          <w:rFonts w:asciiTheme="majorHAnsi" w:hAnsiTheme="majorHAnsi" w:cstheme="majorHAnsi"/>
          <w:lang w:eastAsia="sk-SK"/>
        </w:rPr>
        <w:t xml:space="preserve">projektov </w:t>
      </w:r>
      <w:r w:rsidR="002B4CC0" w:rsidRPr="0053555E">
        <w:rPr>
          <w:rFonts w:asciiTheme="majorHAnsi" w:hAnsiTheme="majorHAnsi" w:cstheme="majorHAnsi"/>
          <w:lang w:eastAsia="sk-SK"/>
        </w:rPr>
        <w:t>pre študentov STU</w:t>
      </w:r>
      <w:r w:rsidR="00A92266" w:rsidRPr="0053555E">
        <w:rPr>
          <w:rFonts w:asciiTheme="majorHAnsi" w:hAnsiTheme="majorHAnsi" w:cstheme="majorHAnsi"/>
          <w:lang w:eastAsia="sk-SK"/>
        </w:rPr>
        <w:t>.</w:t>
      </w:r>
    </w:p>
    <w:p w14:paraId="4C8FB8B6" w14:textId="150C710F" w:rsidR="006A082B" w:rsidRDefault="006A082B">
      <w:pPr>
        <w:rPr>
          <w:rFonts w:asciiTheme="majorHAnsi" w:hAnsiTheme="majorHAnsi" w:cstheme="majorHAnsi"/>
          <w:lang w:eastAsia="sk-SK"/>
        </w:rPr>
      </w:pPr>
    </w:p>
    <w:p w14:paraId="40ADF4E2" w14:textId="7411BD8B" w:rsidR="002071AC" w:rsidRPr="000E3322" w:rsidRDefault="000E3322" w:rsidP="000E3322">
      <w:pPr>
        <w:rPr>
          <w:b/>
          <w:sz w:val="28"/>
          <w:szCs w:val="28"/>
        </w:rPr>
      </w:pPr>
      <w:bookmarkStart w:id="210" w:name="_Toc127593237"/>
      <w:r w:rsidRPr="000E3322">
        <w:rPr>
          <w:b/>
          <w:sz w:val="28"/>
          <w:szCs w:val="28"/>
        </w:rPr>
        <w:t xml:space="preserve">8.1. </w:t>
      </w:r>
      <w:r w:rsidR="002071AC" w:rsidRPr="000E3322">
        <w:rPr>
          <w:b/>
          <w:sz w:val="28"/>
          <w:szCs w:val="28"/>
        </w:rPr>
        <w:t>Sociálne štipendiá</w:t>
      </w:r>
      <w:bookmarkEnd w:id="210"/>
    </w:p>
    <w:p w14:paraId="67A1729B" w14:textId="77777777" w:rsidR="000E3322" w:rsidRPr="000E3322" w:rsidRDefault="000E3322" w:rsidP="000E3322"/>
    <w:p w14:paraId="2E0027B9" w14:textId="53EEB9FA" w:rsidR="009C5D17" w:rsidRPr="0053555E" w:rsidRDefault="002071AC" w:rsidP="009C5D17">
      <w:pPr>
        <w:tabs>
          <w:tab w:val="left" w:pos="9356"/>
        </w:tabs>
        <w:spacing w:after="120"/>
        <w:jc w:val="both"/>
        <w:rPr>
          <w:rFonts w:asciiTheme="majorHAnsi" w:hAnsiTheme="majorHAnsi" w:cstheme="majorHAnsi"/>
        </w:rPr>
      </w:pPr>
      <w:r w:rsidRPr="0053555E">
        <w:rPr>
          <w:rFonts w:asciiTheme="majorHAnsi" w:hAnsiTheme="majorHAnsi" w:cstheme="majorHAnsi"/>
          <w:lang w:eastAsia="sk-SK"/>
        </w:rPr>
        <w:t xml:space="preserve">Sociálne štipendium prispieva na úhradu nákladov spojených so štúdiom. Na základe splnenia podmienok </w:t>
      </w:r>
      <w:r w:rsidR="00D2248D" w:rsidRPr="0053555E">
        <w:rPr>
          <w:rFonts w:asciiTheme="majorHAnsi" w:hAnsiTheme="majorHAnsi" w:cstheme="majorHAnsi"/>
          <w:lang w:eastAsia="sk-SK"/>
        </w:rPr>
        <w:t xml:space="preserve">STU </w:t>
      </w:r>
      <w:r w:rsidRPr="0053555E">
        <w:rPr>
          <w:rFonts w:asciiTheme="majorHAnsi" w:hAnsiTheme="majorHAnsi" w:cstheme="majorHAnsi"/>
          <w:bCs/>
          <w:lang w:eastAsia="sk-SK"/>
        </w:rPr>
        <w:t>priznáva</w:t>
      </w:r>
      <w:r w:rsidR="00D2248D" w:rsidRPr="0053555E">
        <w:rPr>
          <w:rFonts w:asciiTheme="majorHAnsi" w:hAnsiTheme="majorHAnsi" w:cstheme="majorHAnsi"/>
          <w:bCs/>
          <w:lang w:eastAsia="sk-SK"/>
        </w:rPr>
        <w:t>la</w:t>
      </w:r>
      <w:r w:rsidRPr="0053555E">
        <w:rPr>
          <w:rFonts w:asciiTheme="majorHAnsi" w:hAnsiTheme="majorHAnsi" w:cstheme="majorHAnsi"/>
          <w:bCs/>
          <w:lang w:eastAsia="sk-SK"/>
        </w:rPr>
        <w:t xml:space="preserve"> </w:t>
      </w:r>
      <w:r w:rsidR="00B32D69">
        <w:rPr>
          <w:rFonts w:asciiTheme="majorHAnsi" w:hAnsiTheme="majorHAnsi" w:cstheme="majorHAnsi"/>
          <w:lang w:eastAsia="sk-SK"/>
        </w:rPr>
        <w:t>sociálne</w:t>
      </w:r>
      <w:r w:rsidR="00B32D69" w:rsidRPr="0053555E">
        <w:rPr>
          <w:rFonts w:asciiTheme="majorHAnsi" w:hAnsiTheme="majorHAnsi" w:cstheme="majorHAnsi"/>
          <w:lang w:eastAsia="sk-SK"/>
        </w:rPr>
        <w:t xml:space="preserve"> štipendium z prostriedkov štátneho rozpočtu</w:t>
      </w:r>
      <w:r w:rsidR="00B32D69" w:rsidRPr="0053555E">
        <w:rPr>
          <w:rFonts w:asciiTheme="majorHAnsi" w:hAnsiTheme="majorHAnsi" w:cstheme="majorHAnsi"/>
          <w:bCs/>
          <w:lang w:eastAsia="sk-SK"/>
        </w:rPr>
        <w:t xml:space="preserve"> </w:t>
      </w:r>
      <w:r w:rsidR="000E3322">
        <w:rPr>
          <w:rFonts w:asciiTheme="majorHAnsi" w:hAnsiTheme="majorHAnsi" w:cstheme="majorHAnsi"/>
          <w:bCs/>
          <w:lang w:eastAsia="sk-SK"/>
        </w:rPr>
        <w:t xml:space="preserve">v zmysle vyhlášky </w:t>
      </w:r>
      <w:r w:rsidRPr="0053555E">
        <w:rPr>
          <w:rFonts w:asciiTheme="majorHAnsi" w:hAnsiTheme="majorHAnsi" w:cstheme="majorHAnsi"/>
          <w:bCs/>
          <w:lang w:eastAsia="sk-SK"/>
        </w:rPr>
        <w:t xml:space="preserve">študentom študijných programov </w:t>
      </w:r>
      <w:r w:rsidR="00CA4E61" w:rsidRPr="0053555E">
        <w:rPr>
          <w:rFonts w:asciiTheme="majorHAnsi" w:hAnsiTheme="majorHAnsi" w:cstheme="majorHAnsi"/>
        </w:rPr>
        <w:t>prvého a druhého stupňa v d</w:t>
      </w:r>
      <w:r w:rsidRPr="0053555E">
        <w:rPr>
          <w:rFonts w:asciiTheme="majorHAnsi" w:hAnsiTheme="majorHAnsi" w:cstheme="majorHAnsi"/>
        </w:rPr>
        <w:t>ennej form</w:t>
      </w:r>
      <w:r w:rsidR="00CA4E61" w:rsidRPr="0053555E">
        <w:rPr>
          <w:rFonts w:asciiTheme="majorHAnsi" w:hAnsiTheme="majorHAnsi" w:cstheme="majorHAnsi"/>
        </w:rPr>
        <w:t>e</w:t>
      </w:r>
      <w:r w:rsidRPr="0053555E">
        <w:rPr>
          <w:rFonts w:asciiTheme="majorHAnsi" w:hAnsiTheme="majorHAnsi" w:cstheme="majorHAnsi"/>
        </w:rPr>
        <w:t xml:space="preserve"> štúdia</w:t>
      </w:r>
      <w:r w:rsidRPr="0053555E">
        <w:rPr>
          <w:rFonts w:asciiTheme="majorHAnsi" w:hAnsiTheme="majorHAnsi" w:cstheme="majorHAnsi"/>
          <w:lang w:eastAsia="sk-SK"/>
        </w:rPr>
        <w:t xml:space="preserve">, ktorí </w:t>
      </w:r>
      <w:r w:rsidR="008B5844">
        <w:rPr>
          <w:rFonts w:asciiTheme="majorHAnsi" w:hAnsiTheme="majorHAnsi" w:cstheme="majorHAnsi"/>
          <w:lang w:eastAsia="sk-SK"/>
        </w:rPr>
        <w:t xml:space="preserve">mali </w:t>
      </w:r>
      <w:r w:rsidRPr="0053555E">
        <w:rPr>
          <w:rFonts w:asciiTheme="majorHAnsi" w:hAnsiTheme="majorHAnsi" w:cstheme="majorHAnsi"/>
          <w:lang w:eastAsia="sk-SK"/>
        </w:rPr>
        <w:t>trvalý pobyt v</w:t>
      </w:r>
      <w:r w:rsidR="009F35B4" w:rsidRPr="0053555E">
        <w:rPr>
          <w:rFonts w:asciiTheme="majorHAnsi" w:hAnsiTheme="majorHAnsi" w:cstheme="majorHAnsi"/>
          <w:lang w:eastAsia="sk-SK"/>
        </w:rPr>
        <w:t xml:space="preserve"> Slovenskej republike</w:t>
      </w:r>
      <w:r w:rsidR="006B15D4">
        <w:rPr>
          <w:rFonts w:asciiTheme="majorHAnsi" w:hAnsiTheme="majorHAnsi" w:cstheme="majorHAnsi"/>
          <w:lang w:eastAsia="sk-SK"/>
        </w:rPr>
        <w:t>,</w:t>
      </w:r>
      <w:r w:rsidR="00A27424" w:rsidRPr="0053555E">
        <w:rPr>
          <w:rFonts w:asciiTheme="majorHAnsi" w:hAnsiTheme="majorHAnsi" w:cstheme="majorHAnsi"/>
          <w:lang w:eastAsia="sk-SK"/>
        </w:rPr>
        <w:t xml:space="preserve"> alebo ktorým </w:t>
      </w:r>
      <w:r w:rsidR="00D421E5" w:rsidRPr="00D421E5">
        <w:rPr>
          <w:rFonts w:asciiTheme="majorHAnsi" w:hAnsiTheme="majorHAnsi" w:cstheme="majorHAnsi"/>
          <w:lang w:eastAsia="sk-SK"/>
        </w:rPr>
        <w:t xml:space="preserve">bol udelený azyl, bola poskytnutá doplnková ochrana alebo bolo poskytnuté dočasné </w:t>
      </w:r>
      <w:r w:rsidR="00B32D69" w:rsidRPr="00D421E5">
        <w:rPr>
          <w:rFonts w:asciiTheme="majorHAnsi" w:hAnsiTheme="majorHAnsi" w:cstheme="majorHAnsi"/>
          <w:lang w:eastAsia="sk-SK"/>
        </w:rPr>
        <w:t>útočisko</w:t>
      </w:r>
      <w:r w:rsidR="00EB6280" w:rsidRPr="0053555E">
        <w:rPr>
          <w:rFonts w:asciiTheme="majorHAnsi" w:hAnsiTheme="majorHAnsi" w:cstheme="majorHAnsi"/>
          <w:lang w:eastAsia="sk-SK"/>
        </w:rPr>
        <w:t xml:space="preserve">. </w:t>
      </w:r>
      <w:r w:rsidR="000E3322">
        <w:rPr>
          <w:rFonts w:asciiTheme="majorHAnsi" w:hAnsiTheme="majorHAnsi" w:cstheme="majorHAnsi"/>
        </w:rPr>
        <w:t>Na priznávanie</w:t>
      </w:r>
      <w:r w:rsidR="000E3322" w:rsidRPr="0053555E">
        <w:rPr>
          <w:rFonts w:asciiTheme="majorHAnsi" w:hAnsiTheme="majorHAnsi" w:cstheme="majorHAnsi"/>
        </w:rPr>
        <w:t xml:space="preserve"> sociálnych štipendií z prostriedkov štátneho rozpočtu</w:t>
      </w:r>
      <w:r w:rsidR="000E3322">
        <w:rPr>
          <w:rFonts w:asciiTheme="majorHAnsi" w:hAnsiTheme="majorHAnsi" w:cstheme="majorHAnsi"/>
        </w:rPr>
        <w:t xml:space="preserve"> r</w:t>
      </w:r>
      <w:r w:rsidR="00932506" w:rsidRPr="0053555E">
        <w:rPr>
          <w:rFonts w:asciiTheme="majorHAnsi" w:hAnsiTheme="majorHAnsi" w:cstheme="majorHAnsi"/>
        </w:rPr>
        <w:t>ektor splnomocnil dekanov príslušných fakúlt STU a zástupk</w:t>
      </w:r>
      <w:r w:rsidR="006E0F66" w:rsidRPr="0053555E">
        <w:rPr>
          <w:rFonts w:asciiTheme="majorHAnsi" w:hAnsiTheme="majorHAnsi" w:cstheme="majorHAnsi"/>
        </w:rPr>
        <w:t>yňu ÚM za oblasť vzdelávania</w:t>
      </w:r>
      <w:r w:rsidR="000E3322">
        <w:rPr>
          <w:rFonts w:asciiTheme="majorHAnsi" w:hAnsiTheme="majorHAnsi" w:cstheme="majorHAnsi"/>
        </w:rPr>
        <w:t>.</w:t>
      </w:r>
      <w:r w:rsidR="006E0F66" w:rsidRPr="0053555E">
        <w:rPr>
          <w:rFonts w:asciiTheme="majorHAnsi" w:hAnsiTheme="majorHAnsi" w:cstheme="majorHAnsi"/>
        </w:rPr>
        <w:t xml:space="preserve"> </w:t>
      </w:r>
    </w:p>
    <w:p w14:paraId="5700A312" w14:textId="3A4AA4D9" w:rsidR="00D2338D" w:rsidRPr="0053555E" w:rsidRDefault="00567E12" w:rsidP="00B17672">
      <w:pPr>
        <w:tabs>
          <w:tab w:val="left" w:pos="9356"/>
        </w:tabs>
        <w:jc w:val="both"/>
        <w:rPr>
          <w:rFonts w:asciiTheme="majorHAnsi" w:hAnsiTheme="majorHAnsi" w:cstheme="majorHAnsi"/>
        </w:rPr>
      </w:pPr>
      <w:r w:rsidRPr="0053555E">
        <w:rPr>
          <w:rFonts w:asciiTheme="majorHAnsi" w:hAnsiTheme="majorHAnsi" w:cstheme="majorHAnsi"/>
        </w:rPr>
        <w:t xml:space="preserve">V akademickom roku </w:t>
      </w:r>
      <w:r w:rsidR="00EA24BA" w:rsidRPr="0053555E">
        <w:rPr>
          <w:rFonts w:asciiTheme="majorHAnsi" w:hAnsiTheme="majorHAnsi" w:cstheme="majorHAnsi"/>
        </w:rPr>
        <w:t>2021/2022</w:t>
      </w:r>
      <w:r w:rsidRPr="0053555E">
        <w:rPr>
          <w:rFonts w:asciiTheme="majorHAnsi" w:hAnsiTheme="majorHAnsi" w:cstheme="majorHAnsi"/>
        </w:rPr>
        <w:t xml:space="preserve"> boli študentom STU poskytnuté sociálne štipendiá v celkovej výške </w:t>
      </w:r>
      <w:r w:rsidR="0003183D">
        <w:rPr>
          <w:rFonts w:asciiTheme="majorHAnsi" w:hAnsiTheme="majorHAnsi" w:cstheme="majorHAnsi"/>
          <w:b/>
        </w:rPr>
        <w:t>332 860</w:t>
      </w:r>
      <w:r w:rsidRPr="0053555E">
        <w:rPr>
          <w:rFonts w:asciiTheme="majorHAnsi" w:hAnsiTheme="majorHAnsi" w:cstheme="majorHAnsi"/>
          <w:b/>
        </w:rPr>
        <w:t xml:space="preserve"> </w:t>
      </w:r>
      <w:r w:rsidR="0051492D" w:rsidRPr="0053555E">
        <w:rPr>
          <w:rFonts w:asciiTheme="majorHAnsi" w:hAnsiTheme="majorHAnsi" w:cstheme="majorHAnsi"/>
          <w:b/>
        </w:rPr>
        <w:t>€</w:t>
      </w:r>
      <w:r w:rsidR="0005212D" w:rsidRPr="0053555E">
        <w:rPr>
          <w:rFonts w:asciiTheme="majorHAnsi" w:hAnsiTheme="majorHAnsi" w:cstheme="majorHAnsi"/>
          <w:b/>
        </w:rPr>
        <w:t xml:space="preserve">, </w:t>
      </w:r>
      <w:r w:rsidR="0005212D" w:rsidRPr="0053555E">
        <w:rPr>
          <w:rFonts w:asciiTheme="majorHAnsi" w:hAnsiTheme="majorHAnsi" w:cstheme="majorHAnsi"/>
        </w:rPr>
        <w:t xml:space="preserve">čo predstavuje </w:t>
      </w:r>
      <w:r w:rsidR="0005212D" w:rsidRPr="0053555E">
        <w:rPr>
          <w:rFonts w:asciiTheme="majorHAnsi" w:hAnsiTheme="majorHAnsi" w:cstheme="majorHAnsi"/>
          <w:b/>
        </w:rPr>
        <w:t>pokles</w:t>
      </w:r>
      <w:r w:rsidR="0005212D" w:rsidRPr="0053555E">
        <w:rPr>
          <w:rFonts w:asciiTheme="majorHAnsi" w:hAnsiTheme="majorHAnsi" w:cstheme="majorHAnsi"/>
        </w:rPr>
        <w:t xml:space="preserve"> </w:t>
      </w:r>
      <w:r w:rsidR="00AA4ED8" w:rsidRPr="0053555E">
        <w:rPr>
          <w:rFonts w:asciiTheme="majorHAnsi" w:hAnsiTheme="majorHAnsi" w:cstheme="majorHAnsi"/>
          <w:b/>
        </w:rPr>
        <w:t xml:space="preserve">o 87 </w:t>
      </w:r>
      <w:r w:rsidR="00AA4ED8">
        <w:rPr>
          <w:rFonts w:asciiTheme="majorHAnsi" w:hAnsiTheme="majorHAnsi" w:cstheme="majorHAnsi"/>
          <w:b/>
        </w:rPr>
        <w:t>165</w:t>
      </w:r>
      <w:r w:rsidR="00AA4ED8" w:rsidRPr="0053555E">
        <w:rPr>
          <w:rFonts w:asciiTheme="majorHAnsi" w:hAnsiTheme="majorHAnsi" w:cstheme="majorHAnsi"/>
          <w:b/>
        </w:rPr>
        <w:t> €</w:t>
      </w:r>
      <w:r w:rsidR="00AA4ED8" w:rsidRPr="0053555E">
        <w:rPr>
          <w:rFonts w:asciiTheme="majorHAnsi" w:hAnsiTheme="majorHAnsi" w:cstheme="majorHAnsi"/>
        </w:rPr>
        <w:t xml:space="preserve"> </w:t>
      </w:r>
      <w:r w:rsidR="0005212D" w:rsidRPr="0053555E">
        <w:rPr>
          <w:rFonts w:asciiTheme="majorHAnsi" w:hAnsiTheme="majorHAnsi" w:cstheme="majorHAnsi"/>
        </w:rPr>
        <w:t xml:space="preserve">oproti akademickému roku </w:t>
      </w:r>
      <w:r w:rsidR="005F6FF1" w:rsidRPr="0053555E">
        <w:rPr>
          <w:rFonts w:asciiTheme="majorHAnsi" w:hAnsiTheme="majorHAnsi" w:cstheme="majorHAnsi"/>
        </w:rPr>
        <w:t>20</w:t>
      </w:r>
      <w:r w:rsidR="00105BD5">
        <w:rPr>
          <w:rFonts w:asciiTheme="majorHAnsi" w:hAnsiTheme="majorHAnsi" w:cstheme="majorHAnsi"/>
        </w:rPr>
        <w:t>20</w:t>
      </w:r>
      <w:r w:rsidR="005F6FF1" w:rsidRPr="0053555E">
        <w:rPr>
          <w:rFonts w:asciiTheme="majorHAnsi" w:hAnsiTheme="majorHAnsi" w:cstheme="majorHAnsi"/>
        </w:rPr>
        <w:t>/20</w:t>
      </w:r>
      <w:r w:rsidR="00D84F5A" w:rsidRPr="0053555E">
        <w:rPr>
          <w:rFonts w:asciiTheme="majorHAnsi" w:hAnsiTheme="majorHAnsi" w:cstheme="majorHAnsi"/>
        </w:rPr>
        <w:t>2</w:t>
      </w:r>
      <w:r w:rsidR="00105BD5">
        <w:rPr>
          <w:rFonts w:asciiTheme="majorHAnsi" w:hAnsiTheme="majorHAnsi" w:cstheme="majorHAnsi"/>
        </w:rPr>
        <w:t>1</w:t>
      </w:r>
      <w:r w:rsidR="00AA4ED8">
        <w:rPr>
          <w:rFonts w:asciiTheme="majorHAnsi" w:hAnsiTheme="majorHAnsi" w:cstheme="majorHAnsi"/>
        </w:rPr>
        <w:t>.</w:t>
      </w:r>
      <w:r w:rsidR="0005212D" w:rsidRPr="0053555E">
        <w:rPr>
          <w:rFonts w:asciiTheme="majorHAnsi" w:hAnsiTheme="majorHAnsi" w:cstheme="majorHAnsi"/>
        </w:rPr>
        <w:t xml:space="preserve"> </w:t>
      </w:r>
    </w:p>
    <w:p w14:paraId="018EBC83" w14:textId="77777777" w:rsidR="000E3322" w:rsidRDefault="000E3322" w:rsidP="000E3322">
      <w:pPr>
        <w:pStyle w:val="Popis"/>
      </w:pPr>
      <w:bookmarkStart w:id="211" w:name="_Ref31718861"/>
      <w:bookmarkStart w:id="212" w:name="_Toc127593304"/>
    </w:p>
    <w:p w14:paraId="2E3D88D7" w14:textId="28E736D2" w:rsidR="002071AC" w:rsidRPr="000E3322" w:rsidRDefault="001B62D3" w:rsidP="000E3322">
      <w:pPr>
        <w:pStyle w:val="Popis"/>
      </w:pPr>
      <w:r w:rsidRPr="000E3322">
        <w:t xml:space="preserve">Tab. č. </w:t>
      </w:r>
      <w:r w:rsidR="007B5953">
        <w:fldChar w:fldCharType="begin"/>
      </w:r>
      <w:r w:rsidR="007B5953">
        <w:instrText xml:space="preserve"> SEQ Tab._č. \* ARABIC </w:instrText>
      </w:r>
      <w:r w:rsidR="007B5953">
        <w:fldChar w:fldCharType="separate"/>
      </w:r>
      <w:r w:rsidR="000E3322" w:rsidRPr="000E3322">
        <w:rPr>
          <w:noProof/>
        </w:rPr>
        <w:t>5</w:t>
      </w:r>
      <w:r w:rsidR="00EE1B59" w:rsidRPr="000E3322">
        <w:rPr>
          <w:noProof/>
        </w:rPr>
        <w:t>1</w:t>
      </w:r>
      <w:r w:rsidR="007B5953">
        <w:rPr>
          <w:noProof/>
        </w:rPr>
        <w:fldChar w:fldCharType="end"/>
      </w:r>
      <w:bookmarkEnd w:id="211"/>
      <w:r w:rsidRPr="000E3322">
        <w:t xml:space="preserve">: </w:t>
      </w:r>
      <w:r w:rsidR="00F71550" w:rsidRPr="000E3322">
        <w:t>P</w:t>
      </w:r>
      <w:r w:rsidR="002071AC" w:rsidRPr="000E3322">
        <w:t xml:space="preserve">očet študentov poberajúci sociálne štipendiá za </w:t>
      </w:r>
      <w:r w:rsidR="00447B29" w:rsidRPr="000E3322">
        <w:t xml:space="preserve">ostatných </w:t>
      </w:r>
      <w:r w:rsidR="002071AC" w:rsidRPr="000E3322">
        <w:t xml:space="preserve">päť </w:t>
      </w:r>
      <w:r w:rsidR="0000029A" w:rsidRPr="000E3322">
        <w:t xml:space="preserve">akademických </w:t>
      </w:r>
      <w:r w:rsidR="002071AC" w:rsidRPr="000E3322">
        <w:t>rokov</w:t>
      </w:r>
      <w:bookmarkEnd w:id="212"/>
      <w:r w:rsidR="002071AC" w:rsidRPr="000E3322">
        <w:t xml:space="preserve"> </w:t>
      </w:r>
    </w:p>
    <w:tbl>
      <w:tblPr>
        <w:tblW w:w="9012" w:type="dxa"/>
        <w:tblInd w:w="55" w:type="dxa"/>
        <w:tblLayout w:type="fixed"/>
        <w:tblCellMar>
          <w:left w:w="70" w:type="dxa"/>
          <w:right w:w="70" w:type="dxa"/>
        </w:tblCellMar>
        <w:tblLook w:val="04A0" w:firstRow="1" w:lastRow="0" w:firstColumn="1" w:lastColumn="0" w:noHBand="0" w:noVBand="1"/>
      </w:tblPr>
      <w:tblGrid>
        <w:gridCol w:w="1358"/>
        <w:gridCol w:w="834"/>
        <w:gridCol w:w="835"/>
        <w:gridCol w:w="835"/>
        <w:gridCol w:w="835"/>
        <w:gridCol w:w="834"/>
        <w:gridCol w:w="835"/>
        <w:gridCol w:w="835"/>
        <w:gridCol w:w="835"/>
        <w:gridCol w:w="976"/>
      </w:tblGrid>
      <w:tr w:rsidR="00697E0B" w:rsidRPr="0053555E" w14:paraId="4A70003D" w14:textId="77777777" w:rsidTr="003F75F8">
        <w:trPr>
          <w:trHeight w:val="255"/>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76DA9" w14:textId="5757307D" w:rsidR="00697E0B" w:rsidRPr="0053555E" w:rsidRDefault="00E00D19" w:rsidP="00324438">
            <w:pPr>
              <w:tabs>
                <w:tab w:val="left" w:pos="9356"/>
              </w:tabs>
              <w:jc w:val="both"/>
              <w:rPr>
                <w:rFonts w:asciiTheme="majorHAnsi" w:eastAsia="Times New Roman" w:hAnsiTheme="majorHAnsi" w:cstheme="majorHAnsi"/>
                <w:b/>
                <w:bCs/>
                <w:lang w:eastAsia="sk-SK"/>
              </w:rPr>
            </w:pPr>
            <w:r w:rsidRPr="0053555E">
              <w:rPr>
                <w:rFonts w:asciiTheme="majorHAnsi" w:eastAsia="Times New Roman" w:hAnsiTheme="majorHAnsi" w:cstheme="majorHAnsi"/>
                <w:b/>
                <w:bCs/>
                <w:lang w:eastAsia="sk-SK"/>
              </w:rPr>
              <w:t>Akad. rok</w:t>
            </w:r>
          </w:p>
        </w:tc>
        <w:tc>
          <w:tcPr>
            <w:tcW w:w="834" w:type="dxa"/>
            <w:tcBorders>
              <w:top w:val="single" w:sz="4" w:space="0" w:color="auto"/>
              <w:left w:val="nil"/>
              <w:bottom w:val="single" w:sz="4" w:space="0" w:color="auto"/>
              <w:right w:val="single" w:sz="4" w:space="0" w:color="auto"/>
            </w:tcBorders>
            <w:shd w:val="clear" w:color="auto" w:fill="auto"/>
            <w:vAlign w:val="center"/>
            <w:hideMark/>
          </w:tcPr>
          <w:p w14:paraId="5CF69FCB" w14:textId="77777777" w:rsidR="00697E0B" w:rsidRPr="0053555E" w:rsidRDefault="00697E0B" w:rsidP="00324438">
            <w:pPr>
              <w:tabs>
                <w:tab w:val="left" w:pos="9356"/>
              </w:tabs>
              <w:jc w:val="center"/>
              <w:rPr>
                <w:rFonts w:asciiTheme="majorHAnsi" w:eastAsia="Times New Roman" w:hAnsiTheme="majorHAnsi" w:cstheme="majorHAnsi"/>
                <w:b/>
                <w:bCs/>
                <w:lang w:eastAsia="sk-SK"/>
              </w:rPr>
            </w:pPr>
            <w:r w:rsidRPr="0053555E">
              <w:rPr>
                <w:rFonts w:asciiTheme="majorHAnsi" w:eastAsia="Times New Roman" w:hAnsiTheme="majorHAnsi" w:cstheme="majorHAnsi"/>
                <w:b/>
                <w:bCs/>
                <w:lang w:eastAsia="sk-SK"/>
              </w:rPr>
              <w:t>SvF</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7C5D1FCF" w14:textId="77777777" w:rsidR="00697E0B" w:rsidRPr="0053555E" w:rsidRDefault="00697E0B" w:rsidP="00324438">
            <w:pPr>
              <w:tabs>
                <w:tab w:val="left" w:pos="9356"/>
              </w:tabs>
              <w:jc w:val="center"/>
              <w:rPr>
                <w:rFonts w:asciiTheme="majorHAnsi" w:eastAsia="Times New Roman" w:hAnsiTheme="majorHAnsi" w:cstheme="majorHAnsi"/>
                <w:b/>
                <w:bCs/>
                <w:lang w:eastAsia="sk-SK"/>
              </w:rPr>
            </w:pPr>
            <w:r w:rsidRPr="0053555E">
              <w:rPr>
                <w:rFonts w:asciiTheme="majorHAnsi" w:eastAsia="Times New Roman" w:hAnsiTheme="majorHAnsi" w:cstheme="majorHAnsi"/>
                <w:b/>
                <w:bCs/>
                <w:lang w:eastAsia="sk-SK"/>
              </w:rPr>
              <w:t>SjF</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1B9A4C13" w14:textId="77777777" w:rsidR="00697E0B" w:rsidRPr="0053555E" w:rsidRDefault="00697E0B" w:rsidP="00324438">
            <w:pPr>
              <w:tabs>
                <w:tab w:val="left" w:pos="9356"/>
              </w:tabs>
              <w:jc w:val="center"/>
              <w:rPr>
                <w:rFonts w:asciiTheme="majorHAnsi" w:eastAsia="Times New Roman" w:hAnsiTheme="majorHAnsi" w:cstheme="majorHAnsi"/>
                <w:b/>
                <w:bCs/>
                <w:lang w:eastAsia="sk-SK"/>
              </w:rPr>
            </w:pPr>
            <w:r w:rsidRPr="0053555E">
              <w:rPr>
                <w:rFonts w:asciiTheme="majorHAnsi" w:eastAsia="Times New Roman" w:hAnsiTheme="majorHAnsi" w:cstheme="majorHAnsi"/>
                <w:b/>
                <w:bCs/>
                <w:lang w:eastAsia="sk-SK"/>
              </w:rPr>
              <w:t>FEI</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096542C2" w14:textId="77777777" w:rsidR="00697E0B" w:rsidRPr="0053555E" w:rsidRDefault="00697E0B" w:rsidP="00324438">
            <w:pPr>
              <w:tabs>
                <w:tab w:val="left" w:pos="9356"/>
              </w:tabs>
              <w:jc w:val="center"/>
              <w:rPr>
                <w:rFonts w:asciiTheme="majorHAnsi" w:eastAsia="Times New Roman" w:hAnsiTheme="majorHAnsi" w:cstheme="majorHAnsi"/>
                <w:b/>
                <w:bCs/>
                <w:lang w:eastAsia="sk-SK"/>
              </w:rPr>
            </w:pPr>
            <w:r w:rsidRPr="0053555E">
              <w:rPr>
                <w:rFonts w:asciiTheme="majorHAnsi" w:eastAsia="Times New Roman" w:hAnsiTheme="majorHAnsi" w:cstheme="majorHAnsi"/>
                <w:b/>
                <w:bCs/>
                <w:lang w:eastAsia="sk-SK"/>
              </w:rPr>
              <w:t>FCHPT</w:t>
            </w:r>
          </w:p>
        </w:tc>
        <w:tc>
          <w:tcPr>
            <w:tcW w:w="834" w:type="dxa"/>
            <w:tcBorders>
              <w:top w:val="single" w:sz="4" w:space="0" w:color="auto"/>
              <w:left w:val="nil"/>
              <w:bottom w:val="single" w:sz="4" w:space="0" w:color="auto"/>
              <w:right w:val="single" w:sz="4" w:space="0" w:color="auto"/>
            </w:tcBorders>
            <w:shd w:val="clear" w:color="auto" w:fill="auto"/>
            <w:vAlign w:val="center"/>
            <w:hideMark/>
          </w:tcPr>
          <w:p w14:paraId="0CBEB564" w14:textId="77777777" w:rsidR="00697E0B" w:rsidRPr="0053555E" w:rsidRDefault="009D4BD1" w:rsidP="00324438">
            <w:pPr>
              <w:tabs>
                <w:tab w:val="left" w:pos="9356"/>
              </w:tabs>
              <w:jc w:val="center"/>
              <w:rPr>
                <w:rFonts w:asciiTheme="majorHAnsi" w:eastAsia="Times New Roman" w:hAnsiTheme="majorHAnsi" w:cstheme="majorHAnsi"/>
                <w:b/>
                <w:bCs/>
                <w:lang w:eastAsia="sk-SK"/>
              </w:rPr>
            </w:pPr>
            <w:r w:rsidRPr="0053555E">
              <w:rPr>
                <w:rFonts w:asciiTheme="majorHAnsi" w:eastAsia="Times New Roman" w:hAnsiTheme="majorHAnsi" w:cstheme="majorHAnsi"/>
                <w:b/>
                <w:bCs/>
                <w:lang w:eastAsia="sk-SK"/>
              </w:rPr>
              <w:t>FAD</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0B41778D" w14:textId="77777777" w:rsidR="00697E0B" w:rsidRPr="0053555E" w:rsidRDefault="00697E0B" w:rsidP="00324438">
            <w:pPr>
              <w:tabs>
                <w:tab w:val="left" w:pos="9356"/>
              </w:tabs>
              <w:jc w:val="center"/>
              <w:rPr>
                <w:rFonts w:asciiTheme="majorHAnsi" w:eastAsia="Times New Roman" w:hAnsiTheme="majorHAnsi" w:cstheme="majorHAnsi"/>
                <w:b/>
                <w:bCs/>
                <w:lang w:eastAsia="sk-SK"/>
              </w:rPr>
            </w:pPr>
            <w:r w:rsidRPr="0053555E">
              <w:rPr>
                <w:rFonts w:asciiTheme="majorHAnsi" w:eastAsia="Times New Roman" w:hAnsiTheme="majorHAnsi" w:cstheme="majorHAnsi"/>
                <w:b/>
                <w:bCs/>
                <w:lang w:eastAsia="sk-SK"/>
              </w:rPr>
              <w:t>MTF</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699414DE" w14:textId="77777777" w:rsidR="00697E0B" w:rsidRPr="0053555E" w:rsidRDefault="00697E0B" w:rsidP="00324438">
            <w:pPr>
              <w:tabs>
                <w:tab w:val="left" w:pos="9356"/>
              </w:tabs>
              <w:jc w:val="center"/>
              <w:rPr>
                <w:rFonts w:asciiTheme="majorHAnsi" w:eastAsia="Times New Roman" w:hAnsiTheme="majorHAnsi" w:cstheme="majorHAnsi"/>
                <w:b/>
                <w:bCs/>
                <w:lang w:eastAsia="sk-SK"/>
              </w:rPr>
            </w:pPr>
            <w:r w:rsidRPr="0053555E">
              <w:rPr>
                <w:rFonts w:asciiTheme="majorHAnsi" w:eastAsia="Times New Roman" w:hAnsiTheme="majorHAnsi" w:cstheme="majorHAnsi"/>
                <w:b/>
                <w:bCs/>
                <w:lang w:eastAsia="sk-SK"/>
              </w:rPr>
              <w:t>FIIT</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70F16EC6" w14:textId="77777777" w:rsidR="00697E0B" w:rsidRPr="0053555E" w:rsidRDefault="00697E0B" w:rsidP="00324438">
            <w:pPr>
              <w:tabs>
                <w:tab w:val="left" w:pos="9356"/>
              </w:tabs>
              <w:jc w:val="center"/>
              <w:rPr>
                <w:rFonts w:asciiTheme="majorHAnsi" w:eastAsia="Times New Roman" w:hAnsiTheme="majorHAnsi" w:cstheme="majorHAnsi"/>
                <w:b/>
                <w:bCs/>
                <w:lang w:eastAsia="sk-SK"/>
              </w:rPr>
            </w:pPr>
            <w:r w:rsidRPr="0053555E">
              <w:rPr>
                <w:rFonts w:asciiTheme="majorHAnsi" w:eastAsia="Times New Roman" w:hAnsiTheme="majorHAnsi" w:cstheme="majorHAnsi"/>
                <w:b/>
                <w:bCs/>
                <w:lang w:eastAsia="sk-SK"/>
              </w:rPr>
              <w:t>ÚM</w:t>
            </w:r>
          </w:p>
        </w:tc>
        <w:tc>
          <w:tcPr>
            <w:tcW w:w="976" w:type="dxa"/>
            <w:tcBorders>
              <w:top w:val="single" w:sz="4" w:space="0" w:color="auto"/>
              <w:left w:val="nil"/>
              <w:bottom w:val="single" w:sz="4" w:space="0" w:color="auto"/>
              <w:right w:val="single" w:sz="4" w:space="0" w:color="auto"/>
            </w:tcBorders>
            <w:shd w:val="clear" w:color="auto" w:fill="EEECE1" w:themeFill="background2"/>
            <w:vAlign w:val="center"/>
            <w:hideMark/>
          </w:tcPr>
          <w:p w14:paraId="793391DF" w14:textId="77777777" w:rsidR="00697E0B" w:rsidRPr="0053555E" w:rsidRDefault="00697E0B" w:rsidP="00324438">
            <w:pPr>
              <w:tabs>
                <w:tab w:val="left" w:pos="9356"/>
              </w:tabs>
              <w:jc w:val="center"/>
              <w:rPr>
                <w:rFonts w:asciiTheme="majorHAnsi" w:eastAsia="Times New Roman" w:hAnsiTheme="majorHAnsi" w:cstheme="majorHAnsi"/>
                <w:b/>
                <w:bCs/>
                <w:lang w:eastAsia="sk-SK"/>
              </w:rPr>
            </w:pPr>
            <w:r w:rsidRPr="0053555E">
              <w:rPr>
                <w:rFonts w:asciiTheme="majorHAnsi" w:eastAsia="Times New Roman" w:hAnsiTheme="majorHAnsi" w:cstheme="majorHAnsi"/>
                <w:b/>
                <w:bCs/>
                <w:lang w:eastAsia="sk-SK"/>
              </w:rPr>
              <w:t>STU</w:t>
            </w:r>
          </w:p>
        </w:tc>
      </w:tr>
      <w:tr w:rsidR="006A082B" w:rsidRPr="0053555E" w14:paraId="6472ABC7" w14:textId="77777777" w:rsidTr="003F75F8">
        <w:trPr>
          <w:trHeight w:val="255"/>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5C5F11D" w14:textId="0992A6F8" w:rsidR="006A082B" w:rsidRPr="0053555E" w:rsidRDefault="006A082B" w:rsidP="006A082B">
            <w:pPr>
              <w:rPr>
                <w:rFonts w:asciiTheme="majorHAnsi" w:hAnsiTheme="majorHAnsi" w:cstheme="majorHAnsi"/>
                <w:b/>
                <w:bCs/>
              </w:rPr>
            </w:pPr>
            <w:r w:rsidRPr="0053555E">
              <w:rPr>
                <w:rFonts w:cs="Arial"/>
                <w:b/>
                <w:bCs/>
              </w:rPr>
              <w:t>2017/2018</w:t>
            </w:r>
          </w:p>
        </w:tc>
        <w:tc>
          <w:tcPr>
            <w:tcW w:w="834" w:type="dxa"/>
            <w:tcBorders>
              <w:top w:val="nil"/>
              <w:left w:val="nil"/>
              <w:bottom w:val="single" w:sz="4" w:space="0" w:color="auto"/>
              <w:right w:val="single" w:sz="4" w:space="0" w:color="auto"/>
            </w:tcBorders>
            <w:shd w:val="clear" w:color="auto" w:fill="auto"/>
            <w:noWrap/>
            <w:vAlign w:val="center"/>
            <w:hideMark/>
          </w:tcPr>
          <w:p w14:paraId="55BFADEA" w14:textId="06448BC4" w:rsidR="006A082B" w:rsidRPr="0053555E" w:rsidRDefault="006A082B" w:rsidP="006A082B">
            <w:pPr>
              <w:jc w:val="center"/>
              <w:rPr>
                <w:rFonts w:asciiTheme="majorHAnsi" w:hAnsiTheme="majorHAnsi" w:cstheme="majorHAnsi"/>
              </w:rPr>
            </w:pPr>
            <w:r w:rsidRPr="0053555E">
              <w:rPr>
                <w:rFonts w:cs="Arial"/>
              </w:rPr>
              <w:t>157</w:t>
            </w:r>
          </w:p>
        </w:tc>
        <w:tc>
          <w:tcPr>
            <w:tcW w:w="835" w:type="dxa"/>
            <w:tcBorders>
              <w:top w:val="nil"/>
              <w:left w:val="nil"/>
              <w:bottom w:val="single" w:sz="4" w:space="0" w:color="auto"/>
              <w:right w:val="single" w:sz="4" w:space="0" w:color="auto"/>
            </w:tcBorders>
            <w:shd w:val="clear" w:color="auto" w:fill="auto"/>
            <w:noWrap/>
            <w:vAlign w:val="center"/>
            <w:hideMark/>
          </w:tcPr>
          <w:p w14:paraId="357FD5AE" w14:textId="73D08EC7" w:rsidR="006A082B" w:rsidRPr="0053555E" w:rsidRDefault="006A082B" w:rsidP="006A082B">
            <w:pPr>
              <w:jc w:val="center"/>
              <w:rPr>
                <w:rFonts w:asciiTheme="majorHAnsi" w:hAnsiTheme="majorHAnsi" w:cstheme="majorHAnsi"/>
              </w:rPr>
            </w:pPr>
            <w:r w:rsidRPr="0053555E">
              <w:rPr>
                <w:rFonts w:cs="Arial"/>
              </w:rPr>
              <w:t>35</w:t>
            </w:r>
          </w:p>
        </w:tc>
        <w:tc>
          <w:tcPr>
            <w:tcW w:w="835" w:type="dxa"/>
            <w:tcBorders>
              <w:top w:val="nil"/>
              <w:left w:val="nil"/>
              <w:bottom w:val="single" w:sz="4" w:space="0" w:color="auto"/>
              <w:right w:val="single" w:sz="4" w:space="0" w:color="auto"/>
            </w:tcBorders>
            <w:shd w:val="clear" w:color="auto" w:fill="auto"/>
            <w:noWrap/>
            <w:vAlign w:val="center"/>
            <w:hideMark/>
          </w:tcPr>
          <w:p w14:paraId="04354EBA" w14:textId="2B0B88F1" w:rsidR="006A082B" w:rsidRPr="0053555E" w:rsidRDefault="006A082B" w:rsidP="006A082B">
            <w:pPr>
              <w:jc w:val="center"/>
              <w:rPr>
                <w:rFonts w:asciiTheme="majorHAnsi" w:hAnsiTheme="majorHAnsi" w:cstheme="majorHAnsi"/>
              </w:rPr>
            </w:pPr>
            <w:r w:rsidRPr="0053555E">
              <w:rPr>
                <w:rFonts w:cs="Arial"/>
              </w:rPr>
              <w:t>98</w:t>
            </w:r>
          </w:p>
        </w:tc>
        <w:tc>
          <w:tcPr>
            <w:tcW w:w="835" w:type="dxa"/>
            <w:tcBorders>
              <w:top w:val="nil"/>
              <w:left w:val="nil"/>
              <w:bottom w:val="single" w:sz="4" w:space="0" w:color="auto"/>
              <w:right w:val="single" w:sz="4" w:space="0" w:color="auto"/>
            </w:tcBorders>
            <w:shd w:val="clear" w:color="auto" w:fill="auto"/>
            <w:noWrap/>
            <w:vAlign w:val="center"/>
            <w:hideMark/>
          </w:tcPr>
          <w:p w14:paraId="0C19F93C" w14:textId="05C94ABD" w:rsidR="006A082B" w:rsidRPr="0053555E" w:rsidRDefault="006A082B" w:rsidP="006A082B">
            <w:pPr>
              <w:jc w:val="center"/>
              <w:rPr>
                <w:rFonts w:asciiTheme="majorHAnsi" w:hAnsiTheme="majorHAnsi" w:cstheme="majorHAnsi"/>
              </w:rPr>
            </w:pPr>
            <w:r w:rsidRPr="0053555E">
              <w:rPr>
                <w:rFonts w:cs="Arial"/>
              </w:rPr>
              <w:t>92</w:t>
            </w:r>
          </w:p>
        </w:tc>
        <w:tc>
          <w:tcPr>
            <w:tcW w:w="834" w:type="dxa"/>
            <w:tcBorders>
              <w:top w:val="nil"/>
              <w:left w:val="nil"/>
              <w:bottom w:val="single" w:sz="4" w:space="0" w:color="auto"/>
              <w:right w:val="single" w:sz="4" w:space="0" w:color="auto"/>
            </w:tcBorders>
            <w:shd w:val="clear" w:color="auto" w:fill="auto"/>
            <w:noWrap/>
            <w:vAlign w:val="center"/>
            <w:hideMark/>
          </w:tcPr>
          <w:p w14:paraId="5B7B2718" w14:textId="6EA6C012" w:rsidR="006A082B" w:rsidRPr="0053555E" w:rsidRDefault="006A082B" w:rsidP="006A082B">
            <w:pPr>
              <w:jc w:val="center"/>
              <w:rPr>
                <w:rFonts w:asciiTheme="majorHAnsi" w:hAnsiTheme="majorHAnsi" w:cstheme="majorHAnsi"/>
              </w:rPr>
            </w:pPr>
            <w:r w:rsidRPr="0053555E">
              <w:rPr>
                <w:rFonts w:cs="Arial"/>
              </w:rPr>
              <w:t>73</w:t>
            </w:r>
          </w:p>
        </w:tc>
        <w:tc>
          <w:tcPr>
            <w:tcW w:w="835" w:type="dxa"/>
            <w:tcBorders>
              <w:top w:val="nil"/>
              <w:left w:val="nil"/>
              <w:bottom w:val="single" w:sz="4" w:space="0" w:color="auto"/>
              <w:right w:val="single" w:sz="4" w:space="0" w:color="auto"/>
            </w:tcBorders>
            <w:shd w:val="clear" w:color="auto" w:fill="auto"/>
            <w:noWrap/>
            <w:vAlign w:val="center"/>
            <w:hideMark/>
          </w:tcPr>
          <w:p w14:paraId="1E97BBAE" w14:textId="7FC5027A" w:rsidR="006A082B" w:rsidRPr="0053555E" w:rsidRDefault="006A082B" w:rsidP="006A082B">
            <w:pPr>
              <w:jc w:val="center"/>
              <w:rPr>
                <w:rFonts w:asciiTheme="majorHAnsi" w:hAnsiTheme="majorHAnsi" w:cstheme="majorHAnsi"/>
              </w:rPr>
            </w:pPr>
            <w:r w:rsidRPr="0053555E">
              <w:rPr>
                <w:rFonts w:cs="Arial"/>
              </w:rPr>
              <w:t>51</w:t>
            </w:r>
          </w:p>
        </w:tc>
        <w:tc>
          <w:tcPr>
            <w:tcW w:w="835" w:type="dxa"/>
            <w:tcBorders>
              <w:top w:val="nil"/>
              <w:left w:val="nil"/>
              <w:bottom w:val="single" w:sz="4" w:space="0" w:color="auto"/>
              <w:right w:val="single" w:sz="4" w:space="0" w:color="auto"/>
            </w:tcBorders>
            <w:shd w:val="clear" w:color="auto" w:fill="auto"/>
            <w:noWrap/>
            <w:vAlign w:val="center"/>
            <w:hideMark/>
          </w:tcPr>
          <w:p w14:paraId="3E07D4A2" w14:textId="59CA1DB5" w:rsidR="006A082B" w:rsidRPr="0053555E" w:rsidRDefault="006A082B" w:rsidP="006A082B">
            <w:pPr>
              <w:jc w:val="center"/>
              <w:rPr>
                <w:rFonts w:asciiTheme="majorHAnsi" w:hAnsiTheme="majorHAnsi" w:cstheme="majorHAnsi"/>
              </w:rPr>
            </w:pPr>
            <w:r w:rsidRPr="0053555E">
              <w:rPr>
                <w:rFonts w:cs="Arial"/>
              </w:rPr>
              <w:t>48</w:t>
            </w:r>
          </w:p>
        </w:tc>
        <w:tc>
          <w:tcPr>
            <w:tcW w:w="835" w:type="dxa"/>
            <w:tcBorders>
              <w:top w:val="nil"/>
              <w:left w:val="nil"/>
              <w:bottom w:val="single" w:sz="4" w:space="0" w:color="auto"/>
              <w:right w:val="single" w:sz="4" w:space="0" w:color="auto"/>
            </w:tcBorders>
            <w:shd w:val="clear" w:color="auto" w:fill="auto"/>
            <w:noWrap/>
            <w:vAlign w:val="center"/>
            <w:hideMark/>
          </w:tcPr>
          <w:p w14:paraId="4D751D32" w14:textId="43DDDA30" w:rsidR="006A082B" w:rsidRPr="0053555E" w:rsidRDefault="006A082B" w:rsidP="006A082B">
            <w:pPr>
              <w:jc w:val="center"/>
              <w:rPr>
                <w:rFonts w:asciiTheme="majorHAnsi" w:hAnsiTheme="majorHAnsi" w:cstheme="majorHAnsi"/>
              </w:rPr>
            </w:pPr>
            <w:r w:rsidRPr="0053555E">
              <w:rPr>
                <w:rFonts w:cs="Arial"/>
              </w:rPr>
              <w:t>9</w:t>
            </w:r>
          </w:p>
        </w:tc>
        <w:tc>
          <w:tcPr>
            <w:tcW w:w="976" w:type="dxa"/>
            <w:tcBorders>
              <w:top w:val="nil"/>
              <w:left w:val="nil"/>
              <w:bottom w:val="single" w:sz="4" w:space="0" w:color="auto"/>
              <w:right w:val="single" w:sz="4" w:space="0" w:color="auto"/>
            </w:tcBorders>
            <w:shd w:val="clear" w:color="auto" w:fill="EEECE1" w:themeFill="background2"/>
            <w:noWrap/>
            <w:vAlign w:val="center"/>
            <w:hideMark/>
          </w:tcPr>
          <w:p w14:paraId="20EDF8E8" w14:textId="26D85F4D" w:rsidR="006A082B" w:rsidRPr="0053555E" w:rsidRDefault="006A082B" w:rsidP="006A082B">
            <w:pPr>
              <w:jc w:val="center"/>
              <w:rPr>
                <w:rFonts w:asciiTheme="majorHAnsi" w:hAnsiTheme="majorHAnsi" w:cstheme="majorHAnsi"/>
                <w:b/>
                <w:bCs/>
              </w:rPr>
            </w:pPr>
            <w:r w:rsidRPr="0053555E">
              <w:rPr>
                <w:rFonts w:cs="Arial"/>
                <w:b/>
                <w:bCs/>
              </w:rPr>
              <w:t>563</w:t>
            </w:r>
          </w:p>
        </w:tc>
      </w:tr>
      <w:tr w:rsidR="006A082B" w:rsidRPr="0053555E" w14:paraId="6F3B0CB4" w14:textId="77777777" w:rsidTr="003F75F8">
        <w:trPr>
          <w:trHeight w:val="255"/>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E34E6C8" w14:textId="2B9266DB" w:rsidR="006A082B" w:rsidRPr="0053555E" w:rsidRDefault="006A082B" w:rsidP="006A082B">
            <w:pPr>
              <w:rPr>
                <w:rFonts w:asciiTheme="majorHAnsi" w:hAnsiTheme="majorHAnsi" w:cstheme="majorHAnsi"/>
                <w:b/>
                <w:bCs/>
              </w:rPr>
            </w:pPr>
            <w:r w:rsidRPr="0053555E">
              <w:rPr>
                <w:rFonts w:cs="Arial"/>
                <w:b/>
                <w:bCs/>
              </w:rPr>
              <w:t>2018/2019</w:t>
            </w:r>
          </w:p>
        </w:tc>
        <w:tc>
          <w:tcPr>
            <w:tcW w:w="834" w:type="dxa"/>
            <w:tcBorders>
              <w:top w:val="nil"/>
              <w:left w:val="nil"/>
              <w:bottom w:val="single" w:sz="4" w:space="0" w:color="auto"/>
              <w:right w:val="single" w:sz="4" w:space="0" w:color="auto"/>
            </w:tcBorders>
            <w:shd w:val="clear" w:color="auto" w:fill="auto"/>
            <w:noWrap/>
            <w:vAlign w:val="center"/>
            <w:hideMark/>
          </w:tcPr>
          <w:p w14:paraId="6E86594D" w14:textId="2483D030" w:rsidR="006A082B" w:rsidRPr="0053555E" w:rsidRDefault="006A082B" w:rsidP="006A082B">
            <w:pPr>
              <w:jc w:val="center"/>
              <w:rPr>
                <w:rFonts w:asciiTheme="majorHAnsi" w:hAnsiTheme="majorHAnsi" w:cstheme="majorHAnsi"/>
              </w:rPr>
            </w:pPr>
            <w:r w:rsidRPr="0053555E">
              <w:rPr>
                <w:rFonts w:cs="Arial"/>
              </w:rPr>
              <w:t>114</w:t>
            </w:r>
          </w:p>
        </w:tc>
        <w:tc>
          <w:tcPr>
            <w:tcW w:w="835" w:type="dxa"/>
            <w:tcBorders>
              <w:top w:val="nil"/>
              <w:left w:val="nil"/>
              <w:bottom w:val="single" w:sz="4" w:space="0" w:color="auto"/>
              <w:right w:val="single" w:sz="4" w:space="0" w:color="auto"/>
            </w:tcBorders>
            <w:shd w:val="clear" w:color="auto" w:fill="auto"/>
            <w:noWrap/>
            <w:vAlign w:val="center"/>
            <w:hideMark/>
          </w:tcPr>
          <w:p w14:paraId="331CC63A" w14:textId="16C7E7B3" w:rsidR="006A082B" w:rsidRPr="0053555E" w:rsidRDefault="006A082B" w:rsidP="006A082B">
            <w:pPr>
              <w:jc w:val="center"/>
              <w:rPr>
                <w:rFonts w:asciiTheme="majorHAnsi" w:hAnsiTheme="majorHAnsi" w:cstheme="majorHAnsi"/>
              </w:rPr>
            </w:pPr>
            <w:r w:rsidRPr="0053555E">
              <w:rPr>
                <w:rFonts w:cs="Arial"/>
              </w:rPr>
              <w:t>24</w:t>
            </w:r>
          </w:p>
        </w:tc>
        <w:tc>
          <w:tcPr>
            <w:tcW w:w="835" w:type="dxa"/>
            <w:tcBorders>
              <w:top w:val="nil"/>
              <w:left w:val="nil"/>
              <w:bottom w:val="single" w:sz="4" w:space="0" w:color="auto"/>
              <w:right w:val="single" w:sz="4" w:space="0" w:color="auto"/>
            </w:tcBorders>
            <w:shd w:val="clear" w:color="auto" w:fill="auto"/>
            <w:noWrap/>
            <w:vAlign w:val="center"/>
            <w:hideMark/>
          </w:tcPr>
          <w:p w14:paraId="71ED5E3B" w14:textId="2BC1C6CA" w:rsidR="006A082B" w:rsidRPr="0053555E" w:rsidRDefault="006A082B" w:rsidP="006A082B">
            <w:pPr>
              <w:jc w:val="center"/>
              <w:rPr>
                <w:rFonts w:asciiTheme="majorHAnsi" w:hAnsiTheme="majorHAnsi" w:cstheme="majorHAnsi"/>
              </w:rPr>
            </w:pPr>
            <w:r w:rsidRPr="0053555E">
              <w:rPr>
                <w:rFonts w:cs="Arial"/>
              </w:rPr>
              <w:t>75</w:t>
            </w:r>
          </w:p>
        </w:tc>
        <w:tc>
          <w:tcPr>
            <w:tcW w:w="835" w:type="dxa"/>
            <w:tcBorders>
              <w:top w:val="nil"/>
              <w:left w:val="nil"/>
              <w:bottom w:val="single" w:sz="4" w:space="0" w:color="auto"/>
              <w:right w:val="single" w:sz="4" w:space="0" w:color="auto"/>
            </w:tcBorders>
            <w:shd w:val="clear" w:color="auto" w:fill="auto"/>
            <w:noWrap/>
            <w:vAlign w:val="center"/>
            <w:hideMark/>
          </w:tcPr>
          <w:p w14:paraId="3A45025B" w14:textId="03A3A148" w:rsidR="006A082B" w:rsidRPr="0053555E" w:rsidRDefault="006A082B" w:rsidP="006A082B">
            <w:pPr>
              <w:jc w:val="center"/>
              <w:rPr>
                <w:rFonts w:asciiTheme="majorHAnsi" w:hAnsiTheme="majorHAnsi" w:cstheme="majorHAnsi"/>
              </w:rPr>
            </w:pPr>
            <w:r w:rsidRPr="0053555E">
              <w:rPr>
                <w:rFonts w:cs="Arial"/>
              </w:rPr>
              <w:t>74</w:t>
            </w:r>
          </w:p>
        </w:tc>
        <w:tc>
          <w:tcPr>
            <w:tcW w:w="834" w:type="dxa"/>
            <w:tcBorders>
              <w:top w:val="nil"/>
              <w:left w:val="nil"/>
              <w:bottom w:val="single" w:sz="4" w:space="0" w:color="auto"/>
              <w:right w:val="single" w:sz="4" w:space="0" w:color="auto"/>
            </w:tcBorders>
            <w:shd w:val="clear" w:color="auto" w:fill="auto"/>
            <w:noWrap/>
            <w:vAlign w:val="center"/>
            <w:hideMark/>
          </w:tcPr>
          <w:p w14:paraId="04783FE5" w14:textId="36D4330F" w:rsidR="006A082B" w:rsidRPr="0053555E" w:rsidRDefault="006A082B" w:rsidP="006A082B">
            <w:pPr>
              <w:jc w:val="center"/>
              <w:rPr>
                <w:rFonts w:asciiTheme="majorHAnsi" w:hAnsiTheme="majorHAnsi" w:cstheme="majorHAnsi"/>
              </w:rPr>
            </w:pPr>
            <w:r w:rsidRPr="0053555E">
              <w:rPr>
                <w:rFonts w:cs="Arial"/>
              </w:rPr>
              <w:t>50</w:t>
            </w:r>
          </w:p>
        </w:tc>
        <w:tc>
          <w:tcPr>
            <w:tcW w:w="835" w:type="dxa"/>
            <w:tcBorders>
              <w:top w:val="nil"/>
              <w:left w:val="nil"/>
              <w:bottom w:val="single" w:sz="4" w:space="0" w:color="auto"/>
              <w:right w:val="single" w:sz="4" w:space="0" w:color="auto"/>
            </w:tcBorders>
            <w:shd w:val="clear" w:color="auto" w:fill="auto"/>
            <w:noWrap/>
            <w:vAlign w:val="center"/>
            <w:hideMark/>
          </w:tcPr>
          <w:p w14:paraId="1437D7B6" w14:textId="71000361" w:rsidR="006A082B" w:rsidRPr="0053555E" w:rsidRDefault="006A082B" w:rsidP="006A082B">
            <w:pPr>
              <w:jc w:val="center"/>
              <w:rPr>
                <w:rFonts w:asciiTheme="majorHAnsi" w:hAnsiTheme="majorHAnsi" w:cstheme="majorHAnsi"/>
              </w:rPr>
            </w:pPr>
            <w:r w:rsidRPr="0053555E">
              <w:rPr>
                <w:rFonts w:cs="Arial"/>
              </w:rPr>
              <w:t>38</w:t>
            </w:r>
          </w:p>
        </w:tc>
        <w:tc>
          <w:tcPr>
            <w:tcW w:w="835" w:type="dxa"/>
            <w:tcBorders>
              <w:top w:val="nil"/>
              <w:left w:val="nil"/>
              <w:bottom w:val="single" w:sz="4" w:space="0" w:color="auto"/>
              <w:right w:val="single" w:sz="4" w:space="0" w:color="auto"/>
            </w:tcBorders>
            <w:shd w:val="clear" w:color="auto" w:fill="auto"/>
            <w:noWrap/>
            <w:vAlign w:val="center"/>
            <w:hideMark/>
          </w:tcPr>
          <w:p w14:paraId="3D5B1857" w14:textId="00E7B53C" w:rsidR="006A082B" w:rsidRPr="0053555E" w:rsidRDefault="006A082B" w:rsidP="006A082B">
            <w:pPr>
              <w:jc w:val="center"/>
              <w:rPr>
                <w:rFonts w:asciiTheme="majorHAnsi" w:hAnsiTheme="majorHAnsi" w:cstheme="majorHAnsi"/>
              </w:rPr>
            </w:pPr>
            <w:r w:rsidRPr="0053555E">
              <w:rPr>
                <w:rFonts w:cs="Arial"/>
              </w:rPr>
              <w:t>46</w:t>
            </w:r>
          </w:p>
        </w:tc>
        <w:tc>
          <w:tcPr>
            <w:tcW w:w="835" w:type="dxa"/>
            <w:tcBorders>
              <w:top w:val="nil"/>
              <w:left w:val="nil"/>
              <w:bottom w:val="single" w:sz="4" w:space="0" w:color="auto"/>
              <w:right w:val="single" w:sz="4" w:space="0" w:color="auto"/>
            </w:tcBorders>
            <w:shd w:val="clear" w:color="auto" w:fill="auto"/>
            <w:noWrap/>
            <w:vAlign w:val="center"/>
            <w:hideMark/>
          </w:tcPr>
          <w:p w14:paraId="6AC1966C" w14:textId="7C9E8FA9" w:rsidR="006A082B" w:rsidRPr="0053555E" w:rsidRDefault="006A082B" w:rsidP="006A082B">
            <w:pPr>
              <w:jc w:val="center"/>
              <w:rPr>
                <w:rFonts w:asciiTheme="majorHAnsi" w:hAnsiTheme="majorHAnsi" w:cstheme="majorHAnsi"/>
              </w:rPr>
            </w:pPr>
            <w:r w:rsidRPr="0053555E">
              <w:rPr>
                <w:rFonts w:cs="Arial"/>
              </w:rPr>
              <w:t>3</w:t>
            </w:r>
          </w:p>
        </w:tc>
        <w:tc>
          <w:tcPr>
            <w:tcW w:w="976" w:type="dxa"/>
            <w:tcBorders>
              <w:top w:val="nil"/>
              <w:left w:val="nil"/>
              <w:bottom w:val="single" w:sz="4" w:space="0" w:color="auto"/>
              <w:right w:val="single" w:sz="4" w:space="0" w:color="auto"/>
            </w:tcBorders>
            <w:shd w:val="clear" w:color="auto" w:fill="EEECE1" w:themeFill="background2"/>
            <w:noWrap/>
            <w:vAlign w:val="center"/>
            <w:hideMark/>
          </w:tcPr>
          <w:p w14:paraId="1FB49EC1" w14:textId="3E42D20F" w:rsidR="006A082B" w:rsidRPr="0053555E" w:rsidRDefault="006A082B" w:rsidP="006A082B">
            <w:pPr>
              <w:jc w:val="center"/>
              <w:rPr>
                <w:rFonts w:asciiTheme="majorHAnsi" w:hAnsiTheme="majorHAnsi" w:cstheme="majorHAnsi"/>
                <w:b/>
                <w:bCs/>
              </w:rPr>
            </w:pPr>
            <w:r w:rsidRPr="0053555E">
              <w:rPr>
                <w:rFonts w:cs="Arial"/>
                <w:b/>
                <w:bCs/>
              </w:rPr>
              <w:t>424</w:t>
            </w:r>
          </w:p>
        </w:tc>
      </w:tr>
      <w:tr w:rsidR="006A082B" w:rsidRPr="0053555E" w14:paraId="6B2BE088" w14:textId="77777777" w:rsidTr="003F75F8">
        <w:trPr>
          <w:trHeight w:val="255"/>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763573E" w14:textId="10F094E6" w:rsidR="006A082B" w:rsidRPr="0053555E" w:rsidRDefault="006A082B" w:rsidP="006A082B">
            <w:pPr>
              <w:rPr>
                <w:rFonts w:asciiTheme="majorHAnsi" w:hAnsiTheme="majorHAnsi" w:cstheme="majorHAnsi"/>
                <w:b/>
                <w:bCs/>
              </w:rPr>
            </w:pPr>
            <w:r w:rsidRPr="0053555E">
              <w:rPr>
                <w:rFonts w:cs="Arial"/>
                <w:b/>
                <w:bCs/>
              </w:rPr>
              <w:t>2019/2020</w:t>
            </w:r>
          </w:p>
        </w:tc>
        <w:tc>
          <w:tcPr>
            <w:tcW w:w="834" w:type="dxa"/>
            <w:tcBorders>
              <w:top w:val="nil"/>
              <w:left w:val="nil"/>
              <w:bottom w:val="single" w:sz="4" w:space="0" w:color="auto"/>
              <w:right w:val="single" w:sz="4" w:space="0" w:color="auto"/>
            </w:tcBorders>
            <w:shd w:val="clear" w:color="auto" w:fill="auto"/>
            <w:noWrap/>
            <w:vAlign w:val="center"/>
            <w:hideMark/>
          </w:tcPr>
          <w:p w14:paraId="4916B71F" w14:textId="50144A97" w:rsidR="006A082B" w:rsidRPr="0053555E" w:rsidRDefault="006A082B" w:rsidP="006A082B">
            <w:pPr>
              <w:jc w:val="center"/>
              <w:rPr>
                <w:rFonts w:asciiTheme="majorHAnsi" w:hAnsiTheme="majorHAnsi" w:cstheme="majorHAnsi"/>
              </w:rPr>
            </w:pPr>
            <w:r w:rsidRPr="0053555E">
              <w:rPr>
                <w:rFonts w:cs="Arial"/>
              </w:rPr>
              <w:t>79</w:t>
            </w:r>
          </w:p>
        </w:tc>
        <w:tc>
          <w:tcPr>
            <w:tcW w:w="835" w:type="dxa"/>
            <w:tcBorders>
              <w:top w:val="nil"/>
              <w:left w:val="nil"/>
              <w:bottom w:val="single" w:sz="4" w:space="0" w:color="auto"/>
              <w:right w:val="single" w:sz="4" w:space="0" w:color="auto"/>
            </w:tcBorders>
            <w:shd w:val="clear" w:color="auto" w:fill="auto"/>
            <w:noWrap/>
            <w:vAlign w:val="center"/>
            <w:hideMark/>
          </w:tcPr>
          <w:p w14:paraId="077BF2B0" w14:textId="4A74F8D2" w:rsidR="006A082B" w:rsidRPr="0053555E" w:rsidRDefault="006A082B" w:rsidP="006A082B">
            <w:pPr>
              <w:jc w:val="center"/>
              <w:rPr>
                <w:rFonts w:asciiTheme="majorHAnsi" w:hAnsiTheme="majorHAnsi" w:cstheme="majorHAnsi"/>
              </w:rPr>
            </w:pPr>
            <w:r w:rsidRPr="0053555E">
              <w:rPr>
                <w:rFonts w:cs="Arial"/>
              </w:rPr>
              <w:t>16</w:t>
            </w:r>
          </w:p>
        </w:tc>
        <w:tc>
          <w:tcPr>
            <w:tcW w:w="835" w:type="dxa"/>
            <w:tcBorders>
              <w:top w:val="nil"/>
              <w:left w:val="nil"/>
              <w:bottom w:val="single" w:sz="4" w:space="0" w:color="auto"/>
              <w:right w:val="single" w:sz="4" w:space="0" w:color="auto"/>
            </w:tcBorders>
            <w:shd w:val="clear" w:color="auto" w:fill="auto"/>
            <w:noWrap/>
            <w:vAlign w:val="center"/>
            <w:hideMark/>
          </w:tcPr>
          <w:p w14:paraId="3919F5EC" w14:textId="6763045D" w:rsidR="006A082B" w:rsidRPr="0053555E" w:rsidRDefault="006A082B" w:rsidP="006A082B">
            <w:pPr>
              <w:jc w:val="center"/>
              <w:rPr>
                <w:rFonts w:asciiTheme="majorHAnsi" w:hAnsiTheme="majorHAnsi" w:cstheme="majorHAnsi"/>
              </w:rPr>
            </w:pPr>
            <w:r w:rsidRPr="0053555E">
              <w:rPr>
                <w:rFonts w:cs="Arial"/>
              </w:rPr>
              <w:t>55</w:t>
            </w:r>
          </w:p>
        </w:tc>
        <w:tc>
          <w:tcPr>
            <w:tcW w:w="835" w:type="dxa"/>
            <w:tcBorders>
              <w:top w:val="nil"/>
              <w:left w:val="nil"/>
              <w:bottom w:val="single" w:sz="4" w:space="0" w:color="auto"/>
              <w:right w:val="single" w:sz="4" w:space="0" w:color="auto"/>
            </w:tcBorders>
            <w:shd w:val="clear" w:color="auto" w:fill="auto"/>
            <w:noWrap/>
            <w:vAlign w:val="center"/>
            <w:hideMark/>
          </w:tcPr>
          <w:p w14:paraId="33FC2A1D" w14:textId="35A93846" w:rsidR="006A082B" w:rsidRPr="0053555E" w:rsidRDefault="006A082B" w:rsidP="006A082B">
            <w:pPr>
              <w:jc w:val="center"/>
              <w:rPr>
                <w:rFonts w:asciiTheme="majorHAnsi" w:hAnsiTheme="majorHAnsi" w:cstheme="majorHAnsi"/>
              </w:rPr>
            </w:pPr>
            <w:r w:rsidRPr="0053555E">
              <w:rPr>
                <w:rFonts w:cs="Arial"/>
              </w:rPr>
              <w:t>57</w:t>
            </w:r>
          </w:p>
        </w:tc>
        <w:tc>
          <w:tcPr>
            <w:tcW w:w="834" w:type="dxa"/>
            <w:tcBorders>
              <w:top w:val="nil"/>
              <w:left w:val="nil"/>
              <w:bottom w:val="single" w:sz="4" w:space="0" w:color="auto"/>
              <w:right w:val="single" w:sz="4" w:space="0" w:color="auto"/>
            </w:tcBorders>
            <w:shd w:val="clear" w:color="auto" w:fill="auto"/>
            <w:noWrap/>
            <w:vAlign w:val="center"/>
            <w:hideMark/>
          </w:tcPr>
          <w:p w14:paraId="6BE86A08" w14:textId="400D0E9F" w:rsidR="006A082B" w:rsidRPr="0053555E" w:rsidRDefault="006A082B" w:rsidP="006A082B">
            <w:pPr>
              <w:jc w:val="center"/>
              <w:rPr>
                <w:rFonts w:asciiTheme="majorHAnsi" w:hAnsiTheme="majorHAnsi" w:cstheme="majorHAnsi"/>
              </w:rPr>
            </w:pPr>
            <w:r w:rsidRPr="0053555E">
              <w:rPr>
                <w:rFonts w:cs="Arial"/>
              </w:rPr>
              <w:t>43</w:t>
            </w:r>
          </w:p>
        </w:tc>
        <w:tc>
          <w:tcPr>
            <w:tcW w:w="835" w:type="dxa"/>
            <w:tcBorders>
              <w:top w:val="nil"/>
              <w:left w:val="nil"/>
              <w:bottom w:val="single" w:sz="4" w:space="0" w:color="auto"/>
              <w:right w:val="single" w:sz="4" w:space="0" w:color="auto"/>
            </w:tcBorders>
            <w:shd w:val="clear" w:color="auto" w:fill="auto"/>
            <w:noWrap/>
            <w:vAlign w:val="center"/>
            <w:hideMark/>
          </w:tcPr>
          <w:p w14:paraId="4E38AA65" w14:textId="46D7D258" w:rsidR="006A082B" w:rsidRPr="0053555E" w:rsidRDefault="006A082B" w:rsidP="006A082B">
            <w:pPr>
              <w:jc w:val="center"/>
              <w:rPr>
                <w:rFonts w:asciiTheme="majorHAnsi" w:hAnsiTheme="majorHAnsi" w:cstheme="majorHAnsi"/>
              </w:rPr>
            </w:pPr>
            <w:r w:rsidRPr="0053555E">
              <w:rPr>
                <w:rFonts w:cs="Arial"/>
              </w:rPr>
              <w:t>32</w:t>
            </w:r>
          </w:p>
        </w:tc>
        <w:tc>
          <w:tcPr>
            <w:tcW w:w="835" w:type="dxa"/>
            <w:tcBorders>
              <w:top w:val="nil"/>
              <w:left w:val="nil"/>
              <w:bottom w:val="single" w:sz="4" w:space="0" w:color="auto"/>
              <w:right w:val="single" w:sz="4" w:space="0" w:color="auto"/>
            </w:tcBorders>
            <w:shd w:val="clear" w:color="auto" w:fill="auto"/>
            <w:noWrap/>
            <w:vAlign w:val="center"/>
            <w:hideMark/>
          </w:tcPr>
          <w:p w14:paraId="6EEDB756" w14:textId="74A8BB8A" w:rsidR="006A082B" w:rsidRPr="0053555E" w:rsidRDefault="006A082B" w:rsidP="006A082B">
            <w:pPr>
              <w:jc w:val="center"/>
              <w:rPr>
                <w:rFonts w:asciiTheme="majorHAnsi" w:hAnsiTheme="majorHAnsi" w:cstheme="majorHAnsi"/>
              </w:rPr>
            </w:pPr>
            <w:r w:rsidRPr="0053555E">
              <w:rPr>
                <w:rFonts w:cs="Arial"/>
              </w:rPr>
              <w:t>40</w:t>
            </w:r>
          </w:p>
        </w:tc>
        <w:tc>
          <w:tcPr>
            <w:tcW w:w="835" w:type="dxa"/>
            <w:tcBorders>
              <w:top w:val="nil"/>
              <w:left w:val="nil"/>
              <w:bottom w:val="single" w:sz="4" w:space="0" w:color="auto"/>
              <w:right w:val="single" w:sz="4" w:space="0" w:color="auto"/>
            </w:tcBorders>
            <w:shd w:val="clear" w:color="auto" w:fill="auto"/>
            <w:noWrap/>
            <w:vAlign w:val="center"/>
            <w:hideMark/>
          </w:tcPr>
          <w:p w14:paraId="309F457F" w14:textId="26043A5F" w:rsidR="006A082B" w:rsidRPr="0053555E" w:rsidRDefault="006A082B" w:rsidP="006A082B">
            <w:pPr>
              <w:jc w:val="center"/>
              <w:rPr>
                <w:rFonts w:asciiTheme="majorHAnsi" w:hAnsiTheme="majorHAnsi" w:cstheme="majorHAnsi"/>
              </w:rPr>
            </w:pPr>
            <w:r w:rsidRPr="0053555E">
              <w:rPr>
                <w:rFonts w:cs="Arial"/>
              </w:rPr>
              <w:t>1</w:t>
            </w:r>
          </w:p>
        </w:tc>
        <w:tc>
          <w:tcPr>
            <w:tcW w:w="976" w:type="dxa"/>
            <w:tcBorders>
              <w:top w:val="nil"/>
              <w:left w:val="nil"/>
              <w:bottom w:val="single" w:sz="4" w:space="0" w:color="auto"/>
              <w:right w:val="single" w:sz="4" w:space="0" w:color="auto"/>
            </w:tcBorders>
            <w:shd w:val="clear" w:color="auto" w:fill="EEECE1" w:themeFill="background2"/>
            <w:noWrap/>
            <w:vAlign w:val="center"/>
            <w:hideMark/>
          </w:tcPr>
          <w:p w14:paraId="6939D84D" w14:textId="3287ADD9" w:rsidR="006A082B" w:rsidRPr="0053555E" w:rsidRDefault="006A082B" w:rsidP="006A082B">
            <w:pPr>
              <w:jc w:val="center"/>
              <w:rPr>
                <w:rFonts w:asciiTheme="majorHAnsi" w:hAnsiTheme="majorHAnsi" w:cstheme="majorHAnsi"/>
                <w:b/>
                <w:bCs/>
              </w:rPr>
            </w:pPr>
            <w:r w:rsidRPr="0053555E">
              <w:rPr>
                <w:rFonts w:cs="Arial"/>
                <w:b/>
                <w:bCs/>
              </w:rPr>
              <w:t>323</w:t>
            </w:r>
          </w:p>
        </w:tc>
      </w:tr>
      <w:tr w:rsidR="006A082B" w:rsidRPr="0053555E" w14:paraId="307F37E7" w14:textId="77777777" w:rsidTr="003F75F8">
        <w:trPr>
          <w:trHeight w:val="255"/>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D51A417" w14:textId="213FEE60" w:rsidR="006A082B" w:rsidRPr="0053555E" w:rsidRDefault="006A082B" w:rsidP="006A082B">
            <w:pPr>
              <w:rPr>
                <w:rFonts w:asciiTheme="majorHAnsi" w:hAnsiTheme="majorHAnsi" w:cstheme="majorHAnsi"/>
                <w:b/>
                <w:bCs/>
              </w:rPr>
            </w:pPr>
            <w:r w:rsidRPr="0053555E">
              <w:rPr>
                <w:rFonts w:cs="Arial"/>
                <w:b/>
                <w:bCs/>
              </w:rPr>
              <w:t>2020/2021</w:t>
            </w:r>
          </w:p>
        </w:tc>
        <w:tc>
          <w:tcPr>
            <w:tcW w:w="834" w:type="dxa"/>
            <w:tcBorders>
              <w:top w:val="nil"/>
              <w:left w:val="nil"/>
              <w:bottom w:val="single" w:sz="4" w:space="0" w:color="auto"/>
              <w:right w:val="single" w:sz="4" w:space="0" w:color="auto"/>
            </w:tcBorders>
            <w:shd w:val="clear" w:color="auto" w:fill="auto"/>
            <w:noWrap/>
            <w:vAlign w:val="center"/>
            <w:hideMark/>
          </w:tcPr>
          <w:p w14:paraId="1010C260" w14:textId="59314976" w:rsidR="006A082B" w:rsidRPr="0053555E" w:rsidRDefault="006A082B" w:rsidP="006A082B">
            <w:pPr>
              <w:jc w:val="center"/>
              <w:rPr>
                <w:rFonts w:asciiTheme="majorHAnsi" w:hAnsiTheme="majorHAnsi" w:cstheme="majorHAnsi"/>
              </w:rPr>
            </w:pPr>
            <w:r w:rsidRPr="0053555E">
              <w:rPr>
                <w:rFonts w:cs="Arial"/>
              </w:rPr>
              <w:t>62</w:t>
            </w:r>
          </w:p>
        </w:tc>
        <w:tc>
          <w:tcPr>
            <w:tcW w:w="835" w:type="dxa"/>
            <w:tcBorders>
              <w:top w:val="nil"/>
              <w:left w:val="nil"/>
              <w:bottom w:val="single" w:sz="4" w:space="0" w:color="auto"/>
              <w:right w:val="single" w:sz="4" w:space="0" w:color="auto"/>
            </w:tcBorders>
            <w:shd w:val="clear" w:color="auto" w:fill="auto"/>
            <w:noWrap/>
            <w:vAlign w:val="center"/>
            <w:hideMark/>
          </w:tcPr>
          <w:p w14:paraId="6DFDA34E" w14:textId="60627AC7" w:rsidR="006A082B" w:rsidRPr="0053555E" w:rsidRDefault="006A082B" w:rsidP="006A082B">
            <w:pPr>
              <w:jc w:val="center"/>
              <w:rPr>
                <w:rFonts w:asciiTheme="majorHAnsi" w:hAnsiTheme="majorHAnsi" w:cstheme="majorHAnsi"/>
              </w:rPr>
            </w:pPr>
            <w:r w:rsidRPr="0053555E">
              <w:rPr>
                <w:rFonts w:cs="Arial"/>
              </w:rPr>
              <w:t>13</w:t>
            </w:r>
          </w:p>
        </w:tc>
        <w:tc>
          <w:tcPr>
            <w:tcW w:w="835" w:type="dxa"/>
            <w:tcBorders>
              <w:top w:val="nil"/>
              <w:left w:val="nil"/>
              <w:bottom w:val="single" w:sz="4" w:space="0" w:color="auto"/>
              <w:right w:val="single" w:sz="4" w:space="0" w:color="auto"/>
            </w:tcBorders>
            <w:shd w:val="clear" w:color="auto" w:fill="auto"/>
            <w:noWrap/>
            <w:vAlign w:val="center"/>
            <w:hideMark/>
          </w:tcPr>
          <w:p w14:paraId="366EDDA6" w14:textId="366FD0AC" w:rsidR="006A082B" w:rsidRPr="0053555E" w:rsidRDefault="006A082B" w:rsidP="006A082B">
            <w:pPr>
              <w:jc w:val="center"/>
              <w:rPr>
                <w:rFonts w:asciiTheme="majorHAnsi" w:hAnsiTheme="majorHAnsi" w:cstheme="majorHAnsi"/>
              </w:rPr>
            </w:pPr>
            <w:r w:rsidRPr="0053555E">
              <w:rPr>
                <w:rFonts w:cs="Arial"/>
              </w:rPr>
              <w:t>45</w:t>
            </w:r>
          </w:p>
        </w:tc>
        <w:tc>
          <w:tcPr>
            <w:tcW w:w="835" w:type="dxa"/>
            <w:tcBorders>
              <w:top w:val="nil"/>
              <w:left w:val="nil"/>
              <w:bottom w:val="single" w:sz="4" w:space="0" w:color="auto"/>
              <w:right w:val="single" w:sz="4" w:space="0" w:color="auto"/>
            </w:tcBorders>
            <w:shd w:val="clear" w:color="auto" w:fill="auto"/>
            <w:noWrap/>
            <w:vAlign w:val="center"/>
            <w:hideMark/>
          </w:tcPr>
          <w:p w14:paraId="5639FBF3" w14:textId="2B813140" w:rsidR="006A082B" w:rsidRPr="0053555E" w:rsidRDefault="006A082B" w:rsidP="006A082B">
            <w:pPr>
              <w:jc w:val="center"/>
              <w:rPr>
                <w:rFonts w:asciiTheme="majorHAnsi" w:hAnsiTheme="majorHAnsi" w:cstheme="majorHAnsi"/>
              </w:rPr>
            </w:pPr>
            <w:r w:rsidRPr="0053555E">
              <w:rPr>
                <w:rFonts w:cs="Arial"/>
              </w:rPr>
              <w:t>48</w:t>
            </w:r>
          </w:p>
        </w:tc>
        <w:tc>
          <w:tcPr>
            <w:tcW w:w="834" w:type="dxa"/>
            <w:tcBorders>
              <w:top w:val="nil"/>
              <w:left w:val="nil"/>
              <w:bottom w:val="single" w:sz="4" w:space="0" w:color="auto"/>
              <w:right w:val="single" w:sz="4" w:space="0" w:color="auto"/>
            </w:tcBorders>
            <w:shd w:val="clear" w:color="auto" w:fill="auto"/>
            <w:noWrap/>
            <w:vAlign w:val="center"/>
            <w:hideMark/>
          </w:tcPr>
          <w:p w14:paraId="09838088" w14:textId="6023C3D1" w:rsidR="006A082B" w:rsidRPr="0053555E" w:rsidRDefault="006A082B" w:rsidP="006A082B">
            <w:pPr>
              <w:jc w:val="center"/>
              <w:rPr>
                <w:rFonts w:asciiTheme="majorHAnsi" w:hAnsiTheme="majorHAnsi" w:cstheme="majorHAnsi"/>
              </w:rPr>
            </w:pPr>
            <w:r w:rsidRPr="0053555E">
              <w:rPr>
                <w:rFonts w:cs="Arial"/>
              </w:rPr>
              <w:t>27</w:t>
            </w:r>
          </w:p>
        </w:tc>
        <w:tc>
          <w:tcPr>
            <w:tcW w:w="835" w:type="dxa"/>
            <w:tcBorders>
              <w:top w:val="nil"/>
              <w:left w:val="nil"/>
              <w:bottom w:val="single" w:sz="4" w:space="0" w:color="auto"/>
              <w:right w:val="single" w:sz="4" w:space="0" w:color="auto"/>
            </w:tcBorders>
            <w:shd w:val="clear" w:color="auto" w:fill="auto"/>
            <w:noWrap/>
            <w:vAlign w:val="center"/>
            <w:hideMark/>
          </w:tcPr>
          <w:p w14:paraId="14E6A06D" w14:textId="6D6B73C8" w:rsidR="006A082B" w:rsidRPr="0053555E" w:rsidRDefault="006A082B" w:rsidP="006A082B">
            <w:pPr>
              <w:jc w:val="center"/>
              <w:rPr>
                <w:rFonts w:asciiTheme="majorHAnsi" w:hAnsiTheme="majorHAnsi" w:cstheme="majorHAnsi"/>
              </w:rPr>
            </w:pPr>
            <w:r w:rsidRPr="0053555E">
              <w:rPr>
                <w:rFonts w:cs="Arial"/>
              </w:rPr>
              <w:t>30</w:t>
            </w:r>
          </w:p>
        </w:tc>
        <w:tc>
          <w:tcPr>
            <w:tcW w:w="835" w:type="dxa"/>
            <w:tcBorders>
              <w:top w:val="nil"/>
              <w:left w:val="nil"/>
              <w:bottom w:val="single" w:sz="4" w:space="0" w:color="auto"/>
              <w:right w:val="single" w:sz="4" w:space="0" w:color="auto"/>
            </w:tcBorders>
            <w:shd w:val="clear" w:color="auto" w:fill="auto"/>
            <w:noWrap/>
            <w:vAlign w:val="center"/>
            <w:hideMark/>
          </w:tcPr>
          <w:p w14:paraId="6EA51FDB" w14:textId="606BDFE1" w:rsidR="006A082B" w:rsidRPr="0053555E" w:rsidRDefault="006A082B" w:rsidP="006A082B">
            <w:pPr>
              <w:jc w:val="center"/>
              <w:rPr>
                <w:rFonts w:asciiTheme="majorHAnsi" w:hAnsiTheme="majorHAnsi" w:cstheme="majorHAnsi"/>
              </w:rPr>
            </w:pPr>
            <w:r w:rsidRPr="0053555E">
              <w:rPr>
                <w:rFonts w:cs="Arial"/>
              </w:rPr>
              <w:t>26</w:t>
            </w:r>
          </w:p>
        </w:tc>
        <w:tc>
          <w:tcPr>
            <w:tcW w:w="835" w:type="dxa"/>
            <w:tcBorders>
              <w:top w:val="nil"/>
              <w:left w:val="nil"/>
              <w:bottom w:val="single" w:sz="4" w:space="0" w:color="auto"/>
              <w:right w:val="single" w:sz="4" w:space="0" w:color="auto"/>
            </w:tcBorders>
            <w:shd w:val="clear" w:color="auto" w:fill="auto"/>
            <w:noWrap/>
            <w:vAlign w:val="center"/>
            <w:hideMark/>
          </w:tcPr>
          <w:p w14:paraId="4FC3FF7B" w14:textId="21FC347F" w:rsidR="006A082B" w:rsidRPr="0053555E" w:rsidRDefault="006A082B" w:rsidP="006A082B">
            <w:pPr>
              <w:jc w:val="center"/>
              <w:rPr>
                <w:rFonts w:asciiTheme="majorHAnsi" w:hAnsiTheme="majorHAnsi" w:cstheme="majorHAnsi"/>
              </w:rPr>
            </w:pPr>
            <w:r w:rsidRPr="0053555E">
              <w:rPr>
                <w:rFonts w:cs="Arial"/>
              </w:rPr>
              <w:t>3</w:t>
            </w:r>
          </w:p>
        </w:tc>
        <w:tc>
          <w:tcPr>
            <w:tcW w:w="976" w:type="dxa"/>
            <w:tcBorders>
              <w:top w:val="nil"/>
              <w:left w:val="nil"/>
              <w:bottom w:val="single" w:sz="4" w:space="0" w:color="auto"/>
              <w:right w:val="single" w:sz="4" w:space="0" w:color="auto"/>
            </w:tcBorders>
            <w:shd w:val="clear" w:color="auto" w:fill="EEECE1" w:themeFill="background2"/>
            <w:noWrap/>
            <w:vAlign w:val="center"/>
            <w:hideMark/>
          </w:tcPr>
          <w:p w14:paraId="2D2CF351" w14:textId="58CD7C18" w:rsidR="006A082B" w:rsidRPr="0053555E" w:rsidRDefault="006A082B" w:rsidP="006A082B">
            <w:pPr>
              <w:jc w:val="center"/>
              <w:rPr>
                <w:rFonts w:asciiTheme="majorHAnsi" w:hAnsiTheme="majorHAnsi" w:cstheme="majorHAnsi"/>
                <w:b/>
                <w:bCs/>
              </w:rPr>
            </w:pPr>
            <w:r w:rsidRPr="0053555E">
              <w:rPr>
                <w:rFonts w:cs="Arial"/>
                <w:b/>
                <w:bCs/>
              </w:rPr>
              <w:t>254</w:t>
            </w:r>
          </w:p>
        </w:tc>
      </w:tr>
      <w:tr w:rsidR="006A082B" w:rsidRPr="0053555E" w14:paraId="3425D3D5" w14:textId="77777777" w:rsidTr="003F75F8">
        <w:trPr>
          <w:trHeight w:val="255"/>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B906BB7" w14:textId="54B3110F" w:rsidR="006A082B" w:rsidRPr="0053555E" w:rsidRDefault="006A082B" w:rsidP="006A082B">
            <w:pPr>
              <w:rPr>
                <w:rFonts w:asciiTheme="majorHAnsi" w:hAnsiTheme="majorHAnsi" w:cstheme="majorHAnsi"/>
                <w:b/>
                <w:bCs/>
              </w:rPr>
            </w:pPr>
            <w:r w:rsidRPr="0053555E">
              <w:rPr>
                <w:rFonts w:cs="Arial"/>
                <w:b/>
                <w:bCs/>
              </w:rPr>
              <w:t>2021/2022</w:t>
            </w:r>
          </w:p>
        </w:tc>
        <w:tc>
          <w:tcPr>
            <w:tcW w:w="834" w:type="dxa"/>
            <w:tcBorders>
              <w:top w:val="nil"/>
              <w:left w:val="nil"/>
              <w:bottom w:val="single" w:sz="4" w:space="0" w:color="auto"/>
              <w:right w:val="single" w:sz="4" w:space="0" w:color="auto"/>
            </w:tcBorders>
            <w:shd w:val="clear" w:color="auto" w:fill="auto"/>
            <w:noWrap/>
            <w:vAlign w:val="center"/>
            <w:hideMark/>
          </w:tcPr>
          <w:p w14:paraId="0E811A4F" w14:textId="0FE83CA3" w:rsidR="006A082B" w:rsidRPr="0053555E" w:rsidRDefault="006A082B" w:rsidP="006A082B">
            <w:pPr>
              <w:jc w:val="center"/>
              <w:rPr>
                <w:rFonts w:asciiTheme="majorHAnsi" w:hAnsiTheme="majorHAnsi" w:cstheme="majorHAnsi"/>
              </w:rPr>
            </w:pPr>
            <w:r w:rsidRPr="0053555E">
              <w:rPr>
                <w:rFonts w:cs="Arial"/>
              </w:rPr>
              <w:t>45</w:t>
            </w:r>
          </w:p>
        </w:tc>
        <w:tc>
          <w:tcPr>
            <w:tcW w:w="835" w:type="dxa"/>
            <w:tcBorders>
              <w:top w:val="nil"/>
              <w:left w:val="nil"/>
              <w:bottom w:val="single" w:sz="4" w:space="0" w:color="auto"/>
              <w:right w:val="single" w:sz="4" w:space="0" w:color="auto"/>
            </w:tcBorders>
            <w:shd w:val="clear" w:color="auto" w:fill="auto"/>
            <w:noWrap/>
            <w:vAlign w:val="center"/>
            <w:hideMark/>
          </w:tcPr>
          <w:p w14:paraId="09DAFF7A" w14:textId="30409163" w:rsidR="006A082B" w:rsidRPr="0053555E" w:rsidRDefault="006A082B" w:rsidP="006A082B">
            <w:pPr>
              <w:jc w:val="center"/>
              <w:rPr>
                <w:rFonts w:asciiTheme="majorHAnsi" w:hAnsiTheme="majorHAnsi" w:cstheme="majorHAnsi"/>
              </w:rPr>
            </w:pPr>
            <w:r w:rsidRPr="0053555E">
              <w:rPr>
                <w:rFonts w:cs="Arial"/>
              </w:rPr>
              <w:t>8</w:t>
            </w:r>
          </w:p>
        </w:tc>
        <w:tc>
          <w:tcPr>
            <w:tcW w:w="835" w:type="dxa"/>
            <w:tcBorders>
              <w:top w:val="nil"/>
              <w:left w:val="nil"/>
              <w:bottom w:val="single" w:sz="4" w:space="0" w:color="auto"/>
              <w:right w:val="single" w:sz="4" w:space="0" w:color="auto"/>
            </w:tcBorders>
            <w:shd w:val="clear" w:color="auto" w:fill="auto"/>
            <w:noWrap/>
            <w:vAlign w:val="center"/>
            <w:hideMark/>
          </w:tcPr>
          <w:p w14:paraId="31879655" w14:textId="4C07671D" w:rsidR="006A082B" w:rsidRPr="0053555E" w:rsidRDefault="006A082B" w:rsidP="006A082B">
            <w:pPr>
              <w:jc w:val="center"/>
              <w:rPr>
                <w:rFonts w:asciiTheme="majorHAnsi" w:hAnsiTheme="majorHAnsi" w:cstheme="majorHAnsi"/>
              </w:rPr>
            </w:pPr>
            <w:r w:rsidRPr="0053555E">
              <w:rPr>
                <w:rFonts w:cs="Arial"/>
              </w:rPr>
              <w:t>48</w:t>
            </w:r>
          </w:p>
        </w:tc>
        <w:tc>
          <w:tcPr>
            <w:tcW w:w="835" w:type="dxa"/>
            <w:tcBorders>
              <w:top w:val="nil"/>
              <w:left w:val="nil"/>
              <w:bottom w:val="single" w:sz="4" w:space="0" w:color="auto"/>
              <w:right w:val="single" w:sz="4" w:space="0" w:color="auto"/>
            </w:tcBorders>
            <w:shd w:val="clear" w:color="auto" w:fill="auto"/>
            <w:noWrap/>
            <w:vAlign w:val="center"/>
            <w:hideMark/>
          </w:tcPr>
          <w:p w14:paraId="399EF865" w14:textId="7E764AFE" w:rsidR="006A082B" w:rsidRPr="0053555E" w:rsidRDefault="006A082B" w:rsidP="006A082B">
            <w:pPr>
              <w:jc w:val="center"/>
              <w:rPr>
                <w:rFonts w:asciiTheme="majorHAnsi" w:hAnsiTheme="majorHAnsi" w:cstheme="majorHAnsi"/>
              </w:rPr>
            </w:pPr>
            <w:r w:rsidRPr="0053555E">
              <w:rPr>
                <w:rFonts w:cs="Arial"/>
              </w:rPr>
              <w:t>34</w:t>
            </w:r>
          </w:p>
        </w:tc>
        <w:tc>
          <w:tcPr>
            <w:tcW w:w="834" w:type="dxa"/>
            <w:tcBorders>
              <w:top w:val="nil"/>
              <w:left w:val="nil"/>
              <w:bottom w:val="single" w:sz="4" w:space="0" w:color="auto"/>
              <w:right w:val="single" w:sz="4" w:space="0" w:color="auto"/>
            </w:tcBorders>
            <w:shd w:val="clear" w:color="auto" w:fill="auto"/>
            <w:noWrap/>
            <w:vAlign w:val="center"/>
            <w:hideMark/>
          </w:tcPr>
          <w:p w14:paraId="22AC1967" w14:textId="6779B976" w:rsidR="006A082B" w:rsidRPr="0053555E" w:rsidRDefault="006A082B" w:rsidP="006A082B">
            <w:pPr>
              <w:jc w:val="center"/>
              <w:rPr>
                <w:rFonts w:asciiTheme="majorHAnsi" w:hAnsiTheme="majorHAnsi" w:cstheme="majorHAnsi"/>
              </w:rPr>
            </w:pPr>
            <w:r w:rsidRPr="0053555E">
              <w:rPr>
                <w:rFonts w:cs="Arial"/>
              </w:rPr>
              <w:t>17</w:t>
            </w:r>
          </w:p>
        </w:tc>
        <w:tc>
          <w:tcPr>
            <w:tcW w:w="835" w:type="dxa"/>
            <w:tcBorders>
              <w:top w:val="nil"/>
              <w:left w:val="nil"/>
              <w:bottom w:val="single" w:sz="4" w:space="0" w:color="auto"/>
              <w:right w:val="single" w:sz="4" w:space="0" w:color="auto"/>
            </w:tcBorders>
            <w:shd w:val="clear" w:color="auto" w:fill="auto"/>
            <w:noWrap/>
            <w:vAlign w:val="center"/>
            <w:hideMark/>
          </w:tcPr>
          <w:p w14:paraId="3F574EAC" w14:textId="22AA6281" w:rsidR="006A082B" w:rsidRPr="0053555E" w:rsidRDefault="006A082B" w:rsidP="006A082B">
            <w:pPr>
              <w:jc w:val="center"/>
              <w:rPr>
                <w:rFonts w:asciiTheme="majorHAnsi" w:hAnsiTheme="majorHAnsi" w:cstheme="majorHAnsi"/>
              </w:rPr>
            </w:pPr>
            <w:r w:rsidRPr="0053555E">
              <w:rPr>
                <w:rFonts w:cs="Arial"/>
              </w:rPr>
              <w:t>20</w:t>
            </w:r>
          </w:p>
        </w:tc>
        <w:tc>
          <w:tcPr>
            <w:tcW w:w="835" w:type="dxa"/>
            <w:tcBorders>
              <w:top w:val="nil"/>
              <w:left w:val="nil"/>
              <w:bottom w:val="single" w:sz="4" w:space="0" w:color="auto"/>
              <w:right w:val="single" w:sz="4" w:space="0" w:color="auto"/>
            </w:tcBorders>
            <w:shd w:val="clear" w:color="auto" w:fill="auto"/>
            <w:noWrap/>
            <w:vAlign w:val="center"/>
            <w:hideMark/>
          </w:tcPr>
          <w:p w14:paraId="1371F68D" w14:textId="57B74DA5" w:rsidR="006A082B" w:rsidRPr="0053555E" w:rsidRDefault="006A082B" w:rsidP="006A082B">
            <w:pPr>
              <w:jc w:val="center"/>
              <w:rPr>
                <w:rFonts w:asciiTheme="majorHAnsi" w:hAnsiTheme="majorHAnsi" w:cstheme="majorHAnsi"/>
              </w:rPr>
            </w:pPr>
            <w:r w:rsidRPr="0053555E">
              <w:rPr>
                <w:rFonts w:cs="Arial"/>
              </w:rPr>
              <w:t>21</w:t>
            </w:r>
          </w:p>
        </w:tc>
        <w:tc>
          <w:tcPr>
            <w:tcW w:w="835" w:type="dxa"/>
            <w:tcBorders>
              <w:top w:val="nil"/>
              <w:left w:val="nil"/>
              <w:bottom w:val="single" w:sz="4" w:space="0" w:color="auto"/>
              <w:right w:val="single" w:sz="4" w:space="0" w:color="auto"/>
            </w:tcBorders>
            <w:shd w:val="clear" w:color="auto" w:fill="auto"/>
            <w:noWrap/>
            <w:vAlign w:val="center"/>
            <w:hideMark/>
          </w:tcPr>
          <w:p w14:paraId="160C3F70" w14:textId="3527BB22" w:rsidR="006A082B" w:rsidRPr="0053555E" w:rsidRDefault="006A082B" w:rsidP="006A082B">
            <w:pPr>
              <w:jc w:val="center"/>
              <w:rPr>
                <w:rFonts w:asciiTheme="majorHAnsi" w:hAnsiTheme="majorHAnsi" w:cstheme="majorHAnsi"/>
              </w:rPr>
            </w:pPr>
            <w:r w:rsidRPr="0053555E">
              <w:rPr>
                <w:rFonts w:cs="Arial"/>
              </w:rPr>
              <w:t>2</w:t>
            </w:r>
          </w:p>
        </w:tc>
        <w:tc>
          <w:tcPr>
            <w:tcW w:w="976" w:type="dxa"/>
            <w:tcBorders>
              <w:top w:val="nil"/>
              <w:left w:val="nil"/>
              <w:bottom w:val="single" w:sz="4" w:space="0" w:color="auto"/>
              <w:right w:val="single" w:sz="4" w:space="0" w:color="auto"/>
            </w:tcBorders>
            <w:shd w:val="clear" w:color="auto" w:fill="EEECE1" w:themeFill="background2"/>
            <w:noWrap/>
            <w:vAlign w:val="center"/>
            <w:hideMark/>
          </w:tcPr>
          <w:p w14:paraId="6EEA78B6" w14:textId="3166DF3B" w:rsidR="006A082B" w:rsidRPr="0053555E" w:rsidRDefault="006A082B" w:rsidP="006A082B">
            <w:pPr>
              <w:jc w:val="center"/>
              <w:rPr>
                <w:rFonts w:asciiTheme="majorHAnsi" w:hAnsiTheme="majorHAnsi" w:cstheme="majorHAnsi"/>
                <w:b/>
                <w:bCs/>
              </w:rPr>
            </w:pPr>
            <w:r w:rsidRPr="0053555E">
              <w:rPr>
                <w:rFonts w:cs="Arial"/>
                <w:b/>
                <w:bCs/>
              </w:rPr>
              <w:t>195</w:t>
            </w:r>
          </w:p>
        </w:tc>
      </w:tr>
    </w:tbl>
    <w:p w14:paraId="2A3C53A5" w14:textId="77777777" w:rsidR="00166845" w:rsidRPr="0053555E" w:rsidRDefault="00166845" w:rsidP="00166845">
      <w:pPr>
        <w:jc w:val="both"/>
        <w:rPr>
          <w:shd w:val="clear" w:color="auto" w:fill="FFFFFF"/>
        </w:rPr>
      </w:pPr>
    </w:p>
    <w:p w14:paraId="7BFA5F77" w14:textId="77777777" w:rsidR="000E3322" w:rsidRDefault="000E3322" w:rsidP="000E3322">
      <w:pPr>
        <w:rPr>
          <w:b/>
          <w:sz w:val="28"/>
          <w:szCs w:val="28"/>
        </w:rPr>
      </w:pPr>
      <w:bookmarkStart w:id="213" w:name="_Toc127593238"/>
    </w:p>
    <w:p w14:paraId="26BB30B5" w14:textId="601E0D8A" w:rsidR="00166845" w:rsidRPr="000E3322" w:rsidRDefault="000E3322" w:rsidP="000E3322">
      <w:pPr>
        <w:rPr>
          <w:b/>
          <w:sz w:val="28"/>
          <w:szCs w:val="28"/>
        </w:rPr>
      </w:pPr>
      <w:r w:rsidRPr="000E3322">
        <w:rPr>
          <w:b/>
          <w:sz w:val="28"/>
          <w:szCs w:val="28"/>
        </w:rPr>
        <w:t xml:space="preserve">8.1.1. </w:t>
      </w:r>
      <w:r w:rsidR="00166845" w:rsidRPr="000E3322">
        <w:rPr>
          <w:b/>
          <w:sz w:val="28"/>
          <w:szCs w:val="28"/>
        </w:rPr>
        <w:t>Tehotenské štipendiá</w:t>
      </w:r>
      <w:bookmarkEnd w:id="213"/>
    </w:p>
    <w:p w14:paraId="253AC854" w14:textId="77777777" w:rsidR="000E3322" w:rsidRPr="000E3322" w:rsidRDefault="000E3322" w:rsidP="000E3322"/>
    <w:p w14:paraId="605E74D4" w14:textId="695F3274" w:rsidR="00A1193C" w:rsidRDefault="00153B44" w:rsidP="00A1193C">
      <w:pPr>
        <w:spacing w:after="120"/>
        <w:jc w:val="both"/>
        <w:rPr>
          <w:rFonts w:asciiTheme="majorHAnsi" w:hAnsiTheme="majorHAnsi" w:cstheme="majorHAnsi"/>
        </w:rPr>
      </w:pPr>
      <w:r w:rsidRPr="0053555E">
        <w:rPr>
          <w:rFonts w:asciiTheme="majorHAnsi" w:hAnsiTheme="majorHAnsi" w:cstheme="majorHAnsi"/>
        </w:rPr>
        <w:t xml:space="preserve">V akademickom roku </w:t>
      </w:r>
      <w:r w:rsidR="00EA24BA" w:rsidRPr="0053555E">
        <w:rPr>
          <w:rFonts w:asciiTheme="majorHAnsi" w:hAnsiTheme="majorHAnsi" w:cstheme="majorHAnsi"/>
        </w:rPr>
        <w:t>2021/2022</w:t>
      </w:r>
      <w:r w:rsidRPr="0053555E">
        <w:rPr>
          <w:rFonts w:asciiTheme="majorHAnsi" w:hAnsiTheme="majorHAnsi" w:cstheme="majorHAnsi"/>
        </w:rPr>
        <w:t xml:space="preserve"> boli </w:t>
      </w:r>
      <w:r w:rsidR="008E78FD">
        <w:rPr>
          <w:rFonts w:asciiTheme="majorHAnsi" w:hAnsiTheme="majorHAnsi" w:cstheme="majorHAnsi"/>
          <w:b/>
        </w:rPr>
        <w:t>30</w:t>
      </w:r>
      <w:r w:rsidR="00E34E01" w:rsidRPr="0053555E">
        <w:rPr>
          <w:rFonts w:asciiTheme="majorHAnsi" w:hAnsiTheme="majorHAnsi" w:cstheme="majorHAnsi"/>
          <w:b/>
        </w:rPr>
        <w:t xml:space="preserve"> </w:t>
      </w:r>
      <w:r w:rsidR="00F52B3D" w:rsidRPr="0053555E">
        <w:rPr>
          <w:rFonts w:asciiTheme="majorHAnsi" w:hAnsiTheme="majorHAnsi" w:cstheme="majorHAnsi"/>
          <w:b/>
        </w:rPr>
        <w:t xml:space="preserve">tehotným </w:t>
      </w:r>
      <w:r w:rsidRPr="0053555E">
        <w:rPr>
          <w:rFonts w:asciiTheme="majorHAnsi" w:hAnsiTheme="majorHAnsi" w:cstheme="majorHAnsi"/>
          <w:b/>
        </w:rPr>
        <w:t>študent</w:t>
      </w:r>
      <w:r w:rsidR="00F52B3D" w:rsidRPr="0053555E">
        <w:rPr>
          <w:rFonts w:asciiTheme="majorHAnsi" w:hAnsiTheme="majorHAnsi" w:cstheme="majorHAnsi"/>
          <w:b/>
        </w:rPr>
        <w:t>kám</w:t>
      </w:r>
      <w:r w:rsidRPr="0053555E">
        <w:rPr>
          <w:rFonts w:asciiTheme="majorHAnsi" w:hAnsiTheme="majorHAnsi" w:cstheme="majorHAnsi"/>
          <w:b/>
        </w:rPr>
        <w:t xml:space="preserve"> STU</w:t>
      </w:r>
      <w:r w:rsidRPr="0053555E">
        <w:rPr>
          <w:rFonts w:asciiTheme="majorHAnsi" w:hAnsiTheme="majorHAnsi" w:cstheme="majorHAnsi"/>
        </w:rPr>
        <w:t xml:space="preserve"> poskytnuté </w:t>
      </w:r>
      <w:r w:rsidR="00F52B3D" w:rsidRPr="0053555E">
        <w:rPr>
          <w:rFonts w:asciiTheme="majorHAnsi" w:hAnsiTheme="majorHAnsi" w:cstheme="majorHAnsi"/>
        </w:rPr>
        <w:t>tehotenské</w:t>
      </w:r>
      <w:r w:rsidRPr="0053555E">
        <w:rPr>
          <w:rFonts w:asciiTheme="majorHAnsi" w:hAnsiTheme="majorHAnsi" w:cstheme="majorHAnsi"/>
        </w:rPr>
        <w:t xml:space="preserve"> štipendiá v celkovej výške </w:t>
      </w:r>
      <w:r w:rsidR="008E78FD">
        <w:rPr>
          <w:rFonts w:asciiTheme="majorHAnsi" w:hAnsiTheme="majorHAnsi" w:cstheme="majorHAnsi"/>
          <w:b/>
        </w:rPr>
        <w:t>26</w:t>
      </w:r>
      <w:r w:rsidR="00F52B3D" w:rsidRPr="0053555E">
        <w:rPr>
          <w:rFonts w:asciiTheme="majorHAnsi" w:hAnsiTheme="majorHAnsi" w:cstheme="majorHAnsi"/>
          <w:b/>
        </w:rPr>
        <w:t xml:space="preserve"> </w:t>
      </w:r>
      <w:r w:rsidR="008E78FD">
        <w:rPr>
          <w:rFonts w:asciiTheme="majorHAnsi" w:hAnsiTheme="majorHAnsi" w:cstheme="majorHAnsi"/>
          <w:b/>
        </w:rPr>
        <w:t>6</w:t>
      </w:r>
      <w:r w:rsidR="00F52B3D" w:rsidRPr="0053555E">
        <w:rPr>
          <w:rFonts w:asciiTheme="majorHAnsi" w:hAnsiTheme="majorHAnsi" w:cstheme="majorHAnsi"/>
          <w:b/>
        </w:rPr>
        <w:t>00</w:t>
      </w:r>
      <w:r w:rsidRPr="0053555E">
        <w:rPr>
          <w:rFonts w:asciiTheme="majorHAnsi" w:hAnsiTheme="majorHAnsi" w:cstheme="majorHAnsi"/>
          <w:b/>
        </w:rPr>
        <w:t xml:space="preserve"> €</w:t>
      </w:r>
      <w:r w:rsidR="008E78FD">
        <w:rPr>
          <w:rFonts w:asciiTheme="majorHAnsi" w:hAnsiTheme="majorHAnsi" w:cstheme="majorHAnsi"/>
          <w:b/>
        </w:rPr>
        <w:t>,</w:t>
      </w:r>
      <w:r w:rsidR="008E78FD" w:rsidRPr="008E78FD">
        <w:t xml:space="preserve"> </w:t>
      </w:r>
      <w:r w:rsidR="008E78FD" w:rsidRPr="008E78FD">
        <w:rPr>
          <w:rFonts w:asciiTheme="majorHAnsi" w:hAnsiTheme="majorHAnsi" w:cstheme="majorHAnsi"/>
        </w:rPr>
        <w:t xml:space="preserve">čo predstavuje </w:t>
      </w:r>
      <w:r w:rsidR="00331A87" w:rsidRPr="00DD5699">
        <w:rPr>
          <w:rFonts w:asciiTheme="majorHAnsi" w:hAnsiTheme="majorHAnsi" w:cstheme="majorHAnsi"/>
          <w:b/>
        </w:rPr>
        <w:t>nárast</w:t>
      </w:r>
      <w:r w:rsidR="008E78FD" w:rsidRPr="00DD5699">
        <w:rPr>
          <w:rFonts w:asciiTheme="majorHAnsi" w:hAnsiTheme="majorHAnsi" w:cstheme="majorHAnsi"/>
          <w:b/>
        </w:rPr>
        <w:t xml:space="preserve"> </w:t>
      </w:r>
      <w:r w:rsidR="00DD5699" w:rsidRPr="00DD5699">
        <w:rPr>
          <w:rFonts w:asciiTheme="majorHAnsi" w:hAnsiTheme="majorHAnsi" w:cstheme="majorHAnsi"/>
          <w:b/>
        </w:rPr>
        <w:t>o 16 800 €</w:t>
      </w:r>
      <w:r w:rsidR="00DD5699">
        <w:rPr>
          <w:rFonts w:asciiTheme="majorHAnsi" w:hAnsiTheme="majorHAnsi" w:cstheme="majorHAnsi"/>
        </w:rPr>
        <w:t xml:space="preserve"> </w:t>
      </w:r>
      <w:r w:rsidR="008E78FD" w:rsidRPr="008E78FD">
        <w:rPr>
          <w:rFonts w:asciiTheme="majorHAnsi" w:hAnsiTheme="majorHAnsi" w:cstheme="majorHAnsi"/>
        </w:rPr>
        <w:t>oproti akademickému roku 2020/2021.</w:t>
      </w:r>
      <w:r w:rsidR="008051C2" w:rsidRPr="008E78FD">
        <w:rPr>
          <w:rFonts w:asciiTheme="majorHAnsi" w:hAnsiTheme="majorHAnsi" w:cstheme="majorHAnsi"/>
        </w:rPr>
        <w:t xml:space="preserve"> </w:t>
      </w:r>
      <w:r w:rsidR="009C5D17" w:rsidRPr="008E78FD">
        <w:rPr>
          <w:rFonts w:asciiTheme="majorHAnsi" w:hAnsiTheme="majorHAnsi" w:cstheme="majorHAnsi"/>
        </w:rPr>
        <w:t>Prehľa</w:t>
      </w:r>
      <w:r w:rsidR="009C5D17" w:rsidRPr="0053555E">
        <w:rPr>
          <w:rFonts w:asciiTheme="majorHAnsi" w:hAnsiTheme="majorHAnsi" w:cstheme="majorHAnsi"/>
        </w:rPr>
        <w:t xml:space="preserve">d </w:t>
      </w:r>
      <w:r w:rsidR="00AA4ED8">
        <w:rPr>
          <w:rFonts w:asciiTheme="majorHAnsi" w:hAnsiTheme="majorHAnsi" w:cstheme="majorHAnsi"/>
        </w:rPr>
        <w:t>poskytnutých</w:t>
      </w:r>
      <w:r w:rsidR="009C5D17" w:rsidRPr="0053555E">
        <w:rPr>
          <w:rFonts w:asciiTheme="majorHAnsi" w:hAnsiTheme="majorHAnsi" w:cstheme="majorHAnsi"/>
        </w:rPr>
        <w:t xml:space="preserve"> </w:t>
      </w:r>
      <w:r w:rsidR="00F52B3D" w:rsidRPr="0053555E">
        <w:rPr>
          <w:rFonts w:asciiTheme="majorHAnsi" w:hAnsiTheme="majorHAnsi" w:cstheme="majorHAnsi"/>
        </w:rPr>
        <w:t>tehotenských</w:t>
      </w:r>
      <w:r w:rsidR="009C5D17" w:rsidRPr="0053555E">
        <w:rPr>
          <w:rFonts w:asciiTheme="majorHAnsi" w:hAnsiTheme="majorHAnsi" w:cstheme="majorHAnsi"/>
        </w:rPr>
        <w:t xml:space="preserve"> štipendií </w:t>
      </w:r>
      <w:r w:rsidR="00B46110">
        <w:rPr>
          <w:rFonts w:asciiTheme="majorHAnsi" w:hAnsiTheme="majorHAnsi" w:cstheme="majorHAnsi"/>
        </w:rPr>
        <w:t xml:space="preserve">na STU </w:t>
      </w:r>
      <w:r w:rsidR="009C5D17" w:rsidRPr="0053555E">
        <w:rPr>
          <w:rFonts w:asciiTheme="majorHAnsi" w:hAnsiTheme="majorHAnsi" w:cstheme="majorHAnsi"/>
        </w:rPr>
        <w:t>je uvedený v</w:t>
      </w:r>
      <w:r w:rsidR="009C5D17" w:rsidRPr="0053555E">
        <w:rPr>
          <w:rFonts w:asciiTheme="majorHAnsi" w:hAnsiTheme="majorHAnsi" w:cstheme="majorHAnsi"/>
          <w:sz w:val="20"/>
          <w:szCs w:val="20"/>
        </w:rPr>
        <w:t> </w:t>
      </w:r>
      <w:r w:rsidR="008051C2" w:rsidRPr="00166994">
        <w:rPr>
          <w:rFonts w:asciiTheme="majorHAnsi" w:hAnsiTheme="majorHAnsi" w:cstheme="majorHAnsi"/>
        </w:rPr>
        <w:fldChar w:fldCharType="begin"/>
      </w:r>
      <w:r w:rsidR="008051C2" w:rsidRPr="00166994">
        <w:rPr>
          <w:rFonts w:asciiTheme="majorHAnsi" w:hAnsiTheme="majorHAnsi" w:cstheme="majorHAnsi"/>
        </w:rPr>
        <w:instrText xml:space="preserve"> REF _Ref95391455 \h  \* MERGEFORMAT </w:instrText>
      </w:r>
      <w:r w:rsidR="008051C2" w:rsidRPr="00166994">
        <w:rPr>
          <w:rFonts w:asciiTheme="majorHAnsi" w:hAnsiTheme="majorHAnsi" w:cstheme="majorHAnsi"/>
        </w:rPr>
      </w:r>
      <w:r w:rsidR="008051C2" w:rsidRPr="00166994">
        <w:rPr>
          <w:rFonts w:asciiTheme="majorHAnsi" w:hAnsiTheme="majorHAnsi" w:cstheme="majorHAnsi"/>
        </w:rPr>
        <w:fldChar w:fldCharType="separate"/>
      </w:r>
      <w:r w:rsidR="00166994">
        <w:rPr>
          <w:rFonts w:asciiTheme="majorHAnsi" w:hAnsiTheme="majorHAnsi" w:cstheme="majorHAnsi"/>
        </w:rPr>
        <w:t>Tab. č. 5</w:t>
      </w:r>
      <w:r w:rsidR="00EE1B59" w:rsidRPr="00166994">
        <w:rPr>
          <w:rFonts w:asciiTheme="majorHAnsi" w:hAnsiTheme="majorHAnsi" w:cstheme="majorHAnsi"/>
        </w:rPr>
        <w:t>2</w:t>
      </w:r>
      <w:r w:rsidR="008051C2" w:rsidRPr="00166994">
        <w:rPr>
          <w:rFonts w:asciiTheme="majorHAnsi" w:hAnsiTheme="majorHAnsi" w:cstheme="majorHAnsi"/>
        </w:rPr>
        <w:fldChar w:fldCharType="end"/>
      </w:r>
      <w:r w:rsidR="009C5D17" w:rsidRPr="00166994">
        <w:rPr>
          <w:rFonts w:asciiTheme="majorHAnsi" w:hAnsiTheme="majorHAnsi" w:cstheme="majorHAnsi"/>
        </w:rPr>
        <w:t>.</w:t>
      </w:r>
    </w:p>
    <w:p w14:paraId="4C7B311D" w14:textId="2C40F567" w:rsidR="009703FB" w:rsidRPr="0053555E" w:rsidRDefault="009703FB" w:rsidP="000E3322">
      <w:pPr>
        <w:pStyle w:val="Popis"/>
      </w:pPr>
      <w:bookmarkStart w:id="214" w:name="_Ref95391455"/>
      <w:bookmarkStart w:id="215" w:name="_Ref95391424"/>
      <w:bookmarkStart w:id="216" w:name="_Toc127593305"/>
      <w:r w:rsidRPr="0053555E">
        <w:lastRenderedPageBreak/>
        <w:t xml:space="preserve">Tab. č. </w:t>
      </w:r>
      <w:r w:rsidR="007B5953">
        <w:fldChar w:fldCharType="begin"/>
      </w:r>
      <w:r w:rsidR="007B5953">
        <w:instrText xml:space="preserve"> SEQ Tab._č. \* ARABIC </w:instrText>
      </w:r>
      <w:r w:rsidR="007B5953">
        <w:fldChar w:fldCharType="separate"/>
      </w:r>
      <w:r w:rsidR="00166994">
        <w:rPr>
          <w:noProof/>
        </w:rPr>
        <w:t>5</w:t>
      </w:r>
      <w:r w:rsidR="00EE1B59">
        <w:rPr>
          <w:noProof/>
        </w:rPr>
        <w:t>2</w:t>
      </w:r>
      <w:r w:rsidR="007B5953">
        <w:rPr>
          <w:noProof/>
        </w:rPr>
        <w:fldChar w:fldCharType="end"/>
      </w:r>
      <w:bookmarkEnd w:id="214"/>
      <w:r w:rsidRPr="0053555E">
        <w:t xml:space="preserve">: </w:t>
      </w:r>
      <w:r w:rsidR="002A259D" w:rsidRPr="0053555E">
        <w:t xml:space="preserve">Tehotenské štipendiá poskytnuté študentkám v akademickom roku </w:t>
      </w:r>
      <w:r w:rsidR="00EA24BA" w:rsidRPr="0053555E">
        <w:t>2021/2022</w:t>
      </w:r>
      <w:bookmarkEnd w:id="215"/>
      <w:bookmarkEnd w:id="216"/>
    </w:p>
    <w:tbl>
      <w:tblPr>
        <w:tblW w:w="7655" w:type="dxa"/>
        <w:tblInd w:w="-5" w:type="dxa"/>
        <w:tblCellMar>
          <w:left w:w="0" w:type="dxa"/>
          <w:right w:w="0" w:type="dxa"/>
        </w:tblCellMar>
        <w:tblLook w:val="04A0" w:firstRow="1" w:lastRow="0" w:firstColumn="1" w:lastColumn="0" w:noHBand="0" w:noVBand="1"/>
      </w:tblPr>
      <w:tblGrid>
        <w:gridCol w:w="1134"/>
        <w:gridCol w:w="4536"/>
        <w:gridCol w:w="1985"/>
      </w:tblGrid>
      <w:tr w:rsidR="009703FB" w:rsidRPr="001859C2" w14:paraId="5D9DAF89" w14:textId="77777777" w:rsidTr="003F75F8">
        <w:trPr>
          <w:divId w:val="1389187796"/>
          <w:trHeight w:val="340"/>
        </w:trPr>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17F629" w14:textId="041F6E70" w:rsidR="009703FB" w:rsidRPr="001859C2" w:rsidRDefault="00E00D19" w:rsidP="009703FB">
            <w:pPr>
              <w:rPr>
                <w:rFonts w:eastAsia="Times New Roman" w:cs="Calibri"/>
                <w:b/>
                <w:bCs/>
                <w:sz w:val="22"/>
                <w:szCs w:val="22"/>
                <w:lang w:eastAsia="sk-SK"/>
              </w:rPr>
            </w:pPr>
            <w:r w:rsidRPr="001859C2">
              <w:rPr>
                <w:rFonts w:eastAsia="Times New Roman" w:cs="Calibri"/>
                <w:b/>
                <w:bCs/>
                <w:sz w:val="22"/>
                <w:szCs w:val="22"/>
                <w:lang w:eastAsia="sk-SK"/>
              </w:rPr>
              <w:t>Súčasť STU</w:t>
            </w:r>
            <w:r w:rsidR="009703FB" w:rsidRPr="001859C2">
              <w:rPr>
                <w:rFonts w:eastAsia="Times New Roman" w:cs="Calibri"/>
                <w:b/>
                <w:bCs/>
                <w:sz w:val="22"/>
                <w:szCs w:val="22"/>
                <w:lang w:eastAsia="sk-SK"/>
              </w:rPr>
              <w:t xml:space="preserve"> </w:t>
            </w:r>
          </w:p>
        </w:tc>
        <w:tc>
          <w:tcPr>
            <w:tcW w:w="453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4B4775" w14:textId="77777777" w:rsidR="009703FB" w:rsidRPr="001859C2" w:rsidRDefault="009703FB" w:rsidP="009703FB">
            <w:pPr>
              <w:jc w:val="center"/>
              <w:rPr>
                <w:rFonts w:eastAsia="Times New Roman" w:cs="Calibri"/>
                <w:b/>
                <w:bCs/>
                <w:sz w:val="22"/>
                <w:szCs w:val="22"/>
                <w:lang w:eastAsia="sk-SK"/>
              </w:rPr>
            </w:pPr>
            <w:r w:rsidRPr="001859C2">
              <w:rPr>
                <w:rFonts w:eastAsia="Times New Roman" w:cs="Calibri"/>
                <w:b/>
                <w:bCs/>
                <w:sz w:val="22"/>
                <w:szCs w:val="22"/>
                <w:lang w:eastAsia="sk-SK"/>
              </w:rPr>
              <w:t>Celková suma poskytnutých štipendií v €</w:t>
            </w:r>
          </w:p>
        </w:tc>
        <w:tc>
          <w:tcPr>
            <w:tcW w:w="198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010EB2" w14:textId="77777777" w:rsidR="009703FB" w:rsidRPr="001859C2" w:rsidRDefault="009703FB" w:rsidP="009703FB">
            <w:pPr>
              <w:jc w:val="center"/>
              <w:rPr>
                <w:rFonts w:eastAsia="Times New Roman" w:cs="Calibri"/>
                <w:b/>
                <w:bCs/>
                <w:sz w:val="22"/>
                <w:szCs w:val="22"/>
                <w:lang w:eastAsia="sk-SK"/>
              </w:rPr>
            </w:pPr>
            <w:r w:rsidRPr="001859C2">
              <w:rPr>
                <w:rFonts w:eastAsia="Times New Roman" w:cs="Calibri"/>
                <w:b/>
                <w:bCs/>
                <w:sz w:val="22"/>
                <w:szCs w:val="22"/>
                <w:lang w:eastAsia="sk-SK"/>
              </w:rPr>
              <w:t>Počet študentiek</w:t>
            </w:r>
          </w:p>
        </w:tc>
      </w:tr>
      <w:tr w:rsidR="006314C8" w:rsidRPr="001859C2" w14:paraId="742EAABC" w14:textId="77777777" w:rsidTr="003F75F8">
        <w:trPr>
          <w:divId w:val="1389187796"/>
          <w:trHeight w:val="255"/>
        </w:trPr>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3F1B1" w14:textId="77777777" w:rsidR="006314C8" w:rsidRPr="001859C2" w:rsidRDefault="006314C8" w:rsidP="006314C8">
            <w:pPr>
              <w:rPr>
                <w:rFonts w:eastAsia="Times New Roman" w:cs="Calibri"/>
                <w:b/>
                <w:bCs/>
                <w:sz w:val="22"/>
                <w:szCs w:val="22"/>
                <w:lang w:eastAsia="sk-SK"/>
              </w:rPr>
            </w:pPr>
            <w:r w:rsidRPr="001859C2">
              <w:rPr>
                <w:rFonts w:eastAsia="Times New Roman" w:cs="Calibri"/>
                <w:b/>
                <w:bCs/>
                <w:sz w:val="22"/>
                <w:szCs w:val="22"/>
                <w:lang w:eastAsia="sk-SK"/>
              </w:rPr>
              <w:t>SvF</w:t>
            </w:r>
          </w:p>
        </w:tc>
        <w:tc>
          <w:tcPr>
            <w:tcW w:w="453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BBB63" w14:textId="0D4E0FEF" w:rsidR="006314C8" w:rsidRPr="001859C2" w:rsidRDefault="006314C8" w:rsidP="006314C8">
            <w:pPr>
              <w:jc w:val="center"/>
              <w:rPr>
                <w:rFonts w:eastAsia="Times New Roman" w:cs="Calibri"/>
                <w:sz w:val="22"/>
                <w:szCs w:val="22"/>
                <w:lang w:eastAsia="sk-SK"/>
              </w:rPr>
            </w:pPr>
            <w:r w:rsidRPr="001859C2">
              <w:rPr>
                <w:rFonts w:cs="Arial"/>
                <w:sz w:val="22"/>
                <w:szCs w:val="22"/>
              </w:rPr>
              <w:t>3 600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0A5A0" w14:textId="73B5B641" w:rsidR="006314C8" w:rsidRPr="001859C2" w:rsidRDefault="006314C8" w:rsidP="006314C8">
            <w:pPr>
              <w:jc w:val="center"/>
              <w:rPr>
                <w:rFonts w:eastAsia="Times New Roman" w:cs="Calibri"/>
                <w:sz w:val="22"/>
                <w:szCs w:val="22"/>
                <w:lang w:eastAsia="sk-SK"/>
              </w:rPr>
            </w:pPr>
            <w:r w:rsidRPr="001859C2">
              <w:rPr>
                <w:rFonts w:cs="Arial"/>
                <w:sz w:val="22"/>
                <w:szCs w:val="22"/>
              </w:rPr>
              <w:t>5</w:t>
            </w:r>
          </w:p>
        </w:tc>
      </w:tr>
      <w:tr w:rsidR="006314C8" w:rsidRPr="001859C2" w14:paraId="7E3C0A33" w14:textId="77777777" w:rsidTr="003F75F8">
        <w:trPr>
          <w:divId w:val="1389187796"/>
          <w:trHeight w:val="255"/>
        </w:trPr>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8F6AB" w14:textId="77777777" w:rsidR="006314C8" w:rsidRPr="001859C2" w:rsidRDefault="006314C8" w:rsidP="006314C8">
            <w:pPr>
              <w:rPr>
                <w:rFonts w:eastAsia="Times New Roman" w:cs="Calibri"/>
                <w:b/>
                <w:bCs/>
                <w:sz w:val="22"/>
                <w:szCs w:val="22"/>
                <w:lang w:eastAsia="sk-SK"/>
              </w:rPr>
            </w:pPr>
            <w:r w:rsidRPr="001859C2">
              <w:rPr>
                <w:rFonts w:eastAsia="Times New Roman" w:cs="Calibri"/>
                <w:b/>
                <w:bCs/>
                <w:sz w:val="22"/>
                <w:szCs w:val="22"/>
                <w:lang w:eastAsia="sk-SK"/>
              </w:rPr>
              <w:t>SjF</w:t>
            </w:r>
          </w:p>
        </w:tc>
        <w:tc>
          <w:tcPr>
            <w:tcW w:w="453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BC814" w14:textId="1B9B28B7" w:rsidR="006314C8" w:rsidRPr="001859C2" w:rsidRDefault="006314C8" w:rsidP="006314C8">
            <w:pPr>
              <w:jc w:val="center"/>
              <w:rPr>
                <w:rFonts w:eastAsia="Times New Roman" w:cs="Calibri"/>
                <w:sz w:val="22"/>
                <w:szCs w:val="22"/>
                <w:lang w:eastAsia="sk-SK"/>
              </w:rPr>
            </w:pPr>
            <w:r w:rsidRPr="001859C2">
              <w:rPr>
                <w:rFonts w:cs="Arial"/>
                <w:sz w:val="22"/>
                <w:szCs w:val="22"/>
              </w:rPr>
              <w:t>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76576" w14:textId="00C73C03" w:rsidR="006314C8" w:rsidRPr="001859C2" w:rsidRDefault="006314C8" w:rsidP="006314C8">
            <w:pPr>
              <w:jc w:val="center"/>
              <w:rPr>
                <w:rFonts w:eastAsia="Times New Roman" w:cs="Calibri"/>
                <w:sz w:val="22"/>
                <w:szCs w:val="22"/>
                <w:lang w:eastAsia="sk-SK"/>
              </w:rPr>
            </w:pPr>
            <w:r w:rsidRPr="001859C2">
              <w:rPr>
                <w:rFonts w:cs="Arial"/>
                <w:sz w:val="22"/>
                <w:szCs w:val="22"/>
              </w:rPr>
              <w:t>0</w:t>
            </w:r>
          </w:p>
        </w:tc>
      </w:tr>
      <w:tr w:rsidR="006314C8" w:rsidRPr="001859C2" w14:paraId="0981DE87" w14:textId="77777777" w:rsidTr="003F75F8">
        <w:trPr>
          <w:divId w:val="1389187796"/>
          <w:trHeight w:val="255"/>
        </w:trPr>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0386B" w14:textId="77777777" w:rsidR="006314C8" w:rsidRPr="001859C2" w:rsidRDefault="006314C8" w:rsidP="006314C8">
            <w:pPr>
              <w:rPr>
                <w:rFonts w:eastAsia="Times New Roman" w:cs="Calibri"/>
                <w:b/>
                <w:bCs/>
                <w:sz w:val="22"/>
                <w:szCs w:val="22"/>
                <w:lang w:eastAsia="sk-SK"/>
              </w:rPr>
            </w:pPr>
            <w:r w:rsidRPr="001859C2">
              <w:rPr>
                <w:rFonts w:eastAsia="Times New Roman" w:cs="Calibri"/>
                <w:b/>
                <w:bCs/>
                <w:sz w:val="22"/>
                <w:szCs w:val="22"/>
                <w:lang w:eastAsia="sk-SK"/>
              </w:rPr>
              <w:t>FEI</w:t>
            </w:r>
          </w:p>
        </w:tc>
        <w:tc>
          <w:tcPr>
            <w:tcW w:w="453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13E4E" w14:textId="5C2D407E" w:rsidR="006314C8" w:rsidRPr="001859C2" w:rsidRDefault="006314C8" w:rsidP="006314C8">
            <w:pPr>
              <w:jc w:val="center"/>
              <w:rPr>
                <w:rFonts w:eastAsia="Times New Roman" w:cs="Calibri"/>
                <w:sz w:val="22"/>
                <w:szCs w:val="22"/>
                <w:lang w:eastAsia="sk-SK"/>
              </w:rPr>
            </w:pPr>
            <w:r w:rsidRPr="001859C2">
              <w:rPr>
                <w:rFonts w:cs="Arial"/>
                <w:sz w:val="22"/>
                <w:szCs w:val="22"/>
              </w:rPr>
              <w:t>2 400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02395" w14:textId="33FDBEA8" w:rsidR="006314C8" w:rsidRPr="001859C2" w:rsidRDefault="006314C8" w:rsidP="006314C8">
            <w:pPr>
              <w:jc w:val="center"/>
              <w:rPr>
                <w:rFonts w:eastAsia="Times New Roman" w:cs="Calibri"/>
                <w:sz w:val="22"/>
                <w:szCs w:val="22"/>
                <w:lang w:eastAsia="sk-SK"/>
              </w:rPr>
            </w:pPr>
            <w:r w:rsidRPr="001859C2">
              <w:rPr>
                <w:rFonts w:cs="Arial"/>
                <w:sz w:val="22"/>
                <w:szCs w:val="22"/>
              </w:rPr>
              <w:t>3</w:t>
            </w:r>
          </w:p>
        </w:tc>
      </w:tr>
      <w:tr w:rsidR="006314C8" w:rsidRPr="001859C2" w14:paraId="4777AB6F" w14:textId="77777777" w:rsidTr="003F75F8">
        <w:trPr>
          <w:divId w:val="1389187796"/>
          <w:trHeight w:val="255"/>
        </w:trPr>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29AE3" w14:textId="77777777" w:rsidR="006314C8" w:rsidRPr="001859C2" w:rsidRDefault="006314C8" w:rsidP="006314C8">
            <w:pPr>
              <w:rPr>
                <w:rFonts w:eastAsia="Times New Roman" w:cs="Calibri"/>
                <w:b/>
                <w:bCs/>
                <w:sz w:val="22"/>
                <w:szCs w:val="22"/>
                <w:lang w:eastAsia="sk-SK"/>
              </w:rPr>
            </w:pPr>
            <w:r w:rsidRPr="001859C2">
              <w:rPr>
                <w:rFonts w:eastAsia="Times New Roman" w:cs="Calibri"/>
                <w:b/>
                <w:bCs/>
                <w:sz w:val="22"/>
                <w:szCs w:val="22"/>
                <w:lang w:eastAsia="sk-SK"/>
              </w:rPr>
              <w:t>FCHPT</w:t>
            </w:r>
          </w:p>
        </w:tc>
        <w:tc>
          <w:tcPr>
            <w:tcW w:w="453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CD8FF" w14:textId="0354BBDD" w:rsidR="006314C8" w:rsidRPr="001859C2" w:rsidRDefault="006314C8" w:rsidP="006314C8">
            <w:pPr>
              <w:jc w:val="center"/>
              <w:rPr>
                <w:rFonts w:eastAsia="Times New Roman" w:cs="Calibri"/>
                <w:sz w:val="22"/>
                <w:szCs w:val="22"/>
                <w:lang w:eastAsia="sk-SK"/>
              </w:rPr>
            </w:pPr>
            <w:r w:rsidRPr="001859C2">
              <w:rPr>
                <w:rFonts w:cs="Arial"/>
                <w:sz w:val="22"/>
                <w:szCs w:val="22"/>
              </w:rPr>
              <w:t>11 200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D8302" w14:textId="799B7CCD" w:rsidR="006314C8" w:rsidRPr="001859C2" w:rsidRDefault="006314C8" w:rsidP="006314C8">
            <w:pPr>
              <w:jc w:val="center"/>
              <w:rPr>
                <w:rFonts w:eastAsia="Times New Roman" w:cs="Calibri"/>
                <w:sz w:val="22"/>
                <w:szCs w:val="22"/>
                <w:lang w:eastAsia="sk-SK"/>
              </w:rPr>
            </w:pPr>
            <w:r w:rsidRPr="001859C2">
              <w:rPr>
                <w:rFonts w:cs="Arial"/>
                <w:sz w:val="22"/>
                <w:szCs w:val="22"/>
              </w:rPr>
              <w:t>11</w:t>
            </w:r>
          </w:p>
        </w:tc>
      </w:tr>
      <w:tr w:rsidR="006314C8" w:rsidRPr="001859C2" w14:paraId="74EFD1C7" w14:textId="77777777" w:rsidTr="003F75F8">
        <w:trPr>
          <w:divId w:val="1389187796"/>
          <w:trHeight w:val="255"/>
        </w:trPr>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894A5" w14:textId="77777777" w:rsidR="006314C8" w:rsidRPr="001859C2" w:rsidRDefault="006314C8" w:rsidP="006314C8">
            <w:pPr>
              <w:rPr>
                <w:rFonts w:eastAsia="Times New Roman" w:cs="Calibri"/>
                <w:b/>
                <w:bCs/>
                <w:sz w:val="22"/>
                <w:szCs w:val="22"/>
                <w:lang w:eastAsia="sk-SK"/>
              </w:rPr>
            </w:pPr>
            <w:r w:rsidRPr="001859C2">
              <w:rPr>
                <w:rFonts w:eastAsia="Times New Roman" w:cs="Calibri"/>
                <w:b/>
                <w:bCs/>
                <w:sz w:val="22"/>
                <w:szCs w:val="22"/>
                <w:lang w:eastAsia="sk-SK"/>
              </w:rPr>
              <w:t>FAD</w:t>
            </w:r>
          </w:p>
        </w:tc>
        <w:tc>
          <w:tcPr>
            <w:tcW w:w="453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B572E" w14:textId="42210559" w:rsidR="006314C8" w:rsidRPr="001859C2" w:rsidRDefault="006314C8" w:rsidP="006314C8">
            <w:pPr>
              <w:jc w:val="center"/>
              <w:rPr>
                <w:rFonts w:eastAsia="Times New Roman" w:cs="Calibri"/>
                <w:sz w:val="22"/>
                <w:szCs w:val="22"/>
                <w:lang w:eastAsia="sk-SK"/>
              </w:rPr>
            </w:pPr>
            <w:r w:rsidRPr="001859C2">
              <w:rPr>
                <w:rFonts w:cs="Arial"/>
                <w:sz w:val="22"/>
                <w:szCs w:val="22"/>
              </w:rPr>
              <w:t>5 400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C665D" w14:textId="5FFB53A5" w:rsidR="006314C8" w:rsidRPr="001859C2" w:rsidRDefault="006314C8" w:rsidP="006314C8">
            <w:pPr>
              <w:jc w:val="center"/>
              <w:rPr>
                <w:rFonts w:eastAsia="Times New Roman" w:cs="Calibri"/>
                <w:sz w:val="22"/>
                <w:szCs w:val="22"/>
                <w:lang w:eastAsia="sk-SK"/>
              </w:rPr>
            </w:pPr>
            <w:r w:rsidRPr="001859C2">
              <w:rPr>
                <w:rFonts w:cs="Arial"/>
                <w:sz w:val="22"/>
                <w:szCs w:val="22"/>
              </w:rPr>
              <w:t>6</w:t>
            </w:r>
          </w:p>
        </w:tc>
      </w:tr>
      <w:tr w:rsidR="006314C8" w:rsidRPr="001859C2" w14:paraId="56E3198A" w14:textId="77777777" w:rsidTr="003F75F8">
        <w:trPr>
          <w:divId w:val="1389187796"/>
          <w:trHeight w:val="255"/>
        </w:trPr>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FB0E3" w14:textId="77777777" w:rsidR="006314C8" w:rsidRPr="001859C2" w:rsidRDefault="006314C8" w:rsidP="006314C8">
            <w:pPr>
              <w:rPr>
                <w:rFonts w:eastAsia="Times New Roman" w:cs="Calibri"/>
                <w:b/>
                <w:bCs/>
                <w:sz w:val="22"/>
                <w:szCs w:val="22"/>
                <w:lang w:eastAsia="sk-SK"/>
              </w:rPr>
            </w:pPr>
            <w:r w:rsidRPr="001859C2">
              <w:rPr>
                <w:rFonts w:eastAsia="Times New Roman" w:cs="Calibri"/>
                <w:b/>
                <w:bCs/>
                <w:sz w:val="22"/>
                <w:szCs w:val="22"/>
                <w:lang w:eastAsia="sk-SK"/>
              </w:rPr>
              <w:t>MTF</w:t>
            </w:r>
          </w:p>
        </w:tc>
        <w:tc>
          <w:tcPr>
            <w:tcW w:w="453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1B608" w14:textId="6260AF44" w:rsidR="006314C8" w:rsidRPr="001859C2" w:rsidRDefault="006314C8" w:rsidP="006314C8">
            <w:pPr>
              <w:jc w:val="center"/>
              <w:rPr>
                <w:rFonts w:eastAsia="Times New Roman" w:cs="Calibri"/>
                <w:sz w:val="22"/>
                <w:szCs w:val="22"/>
                <w:lang w:eastAsia="sk-SK"/>
              </w:rPr>
            </w:pPr>
            <w:r w:rsidRPr="001859C2">
              <w:rPr>
                <w:rFonts w:cs="Arial"/>
                <w:sz w:val="22"/>
                <w:szCs w:val="22"/>
              </w:rPr>
              <w:t>3 000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101E9" w14:textId="0EE4C5FD" w:rsidR="006314C8" w:rsidRPr="001859C2" w:rsidRDefault="006314C8" w:rsidP="006314C8">
            <w:pPr>
              <w:jc w:val="center"/>
              <w:rPr>
                <w:rFonts w:eastAsia="Times New Roman" w:cs="Calibri"/>
                <w:sz w:val="22"/>
                <w:szCs w:val="22"/>
                <w:lang w:eastAsia="sk-SK"/>
              </w:rPr>
            </w:pPr>
            <w:r w:rsidRPr="001859C2">
              <w:rPr>
                <w:rFonts w:cs="Arial"/>
                <w:sz w:val="22"/>
                <w:szCs w:val="22"/>
              </w:rPr>
              <w:t>4</w:t>
            </w:r>
          </w:p>
        </w:tc>
      </w:tr>
      <w:tr w:rsidR="006314C8" w:rsidRPr="001859C2" w14:paraId="41225BF8" w14:textId="77777777" w:rsidTr="003F75F8">
        <w:trPr>
          <w:divId w:val="1389187796"/>
          <w:trHeight w:val="255"/>
        </w:trPr>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7B16D" w14:textId="77777777" w:rsidR="006314C8" w:rsidRPr="001859C2" w:rsidRDefault="006314C8" w:rsidP="006314C8">
            <w:pPr>
              <w:rPr>
                <w:rFonts w:eastAsia="Times New Roman" w:cs="Calibri"/>
                <w:b/>
                <w:bCs/>
                <w:sz w:val="22"/>
                <w:szCs w:val="22"/>
                <w:lang w:eastAsia="sk-SK"/>
              </w:rPr>
            </w:pPr>
            <w:r w:rsidRPr="001859C2">
              <w:rPr>
                <w:rFonts w:eastAsia="Times New Roman" w:cs="Calibri"/>
                <w:b/>
                <w:bCs/>
                <w:sz w:val="22"/>
                <w:szCs w:val="22"/>
                <w:lang w:eastAsia="sk-SK"/>
              </w:rPr>
              <w:t>FIIT</w:t>
            </w:r>
          </w:p>
        </w:tc>
        <w:tc>
          <w:tcPr>
            <w:tcW w:w="453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E8AD2" w14:textId="13F025B7" w:rsidR="006314C8" w:rsidRPr="001859C2" w:rsidRDefault="006314C8" w:rsidP="006314C8">
            <w:pPr>
              <w:jc w:val="center"/>
              <w:rPr>
                <w:rFonts w:eastAsia="Times New Roman" w:cs="Calibri"/>
                <w:sz w:val="22"/>
                <w:szCs w:val="22"/>
                <w:lang w:eastAsia="sk-SK"/>
              </w:rPr>
            </w:pPr>
            <w:r w:rsidRPr="001859C2">
              <w:rPr>
                <w:rFonts w:cs="Arial"/>
                <w:sz w:val="22"/>
                <w:szCs w:val="22"/>
              </w:rPr>
              <w:t>1 000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08D88" w14:textId="7BE950EA" w:rsidR="006314C8" w:rsidRPr="001859C2" w:rsidRDefault="006314C8" w:rsidP="006314C8">
            <w:pPr>
              <w:jc w:val="center"/>
              <w:rPr>
                <w:rFonts w:eastAsia="Times New Roman" w:cs="Calibri"/>
                <w:sz w:val="22"/>
                <w:szCs w:val="22"/>
                <w:lang w:eastAsia="sk-SK"/>
              </w:rPr>
            </w:pPr>
            <w:r w:rsidRPr="001859C2">
              <w:rPr>
                <w:rFonts w:cs="Arial"/>
                <w:sz w:val="22"/>
                <w:szCs w:val="22"/>
              </w:rPr>
              <w:t>1</w:t>
            </w:r>
          </w:p>
        </w:tc>
      </w:tr>
      <w:tr w:rsidR="006314C8" w:rsidRPr="001859C2" w14:paraId="5609FB93" w14:textId="77777777" w:rsidTr="003F75F8">
        <w:trPr>
          <w:divId w:val="1389187796"/>
          <w:trHeight w:val="255"/>
        </w:trPr>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F1075" w14:textId="77777777" w:rsidR="006314C8" w:rsidRPr="001859C2" w:rsidRDefault="006314C8" w:rsidP="006314C8">
            <w:pPr>
              <w:rPr>
                <w:rFonts w:eastAsia="Times New Roman" w:cs="Calibri"/>
                <w:b/>
                <w:bCs/>
                <w:sz w:val="22"/>
                <w:szCs w:val="22"/>
                <w:lang w:eastAsia="sk-SK"/>
              </w:rPr>
            </w:pPr>
            <w:r w:rsidRPr="001859C2">
              <w:rPr>
                <w:rFonts w:eastAsia="Times New Roman" w:cs="Calibri"/>
                <w:b/>
                <w:bCs/>
                <w:sz w:val="22"/>
                <w:szCs w:val="22"/>
                <w:lang w:eastAsia="sk-SK"/>
              </w:rPr>
              <w:t>ÚM</w:t>
            </w:r>
          </w:p>
        </w:tc>
        <w:tc>
          <w:tcPr>
            <w:tcW w:w="453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750C3" w14:textId="55B6045E" w:rsidR="006314C8" w:rsidRPr="001859C2" w:rsidRDefault="006314C8" w:rsidP="006314C8">
            <w:pPr>
              <w:jc w:val="center"/>
              <w:rPr>
                <w:rFonts w:eastAsia="Times New Roman" w:cs="Calibri"/>
                <w:sz w:val="22"/>
                <w:szCs w:val="22"/>
                <w:lang w:eastAsia="sk-SK"/>
              </w:rPr>
            </w:pPr>
            <w:r w:rsidRPr="001859C2">
              <w:rPr>
                <w:rFonts w:cs="Arial"/>
                <w:sz w:val="22"/>
                <w:szCs w:val="22"/>
              </w:rPr>
              <w:t>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23723" w14:textId="1CD9CC82" w:rsidR="006314C8" w:rsidRPr="001859C2" w:rsidRDefault="006314C8" w:rsidP="006314C8">
            <w:pPr>
              <w:jc w:val="center"/>
              <w:rPr>
                <w:rFonts w:eastAsia="Times New Roman" w:cs="Calibri"/>
                <w:sz w:val="22"/>
                <w:szCs w:val="22"/>
                <w:lang w:eastAsia="sk-SK"/>
              </w:rPr>
            </w:pPr>
            <w:r w:rsidRPr="001859C2">
              <w:rPr>
                <w:rFonts w:cs="Arial"/>
                <w:sz w:val="22"/>
                <w:szCs w:val="22"/>
              </w:rPr>
              <w:t>0</w:t>
            </w:r>
          </w:p>
        </w:tc>
      </w:tr>
      <w:tr w:rsidR="006314C8" w:rsidRPr="001859C2" w14:paraId="2C1F318D" w14:textId="77777777" w:rsidTr="003F75F8">
        <w:trPr>
          <w:divId w:val="1389187796"/>
          <w:trHeight w:val="255"/>
        </w:trPr>
        <w:tc>
          <w:tcPr>
            <w:tcW w:w="1134" w:type="dxa"/>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580529A4" w14:textId="77777777" w:rsidR="006314C8" w:rsidRPr="001859C2" w:rsidRDefault="006314C8" w:rsidP="006314C8">
            <w:pPr>
              <w:rPr>
                <w:rFonts w:eastAsia="Times New Roman" w:cs="Calibri"/>
                <w:b/>
                <w:bCs/>
                <w:sz w:val="22"/>
                <w:szCs w:val="22"/>
                <w:lang w:eastAsia="sk-SK"/>
              </w:rPr>
            </w:pPr>
            <w:r w:rsidRPr="001859C2">
              <w:rPr>
                <w:rFonts w:eastAsia="Times New Roman" w:cs="Calibri"/>
                <w:b/>
                <w:bCs/>
                <w:sz w:val="22"/>
                <w:szCs w:val="22"/>
                <w:lang w:eastAsia="sk-SK"/>
              </w:rPr>
              <w:t>STU</w:t>
            </w:r>
          </w:p>
        </w:tc>
        <w:tc>
          <w:tcPr>
            <w:tcW w:w="4536" w:type="dxa"/>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591B605A" w14:textId="62F09112" w:rsidR="006314C8" w:rsidRPr="001859C2" w:rsidRDefault="006314C8" w:rsidP="006314C8">
            <w:pPr>
              <w:jc w:val="center"/>
              <w:rPr>
                <w:rFonts w:eastAsia="Times New Roman" w:cs="Calibri"/>
                <w:b/>
                <w:bCs/>
                <w:sz w:val="22"/>
                <w:szCs w:val="22"/>
                <w:lang w:eastAsia="sk-SK"/>
              </w:rPr>
            </w:pPr>
            <w:r w:rsidRPr="001859C2">
              <w:rPr>
                <w:rFonts w:cs="Arial"/>
                <w:b/>
                <w:bCs/>
                <w:sz w:val="22"/>
                <w:szCs w:val="22"/>
              </w:rPr>
              <w:t>26 600</w:t>
            </w:r>
          </w:p>
        </w:tc>
        <w:tc>
          <w:tcPr>
            <w:tcW w:w="1985" w:type="dxa"/>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0A4C4C7E" w14:textId="394C9AD5" w:rsidR="006314C8" w:rsidRPr="001859C2" w:rsidRDefault="006314C8" w:rsidP="006314C8">
            <w:pPr>
              <w:jc w:val="center"/>
              <w:rPr>
                <w:rFonts w:eastAsia="Times New Roman" w:cs="Calibri"/>
                <w:b/>
                <w:bCs/>
                <w:sz w:val="22"/>
                <w:szCs w:val="22"/>
                <w:lang w:eastAsia="sk-SK"/>
              </w:rPr>
            </w:pPr>
            <w:r w:rsidRPr="001859C2">
              <w:rPr>
                <w:rFonts w:cs="Arial"/>
                <w:b/>
                <w:bCs/>
                <w:sz w:val="22"/>
                <w:szCs w:val="22"/>
              </w:rPr>
              <w:t>30</w:t>
            </w:r>
          </w:p>
        </w:tc>
      </w:tr>
    </w:tbl>
    <w:p w14:paraId="02D54620" w14:textId="77777777" w:rsidR="00166994" w:rsidRDefault="00166994" w:rsidP="00166994">
      <w:pPr>
        <w:rPr>
          <w:sz w:val="22"/>
          <w:szCs w:val="22"/>
        </w:rPr>
      </w:pPr>
      <w:bookmarkStart w:id="217" w:name="_Toc127593239"/>
    </w:p>
    <w:p w14:paraId="2D336B39" w14:textId="77777777" w:rsidR="00166994" w:rsidRDefault="00166994" w:rsidP="00166994">
      <w:pPr>
        <w:rPr>
          <w:sz w:val="22"/>
          <w:szCs w:val="22"/>
        </w:rPr>
      </w:pPr>
    </w:p>
    <w:p w14:paraId="363472AA" w14:textId="3C1282DF" w:rsidR="00201066" w:rsidRPr="00166994" w:rsidRDefault="00166994" w:rsidP="00166994">
      <w:pPr>
        <w:rPr>
          <w:sz w:val="22"/>
          <w:szCs w:val="22"/>
        </w:rPr>
      </w:pPr>
      <w:r w:rsidRPr="00166994">
        <w:rPr>
          <w:b/>
          <w:sz w:val="28"/>
          <w:szCs w:val="28"/>
        </w:rPr>
        <w:t xml:space="preserve">8.2. </w:t>
      </w:r>
      <w:r w:rsidR="00201066" w:rsidRPr="00166994">
        <w:rPr>
          <w:b/>
          <w:sz w:val="28"/>
          <w:szCs w:val="28"/>
        </w:rPr>
        <w:t>Motivačné štipendiá</w:t>
      </w:r>
      <w:r w:rsidR="00CD7C39" w:rsidRPr="00166994">
        <w:rPr>
          <w:b/>
          <w:sz w:val="28"/>
          <w:szCs w:val="28"/>
        </w:rPr>
        <w:t xml:space="preserve"> a štipendiá z vlastných zdrojov STU</w:t>
      </w:r>
      <w:bookmarkEnd w:id="217"/>
    </w:p>
    <w:p w14:paraId="12EF2904" w14:textId="77777777" w:rsidR="00166994" w:rsidRPr="00166994" w:rsidRDefault="00166994" w:rsidP="00166994"/>
    <w:p w14:paraId="151FA16D" w14:textId="69F3C083" w:rsidR="002071AC" w:rsidRPr="0053555E" w:rsidRDefault="002071AC" w:rsidP="0032443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Ocenenie aktivít študentov za vynikajúce plnenie študijných povinností, vynikajúce výsledky dosiahnuté </w:t>
      </w:r>
      <w:r w:rsidR="0094716E" w:rsidRPr="0053555E">
        <w:rPr>
          <w:rFonts w:asciiTheme="majorHAnsi" w:hAnsiTheme="majorHAnsi" w:cstheme="majorHAnsi"/>
        </w:rPr>
        <w:t xml:space="preserve">v </w:t>
      </w:r>
      <w:r w:rsidRPr="0053555E">
        <w:rPr>
          <w:rFonts w:asciiTheme="majorHAnsi" w:hAnsiTheme="majorHAnsi" w:cstheme="majorHAnsi"/>
        </w:rPr>
        <w:t xml:space="preserve">oblasti štúdia, výskumu, vývoja umeleckej alebo športovej činnosti sa realizovalo </w:t>
      </w:r>
      <w:r w:rsidR="00DC156A" w:rsidRPr="0053555E">
        <w:rPr>
          <w:rFonts w:asciiTheme="majorHAnsi" w:hAnsiTheme="majorHAnsi" w:cstheme="majorHAnsi"/>
        </w:rPr>
        <w:t>prostredníctvom</w:t>
      </w:r>
      <w:r w:rsidRPr="0053555E">
        <w:rPr>
          <w:rFonts w:asciiTheme="majorHAnsi" w:hAnsiTheme="majorHAnsi" w:cstheme="majorHAnsi"/>
        </w:rPr>
        <w:t xml:space="preserve"> motivačných štipendií</w:t>
      </w:r>
      <w:r w:rsidR="006E5973" w:rsidRPr="0053555E">
        <w:rPr>
          <w:rFonts w:asciiTheme="majorHAnsi" w:hAnsiTheme="majorHAnsi" w:cstheme="majorHAnsi"/>
        </w:rPr>
        <w:t xml:space="preserve"> z prostriedkov štátneho rozpočtu</w:t>
      </w:r>
      <w:r w:rsidRPr="0053555E">
        <w:rPr>
          <w:rFonts w:asciiTheme="majorHAnsi" w:hAnsiTheme="majorHAnsi" w:cstheme="majorHAnsi"/>
        </w:rPr>
        <w:t xml:space="preserve">. </w:t>
      </w:r>
      <w:r w:rsidR="00166994">
        <w:rPr>
          <w:rFonts w:asciiTheme="majorHAnsi" w:hAnsiTheme="majorHAnsi" w:cstheme="majorHAnsi"/>
        </w:rPr>
        <w:t>P</w:t>
      </w:r>
      <w:r w:rsidRPr="0053555E">
        <w:rPr>
          <w:rFonts w:asciiTheme="majorHAnsi" w:hAnsiTheme="majorHAnsi" w:cstheme="majorHAnsi"/>
        </w:rPr>
        <w:t xml:space="preserve">odľa zákona </w:t>
      </w:r>
      <w:r w:rsidR="00A73B45" w:rsidRPr="0053555E">
        <w:rPr>
          <w:rFonts w:asciiTheme="majorHAnsi" w:hAnsiTheme="majorHAnsi" w:cstheme="majorHAnsi"/>
        </w:rPr>
        <w:t xml:space="preserve">o vysokých školách </w:t>
      </w:r>
      <w:r w:rsidR="007D7A40" w:rsidRPr="0053555E">
        <w:rPr>
          <w:rFonts w:asciiTheme="majorHAnsi" w:hAnsiTheme="majorHAnsi" w:cstheme="majorHAnsi"/>
        </w:rPr>
        <w:t xml:space="preserve">rozlišujú </w:t>
      </w:r>
      <w:r w:rsidRPr="0053555E">
        <w:rPr>
          <w:rFonts w:asciiTheme="majorHAnsi" w:hAnsiTheme="majorHAnsi" w:cstheme="majorHAnsi"/>
        </w:rPr>
        <w:t xml:space="preserve">na </w:t>
      </w:r>
      <w:r w:rsidR="006E5973" w:rsidRPr="0053555E">
        <w:rPr>
          <w:rFonts w:asciiTheme="majorHAnsi" w:hAnsiTheme="majorHAnsi" w:cstheme="majorHAnsi"/>
        </w:rPr>
        <w:t xml:space="preserve">motivačné štipendiá v študijných odboroch určovaných v metodike (ďalej </w:t>
      </w:r>
      <w:r w:rsidR="00BD5F76" w:rsidRPr="0053555E">
        <w:rPr>
          <w:rFonts w:asciiTheme="majorHAnsi" w:hAnsiTheme="majorHAnsi" w:cstheme="majorHAnsi"/>
        </w:rPr>
        <w:t>tiež</w:t>
      </w:r>
      <w:r w:rsidR="006E5973" w:rsidRPr="0053555E">
        <w:rPr>
          <w:rFonts w:asciiTheme="majorHAnsi" w:hAnsiTheme="majorHAnsi" w:cstheme="majorHAnsi"/>
        </w:rPr>
        <w:t xml:space="preserve"> „motivačné štipendiá</w:t>
      </w:r>
      <w:r w:rsidR="00DC156A" w:rsidRPr="0053555E">
        <w:rPr>
          <w:rFonts w:asciiTheme="majorHAnsi" w:hAnsiTheme="majorHAnsi" w:cstheme="majorHAnsi"/>
        </w:rPr>
        <w:t xml:space="preserve"> odborové</w:t>
      </w:r>
      <w:r w:rsidR="006E5973" w:rsidRPr="0053555E">
        <w:rPr>
          <w:rFonts w:asciiTheme="majorHAnsi" w:hAnsiTheme="majorHAnsi" w:cstheme="majorHAnsi"/>
        </w:rPr>
        <w:t>“</w:t>
      </w:r>
      <w:r w:rsidR="00DC156A" w:rsidRPr="0053555E">
        <w:rPr>
          <w:rFonts w:asciiTheme="majorHAnsi" w:hAnsiTheme="majorHAnsi" w:cstheme="majorHAnsi"/>
        </w:rPr>
        <w:t>)</w:t>
      </w:r>
      <w:r w:rsidR="006E5973" w:rsidRPr="0053555E">
        <w:rPr>
          <w:rFonts w:asciiTheme="majorHAnsi" w:hAnsiTheme="majorHAnsi" w:cstheme="majorHAnsi"/>
        </w:rPr>
        <w:t xml:space="preserve"> a motivačné š</w:t>
      </w:r>
      <w:r w:rsidR="00384812" w:rsidRPr="0053555E">
        <w:rPr>
          <w:rFonts w:asciiTheme="majorHAnsi" w:hAnsiTheme="majorHAnsi" w:cstheme="majorHAnsi"/>
        </w:rPr>
        <w:t>tipendiá za </w:t>
      </w:r>
      <w:r w:rsidR="006E5973" w:rsidRPr="0053555E">
        <w:rPr>
          <w:rFonts w:asciiTheme="majorHAnsi" w:hAnsiTheme="majorHAnsi" w:cstheme="majorHAnsi"/>
        </w:rPr>
        <w:t>vynikajúce plnenie študijných povinností, dosi</w:t>
      </w:r>
      <w:r w:rsidR="00DC156A" w:rsidRPr="0053555E">
        <w:rPr>
          <w:rFonts w:asciiTheme="majorHAnsi" w:hAnsiTheme="majorHAnsi" w:cstheme="majorHAnsi"/>
        </w:rPr>
        <w:t>ahnutie vynikajúceho výsledku v </w:t>
      </w:r>
      <w:r w:rsidR="006E5973" w:rsidRPr="0053555E">
        <w:rPr>
          <w:rFonts w:asciiTheme="majorHAnsi" w:hAnsiTheme="majorHAnsi" w:cstheme="majorHAnsi"/>
        </w:rPr>
        <w:t>oblasti štúdia, výskumu, vývoja, umeleckej alebo športovej činnost</w:t>
      </w:r>
      <w:r w:rsidR="006E233D" w:rsidRPr="0053555E">
        <w:rPr>
          <w:rFonts w:asciiTheme="majorHAnsi" w:hAnsiTheme="majorHAnsi" w:cstheme="majorHAnsi"/>
        </w:rPr>
        <w:t>i</w:t>
      </w:r>
      <w:r w:rsidR="00166994">
        <w:rPr>
          <w:rFonts w:asciiTheme="majorHAnsi" w:hAnsiTheme="majorHAnsi" w:cstheme="majorHAnsi"/>
        </w:rPr>
        <w:t>.</w:t>
      </w:r>
      <w:r w:rsidR="007D7A40" w:rsidRPr="0053555E">
        <w:rPr>
          <w:rFonts w:asciiTheme="majorHAnsi" w:hAnsiTheme="majorHAnsi" w:cstheme="majorHAnsi"/>
        </w:rPr>
        <w:t xml:space="preserve"> </w:t>
      </w:r>
      <w:r w:rsidR="00384812" w:rsidRPr="0053555E">
        <w:rPr>
          <w:rFonts w:asciiTheme="majorHAnsi" w:hAnsiTheme="majorHAnsi" w:cstheme="majorHAnsi"/>
        </w:rPr>
        <w:t xml:space="preserve">Pravidlá a postup </w:t>
      </w:r>
      <w:r w:rsidR="00166994">
        <w:rPr>
          <w:rFonts w:asciiTheme="majorHAnsi" w:hAnsiTheme="majorHAnsi" w:cstheme="majorHAnsi"/>
        </w:rPr>
        <w:t xml:space="preserve">ich </w:t>
      </w:r>
      <w:r w:rsidR="00384812" w:rsidRPr="0053555E">
        <w:rPr>
          <w:rFonts w:asciiTheme="majorHAnsi" w:hAnsiTheme="majorHAnsi" w:cstheme="majorHAnsi"/>
        </w:rPr>
        <w:t xml:space="preserve">priznávania </w:t>
      </w:r>
      <w:r w:rsidR="002C280E">
        <w:rPr>
          <w:rFonts w:asciiTheme="majorHAnsi" w:hAnsiTheme="majorHAnsi" w:cstheme="majorHAnsi"/>
        </w:rPr>
        <w:t>upravuje</w:t>
      </w:r>
      <w:r w:rsidR="009530DB" w:rsidRPr="0053555E">
        <w:rPr>
          <w:rFonts w:asciiTheme="majorHAnsi" w:hAnsiTheme="majorHAnsi" w:cstheme="majorHAnsi"/>
        </w:rPr>
        <w:t xml:space="preserve"> </w:t>
      </w:r>
      <w:hyperlink r:id="rId94" w:history="1">
        <w:r w:rsidR="009530DB" w:rsidRPr="00166994">
          <w:rPr>
            <w:rStyle w:val="Hypertextovprepojenie"/>
            <w:rFonts w:asciiTheme="majorHAnsi" w:hAnsiTheme="majorHAnsi" w:cstheme="majorHAnsi"/>
            <w:color w:val="auto"/>
            <w:u w:val="none"/>
          </w:rPr>
          <w:t>Štipendijn</w:t>
        </w:r>
        <w:r w:rsidR="002C280E" w:rsidRPr="00166994">
          <w:rPr>
            <w:rStyle w:val="Hypertextovprepojenie"/>
            <w:rFonts w:asciiTheme="majorHAnsi" w:hAnsiTheme="majorHAnsi" w:cstheme="majorHAnsi"/>
            <w:color w:val="auto"/>
            <w:u w:val="none"/>
          </w:rPr>
          <w:t>ý</w:t>
        </w:r>
        <w:r w:rsidR="009530DB" w:rsidRPr="00166994">
          <w:rPr>
            <w:rStyle w:val="Hypertextovprepojenie"/>
            <w:rFonts w:asciiTheme="majorHAnsi" w:hAnsiTheme="majorHAnsi" w:cstheme="majorHAnsi"/>
            <w:color w:val="auto"/>
            <w:u w:val="none"/>
          </w:rPr>
          <w:t xml:space="preserve"> poriad</w:t>
        </w:r>
        <w:r w:rsidR="002C280E" w:rsidRPr="00166994">
          <w:rPr>
            <w:rStyle w:val="Hypertextovprepojenie"/>
            <w:rFonts w:asciiTheme="majorHAnsi" w:hAnsiTheme="majorHAnsi" w:cstheme="majorHAnsi"/>
            <w:color w:val="auto"/>
            <w:u w:val="none"/>
          </w:rPr>
          <w:t>ok</w:t>
        </w:r>
        <w:r w:rsidR="009530DB" w:rsidRPr="00166994">
          <w:rPr>
            <w:rStyle w:val="Hypertextovprepojenie"/>
            <w:rFonts w:asciiTheme="majorHAnsi" w:hAnsiTheme="majorHAnsi" w:cstheme="majorHAnsi"/>
            <w:color w:val="auto"/>
            <w:u w:val="none"/>
          </w:rPr>
          <w:t xml:space="preserve"> STU</w:t>
        </w:r>
      </w:hyperlink>
      <w:r w:rsidR="009530DB" w:rsidRPr="0053555E">
        <w:rPr>
          <w:rFonts w:asciiTheme="majorHAnsi" w:hAnsiTheme="majorHAnsi" w:cstheme="majorHAnsi"/>
        </w:rPr>
        <w:t>.</w:t>
      </w:r>
    </w:p>
    <w:p w14:paraId="798098E1" w14:textId="44EFB5F5" w:rsidR="003837D3" w:rsidRPr="0053555E" w:rsidRDefault="00F124CF" w:rsidP="00324438">
      <w:pPr>
        <w:tabs>
          <w:tab w:val="left" w:pos="9356"/>
        </w:tabs>
        <w:spacing w:after="120"/>
        <w:jc w:val="both"/>
        <w:rPr>
          <w:rFonts w:asciiTheme="majorHAnsi" w:hAnsiTheme="majorHAnsi" w:cstheme="majorHAnsi"/>
        </w:rPr>
      </w:pPr>
      <w:r w:rsidRPr="00E054C5">
        <w:rPr>
          <w:rFonts w:asciiTheme="majorHAnsi" w:hAnsiTheme="majorHAnsi" w:cstheme="majorHAnsi"/>
          <w:b/>
        </w:rPr>
        <w:t>Motivačné štipendiá odborové</w:t>
      </w:r>
      <w:r w:rsidRPr="00E054C5">
        <w:rPr>
          <w:rFonts w:asciiTheme="majorHAnsi" w:hAnsiTheme="majorHAnsi" w:cstheme="majorHAnsi"/>
        </w:rPr>
        <w:t xml:space="preserve"> </w:t>
      </w:r>
      <w:r w:rsidRPr="0053555E">
        <w:rPr>
          <w:rFonts w:asciiTheme="majorHAnsi" w:hAnsiTheme="majorHAnsi" w:cstheme="majorHAnsi"/>
        </w:rPr>
        <w:t>boli v </w:t>
      </w:r>
      <w:r w:rsidR="006E5973" w:rsidRPr="0053555E">
        <w:rPr>
          <w:rFonts w:asciiTheme="majorHAnsi" w:hAnsiTheme="majorHAnsi" w:cstheme="majorHAnsi"/>
        </w:rPr>
        <w:t>akad</w:t>
      </w:r>
      <w:r w:rsidR="006E233D" w:rsidRPr="0053555E">
        <w:rPr>
          <w:rFonts w:asciiTheme="majorHAnsi" w:hAnsiTheme="majorHAnsi" w:cstheme="majorHAnsi"/>
        </w:rPr>
        <w:t>emickom</w:t>
      </w:r>
      <w:r w:rsidR="006E5973" w:rsidRPr="0053555E">
        <w:rPr>
          <w:rFonts w:asciiTheme="majorHAnsi" w:hAnsiTheme="majorHAnsi" w:cstheme="majorHAnsi"/>
        </w:rPr>
        <w:t xml:space="preserve"> roku </w:t>
      </w:r>
      <w:r w:rsidR="00EA24BA" w:rsidRPr="0053555E">
        <w:rPr>
          <w:rFonts w:asciiTheme="majorHAnsi" w:hAnsiTheme="majorHAnsi" w:cstheme="majorHAnsi"/>
        </w:rPr>
        <w:t>2021/2022</w:t>
      </w:r>
      <w:r w:rsidR="006E5973" w:rsidRPr="0053555E">
        <w:rPr>
          <w:rFonts w:asciiTheme="majorHAnsi" w:hAnsiTheme="majorHAnsi" w:cstheme="majorHAnsi"/>
        </w:rPr>
        <w:t xml:space="preserve"> priznávané študentom </w:t>
      </w:r>
      <w:r w:rsidR="00F542FE" w:rsidRPr="0053555E">
        <w:rPr>
          <w:rFonts w:asciiTheme="majorHAnsi" w:hAnsiTheme="majorHAnsi" w:cstheme="majorHAnsi"/>
        </w:rPr>
        <w:t xml:space="preserve">STU </w:t>
      </w:r>
      <w:r w:rsidR="006E5973" w:rsidRPr="0053555E">
        <w:rPr>
          <w:rFonts w:asciiTheme="majorHAnsi" w:hAnsiTheme="majorHAnsi" w:cstheme="majorHAnsi"/>
        </w:rPr>
        <w:t xml:space="preserve">študujúcim študijné odbory určené v metodike rozpisu dotácie </w:t>
      </w:r>
      <w:r w:rsidR="006E49BC" w:rsidRPr="0053555E">
        <w:rPr>
          <w:rFonts w:asciiTheme="majorHAnsi" w:hAnsiTheme="majorHAnsi" w:cstheme="majorHAnsi"/>
        </w:rPr>
        <w:t>zo štátneho rozpočtu so </w:t>
      </w:r>
      <w:r w:rsidR="00126504" w:rsidRPr="0053555E">
        <w:rPr>
          <w:rFonts w:asciiTheme="majorHAnsi" w:hAnsiTheme="majorHAnsi" w:cstheme="majorHAnsi"/>
        </w:rPr>
        <w:t>zohľadnením študijných výsledkov z predchádzajúceho štúdia, v prípade študentov študijných programov prvého stupňa v prvom roku štúdia sa zohľadni</w:t>
      </w:r>
      <w:r w:rsidR="00DC156A" w:rsidRPr="0053555E">
        <w:rPr>
          <w:rFonts w:asciiTheme="majorHAnsi" w:hAnsiTheme="majorHAnsi" w:cstheme="majorHAnsi"/>
        </w:rPr>
        <w:t>li</w:t>
      </w:r>
      <w:r w:rsidR="001E3BB2" w:rsidRPr="0053555E">
        <w:rPr>
          <w:rFonts w:asciiTheme="majorHAnsi" w:hAnsiTheme="majorHAnsi" w:cstheme="majorHAnsi"/>
        </w:rPr>
        <w:t xml:space="preserve"> študijné výsledky z </w:t>
      </w:r>
      <w:r w:rsidR="00126504" w:rsidRPr="0053555E">
        <w:rPr>
          <w:rFonts w:asciiTheme="majorHAnsi" w:hAnsiTheme="majorHAnsi" w:cstheme="majorHAnsi"/>
        </w:rPr>
        <w:t>posledného roku štúd</w:t>
      </w:r>
      <w:r w:rsidR="00DA4928" w:rsidRPr="0053555E">
        <w:rPr>
          <w:rFonts w:asciiTheme="majorHAnsi" w:hAnsiTheme="majorHAnsi" w:cstheme="majorHAnsi"/>
        </w:rPr>
        <w:t>ia na </w:t>
      </w:r>
      <w:r w:rsidR="00126504" w:rsidRPr="0053555E">
        <w:rPr>
          <w:rFonts w:asciiTheme="majorHAnsi" w:hAnsiTheme="majorHAnsi" w:cstheme="majorHAnsi"/>
        </w:rPr>
        <w:t>strednej škole</w:t>
      </w:r>
      <w:r w:rsidR="001D419F" w:rsidRPr="0053555E">
        <w:rPr>
          <w:rFonts w:asciiTheme="majorHAnsi" w:hAnsiTheme="majorHAnsi" w:cstheme="majorHAnsi"/>
        </w:rPr>
        <w:t>. F</w:t>
      </w:r>
      <w:r w:rsidR="00733571" w:rsidRPr="0053555E">
        <w:rPr>
          <w:rFonts w:asciiTheme="majorHAnsi" w:hAnsiTheme="majorHAnsi" w:cstheme="majorHAnsi"/>
        </w:rPr>
        <w:t>a</w:t>
      </w:r>
      <w:r w:rsidR="00CA58AF" w:rsidRPr="0053555E">
        <w:rPr>
          <w:rFonts w:asciiTheme="majorHAnsi" w:hAnsiTheme="majorHAnsi" w:cstheme="majorHAnsi"/>
        </w:rPr>
        <w:t>kulty si mohli stanoviť vo svojich štipendijných poriadkoch ďalšie skutočnosti rozhodujúce pre posúdenie nároku na priznanie motivačného štipendia odborového</w:t>
      </w:r>
      <w:r w:rsidR="00E054C5">
        <w:rPr>
          <w:rFonts w:asciiTheme="majorHAnsi" w:hAnsiTheme="majorHAnsi" w:cstheme="majorHAnsi"/>
        </w:rPr>
        <w:t>.</w:t>
      </w:r>
      <w:r w:rsidR="00F325B9" w:rsidRPr="0053555E">
        <w:rPr>
          <w:rFonts w:asciiTheme="majorHAnsi" w:hAnsiTheme="majorHAnsi" w:cstheme="majorHAnsi"/>
        </w:rPr>
        <w:t xml:space="preserve"> </w:t>
      </w:r>
      <w:r w:rsidR="00E3100E" w:rsidRPr="0053555E">
        <w:rPr>
          <w:rFonts w:asciiTheme="majorHAnsi" w:hAnsiTheme="majorHAnsi" w:cstheme="majorHAnsi"/>
        </w:rPr>
        <w:t>V posudzovanom akademickom roku bol</w:t>
      </w:r>
      <w:r w:rsidR="00875BBC" w:rsidRPr="0053555E">
        <w:rPr>
          <w:rFonts w:asciiTheme="majorHAnsi" w:hAnsiTheme="majorHAnsi" w:cstheme="majorHAnsi"/>
        </w:rPr>
        <w:t>a</w:t>
      </w:r>
      <w:r w:rsidR="00E3100E" w:rsidRPr="0053555E">
        <w:rPr>
          <w:rFonts w:asciiTheme="majorHAnsi" w:hAnsiTheme="majorHAnsi" w:cstheme="majorHAnsi"/>
        </w:rPr>
        <w:t xml:space="preserve"> </w:t>
      </w:r>
      <w:r w:rsidR="00A32781">
        <w:rPr>
          <w:rFonts w:asciiTheme="majorHAnsi" w:hAnsiTheme="majorHAnsi" w:cstheme="majorHAnsi"/>
        </w:rPr>
        <w:t>na</w:t>
      </w:r>
      <w:r w:rsidR="00E3100E" w:rsidRPr="0053555E">
        <w:rPr>
          <w:rFonts w:asciiTheme="majorHAnsi" w:hAnsiTheme="majorHAnsi" w:cstheme="majorHAnsi"/>
        </w:rPr>
        <w:t xml:space="preserve"> účely </w:t>
      </w:r>
      <w:r w:rsidR="002739C6" w:rsidRPr="0053555E">
        <w:rPr>
          <w:rFonts w:asciiTheme="majorHAnsi" w:hAnsiTheme="majorHAnsi" w:cstheme="majorHAnsi"/>
        </w:rPr>
        <w:t>m</w:t>
      </w:r>
      <w:r w:rsidR="00E3100E" w:rsidRPr="0053555E">
        <w:rPr>
          <w:rFonts w:asciiTheme="majorHAnsi" w:hAnsiTheme="majorHAnsi" w:cstheme="majorHAnsi"/>
        </w:rPr>
        <w:t xml:space="preserve">otivačných štipendií </w:t>
      </w:r>
      <w:r w:rsidR="002739C6" w:rsidRPr="0053555E">
        <w:rPr>
          <w:rFonts w:asciiTheme="majorHAnsi" w:hAnsiTheme="majorHAnsi" w:cstheme="majorHAnsi"/>
        </w:rPr>
        <w:t>odborových</w:t>
      </w:r>
      <w:r w:rsidR="00E3100E" w:rsidRPr="0053555E">
        <w:rPr>
          <w:rFonts w:asciiTheme="majorHAnsi" w:hAnsiTheme="majorHAnsi" w:cstheme="majorHAnsi"/>
        </w:rPr>
        <w:t xml:space="preserve"> zohľadňovan</w:t>
      </w:r>
      <w:r w:rsidR="00875BBC" w:rsidRPr="0053555E">
        <w:rPr>
          <w:rFonts w:asciiTheme="majorHAnsi" w:hAnsiTheme="majorHAnsi" w:cstheme="majorHAnsi"/>
        </w:rPr>
        <w:t>á</w:t>
      </w:r>
      <w:r w:rsidR="00143421" w:rsidRPr="0053555E">
        <w:rPr>
          <w:rFonts w:asciiTheme="majorHAnsi" w:hAnsiTheme="majorHAnsi" w:cstheme="majorHAnsi"/>
        </w:rPr>
        <w:t xml:space="preserve"> </w:t>
      </w:r>
      <w:r w:rsidR="006E58A2">
        <w:rPr>
          <w:rFonts w:asciiTheme="majorHAnsi" w:hAnsiTheme="majorHAnsi" w:cstheme="majorHAnsi"/>
        </w:rPr>
        <w:t xml:space="preserve">viac ako polovica </w:t>
      </w:r>
      <w:r w:rsidR="00E3100E" w:rsidRPr="0053555E">
        <w:rPr>
          <w:rFonts w:asciiTheme="majorHAnsi" w:hAnsiTheme="majorHAnsi" w:cstheme="majorHAnsi"/>
        </w:rPr>
        <w:t>študijn</w:t>
      </w:r>
      <w:r w:rsidR="00143421" w:rsidRPr="0053555E">
        <w:rPr>
          <w:rFonts w:asciiTheme="majorHAnsi" w:hAnsiTheme="majorHAnsi" w:cstheme="majorHAnsi"/>
        </w:rPr>
        <w:t>ých</w:t>
      </w:r>
      <w:r w:rsidR="00E3100E" w:rsidRPr="0053555E">
        <w:rPr>
          <w:rFonts w:asciiTheme="majorHAnsi" w:hAnsiTheme="majorHAnsi" w:cstheme="majorHAnsi"/>
        </w:rPr>
        <w:t xml:space="preserve"> odbor</w:t>
      </w:r>
      <w:r w:rsidR="00143421" w:rsidRPr="0053555E">
        <w:rPr>
          <w:rFonts w:asciiTheme="majorHAnsi" w:hAnsiTheme="majorHAnsi" w:cstheme="majorHAnsi"/>
        </w:rPr>
        <w:t>ov</w:t>
      </w:r>
      <w:r w:rsidR="002739C6" w:rsidRPr="0053555E">
        <w:rPr>
          <w:rFonts w:asciiTheme="majorHAnsi" w:hAnsiTheme="majorHAnsi" w:cstheme="majorHAnsi"/>
        </w:rPr>
        <w:t>,</w:t>
      </w:r>
      <w:r w:rsidR="00E3100E" w:rsidRPr="0053555E">
        <w:rPr>
          <w:rFonts w:asciiTheme="majorHAnsi" w:hAnsiTheme="majorHAnsi" w:cstheme="majorHAnsi"/>
        </w:rPr>
        <w:t xml:space="preserve"> v ktorých STU </w:t>
      </w:r>
      <w:r w:rsidR="002739C6" w:rsidRPr="0053555E">
        <w:rPr>
          <w:rFonts w:asciiTheme="majorHAnsi" w:hAnsiTheme="majorHAnsi" w:cstheme="majorHAnsi"/>
        </w:rPr>
        <w:t>uskutočňuje</w:t>
      </w:r>
      <w:r w:rsidR="00E3100E" w:rsidRPr="0053555E">
        <w:rPr>
          <w:rFonts w:asciiTheme="majorHAnsi" w:hAnsiTheme="majorHAnsi" w:cstheme="majorHAnsi"/>
        </w:rPr>
        <w:t xml:space="preserve"> študijné programy</w:t>
      </w:r>
      <w:r w:rsidR="00143421" w:rsidRPr="0053555E">
        <w:rPr>
          <w:rFonts w:asciiTheme="majorHAnsi" w:hAnsiTheme="majorHAnsi" w:cstheme="majorHAnsi"/>
        </w:rPr>
        <w:t xml:space="preserve">, boli </w:t>
      </w:r>
      <w:r w:rsidR="00BB5060" w:rsidRPr="0053555E">
        <w:rPr>
          <w:rFonts w:asciiTheme="majorHAnsi" w:hAnsiTheme="majorHAnsi" w:cstheme="majorHAnsi"/>
        </w:rPr>
        <w:t>to</w:t>
      </w:r>
      <w:r w:rsidR="00BB5060">
        <w:rPr>
          <w:rFonts w:asciiTheme="majorHAnsi" w:hAnsiTheme="majorHAnsi" w:cstheme="majorHAnsi"/>
        </w:rPr>
        <w:t xml:space="preserve"> študijné odbory</w:t>
      </w:r>
      <w:r w:rsidR="00143421" w:rsidRPr="0053555E">
        <w:rPr>
          <w:rFonts w:asciiTheme="majorHAnsi" w:hAnsiTheme="majorHAnsi" w:cstheme="majorHAnsi"/>
        </w:rPr>
        <w:t xml:space="preserve"> </w:t>
      </w:r>
      <w:r w:rsidR="003837D3" w:rsidRPr="0053555E">
        <w:rPr>
          <w:rFonts w:asciiTheme="majorHAnsi" w:hAnsiTheme="majorHAnsi" w:cstheme="majorHAnsi"/>
          <w:b/>
        </w:rPr>
        <w:t>biotechnológie</w:t>
      </w:r>
      <w:r w:rsidR="00143421" w:rsidRPr="0053555E">
        <w:rPr>
          <w:rFonts w:asciiTheme="majorHAnsi" w:hAnsiTheme="majorHAnsi" w:cstheme="majorHAnsi"/>
          <w:b/>
        </w:rPr>
        <w:t>,</w:t>
      </w:r>
      <w:r w:rsidR="003837D3" w:rsidRPr="0053555E">
        <w:rPr>
          <w:rFonts w:asciiTheme="majorHAnsi" w:hAnsiTheme="majorHAnsi" w:cstheme="majorHAnsi"/>
          <w:b/>
        </w:rPr>
        <w:t xml:space="preserve"> elektrotechnika</w:t>
      </w:r>
      <w:r w:rsidR="00143421" w:rsidRPr="0053555E">
        <w:rPr>
          <w:rFonts w:asciiTheme="majorHAnsi" w:hAnsiTheme="majorHAnsi" w:cstheme="majorHAnsi"/>
          <w:b/>
        </w:rPr>
        <w:t>,</w:t>
      </w:r>
      <w:r w:rsidR="003837D3" w:rsidRPr="0053555E">
        <w:rPr>
          <w:rFonts w:asciiTheme="majorHAnsi" w:hAnsiTheme="majorHAnsi" w:cstheme="majorHAnsi"/>
          <w:b/>
        </w:rPr>
        <w:t xml:space="preserve"> fyzika</w:t>
      </w:r>
      <w:r w:rsidR="00143421" w:rsidRPr="0053555E">
        <w:rPr>
          <w:rFonts w:asciiTheme="majorHAnsi" w:hAnsiTheme="majorHAnsi" w:cstheme="majorHAnsi"/>
          <w:b/>
        </w:rPr>
        <w:t>,</w:t>
      </w:r>
      <w:r w:rsidR="003837D3" w:rsidRPr="0053555E">
        <w:rPr>
          <w:rFonts w:asciiTheme="majorHAnsi" w:hAnsiTheme="majorHAnsi" w:cstheme="majorHAnsi"/>
          <w:b/>
        </w:rPr>
        <w:t xml:space="preserve"> chemické inžinierstvo a</w:t>
      </w:r>
      <w:r w:rsidR="00143421" w:rsidRPr="0053555E">
        <w:rPr>
          <w:rFonts w:asciiTheme="majorHAnsi" w:hAnsiTheme="majorHAnsi" w:cstheme="majorHAnsi"/>
          <w:b/>
        </w:rPr>
        <w:t> </w:t>
      </w:r>
      <w:r w:rsidR="003837D3" w:rsidRPr="0053555E">
        <w:rPr>
          <w:rFonts w:asciiTheme="majorHAnsi" w:hAnsiTheme="majorHAnsi" w:cstheme="majorHAnsi"/>
          <w:b/>
        </w:rPr>
        <w:t>technológie</w:t>
      </w:r>
      <w:r w:rsidR="00143421" w:rsidRPr="0053555E">
        <w:rPr>
          <w:rFonts w:asciiTheme="majorHAnsi" w:hAnsiTheme="majorHAnsi" w:cstheme="majorHAnsi"/>
          <w:b/>
        </w:rPr>
        <w:t>,</w:t>
      </w:r>
      <w:r w:rsidR="003837D3" w:rsidRPr="0053555E">
        <w:rPr>
          <w:rFonts w:asciiTheme="majorHAnsi" w:hAnsiTheme="majorHAnsi" w:cstheme="majorHAnsi"/>
          <w:b/>
        </w:rPr>
        <w:t xml:space="preserve"> chémia</w:t>
      </w:r>
      <w:r w:rsidR="00143421" w:rsidRPr="0053555E">
        <w:rPr>
          <w:rFonts w:asciiTheme="majorHAnsi" w:hAnsiTheme="majorHAnsi" w:cstheme="majorHAnsi"/>
          <w:b/>
        </w:rPr>
        <w:t>,</w:t>
      </w:r>
      <w:r w:rsidR="003837D3" w:rsidRPr="0053555E">
        <w:rPr>
          <w:rFonts w:asciiTheme="majorHAnsi" w:hAnsiTheme="majorHAnsi" w:cstheme="majorHAnsi"/>
          <w:b/>
        </w:rPr>
        <w:t xml:space="preserve"> informatika</w:t>
      </w:r>
      <w:r w:rsidR="00143421" w:rsidRPr="0053555E">
        <w:rPr>
          <w:rFonts w:asciiTheme="majorHAnsi" w:hAnsiTheme="majorHAnsi" w:cstheme="majorHAnsi"/>
          <w:b/>
        </w:rPr>
        <w:t>,</w:t>
      </w:r>
      <w:r w:rsidR="003837D3" w:rsidRPr="0053555E">
        <w:rPr>
          <w:rFonts w:asciiTheme="majorHAnsi" w:hAnsiTheme="majorHAnsi" w:cstheme="majorHAnsi"/>
          <w:b/>
        </w:rPr>
        <w:t xml:space="preserve"> </w:t>
      </w:r>
      <w:r w:rsidR="002739C6" w:rsidRPr="0053555E">
        <w:rPr>
          <w:rFonts w:asciiTheme="majorHAnsi" w:hAnsiTheme="majorHAnsi" w:cstheme="majorHAnsi"/>
          <w:b/>
        </w:rPr>
        <w:t>kybernetika</w:t>
      </w:r>
      <w:r w:rsidR="00143421" w:rsidRPr="0053555E">
        <w:rPr>
          <w:rFonts w:asciiTheme="majorHAnsi" w:hAnsiTheme="majorHAnsi" w:cstheme="majorHAnsi"/>
          <w:b/>
        </w:rPr>
        <w:t>,</w:t>
      </w:r>
      <w:r w:rsidR="002739C6" w:rsidRPr="0053555E">
        <w:rPr>
          <w:rFonts w:asciiTheme="majorHAnsi" w:hAnsiTheme="majorHAnsi" w:cstheme="majorHAnsi"/>
          <w:b/>
        </w:rPr>
        <w:t xml:space="preserve"> </w:t>
      </w:r>
      <w:r w:rsidR="00143421" w:rsidRPr="0053555E">
        <w:rPr>
          <w:rFonts w:asciiTheme="majorHAnsi" w:hAnsiTheme="majorHAnsi" w:cstheme="majorHAnsi"/>
          <w:b/>
        </w:rPr>
        <w:t>matematika,</w:t>
      </w:r>
      <w:r w:rsidR="003837D3" w:rsidRPr="0053555E">
        <w:rPr>
          <w:rFonts w:asciiTheme="majorHAnsi" w:hAnsiTheme="majorHAnsi" w:cstheme="majorHAnsi"/>
          <w:b/>
        </w:rPr>
        <w:t xml:space="preserve"> potravinárstvo</w:t>
      </w:r>
      <w:r w:rsidR="00143421" w:rsidRPr="0053555E">
        <w:rPr>
          <w:rFonts w:asciiTheme="majorHAnsi" w:hAnsiTheme="majorHAnsi" w:cstheme="majorHAnsi"/>
          <w:b/>
        </w:rPr>
        <w:t>,</w:t>
      </w:r>
      <w:r w:rsidR="003837D3" w:rsidRPr="0053555E">
        <w:rPr>
          <w:rFonts w:asciiTheme="majorHAnsi" w:hAnsiTheme="majorHAnsi" w:cstheme="majorHAnsi"/>
          <w:b/>
        </w:rPr>
        <w:t xml:space="preserve"> stavebníctvo </w:t>
      </w:r>
      <w:r w:rsidR="00143421" w:rsidRPr="0053555E">
        <w:rPr>
          <w:rFonts w:asciiTheme="majorHAnsi" w:hAnsiTheme="majorHAnsi" w:cstheme="majorHAnsi"/>
          <w:b/>
        </w:rPr>
        <w:t>a </w:t>
      </w:r>
      <w:r w:rsidR="003837D3" w:rsidRPr="0053555E">
        <w:rPr>
          <w:rFonts w:asciiTheme="majorHAnsi" w:hAnsiTheme="majorHAnsi" w:cstheme="majorHAnsi"/>
          <w:b/>
        </w:rPr>
        <w:t>strojárstvo</w:t>
      </w:r>
      <w:r w:rsidR="00143421" w:rsidRPr="0053555E">
        <w:rPr>
          <w:rFonts w:asciiTheme="majorHAnsi" w:hAnsiTheme="majorHAnsi" w:cstheme="majorHAnsi"/>
        </w:rPr>
        <w:t>.</w:t>
      </w:r>
      <w:r w:rsidR="00811F64" w:rsidRPr="0053555E">
        <w:rPr>
          <w:rFonts w:asciiTheme="majorHAnsi" w:hAnsiTheme="majorHAnsi" w:cstheme="majorHAnsi"/>
        </w:rPr>
        <w:t xml:space="preserve"> V uvedených študijných odboroch študuje 8</w:t>
      </w:r>
      <w:r w:rsidR="004D5381" w:rsidRPr="0053555E">
        <w:rPr>
          <w:rFonts w:asciiTheme="majorHAnsi" w:hAnsiTheme="majorHAnsi" w:cstheme="majorHAnsi"/>
        </w:rPr>
        <w:t>6</w:t>
      </w:r>
      <w:r w:rsidR="00811F64" w:rsidRPr="0053555E">
        <w:rPr>
          <w:rFonts w:asciiTheme="majorHAnsi" w:hAnsiTheme="majorHAnsi" w:cstheme="majorHAnsi"/>
        </w:rPr>
        <w:t xml:space="preserve"> </w:t>
      </w:r>
      <w:r w:rsidR="00526922" w:rsidRPr="0053555E">
        <w:rPr>
          <w:rFonts w:asciiTheme="majorHAnsi" w:hAnsiTheme="majorHAnsi" w:cstheme="majorHAnsi"/>
        </w:rPr>
        <w:t>% študentov STU.</w:t>
      </w:r>
    </w:p>
    <w:p w14:paraId="591A1AC9" w14:textId="06F00EA2" w:rsidR="0035140F" w:rsidRDefault="005349C0" w:rsidP="0035140F">
      <w:pPr>
        <w:tabs>
          <w:tab w:val="left" w:pos="9356"/>
        </w:tabs>
        <w:spacing w:after="120"/>
        <w:jc w:val="both"/>
        <w:rPr>
          <w:rFonts w:asciiTheme="majorHAnsi" w:hAnsiTheme="majorHAnsi" w:cstheme="majorHAnsi"/>
        </w:rPr>
      </w:pPr>
      <w:r w:rsidRPr="0053555E">
        <w:rPr>
          <w:rFonts w:asciiTheme="majorHAnsi" w:hAnsiTheme="majorHAnsi" w:cstheme="majorHAnsi"/>
        </w:rPr>
        <w:t xml:space="preserve">STU priznáva a poskytuje motivačné štipendiá odborové </w:t>
      </w:r>
      <w:r w:rsidR="004A4B42" w:rsidRPr="0053555E">
        <w:rPr>
          <w:rFonts w:asciiTheme="majorHAnsi" w:hAnsiTheme="majorHAnsi" w:cstheme="majorHAnsi"/>
        </w:rPr>
        <w:t xml:space="preserve">jednorazovo </w:t>
      </w:r>
      <w:r w:rsidR="003064A3" w:rsidRPr="0053555E">
        <w:rPr>
          <w:rFonts w:asciiTheme="majorHAnsi" w:hAnsiTheme="majorHAnsi" w:cstheme="majorHAnsi"/>
        </w:rPr>
        <w:t xml:space="preserve">spravidla </w:t>
      </w:r>
      <w:r w:rsidRPr="0053555E">
        <w:rPr>
          <w:rFonts w:asciiTheme="majorHAnsi" w:hAnsiTheme="majorHAnsi" w:cstheme="majorHAnsi"/>
        </w:rPr>
        <w:t xml:space="preserve">v letnom semestri akademického roka z dotácie </w:t>
      </w:r>
      <w:r w:rsidR="00016BA5" w:rsidRPr="0053555E">
        <w:rPr>
          <w:rFonts w:asciiTheme="majorHAnsi" w:hAnsiTheme="majorHAnsi" w:cstheme="majorHAnsi"/>
        </w:rPr>
        <w:t xml:space="preserve">zo štátneho rozpočtu </w:t>
      </w:r>
      <w:r w:rsidR="00AD1286" w:rsidRPr="0053555E">
        <w:rPr>
          <w:rFonts w:asciiTheme="majorHAnsi" w:hAnsiTheme="majorHAnsi" w:cstheme="majorHAnsi"/>
        </w:rPr>
        <w:t>poskytnutej na tento účel</w:t>
      </w:r>
      <w:r w:rsidR="00D96081">
        <w:rPr>
          <w:rFonts w:asciiTheme="majorHAnsi" w:hAnsiTheme="majorHAnsi" w:cstheme="majorHAnsi"/>
        </w:rPr>
        <w:t xml:space="preserve"> v</w:t>
      </w:r>
      <w:r w:rsidR="00BD0180">
        <w:rPr>
          <w:rFonts w:asciiTheme="majorHAnsi" w:hAnsiTheme="majorHAnsi" w:cstheme="majorHAnsi"/>
        </w:rPr>
        <w:t> </w:t>
      </w:r>
      <w:r w:rsidR="00F61A63" w:rsidRPr="0053555E">
        <w:rPr>
          <w:rFonts w:asciiTheme="majorHAnsi" w:hAnsiTheme="majorHAnsi" w:cstheme="majorHAnsi"/>
        </w:rPr>
        <w:t>príslušn</w:t>
      </w:r>
      <w:r w:rsidR="00F61A63">
        <w:rPr>
          <w:rFonts w:asciiTheme="majorHAnsi" w:hAnsiTheme="majorHAnsi" w:cstheme="majorHAnsi"/>
        </w:rPr>
        <w:t>om</w:t>
      </w:r>
      <w:r w:rsidR="00F61A63" w:rsidRPr="0053555E">
        <w:rPr>
          <w:rFonts w:asciiTheme="majorHAnsi" w:hAnsiTheme="majorHAnsi" w:cstheme="majorHAnsi"/>
        </w:rPr>
        <w:t xml:space="preserve"> </w:t>
      </w:r>
      <w:r w:rsidR="00BD0180">
        <w:rPr>
          <w:rFonts w:asciiTheme="majorHAnsi" w:hAnsiTheme="majorHAnsi" w:cstheme="majorHAnsi"/>
        </w:rPr>
        <w:t>kalendárnom roku.</w:t>
      </w:r>
      <w:r w:rsidRPr="0053555E">
        <w:rPr>
          <w:rFonts w:asciiTheme="majorHAnsi" w:hAnsiTheme="majorHAnsi" w:cstheme="majorHAnsi"/>
        </w:rPr>
        <w:t xml:space="preserve"> </w:t>
      </w:r>
      <w:r w:rsidR="00076841" w:rsidRPr="0053555E">
        <w:rPr>
          <w:rFonts w:asciiTheme="majorHAnsi" w:hAnsiTheme="majorHAnsi" w:cstheme="majorHAnsi"/>
        </w:rPr>
        <w:t xml:space="preserve">Základná výška motivačného štipendia odborového </w:t>
      </w:r>
      <w:r w:rsidR="008D4FEC" w:rsidRPr="0053555E">
        <w:rPr>
          <w:rFonts w:asciiTheme="majorHAnsi" w:hAnsiTheme="majorHAnsi" w:cstheme="majorHAnsi"/>
        </w:rPr>
        <w:t xml:space="preserve">v kalendárnom </w:t>
      </w:r>
      <w:r w:rsidR="00076841" w:rsidRPr="0053555E">
        <w:rPr>
          <w:rFonts w:asciiTheme="majorHAnsi" w:hAnsiTheme="majorHAnsi" w:cstheme="majorHAnsi"/>
        </w:rPr>
        <w:t xml:space="preserve">roku </w:t>
      </w:r>
      <w:r w:rsidR="00EA75F5" w:rsidRPr="0053555E">
        <w:rPr>
          <w:rFonts w:asciiTheme="majorHAnsi" w:hAnsiTheme="majorHAnsi" w:cstheme="majorHAnsi"/>
        </w:rPr>
        <w:t>202</w:t>
      </w:r>
      <w:r w:rsidR="00BD1F70">
        <w:rPr>
          <w:rFonts w:asciiTheme="majorHAnsi" w:hAnsiTheme="majorHAnsi" w:cstheme="majorHAnsi"/>
        </w:rPr>
        <w:t>2</w:t>
      </w:r>
      <w:r w:rsidR="008D4FEC" w:rsidRPr="0053555E">
        <w:rPr>
          <w:rFonts w:asciiTheme="majorHAnsi" w:hAnsiTheme="majorHAnsi" w:cstheme="majorHAnsi"/>
        </w:rPr>
        <w:t xml:space="preserve"> </w:t>
      </w:r>
      <w:r w:rsidR="00076841" w:rsidRPr="0053555E">
        <w:rPr>
          <w:rFonts w:asciiTheme="majorHAnsi" w:hAnsiTheme="majorHAnsi" w:cstheme="majorHAnsi"/>
        </w:rPr>
        <w:t>predstavovala sumu</w:t>
      </w:r>
      <w:r w:rsidR="00076841" w:rsidRPr="0053555E">
        <w:rPr>
          <w:rFonts w:asciiTheme="majorHAnsi" w:hAnsiTheme="majorHAnsi" w:cstheme="majorHAnsi"/>
          <w:b/>
        </w:rPr>
        <w:t xml:space="preserve"> </w:t>
      </w:r>
      <w:r w:rsidR="00FD38B9">
        <w:rPr>
          <w:rFonts w:asciiTheme="majorHAnsi" w:hAnsiTheme="majorHAnsi" w:cstheme="majorHAnsi"/>
          <w:b/>
        </w:rPr>
        <w:t>270</w:t>
      </w:r>
      <w:r w:rsidR="00574385" w:rsidRPr="0053555E">
        <w:rPr>
          <w:rFonts w:asciiTheme="majorHAnsi" w:hAnsiTheme="majorHAnsi" w:cstheme="majorHAnsi"/>
          <w:b/>
        </w:rPr>
        <w:t xml:space="preserve"> </w:t>
      </w:r>
      <w:r w:rsidR="00076841" w:rsidRPr="0053555E">
        <w:rPr>
          <w:rFonts w:asciiTheme="majorHAnsi" w:hAnsiTheme="majorHAnsi" w:cstheme="majorHAnsi"/>
          <w:b/>
        </w:rPr>
        <w:t>€.</w:t>
      </w:r>
      <w:r w:rsidR="00076841" w:rsidRPr="0053555E">
        <w:rPr>
          <w:rFonts w:asciiTheme="majorHAnsi" w:hAnsiTheme="majorHAnsi" w:cstheme="majorHAnsi"/>
        </w:rPr>
        <w:t xml:space="preserve"> </w:t>
      </w:r>
      <w:r w:rsidR="002C7B58" w:rsidRPr="0053555E">
        <w:rPr>
          <w:rFonts w:asciiTheme="majorHAnsi" w:hAnsiTheme="majorHAnsi" w:cstheme="majorHAnsi"/>
        </w:rPr>
        <w:t>Jednému š</w:t>
      </w:r>
      <w:r w:rsidR="00076841" w:rsidRPr="0053555E">
        <w:rPr>
          <w:rFonts w:asciiTheme="majorHAnsi" w:hAnsiTheme="majorHAnsi" w:cstheme="majorHAnsi"/>
        </w:rPr>
        <w:t>tudentovi mohlo byť</w:t>
      </w:r>
      <w:r w:rsidR="00AD1286" w:rsidRPr="0053555E">
        <w:rPr>
          <w:rFonts w:asciiTheme="majorHAnsi" w:hAnsiTheme="majorHAnsi" w:cstheme="majorHAnsi"/>
        </w:rPr>
        <w:t xml:space="preserve"> priznané štipendium najviac do </w:t>
      </w:r>
      <w:r w:rsidR="00076841" w:rsidRPr="0053555E">
        <w:rPr>
          <w:rFonts w:asciiTheme="majorHAnsi" w:hAnsiTheme="majorHAnsi" w:cstheme="majorHAnsi"/>
        </w:rPr>
        <w:t xml:space="preserve">výšky </w:t>
      </w:r>
      <w:r w:rsidR="00574385" w:rsidRPr="0053555E">
        <w:rPr>
          <w:rFonts w:asciiTheme="majorHAnsi" w:hAnsiTheme="majorHAnsi" w:cstheme="majorHAnsi"/>
        </w:rPr>
        <w:t>trojnásobku</w:t>
      </w:r>
      <w:r w:rsidR="00076841" w:rsidRPr="0053555E">
        <w:rPr>
          <w:rFonts w:asciiTheme="majorHAnsi" w:hAnsiTheme="majorHAnsi" w:cstheme="majorHAnsi"/>
        </w:rPr>
        <w:t xml:space="preserve"> základnej výšky, čo </w:t>
      </w:r>
      <w:r w:rsidR="00574385" w:rsidRPr="0053555E">
        <w:rPr>
          <w:rFonts w:asciiTheme="majorHAnsi" w:hAnsiTheme="majorHAnsi" w:cstheme="majorHAnsi"/>
        </w:rPr>
        <w:t>predstavovalo</w:t>
      </w:r>
      <w:r w:rsidR="00076841" w:rsidRPr="0053555E">
        <w:rPr>
          <w:rFonts w:asciiTheme="majorHAnsi" w:hAnsiTheme="majorHAnsi" w:cstheme="majorHAnsi"/>
        </w:rPr>
        <w:t xml:space="preserve"> sumu </w:t>
      </w:r>
      <w:r w:rsidR="00076841" w:rsidRPr="0053555E">
        <w:rPr>
          <w:rFonts w:asciiTheme="majorHAnsi" w:hAnsiTheme="majorHAnsi" w:cstheme="majorHAnsi"/>
          <w:b/>
        </w:rPr>
        <w:t xml:space="preserve">najviac </w:t>
      </w:r>
      <w:r w:rsidR="00FD38B9">
        <w:rPr>
          <w:rFonts w:asciiTheme="majorHAnsi" w:hAnsiTheme="majorHAnsi" w:cstheme="majorHAnsi"/>
          <w:b/>
        </w:rPr>
        <w:t>810</w:t>
      </w:r>
      <w:r w:rsidR="00FC550F">
        <w:rPr>
          <w:rFonts w:asciiTheme="majorHAnsi" w:hAnsiTheme="majorHAnsi" w:cstheme="majorHAnsi"/>
          <w:b/>
        </w:rPr>
        <w:t> </w:t>
      </w:r>
      <w:r w:rsidR="00076841" w:rsidRPr="0053555E">
        <w:rPr>
          <w:rFonts w:asciiTheme="majorHAnsi" w:hAnsiTheme="majorHAnsi" w:cstheme="majorHAnsi"/>
          <w:b/>
        </w:rPr>
        <w:t>€</w:t>
      </w:r>
      <w:r w:rsidR="00076841" w:rsidRPr="0053555E">
        <w:rPr>
          <w:rFonts w:asciiTheme="majorHAnsi" w:hAnsiTheme="majorHAnsi" w:cstheme="majorHAnsi"/>
        </w:rPr>
        <w:t>.</w:t>
      </w:r>
      <w:r w:rsidR="004536A7" w:rsidRPr="0053555E">
        <w:rPr>
          <w:rFonts w:asciiTheme="majorHAnsi" w:hAnsiTheme="majorHAnsi" w:cstheme="majorHAnsi"/>
        </w:rPr>
        <w:t xml:space="preserve"> </w:t>
      </w:r>
      <w:r w:rsidR="001A492A" w:rsidRPr="0053555E">
        <w:rPr>
          <w:rFonts w:asciiTheme="majorHAnsi" w:hAnsiTheme="majorHAnsi" w:cstheme="majorHAnsi"/>
        </w:rPr>
        <w:t xml:space="preserve">V hodnotenom </w:t>
      </w:r>
      <w:r w:rsidR="004536A7" w:rsidRPr="0053555E">
        <w:rPr>
          <w:rFonts w:asciiTheme="majorHAnsi" w:hAnsiTheme="majorHAnsi" w:cstheme="majorHAnsi"/>
        </w:rPr>
        <w:t xml:space="preserve">akademickom roku </w:t>
      </w:r>
      <w:r w:rsidR="001A492A" w:rsidRPr="0053555E">
        <w:rPr>
          <w:rFonts w:asciiTheme="majorHAnsi" w:hAnsiTheme="majorHAnsi" w:cstheme="majorHAnsi"/>
        </w:rPr>
        <w:t xml:space="preserve">boli </w:t>
      </w:r>
      <w:r w:rsidR="004536A7" w:rsidRPr="0053555E">
        <w:rPr>
          <w:rFonts w:asciiTheme="majorHAnsi" w:hAnsiTheme="majorHAnsi" w:cstheme="majorHAnsi"/>
        </w:rPr>
        <w:t xml:space="preserve">priznané </w:t>
      </w:r>
      <w:r w:rsidR="005332A2" w:rsidRPr="0053555E">
        <w:rPr>
          <w:rFonts w:asciiTheme="majorHAnsi" w:hAnsiTheme="majorHAnsi" w:cstheme="majorHAnsi"/>
        </w:rPr>
        <w:t xml:space="preserve">a poskytnuté </w:t>
      </w:r>
      <w:r w:rsidR="004536A7" w:rsidRPr="0053555E">
        <w:rPr>
          <w:rFonts w:asciiTheme="majorHAnsi" w:hAnsiTheme="majorHAnsi" w:cstheme="majorHAnsi"/>
        </w:rPr>
        <w:t xml:space="preserve">motivačné štipendiá </w:t>
      </w:r>
      <w:r w:rsidR="0095720B" w:rsidRPr="0053555E">
        <w:rPr>
          <w:rFonts w:asciiTheme="majorHAnsi" w:hAnsiTheme="majorHAnsi" w:cstheme="majorHAnsi"/>
        </w:rPr>
        <w:t>odborové v</w:t>
      </w:r>
      <w:r w:rsidR="00575ADF" w:rsidRPr="0053555E">
        <w:rPr>
          <w:rFonts w:asciiTheme="majorHAnsi" w:hAnsiTheme="majorHAnsi" w:cstheme="majorHAnsi"/>
        </w:rPr>
        <w:t> </w:t>
      </w:r>
      <w:r w:rsidR="005332A2" w:rsidRPr="0053555E">
        <w:rPr>
          <w:rFonts w:asciiTheme="majorHAnsi" w:hAnsiTheme="majorHAnsi" w:cstheme="majorHAnsi"/>
        </w:rPr>
        <w:t>celkovej</w:t>
      </w:r>
      <w:r w:rsidR="0095720B" w:rsidRPr="0053555E">
        <w:rPr>
          <w:rFonts w:asciiTheme="majorHAnsi" w:hAnsiTheme="majorHAnsi" w:cstheme="majorHAnsi"/>
        </w:rPr>
        <w:t xml:space="preserve"> výške </w:t>
      </w:r>
      <w:r w:rsidR="00B75CC9" w:rsidRPr="0053555E">
        <w:rPr>
          <w:rFonts w:asciiTheme="majorHAnsi" w:hAnsiTheme="majorHAnsi" w:cstheme="majorHAnsi"/>
          <w:b/>
          <w:bCs/>
        </w:rPr>
        <w:t>1</w:t>
      </w:r>
      <w:r w:rsidR="00FD38B9">
        <w:rPr>
          <w:rFonts w:asciiTheme="majorHAnsi" w:hAnsiTheme="majorHAnsi" w:cstheme="majorHAnsi"/>
          <w:b/>
          <w:bCs/>
        </w:rPr>
        <w:t> 197 688</w:t>
      </w:r>
      <w:r w:rsidR="00B75CC9" w:rsidRPr="0053555E">
        <w:rPr>
          <w:rFonts w:asciiTheme="majorHAnsi" w:hAnsiTheme="majorHAnsi" w:cstheme="majorHAnsi"/>
          <w:b/>
          <w:bCs/>
        </w:rPr>
        <w:t xml:space="preserve"> </w:t>
      </w:r>
      <w:r w:rsidR="0095720B" w:rsidRPr="0053555E">
        <w:rPr>
          <w:rFonts w:asciiTheme="majorHAnsi" w:hAnsiTheme="majorHAnsi" w:cstheme="majorHAnsi"/>
          <w:b/>
        </w:rPr>
        <w:t>€</w:t>
      </w:r>
      <w:r w:rsidR="0095720B" w:rsidRPr="0053555E">
        <w:rPr>
          <w:rFonts w:asciiTheme="majorHAnsi" w:hAnsiTheme="majorHAnsi" w:cstheme="majorHAnsi"/>
        </w:rPr>
        <w:t xml:space="preserve"> spolu </w:t>
      </w:r>
      <w:r w:rsidR="005E224A" w:rsidRPr="0053555E">
        <w:rPr>
          <w:rFonts w:asciiTheme="majorHAnsi" w:hAnsiTheme="majorHAnsi" w:cstheme="majorHAnsi"/>
          <w:b/>
        </w:rPr>
        <w:t xml:space="preserve">3 </w:t>
      </w:r>
      <w:r w:rsidR="00FD38B9">
        <w:rPr>
          <w:rFonts w:asciiTheme="majorHAnsi" w:hAnsiTheme="majorHAnsi" w:cstheme="majorHAnsi"/>
          <w:b/>
        </w:rPr>
        <w:t>611</w:t>
      </w:r>
      <w:r w:rsidR="0095720B" w:rsidRPr="0053555E">
        <w:rPr>
          <w:rFonts w:asciiTheme="majorHAnsi" w:hAnsiTheme="majorHAnsi" w:cstheme="majorHAnsi"/>
        </w:rPr>
        <w:t xml:space="preserve"> študentom</w:t>
      </w:r>
      <w:r w:rsidR="00FA5076" w:rsidRPr="0053555E">
        <w:rPr>
          <w:rFonts w:asciiTheme="majorHAnsi" w:hAnsiTheme="majorHAnsi" w:cstheme="majorHAnsi"/>
        </w:rPr>
        <w:t xml:space="preserve"> STU</w:t>
      </w:r>
      <w:r w:rsidR="0095720B" w:rsidRPr="0053555E">
        <w:rPr>
          <w:rFonts w:asciiTheme="majorHAnsi" w:hAnsiTheme="majorHAnsi" w:cstheme="majorHAnsi"/>
        </w:rPr>
        <w:t xml:space="preserve"> študujúcim </w:t>
      </w:r>
      <w:r w:rsidR="00FA5076" w:rsidRPr="0053555E">
        <w:rPr>
          <w:rFonts w:asciiTheme="majorHAnsi" w:hAnsiTheme="majorHAnsi" w:cstheme="majorHAnsi"/>
        </w:rPr>
        <w:t xml:space="preserve">študijné programy </w:t>
      </w:r>
      <w:r w:rsidR="0095720B" w:rsidRPr="0053555E">
        <w:rPr>
          <w:rFonts w:asciiTheme="majorHAnsi" w:hAnsiTheme="majorHAnsi" w:cstheme="majorHAnsi"/>
        </w:rPr>
        <w:t>v </w:t>
      </w:r>
      <w:r w:rsidR="005E224A" w:rsidRPr="0053555E">
        <w:rPr>
          <w:rFonts w:asciiTheme="majorHAnsi" w:hAnsiTheme="majorHAnsi" w:cstheme="majorHAnsi"/>
          <w:b/>
        </w:rPr>
        <w:t>1</w:t>
      </w:r>
      <w:r w:rsidR="00581C41">
        <w:rPr>
          <w:rFonts w:asciiTheme="majorHAnsi" w:hAnsiTheme="majorHAnsi" w:cstheme="majorHAnsi"/>
          <w:b/>
        </w:rPr>
        <w:t>0</w:t>
      </w:r>
      <w:r w:rsidR="0095720B" w:rsidRPr="0053555E">
        <w:rPr>
          <w:rFonts w:asciiTheme="majorHAnsi" w:hAnsiTheme="majorHAnsi" w:cstheme="majorHAnsi"/>
          <w:b/>
        </w:rPr>
        <w:t xml:space="preserve"> </w:t>
      </w:r>
      <w:r w:rsidR="00537FE1" w:rsidRPr="0053555E">
        <w:rPr>
          <w:rFonts w:asciiTheme="majorHAnsi" w:hAnsiTheme="majorHAnsi" w:cstheme="majorHAnsi"/>
          <w:b/>
        </w:rPr>
        <w:t xml:space="preserve">vybraných </w:t>
      </w:r>
      <w:r w:rsidR="0095720B" w:rsidRPr="0053555E">
        <w:rPr>
          <w:rFonts w:asciiTheme="majorHAnsi" w:hAnsiTheme="majorHAnsi" w:cstheme="majorHAnsi"/>
          <w:b/>
        </w:rPr>
        <w:t>študijných odboro</w:t>
      </w:r>
      <w:r w:rsidR="00591A23" w:rsidRPr="0053555E">
        <w:rPr>
          <w:rFonts w:asciiTheme="majorHAnsi" w:hAnsiTheme="majorHAnsi" w:cstheme="majorHAnsi"/>
          <w:b/>
        </w:rPr>
        <w:t>ch</w:t>
      </w:r>
      <w:r w:rsidR="0037048B" w:rsidRPr="0053555E">
        <w:rPr>
          <w:rFonts w:asciiTheme="majorHAnsi" w:hAnsiTheme="majorHAnsi" w:cstheme="majorHAnsi"/>
          <w:b/>
        </w:rPr>
        <w:t xml:space="preserve"> </w:t>
      </w:r>
      <w:r w:rsidR="00537FE1" w:rsidRPr="0053555E">
        <w:rPr>
          <w:rFonts w:asciiTheme="majorHAnsi" w:hAnsiTheme="majorHAnsi" w:cstheme="majorHAnsi"/>
        </w:rPr>
        <w:t>na </w:t>
      </w:r>
      <w:r w:rsidR="0037048B" w:rsidRPr="0053555E">
        <w:rPr>
          <w:rFonts w:asciiTheme="majorHAnsi" w:hAnsiTheme="majorHAnsi" w:cstheme="majorHAnsi"/>
        </w:rPr>
        <w:t xml:space="preserve">všetkých </w:t>
      </w:r>
      <w:r w:rsidR="00D152AD" w:rsidRPr="0053555E">
        <w:rPr>
          <w:rFonts w:asciiTheme="majorHAnsi" w:hAnsiTheme="majorHAnsi" w:cstheme="majorHAnsi"/>
        </w:rPr>
        <w:t>súčastiach</w:t>
      </w:r>
      <w:r w:rsidR="0037048B" w:rsidRPr="0053555E">
        <w:rPr>
          <w:rFonts w:asciiTheme="majorHAnsi" w:hAnsiTheme="majorHAnsi" w:cstheme="majorHAnsi"/>
        </w:rPr>
        <w:t xml:space="preserve"> STU s výnimkou </w:t>
      </w:r>
      <w:r w:rsidR="009D4BD1" w:rsidRPr="0053555E">
        <w:rPr>
          <w:rFonts w:asciiTheme="majorHAnsi" w:hAnsiTheme="majorHAnsi" w:cstheme="majorHAnsi"/>
        </w:rPr>
        <w:t>FAD</w:t>
      </w:r>
      <w:r w:rsidR="0037048B" w:rsidRPr="0053555E">
        <w:rPr>
          <w:rFonts w:asciiTheme="majorHAnsi" w:hAnsiTheme="majorHAnsi" w:cstheme="majorHAnsi"/>
        </w:rPr>
        <w:t xml:space="preserve"> a ÚM.</w:t>
      </w:r>
      <w:r w:rsidR="0095720B" w:rsidRPr="0053555E">
        <w:rPr>
          <w:rFonts w:asciiTheme="majorHAnsi" w:hAnsiTheme="majorHAnsi" w:cstheme="majorHAnsi"/>
        </w:rPr>
        <w:t xml:space="preserve"> </w:t>
      </w:r>
      <w:r w:rsidR="00880682">
        <w:rPr>
          <w:rFonts w:asciiTheme="majorHAnsi" w:hAnsiTheme="majorHAnsi" w:cstheme="majorHAnsi"/>
        </w:rPr>
        <w:t xml:space="preserve">V porovnaní s </w:t>
      </w:r>
      <w:r w:rsidR="00CA7DD6" w:rsidRPr="0053555E">
        <w:rPr>
          <w:rFonts w:asciiTheme="majorHAnsi" w:hAnsiTheme="majorHAnsi" w:cstheme="majorHAnsi"/>
        </w:rPr>
        <w:t>akademick</w:t>
      </w:r>
      <w:r w:rsidR="00880682">
        <w:rPr>
          <w:rFonts w:asciiTheme="majorHAnsi" w:hAnsiTheme="majorHAnsi" w:cstheme="majorHAnsi"/>
        </w:rPr>
        <w:t>ým</w:t>
      </w:r>
      <w:r w:rsidR="00EF1735" w:rsidRPr="0053555E">
        <w:rPr>
          <w:rFonts w:asciiTheme="majorHAnsi" w:hAnsiTheme="majorHAnsi" w:cstheme="majorHAnsi"/>
        </w:rPr>
        <w:t xml:space="preserve"> rok</w:t>
      </w:r>
      <w:r w:rsidR="00880682">
        <w:rPr>
          <w:rFonts w:asciiTheme="majorHAnsi" w:hAnsiTheme="majorHAnsi" w:cstheme="majorHAnsi"/>
        </w:rPr>
        <w:t>om</w:t>
      </w:r>
      <w:r w:rsidR="00EF1735" w:rsidRPr="0053555E">
        <w:rPr>
          <w:rFonts w:asciiTheme="majorHAnsi" w:hAnsiTheme="majorHAnsi" w:cstheme="majorHAnsi"/>
        </w:rPr>
        <w:t xml:space="preserve"> </w:t>
      </w:r>
      <w:r w:rsidR="005F6FF1" w:rsidRPr="0053555E">
        <w:rPr>
          <w:rFonts w:asciiTheme="majorHAnsi" w:hAnsiTheme="majorHAnsi" w:cstheme="majorHAnsi"/>
        </w:rPr>
        <w:t>20</w:t>
      </w:r>
      <w:r w:rsidR="00C73F49">
        <w:rPr>
          <w:rFonts w:asciiTheme="majorHAnsi" w:hAnsiTheme="majorHAnsi" w:cstheme="majorHAnsi"/>
        </w:rPr>
        <w:t>20</w:t>
      </w:r>
      <w:r w:rsidR="008420D1" w:rsidRPr="0053555E">
        <w:rPr>
          <w:rFonts w:asciiTheme="majorHAnsi" w:hAnsiTheme="majorHAnsi" w:cstheme="majorHAnsi"/>
        </w:rPr>
        <w:t>/202</w:t>
      </w:r>
      <w:r w:rsidR="00C73F49">
        <w:rPr>
          <w:rFonts w:asciiTheme="majorHAnsi" w:hAnsiTheme="majorHAnsi" w:cstheme="majorHAnsi"/>
        </w:rPr>
        <w:t>1</w:t>
      </w:r>
      <w:r w:rsidR="005E224A" w:rsidRPr="0053555E">
        <w:rPr>
          <w:rFonts w:asciiTheme="majorHAnsi" w:hAnsiTheme="majorHAnsi" w:cstheme="majorHAnsi"/>
        </w:rPr>
        <w:t xml:space="preserve"> STU</w:t>
      </w:r>
      <w:r w:rsidR="00EF1735" w:rsidRPr="0053555E">
        <w:rPr>
          <w:rFonts w:asciiTheme="majorHAnsi" w:hAnsiTheme="majorHAnsi" w:cstheme="majorHAnsi"/>
        </w:rPr>
        <w:t xml:space="preserve"> poskytla</w:t>
      </w:r>
      <w:r w:rsidR="0094716E" w:rsidRPr="0053555E">
        <w:rPr>
          <w:rFonts w:asciiTheme="majorHAnsi" w:hAnsiTheme="majorHAnsi" w:cstheme="majorHAnsi"/>
        </w:rPr>
        <w:t xml:space="preserve"> </w:t>
      </w:r>
      <w:r w:rsidR="0094716E" w:rsidRPr="0053555E">
        <w:rPr>
          <w:rFonts w:asciiTheme="majorHAnsi" w:hAnsiTheme="majorHAnsi" w:cstheme="majorHAnsi"/>
          <w:b/>
        </w:rPr>
        <w:t>o</w:t>
      </w:r>
      <w:r w:rsidR="00790423" w:rsidRPr="0053555E">
        <w:rPr>
          <w:rFonts w:asciiTheme="majorHAnsi" w:hAnsiTheme="majorHAnsi" w:cstheme="majorHAnsi"/>
          <w:b/>
        </w:rPr>
        <w:t> </w:t>
      </w:r>
      <w:r w:rsidR="00C73F49">
        <w:rPr>
          <w:rFonts w:asciiTheme="majorHAnsi" w:hAnsiTheme="majorHAnsi" w:cstheme="majorHAnsi"/>
          <w:b/>
        </w:rPr>
        <w:t>89</w:t>
      </w:r>
      <w:r w:rsidR="00790423" w:rsidRPr="0053555E">
        <w:rPr>
          <w:rFonts w:asciiTheme="majorHAnsi" w:hAnsiTheme="majorHAnsi" w:cstheme="majorHAnsi"/>
          <w:b/>
        </w:rPr>
        <w:t> </w:t>
      </w:r>
      <w:r w:rsidR="003E006E" w:rsidRPr="0053555E">
        <w:rPr>
          <w:rFonts w:asciiTheme="majorHAnsi" w:hAnsiTheme="majorHAnsi" w:cstheme="majorHAnsi"/>
          <w:b/>
        </w:rPr>
        <w:t>motivačn</w:t>
      </w:r>
      <w:r w:rsidR="0094716E" w:rsidRPr="0053555E">
        <w:rPr>
          <w:rFonts w:asciiTheme="majorHAnsi" w:hAnsiTheme="majorHAnsi" w:cstheme="majorHAnsi"/>
          <w:b/>
        </w:rPr>
        <w:t>ých</w:t>
      </w:r>
      <w:r w:rsidR="003E006E" w:rsidRPr="0053555E">
        <w:rPr>
          <w:rFonts w:asciiTheme="majorHAnsi" w:hAnsiTheme="majorHAnsi" w:cstheme="majorHAnsi"/>
          <w:b/>
        </w:rPr>
        <w:t xml:space="preserve"> štipendi</w:t>
      </w:r>
      <w:r w:rsidR="0094716E" w:rsidRPr="0053555E">
        <w:rPr>
          <w:rFonts w:asciiTheme="majorHAnsi" w:hAnsiTheme="majorHAnsi" w:cstheme="majorHAnsi"/>
          <w:b/>
        </w:rPr>
        <w:t>í</w:t>
      </w:r>
      <w:r w:rsidR="003E006E" w:rsidRPr="0053555E">
        <w:rPr>
          <w:rFonts w:asciiTheme="majorHAnsi" w:hAnsiTheme="majorHAnsi" w:cstheme="majorHAnsi"/>
          <w:b/>
        </w:rPr>
        <w:t xml:space="preserve"> odborov</w:t>
      </w:r>
      <w:r w:rsidR="0094716E" w:rsidRPr="0053555E">
        <w:rPr>
          <w:rFonts w:asciiTheme="majorHAnsi" w:hAnsiTheme="majorHAnsi" w:cstheme="majorHAnsi"/>
          <w:b/>
        </w:rPr>
        <w:t xml:space="preserve">ých </w:t>
      </w:r>
      <w:r w:rsidR="00C73F49">
        <w:rPr>
          <w:rFonts w:asciiTheme="majorHAnsi" w:hAnsiTheme="majorHAnsi" w:cstheme="majorHAnsi"/>
          <w:b/>
        </w:rPr>
        <w:t>menej</w:t>
      </w:r>
      <w:r w:rsidR="00B61B77" w:rsidRPr="0053555E">
        <w:rPr>
          <w:rFonts w:asciiTheme="majorHAnsi" w:hAnsiTheme="majorHAnsi" w:cstheme="majorHAnsi"/>
        </w:rPr>
        <w:t xml:space="preserve"> </w:t>
      </w:r>
      <w:r w:rsidR="00386AD8" w:rsidRPr="0053555E">
        <w:rPr>
          <w:rFonts w:asciiTheme="majorHAnsi" w:hAnsiTheme="majorHAnsi" w:cstheme="majorHAnsi"/>
        </w:rPr>
        <w:t xml:space="preserve">v celkovej výške </w:t>
      </w:r>
      <w:r w:rsidR="004B06C7" w:rsidRPr="0053555E">
        <w:rPr>
          <w:rFonts w:asciiTheme="majorHAnsi" w:hAnsiTheme="majorHAnsi" w:cstheme="majorHAnsi"/>
          <w:b/>
        </w:rPr>
        <w:t>nižšej</w:t>
      </w:r>
      <w:r w:rsidR="00386AD8" w:rsidRPr="0053555E">
        <w:rPr>
          <w:rFonts w:asciiTheme="majorHAnsi" w:hAnsiTheme="majorHAnsi" w:cstheme="majorHAnsi"/>
          <w:b/>
        </w:rPr>
        <w:t xml:space="preserve"> </w:t>
      </w:r>
      <w:r w:rsidR="003E006E" w:rsidRPr="0053555E">
        <w:rPr>
          <w:rFonts w:asciiTheme="majorHAnsi" w:hAnsiTheme="majorHAnsi" w:cstheme="majorHAnsi"/>
          <w:b/>
        </w:rPr>
        <w:t>o</w:t>
      </w:r>
      <w:r w:rsidR="00C73F49">
        <w:rPr>
          <w:rFonts w:asciiTheme="majorHAnsi" w:hAnsiTheme="majorHAnsi" w:cstheme="majorHAnsi"/>
          <w:b/>
        </w:rPr>
        <w:t> 159 583</w:t>
      </w:r>
      <w:r w:rsidR="003E006E" w:rsidRPr="0053555E">
        <w:rPr>
          <w:rFonts w:asciiTheme="majorHAnsi" w:hAnsiTheme="majorHAnsi" w:cstheme="majorHAnsi"/>
          <w:b/>
        </w:rPr>
        <w:t xml:space="preserve"> €</w:t>
      </w:r>
      <w:r w:rsidR="005E03CE" w:rsidRPr="0053555E">
        <w:rPr>
          <w:rFonts w:asciiTheme="majorHAnsi" w:hAnsiTheme="majorHAnsi" w:cstheme="majorHAnsi"/>
        </w:rPr>
        <w:t xml:space="preserve">, pričom celková výška poskytnutých motivačných štipendií </w:t>
      </w:r>
      <w:r w:rsidR="00C1697A" w:rsidRPr="0053555E">
        <w:rPr>
          <w:rFonts w:asciiTheme="majorHAnsi" w:hAnsiTheme="majorHAnsi" w:cstheme="majorHAnsi"/>
        </w:rPr>
        <w:t>odborových</w:t>
      </w:r>
      <w:r w:rsidR="005E03CE" w:rsidRPr="0053555E">
        <w:rPr>
          <w:rFonts w:asciiTheme="majorHAnsi" w:hAnsiTheme="majorHAnsi" w:cstheme="majorHAnsi"/>
        </w:rPr>
        <w:t xml:space="preserve"> sa o</w:t>
      </w:r>
      <w:r w:rsidR="00C1697A" w:rsidRPr="0053555E">
        <w:rPr>
          <w:rFonts w:asciiTheme="majorHAnsi" w:hAnsiTheme="majorHAnsi" w:cstheme="majorHAnsi"/>
        </w:rPr>
        <w:t xml:space="preserve">dvíja od </w:t>
      </w:r>
      <w:r w:rsidR="004B06C7" w:rsidRPr="0053555E">
        <w:rPr>
          <w:rFonts w:asciiTheme="majorHAnsi" w:hAnsiTheme="majorHAnsi" w:cstheme="majorHAnsi"/>
        </w:rPr>
        <w:t xml:space="preserve">dotácie </w:t>
      </w:r>
      <w:r w:rsidR="001920D6" w:rsidRPr="0053555E">
        <w:rPr>
          <w:rFonts w:asciiTheme="majorHAnsi" w:hAnsiTheme="majorHAnsi" w:cstheme="majorHAnsi"/>
        </w:rPr>
        <w:t xml:space="preserve">zo štátneho rozpočtu </w:t>
      </w:r>
      <w:r w:rsidR="00C1697A" w:rsidRPr="0053555E">
        <w:rPr>
          <w:rFonts w:asciiTheme="majorHAnsi" w:hAnsiTheme="majorHAnsi" w:cstheme="majorHAnsi"/>
        </w:rPr>
        <w:t>poskytnutej na </w:t>
      </w:r>
      <w:r w:rsidR="005E03CE" w:rsidRPr="0053555E">
        <w:rPr>
          <w:rFonts w:asciiTheme="majorHAnsi" w:hAnsiTheme="majorHAnsi" w:cstheme="majorHAnsi"/>
        </w:rPr>
        <w:t>uvedený účel</w:t>
      </w:r>
      <w:r w:rsidR="008A710B" w:rsidRPr="0053555E">
        <w:rPr>
          <w:rFonts w:asciiTheme="majorHAnsi" w:hAnsiTheme="majorHAnsi" w:cstheme="majorHAnsi"/>
        </w:rPr>
        <w:t xml:space="preserve"> </w:t>
      </w:r>
      <w:r w:rsidR="00271BF5">
        <w:rPr>
          <w:rFonts w:asciiTheme="majorHAnsi" w:hAnsiTheme="majorHAnsi" w:cstheme="majorHAnsi"/>
        </w:rPr>
        <w:t>v</w:t>
      </w:r>
      <w:r w:rsidR="008A710B" w:rsidRPr="0053555E">
        <w:rPr>
          <w:rFonts w:asciiTheme="majorHAnsi" w:hAnsiTheme="majorHAnsi" w:cstheme="majorHAnsi"/>
        </w:rPr>
        <w:t xml:space="preserve"> rok</w:t>
      </w:r>
      <w:r w:rsidR="00271BF5">
        <w:rPr>
          <w:rFonts w:asciiTheme="majorHAnsi" w:hAnsiTheme="majorHAnsi" w:cstheme="majorHAnsi"/>
        </w:rPr>
        <w:t>u</w:t>
      </w:r>
      <w:r w:rsidR="008A710B" w:rsidRPr="0053555E">
        <w:rPr>
          <w:rFonts w:asciiTheme="majorHAnsi" w:hAnsiTheme="majorHAnsi" w:cstheme="majorHAnsi"/>
        </w:rPr>
        <w:t xml:space="preserve"> 202</w:t>
      </w:r>
      <w:r w:rsidR="00271BF5">
        <w:rPr>
          <w:rFonts w:asciiTheme="majorHAnsi" w:hAnsiTheme="majorHAnsi" w:cstheme="majorHAnsi"/>
        </w:rPr>
        <w:t>2</w:t>
      </w:r>
      <w:r w:rsidR="00B61B77" w:rsidRPr="0053555E">
        <w:rPr>
          <w:rFonts w:asciiTheme="majorHAnsi" w:hAnsiTheme="majorHAnsi" w:cstheme="majorHAnsi"/>
        </w:rPr>
        <w:t>.</w:t>
      </w:r>
      <w:r w:rsidR="00AD170B" w:rsidRPr="0053555E">
        <w:rPr>
          <w:rFonts w:asciiTheme="majorHAnsi" w:hAnsiTheme="majorHAnsi" w:cstheme="majorHAnsi"/>
        </w:rPr>
        <w:t xml:space="preserve"> </w:t>
      </w:r>
      <w:r w:rsidR="00126504" w:rsidRPr="0053555E">
        <w:rPr>
          <w:rFonts w:asciiTheme="majorHAnsi" w:hAnsiTheme="majorHAnsi" w:cstheme="majorHAnsi"/>
        </w:rPr>
        <w:t>Prehľad priznaných motivačných štipendií odborových na</w:t>
      </w:r>
      <w:r w:rsidR="00536B00">
        <w:rPr>
          <w:rFonts w:asciiTheme="majorHAnsi" w:hAnsiTheme="majorHAnsi" w:cstheme="majorHAnsi"/>
        </w:rPr>
        <w:t xml:space="preserve"> jednotlivých súčastiach </w:t>
      </w:r>
      <w:r w:rsidR="00126504" w:rsidRPr="0053555E">
        <w:rPr>
          <w:rFonts w:asciiTheme="majorHAnsi" w:hAnsiTheme="majorHAnsi" w:cstheme="majorHAnsi"/>
        </w:rPr>
        <w:t>STU je uvedený v </w:t>
      </w:r>
      <w:r w:rsidR="001B62D3" w:rsidRPr="00E054C5">
        <w:rPr>
          <w:rFonts w:asciiTheme="majorHAnsi" w:hAnsiTheme="majorHAnsi" w:cstheme="majorHAnsi"/>
          <w:sz w:val="20"/>
        </w:rPr>
        <w:fldChar w:fldCharType="begin"/>
      </w:r>
      <w:r w:rsidR="001B62D3" w:rsidRPr="0053555E">
        <w:rPr>
          <w:rFonts w:asciiTheme="majorHAnsi" w:hAnsiTheme="majorHAnsi" w:cstheme="majorHAnsi"/>
          <w:sz w:val="20"/>
        </w:rPr>
        <w:instrText xml:space="preserve"> REF _Ref31718896 \h </w:instrText>
      </w:r>
      <w:r w:rsidR="00D63348" w:rsidRPr="0053555E">
        <w:rPr>
          <w:rFonts w:asciiTheme="majorHAnsi" w:hAnsiTheme="majorHAnsi" w:cstheme="majorHAnsi"/>
          <w:sz w:val="20"/>
        </w:rPr>
        <w:instrText xml:space="preserve"> \* MERGEFORMAT </w:instrText>
      </w:r>
      <w:r w:rsidR="001B62D3" w:rsidRPr="00E054C5">
        <w:rPr>
          <w:rFonts w:asciiTheme="majorHAnsi" w:hAnsiTheme="majorHAnsi" w:cstheme="majorHAnsi"/>
          <w:sz w:val="20"/>
        </w:rPr>
      </w:r>
      <w:r w:rsidR="001B62D3" w:rsidRPr="00E054C5">
        <w:rPr>
          <w:rFonts w:asciiTheme="majorHAnsi" w:hAnsiTheme="majorHAnsi" w:cstheme="majorHAnsi"/>
          <w:sz w:val="20"/>
        </w:rPr>
        <w:fldChar w:fldCharType="separate"/>
      </w:r>
      <w:r w:rsidR="00E054C5">
        <w:rPr>
          <w:rFonts w:asciiTheme="majorHAnsi" w:hAnsiTheme="majorHAnsi" w:cstheme="majorHAnsi"/>
          <w:sz w:val="20"/>
        </w:rPr>
        <w:t xml:space="preserve">Tab. č. </w:t>
      </w:r>
      <w:r w:rsidR="00E054C5" w:rsidRPr="00E054C5">
        <w:rPr>
          <w:rFonts w:asciiTheme="majorHAnsi" w:hAnsiTheme="majorHAnsi" w:cstheme="majorHAnsi"/>
        </w:rPr>
        <w:t>5</w:t>
      </w:r>
      <w:r w:rsidR="00EE1B59" w:rsidRPr="00E054C5">
        <w:rPr>
          <w:rFonts w:asciiTheme="majorHAnsi" w:hAnsiTheme="majorHAnsi" w:cstheme="majorHAnsi"/>
        </w:rPr>
        <w:t>3</w:t>
      </w:r>
      <w:r w:rsidR="001B62D3" w:rsidRPr="00E054C5">
        <w:rPr>
          <w:rFonts w:asciiTheme="majorHAnsi" w:hAnsiTheme="majorHAnsi" w:cstheme="majorHAnsi"/>
        </w:rPr>
        <w:fldChar w:fldCharType="end"/>
      </w:r>
      <w:r w:rsidR="00126504" w:rsidRPr="0053555E">
        <w:rPr>
          <w:rFonts w:asciiTheme="majorHAnsi" w:hAnsiTheme="majorHAnsi" w:cstheme="majorHAnsi"/>
        </w:rPr>
        <w:t>.</w:t>
      </w:r>
      <w:r w:rsidR="0035140F">
        <w:rPr>
          <w:rFonts w:asciiTheme="majorHAnsi" w:hAnsiTheme="majorHAnsi" w:cstheme="majorHAnsi"/>
        </w:rPr>
        <w:t xml:space="preserve"> </w:t>
      </w:r>
    </w:p>
    <w:p w14:paraId="24F0AB6D" w14:textId="16FD8AD1" w:rsidR="00402861" w:rsidRPr="0053555E" w:rsidRDefault="001B62D3" w:rsidP="000E3322">
      <w:pPr>
        <w:pStyle w:val="Popis"/>
      </w:pPr>
      <w:bookmarkStart w:id="218" w:name="_Ref31718896"/>
      <w:bookmarkStart w:id="219" w:name="_Toc127593306"/>
      <w:r w:rsidRPr="0053555E">
        <w:lastRenderedPageBreak/>
        <w:t xml:space="preserve">Tab. č. </w:t>
      </w:r>
      <w:r w:rsidR="007B5953">
        <w:fldChar w:fldCharType="begin"/>
      </w:r>
      <w:r w:rsidR="007B5953">
        <w:instrText xml:space="preserve"> SEQ Tab._č. \* ARABIC </w:instrText>
      </w:r>
      <w:r w:rsidR="007B5953">
        <w:fldChar w:fldCharType="separate"/>
      </w:r>
      <w:r w:rsidR="00E054C5">
        <w:rPr>
          <w:noProof/>
        </w:rPr>
        <w:t>5</w:t>
      </w:r>
      <w:r w:rsidR="00EE1B59">
        <w:rPr>
          <w:noProof/>
        </w:rPr>
        <w:t>3</w:t>
      </w:r>
      <w:r w:rsidR="007B5953">
        <w:rPr>
          <w:noProof/>
        </w:rPr>
        <w:fldChar w:fldCharType="end"/>
      </w:r>
      <w:bookmarkEnd w:id="218"/>
      <w:r w:rsidRPr="0053555E">
        <w:t>:</w:t>
      </w:r>
      <w:r w:rsidR="00402861" w:rsidRPr="0053555E">
        <w:t xml:space="preserve"> Motivačné štipendiá odborové poskytnuté študentom </w:t>
      </w:r>
      <w:r w:rsidR="001A492A" w:rsidRPr="0053555E">
        <w:t xml:space="preserve">STU v </w:t>
      </w:r>
      <w:r w:rsidR="00402861" w:rsidRPr="0053555E">
        <w:t>akad</w:t>
      </w:r>
      <w:r w:rsidR="001A492A" w:rsidRPr="0053555E">
        <w:t>emickom</w:t>
      </w:r>
      <w:r w:rsidR="00402861" w:rsidRPr="0053555E">
        <w:t xml:space="preserve"> roku </w:t>
      </w:r>
      <w:r w:rsidR="00EA24BA" w:rsidRPr="0053555E">
        <w:t>2021/2022</w:t>
      </w:r>
      <w:bookmarkEnd w:id="219"/>
    </w:p>
    <w:tbl>
      <w:tblPr>
        <w:tblW w:w="7737" w:type="dxa"/>
        <w:tblInd w:w="55" w:type="dxa"/>
        <w:tblCellMar>
          <w:left w:w="70" w:type="dxa"/>
          <w:right w:w="70" w:type="dxa"/>
        </w:tblCellMar>
        <w:tblLook w:val="04A0" w:firstRow="1" w:lastRow="0" w:firstColumn="1" w:lastColumn="0" w:noHBand="0" w:noVBand="1"/>
      </w:tblPr>
      <w:tblGrid>
        <w:gridCol w:w="1216"/>
        <w:gridCol w:w="4536"/>
        <w:gridCol w:w="1985"/>
      </w:tblGrid>
      <w:tr w:rsidR="00971CBC" w:rsidRPr="0053555E" w14:paraId="7627CE3C" w14:textId="77777777" w:rsidTr="003F75F8">
        <w:trPr>
          <w:trHeight w:val="20"/>
        </w:trPr>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D34BD" w14:textId="77777777" w:rsidR="007D59DB" w:rsidRPr="0053555E" w:rsidRDefault="002907D0" w:rsidP="0032443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Súčasť STU</w:t>
            </w:r>
            <w:r w:rsidR="00971CBC" w:rsidRPr="0053555E">
              <w:rPr>
                <w:rFonts w:asciiTheme="majorHAnsi" w:eastAsia="Times New Roman" w:hAnsiTheme="majorHAnsi" w:cstheme="majorHAnsi"/>
                <w:b/>
                <w:bCs/>
                <w:szCs w:val="22"/>
                <w:lang w:eastAsia="sk-SK"/>
              </w:rPr>
              <w:t xml:space="preserve"> </w:t>
            </w:r>
          </w:p>
        </w:tc>
        <w:tc>
          <w:tcPr>
            <w:tcW w:w="4536" w:type="dxa"/>
            <w:tcBorders>
              <w:top w:val="single" w:sz="4" w:space="0" w:color="auto"/>
              <w:left w:val="nil"/>
              <w:bottom w:val="single" w:sz="4" w:space="0" w:color="auto"/>
              <w:right w:val="single" w:sz="4" w:space="0" w:color="auto"/>
            </w:tcBorders>
            <w:vAlign w:val="center"/>
          </w:tcPr>
          <w:p w14:paraId="0A0CFCB9" w14:textId="77777777" w:rsidR="00971CBC" w:rsidRPr="0053555E" w:rsidRDefault="00971CBC" w:rsidP="00324438">
            <w:pPr>
              <w:tabs>
                <w:tab w:val="left" w:pos="9356"/>
              </w:tabs>
              <w:jc w:val="center"/>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Celková suma poskytnutých štipendií v €</w:t>
            </w:r>
          </w:p>
        </w:tc>
        <w:tc>
          <w:tcPr>
            <w:tcW w:w="1985" w:type="dxa"/>
            <w:tcBorders>
              <w:top w:val="single" w:sz="4" w:space="0" w:color="auto"/>
              <w:left w:val="single" w:sz="4" w:space="0" w:color="auto"/>
              <w:bottom w:val="single" w:sz="4" w:space="0" w:color="auto"/>
              <w:right w:val="single" w:sz="4" w:space="0" w:color="auto"/>
            </w:tcBorders>
            <w:vAlign w:val="center"/>
          </w:tcPr>
          <w:p w14:paraId="2F47F251" w14:textId="77777777" w:rsidR="00971CBC" w:rsidRPr="0053555E" w:rsidRDefault="00971CBC" w:rsidP="00324438">
            <w:pPr>
              <w:tabs>
                <w:tab w:val="left" w:pos="9356"/>
              </w:tabs>
              <w:jc w:val="center"/>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Počet študentov</w:t>
            </w:r>
          </w:p>
        </w:tc>
      </w:tr>
      <w:tr w:rsidR="00E73CF8" w:rsidRPr="0053555E" w14:paraId="699E5BD6" w14:textId="77777777" w:rsidTr="003F75F8">
        <w:trPr>
          <w:trHeight w:val="57"/>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701FD891"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SvF</w:t>
            </w:r>
          </w:p>
        </w:tc>
        <w:tc>
          <w:tcPr>
            <w:tcW w:w="4536" w:type="dxa"/>
            <w:tcBorders>
              <w:top w:val="single" w:sz="4" w:space="0" w:color="auto"/>
              <w:left w:val="nil"/>
              <w:bottom w:val="single" w:sz="4" w:space="0" w:color="auto"/>
              <w:right w:val="single" w:sz="4" w:space="0" w:color="auto"/>
            </w:tcBorders>
            <w:vAlign w:val="bottom"/>
          </w:tcPr>
          <w:p w14:paraId="10C42DC9" w14:textId="268F276A" w:rsidR="00E73CF8" w:rsidRPr="0053555E" w:rsidRDefault="00E73CF8" w:rsidP="00E73CF8">
            <w:pPr>
              <w:jc w:val="center"/>
              <w:rPr>
                <w:rFonts w:asciiTheme="majorHAnsi" w:hAnsiTheme="majorHAnsi" w:cstheme="majorHAnsi"/>
                <w:szCs w:val="20"/>
              </w:rPr>
            </w:pPr>
            <w:r w:rsidRPr="0053555E">
              <w:rPr>
                <w:rFonts w:cs="Calibri"/>
                <w:szCs w:val="20"/>
              </w:rPr>
              <w:t>260 101</w:t>
            </w:r>
          </w:p>
        </w:tc>
        <w:tc>
          <w:tcPr>
            <w:tcW w:w="1985" w:type="dxa"/>
            <w:tcBorders>
              <w:top w:val="single" w:sz="4" w:space="0" w:color="auto"/>
              <w:left w:val="single" w:sz="4" w:space="0" w:color="auto"/>
              <w:bottom w:val="single" w:sz="4" w:space="0" w:color="auto"/>
              <w:right w:val="single" w:sz="4" w:space="0" w:color="auto"/>
            </w:tcBorders>
            <w:vAlign w:val="bottom"/>
          </w:tcPr>
          <w:p w14:paraId="511D3C47" w14:textId="439281D2" w:rsidR="00E73CF8" w:rsidRPr="0053555E" w:rsidRDefault="00E73CF8" w:rsidP="00E73CF8">
            <w:pPr>
              <w:jc w:val="center"/>
              <w:rPr>
                <w:rFonts w:asciiTheme="majorHAnsi" w:hAnsiTheme="majorHAnsi" w:cstheme="majorHAnsi"/>
                <w:szCs w:val="20"/>
              </w:rPr>
            </w:pPr>
            <w:r w:rsidRPr="0053555E">
              <w:rPr>
                <w:rFonts w:cs="Calibri"/>
                <w:szCs w:val="20"/>
              </w:rPr>
              <w:t>963</w:t>
            </w:r>
          </w:p>
        </w:tc>
      </w:tr>
      <w:tr w:rsidR="00E73CF8" w:rsidRPr="0053555E" w14:paraId="0A1B08A0" w14:textId="77777777" w:rsidTr="003F75F8">
        <w:trPr>
          <w:trHeight w:val="57"/>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7B361E18"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SjF</w:t>
            </w:r>
          </w:p>
        </w:tc>
        <w:tc>
          <w:tcPr>
            <w:tcW w:w="4536" w:type="dxa"/>
            <w:tcBorders>
              <w:top w:val="single" w:sz="4" w:space="0" w:color="auto"/>
              <w:left w:val="nil"/>
              <w:bottom w:val="single" w:sz="4" w:space="0" w:color="auto"/>
              <w:right w:val="single" w:sz="4" w:space="0" w:color="auto"/>
            </w:tcBorders>
            <w:vAlign w:val="bottom"/>
          </w:tcPr>
          <w:p w14:paraId="662D7A80" w14:textId="03E3DEF1" w:rsidR="00E73CF8" w:rsidRPr="0053555E" w:rsidRDefault="00E73CF8" w:rsidP="00E73CF8">
            <w:pPr>
              <w:jc w:val="center"/>
              <w:rPr>
                <w:rFonts w:asciiTheme="majorHAnsi" w:hAnsiTheme="majorHAnsi" w:cstheme="majorHAnsi"/>
                <w:szCs w:val="20"/>
              </w:rPr>
            </w:pPr>
            <w:r w:rsidRPr="0053555E">
              <w:rPr>
                <w:rFonts w:cs="Calibri"/>
                <w:szCs w:val="20"/>
              </w:rPr>
              <w:t>104 120</w:t>
            </w:r>
          </w:p>
        </w:tc>
        <w:tc>
          <w:tcPr>
            <w:tcW w:w="1985" w:type="dxa"/>
            <w:tcBorders>
              <w:top w:val="single" w:sz="4" w:space="0" w:color="auto"/>
              <w:left w:val="single" w:sz="4" w:space="0" w:color="auto"/>
              <w:bottom w:val="single" w:sz="4" w:space="0" w:color="auto"/>
              <w:right w:val="single" w:sz="4" w:space="0" w:color="auto"/>
            </w:tcBorders>
            <w:vAlign w:val="bottom"/>
          </w:tcPr>
          <w:p w14:paraId="79C15D09" w14:textId="24D5E245" w:rsidR="00E73CF8" w:rsidRPr="0053555E" w:rsidRDefault="00E73CF8" w:rsidP="00E73CF8">
            <w:pPr>
              <w:jc w:val="center"/>
              <w:rPr>
                <w:rFonts w:asciiTheme="majorHAnsi" w:hAnsiTheme="majorHAnsi" w:cstheme="majorHAnsi"/>
                <w:szCs w:val="20"/>
              </w:rPr>
            </w:pPr>
            <w:r w:rsidRPr="0053555E">
              <w:rPr>
                <w:rFonts w:cs="Calibri"/>
                <w:szCs w:val="20"/>
              </w:rPr>
              <w:t>298</w:t>
            </w:r>
          </w:p>
        </w:tc>
      </w:tr>
      <w:tr w:rsidR="00E73CF8" w:rsidRPr="0053555E" w14:paraId="46D08496" w14:textId="77777777" w:rsidTr="003F75F8">
        <w:trPr>
          <w:trHeight w:val="57"/>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4A269A65"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FEI</w:t>
            </w:r>
          </w:p>
        </w:tc>
        <w:tc>
          <w:tcPr>
            <w:tcW w:w="4536" w:type="dxa"/>
            <w:tcBorders>
              <w:top w:val="single" w:sz="4" w:space="0" w:color="auto"/>
              <w:left w:val="nil"/>
              <w:bottom w:val="single" w:sz="4" w:space="0" w:color="auto"/>
              <w:right w:val="single" w:sz="4" w:space="0" w:color="auto"/>
            </w:tcBorders>
            <w:vAlign w:val="bottom"/>
          </w:tcPr>
          <w:p w14:paraId="45FDFE57" w14:textId="52B0188B" w:rsidR="00E73CF8" w:rsidRPr="0053555E" w:rsidRDefault="00E73CF8" w:rsidP="00E73CF8">
            <w:pPr>
              <w:jc w:val="center"/>
              <w:rPr>
                <w:rFonts w:asciiTheme="majorHAnsi" w:hAnsiTheme="majorHAnsi" w:cstheme="majorHAnsi"/>
                <w:szCs w:val="20"/>
              </w:rPr>
            </w:pPr>
            <w:r w:rsidRPr="0053555E">
              <w:rPr>
                <w:rFonts w:cs="Calibri"/>
                <w:szCs w:val="20"/>
              </w:rPr>
              <w:t>306 922</w:t>
            </w:r>
          </w:p>
        </w:tc>
        <w:tc>
          <w:tcPr>
            <w:tcW w:w="1985" w:type="dxa"/>
            <w:tcBorders>
              <w:top w:val="single" w:sz="4" w:space="0" w:color="auto"/>
              <w:left w:val="single" w:sz="4" w:space="0" w:color="auto"/>
              <w:bottom w:val="single" w:sz="4" w:space="0" w:color="auto"/>
              <w:right w:val="single" w:sz="4" w:space="0" w:color="auto"/>
            </w:tcBorders>
            <w:vAlign w:val="bottom"/>
          </w:tcPr>
          <w:p w14:paraId="3C132DCA" w14:textId="4C7AFF09" w:rsidR="00E73CF8" w:rsidRPr="0053555E" w:rsidRDefault="00E73CF8" w:rsidP="00E73CF8">
            <w:pPr>
              <w:jc w:val="center"/>
              <w:rPr>
                <w:rFonts w:asciiTheme="majorHAnsi" w:hAnsiTheme="majorHAnsi" w:cstheme="majorHAnsi"/>
                <w:szCs w:val="20"/>
              </w:rPr>
            </w:pPr>
            <w:r w:rsidRPr="0053555E">
              <w:rPr>
                <w:rFonts w:cs="Calibri"/>
                <w:szCs w:val="20"/>
              </w:rPr>
              <w:t>698</w:t>
            </w:r>
          </w:p>
        </w:tc>
      </w:tr>
      <w:tr w:rsidR="00E73CF8" w:rsidRPr="0053555E" w14:paraId="1230341F" w14:textId="77777777" w:rsidTr="003F75F8">
        <w:trPr>
          <w:trHeight w:val="57"/>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487B3F0A"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FCHPT</w:t>
            </w:r>
          </w:p>
        </w:tc>
        <w:tc>
          <w:tcPr>
            <w:tcW w:w="4536" w:type="dxa"/>
            <w:tcBorders>
              <w:top w:val="single" w:sz="4" w:space="0" w:color="auto"/>
              <w:left w:val="nil"/>
              <w:bottom w:val="single" w:sz="4" w:space="0" w:color="auto"/>
              <w:right w:val="single" w:sz="4" w:space="0" w:color="auto"/>
            </w:tcBorders>
            <w:vAlign w:val="bottom"/>
          </w:tcPr>
          <w:p w14:paraId="3B2E4696" w14:textId="2547D15D" w:rsidR="00E73CF8" w:rsidRPr="0053555E" w:rsidRDefault="00E73CF8" w:rsidP="00E73CF8">
            <w:pPr>
              <w:jc w:val="center"/>
              <w:rPr>
                <w:rFonts w:asciiTheme="majorHAnsi" w:hAnsiTheme="majorHAnsi" w:cstheme="majorHAnsi"/>
                <w:szCs w:val="20"/>
              </w:rPr>
            </w:pPr>
            <w:r w:rsidRPr="0053555E">
              <w:rPr>
                <w:rFonts w:cs="Calibri"/>
                <w:szCs w:val="20"/>
              </w:rPr>
              <w:t>170 571</w:t>
            </w:r>
          </w:p>
        </w:tc>
        <w:tc>
          <w:tcPr>
            <w:tcW w:w="1985" w:type="dxa"/>
            <w:tcBorders>
              <w:top w:val="single" w:sz="4" w:space="0" w:color="auto"/>
              <w:left w:val="single" w:sz="4" w:space="0" w:color="auto"/>
              <w:bottom w:val="single" w:sz="4" w:space="0" w:color="auto"/>
              <w:right w:val="single" w:sz="4" w:space="0" w:color="auto"/>
            </w:tcBorders>
            <w:vAlign w:val="bottom"/>
          </w:tcPr>
          <w:p w14:paraId="7956CE2B" w14:textId="26B3B1D1" w:rsidR="00E73CF8" w:rsidRPr="0053555E" w:rsidRDefault="00E73CF8" w:rsidP="00E73CF8">
            <w:pPr>
              <w:jc w:val="center"/>
              <w:rPr>
                <w:rFonts w:asciiTheme="majorHAnsi" w:hAnsiTheme="majorHAnsi" w:cstheme="majorHAnsi"/>
                <w:szCs w:val="20"/>
              </w:rPr>
            </w:pPr>
            <w:r w:rsidRPr="0053555E">
              <w:rPr>
                <w:rFonts w:cs="Calibri"/>
                <w:szCs w:val="20"/>
              </w:rPr>
              <w:t>585</w:t>
            </w:r>
          </w:p>
        </w:tc>
      </w:tr>
      <w:tr w:rsidR="00E73CF8" w:rsidRPr="0053555E" w14:paraId="434794EA" w14:textId="77777777" w:rsidTr="003F75F8">
        <w:trPr>
          <w:trHeight w:val="57"/>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5E4C3D56"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FAD</w:t>
            </w:r>
          </w:p>
        </w:tc>
        <w:tc>
          <w:tcPr>
            <w:tcW w:w="4536" w:type="dxa"/>
            <w:tcBorders>
              <w:top w:val="single" w:sz="4" w:space="0" w:color="auto"/>
              <w:left w:val="nil"/>
              <w:bottom w:val="single" w:sz="4" w:space="0" w:color="auto"/>
              <w:right w:val="single" w:sz="4" w:space="0" w:color="auto"/>
            </w:tcBorders>
            <w:vAlign w:val="bottom"/>
          </w:tcPr>
          <w:p w14:paraId="2DD9EF4C" w14:textId="22556028" w:rsidR="00E73CF8" w:rsidRPr="0053555E" w:rsidRDefault="00E73CF8" w:rsidP="00E73CF8">
            <w:pPr>
              <w:jc w:val="center"/>
              <w:rPr>
                <w:rFonts w:asciiTheme="majorHAnsi" w:hAnsiTheme="majorHAnsi" w:cstheme="majorHAnsi"/>
                <w:szCs w:val="20"/>
              </w:rPr>
            </w:pPr>
            <w:r w:rsidRPr="0053555E">
              <w:rPr>
                <w:rFonts w:cs="Calibri"/>
                <w:szCs w:val="20"/>
              </w:rPr>
              <w:t>0</w:t>
            </w:r>
          </w:p>
        </w:tc>
        <w:tc>
          <w:tcPr>
            <w:tcW w:w="1985" w:type="dxa"/>
            <w:tcBorders>
              <w:top w:val="single" w:sz="4" w:space="0" w:color="auto"/>
              <w:left w:val="single" w:sz="4" w:space="0" w:color="auto"/>
              <w:bottom w:val="single" w:sz="4" w:space="0" w:color="auto"/>
              <w:right w:val="single" w:sz="4" w:space="0" w:color="auto"/>
            </w:tcBorders>
            <w:vAlign w:val="bottom"/>
          </w:tcPr>
          <w:p w14:paraId="1CBE1565" w14:textId="560952EE" w:rsidR="00E73CF8" w:rsidRPr="0053555E" w:rsidRDefault="00E73CF8" w:rsidP="00E73CF8">
            <w:pPr>
              <w:jc w:val="center"/>
              <w:rPr>
                <w:rFonts w:asciiTheme="majorHAnsi" w:hAnsiTheme="majorHAnsi" w:cstheme="majorHAnsi"/>
                <w:szCs w:val="20"/>
              </w:rPr>
            </w:pPr>
            <w:r w:rsidRPr="0053555E">
              <w:rPr>
                <w:rFonts w:cs="Calibri"/>
                <w:szCs w:val="20"/>
              </w:rPr>
              <w:t>0</w:t>
            </w:r>
          </w:p>
        </w:tc>
      </w:tr>
      <w:tr w:rsidR="00E73CF8" w:rsidRPr="0053555E" w14:paraId="18ECE34C" w14:textId="77777777" w:rsidTr="003F75F8">
        <w:trPr>
          <w:trHeight w:val="57"/>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2C28AAF4"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MTF</w:t>
            </w:r>
          </w:p>
        </w:tc>
        <w:tc>
          <w:tcPr>
            <w:tcW w:w="4536" w:type="dxa"/>
            <w:tcBorders>
              <w:top w:val="single" w:sz="4" w:space="0" w:color="auto"/>
              <w:left w:val="nil"/>
              <w:bottom w:val="single" w:sz="4" w:space="0" w:color="auto"/>
              <w:right w:val="single" w:sz="4" w:space="0" w:color="auto"/>
            </w:tcBorders>
            <w:vAlign w:val="bottom"/>
          </w:tcPr>
          <w:p w14:paraId="2F33133B" w14:textId="4D11A74C" w:rsidR="00E73CF8" w:rsidRPr="0053555E" w:rsidRDefault="00E73CF8" w:rsidP="00E73CF8">
            <w:pPr>
              <w:jc w:val="center"/>
              <w:rPr>
                <w:rFonts w:asciiTheme="majorHAnsi" w:hAnsiTheme="majorHAnsi" w:cstheme="majorHAnsi"/>
                <w:szCs w:val="20"/>
              </w:rPr>
            </w:pPr>
            <w:r w:rsidRPr="0053555E">
              <w:rPr>
                <w:rFonts w:cs="Calibri"/>
                <w:szCs w:val="20"/>
              </w:rPr>
              <w:t>207 700</w:t>
            </w:r>
          </w:p>
        </w:tc>
        <w:tc>
          <w:tcPr>
            <w:tcW w:w="1985" w:type="dxa"/>
            <w:tcBorders>
              <w:top w:val="single" w:sz="4" w:space="0" w:color="auto"/>
              <w:left w:val="single" w:sz="4" w:space="0" w:color="auto"/>
              <w:bottom w:val="single" w:sz="4" w:space="0" w:color="auto"/>
              <w:right w:val="single" w:sz="4" w:space="0" w:color="auto"/>
            </w:tcBorders>
            <w:vAlign w:val="bottom"/>
          </w:tcPr>
          <w:p w14:paraId="557587F0" w14:textId="3265FB54" w:rsidR="00E73CF8" w:rsidRPr="0053555E" w:rsidRDefault="00E73CF8" w:rsidP="00E73CF8">
            <w:pPr>
              <w:jc w:val="center"/>
              <w:rPr>
                <w:rFonts w:asciiTheme="majorHAnsi" w:hAnsiTheme="majorHAnsi" w:cstheme="majorHAnsi"/>
                <w:szCs w:val="20"/>
              </w:rPr>
            </w:pPr>
            <w:r w:rsidRPr="0053555E">
              <w:rPr>
                <w:rFonts w:cs="Calibri"/>
                <w:szCs w:val="20"/>
              </w:rPr>
              <w:t>664</w:t>
            </w:r>
          </w:p>
        </w:tc>
      </w:tr>
      <w:tr w:rsidR="00E73CF8" w:rsidRPr="0053555E" w14:paraId="758C5C34" w14:textId="77777777" w:rsidTr="003F75F8">
        <w:trPr>
          <w:trHeight w:val="57"/>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52D89DAB"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FIIT</w:t>
            </w:r>
          </w:p>
        </w:tc>
        <w:tc>
          <w:tcPr>
            <w:tcW w:w="4536" w:type="dxa"/>
            <w:tcBorders>
              <w:top w:val="single" w:sz="4" w:space="0" w:color="auto"/>
              <w:left w:val="nil"/>
              <w:bottom w:val="single" w:sz="4" w:space="0" w:color="auto"/>
              <w:right w:val="single" w:sz="4" w:space="0" w:color="auto"/>
            </w:tcBorders>
            <w:vAlign w:val="bottom"/>
          </w:tcPr>
          <w:p w14:paraId="5B2598C3" w14:textId="5742E6CE" w:rsidR="00E73CF8" w:rsidRPr="0053555E" w:rsidRDefault="00E73CF8" w:rsidP="00E73CF8">
            <w:pPr>
              <w:jc w:val="center"/>
              <w:rPr>
                <w:rFonts w:asciiTheme="majorHAnsi" w:hAnsiTheme="majorHAnsi" w:cstheme="majorHAnsi"/>
                <w:szCs w:val="20"/>
              </w:rPr>
            </w:pPr>
            <w:r w:rsidRPr="0053555E">
              <w:rPr>
                <w:rFonts w:cs="Calibri"/>
                <w:szCs w:val="20"/>
              </w:rPr>
              <w:t>148 274</w:t>
            </w:r>
          </w:p>
        </w:tc>
        <w:tc>
          <w:tcPr>
            <w:tcW w:w="1985" w:type="dxa"/>
            <w:tcBorders>
              <w:top w:val="single" w:sz="4" w:space="0" w:color="auto"/>
              <w:left w:val="single" w:sz="4" w:space="0" w:color="auto"/>
              <w:bottom w:val="single" w:sz="4" w:space="0" w:color="auto"/>
              <w:right w:val="single" w:sz="4" w:space="0" w:color="auto"/>
            </w:tcBorders>
            <w:vAlign w:val="bottom"/>
          </w:tcPr>
          <w:p w14:paraId="4C626368" w14:textId="79316691" w:rsidR="00E73CF8" w:rsidRPr="0053555E" w:rsidRDefault="00E73CF8" w:rsidP="00E73CF8">
            <w:pPr>
              <w:jc w:val="center"/>
              <w:rPr>
                <w:rFonts w:asciiTheme="majorHAnsi" w:hAnsiTheme="majorHAnsi" w:cstheme="majorHAnsi"/>
                <w:szCs w:val="20"/>
              </w:rPr>
            </w:pPr>
            <w:r w:rsidRPr="0053555E">
              <w:rPr>
                <w:rFonts w:cs="Calibri"/>
                <w:szCs w:val="20"/>
              </w:rPr>
              <w:t>403</w:t>
            </w:r>
          </w:p>
        </w:tc>
      </w:tr>
      <w:tr w:rsidR="00E73CF8" w:rsidRPr="0053555E" w14:paraId="758F891B" w14:textId="77777777" w:rsidTr="003F75F8">
        <w:trPr>
          <w:trHeight w:val="57"/>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24BA2569"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ÚM</w:t>
            </w:r>
          </w:p>
        </w:tc>
        <w:tc>
          <w:tcPr>
            <w:tcW w:w="4536" w:type="dxa"/>
            <w:tcBorders>
              <w:top w:val="single" w:sz="4" w:space="0" w:color="auto"/>
              <w:left w:val="nil"/>
              <w:bottom w:val="single" w:sz="4" w:space="0" w:color="auto"/>
              <w:right w:val="single" w:sz="4" w:space="0" w:color="auto"/>
            </w:tcBorders>
            <w:vAlign w:val="bottom"/>
          </w:tcPr>
          <w:p w14:paraId="143A03FD" w14:textId="58C42E61" w:rsidR="00E73CF8" w:rsidRPr="0053555E" w:rsidRDefault="00E73CF8" w:rsidP="00E73CF8">
            <w:pPr>
              <w:jc w:val="center"/>
              <w:rPr>
                <w:rFonts w:asciiTheme="majorHAnsi" w:hAnsiTheme="majorHAnsi" w:cstheme="majorHAnsi"/>
                <w:szCs w:val="20"/>
              </w:rPr>
            </w:pPr>
            <w:r w:rsidRPr="0053555E">
              <w:rPr>
                <w:rFonts w:cs="Calibri"/>
                <w:szCs w:val="20"/>
              </w:rPr>
              <w:t>0</w:t>
            </w:r>
          </w:p>
        </w:tc>
        <w:tc>
          <w:tcPr>
            <w:tcW w:w="1985" w:type="dxa"/>
            <w:tcBorders>
              <w:top w:val="single" w:sz="4" w:space="0" w:color="auto"/>
              <w:left w:val="single" w:sz="4" w:space="0" w:color="auto"/>
              <w:bottom w:val="single" w:sz="4" w:space="0" w:color="auto"/>
              <w:right w:val="single" w:sz="4" w:space="0" w:color="auto"/>
            </w:tcBorders>
            <w:vAlign w:val="bottom"/>
          </w:tcPr>
          <w:p w14:paraId="10B7C865" w14:textId="621CBE9F" w:rsidR="00E73CF8" w:rsidRPr="0053555E" w:rsidRDefault="00E73CF8" w:rsidP="00E73CF8">
            <w:pPr>
              <w:jc w:val="center"/>
              <w:rPr>
                <w:rFonts w:asciiTheme="majorHAnsi" w:hAnsiTheme="majorHAnsi" w:cstheme="majorHAnsi"/>
                <w:szCs w:val="20"/>
              </w:rPr>
            </w:pPr>
            <w:r w:rsidRPr="0053555E">
              <w:rPr>
                <w:rFonts w:cs="Calibri"/>
                <w:szCs w:val="20"/>
              </w:rPr>
              <w:t>0</w:t>
            </w:r>
          </w:p>
        </w:tc>
      </w:tr>
      <w:tr w:rsidR="00E73CF8" w:rsidRPr="0053555E" w14:paraId="00D870D5" w14:textId="77777777" w:rsidTr="003F75F8">
        <w:trPr>
          <w:trHeight w:val="57"/>
        </w:trPr>
        <w:tc>
          <w:tcPr>
            <w:tcW w:w="1216"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1E8BB66A"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STU</w:t>
            </w:r>
          </w:p>
        </w:tc>
        <w:tc>
          <w:tcPr>
            <w:tcW w:w="4536" w:type="dxa"/>
            <w:tcBorders>
              <w:top w:val="single" w:sz="4" w:space="0" w:color="auto"/>
              <w:left w:val="nil"/>
              <w:bottom w:val="single" w:sz="4" w:space="0" w:color="auto"/>
              <w:right w:val="single" w:sz="4" w:space="0" w:color="auto"/>
            </w:tcBorders>
            <w:shd w:val="clear" w:color="auto" w:fill="EEECE1" w:themeFill="background2"/>
            <w:vAlign w:val="bottom"/>
          </w:tcPr>
          <w:p w14:paraId="70E1BFAB" w14:textId="6DEA565F" w:rsidR="00E73CF8" w:rsidRPr="0053555E" w:rsidRDefault="00E73CF8" w:rsidP="00E73CF8">
            <w:pPr>
              <w:jc w:val="center"/>
              <w:rPr>
                <w:rFonts w:asciiTheme="majorHAnsi" w:hAnsiTheme="majorHAnsi" w:cstheme="majorHAnsi"/>
                <w:b/>
                <w:bCs/>
                <w:szCs w:val="20"/>
              </w:rPr>
            </w:pPr>
            <w:r w:rsidRPr="0053555E">
              <w:rPr>
                <w:rFonts w:cs="Calibri"/>
                <w:b/>
                <w:bCs/>
                <w:szCs w:val="20"/>
              </w:rPr>
              <w:t>1 197 688</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1F83080C" w14:textId="74A1F08E" w:rsidR="00E73CF8" w:rsidRPr="0053555E" w:rsidRDefault="00E73CF8" w:rsidP="00E73CF8">
            <w:pPr>
              <w:jc w:val="center"/>
              <w:rPr>
                <w:rFonts w:asciiTheme="majorHAnsi" w:hAnsiTheme="majorHAnsi" w:cstheme="majorHAnsi"/>
                <w:b/>
                <w:bCs/>
                <w:szCs w:val="20"/>
              </w:rPr>
            </w:pPr>
            <w:r w:rsidRPr="0053555E">
              <w:rPr>
                <w:rFonts w:cs="Calibri"/>
                <w:b/>
                <w:bCs/>
                <w:szCs w:val="20"/>
              </w:rPr>
              <w:t>3 611</w:t>
            </w:r>
          </w:p>
        </w:tc>
      </w:tr>
    </w:tbl>
    <w:p w14:paraId="0A6D3EE6" w14:textId="5648676A" w:rsidR="003064A3" w:rsidRPr="0053555E" w:rsidRDefault="006E5973" w:rsidP="00536B00">
      <w:pPr>
        <w:tabs>
          <w:tab w:val="left" w:pos="9356"/>
        </w:tabs>
        <w:spacing w:before="240" w:after="120"/>
        <w:jc w:val="both"/>
        <w:rPr>
          <w:rFonts w:asciiTheme="majorHAnsi" w:hAnsiTheme="majorHAnsi" w:cstheme="majorHAnsi"/>
        </w:rPr>
      </w:pPr>
      <w:r w:rsidRPr="00E054C5">
        <w:rPr>
          <w:rFonts w:asciiTheme="majorHAnsi" w:hAnsiTheme="majorHAnsi" w:cstheme="majorHAnsi"/>
          <w:b/>
        </w:rPr>
        <w:t>Motivačné štipendiá za vynikajúce študijné výsledky</w:t>
      </w:r>
      <w:r w:rsidRPr="0053555E">
        <w:rPr>
          <w:rFonts w:asciiTheme="majorHAnsi" w:hAnsiTheme="majorHAnsi" w:cstheme="majorHAnsi"/>
          <w:b/>
          <w:i/>
        </w:rPr>
        <w:t xml:space="preserve"> </w:t>
      </w:r>
      <w:r w:rsidR="002071AC" w:rsidRPr="0053555E">
        <w:rPr>
          <w:rFonts w:asciiTheme="majorHAnsi" w:hAnsiTheme="majorHAnsi" w:cstheme="majorHAnsi"/>
        </w:rPr>
        <w:t>bol</w:t>
      </w:r>
      <w:r w:rsidRPr="0053555E">
        <w:rPr>
          <w:rFonts w:asciiTheme="majorHAnsi" w:hAnsiTheme="majorHAnsi" w:cstheme="majorHAnsi"/>
        </w:rPr>
        <w:t>i</w:t>
      </w:r>
      <w:r w:rsidR="002071AC" w:rsidRPr="0053555E">
        <w:rPr>
          <w:rFonts w:asciiTheme="majorHAnsi" w:hAnsiTheme="majorHAnsi" w:cstheme="majorHAnsi"/>
        </w:rPr>
        <w:t xml:space="preserve"> </w:t>
      </w:r>
      <w:r w:rsidR="00D217C8" w:rsidRPr="0053555E">
        <w:rPr>
          <w:rFonts w:asciiTheme="majorHAnsi" w:hAnsiTheme="majorHAnsi" w:cstheme="majorHAnsi"/>
        </w:rPr>
        <w:t>priznané</w:t>
      </w:r>
      <w:r w:rsidR="002071AC" w:rsidRPr="0053555E">
        <w:rPr>
          <w:rFonts w:asciiTheme="majorHAnsi" w:hAnsiTheme="majorHAnsi" w:cstheme="majorHAnsi"/>
        </w:rPr>
        <w:t xml:space="preserve"> študentom</w:t>
      </w:r>
      <w:r w:rsidR="00F542FE" w:rsidRPr="0053555E">
        <w:rPr>
          <w:rFonts w:asciiTheme="majorHAnsi" w:hAnsiTheme="majorHAnsi" w:cstheme="majorHAnsi"/>
        </w:rPr>
        <w:t xml:space="preserve"> STU</w:t>
      </w:r>
      <w:r w:rsidR="002071AC" w:rsidRPr="0053555E">
        <w:rPr>
          <w:rFonts w:asciiTheme="majorHAnsi" w:hAnsiTheme="majorHAnsi" w:cstheme="majorHAnsi"/>
        </w:rPr>
        <w:t xml:space="preserve"> druhého, </w:t>
      </w:r>
      <w:r w:rsidR="00E054C5">
        <w:rPr>
          <w:rFonts w:asciiTheme="majorHAnsi" w:hAnsiTheme="majorHAnsi" w:cstheme="majorHAnsi"/>
        </w:rPr>
        <w:t>resp.</w:t>
      </w:r>
      <w:r w:rsidR="002071AC" w:rsidRPr="0053555E">
        <w:rPr>
          <w:rFonts w:asciiTheme="majorHAnsi" w:hAnsiTheme="majorHAnsi" w:cstheme="majorHAnsi"/>
        </w:rPr>
        <w:t xml:space="preserve"> vyššieho ro</w:t>
      </w:r>
      <w:r w:rsidR="00C1697A" w:rsidRPr="0053555E">
        <w:rPr>
          <w:rFonts w:asciiTheme="majorHAnsi" w:hAnsiTheme="majorHAnsi" w:cstheme="majorHAnsi"/>
        </w:rPr>
        <w:t>ku</w:t>
      </w:r>
      <w:r w:rsidR="002071AC" w:rsidRPr="0053555E">
        <w:rPr>
          <w:rFonts w:asciiTheme="majorHAnsi" w:hAnsiTheme="majorHAnsi" w:cstheme="majorHAnsi"/>
        </w:rPr>
        <w:t xml:space="preserve"> štúdia za </w:t>
      </w:r>
      <w:r w:rsidR="00D217C8" w:rsidRPr="0053555E">
        <w:rPr>
          <w:rFonts w:asciiTheme="majorHAnsi" w:hAnsiTheme="majorHAnsi" w:cstheme="majorHAnsi"/>
        </w:rPr>
        <w:t>študijné výsledky dosiahnuté na </w:t>
      </w:r>
      <w:r w:rsidR="002071AC" w:rsidRPr="0053555E">
        <w:rPr>
          <w:rFonts w:asciiTheme="majorHAnsi" w:hAnsiTheme="majorHAnsi" w:cstheme="majorHAnsi"/>
        </w:rPr>
        <w:t xml:space="preserve">univerzite v predchádzajúcom akademickom roku. </w:t>
      </w:r>
    </w:p>
    <w:p w14:paraId="1C12B4C8" w14:textId="7293D93B" w:rsidR="00AB3626" w:rsidRPr="0053555E" w:rsidRDefault="003064A3" w:rsidP="0032443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STU priznáva a poskytuje motivačné štipendiá za vynikajúce študijné výsledky </w:t>
      </w:r>
      <w:r w:rsidR="004A4B42" w:rsidRPr="0053555E">
        <w:rPr>
          <w:rFonts w:asciiTheme="majorHAnsi" w:hAnsiTheme="majorHAnsi" w:cstheme="majorHAnsi"/>
        </w:rPr>
        <w:t xml:space="preserve">jednorazovo </w:t>
      </w:r>
      <w:r w:rsidRPr="0053555E">
        <w:rPr>
          <w:rFonts w:asciiTheme="majorHAnsi" w:hAnsiTheme="majorHAnsi" w:cstheme="majorHAnsi"/>
        </w:rPr>
        <w:t>spravidla v </w:t>
      </w:r>
      <w:r w:rsidR="008C4818" w:rsidRPr="0053555E">
        <w:rPr>
          <w:rFonts w:asciiTheme="majorHAnsi" w:hAnsiTheme="majorHAnsi" w:cstheme="majorHAnsi"/>
        </w:rPr>
        <w:t>zimnom</w:t>
      </w:r>
      <w:r w:rsidRPr="0053555E">
        <w:rPr>
          <w:rFonts w:asciiTheme="majorHAnsi" w:hAnsiTheme="majorHAnsi" w:cstheme="majorHAnsi"/>
        </w:rPr>
        <w:t xml:space="preserve"> semestri akademického roka z dotácie zo štátneho rozpočtu poskytnutej na tento účel</w:t>
      </w:r>
      <w:r w:rsidR="00536B00" w:rsidRPr="00536B00">
        <w:rPr>
          <w:rFonts w:asciiTheme="majorHAnsi" w:hAnsiTheme="majorHAnsi" w:cstheme="majorHAnsi"/>
        </w:rPr>
        <w:t xml:space="preserve"> </w:t>
      </w:r>
      <w:r w:rsidR="00536B00">
        <w:rPr>
          <w:rFonts w:asciiTheme="majorHAnsi" w:hAnsiTheme="majorHAnsi" w:cstheme="majorHAnsi"/>
        </w:rPr>
        <w:t>v </w:t>
      </w:r>
      <w:r w:rsidR="00536B00" w:rsidRPr="0053555E">
        <w:rPr>
          <w:rFonts w:asciiTheme="majorHAnsi" w:hAnsiTheme="majorHAnsi" w:cstheme="majorHAnsi"/>
        </w:rPr>
        <w:t>príslušn</w:t>
      </w:r>
      <w:r w:rsidR="00536B00">
        <w:rPr>
          <w:rFonts w:asciiTheme="majorHAnsi" w:hAnsiTheme="majorHAnsi" w:cstheme="majorHAnsi"/>
        </w:rPr>
        <w:t>om kalendárnom roku</w:t>
      </w:r>
      <w:r w:rsidRPr="0053555E">
        <w:rPr>
          <w:rFonts w:asciiTheme="majorHAnsi" w:hAnsiTheme="majorHAnsi" w:cstheme="majorHAnsi"/>
        </w:rPr>
        <w:t xml:space="preserve">. </w:t>
      </w:r>
      <w:r w:rsidR="00574385" w:rsidRPr="0053555E">
        <w:rPr>
          <w:rFonts w:asciiTheme="majorHAnsi" w:hAnsiTheme="majorHAnsi" w:cstheme="majorHAnsi"/>
        </w:rPr>
        <w:t>Základná</w:t>
      </w:r>
      <w:r w:rsidR="007D59DB" w:rsidRPr="0053555E">
        <w:rPr>
          <w:rFonts w:asciiTheme="majorHAnsi" w:hAnsiTheme="majorHAnsi" w:cstheme="majorHAnsi"/>
        </w:rPr>
        <w:t xml:space="preserve"> výška motivačného štipendia za </w:t>
      </w:r>
      <w:r w:rsidR="00574385" w:rsidRPr="0053555E">
        <w:rPr>
          <w:rFonts w:asciiTheme="majorHAnsi" w:hAnsiTheme="majorHAnsi" w:cstheme="majorHAnsi"/>
        </w:rPr>
        <w:t>vynikajúce plnenie študijných povinností, dosiahnutie vynikajúceho výsledku v oblasti štúdia, výskumu, vývoja, umeleckej alebo športovej činnosti v</w:t>
      </w:r>
      <w:r w:rsidR="0084720A" w:rsidRPr="0053555E">
        <w:rPr>
          <w:rFonts w:asciiTheme="majorHAnsi" w:hAnsiTheme="majorHAnsi" w:cstheme="majorHAnsi"/>
        </w:rPr>
        <w:t> kalendárnom roku</w:t>
      </w:r>
      <w:r w:rsidR="00574385" w:rsidRPr="0053555E">
        <w:rPr>
          <w:rFonts w:asciiTheme="majorHAnsi" w:hAnsiTheme="majorHAnsi" w:cstheme="majorHAnsi"/>
        </w:rPr>
        <w:t xml:space="preserve"> </w:t>
      </w:r>
      <w:r w:rsidR="00EA75F5" w:rsidRPr="0053555E">
        <w:rPr>
          <w:rFonts w:asciiTheme="majorHAnsi" w:hAnsiTheme="majorHAnsi" w:cstheme="majorHAnsi"/>
        </w:rPr>
        <w:t>202</w:t>
      </w:r>
      <w:r w:rsidR="00884A96">
        <w:rPr>
          <w:rFonts w:asciiTheme="majorHAnsi" w:hAnsiTheme="majorHAnsi" w:cstheme="majorHAnsi"/>
        </w:rPr>
        <w:t>1</w:t>
      </w:r>
      <w:r w:rsidR="00F921D0" w:rsidRPr="0053555E">
        <w:rPr>
          <w:rFonts w:asciiTheme="majorHAnsi" w:hAnsiTheme="majorHAnsi" w:cstheme="majorHAnsi"/>
        </w:rPr>
        <w:t xml:space="preserve"> </w:t>
      </w:r>
      <w:r w:rsidR="00715B9F">
        <w:rPr>
          <w:rFonts w:asciiTheme="majorHAnsi" w:hAnsiTheme="majorHAnsi" w:cstheme="majorHAnsi"/>
        </w:rPr>
        <w:t xml:space="preserve">aj 2022 </w:t>
      </w:r>
      <w:r w:rsidR="00F921D0" w:rsidRPr="0053555E">
        <w:rPr>
          <w:rFonts w:asciiTheme="majorHAnsi" w:hAnsiTheme="majorHAnsi" w:cstheme="majorHAnsi"/>
        </w:rPr>
        <w:t xml:space="preserve">predstavovala sumu </w:t>
      </w:r>
      <w:r w:rsidR="008766F6" w:rsidRPr="0053555E">
        <w:rPr>
          <w:rFonts w:asciiTheme="majorHAnsi" w:hAnsiTheme="majorHAnsi" w:cstheme="majorHAnsi"/>
          <w:b/>
        </w:rPr>
        <w:t>480 </w:t>
      </w:r>
      <w:r w:rsidR="00F921D0" w:rsidRPr="0053555E">
        <w:rPr>
          <w:rFonts w:asciiTheme="majorHAnsi" w:hAnsiTheme="majorHAnsi" w:cstheme="majorHAnsi"/>
          <w:b/>
        </w:rPr>
        <w:t>€</w:t>
      </w:r>
      <w:r w:rsidR="00574385" w:rsidRPr="0053555E">
        <w:rPr>
          <w:rFonts w:asciiTheme="majorHAnsi" w:hAnsiTheme="majorHAnsi" w:cstheme="majorHAnsi"/>
        </w:rPr>
        <w:t>.</w:t>
      </w:r>
      <w:r w:rsidR="006C3557" w:rsidRPr="0053555E">
        <w:rPr>
          <w:rFonts w:asciiTheme="majorHAnsi" w:hAnsiTheme="majorHAnsi" w:cstheme="majorHAnsi"/>
        </w:rPr>
        <w:t xml:space="preserve"> </w:t>
      </w:r>
      <w:r w:rsidR="004A4B42" w:rsidRPr="0053555E">
        <w:rPr>
          <w:rFonts w:asciiTheme="majorHAnsi" w:hAnsiTheme="majorHAnsi" w:cstheme="majorHAnsi"/>
        </w:rPr>
        <w:t>Jednému študentovi mohlo byť priznané štipendium najviac do</w:t>
      </w:r>
      <w:r w:rsidR="006B28B6">
        <w:rPr>
          <w:rFonts w:asciiTheme="majorHAnsi" w:hAnsiTheme="majorHAnsi" w:cstheme="majorHAnsi"/>
        </w:rPr>
        <w:t> </w:t>
      </w:r>
      <w:r w:rsidR="004A4B42" w:rsidRPr="0053555E">
        <w:rPr>
          <w:rFonts w:asciiTheme="majorHAnsi" w:hAnsiTheme="majorHAnsi" w:cstheme="majorHAnsi"/>
        </w:rPr>
        <w:t xml:space="preserve">výšky trojnásobku základnej výšky, čo predstavovalo sumu najviac </w:t>
      </w:r>
      <w:r w:rsidR="00AB3626" w:rsidRPr="0053555E">
        <w:rPr>
          <w:rFonts w:asciiTheme="majorHAnsi" w:hAnsiTheme="majorHAnsi" w:cstheme="majorHAnsi"/>
        </w:rPr>
        <w:t>1 440</w:t>
      </w:r>
      <w:r w:rsidR="004A4B42" w:rsidRPr="0053555E">
        <w:rPr>
          <w:rFonts w:asciiTheme="majorHAnsi" w:hAnsiTheme="majorHAnsi" w:cstheme="majorHAnsi"/>
        </w:rPr>
        <w:t xml:space="preserve"> €. </w:t>
      </w:r>
    </w:p>
    <w:p w14:paraId="14AE169E" w14:textId="14B680D1" w:rsidR="006C3557" w:rsidRPr="0053555E" w:rsidRDefault="006C3557" w:rsidP="0032443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V hodnotenom akademickom roku boli priznané motivačné štipendiá za vynikajúce študijné výsledky vo výške </w:t>
      </w:r>
      <w:r w:rsidR="00BE434A" w:rsidRPr="0053555E">
        <w:rPr>
          <w:rFonts w:asciiTheme="majorHAnsi" w:hAnsiTheme="majorHAnsi" w:cstheme="majorHAnsi"/>
          <w:b/>
          <w:bCs/>
          <w:szCs w:val="20"/>
        </w:rPr>
        <w:t>4</w:t>
      </w:r>
      <w:r w:rsidR="006B28B6">
        <w:rPr>
          <w:rFonts w:asciiTheme="majorHAnsi" w:hAnsiTheme="majorHAnsi" w:cstheme="majorHAnsi"/>
          <w:b/>
          <w:bCs/>
          <w:szCs w:val="20"/>
        </w:rPr>
        <w:t>06</w:t>
      </w:r>
      <w:r w:rsidR="00BE434A" w:rsidRPr="0053555E">
        <w:rPr>
          <w:rFonts w:asciiTheme="majorHAnsi" w:hAnsiTheme="majorHAnsi" w:cstheme="majorHAnsi"/>
          <w:b/>
          <w:bCs/>
          <w:szCs w:val="20"/>
        </w:rPr>
        <w:t xml:space="preserve"> </w:t>
      </w:r>
      <w:r w:rsidR="006B28B6">
        <w:rPr>
          <w:rFonts w:asciiTheme="majorHAnsi" w:hAnsiTheme="majorHAnsi" w:cstheme="majorHAnsi"/>
          <w:b/>
          <w:bCs/>
          <w:szCs w:val="20"/>
        </w:rPr>
        <w:t>636</w:t>
      </w:r>
      <w:r w:rsidR="00D63348" w:rsidRPr="0053555E">
        <w:rPr>
          <w:rFonts w:asciiTheme="majorHAnsi" w:hAnsiTheme="majorHAnsi" w:cstheme="majorHAnsi"/>
          <w:b/>
          <w:bCs/>
          <w:szCs w:val="20"/>
        </w:rPr>
        <w:t xml:space="preserve"> </w:t>
      </w:r>
      <w:r w:rsidRPr="0053555E">
        <w:rPr>
          <w:rFonts w:asciiTheme="majorHAnsi" w:hAnsiTheme="majorHAnsi" w:cstheme="majorHAnsi"/>
          <w:b/>
        </w:rPr>
        <w:t>€</w:t>
      </w:r>
      <w:r w:rsidRPr="0053555E">
        <w:rPr>
          <w:rFonts w:asciiTheme="majorHAnsi" w:hAnsiTheme="majorHAnsi" w:cstheme="majorHAnsi"/>
        </w:rPr>
        <w:t xml:space="preserve"> spolu </w:t>
      </w:r>
      <w:r w:rsidR="006B28B6">
        <w:rPr>
          <w:rFonts w:asciiTheme="majorHAnsi" w:hAnsiTheme="majorHAnsi" w:cstheme="majorHAnsi"/>
          <w:b/>
        </w:rPr>
        <w:t>787</w:t>
      </w:r>
      <w:r w:rsidRPr="0053555E">
        <w:rPr>
          <w:rFonts w:asciiTheme="majorHAnsi" w:hAnsiTheme="majorHAnsi" w:cstheme="majorHAnsi"/>
        </w:rPr>
        <w:t xml:space="preserve"> študentom</w:t>
      </w:r>
      <w:r w:rsidR="00837930" w:rsidRPr="0053555E">
        <w:rPr>
          <w:rFonts w:asciiTheme="majorHAnsi" w:hAnsiTheme="majorHAnsi" w:cstheme="majorHAnsi"/>
        </w:rPr>
        <w:t xml:space="preserve"> (</w:t>
      </w:r>
      <w:r w:rsidR="00F90A78" w:rsidRPr="0053555E">
        <w:rPr>
          <w:rFonts w:asciiTheme="majorHAnsi" w:hAnsiTheme="majorHAnsi" w:cstheme="majorHAnsi"/>
          <w:sz w:val="20"/>
        </w:rPr>
        <w:fldChar w:fldCharType="begin"/>
      </w:r>
      <w:r w:rsidR="00F90A78" w:rsidRPr="0053555E">
        <w:rPr>
          <w:rFonts w:asciiTheme="majorHAnsi" w:hAnsiTheme="majorHAnsi" w:cstheme="majorHAnsi"/>
          <w:sz w:val="20"/>
        </w:rPr>
        <w:instrText xml:space="preserve"> REF _Ref31718935 \h </w:instrText>
      </w:r>
      <w:r w:rsidR="00D63348" w:rsidRPr="0053555E">
        <w:rPr>
          <w:rFonts w:asciiTheme="majorHAnsi" w:hAnsiTheme="majorHAnsi" w:cstheme="majorHAnsi"/>
          <w:sz w:val="20"/>
        </w:rPr>
        <w:instrText xml:space="preserve"> \* MERGEFORMAT </w:instrText>
      </w:r>
      <w:r w:rsidR="00F90A78" w:rsidRPr="0053555E">
        <w:rPr>
          <w:rFonts w:asciiTheme="majorHAnsi" w:hAnsiTheme="majorHAnsi" w:cstheme="majorHAnsi"/>
          <w:sz w:val="20"/>
        </w:rPr>
      </w:r>
      <w:r w:rsidR="00F90A78" w:rsidRPr="0053555E">
        <w:rPr>
          <w:rFonts w:asciiTheme="majorHAnsi" w:hAnsiTheme="majorHAnsi" w:cstheme="majorHAnsi"/>
          <w:sz w:val="20"/>
        </w:rPr>
        <w:fldChar w:fldCharType="separate"/>
      </w:r>
      <w:r w:rsidR="00EE1B59" w:rsidRPr="00E054C5">
        <w:rPr>
          <w:rFonts w:asciiTheme="majorHAnsi" w:hAnsiTheme="majorHAnsi" w:cstheme="majorHAnsi"/>
        </w:rPr>
        <w:t xml:space="preserve">Tab. č. </w:t>
      </w:r>
      <w:r w:rsidR="00E054C5">
        <w:rPr>
          <w:noProof/>
        </w:rPr>
        <w:t>5</w:t>
      </w:r>
      <w:r w:rsidR="00EE1B59">
        <w:rPr>
          <w:noProof/>
        </w:rPr>
        <w:t>4</w:t>
      </w:r>
      <w:r w:rsidR="00F90A78" w:rsidRPr="0053555E">
        <w:rPr>
          <w:rFonts w:asciiTheme="majorHAnsi" w:hAnsiTheme="majorHAnsi" w:cstheme="majorHAnsi"/>
          <w:sz w:val="20"/>
        </w:rPr>
        <w:fldChar w:fldCharType="end"/>
      </w:r>
      <w:r w:rsidR="00837930" w:rsidRPr="0053555E">
        <w:rPr>
          <w:rFonts w:asciiTheme="majorHAnsi" w:hAnsiTheme="majorHAnsi" w:cstheme="majorHAnsi"/>
          <w:sz w:val="20"/>
        </w:rPr>
        <w:t>)</w:t>
      </w:r>
      <w:r w:rsidRPr="0053555E">
        <w:rPr>
          <w:rFonts w:asciiTheme="majorHAnsi" w:hAnsiTheme="majorHAnsi" w:cstheme="majorHAnsi"/>
        </w:rPr>
        <w:t>.</w:t>
      </w:r>
      <w:r w:rsidR="00E616BA" w:rsidRPr="0053555E">
        <w:rPr>
          <w:rFonts w:asciiTheme="majorHAnsi" w:hAnsiTheme="majorHAnsi" w:cstheme="majorHAnsi"/>
        </w:rPr>
        <w:t xml:space="preserve"> </w:t>
      </w:r>
      <w:r w:rsidR="00E97FC1" w:rsidRPr="0053555E">
        <w:rPr>
          <w:rFonts w:asciiTheme="majorHAnsi" w:hAnsiTheme="majorHAnsi" w:cstheme="majorHAnsi"/>
        </w:rPr>
        <w:t>V</w:t>
      </w:r>
      <w:r w:rsidR="00314600" w:rsidRPr="0053555E">
        <w:rPr>
          <w:rFonts w:asciiTheme="majorHAnsi" w:hAnsiTheme="majorHAnsi" w:cstheme="majorHAnsi"/>
        </w:rPr>
        <w:t> porovnaní s </w:t>
      </w:r>
      <w:r w:rsidR="00E616BA" w:rsidRPr="0053555E">
        <w:rPr>
          <w:rFonts w:asciiTheme="majorHAnsi" w:hAnsiTheme="majorHAnsi" w:cstheme="majorHAnsi"/>
        </w:rPr>
        <w:t>akademick</w:t>
      </w:r>
      <w:r w:rsidR="00314600" w:rsidRPr="0053555E">
        <w:rPr>
          <w:rFonts w:asciiTheme="majorHAnsi" w:hAnsiTheme="majorHAnsi" w:cstheme="majorHAnsi"/>
        </w:rPr>
        <w:t>ým</w:t>
      </w:r>
      <w:r w:rsidR="00E616BA" w:rsidRPr="0053555E">
        <w:rPr>
          <w:rFonts w:asciiTheme="majorHAnsi" w:hAnsiTheme="majorHAnsi" w:cstheme="majorHAnsi"/>
        </w:rPr>
        <w:t xml:space="preserve"> rok</w:t>
      </w:r>
      <w:r w:rsidR="00314600" w:rsidRPr="0053555E">
        <w:rPr>
          <w:rFonts w:asciiTheme="majorHAnsi" w:hAnsiTheme="majorHAnsi" w:cstheme="majorHAnsi"/>
        </w:rPr>
        <w:t>om</w:t>
      </w:r>
      <w:r w:rsidR="00E616BA" w:rsidRPr="0053555E">
        <w:rPr>
          <w:rFonts w:asciiTheme="majorHAnsi" w:hAnsiTheme="majorHAnsi" w:cstheme="majorHAnsi"/>
        </w:rPr>
        <w:t xml:space="preserve"> </w:t>
      </w:r>
      <w:r w:rsidR="005F6FF1" w:rsidRPr="0053555E">
        <w:rPr>
          <w:rFonts w:asciiTheme="majorHAnsi" w:hAnsiTheme="majorHAnsi" w:cstheme="majorHAnsi"/>
        </w:rPr>
        <w:t>20</w:t>
      </w:r>
      <w:r w:rsidR="00FC550F">
        <w:rPr>
          <w:rFonts w:asciiTheme="majorHAnsi" w:hAnsiTheme="majorHAnsi" w:cstheme="majorHAnsi"/>
        </w:rPr>
        <w:t>20</w:t>
      </w:r>
      <w:r w:rsidR="005F6FF1" w:rsidRPr="0053555E">
        <w:rPr>
          <w:rFonts w:asciiTheme="majorHAnsi" w:hAnsiTheme="majorHAnsi" w:cstheme="majorHAnsi"/>
        </w:rPr>
        <w:t>/20</w:t>
      </w:r>
      <w:r w:rsidR="00BE434A" w:rsidRPr="0053555E">
        <w:rPr>
          <w:rFonts w:asciiTheme="majorHAnsi" w:hAnsiTheme="majorHAnsi" w:cstheme="majorHAnsi"/>
        </w:rPr>
        <w:t>2</w:t>
      </w:r>
      <w:r w:rsidR="00FC550F">
        <w:rPr>
          <w:rFonts w:asciiTheme="majorHAnsi" w:hAnsiTheme="majorHAnsi" w:cstheme="majorHAnsi"/>
        </w:rPr>
        <w:t>1</w:t>
      </w:r>
      <w:r w:rsidR="00E616BA" w:rsidRPr="0053555E">
        <w:rPr>
          <w:rFonts w:asciiTheme="majorHAnsi" w:hAnsiTheme="majorHAnsi" w:cstheme="majorHAnsi"/>
        </w:rPr>
        <w:t xml:space="preserve"> </w:t>
      </w:r>
      <w:r w:rsidR="001C0D62" w:rsidRPr="0053555E">
        <w:rPr>
          <w:rFonts w:asciiTheme="majorHAnsi" w:hAnsiTheme="majorHAnsi" w:cstheme="majorHAnsi"/>
        </w:rPr>
        <w:t xml:space="preserve">splnilo kritériá pre </w:t>
      </w:r>
      <w:r w:rsidR="006B0F8B" w:rsidRPr="0053555E">
        <w:rPr>
          <w:rFonts w:asciiTheme="majorHAnsi" w:hAnsiTheme="majorHAnsi" w:cstheme="majorHAnsi"/>
        </w:rPr>
        <w:t>priznanie</w:t>
      </w:r>
      <w:r w:rsidR="001C0D62" w:rsidRPr="0053555E">
        <w:rPr>
          <w:rFonts w:asciiTheme="majorHAnsi" w:hAnsiTheme="majorHAnsi" w:cstheme="majorHAnsi"/>
        </w:rPr>
        <w:t xml:space="preserve"> </w:t>
      </w:r>
      <w:r w:rsidR="00E616BA" w:rsidRPr="0053555E">
        <w:rPr>
          <w:rFonts w:asciiTheme="majorHAnsi" w:hAnsiTheme="majorHAnsi" w:cstheme="majorHAnsi"/>
        </w:rPr>
        <w:t>motivačné</w:t>
      </w:r>
      <w:r w:rsidR="006B0F8B" w:rsidRPr="0053555E">
        <w:rPr>
          <w:rFonts w:asciiTheme="majorHAnsi" w:hAnsiTheme="majorHAnsi" w:cstheme="majorHAnsi"/>
        </w:rPr>
        <w:t>ho štipendia</w:t>
      </w:r>
      <w:r w:rsidR="00E616BA" w:rsidRPr="0053555E">
        <w:rPr>
          <w:rFonts w:asciiTheme="majorHAnsi" w:hAnsiTheme="majorHAnsi" w:cstheme="majorHAnsi"/>
        </w:rPr>
        <w:t xml:space="preserve"> </w:t>
      </w:r>
      <w:r w:rsidR="00314600" w:rsidRPr="0053555E">
        <w:rPr>
          <w:rFonts w:asciiTheme="majorHAnsi" w:hAnsiTheme="majorHAnsi" w:cstheme="majorHAnsi"/>
        </w:rPr>
        <w:t>za </w:t>
      </w:r>
      <w:r w:rsidR="00E616BA" w:rsidRPr="0053555E">
        <w:rPr>
          <w:rFonts w:asciiTheme="majorHAnsi" w:hAnsiTheme="majorHAnsi" w:cstheme="majorHAnsi"/>
        </w:rPr>
        <w:t xml:space="preserve">vynikajúce študijné výsledky </w:t>
      </w:r>
      <w:r w:rsidR="00AB3626" w:rsidRPr="0053555E">
        <w:rPr>
          <w:rFonts w:asciiTheme="majorHAnsi" w:hAnsiTheme="majorHAnsi" w:cstheme="majorHAnsi"/>
          <w:b/>
        </w:rPr>
        <w:t>o </w:t>
      </w:r>
      <w:r w:rsidR="00FC550F">
        <w:rPr>
          <w:rFonts w:asciiTheme="majorHAnsi" w:hAnsiTheme="majorHAnsi" w:cstheme="majorHAnsi"/>
          <w:b/>
        </w:rPr>
        <w:t>6</w:t>
      </w:r>
      <w:r w:rsidR="00E616BA" w:rsidRPr="0053555E">
        <w:rPr>
          <w:rFonts w:asciiTheme="majorHAnsi" w:hAnsiTheme="majorHAnsi" w:cstheme="majorHAnsi"/>
          <w:b/>
        </w:rPr>
        <w:t xml:space="preserve"> študento</w:t>
      </w:r>
      <w:r w:rsidR="006B0F8B" w:rsidRPr="0053555E">
        <w:rPr>
          <w:rFonts w:asciiTheme="majorHAnsi" w:hAnsiTheme="majorHAnsi" w:cstheme="majorHAnsi"/>
          <w:b/>
        </w:rPr>
        <w:t>v</w:t>
      </w:r>
      <w:r w:rsidR="00E616BA" w:rsidRPr="0053555E">
        <w:rPr>
          <w:rFonts w:asciiTheme="majorHAnsi" w:hAnsiTheme="majorHAnsi" w:cstheme="majorHAnsi"/>
          <w:b/>
        </w:rPr>
        <w:t xml:space="preserve"> </w:t>
      </w:r>
      <w:r w:rsidR="00FC550F">
        <w:rPr>
          <w:rFonts w:asciiTheme="majorHAnsi" w:hAnsiTheme="majorHAnsi" w:cstheme="majorHAnsi"/>
          <w:b/>
        </w:rPr>
        <w:t xml:space="preserve">menej </w:t>
      </w:r>
      <w:r w:rsidR="00FC550F" w:rsidRPr="00723E75">
        <w:rPr>
          <w:rFonts w:asciiTheme="majorHAnsi" w:hAnsiTheme="majorHAnsi" w:cstheme="majorHAnsi"/>
        </w:rPr>
        <w:t xml:space="preserve">a </w:t>
      </w:r>
      <w:r w:rsidR="00E616BA" w:rsidRPr="0053555E">
        <w:rPr>
          <w:rFonts w:asciiTheme="majorHAnsi" w:hAnsiTheme="majorHAnsi" w:cstheme="majorHAnsi"/>
        </w:rPr>
        <w:t>celkov</w:t>
      </w:r>
      <w:r w:rsidR="006B0F8B" w:rsidRPr="0053555E">
        <w:rPr>
          <w:rFonts w:asciiTheme="majorHAnsi" w:hAnsiTheme="majorHAnsi" w:cstheme="majorHAnsi"/>
        </w:rPr>
        <w:t>á</w:t>
      </w:r>
      <w:r w:rsidR="00E616BA" w:rsidRPr="0053555E">
        <w:rPr>
          <w:rFonts w:asciiTheme="majorHAnsi" w:hAnsiTheme="majorHAnsi" w:cstheme="majorHAnsi"/>
        </w:rPr>
        <w:t xml:space="preserve"> výšk</w:t>
      </w:r>
      <w:r w:rsidR="006B0F8B" w:rsidRPr="0053555E">
        <w:rPr>
          <w:rFonts w:asciiTheme="majorHAnsi" w:hAnsiTheme="majorHAnsi" w:cstheme="majorHAnsi"/>
        </w:rPr>
        <w:t xml:space="preserve">a poskytnutých štipendií bola </w:t>
      </w:r>
      <w:r w:rsidR="003060E4" w:rsidRPr="0053555E">
        <w:rPr>
          <w:rFonts w:asciiTheme="majorHAnsi" w:hAnsiTheme="majorHAnsi" w:cstheme="majorHAnsi"/>
          <w:b/>
        </w:rPr>
        <w:t>nižšia</w:t>
      </w:r>
      <w:r w:rsidR="006B0F8B" w:rsidRPr="0053555E">
        <w:rPr>
          <w:rFonts w:asciiTheme="majorHAnsi" w:hAnsiTheme="majorHAnsi" w:cstheme="majorHAnsi"/>
          <w:b/>
        </w:rPr>
        <w:t xml:space="preserve"> </w:t>
      </w:r>
      <w:r w:rsidR="00E616BA" w:rsidRPr="0053555E">
        <w:rPr>
          <w:rFonts w:asciiTheme="majorHAnsi" w:hAnsiTheme="majorHAnsi" w:cstheme="majorHAnsi"/>
          <w:b/>
        </w:rPr>
        <w:t>o</w:t>
      </w:r>
      <w:r w:rsidR="00D90EA4" w:rsidRPr="0053555E">
        <w:rPr>
          <w:rFonts w:asciiTheme="majorHAnsi" w:hAnsiTheme="majorHAnsi" w:cstheme="majorHAnsi"/>
          <w:b/>
        </w:rPr>
        <w:t> </w:t>
      </w:r>
      <w:r w:rsidR="00723E75">
        <w:rPr>
          <w:rFonts w:asciiTheme="majorHAnsi" w:hAnsiTheme="majorHAnsi" w:cstheme="majorHAnsi"/>
          <w:b/>
        </w:rPr>
        <w:t>13</w:t>
      </w:r>
      <w:r w:rsidR="00D90EA4" w:rsidRPr="0053555E">
        <w:rPr>
          <w:rFonts w:asciiTheme="majorHAnsi" w:hAnsiTheme="majorHAnsi" w:cstheme="majorHAnsi"/>
          <w:b/>
        </w:rPr>
        <w:t xml:space="preserve"> </w:t>
      </w:r>
      <w:r w:rsidR="00723E75">
        <w:rPr>
          <w:rFonts w:asciiTheme="majorHAnsi" w:hAnsiTheme="majorHAnsi" w:cstheme="majorHAnsi"/>
          <w:b/>
        </w:rPr>
        <w:t>735</w:t>
      </w:r>
      <w:r w:rsidR="00E616BA" w:rsidRPr="0053555E">
        <w:rPr>
          <w:rFonts w:asciiTheme="majorHAnsi" w:hAnsiTheme="majorHAnsi" w:cstheme="majorHAnsi"/>
          <w:b/>
        </w:rPr>
        <w:t xml:space="preserve"> €</w:t>
      </w:r>
      <w:r w:rsidR="00E616BA" w:rsidRPr="0053555E">
        <w:rPr>
          <w:rFonts w:asciiTheme="majorHAnsi" w:hAnsiTheme="majorHAnsi" w:cstheme="majorHAnsi"/>
        </w:rPr>
        <w:t>.</w:t>
      </w:r>
    </w:p>
    <w:p w14:paraId="75A65ED5" w14:textId="6A212AF1" w:rsidR="002071AC" w:rsidRPr="0053555E" w:rsidRDefault="00F90A78" w:rsidP="000E3322">
      <w:pPr>
        <w:pStyle w:val="Popis"/>
      </w:pPr>
      <w:bookmarkStart w:id="220" w:name="_Ref31718935"/>
      <w:bookmarkStart w:id="221" w:name="_Toc127593307"/>
      <w:r w:rsidRPr="0053555E">
        <w:t xml:space="preserve">Tab. č. </w:t>
      </w:r>
      <w:r w:rsidR="007B5953">
        <w:fldChar w:fldCharType="begin"/>
      </w:r>
      <w:r w:rsidR="007B5953">
        <w:instrText xml:space="preserve"> SEQ Tab._č. \* ARABIC </w:instrText>
      </w:r>
      <w:r w:rsidR="007B5953">
        <w:fldChar w:fldCharType="separate"/>
      </w:r>
      <w:r w:rsidR="00E054C5">
        <w:rPr>
          <w:noProof/>
        </w:rPr>
        <w:t>5</w:t>
      </w:r>
      <w:r w:rsidR="00EE1B59">
        <w:rPr>
          <w:noProof/>
        </w:rPr>
        <w:t>4</w:t>
      </w:r>
      <w:r w:rsidR="007B5953">
        <w:rPr>
          <w:noProof/>
        </w:rPr>
        <w:fldChar w:fldCharType="end"/>
      </w:r>
      <w:bookmarkEnd w:id="220"/>
      <w:r w:rsidRPr="0053555E">
        <w:t>:</w:t>
      </w:r>
      <w:r w:rsidR="002071AC" w:rsidRPr="0053555E">
        <w:t xml:space="preserve"> </w:t>
      </w:r>
      <w:r w:rsidR="00402861" w:rsidRPr="0053555E">
        <w:t xml:space="preserve">Motivačné štipendiá za vynikajúce </w:t>
      </w:r>
      <w:r w:rsidR="00440E79" w:rsidRPr="0053555E">
        <w:t xml:space="preserve">študijné výsledky </w:t>
      </w:r>
      <w:r w:rsidR="001672B2" w:rsidRPr="0053555E">
        <w:t>poskytnuté študentom</w:t>
      </w:r>
      <w:r w:rsidR="00523E68">
        <w:t xml:space="preserve"> STU</w:t>
      </w:r>
      <w:r w:rsidR="001672B2" w:rsidRPr="0053555E">
        <w:t xml:space="preserve"> v </w:t>
      </w:r>
      <w:r w:rsidR="00402861" w:rsidRPr="0053555E">
        <w:t>akad</w:t>
      </w:r>
      <w:r w:rsidR="00AD0E4A" w:rsidRPr="0053555E">
        <w:t>emickom</w:t>
      </w:r>
      <w:r w:rsidR="00402861" w:rsidRPr="0053555E">
        <w:t xml:space="preserve"> roku </w:t>
      </w:r>
      <w:r w:rsidR="00EA24BA" w:rsidRPr="0053555E">
        <w:t>2021/2022</w:t>
      </w:r>
      <w:bookmarkEnd w:id="221"/>
    </w:p>
    <w:tbl>
      <w:tblPr>
        <w:tblW w:w="7737" w:type="dxa"/>
        <w:tblInd w:w="55" w:type="dxa"/>
        <w:tblCellMar>
          <w:left w:w="70" w:type="dxa"/>
          <w:right w:w="70" w:type="dxa"/>
        </w:tblCellMar>
        <w:tblLook w:val="04A0" w:firstRow="1" w:lastRow="0" w:firstColumn="1" w:lastColumn="0" w:noHBand="0" w:noVBand="1"/>
      </w:tblPr>
      <w:tblGrid>
        <w:gridCol w:w="1216"/>
        <w:gridCol w:w="4536"/>
        <w:gridCol w:w="1985"/>
      </w:tblGrid>
      <w:tr w:rsidR="004B4E49" w:rsidRPr="0053555E" w14:paraId="1D26ACD6" w14:textId="77777777" w:rsidTr="003F75F8">
        <w:trPr>
          <w:trHeight w:val="495"/>
        </w:trPr>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1191D" w14:textId="77777777" w:rsidR="004B4E49" w:rsidRPr="0053555E" w:rsidRDefault="002907D0" w:rsidP="0032443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Súčasť STU</w:t>
            </w:r>
            <w:r w:rsidR="004B4E49" w:rsidRPr="0053555E">
              <w:rPr>
                <w:rFonts w:asciiTheme="majorHAnsi" w:eastAsia="Times New Roman" w:hAnsiTheme="majorHAnsi" w:cstheme="majorHAnsi"/>
                <w:b/>
                <w:bCs/>
                <w:szCs w:val="22"/>
                <w:lang w:eastAsia="sk-SK"/>
              </w:rPr>
              <w:t xml:space="preserve"> </w:t>
            </w:r>
          </w:p>
        </w:tc>
        <w:tc>
          <w:tcPr>
            <w:tcW w:w="4536" w:type="dxa"/>
            <w:tcBorders>
              <w:top w:val="single" w:sz="4" w:space="0" w:color="auto"/>
              <w:left w:val="nil"/>
              <w:bottom w:val="single" w:sz="4" w:space="0" w:color="auto"/>
              <w:right w:val="single" w:sz="4" w:space="0" w:color="auto"/>
            </w:tcBorders>
            <w:vAlign w:val="center"/>
          </w:tcPr>
          <w:p w14:paraId="7B7D35D6" w14:textId="77777777" w:rsidR="004B4E49" w:rsidRPr="0053555E" w:rsidRDefault="004B4E49" w:rsidP="00324438">
            <w:pPr>
              <w:tabs>
                <w:tab w:val="left" w:pos="9356"/>
              </w:tabs>
              <w:jc w:val="center"/>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 xml:space="preserve">Celková suma </w:t>
            </w:r>
            <w:r w:rsidRPr="0053555E">
              <w:rPr>
                <w:rFonts w:asciiTheme="majorHAnsi" w:eastAsia="Times New Roman" w:hAnsiTheme="majorHAnsi" w:cstheme="majorHAnsi"/>
                <w:b/>
                <w:bCs/>
                <w:szCs w:val="20"/>
                <w:lang w:eastAsia="sk-SK"/>
              </w:rPr>
              <w:t xml:space="preserve">poskytnutých </w:t>
            </w:r>
            <w:r w:rsidRPr="0053555E">
              <w:rPr>
                <w:rFonts w:asciiTheme="majorHAnsi" w:eastAsia="Times New Roman" w:hAnsiTheme="majorHAnsi" w:cstheme="majorHAnsi"/>
                <w:b/>
                <w:bCs/>
                <w:szCs w:val="22"/>
                <w:lang w:eastAsia="sk-SK"/>
              </w:rPr>
              <w:t>štipendií v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75DD0" w14:textId="77777777" w:rsidR="004B4E49" w:rsidRPr="0053555E" w:rsidRDefault="004B4E49" w:rsidP="00324438">
            <w:pPr>
              <w:tabs>
                <w:tab w:val="left" w:pos="9356"/>
              </w:tabs>
              <w:jc w:val="center"/>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Počet študentov</w:t>
            </w:r>
          </w:p>
        </w:tc>
      </w:tr>
      <w:tr w:rsidR="00E73CF8" w:rsidRPr="0053555E" w14:paraId="18F83C5A" w14:textId="77777777" w:rsidTr="003F75F8">
        <w:trPr>
          <w:trHeight w:val="255"/>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6FC15106"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SvF</w:t>
            </w:r>
          </w:p>
        </w:tc>
        <w:tc>
          <w:tcPr>
            <w:tcW w:w="4536" w:type="dxa"/>
            <w:tcBorders>
              <w:top w:val="single" w:sz="4" w:space="0" w:color="auto"/>
              <w:left w:val="nil"/>
              <w:bottom w:val="single" w:sz="4" w:space="0" w:color="auto"/>
              <w:right w:val="single" w:sz="4" w:space="0" w:color="auto"/>
            </w:tcBorders>
            <w:vAlign w:val="bottom"/>
          </w:tcPr>
          <w:p w14:paraId="664E57BA" w14:textId="3AEF565B" w:rsidR="00E73CF8" w:rsidRPr="0053555E" w:rsidRDefault="00E73CF8" w:rsidP="00E73CF8">
            <w:pPr>
              <w:jc w:val="center"/>
              <w:rPr>
                <w:rFonts w:asciiTheme="majorHAnsi" w:hAnsiTheme="majorHAnsi" w:cstheme="majorHAnsi"/>
                <w:szCs w:val="20"/>
              </w:rPr>
            </w:pPr>
            <w:r w:rsidRPr="0053555E">
              <w:rPr>
                <w:rFonts w:cs="Calibri"/>
                <w:szCs w:val="20"/>
              </w:rPr>
              <w:t>69 090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860D8" w14:textId="05B88E8E" w:rsidR="00E73CF8" w:rsidRPr="0053555E" w:rsidRDefault="00E73CF8" w:rsidP="00E73CF8">
            <w:pPr>
              <w:jc w:val="center"/>
              <w:rPr>
                <w:rFonts w:asciiTheme="majorHAnsi" w:hAnsiTheme="majorHAnsi" w:cstheme="majorHAnsi"/>
                <w:szCs w:val="20"/>
              </w:rPr>
            </w:pPr>
            <w:r w:rsidRPr="0053555E">
              <w:rPr>
                <w:rFonts w:cs="Calibri"/>
                <w:szCs w:val="20"/>
              </w:rPr>
              <w:t>133</w:t>
            </w:r>
          </w:p>
        </w:tc>
      </w:tr>
      <w:tr w:rsidR="00E73CF8" w:rsidRPr="0053555E" w14:paraId="623C98C1" w14:textId="77777777" w:rsidTr="003F75F8">
        <w:trPr>
          <w:trHeight w:val="255"/>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0630022B"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SjF</w:t>
            </w:r>
          </w:p>
        </w:tc>
        <w:tc>
          <w:tcPr>
            <w:tcW w:w="4536" w:type="dxa"/>
            <w:tcBorders>
              <w:top w:val="single" w:sz="4" w:space="0" w:color="auto"/>
              <w:left w:val="nil"/>
              <w:bottom w:val="single" w:sz="4" w:space="0" w:color="auto"/>
              <w:right w:val="single" w:sz="4" w:space="0" w:color="auto"/>
            </w:tcBorders>
            <w:vAlign w:val="bottom"/>
          </w:tcPr>
          <w:p w14:paraId="7ACFEB4F" w14:textId="350D45F7" w:rsidR="00E73CF8" w:rsidRPr="0053555E" w:rsidRDefault="00E73CF8" w:rsidP="00E73CF8">
            <w:pPr>
              <w:jc w:val="center"/>
              <w:rPr>
                <w:rFonts w:asciiTheme="majorHAnsi" w:hAnsiTheme="majorHAnsi" w:cstheme="majorHAnsi"/>
                <w:szCs w:val="20"/>
              </w:rPr>
            </w:pPr>
            <w:r w:rsidRPr="0053555E">
              <w:rPr>
                <w:rFonts w:cs="Calibri"/>
                <w:szCs w:val="20"/>
              </w:rPr>
              <w:t>22 090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31EAD" w14:textId="4F5380C4" w:rsidR="00E73CF8" w:rsidRPr="0053555E" w:rsidRDefault="00E73CF8" w:rsidP="00E73CF8">
            <w:pPr>
              <w:jc w:val="center"/>
              <w:rPr>
                <w:rFonts w:asciiTheme="majorHAnsi" w:hAnsiTheme="majorHAnsi" w:cstheme="majorHAnsi"/>
                <w:szCs w:val="20"/>
              </w:rPr>
            </w:pPr>
            <w:r w:rsidRPr="0053555E">
              <w:rPr>
                <w:rFonts w:cs="Calibri"/>
                <w:szCs w:val="20"/>
              </w:rPr>
              <w:t>49</w:t>
            </w:r>
          </w:p>
        </w:tc>
      </w:tr>
      <w:tr w:rsidR="00E73CF8" w:rsidRPr="0053555E" w14:paraId="48385262" w14:textId="77777777" w:rsidTr="003F75F8">
        <w:trPr>
          <w:trHeight w:val="255"/>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49BD1002"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FEI</w:t>
            </w:r>
          </w:p>
        </w:tc>
        <w:tc>
          <w:tcPr>
            <w:tcW w:w="4536" w:type="dxa"/>
            <w:tcBorders>
              <w:top w:val="single" w:sz="4" w:space="0" w:color="auto"/>
              <w:left w:val="nil"/>
              <w:bottom w:val="single" w:sz="4" w:space="0" w:color="auto"/>
              <w:right w:val="single" w:sz="4" w:space="0" w:color="auto"/>
            </w:tcBorders>
            <w:vAlign w:val="bottom"/>
          </w:tcPr>
          <w:p w14:paraId="751C0C24" w14:textId="2BBCAEBD" w:rsidR="00E73CF8" w:rsidRPr="0053555E" w:rsidRDefault="00E73CF8" w:rsidP="00E73CF8">
            <w:pPr>
              <w:jc w:val="center"/>
              <w:rPr>
                <w:rFonts w:asciiTheme="majorHAnsi" w:hAnsiTheme="majorHAnsi" w:cstheme="majorHAnsi"/>
                <w:szCs w:val="20"/>
              </w:rPr>
            </w:pPr>
            <w:r w:rsidRPr="0053555E">
              <w:rPr>
                <w:rFonts w:cs="Calibri"/>
                <w:szCs w:val="20"/>
              </w:rPr>
              <w:t>101 788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AC51A" w14:textId="09886D93" w:rsidR="00E73CF8" w:rsidRPr="0053555E" w:rsidRDefault="00E73CF8" w:rsidP="00E73CF8">
            <w:pPr>
              <w:jc w:val="center"/>
              <w:rPr>
                <w:rFonts w:asciiTheme="majorHAnsi" w:hAnsiTheme="majorHAnsi" w:cstheme="majorHAnsi"/>
                <w:szCs w:val="20"/>
              </w:rPr>
            </w:pPr>
            <w:r w:rsidRPr="0053555E">
              <w:rPr>
                <w:rFonts w:cs="Calibri"/>
                <w:szCs w:val="20"/>
              </w:rPr>
              <w:t>165</w:t>
            </w:r>
          </w:p>
        </w:tc>
      </w:tr>
      <w:tr w:rsidR="00E73CF8" w:rsidRPr="0053555E" w14:paraId="7DD2C7A0" w14:textId="77777777" w:rsidTr="003F75F8">
        <w:trPr>
          <w:trHeight w:val="255"/>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33BD4E92"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FCHPT</w:t>
            </w:r>
          </w:p>
        </w:tc>
        <w:tc>
          <w:tcPr>
            <w:tcW w:w="4536" w:type="dxa"/>
            <w:tcBorders>
              <w:top w:val="single" w:sz="4" w:space="0" w:color="auto"/>
              <w:left w:val="nil"/>
              <w:bottom w:val="single" w:sz="4" w:space="0" w:color="auto"/>
              <w:right w:val="single" w:sz="4" w:space="0" w:color="auto"/>
            </w:tcBorders>
            <w:vAlign w:val="bottom"/>
          </w:tcPr>
          <w:p w14:paraId="007C1022" w14:textId="26943530" w:rsidR="00E73CF8" w:rsidRPr="0053555E" w:rsidRDefault="00E73CF8" w:rsidP="00E73CF8">
            <w:pPr>
              <w:jc w:val="center"/>
              <w:rPr>
                <w:rFonts w:asciiTheme="majorHAnsi" w:hAnsiTheme="majorHAnsi" w:cstheme="majorHAnsi"/>
                <w:szCs w:val="20"/>
              </w:rPr>
            </w:pPr>
            <w:r w:rsidRPr="0053555E">
              <w:rPr>
                <w:rFonts w:cs="Calibri"/>
                <w:szCs w:val="20"/>
              </w:rPr>
              <w:t>55 865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39AB4" w14:textId="2A40FFD2" w:rsidR="00E73CF8" w:rsidRPr="0053555E" w:rsidRDefault="00E73CF8" w:rsidP="00E73CF8">
            <w:pPr>
              <w:jc w:val="center"/>
              <w:rPr>
                <w:rFonts w:asciiTheme="majorHAnsi" w:hAnsiTheme="majorHAnsi" w:cstheme="majorHAnsi"/>
                <w:szCs w:val="20"/>
              </w:rPr>
            </w:pPr>
            <w:r w:rsidRPr="0053555E">
              <w:rPr>
                <w:rFonts w:cs="Calibri"/>
                <w:szCs w:val="20"/>
              </w:rPr>
              <w:t>72</w:t>
            </w:r>
          </w:p>
        </w:tc>
      </w:tr>
      <w:tr w:rsidR="00E73CF8" w:rsidRPr="0053555E" w14:paraId="392248BF" w14:textId="77777777" w:rsidTr="003F75F8">
        <w:trPr>
          <w:trHeight w:val="255"/>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1A414179"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FAD</w:t>
            </w:r>
          </w:p>
        </w:tc>
        <w:tc>
          <w:tcPr>
            <w:tcW w:w="4536" w:type="dxa"/>
            <w:tcBorders>
              <w:top w:val="single" w:sz="4" w:space="0" w:color="auto"/>
              <w:left w:val="nil"/>
              <w:bottom w:val="single" w:sz="4" w:space="0" w:color="auto"/>
              <w:right w:val="single" w:sz="4" w:space="0" w:color="auto"/>
            </w:tcBorders>
            <w:vAlign w:val="bottom"/>
          </w:tcPr>
          <w:p w14:paraId="54796FE2" w14:textId="78216A7A" w:rsidR="00E73CF8" w:rsidRPr="0053555E" w:rsidRDefault="00E73CF8" w:rsidP="00E73CF8">
            <w:pPr>
              <w:jc w:val="center"/>
              <w:rPr>
                <w:rFonts w:asciiTheme="majorHAnsi" w:hAnsiTheme="majorHAnsi" w:cstheme="majorHAnsi"/>
                <w:szCs w:val="20"/>
              </w:rPr>
            </w:pPr>
            <w:r w:rsidRPr="0053555E">
              <w:rPr>
                <w:rFonts w:cs="Calibri"/>
                <w:szCs w:val="20"/>
              </w:rPr>
              <w:t>33 769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62264" w14:textId="2CA6B41F" w:rsidR="00E73CF8" w:rsidRPr="0053555E" w:rsidRDefault="00E73CF8" w:rsidP="00E73CF8">
            <w:pPr>
              <w:jc w:val="center"/>
              <w:rPr>
                <w:rFonts w:asciiTheme="majorHAnsi" w:hAnsiTheme="majorHAnsi" w:cstheme="majorHAnsi"/>
                <w:szCs w:val="20"/>
              </w:rPr>
            </w:pPr>
            <w:r w:rsidRPr="0053555E">
              <w:rPr>
                <w:rFonts w:cs="Calibri"/>
                <w:szCs w:val="20"/>
              </w:rPr>
              <w:t>85</w:t>
            </w:r>
          </w:p>
        </w:tc>
      </w:tr>
      <w:tr w:rsidR="00E73CF8" w:rsidRPr="0053555E" w14:paraId="2795BFB5" w14:textId="77777777" w:rsidTr="003F75F8">
        <w:trPr>
          <w:trHeight w:val="255"/>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734D88DF"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MTF</w:t>
            </w:r>
          </w:p>
        </w:tc>
        <w:tc>
          <w:tcPr>
            <w:tcW w:w="4536" w:type="dxa"/>
            <w:tcBorders>
              <w:top w:val="single" w:sz="4" w:space="0" w:color="auto"/>
              <w:left w:val="nil"/>
              <w:bottom w:val="single" w:sz="4" w:space="0" w:color="auto"/>
              <w:right w:val="single" w:sz="4" w:space="0" w:color="auto"/>
            </w:tcBorders>
            <w:vAlign w:val="bottom"/>
          </w:tcPr>
          <w:p w14:paraId="0088C9C7" w14:textId="75B15DC3" w:rsidR="00E73CF8" w:rsidRPr="0053555E" w:rsidRDefault="00E73CF8" w:rsidP="00E73CF8">
            <w:pPr>
              <w:jc w:val="center"/>
              <w:rPr>
                <w:rFonts w:asciiTheme="majorHAnsi" w:hAnsiTheme="majorHAnsi" w:cstheme="majorHAnsi"/>
                <w:szCs w:val="20"/>
              </w:rPr>
            </w:pPr>
            <w:r w:rsidRPr="0053555E">
              <w:rPr>
                <w:rFonts w:cs="Calibri"/>
                <w:szCs w:val="20"/>
              </w:rPr>
              <w:t>69 720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18706" w14:textId="7AB21292" w:rsidR="00E73CF8" w:rsidRPr="0053555E" w:rsidRDefault="00E73CF8" w:rsidP="00E73CF8">
            <w:pPr>
              <w:jc w:val="center"/>
              <w:rPr>
                <w:rFonts w:asciiTheme="majorHAnsi" w:hAnsiTheme="majorHAnsi" w:cstheme="majorHAnsi"/>
                <w:szCs w:val="20"/>
              </w:rPr>
            </w:pPr>
            <w:r w:rsidRPr="0053555E">
              <w:rPr>
                <w:rFonts w:cs="Calibri"/>
                <w:szCs w:val="20"/>
              </w:rPr>
              <w:t>170</w:t>
            </w:r>
          </w:p>
        </w:tc>
      </w:tr>
      <w:tr w:rsidR="00E73CF8" w:rsidRPr="0053555E" w14:paraId="62CFAF40" w14:textId="77777777" w:rsidTr="003F75F8">
        <w:trPr>
          <w:trHeight w:val="255"/>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36E84F85"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FIIT</w:t>
            </w:r>
          </w:p>
        </w:tc>
        <w:tc>
          <w:tcPr>
            <w:tcW w:w="4536" w:type="dxa"/>
            <w:tcBorders>
              <w:top w:val="single" w:sz="4" w:space="0" w:color="auto"/>
              <w:left w:val="nil"/>
              <w:bottom w:val="single" w:sz="4" w:space="0" w:color="auto"/>
              <w:right w:val="single" w:sz="4" w:space="0" w:color="auto"/>
            </w:tcBorders>
            <w:vAlign w:val="bottom"/>
          </w:tcPr>
          <w:p w14:paraId="093F6B76" w14:textId="5DC3AC8B" w:rsidR="00E73CF8" w:rsidRPr="0053555E" w:rsidRDefault="00E73CF8" w:rsidP="00E73CF8">
            <w:pPr>
              <w:jc w:val="center"/>
              <w:rPr>
                <w:rFonts w:asciiTheme="majorHAnsi" w:hAnsiTheme="majorHAnsi" w:cstheme="majorHAnsi"/>
                <w:szCs w:val="20"/>
              </w:rPr>
            </w:pPr>
            <w:r w:rsidRPr="0053555E">
              <w:rPr>
                <w:rFonts w:cs="Calibri"/>
                <w:szCs w:val="20"/>
              </w:rPr>
              <w:t>47 736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A4A42" w14:textId="6273EC9F" w:rsidR="00E73CF8" w:rsidRPr="0053555E" w:rsidRDefault="00E73CF8" w:rsidP="00E73CF8">
            <w:pPr>
              <w:jc w:val="center"/>
              <w:rPr>
                <w:rFonts w:asciiTheme="majorHAnsi" w:hAnsiTheme="majorHAnsi" w:cstheme="majorHAnsi"/>
                <w:szCs w:val="20"/>
              </w:rPr>
            </w:pPr>
            <w:r w:rsidRPr="0053555E">
              <w:rPr>
                <w:rFonts w:cs="Calibri"/>
                <w:szCs w:val="20"/>
              </w:rPr>
              <w:t>100</w:t>
            </w:r>
          </w:p>
        </w:tc>
      </w:tr>
      <w:tr w:rsidR="00E73CF8" w:rsidRPr="0053555E" w14:paraId="25302D57" w14:textId="77777777" w:rsidTr="003F75F8">
        <w:trPr>
          <w:trHeight w:val="255"/>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54830BF5"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ÚM</w:t>
            </w:r>
          </w:p>
        </w:tc>
        <w:tc>
          <w:tcPr>
            <w:tcW w:w="4536" w:type="dxa"/>
            <w:tcBorders>
              <w:top w:val="single" w:sz="4" w:space="0" w:color="auto"/>
              <w:left w:val="nil"/>
              <w:bottom w:val="single" w:sz="4" w:space="0" w:color="auto"/>
              <w:right w:val="single" w:sz="4" w:space="0" w:color="auto"/>
            </w:tcBorders>
            <w:vAlign w:val="bottom"/>
          </w:tcPr>
          <w:p w14:paraId="426E8A73" w14:textId="6458B195" w:rsidR="00E73CF8" w:rsidRPr="0053555E" w:rsidRDefault="00E73CF8" w:rsidP="00E73CF8">
            <w:pPr>
              <w:jc w:val="center"/>
              <w:rPr>
                <w:rFonts w:asciiTheme="majorHAnsi" w:hAnsiTheme="majorHAnsi" w:cstheme="majorHAnsi"/>
                <w:szCs w:val="20"/>
              </w:rPr>
            </w:pPr>
            <w:r w:rsidRPr="0053555E">
              <w:rPr>
                <w:rFonts w:cs="Calibri"/>
                <w:szCs w:val="20"/>
              </w:rPr>
              <w:t>6 578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22C74" w14:textId="0680C508" w:rsidR="00E73CF8" w:rsidRPr="0053555E" w:rsidRDefault="00E73CF8" w:rsidP="00E73CF8">
            <w:pPr>
              <w:jc w:val="center"/>
              <w:rPr>
                <w:rFonts w:asciiTheme="majorHAnsi" w:hAnsiTheme="majorHAnsi" w:cstheme="majorHAnsi"/>
                <w:szCs w:val="20"/>
              </w:rPr>
            </w:pPr>
            <w:r w:rsidRPr="0053555E">
              <w:rPr>
                <w:rFonts w:cs="Calibri"/>
                <w:szCs w:val="20"/>
              </w:rPr>
              <w:t>13</w:t>
            </w:r>
          </w:p>
        </w:tc>
      </w:tr>
      <w:tr w:rsidR="00E73CF8" w:rsidRPr="0053555E" w14:paraId="3AE08938" w14:textId="77777777" w:rsidTr="003F75F8">
        <w:trPr>
          <w:trHeight w:val="83"/>
        </w:trPr>
        <w:tc>
          <w:tcPr>
            <w:tcW w:w="1216"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44483C38" w14:textId="77777777" w:rsidR="00E73CF8" w:rsidRPr="0053555E" w:rsidRDefault="00E73CF8" w:rsidP="00E73CF8">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STU</w:t>
            </w:r>
          </w:p>
        </w:tc>
        <w:tc>
          <w:tcPr>
            <w:tcW w:w="4536" w:type="dxa"/>
            <w:tcBorders>
              <w:top w:val="single" w:sz="4" w:space="0" w:color="auto"/>
              <w:left w:val="nil"/>
              <w:bottom w:val="single" w:sz="4" w:space="0" w:color="auto"/>
              <w:right w:val="single" w:sz="4" w:space="0" w:color="auto"/>
            </w:tcBorders>
            <w:shd w:val="clear" w:color="auto" w:fill="EEECE1" w:themeFill="background2"/>
            <w:vAlign w:val="bottom"/>
          </w:tcPr>
          <w:p w14:paraId="223B137A" w14:textId="27B51251" w:rsidR="00E73CF8" w:rsidRPr="0053555E" w:rsidRDefault="00E73CF8" w:rsidP="00E73CF8">
            <w:pPr>
              <w:jc w:val="center"/>
              <w:rPr>
                <w:rFonts w:asciiTheme="majorHAnsi" w:hAnsiTheme="majorHAnsi" w:cstheme="majorHAnsi"/>
                <w:b/>
                <w:bCs/>
                <w:szCs w:val="20"/>
              </w:rPr>
            </w:pPr>
            <w:r w:rsidRPr="0053555E">
              <w:rPr>
                <w:rFonts w:cs="Calibri"/>
                <w:b/>
                <w:bCs/>
                <w:szCs w:val="20"/>
              </w:rPr>
              <w:t>406 636</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4F66EEB6" w14:textId="708D4020" w:rsidR="00E73CF8" w:rsidRPr="0053555E" w:rsidRDefault="00E73CF8" w:rsidP="00E73CF8">
            <w:pPr>
              <w:jc w:val="center"/>
              <w:rPr>
                <w:rFonts w:asciiTheme="majorHAnsi" w:hAnsiTheme="majorHAnsi" w:cstheme="majorHAnsi"/>
                <w:b/>
                <w:bCs/>
                <w:szCs w:val="20"/>
              </w:rPr>
            </w:pPr>
            <w:r w:rsidRPr="0053555E">
              <w:rPr>
                <w:rFonts w:cs="Calibri"/>
                <w:b/>
                <w:bCs/>
                <w:szCs w:val="20"/>
              </w:rPr>
              <w:t>787</w:t>
            </w:r>
          </w:p>
        </w:tc>
      </w:tr>
    </w:tbl>
    <w:p w14:paraId="52FCFFA9" w14:textId="5D0E3ACA" w:rsidR="002071AC" w:rsidRPr="0053555E" w:rsidRDefault="00402861" w:rsidP="005412C0">
      <w:pPr>
        <w:tabs>
          <w:tab w:val="left" w:pos="9356"/>
        </w:tabs>
        <w:spacing w:before="240"/>
        <w:jc w:val="both"/>
        <w:rPr>
          <w:rFonts w:asciiTheme="majorHAnsi" w:hAnsiTheme="majorHAnsi" w:cstheme="majorHAnsi"/>
        </w:rPr>
      </w:pPr>
      <w:r w:rsidRPr="00E054C5">
        <w:rPr>
          <w:rFonts w:asciiTheme="majorHAnsi" w:hAnsiTheme="majorHAnsi" w:cstheme="majorHAnsi"/>
          <w:b/>
        </w:rPr>
        <w:t>Motivačné štipendiá za mimoriadne výsledky</w:t>
      </w:r>
      <w:r w:rsidRPr="00FF3208">
        <w:rPr>
          <w:rFonts w:asciiTheme="majorHAnsi" w:hAnsiTheme="majorHAnsi" w:cstheme="majorHAnsi"/>
        </w:rPr>
        <w:t xml:space="preserve"> </w:t>
      </w:r>
      <w:r w:rsidR="002071AC" w:rsidRPr="00FF3208">
        <w:rPr>
          <w:rFonts w:asciiTheme="majorHAnsi" w:hAnsiTheme="majorHAnsi" w:cstheme="majorHAnsi"/>
        </w:rPr>
        <w:t xml:space="preserve">boli </w:t>
      </w:r>
      <w:r w:rsidRPr="00FF3208">
        <w:rPr>
          <w:rFonts w:asciiTheme="majorHAnsi" w:hAnsiTheme="majorHAnsi" w:cstheme="majorHAnsi"/>
        </w:rPr>
        <w:t>poskytnuté</w:t>
      </w:r>
      <w:r w:rsidR="002071AC" w:rsidRPr="00FF3208">
        <w:rPr>
          <w:rFonts w:asciiTheme="majorHAnsi" w:hAnsiTheme="majorHAnsi" w:cstheme="majorHAnsi"/>
        </w:rPr>
        <w:t xml:space="preserve"> </w:t>
      </w:r>
      <w:r w:rsidR="00C43465" w:rsidRPr="00FF3208">
        <w:rPr>
          <w:rFonts w:asciiTheme="majorHAnsi" w:hAnsiTheme="majorHAnsi" w:cstheme="majorHAnsi"/>
        </w:rPr>
        <w:t>študentom</w:t>
      </w:r>
      <w:r w:rsidR="00F542FE" w:rsidRPr="00FF3208">
        <w:rPr>
          <w:rFonts w:asciiTheme="majorHAnsi" w:hAnsiTheme="majorHAnsi" w:cstheme="majorHAnsi"/>
        </w:rPr>
        <w:t xml:space="preserve"> STU</w:t>
      </w:r>
      <w:r w:rsidR="00C43465" w:rsidRPr="00FF3208">
        <w:rPr>
          <w:rFonts w:asciiTheme="majorHAnsi" w:hAnsiTheme="majorHAnsi" w:cstheme="majorHAnsi"/>
        </w:rPr>
        <w:t xml:space="preserve"> všetkých</w:t>
      </w:r>
      <w:r w:rsidR="00C43465" w:rsidRPr="0053555E">
        <w:rPr>
          <w:rFonts w:asciiTheme="majorHAnsi" w:hAnsiTheme="majorHAnsi" w:cstheme="majorHAnsi"/>
        </w:rPr>
        <w:t xml:space="preserve"> stupňov štúdia </w:t>
      </w:r>
      <w:r w:rsidR="002071AC" w:rsidRPr="0053555E">
        <w:rPr>
          <w:rFonts w:asciiTheme="majorHAnsi" w:hAnsiTheme="majorHAnsi" w:cstheme="majorHAnsi"/>
        </w:rPr>
        <w:t xml:space="preserve">uplatnením </w:t>
      </w:r>
      <w:r w:rsidRPr="0053555E">
        <w:rPr>
          <w:rFonts w:asciiTheme="majorHAnsi" w:hAnsiTheme="majorHAnsi" w:cstheme="majorHAnsi"/>
        </w:rPr>
        <w:t>k</w:t>
      </w:r>
      <w:r w:rsidR="002071AC" w:rsidRPr="0053555E">
        <w:rPr>
          <w:rFonts w:asciiTheme="majorHAnsi" w:hAnsiTheme="majorHAnsi" w:cstheme="majorHAnsi"/>
        </w:rPr>
        <w:t>ritéri</w:t>
      </w:r>
      <w:r w:rsidRPr="0053555E">
        <w:rPr>
          <w:rFonts w:asciiTheme="majorHAnsi" w:hAnsiTheme="majorHAnsi" w:cstheme="majorHAnsi"/>
        </w:rPr>
        <w:t>í</w:t>
      </w:r>
      <w:r w:rsidR="002071AC" w:rsidRPr="0053555E">
        <w:rPr>
          <w:rFonts w:asciiTheme="majorHAnsi" w:hAnsiTheme="majorHAnsi" w:cstheme="majorHAnsi"/>
        </w:rPr>
        <w:t xml:space="preserve"> </w:t>
      </w:r>
      <w:r w:rsidR="00C43465" w:rsidRPr="0053555E">
        <w:rPr>
          <w:rFonts w:asciiTheme="majorHAnsi" w:hAnsiTheme="majorHAnsi" w:cstheme="majorHAnsi"/>
        </w:rPr>
        <w:t>priznávania motivačného štipendia za mimoriadne výsledky</w:t>
      </w:r>
      <w:r w:rsidR="00E054C5">
        <w:rPr>
          <w:rFonts w:asciiTheme="majorHAnsi" w:hAnsiTheme="majorHAnsi" w:cstheme="majorHAnsi"/>
        </w:rPr>
        <w:t>.</w:t>
      </w:r>
      <w:r w:rsidR="00C43465" w:rsidRPr="0053555E">
        <w:rPr>
          <w:rFonts w:asciiTheme="majorHAnsi" w:hAnsiTheme="majorHAnsi" w:cstheme="majorHAnsi"/>
        </w:rPr>
        <w:t xml:space="preserve"> </w:t>
      </w:r>
      <w:r w:rsidR="002071AC" w:rsidRPr="0053555E">
        <w:rPr>
          <w:rFonts w:asciiTheme="majorHAnsi" w:hAnsiTheme="majorHAnsi" w:cstheme="majorHAnsi"/>
        </w:rPr>
        <w:t xml:space="preserve">Kritériá </w:t>
      </w:r>
      <w:r w:rsidR="003A7C6D" w:rsidRPr="0053555E">
        <w:rPr>
          <w:rFonts w:asciiTheme="majorHAnsi" w:hAnsiTheme="majorHAnsi" w:cstheme="majorHAnsi"/>
        </w:rPr>
        <w:t>u</w:t>
      </w:r>
      <w:r w:rsidR="002071AC" w:rsidRPr="0053555E">
        <w:rPr>
          <w:rFonts w:asciiTheme="majorHAnsi" w:hAnsiTheme="majorHAnsi" w:cstheme="majorHAnsi"/>
        </w:rPr>
        <w:t xml:space="preserve">možňovali </w:t>
      </w:r>
      <w:r w:rsidR="00C43465" w:rsidRPr="0053555E">
        <w:rPr>
          <w:rFonts w:asciiTheme="majorHAnsi" w:hAnsiTheme="majorHAnsi" w:cstheme="majorHAnsi"/>
        </w:rPr>
        <w:t>priznať a poskytnúť</w:t>
      </w:r>
      <w:r w:rsidR="002071AC" w:rsidRPr="0053555E">
        <w:rPr>
          <w:rFonts w:asciiTheme="majorHAnsi" w:hAnsiTheme="majorHAnsi" w:cstheme="majorHAnsi"/>
        </w:rPr>
        <w:t xml:space="preserve"> študentovi </w:t>
      </w:r>
      <w:r w:rsidR="00417A44" w:rsidRPr="0053555E">
        <w:rPr>
          <w:rFonts w:asciiTheme="majorHAnsi" w:hAnsiTheme="majorHAnsi" w:cstheme="majorHAnsi"/>
        </w:rPr>
        <w:t xml:space="preserve">motivačné štipendium </w:t>
      </w:r>
      <w:r w:rsidR="002071AC" w:rsidRPr="0053555E">
        <w:rPr>
          <w:rFonts w:asciiTheme="majorHAnsi" w:hAnsiTheme="majorHAnsi" w:cstheme="majorHAnsi"/>
        </w:rPr>
        <w:t>za:</w:t>
      </w:r>
    </w:p>
    <w:p w14:paraId="4EE8D9D3" w14:textId="77777777" w:rsidR="002A5744" w:rsidRPr="0053555E" w:rsidRDefault="002A5744" w:rsidP="00E027F7">
      <w:pPr>
        <w:numPr>
          <w:ilvl w:val="0"/>
          <w:numId w:val="1"/>
        </w:numPr>
        <w:tabs>
          <w:tab w:val="left" w:pos="9356"/>
        </w:tabs>
        <w:ind w:left="426" w:hanging="426"/>
        <w:jc w:val="both"/>
        <w:rPr>
          <w:rFonts w:asciiTheme="majorHAnsi" w:hAnsiTheme="majorHAnsi" w:cstheme="majorHAnsi"/>
        </w:rPr>
      </w:pPr>
      <w:r w:rsidRPr="0053555E">
        <w:rPr>
          <w:rFonts w:asciiTheme="majorHAnsi" w:hAnsiTheme="majorHAnsi" w:cstheme="majorHAnsi"/>
        </w:rPr>
        <w:t xml:space="preserve">mimoriadne plnenie študijných povinností, </w:t>
      </w:r>
    </w:p>
    <w:p w14:paraId="55F94EEA" w14:textId="77777777" w:rsidR="002A5744" w:rsidRPr="0053555E" w:rsidRDefault="002A5744" w:rsidP="00E027F7">
      <w:pPr>
        <w:numPr>
          <w:ilvl w:val="0"/>
          <w:numId w:val="1"/>
        </w:numPr>
        <w:tabs>
          <w:tab w:val="left" w:pos="9356"/>
        </w:tabs>
        <w:ind w:left="426" w:hanging="426"/>
        <w:jc w:val="both"/>
        <w:rPr>
          <w:rFonts w:asciiTheme="majorHAnsi" w:hAnsiTheme="majorHAnsi" w:cstheme="majorHAnsi"/>
        </w:rPr>
      </w:pPr>
      <w:r w:rsidRPr="0053555E">
        <w:rPr>
          <w:rFonts w:asciiTheme="majorHAnsi" w:hAnsiTheme="majorHAnsi" w:cstheme="majorHAnsi"/>
        </w:rPr>
        <w:t xml:space="preserve">mimoriadny výsledok v oblasti výskumu alebo vývoja, </w:t>
      </w:r>
    </w:p>
    <w:p w14:paraId="585549FD" w14:textId="77777777" w:rsidR="002A5744" w:rsidRPr="0053555E" w:rsidRDefault="002A5744" w:rsidP="00E027F7">
      <w:pPr>
        <w:numPr>
          <w:ilvl w:val="0"/>
          <w:numId w:val="1"/>
        </w:numPr>
        <w:tabs>
          <w:tab w:val="left" w:pos="9356"/>
        </w:tabs>
        <w:ind w:left="426" w:hanging="426"/>
        <w:jc w:val="both"/>
        <w:rPr>
          <w:rFonts w:asciiTheme="majorHAnsi" w:hAnsiTheme="majorHAnsi" w:cstheme="majorHAnsi"/>
        </w:rPr>
      </w:pPr>
      <w:r w:rsidRPr="0053555E">
        <w:rPr>
          <w:rFonts w:asciiTheme="majorHAnsi" w:hAnsiTheme="majorHAnsi" w:cstheme="majorHAnsi"/>
        </w:rPr>
        <w:t xml:space="preserve">úspešnú reprezentáciu STU, </w:t>
      </w:r>
      <w:r w:rsidR="0081498A" w:rsidRPr="0053555E">
        <w:rPr>
          <w:rFonts w:asciiTheme="majorHAnsi" w:hAnsiTheme="majorHAnsi" w:cstheme="majorHAnsi"/>
        </w:rPr>
        <w:t>fakulty</w:t>
      </w:r>
      <w:r w:rsidRPr="0053555E">
        <w:rPr>
          <w:rFonts w:asciiTheme="majorHAnsi" w:hAnsiTheme="majorHAnsi" w:cstheme="majorHAnsi"/>
        </w:rPr>
        <w:t>, alebo inej súčasti STU v športových súťažiach,</w:t>
      </w:r>
    </w:p>
    <w:p w14:paraId="5B0446BA" w14:textId="77777777" w:rsidR="002A5744" w:rsidRPr="0053555E" w:rsidRDefault="002A5744" w:rsidP="00E027F7">
      <w:pPr>
        <w:numPr>
          <w:ilvl w:val="0"/>
          <w:numId w:val="1"/>
        </w:numPr>
        <w:tabs>
          <w:tab w:val="left" w:pos="9356"/>
        </w:tabs>
        <w:ind w:left="426" w:hanging="426"/>
        <w:jc w:val="both"/>
        <w:rPr>
          <w:rFonts w:asciiTheme="majorHAnsi" w:hAnsiTheme="majorHAnsi" w:cstheme="majorHAnsi"/>
        </w:rPr>
      </w:pPr>
      <w:r w:rsidRPr="0053555E">
        <w:rPr>
          <w:rFonts w:asciiTheme="majorHAnsi" w:hAnsiTheme="majorHAnsi" w:cstheme="majorHAnsi"/>
        </w:rPr>
        <w:lastRenderedPageBreak/>
        <w:t xml:space="preserve">úspešnú reprezentáciu STU, </w:t>
      </w:r>
      <w:r w:rsidR="0081498A" w:rsidRPr="0053555E">
        <w:rPr>
          <w:rFonts w:asciiTheme="majorHAnsi" w:hAnsiTheme="majorHAnsi" w:cstheme="majorHAnsi"/>
        </w:rPr>
        <w:t>fakulty</w:t>
      </w:r>
      <w:r w:rsidRPr="0053555E">
        <w:rPr>
          <w:rFonts w:asciiTheme="majorHAnsi" w:hAnsiTheme="majorHAnsi" w:cstheme="majorHAnsi"/>
        </w:rPr>
        <w:t xml:space="preserve">, alebo inej súčasti STU v umeleckých súťažiach, </w:t>
      </w:r>
    </w:p>
    <w:p w14:paraId="4E1A22EA" w14:textId="77777777" w:rsidR="000349F0" w:rsidRPr="0053555E" w:rsidRDefault="002A5744" w:rsidP="00E027F7">
      <w:pPr>
        <w:numPr>
          <w:ilvl w:val="0"/>
          <w:numId w:val="1"/>
        </w:numPr>
        <w:tabs>
          <w:tab w:val="left" w:pos="9356"/>
        </w:tabs>
        <w:spacing w:after="120"/>
        <w:ind w:left="425" w:hanging="425"/>
        <w:jc w:val="both"/>
        <w:rPr>
          <w:rFonts w:asciiTheme="majorHAnsi" w:hAnsiTheme="majorHAnsi" w:cstheme="majorHAnsi"/>
        </w:rPr>
      </w:pPr>
      <w:r w:rsidRPr="0053555E">
        <w:rPr>
          <w:rFonts w:asciiTheme="majorHAnsi" w:hAnsiTheme="majorHAnsi" w:cstheme="majorHAnsi"/>
        </w:rPr>
        <w:t xml:space="preserve">úspešnú reprezentáciu STU </w:t>
      </w:r>
      <w:r w:rsidR="0081498A" w:rsidRPr="0053555E">
        <w:rPr>
          <w:rFonts w:asciiTheme="majorHAnsi" w:hAnsiTheme="majorHAnsi" w:cstheme="majorHAnsi"/>
        </w:rPr>
        <w:t>fakulty</w:t>
      </w:r>
      <w:r w:rsidRPr="0053555E">
        <w:rPr>
          <w:rFonts w:asciiTheme="majorHAnsi" w:hAnsiTheme="majorHAnsi" w:cstheme="majorHAnsi"/>
        </w:rPr>
        <w:t>, alebo inej súčasti STU v súťažiach v oblasti štúdia, výskumu alebo vývoja.</w:t>
      </w:r>
    </w:p>
    <w:p w14:paraId="57682AB5" w14:textId="57A4C410" w:rsidR="00C43465" w:rsidRPr="0053555E" w:rsidRDefault="00C43465" w:rsidP="007B5953">
      <w:pPr>
        <w:tabs>
          <w:tab w:val="left" w:pos="9356"/>
        </w:tabs>
        <w:spacing w:after="120"/>
        <w:jc w:val="both"/>
        <w:rPr>
          <w:rFonts w:asciiTheme="majorHAnsi" w:hAnsiTheme="majorHAnsi" w:cstheme="majorHAnsi"/>
        </w:rPr>
      </w:pPr>
      <w:r w:rsidRPr="00E054C5">
        <w:rPr>
          <w:rFonts w:asciiTheme="majorHAnsi" w:hAnsiTheme="majorHAnsi" w:cstheme="majorHAnsi"/>
          <w:b/>
        </w:rPr>
        <w:t>Štipendiá z vlastných zdrojov</w:t>
      </w:r>
      <w:r w:rsidR="004E6A5D" w:rsidRPr="00E054C5">
        <w:rPr>
          <w:rFonts w:asciiTheme="majorHAnsi" w:hAnsiTheme="majorHAnsi" w:cstheme="majorHAnsi"/>
          <w:b/>
        </w:rPr>
        <w:t xml:space="preserve"> STU</w:t>
      </w:r>
      <w:r w:rsidR="004E6A5D" w:rsidRPr="0053555E">
        <w:rPr>
          <w:rFonts w:asciiTheme="majorHAnsi" w:hAnsiTheme="majorHAnsi" w:cstheme="majorHAnsi"/>
          <w:b/>
        </w:rPr>
        <w:t xml:space="preserve"> </w:t>
      </w:r>
      <w:r w:rsidRPr="0053555E">
        <w:rPr>
          <w:rFonts w:asciiTheme="majorHAnsi" w:hAnsiTheme="majorHAnsi" w:cstheme="majorHAnsi"/>
        </w:rPr>
        <w:t xml:space="preserve">majú charakter </w:t>
      </w:r>
      <w:r w:rsidRPr="00E054C5">
        <w:rPr>
          <w:rFonts w:asciiTheme="majorHAnsi" w:hAnsiTheme="majorHAnsi" w:cstheme="majorHAnsi"/>
          <w:b/>
        </w:rPr>
        <w:t>mimoriadneho štipendi</w:t>
      </w:r>
      <w:r w:rsidR="00447246" w:rsidRPr="00E054C5">
        <w:rPr>
          <w:rFonts w:asciiTheme="majorHAnsi" w:hAnsiTheme="majorHAnsi" w:cstheme="majorHAnsi"/>
          <w:b/>
        </w:rPr>
        <w:t>a</w:t>
      </w:r>
      <w:r w:rsidRPr="0053555E">
        <w:rPr>
          <w:rFonts w:asciiTheme="majorHAnsi" w:hAnsiTheme="majorHAnsi" w:cstheme="majorHAnsi"/>
        </w:rPr>
        <w:t xml:space="preserve"> </w:t>
      </w:r>
      <w:r w:rsidR="00F5052C" w:rsidRPr="0053555E">
        <w:rPr>
          <w:rFonts w:asciiTheme="majorHAnsi" w:hAnsiTheme="majorHAnsi" w:cstheme="majorHAnsi"/>
        </w:rPr>
        <w:t>a </w:t>
      </w:r>
      <w:r w:rsidR="00FB6162" w:rsidRPr="0053555E">
        <w:rPr>
          <w:rFonts w:asciiTheme="majorHAnsi" w:hAnsiTheme="majorHAnsi" w:cstheme="majorHAnsi"/>
        </w:rPr>
        <w:t>môžu</w:t>
      </w:r>
      <w:r w:rsidR="00F5052C" w:rsidRPr="0053555E">
        <w:rPr>
          <w:rFonts w:asciiTheme="majorHAnsi" w:hAnsiTheme="majorHAnsi" w:cstheme="majorHAnsi"/>
        </w:rPr>
        <w:t xml:space="preserve"> byť</w:t>
      </w:r>
      <w:r w:rsidRPr="0053555E">
        <w:rPr>
          <w:rFonts w:asciiTheme="majorHAnsi" w:hAnsiTheme="majorHAnsi" w:cstheme="majorHAnsi"/>
        </w:rPr>
        <w:t xml:space="preserve"> poskytnuté </w:t>
      </w:r>
      <w:r w:rsidR="00A43EFD" w:rsidRPr="0053555E">
        <w:rPr>
          <w:rFonts w:asciiTheme="majorHAnsi" w:hAnsiTheme="majorHAnsi" w:cstheme="majorHAnsi"/>
        </w:rPr>
        <w:t>jednorazovo, opakovane, resp. pravidelne</w:t>
      </w:r>
      <w:r w:rsidR="00F542FE" w:rsidRPr="0053555E">
        <w:rPr>
          <w:rFonts w:asciiTheme="majorHAnsi" w:hAnsiTheme="majorHAnsi" w:cstheme="majorHAnsi"/>
        </w:rPr>
        <w:t xml:space="preserve"> </w:t>
      </w:r>
      <w:r w:rsidRPr="0053555E">
        <w:rPr>
          <w:rFonts w:asciiTheme="majorHAnsi" w:hAnsiTheme="majorHAnsi" w:cstheme="majorHAnsi"/>
        </w:rPr>
        <w:t>študento</w:t>
      </w:r>
      <w:r w:rsidR="00F5052C" w:rsidRPr="0053555E">
        <w:rPr>
          <w:rFonts w:asciiTheme="majorHAnsi" w:hAnsiTheme="majorHAnsi" w:cstheme="majorHAnsi"/>
        </w:rPr>
        <w:t>m</w:t>
      </w:r>
      <w:r w:rsidR="0021727B" w:rsidRPr="0053555E">
        <w:rPr>
          <w:rFonts w:asciiTheme="majorHAnsi" w:hAnsiTheme="majorHAnsi" w:cstheme="majorHAnsi"/>
        </w:rPr>
        <w:t xml:space="preserve"> STU</w:t>
      </w:r>
      <w:r w:rsidRPr="0053555E">
        <w:rPr>
          <w:rFonts w:asciiTheme="majorHAnsi" w:hAnsiTheme="majorHAnsi" w:cstheme="majorHAnsi"/>
        </w:rPr>
        <w:t xml:space="preserve"> </w:t>
      </w:r>
      <w:r w:rsidR="00F51469" w:rsidRPr="0053555E">
        <w:rPr>
          <w:rFonts w:asciiTheme="majorHAnsi" w:hAnsiTheme="majorHAnsi" w:cstheme="majorHAnsi"/>
        </w:rPr>
        <w:t>a</w:t>
      </w:r>
      <w:r w:rsidR="0021727B" w:rsidRPr="0053555E">
        <w:rPr>
          <w:rFonts w:asciiTheme="majorHAnsi" w:hAnsiTheme="majorHAnsi" w:cstheme="majorHAnsi"/>
        </w:rPr>
        <w:t> </w:t>
      </w:r>
      <w:r w:rsidR="00F51469" w:rsidRPr="0053555E">
        <w:rPr>
          <w:rFonts w:asciiTheme="majorHAnsi" w:hAnsiTheme="majorHAnsi" w:cstheme="majorHAnsi"/>
        </w:rPr>
        <w:t>absolventom</w:t>
      </w:r>
      <w:r w:rsidR="0021727B" w:rsidRPr="0053555E">
        <w:rPr>
          <w:rFonts w:asciiTheme="majorHAnsi" w:hAnsiTheme="majorHAnsi" w:cstheme="majorHAnsi"/>
        </w:rPr>
        <w:t xml:space="preserve"> STU</w:t>
      </w:r>
      <w:r w:rsidR="00F51469" w:rsidRPr="0053555E">
        <w:rPr>
          <w:rFonts w:asciiTheme="majorHAnsi" w:hAnsiTheme="majorHAnsi" w:cstheme="majorHAnsi"/>
        </w:rPr>
        <w:t xml:space="preserve">, </w:t>
      </w:r>
      <w:r w:rsidR="00513458" w:rsidRPr="0053555E">
        <w:rPr>
          <w:rFonts w:asciiTheme="majorHAnsi" w:hAnsiTheme="majorHAnsi" w:cstheme="majorHAnsi"/>
        </w:rPr>
        <w:t xml:space="preserve">u ktorých </w:t>
      </w:r>
      <w:r w:rsidR="007976E4" w:rsidRPr="0053555E">
        <w:rPr>
          <w:rFonts w:asciiTheme="majorHAnsi" w:hAnsiTheme="majorHAnsi" w:cstheme="majorHAnsi"/>
        </w:rPr>
        <w:t>od </w:t>
      </w:r>
      <w:r w:rsidR="00F51469" w:rsidRPr="0053555E">
        <w:rPr>
          <w:rFonts w:asciiTheme="majorHAnsi" w:hAnsiTheme="majorHAnsi" w:cstheme="majorHAnsi"/>
        </w:rPr>
        <w:t>riadneho skončenia štúdia neuplynulo viac ako 90 dní</w:t>
      </w:r>
      <w:r w:rsidR="00E054C5">
        <w:rPr>
          <w:rFonts w:asciiTheme="majorHAnsi" w:hAnsiTheme="majorHAnsi" w:cstheme="majorHAnsi"/>
        </w:rPr>
        <w:t>. M</w:t>
      </w:r>
      <w:r w:rsidR="00BC4AFA" w:rsidRPr="0053555E">
        <w:rPr>
          <w:rFonts w:asciiTheme="majorHAnsi" w:hAnsiTheme="majorHAnsi" w:cstheme="majorHAnsi"/>
        </w:rPr>
        <w:t>ôžu byť priznané</w:t>
      </w:r>
      <w:r w:rsidR="007B5953">
        <w:rPr>
          <w:rFonts w:asciiTheme="majorHAnsi" w:hAnsiTheme="majorHAnsi" w:cstheme="majorHAnsi"/>
        </w:rPr>
        <w:t xml:space="preserve"> </w:t>
      </w:r>
      <w:r w:rsidR="00792BD0" w:rsidRPr="007B5953">
        <w:rPr>
          <w:rFonts w:asciiTheme="majorHAnsi" w:hAnsiTheme="majorHAnsi" w:cstheme="majorHAnsi"/>
        </w:rPr>
        <w:t>za vynikajúce plnenie študijných povinností v priebehu štúdia alebo počas celého štúdia študijného programu,</w:t>
      </w:r>
      <w:r w:rsidR="007B5953">
        <w:rPr>
          <w:rFonts w:asciiTheme="majorHAnsi" w:hAnsiTheme="majorHAnsi" w:cstheme="majorHAnsi"/>
        </w:rPr>
        <w:t xml:space="preserve"> </w:t>
      </w:r>
      <w:r w:rsidR="00792BD0" w:rsidRPr="007B5953">
        <w:rPr>
          <w:rFonts w:asciiTheme="majorHAnsi" w:hAnsiTheme="majorHAnsi" w:cstheme="majorHAnsi"/>
        </w:rPr>
        <w:t>za vynikajúcu záverečnú prácu,</w:t>
      </w:r>
      <w:r w:rsidR="007B5953">
        <w:rPr>
          <w:rFonts w:asciiTheme="majorHAnsi" w:hAnsiTheme="majorHAnsi" w:cstheme="majorHAnsi"/>
        </w:rPr>
        <w:t xml:space="preserve"> </w:t>
      </w:r>
      <w:r w:rsidR="00792BD0" w:rsidRPr="007B5953">
        <w:rPr>
          <w:rFonts w:asciiTheme="majorHAnsi" w:hAnsiTheme="majorHAnsi" w:cstheme="majorHAnsi"/>
        </w:rPr>
        <w:t>za mimoriadny výsledok v oblasti výskumu alebo vývoja, za úspešnú reprezentáciu STU, fakulty, alebo inej súčasti STU</w:t>
      </w:r>
      <w:r w:rsidR="007B5953">
        <w:rPr>
          <w:rFonts w:asciiTheme="majorHAnsi" w:hAnsiTheme="majorHAnsi" w:cstheme="majorHAnsi"/>
        </w:rPr>
        <w:t>,</w:t>
      </w:r>
      <w:r w:rsidR="00792BD0" w:rsidRPr="007B5953">
        <w:rPr>
          <w:rFonts w:asciiTheme="majorHAnsi" w:hAnsiTheme="majorHAnsi" w:cstheme="majorHAnsi"/>
        </w:rPr>
        <w:t xml:space="preserve"> </w:t>
      </w:r>
      <w:r w:rsidR="00792BD0" w:rsidRPr="0053555E">
        <w:rPr>
          <w:rFonts w:asciiTheme="majorHAnsi" w:hAnsiTheme="majorHAnsi" w:cstheme="majorHAnsi"/>
        </w:rPr>
        <w:t>na podporu štúdia v rámci mimo univerzitnej akademickej mobility študenta,</w:t>
      </w:r>
      <w:r w:rsidR="007B5953">
        <w:rPr>
          <w:rFonts w:asciiTheme="majorHAnsi" w:hAnsiTheme="majorHAnsi" w:cstheme="majorHAnsi"/>
        </w:rPr>
        <w:t xml:space="preserve"> </w:t>
      </w:r>
      <w:r w:rsidR="00792BD0" w:rsidRPr="007B5953">
        <w:rPr>
          <w:rFonts w:asciiTheme="majorHAnsi" w:hAnsiTheme="majorHAnsi" w:cstheme="majorHAnsi"/>
        </w:rPr>
        <w:t>na podporu zahraničných študentov,</w:t>
      </w:r>
      <w:r w:rsidR="007B5953">
        <w:rPr>
          <w:rFonts w:asciiTheme="majorHAnsi" w:hAnsiTheme="majorHAnsi" w:cstheme="majorHAnsi"/>
        </w:rPr>
        <w:t xml:space="preserve"> </w:t>
      </w:r>
      <w:r w:rsidR="00792BD0" w:rsidRPr="007B5953">
        <w:rPr>
          <w:rFonts w:asciiTheme="majorHAnsi" w:hAnsiTheme="majorHAnsi" w:cstheme="majorHAnsi"/>
        </w:rPr>
        <w:t>vrcholových športovcov,</w:t>
      </w:r>
      <w:r w:rsidR="007B5953">
        <w:rPr>
          <w:rFonts w:asciiTheme="majorHAnsi" w:hAnsiTheme="majorHAnsi" w:cstheme="majorHAnsi"/>
        </w:rPr>
        <w:t xml:space="preserve"> </w:t>
      </w:r>
      <w:r w:rsidR="00792BD0" w:rsidRPr="007B5953">
        <w:rPr>
          <w:rFonts w:asciiTheme="majorHAnsi" w:hAnsiTheme="majorHAnsi" w:cstheme="majorHAnsi"/>
        </w:rPr>
        <w:t>štúdia na STU,</w:t>
      </w:r>
      <w:r w:rsidR="007B5953">
        <w:rPr>
          <w:rFonts w:asciiTheme="majorHAnsi" w:hAnsiTheme="majorHAnsi" w:cstheme="majorHAnsi"/>
        </w:rPr>
        <w:t xml:space="preserve"> </w:t>
      </w:r>
      <w:r w:rsidR="00792BD0" w:rsidRPr="007B5953">
        <w:rPr>
          <w:rFonts w:asciiTheme="majorHAnsi" w:hAnsiTheme="majorHAnsi" w:cstheme="majorHAnsi"/>
        </w:rPr>
        <w:t xml:space="preserve">za príkladný občiansky postoj, </w:t>
      </w:r>
      <w:r w:rsidR="00792BD0" w:rsidRPr="0053555E">
        <w:rPr>
          <w:rFonts w:asciiTheme="majorHAnsi" w:hAnsiTheme="majorHAnsi" w:cstheme="majorHAnsi"/>
        </w:rPr>
        <w:t>za aktívne pôsobenie v orgánoch akademickej samosprávy</w:t>
      </w:r>
      <w:r w:rsidR="007B5953">
        <w:rPr>
          <w:rFonts w:asciiTheme="majorHAnsi" w:hAnsiTheme="majorHAnsi" w:cstheme="majorHAnsi"/>
        </w:rPr>
        <w:t>.</w:t>
      </w:r>
      <w:r w:rsidR="00792BD0" w:rsidRPr="0053555E">
        <w:rPr>
          <w:rFonts w:asciiTheme="majorHAnsi" w:hAnsiTheme="majorHAnsi" w:cstheme="majorHAnsi"/>
        </w:rPr>
        <w:t xml:space="preserve"> </w:t>
      </w:r>
    </w:p>
    <w:p w14:paraId="6E50642B" w14:textId="316012A8" w:rsidR="002071AC" w:rsidRPr="0053555E" w:rsidRDefault="00F90A78" w:rsidP="000E3322">
      <w:pPr>
        <w:pStyle w:val="Popis"/>
      </w:pPr>
      <w:bookmarkStart w:id="222" w:name="_Ref31718962"/>
      <w:bookmarkStart w:id="223" w:name="_Toc127593308"/>
      <w:r w:rsidRPr="0053555E">
        <w:t xml:space="preserve">Tab. č. </w:t>
      </w:r>
      <w:r w:rsidR="007B5953">
        <w:fldChar w:fldCharType="begin"/>
      </w:r>
      <w:r w:rsidR="007B5953">
        <w:instrText xml:space="preserve"> SEQ Tab._č. \* ARABIC </w:instrText>
      </w:r>
      <w:r w:rsidR="007B5953">
        <w:fldChar w:fldCharType="separate"/>
      </w:r>
      <w:r w:rsidR="007B5953">
        <w:rPr>
          <w:noProof/>
        </w:rPr>
        <w:t>5</w:t>
      </w:r>
      <w:r w:rsidR="00EE1B59">
        <w:rPr>
          <w:noProof/>
        </w:rPr>
        <w:t>5</w:t>
      </w:r>
      <w:r w:rsidR="007B5953">
        <w:rPr>
          <w:noProof/>
        </w:rPr>
        <w:fldChar w:fldCharType="end"/>
      </w:r>
      <w:bookmarkEnd w:id="222"/>
      <w:r w:rsidRPr="0053555E">
        <w:t>:</w:t>
      </w:r>
      <w:r w:rsidR="002071AC" w:rsidRPr="0053555E">
        <w:t xml:space="preserve"> </w:t>
      </w:r>
      <w:r w:rsidR="0048172D" w:rsidRPr="0053555E">
        <w:t xml:space="preserve">Ďalšie motivačné a mimoriadne štipendiá poskytnuté študentom </w:t>
      </w:r>
      <w:r w:rsidR="00873EDB" w:rsidRPr="0053555E">
        <w:t xml:space="preserve">a absolventom </w:t>
      </w:r>
      <w:r w:rsidR="00523E68">
        <w:t xml:space="preserve">STU </w:t>
      </w:r>
      <w:r w:rsidR="0048172D" w:rsidRPr="0053555E">
        <w:t>v akad</w:t>
      </w:r>
      <w:r w:rsidR="009168FF" w:rsidRPr="0053555E">
        <w:t>emickom</w:t>
      </w:r>
      <w:r w:rsidR="0048172D" w:rsidRPr="0053555E">
        <w:t xml:space="preserve"> roku </w:t>
      </w:r>
      <w:r w:rsidR="00EA24BA" w:rsidRPr="0053555E">
        <w:t>2021/2022</w:t>
      </w:r>
      <w:bookmarkEnd w:id="223"/>
    </w:p>
    <w:tbl>
      <w:tblPr>
        <w:tblW w:w="9067" w:type="dxa"/>
        <w:tblLayout w:type="fixed"/>
        <w:tblCellMar>
          <w:left w:w="70" w:type="dxa"/>
          <w:right w:w="70" w:type="dxa"/>
        </w:tblCellMar>
        <w:tblLook w:val="04A0" w:firstRow="1" w:lastRow="0" w:firstColumn="1" w:lastColumn="0" w:noHBand="0" w:noVBand="1"/>
      </w:tblPr>
      <w:tblGrid>
        <w:gridCol w:w="1080"/>
        <w:gridCol w:w="1996"/>
        <w:gridCol w:w="1997"/>
        <w:gridCol w:w="1997"/>
        <w:gridCol w:w="1997"/>
      </w:tblGrid>
      <w:tr w:rsidR="0046576A" w:rsidRPr="00CC07FA" w14:paraId="5D157FCF" w14:textId="77777777" w:rsidTr="00FC104C">
        <w:trPr>
          <w:trHeight w:val="240"/>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1FB019" w14:textId="77777777" w:rsidR="00B8409B" w:rsidRPr="00CC07FA" w:rsidRDefault="002907D0" w:rsidP="00324438">
            <w:pPr>
              <w:tabs>
                <w:tab w:val="left" w:pos="9356"/>
              </w:tabs>
              <w:jc w:val="both"/>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Súčasť STU</w:t>
            </w:r>
            <w:r w:rsidR="00B8409B" w:rsidRPr="00CC07FA">
              <w:rPr>
                <w:rFonts w:asciiTheme="majorHAnsi" w:eastAsia="Times New Roman" w:hAnsiTheme="majorHAnsi" w:cstheme="majorHAnsi"/>
                <w:b/>
                <w:bCs/>
                <w:sz w:val="22"/>
                <w:szCs w:val="22"/>
                <w:lang w:eastAsia="sk-SK"/>
              </w:rPr>
              <w:t xml:space="preserve"> </w:t>
            </w:r>
          </w:p>
        </w:tc>
        <w:tc>
          <w:tcPr>
            <w:tcW w:w="3993" w:type="dxa"/>
            <w:gridSpan w:val="2"/>
            <w:tcBorders>
              <w:top w:val="single" w:sz="4" w:space="0" w:color="auto"/>
              <w:left w:val="nil"/>
              <w:bottom w:val="single" w:sz="4" w:space="0" w:color="auto"/>
              <w:right w:val="double" w:sz="6" w:space="0" w:color="000000"/>
            </w:tcBorders>
            <w:shd w:val="clear" w:color="auto" w:fill="auto"/>
            <w:vAlign w:val="bottom"/>
            <w:hideMark/>
          </w:tcPr>
          <w:p w14:paraId="63B366E7" w14:textId="77777777" w:rsidR="00B8409B" w:rsidRPr="00CC07FA" w:rsidRDefault="00B8409B" w:rsidP="00324438">
            <w:pPr>
              <w:tabs>
                <w:tab w:val="left" w:pos="9356"/>
              </w:tabs>
              <w:jc w:val="center"/>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motivačné štipendiá za mimoriadne výsledky</w:t>
            </w:r>
          </w:p>
        </w:tc>
        <w:tc>
          <w:tcPr>
            <w:tcW w:w="3994" w:type="dxa"/>
            <w:gridSpan w:val="2"/>
            <w:tcBorders>
              <w:top w:val="single" w:sz="4" w:space="0" w:color="auto"/>
              <w:left w:val="nil"/>
              <w:bottom w:val="single" w:sz="4" w:space="0" w:color="auto"/>
              <w:right w:val="single" w:sz="4" w:space="0" w:color="auto"/>
            </w:tcBorders>
            <w:shd w:val="clear" w:color="auto" w:fill="auto"/>
            <w:vAlign w:val="bottom"/>
            <w:hideMark/>
          </w:tcPr>
          <w:p w14:paraId="747F921E" w14:textId="77777777" w:rsidR="00B8409B" w:rsidRPr="00CC07FA" w:rsidRDefault="00B8409B" w:rsidP="00324438">
            <w:pPr>
              <w:tabs>
                <w:tab w:val="left" w:pos="9356"/>
              </w:tabs>
              <w:jc w:val="center"/>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mimoriadne štipendiá z vlastných zdrojov</w:t>
            </w:r>
          </w:p>
        </w:tc>
      </w:tr>
      <w:tr w:rsidR="00B8409B" w:rsidRPr="00CC07FA" w14:paraId="5F2DBB89" w14:textId="77777777" w:rsidTr="00FC104C">
        <w:trPr>
          <w:trHeight w:val="510"/>
        </w:trPr>
        <w:tc>
          <w:tcPr>
            <w:tcW w:w="1080" w:type="dxa"/>
            <w:vMerge/>
            <w:tcBorders>
              <w:top w:val="single" w:sz="4" w:space="0" w:color="auto"/>
              <w:left w:val="single" w:sz="4" w:space="0" w:color="auto"/>
              <w:bottom w:val="single" w:sz="4" w:space="0" w:color="000000"/>
              <w:right w:val="single" w:sz="4" w:space="0" w:color="auto"/>
            </w:tcBorders>
            <w:vAlign w:val="center"/>
            <w:hideMark/>
          </w:tcPr>
          <w:p w14:paraId="1CD50C3B" w14:textId="77777777" w:rsidR="00B8409B" w:rsidRPr="00CC07FA" w:rsidRDefault="00B8409B" w:rsidP="00324438">
            <w:pPr>
              <w:tabs>
                <w:tab w:val="left" w:pos="9356"/>
              </w:tabs>
              <w:jc w:val="both"/>
              <w:rPr>
                <w:rFonts w:asciiTheme="majorHAnsi" w:eastAsia="Times New Roman" w:hAnsiTheme="majorHAnsi" w:cstheme="majorHAnsi"/>
                <w:b/>
                <w:bCs/>
                <w:sz w:val="22"/>
                <w:szCs w:val="22"/>
                <w:lang w:eastAsia="sk-SK"/>
              </w:rPr>
            </w:pPr>
          </w:p>
        </w:tc>
        <w:tc>
          <w:tcPr>
            <w:tcW w:w="1996" w:type="dxa"/>
            <w:tcBorders>
              <w:top w:val="nil"/>
              <w:left w:val="nil"/>
              <w:bottom w:val="single" w:sz="4" w:space="0" w:color="auto"/>
              <w:right w:val="single" w:sz="4" w:space="0" w:color="auto"/>
            </w:tcBorders>
            <w:shd w:val="clear" w:color="auto" w:fill="auto"/>
            <w:vAlign w:val="center"/>
            <w:hideMark/>
          </w:tcPr>
          <w:p w14:paraId="3442F9B8" w14:textId="77777777" w:rsidR="00B8409B" w:rsidRPr="00CC07FA" w:rsidRDefault="00992500" w:rsidP="00324438">
            <w:pPr>
              <w:tabs>
                <w:tab w:val="left" w:pos="9356"/>
              </w:tabs>
              <w:jc w:val="center"/>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Celková suma poskytnutých štipendií</w:t>
            </w:r>
            <w:r w:rsidR="00B64DCD" w:rsidRPr="00CC07FA">
              <w:rPr>
                <w:rFonts w:asciiTheme="majorHAnsi" w:eastAsia="Times New Roman" w:hAnsiTheme="majorHAnsi" w:cstheme="majorHAnsi"/>
                <w:b/>
                <w:bCs/>
                <w:sz w:val="22"/>
                <w:szCs w:val="22"/>
                <w:lang w:eastAsia="sk-SK"/>
              </w:rPr>
              <w:t xml:space="preserve"> </w:t>
            </w:r>
            <w:r w:rsidRPr="00CC07FA">
              <w:rPr>
                <w:rFonts w:asciiTheme="majorHAnsi" w:eastAsia="Times New Roman" w:hAnsiTheme="majorHAnsi" w:cstheme="majorHAnsi"/>
                <w:b/>
                <w:bCs/>
                <w:sz w:val="22"/>
                <w:szCs w:val="22"/>
                <w:lang w:eastAsia="sk-SK"/>
              </w:rPr>
              <w:t>v €</w:t>
            </w:r>
          </w:p>
        </w:tc>
        <w:tc>
          <w:tcPr>
            <w:tcW w:w="1997" w:type="dxa"/>
            <w:tcBorders>
              <w:top w:val="nil"/>
              <w:left w:val="nil"/>
              <w:bottom w:val="single" w:sz="4" w:space="0" w:color="auto"/>
              <w:right w:val="double" w:sz="6" w:space="0" w:color="auto"/>
            </w:tcBorders>
            <w:shd w:val="clear" w:color="auto" w:fill="auto"/>
            <w:vAlign w:val="center"/>
            <w:hideMark/>
          </w:tcPr>
          <w:p w14:paraId="0872C9DC" w14:textId="5A2F0858" w:rsidR="00B8409B" w:rsidRPr="00CC07FA" w:rsidRDefault="00C46407" w:rsidP="00324438">
            <w:pPr>
              <w:tabs>
                <w:tab w:val="left" w:pos="9356"/>
              </w:tabs>
              <w:jc w:val="center"/>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Počet študentov</w:t>
            </w:r>
            <w:r w:rsidR="00700A92" w:rsidRPr="00CC07FA">
              <w:rPr>
                <w:rFonts w:asciiTheme="majorHAnsi" w:eastAsia="Times New Roman" w:hAnsiTheme="majorHAnsi" w:cstheme="majorHAnsi"/>
                <w:b/>
                <w:bCs/>
                <w:sz w:val="22"/>
                <w:szCs w:val="22"/>
                <w:lang w:eastAsia="sk-SK"/>
              </w:rPr>
              <w:t xml:space="preserve"> </w:t>
            </w:r>
            <w:r w:rsidR="00523E68" w:rsidRPr="00CC07FA">
              <w:rPr>
                <w:rFonts w:asciiTheme="majorHAnsi" w:eastAsia="Times New Roman" w:hAnsiTheme="majorHAnsi" w:cstheme="majorHAnsi"/>
                <w:b/>
                <w:bCs/>
                <w:sz w:val="22"/>
                <w:szCs w:val="22"/>
                <w:lang w:eastAsia="sk-SK"/>
              </w:rPr>
              <w:t>STU</w:t>
            </w:r>
            <w:r w:rsidR="009A1052" w:rsidRPr="00CC07FA">
              <w:rPr>
                <w:rFonts w:asciiTheme="majorHAnsi" w:eastAsia="Times New Roman" w:hAnsiTheme="majorHAnsi" w:cstheme="majorHAnsi"/>
                <w:b/>
                <w:bCs/>
                <w:sz w:val="22"/>
                <w:szCs w:val="22"/>
                <w:lang w:eastAsia="sk-SK"/>
              </w:rPr>
              <w:t xml:space="preserve"> </w:t>
            </w:r>
            <w:r w:rsidR="00700A92" w:rsidRPr="00CC07FA">
              <w:rPr>
                <w:rFonts w:asciiTheme="majorHAnsi" w:eastAsia="Times New Roman" w:hAnsiTheme="majorHAnsi" w:cstheme="majorHAnsi"/>
                <w:b/>
                <w:bCs/>
                <w:sz w:val="22"/>
                <w:szCs w:val="22"/>
                <w:lang w:eastAsia="sk-SK"/>
              </w:rPr>
              <w:t>(štipendií)</w:t>
            </w:r>
          </w:p>
        </w:tc>
        <w:tc>
          <w:tcPr>
            <w:tcW w:w="1997" w:type="dxa"/>
            <w:tcBorders>
              <w:top w:val="nil"/>
              <w:left w:val="nil"/>
              <w:bottom w:val="single" w:sz="4" w:space="0" w:color="auto"/>
              <w:right w:val="single" w:sz="4" w:space="0" w:color="auto"/>
            </w:tcBorders>
            <w:shd w:val="clear" w:color="auto" w:fill="auto"/>
            <w:vAlign w:val="center"/>
            <w:hideMark/>
          </w:tcPr>
          <w:p w14:paraId="36B6B15F" w14:textId="77777777" w:rsidR="00B8409B" w:rsidRPr="00CC07FA" w:rsidRDefault="00992500" w:rsidP="00324438">
            <w:pPr>
              <w:tabs>
                <w:tab w:val="left" w:pos="9356"/>
              </w:tabs>
              <w:jc w:val="center"/>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Celková suma poskytnutých štipendií</w:t>
            </w:r>
            <w:r w:rsidR="00B64DCD" w:rsidRPr="00CC07FA">
              <w:rPr>
                <w:rFonts w:asciiTheme="majorHAnsi" w:eastAsia="Times New Roman" w:hAnsiTheme="majorHAnsi" w:cstheme="majorHAnsi"/>
                <w:b/>
                <w:bCs/>
                <w:sz w:val="22"/>
                <w:szCs w:val="22"/>
                <w:lang w:eastAsia="sk-SK"/>
              </w:rPr>
              <w:t xml:space="preserve"> </w:t>
            </w:r>
            <w:r w:rsidRPr="00CC07FA">
              <w:rPr>
                <w:rFonts w:asciiTheme="majorHAnsi" w:eastAsia="Times New Roman" w:hAnsiTheme="majorHAnsi" w:cstheme="majorHAnsi"/>
                <w:b/>
                <w:bCs/>
                <w:sz w:val="22"/>
                <w:szCs w:val="22"/>
                <w:lang w:eastAsia="sk-SK"/>
              </w:rPr>
              <w:t>v €</w:t>
            </w:r>
          </w:p>
        </w:tc>
        <w:tc>
          <w:tcPr>
            <w:tcW w:w="1997" w:type="dxa"/>
            <w:tcBorders>
              <w:top w:val="nil"/>
              <w:left w:val="nil"/>
              <w:bottom w:val="single" w:sz="4" w:space="0" w:color="auto"/>
              <w:right w:val="single" w:sz="4" w:space="0" w:color="auto"/>
            </w:tcBorders>
            <w:shd w:val="clear" w:color="auto" w:fill="auto"/>
            <w:vAlign w:val="center"/>
            <w:hideMark/>
          </w:tcPr>
          <w:p w14:paraId="19BF690C" w14:textId="4F3F5FC2" w:rsidR="00B8409B" w:rsidRPr="00CC07FA" w:rsidRDefault="00992500" w:rsidP="00700A92">
            <w:pPr>
              <w:tabs>
                <w:tab w:val="left" w:pos="9356"/>
              </w:tabs>
              <w:jc w:val="center"/>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Počet študentov/</w:t>
            </w:r>
            <w:r w:rsidR="00E51E36" w:rsidRPr="00CC07FA">
              <w:rPr>
                <w:rFonts w:asciiTheme="majorHAnsi" w:eastAsia="Times New Roman" w:hAnsiTheme="majorHAnsi" w:cstheme="majorHAnsi"/>
                <w:b/>
                <w:bCs/>
                <w:sz w:val="22"/>
                <w:szCs w:val="22"/>
                <w:lang w:eastAsia="sk-SK"/>
              </w:rPr>
              <w:t xml:space="preserve"> </w:t>
            </w:r>
            <w:r w:rsidRPr="00CC07FA">
              <w:rPr>
                <w:rFonts w:asciiTheme="majorHAnsi" w:eastAsia="Times New Roman" w:hAnsiTheme="majorHAnsi" w:cstheme="majorHAnsi"/>
                <w:b/>
                <w:bCs/>
                <w:sz w:val="22"/>
                <w:szCs w:val="22"/>
                <w:lang w:eastAsia="sk-SK"/>
              </w:rPr>
              <w:t>absolventov</w:t>
            </w:r>
            <w:r w:rsidR="00700A92" w:rsidRPr="00CC07FA">
              <w:rPr>
                <w:rFonts w:asciiTheme="majorHAnsi" w:eastAsia="Times New Roman" w:hAnsiTheme="majorHAnsi" w:cstheme="majorHAnsi"/>
                <w:b/>
                <w:bCs/>
                <w:sz w:val="22"/>
                <w:szCs w:val="22"/>
                <w:lang w:eastAsia="sk-SK"/>
              </w:rPr>
              <w:t xml:space="preserve"> </w:t>
            </w:r>
            <w:r w:rsidR="009A1052" w:rsidRPr="00CC07FA">
              <w:rPr>
                <w:rFonts w:asciiTheme="majorHAnsi" w:eastAsia="Times New Roman" w:hAnsiTheme="majorHAnsi" w:cstheme="majorHAnsi"/>
                <w:b/>
                <w:bCs/>
                <w:sz w:val="22"/>
                <w:szCs w:val="22"/>
                <w:lang w:eastAsia="sk-SK"/>
              </w:rPr>
              <w:t xml:space="preserve">STU </w:t>
            </w:r>
            <w:r w:rsidR="00700A92" w:rsidRPr="00CC07FA">
              <w:rPr>
                <w:rFonts w:asciiTheme="majorHAnsi" w:eastAsia="Times New Roman" w:hAnsiTheme="majorHAnsi" w:cstheme="majorHAnsi"/>
                <w:b/>
                <w:bCs/>
                <w:sz w:val="22"/>
                <w:szCs w:val="22"/>
                <w:lang w:eastAsia="sk-SK"/>
              </w:rPr>
              <w:t>(štipendií)</w:t>
            </w:r>
          </w:p>
        </w:tc>
      </w:tr>
      <w:tr w:rsidR="003F75F8" w:rsidRPr="00CC07FA" w14:paraId="5439D9D6" w14:textId="77777777" w:rsidTr="00FC104C">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880703A" w14:textId="77777777" w:rsidR="003F75F8" w:rsidRPr="00CC07FA" w:rsidRDefault="003F75F8" w:rsidP="003F75F8">
            <w:pPr>
              <w:tabs>
                <w:tab w:val="left" w:pos="9356"/>
              </w:tabs>
              <w:jc w:val="both"/>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SvF</w:t>
            </w:r>
          </w:p>
        </w:tc>
        <w:tc>
          <w:tcPr>
            <w:tcW w:w="1996" w:type="dxa"/>
            <w:tcBorders>
              <w:top w:val="nil"/>
              <w:left w:val="nil"/>
              <w:bottom w:val="single" w:sz="4" w:space="0" w:color="auto"/>
              <w:right w:val="single" w:sz="4" w:space="0" w:color="auto"/>
            </w:tcBorders>
            <w:shd w:val="clear" w:color="auto" w:fill="auto"/>
            <w:noWrap/>
            <w:vAlign w:val="bottom"/>
            <w:hideMark/>
          </w:tcPr>
          <w:p w14:paraId="725E4BC4" w14:textId="71D83625"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31 877</w:t>
            </w:r>
          </w:p>
        </w:tc>
        <w:tc>
          <w:tcPr>
            <w:tcW w:w="1997" w:type="dxa"/>
            <w:tcBorders>
              <w:top w:val="nil"/>
              <w:left w:val="nil"/>
              <w:bottom w:val="single" w:sz="4" w:space="0" w:color="auto"/>
              <w:right w:val="double" w:sz="6" w:space="0" w:color="auto"/>
            </w:tcBorders>
            <w:shd w:val="clear" w:color="auto" w:fill="auto"/>
            <w:noWrap/>
            <w:vAlign w:val="bottom"/>
            <w:hideMark/>
          </w:tcPr>
          <w:p w14:paraId="268D9138" w14:textId="7D5B39BD"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119</w:t>
            </w:r>
          </w:p>
        </w:tc>
        <w:tc>
          <w:tcPr>
            <w:tcW w:w="1997" w:type="dxa"/>
            <w:tcBorders>
              <w:top w:val="nil"/>
              <w:left w:val="nil"/>
              <w:bottom w:val="single" w:sz="4" w:space="0" w:color="auto"/>
              <w:right w:val="single" w:sz="4" w:space="0" w:color="auto"/>
            </w:tcBorders>
            <w:shd w:val="clear" w:color="auto" w:fill="auto"/>
            <w:noWrap/>
            <w:vAlign w:val="bottom"/>
            <w:hideMark/>
          </w:tcPr>
          <w:p w14:paraId="2008E44B" w14:textId="66486F85"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19 996</w:t>
            </w:r>
          </w:p>
        </w:tc>
        <w:tc>
          <w:tcPr>
            <w:tcW w:w="1997" w:type="dxa"/>
            <w:tcBorders>
              <w:top w:val="nil"/>
              <w:left w:val="nil"/>
              <w:bottom w:val="single" w:sz="4" w:space="0" w:color="auto"/>
              <w:right w:val="single" w:sz="4" w:space="0" w:color="auto"/>
            </w:tcBorders>
            <w:shd w:val="clear" w:color="auto" w:fill="auto"/>
            <w:noWrap/>
            <w:vAlign w:val="bottom"/>
            <w:hideMark/>
          </w:tcPr>
          <w:p w14:paraId="102AC7A6" w14:textId="6DE23AAD"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189</w:t>
            </w:r>
          </w:p>
        </w:tc>
      </w:tr>
      <w:tr w:rsidR="003F75F8" w:rsidRPr="00CC07FA" w14:paraId="4D0ABF95" w14:textId="77777777" w:rsidTr="00FC104C">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A66B8DD" w14:textId="77777777" w:rsidR="003F75F8" w:rsidRPr="00CC07FA" w:rsidRDefault="003F75F8" w:rsidP="003F75F8">
            <w:pPr>
              <w:tabs>
                <w:tab w:val="left" w:pos="9356"/>
              </w:tabs>
              <w:jc w:val="both"/>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SjF</w:t>
            </w:r>
          </w:p>
        </w:tc>
        <w:tc>
          <w:tcPr>
            <w:tcW w:w="1996" w:type="dxa"/>
            <w:tcBorders>
              <w:top w:val="nil"/>
              <w:left w:val="nil"/>
              <w:bottom w:val="single" w:sz="4" w:space="0" w:color="auto"/>
              <w:right w:val="single" w:sz="4" w:space="0" w:color="auto"/>
            </w:tcBorders>
            <w:shd w:val="clear" w:color="auto" w:fill="auto"/>
            <w:noWrap/>
            <w:vAlign w:val="bottom"/>
            <w:hideMark/>
          </w:tcPr>
          <w:p w14:paraId="61CED31F" w14:textId="4C62FA7A"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9 607</w:t>
            </w:r>
          </w:p>
        </w:tc>
        <w:tc>
          <w:tcPr>
            <w:tcW w:w="1997" w:type="dxa"/>
            <w:tcBorders>
              <w:top w:val="nil"/>
              <w:left w:val="nil"/>
              <w:bottom w:val="single" w:sz="4" w:space="0" w:color="auto"/>
              <w:right w:val="double" w:sz="6" w:space="0" w:color="auto"/>
            </w:tcBorders>
            <w:shd w:val="clear" w:color="auto" w:fill="auto"/>
            <w:noWrap/>
            <w:vAlign w:val="bottom"/>
            <w:hideMark/>
          </w:tcPr>
          <w:p w14:paraId="5686281F" w14:textId="29209EC3"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40</w:t>
            </w:r>
          </w:p>
        </w:tc>
        <w:tc>
          <w:tcPr>
            <w:tcW w:w="1997" w:type="dxa"/>
            <w:tcBorders>
              <w:top w:val="nil"/>
              <w:left w:val="nil"/>
              <w:bottom w:val="single" w:sz="4" w:space="0" w:color="auto"/>
              <w:right w:val="single" w:sz="4" w:space="0" w:color="auto"/>
            </w:tcBorders>
            <w:shd w:val="clear" w:color="auto" w:fill="auto"/>
            <w:noWrap/>
            <w:vAlign w:val="bottom"/>
            <w:hideMark/>
          </w:tcPr>
          <w:p w14:paraId="73BE219F" w14:textId="78BF63FE"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17 580</w:t>
            </w:r>
          </w:p>
        </w:tc>
        <w:tc>
          <w:tcPr>
            <w:tcW w:w="1997" w:type="dxa"/>
            <w:tcBorders>
              <w:top w:val="nil"/>
              <w:left w:val="nil"/>
              <w:bottom w:val="single" w:sz="4" w:space="0" w:color="auto"/>
              <w:right w:val="single" w:sz="4" w:space="0" w:color="auto"/>
            </w:tcBorders>
            <w:shd w:val="clear" w:color="auto" w:fill="auto"/>
            <w:noWrap/>
            <w:vAlign w:val="bottom"/>
            <w:hideMark/>
          </w:tcPr>
          <w:p w14:paraId="601CD456" w14:textId="07CF4C00"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65</w:t>
            </w:r>
          </w:p>
        </w:tc>
      </w:tr>
      <w:tr w:rsidR="003F75F8" w:rsidRPr="00CC07FA" w14:paraId="5D0AF05B" w14:textId="77777777" w:rsidTr="00FC104C">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06496E3" w14:textId="77777777" w:rsidR="003F75F8" w:rsidRPr="00CC07FA" w:rsidRDefault="003F75F8" w:rsidP="003F75F8">
            <w:pPr>
              <w:tabs>
                <w:tab w:val="left" w:pos="9356"/>
              </w:tabs>
              <w:jc w:val="both"/>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FEI</w:t>
            </w:r>
          </w:p>
        </w:tc>
        <w:tc>
          <w:tcPr>
            <w:tcW w:w="1996" w:type="dxa"/>
            <w:tcBorders>
              <w:top w:val="nil"/>
              <w:left w:val="nil"/>
              <w:bottom w:val="single" w:sz="4" w:space="0" w:color="auto"/>
              <w:right w:val="single" w:sz="4" w:space="0" w:color="auto"/>
            </w:tcBorders>
            <w:shd w:val="clear" w:color="auto" w:fill="auto"/>
            <w:noWrap/>
            <w:vAlign w:val="bottom"/>
            <w:hideMark/>
          </w:tcPr>
          <w:p w14:paraId="1DFD618D" w14:textId="326EEA05"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7 240</w:t>
            </w:r>
          </w:p>
        </w:tc>
        <w:tc>
          <w:tcPr>
            <w:tcW w:w="1997" w:type="dxa"/>
            <w:tcBorders>
              <w:top w:val="nil"/>
              <w:left w:val="nil"/>
              <w:bottom w:val="single" w:sz="4" w:space="0" w:color="auto"/>
              <w:right w:val="double" w:sz="6" w:space="0" w:color="auto"/>
            </w:tcBorders>
            <w:shd w:val="clear" w:color="auto" w:fill="auto"/>
            <w:noWrap/>
            <w:vAlign w:val="bottom"/>
            <w:hideMark/>
          </w:tcPr>
          <w:p w14:paraId="1C9424F5" w14:textId="02DE4DA7"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29</w:t>
            </w:r>
          </w:p>
        </w:tc>
        <w:tc>
          <w:tcPr>
            <w:tcW w:w="1997" w:type="dxa"/>
            <w:tcBorders>
              <w:top w:val="nil"/>
              <w:left w:val="nil"/>
              <w:bottom w:val="single" w:sz="4" w:space="0" w:color="auto"/>
              <w:right w:val="single" w:sz="4" w:space="0" w:color="auto"/>
            </w:tcBorders>
            <w:shd w:val="clear" w:color="auto" w:fill="auto"/>
            <w:noWrap/>
            <w:vAlign w:val="bottom"/>
            <w:hideMark/>
          </w:tcPr>
          <w:p w14:paraId="7A5A9076" w14:textId="610623CC"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32 370</w:t>
            </w:r>
          </w:p>
        </w:tc>
        <w:tc>
          <w:tcPr>
            <w:tcW w:w="1997" w:type="dxa"/>
            <w:tcBorders>
              <w:top w:val="nil"/>
              <w:left w:val="nil"/>
              <w:bottom w:val="single" w:sz="4" w:space="0" w:color="auto"/>
              <w:right w:val="single" w:sz="4" w:space="0" w:color="auto"/>
            </w:tcBorders>
            <w:shd w:val="clear" w:color="auto" w:fill="auto"/>
            <w:noWrap/>
            <w:vAlign w:val="bottom"/>
            <w:hideMark/>
          </w:tcPr>
          <w:p w14:paraId="7F64E750" w14:textId="43B759F1"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180</w:t>
            </w:r>
          </w:p>
        </w:tc>
      </w:tr>
      <w:tr w:rsidR="003F75F8" w:rsidRPr="00CC07FA" w14:paraId="2F164A7A" w14:textId="77777777" w:rsidTr="00FC104C">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7B3BC7D" w14:textId="77777777" w:rsidR="003F75F8" w:rsidRPr="00CC07FA" w:rsidRDefault="003F75F8" w:rsidP="003F75F8">
            <w:pPr>
              <w:tabs>
                <w:tab w:val="left" w:pos="9356"/>
              </w:tabs>
              <w:jc w:val="both"/>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FCHPT</w:t>
            </w:r>
          </w:p>
        </w:tc>
        <w:tc>
          <w:tcPr>
            <w:tcW w:w="1996" w:type="dxa"/>
            <w:tcBorders>
              <w:top w:val="nil"/>
              <w:left w:val="nil"/>
              <w:bottom w:val="single" w:sz="4" w:space="0" w:color="auto"/>
              <w:right w:val="single" w:sz="4" w:space="0" w:color="auto"/>
            </w:tcBorders>
            <w:shd w:val="clear" w:color="auto" w:fill="auto"/>
            <w:noWrap/>
            <w:vAlign w:val="bottom"/>
            <w:hideMark/>
          </w:tcPr>
          <w:p w14:paraId="1552AA54" w14:textId="300E206E"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5 800</w:t>
            </w:r>
          </w:p>
        </w:tc>
        <w:tc>
          <w:tcPr>
            <w:tcW w:w="1997" w:type="dxa"/>
            <w:tcBorders>
              <w:top w:val="nil"/>
              <w:left w:val="nil"/>
              <w:bottom w:val="single" w:sz="4" w:space="0" w:color="auto"/>
              <w:right w:val="double" w:sz="6" w:space="0" w:color="auto"/>
            </w:tcBorders>
            <w:shd w:val="clear" w:color="auto" w:fill="auto"/>
            <w:noWrap/>
            <w:vAlign w:val="bottom"/>
            <w:hideMark/>
          </w:tcPr>
          <w:p w14:paraId="1F5D24B8" w14:textId="5862088F"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38</w:t>
            </w:r>
          </w:p>
        </w:tc>
        <w:tc>
          <w:tcPr>
            <w:tcW w:w="1997" w:type="dxa"/>
            <w:tcBorders>
              <w:top w:val="nil"/>
              <w:left w:val="nil"/>
              <w:bottom w:val="single" w:sz="4" w:space="0" w:color="auto"/>
              <w:right w:val="single" w:sz="4" w:space="0" w:color="auto"/>
            </w:tcBorders>
            <w:shd w:val="clear" w:color="auto" w:fill="auto"/>
            <w:noWrap/>
            <w:vAlign w:val="bottom"/>
            <w:hideMark/>
          </w:tcPr>
          <w:p w14:paraId="53567644" w14:textId="491D74A9"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12 760</w:t>
            </w:r>
          </w:p>
        </w:tc>
        <w:tc>
          <w:tcPr>
            <w:tcW w:w="1997" w:type="dxa"/>
            <w:tcBorders>
              <w:top w:val="nil"/>
              <w:left w:val="nil"/>
              <w:bottom w:val="single" w:sz="4" w:space="0" w:color="auto"/>
              <w:right w:val="single" w:sz="4" w:space="0" w:color="auto"/>
            </w:tcBorders>
            <w:shd w:val="clear" w:color="auto" w:fill="auto"/>
            <w:noWrap/>
            <w:vAlign w:val="bottom"/>
            <w:hideMark/>
          </w:tcPr>
          <w:p w14:paraId="3703FD39" w14:textId="543B49EB"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95</w:t>
            </w:r>
          </w:p>
        </w:tc>
      </w:tr>
      <w:tr w:rsidR="003F75F8" w:rsidRPr="00CC07FA" w14:paraId="076B9497" w14:textId="77777777" w:rsidTr="00FC104C">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533EAD6" w14:textId="77777777" w:rsidR="003F75F8" w:rsidRPr="00CC07FA" w:rsidRDefault="003F75F8" w:rsidP="003F75F8">
            <w:pPr>
              <w:tabs>
                <w:tab w:val="left" w:pos="9356"/>
              </w:tabs>
              <w:jc w:val="both"/>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FAD</w:t>
            </w:r>
          </w:p>
        </w:tc>
        <w:tc>
          <w:tcPr>
            <w:tcW w:w="1996" w:type="dxa"/>
            <w:tcBorders>
              <w:top w:val="nil"/>
              <w:left w:val="nil"/>
              <w:bottom w:val="single" w:sz="4" w:space="0" w:color="auto"/>
              <w:right w:val="single" w:sz="4" w:space="0" w:color="auto"/>
            </w:tcBorders>
            <w:shd w:val="clear" w:color="auto" w:fill="auto"/>
            <w:noWrap/>
            <w:vAlign w:val="bottom"/>
            <w:hideMark/>
          </w:tcPr>
          <w:p w14:paraId="33C4D648" w14:textId="7D6E1CAE"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9 026</w:t>
            </w:r>
          </w:p>
        </w:tc>
        <w:tc>
          <w:tcPr>
            <w:tcW w:w="1997" w:type="dxa"/>
            <w:tcBorders>
              <w:top w:val="nil"/>
              <w:left w:val="nil"/>
              <w:bottom w:val="single" w:sz="4" w:space="0" w:color="auto"/>
              <w:right w:val="double" w:sz="6" w:space="0" w:color="auto"/>
            </w:tcBorders>
            <w:shd w:val="clear" w:color="auto" w:fill="auto"/>
            <w:noWrap/>
            <w:vAlign w:val="bottom"/>
            <w:hideMark/>
          </w:tcPr>
          <w:p w14:paraId="215D4706" w14:textId="704916E5"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61</w:t>
            </w:r>
          </w:p>
        </w:tc>
        <w:tc>
          <w:tcPr>
            <w:tcW w:w="1997" w:type="dxa"/>
            <w:tcBorders>
              <w:top w:val="nil"/>
              <w:left w:val="nil"/>
              <w:bottom w:val="single" w:sz="4" w:space="0" w:color="auto"/>
              <w:right w:val="single" w:sz="4" w:space="0" w:color="auto"/>
            </w:tcBorders>
            <w:shd w:val="clear" w:color="auto" w:fill="auto"/>
            <w:noWrap/>
            <w:vAlign w:val="bottom"/>
            <w:hideMark/>
          </w:tcPr>
          <w:p w14:paraId="127A73DE" w14:textId="05B13862"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4 580</w:t>
            </w:r>
          </w:p>
        </w:tc>
        <w:tc>
          <w:tcPr>
            <w:tcW w:w="1997" w:type="dxa"/>
            <w:tcBorders>
              <w:top w:val="nil"/>
              <w:left w:val="nil"/>
              <w:bottom w:val="single" w:sz="4" w:space="0" w:color="auto"/>
              <w:right w:val="single" w:sz="4" w:space="0" w:color="auto"/>
            </w:tcBorders>
            <w:shd w:val="clear" w:color="auto" w:fill="auto"/>
            <w:noWrap/>
            <w:vAlign w:val="bottom"/>
            <w:hideMark/>
          </w:tcPr>
          <w:p w14:paraId="7EBBD872" w14:textId="1979F3BA"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17</w:t>
            </w:r>
          </w:p>
        </w:tc>
      </w:tr>
      <w:tr w:rsidR="003F75F8" w:rsidRPr="00CC07FA" w14:paraId="7A040B09" w14:textId="77777777" w:rsidTr="00FC104C">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5300C0B" w14:textId="77777777" w:rsidR="003F75F8" w:rsidRPr="00CC07FA" w:rsidRDefault="003F75F8" w:rsidP="003F75F8">
            <w:pPr>
              <w:tabs>
                <w:tab w:val="left" w:pos="9356"/>
              </w:tabs>
              <w:jc w:val="both"/>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MTF</w:t>
            </w:r>
          </w:p>
        </w:tc>
        <w:tc>
          <w:tcPr>
            <w:tcW w:w="1996" w:type="dxa"/>
            <w:tcBorders>
              <w:top w:val="nil"/>
              <w:left w:val="nil"/>
              <w:bottom w:val="single" w:sz="4" w:space="0" w:color="auto"/>
              <w:right w:val="single" w:sz="4" w:space="0" w:color="auto"/>
            </w:tcBorders>
            <w:shd w:val="clear" w:color="auto" w:fill="auto"/>
            <w:noWrap/>
            <w:vAlign w:val="bottom"/>
            <w:hideMark/>
          </w:tcPr>
          <w:p w14:paraId="5F4ADBC2" w14:textId="573773D6"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12 490</w:t>
            </w:r>
          </w:p>
        </w:tc>
        <w:tc>
          <w:tcPr>
            <w:tcW w:w="1997" w:type="dxa"/>
            <w:tcBorders>
              <w:top w:val="nil"/>
              <w:left w:val="nil"/>
              <w:bottom w:val="single" w:sz="4" w:space="0" w:color="auto"/>
              <w:right w:val="double" w:sz="6" w:space="0" w:color="auto"/>
            </w:tcBorders>
            <w:shd w:val="clear" w:color="auto" w:fill="auto"/>
            <w:noWrap/>
            <w:vAlign w:val="bottom"/>
            <w:hideMark/>
          </w:tcPr>
          <w:p w14:paraId="55DD928B" w14:textId="600E2A09"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66</w:t>
            </w:r>
          </w:p>
        </w:tc>
        <w:tc>
          <w:tcPr>
            <w:tcW w:w="1997" w:type="dxa"/>
            <w:tcBorders>
              <w:top w:val="nil"/>
              <w:left w:val="nil"/>
              <w:bottom w:val="single" w:sz="4" w:space="0" w:color="auto"/>
              <w:right w:val="single" w:sz="4" w:space="0" w:color="auto"/>
            </w:tcBorders>
            <w:shd w:val="clear" w:color="auto" w:fill="auto"/>
            <w:noWrap/>
            <w:vAlign w:val="bottom"/>
            <w:hideMark/>
          </w:tcPr>
          <w:p w14:paraId="304BBC02" w14:textId="447E9BB8"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48 289</w:t>
            </w:r>
          </w:p>
        </w:tc>
        <w:tc>
          <w:tcPr>
            <w:tcW w:w="1997" w:type="dxa"/>
            <w:tcBorders>
              <w:top w:val="nil"/>
              <w:left w:val="nil"/>
              <w:bottom w:val="single" w:sz="4" w:space="0" w:color="auto"/>
              <w:right w:val="single" w:sz="4" w:space="0" w:color="auto"/>
            </w:tcBorders>
            <w:shd w:val="clear" w:color="auto" w:fill="auto"/>
            <w:noWrap/>
            <w:vAlign w:val="bottom"/>
            <w:hideMark/>
          </w:tcPr>
          <w:p w14:paraId="64786693" w14:textId="5CB805A0"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209</w:t>
            </w:r>
          </w:p>
        </w:tc>
      </w:tr>
      <w:tr w:rsidR="003F75F8" w:rsidRPr="00CC07FA" w14:paraId="618115F9" w14:textId="77777777" w:rsidTr="00FC104C">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8285F38" w14:textId="77777777" w:rsidR="003F75F8" w:rsidRPr="00CC07FA" w:rsidRDefault="003F75F8" w:rsidP="003F75F8">
            <w:pPr>
              <w:tabs>
                <w:tab w:val="left" w:pos="9356"/>
              </w:tabs>
              <w:jc w:val="both"/>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FIIT</w:t>
            </w:r>
          </w:p>
        </w:tc>
        <w:tc>
          <w:tcPr>
            <w:tcW w:w="1996" w:type="dxa"/>
            <w:tcBorders>
              <w:top w:val="nil"/>
              <w:left w:val="nil"/>
              <w:bottom w:val="single" w:sz="4" w:space="0" w:color="auto"/>
              <w:right w:val="single" w:sz="4" w:space="0" w:color="auto"/>
            </w:tcBorders>
            <w:shd w:val="clear" w:color="auto" w:fill="auto"/>
            <w:noWrap/>
            <w:vAlign w:val="bottom"/>
            <w:hideMark/>
          </w:tcPr>
          <w:p w14:paraId="0FD9A011" w14:textId="549B0C2C"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5 280</w:t>
            </w:r>
          </w:p>
        </w:tc>
        <w:tc>
          <w:tcPr>
            <w:tcW w:w="1997" w:type="dxa"/>
            <w:tcBorders>
              <w:top w:val="nil"/>
              <w:left w:val="nil"/>
              <w:bottom w:val="single" w:sz="4" w:space="0" w:color="auto"/>
              <w:right w:val="double" w:sz="6" w:space="0" w:color="auto"/>
            </w:tcBorders>
            <w:shd w:val="clear" w:color="auto" w:fill="auto"/>
            <w:noWrap/>
            <w:vAlign w:val="bottom"/>
            <w:hideMark/>
          </w:tcPr>
          <w:p w14:paraId="2ADE72E9" w14:textId="31B13A40"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11</w:t>
            </w:r>
          </w:p>
        </w:tc>
        <w:tc>
          <w:tcPr>
            <w:tcW w:w="1997" w:type="dxa"/>
            <w:tcBorders>
              <w:top w:val="nil"/>
              <w:left w:val="nil"/>
              <w:bottom w:val="single" w:sz="4" w:space="0" w:color="auto"/>
              <w:right w:val="single" w:sz="4" w:space="0" w:color="auto"/>
            </w:tcBorders>
            <w:shd w:val="clear" w:color="auto" w:fill="auto"/>
            <w:noWrap/>
            <w:vAlign w:val="bottom"/>
            <w:hideMark/>
          </w:tcPr>
          <w:p w14:paraId="32EB1A1B" w14:textId="684F2287"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744</w:t>
            </w:r>
          </w:p>
        </w:tc>
        <w:tc>
          <w:tcPr>
            <w:tcW w:w="1997" w:type="dxa"/>
            <w:tcBorders>
              <w:top w:val="nil"/>
              <w:left w:val="nil"/>
              <w:bottom w:val="single" w:sz="4" w:space="0" w:color="auto"/>
              <w:right w:val="single" w:sz="4" w:space="0" w:color="auto"/>
            </w:tcBorders>
            <w:shd w:val="clear" w:color="auto" w:fill="auto"/>
            <w:noWrap/>
            <w:vAlign w:val="bottom"/>
            <w:hideMark/>
          </w:tcPr>
          <w:p w14:paraId="00553FE6" w14:textId="10A8974B"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2</w:t>
            </w:r>
          </w:p>
        </w:tc>
      </w:tr>
      <w:tr w:rsidR="003F75F8" w:rsidRPr="00CC07FA" w14:paraId="02C1D208" w14:textId="77777777" w:rsidTr="00FC104C">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034CCDF" w14:textId="77777777" w:rsidR="003F75F8" w:rsidRPr="00CC07FA" w:rsidRDefault="003F75F8" w:rsidP="003F75F8">
            <w:pPr>
              <w:tabs>
                <w:tab w:val="left" w:pos="9356"/>
              </w:tabs>
              <w:jc w:val="both"/>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ÚM</w:t>
            </w:r>
          </w:p>
        </w:tc>
        <w:tc>
          <w:tcPr>
            <w:tcW w:w="1996" w:type="dxa"/>
            <w:tcBorders>
              <w:top w:val="nil"/>
              <w:left w:val="nil"/>
              <w:bottom w:val="single" w:sz="4" w:space="0" w:color="auto"/>
              <w:right w:val="single" w:sz="4" w:space="0" w:color="auto"/>
            </w:tcBorders>
            <w:shd w:val="clear" w:color="auto" w:fill="auto"/>
            <w:noWrap/>
            <w:vAlign w:val="bottom"/>
            <w:hideMark/>
          </w:tcPr>
          <w:p w14:paraId="74A45FF3" w14:textId="35150CBA"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581</w:t>
            </w:r>
          </w:p>
        </w:tc>
        <w:tc>
          <w:tcPr>
            <w:tcW w:w="1997" w:type="dxa"/>
            <w:tcBorders>
              <w:top w:val="nil"/>
              <w:left w:val="nil"/>
              <w:bottom w:val="single" w:sz="4" w:space="0" w:color="auto"/>
              <w:right w:val="double" w:sz="6" w:space="0" w:color="auto"/>
            </w:tcBorders>
            <w:shd w:val="clear" w:color="auto" w:fill="auto"/>
            <w:noWrap/>
            <w:vAlign w:val="bottom"/>
            <w:hideMark/>
          </w:tcPr>
          <w:p w14:paraId="6101DE6B" w14:textId="2C05D9C1"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1</w:t>
            </w:r>
          </w:p>
        </w:tc>
        <w:tc>
          <w:tcPr>
            <w:tcW w:w="1997" w:type="dxa"/>
            <w:tcBorders>
              <w:top w:val="nil"/>
              <w:left w:val="nil"/>
              <w:bottom w:val="single" w:sz="4" w:space="0" w:color="auto"/>
              <w:right w:val="single" w:sz="4" w:space="0" w:color="auto"/>
            </w:tcBorders>
            <w:shd w:val="clear" w:color="auto" w:fill="auto"/>
            <w:noWrap/>
            <w:vAlign w:val="bottom"/>
            <w:hideMark/>
          </w:tcPr>
          <w:p w14:paraId="1FBE9381" w14:textId="7368AB54"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4 830</w:t>
            </w:r>
          </w:p>
        </w:tc>
        <w:tc>
          <w:tcPr>
            <w:tcW w:w="1997" w:type="dxa"/>
            <w:tcBorders>
              <w:top w:val="nil"/>
              <w:left w:val="nil"/>
              <w:bottom w:val="single" w:sz="4" w:space="0" w:color="auto"/>
              <w:right w:val="single" w:sz="4" w:space="0" w:color="auto"/>
            </w:tcBorders>
            <w:shd w:val="clear" w:color="auto" w:fill="auto"/>
            <w:noWrap/>
            <w:vAlign w:val="bottom"/>
            <w:hideMark/>
          </w:tcPr>
          <w:p w14:paraId="6D2D6D2A" w14:textId="38C61E59" w:rsidR="003F75F8" w:rsidRPr="00CC07FA" w:rsidRDefault="003F75F8" w:rsidP="003F75F8">
            <w:pPr>
              <w:jc w:val="center"/>
              <w:rPr>
                <w:rFonts w:asciiTheme="majorHAnsi" w:hAnsiTheme="majorHAnsi" w:cstheme="majorHAnsi"/>
                <w:sz w:val="22"/>
                <w:szCs w:val="22"/>
              </w:rPr>
            </w:pPr>
            <w:r w:rsidRPr="00CC07FA">
              <w:rPr>
                <w:rFonts w:asciiTheme="majorHAnsi" w:hAnsiTheme="majorHAnsi" w:cstheme="majorHAnsi"/>
                <w:sz w:val="22"/>
                <w:szCs w:val="22"/>
              </w:rPr>
              <w:t>20</w:t>
            </w:r>
          </w:p>
        </w:tc>
      </w:tr>
      <w:tr w:rsidR="003F75F8" w:rsidRPr="00CC07FA" w14:paraId="0739B696" w14:textId="77777777" w:rsidTr="00FC104C">
        <w:trPr>
          <w:trHeight w:val="255"/>
        </w:trPr>
        <w:tc>
          <w:tcPr>
            <w:tcW w:w="1080"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60A3346D" w14:textId="77777777" w:rsidR="003F75F8" w:rsidRPr="00CC07FA" w:rsidRDefault="003F75F8" w:rsidP="003F75F8">
            <w:pPr>
              <w:tabs>
                <w:tab w:val="left" w:pos="9356"/>
              </w:tabs>
              <w:jc w:val="both"/>
              <w:rPr>
                <w:rFonts w:asciiTheme="majorHAnsi" w:eastAsia="Times New Roman" w:hAnsiTheme="majorHAnsi" w:cstheme="majorHAnsi"/>
                <w:b/>
                <w:bCs/>
                <w:sz w:val="22"/>
                <w:szCs w:val="22"/>
                <w:lang w:eastAsia="sk-SK"/>
              </w:rPr>
            </w:pPr>
            <w:r w:rsidRPr="00CC07FA">
              <w:rPr>
                <w:rFonts w:asciiTheme="majorHAnsi" w:eastAsia="Times New Roman" w:hAnsiTheme="majorHAnsi" w:cstheme="majorHAnsi"/>
                <w:b/>
                <w:bCs/>
                <w:sz w:val="22"/>
                <w:szCs w:val="22"/>
                <w:lang w:eastAsia="sk-SK"/>
              </w:rPr>
              <w:t>Spolu</w:t>
            </w:r>
          </w:p>
        </w:tc>
        <w:tc>
          <w:tcPr>
            <w:tcW w:w="1996" w:type="dxa"/>
            <w:tcBorders>
              <w:top w:val="nil"/>
              <w:left w:val="nil"/>
              <w:bottom w:val="single" w:sz="4" w:space="0" w:color="auto"/>
              <w:right w:val="single" w:sz="4" w:space="0" w:color="auto"/>
            </w:tcBorders>
            <w:shd w:val="clear" w:color="auto" w:fill="EEECE1" w:themeFill="background2"/>
            <w:noWrap/>
            <w:vAlign w:val="bottom"/>
            <w:hideMark/>
          </w:tcPr>
          <w:p w14:paraId="701F2A4A" w14:textId="114D7D71" w:rsidR="003F75F8" w:rsidRPr="00CC07FA" w:rsidRDefault="003F75F8" w:rsidP="003F75F8">
            <w:pPr>
              <w:jc w:val="center"/>
              <w:rPr>
                <w:rFonts w:asciiTheme="majorHAnsi" w:hAnsiTheme="majorHAnsi" w:cstheme="majorHAnsi"/>
                <w:b/>
                <w:bCs/>
                <w:sz w:val="22"/>
                <w:szCs w:val="22"/>
              </w:rPr>
            </w:pPr>
            <w:r w:rsidRPr="00CC07FA">
              <w:rPr>
                <w:rFonts w:asciiTheme="majorHAnsi" w:hAnsiTheme="majorHAnsi" w:cstheme="majorHAnsi"/>
                <w:b/>
                <w:bCs/>
                <w:sz w:val="22"/>
                <w:szCs w:val="22"/>
              </w:rPr>
              <w:t>81 901</w:t>
            </w:r>
          </w:p>
        </w:tc>
        <w:tc>
          <w:tcPr>
            <w:tcW w:w="1997" w:type="dxa"/>
            <w:tcBorders>
              <w:top w:val="nil"/>
              <w:left w:val="nil"/>
              <w:bottom w:val="single" w:sz="4" w:space="0" w:color="auto"/>
              <w:right w:val="double" w:sz="6" w:space="0" w:color="auto"/>
            </w:tcBorders>
            <w:shd w:val="clear" w:color="auto" w:fill="EEECE1" w:themeFill="background2"/>
            <w:noWrap/>
            <w:vAlign w:val="bottom"/>
            <w:hideMark/>
          </w:tcPr>
          <w:p w14:paraId="76A650EA" w14:textId="6BF3CA7A" w:rsidR="003F75F8" w:rsidRPr="00CC07FA" w:rsidRDefault="003F75F8" w:rsidP="003F75F8">
            <w:pPr>
              <w:jc w:val="center"/>
              <w:rPr>
                <w:rFonts w:asciiTheme="majorHAnsi" w:hAnsiTheme="majorHAnsi" w:cstheme="majorHAnsi"/>
                <w:b/>
                <w:bCs/>
                <w:sz w:val="22"/>
                <w:szCs w:val="22"/>
              </w:rPr>
            </w:pPr>
            <w:r w:rsidRPr="00CC07FA">
              <w:rPr>
                <w:rFonts w:asciiTheme="majorHAnsi" w:hAnsiTheme="majorHAnsi" w:cstheme="majorHAnsi"/>
                <w:b/>
                <w:bCs/>
                <w:sz w:val="22"/>
                <w:szCs w:val="22"/>
              </w:rPr>
              <w:t>365</w:t>
            </w:r>
          </w:p>
        </w:tc>
        <w:tc>
          <w:tcPr>
            <w:tcW w:w="1997" w:type="dxa"/>
            <w:tcBorders>
              <w:top w:val="nil"/>
              <w:left w:val="nil"/>
              <w:bottom w:val="single" w:sz="4" w:space="0" w:color="auto"/>
              <w:right w:val="single" w:sz="4" w:space="0" w:color="auto"/>
            </w:tcBorders>
            <w:shd w:val="clear" w:color="auto" w:fill="EEECE1" w:themeFill="background2"/>
            <w:noWrap/>
            <w:vAlign w:val="bottom"/>
            <w:hideMark/>
          </w:tcPr>
          <w:p w14:paraId="657B20E9" w14:textId="0B2A7180" w:rsidR="003F75F8" w:rsidRPr="00CC07FA" w:rsidRDefault="003F75F8" w:rsidP="003F75F8">
            <w:pPr>
              <w:jc w:val="center"/>
              <w:rPr>
                <w:rFonts w:asciiTheme="majorHAnsi" w:hAnsiTheme="majorHAnsi" w:cstheme="majorHAnsi"/>
                <w:b/>
                <w:bCs/>
                <w:sz w:val="22"/>
                <w:szCs w:val="22"/>
              </w:rPr>
            </w:pPr>
            <w:r w:rsidRPr="00CC07FA">
              <w:rPr>
                <w:rFonts w:asciiTheme="majorHAnsi" w:hAnsiTheme="majorHAnsi" w:cstheme="majorHAnsi"/>
                <w:b/>
                <w:bCs/>
                <w:sz w:val="22"/>
                <w:szCs w:val="22"/>
              </w:rPr>
              <w:t>141 149</w:t>
            </w:r>
          </w:p>
        </w:tc>
        <w:tc>
          <w:tcPr>
            <w:tcW w:w="1997" w:type="dxa"/>
            <w:tcBorders>
              <w:top w:val="nil"/>
              <w:left w:val="nil"/>
              <w:bottom w:val="single" w:sz="4" w:space="0" w:color="auto"/>
              <w:right w:val="single" w:sz="4" w:space="0" w:color="auto"/>
            </w:tcBorders>
            <w:shd w:val="clear" w:color="auto" w:fill="EEECE1" w:themeFill="background2"/>
            <w:noWrap/>
            <w:vAlign w:val="bottom"/>
            <w:hideMark/>
          </w:tcPr>
          <w:p w14:paraId="3FAA66E2" w14:textId="1C3FDAB8" w:rsidR="003F75F8" w:rsidRPr="00CC07FA" w:rsidRDefault="003F75F8" w:rsidP="003F75F8">
            <w:pPr>
              <w:jc w:val="center"/>
              <w:rPr>
                <w:rFonts w:asciiTheme="majorHAnsi" w:hAnsiTheme="majorHAnsi" w:cstheme="majorHAnsi"/>
                <w:b/>
                <w:bCs/>
                <w:sz w:val="22"/>
                <w:szCs w:val="22"/>
              </w:rPr>
            </w:pPr>
            <w:r w:rsidRPr="00CC07FA">
              <w:rPr>
                <w:rFonts w:asciiTheme="majorHAnsi" w:hAnsiTheme="majorHAnsi" w:cstheme="majorHAnsi"/>
                <w:b/>
                <w:bCs/>
                <w:sz w:val="22"/>
                <w:szCs w:val="22"/>
              </w:rPr>
              <w:t>777</w:t>
            </w:r>
          </w:p>
        </w:tc>
      </w:tr>
    </w:tbl>
    <w:p w14:paraId="4C1E3ABC" w14:textId="77777777" w:rsidR="00053B2A" w:rsidRPr="0053555E" w:rsidRDefault="00E55920" w:rsidP="00324438">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Vysvetlivky</w:t>
      </w:r>
      <w:r w:rsidR="00053B2A" w:rsidRPr="0053555E">
        <w:rPr>
          <w:rFonts w:asciiTheme="majorHAnsi" w:eastAsia="Times New Roman" w:hAnsiTheme="majorHAnsi" w:cstheme="majorHAnsi"/>
          <w:sz w:val="20"/>
          <w:szCs w:val="20"/>
          <w:lang w:eastAsia="sk-SK"/>
        </w:rPr>
        <w:t>:</w:t>
      </w:r>
    </w:p>
    <w:p w14:paraId="3EC01883" w14:textId="663279EE" w:rsidR="004536C5" w:rsidRPr="0053555E" w:rsidRDefault="00F0632C" w:rsidP="004536C5">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P</w:t>
      </w:r>
      <w:r w:rsidR="00053B2A" w:rsidRPr="0053555E">
        <w:rPr>
          <w:rFonts w:asciiTheme="majorHAnsi" w:eastAsia="Times New Roman" w:hAnsiTheme="majorHAnsi" w:cstheme="majorHAnsi"/>
          <w:sz w:val="20"/>
          <w:szCs w:val="20"/>
          <w:lang w:eastAsia="sk-SK"/>
        </w:rPr>
        <w:t>očet študentov</w:t>
      </w:r>
      <w:r w:rsidR="00A75B3D" w:rsidRPr="0053555E">
        <w:rPr>
          <w:rFonts w:asciiTheme="majorHAnsi" w:eastAsia="Times New Roman" w:hAnsiTheme="majorHAnsi" w:cstheme="majorHAnsi"/>
          <w:sz w:val="20"/>
          <w:szCs w:val="20"/>
          <w:lang w:eastAsia="sk-SK"/>
        </w:rPr>
        <w:t>/absolventov</w:t>
      </w:r>
      <w:r w:rsidR="009A1052">
        <w:rPr>
          <w:rFonts w:asciiTheme="majorHAnsi" w:eastAsia="Times New Roman" w:hAnsiTheme="majorHAnsi" w:cstheme="majorHAnsi"/>
          <w:sz w:val="20"/>
          <w:szCs w:val="20"/>
          <w:lang w:eastAsia="sk-SK"/>
        </w:rPr>
        <w:t xml:space="preserve"> STU</w:t>
      </w:r>
      <w:r w:rsidR="003F56CE" w:rsidRPr="0053555E">
        <w:rPr>
          <w:rFonts w:asciiTheme="majorHAnsi" w:eastAsia="Times New Roman" w:hAnsiTheme="majorHAnsi" w:cstheme="majorHAnsi"/>
          <w:sz w:val="20"/>
          <w:szCs w:val="20"/>
          <w:lang w:eastAsia="sk-SK"/>
        </w:rPr>
        <w:t xml:space="preserve"> v prípade jednorazových štipendií</w:t>
      </w:r>
      <w:r w:rsidR="00053B2A" w:rsidRPr="0053555E">
        <w:rPr>
          <w:rFonts w:asciiTheme="majorHAnsi" w:eastAsia="Times New Roman" w:hAnsiTheme="majorHAnsi" w:cstheme="majorHAnsi"/>
          <w:sz w:val="20"/>
          <w:szCs w:val="20"/>
          <w:lang w:eastAsia="sk-SK"/>
        </w:rPr>
        <w:t xml:space="preserve"> </w:t>
      </w:r>
      <w:r w:rsidR="00EF0240" w:rsidRPr="0053555E">
        <w:rPr>
          <w:rFonts w:asciiTheme="majorHAnsi" w:eastAsia="Times New Roman" w:hAnsiTheme="majorHAnsi" w:cstheme="majorHAnsi"/>
          <w:sz w:val="20"/>
          <w:szCs w:val="20"/>
          <w:lang w:eastAsia="sk-SK"/>
        </w:rPr>
        <w:t>nepredstavuje počet fyzických osôb ale</w:t>
      </w:r>
      <w:r w:rsidR="00FC104C" w:rsidRPr="0053555E">
        <w:rPr>
          <w:rFonts w:asciiTheme="majorHAnsi" w:eastAsia="Times New Roman" w:hAnsiTheme="majorHAnsi" w:cstheme="majorHAnsi"/>
          <w:sz w:val="20"/>
          <w:szCs w:val="20"/>
          <w:lang w:eastAsia="sk-SK"/>
        </w:rPr>
        <w:t> </w:t>
      </w:r>
      <w:r w:rsidR="00053B2A" w:rsidRPr="0053555E">
        <w:rPr>
          <w:rFonts w:asciiTheme="majorHAnsi" w:eastAsia="Times New Roman" w:hAnsiTheme="majorHAnsi" w:cstheme="majorHAnsi"/>
          <w:sz w:val="20"/>
          <w:szCs w:val="20"/>
          <w:lang w:eastAsia="sk-SK"/>
        </w:rPr>
        <w:t>predstavuje počet poskytnutých štipendií, každý študent</w:t>
      </w:r>
      <w:r w:rsidR="00A75B3D" w:rsidRPr="0053555E">
        <w:rPr>
          <w:rFonts w:asciiTheme="majorHAnsi" w:eastAsia="Times New Roman" w:hAnsiTheme="majorHAnsi" w:cstheme="majorHAnsi"/>
          <w:sz w:val="20"/>
          <w:szCs w:val="20"/>
          <w:lang w:eastAsia="sk-SK"/>
        </w:rPr>
        <w:t>/absolvent</w:t>
      </w:r>
      <w:r w:rsidR="00053B2A" w:rsidRPr="0053555E">
        <w:rPr>
          <w:rFonts w:asciiTheme="majorHAnsi" w:eastAsia="Times New Roman" w:hAnsiTheme="majorHAnsi" w:cstheme="majorHAnsi"/>
          <w:sz w:val="20"/>
          <w:szCs w:val="20"/>
          <w:lang w:eastAsia="sk-SK"/>
        </w:rPr>
        <w:t xml:space="preserve"> je započítaný toľkokrát, koľko štipendií mu bolo poskytnuté</w:t>
      </w:r>
      <w:r w:rsidR="00BF1034" w:rsidRPr="0053555E">
        <w:rPr>
          <w:rFonts w:asciiTheme="majorHAnsi" w:eastAsia="Times New Roman" w:hAnsiTheme="majorHAnsi" w:cstheme="majorHAnsi"/>
          <w:sz w:val="20"/>
          <w:szCs w:val="20"/>
          <w:lang w:eastAsia="sk-SK"/>
        </w:rPr>
        <w:t>.</w:t>
      </w:r>
      <w:r w:rsidR="004536C5" w:rsidRPr="0053555E">
        <w:rPr>
          <w:rFonts w:asciiTheme="majorHAnsi" w:eastAsia="Times New Roman" w:hAnsiTheme="majorHAnsi" w:cstheme="majorHAnsi"/>
          <w:sz w:val="20"/>
          <w:szCs w:val="20"/>
          <w:lang w:eastAsia="sk-SK"/>
        </w:rPr>
        <w:t xml:space="preserve"> </w:t>
      </w:r>
    </w:p>
    <w:p w14:paraId="5A40A7A2" w14:textId="77777777" w:rsidR="007B5953" w:rsidRDefault="007B5953" w:rsidP="007B5953">
      <w:pPr>
        <w:rPr>
          <w:rFonts w:asciiTheme="majorHAnsi" w:eastAsia="Times New Roman" w:hAnsiTheme="majorHAnsi" w:cstheme="majorHAnsi"/>
          <w:sz w:val="20"/>
          <w:szCs w:val="20"/>
          <w:lang w:eastAsia="sk-SK"/>
        </w:rPr>
      </w:pPr>
    </w:p>
    <w:p w14:paraId="7BEF4116" w14:textId="7E81F27D" w:rsidR="0064737B" w:rsidRPr="007B5953" w:rsidRDefault="00E97FC1" w:rsidP="007B5953">
      <w:pPr>
        <w:rPr>
          <w:rFonts w:asciiTheme="majorHAnsi" w:eastAsia="Times New Roman" w:hAnsiTheme="majorHAnsi" w:cstheme="majorHAnsi"/>
          <w:sz w:val="20"/>
          <w:szCs w:val="20"/>
          <w:lang w:eastAsia="sk-SK"/>
        </w:rPr>
      </w:pPr>
      <w:r w:rsidRPr="0053555E">
        <w:rPr>
          <w:rFonts w:asciiTheme="majorHAnsi" w:hAnsiTheme="majorHAnsi" w:cstheme="majorHAnsi"/>
        </w:rPr>
        <w:t xml:space="preserve">V porovnaní s akademickým rokom </w:t>
      </w:r>
      <w:r w:rsidR="005F6FF1" w:rsidRPr="0053555E">
        <w:rPr>
          <w:rFonts w:asciiTheme="majorHAnsi" w:hAnsiTheme="majorHAnsi" w:cstheme="majorHAnsi"/>
        </w:rPr>
        <w:t>20</w:t>
      </w:r>
      <w:r w:rsidR="009A1052">
        <w:rPr>
          <w:rFonts w:asciiTheme="majorHAnsi" w:hAnsiTheme="majorHAnsi" w:cstheme="majorHAnsi"/>
        </w:rPr>
        <w:t>20</w:t>
      </w:r>
      <w:r w:rsidR="005F6FF1" w:rsidRPr="0053555E">
        <w:rPr>
          <w:rFonts w:asciiTheme="majorHAnsi" w:hAnsiTheme="majorHAnsi" w:cstheme="majorHAnsi"/>
        </w:rPr>
        <w:t>/20</w:t>
      </w:r>
      <w:r w:rsidR="003F56CE" w:rsidRPr="0053555E">
        <w:rPr>
          <w:rFonts w:asciiTheme="majorHAnsi" w:hAnsiTheme="majorHAnsi" w:cstheme="majorHAnsi"/>
        </w:rPr>
        <w:t>2</w:t>
      </w:r>
      <w:r w:rsidR="009A1052">
        <w:rPr>
          <w:rFonts w:asciiTheme="majorHAnsi" w:hAnsiTheme="majorHAnsi" w:cstheme="majorHAnsi"/>
        </w:rPr>
        <w:t>1</w:t>
      </w:r>
      <w:r w:rsidRPr="0053555E">
        <w:rPr>
          <w:rFonts w:asciiTheme="majorHAnsi" w:hAnsiTheme="majorHAnsi" w:cstheme="majorHAnsi"/>
        </w:rPr>
        <w:t xml:space="preserve"> splnilo kritériá pre priznanie motivačného štipendia za mimoriadne výsledky </w:t>
      </w:r>
      <w:r w:rsidRPr="0053555E">
        <w:rPr>
          <w:rFonts w:asciiTheme="majorHAnsi" w:hAnsiTheme="majorHAnsi" w:cstheme="majorHAnsi"/>
          <w:b/>
        </w:rPr>
        <w:t xml:space="preserve">o </w:t>
      </w:r>
      <w:r w:rsidR="007A6344">
        <w:rPr>
          <w:rFonts w:asciiTheme="majorHAnsi" w:hAnsiTheme="majorHAnsi" w:cstheme="majorHAnsi"/>
          <w:b/>
        </w:rPr>
        <w:t>22</w:t>
      </w:r>
      <w:r w:rsidRPr="0053555E">
        <w:rPr>
          <w:rFonts w:asciiTheme="majorHAnsi" w:hAnsiTheme="majorHAnsi" w:cstheme="majorHAnsi"/>
          <w:b/>
        </w:rPr>
        <w:t xml:space="preserve"> študentov </w:t>
      </w:r>
      <w:r w:rsidR="007A6344">
        <w:rPr>
          <w:rFonts w:asciiTheme="majorHAnsi" w:hAnsiTheme="majorHAnsi" w:cstheme="majorHAnsi"/>
          <w:b/>
        </w:rPr>
        <w:t>viac</w:t>
      </w:r>
      <w:r w:rsidR="00B82F20">
        <w:rPr>
          <w:rFonts w:asciiTheme="majorHAnsi" w:hAnsiTheme="majorHAnsi" w:cstheme="majorHAnsi"/>
          <w:b/>
        </w:rPr>
        <w:t xml:space="preserve"> </w:t>
      </w:r>
      <w:r w:rsidR="00B82F20" w:rsidRPr="00B82F20">
        <w:rPr>
          <w:rFonts w:asciiTheme="majorHAnsi" w:hAnsiTheme="majorHAnsi" w:cstheme="majorHAnsi"/>
        </w:rPr>
        <w:t xml:space="preserve">a </w:t>
      </w:r>
      <w:r w:rsidRPr="0053555E">
        <w:rPr>
          <w:rFonts w:asciiTheme="majorHAnsi" w:hAnsiTheme="majorHAnsi" w:cstheme="majorHAnsi"/>
        </w:rPr>
        <w:t xml:space="preserve">celková </w:t>
      </w:r>
      <w:r w:rsidRPr="0053555E">
        <w:rPr>
          <w:rFonts w:asciiTheme="majorHAnsi" w:hAnsiTheme="majorHAnsi" w:cstheme="majorHAnsi"/>
          <w:b/>
        </w:rPr>
        <w:t xml:space="preserve">výška poskytnutých štipendií bola </w:t>
      </w:r>
      <w:r w:rsidR="007A6344">
        <w:rPr>
          <w:rFonts w:asciiTheme="majorHAnsi" w:hAnsiTheme="majorHAnsi" w:cstheme="majorHAnsi"/>
          <w:b/>
        </w:rPr>
        <w:t>vyššia</w:t>
      </w:r>
      <w:r w:rsidRPr="0053555E">
        <w:rPr>
          <w:rFonts w:asciiTheme="majorHAnsi" w:hAnsiTheme="majorHAnsi" w:cstheme="majorHAnsi"/>
          <w:b/>
        </w:rPr>
        <w:t xml:space="preserve"> o</w:t>
      </w:r>
      <w:r w:rsidR="007A6344">
        <w:rPr>
          <w:rFonts w:asciiTheme="majorHAnsi" w:hAnsiTheme="majorHAnsi" w:cstheme="majorHAnsi"/>
          <w:b/>
        </w:rPr>
        <w:t> 9 125</w:t>
      </w:r>
      <w:r w:rsidRPr="0053555E">
        <w:rPr>
          <w:rFonts w:asciiTheme="majorHAnsi" w:hAnsiTheme="majorHAnsi" w:cstheme="majorHAnsi"/>
          <w:b/>
        </w:rPr>
        <w:t xml:space="preserve"> €</w:t>
      </w:r>
      <w:r w:rsidR="003B7F58">
        <w:rPr>
          <w:rFonts w:asciiTheme="majorHAnsi" w:hAnsiTheme="majorHAnsi" w:cstheme="majorHAnsi"/>
          <w:b/>
        </w:rPr>
        <w:t xml:space="preserve">. </w:t>
      </w:r>
      <w:r w:rsidR="003B7F58" w:rsidRPr="003B7F58">
        <w:rPr>
          <w:rFonts w:asciiTheme="majorHAnsi" w:hAnsiTheme="majorHAnsi" w:cstheme="majorHAnsi"/>
        </w:rPr>
        <w:t>C</w:t>
      </w:r>
      <w:r w:rsidR="00190144" w:rsidRPr="0053555E">
        <w:rPr>
          <w:rFonts w:asciiTheme="majorHAnsi" w:hAnsiTheme="majorHAnsi" w:cstheme="majorHAnsi"/>
        </w:rPr>
        <w:t>elková výška poskytnutých motivačných štipendií sa odvíja</w:t>
      </w:r>
      <w:r w:rsidR="003B7F58">
        <w:rPr>
          <w:rFonts w:asciiTheme="majorHAnsi" w:hAnsiTheme="majorHAnsi" w:cstheme="majorHAnsi"/>
        </w:rPr>
        <w:t>la</w:t>
      </w:r>
      <w:r w:rsidR="00190144" w:rsidRPr="0053555E">
        <w:rPr>
          <w:rFonts w:asciiTheme="majorHAnsi" w:hAnsiTheme="majorHAnsi" w:cstheme="majorHAnsi"/>
        </w:rPr>
        <w:t xml:space="preserve"> od</w:t>
      </w:r>
      <w:r w:rsidR="003B7F58">
        <w:rPr>
          <w:rFonts w:asciiTheme="majorHAnsi" w:hAnsiTheme="majorHAnsi" w:cstheme="majorHAnsi"/>
        </w:rPr>
        <w:t> </w:t>
      </w:r>
      <w:r w:rsidR="00190144" w:rsidRPr="0053555E">
        <w:rPr>
          <w:rFonts w:asciiTheme="majorHAnsi" w:hAnsiTheme="majorHAnsi" w:cstheme="majorHAnsi"/>
        </w:rPr>
        <w:t xml:space="preserve">dotácie zo štátneho rozpočtu poskytnutej na uvedený účel </w:t>
      </w:r>
      <w:r w:rsidR="00190144">
        <w:rPr>
          <w:rFonts w:asciiTheme="majorHAnsi" w:hAnsiTheme="majorHAnsi" w:cstheme="majorHAnsi"/>
        </w:rPr>
        <w:t>v</w:t>
      </w:r>
      <w:r w:rsidR="00190144" w:rsidRPr="0053555E">
        <w:rPr>
          <w:rFonts w:asciiTheme="majorHAnsi" w:hAnsiTheme="majorHAnsi" w:cstheme="majorHAnsi"/>
        </w:rPr>
        <w:t xml:space="preserve"> rok</w:t>
      </w:r>
      <w:r w:rsidR="00190144">
        <w:rPr>
          <w:rFonts w:asciiTheme="majorHAnsi" w:hAnsiTheme="majorHAnsi" w:cstheme="majorHAnsi"/>
        </w:rPr>
        <w:t>u</w:t>
      </w:r>
      <w:r w:rsidR="00190144" w:rsidRPr="0053555E">
        <w:rPr>
          <w:rFonts w:asciiTheme="majorHAnsi" w:hAnsiTheme="majorHAnsi" w:cstheme="majorHAnsi"/>
        </w:rPr>
        <w:t xml:space="preserve"> 202</w:t>
      </w:r>
      <w:r w:rsidR="00190144">
        <w:rPr>
          <w:rFonts w:asciiTheme="majorHAnsi" w:hAnsiTheme="majorHAnsi" w:cstheme="majorHAnsi"/>
        </w:rPr>
        <w:t>2</w:t>
      </w:r>
      <w:r w:rsidRPr="0053555E">
        <w:rPr>
          <w:rFonts w:asciiTheme="majorHAnsi" w:hAnsiTheme="majorHAnsi" w:cstheme="majorHAnsi"/>
        </w:rPr>
        <w:t>.</w:t>
      </w:r>
      <w:r w:rsidR="00A235FB" w:rsidRPr="0053555E">
        <w:rPr>
          <w:rFonts w:asciiTheme="majorHAnsi" w:hAnsiTheme="majorHAnsi" w:cstheme="majorHAnsi"/>
        </w:rPr>
        <w:t xml:space="preserve"> </w:t>
      </w:r>
    </w:p>
    <w:p w14:paraId="6A7927BD" w14:textId="44842C43" w:rsidR="00A235FB" w:rsidRPr="0053555E" w:rsidRDefault="008D20D5" w:rsidP="00324438">
      <w:pPr>
        <w:jc w:val="both"/>
        <w:rPr>
          <w:rFonts w:asciiTheme="majorHAnsi" w:hAnsiTheme="majorHAnsi" w:cstheme="majorHAnsi"/>
        </w:rPr>
      </w:pPr>
      <w:r>
        <w:rPr>
          <w:rFonts w:asciiTheme="majorHAnsi" w:hAnsiTheme="majorHAnsi" w:cstheme="majorHAnsi"/>
        </w:rPr>
        <w:t xml:space="preserve">Z celkovej výšky poskytnutých mimoriadnych štipendií z vlastných zdrojov </w:t>
      </w:r>
      <w:r w:rsidR="00111719">
        <w:rPr>
          <w:rFonts w:asciiTheme="majorHAnsi" w:hAnsiTheme="majorHAnsi" w:cstheme="majorHAnsi"/>
        </w:rPr>
        <w:t>bol</w:t>
      </w:r>
      <w:r w:rsidR="00B0131B">
        <w:rPr>
          <w:rFonts w:asciiTheme="majorHAnsi" w:hAnsiTheme="majorHAnsi" w:cstheme="majorHAnsi"/>
        </w:rPr>
        <w:t>o</w:t>
      </w:r>
      <w:r w:rsidR="00111719">
        <w:rPr>
          <w:rFonts w:asciiTheme="majorHAnsi" w:hAnsiTheme="majorHAnsi" w:cstheme="majorHAnsi"/>
        </w:rPr>
        <w:t xml:space="preserve"> </w:t>
      </w:r>
      <w:r w:rsidR="00B0131B">
        <w:rPr>
          <w:rFonts w:asciiTheme="majorHAnsi" w:hAnsiTheme="majorHAnsi" w:cstheme="majorHAnsi"/>
        </w:rPr>
        <w:t>poskytnuté</w:t>
      </w:r>
      <w:r w:rsidR="00111719">
        <w:rPr>
          <w:rFonts w:asciiTheme="majorHAnsi" w:hAnsiTheme="majorHAnsi" w:cstheme="majorHAnsi"/>
        </w:rPr>
        <w:t xml:space="preserve"> </w:t>
      </w:r>
      <w:r w:rsidR="00B0131B" w:rsidRPr="00A9418C">
        <w:rPr>
          <w:rFonts w:asciiTheme="majorHAnsi" w:hAnsiTheme="majorHAnsi" w:cstheme="majorHAnsi"/>
          <w:b/>
        </w:rPr>
        <w:t>308</w:t>
      </w:r>
      <w:r w:rsidR="00B0131B">
        <w:rPr>
          <w:rFonts w:asciiTheme="majorHAnsi" w:hAnsiTheme="majorHAnsi" w:cstheme="majorHAnsi"/>
        </w:rPr>
        <w:t xml:space="preserve"> štipendií </w:t>
      </w:r>
      <w:r w:rsidR="00111719">
        <w:rPr>
          <w:rFonts w:asciiTheme="majorHAnsi" w:hAnsiTheme="majorHAnsi" w:cstheme="majorHAnsi"/>
        </w:rPr>
        <w:t xml:space="preserve">študentom postihnutým konfliktom na Ukrajine v celkovej výške </w:t>
      </w:r>
      <w:r w:rsidR="00B0131B">
        <w:rPr>
          <w:rFonts w:asciiTheme="majorHAnsi" w:hAnsiTheme="majorHAnsi" w:cstheme="majorHAnsi"/>
          <w:b/>
        </w:rPr>
        <w:t>68</w:t>
      </w:r>
      <w:r w:rsidR="00252E10">
        <w:rPr>
          <w:rFonts w:asciiTheme="majorHAnsi" w:hAnsiTheme="majorHAnsi" w:cstheme="majorHAnsi"/>
          <w:b/>
        </w:rPr>
        <w:t> </w:t>
      </w:r>
      <w:r w:rsidR="00B0131B">
        <w:rPr>
          <w:rFonts w:asciiTheme="majorHAnsi" w:hAnsiTheme="majorHAnsi" w:cstheme="majorHAnsi"/>
          <w:b/>
        </w:rPr>
        <w:t>970</w:t>
      </w:r>
      <w:r w:rsidR="00252E10">
        <w:rPr>
          <w:rFonts w:asciiTheme="majorHAnsi" w:hAnsiTheme="majorHAnsi" w:cstheme="majorHAnsi"/>
          <w:b/>
        </w:rPr>
        <w:t xml:space="preserve"> € </w:t>
      </w:r>
      <w:r w:rsidR="00252E10" w:rsidRPr="00252E10">
        <w:rPr>
          <w:rFonts w:asciiTheme="majorHAnsi" w:hAnsiTheme="majorHAnsi" w:cstheme="majorHAnsi"/>
        </w:rPr>
        <w:t>ako sa podrobnejšie uvádza v</w:t>
      </w:r>
      <w:r w:rsidR="007B5953">
        <w:rPr>
          <w:rFonts w:asciiTheme="majorHAnsi" w:hAnsiTheme="majorHAnsi" w:cstheme="majorHAnsi"/>
        </w:rPr>
        <w:t xml:space="preserve"> inej </w:t>
      </w:r>
      <w:r w:rsidR="00A9418C" w:rsidRPr="00252E10">
        <w:rPr>
          <w:rFonts w:asciiTheme="majorHAnsi" w:hAnsiTheme="majorHAnsi" w:cstheme="majorHAnsi"/>
        </w:rPr>
        <w:t>časti</w:t>
      </w:r>
      <w:r w:rsidR="007B5953">
        <w:rPr>
          <w:rFonts w:asciiTheme="majorHAnsi" w:hAnsiTheme="majorHAnsi" w:cstheme="majorHAnsi"/>
          <w:b/>
        </w:rPr>
        <w:t xml:space="preserve"> </w:t>
      </w:r>
      <w:r w:rsidR="009E2CF0" w:rsidRPr="009E2CF0">
        <w:rPr>
          <w:rFonts w:asciiTheme="majorHAnsi" w:hAnsiTheme="majorHAnsi" w:cstheme="majorHAnsi"/>
        </w:rPr>
        <w:t>tejto správy.</w:t>
      </w:r>
      <w:r w:rsidR="009E2CF0">
        <w:rPr>
          <w:rFonts w:asciiTheme="majorHAnsi" w:hAnsiTheme="majorHAnsi" w:cstheme="majorHAnsi"/>
          <w:b/>
        </w:rPr>
        <w:t xml:space="preserve"> </w:t>
      </w:r>
      <w:r w:rsidR="00A661A7" w:rsidRPr="0053555E">
        <w:rPr>
          <w:rFonts w:asciiTheme="majorHAnsi" w:hAnsiTheme="majorHAnsi" w:cstheme="majorHAnsi"/>
        </w:rPr>
        <w:t xml:space="preserve">STU </w:t>
      </w:r>
      <w:r w:rsidR="00A661A7">
        <w:rPr>
          <w:rFonts w:asciiTheme="majorHAnsi" w:hAnsiTheme="majorHAnsi" w:cstheme="majorHAnsi"/>
        </w:rPr>
        <w:t>poskytla m</w:t>
      </w:r>
      <w:r w:rsidR="00A235FB" w:rsidRPr="0053555E">
        <w:rPr>
          <w:rFonts w:asciiTheme="majorHAnsi" w:hAnsiTheme="majorHAnsi" w:cstheme="majorHAnsi"/>
        </w:rPr>
        <w:t xml:space="preserve">imoriadne štipendiá z vlastných zdrojov </w:t>
      </w:r>
      <w:r w:rsidR="00E4663D" w:rsidRPr="0053555E">
        <w:rPr>
          <w:rFonts w:asciiTheme="majorHAnsi" w:hAnsiTheme="majorHAnsi" w:cstheme="majorHAnsi"/>
          <w:b/>
        </w:rPr>
        <w:t>o </w:t>
      </w:r>
      <w:r w:rsidR="007A6344">
        <w:rPr>
          <w:rFonts w:asciiTheme="majorHAnsi" w:hAnsiTheme="majorHAnsi" w:cstheme="majorHAnsi"/>
          <w:b/>
        </w:rPr>
        <w:t>130</w:t>
      </w:r>
      <w:r w:rsidR="00E4663D" w:rsidRPr="0053555E">
        <w:rPr>
          <w:rFonts w:asciiTheme="majorHAnsi" w:hAnsiTheme="majorHAnsi" w:cstheme="majorHAnsi"/>
          <w:b/>
        </w:rPr>
        <w:t xml:space="preserve"> študentom</w:t>
      </w:r>
      <w:r w:rsidR="009042C3" w:rsidRPr="0053555E">
        <w:rPr>
          <w:rFonts w:asciiTheme="majorHAnsi" w:hAnsiTheme="majorHAnsi" w:cstheme="majorHAnsi"/>
          <w:b/>
        </w:rPr>
        <w:t>/absolventom</w:t>
      </w:r>
      <w:r w:rsidR="007A6344">
        <w:rPr>
          <w:rFonts w:asciiTheme="majorHAnsi" w:hAnsiTheme="majorHAnsi" w:cstheme="majorHAnsi"/>
          <w:b/>
        </w:rPr>
        <w:t xml:space="preserve"> STU</w:t>
      </w:r>
      <w:r w:rsidR="00E4663D" w:rsidRPr="0053555E">
        <w:rPr>
          <w:rFonts w:asciiTheme="majorHAnsi" w:hAnsiTheme="majorHAnsi" w:cstheme="majorHAnsi"/>
          <w:b/>
        </w:rPr>
        <w:t xml:space="preserve"> </w:t>
      </w:r>
      <w:r w:rsidR="00BB237E">
        <w:rPr>
          <w:rFonts w:asciiTheme="majorHAnsi" w:hAnsiTheme="majorHAnsi" w:cstheme="majorHAnsi"/>
          <w:b/>
        </w:rPr>
        <w:t>viac</w:t>
      </w:r>
      <w:r w:rsidR="006431BB" w:rsidRPr="0053555E">
        <w:rPr>
          <w:rFonts w:asciiTheme="majorHAnsi" w:hAnsiTheme="majorHAnsi" w:cstheme="majorHAnsi"/>
          <w:b/>
        </w:rPr>
        <w:t xml:space="preserve"> </w:t>
      </w:r>
      <w:r w:rsidR="00CD0916" w:rsidRPr="0053555E">
        <w:rPr>
          <w:rFonts w:asciiTheme="majorHAnsi" w:hAnsiTheme="majorHAnsi" w:cstheme="majorHAnsi"/>
        </w:rPr>
        <w:t>v</w:t>
      </w:r>
      <w:r w:rsidR="006431BB" w:rsidRPr="0053555E">
        <w:rPr>
          <w:rFonts w:asciiTheme="majorHAnsi" w:hAnsiTheme="majorHAnsi" w:cstheme="majorHAnsi"/>
        </w:rPr>
        <w:t xml:space="preserve"> celkov</w:t>
      </w:r>
      <w:r w:rsidR="00CD0916" w:rsidRPr="0053555E">
        <w:rPr>
          <w:rFonts w:asciiTheme="majorHAnsi" w:hAnsiTheme="majorHAnsi" w:cstheme="majorHAnsi"/>
        </w:rPr>
        <w:t>ej</w:t>
      </w:r>
      <w:r w:rsidR="006431BB" w:rsidRPr="0053555E">
        <w:rPr>
          <w:rFonts w:asciiTheme="majorHAnsi" w:hAnsiTheme="majorHAnsi" w:cstheme="majorHAnsi"/>
        </w:rPr>
        <w:t xml:space="preserve"> výšk</w:t>
      </w:r>
      <w:r w:rsidR="00CD0916" w:rsidRPr="0053555E">
        <w:rPr>
          <w:rFonts w:asciiTheme="majorHAnsi" w:hAnsiTheme="majorHAnsi" w:cstheme="majorHAnsi"/>
        </w:rPr>
        <w:t>e</w:t>
      </w:r>
      <w:r w:rsidR="006431BB" w:rsidRPr="0053555E">
        <w:rPr>
          <w:rFonts w:asciiTheme="majorHAnsi" w:hAnsiTheme="majorHAnsi" w:cstheme="majorHAnsi"/>
        </w:rPr>
        <w:t xml:space="preserve"> </w:t>
      </w:r>
      <w:r w:rsidR="00BB237E">
        <w:rPr>
          <w:rFonts w:asciiTheme="majorHAnsi" w:hAnsiTheme="majorHAnsi" w:cstheme="majorHAnsi"/>
          <w:b/>
        </w:rPr>
        <w:t xml:space="preserve">vyššej </w:t>
      </w:r>
      <w:r w:rsidR="00091E2A" w:rsidRPr="0053555E">
        <w:rPr>
          <w:rFonts w:asciiTheme="majorHAnsi" w:hAnsiTheme="majorHAnsi" w:cstheme="majorHAnsi"/>
          <w:b/>
        </w:rPr>
        <w:t>o</w:t>
      </w:r>
      <w:r w:rsidR="00BB237E">
        <w:rPr>
          <w:rFonts w:asciiTheme="majorHAnsi" w:hAnsiTheme="majorHAnsi" w:cstheme="majorHAnsi"/>
          <w:b/>
        </w:rPr>
        <w:t> 4 830</w:t>
      </w:r>
      <w:r w:rsidR="00E4663D" w:rsidRPr="0053555E">
        <w:rPr>
          <w:rFonts w:asciiTheme="majorHAnsi" w:hAnsiTheme="majorHAnsi" w:cstheme="majorHAnsi"/>
          <w:b/>
        </w:rPr>
        <w:t xml:space="preserve"> €</w:t>
      </w:r>
      <w:r w:rsidR="00A661A7">
        <w:rPr>
          <w:rFonts w:asciiTheme="majorHAnsi" w:hAnsiTheme="majorHAnsi" w:cstheme="majorHAnsi"/>
          <w:b/>
        </w:rPr>
        <w:t xml:space="preserve"> </w:t>
      </w:r>
      <w:r w:rsidR="00A661A7" w:rsidRPr="00A661A7">
        <w:rPr>
          <w:rFonts w:asciiTheme="majorHAnsi" w:hAnsiTheme="majorHAnsi" w:cstheme="majorHAnsi"/>
        </w:rPr>
        <w:t>v </w:t>
      </w:r>
      <w:r w:rsidR="00A661A7" w:rsidRPr="0053555E">
        <w:rPr>
          <w:rFonts w:asciiTheme="majorHAnsi" w:hAnsiTheme="majorHAnsi" w:cstheme="majorHAnsi"/>
        </w:rPr>
        <w:t>porovnaní s akademickým rokom 20</w:t>
      </w:r>
      <w:r w:rsidR="00A661A7">
        <w:rPr>
          <w:rFonts w:asciiTheme="majorHAnsi" w:hAnsiTheme="majorHAnsi" w:cstheme="majorHAnsi"/>
        </w:rPr>
        <w:t>20</w:t>
      </w:r>
      <w:r w:rsidR="00A661A7" w:rsidRPr="0053555E">
        <w:rPr>
          <w:rFonts w:asciiTheme="majorHAnsi" w:hAnsiTheme="majorHAnsi" w:cstheme="majorHAnsi"/>
        </w:rPr>
        <w:t>/202</w:t>
      </w:r>
      <w:r w:rsidR="00A661A7">
        <w:rPr>
          <w:rFonts w:asciiTheme="majorHAnsi" w:hAnsiTheme="majorHAnsi" w:cstheme="majorHAnsi"/>
        </w:rPr>
        <w:t>1</w:t>
      </w:r>
      <w:r w:rsidR="0088717A">
        <w:rPr>
          <w:rFonts w:asciiTheme="majorHAnsi" w:hAnsiTheme="majorHAnsi" w:cstheme="majorHAnsi"/>
        </w:rPr>
        <w:t>. C</w:t>
      </w:r>
      <w:r w:rsidR="009713A0" w:rsidRPr="0053555E">
        <w:rPr>
          <w:rFonts w:asciiTheme="majorHAnsi" w:hAnsiTheme="majorHAnsi" w:cstheme="majorHAnsi"/>
        </w:rPr>
        <w:t xml:space="preserve">elková výška poskytnutých mimoriadnych štipendií </w:t>
      </w:r>
      <w:r w:rsidR="00C04D78" w:rsidRPr="0053555E">
        <w:rPr>
          <w:rFonts w:asciiTheme="majorHAnsi" w:hAnsiTheme="majorHAnsi" w:cstheme="majorHAnsi"/>
        </w:rPr>
        <w:t>z</w:t>
      </w:r>
      <w:r w:rsidR="00DF7D18">
        <w:rPr>
          <w:rFonts w:asciiTheme="majorHAnsi" w:hAnsiTheme="majorHAnsi" w:cstheme="majorHAnsi"/>
        </w:rPr>
        <w:t> </w:t>
      </w:r>
      <w:r w:rsidR="00C04D78" w:rsidRPr="0053555E">
        <w:rPr>
          <w:rFonts w:asciiTheme="majorHAnsi" w:hAnsiTheme="majorHAnsi" w:cstheme="majorHAnsi"/>
        </w:rPr>
        <w:t>vlastných zdrojov STU</w:t>
      </w:r>
      <w:r w:rsidR="009713A0" w:rsidRPr="0053555E">
        <w:rPr>
          <w:rFonts w:asciiTheme="majorHAnsi" w:hAnsiTheme="majorHAnsi" w:cstheme="majorHAnsi"/>
        </w:rPr>
        <w:t xml:space="preserve"> sa odvíja od </w:t>
      </w:r>
      <w:r w:rsidR="00C04D78" w:rsidRPr="0053555E">
        <w:rPr>
          <w:rFonts w:asciiTheme="majorHAnsi" w:hAnsiTheme="majorHAnsi" w:cstheme="majorHAnsi"/>
        </w:rPr>
        <w:t>výšky finančných prostriedkov naakumulovaných v Štipendijnom fonde STU</w:t>
      </w:r>
      <w:r w:rsidR="00E4663D" w:rsidRPr="0053555E">
        <w:rPr>
          <w:rFonts w:asciiTheme="majorHAnsi" w:hAnsiTheme="majorHAnsi" w:cstheme="majorHAnsi"/>
        </w:rPr>
        <w:t>.</w:t>
      </w:r>
    </w:p>
    <w:p w14:paraId="44F668CF" w14:textId="77777777" w:rsidR="00091E2A" w:rsidRPr="0053555E" w:rsidRDefault="00091E2A" w:rsidP="00324438">
      <w:pPr>
        <w:jc w:val="both"/>
        <w:rPr>
          <w:rFonts w:asciiTheme="majorHAnsi" w:hAnsiTheme="majorHAnsi" w:cstheme="majorHAnsi"/>
        </w:rPr>
      </w:pPr>
    </w:p>
    <w:p w14:paraId="3C1F9D4C" w14:textId="77777777" w:rsidR="00BE7C95" w:rsidRPr="007B5953" w:rsidRDefault="00091E2A" w:rsidP="00324438">
      <w:pPr>
        <w:tabs>
          <w:tab w:val="left" w:pos="9356"/>
        </w:tabs>
        <w:jc w:val="both"/>
        <w:rPr>
          <w:rFonts w:asciiTheme="majorHAnsi" w:hAnsiTheme="majorHAnsi" w:cstheme="majorHAnsi"/>
          <w:b/>
        </w:rPr>
      </w:pPr>
      <w:r w:rsidRPr="007B5953">
        <w:rPr>
          <w:rFonts w:asciiTheme="majorHAnsi" w:hAnsiTheme="majorHAnsi" w:cstheme="majorHAnsi"/>
          <w:b/>
        </w:rPr>
        <w:t xml:space="preserve">Štipendiá </w:t>
      </w:r>
      <w:r w:rsidR="00BE7C95" w:rsidRPr="007B5953">
        <w:rPr>
          <w:rFonts w:asciiTheme="majorHAnsi" w:hAnsiTheme="majorHAnsi" w:cstheme="majorHAnsi"/>
          <w:b/>
        </w:rPr>
        <w:t>priznané rektorom STU</w:t>
      </w:r>
    </w:p>
    <w:p w14:paraId="23E24D1E" w14:textId="576DBCFB" w:rsidR="00D14999" w:rsidRPr="0053555E" w:rsidRDefault="001E302B" w:rsidP="0032443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V roku </w:t>
      </w:r>
      <w:r w:rsidR="00BE307C" w:rsidRPr="0053555E">
        <w:rPr>
          <w:rFonts w:asciiTheme="majorHAnsi" w:hAnsiTheme="majorHAnsi" w:cstheme="majorHAnsi"/>
        </w:rPr>
        <w:t>20</w:t>
      </w:r>
      <w:r w:rsidR="002F25CF" w:rsidRPr="0053555E">
        <w:rPr>
          <w:rFonts w:asciiTheme="majorHAnsi" w:hAnsiTheme="majorHAnsi" w:cstheme="majorHAnsi"/>
        </w:rPr>
        <w:t>2</w:t>
      </w:r>
      <w:r w:rsidR="0088717A">
        <w:rPr>
          <w:rFonts w:asciiTheme="majorHAnsi" w:hAnsiTheme="majorHAnsi" w:cstheme="majorHAnsi"/>
        </w:rPr>
        <w:t>2</w:t>
      </w:r>
      <w:r w:rsidRPr="0053555E">
        <w:rPr>
          <w:rFonts w:asciiTheme="majorHAnsi" w:hAnsiTheme="majorHAnsi" w:cstheme="majorHAnsi"/>
        </w:rPr>
        <w:t xml:space="preserve"> rektor rozhodol o priznaní m</w:t>
      </w:r>
      <w:r w:rsidR="003F75DE" w:rsidRPr="0053555E">
        <w:rPr>
          <w:rFonts w:asciiTheme="majorHAnsi" w:hAnsiTheme="majorHAnsi" w:cstheme="majorHAnsi"/>
        </w:rPr>
        <w:t>otivačn</w:t>
      </w:r>
      <w:r w:rsidRPr="0053555E">
        <w:rPr>
          <w:rFonts w:asciiTheme="majorHAnsi" w:hAnsiTheme="majorHAnsi" w:cstheme="majorHAnsi"/>
        </w:rPr>
        <w:t>ých</w:t>
      </w:r>
      <w:r w:rsidR="003F75DE" w:rsidRPr="0053555E">
        <w:rPr>
          <w:rFonts w:asciiTheme="majorHAnsi" w:hAnsiTheme="majorHAnsi" w:cstheme="majorHAnsi"/>
        </w:rPr>
        <w:t xml:space="preserve"> štipendi</w:t>
      </w:r>
      <w:r w:rsidR="00FE1A8E" w:rsidRPr="0053555E">
        <w:rPr>
          <w:rFonts w:asciiTheme="majorHAnsi" w:hAnsiTheme="majorHAnsi" w:cstheme="majorHAnsi"/>
        </w:rPr>
        <w:t xml:space="preserve">í </w:t>
      </w:r>
      <w:r w:rsidR="009003F9" w:rsidRPr="0053555E">
        <w:rPr>
          <w:rFonts w:asciiTheme="majorHAnsi" w:hAnsiTheme="majorHAnsi" w:cstheme="majorHAnsi"/>
        </w:rPr>
        <w:t xml:space="preserve">za mimoriadne výsledky </w:t>
      </w:r>
      <w:r w:rsidR="00FE1A8E" w:rsidRPr="0053555E">
        <w:rPr>
          <w:rFonts w:asciiTheme="majorHAnsi" w:hAnsiTheme="majorHAnsi" w:cstheme="majorHAnsi"/>
        </w:rPr>
        <w:t>a </w:t>
      </w:r>
      <w:r w:rsidR="003F75DE" w:rsidRPr="0053555E">
        <w:rPr>
          <w:rFonts w:asciiTheme="majorHAnsi" w:hAnsiTheme="majorHAnsi" w:cstheme="majorHAnsi"/>
        </w:rPr>
        <w:t>mimoriadn</w:t>
      </w:r>
      <w:r w:rsidR="00FE1A8E" w:rsidRPr="0053555E">
        <w:rPr>
          <w:rFonts w:asciiTheme="majorHAnsi" w:hAnsiTheme="majorHAnsi" w:cstheme="majorHAnsi"/>
        </w:rPr>
        <w:t xml:space="preserve">ych </w:t>
      </w:r>
      <w:r w:rsidR="003F75DE" w:rsidRPr="0053555E">
        <w:rPr>
          <w:rFonts w:asciiTheme="majorHAnsi" w:hAnsiTheme="majorHAnsi" w:cstheme="majorHAnsi"/>
        </w:rPr>
        <w:t>štipendi</w:t>
      </w:r>
      <w:r w:rsidR="00FE1A8E" w:rsidRPr="0053555E">
        <w:rPr>
          <w:rFonts w:asciiTheme="majorHAnsi" w:hAnsiTheme="majorHAnsi" w:cstheme="majorHAnsi"/>
        </w:rPr>
        <w:t>í</w:t>
      </w:r>
      <w:r w:rsidR="003F75DE" w:rsidRPr="0053555E">
        <w:rPr>
          <w:rFonts w:asciiTheme="majorHAnsi" w:hAnsiTheme="majorHAnsi" w:cstheme="majorHAnsi"/>
        </w:rPr>
        <w:t xml:space="preserve"> z vlastných zdrojov </w:t>
      </w:r>
      <w:r w:rsidR="004E6A5D" w:rsidRPr="0053555E">
        <w:rPr>
          <w:rFonts w:asciiTheme="majorHAnsi" w:hAnsiTheme="majorHAnsi" w:cstheme="majorHAnsi"/>
        </w:rPr>
        <w:t>STU</w:t>
      </w:r>
      <w:r w:rsidR="00055959" w:rsidRPr="0053555E">
        <w:rPr>
          <w:rFonts w:asciiTheme="majorHAnsi" w:hAnsiTheme="majorHAnsi" w:cstheme="majorHAnsi"/>
        </w:rPr>
        <w:t xml:space="preserve"> študentom</w:t>
      </w:r>
      <w:r w:rsidR="00F76B7A" w:rsidRPr="0053555E">
        <w:rPr>
          <w:rFonts w:asciiTheme="majorHAnsi" w:hAnsiTheme="majorHAnsi" w:cstheme="majorHAnsi"/>
        </w:rPr>
        <w:t>/absolventom</w:t>
      </w:r>
      <w:r w:rsidR="00055959" w:rsidRPr="0053555E">
        <w:rPr>
          <w:rFonts w:asciiTheme="majorHAnsi" w:hAnsiTheme="majorHAnsi" w:cstheme="majorHAnsi"/>
        </w:rPr>
        <w:t xml:space="preserve"> všetkých súčastí STU na základe akceptovania návrhu dekana </w:t>
      </w:r>
      <w:r w:rsidR="00833C48" w:rsidRPr="0053555E">
        <w:rPr>
          <w:rFonts w:asciiTheme="majorHAnsi" w:hAnsiTheme="majorHAnsi" w:cstheme="majorHAnsi"/>
        </w:rPr>
        <w:t>fa</w:t>
      </w:r>
      <w:r w:rsidR="00055959" w:rsidRPr="0053555E">
        <w:rPr>
          <w:rFonts w:asciiTheme="majorHAnsi" w:hAnsiTheme="majorHAnsi" w:cstheme="majorHAnsi"/>
        </w:rPr>
        <w:t xml:space="preserve">kulty, riaditeľa </w:t>
      </w:r>
      <w:r w:rsidR="006E71AA" w:rsidRPr="0053555E">
        <w:rPr>
          <w:rFonts w:asciiTheme="majorHAnsi" w:hAnsiTheme="majorHAnsi" w:cstheme="majorHAnsi"/>
        </w:rPr>
        <w:t>Ú</w:t>
      </w:r>
      <w:r w:rsidR="00055959" w:rsidRPr="0053555E">
        <w:rPr>
          <w:rFonts w:asciiTheme="majorHAnsi" w:hAnsiTheme="majorHAnsi" w:cstheme="majorHAnsi"/>
        </w:rPr>
        <w:t xml:space="preserve">stavu manažmentu STU, resp. </w:t>
      </w:r>
      <w:r w:rsidR="009003F9" w:rsidRPr="0053555E">
        <w:rPr>
          <w:rFonts w:asciiTheme="majorHAnsi" w:hAnsiTheme="majorHAnsi" w:cstheme="majorHAnsi"/>
        </w:rPr>
        <w:lastRenderedPageBreak/>
        <w:t>iného</w:t>
      </w:r>
      <w:r w:rsidR="00055959" w:rsidRPr="0053555E">
        <w:rPr>
          <w:rFonts w:asciiTheme="majorHAnsi" w:hAnsiTheme="majorHAnsi" w:cstheme="majorHAnsi"/>
        </w:rPr>
        <w:t xml:space="preserve"> člena akademickej obce univerzity, pričom</w:t>
      </w:r>
      <w:r w:rsidR="002A5326" w:rsidRPr="0053555E">
        <w:rPr>
          <w:rFonts w:asciiTheme="majorHAnsi" w:hAnsiTheme="majorHAnsi" w:cstheme="majorHAnsi"/>
        </w:rPr>
        <w:t xml:space="preserve"> </w:t>
      </w:r>
      <w:r w:rsidR="00FE1A8E" w:rsidRPr="0053555E">
        <w:rPr>
          <w:rFonts w:asciiTheme="majorHAnsi" w:hAnsiTheme="majorHAnsi" w:cstheme="majorHAnsi"/>
        </w:rPr>
        <w:t>tieto štipendiá</w:t>
      </w:r>
      <w:r w:rsidR="009003F9" w:rsidRPr="0053555E">
        <w:rPr>
          <w:rFonts w:asciiTheme="majorHAnsi" w:hAnsiTheme="majorHAnsi" w:cstheme="majorHAnsi"/>
        </w:rPr>
        <w:t xml:space="preserve"> boli poskytnuté zo </w:t>
      </w:r>
      <w:r w:rsidR="002A5326" w:rsidRPr="0053555E">
        <w:rPr>
          <w:rFonts w:asciiTheme="majorHAnsi" w:hAnsiTheme="majorHAnsi" w:cstheme="majorHAnsi"/>
        </w:rPr>
        <w:t>štipendijného fondu rektora</w:t>
      </w:r>
      <w:r w:rsidR="00CA22DE" w:rsidRPr="0053555E">
        <w:rPr>
          <w:rFonts w:asciiTheme="majorHAnsi" w:hAnsiTheme="majorHAnsi" w:cstheme="majorHAnsi"/>
        </w:rPr>
        <w:t xml:space="preserve">. </w:t>
      </w:r>
    </w:p>
    <w:p w14:paraId="0DD16552" w14:textId="38344E5F" w:rsidR="006815BD" w:rsidRDefault="00CA22DE" w:rsidP="006815BD">
      <w:pPr>
        <w:tabs>
          <w:tab w:val="left" w:pos="9356"/>
        </w:tabs>
        <w:spacing w:after="120"/>
        <w:jc w:val="both"/>
        <w:rPr>
          <w:rFonts w:asciiTheme="majorHAnsi" w:hAnsiTheme="majorHAnsi" w:cstheme="majorHAnsi"/>
        </w:rPr>
      </w:pPr>
      <w:r w:rsidRPr="0053555E">
        <w:rPr>
          <w:rFonts w:asciiTheme="majorHAnsi" w:hAnsiTheme="majorHAnsi" w:cstheme="majorHAnsi"/>
        </w:rPr>
        <w:t xml:space="preserve">Rektor </w:t>
      </w:r>
      <w:r w:rsidR="009003F9" w:rsidRPr="0053555E">
        <w:rPr>
          <w:rFonts w:asciiTheme="majorHAnsi" w:hAnsiTheme="majorHAnsi" w:cstheme="majorHAnsi"/>
        </w:rPr>
        <w:t>rozhodol o priznaní</w:t>
      </w:r>
      <w:r w:rsidRPr="0053555E">
        <w:rPr>
          <w:rFonts w:asciiTheme="majorHAnsi" w:hAnsiTheme="majorHAnsi" w:cstheme="majorHAnsi"/>
        </w:rPr>
        <w:t xml:space="preserve"> </w:t>
      </w:r>
      <w:r w:rsidR="00D14999" w:rsidRPr="0053555E">
        <w:rPr>
          <w:rFonts w:asciiTheme="majorHAnsi" w:hAnsiTheme="majorHAnsi" w:cstheme="majorHAnsi"/>
        </w:rPr>
        <w:t>mimoriadn</w:t>
      </w:r>
      <w:r w:rsidR="009003F9" w:rsidRPr="0053555E">
        <w:rPr>
          <w:rFonts w:asciiTheme="majorHAnsi" w:hAnsiTheme="majorHAnsi" w:cstheme="majorHAnsi"/>
        </w:rPr>
        <w:t>ych</w:t>
      </w:r>
      <w:r w:rsidR="00D14999" w:rsidRPr="0053555E">
        <w:rPr>
          <w:rFonts w:asciiTheme="majorHAnsi" w:hAnsiTheme="majorHAnsi" w:cstheme="majorHAnsi"/>
        </w:rPr>
        <w:t xml:space="preserve"> štipe</w:t>
      </w:r>
      <w:r w:rsidR="009003F9" w:rsidRPr="0053555E">
        <w:rPr>
          <w:rFonts w:asciiTheme="majorHAnsi" w:hAnsiTheme="majorHAnsi" w:cstheme="majorHAnsi"/>
        </w:rPr>
        <w:t>ndií</w:t>
      </w:r>
      <w:r w:rsidR="00D14999" w:rsidRPr="0053555E">
        <w:rPr>
          <w:rFonts w:asciiTheme="majorHAnsi" w:hAnsiTheme="majorHAnsi" w:cstheme="majorHAnsi"/>
        </w:rPr>
        <w:t xml:space="preserve"> </w:t>
      </w:r>
      <w:r w:rsidR="004E6A5D" w:rsidRPr="0053555E">
        <w:rPr>
          <w:rFonts w:asciiTheme="majorHAnsi" w:hAnsiTheme="majorHAnsi" w:cstheme="majorHAnsi"/>
        </w:rPr>
        <w:t>z vlastných zdrojov STU za vynikajúce plnenie študijných</w:t>
      </w:r>
      <w:r w:rsidR="00B92940" w:rsidRPr="0053555E">
        <w:rPr>
          <w:rFonts w:asciiTheme="majorHAnsi" w:hAnsiTheme="majorHAnsi" w:cstheme="majorHAnsi"/>
        </w:rPr>
        <w:t xml:space="preserve"> povinností počas celého štúdia </w:t>
      </w:r>
      <w:r w:rsidR="009F67B6" w:rsidRPr="0053555E">
        <w:rPr>
          <w:rFonts w:asciiTheme="majorHAnsi" w:hAnsiTheme="majorHAnsi" w:cstheme="majorHAnsi"/>
        </w:rPr>
        <w:t xml:space="preserve">študijného programu </w:t>
      </w:r>
      <w:r w:rsidR="009F67B6" w:rsidRPr="0053555E">
        <w:rPr>
          <w:rFonts w:asciiTheme="majorHAnsi" w:hAnsiTheme="majorHAnsi" w:cstheme="majorHAnsi"/>
          <w:b/>
        </w:rPr>
        <w:t>4</w:t>
      </w:r>
      <w:r w:rsidR="007E2738">
        <w:rPr>
          <w:rFonts w:asciiTheme="majorHAnsi" w:hAnsiTheme="majorHAnsi" w:cstheme="majorHAnsi"/>
          <w:b/>
        </w:rPr>
        <w:t>7</w:t>
      </w:r>
      <w:r w:rsidR="00D14999" w:rsidRPr="0053555E">
        <w:rPr>
          <w:rFonts w:asciiTheme="majorHAnsi" w:hAnsiTheme="majorHAnsi" w:cstheme="majorHAnsi"/>
          <w:b/>
        </w:rPr>
        <w:t xml:space="preserve"> absolventom</w:t>
      </w:r>
      <w:r w:rsidR="00643C0D" w:rsidRPr="0053555E">
        <w:rPr>
          <w:rFonts w:asciiTheme="majorHAnsi" w:hAnsiTheme="majorHAnsi" w:cstheme="majorHAnsi"/>
          <w:b/>
        </w:rPr>
        <w:t xml:space="preserve"> STU</w:t>
      </w:r>
      <w:r w:rsidR="00D14999" w:rsidRPr="0053555E">
        <w:rPr>
          <w:rFonts w:asciiTheme="majorHAnsi" w:hAnsiTheme="majorHAnsi" w:cstheme="majorHAnsi"/>
        </w:rPr>
        <w:t xml:space="preserve">, </w:t>
      </w:r>
      <w:r w:rsidR="00643C0D" w:rsidRPr="0053555E">
        <w:rPr>
          <w:rFonts w:asciiTheme="majorHAnsi" w:hAnsiTheme="majorHAnsi" w:cstheme="majorHAnsi"/>
        </w:rPr>
        <w:t xml:space="preserve">ktorým udelil ocenenie „Cena rektora STU“ </w:t>
      </w:r>
      <w:r w:rsidR="00550EFF" w:rsidRPr="0053555E">
        <w:rPr>
          <w:rFonts w:asciiTheme="majorHAnsi" w:hAnsiTheme="majorHAnsi" w:cstheme="majorHAnsi"/>
        </w:rPr>
        <w:t>za s</w:t>
      </w:r>
      <w:r w:rsidR="00CA1B4F" w:rsidRPr="0053555E">
        <w:rPr>
          <w:rFonts w:asciiTheme="majorHAnsi" w:hAnsiTheme="majorHAnsi" w:cstheme="majorHAnsi"/>
        </w:rPr>
        <w:t>plnen</w:t>
      </w:r>
      <w:r w:rsidR="00550EFF" w:rsidRPr="0053555E">
        <w:rPr>
          <w:rFonts w:asciiTheme="majorHAnsi" w:hAnsiTheme="majorHAnsi" w:cstheme="majorHAnsi"/>
        </w:rPr>
        <w:t>ia zákonnej</w:t>
      </w:r>
      <w:r w:rsidR="00CA1B4F" w:rsidRPr="0053555E">
        <w:rPr>
          <w:rFonts w:asciiTheme="majorHAnsi" w:hAnsiTheme="majorHAnsi" w:cstheme="majorHAnsi"/>
        </w:rPr>
        <w:t xml:space="preserve"> podmienk</w:t>
      </w:r>
      <w:r w:rsidR="00550EFF" w:rsidRPr="0053555E">
        <w:rPr>
          <w:rFonts w:asciiTheme="majorHAnsi" w:hAnsiTheme="majorHAnsi" w:cstheme="majorHAnsi"/>
        </w:rPr>
        <w:t xml:space="preserve">y, že od riadneho skončenia </w:t>
      </w:r>
      <w:r w:rsidR="009003F9" w:rsidRPr="0053555E">
        <w:rPr>
          <w:rFonts w:asciiTheme="majorHAnsi" w:hAnsiTheme="majorHAnsi" w:cstheme="majorHAnsi"/>
        </w:rPr>
        <w:t xml:space="preserve">ich </w:t>
      </w:r>
      <w:r w:rsidR="00550EFF" w:rsidRPr="0053555E">
        <w:rPr>
          <w:rFonts w:asciiTheme="majorHAnsi" w:hAnsiTheme="majorHAnsi" w:cstheme="majorHAnsi"/>
        </w:rPr>
        <w:t xml:space="preserve">štúdia neuplynulo viac ako 90 dní. Zároveň rektor </w:t>
      </w:r>
      <w:r w:rsidR="009003F9" w:rsidRPr="0053555E">
        <w:rPr>
          <w:rFonts w:asciiTheme="majorHAnsi" w:hAnsiTheme="majorHAnsi" w:cstheme="majorHAnsi"/>
        </w:rPr>
        <w:t xml:space="preserve">rozhodol o </w:t>
      </w:r>
      <w:r w:rsidR="00550EFF" w:rsidRPr="0053555E">
        <w:rPr>
          <w:rFonts w:asciiTheme="majorHAnsi" w:hAnsiTheme="majorHAnsi" w:cstheme="majorHAnsi"/>
        </w:rPr>
        <w:t>prizna</w:t>
      </w:r>
      <w:r w:rsidR="009003F9" w:rsidRPr="0053555E">
        <w:rPr>
          <w:rFonts w:asciiTheme="majorHAnsi" w:hAnsiTheme="majorHAnsi" w:cstheme="majorHAnsi"/>
        </w:rPr>
        <w:t>ní</w:t>
      </w:r>
      <w:r w:rsidR="00CA1B4F" w:rsidRPr="0053555E">
        <w:rPr>
          <w:rFonts w:asciiTheme="majorHAnsi" w:hAnsiTheme="majorHAnsi" w:cstheme="majorHAnsi"/>
        </w:rPr>
        <w:t xml:space="preserve"> </w:t>
      </w:r>
      <w:r w:rsidR="00B92940" w:rsidRPr="0053555E">
        <w:rPr>
          <w:rFonts w:asciiTheme="majorHAnsi" w:hAnsiTheme="majorHAnsi" w:cstheme="majorHAnsi"/>
        </w:rPr>
        <w:t>motivačn</w:t>
      </w:r>
      <w:r w:rsidR="009003F9" w:rsidRPr="0053555E">
        <w:rPr>
          <w:rFonts w:asciiTheme="majorHAnsi" w:hAnsiTheme="majorHAnsi" w:cstheme="majorHAnsi"/>
        </w:rPr>
        <w:t>ých</w:t>
      </w:r>
      <w:r w:rsidR="00B92940" w:rsidRPr="0053555E">
        <w:rPr>
          <w:rFonts w:asciiTheme="majorHAnsi" w:hAnsiTheme="majorHAnsi" w:cstheme="majorHAnsi"/>
        </w:rPr>
        <w:t xml:space="preserve"> štipendi</w:t>
      </w:r>
      <w:r w:rsidR="009003F9" w:rsidRPr="0053555E">
        <w:rPr>
          <w:rFonts w:asciiTheme="majorHAnsi" w:hAnsiTheme="majorHAnsi" w:cstheme="majorHAnsi"/>
        </w:rPr>
        <w:t>í za mimoriadne výsledky</w:t>
      </w:r>
      <w:r w:rsidR="006E71AA" w:rsidRPr="0053555E">
        <w:rPr>
          <w:rFonts w:asciiTheme="majorHAnsi" w:hAnsiTheme="majorHAnsi" w:cstheme="majorHAnsi"/>
        </w:rPr>
        <w:t>, resp. mimoriadn</w:t>
      </w:r>
      <w:r w:rsidR="009003F9" w:rsidRPr="0053555E">
        <w:rPr>
          <w:rFonts w:asciiTheme="majorHAnsi" w:hAnsiTheme="majorHAnsi" w:cstheme="majorHAnsi"/>
        </w:rPr>
        <w:t>ych</w:t>
      </w:r>
      <w:r w:rsidR="006E71AA" w:rsidRPr="0053555E">
        <w:rPr>
          <w:rFonts w:asciiTheme="majorHAnsi" w:hAnsiTheme="majorHAnsi" w:cstheme="majorHAnsi"/>
        </w:rPr>
        <w:t xml:space="preserve"> štipendi</w:t>
      </w:r>
      <w:r w:rsidR="009003F9" w:rsidRPr="0053555E">
        <w:rPr>
          <w:rFonts w:asciiTheme="majorHAnsi" w:hAnsiTheme="majorHAnsi" w:cstheme="majorHAnsi"/>
        </w:rPr>
        <w:t>í</w:t>
      </w:r>
      <w:r w:rsidR="006E71AA" w:rsidRPr="0053555E">
        <w:rPr>
          <w:rFonts w:asciiTheme="majorHAnsi" w:hAnsiTheme="majorHAnsi" w:cstheme="majorHAnsi"/>
        </w:rPr>
        <w:t xml:space="preserve"> z vlastných zdrojov STU</w:t>
      </w:r>
      <w:r w:rsidR="00817C4F" w:rsidRPr="0053555E">
        <w:rPr>
          <w:rFonts w:asciiTheme="majorHAnsi" w:hAnsiTheme="majorHAnsi" w:cstheme="majorHAnsi"/>
        </w:rPr>
        <w:t xml:space="preserve"> </w:t>
      </w:r>
      <w:r w:rsidR="00EC44F3">
        <w:rPr>
          <w:rFonts w:asciiTheme="majorHAnsi" w:hAnsiTheme="majorHAnsi" w:cstheme="majorHAnsi"/>
          <w:b/>
        </w:rPr>
        <w:t>42</w:t>
      </w:r>
      <w:r w:rsidR="006E71AA" w:rsidRPr="0053555E">
        <w:rPr>
          <w:rFonts w:asciiTheme="majorHAnsi" w:hAnsiTheme="majorHAnsi" w:cstheme="majorHAnsi"/>
          <w:b/>
        </w:rPr>
        <w:t xml:space="preserve"> </w:t>
      </w:r>
      <w:r w:rsidR="009003F9" w:rsidRPr="0053555E">
        <w:rPr>
          <w:rFonts w:asciiTheme="majorHAnsi" w:hAnsiTheme="majorHAnsi" w:cstheme="majorHAnsi"/>
          <w:b/>
        </w:rPr>
        <w:t>najlepším</w:t>
      </w:r>
      <w:r w:rsidR="00B92940" w:rsidRPr="0053555E">
        <w:rPr>
          <w:rFonts w:asciiTheme="majorHAnsi" w:hAnsiTheme="majorHAnsi" w:cstheme="majorHAnsi"/>
          <w:b/>
        </w:rPr>
        <w:t xml:space="preserve"> </w:t>
      </w:r>
      <w:r w:rsidR="00D14999" w:rsidRPr="0053555E">
        <w:rPr>
          <w:rFonts w:asciiTheme="majorHAnsi" w:hAnsiTheme="majorHAnsi" w:cstheme="majorHAnsi"/>
          <w:b/>
        </w:rPr>
        <w:t>študentom</w:t>
      </w:r>
      <w:r w:rsidR="0029273B" w:rsidRPr="0053555E">
        <w:rPr>
          <w:rFonts w:asciiTheme="majorHAnsi" w:hAnsiTheme="majorHAnsi" w:cstheme="majorHAnsi"/>
          <w:b/>
        </w:rPr>
        <w:t xml:space="preserve"> STU</w:t>
      </w:r>
      <w:r w:rsidR="00D14999" w:rsidRPr="0053555E">
        <w:rPr>
          <w:rFonts w:asciiTheme="majorHAnsi" w:hAnsiTheme="majorHAnsi" w:cstheme="majorHAnsi"/>
        </w:rPr>
        <w:t xml:space="preserve"> </w:t>
      </w:r>
      <w:r w:rsidR="00B92940" w:rsidRPr="0053555E">
        <w:rPr>
          <w:rFonts w:asciiTheme="majorHAnsi" w:hAnsiTheme="majorHAnsi" w:cstheme="majorHAnsi"/>
        </w:rPr>
        <w:t>oceneným cenou „Študent roka“.</w:t>
      </w:r>
      <w:r w:rsidR="0029273B" w:rsidRPr="0053555E">
        <w:rPr>
          <w:rFonts w:asciiTheme="majorHAnsi" w:hAnsiTheme="majorHAnsi" w:cstheme="majorHAnsi"/>
        </w:rPr>
        <w:t xml:space="preserve"> </w:t>
      </w:r>
    </w:p>
    <w:p w14:paraId="75D92D73" w14:textId="3D7A38EE" w:rsidR="006815BD" w:rsidRPr="0053555E" w:rsidRDefault="006815BD" w:rsidP="006815BD">
      <w:pPr>
        <w:tabs>
          <w:tab w:val="left" w:pos="9356"/>
        </w:tabs>
        <w:jc w:val="both"/>
        <w:rPr>
          <w:rFonts w:asciiTheme="majorHAnsi" w:hAnsiTheme="majorHAnsi" w:cstheme="majorHAnsi"/>
        </w:rPr>
      </w:pPr>
      <w:r w:rsidRPr="0053555E">
        <w:rPr>
          <w:rFonts w:asciiTheme="majorHAnsi" w:hAnsiTheme="majorHAnsi" w:cstheme="majorHAnsi"/>
        </w:rPr>
        <w:t>V porovnaní s  rokom 202</w:t>
      </w:r>
      <w:r>
        <w:rPr>
          <w:rFonts w:asciiTheme="majorHAnsi" w:hAnsiTheme="majorHAnsi" w:cstheme="majorHAnsi"/>
        </w:rPr>
        <w:t>1</w:t>
      </w:r>
      <w:r w:rsidRPr="0053555E">
        <w:rPr>
          <w:rFonts w:asciiTheme="majorHAnsi" w:hAnsiTheme="majorHAnsi" w:cstheme="majorHAnsi"/>
        </w:rPr>
        <w:t xml:space="preserve"> rektor prizna</w:t>
      </w:r>
      <w:r>
        <w:rPr>
          <w:rFonts w:asciiTheme="majorHAnsi" w:hAnsiTheme="majorHAnsi" w:cstheme="majorHAnsi"/>
        </w:rPr>
        <w:t>l</w:t>
      </w:r>
      <w:r w:rsidRPr="0053555E">
        <w:rPr>
          <w:rFonts w:asciiTheme="majorHAnsi" w:hAnsiTheme="majorHAnsi" w:cstheme="majorHAnsi"/>
        </w:rPr>
        <w:t xml:space="preserve"> </w:t>
      </w:r>
      <w:r>
        <w:rPr>
          <w:rFonts w:asciiTheme="majorHAnsi" w:hAnsiTheme="majorHAnsi" w:cstheme="majorHAnsi"/>
          <w:b/>
        </w:rPr>
        <w:t xml:space="preserve">rovnaký počet </w:t>
      </w:r>
      <w:r w:rsidRPr="0053555E">
        <w:rPr>
          <w:rFonts w:asciiTheme="majorHAnsi" w:hAnsiTheme="majorHAnsi" w:cstheme="majorHAnsi"/>
        </w:rPr>
        <w:t xml:space="preserve">motivačných štipendií za mimoriadne výsledky v celkovej </w:t>
      </w:r>
      <w:r w:rsidRPr="0053555E">
        <w:rPr>
          <w:rFonts w:asciiTheme="majorHAnsi" w:hAnsiTheme="majorHAnsi" w:cstheme="majorHAnsi"/>
          <w:b/>
        </w:rPr>
        <w:t>výške nižšej o </w:t>
      </w:r>
      <w:r>
        <w:rPr>
          <w:rFonts w:asciiTheme="majorHAnsi" w:hAnsiTheme="majorHAnsi" w:cstheme="majorHAnsi"/>
          <w:b/>
        </w:rPr>
        <w:t>384</w:t>
      </w:r>
      <w:r w:rsidRPr="0053555E">
        <w:rPr>
          <w:rFonts w:asciiTheme="majorHAnsi" w:hAnsiTheme="majorHAnsi" w:cstheme="majorHAnsi"/>
          <w:b/>
        </w:rPr>
        <w:t xml:space="preserve"> €, </w:t>
      </w:r>
      <w:r w:rsidRPr="0053555E">
        <w:rPr>
          <w:rFonts w:asciiTheme="majorHAnsi" w:hAnsiTheme="majorHAnsi" w:cstheme="majorHAnsi"/>
        </w:rPr>
        <w:t>pričom bol</w:t>
      </w:r>
      <w:r>
        <w:rPr>
          <w:rFonts w:asciiTheme="majorHAnsi" w:hAnsiTheme="majorHAnsi" w:cstheme="majorHAnsi"/>
        </w:rPr>
        <w:t>i použité všetky f</w:t>
      </w:r>
      <w:r w:rsidR="008A41CF">
        <w:rPr>
          <w:rFonts w:asciiTheme="majorHAnsi" w:hAnsiTheme="majorHAnsi" w:cstheme="majorHAnsi"/>
        </w:rPr>
        <w:t>i</w:t>
      </w:r>
      <w:r>
        <w:rPr>
          <w:rFonts w:asciiTheme="majorHAnsi" w:hAnsiTheme="majorHAnsi" w:cstheme="majorHAnsi"/>
        </w:rPr>
        <w:t>na</w:t>
      </w:r>
      <w:r w:rsidR="008A41CF">
        <w:rPr>
          <w:rFonts w:asciiTheme="majorHAnsi" w:hAnsiTheme="majorHAnsi" w:cstheme="majorHAnsi"/>
        </w:rPr>
        <w:t>n</w:t>
      </w:r>
      <w:r>
        <w:rPr>
          <w:rFonts w:asciiTheme="majorHAnsi" w:hAnsiTheme="majorHAnsi" w:cstheme="majorHAnsi"/>
        </w:rPr>
        <w:t>čné prostriedky z </w:t>
      </w:r>
      <w:r w:rsidRPr="0053555E">
        <w:rPr>
          <w:rFonts w:asciiTheme="majorHAnsi" w:hAnsiTheme="majorHAnsi" w:cstheme="majorHAnsi"/>
        </w:rPr>
        <w:t xml:space="preserve">pridelenej dotácie zo štátneho rozpočtu v štipendijnom fonde rektora. Mimoriadnych štipendií z vlastných zdrojov STU bolo poskytnutých </w:t>
      </w:r>
      <w:r w:rsidRPr="0053555E">
        <w:rPr>
          <w:rFonts w:asciiTheme="majorHAnsi" w:hAnsiTheme="majorHAnsi" w:cstheme="majorHAnsi"/>
          <w:b/>
        </w:rPr>
        <w:t>o </w:t>
      </w:r>
      <w:r>
        <w:rPr>
          <w:rFonts w:asciiTheme="majorHAnsi" w:hAnsiTheme="majorHAnsi" w:cstheme="majorHAnsi"/>
          <w:b/>
        </w:rPr>
        <w:t>26</w:t>
      </w:r>
      <w:r w:rsidRPr="0053555E">
        <w:rPr>
          <w:rFonts w:asciiTheme="majorHAnsi" w:hAnsiTheme="majorHAnsi" w:cstheme="majorHAnsi"/>
          <w:b/>
        </w:rPr>
        <w:t xml:space="preserve"> </w:t>
      </w:r>
      <w:r>
        <w:rPr>
          <w:rFonts w:asciiTheme="majorHAnsi" w:hAnsiTheme="majorHAnsi" w:cstheme="majorHAnsi"/>
          <w:b/>
        </w:rPr>
        <w:t>viac</w:t>
      </w:r>
      <w:r w:rsidRPr="0053555E">
        <w:rPr>
          <w:rFonts w:asciiTheme="majorHAnsi" w:hAnsiTheme="majorHAnsi" w:cstheme="majorHAnsi"/>
        </w:rPr>
        <w:t xml:space="preserve"> v celkovej výške </w:t>
      </w:r>
      <w:r>
        <w:rPr>
          <w:rFonts w:asciiTheme="majorHAnsi" w:hAnsiTheme="majorHAnsi" w:cstheme="majorHAnsi"/>
          <w:b/>
        </w:rPr>
        <w:t>vyššej</w:t>
      </w:r>
      <w:r w:rsidRPr="0053555E">
        <w:rPr>
          <w:rFonts w:asciiTheme="majorHAnsi" w:hAnsiTheme="majorHAnsi" w:cstheme="majorHAnsi"/>
          <w:b/>
        </w:rPr>
        <w:t xml:space="preserve"> o </w:t>
      </w:r>
      <w:r>
        <w:rPr>
          <w:rFonts w:asciiTheme="majorHAnsi" w:hAnsiTheme="majorHAnsi" w:cstheme="majorHAnsi"/>
          <w:b/>
        </w:rPr>
        <w:t>774</w:t>
      </w:r>
      <w:r w:rsidRPr="0053555E">
        <w:rPr>
          <w:rFonts w:asciiTheme="majorHAnsi" w:hAnsiTheme="majorHAnsi" w:cstheme="majorHAnsi"/>
          <w:b/>
        </w:rPr>
        <w:t xml:space="preserve"> €, </w:t>
      </w:r>
      <w:r w:rsidRPr="0053555E">
        <w:rPr>
          <w:rFonts w:asciiTheme="majorHAnsi" w:hAnsiTheme="majorHAnsi" w:cstheme="majorHAnsi"/>
        </w:rPr>
        <w:t>pričom celková výška poskytnutých mimoriadnych štipendií z vlastných zdrojov sa odvíja od</w:t>
      </w:r>
      <w:r>
        <w:rPr>
          <w:rFonts w:asciiTheme="majorHAnsi" w:hAnsiTheme="majorHAnsi" w:cstheme="majorHAnsi"/>
        </w:rPr>
        <w:t> </w:t>
      </w:r>
      <w:r w:rsidRPr="0053555E">
        <w:rPr>
          <w:rFonts w:asciiTheme="majorHAnsi" w:hAnsiTheme="majorHAnsi" w:cstheme="majorHAnsi"/>
        </w:rPr>
        <w:t xml:space="preserve">výšky finančných prostriedkov naakumulovaných v štipendijnom fonde rektora, ktorý je tvorený okrem dotácie zo štátneho rozpočtu aj z odvodov fakúlt z výnosov zo školného. </w:t>
      </w:r>
    </w:p>
    <w:p w14:paraId="27B18B04" w14:textId="77777777" w:rsidR="006815BD" w:rsidRDefault="006815BD" w:rsidP="006815BD">
      <w:pPr>
        <w:rPr>
          <w:rFonts w:asciiTheme="majorHAnsi" w:hAnsiTheme="majorHAnsi" w:cstheme="majorHAnsi"/>
        </w:rPr>
      </w:pPr>
    </w:p>
    <w:p w14:paraId="35C89470" w14:textId="41D0E11C" w:rsidR="00B8409B" w:rsidRPr="007B5953" w:rsidRDefault="00086D2F" w:rsidP="007B5953">
      <w:pPr>
        <w:rPr>
          <w:rFonts w:asciiTheme="majorHAnsi" w:hAnsiTheme="majorHAnsi" w:cstheme="majorHAnsi"/>
        </w:rPr>
      </w:pPr>
      <w:bookmarkStart w:id="224" w:name="_Ref31718987"/>
      <w:bookmarkStart w:id="225" w:name="_Toc127593309"/>
      <w:r w:rsidRPr="0053555E">
        <w:t xml:space="preserve">Tab. č. </w:t>
      </w:r>
      <w:r w:rsidR="007B5953">
        <w:fldChar w:fldCharType="begin"/>
      </w:r>
      <w:r w:rsidR="007B5953">
        <w:instrText xml:space="preserve"> SEQ Tab._č. \* ARABIC </w:instrText>
      </w:r>
      <w:r w:rsidR="007B5953">
        <w:fldChar w:fldCharType="separate"/>
      </w:r>
      <w:r w:rsidR="007B5953">
        <w:rPr>
          <w:noProof/>
        </w:rPr>
        <w:t>5</w:t>
      </w:r>
      <w:r w:rsidR="00EE1B59">
        <w:rPr>
          <w:noProof/>
        </w:rPr>
        <w:t>6</w:t>
      </w:r>
      <w:r w:rsidR="007B5953">
        <w:rPr>
          <w:noProof/>
        </w:rPr>
        <w:fldChar w:fldCharType="end"/>
      </w:r>
      <w:bookmarkEnd w:id="224"/>
      <w:r w:rsidRPr="0053555E">
        <w:t>:</w:t>
      </w:r>
      <w:r w:rsidR="00ED394F" w:rsidRPr="0053555E">
        <w:t xml:space="preserve"> Prehľad priznaných </w:t>
      </w:r>
      <w:r w:rsidR="002A408D" w:rsidRPr="0053555E">
        <w:t xml:space="preserve">a poskytnutých </w:t>
      </w:r>
      <w:r w:rsidR="00ED394F" w:rsidRPr="0053555E">
        <w:t xml:space="preserve">motivačných </w:t>
      </w:r>
      <w:r w:rsidR="009003F9" w:rsidRPr="0053555E">
        <w:t xml:space="preserve">štipendií za mimoriadne výsledky </w:t>
      </w:r>
      <w:r w:rsidR="001672B2" w:rsidRPr="0053555E">
        <w:t>a </w:t>
      </w:r>
      <w:r w:rsidR="00ED394F" w:rsidRPr="0053555E">
        <w:t xml:space="preserve">mimoriadnych štipendií </w:t>
      </w:r>
      <w:r w:rsidR="009003F9" w:rsidRPr="0053555E">
        <w:t xml:space="preserve">z vlastných zdrojov STU </w:t>
      </w:r>
      <w:r w:rsidR="00B93D9D" w:rsidRPr="0053555E">
        <w:t xml:space="preserve">študentom a absolventom STU </w:t>
      </w:r>
      <w:r w:rsidR="00D465F1" w:rsidRPr="0053555E">
        <w:t>zo </w:t>
      </w:r>
      <w:r w:rsidR="00ED394F" w:rsidRPr="0053555E">
        <w:t>štipendijného fondu rektora v roku 20</w:t>
      </w:r>
      <w:r w:rsidR="00B554DC" w:rsidRPr="0053555E">
        <w:t>2</w:t>
      </w:r>
      <w:r w:rsidR="00C261B9" w:rsidRPr="0053555E">
        <w:t>2</w:t>
      </w:r>
      <w:bookmarkEnd w:id="225"/>
    </w:p>
    <w:tbl>
      <w:tblPr>
        <w:tblW w:w="9072" w:type="dxa"/>
        <w:tblInd w:w="-5" w:type="dxa"/>
        <w:tblCellMar>
          <w:left w:w="70" w:type="dxa"/>
          <w:right w:w="70" w:type="dxa"/>
        </w:tblCellMar>
        <w:tblLook w:val="04A0" w:firstRow="1" w:lastRow="0" w:firstColumn="1" w:lastColumn="0" w:noHBand="0" w:noVBand="1"/>
      </w:tblPr>
      <w:tblGrid>
        <w:gridCol w:w="1504"/>
        <w:gridCol w:w="1473"/>
        <w:gridCol w:w="2835"/>
        <w:gridCol w:w="1418"/>
        <w:gridCol w:w="1842"/>
      </w:tblGrid>
      <w:tr w:rsidR="00B30F6D" w:rsidRPr="0053555E" w14:paraId="5C308FFF" w14:textId="77777777" w:rsidTr="003E0BF9">
        <w:trPr>
          <w:trHeight w:val="20"/>
        </w:trPr>
        <w:tc>
          <w:tcPr>
            <w:tcW w:w="581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F355E4" w14:textId="77777777" w:rsidR="00B30F6D" w:rsidRPr="0053555E" w:rsidRDefault="00AC0E04" w:rsidP="00324438">
            <w:pPr>
              <w:tabs>
                <w:tab w:val="left" w:pos="9356"/>
              </w:tabs>
              <w:rPr>
                <w:rFonts w:asciiTheme="majorHAnsi" w:eastAsia="Times New Roman" w:hAnsiTheme="majorHAnsi" w:cstheme="majorHAnsi"/>
                <w:b/>
                <w:bCs/>
                <w:lang w:eastAsia="sk-SK"/>
              </w:rPr>
            </w:pPr>
            <w:r w:rsidRPr="0053555E">
              <w:rPr>
                <w:rFonts w:asciiTheme="majorHAnsi" w:eastAsia="Times New Roman" w:hAnsiTheme="majorHAnsi" w:cstheme="majorHAnsi"/>
                <w:b/>
                <w:bCs/>
                <w:lang w:eastAsia="sk-SK"/>
              </w:rPr>
              <w:t>š</w:t>
            </w:r>
            <w:r w:rsidR="00B30F6D" w:rsidRPr="0053555E">
              <w:rPr>
                <w:rFonts w:asciiTheme="majorHAnsi" w:eastAsia="Times New Roman" w:hAnsiTheme="majorHAnsi" w:cstheme="majorHAnsi"/>
                <w:b/>
                <w:bCs/>
                <w:lang w:eastAsia="sk-SK"/>
              </w:rPr>
              <w:t>tipendium</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432F76E" w14:textId="77777777" w:rsidR="00794EE7" w:rsidRPr="0053555E" w:rsidRDefault="00B30F6D" w:rsidP="00324438">
            <w:pPr>
              <w:tabs>
                <w:tab w:val="left" w:pos="9356"/>
              </w:tabs>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počet študentov</w:t>
            </w:r>
            <w:r w:rsidR="00794EE7" w:rsidRPr="0053555E">
              <w:rPr>
                <w:rFonts w:asciiTheme="majorHAnsi" w:eastAsia="Times New Roman" w:hAnsiTheme="majorHAnsi" w:cstheme="majorHAnsi"/>
                <w:b/>
                <w:bCs/>
                <w:sz w:val="18"/>
                <w:szCs w:val="18"/>
                <w:lang w:eastAsia="sk-SK"/>
              </w:rPr>
              <w:t>/</w:t>
            </w:r>
          </w:p>
          <w:p w14:paraId="024AE426" w14:textId="77777777" w:rsidR="00B30F6D" w:rsidRPr="0053555E" w:rsidRDefault="00AC3887" w:rsidP="00324438">
            <w:pPr>
              <w:tabs>
                <w:tab w:val="left" w:pos="9356"/>
              </w:tabs>
              <w:jc w:val="center"/>
              <w:rPr>
                <w:rFonts w:asciiTheme="majorHAnsi" w:eastAsia="Times New Roman" w:hAnsiTheme="majorHAnsi" w:cstheme="majorHAnsi"/>
                <w:b/>
                <w:bCs/>
                <w:sz w:val="18"/>
                <w:szCs w:val="18"/>
                <w:lang w:eastAsia="sk-SK"/>
              </w:rPr>
            </w:pPr>
            <w:r w:rsidRPr="0053555E">
              <w:rPr>
                <w:rFonts w:asciiTheme="majorHAnsi" w:eastAsia="Times New Roman" w:hAnsiTheme="majorHAnsi" w:cstheme="majorHAnsi"/>
                <w:b/>
                <w:bCs/>
                <w:sz w:val="18"/>
                <w:szCs w:val="18"/>
                <w:lang w:eastAsia="sk-SK"/>
              </w:rPr>
              <w:t>absolventov</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E1F273A" w14:textId="77777777" w:rsidR="00B30F6D" w:rsidRPr="0053555E" w:rsidRDefault="00AC0E04" w:rsidP="00324438">
            <w:pPr>
              <w:tabs>
                <w:tab w:val="left" w:pos="9356"/>
              </w:tabs>
              <w:jc w:val="center"/>
              <w:rPr>
                <w:rFonts w:asciiTheme="majorHAnsi" w:eastAsia="Times New Roman" w:hAnsiTheme="majorHAnsi" w:cstheme="majorHAnsi"/>
                <w:b/>
                <w:bCs/>
                <w:sz w:val="18"/>
                <w:szCs w:val="20"/>
                <w:lang w:eastAsia="sk-SK"/>
              </w:rPr>
            </w:pPr>
            <w:r w:rsidRPr="0053555E">
              <w:rPr>
                <w:rFonts w:asciiTheme="majorHAnsi" w:eastAsia="Times New Roman" w:hAnsiTheme="majorHAnsi" w:cstheme="majorHAnsi"/>
                <w:b/>
                <w:bCs/>
                <w:sz w:val="18"/>
                <w:szCs w:val="20"/>
                <w:lang w:eastAsia="sk-SK"/>
              </w:rPr>
              <w:t>c</w:t>
            </w:r>
            <w:r w:rsidR="00B30F6D" w:rsidRPr="0053555E">
              <w:rPr>
                <w:rFonts w:asciiTheme="majorHAnsi" w:eastAsia="Times New Roman" w:hAnsiTheme="majorHAnsi" w:cstheme="majorHAnsi"/>
                <w:b/>
                <w:bCs/>
                <w:sz w:val="18"/>
                <w:szCs w:val="20"/>
                <w:lang w:eastAsia="sk-SK"/>
              </w:rPr>
              <w:t xml:space="preserve">elková suma </w:t>
            </w:r>
            <w:r w:rsidR="00A73AD8" w:rsidRPr="0053555E">
              <w:rPr>
                <w:rFonts w:asciiTheme="majorHAnsi" w:eastAsia="Times New Roman" w:hAnsiTheme="majorHAnsi" w:cstheme="majorHAnsi"/>
                <w:b/>
                <w:bCs/>
                <w:sz w:val="18"/>
                <w:szCs w:val="20"/>
                <w:lang w:eastAsia="sk-SK"/>
              </w:rPr>
              <w:t>poskytnutých</w:t>
            </w:r>
            <w:r w:rsidR="00B30F6D" w:rsidRPr="0053555E">
              <w:rPr>
                <w:rFonts w:asciiTheme="majorHAnsi" w:eastAsia="Times New Roman" w:hAnsiTheme="majorHAnsi" w:cstheme="majorHAnsi"/>
                <w:b/>
                <w:bCs/>
                <w:sz w:val="18"/>
                <w:szCs w:val="20"/>
                <w:lang w:eastAsia="sk-SK"/>
              </w:rPr>
              <w:t xml:space="preserve"> štipendií v €</w:t>
            </w:r>
          </w:p>
        </w:tc>
      </w:tr>
      <w:tr w:rsidR="001342AE" w:rsidRPr="0053555E" w14:paraId="4BF4DCD3" w14:textId="77777777" w:rsidTr="003E0BF9">
        <w:trPr>
          <w:trHeight w:val="20"/>
        </w:trPr>
        <w:tc>
          <w:tcPr>
            <w:tcW w:w="1504" w:type="dxa"/>
            <w:vMerge w:val="restart"/>
            <w:tcBorders>
              <w:top w:val="nil"/>
              <w:left w:val="single" w:sz="4" w:space="0" w:color="auto"/>
              <w:right w:val="single" w:sz="4" w:space="0" w:color="auto"/>
            </w:tcBorders>
            <w:shd w:val="clear" w:color="auto" w:fill="auto"/>
            <w:vAlign w:val="center"/>
            <w:hideMark/>
          </w:tcPr>
          <w:p w14:paraId="4E1115C2" w14:textId="77777777" w:rsidR="001342AE" w:rsidRPr="0053555E" w:rsidRDefault="001342AE" w:rsidP="001342AE">
            <w:pPr>
              <w:tabs>
                <w:tab w:val="left" w:pos="9356"/>
              </w:tabs>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mimoriadne štipendiá</w:t>
            </w:r>
          </w:p>
          <w:p w14:paraId="007C9171" w14:textId="77777777" w:rsidR="001342AE" w:rsidRPr="0053555E" w:rsidRDefault="001342AE" w:rsidP="001342AE">
            <w:pPr>
              <w:tabs>
                <w:tab w:val="left" w:pos="9356"/>
              </w:tabs>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z vlastných zdrojov STU</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45E446FC" w14:textId="77777777" w:rsidR="001342AE" w:rsidRPr="0053555E" w:rsidRDefault="001342AE" w:rsidP="001342AE">
            <w:pPr>
              <w:tabs>
                <w:tab w:val="left" w:pos="9356"/>
              </w:tabs>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štipendium oceneným</w:t>
            </w:r>
          </w:p>
          <w:p w14:paraId="61840E75" w14:textId="77777777" w:rsidR="001342AE" w:rsidRPr="0053555E" w:rsidRDefault="001342AE" w:rsidP="001342AE">
            <w:pPr>
              <w:tabs>
                <w:tab w:val="left" w:pos="9356"/>
              </w:tabs>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"Cena rektora"</w:t>
            </w:r>
          </w:p>
        </w:tc>
        <w:tc>
          <w:tcPr>
            <w:tcW w:w="2835" w:type="dxa"/>
            <w:tcBorders>
              <w:top w:val="nil"/>
              <w:left w:val="nil"/>
              <w:bottom w:val="single" w:sz="4" w:space="0" w:color="auto"/>
              <w:right w:val="single" w:sz="4" w:space="0" w:color="auto"/>
            </w:tcBorders>
            <w:shd w:val="clear" w:color="auto" w:fill="auto"/>
            <w:vAlign w:val="center"/>
            <w:hideMark/>
          </w:tcPr>
          <w:p w14:paraId="222B8CCD" w14:textId="77777777" w:rsidR="001342AE" w:rsidRPr="0053555E" w:rsidRDefault="001342AE" w:rsidP="001342AE">
            <w:pPr>
              <w:tabs>
                <w:tab w:val="left" w:pos="9356"/>
              </w:tabs>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I. stupeň</w:t>
            </w:r>
          </w:p>
        </w:tc>
        <w:tc>
          <w:tcPr>
            <w:tcW w:w="1418" w:type="dxa"/>
            <w:tcBorders>
              <w:top w:val="nil"/>
              <w:left w:val="nil"/>
              <w:bottom w:val="single" w:sz="4" w:space="0" w:color="auto"/>
              <w:right w:val="single" w:sz="4" w:space="0" w:color="auto"/>
            </w:tcBorders>
            <w:shd w:val="clear" w:color="auto" w:fill="auto"/>
            <w:hideMark/>
          </w:tcPr>
          <w:p w14:paraId="7BC55655" w14:textId="215E3C3A" w:rsidR="001342AE" w:rsidRPr="0053555E" w:rsidRDefault="001342AE" w:rsidP="001342AE">
            <w:pPr>
              <w:jc w:val="center"/>
              <w:rPr>
                <w:rFonts w:asciiTheme="majorHAnsi" w:hAnsiTheme="majorHAnsi" w:cstheme="majorHAnsi"/>
                <w:sz w:val="22"/>
                <w:szCs w:val="22"/>
              </w:rPr>
            </w:pPr>
            <w:r w:rsidRPr="0053555E">
              <w:rPr>
                <w:rFonts w:cs="Calibri"/>
                <w:sz w:val="22"/>
                <w:szCs w:val="20"/>
              </w:rPr>
              <w:t>13</w:t>
            </w:r>
          </w:p>
        </w:tc>
        <w:tc>
          <w:tcPr>
            <w:tcW w:w="1842" w:type="dxa"/>
            <w:tcBorders>
              <w:top w:val="nil"/>
              <w:left w:val="nil"/>
              <w:bottom w:val="single" w:sz="4" w:space="0" w:color="auto"/>
              <w:right w:val="single" w:sz="4" w:space="0" w:color="auto"/>
            </w:tcBorders>
            <w:shd w:val="clear" w:color="auto" w:fill="auto"/>
            <w:noWrap/>
            <w:hideMark/>
          </w:tcPr>
          <w:p w14:paraId="5C8DEE1E" w14:textId="484C0282" w:rsidR="001342AE" w:rsidRPr="0053555E" w:rsidRDefault="001342AE" w:rsidP="001342AE">
            <w:pPr>
              <w:jc w:val="center"/>
              <w:rPr>
                <w:rFonts w:asciiTheme="majorHAnsi" w:hAnsiTheme="majorHAnsi" w:cstheme="majorHAnsi"/>
                <w:sz w:val="22"/>
                <w:szCs w:val="22"/>
              </w:rPr>
            </w:pPr>
            <w:r w:rsidRPr="0053555E">
              <w:rPr>
                <w:rFonts w:cs="Calibri"/>
                <w:sz w:val="22"/>
                <w:szCs w:val="20"/>
              </w:rPr>
              <w:t>1 950</w:t>
            </w:r>
          </w:p>
        </w:tc>
      </w:tr>
      <w:tr w:rsidR="001342AE" w:rsidRPr="0053555E" w14:paraId="6622E5E3" w14:textId="77777777" w:rsidTr="003E0BF9">
        <w:trPr>
          <w:trHeight w:val="20"/>
        </w:trPr>
        <w:tc>
          <w:tcPr>
            <w:tcW w:w="1504" w:type="dxa"/>
            <w:vMerge/>
            <w:tcBorders>
              <w:left w:val="single" w:sz="4" w:space="0" w:color="auto"/>
              <w:right w:val="single" w:sz="4" w:space="0" w:color="auto"/>
            </w:tcBorders>
            <w:shd w:val="clear" w:color="auto" w:fill="auto"/>
            <w:vAlign w:val="center"/>
            <w:hideMark/>
          </w:tcPr>
          <w:p w14:paraId="0BC86206" w14:textId="77777777" w:rsidR="001342AE" w:rsidRPr="0053555E" w:rsidRDefault="001342AE" w:rsidP="001342AE">
            <w:pPr>
              <w:tabs>
                <w:tab w:val="left" w:pos="9356"/>
              </w:tabs>
              <w:rPr>
                <w:rFonts w:asciiTheme="majorHAnsi" w:eastAsia="Times New Roman" w:hAnsiTheme="majorHAnsi" w:cstheme="majorHAnsi"/>
                <w:b/>
                <w:bCs/>
                <w:sz w:val="22"/>
                <w:szCs w:val="22"/>
                <w:lang w:eastAsia="sk-SK"/>
              </w:rPr>
            </w:pPr>
          </w:p>
        </w:tc>
        <w:tc>
          <w:tcPr>
            <w:tcW w:w="1473" w:type="dxa"/>
            <w:vMerge/>
            <w:tcBorders>
              <w:top w:val="nil"/>
              <w:left w:val="single" w:sz="4" w:space="0" w:color="auto"/>
              <w:bottom w:val="single" w:sz="4" w:space="0" w:color="000000"/>
              <w:right w:val="single" w:sz="4" w:space="0" w:color="auto"/>
            </w:tcBorders>
            <w:vAlign w:val="center"/>
            <w:hideMark/>
          </w:tcPr>
          <w:p w14:paraId="21652BB7" w14:textId="77777777" w:rsidR="001342AE" w:rsidRPr="0053555E" w:rsidRDefault="001342AE" w:rsidP="001342AE">
            <w:pPr>
              <w:tabs>
                <w:tab w:val="left" w:pos="9356"/>
              </w:tabs>
              <w:rPr>
                <w:rFonts w:asciiTheme="majorHAnsi" w:eastAsia="Times New Roman" w:hAnsiTheme="majorHAnsi" w:cstheme="majorHAnsi"/>
                <w:b/>
                <w:bCs/>
                <w:sz w:val="20"/>
                <w:szCs w:val="20"/>
                <w:lang w:eastAsia="sk-SK"/>
              </w:rPr>
            </w:pPr>
          </w:p>
        </w:tc>
        <w:tc>
          <w:tcPr>
            <w:tcW w:w="2835" w:type="dxa"/>
            <w:tcBorders>
              <w:top w:val="nil"/>
              <w:left w:val="nil"/>
              <w:bottom w:val="single" w:sz="4" w:space="0" w:color="auto"/>
              <w:right w:val="single" w:sz="4" w:space="0" w:color="auto"/>
            </w:tcBorders>
            <w:shd w:val="clear" w:color="auto" w:fill="auto"/>
            <w:vAlign w:val="center"/>
            <w:hideMark/>
          </w:tcPr>
          <w:p w14:paraId="414AD369" w14:textId="77777777" w:rsidR="001342AE" w:rsidRPr="0053555E" w:rsidRDefault="001342AE" w:rsidP="001342AE">
            <w:pPr>
              <w:tabs>
                <w:tab w:val="left" w:pos="9356"/>
              </w:tabs>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II. stupeň</w:t>
            </w:r>
          </w:p>
        </w:tc>
        <w:tc>
          <w:tcPr>
            <w:tcW w:w="1418" w:type="dxa"/>
            <w:tcBorders>
              <w:top w:val="nil"/>
              <w:left w:val="nil"/>
              <w:bottom w:val="single" w:sz="4" w:space="0" w:color="auto"/>
              <w:right w:val="single" w:sz="4" w:space="0" w:color="auto"/>
            </w:tcBorders>
            <w:shd w:val="clear" w:color="auto" w:fill="auto"/>
            <w:hideMark/>
          </w:tcPr>
          <w:p w14:paraId="6E9D4B5E" w14:textId="3C63E5EE" w:rsidR="001342AE" w:rsidRPr="0053555E" w:rsidRDefault="001342AE" w:rsidP="001342AE">
            <w:pPr>
              <w:jc w:val="center"/>
              <w:rPr>
                <w:rFonts w:asciiTheme="majorHAnsi" w:hAnsiTheme="majorHAnsi" w:cstheme="majorHAnsi"/>
                <w:sz w:val="22"/>
                <w:szCs w:val="22"/>
              </w:rPr>
            </w:pPr>
            <w:r w:rsidRPr="0053555E">
              <w:rPr>
                <w:rFonts w:cs="Calibri"/>
                <w:sz w:val="22"/>
                <w:szCs w:val="20"/>
              </w:rPr>
              <w:t>25</w:t>
            </w:r>
          </w:p>
        </w:tc>
        <w:tc>
          <w:tcPr>
            <w:tcW w:w="1842" w:type="dxa"/>
            <w:tcBorders>
              <w:top w:val="nil"/>
              <w:left w:val="nil"/>
              <w:bottom w:val="single" w:sz="4" w:space="0" w:color="auto"/>
              <w:right w:val="single" w:sz="4" w:space="0" w:color="auto"/>
            </w:tcBorders>
            <w:shd w:val="clear" w:color="auto" w:fill="auto"/>
            <w:noWrap/>
            <w:hideMark/>
          </w:tcPr>
          <w:p w14:paraId="23614864" w14:textId="4A869DED" w:rsidR="001342AE" w:rsidRPr="0053555E" w:rsidRDefault="001342AE" w:rsidP="001342AE">
            <w:pPr>
              <w:jc w:val="center"/>
              <w:rPr>
                <w:rFonts w:asciiTheme="majorHAnsi" w:hAnsiTheme="majorHAnsi" w:cstheme="majorHAnsi"/>
                <w:sz w:val="22"/>
                <w:szCs w:val="22"/>
              </w:rPr>
            </w:pPr>
            <w:r w:rsidRPr="0053555E">
              <w:rPr>
                <w:rFonts w:cs="Calibri"/>
                <w:sz w:val="22"/>
                <w:szCs w:val="20"/>
              </w:rPr>
              <w:t>6 250</w:t>
            </w:r>
          </w:p>
        </w:tc>
      </w:tr>
      <w:tr w:rsidR="001342AE" w:rsidRPr="0053555E" w14:paraId="1DD4A6C5" w14:textId="77777777" w:rsidTr="003E0BF9">
        <w:trPr>
          <w:trHeight w:val="20"/>
        </w:trPr>
        <w:tc>
          <w:tcPr>
            <w:tcW w:w="1504" w:type="dxa"/>
            <w:vMerge/>
            <w:tcBorders>
              <w:left w:val="single" w:sz="4" w:space="0" w:color="auto"/>
              <w:right w:val="single" w:sz="4" w:space="0" w:color="auto"/>
            </w:tcBorders>
            <w:shd w:val="clear" w:color="auto" w:fill="auto"/>
            <w:vAlign w:val="center"/>
            <w:hideMark/>
          </w:tcPr>
          <w:p w14:paraId="63DA3331" w14:textId="77777777" w:rsidR="001342AE" w:rsidRPr="0053555E" w:rsidRDefault="001342AE" w:rsidP="001342AE">
            <w:pPr>
              <w:tabs>
                <w:tab w:val="left" w:pos="9356"/>
              </w:tabs>
              <w:rPr>
                <w:rFonts w:asciiTheme="majorHAnsi" w:eastAsia="Times New Roman" w:hAnsiTheme="majorHAnsi" w:cstheme="majorHAnsi"/>
                <w:b/>
                <w:bCs/>
                <w:sz w:val="22"/>
                <w:szCs w:val="22"/>
                <w:lang w:eastAsia="sk-SK"/>
              </w:rPr>
            </w:pPr>
          </w:p>
        </w:tc>
        <w:tc>
          <w:tcPr>
            <w:tcW w:w="1473" w:type="dxa"/>
            <w:vMerge/>
            <w:tcBorders>
              <w:top w:val="nil"/>
              <w:left w:val="single" w:sz="4" w:space="0" w:color="auto"/>
              <w:bottom w:val="single" w:sz="4" w:space="0" w:color="000000"/>
              <w:right w:val="single" w:sz="4" w:space="0" w:color="auto"/>
            </w:tcBorders>
            <w:vAlign w:val="center"/>
            <w:hideMark/>
          </w:tcPr>
          <w:p w14:paraId="44EAD710" w14:textId="77777777" w:rsidR="001342AE" w:rsidRPr="0053555E" w:rsidRDefault="001342AE" w:rsidP="001342AE">
            <w:pPr>
              <w:tabs>
                <w:tab w:val="left" w:pos="9356"/>
              </w:tabs>
              <w:rPr>
                <w:rFonts w:asciiTheme="majorHAnsi" w:eastAsia="Times New Roman" w:hAnsiTheme="majorHAnsi" w:cstheme="majorHAnsi"/>
                <w:b/>
                <w:bCs/>
                <w:sz w:val="20"/>
                <w:szCs w:val="20"/>
                <w:lang w:eastAsia="sk-SK"/>
              </w:rPr>
            </w:pPr>
          </w:p>
        </w:tc>
        <w:tc>
          <w:tcPr>
            <w:tcW w:w="2835" w:type="dxa"/>
            <w:tcBorders>
              <w:top w:val="nil"/>
              <w:left w:val="nil"/>
              <w:bottom w:val="single" w:sz="4" w:space="0" w:color="auto"/>
              <w:right w:val="single" w:sz="4" w:space="0" w:color="auto"/>
            </w:tcBorders>
            <w:shd w:val="clear" w:color="auto" w:fill="auto"/>
            <w:vAlign w:val="center"/>
            <w:hideMark/>
          </w:tcPr>
          <w:p w14:paraId="004948BF" w14:textId="77777777" w:rsidR="001342AE" w:rsidRPr="0053555E" w:rsidRDefault="001342AE" w:rsidP="001342AE">
            <w:pPr>
              <w:tabs>
                <w:tab w:val="left" w:pos="9356"/>
              </w:tabs>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III. stupeň</w:t>
            </w:r>
          </w:p>
        </w:tc>
        <w:tc>
          <w:tcPr>
            <w:tcW w:w="1418" w:type="dxa"/>
            <w:tcBorders>
              <w:top w:val="nil"/>
              <w:left w:val="nil"/>
              <w:bottom w:val="single" w:sz="4" w:space="0" w:color="auto"/>
              <w:right w:val="single" w:sz="4" w:space="0" w:color="auto"/>
            </w:tcBorders>
            <w:shd w:val="clear" w:color="auto" w:fill="auto"/>
            <w:hideMark/>
          </w:tcPr>
          <w:p w14:paraId="16788940" w14:textId="64102BAB" w:rsidR="001342AE" w:rsidRPr="0053555E" w:rsidRDefault="001342AE" w:rsidP="001342AE">
            <w:pPr>
              <w:jc w:val="center"/>
              <w:rPr>
                <w:rFonts w:asciiTheme="majorHAnsi" w:hAnsiTheme="majorHAnsi" w:cstheme="majorHAnsi"/>
                <w:sz w:val="22"/>
                <w:szCs w:val="22"/>
              </w:rPr>
            </w:pPr>
            <w:r w:rsidRPr="0053555E">
              <w:rPr>
                <w:rFonts w:cs="Calibri"/>
                <w:sz w:val="22"/>
                <w:szCs w:val="20"/>
              </w:rPr>
              <w:t>9</w:t>
            </w:r>
          </w:p>
        </w:tc>
        <w:tc>
          <w:tcPr>
            <w:tcW w:w="1842" w:type="dxa"/>
            <w:tcBorders>
              <w:top w:val="nil"/>
              <w:left w:val="nil"/>
              <w:bottom w:val="single" w:sz="4" w:space="0" w:color="auto"/>
              <w:right w:val="single" w:sz="4" w:space="0" w:color="auto"/>
            </w:tcBorders>
            <w:shd w:val="clear" w:color="auto" w:fill="auto"/>
            <w:noWrap/>
            <w:hideMark/>
          </w:tcPr>
          <w:p w14:paraId="29362921" w14:textId="26C0E0C8" w:rsidR="001342AE" w:rsidRPr="0053555E" w:rsidRDefault="001342AE" w:rsidP="001342AE">
            <w:pPr>
              <w:jc w:val="center"/>
              <w:rPr>
                <w:rFonts w:asciiTheme="majorHAnsi" w:hAnsiTheme="majorHAnsi" w:cstheme="majorHAnsi"/>
                <w:sz w:val="22"/>
                <w:szCs w:val="22"/>
              </w:rPr>
            </w:pPr>
            <w:r w:rsidRPr="0053555E">
              <w:rPr>
                <w:rFonts w:cs="Calibri"/>
                <w:sz w:val="22"/>
                <w:szCs w:val="20"/>
              </w:rPr>
              <w:t>3 600</w:t>
            </w:r>
          </w:p>
        </w:tc>
      </w:tr>
      <w:tr w:rsidR="001342AE" w:rsidRPr="0053555E" w14:paraId="2A888826" w14:textId="77777777" w:rsidTr="002D40C6">
        <w:trPr>
          <w:trHeight w:val="20"/>
        </w:trPr>
        <w:tc>
          <w:tcPr>
            <w:tcW w:w="1504" w:type="dxa"/>
            <w:vMerge/>
            <w:tcBorders>
              <w:left w:val="single" w:sz="4" w:space="0" w:color="auto"/>
              <w:right w:val="single" w:sz="4" w:space="0" w:color="auto"/>
            </w:tcBorders>
            <w:shd w:val="clear" w:color="auto" w:fill="auto"/>
            <w:vAlign w:val="center"/>
            <w:hideMark/>
          </w:tcPr>
          <w:p w14:paraId="020EA013" w14:textId="77777777" w:rsidR="001342AE" w:rsidRPr="0053555E" w:rsidRDefault="001342AE" w:rsidP="001342AE">
            <w:pPr>
              <w:tabs>
                <w:tab w:val="left" w:pos="9356"/>
              </w:tabs>
              <w:rPr>
                <w:rFonts w:asciiTheme="majorHAnsi" w:eastAsia="Times New Roman" w:hAnsiTheme="majorHAnsi" w:cstheme="majorHAnsi"/>
                <w:b/>
                <w:bCs/>
                <w:sz w:val="22"/>
                <w:szCs w:val="22"/>
                <w:lang w:eastAsia="sk-SK"/>
              </w:rPr>
            </w:pPr>
          </w:p>
        </w:tc>
        <w:tc>
          <w:tcPr>
            <w:tcW w:w="1473" w:type="dxa"/>
            <w:tcBorders>
              <w:top w:val="nil"/>
              <w:left w:val="nil"/>
              <w:bottom w:val="single" w:sz="4" w:space="0" w:color="auto"/>
              <w:right w:val="nil"/>
            </w:tcBorders>
            <w:shd w:val="clear" w:color="auto" w:fill="auto"/>
            <w:vAlign w:val="center"/>
            <w:hideMark/>
          </w:tcPr>
          <w:p w14:paraId="061F977A" w14:textId="77777777" w:rsidR="001342AE" w:rsidRPr="0053555E" w:rsidRDefault="001342AE" w:rsidP="001342AE">
            <w:pPr>
              <w:tabs>
                <w:tab w:val="left" w:pos="9356"/>
              </w:tabs>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štipendium oceneným "Študent roka"</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0502DB00" w14:textId="77777777" w:rsidR="001342AE" w:rsidRPr="0053555E" w:rsidRDefault="001342AE" w:rsidP="001342AE">
            <w:pPr>
              <w:rPr>
                <w:rFonts w:asciiTheme="majorHAnsi" w:eastAsia="Times New Roman" w:hAnsiTheme="majorHAnsi" w:cstheme="majorHAnsi"/>
                <w:sz w:val="20"/>
                <w:szCs w:val="20"/>
                <w:lang w:eastAsia="sk-SK"/>
              </w:rPr>
            </w:pPr>
            <w:r w:rsidRPr="0053555E">
              <w:rPr>
                <w:rFonts w:asciiTheme="majorHAnsi" w:hAnsiTheme="majorHAnsi" w:cstheme="majorHAnsi"/>
                <w:sz w:val="20"/>
                <w:szCs w:val="20"/>
              </w:rPr>
              <w:t>mimoriadna činnosť pri rozvoji alebo propagácii STU, humánny čin roka, najlepšie absolvovaná akademická mobilita študenta</w:t>
            </w:r>
          </w:p>
        </w:tc>
        <w:tc>
          <w:tcPr>
            <w:tcW w:w="1418" w:type="dxa"/>
            <w:tcBorders>
              <w:top w:val="nil"/>
              <w:left w:val="nil"/>
              <w:bottom w:val="single" w:sz="4" w:space="0" w:color="auto"/>
              <w:right w:val="single" w:sz="4" w:space="0" w:color="auto"/>
            </w:tcBorders>
            <w:shd w:val="clear" w:color="auto" w:fill="auto"/>
            <w:noWrap/>
            <w:hideMark/>
          </w:tcPr>
          <w:p w14:paraId="59983188" w14:textId="658DB4A5" w:rsidR="001342AE" w:rsidRPr="0053555E" w:rsidRDefault="001342AE" w:rsidP="001342AE">
            <w:pPr>
              <w:jc w:val="center"/>
              <w:rPr>
                <w:rFonts w:asciiTheme="majorHAnsi" w:hAnsiTheme="majorHAnsi" w:cstheme="majorHAnsi"/>
                <w:sz w:val="22"/>
                <w:szCs w:val="22"/>
              </w:rPr>
            </w:pPr>
            <w:r w:rsidRPr="0053555E">
              <w:rPr>
                <w:rFonts w:cs="Calibri"/>
                <w:sz w:val="22"/>
                <w:szCs w:val="20"/>
              </w:rPr>
              <w:t>9</w:t>
            </w:r>
          </w:p>
        </w:tc>
        <w:tc>
          <w:tcPr>
            <w:tcW w:w="1842" w:type="dxa"/>
            <w:tcBorders>
              <w:top w:val="nil"/>
              <w:left w:val="nil"/>
              <w:bottom w:val="single" w:sz="4" w:space="0" w:color="auto"/>
              <w:right w:val="single" w:sz="4" w:space="0" w:color="auto"/>
            </w:tcBorders>
            <w:shd w:val="clear" w:color="auto" w:fill="auto"/>
            <w:noWrap/>
            <w:hideMark/>
          </w:tcPr>
          <w:p w14:paraId="3EB1153D" w14:textId="6AFB6FDE" w:rsidR="001342AE" w:rsidRPr="0053555E" w:rsidRDefault="001342AE" w:rsidP="001342AE">
            <w:pPr>
              <w:jc w:val="center"/>
              <w:rPr>
                <w:rFonts w:asciiTheme="majorHAnsi" w:hAnsiTheme="majorHAnsi" w:cstheme="majorHAnsi"/>
                <w:sz w:val="22"/>
                <w:szCs w:val="22"/>
              </w:rPr>
            </w:pPr>
            <w:r w:rsidRPr="0053555E">
              <w:rPr>
                <w:rFonts w:cs="Calibri"/>
                <w:sz w:val="22"/>
                <w:szCs w:val="20"/>
              </w:rPr>
              <w:t>3 422</w:t>
            </w:r>
          </w:p>
        </w:tc>
      </w:tr>
      <w:tr w:rsidR="001342AE" w:rsidRPr="0053555E" w14:paraId="62C5718A" w14:textId="77777777" w:rsidTr="003E0BF9">
        <w:trPr>
          <w:trHeight w:val="20"/>
        </w:trPr>
        <w:tc>
          <w:tcPr>
            <w:tcW w:w="1504" w:type="dxa"/>
            <w:vMerge/>
            <w:tcBorders>
              <w:left w:val="single" w:sz="4" w:space="0" w:color="auto"/>
              <w:right w:val="single" w:sz="4" w:space="0" w:color="auto"/>
            </w:tcBorders>
            <w:shd w:val="clear" w:color="auto" w:fill="auto"/>
            <w:vAlign w:val="center"/>
            <w:hideMark/>
          </w:tcPr>
          <w:p w14:paraId="52DBDC1E" w14:textId="77777777" w:rsidR="001342AE" w:rsidRPr="0053555E" w:rsidRDefault="001342AE" w:rsidP="001342AE">
            <w:pPr>
              <w:tabs>
                <w:tab w:val="left" w:pos="9356"/>
              </w:tabs>
              <w:rPr>
                <w:rFonts w:asciiTheme="majorHAnsi" w:eastAsia="Times New Roman" w:hAnsiTheme="majorHAnsi" w:cstheme="majorHAnsi"/>
                <w:b/>
                <w:bCs/>
                <w:sz w:val="22"/>
                <w:szCs w:val="22"/>
                <w:lang w:eastAsia="sk-SK"/>
              </w:rPr>
            </w:pPr>
          </w:p>
        </w:tc>
        <w:tc>
          <w:tcPr>
            <w:tcW w:w="4308" w:type="dxa"/>
            <w:gridSpan w:val="2"/>
            <w:tcBorders>
              <w:top w:val="single" w:sz="4" w:space="0" w:color="auto"/>
              <w:left w:val="nil"/>
              <w:bottom w:val="single" w:sz="4" w:space="0" w:color="auto"/>
              <w:right w:val="single" w:sz="4" w:space="0" w:color="000000"/>
            </w:tcBorders>
            <w:shd w:val="clear" w:color="auto" w:fill="auto"/>
            <w:hideMark/>
          </w:tcPr>
          <w:p w14:paraId="57983B38" w14:textId="1AB8A6E5" w:rsidR="001342AE" w:rsidRPr="0053555E" w:rsidRDefault="001342AE" w:rsidP="001342AE">
            <w:pPr>
              <w:rPr>
                <w:rFonts w:asciiTheme="majorHAnsi" w:hAnsiTheme="majorHAnsi" w:cstheme="majorHAnsi"/>
                <w:b/>
                <w:bCs/>
                <w:sz w:val="20"/>
                <w:szCs w:val="20"/>
              </w:rPr>
            </w:pPr>
            <w:r w:rsidRPr="0053555E">
              <w:rPr>
                <w:rFonts w:asciiTheme="majorHAnsi" w:hAnsiTheme="majorHAnsi" w:cstheme="majorHAnsi"/>
                <w:b/>
                <w:bCs/>
                <w:sz w:val="20"/>
                <w:szCs w:val="20"/>
              </w:rPr>
              <w:t xml:space="preserve">za aktívny podiel na rozvoji, propagácii alebo reprezentácii STU </w:t>
            </w:r>
            <w:r w:rsidRPr="0053555E">
              <w:rPr>
                <w:rFonts w:asciiTheme="majorHAnsi" w:hAnsiTheme="majorHAnsi" w:cstheme="majorHAnsi"/>
                <w:bCs/>
                <w:sz w:val="20"/>
                <w:szCs w:val="20"/>
              </w:rPr>
              <w:t>(STUBA GREEN TEAM</w:t>
            </w:r>
            <w:r w:rsidR="002E3A9A">
              <w:rPr>
                <w:rFonts w:asciiTheme="majorHAnsi" w:hAnsiTheme="majorHAnsi" w:cstheme="majorHAnsi"/>
                <w:bCs/>
                <w:sz w:val="20"/>
                <w:szCs w:val="20"/>
              </w:rPr>
              <w:t>, iné</w:t>
            </w:r>
            <w:r w:rsidRPr="0053555E">
              <w:rPr>
                <w:rFonts w:asciiTheme="majorHAnsi" w:hAnsiTheme="majorHAnsi" w:cstheme="majorHAnsi"/>
                <w:bCs/>
                <w:sz w:val="20"/>
                <w:szCs w:val="20"/>
              </w:rPr>
              <w:t>)</w:t>
            </w:r>
          </w:p>
        </w:tc>
        <w:tc>
          <w:tcPr>
            <w:tcW w:w="1418" w:type="dxa"/>
            <w:tcBorders>
              <w:top w:val="nil"/>
              <w:left w:val="nil"/>
              <w:bottom w:val="single" w:sz="4" w:space="0" w:color="auto"/>
              <w:right w:val="single" w:sz="4" w:space="0" w:color="auto"/>
            </w:tcBorders>
            <w:shd w:val="clear" w:color="auto" w:fill="auto"/>
            <w:noWrap/>
            <w:vAlign w:val="center"/>
            <w:hideMark/>
          </w:tcPr>
          <w:p w14:paraId="0624C8C3" w14:textId="0863DAD9" w:rsidR="001342AE" w:rsidRPr="0053555E" w:rsidRDefault="001342AE" w:rsidP="001342AE">
            <w:pPr>
              <w:jc w:val="center"/>
              <w:rPr>
                <w:rFonts w:asciiTheme="majorHAnsi" w:hAnsiTheme="majorHAnsi" w:cstheme="majorHAnsi"/>
                <w:sz w:val="22"/>
                <w:szCs w:val="22"/>
              </w:rPr>
            </w:pPr>
            <w:r w:rsidRPr="0053555E">
              <w:rPr>
                <w:rFonts w:cs="Calibri"/>
                <w:sz w:val="22"/>
                <w:szCs w:val="20"/>
              </w:rPr>
              <w:t>21</w:t>
            </w:r>
          </w:p>
        </w:tc>
        <w:tc>
          <w:tcPr>
            <w:tcW w:w="1842" w:type="dxa"/>
            <w:tcBorders>
              <w:top w:val="nil"/>
              <w:left w:val="nil"/>
              <w:bottom w:val="single" w:sz="4" w:space="0" w:color="auto"/>
              <w:right w:val="single" w:sz="4" w:space="0" w:color="auto"/>
            </w:tcBorders>
            <w:shd w:val="clear" w:color="auto" w:fill="auto"/>
            <w:noWrap/>
            <w:vAlign w:val="center"/>
            <w:hideMark/>
          </w:tcPr>
          <w:p w14:paraId="4C368627" w14:textId="1CF8FF58" w:rsidR="001342AE" w:rsidRPr="0053555E" w:rsidRDefault="001342AE" w:rsidP="001342AE">
            <w:pPr>
              <w:jc w:val="center"/>
              <w:rPr>
                <w:rFonts w:asciiTheme="majorHAnsi" w:hAnsiTheme="majorHAnsi" w:cstheme="majorHAnsi"/>
                <w:sz w:val="22"/>
                <w:szCs w:val="22"/>
              </w:rPr>
            </w:pPr>
            <w:r w:rsidRPr="0053555E">
              <w:rPr>
                <w:rFonts w:cs="Calibri"/>
                <w:sz w:val="22"/>
                <w:szCs w:val="20"/>
              </w:rPr>
              <w:t>1 550</w:t>
            </w:r>
          </w:p>
        </w:tc>
      </w:tr>
      <w:tr w:rsidR="001342AE" w:rsidRPr="0053555E" w14:paraId="316C76F7" w14:textId="77777777" w:rsidTr="003E0BF9">
        <w:trPr>
          <w:trHeight w:val="20"/>
        </w:trPr>
        <w:tc>
          <w:tcPr>
            <w:tcW w:w="1504" w:type="dxa"/>
            <w:vMerge/>
            <w:tcBorders>
              <w:left w:val="single" w:sz="4" w:space="0" w:color="auto"/>
              <w:bottom w:val="nil"/>
              <w:right w:val="single" w:sz="4" w:space="0" w:color="auto"/>
            </w:tcBorders>
            <w:shd w:val="clear" w:color="auto" w:fill="auto"/>
            <w:vAlign w:val="center"/>
            <w:hideMark/>
          </w:tcPr>
          <w:p w14:paraId="4BA1A023" w14:textId="77777777" w:rsidR="001342AE" w:rsidRPr="0053555E" w:rsidRDefault="001342AE" w:rsidP="001342AE">
            <w:pPr>
              <w:tabs>
                <w:tab w:val="left" w:pos="9356"/>
              </w:tabs>
              <w:rPr>
                <w:rFonts w:asciiTheme="majorHAnsi" w:eastAsia="Times New Roman" w:hAnsiTheme="majorHAnsi" w:cstheme="majorHAnsi"/>
                <w:b/>
                <w:bCs/>
                <w:sz w:val="22"/>
                <w:szCs w:val="22"/>
                <w:lang w:eastAsia="sk-SK"/>
              </w:rPr>
            </w:pPr>
          </w:p>
        </w:tc>
        <w:tc>
          <w:tcPr>
            <w:tcW w:w="4308" w:type="dxa"/>
            <w:gridSpan w:val="2"/>
            <w:tcBorders>
              <w:top w:val="single" w:sz="4" w:space="0" w:color="auto"/>
              <w:left w:val="nil"/>
              <w:bottom w:val="single" w:sz="4" w:space="0" w:color="auto"/>
              <w:right w:val="single" w:sz="4" w:space="0" w:color="auto"/>
            </w:tcBorders>
            <w:shd w:val="clear" w:color="auto" w:fill="EEECE1" w:themeFill="background2"/>
            <w:vAlign w:val="bottom"/>
            <w:hideMark/>
          </w:tcPr>
          <w:p w14:paraId="128932DD" w14:textId="77777777" w:rsidR="001342AE" w:rsidRPr="0053555E" w:rsidRDefault="001342AE" w:rsidP="001342AE">
            <w:pPr>
              <w:tabs>
                <w:tab w:val="left" w:pos="9356"/>
              </w:tabs>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spolu z vlastných zdrojov</w:t>
            </w:r>
          </w:p>
        </w:tc>
        <w:tc>
          <w:tcPr>
            <w:tcW w:w="1418" w:type="dxa"/>
            <w:tcBorders>
              <w:top w:val="nil"/>
              <w:left w:val="nil"/>
              <w:bottom w:val="single" w:sz="4" w:space="0" w:color="auto"/>
              <w:right w:val="single" w:sz="4" w:space="0" w:color="auto"/>
            </w:tcBorders>
            <w:shd w:val="clear" w:color="auto" w:fill="EEECE1" w:themeFill="background2"/>
            <w:noWrap/>
            <w:hideMark/>
          </w:tcPr>
          <w:p w14:paraId="3470FB16" w14:textId="0AAC3ABF" w:rsidR="001342AE" w:rsidRPr="0053555E" w:rsidRDefault="001342AE" w:rsidP="001342AE">
            <w:pPr>
              <w:jc w:val="center"/>
              <w:rPr>
                <w:rFonts w:asciiTheme="majorHAnsi" w:hAnsiTheme="majorHAnsi" w:cstheme="majorHAnsi"/>
                <w:b/>
                <w:bCs/>
                <w:sz w:val="22"/>
                <w:szCs w:val="22"/>
              </w:rPr>
            </w:pPr>
            <w:r w:rsidRPr="0053555E">
              <w:rPr>
                <w:rFonts w:cs="Calibri"/>
                <w:b/>
                <w:bCs/>
                <w:sz w:val="22"/>
                <w:szCs w:val="20"/>
              </w:rPr>
              <w:t>77</w:t>
            </w:r>
          </w:p>
        </w:tc>
        <w:tc>
          <w:tcPr>
            <w:tcW w:w="1842" w:type="dxa"/>
            <w:tcBorders>
              <w:top w:val="nil"/>
              <w:left w:val="nil"/>
              <w:bottom w:val="single" w:sz="4" w:space="0" w:color="auto"/>
              <w:right w:val="single" w:sz="4" w:space="0" w:color="auto"/>
            </w:tcBorders>
            <w:shd w:val="clear" w:color="auto" w:fill="EEECE1" w:themeFill="background2"/>
            <w:noWrap/>
            <w:hideMark/>
          </w:tcPr>
          <w:p w14:paraId="6D5D5AAC" w14:textId="75B9F3D5" w:rsidR="001342AE" w:rsidRPr="0053555E" w:rsidRDefault="001342AE" w:rsidP="001342AE">
            <w:pPr>
              <w:jc w:val="center"/>
              <w:rPr>
                <w:rFonts w:cs="Calibri"/>
                <w:b/>
                <w:bCs/>
                <w:sz w:val="22"/>
                <w:szCs w:val="20"/>
              </w:rPr>
            </w:pPr>
            <w:r w:rsidRPr="0053555E">
              <w:rPr>
                <w:rFonts w:cs="Calibri"/>
                <w:b/>
                <w:bCs/>
                <w:sz w:val="22"/>
                <w:szCs w:val="20"/>
              </w:rPr>
              <w:t>16 772</w:t>
            </w:r>
          </w:p>
        </w:tc>
      </w:tr>
      <w:tr w:rsidR="001342AE" w:rsidRPr="0053555E" w14:paraId="2AAEBA8F" w14:textId="77777777" w:rsidTr="003E0BF9">
        <w:trPr>
          <w:trHeight w:val="20"/>
        </w:trPr>
        <w:tc>
          <w:tcPr>
            <w:tcW w:w="1504" w:type="dxa"/>
            <w:vMerge w:val="restart"/>
            <w:tcBorders>
              <w:top w:val="single" w:sz="4" w:space="0" w:color="auto"/>
              <w:left w:val="single" w:sz="4" w:space="0" w:color="auto"/>
              <w:right w:val="single" w:sz="4" w:space="0" w:color="auto"/>
            </w:tcBorders>
            <w:shd w:val="clear" w:color="auto" w:fill="auto"/>
            <w:vAlign w:val="center"/>
            <w:hideMark/>
          </w:tcPr>
          <w:p w14:paraId="291CAC96" w14:textId="77777777" w:rsidR="001342AE" w:rsidRPr="0053555E" w:rsidRDefault="001342AE" w:rsidP="001342AE">
            <w:pPr>
              <w:tabs>
                <w:tab w:val="left" w:pos="9356"/>
              </w:tabs>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motivačné štipendiá za mimoriadne výsledky</w:t>
            </w:r>
          </w:p>
          <w:p w14:paraId="4C15BB93" w14:textId="77777777" w:rsidR="001342AE" w:rsidRPr="0053555E" w:rsidRDefault="001342AE" w:rsidP="001342AE">
            <w:pPr>
              <w:tabs>
                <w:tab w:val="left" w:pos="9356"/>
              </w:tabs>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z prostriedkov štátneho rozpočtu</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78C9E25F" w14:textId="77777777" w:rsidR="001342AE" w:rsidRPr="0053555E" w:rsidRDefault="001342AE" w:rsidP="001342AE">
            <w:pPr>
              <w:tabs>
                <w:tab w:val="left" w:pos="9356"/>
              </w:tabs>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štipendium oceneným "Študent roka“</w:t>
            </w:r>
          </w:p>
        </w:tc>
        <w:tc>
          <w:tcPr>
            <w:tcW w:w="2835" w:type="dxa"/>
            <w:tcBorders>
              <w:top w:val="nil"/>
              <w:left w:val="nil"/>
              <w:bottom w:val="single" w:sz="4" w:space="0" w:color="auto"/>
              <w:right w:val="single" w:sz="4" w:space="0" w:color="auto"/>
            </w:tcBorders>
            <w:shd w:val="clear" w:color="auto" w:fill="auto"/>
            <w:vAlign w:val="bottom"/>
            <w:hideMark/>
          </w:tcPr>
          <w:p w14:paraId="73FE4CE5" w14:textId="77777777" w:rsidR="001342AE" w:rsidRPr="0053555E" w:rsidRDefault="001342AE" w:rsidP="001342AE">
            <w:pPr>
              <w:tabs>
                <w:tab w:val="left" w:pos="9356"/>
              </w:tabs>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najlepší študent I. stupňa štúdia</w:t>
            </w:r>
          </w:p>
        </w:tc>
        <w:tc>
          <w:tcPr>
            <w:tcW w:w="1418" w:type="dxa"/>
            <w:tcBorders>
              <w:top w:val="nil"/>
              <w:left w:val="nil"/>
              <w:bottom w:val="single" w:sz="4" w:space="0" w:color="auto"/>
              <w:right w:val="single" w:sz="4" w:space="0" w:color="auto"/>
            </w:tcBorders>
            <w:shd w:val="clear" w:color="auto" w:fill="auto"/>
          </w:tcPr>
          <w:p w14:paraId="7DD8ED17" w14:textId="342D5BD3" w:rsidR="001342AE" w:rsidRPr="0053555E" w:rsidRDefault="001342AE" w:rsidP="001342AE">
            <w:pPr>
              <w:jc w:val="center"/>
              <w:rPr>
                <w:rFonts w:asciiTheme="majorHAnsi" w:hAnsiTheme="majorHAnsi" w:cstheme="majorHAnsi"/>
                <w:sz w:val="22"/>
                <w:szCs w:val="22"/>
              </w:rPr>
            </w:pPr>
            <w:r w:rsidRPr="0053555E">
              <w:rPr>
                <w:rFonts w:cs="Calibri"/>
                <w:sz w:val="22"/>
                <w:szCs w:val="22"/>
              </w:rPr>
              <w:t>7</w:t>
            </w:r>
          </w:p>
        </w:tc>
        <w:tc>
          <w:tcPr>
            <w:tcW w:w="1842" w:type="dxa"/>
            <w:tcBorders>
              <w:top w:val="nil"/>
              <w:left w:val="nil"/>
              <w:bottom w:val="single" w:sz="4" w:space="0" w:color="auto"/>
              <w:right w:val="single" w:sz="4" w:space="0" w:color="auto"/>
            </w:tcBorders>
            <w:shd w:val="clear" w:color="auto" w:fill="auto"/>
            <w:noWrap/>
          </w:tcPr>
          <w:p w14:paraId="060C8DF6" w14:textId="0213D0F2" w:rsidR="001342AE" w:rsidRPr="0053555E" w:rsidRDefault="001342AE" w:rsidP="001342AE">
            <w:pPr>
              <w:jc w:val="center"/>
              <w:rPr>
                <w:rFonts w:asciiTheme="majorHAnsi" w:hAnsiTheme="majorHAnsi" w:cstheme="majorHAnsi"/>
                <w:sz w:val="22"/>
                <w:szCs w:val="22"/>
              </w:rPr>
            </w:pPr>
            <w:r w:rsidRPr="0053555E">
              <w:rPr>
                <w:rFonts w:cs="Calibri"/>
                <w:sz w:val="22"/>
                <w:szCs w:val="22"/>
              </w:rPr>
              <w:t>2 940</w:t>
            </w:r>
          </w:p>
        </w:tc>
      </w:tr>
      <w:tr w:rsidR="001342AE" w:rsidRPr="0053555E" w14:paraId="43931EFB" w14:textId="77777777" w:rsidTr="003E0BF9">
        <w:trPr>
          <w:trHeight w:val="20"/>
        </w:trPr>
        <w:tc>
          <w:tcPr>
            <w:tcW w:w="1504" w:type="dxa"/>
            <w:vMerge/>
            <w:tcBorders>
              <w:left w:val="single" w:sz="4" w:space="0" w:color="auto"/>
              <w:right w:val="single" w:sz="4" w:space="0" w:color="auto"/>
            </w:tcBorders>
            <w:shd w:val="clear" w:color="auto" w:fill="auto"/>
            <w:vAlign w:val="center"/>
            <w:hideMark/>
          </w:tcPr>
          <w:p w14:paraId="0C37CF87" w14:textId="77777777" w:rsidR="001342AE" w:rsidRPr="0053555E" w:rsidRDefault="001342AE" w:rsidP="001342AE">
            <w:pPr>
              <w:tabs>
                <w:tab w:val="left" w:pos="9356"/>
              </w:tabs>
              <w:rPr>
                <w:rFonts w:asciiTheme="majorHAnsi" w:eastAsia="Times New Roman" w:hAnsiTheme="majorHAnsi" w:cstheme="majorHAnsi"/>
                <w:b/>
                <w:bCs/>
                <w:sz w:val="22"/>
                <w:szCs w:val="22"/>
                <w:lang w:eastAsia="sk-SK"/>
              </w:rPr>
            </w:pPr>
          </w:p>
        </w:tc>
        <w:tc>
          <w:tcPr>
            <w:tcW w:w="1473" w:type="dxa"/>
            <w:vMerge/>
            <w:tcBorders>
              <w:top w:val="nil"/>
              <w:left w:val="single" w:sz="4" w:space="0" w:color="auto"/>
              <w:bottom w:val="single" w:sz="4" w:space="0" w:color="000000"/>
              <w:right w:val="single" w:sz="4" w:space="0" w:color="auto"/>
            </w:tcBorders>
            <w:vAlign w:val="center"/>
            <w:hideMark/>
          </w:tcPr>
          <w:p w14:paraId="54211DC5" w14:textId="77777777" w:rsidR="001342AE" w:rsidRPr="0053555E" w:rsidRDefault="001342AE" w:rsidP="001342AE">
            <w:pPr>
              <w:tabs>
                <w:tab w:val="left" w:pos="9356"/>
              </w:tabs>
              <w:rPr>
                <w:rFonts w:asciiTheme="majorHAnsi" w:eastAsia="Times New Roman" w:hAnsiTheme="majorHAnsi" w:cstheme="majorHAnsi"/>
                <w:b/>
                <w:bCs/>
                <w:sz w:val="20"/>
                <w:szCs w:val="20"/>
                <w:lang w:eastAsia="sk-SK"/>
              </w:rPr>
            </w:pPr>
          </w:p>
        </w:tc>
        <w:tc>
          <w:tcPr>
            <w:tcW w:w="2835" w:type="dxa"/>
            <w:tcBorders>
              <w:top w:val="nil"/>
              <w:left w:val="nil"/>
              <w:bottom w:val="single" w:sz="4" w:space="0" w:color="auto"/>
              <w:right w:val="single" w:sz="4" w:space="0" w:color="auto"/>
            </w:tcBorders>
            <w:shd w:val="clear" w:color="auto" w:fill="auto"/>
            <w:vAlign w:val="bottom"/>
            <w:hideMark/>
          </w:tcPr>
          <w:p w14:paraId="15800375" w14:textId="77777777" w:rsidR="001342AE" w:rsidRPr="0053555E" w:rsidRDefault="001342AE" w:rsidP="001342AE">
            <w:pPr>
              <w:tabs>
                <w:tab w:val="left" w:pos="9356"/>
              </w:tabs>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najlepší študent II. stupňa štúdia</w:t>
            </w:r>
          </w:p>
        </w:tc>
        <w:tc>
          <w:tcPr>
            <w:tcW w:w="1418" w:type="dxa"/>
            <w:tcBorders>
              <w:top w:val="nil"/>
              <w:left w:val="nil"/>
              <w:bottom w:val="single" w:sz="4" w:space="0" w:color="auto"/>
              <w:right w:val="single" w:sz="4" w:space="0" w:color="auto"/>
            </w:tcBorders>
            <w:shd w:val="clear" w:color="auto" w:fill="auto"/>
          </w:tcPr>
          <w:p w14:paraId="6B1160C4" w14:textId="65B8C689" w:rsidR="001342AE" w:rsidRPr="0053555E" w:rsidRDefault="001342AE" w:rsidP="001342AE">
            <w:pPr>
              <w:jc w:val="center"/>
              <w:rPr>
                <w:rFonts w:asciiTheme="majorHAnsi" w:hAnsiTheme="majorHAnsi" w:cstheme="majorHAnsi"/>
                <w:sz w:val="22"/>
                <w:szCs w:val="22"/>
              </w:rPr>
            </w:pPr>
            <w:r w:rsidRPr="0053555E">
              <w:rPr>
                <w:rFonts w:cs="Calibri"/>
                <w:sz w:val="22"/>
                <w:szCs w:val="22"/>
              </w:rPr>
              <w:t>8</w:t>
            </w:r>
          </w:p>
        </w:tc>
        <w:tc>
          <w:tcPr>
            <w:tcW w:w="1842" w:type="dxa"/>
            <w:tcBorders>
              <w:top w:val="nil"/>
              <w:left w:val="nil"/>
              <w:bottom w:val="single" w:sz="4" w:space="0" w:color="auto"/>
              <w:right w:val="single" w:sz="4" w:space="0" w:color="auto"/>
            </w:tcBorders>
            <w:shd w:val="clear" w:color="auto" w:fill="auto"/>
            <w:noWrap/>
          </w:tcPr>
          <w:p w14:paraId="14BA2110" w14:textId="71B2D229" w:rsidR="001342AE" w:rsidRPr="0053555E" w:rsidRDefault="001342AE" w:rsidP="001342AE">
            <w:pPr>
              <w:jc w:val="center"/>
              <w:rPr>
                <w:rFonts w:asciiTheme="majorHAnsi" w:hAnsiTheme="majorHAnsi" w:cstheme="majorHAnsi"/>
                <w:sz w:val="22"/>
                <w:szCs w:val="22"/>
              </w:rPr>
            </w:pPr>
            <w:r w:rsidRPr="0053555E">
              <w:rPr>
                <w:rFonts w:cs="Calibri"/>
                <w:sz w:val="22"/>
                <w:szCs w:val="22"/>
              </w:rPr>
              <w:t>3 360</w:t>
            </w:r>
          </w:p>
        </w:tc>
      </w:tr>
      <w:tr w:rsidR="001342AE" w:rsidRPr="0053555E" w14:paraId="1C71B798" w14:textId="77777777" w:rsidTr="003E0BF9">
        <w:trPr>
          <w:trHeight w:val="20"/>
        </w:trPr>
        <w:tc>
          <w:tcPr>
            <w:tcW w:w="1504" w:type="dxa"/>
            <w:vMerge/>
            <w:tcBorders>
              <w:left w:val="single" w:sz="4" w:space="0" w:color="auto"/>
              <w:right w:val="single" w:sz="4" w:space="0" w:color="auto"/>
            </w:tcBorders>
            <w:shd w:val="clear" w:color="auto" w:fill="auto"/>
            <w:vAlign w:val="center"/>
            <w:hideMark/>
          </w:tcPr>
          <w:p w14:paraId="7E18578D" w14:textId="77777777" w:rsidR="001342AE" w:rsidRPr="0053555E" w:rsidRDefault="001342AE" w:rsidP="001342AE">
            <w:pPr>
              <w:tabs>
                <w:tab w:val="left" w:pos="9356"/>
              </w:tabs>
              <w:rPr>
                <w:rFonts w:asciiTheme="majorHAnsi" w:eastAsia="Times New Roman" w:hAnsiTheme="majorHAnsi" w:cstheme="majorHAnsi"/>
                <w:b/>
                <w:bCs/>
                <w:sz w:val="22"/>
                <w:szCs w:val="22"/>
                <w:lang w:eastAsia="sk-SK"/>
              </w:rPr>
            </w:pPr>
          </w:p>
        </w:tc>
        <w:tc>
          <w:tcPr>
            <w:tcW w:w="1473" w:type="dxa"/>
            <w:vMerge/>
            <w:tcBorders>
              <w:top w:val="nil"/>
              <w:left w:val="single" w:sz="4" w:space="0" w:color="auto"/>
              <w:bottom w:val="single" w:sz="4" w:space="0" w:color="000000"/>
              <w:right w:val="single" w:sz="4" w:space="0" w:color="auto"/>
            </w:tcBorders>
            <w:vAlign w:val="center"/>
            <w:hideMark/>
          </w:tcPr>
          <w:p w14:paraId="06E3AA4C" w14:textId="77777777" w:rsidR="001342AE" w:rsidRPr="0053555E" w:rsidRDefault="001342AE" w:rsidP="001342AE">
            <w:pPr>
              <w:tabs>
                <w:tab w:val="left" w:pos="9356"/>
              </w:tabs>
              <w:rPr>
                <w:rFonts w:asciiTheme="majorHAnsi" w:eastAsia="Times New Roman" w:hAnsiTheme="majorHAnsi" w:cstheme="majorHAnsi"/>
                <w:b/>
                <w:bCs/>
                <w:sz w:val="20"/>
                <w:szCs w:val="20"/>
                <w:lang w:eastAsia="sk-SK"/>
              </w:rPr>
            </w:pPr>
          </w:p>
        </w:tc>
        <w:tc>
          <w:tcPr>
            <w:tcW w:w="2835" w:type="dxa"/>
            <w:tcBorders>
              <w:top w:val="nil"/>
              <w:left w:val="nil"/>
              <w:bottom w:val="single" w:sz="4" w:space="0" w:color="auto"/>
              <w:right w:val="single" w:sz="4" w:space="0" w:color="auto"/>
            </w:tcBorders>
            <w:shd w:val="clear" w:color="auto" w:fill="auto"/>
            <w:vAlign w:val="bottom"/>
            <w:hideMark/>
          </w:tcPr>
          <w:p w14:paraId="6708D2A4" w14:textId="77777777" w:rsidR="001342AE" w:rsidRPr="0053555E" w:rsidRDefault="001342AE" w:rsidP="001342AE">
            <w:pPr>
              <w:tabs>
                <w:tab w:val="left" w:pos="9356"/>
              </w:tabs>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najlepší študent III. stupňa štúdia</w:t>
            </w:r>
          </w:p>
        </w:tc>
        <w:tc>
          <w:tcPr>
            <w:tcW w:w="1418" w:type="dxa"/>
            <w:tcBorders>
              <w:top w:val="nil"/>
              <w:left w:val="nil"/>
              <w:bottom w:val="single" w:sz="4" w:space="0" w:color="auto"/>
              <w:right w:val="single" w:sz="4" w:space="0" w:color="auto"/>
            </w:tcBorders>
            <w:shd w:val="clear" w:color="auto" w:fill="auto"/>
          </w:tcPr>
          <w:p w14:paraId="5885BDC9" w14:textId="610C79AF" w:rsidR="001342AE" w:rsidRPr="0053555E" w:rsidRDefault="001342AE" w:rsidP="001342AE">
            <w:pPr>
              <w:jc w:val="center"/>
              <w:rPr>
                <w:rFonts w:asciiTheme="majorHAnsi" w:hAnsiTheme="majorHAnsi" w:cstheme="majorHAnsi"/>
                <w:sz w:val="22"/>
                <w:szCs w:val="22"/>
              </w:rPr>
            </w:pPr>
            <w:r w:rsidRPr="0053555E">
              <w:rPr>
                <w:rFonts w:cs="Calibri"/>
                <w:sz w:val="22"/>
                <w:szCs w:val="22"/>
              </w:rPr>
              <w:t>8</w:t>
            </w:r>
          </w:p>
        </w:tc>
        <w:tc>
          <w:tcPr>
            <w:tcW w:w="1842" w:type="dxa"/>
            <w:tcBorders>
              <w:top w:val="nil"/>
              <w:left w:val="nil"/>
              <w:bottom w:val="single" w:sz="4" w:space="0" w:color="auto"/>
              <w:right w:val="single" w:sz="4" w:space="0" w:color="auto"/>
            </w:tcBorders>
            <w:shd w:val="clear" w:color="auto" w:fill="auto"/>
            <w:noWrap/>
          </w:tcPr>
          <w:p w14:paraId="1DCEAA8D" w14:textId="131F8A97" w:rsidR="001342AE" w:rsidRPr="0053555E" w:rsidRDefault="001342AE" w:rsidP="001342AE">
            <w:pPr>
              <w:jc w:val="center"/>
              <w:rPr>
                <w:rFonts w:asciiTheme="majorHAnsi" w:hAnsiTheme="majorHAnsi" w:cstheme="majorHAnsi"/>
                <w:sz w:val="22"/>
                <w:szCs w:val="22"/>
              </w:rPr>
            </w:pPr>
            <w:r w:rsidRPr="0053555E">
              <w:rPr>
                <w:rFonts w:cs="Calibri"/>
                <w:sz w:val="22"/>
                <w:szCs w:val="22"/>
              </w:rPr>
              <w:t>3 360</w:t>
            </w:r>
          </w:p>
        </w:tc>
      </w:tr>
      <w:tr w:rsidR="001342AE" w:rsidRPr="0053555E" w14:paraId="3CF0B389" w14:textId="77777777" w:rsidTr="003E0BF9">
        <w:trPr>
          <w:trHeight w:val="20"/>
        </w:trPr>
        <w:tc>
          <w:tcPr>
            <w:tcW w:w="1504" w:type="dxa"/>
            <w:vMerge/>
            <w:tcBorders>
              <w:left w:val="single" w:sz="4" w:space="0" w:color="auto"/>
              <w:right w:val="single" w:sz="4" w:space="0" w:color="auto"/>
            </w:tcBorders>
            <w:shd w:val="clear" w:color="auto" w:fill="auto"/>
          </w:tcPr>
          <w:p w14:paraId="519D09ED" w14:textId="77777777" w:rsidR="001342AE" w:rsidRPr="0053555E" w:rsidRDefault="001342AE" w:rsidP="001342AE">
            <w:pPr>
              <w:tabs>
                <w:tab w:val="left" w:pos="9356"/>
              </w:tabs>
              <w:rPr>
                <w:rFonts w:asciiTheme="majorHAnsi" w:eastAsia="Times New Roman" w:hAnsiTheme="majorHAnsi" w:cstheme="majorHAnsi"/>
                <w:b/>
                <w:bCs/>
                <w:sz w:val="22"/>
                <w:szCs w:val="22"/>
                <w:lang w:eastAsia="sk-SK"/>
              </w:rPr>
            </w:pPr>
          </w:p>
        </w:tc>
        <w:tc>
          <w:tcPr>
            <w:tcW w:w="1473" w:type="dxa"/>
            <w:vMerge/>
            <w:tcBorders>
              <w:top w:val="nil"/>
              <w:left w:val="single" w:sz="4" w:space="0" w:color="auto"/>
              <w:bottom w:val="single" w:sz="4" w:space="0" w:color="000000"/>
              <w:right w:val="single" w:sz="4" w:space="0" w:color="auto"/>
            </w:tcBorders>
          </w:tcPr>
          <w:p w14:paraId="10929C6C" w14:textId="77777777" w:rsidR="001342AE" w:rsidRPr="0053555E" w:rsidRDefault="001342AE" w:rsidP="001342AE">
            <w:pPr>
              <w:tabs>
                <w:tab w:val="left" w:pos="9356"/>
              </w:tabs>
              <w:rPr>
                <w:rFonts w:asciiTheme="majorHAnsi" w:eastAsia="Times New Roman" w:hAnsiTheme="majorHAnsi" w:cstheme="majorHAnsi"/>
                <w:b/>
                <w:bCs/>
                <w:sz w:val="20"/>
                <w:szCs w:val="20"/>
                <w:lang w:eastAsia="sk-SK"/>
              </w:rPr>
            </w:pPr>
          </w:p>
        </w:tc>
        <w:tc>
          <w:tcPr>
            <w:tcW w:w="2835" w:type="dxa"/>
            <w:tcBorders>
              <w:top w:val="nil"/>
              <w:left w:val="nil"/>
              <w:bottom w:val="single" w:sz="4" w:space="0" w:color="auto"/>
              <w:right w:val="single" w:sz="4" w:space="0" w:color="auto"/>
            </w:tcBorders>
            <w:shd w:val="clear" w:color="auto" w:fill="auto"/>
          </w:tcPr>
          <w:p w14:paraId="63878E1C" w14:textId="77777777" w:rsidR="001342AE" w:rsidRPr="0053555E" w:rsidRDefault="001342AE" w:rsidP="001342AE">
            <w:pPr>
              <w:tabs>
                <w:tab w:val="left" w:pos="9356"/>
              </w:tabs>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najlepšie absolvovaná akademická mobilita na STU</w:t>
            </w:r>
          </w:p>
        </w:tc>
        <w:tc>
          <w:tcPr>
            <w:tcW w:w="1418" w:type="dxa"/>
            <w:tcBorders>
              <w:top w:val="nil"/>
              <w:left w:val="nil"/>
              <w:bottom w:val="single" w:sz="4" w:space="0" w:color="auto"/>
              <w:right w:val="single" w:sz="4" w:space="0" w:color="auto"/>
            </w:tcBorders>
            <w:shd w:val="clear" w:color="auto" w:fill="auto"/>
            <w:noWrap/>
          </w:tcPr>
          <w:p w14:paraId="6263AED2" w14:textId="6D64403B" w:rsidR="001342AE" w:rsidRPr="0053555E" w:rsidRDefault="001342AE" w:rsidP="001342AE">
            <w:pPr>
              <w:jc w:val="center"/>
              <w:rPr>
                <w:rFonts w:asciiTheme="majorHAnsi" w:hAnsiTheme="majorHAnsi" w:cstheme="majorHAnsi"/>
                <w:sz w:val="22"/>
                <w:szCs w:val="22"/>
              </w:rPr>
            </w:pPr>
            <w:r w:rsidRPr="0053555E">
              <w:rPr>
                <w:rFonts w:cs="Calibri"/>
                <w:sz w:val="22"/>
                <w:szCs w:val="22"/>
              </w:rPr>
              <w:t>1</w:t>
            </w:r>
          </w:p>
        </w:tc>
        <w:tc>
          <w:tcPr>
            <w:tcW w:w="1842" w:type="dxa"/>
            <w:tcBorders>
              <w:top w:val="nil"/>
              <w:left w:val="nil"/>
              <w:bottom w:val="single" w:sz="4" w:space="0" w:color="auto"/>
              <w:right w:val="single" w:sz="4" w:space="0" w:color="auto"/>
            </w:tcBorders>
            <w:shd w:val="clear" w:color="auto" w:fill="auto"/>
            <w:noWrap/>
          </w:tcPr>
          <w:p w14:paraId="2536A8A6" w14:textId="4E9AA779" w:rsidR="001342AE" w:rsidRPr="0053555E" w:rsidRDefault="001342AE" w:rsidP="001342AE">
            <w:pPr>
              <w:jc w:val="center"/>
              <w:rPr>
                <w:rFonts w:asciiTheme="majorHAnsi" w:hAnsiTheme="majorHAnsi" w:cstheme="majorHAnsi"/>
                <w:sz w:val="22"/>
                <w:szCs w:val="22"/>
              </w:rPr>
            </w:pPr>
            <w:r w:rsidRPr="0053555E">
              <w:rPr>
                <w:rFonts w:cs="Calibri"/>
                <w:sz w:val="22"/>
                <w:szCs w:val="22"/>
              </w:rPr>
              <w:t>358</w:t>
            </w:r>
          </w:p>
        </w:tc>
      </w:tr>
      <w:tr w:rsidR="001342AE" w:rsidRPr="0053555E" w14:paraId="5DCF1C5C" w14:textId="77777777" w:rsidTr="003E0BF9">
        <w:trPr>
          <w:trHeight w:val="20"/>
        </w:trPr>
        <w:tc>
          <w:tcPr>
            <w:tcW w:w="1504" w:type="dxa"/>
            <w:vMerge/>
            <w:tcBorders>
              <w:left w:val="single" w:sz="4" w:space="0" w:color="auto"/>
              <w:right w:val="single" w:sz="4" w:space="0" w:color="auto"/>
            </w:tcBorders>
            <w:shd w:val="clear" w:color="auto" w:fill="auto"/>
            <w:vAlign w:val="center"/>
            <w:hideMark/>
          </w:tcPr>
          <w:p w14:paraId="79245054" w14:textId="77777777" w:rsidR="001342AE" w:rsidRPr="0053555E" w:rsidRDefault="001342AE" w:rsidP="001342AE">
            <w:pPr>
              <w:tabs>
                <w:tab w:val="left" w:pos="9356"/>
              </w:tabs>
              <w:rPr>
                <w:rFonts w:asciiTheme="majorHAnsi" w:eastAsia="Times New Roman" w:hAnsiTheme="majorHAnsi" w:cstheme="majorHAnsi"/>
                <w:b/>
                <w:bCs/>
                <w:sz w:val="22"/>
                <w:szCs w:val="22"/>
                <w:lang w:eastAsia="sk-SK"/>
              </w:rPr>
            </w:pPr>
          </w:p>
        </w:tc>
        <w:tc>
          <w:tcPr>
            <w:tcW w:w="1473" w:type="dxa"/>
            <w:vMerge/>
            <w:tcBorders>
              <w:top w:val="nil"/>
              <w:left w:val="single" w:sz="4" w:space="0" w:color="auto"/>
              <w:bottom w:val="single" w:sz="4" w:space="0" w:color="000000"/>
              <w:right w:val="single" w:sz="4" w:space="0" w:color="auto"/>
            </w:tcBorders>
            <w:vAlign w:val="center"/>
            <w:hideMark/>
          </w:tcPr>
          <w:p w14:paraId="012AA440" w14:textId="77777777" w:rsidR="001342AE" w:rsidRPr="0053555E" w:rsidRDefault="001342AE" w:rsidP="001342AE">
            <w:pPr>
              <w:tabs>
                <w:tab w:val="left" w:pos="9356"/>
              </w:tabs>
              <w:rPr>
                <w:rFonts w:asciiTheme="majorHAnsi" w:eastAsia="Times New Roman" w:hAnsiTheme="majorHAnsi" w:cstheme="majorHAnsi"/>
                <w:b/>
                <w:bCs/>
                <w:sz w:val="20"/>
                <w:szCs w:val="20"/>
                <w:lang w:eastAsia="sk-SK"/>
              </w:rPr>
            </w:pPr>
          </w:p>
        </w:tc>
        <w:tc>
          <w:tcPr>
            <w:tcW w:w="2835" w:type="dxa"/>
            <w:tcBorders>
              <w:top w:val="nil"/>
              <w:left w:val="nil"/>
              <w:bottom w:val="single" w:sz="4" w:space="0" w:color="auto"/>
              <w:right w:val="single" w:sz="4" w:space="0" w:color="auto"/>
            </w:tcBorders>
            <w:shd w:val="clear" w:color="auto" w:fill="auto"/>
            <w:vAlign w:val="bottom"/>
            <w:hideMark/>
          </w:tcPr>
          <w:p w14:paraId="5BEBD6EF" w14:textId="77777777" w:rsidR="001342AE" w:rsidRPr="0053555E" w:rsidRDefault="001342AE" w:rsidP="001342AE">
            <w:pPr>
              <w:tabs>
                <w:tab w:val="left" w:pos="9356"/>
              </w:tabs>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mimoriadny výsledok v oblasti výskumu alebo vývoja</w:t>
            </w:r>
          </w:p>
        </w:tc>
        <w:tc>
          <w:tcPr>
            <w:tcW w:w="1418" w:type="dxa"/>
            <w:tcBorders>
              <w:top w:val="nil"/>
              <w:left w:val="nil"/>
              <w:bottom w:val="single" w:sz="4" w:space="0" w:color="auto"/>
              <w:right w:val="single" w:sz="4" w:space="0" w:color="auto"/>
            </w:tcBorders>
            <w:shd w:val="clear" w:color="auto" w:fill="auto"/>
            <w:noWrap/>
          </w:tcPr>
          <w:p w14:paraId="01A164B3" w14:textId="37A4E4CF" w:rsidR="001342AE" w:rsidRPr="0053555E" w:rsidRDefault="001342AE" w:rsidP="001342AE">
            <w:pPr>
              <w:jc w:val="center"/>
              <w:rPr>
                <w:rFonts w:asciiTheme="majorHAnsi" w:hAnsiTheme="majorHAnsi" w:cstheme="majorHAnsi"/>
                <w:sz w:val="22"/>
                <w:szCs w:val="22"/>
              </w:rPr>
            </w:pPr>
            <w:r w:rsidRPr="0053555E">
              <w:rPr>
                <w:rFonts w:cs="Calibri"/>
                <w:sz w:val="22"/>
                <w:szCs w:val="22"/>
              </w:rPr>
              <w:t>4</w:t>
            </w:r>
          </w:p>
        </w:tc>
        <w:tc>
          <w:tcPr>
            <w:tcW w:w="1842" w:type="dxa"/>
            <w:tcBorders>
              <w:top w:val="nil"/>
              <w:left w:val="nil"/>
              <w:bottom w:val="single" w:sz="4" w:space="0" w:color="auto"/>
              <w:right w:val="single" w:sz="4" w:space="0" w:color="auto"/>
            </w:tcBorders>
            <w:shd w:val="clear" w:color="auto" w:fill="auto"/>
            <w:noWrap/>
          </w:tcPr>
          <w:p w14:paraId="27A0C5C0" w14:textId="50C0364C" w:rsidR="001342AE" w:rsidRPr="0053555E" w:rsidRDefault="001342AE" w:rsidP="001342AE">
            <w:pPr>
              <w:jc w:val="center"/>
              <w:rPr>
                <w:rFonts w:asciiTheme="majorHAnsi" w:hAnsiTheme="majorHAnsi" w:cstheme="majorHAnsi"/>
                <w:sz w:val="22"/>
                <w:szCs w:val="22"/>
              </w:rPr>
            </w:pPr>
            <w:r w:rsidRPr="0053555E">
              <w:rPr>
                <w:rFonts w:cs="Calibri"/>
                <w:sz w:val="22"/>
                <w:szCs w:val="22"/>
              </w:rPr>
              <w:t>1 680</w:t>
            </w:r>
          </w:p>
        </w:tc>
      </w:tr>
      <w:tr w:rsidR="001342AE" w:rsidRPr="0053555E" w14:paraId="5BB32026" w14:textId="77777777" w:rsidTr="003E0BF9">
        <w:trPr>
          <w:trHeight w:val="20"/>
        </w:trPr>
        <w:tc>
          <w:tcPr>
            <w:tcW w:w="1504" w:type="dxa"/>
            <w:vMerge/>
            <w:tcBorders>
              <w:left w:val="single" w:sz="4" w:space="0" w:color="auto"/>
              <w:right w:val="single" w:sz="4" w:space="0" w:color="auto"/>
            </w:tcBorders>
            <w:shd w:val="clear" w:color="auto" w:fill="auto"/>
            <w:vAlign w:val="center"/>
            <w:hideMark/>
          </w:tcPr>
          <w:p w14:paraId="6D7FD0F2" w14:textId="77777777" w:rsidR="001342AE" w:rsidRPr="0053555E" w:rsidRDefault="001342AE" w:rsidP="001342AE">
            <w:pPr>
              <w:tabs>
                <w:tab w:val="left" w:pos="9356"/>
              </w:tabs>
              <w:rPr>
                <w:rFonts w:asciiTheme="majorHAnsi" w:eastAsia="Times New Roman" w:hAnsiTheme="majorHAnsi" w:cstheme="majorHAnsi"/>
                <w:b/>
                <w:bCs/>
                <w:sz w:val="22"/>
                <w:szCs w:val="22"/>
                <w:lang w:eastAsia="sk-SK"/>
              </w:rPr>
            </w:pPr>
          </w:p>
        </w:tc>
        <w:tc>
          <w:tcPr>
            <w:tcW w:w="1473" w:type="dxa"/>
            <w:vMerge/>
            <w:tcBorders>
              <w:top w:val="nil"/>
              <w:left w:val="single" w:sz="4" w:space="0" w:color="auto"/>
              <w:bottom w:val="single" w:sz="4" w:space="0" w:color="000000"/>
              <w:right w:val="single" w:sz="4" w:space="0" w:color="auto"/>
            </w:tcBorders>
            <w:vAlign w:val="center"/>
            <w:hideMark/>
          </w:tcPr>
          <w:p w14:paraId="5B7FBC10" w14:textId="77777777" w:rsidR="001342AE" w:rsidRPr="0053555E" w:rsidRDefault="001342AE" w:rsidP="001342AE">
            <w:pPr>
              <w:tabs>
                <w:tab w:val="left" w:pos="9356"/>
              </w:tabs>
              <w:rPr>
                <w:rFonts w:asciiTheme="majorHAnsi" w:eastAsia="Times New Roman" w:hAnsiTheme="majorHAnsi" w:cstheme="majorHAnsi"/>
                <w:b/>
                <w:bCs/>
                <w:sz w:val="20"/>
                <w:szCs w:val="20"/>
                <w:lang w:eastAsia="sk-SK"/>
              </w:rPr>
            </w:pPr>
          </w:p>
        </w:tc>
        <w:tc>
          <w:tcPr>
            <w:tcW w:w="2835" w:type="dxa"/>
            <w:tcBorders>
              <w:top w:val="nil"/>
              <w:left w:val="nil"/>
              <w:bottom w:val="single" w:sz="4" w:space="0" w:color="auto"/>
              <w:right w:val="single" w:sz="4" w:space="0" w:color="auto"/>
            </w:tcBorders>
            <w:shd w:val="clear" w:color="auto" w:fill="auto"/>
            <w:vAlign w:val="bottom"/>
            <w:hideMark/>
          </w:tcPr>
          <w:p w14:paraId="4E5E9E3C" w14:textId="77777777" w:rsidR="001342AE" w:rsidRPr="0053555E" w:rsidRDefault="001342AE" w:rsidP="001342AE">
            <w:pPr>
              <w:tabs>
                <w:tab w:val="left" w:pos="9356"/>
              </w:tabs>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významný reprezentant STU v športe</w:t>
            </w:r>
          </w:p>
        </w:tc>
        <w:tc>
          <w:tcPr>
            <w:tcW w:w="1418" w:type="dxa"/>
            <w:tcBorders>
              <w:top w:val="nil"/>
              <w:left w:val="nil"/>
              <w:bottom w:val="single" w:sz="4" w:space="0" w:color="auto"/>
              <w:right w:val="single" w:sz="4" w:space="0" w:color="auto"/>
            </w:tcBorders>
            <w:shd w:val="clear" w:color="auto" w:fill="auto"/>
            <w:noWrap/>
          </w:tcPr>
          <w:p w14:paraId="1EE93745" w14:textId="68F975BE" w:rsidR="001342AE" w:rsidRPr="0053555E" w:rsidRDefault="001342AE" w:rsidP="001342AE">
            <w:pPr>
              <w:jc w:val="center"/>
              <w:rPr>
                <w:rFonts w:asciiTheme="majorHAnsi" w:hAnsiTheme="majorHAnsi" w:cstheme="majorHAnsi"/>
                <w:sz w:val="22"/>
                <w:szCs w:val="22"/>
              </w:rPr>
            </w:pPr>
            <w:r w:rsidRPr="0053555E">
              <w:rPr>
                <w:rFonts w:cs="Calibri"/>
                <w:sz w:val="22"/>
                <w:szCs w:val="22"/>
              </w:rPr>
              <w:t>3</w:t>
            </w:r>
          </w:p>
        </w:tc>
        <w:tc>
          <w:tcPr>
            <w:tcW w:w="1842" w:type="dxa"/>
            <w:tcBorders>
              <w:top w:val="nil"/>
              <w:left w:val="nil"/>
              <w:bottom w:val="single" w:sz="4" w:space="0" w:color="auto"/>
              <w:right w:val="single" w:sz="4" w:space="0" w:color="auto"/>
            </w:tcBorders>
            <w:shd w:val="clear" w:color="auto" w:fill="auto"/>
            <w:noWrap/>
          </w:tcPr>
          <w:p w14:paraId="73FA12E0" w14:textId="625C1874" w:rsidR="001342AE" w:rsidRPr="0053555E" w:rsidRDefault="001342AE" w:rsidP="001342AE">
            <w:pPr>
              <w:jc w:val="center"/>
              <w:rPr>
                <w:rFonts w:asciiTheme="majorHAnsi" w:hAnsiTheme="majorHAnsi" w:cstheme="majorHAnsi"/>
                <w:sz w:val="22"/>
                <w:szCs w:val="22"/>
              </w:rPr>
            </w:pPr>
            <w:r w:rsidRPr="0053555E">
              <w:rPr>
                <w:rFonts w:cs="Calibri"/>
                <w:sz w:val="22"/>
                <w:szCs w:val="22"/>
              </w:rPr>
              <w:t>1 260</w:t>
            </w:r>
          </w:p>
        </w:tc>
      </w:tr>
      <w:tr w:rsidR="001342AE" w:rsidRPr="0053555E" w14:paraId="7CFFD68E" w14:textId="77777777" w:rsidTr="003E0BF9">
        <w:trPr>
          <w:trHeight w:val="20"/>
        </w:trPr>
        <w:tc>
          <w:tcPr>
            <w:tcW w:w="1504" w:type="dxa"/>
            <w:vMerge/>
            <w:tcBorders>
              <w:left w:val="single" w:sz="4" w:space="0" w:color="auto"/>
              <w:right w:val="single" w:sz="4" w:space="0" w:color="auto"/>
            </w:tcBorders>
            <w:shd w:val="clear" w:color="auto" w:fill="auto"/>
            <w:vAlign w:val="center"/>
            <w:hideMark/>
          </w:tcPr>
          <w:p w14:paraId="01E5268D" w14:textId="77777777" w:rsidR="001342AE" w:rsidRPr="0053555E" w:rsidRDefault="001342AE" w:rsidP="001342AE">
            <w:pPr>
              <w:tabs>
                <w:tab w:val="left" w:pos="9356"/>
              </w:tabs>
              <w:rPr>
                <w:rFonts w:asciiTheme="majorHAnsi" w:eastAsia="Times New Roman" w:hAnsiTheme="majorHAnsi" w:cstheme="majorHAnsi"/>
                <w:b/>
                <w:bCs/>
                <w:sz w:val="22"/>
                <w:szCs w:val="22"/>
                <w:lang w:eastAsia="sk-SK"/>
              </w:rPr>
            </w:pPr>
          </w:p>
        </w:tc>
        <w:tc>
          <w:tcPr>
            <w:tcW w:w="1473" w:type="dxa"/>
            <w:vMerge/>
            <w:tcBorders>
              <w:top w:val="nil"/>
              <w:left w:val="single" w:sz="4" w:space="0" w:color="auto"/>
              <w:bottom w:val="single" w:sz="4" w:space="0" w:color="000000"/>
              <w:right w:val="single" w:sz="4" w:space="0" w:color="auto"/>
            </w:tcBorders>
            <w:vAlign w:val="center"/>
            <w:hideMark/>
          </w:tcPr>
          <w:p w14:paraId="4F04B368" w14:textId="77777777" w:rsidR="001342AE" w:rsidRPr="0053555E" w:rsidRDefault="001342AE" w:rsidP="001342AE">
            <w:pPr>
              <w:tabs>
                <w:tab w:val="left" w:pos="9356"/>
              </w:tabs>
              <w:rPr>
                <w:rFonts w:asciiTheme="majorHAnsi" w:eastAsia="Times New Roman" w:hAnsiTheme="majorHAnsi" w:cstheme="majorHAnsi"/>
                <w:b/>
                <w:bCs/>
                <w:sz w:val="20"/>
                <w:szCs w:val="20"/>
                <w:lang w:eastAsia="sk-SK"/>
              </w:rPr>
            </w:pPr>
          </w:p>
        </w:tc>
        <w:tc>
          <w:tcPr>
            <w:tcW w:w="2835" w:type="dxa"/>
            <w:tcBorders>
              <w:top w:val="nil"/>
              <w:left w:val="nil"/>
              <w:bottom w:val="single" w:sz="4" w:space="0" w:color="auto"/>
              <w:right w:val="single" w:sz="4" w:space="0" w:color="auto"/>
            </w:tcBorders>
            <w:shd w:val="clear" w:color="auto" w:fill="auto"/>
            <w:vAlign w:val="bottom"/>
            <w:hideMark/>
          </w:tcPr>
          <w:p w14:paraId="026381DE" w14:textId="77777777" w:rsidR="001342AE" w:rsidRPr="0053555E" w:rsidRDefault="001342AE" w:rsidP="001342AE">
            <w:pPr>
              <w:tabs>
                <w:tab w:val="left" w:pos="9356"/>
              </w:tabs>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významný reprezentant STU v umení</w:t>
            </w:r>
          </w:p>
        </w:tc>
        <w:tc>
          <w:tcPr>
            <w:tcW w:w="1418" w:type="dxa"/>
            <w:tcBorders>
              <w:top w:val="nil"/>
              <w:left w:val="nil"/>
              <w:bottom w:val="single" w:sz="4" w:space="0" w:color="auto"/>
              <w:right w:val="single" w:sz="4" w:space="0" w:color="auto"/>
            </w:tcBorders>
            <w:shd w:val="clear" w:color="auto" w:fill="auto"/>
            <w:noWrap/>
          </w:tcPr>
          <w:p w14:paraId="3E79C70A" w14:textId="75BF6D12" w:rsidR="001342AE" w:rsidRPr="0053555E" w:rsidRDefault="001342AE" w:rsidP="001342AE">
            <w:pPr>
              <w:jc w:val="center"/>
              <w:rPr>
                <w:rFonts w:asciiTheme="majorHAnsi" w:hAnsiTheme="majorHAnsi" w:cstheme="majorHAnsi"/>
                <w:sz w:val="22"/>
                <w:szCs w:val="22"/>
              </w:rPr>
            </w:pPr>
            <w:r w:rsidRPr="0053555E">
              <w:rPr>
                <w:rFonts w:cs="Calibri"/>
                <w:sz w:val="22"/>
                <w:szCs w:val="22"/>
              </w:rPr>
              <w:t>2</w:t>
            </w:r>
          </w:p>
        </w:tc>
        <w:tc>
          <w:tcPr>
            <w:tcW w:w="1842" w:type="dxa"/>
            <w:tcBorders>
              <w:top w:val="nil"/>
              <w:left w:val="nil"/>
              <w:bottom w:val="single" w:sz="4" w:space="0" w:color="auto"/>
              <w:right w:val="single" w:sz="4" w:space="0" w:color="auto"/>
            </w:tcBorders>
            <w:shd w:val="clear" w:color="auto" w:fill="auto"/>
            <w:noWrap/>
          </w:tcPr>
          <w:p w14:paraId="60D5969C" w14:textId="20E6EAC1" w:rsidR="001342AE" w:rsidRPr="0053555E" w:rsidRDefault="001342AE" w:rsidP="001342AE">
            <w:pPr>
              <w:jc w:val="center"/>
              <w:rPr>
                <w:rFonts w:asciiTheme="majorHAnsi" w:hAnsiTheme="majorHAnsi" w:cstheme="majorHAnsi"/>
                <w:sz w:val="22"/>
                <w:szCs w:val="22"/>
              </w:rPr>
            </w:pPr>
            <w:r w:rsidRPr="0053555E">
              <w:rPr>
                <w:rFonts w:cs="Calibri"/>
                <w:sz w:val="22"/>
                <w:szCs w:val="22"/>
              </w:rPr>
              <w:t>840</w:t>
            </w:r>
          </w:p>
        </w:tc>
      </w:tr>
      <w:tr w:rsidR="00C261B9" w:rsidRPr="0053555E" w14:paraId="67658202" w14:textId="77777777" w:rsidTr="003E0BF9">
        <w:trPr>
          <w:trHeight w:val="20"/>
        </w:trPr>
        <w:tc>
          <w:tcPr>
            <w:tcW w:w="1504" w:type="dxa"/>
            <w:vMerge/>
            <w:tcBorders>
              <w:left w:val="single" w:sz="4" w:space="0" w:color="auto"/>
              <w:bottom w:val="single" w:sz="4" w:space="0" w:color="auto"/>
              <w:right w:val="single" w:sz="4" w:space="0" w:color="auto"/>
            </w:tcBorders>
            <w:shd w:val="clear" w:color="auto" w:fill="auto"/>
            <w:vAlign w:val="center"/>
            <w:hideMark/>
          </w:tcPr>
          <w:p w14:paraId="7DD6F766" w14:textId="77777777" w:rsidR="00C261B9" w:rsidRPr="0053555E" w:rsidRDefault="00C261B9" w:rsidP="00C261B9">
            <w:pPr>
              <w:tabs>
                <w:tab w:val="left" w:pos="9356"/>
              </w:tabs>
              <w:rPr>
                <w:rFonts w:asciiTheme="majorHAnsi" w:eastAsia="Times New Roman" w:hAnsiTheme="majorHAnsi" w:cstheme="majorHAnsi"/>
                <w:b/>
                <w:bCs/>
                <w:sz w:val="22"/>
                <w:szCs w:val="22"/>
                <w:lang w:eastAsia="sk-SK"/>
              </w:rPr>
            </w:pPr>
          </w:p>
        </w:tc>
        <w:tc>
          <w:tcPr>
            <w:tcW w:w="4308" w:type="dxa"/>
            <w:gridSpan w:val="2"/>
            <w:tcBorders>
              <w:top w:val="single" w:sz="4" w:space="0" w:color="auto"/>
              <w:left w:val="nil"/>
              <w:bottom w:val="single" w:sz="4" w:space="0" w:color="auto"/>
              <w:right w:val="single" w:sz="4" w:space="0" w:color="auto"/>
            </w:tcBorders>
            <w:shd w:val="clear" w:color="auto" w:fill="EEECE1" w:themeFill="background2"/>
            <w:vAlign w:val="bottom"/>
            <w:hideMark/>
          </w:tcPr>
          <w:p w14:paraId="3ADE00F6" w14:textId="77777777" w:rsidR="00C261B9" w:rsidRPr="0053555E" w:rsidRDefault="00C261B9" w:rsidP="00C261B9">
            <w:pPr>
              <w:tabs>
                <w:tab w:val="left" w:pos="9356"/>
              </w:tabs>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spolu z prostriedkov štátneho rozpočtu</w:t>
            </w:r>
          </w:p>
        </w:tc>
        <w:tc>
          <w:tcPr>
            <w:tcW w:w="1418" w:type="dxa"/>
            <w:tcBorders>
              <w:top w:val="nil"/>
              <w:left w:val="nil"/>
              <w:bottom w:val="single" w:sz="4" w:space="0" w:color="auto"/>
              <w:right w:val="single" w:sz="4" w:space="0" w:color="auto"/>
            </w:tcBorders>
            <w:shd w:val="clear" w:color="auto" w:fill="EEECE1" w:themeFill="background2"/>
            <w:noWrap/>
          </w:tcPr>
          <w:p w14:paraId="71D7AF69" w14:textId="0FA7E19F" w:rsidR="00C261B9" w:rsidRPr="0053555E" w:rsidRDefault="00C261B9" w:rsidP="00C261B9">
            <w:pPr>
              <w:tabs>
                <w:tab w:val="left" w:pos="9356"/>
              </w:tabs>
              <w:jc w:val="center"/>
              <w:rPr>
                <w:rFonts w:asciiTheme="majorHAnsi" w:eastAsia="Times New Roman" w:hAnsiTheme="majorHAnsi" w:cstheme="majorHAnsi"/>
                <w:b/>
                <w:bCs/>
                <w:sz w:val="22"/>
                <w:szCs w:val="22"/>
                <w:lang w:eastAsia="sk-SK"/>
              </w:rPr>
            </w:pPr>
            <w:r w:rsidRPr="0053555E">
              <w:rPr>
                <w:rFonts w:cs="Calibri"/>
                <w:b/>
                <w:bCs/>
                <w:sz w:val="22"/>
                <w:szCs w:val="22"/>
              </w:rPr>
              <w:t>33</w:t>
            </w:r>
          </w:p>
        </w:tc>
        <w:tc>
          <w:tcPr>
            <w:tcW w:w="1842" w:type="dxa"/>
            <w:tcBorders>
              <w:top w:val="nil"/>
              <w:left w:val="nil"/>
              <w:bottom w:val="single" w:sz="4" w:space="0" w:color="auto"/>
              <w:right w:val="single" w:sz="4" w:space="0" w:color="auto"/>
            </w:tcBorders>
            <w:shd w:val="clear" w:color="auto" w:fill="EEECE1" w:themeFill="background2"/>
            <w:noWrap/>
          </w:tcPr>
          <w:p w14:paraId="7A714B5F" w14:textId="207578CF" w:rsidR="00C261B9" w:rsidRPr="002E3A9A" w:rsidRDefault="00C261B9" w:rsidP="00C261B9">
            <w:pPr>
              <w:jc w:val="center"/>
              <w:rPr>
                <w:rFonts w:asciiTheme="majorHAnsi" w:hAnsiTheme="majorHAnsi" w:cstheme="majorHAnsi"/>
                <w:b/>
                <w:sz w:val="22"/>
                <w:szCs w:val="22"/>
              </w:rPr>
            </w:pPr>
            <w:r w:rsidRPr="002E3A9A">
              <w:rPr>
                <w:rFonts w:cs="Calibri"/>
                <w:b/>
                <w:sz w:val="22"/>
                <w:szCs w:val="22"/>
              </w:rPr>
              <w:t>13 798</w:t>
            </w:r>
          </w:p>
        </w:tc>
      </w:tr>
      <w:tr w:rsidR="00C261B9" w:rsidRPr="0053555E" w14:paraId="0967EB4E" w14:textId="77777777" w:rsidTr="003E0BF9">
        <w:trPr>
          <w:trHeight w:val="70"/>
        </w:trPr>
        <w:tc>
          <w:tcPr>
            <w:tcW w:w="5812" w:type="dxa"/>
            <w:gridSpan w:val="3"/>
            <w:tcBorders>
              <w:top w:val="nil"/>
              <w:left w:val="single" w:sz="4" w:space="0" w:color="auto"/>
              <w:bottom w:val="single" w:sz="4" w:space="0" w:color="auto"/>
              <w:right w:val="single" w:sz="4" w:space="0" w:color="000000"/>
            </w:tcBorders>
            <w:shd w:val="clear" w:color="auto" w:fill="DDD9C3" w:themeFill="background2" w:themeFillShade="E6"/>
            <w:noWrap/>
            <w:vAlign w:val="center"/>
            <w:hideMark/>
          </w:tcPr>
          <w:p w14:paraId="3C39625D" w14:textId="77777777" w:rsidR="00C261B9" w:rsidRPr="0053555E" w:rsidRDefault="00C261B9" w:rsidP="00C261B9">
            <w:pPr>
              <w:tabs>
                <w:tab w:val="left" w:pos="9356"/>
              </w:tabs>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2"/>
                <w:szCs w:val="20"/>
                <w:lang w:eastAsia="sk-SK"/>
              </w:rPr>
              <w:t>SPOLU</w:t>
            </w:r>
          </w:p>
        </w:tc>
        <w:tc>
          <w:tcPr>
            <w:tcW w:w="1418" w:type="dxa"/>
            <w:tcBorders>
              <w:top w:val="nil"/>
              <w:left w:val="nil"/>
              <w:bottom w:val="single" w:sz="4" w:space="0" w:color="auto"/>
              <w:right w:val="single" w:sz="4" w:space="0" w:color="auto"/>
            </w:tcBorders>
            <w:shd w:val="clear" w:color="auto" w:fill="DDD9C3" w:themeFill="background2" w:themeFillShade="E6"/>
            <w:noWrap/>
          </w:tcPr>
          <w:p w14:paraId="007F693F" w14:textId="5E0C7BF5" w:rsidR="00C261B9" w:rsidRPr="0053555E" w:rsidRDefault="00C261B9" w:rsidP="00C261B9">
            <w:pPr>
              <w:tabs>
                <w:tab w:val="left" w:pos="9356"/>
              </w:tabs>
              <w:jc w:val="center"/>
              <w:rPr>
                <w:rFonts w:asciiTheme="majorHAnsi" w:eastAsia="Times New Roman" w:hAnsiTheme="majorHAnsi" w:cstheme="majorHAnsi"/>
                <w:b/>
                <w:bCs/>
                <w:sz w:val="22"/>
                <w:szCs w:val="22"/>
                <w:lang w:eastAsia="sk-SK"/>
              </w:rPr>
            </w:pPr>
            <w:r w:rsidRPr="0053555E">
              <w:rPr>
                <w:rFonts w:cs="Calibri"/>
                <w:b/>
                <w:bCs/>
                <w:sz w:val="22"/>
                <w:szCs w:val="22"/>
              </w:rPr>
              <w:t>110</w:t>
            </w:r>
          </w:p>
        </w:tc>
        <w:tc>
          <w:tcPr>
            <w:tcW w:w="1842" w:type="dxa"/>
            <w:tcBorders>
              <w:top w:val="nil"/>
              <w:left w:val="nil"/>
              <w:bottom w:val="single" w:sz="4" w:space="0" w:color="auto"/>
              <w:right w:val="single" w:sz="4" w:space="0" w:color="auto"/>
            </w:tcBorders>
            <w:shd w:val="clear" w:color="auto" w:fill="DDD9C3" w:themeFill="background2" w:themeFillShade="E6"/>
            <w:noWrap/>
          </w:tcPr>
          <w:p w14:paraId="32F55919" w14:textId="0837FF75" w:rsidR="00C261B9" w:rsidRPr="0053555E" w:rsidRDefault="00C261B9" w:rsidP="00C261B9">
            <w:pPr>
              <w:jc w:val="center"/>
              <w:rPr>
                <w:rFonts w:asciiTheme="majorHAnsi" w:hAnsiTheme="majorHAnsi" w:cstheme="majorHAnsi"/>
                <w:b/>
                <w:bCs/>
                <w:sz w:val="22"/>
                <w:szCs w:val="22"/>
              </w:rPr>
            </w:pPr>
            <w:r w:rsidRPr="0053555E">
              <w:rPr>
                <w:rFonts w:cs="Calibri"/>
                <w:b/>
                <w:bCs/>
                <w:sz w:val="22"/>
                <w:szCs w:val="22"/>
              </w:rPr>
              <w:t>30 570</w:t>
            </w:r>
          </w:p>
        </w:tc>
      </w:tr>
    </w:tbl>
    <w:p w14:paraId="1580959D" w14:textId="5A004133" w:rsidR="00005D58" w:rsidRDefault="00005D58" w:rsidP="00324438">
      <w:pPr>
        <w:rPr>
          <w:rFonts w:asciiTheme="majorHAnsi" w:hAnsiTheme="majorHAnsi" w:cstheme="majorHAnsi"/>
        </w:rPr>
      </w:pPr>
    </w:p>
    <w:p w14:paraId="56D2190B" w14:textId="77777777" w:rsidR="008A41CF" w:rsidRPr="0053555E" w:rsidRDefault="008A41CF" w:rsidP="00324438">
      <w:pPr>
        <w:rPr>
          <w:rFonts w:asciiTheme="majorHAnsi" w:hAnsiTheme="majorHAnsi" w:cstheme="majorHAnsi"/>
        </w:rPr>
      </w:pPr>
    </w:p>
    <w:p w14:paraId="0C62C85F" w14:textId="1283569D" w:rsidR="00E32770" w:rsidRPr="007B5953" w:rsidRDefault="007B5953" w:rsidP="007B5953">
      <w:pPr>
        <w:rPr>
          <w:b/>
          <w:sz w:val="28"/>
          <w:szCs w:val="28"/>
        </w:rPr>
      </w:pPr>
      <w:bookmarkStart w:id="226" w:name="_Toc127593240"/>
      <w:r w:rsidRPr="007B5953">
        <w:rPr>
          <w:b/>
          <w:sz w:val="28"/>
          <w:szCs w:val="28"/>
        </w:rPr>
        <w:t xml:space="preserve">8.3. </w:t>
      </w:r>
      <w:r w:rsidR="00E32770" w:rsidRPr="007B5953">
        <w:rPr>
          <w:b/>
          <w:sz w:val="28"/>
          <w:szCs w:val="28"/>
        </w:rPr>
        <w:t>Podnikové štipendiá</w:t>
      </w:r>
      <w:bookmarkEnd w:id="226"/>
    </w:p>
    <w:p w14:paraId="539E6E9F" w14:textId="77777777" w:rsidR="007B5953" w:rsidRPr="007B5953" w:rsidRDefault="007B5953" w:rsidP="007B5953"/>
    <w:p w14:paraId="102F9FDC" w14:textId="45D5E8DD" w:rsidR="001025E0" w:rsidRDefault="00C60550" w:rsidP="007B5953">
      <w:pPr>
        <w:tabs>
          <w:tab w:val="left" w:pos="9356"/>
        </w:tabs>
        <w:spacing w:after="120"/>
        <w:jc w:val="both"/>
        <w:rPr>
          <w:rFonts w:asciiTheme="majorHAnsi" w:hAnsiTheme="majorHAnsi" w:cstheme="majorHAnsi"/>
          <w:lang w:eastAsia="sk-SK"/>
        </w:rPr>
      </w:pPr>
      <w:r>
        <w:rPr>
          <w:rFonts w:asciiTheme="majorHAnsi" w:hAnsiTheme="majorHAnsi" w:cstheme="majorHAnsi"/>
          <w:lang w:eastAsia="sk-SK"/>
        </w:rPr>
        <w:t>V rámci</w:t>
      </w:r>
      <w:r w:rsidR="00BD40C5" w:rsidRPr="0053555E">
        <w:rPr>
          <w:rFonts w:asciiTheme="majorHAnsi" w:hAnsiTheme="majorHAnsi" w:cstheme="majorHAnsi"/>
          <w:lang w:eastAsia="sk-SK"/>
        </w:rPr>
        <w:t xml:space="preserve"> STU má podpísan</w:t>
      </w:r>
      <w:r w:rsidR="00425A99">
        <w:rPr>
          <w:rFonts w:asciiTheme="majorHAnsi" w:hAnsiTheme="majorHAnsi" w:cstheme="majorHAnsi"/>
          <w:lang w:eastAsia="sk-SK"/>
        </w:rPr>
        <w:t>é</w:t>
      </w:r>
      <w:r w:rsidR="00BD40C5" w:rsidRPr="0053555E">
        <w:rPr>
          <w:rFonts w:asciiTheme="majorHAnsi" w:hAnsiTheme="majorHAnsi" w:cstheme="majorHAnsi"/>
          <w:lang w:eastAsia="sk-SK"/>
        </w:rPr>
        <w:t xml:space="preserve"> zm</w:t>
      </w:r>
      <w:r w:rsidR="00664B31" w:rsidRPr="0053555E">
        <w:rPr>
          <w:rFonts w:asciiTheme="majorHAnsi" w:hAnsiTheme="majorHAnsi" w:cstheme="majorHAnsi"/>
          <w:lang w:eastAsia="sk-SK"/>
        </w:rPr>
        <w:t>luv</w:t>
      </w:r>
      <w:r w:rsidR="00A5487E">
        <w:rPr>
          <w:rFonts w:asciiTheme="majorHAnsi" w:hAnsiTheme="majorHAnsi" w:cstheme="majorHAnsi"/>
          <w:lang w:eastAsia="sk-SK"/>
        </w:rPr>
        <w:t>y</w:t>
      </w:r>
      <w:r w:rsidR="00664B31" w:rsidRPr="0053555E">
        <w:rPr>
          <w:rFonts w:asciiTheme="majorHAnsi" w:hAnsiTheme="majorHAnsi" w:cstheme="majorHAnsi"/>
          <w:lang w:eastAsia="sk-SK"/>
        </w:rPr>
        <w:t xml:space="preserve"> o štipendijnom programe na </w:t>
      </w:r>
      <w:r w:rsidR="00BD40C5" w:rsidRPr="0053555E">
        <w:rPr>
          <w:rFonts w:asciiTheme="majorHAnsi" w:hAnsiTheme="majorHAnsi" w:cstheme="majorHAnsi"/>
          <w:lang w:eastAsia="sk-SK"/>
        </w:rPr>
        <w:t xml:space="preserve">poskytovanie podnikových štipendií </w:t>
      </w:r>
      <w:r w:rsidR="00A5487E" w:rsidRPr="0053555E">
        <w:rPr>
          <w:rFonts w:asciiTheme="majorHAnsi" w:hAnsiTheme="majorHAnsi" w:cstheme="majorHAnsi"/>
          <w:lang w:eastAsia="sk-SK"/>
        </w:rPr>
        <w:t xml:space="preserve">SjF </w:t>
      </w:r>
      <w:r w:rsidR="00761C7E">
        <w:rPr>
          <w:rFonts w:asciiTheme="majorHAnsi" w:hAnsiTheme="majorHAnsi" w:cstheme="majorHAnsi"/>
          <w:lang w:eastAsia="sk-SK"/>
        </w:rPr>
        <w:t>so</w:t>
      </w:r>
      <w:r w:rsidR="00C41C45">
        <w:rPr>
          <w:rFonts w:asciiTheme="majorHAnsi" w:hAnsiTheme="majorHAnsi" w:cstheme="majorHAnsi"/>
          <w:lang w:eastAsia="sk-SK"/>
        </w:rPr>
        <w:t> </w:t>
      </w:r>
      <w:r w:rsidR="00761C7E">
        <w:rPr>
          <w:rFonts w:asciiTheme="majorHAnsi" w:hAnsiTheme="majorHAnsi" w:cstheme="majorHAnsi"/>
        </w:rPr>
        <w:t xml:space="preserve">zmluvnými partnermi, ktorými sú </w:t>
      </w:r>
      <w:r w:rsidR="00C1640C">
        <w:rPr>
          <w:rFonts w:asciiTheme="majorHAnsi" w:hAnsiTheme="majorHAnsi" w:cstheme="majorHAnsi"/>
        </w:rPr>
        <w:t>Brose Prievidza</w:t>
      </w:r>
      <w:r w:rsidR="00A9660A">
        <w:rPr>
          <w:rFonts w:asciiTheme="majorHAnsi" w:hAnsiTheme="majorHAnsi" w:cstheme="majorHAnsi"/>
        </w:rPr>
        <w:t>,</w:t>
      </w:r>
      <w:r w:rsidR="00C1640C">
        <w:rPr>
          <w:rFonts w:asciiTheme="majorHAnsi" w:hAnsiTheme="majorHAnsi" w:cstheme="majorHAnsi"/>
        </w:rPr>
        <w:t xml:space="preserve"> s.</w:t>
      </w:r>
      <w:r w:rsidR="00A9660A">
        <w:rPr>
          <w:rFonts w:asciiTheme="majorHAnsi" w:hAnsiTheme="majorHAnsi" w:cstheme="majorHAnsi"/>
        </w:rPr>
        <w:t xml:space="preserve"> </w:t>
      </w:r>
      <w:r w:rsidR="00C1640C">
        <w:rPr>
          <w:rFonts w:asciiTheme="majorHAnsi" w:hAnsiTheme="majorHAnsi" w:cstheme="majorHAnsi"/>
        </w:rPr>
        <w:t>r</w:t>
      </w:r>
      <w:r w:rsidR="00A9660A">
        <w:rPr>
          <w:rFonts w:asciiTheme="majorHAnsi" w:hAnsiTheme="majorHAnsi" w:cstheme="majorHAnsi"/>
        </w:rPr>
        <w:t xml:space="preserve"> </w:t>
      </w:r>
      <w:r w:rsidR="00C1640C">
        <w:rPr>
          <w:rFonts w:asciiTheme="majorHAnsi" w:hAnsiTheme="majorHAnsi" w:cstheme="majorHAnsi"/>
        </w:rPr>
        <w:t>.o.</w:t>
      </w:r>
      <w:r w:rsidR="00EA4566">
        <w:rPr>
          <w:rFonts w:asciiTheme="majorHAnsi" w:hAnsiTheme="majorHAnsi" w:cstheme="majorHAnsi"/>
        </w:rPr>
        <w:t>;</w:t>
      </w:r>
      <w:r w:rsidR="00C1640C">
        <w:rPr>
          <w:rFonts w:asciiTheme="majorHAnsi" w:hAnsiTheme="majorHAnsi" w:cstheme="majorHAnsi"/>
        </w:rPr>
        <w:t xml:space="preserve"> Continental </w:t>
      </w:r>
      <w:r w:rsidR="00C1640C">
        <w:rPr>
          <w:rFonts w:asciiTheme="majorHAnsi" w:hAnsiTheme="majorHAnsi" w:cstheme="majorHAnsi"/>
        </w:rPr>
        <w:lastRenderedPageBreak/>
        <w:t>Automotive System Slovakia</w:t>
      </w:r>
      <w:r w:rsidR="00EA4566">
        <w:rPr>
          <w:rFonts w:asciiTheme="majorHAnsi" w:hAnsiTheme="majorHAnsi" w:cstheme="majorHAnsi"/>
        </w:rPr>
        <w:t>,</w:t>
      </w:r>
      <w:r w:rsidR="00C1640C">
        <w:rPr>
          <w:rFonts w:asciiTheme="majorHAnsi" w:hAnsiTheme="majorHAnsi" w:cstheme="majorHAnsi"/>
        </w:rPr>
        <w:t xml:space="preserve"> s.</w:t>
      </w:r>
      <w:r w:rsidR="00A9660A">
        <w:rPr>
          <w:rFonts w:asciiTheme="majorHAnsi" w:hAnsiTheme="majorHAnsi" w:cstheme="majorHAnsi"/>
        </w:rPr>
        <w:t xml:space="preserve"> </w:t>
      </w:r>
      <w:r w:rsidR="00C1640C">
        <w:rPr>
          <w:rFonts w:asciiTheme="majorHAnsi" w:hAnsiTheme="majorHAnsi" w:cstheme="majorHAnsi"/>
        </w:rPr>
        <w:t>r.</w:t>
      </w:r>
      <w:r w:rsidR="00A9660A">
        <w:rPr>
          <w:rFonts w:asciiTheme="majorHAnsi" w:hAnsiTheme="majorHAnsi" w:cstheme="majorHAnsi"/>
        </w:rPr>
        <w:t xml:space="preserve"> </w:t>
      </w:r>
      <w:r w:rsidR="00C1640C">
        <w:rPr>
          <w:rFonts w:asciiTheme="majorHAnsi" w:hAnsiTheme="majorHAnsi" w:cstheme="majorHAnsi"/>
        </w:rPr>
        <w:t>o.</w:t>
      </w:r>
      <w:r w:rsidR="00EA4566">
        <w:rPr>
          <w:rFonts w:asciiTheme="majorHAnsi" w:hAnsiTheme="majorHAnsi" w:cstheme="majorHAnsi"/>
        </w:rPr>
        <w:t>;</w:t>
      </w:r>
      <w:r w:rsidR="00C1640C">
        <w:rPr>
          <w:rFonts w:asciiTheme="majorHAnsi" w:hAnsiTheme="majorHAnsi" w:cstheme="majorHAnsi"/>
        </w:rPr>
        <w:t xml:space="preserve"> Schaeffler Skalica</w:t>
      </w:r>
      <w:r w:rsidR="00EA4566">
        <w:rPr>
          <w:rFonts w:asciiTheme="majorHAnsi" w:hAnsiTheme="majorHAnsi" w:cstheme="majorHAnsi"/>
        </w:rPr>
        <w:t>,</w:t>
      </w:r>
      <w:r w:rsidR="00C1640C">
        <w:rPr>
          <w:rFonts w:asciiTheme="majorHAnsi" w:hAnsiTheme="majorHAnsi" w:cstheme="majorHAnsi"/>
        </w:rPr>
        <w:t xml:space="preserve"> s.</w:t>
      </w:r>
      <w:r w:rsidR="00EA4566">
        <w:rPr>
          <w:rFonts w:asciiTheme="majorHAnsi" w:hAnsiTheme="majorHAnsi" w:cstheme="majorHAnsi"/>
        </w:rPr>
        <w:t xml:space="preserve"> </w:t>
      </w:r>
      <w:r w:rsidR="00C1640C">
        <w:rPr>
          <w:rFonts w:asciiTheme="majorHAnsi" w:hAnsiTheme="majorHAnsi" w:cstheme="majorHAnsi"/>
        </w:rPr>
        <w:t>r.</w:t>
      </w:r>
      <w:r w:rsidR="00EA4566">
        <w:rPr>
          <w:rFonts w:asciiTheme="majorHAnsi" w:hAnsiTheme="majorHAnsi" w:cstheme="majorHAnsi"/>
        </w:rPr>
        <w:t xml:space="preserve"> </w:t>
      </w:r>
      <w:r w:rsidR="00C1640C">
        <w:rPr>
          <w:rFonts w:asciiTheme="majorHAnsi" w:hAnsiTheme="majorHAnsi" w:cstheme="majorHAnsi"/>
        </w:rPr>
        <w:t>o.</w:t>
      </w:r>
      <w:r w:rsidR="00EA4566">
        <w:rPr>
          <w:rFonts w:asciiTheme="majorHAnsi" w:hAnsiTheme="majorHAnsi" w:cstheme="majorHAnsi"/>
        </w:rPr>
        <w:t>;</w:t>
      </w:r>
      <w:r w:rsidR="00C1640C">
        <w:rPr>
          <w:rFonts w:asciiTheme="majorHAnsi" w:hAnsiTheme="majorHAnsi" w:cstheme="majorHAnsi"/>
        </w:rPr>
        <w:t xml:space="preserve"> </w:t>
      </w:r>
      <w:r w:rsidR="00C1640C" w:rsidRPr="00C1640C">
        <w:rPr>
          <w:rFonts w:asciiTheme="majorHAnsi" w:hAnsiTheme="majorHAnsi" w:cstheme="majorHAnsi"/>
        </w:rPr>
        <w:t>Stellantis Slovakia, Trnava plant</w:t>
      </w:r>
      <w:r w:rsidR="00EA4566">
        <w:rPr>
          <w:rFonts w:asciiTheme="majorHAnsi" w:hAnsiTheme="majorHAnsi" w:cstheme="majorHAnsi"/>
        </w:rPr>
        <w:t>;</w:t>
      </w:r>
      <w:r w:rsidR="00A9660A">
        <w:rPr>
          <w:rFonts w:asciiTheme="majorHAnsi" w:hAnsiTheme="majorHAnsi" w:cstheme="majorHAnsi"/>
        </w:rPr>
        <w:t xml:space="preserve"> </w:t>
      </w:r>
      <w:r w:rsidR="00761C7E">
        <w:rPr>
          <w:rFonts w:asciiTheme="majorHAnsi" w:hAnsiTheme="majorHAnsi" w:cstheme="majorHAnsi"/>
        </w:rPr>
        <w:t>Volkswagen Slovakia</w:t>
      </w:r>
      <w:r w:rsidR="00EA4566">
        <w:rPr>
          <w:rFonts w:asciiTheme="majorHAnsi" w:hAnsiTheme="majorHAnsi" w:cstheme="majorHAnsi"/>
        </w:rPr>
        <w:t>,</w:t>
      </w:r>
      <w:r w:rsidR="00761C7E">
        <w:rPr>
          <w:rFonts w:asciiTheme="majorHAnsi" w:hAnsiTheme="majorHAnsi" w:cstheme="majorHAnsi"/>
        </w:rPr>
        <w:t xml:space="preserve"> a.</w:t>
      </w:r>
      <w:r w:rsidR="00EA4566">
        <w:rPr>
          <w:rFonts w:asciiTheme="majorHAnsi" w:hAnsiTheme="majorHAnsi" w:cstheme="majorHAnsi"/>
        </w:rPr>
        <w:t xml:space="preserve"> </w:t>
      </w:r>
      <w:r w:rsidR="00761C7E">
        <w:rPr>
          <w:rFonts w:asciiTheme="majorHAnsi" w:hAnsiTheme="majorHAnsi" w:cstheme="majorHAnsi"/>
        </w:rPr>
        <w:t>s.</w:t>
      </w:r>
      <w:r w:rsidR="00EA4566">
        <w:rPr>
          <w:rFonts w:asciiTheme="majorHAnsi" w:hAnsiTheme="majorHAnsi" w:cstheme="majorHAnsi"/>
        </w:rPr>
        <w:t>;</w:t>
      </w:r>
      <w:r w:rsidR="00761C7E">
        <w:rPr>
          <w:rFonts w:asciiTheme="majorHAnsi" w:hAnsiTheme="majorHAnsi" w:cstheme="majorHAnsi"/>
        </w:rPr>
        <w:t xml:space="preserve"> ZF Slovakia</w:t>
      </w:r>
      <w:r w:rsidR="00EA4566">
        <w:rPr>
          <w:rFonts w:asciiTheme="majorHAnsi" w:hAnsiTheme="majorHAnsi" w:cstheme="majorHAnsi"/>
        </w:rPr>
        <w:t>;</w:t>
      </w:r>
      <w:r w:rsidR="00761C7E">
        <w:rPr>
          <w:rFonts w:asciiTheme="majorHAnsi" w:hAnsiTheme="majorHAnsi" w:cstheme="majorHAnsi"/>
        </w:rPr>
        <w:t xml:space="preserve"> a.</w:t>
      </w:r>
      <w:r w:rsidR="00EA4566">
        <w:rPr>
          <w:rFonts w:asciiTheme="majorHAnsi" w:hAnsiTheme="majorHAnsi" w:cstheme="majorHAnsi"/>
        </w:rPr>
        <w:t xml:space="preserve"> </w:t>
      </w:r>
      <w:r w:rsidR="00761C7E">
        <w:rPr>
          <w:rFonts w:asciiTheme="majorHAnsi" w:hAnsiTheme="majorHAnsi" w:cstheme="majorHAnsi"/>
        </w:rPr>
        <w:t>s.</w:t>
      </w:r>
      <w:r w:rsidR="00EA4566">
        <w:rPr>
          <w:rFonts w:asciiTheme="majorHAnsi" w:hAnsiTheme="majorHAnsi" w:cstheme="majorHAnsi"/>
        </w:rPr>
        <w:t xml:space="preserve"> a</w:t>
      </w:r>
      <w:r w:rsidR="00761C7E">
        <w:rPr>
          <w:rFonts w:asciiTheme="majorHAnsi" w:hAnsiTheme="majorHAnsi" w:cstheme="majorHAnsi"/>
        </w:rPr>
        <w:t xml:space="preserve"> ZKW Slovakia</w:t>
      </w:r>
      <w:r w:rsidR="00EA4566">
        <w:rPr>
          <w:rFonts w:asciiTheme="majorHAnsi" w:hAnsiTheme="majorHAnsi" w:cstheme="majorHAnsi"/>
        </w:rPr>
        <w:t>,</w:t>
      </w:r>
      <w:r w:rsidR="00761C7E">
        <w:rPr>
          <w:rFonts w:asciiTheme="majorHAnsi" w:hAnsiTheme="majorHAnsi" w:cstheme="majorHAnsi"/>
        </w:rPr>
        <w:t xml:space="preserve"> s.</w:t>
      </w:r>
      <w:r w:rsidR="00EA4566">
        <w:rPr>
          <w:rFonts w:asciiTheme="majorHAnsi" w:hAnsiTheme="majorHAnsi" w:cstheme="majorHAnsi"/>
        </w:rPr>
        <w:t xml:space="preserve"> </w:t>
      </w:r>
      <w:r w:rsidR="00761C7E">
        <w:rPr>
          <w:rFonts w:asciiTheme="majorHAnsi" w:hAnsiTheme="majorHAnsi" w:cstheme="majorHAnsi"/>
        </w:rPr>
        <w:t>r.</w:t>
      </w:r>
      <w:r w:rsidR="00EA4566">
        <w:rPr>
          <w:rFonts w:asciiTheme="majorHAnsi" w:hAnsiTheme="majorHAnsi" w:cstheme="majorHAnsi"/>
        </w:rPr>
        <w:t xml:space="preserve"> </w:t>
      </w:r>
      <w:r w:rsidR="00761C7E">
        <w:rPr>
          <w:rFonts w:asciiTheme="majorHAnsi" w:hAnsiTheme="majorHAnsi" w:cstheme="majorHAnsi"/>
        </w:rPr>
        <w:t>o.</w:t>
      </w:r>
      <w:r w:rsidR="00BD40C5" w:rsidRPr="0053555E">
        <w:rPr>
          <w:rFonts w:asciiTheme="majorHAnsi" w:hAnsiTheme="majorHAnsi" w:cstheme="majorHAnsi"/>
          <w:lang w:eastAsia="sk-SK"/>
        </w:rPr>
        <w:t xml:space="preserve"> </w:t>
      </w:r>
      <w:r w:rsidR="00A5487E" w:rsidRPr="0053555E">
        <w:rPr>
          <w:rFonts w:asciiTheme="majorHAnsi" w:hAnsiTheme="majorHAnsi" w:cstheme="majorHAnsi"/>
          <w:lang w:eastAsia="sk-SK"/>
        </w:rPr>
        <w:t>pre</w:t>
      </w:r>
      <w:r w:rsidR="00A5487E">
        <w:rPr>
          <w:rFonts w:asciiTheme="majorHAnsi" w:hAnsiTheme="majorHAnsi" w:cstheme="majorHAnsi"/>
          <w:lang w:eastAsia="sk-SK"/>
        </w:rPr>
        <w:t> </w:t>
      </w:r>
      <w:r w:rsidR="00A5487E" w:rsidRPr="0053555E">
        <w:rPr>
          <w:rFonts w:asciiTheme="majorHAnsi" w:hAnsiTheme="majorHAnsi" w:cstheme="majorHAnsi"/>
          <w:lang w:eastAsia="sk-SK"/>
        </w:rPr>
        <w:t>študentov profesijne orientovaného bakalárskeho študijného programu prevádzkový technik dopravnej a výrobnej techniky</w:t>
      </w:r>
      <w:r w:rsidR="007B5953">
        <w:rPr>
          <w:rFonts w:asciiTheme="majorHAnsi" w:hAnsiTheme="majorHAnsi" w:cstheme="majorHAnsi"/>
          <w:lang w:eastAsia="sk-SK"/>
        </w:rPr>
        <w:t xml:space="preserve">. </w:t>
      </w:r>
      <w:r w:rsidR="00427AB1" w:rsidRPr="0053555E">
        <w:rPr>
          <w:rFonts w:asciiTheme="majorHAnsi" w:hAnsiTheme="majorHAnsi" w:cstheme="majorHAnsi"/>
          <w:lang w:eastAsia="sk-SK"/>
        </w:rPr>
        <w:t xml:space="preserve">V akademickom roku </w:t>
      </w:r>
      <w:r w:rsidR="00EA24BA" w:rsidRPr="0053555E">
        <w:rPr>
          <w:rFonts w:asciiTheme="majorHAnsi" w:hAnsiTheme="majorHAnsi" w:cstheme="majorHAnsi"/>
          <w:lang w:eastAsia="sk-SK"/>
        </w:rPr>
        <w:t>2021/2022</w:t>
      </w:r>
      <w:r w:rsidR="00427AB1" w:rsidRPr="0053555E">
        <w:rPr>
          <w:rFonts w:asciiTheme="majorHAnsi" w:hAnsiTheme="majorHAnsi" w:cstheme="majorHAnsi"/>
          <w:lang w:eastAsia="sk-SK"/>
        </w:rPr>
        <w:t xml:space="preserve"> boli poskytnuté po</w:t>
      </w:r>
      <w:r w:rsidR="009A3537" w:rsidRPr="0053555E">
        <w:rPr>
          <w:rFonts w:asciiTheme="majorHAnsi" w:hAnsiTheme="majorHAnsi" w:cstheme="majorHAnsi"/>
          <w:lang w:eastAsia="sk-SK"/>
        </w:rPr>
        <w:t>dni</w:t>
      </w:r>
      <w:r w:rsidR="00427AB1" w:rsidRPr="0053555E">
        <w:rPr>
          <w:rFonts w:asciiTheme="majorHAnsi" w:hAnsiTheme="majorHAnsi" w:cstheme="majorHAnsi"/>
          <w:lang w:eastAsia="sk-SK"/>
        </w:rPr>
        <w:t xml:space="preserve">kové štipendiá </w:t>
      </w:r>
      <w:r w:rsidR="001F3D48" w:rsidRPr="0053555E">
        <w:rPr>
          <w:rFonts w:asciiTheme="majorHAnsi" w:hAnsiTheme="majorHAnsi" w:cstheme="majorHAnsi"/>
          <w:b/>
          <w:lang w:eastAsia="sk-SK"/>
        </w:rPr>
        <w:t>2</w:t>
      </w:r>
      <w:r w:rsidR="009D613F">
        <w:rPr>
          <w:rFonts w:asciiTheme="majorHAnsi" w:hAnsiTheme="majorHAnsi" w:cstheme="majorHAnsi"/>
          <w:b/>
          <w:lang w:eastAsia="sk-SK"/>
        </w:rPr>
        <w:t>5</w:t>
      </w:r>
      <w:r w:rsidR="001F3D48" w:rsidRPr="0053555E">
        <w:rPr>
          <w:rFonts w:asciiTheme="majorHAnsi" w:hAnsiTheme="majorHAnsi" w:cstheme="majorHAnsi"/>
          <w:b/>
          <w:lang w:eastAsia="sk-SK"/>
        </w:rPr>
        <w:t xml:space="preserve"> študentom </w:t>
      </w:r>
      <w:r w:rsidR="00427AB1" w:rsidRPr="0053555E">
        <w:rPr>
          <w:rFonts w:asciiTheme="majorHAnsi" w:hAnsiTheme="majorHAnsi" w:cstheme="majorHAnsi"/>
          <w:b/>
          <w:lang w:eastAsia="sk-SK"/>
        </w:rPr>
        <w:t xml:space="preserve">v celkovej výške </w:t>
      </w:r>
      <w:r w:rsidR="009D613F">
        <w:rPr>
          <w:rFonts w:asciiTheme="majorHAnsi" w:hAnsiTheme="majorHAnsi" w:cstheme="majorHAnsi"/>
          <w:b/>
          <w:lang w:eastAsia="sk-SK"/>
        </w:rPr>
        <w:t>71 635,11</w:t>
      </w:r>
      <w:r w:rsidR="00427AB1" w:rsidRPr="0053555E">
        <w:rPr>
          <w:rFonts w:asciiTheme="majorHAnsi" w:hAnsiTheme="majorHAnsi" w:cstheme="majorHAnsi"/>
          <w:b/>
          <w:lang w:eastAsia="sk-SK"/>
        </w:rPr>
        <w:t xml:space="preserve"> </w:t>
      </w:r>
      <w:r w:rsidR="00B07FE9" w:rsidRPr="0053555E">
        <w:rPr>
          <w:rFonts w:asciiTheme="majorHAnsi" w:hAnsiTheme="majorHAnsi" w:cstheme="majorHAnsi"/>
          <w:b/>
          <w:lang w:eastAsia="sk-SK"/>
        </w:rPr>
        <w:t xml:space="preserve">€. </w:t>
      </w:r>
      <w:r w:rsidR="007068D4" w:rsidRPr="0053555E">
        <w:rPr>
          <w:rFonts w:asciiTheme="majorHAnsi" w:hAnsiTheme="majorHAnsi" w:cstheme="majorHAnsi"/>
          <w:lang w:eastAsia="sk-SK"/>
        </w:rPr>
        <w:t xml:space="preserve">Podnikové štipendium sa neposkytuje zo štipendijného fondu </w:t>
      </w:r>
      <w:r w:rsidR="007068D4">
        <w:rPr>
          <w:rFonts w:asciiTheme="majorHAnsi" w:hAnsiTheme="majorHAnsi" w:cstheme="majorHAnsi"/>
          <w:lang w:eastAsia="sk-SK"/>
        </w:rPr>
        <w:t>univerzity</w:t>
      </w:r>
      <w:r w:rsidR="003019FE">
        <w:rPr>
          <w:rFonts w:asciiTheme="majorHAnsi" w:hAnsiTheme="majorHAnsi" w:cstheme="majorHAnsi"/>
          <w:lang w:eastAsia="sk-SK"/>
        </w:rPr>
        <w:t xml:space="preserve">. </w:t>
      </w:r>
      <w:r w:rsidR="007068D4">
        <w:rPr>
          <w:rFonts w:asciiTheme="majorHAnsi" w:hAnsiTheme="majorHAnsi" w:cstheme="majorHAnsi"/>
          <w:lang w:eastAsia="sk-SK"/>
        </w:rPr>
        <w:t xml:space="preserve">STU </w:t>
      </w:r>
      <w:r w:rsidR="00EC29D6" w:rsidRPr="00EC29D6">
        <w:rPr>
          <w:rFonts w:asciiTheme="majorHAnsi" w:hAnsiTheme="majorHAnsi" w:cstheme="majorHAnsi"/>
          <w:lang w:eastAsia="sk-SK"/>
        </w:rPr>
        <w:t xml:space="preserve">údaje o poskytnutých podnikových štipendiách, ktoré jej oznámi podnikateľ, </w:t>
      </w:r>
      <w:r w:rsidR="00EC29D6">
        <w:rPr>
          <w:rFonts w:asciiTheme="majorHAnsi" w:hAnsiTheme="majorHAnsi" w:cstheme="majorHAnsi"/>
          <w:lang w:eastAsia="sk-SK"/>
        </w:rPr>
        <w:t>eviduje v AIS</w:t>
      </w:r>
      <w:r w:rsidR="007068D4" w:rsidRPr="0053555E">
        <w:rPr>
          <w:rFonts w:asciiTheme="majorHAnsi" w:hAnsiTheme="majorHAnsi" w:cstheme="majorHAnsi"/>
          <w:lang w:eastAsia="sk-SK"/>
        </w:rPr>
        <w:t xml:space="preserve">. </w:t>
      </w:r>
      <w:r w:rsidR="001025E0">
        <w:rPr>
          <w:rFonts w:asciiTheme="majorHAnsi" w:hAnsiTheme="majorHAnsi" w:cstheme="majorHAnsi"/>
          <w:lang w:eastAsia="sk-SK"/>
        </w:rPr>
        <w:t xml:space="preserve"> </w:t>
      </w:r>
    </w:p>
    <w:p w14:paraId="3A5352B5" w14:textId="77777777" w:rsidR="007B5953" w:rsidRDefault="007B5953" w:rsidP="007B5953">
      <w:pPr>
        <w:tabs>
          <w:tab w:val="left" w:pos="9356"/>
        </w:tabs>
        <w:spacing w:after="120"/>
        <w:jc w:val="both"/>
        <w:rPr>
          <w:rFonts w:asciiTheme="majorHAnsi" w:hAnsiTheme="majorHAnsi" w:cstheme="majorHAnsi"/>
          <w:lang w:eastAsia="sk-SK"/>
        </w:rPr>
      </w:pPr>
    </w:p>
    <w:p w14:paraId="7002FACC" w14:textId="18119830" w:rsidR="007B5953" w:rsidRPr="007B5953" w:rsidRDefault="007B5953" w:rsidP="007B5953">
      <w:pPr>
        <w:rPr>
          <w:rFonts w:asciiTheme="majorHAnsi" w:hAnsiTheme="majorHAnsi" w:cstheme="majorHAnsi"/>
          <w:lang w:eastAsia="sk-SK"/>
        </w:rPr>
      </w:pPr>
      <w:bookmarkStart w:id="227" w:name="_Toc127593241"/>
      <w:r w:rsidRPr="007B5953">
        <w:rPr>
          <w:b/>
          <w:sz w:val="28"/>
          <w:szCs w:val="28"/>
        </w:rPr>
        <w:t xml:space="preserve">8.4. </w:t>
      </w:r>
      <w:r w:rsidR="002071AC" w:rsidRPr="007B5953">
        <w:rPr>
          <w:b/>
          <w:sz w:val="28"/>
          <w:szCs w:val="28"/>
        </w:rPr>
        <w:t>Pôžičky</w:t>
      </w:r>
      <w:bookmarkEnd w:id="227"/>
    </w:p>
    <w:p w14:paraId="28050EAC" w14:textId="3124E8C7" w:rsidR="002071AC" w:rsidRPr="007B5953" w:rsidRDefault="002071AC" w:rsidP="007B5953">
      <w:r w:rsidRPr="007B5953">
        <w:t xml:space="preserve"> </w:t>
      </w:r>
    </w:p>
    <w:p w14:paraId="03B32FF7" w14:textId="77C6A550" w:rsidR="005D4AE7" w:rsidRPr="0053555E" w:rsidRDefault="00F145AD" w:rsidP="005D4AE7">
      <w:pPr>
        <w:spacing w:after="120"/>
        <w:jc w:val="both"/>
        <w:rPr>
          <w:rFonts w:asciiTheme="majorHAnsi" w:hAnsiTheme="majorHAnsi" w:cstheme="majorHAnsi"/>
          <w:bCs/>
          <w:shd w:val="clear" w:color="auto" w:fill="FFFFFF"/>
        </w:rPr>
      </w:pPr>
      <w:r>
        <w:rPr>
          <w:rFonts w:asciiTheme="majorHAnsi" w:hAnsiTheme="majorHAnsi" w:cstheme="majorHAnsi"/>
          <w:bCs/>
          <w:shd w:val="clear" w:color="auto" w:fill="FFFFFF"/>
        </w:rPr>
        <w:t>Pôžičku</w:t>
      </w:r>
      <w:r w:rsidR="005D4AE7" w:rsidRPr="0053555E">
        <w:rPr>
          <w:rFonts w:asciiTheme="majorHAnsi" w:hAnsiTheme="majorHAnsi" w:cstheme="majorHAnsi"/>
          <w:bCs/>
          <w:shd w:val="clear" w:color="auto" w:fill="FFFFFF"/>
        </w:rPr>
        <w:t xml:space="preserve"> študentom STU zo štipendijného fondu STU možno poskytnúť pôžičku na pokrytie nákladov spojených so štúdiom a na uspokojenie ich sociálnych potrieb na základe osobitnej žiadosti študenta. V akademickom roku 2021/2022 nebola STU podaná žiadna žiadosť o pôžičku zo</w:t>
      </w:r>
      <w:r w:rsidR="00EA4E83">
        <w:rPr>
          <w:rFonts w:asciiTheme="majorHAnsi" w:hAnsiTheme="majorHAnsi" w:cstheme="majorHAnsi"/>
          <w:bCs/>
          <w:shd w:val="clear" w:color="auto" w:fill="FFFFFF"/>
        </w:rPr>
        <w:t> </w:t>
      </w:r>
      <w:r w:rsidR="005D4AE7" w:rsidRPr="0053555E">
        <w:rPr>
          <w:rFonts w:asciiTheme="majorHAnsi" w:hAnsiTheme="majorHAnsi" w:cstheme="majorHAnsi"/>
          <w:bCs/>
          <w:shd w:val="clear" w:color="auto" w:fill="FFFFFF"/>
        </w:rPr>
        <w:t>štipendijného fondu STU.</w:t>
      </w:r>
    </w:p>
    <w:p w14:paraId="6510A144" w14:textId="0D20889E" w:rsidR="00435A43" w:rsidRPr="0053555E" w:rsidRDefault="005D4AE7" w:rsidP="00324438">
      <w:pPr>
        <w:tabs>
          <w:tab w:val="left" w:pos="9356"/>
        </w:tabs>
        <w:spacing w:after="120"/>
        <w:jc w:val="both"/>
        <w:rPr>
          <w:rFonts w:asciiTheme="majorHAnsi" w:hAnsiTheme="majorHAnsi" w:cstheme="majorHAnsi"/>
        </w:rPr>
      </w:pPr>
      <w:r>
        <w:rPr>
          <w:rFonts w:asciiTheme="majorHAnsi" w:hAnsiTheme="majorHAnsi" w:cstheme="majorHAnsi"/>
        </w:rPr>
        <w:t xml:space="preserve">Študenti </w:t>
      </w:r>
      <w:r w:rsidR="00F145AD">
        <w:rPr>
          <w:rFonts w:asciiTheme="majorHAnsi" w:hAnsiTheme="majorHAnsi" w:cstheme="majorHAnsi"/>
        </w:rPr>
        <w:t xml:space="preserve">STU majú možnosť získať </w:t>
      </w:r>
      <w:r w:rsidR="005B5526">
        <w:rPr>
          <w:rFonts w:asciiTheme="majorHAnsi" w:hAnsiTheme="majorHAnsi" w:cstheme="majorHAnsi"/>
        </w:rPr>
        <w:t xml:space="preserve">aj </w:t>
      </w:r>
      <w:r w:rsidR="00F145AD">
        <w:rPr>
          <w:rFonts w:asciiTheme="majorHAnsi" w:hAnsiTheme="majorHAnsi" w:cstheme="majorHAnsi"/>
        </w:rPr>
        <w:t>pôžičky</w:t>
      </w:r>
      <w:r>
        <w:rPr>
          <w:rFonts w:asciiTheme="majorHAnsi" w:hAnsiTheme="majorHAnsi" w:cstheme="majorHAnsi"/>
        </w:rPr>
        <w:t xml:space="preserve"> poskytované </w:t>
      </w:r>
      <w:r w:rsidR="00DE60D3" w:rsidRPr="0053555E">
        <w:rPr>
          <w:rFonts w:asciiTheme="majorHAnsi" w:hAnsiTheme="majorHAnsi" w:cstheme="majorHAnsi"/>
        </w:rPr>
        <w:t>Fond</w:t>
      </w:r>
      <w:r w:rsidR="00521330">
        <w:rPr>
          <w:rFonts w:asciiTheme="majorHAnsi" w:hAnsiTheme="majorHAnsi" w:cstheme="majorHAnsi"/>
        </w:rPr>
        <w:t>om</w:t>
      </w:r>
      <w:r w:rsidR="00DE60D3" w:rsidRPr="0053555E">
        <w:rPr>
          <w:rFonts w:asciiTheme="majorHAnsi" w:hAnsiTheme="majorHAnsi" w:cstheme="majorHAnsi"/>
        </w:rPr>
        <w:t xml:space="preserve"> na podporu vzdelávania</w:t>
      </w:r>
      <w:r w:rsidR="005B5526">
        <w:rPr>
          <w:rFonts w:asciiTheme="majorHAnsi" w:hAnsiTheme="majorHAnsi" w:cstheme="majorHAnsi"/>
        </w:rPr>
        <w:t>.</w:t>
      </w:r>
      <w:r w:rsidR="00F145AD" w:rsidRPr="00F145AD">
        <w:rPr>
          <w:rFonts w:asciiTheme="majorHAnsi" w:hAnsiTheme="majorHAnsi" w:cstheme="majorHAnsi"/>
        </w:rPr>
        <w:t xml:space="preserve"> </w:t>
      </w:r>
    </w:p>
    <w:p w14:paraId="4A07A42A" w14:textId="7621B088" w:rsidR="002071AC" w:rsidRPr="0053555E" w:rsidRDefault="00086D2F" w:rsidP="000E3322">
      <w:pPr>
        <w:pStyle w:val="Popis"/>
      </w:pPr>
      <w:bookmarkStart w:id="228" w:name="_Ref31719014"/>
      <w:bookmarkStart w:id="229" w:name="_Toc127593310"/>
      <w:r w:rsidRPr="0053555E">
        <w:t xml:space="preserve">Tab. č. </w:t>
      </w:r>
      <w:r w:rsidR="007B5953">
        <w:fldChar w:fldCharType="begin"/>
      </w:r>
      <w:r w:rsidR="007B5953">
        <w:instrText xml:space="preserve"> SEQ Tab._č. \* ARABIC </w:instrText>
      </w:r>
      <w:r w:rsidR="007B5953">
        <w:fldChar w:fldCharType="separate"/>
      </w:r>
      <w:r w:rsidR="00F145AD">
        <w:rPr>
          <w:noProof/>
        </w:rPr>
        <w:t>5</w:t>
      </w:r>
      <w:r w:rsidR="00EE1B59">
        <w:rPr>
          <w:noProof/>
        </w:rPr>
        <w:t>7</w:t>
      </w:r>
      <w:r w:rsidR="007B5953">
        <w:rPr>
          <w:noProof/>
        </w:rPr>
        <w:fldChar w:fldCharType="end"/>
      </w:r>
      <w:bookmarkEnd w:id="228"/>
      <w:r w:rsidRPr="0053555E">
        <w:t>:</w:t>
      </w:r>
      <w:r w:rsidR="002071AC" w:rsidRPr="0053555E">
        <w:t xml:space="preserve"> </w:t>
      </w:r>
      <w:r w:rsidR="00F145AD">
        <w:t>P</w:t>
      </w:r>
      <w:r w:rsidR="00F145AD" w:rsidRPr="0053555E">
        <w:t xml:space="preserve">ôžičky </w:t>
      </w:r>
      <w:r w:rsidR="00F145AD">
        <w:t>p</w:t>
      </w:r>
      <w:r w:rsidR="002071AC" w:rsidRPr="0053555E">
        <w:t xml:space="preserve">ridelené študentom </w:t>
      </w:r>
      <w:r w:rsidR="00F145AD">
        <w:t xml:space="preserve">z FVPV </w:t>
      </w:r>
      <w:r w:rsidR="002071AC" w:rsidRPr="0053555E">
        <w:t xml:space="preserve">za ostatných </w:t>
      </w:r>
      <w:r w:rsidR="00A17B22" w:rsidRPr="0053555E">
        <w:t>sedem</w:t>
      </w:r>
      <w:r w:rsidR="002071AC" w:rsidRPr="0053555E">
        <w:t xml:space="preserve"> akademických rokov</w:t>
      </w:r>
      <w:bookmarkEnd w:id="229"/>
    </w:p>
    <w:tbl>
      <w:tblPr>
        <w:tblW w:w="9012" w:type="dxa"/>
        <w:tblInd w:w="55" w:type="dxa"/>
        <w:tblLayout w:type="fixed"/>
        <w:tblCellMar>
          <w:left w:w="70" w:type="dxa"/>
          <w:right w:w="70" w:type="dxa"/>
        </w:tblCellMar>
        <w:tblLook w:val="04A0" w:firstRow="1" w:lastRow="0" w:firstColumn="1" w:lastColumn="0" w:noHBand="0" w:noVBand="1"/>
      </w:tblPr>
      <w:tblGrid>
        <w:gridCol w:w="1216"/>
        <w:gridCol w:w="1113"/>
        <w:gridCol w:w="1114"/>
        <w:gridCol w:w="1114"/>
        <w:gridCol w:w="1113"/>
        <w:gridCol w:w="1114"/>
        <w:gridCol w:w="1114"/>
        <w:gridCol w:w="1114"/>
      </w:tblGrid>
      <w:tr w:rsidR="00C07DAE" w:rsidRPr="0053555E" w14:paraId="3C7A2927" w14:textId="77777777" w:rsidTr="002F26F9">
        <w:trPr>
          <w:trHeight w:val="255"/>
        </w:trPr>
        <w:tc>
          <w:tcPr>
            <w:tcW w:w="1216" w:type="dxa"/>
            <w:tcBorders>
              <w:top w:val="single" w:sz="4" w:space="0" w:color="auto"/>
              <w:left w:val="single" w:sz="4" w:space="0" w:color="auto"/>
              <w:bottom w:val="nil"/>
              <w:right w:val="single" w:sz="4" w:space="0" w:color="auto"/>
            </w:tcBorders>
            <w:shd w:val="clear" w:color="auto" w:fill="auto"/>
            <w:noWrap/>
            <w:vAlign w:val="center"/>
            <w:hideMark/>
          </w:tcPr>
          <w:p w14:paraId="2231BFC5" w14:textId="77777777" w:rsidR="00C07DAE" w:rsidRPr="0053555E" w:rsidRDefault="00C07DAE" w:rsidP="00C07DAE">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Súčasť STU</w:t>
            </w:r>
          </w:p>
        </w:tc>
        <w:tc>
          <w:tcPr>
            <w:tcW w:w="1113" w:type="dxa"/>
            <w:tcBorders>
              <w:top w:val="single" w:sz="4" w:space="0" w:color="auto"/>
              <w:left w:val="nil"/>
              <w:bottom w:val="single" w:sz="4" w:space="0" w:color="auto"/>
              <w:right w:val="single" w:sz="4" w:space="0" w:color="auto"/>
            </w:tcBorders>
            <w:vAlign w:val="center"/>
          </w:tcPr>
          <w:p w14:paraId="69969A3E" w14:textId="31B7986A" w:rsidR="00C07DAE" w:rsidRPr="0053555E" w:rsidRDefault="00C07DAE" w:rsidP="00C07DAE">
            <w:pPr>
              <w:jc w:val="center"/>
              <w:rPr>
                <w:rFonts w:asciiTheme="majorHAnsi" w:hAnsiTheme="majorHAnsi" w:cstheme="majorHAnsi"/>
                <w:b/>
                <w:bCs/>
                <w:sz w:val="20"/>
                <w:szCs w:val="20"/>
              </w:rPr>
            </w:pPr>
            <w:r w:rsidRPr="0053555E">
              <w:rPr>
                <w:rFonts w:cs="Calibri"/>
                <w:b/>
                <w:bCs/>
                <w:sz w:val="20"/>
                <w:szCs w:val="20"/>
              </w:rPr>
              <w:t>2015/2016</w:t>
            </w:r>
          </w:p>
        </w:tc>
        <w:tc>
          <w:tcPr>
            <w:tcW w:w="1114" w:type="dxa"/>
            <w:tcBorders>
              <w:top w:val="single" w:sz="4" w:space="0" w:color="auto"/>
              <w:left w:val="single" w:sz="4" w:space="0" w:color="auto"/>
              <w:bottom w:val="single" w:sz="4" w:space="0" w:color="auto"/>
              <w:right w:val="single" w:sz="4" w:space="0" w:color="auto"/>
            </w:tcBorders>
            <w:vAlign w:val="center"/>
          </w:tcPr>
          <w:p w14:paraId="51A826C5" w14:textId="32E821FE" w:rsidR="00C07DAE" w:rsidRPr="0053555E" w:rsidRDefault="00C07DAE" w:rsidP="00C07DAE">
            <w:pPr>
              <w:jc w:val="center"/>
              <w:rPr>
                <w:rFonts w:asciiTheme="majorHAnsi" w:hAnsiTheme="majorHAnsi" w:cstheme="majorHAnsi"/>
                <w:b/>
                <w:bCs/>
                <w:sz w:val="20"/>
                <w:szCs w:val="20"/>
              </w:rPr>
            </w:pPr>
            <w:r w:rsidRPr="0053555E">
              <w:rPr>
                <w:rFonts w:cs="Calibri"/>
                <w:b/>
                <w:bCs/>
                <w:sz w:val="20"/>
                <w:szCs w:val="20"/>
              </w:rPr>
              <w:t>2016/2017</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44323" w14:textId="7E9B46DD" w:rsidR="00C07DAE" w:rsidRPr="0053555E" w:rsidRDefault="00C07DAE" w:rsidP="00C07DAE">
            <w:pPr>
              <w:jc w:val="center"/>
              <w:rPr>
                <w:rFonts w:asciiTheme="majorHAnsi" w:hAnsiTheme="majorHAnsi" w:cstheme="majorHAnsi"/>
                <w:b/>
                <w:bCs/>
                <w:sz w:val="20"/>
                <w:szCs w:val="20"/>
              </w:rPr>
            </w:pPr>
            <w:r w:rsidRPr="0053555E">
              <w:rPr>
                <w:rFonts w:cs="Calibri"/>
                <w:b/>
                <w:bCs/>
                <w:sz w:val="20"/>
                <w:szCs w:val="20"/>
              </w:rPr>
              <w:t>2017/2018</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05AF2" w14:textId="194B1962" w:rsidR="00C07DAE" w:rsidRPr="0053555E" w:rsidRDefault="00C07DAE" w:rsidP="00C07DAE">
            <w:pPr>
              <w:jc w:val="center"/>
              <w:rPr>
                <w:rFonts w:asciiTheme="majorHAnsi" w:hAnsiTheme="majorHAnsi" w:cstheme="majorHAnsi"/>
                <w:b/>
                <w:bCs/>
                <w:sz w:val="20"/>
                <w:szCs w:val="20"/>
              </w:rPr>
            </w:pPr>
            <w:r w:rsidRPr="0053555E">
              <w:rPr>
                <w:rFonts w:cs="Calibri"/>
                <w:b/>
                <w:bCs/>
                <w:sz w:val="20"/>
                <w:szCs w:val="20"/>
              </w:rPr>
              <w:t>2018/2019</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DEFD2" w14:textId="797F44AB" w:rsidR="00C07DAE" w:rsidRPr="0053555E" w:rsidRDefault="00C07DAE" w:rsidP="00C07DAE">
            <w:pPr>
              <w:jc w:val="center"/>
              <w:rPr>
                <w:rFonts w:asciiTheme="majorHAnsi" w:hAnsiTheme="majorHAnsi" w:cstheme="majorHAnsi"/>
                <w:b/>
                <w:bCs/>
                <w:sz w:val="20"/>
                <w:szCs w:val="20"/>
              </w:rPr>
            </w:pPr>
            <w:r w:rsidRPr="0053555E">
              <w:rPr>
                <w:rFonts w:cs="Calibri"/>
                <w:b/>
                <w:bCs/>
                <w:sz w:val="20"/>
                <w:szCs w:val="20"/>
              </w:rPr>
              <w:t>2019/2020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6396F" w14:textId="46D16AA1" w:rsidR="00C07DAE" w:rsidRPr="0053555E" w:rsidRDefault="00C07DAE" w:rsidP="00C07DAE">
            <w:pPr>
              <w:jc w:val="center"/>
              <w:rPr>
                <w:rFonts w:asciiTheme="majorHAnsi" w:hAnsiTheme="majorHAnsi" w:cstheme="majorHAnsi"/>
                <w:b/>
                <w:bCs/>
                <w:sz w:val="20"/>
                <w:szCs w:val="20"/>
              </w:rPr>
            </w:pPr>
            <w:r w:rsidRPr="0053555E">
              <w:rPr>
                <w:rFonts w:cs="Calibri"/>
                <w:b/>
                <w:bCs/>
                <w:sz w:val="20"/>
                <w:szCs w:val="20"/>
              </w:rPr>
              <w:t>2020/2021</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6319D" w14:textId="3E782987" w:rsidR="00C07DAE" w:rsidRPr="0053555E" w:rsidRDefault="00C07DAE" w:rsidP="00C07DAE">
            <w:pPr>
              <w:jc w:val="center"/>
              <w:rPr>
                <w:rFonts w:asciiTheme="majorHAnsi" w:hAnsiTheme="majorHAnsi" w:cstheme="majorHAnsi"/>
                <w:b/>
                <w:bCs/>
                <w:sz w:val="20"/>
                <w:szCs w:val="20"/>
              </w:rPr>
            </w:pPr>
            <w:r w:rsidRPr="0053555E">
              <w:rPr>
                <w:rFonts w:cs="Calibri"/>
                <w:b/>
                <w:bCs/>
                <w:sz w:val="20"/>
                <w:szCs w:val="20"/>
              </w:rPr>
              <w:t>2021/2022</w:t>
            </w:r>
          </w:p>
        </w:tc>
      </w:tr>
      <w:tr w:rsidR="00C07DAE" w:rsidRPr="0053555E" w14:paraId="7D93835F" w14:textId="77777777" w:rsidTr="002F26F9">
        <w:trPr>
          <w:trHeight w:val="255"/>
        </w:trPr>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9A432" w14:textId="77777777" w:rsidR="00C07DAE" w:rsidRPr="0053555E" w:rsidRDefault="00C07DAE" w:rsidP="00C07DAE">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SvF</w:t>
            </w:r>
          </w:p>
        </w:tc>
        <w:tc>
          <w:tcPr>
            <w:tcW w:w="1113" w:type="dxa"/>
            <w:tcBorders>
              <w:top w:val="single" w:sz="4" w:space="0" w:color="auto"/>
              <w:left w:val="nil"/>
              <w:bottom w:val="single" w:sz="4" w:space="0" w:color="auto"/>
              <w:right w:val="single" w:sz="4" w:space="0" w:color="auto"/>
            </w:tcBorders>
            <w:vAlign w:val="center"/>
          </w:tcPr>
          <w:p w14:paraId="7C6CE2A2" w14:textId="372477A8" w:rsidR="00C07DAE" w:rsidRPr="0053555E" w:rsidRDefault="00C07DAE" w:rsidP="00C07DAE">
            <w:pPr>
              <w:jc w:val="center"/>
              <w:rPr>
                <w:rFonts w:asciiTheme="majorHAnsi" w:hAnsiTheme="majorHAnsi" w:cstheme="majorHAnsi"/>
                <w:sz w:val="22"/>
                <w:szCs w:val="20"/>
              </w:rPr>
            </w:pPr>
            <w:r w:rsidRPr="0053555E">
              <w:rPr>
                <w:rFonts w:cs="Calibri"/>
                <w:sz w:val="22"/>
                <w:szCs w:val="20"/>
              </w:rPr>
              <w:t>37</w:t>
            </w:r>
          </w:p>
        </w:tc>
        <w:tc>
          <w:tcPr>
            <w:tcW w:w="1114" w:type="dxa"/>
            <w:tcBorders>
              <w:top w:val="single" w:sz="4" w:space="0" w:color="auto"/>
              <w:left w:val="single" w:sz="4" w:space="0" w:color="auto"/>
              <w:bottom w:val="single" w:sz="4" w:space="0" w:color="auto"/>
              <w:right w:val="single" w:sz="4" w:space="0" w:color="auto"/>
            </w:tcBorders>
            <w:vAlign w:val="center"/>
          </w:tcPr>
          <w:p w14:paraId="783F6433" w14:textId="1B7BEF6A" w:rsidR="00C07DAE" w:rsidRPr="0053555E" w:rsidRDefault="00C07DAE" w:rsidP="00C07DAE">
            <w:pPr>
              <w:jc w:val="center"/>
              <w:rPr>
                <w:rFonts w:asciiTheme="majorHAnsi" w:hAnsiTheme="majorHAnsi" w:cstheme="majorHAnsi"/>
                <w:sz w:val="22"/>
                <w:szCs w:val="20"/>
              </w:rPr>
            </w:pPr>
            <w:r w:rsidRPr="0053555E">
              <w:rPr>
                <w:rFonts w:cs="Calibri"/>
                <w:sz w:val="22"/>
                <w:szCs w:val="20"/>
              </w:rPr>
              <w:t>27</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3E267" w14:textId="17A81AE5" w:rsidR="00C07DAE" w:rsidRPr="0053555E" w:rsidRDefault="00C07DAE" w:rsidP="00C07DAE">
            <w:pPr>
              <w:jc w:val="center"/>
              <w:rPr>
                <w:rFonts w:asciiTheme="majorHAnsi" w:hAnsiTheme="majorHAnsi" w:cstheme="majorHAnsi"/>
                <w:sz w:val="22"/>
                <w:szCs w:val="20"/>
              </w:rPr>
            </w:pPr>
            <w:r w:rsidRPr="0053555E">
              <w:rPr>
                <w:rFonts w:cs="Calibri"/>
                <w:sz w:val="22"/>
                <w:szCs w:val="20"/>
              </w:rPr>
              <w:t>19</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15638" w14:textId="0A51CC2D" w:rsidR="00C07DAE" w:rsidRPr="0053555E" w:rsidRDefault="00C07DAE" w:rsidP="00C07DAE">
            <w:pPr>
              <w:jc w:val="center"/>
              <w:rPr>
                <w:rFonts w:asciiTheme="majorHAnsi" w:hAnsiTheme="majorHAnsi" w:cstheme="majorHAnsi"/>
                <w:sz w:val="22"/>
                <w:szCs w:val="20"/>
              </w:rPr>
            </w:pPr>
            <w:r w:rsidRPr="0053555E">
              <w:rPr>
                <w:rFonts w:cs="Calibri"/>
                <w:sz w:val="22"/>
                <w:szCs w:val="20"/>
              </w:rPr>
              <w:t>10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58326" w14:textId="05BAEA9F" w:rsidR="00C07DAE" w:rsidRPr="0053555E" w:rsidRDefault="00C07DAE" w:rsidP="00C07DAE">
            <w:pPr>
              <w:jc w:val="center"/>
              <w:rPr>
                <w:rFonts w:asciiTheme="majorHAnsi" w:hAnsiTheme="majorHAnsi" w:cstheme="majorHAnsi"/>
                <w:sz w:val="22"/>
                <w:szCs w:val="20"/>
              </w:rPr>
            </w:pPr>
            <w:r w:rsidRPr="0053555E">
              <w:rPr>
                <w:rFonts w:cs="Calibri"/>
                <w:sz w:val="22"/>
                <w:szCs w:val="20"/>
              </w:rPr>
              <w:t>18</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53CB8" w14:textId="7844B6B1" w:rsidR="00C07DAE" w:rsidRPr="0053555E" w:rsidRDefault="00C07DAE" w:rsidP="00C07DAE">
            <w:pPr>
              <w:jc w:val="center"/>
              <w:rPr>
                <w:rFonts w:asciiTheme="majorHAnsi" w:hAnsiTheme="majorHAnsi" w:cstheme="majorHAnsi"/>
                <w:sz w:val="22"/>
                <w:szCs w:val="20"/>
              </w:rPr>
            </w:pPr>
            <w:r w:rsidRPr="0053555E">
              <w:rPr>
                <w:rFonts w:cs="Calibri"/>
                <w:sz w:val="22"/>
                <w:szCs w:val="20"/>
              </w:rPr>
              <w:t>9</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7389C" w14:textId="46215819" w:rsidR="00C07DAE" w:rsidRPr="0053555E" w:rsidRDefault="00C07DAE" w:rsidP="00C07DAE">
            <w:pPr>
              <w:jc w:val="center"/>
              <w:rPr>
                <w:rFonts w:asciiTheme="majorHAnsi" w:hAnsiTheme="majorHAnsi" w:cstheme="majorHAnsi"/>
                <w:sz w:val="22"/>
                <w:szCs w:val="20"/>
              </w:rPr>
            </w:pPr>
            <w:r w:rsidRPr="0053555E">
              <w:rPr>
                <w:rFonts w:cs="Calibri"/>
                <w:sz w:val="22"/>
                <w:szCs w:val="20"/>
              </w:rPr>
              <w:t>9</w:t>
            </w:r>
          </w:p>
        </w:tc>
      </w:tr>
      <w:tr w:rsidR="00C07DAE" w:rsidRPr="0053555E" w14:paraId="2B9C4E9C" w14:textId="77777777" w:rsidTr="002F26F9">
        <w:trPr>
          <w:trHeight w:val="25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1F23D763" w14:textId="77777777" w:rsidR="00C07DAE" w:rsidRPr="0053555E" w:rsidRDefault="00C07DAE" w:rsidP="00C07DAE">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SjF</w:t>
            </w:r>
          </w:p>
        </w:tc>
        <w:tc>
          <w:tcPr>
            <w:tcW w:w="1113" w:type="dxa"/>
            <w:tcBorders>
              <w:top w:val="single" w:sz="4" w:space="0" w:color="auto"/>
              <w:left w:val="nil"/>
              <w:bottom w:val="single" w:sz="4" w:space="0" w:color="auto"/>
              <w:right w:val="single" w:sz="4" w:space="0" w:color="auto"/>
            </w:tcBorders>
            <w:vAlign w:val="center"/>
          </w:tcPr>
          <w:p w14:paraId="3D0ABED1" w14:textId="3AFF15A7" w:rsidR="00C07DAE" w:rsidRPr="0053555E" w:rsidRDefault="00C07DAE" w:rsidP="00C07DAE">
            <w:pPr>
              <w:jc w:val="center"/>
              <w:rPr>
                <w:rFonts w:asciiTheme="majorHAnsi" w:hAnsiTheme="majorHAnsi" w:cstheme="majorHAnsi"/>
                <w:sz w:val="22"/>
                <w:szCs w:val="20"/>
              </w:rPr>
            </w:pPr>
            <w:r w:rsidRPr="0053555E">
              <w:rPr>
                <w:rFonts w:cs="Calibri"/>
                <w:sz w:val="22"/>
                <w:szCs w:val="20"/>
              </w:rPr>
              <w:t>9</w:t>
            </w:r>
          </w:p>
        </w:tc>
        <w:tc>
          <w:tcPr>
            <w:tcW w:w="1114" w:type="dxa"/>
            <w:tcBorders>
              <w:top w:val="single" w:sz="4" w:space="0" w:color="auto"/>
              <w:left w:val="single" w:sz="4" w:space="0" w:color="auto"/>
              <w:bottom w:val="single" w:sz="4" w:space="0" w:color="auto"/>
              <w:right w:val="single" w:sz="4" w:space="0" w:color="auto"/>
            </w:tcBorders>
            <w:vAlign w:val="center"/>
          </w:tcPr>
          <w:p w14:paraId="60472733" w14:textId="63D78D55" w:rsidR="00C07DAE" w:rsidRPr="0053555E" w:rsidRDefault="00C07DAE" w:rsidP="00C07DAE">
            <w:pPr>
              <w:jc w:val="center"/>
              <w:rPr>
                <w:rFonts w:asciiTheme="majorHAnsi" w:hAnsiTheme="majorHAnsi" w:cstheme="majorHAnsi"/>
                <w:sz w:val="22"/>
                <w:szCs w:val="20"/>
              </w:rPr>
            </w:pPr>
            <w:r w:rsidRPr="0053555E">
              <w:rPr>
                <w:rFonts w:cs="Calibri"/>
                <w:sz w:val="22"/>
                <w:szCs w:val="20"/>
              </w:rPr>
              <w:t>5</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7B01D" w14:textId="7C7B7B94" w:rsidR="00C07DAE" w:rsidRPr="0053555E" w:rsidRDefault="00C07DAE" w:rsidP="00C07DAE">
            <w:pPr>
              <w:jc w:val="center"/>
              <w:rPr>
                <w:rFonts w:asciiTheme="majorHAnsi" w:hAnsiTheme="majorHAnsi" w:cstheme="majorHAnsi"/>
                <w:sz w:val="22"/>
                <w:szCs w:val="20"/>
              </w:rPr>
            </w:pPr>
            <w:r w:rsidRPr="0053555E">
              <w:rPr>
                <w:rFonts w:cs="Calibri"/>
                <w:sz w:val="22"/>
                <w:szCs w:val="20"/>
              </w:rPr>
              <w:t>11</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C012F" w14:textId="5A2DB611" w:rsidR="00C07DAE" w:rsidRPr="0053555E" w:rsidRDefault="00C07DAE" w:rsidP="00C07DAE">
            <w:pPr>
              <w:jc w:val="center"/>
              <w:rPr>
                <w:rFonts w:asciiTheme="majorHAnsi" w:hAnsiTheme="majorHAnsi" w:cstheme="majorHAnsi"/>
                <w:sz w:val="22"/>
                <w:szCs w:val="20"/>
              </w:rPr>
            </w:pPr>
            <w:r w:rsidRPr="0053555E">
              <w:rPr>
                <w:rFonts w:cs="Calibri"/>
                <w:sz w:val="22"/>
                <w:szCs w:val="20"/>
              </w:rPr>
              <w:t>7</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627D7" w14:textId="0FF74009" w:rsidR="00C07DAE" w:rsidRPr="0053555E" w:rsidRDefault="00C07DAE" w:rsidP="00C07DAE">
            <w:pPr>
              <w:jc w:val="center"/>
              <w:rPr>
                <w:rFonts w:asciiTheme="majorHAnsi" w:hAnsiTheme="majorHAnsi" w:cstheme="majorHAnsi"/>
                <w:sz w:val="22"/>
                <w:szCs w:val="20"/>
              </w:rPr>
            </w:pPr>
            <w:r w:rsidRPr="0053555E">
              <w:rPr>
                <w:rFonts w:cs="Calibri"/>
                <w:sz w:val="22"/>
                <w:szCs w:val="20"/>
              </w:rPr>
              <w:t>8</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32CB0" w14:textId="56EEBE42" w:rsidR="00C07DAE" w:rsidRPr="0053555E" w:rsidRDefault="00C07DAE" w:rsidP="00C07DAE">
            <w:pPr>
              <w:jc w:val="center"/>
              <w:rPr>
                <w:rFonts w:asciiTheme="majorHAnsi" w:hAnsiTheme="majorHAnsi" w:cstheme="majorHAnsi"/>
                <w:sz w:val="22"/>
                <w:szCs w:val="20"/>
              </w:rPr>
            </w:pPr>
            <w:r w:rsidRPr="0053555E">
              <w:rPr>
                <w:rFonts w:cs="Calibri"/>
                <w:sz w:val="22"/>
                <w:szCs w:val="20"/>
              </w:rPr>
              <w:t>8</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61DA5" w14:textId="19CB485E" w:rsidR="00C07DAE" w:rsidRPr="0053555E" w:rsidRDefault="00C07DAE" w:rsidP="00C07DAE">
            <w:pPr>
              <w:jc w:val="center"/>
              <w:rPr>
                <w:rFonts w:asciiTheme="majorHAnsi" w:hAnsiTheme="majorHAnsi" w:cstheme="majorHAnsi"/>
                <w:sz w:val="22"/>
                <w:szCs w:val="20"/>
              </w:rPr>
            </w:pPr>
            <w:r w:rsidRPr="0053555E">
              <w:rPr>
                <w:rFonts w:cs="Calibri"/>
                <w:sz w:val="22"/>
                <w:szCs w:val="20"/>
              </w:rPr>
              <w:t>1</w:t>
            </w:r>
          </w:p>
        </w:tc>
      </w:tr>
      <w:tr w:rsidR="00C07DAE" w:rsidRPr="0053555E" w14:paraId="2E499AB0" w14:textId="77777777" w:rsidTr="002F26F9">
        <w:trPr>
          <w:trHeight w:val="25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26808054" w14:textId="77777777" w:rsidR="00C07DAE" w:rsidRPr="0053555E" w:rsidRDefault="00C07DAE" w:rsidP="00C07DAE">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FEI</w:t>
            </w:r>
          </w:p>
        </w:tc>
        <w:tc>
          <w:tcPr>
            <w:tcW w:w="1113" w:type="dxa"/>
            <w:tcBorders>
              <w:top w:val="single" w:sz="4" w:space="0" w:color="auto"/>
              <w:left w:val="nil"/>
              <w:bottom w:val="single" w:sz="4" w:space="0" w:color="auto"/>
              <w:right w:val="single" w:sz="4" w:space="0" w:color="auto"/>
            </w:tcBorders>
            <w:vAlign w:val="center"/>
          </w:tcPr>
          <w:p w14:paraId="2AC7DF33" w14:textId="79908345" w:rsidR="00C07DAE" w:rsidRPr="0053555E" w:rsidRDefault="00C07DAE" w:rsidP="00C07DAE">
            <w:pPr>
              <w:jc w:val="center"/>
              <w:rPr>
                <w:rFonts w:asciiTheme="majorHAnsi" w:hAnsiTheme="majorHAnsi" w:cstheme="majorHAnsi"/>
                <w:sz w:val="22"/>
                <w:szCs w:val="20"/>
              </w:rPr>
            </w:pPr>
            <w:r w:rsidRPr="0053555E">
              <w:rPr>
                <w:rFonts w:cs="Calibri"/>
                <w:sz w:val="22"/>
                <w:szCs w:val="20"/>
              </w:rPr>
              <w:t>29</w:t>
            </w:r>
          </w:p>
        </w:tc>
        <w:tc>
          <w:tcPr>
            <w:tcW w:w="1114" w:type="dxa"/>
            <w:tcBorders>
              <w:top w:val="single" w:sz="4" w:space="0" w:color="auto"/>
              <w:left w:val="single" w:sz="4" w:space="0" w:color="auto"/>
              <w:bottom w:val="single" w:sz="4" w:space="0" w:color="auto"/>
              <w:right w:val="single" w:sz="4" w:space="0" w:color="auto"/>
            </w:tcBorders>
            <w:vAlign w:val="center"/>
          </w:tcPr>
          <w:p w14:paraId="50CA6258" w14:textId="47E0934D" w:rsidR="00C07DAE" w:rsidRPr="0053555E" w:rsidRDefault="00C07DAE" w:rsidP="00C07DAE">
            <w:pPr>
              <w:jc w:val="center"/>
              <w:rPr>
                <w:rFonts w:asciiTheme="majorHAnsi" w:hAnsiTheme="majorHAnsi" w:cstheme="majorHAnsi"/>
                <w:sz w:val="22"/>
                <w:szCs w:val="20"/>
              </w:rPr>
            </w:pPr>
            <w:r w:rsidRPr="0053555E">
              <w:rPr>
                <w:rFonts w:cs="Calibri"/>
                <w:sz w:val="22"/>
                <w:szCs w:val="20"/>
              </w:rPr>
              <w:t>22</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BBA5C" w14:textId="7AF8FAB4" w:rsidR="00C07DAE" w:rsidRPr="0053555E" w:rsidRDefault="00C07DAE" w:rsidP="00C07DAE">
            <w:pPr>
              <w:jc w:val="center"/>
              <w:rPr>
                <w:rFonts w:asciiTheme="majorHAnsi" w:hAnsiTheme="majorHAnsi" w:cstheme="majorHAnsi"/>
                <w:sz w:val="22"/>
                <w:szCs w:val="20"/>
              </w:rPr>
            </w:pPr>
            <w:r w:rsidRPr="0053555E">
              <w:rPr>
                <w:rFonts w:cs="Calibri"/>
                <w:sz w:val="22"/>
                <w:szCs w:val="20"/>
              </w:rPr>
              <w:t>22</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946F2" w14:textId="4CFDA8C2" w:rsidR="00C07DAE" w:rsidRPr="0053555E" w:rsidRDefault="00C07DAE" w:rsidP="00C07DAE">
            <w:pPr>
              <w:jc w:val="center"/>
              <w:rPr>
                <w:rFonts w:asciiTheme="majorHAnsi" w:hAnsiTheme="majorHAnsi" w:cstheme="majorHAnsi"/>
                <w:sz w:val="22"/>
                <w:szCs w:val="20"/>
              </w:rPr>
            </w:pPr>
            <w:r w:rsidRPr="0053555E">
              <w:rPr>
                <w:rFonts w:cs="Calibri"/>
                <w:sz w:val="22"/>
                <w:szCs w:val="20"/>
              </w:rPr>
              <w:t>22</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37E91" w14:textId="44F69D4B" w:rsidR="00C07DAE" w:rsidRPr="0053555E" w:rsidRDefault="00C07DAE" w:rsidP="00C07DAE">
            <w:pPr>
              <w:jc w:val="center"/>
              <w:rPr>
                <w:rFonts w:asciiTheme="majorHAnsi" w:hAnsiTheme="majorHAnsi" w:cstheme="majorHAnsi"/>
                <w:sz w:val="22"/>
                <w:szCs w:val="20"/>
              </w:rPr>
            </w:pPr>
            <w:r w:rsidRPr="0053555E">
              <w:rPr>
                <w:rFonts w:cs="Calibri"/>
                <w:sz w:val="22"/>
                <w:szCs w:val="20"/>
              </w:rPr>
              <w:t>27</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B538D" w14:textId="6026A4C6" w:rsidR="00C07DAE" w:rsidRPr="0053555E" w:rsidRDefault="00C07DAE" w:rsidP="00C07DAE">
            <w:pPr>
              <w:jc w:val="center"/>
              <w:rPr>
                <w:rFonts w:asciiTheme="majorHAnsi" w:hAnsiTheme="majorHAnsi" w:cstheme="majorHAnsi"/>
                <w:sz w:val="22"/>
                <w:szCs w:val="20"/>
              </w:rPr>
            </w:pPr>
            <w:r w:rsidRPr="0053555E">
              <w:rPr>
                <w:rFonts w:cs="Calibri"/>
                <w:sz w:val="22"/>
                <w:szCs w:val="20"/>
              </w:rPr>
              <w:t>18</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0F7A8" w14:textId="2FECD0E1" w:rsidR="00C07DAE" w:rsidRPr="0053555E" w:rsidRDefault="00C07DAE" w:rsidP="00C07DAE">
            <w:pPr>
              <w:jc w:val="center"/>
              <w:rPr>
                <w:rFonts w:asciiTheme="majorHAnsi" w:hAnsiTheme="majorHAnsi" w:cstheme="majorHAnsi"/>
                <w:sz w:val="22"/>
                <w:szCs w:val="20"/>
              </w:rPr>
            </w:pPr>
            <w:r w:rsidRPr="0053555E">
              <w:rPr>
                <w:rFonts w:cs="Calibri"/>
                <w:sz w:val="22"/>
                <w:szCs w:val="20"/>
              </w:rPr>
              <w:t>11</w:t>
            </w:r>
          </w:p>
        </w:tc>
      </w:tr>
      <w:tr w:rsidR="00C07DAE" w:rsidRPr="0053555E" w14:paraId="043C36AC" w14:textId="77777777" w:rsidTr="002F26F9">
        <w:trPr>
          <w:trHeight w:val="25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58C01450" w14:textId="77777777" w:rsidR="00C07DAE" w:rsidRPr="0053555E" w:rsidRDefault="00C07DAE" w:rsidP="00C07DAE">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FCHPT</w:t>
            </w:r>
          </w:p>
        </w:tc>
        <w:tc>
          <w:tcPr>
            <w:tcW w:w="1113" w:type="dxa"/>
            <w:tcBorders>
              <w:top w:val="single" w:sz="4" w:space="0" w:color="auto"/>
              <w:left w:val="nil"/>
              <w:bottom w:val="single" w:sz="4" w:space="0" w:color="auto"/>
              <w:right w:val="single" w:sz="4" w:space="0" w:color="auto"/>
            </w:tcBorders>
            <w:vAlign w:val="center"/>
          </w:tcPr>
          <w:p w14:paraId="5BD82F78" w14:textId="093E7185" w:rsidR="00C07DAE" w:rsidRPr="0053555E" w:rsidRDefault="00C07DAE" w:rsidP="00C07DAE">
            <w:pPr>
              <w:jc w:val="center"/>
              <w:rPr>
                <w:rFonts w:asciiTheme="majorHAnsi" w:hAnsiTheme="majorHAnsi" w:cstheme="majorHAnsi"/>
                <w:sz w:val="22"/>
                <w:szCs w:val="20"/>
              </w:rPr>
            </w:pPr>
            <w:r w:rsidRPr="0053555E">
              <w:rPr>
                <w:rFonts w:cs="Calibri"/>
                <w:sz w:val="22"/>
                <w:szCs w:val="20"/>
              </w:rPr>
              <w:t>12</w:t>
            </w:r>
          </w:p>
        </w:tc>
        <w:tc>
          <w:tcPr>
            <w:tcW w:w="1114" w:type="dxa"/>
            <w:tcBorders>
              <w:top w:val="single" w:sz="4" w:space="0" w:color="auto"/>
              <w:left w:val="single" w:sz="4" w:space="0" w:color="auto"/>
              <w:bottom w:val="single" w:sz="4" w:space="0" w:color="auto"/>
              <w:right w:val="single" w:sz="4" w:space="0" w:color="auto"/>
            </w:tcBorders>
            <w:vAlign w:val="center"/>
          </w:tcPr>
          <w:p w14:paraId="0FA1EE0E" w14:textId="7B3C7270" w:rsidR="00C07DAE" w:rsidRPr="0053555E" w:rsidRDefault="00C07DAE" w:rsidP="00C07DAE">
            <w:pPr>
              <w:jc w:val="center"/>
              <w:rPr>
                <w:rFonts w:asciiTheme="majorHAnsi" w:hAnsiTheme="majorHAnsi" w:cstheme="majorHAnsi"/>
                <w:sz w:val="22"/>
                <w:szCs w:val="20"/>
              </w:rPr>
            </w:pPr>
            <w:r w:rsidRPr="0053555E">
              <w:rPr>
                <w:rFonts w:cs="Calibri"/>
                <w:sz w:val="22"/>
                <w:szCs w:val="20"/>
              </w:rPr>
              <w:t>11</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6524C" w14:textId="4EFD2145" w:rsidR="00C07DAE" w:rsidRPr="0053555E" w:rsidRDefault="00C07DAE" w:rsidP="00C07DAE">
            <w:pPr>
              <w:jc w:val="center"/>
              <w:rPr>
                <w:rFonts w:asciiTheme="majorHAnsi" w:hAnsiTheme="majorHAnsi" w:cstheme="majorHAnsi"/>
                <w:sz w:val="22"/>
                <w:szCs w:val="20"/>
              </w:rPr>
            </w:pPr>
            <w:r w:rsidRPr="0053555E">
              <w:rPr>
                <w:rFonts w:cs="Calibri"/>
                <w:sz w:val="22"/>
                <w:szCs w:val="20"/>
              </w:rPr>
              <w:t>16</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004D4" w14:textId="6A228014" w:rsidR="00C07DAE" w:rsidRPr="0053555E" w:rsidRDefault="00C07DAE" w:rsidP="00C07DAE">
            <w:pPr>
              <w:jc w:val="center"/>
              <w:rPr>
                <w:rFonts w:asciiTheme="majorHAnsi" w:hAnsiTheme="majorHAnsi" w:cstheme="majorHAnsi"/>
                <w:sz w:val="22"/>
                <w:szCs w:val="20"/>
              </w:rPr>
            </w:pPr>
            <w:r w:rsidRPr="0053555E">
              <w:rPr>
                <w:rFonts w:cs="Calibri"/>
                <w:sz w:val="22"/>
                <w:szCs w:val="20"/>
              </w:rPr>
              <w:t>7</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5FCF9" w14:textId="1B456874" w:rsidR="00C07DAE" w:rsidRPr="0053555E" w:rsidRDefault="00C07DAE" w:rsidP="00C07DAE">
            <w:pPr>
              <w:jc w:val="center"/>
              <w:rPr>
                <w:rFonts w:asciiTheme="majorHAnsi" w:hAnsiTheme="majorHAnsi" w:cstheme="majorHAnsi"/>
                <w:sz w:val="22"/>
                <w:szCs w:val="20"/>
              </w:rPr>
            </w:pPr>
            <w:r w:rsidRPr="0053555E">
              <w:rPr>
                <w:rFonts w:cs="Calibri"/>
                <w:sz w:val="22"/>
                <w:szCs w:val="20"/>
              </w:rPr>
              <w:t>15</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6D2FF" w14:textId="2BE6E307" w:rsidR="00C07DAE" w:rsidRPr="0053555E" w:rsidRDefault="00C07DAE" w:rsidP="00C07DAE">
            <w:pPr>
              <w:jc w:val="center"/>
              <w:rPr>
                <w:rFonts w:asciiTheme="majorHAnsi" w:hAnsiTheme="majorHAnsi" w:cstheme="majorHAnsi"/>
                <w:sz w:val="22"/>
                <w:szCs w:val="20"/>
              </w:rPr>
            </w:pPr>
            <w:r w:rsidRPr="0053555E">
              <w:rPr>
                <w:rFonts w:cs="Calibri"/>
                <w:sz w:val="22"/>
                <w:szCs w:val="20"/>
              </w:rPr>
              <w:t>2</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941C0" w14:textId="49033798" w:rsidR="00C07DAE" w:rsidRPr="0053555E" w:rsidRDefault="00C07DAE" w:rsidP="00C07DAE">
            <w:pPr>
              <w:jc w:val="center"/>
              <w:rPr>
                <w:rFonts w:asciiTheme="majorHAnsi" w:hAnsiTheme="majorHAnsi" w:cstheme="majorHAnsi"/>
                <w:sz w:val="22"/>
                <w:szCs w:val="20"/>
              </w:rPr>
            </w:pPr>
            <w:r w:rsidRPr="0053555E">
              <w:rPr>
                <w:rFonts w:cs="Calibri"/>
                <w:sz w:val="22"/>
                <w:szCs w:val="20"/>
              </w:rPr>
              <w:t>4</w:t>
            </w:r>
          </w:p>
        </w:tc>
      </w:tr>
      <w:tr w:rsidR="00C07DAE" w:rsidRPr="0053555E" w14:paraId="1D6A78DA" w14:textId="77777777" w:rsidTr="002F26F9">
        <w:trPr>
          <w:trHeight w:val="25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150A28BF" w14:textId="77777777" w:rsidR="00C07DAE" w:rsidRPr="0053555E" w:rsidRDefault="00C07DAE" w:rsidP="00C07DAE">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FAD</w:t>
            </w:r>
          </w:p>
        </w:tc>
        <w:tc>
          <w:tcPr>
            <w:tcW w:w="1113" w:type="dxa"/>
            <w:tcBorders>
              <w:top w:val="single" w:sz="4" w:space="0" w:color="auto"/>
              <w:left w:val="nil"/>
              <w:bottom w:val="single" w:sz="4" w:space="0" w:color="auto"/>
              <w:right w:val="single" w:sz="4" w:space="0" w:color="auto"/>
            </w:tcBorders>
            <w:vAlign w:val="center"/>
          </w:tcPr>
          <w:p w14:paraId="41C9ED12" w14:textId="7D5559A0" w:rsidR="00C07DAE" w:rsidRPr="0053555E" w:rsidRDefault="00C07DAE" w:rsidP="00C07DAE">
            <w:pPr>
              <w:jc w:val="center"/>
              <w:rPr>
                <w:rFonts w:asciiTheme="majorHAnsi" w:hAnsiTheme="majorHAnsi" w:cstheme="majorHAnsi"/>
                <w:sz w:val="22"/>
                <w:szCs w:val="20"/>
              </w:rPr>
            </w:pPr>
            <w:r w:rsidRPr="0053555E">
              <w:rPr>
                <w:rFonts w:cs="Calibri"/>
                <w:sz w:val="22"/>
                <w:szCs w:val="20"/>
              </w:rPr>
              <w:t>15</w:t>
            </w:r>
          </w:p>
        </w:tc>
        <w:tc>
          <w:tcPr>
            <w:tcW w:w="1114" w:type="dxa"/>
            <w:tcBorders>
              <w:top w:val="single" w:sz="4" w:space="0" w:color="auto"/>
              <w:left w:val="single" w:sz="4" w:space="0" w:color="auto"/>
              <w:bottom w:val="single" w:sz="4" w:space="0" w:color="auto"/>
              <w:right w:val="single" w:sz="4" w:space="0" w:color="auto"/>
            </w:tcBorders>
            <w:vAlign w:val="center"/>
          </w:tcPr>
          <w:p w14:paraId="7A98A287" w14:textId="46DD755E" w:rsidR="00C07DAE" w:rsidRPr="0053555E" w:rsidRDefault="00C07DAE" w:rsidP="00C07DAE">
            <w:pPr>
              <w:jc w:val="center"/>
              <w:rPr>
                <w:rFonts w:asciiTheme="majorHAnsi" w:hAnsiTheme="majorHAnsi" w:cstheme="majorHAnsi"/>
                <w:sz w:val="22"/>
                <w:szCs w:val="20"/>
              </w:rPr>
            </w:pPr>
            <w:r w:rsidRPr="0053555E">
              <w:rPr>
                <w:rFonts w:cs="Calibri"/>
                <w:sz w:val="22"/>
                <w:szCs w:val="20"/>
              </w:rPr>
              <w:t>14</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010D3" w14:textId="629A815D" w:rsidR="00C07DAE" w:rsidRPr="0053555E" w:rsidRDefault="00C07DAE" w:rsidP="00C07DAE">
            <w:pPr>
              <w:jc w:val="center"/>
              <w:rPr>
                <w:rFonts w:asciiTheme="majorHAnsi" w:hAnsiTheme="majorHAnsi" w:cstheme="majorHAnsi"/>
                <w:sz w:val="22"/>
                <w:szCs w:val="20"/>
              </w:rPr>
            </w:pPr>
            <w:r w:rsidRPr="0053555E">
              <w:rPr>
                <w:rFonts w:cs="Calibri"/>
                <w:sz w:val="22"/>
                <w:szCs w:val="20"/>
              </w:rPr>
              <w:t>7</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24B31" w14:textId="2C24D890" w:rsidR="00C07DAE" w:rsidRPr="0053555E" w:rsidRDefault="00C07DAE" w:rsidP="00C07DAE">
            <w:pPr>
              <w:jc w:val="center"/>
              <w:rPr>
                <w:rFonts w:asciiTheme="majorHAnsi" w:hAnsiTheme="majorHAnsi" w:cstheme="majorHAnsi"/>
                <w:sz w:val="22"/>
                <w:szCs w:val="20"/>
              </w:rPr>
            </w:pPr>
            <w:r w:rsidRPr="0053555E">
              <w:rPr>
                <w:rFonts w:cs="Calibri"/>
                <w:sz w:val="22"/>
                <w:szCs w:val="20"/>
              </w:rPr>
              <w:t>7</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B56CA" w14:textId="13BF00D7" w:rsidR="00C07DAE" w:rsidRPr="0053555E" w:rsidRDefault="00C07DAE" w:rsidP="00C07DAE">
            <w:pPr>
              <w:jc w:val="center"/>
              <w:rPr>
                <w:rFonts w:asciiTheme="majorHAnsi" w:hAnsiTheme="majorHAnsi" w:cstheme="majorHAnsi"/>
                <w:sz w:val="22"/>
                <w:szCs w:val="20"/>
              </w:rPr>
            </w:pPr>
            <w:r w:rsidRPr="0053555E">
              <w:rPr>
                <w:rFonts w:cs="Calibri"/>
                <w:sz w:val="22"/>
                <w:szCs w:val="20"/>
              </w:rPr>
              <w:t>9</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D61DF" w14:textId="2989E216" w:rsidR="00C07DAE" w:rsidRPr="0053555E" w:rsidRDefault="00C07DAE" w:rsidP="00C07DAE">
            <w:pPr>
              <w:jc w:val="center"/>
              <w:rPr>
                <w:rFonts w:asciiTheme="majorHAnsi" w:hAnsiTheme="majorHAnsi" w:cstheme="majorHAnsi"/>
                <w:sz w:val="22"/>
                <w:szCs w:val="20"/>
              </w:rPr>
            </w:pPr>
            <w:r w:rsidRPr="0053555E">
              <w:rPr>
                <w:rFonts w:cs="Calibri"/>
                <w:sz w:val="22"/>
                <w:szCs w:val="20"/>
              </w:rPr>
              <w:t>5</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05D5C" w14:textId="5B1AD1C4" w:rsidR="00C07DAE" w:rsidRPr="0053555E" w:rsidRDefault="00C07DAE" w:rsidP="00C07DAE">
            <w:pPr>
              <w:jc w:val="center"/>
              <w:rPr>
                <w:rFonts w:asciiTheme="majorHAnsi" w:hAnsiTheme="majorHAnsi" w:cstheme="majorHAnsi"/>
                <w:sz w:val="22"/>
                <w:szCs w:val="20"/>
              </w:rPr>
            </w:pPr>
            <w:r w:rsidRPr="0053555E">
              <w:rPr>
                <w:rFonts w:cs="Calibri"/>
                <w:sz w:val="22"/>
                <w:szCs w:val="20"/>
              </w:rPr>
              <w:t>3</w:t>
            </w:r>
          </w:p>
        </w:tc>
      </w:tr>
      <w:tr w:rsidR="00C07DAE" w:rsidRPr="0053555E" w14:paraId="07BC2943" w14:textId="77777777" w:rsidTr="002F26F9">
        <w:trPr>
          <w:trHeight w:val="25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18AB024A" w14:textId="77777777" w:rsidR="00C07DAE" w:rsidRPr="0053555E" w:rsidRDefault="00C07DAE" w:rsidP="00C07DAE">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MTF</w:t>
            </w:r>
          </w:p>
        </w:tc>
        <w:tc>
          <w:tcPr>
            <w:tcW w:w="1113" w:type="dxa"/>
            <w:tcBorders>
              <w:top w:val="single" w:sz="4" w:space="0" w:color="auto"/>
              <w:left w:val="nil"/>
              <w:bottom w:val="single" w:sz="4" w:space="0" w:color="auto"/>
              <w:right w:val="single" w:sz="4" w:space="0" w:color="auto"/>
            </w:tcBorders>
            <w:vAlign w:val="center"/>
          </w:tcPr>
          <w:p w14:paraId="7383821C" w14:textId="0543F6FC" w:rsidR="00C07DAE" w:rsidRPr="0053555E" w:rsidRDefault="00C07DAE" w:rsidP="00C07DAE">
            <w:pPr>
              <w:jc w:val="center"/>
              <w:rPr>
                <w:rFonts w:asciiTheme="majorHAnsi" w:hAnsiTheme="majorHAnsi" w:cstheme="majorHAnsi"/>
                <w:sz w:val="22"/>
                <w:szCs w:val="20"/>
              </w:rPr>
            </w:pPr>
            <w:r w:rsidRPr="0053555E">
              <w:rPr>
                <w:rFonts w:cs="Calibri"/>
                <w:sz w:val="22"/>
                <w:szCs w:val="20"/>
              </w:rPr>
              <w:t>22</w:t>
            </w:r>
          </w:p>
        </w:tc>
        <w:tc>
          <w:tcPr>
            <w:tcW w:w="1114" w:type="dxa"/>
            <w:tcBorders>
              <w:top w:val="single" w:sz="4" w:space="0" w:color="auto"/>
              <w:left w:val="single" w:sz="4" w:space="0" w:color="auto"/>
              <w:bottom w:val="single" w:sz="4" w:space="0" w:color="auto"/>
              <w:right w:val="single" w:sz="4" w:space="0" w:color="auto"/>
            </w:tcBorders>
            <w:vAlign w:val="center"/>
          </w:tcPr>
          <w:p w14:paraId="172352FA" w14:textId="543AAB03" w:rsidR="00C07DAE" w:rsidRPr="0053555E" w:rsidRDefault="00C07DAE" w:rsidP="00C07DAE">
            <w:pPr>
              <w:jc w:val="center"/>
              <w:rPr>
                <w:rFonts w:asciiTheme="majorHAnsi" w:hAnsiTheme="majorHAnsi" w:cstheme="majorHAnsi"/>
                <w:sz w:val="22"/>
                <w:szCs w:val="20"/>
              </w:rPr>
            </w:pPr>
            <w:r w:rsidRPr="0053555E">
              <w:rPr>
                <w:rFonts w:cs="Calibri"/>
                <w:sz w:val="22"/>
                <w:szCs w:val="20"/>
              </w:rPr>
              <w:t>21</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2FC63" w14:textId="72739A69" w:rsidR="00C07DAE" w:rsidRPr="0053555E" w:rsidRDefault="00C07DAE" w:rsidP="00C07DAE">
            <w:pPr>
              <w:jc w:val="center"/>
              <w:rPr>
                <w:rFonts w:asciiTheme="majorHAnsi" w:hAnsiTheme="majorHAnsi" w:cstheme="majorHAnsi"/>
                <w:sz w:val="22"/>
                <w:szCs w:val="20"/>
              </w:rPr>
            </w:pPr>
            <w:r w:rsidRPr="0053555E">
              <w:rPr>
                <w:rFonts w:cs="Calibri"/>
                <w:sz w:val="22"/>
                <w:szCs w:val="20"/>
              </w:rPr>
              <w:t>20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94B50" w14:textId="52D18AB3" w:rsidR="00C07DAE" w:rsidRPr="0053555E" w:rsidRDefault="00C07DAE" w:rsidP="00C07DAE">
            <w:pPr>
              <w:jc w:val="center"/>
              <w:rPr>
                <w:rFonts w:asciiTheme="majorHAnsi" w:hAnsiTheme="majorHAnsi" w:cstheme="majorHAnsi"/>
                <w:sz w:val="22"/>
                <w:szCs w:val="20"/>
              </w:rPr>
            </w:pPr>
            <w:r w:rsidRPr="0053555E">
              <w:rPr>
                <w:rFonts w:cs="Calibri"/>
                <w:sz w:val="22"/>
                <w:szCs w:val="20"/>
              </w:rPr>
              <w:t>14</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B24BC" w14:textId="0A369B74" w:rsidR="00C07DAE" w:rsidRPr="0053555E" w:rsidRDefault="00C07DAE" w:rsidP="00C07DAE">
            <w:pPr>
              <w:jc w:val="center"/>
              <w:rPr>
                <w:rFonts w:asciiTheme="majorHAnsi" w:hAnsiTheme="majorHAnsi" w:cstheme="majorHAnsi"/>
                <w:sz w:val="22"/>
                <w:szCs w:val="20"/>
              </w:rPr>
            </w:pPr>
            <w:r w:rsidRPr="0053555E">
              <w:rPr>
                <w:rFonts w:cs="Calibri"/>
                <w:sz w:val="22"/>
                <w:szCs w:val="20"/>
              </w:rPr>
              <w:t>18</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D36FC" w14:textId="69B20E36" w:rsidR="00C07DAE" w:rsidRPr="0053555E" w:rsidRDefault="00C07DAE" w:rsidP="00C07DAE">
            <w:pPr>
              <w:jc w:val="center"/>
              <w:rPr>
                <w:rFonts w:asciiTheme="majorHAnsi" w:hAnsiTheme="majorHAnsi" w:cstheme="majorHAnsi"/>
                <w:sz w:val="22"/>
                <w:szCs w:val="20"/>
              </w:rPr>
            </w:pPr>
            <w:r w:rsidRPr="0053555E">
              <w:rPr>
                <w:rFonts w:cs="Calibri"/>
                <w:sz w:val="22"/>
                <w:szCs w:val="20"/>
              </w:rPr>
              <w:t>15</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33098" w14:textId="72CACC58" w:rsidR="00C07DAE" w:rsidRPr="0053555E" w:rsidRDefault="00C07DAE" w:rsidP="00C07DAE">
            <w:pPr>
              <w:jc w:val="center"/>
              <w:rPr>
                <w:rFonts w:asciiTheme="majorHAnsi" w:hAnsiTheme="majorHAnsi" w:cstheme="majorHAnsi"/>
                <w:sz w:val="22"/>
                <w:szCs w:val="20"/>
              </w:rPr>
            </w:pPr>
            <w:r w:rsidRPr="0053555E">
              <w:rPr>
                <w:rFonts w:cs="Calibri"/>
                <w:sz w:val="22"/>
                <w:szCs w:val="20"/>
              </w:rPr>
              <w:t>9</w:t>
            </w:r>
          </w:p>
        </w:tc>
      </w:tr>
      <w:tr w:rsidR="00C07DAE" w:rsidRPr="0053555E" w14:paraId="48922DEF" w14:textId="77777777" w:rsidTr="002F26F9">
        <w:trPr>
          <w:trHeight w:val="25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5887B47F" w14:textId="77777777" w:rsidR="00C07DAE" w:rsidRPr="0053555E" w:rsidRDefault="00C07DAE" w:rsidP="00C07DAE">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FIIT</w:t>
            </w:r>
          </w:p>
        </w:tc>
        <w:tc>
          <w:tcPr>
            <w:tcW w:w="1113" w:type="dxa"/>
            <w:tcBorders>
              <w:top w:val="single" w:sz="4" w:space="0" w:color="auto"/>
              <w:left w:val="nil"/>
              <w:bottom w:val="single" w:sz="4" w:space="0" w:color="auto"/>
              <w:right w:val="single" w:sz="4" w:space="0" w:color="auto"/>
            </w:tcBorders>
            <w:vAlign w:val="center"/>
          </w:tcPr>
          <w:p w14:paraId="69245F13" w14:textId="60E9AFA2" w:rsidR="00C07DAE" w:rsidRPr="0053555E" w:rsidRDefault="00C07DAE" w:rsidP="00C07DAE">
            <w:pPr>
              <w:jc w:val="center"/>
              <w:rPr>
                <w:rFonts w:asciiTheme="majorHAnsi" w:hAnsiTheme="majorHAnsi" w:cstheme="majorHAnsi"/>
                <w:sz w:val="22"/>
                <w:szCs w:val="20"/>
              </w:rPr>
            </w:pPr>
            <w:r w:rsidRPr="0053555E">
              <w:rPr>
                <w:rFonts w:cs="Calibri"/>
                <w:sz w:val="22"/>
                <w:szCs w:val="20"/>
              </w:rPr>
              <w:t>7</w:t>
            </w:r>
          </w:p>
        </w:tc>
        <w:tc>
          <w:tcPr>
            <w:tcW w:w="1114" w:type="dxa"/>
            <w:tcBorders>
              <w:top w:val="single" w:sz="4" w:space="0" w:color="auto"/>
              <w:left w:val="single" w:sz="4" w:space="0" w:color="auto"/>
              <w:bottom w:val="single" w:sz="4" w:space="0" w:color="auto"/>
              <w:right w:val="single" w:sz="4" w:space="0" w:color="auto"/>
            </w:tcBorders>
            <w:vAlign w:val="center"/>
          </w:tcPr>
          <w:p w14:paraId="33604E2B" w14:textId="28EC00A8" w:rsidR="00C07DAE" w:rsidRPr="0053555E" w:rsidRDefault="00C07DAE" w:rsidP="00C07DAE">
            <w:pPr>
              <w:jc w:val="center"/>
              <w:rPr>
                <w:rFonts w:asciiTheme="majorHAnsi" w:hAnsiTheme="majorHAnsi" w:cstheme="majorHAnsi"/>
                <w:sz w:val="22"/>
                <w:szCs w:val="20"/>
              </w:rPr>
            </w:pPr>
            <w:r w:rsidRPr="0053555E">
              <w:rPr>
                <w:rFonts w:cs="Calibri"/>
                <w:sz w:val="22"/>
                <w:szCs w:val="20"/>
              </w:rPr>
              <w:t>10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3A18A" w14:textId="76A5013E" w:rsidR="00C07DAE" w:rsidRPr="0053555E" w:rsidRDefault="00C07DAE" w:rsidP="00C07DAE">
            <w:pPr>
              <w:jc w:val="center"/>
              <w:rPr>
                <w:rFonts w:asciiTheme="majorHAnsi" w:hAnsiTheme="majorHAnsi" w:cstheme="majorHAnsi"/>
                <w:sz w:val="22"/>
                <w:szCs w:val="20"/>
              </w:rPr>
            </w:pPr>
            <w:r w:rsidRPr="0053555E">
              <w:rPr>
                <w:rFonts w:cs="Calibri"/>
                <w:sz w:val="22"/>
                <w:szCs w:val="20"/>
              </w:rPr>
              <w:t>6</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8DD68" w14:textId="789B4269" w:rsidR="00C07DAE" w:rsidRPr="0053555E" w:rsidRDefault="00C07DAE" w:rsidP="00C07DAE">
            <w:pPr>
              <w:jc w:val="center"/>
              <w:rPr>
                <w:rFonts w:asciiTheme="majorHAnsi" w:hAnsiTheme="majorHAnsi" w:cstheme="majorHAnsi"/>
                <w:sz w:val="22"/>
                <w:szCs w:val="20"/>
              </w:rPr>
            </w:pPr>
            <w:r w:rsidRPr="0053555E">
              <w:rPr>
                <w:rFonts w:cs="Calibri"/>
                <w:sz w:val="22"/>
                <w:szCs w:val="20"/>
              </w:rPr>
              <w:t>10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2DA69" w14:textId="468977DF" w:rsidR="00C07DAE" w:rsidRPr="0053555E" w:rsidRDefault="00C07DAE" w:rsidP="00C07DAE">
            <w:pPr>
              <w:jc w:val="center"/>
              <w:rPr>
                <w:rFonts w:asciiTheme="majorHAnsi" w:hAnsiTheme="majorHAnsi" w:cstheme="majorHAnsi"/>
                <w:sz w:val="22"/>
                <w:szCs w:val="20"/>
              </w:rPr>
            </w:pPr>
            <w:r w:rsidRPr="0053555E">
              <w:rPr>
                <w:rFonts w:cs="Calibri"/>
                <w:sz w:val="22"/>
                <w:szCs w:val="20"/>
              </w:rPr>
              <w:t>10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1E343" w14:textId="01451B37" w:rsidR="00C07DAE" w:rsidRPr="0053555E" w:rsidRDefault="00C07DAE" w:rsidP="00C07DAE">
            <w:pPr>
              <w:jc w:val="center"/>
              <w:rPr>
                <w:rFonts w:asciiTheme="majorHAnsi" w:hAnsiTheme="majorHAnsi" w:cstheme="majorHAnsi"/>
                <w:sz w:val="22"/>
                <w:szCs w:val="20"/>
              </w:rPr>
            </w:pPr>
            <w:r w:rsidRPr="0053555E">
              <w:rPr>
                <w:rFonts w:cs="Calibri"/>
                <w:sz w:val="22"/>
                <w:szCs w:val="20"/>
              </w:rPr>
              <w:t>3</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83126" w14:textId="37635229" w:rsidR="00C07DAE" w:rsidRPr="0053555E" w:rsidRDefault="00C07DAE" w:rsidP="00C07DAE">
            <w:pPr>
              <w:jc w:val="center"/>
              <w:rPr>
                <w:rFonts w:asciiTheme="majorHAnsi" w:hAnsiTheme="majorHAnsi" w:cstheme="majorHAnsi"/>
                <w:sz w:val="22"/>
                <w:szCs w:val="20"/>
              </w:rPr>
            </w:pPr>
            <w:r w:rsidRPr="0053555E">
              <w:rPr>
                <w:rFonts w:cs="Calibri"/>
                <w:sz w:val="22"/>
                <w:szCs w:val="20"/>
              </w:rPr>
              <w:t>4</w:t>
            </w:r>
          </w:p>
        </w:tc>
      </w:tr>
      <w:tr w:rsidR="00C07DAE" w:rsidRPr="0053555E" w14:paraId="20EDB827" w14:textId="77777777" w:rsidTr="002F26F9">
        <w:trPr>
          <w:trHeight w:val="25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2AF90D55" w14:textId="77777777" w:rsidR="00C07DAE" w:rsidRPr="0053555E" w:rsidRDefault="00C07DAE" w:rsidP="00C07DAE">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ÚM</w:t>
            </w:r>
          </w:p>
        </w:tc>
        <w:tc>
          <w:tcPr>
            <w:tcW w:w="1113" w:type="dxa"/>
            <w:tcBorders>
              <w:top w:val="single" w:sz="4" w:space="0" w:color="auto"/>
              <w:left w:val="nil"/>
              <w:bottom w:val="single" w:sz="4" w:space="0" w:color="auto"/>
              <w:right w:val="single" w:sz="4" w:space="0" w:color="auto"/>
            </w:tcBorders>
            <w:vAlign w:val="center"/>
          </w:tcPr>
          <w:p w14:paraId="2F8131BF" w14:textId="3F239EAC" w:rsidR="00C07DAE" w:rsidRPr="0053555E" w:rsidRDefault="00C07DAE" w:rsidP="00C07DAE">
            <w:pPr>
              <w:jc w:val="center"/>
              <w:rPr>
                <w:rFonts w:asciiTheme="majorHAnsi" w:hAnsiTheme="majorHAnsi" w:cstheme="majorHAnsi"/>
                <w:sz w:val="22"/>
                <w:szCs w:val="20"/>
              </w:rPr>
            </w:pPr>
            <w:r w:rsidRPr="0053555E">
              <w:rPr>
                <w:rFonts w:cs="Calibri"/>
                <w:sz w:val="22"/>
                <w:szCs w:val="20"/>
              </w:rPr>
              <w:t>5</w:t>
            </w:r>
          </w:p>
        </w:tc>
        <w:tc>
          <w:tcPr>
            <w:tcW w:w="1114" w:type="dxa"/>
            <w:tcBorders>
              <w:top w:val="single" w:sz="4" w:space="0" w:color="auto"/>
              <w:left w:val="single" w:sz="4" w:space="0" w:color="auto"/>
              <w:bottom w:val="single" w:sz="4" w:space="0" w:color="auto"/>
              <w:right w:val="single" w:sz="4" w:space="0" w:color="auto"/>
            </w:tcBorders>
            <w:vAlign w:val="center"/>
          </w:tcPr>
          <w:p w14:paraId="0A5E4B40" w14:textId="71AA1069" w:rsidR="00C07DAE" w:rsidRPr="0053555E" w:rsidRDefault="00C07DAE" w:rsidP="00C07DAE">
            <w:pPr>
              <w:jc w:val="center"/>
              <w:rPr>
                <w:rFonts w:asciiTheme="majorHAnsi" w:hAnsiTheme="majorHAnsi" w:cstheme="majorHAnsi"/>
                <w:sz w:val="22"/>
                <w:szCs w:val="20"/>
              </w:rPr>
            </w:pPr>
            <w:r w:rsidRPr="0053555E">
              <w:rPr>
                <w:rFonts w:cs="Calibri"/>
                <w:sz w:val="22"/>
                <w:szCs w:val="20"/>
              </w:rPr>
              <w:t>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98813" w14:textId="751F4032" w:rsidR="00C07DAE" w:rsidRPr="0053555E" w:rsidRDefault="00C07DAE" w:rsidP="00C07DAE">
            <w:pPr>
              <w:jc w:val="center"/>
              <w:rPr>
                <w:rFonts w:asciiTheme="majorHAnsi" w:hAnsiTheme="majorHAnsi" w:cstheme="majorHAnsi"/>
                <w:sz w:val="22"/>
                <w:szCs w:val="20"/>
              </w:rPr>
            </w:pPr>
            <w:r w:rsidRPr="0053555E">
              <w:rPr>
                <w:rFonts w:cs="Calibri"/>
                <w:sz w:val="22"/>
                <w:szCs w:val="20"/>
              </w:rPr>
              <w:t>1</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63916" w14:textId="43BC5150" w:rsidR="00C07DAE" w:rsidRPr="0053555E" w:rsidRDefault="00C07DAE" w:rsidP="00C07DAE">
            <w:pPr>
              <w:jc w:val="center"/>
              <w:rPr>
                <w:rFonts w:asciiTheme="majorHAnsi" w:hAnsiTheme="majorHAnsi" w:cstheme="majorHAnsi"/>
                <w:sz w:val="22"/>
                <w:szCs w:val="20"/>
              </w:rPr>
            </w:pPr>
            <w:r w:rsidRPr="0053555E">
              <w:rPr>
                <w:rFonts w:cs="Calibri"/>
                <w:sz w:val="22"/>
                <w:szCs w:val="20"/>
              </w:rPr>
              <w:t>1</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8E852" w14:textId="47FDEDF6" w:rsidR="00C07DAE" w:rsidRPr="0053555E" w:rsidRDefault="00C07DAE" w:rsidP="00C07DAE">
            <w:pPr>
              <w:jc w:val="center"/>
              <w:rPr>
                <w:rFonts w:asciiTheme="majorHAnsi" w:hAnsiTheme="majorHAnsi" w:cstheme="majorHAnsi"/>
                <w:sz w:val="22"/>
                <w:szCs w:val="20"/>
              </w:rPr>
            </w:pPr>
            <w:r w:rsidRPr="0053555E">
              <w:rPr>
                <w:rFonts w:cs="Calibri"/>
                <w:sz w:val="22"/>
                <w:szCs w:val="20"/>
              </w:rPr>
              <w:t>2</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557DA" w14:textId="2F4A2B8E" w:rsidR="00C07DAE" w:rsidRPr="0053555E" w:rsidRDefault="00C07DAE" w:rsidP="00C07DAE">
            <w:pPr>
              <w:jc w:val="center"/>
              <w:rPr>
                <w:rFonts w:asciiTheme="majorHAnsi" w:hAnsiTheme="majorHAnsi" w:cstheme="majorHAnsi"/>
                <w:sz w:val="22"/>
                <w:szCs w:val="20"/>
              </w:rPr>
            </w:pPr>
            <w:r w:rsidRPr="0053555E">
              <w:rPr>
                <w:rFonts w:cs="Calibri"/>
                <w:sz w:val="22"/>
                <w:szCs w:val="20"/>
              </w:rPr>
              <w:t>1</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7F34E" w14:textId="7EA0700F" w:rsidR="00C07DAE" w:rsidRPr="0053555E" w:rsidRDefault="00C07DAE" w:rsidP="00C07DAE">
            <w:pPr>
              <w:jc w:val="center"/>
              <w:rPr>
                <w:rFonts w:asciiTheme="majorHAnsi" w:hAnsiTheme="majorHAnsi" w:cstheme="majorHAnsi"/>
                <w:sz w:val="22"/>
                <w:szCs w:val="20"/>
              </w:rPr>
            </w:pPr>
            <w:r w:rsidRPr="0053555E">
              <w:rPr>
                <w:rFonts w:cs="Calibri"/>
                <w:sz w:val="22"/>
                <w:szCs w:val="20"/>
              </w:rPr>
              <w:t>0</w:t>
            </w:r>
          </w:p>
        </w:tc>
      </w:tr>
      <w:tr w:rsidR="00C07DAE" w:rsidRPr="0053555E" w14:paraId="1B479070" w14:textId="77777777" w:rsidTr="002F26F9">
        <w:trPr>
          <w:trHeight w:val="255"/>
        </w:trPr>
        <w:tc>
          <w:tcPr>
            <w:tcW w:w="1216"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14:paraId="5ABE6837" w14:textId="77777777" w:rsidR="00C07DAE" w:rsidRPr="0053555E" w:rsidRDefault="00C07DAE" w:rsidP="00C07DAE">
            <w:pPr>
              <w:tabs>
                <w:tab w:val="left" w:pos="9356"/>
              </w:tabs>
              <w:jc w:val="both"/>
              <w:rPr>
                <w:rFonts w:asciiTheme="majorHAnsi" w:eastAsia="Times New Roman" w:hAnsiTheme="majorHAnsi" w:cstheme="majorHAnsi"/>
                <w:b/>
                <w:bCs/>
                <w:szCs w:val="22"/>
                <w:lang w:eastAsia="sk-SK"/>
              </w:rPr>
            </w:pPr>
            <w:r w:rsidRPr="0053555E">
              <w:rPr>
                <w:rFonts w:asciiTheme="majorHAnsi" w:eastAsia="Times New Roman" w:hAnsiTheme="majorHAnsi" w:cstheme="majorHAnsi"/>
                <w:b/>
                <w:bCs/>
                <w:szCs w:val="22"/>
                <w:lang w:eastAsia="sk-SK"/>
              </w:rPr>
              <w:t>STU</w:t>
            </w:r>
          </w:p>
        </w:tc>
        <w:tc>
          <w:tcPr>
            <w:tcW w:w="1113"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55B0DAB9" w14:textId="2360D805" w:rsidR="00C07DAE" w:rsidRPr="0053555E" w:rsidRDefault="00C07DAE" w:rsidP="00C07DAE">
            <w:pPr>
              <w:jc w:val="center"/>
              <w:rPr>
                <w:rFonts w:asciiTheme="majorHAnsi" w:hAnsiTheme="majorHAnsi" w:cstheme="majorHAnsi"/>
                <w:b/>
                <w:bCs/>
                <w:sz w:val="22"/>
                <w:szCs w:val="20"/>
              </w:rPr>
            </w:pPr>
            <w:r w:rsidRPr="0053555E">
              <w:rPr>
                <w:rFonts w:cs="Calibri"/>
                <w:b/>
                <w:bCs/>
                <w:sz w:val="22"/>
                <w:szCs w:val="20"/>
              </w:rPr>
              <w:t>136</w:t>
            </w:r>
          </w:p>
        </w:tc>
        <w:tc>
          <w:tcPr>
            <w:tcW w:w="111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CC3D5C0" w14:textId="5CE4AA09" w:rsidR="00C07DAE" w:rsidRPr="0053555E" w:rsidRDefault="00C07DAE" w:rsidP="00C07DAE">
            <w:pPr>
              <w:jc w:val="center"/>
              <w:rPr>
                <w:rFonts w:asciiTheme="majorHAnsi" w:hAnsiTheme="majorHAnsi" w:cstheme="majorHAnsi"/>
                <w:b/>
                <w:bCs/>
                <w:sz w:val="22"/>
                <w:szCs w:val="20"/>
              </w:rPr>
            </w:pPr>
            <w:r w:rsidRPr="0053555E">
              <w:rPr>
                <w:rFonts w:cs="Calibri"/>
                <w:b/>
                <w:bCs/>
                <w:sz w:val="22"/>
                <w:szCs w:val="20"/>
              </w:rPr>
              <w:t>110</w:t>
            </w:r>
          </w:p>
        </w:tc>
        <w:tc>
          <w:tcPr>
            <w:tcW w:w="1114"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7FEC3230" w14:textId="263DD226" w:rsidR="00C07DAE" w:rsidRPr="0053555E" w:rsidRDefault="00C07DAE" w:rsidP="00C07DAE">
            <w:pPr>
              <w:jc w:val="center"/>
              <w:rPr>
                <w:rFonts w:asciiTheme="majorHAnsi" w:hAnsiTheme="majorHAnsi" w:cstheme="majorHAnsi"/>
                <w:b/>
                <w:bCs/>
                <w:sz w:val="22"/>
                <w:szCs w:val="20"/>
              </w:rPr>
            </w:pPr>
            <w:r w:rsidRPr="0053555E">
              <w:rPr>
                <w:rFonts w:cs="Calibri"/>
                <w:b/>
                <w:bCs/>
                <w:sz w:val="22"/>
                <w:szCs w:val="20"/>
              </w:rPr>
              <w:t>102</w:t>
            </w:r>
          </w:p>
        </w:tc>
        <w:tc>
          <w:tcPr>
            <w:tcW w:w="111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234E5CFE" w14:textId="0965B4A3" w:rsidR="00C07DAE" w:rsidRPr="0053555E" w:rsidRDefault="00C07DAE" w:rsidP="00C07DAE">
            <w:pPr>
              <w:jc w:val="center"/>
              <w:rPr>
                <w:rFonts w:asciiTheme="majorHAnsi" w:hAnsiTheme="majorHAnsi" w:cstheme="majorHAnsi"/>
                <w:b/>
                <w:bCs/>
                <w:sz w:val="22"/>
                <w:szCs w:val="20"/>
              </w:rPr>
            </w:pPr>
            <w:r w:rsidRPr="0053555E">
              <w:rPr>
                <w:rFonts w:cs="Calibri"/>
                <w:b/>
                <w:bCs/>
                <w:sz w:val="22"/>
                <w:szCs w:val="20"/>
              </w:rPr>
              <w:t>78</w:t>
            </w:r>
          </w:p>
        </w:tc>
        <w:tc>
          <w:tcPr>
            <w:tcW w:w="1114"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10523200" w14:textId="3B1CE340" w:rsidR="00C07DAE" w:rsidRPr="0053555E" w:rsidRDefault="00C07DAE" w:rsidP="00C07DAE">
            <w:pPr>
              <w:jc w:val="center"/>
              <w:rPr>
                <w:rFonts w:asciiTheme="majorHAnsi" w:hAnsiTheme="majorHAnsi" w:cstheme="majorHAnsi"/>
                <w:b/>
                <w:bCs/>
                <w:sz w:val="22"/>
                <w:szCs w:val="20"/>
              </w:rPr>
            </w:pPr>
            <w:r w:rsidRPr="0053555E">
              <w:rPr>
                <w:rFonts w:cs="Calibri"/>
                <w:b/>
                <w:bCs/>
                <w:sz w:val="22"/>
                <w:szCs w:val="20"/>
              </w:rPr>
              <w:t>107</w:t>
            </w:r>
          </w:p>
        </w:tc>
        <w:tc>
          <w:tcPr>
            <w:tcW w:w="1114"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3C54E68B" w14:textId="631FB68F" w:rsidR="00C07DAE" w:rsidRPr="0053555E" w:rsidRDefault="00C07DAE" w:rsidP="00C07DAE">
            <w:pPr>
              <w:jc w:val="center"/>
              <w:rPr>
                <w:rFonts w:asciiTheme="majorHAnsi" w:hAnsiTheme="majorHAnsi" w:cstheme="majorHAnsi"/>
                <w:b/>
                <w:bCs/>
                <w:sz w:val="22"/>
                <w:szCs w:val="20"/>
              </w:rPr>
            </w:pPr>
            <w:r w:rsidRPr="0053555E">
              <w:rPr>
                <w:rFonts w:cs="Calibri"/>
                <w:b/>
                <w:bCs/>
                <w:sz w:val="22"/>
                <w:szCs w:val="20"/>
              </w:rPr>
              <w:t>61</w:t>
            </w:r>
          </w:p>
        </w:tc>
        <w:tc>
          <w:tcPr>
            <w:tcW w:w="1114"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201D3359" w14:textId="1552BDB6" w:rsidR="00C07DAE" w:rsidRPr="0053555E" w:rsidRDefault="00C07DAE" w:rsidP="00C07DAE">
            <w:pPr>
              <w:jc w:val="center"/>
              <w:rPr>
                <w:rFonts w:asciiTheme="majorHAnsi" w:hAnsiTheme="majorHAnsi" w:cstheme="majorHAnsi"/>
                <w:b/>
                <w:bCs/>
                <w:sz w:val="22"/>
                <w:szCs w:val="20"/>
              </w:rPr>
            </w:pPr>
            <w:r w:rsidRPr="0053555E">
              <w:rPr>
                <w:rFonts w:cs="Calibri"/>
                <w:b/>
                <w:bCs/>
                <w:sz w:val="22"/>
                <w:szCs w:val="20"/>
              </w:rPr>
              <w:t>41</w:t>
            </w:r>
          </w:p>
        </w:tc>
      </w:tr>
    </w:tbl>
    <w:p w14:paraId="237CC785" w14:textId="77777777" w:rsidR="00940063" w:rsidRPr="0053555E" w:rsidRDefault="00940063" w:rsidP="00324438">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Vysvetlivky:</w:t>
      </w:r>
    </w:p>
    <w:p w14:paraId="04FF00F4" w14:textId="3DA9DA13" w:rsidR="00F82DF4" w:rsidRPr="0053555E" w:rsidRDefault="002071AC" w:rsidP="005308F9">
      <w:pPr>
        <w:tabs>
          <w:tab w:val="left" w:pos="9356"/>
        </w:tabs>
        <w:jc w:val="both"/>
        <w:rPr>
          <w:rFonts w:asciiTheme="majorHAnsi" w:hAnsiTheme="majorHAnsi" w:cstheme="majorHAnsi"/>
          <w:b/>
          <w:bCs/>
          <w:shd w:val="clear" w:color="auto" w:fill="FFFFFF"/>
        </w:rPr>
      </w:pPr>
      <w:r w:rsidRPr="0053555E">
        <w:rPr>
          <w:rFonts w:asciiTheme="majorHAnsi" w:eastAsia="Times New Roman" w:hAnsiTheme="majorHAnsi" w:cstheme="majorHAnsi"/>
          <w:sz w:val="20"/>
          <w:szCs w:val="20"/>
          <w:lang w:eastAsia="sk-SK"/>
        </w:rPr>
        <w:t>Zdroj: Fond na podporu vzdelávania</w:t>
      </w:r>
      <w:r w:rsidR="009306EC" w:rsidRPr="0053555E">
        <w:rPr>
          <w:rFonts w:asciiTheme="majorHAnsi" w:eastAsia="Times New Roman" w:hAnsiTheme="majorHAnsi" w:cstheme="majorHAnsi"/>
          <w:sz w:val="20"/>
          <w:szCs w:val="20"/>
          <w:lang w:eastAsia="sk-SK"/>
        </w:rPr>
        <w:t xml:space="preserve"> </w:t>
      </w:r>
    </w:p>
    <w:p w14:paraId="79409BD9" w14:textId="77777777" w:rsidR="00754D55" w:rsidRPr="0053555E" w:rsidRDefault="00754D55" w:rsidP="00324438">
      <w:pPr>
        <w:jc w:val="both"/>
        <w:rPr>
          <w:rFonts w:asciiTheme="majorHAnsi" w:hAnsiTheme="majorHAnsi" w:cstheme="majorHAnsi"/>
          <w:bCs/>
          <w:shd w:val="clear" w:color="auto" w:fill="FFFFFF"/>
        </w:rPr>
      </w:pPr>
    </w:p>
    <w:p w14:paraId="3EA7BA1C" w14:textId="6E0F4792" w:rsidR="005412C0" w:rsidRDefault="005412C0">
      <w:pPr>
        <w:rPr>
          <w:rFonts w:asciiTheme="majorHAnsi" w:hAnsiTheme="majorHAnsi" w:cstheme="majorHAnsi"/>
          <w:bCs/>
          <w:shd w:val="clear" w:color="auto" w:fill="FFFFFF"/>
        </w:rPr>
      </w:pPr>
    </w:p>
    <w:p w14:paraId="439B9BC3" w14:textId="79128BF2" w:rsidR="00866BC4" w:rsidRPr="005B5526" w:rsidRDefault="005B5526" w:rsidP="005B5526">
      <w:pPr>
        <w:rPr>
          <w:b/>
          <w:sz w:val="28"/>
          <w:szCs w:val="28"/>
        </w:rPr>
      </w:pPr>
      <w:bookmarkStart w:id="230" w:name="_Toc127593242"/>
      <w:r w:rsidRPr="005B5526">
        <w:rPr>
          <w:b/>
          <w:sz w:val="28"/>
          <w:szCs w:val="28"/>
        </w:rPr>
        <w:t xml:space="preserve">8.5. </w:t>
      </w:r>
      <w:r w:rsidR="00866BC4" w:rsidRPr="005B5526">
        <w:rPr>
          <w:b/>
          <w:sz w:val="28"/>
          <w:szCs w:val="28"/>
        </w:rPr>
        <w:t>Ubytovanie študentov</w:t>
      </w:r>
      <w:bookmarkEnd w:id="230"/>
    </w:p>
    <w:p w14:paraId="578FC9B5" w14:textId="77777777" w:rsidR="005B5526" w:rsidRPr="005B5526" w:rsidRDefault="005B5526" w:rsidP="005B5526"/>
    <w:p w14:paraId="58ECBF69" w14:textId="382BA5B0" w:rsidR="00885135" w:rsidRDefault="009E6471" w:rsidP="0039435F">
      <w:pPr>
        <w:spacing w:after="120"/>
        <w:jc w:val="both"/>
        <w:rPr>
          <w:rFonts w:asciiTheme="majorHAnsi" w:hAnsiTheme="majorHAnsi" w:cstheme="majorHAnsi"/>
        </w:rPr>
      </w:pPr>
      <w:r w:rsidRPr="0053555E">
        <w:rPr>
          <w:rFonts w:asciiTheme="majorHAnsi" w:hAnsiTheme="majorHAnsi" w:cstheme="majorHAnsi"/>
        </w:rPr>
        <w:t>STU mala v roku 20</w:t>
      </w:r>
      <w:r w:rsidR="0020221A" w:rsidRPr="0053555E">
        <w:rPr>
          <w:rFonts w:asciiTheme="majorHAnsi" w:hAnsiTheme="majorHAnsi" w:cstheme="majorHAnsi"/>
        </w:rPr>
        <w:t>2</w:t>
      </w:r>
      <w:r w:rsidR="008271A5">
        <w:rPr>
          <w:rFonts w:asciiTheme="majorHAnsi" w:hAnsiTheme="majorHAnsi" w:cstheme="majorHAnsi"/>
        </w:rPr>
        <w:t>2</w:t>
      </w:r>
      <w:r w:rsidR="0020221A" w:rsidRPr="0053555E">
        <w:rPr>
          <w:rFonts w:asciiTheme="majorHAnsi" w:hAnsiTheme="majorHAnsi" w:cstheme="majorHAnsi"/>
        </w:rPr>
        <w:t xml:space="preserve"> </w:t>
      </w:r>
      <w:r w:rsidRPr="0053555E">
        <w:rPr>
          <w:rFonts w:asciiTheme="majorHAnsi" w:hAnsiTheme="majorHAnsi" w:cstheme="majorHAnsi"/>
        </w:rPr>
        <w:t xml:space="preserve">pre ubytovanie študentov k dispozícii šesť študentských domovov </w:t>
      </w:r>
      <w:r w:rsidR="0096077C" w:rsidRPr="0053555E">
        <w:rPr>
          <w:rFonts w:asciiTheme="majorHAnsi" w:hAnsiTheme="majorHAnsi" w:cstheme="majorHAnsi"/>
        </w:rPr>
        <w:t xml:space="preserve"> </w:t>
      </w:r>
      <w:r w:rsidRPr="0053555E">
        <w:rPr>
          <w:rFonts w:asciiTheme="majorHAnsi" w:hAnsiTheme="majorHAnsi" w:cstheme="majorHAnsi"/>
        </w:rPr>
        <w:t>na území mesta Bratislava</w:t>
      </w:r>
      <w:r w:rsidR="004530BF">
        <w:rPr>
          <w:rFonts w:asciiTheme="majorHAnsi" w:hAnsiTheme="majorHAnsi" w:cstheme="majorHAnsi"/>
        </w:rPr>
        <w:t xml:space="preserve"> </w:t>
      </w:r>
      <w:r w:rsidR="00283F74" w:rsidRPr="0053555E">
        <w:rPr>
          <w:rFonts w:asciiTheme="majorHAnsi" w:hAnsiTheme="majorHAnsi" w:cstheme="majorHAnsi"/>
        </w:rPr>
        <w:t>(ďalej tiež „ŠD“)</w:t>
      </w:r>
      <w:r w:rsidR="00283F74">
        <w:rPr>
          <w:rFonts w:asciiTheme="majorHAnsi" w:hAnsiTheme="majorHAnsi" w:cstheme="majorHAnsi"/>
        </w:rPr>
        <w:t xml:space="preserve"> </w:t>
      </w:r>
      <w:r w:rsidR="004530BF" w:rsidRPr="004530BF">
        <w:rPr>
          <w:rFonts w:asciiTheme="majorHAnsi" w:hAnsiTheme="majorHAnsi" w:cstheme="majorHAnsi"/>
        </w:rPr>
        <w:t>a jeden študentský domov so sídlom v</w:t>
      </w:r>
      <w:r w:rsidR="00283F74">
        <w:rPr>
          <w:rFonts w:asciiTheme="majorHAnsi" w:hAnsiTheme="majorHAnsi" w:cstheme="majorHAnsi"/>
        </w:rPr>
        <w:t> </w:t>
      </w:r>
      <w:r w:rsidR="004530BF" w:rsidRPr="004530BF">
        <w:rPr>
          <w:rFonts w:asciiTheme="majorHAnsi" w:hAnsiTheme="majorHAnsi" w:cstheme="majorHAnsi"/>
        </w:rPr>
        <w:t>Trnave</w:t>
      </w:r>
      <w:r w:rsidR="00283F74">
        <w:rPr>
          <w:rFonts w:asciiTheme="majorHAnsi" w:hAnsiTheme="majorHAnsi" w:cstheme="majorHAnsi"/>
        </w:rPr>
        <w:t xml:space="preserve"> </w:t>
      </w:r>
      <w:r w:rsidR="00283F74" w:rsidRPr="0053555E">
        <w:rPr>
          <w:rFonts w:asciiTheme="majorHAnsi" w:hAnsiTheme="majorHAnsi" w:cstheme="majorHAnsi"/>
        </w:rPr>
        <w:t>(ďalej tiež „ŠD</w:t>
      </w:r>
      <w:r w:rsidR="00283F74">
        <w:rPr>
          <w:rFonts w:asciiTheme="majorHAnsi" w:hAnsiTheme="majorHAnsi" w:cstheme="majorHAnsi"/>
        </w:rPr>
        <w:t>aJ</w:t>
      </w:r>
      <w:r w:rsidR="00283F74" w:rsidRPr="0053555E">
        <w:rPr>
          <w:rFonts w:asciiTheme="majorHAnsi" w:hAnsiTheme="majorHAnsi" w:cstheme="majorHAnsi"/>
        </w:rPr>
        <w:t>“)</w:t>
      </w:r>
      <w:r w:rsidRPr="0053555E">
        <w:rPr>
          <w:rFonts w:asciiTheme="majorHAnsi" w:hAnsiTheme="majorHAnsi" w:cstheme="majorHAnsi"/>
        </w:rPr>
        <w:t xml:space="preserve">. </w:t>
      </w:r>
    </w:p>
    <w:p w14:paraId="43B36EA4" w14:textId="7C53F0FC" w:rsidR="009E6471" w:rsidRPr="0053555E" w:rsidRDefault="009E6471" w:rsidP="0039435F">
      <w:pPr>
        <w:jc w:val="both"/>
        <w:rPr>
          <w:rFonts w:asciiTheme="majorHAnsi" w:hAnsiTheme="majorHAnsi" w:cstheme="majorHAnsi"/>
        </w:rPr>
      </w:pPr>
      <w:r w:rsidRPr="0053555E">
        <w:rPr>
          <w:rFonts w:asciiTheme="majorHAnsi" w:hAnsiTheme="majorHAnsi" w:cstheme="majorHAnsi"/>
        </w:rPr>
        <w:t xml:space="preserve">Ubytovacia kapacita jednotlivých </w:t>
      </w:r>
      <w:r w:rsidR="0096077C" w:rsidRPr="0053555E">
        <w:rPr>
          <w:rFonts w:asciiTheme="majorHAnsi" w:hAnsiTheme="majorHAnsi" w:cstheme="majorHAnsi"/>
        </w:rPr>
        <w:t>ŠD</w:t>
      </w:r>
      <w:r w:rsidRPr="0053555E">
        <w:rPr>
          <w:rFonts w:asciiTheme="majorHAnsi" w:hAnsiTheme="majorHAnsi" w:cstheme="majorHAnsi"/>
        </w:rPr>
        <w:t xml:space="preserve"> </w:t>
      </w:r>
      <w:r w:rsidR="00885135">
        <w:rPr>
          <w:rFonts w:asciiTheme="majorHAnsi" w:hAnsiTheme="majorHAnsi" w:cstheme="majorHAnsi"/>
        </w:rPr>
        <w:t xml:space="preserve">so sídlom v Bratislave </w:t>
      </w:r>
      <w:r w:rsidRPr="0053555E">
        <w:rPr>
          <w:rFonts w:asciiTheme="majorHAnsi" w:hAnsiTheme="majorHAnsi" w:cstheme="majorHAnsi"/>
        </w:rPr>
        <w:t>pre študentov a doktorandov bola</w:t>
      </w:r>
      <w:r w:rsidR="003E709D" w:rsidRPr="0053555E">
        <w:rPr>
          <w:rFonts w:asciiTheme="majorHAnsi" w:hAnsiTheme="majorHAnsi" w:cstheme="majorHAnsi"/>
        </w:rPr>
        <w:t xml:space="preserve"> </w:t>
      </w:r>
    </w:p>
    <w:p w14:paraId="1C58E0EE" w14:textId="77777777" w:rsidR="00E953DB" w:rsidRPr="005B5526" w:rsidRDefault="00E953DB" w:rsidP="0039435F">
      <w:pPr>
        <w:jc w:val="both"/>
        <w:rPr>
          <w:rFonts w:asciiTheme="majorHAnsi" w:hAnsiTheme="majorHAnsi" w:cstheme="majorHAnsi"/>
        </w:rPr>
      </w:pPr>
      <w:r w:rsidRPr="005B5526">
        <w:rPr>
          <w:rFonts w:asciiTheme="majorHAnsi" w:hAnsiTheme="majorHAnsi" w:cstheme="majorHAnsi"/>
        </w:rPr>
        <w:t>od 1. 1. 2022 do 31. 8. 2022 nasledovná:</w:t>
      </w:r>
    </w:p>
    <w:p w14:paraId="18B9D278" w14:textId="77777777" w:rsidR="00E953DB" w:rsidRDefault="00E953DB" w:rsidP="0039435F">
      <w:pPr>
        <w:tabs>
          <w:tab w:val="right" w:pos="4680"/>
          <w:tab w:val="right" w:pos="7380"/>
        </w:tabs>
        <w:jc w:val="both"/>
        <w:rPr>
          <w:rFonts w:asciiTheme="majorHAnsi" w:hAnsiTheme="majorHAnsi" w:cstheme="majorHAnsi"/>
          <w:color w:val="000000" w:themeColor="text1"/>
        </w:rPr>
      </w:pPr>
      <w:r>
        <w:rPr>
          <w:rFonts w:asciiTheme="majorHAnsi" w:hAnsiTheme="majorHAnsi" w:cstheme="majorHAnsi"/>
          <w:color w:val="000000" w:themeColor="text1"/>
        </w:rPr>
        <w:t>ŠD Mladá Garda</w:t>
      </w:r>
      <w:r>
        <w:rPr>
          <w:rFonts w:asciiTheme="majorHAnsi" w:hAnsiTheme="majorHAnsi" w:cstheme="majorHAnsi"/>
          <w:color w:val="000000" w:themeColor="text1"/>
        </w:rPr>
        <w:tab/>
        <w:t>1 391 lôžok</w:t>
      </w:r>
    </w:p>
    <w:p w14:paraId="2BCC0E6D" w14:textId="77777777" w:rsidR="00E953DB" w:rsidRDefault="00E953DB" w:rsidP="0039435F">
      <w:pPr>
        <w:tabs>
          <w:tab w:val="right" w:pos="4680"/>
          <w:tab w:val="right" w:pos="7380"/>
        </w:tabs>
        <w:jc w:val="both"/>
        <w:rPr>
          <w:rFonts w:asciiTheme="majorHAnsi" w:hAnsiTheme="majorHAnsi" w:cstheme="majorHAnsi"/>
          <w:color w:val="000000" w:themeColor="text1"/>
        </w:rPr>
      </w:pPr>
      <w:r>
        <w:rPr>
          <w:rFonts w:asciiTheme="majorHAnsi" w:hAnsiTheme="majorHAnsi" w:cstheme="majorHAnsi"/>
          <w:color w:val="000000" w:themeColor="text1"/>
        </w:rPr>
        <w:t>ŠD Nikosa Belojanisa</w:t>
      </w:r>
      <w:r>
        <w:rPr>
          <w:rFonts w:asciiTheme="majorHAnsi" w:hAnsiTheme="majorHAnsi" w:cstheme="majorHAnsi"/>
          <w:color w:val="000000" w:themeColor="text1"/>
        </w:rPr>
        <w:tab/>
        <w:t>205 lôžok</w:t>
      </w:r>
    </w:p>
    <w:p w14:paraId="4E52345A" w14:textId="77777777" w:rsidR="00E953DB" w:rsidRDefault="00E953DB" w:rsidP="0039435F">
      <w:pPr>
        <w:tabs>
          <w:tab w:val="right" w:pos="4680"/>
          <w:tab w:val="right" w:pos="7380"/>
        </w:tabs>
        <w:jc w:val="both"/>
        <w:rPr>
          <w:rFonts w:asciiTheme="majorHAnsi" w:hAnsiTheme="majorHAnsi" w:cstheme="majorHAnsi"/>
          <w:color w:val="000000" w:themeColor="text1"/>
        </w:rPr>
      </w:pPr>
      <w:r>
        <w:rPr>
          <w:rFonts w:asciiTheme="majorHAnsi" w:hAnsiTheme="majorHAnsi" w:cstheme="majorHAnsi"/>
          <w:color w:val="000000" w:themeColor="text1"/>
        </w:rPr>
        <w:t>ŠD Jura Hronca</w:t>
      </w:r>
      <w:r>
        <w:rPr>
          <w:rFonts w:asciiTheme="majorHAnsi" w:hAnsiTheme="majorHAnsi" w:cstheme="majorHAnsi"/>
          <w:color w:val="000000" w:themeColor="text1"/>
        </w:rPr>
        <w:tab/>
        <w:t>900 lôžok</w:t>
      </w:r>
    </w:p>
    <w:p w14:paraId="42AF48D9" w14:textId="77777777" w:rsidR="00E953DB" w:rsidRDefault="00E953DB" w:rsidP="0039435F">
      <w:pPr>
        <w:tabs>
          <w:tab w:val="right" w:pos="4680"/>
          <w:tab w:val="right" w:pos="7380"/>
        </w:tabs>
        <w:jc w:val="both"/>
        <w:rPr>
          <w:rFonts w:asciiTheme="majorHAnsi" w:hAnsiTheme="majorHAnsi" w:cstheme="majorHAnsi"/>
          <w:color w:val="000000" w:themeColor="text1"/>
        </w:rPr>
      </w:pPr>
      <w:r>
        <w:rPr>
          <w:rFonts w:asciiTheme="majorHAnsi" w:hAnsiTheme="majorHAnsi" w:cstheme="majorHAnsi"/>
          <w:color w:val="000000" w:themeColor="text1"/>
        </w:rPr>
        <w:t>ŠD Mladosť</w:t>
      </w:r>
      <w:r>
        <w:rPr>
          <w:rFonts w:asciiTheme="majorHAnsi" w:hAnsiTheme="majorHAnsi" w:cstheme="majorHAnsi"/>
          <w:color w:val="000000" w:themeColor="text1"/>
        </w:rPr>
        <w:tab/>
        <w:t>2 191 lôžok</w:t>
      </w:r>
    </w:p>
    <w:p w14:paraId="598A72BD" w14:textId="77777777" w:rsidR="00E953DB" w:rsidRDefault="00E953DB" w:rsidP="0039435F">
      <w:pPr>
        <w:tabs>
          <w:tab w:val="right" w:pos="4680"/>
          <w:tab w:val="right" w:pos="7380"/>
        </w:tabs>
        <w:jc w:val="both"/>
        <w:rPr>
          <w:rFonts w:asciiTheme="majorHAnsi" w:hAnsiTheme="majorHAnsi" w:cstheme="majorHAnsi"/>
          <w:color w:val="000000" w:themeColor="text1"/>
        </w:rPr>
      </w:pPr>
      <w:r>
        <w:rPr>
          <w:rFonts w:asciiTheme="majorHAnsi" w:hAnsiTheme="majorHAnsi" w:cstheme="majorHAnsi"/>
          <w:color w:val="000000" w:themeColor="text1"/>
        </w:rPr>
        <w:t>ŠD Dobrovičova</w:t>
      </w:r>
      <w:r>
        <w:rPr>
          <w:rFonts w:asciiTheme="majorHAnsi" w:hAnsiTheme="majorHAnsi" w:cstheme="majorHAnsi"/>
          <w:color w:val="000000" w:themeColor="text1"/>
        </w:rPr>
        <w:tab/>
        <w:t>528 lôžok</w:t>
      </w:r>
    </w:p>
    <w:p w14:paraId="2F60A88F" w14:textId="77777777" w:rsidR="00E953DB" w:rsidRDefault="00E953DB" w:rsidP="0039435F">
      <w:pPr>
        <w:tabs>
          <w:tab w:val="right" w:pos="4680"/>
          <w:tab w:val="right" w:pos="7380"/>
        </w:tabs>
        <w:jc w:val="both"/>
        <w:rPr>
          <w:rFonts w:asciiTheme="majorHAnsi" w:hAnsiTheme="majorHAnsi" w:cstheme="majorHAnsi"/>
          <w:color w:val="000000" w:themeColor="text1"/>
        </w:rPr>
      </w:pPr>
      <w:r>
        <w:rPr>
          <w:rFonts w:asciiTheme="majorHAnsi" w:hAnsiTheme="majorHAnsi" w:cstheme="majorHAnsi"/>
          <w:color w:val="000000" w:themeColor="text1"/>
        </w:rPr>
        <w:t>ŠD Akademik</w:t>
      </w:r>
      <w:r>
        <w:rPr>
          <w:rFonts w:asciiTheme="majorHAnsi" w:hAnsiTheme="majorHAnsi" w:cstheme="majorHAnsi"/>
          <w:color w:val="000000" w:themeColor="text1"/>
        </w:rPr>
        <w:tab/>
        <w:t>92 lôžok</w:t>
      </w:r>
    </w:p>
    <w:p w14:paraId="2A2F3F02" w14:textId="77777777" w:rsidR="00E953DB" w:rsidRDefault="00E953DB" w:rsidP="007F4505">
      <w:pPr>
        <w:tabs>
          <w:tab w:val="right" w:pos="4678"/>
        </w:tabs>
        <w:spacing w:after="120"/>
        <w:jc w:val="both"/>
        <w:rPr>
          <w:rFonts w:asciiTheme="majorHAnsi" w:hAnsiTheme="majorHAnsi" w:cstheme="majorHAnsi"/>
          <w:color w:val="000000" w:themeColor="text1"/>
        </w:rPr>
      </w:pPr>
      <w:r>
        <w:rPr>
          <w:rFonts w:asciiTheme="majorHAnsi" w:hAnsiTheme="majorHAnsi" w:cstheme="majorHAnsi"/>
          <w:b/>
          <w:bCs/>
          <w:color w:val="000000" w:themeColor="text1"/>
        </w:rPr>
        <w:t>Spolu</w:t>
      </w:r>
      <w:r>
        <w:rPr>
          <w:rFonts w:asciiTheme="majorHAnsi" w:hAnsiTheme="majorHAnsi" w:cstheme="majorHAnsi"/>
          <w:b/>
          <w:bCs/>
          <w:color w:val="000000" w:themeColor="text1"/>
        </w:rPr>
        <w:tab/>
        <w:t>5 307 lôžok</w:t>
      </w:r>
    </w:p>
    <w:p w14:paraId="5EFBACF7" w14:textId="4471A082" w:rsidR="00E953DB" w:rsidRPr="005B5526" w:rsidRDefault="00E953DB" w:rsidP="0039435F">
      <w:pPr>
        <w:tabs>
          <w:tab w:val="left" w:pos="6060"/>
        </w:tabs>
        <w:jc w:val="both"/>
        <w:rPr>
          <w:rFonts w:asciiTheme="majorHAnsi" w:hAnsiTheme="majorHAnsi" w:cstheme="majorHAnsi"/>
          <w:color w:val="000000" w:themeColor="text1"/>
        </w:rPr>
      </w:pPr>
      <w:r w:rsidRPr="005B5526">
        <w:rPr>
          <w:rFonts w:asciiTheme="majorHAnsi" w:hAnsiTheme="majorHAnsi" w:cstheme="majorHAnsi"/>
          <w:color w:val="000000" w:themeColor="text1"/>
        </w:rPr>
        <w:t xml:space="preserve">od 1. 9. 2022 do 31. 12. 2022 </w:t>
      </w:r>
      <w:r w:rsidR="005B5526">
        <w:rPr>
          <w:rFonts w:asciiTheme="majorHAnsi" w:hAnsiTheme="majorHAnsi" w:cstheme="majorHAnsi"/>
          <w:color w:val="000000" w:themeColor="text1"/>
        </w:rPr>
        <w:t xml:space="preserve">bola </w:t>
      </w:r>
      <w:r w:rsidRPr="005B5526">
        <w:rPr>
          <w:rFonts w:asciiTheme="majorHAnsi" w:hAnsiTheme="majorHAnsi" w:cstheme="majorHAnsi"/>
          <w:color w:val="000000" w:themeColor="text1"/>
        </w:rPr>
        <w:t>nasledovná:</w:t>
      </w:r>
    </w:p>
    <w:p w14:paraId="78276D33" w14:textId="77777777" w:rsidR="00E953DB" w:rsidRDefault="00E953DB" w:rsidP="0039435F">
      <w:pPr>
        <w:tabs>
          <w:tab w:val="left" w:pos="207"/>
          <w:tab w:val="right" w:pos="4678"/>
        </w:tabs>
        <w:jc w:val="both"/>
        <w:rPr>
          <w:rFonts w:asciiTheme="majorHAnsi" w:hAnsiTheme="majorHAnsi" w:cstheme="majorHAnsi"/>
          <w:color w:val="000000" w:themeColor="text1"/>
        </w:rPr>
      </w:pPr>
      <w:r>
        <w:rPr>
          <w:rFonts w:asciiTheme="majorHAnsi" w:hAnsiTheme="majorHAnsi" w:cstheme="majorHAnsi"/>
          <w:color w:val="000000" w:themeColor="text1"/>
        </w:rPr>
        <w:t>ŠD Mladá Garda</w:t>
      </w:r>
      <w:r>
        <w:rPr>
          <w:rFonts w:asciiTheme="majorHAnsi" w:hAnsiTheme="majorHAnsi" w:cstheme="majorHAnsi"/>
          <w:color w:val="000000" w:themeColor="text1"/>
        </w:rPr>
        <w:tab/>
        <w:t>1 391 lôžok</w:t>
      </w:r>
    </w:p>
    <w:p w14:paraId="1B9525D4" w14:textId="77777777" w:rsidR="00E953DB" w:rsidRDefault="00E953DB" w:rsidP="0039435F">
      <w:pPr>
        <w:tabs>
          <w:tab w:val="right" w:pos="4680"/>
          <w:tab w:val="right" w:pos="7380"/>
        </w:tabs>
        <w:jc w:val="both"/>
        <w:rPr>
          <w:rFonts w:asciiTheme="majorHAnsi" w:hAnsiTheme="majorHAnsi" w:cstheme="majorHAnsi"/>
          <w:color w:val="000000" w:themeColor="text1"/>
        </w:rPr>
      </w:pPr>
      <w:r>
        <w:rPr>
          <w:rFonts w:asciiTheme="majorHAnsi" w:hAnsiTheme="majorHAnsi" w:cstheme="majorHAnsi"/>
          <w:color w:val="000000" w:themeColor="text1"/>
        </w:rPr>
        <w:lastRenderedPageBreak/>
        <w:t>ŠD Nikosa Belojanisa</w:t>
      </w:r>
      <w:r>
        <w:rPr>
          <w:rFonts w:asciiTheme="majorHAnsi" w:hAnsiTheme="majorHAnsi" w:cstheme="majorHAnsi"/>
          <w:color w:val="000000" w:themeColor="text1"/>
        </w:rPr>
        <w:tab/>
        <w:t>205 lôžok</w:t>
      </w:r>
    </w:p>
    <w:p w14:paraId="43D909DC" w14:textId="77777777" w:rsidR="00E953DB" w:rsidRDefault="00E953DB" w:rsidP="0039435F">
      <w:pPr>
        <w:tabs>
          <w:tab w:val="right" w:pos="4680"/>
          <w:tab w:val="right" w:pos="7380"/>
        </w:tabs>
        <w:jc w:val="both"/>
        <w:rPr>
          <w:rFonts w:asciiTheme="majorHAnsi" w:hAnsiTheme="majorHAnsi" w:cstheme="majorHAnsi"/>
          <w:color w:val="000000" w:themeColor="text1"/>
        </w:rPr>
      </w:pPr>
      <w:r>
        <w:rPr>
          <w:rFonts w:asciiTheme="majorHAnsi" w:hAnsiTheme="majorHAnsi" w:cstheme="majorHAnsi"/>
          <w:color w:val="000000" w:themeColor="text1"/>
        </w:rPr>
        <w:t>ŠD Jura Hronca</w:t>
      </w:r>
      <w:r>
        <w:rPr>
          <w:rFonts w:asciiTheme="majorHAnsi" w:hAnsiTheme="majorHAnsi" w:cstheme="majorHAnsi"/>
          <w:color w:val="000000" w:themeColor="text1"/>
        </w:rPr>
        <w:tab/>
        <w:t>900 lôžok</w:t>
      </w:r>
    </w:p>
    <w:p w14:paraId="785C2093" w14:textId="77777777" w:rsidR="00E953DB" w:rsidRDefault="00E953DB" w:rsidP="0039435F">
      <w:pPr>
        <w:tabs>
          <w:tab w:val="right" w:pos="4680"/>
          <w:tab w:val="right" w:pos="7380"/>
        </w:tabs>
        <w:jc w:val="both"/>
        <w:rPr>
          <w:rFonts w:asciiTheme="majorHAnsi" w:hAnsiTheme="majorHAnsi" w:cstheme="majorHAnsi"/>
          <w:color w:val="000000" w:themeColor="text1"/>
        </w:rPr>
      </w:pPr>
      <w:r>
        <w:rPr>
          <w:rFonts w:asciiTheme="majorHAnsi" w:hAnsiTheme="majorHAnsi" w:cstheme="majorHAnsi"/>
          <w:color w:val="000000" w:themeColor="text1"/>
        </w:rPr>
        <w:t>ŠD Mladosť</w:t>
      </w:r>
      <w:r>
        <w:rPr>
          <w:rFonts w:asciiTheme="majorHAnsi" w:hAnsiTheme="majorHAnsi" w:cstheme="majorHAnsi"/>
          <w:color w:val="000000" w:themeColor="text1"/>
        </w:rPr>
        <w:tab/>
        <w:t>2 191 lôžok</w:t>
      </w:r>
    </w:p>
    <w:p w14:paraId="015A9793" w14:textId="77777777" w:rsidR="00E953DB" w:rsidRDefault="00E953DB" w:rsidP="0039435F">
      <w:pPr>
        <w:tabs>
          <w:tab w:val="right" w:pos="4680"/>
          <w:tab w:val="right" w:pos="7380"/>
        </w:tabs>
        <w:jc w:val="both"/>
        <w:rPr>
          <w:rFonts w:asciiTheme="majorHAnsi" w:hAnsiTheme="majorHAnsi" w:cstheme="majorHAnsi"/>
          <w:color w:val="000000" w:themeColor="text1"/>
        </w:rPr>
      </w:pPr>
      <w:r>
        <w:rPr>
          <w:rFonts w:asciiTheme="majorHAnsi" w:hAnsiTheme="majorHAnsi" w:cstheme="majorHAnsi"/>
          <w:color w:val="000000" w:themeColor="text1"/>
        </w:rPr>
        <w:t>ŠD Dobrovičova</w:t>
      </w:r>
      <w:r>
        <w:rPr>
          <w:rFonts w:asciiTheme="majorHAnsi" w:hAnsiTheme="majorHAnsi" w:cstheme="majorHAnsi"/>
          <w:color w:val="000000" w:themeColor="text1"/>
        </w:rPr>
        <w:tab/>
        <w:t>475 lôžok</w:t>
      </w:r>
    </w:p>
    <w:p w14:paraId="0B7592BC" w14:textId="783804A9" w:rsidR="00E953DB" w:rsidRDefault="00E953DB" w:rsidP="0039435F">
      <w:pPr>
        <w:tabs>
          <w:tab w:val="right" w:pos="4680"/>
          <w:tab w:val="right" w:pos="7380"/>
        </w:tabs>
        <w:jc w:val="both"/>
        <w:rPr>
          <w:rFonts w:asciiTheme="majorHAnsi" w:hAnsiTheme="majorHAnsi" w:cstheme="majorHAnsi"/>
          <w:color w:val="000000" w:themeColor="text1"/>
        </w:rPr>
      </w:pPr>
      <w:r>
        <w:rPr>
          <w:rFonts w:asciiTheme="majorHAnsi" w:hAnsiTheme="majorHAnsi" w:cstheme="majorHAnsi"/>
          <w:color w:val="000000" w:themeColor="text1"/>
        </w:rPr>
        <w:t>ŠD Akademik</w:t>
      </w:r>
      <w:r>
        <w:rPr>
          <w:rFonts w:asciiTheme="majorHAnsi" w:hAnsiTheme="majorHAnsi" w:cstheme="majorHAnsi"/>
          <w:color w:val="000000" w:themeColor="text1"/>
        </w:rPr>
        <w:tab/>
        <w:t>92 lôžok</w:t>
      </w:r>
    </w:p>
    <w:p w14:paraId="388AEFD8" w14:textId="77777777" w:rsidR="00E953DB" w:rsidRDefault="00E953DB" w:rsidP="0039435F">
      <w:pPr>
        <w:tabs>
          <w:tab w:val="right" w:pos="4678"/>
        </w:tabs>
        <w:spacing w:after="120"/>
        <w:jc w:val="both"/>
        <w:rPr>
          <w:rFonts w:asciiTheme="majorHAnsi" w:hAnsiTheme="majorHAnsi" w:cstheme="majorHAnsi"/>
          <w:b/>
          <w:bCs/>
          <w:color w:val="000000" w:themeColor="text1"/>
        </w:rPr>
      </w:pPr>
      <w:r>
        <w:rPr>
          <w:rFonts w:asciiTheme="majorHAnsi" w:hAnsiTheme="majorHAnsi" w:cstheme="majorHAnsi"/>
          <w:b/>
          <w:bCs/>
          <w:color w:val="000000" w:themeColor="text1"/>
        </w:rPr>
        <w:t>Spolu</w:t>
      </w:r>
      <w:r>
        <w:rPr>
          <w:rFonts w:asciiTheme="majorHAnsi" w:hAnsiTheme="majorHAnsi" w:cstheme="majorHAnsi"/>
          <w:b/>
          <w:bCs/>
          <w:color w:val="000000" w:themeColor="text1"/>
        </w:rPr>
        <w:tab/>
        <w:t>5 254 lôžok</w:t>
      </w:r>
    </w:p>
    <w:p w14:paraId="4C3336E6" w14:textId="77777777" w:rsidR="007A30FC" w:rsidRDefault="005C790C" w:rsidP="0039435F">
      <w:pPr>
        <w:spacing w:after="120"/>
        <w:jc w:val="both"/>
        <w:rPr>
          <w:rFonts w:asciiTheme="majorHAnsi" w:hAnsiTheme="majorHAnsi" w:cstheme="majorHAnsi"/>
        </w:rPr>
      </w:pPr>
      <w:r w:rsidRPr="0053555E">
        <w:rPr>
          <w:rFonts w:asciiTheme="majorHAnsi" w:hAnsiTheme="majorHAnsi" w:cstheme="majorHAnsi"/>
        </w:rPr>
        <w:t>Ubytovanie bolo zabezpečené v jedno až trojlôžkových izbác</w:t>
      </w:r>
      <w:r w:rsidR="009651ED" w:rsidRPr="0053555E">
        <w:rPr>
          <w:rFonts w:asciiTheme="majorHAnsi" w:hAnsiTheme="majorHAnsi" w:cstheme="majorHAnsi"/>
        </w:rPr>
        <w:t>h. Na ubytovanie zamestnancov a </w:t>
      </w:r>
      <w:r w:rsidRPr="0053555E">
        <w:rPr>
          <w:rFonts w:asciiTheme="majorHAnsi" w:hAnsiTheme="majorHAnsi" w:cstheme="majorHAnsi"/>
        </w:rPr>
        <w:t>hostí STU bolo z kapacity ŠD vyčlenených 18</w:t>
      </w:r>
      <w:r w:rsidR="0019029B" w:rsidRPr="0053555E">
        <w:rPr>
          <w:rFonts w:asciiTheme="majorHAnsi" w:hAnsiTheme="majorHAnsi" w:cstheme="majorHAnsi"/>
        </w:rPr>
        <w:t>1</w:t>
      </w:r>
      <w:r w:rsidRPr="0053555E">
        <w:rPr>
          <w:rFonts w:asciiTheme="majorHAnsi" w:hAnsiTheme="majorHAnsi" w:cstheme="majorHAnsi"/>
        </w:rPr>
        <w:t xml:space="preserve"> lôžok. </w:t>
      </w:r>
    </w:p>
    <w:p w14:paraId="11973113" w14:textId="1A456CE2" w:rsidR="00B4015D" w:rsidRDefault="00B4015D" w:rsidP="0039435F">
      <w:pPr>
        <w:spacing w:after="120"/>
        <w:jc w:val="both"/>
        <w:rPr>
          <w:rFonts w:asciiTheme="majorHAnsi" w:hAnsiTheme="majorHAnsi" w:cstheme="majorHAnsi"/>
        </w:rPr>
      </w:pPr>
      <w:r w:rsidRPr="0053555E">
        <w:rPr>
          <w:rFonts w:asciiTheme="majorHAnsi" w:hAnsiTheme="majorHAnsi" w:cstheme="majorHAnsi"/>
        </w:rPr>
        <w:t>V roku 202</w:t>
      </w:r>
      <w:r w:rsidR="005736EA">
        <w:rPr>
          <w:rFonts w:asciiTheme="majorHAnsi" w:hAnsiTheme="majorHAnsi" w:cstheme="majorHAnsi"/>
        </w:rPr>
        <w:t>2</w:t>
      </w:r>
      <w:r w:rsidRPr="0053555E">
        <w:rPr>
          <w:rFonts w:asciiTheme="majorHAnsi" w:hAnsiTheme="majorHAnsi" w:cstheme="majorHAnsi"/>
        </w:rPr>
        <w:t xml:space="preserve"> sa ceny za ubytovanie študentov </w:t>
      </w:r>
      <w:r w:rsidR="005736EA" w:rsidRPr="005736EA">
        <w:rPr>
          <w:rFonts w:asciiTheme="majorHAnsi" w:hAnsiTheme="majorHAnsi" w:cstheme="majorHAnsi"/>
        </w:rPr>
        <w:t xml:space="preserve">menili z dôvodu inflácie a sprístupnenia novo zrekonštruovaných </w:t>
      </w:r>
      <w:r w:rsidR="00101A77" w:rsidRPr="005736EA">
        <w:rPr>
          <w:rFonts w:asciiTheme="majorHAnsi" w:hAnsiTheme="majorHAnsi" w:cstheme="majorHAnsi"/>
        </w:rPr>
        <w:t>izieb</w:t>
      </w:r>
      <w:r w:rsidR="005736EA" w:rsidRPr="005736EA">
        <w:rPr>
          <w:rFonts w:asciiTheme="majorHAnsi" w:hAnsiTheme="majorHAnsi" w:cstheme="majorHAnsi"/>
        </w:rPr>
        <w:t xml:space="preserve"> na</w:t>
      </w:r>
      <w:r w:rsidR="007A30FC">
        <w:rPr>
          <w:rFonts w:asciiTheme="majorHAnsi" w:hAnsiTheme="majorHAnsi" w:cstheme="majorHAnsi"/>
        </w:rPr>
        <w:t> </w:t>
      </w:r>
      <w:r w:rsidR="005736EA" w:rsidRPr="005736EA">
        <w:rPr>
          <w:rFonts w:asciiTheme="majorHAnsi" w:hAnsiTheme="majorHAnsi" w:cstheme="majorHAnsi"/>
        </w:rPr>
        <w:t>študentských domovoch</w:t>
      </w:r>
      <w:r w:rsidRPr="0053555E">
        <w:rPr>
          <w:rFonts w:asciiTheme="majorHAnsi" w:hAnsiTheme="majorHAnsi" w:cstheme="majorHAnsi"/>
        </w:rPr>
        <w:t>.</w:t>
      </w:r>
    </w:p>
    <w:p w14:paraId="59C95BAB" w14:textId="7D833DC0" w:rsidR="00546142" w:rsidRPr="008D7CE0" w:rsidRDefault="00546142" w:rsidP="00750152">
      <w:pPr>
        <w:jc w:val="both"/>
        <w:rPr>
          <w:rFonts w:asciiTheme="majorHAnsi" w:hAnsiTheme="majorHAnsi" w:cstheme="majorHAnsi"/>
        </w:rPr>
      </w:pPr>
      <w:r w:rsidRPr="008D7CE0">
        <w:rPr>
          <w:rFonts w:asciiTheme="majorHAnsi" w:hAnsiTheme="majorHAnsi" w:cstheme="majorHAnsi"/>
        </w:rPr>
        <w:t>V ŠD v Bratislave bol</w:t>
      </w:r>
      <w:r w:rsidR="00750152" w:rsidRPr="008D7CE0">
        <w:rPr>
          <w:rFonts w:asciiTheme="majorHAnsi" w:hAnsiTheme="majorHAnsi" w:cstheme="majorHAnsi"/>
        </w:rPr>
        <w:t>i</w:t>
      </w:r>
      <w:r w:rsidRPr="008D7CE0">
        <w:rPr>
          <w:rFonts w:asciiTheme="majorHAnsi" w:hAnsiTheme="majorHAnsi" w:cstheme="majorHAnsi"/>
        </w:rPr>
        <w:t xml:space="preserve"> ubytovan</w:t>
      </w:r>
      <w:r w:rsidR="00750152" w:rsidRPr="008D7CE0">
        <w:rPr>
          <w:rFonts w:asciiTheme="majorHAnsi" w:hAnsiTheme="majorHAnsi" w:cstheme="majorHAnsi"/>
        </w:rPr>
        <w:t>í</w:t>
      </w:r>
      <w:r w:rsidRPr="008D7CE0">
        <w:rPr>
          <w:rFonts w:asciiTheme="majorHAnsi" w:hAnsiTheme="majorHAnsi" w:cstheme="majorHAnsi"/>
        </w:rPr>
        <w:t xml:space="preserve"> študentov</w:t>
      </w:r>
      <w:r w:rsidR="00750152" w:rsidRPr="008D7CE0">
        <w:rPr>
          <w:rFonts w:asciiTheme="majorHAnsi" w:hAnsiTheme="majorHAnsi" w:cstheme="majorHAnsi"/>
        </w:rPr>
        <w:t>i</w:t>
      </w:r>
      <w:r w:rsidRPr="008D7CE0">
        <w:rPr>
          <w:rFonts w:asciiTheme="majorHAnsi" w:hAnsiTheme="majorHAnsi" w:cstheme="majorHAnsi"/>
        </w:rPr>
        <w:t xml:space="preserve"> </w:t>
      </w:r>
      <w:r w:rsidRPr="008D7CE0">
        <w:rPr>
          <w:rFonts w:asciiTheme="majorHAnsi" w:hAnsiTheme="majorHAnsi" w:cstheme="majorHAnsi"/>
          <w:b/>
        </w:rPr>
        <w:t>z Ukrajiny</w:t>
      </w:r>
      <w:r w:rsidRPr="008D7CE0">
        <w:rPr>
          <w:rFonts w:asciiTheme="majorHAnsi" w:hAnsiTheme="majorHAnsi" w:cstheme="majorHAnsi"/>
        </w:rPr>
        <w:t xml:space="preserve"> v období: </w:t>
      </w:r>
    </w:p>
    <w:p w14:paraId="1CCE84C4" w14:textId="69ED150D" w:rsidR="00546142" w:rsidRPr="008D7CE0" w:rsidRDefault="00546142" w:rsidP="00E027F7">
      <w:pPr>
        <w:pStyle w:val="Odsekzoznamu"/>
        <w:numPr>
          <w:ilvl w:val="0"/>
          <w:numId w:val="22"/>
        </w:numPr>
        <w:ind w:left="426" w:hanging="426"/>
        <w:jc w:val="both"/>
        <w:rPr>
          <w:rFonts w:asciiTheme="majorHAnsi" w:hAnsiTheme="majorHAnsi" w:cstheme="majorHAnsi"/>
          <w:sz w:val="24"/>
          <w:szCs w:val="24"/>
        </w:rPr>
      </w:pPr>
      <w:r w:rsidRPr="008D7CE0">
        <w:rPr>
          <w:rFonts w:asciiTheme="majorHAnsi" w:hAnsiTheme="majorHAnsi" w:cstheme="majorHAnsi"/>
          <w:sz w:val="24"/>
          <w:szCs w:val="24"/>
        </w:rPr>
        <w:t>od 1.</w:t>
      </w:r>
      <w:r w:rsidR="008B1F81" w:rsidRPr="008D7CE0">
        <w:rPr>
          <w:rFonts w:asciiTheme="majorHAnsi" w:hAnsiTheme="majorHAnsi" w:cstheme="majorHAnsi"/>
          <w:sz w:val="24"/>
          <w:szCs w:val="24"/>
        </w:rPr>
        <w:t xml:space="preserve"> </w:t>
      </w:r>
      <w:r w:rsidRPr="008D7CE0">
        <w:rPr>
          <w:rFonts w:asciiTheme="majorHAnsi" w:hAnsiTheme="majorHAnsi" w:cstheme="majorHAnsi"/>
          <w:sz w:val="24"/>
          <w:szCs w:val="24"/>
        </w:rPr>
        <w:t>1.</w:t>
      </w:r>
      <w:r w:rsidR="008B1F81" w:rsidRPr="008D7CE0">
        <w:rPr>
          <w:rFonts w:asciiTheme="majorHAnsi" w:hAnsiTheme="majorHAnsi" w:cstheme="majorHAnsi"/>
          <w:sz w:val="24"/>
          <w:szCs w:val="24"/>
        </w:rPr>
        <w:t xml:space="preserve"> </w:t>
      </w:r>
      <w:r w:rsidRPr="008D7CE0">
        <w:rPr>
          <w:rFonts w:asciiTheme="majorHAnsi" w:hAnsiTheme="majorHAnsi" w:cstheme="majorHAnsi"/>
          <w:sz w:val="24"/>
          <w:szCs w:val="24"/>
        </w:rPr>
        <w:t>2022 do 31.</w:t>
      </w:r>
      <w:r w:rsidR="008B1F81" w:rsidRPr="008D7CE0">
        <w:rPr>
          <w:rFonts w:asciiTheme="majorHAnsi" w:hAnsiTheme="majorHAnsi" w:cstheme="majorHAnsi"/>
          <w:sz w:val="24"/>
          <w:szCs w:val="24"/>
        </w:rPr>
        <w:t xml:space="preserve"> </w:t>
      </w:r>
      <w:r w:rsidRPr="008D7CE0">
        <w:rPr>
          <w:rFonts w:asciiTheme="majorHAnsi" w:hAnsiTheme="majorHAnsi" w:cstheme="majorHAnsi"/>
          <w:sz w:val="24"/>
          <w:szCs w:val="24"/>
        </w:rPr>
        <w:t>8.</w:t>
      </w:r>
      <w:r w:rsidR="008B1F81" w:rsidRPr="008D7CE0">
        <w:rPr>
          <w:rFonts w:asciiTheme="majorHAnsi" w:hAnsiTheme="majorHAnsi" w:cstheme="majorHAnsi"/>
          <w:sz w:val="24"/>
          <w:szCs w:val="24"/>
        </w:rPr>
        <w:t xml:space="preserve"> </w:t>
      </w:r>
      <w:r w:rsidRPr="008D7CE0">
        <w:rPr>
          <w:rFonts w:asciiTheme="majorHAnsi" w:hAnsiTheme="majorHAnsi" w:cstheme="majorHAnsi"/>
          <w:sz w:val="24"/>
          <w:szCs w:val="24"/>
        </w:rPr>
        <w:t xml:space="preserve">2022 - </w:t>
      </w:r>
      <w:r w:rsidRPr="008D7CE0">
        <w:rPr>
          <w:rFonts w:asciiTheme="majorHAnsi" w:hAnsiTheme="majorHAnsi" w:cstheme="majorHAnsi"/>
          <w:b/>
          <w:sz w:val="24"/>
          <w:szCs w:val="24"/>
        </w:rPr>
        <w:t>424 študentov</w:t>
      </w:r>
      <w:r w:rsidRPr="008D7CE0">
        <w:rPr>
          <w:rFonts w:asciiTheme="majorHAnsi" w:hAnsiTheme="majorHAnsi" w:cstheme="majorHAnsi"/>
          <w:sz w:val="24"/>
          <w:szCs w:val="24"/>
        </w:rPr>
        <w:t>, vrátane doktorandov a Erasmus študentov,</w:t>
      </w:r>
    </w:p>
    <w:p w14:paraId="746EEC4C" w14:textId="06C4F06B" w:rsidR="00546142" w:rsidRPr="008D7CE0" w:rsidRDefault="00546142" w:rsidP="00E027F7">
      <w:pPr>
        <w:pStyle w:val="Odsekzoznamu"/>
        <w:numPr>
          <w:ilvl w:val="0"/>
          <w:numId w:val="22"/>
        </w:numPr>
        <w:ind w:left="426" w:hanging="426"/>
        <w:jc w:val="both"/>
        <w:rPr>
          <w:rFonts w:asciiTheme="majorHAnsi" w:hAnsiTheme="majorHAnsi" w:cstheme="majorHAnsi"/>
          <w:sz w:val="24"/>
          <w:szCs w:val="24"/>
        </w:rPr>
      </w:pPr>
      <w:r w:rsidRPr="008D7CE0">
        <w:rPr>
          <w:rFonts w:asciiTheme="majorHAnsi" w:hAnsiTheme="majorHAnsi" w:cstheme="majorHAnsi"/>
          <w:sz w:val="24"/>
          <w:szCs w:val="24"/>
        </w:rPr>
        <w:t>od 1.</w:t>
      </w:r>
      <w:r w:rsidR="008B1F81" w:rsidRPr="008D7CE0">
        <w:rPr>
          <w:rFonts w:asciiTheme="majorHAnsi" w:hAnsiTheme="majorHAnsi" w:cstheme="majorHAnsi"/>
          <w:sz w:val="24"/>
          <w:szCs w:val="24"/>
        </w:rPr>
        <w:t xml:space="preserve"> </w:t>
      </w:r>
      <w:r w:rsidRPr="008D7CE0">
        <w:rPr>
          <w:rFonts w:asciiTheme="majorHAnsi" w:hAnsiTheme="majorHAnsi" w:cstheme="majorHAnsi"/>
          <w:sz w:val="24"/>
          <w:szCs w:val="24"/>
        </w:rPr>
        <w:t>9.</w:t>
      </w:r>
      <w:r w:rsidR="008B1F81" w:rsidRPr="008D7CE0">
        <w:rPr>
          <w:rFonts w:asciiTheme="majorHAnsi" w:hAnsiTheme="majorHAnsi" w:cstheme="majorHAnsi"/>
          <w:sz w:val="24"/>
          <w:szCs w:val="24"/>
        </w:rPr>
        <w:t xml:space="preserve"> </w:t>
      </w:r>
      <w:r w:rsidRPr="008D7CE0">
        <w:rPr>
          <w:rFonts w:asciiTheme="majorHAnsi" w:hAnsiTheme="majorHAnsi" w:cstheme="majorHAnsi"/>
          <w:sz w:val="24"/>
          <w:szCs w:val="24"/>
        </w:rPr>
        <w:t>2022 do 31.</w:t>
      </w:r>
      <w:r w:rsidR="008B1F81" w:rsidRPr="008D7CE0">
        <w:rPr>
          <w:rFonts w:asciiTheme="majorHAnsi" w:hAnsiTheme="majorHAnsi" w:cstheme="majorHAnsi"/>
          <w:sz w:val="24"/>
          <w:szCs w:val="24"/>
        </w:rPr>
        <w:t xml:space="preserve"> </w:t>
      </w:r>
      <w:r w:rsidRPr="008D7CE0">
        <w:rPr>
          <w:rFonts w:asciiTheme="majorHAnsi" w:hAnsiTheme="majorHAnsi" w:cstheme="majorHAnsi"/>
          <w:sz w:val="24"/>
          <w:szCs w:val="24"/>
        </w:rPr>
        <w:t>12.</w:t>
      </w:r>
      <w:r w:rsidR="008B1F81" w:rsidRPr="008D7CE0">
        <w:rPr>
          <w:rFonts w:asciiTheme="majorHAnsi" w:hAnsiTheme="majorHAnsi" w:cstheme="majorHAnsi"/>
          <w:sz w:val="24"/>
          <w:szCs w:val="24"/>
        </w:rPr>
        <w:t xml:space="preserve"> </w:t>
      </w:r>
      <w:r w:rsidRPr="008D7CE0">
        <w:rPr>
          <w:rFonts w:asciiTheme="majorHAnsi" w:hAnsiTheme="majorHAnsi" w:cstheme="majorHAnsi"/>
          <w:sz w:val="24"/>
          <w:szCs w:val="24"/>
        </w:rPr>
        <w:t xml:space="preserve">2022 - </w:t>
      </w:r>
      <w:r w:rsidRPr="008D7CE0">
        <w:rPr>
          <w:rFonts w:asciiTheme="majorHAnsi" w:hAnsiTheme="majorHAnsi" w:cstheme="majorHAnsi"/>
          <w:b/>
          <w:sz w:val="24"/>
          <w:szCs w:val="24"/>
        </w:rPr>
        <w:t>668 študentov</w:t>
      </w:r>
      <w:r w:rsidRPr="008D7CE0">
        <w:rPr>
          <w:rFonts w:asciiTheme="majorHAnsi" w:hAnsiTheme="majorHAnsi" w:cstheme="majorHAnsi"/>
          <w:sz w:val="24"/>
          <w:szCs w:val="24"/>
        </w:rPr>
        <w:t>, vrátane doktorandov a Erasmus študentov.</w:t>
      </w:r>
    </w:p>
    <w:p w14:paraId="39AC0919" w14:textId="77DAB7E5" w:rsidR="00101A77" w:rsidRDefault="00101A77" w:rsidP="0039435F">
      <w:pPr>
        <w:spacing w:after="120"/>
        <w:jc w:val="both"/>
        <w:rPr>
          <w:rFonts w:asciiTheme="majorHAnsi" w:hAnsiTheme="majorHAnsi" w:cstheme="majorHAnsi"/>
          <w:color w:val="000000" w:themeColor="text1"/>
        </w:rPr>
      </w:pPr>
      <w:r>
        <w:rPr>
          <w:rFonts w:asciiTheme="majorHAnsi" w:hAnsiTheme="majorHAnsi" w:cstheme="majorHAnsi"/>
          <w:color w:val="000000" w:themeColor="text1"/>
        </w:rPr>
        <w:t xml:space="preserve">V roku 2022 boli na realizáciu rekonštrukcií ŠD k dispozícii finančné prostriedky z vlastných zdrojov (bežných aj kapitálových), ktoré boli z dôvodu </w:t>
      </w:r>
      <w:r w:rsidR="00A905CF">
        <w:rPr>
          <w:rFonts w:asciiTheme="majorHAnsi" w:hAnsiTheme="majorHAnsi" w:cstheme="majorHAnsi"/>
          <w:color w:val="000000" w:themeColor="text1"/>
        </w:rPr>
        <w:t>prijatých</w:t>
      </w:r>
      <w:r>
        <w:rPr>
          <w:rFonts w:asciiTheme="majorHAnsi" w:hAnsiTheme="majorHAnsi" w:cstheme="majorHAnsi"/>
          <w:color w:val="000000" w:themeColor="text1"/>
        </w:rPr>
        <w:t xml:space="preserve"> </w:t>
      </w:r>
      <w:r w:rsidR="000A2C93">
        <w:rPr>
          <w:rFonts w:asciiTheme="majorHAnsi" w:hAnsiTheme="majorHAnsi" w:cstheme="majorHAnsi"/>
          <w:color w:val="000000" w:themeColor="text1"/>
        </w:rPr>
        <w:t>epidemických</w:t>
      </w:r>
      <w:r>
        <w:rPr>
          <w:rFonts w:asciiTheme="majorHAnsi" w:hAnsiTheme="majorHAnsi" w:cstheme="majorHAnsi"/>
          <w:color w:val="000000" w:themeColor="text1"/>
        </w:rPr>
        <w:t xml:space="preserve"> opatrení v období pandémie Covid</w:t>
      </w:r>
      <w:r w:rsidR="000A2C93">
        <w:rPr>
          <w:rFonts w:asciiTheme="majorHAnsi" w:hAnsiTheme="majorHAnsi" w:cstheme="majorHAnsi"/>
          <w:color w:val="000000" w:themeColor="text1"/>
        </w:rPr>
        <w:t>-</w:t>
      </w:r>
      <w:r>
        <w:rPr>
          <w:rFonts w:asciiTheme="majorHAnsi" w:hAnsiTheme="majorHAnsi" w:cstheme="majorHAnsi"/>
          <w:color w:val="000000" w:themeColor="text1"/>
        </w:rPr>
        <w:t>19 výrazne nižšie ako v</w:t>
      </w:r>
      <w:r w:rsidR="00A905CF">
        <w:rPr>
          <w:rFonts w:asciiTheme="majorHAnsi" w:hAnsiTheme="majorHAnsi" w:cstheme="majorHAnsi"/>
          <w:color w:val="000000" w:themeColor="text1"/>
        </w:rPr>
        <w:t> </w:t>
      </w:r>
      <w:r>
        <w:rPr>
          <w:rFonts w:asciiTheme="majorHAnsi" w:hAnsiTheme="majorHAnsi" w:cstheme="majorHAnsi"/>
          <w:color w:val="000000" w:themeColor="text1"/>
        </w:rPr>
        <w:t>rokoch</w:t>
      </w:r>
      <w:r w:rsidR="00A905CF">
        <w:rPr>
          <w:rFonts w:asciiTheme="majorHAnsi" w:hAnsiTheme="majorHAnsi" w:cstheme="majorHAnsi"/>
          <w:color w:val="000000" w:themeColor="text1"/>
        </w:rPr>
        <w:t xml:space="preserve"> pred pandémiou</w:t>
      </w:r>
      <w:r>
        <w:rPr>
          <w:rFonts w:asciiTheme="majorHAnsi" w:hAnsiTheme="majorHAnsi" w:cstheme="majorHAnsi"/>
          <w:color w:val="000000" w:themeColor="text1"/>
        </w:rPr>
        <w:t xml:space="preserve">. Napriek tomu boli zabezpečené bežné opravy študentských domovov a pokračovali stavebné práce </w:t>
      </w:r>
      <w:r w:rsidR="00404220">
        <w:rPr>
          <w:rFonts w:asciiTheme="majorHAnsi" w:hAnsiTheme="majorHAnsi" w:cstheme="majorHAnsi"/>
          <w:color w:val="000000" w:themeColor="text1"/>
        </w:rPr>
        <w:t>v </w:t>
      </w:r>
      <w:r>
        <w:rPr>
          <w:rFonts w:asciiTheme="majorHAnsi" w:hAnsiTheme="majorHAnsi" w:cstheme="majorHAnsi"/>
          <w:color w:val="000000" w:themeColor="text1"/>
        </w:rPr>
        <w:t xml:space="preserve">ubytovacích priestoroch, avšak v menšom rozsahu ako v predchádzajúcich rokoch.   </w:t>
      </w:r>
    </w:p>
    <w:p w14:paraId="17E5DCE0" w14:textId="77777777" w:rsidR="00101A77" w:rsidRDefault="00101A77" w:rsidP="0039435F">
      <w:pPr>
        <w:jc w:val="both"/>
        <w:rPr>
          <w:rFonts w:asciiTheme="majorHAnsi" w:hAnsiTheme="majorHAnsi" w:cstheme="majorHAnsi"/>
          <w:b/>
          <w:color w:val="000000" w:themeColor="text1"/>
          <w:u w:val="single"/>
        </w:rPr>
      </w:pPr>
      <w:r>
        <w:rPr>
          <w:rFonts w:asciiTheme="majorHAnsi" w:hAnsiTheme="majorHAnsi" w:cstheme="majorHAnsi"/>
          <w:b/>
          <w:color w:val="000000" w:themeColor="text1"/>
          <w:u w:val="single"/>
        </w:rPr>
        <w:t>ŠD Mladosť</w:t>
      </w:r>
    </w:p>
    <w:p w14:paraId="68573A37" w14:textId="1CFF7DCE" w:rsidR="00B009E6" w:rsidRDefault="005B5526" w:rsidP="0039435F">
      <w:pPr>
        <w:spacing w:after="120"/>
        <w:jc w:val="both"/>
        <w:rPr>
          <w:rFonts w:asciiTheme="majorHAnsi" w:hAnsiTheme="majorHAnsi" w:cstheme="majorHAnsi"/>
          <w:color w:val="000000" w:themeColor="text1"/>
        </w:rPr>
      </w:pPr>
      <w:r>
        <w:rPr>
          <w:rFonts w:asciiTheme="majorHAnsi" w:hAnsiTheme="majorHAnsi" w:cstheme="majorHAnsi"/>
          <w:color w:val="000000" w:themeColor="text1"/>
        </w:rPr>
        <w:t>P</w:t>
      </w:r>
      <w:r w:rsidR="00101A77">
        <w:rPr>
          <w:rFonts w:asciiTheme="majorHAnsi" w:hAnsiTheme="majorHAnsi" w:cstheme="majorHAnsi"/>
          <w:color w:val="000000" w:themeColor="text1"/>
        </w:rPr>
        <w:t>lánovaná</w:t>
      </w:r>
      <w:r>
        <w:rPr>
          <w:rFonts w:asciiTheme="majorHAnsi" w:hAnsiTheme="majorHAnsi" w:cstheme="majorHAnsi"/>
          <w:color w:val="000000" w:themeColor="text1"/>
        </w:rPr>
        <w:t xml:space="preserve"> bola</w:t>
      </w:r>
      <w:r w:rsidR="00101A77">
        <w:rPr>
          <w:rFonts w:asciiTheme="majorHAnsi" w:hAnsiTheme="majorHAnsi" w:cstheme="majorHAnsi"/>
          <w:color w:val="000000" w:themeColor="text1"/>
        </w:rPr>
        <w:t xml:space="preserve"> kompletná reko</w:t>
      </w:r>
      <w:r>
        <w:rPr>
          <w:rFonts w:asciiTheme="majorHAnsi" w:hAnsiTheme="majorHAnsi" w:cstheme="majorHAnsi"/>
          <w:color w:val="000000" w:themeColor="text1"/>
        </w:rPr>
        <w:t>nštrukcia blokov B1-B2. Pre nedostatok financií</w:t>
      </w:r>
      <w:r w:rsidR="00101A77">
        <w:rPr>
          <w:rFonts w:asciiTheme="majorHAnsi" w:hAnsiTheme="majorHAnsi" w:cstheme="majorHAnsi"/>
          <w:color w:val="000000" w:themeColor="text1"/>
        </w:rPr>
        <w:t xml:space="preserve"> </w:t>
      </w:r>
      <w:r>
        <w:rPr>
          <w:rFonts w:asciiTheme="majorHAnsi" w:hAnsiTheme="majorHAnsi" w:cstheme="majorHAnsi"/>
          <w:color w:val="000000" w:themeColor="text1"/>
        </w:rPr>
        <w:t>sa po</w:t>
      </w:r>
      <w:r w:rsidR="00101A77">
        <w:rPr>
          <w:rFonts w:asciiTheme="majorHAnsi" w:hAnsiTheme="majorHAnsi" w:cstheme="majorHAnsi"/>
          <w:color w:val="000000" w:themeColor="text1"/>
        </w:rPr>
        <w:t xml:space="preserve"> </w:t>
      </w:r>
      <w:r>
        <w:rPr>
          <w:rFonts w:asciiTheme="majorHAnsi" w:hAnsiTheme="majorHAnsi" w:cstheme="majorHAnsi"/>
          <w:color w:val="000000" w:themeColor="text1"/>
        </w:rPr>
        <w:t>žiadosti</w:t>
      </w:r>
      <w:r w:rsidR="00101A77">
        <w:rPr>
          <w:rFonts w:asciiTheme="majorHAnsi" w:hAnsiTheme="majorHAnsi" w:cstheme="majorHAnsi"/>
          <w:color w:val="000000" w:themeColor="text1"/>
        </w:rPr>
        <w:t> presun</w:t>
      </w:r>
      <w:r>
        <w:rPr>
          <w:rFonts w:asciiTheme="majorHAnsi" w:hAnsiTheme="majorHAnsi" w:cstheme="majorHAnsi"/>
          <w:color w:val="000000" w:themeColor="text1"/>
        </w:rPr>
        <w:t>uli</w:t>
      </w:r>
      <w:r w:rsidR="00101A77">
        <w:rPr>
          <w:rFonts w:asciiTheme="majorHAnsi" w:hAnsiTheme="majorHAnsi" w:cstheme="majorHAnsi"/>
          <w:color w:val="000000" w:themeColor="text1"/>
        </w:rPr>
        <w:t xml:space="preserve"> </w:t>
      </w:r>
      <w:r>
        <w:rPr>
          <w:rFonts w:asciiTheme="majorHAnsi" w:hAnsiTheme="majorHAnsi" w:cstheme="majorHAnsi"/>
          <w:color w:val="000000" w:themeColor="text1"/>
        </w:rPr>
        <w:t>finančné</w:t>
      </w:r>
      <w:r w:rsidR="00D73BDC">
        <w:rPr>
          <w:rFonts w:asciiTheme="majorHAnsi" w:hAnsiTheme="majorHAnsi" w:cstheme="majorHAnsi"/>
          <w:color w:val="000000" w:themeColor="text1"/>
        </w:rPr>
        <w:t xml:space="preserve"> </w:t>
      </w:r>
      <w:r>
        <w:rPr>
          <w:rFonts w:asciiTheme="majorHAnsi" w:hAnsiTheme="majorHAnsi" w:cstheme="majorHAnsi"/>
          <w:color w:val="000000" w:themeColor="text1"/>
        </w:rPr>
        <w:t>prostriedky</w:t>
      </w:r>
      <w:r w:rsidR="009E2DA9">
        <w:rPr>
          <w:rFonts w:asciiTheme="majorHAnsi" w:hAnsiTheme="majorHAnsi" w:cstheme="majorHAnsi"/>
          <w:color w:val="000000" w:themeColor="text1"/>
        </w:rPr>
        <w:t xml:space="preserve"> z vlastných zdrojov </w:t>
      </w:r>
      <w:r w:rsidR="00101A77">
        <w:rPr>
          <w:rFonts w:asciiTheme="majorHAnsi" w:hAnsiTheme="majorHAnsi" w:cstheme="majorHAnsi"/>
          <w:color w:val="000000" w:themeColor="text1"/>
        </w:rPr>
        <w:t>na</w:t>
      </w:r>
      <w:r w:rsidR="009E2DA9">
        <w:rPr>
          <w:rFonts w:asciiTheme="majorHAnsi" w:hAnsiTheme="majorHAnsi" w:cstheme="majorHAnsi"/>
          <w:color w:val="000000" w:themeColor="text1"/>
        </w:rPr>
        <w:t> </w:t>
      </w:r>
      <w:r>
        <w:rPr>
          <w:rFonts w:asciiTheme="majorHAnsi" w:hAnsiTheme="majorHAnsi" w:cstheme="majorHAnsi"/>
          <w:color w:val="000000" w:themeColor="text1"/>
        </w:rPr>
        <w:t>investičné zdroje</w:t>
      </w:r>
      <w:r w:rsidR="00101A77">
        <w:rPr>
          <w:rFonts w:asciiTheme="majorHAnsi" w:hAnsiTheme="majorHAnsi" w:cstheme="majorHAnsi"/>
          <w:color w:val="000000" w:themeColor="text1"/>
        </w:rPr>
        <w:t xml:space="preserve"> iba na</w:t>
      </w:r>
      <w:r w:rsidR="00453768">
        <w:rPr>
          <w:rFonts w:asciiTheme="majorHAnsi" w:hAnsiTheme="majorHAnsi" w:cstheme="majorHAnsi"/>
          <w:color w:val="000000" w:themeColor="text1"/>
        </w:rPr>
        <w:t> </w:t>
      </w:r>
      <w:r w:rsidR="00101A77">
        <w:rPr>
          <w:rFonts w:asciiTheme="majorHAnsi" w:hAnsiTheme="majorHAnsi" w:cstheme="majorHAnsi"/>
          <w:color w:val="000000" w:themeColor="text1"/>
        </w:rPr>
        <w:t>rekonštrukciu bloku B2 v</w:t>
      </w:r>
      <w:r w:rsidR="00453768">
        <w:rPr>
          <w:rFonts w:asciiTheme="majorHAnsi" w:hAnsiTheme="majorHAnsi" w:cstheme="majorHAnsi"/>
          <w:color w:val="000000" w:themeColor="text1"/>
        </w:rPr>
        <w:t>o</w:t>
      </w:r>
      <w:r w:rsidR="00101A77">
        <w:rPr>
          <w:rFonts w:asciiTheme="majorHAnsi" w:hAnsiTheme="majorHAnsi" w:cstheme="majorHAnsi"/>
          <w:color w:val="000000" w:themeColor="text1"/>
        </w:rPr>
        <w:t> </w:t>
      </w:r>
      <w:r w:rsidR="00453768">
        <w:rPr>
          <w:rFonts w:asciiTheme="majorHAnsi" w:hAnsiTheme="majorHAnsi" w:cstheme="majorHAnsi"/>
          <w:color w:val="000000" w:themeColor="text1"/>
        </w:rPr>
        <w:t>výške</w:t>
      </w:r>
      <w:r w:rsidR="00101A77">
        <w:rPr>
          <w:rFonts w:asciiTheme="majorHAnsi" w:hAnsiTheme="majorHAnsi" w:cstheme="majorHAnsi"/>
          <w:color w:val="000000" w:themeColor="text1"/>
        </w:rPr>
        <w:t xml:space="preserve"> 1 612 </w:t>
      </w:r>
      <w:r w:rsidR="00453768">
        <w:rPr>
          <w:rFonts w:asciiTheme="majorHAnsi" w:hAnsiTheme="majorHAnsi" w:cstheme="majorHAnsi"/>
          <w:color w:val="000000" w:themeColor="text1"/>
        </w:rPr>
        <w:t>000</w:t>
      </w:r>
      <w:r w:rsidR="00101A77">
        <w:rPr>
          <w:rFonts w:asciiTheme="majorHAnsi" w:hAnsiTheme="majorHAnsi" w:cstheme="majorHAnsi"/>
          <w:color w:val="000000" w:themeColor="text1"/>
        </w:rPr>
        <w:t xml:space="preserve"> €. Presun bol zrealizovan</w:t>
      </w:r>
      <w:r w:rsidR="005D43FB">
        <w:rPr>
          <w:rFonts w:asciiTheme="majorHAnsi" w:hAnsiTheme="majorHAnsi" w:cstheme="majorHAnsi"/>
          <w:color w:val="000000" w:themeColor="text1"/>
        </w:rPr>
        <w:t>ý</w:t>
      </w:r>
      <w:r w:rsidR="00101A77">
        <w:rPr>
          <w:rFonts w:asciiTheme="majorHAnsi" w:hAnsiTheme="majorHAnsi" w:cstheme="majorHAnsi"/>
          <w:color w:val="000000" w:themeColor="text1"/>
        </w:rPr>
        <w:t xml:space="preserve"> až v </w:t>
      </w:r>
      <w:r>
        <w:rPr>
          <w:rFonts w:asciiTheme="majorHAnsi" w:hAnsiTheme="majorHAnsi" w:cstheme="majorHAnsi"/>
          <w:color w:val="000000" w:themeColor="text1"/>
        </w:rPr>
        <w:t xml:space="preserve"> októbri</w:t>
      </w:r>
      <w:r w:rsidR="00101A77">
        <w:rPr>
          <w:rFonts w:asciiTheme="majorHAnsi" w:hAnsiTheme="majorHAnsi" w:cstheme="majorHAnsi"/>
          <w:color w:val="000000" w:themeColor="text1"/>
        </w:rPr>
        <w:t xml:space="preserve"> 2022. Následne bolo vyhlásené verejné obstarávanie</w:t>
      </w:r>
      <w:r>
        <w:rPr>
          <w:rFonts w:asciiTheme="majorHAnsi" w:hAnsiTheme="majorHAnsi" w:cstheme="majorHAnsi"/>
          <w:color w:val="000000" w:themeColor="text1"/>
        </w:rPr>
        <w:t>.</w:t>
      </w:r>
      <w:r w:rsidR="00101A77">
        <w:rPr>
          <w:rFonts w:asciiTheme="majorHAnsi" w:hAnsiTheme="majorHAnsi" w:cstheme="majorHAnsi"/>
          <w:color w:val="000000" w:themeColor="text1"/>
        </w:rPr>
        <w:t xml:space="preserve"> </w:t>
      </w:r>
    </w:p>
    <w:p w14:paraId="15FCA95B" w14:textId="77777777" w:rsidR="00101A77" w:rsidRDefault="00101A77" w:rsidP="0039435F">
      <w:pPr>
        <w:jc w:val="both"/>
        <w:rPr>
          <w:rFonts w:asciiTheme="majorHAnsi" w:hAnsiTheme="majorHAnsi" w:cstheme="majorHAnsi"/>
          <w:b/>
          <w:color w:val="000000" w:themeColor="text1"/>
          <w:u w:val="single"/>
        </w:rPr>
      </w:pPr>
      <w:r>
        <w:rPr>
          <w:rFonts w:asciiTheme="majorHAnsi" w:hAnsiTheme="majorHAnsi" w:cstheme="majorHAnsi"/>
          <w:b/>
          <w:color w:val="000000" w:themeColor="text1"/>
          <w:u w:val="single"/>
        </w:rPr>
        <w:t>ŠD Mladá Garda</w:t>
      </w:r>
    </w:p>
    <w:p w14:paraId="2F930C01" w14:textId="2247ADC0" w:rsidR="005412C0" w:rsidRDefault="00101A77" w:rsidP="0039435F">
      <w:pPr>
        <w:spacing w:after="120"/>
        <w:jc w:val="both"/>
        <w:rPr>
          <w:rFonts w:asciiTheme="majorHAnsi" w:hAnsiTheme="majorHAnsi" w:cstheme="majorHAnsi"/>
          <w:color w:val="000000" w:themeColor="text1"/>
        </w:rPr>
      </w:pPr>
      <w:r>
        <w:rPr>
          <w:rFonts w:asciiTheme="majorHAnsi" w:hAnsiTheme="majorHAnsi" w:cstheme="majorHAnsi"/>
          <w:color w:val="000000" w:themeColor="text1"/>
        </w:rPr>
        <w:t xml:space="preserve">Bola vykonaná </w:t>
      </w:r>
      <w:r w:rsidR="00346583">
        <w:rPr>
          <w:rFonts w:asciiTheme="majorHAnsi" w:hAnsiTheme="majorHAnsi" w:cstheme="majorHAnsi"/>
          <w:color w:val="000000" w:themeColor="text1"/>
        </w:rPr>
        <w:t>5.</w:t>
      </w:r>
      <w:r>
        <w:rPr>
          <w:rFonts w:asciiTheme="majorHAnsi" w:hAnsiTheme="majorHAnsi" w:cstheme="majorHAnsi"/>
          <w:color w:val="000000" w:themeColor="text1"/>
        </w:rPr>
        <w:t xml:space="preserve"> etapa opravy izieb a spojovacej chodby, </w:t>
      </w:r>
      <w:r w:rsidR="00DA2C6B">
        <w:rPr>
          <w:rFonts w:asciiTheme="majorHAnsi" w:hAnsiTheme="majorHAnsi" w:cstheme="majorHAnsi"/>
          <w:color w:val="000000" w:themeColor="text1"/>
        </w:rPr>
        <w:t>použili sa</w:t>
      </w:r>
      <w:r>
        <w:rPr>
          <w:rFonts w:asciiTheme="majorHAnsi" w:hAnsiTheme="majorHAnsi" w:cstheme="majorHAnsi"/>
          <w:color w:val="000000" w:themeColor="text1"/>
        </w:rPr>
        <w:t xml:space="preserve"> </w:t>
      </w:r>
      <w:r w:rsidR="00EC5443">
        <w:rPr>
          <w:rFonts w:asciiTheme="majorHAnsi" w:hAnsiTheme="majorHAnsi" w:cstheme="majorHAnsi"/>
          <w:color w:val="000000" w:themeColor="text1"/>
        </w:rPr>
        <w:t xml:space="preserve">finančné </w:t>
      </w:r>
      <w:r>
        <w:rPr>
          <w:rFonts w:asciiTheme="majorHAnsi" w:hAnsiTheme="majorHAnsi" w:cstheme="majorHAnsi"/>
          <w:color w:val="000000" w:themeColor="text1"/>
        </w:rPr>
        <w:t>prostriedky vo výške 191 298 € z vlastných</w:t>
      </w:r>
      <w:r>
        <w:rPr>
          <w:rFonts w:asciiTheme="majorHAnsi" w:eastAsia="Times New Roman" w:hAnsiTheme="majorHAnsi" w:cstheme="majorHAnsi"/>
          <w:color w:val="000000" w:themeColor="text1"/>
          <w:lang w:eastAsia="sk-SK"/>
        </w:rPr>
        <w:t xml:space="preserve"> zdrojov.</w:t>
      </w:r>
      <w:r>
        <w:rPr>
          <w:rFonts w:asciiTheme="majorHAnsi" w:hAnsiTheme="majorHAnsi" w:cstheme="majorHAnsi"/>
        </w:rPr>
        <w:t xml:space="preserve"> Dokončením </w:t>
      </w:r>
      <w:r w:rsidR="00C86CEB">
        <w:rPr>
          <w:rFonts w:asciiTheme="majorHAnsi" w:hAnsiTheme="majorHAnsi" w:cstheme="majorHAnsi"/>
        </w:rPr>
        <w:t>5.</w:t>
      </w:r>
      <w:r>
        <w:rPr>
          <w:rFonts w:asciiTheme="majorHAnsi" w:hAnsiTheme="majorHAnsi" w:cstheme="majorHAnsi"/>
        </w:rPr>
        <w:t xml:space="preserve"> etapy je na ŠD Mladá Garda opravených 37 %</w:t>
      </w:r>
      <w:r w:rsidR="00EC5443">
        <w:rPr>
          <w:rFonts w:asciiTheme="majorHAnsi" w:hAnsiTheme="majorHAnsi" w:cstheme="majorHAnsi"/>
        </w:rPr>
        <w:t xml:space="preserve"> ubytovacích </w:t>
      </w:r>
      <w:r>
        <w:rPr>
          <w:rFonts w:asciiTheme="majorHAnsi" w:hAnsiTheme="majorHAnsi" w:cstheme="majorHAnsi"/>
        </w:rPr>
        <w:t>priestorov</w:t>
      </w:r>
      <w:r>
        <w:rPr>
          <w:rFonts w:asciiTheme="majorHAnsi" w:hAnsiTheme="majorHAnsi" w:cstheme="majorHAnsi"/>
          <w:color w:val="000000" w:themeColor="text1"/>
        </w:rPr>
        <w:t>.</w:t>
      </w:r>
    </w:p>
    <w:p w14:paraId="429BC5E9" w14:textId="77777777" w:rsidR="00101A77" w:rsidRPr="000B2CE3" w:rsidRDefault="00101A77" w:rsidP="0039435F">
      <w:pPr>
        <w:jc w:val="both"/>
        <w:rPr>
          <w:rFonts w:asciiTheme="majorHAnsi" w:hAnsiTheme="majorHAnsi" w:cstheme="majorHAnsi"/>
          <w:b/>
          <w:color w:val="000000" w:themeColor="text1"/>
          <w:u w:val="single"/>
        </w:rPr>
      </w:pPr>
      <w:r w:rsidRPr="000B2CE3">
        <w:rPr>
          <w:rFonts w:asciiTheme="majorHAnsi" w:hAnsiTheme="majorHAnsi" w:cstheme="majorHAnsi"/>
          <w:b/>
          <w:color w:val="000000" w:themeColor="text1"/>
          <w:u w:val="single"/>
        </w:rPr>
        <w:t>ŠD Dobrovičova</w:t>
      </w:r>
    </w:p>
    <w:p w14:paraId="6D04613F" w14:textId="6874610F" w:rsidR="00101A77" w:rsidRPr="000B2CE3" w:rsidRDefault="00101A77" w:rsidP="0039435F">
      <w:pPr>
        <w:jc w:val="both"/>
        <w:rPr>
          <w:rFonts w:asciiTheme="majorHAnsi" w:hAnsiTheme="majorHAnsi" w:cstheme="majorHAnsi"/>
          <w:color w:val="000000" w:themeColor="text1"/>
        </w:rPr>
      </w:pPr>
      <w:r w:rsidRPr="000B2CE3">
        <w:rPr>
          <w:rFonts w:asciiTheme="majorHAnsi" w:hAnsiTheme="majorHAnsi" w:cstheme="majorHAnsi"/>
          <w:color w:val="000000" w:themeColor="text1"/>
        </w:rPr>
        <w:t>Poslednou etapou bola dokončená výmena okien na budove</w:t>
      </w:r>
      <w:r w:rsidR="00816E69" w:rsidRPr="000B2CE3">
        <w:rPr>
          <w:rFonts w:asciiTheme="majorHAnsi" w:hAnsiTheme="majorHAnsi" w:cstheme="majorHAnsi"/>
          <w:color w:val="000000" w:themeColor="text1"/>
        </w:rPr>
        <w:t xml:space="preserve">, </w:t>
      </w:r>
      <w:bookmarkStart w:id="231" w:name="_Hlk127449915"/>
      <w:r w:rsidR="00816E69" w:rsidRPr="000B2CE3">
        <w:rPr>
          <w:rFonts w:asciiTheme="majorHAnsi" w:hAnsiTheme="majorHAnsi" w:cstheme="majorHAnsi"/>
          <w:color w:val="000000" w:themeColor="text1"/>
        </w:rPr>
        <w:t>na ktorú boli použité finančné prostriedky</w:t>
      </w:r>
      <w:bookmarkEnd w:id="231"/>
      <w:r w:rsidRPr="000B2CE3">
        <w:rPr>
          <w:rFonts w:asciiTheme="majorHAnsi" w:hAnsiTheme="majorHAnsi" w:cstheme="majorHAnsi"/>
          <w:color w:val="000000" w:themeColor="text1"/>
        </w:rPr>
        <w:t xml:space="preserve"> v</w:t>
      </w:r>
      <w:r w:rsidR="00C86CEB" w:rsidRPr="000B2CE3">
        <w:rPr>
          <w:rFonts w:asciiTheme="majorHAnsi" w:hAnsiTheme="majorHAnsi" w:cstheme="majorHAnsi"/>
          <w:color w:val="000000" w:themeColor="text1"/>
        </w:rPr>
        <w:t>o výške</w:t>
      </w:r>
      <w:r w:rsidRPr="000B2CE3">
        <w:rPr>
          <w:rFonts w:asciiTheme="majorHAnsi" w:hAnsiTheme="majorHAnsi" w:cstheme="majorHAnsi"/>
          <w:color w:val="000000" w:themeColor="text1"/>
        </w:rPr>
        <w:t> 44 193 €. Pokračovala rekonštrukcia izieb (zrealizovaná 5. etapa), na</w:t>
      </w:r>
      <w:r w:rsidR="00E24211" w:rsidRPr="000B2CE3">
        <w:rPr>
          <w:rFonts w:asciiTheme="majorHAnsi" w:hAnsiTheme="majorHAnsi" w:cstheme="majorHAnsi"/>
          <w:color w:val="000000" w:themeColor="text1"/>
        </w:rPr>
        <w:t> </w:t>
      </w:r>
      <w:r w:rsidR="00DA2C6B">
        <w:rPr>
          <w:rFonts w:asciiTheme="majorHAnsi" w:hAnsiTheme="majorHAnsi" w:cstheme="majorHAnsi"/>
          <w:color w:val="000000" w:themeColor="text1"/>
        </w:rPr>
        <w:t>ktorú bolo</w:t>
      </w:r>
      <w:r w:rsidRPr="000B2CE3">
        <w:rPr>
          <w:rFonts w:asciiTheme="majorHAnsi" w:hAnsiTheme="majorHAnsi" w:cstheme="majorHAnsi"/>
          <w:color w:val="000000" w:themeColor="text1"/>
        </w:rPr>
        <w:t xml:space="preserve"> </w:t>
      </w:r>
      <w:r w:rsidR="00DA2C6B">
        <w:rPr>
          <w:rFonts w:asciiTheme="majorHAnsi" w:hAnsiTheme="majorHAnsi" w:cstheme="majorHAnsi"/>
          <w:color w:val="000000" w:themeColor="text1"/>
        </w:rPr>
        <w:t>vynaložených</w:t>
      </w:r>
      <w:r w:rsidRPr="000B2CE3">
        <w:rPr>
          <w:rFonts w:asciiTheme="majorHAnsi" w:hAnsiTheme="majorHAnsi" w:cstheme="majorHAnsi"/>
        </w:rPr>
        <w:t xml:space="preserve"> 786 307 €. V roku 2022 bola dokončená rekonštrukcia fasády</w:t>
      </w:r>
      <w:r w:rsidR="00E24211" w:rsidRPr="000B2CE3">
        <w:rPr>
          <w:rFonts w:asciiTheme="majorHAnsi" w:hAnsiTheme="majorHAnsi" w:cstheme="majorHAnsi"/>
        </w:rPr>
        <w:t xml:space="preserve">, na </w:t>
      </w:r>
      <w:r w:rsidR="00DA2C6B">
        <w:rPr>
          <w:rFonts w:asciiTheme="majorHAnsi" w:hAnsiTheme="majorHAnsi" w:cstheme="majorHAnsi"/>
        </w:rPr>
        <w:t>čo sa použilo</w:t>
      </w:r>
      <w:r w:rsidRPr="000B2CE3">
        <w:rPr>
          <w:rFonts w:asciiTheme="majorHAnsi" w:hAnsiTheme="majorHAnsi" w:cstheme="majorHAnsi"/>
        </w:rPr>
        <w:t xml:space="preserve"> 44 258 </w:t>
      </w:r>
      <w:r w:rsidRPr="000B2CE3">
        <w:rPr>
          <w:rFonts w:asciiTheme="majorHAnsi" w:hAnsiTheme="majorHAnsi" w:cstheme="majorHAnsi"/>
          <w:color w:val="000000" w:themeColor="text1"/>
        </w:rPr>
        <w:t>€</w:t>
      </w:r>
      <w:r w:rsidRPr="000B2CE3">
        <w:rPr>
          <w:rFonts w:asciiTheme="majorHAnsi" w:hAnsiTheme="majorHAnsi" w:cstheme="majorHAnsi"/>
        </w:rPr>
        <w:t xml:space="preserve">. Dokončením piatej etapy je na ŠD Dobrovičova zrekonštruovaných približne 80 % </w:t>
      </w:r>
      <w:r w:rsidR="00D76618" w:rsidRPr="000B2CE3">
        <w:rPr>
          <w:rFonts w:asciiTheme="majorHAnsi" w:hAnsiTheme="majorHAnsi" w:cstheme="majorHAnsi"/>
        </w:rPr>
        <w:t xml:space="preserve">ubytovacích </w:t>
      </w:r>
      <w:r w:rsidRPr="000B2CE3">
        <w:rPr>
          <w:rFonts w:asciiTheme="majorHAnsi" w:hAnsiTheme="majorHAnsi" w:cstheme="majorHAnsi"/>
        </w:rPr>
        <w:t>priestorov</w:t>
      </w:r>
      <w:r w:rsidRPr="000B2CE3">
        <w:rPr>
          <w:rFonts w:asciiTheme="majorHAnsi" w:hAnsiTheme="majorHAnsi" w:cstheme="majorHAnsi"/>
          <w:color w:val="000000" w:themeColor="text1"/>
        </w:rPr>
        <w:t xml:space="preserve">. </w:t>
      </w:r>
    </w:p>
    <w:p w14:paraId="5C13936A" w14:textId="77777777" w:rsidR="00101A77" w:rsidRPr="000B2CE3" w:rsidRDefault="00101A77" w:rsidP="0039435F">
      <w:pPr>
        <w:jc w:val="both"/>
        <w:rPr>
          <w:rFonts w:asciiTheme="majorHAnsi" w:hAnsiTheme="majorHAnsi" w:cstheme="majorHAnsi"/>
          <w:color w:val="000000" w:themeColor="text1"/>
        </w:rPr>
      </w:pPr>
    </w:p>
    <w:p w14:paraId="760B2824" w14:textId="77777777" w:rsidR="00101A77" w:rsidRPr="000B2CE3" w:rsidRDefault="00101A77" w:rsidP="0039435F">
      <w:pPr>
        <w:tabs>
          <w:tab w:val="right" w:pos="5670"/>
        </w:tabs>
        <w:spacing w:after="120"/>
        <w:jc w:val="both"/>
        <w:rPr>
          <w:rFonts w:asciiTheme="majorHAnsi" w:hAnsiTheme="majorHAnsi" w:cstheme="majorHAnsi"/>
          <w:color w:val="000000" w:themeColor="text1"/>
        </w:rPr>
      </w:pPr>
      <w:r w:rsidRPr="000B2CE3">
        <w:rPr>
          <w:rFonts w:asciiTheme="majorHAnsi" w:hAnsiTheme="majorHAnsi" w:cstheme="majorHAnsi"/>
          <w:color w:val="000000" w:themeColor="text1"/>
        </w:rPr>
        <w:t>V </w:t>
      </w:r>
      <w:r w:rsidRPr="000B2CE3">
        <w:rPr>
          <w:rFonts w:asciiTheme="majorHAnsi" w:hAnsiTheme="majorHAnsi" w:cstheme="majorHAnsi"/>
          <w:b/>
          <w:color w:val="000000" w:themeColor="text1"/>
        </w:rPr>
        <w:t>ŠD Jura Hronca a Nikosa Belojanisa</w:t>
      </w:r>
      <w:r w:rsidRPr="000B2CE3">
        <w:rPr>
          <w:rFonts w:asciiTheme="majorHAnsi" w:hAnsiTheme="majorHAnsi" w:cstheme="majorHAnsi"/>
          <w:color w:val="000000" w:themeColor="text1"/>
        </w:rPr>
        <w:t xml:space="preserve"> a v </w:t>
      </w:r>
      <w:r w:rsidRPr="000B2CE3">
        <w:rPr>
          <w:rFonts w:asciiTheme="majorHAnsi" w:hAnsiTheme="majorHAnsi" w:cstheme="majorHAnsi"/>
          <w:b/>
          <w:color w:val="000000" w:themeColor="text1"/>
        </w:rPr>
        <w:t>ŠD Akademik</w:t>
      </w:r>
      <w:r w:rsidRPr="000B2CE3">
        <w:rPr>
          <w:rFonts w:asciiTheme="majorHAnsi" w:hAnsiTheme="majorHAnsi" w:cstheme="majorHAnsi"/>
          <w:color w:val="000000" w:themeColor="text1"/>
        </w:rPr>
        <w:t xml:space="preserve"> boli v roku 2022 realizované len bežné opravy a údržba. </w:t>
      </w:r>
    </w:p>
    <w:p w14:paraId="6BAD7BE7" w14:textId="4D3427AD" w:rsidR="00101A77" w:rsidRPr="000B2CE3" w:rsidRDefault="00101A77" w:rsidP="00DA2C6B">
      <w:pPr>
        <w:tabs>
          <w:tab w:val="right" w:pos="5670"/>
        </w:tabs>
        <w:spacing w:after="120"/>
        <w:jc w:val="both"/>
        <w:rPr>
          <w:rFonts w:asciiTheme="majorHAnsi" w:hAnsiTheme="majorHAnsi" w:cstheme="majorHAnsi"/>
          <w:color w:val="000000" w:themeColor="text1"/>
        </w:rPr>
      </w:pPr>
      <w:r w:rsidRPr="000B2CE3">
        <w:rPr>
          <w:rFonts w:asciiTheme="majorHAnsi" w:hAnsiTheme="majorHAnsi" w:cstheme="majorHAnsi"/>
          <w:color w:val="000000" w:themeColor="text1"/>
        </w:rPr>
        <w:t>Z </w:t>
      </w:r>
      <w:r w:rsidR="00C82DE1" w:rsidRPr="000B2CE3">
        <w:rPr>
          <w:rFonts w:asciiTheme="majorHAnsi" w:hAnsiTheme="majorHAnsi" w:cstheme="majorHAnsi"/>
          <w:color w:val="000000" w:themeColor="text1"/>
        </w:rPr>
        <w:t xml:space="preserve">finančných prostriedkov z </w:t>
      </w:r>
      <w:r w:rsidRPr="000B2CE3">
        <w:rPr>
          <w:rFonts w:asciiTheme="majorHAnsi" w:hAnsiTheme="majorHAnsi" w:cstheme="majorHAnsi"/>
          <w:color w:val="000000" w:themeColor="text1"/>
        </w:rPr>
        <w:t>vlastných zdrojov bola priebežne realizovaná výmena nábytku v</w:t>
      </w:r>
      <w:r w:rsidR="00606872" w:rsidRPr="000B2CE3">
        <w:rPr>
          <w:rFonts w:asciiTheme="majorHAnsi" w:hAnsiTheme="majorHAnsi" w:cstheme="majorHAnsi"/>
          <w:color w:val="000000" w:themeColor="text1"/>
        </w:rPr>
        <w:t> </w:t>
      </w:r>
      <w:r w:rsidRPr="000B2CE3">
        <w:rPr>
          <w:rFonts w:asciiTheme="majorHAnsi" w:hAnsiTheme="majorHAnsi" w:cstheme="majorHAnsi"/>
          <w:color w:val="000000" w:themeColor="text1"/>
        </w:rPr>
        <w:t>študentských izbách v celkovej výške</w:t>
      </w:r>
      <w:r w:rsidR="00DA2C6B">
        <w:rPr>
          <w:rFonts w:asciiTheme="majorHAnsi" w:hAnsiTheme="majorHAnsi" w:cstheme="majorHAnsi"/>
          <w:color w:val="000000" w:themeColor="text1"/>
        </w:rPr>
        <w:t xml:space="preserve"> 153 893 €. </w:t>
      </w:r>
      <w:r w:rsidRPr="000B2CE3">
        <w:rPr>
          <w:rFonts w:asciiTheme="majorHAnsi" w:eastAsia="Times New Roman" w:hAnsiTheme="majorHAnsi" w:cstheme="majorHAnsi"/>
          <w:color w:val="000000" w:themeColor="text1"/>
          <w:lang w:eastAsia="sk-SK"/>
        </w:rPr>
        <w:t xml:space="preserve">V letnom období boli </w:t>
      </w:r>
      <w:r w:rsidR="00606872" w:rsidRPr="000B2CE3">
        <w:rPr>
          <w:rFonts w:asciiTheme="majorHAnsi" w:eastAsia="Times New Roman" w:hAnsiTheme="majorHAnsi" w:cstheme="majorHAnsi"/>
          <w:color w:val="000000" w:themeColor="text1"/>
          <w:lang w:eastAsia="sk-SK"/>
        </w:rPr>
        <w:t>v </w:t>
      </w:r>
      <w:r w:rsidR="007A30FC">
        <w:rPr>
          <w:rFonts w:asciiTheme="majorHAnsi" w:eastAsia="Times New Roman" w:hAnsiTheme="majorHAnsi" w:cstheme="majorHAnsi"/>
          <w:color w:val="000000" w:themeColor="text1"/>
          <w:lang w:eastAsia="sk-SK"/>
        </w:rPr>
        <w:t>ŠD</w:t>
      </w:r>
      <w:r w:rsidR="00606872" w:rsidRPr="000B2CE3">
        <w:rPr>
          <w:rFonts w:asciiTheme="majorHAnsi" w:eastAsia="Times New Roman" w:hAnsiTheme="majorHAnsi" w:cstheme="majorHAnsi"/>
          <w:color w:val="000000" w:themeColor="text1"/>
          <w:lang w:eastAsia="sk-SK"/>
        </w:rPr>
        <w:t xml:space="preserve"> </w:t>
      </w:r>
      <w:r w:rsidRPr="000B2CE3">
        <w:rPr>
          <w:rFonts w:asciiTheme="majorHAnsi" w:eastAsia="Times New Roman" w:hAnsiTheme="majorHAnsi" w:cstheme="majorHAnsi"/>
          <w:color w:val="000000" w:themeColor="text1"/>
          <w:lang w:eastAsia="sk-SK"/>
        </w:rPr>
        <w:t xml:space="preserve">vykonané nevyhnutné maliarske práce </w:t>
      </w:r>
      <w:r w:rsidR="00606872" w:rsidRPr="000B2CE3">
        <w:rPr>
          <w:rFonts w:asciiTheme="majorHAnsi" w:eastAsia="Times New Roman" w:hAnsiTheme="majorHAnsi" w:cstheme="majorHAnsi"/>
          <w:color w:val="000000" w:themeColor="text1"/>
          <w:lang w:eastAsia="sk-SK"/>
        </w:rPr>
        <w:t>v</w:t>
      </w:r>
      <w:r w:rsidR="00AC051D" w:rsidRPr="000B2CE3">
        <w:rPr>
          <w:rFonts w:asciiTheme="majorHAnsi" w:eastAsia="Times New Roman" w:hAnsiTheme="majorHAnsi" w:cstheme="majorHAnsi"/>
          <w:color w:val="000000" w:themeColor="text1"/>
          <w:lang w:eastAsia="sk-SK"/>
        </w:rPr>
        <w:t> </w:t>
      </w:r>
      <w:r w:rsidRPr="000B2CE3">
        <w:rPr>
          <w:rFonts w:asciiTheme="majorHAnsi" w:eastAsia="Times New Roman" w:hAnsiTheme="majorHAnsi" w:cstheme="majorHAnsi"/>
          <w:color w:val="000000" w:themeColor="text1"/>
          <w:lang w:eastAsia="sk-SK"/>
        </w:rPr>
        <w:t>iz</w:t>
      </w:r>
      <w:r w:rsidR="00606872" w:rsidRPr="000B2CE3">
        <w:rPr>
          <w:rFonts w:asciiTheme="majorHAnsi" w:eastAsia="Times New Roman" w:hAnsiTheme="majorHAnsi" w:cstheme="majorHAnsi"/>
          <w:color w:val="000000" w:themeColor="text1"/>
          <w:lang w:eastAsia="sk-SK"/>
        </w:rPr>
        <w:t>bách</w:t>
      </w:r>
      <w:r w:rsidR="00AC051D" w:rsidRPr="000B2CE3">
        <w:rPr>
          <w:rFonts w:asciiTheme="majorHAnsi" w:eastAsia="Times New Roman" w:hAnsiTheme="majorHAnsi" w:cstheme="majorHAnsi"/>
          <w:color w:val="000000" w:themeColor="text1"/>
          <w:lang w:eastAsia="sk-SK"/>
        </w:rPr>
        <w:t>,</w:t>
      </w:r>
      <w:r w:rsidRPr="000B2CE3">
        <w:rPr>
          <w:rFonts w:asciiTheme="majorHAnsi" w:eastAsia="Times New Roman" w:hAnsiTheme="majorHAnsi" w:cstheme="majorHAnsi"/>
          <w:color w:val="000000" w:themeColor="text1"/>
          <w:lang w:eastAsia="sk-SK"/>
        </w:rPr>
        <w:t xml:space="preserve"> </w:t>
      </w:r>
      <w:r w:rsidR="00AC051D" w:rsidRPr="000B2CE3">
        <w:rPr>
          <w:rFonts w:asciiTheme="majorHAnsi" w:hAnsiTheme="majorHAnsi" w:cstheme="majorHAnsi"/>
          <w:color w:val="000000" w:themeColor="text1"/>
        </w:rPr>
        <w:t>na ktoré boli použité finančné prostriedky</w:t>
      </w:r>
      <w:r w:rsidR="00AC051D" w:rsidRPr="000B2CE3">
        <w:rPr>
          <w:rFonts w:asciiTheme="majorHAnsi" w:eastAsia="Times New Roman" w:hAnsiTheme="majorHAnsi" w:cstheme="majorHAnsi"/>
          <w:color w:val="000000" w:themeColor="text1"/>
          <w:lang w:eastAsia="sk-SK"/>
        </w:rPr>
        <w:t xml:space="preserve"> </w:t>
      </w:r>
      <w:r w:rsidR="00AC051D" w:rsidRPr="000B2CE3">
        <w:rPr>
          <w:rFonts w:asciiTheme="majorHAnsi" w:hAnsiTheme="majorHAnsi" w:cstheme="majorHAnsi"/>
          <w:color w:val="000000" w:themeColor="text1"/>
        </w:rPr>
        <w:t>z vlastných zdrojov</w:t>
      </w:r>
      <w:r w:rsidR="00AC051D" w:rsidRPr="000B2CE3">
        <w:rPr>
          <w:rFonts w:asciiTheme="majorHAnsi" w:eastAsia="Times New Roman" w:hAnsiTheme="majorHAnsi" w:cstheme="majorHAnsi"/>
          <w:color w:val="000000" w:themeColor="text1"/>
          <w:lang w:eastAsia="sk-SK"/>
        </w:rPr>
        <w:t xml:space="preserve"> vo výške </w:t>
      </w:r>
      <w:r w:rsidRPr="000B2CE3">
        <w:rPr>
          <w:rFonts w:asciiTheme="majorHAnsi" w:eastAsia="Times New Roman" w:hAnsiTheme="majorHAnsi" w:cstheme="majorHAnsi"/>
          <w:color w:val="000000" w:themeColor="text1"/>
          <w:lang w:eastAsia="sk-SK"/>
        </w:rPr>
        <w:t xml:space="preserve">61 869 </w:t>
      </w:r>
      <w:r w:rsidRPr="000B2CE3">
        <w:rPr>
          <w:rFonts w:asciiTheme="majorHAnsi" w:hAnsiTheme="majorHAnsi" w:cstheme="majorHAnsi"/>
          <w:color w:val="000000" w:themeColor="text1"/>
        </w:rPr>
        <w:t>€.</w:t>
      </w:r>
    </w:p>
    <w:p w14:paraId="7977410E" w14:textId="77777777" w:rsidR="00101A77" w:rsidRPr="000B2CE3" w:rsidRDefault="00101A77" w:rsidP="0039435F">
      <w:pPr>
        <w:spacing w:after="120"/>
        <w:jc w:val="both"/>
        <w:rPr>
          <w:rFonts w:asciiTheme="majorHAnsi" w:hAnsiTheme="majorHAnsi" w:cstheme="majorHAnsi"/>
          <w:color w:val="000000" w:themeColor="text1"/>
        </w:rPr>
      </w:pPr>
      <w:r w:rsidRPr="000B2CE3">
        <w:rPr>
          <w:rFonts w:asciiTheme="majorHAnsi" w:hAnsiTheme="majorHAnsi" w:cstheme="majorHAnsi"/>
          <w:b/>
          <w:color w:val="000000" w:themeColor="text1"/>
        </w:rPr>
        <w:t xml:space="preserve">V roku 2022 bola Účelovému zariadeniu Študentské domovy jedálne STU (ÚZ ŠDaJ) pridelená dotácia </w:t>
      </w:r>
      <w:bookmarkStart w:id="232" w:name="_Hlk127451594"/>
      <w:r w:rsidRPr="000B2CE3">
        <w:rPr>
          <w:rFonts w:asciiTheme="majorHAnsi" w:hAnsiTheme="majorHAnsi" w:cstheme="majorHAnsi"/>
          <w:b/>
        </w:rPr>
        <w:t>na zmiernenie ekonomických dopadov - výpadku príjmov, z dôvodu vzniku pandémie COVID-19</w:t>
      </w:r>
      <w:r w:rsidRPr="000B2CE3">
        <w:rPr>
          <w:rFonts w:asciiTheme="majorHAnsi" w:hAnsiTheme="majorHAnsi" w:cstheme="majorHAnsi"/>
          <w:b/>
          <w:color w:val="000000" w:themeColor="text1"/>
        </w:rPr>
        <w:t xml:space="preserve"> </w:t>
      </w:r>
      <w:bookmarkEnd w:id="232"/>
      <w:r w:rsidRPr="000B2CE3">
        <w:rPr>
          <w:rFonts w:asciiTheme="majorHAnsi" w:hAnsiTheme="majorHAnsi" w:cstheme="majorHAnsi"/>
          <w:b/>
          <w:color w:val="000000" w:themeColor="text1"/>
        </w:rPr>
        <w:t>vo výške 718 201 €.</w:t>
      </w:r>
      <w:r w:rsidRPr="000B2CE3">
        <w:rPr>
          <w:rFonts w:asciiTheme="majorHAnsi" w:hAnsiTheme="majorHAnsi" w:cstheme="majorHAnsi"/>
          <w:color w:val="000000" w:themeColor="text1"/>
        </w:rPr>
        <w:t xml:space="preserve"> Z tejto dotácie boli hradené bežné výdavky </w:t>
      </w:r>
      <w:r w:rsidRPr="000B2CE3">
        <w:rPr>
          <w:rFonts w:asciiTheme="majorHAnsi" w:hAnsiTheme="majorHAnsi" w:cstheme="majorHAnsi"/>
          <w:color w:val="000000" w:themeColor="text1"/>
        </w:rPr>
        <w:lastRenderedPageBreak/>
        <w:t>študentských domovov a študentských jedální, ktoré boli v iných rokoch hradené z vlastných príjmov za ubytovanie a stravovanie.</w:t>
      </w:r>
    </w:p>
    <w:p w14:paraId="3B5B29AE" w14:textId="01F0E5C1" w:rsidR="00A90874" w:rsidRPr="000B2CE3" w:rsidRDefault="00A90874" w:rsidP="0039435F">
      <w:pPr>
        <w:jc w:val="both"/>
        <w:rPr>
          <w:rFonts w:asciiTheme="majorHAnsi" w:hAnsiTheme="majorHAnsi" w:cstheme="majorHAnsi"/>
        </w:rPr>
      </w:pPr>
      <w:r w:rsidRPr="000B2CE3">
        <w:rPr>
          <w:rFonts w:asciiTheme="majorHAnsi" w:hAnsiTheme="majorHAnsi" w:cstheme="majorHAnsi"/>
        </w:rPr>
        <w:t>V roku 202</w:t>
      </w:r>
      <w:r w:rsidR="008C353E" w:rsidRPr="000B2CE3">
        <w:rPr>
          <w:rFonts w:asciiTheme="majorHAnsi" w:hAnsiTheme="majorHAnsi" w:cstheme="majorHAnsi"/>
        </w:rPr>
        <w:t>3</w:t>
      </w:r>
      <w:r w:rsidRPr="000B2CE3">
        <w:rPr>
          <w:rFonts w:asciiTheme="majorHAnsi" w:hAnsiTheme="majorHAnsi" w:cstheme="majorHAnsi"/>
        </w:rPr>
        <w:t xml:space="preserve"> </w:t>
      </w:r>
      <w:r w:rsidR="000179DB" w:rsidRPr="000B2CE3">
        <w:rPr>
          <w:rFonts w:asciiTheme="majorHAnsi" w:hAnsiTheme="majorHAnsi" w:cstheme="majorHAnsi"/>
        </w:rPr>
        <w:t>sa</w:t>
      </w:r>
      <w:r w:rsidRPr="000B2CE3">
        <w:rPr>
          <w:rFonts w:asciiTheme="majorHAnsi" w:hAnsiTheme="majorHAnsi" w:cstheme="majorHAnsi"/>
        </w:rPr>
        <w:t xml:space="preserve"> plánuje</w:t>
      </w:r>
      <w:r w:rsidR="000C459E" w:rsidRPr="000B2CE3">
        <w:rPr>
          <w:rFonts w:asciiTheme="majorHAnsi" w:hAnsiTheme="majorHAnsi" w:cstheme="majorHAnsi"/>
        </w:rPr>
        <w:t xml:space="preserve"> (</w:t>
      </w:r>
      <w:r w:rsidRPr="000B2CE3">
        <w:rPr>
          <w:rFonts w:asciiTheme="majorHAnsi" w:hAnsiTheme="majorHAnsi" w:cstheme="majorHAnsi"/>
        </w:rPr>
        <w:t xml:space="preserve">za predpokladu </w:t>
      </w:r>
      <w:r w:rsidR="000C459E" w:rsidRPr="000B2CE3">
        <w:rPr>
          <w:rFonts w:asciiTheme="majorHAnsi" w:hAnsiTheme="majorHAnsi" w:cstheme="majorHAnsi"/>
        </w:rPr>
        <w:t>dostatku</w:t>
      </w:r>
      <w:r w:rsidRPr="000B2CE3">
        <w:rPr>
          <w:rFonts w:asciiTheme="majorHAnsi" w:hAnsiTheme="majorHAnsi" w:cstheme="majorHAnsi"/>
        </w:rPr>
        <w:t xml:space="preserve"> finančných prostriedkov</w:t>
      </w:r>
      <w:r w:rsidR="000C459E" w:rsidRPr="000B2CE3">
        <w:rPr>
          <w:rFonts w:asciiTheme="majorHAnsi" w:hAnsiTheme="majorHAnsi" w:cstheme="majorHAnsi"/>
        </w:rPr>
        <w:t>)</w:t>
      </w:r>
      <w:r w:rsidR="00436F75" w:rsidRPr="000B2CE3">
        <w:rPr>
          <w:rFonts w:asciiTheme="majorHAnsi" w:hAnsiTheme="majorHAnsi" w:cstheme="majorHAnsi"/>
        </w:rPr>
        <w:t xml:space="preserve"> ďalej pokračovať v </w:t>
      </w:r>
      <w:r w:rsidRPr="000B2CE3">
        <w:rPr>
          <w:rFonts w:asciiTheme="majorHAnsi" w:hAnsiTheme="majorHAnsi" w:cstheme="majorHAnsi"/>
        </w:rPr>
        <w:t xml:space="preserve">realizácii rekonštrukcií a opráv ubytovacích priestorov na jednotlivých ŠD nasledovne: </w:t>
      </w:r>
    </w:p>
    <w:p w14:paraId="088F61AB" w14:textId="77777777" w:rsidR="00DA2C6B" w:rsidRDefault="008C353E" w:rsidP="00DA2C6B">
      <w:pPr>
        <w:tabs>
          <w:tab w:val="left" w:pos="1560"/>
        </w:tabs>
        <w:ind w:left="1560" w:hanging="1560"/>
        <w:jc w:val="both"/>
        <w:rPr>
          <w:rFonts w:asciiTheme="majorHAnsi" w:hAnsiTheme="majorHAnsi" w:cstheme="majorHAnsi"/>
        </w:rPr>
      </w:pPr>
      <w:r w:rsidRPr="00DA2C6B">
        <w:rPr>
          <w:rFonts w:asciiTheme="majorHAnsi" w:hAnsiTheme="majorHAnsi" w:cstheme="majorHAnsi"/>
        </w:rPr>
        <w:t>na ŠD Mladosť</w:t>
      </w:r>
      <w:r w:rsidR="00DA2C6B">
        <w:rPr>
          <w:rFonts w:asciiTheme="majorHAnsi" w:hAnsiTheme="majorHAnsi" w:cstheme="majorHAnsi"/>
        </w:rPr>
        <w:t xml:space="preserve"> </w:t>
      </w:r>
      <w:r w:rsidRPr="00DA2C6B">
        <w:rPr>
          <w:rFonts w:asciiTheme="majorHAnsi" w:hAnsiTheme="majorHAnsi" w:cstheme="majorHAnsi"/>
        </w:rPr>
        <w:t xml:space="preserve">dokončiť verejné obstarávanie uzatvorením </w:t>
      </w:r>
      <w:r w:rsidR="00DA2C6B">
        <w:rPr>
          <w:rFonts w:asciiTheme="majorHAnsi" w:hAnsiTheme="majorHAnsi" w:cstheme="majorHAnsi"/>
        </w:rPr>
        <w:t xml:space="preserve">zmluvy o dielo na rekonštrukciu </w:t>
      </w:r>
    </w:p>
    <w:p w14:paraId="3A572628" w14:textId="77777777" w:rsidR="00DA2C6B" w:rsidRDefault="008C353E" w:rsidP="00DA2C6B">
      <w:pPr>
        <w:tabs>
          <w:tab w:val="left" w:pos="1560"/>
        </w:tabs>
        <w:ind w:left="1560" w:hanging="1560"/>
        <w:jc w:val="both"/>
        <w:rPr>
          <w:rFonts w:asciiTheme="majorHAnsi" w:hAnsiTheme="majorHAnsi" w:cstheme="majorHAnsi"/>
        </w:rPr>
      </w:pPr>
      <w:r w:rsidRPr="00DA2C6B">
        <w:rPr>
          <w:rFonts w:asciiTheme="majorHAnsi" w:hAnsiTheme="majorHAnsi" w:cstheme="majorHAnsi"/>
        </w:rPr>
        <w:t>bloku B2, dokončiť rekonštrukciu vestibulu a kancelárskych priestorov v bloku B9,</w:t>
      </w:r>
      <w:r w:rsidR="00DA2C6B">
        <w:rPr>
          <w:rFonts w:asciiTheme="majorHAnsi" w:hAnsiTheme="majorHAnsi" w:cstheme="majorHAnsi"/>
        </w:rPr>
        <w:t xml:space="preserve"> </w:t>
      </w:r>
      <w:r w:rsidRPr="00DA2C6B">
        <w:rPr>
          <w:rFonts w:asciiTheme="majorHAnsi" w:hAnsiTheme="majorHAnsi" w:cstheme="majorHAnsi"/>
        </w:rPr>
        <w:t>zrealizovať</w:t>
      </w:r>
    </w:p>
    <w:p w14:paraId="1551D932" w14:textId="57D64B14" w:rsidR="00DA2C6B" w:rsidRPr="00DA2C6B" w:rsidRDefault="008C353E" w:rsidP="00DA2C6B">
      <w:pPr>
        <w:tabs>
          <w:tab w:val="left" w:pos="1560"/>
        </w:tabs>
        <w:ind w:left="1560" w:hanging="1560"/>
        <w:jc w:val="both"/>
        <w:rPr>
          <w:rFonts w:asciiTheme="majorHAnsi" w:hAnsiTheme="majorHAnsi" w:cstheme="majorHAnsi"/>
        </w:rPr>
      </w:pPr>
      <w:r w:rsidRPr="00DA2C6B">
        <w:rPr>
          <w:rFonts w:asciiTheme="majorHAnsi" w:hAnsiTheme="majorHAnsi" w:cstheme="majorHAnsi"/>
        </w:rPr>
        <w:t xml:space="preserve">rekonštrukciu strechy blokov B5-B8, </w:t>
      </w:r>
      <w:r w:rsidR="00DA2C6B">
        <w:rPr>
          <w:rFonts w:asciiTheme="majorHAnsi" w:hAnsiTheme="majorHAnsi" w:cstheme="majorHAnsi"/>
        </w:rPr>
        <w:t xml:space="preserve"> </w:t>
      </w:r>
      <w:r w:rsidRPr="00DA2C6B">
        <w:rPr>
          <w:rFonts w:asciiTheme="majorHAnsi" w:eastAsia="Times New Roman" w:hAnsiTheme="majorHAnsi" w:cstheme="majorHAnsi"/>
          <w:lang w:eastAsia="sk-SK"/>
        </w:rPr>
        <w:t>na ŠD Dobrovičova</w:t>
      </w:r>
      <w:r w:rsidR="00DA2C6B">
        <w:rPr>
          <w:rFonts w:asciiTheme="majorHAnsi" w:hAnsiTheme="majorHAnsi" w:cstheme="majorHAnsi"/>
        </w:rPr>
        <w:t xml:space="preserve"> </w:t>
      </w:r>
      <w:r w:rsidRPr="00DA2C6B">
        <w:rPr>
          <w:rFonts w:asciiTheme="majorHAnsi" w:hAnsiTheme="majorHAnsi" w:cstheme="majorHAnsi"/>
        </w:rPr>
        <w:t xml:space="preserve">zrealizovať rekonštrukciu izieb </w:t>
      </w:r>
    </w:p>
    <w:p w14:paraId="5687C177" w14:textId="77777777" w:rsidR="00DA2C6B" w:rsidRDefault="00DA2C6B" w:rsidP="00DA2C6B">
      <w:pPr>
        <w:tabs>
          <w:tab w:val="left" w:pos="1560"/>
        </w:tabs>
        <w:ind w:left="1560" w:hanging="1560"/>
        <w:jc w:val="both"/>
        <w:rPr>
          <w:rFonts w:asciiTheme="majorHAnsi" w:hAnsiTheme="majorHAnsi" w:cstheme="majorHAnsi"/>
        </w:rPr>
      </w:pPr>
      <w:r>
        <w:rPr>
          <w:rFonts w:asciiTheme="majorHAnsi" w:hAnsiTheme="majorHAnsi" w:cstheme="majorHAnsi"/>
        </w:rPr>
        <w:t>6. etapou</w:t>
      </w:r>
      <w:r w:rsidR="008C353E" w:rsidRPr="00DA2C6B">
        <w:rPr>
          <w:rFonts w:asciiTheme="majorHAnsi" w:hAnsiTheme="majorHAnsi" w:cstheme="majorHAnsi"/>
        </w:rPr>
        <w:t xml:space="preserve"> </w:t>
      </w:r>
      <w:r>
        <w:rPr>
          <w:rFonts w:asciiTheme="majorHAnsi" w:hAnsiTheme="majorHAnsi" w:cstheme="majorHAnsi"/>
        </w:rPr>
        <w:t>(</w:t>
      </w:r>
      <w:r w:rsidR="008C353E" w:rsidRPr="00DA2C6B">
        <w:rPr>
          <w:rFonts w:asciiTheme="majorHAnsi" w:hAnsiTheme="majorHAnsi" w:cstheme="majorHAnsi"/>
        </w:rPr>
        <w:t>z deviatich),</w:t>
      </w:r>
      <w:r>
        <w:rPr>
          <w:rFonts w:asciiTheme="majorHAnsi" w:hAnsiTheme="majorHAnsi" w:cstheme="majorHAnsi"/>
        </w:rPr>
        <w:t xml:space="preserve"> </w:t>
      </w:r>
      <w:r w:rsidR="008C353E" w:rsidRPr="00DA2C6B">
        <w:rPr>
          <w:rFonts w:asciiTheme="majorHAnsi" w:eastAsia="Times New Roman" w:hAnsiTheme="majorHAnsi" w:cstheme="majorHAnsi"/>
          <w:lang w:eastAsia="sk-SK"/>
        </w:rPr>
        <w:t>na ŠD Mladá Garda</w:t>
      </w:r>
      <w:r>
        <w:rPr>
          <w:rFonts w:asciiTheme="majorHAnsi" w:eastAsia="Times New Roman" w:hAnsiTheme="majorHAnsi" w:cstheme="majorHAnsi"/>
          <w:lang w:eastAsia="sk-SK"/>
        </w:rPr>
        <w:t xml:space="preserve"> </w:t>
      </w:r>
      <w:r w:rsidR="008C353E" w:rsidRPr="00DA2C6B">
        <w:rPr>
          <w:rFonts w:asciiTheme="majorHAnsi" w:hAnsiTheme="majorHAnsi" w:cstheme="majorHAnsi"/>
        </w:rPr>
        <w:t>dokončiť 6</w:t>
      </w:r>
      <w:r w:rsidR="00922F6A" w:rsidRPr="00DA2C6B">
        <w:rPr>
          <w:rFonts w:asciiTheme="majorHAnsi" w:hAnsiTheme="majorHAnsi" w:cstheme="majorHAnsi"/>
        </w:rPr>
        <w:t>.</w:t>
      </w:r>
      <w:r w:rsidR="00063082" w:rsidRPr="00DA2C6B">
        <w:rPr>
          <w:rFonts w:asciiTheme="majorHAnsi" w:hAnsiTheme="majorHAnsi" w:cstheme="majorHAnsi"/>
        </w:rPr>
        <w:t xml:space="preserve"> </w:t>
      </w:r>
      <w:r>
        <w:rPr>
          <w:rFonts w:asciiTheme="majorHAnsi" w:hAnsiTheme="majorHAnsi" w:cstheme="majorHAnsi"/>
        </w:rPr>
        <w:t xml:space="preserve">etapu opravy izieb a </w:t>
      </w:r>
      <w:r w:rsidR="008C353E" w:rsidRPr="00DA2C6B">
        <w:rPr>
          <w:rFonts w:asciiTheme="majorHAnsi" w:hAnsiTheme="majorHAnsi" w:cstheme="majorHAnsi"/>
        </w:rPr>
        <w:t>zabezpečiť</w:t>
      </w:r>
    </w:p>
    <w:p w14:paraId="5F619019" w14:textId="77777777" w:rsidR="00DA2C6B" w:rsidRDefault="008C353E" w:rsidP="00DA2C6B">
      <w:pPr>
        <w:tabs>
          <w:tab w:val="left" w:pos="1560"/>
        </w:tabs>
        <w:ind w:left="1560" w:hanging="1560"/>
        <w:jc w:val="both"/>
        <w:rPr>
          <w:rFonts w:asciiTheme="majorHAnsi" w:eastAsia="Times New Roman" w:hAnsiTheme="majorHAnsi" w:cstheme="majorHAnsi"/>
          <w:lang w:eastAsia="sk-SK"/>
        </w:rPr>
      </w:pPr>
      <w:r w:rsidRPr="00DA2C6B">
        <w:rPr>
          <w:rFonts w:asciiTheme="majorHAnsi" w:hAnsiTheme="majorHAnsi" w:cstheme="majorHAnsi"/>
        </w:rPr>
        <w:t>realizáciu 7. etapy opravy izieb z</w:t>
      </w:r>
      <w:r w:rsidR="00922F6A" w:rsidRPr="00DA2C6B">
        <w:rPr>
          <w:rFonts w:asciiTheme="majorHAnsi" w:hAnsiTheme="majorHAnsi" w:cstheme="majorHAnsi"/>
        </w:rPr>
        <w:t> </w:t>
      </w:r>
      <w:r w:rsidRPr="00DA2C6B">
        <w:rPr>
          <w:rFonts w:asciiTheme="majorHAnsi" w:hAnsiTheme="majorHAnsi" w:cstheme="majorHAnsi"/>
        </w:rPr>
        <w:t>trinástich</w:t>
      </w:r>
      <w:r w:rsidR="00922F6A" w:rsidRPr="00DA2C6B">
        <w:rPr>
          <w:rFonts w:asciiTheme="majorHAnsi" w:hAnsiTheme="majorHAnsi" w:cstheme="majorHAnsi"/>
        </w:rPr>
        <w:t>.</w:t>
      </w:r>
      <w:r w:rsidR="00DA2C6B">
        <w:rPr>
          <w:rFonts w:asciiTheme="majorHAnsi" w:hAnsiTheme="majorHAnsi" w:cstheme="majorHAnsi"/>
        </w:rPr>
        <w:t xml:space="preserve"> </w:t>
      </w:r>
      <w:r w:rsidRPr="000B2CE3">
        <w:rPr>
          <w:rFonts w:asciiTheme="majorHAnsi" w:eastAsia="Times New Roman" w:hAnsiTheme="majorHAnsi" w:cstheme="majorHAnsi"/>
          <w:lang w:eastAsia="sk-SK"/>
        </w:rPr>
        <w:t xml:space="preserve">Práce na ŠD Dobrovičova a ŠD Mladá Garda by mali </w:t>
      </w:r>
    </w:p>
    <w:p w14:paraId="063BC547" w14:textId="77777777" w:rsidR="00DA2C6B" w:rsidRDefault="008C353E" w:rsidP="00DA2C6B">
      <w:pPr>
        <w:tabs>
          <w:tab w:val="left" w:pos="1560"/>
        </w:tabs>
        <w:ind w:left="1560" w:hanging="1560"/>
        <w:jc w:val="both"/>
        <w:rPr>
          <w:rFonts w:asciiTheme="majorHAnsi" w:eastAsia="Times New Roman" w:hAnsiTheme="majorHAnsi" w:cstheme="majorHAnsi"/>
          <w:lang w:eastAsia="sk-SK"/>
        </w:rPr>
      </w:pPr>
      <w:r w:rsidRPr="000B2CE3">
        <w:rPr>
          <w:rFonts w:asciiTheme="majorHAnsi" w:eastAsia="Times New Roman" w:hAnsiTheme="majorHAnsi" w:cstheme="majorHAnsi"/>
          <w:lang w:eastAsia="sk-SK"/>
        </w:rPr>
        <w:t>byť realizované z</w:t>
      </w:r>
      <w:r w:rsidR="009D4D05" w:rsidRPr="000B2CE3">
        <w:rPr>
          <w:rFonts w:asciiTheme="majorHAnsi" w:eastAsia="Times New Roman" w:hAnsiTheme="majorHAnsi" w:cstheme="majorHAnsi"/>
          <w:lang w:eastAsia="sk-SK"/>
        </w:rPr>
        <w:t> </w:t>
      </w:r>
      <w:r w:rsidR="009D4D05" w:rsidRPr="000B2CE3">
        <w:rPr>
          <w:rFonts w:asciiTheme="majorHAnsi" w:hAnsiTheme="majorHAnsi" w:cstheme="majorHAnsi"/>
          <w:color w:val="000000" w:themeColor="text1"/>
        </w:rPr>
        <w:t xml:space="preserve">finančných prostriedkov z </w:t>
      </w:r>
      <w:r w:rsidRPr="000B2CE3">
        <w:rPr>
          <w:rFonts w:asciiTheme="majorHAnsi" w:eastAsia="Times New Roman" w:hAnsiTheme="majorHAnsi" w:cstheme="majorHAnsi"/>
          <w:lang w:eastAsia="sk-SK"/>
        </w:rPr>
        <w:t>vlastných zdrojov až do vykonania opráv všetkých</w:t>
      </w:r>
    </w:p>
    <w:p w14:paraId="6F0B389F" w14:textId="2D3A2767" w:rsidR="008C353E" w:rsidRDefault="008C353E" w:rsidP="00DA2C6B">
      <w:pPr>
        <w:tabs>
          <w:tab w:val="left" w:pos="1560"/>
        </w:tabs>
        <w:ind w:left="1560" w:hanging="1560"/>
        <w:jc w:val="both"/>
        <w:rPr>
          <w:rFonts w:asciiTheme="majorHAnsi" w:eastAsia="Times New Roman" w:hAnsiTheme="majorHAnsi" w:cstheme="majorHAnsi"/>
          <w:lang w:eastAsia="sk-SK"/>
        </w:rPr>
      </w:pPr>
      <w:r w:rsidRPr="000B2CE3">
        <w:rPr>
          <w:rFonts w:asciiTheme="majorHAnsi" w:eastAsia="Times New Roman" w:hAnsiTheme="majorHAnsi" w:cstheme="majorHAnsi"/>
          <w:lang w:eastAsia="sk-SK"/>
        </w:rPr>
        <w:t xml:space="preserve">izieb. </w:t>
      </w:r>
    </w:p>
    <w:p w14:paraId="2B0654B7" w14:textId="77777777" w:rsidR="00DA2C6B" w:rsidRPr="00DA2C6B" w:rsidRDefault="00DA2C6B" w:rsidP="00DA2C6B">
      <w:pPr>
        <w:tabs>
          <w:tab w:val="left" w:pos="1560"/>
        </w:tabs>
        <w:ind w:left="1560" w:hanging="1560"/>
        <w:jc w:val="both"/>
        <w:rPr>
          <w:rFonts w:asciiTheme="majorHAnsi" w:hAnsiTheme="majorHAnsi" w:cstheme="majorHAnsi"/>
        </w:rPr>
      </w:pPr>
    </w:p>
    <w:p w14:paraId="4B13BD46" w14:textId="77777777" w:rsidR="004F14B0" w:rsidRPr="003364A4" w:rsidRDefault="004F14B0" w:rsidP="0039435F">
      <w:pPr>
        <w:jc w:val="both"/>
        <w:rPr>
          <w:rFonts w:asciiTheme="majorHAnsi" w:hAnsiTheme="majorHAnsi" w:cstheme="majorHAnsi"/>
          <w:b/>
          <w:u w:val="single"/>
        </w:rPr>
      </w:pPr>
      <w:r w:rsidRPr="003364A4">
        <w:rPr>
          <w:rFonts w:asciiTheme="majorHAnsi" w:hAnsiTheme="majorHAnsi" w:cstheme="majorHAnsi"/>
          <w:b/>
          <w:u w:val="single"/>
        </w:rPr>
        <w:t>ŠD</w:t>
      </w:r>
      <w:r w:rsidR="00CC0ACC" w:rsidRPr="003364A4">
        <w:rPr>
          <w:rFonts w:asciiTheme="majorHAnsi" w:hAnsiTheme="majorHAnsi" w:cstheme="majorHAnsi"/>
          <w:b/>
          <w:u w:val="single"/>
        </w:rPr>
        <w:t>aJ</w:t>
      </w:r>
      <w:r w:rsidRPr="003364A4">
        <w:rPr>
          <w:rFonts w:asciiTheme="majorHAnsi" w:hAnsiTheme="majorHAnsi" w:cstheme="majorHAnsi"/>
          <w:b/>
          <w:u w:val="single"/>
        </w:rPr>
        <w:t xml:space="preserve"> Miloša Uhra v Trnave</w:t>
      </w:r>
    </w:p>
    <w:p w14:paraId="4F510583" w14:textId="5F1FDE40" w:rsidR="00102876" w:rsidRDefault="00374880" w:rsidP="0039435F">
      <w:pPr>
        <w:spacing w:after="120"/>
        <w:jc w:val="both"/>
        <w:rPr>
          <w:rFonts w:asciiTheme="majorHAnsi" w:hAnsiTheme="majorHAnsi" w:cstheme="majorHAnsi"/>
        </w:rPr>
      </w:pPr>
      <w:r w:rsidRPr="003364A4">
        <w:rPr>
          <w:rFonts w:asciiTheme="majorHAnsi" w:hAnsiTheme="majorHAnsi" w:cstheme="majorHAnsi"/>
        </w:rPr>
        <w:t>ŠD</w:t>
      </w:r>
      <w:r w:rsidR="00CC0ACC" w:rsidRPr="003364A4">
        <w:rPr>
          <w:rFonts w:asciiTheme="majorHAnsi" w:hAnsiTheme="majorHAnsi" w:cstheme="majorHAnsi"/>
        </w:rPr>
        <w:t>aJ</w:t>
      </w:r>
      <w:r w:rsidRPr="003364A4">
        <w:rPr>
          <w:rFonts w:asciiTheme="majorHAnsi" w:hAnsiTheme="majorHAnsi" w:cstheme="majorHAnsi"/>
        </w:rPr>
        <w:t xml:space="preserve"> Miloša Uhra v Trnave, ako účelové zariadenie MTF, </w:t>
      </w:r>
      <w:r w:rsidR="008F26AE" w:rsidRPr="003364A4">
        <w:rPr>
          <w:rFonts w:asciiTheme="majorHAnsi" w:hAnsiTheme="majorHAnsi" w:cstheme="majorHAnsi"/>
        </w:rPr>
        <w:t>disponoval</w:t>
      </w:r>
      <w:r w:rsidRPr="003364A4">
        <w:rPr>
          <w:rFonts w:asciiTheme="majorHAnsi" w:hAnsiTheme="majorHAnsi" w:cstheme="majorHAnsi"/>
        </w:rPr>
        <w:t xml:space="preserve"> v roku 202</w:t>
      </w:r>
      <w:r w:rsidR="003364A4" w:rsidRPr="003364A4">
        <w:rPr>
          <w:rFonts w:asciiTheme="majorHAnsi" w:hAnsiTheme="majorHAnsi" w:cstheme="majorHAnsi"/>
        </w:rPr>
        <w:t>2</w:t>
      </w:r>
      <w:r w:rsidRPr="003364A4">
        <w:rPr>
          <w:rFonts w:asciiTheme="majorHAnsi" w:hAnsiTheme="majorHAnsi" w:cstheme="majorHAnsi"/>
        </w:rPr>
        <w:t xml:space="preserve"> ubytovac</w:t>
      </w:r>
      <w:r w:rsidR="008F26AE" w:rsidRPr="003364A4">
        <w:rPr>
          <w:rFonts w:asciiTheme="majorHAnsi" w:hAnsiTheme="majorHAnsi" w:cstheme="majorHAnsi"/>
        </w:rPr>
        <w:t>ou</w:t>
      </w:r>
      <w:r w:rsidRPr="003364A4">
        <w:rPr>
          <w:rFonts w:asciiTheme="majorHAnsi" w:hAnsiTheme="majorHAnsi" w:cstheme="majorHAnsi"/>
        </w:rPr>
        <w:t xml:space="preserve"> kapaci</w:t>
      </w:r>
      <w:r w:rsidR="008F26AE" w:rsidRPr="003364A4">
        <w:rPr>
          <w:rFonts w:asciiTheme="majorHAnsi" w:hAnsiTheme="majorHAnsi" w:cstheme="majorHAnsi"/>
        </w:rPr>
        <w:t>tou</w:t>
      </w:r>
      <w:r w:rsidRPr="003364A4">
        <w:rPr>
          <w:rFonts w:asciiTheme="majorHAnsi" w:hAnsiTheme="majorHAnsi" w:cstheme="majorHAnsi"/>
        </w:rPr>
        <w:t xml:space="preserve"> 1 260 lôžok, z toho 788 lôžok v starom objekte (blok A) a 472 lôžok v novom objekte (blok B). Ubytovanie je poskytované bunkovým systémom v dvoj a trojposteľových izbá</w:t>
      </w:r>
      <w:r w:rsidR="00CC0ACC" w:rsidRPr="003364A4">
        <w:rPr>
          <w:rFonts w:asciiTheme="majorHAnsi" w:hAnsiTheme="majorHAnsi" w:cstheme="majorHAnsi"/>
        </w:rPr>
        <w:t xml:space="preserve">ch. ŠDaJ </w:t>
      </w:r>
      <w:r w:rsidRPr="003364A4">
        <w:rPr>
          <w:rFonts w:asciiTheme="majorHAnsi" w:hAnsiTheme="majorHAnsi" w:cstheme="majorHAnsi"/>
        </w:rPr>
        <w:t>Miloša Uhra v Trnave poskytuje ubytovanie študent</w:t>
      </w:r>
      <w:r w:rsidR="008D2F33" w:rsidRPr="003364A4">
        <w:rPr>
          <w:rFonts w:asciiTheme="majorHAnsi" w:hAnsiTheme="majorHAnsi" w:cstheme="majorHAnsi"/>
        </w:rPr>
        <w:t>om STU, Univerzity sv. Cyrila a </w:t>
      </w:r>
      <w:r w:rsidRPr="003364A4">
        <w:rPr>
          <w:rFonts w:asciiTheme="majorHAnsi" w:hAnsiTheme="majorHAnsi" w:cstheme="majorHAnsi"/>
        </w:rPr>
        <w:t xml:space="preserve">Metoda </w:t>
      </w:r>
      <w:r w:rsidR="00A358B3">
        <w:rPr>
          <w:rFonts w:asciiTheme="majorHAnsi" w:hAnsiTheme="majorHAnsi" w:cstheme="majorHAnsi"/>
        </w:rPr>
        <w:t xml:space="preserve">(UCM) </w:t>
      </w:r>
      <w:r w:rsidRPr="003364A4">
        <w:rPr>
          <w:rFonts w:asciiTheme="majorHAnsi" w:hAnsiTheme="majorHAnsi" w:cstheme="majorHAnsi"/>
        </w:rPr>
        <w:t>a Trnavskej univerzity</w:t>
      </w:r>
      <w:r w:rsidR="00A358B3">
        <w:rPr>
          <w:rFonts w:asciiTheme="majorHAnsi" w:hAnsiTheme="majorHAnsi" w:cstheme="majorHAnsi"/>
        </w:rPr>
        <w:t xml:space="preserve"> </w:t>
      </w:r>
      <w:r w:rsidR="00B91434">
        <w:rPr>
          <w:rFonts w:asciiTheme="majorHAnsi" w:hAnsiTheme="majorHAnsi" w:cstheme="majorHAnsi"/>
        </w:rPr>
        <w:t>(TTUNI)</w:t>
      </w:r>
      <w:r w:rsidR="00644101">
        <w:rPr>
          <w:rFonts w:asciiTheme="majorHAnsi" w:hAnsiTheme="majorHAnsi" w:cstheme="majorHAnsi"/>
        </w:rPr>
        <w:t>.</w:t>
      </w:r>
    </w:p>
    <w:p w14:paraId="14169025" w14:textId="73AA7FAB" w:rsidR="00B009E6" w:rsidRPr="00B12C93" w:rsidRDefault="00B009E6" w:rsidP="00B009E6">
      <w:pPr>
        <w:jc w:val="both"/>
        <w:rPr>
          <w:rFonts w:asciiTheme="majorHAnsi" w:hAnsiTheme="majorHAnsi" w:cstheme="majorHAnsi"/>
        </w:rPr>
      </w:pPr>
      <w:r w:rsidRPr="00B12C93">
        <w:rPr>
          <w:rFonts w:asciiTheme="majorHAnsi" w:hAnsiTheme="majorHAnsi" w:cstheme="majorHAnsi"/>
        </w:rPr>
        <w:t>V ŠD</w:t>
      </w:r>
      <w:r w:rsidR="00F60CE5" w:rsidRPr="00B12C93">
        <w:rPr>
          <w:rFonts w:asciiTheme="majorHAnsi" w:hAnsiTheme="majorHAnsi" w:cstheme="majorHAnsi"/>
        </w:rPr>
        <w:t>aJ</w:t>
      </w:r>
      <w:r w:rsidRPr="00B12C93">
        <w:rPr>
          <w:rFonts w:asciiTheme="majorHAnsi" w:hAnsiTheme="majorHAnsi" w:cstheme="majorHAnsi"/>
        </w:rPr>
        <w:t xml:space="preserve"> v </w:t>
      </w:r>
      <w:r w:rsidR="00F60CE5" w:rsidRPr="00B12C93">
        <w:rPr>
          <w:rFonts w:asciiTheme="majorHAnsi" w:hAnsiTheme="majorHAnsi" w:cstheme="majorHAnsi"/>
        </w:rPr>
        <w:t>Trnave</w:t>
      </w:r>
      <w:r w:rsidR="00DA2C6B">
        <w:rPr>
          <w:rFonts w:asciiTheme="majorHAnsi" w:hAnsiTheme="majorHAnsi" w:cstheme="majorHAnsi"/>
        </w:rPr>
        <w:t xml:space="preserve"> boli ubytovaní študent</w:t>
      </w:r>
      <w:r w:rsidRPr="00B12C93">
        <w:rPr>
          <w:rFonts w:asciiTheme="majorHAnsi" w:hAnsiTheme="majorHAnsi" w:cstheme="majorHAnsi"/>
        </w:rPr>
        <w:t xml:space="preserve">i </w:t>
      </w:r>
      <w:r w:rsidRPr="00B12C93">
        <w:rPr>
          <w:rFonts w:asciiTheme="majorHAnsi" w:hAnsiTheme="majorHAnsi" w:cstheme="majorHAnsi"/>
          <w:b/>
        </w:rPr>
        <w:t>z Ukrajiny</w:t>
      </w:r>
      <w:r w:rsidRPr="00B12C93">
        <w:rPr>
          <w:rFonts w:asciiTheme="majorHAnsi" w:hAnsiTheme="majorHAnsi" w:cstheme="majorHAnsi"/>
        </w:rPr>
        <w:t xml:space="preserve"> v období: </w:t>
      </w:r>
    </w:p>
    <w:p w14:paraId="74F1CDCA" w14:textId="39E4DDC7" w:rsidR="00C97798" w:rsidRPr="00B12C93" w:rsidRDefault="00B009E6" w:rsidP="00E027F7">
      <w:pPr>
        <w:pStyle w:val="Odsekzoznamu"/>
        <w:numPr>
          <w:ilvl w:val="0"/>
          <w:numId w:val="23"/>
        </w:numPr>
        <w:ind w:left="426" w:hanging="426"/>
        <w:jc w:val="both"/>
        <w:rPr>
          <w:rFonts w:asciiTheme="majorHAnsi" w:hAnsiTheme="majorHAnsi" w:cstheme="majorHAnsi"/>
          <w:sz w:val="24"/>
          <w:szCs w:val="24"/>
        </w:rPr>
      </w:pPr>
      <w:r w:rsidRPr="00B12C93">
        <w:rPr>
          <w:rFonts w:asciiTheme="majorHAnsi" w:hAnsiTheme="majorHAnsi" w:cstheme="majorHAnsi"/>
          <w:sz w:val="24"/>
          <w:szCs w:val="24"/>
        </w:rPr>
        <w:t xml:space="preserve">od 1. 1. 2022 do 31. 8. 2022 - </w:t>
      </w:r>
      <w:r w:rsidR="00F60CE5" w:rsidRPr="00B12C93">
        <w:rPr>
          <w:rFonts w:asciiTheme="majorHAnsi" w:hAnsiTheme="majorHAnsi" w:cstheme="majorHAnsi"/>
          <w:b/>
          <w:sz w:val="24"/>
          <w:szCs w:val="24"/>
        </w:rPr>
        <w:t>42</w:t>
      </w:r>
      <w:r w:rsidRPr="00B12C93">
        <w:rPr>
          <w:rFonts w:asciiTheme="majorHAnsi" w:hAnsiTheme="majorHAnsi" w:cstheme="majorHAnsi"/>
          <w:b/>
          <w:sz w:val="24"/>
          <w:szCs w:val="24"/>
        </w:rPr>
        <w:t xml:space="preserve"> študentov</w:t>
      </w:r>
      <w:r w:rsidRPr="00B12C93">
        <w:rPr>
          <w:rFonts w:asciiTheme="majorHAnsi" w:hAnsiTheme="majorHAnsi" w:cstheme="majorHAnsi"/>
          <w:sz w:val="24"/>
          <w:szCs w:val="24"/>
        </w:rPr>
        <w:t xml:space="preserve">, </w:t>
      </w:r>
      <w:r w:rsidR="00F60CE5" w:rsidRPr="00B12C93">
        <w:rPr>
          <w:rFonts w:asciiTheme="majorHAnsi" w:hAnsiTheme="majorHAnsi" w:cstheme="majorHAnsi"/>
          <w:sz w:val="24"/>
          <w:szCs w:val="24"/>
        </w:rPr>
        <w:t xml:space="preserve">z toho 9 z MTF, 24 z UCM a 9 </w:t>
      </w:r>
      <w:r w:rsidR="00B91434" w:rsidRPr="00B12C93">
        <w:rPr>
          <w:rFonts w:asciiTheme="majorHAnsi" w:hAnsiTheme="majorHAnsi" w:cstheme="majorHAnsi"/>
          <w:sz w:val="24"/>
          <w:szCs w:val="24"/>
        </w:rPr>
        <w:t>TTUNI</w:t>
      </w:r>
      <w:r w:rsidR="00120516" w:rsidRPr="00B12C93">
        <w:rPr>
          <w:rFonts w:asciiTheme="majorHAnsi" w:hAnsiTheme="majorHAnsi" w:cstheme="majorHAnsi"/>
          <w:sz w:val="24"/>
          <w:szCs w:val="24"/>
        </w:rPr>
        <w:t>,</w:t>
      </w:r>
    </w:p>
    <w:p w14:paraId="40A48E8B" w14:textId="4F2DE5CE" w:rsidR="00B009E6" w:rsidRPr="00B12C93" w:rsidRDefault="00C97798" w:rsidP="00E027F7">
      <w:pPr>
        <w:pStyle w:val="Odsekzoznamu"/>
        <w:numPr>
          <w:ilvl w:val="0"/>
          <w:numId w:val="23"/>
        </w:numPr>
        <w:ind w:left="426" w:hanging="426"/>
        <w:jc w:val="both"/>
        <w:rPr>
          <w:rFonts w:asciiTheme="majorHAnsi" w:hAnsiTheme="majorHAnsi" w:cstheme="majorHAnsi"/>
          <w:sz w:val="24"/>
          <w:szCs w:val="24"/>
        </w:rPr>
      </w:pPr>
      <w:r w:rsidRPr="00B12C93">
        <w:rPr>
          <w:rFonts w:asciiTheme="majorHAnsi" w:hAnsiTheme="majorHAnsi" w:cstheme="majorHAnsi"/>
          <w:sz w:val="24"/>
          <w:szCs w:val="24"/>
        </w:rPr>
        <w:t xml:space="preserve">od 1. 7. 2022 do 31. 8. 2022 - </w:t>
      </w:r>
      <w:r w:rsidRPr="00B12C93">
        <w:rPr>
          <w:rFonts w:asciiTheme="majorHAnsi" w:hAnsiTheme="majorHAnsi" w:cstheme="majorHAnsi"/>
          <w:b/>
          <w:sz w:val="24"/>
          <w:szCs w:val="24"/>
        </w:rPr>
        <w:t>37 študentov</w:t>
      </w:r>
      <w:r w:rsidRPr="00B12C93">
        <w:rPr>
          <w:rFonts w:asciiTheme="majorHAnsi" w:hAnsiTheme="majorHAnsi" w:cstheme="majorHAnsi"/>
          <w:sz w:val="24"/>
          <w:szCs w:val="24"/>
        </w:rPr>
        <w:t>, ktorí boli vedení ako hostia</w:t>
      </w:r>
      <w:r w:rsidR="00B009E6" w:rsidRPr="00B12C93">
        <w:rPr>
          <w:rFonts w:asciiTheme="majorHAnsi" w:hAnsiTheme="majorHAnsi" w:cstheme="majorHAnsi"/>
          <w:sz w:val="24"/>
          <w:szCs w:val="24"/>
        </w:rPr>
        <w:t>,</w:t>
      </w:r>
    </w:p>
    <w:p w14:paraId="03FD3FB2" w14:textId="0A8C282B" w:rsidR="00B009E6" w:rsidRPr="00B12C93" w:rsidRDefault="00B009E6" w:rsidP="00E027F7">
      <w:pPr>
        <w:pStyle w:val="Odsekzoznamu"/>
        <w:numPr>
          <w:ilvl w:val="0"/>
          <w:numId w:val="23"/>
        </w:numPr>
        <w:ind w:left="426" w:hanging="426"/>
        <w:jc w:val="both"/>
        <w:rPr>
          <w:rFonts w:asciiTheme="majorHAnsi" w:hAnsiTheme="majorHAnsi" w:cstheme="majorHAnsi"/>
          <w:sz w:val="24"/>
          <w:szCs w:val="24"/>
        </w:rPr>
      </w:pPr>
      <w:r w:rsidRPr="00B12C93">
        <w:rPr>
          <w:rFonts w:asciiTheme="majorHAnsi" w:hAnsiTheme="majorHAnsi" w:cstheme="majorHAnsi"/>
          <w:sz w:val="24"/>
          <w:szCs w:val="24"/>
        </w:rPr>
        <w:t xml:space="preserve">od 1. 9. 2022 do 31. 12. 2022 - </w:t>
      </w:r>
      <w:r w:rsidR="00120516" w:rsidRPr="00B12C93">
        <w:rPr>
          <w:rFonts w:asciiTheme="majorHAnsi" w:hAnsiTheme="majorHAnsi" w:cstheme="majorHAnsi"/>
          <w:b/>
          <w:sz w:val="24"/>
          <w:szCs w:val="24"/>
        </w:rPr>
        <w:t>95</w:t>
      </w:r>
      <w:r w:rsidRPr="00B12C93">
        <w:rPr>
          <w:rFonts w:asciiTheme="majorHAnsi" w:hAnsiTheme="majorHAnsi" w:cstheme="majorHAnsi"/>
          <w:b/>
          <w:sz w:val="24"/>
          <w:szCs w:val="24"/>
        </w:rPr>
        <w:t xml:space="preserve"> študentov</w:t>
      </w:r>
      <w:r w:rsidRPr="00B12C93">
        <w:rPr>
          <w:rFonts w:asciiTheme="majorHAnsi" w:hAnsiTheme="majorHAnsi" w:cstheme="majorHAnsi"/>
          <w:sz w:val="24"/>
          <w:szCs w:val="24"/>
        </w:rPr>
        <w:t xml:space="preserve">, </w:t>
      </w:r>
      <w:r w:rsidR="00120516" w:rsidRPr="00B12C93">
        <w:rPr>
          <w:rFonts w:asciiTheme="majorHAnsi" w:hAnsiTheme="majorHAnsi" w:cstheme="majorHAnsi"/>
          <w:sz w:val="24"/>
          <w:szCs w:val="24"/>
        </w:rPr>
        <w:t>z toho 52 z MTF, 39 z UCM a 4 TTUNI</w:t>
      </w:r>
      <w:r w:rsidRPr="00B12C93">
        <w:rPr>
          <w:rFonts w:asciiTheme="majorHAnsi" w:hAnsiTheme="majorHAnsi" w:cstheme="majorHAnsi"/>
          <w:sz w:val="24"/>
          <w:szCs w:val="24"/>
        </w:rPr>
        <w:t>.</w:t>
      </w:r>
    </w:p>
    <w:p w14:paraId="464A4AE1" w14:textId="20F6B3F9" w:rsidR="00AF27EA" w:rsidRPr="00B12C93" w:rsidRDefault="00AF27EA" w:rsidP="0039435F">
      <w:pPr>
        <w:jc w:val="both"/>
        <w:rPr>
          <w:rFonts w:asciiTheme="majorHAnsi" w:hAnsiTheme="majorHAnsi" w:cstheme="majorHAnsi"/>
        </w:rPr>
      </w:pPr>
      <w:r w:rsidRPr="00B12C93">
        <w:rPr>
          <w:rFonts w:asciiTheme="majorHAnsi" w:hAnsiTheme="majorHAnsi" w:cstheme="majorHAnsi"/>
        </w:rPr>
        <w:t>S cieľom zvýšenia kvality ubytovacích služieb sa v roku 2022 zrealizovali investičné akcie a</w:t>
      </w:r>
      <w:r w:rsidR="000E0C9A" w:rsidRPr="00B12C93">
        <w:rPr>
          <w:rFonts w:asciiTheme="majorHAnsi" w:hAnsiTheme="majorHAnsi" w:cstheme="majorHAnsi"/>
        </w:rPr>
        <w:t> </w:t>
      </w:r>
      <w:r w:rsidRPr="00B12C93">
        <w:rPr>
          <w:rFonts w:asciiTheme="majorHAnsi" w:hAnsiTheme="majorHAnsi" w:cstheme="majorHAnsi"/>
        </w:rPr>
        <w:t xml:space="preserve">opravy priestorov a zariadení, ktoré boli hradené z </w:t>
      </w:r>
      <w:r w:rsidR="00644101" w:rsidRPr="00B12C93">
        <w:rPr>
          <w:rFonts w:asciiTheme="majorHAnsi" w:hAnsiTheme="majorHAnsi" w:cstheme="majorHAnsi"/>
          <w:color w:val="000000" w:themeColor="text1"/>
        </w:rPr>
        <w:t xml:space="preserve">finančných prostriedkov z </w:t>
      </w:r>
      <w:r w:rsidRPr="00B12C93">
        <w:rPr>
          <w:rFonts w:asciiTheme="majorHAnsi" w:hAnsiTheme="majorHAnsi" w:cstheme="majorHAnsi"/>
        </w:rPr>
        <w:t>vlastných príjmov a</w:t>
      </w:r>
      <w:r w:rsidR="0092386B" w:rsidRPr="00B12C93">
        <w:rPr>
          <w:rFonts w:asciiTheme="majorHAnsi" w:hAnsiTheme="majorHAnsi" w:cstheme="majorHAnsi"/>
        </w:rPr>
        <w:t xml:space="preserve"> z </w:t>
      </w:r>
      <w:r w:rsidRPr="00B12C93">
        <w:rPr>
          <w:rFonts w:asciiTheme="majorHAnsi" w:hAnsiTheme="majorHAnsi" w:cstheme="majorHAnsi"/>
        </w:rPr>
        <w:t>mimoriadnej dotácie</w:t>
      </w:r>
      <w:r w:rsidR="0092386B" w:rsidRPr="00B12C93">
        <w:t xml:space="preserve"> </w:t>
      </w:r>
      <w:r w:rsidR="0092386B" w:rsidRPr="00B12C93">
        <w:rPr>
          <w:rFonts w:asciiTheme="majorHAnsi" w:hAnsiTheme="majorHAnsi" w:cstheme="majorHAnsi"/>
        </w:rPr>
        <w:t>na zmiernenie ekonomických dopadov - výpadku príjmov, z</w:t>
      </w:r>
      <w:r w:rsidR="00EE1BD1" w:rsidRPr="00B12C93">
        <w:rPr>
          <w:rFonts w:asciiTheme="majorHAnsi" w:hAnsiTheme="majorHAnsi" w:cstheme="majorHAnsi"/>
        </w:rPr>
        <w:t> </w:t>
      </w:r>
      <w:r w:rsidR="0092386B" w:rsidRPr="00B12C93">
        <w:rPr>
          <w:rFonts w:asciiTheme="majorHAnsi" w:hAnsiTheme="majorHAnsi" w:cstheme="majorHAnsi"/>
        </w:rPr>
        <w:t>dôvodu vzniku pandémie COVID-19</w:t>
      </w:r>
      <w:r w:rsidRPr="00B12C93">
        <w:rPr>
          <w:rFonts w:asciiTheme="majorHAnsi" w:hAnsiTheme="majorHAnsi" w:cstheme="majorHAnsi"/>
        </w:rPr>
        <w:t>:</w:t>
      </w:r>
    </w:p>
    <w:p w14:paraId="2B2779F3" w14:textId="415E9C8F" w:rsidR="00AF27EA" w:rsidRPr="00B12C93" w:rsidRDefault="00AF27EA" w:rsidP="00E027F7">
      <w:pPr>
        <w:pStyle w:val="Odsekzoznamu"/>
        <w:numPr>
          <w:ilvl w:val="0"/>
          <w:numId w:val="18"/>
        </w:numPr>
        <w:spacing w:after="120" w:line="240" w:lineRule="auto"/>
        <w:ind w:left="426" w:hanging="426"/>
        <w:jc w:val="both"/>
        <w:rPr>
          <w:rFonts w:asciiTheme="majorHAnsi" w:hAnsiTheme="majorHAnsi" w:cstheme="majorHAnsi"/>
          <w:sz w:val="24"/>
          <w:szCs w:val="24"/>
        </w:rPr>
      </w:pPr>
      <w:r w:rsidRPr="00B12C93">
        <w:rPr>
          <w:rFonts w:asciiTheme="majorHAnsi" w:hAnsiTheme="majorHAnsi" w:cstheme="majorHAnsi"/>
          <w:sz w:val="24"/>
          <w:szCs w:val="24"/>
        </w:rPr>
        <w:t xml:space="preserve">oprava obkladov a dlažieb na balkónoch bloku A, </w:t>
      </w:r>
      <w:bookmarkStart w:id="233" w:name="_Hlk127451745"/>
      <w:r w:rsidRPr="00B12C93">
        <w:rPr>
          <w:rFonts w:asciiTheme="majorHAnsi" w:hAnsiTheme="majorHAnsi" w:cstheme="majorHAnsi"/>
          <w:sz w:val="24"/>
          <w:szCs w:val="24"/>
        </w:rPr>
        <w:t xml:space="preserve">na ktorú boli použité finančné prostriedky vo výške </w:t>
      </w:r>
      <w:bookmarkEnd w:id="233"/>
      <w:r w:rsidRPr="00B12C93">
        <w:rPr>
          <w:rFonts w:asciiTheme="majorHAnsi" w:hAnsiTheme="majorHAnsi" w:cstheme="majorHAnsi"/>
          <w:sz w:val="24"/>
          <w:szCs w:val="24"/>
        </w:rPr>
        <w:t>106 657 € (havarijný stav) z mimoriadne dotácie,</w:t>
      </w:r>
    </w:p>
    <w:p w14:paraId="247E1B72" w14:textId="106396BB" w:rsidR="00AF27EA" w:rsidRPr="00B12C93" w:rsidRDefault="00AF27EA" w:rsidP="00E027F7">
      <w:pPr>
        <w:pStyle w:val="Odsekzoznamu"/>
        <w:numPr>
          <w:ilvl w:val="0"/>
          <w:numId w:val="18"/>
        </w:numPr>
        <w:spacing w:after="120" w:line="240" w:lineRule="auto"/>
        <w:ind w:left="426" w:hanging="426"/>
        <w:jc w:val="both"/>
        <w:rPr>
          <w:rFonts w:asciiTheme="majorHAnsi" w:hAnsiTheme="majorHAnsi" w:cstheme="majorHAnsi"/>
          <w:sz w:val="24"/>
          <w:szCs w:val="24"/>
        </w:rPr>
      </w:pPr>
      <w:r w:rsidRPr="00B12C93">
        <w:rPr>
          <w:rFonts w:asciiTheme="majorHAnsi" w:hAnsiTheme="majorHAnsi" w:cstheme="majorHAnsi"/>
          <w:sz w:val="24"/>
          <w:szCs w:val="24"/>
        </w:rPr>
        <w:t>rekonštrukcia osobného služobného výťahu ŠD</w:t>
      </w:r>
      <w:r w:rsidR="00D45BC2" w:rsidRPr="00B12C93">
        <w:rPr>
          <w:rFonts w:asciiTheme="majorHAnsi" w:hAnsiTheme="majorHAnsi" w:cstheme="majorHAnsi"/>
          <w:sz w:val="24"/>
          <w:szCs w:val="24"/>
        </w:rPr>
        <w:t>aJ</w:t>
      </w:r>
      <w:r w:rsidRPr="00B12C93">
        <w:rPr>
          <w:rFonts w:asciiTheme="majorHAnsi" w:hAnsiTheme="majorHAnsi" w:cstheme="majorHAnsi"/>
          <w:sz w:val="24"/>
          <w:szCs w:val="24"/>
        </w:rPr>
        <w:t xml:space="preserve"> blok A</w:t>
      </w:r>
      <w:r w:rsidR="005603EA" w:rsidRPr="00B12C93">
        <w:rPr>
          <w:rFonts w:asciiTheme="majorHAnsi" w:hAnsiTheme="majorHAnsi" w:cstheme="majorHAnsi"/>
          <w:sz w:val="24"/>
          <w:szCs w:val="24"/>
        </w:rPr>
        <w:t>,</w:t>
      </w:r>
      <w:r w:rsidR="005603EA" w:rsidRPr="00B12C93">
        <w:rPr>
          <w:sz w:val="24"/>
          <w:szCs w:val="24"/>
        </w:rPr>
        <w:t xml:space="preserve"> </w:t>
      </w:r>
      <w:r w:rsidR="005603EA" w:rsidRPr="00B12C93">
        <w:rPr>
          <w:rFonts w:asciiTheme="majorHAnsi" w:hAnsiTheme="majorHAnsi" w:cstheme="majorHAnsi"/>
          <w:sz w:val="24"/>
          <w:szCs w:val="24"/>
        </w:rPr>
        <w:t>na ktorú boli použité finančné prostriedky vo výške</w:t>
      </w:r>
      <w:r w:rsidRPr="00B12C93">
        <w:rPr>
          <w:rFonts w:asciiTheme="majorHAnsi" w:hAnsiTheme="majorHAnsi" w:cstheme="majorHAnsi"/>
          <w:sz w:val="24"/>
          <w:szCs w:val="24"/>
        </w:rPr>
        <w:t xml:space="preserve"> 55</w:t>
      </w:r>
      <w:r w:rsidR="005603EA" w:rsidRPr="00B12C93">
        <w:rPr>
          <w:rFonts w:asciiTheme="majorHAnsi" w:hAnsiTheme="majorHAnsi" w:cstheme="majorHAnsi"/>
          <w:sz w:val="24"/>
          <w:szCs w:val="24"/>
        </w:rPr>
        <w:t> </w:t>
      </w:r>
      <w:r w:rsidRPr="00B12C93">
        <w:rPr>
          <w:rFonts w:asciiTheme="majorHAnsi" w:hAnsiTheme="majorHAnsi" w:cstheme="majorHAnsi"/>
          <w:sz w:val="24"/>
          <w:szCs w:val="24"/>
        </w:rPr>
        <w:t>200</w:t>
      </w:r>
      <w:r w:rsidR="005603EA" w:rsidRPr="00B12C93">
        <w:rPr>
          <w:rFonts w:asciiTheme="majorHAnsi" w:hAnsiTheme="majorHAnsi" w:cstheme="majorHAnsi"/>
          <w:sz w:val="24"/>
          <w:szCs w:val="24"/>
        </w:rPr>
        <w:t xml:space="preserve"> € z </w:t>
      </w:r>
      <w:r w:rsidRPr="00B12C93">
        <w:rPr>
          <w:rFonts w:asciiTheme="majorHAnsi" w:hAnsiTheme="majorHAnsi" w:cstheme="majorHAnsi"/>
          <w:sz w:val="24"/>
          <w:szCs w:val="24"/>
        </w:rPr>
        <w:t>vlastn</w:t>
      </w:r>
      <w:r w:rsidR="005603EA" w:rsidRPr="00B12C93">
        <w:rPr>
          <w:rFonts w:asciiTheme="majorHAnsi" w:hAnsiTheme="majorHAnsi" w:cstheme="majorHAnsi"/>
          <w:sz w:val="24"/>
          <w:szCs w:val="24"/>
        </w:rPr>
        <w:t>ých</w:t>
      </w:r>
      <w:r w:rsidRPr="00B12C93">
        <w:rPr>
          <w:rFonts w:asciiTheme="majorHAnsi" w:hAnsiTheme="majorHAnsi" w:cstheme="majorHAnsi"/>
          <w:sz w:val="24"/>
          <w:szCs w:val="24"/>
        </w:rPr>
        <w:t xml:space="preserve"> zdroj</w:t>
      </w:r>
      <w:r w:rsidR="005603EA" w:rsidRPr="00B12C93">
        <w:rPr>
          <w:rFonts w:asciiTheme="majorHAnsi" w:hAnsiTheme="majorHAnsi" w:cstheme="majorHAnsi"/>
          <w:sz w:val="24"/>
          <w:szCs w:val="24"/>
        </w:rPr>
        <w:t>ov,</w:t>
      </w:r>
    </w:p>
    <w:p w14:paraId="14EFB8C9" w14:textId="3FC97EF2" w:rsidR="00AF27EA" w:rsidRPr="00B12C93" w:rsidRDefault="00AF27EA" w:rsidP="00E027F7">
      <w:pPr>
        <w:pStyle w:val="Odsekzoznamu"/>
        <w:numPr>
          <w:ilvl w:val="0"/>
          <w:numId w:val="18"/>
        </w:numPr>
        <w:tabs>
          <w:tab w:val="right" w:pos="6804"/>
        </w:tabs>
        <w:spacing w:line="240" w:lineRule="auto"/>
        <w:ind w:left="426" w:hanging="426"/>
        <w:jc w:val="both"/>
        <w:rPr>
          <w:rFonts w:asciiTheme="majorHAnsi" w:hAnsiTheme="majorHAnsi" w:cstheme="majorHAnsi"/>
          <w:sz w:val="24"/>
          <w:szCs w:val="24"/>
        </w:rPr>
      </w:pPr>
      <w:r w:rsidRPr="00B12C93">
        <w:rPr>
          <w:rFonts w:asciiTheme="majorHAnsi" w:hAnsiTheme="majorHAnsi" w:cstheme="majorHAnsi"/>
          <w:sz w:val="24"/>
          <w:szCs w:val="24"/>
        </w:rPr>
        <w:t>stavebné opravy, oprava omietok a maľovanie blokov A a B, ako aj študentskej jedálne, na ktoré boli použité finančné prostriedky vo výške 58 453 € (nariadenie RÚVZ) z</w:t>
      </w:r>
      <w:r w:rsidR="008C5C20" w:rsidRPr="00B12C93">
        <w:rPr>
          <w:rFonts w:asciiTheme="majorHAnsi" w:hAnsiTheme="majorHAnsi" w:cstheme="majorHAnsi"/>
          <w:sz w:val="24"/>
          <w:szCs w:val="24"/>
        </w:rPr>
        <w:t> </w:t>
      </w:r>
      <w:r w:rsidRPr="00B12C93">
        <w:rPr>
          <w:rFonts w:asciiTheme="majorHAnsi" w:hAnsiTheme="majorHAnsi" w:cstheme="majorHAnsi"/>
          <w:sz w:val="24"/>
          <w:szCs w:val="24"/>
        </w:rPr>
        <w:t>mimoriadnej dotácie,</w:t>
      </w:r>
    </w:p>
    <w:p w14:paraId="4B90BEBA" w14:textId="3017E28E" w:rsidR="00AF27EA" w:rsidRPr="00B12C93" w:rsidRDefault="00AF27EA" w:rsidP="00E027F7">
      <w:pPr>
        <w:pStyle w:val="Odsekzoznamu"/>
        <w:numPr>
          <w:ilvl w:val="0"/>
          <w:numId w:val="18"/>
        </w:numPr>
        <w:tabs>
          <w:tab w:val="right" w:pos="6804"/>
        </w:tabs>
        <w:spacing w:line="240" w:lineRule="auto"/>
        <w:ind w:left="426" w:hanging="426"/>
        <w:jc w:val="both"/>
        <w:rPr>
          <w:rFonts w:asciiTheme="majorHAnsi" w:hAnsiTheme="majorHAnsi" w:cstheme="majorHAnsi"/>
          <w:sz w:val="24"/>
          <w:szCs w:val="24"/>
        </w:rPr>
      </w:pPr>
      <w:r w:rsidRPr="00B12C93">
        <w:rPr>
          <w:rFonts w:asciiTheme="majorHAnsi" w:hAnsiTheme="majorHAnsi" w:cstheme="majorHAnsi"/>
          <w:sz w:val="24"/>
          <w:szCs w:val="24"/>
        </w:rPr>
        <w:t>oprava PVC krytiny spoločných priestorov ŠD</w:t>
      </w:r>
      <w:r w:rsidR="001A0F5C" w:rsidRPr="00B12C93">
        <w:rPr>
          <w:rFonts w:asciiTheme="majorHAnsi" w:hAnsiTheme="majorHAnsi" w:cstheme="majorHAnsi"/>
          <w:sz w:val="24"/>
          <w:szCs w:val="24"/>
        </w:rPr>
        <w:t>aJ</w:t>
      </w:r>
      <w:r w:rsidRPr="00B12C93">
        <w:rPr>
          <w:rFonts w:asciiTheme="majorHAnsi" w:hAnsiTheme="majorHAnsi" w:cstheme="majorHAnsi"/>
          <w:sz w:val="24"/>
          <w:szCs w:val="24"/>
        </w:rPr>
        <w:t xml:space="preserve"> blok A</w:t>
      </w:r>
      <w:r w:rsidR="001A0F5C" w:rsidRPr="00B12C93">
        <w:rPr>
          <w:rFonts w:asciiTheme="majorHAnsi" w:hAnsiTheme="majorHAnsi" w:cstheme="majorHAnsi"/>
          <w:sz w:val="24"/>
          <w:szCs w:val="24"/>
        </w:rPr>
        <w:t>, na ktorú boli použité finančné prostriedky vo výške</w:t>
      </w:r>
      <w:r w:rsidRPr="00B12C93">
        <w:rPr>
          <w:rFonts w:asciiTheme="majorHAnsi" w:hAnsiTheme="majorHAnsi" w:cstheme="majorHAnsi"/>
          <w:sz w:val="24"/>
          <w:szCs w:val="24"/>
        </w:rPr>
        <w:t xml:space="preserve"> 31</w:t>
      </w:r>
      <w:r w:rsidR="0090212D" w:rsidRPr="00B12C93">
        <w:rPr>
          <w:rFonts w:asciiTheme="majorHAnsi" w:hAnsiTheme="majorHAnsi" w:cstheme="majorHAnsi"/>
          <w:sz w:val="24"/>
          <w:szCs w:val="24"/>
        </w:rPr>
        <w:t> </w:t>
      </w:r>
      <w:r w:rsidRPr="00B12C93">
        <w:rPr>
          <w:rFonts w:asciiTheme="majorHAnsi" w:hAnsiTheme="majorHAnsi" w:cstheme="majorHAnsi"/>
          <w:sz w:val="24"/>
          <w:szCs w:val="24"/>
        </w:rPr>
        <w:t>377</w:t>
      </w:r>
      <w:r w:rsidR="0090212D" w:rsidRPr="00B12C93">
        <w:rPr>
          <w:rFonts w:asciiTheme="majorHAnsi" w:hAnsiTheme="majorHAnsi" w:cstheme="majorHAnsi"/>
          <w:sz w:val="24"/>
          <w:szCs w:val="24"/>
        </w:rPr>
        <w:t xml:space="preserve"> €</w:t>
      </w:r>
      <w:r w:rsidRPr="00B12C93">
        <w:rPr>
          <w:rFonts w:asciiTheme="majorHAnsi" w:hAnsiTheme="majorHAnsi" w:cstheme="majorHAnsi"/>
          <w:sz w:val="24"/>
          <w:szCs w:val="24"/>
        </w:rPr>
        <w:t xml:space="preserve"> z mimoriadnej dotácie</w:t>
      </w:r>
      <w:r w:rsidR="0090212D" w:rsidRPr="00B12C93">
        <w:rPr>
          <w:rFonts w:asciiTheme="majorHAnsi" w:hAnsiTheme="majorHAnsi" w:cstheme="majorHAnsi"/>
          <w:sz w:val="24"/>
          <w:szCs w:val="24"/>
        </w:rPr>
        <w:t xml:space="preserve"> </w:t>
      </w:r>
      <w:r w:rsidRPr="00B12C93">
        <w:rPr>
          <w:rFonts w:asciiTheme="majorHAnsi" w:hAnsiTheme="majorHAnsi" w:cstheme="majorHAnsi"/>
          <w:sz w:val="24"/>
          <w:szCs w:val="24"/>
        </w:rPr>
        <w:t>(havarijný stav),</w:t>
      </w:r>
    </w:p>
    <w:p w14:paraId="0AF1B8E5" w14:textId="28705B81" w:rsidR="00AF27EA" w:rsidRPr="00B12C93" w:rsidRDefault="00AF27EA" w:rsidP="00E027F7">
      <w:pPr>
        <w:pStyle w:val="Odsekzoznamu"/>
        <w:numPr>
          <w:ilvl w:val="0"/>
          <w:numId w:val="18"/>
        </w:numPr>
        <w:tabs>
          <w:tab w:val="right" w:pos="6804"/>
        </w:tabs>
        <w:spacing w:line="240" w:lineRule="auto"/>
        <w:ind w:left="426" w:hanging="426"/>
        <w:jc w:val="both"/>
        <w:rPr>
          <w:rFonts w:asciiTheme="majorHAnsi" w:hAnsiTheme="majorHAnsi" w:cstheme="majorHAnsi"/>
          <w:sz w:val="24"/>
          <w:szCs w:val="24"/>
        </w:rPr>
      </w:pPr>
      <w:r w:rsidRPr="00B12C93">
        <w:rPr>
          <w:rFonts w:asciiTheme="majorHAnsi" w:hAnsiTheme="majorHAnsi" w:cstheme="majorHAnsi"/>
          <w:sz w:val="24"/>
          <w:szCs w:val="24"/>
        </w:rPr>
        <w:t>rekonštrukcia skladových priestorov na hosťovské izby ŠD</w:t>
      </w:r>
      <w:r w:rsidR="0090212D" w:rsidRPr="00B12C93">
        <w:rPr>
          <w:rFonts w:asciiTheme="majorHAnsi" w:hAnsiTheme="majorHAnsi" w:cstheme="majorHAnsi"/>
          <w:sz w:val="24"/>
          <w:szCs w:val="24"/>
        </w:rPr>
        <w:t>aJ</w:t>
      </w:r>
      <w:r w:rsidRPr="00B12C93">
        <w:rPr>
          <w:rFonts w:asciiTheme="majorHAnsi" w:hAnsiTheme="majorHAnsi" w:cstheme="majorHAnsi"/>
          <w:sz w:val="24"/>
          <w:szCs w:val="24"/>
        </w:rPr>
        <w:t xml:space="preserve"> v bloku A</w:t>
      </w:r>
      <w:r w:rsidR="0090212D" w:rsidRPr="00B12C93">
        <w:rPr>
          <w:rFonts w:asciiTheme="majorHAnsi" w:hAnsiTheme="majorHAnsi" w:cstheme="majorHAnsi"/>
          <w:sz w:val="24"/>
          <w:szCs w:val="24"/>
        </w:rPr>
        <w:t>, na ktorú boli použité finančné prostriedky vo výške</w:t>
      </w:r>
      <w:r w:rsidRPr="00B12C93">
        <w:rPr>
          <w:rFonts w:asciiTheme="majorHAnsi" w:hAnsiTheme="majorHAnsi" w:cstheme="majorHAnsi"/>
          <w:sz w:val="24"/>
          <w:szCs w:val="24"/>
        </w:rPr>
        <w:t xml:space="preserve"> 37</w:t>
      </w:r>
      <w:r w:rsidR="0090212D" w:rsidRPr="00B12C93">
        <w:rPr>
          <w:rFonts w:asciiTheme="majorHAnsi" w:hAnsiTheme="majorHAnsi" w:cstheme="majorHAnsi"/>
          <w:sz w:val="24"/>
          <w:szCs w:val="24"/>
        </w:rPr>
        <w:t> </w:t>
      </w:r>
      <w:r w:rsidRPr="00B12C93">
        <w:rPr>
          <w:rFonts w:asciiTheme="majorHAnsi" w:hAnsiTheme="majorHAnsi" w:cstheme="majorHAnsi"/>
          <w:sz w:val="24"/>
          <w:szCs w:val="24"/>
        </w:rPr>
        <w:t>482</w:t>
      </w:r>
      <w:r w:rsidR="0090212D" w:rsidRPr="00B12C93">
        <w:rPr>
          <w:rFonts w:asciiTheme="majorHAnsi" w:hAnsiTheme="majorHAnsi" w:cstheme="majorHAnsi"/>
          <w:sz w:val="24"/>
          <w:szCs w:val="24"/>
        </w:rPr>
        <w:t xml:space="preserve"> €</w:t>
      </w:r>
      <w:r w:rsidRPr="00B12C93">
        <w:rPr>
          <w:rFonts w:asciiTheme="majorHAnsi" w:hAnsiTheme="majorHAnsi" w:cstheme="majorHAnsi"/>
          <w:sz w:val="24"/>
          <w:szCs w:val="24"/>
        </w:rPr>
        <w:t xml:space="preserve"> z vlastných zdrojov,</w:t>
      </w:r>
    </w:p>
    <w:p w14:paraId="764EDC11" w14:textId="03898B96" w:rsidR="00AF27EA" w:rsidRPr="00B12C93" w:rsidRDefault="00AF27EA" w:rsidP="00E027F7">
      <w:pPr>
        <w:pStyle w:val="Odsekzoznamu"/>
        <w:numPr>
          <w:ilvl w:val="0"/>
          <w:numId w:val="18"/>
        </w:numPr>
        <w:tabs>
          <w:tab w:val="right" w:pos="6804"/>
        </w:tabs>
        <w:spacing w:line="240" w:lineRule="auto"/>
        <w:ind w:left="426" w:hanging="426"/>
        <w:jc w:val="both"/>
        <w:rPr>
          <w:rFonts w:asciiTheme="majorHAnsi" w:hAnsiTheme="majorHAnsi" w:cstheme="majorHAnsi"/>
          <w:sz w:val="24"/>
          <w:szCs w:val="24"/>
        </w:rPr>
      </w:pPr>
      <w:r w:rsidRPr="00B12C93">
        <w:rPr>
          <w:rFonts w:asciiTheme="majorHAnsi" w:hAnsiTheme="majorHAnsi" w:cstheme="majorHAnsi"/>
          <w:sz w:val="24"/>
          <w:szCs w:val="24"/>
        </w:rPr>
        <w:t>zakúpenie váľand na tri poschodia ŠD</w:t>
      </w:r>
      <w:r w:rsidR="008C5C20" w:rsidRPr="00B12C93">
        <w:rPr>
          <w:rFonts w:asciiTheme="majorHAnsi" w:hAnsiTheme="majorHAnsi" w:cstheme="majorHAnsi"/>
          <w:sz w:val="24"/>
          <w:szCs w:val="24"/>
        </w:rPr>
        <w:t>aJ</w:t>
      </w:r>
      <w:r w:rsidRPr="00B12C93">
        <w:rPr>
          <w:rFonts w:asciiTheme="majorHAnsi" w:hAnsiTheme="majorHAnsi" w:cstheme="majorHAnsi"/>
          <w:sz w:val="24"/>
          <w:szCs w:val="24"/>
        </w:rPr>
        <w:t xml:space="preserve"> blok A</w:t>
      </w:r>
      <w:r w:rsidR="008C5C20" w:rsidRPr="00B12C93">
        <w:rPr>
          <w:rFonts w:asciiTheme="majorHAnsi" w:hAnsiTheme="majorHAnsi" w:cstheme="majorHAnsi"/>
          <w:sz w:val="24"/>
          <w:szCs w:val="24"/>
        </w:rPr>
        <w:t>, na ktoré boli použité finančné prostriedky vo výške</w:t>
      </w:r>
      <w:r w:rsidRPr="00B12C93">
        <w:rPr>
          <w:rFonts w:asciiTheme="majorHAnsi" w:hAnsiTheme="majorHAnsi" w:cstheme="majorHAnsi"/>
          <w:sz w:val="24"/>
          <w:szCs w:val="24"/>
        </w:rPr>
        <w:t xml:space="preserve"> 42</w:t>
      </w:r>
      <w:r w:rsidR="008C5C20" w:rsidRPr="00B12C93">
        <w:rPr>
          <w:rFonts w:asciiTheme="majorHAnsi" w:hAnsiTheme="majorHAnsi" w:cstheme="majorHAnsi"/>
          <w:sz w:val="24"/>
          <w:szCs w:val="24"/>
        </w:rPr>
        <w:t> </w:t>
      </w:r>
      <w:r w:rsidRPr="00B12C93">
        <w:rPr>
          <w:rFonts w:asciiTheme="majorHAnsi" w:hAnsiTheme="majorHAnsi" w:cstheme="majorHAnsi"/>
          <w:sz w:val="24"/>
          <w:szCs w:val="24"/>
        </w:rPr>
        <w:t>480</w:t>
      </w:r>
      <w:r w:rsidR="008C5C20" w:rsidRPr="00B12C93">
        <w:rPr>
          <w:rFonts w:asciiTheme="majorHAnsi" w:hAnsiTheme="majorHAnsi" w:cstheme="majorHAnsi"/>
          <w:sz w:val="24"/>
          <w:szCs w:val="24"/>
        </w:rPr>
        <w:t xml:space="preserve"> €</w:t>
      </w:r>
      <w:r w:rsidRPr="00B12C93">
        <w:rPr>
          <w:rFonts w:asciiTheme="majorHAnsi" w:hAnsiTheme="majorHAnsi" w:cstheme="majorHAnsi"/>
          <w:sz w:val="24"/>
          <w:szCs w:val="24"/>
        </w:rPr>
        <w:t xml:space="preserve"> z vlastných zdrojov.</w:t>
      </w:r>
    </w:p>
    <w:p w14:paraId="7B46AA76" w14:textId="661427D1" w:rsidR="00374880" w:rsidRPr="00B12C93" w:rsidRDefault="00374880" w:rsidP="0039435F">
      <w:pPr>
        <w:tabs>
          <w:tab w:val="right" w:pos="7655"/>
        </w:tabs>
        <w:jc w:val="both"/>
        <w:rPr>
          <w:rFonts w:asciiTheme="majorHAnsi" w:hAnsiTheme="majorHAnsi" w:cstheme="majorHAnsi"/>
          <w:b/>
        </w:rPr>
      </w:pPr>
      <w:r w:rsidRPr="00B12C93">
        <w:rPr>
          <w:rFonts w:asciiTheme="majorHAnsi" w:hAnsiTheme="majorHAnsi" w:cstheme="majorHAnsi"/>
          <w:b/>
          <w:u w:val="single"/>
        </w:rPr>
        <w:t>Rekonštrukcia</w:t>
      </w:r>
      <w:r w:rsidR="00FA47FA" w:rsidRPr="00B12C93">
        <w:rPr>
          <w:rFonts w:asciiTheme="majorHAnsi" w:hAnsiTheme="majorHAnsi" w:cstheme="majorHAnsi"/>
          <w:b/>
          <w:u w:val="single"/>
        </w:rPr>
        <w:t>,</w:t>
      </w:r>
      <w:r w:rsidRPr="00B12C93">
        <w:rPr>
          <w:rFonts w:asciiTheme="majorHAnsi" w:hAnsiTheme="majorHAnsi" w:cstheme="majorHAnsi"/>
          <w:b/>
          <w:u w:val="single"/>
        </w:rPr>
        <w:t xml:space="preserve"> opravy </w:t>
      </w:r>
      <w:r w:rsidR="00FA47FA" w:rsidRPr="00B12C93">
        <w:rPr>
          <w:rFonts w:asciiTheme="majorHAnsi" w:hAnsiTheme="majorHAnsi" w:cstheme="majorHAnsi"/>
          <w:b/>
          <w:u w:val="single"/>
        </w:rPr>
        <w:t xml:space="preserve">a nákup </w:t>
      </w:r>
      <w:r w:rsidRPr="00B12C93">
        <w:rPr>
          <w:rFonts w:asciiTheme="majorHAnsi" w:hAnsiTheme="majorHAnsi" w:cstheme="majorHAnsi"/>
          <w:b/>
          <w:u w:val="single"/>
        </w:rPr>
        <w:t>ŠD</w:t>
      </w:r>
      <w:r w:rsidR="00C60399" w:rsidRPr="00B12C93">
        <w:rPr>
          <w:rFonts w:asciiTheme="majorHAnsi" w:hAnsiTheme="majorHAnsi" w:cstheme="majorHAnsi"/>
          <w:b/>
          <w:u w:val="single"/>
        </w:rPr>
        <w:t>aJ</w:t>
      </w:r>
      <w:r w:rsidR="00584C06" w:rsidRPr="00B12C93">
        <w:rPr>
          <w:rFonts w:asciiTheme="majorHAnsi" w:hAnsiTheme="majorHAnsi" w:cstheme="majorHAnsi"/>
          <w:b/>
          <w:u w:val="single"/>
        </w:rPr>
        <w:t xml:space="preserve"> Miloša Uhra v Trnave</w:t>
      </w:r>
      <w:r w:rsidRPr="00B12C93">
        <w:rPr>
          <w:rFonts w:asciiTheme="majorHAnsi" w:hAnsiTheme="majorHAnsi" w:cstheme="majorHAnsi"/>
          <w:b/>
          <w:u w:val="single"/>
        </w:rPr>
        <w:t xml:space="preserve"> spolu</w:t>
      </w:r>
      <w:r w:rsidRPr="00B12C93">
        <w:rPr>
          <w:rFonts w:asciiTheme="majorHAnsi" w:hAnsiTheme="majorHAnsi" w:cstheme="majorHAnsi"/>
          <w:b/>
        </w:rPr>
        <w:tab/>
      </w:r>
      <w:r w:rsidR="000443D5" w:rsidRPr="00B12C93">
        <w:rPr>
          <w:rFonts w:asciiTheme="majorHAnsi" w:hAnsiTheme="majorHAnsi" w:cstheme="majorHAnsi"/>
          <w:b/>
        </w:rPr>
        <w:t>331 649</w:t>
      </w:r>
      <w:r w:rsidRPr="00B12C93">
        <w:rPr>
          <w:rFonts w:asciiTheme="majorHAnsi" w:hAnsiTheme="majorHAnsi" w:cstheme="majorHAnsi"/>
          <w:b/>
        </w:rPr>
        <w:t xml:space="preserve"> €</w:t>
      </w:r>
    </w:p>
    <w:p w14:paraId="3E643B3D" w14:textId="3FDC4B1B" w:rsidR="000443D5" w:rsidRPr="00B12C93" w:rsidRDefault="00374880" w:rsidP="0039435F">
      <w:pPr>
        <w:tabs>
          <w:tab w:val="right" w:pos="7655"/>
        </w:tabs>
        <w:jc w:val="both"/>
        <w:rPr>
          <w:rFonts w:asciiTheme="majorHAnsi" w:hAnsiTheme="majorHAnsi" w:cstheme="majorHAnsi"/>
        </w:rPr>
      </w:pPr>
      <w:r w:rsidRPr="00B12C93">
        <w:rPr>
          <w:rFonts w:asciiTheme="majorHAnsi" w:hAnsiTheme="majorHAnsi" w:cstheme="majorHAnsi"/>
        </w:rPr>
        <w:t>z</w:t>
      </w:r>
      <w:r w:rsidR="0040185E" w:rsidRPr="00B12C93">
        <w:rPr>
          <w:rFonts w:asciiTheme="majorHAnsi" w:hAnsiTheme="majorHAnsi" w:cstheme="majorHAnsi"/>
        </w:rPr>
        <w:t> </w:t>
      </w:r>
      <w:r w:rsidRPr="00B12C93">
        <w:rPr>
          <w:rFonts w:asciiTheme="majorHAnsi" w:hAnsiTheme="majorHAnsi" w:cstheme="majorHAnsi"/>
        </w:rPr>
        <w:t>toho</w:t>
      </w:r>
      <w:r w:rsidR="0040185E" w:rsidRPr="00B12C93">
        <w:rPr>
          <w:rFonts w:asciiTheme="majorHAnsi" w:hAnsiTheme="majorHAnsi" w:cstheme="majorHAnsi"/>
        </w:rPr>
        <w:t xml:space="preserve"> </w:t>
      </w:r>
      <w:r w:rsidR="000443D5" w:rsidRPr="00B12C93">
        <w:rPr>
          <w:rFonts w:asciiTheme="majorHAnsi" w:hAnsiTheme="majorHAnsi" w:cstheme="majorHAnsi"/>
        </w:rPr>
        <w:t>mimoriadna dotácia (kompenzácia následkov COVID-19)</w:t>
      </w:r>
      <w:r w:rsidR="00D46FC2" w:rsidRPr="00B12C93">
        <w:rPr>
          <w:rFonts w:asciiTheme="majorHAnsi" w:hAnsiTheme="majorHAnsi" w:cstheme="majorHAnsi"/>
        </w:rPr>
        <w:tab/>
      </w:r>
      <w:r w:rsidR="000443D5" w:rsidRPr="00B12C93">
        <w:rPr>
          <w:rFonts w:asciiTheme="majorHAnsi" w:hAnsiTheme="majorHAnsi" w:cstheme="majorHAnsi"/>
        </w:rPr>
        <w:t>196 487 €</w:t>
      </w:r>
    </w:p>
    <w:p w14:paraId="26415F5D" w14:textId="2A719B12" w:rsidR="000443D5" w:rsidRPr="00B12C93" w:rsidRDefault="0040185E" w:rsidP="0039435F">
      <w:pPr>
        <w:tabs>
          <w:tab w:val="right" w:pos="7655"/>
        </w:tabs>
        <w:spacing w:after="120"/>
        <w:jc w:val="both"/>
        <w:rPr>
          <w:rFonts w:asciiTheme="majorHAnsi" w:hAnsiTheme="majorHAnsi" w:cstheme="majorHAnsi"/>
        </w:rPr>
      </w:pPr>
      <w:r w:rsidRPr="00B12C93">
        <w:rPr>
          <w:rFonts w:asciiTheme="majorHAnsi" w:hAnsiTheme="majorHAnsi" w:cstheme="majorHAnsi"/>
        </w:rPr>
        <w:t xml:space="preserve">z toho </w:t>
      </w:r>
      <w:r w:rsidR="000443D5" w:rsidRPr="00B12C93">
        <w:rPr>
          <w:rFonts w:asciiTheme="majorHAnsi" w:hAnsiTheme="majorHAnsi" w:cstheme="majorHAnsi"/>
        </w:rPr>
        <w:t>vlastné zdroje</w:t>
      </w:r>
      <w:r w:rsidR="00D413F0" w:rsidRPr="00B12C93">
        <w:rPr>
          <w:rFonts w:asciiTheme="majorHAnsi" w:hAnsiTheme="majorHAnsi" w:cstheme="majorHAnsi"/>
        </w:rPr>
        <w:tab/>
      </w:r>
      <w:r w:rsidR="000443D5" w:rsidRPr="00B12C93">
        <w:rPr>
          <w:rFonts w:asciiTheme="majorHAnsi" w:hAnsiTheme="majorHAnsi" w:cstheme="majorHAnsi"/>
        </w:rPr>
        <w:t>135 162 €</w:t>
      </w:r>
    </w:p>
    <w:p w14:paraId="199CD9C7" w14:textId="4B26D25B" w:rsidR="000443D5" w:rsidRPr="00AF27EA" w:rsidRDefault="000443D5" w:rsidP="0039435F">
      <w:pPr>
        <w:tabs>
          <w:tab w:val="right" w:pos="6804"/>
        </w:tabs>
        <w:jc w:val="both"/>
        <w:rPr>
          <w:rFonts w:asciiTheme="majorHAnsi" w:hAnsiTheme="majorHAnsi" w:cstheme="majorHAnsi"/>
        </w:rPr>
      </w:pPr>
      <w:r w:rsidRPr="00AE224F">
        <w:rPr>
          <w:rFonts w:asciiTheme="majorHAnsi" w:hAnsiTheme="majorHAnsi" w:cstheme="majorHAnsi"/>
          <w:b/>
        </w:rPr>
        <w:t xml:space="preserve">V roku 2022 bola pridelená ŠDaJ Miloša Uhra v Trnave dotácia </w:t>
      </w:r>
      <w:r w:rsidR="00DA2C6B">
        <w:rPr>
          <w:rFonts w:asciiTheme="majorHAnsi" w:hAnsiTheme="majorHAnsi" w:cstheme="majorHAnsi"/>
          <w:b/>
        </w:rPr>
        <w:t>na zmiernenie ekonomických dosahov (výpadku príjmov)</w:t>
      </w:r>
      <w:r w:rsidRPr="00AE224F">
        <w:rPr>
          <w:rFonts w:asciiTheme="majorHAnsi" w:hAnsiTheme="majorHAnsi" w:cstheme="majorHAnsi"/>
          <w:b/>
        </w:rPr>
        <w:t xml:space="preserve"> z dôvodu vzniku pandémie COVID-19 vo výške 389 216 €.</w:t>
      </w:r>
      <w:r w:rsidRPr="00AF27EA">
        <w:rPr>
          <w:rFonts w:asciiTheme="majorHAnsi" w:hAnsiTheme="majorHAnsi" w:cstheme="majorHAnsi"/>
        </w:rPr>
        <w:t xml:space="preserve"> Z tejto dotácie boli hradené mzdy a odvody pracovníkov </w:t>
      </w:r>
      <w:r w:rsidR="00AE224F">
        <w:rPr>
          <w:rFonts w:asciiTheme="majorHAnsi" w:hAnsiTheme="majorHAnsi" w:cstheme="majorHAnsi"/>
        </w:rPr>
        <w:t>študentskej jedálne</w:t>
      </w:r>
      <w:r w:rsidR="00DA2C6B">
        <w:rPr>
          <w:rFonts w:asciiTheme="majorHAnsi" w:hAnsiTheme="majorHAnsi" w:cstheme="majorHAnsi"/>
        </w:rPr>
        <w:t>,</w:t>
      </w:r>
      <w:r w:rsidRPr="00AF27EA">
        <w:rPr>
          <w:rFonts w:asciiTheme="majorHAnsi" w:hAnsiTheme="majorHAnsi" w:cstheme="majorHAnsi"/>
        </w:rPr>
        <w:t xml:space="preserve"> energie </w:t>
      </w:r>
      <w:r w:rsidR="00AE224F">
        <w:rPr>
          <w:rFonts w:asciiTheme="majorHAnsi" w:hAnsiTheme="majorHAnsi" w:cstheme="majorHAnsi"/>
        </w:rPr>
        <w:t xml:space="preserve">študentskej </w:t>
      </w:r>
      <w:r w:rsidR="00AE224F">
        <w:rPr>
          <w:rFonts w:asciiTheme="majorHAnsi" w:hAnsiTheme="majorHAnsi" w:cstheme="majorHAnsi"/>
        </w:rPr>
        <w:lastRenderedPageBreak/>
        <w:t>jedálne</w:t>
      </w:r>
      <w:r w:rsidR="00DA2C6B">
        <w:rPr>
          <w:rFonts w:asciiTheme="majorHAnsi" w:hAnsiTheme="majorHAnsi" w:cstheme="majorHAnsi"/>
        </w:rPr>
        <w:t xml:space="preserve"> a</w:t>
      </w:r>
      <w:r w:rsidRPr="00AF27EA">
        <w:rPr>
          <w:rFonts w:asciiTheme="majorHAnsi" w:hAnsiTheme="majorHAnsi" w:cstheme="majorHAnsi"/>
        </w:rPr>
        <w:t xml:space="preserve"> opravy </w:t>
      </w:r>
      <w:r w:rsidR="00AB2355">
        <w:rPr>
          <w:rFonts w:asciiTheme="majorHAnsi" w:hAnsiTheme="majorHAnsi" w:cstheme="majorHAnsi"/>
        </w:rPr>
        <w:t>študentského domova</w:t>
      </w:r>
      <w:r w:rsidRPr="00AF27EA">
        <w:rPr>
          <w:rFonts w:asciiTheme="majorHAnsi" w:hAnsiTheme="majorHAnsi" w:cstheme="majorHAnsi"/>
        </w:rPr>
        <w:t>, ktoré boli v iných rokoch hradené z</w:t>
      </w:r>
      <w:r w:rsidR="00AB2355">
        <w:rPr>
          <w:rFonts w:asciiTheme="majorHAnsi" w:hAnsiTheme="majorHAnsi" w:cstheme="majorHAnsi"/>
        </w:rPr>
        <w:t> </w:t>
      </w:r>
      <w:r w:rsidRPr="00AF27EA">
        <w:rPr>
          <w:rFonts w:asciiTheme="majorHAnsi" w:hAnsiTheme="majorHAnsi" w:cstheme="majorHAnsi"/>
        </w:rPr>
        <w:t>vlastných príjmov za ubytovanie a stravovanie.</w:t>
      </w:r>
    </w:p>
    <w:p w14:paraId="1AF46C33" w14:textId="77777777" w:rsidR="00374880" w:rsidRPr="003364A4" w:rsidRDefault="00374880" w:rsidP="0039435F">
      <w:pPr>
        <w:jc w:val="both"/>
        <w:rPr>
          <w:rFonts w:asciiTheme="majorHAnsi" w:hAnsiTheme="majorHAnsi" w:cstheme="majorHAnsi"/>
        </w:rPr>
      </w:pPr>
    </w:p>
    <w:p w14:paraId="331CC67F" w14:textId="4BD0E9F6" w:rsidR="00CF0804" w:rsidRPr="00DA2C6B" w:rsidRDefault="00DA2C6B" w:rsidP="00DA2C6B">
      <w:pPr>
        <w:rPr>
          <w:b/>
          <w:sz w:val="28"/>
          <w:szCs w:val="28"/>
        </w:rPr>
      </w:pPr>
      <w:bookmarkStart w:id="234" w:name="_Toc127593243"/>
      <w:r w:rsidRPr="00DA2C6B">
        <w:rPr>
          <w:b/>
          <w:sz w:val="28"/>
          <w:szCs w:val="28"/>
        </w:rPr>
        <w:t xml:space="preserve">8.6. </w:t>
      </w:r>
      <w:r w:rsidR="00CF0804" w:rsidRPr="00DA2C6B">
        <w:rPr>
          <w:b/>
          <w:sz w:val="28"/>
          <w:szCs w:val="28"/>
        </w:rPr>
        <w:t>Stravovacia činnosť</w:t>
      </w:r>
      <w:bookmarkEnd w:id="234"/>
      <w:r w:rsidR="00CF0804" w:rsidRPr="00DA2C6B">
        <w:rPr>
          <w:b/>
          <w:sz w:val="28"/>
          <w:szCs w:val="28"/>
        </w:rPr>
        <w:t xml:space="preserve"> </w:t>
      </w:r>
    </w:p>
    <w:p w14:paraId="69CEF7C0" w14:textId="77777777" w:rsidR="00DA2C6B" w:rsidRPr="00DA2C6B" w:rsidRDefault="00DA2C6B" w:rsidP="00DA2C6B"/>
    <w:p w14:paraId="71F7CD0D" w14:textId="77777777" w:rsidR="00B93977" w:rsidRPr="0053555E" w:rsidRDefault="00B93977" w:rsidP="0039435F">
      <w:pPr>
        <w:tabs>
          <w:tab w:val="left" w:pos="9356"/>
        </w:tabs>
        <w:jc w:val="both"/>
        <w:rPr>
          <w:rFonts w:asciiTheme="majorHAnsi" w:hAnsiTheme="majorHAnsi" w:cstheme="majorHAnsi"/>
        </w:rPr>
      </w:pPr>
      <w:r w:rsidRPr="0053555E">
        <w:rPr>
          <w:rFonts w:asciiTheme="majorHAnsi" w:hAnsiTheme="majorHAnsi" w:cstheme="majorHAnsi"/>
        </w:rPr>
        <w:t>Poskytovanie stravovania pre študentov a zamestnancov STU bolo zabezpečované:</w:t>
      </w:r>
    </w:p>
    <w:p w14:paraId="4A826089" w14:textId="00EE0DF3" w:rsidR="00A957C9" w:rsidRPr="0053555E" w:rsidRDefault="00A957C9" w:rsidP="00E027F7">
      <w:pPr>
        <w:pStyle w:val="Odsekzoznamu"/>
        <w:numPr>
          <w:ilvl w:val="0"/>
          <w:numId w:val="19"/>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 xml:space="preserve">vlastnými stravovacími zariadeniami študentskými jedálňami (ďalej </w:t>
      </w:r>
      <w:r w:rsidR="0075694A">
        <w:rPr>
          <w:rFonts w:asciiTheme="majorHAnsi" w:hAnsiTheme="majorHAnsi" w:cstheme="majorHAnsi"/>
          <w:sz w:val="24"/>
          <w:szCs w:val="24"/>
        </w:rPr>
        <w:t>tiež</w:t>
      </w:r>
      <w:r w:rsidRPr="0053555E">
        <w:rPr>
          <w:rFonts w:asciiTheme="majorHAnsi" w:hAnsiTheme="majorHAnsi" w:cstheme="majorHAnsi"/>
          <w:sz w:val="24"/>
          <w:szCs w:val="24"/>
        </w:rPr>
        <w:t xml:space="preserve"> „ŠJ“) Stravovacieho centra (ŠJ Jura Hronca, ŠJ SvF, ŠJ Vazovova, ŠJ Mladá Garda a ŠJ SjF) a</w:t>
      </w:r>
      <w:r w:rsidR="00B3077D">
        <w:rPr>
          <w:rFonts w:asciiTheme="majorHAnsi" w:hAnsiTheme="majorHAnsi" w:cstheme="majorHAnsi"/>
          <w:sz w:val="24"/>
          <w:szCs w:val="24"/>
        </w:rPr>
        <w:t> </w:t>
      </w:r>
      <w:r w:rsidRPr="0053555E">
        <w:rPr>
          <w:rFonts w:asciiTheme="majorHAnsi" w:hAnsiTheme="majorHAnsi" w:cstheme="majorHAnsi"/>
          <w:sz w:val="24"/>
          <w:szCs w:val="24"/>
        </w:rPr>
        <w:t xml:space="preserve">ŠJ </w:t>
      </w:r>
      <w:r w:rsidR="0075694A">
        <w:rPr>
          <w:rFonts w:asciiTheme="majorHAnsi" w:hAnsiTheme="majorHAnsi" w:cstheme="majorHAnsi"/>
          <w:sz w:val="24"/>
          <w:szCs w:val="24"/>
        </w:rPr>
        <w:t> </w:t>
      </w:r>
      <w:r w:rsidRPr="0053555E">
        <w:rPr>
          <w:rFonts w:asciiTheme="majorHAnsi" w:hAnsiTheme="majorHAnsi" w:cstheme="majorHAnsi"/>
          <w:sz w:val="24"/>
          <w:szCs w:val="24"/>
        </w:rPr>
        <w:t>Miloša Uhra v Trnave s výdajňou na ul. J. Bottu,</w:t>
      </w:r>
    </w:p>
    <w:p w14:paraId="06BE4881" w14:textId="74C2C1BB" w:rsidR="00A957C9" w:rsidRPr="0053555E" w:rsidRDefault="00A957C9" w:rsidP="00E027F7">
      <w:pPr>
        <w:pStyle w:val="Odsekzoznamu"/>
        <w:numPr>
          <w:ilvl w:val="0"/>
          <w:numId w:val="19"/>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prostredníctvom cudzieho subjektu v priestoroch jedální na FEI, FCHPT a</w:t>
      </w:r>
      <w:r w:rsidR="00B3077D">
        <w:rPr>
          <w:rFonts w:asciiTheme="majorHAnsi" w:hAnsiTheme="majorHAnsi" w:cstheme="majorHAnsi"/>
          <w:sz w:val="24"/>
          <w:szCs w:val="24"/>
        </w:rPr>
        <w:t> </w:t>
      </w:r>
      <w:r w:rsidRPr="0053555E">
        <w:rPr>
          <w:rFonts w:asciiTheme="majorHAnsi" w:hAnsiTheme="majorHAnsi" w:cstheme="majorHAnsi"/>
          <w:sz w:val="24"/>
          <w:szCs w:val="24"/>
        </w:rPr>
        <w:t>FIIT</w:t>
      </w:r>
      <w:r w:rsidR="00B3077D">
        <w:rPr>
          <w:rFonts w:asciiTheme="majorHAnsi" w:hAnsiTheme="majorHAnsi" w:cstheme="majorHAnsi"/>
          <w:sz w:val="24"/>
          <w:szCs w:val="24"/>
        </w:rPr>
        <w:t>,</w:t>
      </w:r>
    </w:p>
    <w:p w14:paraId="4CF04372" w14:textId="01D15DEF" w:rsidR="00A957C9" w:rsidRPr="0053555E" w:rsidRDefault="00C46AC5" w:rsidP="00E027F7">
      <w:pPr>
        <w:pStyle w:val="Odsekzoznamu"/>
        <w:numPr>
          <w:ilvl w:val="0"/>
          <w:numId w:val="19"/>
        </w:numPr>
        <w:tabs>
          <w:tab w:val="left" w:pos="9356"/>
        </w:tabs>
        <w:spacing w:after="120" w:line="240" w:lineRule="auto"/>
        <w:ind w:left="426" w:hanging="426"/>
        <w:contextualSpacing w:val="0"/>
        <w:jc w:val="both"/>
        <w:rPr>
          <w:rFonts w:asciiTheme="majorHAnsi" w:hAnsiTheme="majorHAnsi" w:cstheme="majorHAnsi"/>
          <w:sz w:val="24"/>
          <w:szCs w:val="24"/>
        </w:rPr>
      </w:pPr>
      <w:r w:rsidRPr="0053555E">
        <w:rPr>
          <w:rFonts w:asciiTheme="majorHAnsi" w:hAnsiTheme="majorHAnsi" w:cstheme="majorHAnsi"/>
          <w:sz w:val="24"/>
          <w:szCs w:val="24"/>
        </w:rPr>
        <w:t>ŠDaJ Miloša</w:t>
      </w:r>
      <w:r w:rsidR="00A957C9" w:rsidRPr="0053555E">
        <w:rPr>
          <w:rFonts w:asciiTheme="majorHAnsi" w:hAnsiTheme="majorHAnsi" w:cstheme="majorHAnsi"/>
          <w:sz w:val="24"/>
          <w:szCs w:val="24"/>
        </w:rPr>
        <w:t xml:space="preserve"> Uhra v Trnave </w:t>
      </w:r>
      <w:r w:rsidR="00772E19">
        <w:rPr>
          <w:rFonts w:asciiTheme="majorHAnsi" w:hAnsiTheme="majorHAnsi" w:cstheme="majorHAnsi"/>
          <w:sz w:val="24"/>
          <w:szCs w:val="24"/>
        </w:rPr>
        <w:t>tiež</w:t>
      </w:r>
      <w:r w:rsidR="00A957C9" w:rsidRPr="0053555E">
        <w:rPr>
          <w:rFonts w:asciiTheme="majorHAnsi" w:hAnsiTheme="majorHAnsi" w:cstheme="majorHAnsi"/>
          <w:sz w:val="24"/>
          <w:szCs w:val="24"/>
        </w:rPr>
        <w:t xml:space="preserve"> prevádzkuje bufet v pavilóne  „T“ na ul. J. Bottu</w:t>
      </w:r>
      <w:r w:rsidR="00657644" w:rsidRPr="0053555E">
        <w:rPr>
          <w:rFonts w:asciiTheme="majorHAnsi" w:hAnsiTheme="majorHAnsi" w:cstheme="majorHAnsi"/>
          <w:sz w:val="24"/>
          <w:szCs w:val="24"/>
        </w:rPr>
        <w:t>.</w:t>
      </w:r>
    </w:p>
    <w:p w14:paraId="2250F06A" w14:textId="77777777" w:rsidR="003460F6" w:rsidRDefault="00B93977" w:rsidP="003460F6">
      <w:pPr>
        <w:tabs>
          <w:tab w:val="left" w:pos="9356"/>
        </w:tabs>
        <w:spacing w:after="120"/>
        <w:jc w:val="both"/>
        <w:rPr>
          <w:rFonts w:asciiTheme="majorHAnsi" w:hAnsiTheme="majorHAnsi" w:cstheme="majorHAnsi"/>
        </w:rPr>
      </w:pPr>
      <w:r w:rsidRPr="0053555E">
        <w:rPr>
          <w:rFonts w:asciiTheme="majorHAnsi" w:hAnsiTheme="majorHAnsi" w:cstheme="majorHAnsi"/>
        </w:rPr>
        <w:t xml:space="preserve">Príspevok </w:t>
      </w:r>
      <w:r w:rsidR="00E53286" w:rsidRPr="0053555E">
        <w:rPr>
          <w:rFonts w:asciiTheme="majorHAnsi" w:hAnsiTheme="majorHAnsi" w:cstheme="majorHAnsi"/>
        </w:rPr>
        <w:t>z dotácie zo štátneho rozpočtu</w:t>
      </w:r>
      <w:r w:rsidRPr="0053555E">
        <w:rPr>
          <w:rFonts w:asciiTheme="majorHAnsi" w:hAnsiTheme="majorHAnsi" w:cstheme="majorHAnsi"/>
        </w:rPr>
        <w:t xml:space="preserve"> </w:t>
      </w:r>
      <w:r w:rsidR="002B5363">
        <w:rPr>
          <w:rFonts w:asciiTheme="majorHAnsi" w:hAnsiTheme="majorHAnsi" w:cstheme="majorHAnsi"/>
        </w:rPr>
        <w:t>v</w:t>
      </w:r>
      <w:r w:rsidR="002B5363" w:rsidRPr="0053555E">
        <w:rPr>
          <w:rFonts w:asciiTheme="majorHAnsi" w:hAnsiTheme="majorHAnsi" w:cstheme="majorHAnsi"/>
        </w:rPr>
        <w:t xml:space="preserve"> rok</w:t>
      </w:r>
      <w:r w:rsidR="002B5363">
        <w:rPr>
          <w:rFonts w:asciiTheme="majorHAnsi" w:hAnsiTheme="majorHAnsi" w:cstheme="majorHAnsi"/>
        </w:rPr>
        <w:t>u</w:t>
      </w:r>
      <w:r w:rsidR="002B5363" w:rsidRPr="0053555E">
        <w:rPr>
          <w:rFonts w:asciiTheme="majorHAnsi" w:hAnsiTheme="majorHAnsi" w:cstheme="majorHAnsi"/>
        </w:rPr>
        <w:t xml:space="preserve"> 202</w:t>
      </w:r>
      <w:r w:rsidR="002B5363">
        <w:rPr>
          <w:rFonts w:asciiTheme="majorHAnsi" w:hAnsiTheme="majorHAnsi" w:cstheme="majorHAnsi"/>
        </w:rPr>
        <w:t>2</w:t>
      </w:r>
      <w:r w:rsidR="002B5363" w:rsidRPr="0053555E">
        <w:rPr>
          <w:rFonts w:asciiTheme="majorHAnsi" w:hAnsiTheme="majorHAnsi" w:cstheme="majorHAnsi"/>
        </w:rPr>
        <w:t xml:space="preserve"> </w:t>
      </w:r>
      <w:r w:rsidR="00772563" w:rsidRPr="0053555E">
        <w:rPr>
          <w:rFonts w:asciiTheme="majorHAnsi" w:hAnsiTheme="majorHAnsi" w:cstheme="majorHAnsi"/>
        </w:rPr>
        <w:t xml:space="preserve">na stravovanie </w:t>
      </w:r>
      <w:r w:rsidRPr="0053555E">
        <w:rPr>
          <w:rFonts w:asciiTheme="majorHAnsi" w:hAnsiTheme="majorHAnsi" w:cstheme="majorHAnsi"/>
        </w:rPr>
        <w:t xml:space="preserve">pre študenta bol </w:t>
      </w:r>
      <w:r w:rsidR="00A84AF8" w:rsidRPr="00772E19">
        <w:rPr>
          <w:rFonts w:asciiTheme="majorHAnsi" w:hAnsiTheme="majorHAnsi" w:cstheme="majorHAnsi"/>
        </w:rPr>
        <w:t>do</w:t>
      </w:r>
      <w:r w:rsidR="00631909">
        <w:rPr>
          <w:rFonts w:asciiTheme="majorHAnsi" w:hAnsiTheme="majorHAnsi" w:cstheme="majorHAnsi"/>
        </w:rPr>
        <w:t> </w:t>
      </w:r>
      <w:r w:rsidR="00A84AF8" w:rsidRPr="00772E19">
        <w:rPr>
          <w:rFonts w:asciiTheme="majorHAnsi" w:hAnsiTheme="majorHAnsi" w:cstheme="majorHAnsi"/>
        </w:rPr>
        <w:t>30.</w:t>
      </w:r>
      <w:r w:rsidR="00631909">
        <w:rPr>
          <w:rFonts w:asciiTheme="majorHAnsi" w:hAnsiTheme="majorHAnsi" w:cstheme="majorHAnsi"/>
        </w:rPr>
        <w:t> </w:t>
      </w:r>
      <w:r w:rsidR="00A84AF8" w:rsidRPr="00772E19">
        <w:rPr>
          <w:rFonts w:asciiTheme="majorHAnsi" w:hAnsiTheme="majorHAnsi" w:cstheme="majorHAnsi"/>
        </w:rPr>
        <w:t>6.</w:t>
      </w:r>
      <w:r w:rsidR="00631909">
        <w:rPr>
          <w:rFonts w:asciiTheme="majorHAnsi" w:hAnsiTheme="majorHAnsi" w:cstheme="majorHAnsi"/>
        </w:rPr>
        <w:t> </w:t>
      </w:r>
      <w:r w:rsidR="00A84AF8" w:rsidRPr="00772E19">
        <w:rPr>
          <w:rFonts w:asciiTheme="majorHAnsi" w:hAnsiTheme="majorHAnsi" w:cstheme="majorHAnsi"/>
        </w:rPr>
        <w:t>2022</w:t>
      </w:r>
      <w:r w:rsidR="002B5363">
        <w:rPr>
          <w:rFonts w:asciiTheme="majorHAnsi" w:hAnsiTheme="majorHAnsi" w:cstheme="majorHAnsi"/>
        </w:rPr>
        <w:t xml:space="preserve"> vo výške </w:t>
      </w:r>
      <w:r w:rsidRPr="0053555E">
        <w:rPr>
          <w:rFonts w:asciiTheme="majorHAnsi" w:hAnsiTheme="majorHAnsi" w:cstheme="majorHAnsi"/>
        </w:rPr>
        <w:t>1,</w:t>
      </w:r>
      <w:r w:rsidR="00B94FE9" w:rsidRPr="0053555E">
        <w:rPr>
          <w:rFonts w:asciiTheme="majorHAnsi" w:hAnsiTheme="majorHAnsi" w:cstheme="majorHAnsi"/>
        </w:rPr>
        <w:t>4</w:t>
      </w:r>
      <w:r w:rsidRPr="0053555E">
        <w:rPr>
          <w:rFonts w:asciiTheme="majorHAnsi" w:hAnsiTheme="majorHAnsi" w:cstheme="majorHAnsi"/>
        </w:rPr>
        <w:t xml:space="preserve">0 € </w:t>
      </w:r>
      <w:r w:rsidR="00772E19" w:rsidRPr="00772E19">
        <w:rPr>
          <w:rFonts w:asciiTheme="majorHAnsi" w:hAnsiTheme="majorHAnsi" w:cstheme="majorHAnsi"/>
        </w:rPr>
        <w:t>a od 1.</w:t>
      </w:r>
      <w:r w:rsidR="00A84AF8">
        <w:rPr>
          <w:rFonts w:asciiTheme="majorHAnsi" w:hAnsiTheme="majorHAnsi" w:cstheme="majorHAnsi"/>
        </w:rPr>
        <w:t xml:space="preserve"> </w:t>
      </w:r>
      <w:r w:rsidR="00772E19" w:rsidRPr="00772E19">
        <w:rPr>
          <w:rFonts w:asciiTheme="majorHAnsi" w:hAnsiTheme="majorHAnsi" w:cstheme="majorHAnsi"/>
        </w:rPr>
        <w:t>7.</w:t>
      </w:r>
      <w:r w:rsidR="00A84AF8">
        <w:rPr>
          <w:rFonts w:asciiTheme="majorHAnsi" w:hAnsiTheme="majorHAnsi" w:cstheme="majorHAnsi"/>
        </w:rPr>
        <w:t xml:space="preserve"> </w:t>
      </w:r>
      <w:r w:rsidR="00772E19" w:rsidRPr="00772E19">
        <w:rPr>
          <w:rFonts w:asciiTheme="majorHAnsi" w:hAnsiTheme="majorHAnsi" w:cstheme="majorHAnsi"/>
        </w:rPr>
        <w:t xml:space="preserve">2022 </w:t>
      </w:r>
      <w:r w:rsidR="002B5363">
        <w:rPr>
          <w:rFonts w:asciiTheme="majorHAnsi" w:hAnsiTheme="majorHAnsi" w:cstheme="majorHAnsi"/>
        </w:rPr>
        <w:t xml:space="preserve">vo výške </w:t>
      </w:r>
      <w:r w:rsidR="002B5363" w:rsidRPr="00772E19">
        <w:rPr>
          <w:rFonts w:asciiTheme="majorHAnsi" w:hAnsiTheme="majorHAnsi" w:cstheme="majorHAnsi"/>
        </w:rPr>
        <w:t xml:space="preserve">1,50 € </w:t>
      </w:r>
      <w:r w:rsidR="00772E19" w:rsidRPr="00772E19">
        <w:rPr>
          <w:rFonts w:asciiTheme="majorHAnsi" w:hAnsiTheme="majorHAnsi" w:cstheme="majorHAnsi"/>
        </w:rPr>
        <w:t>na jedno jedlo, pričom študent mal nárok na dve jedlá s</w:t>
      </w:r>
      <w:r w:rsidR="00A84AF8">
        <w:rPr>
          <w:rFonts w:asciiTheme="majorHAnsi" w:hAnsiTheme="majorHAnsi" w:cstheme="majorHAnsi"/>
        </w:rPr>
        <w:t> </w:t>
      </w:r>
      <w:r w:rsidR="00772E19" w:rsidRPr="00772E19">
        <w:rPr>
          <w:rFonts w:asciiTheme="majorHAnsi" w:hAnsiTheme="majorHAnsi" w:cstheme="majorHAnsi"/>
        </w:rPr>
        <w:t>príspevkom v jeden deň.</w:t>
      </w:r>
      <w:bookmarkStart w:id="235" w:name="_Ref31963772"/>
      <w:bookmarkStart w:id="236" w:name="_Ref31721064"/>
      <w:bookmarkStart w:id="237" w:name="_Toc127593311"/>
    </w:p>
    <w:p w14:paraId="0C754DD3" w14:textId="142427E1" w:rsidR="00407C88" w:rsidRPr="003460F6" w:rsidRDefault="00606319" w:rsidP="003460F6">
      <w:pPr>
        <w:tabs>
          <w:tab w:val="left" w:pos="9356"/>
        </w:tabs>
        <w:spacing w:after="120"/>
        <w:jc w:val="both"/>
        <w:rPr>
          <w:rFonts w:asciiTheme="majorHAnsi" w:hAnsiTheme="majorHAnsi" w:cstheme="majorHAnsi"/>
        </w:rPr>
      </w:pPr>
      <w:r w:rsidRPr="0053555E">
        <w:t xml:space="preserve">Tab. č. </w:t>
      </w:r>
      <w:r w:rsidR="007B5953">
        <w:fldChar w:fldCharType="begin"/>
      </w:r>
      <w:r w:rsidR="007B5953">
        <w:instrText xml:space="preserve"> SEQ Tab._č. \* ARABIC </w:instrText>
      </w:r>
      <w:r w:rsidR="007B5953">
        <w:fldChar w:fldCharType="separate"/>
      </w:r>
      <w:r w:rsidR="003460F6">
        <w:rPr>
          <w:noProof/>
        </w:rPr>
        <w:t>5</w:t>
      </w:r>
      <w:r w:rsidR="00EE1B59">
        <w:rPr>
          <w:noProof/>
        </w:rPr>
        <w:t>8</w:t>
      </w:r>
      <w:r w:rsidR="007B5953">
        <w:rPr>
          <w:noProof/>
        </w:rPr>
        <w:fldChar w:fldCharType="end"/>
      </w:r>
      <w:bookmarkEnd w:id="235"/>
      <w:r w:rsidRPr="0053555E">
        <w:t>:</w:t>
      </w:r>
      <w:r w:rsidR="00407C88" w:rsidRPr="0053555E">
        <w:t xml:space="preserve"> Počty vydaných porcií jedál za </w:t>
      </w:r>
      <w:r w:rsidR="00C32380" w:rsidRPr="0053555E">
        <w:t>roky</w:t>
      </w:r>
      <w:r w:rsidR="00407C88" w:rsidRPr="0053555E">
        <w:t xml:space="preserve"> </w:t>
      </w:r>
      <w:r w:rsidR="000B327C" w:rsidRPr="0053555E">
        <w:t>20</w:t>
      </w:r>
      <w:r w:rsidR="00FE6089" w:rsidRPr="0053555E">
        <w:t>2</w:t>
      </w:r>
      <w:r w:rsidR="005B4F6A" w:rsidRPr="0053555E">
        <w:t>1</w:t>
      </w:r>
      <w:r w:rsidR="00407C88" w:rsidRPr="0053555E">
        <w:t xml:space="preserve"> a 20</w:t>
      </w:r>
      <w:bookmarkEnd w:id="236"/>
      <w:r w:rsidR="00E3401E" w:rsidRPr="0053555E">
        <w:t>2</w:t>
      </w:r>
      <w:r w:rsidR="005B4F6A" w:rsidRPr="0053555E">
        <w:t>2</w:t>
      </w:r>
      <w:bookmarkEnd w:id="237"/>
    </w:p>
    <w:tbl>
      <w:tblPr>
        <w:tblW w:w="9135" w:type="dxa"/>
        <w:tblInd w:w="-68" w:type="dxa"/>
        <w:tblLayout w:type="fixed"/>
        <w:tblCellMar>
          <w:left w:w="70" w:type="dxa"/>
          <w:right w:w="70" w:type="dxa"/>
        </w:tblCellMar>
        <w:tblLook w:val="00A0" w:firstRow="1" w:lastRow="0" w:firstColumn="1" w:lastColumn="0" w:noHBand="0" w:noVBand="0"/>
      </w:tblPr>
      <w:tblGrid>
        <w:gridCol w:w="1197"/>
        <w:gridCol w:w="992"/>
        <w:gridCol w:w="1135"/>
        <w:gridCol w:w="849"/>
        <w:gridCol w:w="993"/>
        <w:gridCol w:w="992"/>
        <w:gridCol w:w="1135"/>
        <w:gridCol w:w="849"/>
        <w:gridCol w:w="993"/>
      </w:tblGrid>
      <w:tr w:rsidR="00F86514" w:rsidRPr="0053555E" w14:paraId="15AA7997" w14:textId="77777777" w:rsidTr="00FB4F0A">
        <w:trPr>
          <w:trHeight w:val="420"/>
        </w:trPr>
        <w:tc>
          <w:tcPr>
            <w:tcW w:w="1197" w:type="dxa"/>
            <w:vMerge w:val="restart"/>
            <w:tcBorders>
              <w:top w:val="single" w:sz="8" w:space="0" w:color="auto"/>
              <w:left w:val="single" w:sz="4" w:space="0" w:color="auto"/>
              <w:bottom w:val="single" w:sz="8" w:space="0" w:color="000000"/>
              <w:right w:val="single" w:sz="12" w:space="0" w:color="auto"/>
            </w:tcBorders>
            <w:shd w:val="clear" w:color="auto" w:fill="FFFFFF"/>
            <w:noWrap/>
            <w:vAlign w:val="center"/>
            <w:hideMark/>
          </w:tcPr>
          <w:p w14:paraId="0B373EB2" w14:textId="77777777" w:rsidR="00F86514" w:rsidRPr="0053555E" w:rsidRDefault="00F86514" w:rsidP="0039435F">
            <w:pPr>
              <w:tabs>
                <w:tab w:val="left" w:pos="9356"/>
              </w:tabs>
              <w:jc w:val="both"/>
              <w:rPr>
                <w:rFonts w:asciiTheme="majorHAnsi" w:hAnsiTheme="majorHAnsi" w:cstheme="majorHAnsi"/>
                <w:b/>
                <w:bCs/>
                <w:sz w:val="22"/>
                <w:szCs w:val="22"/>
                <w:lang w:eastAsia="sk-SK"/>
              </w:rPr>
            </w:pPr>
            <w:r w:rsidRPr="0053555E">
              <w:rPr>
                <w:rFonts w:asciiTheme="majorHAnsi" w:hAnsiTheme="majorHAnsi" w:cstheme="majorHAnsi"/>
                <w:b/>
                <w:bCs/>
                <w:sz w:val="22"/>
                <w:szCs w:val="22"/>
                <w:lang w:eastAsia="sk-SK"/>
              </w:rPr>
              <w:t>Študentská jedáleň</w:t>
            </w:r>
          </w:p>
        </w:tc>
        <w:tc>
          <w:tcPr>
            <w:tcW w:w="3969" w:type="dxa"/>
            <w:gridSpan w:val="4"/>
            <w:tcBorders>
              <w:top w:val="single" w:sz="8" w:space="0" w:color="auto"/>
              <w:left w:val="single" w:sz="12" w:space="0" w:color="auto"/>
              <w:bottom w:val="single" w:sz="4" w:space="0" w:color="auto"/>
              <w:right w:val="single" w:sz="12" w:space="0" w:color="auto"/>
            </w:tcBorders>
            <w:shd w:val="clear" w:color="auto" w:fill="auto"/>
            <w:noWrap/>
            <w:vAlign w:val="center"/>
            <w:hideMark/>
          </w:tcPr>
          <w:p w14:paraId="616CD820" w14:textId="269AC130" w:rsidR="00F86514" w:rsidRPr="0053555E" w:rsidRDefault="00F86514" w:rsidP="0039435F">
            <w:pPr>
              <w:jc w:val="center"/>
              <w:rPr>
                <w:rFonts w:asciiTheme="majorHAnsi" w:hAnsiTheme="majorHAnsi" w:cstheme="majorHAnsi"/>
                <w:b/>
                <w:bCs/>
                <w:szCs w:val="22"/>
                <w:lang w:eastAsia="sk-SK"/>
              </w:rPr>
            </w:pPr>
            <w:r w:rsidRPr="0053555E">
              <w:rPr>
                <w:rFonts w:asciiTheme="majorHAnsi" w:hAnsiTheme="majorHAnsi" w:cstheme="majorHAnsi"/>
                <w:b/>
                <w:bCs/>
                <w:szCs w:val="22"/>
                <w:lang w:eastAsia="sk-SK"/>
              </w:rPr>
              <w:t>1-12/20</w:t>
            </w:r>
            <w:r w:rsidR="00A80E7C">
              <w:rPr>
                <w:rFonts w:asciiTheme="majorHAnsi" w:hAnsiTheme="majorHAnsi" w:cstheme="majorHAnsi"/>
                <w:b/>
                <w:bCs/>
                <w:szCs w:val="22"/>
                <w:lang w:eastAsia="sk-SK"/>
              </w:rPr>
              <w:t>21</w:t>
            </w:r>
            <w:r w:rsidRPr="0053555E">
              <w:rPr>
                <w:rFonts w:asciiTheme="majorHAnsi" w:hAnsiTheme="majorHAnsi" w:cstheme="majorHAnsi"/>
                <w:b/>
                <w:bCs/>
                <w:szCs w:val="22"/>
                <w:lang w:eastAsia="sk-SK"/>
              </w:rPr>
              <w:t xml:space="preserve"> - počet jedál</w:t>
            </w:r>
          </w:p>
        </w:tc>
        <w:tc>
          <w:tcPr>
            <w:tcW w:w="3969" w:type="dxa"/>
            <w:gridSpan w:val="4"/>
            <w:tcBorders>
              <w:top w:val="single" w:sz="8" w:space="0" w:color="auto"/>
              <w:left w:val="single" w:sz="12" w:space="0" w:color="auto"/>
              <w:bottom w:val="single" w:sz="4" w:space="0" w:color="auto"/>
              <w:right w:val="single" w:sz="4" w:space="0" w:color="auto"/>
            </w:tcBorders>
            <w:shd w:val="clear" w:color="auto" w:fill="auto"/>
            <w:noWrap/>
            <w:vAlign w:val="center"/>
            <w:hideMark/>
          </w:tcPr>
          <w:p w14:paraId="27AC3CF0" w14:textId="786D8F91" w:rsidR="00F86514" w:rsidRPr="0053555E" w:rsidRDefault="00F86514" w:rsidP="0039435F">
            <w:pPr>
              <w:jc w:val="center"/>
              <w:rPr>
                <w:rFonts w:asciiTheme="majorHAnsi" w:hAnsiTheme="majorHAnsi" w:cstheme="majorHAnsi"/>
                <w:b/>
                <w:bCs/>
                <w:szCs w:val="22"/>
                <w:lang w:eastAsia="sk-SK"/>
              </w:rPr>
            </w:pPr>
            <w:r w:rsidRPr="0053555E">
              <w:rPr>
                <w:rFonts w:asciiTheme="majorHAnsi" w:hAnsiTheme="majorHAnsi" w:cstheme="majorHAnsi"/>
                <w:b/>
                <w:bCs/>
                <w:szCs w:val="22"/>
                <w:lang w:val="en-US" w:eastAsia="sk-SK"/>
              </w:rPr>
              <w:t>1-12/202</w:t>
            </w:r>
            <w:r w:rsidR="00A80E7C">
              <w:rPr>
                <w:rFonts w:asciiTheme="majorHAnsi" w:hAnsiTheme="majorHAnsi" w:cstheme="majorHAnsi"/>
                <w:b/>
                <w:bCs/>
                <w:szCs w:val="22"/>
                <w:lang w:val="en-US" w:eastAsia="sk-SK"/>
              </w:rPr>
              <w:t>2</w:t>
            </w:r>
            <w:r w:rsidRPr="0053555E">
              <w:rPr>
                <w:rFonts w:asciiTheme="majorHAnsi" w:hAnsiTheme="majorHAnsi" w:cstheme="majorHAnsi"/>
                <w:b/>
                <w:bCs/>
                <w:szCs w:val="22"/>
                <w:lang w:val="en-US" w:eastAsia="sk-SK"/>
              </w:rPr>
              <w:t xml:space="preserve"> - </w:t>
            </w:r>
            <w:r w:rsidRPr="0053555E">
              <w:rPr>
                <w:rFonts w:asciiTheme="majorHAnsi" w:hAnsiTheme="majorHAnsi" w:cstheme="majorHAnsi"/>
                <w:b/>
                <w:bCs/>
                <w:szCs w:val="22"/>
                <w:lang w:eastAsia="sk-SK"/>
              </w:rPr>
              <w:t>počet jedál</w:t>
            </w:r>
          </w:p>
        </w:tc>
      </w:tr>
      <w:tr w:rsidR="00676E54" w:rsidRPr="0053555E" w14:paraId="79C46254" w14:textId="77777777" w:rsidTr="00FB4F0A">
        <w:trPr>
          <w:trHeight w:val="151"/>
        </w:trPr>
        <w:tc>
          <w:tcPr>
            <w:tcW w:w="1197" w:type="dxa"/>
            <w:vMerge/>
            <w:tcBorders>
              <w:top w:val="single" w:sz="8" w:space="0" w:color="auto"/>
              <w:left w:val="single" w:sz="4" w:space="0" w:color="auto"/>
              <w:bottom w:val="single" w:sz="8" w:space="0" w:color="000000"/>
              <w:right w:val="single" w:sz="12" w:space="0" w:color="auto"/>
            </w:tcBorders>
            <w:vAlign w:val="center"/>
            <w:hideMark/>
          </w:tcPr>
          <w:p w14:paraId="48074463" w14:textId="77777777" w:rsidR="00407C88" w:rsidRPr="0053555E" w:rsidRDefault="00407C88" w:rsidP="0039435F">
            <w:pPr>
              <w:tabs>
                <w:tab w:val="left" w:pos="9356"/>
              </w:tabs>
              <w:jc w:val="both"/>
              <w:rPr>
                <w:rFonts w:asciiTheme="majorHAnsi" w:hAnsiTheme="majorHAnsi" w:cstheme="majorHAnsi"/>
                <w:b/>
                <w:bCs/>
                <w:sz w:val="22"/>
                <w:szCs w:val="22"/>
                <w:lang w:eastAsia="sk-SK"/>
              </w:rPr>
            </w:pPr>
          </w:p>
        </w:tc>
        <w:tc>
          <w:tcPr>
            <w:tcW w:w="992"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9D75C16" w14:textId="77777777" w:rsidR="00407C88" w:rsidRPr="0053555E" w:rsidRDefault="00407C88" w:rsidP="0039435F">
            <w:pPr>
              <w:tabs>
                <w:tab w:val="left" w:pos="9356"/>
              </w:tabs>
              <w:jc w:val="center"/>
              <w:rPr>
                <w:rFonts w:asciiTheme="majorHAnsi" w:hAnsiTheme="majorHAnsi" w:cstheme="majorHAnsi"/>
                <w:bCs/>
                <w:sz w:val="18"/>
                <w:szCs w:val="22"/>
                <w:lang w:eastAsia="sk-SK"/>
              </w:rPr>
            </w:pPr>
            <w:r w:rsidRPr="0053555E">
              <w:rPr>
                <w:rFonts w:asciiTheme="majorHAnsi" w:hAnsiTheme="majorHAnsi" w:cstheme="majorHAnsi"/>
                <w:bCs/>
                <w:sz w:val="18"/>
                <w:szCs w:val="22"/>
                <w:lang w:eastAsia="sk-SK"/>
              </w:rPr>
              <w:t>Študenti</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35F494D4" w14:textId="77777777" w:rsidR="00407C88" w:rsidRPr="0053555E" w:rsidRDefault="00407C88" w:rsidP="0039435F">
            <w:pPr>
              <w:tabs>
                <w:tab w:val="left" w:pos="9356"/>
              </w:tabs>
              <w:jc w:val="center"/>
              <w:rPr>
                <w:rFonts w:asciiTheme="majorHAnsi" w:hAnsiTheme="majorHAnsi" w:cstheme="majorHAnsi"/>
                <w:bCs/>
                <w:sz w:val="18"/>
                <w:szCs w:val="22"/>
                <w:lang w:eastAsia="sk-SK"/>
              </w:rPr>
            </w:pPr>
            <w:r w:rsidRPr="0053555E">
              <w:rPr>
                <w:rFonts w:asciiTheme="majorHAnsi" w:hAnsiTheme="majorHAnsi" w:cstheme="majorHAnsi"/>
                <w:bCs/>
                <w:sz w:val="18"/>
                <w:szCs w:val="22"/>
                <w:lang w:eastAsia="sk-SK"/>
              </w:rPr>
              <w:t>Zamestnanci</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02FE64E2" w14:textId="77777777" w:rsidR="00407C88" w:rsidRPr="0053555E" w:rsidRDefault="00407C88" w:rsidP="0039435F">
            <w:pPr>
              <w:tabs>
                <w:tab w:val="left" w:pos="9356"/>
              </w:tabs>
              <w:jc w:val="center"/>
              <w:rPr>
                <w:rFonts w:asciiTheme="majorHAnsi" w:hAnsiTheme="majorHAnsi" w:cstheme="majorHAnsi"/>
                <w:bCs/>
                <w:sz w:val="18"/>
                <w:szCs w:val="22"/>
                <w:lang w:eastAsia="sk-SK"/>
              </w:rPr>
            </w:pPr>
            <w:r w:rsidRPr="0053555E">
              <w:rPr>
                <w:rFonts w:asciiTheme="majorHAnsi" w:hAnsiTheme="majorHAnsi" w:cstheme="majorHAnsi"/>
                <w:bCs/>
                <w:sz w:val="18"/>
                <w:szCs w:val="22"/>
                <w:lang w:eastAsia="sk-SK"/>
              </w:rPr>
              <w:t>Cudzí</w:t>
            </w:r>
          </w:p>
        </w:tc>
        <w:tc>
          <w:tcPr>
            <w:tcW w:w="993" w:type="dxa"/>
            <w:tcBorders>
              <w:top w:val="single" w:sz="4" w:space="0" w:color="auto"/>
              <w:left w:val="nil"/>
              <w:bottom w:val="single" w:sz="4" w:space="0" w:color="auto"/>
              <w:right w:val="single" w:sz="12" w:space="0" w:color="auto"/>
            </w:tcBorders>
            <w:shd w:val="clear" w:color="auto" w:fill="auto"/>
            <w:noWrap/>
            <w:vAlign w:val="bottom"/>
            <w:hideMark/>
          </w:tcPr>
          <w:p w14:paraId="7470D9BC" w14:textId="77777777" w:rsidR="00407C88" w:rsidRPr="0053555E" w:rsidRDefault="00407C88" w:rsidP="0039435F">
            <w:pPr>
              <w:tabs>
                <w:tab w:val="left" w:pos="9356"/>
              </w:tabs>
              <w:jc w:val="center"/>
              <w:rPr>
                <w:rFonts w:asciiTheme="majorHAnsi" w:hAnsiTheme="majorHAnsi" w:cstheme="majorHAnsi"/>
                <w:bCs/>
                <w:sz w:val="18"/>
                <w:szCs w:val="22"/>
                <w:lang w:eastAsia="sk-SK"/>
              </w:rPr>
            </w:pPr>
            <w:r w:rsidRPr="0053555E">
              <w:rPr>
                <w:rFonts w:asciiTheme="majorHAnsi" w:hAnsiTheme="majorHAnsi" w:cstheme="majorHAnsi"/>
                <w:bCs/>
                <w:sz w:val="18"/>
                <w:szCs w:val="22"/>
                <w:lang w:eastAsia="sk-SK"/>
              </w:rPr>
              <w:t>Spolu</w:t>
            </w:r>
          </w:p>
        </w:tc>
        <w:tc>
          <w:tcPr>
            <w:tcW w:w="992"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85E04E0" w14:textId="77777777" w:rsidR="00407C88" w:rsidRPr="0053555E" w:rsidRDefault="00407C88" w:rsidP="0039435F">
            <w:pPr>
              <w:tabs>
                <w:tab w:val="left" w:pos="9356"/>
              </w:tabs>
              <w:jc w:val="center"/>
              <w:rPr>
                <w:rFonts w:asciiTheme="majorHAnsi" w:hAnsiTheme="majorHAnsi" w:cstheme="majorHAnsi"/>
                <w:bCs/>
                <w:sz w:val="18"/>
                <w:szCs w:val="22"/>
                <w:lang w:eastAsia="sk-SK"/>
              </w:rPr>
            </w:pPr>
            <w:r w:rsidRPr="0053555E">
              <w:rPr>
                <w:rFonts w:asciiTheme="majorHAnsi" w:hAnsiTheme="majorHAnsi" w:cstheme="majorHAnsi"/>
                <w:bCs/>
                <w:sz w:val="18"/>
                <w:szCs w:val="22"/>
                <w:lang w:eastAsia="sk-SK"/>
              </w:rPr>
              <w:t>Študenti</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39EDCE6E" w14:textId="77777777" w:rsidR="00407C88" w:rsidRPr="0053555E" w:rsidRDefault="00407C88" w:rsidP="0039435F">
            <w:pPr>
              <w:tabs>
                <w:tab w:val="left" w:pos="9356"/>
              </w:tabs>
              <w:jc w:val="center"/>
              <w:rPr>
                <w:rFonts w:asciiTheme="majorHAnsi" w:hAnsiTheme="majorHAnsi" w:cstheme="majorHAnsi"/>
                <w:bCs/>
                <w:sz w:val="18"/>
                <w:szCs w:val="22"/>
                <w:lang w:eastAsia="sk-SK"/>
              </w:rPr>
            </w:pPr>
            <w:r w:rsidRPr="0053555E">
              <w:rPr>
                <w:rFonts w:asciiTheme="majorHAnsi" w:hAnsiTheme="majorHAnsi" w:cstheme="majorHAnsi"/>
                <w:bCs/>
                <w:sz w:val="18"/>
                <w:szCs w:val="22"/>
                <w:lang w:eastAsia="sk-SK"/>
              </w:rPr>
              <w:t>Zamestnanci</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73152F9E" w14:textId="77777777" w:rsidR="00407C88" w:rsidRPr="0053555E" w:rsidRDefault="00407C88" w:rsidP="0039435F">
            <w:pPr>
              <w:tabs>
                <w:tab w:val="left" w:pos="9356"/>
              </w:tabs>
              <w:jc w:val="center"/>
              <w:rPr>
                <w:rFonts w:asciiTheme="majorHAnsi" w:hAnsiTheme="majorHAnsi" w:cstheme="majorHAnsi"/>
                <w:bCs/>
                <w:sz w:val="18"/>
                <w:szCs w:val="22"/>
                <w:lang w:eastAsia="sk-SK"/>
              </w:rPr>
            </w:pPr>
            <w:r w:rsidRPr="0053555E">
              <w:rPr>
                <w:rFonts w:asciiTheme="majorHAnsi" w:hAnsiTheme="majorHAnsi" w:cstheme="majorHAnsi"/>
                <w:bCs/>
                <w:sz w:val="18"/>
                <w:szCs w:val="22"/>
                <w:lang w:eastAsia="sk-SK"/>
              </w:rPr>
              <w:t>Cudzí</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ED0C28D" w14:textId="77777777" w:rsidR="00407C88" w:rsidRPr="0053555E" w:rsidRDefault="00407C88" w:rsidP="0039435F">
            <w:pPr>
              <w:tabs>
                <w:tab w:val="left" w:pos="9356"/>
              </w:tabs>
              <w:jc w:val="center"/>
              <w:rPr>
                <w:rFonts w:asciiTheme="majorHAnsi" w:hAnsiTheme="majorHAnsi" w:cstheme="majorHAnsi"/>
                <w:bCs/>
                <w:sz w:val="18"/>
                <w:szCs w:val="22"/>
                <w:lang w:eastAsia="sk-SK"/>
              </w:rPr>
            </w:pPr>
            <w:r w:rsidRPr="0053555E">
              <w:rPr>
                <w:rFonts w:asciiTheme="majorHAnsi" w:hAnsiTheme="majorHAnsi" w:cstheme="majorHAnsi"/>
                <w:bCs/>
                <w:sz w:val="18"/>
                <w:szCs w:val="22"/>
                <w:lang w:eastAsia="sk-SK"/>
              </w:rPr>
              <w:t>Spolu</w:t>
            </w:r>
          </w:p>
        </w:tc>
      </w:tr>
      <w:tr w:rsidR="003074FE" w:rsidRPr="0053555E" w14:paraId="38D50018" w14:textId="77777777" w:rsidTr="00FB4F0A">
        <w:trPr>
          <w:trHeight w:val="285"/>
        </w:trPr>
        <w:tc>
          <w:tcPr>
            <w:tcW w:w="1197" w:type="dxa"/>
            <w:tcBorders>
              <w:top w:val="nil"/>
              <w:left w:val="single" w:sz="4" w:space="0" w:color="auto"/>
              <w:bottom w:val="single" w:sz="4" w:space="0" w:color="auto"/>
              <w:right w:val="single" w:sz="12" w:space="0" w:color="auto"/>
            </w:tcBorders>
            <w:shd w:val="clear" w:color="auto" w:fill="FFFFFF"/>
            <w:noWrap/>
            <w:vAlign w:val="bottom"/>
            <w:hideMark/>
          </w:tcPr>
          <w:p w14:paraId="7DFD18D0" w14:textId="77777777" w:rsidR="003074FE" w:rsidRPr="0053555E" w:rsidRDefault="003074FE" w:rsidP="0039435F">
            <w:pPr>
              <w:tabs>
                <w:tab w:val="left" w:pos="9356"/>
              </w:tabs>
              <w:jc w:val="both"/>
              <w:rPr>
                <w:rFonts w:asciiTheme="majorHAnsi" w:hAnsiTheme="majorHAnsi" w:cstheme="majorHAnsi"/>
                <w:sz w:val="22"/>
                <w:szCs w:val="22"/>
                <w:lang w:eastAsia="sk-SK"/>
              </w:rPr>
            </w:pPr>
            <w:r w:rsidRPr="0053555E">
              <w:rPr>
                <w:rFonts w:asciiTheme="majorHAnsi" w:hAnsiTheme="majorHAnsi" w:cstheme="majorHAnsi"/>
                <w:sz w:val="22"/>
                <w:szCs w:val="22"/>
                <w:lang w:eastAsia="sk-SK"/>
              </w:rPr>
              <w:t>Stravovacie centrum</w:t>
            </w:r>
          </w:p>
        </w:tc>
        <w:tc>
          <w:tcPr>
            <w:tcW w:w="992"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71ADDDC5" w14:textId="6E39151A"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38 917</w:t>
            </w:r>
          </w:p>
        </w:tc>
        <w:tc>
          <w:tcPr>
            <w:tcW w:w="1135" w:type="dxa"/>
            <w:tcBorders>
              <w:top w:val="single" w:sz="4" w:space="0" w:color="auto"/>
              <w:left w:val="nil"/>
              <w:bottom w:val="single" w:sz="4" w:space="0" w:color="auto"/>
              <w:right w:val="single" w:sz="4" w:space="0" w:color="auto"/>
            </w:tcBorders>
            <w:noWrap/>
            <w:vAlign w:val="center"/>
            <w:hideMark/>
          </w:tcPr>
          <w:p w14:paraId="3621B24C" w14:textId="497D23F3"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24 335</w:t>
            </w:r>
          </w:p>
        </w:tc>
        <w:tc>
          <w:tcPr>
            <w:tcW w:w="849" w:type="dxa"/>
            <w:tcBorders>
              <w:top w:val="single" w:sz="4" w:space="0" w:color="auto"/>
              <w:left w:val="nil"/>
              <w:bottom w:val="single" w:sz="4" w:space="0" w:color="auto"/>
              <w:right w:val="single" w:sz="4" w:space="0" w:color="auto"/>
            </w:tcBorders>
            <w:noWrap/>
            <w:vAlign w:val="center"/>
            <w:hideMark/>
          </w:tcPr>
          <w:p w14:paraId="45C1DE75" w14:textId="7FC49874"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3 337</w:t>
            </w:r>
          </w:p>
        </w:tc>
        <w:tc>
          <w:tcPr>
            <w:tcW w:w="993" w:type="dxa"/>
            <w:tcBorders>
              <w:top w:val="single" w:sz="4" w:space="0" w:color="auto"/>
              <w:left w:val="nil"/>
              <w:bottom w:val="single" w:sz="4" w:space="0" w:color="auto"/>
              <w:right w:val="single" w:sz="12" w:space="0" w:color="auto"/>
            </w:tcBorders>
            <w:noWrap/>
            <w:vAlign w:val="center"/>
            <w:hideMark/>
          </w:tcPr>
          <w:p w14:paraId="398007F8" w14:textId="55B8CE56"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b/>
                <w:sz w:val="22"/>
                <w:szCs w:val="20"/>
                <w:lang w:val="en-US" w:eastAsia="sk-SK"/>
              </w:rPr>
              <w:t>66 589</w:t>
            </w:r>
          </w:p>
        </w:tc>
        <w:tc>
          <w:tcPr>
            <w:tcW w:w="992" w:type="dxa"/>
            <w:tcBorders>
              <w:top w:val="single" w:sz="4" w:space="0" w:color="auto"/>
              <w:left w:val="single" w:sz="12" w:space="0" w:color="auto"/>
              <w:bottom w:val="single" w:sz="4" w:space="0" w:color="auto"/>
              <w:right w:val="single" w:sz="4" w:space="0" w:color="auto"/>
            </w:tcBorders>
            <w:noWrap/>
            <w:vAlign w:val="center"/>
            <w:hideMark/>
          </w:tcPr>
          <w:p w14:paraId="7FBE8A49" w14:textId="3902D7A2"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166 504</w:t>
            </w:r>
          </w:p>
        </w:tc>
        <w:tc>
          <w:tcPr>
            <w:tcW w:w="1135" w:type="dxa"/>
            <w:tcBorders>
              <w:top w:val="single" w:sz="4" w:space="0" w:color="auto"/>
              <w:left w:val="nil"/>
              <w:bottom w:val="single" w:sz="4" w:space="0" w:color="auto"/>
              <w:right w:val="single" w:sz="4" w:space="0" w:color="auto"/>
            </w:tcBorders>
            <w:noWrap/>
            <w:vAlign w:val="center"/>
            <w:hideMark/>
          </w:tcPr>
          <w:p w14:paraId="4BCC0084" w14:textId="3E992FA3"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57 993</w:t>
            </w:r>
          </w:p>
        </w:tc>
        <w:tc>
          <w:tcPr>
            <w:tcW w:w="849" w:type="dxa"/>
            <w:tcBorders>
              <w:top w:val="single" w:sz="4" w:space="0" w:color="auto"/>
              <w:left w:val="nil"/>
              <w:bottom w:val="single" w:sz="4" w:space="0" w:color="auto"/>
              <w:right w:val="single" w:sz="4" w:space="0" w:color="auto"/>
            </w:tcBorders>
            <w:noWrap/>
            <w:vAlign w:val="center"/>
            <w:hideMark/>
          </w:tcPr>
          <w:p w14:paraId="6C3C944D" w14:textId="502DB079"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9 035</w:t>
            </w:r>
          </w:p>
        </w:tc>
        <w:tc>
          <w:tcPr>
            <w:tcW w:w="993" w:type="dxa"/>
            <w:tcBorders>
              <w:top w:val="single" w:sz="4" w:space="0" w:color="auto"/>
              <w:left w:val="nil"/>
              <w:bottom w:val="single" w:sz="4" w:space="0" w:color="auto"/>
              <w:right w:val="single" w:sz="4" w:space="0" w:color="auto"/>
            </w:tcBorders>
            <w:noWrap/>
            <w:vAlign w:val="center"/>
            <w:hideMark/>
          </w:tcPr>
          <w:p w14:paraId="6B1251B2" w14:textId="0C3EB124"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233 532</w:t>
            </w:r>
          </w:p>
        </w:tc>
      </w:tr>
      <w:tr w:rsidR="003074FE" w:rsidRPr="0053555E" w14:paraId="7844D340" w14:textId="77777777" w:rsidTr="00FB4F0A">
        <w:trPr>
          <w:trHeight w:val="285"/>
        </w:trPr>
        <w:tc>
          <w:tcPr>
            <w:tcW w:w="1197" w:type="dxa"/>
            <w:tcBorders>
              <w:top w:val="single" w:sz="4" w:space="0" w:color="auto"/>
              <w:left w:val="single" w:sz="4" w:space="0" w:color="auto"/>
              <w:bottom w:val="single" w:sz="4" w:space="0" w:color="auto"/>
              <w:right w:val="single" w:sz="12" w:space="0" w:color="auto"/>
            </w:tcBorders>
            <w:shd w:val="clear" w:color="auto" w:fill="FFFFFF"/>
            <w:noWrap/>
            <w:vAlign w:val="bottom"/>
            <w:hideMark/>
          </w:tcPr>
          <w:p w14:paraId="5E7157E2" w14:textId="77777777" w:rsidR="003074FE" w:rsidRPr="0053555E" w:rsidRDefault="003074FE" w:rsidP="0039435F">
            <w:pPr>
              <w:tabs>
                <w:tab w:val="left" w:pos="9356"/>
              </w:tabs>
              <w:jc w:val="both"/>
              <w:rPr>
                <w:rFonts w:asciiTheme="majorHAnsi" w:hAnsiTheme="majorHAnsi" w:cstheme="majorHAnsi"/>
                <w:sz w:val="22"/>
                <w:szCs w:val="22"/>
                <w:lang w:eastAsia="sk-SK"/>
              </w:rPr>
            </w:pPr>
            <w:r w:rsidRPr="0053555E">
              <w:rPr>
                <w:rFonts w:asciiTheme="majorHAnsi" w:hAnsiTheme="majorHAnsi" w:cstheme="majorHAnsi"/>
                <w:sz w:val="22"/>
                <w:szCs w:val="22"/>
                <w:lang w:eastAsia="sk-SK"/>
              </w:rPr>
              <w:t>FEI</w:t>
            </w:r>
          </w:p>
        </w:tc>
        <w:tc>
          <w:tcPr>
            <w:tcW w:w="992" w:type="dxa"/>
            <w:tcBorders>
              <w:top w:val="single" w:sz="4" w:space="0" w:color="auto"/>
              <w:left w:val="single" w:sz="12" w:space="0" w:color="auto"/>
              <w:bottom w:val="single" w:sz="4" w:space="0" w:color="auto"/>
              <w:right w:val="single" w:sz="4" w:space="0" w:color="auto"/>
            </w:tcBorders>
            <w:noWrap/>
            <w:vAlign w:val="center"/>
            <w:hideMark/>
          </w:tcPr>
          <w:p w14:paraId="3D4557A9" w14:textId="14A97015"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852</w:t>
            </w:r>
          </w:p>
        </w:tc>
        <w:tc>
          <w:tcPr>
            <w:tcW w:w="1135" w:type="dxa"/>
            <w:tcBorders>
              <w:top w:val="nil"/>
              <w:left w:val="nil"/>
              <w:bottom w:val="single" w:sz="4" w:space="0" w:color="auto"/>
              <w:right w:val="single" w:sz="4" w:space="0" w:color="auto"/>
            </w:tcBorders>
            <w:noWrap/>
            <w:vAlign w:val="center"/>
            <w:hideMark/>
          </w:tcPr>
          <w:p w14:paraId="2840D114" w14:textId="29BC0E40"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color w:val="000000" w:themeColor="text1"/>
                <w:sz w:val="22"/>
                <w:szCs w:val="20"/>
                <w:lang w:val="en-US" w:eastAsia="sk-SK"/>
              </w:rPr>
              <w:t>9 533</w:t>
            </w:r>
          </w:p>
        </w:tc>
        <w:tc>
          <w:tcPr>
            <w:tcW w:w="849" w:type="dxa"/>
            <w:tcBorders>
              <w:top w:val="nil"/>
              <w:left w:val="nil"/>
              <w:bottom w:val="single" w:sz="4" w:space="0" w:color="auto"/>
              <w:right w:val="single" w:sz="4" w:space="0" w:color="auto"/>
            </w:tcBorders>
            <w:noWrap/>
            <w:vAlign w:val="center"/>
            <w:hideMark/>
          </w:tcPr>
          <w:p w14:paraId="59A1A835" w14:textId="529E7EAD"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color w:val="000000" w:themeColor="text1"/>
                <w:sz w:val="22"/>
                <w:szCs w:val="20"/>
                <w:lang w:val="en-US" w:eastAsia="sk-SK"/>
              </w:rPr>
              <w:t>0</w:t>
            </w:r>
          </w:p>
        </w:tc>
        <w:tc>
          <w:tcPr>
            <w:tcW w:w="993" w:type="dxa"/>
            <w:tcBorders>
              <w:top w:val="nil"/>
              <w:left w:val="nil"/>
              <w:bottom w:val="single" w:sz="4" w:space="0" w:color="auto"/>
              <w:right w:val="single" w:sz="12" w:space="0" w:color="auto"/>
            </w:tcBorders>
            <w:noWrap/>
            <w:vAlign w:val="center"/>
            <w:hideMark/>
          </w:tcPr>
          <w:p w14:paraId="29BEDF15" w14:textId="1D03EE84"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b/>
                <w:color w:val="000000" w:themeColor="text1"/>
                <w:sz w:val="22"/>
                <w:szCs w:val="20"/>
                <w:lang w:val="en-US" w:eastAsia="sk-SK"/>
              </w:rPr>
              <w:t>10 385</w:t>
            </w:r>
          </w:p>
        </w:tc>
        <w:tc>
          <w:tcPr>
            <w:tcW w:w="992" w:type="dxa"/>
            <w:tcBorders>
              <w:top w:val="nil"/>
              <w:left w:val="single" w:sz="12" w:space="0" w:color="auto"/>
              <w:bottom w:val="single" w:sz="4" w:space="0" w:color="auto"/>
              <w:right w:val="single" w:sz="4" w:space="0" w:color="auto"/>
            </w:tcBorders>
            <w:noWrap/>
            <w:vAlign w:val="center"/>
            <w:hideMark/>
          </w:tcPr>
          <w:p w14:paraId="1A80FCB3" w14:textId="0D39499F"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2 861</w:t>
            </w:r>
          </w:p>
        </w:tc>
        <w:tc>
          <w:tcPr>
            <w:tcW w:w="1135" w:type="dxa"/>
            <w:tcBorders>
              <w:top w:val="nil"/>
              <w:left w:val="nil"/>
              <w:bottom w:val="single" w:sz="4" w:space="0" w:color="auto"/>
              <w:right w:val="single" w:sz="4" w:space="0" w:color="auto"/>
            </w:tcBorders>
            <w:noWrap/>
            <w:vAlign w:val="center"/>
            <w:hideMark/>
          </w:tcPr>
          <w:p w14:paraId="616B3139" w14:textId="08D99F9A"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11 853</w:t>
            </w:r>
          </w:p>
        </w:tc>
        <w:tc>
          <w:tcPr>
            <w:tcW w:w="849" w:type="dxa"/>
            <w:tcBorders>
              <w:top w:val="nil"/>
              <w:left w:val="nil"/>
              <w:bottom w:val="single" w:sz="4" w:space="0" w:color="auto"/>
              <w:right w:val="single" w:sz="4" w:space="0" w:color="auto"/>
            </w:tcBorders>
            <w:noWrap/>
            <w:vAlign w:val="center"/>
            <w:hideMark/>
          </w:tcPr>
          <w:p w14:paraId="684C3B82" w14:textId="03FE4D63"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0</w:t>
            </w:r>
          </w:p>
        </w:tc>
        <w:tc>
          <w:tcPr>
            <w:tcW w:w="993" w:type="dxa"/>
            <w:tcBorders>
              <w:top w:val="nil"/>
              <w:left w:val="nil"/>
              <w:bottom w:val="single" w:sz="4" w:space="0" w:color="auto"/>
              <w:right w:val="single" w:sz="4" w:space="0" w:color="auto"/>
            </w:tcBorders>
            <w:noWrap/>
            <w:vAlign w:val="center"/>
            <w:hideMark/>
          </w:tcPr>
          <w:p w14:paraId="4F93E855" w14:textId="5D2EEF49"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14 714</w:t>
            </w:r>
          </w:p>
        </w:tc>
      </w:tr>
      <w:tr w:rsidR="003074FE" w:rsidRPr="0053555E" w14:paraId="0D79AEE8" w14:textId="77777777" w:rsidTr="00FB4F0A">
        <w:trPr>
          <w:trHeight w:val="285"/>
        </w:trPr>
        <w:tc>
          <w:tcPr>
            <w:tcW w:w="1197" w:type="dxa"/>
            <w:tcBorders>
              <w:top w:val="single" w:sz="4" w:space="0" w:color="auto"/>
              <w:left w:val="single" w:sz="4" w:space="0" w:color="auto"/>
              <w:bottom w:val="single" w:sz="4" w:space="0" w:color="auto"/>
              <w:right w:val="single" w:sz="12" w:space="0" w:color="auto"/>
            </w:tcBorders>
            <w:shd w:val="clear" w:color="auto" w:fill="FFFFFF"/>
            <w:noWrap/>
            <w:vAlign w:val="bottom"/>
            <w:hideMark/>
          </w:tcPr>
          <w:p w14:paraId="03693E4E" w14:textId="77777777" w:rsidR="003074FE" w:rsidRPr="0053555E" w:rsidRDefault="003074FE" w:rsidP="0039435F">
            <w:pPr>
              <w:tabs>
                <w:tab w:val="left" w:pos="9356"/>
              </w:tabs>
              <w:jc w:val="both"/>
              <w:rPr>
                <w:rFonts w:asciiTheme="majorHAnsi" w:hAnsiTheme="majorHAnsi" w:cstheme="majorHAnsi"/>
                <w:sz w:val="22"/>
                <w:szCs w:val="22"/>
                <w:lang w:eastAsia="sk-SK"/>
              </w:rPr>
            </w:pPr>
            <w:r w:rsidRPr="0053555E">
              <w:rPr>
                <w:rFonts w:asciiTheme="majorHAnsi" w:hAnsiTheme="majorHAnsi" w:cstheme="majorHAnsi"/>
                <w:sz w:val="22"/>
                <w:szCs w:val="22"/>
                <w:lang w:eastAsia="sk-SK"/>
              </w:rPr>
              <w:t>FCHPT</w:t>
            </w:r>
          </w:p>
        </w:tc>
        <w:tc>
          <w:tcPr>
            <w:tcW w:w="992" w:type="dxa"/>
            <w:tcBorders>
              <w:top w:val="single" w:sz="4" w:space="0" w:color="auto"/>
              <w:left w:val="single" w:sz="12" w:space="0" w:color="auto"/>
              <w:bottom w:val="single" w:sz="4" w:space="0" w:color="auto"/>
              <w:right w:val="single" w:sz="4" w:space="0" w:color="auto"/>
            </w:tcBorders>
            <w:noWrap/>
            <w:vAlign w:val="center"/>
            <w:hideMark/>
          </w:tcPr>
          <w:p w14:paraId="7787FA25" w14:textId="1C6C3F92"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6 798</w:t>
            </w:r>
          </w:p>
        </w:tc>
        <w:tc>
          <w:tcPr>
            <w:tcW w:w="1135" w:type="dxa"/>
            <w:tcBorders>
              <w:top w:val="nil"/>
              <w:left w:val="nil"/>
              <w:bottom w:val="single" w:sz="4" w:space="0" w:color="auto"/>
              <w:right w:val="single" w:sz="4" w:space="0" w:color="auto"/>
            </w:tcBorders>
            <w:noWrap/>
            <w:vAlign w:val="center"/>
            <w:hideMark/>
          </w:tcPr>
          <w:p w14:paraId="3694460B" w14:textId="567C055D"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29 161</w:t>
            </w:r>
          </w:p>
        </w:tc>
        <w:tc>
          <w:tcPr>
            <w:tcW w:w="849" w:type="dxa"/>
            <w:tcBorders>
              <w:top w:val="nil"/>
              <w:left w:val="nil"/>
              <w:bottom w:val="single" w:sz="4" w:space="0" w:color="auto"/>
              <w:right w:val="single" w:sz="4" w:space="0" w:color="auto"/>
            </w:tcBorders>
            <w:noWrap/>
            <w:vAlign w:val="center"/>
            <w:hideMark/>
          </w:tcPr>
          <w:p w14:paraId="714FDD59" w14:textId="2192A91B"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1</w:t>
            </w:r>
          </w:p>
        </w:tc>
        <w:tc>
          <w:tcPr>
            <w:tcW w:w="993" w:type="dxa"/>
            <w:tcBorders>
              <w:top w:val="nil"/>
              <w:left w:val="nil"/>
              <w:bottom w:val="single" w:sz="4" w:space="0" w:color="auto"/>
              <w:right w:val="single" w:sz="12" w:space="0" w:color="auto"/>
            </w:tcBorders>
            <w:noWrap/>
            <w:vAlign w:val="center"/>
            <w:hideMark/>
          </w:tcPr>
          <w:p w14:paraId="1FEB98DE" w14:textId="2B1320E9" w:rsidR="003074FE" w:rsidRPr="0053555E" w:rsidRDefault="003074FE" w:rsidP="0039435F">
            <w:pPr>
              <w:jc w:val="center"/>
              <w:rPr>
                <w:rFonts w:asciiTheme="majorHAnsi" w:hAnsiTheme="majorHAnsi" w:cstheme="majorHAnsi"/>
                <w:sz w:val="22"/>
                <w:szCs w:val="20"/>
                <w:vertAlign w:val="superscript"/>
                <w:lang w:eastAsia="sk-SK"/>
              </w:rPr>
            </w:pPr>
            <w:r>
              <w:rPr>
                <w:rFonts w:asciiTheme="majorHAnsi" w:hAnsiTheme="majorHAnsi" w:cstheme="majorHAnsi"/>
                <w:b/>
                <w:sz w:val="22"/>
                <w:szCs w:val="20"/>
                <w:lang w:val="en-US" w:eastAsia="sk-SK"/>
              </w:rPr>
              <w:t>35 960</w:t>
            </w:r>
          </w:p>
        </w:tc>
        <w:tc>
          <w:tcPr>
            <w:tcW w:w="992" w:type="dxa"/>
            <w:tcBorders>
              <w:top w:val="nil"/>
              <w:left w:val="single" w:sz="12" w:space="0" w:color="auto"/>
              <w:bottom w:val="single" w:sz="4" w:space="0" w:color="auto"/>
              <w:right w:val="single" w:sz="4" w:space="0" w:color="auto"/>
            </w:tcBorders>
            <w:noWrap/>
            <w:vAlign w:val="center"/>
            <w:hideMark/>
          </w:tcPr>
          <w:p w14:paraId="2C54481A" w14:textId="61A90C90"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6 875</w:t>
            </w:r>
          </w:p>
        </w:tc>
        <w:tc>
          <w:tcPr>
            <w:tcW w:w="1135" w:type="dxa"/>
            <w:tcBorders>
              <w:top w:val="nil"/>
              <w:left w:val="nil"/>
              <w:bottom w:val="single" w:sz="4" w:space="0" w:color="auto"/>
              <w:right w:val="single" w:sz="4" w:space="0" w:color="auto"/>
            </w:tcBorders>
            <w:noWrap/>
            <w:vAlign w:val="center"/>
            <w:hideMark/>
          </w:tcPr>
          <w:p w14:paraId="385EE3EA" w14:textId="072AD60B"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34 949</w:t>
            </w:r>
          </w:p>
        </w:tc>
        <w:tc>
          <w:tcPr>
            <w:tcW w:w="849" w:type="dxa"/>
            <w:tcBorders>
              <w:top w:val="nil"/>
              <w:left w:val="nil"/>
              <w:bottom w:val="single" w:sz="4" w:space="0" w:color="auto"/>
              <w:right w:val="single" w:sz="4" w:space="0" w:color="auto"/>
            </w:tcBorders>
            <w:noWrap/>
            <w:vAlign w:val="center"/>
            <w:hideMark/>
          </w:tcPr>
          <w:p w14:paraId="2B5A5303" w14:textId="7CE5FAB6"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50</w:t>
            </w:r>
          </w:p>
        </w:tc>
        <w:tc>
          <w:tcPr>
            <w:tcW w:w="993" w:type="dxa"/>
            <w:tcBorders>
              <w:top w:val="nil"/>
              <w:left w:val="nil"/>
              <w:bottom w:val="single" w:sz="4" w:space="0" w:color="auto"/>
              <w:right w:val="single" w:sz="4" w:space="0" w:color="auto"/>
            </w:tcBorders>
            <w:noWrap/>
            <w:vAlign w:val="center"/>
            <w:hideMark/>
          </w:tcPr>
          <w:p w14:paraId="432F6D1C" w14:textId="50117844"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41 874</w:t>
            </w:r>
          </w:p>
        </w:tc>
      </w:tr>
      <w:tr w:rsidR="003074FE" w:rsidRPr="0053555E" w14:paraId="7F6A9A30" w14:textId="77777777" w:rsidTr="00FB4F0A">
        <w:trPr>
          <w:trHeight w:val="285"/>
        </w:trPr>
        <w:tc>
          <w:tcPr>
            <w:tcW w:w="1197" w:type="dxa"/>
            <w:tcBorders>
              <w:top w:val="single" w:sz="4" w:space="0" w:color="auto"/>
              <w:left w:val="single" w:sz="4" w:space="0" w:color="auto"/>
              <w:bottom w:val="single" w:sz="4" w:space="0" w:color="auto"/>
              <w:right w:val="single" w:sz="12" w:space="0" w:color="auto"/>
            </w:tcBorders>
            <w:shd w:val="clear" w:color="auto" w:fill="FFFFFF"/>
            <w:noWrap/>
            <w:vAlign w:val="bottom"/>
            <w:hideMark/>
          </w:tcPr>
          <w:p w14:paraId="1037A4B2" w14:textId="77777777" w:rsidR="003074FE" w:rsidRPr="0053555E" w:rsidRDefault="003074FE" w:rsidP="0039435F">
            <w:pPr>
              <w:tabs>
                <w:tab w:val="left" w:pos="9356"/>
              </w:tabs>
              <w:jc w:val="both"/>
              <w:rPr>
                <w:rFonts w:asciiTheme="majorHAnsi" w:hAnsiTheme="majorHAnsi" w:cstheme="majorHAnsi"/>
                <w:sz w:val="22"/>
                <w:szCs w:val="22"/>
                <w:lang w:eastAsia="sk-SK"/>
              </w:rPr>
            </w:pPr>
            <w:r w:rsidRPr="0053555E">
              <w:rPr>
                <w:rFonts w:asciiTheme="majorHAnsi" w:hAnsiTheme="majorHAnsi" w:cstheme="majorHAnsi"/>
                <w:sz w:val="22"/>
                <w:szCs w:val="22"/>
                <w:lang w:eastAsia="sk-SK"/>
              </w:rPr>
              <w:t>FIIT</w:t>
            </w:r>
          </w:p>
        </w:tc>
        <w:tc>
          <w:tcPr>
            <w:tcW w:w="992" w:type="dxa"/>
            <w:tcBorders>
              <w:top w:val="single" w:sz="4" w:space="0" w:color="auto"/>
              <w:left w:val="single" w:sz="12" w:space="0" w:color="auto"/>
              <w:bottom w:val="single" w:sz="4" w:space="0" w:color="auto"/>
              <w:right w:val="single" w:sz="4" w:space="0" w:color="auto"/>
            </w:tcBorders>
            <w:noWrap/>
            <w:vAlign w:val="center"/>
            <w:hideMark/>
          </w:tcPr>
          <w:p w14:paraId="41B5ECCC" w14:textId="27713582"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1 439</w:t>
            </w:r>
          </w:p>
        </w:tc>
        <w:tc>
          <w:tcPr>
            <w:tcW w:w="1135" w:type="dxa"/>
            <w:tcBorders>
              <w:top w:val="nil"/>
              <w:left w:val="nil"/>
              <w:bottom w:val="single" w:sz="4" w:space="0" w:color="auto"/>
              <w:right w:val="single" w:sz="4" w:space="0" w:color="auto"/>
            </w:tcBorders>
            <w:noWrap/>
            <w:vAlign w:val="center"/>
            <w:hideMark/>
          </w:tcPr>
          <w:p w14:paraId="7B4A276C" w14:textId="57C94EDB"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4 391</w:t>
            </w:r>
          </w:p>
        </w:tc>
        <w:tc>
          <w:tcPr>
            <w:tcW w:w="849" w:type="dxa"/>
            <w:tcBorders>
              <w:top w:val="nil"/>
              <w:left w:val="nil"/>
              <w:bottom w:val="single" w:sz="4" w:space="0" w:color="auto"/>
              <w:right w:val="single" w:sz="4" w:space="0" w:color="auto"/>
            </w:tcBorders>
            <w:noWrap/>
            <w:vAlign w:val="center"/>
            <w:hideMark/>
          </w:tcPr>
          <w:p w14:paraId="66D747DA" w14:textId="04346421"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color w:val="000000" w:themeColor="text1"/>
                <w:sz w:val="22"/>
                <w:szCs w:val="20"/>
                <w:lang w:val="en-US" w:eastAsia="sk-SK"/>
              </w:rPr>
              <w:t>0</w:t>
            </w:r>
          </w:p>
        </w:tc>
        <w:tc>
          <w:tcPr>
            <w:tcW w:w="993" w:type="dxa"/>
            <w:tcBorders>
              <w:top w:val="nil"/>
              <w:left w:val="nil"/>
              <w:bottom w:val="single" w:sz="4" w:space="0" w:color="auto"/>
              <w:right w:val="single" w:sz="12" w:space="0" w:color="auto"/>
            </w:tcBorders>
            <w:noWrap/>
            <w:vAlign w:val="center"/>
            <w:hideMark/>
          </w:tcPr>
          <w:p w14:paraId="6BEC6C81" w14:textId="26B6F37F" w:rsidR="003074FE" w:rsidRPr="0053555E" w:rsidRDefault="003074FE" w:rsidP="0039435F">
            <w:pPr>
              <w:jc w:val="center"/>
              <w:rPr>
                <w:rFonts w:asciiTheme="majorHAnsi" w:hAnsiTheme="majorHAnsi" w:cstheme="majorHAnsi"/>
                <w:sz w:val="22"/>
                <w:szCs w:val="20"/>
                <w:vertAlign w:val="superscript"/>
                <w:lang w:eastAsia="sk-SK"/>
              </w:rPr>
            </w:pPr>
            <w:r>
              <w:rPr>
                <w:rFonts w:asciiTheme="majorHAnsi" w:hAnsiTheme="majorHAnsi" w:cstheme="majorHAnsi"/>
                <w:b/>
                <w:sz w:val="22"/>
                <w:szCs w:val="20"/>
                <w:lang w:val="en-US" w:eastAsia="sk-SK"/>
              </w:rPr>
              <w:t>5 830</w:t>
            </w:r>
          </w:p>
        </w:tc>
        <w:tc>
          <w:tcPr>
            <w:tcW w:w="992" w:type="dxa"/>
            <w:tcBorders>
              <w:top w:val="nil"/>
              <w:left w:val="single" w:sz="12" w:space="0" w:color="auto"/>
              <w:bottom w:val="single" w:sz="4" w:space="0" w:color="auto"/>
              <w:right w:val="single" w:sz="4" w:space="0" w:color="auto"/>
            </w:tcBorders>
            <w:noWrap/>
            <w:vAlign w:val="center"/>
            <w:hideMark/>
          </w:tcPr>
          <w:p w14:paraId="680B89CC" w14:textId="7541701A"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16 309</w:t>
            </w:r>
          </w:p>
        </w:tc>
        <w:tc>
          <w:tcPr>
            <w:tcW w:w="1135" w:type="dxa"/>
            <w:tcBorders>
              <w:top w:val="nil"/>
              <w:left w:val="nil"/>
              <w:bottom w:val="single" w:sz="4" w:space="0" w:color="auto"/>
              <w:right w:val="single" w:sz="4" w:space="0" w:color="auto"/>
            </w:tcBorders>
            <w:noWrap/>
            <w:vAlign w:val="center"/>
            <w:hideMark/>
          </w:tcPr>
          <w:p w14:paraId="1DB2378B" w14:textId="606C4917"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11 485</w:t>
            </w:r>
          </w:p>
        </w:tc>
        <w:tc>
          <w:tcPr>
            <w:tcW w:w="849" w:type="dxa"/>
            <w:tcBorders>
              <w:top w:val="nil"/>
              <w:left w:val="nil"/>
              <w:bottom w:val="single" w:sz="4" w:space="0" w:color="auto"/>
              <w:right w:val="single" w:sz="4" w:space="0" w:color="auto"/>
            </w:tcBorders>
            <w:noWrap/>
            <w:vAlign w:val="center"/>
            <w:hideMark/>
          </w:tcPr>
          <w:p w14:paraId="5909A091" w14:textId="7B40452A"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0</w:t>
            </w:r>
          </w:p>
        </w:tc>
        <w:tc>
          <w:tcPr>
            <w:tcW w:w="993" w:type="dxa"/>
            <w:tcBorders>
              <w:top w:val="nil"/>
              <w:left w:val="nil"/>
              <w:bottom w:val="single" w:sz="4" w:space="0" w:color="auto"/>
              <w:right w:val="single" w:sz="4" w:space="0" w:color="auto"/>
            </w:tcBorders>
            <w:noWrap/>
            <w:vAlign w:val="center"/>
            <w:hideMark/>
          </w:tcPr>
          <w:p w14:paraId="6161C90B" w14:textId="038FB6B0"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27 794</w:t>
            </w:r>
          </w:p>
        </w:tc>
      </w:tr>
      <w:tr w:rsidR="003074FE" w:rsidRPr="0053555E" w14:paraId="5101E528" w14:textId="77777777" w:rsidTr="00FB4F0A">
        <w:trPr>
          <w:trHeight w:val="285"/>
        </w:trPr>
        <w:tc>
          <w:tcPr>
            <w:tcW w:w="1197" w:type="dxa"/>
            <w:tcBorders>
              <w:top w:val="single" w:sz="4" w:space="0" w:color="auto"/>
              <w:left w:val="single" w:sz="4" w:space="0" w:color="auto"/>
              <w:bottom w:val="nil"/>
              <w:right w:val="single" w:sz="12" w:space="0" w:color="auto"/>
            </w:tcBorders>
            <w:shd w:val="clear" w:color="auto" w:fill="FFFFFF"/>
            <w:noWrap/>
            <w:vAlign w:val="bottom"/>
            <w:hideMark/>
          </w:tcPr>
          <w:p w14:paraId="37AA128F" w14:textId="77777777" w:rsidR="003074FE" w:rsidRPr="0053555E" w:rsidRDefault="003074FE" w:rsidP="0039435F">
            <w:pPr>
              <w:tabs>
                <w:tab w:val="left" w:pos="9356"/>
              </w:tabs>
              <w:jc w:val="both"/>
              <w:rPr>
                <w:rFonts w:asciiTheme="majorHAnsi" w:hAnsiTheme="majorHAnsi" w:cstheme="majorHAnsi"/>
                <w:sz w:val="22"/>
                <w:szCs w:val="22"/>
                <w:lang w:eastAsia="sk-SK"/>
              </w:rPr>
            </w:pPr>
            <w:r w:rsidRPr="0053555E">
              <w:rPr>
                <w:rFonts w:asciiTheme="majorHAnsi" w:hAnsiTheme="majorHAnsi" w:cstheme="majorHAnsi"/>
                <w:sz w:val="22"/>
                <w:szCs w:val="22"/>
                <w:lang w:eastAsia="sk-SK"/>
              </w:rPr>
              <w:t>MTF</w:t>
            </w:r>
          </w:p>
        </w:tc>
        <w:tc>
          <w:tcPr>
            <w:tcW w:w="992" w:type="dxa"/>
            <w:tcBorders>
              <w:top w:val="single" w:sz="4" w:space="0" w:color="auto"/>
              <w:left w:val="single" w:sz="12" w:space="0" w:color="auto"/>
              <w:bottom w:val="nil"/>
              <w:right w:val="single" w:sz="4" w:space="0" w:color="auto"/>
            </w:tcBorders>
            <w:noWrap/>
            <w:vAlign w:val="center"/>
            <w:hideMark/>
          </w:tcPr>
          <w:p w14:paraId="1296B9D0" w14:textId="6AA3B680"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color w:val="000000" w:themeColor="text1"/>
                <w:sz w:val="22"/>
                <w:szCs w:val="20"/>
                <w:lang w:val="en-US" w:eastAsia="sk-SK"/>
              </w:rPr>
              <w:t>9 073</w:t>
            </w:r>
          </w:p>
        </w:tc>
        <w:tc>
          <w:tcPr>
            <w:tcW w:w="1135" w:type="dxa"/>
            <w:tcBorders>
              <w:top w:val="single" w:sz="4" w:space="0" w:color="auto"/>
              <w:left w:val="nil"/>
              <w:bottom w:val="nil"/>
              <w:right w:val="single" w:sz="4" w:space="0" w:color="auto"/>
            </w:tcBorders>
            <w:noWrap/>
            <w:vAlign w:val="center"/>
            <w:hideMark/>
          </w:tcPr>
          <w:p w14:paraId="3B632D71" w14:textId="1E4F6A2B"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color w:val="000000" w:themeColor="text1"/>
                <w:sz w:val="22"/>
                <w:szCs w:val="20"/>
                <w:lang w:val="en-US" w:eastAsia="sk-SK"/>
              </w:rPr>
              <w:t>15 987</w:t>
            </w:r>
          </w:p>
        </w:tc>
        <w:tc>
          <w:tcPr>
            <w:tcW w:w="849" w:type="dxa"/>
            <w:tcBorders>
              <w:top w:val="single" w:sz="4" w:space="0" w:color="auto"/>
              <w:left w:val="nil"/>
              <w:bottom w:val="nil"/>
              <w:right w:val="single" w:sz="4" w:space="0" w:color="auto"/>
            </w:tcBorders>
            <w:noWrap/>
            <w:vAlign w:val="center"/>
            <w:hideMark/>
          </w:tcPr>
          <w:p w14:paraId="66D30976" w14:textId="4F60D640"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color w:val="000000" w:themeColor="text1"/>
                <w:sz w:val="22"/>
                <w:szCs w:val="20"/>
                <w:lang w:val="en-US" w:eastAsia="sk-SK"/>
              </w:rPr>
              <w:t>848</w:t>
            </w:r>
          </w:p>
        </w:tc>
        <w:tc>
          <w:tcPr>
            <w:tcW w:w="993" w:type="dxa"/>
            <w:tcBorders>
              <w:top w:val="nil"/>
              <w:left w:val="nil"/>
              <w:bottom w:val="nil"/>
              <w:right w:val="single" w:sz="12" w:space="0" w:color="auto"/>
            </w:tcBorders>
            <w:noWrap/>
            <w:vAlign w:val="center"/>
            <w:hideMark/>
          </w:tcPr>
          <w:p w14:paraId="491EE3A9" w14:textId="4111E1E4"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b/>
                <w:color w:val="000000" w:themeColor="text1"/>
                <w:sz w:val="22"/>
                <w:szCs w:val="20"/>
                <w:lang w:val="en-US" w:eastAsia="sk-SK"/>
              </w:rPr>
              <w:t>25 908</w:t>
            </w:r>
          </w:p>
        </w:tc>
        <w:tc>
          <w:tcPr>
            <w:tcW w:w="992" w:type="dxa"/>
            <w:tcBorders>
              <w:top w:val="nil"/>
              <w:left w:val="single" w:sz="12" w:space="0" w:color="auto"/>
              <w:bottom w:val="nil"/>
              <w:right w:val="single" w:sz="4" w:space="0" w:color="auto"/>
            </w:tcBorders>
            <w:noWrap/>
            <w:vAlign w:val="center"/>
            <w:hideMark/>
          </w:tcPr>
          <w:p w14:paraId="4110A489" w14:textId="1F0ACE05"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22 445</w:t>
            </w:r>
          </w:p>
        </w:tc>
        <w:tc>
          <w:tcPr>
            <w:tcW w:w="1135" w:type="dxa"/>
            <w:tcBorders>
              <w:top w:val="nil"/>
              <w:left w:val="nil"/>
              <w:bottom w:val="nil"/>
              <w:right w:val="single" w:sz="4" w:space="0" w:color="auto"/>
            </w:tcBorders>
            <w:noWrap/>
            <w:vAlign w:val="center"/>
            <w:hideMark/>
          </w:tcPr>
          <w:p w14:paraId="3684E2F4" w14:textId="7B987D27"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22 584</w:t>
            </w:r>
          </w:p>
        </w:tc>
        <w:tc>
          <w:tcPr>
            <w:tcW w:w="849" w:type="dxa"/>
            <w:tcBorders>
              <w:top w:val="nil"/>
              <w:left w:val="nil"/>
              <w:bottom w:val="nil"/>
              <w:right w:val="single" w:sz="4" w:space="0" w:color="auto"/>
            </w:tcBorders>
            <w:noWrap/>
            <w:vAlign w:val="center"/>
            <w:hideMark/>
          </w:tcPr>
          <w:p w14:paraId="2303738C" w14:textId="1F852592"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425</w:t>
            </w:r>
          </w:p>
        </w:tc>
        <w:tc>
          <w:tcPr>
            <w:tcW w:w="993" w:type="dxa"/>
            <w:tcBorders>
              <w:top w:val="nil"/>
              <w:left w:val="nil"/>
              <w:bottom w:val="nil"/>
              <w:right w:val="single" w:sz="4" w:space="0" w:color="auto"/>
            </w:tcBorders>
            <w:noWrap/>
            <w:vAlign w:val="center"/>
            <w:hideMark/>
          </w:tcPr>
          <w:p w14:paraId="56749195" w14:textId="420FED45" w:rsidR="003074FE" w:rsidRPr="0053555E" w:rsidRDefault="003074FE" w:rsidP="0039435F">
            <w:pPr>
              <w:jc w:val="center"/>
              <w:rPr>
                <w:rFonts w:asciiTheme="majorHAnsi" w:hAnsiTheme="majorHAnsi" w:cstheme="majorHAnsi"/>
                <w:sz w:val="22"/>
                <w:szCs w:val="20"/>
                <w:lang w:eastAsia="sk-SK"/>
              </w:rPr>
            </w:pPr>
            <w:r>
              <w:rPr>
                <w:rFonts w:asciiTheme="majorHAnsi" w:hAnsiTheme="majorHAnsi" w:cstheme="majorHAnsi"/>
                <w:sz w:val="22"/>
                <w:szCs w:val="20"/>
                <w:lang w:val="en-US" w:eastAsia="sk-SK"/>
              </w:rPr>
              <w:t>45 454</w:t>
            </w:r>
          </w:p>
        </w:tc>
      </w:tr>
      <w:tr w:rsidR="003074FE" w:rsidRPr="00A80E7C" w14:paraId="7B131B97" w14:textId="77777777" w:rsidTr="00FB4F0A">
        <w:trPr>
          <w:trHeight w:val="261"/>
        </w:trPr>
        <w:tc>
          <w:tcPr>
            <w:tcW w:w="1197" w:type="dxa"/>
            <w:tcBorders>
              <w:top w:val="single" w:sz="8" w:space="0" w:color="auto"/>
              <w:left w:val="single" w:sz="4" w:space="0" w:color="auto"/>
              <w:bottom w:val="single" w:sz="8" w:space="0" w:color="auto"/>
              <w:right w:val="single" w:sz="12" w:space="0" w:color="auto"/>
            </w:tcBorders>
            <w:shd w:val="clear" w:color="auto" w:fill="EEECE1" w:themeFill="background2"/>
            <w:noWrap/>
            <w:vAlign w:val="bottom"/>
            <w:hideMark/>
          </w:tcPr>
          <w:p w14:paraId="50C11C2D" w14:textId="77777777" w:rsidR="003074FE" w:rsidRPr="00A80E7C" w:rsidRDefault="003074FE" w:rsidP="0039435F">
            <w:pPr>
              <w:tabs>
                <w:tab w:val="left" w:pos="9356"/>
              </w:tabs>
              <w:jc w:val="both"/>
              <w:rPr>
                <w:rFonts w:asciiTheme="majorHAnsi" w:hAnsiTheme="majorHAnsi" w:cstheme="majorHAnsi"/>
                <w:b/>
                <w:bCs/>
                <w:sz w:val="22"/>
                <w:szCs w:val="22"/>
                <w:lang w:eastAsia="sk-SK"/>
              </w:rPr>
            </w:pPr>
            <w:r w:rsidRPr="00A80E7C">
              <w:rPr>
                <w:rFonts w:asciiTheme="majorHAnsi" w:hAnsiTheme="majorHAnsi" w:cstheme="majorHAnsi"/>
                <w:b/>
                <w:bCs/>
                <w:sz w:val="22"/>
                <w:szCs w:val="22"/>
                <w:lang w:eastAsia="sk-SK"/>
              </w:rPr>
              <w:t>Spolu</w:t>
            </w:r>
          </w:p>
        </w:tc>
        <w:tc>
          <w:tcPr>
            <w:tcW w:w="992" w:type="dxa"/>
            <w:tcBorders>
              <w:top w:val="single" w:sz="8" w:space="0" w:color="auto"/>
              <w:left w:val="single" w:sz="12" w:space="0" w:color="auto"/>
              <w:bottom w:val="single" w:sz="8" w:space="0" w:color="auto"/>
              <w:right w:val="single" w:sz="4" w:space="0" w:color="auto"/>
            </w:tcBorders>
            <w:shd w:val="clear" w:color="auto" w:fill="EEECE1" w:themeFill="background2"/>
            <w:noWrap/>
            <w:vAlign w:val="center"/>
            <w:hideMark/>
          </w:tcPr>
          <w:p w14:paraId="1B62D2BA" w14:textId="54EE9535" w:rsidR="003074FE" w:rsidRPr="00A80E7C" w:rsidRDefault="003074FE" w:rsidP="0039435F">
            <w:pPr>
              <w:jc w:val="center"/>
              <w:rPr>
                <w:rFonts w:asciiTheme="majorHAnsi" w:hAnsiTheme="majorHAnsi" w:cstheme="majorHAnsi"/>
                <w:b/>
                <w:sz w:val="22"/>
                <w:szCs w:val="20"/>
                <w:lang w:eastAsia="sk-SK"/>
              </w:rPr>
            </w:pPr>
            <w:r>
              <w:rPr>
                <w:rFonts w:asciiTheme="majorHAnsi" w:hAnsiTheme="majorHAnsi" w:cstheme="majorHAnsi"/>
                <w:b/>
                <w:sz w:val="22"/>
                <w:szCs w:val="20"/>
                <w:lang w:val="en-US" w:eastAsia="sk-SK"/>
              </w:rPr>
              <w:t>57 079</w:t>
            </w:r>
          </w:p>
        </w:tc>
        <w:tc>
          <w:tcPr>
            <w:tcW w:w="1135" w:type="dxa"/>
            <w:tcBorders>
              <w:top w:val="single" w:sz="8" w:space="0" w:color="auto"/>
              <w:left w:val="nil"/>
              <w:bottom w:val="single" w:sz="8" w:space="0" w:color="auto"/>
              <w:right w:val="single" w:sz="4" w:space="0" w:color="auto"/>
            </w:tcBorders>
            <w:shd w:val="clear" w:color="auto" w:fill="EEECE1" w:themeFill="background2"/>
            <w:noWrap/>
            <w:vAlign w:val="center"/>
            <w:hideMark/>
          </w:tcPr>
          <w:p w14:paraId="393ADE05" w14:textId="04E933D8" w:rsidR="003074FE" w:rsidRPr="00A80E7C" w:rsidRDefault="003074FE" w:rsidP="0039435F">
            <w:pPr>
              <w:jc w:val="center"/>
              <w:rPr>
                <w:rFonts w:asciiTheme="majorHAnsi" w:hAnsiTheme="majorHAnsi" w:cstheme="majorHAnsi"/>
                <w:b/>
                <w:sz w:val="22"/>
                <w:szCs w:val="20"/>
                <w:lang w:eastAsia="sk-SK"/>
              </w:rPr>
            </w:pPr>
            <w:r>
              <w:rPr>
                <w:rFonts w:asciiTheme="majorHAnsi" w:hAnsiTheme="majorHAnsi" w:cstheme="majorHAnsi"/>
                <w:b/>
                <w:sz w:val="22"/>
                <w:szCs w:val="20"/>
                <w:lang w:val="en-US" w:eastAsia="sk-SK"/>
              </w:rPr>
              <w:t>83 341</w:t>
            </w:r>
          </w:p>
        </w:tc>
        <w:tc>
          <w:tcPr>
            <w:tcW w:w="849" w:type="dxa"/>
            <w:tcBorders>
              <w:top w:val="single" w:sz="8" w:space="0" w:color="auto"/>
              <w:left w:val="nil"/>
              <w:bottom w:val="single" w:sz="8" w:space="0" w:color="auto"/>
              <w:right w:val="single" w:sz="4" w:space="0" w:color="auto"/>
            </w:tcBorders>
            <w:shd w:val="clear" w:color="auto" w:fill="EEECE1" w:themeFill="background2"/>
            <w:noWrap/>
            <w:vAlign w:val="center"/>
            <w:hideMark/>
          </w:tcPr>
          <w:p w14:paraId="2264455A" w14:textId="3EC202FB" w:rsidR="003074FE" w:rsidRPr="00A80E7C" w:rsidRDefault="003074FE" w:rsidP="0039435F">
            <w:pPr>
              <w:jc w:val="center"/>
              <w:rPr>
                <w:rFonts w:asciiTheme="majorHAnsi" w:hAnsiTheme="majorHAnsi" w:cstheme="majorHAnsi"/>
                <w:b/>
                <w:sz w:val="22"/>
                <w:szCs w:val="20"/>
                <w:lang w:eastAsia="sk-SK"/>
              </w:rPr>
            </w:pPr>
            <w:r>
              <w:rPr>
                <w:rFonts w:asciiTheme="majorHAnsi" w:hAnsiTheme="majorHAnsi" w:cstheme="majorHAnsi"/>
                <w:b/>
                <w:sz w:val="22"/>
                <w:szCs w:val="20"/>
                <w:lang w:val="en-US" w:eastAsia="sk-SK"/>
              </w:rPr>
              <w:t>4 186</w:t>
            </w:r>
          </w:p>
        </w:tc>
        <w:tc>
          <w:tcPr>
            <w:tcW w:w="993" w:type="dxa"/>
            <w:tcBorders>
              <w:top w:val="single" w:sz="8" w:space="0" w:color="auto"/>
              <w:left w:val="nil"/>
              <w:bottom w:val="single" w:sz="8" w:space="0" w:color="auto"/>
              <w:right w:val="single" w:sz="12" w:space="0" w:color="auto"/>
            </w:tcBorders>
            <w:shd w:val="clear" w:color="auto" w:fill="EEECE1" w:themeFill="background2"/>
            <w:noWrap/>
            <w:vAlign w:val="center"/>
            <w:hideMark/>
          </w:tcPr>
          <w:p w14:paraId="7BC557DF" w14:textId="7AE3046A" w:rsidR="003074FE" w:rsidRPr="00A80E7C" w:rsidRDefault="003074FE" w:rsidP="0039435F">
            <w:pPr>
              <w:jc w:val="center"/>
              <w:rPr>
                <w:rFonts w:asciiTheme="majorHAnsi" w:hAnsiTheme="majorHAnsi" w:cstheme="majorHAnsi"/>
                <w:b/>
                <w:sz w:val="22"/>
                <w:szCs w:val="20"/>
                <w:lang w:eastAsia="sk-SK"/>
              </w:rPr>
            </w:pPr>
            <w:r>
              <w:rPr>
                <w:rFonts w:asciiTheme="majorHAnsi" w:hAnsiTheme="majorHAnsi" w:cstheme="majorHAnsi"/>
                <w:b/>
                <w:sz w:val="22"/>
                <w:szCs w:val="20"/>
                <w:lang w:val="en-US" w:eastAsia="sk-SK"/>
              </w:rPr>
              <w:t>144 606</w:t>
            </w:r>
          </w:p>
        </w:tc>
        <w:tc>
          <w:tcPr>
            <w:tcW w:w="992" w:type="dxa"/>
            <w:tcBorders>
              <w:top w:val="single" w:sz="8" w:space="0" w:color="auto"/>
              <w:left w:val="single" w:sz="12" w:space="0" w:color="auto"/>
              <w:bottom w:val="single" w:sz="8" w:space="0" w:color="auto"/>
              <w:right w:val="single" w:sz="4" w:space="0" w:color="auto"/>
            </w:tcBorders>
            <w:shd w:val="clear" w:color="auto" w:fill="EEECE1" w:themeFill="background2"/>
            <w:noWrap/>
            <w:vAlign w:val="center"/>
            <w:hideMark/>
          </w:tcPr>
          <w:p w14:paraId="5CC8FF78" w14:textId="4FCBFCCB" w:rsidR="003074FE" w:rsidRPr="00A80E7C" w:rsidRDefault="003074FE" w:rsidP="0039435F">
            <w:pPr>
              <w:jc w:val="center"/>
              <w:rPr>
                <w:rFonts w:asciiTheme="majorHAnsi" w:hAnsiTheme="majorHAnsi" w:cstheme="majorHAnsi"/>
                <w:b/>
                <w:sz w:val="22"/>
                <w:szCs w:val="20"/>
                <w:lang w:eastAsia="sk-SK"/>
              </w:rPr>
            </w:pPr>
            <w:r>
              <w:rPr>
                <w:color w:val="000000"/>
                <w:sz w:val="22"/>
                <w:szCs w:val="22"/>
                <w:lang w:val="en-US"/>
              </w:rPr>
              <w:t>214 994</w:t>
            </w:r>
          </w:p>
        </w:tc>
        <w:tc>
          <w:tcPr>
            <w:tcW w:w="1135" w:type="dxa"/>
            <w:tcBorders>
              <w:top w:val="single" w:sz="8" w:space="0" w:color="auto"/>
              <w:left w:val="nil"/>
              <w:bottom w:val="single" w:sz="8" w:space="0" w:color="auto"/>
              <w:right w:val="single" w:sz="4" w:space="0" w:color="auto"/>
            </w:tcBorders>
            <w:shd w:val="clear" w:color="auto" w:fill="EEECE1" w:themeFill="background2"/>
            <w:noWrap/>
            <w:vAlign w:val="center"/>
            <w:hideMark/>
          </w:tcPr>
          <w:p w14:paraId="25FD895E" w14:textId="2A933610" w:rsidR="003074FE" w:rsidRPr="00A80E7C" w:rsidRDefault="003074FE" w:rsidP="0039435F">
            <w:pPr>
              <w:jc w:val="center"/>
              <w:rPr>
                <w:rFonts w:asciiTheme="majorHAnsi" w:hAnsiTheme="majorHAnsi" w:cstheme="majorHAnsi"/>
                <w:b/>
                <w:sz w:val="22"/>
                <w:szCs w:val="20"/>
                <w:lang w:eastAsia="sk-SK"/>
              </w:rPr>
            </w:pPr>
            <w:r>
              <w:rPr>
                <w:color w:val="000000"/>
                <w:sz w:val="22"/>
                <w:szCs w:val="22"/>
                <w:lang w:val="en-US"/>
              </w:rPr>
              <w:t>138 864</w:t>
            </w:r>
          </w:p>
        </w:tc>
        <w:tc>
          <w:tcPr>
            <w:tcW w:w="849" w:type="dxa"/>
            <w:tcBorders>
              <w:top w:val="single" w:sz="8" w:space="0" w:color="auto"/>
              <w:left w:val="nil"/>
              <w:bottom w:val="single" w:sz="8" w:space="0" w:color="auto"/>
              <w:right w:val="single" w:sz="4" w:space="0" w:color="auto"/>
            </w:tcBorders>
            <w:shd w:val="clear" w:color="auto" w:fill="EEECE1" w:themeFill="background2"/>
            <w:noWrap/>
            <w:vAlign w:val="center"/>
            <w:hideMark/>
          </w:tcPr>
          <w:p w14:paraId="0A8BAEC6" w14:textId="0852E2D3" w:rsidR="003074FE" w:rsidRPr="00A80E7C" w:rsidRDefault="003074FE" w:rsidP="0039435F">
            <w:pPr>
              <w:jc w:val="center"/>
              <w:rPr>
                <w:rFonts w:asciiTheme="majorHAnsi" w:hAnsiTheme="majorHAnsi" w:cstheme="majorHAnsi"/>
                <w:b/>
                <w:sz w:val="22"/>
                <w:szCs w:val="20"/>
                <w:lang w:eastAsia="sk-SK"/>
              </w:rPr>
            </w:pPr>
            <w:r>
              <w:rPr>
                <w:color w:val="000000"/>
                <w:sz w:val="22"/>
                <w:szCs w:val="22"/>
                <w:lang w:val="en-US"/>
              </w:rPr>
              <w:t>9 510</w:t>
            </w:r>
          </w:p>
        </w:tc>
        <w:tc>
          <w:tcPr>
            <w:tcW w:w="993" w:type="dxa"/>
            <w:tcBorders>
              <w:top w:val="single" w:sz="8" w:space="0" w:color="auto"/>
              <w:left w:val="nil"/>
              <w:bottom w:val="single" w:sz="8" w:space="0" w:color="auto"/>
              <w:right w:val="single" w:sz="4" w:space="0" w:color="auto"/>
            </w:tcBorders>
            <w:shd w:val="clear" w:color="auto" w:fill="EEECE1" w:themeFill="background2"/>
            <w:noWrap/>
            <w:vAlign w:val="center"/>
            <w:hideMark/>
          </w:tcPr>
          <w:p w14:paraId="2BBC8A51" w14:textId="6ABB6AA0" w:rsidR="003074FE" w:rsidRPr="00A80E7C" w:rsidRDefault="003074FE" w:rsidP="0039435F">
            <w:pPr>
              <w:jc w:val="center"/>
              <w:rPr>
                <w:rFonts w:asciiTheme="majorHAnsi" w:hAnsiTheme="majorHAnsi" w:cstheme="majorHAnsi"/>
                <w:b/>
                <w:sz w:val="22"/>
                <w:szCs w:val="20"/>
                <w:lang w:eastAsia="sk-SK"/>
              </w:rPr>
            </w:pPr>
            <w:r>
              <w:rPr>
                <w:color w:val="000000"/>
                <w:sz w:val="22"/>
                <w:szCs w:val="22"/>
                <w:lang w:val="en-US"/>
              </w:rPr>
              <w:t>363 368</w:t>
            </w:r>
          </w:p>
        </w:tc>
      </w:tr>
    </w:tbl>
    <w:p w14:paraId="27166BB7" w14:textId="77777777" w:rsidR="0046349F" w:rsidRPr="0053555E" w:rsidRDefault="00CB0BE1" w:rsidP="0039435F">
      <w:pPr>
        <w:tabs>
          <w:tab w:val="left" w:pos="9356"/>
        </w:tabs>
        <w:jc w:val="both"/>
        <w:rPr>
          <w:rFonts w:asciiTheme="majorHAnsi" w:hAnsiTheme="majorHAnsi" w:cstheme="majorHAnsi"/>
          <w:sz w:val="18"/>
          <w:szCs w:val="18"/>
        </w:rPr>
      </w:pPr>
      <w:r w:rsidRPr="0053555E">
        <w:rPr>
          <w:rFonts w:asciiTheme="majorHAnsi" w:hAnsiTheme="majorHAnsi" w:cstheme="majorHAnsi"/>
          <w:sz w:val="18"/>
          <w:szCs w:val="18"/>
        </w:rPr>
        <w:t>Vysvetlivky</w:t>
      </w:r>
      <w:r w:rsidR="0046349F" w:rsidRPr="0053555E">
        <w:rPr>
          <w:rFonts w:asciiTheme="majorHAnsi" w:hAnsiTheme="majorHAnsi" w:cstheme="majorHAnsi"/>
          <w:sz w:val="18"/>
          <w:szCs w:val="18"/>
        </w:rPr>
        <w:t>:</w:t>
      </w:r>
    </w:p>
    <w:p w14:paraId="222F08B3" w14:textId="77777777" w:rsidR="00B90A6B" w:rsidRPr="0053555E" w:rsidRDefault="00B90A6B" w:rsidP="0039435F">
      <w:pPr>
        <w:tabs>
          <w:tab w:val="left" w:pos="9356"/>
        </w:tabs>
        <w:jc w:val="both"/>
        <w:rPr>
          <w:rFonts w:asciiTheme="majorHAnsi" w:hAnsiTheme="majorHAnsi" w:cstheme="majorHAnsi"/>
          <w:sz w:val="18"/>
          <w:szCs w:val="18"/>
        </w:rPr>
      </w:pPr>
      <w:r w:rsidRPr="0053555E">
        <w:rPr>
          <w:rFonts w:asciiTheme="majorHAnsi" w:hAnsiTheme="majorHAnsi" w:cstheme="majorHAnsi"/>
          <w:sz w:val="18"/>
          <w:szCs w:val="18"/>
        </w:rPr>
        <w:t>Z dôvodu pandémie COVID-19 boli uzatvorené prevádzky Stravovacieho centra:</w:t>
      </w:r>
    </w:p>
    <w:p w14:paraId="260C52D2" w14:textId="77777777" w:rsidR="00005D58" w:rsidRDefault="00F86514" w:rsidP="0040185E">
      <w:pPr>
        <w:tabs>
          <w:tab w:val="left" w:pos="9356"/>
        </w:tabs>
        <w:jc w:val="both"/>
        <w:rPr>
          <w:rFonts w:asciiTheme="majorHAnsi" w:hAnsiTheme="majorHAnsi" w:cstheme="majorHAnsi"/>
          <w:sz w:val="18"/>
          <w:szCs w:val="18"/>
        </w:rPr>
      </w:pPr>
      <w:bookmarkStart w:id="238" w:name="_Konzultantská_a_poradenská"/>
      <w:bookmarkStart w:id="239" w:name="_Ref95464595"/>
      <w:bookmarkEnd w:id="238"/>
      <w:r w:rsidRPr="0053555E">
        <w:rPr>
          <w:rFonts w:asciiTheme="majorHAnsi" w:hAnsiTheme="majorHAnsi" w:cstheme="majorHAnsi"/>
          <w:sz w:val="18"/>
          <w:szCs w:val="18"/>
        </w:rPr>
        <w:t>v roku 2021 s výnimkou dní 7. a 8. 1. 2021 až do 10. 6. 2021</w:t>
      </w:r>
    </w:p>
    <w:p w14:paraId="725CC363" w14:textId="1C6ADFCB" w:rsidR="00005D58" w:rsidRPr="00005D58" w:rsidRDefault="00005D58" w:rsidP="0040185E">
      <w:pPr>
        <w:tabs>
          <w:tab w:val="left" w:pos="9356"/>
        </w:tabs>
        <w:jc w:val="both"/>
        <w:rPr>
          <w:rFonts w:asciiTheme="majorHAnsi" w:hAnsiTheme="majorHAnsi" w:cstheme="majorHAnsi"/>
          <w:szCs w:val="18"/>
        </w:rPr>
      </w:pPr>
    </w:p>
    <w:p w14:paraId="535A027E" w14:textId="77777777" w:rsidR="003460F6" w:rsidRDefault="003460F6" w:rsidP="003460F6">
      <w:pPr>
        <w:rPr>
          <w:rFonts w:asciiTheme="majorHAnsi" w:hAnsiTheme="majorHAnsi" w:cstheme="majorHAnsi"/>
          <w:szCs w:val="18"/>
        </w:rPr>
      </w:pPr>
      <w:bookmarkStart w:id="240" w:name="_Ref127542857"/>
      <w:bookmarkStart w:id="241" w:name="_Ref127545549"/>
      <w:bookmarkStart w:id="242" w:name="_Ref127545555"/>
      <w:bookmarkStart w:id="243" w:name="_Toc127593244"/>
    </w:p>
    <w:p w14:paraId="04F758C0" w14:textId="5EB4A63B" w:rsidR="00684ED6" w:rsidRPr="003460F6" w:rsidRDefault="003460F6" w:rsidP="003460F6">
      <w:pPr>
        <w:rPr>
          <w:rFonts w:asciiTheme="majorHAnsi" w:hAnsiTheme="majorHAnsi" w:cstheme="majorHAnsi"/>
          <w:szCs w:val="18"/>
        </w:rPr>
      </w:pPr>
      <w:r w:rsidRPr="003460F6">
        <w:rPr>
          <w:b/>
          <w:sz w:val="28"/>
          <w:szCs w:val="28"/>
        </w:rPr>
        <w:t xml:space="preserve">8.7. </w:t>
      </w:r>
      <w:r w:rsidR="00684ED6" w:rsidRPr="003460F6">
        <w:rPr>
          <w:b/>
          <w:sz w:val="28"/>
          <w:szCs w:val="28"/>
        </w:rPr>
        <w:t>Konzultantská a poradenská činnosť</w:t>
      </w:r>
      <w:bookmarkEnd w:id="239"/>
      <w:bookmarkEnd w:id="240"/>
      <w:bookmarkEnd w:id="241"/>
      <w:bookmarkEnd w:id="242"/>
      <w:bookmarkEnd w:id="243"/>
    </w:p>
    <w:p w14:paraId="2CD0F9F8" w14:textId="77777777" w:rsidR="003460F6" w:rsidRPr="003460F6" w:rsidRDefault="003460F6" w:rsidP="003460F6"/>
    <w:p w14:paraId="20147127" w14:textId="256AD753" w:rsidR="00766216" w:rsidRPr="0053555E" w:rsidRDefault="003460F6" w:rsidP="00ED2ABB">
      <w:pPr>
        <w:spacing w:after="120"/>
        <w:jc w:val="both"/>
        <w:rPr>
          <w:rFonts w:asciiTheme="majorHAnsi" w:hAnsiTheme="majorHAnsi"/>
        </w:rPr>
      </w:pPr>
      <w:r>
        <w:rPr>
          <w:rFonts w:asciiTheme="majorHAnsi" w:hAnsiTheme="majorHAnsi"/>
        </w:rPr>
        <w:t>N</w:t>
      </w:r>
      <w:r w:rsidR="0042536E" w:rsidRPr="0053555E">
        <w:rPr>
          <w:rFonts w:asciiTheme="majorHAnsi" w:hAnsiTheme="majorHAnsi"/>
        </w:rPr>
        <w:t>a jednotlivých súčastiach STU</w:t>
      </w:r>
      <w:r w:rsidR="00AE7A3A">
        <w:rPr>
          <w:rFonts w:asciiTheme="majorHAnsi" w:hAnsiTheme="majorHAnsi"/>
        </w:rPr>
        <w:t xml:space="preserve"> </w:t>
      </w:r>
      <w:r w:rsidR="006542DC">
        <w:rPr>
          <w:rFonts w:asciiTheme="majorHAnsi" w:hAnsiTheme="majorHAnsi"/>
        </w:rPr>
        <w:t xml:space="preserve">pôsobia </w:t>
      </w:r>
      <w:r w:rsidR="00322C79">
        <w:rPr>
          <w:rFonts w:asciiTheme="majorHAnsi" w:hAnsiTheme="majorHAnsi"/>
        </w:rPr>
        <w:t xml:space="preserve">študijní poradcovia a ďalší </w:t>
      </w:r>
      <w:r w:rsidR="007552BD">
        <w:rPr>
          <w:rFonts w:asciiTheme="majorHAnsi" w:hAnsiTheme="majorHAnsi"/>
        </w:rPr>
        <w:t>zamestnanc</w:t>
      </w:r>
      <w:r w:rsidR="00136D28">
        <w:rPr>
          <w:rFonts w:asciiTheme="majorHAnsi" w:hAnsiTheme="majorHAnsi"/>
        </w:rPr>
        <w:t>i</w:t>
      </w:r>
      <w:r w:rsidR="001F57FF">
        <w:rPr>
          <w:rFonts w:asciiTheme="majorHAnsi" w:hAnsiTheme="majorHAnsi"/>
        </w:rPr>
        <w:t>, ktorí</w:t>
      </w:r>
      <w:r w:rsidR="006542DC">
        <w:rPr>
          <w:rFonts w:asciiTheme="majorHAnsi" w:hAnsiTheme="majorHAnsi"/>
        </w:rPr>
        <w:t xml:space="preserve"> </w:t>
      </w:r>
      <w:r w:rsidR="0042536E" w:rsidRPr="0053555E">
        <w:rPr>
          <w:rFonts w:asciiTheme="majorHAnsi" w:hAnsiTheme="majorHAnsi"/>
        </w:rPr>
        <w:t xml:space="preserve">pomáhajú študentom </w:t>
      </w:r>
      <w:r w:rsidR="00495D59" w:rsidRPr="0053555E">
        <w:rPr>
          <w:rFonts w:asciiTheme="majorHAnsi" w:hAnsiTheme="majorHAnsi"/>
        </w:rPr>
        <w:t xml:space="preserve">v študijných záležitostiach a tiež </w:t>
      </w:r>
      <w:r w:rsidR="0042536E" w:rsidRPr="0053555E">
        <w:rPr>
          <w:rFonts w:asciiTheme="majorHAnsi" w:hAnsiTheme="majorHAnsi"/>
        </w:rPr>
        <w:t xml:space="preserve">pri zostavovaní </w:t>
      </w:r>
      <w:r w:rsidR="007A2BE5" w:rsidRPr="0053555E">
        <w:rPr>
          <w:rFonts w:asciiTheme="majorHAnsi" w:hAnsiTheme="majorHAnsi"/>
        </w:rPr>
        <w:t>študijných plánov v rámci jednotlivých rokov štúdia. Zároveň sú študentom počas celého obdobia štúdia k </w:t>
      </w:r>
      <w:r w:rsidR="00EE039E" w:rsidRPr="0053555E">
        <w:rPr>
          <w:rFonts w:asciiTheme="majorHAnsi" w:hAnsiTheme="majorHAnsi"/>
        </w:rPr>
        <w:t>dispozícii</w:t>
      </w:r>
      <w:r w:rsidR="007A2BE5" w:rsidRPr="0053555E">
        <w:rPr>
          <w:rFonts w:asciiTheme="majorHAnsi" w:hAnsiTheme="majorHAnsi"/>
        </w:rPr>
        <w:t xml:space="preserve"> </w:t>
      </w:r>
      <w:r w:rsidR="00495D59" w:rsidRPr="0053555E">
        <w:rPr>
          <w:rFonts w:asciiTheme="majorHAnsi" w:hAnsiTheme="majorHAnsi"/>
        </w:rPr>
        <w:t>prodekani pre </w:t>
      </w:r>
      <w:r w:rsidR="00EE039E" w:rsidRPr="0053555E">
        <w:rPr>
          <w:rFonts w:asciiTheme="majorHAnsi" w:hAnsiTheme="majorHAnsi"/>
        </w:rPr>
        <w:t>vzdelávanie</w:t>
      </w:r>
      <w:r w:rsidR="007A2BE5" w:rsidRPr="0053555E">
        <w:rPr>
          <w:rFonts w:asciiTheme="majorHAnsi" w:hAnsiTheme="majorHAnsi"/>
        </w:rPr>
        <w:t xml:space="preserve"> a študijné </w:t>
      </w:r>
      <w:r w:rsidR="00495D59" w:rsidRPr="0053555E">
        <w:rPr>
          <w:rFonts w:asciiTheme="majorHAnsi" w:hAnsiTheme="majorHAnsi"/>
        </w:rPr>
        <w:t>oddelenia</w:t>
      </w:r>
      <w:r w:rsidR="007A2BE5" w:rsidRPr="0053555E">
        <w:rPr>
          <w:rFonts w:asciiTheme="majorHAnsi" w:hAnsiTheme="majorHAnsi"/>
        </w:rPr>
        <w:t>, ktoré riešia ich požiadavky</w:t>
      </w:r>
      <w:r w:rsidR="00EE039E" w:rsidRPr="0053555E">
        <w:rPr>
          <w:rFonts w:asciiTheme="majorHAnsi" w:hAnsiTheme="majorHAnsi"/>
        </w:rPr>
        <w:t>.</w:t>
      </w:r>
    </w:p>
    <w:p w14:paraId="4B45AFDF" w14:textId="01DD6016" w:rsidR="003C277E" w:rsidRPr="0053555E" w:rsidRDefault="00766216" w:rsidP="00ED2ABB">
      <w:pPr>
        <w:spacing w:after="120"/>
        <w:jc w:val="both"/>
        <w:rPr>
          <w:rFonts w:asciiTheme="majorHAnsi" w:hAnsiTheme="majorHAnsi"/>
        </w:rPr>
      </w:pPr>
      <w:r w:rsidRPr="0053555E">
        <w:rPr>
          <w:rFonts w:asciiTheme="majorHAnsi" w:hAnsiTheme="majorHAnsi"/>
        </w:rPr>
        <w:t xml:space="preserve">Pre nových študentov zapísaných na štúdium bakalárskych študijných programov </w:t>
      </w:r>
      <w:r w:rsidR="0000636D" w:rsidRPr="0053555E">
        <w:rPr>
          <w:rFonts w:asciiTheme="majorHAnsi" w:hAnsiTheme="majorHAnsi"/>
        </w:rPr>
        <w:t xml:space="preserve">všetky súčasti STU každoročne </w:t>
      </w:r>
      <w:r w:rsidR="003E745A" w:rsidRPr="0053555E">
        <w:rPr>
          <w:rFonts w:asciiTheme="majorHAnsi" w:hAnsiTheme="majorHAnsi"/>
        </w:rPr>
        <w:t xml:space="preserve">organizujú </w:t>
      </w:r>
      <w:r w:rsidR="005835F1" w:rsidRPr="0053555E">
        <w:rPr>
          <w:rFonts w:asciiTheme="majorHAnsi" w:hAnsiTheme="majorHAnsi"/>
          <w:b/>
        </w:rPr>
        <w:t>Ú</w:t>
      </w:r>
      <w:r w:rsidR="003E745A" w:rsidRPr="0053555E">
        <w:rPr>
          <w:rFonts w:asciiTheme="majorHAnsi" w:hAnsiTheme="majorHAnsi"/>
          <w:b/>
        </w:rPr>
        <w:t>vod do štúdia</w:t>
      </w:r>
      <w:r w:rsidR="003E745A" w:rsidRPr="0053555E">
        <w:rPr>
          <w:rFonts w:asciiTheme="majorHAnsi" w:hAnsiTheme="majorHAnsi"/>
        </w:rPr>
        <w:t xml:space="preserve">, ktorý sa uskutočňuje </w:t>
      </w:r>
      <w:r w:rsidR="001F1D8F" w:rsidRPr="0053555E">
        <w:rPr>
          <w:rFonts w:asciiTheme="majorHAnsi" w:hAnsiTheme="majorHAnsi"/>
        </w:rPr>
        <w:t xml:space="preserve">v období </w:t>
      </w:r>
      <w:r w:rsidR="00AB2F8A" w:rsidRPr="0053555E">
        <w:rPr>
          <w:rFonts w:asciiTheme="majorHAnsi" w:hAnsiTheme="majorHAnsi"/>
        </w:rPr>
        <w:t>prv</w:t>
      </w:r>
      <w:r w:rsidR="001F1D8F" w:rsidRPr="0053555E">
        <w:rPr>
          <w:rFonts w:asciiTheme="majorHAnsi" w:hAnsiTheme="majorHAnsi"/>
        </w:rPr>
        <w:t>ých</w:t>
      </w:r>
      <w:r w:rsidR="00AB2F8A" w:rsidRPr="0053555E">
        <w:rPr>
          <w:rFonts w:asciiTheme="majorHAnsi" w:hAnsiTheme="majorHAnsi"/>
        </w:rPr>
        <w:t xml:space="preserve"> d</w:t>
      </w:r>
      <w:r w:rsidR="001F1D8F" w:rsidRPr="0053555E">
        <w:rPr>
          <w:rFonts w:asciiTheme="majorHAnsi" w:hAnsiTheme="majorHAnsi"/>
        </w:rPr>
        <w:t>voch</w:t>
      </w:r>
      <w:r w:rsidR="00AB2F8A" w:rsidRPr="0053555E">
        <w:rPr>
          <w:rFonts w:asciiTheme="majorHAnsi" w:hAnsiTheme="majorHAnsi"/>
        </w:rPr>
        <w:t xml:space="preserve"> septembrov</w:t>
      </w:r>
      <w:r w:rsidR="001F1D8F" w:rsidRPr="0053555E">
        <w:rPr>
          <w:rFonts w:asciiTheme="majorHAnsi" w:hAnsiTheme="majorHAnsi"/>
        </w:rPr>
        <w:t>ých</w:t>
      </w:r>
      <w:r w:rsidR="00AB2F8A" w:rsidRPr="0053555E">
        <w:rPr>
          <w:rFonts w:asciiTheme="majorHAnsi" w:hAnsiTheme="majorHAnsi"/>
        </w:rPr>
        <w:t xml:space="preserve"> týžd</w:t>
      </w:r>
      <w:r w:rsidR="001F1D8F" w:rsidRPr="0053555E">
        <w:rPr>
          <w:rFonts w:asciiTheme="majorHAnsi" w:hAnsiTheme="majorHAnsi"/>
        </w:rPr>
        <w:t>ňov</w:t>
      </w:r>
      <w:r w:rsidR="000B3F6A" w:rsidRPr="0053555E">
        <w:rPr>
          <w:rFonts w:asciiTheme="majorHAnsi" w:hAnsiTheme="majorHAnsi"/>
        </w:rPr>
        <w:t xml:space="preserve"> </w:t>
      </w:r>
      <w:r w:rsidR="00AB2F8A" w:rsidRPr="0053555E">
        <w:rPr>
          <w:rFonts w:asciiTheme="majorHAnsi" w:hAnsiTheme="majorHAnsi"/>
        </w:rPr>
        <w:t>pred </w:t>
      </w:r>
      <w:r w:rsidR="007B0DA6" w:rsidRPr="0053555E">
        <w:rPr>
          <w:rFonts w:asciiTheme="majorHAnsi" w:hAnsiTheme="majorHAnsi"/>
        </w:rPr>
        <w:t>slávnostným</w:t>
      </w:r>
      <w:r w:rsidR="000B3F6A" w:rsidRPr="0053555E">
        <w:rPr>
          <w:rFonts w:asciiTheme="majorHAnsi" w:hAnsiTheme="majorHAnsi"/>
        </w:rPr>
        <w:t xml:space="preserve"> </w:t>
      </w:r>
      <w:r w:rsidR="007B0DA6" w:rsidRPr="0053555E">
        <w:rPr>
          <w:rFonts w:asciiTheme="majorHAnsi" w:hAnsiTheme="majorHAnsi"/>
        </w:rPr>
        <w:t>otvorením</w:t>
      </w:r>
      <w:r w:rsidR="000B3F6A" w:rsidRPr="0053555E">
        <w:rPr>
          <w:rFonts w:asciiTheme="majorHAnsi" w:hAnsiTheme="majorHAnsi"/>
        </w:rPr>
        <w:t xml:space="preserve"> akademického roka</w:t>
      </w:r>
      <w:r w:rsidR="008C235E" w:rsidRPr="0053555E">
        <w:rPr>
          <w:rFonts w:asciiTheme="majorHAnsi" w:hAnsiTheme="majorHAnsi"/>
        </w:rPr>
        <w:t xml:space="preserve">. </w:t>
      </w:r>
      <w:r w:rsidR="00444993">
        <w:rPr>
          <w:rFonts w:asciiTheme="majorHAnsi" w:hAnsiTheme="majorHAnsi"/>
        </w:rPr>
        <w:t>Táto a</w:t>
      </w:r>
      <w:r w:rsidR="00E82A18">
        <w:rPr>
          <w:rFonts w:asciiTheme="majorHAnsi" w:hAnsiTheme="majorHAnsi"/>
        </w:rPr>
        <w:t>ktivita</w:t>
      </w:r>
      <w:r w:rsidR="00444993" w:rsidRPr="00444993">
        <w:rPr>
          <w:rFonts w:asciiTheme="majorHAnsi" w:hAnsiTheme="majorHAnsi"/>
        </w:rPr>
        <w:t xml:space="preserve"> je súčasťou adaptačného procesu</w:t>
      </w:r>
      <w:r w:rsidR="003460F6">
        <w:rPr>
          <w:rFonts w:asciiTheme="majorHAnsi" w:hAnsiTheme="majorHAnsi"/>
        </w:rPr>
        <w:t>,</w:t>
      </w:r>
      <w:r w:rsidR="00444993" w:rsidRPr="00444993">
        <w:rPr>
          <w:rFonts w:asciiTheme="majorHAnsi" w:hAnsiTheme="majorHAnsi"/>
        </w:rPr>
        <w:t xml:space="preserve"> </w:t>
      </w:r>
      <w:r w:rsidR="007B0DA6" w:rsidRPr="0053555E">
        <w:rPr>
          <w:rFonts w:asciiTheme="majorHAnsi" w:hAnsiTheme="majorHAnsi"/>
        </w:rPr>
        <w:t>nov</w:t>
      </w:r>
      <w:r w:rsidR="001F1D8F" w:rsidRPr="0053555E">
        <w:rPr>
          <w:rFonts w:asciiTheme="majorHAnsi" w:hAnsiTheme="majorHAnsi"/>
        </w:rPr>
        <w:t>í</w:t>
      </w:r>
      <w:r w:rsidR="00FA2744" w:rsidRPr="0053555E">
        <w:rPr>
          <w:rFonts w:asciiTheme="majorHAnsi" w:hAnsiTheme="majorHAnsi"/>
        </w:rPr>
        <w:t xml:space="preserve"> </w:t>
      </w:r>
      <w:r w:rsidR="007B0DA6" w:rsidRPr="0053555E">
        <w:rPr>
          <w:rFonts w:asciiTheme="majorHAnsi" w:hAnsiTheme="majorHAnsi"/>
        </w:rPr>
        <w:t>študenti</w:t>
      </w:r>
      <w:r w:rsidR="003460F6">
        <w:rPr>
          <w:rFonts w:asciiTheme="majorHAnsi" w:hAnsiTheme="majorHAnsi"/>
        </w:rPr>
        <w:t xml:space="preserve"> sú</w:t>
      </w:r>
      <w:r w:rsidR="007B0DA6" w:rsidRPr="0053555E">
        <w:rPr>
          <w:rFonts w:asciiTheme="majorHAnsi" w:hAnsiTheme="majorHAnsi"/>
        </w:rPr>
        <w:t xml:space="preserve"> </w:t>
      </w:r>
      <w:r w:rsidR="00FA2744" w:rsidRPr="0053555E">
        <w:rPr>
          <w:rFonts w:asciiTheme="majorHAnsi" w:hAnsiTheme="majorHAnsi"/>
        </w:rPr>
        <w:t>oboznámení so</w:t>
      </w:r>
      <w:r w:rsidR="007B0DA6" w:rsidRPr="0053555E">
        <w:rPr>
          <w:rFonts w:asciiTheme="majorHAnsi" w:hAnsiTheme="majorHAnsi"/>
        </w:rPr>
        <w:t> systém</w:t>
      </w:r>
      <w:r w:rsidR="00FA2744" w:rsidRPr="0053555E">
        <w:rPr>
          <w:rFonts w:asciiTheme="majorHAnsi" w:hAnsiTheme="majorHAnsi"/>
        </w:rPr>
        <w:t>om</w:t>
      </w:r>
      <w:r w:rsidR="007B0DA6" w:rsidRPr="0053555E">
        <w:rPr>
          <w:rFonts w:asciiTheme="majorHAnsi" w:hAnsiTheme="majorHAnsi"/>
        </w:rPr>
        <w:t xml:space="preserve"> štúdia na vysokej škole</w:t>
      </w:r>
      <w:r w:rsidR="002E539E" w:rsidRPr="0053555E">
        <w:rPr>
          <w:rFonts w:asciiTheme="majorHAnsi" w:hAnsiTheme="majorHAnsi"/>
        </w:rPr>
        <w:t xml:space="preserve"> (</w:t>
      </w:r>
      <w:r w:rsidR="00126EC3" w:rsidRPr="0053555E">
        <w:rPr>
          <w:rFonts w:asciiTheme="majorHAnsi" w:hAnsiTheme="majorHAnsi"/>
        </w:rPr>
        <w:t>o </w:t>
      </w:r>
      <w:r w:rsidR="002E539E" w:rsidRPr="0053555E">
        <w:rPr>
          <w:rFonts w:asciiTheme="majorHAnsi" w:hAnsiTheme="majorHAnsi"/>
        </w:rPr>
        <w:t>kreditovom systéme)</w:t>
      </w:r>
      <w:r w:rsidR="008D45EA" w:rsidRPr="0053555E">
        <w:rPr>
          <w:rFonts w:asciiTheme="majorHAnsi" w:hAnsiTheme="majorHAnsi"/>
        </w:rPr>
        <w:t xml:space="preserve">, sú im podané základné informácie o štúdiu, </w:t>
      </w:r>
      <w:r w:rsidR="00BD62CE" w:rsidRPr="0053555E">
        <w:rPr>
          <w:rFonts w:asciiTheme="majorHAnsi" w:hAnsiTheme="majorHAnsi"/>
        </w:rPr>
        <w:t xml:space="preserve">o </w:t>
      </w:r>
      <w:r w:rsidR="004B30DC" w:rsidRPr="0053555E">
        <w:rPr>
          <w:rFonts w:asciiTheme="majorHAnsi" w:hAnsiTheme="majorHAnsi"/>
        </w:rPr>
        <w:t xml:space="preserve">používaní </w:t>
      </w:r>
      <w:r w:rsidR="005D2B3C" w:rsidRPr="0053555E">
        <w:rPr>
          <w:rFonts w:asciiTheme="majorHAnsi" w:hAnsiTheme="majorHAnsi"/>
        </w:rPr>
        <w:t>a</w:t>
      </w:r>
      <w:r w:rsidR="005835F1" w:rsidRPr="0053555E">
        <w:rPr>
          <w:rFonts w:asciiTheme="majorHAnsi" w:hAnsiTheme="majorHAnsi"/>
        </w:rPr>
        <w:t> </w:t>
      </w:r>
      <w:r w:rsidR="005D2B3C" w:rsidRPr="0053555E">
        <w:rPr>
          <w:rFonts w:asciiTheme="majorHAnsi" w:hAnsiTheme="majorHAnsi"/>
        </w:rPr>
        <w:t>nastavení</w:t>
      </w:r>
      <w:r w:rsidR="005835F1" w:rsidRPr="0053555E">
        <w:rPr>
          <w:rFonts w:asciiTheme="majorHAnsi" w:hAnsiTheme="majorHAnsi"/>
        </w:rPr>
        <w:t xml:space="preserve"> AIS</w:t>
      </w:r>
      <w:r w:rsidR="008B3133" w:rsidRPr="0053555E">
        <w:rPr>
          <w:rFonts w:asciiTheme="majorHAnsi" w:hAnsiTheme="majorHAnsi"/>
        </w:rPr>
        <w:t xml:space="preserve">, </w:t>
      </w:r>
      <w:r w:rsidR="00FA2744" w:rsidRPr="0053555E">
        <w:rPr>
          <w:rFonts w:asciiTheme="majorHAnsi" w:hAnsiTheme="majorHAnsi"/>
        </w:rPr>
        <w:t xml:space="preserve">o </w:t>
      </w:r>
      <w:r w:rsidR="00EB70BD" w:rsidRPr="0053555E">
        <w:rPr>
          <w:rFonts w:asciiTheme="majorHAnsi" w:hAnsiTheme="majorHAnsi"/>
        </w:rPr>
        <w:t>e-learningových</w:t>
      </w:r>
      <w:r w:rsidR="008B3133" w:rsidRPr="0053555E">
        <w:rPr>
          <w:rFonts w:asciiTheme="majorHAnsi" w:hAnsiTheme="majorHAnsi"/>
        </w:rPr>
        <w:t xml:space="preserve"> slu</w:t>
      </w:r>
      <w:r w:rsidR="00FA2744" w:rsidRPr="0053555E">
        <w:rPr>
          <w:rFonts w:asciiTheme="majorHAnsi" w:hAnsiTheme="majorHAnsi"/>
        </w:rPr>
        <w:t xml:space="preserve">žbách </w:t>
      </w:r>
      <w:r w:rsidR="008B3133" w:rsidRPr="0053555E">
        <w:rPr>
          <w:rFonts w:asciiTheme="majorHAnsi" w:hAnsiTheme="majorHAnsi"/>
        </w:rPr>
        <w:t xml:space="preserve">ako Moodle, </w:t>
      </w:r>
      <w:r w:rsidR="00BD62CE" w:rsidRPr="0053555E">
        <w:rPr>
          <w:rFonts w:asciiTheme="majorHAnsi" w:hAnsiTheme="majorHAnsi"/>
        </w:rPr>
        <w:t xml:space="preserve">sú oboznámení </w:t>
      </w:r>
      <w:r w:rsidR="00FB088A" w:rsidRPr="0053555E">
        <w:rPr>
          <w:rFonts w:asciiTheme="majorHAnsi" w:hAnsiTheme="majorHAnsi"/>
        </w:rPr>
        <w:t>s</w:t>
      </w:r>
      <w:r w:rsidR="002F0A76" w:rsidRPr="0053555E">
        <w:rPr>
          <w:rFonts w:asciiTheme="majorHAnsi" w:hAnsiTheme="majorHAnsi"/>
        </w:rPr>
        <w:t>o základmi používania</w:t>
      </w:r>
      <w:r w:rsidR="00FB088A" w:rsidRPr="0053555E">
        <w:rPr>
          <w:rFonts w:asciiTheme="majorHAnsi" w:hAnsiTheme="majorHAnsi"/>
        </w:rPr>
        <w:t xml:space="preserve"> programu MATLAB, </w:t>
      </w:r>
      <w:r w:rsidR="00E31134" w:rsidRPr="0053555E">
        <w:rPr>
          <w:rFonts w:asciiTheme="majorHAnsi" w:hAnsiTheme="majorHAnsi"/>
        </w:rPr>
        <w:t xml:space="preserve">so </w:t>
      </w:r>
      <w:r w:rsidR="00625D4A" w:rsidRPr="0053555E">
        <w:rPr>
          <w:rFonts w:asciiTheme="majorHAnsi" w:hAnsiTheme="majorHAnsi"/>
        </w:rPr>
        <w:t>služb</w:t>
      </w:r>
      <w:r w:rsidR="00687F49" w:rsidRPr="0053555E">
        <w:rPr>
          <w:rFonts w:asciiTheme="majorHAnsi" w:hAnsiTheme="majorHAnsi"/>
        </w:rPr>
        <w:t>ami</w:t>
      </w:r>
      <w:r w:rsidR="00625D4A" w:rsidRPr="0053555E">
        <w:rPr>
          <w:rFonts w:asciiTheme="majorHAnsi" w:hAnsiTheme="majorHAnsi"/>
        </w:rPr>
        <w:t xml:space="preserve"> dištančného vzdelávania</w:t>
      </w:r>
      <w:r w:rsidR="00FB088A" w:rsidRPr="0053555E">
        <w:rPr>
          <w:rFonts w:asciiTheme="majorHAnsi" w:hAnsiTheme="majorHAnsi"/>
        </w:rPr>
        <w:t xml:space="preserve"> </w:t>
      </w:r>
      <w:r w:rsidR="00625D4A" w:rsidRPr="0053555E">
        <w:rPr>
          <w:rFonts w:asciiTheme="majorHAnsi" w:hAnsiTheme="majorHAnsi"/>
        </w:rPr>
        <w:t>(</w:t>
      </w:r>
      <w:r w:rsidR="00D55AAA" w:rsidRPr="0053555E">
        <w:rPr>
          <w:rFonts w:asciiTheme="majorHAnsi" w:hAnsiTheme="majorHAnsi"/>
        </w:rPr>
        <w:t xml:space="preserve">Google </w:t>
      </w:r>
      <w:r w:rsidR="00625D4A" w:rsidRPr="0053555E">
        <w:rPr>
          <w:rFonts w:asciiTheme="majorHAnsi" w:hAnsiTheme="majorHAnsi"/>
        </w:rPr>
        <w:t>Suit</w:t>
      </w:r>
      <w:r w:rsidR="00790B57">
        <w:rPr>
          <w:rFonts w:asciiTheme="majorHAnsi" w:hAnsiTheme="majorHAnsi"/>
        </w:rPr>
        <w:t>e</w:t>
      </w:r>
      <w:r w:rsidR="00D55AAA" w:rsidRPr="0053555E">
        <w:rPr>
          <w:rFonts w:asciiTheme="majorHAnsi" w:hAnsiTheme="majorHAnsi"/>
        </w:rPr>
        <w:t xml:space="preserve">, </w:t>
      </w:r>
      <w:r w:rsidR="00625D4A" w:rsidRPr="0053555E">
        <w:rPr>
          <w:rFonts w:asciiTheme="majorHAnsi" w:hAnsiTheme="majorHAnsi"/>
        </w:rPr>
        <w:t>Office 365,</w:t>
      </w:r>
      <w:r w:rsidR="00D55AAA" w:rsidRPr="0053555E">
        <w:rPr>
          <w:rFonts w:asciiTheme="majorHAnsi" w:hAnsiTheme="majorHAnsi"/>
        </w:rPr>
        <w:t xml:space="preserve"> Webex), </w:t>
      </w:r>
      <w:r w:rsidR="008C235E" w:rsidRPr="0053555E">
        <w:rPr>
          <w:rFonts w:asciiTheme="majorHAnsi" w:hAnsiTheme="majorHAnsi"/>
        </w:rPr>
        <w:t>o </w:t>
      </w:r>
      <w:r w:rsidR="007B0DA6" w:rsidRPr="0053555E">
        <w:rPr>
          <w:rFonts w:asciiTheme="majorHAnsi" w:hAnsiTheme="majorHAnsi"/>
        </w:rPr>
        <w:t xml:space="preserve">sociálnych službách, ktoré môžu využívať (ubytovanie, stravovanie), </w:t>
      </w:r>
      <w:r w:rsidR="005D2B3C" w:rsidRPr="0053555E">
        <w:rPr>
          <w:rFonts w:asciiTheme="majorHAnsi" w:hAnsiTheme="majorHAnsi"/>
        </w:rPr>
        <w:t xml:space="preserve">o </w:t>
      </w:r>
      <w:r w:rsidR="007B0DA6" w:rsidRPr="0053555E">
        <w:rPr>
          <w:rFonts w:asciiTheme="majorHAnsi" w:hAnsiTheme="majorHAnsi"/>
        </w:rPr>
        <w:t xml:space="preserve">službách akademickej knižnice, </w:t>
      </w:r>
      <w:r w:rsidR="00E31134" w:rsidRPr="0053555E">
        <w:rPr>
          <w:rFonts w:asciiTheme="majorHAnsi" w:hAnsiTheme="majorHAnsi"/>
        </w:rPr>
        <w:t xml:space="preserve">o </w:t>
      </w:r>
      <w:r w:rsidR="00687F49" w:rsidRPr="0053555E">
        <w:rPr>
          <w:rFonts w:asciiTheme="majorHAnsi" w:hAnsiTheme="majorHAnsi"/>
        </w:rPr>
        <w:t>prístupnosti k elektronickej študijnej literatúre,</w:t>
      </w:r>
      <w:r w:rsidR="00E31134" w:rsidRPr="0053555E">
        <w:rPr>
          <w:rFonts w:asciiTheme="majorHAnsi" w:hAnsiTheme="majorHAnsi"/>
        </w:rPr>
        <w:t xml:space="preserve"> o</w:t>
      </w:r>
      <w:r w:rsidR="00687F49" w:rsidRPr="0053555E">
        <w:rPr>
          <w:rFonts w:asciiTheme="majorHAnsi" w:hAnsiTheme="majorHAnsi"/>
        </w:rPr>
        <w:t xml:space="preserve"> </w:t>
      </w:r>
      <w:r w:rsidR="00EF5E6C" w:rsidRPr="0053555E">
        <w:rPr>
          <w:rFonts w:asciiTheme="majorHAnsi" w:hAnsiTheme="majorHAnsi"/>
        </w:rPr>
        <w:t xml:space="preserve">možností štúdia v rámci akademickej mobility na iných vysokých školách, </w:t>
      </w:r>
      <w:r w:rsidR="00E31134" w:rsidRPr="0053555E">
        <w:rPr>
          <w:rFonts w:asciiTheme="majorHAnsi" w:hAnsiTheme="majorHAnsi"/>
        </w:rPr>
        <w:t>o </w:t>
      </w:r>
      <w:r w:rsidR="00EF5E6C" w:rsidRPr="0053555E">
        <w:rPr>
          <w:rFonts w:asciiTheme="majorHAnsi" w:hAnsiTheme="majorHAnsi"/>
        </w:rPr>
        <w:t xml:space="preserve">právach a povinnostiach študenta, </w:t>
      </w:r>
      <w:r w:rsidR="00701FC4" w:rsidRPr="0053555E">
        <w:rPr>
          <w:rFonts w:asciiTheme="majorHAnsi" w:hAnsiTheme="majorHAnsi"/>
        </w:rPr>
        <w:t xml:space="preserve">sú oboznámení </w:t>
      </w:r>
      <w:r w:rsidR="008C235E" w:rsidRPr="0053555E">
        <w:rPr>
          <w:rFonts w:asciiTheme="majorHAnsi" w:hAnsiTheme="majorHAnsi"/>
        </w:rPr>
        <w:t>s </w:t>
      </w:r>
      <w:r w:rsidR="00EF5E6C" w:rsidRPr="0053555E">
        <w:rPr>
          <w:rFonts w:asciiTheme="majorHAnsi" w:hAnsiTheme="majorHAnsi"/>
        </w:rPr>
        <w:t>vnútorn</w:t>
      </w:r>
      <w:r w:rsidR="00701FC4" w:rsidRPr="0053555E">
        <w:rPr>
          <w:rFonts w:asciiTheme="majorHAnsi" w:hAnsiTheme="majorHAnsi"/>
        </w:rPr>
        <w:t>ými</w:t>
      </w:r>
      <w:r w:rsidR="00EF5E6C" w:rsidRPr="0053555E">
        <w:rPr>
          <w:rFonts w:asciiTheme="majorHAnsi" w:hAnsiTheme="majorHAnsi"/>
        </w:rPr>
        <w:t xml:space="preserve"> </w:t>
      </w:r>
      <w:r w:rsidR="003C277E" w:rsidRPr="0053555E">
        <w:rPr>
          <w:rFonts w:asciiTheme="majorHAnsi" w:hAnsiTheme="majorHAnsi"/>
        </w:rPr>
        <w:t>predpis</w:t>
      </w:r>
      <w:r w:rsidR="00701FC4" w:rsidRPr="0053555E">
        <w:rPr>
          <w:rFonts w:asciiTheme="majorHAnsi" w:hAnsiTheme="majorHAnsi"/>
        </w:rPr>
        <w:t>mi</w:t>
      </w:r>
      <w:r w:rsidR="001F2136" w:rsidRPr="0053555E">
        <w:rPr>
          <w:rFonts w:asciiTheme="majorHAnsi" w:hAnsiTheme="majorHAnsi"/>
        </w:rPr>
        <w:t xml:space="preserve"> STU</w:t>
      </w:r>
      <w:r w:rsidR="00EF5E6C" w:rsidRPr="0053555E">
        <w:rPr>
          <w:rFonts w:asciiTheme="majorHAnsi" w:hAnsiTheme="majorHAnsi"/>
        </w:rPr>
        <w:t xml:space="preserve">, najmä </w:t>
      </w:r>
      <w:r w:rsidR="001F2136" w:rsidRPr="0053555E">
        <w:rPr>
          <w:rFonts w:asciiTheme="majorHAnsi" w:hAnsiTheme="majorHAnsi"/>
        </w:rPr>
        <w:t>Š</w:t>
      </w:r>
      <w:r w:rsidR="003C277E" w:rsidRPr="0053555E">
        <w:rPr>
          <w:rFonts w:asciiTheme="majorHAnsi" w:hAnsiTheme="majorHAnsi"/>
        </w:rPr>
        <w:t>tudijným</w:t>
      </w:r>
      <w:r w:rsidR="00EF5E6C" w:rsidRPr="0053555E">
        <w:rPr>
          <w:rFonts w:asciiTheme="majorHAnsi" w:hAnsiTheme="majorHAnsi"/>
        </w:rPr>
        <w:t xml:space="preserve"> poriadkom</w:t>
      </w:r>
      <w:r w:rsidR="001F2136" w:rsidRPr="0053555E">
        <w:rPr>
          <w:rFonts w:asciiTheme="majorHAnsi" w:hAnsiTheme="majorHAnsi"/>
        </w:rPr>
        <w:t xml:space="preserve"> STU, Štipendijným poriadkom STU</w:t>
      </w:r>
      <w:r w:rsidR="002B7C87" w:rsidRPr="0053555E">
        <w:rPr>
          <w:rFonts w:asciiTheme="majorHAnsi" w:hAnsiTheme="majorHAnsi"/>
        </w:rPr>
        <w:t xml:space="preserve"> a</w:t>
      </w:r>
      <w:r w:rsidR="008C235E" w:rsidRPr="0053555E">
        <w:rPr>
          <w:rFonts w:asciiTheme="majorHAnsi" w:hAnsiTheme="majorHAnsi"/>
        </w:rPr>
        <w:t> </w:t>
      </w:r>
      <w:r w:rsidR="001F2136" w:rsidRPr="0053555E">
        <w:rPr>
          <w:rFonts w:asciiTheme="majorHAnsi" w:hAnsiTheme="majorHAnsi"/>
        </w:rPr>
        <w:t>Disciplinárnym poriadkom STU pre študentov</w:t>
      </w:r>
      <w:r w:rsidR="00EF5E6C" w:rsidRPr="0053555E">
        <w:rPr>
          <w:rFonts w:asciiTheme="majorHAnsi" w:hAnsiTheme="majorHAnsi"/>
        </w:rPr>
        <w:t xml:space="preserve">, </w:t>
      </w:r>
      <w:r w:rsidR="00487A39" w:rsidRPr="0053555E">
        <w:rPr>
          <w:rFonts w:asciiTheme="majorHAnsi" w:hAnsiTheme="majorHAnsi"/>
        </w:rPr>
        <w:t xml:space="preserve">sú </w:t>
      </w:r>
      <w:r w:rsidR="00EF5E6C" w:rsidRPr="0053555E">
        <w:rPr>
          <w:rFonts w:asciiTheme="majorHAnsi" w:hAnsiTheme="majorHAnsi"/>
        </w:rPr>
        <w:t>školen</w:t>
      </w:r>
      <w:r w:rsidR="00487A39" w:rsidRPr="0053555E">
        <w:rPr>
          <w:rFonts w:asciiTheme="majorHAnsi" w:hAnsiTheme="majorHAnsi"/>
        </w:rPr>
        <w:t>í z</w:t>
      </w:r>
      <w:r w:rsidR="00EF5E6C" w:rsidRPr="0053555E">
        <w:rPr>
          <w:rFonts w:asciiTheme="majorHAnsi" w:hAnsiTheme="majorHAnsi"/>
        </w:rPr>
        <w:t xml:space="preserve"> BOZP a PO, </w:t>
      </w:r>
      <w:r w:rsidR="00EF5E6C" w:rsidRPr="0053555E">
        <w:rPr>
          <w:rFonts w:asciiTheme="majorHAnsi" w:hAnsiTheme="majorHAnsi"/>
        </w:rPr>
        <w:lastRenderedPageBreak/>
        <w:t xml:space="preserve">oboznámení </w:t>
      </w:r>
      <w:r w:rsidR="002B7C87" w:rsidRPr="0053555E">
        <w:rPr>
          <w:rFonts w:asciiTheme="majorHAnsi" w:hAnsiTheme="majorHAnsi"/>
        </w:rPr>
        <w:t>o činnosti akademických orgánov a zástupov študentov v týchto orgánoch</w:t>
      </w:r>
      <w:r w:rsidR="002851A4" w:rsidRPr="0053555E">
        <w:rPr>
          <w:rFonts w:asciiTheme="majorHAnsi" w:hAnsiTheme="majorHAnsi"/>
        </w:rPr>
        <w:t xml:space="preserve">, </w:t>
      </w:r>
      <w:r w:rsidR="00587314">
        <w:rPr>
          <w:rFonts w:asciiTheme="majorHAnsi" w:hAnsiTheme="majorHAnsi"/>
        </w:rPr>
        <w:t xml:space="preserve">o činnosti Poradenského centra STU, </w:t>
      </w:r>
      <w:r w:rsidR="002851A4" w:rsidRPr="0053555E">
        <w:rPr>
          <w:rFonts w:asciiTheme="majorHAnsi" w:hAnsiTheme="majorHAnsi"/>
        </w:rPr>
        <w:t>o </w:t>
      </w:r>
      <w:r w:rsidR="00EF5E6C" w:rsidRPr="0053555E">
        <w:rPr>
          <w:rFonts w:asciiTheme="majorHAnsi" w:hAnsiTheme="majorHAnsi"/>
        </w:rPr>
        <w:t>činnos</w:t>
      </w:r>
      <w:r w:rsidR="002851A4" w:rsidRPr="0053555E">
        <w:rPr>
          <w:rFonts w:asciiTheme="majorHAnsi" w:hAnsiTheme="majorHAnsi"/>
        </w:rPr>
        <w:t xml:space="preserve">ti </w:t>
      </w:r>
      <w:r w:rsidR="00EF5E6C" w:rsidRPr="0053555E">
        <w:rPr>
          <w:rFonts w:asciiTheme="majorHAnsi" w:hAnsiTheme="majorHAnsi"/>
        </w:rPr>
        <w:t>študentských organizácií</w:t>
      </w:r>
      <w:r w:rsidR="002E539E" w:rsidRPr="0053555E">
        <w:rPr>
          <w:rFonts w:asciiTheme="majorHAnsi" w:hAnsiTheme="majorHAnsi"/>
        </w:rPr>
        <w:t xml:space="preserve">, </w:t>
      </w:r>
      <w:r w:rsidR="002B7C87" w:rsidRPr="0053555E">
        <w:rPr>
          <w:rFonts w:asciiTheme="majorHAnsi" w:hAnsiTheme="majorHAnsi"/>
        </w:rPr>
        <w:t xml:space="preserve">o voľnočasových aktivitách, možnosti využívania športovísk STU, </w:t>
      </w:r>
      <w:r w:rsidR="002E539E" w:rsidRPr="0053555E">
        <w:rPr>
          <w:rFonts w:asciiTheme="majorHAnsi" w:hAnsiTheme="majorHAnsi"/>
        </w:rPr>
        <w:t>s priestormi fakulty</w:t>
      </w:r>
      <w:r w:rsidR="006D6310" w:rsidRPr="0053555E">
        <w:rPr>
          <w:rFonts w:asciiTheme="majorHAnsi" w:hAnsiTheme="majorHAnsi"/>
        </w:rPr>
        <w:t>, laboratóriami, učebňami</w:t>
      </w:r>
      <w:r w:rsidR="002E539E" w:rsidRPr="0053555E">
        <w:rPr>
          <w:rFonts w:asciiTheme="majorHAnsi" w:hAnsiTheme="majorHAnsi"/>
        </w:rPr>
        <w:t xml:space="preserve">, študijným oddelením, sú im predstavení </w:t>
      </w:r>
      <w:r w:rsidR="00E312F5" w:rsidRPr="0053555E">
        <w:rPr>
          <w:rFonts w:asciiTheme="majorHAnsi" w:hAnsiTheme="majorHAnsi"/>
        </w:rPr>
        <w:t>tútori</w:t>
      </w:r>
      <w:r w:rsidR="002851A4" w:rsidRPr="0053555E">
        <w:rPr>
          <w:rFonts w:asciiTheme="majorHAnsi" w:hAnsiTheme="majorHAnsi"/>
        </w:rPr>
        <w:t>.</w:t>
      </w:r>
      <w:r w:rsidR="00E312F5" w:rsidRPr="0053555E">
        <w:rPr>
          <w:rFonts w:asciiTheme="majorHAnsi" w:hAnsiTheme="majorHAnsi"/>
        </w:rPr>
        <w:t xml:space="preserve"> </w:t>
      </w:r>
    </w:p>
    <w:p w14:paraId="4B78DB86" w14:textId="1D2816C5" w:rsidR="00D8214B" w:rsidRPr="0053555E" w:rsidRDefault="001110F9" w:rsidP="00ED2ABB">
      <w:pPr>
        <w:spacing w:after="120"/>
        <w:jc w:val="both"/>
        <w:rPr>
          <w:rFonts w:asciiTheme="majorHAnsi" w:hAnsiTheme="majorHAnsi"/>
        </w:rPr>
      </w:pPr>
      <w:r w:rsidRPr="0053555E">
        <w:rPr>
          <w:rFonts w:asciiTheme="majorHAnsi" w:hAnsiTheme="majorHAnsi"/>
        </w:rPr>
        <w:t xml:space="preserve">Súčasti STU v rámci </w:t>
      </w:r>
      <w:r w:rsidR="00D917FC" w:rsidRPr="0053555E">
        <w:rPr>
          <w:rFonts w:asciiTheme="majorHAnsi" w:hAnsiTheme="majorHAnsi"/>
        </w:rPr>
        <w:t>Ú</w:t>
      </w:r>
      <w:r w:rsidRPr="0053555E">
        <w:rPr>
          <w:rFonts w:asciiTheme="majorHAnsi" w:hAnsiTheme="majorHAnsi"/>
        </w:rPr>
        <w:t xml:space="preserve">vodu do štúdia ponúkajú </w:t>
      </w:r>
      <w:r w:rsidRPr="003460F6">
        <w:rPr>
          <w:rFonts w:asciiTheme="majorHAnsi" w:hAnsiTheme="majorHAnsi"/>
          <w:b/>
        </w:rPr>
        <w:t>pr</w:t>
      </w:r>
      <w:r w:rsidR="00B23A46" w:rsidRPr="003460F6">
        <w:rPr>
          <w:rFonts w:asciiTheme="majorHAnsi" w:hAnsiTheme="majorHAnsi"/>
          <w:b/>
        </w:rPr>
        <w:t>í</w:t>
      </w:r>
      <w:r w:rsidRPr="003460F6">
        <w:rPr>
          <w:rFonts w:asciiTheme="majorHAnsi" w:hAnsiTheme="majorHAnsi"/>
          <w:b/>
        </w:rPr>
        <w:t>pravné kurzy</w:t>
      </w:r>
      <w:r w:rsidRPr="0053555E">
        <w:rPr>
          <w:rFonts w:asciiTheme="majorHAnsi" w:hAnsiTheme="majorHAnsi"/>
        </w:rPr>
        <w:t xml:space="preserve"> matematiky, </w:t>
      </w:r>
      <w:r w:rsidR="00007ABB" w:rsidRPr="0053555E">
        <w:rPr>
          <w:rFonts w:asciiTheme="majorHAnsi" w:hAnsiTheme="majorHAnsi"/>
        </w:rPr>
        <w:t xml:space="preserve">deskriptívnej geometrie, </w:t>
      </w:r>
      <w:r w:rsidRPr="0053555E">
        <w:rPr>
          <w:rFonts w:asciiTheme="majorHAnsi" w:hAnsiTheme="majorHAnsi"/>
        </w:rPr>
        <w:t>fyziky, chémie</w:t>
      </w:r>
      <w:r w:rsidR="000C49A1" w:rsidRPr="0053555E">
        <w:rPr>
          <w:rFonts w:asciiTheme="majorHAnsi" w:hAnsiTheme="majorHAnsi"/>
        </w:rPr>
        <w:t xml:space="preserve"> s cieľom poskytnúť študentom súhrn n</w:t>
      </w:r>
      <w:r w:rsidR="00244094" w:rsidRPr="0053555E">
        <w:rPr>
          <w:rFonts w:asciiTheme="majorHAnsi" w:hAnsiTheme="majorHAnsi"/>
        </w:rPr>
        <w:t>ajdôležitejších kapitol učiva z </w:t>
      </w:r>
      <w:r w:rsidR="000C49A1" w:rsidRPr="0053555E">
        <w:rPr>
          <w:rFonts w:asciiTheme="majorHAnsi" w:hAnsiTheme="majorHAnsi"/>
        </w:rPr>
        <w:t>uvedených predmetov nevyhnutných ku štúdiu</w:t>
      </w:r>
      <w:r w:rsidR="00244094" w:rsidRPr="0053555E">
        <w:rPr>
          <w:rFonts w:asciiTheme="majorHAnsi" w:hAnsiTheme="majorHAnsi"/>
        </w:rPr>
        <w:t xml:space="preserve">. </w:t>
      </w:r>
      <w:r w:rsidR="00374F76">
        <w:rPr>
          <w:rFonts w:asciiTheme="majorHAnsi" w:hAnsiTheme="majorHAnsi"/>
        </w:rPr>
        <w:t xml:space="preserve">Vybrané </w:t>
      </w:r>
      <w:r w:rsidR="00CA690B" w:rsidRPr="0053555E">
        <w:rPr>
          <w:rFonts w:asciiTheme="majorHAnsi" w:hAnsiTheme="majorHAnsi"/>
        </w:rPr>
        <w:t>prípravn</w:t>
      </w:r>
      <w:r w:rsidR="00384795">
        <w:rPr>
          <w:rFonts w:asciiTheme="majorHAnsi" w:hAnsiTheme="majorHAnsi"/>
        </w:rPr>
        <w:t>é</w:t>
      </w:r>
      <w:r w:rsidR="00CA690B" w:rsidRPr="0053555E">
        <w:rPr>
          <w:rFonts w:asciiTheme="majorHAnsi" w:hAnsiTheme="majorHAnsi"/>
        </w:rPr>
        <w:t xml:space="preserve"> kurz</w:t>
      </w:r>
      <w:r w:rsidR="00384795">
        <w:rPr>
          <w:rFonts w:asciiTheme="majorHAnsi" w:hAnsiTheme="majorHAnsi"/>
        </w:rPr>
        <w:t xml:space="preserve">y končia </w:t>
      </w:r>
      <w:r w:rsidR="005250AE">
        <w:rPr>
          <w:rFonts w:asciiTheme="majorHAnsi" w:hAnsiTheme="majorHAnsi"/>
        </w:rPr>
        <w:t xml:space="preserve">spravidla dobrovoľným </w:t>
      </w:r>
      <w:r w:rsidR="00384795">
        <w:rPr>
          <w:rFonts w:asciiTheme="majorHAnsi" w:hAnsiTheme="majorHAnsi"/>
        </w:rPr>
        <w:t>testom. N</w:t>
      </w:r>
      <w:r w:rsidR="00B24D77" w:rsidRPr="0053555E">
        <w:rPr>
          <w:rFonts w:asciiTheme="majorHAnsi" w:hAnsiTheme="majorHAnsi"/>
        </w:rPr>
        <w:t>a</w:t>
      </w:r>
      <w:r w:rsidR="00384795">
        <w:rPr>
          <w:rFonts w:asciiTheme="majorHAnsi" w:hAnsiTheme="majorHAnsi"/>
        </w:rPr>
        <w:t> </w:t>
      </w:r>
      <w:r w:rsidR="00B24D77" w:rsidRPr="0053555E">
        <w:rPr>
          <w:rFonts w:asciiTheme="majorHAnsi" w:hAnsiTheme="majorHAnsi"/>
        </w:rPr>
        <w:t xml:space="preserve"> základe </w:t>
      </w:r>
      <w:r w:rsidR="006E6EF0" w:rsidRPr="0053555E">
        <w:rPr>
          <w:rFonts w:asciiTheme="majorHAnsi" w:hAnsiTheme="majorHAnsi"/>
        </w:rPr>
        <w:t xml:space="preserve">výsledkov </w:t>
      </w:r>
      <w:r w:rsidR="00B24D77" w:rsidRPr="0053555E">
        <w:rPr>
          <w:rFonts w:asciiTheme="majorHAnsi" w:hAnsiTheme="majorHAnsi"/>
        </w:rPr>
        <w:t xml:space="preserve">testov </w:t>
      </w:r>
      <w:r w:rsidR="00CA690B" w:rsidRPr="0053555E">
        <w:rPr>
          <w:rFonts w:asciiTheme="majorHAnsi" w:hAnsiTheme="majorHAnsi"/>
        </w:rPr>
        <w:t>z programovania (FIIT)</w:t>
      </w:r>
      <w:r w:rsidR="00B24D77" w:rsidRPr="0053555E">
        <w:rPr>
          <w:rFonts w:asciiTheme="majorHAnsi" w:hAnsiTheme="majorHAnsi"/>
        </w:rPr>
        <w:t xml:space="preserve"> a z </w:t>
      </w:r>
      <w:r w:rsidR="00CA690B" w:rsidRPr="0053555E">
        <w:rPr>
          <w:rFonts w:asciiTheme="majorHAnsi" w:hAnsiTheme="majorHAnsi"/>
        </w:rPr>
        <w:t>matematiky (FIIT, FCHPT</w:t>
      </w:r>
      <w:r w:rsidR="00B24D77" w:rsidRPr="0053555E">
        <w:rPr>
          <w:rFonts w:asciiTheme="majorHAnsi" w:hAnsiTheme="majorHAnsi"/>
        </w:rPr>
        <w:t>)</w:t>
      </w:r>
      <w:r w:rsidR="00CA690B" w:rsidRPr="0053555E">
        <w:rPr>
          <w:rFonts w:asciiTheme="majorHAnsi" w:hAnsiTheme="majorHAnsi"/>
        </w:rPr>
        <w:t xml:space="preserve"> </w:t>
      </w:r>
      <w:r w:rsidR="005075A0" w:rsidRPr="0053555E">
        <w:rPr>
          <w:rFonts w:asciiTheme="majorHAnsi" w:hAnsiTheme="majorHAnsi"/>
        </w:rPr>
        <w:t xml:space="preserve">je </w:t>
      </w:r>
      <w:r w:rsidR="00CA690B" w:rsidRPr="0053555E">
        <w:rPr>
          <w:rFonts w:asciiTheme="majorHAnsi" w:hAnsiTheme="majorHAnsi"/>
        </w:rPr>
        <w:t xml:space="preserve">študentom </w:t>
      </w:r>
      <w:r w:rsidR="006E6EF0" w:rsidRPr="0053555E">
        <w:rPr>
          <w:rFonts w:asciiTheme="majorHAnsi" w:hAnsiTheme="majorHAnsi"/>
        </w:rPr>
        <w:t>ponúknu</w:t>
      </w:r>
      <w:r w:rsidR="005075A0" w:rsidRPr="0053555E">
        <w:rPr>
          <w:rFonts w:asciiTheme="majorHAnsi" w:hAnsiTheme="majorHAnsi"/>
        </w:rPr>
        <w:t>t</w:t>
      </w:r>
      <w:r w:rsidR="00DB04AE">
        <w:rPr>
          <w:rFonts w:asciiTheme="majorHAnsi" w:hAnsiTheme="majorHAnsi"/>
        </w:rPr>
        <w:t>á možnosť</w:t>
      </w:r>
      <w:r w:rsidR="00CA690B" w:rsidRPr="0053555E">
        <w:rPr>
          <w:rFonts w:asciiTheme="majorHAnsi" w:hAnsiTheme="majorHAnsi"/>
        </w:rPr>
        <w:t xml:space="preserve"> zmeniť študijný program a zapísať sa na</w:t>
      </w:r>
      <w:r w:rsidR="00DB04AE">
        <w:rPr>
          <w:rFonts w:asciiTheme="majorHAnsi" w:hAnsiTheme="majorHAnsi"/>
        </w:rPr>
        <w:t> </w:t>
      </w:r>
      <w:r w:rsidR="00CA690B" w:rsidRPr="0053555E">
        <w:rPr>
          <w:rFonts w:asciiTheme="majorHAnsi" w:hAnsiTheme="majorHAnsi"/>
        </w:rPr>
        <w:t xml:space="preserve">konverzný študijný </w:t>
      </w:r>
      <w:r w:rsidR="006E6EF0" w:rsidRPr="0053555E">
        <w:rPr>
          <w:rFonts w:asciiTheme="majorHAnsi" w:hAnsiTheme="majorHAnsi"/>
        </w:rPr>
        <w:t>program</w:t>
      </w:r>
      <w:r w:rsidR="003460F6">
        <w:rPr>
          <w:rFonts w:asciiTheme="majorHAnsi" w:hAnsiTheme="majorHAnsi"/>
        </w:rPr>
        <w:t xml:space="preserve">. </w:t>
      </w:r>
      <w:r w:rsidR="005075A0" w:rsidRPr="0053555E">
        <w:rPr>
          <w:rFonts w:asciiTheme="majorHAnsi" w:hAnsiTheme="majorHAnsi"/>
        </w:rPr>
        <w:t>Študenti niektorých súčastí absolvujú testy z anglického jazyka, na základe ktorých sú zaradení do</w:t>
      </w:r>
      <w:r w:rsidR="00DB04AE">
        <w:rPr>
          <w:rFonts w:asciiTheme="majorHAnsi" w:hAnsiTheme="majorHAnsi"/>
        </w:rPr>
        <w:t> </w:t>
      </w:r>
      <w:r w:rsidR="005075A0" w:rsidRPr="0053555E">
        <w:rPr>
          <w:rFonts w:asciiTheme="majorHAnsi" w:hAnsiTheme="majorHAnsi"/>
        </w:rPr>
        <w:t xml:space="preserve">skupín podľa úrovne jazykových znalostí (FEI). </w:t>
      </w:r>
      <w:r w:rsidR="00CF1093" w:rsidRPr="0053555E">
        <w:rPr>
          <w:rFonts w:asciiTheme="majorHAnsi" w:hAnsiTheme="majorHAnsi"/>
        </w:rPr>
        <w:t>Pre </w:t>
      </w:r>
      <w:r w:rsidR="00244094" w:rsidRPr="0053555E">
        <w:rPr>
          <w:rFonts w:asciiTheme="majorHAnsi" w:hAnsiTheme="majorHAnsi"/>
        </w:rPr>
        <w:t xml:space="preserve">zahraničných študentov sú ponúkané </w:t>
      </w:r>
      <w:r w:rsidR="005C5AA4" w:rsidRPr="0053555E">
        <w:rPr>
          <w:rFonts w:asciiTheme="majorHAnsi" w:hAnsiTheme="majorHAnsi"/>
        </w:rPr>
        <w:t xml:space="preserve">kurzy slovenského jazyka </w:t>
      </w:r>
      <w:r w:rsidR="00C04328" w:rsidRPr="0053555E">
        <w:rPr>
          <w:rFonts w:asciiTheme="majorHAnsi" w:hAnsiTheme="majorHAnsi"/>
        </w:rPr>
        <w:t xml:space="preserve">na </w:t>
      </w:r>
      <w:r w:rsidR="003C277E" w:rsidRPr="0053555E">
        <w:rPr>
          <w:rFonts w:asciiTheme="majorHAnsi" w:hAnsiTheme="majorHAnsi"/>
        </w:rPr>
        <w:t>zle</w:t>
      </w:r>
      <w:r w:rsidR="00873CCA" w:rsidRPr="0053555E">
        <w:rPr>
          <w:rFonts w:asciiTheme="majorHAnsi" w:hAnsiTheme="majorHAnsi"/>
        </w:rPr>
        <w:t>p</w:t>
      </w:r>
      <w:r w:rsidR="003C277E" w:rsidRPr="0053555E">
        <w:rPr>
          <w:rFonts w:asciiTheme="majorHAnsi" w:hAnsiTheme="majorHAnsi"/>
        </w:rPr>
        <w:t>šenie</w:t>
      </w:r>
      <w:r w:rsidR="00C04328" w:rsidRPr="0053555E">
        <w:rPr>
          <w:rFonts w:asciiTheme="majorHAnsi" w:hAnsiTheme="majorHAnsi"/>
        </w:rPr>
        <w:t xml:space="preserve"> jazykových znalost</w:t>
      </w:r>
      <w:r w:rsidR="00873CCA" w:rsidRPr="0053555E">
        <w:rPr>
          <w:rFonts w:asciiTheme="majorHAnsi" w:hAnsiTheme="majorHAnsi"/>
        </w:rPr>
        <w:t>í potrebných</w:t>
      </w:r>
      <w:r w:rsidR="00C04328" w:rsidRPr="0053555E">
        <w:rPr>
          <w:rFonts w:asciiTheme="majorHAnsi" w:hAnsiTheme="majorHAnsi"/>
        </w:rPr>
        <w:t xml:space="preserve"> na štúdium v slovenskom jazyku</w:t>
      </w:r>
      <w:r w:rsidR="00606E09" w:rsidRPr="0053555E">
        <w:rPr>
          <w:rFonts w:asciiTheme="majorHAnsi" w:hAnsiTheme="majorHAnsi"/>
        </w:rPr>
        <w:t>. FAD ponúka kurzy</w:t>
      </w:r>
      <w:r w:rsidRPr="0053555E">
        <w:rPr>
          <w:rFonts w:asciiTheme="majorHAnsi" w:hAnsiTheme="majorHAnsi"/>
        </w:rPr>
        <w:t xml:space="preserve"> </w:t>
      </w:r>
      <w:r w:rsidR="00126EC3" w:rsidRPr="0053555E">
        <w:rPr>
          <w:rFonts w:asciiTheme="majorHAnsi" w:hAnsiTheme="majorHAnsi"/>
        </w:rPr>
        <w:t>výtvarných disciplín a </w:t>
      </w:r>
      <w:r w:rsidR="00606E09" w:rsidRPr="0053555E">
        <w:rPr>
          <w:rFonts w:asciiTheme="majorHAnsi" w:hAnsiTheme="majorHAnsi"/>
        </w:rPr>
        <w:t>úvod</w:t>
      </w:r>
      <w:r w:rsidR="00973E84" w:rsidRPr="0053555E">
        <w:rPr>
          <w:rFonts w:asciiTheme="majorHAnsi" w:hAnsiTheme="majorHAnsi"/>
        </w:rPr>
        <w:t xml:space="preserve"> do problematiky navrhovania</w:t>
      </w:r>
      <w:r w:rsidR="00CA690B" w:rsidRPr="0053555E">
        <w:rPr>
          <w:rFonts w:asciiTheme="majorHAnsi" w:hAnsiTheme="majorHAnsi"/>
        </w:rPr>
        <w:t>.</w:t>
      </w:r>
      <w:r w:rsidR="006921BD" w:rsidRPr="0053555E">
        <w:rPr>
          <w:rFonts w:asciiTheme="majorHAnsi" w:hAnsiTheme="majorHAnsi"/>
        </w:rPr>
        <w:t xml:space="preserve"> </w:t>
      </w:r>
      <w:r w:rsidR="00DB04AE">
        <w:rPr>
          <w:rFonts w:asciiTheme="majorHAnsi" w:hAnsiTheme="majorHAnsi"/>
        </w:rPr>
        <w:t xml:space="preserve">Na </w:t>
      </w:r>
      <w:r w:rsidR="0020783C">
        <w:rPr>
          <w:rFonts w:asciiTheme="majorHAnsi" w:hAnsiTheme="majorHAnsi"/>
        </w:rPr>
        <w:t xml:space="preserve">aktivitách v rámci </w:t>
      </w:r>
      <w:r w:rsidR="009D7AFA" w:rsidRPr="009D7AFA">
        <w:rPr>
          <w:rFonts w:asciiTheme="majorHAnsi" w:hAnsiTheme="majorHAnsi"/>
        </w:rPr>
        <w:t xml:space="preserve">Úvodu do štúdia </w:t>
      </w:r>
      <w:r w:rsidR="009324D5">
        <w:rPr>
          <w:rFonts w:asciiTheme="majorHAnsi" w:hAnsiTheme="majorHAnsi"/>
        </w:rPr>
        <w:t xml:space="preserve">sa na fakultách aktívne </w:t>
      </w:r>
      <w:r w:rsidR="007C5E40">
        <w:rPr>
          <w:rFonts w:asciiTheme="majorHAnsi" w:hAnsiTheme="majorHAnsi"/>
        </w:rPr>
        <w:t>zapájajú</w:t>
      </w:r>
      <w:r w:rsidR="009324D5">
        <w:rPr>
          <w:rFonts w:asciiTheme="majorHAnsi" w:hAnsiTheme="majorHAnsi"/>
        </w:rPr>
        <w:t xml:space="preserve"> aj študentské organizácie</w:t>
      </w:r>
      <w:r w:rsidR="003460F6">
        <w:rPr>
          <w:rFonts w:asciiTheme="majorHAnsi" w:hAnsiTheme="majorHAnsi"/>
        </w:rPr>
        <w:t>.</w:t>
      </w:r>
      <w:r w:rsidR="00D77CF4">
        <w:rPr>
          <w:rFonts w:asciiTheme="majorHAnsi" w:hAnsiTheme="majorHAnsi"/>
        </w:rPr>
        <w:t xml:space="preserve"> </w:t>
      </w:r>
    </w:p>
    <w:p w14:paraId="768A7187" w14:textId="507E71CD" w:rsidR="00F95C5E" w:rsidRPr="0053555E" w:rsidRDefault="00EA4E02" w:rsidP="00ED2ABB">
      <w:pPr>
        <w:spacing w:after="120"/>
        <w:jc w:val="both"/>
        <w:rPr>
          <w:rFonts w:asciiTheme="majorHAnsi" w:hAnsiTheme="majorHAnsi"/>
        </w:rPr>
      </w:pPr>
      <w:r w:rsidRPr="00522421">
        <w:rPr>
          <w:rFonts w:asciiTheme="majorHAnsi" w:hAnsiTheme="majorHAnsi"/>
        </w:rPr>
        <w:t xml:space="preserve">Všetky súčasti STU </w:t>
      </w:r>
      <w:r w:rsidR="006352AA" w:rsidRPr="00522421">
        <w:rPr>
          <w:rFonts w:asciiTheme="majorHAnsi" w:hAnsiTheme="majorHAnsi"/>
        </w:rPr>
        <w:t>už niekoľko rokov v spolupráci so študentskými organizáciami alebo jednotlivými študentmi</w:t>
      </w:r>
      <w:r w:rsidR="00F95C5E" w:rsidRPr="00522421">
        <w:rPr>
          <w:rFonts w:asciiTheme="majorHAnsi" w:hAnsiTheme="majorHAnsi"/>
        </w:rPr>
        <w:t xml:space="preserve"> </w:t>
      </w:r>
      <w:r w:rsidR="00F95C5E" w:rsidRPr="00522421">
        <w:rPr>
          <w:rFonts w:asciiTheme="majorHAnsi" w:hAnsiTheme="majorHAnsi"/>
          <w:b/>
        </w:rPr>
        <w:t>organizuj</w:t>
      </w:r>
      <w:r w:rsidR="006352AA" w:rsidRPr="00522421">
        <w:rPr>
          <w:rFonts w:asciiTheme="majorHAnsi" w:hAnsiTheme="majorHAnsi"/>
          <w:b/>
        </w:rPr>
        <w:t>ú</w:t>
      </w:r>
      <w:r w:rsidR="00F95C5E" w:rsidRPr="00522421">
        <w:rPr>
          <w:rFonts w:asciiTheme="majorHAnsi" w:hAnsiTheme="majorHAnsi"/>
          <w:b/>
        </w:rPr>
        <w:t xml:space="preserve"> </w:t>
      </w:r>
      <w:bookmarkStart w:id="244" w:name="_Hlk127588871"/>
      <w:r w:rsidR="00F95C5E" w:rsidRPr="00522421">
        <w:rPr>
          <w:rFonts w:asciiTheme="majorHAnsi" w:hAnsiTheme="majorHAnsi"/>
          <w:b/>
        </w:rPr>
        <w:t xml:space="preserve">tútoring </w:t>
      </w:r>
      <w:r w:rsidR="006352AA" w:rsidRPr="00522421">
        <w:rPr>
          <w:rFonts w:asciiTheme="majorHAnsi" w:hAnsiTheme="majorHAnsi"/>
          <w:b/>
        </w:rPr>
        <w:t>(študentsk</w:t>
      </w:r>
      <w:r w:rsidR="00B03581" w:rsidRPr="00522421">
        <w:rPr>
          <w:rFonts w:asciiTheme="majorHAnsi" w:hAnsiTheme="majorHAnsi"/>
          <w:b/>
        </w:rPr>
        <w:t>é sprevádzanie</w:t>
      </w:r>
      <w:bookmarkEnd w:id="244"/>
      <w:r w:rsidR="006352AA" w:rsidRPr="00522421">
        <w:rPr>
          <w:rFonts w:asciiTheme="majorHAnsi" w:hAnsiTheme="majorHAnsi"/>
          <w:b/>
        </w:rPr>
        <w:t>)</w:t>
      </w:r>
      <w:r w:rsidR="00342585" w:rsidRPr="00522421">
        <w:rPr>
          <w:rFonts w:asciiTheme="majorHAnsi" w:hAnsiTheme="majorHAnsi"/>
        </w:rPr>
        <w:t xml:space="preserve">, </w:t>
      </w:r>
      <w:bookmarkStart w:id="245" w:name="_Hlk127588918"/>
      <w:r w:rsidR="00342585" w:rsidRPr="00522421">
        <w:rPr>
          <w:rFonts w:asciiTheme="majorHAnsi" w:hAnsiTheme="majorHAnsi"/>
        </w:rPr>
        <w:t xml:space="preserve">v rámci ktorého sa poskytuje pomoc študentom </w:t>
      </w:r>
      <w:r w:rsidR="00522421">
        <w:rPr>
          <w:rFonts w:asciiTheme="majorHAnsi" w:hAnsiTheme="majorHAnsi"/>
        </w:rPr>
        <w:t xml:space="preserve">v </w:t>
      </w:r>
      <w:r w:rsidR="00342585" w:rsidRPr="00522421">
        <w:rPr>
          <w:rFonts w:asciiTheme="majorHAnsi" w:hAnsiTheme="majorHAnsi"/>
        </w:rPr>
        <w:t>prv</w:t>
      </w:r>
      <w:r w:rsidR="00522421">
        <w:rPr>
          <w:rFonts w:asciiTheme="majorHAnsi" w:hAnsiTheme="majorHAnsi"/>
        </w:rPr>
        <w:t>om</w:t>
      </w:r>
      <w:r w:rsidR="00342585" w:rsidRPr="00522421">
        <w:rPr>
          <w:rFonts w:asciiTheme="majorHAnsi" w:hAnsiTheme="majorHAnsi"/>
        </w:rPr>
        <w:t xml:space="preserve"> rok</w:t>
      </w:r>
      <w:r w:rsidR="00522421">
        <w:rPr>
          <w:rFonts w:asciiTheme="majorHAnsi" w:hAnsiTheme="majorHAnsi"/>
        </w:rPr>
        <w:t>u</w:t>
      </w:r>
      <w:r w:rsidR="00342585" w:rsidRPr="00522421">
        <w:rPr>
          <w:rFonts w:asciiTheme="majorHAnsi" w:hAnsiTheme="majorHAnsi"/>
        </w:rPr>
        <w:t xml:space="preserve"> štúdia pri adaptácii </w:t>
      </w:r>
      <w:r w:rsidR="00873CCA" w:rsidRPr="00522421">
        <w:rPr>
          <w:rFonts w:asciiTheme="majorHAnsi" w:hAnsiTheme="majorHAnsi"/>
        </w:rPr>
        <w:t xml:space="preserve">sa </w:t>
      </w:r>
      <w:r w:rsidR="00342585" w:rsidRPr="00522421">
        <w:rPr>
          <w:rFonts w:asciiTheme="majorHAnsi" w:hAnsiTheme="majorHAnsi"/>
        </w:rPr>
        <w:t>na vysokoškolské štúdium</w:t>
      </w:r>
      <w:r w:rsidR="00B335C8" w:rsidRPr="00522421">
        <w:rPr>
          <w:rFonts w:asciiTheme="majorHAnsi" w:hAnsiTheme="majorHAnsi"/>
        </w:rPr>
        <w:t>, dôraz sa kladie tiež na </w:t>
      </w:r>
      <w:r w:rsidR="00342585" w:rsidRPr="00522421">
        <w:rPr>
          <w:rFonts w:asciiTheme="majorHAnsi" w:hAnsiTheme="majorHAnsi"/>
        </w:rPr>
        <w:t>stratégiu plánovania a prípravy na skúš</w:t>
      </w:r>
      <w:r w:rsidR="00522421">
        <w:rPr>
          <w:rFonts w:asciiTheme="majorHAnsi" w:hAnsiTheme="majorHAnsi"/>
        </w:rPr>
        <w:t>kové</w:t>
      </w:r>
      <w:r w:rsidR="00342585" w:rsidRPr="00522421">
        <w:rPr>
          <w:rFonts w:asciiTheme="majorHAnsi" w:hAnsiTheme="majorHAnsi"/>
        </w:rPr>
        <w:t xml:space="preserve"> obdobie v prvom semestri</w:t>
      </w:r>
      <w:r w:rsidR="00E41477" w:rsidRPr="00522421">
        <w:rPr>
          <w:rFonts w:asciiTheme="majorHAnsi" w:hAnsiTheme="majorHAnsi"/>
        </w:rPr>
        <w:t xml:space="preserve">. </w:t>
      </w:r>
      <w:bookmarkEnd w:id="245"/>
    </w:p>
    <w:p w14:paraId="7A751CF1" w14:textId="4F32215F" w:rsidR="00AA0796" w:rsidRPr="0053555E" w:rsidRDefault="00AA0796" w:rsidP="003460F6">
      <w:pPr>
        <w:spacing w:after="120"/>
        <w:jc w:val="both"/>
        <w:rPr>
          <w:rFonts w:asciiTheme="majorHAnsi" w:hAnsiTheme="majorHAnsi"/>
        </w:rPr>
      </w:pPr>
      <w:r w:rsidRPr="0053555E">
        <w:rPr>
          <w:rFonts w:asciiTheme="majorHAnsi" w:hAnsiTheme="majorHAnsi"/>
        </w:rPr>
        <w:t xml:space="preserve">Fakulty ponúkali </w:t>
      </w:r>
      <w:r w:rsidR="00B437EF" w:rsidRPr="0053555E">
        <w:rPr>
          <w:rFonts w:asciiTheme="majorHAnsi" w:hAnsiTheme="majorHAnsi"/>
          <w:b/>
        </w:rPr>
        <w:t xml:space="preserve">poradenstvo a </w:t>
      </w:r>
      <w:r w:rsidRPr="0053555E">
        <w:rPr>
          <w:rFonts w:asciiTheme="majorHAnsi" w:hAnsiTheme="majorHAnsi"/>
          <w:b/>
        </w:rPr>
        <w:t>konzultácie</w:t>
      </w:r>
      <w:r w:rsidRPr="0053555E">
        <w:rPr>
          <w:rFonts w:asciiTheme="majorHAnsi" w:hAnsiTheme="majorHAnsi"/>
        </w:rPr>
        <w:t xml:space="preserve"> zabezpečované prostredníctvom študijných poradcov </w:t>
      </w:r>
      <w:r w:rsidR="00537B68" w:rsidRPr="0053555E">
        <w:rPr>
          <w:rFonts w:asciiTheme="majorHAnsi" w:hAnsiTheme="majorHAnsi"/>
        </w:rPr>
        <w:t xml:space="preserve">v rámci </w:t>
      </w:r>
      <w:r w:rsidRPr="0053555E">
        <w:rPr>
          <w:rFonts w:asciiTheme="majorHAnsi" w:hAnsiTheme="majorHAnsi"/>
        </w:rPr>
        <w:t>jednotlivých študijných programo</w:t>
      </w:r>
      <w:r w:rsidR="00537B68" w:rsidRPr="0053555E">
        <w:rPr>
          <w:rFonts w:asciiTheme="majorHAnsi" w:hAnsiTheme="majorHAnsi"/>
        </w:rPr>
        <w:t>v</w:t>
      </w:r>
      <w:r w:rsidRPr="0053555E">
        <w:rPr>
          <w:rFonts w:asciiTheme="majorHAnsi" w:hAnsiTheme="majorHAnsi"/>
        </w:rPr>
        <w:t xml:space="preserve"> pre všetkých študentov na všetkých stupňoch štúdia, ale tiež individuálne </w:t>
      </w:r>
      <w:r w:rsidR="00537B68" w:rsidRPr="0053555E">
        <w:rPr>
          <w:rFonts w:asciiTheme="majorHAnsi" w:hAnsiTheme="majorHAnsi"/>
        </w:rPr>
        <w:t xml:space="preserve">konzultácie učiteľov predmetov </w:t>
      </w:r>
      <w:r w:rsidRPr="0053555E">
        <w:rPr>
          <w:rFonts w:asciiTheme="majorHAnsi" w:hAnsiTheme="majorHAnsi"/>
        </w:rPr>
        <w:t xml:space="preserve">podľa potreby </w:t>
      </w:r>
      <w:r w:rsidR="00537B68" w:rsidRPr="0053555E">
        <w:rPr>
          <w:rFonts w:asciiTheme="majorHAnsi" w:hAnsiTheme="majorHAnsi"/>
        </w:rPr>
        <w:t>študentov</w:t>
      </w:r>
      <w:r w:rsidR="00265760" w:rsidRPr="0053555E">
        <w:rPr>
          <w:rFonts w:asciiTheme="majorHAnsi" w:hAnsiTheme="majorHAnsi"/>
        </w:rPr>
        <w:t>.</w:t>
      </w:r>
      <w:r w:rsidR="00B437EF" w:rsidRPr="0053555E">
        <w:rPr>
          <w:rFonts w:asciiTheme="majorHAnsi" w:hAnsiTheme="majorHAnsi"/>
        </w:rPr>
        <w:t xml:space="preserve"> </w:t>
      </w:r>
    </w:p>
    <w:p w14:paraId="79E4367E" w14:textId="3C54C9A5" w:rsidR="00384520" w:rsidRPr="0053555E" w:rsidRDefault="007172E4" w:rsidP="00ED2ABB">
      <w:pPr>
        <w:spacing w:after="120"/>
        <w:jc w:val="both"/>
        <w:rPr>
          <w:rFonts w:asciiTheme="majorHAnsi" w:hAnsiTheme="majorHAnsi"/>
        </w:rPr>
      </w:pPr>
      <w:r w:rsidRPr="0053555E">
        <w:rPr>
          <w:rFonts w:asciiTheme="majorHAnsi" w:hAnsiTheme="majorHAnsi"/>
          <w:b/>
        </w:rPr>
        <w:t xml:space="preserve">Mimoriadne </w:t>
      </w:r>
      <w:r w:rsidR="00384520" w:rsidRPr="0053555E">
        <w:rPr>
          <w:rFonts w:asciiTheme="majorHAnsi" w:hAnsiTheme="majorHAnsi"/>
          <w:b/>
        </w:rPr>
        <w:t>nadaných študentov</w:t>
      </w:r>
      <w:r w:rsidR="00384520" w:rsidRPr="0053555E">
        <w:rPr>
          <w:rFonts w:asciiTheme="majorHAnsi" w:hAnsiTheme="majorHAnsi"/>
        </w:rPr>
        <w:t xml:space="preserve"> </w:t>
      </w:r>
      <w:r w:rsidR="004873BD" w:rsidRPr="0053555E">
        <w:rPr>
          <w:rFonts w:asciiTheme="majorHAnsi" w:hAnsiTheme="majorHAnsi"/>
        </w:rPr>
        <w:t xml:space="preserve">súčasti STU </w:t>
      </w:r>
      <w:r w:rsidRPr="0053555E">
        <w:rPr>
          <w:rFonts w:asciiTheme="majorHAnsi" w:hAnsiTheme="majorHAnsi"/>
        </w:rPr>
        <w:t>zapájajú</w:t>
      </w:r>
      <w:r w:rsidR="004873BD" w:rsidRPr="0053555E">
        <w:rPr>
          <w:rFonts w:asciiTheme="majorHAnsi" w:hAnsiTheme="majorHAnsi"/>
        </w:rPr>
        <w:t xml:space="preserve"> do</w:t>
      </w:r>
      <w:r w:rsidRPr="0053555E">
        <w:rPr>
          <w:rFonts w:asciiTheme="majorHAnsi" w:hAnsiTheme="majorHAnsi"/>
        </w:rPr>
        <w:t xml:space="preserve"> </w:t>
      </w:r>
      <w:r w:rsidR="00AB0F9D" w:rsidRPr="0053555E">
        <w:rPr>
          <w:rFonts w:asciiTheme="majorHAnsi" w:hAnsiTheme="majorHAnsi"/>
        </w:rPr>
        <w:t xml:space="preserve">riešenia </w:t>
      </w:r>
      <w:r w:rsidR="006C2B25" w:rsidRPr="0053555E">
        <w:rPr>
          <w:rFonts w:asciiTheme="majorHAnsi" w:hAnsiTheme="majorHAnsi"/>
        </w:rPr>
        <w:t>študentskej vedeckej odborn</w:t>
      </w:r>
      <w:r w:rsidR="00A87BF7" w:rsidRPr="0053555E">
        <w:rPr>
          <w:rFonts w:asciiTheme="majorHAnsi" w:hAnsiTheme="majorHAnsi"/>
        </w:rPr>
        <w:t>ej</w:t>
      </w:r>
      <w:r w:rsidR="006C2B25" w:rsidRPr="0053555E">
        <w:rPr>
          <w:rFonts w:asciiTheme="majorHAnsi" w:hAnsiTheme="majorHAnsi"/>
        </w:rPr>
        <w:t xml:space="preserve"> činnos</w:t>
      </w:r>
      <w:r w:rsidR="00A87BF7" w:rsidRPr="0053555E">
        <w:rPr>
          <w:rFonts w:asciiTheme="majorHAnsi" w:hAnsiTheme="majorHAnsi"/>
        </w:rPr>
        <w:t>ti</w:t>
      </w:r>
      <w:r w:rsidR="006C2B25" w:rsidRPr="0053555E">
        <w:rPr>
          <w:rFonts w:asciiTheme="majorHAnsi" w:hAnsiTheme="majorHAnsi"/>
        </w:rPr>
        <w:t>, resp. študentskej tvorivej vedeckej odbornej a umeleckej činnosti</w:t>
      </w:r>
      <w:r w:rsidR="00CA5592" w:rsidRPr="0053555E">
        <w:rPr>
          <w:rFonts w:asciiTheme="majorHAnsi" w:hAnsiTheme="majorHAnsi"/>
        </w:rPr>
        <w:t xml:space="preserve">, prípadne </w:t>
      </w:r>
      <w:r w:rsidR="00134F6B" w:rsidRPr="0053555E">
        <w:rPr>
          <w:rFonts w:asciiTheme="majorHAnsi" w:hAnsiTheme="majorHAnsi"/>
        </w:rPr>
        <w:t>do</w:t>
      </w:r>
      <w:r w:rsidR="00384520" w:rsidRPr="0053555E">
        <w:rPr>
          <w:rFonts w:asciiTheme="majorHAnsi" w:hAnsiTheme="majorHAnsi"/>
        </w:rPr>
        <w:t xml:space="preserve"> rôzn</w:t>
      </w:r>
      <w:r w:rsidR="00B124E2" w:rsidRPr="0053555E">
        <w:rPr>
          <w:rFonts w:asciiTheme="majorHAnsi" w:hAnsiTheme="majorHAnsi"/>
        </w:rPr>
        <w:t xml:space="preserve">ych </w:t>
      </w:r>
      <w:r w:rsidR="00384520" w:rsidRPr="0053555E">
        <w:rPr>
          <w:rFonts w:asciiTheme="majorHAnsi" w:hAnsiTheme="majorHAnsi"/>
        </w:rPr>
        <w:t>súťaž</w:t>
      </w:r>
      <w:r w:rsidR="00B124E2" w:rsidRPr="0053555E">
        <w:rPr>
          <w:rFonts w:asciiTheme="majorHAnsi" w:hAnsiTheme="majorHAnsi"/>
        </w:rPr>
        <w:t>í</w:t>
      </w:r>
      <w:r w:rsidR="00384520" w:rsidRPr="0053555E">
        <w:rPr>
          <w:rFonts w:asciiTheme="majorHAnsi" w:hAnsiTheme="majorHAnsi"/>
        </w:rPr>
        <w:t xml:space="preserve"> v spolupráci s externými subjektami</w:t>
      </w:r>
      <w:r w:rsidR="00462A45">
        <w:rPr>
          <w:rFonts w:asciiTheme="majorHAnsi" w:hAnsiTheme="majorHAnsi"/>
        </w:rPr>
        <w:t xml:space="preserve">, resp. </w:t>
      </w:r>
      <w:r w:rsidR="00CA5592" w:rsidRPr="0053555E">
        <w:rPr>
          <w:rFonts w:asciiTheme="majorHAnsi" w:hAnsiTheme="majorHAnsi"/>
        </w:rPr>
        <w:t>do výskumných projektov</w:t>
      </w:r>
      <w:r w:rsidR="00455A07" w:rsidRPr="0053555E">
        <w:rPr>
          <w:rFonts w:asciiTheme="majorHAnsi" w:hAnsiTheme="majorHAnsi"/>
        </w:rPr>
        <w:t xml:space="preserve"> </w:t>
      </w:r>
      <w:r w:rsidR="00B124E2" w:rsidRPr="0053555E">
        <w:rPr>
          <w:rFonts w:asciiTheme="majorHAnsi" w:hAnsiTheme="majorHAnsi"/>
        </w:rPr>
        <w:t xml:space="preserve">v rámci </w:t>
      </w:r>
      <w:r w:rsidR="00455A07" w:rsidRPr="0053555E">
        <w:rPr>
          <w:rFonts w:asciiTheme="majorHAnsi" w:hAnsiTheme="majorHAnsi"/>
        </w:rPr>
        <w:t>pracovísk garantujúcich ich študijné programy</w:t>
      </w:r>
      <w:r w:rsidR="00B124E2" w:rsidRPr="0053555E">
        <w:rPr>
          <w:rFonts w:asciiTheme="majorHAnsi" w:hAnsiTheme="majorHAnsi"/>
        </w:rPr>
        <w:t>.</w:t>
      </w:r>
      <w:r w:rsidR="00F61EA2" w:rsidRPr="0053555E">
        <w:rPr>
          <w:rFonts w:asciiTheme="majorHAnsi" w:hAnsiTheme="majorHAnsi"/>
        </w:rPr>
        <w:t xml:space="preserve"> STU ich </w:t>
      </w:r>
      <w:r w:rsidR="00606BF4" w:rsidRPr="0053555E">
        <w:rPr>
          <w:rFonts w:asciiTheme="majorHAnsi" w:hAnsiTheme="majorHAnsi"/>
        </w:rPr>
        <w:t>motivuje</w:t>
      </w:r>
      <w:r w:rsidR="00F61EA2" w:rsidRPr="0053555E">
        <w:rPr>
          <w:rFonts w:asciiTheme="majorHAnsi" w:hAnsiTheme="majorHAnsi"/>
        </w:rPr>
        <w:t xml:space="preserve"> aj </w:t>
      </w:r>
      <w:r w:rsidR="00606BF4" w:rsidRPr="0053555E">
        <w:rPr>
          <w:rFonts w:asciiTheme="majorHAnsi" w:hAnsiTheme="majorHAnsi"/>
        </w:rPr>
        <w:t>v rámci</w:t>
      </w:r>
      <w:r w:rsidR="00F61EA2" w:rsidRPr="0053555E">
        <w:rPr>
          <w:rFonts w:asciiTheme="majorHAnsi" w:hAnsiTheme="majorHAnsi"/>
        </w:rPr>
        <w:t xml:space="preserve"> priznávania motivačných štipendií</w:t>
      </w:r>
      <w:r w:rsidR="003904C5">
        <w:rPr>
          <w:rFonts w:asciiTheme="majorHAnsi" w:hAnsiTheme="majorHAnsi"/>
        </w:rPr>
        <w:t xml:space="preserve"> a mimoriadnych štipendií z vlastných zdrojov.</w:t>
      </w:r>
    </w:p>
    <w:p w14:paraId="40EF6E16" w14:textId="1D960687" w:rsidR="003D7F5A" w:rsidRDefault="003C3098" w:rsidP="00525272">
      <w:pPr>
        <w:spacing w:after="120"/>
        <w:jc w:val="both"/>
        <w:rPr>
          <w:rFonts w:asciiTheme="majorHAnsi" w:eastAsia="Times New Roman" w:hAnsiTheme="majorHAnsi" w:cstheme="majorHAnsi"/>
          <w:lang w:eastAsia="en-GB"/>
        </w:rPr>
      </w:pPr>
      <w:r w:rsidRPr="0053555E">
        <w:rPr>
          <w:rFonts w:asciiTheme="majorHAnsi" w:eastAsia="Times New Roman" w:hAnsiTheme="majorHAnsi" w:cstheme="majorHAnsi"/>
          <w:lang w:eastAsia="en-GB"/>
        </w:rPr>
        <w:t xml:space="preserve">Povinné </w:t>
      </w:r>
      <w:r w:rsidR="00214FFE" w:rsidRPr="0053555E">
        <w:rPr>
          <w:rFonts w:asciiTheme="majorHAnsi" w:eastAsia="Times New Roman" w:hAnsiTheme="majorHAnsi" w:cstheme="majorHAnsi"/>
          <w:b/>
          <w:lang w:eastAsia="en-GB"/>
        </w:rPr>
        <w:t>odborné</w:t>
      </w:r>
      <w:r w:rsidRPr="0053555E">
        <w:rPr>
          <w:rFonts w:asciiTheme="majorHAnsi" w:eastAsia="Times New Roman" w:hAnsiTheme="majorHAnsi" w:cstheme="majorHAnsi"/>
          <w:b/>
          <w:lang w:eastAsia="sk-SK"/>
        </w:rPr>
        <w:t xml:space="preserve"> prax</w:t>
      </w:r>
      <w:r w:rsidR="00214FFE" w:rsidRPr="0053555E">
        <w:rPr>
          <w:rFonts w:asciiTheme="majorHAnsi" w:eastAsia="Times New Roman" w:hAnsiTheme="majorHAnsi" w:cstheme="majorHAnsi"/>
          <w:b/>
          <w:lang w:eastAsia="sk-SK"/>
        </w:rPr>
        <w:t>e</w:t>
      </w:r>
      <w:r w:rsidR="00214FFE" w:rsidRPr="0053555E">
        <w:rPr>
          <w:rFonts w:asciiTheme="majorHAnsi" w:eastAsia="Times New Roman" w:hAnsiTheme="majorHAnsi" w:cstheme="majorHAnsi"/>
          <w:lang w:eastAsia="sk-SK"/>
        </w:rPr>
        <w:t xml:space="preserve"> </w:t>
      </w:r>
      <w:r w:rsidRPr="0053555E">
        <w:rPr>
          <w:rFonts w:asciiTheme="majorHAnsi" w:eastAsia="Times New Roman" w:hAnsiTheme="majorHAnsi" w:cstheme="majorHAnsi"/>
          <w:lang w:eastAsia="sk-SK"/>
        </w:rPr>
        <w:t xml:space="preserve">boli realizované buď </w:t>
      </w:r>
      <w:r w:rsidRPr="0053555E">
        <w:rPr>
          <w:rFonts w:asciiTheme="majorHAnsi" w:hAnsiTheme="majorHAnsi" w:cstheme="majorHAnsi"/>
        </w:rPr>
        <w:t>f</w:t>
      </w:r>
      <w:r w:rsidR="001C22B2" w:rsidRPr="0053555E">
        <w:rPr>
          <w:rFonts w:asciiTheme="majorHAnsi" w:hAnsiTheme="majorHAnsi" w:cstheme="majorHAnsi"/>
        </w:rPr>
        <w:t>ormou zapojenia sa študentov do </w:t>
      </w:r>
      <w:r w:rsidRPr="0053555E">
        <w:rPr>
          <w:rFonts w:asciiTheme="majorHAnsi" w:hAnsiTheme="majorHAnsi" w:cstheme="majorHAnsi"/>
        </w:rPr>
        <w:t xml:space="preserve">výskumných a projektových úloh riešených na fakulte alebo absolvovaním rôznych odborných kurzov </w:t>
      </w:r>
      <w:r w:rsidR="003F4159">
        <w:rPr>
          <w:rFonts w:asciiTheme="majorHAnsi" w:hAnsiTheme="majorHAnsi" w:cstheme="majorHAnsi"/>
        </w:rPr>
        <w:t>vo</w:t>
      </w:r>
      <w:r w:rsidR="00BC1B4E">
        <w:rPr>
          <w:rFonts w:asciiTheme="majorHAnsi" w:hAnsiTheme="majorHAnsi" w:cstheme="majorHAnsi"/>
        </w:rPr>
        <w:t xml:space="preserve"> výrobných podnikoch alebo </w:t>
      </w:r>
      <w:r w:rsidR="003F4159">
        <w:rPr>
          <w:rFonts w:asciiTheme="majorHAnsi" w:hAnsiTheme="majorHAnsi" w:cstheme="majorHAnsi"/>
        </w:rPr>
        <w:t>firmách</w:t>
      </w:r>
      <w:r w:rsidRPr="0053555E">
        <w:rPr>
          <w:rFonts w:asciiTheme="majorHAnsi" w:eastAsia="Times New Roman" w:hAnsiTheme="majorHAnsi" w:cstheme="majorHAnsi"/>
          <w:lang w:eastAsia="sk-SK"/>
        </w:rPr>
        <w:t xml:space="preserve">. </w:t>
      </w:r>
      <w:r w:rsidR="00EC2A6F" w:rsidRPr="00C166D0">
        <w:rPr>
          <w:rFonts w:asciiTheme="majorHAnsi" w:eastAsia="Times New Roman" w:hAnsiTheme="majorHAnsi" w:cstheme="majorHAnsi"/>
          <w:lang w:eastAsia="sk-SK"/>
        </w:rPr>
        <w:t xml:space="preserve">Miesta výkonu </w:t>
      </w:r>
      <w:r w:rsidR="00BE1BF0">
        <w:rPr>
          <w:rFonts w:asciiTheme="majorHAnsi" w:eastAsia="Times New Roman" w:hAnsiTheme="majorHAnsi" w:cstheme="majorHAnsi"/>
          <w:lang w:eastAsia="sk-SK"/>
        </w:rPr>
        <w:t xml:space="preserve">odbornej </w:t>
      </w:r>
      <w:r w:rsidR="00EC2A6F" w:rsidRPr="00C166D0">
        <w:rPr>
          <w:rFonts w:asciiTheme="majorHAnsi" w:eastAsia="Times New Roman" w:hAnsiTheme="majorHAnsi" w:cstheme="majorHAnsi"/>
          <w:lang w:eastAsia="sk-SK"/>
        </w:rPr>
        <w:t>praxe</w:t>
      </w:r>
      <w:r w:rsidR="00BE1BF0">
        <w:rPr>
          <w:rFonts w:asciiTheme="majorHAnsi" w:eastAsia="Times New Roman" w:hAnsiTheme="majorHAnsi" w:cstheme="majorHAnsi"/>
          <w:lang w:eastAsia="sk-SK"/>
        </w:rPr>
        <w:t xml:space="preserve"> študentov SvF</w:t>
      </w:r>
      <w:r w:rsidR="00EC2A6F" w:rsidRPr="00C166D0">
        <w:rPr>
          <w:rFonts w:asciiTheme="majorHAnsi" w:eastAsia="Times New Roman" w:hAnsiTheme="majorHAnsi" w:cstheme="majorHAnsi"/>
          <w:lang w:eastAsia="sk-SK"/>
        </w:rPr>
        <w:t xml:space="preserve"> sú obvykle projekčné alebo zhotoviteľské organizácie podľa zamerania študijného programu, </w:t>
      </w:r>
      <w:r w:rsidR="002A5243">
        <w:rPr>
          <w:rFonts w:asciiTheme="majorHAnsi" w:eastAsia="Times New Roman" w:hAnsiTheme="majorHAnsi" w:cstheme="majorHAnsi"/>
          <w:lang w:eastAsia="sk-SK"/>
        </w:rPr>
        <w:t xml:space="preserve">ktoré </w:t>
      </w:r>
      <w:r w:rsidR="00EC2A6F">
        <w:rPr>
          <w:rFonts w:asciiTheme="majorHAnsi" w:eastAsia="Times New Roman" w:hAnsiTheme="majorHAnsi" w:cstheme="majorHAnsi"/>
          <w:lang w:eastAsia="sk-SK"/>
        </w:rPr>
        <w:t xml:space="preserve">si </w:t>
      </w:r>
      <w:r w:rsidR="00EC2A6F" w:rsidRPr="00C166D0">
        <w:rPr>
          <w:rFonts w:asciiTheme="majorHAnsi" w:eastAsia="Times New Roman" w:hAnsiTheme="majorHAnsi" w:cstheme="majorHAnsi"/>
          <w:lang w:eastAsia="sk-SK"/>
        </w:rPr>
        <w:t xml:space="preserve">študenti </w:t>
      </w:r>
      <w:r w:rsidR="00D06F15">
        <w:rPr>
          <w:rFonts w:asciiTheme="majorHAnsi" w:eastAsia="Times New Roman" w:hAnsiTheme="majorHAnsi" w:cstheme="majorHAnsi"/>
          <w:lang w:eastAsia="sk-SK"/>
        </w:rPr>
        <w:t>zabezpečovali</w:t>
      </w:r>
      <w:r w:rsidR="00FB5F09" w:rsidRPr="00C166D0">
        <w:rPr>
          <w:rFonts w:asciiTheme="majorHAnsi" w:eastAsia="Times New Roman" w:hAnsiTheme="majorHAnsi" w:cstheme="majorHAnsi"/>
          <w:lang w:eastAsia="sk-SK"/>
        </w:rPr>
        <w:t xml:space="preserve"> </w:t>
      </w:r>
      <w:r w:rsidR="00EC2A6F" w:rsidRPr="00C166D0">
        <w:rPr>
          <w:rFonts w:asciiTheme="majorHAnsi" w:eastAsia="Times New Roman" w:hAnsiTheme="majorHAnsi" w:cstheme="majorHAnsi"/>
          <w:lang w:eastAsia="sk-SK"/>
        </w:rPr>
        <w:t xml:space="preserve">samostatne alebo </w:t>
      </w:r>
      <w:r w:rsidR="00462A45">
        <w:rPr>
          <w:rFonts w:asciiTheme="majorHAnsi" w:eastAsia="Times New Roman" w:hAnsiTheme="majorHAnsi" w:cstheme="majorHAnsi"/>
          <w:lang w:eastAsia="sk-SK"/>
        </w:rPr>
        <w:t>ich</w:t>
      </w:r>
      <w:r w:rsidR="00EC2A6F" w:rsidRPr="00C166D0">
        <w:rPr>
          <w:rFonts w:asciiTheme="majorHAnsi" w:eastAsia="Times New Roman" w:hAnsiTheme="majorHAnsi" w:cstheme="majorHAnsi"/>
          <w:lang w:eastAsia="sk-SK"/>
        </w:rPr>
        <w:t xml:space="preserve"> zabezpeč</w:t>
      </w:r>
      <w:r w:rsidR="00462A45">
        <w:rPr>
          <w:rFonts w:asciiTheme="majorHAnsi" w:eastAsia="Times New Roman" w:hAnsiTheme="majorHAnsi" w:cstheme="majorHAnsi"/>
          <w:lang w:eastAsia="sk-SK"/>
        </w:rPr>
        <w:t>ili</w:t>
      </w:r>
      <w:r w:rsidR="00EC2A6F" w:rsidRPr="00C166D0">
        <w:rPr>
          <w:rFonts w:asciiTheme="majorHAnsi" w:eastAsia="Times New Roman" w:hAnsiTheme="majorHAnsi" w:cstheme="majorHAnsi"/>
          <w:lang w:eastAsia="sk-SK"/>
        </w:rPr>
        <w:t xml:space="preserve"> </w:t>
      </w:r>
      <w:r w:rsidR="00462A45">
        <w:rPr>
          <w:rFonts w:asciiTheme="majorHAnsi" w:eastAsia="Times New Roman" w:hAnsiTheme="majorHAnsi" w:cstheme="majorHAnsi"/>
          <w:lang w:eastAsia="sk-SK"/>
        </w:rPr>
        <w:t>zodpovední učitelia</w:t>
      </w:r>
      <w:r w:rsidR="00EC2A6F">
        <w:rPr>
          <w:rFonts w:asciiTheme="majorHAnsi" w:eastAsia="Times New Roman" w:hAnsiTheme="majorHAnsi" w:cstheme="majorHAnsi"/>
          <w:lang w:eastAsia="sk-SK"/>
        </w:rPr>
        <w:t xml:space="preserve">. </w:t>
      </w:r>
      <w:r w:rsidR="00BC1B4E">
        <w:rPr>
          <w:rFonts w:asciiTheme="majorHAnsi" w:eastAsia="Times New Roman" w:hAnsiTheme="majorHAnsi" w:cstheme="majorHAnsi"/>
          <w:lang w:eastAsia="sk-SK"/>
        </w:rPr>
        <w:t>Š</w:t>
      </w:r>
      <w:r w:rsidR="003F4159" w:rsidRPr="003F4159">
        <w:rPr>
          <w:rFonts w:asciiTheme="majorHAnsi" w:eastAsia="Times New Roman" w:hAnsiTheme="majorHAnsi" w:cstheme="majorHAnsi"/>
          <w:lang w:eastAsia="sk-SK"/>
        </w:rPr>
        <w:t xml:space="preserve">tudenti SjF </w:t>
      </w:r>
      <w:r w:rsidR="00BC1B4E">
        <w:rPr>
          <w:rFonts w:asciiTheme="majorHAnsi" w:eastAsia="Times New Roman" w:hAnsiTheme="majorHAnsi" w:cstheme="majorHAnsi"/>
          <w:lang w:eastAsia="sk-SK"/>
        </w:rPr>
        <w:t xml:space="preserve">absolvovali </w:t>
      </w:r>
      <w:r w:rsidR="00D731B0">
        <w:rPr>
          <w:rFonts w:asciiTheme="majorHAnsi" w:eastAsia="Times New Roman" w:hAnsiTheme="majorHAnsi" w:cstheme="majorHAnsi"/>
          <w:lang w:eastAsia="sk-SK"/>
        </w:rPr>
        <w:t xml:space="preserve">odbornú prax </w:t>
      </w:r>
      <w:r w:rsidR="003F4159" w:rsidRPr="003F4159">
        <w:rPr>
          <w:rFonts w:asciiTheme="majorHAnsi" w:eastAsia="Times New Roman" w:hAnsiTheme="majorHAnsi" w:cstheme="majorHAnsi"/>
          <w:lang w:eastAsia="sk-SK"/>
        </w:rPr>
        <w:t>vo výrobných podnikoch a firmách strojárskeho zamerania, alebo priamo na fakulte, kde mali študenti možnosť zapojiť sa do</w:t>
      </w:r>
      <w:r w:rsidR="002A5243">
        <w:rPr>
          <w:rFonts w:asciiTheme="majorHAnsi" w:eastAsia="Times New Roman" w:hAnsiTheme="majorHAnsi" w:cstheme="majorHAnsi"/>
          <w:lang w:eastAsia="sk-SK"/>
        </w:rPr>
        <w:t> </w:t>
      </w:r>
      <w:r w:rsidR="003F4159" w:rsidRPr="003F4159">
        <w:rPr>
          <w:rFonts w:asciiTheme="majorHAnsi" w:eastAsia="Times New Roman" w:hAnsiTheme="majorHAnsi" w:cstheme="majorHAnsi"/>
          <w:lang w:eastAsia="sk-SK"/>
        </w:rPr>
        <w:t xml:space="preserve">riešenia výskumných a projektových úloh riešených v laboratóriách pracoviska. </w:t>
      </w:r>
      <w:r w:rsidR="00B0233E">
        <w:rPr>
          <w:rFonts w:asciiTheme="majorHAnsi" w:eastAsia="Times New Roman" w:hAnsiTheme="majorHAnsi" w:cstheme="majorHAnsi"/>
          <w:lang w:eastAsia="sk-SK"/>
        </w:rPr>
        <w:t xml:space="preserve">Študenti </w:t>
      </w:r>
      <w:r w:rsidR="00342234">
        <w:rPr>
          <w:rFonts w:asciiTheme="majorHAnsi" w:eastAsia="Times New Roman" w:hAnsiTheme="majorHAnsi" w:cstheme="majorHAnsi"/>
          <w:lang w:eastAsia="sk-SK"/>
        </w:rPr>
        <w:t xml:space="preserve">druhého stupňa štúdia na </w:t>
      </w:r>
      <w:r w:rsidR="00B0233E">
        <w:rPr>
          <w:rFonts w:asciiTheme="majorHAnsi" w:eastAsia="Times New Roman" w:hAnsiTheme="majorHAnsi" w:cstheme="majorHAnsi"/>
          <w:lang w:eastAsia="sk-SK"/>
        </w:rPr>
        <w:t xml:space="preserve">FCHPT </w:t>
      </w:r>
      <w:r w:rsidR="008023DB">
        <w:rPr>
          <w:rFonts w:asciiTheme="majorHAnsi" w:eastAsia="Times New Roman" w:hAnsiTheme="majorHAnsi" w:cstheme="majorHAnsi"/>
          <w:lang w:eastAsia="sk-SK"/>
        </w:rPr>
        <w:t xml:space="preserve">mali možnosť </w:t>
      </w:r>
      <w:r w:rsidR="00B0233E">
        <w:rPr>
          <w:rFonts w:asciiTheme="majorHAnsi" w:eastAsia="Times New Roman" w:hAnsiTheme="majorHAnsi" w:cstheme="majorHAnsi"/>
          <w:lang w:eastAsia="sk-SK"/>
        </w:rPr>
        <w:t>absolvova</w:t>
      </w:r>
      <w:r w:rsidR="008023DB">
        <w:rPr>
          <w:rFonts w:asciiTheme="majorHAnsi" w:eastAsia="Times New Roman" w:hAnsiTheme="majorHAnsi" w:cstheme="majorHAnsi"/>
          <w:lang w:eastAsia="sk-SK"/>
        </w:rPr>
        <w:t>ť</w:t>
      </w:r>
      <w:r w:rsidR="00B0233E">
        <w:rPr>
          <w:rFonts w:asciiTheme="majorHAnsi" w:eastAsia="Times New Roman" w:hAnsiTheme="majorHAnsi" w:cstheme="majorHAnsi"/>
          <w:lang w:eastAsia="sk-SK"/>
        </w:rPr>
        <w:t xml:space="preserve"> odbornú prax v </w:t>
      </w:r>
      <w:r w:rsidR="00B0233E" w:rsidRPr="00B0233E">
        <w:rPr>
          <w:rFonts w:asciiTheme="majorHAnsi" w:eastAsia="Times New Roman" w:hAnsiTheme="majorHAnsi" w:cstheme="majorHAnsi"/>
          <w:lang w:eastAsia="sk-SK"/>
        </w:rPr>
        <w:t>chemick</w:t>
      </w:r>
      <w:r w:rsidR="00B0233E">
        <w:rPr>
          <w:rFonts w:asciiTheme="majorHAnsi" w:eastAsia="Times New Roman" w:hAnsiTheme="majorHAnsi" w:cstheme="majorHAnsi"/>
          <w:lang w:eastAsia="sk-SK"/>
        </w:rPr>
        <w:t>ých</w:t>
      </w:r>
      <w:r w:rsidR="00B0233E" w:rsidRPr="00B0233E">
        <w:rPr>
          <w:rFonts w:asciiTheme="majorHAnsi" w:eastAsia="Times New Roman" w:hAnsiTheme="majorHAnsi" w:cstheme="majorHAnsi"/>
          <w:lang w:eastAsia="sk-SK"/>
        </w:rPr>
        <w:t>, potravinársk</w:t>
      </w:r>
      <w:r w:rsidR="00462A45">
        <w:rPr>
          <w:rFonts w:asciiTheme="majorHAnsi" w:eastAsia="Times New Roman" w:hAnsiTheme="majorHAnsi" w:cstheme="majorHAnsi"/>
          <w:lang w:eastAsia="sk-SK"/>
        </w:rPr>
        <w:t xml:space="preserve">ych </w:t>
      </w:r>
      <w:r w:rsidR="00B0233E" w:rsidRPr="00B0233E">
        <w:rPr>
          <w:rFonts w:asciiTheme="majorHAnsi" w:eastAsia="Times New Roman" w:hAnsiTheme="majorHAnsi" w:cstheme="majorHAnsi"/>
          <w:lang w:eastAsia="sk-SK"/>
        </w:rPr>
        <w:t>vý</w:t>
      </w:r>
      <w:r w:rsidR="00462A45">
        <w:rPr>
          <w:rFonts w:asciiTheme="majorHAnsi" w:eastAsia="Times New Roman" w:hAnsiTheme="majorHAnsi" w:cstheme="majorHAnsi"/>
          <w:lang w:eastAsia="sk-SK"/>
        </w:rPr>
        <w:t>skumných</w:t>
      </w:r>
      <w:r w:rsidR="00B0233E" w:rsidRPr="00B0233E">
        <w:rPr>
          <w:rFonts w:asciiTheme="majorHAnsi" w:eastAsia="Times New Roman" w:hAnsiTheme="majorHAnsi" w:cstheme="majorHAnsi"/>
          <w:lang w:eastAsia="sk-SK"/>
        </w:rPr>
        <w:t xml:space="preserve"> ústav</w:t>
      </w:r>
      <w:r w:rsidR="00B0233E">
        <w:rPr>
          <w:rFonts w:asciiTheme="majorHAnsi" w:eastAsia="Times New Roman" w:hAnsiTheme="majorHAnsi" w:cstheme="majorHAnsi"/>
          <w:lang w:eastAsia="sk-SK"/>
        </w:rPr>
        <w:t>och.</w:t>
      </w:r>
      <w:r w:rsidR="008023DB" w:rsidRPr="008023DB">
        <w:rPr>
          <w:rFonts w:asciiTheme="majorHAnsi" w:hAnsiTheme="majorHAnsi" w:cstheme="majorHAnsi"/>
          <w:bCs/>
        </w:rPr>
        <w:t xml:space="preserve"> </w:t>
      </w:r>
      <w:r w:rsidR="008023DB" w:rsidRPr="0053555E">
        <w:rPr>
          <w:rFonts w:asciiTheme="majorHAnsi" w:hAnsiTheme="majorHAnsi" w:cstheme="majorHAnsi"/>
          <w:bCs/>
        </w:rPr>
        <w:t xml:space="preserve">Všetky </w:t>
      </w:r>
      <w:r w:rsidR="008023DB">
        <w:rPr>
          <w:rFonts w:asciiTheme="majorHAnsi" w:hAnsiTheme="majorHAnsi" w:cstheme="majorHAnsi"/>
          <w:bCs/>
        </w:rPr>
        <w:t xml:space="preserve">odborné </w:t>
      </w:r>
      <w:r w:rsidR="008023DB" w:rsidRPr="0053555E">
        <w:rPr>
          <w:rFonts w:asciiTheme="majorHAnsi" w:hAnsiTheme="majorHAnsi" w:cstheme="majorHAnsi"/>
          <w:bCs/>
        </w:rPr>
        <w:t xml:space="preserve">praxe </w:t>
      </w:r>
      <w:r w:rsidR="008023DB">
        <w:rPr>
          <w:rFonts w:asciiTheme="majorHAnsi" w:hAnsiTheme="majorHAnsi" w:cstheme="majorHAnsi"/>
          <w:bCs/>
        </w:rPr>
        <w:t>sú zabezpečované na</w:t>
      </w:r>
      <w:r w:rsidR="002A5243">
        <w:rPr>
          <w:rFonts w:asciiTheme="majorHAnsi" w:hAnsiTheme="majorHAnsi" w:cstheme="majorHAnsi"/>
          <w:bCs/>
        </w:rPr>
        <w:t> </w:t>
      </w:r>
      <w:r w:rsidR="008023DB" w:rsidRPr="0053555E">
        <w:rPr>
          <w:rFonts w:asciiTheme="majorHAnsi" w:hAnsiTheme="majorHAnsi" w:cstheme="majorHAnsi"/>
          <w:bCs/>
        </w:rPr>
        <w:t>základe uzavretia trojstranných zmlúv.</w:t>
      </w:r>
      <w:r w:rsidR="009A3B24">
        <w:rPr>
          <w:rFonts w:asciiTheme="majorHAnsi" w:hAnsiTheme="majorHAnsi" w:cstheme="majorHAnsi"/>
          <w:bCs/>
        </w:rPr>
        <w:t xml:space="preserve"> </w:t>
      </w:r>
      <w:r w:rsidR="000D5D91">
        <w:rPr>
          <w:rFonts w:asciiTheme="majorHAnsi" w:hAnsiTheme="majorHAnsi" w:cstheme="majorHAnsi"/>
          <w:bCs/>
        </w:rPr>
        <w:t xml:space="preserve">Študenti </w:t>
      </w:r>
      <w:r w:rsidR="0036194A">
        <w:rPr>
          <w:rFonts w:asciiTheme="majorHAnsi" w:hAnsiTheme="majorHAnsi" w:cstheme="majorHAnsi"/>
          <w:bCs/>
        </w:rPr>
        <w:t>FAD</w:t>
      </w:r>
      <w:r w:rsidR="009A3B24" w:rsidRPr="009A3B24">
        <w:rPr>
          <w:rFonts w:asciiTheme="majorHAnsi" w:hAnsiTheme="majorHAnsi" w:cstheme="majorHAnsi"/>
          <w:bCs/>
        </w:rPr>
        <w:t xml:space="preserve"> </w:t>
      </w:r>
      <w:r w:rsidR="000D5D91">
        <w:rPr>
          <w:rFonts w:asciiTheme="majorHAnsi" w:hAnsiTheme="majorHAnsi" w:cstheme="majorHAnsi"/>
          <w:bCs/>
        </w:rPr>
        <w:t>mohli vykonávať prax</w:t>
      </w:r>
      <w:r w:rsidR="009A3B24" w:rsidRPr="009A3B24">
        <w:rPr>
          <w:rFonts w:asciiTheme="majorHAnsi" w:hAnsiTheme="majorHAnsi" w:cstheme="majorHAnsi"/>
          <w:bCs/>
        </w:rPr>
        <w:t xml:space="preserve"> v Bellušových ateliéroch, ktoré zastrešujú podnikateľskú činnosť na fakulte</w:t>
      </w:r>
      <w:r w:rsidR="0036194A">
        <w:rPr>
          <w:rFonts w:asciiTheme="majorHAnsi" w:hAnsiTheme="majorHAnsi" w:cstheme="majorHAnsi"/>
          <w:bCs/>
        </w:rPr>
        <w:t xml:space="preserve"> alebo prostredníctvom </w:t>
      </w:r>
      <w:r w:rsidR="009A3B24" w:rsidRPr="009A3B24">
        <w:rPr>
          <w:rFonts w:asciiTheme="majorHAnsi" w:hAnsiTheme="majorHAnsi" w:cstheme="majorHAnsi"/>
          <w:bCs/>
        </w:rPr>
        <w:t>Študentskej platformy a iných externých architektonických a dizajnérskych kancelárií.</w:t>
      </w:r>
      <w:r w:rsidR="006577B7">
        <w:rPr>
          <w:rFonts w:asciiTheme="majorHAnsi" w:hAnsiTheme="majorHAnsi" w:cstheme="majorHAnsi"/>
          <w:bCs/>
        </w:rPr>
        <w:t xml:space="preserve"> </w:t>
      </w:r>
      <w:r w:rsidR="00952436" w:rsidRPr="0053555E">
        <w:rPr>
          <w:rFonts w:asciiTheme="majorHAnsi" w:hAnsiTheme="majorHAnsi" w:cstheme="majorHAnsi"/>
        </w:rPr>
        <w:t xml:space="preserve">ÚM má uzavretú zmluvu s Bratislavským samosprávnym krajom o realizácii praxe </w:t>
      </w:r>
      <w:r w:rsidR="00525272">
        <w:rPr>
          <w:rFonts w:asciiTheme="majorHAnsi" w:hAnsiTheme="majorHAnsi" w:cstheme="majorHAnsi"/>
        </w:rPr>
        <w:t xml:space="preserve">študentov </w:t>
      </w:r>
      <w:r w:rsidR="00952436" w:rsidRPr="0053555E">
        <w:rPr>
          <w:rFonts w:asciiTheme="majorHAnsi" w:hAnsiTheme="majorHAnsi" w:cstheme="majorHAnsi"/>
        </w:rPr>
        <w:t xml:space="preserve">a tiež spolupracuje s Magistrátom Hlavného mesta </w:t>
      </w:r>
      <w:r w:rsidR="000D5D91">
        <w:rPr>
          <w:rFonts w:asciiTheme="majorHAnsi" w:hAnsiTheme="majorHAnsi" w:cstheme="majorHAnsi"/>
        </w:rPr>
        <w:t xml:space="preserve">Slovenskej republiky </w:t>
      </w:r>
      <w:r w:rsidR="00952436" w:rsidRPr="0053555E">
        <w:rPr>
          <w:rFonts w:asciiTheme="majorHAnsi" w:hAnsiTheme="majorHAnsi" w:cstheme="majorHAnsi"/>
        </w:rPr>
        <w:t>Bratislavy</w:t>
      </w:r>
      <w:r w:rsidR="00CC2B59" w:rsidRPr="0053555E">
        <w:rPr>
          <w:rFonts w:asciiTheme="majorHAnsi" w:hAnsiTheme="majorHAnsi" w:cstheme="majorHAnsi"/>
        </w:rPr>
        <w:t xml:space="preserve"> a</w:t>
      </w:r>
      <w:r w:rsidR="00952436" w:rsidRPr="0053555E">
        <w:rPr>
          <w:rFonts w:asciiTheme="majorHAnsi" w:hAnsiTheme="majorHAnsi" w:cstheme="majorHAnsi"/>
        </w:rPr>
        <w:t xml:space="preserve">  Úradom Vlády </w:t>
      </w:r>
      <w:r w:rsidR="000D5D91">
        <w:rPr>
          <w:rFonts w:asciiTheme="majorHAnsi" w:hAnsiTheme="majorHAnsi" w:cstheme="majorHAnsi"/>
        </w:rPr>
        <w:t xml:space="preserve">Slovenskej republiky </w:t>
      </w:r>
      <w:r w:rsidR="00952436" w:rsidRPr="0053555E">
        <w:rPr>
          <w:rFonts w:asciiTheme="majorHAnsi" w:hAnsiTheme="majorHAnsi" w:cstheme="majorHAnsi"/>
        </w:rPr>
        <w:t>pri poskytovaní miest na stáž.</w:t>
      </w:r>
      <w:r w:rsidR="00BE1BF0">
        <w:rPr>
          <w:rFonts w:asciiTheme="majorHAnsi" w:hAnsiTheme="majorHAnsi" w:cstheme="majorHAnsi"/>
        </w:rPr>
        <w:t xml:space="preserve"> </w:t>
      </w:r>
    </w:p>
    <w:p w14:paraId="2BDA6454" w14:textId="3009E74F" w:rsidR="008A6ECB" w:rsidRPr="0053555E" w:rsidRDefault="005C4AF5" w:rsidP="00ED2ABB">
      <w:pPr>
        <w:spacing w:after="120"/>
        <w:jc w:val="both"/>
        <w:rPr>
          <w:rFonts w:asciiTheme="majorHAnsi" w:hAnsiTheme="majorHAnsi" w:cstheme="majorHAnsi"/>
        </w:rPr>
      </w:pPr>
      <w:r w:rsidRPr="0053555E">
        <w:rPr>
          <w:rFonts w:asciiTheme="majorHAnsi" w:hAnsiTheme="majorHAnsi"/>
          <w:b/>
        </w:rPr>
        <w:t>Študenti sú zapájaní do pracovnej činnosti</w:t>
      </w:r>
      <w:r w:rsidRPr="0053555E">
        <w:rPr>
          <w:rFonts w:asciiTheme="majorHAnsi" w:hAnsiTheme="majorHAnsi"/>
        </w:rPr>
        <w:t xml:space="preserve"> na </w:t>
      </w:r>
      <w:r w:rsidR="00404F1D" w:rsidRPr="0053555E">
        <w:rPr>
          <w:rFonts w:asciiTheme="majorHAnsi" w:hAnsiTheme="majorHAnsi"/>
        </w:rPr>
        <w:t>jednotlivých súčastiach STU</w:t>
      </w:r>
      <w:r w:rsidR="0015626F" w:rsidRPr="0053555E">
        <w:rPr>
          <w:rFonts w:asciiTheme="majorHAnsi" w:hAnsiTheme="majorHAnsi"/>
        </w:rPr>
        <w:t>, či už na </w:t>
      </w:r>
      <w:r w:rsidRPr="0053555E">
        <w:rPr>
          <w:rFonts w:asciiTheme="majorHAnsi" w:hAnsiTheme="majorHAnsi"/>
        </w:rPr>
        <w:t xml:space="preserve">dobrovoľnej báze </w:t>
      </w:r>
      <w:r w:rsidR="008A6ECB" w:rsidRPr="0053555E">
        <w:rPr>
          <w:rFonts w:asciiTheme="majorHAnsi" w:hAnsiTheme="majorHAnsi"/>
        </w:rPr>
        <w:t xml:space="preserve">(ako vedecká pomocná sila) </w:t>
      </w:r>
      <w:r w:rsidRPr="0053555E">
        <w:rPr>
          <w:rFonts w:asciiTheme="majorHAnsi" w:hAnsiTheme="majorHAnsi"/>
        </w:rPr>
        <w:t>alebo formou čiastočných úväzkov</w:t>
      </w:r>
      <w:r w:rsidR="00AF113A" w:rsidRPr="0053555E">
        <w:rPr>
          <w:rFonts w:asciiTheme="majorHAnsi" w:hAnsiTheme="majorHAnsi" w:cstheme="majorHAnsi"/>
        </w:rPr>
        <w:t xml:space="preserve"> (dohôd </w:t>
      </w:r>
      <w:r w:rsidR="00AF113A" w:rsidRPr="0053555E">
        <w:rPr>
          <w:rFonts w:asciiTheme="majorHAnsi" w:hAnsiTheme="majorHAnsi" w:cstheme="majorHAnsi"/>
        </w:rPr>
        <w:lastRenderedPageBreak/>
        <w:t>o pracovnej činnosti</w:t>
      </w:r>
      <w:r w:rsidR="00610F12" w:rsidRPr="0053555E">
        <w:rPr>
          <w:rFonts w:asciiTheme="majorHAnsi" w:hAnsiTheme="majorHAnsi"/>
        </w:rPr>
        <w:t>. Najmä študenti druhého a tretieho stupňa sú zapájan</w:t>
      </w:r>
      <w:r w:rsidR="00331AC8" w:rsidRPr="0053555E">
        <w:rPr>
          <w:rFonts w:asciiTheme="majorHAnsi" w:hAnsiTheme="majorHAnsi"/>
        </w:rPr>
        <w:t>í</w:t>
      </w:r>
      <w:r w:rsidR="00610F12" w:rsidRPr="0053555E">
        <w:rPr>
          <w:rFonts w:asciiTheme="majorHAnsi" w:hAnsiTheme="majorHAnsi"/>
        </w:rPr>
        <w:t xml:space="preserve"> do riešenia</w:t>
      </w:r>
      <w:r w:rsidRPr="0053555E">
        <w:rPr>
          <w:rFonts w:asciiTheme="majorHAnsi" w:hAnsiTheme="majorHAnsi"/>
        </w:rPr>
        <w:t xml:space="preserve"> </w:t>
      </w:r>
      <w:r w:rsidR="00C07176" w:rsidRPr="0053555E">
        <w:rPr>
          <w:rFonts w:asciiTheme="majorHAnsi" w:hAnsiTheme="majorHAnsi"/>
        </w:rPr>
        <w:t>vedecko</w:t>
      </w:r>
      <w:r w:rsidRPr="0053555E">
        <w:rPr>
          <w:rFonts w:asciiTheme="majorHAnsi" w:hAnsiTheme="majorHAnsi"/>
        </w:rPr>
        <w:t>výskumných projektov</w:t>
      </w:r>
      <w:r w:rsidR="00C07176" w:rsidRPr="0053555E">
        <w:rPr>
          <w:rFonts w:asciiTheme="majorHAnsi" w:hAnsiTheme="majorHAnsi"/>
        </w:rPr>
        <w:t xml:space="preserve"> pracovísk.</w:t>
      </w:r>
      <w:r w:rsidR="00610F12" w:rsidRPr="0053555E">
        <w:rPr>
          <w:rFonts w:asciiTheme="majorHAnsi" w:hAnsiTheme="majorHAnsi"/>
        </w:rPr>
        <w:t xml:space="preserve"> Mnohí študenti už počas štúdia na </w:t>
      </w:r>
      <w:r w:rsidR="00583871" w:rsidRPr="0053555E">
        <w:rPr>
          <w:rFonts w:asciiTheme="majorHAnsi" w:hAnsiTheme="majorHAnsi"/>
        </w:rPr>
        <w:t>prvom</w:t>
      </w:r>
      <w:r w:rsidR="00610F12" w:rsidRPr="0053555E">
        <w:rPr>
          <w:rFonts w:asciiTheme="majorHAnsi" w:hAnsiTheme="majorHAnsi"/>
        </w:rPr>
        <w:t xml:space="preserve"> stupni pracujú na výskumných úlohách v rámci riešenia projektov VEGA a APVV.</w:t>
      </w:r>
      <w:r w:rsidR="00AF113A" w:rsidRPr="0053555E">
        <w:rPr>
          <w:rFonts w:asciiTheme="majorHAnsi" w:hAnsiTheme="majorHAnsi" w:cstheme="majorHAnsi"/>
        </w:rPr>
        <w:t xml:space="preserve"> </w:t>
      </w:r>
      <w:r w:rsidR="004640F4" w:rsidRPr="004640F4">
        <w:rPr>
          <w:rFonts w:asciiTheme="majorHAnsi" w:hAnsiTheme="majorHAnsi" w:cstheme="majorHAnsi"/>
        </w:rPr>
        <w:t>Uplatnenie nachádzajú aj v start-up-och na fakulte.</w:t>
      </w:r>
    </w:p>
    <w:p w14:paraId="7B6800BA" w14:textId="3B747866" w:rsidR="00D8214B" w:rsidRDefault="00897160" w:rsidP="00462A45">
      <w:pPr>
        <w:spacing w:after="120"/>
        <w:jc w:val="both"/>
        <w:rPr>
          <w:rFonts w:asciiTheme="majorHAnsi" w:hAnsiTheme="majorHAnsi" w:cstheme="majorHAnsi"/>
          <w:bCs/>
        </w:rPr>
      </w:pPr>
      <w:r w:rsidRPr="0053555E">
        <w:rPr>
          <w:rFonts w:asciiTheme="majorHAnsi" w:hAnsiTheme="majorHAnsi"/>
        </w:rPr>
        <w:t xml:space="preserve">Jednotlivé súčasti STU organizujú pre študentov rôzne </w:t>
      </w:r>
      <w:r w:rsidRPr="0053555E">
        <w:rPr>
          <w:rFonts w:asciiTheme="majorHAnsi" w:hAnsiTheme="majorHAnsi"/>
          <w:b/>
        </w:rPr>
        <w:t>ďalšie aktivity a súťaže</w:t>
      </w:r>
      <w:r w:rsidRPr="0053555E">
        <w:rPr>
          <w:rFonts w:asciiTheme="majorHAnsi" w:hAnsiTheme="majorHAnsi"/>
        </w:rPr>
        <w:t xml:space="preserve"> (FIITAPIXEL, </w:t>
      </w:r>
      <w:r w:rsidR="00CB58C2" w:rsidRPr="0053555E">
        <w:rPr>
          <w:rFonts w:asciiTheme="majorHAnsi" w:hAnsiTheme="majorHAnsi"/>
        </w:rPr>
        <w:t>RoboCup, TP Cup</w:t>
      </w:r>
      <w:r w:rsidR="004640F4">
        <w:rPr>
          <w:rFonts w:asciiTheme="majorHAnsi" w:hAnsiTheme="majorHAnsi"/>
        </w:rPr>
        <w:t xml:space="preserve">, </w:t>
      </w:r>
      <w:r w:rsidR="004640F4" w:rsidRPr="004640F4">
        <w:rPr>
          <w:rFonts w:asciiTheme="majorHAnsi" w:hAnsiTheme="majorHAnsi"/>
        </w:rPr>
        <w:t>IIT.SRC, ACM ICPC - ACM International Collegiate Programming Contest, ACM SPY/ACM SRC, NAG - Network Academy Games</w:t>
      </w:r>
      <w:r w:rsidRPr="0053555E">
        <w:rPr>
          <w:rFonts w:asciiTheme="majorHAnsi" w:hAnsiTheme="majorHAnsi"/>
        </w:rPr>
        <w:t>), spoločenské akcie</w:t>
      </w:r>
      <w:r w:rsidR="00CC3447" w:rsidRPr="0053555E">
        <w:rPr>
          <w:rFonts w:asciiTheme="majorHAnsi" w:hAnsiTheme="majorHAnsi"/>
        </w:rPr>
        <w:t xml:space="preserve">, </w:t>
      </w:r>
      <w:r w:rsidRPr="0053555E">
        <w:rPr>
          <w:rFonts w:asciiTheme="majorHAnsi" w:hAnsiTheme="majorHAnsi"/>
        </w:rPr>
        <w:t>workshopy</w:t>
      </w:r>
      <w:r w:rsidR="003E2717" w:rsidRPr="003E2717">
        <w:rPr>
          <w:rFonts w:asciiTheme="majorHAnsi" w:hAnsiTheme="majorHAnsi"/>
        </w:rPr>
        <w:t xml:space="preserve">, </w:t>
      </w:r>
      <w:r w:rsidR="001A7F9B" w:rsidRPr="0053555E">
        <w:rPr>
          <w:rFonts w:asciiTheme="majorHAnsi" w:hAnsiTheme="majorHAnsi"/>
        </w:rPr>
        <w:t xml:space="preserve">letné školy </w:t>
      </w:r>
      <w:r w:rsidR="003E2717" w:rsidRPr="003E2717">
        <w:rPr>
          <w:rFonts w:asciiTheme="majorHAnsi" w:hAnsiTheme="majorHAnsi"/>
        </w:rPr>
        <w:t>či odborné prednášky</w:t>
      </w:r>
      <w:r w:rsidR="00462A45">
        <w:rPr>
          <w:rFonts w:asciiTheme="majorHAnsi" w:hAnsiTheme="majorHAnsi"/>
        </w:rPr>
        <w:t>,</w:t>
      </w:r>
      <w:r w:rsidR="003E2717" w:rsidRPr="003E2717">
        <w:rPr>
          <w:rFonts w:asciiTheme="majorHAnsi" w:hAnsiTheme="majorHAnsi"/>
        </w:rPr>
        <w:t xml:space="preserve"> </w:t>
      </w:r>
      <w:r w:rsidR="005D24DD" w:rsidRPr="0053555E">
        <w:rPr>
          <w:rFonts w:asciiTheme="majorHAnsi" w:hAnsiTheme="majorHAnsi"/>
        </w:rPr>
        <w:t>veľtrhy pracovných príležitostí (ChemDay na FCHPT</w:t>
      </w:r>
      <w:r w:rsidR="00760675" w:rsidRPr="0053555E">
        <w:rPr>
          <w:rFonts w:asciiTheme="majorHAnsi" w:hAnsiTheme="majorHAnsi"/>
        </w:rPr>
        <w:t xml:space="preserve">, </w:t>
      </w:r>
      <w:r w:rsidR="00B6315C" w:rsidRPr="0053555E">
        <w:rPr>
          <w:rFonts w:asciiTheme="majorHAnsi" w:hAnsiTheme="majorHAnsi"/>
        </w:rPr>
        <w:t>JOBDAY</w:t>
      </w:r>
      <w:r w:rsidR="00760675" w:rsidRPr="0053555E">
        <w:rPr>
          <w:rFonts w:asciiTheme="majorHAnsi" w:hAnsiTheme="majorHAnsi"/>
        </w:rPr>
        <w:t xml:space="preserve"> na MTF)</w:t>
      </w:r>
      <w:r w:rsidR="00B6315C" w:rsidRPr="0053555E">
        <w:rPr>
          <w:rFonts w:asciiTheme="majorHAnsi" w:hAnsiTheme="majorHAnsi"/>
        </w:rPr>
        <w:t>. V </w:t>
      </w:r>
      <w:r w:rsidRPr="0053555E">
        <w:rPr>
          <w:rFonts w:asciiTheme="majorHAnsi" w:hAnsiTheme="majorHAnsi"/>
        </w:rPr>
        <w:t xml:space="preserve">akademickom roku </w:t>
      </w:r>
      <w:r w:rsidR="00EA24BA" w:rsidRPr="0053555E">
        <w:rPr>
          <w:rFonts w:asciiTheme="majorHAnsi" w:hAnsiTheme="majorHAnsi"/>
        </w:rPr>
        <w:t>2021/2022</w:t>
      </w:r>
      <w:r w:rsidRPr="0053555E">
        <w:rPr>
          <w:rFonts w:asciiTheme="majorHAnsi" w:hAnsiTheme="majorHAnsi"/>
        </w:rPr>
        <w:t xml:space="preserve"> </w:t>
      </w:r>
      <w:r w:rsidR="00F82FAA" w:rsidRPr="0053555E">
        <w:rPr>
          <w:rFonts w:asciiTheme="majorHAnsi" w:hAnsiTheme="majorHAnsi"/>
        </w:rPr>
        <w:t xml:space="preserve">sa </w:t>
      </w:r>
      <w:r w:rsidR="00253CF7">
        <w:rPr>
          <w:rFonts w:asciiTheme="majorHAnsi" w:hAnsiTheme="majorHAnsi"/>
        </w:rPr>
        <w:t xml:space="preserve">väčšina spomínaných podujatí </w:t>
      </w:r>
      <w:r w:rsidRPr="0053555E">
        <w:rPr>
          <w:rFonts w:asciiTheme="majorHAnsi" w:hAnsiTheme="majorHAnsi"/>
        </w:rPr>
        <w:t>konal</w:t>
      </w:r>
      <w:r w:rsidR="00462A45">
        <w:rPr>
          <w:rFonts w:asciiTheme="majorHAnsi" w:hAnsiTheme="majorHAnsi"/>
        </w:rPr>
        <w:t>a virtuálne.</w:t>
      </w:r>
      <w:r w:rsidRPr="0053555E">
        <w:rPr>
          <w:rFonts w:asciiTheme="majorHAnsi" w:hAnsiTheme="majorHAnsi"/>
        </w:rPr>
        <w:t xml:space="preserve"> </w:t>
      </w:r>
    </w:p>
    <w:p w14:paraId="70F02056" w14:textId="71AF8883" w:rsidR="005412C0" w:rsidRDefault="005412C0" w:rsidP="00A727F1">
      <w:pPr>
        <w:jc w:val="both"/>
        <w:rPr>
          <w:rFonts w:asciiTheme="majorHAnsi" w:hAnsiTheme="majorHAnsi" w:cstheme="majorHAnsi"/>
          <w:highlight w:val="green"/>
        </w:rPr>
      </w:pPr>
    </w:p>
    <w:p w14:paraId="68093CFA" w14:textId="682E9318" w:rsidR="00F813EF" w:rsidRPr="00462A45" w:rsidRDefault="00462A45" w:rsidP="00462A45">
      <w:pPr>
        <w:rPr>
          <w:b/>
          <w:sz w:val="28"/>
          <w:szCs w:val="28"/>
        </w:rPr>
      </w:pPr>
      <w:bookmarkStart w:id="246" w:name="_Ref127542870"/>
      <w:bookmarkStart w:id="247" w:name="_Ref127557265"/>
      <w:bookmarkStart w:id="248" w:name="_Toc127593245"/>
      <w:r w:rsidRPr="00462A45">
        <w:rPr>
          <w:b/>
          <w:sz w:val="28"/>
          <w:szCs w:val="28"/>
        </w:rPr>
        <w:t xml:space="preserve">8.8. </w:t>
      </w:r>
      <w:r w:rsidR="00F813EF" w:rsidRPr="00462A45">
        <w:rPr>
          <w:b/>
          <w:sz w:val="28"/>
          <w:szCs w:val="28"/>
        </w:rPr>
        <w:t>Poradenské centrum STU</w:t>
      </w:r>
      <w:bookmarkEnd w:id="246"/>
      <w:bookmarkEnd w:id="247"/>
      <w:bookmarkEnd w:id="248"/>
    </w:p>
    <w:p w14:paraId="35B3FAD1" w14:textId="77777777" w:rsidR="00462A45" w:rsidRPr="00462A45" w:rsidRDefault="00462A45" w:rsidP="00462A45"/>
    <w:p w14:paraId="457520DB" w14:textId="0A242460" w:rsidR="00B64CDF" w:rsidRPr="0053555E" w:rsidRDefault="00252725" w:rsidP="008E6809">
      <w:pPr>
        <w:spacing w:after="120"/>
        <w:jc w:val="both"/>
        <w:rPr>
          <w:rFonts w:asciiTheme="majorHAnsi" w:hAnsiTheme="majorHAnsi" w:cstheme="majorHAnsi"/>
        </w:rPr>
      </w:pPr>
      <w:hyperlink r:id="rId95" w:history="1">
        <w:r w:rsidR="00B64CDF" w:rsidRPr="00462A45">
          <w:rPr>
            <w:rStyle w:val="Hypertextovprepojenie"/>
            <w:rFonts w:asciiTheme="majorHAnsi" w:hAnsiTheme="majorHAnsi" w:cstheme="majorHAnsi"/>
            <w:color w:val="auto"/>
            <w:u w:val="none"/>
          </w:rPr>
          <w:t>Poradenské centrum STU</w:t>
        </w:r>
      </w:hyperlink>
      <w:r w:rsidR="00B64CDF" w:rsidRPr="0053555E">
        <w:rPr>
          <w:rFonts w:asciiTheme="majorHAnsi" w:hAnsiTheme="majorHAnsi" w:cstheme="majorHAnsi"/>
        </w:rPr>
        <w:t xml:space="preserve"> je špeciálnym pedagogickým pracoviskom na podporu štúdia študentov STU so špecifickými potrebami</w:t>
      </w:r>
      <w:r w:rsidR="006C5F84" w:rsidRPr="0053555E">
        <w:rPr>
          <w:rFonts w:asciiTheme="majorHAnsi" w:hAnsiTheme="majorHAnsi" w:cstheme="majorHAnsi"/>
        </w:rPr>
        <w:t xml:space="preserve"> (ďalej tiež „študenti so ŠP“)</w:t>
      </w:r>
      <w:r w:rsidR="00462A45">
        <w:rPr>
          <w:rFonts w:asciiTheme="majorHAnsi" w:hAnsiTheme="majorHAnsi" w:cstheme="majorHAnsi"/>
        </w:rPr>
        <w:t>. Jeho h</w:t>
      </w:r>
      <w:r w:rsidR="00B64CDF" w:rsidRPr="0053555E">
        <w:rPr>
          <w:rFonts w:asciiTheme="majorHAnsi" w:hAnsiTheme="majorHAnsi" w:cstheme="majorHAnsi"/>
        </w:rPr>
        <w:t>lavným poslaním je organizačná, koordinačná, vzdelávacia a poradenská činnosť zameraná na vytváranie prístupného akademického prostredia a zodpovedajú</w:t>
      </w:r>
      <w:r w:rsidR="006C5F84" w:rsidRPr="0053555E">
        <w:rPr>
          <w:rFonts w:asciiTheme="majorHAnsi" w:hAnsiTheme="majorHAnsi" w:cstheme="majorHAnsi"/>
        </w:rPr>
        <w:t>cich podmienok pre študentov so </w:t>
      </w:r>
      <w:r w:rsidR="00462A45">
        <w:rPr>
          <w:rFonts w:asciiTheme="majorHAnsi" w:hAnsiTheme="majorHAnsi" w:cstheme="majorHAnsi"/>
        </w:rPr>
        <w:t>ŠP</w:t>
      </w:r>
      <w:r w:rsidR="00B64CDF" w:rsidRPr="0053555E">
        <w:rPr>
          <w:rFonts w:asciiTheme="majorHAnsi" w:hAnsiTheme="majorHAnsi" w:cstheme="majorHAnsi"/>
        </w:rPr>
        <w:t xml:space="preserve"> na STU a pre </w:t>
      </w:r>
      <w:r w:rsidR="00462A45">
        <w:rPr>
          <w:rFonts w:asciiTheme="majorHAnsi" w:hAnsiTheme="majorHAnsi" w:cstheme="majorHAnsi"/>
        </w:rPr>
        <w:t>uchádzačov o štúdium na STU,</w:t>
      </w:r>
      <w:r w:rsidR="00B64CDF" w:rsidRPr="0053555E">
        <w:rPr>
          <w:rFonts w:asciiTheme="majorHAnsi" w:hAnsiTheme="majorHAnsi" w:cstheme="majorHAnsi"/>
        </w:rPr>
        <w:t xml:space="preserve"> bez znižovania požiadaviek na ich študijný výkon. </w:t>
      </w:r>
      <w:r w:rsidR="00FA3EC3" w:rsidRPr="00FA3EC3">
        <w:rPr>
          <w:rFonts w:asciiTheme="majorHAnsi" w:hAnsiTheme="majorHAnsi" w:cstheme="majorHAnsi"/>
        </w:rPr>
        <w:t xml:space="preserve">V zmysle zákona o vysokých školách zabezpečuje Poradenské centrum STU </w:t>
      </w:r>
      <w:r w:rsidR="00393F5C">
        <w:rPr>
          <w:rFonts w:asciiTheme="majorHAnsi" w:hAnsiTheme="majorHAnsi" w:cstheme="majorHAnsi"/>
        </w:rPr>
        <w:t xml:space="preserve">aj </w:t>
      </w:r>
      <w:r w:rsidR="00462A45">
        <w:rPr>
          <w:rFonts w:asciiTheme="majorHAnsi" w:hAnsiTheme="majorHAnsi" w:cstheme="majorHAnsi"/>
        </w:rPr>
        <w:t>kariérne</w:t>
      </w:r>
      <w:r w:rsidR="00FA3EC3" w:rsidRPr="00FA3EC3">
        <w:rPr>
          <w:rFonts w:asciiTheme="majorHAnsi" w:hAnsiTheme="majorHAnsi" w:cstheme="majorHAnsi"/>
        </w:rPr>
        <w:t xml:space="preserve"> poradenstvo, psychologické poradenstvo a</w:t>
      </w:r>
      <w:r w:rsidR="00D10D2E">
        <w:rPr>
          <w:rFonts w:asciiTheme="majorHAnsi" w:hAnsiTheme="majorHAnsi" w:cstheme="majorHAnsi"/>
        </w:rPr>
        <w:t> </w:t>
      </w:r>
      <w:r w:rsidR="00FA3EC3" w:rsidRPr="00FA3EC3">
        <w:rPr>
          <w:rFonts w:asciiTheme="majorHAnsi" w:hAnsiTheme="majorHAnsi" w:cstheme="majorHAnsi"/>
        </w:rPr>
        <w:t>por</w:t>
      </w:r>
      <w:r w:rsidR="00462A45">
        <w:rPr>
          <w:rFonts w:asciiTheme="majorHAnsi" w:hAnsiTheme="majorHAnsi" w:cstheme="majorHAnsi"/>
        </w:rPr>
        <w:t>adenstvo pri efektívnom učení</w:t>
      </w:r>
      <w:r w:rsidR="00FA3EC3" w:rsidRPr="00FA3EC3">
        <w:rPr>
          <w:rFonts w:asciiTheme="majorHAnsi" w:hAnsiTheme="majorHAnsi" w:cstheme="majorHAnsi"/>
        </w:rPr>
        <w:t xml:space="preserve">. </w:t>
      </w:r>
      <w:r w:rsidR="00B64CDF" w:rsidRPr="0053555E">
        <w:rPr>
          <w:rFonts w:asciiTheme="majorHAnsi" w:hAnsiTheme="majorHAnsi" w:cstheme="majorHAnsi"/>
        </w:rPr>
        <w:t xml:space="preserve"> </w:t>
      </w:r>
    </w:p>
    <w:p w14:paraId="4757057B" w14:textId="1FDC0572" w:rsidR="002052FB" w:rsidRPr="00DF26B6" w:rsidRDefault="00B64CDF" w:rsidP="002052FB">
      <w:pPr>
        <w:spacing w:after="120"/>
        <w:jc w:val="both"/>
      </w:pPr>
      <w:r w:rsidRPr="0053555E">
        <w:rPr>
          <w:rFonts w:asciiTheme="majorHAnsi" w:hAnsiTheme="majorHAnsi" w:cstheme="majorHAnsi"/>
        </w:rPr>
        <w:t xml:space="preserve">Podporné služby pre študentov so </w:t>
      </w:r>
      <w:r w:rsidR="006F6E57">
        <w:rPr>
          <w:rFonts w:asciiTheme="majorHAnsi" w:hAnsiTheme="majorHAnsi" w:cstheme="majorHAnsi"/>
        </w:rPr>
        <w:t>ŠP</w:t>
      </w:r>
      <w:r w:rsidRPr="0053555E">
        <w:rPr>
          <w:rFonts w:asciiTheme="majorHAnsi" w:hAnsiTheme="majorHAnsi" w:cstheme="majorHAnsi"/>
        </w:rPr>
        <w:t xml:space="preserve"> koordinuje a usmerňuje univerzitný koordinátor, ktorého činnosť upravuje </w:t>
      </w:r>
      <w:hyperlink r:id="rId96" w:history="1">
        <w:r w:rsidRPr="00DF26B6">
          <w:rPr>
            <w:rStyle w:val="Hypertextovprepojenie"/>
            <w:rFonts w:asciiTheme="majorHAnsi" w:hAnsiTheme="majorHAnsi" w:cstheme="majorHAnsi"/>
            <w:color w:val="auto"/>
            <w:u w:val="none"/>
          </w:rPr>
          <w:t>smernica rektora 5/2013-SR</w:t>
        </w:r>
      </w:hyperlink>
      <w:r w:rsidR="00DF26B6">
        <w:rPr>
          <w:rStyle w:val="Hypertextovprepojenie"/>
          <w:rFonts w:asciiTheme="majorHAnsi" w:hAnsiTheme="majorHAnsi" w:cstheme="majorHAnsi"/>
          <w:color w:val="auto"/>
          <w:u w:val="none"/>
        </w:rPr>
        <w:t>.</w:t>
      </w:r>
      <w:r w:rsidRPr="0053555E">
        <w:rPr>
          <w:rFonts w:asciiTheme="majorHAnsi" w:hAnsiTheme="majorHAnsi" w:cstheme="majorHAnsi"/>
        </w:rPr>
        <w:t xml:space="preserve"> Študentom so </w:t>
      </w:r>
      <w:r w:rsidR="00DF26B6">
        <w:rPr>
          <w:rFonts w:asciiTheme="majorHAnsi" w:hAnsiTheme="majorHAnsi" w:cstheme="majorHAnsi"/>
        </w:rPr>
        <w:t>ŠP</w:t>
      </w:r>
      <w:r w:rsidRPr="0053555E">
        <w:rPr>
          <w:rFonts w:asciiTheme="majorHAnsi" w:hAnsiTheme="majorHAnsi" w:cstheme="majorHAnsi"/>
        </w:rPr>
        <w:t xml:space="preserve"> boli </w:t>
      </w:r>
      <w:r w:rsidR="00C25290">
        <w:rPr>
          <w:rFonts w:asciiTheme="majorHAnsi" w:hAnsiTheme="majorHAnsi" w:cstheme="majorHAnsi"/>
        </w:rPr>
        <w:t>v</w:t>
      </w:r>
      <w:r w:rsidR="00C47C30">
        <w:rPr>
          <w:rFonts w:asciiTheme="majorHAnsi" w:hAnsiTheme="majorHAnsi" w:cstheme="majorHAnsi"/>
        </w:rPr>
        <w:t xml:space="preserve"> </w:t>
      </w:r>
      <w:r w:rsidR="00C25290">
        <w:rPr>
          <w:rFonts w:asciiTheme="majorHAnsi" w:hAnsiTheme="majorHAnsi" w:cstheme="majorHAnsi"/>
        </w:rPr>
        <w:t xml:space="preserve">akademickom roku 2021/2022 </w:t>
      </w:r>
      <w:r w:rsidRPr="0053555E">
        <w:rPr>
          <w:rFonts w:asciiTheme="majorHAnsi" w:hAnsiTheme="majorHAnsi" w:cstheme="majorHAnsi"/>
        </w:rPr>
        <w:t>priznané</w:t>
      </w:r>
      <w:r w:rsidR="00126EC3" w:rsidRPr="0053555E">
        <w:rPr>
          <w:rFonts w:asciiTheme="majorHAnsi" w:hAnsiTheme="majorHAnsi" w:cstheme="majorHAnsi"/>
        </w:rPr>
        <w:t xml:space="preserve"> </w:t>
      </w:r>
      <w:r w:rsidR="009656BF">
        <w:rPr>
          <w:rFonts w:asciiTheme="majorHAnsi" w:hAnsiTheme="majorHAnsi" w:cstheme="majorHAnsi"/>
        </w:rPr>
        <w:t xml:space="preserve">a </w:t>
      </w:r>
      <w:r w:rsidR="00126EC3" w:rsidRPr="0053555E">
        <w:rPr>
          <w:rFonts w:asciiTheme="majorHAnsi" w:hAnsiTheme="majorHAnsi" w:cstheme="majorHAnsi"/>
        </w:rPr>
        <w:t>poskytované primerané úpravy a</w:t>
      </w:r>
      <w:r w:rsidR="00A64467">
        <w:rPr>
          <w:rFonts w:asciiTheme="majorHAnsi" w:hAnsiTheme="majorHAnsi" w:cstheme="majorHAnsi"/>
        </w:rPr>
        <w:t xml:space="preserve"> </w:t>
      </w:r>
      <w:r w:rsidRPr="0053555E">
        <w:rPr>
          <w:rFonts w:asciiTheme="majorHAnsi" w:hAnsiTheme="majorHAnsi" w:cstheme="majorHAnsi"/>
        </w:rPr>
        <w:t xml:space="preserve">podporné služby v zmysle </w:t>
      </w:r>
      <w:r w:rsidR="00DF26B6">
        <w:rPr>
          <w:rFonts w:asciiTheme="majorHAnsi" w:hAnsiTheme="majorHAnsi" w:cstheme="majorHAnsi"/>
        </w:rPr>
        <w:t xml:space="preserve">vyhlášky </w:t>
      </w:r>
      <w:r w:rsidRPr="0053555E">
        <w:rPr>
          <w:rFonts w:asciiTheme="majorHAnsi" w:hAnsiTheme="majorHAnsi" w:cstheme="majorHAnsi"/>
        </w:rPr>
        <w:t>o m</w:t>
      </w:r>
      <w:r w:rsidR="00126EC3" w:rsidRPr="0053555E">
        <w:rPr>
          <w:rFonts w:asciiTheme="majorHAnsi" w:hAnsiTheme="majorHAnsi" w:cstheme="majorHAnsi"/>
        </w:rPr>
        <w:t>inimálnych nárokoch študenta so</w:t>
      </w:r>
      <w:r w:rsidR="00C47C30">
        <w:rPr>
          <w:rFonts w:asciiTheme="majorHAnsi" w:hAnsiTheme="majorHAnsi" w:cstheme="majorHAnsi"/>
        </w:rPr>
        <w:t xml:space="preserve"> </w:t>
      </w:r>
      <w:r w:rsidRPr="0053555E">
        <w:rPr>
          <w:rFonts w:asciiTheme="majorHAnsi" w:hAnsiTheme="majorHAnsi" w:cstheme="majorHAnsi"/>
        </w:rPr>
        <w:t>špecifickými potrebami</w:t>
      </w:r>
      <w:r w:rsidR="00DF26B6">
        <w:rPr>
          <w:rFonts w:asciiTheme="majorHAnsi" w:hAnsiTheme="majorHAnsi" w:cstheme="majorHAnsi"/>
        </w:rPr>
        <w:t>.</w:t>
      </w:r>
      <w:r w:rsidRPr="0053555E">
        <w:rPr>
          <w:rFonts w:asciiTheme="majorHAnsi" w:hAnsiTheme="majorHAnsi" w:cstheme="majorHAnsi"/>
        </w:rPr>
        <w:t xml:space="preserve"> </w:t>
      </w:r>
      <w:r w:rsidR="002052FB">
        <w:rPr>
          <w:rFonts w:asciiTheme="majorHAnsi" w:hAnsiTheme="majorHAnsi" w:cstheme="majorHAnsi"/>
        </w:rPr>
        <w:t xml:space="preserve">Na fakultnej úrovni zabezpečovali podporu pre študentov </w:t>
      </w:r>
      <w:r w:rsidR="002052FB" w:rsidRPr="0053555E">
        <w:rPr>
          <w:rFonts w:asciiTheme="majorHAnsi" w:hAnsiTheme="majorHAnsi" w:cstheme="majorHAnsi"/>
        </w:rPr>
        <w:t xml:space="preserve">so špecifickými potrebami </w:t>
      </w:r>
      <w:r w:rsidR="002052FB">
        <w:rPr>
          <w:rFonts w:asciiTheme="majorHAnsi" w:hAnsiTheme="majorHAnsi" w:cstheme="majorHAnsi"/>
        </w:rPr>
        <w:t>fakultní koordinátori</w:t>
      </w:r>
      <w:r w:rsidR="00DF26B6">
        <w:rPr>
          <w:rFonts w:asciiTheme="majorHAnsi" w:hAnsiTheme="majorHAnsi" w:cstheme="majorHAnsi"/>
        </w:rPr>
        <w:t>, na</w:t>
      </w:r>
      <w:r w:rsidR="002052FB">
        <w:rPr>
          <w:rFonts w:asciiTheme="majorHAnsi" w:hAnsiTheme="majorHAnsi" w:cstheme="majorHAnsi"/>
        </w:rPr>
        <w:t xml:space="preserve"> univerzitnej </w:t>
      </w:r>
      <w:r w:rsidR="00DF26B6">
        <w:rPr>
          <w:rFonts w:asciiTheme="majorHAnsi" w:hAnsiTheme="majorHAnsi" w:cstheme="majorHAnsi"/>
        </w:rPr>
        <w:t>Poradenské centrum</w:t>
      </w:r>
      <w:r w:rsidR="002052FB">
        <w:rPr>
          <w:rFonts w:asciiTheme="majorHAnsi" w:hAnsiTheme="majorHAnsi" w:cstheme="majorHAnsi"/>
        </w:rPr>
        <w:t xml:space="preserve"> STU personálne zastúpená univerzitným koordinátorom pre študentov so </w:t>
      </w:r>
      <w:r w:rsidR="00DF26B6">
        <w:rPr>
          <w:rFonts w:asciiTheme="majorHAnsi" w:hAnsiTheme="majorHAnsi" w:cstheme="majorHAnsi"/>
        </w:rPr>
        <w:t>ŠP</w:t>
      </w:r>
      <w:r w:rsidR="002052FB">
        <w:rPr>
          <w:rFonts w:asciiTheme="majorHAnsi" w:hAnsiTheme="majorHAnsi" w:cstheme="majorHAnsi"/>
        </w:rPr>
        <w:t xml:space="preserve"> (od </w:t>
      </w:r>
      <w:r w:rsidR="00191599">
        <w:rPr>
          <w:rFonts w:asciiTheme="majorHAnsi" w:hAnsiTheme="majorHAnsi" w:cstheme="majorHAnsi"/>
        </w:rPr>
        <w:t xml:space="preserve">januára </w:t>
      </w:r>
      <w:r w:rsidR="002052FB">
        <w:rPr>
          <w:rFonts w:asciiTheme="majorHAnsi" w:hAnsiTheme="majorHAnsi" w:cstheme="majorHAnsi"/>
        </w:rPr>
        <w:t>2022) a externými spolupracovníkmi; špeciálnym pedagógom</w:t>
      </w:r>
      <w:r w:rsidR="00191599">
        <w:rPr>
          <w:rFonts w:asciiTheme="majorHAnsi" w:hAnsiTheme="majorHAnsi" w:cstheme="majorHAnsi"/>
        </w:rPr>
        <w:t xml:space="preserve"> </w:t>
      </w:r>
      <w:r w:rsidR="002052FB">
        <w:rPr>
          <w:rFonts w:asciiTheme="majorHAnsi" w:hAnsiTheme="majorHAnsi" w:cstheme="majorHAnsi"/>
        </w:rPr>
        <w:t xml:space="preserve">(od </w:t>
      </w:r>
      <w:r w:rsidR="00191599">
        <w:rPr>
          <w:rFonts w:asciiTheme="majorHAnsi" w:hAnsiTheme="majorHAnsi" w:cstheme="majorHAnsi"/>
        </w:rPr>
        <w:t xml:space="preserve">júna </w:t>
      </w:r>
      <w:r w:rsidR="002052FB">
        <w:rPr>
          <w:rFonts w:asciiTheme="majorHAnsi" w:hAnsiTheme="majorHAnsi" w:cstheme="majorHAnsi"/>
        </w:rPr>
        <w:t>2022), klinickým psychológom (</w:t>
      </w:r>
      <w:r w:rsidR="006A33A3">
        <w:rPr>
          <w:rFonts w:asciiTheme="majorHAnsi" w:hAnsiTheme="majorHAnsi" w:cstheme="majorHAnsi"/>
        </w:rPr>
        <w:t xml:space="preserve">od </w:t>
      </w:r>
      <w:r w:rsidR="00191599">
        <w:rPr>
          <w:rFonts w:asciiTheme="majorHAnsi" w:hAnsiTheme="majorHAnsi" w:cstheme="majorHAnsi"/>
        </w:rPr>
        <w:t xml:space="preserve">júla </w:t>
      </w:r>
      <w:r w:rsidR="002052FB">
        <w:rPr>
          <w:rFonts w:asciiTheme="majorHAnsi" w:hAnsiTheme="majorHAnsi" w:cstheme="majorHAnsi"/>
        </w:rPr>
        <w:t xml:space="preserve">2022). </w:t>
      </w:r>
    </w:p>
    <w:p w14:paraId="707A2CB4" w14:textId="35D18D88" w:rsidR="002052FB" w:rsidRDefault="002052FB" w:rsidP="00191599">
      <w:pPr>
        <w:jc w:val="both"/>
        <w:rPr>
          <w:rFonts w:asciiTheme="majorHAnsi" w:hAnsiTheme="majorHAnsi" w:cstheme="majorHAnsi"/>
        </w:rPr>
      </w:pPr>
      <w:r>
        <w:rPr>
          <w:rFonts w:asciiTheme="majorHAnsi" w:hAnsiTheme="majorHAnsi" w:cstheme="majorHAnsi"/>
          <w:b/>
        </w:rPr>
        <w:t xml:space="preserve">Tím </w:t>
      </w:r>
      <w:r w:rsidR="00191599">
        <w:rPr>
          <w:rFonts w:asciiTheme="majorHAnsi" w:hAnsiTheme="majorHAnsi" w:cstheme="majorHAnsi"/>
          <w:b/>
        </w:rPr>
        <w:t>P</w:t>
      </w:r>
      <w:r>
        <w:rPr>
          <w:rFonts w:asciiTheme="majorHAnsi" w:hAnsiTheme="majorHAnsi" w:cstheme="majorHAnsi"/>
          <w:b/>
        </w:rPr>
        <w:t xml:space="preserve">oradenského centra STU orientovaný na podporu študentov so </w:t>
      </w:r>
      <w:r w:rsidR="00191599" w:rsidRPr="00191599">
        <w:rPr>
          <w:rFonts w:asciiTheme="majorHAnsi" w:hAnsiTheme="majorHAnsi" w:cstheme="majorHAnsi"/>
          <w:b/>
        </w:rPr>
        <w:t>špecifickými potrebami</w:t>
      </w:r>
      <w:r>
        <w:rPr>
          <w:rFonts w:asciiTheme="majorHAnsi" w:hAnsiTheme="majorHAnsi" w:cstheme="majorHAnsi"/>
          <w:b/>
        </w:rPr>
        <w:t xml:space="preserve"> v akademickom roku 2021/2022 zabezpečoval najmä tieto podporné služby:</w:t>
      </w:r>
    </w:p>
    <w:p w14:paraId="0AAD085C" w14:textId="77777777" w:rsidR="00191599" w:rsidRDefault="00191599" w:rsidP="00E027F7">
      <w:pPr>
        <w:pStyle w:val="Bezriadkovania"/>
        <w:numPr>
          <w:ilvl w:val="0"/>
          <w:numId w:val="20"/>
        </w:numPr>
        <w:ind w:left="426" w:hanging="426"/>
        <w:rPr>
          <w:sz w:val="24"/>
        </w:rPr>
      </w:pPr>
      <w:r>
        <w:rPr>
          <w:sz w:val="24"/>
        </w:rPr>
        <w:t>vyhodnocovanie špecifických potrieb,</w:t>
      </w:r>
    </w:p>
    <w:p w14:paraId="2B2659A9" w14:textId="77777777" w:rsidR="00191599" w:rsidRDefault="00191599" w:rsidP="00E027F7">
      <w:pPr>
        <w:pStyle w:val="Bezriadkovania"/>
        <w:numPr>
          <w:ilvl w:val="0"/>
          <w:numId w:val="20"/>
        </w:numPr>
        <w:ind w:left="426" w:hanging="426"/>
        <w:rPr>
          <w:sz w:val="24"/>
        </w:rPr>
      </w:pPr>
      <w:r>
        <w:rPr>
          <w:sz w:val="24"/>
        </w:rPr>
        <w:t>poradenstvo orientované na podporu akademického úspechu študentov so ŠP,</w:t>
      </w:r>
    </w:p>
    <w:p w14:paraId="794A709F" w14:textId="77777777" w:rsidR="00191599" w:rsidRDefault="00191599" w:rsidP="00E027F7">
      <w:pPr>
        <w:pStyle w:val="Bezriadkovania"/>
        <w:numPr>
          <w:ilvl w:val="0"/>
          <w:numId w:val="20"/>
        </w:numPr>
        <w:ind w:left="426" w:hanging="426"/>
        <w:rPr>
          <w:sz w:val="24"/>
        </w:rPr>
      </w:pPr>
      <w:r>
        <w:rPr>
          <w:sz w:val="24"/>
        </w:rPr>
        <w:t>zabezpečovanie a koordinovanie podporných služieb,</w:t>
      </w:r>
    </w:p>
    <w:p w14:paraId="37CF87DC" w14:textId="77777777" w:rsidR="00191599" w:rsidRDefault="00191599" w:rsidP="00E027F7">
      <w:pPr>
        <w:pStyle w:val="Bezriadkovania"/>
        <w:numPr>
          <w:ilvl w:val="0"/>
          <w:numId w:val="20"/>
        </w:numPr>
        <w:ind w:left="426" w:hanging="426"/>
        <w:rPr>
          <w:sz w:val="24"/>
        </w:rPr>
      </w:pPr>
      <w:r>
        <w:rPr>
          <w:sz w:val="24"/>
        </w:rPr>
        <w:t xml:space="preserve">špeciálnopedagogické intervencie (kognitívny tréning, efektívne techniky učenia a i.), </w:t>
      </w:r>
    </w:p>
    <w:p w14:paraId="2F9BE5C1" w14:textId="35D94BE6" w:rsidR="00191599" w:rsidRDefault="00191599" w:rsidP="00E027F7">
      <w:pPr>
        <w:pStyle w:val="Bezriadkovania"/>
        <w:numPr>
          <w:ilvl w:val="0"/>
          <w:numId w:val="20"/>
        </w:numPr>
        <w:ind w:left="426" w:hanging="426"/>
        <w:rPr>
          <w:sz w:val="24"/>
        </w:rPr>
      </w:pPr>
      <w:r>
        <w:rPr>
          <w:sz w:val="24"/>
        </w:rPr>
        <w:t xml:space="preserve">psychologické poradenstvo a psychoterapiu pre študentov so </w:t>
      </w:r>
      <w:r w:rsidR="00AF4C71">
        <w:rPr>
          <w:rFonts w:asciiTheme="majorHAnsi" w:hAnsiTheme="majorHAnsi" w:cstheme="majorHAnsi"/>
        </w:rPr>
        <w:t>špecifickými potrebami</w:t>
      </w:r>
      <w:r>
        <w:rPr>
          <w:sz w:val="24"/>
        </w:rPr>
        <w:t>,</w:t>
      </w:r>
    </w:p>
    <w:p w14:paraId="0AC9E6FF" w14:textId="77777777" w:rsidR="00191599" w:rsidRDefault="00191599" w:rsidP="00E027F7">
      <w:pPr>
        <w:pStyle w:val="Bezriadkovania"/>
        <w:numPr>
          <w:ilvl w:val="0"/>
          <w:numId w:val="20"/>
        </w:numPr>
        <w:ind w:left="426" w:hanging="426"/>
        <w:rPr>
          <w:sz w:val="24"/>
        </w:rPr>
      </w:pPr>
      <w:r>
        <w:rPr>
          <w:sz w:val="24"/>
        </w:rPr>
        <w:t>krízovú intervenciu,</w:t>
      </w:r>
    </w:p>
    <w:p w14:paraId="7EAF7BDB" w14:textId="3C1ED1D2" w:rsidR="00191599" w:rsidRDefault="00191599" w:rsidP="00E027F7">
      <w:pPr>
        <w:pStyle w:val="Bezriadkovania"/>
        <w:numPr>
          <w:ilvl w:val="0"/>
          <w:numId w:val="20"/>
        </w:numPr>
        <w:ind w:left="426" w:hanging="426"/>
        <w:rPr>
          <w:sz w:val="24"/>
        </w:rPr>
      </w:pPr>
      <w:r>
        <w:rPr>
          <w:sz w:val="24"/>
        </w:rPr>
        <w:t xml:space="preserve">podporu pre fakultných koordinátorov pre študentov so </w:t>
      </w:r>
      <w:r w:rsidR="00AF4C71">
        <w:rPr>
          <w:rFonts w:asciiTheme="majorHAnsi" w:hAnsiTheme="majorHAnsi" w:cstheme="majorHAnsi"/>
        </w:rPr>
        <w:t>špecifickými potrebami</w:t>
      </w:r>
      <w:r>
        <w:rPr>
          <w:sz w:val="24"/>
        </w:rPr>
        <w:t>,</w:t>
      </w:r>
    </w:p>
    <w:p w14:paraId="2D2F7BBE" w14:textId="4914DD31" w:rsidR="00191599" w:rsidRDefault="00191599" w:rsidP="00E027F7">
      <w:pPr>
        <w:pStyle w:val="Bezriadkovania"/>
        <w:numPr>
          <w:ilvl w:val="0"/>
          <w:numId w:val="20"/>
        </w:numPr>
        <w:ind w:left="426" w:hanging="426"/>
        <w:rPr>
          <w:sz w:val="24"/>
        </w:rPr>
      </w:pPr>
      <w:r>
        <w:rPr>
          <w:sz w:val="24"/>
        </w:rPr>
        <w:t xml:space="preserve">poradenskú činnosť pre učiteľov v súvislosti so štúdiom študentov so </w:t>
      </w:r>
      <w:r w:rsidR="00AF4C71">
        <w:rPr>
          <w:rFonts w:asciiTheme="majorHAnsi" w:hAnsiTheme="majorHAnsi" w:cstheme="majorHAnsi"/>
        </w:rPr>
        <w:t>špecifickými potrebami</w:t>
      </w:r>
      <w:r>
        <w:rPr>
          <w:sz w:val="24"/>
        </w:rPr>
        <w:t>,</w:t>
      </w:r>
    </w:p>
    <w:p w14:paraId="11AAF32E" w14:textId="40766A61" w:rsidR="00191599" w:rsidRDefault="00191599" w:rsidP="00E027F7">
      <w:pPr>
        <w:pStyle w:val="Bezriadkovania"/>
        <w:numPr>
          <w:ilvl w:val="0"/>
          <w:numId w:val="20"/>
        </w:numPr>
        <w:ind w:left="426" w:hanging="426"/>
        <w:rPr>
          <w:sz w:val="24"/>
        </w:rPr>
      </w:pPr>
      <w:r>
        <w:rPr>
          <w:sz w:val="24"/>
        </w:rPr>
        <w:t>vzdelávaciu činnosť (webinár: Študenti s autizmom a vysokej škole),</w:t>
      </w:r>
      <w:r w:rsidR="00AF4C71">
        <w:rPr>
          <w:sz w:val="24"/>
        </w:rPr>
        <w:t xml:space="preserve"> </w:t>
      </w:r>
    </w:p>
    <w:p w14:paraId="663FE64E" w14:textId="3C7319D3" w:rsidR="00191599" w:rsidRDefault="00191599" w:rsidP="00E027F7">
      <w:pPr>
        <w:pStyle w:val="Bezriadkovania"/>
        <w:numPr>
          <w:ilvl w:val="0"/>
          <w:numId w:val="20"/>
        </w:numPr>
        <w:spacing w:after="120"/>
        <w:ind w:left="425" w:hanging="425"/>
        <w:rPr>
          <w:sz w:val="24"/>
        </w:rPr>
      </w:pPr>
      <w:r>
        <w:rPr>
          <w:sz w:val="24"/>
        </w:rPr>
        <w:t>intervenciu zameranú na rozvoj univerzálne prístupného akademického prostredia.</w:t>
      </w:r>
    </w:p>
    <w:p w14:paraId="709EF37F" w14:textId="548FDB84" w:rsidR="00B64CDF" w:rsidRPr="0053555E" w:rsidRDefault="00AF4C71" w:rsidP="002052FB">
      <w:pPr>
        <w:spacing w:after="120"/>
        <w:jc w:val="both"/>
        <w:rPr>
          <w:rFonts w:asciiTheme="majorHAnsi" w:hAnsiTheme="majorHAnsi" w:cstheme="majorHAnsi"/>
          <w:b/>
        </w:rPr>
      </w:pPr>
      <w:r>
        <w:rPr>
          <w:rFonts w:asciiTheme="majorHAnsi" w:hAnsiTheme="majorHAnsi" w:cstheme="majorHAnsi"/>
          <w:b/>
        </w:rPr>
        <w:t xml:space="preserve">V </w:t>
      </w:r>
      <w:r w:rsidR="00B64CDF" w:rsidRPr="0053555E">
        <w:rPr>
          <w:rFonts w:asciiTheme="majorHAnsi" w:hAnsiTheme="majorHAnsi" w:cstheme="majorHAnsi"/>
          <w:b/>
        </w:rPr>
        <w:t xml:space="preserve">akademickom roku </w:t>
      </w:r>
      <w:r w:rsidR="00EA24BA" w:rsidRPr="0053555E">
        <w:rPr>
          <w:rFonts w:asciiTheme="majorHAnsi" w:hAnsiTheme="majorHAnsi" w:cstheme="majorHAnsi"/>
          <w:b/>
        </w:rPr>
        <w:t>2021/2022</w:t>
      </w:r>
      <w:r w:rsidR="00B64CDF" w:rsidRPr="0053555E">
        <w:rPr>
          <w:rFonts w:asciiTheme="majorHAnsi" w:hAnsiTheme="majorHAnsi" w:cstheme="majorHAnsi"/>
          <w:b/>
        </w:rPr>
        <w:t xml:space="preserve"> STU evidovala 6</w:t>
      </w:r>
      <w:r>
        <w:rPr>
          <w:rFonts w:asciiTheme="majorHAnsi" w:hAnsiTheme="majorHAnsi" w:cstheme="majorHAnsi"/>
          <w:b/>
        </w:rPr>
        <w:t>2</w:t>
      </w:r>
      <w:r w:rsidR="00B64CDF" w:rsidRPr="0053555E">
        <w:rPr>
          <w:rFonts w:asciiTheme="majorHAnsi" w:hAnsiTheme="majorHAnsi" w:cstheme="majorHAnsi"/>
          <w:b/>
        </w:rPr>
        <w:t xml:space="preserve"> študentov so špecifickými potrebami. </w:t>
      </w:r>
    </w:p>
    <w:p w14:paraId="1CF04E5E" w14:textId="5B3DD381" w:rsidR="00005D58" w:rsidRDefault="00812B96" w:rsidP="00D94956">
      <w:pPr>
        <w:spacing w:after="120"/>
        <w:jc w:val="both"/>
        <w:rPr>
          <w:rFonts w:asciiTheme="majorHAnsi" w:hAnsiTheme="majorHAnsi" w:cstheme="majorHAnsi"/>
          <w:sz w:val="20"/>
        </w:rPr>
      </w:pPr>
      <w:r w:rsidRPr="0053555E">
        <w:rPr>
          <w:rFonts w:asciiTheme="majorHAnsi" w:hAnsiTheme="majorHAnsi" w:cstheme="majorHAnsi"/>
        </w:rPr>
        <w:t>Štruktúru</w:t>
      </w:r>
      <w:r w:rsidR="002146F6" w:rsidRPr="0053555E">
        <w:rPr>
          <w:rFonts w:asciiTheme="majorHAnsi" w:hAnsiTheme="majorHAnsi" w:cstheme="majorHAnsi"/>
        </w:rPr>
        <w:t xml:space="preserve"> </w:t>
      </w:r>
      <w:r w:rsidRPr="0053555E">
        <w:rPr>
          <w:rFonts w:asciiTheme="majorHAnsi" w:hAnsiTheme="majorHAnsi" w:cstheme="majorHAnsi"/>
        </w:rPr>
        <w:t xml:space="preserve">evidovaných </w:t>
      </w:r>
      <w:r w:rsidR="002146F6" w:rsidRPr="0053555E">
        <w:rPr>
          <w:rFonts w:asciiTheme="majorHAnsi" w:hAnsiTheme="majorHAnsi" w:cstheme="majorHAnsi"/>
        </w:rPr>
        <w:t xml:space="preserve">študentov so špecifickými potrebami podľa druhu </w:t>
      </w:r>
      <w:r w:rsidRPr="0053555E">
        <w:rPr>
          <w:rFonts w:asciiTheme="majorHAnsi" w:hAnsiTheme="majorHAnsi" w:cstheme="majorHAnsi"/>
        </w:rPr>
        <w:t>zdravotného znevýhodnenia v akademickom</w:t>
      </w:r>
      <w:r w:rsidR="002146F6" w:rsidRPr="0053555E">
        <w:rPr>
          <w:rFonts w:asciiTheme="majorHAnsi" w:hAnsiTheme="majorHAnsi" w:cstheme="majorHAnsi"/>
        </w:rPr>
        <w:t xml:space="preserve"> roku </w:t>
      </w:r>
      <w:r w:rsidR="00EA24BA" w:rsidRPr="0053555E">
        <w:rPr>
          <w:rFonts w:asciiTheme="majorHAnsi" w:hAnsiTheme="majorHAnsi" w:cstheme="majorHAnsi"/>
        </w:rPr>
        <w:t>2021/2022</w:t>
      </w:r>
      <w:r w:rsidR="002146F6" w:rsidRPr="0053555E">
        <w:rPr>
          <w:rFonts w:asciiTheme="majorHAnsi" w:hAnsiTheme="majorHAnsi" w:cstheme="majorHAnsi"/>
        </w:rPr>
        <w:t xml:space="preserve"> </w:t>
      </w:r>
      <w:r w:rsidR="00F15AEA" w:rsidRPr="0053555E">
        <w:rPr>
          <w:rFonts w:asciiTheme="majorHAnsi" w:hAnsiTheme="majorHAnsi" w:cstheme="majorHAnsi"/>
        </w:rPr>
        <w:t>uvádza</w:t>
      </w:r>
      <w:r w:rsidR="007E3856" w:rsidRPr="0053555E">
        <w:rPr>
          <w:rFonts w:asciiTheme="majorHAnsi" w:hAnsiTheme="majorHAnsi" w:cstheme="majorHAnsi"/>
        </w:rPr>
        <w:t xml:space="preserve"> </w:t>
      </w:r>
      <w:r w:rsidR="007E3856" w:rsidRPr="00DF26B6">
        <w:rPr>
          <w:rFonts w:asciiTheme="majorHAnsi" w:hAnsiTheme="majorHAnsi" w:cstheme="majorHAnsi"/>
        </w:rPr>
        <w:fldChar w:fldCharType="begin"/>
      </w:r>
      <w:r w:rsidR="007E3856" w:rsidRPr="00DF26B6">
        <w:rPr>
          <w:rFonts w:asciiTheme="majorHAnsi" w:hAnsiTheme="majorHAnsi" w:cstheme="majorHAnsi"/>
        </w:rPr>
        <w:instrText xml:space="preserve"> REF _Ref95672186 \h </w:instrText>
      </w:r>
      <w:r w:rsidRPr="00DF26B6">
        <w:rPr>
          <w:rFonts w:asciiTheme="majorHAnsi" w:hAnsiTheme="majorHAnsi" w:cstheme="majorHAnsi"/>
        </w:rPr>
        <w:instrText xml:space="preserve"> \* MERGEFORMAT </w:instrText>
      </w:r>
      <w:r w:rsidR="007E3856" w:rsidRPr="00DF26B6">
        <w:rPr>
          <w:rFonts w:asciiTheme="majorHAnsi" w:hAnsiTheme="majorHAnsi" w:cstheme="majorHAnsi"/>
        </w:rPr>
      </w:r>
      <w:r w:rsidR="007E3856" w:rsidRPr="00DF26B6">
        <w:rPr>
          <w:rFonts w:asciiTheme="majorHAnsi" w:hAnsiTheme="majorHAnsi" w:cstheme="majorHAnsi"/>
        </w:rPr>
        <w:fldChar w:fldCharType="separate"/>
      </w:r>
      <w:r w:rsidR="00EE1B59" w:rsidRPr="00DF26B6">
        <w:rPr>
          <w:rFonts w:asciiTheme="majorHAnsi" w:hAnsiTheme="majorHAnsi"/>
        </w:rPr>
        <w:t xml:space="preserve">Tab. č. </w:t>
      </w:r>
      <w:r w:rsidR="00DF26B6">
        <w:rPr>
          <w:rFonts w:asciiTheme="majorHAnsi" w:hAnsiTheme="majorHAnsi"/>
          <w:noProof/>
        </w:rPr>
        <w:t>5</w:t>
      </w:r>
      <w:r w:rsidR="00EE1B59" w:rsidRPr="00DF26B6">
        <w:rPr>
          <w:rFonts w:asciiTheme="majorHAnsi" w:hAnsiTheme="majorHAnsi"/>
          <w:noProof/>
        </w:rPr>
        <w:t>9</w:t>
      </w:r>
      <w:r w:rsidR="007E3856" w:rsidRPr="00DF26B6">
        <w:rPr>
          <w:rFonts w:asciiTheme="majorHAnsi" w:hAnsiTheme="majorHAnsi" w:cstheme="majorHAnsi"/>
        </w:rPr>
        <w:fldChar w:fldCharType="end"/>
      </w:r>
      <w:r w:rsidR="00F15AEA" w:rsidRPr="0053555E">
        <w:rPr>
          <w:rFonts w:asciiTheme="majorHAnsi" w:hAnsiTheme="majorHAnsi" w:cstheme="majorHAnsi"/>
          <w:sz w:val="20"/>
        </w:rPr>
        <w:t>.</w:t>
      </w:r>
    </w:p>
    <w:p w14:paraId="46AC7B1A" w14:textId="77777777" w:rsidR="00DE257F" w:rsidRPr="00DE257F" w:rsidRDefault="00DE257F" w:rsidP="00DE257F">
      <w:pPr>
        <w:jc w:val="both"/>
        <w:rPr>
          <w:rFonts w:asciiTheme="majorHAnsi" w:hAnsiTheme="majorHAnsi" w:cstheme="majorHAnsi"/>
        </w:rPr>
      </w:pPr>
    </w:p>
    <w:p w14:paraId="7644F3D7" w14:textId="77777777" w:rsidR="00DF26B6" w:rsidRDefault="00DF26B6" w:rsidP="000E3322">
      <w:pPr>
        <w:pStyle w:val="Popis"/>
      </w:pPr>
      <w:bookmarkStart w:id="249" w:name="_Ref95672186"/>
      <w:bookmarkStart w:id="250" w:name="_Toc127593312"/>
    </w:p>
    <w:p w14:paraId="49FB301C" w14:textId="4047431C" w:rsidR="002146F6" w:rsidRPr="0053555E" w:rsidRDefault="002146F6" w:rsidP="000E3322">
      <w:pPr>
        <w:pStyle w:val="Popis"/>
      </w:pPr>
      <w:r w:rsidRPr="0053555E">
        <w:t xml:space="preserve">Tab. č. </w:t>
      </w:r>
      <w:r w:rsidR="007B5953">
        <w:fldChar w:fldCharType="begin"/>
      </w:r>
      <w:r w:rsidR="007B5953">
        <w:instrText xml:space="preserve"> SEQ Tab._č. \* ARABIC </w:instrText>
      </w:r>
      <w:r w:rsidR="007B5953">
        <w:fldChar w:fldCharType="separate"/>
      </w:r>
      <w:r w:rsidR="00DF26B6">
        <w:rPr>
          <w:noProof/>
        </w:rPr>
        <w:t>5</w:t>
      </w:r>
      <w:r w:rsidR="00EE1B59">
        <w:rPr>
          <w:noProof/>
        </w:rPr>
        <w:t>9</w:t>
      </w:r>
      <w:r w:rsidR="007B5953">
        <w:rPr>
          <w:noProof/>
        </w:rPr>
        <w:fldChar w:fldCharType="end"/>
      </w:r>
      <w:bookmarkEnd w:id="249"/>
      <w:r w:rsidR="007E3856" w:rsidRPr="0053555E">
        <w:t xml:space="preserve">: Evidovaní študenti so špecifickými potrebami podľa druhu zdravotného znevýhodnenia na STU v akademickom roku </w:t>
      </w:r>
      <w:r w:rsidR="00EA24BA" w:rsidRPr="0053555E">
        <w:t>2022/2023</w:t>
      </w:r>
      <w:bookmarkEnd w:id="250"/>
    </w:p>
    <w:tbl>
      <w:tblPr>
        <w:tblW w:w="9072" w:type="dxa"/>
        <w:tblInd w:w="-5" w:type="dxa"/>
        <w:tblLayout w:type="fixed"/>
        <w:tblCellMar>
          <w:left w:w="70" w:type="dxa"/>
          <w:right w:w="70" w:type="dxa"/>
        </w:tblCellMar>
        <w:tblLook w:val="04A0" w:firstRow="1" w:lastRow="0" w:firstColumn="1" w:lastColumn="0" w:noHBand="0" w:noVBand="1"/>
      </w:tblPr>
      <w:tblGrid>
        <w:gridCol w:w="1005"/>
        <w:gridCol w:w="1972"/>
        <w:gridCol w:w="655"/>
        <w:gridCol w:w="656"/>
        <w:gridCol w:w="655"/>
        <w:gridCol w:w="727"/>
        <w:gridCol w:w="585"/>
        <w:gridCol w:w="655"/>
        <w:gridCol w:w="656"/>
        <w:gridCol w:w="656"/>
        <w:gridCol w:w="850"/>
      </w:tblGrid>
      <w:tr w:rsidR="003A7466" w:rsidRPr="00F64D00" w14:paraId="230040DA" w14:textId="77777777" w:rsidTr="00536ABC">
        <w:trPr>
          <w:divId w:val="1150516521"/>
          <w:trHeight w:val="360"/>
        </w:trPr>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717258" w14:textId="77777777" w:rsidR="002146F6" w:rsidRPr="00F64D00" w:rsidRDefault="002146F6" w:rsidP="00F15AEA">
            <w:pPr>
              <w:spacing w:line="256" w:lineRule="auto"/>
              <w:jc w:val="center"/>
              <w:rPr>
                <w:rFonts w:asciiTheme="majorHAnsi" w:hAnsiTheme="majorHAnsi" w:cstheme="majorHAnsi"/>
                <w:sz w:val="22"/>
                <w:szCs w:val="22"/>
              </w:rPr>
            </w:pPr>
            <w:r w:rsidRPr="00F64D00">
              <w:rPr>
                <w:rFonts w:asciiTheme="majorHAnsi" w:hAnsiTheme="majorHAnsi" w:cstheme="majorHAnsi"/>
                <w:b/>
                <w:bCs/>
                <w:sz w:val="20"/>
                <w:szCs w:val="22"/>
                <w:lang w:eastAsia="sk-SK"/>
              </w:rPr>
              <w:t xml:space="preserve">Skupina </w:t>
            </w:r>
            <w:r w:rsidR="00971F6F" w:rsidRPr="00F64D00">
              <w:rPr>
                <w:rFonts w:asciiTheme="majorHAnsi" w:hAnsiTheme="majorHAnsi" w:cstheme="majorHAnsi"/>
                <w:b/>
                <w:bCs/>
                <w:sz w:val="20"/>
                <w:szCs w:val="22"/>
                <w:lang w:eastAsia="sk-SK"/>
              </w:rPr>
              <w:t>špecifickej potreby</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3C8172" w14:textId="77777777" w:rsidR="002146F6" w:rsidRPr="00F64D00" w:rsidRDefault="003A27F3" w:rsidP="00FC3C72">
            <w:pPr>
              <w:spacing w:line="256" w:lineRule="auto"/>
              <w:rPr>
                <w:rFonts w:asciiTheme="majorHAnsi" w:eastAsiaTheme="minorHAnsi" w:hAnsiTheme="majorHAnsi" w:cstheme="majorHAnsi"/>
                <w:bCs/>
                <w:sz w:val="22"/>
                <w:szCs w:val="22"/>
                <w:lang w:eastAsia="cs-CZ"/>
              </w:rPr>
            </w:pPr>
            <w:r w:rsidRPr="00F64D00">
              <w:rPr>
                <w:rFonts w:asciiTheme="majorHAnsi" w:hAnsiTheme="majorHAnsi" w:cstheme="majorHAnsi"/>
                <w:b/>
                <w:bCs/>
                <w:sz w:val="22"/>
                <w:szCs w:val="22"/>
                <w:lang w:eastAsia="sk-SK"/>
              </w:rPr>
              <w:t xml:space="preserve">druh </w:t>
            </w:r>
            <w:r w:rsidR="002146F6" w:rsidRPr="00F64D00">
              <w:rPr>
                <w:rFonts w:asciiTheme="majorHAnsi" w:hAnsiTheme="majorHAnsi" w:cstheme="majorHAnsi"/>
                <w:b/>
                <w:bCs/>
                <w:sz w:val="22"/>
                <w:szCs w:val="22"/>
                <w:lang w:eastAsia="sk-SK"/>
              </w:rPr>
              <w:t>špecifick</w:t>
            </w:r>
            <w:r w:rsidRPr="00F64D00">
              <w:rPr>
                <w:rFonts w:asciiTheme="majorHAnsi" w:hAnsiTheme="majorHAnsi" w:cstheme="majorHAnsi"/>
                <w:b/>
                <w:bCs/>
                <w:sz w:val="22"/>
                <w:szCs w:val="22"/>
                <w:lang w:eastAsia="sk-SK"/>
              </w:rPr>
              <w:t xml:space="preserve">ej </w:t>
            </w:r>
            <w:r w:rsidR="002146F6" w:rsidRPr="00F64D00">
              <w:rPr>
                <w:rFonts w:asciiTheme="majorHAnsi" w:hAnsiTheme="majorHAnsi" w:cstheme="majorHAnsi"/>
                <w:b/>
                <w:bCs/>
                <w:sz w:val="22"/>
                <w:szCs w:val="22"/>
                <w:lang w:eastAsia="sk-SK"/>
              </w:rPr>
              <w:t>potreb</w:t>
            </w:r>
            <w:r w:rsidRPr="00F64D00">
              <w:rPr>
                <w:rFonts w:asciiTheme="majorHAnsi" w:hAnsiTheme="majorHAnsi" w:cstheme="majorHAnsi"/>
                <w:b/>
                <w:bCs/>
                <w:sz w:val="22"/>
                <w:szCs w:val="22"/>
                <w:lang w:eastAsia="sk-SK"/>
              </w:rPr>
              <w:t>y</w:t>
            </w:r>
          </w:p>
        </w:tc>
        <w:tc>
          <w:tcPr>
            <w:tcW w:w="524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EC655" w14:textId="77777777" w:rsidR="002146F6" w:rsidRPr="00F64D00" w:rsidRDefault="003A27F3" w:rsidP="00A20A9A">
            <w:pPr>
              <w:spacing w:line="256" w:lineRule="auto"/>
              <w:jc w:val="center"/>
              <w:rPr>
                <w:rFonts w:asciiTheme="majorHAnsi" w:eastAsia="Times New Roman" w:hAnsiTheme="majorHAnsi" w:cstheme="majorHAnsi"/>
                <w:bCs/>
                <w:sz w:val="22"/>
                <w:szCs w:val="22"/>
                <w:lang w:eastAsia="sk-SK"/>
              </w:rPr>
            </w:pPr>
            <w:r w:rsidRPr="00F64D00">
              <w:rPr>
                <w:rFonts w:asciiTheme="majorHAnsi" w:hAnsiTheme="majorHAnsi" w:cstheme="majorHAnsi"/>
                <w:b/>
                <w:bCs/>
                <w:sz w:val="22"/>
                <w:szCs w:val="22"/>
                <w:lang w:eastAsia="sk-SK"/>
              </w:rPr>
              <w:t xml:space="preserve">Počet evidovaných študentov </w:t>
            </w:r>
            <w:r w:rsidR="007361FF" w:rsidRPr="00F64D00">
              <w:rPr>
                <w:rFonts w:asciiTheme="majorHAnsi" w:hAnsiTheme="majorHAnsi" w:cstheme="majorHAnsi"/>
                <w:b/>
                <w:bCs/>
                <w:sz w:val="22"/>
                <w:szCs w:val="22"/>
                <w:lang w:eastAsia="sk-SK"/>
              </w:rPr>
              <w:t xml:space="preserve">so ŠP </w:t>
            </w:r>
            <w:r w:rsidRPr="00F64D00">
              <w:rPr>
                <w:rFonts w:asciiTheme="majorHAnsi" w:hAnsiTheme="majorHAnsi" w:cstheme="majorHAnsi"/>
                <w:b/>
                <w:bCs/>
                <w:sz w:val="22"/>
                <w:szCs w:val="22"/>
                <w:lang w:eastAsia="sk-SK"/>
              </w:rPr>
              <w:t>na s</w:t>
            </w:r>
            <w:r w:rsidR="00E00A5E" w:rsidRPr="00F64D00">
              <w:rPr>
                <w:rFonts w:asciiTheme="majorHAnsi" w:hAnsiTheme="majorHAnsi" w:cstheme="majorHAnsi"/>
                <w:b/>
                <w:bCs/>
                <w:sz w:val="22"/>
                <w:szCs w:val="22"/>
                <w:lang w:eastAsia="sk-SK"/>
              </w:rPr>
              <w:t>účasti</w:t>
            </w:r>
            <w:r w:rsidRPr="00F64D00">
              <w:rPr>
                <w:rFonts w:asciiTheme="majorHAnsi" w:hAnsiTheme="majorHAnsi" w:cstheme="majorHAnsi"/>
                <w:b/>
                <w:bCs/>
                <w:sz w:val="22"/>
                <w:szCs w:val="22"/>
                <w:lang w:eastAsia="sk-SK"/>
              </w:rPr>
              <w:t>ach</w:t>
            </w:r>
            <w:r w:rsidR="00E00A5E" w:rsidRPr="00F64D00">
              <w:rPr>
                <w:rFonts w:asciiTheme="majorHAnsi" w:hAnsiTheme="majorHAnsi" w:cstheme="majorHAnsi"/>
                <w:b/>
                <w:bCs/>
                <w:sz w:val="22"/>
                <w:szCs w:val="22"/>
                <w:lang w:eastAsia="sk-SK"/>
              </w:rPr>
              <w:t xml:space="preserve"> STU</w:t>
            </w:r>
          </w:p>
        </w:tc>
        <w:tc>
          <w:tcPr>
            <w:tcW w:w="850" w:type="dxa"/>
            <w:vMerge w:val="restart"/>
            <w:tcBorders>
              <w:top w:val="single" w:sz="4" w:space="0" w:color="auto"/>
              <w:left w:val="nil"/>
              <w:bottom w:val="single" w:sz="4" w:space="0" w:color="auto"/>
              <w:right w:val="single" w:sz="4" w:space="0" w:color="auto"/>
            </w:tcBorders>
            <w:shd w:val="clear" w:color="auto" w:fill="EEECE1" w:themeFill="background2"/>
            <w:noWrap/>
            <w:vAlign w:val="bottom"/>
            <w:hideMark/>
          </w:tcPr>
          <w:p w14:paraId="064B9581" w14:textId="77777777" w:rsidR="00237757" w:rsidRPr="00F64D00" w:rsidRDefault="002146F6" w:rsidP="00237757">
            <w:pPr>
              <w:spacing w:line="256" w:lineRule="auto"/>
              <w:jc w:val="center"/>
              <w:rPr>
                <w:rFonts w:asciiTheme="majorHAnsi" w:hAnsiTheme="majorHAnsi" w:cstheme="majorHAnsi"/>
                <w:b/>
                <w:bCs/>
                <w:sz w:val="20"/>
                <w:szCs w:val="22"/>
                <w:lang w:eastAsia="sk-SK"/>
              </w:rPr>
            </w:pPr>
            <w:r w:rsidRPr="00F64D00">
              <w:rPr>
                <w:rFonts w:asciiTheme="majorHAnsi" w:hAnsiTheme="majorHAnsi" w:cstheme="majorHAnsi"/>
                <w:b/>
                <w:bCs/>
                <w:sz w:val="20"/>
                <w:szCs w:val="22"/>
                <w:lang w:eastAsia="sk-SK"/>
              </w:rPr>
              <w:t>Celkový počet</w:t>
            </w:r>
          </w:p>
          <w:p w14:paraId="1CB33B8D" w14:textId="77777777" w:rsidR="002146F6" w:rsidRPr="00F64D00" w:rsidRDefault="00237757" w:rsidP="00237757">
            <w:pPr>
              <w:spacing w:line="256" w:lineRule="auto"/>
              <w:jc w:val="center"/>
              <w:rPr>
                <w:rFonts w:asciiTheme="majorHAnsi" w:hAnsiTheme="majorHAnsi" w:cstheme="majorHAnsi"/>
                <w:bCs/>
                <w:sz w:val="22"/>
                <w:szCs w:val="22"/>
                <w:lang w:eastAsia="sk-SK"/>
              </w:rPr>
            </w:pPr>
            <w:r w:rsidRPr="00F64D00">
              <w:rPr>
                <w:rFonts w:asciiTheme="majorHAnsi" w:hAnsiTheme="majorHAnsi" w:cstheme="majorHAnsi"/>
                <w:b/>
                <w:bCs/>
                <w:sz w:val="20"/>
                <w:szCs w:val="22"/>
                <w:lang w:eastAsia="sk-SK"/>
              </w:rPr>
              <w:t>na STU</w:t>
            </w:r>
          </w:p>
        </w:tc>
      </w:tr>
      <w:tr w:rsidR="00F15AEA" w:rsidRPr="00F64D00" w14:paraId="06905804" w14:textId="77777777" w:rsidTr="00536ABC">
        <w:trPr>
          <w:divId w:val="1150516521"/>
          <w:trHeight w:val="279"/>
        </w:trPr>
        <w:tc>
          <w:tcPr>
            <w:tcW w:w="1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C4C09D" w14:textId="77777777" w:rsidR="002146F6" w:rsidRPr="00F64D00" w:rsidRDefault="002146F6" w:rsidP="002146F6">
            <w:pPr>
              <w:spacing w:line="256" w:lineRule="auto"/>
              <w:rPr>
                <w:rFonts w:asciiTheme="majorHAnsi" w:eastAsiaTheme="minorHAnsi" w:hAnsiTheme="majorHAnsi" w:cstheme="majorHAnsi"/>
                <w:sz w:val="22"/>
                <w:szCs w:val="22"/>
              </w:rPr>
            </w:pPr>
          </w:p>
        </w:tc>
        <w:tc>
          <w:tcPr>
            <w:tcW w:w="1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1E2393" w14:textId="77777777" w:rsidR="002146F6" w:rsidRPr="00F64D00" w:rsidRDefault="002146F6" w:rsidP="00FC3C72">
            <w:pPr>
              <w:spacing w:line="256" w:lineRule="auto"/>
              <w:rPr>
                <w:rFonts w:asciiTheme="majorHAnsi" w:eastAsiaTheme="minorHAnsi" w:hAnsiTheme="majorHAnsi" w:cstheme="majorHAnsi"/>
                <w:bCs/>
                <w:sz w:val="22"/>
                <w:szCs w:val="22"/>
                <w:lang w:eastAsia="cs-CZ"/>
              </w:rPr>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77E63" w14:textId="77777777" w:rsidR="002146F6" w:rsidRPr="00F64D00" w:rsidRDefault="002146F6" w:rsidP="00F15AEA">
            <w:pPr>
              <w:spacing w:line="256" w:lineRule="auto"/>
              <w:jc w:val="center"/>
              <w:rPr>
                <w:rFonts w:asciiTheme="majorHAnsi" w:hAnsiTheme="majorHAnsi" w:cstheme="majorHAnsi"/>
                <w:b/>
                <w:bCs/>
                <w:sz w:val="20"/>
                <w:szCs w:val="22"/>
                <w:lang w:eastAsia="sk-SK"/>
              </w:rPr>
            </w:pPr>
            <w:r w:rsidRPr="00F64D00">
              <w:rPr>
                <w:rFonts w:asciiTheme="majorHAnsi" w:hAnsiTheme="majorHAnsi" w:cstheme="majorHAnsi"/>
                <w:b/>
                <w:bCs/>
                <w:sz w:val="20"/>
                <w:szCs w:val="22"/>
                <w:lang w:eastAsia="sk-SK"/>
              </w:rPr>
              <w:t>SvF</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6AC8A0CF" w14:textId="77777777" w:rsidR="002146F6" w:rsidRPr="00F64D00" w:rsidRDefault="002146F6" w:rsidP="00F15AEA">
            <w:pPr>
              <w:spacing w:line="256" w:lineRule="auto"/>
              <w:jc w:val="center"/>
              <w:rPr>
                <w:rFonts w:asciiTheme="majorHAnsi" w:hAnsiTheme="majorHAnsi" w:cstheme="majorHAnsi"/>
                <w:b/>
                <w:bCs/>
                <w:sz w:val="20"/>
                <w:szCs w:val="22"/>
                <w:lang w:eastAsia="sk-SK"/>
              </w:rPr>
            </w:pPr>
            <w:r w:rsidRPr="00F64D00">
              <w:rPr>
                <w:rFonts w:asciiTheme="majorHAnsi" w:hAnsiTheme="majorHAnsi" w:cstheme="majorHAnsi"/>
                <w:b/>
                <w:bCs/>
                <w:sz w:val="20"/>
                <w:szCs w:val="22"/>
                <w:lang w:eastAsia="sk-SK"/>
              </w:rPr>
              <w:t>SjF</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14:paraId="2DCE275A" w14:textId="77777777" w:rsidR="002146F6" w:rsidRPr="00F64D00" w:rsidRDefault="002146F6" w:rsidP="00F15AEA">
            <w:pPr>
              <w:spacing w:line="256" w:lineRule="auto"/>
              <w:jc w:val="center"/>
              <w:rPr>
                <w:rFonts w:asciiTheme="majorHAnsi" w:hAnsiTheme="majorHAnsi" w:cstheme="majorHAnsi"/>
                <w:b/>
                <w:bCs/>
                <w:sz w:val="20"/>
                <w:szCs w:val="22"/>
                <w:lang w:eastAsia="sk-SK"/>
              </w:rPr>
            </w:pPr>
            <w:r w:rsidRPr="00F64D00">
              <w:rPr>
                <w:rFonts w:asciiTheme="majorHAnsi" w:hAnsiTheme="majorHAnsi" w:cstheme="majorHAnsi"/>
                <w:b/>
                <w:bCs/>
                <w:sz w:val="20"/>
                <w:szCs w:val="22"/>
                <w:lang w:eastAsia="sk-SK"/>
              </w:rPr>
              <w:t>FEI</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14:paraId="58C86ECD" w14:textId="77777777" w:rsidR="002146F6" w:rsidRPr="00F64D00" w:rsidRDefault="002146F6" w:rsidP="00F15AEA">
            <w:pPr>
              <w:spacing w:line="256" w:lineRule="auto"/>
              <w:jc w:val="center"/>
              <w:rPr>
                <w:rFonts w:asciiTheme="majorHAnsi" w:hAnsiTheme="majorHAnsi" w:cstheme="majorHAnsi"/>
                <w:b/>
                <w:bCs/>
                <w:sz w:val="20"/>
                <w:szCs w:val="22"/>
                <w:lang w:eastAsia="sk-SK"/>
              </w:rPr>
            </w:pPr>
            <w:r w:rsidRPr="00F64D00">
              <w:rPr>
                <w:rFonts w:asciiTheme="majorHAnsi" w:hAnsiTheme="majorHAnsi" w:cstheme="majorHAnsi"/>
                <w:b/>
                <w:bCs/>
                <w:sz w:val="20"/>
                <w:szCs w:val="22"/>
                <w:lang w:eastAsia="sk-SK"/>
              </w:rPr>
              <w:t>FCHPT</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14:paraId="1C4F96C6" w14:textId="77777777" w:rsidR="002146F6" w:rsidRPr="00F64D00" w:rsidRDefault="002146F6" w:rsidP="00F15AEA">
            <w:pPr>
              <w:spacing w:line="256" w:lineRule="auto"/>
              <w:jc w:val="center"/>
              <w:rPr>
                <w:rFonts w:asciiTheme="majorHAnsi" w:hAnsiTheme="majorHAnsi" w:cstheme="majorHAnsi"/>
                <w:b/>
                <w:bCs/>
                <w:sz w:val="20"/>
                <w:szCs w:val="22"/>
                <w:lang w:eastAsia="sk-SK"/>
              </w:rPr>
            </w:pPr>
            <w:r w:rsidRPr="00F64D00">
              <w:rPr>
                <w:rFonts w:asciiTheme="majorHAnsi" w:hAnsiTheme="majorHAnsi" w:cstheme="majorHAnsi"/>
                <w:b/>
                <w:bCs/>
                <w:sz w:val="20"/>
                <w:szCs w:val="22"/>
                <w:lang w:eastAsia="sk-SK"/>
              </w:rPr>
              <w:t>FAD</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14:paraId="3457FDC7" w14:textId="77777777" w:rsidR="002146F6" w:rsidRPr="00F64D00" w:rsidRDefault="002146F6" w:rsidP="00F15AEA">
            <w:pPr>
              <w:spacing w:line="256" w:lineRule="auto"/>
              <w:jc w:val="center"/>
              <w:rPr>
                <w:rFonts w:asciiTheme="majorHAnsi" w:hAnsiTheme="majorHAnsi" w:cstheme="majorHAnsi"/>
                <w:b/>
                <w:bCs/>
                <w:sz w:val="20"/>
                <w:szCs w:val="22"/>
                <w:lang w:eastAsia="sk-SK"/>
              </w:rPr>
            </w:pPr>
            <w:r w:rsidRPr="00F64D00">
              <w:rPr>
                <w:rFonts w:asciiTheme="majorHAnsi" w:hAnsiTheme="majorHAnsi" w:cstheme="majorHAnsi"/>
                <w:b/>
                <w:bCs/>
                <w:sz w:val="20"/>
                <w:szCs w:val="22"/>
                <w:lang w:eastAsia="sk-SK"/>
              </w:rPr>
              <w:t>MTF</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2EAF7896" w14:textId="77777777" w:rsidR="002146F6" w:rsidRPr="00F64D00" w:rsidRDefault="002146F6" w:rsidP="00F15AEA">
            <w:pPr>
              <w:spacing w:line="256" w:lineRule="auto"/>
              <w:jc w:val="center"/>
              <w:rPr>
                <w:rFonts w:asciiTheme="majorHAnsi" w:hAnsiTheme="majorHAnsi" w:cstheme="majorHAnsi"/>
                <w:b/>
                <w:bCs/>
                <w:sz w:val="20"/>
                <w:szCs w:val="22"/>
                <w:lang w:eastAsia="sk-SK"/>
              </w:rPr>
            </w:pPr>
            <w:r w:rsidRPr="00F64D00">
              <w:rPr>
                <w:rFonts w:asciiTheme="majorHAnsi" w:hAnsiTheme="majorHAnsi" w:cstheme="majorHAnsi"/>
                <w:b/>
                <w:bCs/>
                <w:sz w:val="20"/>
                <w:szCs w:val="22"/>
                <w:lang w:eastAsia="sk-SK"/>
              </w:rPr>
              <w:t>FIIT</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1CB1DC4D" w14:textId="77777777" w:rsidR="002146F6" w:rsidRPr="00F64D00" w:rsidRDefault="002146F6" w:rsidP="00F15AEA">
            <w:pPr>
              <w:spacing w:line="256" w:lineRule="auto"/>
              <w:jc w:val="center"/>
              <w:rPr>
                <w:rFonts w:asciiTheme="majorHAnsi" w:hAnsiTheme="majorHAnsi" w:cstheme="majorHAnsi"/>
                <w:b/>
                <w:bCs/>
                <w:sz w:val="20"/>
                <w:szCs w:val="22"/>
                <w:lang w:eastAsia="sk-SK"/>
              </w:rPr>
            </w:pPr>
            <w:r w:rsidRPr="00F64D00">
              <w:rPr>
                <w:rFonts w:asciiTheme="majorHAnsi" w:hAnsiTheme="majorHAnsi" w:cstheme="majorHAnsi"/>
                <w:b/>
                <w:bCs/>
                <w:sz w:val="20"/>
                <w:szCs w:val="22"/>
                <w:lang w:eastAsia="sk-SK"/>
              </w:rPr>
              <w:t>UM</w:t>
            </w:r>
          </w:p>
        </w:tc>
        <w:tc>
          <w:tcPr>
            <w:tcW w:w="850" w:type="dxa"/>
            <w:vMerge/>
            <w:tcBorders>
              <w:top w:val="single" w:sz="4" w:space="0" w:color="auto"/>
              <w:left w:val="nil"/>
              <w:bottom w:val="single" w:sz="4" w:space="0" w:color="auto"/>
              <w:right w:val="single" w:sz="4" w:space="0" w:color="auto"/>
            </w:tcBorders>
            <w:shd w:val="clear" w:color="auto" w:fill="EEECE1" w:themeFill="background2"/>
            <w:vAlign w:val="center"/>
            <w:hideMark/>
          </w:tcPr>
          <w:p w14:paraId="6E5D2639" w14:textId="77777777" w:rsidR="002146F6" w:rsidRPr="00F64D00" w:rsidRDefault="002146F6" w:rsidP="00D8278D">
            <w:pPr>
              <w:spacing w:line="256" w:lineRule="auto"/>
              <w:jc w:val="center"/>
              <w:rPr>
                <w:rFonts w:asciiTheme="majorHAnsi" w:eastAsia="Times New Roman" w:hAnsiTheme="majorHAnsi" w:cstheme="majorHAnsi"/>
                <w:bCs/>
                <w:sz w:val="22"/>
                <w:szCs w:val="22"/>
                <w:lang w:eastAsia="sk-SK"/>
              </w:rPr>
            </w:pPr>
          </w:p>
        </w:tc>
      </w:tr>
      <w:tr w:rsidR="002D40C6" w:rsidRPr="00F64D00" w14:paraId="48B7E3AA" w14:textId="77777777" w:rsidTr="00536ABC">
        <w:trPr>
          <w:divId w:val="1150516521"/>
          <w:trHeight w:val="288"/>
        </w:trPr>
        <w:tc>
          <w:tcPr>
            <w:tcW w:w="1005" w:type="dxa"/>
            <w:tcBorders>
              <w:top w:val="nil"/>
              <w:left w:val="single" w:sz="4" w:space="0" w:color="auto"/>
              <w:bottom w:val="single" w:sz="4" w:space="0" w:color="auto"/>
              <w:right w:val="single" w:sz="4" w:space="0" w:color="auto"/>
            </w:tcBorders>
            <w:shd w:val="clear" w:color="auto" w:fill="auto"/>
            <w:vAlign w:val="center"/>
            <w:hideMark/>
          </w:tcPr>
          <w:p w14:paraId="6A8D35F1" w14:textId="77777777" w:rsidR="002D40C6" w:rsidRPr="00F64D00" w:rsidRDefault="002D40C6" w:rsidP="002D40C6">
            <w:pPr>
              <w:spacing w:line="256" w:lineRule="auto"/>
              <w:jc w:val="center"/>
              <w:rPr>
                <w:rFonts w:asciiTheme="majorHAnsi" w:hAnsiTheme="majorHAnsi" w:cstheme="majorHAnsi"/>
                <w:sz w:val="22"/>
                <w:szCs w:val="22"/>
                <w:lang w:eastAsia="sk-SK"/>
              </w:rPr>
            </w:pPr>
            <w:r w:rsidRPr="00F64D00">
              <w:rPr>
                <w:rFonts w:asciiTheme="majorHAnsi" w:hAnsiTheme="majorHAnsi" w:cstheme="majorHAnsi"/>
                <w:sz w:val="22"/>
                <w:szCs w:val="22"/>
                <w:lang w:eastAsia="sk-SK"/>
              </w:rPr>
              <w:t>A1</w:t>
            </w:r>
          </w:p>
        </w:tc>
        <w:tc>
          <w:tcPr>
            <w:tcW w:w="1972" w:type="dxa"/>
            <w:tcBorders>
              <w:top w:val="nil"/>
              <w:left w:val="single" w:sz="4" w:space="0" w:color="auto"/>
              <w:bottom w:val="single" w:sz="4" w:space="0" w:color="auto"/>
              <w:right w:val="single" w:sz="4" w:space="0" w:color="auto"/>
            </w:tcBorders>
            <w:shd w:val="clear" w:color="auto" w:fill="auto"/>
            <w:vAlign w:val="center"/>
            <w:hideMark/>
          </w:tcPr>
          <w:p w14:paraId="465B49FF" w14:textId="77777777" w:rsidR="002D40C6" w:rsidRPr="00F64D00" w:rsidRDefault="002D40C6" w:rsidP="002D40C6">
            <w:pPr>
              <w:spacing w:line="256" w:lineRule="auto"/>
              <w:rPr>
                <w:rFonts w:asciiTheme="majorHAnsi" w:hAnsiTheme="majorHAnsi" w:cstheme="majorHAnsi"/>
                <w:sz w:val="20"/>
                <w:szCs w:val="22"/>
                <w:lang w:eastAsia="sk-SK"/>
              </w:rPr>
            </w:pPr>
            <w:r w:rsidRPr="00F64D00">
              <w:rPr>
                <w:rFonts w:asciiTheme="majorHAnsi" w:eastAsiaTheme="minorHAnsi" w:hAnsiTheme="majorHAnsi" w:cstheme="majorHAnsi"/>
                <w:bCs/>
                <w:sz w:val="20"/>
                <w:szCs w:val="22"/>
              </w:rPr>
              <w:t>študenti so zrakovým postihnutím</w:t>
            </w:r>
          </w:p>
        </w:tc>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732A79C" w14:textId="77777777" w:rsidR="002D40C6" w:rsidRPr="00F64D00" w:rsidRDefault="002D40C6" w:rsidP="002D40C6">
            <w:pPr>
              <w:spacing w:line="256" w:lineRule="auto"/>
              <w:jc w:val="center"/>
              <w:rPr>
                <w:rFonts w:asciiTheme="majorHAnsi" w:hAnsiTheme="majorHAnsi" w:cstheme="majorHAnsi"/>
                <w:lang w:eastAsia="sk-SK"/>
              </w:rPr>
            </w:pPr>
          </w:p>
        </w:tc>
        <w:tc>
          <w:tcPr>
            <w:tcW w:w="656" w:type="dxa"/>
            <w:tcBorders>
              <w:top w:val="nil"/>
              <w:left w:val="nil"/>
              <w:bottom w:val="single" w:sz="4" w:space="0" w:color="auto"/>
              <w:right w:val="single" w:sz="4" w:space="0" w:color="auto"/>
            </w:tcBorders>
            <w:shd w:val="clear" w:color="auto" w:fill="auto"/>
            <w:noWrap/>
            <w:vAlign w:val="center"/>
            <w:hideMark/>
          </w:tcPr>
          <w:p w14:paraId="2D54DBB2" w14:textId="77777777" w:rsidR="002D40C6" w:rsidRPr="00F64D00" w:rsidRDefault="002D40C6" w:rsidP="002D40C6">
            <w:pPr>
              <w:spacing w:line="256" w:lineRule="auto"/>
              <w:jc w:val="center"/>
              <w:rPr>
                <w:rFonts w:asciiTheme="majorHAnsi" w:hAnsiTheme="majorHAnsi" w:cstheme="majorHAnsi"/>
                <w:lang w:eastAsia="sk-SK"/>
              </w:rPr>
            </w:pPr>
          </w:p>
        </w:tc>
        <w:tc>
          <w:tcPr>
            <w:tcW w:w="655" w:type="dxa"/>
            <w:tcBorders>
              <w:top w:val="nil"/>
              <w:left w:val="nil"/>
              <w:bottom w:val="single" w:sz="4" w:space="0" w:color="auto"/>
              <w:right w:val="single" w:sz="4" w:space="0" w:color="auto"/>
            </w:tcBorders>
            <w:shd w:val="clear" w:color="auto" w:fill="auto"/>
            <w:noWrap/>
            <w:vAlign w:val="center"/>
            <w:hideMark/>
          </w:tcPr>
          <w:p w14:paraId="2B7D1534" w14:textId="77777777" w:rsidR="002D40C6" w:rsidRPr="00F64D00" w:rsidRDefault="002D40C6" w:rsidP="002D40C6">
            <w:pPr>
              <w:spacing w:line="256" w:lineRule="auto"/>
              <w:jc w:val="center"/>
              <w:rPr>
                <w:rFonts w:asciiTheme="majorHAnsi" w:hAnsiTheme="majorHAnsi" w:cstheme="majorHAnsi"/>
                <w:lang w:eastAsia="sk-SK"/>
              </w:rPr>
            </w:pPr>
          </w:p>
        </w:tc>
        <w:tc>
          <w:tcPr>
            <w:tcW w:w="727" w:type="dxa"/>
            <w:tcBorders>
              <w:top w:val="nil"/>
              <w:left w:val="nil"/>
              <w:bottom w:val="single" w:sz="4" w:space="0" w:color="auto"/>
              <w:right w:val="single" w:sz="4" w:space="0" w:color="auto"/>
            </w:tcBorders>
            <w:shd w:val="clear" w:color="auto" w:fill="auto"/>
            <w:noWrap/>
            <w:vAlign w:val="center"/>
            <w:hideMark/>
          </w:tcPr>
          <w:p w14:paraId="78A3480D" w14:textId="45D5EB01"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2</w:t>
            </w:r>
          </w:p>
        </w:tc>
        <w:tc>
          <w:tcPr>
            <w:tcW w:w="585" w:type="dxa"/>
            <w:tcBorders>
              <w:top w:val="nil"/>
              <w:left w:val="nil"/>
              <w:bottom w:val="single" w:sz="4" w:space="0" w:color="auto"/>
              <w:right w:val="single" w:sz="4" w:space="0" w:color="auto"/>
            </w:tcBorders>
            <w:shd w:val="clear" w:color="auto" w:fill="auto"/>
            <w:noWrap/>
            <w:vAlign w:val="center"/>
            <w:hideMark/>
          </w:tcPr>
          <w:p w14:paraId="2B100499" w14:textId="77777777" w:rsidR="002D40C6" w:rsidRPr="00F64D00" w:rsidRDefault="002D40C6" w:rsidP="002D40C6">
            <w:pPr>
              <w:spacing w:line="256" w:lineRule="auto"/>
              <w:jc w:val="center"/>
              <w:rPr>
                <w:rFonts w:asciiTheme="majorHAnsi" w:hAnsiTheme="majorHAnsi" w:cstheme="majorHAnsi"/>
                <w:lang w:eastAsia="sk-SK"/>
              </w:rPr>
            </w:pPr>
          </w:p>
        </w:tc>
        <w:tc>
          <w:tcPr>
            <w:tcW w:w="655" w:type="dxa"/>
            <w:tcBorders>
              <w:top w:val="nil"/>
              <w:left w:val="nil"/>
              <w:bottom w:val="single" w:sz="4" w:space="0" w:color="auto"/>
              <w:right w:val="single" w:sz="4" w:space="0" w:color="auto"/>
            </w:tcBorders>
            <w:shd w:val="clear" w:color="auto" w:fill="auto"/>
            <w:noWrap/>
            <w:vAlign w:val="center"/>
            <w:hideMark/>
          </w:tcPr>
          <w:p w14:paraId="208D2E63" w14:textId="77777777" w:rsidR="002D40C6" w:rsidRPr="00F64D00" w:rsidRDefault="002D40C6" w:rsidP="002D40C6">
            <w:pPr>
              <w:spacing w:line="256" w:lineRule="auto"/>
              <w:jc w:val="center"/>
              <w:rPr>
                <w:rFonts w:asciiTheme="majorHAnsi" w:hAnsiTheme="majorHAnsi" w:cstheme="majorHAnsi"/>
                <w:lang w:eastAsia="sk-SK"/>
              </w:rPr>
            </w:pPr>
          </w:p>
        </w:tc>
        <w:tc>
          <w:tcPr>
            <w:tcW w:w="656" w:type="dxa"/>
            <w:tcBorders>
              <w:top w:val="nil"/>
              <w:left w:val="nil"/>
              <w:bottom w:val="single" w:sz="4" w:space="0" w:color="auto"/>
              <w:right w:val="single" w:sz="4" w:space="0" w:color="auto"/>
            </w:tcBorders>
            <w:shd w:val="clear" w:color="auto" w:fill="auto"/>
            <w:noWrap/>
            <w:vAlign w:val="center"/>
            <w:hideMark/>
          </w:tcPr>
          <w:p w14:paraId="63394668" w14:textId="77777777" w:rsidR="002D40C6" w:rsidRPr="00F64D00" w:rsidRDefault="002D40C6" w:rsidP="002D40C6">
            <w:pPr>
              <w:spacing w:line="256" w:lineRule="auto"/>
              <w:jc w:val="center"/>
              <w:rPr>
                <w:rFonts w:asciiTheme="majorHAnsi" w:hAnsiTheme="majorHAnsi" w:cstheme="majorHAnsi"/>
                <w:lang w:eastAsia="sk-SK"/>
              </w:rPr>
            </w:pPr>
          </w:p>
        </w:tc>
        <w:tc>
          <w:tcPr>
            <w:tcW w:w="656" w:type="dxa"/>
            <w:tcBorders>
              <w:top w:val="nil"/>
              <w:left w:val="nil"/>
              <w:bottom w:val="single" w:sz="4" w:space="0" w:color="auto"/>
              <w:right w:val="single" w:sz="4" w:space="0" w:color="auto"/>
            </w:tcBorders>
            <w:shd w:val="clear" w:color="auto" w:fill="auto"/>
            <w:noWrap/>
            <w:vAlign w:val="center"/>
            <w:hideMark/>
          </w:tcPr>
          <w:p w14:paraId="274EF7B2" w14:textId="77777777" w:rsidR="002D40C6" w:rsidRPr="00F64D00" w:rsidRDefault="002D40C6" w:rsidP="002D40C6">
            <w:pPr>
              <w:spacing w:line="256" w:lineRule="auto"/>
              <w:jc w:val="center"/>
              <w:rPr>
                <w:rFonts w:asciiTheme="majorHAnsi" w:hAnsiTheme="majorHAnsi" w:cstheme="majorHAnsi"/>
                <w:lang w:eastAsia="sk-SK"/>
              </w:rPr>
            </w:pP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1B81416E" w14:textId="758CDC32" w:rsidR="002D40C6" w:rsidRPr="00F64D00" w:rsidRDefault="002D40C6" w:rsidP="002D40C6">
            <w:pPr>
              <w:spacing w:line="256" w:lineRule="auto"/>
              <w:jc w:val="center"/>
              <w:rPr>
                <w:rFonts w:asciiTheme="majorHAnsi" w:hAnsiTheme="majorHAnsi" w:cstheme="majorHAnsi"/>
                <w:b/>
                <w:lang w:eastAsia="sk-SK"/>
              </w:rPr>
            </w:pPr>
            <w:r w:rsidRPr="00F64D00">
              <w:rPr>
                <w:rFonts w:asciiTheme="majorHAnsi" w:hAnsiTheme="majorHAnsi" w:cstheme="majorHAnsi"/>
                <w:b/>
                <w:lang w:val="en-US" w:eastAsia="sk-SK"/>
              </w:rPr>
              <w:t>2</w:t>
            </w:r>
          </w:p>
        </w:tc>
      </w:tr>
      <w:tr w:rsidR="002D40C6" w:rsidRPr="00F64D00" w14:paraId="589BB702" w14:textId="77777777" w:rsidTr="00536ABC">
        <w:trPr>
          <w:divId w:val="1150516521"/>
          <w:trHeight w:val="288"/>
        </w:trPr>
        <w:tc>
          <w:tcPr>
            <w:tcW w:w="1005" w:type="dxa"/>
            <w:tcBorders>
              <w:top w:val="nil"/>
              <w:left w:val="single" w:sz="4" w:space="0" w:color="auto"/>
              <w:bottom w:val="single" w:sz="4" w:space="0" w:color="auto"/>
              <w:right w:val="single" w:sz="4" w:space="0" w:color="auto"/>
            </w:tcBorders>
            <w:shd w:val="clear" w:color="auto" w:fill="auto"/>
            <w:vAlign w:val="center"/>
            <w:hideMark/>
          </w:tcPr>
          <w:p w14:paraId="51A5CE44" w14:textId="77777777" w:rsidR="002D40C6" w:rsidRPr="00F64D00" w:rsidRDefault="002D40C6" w:rsidP="002D40C6">
            <w:pPr>
              <w:spacing w:line="256" w:lineRule="auto"/>
              <w:jc w:val="center"/>
              <w:rPr>
                <w:rFonts w:asciiTheme="majorHAnsi" w:hAnsiTheme="majorHAnsi" w:cstheme="majorHAnsi"/>
                <w:sz w:val="22"/>
                <w:szCs w:val="22"/>
                <w:lang w:eastAsia="sk-SK"/>
              </w:rPr>
            </w:pPr>
            <w:r w:rsidRPr="00F64D00">
              <w:rPr>
                <w:rFonts w:asciiTheme="majorHAnsi" w:hAnsiTheme="majorHAnsi" w:cstheme="majorHAnsi"/>
                <w:sz w:val="22"/>
                <w:szCs w:val="22"/>
                <w:lang w:eastAsia="sk-SK"/>
              </w:rPr>
              <w:t>B2</w:t>
            </w:r>
          </w:p>
        </w:tc>
        <w:tc>
          <w:tcPr>
            <w:tcW w:w="1972" w:type="dxa"/>
            <w:tcBorders>
              <w:top w:val="nil"/>
              <w:left w:val="single" w:sz="4" w:space="0" w:color="auto"/>
              <w:bottom w:val="single" w:sz="4" w:space="0" w:color="auto"/>
              <w:right w:val="single" w:sz="4" w:space="0" w:color="auto"/>
            </w:tcBorders>
            <w:shd w:val="clear" w:color="auto" w:fill="auto"/>
            <w:vAlign w:val="center"/>
            <w:hideMark/>
          </w:tcPr>
          <w:p w14:paraId="60E6FAEA" w14:textId="77777777" w:rsidR="002D40C6" w:rsidRPr="00F64D00" w:rsidRDefault="002D40C6" w:rsidP="002D40C6">
            <w:pPr>
              <w:spacing w:line="256" w:lineRule="auto"/>
              <w:rPr>
                <w:rFonts w:asciiTheme="majorHAnsi" w:hAnsiTheme="majorHAnsi" w:cstheme="majorHAnsi"/>
                <w:sz w:val="20"/>
                <w:szCs w:val="22"/>
                <w:lang w:eastAsia="sk-SK"/>
              </w:rPr>
            </w:pPr>
            <w:r w:rsidRPr="00F64D00">
              <w:rPr>
                <w:rFonts w:asciiTheme="majorHAnsi" w:eastAsiaTheme="minorHAnsi" w:hAnsiTheme="majorHAnsi" w:cstheme="majorHAnsi"/>
                <w:bCs/>
                <w:sz w:val="20"/>
                <w:szCs w:val="22"/>
              </w:rPr>
              <w:t>študenti so sluchovým postihnutím</w:t>
            </w:r>
          </w:p>
        </w:tc>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834D8A6" w14:textId="77777777" w:rsidR="002D40C6" w:rsidRPr="00F64D00" w:rsidRDefault="002D40C6" w:rsidP="002D40C6">
            <w:pPr>
              <w:spacing w:line="256" w:lineRule="auto"/>
              <w:jc w:val="center"/>
              <w:rPr>
                <w:rFonts w:asciiTheme="majorHAnsi" w:hAnsiTheme="majorHAnsi" w:cstheme="majorHAnsi"/>
                <w:lang w:eastAsia="sk-SK"/>
              </w:rPr>
            </w:pPr>
          </w:p>
        </w:tc>
        <w:tc>
          <w:tcPr>
            <w:tcW w:w="656" w:type="dxa"/>
            <w:tcBorders>
              <w:top w:val="nil"/>
              <w:left w:val="nil"/>
              <w:bottom w:val="single" w:sz="4" w:space="0" w:color="auto"/>
              <w:right w:val="single" w:sz="4" w:space="0" w:color="auto"/>
            </w:tcBorders>
            <w:shd w:val="clear" w:color="auto" w:fill="auto"/>
            <w:noWrap/>
            <w:vAlign w:val="center"/>
            <w:hideMark/>
          </w:tcPr>
          <w:p w14:paraId="3E681286" w14:textId="77777777" w:rsidR="002D40C6" w:rsidRPr="00F64D00" w:rsidRDefault="002D40C6" w:rsidP="002D40C6">
            <w:pPr>
              <w:spacing w:line="256" w:lineRule="auto"/>
              <w:jc w:val="center"/>
              <w:rPr>
                <w:rFonts w:asciiTheme="majorHAnsi" w:hAnsiTheme="majorHAnsi" w:cstheme="majorHAnsi"/>
                <w:lang w:eastAsia="sk-SK"/>
              </w:rPr>
            </w:pPr>
          </w:p>
        </w:tc>
        <w:tc>
          <w:tcPr>
            <w:tcW w:w="655" w:type="dxa"/>
            <w:tcBorders>
              <w:top w:val="nil"/>
              <w:left w:val="nil"/>
              <w:bottom w:val="single" w:sz="4" w:space="0" w:color="auto"/>
              <w:right w:val="single" w:sz="4" w:space="0" w:color="auto"/>
            </w:tcBorders>
            <w:shd w:val="clear" w:color="auto" w:fill="auto"/>
            <w:noWrap/>
            <w:vAlign w:val="center"/>
            <w:hideMark/>
          </w:tcPr>
          <w:p w14:paraId="399B7DB1" w14:textId="37E871DC"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1</w:t>
            </w:r>
          </w:p>
        </w:tc>
        <w:tc>
          <w:tcPr>
            <w:tcW w:w="727" w:type="dxa"/>
            <w:tcBorders>
              <w:top w:val="nil"/>
              <w:left w:val="nil"/>
              <w:bottom w:val="single" w:sz="4" w:space="0" w:color="auto"/>
              <w:right w:val="single" w:sz="4" w:space="0" w:color="auto"/>
            </w:tcBorders>
            <w:shd w:val="clear" w:color="auto" w:fill="auto"/>
            <w:noWrap/>
            <w:vAlign w:val="center"/>
            <w:hideMark/>
          </w:tcPr>
          <w:p w14:paraId="1D31AF11" w14:textId="77777777" w:rsidR="002D40C6" w:rsidRPr="00F64D00" w:rsidRDefault="002D40C6" w:rsidP="002D40C6">
            <w:pPr>
              <w:spacing w:line="256" w:lineRule="auto"/>
              <w:jc w:val="center"/>
              <w:rPr>
                <w:rFonts w:asciiTheme="majorHAnsi" w:hAnsiTheme="majorHAnsi" w:cstheme="majorHAnsi"/>
                <w:lang w:eastAsia="sk-SK"/>
              </w:rPr>
            </w:pPr>
          </w:p>
        </w:tc>
        <w:tc>
          <w:tcPr>
            <w:tcW w:w="585" w:type="dxa"/>
            <w:tcBorders>
              <w:top w:val="nil"/>
              <w:left w:val="nil"/>
              <w:bottom w:val="single" w:sz="4" w:space="0" w:color="auto"/>
              <w:right w:val="single" w:sz="4" w:space="0" w:color="auto"/>
            </w:tcBorders>
            <w:shd w:val="clear" w:color="auto" w:fill="auto"/>
            <w:noWrap/>
            <w:vAlign w:val="center"/>
            <w:hideMark/>
          </w:tcPr>
          <w:p w14:paraId="1615E8C2" w14:textId="177DB39E"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1</w:t>
            </w:r>
          </w:p>
        </w:tc>
        <w:tc>
          <w:tcPr>
            <w:tcW w:w="655" w:type="dxa"/>
            <w:tcBorders>
              <w:top w:val="nil"/>
              <w:left w:val="nil"/>
              <w:bottom w:val="single" w:sz="4" w:space="0" w:color="auto"/>
              <w:right w:val="single" w:sz="4" w:space="0" w:color="auto"/>
            </w:tcBorders>
            <w:shd w:val="clear" w:color="auto" w:fill="auto"/>
            <w:noWrap/>
            <w:vAlign w:val="center"/>
            <w:hideMark/>
          </w:tcPr>
          <w:p w14:paraId="618F1C30" w14:textId="2CC52849"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 xml:space="preserve"> 1</w:t>
            </w:r>
          </w:p>
        </w:tc>
        <w:tc>
          <w:tcPr>
            <w:tcW w:w="656" w:type="dxa"/>
            <w:tcBorders>
              <w:top w:val="nil"/>
              <w:left w:val="nil"/>
              <w:bottom w:val="single" w:sz="4" w:space="0" w:color="auto"/>
              <w:right w:val="single" w:sz="4" w:space="0" w:color="auto"/>
            </w:tcBorders>
            <w:shd w:val="clear" w:color="auto" w:fill="auto"/>
            <w:noWrap/>
            <w:vAlign w:val="center"/>
            <w:hideMark/>
          </w:tcPr>
          <w:p w14:paraId="4A3942BE" w14:textId="77777777" w:rsidR="002D40C6" w:rsidRPr="00F64D00" w:rsidRDefault="002D40C6" w:rsidP="002D40C6">
            <w:pPr>
              <w:spacing w:line="256" w:lineRule="auto"/>
              <w:jc w:val="center"/>
              <w:rPr>
                <w:rFonts w:asciiTheme="majorHAnsi" w:hAnsiTheme="majorHAnsi" w:cstheme="majorHAnsi"/>
                <w:lang w:eastAsia="sk-SK"/>
              </w:rPr>
            </w:pPr>
          </w:p>
        </w:tc>
        <w:tc>
          <w:tcPr>
            <w:tcW w:w="656" w:type="dxa"/>
            <w:tcBorders>
              <w:top w:val="nil"/>
              <w:left w:val="nil"/>
              <w:bottom w:val="single" w:sz="4" w:space="0" w:color="auto"/>
              <w:right w:val="single" w:sz="4" w:space="0" w:color="auto"/>
            </w:tcBorders>
            <w:shd w:val="clear" w:color="auto" w:fill="auto"/>
            <w:noWrap/>
            <w:vAlign w:val="center"/>
            <w:hideMark/>
          </w:tcPr>
          <w:p w14:paraId="11C23CAE" w14:textId="77777777" w:rsidR="002D40C6" w:rsidRPr="00F64D00" w:rsidRDefault="002D40C6" w:rsidP="002D40C6">
            <w:pPr>
              <w:spacing w:line="256" w:lineRule="auto"/>
              <w:jc w:val="center"/>
              <w:rPr>
                <w:rFonts w:asciiTheme="majorHAnsi" w:hAnsiTheme="majorHAnsi" w:cstheme="majorHAnsi"/>
                <w:lang w:eastAsia="sk-SK"/>
              </w:rPr>
            </w:pP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639EA7E4" w14:textId="05E1BE30" w:rsidR="002D40C6" w:rsidRPr="00F64D00" w:rsidRDefault="002D40C6" w:rsidP="002D40C6">
            <w:pPr>
              <w:spacing w:line="256" w:lineRule="auto"/>
              <w:jc w:val="center"/>
              <w:rPr>
                <w:rFonts w:asciiTheme="majorHAnsi" w:hAnsiTheme="majorHAnsi" w:cstheme="majorHAnsi"/>
                <w:b/>
                <w:lang w:eastAsia="sk-SK"/>
              </w:rPr>
            </w:pPr>
            <w:r w:rsidRPr="00F64D00">
              <w:rPr>
                <w:rFonts w:asciiTheme="majorHAnsi" w:hAnsiTheme="majorHAnsi" w:cstheme="majorHAnsi"/>
                <w:b/>
                <w:lang w:val="en-US" w:eastAsia="sk-SK"/>
              </w:rPr>
              <w:t>3</w:t>
            </w:r>
          </w:p>
        </w:tc>
      </w:tr>
      <w:tr w:rsidR="002D40C6" w:rsidRPr="00F64D00" w14:paraId="729808B5" w14:textId="77777777" w:rsidTr="00536ABC">
        <w:trPr>
          <w:divId w:val="1150516521"/>
          <w:trHeight w:val="288"/>
        </w:trPr>
        <w:tc>
          <w:tcPr>
            <w:tcW w:w="1005" w:type="dxa"/>
            <w:tcBorders>
              <w:top w:val="nil"/>
              <w:left w:val="single" w:sz="4" w:space="0" w:color="auto"/>
              <w:bottom w:val="single" w:sz="4" w:space="0" w:color="auto"/>
              <w:right w:val="single" w:sz="4" w:space="0" w:color="auto"/>
            </w:tcBorders>
            <w:shd w:val="clear" w:color="auto" w:fill="auto"/>
            <w:vAlign w:val="center"/>
            <w:hideMark/>
          </w:tcPr>
          <w:p w14:paraId="68C8B81E" w14:textId="77777777" w:rsidR="002D40C6" w:rsidRPr="00F64D00" w:rsidRDefault="002D40C6" w:rsidP="002D40C6">
            <w:pPr>
              <w:spacing w:line="256" w:lineRule="auto"/>
              <w:jc w:val="center"/>
              <w:rPr>
                <w:rFonts w:asciiTheme="majorHAnsi" w:hAnsiTheme="majorHAnsi" w:cstheme="majorHAnsi"/>
                <w:sz w:val="22"/>
                <w:szCs w:val="22"/>
                <w:lang w:eastAsia="sk-SK"/>
              </w:rPr>
            </w:pPr>
            <w:r w:rsidRPr="00F64D00">
              <w:rPr>
                <w:rFonts w:asciiTheme="majorHAnsi" w:hAnsiTheme="majorHAnsi" w:cstheme="majorHAnsi"/>
                <w:sz w:val="22"/>
                <w:szCs w:val="22"/>
                <w:lang w:eastAsia="sk-SK"/>
              </w:rPr>
              <w:t>C1</w:t>
            </w:r>
          </w:p>
        </w:tc>
        <w:tc>
          <w:tcPr>
            <w:tcW w:w="1972" w:type="dxa"/>
            <w:tcBorders>
              <w:top w:val="nil"/>
              <w:left w:val="single" w:sz="4" w:space="0" w:color="auto"/>
              <w:bottom w:val="single" w:sz="4" w:space="0" w:color="auto"/>
              <w:right w:val="single" w:sz="4" w:space="0" w:color="auto"/>
            </w:tcBorders>
            <w:shd w:val="clear" w:color="auto" w:fill="auto"/>
            <w:vAlign w:val="center"/>
            <w:hideMark/>
          </w:tcPr>
          <w:p w14:paraId="774C426B" w14:textId="77777777" w:rsidR="002D40C6" w:rsidRPr="00F64D00" w:rsidRDefault="002D40C6" w:rsidP="002D40C6">
            <w:pPr>
              <w:spacing w:line="256" w:lineRule="auto"/>
              <w:rPr>
                <w:rFonts w:asciiTheme="majorHAnsi" w:hAnsiTheme="majorHAnsi" w:cstheme="majorHAnsi"/>
                <w:sz w:val="20"/>
                <w:szCs w:val="22"/>
                <w:lang w:eastAsia="sk-SK"/>
              </w:rPr>
            </w:pPr>
            <w:r w:rsidRPr="00F64D00">
              <w:rPr>
                <w:rFonts w:asciiTheme="majorHAnsi" w:eastAsiaTheme="minorHAnsi" w:hAnsiTheme="majorHAnsi" w:cstheme="majorHAnsi"/>
                <w:bCs/>
                <w:sz w:val="20"/>
                <w:szCs w:val="22"/>
              </w:rPr>
              <w:t>študenti s telesným postihnutím dolných končatín</w:t>
            </w:r>
          </w:p>
        </w:tc>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39CF5D0" w14:textId="77777777" w:rsidR="002D40C6" w:rsidRPr="00F64D00" w:rsidRDefault="002D40C6" w:rsidP="002D40C6">
            <w:pPr>
              <w:spacing w:line="256" w:lineRule="auto"/>
              <w:jc w:val="center"/>
              <w:rPr>
                <w:rFonts w:asciiTheme="majorHAnsi" w:hAnsiTheme="majorHAnsi" w:cstheme="majorHAnsi"/>
                <w:lang w:eastAsia="sk-SK"/>
              </w:rPr>
            </w:pPr>
          </w:p>
        </w:tc>
        <w:tc>
          <w:tcPr>
            <w:tcW w:w="656" w:type="dxa"/>
            <w:tcBorders>
              <w:top w:val="nil"/>
              <w:left w:val="nil"/>
              <w:bottom w:val="single" w:sz="4" w:space="0" w:color="auto"/>
              <w:right w:val="single" w:sz="4" w:space="0" w:color="auto"/>
            </w:tcBorders>
            <w:shd w:val="clear" w:color="auto" w:fill="auto"/>
            <w:noWrap/>
            <w:vAlign w:val="center"/>
            <w:hideMark/>
          </w:tcPr>
          <w:p w14:paraId="778EF89D" w14:textId="77777777" w:rsidR="002D40C6" w:rsidRPr="00F64D00" w:rsidRDefault="002D40C6" w:rsidP="002D40C6">
            <w:pPr>
              <w:spacing w:line="256" w:lineRule="auto"/>
              <w:jc w:val="center"/>
              <w:rPr>
                <w:rFonts w:asciiTheme="majorHAnsi" w:hAnsiTheme="majorHAnsi" w:cstheme="majorHAnsi"/>
                <w:lang w:eastAsia="sk-SK"/>
              </w:rPr>
            </w:pPr>
          </w:p>
        </w:tc>
        <w:tc>
          <w:tcPr>
            <w:tcW w:w="655" w:type="dxa"/>
            <w:tcBorders>
              <w:top w:val="nil"/>
              <w:left w:val="nil"/>
              <w:bottom w:val="single" w:sz="4" w:space="0" w:color="auto"/>
              <w:right w:val="single" w:sz="4" w:space="0" w:color="auto"/>
            </w:tcBorders>
            <w:shd w:val="clear" w:color="auto" w:fill="auto"/>
            <w:noWrap/>
            <w:vAlign w:val="center"/>
            <w:hideMark/>
          </w:tcPr>
          <w:p w14:paraId="42E486E3" w14:textId="6DC8F00F"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 xml:space="preserve"> </w:t>
            </w:r>
          </w:p>
        </w:tc>
        <w:tc>
          <w:tcPr>
            <w:tcW w:w="727" w:type="dxa"/>
            <w:tcBorders>
              <w:top w:val="nil"/>
              <w:left w:val="nil"/>
              <w:bottom w:val="single" w:sz="4" w:space="0" w:color="auto"/>
              <w:right w:val="single" w:sz="4" w:space="0" w:color="auto"/>
            </w:tcBorders>
            <w:shd w:val="clear" w:color="auto" w:fill="auto"/>
            <w:noWrap/>
            <w:vAlign w:val="center"/>
            <w:hideMark/>
          </w:tcPr>
          <w:p w14:paraId="54178303" w14:textId="77777777" w:rsidR="002D40C6" w:rsidRPr="00F64D00" w:rsidRDefault="002D40C6" w:rsidP="002D40C6">
            <w:pPr>
              <w:spacing w:line="256" w:lineRule="auto"/>
              <w:jc w:val="center"/>
              <w:rPr>
                <w:rFonts w:asciiTheme="majorHAnsi" w:hAnsiTheme="majorHAnsi" w:cstheme="majorHAnsi"/>
                <w:lang w:eastAsia="sk-SK"/>
              </w:rPr>
            </w:pPr>
          </w:p>
        </w:tc>
        <w:tc>
          <w:tcPr>
            <w:tcW w:w="585" w:type="dxa"/>
            <w:tcBorders>
              <w:top w:val="nil"/>
              <w:left w:val="nil"/>
              <w:bottom w:val="single" w:sz="4" w:space="0" w:color="auto"/>
              <w:right w:val="single" w:sz="4" w:space="0" w:color="auto"/>
            </w:tcBorders>
            <w:shd w:val="clear" w:color="auto" w:fill="auto"/>
            <w:noWrap/>
            <w:vAlign w:val="center"/>
            <w:hideMark/>
          </w:tcPr>
          <w:p w14:paraId="2509EE0C" w14:textId="77777777" w:rsidR="002D40C6" w:rsidRPr="00F64D00" w:rsidRDefault="002D40C6" w:rsidP="002D40C6">
            <w:pPr>
              <w:spacing w:line="256" w:lineRule="auto"/>
              <w:jc w:val="center"/>
              <w:rPr>
                <w:rFonts w:asciiTheme="majorHAnsi" w:hAnsiTheme="majorHAnsi" w:cstheme="majorHAnsi"/>
                <w:lang w:eastAsia="sk-SK"/>
              </w:rPr>
            </w:pPr>
          </w:p>
        </w:tc>
        <w:tc>
          <w:tcPr>
            <w:tcW w:w="655" w:type="dxa"/>
            <w:tcBorders>
              <w:top w:val="nil"/>
              <w:left w:val="nil"/>
              <w:bottom w:val="single" w:sz="4" w:space="0" w:color="auto"/>
              <w:right w:val="single" w:sz="4" w:space="0" w:color="auto"/>
            </w:tcBorders>
            <w:shd w:val="clear" w:color="auto" w:fill="auto"/>
            <w:noWrap/>
            <w:vAlign w:val="center"/>
            <w:hideMark/>
          </w:tcPr>
          <w:p w14:paraId="08FE01AD" w14:textId="50AE5A39" w:rsidR="002D40C6" w:rsidRPr="00F64D00" w:rsidRDefault="002D40C6" w:rsidP="002D40C6">
            <w:pPr>
              <w:spacing w:line="256" w:lineRule="auto"/>
              <w:jc w:val="center"/>
              <w:rPr>
                <w:rFonts w:asciiTheme="majorHAnsi" w:hAnsiTheme="majorHAnsi" w:cstheme="majorHAnsi"/>
                <w:lang w:eastAsia="sk-SK"/>
              </w:rPr>
            </w:pPr>
          </w:p>
        </w:tc>
        <w:tc>
          <w:tcPr>
            <w:tcW w:w="656" w:type="dxa"/>
            <w:tcBorders>
              <w:top w:val="nil"/>
              <w:left w:val="nil"/>
              <w:bottom w:val="single" w:sz="4" w:space="0" w:color="auto"/>
              <w:right w:val="single" w:sz="4" w:space="0" w:color="auto"/>
            </w:tcBorders>
            <w:shd w:val="clear" w:color="auto" w:fill="auto"/>
            <w:noWrap/>
            <w:vAlign w:val="center"/>
            <w:hideMark/>
          </w:tcPr>
          <w:p w14:paraId="13930FFC" w14:textId="552A1523"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1</w:t>
            </w:r>
          </w:p>
        </w:tc>
        <w:tc>
          <w:tcPr>
            <w:tcW w:w="656" w:type="dxa"/>
            <w:tcBorders>
              <w:top w:val="nil"/>
              <w:left w:val="nil"/>
              <w:bottom w:val="single" w:sz="4" w:space="0" w:color="auto"/>
              <w:right w:val="single" w:sz="4" w:space="0" w:color="auto"/>
            </w:tcBorders>
            <w:shd w:val="clear" w:color="auto" w:fill="auto"/>
            <w:noWrap/>
            <w:vAlign w:val="center"/>
            <w:hideMark/>
          </w:tcPr>
          <w:p w14:paraId="0BD8EAA0" w14:textId="77777777" w:rsidR="002D40C6" w:rsidRPr="00F64D00" w:rsidRDefault="002D40C6" w:rsidP="002D40C6">
            <w:pPr>
              <w:spacing w:line="256" w:lineRule="auto"/>
              <w:jc w:val="center"/>
              <w:rPr>
                <w:rFonts w:asciiTheme="majorHAnsi" w:hAnsiTheme="majorHAnsi" w:cstheme="majorHAnsi"/>
                <w:lang w:eastAsia="sk-SK"/>
              </w:rPr>
            </w:pP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1BADB8D2" w14:textId="39A55BB5" w:rsidR="002D40C6" w:rsidRPr="00F64D00" w:rsidRDefault="002D40C6" w:rsidP="002D40C6">
            <w:pPr>
              <w:spacing w:line="256" w:lineRule="auto"/>
              <w:jc w:val="center"/>
              <w:rPr>
                <w:rFonts w:asciiTheme="majorHAnsi" w:hAnsiTheme="majorHAnsi" w:cstheme="majorHAnsi"/>
                <w:b/>
                <w:lang w:eastAsia="sk-SK"/>
              </w:rPr>
            </w:pPr>
            <w:r w:rsidRPr="00F64D00">
              <w:rPr>
                <w:rFonts w:asciiTheme="majorHAnsi" w:hAnsiTheme="majorHAnsi" w:cstheme="majorHAnsi"/>
                <w:b/>
                <w:lang w:val="en-US" w:eastAsia="sk-SK"/>
              </w:rPr>
              <w:t>1</w:t>
            </w:r>
          </w:p>
        </w:tc>
      </w:tr>
      <w:tr w:rsidR="002D40C6" w:rsidRPr="00F64D00" w14:paraId="28B43E33" w14:textId="77777777" w:rsidTr="00536ABC">
        <w:trPr>
          <w:divId w:val="1150516521"/>
          <w:trHeight w:val="288"/>
        </w:trPr>
        <w:tc>
          <w:tcPr>
            <w:tcW w:w="1005" w:type="dxa"/>
            <w:tcBorders>
              <w:top w:val="nil"/>
              <w:left w:val="single" w:sz="4" w:space="0" w:color="auto"/>
              <w:bottom w:val="single" w:sz="4" w:space="0" w:color="auto"/>
              <w:right w:val="single" w:sz="4" w:space="0" w:color="auto"/>
            </w:tcBorders>
            <w:shd w:val="clear" w:color="auto" w:fill="auto"/>
            <w:vAlign w:val="center"/>
            <w:hideMark/>
          </w:tcPr>
          <w:p w14:paraId="4D92FF57" w14:textId="77777777" w:rsidR="002D40C6" w:rsidRPr="00F64D00" w:rsidRDefault="002D40C6" w:rsidP="002D40C6">
            <w:pPr>
              <w:spacing w:line="256" w:lineRule="auto"/>
              <w:jc w:val="center"/>
              <w:rPr>
                <w:rFonts w:asciiTheme="majorHAnsi" w:hAnsiTheme="majorHAnsi" w:cstheme="majorHAnsi"/>
                <w:sz w:val="22"/>
                <w:szCs w:val="22"/>
                <w:lang w:eastAsia="sk-SK"/>
              </w:rPr>
            </w:pPr>
            <w:r w:rsidRPr="00F64D00">
              <w:rPr>
                <w:rFonts w:asciiTheme="majorHAnsi" w:hAnsiTheme="majorHAnsi" w:cstheme="majorHAnsi"/>
                <w:sz w:val="22"/>
                <w:szCs w:val="22"/>
                <w:lang w:eastAsia="sk-SK"/>
              </w:rPr>
              <w:t>C2</w:t>
            </w:r>
          </w:p>
        </w:tc>
        <w:tc>
          <w:tcPr>
            <w:tcW w:w="1972" w:type="dxa"/>
            <w:tcBorders>
              <w:top w:val="nil"/>
              <w:left w:val="single" w:sz="4" w:space="0" w:color="auto"/>
              <w:bottom w:val="single" w:sz="4" w:space="0" w:color="auto"/>
              <w:right w:val="single" w:sz="4" w:space="0" w:color="auto"/>
            </w:tcBorders>
            <w:shd w:val="clear" w:color="auto" w:fill="auto"/>
            <w:vAlign w:val="center"/>
            <w:hideMark/>
          </w:tcPr>
          <w:p w14:paraId="1B5A828D" w14:textId="77777777" w:rsidR="002D40C6" w:rsidRPr="00F64D00" w:rsidRDefault="002D40C6" w:rsidP="002D40C6">
            <w:pPr>
              <w:spacing w:line="256" w:lineRule="auto"/>
              <w:rPr>
                <w:rFonts w:asciiTheme="majorHAnsi" w:hAnsiTheme="majorHAnsi" w:cstheme="majorHAnsi"/>
                <w:sz w:val="20"/>
                <w:szCs w:val="22"/>
                <w:lang w:eastAsia="sk-SK"/>
              </w:rPr>
            </w:pPr>
            <w:r w:rsidRPr="00F64D00">
              <w:rPr>
                <w:rFonts w:asciiTheme="majorHAnsi" w:eastAsiaTheme="minorHAnsi" w:hAnsiTheme="majorHAnsi" w:cstheme="majorHAnsi"/>
                <w:bCs/>
                <w:sz w:val="20"/>
                <w:szCs w:val="22"/>
              </w:rPr>
              <w:t>študenti s telesným postihnutím horných končatín</w:t>
            </w:r>
          </w:p>
        </w:tc>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A4F1BCF" w14:textId="248E364A"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1</w:t>
            </w:r>
          </w:p>
        </w:tc>
        <w:tc>
          <w:tcPr>
            <w:tcW w:w="656" w:type="dxa"/>
            <w:tcBorders>
              <w:top w:val="nil"/>
              <w:left w:val="nil"/>
              <w:bottom w:val="single" w:sz="4" w:space="0" w:color="auto"/>
              <w:right w:val="single" w:sz="4" w:space="0" w:color="auto"/>
            </w:tcBorders>
            <w:shd w:val="clear" w:color="auto" w:fill="auto"/>
            <w:noWrap/>
            <w:vAlign w:val="center"/>
            <w:hideMark/>
          </w:tcPr>
          <w:p w14:paraId="47EAC411" w14:textId="77777777" w:rsidR="002D40C6" w:rsidRPr="00F64D00" w:rsidRDefault="002D40C6" w:rsidP="002D40C6">
            <w:pPr>
              <w:spacing w:line="256" w:lineRule="auto"/>
              <w:jc w:val="center"/>
              <w:rPr>
                <w:rFonts w:asciiTheme="majorHAnsi" w:hAnsiTheme="majorHAnsi" w:cstheme="majorHAnsi"/>
                <w:lang w:eastAsia="sk-SK"/>
              </w:rPr>
            </w:pPr>
          </w:p>
        </w:tc>
        <w:tc>
          <w:tcPr>
            <w:tcW w:w="655" w:type="dxa"/>
            <w:tcBorders>
              <w:top w:val="nil"/>
              <w:left w:val="nil"/>
              <w:bottom w:val="single" w:sz="4" w:space="0" w:color="auto"/>
              <w:right w:val="single" w:sz="4" w:space="0" w:color="auto"/>
            </w:tcBorders>
            <w:shd w:val="clear" w:color="auto" w:fill="auto"/>
            <w:noWrap/>
            <w:vAlign w:val="center"/>
            <w:hideMark/>
          </w:tcPr>
          <w:p w14:paraId="1470A15C" w14:textId="77777777" w:rsidR="002D40C6" w:rsidRPr="00F64D00" w:rsidRDefault="002D40C6" w:rsidP="002D40C6">
            <w:pPr>
              <w:spacing w:line="256" w:lineRule="auto"/>
              <w:jc w:val="center"/>
              <w:rPr>
                <w:rFonts w:asciiTheme="majorHAnsi" w:hAnsiTheme="majorHAnsi" w:cstheme="majorHAnsi"/>
                <w:lang w:eastAsia="sk-SK"/>
              </w:rPr>
            </w:pPr>
          </w:p>
        </w:tc>
        <w:tc>
          <w:tcPr>
            <w:tcW w:w="727" w:type="dxa"/>
            <w:tcBorders>
              <w:top w:val="nil"/>
              <w:left w:val="nil"/>
              <w:bottom w:val="single" w:sz="4" w:space="0" w:color="auto"/>
              <w:right w:val="single" w:sz="4" w:space="0" w:color="auto"/>
            </w:tcBorders>
            <w:shd w:val="clear" w:color="auto" w:fill="auto"/>
            <w:noWrap/>
            <w:vAlign w:val="center"/>
            <w:hideMark/>
          </w:tcPr>
          <w:p w14:paraId="3FEB1074" w14:textId="77777777" w:rsidR="002D40C6" w:rsidRPr="00F64D00" w:rsidRDefault="002D40C6" w:rsidP="002D40C6">
            <w:pPr>
              <w:spacing w:line="256" w:lineRule="auto"/>
              <w:jc w:val="center"/>
              <w:rPr>
                <w:rFonts w:asciiTheme="majorHAnsi" w:hAnsiTheme="majorHAnsi" w:cstheme="majorHAnsi"/>
                <w:lang w:eastAsia="sk-SK"/>
              </w:rPr>
            </w:pPr>
          </w:p>
        </w:tc>
        <w:tc>
          <w:tcPr>
            <w:tcW w:w="585" w:type="dxa"/>
            <w:tcBorders>
              <w:top w:val="nil"/>
              <w:left w:val="nil"/>
              <w:bottom w:val="single" w:sz="4" w:space="0" w:color="auto"/>
              <w:right w:val="single" w:sz="4" w:space="0" w:color="auto"/>
            </w:tcBorders>
            <w:shd w:val="clear" w:color="auto" w:fill="auto"/>
            <w:noWrap/>
            <w:vAlign w:val="center"/>
            <w:hideMark/>
          </w:tcPr>
          <w:p w14:paraId="37E2F74D" w14:textId="77777777" w:rsidR="002D40C6" w:rsidRPr="00F64D00" w:rsidRDefault="002D40C6" w:rsidP="002D40C6">
            <w:pPr>
              <w:spacing w:line="256" w:lineRule="auto"/>
              <w:jc w:val="center"/>
              <w:rPr>
                <w:rFonts w:asciiTheme="majorHAnsi" w:hAnsiTheme="majorHAnsi" w:cstheme="majorHAnsi"/>
                <w:lang w:eastAsia="sk-SK"/>
              </w:rPr>
            </w:pPr>
          </w:p>
        </w:tc>
        <w:tc>
          <w:tcPr>
            <w:tcW w:w="655" w:type="dxa"/>
            <w:tcBorders>
              <w:top w:val="nil"/>
              <w:left w:val="nil"/>
              <w:bottom w:val="single" w:sz="4" w:space="0" w:color="auto"/>
              <w:right w:val="single" w:sz="4" w:space="0" w:color="auto"/>
            </w:tcBorders>
            <w:shd w:val="clear" w:color="auto" w:fill="auto"/>
            <w:noWrap/>
            <w:vAlign w:val="center"/>
            <w:hideMark/>
          </w:tcPr>
          <w:p w14:paraId="1936118D" w14:textId="77777777" w:rsidR="002D40C6" w:rsidRPr="00F64D00" w:rsidRDefault="002D40C6" w:rsidP="002D40C6">
            <w:pPr>
              <w:spacing w:line="256" w:lineRule="auto"/>
              <w:jc w:val="center"/>
              <w:rPr>
                <w:rFonts w:asciiTheme="majorHAnsi" w:hAnsiTheme="majorHAnsi" w:cstheme="majorHAnsi"/>
                <w:lang w:eastAsia="sk-SK"/>
              </w:rPr>
            </w:pPr>
          </w:p>
        </w:tc>
        <w:tc>
          <w:tcPr>
            <w:tcW w:w="656" w:type="dxa"/>
            <w:tcBorders>
              <w:top w:val="nil"/>
              <w:left w:val="nil"/>
              <w:bottom w:val="single" w:sz="4" w:space="0" w:color="auto"/>
              <w:right w:val="single" w:sz="4" w:space="0" w:color="auto"/>
            </w:tcBorders>
            <w:shd w:val="clear" w:color="auto" w:fill="auto"/>
            <w:noWrap/>
            <w:vAlign w:val="center"/>
            <w:hideMark/>
          </w:tcPr>
          <w:p w14:paraId="4A4C1A20" w14:textId="7EC56F40"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1</w:t>
            </w:r>
          </w:p>
        </w:tc>
        <w:tc>
          <w:tcPr>
            <w:tcW w:w="656" w:type="dxa"/>
            <w:tcBorders>
              <w:top w:val="nil"/>
              <w:left w:val="nil"/>
              <w:bottom w:val="single" w:sz="4" w:space="0" w:color="auto"/>
              <w:right w:val="single" w:sz="4" w:space="0" w:color="auto"/>
            </w:tcBorders>
            <w:shd w:val="clear" w:color="auto" w:fill="auto"/>
            <w:noWrap/>
            <w:vAlign w:val="center"/>
            <w:hideMark/>
          </w:tcPr>
          <w:p w14:paraId="64931789" w14:textId="77777777" w:rsidR="002D40C6" w:rsidRPr="00F64D00" w:rsidRDefault="002D40C6" w:rsidP="002D40C6">
            <w:pPr>
              <w:spacing w:line="256" w:lineRule="auto"/>
              <w:jc w:val="center"/>
              <w:rPr>
                <w:rFonts w:asciiTheme="majorHAnsi" w:hAnsiTheme="majorHAnsi" w:cstheme="majorHAnsi"/>
                <w:lang w:eastAsia="sk-SK"/>
              </w:rPr>
            </w:pP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79FAE1C5" w14:textId="66D17732" w:rsidR="002D40C6" w:rsidRPr="00F64D00" w:rsidRDefault="002D40C6" w:rsidP="002D40C6">
            <w:pPr>
              <w:spacing w:line="256" w:lineRule="auto"/>
              <w:jc w:val="center"/>
              <w:rPr>
                <w:rFonts w:asciiTheme="majorHAnsi" w:hAnsiTheme="majorHAnsi" w:cstheme="majorHAnsi"/>
                <w:b/>
                <w:lang w:eastAsia="sk-SK"/>
              </w:rPr>
            </w:pPr>
            <w:r w:rsidRPr="00F64D00">
              <w:rPr>
                <w:rFonts w:asciiTheme="majorHAnsi" w:hAnsiTheme="majorHAnsi" w:cstheme="majorHAnsi"/>
                <w:b/>
                <w:lang w:val="en-US" w:eastAsia="sk-SK"/>
              </w:rPr>
              <w:t>2</w:t>
            </w:r>
          </w:p>
        </w:tc>
      </w:tr>
      <w:tr w:rsidR="002D40C6" w:rsidRPr="00F64D00" w14:paraId="7941F5DE" w14:textId="77777777" w:rsidTr="00536ABC">
        <w:trPr>
          <w:divId w:val="1150516521"/>
          <w:trHeight w:val="288"/>
        </w:trPr>
        <w:tc>
          <w:tcPr>
            <w:tcW w:w="1005" w:type="dxa"/>
            <w:tcBorders>
              <w:top w:val="nil"/>
              <w:left w:val="single" w:sz="4" w:space="0" w:color="auto"/>
              <w:bottom w:val="single" w:sz="4" w:space="0" w:color="auto"/>
              <w:right w:val="single" w:sz="4" w:space="0" w:color="auto"/>
            </w:tcBorders>
            <w:shd w:val="clear" w:color="auto" w:fill="auto"/>
            <w:vAlign w:val="center"/>
            <w:hideMark/>
          </w:tcPr>
          <w:p w14:paraId="25C2F947" w14:textId="77777777" w:rsidR="002D40C6" w:rsidRPr="00F64D00" w:rsidRDefault="002D40C6" w:rsidP="002D40C6">
            <w:pPr>
              <w:spacing w:line="256" w:lineRule="auto"/>
              <w:jc w:val="center"/>
              <w:rPr>
                <w:rFonts w:asciiTheme="majorHAnsi" w:hAnsiTheme="majorHAnsi" w:cstheme="majorHAnsi"/>
                <w:sz w:val="22"/>
                <w:szCs w:val="22"/>
                <w:lang w:eastAsia="sk-SK"/>
              </w:rPr>
            </w:pPr>
            <w:r w:rsidRPr="00F64D00">
              <w:rPr>
                <w:rFonts w:asciiTheme="majorHAnsi" w:hAnsiTheme="majorHAnsi" w:cstheme="majorHAnsi"/>
                <w:sz w:val="22"/>
                <w:szCs w:val="22"/>
                <w:lang w:eastAsia="sk-SK"/>
              </w:rPr>
              <w:t>D</w:t>
            </w:r>
          </w:p>
        </w:tc>
        <w:tc>
          <w:tcPr>
            <w:tcW w:w="1972" w:type="dxa"/>
            <w:tcBorders>
              <w:top w:val="nil"/>
              <w:left w:val="single" w:sz="4" w:space="0" w:color="auto"/>
              <w:bottom w:val="single" w:sz="4" w:space="0" w:color="auto"/>
              <w:right w:val="single" w:sz="4" w:space="0" w:color="auto"/>
            </w:tcBorders>
            <w:shd w:val="clear" w:color="auto" w:fill="auto"/>
            <w:vAlign w:val="center"/>
            <w:hideMark/>
          </w:tcPr>
          <w:p w14:paraId="43E1EEF6" w14:textId="77777777" w:rsidR="002D40C6" w:rsidRPr="00F64D00" w:rsidRDefault="002D40C6" w:rsidP="002D40C6">
            <w:pPr>
              <w:spacing w:line="256" w:lineRule="auto"/>
              <w:rPr>
                <w:rFonts w:asciiTheme="majorHAnsi" w:hAnsiTheme="majorHAnsi" w:cstheme="majorHAnsi"/>
                <w:sz w:val="20"/>
                <w:szCs w:val="22"/>
                <w:lang w:eastAsia="sk-SK"/>
              </w:rPr>
            </w:pPr>
            <w:r w:rsidRPr="00F64D00">
              <w:rPr>
                <w:rFonts w:asciiTheme="majorHAnsi" w:eastAsiaTheme="minorHAnsi" w:hAnsiTheme="majorHAnsi" w:cstheme="majorHAnsi"/>
                <w:bCs/>
                <w:sz w:val="20"/>
                <w:szCs w:val="22"/>
              </w:rPr>
              <w:t>študenti s poruchami učenia alebo s autizmom</w:t>
            </w:r>
          </w:p>
        </w:tc>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D9928DC" w14:textId="24589F69"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6</w:t>
            </w:r>
          </w:p>
        </w:tc>
        <w:tc>
          <w:tcPr>
            <w:tcW w:w="656" w:type="dxa"/>
            <w:tcBorders>
              <w:top w:val="nil"/>
              <w:left w:val="nil"/>
              <w:bottom w:val="single" w:sz="4" w:space="0" w:color="auto"/>
              <w:right w:val="single" w:sz="4" w:space="0" w:color="auto"/>
            </w:tcBorders>
            <w:shd w:val="clear" w:color="auto" w:fill="auto"/>
            <w:noWrap/>
            <w:vAlign w:val="center"/>
            <w:hideMark/>
          </w:tcPr>
          <w:p w14:paraId="07C1636E" w14:textId="45B40661"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1</w:t>
            </w:r>
          </w:p>
        </w:tc>
        <w:tc>
          <w:tcPr>
            <w:tcW w:w="655" w:type="dxa"/>
            <w:tcBorders>
              <w:top w:val="nil"/>
              <w:left w:val="nil"/>
              <w:bottom w:val="single" w:sz="4" w:space="0" w:color="auto"/>
              <w:right w:val="single" w:sz="4" w:space="0" w:color="auto"/>
            </w:tcBorders>
            <w:shd w:val="clear" w:color="auto" w:fill="auto"/>
            <w:noWrap/>
            <w:vAlign w:val="center"/>
            <w:hideMark/>
          </w:tcPr>
          <w:p w14:paraId="21102ED5" w14:textId="242D5EE7"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10</w:t>
            </w:r>
          </w:p>
        </w:tc>
        <w:tc>
          <w:tcPr>
            <w:tcW w:w="727" w:type="dxa"/>
            <w:tcBorders>
              <w:top w:val="nil"/>
              <w:left w:val="nil"/>
              <w:bottom w:val="single" w:sz="4" w:space="0" w:color="auto"/>
              <w:right w:val="single" w:sz="4" w:space="0" w:color="auto"/>
            </w:tcBorders>
            <w:shd w:val="clear" w:color="auto" w:fill="auto"/>
            <w:noWrap/>
            <w:vAlign w:val="center"/>
            <w:hideMark/>
          </w:tcPr>
          <w:p w14:paraId="04E159E1" w14:textId="0A87E1A9"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5</w:t>
            </w:r>
          </w:p>
        </w:tc>
        <w:tc>
          <w:tcPr>
            <w:tcW w:w="585" w:type="dxa"/>
            <w:tcBorders>
              <w:top w:val="nil"/>
              <w:left w:val="nil"/>
              <w:bottom w:val="single" w:sz="4" w:space="0" w:color="auto"/>
              <w:right w:val="single" w:sz="4" w:space="0" w:color="auto"/>
            </w:tcBorders>
            <w:shd w:val="clear" w:color="auto" w:fill="auto"/>
            <w:noWrap/>
            <w:vAlign w:val="center"/>
            <w:hideMark/>
          </w:tcPr>
          <w:p w14:paraId="5441BE91" w14:textId="0F64AE12"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4</w:t>
            </w:r>
          </w:p>
        </w:tc>
        <w:tc>
          <w:tcPr>
            <w:tcW w:w="655" w:type="dxa"/>
            <w:tcBorders>
              <w:top w:val="nil"/>
              <w:left w:val="nil"/>
              <w:bottom w:val="single" w:sz="4" w:space="0" w:color="auto"/>
              <w:right w:val="single" w:sz="4" w:space="0" w:color="auto"/>
            </w:tcBorders>
            <w:shd w:val="clear" w:color="auto" w:fill="auto"/>
            <w:noWrap/>
            <w:vAlign w:val="center"/>
            <w:hideMark/>
          </w:tcPr>
          <w:p w14:paraId="7938927F" w14:textId="74BC5D97"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6</w:t>
            </w:r>
          </w:p>
        </w:tc>
        <w:tc>
          <w:tcPr>
            <w:tcW w:w="656" w:type="dxa"/>
            <w:tcBorders>
              <w:top w:val="nil"/>
              <w:left w:val="nil"/>
              <w:bottom w:val="single" w:sz="4" w:space="0" w:color="auto"/>
              <w:right w:val="single" w:sz="4" w:space="0" w:color="auto"/>
            </w:tcBorders>
            <w:shd w:val="clear" w:color="auto" w:fill="auto"/>
            <w:noWrap/>
            <w:vAlign w:val="center"/>
            <w:hideMark/>
          </w:tcPr>
          <w:p w14:paraId="0A58F977" w14:textId="58C5BD9D"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2</w:t>
            </w:r>
          </w:p>
        </w:tc>
        <w:tc>
          <w:tcPr>
            <w:tcW w:w="656" w:type="dxa"/>
            <w:tcBorders>
              <w:top w:val="nil"/>
              <w:left w:val="nil"/>
              <w:bottom w:val="single" w:sz="4" w:space="0" w:color="auto"/>
              <w:right w:val="single" w:sz="4" w:space="0" w:color="auto"/>
            </w:tcBorders>
            <w:shd w:val="clear" w:color="auto" w:fill="auto"/>
            <w:noWrap/>
            <w:vAlign w:val="center"/>
            <w:hideMark/>
          </w:tcPr>
          <w:p w14:paraId="1267104B" w14:textId="35081976"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1</w:t>
            </w: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16E8BA5B" w14:textId="3FC4B702" w:rsidR="002D40C6" w:rsidRPr="00F64D00" w:rsidRDefault="002D40C6" w:rsidP="002D40C6">
            <w:pPr>
              <w:spacing w:line="256" w:lineRule="auto"/>
              <w:jc w:val="center"/>
              <w:rPr>
                <w:rFonts w:asciiTheme="majorHAnsi" w:hAnsiTheme="majorHAnsi" w:cstheme="majorHAnsi"/>
                <w:b/>
                <w:lang w:eastAsia="sk-SK"/>
              </w:rPr>
            </w:pPr>
            <w:r w:rsidRPr="00F64D00">
              <w:rPr>
                <w:rFonts w:asciiTheme="majorHAnsi" w:hAnsiTheme="majorHAnsi" w:cstheme="majorHAnsi"/>
                <w:b/>
                <w:lang w:val="en-US" w:eastAsia="sk-SK"/>
              </w:rPr>
              <w:t>35</w:t>
            </w:r>
          </w:p>
        </w:tc>
      </w:tr>
      <w:tr w:rsidR="002D40C6" w:rsidRPr="00F64D00" w14:paraId="4ADC98A4" w14:textId="77777777" w:rsidTr="00DF26B6">
        <w:trPr>
          <w:divId w:val="1150516521"/>
          <w:trHeight w:val="1165"/>
        </w:trPr>
        <w:tc>
          <w:tcPr>
            <w:tcW w:w="1005" w:type="dxa"/>
            <w:tcBorders>
              <w:top w:val="nil"/>
              <w:left w:val="single" w:sz="4" w:space="0" w:color="auto"/>
              <w:bottom w:val="single" w:sz="4" w:space="0" w:color="auto"/>
              <w:right w:val="single" w:sz="4" w:space="0" w:color="auto"/>
            </w:tcBorders>
            <w:shd w:val="clear" w:color="auto" w:fill="auto"/>
            <w:vAlign w:val="center"/>
            <w:hideMark/>
          </w:tcPr>
          <w:p w14:paraId="72824A6B" w14:textId="77777777" w:rsidR="002D40C6" w:rsidRPr="00F64D00" w:rsidRDefault="002D40C6" w:rsidP="002D40C6">
            <w:pPr>
              <w:spacing w:line="256" w:lineRule="auto"/>
              <w:jc w:val="center"/>
              <w:rPr>
                <w:rFonts w:asciiTheme="majorHAnsi" w:hAnsiTheme="majorHAnsi" w:cstheme="majorHAnsi"/>
                <w:sz w:val="22"/>
                <w:szCs w:val="22"/>
                <w:lang w:eastAsia="sk-SK"/>
              </w:rPr>
            </w:pPr>
            <w:r w:rsidRPr="00F64D00">
              <w:rPr>
                <w:rFonts w:asciiTheme="majorHAnsi" w:hAnsiTheme="majorHAnsi" w:cstheme="majorHAnsi"/>
                <w:sz w:val="22"/>
                <w:szCs w:val="22"/>
                <w:lang w:eastAsia="sk-SK"/>
              </w:rPr>
              <w:t>E</w:t>
            </w:r>
          </w:p>
        </w:tc>
        <w:tc>
          <w:tcPr>
            <w:tcW w:w="1972" w:type="dxa"/>
            <w:tcBorders>
              <w:top w:val="nil"/>
              <w:left w:val="single" w:sz="4" w:space="0" w:color="auto"/>
              <w:bottom w:val="single" w:sz="4" w:space="0" w:color="auto"/>
              <w:right w:val="single" w:sz="4" w:space="0" w:color="auto"/>
            </w:tcBorders>
            <w:shd w:val="clear" w:color="auto" w:fill="auto"/>
            <w:vAlign w:val="center"/>
            <w:hideMark/>
          </w:tcPr>
          <w:p w14:paraId="121C9272" w14:textId="2AA77EF5" w:rsidR="002D40C6" w:rsidRPr="00F64D00" w:rsidRDefault="00DF26B6" w:rsidP="002D40C6">
            <w:pPr>
              <w:spacing w:line="256" w:lineRule="auto"/>
              <w:rPr>
                <w:rFonts w:asciiTheme="majorHAnsi" w:eastAsiaTheme="minorHAnsi" w:hAnsiTheme="majorHAnsi" w:cstheme="majorHAnsi"/>
                <w:bCs/>
                <w:sz w:val="20"/>
                <w:szCs w:val="22"/>
              </w:rPr>
            </w:pPr>
            <w:r>
              <w:rPr>
                <w:rFonts w:asciiTheme="majorHAnsi" w:eastAsiaTheme="minorHAnsi" w:hAnsiTheme="majorHAnsi" w:cstheme="majorHAnsi"/>
                <w:bCs/>
                <w:sz w:val="20"/>
                <w:szCs w:val="22"/>
              </w:rPr>
              <w:t>Študenti s chronic.</w:t>
            </w:r>
            <w:r w:rsidR="002D40C6" w:rsidRPr="00F64D00">
              <w:rPr>
                <w:rFonts w:asciiTheme="majorHAnsi" w:eastAsiaTheme="minorHAnsi" w:hAnsiTheme="majorHAnsi" w:cstheme="majorHAnsi"/>
                <w:bCs/>
                <w:sz w:val="20"/>
                <w:szCs w:val="22"/>
              </w:rPr>
              <w:t>/</w:t>
            </w:r>
          </w:p>
          <w:p w14:paraId="6D2AE518" w14:textId="12649C1B" w:rsidR="002D40C6" w:rsidRPr="00F64D00" w:rsidRDefault="00DF26B6" w:rsidP="002D40C6">
            <w:pPr>
              <w:spacing w:line="256" w:lineRule="auto"/>
              <w:rPr>
                <w:rFonts w:asciiTheme="majorHAnsi" w:hAnsiTheme="majorHAnsi" w:cstheme="majorHAnsi"/>
                <w:sz w:val="20"/>
                <w:szCs w:val="22"/>
                <w:lang w:eastAsia="sk-SK"/>
              </w:rPr>
            </w:pPr>
            <w:r>
              <w:rPr>
                <w:rFonts w:asciiTheme="majorHAnsi" w:eastAsiaTheme="minorHAnsi" w:hAnsiTheme="majorHAnsi" w:cstheme="majorHAnsi"/>
                <w:bCs/>
                <w:sz w:val="20"/>
                <w:szCs w:val="22"/>
              </w:rPr>
              <w:t>psychic. ochorením al. zdravot.</w:t>
            </w:r>
            <w:r w:rsidR="002D40C6" w:rsidRPr="00F64D00">
              <w:rPr>
                <w:rFonts w:asciiTheme="majorHAnsi" w:eastAsiaTheme="minorHAnsi" w:hAnsiTheme="majorHAnsi" w:cstheme="majorHAnsi"/>
                <w:bCs/>
                <w:sz w:val="20"/>
                <w:szCs w:val="22"/>
              </w:rPr>
              <w:t xml:space="preserve"> oslabením</w:t>
            </w:r>
          </w:p>
        </w:tc>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1A3C713" w14:textId="368C7B53"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5</w:t>
            </w:r>
          </w:p>
        </w:tc>
        <w:tc>
          <w:tcPr>
            <w:tcW w:w="656" w:type="dxa"/>
            <w:tcBorders>
              <w:top w:val="nil"/>
              <w:left w:val="nil"/>
              <w:bottom w:val="single" w:sz="4" w:space="0" w:color="auto"/>
              <w:right w:val="single" w:sz="4" w:space="0" w:color="auto"/>
            </w:tcBorders>
            <w:shd w:val="clear" w:color="auto" w:fill="auto"/>
            <w:noWrap/>
            <w:vAlign w:val="center"/>
            <w:hideMark/>
          </w:tcPr>
          <w:p w14:paraId="2318F966" w14:textId="77777777" w:rsidR="002D40C6" w:rsidRPr="00F64D00" w:rsidRDefault="002D40C6" w:rsidP="002D40C6">
            <w:pPr>
              <w:spacing w:line="256" w:lineRule="auto"/>
              <w:jc w:val="center"/>
              <w:rPr>
                <w:rFonts w:asciiTheme="majorHAnsi" w:hAnsiTheme="majorHAnsi" w:cstheme="majorHAnsi"/>
                <w:lang w:eastAsia="sk-SK"/>
              </w:rPr>
            </w:pPr>
          </w:p>
        </w:tc>
        <w:tc>
          <w:tcPr>
            <w:tcW w:w="655" w:type="dxa"/>
            <w:tcBorders>
              <w:top w:val="nil"/>
              <w:left w:val="nil"/>
              <w:bottom w:val="single" w:sz="4" w:space="0" w:color="auto"/>
              <w:right w:val="single" w:sz="4" w:space="0" w:color="auto"/>
            </w:tcBorders>
            <w:shd w:val="clear" w:color="auto" w:fill="auto"/>
            <w:noWrap/>
            <w:vAlign w:val="center"/>
            <w:hideMark/>
          </w:tcPr>
          <w:p w14:paraId="10247B33" w14:textId="03E0FF1F"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3</w:t>
            </w:r>
          </w:p>
        </w:tc>
        <w:tc>
          <w:tcPr>
            <w:tcW w:w="727" w:type="dxa"/>
            <w:tcBorders>
              <w:top w:val="nil"/>
              <w:left w:val="nil"/>
              <w:bottom w:val="single" w:sz="4" w:space="0" w:color="auto"/>
              <w:right w:val="single" w:sz="4" w:space="0" w:color="auto"/>
            </w:tcBorders>
            <w:shd w:val="clear" w:color="auto" w:fill="auto"/>
            <w:noWrap/>
            <w:vAlign w:val="center"/>
            <w:hideMark/>
          </w:tcPr>
          <w:p w14:paraId="62970F65" w14:textId="6E150073"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3</w:t>
            </w:r>
          </w:p>
        </w:tc>
        <w:tc>
          <w:tcPr>
            <w:tcW w:w="585" w:type="dxa"/>
            <w:tcBorders>
              <w:top w:val="nil"/>
              <w:left w:val="nil"/>
              <w:bottom w:val="single" w:sz="4" w:space="0" w:color="auto"/>
              <w:right w:val="single" w:sz="4" w:space="0" w:color="auto"/>
            </w:tcBorders>
            <w:shd w:val="clear" w:color="auto" w:fill="auto"/>
            <w:noWrap/>
            <w:vAlign w:val="center"/>
            <w:hideMark/>
          </w:tcPr>
          <w:p w14:paraId="5836748D" w14:textId="5D6D8BF8"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2</w:t>
            </w:r>
          </w:p>
        </w:tc>
        <w:tc>
          <w:tcPr>
            <w:tcW w:w="655" w:type="dxa"/>
            <w:tcBorders>
              <w:top w:val="nil"/>
              <w:left w:val="nil"/>
              <w:bottom w:val="single" w:sz="4" w:space="0" w:color="auto"/>
              <w:right w:val="single" w:sz="4" w:space="0" w:color="auto"/>
            </w:tcBorders>
            <w:shd w:val="clear" w:color="auto" w:fill="auto"/>
            <w:noWrap/>
            <w:vAlign w:val="center"/>
            <w:hideMark/>
          </w:tcPr>
          <w:p w14:paraId="3C221D6A" w14:textId="5ACD6135"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2</w:t>
            </w:r>
          </w:p>
        </w:tc>
        <w:tc>
          <w:tcPr>
            <w:tcW w:w="656" w:type="dxa"/>
            <w:tcBorders>
              <w:top w:val="nil"/>
              <w:left w:val="nil"/>
              <w:bottom w:val="single" w:sz="4" w:space="0" w:color="auto"/>
              <w:right w:val="single" w:sz="4" w:space="0" w:color="auto"/>
            </w:tcBorders>
            <w:shd w:val="clear" w:color="auto" w:fill="auto"/>
            <w:noWrap/>
            <w:vAlign w:val="center"/>
            <w:hideMark/>
          </w:tcPr>
          <w:p w14:paraId="03CF3D55" w14:textId="54789D0D" w:rsidR="002D40C6" w:rsidRPr="00F64D00" w:rsidRDefault="002D40C6" w:rsidP="002D40C6">
            <w:pPr>
              <w:spacing w:line="256" w:lineRule="auto"/>
              <w:jc w:val="center"/>
              <w:rPr>
                <w:rFonts w:asciiTheme="majorHAnsi" w:hAnsiTheme="majorHAnsi" w:cstheme="majorHAnsi"/>
                <w:lang w:eastAsia="sk-SK"/>
              </w:rPr>
            </w:pPr>
            <w:r w:rsidRPr="00F64D00">
              <w:rPr>
                <w:rFonts w:asciiTheme="majorHAnsi" w:hAnsiTheme="majorHAnsi" w:cstheme="majorHAnsi"/>
                <w:lang w:val="en-US" w:eastAsia="sk-SK"/>
              </w:rPr>
              <w:t>4</w:t>
            </w:r>
          </w:p>
        </w:tc>
        <w:tc>
          <w:tcPr>
            <w:tcW w:w="656" w:type="dxa"/>
            <w:tcBorders>
              <w:top w:val="nil"/>
              <w:left w:val="nil"/>
              <w:bottom w:val="single" w:sz="4" w:space="0" w:color="auto"/>
              <w:right w:val="single" w:sz="4" w:space="0" w:color="auto"/>
            </w:tcBorders>
            <w:shd w:val="clear" w:color="auto" w:fill="auto"/>
            <w:noWrap/>
            <w:vAlign w:val="center"/>
            <w:hideMark/>
          </w:tcPr>
          <w:p w14:paraId="4070A6D8" w14:textId="77777777" w:rsidR="002D40C6" w:rsidRPr="00F64D00" w:rsidRDefault="002D40C6" w:rsidP="002D40C6">
            <w:pPr>
              <w:spacing w:line="256" w:lineRule="auto"/>
              <w:jc w:val="center"/>
              <w:rPr>
                <w:rFonts w:asciiTheme="majorHAnsi" w:hAnsiTheme="majorHAnsi" w:cstheme="majorHAnsi"/>
                <w:lang w:eastAsia="sk-SK"/>
              </w:rPr>
            </w:pP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14:paraId="3CBD7274" w14:textId="24EAD587" w:rsidR="002D40C6" w:rsidRPr="00F64D00" w:rsidRDefault="002D40C6" w:rsidP="002D40C6">
            <w:pPr>
              <w:spacing w:line="256" w:lineRule="auto"/>
              <w:jc w:val="center"/>
              <w:rPr>
                <w:rFonts w:asciiTheme="majorHAnsi" w:hAnsiTheme="majorHAnsi" w:cstheme="majorHAnsi"/>
                <w:b/>
                <w:lang w:eastAsia="sk-SK"/>
              </w:rPr>
            </w:pPr>
            <w:r w:rsidRPr="00F64D00">
              <w:rPr>
                <w:rFonts w:asciiTheme="majorHAnsi" w:hAnsiTheme="majorHAnsi" w:cstheme="majorHAnsi"/>
                <w:b/>
                <w:lang w:val="en-US" w:eastAsia="sk-SK"/>
              </w:rPr>
              <w:t>19</w:t>
            </w:r>
          </w:p>
        </w:tc>
      </w:tr>
      <w:tr w:rsidR="002D40C6" w:rsidRPr="00F64D00" w14:paraId="419B3FCF" w14:textId="77777777" w:rsidTr="002D40C6">
        <w:trPr>
          <w:divId w:val="1150516521"/>
          <w:trHeight w:val="288"/>
        </w:trPr>
        <w:tc>
          <w:tcPr>
            <w:tcW w:w="2977" w:type="dxa"/>
            <w:gridSpan w:val="2"/>
            <w:tcBorders>
              <w:top w:val="nil"/>
              <w:left w:val="single" w:sz="4" w:space="0" w:color="auto"/>
              <w:bottom w:val="single" w:sz="4" w:space="0" w:color="auto"/>
              <w:right w:val="single" w:sz="4" w:space="0" w:color="auto"/>
            </w:tcBorders>
            <w:shd w:val="clear" w:color="auto" w:fill="EEECE1" w:themeFill="background2"/>
            <w:hideMark/>
          </w:tcPr>
          <w:p w14:paraId="0BD8B6E1" w14:textId="77777777" w:rsidR="002D40C6" w:rsidRPr="00F64D00" w:rsidRDefault="002D40C6" w:rsidP="002D40C6">
            <w:pPr>
              <w:spacing w:line="256" w:lineRule="auto"/>
              <w:jc w:val="right"/>
              <w:rPr>
                <w:rFonts w:asciiTheme="majorHAnsi" w:hAnsiTheme="majorHAnsi" w:cstheme="majorHAnsi"/>
                <w:b/>
                <w:sz w:val="22"/>
                <w:szCs w:val="22"/>
                <w:lang w:eastAsia="sk-SK"/>
              </w:rPr>
            </w:pPr>
            <w:r w:rsidRPr="00F64D00">
              <w:rPr>
                <w:rFonts w:asciiTheme="majorHAnsi" w:eastAsiaTheme="minorHAnsi" w:hAnsiTheme="majorHAnsi" w:cstheme="majorHAnsi"/>
                <w:b/>
                <w:bCs/>
                <w:sz w:val="22"/>
                <w:szCs w:val="22"/>
              </w:rPr>
              <w:t>SPOLU</w:t>
            </w:r>
          </w:p>
        </w:tc>
        <w:tc>
          <w:tcPr>
            <w:tcW w:w="655" w:type="dxa"/>
            <w:tcBorders>
              <w:top w:val="nil"/>
              <w:left w:val="single" w:sz="4" w:space="0" w:color="auto"/>
              <w:bottom w:val="single" w:sz="4" w:space="0" w:color="auto"/>
              <w:right w:val="single" w:sz="4" w:space="0" w:color="auto"/>
            </w:tcBorders>
            <w:shd w:val="clear" w:color="auto" w:fill="EEECE1" w:themeFill="background2"/>
            <w:noWrap/>
            <w:vAlign w:val="bottom"/>
          </w:tcPr>
          <w:p w14:paraId="13EC8D6A" w14:textId="59059E22" w:rsidR="002D40C6" w:rsidRPr="00F64D00" w:rsidRDefault="002D40C6" w:rsidP="002D40C6">
            <w:pPr>
              <w:spacing w:line="256" w:lineRule="auto"/>
              <w:jc w:val="center"/>
              <w:rPr>
                <w:rFonts w:asciiTheme="majorHAnsi" w:hAnsiTheme="majorHAnsi" w:cstheme="majorHAnsi"/>
                <w:b/>
                <w:lang w:eastAsia="sk-SK"/>
              </w:rPr>
            </w:pPr>
            <w:r w:rsidRPr="00F64D00">
              <w:rPr>
                <w:rFonts w:asciiTheme="majorHAnsi" w:hAnsiTheme="majorHAnsi" w:cstheme="majorHAnsi"/>
                <w:b/>
                <w:lang w:val="en-US" w:eastAsia="sk-SK"/>
              </w:rPr>
              <w:t>12</w:t>
            </w:r>
          </w:p>
        </w:tc>
        <w:tc>
          <w:tcPr>
            <w:tcW w:w="656" w:type="dxa"/>
            <w:tcBorders>
              <w:top w:val="nil"/>
              <w:left w:val="nil"/>
              <w:bottom w:val="single" w:sz="4" w:space="0" w:color="auto"/>
              <w:right w:val="single" w:sz="4" w:space="0" w:color="auto"/>
            </w:tcBorders>
            <w:shd w:val="clear" w:color="auto" w:fill="EEECE1" w:themeFill="background2"/>
            <w:noWrap/>
            <w:vAlign w:val="bottom"/>
          </w:tcPr>
          <w:p w14:paraId="74F9CD68" w14:textId="4790514C" w:rsidR="002D40C6" w:rsidRPr="00F64D00" w:rsidRDefault="002D40C6" w:rsidP="002D40C6">
            <w:pPr>
              <w:spacing w:line="256" w:lineRule="auto"/>
              <w:jc w:val="center"/>
              <w:rPr>
                <w:rFonts w:asciiTheme="majorHAnsi" w:hAnsiTheme="majorHAnsi" w:cstheme="majorHAnsi"/>
                <w:b/>
                <w:lang w:eastAsia="sk-SK"/>
              </w:rPr>
            </w:pPr>
            <w:r w:rsidRPr="00F64D00">
              <w:rPr>
                <w:rFonts w:asciiTheme="majorHAnsi" w:hAnsiTheme="majorHAnsi" w:cstheme="majorHAnsi"/>
                <w:b/>
                <w:lang w:val="en-US" w:eastAsia="sk-SK"/>
              </w:rPr>
              <w:t>1</w:t>
            </w:r>
          </w:p>
        </w:tc>
        <w:tc>
          <w:tcPr>
            <w:tcW w:w="655" w:type="dxa"/>
            <w:tcBorders>
              <w:top w:val="nil"/>
              <w:left w:val="nil"/>
              <w:bottom w:val="single" w:sz="4" w:space="0" w:color="auto"/>
              <w:right w:val="single" w:sz="4" w:space="0" w:color="auto"/>
            </w:tcBorders>
            <w:shd w:val="clear" w:color="auto" w:fill="EEECE1" w:themeFill="background2"/>
            <w:noWrap/>
            <w:vAlign w:val="bottom"/>
          </w:tcPr>
          <w:p w14:paraId="2E4A0DF0" w14:textId="068BAD60" w:rsidR="002D40C6" w:rsidRPr="00F64D00" w:rsidRDefault="002D40C6" w:rsidP="002D40C6">
            <w:pPr>
              <w:spacing w:line="256" w:lineRule="auto"/>
              <w:jc w:val="center"/>
              <w:rPr>
                <w:rFonts w:asciiTheme="majorHAnsi" w:hAnsiTheme="majorHAnsi" w:cstheme="majorHAnsi"/>
                <w:b/>
                <w:lang w:eastAsia="sk-SK"/>
              </w:rPr>
            </w:pPr>
            <w:r w:rsidRPr="00F64D00">
              <w:rPr>
                <w:rFonts w:asciiTheme="majorHAnsi" w:hAnsiTheme="majorHAnsi" w:cstheme="majorHAnsi"/>
                <w:b/>
                <w:lang w:val="en-US" w:eastAsia="sk-SK"/>
              </w:rPr>
              <w:t>14</w:t>
            </w:r>
          </w:p>
        </w:tc>
        <w:tc>
          <w:tcPr>
            <w:tcW w:w="727" w:type="dxa"/>
            <w:tcBorders>
              <w:top w:val="nil"/>
              <w:left w:val="nil"/>
              <w:bottom w:val="single" w:sz="4" w:space="0" w:color="auto"/>
              <w:right w:val="single" w:sz="4" w:space="0" w:color="auto"/>
            </w:tcBorders>
            <w:shd w:val="clear" w:color="auto" w:fill="EEECE1" w:themeFill="background2"/>
            <w:noWrap/>
            <w:vAlign w:val="bottom"/>
          </w:tcPr>
          <w:p w14:paraId="6A056D1A" w14:textId="3786EA68" w:rsidR="002D40C6" w:rsidRPr="00F64D00" w:rsidRDefault="002D40C6" w:rsidP="002D40C6">
            <w:pPr>
              <w:spacing w:line="256" w:lineRule="auto"/>
              <w:jc w:val="center"/>
              <w:rPr>
                <w:rFonts w:asciiTheme="majorHAnsi" w:hAnsiTheme="majorHAnsi" w:cstheme="majorHAnsi"/>
                <w:b/>
                <w:lang w:eastAsia="sk-SK"/>
              </w:rPr>
            </w:pPr>
            <w:r w:rsidRPr="00F64D00">
              <w:rPr>
                <w:rFonts w:asciiTheme="majorHAnsi" w:hAnsiTheme="majorHAnsi" w:cstheme="majorHAnsi"/>
                <w:b/>
                <w:lang w:val="en-US" w:eastAsia="sk-SK"/>
              </w:rPr>
              <w:t>10</w:t>
            </w:r>
          </w:p>
        </w:tc>
        <w:tc>
          <w:tcPr>
            <w:tcW w:w="585" w:type="dxa"/>
            <w:tcBorders>
              <w:top w:val="nil"/>
              <w:left w:val="nil"/>
              <w:bottom w:val="single" w:sz="4" w:space="0" w:color="auto"/>
              <w:right w:val="single" w:sz="4" w:space="0" w:color="auto"/>
            </w:tcBorders>
            <w:shd w:val="clear" w:color="auto" w:fill="EEECE1" w:themeFill="background2"/>
            <w:noWrap/>
            <w:vAlign w:val="bottom"/>
          </w:tcPr>
          <w:p w14:paraId="6D377222" w14:textId="4DDB69E7" w:rsidR="002D40C6" w:rsidRPr="00F64D00" w:rsidRDefault="002D40C6" w:rsidP="002D40C6">
            <w:pPr>
              <w:spacing w:line="256" w:lineRule="auto"/>
              <w:jc w:val="center"/>
              <w:rPr>
                <w:rFonts w:asciiTheme="majorHAnsi" w:hAnsiTheme="majorHAnsi" w:cstheme="majorHAnsi"/>
                <w:b/>
                <w:lang w:eastAsia="sk-SK"/>
              </w:rPr>
            </w:pPr>
            <w:r w:rsidRPr="00F64D00">
              <w:rPr>
                <w:rFonts w:asciiTheme="majorHAnsi" w:hAnsiTheme="majorHAnsi" w:cstheme="majorHAnsi"/>
                <w:b/>
                <w:lang w:val="en-US" w:eastAsia="sk-SK"/>
              </w:rPr>
              <w:t>7</w:t>
            </w:r>
          </w:p>
        </w:tc>
        <w:tc>
          <w:tcPr>
            <w:tcW w:w="655" w:type="dxa"/>
            <w:tcBorders>
              <w:top w:val="nil"/>
              <w:left w:val="nil"/>
              <w:bottom w:val="single" w:sz="4" w:space="0" w:color="auto"/>
              <w:right w:val="single" w:sz="4" w:space="0" w:color="auto"/>
            </w:tcBorders>
            <w:shd w:val="clear" w:color="auto" w:fill="EEECE1" w:themeFill="background2"/>
            <w:noWrap/>
            <w:vAlign w:val="bottom"/>
          </w:tcPr>
          <w:p w14:paraId="03226D94" w14:textId="757A9FC0" w:rsidR="002D40C6" w:rsidRPr="00F64D00" w:rsidRDefault="002D40C6" w:rsidP="002D40C6">
            <w:pPr>
              <w:spacing w:line="256" w:lineRule="auto"/>
              <w:jc w:val="center"/>
              <w:rPr>
                <w:rFonts w:asciiTheme="majorHAnsi" w:hAnsiTheme="majorHAnsi" w:cstheme="majorHAnsi"/>
                <w:b/>
                <w:lang w:eastAsia="sk-SK"/>
              </w:rPr>
            </w:pPr>
            <w:r w:rsidRPr="00F64D00">
              <w:rPr>
                <w:rFonts w:asciiTheme="majorHAnsi" w:hAnsiTheme="majorHAnsi" w:cstheme="majorHAnsi"/>
                <w:b/>
                <w:lang w:val="en-US" w:eastAsia="sk-SK"/>
              </w:rPr>
              <w:t>9</w:t>
            </w:r>
          </w:p>
        </w:tc>
        <w:tc>
          <w:tcPr>
            <w:tcW w:w="656" w:type="dxa"/>
            <w:tcBorders>
              <w:top w:val="nil"/>
              <w:left w:val="nil"/>
              <w:bottom w:val="single" w:sz="4" w:space="0" w:color="auto"/>
              <w:right w:val="single" w:sz="4" w:space="0" w:color="auto"/>
            </w:tcBorders>
            <w:shd w:val="clear" w:color="auto" w:fill="EEECE1" w:themeFill="background2"/>
            <w:noWrap/>
            <w:vAlign w:val="bottom"/>
          </w:tcPr>
          <w:p w14:paraId="5AD2778B" w14:textId="7C4F8AF9" w:rsidR="002D40C6" w:rsidRPr="00F64D00" w:rsidRDefault="002D40C6" w:rsidP="002D40C6">
            <w:pPr>
              <w:spacing w:line="256" w:lineRule="auto"/>
              <w:jc w:val="center"/>
              <w:rPr>
                <w:rFonts w:asciiTheme="majorHAnsi" w:hAnsiTheme="majorHAnsi" w:cstheme="majorHAnsi"/>
                <w:b/>
                <w:lang w:eastAsia="sk-SK"/>
              </w:rPr>
            </w:pPr>
            <w:r w:rsidRPr="00F64D00">
              <w:rPr>
                <w:rFonts w:asciiTheme="majorHAnsi" w:hAnsiTheme="majorHAnsi" w:cstheme="majorHAnsi"/>
                <w:b/>
                <w:lang w:val="en-US" w:eastAsia="sk-SK"/>
              </w:rPr>
              <w:t>8</w:t>
            </w:r>
          </w:p>
        </w:tc>
        <w:tc>
          <w:tcPr>
            <w:tcW w:w="656" w:type="dxa"/>
            <w:tcBorders>
              <w:top w:val="nil"/>
              <w:left w:val="nil"/>
              <w:bottom w:val="single" w:sz="4" w:space="0" w:color="auto"/>
              <w:right w:val="single" w:sz="4" w:space="0" w:color="auto"/>
            </w:tcBorders>
            <w:shd w:val="clear" w:color="auto" w:fill="EEECE1" w:themeFill="background2"/>
            <w:noWrap/>
            <w:vAlign w:val="bottom"/>
          </w:tcPr>
          <w:p w14:paraId="5740F2DA" w14:textId="129366F9" w:rsidR="002D40C6" w:rsidRPr="00F64D00" w:rsidRDefault="002D40C6" w:rsidP="002D40C6">
            <w:pPr>
              <w:spacing w:line="256" w:lineRule="auto"/>
              <w:jc w:val="center"/>
              <w:rPr>
                <w:rFonts w:asciiTheme="majorHAnsi" w:hAnsiTheme="majorHAnsi" w:cstheme="majorHAnsi"/>
                <w:b/>
                <w:lang w:eastAsia="sk-SK"/>
              </w:rPr>
            </w:pPr>
            <w:r w:rsidRPr="00F64D00">
              <w:rPr>
                <w:rFonts w:asciiTheme="majorHAnsi" w:hAnsiTheme="majorHAnsi" w:cstheme="majorHAnsi"/>
                <w:b/>
                <w:lang w:val="en-US" w:eastAsia="sk-SK"/>
              </w:rPr>
              <w:t>1</w:t>
            </w:r>
          </w:p>
        </w:tc>
        <w:tc>
          <w:tcPr>
            <w:tcW w:w="850" w:type="dxa"/>
            <w:tcBorders>
              <w:top w:val="nil"/>
              <w:left w:val="nil"/>
              <w:bottom w:val="single" w:sz="4" w:space="0" w:color="auto"/>
              <w:right w:val="single" w:sz="4" w:space="0" w:color="auto"/>
            </w:tcBorders>
            <w:shd w:val="clear" w:color="auto" w:fill="EEECE1" w:themeFill="background2"/>
            <w:noWrap/>
            <w:vAlign w:val="bottom"/>
          </w:tcPr>
          <w:p w14:paraId="71B1807D" w14:textId="3BE22351" w:rsidR="002D40C6" w:rsidRPr="00F64D00" w:rsidRDefault="002D40C6" w:rsidP="002D40C6">
            <w:pPr>
              <w:spacing w:line="256" w:lineRule="auto"/>
              <w:jc w:val="center"/>
              <w:rPr>
                <w:rFonts w:asciiTheme="majorHAnsi" w:hAnsiTheme="majorHAnsi" w:cstheme="majorHAnsi"/>
                <w:b/>
                <w:lang w:eastAsia="sk-SK"/>
              </w:rPr>
            </w:pPr>
            <w:r w:rsidRPr="00F64D00">
              <w:rPr>
                <w:rFonts w:asciiTheme="majorHAnsi" w:hAnsiTheme="majorHAnsi" w:cstheme="majorHAnsi"/>
                <w:b/>
                <w:lang w:val="en-US" w:eastAsia="sk-SK"/>
              </w:rPr>
              <w:t>62</w:t>
            </w:r>
          </w:p>
        </w:tc>
      </w:tr>
    </w:tbl>
    <w:p w14:paraId="5F43768C" w14:textId="77777777" w:rsidR="00F64D00" w:rsidRPr="00F64D00" w:rsidRDefault="00F64D00" w:rsidP="00F64D00">
      <w:pPr>
        <w:jc w:val="both"/>
        <w:rPr>
          <w:sz w:val="20"/>
        </w:rPr>
      </w:pPr>
      <w:r w:rsidRPr="00F64D00">
        <w:rPr>
          <w:sz w:val="20"/>
        </w:rPr>
        <w:t>Vysvetlivky:</w:t>
      </w:r>
    </w:p>
    <w:p w14:paraId="1C768E2B" w14:textId="0DBA2FD9" w:rsidR="00F64D00" w:rsidRDefault="00F64D00" w:rsidP="00F64D00">
      <w:pPr>
        <w:jc w:val="both"/>
        <w:rPr>
          <w:sz w:val="20"/>
        </w:rPr>
      </w:pPr>
      <w:r w:rsidRPr="00F64D00">
        <w:rPr>
          <w:sz w:val="20"/>
        </w:rPr>
        <w:t>Evidencia od 1.</w:t>
      </w:r>
      <w:r w:rsidR="000A6FEA">
        <w:rPr>
          <w:sz w:val="20"/>
        </w:rPr>
        <w:t xml:space="preserve"> </w:t>
      </w:r>
      <w:r w:rsidRPr="00F64D00">
        <w:rPr>
          <w:sz w:val="20"/>
        </w:rPr>
        <w:t>9.</w:t>
      </w:r>
      <w:r w:rsidR="000A6FEA">
        <w:rPr>
          <w:sz w:val="20"/>
        </w:rPr>
        <w:t xml:space="preserve"> </w:t>
      </w:r>
      <w:r w:rsidRPr="00F64D00">
        <w:rPr>
          <w:sz w:val="20"/>
        </w:rPr>
        <w:t>2021 do 31.</w:t>
      </w:r>
      <w:r w:rsidR="000A6FEA">
        <w:rPr>
          <w:sz w:val="20"/>
        </w:rPr>
        <w:t xml:space="preserve"> </w:t>
      </w:r>
      <w:r w:rsidRPr="00F64D00">
        <w:rPr>
          <w:sz w:val="20"/>
        </w:rPr>
        <w:t>8.</w:t>
      </w:r>
      <w:r w:rsidR="000A6FEA">
        <w:rPr>
          <w:sz w:val="20"/>
        </w:rPr>
        <w:t xml:space="preserve"> </w:t>
      </w:r>
      <w:r w:rsidRPr="00F64D00">
        <w:rPr>
          <w:sz w:val="20"/>
        </w:rPr>
        <w:t>2022</w:t>
      </w:r>
      <w:r w:rsidR="000A6FEA">
        <w:rPr>
          <w:sz w:val="20"/>
        </w:rPr>
        <w:t xml:space="preserve"> v akademickom roku</w:t>
      </w:r>
      <w:r w:rsidRPr="00F64D00">
        <w:rPr>
          <w:sz w:val="20"/>
        </w:rPr>
        <w:t xml:space="preserve"> 2021/2022</w:t>
      </w:r>
    </w:p>
    <w:p w14:paraId="3ACA5C78" w14:textId="59AF5AF1" w:rsidR="00DF26B6" w:rsidRDefault="00DF26B6" w:rsidP="00F64D00">
      <w:pPr>
        <w:jc w:val="both"/>
        <w:rPr>
          <w:sz w:val="20"/>
        </w:rPr>
      </w:pPr>
    </w:p>
    <w:p w14:paraId="3740B767" w14:textId="77777777" w:rsidR="00DF26B6" w:rsidRPr="00F64D00" w:rsidRDefault="00DF26B6" w:rsidP="00F64D00">
      <w:pPr>
        <w:jc w:val="both"/>
        <w:rPr>
          <w:sz w:val="20"/>
        </w:rPr>
      </w:pPr>
    </w:p>
    <w:p w14:paraId="6BC6CAF0" w14:textId="77777777" w:rsidR="00DF26B6" w:rsidRDefault="00DF26B6" w:rsidP="00DF26B6">
      <w:pPr>
        <w:rPr>
          <w:b/>
        </w:rPr>
      </w:pPr>
    </w:p>
    <w:p w14:paraId="39D97A83" w14:textId="17853173" w:rsidR="000A6FEA" w:rsidRPr="00DF26B6" w:rsidRDefault="000A6FEA" w:rsidP="00DF26B6">
      <w:pPr>
        <w:rPr>
          <w:rFonts w:asciiTheme="majorHAnsi" w:eastAsia="Times New Roman" w:hAnsiTheme="majorHAnsi" w:cstheme="minorHAnsi"/>
          <w:b/>
          <w:lang w:eastAsia="sk-SK"/>
        </w:rPr>
      </w:pPr>
      <w:r>
        <w:rPr>
          <w:b/>
        </w:rPr>
        <w:t xml:space="preserve">Podporné služby </w:t>
      </w:r>
      <w:r w:rsidRPr="000A6FEA">
        <w:rPr>
          <w:b/>
        </w:rPr>
        <w:t xml:space="preserve">využívané študentami so </w:t>
      </w:r>
      <w:r w:rsidRPr="000A6FEA">
        <w:rPr>
          <w:rFonts w:asciiTheme="majorHAnsi" w:hAnsiTheme="majorHAnsi" w:cstheme="majorHAnsi"/>
          <w:b/>
        </w:rPr>
        <w:t xml:space="preserve">špecifickými potrebami </w:t>
      </w:r>
      <w:r w:rsidRPr="000A6FEA">
        <w:rPr>
          <w:b/>
        </w:rPr>
        <w:t>v</w:t>
      </w:r>
      <w:r>
        <w:rPr>
          <w:b/>
        </w:rPr>
        <w:t> akademickom roku 2021/2022</w:t>
      </w:r>
      <w:r>
        <w:t>:</w:t>
      </w:r>
    </w:p>
    <w:p w14:paraId="673DCF13" w14:textId="77777777" w:rsidR="000A6FEA" w:rsidRDefault="000A6FEA" w:rsidP="00E027F7">
      <w:pPr>
        <w:pStyle w:val="Bezriadkovania"/>
        <w:numPr>
          <w:ilvl w:val="0"/>
          <w:numId w:val="20"/>
        </w:numPr>
        <w:ind w:left="426" w:hanging="426"/>
        <w:rPr>
          <w:sz w:val="24"/>
        </w:rPr>
      </w:pPr>
      <w:r>
        <w:rPr>
          <w:sz w:val="24"/>
        </w:rPr>
        <w:t>individuálny harmonogram plnenia študijných povinností,</w:t>
      </w:r>
    </w:p>
    <w:p w14:paraId="493E03CA" w14:textId="77777777" w:rsidR="000A6FEA" w:rsidRDefault="000A6FEA" w:rsidP="00E027F7">
      <w:pPr>
        <w:pStyle w:val="Bezriadkovania"/>
        <w:numPr>
          <w:ilvl w:val="0"/>
          <w:numId w:val="20"/>
        </w:numPr>
        <w:ind w:left="426" w:hanging="426"/>
        <w:rPr>
          <w:sz w:val="24"/>
        </w:rPr>
      </w:pPr>
      <w:r>
        <w:rPr>
          <w:sz w:val="24"/>
        </w:rPr>
        <w:t>individuálne konzultácie/vyučovanie vybraných predmetov,</w:t>
      </w:r>
    </w:p>
    <w:p w14:paraId="6B2427D5" w14:textId="77777777" w:rsidR="000A6FEA" w:rsidRDefault="000A6FEA" w:rsidP="00E027F7">
      <w:pPr>
        <w:pStyle w:val="Bezriadkovania"/>
        <w:numPr>
          <w:ilvl w:val="0"/>
          <w:numId w:val="20"/>
        </w:numPr>
        <w:ind w:left="426" w:hanging="426"/>
        <w:rPr>
          <w:sz w:val="24"/>
        </w:rPr>
      </w:pPr>
      <w:r>
        <w:rPr>
          <w:sz w:val="24"/>
        </w:rPr>
        <w:t xml:space="preserve">individuálny prístup a podpora vyučujúcich,   </w:t>
      </w:r>
    </w:p>
    <w:p w14:paraId="65191335" w14:textId="77777777" w:rsidR="000A6FEA" w:rsidRDefault="000A6FEA" w:rsidP="00E027F7">
      <w:pPr>
        <w:pStyle w:val="Bezriadkovania"/>
        <w:numPr>
          <w:ilvl w:val="0"/>
          <w:numId w:val="20"/>
        </w:numPr>
        <w:ind w:left="426" w:hanging="426"/>
        <w:rPr>
          <w:sz w:val="24"/>
        </w:rPr>
      </w:pPr>
      <w:r>
        <w:rPr>
          <w:sz w:val="24"/>
        </w:rPr>
        <w:t>akademická asistencia (spracovanie poznámok na FAD, skenovanie, kopírovanie),</w:t>
      </w:r>
    </w:p>
    <w:p w14:paraId="0E02C9C6" w14:textId="77777777" w:rsidR="000A6FEA" w:rsidRDefault="000A6FEA" w:rsidP="00E027F7">
      <w:pPr>
        <w:pStyle w:val="Bezriadkovania"/>
        <w:numPr>
          <w:ilvl w:val="0"/>
          <w:numId w:val="20"/>
        </w:numPr>
        <w:ind w:left="426" w:hanging="426"/>
        <w:rPr>
          <w:sz w:val="24"/>
        </w:rPr>
      </w:pPr>
      <w:r>
        <w:rPr>
          <w:sz w:val="24"/>
        </w:rPr>
        <w:t>tlmočenie do posunkového jazyka,</w:t>
      </w:r>
    </w:p>
    <w:p w14:paraId="1C036B87" w14:textId="77777777" w:rsidR="000A6FEA" w:rsidRDefault="000A6FEA" w:rsidP="00E027F7">
      <w:pPr>
        <w:pStyle w:val="Bezriadkovania"/>
        <w:numPr>
          <w:ilvl w:val="0"/>
          <w:numId w:val="20"/>
        </w:numPr>
        <w:ind w:left="426" w:hanging="426"/>
        <w:rPr>
          <w:sz w:val="24"/>
        </w:rPr>
      </w:pPr>
      <w:r>
        <w:rPr>
          <w:sz w:val="24"/>
        </w:rPr>
        <w:t>nácviky študijných stratégií,</w:t>
      </w:r>
    </w:p>
    <w:p w14:paraId="4A40CF2B" w14:textId="77777777" w:rsidR="000A6FEA" w:rsidRDefault="000A6FEA" w:rsidP="00E027F7">
      <w:pPr>
        <w:pStyle w:val="Bezriadkovania"/>
        <w:numPr>
          <w:ilvl w:val="0"/>
          <w:numId w:val="20"/>
        </w:numPr>
        <w:ind w:left="426" w:hanging="426"/>
        <w:rPr>
          <w:sz w:val="24"/>
        </w:rPr>
      </w:pPr>
      <w:r>
        <w:rPr>
          <w:sz w:val="24"/>
        </w:rPr>
        <w:t>vyhotovovanie zvukových záznamov z prednášok,</w:t>
      </w:r>
    </w:p>
    <w:p w14:paraId="33587625" w14:textId="26D3C40C" w:rsidR="000A6FEA" w:rsidRDefault="000A6FEA" w:rsidP="00E027F7">
      <w:pPr>
        <w:pStyle w:val="Bezriadkovania"/>
        <w:numPr>
          <w:ilvl w:val="0"/>
          <w:numId w:val="20"/>
        </w:numPr>
        <w:ind w:left="426" w:hanging="426"/>
        <w:rPr>
          <w:sz w:val="24"/>
        </w:rPr>
      </w:pPr>
      <w:r>
        <w:rPr>
          <w:sz w:val="24"/>
        </w:rPr>
        <w:t xml:space="preserve">služby </w:t>
      </w:r>
      <w:r w:rsidR="00C939B7">
        <w:rPr>
          <w:sz w:val="24"/>
        </w:rPr>
        <w:t xml:space="preserve">akademických </w:t>
      </w:r>
      <w:r>
        <w:rPr>
          <w:sz w:val="24"/>
        </w:rPr>
        <w:t>knižníc / predĺžený čas na vypožičanie,</w:t>
      </w:r>
    </w:p>
    <w:p w14:paraId="63B934E4" w14:textId="77777777" w:rsidR="000A6FEA" w:rsidRDefault="000A6FEA" w:rsidP="00E027F7">
      <w:pPr>
        <w:pStyle w:val="Bezriadkovania"/>
        <w:numPr>
          <w:ilvl w:val="0"/>
          <w:numId w:val="20"/>
        </w:numPr>
        <w:ind w:left="426" w:hanging="426"/>
        <w:rPr>
          <w:sz w:val="24"/>
        </w:rPr>
      </w:pPr>
      <w:r>
        <w:rPr>
          <w:sz w:val="24"/>
        </w:rPr>
        <w:t>ubytovanie v bezbariérových priestoroch,</w:t>
      </w:r>
    </w:p>
    <w:p w14:paraId="532F0BA8" w14:textId="77777777" w:rsidR="000A6FEA" w:rsidRDefault="000A6FEA" w:rsidP="00E027F7">
      <w:pPr>
        <w:pStyle w:val="Bezriadkovania"/>
        <w:numPr>
          <w:ilvl w:val="0"/>
          <w:numId w:val="20"/>
        </w:numPr>
        <w:ind w:left="426" w:hanging="426"/>
        <w:rPr>
          <w:sz w:val="24"/>
        </w:rPr>
      </w:pPr>
      <w:r>
        <w:rPr>
          <w:sz w:val="24"/>
        </w:rPr>
        <w:t>poradenstvo (špeciálnopedagogické, psychologické, sociálne),</w:t>
      </w:r>
    </w:p>
    <w:p w14:paraId="4EDF1D66" w14:textId="2514BA6E" w:rsidR="000A6FEA" w:rsidRPr="00C939B7" w:rsidRDefault="000A6FEA" w:rsidP="00E027F7">
      <w:pPr>
        <w:pStyle w:val="Bezriadkovania"/>
        <w:numPr>
          <w:ilvl w:val="0"/>
          <w:numId w:val="20"/>
        </w:numPr>
        <w:spacing w:after="120"/>
        <w:ind w:left="425" w:hanging="425"/>
      </w:pPr>
      <w:r>
        <w:rPr>
          <w:sz w:val="24"/>
        </w:rPr>
        <w:t>oddychové fakultné zóny (FAD, MTF, FCHTP).</w:t>
      </w:r>
    </w:p>
    <w:p w14:paraId="17BB3194" w14:textId="6B5B63E1" w:rsidR="005412C0" w:rsidRDefault="00C672A7" w:rsidP="000C7C90">
      <w:pPr>
        <w:spacing w:after="120" w:line="223" w:lineRule="auto"/>
        <w:jc w:val="both"/>
        <w:rPr>
          <w:rFonts w:asciiTheme="majorHAnsi" w:hAnsiTheme="majorHAnsi" w:cstheme="minorHAnsi"/>
          <w:sz w:val="20"/>
          <w:lang w:eastAsia="sk-SK"/>
        </w:rPr>
      </w:pPr>
      <w:r w:rsidRPr="0053555E">
        <w:rPr>
          <w:rFonts w:asciiTheme="majorHAnsi" w:hAnsiTheme="majorHAnsi" w:cstheme="minorHAnsi"/>
          <w:lang w:eastAsia="sk-SK"/>
        </w:rPr>
        <w:t xml:space="preserve">Prehľad realizovaných </w:t>
      </w:r>
      <w:r w:rsidR="009A019D" w:rsidRPr="0053555E">
        <w:rPr>
          <w:rFonts w:asciiTheme="majorHAnsi" w:hAnsiTheme="majorHAnsi" w:cstheme="minorHAnsi"/>
          <w:lang w:eastAsia="sk-SK"/>
        </w:rPr>
        <w:t xml:space="preserve">individuálnych </w:t>
      </w:r>
      <w:r w:rsidR="000C7C90" w:rsidRPr="000C7C90">
        <w:rPr>
          <w:rFonts w:asciiTheme="majorHAnsi" w:hAnsiTheme="majorHAnsi" w:cstheme="minorHAnsi"/>
          <w:lang w:eastAsia="sk-SK"/>
        </w:rPr>
        <w:t xml:space="preserve">poradenských konzultácii a terapeutických hodín poskytnutých študentom </w:t>
      </w:r>
      <w:r w:rsidR="000C7C90">
        <w:rPr>
          <w:rFonts w:asciiTheme="majorHAnsi" w:hAnsiTheme="majorHAnsi" w:cstheme="minorHAnsi"/>
          <w:lang w:eastAsia="sk-SK"/>
        </w:rPr>
        <w:t xml:space="preserve">so </w:t>
      </w:r>
      <w:r w:rsidR="000C7C90">
        <w:rPr>
          <w:rFonts w:asciiTheme="majorHAnsi" w:hAnsiTheme="majorHAnsi" w:cstheme="majorHAnsi"/>
        </w:rPr>
        <w:t xml:space="preserve">špecifickými potrebami </w:t>
      </w:r>
      <w:r w:rsidR="009A019D" w:rsidRPr="0053555E">
        <w:rPr>
          <w:rFonts w:asciiTheme="majorHAnsi" w:hAnsiTheme="majorHAnsi" w:cstheme="minorHAnsi"/>
          <w:lang w:eastAsia="sk-SK"/>
        </w:rPr>
        <w:t xml:space="preserve">uvádza </w:t>
      </w:r>
      <w:r w:rsidR="009A019D" w:rsidRPr="00DF26B6">
        <w:rPr>
          <w:rFonts w:asciiTheme="majorHAnsi" w:hAnsiTheme="majorHAnsi" w:cstheme="minorHAnsi"/>
          <w:lang w:eastAsia="sk-SK"/>
        </w:rPr>
        <w:fldChar w:fldCharType="begin"/>
      </w:r>
      <w:r w:rsidR="009A019D" w:rsidRPr="00DF26B6">
        <w:rPr>
          <w:rFonts w:asciiTheme="majorHAnsi" w:hAnsiTheme="majorHAnsi" w:cstheme="minorHAnsi"/>
          <w:lang w:eastAsia="sk-SK"/>
        </w:rPr>
        <w:instrText xml:space="preserve"> REF _Ref95674047 \h </w:instrText>
      </w:r>
      <w:r w:rsidR="003557C1" w:rsidRPr="00DF26B6">
        <w:rPr>
          <w:rFonts w:asciiTheme="majorHAnsi" w:hAnsiTheme="majorHAnsi" w:cstheme="minorHAnsi"/>
          <w:lang w:eastAsia="sk-SK"/>
        </w:rPr>
        <w:instrText xml:space="preserve"> \* MERGEFORMAT </w:instrText>
      </w:r>
      <w:r w:rsidR="009A019D" w:rsidRPr="00DF26B6">
        <w:rPr>
          <w:rFonts w:asciiTheme="majorHAnsi" w:hAnsiTheme="majorHAnsi" w:cstheme="minorHAnsi"/>
          <w:lang w:eastAsia="sk-SK"/>
        </w:rPr>
      </w:r>
      <w:r w:rsidR="009A019D" w:rsidRPr="00DF26B6">
        <w:rPr>
          <w:rFonts w:asciiTheme="majorHAnsi" w:hAnsiTheme="majorHAnsi" w:cstheme="minorHAnsi"/>
          <w:lang w:eastAsia="sk-SK"/>
        </w:rPr>
        <w:fldChar w:fldCharType="separate"/>
      </w:r>
      <w:r w:rsidR="00EE1B59" w:rsidRPr="00DF26B6">
        <w:rPr>
          <w:rFonts w:asciiTheme="majorHAnsi" w:hAnsiTheme="majorHAnsi"/>
        </w:rPr>
        <w:t xml:space="preserve">Tab. č. </w:t>
      </w:r>
      <w:r w:rsidR="00DF26B6">
        <w:rPr>
          <w:rFonts w:asciiTheme="majorHAnsi" w:hAnsiTheme="majorHAnsi"/>
          <w:noProof/>
        </w:rPr>
        <w:t>6</w:t>
      </w:r>
      <w:r w:rsidR="00EE1B59" w:rsidRPr="00DF26B6">
        <w:rPr>
          <w:rFonts w:asciiTheme="majorHAnsi" w:hAnsiTheme="majorHAnsi"/>
          <w:noProof/>
        </w:rPr>
        <w:t>0</w:t>
      </w:r>
      <w:r w:rsidR="009A019D" w:rsidRPr="00DF26B6">
        <w:rPr>
          <w:rFonts w:asciiTheme="majorHAnsi" w:hAnsiTheme="majorHAnsi" w:cstheme="minorHAnsi"/>
          <w:lang w:eastAsia="sk-SK"/>
        </w:rPr>
        <w:fldChar w:fldCharType="end"/>
      </w:r>
      <w:r w:rsidR="003557C1" w:rsidRPr="00DF26B6">
        <w:rPr>
          <w:rFonts w:asciiTheme="majorHAnsi" w:hAnsiTheme="majorHAnsi" w:cstheme="minorHAnsi"/>
          <w:lang w:eastAsia="sk-SK"/>
        </w:rPr>
        <w:t>.</w:t>
      </w:r>
    </w:p>
    <w:p w14:paraId="287A4A99" w14:textId="77777777" w:rsidR="00DE257F" w:rsidRPr="00DE257F" w:rsidRDefault="00DE257F" w:rsidP="00DE257F">
      <w:pPr>
        <w:spacing w:line="223" w:lineRule="auto"/>
        <w:jc w:val="both"/>
        <w:rPr>
          <w:rFonts w:asciiTheme="majorHAnsi" w:hAnsiTheme="majorHAnsi" w:cstheme="minorHAnsi"/>
          <w:lang w:eastAsia="sk-SK"/>
        </w:rPr>
      </w:pPr>
    </w:p>
    <w:p w14:paraId="772119E2" w14:textId="77777777" w:rsidR="00DF26B6" w:rsidRDefault="00DF26B6" w:rsidP="000E3322">
      <w:pPr>
        <w:pStyle w:val="Popis"/>
      </w:pPr>
      <w:bookmarkStart w:id="251" w:name="_Ref95674047"/>
      <w:bookmarkStart w:id="252" w:name="_Toc127593313"/>
    </w:p>
    <w:p w14:paraId="2EBAC998" w14:textId="77777777" w:rsidR="00DF26B6" w:rsidRDefault="00DF26B6" w:rsidP="000E3322">
      <w:pPr>
        <w:pStyle w:val="Popis"/>
      </w:pPr>
    </w:p>
    <w:p w14:paraId="0369C912" w14:textId="631DD572" w:rsidR="00524478" w:rsidRPr="0053555E" w:rsidRDefault="00524478" w:rsidP="000E3322">
      <w:pPr>
        <w:pStyle w:val="Popis"/>
        <w:rPr>
          <w:lang w:eastAsia="sk-SK"/>
        </w:rPr>
      </w:pPr>
      <w:r w:rsidRPr="0053555E">
        <w:t xml:space="preserve">Tab. č. </w:t>
      </w:r>
      <w:r w:rsidR="007B5953">
        <w:fldChar w:fldCharType="begin"/>
      </w:r>
      <w:r w:rsidR="007B5953">
        <w:instrText xml:space="preserve"> SEQ Tab._č. \* ARABIC </w:instrText>
      </w:r>
      <w:r w:rsidR="007B5953">
        <w:fldChar w:fldCharType="separate"/>
      </w:r>
      <w:r w:rsidR="00DF26B6">
        <w:rPr>
          <w:noProof/>
        </w:rPr>
        <w:t>6</w:t>
      </w:r>
      <w:r w:rsidR="00EE1B59">
        <w:rPr>
          <w:noProof/>
        </w:rPr>
        <w:t>0</w:t>
      </w:r>
      <w:r w:rsidR="007B5953">
        <w:rPr>
          <w:noProof/>
        </w:rPr>
        <w:fldChar w:fldCharType="end"/>
      </w:r>
      <w:bookmarkEnd w:id="251"/>
      <w:r w:rsidR="009A019D" w:rsidRPr="0053555E">
        <w:t>:</w:t>
      </w:r>
      <w:r w:rsidR="009A019D" w:rsidRPr="0053555E">
        <w:rPr>
          <w:lang w:eastAsia="sk-SK"/>
        </w:rPr>
        <w:t xml:space="preserve"> </w:t>
      </w:r>
      <w:r w:rsidR="00F66E75" w:rsidRPr="0053555E">
        <w:rPr>
          <w:lang w:eastAsia="sk-SK"/>
        </w:rPr>
        <w:t>Počet individuálnych poradenských konzultácii a terapeutických hodín poskytnutých študentom so ŠP v akademickom roku 2021/2022</w:t>
      </w:r>
      <w:bookmarkEnd w:id="252"/>
    </w:p>
    <w:tbl>
      <w:tblPr>
        <w:tblStyle w:val="Mriekatabuky"/>
        <w:tblW w:w="9072"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2"/>
        <w:gridCol w:w="2127"/>
        <w:gridCol w:w="3543"/>
      </w:tblGrid>
      <w:tr w:rsidR="002D40C6" w:rsidRPr="0053555E" w14:paraId="5D5DB30A" w14:textId="77777777" w:rsidTr="00F969C0">
        <w:trPr>
          <w:divId w:val="1487864009"/>
        </w:trPr>
        <w:tc>
          <w:tcPr>
            <w:tcW w:w="3402" w:type="dxa"/>
            <w:tcBorders>
              <w:top w:val="single" w:sz="4" w:space="0" w:color="auto"/>
              <w:left w:val="single" w:sz="4" w:space="0" w:color="auto"/>
              <w:bottom w:val="single" w:sz="4" w:space="0" w:color="auto"/>
              <w:right w:val="single" w:sz="4" w:space="0" w:color="auto"/>
            </w:tcBorders>
            <w:vAlign w:val="center"/>
          </w:tcPr>
          <w:p w14:paraId="129D0715" w14:textId="77777777" w:rsidR="002D40C6" w:rsidRPr="0053555E" w:rsidRDefault="002D40C6" w:rsidP="00F969C0">
            <w:pPr>
              <w:spacing w:line="218" w:lineRule="auto"/>
              <w:rPr>
                <w:rFonts w:asciiTheme="majorHAnsi" w:hAnsiTheme="majorHAnsi" w:cstheme="minorHAnsi"/>
                <w:b/>
                <w:szCs w:val="24"/>
                <w:lang w:eastAsia="sk-SK"/>
              </w:rPr>
            </w:pPr>
            <w:r w:rsidRPr="0053555E">
              <w:rPr>
                <w:rFonts w:asciiTheme="majorHAnsi" w:hAnsiTheme="majorHAnsi" w:cstheme="minorHAnsi"/>
                <w:b/>
                <w:szCs w:val="24"/>
                <w:lang w:eastAsia="sk-SK"/>
              </w:rPr>
              <w:t>Odborný pracovník</w:t>
            </w:r>
          </w:p>
        </w:tc>
        <w:tc>
          <w:tcPr>
            <w:tcW w:w="2127" w:type="dxa"/>
            <w:tcBorders>
              <w:top w:val="single" w:sz="4" w:space="0" w:color="auto"/>
              <w:left w:val="single" w:sz="4" w:space="0" w:color="auto"/>
              <w:bottom w:val="single" w:sz="4" w:space="0" w:color="auto"/>
              <w:right w:val="single" w:sz="4" w:space="0" w:color="auto"/>
            </w:tcBorders>
            <w:hideMark/>
          </w:tcPr>
          <w:p w14:paraId="2D255C50" w14:textId="77777777" w:rsidR="002D40C6" w:rsidRPr="0053555E" w:rsidRDefault="002D40C6">
            <w:pPr>
              <w:spacing w:line="218" w:lineRule="auto"/>
              <w:jc w:val="center"/>
              <w:rPr>
                <w:rFonts w:asciiTheme="majorHAnsi" w:hAnsiTheme="majorHAnsi" w:cstheme="minorHAnsi"/>
                <w:b/>
                <w:szCs w:val="24"/>
                <w:lang w:eastAsia="sk-SK"/>
              </w:rPr>
            </w:pPr>
            <w:r w:rsidRPr="0053555E">
              <w:rPr>
                <w:rFonts w:asciiTheme="majorHAnsi" w:hAnsiTheme="majorHAnsi" w:cstheme="minorHAnsi"/>
                <w:b/>
                <w:szCs w:val="24"/>
                <w:lang w:eastAsia="sk-SK"/>
              </w:rPr>
              <w:t>Počet</w:t>
            </w:r>
          </w:p>
          <w:p w14:paraId="0D533EEF" w14:textId="77777777" w:rsidR="002D40C6" w:rsidRPr="0053555E" w:rsidRDefault="002D40C6">
            <w:pPr>
              <w:spacing w:line="218" w:lineRule="auto"/>
              <w:jc w:val="center"/>
              <w:rPr>
                <w:rFonts w:asciiTheme="majorHAnsi" w:hAnsiTheme="majorHAnsi" w:cstheme="minorHAnsi"/>
                <w:b/>
                <w:szCs w:val="24"/>
                <w:lang w:eastAsia="sk-SK"/>
              </w:rPr>
            </w:pPr>
            <w:r w:rsidRPr="0053555E">
              <w:rPr>
                <w:rFonts w:asciiTheme="majorHAnsi" w:hAnsiTheme="majorHAnsi" w:cstheme="minorHAnsi"/>
                <w:b/>
                <w:szCs w:val="24"/>
                <w:lang w:eastAsia="sk-SK"/>
              </w:rPr>
              <w:t>študentov so ŠP</w:t>
            </w:r>
          </w:p>
        </w:tc>
        <w:tc>
          <w:tcPr>
            <w:tcW w:w="3543" w:type="dxa"/>
            <w:tcBorders>
              <w:top w:val="single" w:sz="4" w:space="0" w:color="auto"/>
              <w:left w:val="single" w:sz="4" w:space="0" w:color="auto"/>
              <w:bottom w:val="single" w:sz="4" w:space="0" w:color="auto"/>
              <w:right w:val="single" w:sz="4" w:space="0" w:color="auto"/>
            </w:tcBorders>
            <w:hideMark/>
          </w:tcPr>
          <w:p w14:paraId="27C60035" w14:textId="77777777" w:rsidR="000C7C90" w:rsidRDefault="002D40C6">
            <w:pPr>
              <w:spacing w:line="218" w:lineRule="auto"/>
              <w:jc w:val="center"/>
              <w:rPr>
                <w:rFonts w:asciiTheme="majorHAnsi" w:hAnsiTheme="majorHAnsi" w:cstheme="minorHAnsi"/>
                <w:b/>
                <w:szCs w:val="24"/>
                <w:lang w:eastAsia="sk-SK"/>
              </w:rPr>
            </w:pPr>
            <w:r w:rsidRPr="0053555E">
              <w:rPr>
                <w:rFonts w:asciiTheme="majorHAnsi" w:hAnsiTheme="majorHAnsi" w:cstheme="minorHAnsi"/>
                <w:b/>
                <w:szCs w:val="24"/>
                <w:lang w:eastAsia="sk-SK"/>
              </w:rPr>
              <w:t xml:space="preserve">Počet poradenských konzultácií </w:t>
            </w:r>
          </w:p>
          <w:p w14:paraId="4DA21072" w14:textId="7202B596" w:rsidR="002D40C6" w:rsidRPr="0053555E" w:rsidRDefault="002D40C6">
            <w:pPr>
              <w:spacing w:line="218" w:lineRule="auto"/>
              <w:jc w:val="center"/>
              <w:rPr>
                <w:rFonts w:asciiTheme="majorHAnsi" w:hAnsiTheme="majorHAnsi" w:cstheme="minorHAnsi"/>
                <w:b/>
                <w:szCs w:val="24"/>
                <w:lang w:eastAsia="sk-SK"/>
              </w:rPr>
            </w:pPr>
            <w:r w:rsidRPr="0053555E">
              <w:rPr>
                <w:rFonts w:asciiTheme="majorHAnsi" w:hAnsiTheme="majorHAnsi" w:cstheme="minorHAnsi"/>
                <w:b/>
                <w:szCs w:val="24"/>
                <w:lang w:eastAsia="sk-SK"/>
              </w:rPr>
              <w:t>a terapeutických hodín</w:t>
            </w:r>
          </w:p>
        </w:tc>
      </w:tr>
      <w:tr w:rsidR="002D40C6" w:rsidRPr="0053555E" w14:paraId="7A0D385B" w14:textId="77777777" w:rsidTr="002D40C6">
        <w:trPr>
          <w:divId w:val="1487864009"/>
        </w:trPr>
        <w:tc>
          <w:tcPr>
            <w:tcW w:w="3402" w:type="dxa"/>
            <w:tcBorders>
              <w:top w:val="single" w:sz="4" w:space="0" w:color="auto"/>
              <w:left w:val="single" w:sz="4" w:space="0" w:color="auto"/>
              <w:bottom w:val="single" w:sz="4" w:space="0" w:color="auto"/>
              <w:right w:val="single" w:sz="4" w:space="0" w:color="auto"/>
            </w:tcBorders>
            <w:hideMark/>
          </w:tcPr>
          <w:p w14:paraId="6EAA675D" w14:textId="77777777" w:rsidR="002D40C6" w:rsidRPr="0053555E" w:rsidRDefault="002D40C6">
            <w:pPr>
              <w:spacing w:line="218" w:lineRule="auto"/>
              <w:rPr>
                <w:rFonts w:asciiTheme="majorHAnsi" w:hAnsiTheme="majorHAnsi" w:cstheme="minorHAnsi"/>
                <w:sz w:val="24"/>
                <w:szCs w:val="24"/>
                <w:lang w:eastAsia="sk-SK"/>
              </w:rPr>
            </w:pPr>
            <w:r w:rsidRPr="0053555E">
              <w:rPr>
                <w:rFonts w:asciiTheme="majorHAnsi" w:hAnsiTheme="majorHAnsi" w:cstheme="minorHAnsi"/>
                <w:sz w:val="24"/>
                <w:szCs w:val="24"/>
                <w:lang w:eastAsia="sk-SK"/>
              </w:rPr>
              <w:t>Univerzitný koordinátor</w:t>
            </w:r>
          </w:p>
        </w:tc>
        <w:tc>
          <w:tcPr>
            <w:tcW w:w="2127" w:type="dxa"/>
            <w:tcBorders>
              <w:top w:val="single" w:sz="4" w:space="0" w:color="auto"/>
              <w:left w:val="single" w:sz="4" w:space="0" w:color="auto"/>
              <w:bottom w:val="single" w:sz="4" w:space="0" w:color="auto"/>
              <w:right w:val="single" w:sz="4" w:space="0" w:color="auto"/>
            </w:tcBorders>
            <w:hideMark/>
          </w:tcPr>
          <w:p w14:paraId="1A4C47BC" w14:textId="77777777" w:rsidR="002D40C6" w:rsidRPr="0053555E" w:rsidRDefault="002D40C6">
            <w:pPr>
              <w:spacing w:line="218" w:lineRule="auto"/>
              <w:jc w:val="center"/>
              <w:rPr>
                <w:rFonts w:asciiTheme="majorHAnsi" w:hAnsiTheme="majorHAnsi" w:cstheme="minorHAnsi"/>
                <w:sz w:val="24"/>
                <w:szCs w:val="24"/>
                <w:lang w:eastAsia="sk-SK"/>
              </w:rPr>
            </w:pPr>
            <w:r w:rsidRPr="0053555E">
              <w:rPr>
                <w:rFonts w:asciiTheme="majorHAnsi" w:hAnsiTheme="majorHAnsi" w:cstheme="minorHAnsi"/>
                <w:sz w:val="24"/>
                <w:szCs w:val="24"/>
                <w:lang w:eastAsia="sk-SK"/>
              </w:rPr>
              <w:t>48</w:t>
            </w:r>
          </w:p>
        </w:tc>
        <w:tc>
          <w:tcPr>
            <w:tcW w:w="3543" w:type="dxa"/>
            <w:tcBorders>
              <w:top w:val="single" w:sz="4" w:space="0" w:color="auto"/>
              <w:left w:val="single" w:sz="4" w:space="0" w:color="auto"/>
              <w:bottom w:val="single" w:sz="4" w:space="0" w:color="auto"/>
              <w:right w:val="single" w:sz="4" w:space="0" w:color="auto"/>
            </w:tcBorders>
            <w:hideMark/>
          </w:tcPr>
          <w:p w14:paraId="7B68AEF7" w14:textId="77777777" w:rsidR="002D40C6" w:rsidRPr="0053555E" w:rsidRDefault="002D40C6">
            <w:pPr>
              <w:spacing w:line="218" w:lineRule="auto"/>
              <w:jc w:val="center"/>
              <w:rPr>
                <w:rFonts w:asciiTheme="majorHAnsi" w:hAnsiTheme="majorHAnsi" w:cstheme="minorHAnsi"/>
                <w:sz w:val="24"/>
                <w:szCs w:val="24"/>
                <w:lang w:eastAsia="sk-SK"/>
              </w:rPr>
            </w:pPr>
            <w:r w:rsidRPr="0053555E">
              <w:rPr>
                <w:rFonts w:asciiTheme="majorHAnsi" w:hAnsiTheme="majorHAnsi" w:cstheme="minorHAnsi"/>
                <w:sz w:val="24"/>
                <w:szCs w:val="24"/>
                <w:lang w:eastAsia="sk-SK"/>
              </w:rPr>
              <w:t>86</w:t>
            </w:r>
          </w:p>
        </w:tc>
      </w:tr>
      <w:tr w:rsidR="002D40C6" w:rsidRPr="0053555E" w14:paraId="1E7D235E" w14:textId="77777777" w:rsidTr="002D40C6">
        <w:trPr>
          <w:divId w:val="1487864009"/>
        </w:trPr>
        <w:tc>
          <w:tcPr>
            <w:tcW w:w="3402" w:type="dxa"/>
            <w:tcBorders>
              <w:top w:val="single" w:sz="4" w:space="0" w:color="auto"/>
              <w:left w:val="single" w:sz="4" w:space="0" w:color="auto"/>
              <w:bottom w:val="single" w:sz="4" w:space="0" w:color="auto"/>
              <w:right w:val="single" w:sz="4" w:space="0" w:color="auto"/>
            </w:tcBorders>
            <w:hideMark/>
          </w:tcPr>
          <w:p w14:paraId="6837FA5C" w14:textId="77777777" w:rsidR="002D40C6" w:rsidRPr="0053555E" w:rsidRDefault="002D40C6">
            <w:pPr>
              <w:spacing w:line="218" w:lineRule="auto"/>
              <w:rPr>
                <w:rFonts w:asciiTheme="majorHAnsi" w:hAnsiTheme="majorHAnsi" w:cstheme="minorHAnsi"/>
                <w:sz w:val="24"/>
                <w:szCs w:val="24"/>
                <w:lang w:eastAsia="sk-SK"/>
              </w:rPr>
            </w:pPr>
            <w:r w:rsidRPr="0053555E">
              <w:rPr>
                <w:rFonts w:asciiTheme="majorHAnsi" w:hAnsiTheme="majorHAnsi" w:cstheme="minorHAnsi"/>
                <w:sz w:val="24"/>
                <w:szCs w:val="24"/>
                <w:lang w:eastAsia="sk-SK"/>
              </w:rPr>
              <w:t>Špeciálny pedagóg</w:t>
            </w:r>
          </w:p>
        </w:tc>
        <w:tc>
          <w:tcPr>
            <w:tcW w:w="2127" w:type="dxa"/>
            <w:tcBorders>
              <w:top w:val="single" w:sz="4" w:space="0" w:color="auto"/>
              <w:left w:val="single" w:sz="4" w:space="0" w:color="auto"/>
              <w:bottom w:val="single" w:sz="4" w:space="0" w:color="auto"/>
              <w:right w:val="single" w:sz="4" w:space="0" w:color="auto"/>
            </w:tcBorders>
            <w:hideMark/>
          </w:tcPr>
          <w:p w14:paraId="468C8CA3" w14:textId="77777777" w:rsidR="002D40C6" w:rsidRPr="0053555E" w:rsidRDefault="002D40C6">
            <w:pPr>
              <w:spacing w:line="218" w:lineRule="auto"/>
              <w:jc w:val="center"/>
              <w:rPr>
                <w:rFonts w:asciiTheme="majorHAnsi" w:hAnsiTheme="majorHAnsi" w:cstheme="minorHAnsi"/>
                <w:sz w:val="24"/>
                <w:szCs w:val="24"/>
                <w:lang w:eastAsia="sk-SK"/>
              </w:rPr>
            </w:pPr>
            <w:r w:rsidRPr="0053555E">
              <w:rPr>
                <w:rFonts w:asciiTheme="majorHAnsi" w:hAnsiTheme="majorHAnsi" w:cstheme="minorHAnsi"/>
                <w:sz w:val="24"/>
                <w:szCs w:val="24"/>
                <w:lang w:eastAsia="sk-SK"/>
              </w:rPr>
              <w:t>12</w:t>
            </w:r>
          </w:p>
        </w:tc>
        <w:tc>
          <w:tcPr>
            <w:tcW w:w="3543" w:type="dxa"/>
            <w:tcBorders>
              <w:top w:val="single" w:sz="4" w:space="0" w:color="auto"/>
              <w:left w:val="single" w:sz="4" w:space="0" w:color="auto"/>
              <w:bottom w:val="single" w:sz="4" w:space="0" w:color="auto"/>
              <w:right w:val="single" w:sz="4" w:space="0" w:color="auto"/>
            </w:tcBorders>
            <w:hideMark/>
          </w:tcPr>
          <w:p w14:paraId="18FC34AA" w14:textId="77777777" w:rsidR="002D40C6" w:rsidRPr="0053555E" w:rsidRDefault="002D40C6">
            <w:pPr>
              <w:spacing w:line="218" w:lineRule="auto"/>
              <w:jc w:val="center"/>
              <w:rPr>
                <w:rFonts w:asciiTheme="majorHAnsi" w:hAnsiTheme="majorHAnsi" w:cstheme="minorHAnsi"/>
                <w:sz w:val="24"/>
                <w:szCs w:val="24"/>
                <w:lang w:eastAsia="sk-SK"/>
              </w:rPr>
            </w:pPr>
            <w:r w:rsidRPr="0053555E">
              <w:rPr>
                <w:rFonts w:asciiTheme="majorHAnsi" w:hAnsiTheme="majorHAnsi" w:cstheme="minorHAnsi"/>
                <w:sz w:val="24"/>
                <w:szCs w:val="24"/>
                <w:lang w:eastAsia="sk-SK"/>
              </w:rPr>
              <w:t>62</w:t>
            </w:r>
          </w:p>
        </w:tc>
      </w:tr>
      <w:tr w:rsidR="002D40C6" w:rsidRPr="0053555E" w14:paraId="7FEA1BFA" w14:textId="77777777" w:rsidTr="002D40C6">
        <w:trPr>
          <w:divId w:val="1487864009"/>
        </w:trPr>
        <w:tc>
          <w:tcPr>
            <w:tcW w:w="3402" w:type="dxa"/>
            <w:tcBorders>
              <w:top w:val="single" w:sz="4" w:space="0" w:color="auto"/>
              <w:left w:val="single" w:sz="4" w:space="0" w:color="auto"/>
              <w:bottom w:val="single" w:sz="4" w:space="0" w:color="auto"/>
              <w:right w:val="single" w:sz="4" w:space="0" w:color="auto"/>
            </w:tcBorders>
            <w:hideMark/>
          </w:tcPr>
          <w:p w14:paraId="41C29D2C" w14:textId="77777777" w:rsidR="002D40C6" w:rsidRPr="0053555E" w:rsidRDefault="002D40C6">
            <w:pPr>
              <w:spacing w:line="218" w:lineRule="auto"/>
              <w:rPr>
                <w:rFonts w:asciiTheme="majorHAnsi" w:hAnsiTheme="majorHAnsi" w:cstheme="minorHAnsi"/>
                <w:sz w:val="24"/>
                <w:szCs w:val="24"/>
                <w:lang w:eastAsia="sk-SK"/>
              </w:rPr>
            </w:pPr>
            <w:r w:rsidRPr="0053555E">
              <w:rPr>
                <w:rFonts w:asciiTheme="majorHAnsi" w:hAnsiTheme="majorHAnsi" w:cstheme="minorHAnsi"/>
                <w:sz w:val="24"/>
                <w:szCs w:val="24"/>
                <w:lang w:eastAsia="sk-SK"/>
              </w:rPr>
              <w:t>Klinický psychológ</w:t>
            </w:r>
          </w:p>
        </w:tc>
        <w:tc>
          <w:tcPr>
            <w:tcW w:w="2127" w:type="dxa"/>
            <w:tcBorders>
              <w:top w:val="single" w:sz="4" w:space="0" w:color="auto"/>
              <w:left w:val="single" w:sz="4" w:space="0" w:color="auto"/>
              <w:bottom w:val="single" w:sz="4" w:space="0" w:color="auto"/>
              <w:right w:val="single" w:sz="4" w:space="0" w:color="auto"/>
            </w:tcBorders>
            <w:hideMark/>
          </w:tcPr>
          <w:p w14:paraId="62147A86" w14:textId="77777777" w:rsidR="002D40C6" w:rsidRPr="0053555E" w:rsidRDefault="002D40C6">
            <w:pPr>
              <w:spacing w:line="218" w:lineRule="auto"/>
              <w:jc w:val="center"/>
              <w:rPr>
                <w:rFonts w:asciiTheme="majorHAnsi" w:hAnsiTheme="majorHAnsi" w:cstheme="minorHAnsi"/>
                <w:sz w:val="24"/>
                <w:szCs w:val="24"/>
                <w:lang w:eastAsia="sk-SK"/>
              </w:rPr>
            </w:pPr>
            <w:r w:rsidRPr="0053555E">
              <w:rPr>
                <w:rFonts w:asciiTheme="majorHAnsi" w:hAnsiTheme="majorHAnsi" w:cstheme="minorHAnsi"/>
                <w:sz w:val="24"/>
                <w:szCs w:val="24"/>
                <w:lang w:eastAsia="sk-SK"/>
              </w:rPr>
              <w:t>2</w:t>
            </w:r>
          </w:p>
        </w:tc>
        <w:tc>
          <w:tcPr>
            <w:tcW w:w="3543" w:type="dxa"/>
            <w:tcBorders>
              <w:top w:val="single" w:sz="4" w:space="0" w:color="auto"/>
              <w:left w:val="single" w:sz="4" w:space="0" w:color="auto"/>
              <w:bottom w:val="single" w:sz="4" w:space="0" w:color="auto"/>
              <w:right w:val="single" w:sz="4" w:space="0" w:color="auto"/>
            </w:tcBorders>
            <w:hideMark/>
          </w:tcPr>
          <w:p w14:paraId="46AD42D7" w14:textId="77777777" w:rsidR="002D40C6" w:rsidRPr="0053555E" w:rsidRDefault="002D40C6">
            <w:pPr>
              <w:spacing w:line="218" w:lineRule="auto"/>
              <w:jc w:val="center"/>
              <w:rPr>
                <w:rFonts w:asciiTheme="majorHAnsi" w:hAnsiTheme="majorHAnsi" w:cstheme="minorHAnsi"/>
                <w:sz w:val="24"/>
                <w:szCs w:val="24"/>
                <w:lang w:eastAsia="sk-SK"/>
              </w:rPr>
            </w:pPr>
            <w:r w:rsidRPr="0053555E">
              <w:rPr>
                <w:rFonts w:asciiTheme="majorHAnsi" w:hAnsiTheme="majorHAnsi" w:cstheme="minorHAnsi"/>
                <w:sz w:val="24"/>
                <w:szCs w:val="24"/>
                <w:lang w:eastAsia="sk-SK"/>
              </w:rPr>
              <w:t>8</w:t>
            </w:r>
            <w:r w:rsidRPr="0053555E">
              <w:rPr>
                <w:rFonts w:asciiTheme="majorHAnsi" w:hAnsiTheme="majorHAnsi" w:cstheme="minorHAnsi"/>
                <w:sz w:val="24"/>
                <w:szCs w:val="24"/>
                <w:vertAlign w:val="superscript"/>
                <w:lang w:eastAsia="sk-SK"/>
              </w:rPr>
              <w:t>*</w:t>
            </w:r>
          </w:p>
        </w:tc>
      </w:tr>
      <w:tr w:rsidR="002D40C6" w:rsidRPr="0053555E" w14:paraId="6AEA763B" w14:textId="77777777" w:rsidTr="00E756AF">
        <w:trPr>
          <w:divId w:val="1487864009"/>
        </w:trPr>
        <w:tc>
          <w:tcPr>
            <w:tcW w:w="34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34038E9" w14:textId="77777777" w:rsidR="002D40C6" w:rsidRPr="0053555E" w:rsidRDefault="002D40C6">
            <w:pPr>
              <w:spacing w:line="218" w:lineRule="auto"/>
              <w:rPr>
                <w:rFonts w:asciiTheme="majorHAnsi" w:hAnsiTheme="majorHAnsi" w:cstheme="minorHAnsi"/>
                <w:b/>
                <w:sz w:val="24"/>
                <w:szCs w:val="24"/>
                <w:lang w:eastAsia="sk-SK"/>
              </w:rPr>
            </w:pPr>
            <w:r w:rsidRPr="0053555E">
              <w:rPr>
                <w:rFonts w:asciiTheme="majorHAnsi" w:hAnsiTheme="majorHAnsi" w:cstheme="minorHAnsi"/>
                <w:b/>
                <w:sz w:val="24"/>
                <w:szCs w:val="24"/>
                <w:lang w:eastAsia="sk-SK"/>
              </w:rPr>
              <w:t>Spolu</w:t>
            </w:r>
          </w:p>
        </w:tc>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1D41C7B" w14:textId="77777777" w:rsidR="002D40C6" w:rsidRPr="0053555E" w:rsidRDefault="002D40C6">
            <w:pPr>
              <w:spacing w:line="218" w:lineRule="auto"/>
              <w:jc w:val="center"/>
              <w:rPr>
                <w:rFonts w:asciiTheme="majorHAnsi" w:hAnsiTheme="majorHAnsi" w:cstheme="minorHAnsi"/>
                <w:b/>
                <w:sz w:val="24"/>
                <w:szCs w:val="24"/>
                <w:lang w:eastAsia="sk-SK"/>
              </w:rPr>
            </w:pPr>
            <w:r w:rsidRPr="0053555E">
              <w:rPr>
                <w:rFonts w:asciiTheme="majorHAnsi" w:hAnsiTheme="majorHAnsi" w:cstheme="minorHAnsi"/>
                <w:b/>
                <w:sz w:val="24"/>
                <w:szCs w:val="24"/>
                <w:lang w:eastAsia="sk-SK"/>
              </w:rPr>
              <w:t>62</w:t>
            </w:r>
          </w:p>
        </w:tc>
        <w:tc>
          <w:tcPr>
            <w:tcW w:w="35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15592B9" w14:textId="77777777" w:rsidR="002D40C6" w:rsidRPr="0053555E" w:rsidRDefault="002D40C6">
            <w:pPr>
              <w:spacing w:line="218" w:lineRule="auto"/>
              <w:jc w:val="center"/>
              <w:rPr>
                <w:rFonts w:asciiTheme="majorHAnsi" w:hAnsiTheme="majorHAnsi" w:cstheme="minorHAnsi"/>
                <w:b/>
                <w:sz w:val="24"/>
                <w:szCs w:val="24"/>
                <w:lang w:eastAsia="sk-SK"/>
              </w:rPr>
            </w:pPr>
            <w:r w:rsidRPr="0053555E">
              <w:rPr>
                <w:rFonts w:asciiTheme="majorHAnsi" w:hAnsiTheme="majorHAnsi" w:cstheme="minorHAnsi"/>
                <w:b/>
                <w:sz w:val="24"/>
                <w:szCs w:val="24"/>
                <w:lang w:eastAsia="sk-SK"/>
              </w:rPr>
              <w:t>156</w:t>
            </w:r>
          </w:p>
        </w:tc>
      </w:tr>
    </w:tbl>
    <w:p w14:paraId="7C0A1271" w14:textId="77777777" w:rsidR="005412C0" w:rsidRDefault="005412C0" w:rsidP="00C532BE">
      <w:pPr>
        <w:jc w:val="both"/>
        <w:rPr>
          <w:rFonts w:asciiTheme="majorHAnsi" w:eastAsia="Times New Roman" w:hAnsiTheme="majorHAnsi" w:cstheme="minorHAnsi"/>
          <w:b/>
          <w:lang w:eastAsia="sk-SK"/>
        </w:rPr>
      </w:pPr>
    </w:p>
    <w:p w14:paraId="0B8F8EB0" w14:textId="765E0A12" w:rsidR="00F109BE" w:rsidRDefault="00C94525" w:rsidP="00F109BE">
      <w:pPr>
        <w:spacing w:after="120"/>
        <w:jc w:val="both"/>
        <w:rPr>
          <w:rFonts w:asciiTheme="majorHAnsi" w:hAnsiTheme="majorHAnsi" w:cstheme="minorHAnsi"/>
        </w:rPr>
      </w:pPr>
      <w:r>
        <w:rPr>
          <w:rFonts w:asciiTheme="majorHAnsi" w:hAnsiTheme="majorHAnsi" w:cstheme="minorHAnsi"/>
        </w:rPr>
        <w:t xml:space="preserve">Aktivity v oblasti </w:t>
      </w:r>
      <w:r w:rsidR="00A14A8C">
        <w:rPr>
          <w:rFonts w:asciiTheme="majorHAnsi" w:hAnsiTheme="majorHAnsi" w:cstheme="minorHAnsi"/>
          <w:b/>
        </w:rPr>
        <w:t>kariérne</w:t>
      </w:r>
      <w:r w:rsidRPr="00A14A8C">
        <w:rPr>
          <w:rFonts w:asciiTheme="majorHAnsi" w:hAnsiTheme="majorHAnsi" w:cstheme="minorHAnsi"/>
          <w:b/>
        </w:rPr>
        <w:t>ho poradenstva</w:t>
      </w:r>
      <w:r>
        <w:rPr>
          <w:rFonts w:asciiTheme="majorHAnsi" w:hAnsiTheme="majorHAnsi" w:cstheme="minorHAnsi"/>
        </w:rPr>
        <w:t xml:space="preserve"> boli v akademickom roku 2</w:t>
      </w:r>
      <w:r w:rsidR="00A14A8C">
        <w:rPr>
          <w:rFonts w:asciiTheme="majorHAnsi" w:hAnsiTheme="majorHAnsi" w:cstheme="minorHAnsi"/>
        </w:rPr>
        <w:t>021/2022 zabezpečované kariérny</w:t>
      </w:r>
      <w:r>
        <w:rPr>
          <w:rFonts w:asciiTheme="majorHAnsi" w:hAnsiTheme="majorHAnsi" w:cstheme="minorHAnsi"/>
        </w:rPr>
        <w:t xml:space="preserve">m poradcom, pracovníkom Poradenského centra STU. V tomto akademickom roku sa poradenstvo tematicky venovalo charakteristikám trhu práce, príprave vstupu na trh práce a duševnému zdraviu študentov v kariérovom procese. Osobitnejší dôraz bol v rámci tém venovaný študentom so </w:t>
      </w:r>
      <w:r w:rsidR="00EE56B1">
        <w:rPr>
          <w:rFonts w:asciiTheme="majorHAnsi" w:hAnsiTheme="majorHAnsi" w:cstheme="majorHAnsi"/>
        </w:rPr>
        <w:t xml:space="preserve">špecifickými potrebami </w:t>
      </w:r>
      <w:r>
        <w:rPr>
          <w:rFonts w:asciiTheme="majorHAnsi" w:hAnsiTheme="majorHAnsi" w:cstheme="minorHAnsi"/>
        </w:rPr>
        <w:t>a študentom doktorandského štúdia.</w:t>
      </w:r>
      <w:r w:rsidR="001469F1">
        <w:rPr>
          <w:rFonts w:asciiTheme="majorHAnsi" w:hAnsiTheme="majorHAnsi" w:cstheme="minorHAnsi"/>
        </w:rPr>
        <w:t xml:space="preserve"> </w:t>
      </w:r>
    </w:p>
    <w:p w14:paraId="726E43BC" w14:textId="7D376D07" w:rsidR="00F66E75" w:rsidRPr="0053555E" w:rsidRDefault="00F66E75" w:rsidP="000E3322">
      <w:pPr>
        <w:pStyle w:val="Popis"/>
      </w:pPr>
      <w:bookmarkStart w:id="253" w:name="_Ref127489399"/>
      <w:bookmarkStart w:id="254" w:name="_Toc127593314"/>
      <w:r w:rsidRPr="0053555E">
        <w:t xml:space="preserve">Tab. č. </w:t>
      </w:r>
      <w:r w:rsidR="007B5953">
        <w:fldChar w:fldCharType="begin"/>
      </w:r>
      <w:r w:rsidR="007B5953">
        <w:instrText xml:space="preserve"> SEQ Tab._č. \* ARABIC </w:instrText>
      </w:r>
      <w:r w:rsidR="007B5953">
        <w:fldChar w:fldCharType="separate"/>
      </w:r>
      <w:r w:rsidR="00A14A8C">
        <w:rPr>
          <w:noProof/>
        </w:rPr>
        <w:t>6</w:t>
      </w:r>
      <w:r w:rsidR="00EE1B59">
        <w:rPr>
          <w:noProof/>
        </w:rPr>
        <w:t>1</w:t>
      </w:r>
      <w:r w:rsidR="007B5953">
        <w:rPr>
          <w:noProof/>
        </w:rPr>
        <w:fldChar w:fldCharType="end"/>
      </w:r>
      <w:bookmarkEnd w:id="253"/>
      <w:r w:rsidRPr="0053555E">
        <w:t>: Počet skupinových aktivít poskytnutých študentom STU v akademickom roku 2021/2022 v oblasti kariérového poradenstva</w:t>
      </w:r>
      <w:bookmarkEnd w:id="254"/>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2268"/>
        <w:gridCol w:w="2410"/>
      </w:tblGrid>
      <w:tr w:rsidR="00F66E75" w:rsidRPr="0053555E" w14:paraId="13620329" w14:textId="77777777" w:rsidTr="00F969C0">
        <w:trPr>
          <w:trHeight w:val="600"/>
        </w:trPr>
        <w:tc>
          <w:tcPr>
            <w:tcW w:w="3681" w:type="dxa"/>
            <w:shd w:val="clear" w:color="auto" w:fill="FFFFFF"/>
            <w:noWrap/>
            <w:vAlign w:val="center"/>
            <w:hideMark/>
          </w:tcPr>
          <w:p w14:paraId="0B298800" w14:textId="77777777" w:rsidR="00F66E75" w:rsidRPr="0053555E" w:rsidRDefault="00F66E75" w:rsidP="00F66E75">
            <w:pPr>
              <w:rPr>
                <w:rFonts w:eastAsia="Times New Roman" w:cs="Calibri"/>
                <w:b/>
                <w:bCs/>
                <w:lang w:eastAsia="sk-SK"/>
              </w:rPr>
            </w:pPr>
            <w:r w:rsidRPr="0053555E">
              <w:rPr>
                <w:rFonts w:eastAsia="Times New Roman" w:cs="Calibri"/>
                <w:b/>
                <w:bCs/>
                <w:lang w:eastAsia="sk-SK"/>
              </w:rPr>
              <w:t>Názov webinára</w:t>
            </w:r>
          </w:p>
        </w:tc>
        <w:tc>
          <w:tcPr>
            <w:tcW w:w="2268" w:type="dxa"/>
            <w:shd w:val="clear" w:color="auto" w:fill="FFFFFF"/>
            <w:vAlign w:val="center"/>
            <w:hideMark/>
          </w:tcPr>
          <w:p w14:paraId="53530F7D" w14:textId="77777777" w:rsidR="00F66E75" w:rsidRPr="0053555E" w:rsidRDefault="00F66E75">
            <w:pPr>
              <w:jc w:val="center"/>
              <w:rPr>
                <w:rFonts w:eastAsia="Times New Roman" w:cs="Calibri"/>
                <w:b/>
                <w:bCs/>
                <w:lang w:eastAsia="sk-SK"/>
              </w:rPr>
            </w:pPr>
            <w:r w:rsidRPr="0053555E">
              <w:rPr>
                <w:rFonts w:eastAsia="Times New Roman" w:cs="Calibri"/>
                <w:b/>
                <w:bCs/>
                <w:lang w:eastAsia="sk-SK"/>
              </w:rPr>
              <w:t>Počet prihlásených študentov</w:t>
            </w:r>
          </w:p>
        </w:tc>
        <w:tc>
          <w:tcPr>
            <w:tcW w:w="2410" w:type="dxa"/>
            <w:shd w:val="clear" w:color="auto" w:fill="FFFFFF"/>
            <w:vAlign w:val="center"/>
            <w:hideMark/>
          </w:tcPr>
          <w:p w14:paraId="3485FDAF" w14:textId="77777777" w:rsidR="00F66E75" w:rsidRPr="0053555E" w:rsidRDefault="00F66E75">
            <w:pPr>
              <w:jc w:val="center"/>
              <w:rPr>
                <w:rFonts w:eastAsia="Times New Roman" w:cs="Calibri"/>
                <w:b/>
                <w:bCs/>
                <w:lang w:eastAsia="sk-SK"/>
              </w:rPr>
            </w:pPr>
            <w:r w:rsidRPr="0053555E">
              <w:rPr>
                <w:rFonts w:eastAsia="Times New Roman" w:cs="Calibri"/>
                <w:b/>
                <w:bCs/>
                <w:lang w:eastAsia="sk-SK"/>
              </w:rPr>
              <w:t>Počet skupinových aktivít</w:t>
            </w:r>
          </w:p>
        </w:tc>
      </w:tr>
      <w:tr w:rsidR="00F66E75" w:rsidRPr="0053555E" w14:paraId="66ADBE72" w14:textId="77777777" w:rsidTr="00F969C0">
        <w:trPr>
          <w:trHeight w:val="300"/>
        </w:trPr>
        <w:tc>
          <w:tcPr>
            <w:tcW w:w="3681" w:type="dxa"/>
            <w:shd w:val="clear" w:color="auto" w:fill="FFFFFF"/>
            <w:noWrap/>
            <w:vAlign w:val="center"/>
            <w:hideMark/>
          </w:tcPr>
          <w:p w14:paraId="321FF48B" w14:textId="77777777" w:rsidR="00F66E75" w:rsidRPr="0053555E" w:rsidRDefault="00F66E75">
            <w:pPr>
              <w:rPr>
                <w:rFonts w:eastAsia="Times New Roman" w:cs="Calibri"/>
                <w:lang w:eastAsia="sk-SK"/>
              </w:rPr>
            </w:pPr>
            <w:r w:rsidRPr="0053555E">
              <w:rPr>
                <w:rFonts w:eastAsia="Times New Roman" w:cs="Calibri"/>
                <w:lang w:eastAsia="sk-SK"/>
              </w:rPr>
              <w:t>Moje kariérové priority</w:t>
            </w:r>
          </w:p>
        </w:tc>
        <w:tc>
          <w:tcPr>
            <w:tcW w:w="2268" w:type="dxa"/>
            <w:shd w:val="clear" w:color="auto" w:fill="FFFFFF"/>
            <w:vAlign w:val="center"/>
            <w:hideMark/>
          </w:tcPr>
          <w:p w14:paraId="0EF53843" w14:textId="77777777" w:rsidR="00F66E75" w:rsidRPr="0053555E" w:rsidRDefault="00F66E75">
            <w:pPr>
              <w:jc w:val="center"/>
              <w:rPr>
                <w:rFonts w:eastAsia="Times New Roman" w:cs="Calibri"/>
                <w:lang w:eastAsia="sk-SK"/>
              </w:rPr>
            </w:pPr>
            <w:r w:rsidRPr="0053555E">
              <w:rPr>
                <w:rFonts w:eastAsia="Times New Roman" w:cs="Calibri"/>
                <w:lang w:eastAsia="sk-SK"/>
              </w:rPr>
              <w:t>18</w:t>
            </w:r>
          </w:p>
        </w:tc>
        <w:tc>
          <w:tcPr>
            <w:tcW w:w="2410" w:type="dxa"/>
            <w:shd w:val="clear" w:color="auto" w:fill="FFFFFF"/>
            <w:noWrap/>
            <w:vAlign w:val="bottom"/>
            <w:hideMark/>
          </w:tcPr>
          <w:p w14:paraId="707C2BEB" w14:textId="77777777" w:rsidR="00F66E75" w:rsidRPr="0053555E" w:rsidRDefault="00F66E75">
            <w:pPr>
              <w:jc w:val="center"/>
              <w:rPr>
                <w:rFonts w:eastAsia="Times New Roman" w:cs="Calibri"/>
                <w:lang w:eastAsia="sk-SK"/>
              </w:rPr>
            </w:pPr>
            <w:r w:rsidRPr="0053555E">
              <w:rPr>
                <w:rFonts w:eastAsia="Times New Roman" w:cs="Calibri"/>
                <w:lang w:eastAsia="sk-SK"/>
              </w:rPr>
              <w:t>3</w:t>
            </w:r>
          </w:p>
        </w:tc>
      </w:tr>
      <w:tr w:rsidR="00F66E75" w:rsidRPr="0053555E" w14:paraId="76730D18" w14:textId="77777777" w:rsidTr="00F969C0">
        <w:trPr>
          <w:trHeight w:val="300"/>
        </w:trPr>
        <w:tc>
          <w:tcPr>
            <w:tcW w:w="3681" w:type="dxa"/>
            <w:shd w:val="clear" w:color="auto" w:fill="FFFFFF"/>
            <w:noWrap/>
            <w:vAlign w:val="center"/>
            <w:hideMark/>
          </w:tcPr>
          <w:p w14:paraId="327000CB" w14:textId="77777777" w:rsidR="00F66E75" w:rsidRPr="0053555E" w:rsidRDefault="00F66E75">
            <w:pPr>
              <w:rPr>
                <w:rFonts w:eastAsia="Times New Roman" w:cs="Calibri"/>
                <w:lang w:eastAsia="sk-SK"/>
              </w:rPr>
            </w:pPr>
            <w:r w:rsidRPr="0053555E">
              <w:rPr>
                <w:rFonts w:eastAsia="Times New Roman" w:cs="Calibri"/>
                <w:lang w:eastAsia="sk-SK"/>
              </w:rPr>
              <w:t>Oslovenie zamestnávateľa</w:t>
            </w:r>
          </w:p>
        </w:tc>
        <w:tc>
          <w:tcPr>
            <w:tcW w:w="2268" w:type="dxa"/>
            <w:shd w:val="clear" w:color="auto" w:fill="FFFFFF"/>
            <w:vAlign w:val="center"/>
            <w:hideMark/>
          </w:tcPr>
          <w:p w14:paraId="0DDB3C5F" w14:textId="77777777" w:rsidR="00F66E75" w:rsidRPr="0053555E" w:rsidRDefault="00F66E75">
            <w:pPr>
              <w:jc w:val="center"/>
              <w:rPr>
                <w:rFonts w:eastAsia="Times New Roman" w:cs="Calibri"/>
                <w:lang w:eastAsia="sk-SK"/>
              </w:rPr>
            </w:pPr>
            <w:r w:rsidRPr="0053555E">
              <w:rPr>
                <w:rFonts w:eastAsia="Times New Roman" w:cs="Calibri"/>
                <w:lang w:eastAsia="sk-SK"/>
              </w:rPr>
              <w:t>40</w:t>
            </w:r>
          </w:p>
        </w:tc>
        <w:tc>
          <w:tcPr>
            <w:tcW w:w="2410" w:type="dxa"/>
            <w:shd w:val="clear" w:color="auto" w:fill="FFFFFF"/>
            <w:noWrap/>
            <w:vAlign w:val="bottom"/>
            <w:hideMark/>
          </w:tcPr>
          <w:p w14:paraId="2EA7CD13" w14:textId="77777777" w:rsidR="00F66E75" w:rsidRPr="0053555E" w:rsidRDefault="00F66E75">
            <w:pPr>
              <w:jc w:val="center"/>
              <w:rPr>
                <w:rFonts w:eastAsia="Times New Roman" w:cs="Calibri"/>
                <w:lang w:eastAsia="sk-SK"/>
              </w:rPr>
            </w:pPr>
            <w:r w:rsidRPr="0053555E">
              <w:rPr>
                <w:rFonts w:eastAsia="Times New Roman" w:cs="Calibri"/>
                <w:lang w:eastAsia="sk-SK"/>
              </w:rPr>
              <w:t>3</w:t>
            </w:r>
          </w:p>
        </w:tc>
      </w:tr>
      <w:tr w:rsidR="00F66E75" w:rsidRPr="0053555E" w14:paraId="2902CACA" w14:textId="77777777" w:rsidTr="00F969C0">
        <w:trPr>
          <w:trHeight w:val="300"/>
        </w:trPr>
        <w:tc>
          <w:tcPr>
            <w:tcW w:w="3681" w:type="dxa"/>
            <w:shd w:val="clear" w:color="auto" w:fill="FFFFFF"/>
            <w:noWrap/>
            <w:vAlign w:val="center"/>
            <w:hideMark/>
          </w:tcPr>
          <w:p w14:paraId="36CA3E97" w14:textId="77777777" w:rsidR="00F66E75" w:rsidRPr="0053555E" w:rsidRDefault="00F66E75">
            <w:pPr>
              <w:rPr>
                <w:rFonts w:eastAsia="Times New Roman" w:cs="Calibri"/>
                <w:lang w:eastAsia="sk-SK"/>
              </w:rPr>
            </w:pPr>
            <w:r w:rsidRPr="0053555E">
              <w:rPr>
                <w:rFonts w:eastAsia="Times New Roman" w:cs="Calibri"/>
                <w:lang w:eastAsia="sk-SK"/>
              </w:rPr>
              <w:t>Mapovanie pracovného potenciálu</w:t>
            </w:r>
          </w:p>
        </w:tc>
        <w:tc>
          <w:tcPr>
            <w:tcW w:w="2268" w:type="dxa"/>
            <w:shd w:val="clear" w:color="auto" w:fill="FFFFFF"/>
            <w:vAlign w:val="center"/>
            <w:hideMark/>
          </w:tcPr>
          <w:p w14:paraId="07CFFDDA" w14:textId="77777777" w:rsidR="00F66E75" w:rsidRPr="0053555E" w:rsidRDefault="00F66E75">
            <w:pPr>
              <w:jc w:val="center"/>
              <w:rPr>
                <w:rFonts w:eastAsia="Times New Roman" w:cs="Calibri"/>
                <w:lang w:eastAsia="sk-SK"/>
              </w:rPr>
            </w:pPr>
            <w:r w:rsidRPr="0053555E">
              <w:rPr>
                <w:rFonts w:eastAsia="Times New Roman" w:cs="Calibri"/>
                <w:lang w:eastAsia="sk-SK"/>
              </w:rPr>
              <w:t>28</w:t>
            </w:r>
          </w:p>
        </w:tc>
        <w:tc>
          <w:tcPr>
            <w:tcW w:w="2410" w:type="dxa"/>
            <w:shd w:val="clear" w:color="auto" w:fill="FFFFFF"/>
            <w:noWrap/>
            <w:vAlign w:val="bottom"/>
            <w:hideMark/>
          </w:tcPr>
          <w:p w14:paraId="514A4340" w14:textId="77777777" w:rsidR="00F66E75" w:rsidRPr="0053555E" w:rsidRDefault="00F66E75">
            <w:pPr>
              <w:jc w:val="center"/>
              <w:rPr>
                <w:rFonts w:eastAsia="Times New Roman" w:cs="Calibri"/>
                <w:lang w:eastAsia="sk-SK"/>
              </w:rPr>
            </w:pPr>
            <w:r w:rsidRPr="0053555E">
              <w:rPr>
                <w:rFonts w:eastAsia="Times New Roman" w:cs="Calibri"/>
                <w:lang w:eastAsia="sk-SK"/>
              </w:rPr>
              <w:t>3</w:t>
            </w:r>
          </w:p>
        </w:tc>
      </w:tr>
      <w:tr w:rsidR="00F66E75" w:rsidRPr="0053555E" w14:paraId="5F1C13A1" w14:textId="77777777" w:rsidTr="00F969C0">
        <w:trPr>
          <w:trHeight w:val="300"/>
        </w:trPr>
        <w:tc>
          <w:tcPr>
            <w:tcW w:w="3681" w:type="dxa"/>
            <w:shd w:val="clear" w:color="auto" w:fill="FFFFFF"/>
            <w:noWrap/>
            <w:vAlign w:val="center"/>
            <w:hideMark/>
          </w:tcPr>
          <w:p w14:paraId="6B2A675F" w14:textId="77777777" w:rsidR="00F66E75" w:rsidRPr="0053555E" w:rsidRDefault="00F66E75">
            <w:pPr>
              <w:rPr>
                <w:rFonts w:eastAsia="Times New Roman" w:cs="Calibri"/>
                <w:lang w:eastAsia="sk-SK"/>
              </w:rPr>
            </w:pPr>
            <w:r w:rsidRPr="0053555E">
              <w:rPr>
                <w:rFonts w:eastAsia="Times New Roman" w:cs="Calibri"/>
                <w:lang w:eastAsia="sk-SK"/>
              </w:rPr>
              <w:t xml:space="preserve">Príprava na pracovný pohovor </w:t>
            </w:r>
          </w:p>
        </w:tc>
        <w:tc>
          <w:tcPr>
            <w:tcW w:w="2268" w:type="dxa"/>
            <w:shd w:val="clear" w:color="auto" w:fill="FFFFFF"/>
            <w:vAlign w:val="center"/>
            <w:hideMark/>
          </w:tcPr>
          <w:p w14:paraId="54CC85FF" w14:textId="77777777" w:rsidR="00F66E75" w:rsidRPr="0053555E" w:rsidRDefault="00F66E75">
            <w:pPr>
              <w:jc w:val="center"/>
              <w:rPr>
                <w:rFonts w:eastAsia="Times New Roman" w:cs="Calibri"/>
                <w:lang w:eastAsia="sk-SK"/>
              </w:rPr>
            </w:pPr>
            <w:r w:rsidRPr="0053555E">
              <w:rPr>
                <w:rFonts w:eastAsia="Times New Roman" w:cs="Calibri"/>
                <w:lang w:eastAsia="sk-SK"/>
              </w:rPr>
              <w:t>49</w:t>
            </w:r>
          </w:p>
        </w:tc>
        <w:tc>
          <w:tcPr>
            <w:tcW w:w="2410" w:type="dxa"/>
            <w:shd w:val="clear" w:color="auto" w:fill="FFFFFF"/>
            <w:noWrap/>
            <w:vAlign w:val="bottom"/>
            <w:hideMark/>
          </w:tcPr>
          <w:p w14:paraId="453D636D" w14:textId="77777777" w:rsidR="00F66E75" w:rsidRPr="0053555E" w:rsidRDefault="00F66E75">
            <w:pPr>
              <w:jc w:val="center"/>
              <w:rPr>
                <w:rFonts w:eastAsia="Times New Roman" w:cs="Calibri"/>
                <w:lang w:eastAsia="sk-SK"/>
              </w:rPr>
            </w:pPr>
            <w:r w:rsidRPr="0053555E">
              <w:rPr>
                <w:rFonts w:eastAsia="Times New Roman" w:cs="Calibri"/>
                <w:lang w:eastAsia="sk-SK"/>
              </w:rPr>
              <w:t>2</w:t>
            </w:r>
          </w:p>
        </w:tc>
      </w:tr>
      <w:tr w:rsidR="00F66E75" w:rsidRPr="0053555E" w14:paraId="20139685" w14:textId="77777777" w:rsidTr="00F969C0">
        <w:trPr>
          <w:trHeight w:val="300"/>
        </w:trPr>
        <w:tc>
          <w:tcPr>
            <w:tcW w:w="3681" w:type="dxa"/>
            <w:shd w:val="clear" w:color="auto" w:fill="FFFFFF"/>
            <w:noWrap/>
            <w:vAlign w:val="center"/>
            <w:hideMark/>
          </w:tcPr>
          <w:p w14:paraId="5329E8D2" w14:textId="77777777" w:rsidR="00F66E75" w:rsidRPr="0053555E" w:rsidRDefault="00F66E75">
            <w:pPr>
              <w:rPr>
                <w:rFonts w:eastAsia="Times New Roman" w:cs="Calibri"/>
                <w:lang w:eastAsia="sk-SK"/>
              </w:rPr>
            </w:pPr>
            <w:r w:rsidRPr="0053555E">
              <w:rPr>
                <w:rFonts w:eastAsia="Times New Roman" w:cs="Calibri"/>
                <w:lang w:eastAsia="sk-SK"/>
              </w:rPr>
              <w:t xml:space="preserve">Pracovný pohovor </w:t>
            </w:r>
          </w:p>
        </w:tc>
        <w:tc>
          <w:tcPr>
            <w:tcW w:w="2268" w:type="dxa"/>
            <w:shd w:val="clear" w:color="auto" w:fill="FFFFFF"/>
            <w:vAlign w:val="center"/>
            <w:hideMark/>
          </w:tcPr>
          <w:p w14:paraId="09D59842" w14:textId="77777777" w:rsidR="00F66E75" w:rsidRPr="0053555E" w:rsidRDefault="00F66E75">
            <w:pPr>
              <w:jc w:val="center"/>
              <w:rPr>
                <w:rFonts w:eastAsia="Times New Roman" w:cs="Calibri"/>
                <w:lang w:eastAsia="sk-SK"/>
              </w:rPr>
            </w:pPr>
            <w:r w:rsidRPr="0053555E">
              <w:rPr>
                <w:rFonts w:eastAsia="Times New Roman" w:cs="Calibri"/>
                <w:lang w:eastAsia="sk-SK"/>
              </w:rPr>
              <w:t>8</w:t>
            </w:r>
          </w:p>
        </w:tc>
        <w:tc>
          <w:tcPr>
            <w:tcW w:w="2410" w:type="dxa"/>
            <w:shd w:val="clear" w:color="auto" w:fill="FFFFFF"/>
            <w:noWrap/>
            <w:vAlign w:val="bottom"/>
            <w:hideMark/>
          </w:tcPr>
          <w:p w14:paraId="623ED8E4" w14:textId="77777777" w:rsidR="00F66E75" w:rsidRPr="0053555E" w:rsidRDefault="00F66E75">
            <w:pPr>
              <w:jc w:val="center"/>
              <w:rPr>
                <w:rFonts w:eastAsia="Times New Roman" w:cs="Calibri"/>
                <w:lang w:eastAsia="sk-SK"/>
              </w:rPr>
            </w:pPr>
            <w:r w:rsidRPr="0053555E">
              <w:rPr>
                <w:rFonts w:eastAsia="Times New Roman" w:cs="Calibri"/>
                <w:lang w:eastAsia="sk-SK"/>
              </w:rPr>
              <w:t>1</w:t>
            </w:r>
          </w:p>
        </w:tc>
      </w:tr>
      <w:tr w:rsidR="00F66E75" w:rsidRPr="0053555E" w14:paraId="0908219C" w14:textId="77777777" w:rsidTr="00F969C0">
        <w:trPr>
          <w:trHeight w:val="300"/>
        </w:trPr>
        <w:tc>
          <w:tcPr>
            <w:tcW w:w="3681" w:type="dxa"/>
            <w:shd w:val="clear" w:color="auto" w:fill="FFFFFF"/>
            <w:noWrap/>
            <w:vAlign w:val="center"/>
            <w:hideMark/>
          </w:tcPr>
          <w:p w14:paraId="2A82312D" w14:textId="77777777" w:rsidR="00F66E75" w:rsidRPr="0053555E" w:rsidRDefault="00F66E75">
            <w:pPr>
              <w:rPr>
                <w:rFonts w:eastAsia="Times New Roman" w:cs="Calibri"/>
                <w:lang w:eastAsia="sk-SK"/>
              </w:rPr>
            </w:pPr>
            <w:r w:rsidRPr="0053555E">
              <w:rPr>
                <w:rFonts w:eastAsia="Times New Roman" w:cs="Calibri"/>
                <w:lang w:eastAsia="sk-SK"/>
              </w:rPr>
              <w:t>Vstup na trh práce</w:t>
            </w:r>
          </w:p>
        </w:tc>
        <w:tc>
          <w:tcPr>
            <w:tcW w:w="2268" w:type="dxa"/>
            <w:shd w:val="clear" w:color="auto" w:fill="FFFFFF"/>
            <w:vAlign w:val="center"/>
            <w:hideMark/>
          </w:tcPr>
          <w:p w14:paraId="5FA5626A" w14:textId="77777777" w:rsidR="00F66E75" w:rsidRPr="0053555E" w:rsidRDefault="00F66E75">
            <w:pPr>
              <w:jc w:val="center"/>
              <w:rPr>
                <w:rFonts w:eastAsia="Times New Roman" w:cs="Calibri"/>
                <w:lang w:eastAsia="sk-SK"/>
              </w:rPr>
            </w:pPr>
            <w:r w:rsidRPr="0053555E">
              <w:rPr>
                <w:rFonts w:eastAsia="Times New Roman" w:cs="Calibri"/>
                <w:lang w:eastAsia="sk-SK"/>
              </w:rPr>
              <w:t>9</w:t>
            </w:r>
          </w:p>
        </w:tc>
        <w:tc>
          <w:tcPr>
            <w:tcW w:w="2410" w:type="dxa"/>
            <w:shd w:val="clear" w:color="auto" w:fill="FFFFFF"/>
            <w:noWrap/>
            <w:vAlign w:val="bottom"/>
            <w:hideMark/>
          </w:tcPr>
          <w:p w14:paraId="66BD58E4" w14:textId="77777777" w:rsidR="00F66E75" w:rsidRPr="0053555E" w:rsidRDefault="00F66E75">
            <w:pPr>
              <w:jc w:val="center"/>
              <w:rPr>
                <w:rFonts w:eastAsia="Times New Roman" w:cs="Calibri"/>
                <w:lang w:eastAsia="sk-SK"/>
              </w:rPr>
            </w:pPr>
            <w:r w:rsidRPr="0053555E">
              <w:rPr>
                <w:rFonts w:eastAsia="Times New Roman" w:cs="Calibri"/>
                <w:lang w:eastAsia="sk-SK"/>
              </w:rPr>
              <w:t>2</w:t>
            </w:r>
          </w:p>
        </w:tc>
      </w:tr>
      <w:tr w:rsidR="00F66E75" w:rsidRPr="0053555E" w14:paraId="6D212437" w14:textId="77777777" w:rsidTr="00E756AF">
        <w:trPr>
          <w:trHeight w:val="300"/>
        </w:trPr>
        <w:tc>
          <w:tcPr>
            <w:tcW w:w="3681" w:type="dxa"/>
            <w:shd w:val="clear" w:color="auto" w:fill="EEECE1" w:themeFill="background2"/>
            <w:noWrap/>
            <w:vAlign w:val="center"/>
            <w:hideMark/>
          </w:tcPr>
          <w:p w14:paraId="17FE1E0A" w14:textId="77777777" w:rsidR="00F66E75" w:rsidRPr="0053555E" w:rsidRDefault="00F66E75">
            <w:pPr>
              <w:rPr>
                <w:rFonts w:eastAsia="Times New Roman" w:cs="Calibri"/>
                <w:b/>
                <w:bCs/>
                <w:lang w:eastAsia="sk-SK"/>
              </w:rPr>
            </w:pPr>
            <w:r w:rsidRPr="0053555E">
              <w:rPr>
                <w:rFonts w:eastAsia="Times New Roman" w:cs="Calibri"/>
                <w:b/>
                <w:bCs/>
                <w:lang w:eastAsia="sk-SK"/>
              </w:rPr>
              <w:t>Spolu</w:t>
            </w:r>
          </w:p>
        </w:tc>
        <w:tc>
          <w:tcPr>
            <w:tcW w:w="2268" w:type="dxa"/>
            <w:shd w:val="clear" w:color="auto" w:fill="EEECE1" w:themeFill="background2"/>
            <w:noWrap/>
            <w:vAlign w:val="bottom"/>
            <w:hideMark/>
          </w:tcPr>
          <w:p w14:paraId="0AD31A3C" w14:textId="77777777" w:rsidR="00F66E75" w:rsidRPr="0053555E" w:rsidRDefault="00F66E75">
            <w:pPr>
              <w:jc w:val="center"/>
              <w:rPr>
                <w:rFonts w:eastAsia="Times New Roman" w:cs="Calibri"/>
                <w:b/>
                <w:bCs/>
                <w:lang w:eastAsia="sk-SK"/>
              </w:rPr>
            </w:pPr>
            <w:r w:rsidRPr="0053555E">
              <w:rPr>
                <w:rFonts w:eastAsia="Times New Roman" w:cs="Calibri"/>
                <w:b/>
                <w:bCs/>
                <w:lang w:eastAsia="sk-SK"/>
              </w:rPr>
              <w:t>152</w:t>
            </w:r>
          </w:p>
        </w:tc>
        <w:tc>
          <w:tcPr>
            <w:tcW w:w="2410" w:type="dxa"/>
            <w:shd w:val="clear" w:color="auto" w:fill="EEECE1" w:themeFill="background2"/>
            <w:noWrap/>
            <w:vAlign w:val="bottom"/>
            <w:hideMark/>
          </w:tcPr>
          <w:p w14:paraId="5FA236E7" w14:textId="77777777" w:rsidR="00F66E75" w:rsidRPr="0053555E" w:rsidRDefault="00F66E75">
            <w:pPr>
              <w:jc w:val="center"/>
              <w:rPr>
                <w:rFonts w:eastAsia="Times New Roman" w:cs="Calibri"/>
                <w:b/>
                <w:bCs/>
                <w:lang w:eastAsia="sk-SK"/>
              </w:rPr>
            </w:pPr>
            <w:r w:rsidRPr="0053555E">
              <w:rPr>
                <w:rFonts w:eastAsia="Times New Roman" w:cs="Calibri"/>
                <w:b/>
                <w:bCs/>
                <w:lang w:eastAsia="sk-SK"/>
              </w:rPr>
              <w:t>14</w:t>
            </w:r>
          </w:p>
        </w:tc>
      </w:tr>
    </w:tbl>
    <w:p w14:paraId="6D5AAE4C" w14:textId="6BE2F59C" w:rsidR="005412C0" w:rsidRDefault="005412C0" w:rsidP="00F66E75">
      <w:pPr>
        <w:tabs>
          <w:tab w:val="left" w:pos="567"/>
        </w:tabs>
        <w:rPr>
          <w:rFonts w:asciiTheme="majorHAnsi" w:hAnsiTheme="majorHAnsi" w:cstheme="minorHAnsi"/>
          <w:b/>
        </w:rPr>
      </w:pPr>
    </w:p>
    <w:p w14:paraId="09B96B86" w14:textId="796A8C66" w:rsidR="00F66E75" w:rsidRPr="0053555E" w:rsidRDefault="00F66E75" w:rsidP="000E3322">
      <w:pPr>
        <w:pStyle w:val="Popis"/>
      </w:pPr>
      <w:bookmarkStart w:id="255" w:name="_Ref127489417"/>
      <w:bookmarkStart w:id="256" w:name="_Toc127593315"/>
      <w:r w:rsidRPr="0053555E">
        <w:t xml:space="preserve">Tab. č. </w:t>
      </w:r>
      <w:r w:rsidR="007B5953">
        <w:fldChar w:fldCharType="begin"/>
      </w:r>
      <w:r w:rsidR="007B5953">
        <w:instrText xml:space="preserve"> SEQ Tab._č. \* ARABIC </w:instrText>
      </w:r>
      <w:r w:rsidR="007B5953">
        <w:fldChar w:fldCharType="separate"/>
      </w:r>
      <w:r w:rsidR="00A14A8C">
        <w:rPr>
          <w:noProof/>
        </w:rPr>
        <w:t>6</w:t>
      </w:r>
      <w:r w:rsidR="00EE1B59">
        <w:rPr>
          <w:noProof/>
        </w:rPr>
        <w:t>2</w:t>
      </w:r>
      <w:r w:rsidR="007B5953">
        <w:rPr>
          <w:noProof/>
        </w:rPr>
        <w:fldChar w:fldCharType="end"/>
      </w:r>
      <w:bookmarkEnd w:id="255"/>
      <w:r w:rsidRPr="0053555E">
        <w:t>: Počet individuálnych konzultácií poskytnutých študentom STU v akademickom roku 2021/2022 v oblasti kariérového poradenstva</w:t>
      </w:r>
      <w:bookmarkEnd w:id="256"/>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2268"/>
        <w:gridCol w:w="2835"/>
      </w:tblGrid>
      <w:tr w:rsidR="00F66E75" w:rsidRPr="0053555E" w14:paraId="424DB810" w14:textId="77777777" w:rsidTr="00F969C0">
        <w:trPr>
          <w:trHeight w:val="20"/>
        </w:trPr>
        <w:tc>
          <w:tcPr>
            <w:tcW w:w="1696" w:type="dxa"/>
            <w:noWrap/>
            <w:vAlign w:val="center"/>
            <w:hideMark/>
          </w:tcPr>
          <w:p w14:paraId="295E9E8A" w14:textId="77777777" w:rsidR="00F66E75" w:rsidRPr="0053555E" w:rsidRDefault="00F66E75" w:rsidP="00F969C0">
            <w:pPr>
              <w:rPr>
                <w:rFonts w:eastAsia="Times New Roman" w:cs="Calibri"/>
                <w:b/>
                <w:bCs/>
                <w:szCs w:val="22"/>
                <w:lang w:eastAsia="sk-SK"/>
              </w:rPr>
            </w:pPr>
            <w:r w:rsidRPr="0053555E">
              <w:rPr>
                <w:rFonts w:eastAsia="Times New Roman" w:cs="Calibri"/>
                <w:b/>
                <w:bCs/>
                <w:szCs w:val="22"/>
                <w:lang w:eastAsia="sk-SK"/>
              </w:rPr>
              <w:t>Fakulta STU</w:t>
            </w:r>
          </w:p>
        </w:tc>
        <w:tc>
          <w:tcPr>
            <w:tcW w:w="2268" w:type="dxa"/>
            <w:vAlign w:val="center"/>
            <w:hideMark/>
          </w:tcPr>
          <w:p w14:paraId="2DF4EA14" w14:textId="77777777" w:rsidR="00F66E75" w:rsidRPr="0053555E" w:rsidRDefault="00F66E75">
            <w:pPr>
              <w:jc w:val="center"/>
              <w:rPr>
                <w:rFonts w:eastAsia="Times New Roman" w:cs="Calibri"/>
                <w:b/>
                <w:bCs/>
                <w:szCs w:val="22"/>
                <w:lang w:eastAsia="sk-SK"/>
              </w:rPr>
            </w:pPr>
            <w:r w:rsidRPr="0053555E">
              <w:rPr>
                <w:rFonts w:eastAsia="Times New Roman" w:cs="Calibri"/>
                <w:b/>
                <w:bCs/>
                <w:szCs w:val="22"/>
                <w:lang w:eastAsia="sk-SK"/>
              </w:rPr>
              <w:t>Počet študentov</w:t>
            </w:r>
          </w:p>
        </w:tc>
        <w:tc>
          <w:tcPr>
            <w:tcW w:w="2835" w:type="dxa"/>
            <w:vAlign w:val="center"/>
            <w:hideMark/>
          </w:tcPr>
          <w:p w14:paraId="27C4C1DB" w14:textId="77777777" w:rsidR="00F66E75" w:rsidRPr="0053555E" w:rsidRDefault="00F66E75">
            <w:pPr>
              <w:jc w:val="center"/>
              <w:rPr>
                <w:rFonts w:eastAsia="Times New Roman" w:cs="Calibri"/>
                <w:b/>
                <w:bCs/>
                <w:szCs w:val="22"/>
                <w:lang w:eastAsia="sk-SK"/>
              </w:rPr>
            </w:pPr>
            <w:r w:rsidRPr="0053555E">
              <w:rPr>
                <w:rFonts w:eastAsia="Times New Roman" w:cs="Calibri"/>
                <w:b/>
                <w:bCs/>
                <w:szCs w:val="22"/>
                <w:lang w:eastAsia="sk-SK"/>
              </w:rPr>
              <w:t>Počet individuálnych konzultácii</w:t>
            </w:r>
          </w:p>
        </w:tc>
      </w:tr>
      <w:tr w:rsidR="00F66E75" w:rsidRPr="0053555E" w14:paraId="383E8DAE" w14:textId="77777777" w:rsidTr="00F969C0">
        <w:trPr>
          <w:trHeight w:val="20"/>
        </w:trPr>
        <w:tc>
          <w:tcPr>
            <w:tcW w:w="1696" w:type="dxa"/>
            <w:noWrap/>
            <w:vAlign w:val="center"/>
            <w:hideMark/>
          </w:tcPr>
          <w:p w14:paraId="3A9B1EEC" w14:textId="77777777" w:rsidR="00F66E75" w:rsidRPr="0053555E" w:rsidRDefault="00F66E75">
            <w:pPr>
              <w:rPr>
                <w:rFonts w:eastAsia="Times New Roman" w:cs="Calibri"/>
                <w:szCs w:val="22"/>
                <w:lang w:eastAsia="sk-SK"/>
              </w:rPr>
            </w:pPr>
            <w:r w:rsidRPr="0053555E">
              <w:rPr>
                <w:rFonts w:eastAsia="Times New Roman" w:cs="Calibri"/>
                <w:b/>
                <w:bCs/>
                <w:szCs w:val="22"/>
                <w:lang w:eastAsia="sk-SK"/>
              </w:rPr>
              <w:t>SvF</w:t>
            </w:r>
          </w:p>
        </w:tc>
        <w:tc>
          <w:tcPr>
            <w:tcW w:w="2268" w:type="dxa"/>
            <w:vAlign w:val="center"/>
            <w:hideMark/>
          </w:tcPr>
          <w:p w14:paraId="6BFE06CB"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5</w:t>
            </w:r>
          </w:p>
        </w:tc>
        <w:tc>
          <w:tcPr>
            <w:tcW w:w="2835" w:type="dxa"/>
            <w:vAlign w:val="center"/>
            <w:hideMark/>
          </w:tcPr>
          <w:p w14:paraId="0B578965"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9</w:t>
            </w:r>
          </w:p>
        </w:tc>
      </w:tr>
      <w:tr w:rsidR="00F66E75" w:rsidRPr="0053555E" w14:paraId="15A7DB63" w14:textId="77777777" w:rsidTr="00F969C0">
        <w:trPr>
          <w:trHeight w:val="20"/>
        </w:trPr>
        <w:tc>
          <w:tcPr>
            <w:tcW w:w="1696" w:type="dxa"/>
            <w:noWrap/>
            <w:vAlign w:val="center"/>
            <w:hideMark/>
          </w:tcPr>
          <w:p w14:paraId="52CE2992" w14:textId="77777777" w:rsidR="00F66E75" w:rsidRPr="0053555E" w:rsidRDefault="00F66E75">
            <w:pPr>
              <w:rPr>
                <w:rFonts w:eastAsia="Times New Roman" w:cs="Calibri"/>
                <w:szCs w:val="22"/>
                <w:lang w:eastAsia="sk-SK"/>
              </w:rPr>
            </w:pPr>
            <w:r w:rsidRPr="0053555E">
              <w:rPr>
                <w:rFonts w:eastAsia="Times New Roman" w:cs="Calibri"/>
                <w:b/>
                <w:bCs/>
                <w:szCs w:val="22"/>
                <w:lang w:eastAsia="sk-SK"/>
              </w:rPr>
              <w:t>SjF</w:t>
            </w:r>
          </w:p>
        </w:tc>
        <w:tc>
          <w:tcPr>
            <w:tcW w:w="2268" w:type="dxa"/>
            <w:vAlign w:val="center"/>
            <w:hideMark/>
          </w:tcPr>
          <w:p w14:paraId="4A1DAC51"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1</w:t>
            </w:r>
          </w:p>
        </w:tc>
        <w:tc>
          <w:tcPr>
            <w:tcW w:w="2835" w:type="dxa"/>
            <w:vAlign w:val="center"/>
            <w:hideMark/>
          </w:tcPr>
          <w:p w14:paraId="6F6876F1"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6</w:t>
            </w:r>
          </w:p>
        </w:tc>
      </w:tr>
      <w:tr w:rsidR="00F66E75" w:rsidRPr="0053555E" w14:paraId="29445F10" w14:textId="77777777" w:rsidTr="00F969C0">
        <w:trPr>
          <w:trHeight w:val="20"/>
        </w:trPr>
        <w:tc>
          <w:tcPr>
            <w:tcW w:w="1696" w:type="dxa"/>
            <w:noWrap/>
            <w:vAlign w:val="center"/>
            <w:hideMark/>
          </w:tcPr>
          <w:p w14:paraId="639824BA" w14:textId="77777777" w:rsidR="00F66E75" w:rsidRPr="0053555E" w:rsidRDefault="00F66E75">
            <w:pPr>
              <w:rPr>
                <w:rFonts w:eastAsia="Times New Roman" w:cs="Calibri"/>
                <w:szCs w:val="22"/>
                <w:lang w:eastAsia="sk-SK"/>
              </w:rPr>
            </w:pPr>
            <w:r w:rsidRPr="0053555E">
              <w:rPr>
                <w:rFonts w:eastAsia="Times New Roman" w:cs="Calibri"/>
                <w:b/>
                <w:bCs/>
                <w:szCs w:val="22"/>
                <w:lang w:eastAsia="sk-SK"/>
              </w:rPr>
              <w:t>FEI</w:t>
            </w:r>
          </w:p>
        </w:tc>
        <w:tc>
          <w:tcPr>
            <w:tcW w:w="2268" w:type="dxa"/>
            <w:vAlign w:val="center"/>
            <w:hideMark/>
          </w:tcPr>
          <w:p w14:paraId="5EC5E383"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10</w:t>
            </w:r>
          </w:p>
        </w:tc>
        <w:tc>
          <w:tcPr>
            <w:tcW w:w="2835" w:type="dxa"/>
            <w:vAlign w:val="center"/>
            <w:hideMark/>
          </w:tcPr>
          <w:p w14:paraId="68B600AA"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24</w:t>
            </w:r>
          </w:p>
        </w:tc>
      </w:tr>
      <w:tr w:rsidR="00F66E75" w:rsidRPr="0053555E" w14:paraId="5C7FD523" w14:textId="77777777" w:rsidTr="00F969C0">
        <w:trPr>
          <w:trHeight w:val="20"/>
        </w:trPr>
        <w:tc>
          <w:tcPr>
            <w:tcW w:w="1696" w:type="dxa"/>
            <w:noWrap/>
            <w:vAlign w:val="center"/>
            <w:hideMark/>
          </w:tcPr>
          <w:p w14:paraId="3EFFB278" w14:textId="77777777" w:rsidR="00F66E75" w:rsidRPr="0053555E" w:rsidRDefault="00F66E75">
            <w:pPr>
              <w:rPr>
                <w:rFonts w:eastAsia="Times New Roman" w:cs="Calibri"/>
                <w:szCs w:val="22"/>
                <w:lang w:eastAsia="sk-SK"/>
              </w:rPr>
            </w:pPr>
            <w:r w:rsidRPr="0053555E">
              <w:rPr>
                <w:rFonts w:eastAsia="Times New Roman" w:cs="Calibri"/>
                <w:b/>
                <w:bCs/>
                <w:szCs w:val="22"/>
                <w:lang w:eastAsia="sk-SK"/>
              </w:rPr>
              <w:t>FCHPT</w:t>
            </w:r>
          </w:p>
        </w:tc>
        <w:tc>
          <w:tcPr>
            <w:tcW w:w="2268" w:type="dxa"/>
            <w:vAlign w:val="center"/>
            <w:hideMark/>
          </w:tcPr>
          <w:p w14:paraId="726E6E45"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9</w:t>
            </w:r>
          </w:p>
        </w:tc>
        <w:tc>
          <w:tcPr>
            <w:tcW w:w="2835" w:type="dxa"/>
            <w:vAlign w:val="center"/>
            <w:hideMark/>
          </w:tcPr>
          <w:p w14:paraId="1189549D"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17</w:t>
            </w:r>
          </w:p>
        </w:tc>
      </w:tr>
      <w:tr w:rsidR="00F66E75" w:rsidRPr="0053555E" w14:paraId="35E39E16" w14:textId="77777777" w:rsidTr="00F969C0">
        <w:trPr>
          <w:trHeight w:val="20"/>
        </w:trPr>
        <w:tc>
          <w:tcPr>
            <w:tcW w:w="1696" w:type="dxa"/>
            <w:noWrap/>
            <w:vAlign w:val="center"/>
            <w:hideMark/>
          </w:tcPr>
          <w:p w14:paraId="2F209235" w14:textId="77777777" w:rsidR="00F66E75" w:rsidRPr="0053555E" w:rsidRDefault="00F66E75">
            <w:pPr>
              <w:rPr>
                <w:rFonts w:eastAsia="Times New Roman" w:cs="Calibri"/>
                <w:szCs w:val="22"/>
                <w:lang w:eastAsia="sk-SK"/>
              </w:rPr>
            </w:pPr>
            <w:r w:rsidRPr="0053555E">
              <w:rPr>
                <w:rFonts w:eastAsia="Times New Roman" w:cs="Calibri"/>
                <w:b/>
                <w:bCs/>
                <w:szCs w:val="22"/>
                <w:lang w:eastAsia="sk-SK"/>
              </w:rPr>
              <w:t>FAD</w:t>
            </w:r>
          </w:p>
        </w:tc>
        <w:tc>
          <w:tcPr>
            <w:tcW w:w="2268" w:type="dxa"/>
            <w:noWrap/>
            <w:vAlign w:val="center"/>
            <w:hideMark/>
          </w:tcPr>
          <w:p w14:paraId="0F95C3B6"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6</w:t>
            </w:r>
          </w:p>
        </w:tc>
        <w:tc>
          <w:tcPr>
            <w:tcW w:w="2835" w:type="dxa"/>
            <w:vAlign w:val="center"/>
            <w:hideMark/>
          </w:tcPr>
          <w:p w14:paraId="7F81E964"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24</w:t>
            </w:r>
          </w:p>
        </w:tc>
      </w:tr>
      <w:tr w:rsidR="00F66E75" w:rsidRPr="0053555E" w14:paraId="3C8E83F5" w14:textId="77777777" w:rsidTr="00F969C0">
        <w:trPr>
          <w:trHeight w:val="20"/>
        </w:trPr>
        <w:tc>
          <w:tcPr>
            <w:tcW w:w="1696" w:type="dxa"/>
            <w:noWrap/>
            <w:vAlign w:val="center"/>
            <w:hideMark/>
          </w:tcPr>
          <w:p w14:paraId="78347619" w14:textId="77777777" w:rsidR="00F66E75" w:rsidRPr="0053555E" w:rsidRDefault="00F66E75">
            <w:pPr>
              <w:rPr>
                <w:rFonts w:eastAsia="Times New Roman" w:cs="Calibri"/>
                <w:szCs w:val="22"/>
                <w:lang w:eastAsia="sk-SK"/>
              </w:rPr>
            </w:pPr>
            <w:r w:rsidRPr="0053555E">
              <w:rPr>
                <w:rFonts w:eastAsia="Times New Roman" w:cs="Calibri"/>
                <w:b/>
                <w:bCs/>
                <w:szCs w:val="22"/>
                <w:lang w:eastAsia="sk-SK"/>
              </w:rPr>
              <w:t>MTF</w:t>
            </w:r>
          </w:p>
        </w:tc>
        <w:tc>
          <w:tcPr>
            <w:tcW w:w="2268" w:type="dxa"/>
            <w:vAlign w:val="center"/>
            <w:hideMark/>
          </w:tcPr>
          <w:p w14:paraId="0FA3A18F"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4</w:t>
            </w:r>
          </w:p>
        </w:tc>
        <w:tc>
          <w:tcPr>
            <w:tcW w:w="2835" w:type="dxa"/>
            <w:vAlign w:val="center"/>
            <w:hideMark/>
          </w:tcPr>
          <w:p w14:paraId="1379A3D3"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9</w:t>
            </w:r>
          </w:p>
        </w:tc>
      </w:tr>
      <w:tr w:rsidR="00F66E75" w:rsidRPr="0053555E" w14:paraId="6D247D2D" w14:textId="77777777" w:rsidTr="00F969C0">
        <w:trPr>
          <w:trHeight w:val="20"/>
        </w:trPr>
        <w:tc>
          <w:tcPr>
            <w:tcW w:w="1696" w:type="dxa"/>
            <w:noWrap/>
            <w:vAlign w:val="center"/>
            <w:hideMark/>
          </w:tcPr>
          <w:p w14:paraId="42693195" w14:textId="77777777" w:rsidR="00F66E75" w:rsidRPr="0053555E" w:rsidRDefault="00F66E75">
            <w:pPr>
              <w:rPr>
                <w:rFonts w:eastAsia="Times New Roman" w:cs="Calibri"/>
                <w:szCs w:val="22"/>
                <w:lang w:eastAsia="sk-SK"/>
              </w:rPr>
            </w:pPr>
            <w:r w:rsidRPr="0053555E">
              <w:rPr>
                <w:rFonts w:eastAsia="Times New Roman" w:cs="Calibri"/>
                <w:b/>
                <w:bCs/>
                <w:szCs w:val="22"/>
                <w:lang w:eastAsia="sk-SK"/>
              </w:rPr>
              <w:t>FIIT</w:t>
            </w:r>
          </w:p>
        </w:tc>
        <w:tc>
          <w:tcPr>
            <w:tcW w:w="2268" w:type="dxa"/>
            <w:vAlign w:val="center"/>
            <w:hideMark/>
          </w:tcPr>
          <w:p w14:paraId="58A00A54"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4</w:t>
            </w:r>
          </w:p>
        </w:tc>
        <w:tc>
          <w:tcPr>
            <w:tcW w:w="2835" w:type="dxa"/>
            <w:vAlign w:val="center"/>
            <w:hideMark/>
          </w:tcPr>
          <w:p w14:paraId="0EB91342"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10</w:t>
            </w:r>
          </w:p>
        </w:tc>
      </w:tr>
      <w:tr w:rsidR="00F66E75" w:rsidRPr="0053555E" w14:paraId="50185405" w14:textId="77777777" w:rsidTr="00F969C0">
        <w:trPr>
          <w:trHeight w:val="20"/>
        </w:trPr>
        <w:tc>
          <w:tcPr>
            <w:tcW w:w="1696" w:type="dxa"/>
            <w:noWrap/>
            <w:vAlign w:val="center"/>
            <w:hideMark/>
          </w:tcPr>
          <w:p w14:paraId="2BE31C03" w14:textId="77777777" w:rsidR="00F66E75" w:rsidRPr="0053555E" w:rsidRDefault="00F66E75">
            <w:pPr>
              <w:rPr>
                <w:rFonts w:eastAsia="Times New Roman" w:cs="Calibri"/>
                <w:szCs w:val="22"/>
                <w:lang w:eastAsia="sk-SK"/>
              </w:rPr>
            </w:pPr>
            <w:r w:rsidRPr="0053555E">
              <w:rPr>
                <w:rFonts w:eastAsia="Times New Roman" w:cs="Calibri"/>
                <w:b/>
                <w:bCs/>
                <w:szCs w:val="22"/>
                <w:lang w:eastAsia="sk-SK"/>
              </w:rPr>
              <w:t>ÚM</w:t>
            </w:r>
          </w:p>
        </w:tc>
        <w:tc>
          <w:tcPr>
            <w:tcW w:w="2268" w:type="dxa"/>
            <w:vAlign w:val="center"/>
            <w:hideMark/>
          </w:tcPr>
          <w:p w14:paraId="42B671E3"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3</w:t>
            </w:r>
          </w:p>
        </w:tc>
        <w:tc>
          <w:tcPr>
            <w:tcW w:w="2835" w:type="dxa"/>
            <w:vAlign w:val="center"/>
            <w:hideMark/>
          </w:tcPr>
          <w:p w14:paraId="6C3BE049" w14:textId="77777777" w:rsidR="00F66E75" w:rsidRPr="0053555E" w:rsidRDefault="00F66E75">
            <w:pPr>
              <w:jc w:val="center"/>
              <w:rPr>
                <w:rFonts w:eastAsia="Times New Roman" w:cs="Calibri"/>
                <w:szCs w:val="22"/>
                <w:lang w:eastAsia="sk-SK"/>
              </w:rPr>
            </w:pPr>
            <w:r w:rsidRPr="0053555E">
              <w:rPr>
                <w:rFonts w:eastAsia="Times New Roman" w:cs="Calibri"/>
                <w:szCs w:val="22"/>
                <w:lang w:eastAsia="sk-SK"/>
              </w:rPr>
              <w:t>9</w:t>
            </w:r>
          </w:p>
        </w:tc>
      </w:tr>
      <w:tr w:rsidR="00F66E75" w:rsidRPr="0053555E" w14:paraId="3F39F93F" w14:textId="77777777" w:rsidTr="00E756AF">
        <w:trPr>
          <w:trHeight w:val="20"/>
        </w:trPr>
        <w:tc>
          <w:tcPr>
            <w:tcW w:w="1696" w:type="dxa"/>
            <w:shd w:val="clear" w:color="auto" w:fill="EEECE1" w:themeFill="background2"/>
            <w:noWrap/>
            <w:vAlign w:val="center"/>
            <w:hideMark/>
          </w:tcPr>
          <w:p w14:paraId="505C1543" w14:textId="77777777" w:rsidR="00F66E75" w:rsidRPr="0053555E" w:rsidRDefault="00F66E75">
            <w:pPr>
              <w:rPr>
                <w:rFonts w:eastAsia="Times New Roman" w:cs="Calibri"/>
                <w:b/>
                <w:bCs/>
                <w:szCs w:val="22"/>
                <w:lang w:eastAsia="sk-SK"/>
              </w:rPr>
            </w:pPr>
            <w:r w:rsidRPr="0053555E">
              <w:rPr>
                <w:rFonts w:eastAsia="Times New Roman" w:cs="Calibri"/>
                <w:b/>
                <w:bCs/>
                <w:szCs w:val="22"/>
                <w:lang w:eastAsia="sk-SK"/>
              </w:rPr>
              <w:t>Spolu</w:t>
            </w:r>
          </w:p>
        </w:tc>
        <w:tc>
          <w:tcPr>
            <w:tcW w:w="2268" w:type="dxa"/>
            <w:shd w:val="clear" w:color="auto" w:fill="EEECE1" w:themeFill="background2"/>
            <w:noWrap/>
            <w:vAlign w:val="center"/>
            <w:hideMark/>
          </w:tcPr>
          <w:p w14:paraId="77A8962F" w14:textId="77777777" w:rsidR="00F66E75" w:rsidRPr="0053555E" w:rsidRDefault="00F66E75">
            <w:pPr>
              <w:jc w:val="center"/>
              <w:rPr>
                <w:rFonts w:eastAsia="Times New Roman" w:cs="Calibri"/>
                <w:b/>
                <w:bCs/>
                <w:szCs w:val="22"/>
                <w:lang w:eastAsia="sk-SK"/>
              </w:rPr>
            </w:pPr>
            <w:r w:rsidRPr="0053555E">
              <w:rPr>
                <w:rFonts w:eastAsia="Times New Roman" w:cs="Calibri"/>
                <w:b/>
                <w:bCs/>
                <w:szCs w:val="22"/>
                <w:lang w:eastAsia="sk-SK"/>
              </w:rPr>
              <w:t>42</w:t>
            </w:r>
          </w:p>
        </w:tc>
        <w:tc>
          <w:tcPr>
            <w:tcW w:w="2835" w:type="dxa"/>
            <w:shd w:val="clear" w:color="auto" w:fill="EEECE1" w:themeFill="background2"/>
            <w:vAlign w:val="center"/>
            <w:hideMark/>
          </w:tcPr>
          <w:p w14:paraId="19968A07" w14:textId="77777777" w:rsidR="00F66E75" w:rsidRPr="0053555E" w:rsidRDefault="00F66E75">
            <w:pPr>
              <w:jc w:val="center"/>
              <w:rPr>
                <w:rFonts w:eastAsia="Times New Roman" w:cs="Calibri"/>
                <w:b/>
                <w:bCs/>
                <w:szCs w:val="22"/>
                <w:lang w:eastAsia="sk-SK"/>
              </w:rPr>
            </w:pPr>
            <w:r w:rsidRPr="0053555E">
              <w:rPr>
                <w:rFonts w:eastAsia="Times New Roman" w:cs="Calibri"/>
                <w:b/>
                <w:bCs/>
                <w:szCs w:val="22"/>
                <w:lang w:eastAsia="sk-SK"/>
              </w:rPr>
              <w:t>108</w:t>
            </w:r>
          </w:p>
        </w:tc>
      </w:tr>
    </w:tbl>
    <w:p w14:paraId="2F9F7220" w14:textId="6F7F29B9" w:rsidR="00F66E75" w:rsidRDefault="00F66E75" w:rsidP="00F66E75">
      <w:pPr>
        <w:tabs>
          <w:tab w:val="left" w:pos="567"/>
        </w:tabs>
        <w:rPr>
          <w:rFonts w:asciiTheme="majorHAnsi" w:hAnsiTheme="majorHAnsi" w:cstheme="minorHAnsi"/>
          <w:b/>
          <w:sz w:val="22"/>
          <w:szCs w:val="22"/>
        </w:rPr>
      </w:pPr>
    </w:p>
    <w:p w14:paraId="4CCBE93C" w14:textId="04FA5E44" w:rsidR="0099706A" w:rsidRDefault="0099706A" w:rsidP="0099706A">
      <w:pPr>
        <w:jc w:val="both"/>
        <w:rPr>
          <w:rFonts w:asciiTheme="majorHAnsi" w:hAnsiTheme="majorHAnsi" w:cstheme="minorHAnsi"/>
        </w:rPr>
      </w:pPr>
      <w:r w:rsidRPr="00A14A8C">
        <w:rPr>
          <w:rFonts w:asciiTheme="majorHAnsi" w:hAnsiTheme="majorHAnsi" w:cstheme="minorHAnsi"/>
          <w:b/>
        </w:rPr>
        <w:t>Poradenstvo a podporu pri efektívnom učení sa</w:t>
      </w:r>
      <w:r>
        <w:rPr>
          <w:rFonts w:asciiTheme="majorHAnsi" w:hAnsiTheme="majorHAnsi" w:cstheme="minorHAnsi"/>
        </w:rPr>
        <w:t xml:space="preserve"> a zvládaní akademických povinností </w:t>
      </w:r>
      <w:r w:rsidRPr="0099706A">
        <w:t>na</w:t>
      </w:r>
      <w:r>
        <w:t> </w:t>
      </w:r>
      <w:r w:rsidRPr="0099706A">
        <w:t>vysokej</w:t>
      </w:r>
      <w:r>
        <w:rPr>
          <w:rFonts w:asciiTheme="majorHAnsi" w:hAnsiTheme="majorHAnsi" w:cstheme="minorHAnsi"/>
        </w:rPr>
        <w:t xml:space="preserve"> škole zabezpečovalo Poradenské centrum STU formou vzdelávacích skupinových aktivít </w:t>
      </w:r>
      <w:r w:rsidRPr="0099706A">
        <w:rPr>
          <w:rFonts w:asciiTheme="majorHAnsi" w:hAnsiTheme="majorHAnsi" w:cstheme="minorHAnsi"/>
          <w:sz w:val="20"/>
        </w:rPr>
        <w:t>(</w:t>
      </w:r>
      <w:r w:rsidRPr="00A14A8C">
        <w:rPr>
          <w:rFonts w:asciiTheme="majorHAnsi" w:hAnsiTheme="majorHAnsi" w:cstheme="minorHAnsi"/>
        </w:rPr>
        <w:fldChar w:fldCharType="begin"/>
      </w:r>
      <w:r w:rsidRPr="00A14A8C">
        <w:rPr>
          <w:rFonts w:asciiTheme="majorHAnsi" w:hAnsiTheme="majorHAnsi" w:cstheme="minorHAnsi"/>
        </w:rPr>
        <w:instrText xml:space="preserve"> REF _Ref127489684 \h  \* MERGEFORMAT </w:instrText>
      </w:r>
      <w:r w:rsidRPr="00A14A8C">
        <w:rPr>
          <w:rFonts w:asciiTheme="majorHAnsi" w:hAnsiTheme="majorHAnsi" w:cstheme="minorHAnsi"/>
        </w:rPr>
      </w:r>
      <w:r w:rsidRPr="00A14A8C">
        <w:rPr>
          <w:rFonts w:asciiTheme="majorHAnsi" w:hAnsiTheme="majorHAnsi" w:cstheme="minorHAnsi"/>
        </w:rPr>
        <w:fldChar w:fldCharType="separate"/>
      </w:r>
      <w:r w:rsidR="00EE1B59" w:rsidRPr="00A14A8C">
        <w:t xml:space="preserve">Tab. č. </w:t>
      </w:r>
      <w:r w:rsidR="00A14A8C">
        <w:rPr>
          <w:noProof/>
        </w:rPr>
        <w:t>6</w:t>
      </w:r>
      <w:r w:rsidR="00EE1B59" w:rsidRPr="00A14A8C">
        <w:rPr>
          <w:noProof/>
        </w:rPr>
        <w:t>3</w:t>
      </w:r>
      <w:r w:rsidRPr="00A14A8C">
        <w:rPr>
          <w:rFonts w:asciiTheme="majorHAnsi" w:hAnsiTheme="majorHAnsi" w:cstheme="minorHAnsi"/>
        </w:rPr>
        <w:fldChar w:fldCharType="end"/>
      </w:r>
      <w:r w:rsidRPr="0099706A">
        <w:rPr>
          <w:rFonts w:asciiTheme="majorHAnsi" w:hAnsiTheme="majorHAnsi" w:cstheme="minorHAnsi"/>
          <w:sz w:val="20"/>
        </w:rPr>
        <w:t xml:space="preserve">).  </w:t>
      </w:r>
    </w:p>
    <w:p w14:paraId="0EB838D2" w14:textId="77777777" w:rsidR="0099706A" w:rsidRPr="0053555E" w:rsidRDefault="0099706A" w:rsidP="00F66E75">
      <w:pPr>
        <w:tabs>
          <w:tab w:val="left" w:pos="567"/>
        </w:tabs>
        <w:rPr>
          <w:rFonts w:asciiTheme="majorHAnsi" w:hAnsiTheme="majorHAnsi" w:cstheme="minorHAnsi"/>
          <w:b/>
          <w:sz w:val="22"/>
          <w:szCs w:val="22"/>
        </w:rPr>
      </w:pPr>
    </w:p>
    <w:p w14:paraId="08D7A75D" w14:textId="434FED37" w:rsidR="00C5435A" w:rsidRPr="0053555E" w:rsidRDefault="00C5435A" w:rsidP="000E3322">
      <w:pPr>
        <w:pStyle w:val="Popis"/>
      </w:pPr>
      <w:bookmarkStart w:id="257" w:name="_Ref127489684"/>
      <w:bookmarkStart w:id="258" w:name="_Toc127593316"/>
      <w:r w:rsidRPr="0053555E">
        <w:t xml:space="preserve">Tab. č. </w:t>
      </w:r>
      <w:r w:rsidR="007B5953">
        <w:fldChar w:fldCharType="begin"/>
      </w:r>
      <w:r w:rsidR="007B5953">
        <w:instrText xml:space="preserve"> SEQ Tab._č. \* ARABIC </w:instrText>
      </w:r>
      <w:r w:rsidR="007B5953">
        <w:fldChar w:fldCharType="separate"/>
      </w:r>
      <w:r w:rsidR="00A14A8C">
        <w:rPr>
          <w:noProof/>
        </w:rPr>
        <w:t>6</w:t>
      </w:r>
      <w:r w:rsidR="00EE1B59">
        <w:rPr>
          <w:noProof/>
        </w:rPr>
        <w:t>3</w:t>
      </w:r>
      <w:r w:rsidR="007B5953">
        <w:rPr>
          <w:noProof/>
        </w:rPr>
        <w:fldChar w:fldCharType="end"/>
      </w:r>
      <w:bookmarkEnd w:id="257"/>
      <w:r w:rsidRPr="0053555E">
        <w:t>: Počet skupinových aktivít poskytnutých študentom STU v akademickom roku 2021/2022 v oblasti efektívneho učenia sa</w:t>
      </w:r>
      <w:bookmarkEnd w:id="258"/>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2268"/>
        <w:gridCol w:w="2346"/>
      </w:tblGrid>
      <w:tr w:rsidR="00C5435A" w:rsidRPr="0053555E" w14:paraId="3C49C2F2" w14:textId="77777777" w:rsidTr="00C5435A">
        <w:trPr>
          <w:trHeight w:val="20"/>
        </w:trPr>
        <w:tc>
          <w:tcPr>
            <w:tcW w:w="4531" w:type="dxa"/>
            <w:noWrap/>
            <w:vAlign w:val="center"/>
            <w:hideMark/>
          </w:tcPr>
          <w:p w14:paraId="543C50CF" w14:textId="77777777" w:rsidR="00C5435A" w:rsidRPr="0053555E" w:rsidRDefault="00C5435A" w:rsidP="00C5435A">
            <w:pPr>
              <w:rPr>
                <w:rFonts w:eastAsia="Times New Roman" w:cs="Calibri"/>
                <w:b/>
                <w:bCs/>
                <w:szCs w:val="22"/>
                <w:lang w:eastAsia="sk-SK"/>
              </w:rPr>
            </w:pPr>
            <w:r w:rsidRPr="0053555E">
              <w:rPr>
                <w:rFonts w:eastAsia="Times New Roman" w:cs="Calibri"/>
                <w:b/>
                <w:bCs/>
                <w:szCs w:val="22"/>
                <w:lang w:eastAsia="sk-SK"/>
              </w:rPr>
              <w:t>Názov webinára</w:t>
            </w:r>
          </w:p>
        </w:tc>
        <w:tc>
          <w:tcPr>
            <w:tcW w:w="2268" w:type="dxa"/>
            <w:vAlign w:val="center"/>
            <w:hideMark/>
          </w:tcPr>
          <w:p w14:paraId="28F4ED9E" w14:textId="77777777" w:rsidR="00C5435A" w:rsidRPr="0053555E" w:rsidRDefault="00C5435A">
            <w:pPr>
              <w:jc w:val="center"/>
              <w:rPr>
                <w:rFonts w:eastAsia="Times New Roman" w:cs="Calibri"/>
                <w:b/>
                <w:bCs/>
                <w:szCs w:val="22"/>
                <w:lang w:eastAsia="sk-SK"/>
              </w:rPr>
            </w:pPr>
            <w:r w:rsidRPr="0053555E">
              <w:rPr>
                <w:rFonts w:eastAsia="Times New Roman" w:cs="Calibri"/>
                <w:b/>
                <w:bCs/>
                <w:szCs w:val="22"/>
                <w:lang w:eastAsia="sk-SK"/>
              </w:rPr>
              <w:t>Počet prihlásených študentov</w:t>
            </w:r>
          </w:p>
        </w:tc>
        <w:tc>
          <w:tcPr>
            <w:tcW w:w="2346" w:type="dxa"/>
            <w:vAlign w:val="center"/>
            <w:hideMark/>
          </w:tcPr>
          <w:p w14:paraId="574C86C3" w14:textId="77777777" w:rsidR="00C5435A" w:rsidRPr="0053555E" w:rsidRDefault="00C5435A">
            <w:pPr>
              <w:jc w:val="center"/>
              <w:rPr>
                <w:rFonts w:eastAsia="Times New Roman" w:cs="Calibri"/>
                <w:b/>
                <w:bCs/>
                <w:szCs w:val="22"/>
                <w:lang w:eastAsia="sk-SK"/>
              </w:rPr>
            </w:pPr>
            <w:r w:rsidRPr="0053555E">
              <w:rPr>
                <w:rFonts w:eastAsia="Times New Roman" w:cs="Calibri"/>
                <w:b/>
                <w:bCs/>
                <w:szCs w:val="22"/>
                <w:lang w:eastAsia="sk-SK"/>
              </w:rPr>
              <w:t xml:space="preserve">Počet </w:t>
            </w:r>
          </w:p>
          <w:p w14:paraId="2DDAC1CE" w14:textId="77777777" w:rsidR="00C5435A" w:rsidRPr="0053555E" w:rsidRDefault="00C5435A">
            <w:pPr>
              <w:jc w:val="center"/>
              <w:rPr>
                <w:rFonts w:eastAsia="Times New Roman" w:cs="Calibri"/>
                <w:b/>
                <w:bCs/>
                <w:szCs w:val="22"/>
                <w:lang w:eastAsia="sk-SK"/>
              </w:rPr>
            </w:pPr>
            <w:r w:rsidRPr="0053555E">
              <w:rPr>
                <w:rFonts w:eastAsia="Times New Roman" w:cs="Calibri"/>
                <w:b/>
                <w:bCs/>
                <w:szCs w:val="22"/>
                <w:lang w:eastAsia="sk-SK"/>
              </w:rPr>
              <w:t>skupinových aktivít</w:t>
            </w:r>
          </w:p>
        </w:tc>
      </w:tr>
      <w:tr w:rsidR="00C5435A" w:rsidRPr="0053555E" w14:paraId="58A4E98F" w14:textId="77777777" w:rsidTr="00C5435A">
        <w:trPr>
          <w:trHeight w:val="20"/>
        </w:trPr>
        <w:tc>
          <w:tcPr>
            <w:tcW w:w="4531" w:type="dxa"/>
            <w:noWrap/>
            <w:vAlign w:val="center"/>
            <w:hideMark/>
          </w:tcPr>
          <w:p w14:paraId="74C87FD9" w14:textId="77777777" w:rsidR="00C5435A" w:rsidRPr="0053555E" w:rsidRDefault="00C5435A">
            <w:pPr>
              <w:rPr>
                <w:rFonts w:eastAsia="Times New Roman" w:cs="Calibri"/>
                <w:szCs w:val="22"/>
                <w:lang w:eastAsia="sk-SK"/>
              </w:rPr>
            </w:pPr>
            <w:r w:rsidRPr="0053555E">
              <w:rPr>
                <w:rFonts w:eastAsia="Times New Roman" w:cs="Calibri"/>
                <w:szCs w:val="22"/>
                <w:lang w:eastAsia="sk-SK"/>
              </w:rPr>
              <w:t>Metódy efektívneho učenia</w:t>
            </w:r>
          </w:p>
        </w:tc>
        <w:tc>
          <w:tcPr>
            <w:tcW w:w="2268" w:type="dxa"/>
            <w:vAlign w:val="center"/>
            <w:hideMark/>
          </w:tcPr>
          <w:p w14:paraId="4ADDA20A"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42</w:t>
            </w:r>
          </w:p>
        </w:tc>
        <w:tc>
          <w:tcPr>
            <w:tcW w:w="2346" w:type="dxa"/>
            <w:vAlign w:val="bottom"/>
            <w:hideMark/>
          </w:tcPr>
          <w:p w14:paraId="339E3D5D"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2</w:t>
            </w:r>
          </w:p>
        </w:tc>
      </w:tr>
      <w:tr w:rsidR="00C5435A" w:rsidRPr="0053555E" w14:paraId="5E96F7AC" w14:textId="77777777" w:rsidTr="00C5435A">
        <w:trPr>
          <w:trHeight w:val="20"/>
        </w:trPr>
        <w:tc>
          <w:tcPr>
            <w:tcW w:w="4531" w:type="dxa"/>
            <w:noWrap/>
            <w:vAlign w:val="center"/>
            <w:hideMark/>
          </w:tcPr>
          <w:p w14:paraId="49A0E572" w14:textId="77777777" w:rsidR="00C5435A" w:rsidRPr="0053555E" w:rsidRDefault="00C5435A">
            <w:pPr>
              <w:rPr>
                <w:rFonts w:eastAsia="Times New Roman" w:cs="Calibri"/>
                <w:szCs w:val="22"/>
                <w:lang w:eastAsia="sk-SK"/>
              </w:rPr>
            </w:pPr>
            <w:r w:rsidRPr="0053555E">
              <w:rPr>
                <w:rFonts w:eastAsia="Times New Roman" w:cs="Calibri"/>
                <w:szCs w:val="22"/>
                <w:lang w:eastAsia="sk-SK"/>
              </w:rPr>
              <w:t>Časový manažment - stanovenie cieľov</w:t>
            </w:r>
          </w:p>
        </w:tc>
        <w:tc>
          <w:tcPr>
            <w:tcW w:w="2268" w:type="dxa"/>
            <w:vAlign w:val="center"/>
            <w:hideMark/>
          </w:tcPr>
          <w:p w14:paraId="3C8F1FBB"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35</w:t>
            </w:r>
          </w:p>
        </w:tc>
        <w:tc>
          <w:tcPr>
            <w:tcW w:w="2346" w:type="dxa"/>
            <w:vAlign w:val="bottom"/>
            <w:hideMark/>
          </w:tcPr>
          <w:p w14:paraId="59C11030"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2</w:t>
            </w:r>
          </w:p>
        </w:tc>
      </w:tr>
      <w:tr w:rsidR="00C5435A" w:rsidRPr="0053555E" w14:paraId="1035BD84" w14:textId="77777777" w:rsidTr="00C5435A">
        <w:trPr>
          <w:trHeight w:val="20"/>
        </w:trPr>
        <w:tc>
          <w:tcPr>
            <w:tcW w:w="4531" w:type="dxa"/>
            <w:noWrap/>
            <w:vAlign w:val="center"/>
            <w:hideMark/>
          </w:tcPr>
          <w:p w14:paraId="60A87373" w14:textId="77777777" w:rsidR="00C5435A" w:rsidRPr="0053555E" w:rsidRDefault="00C5435A">
            <w:pPr>
              <w:rPr>
                <w:rFonts w:eastAsia="Times New Roman" w:cs="Calibri"/>
                <w:szCs w:val="22"/>
                <w:lang w:eastAsia="sk-SK"/>
              </w:rPr>
            </w:pPr>
            <w:r w:rsidRPr="0053555E">
              <w:rPr>
                <w:rFonts w:eastAsia="Times New Roman" w:cs="Calibri"/>
                <w:szCs w:val="22"/>
                <w:lang w:eastAsia="sk-SK"/>
              </w:rPr>
              <w:t>Návrat k prezenčnej výučbe</w:t>
            </w:r>
          </w:p>
        </w:tc>
        <w:tc>
          <w:tcPr>
            <w:tcW w:w="2268" w:type="dxa"/>
            <w:vAlign w:val="center"/>
            <w:hideMark/>
          </w:tcPr>
          <w:p w14:paraId="3961E72F"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39</w:t>
            </w:r>
          </w:p>
        </w:tc>
        <w:tc>
          <w:tcPr>
            <w:tcW w:w="2346" w:type="dxa"/>
            <w:vAlign w:val="bottom"/>
            <w:hideMark/>
          </w:tcPr>
          <w:p w14:paraId="7BEEB8D5"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2</w:t>
            </w:r>
          </w:p>
        </w:tc>
      </w:tr>
      <w:tr w:rsidR="00C5435A" w:rsidRPr="0053555E" w14:paraId="20C4299A" w14:textId="77777777" w:rsidTr="00C5435A">
        <w:trPr>
          <w:trHeight w:val="20"/>
        </w:trPr>
        <w:tc>
          <w:tcPr>
            <w:tcW w:w="4531" w:type="dxa"/>
            <w:noWrap/>
            <w:vAlign w:val="center"/>
            <w:hideMark/>
          </w:tcPr>
          <w:p w14:paraId="78B4276C" w14:textId="77777777" w:rsidR="00C5435A" w:rsidRPr="0053555E" w:rsidRDefault="00C5435A">
            <w:pPr>
              <w:rPr>
                <w:rFonts w:eastAsia="Times New Roman" w:cs="Calibri"/>
                <w:szCs w:val="22"/>
                <w:lang w:eastAsia="sk-SK"/>
              </w:rPr>
            </w:pPr>
            <w:r w:rsidRPr="0053555E">
              <w:rPr>
                <w:rFonts w:eastAsia="Times New Roman" w:cs="Calibri"/>
                <w:szCs w:val="22"/>
                <w:lang w:eastAsia="sk-SK"/>
              </w:rPr>
              <w:t>Študijné návyky úspešného študenta</w:t>
            </w:r>
          </w:p>
        </w:tc>
        <w:tc>
          <w:tcPr>
            <w:tcW w:w="2268" w:type="dxa"/>
            <w:vAlign w:val="center"/>
            <w:hideMark/>
          </w:tcPr>
          <w:p w14:paraId="32595C76"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35</w:t>
            </w:r>
          </w:p>
        </w:tc>
        <w:tc>
          <w:tcPr>
            <w:tcW w:w="2346" w:type="dxa"/>
            <w:vAlign w:val="bottom"/>
            <w:hideMark/>
          </w:tcPr>
          <w:p w14:paraId="293CE905"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2</w:t>
            </w:r>
          </w:p>
        </w:tc>
      </w:tr>
      <w:tr w:rsidR="00C5435A" w:rsidRPr="0053555E" w14:paraId="7834A73D" w14:textId="77777777" w:rsidTr="00C5435A">
        <w:trPr>
          <w:trHeight w:val="20"/>
        </w:trPr>
        <w:tc>
          <w:tcPr>
            <w:tcW w:w="4531" w:type="dxa"/>
            <w:noWrap/>
            <w:vAlign w:val="center"/>
            <w:hideMark/>
          </w:tcPr>
          <w:p w14:paraId="207CC90C" w14:textId="77777777" w:rsidR="00C5435A" w:rsidRPr="0053555E" w:rsidRDefault="00C5435A">
            <w:pPr>
              <w:rPr>
                <w:rFonts w:eastAsia="Times New Roman" w:cs="Calibri"/>
                <w:szCs w:val="22"/>
                <w:lang w:eastAsia="sk-SK"/>
              </w:rPr>
            </w:pPr>
            <w:r w:rsidRPr="0053555E">
              <w:rPr>
                <w:rFonts w:eastAsia="Times New Roman" w:cs="Calibri"/>
                <w:szCs w:val="22"/>
                <w:lang w:eastAsia="sk-SK"/>
              </w:rPr>
              <w:t>Duševné zdravie</w:t>
            </w:r>
          </w:p>
        </w:tc>
        <w:tc>
          <w:tcPr>
            <w:tcW w:w="2268" w:type="dxa"/>
            <w:noWrap/>
            <w:vAlign w:val="bottom"/>
            <w:hideMark/>
          </w:tcPr>
          <w:p w14:paraId="6E398B80"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44</w:t>
            </w:r>
          </w:p>
        </w:tc>
        <w:tc>
          <w:tcPr>
            <w:tcW w:w="2346" w:type="dxa"/>
            <w:vAlign w:val="bottom"/>
            <w:hideMark/>
          </w:tcPr>
          <w:p w14:paraId="30A9ABE8"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2</w:t>
            </w:r>
          </w:p>
        </w:tc>
      </w:tr>
      <w:tr w:rsidR="00C5435A" w:rsidRPr="0053555E" w14:paraId="63F15A0A" w14:textId="77777777" w:rsidTr="00C5435A">
        <w:trPr>
          <w:trHeight w:val="20"/>
        </w:trPr>
        <w:tc>
          <w:tcPr>
            <w:tcW w:w="4531" w:type="dxa"/>
            <w:noWrap/>
            <w:vAlign w:val="center"/>
            <w:hideMark/>
          </w:tcPr>
          <w:p w14:paraId="1700C5B3" w14:textId="77777777" w:rsidR="00C5435A" w:rsidRPr="0053555E" w:rsidRDefault="00C5435A">
            <w:pPr>
              <w:rPr>
                <w:rFonts w:eastAsia="Times New Roman" w:cs="Calibri"/>
                <w:szCs w:val="22"/>
                <w:lang w:eastAsia="sk-SK"/>
              </w:rPr>
            </w:pPr>
            <w:r w:rsidRPr="0053555E">
              <w:rPr>
                <w:rFonts w:eastAsia="Times New Roman" w:cs="Calibri"/>
                <w:szCs w:val="22"/>
                <w:lang w:eastAsia="sk-SK"/>
              </w:rPr>
              <w:t>Manažment stresu</w:t>
            </w:r>
          </w:p>
        </w:tc>
        <w:tc>
          <w:tcPr>
            <w:tcW w:w="2268" w:type="dxa"/>
            <w:vAlign w:val="center"/>
            <w:hideMark/>
          </w:tcPr>
          <w:p w14:paraId="13AD254B"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48</w:t>
            </w:r>
          </w:p>
        </w:tc>
        <w:tc>
          <w:tcPr>
            <w:tcW w:w="2346" w:type="dxa"/>
            <w:vAlign w:val="bottom"/>
            <w:hideMark/>
          </w:tcPr>
          <w:p w14:paraId="747C69BC"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1</w:t>
            </w:r>
          </w:p>
        </w:tc>
      </w:tr>
      <w:tr w:rsidR="00C5435A" w:rsidRPr="0053555E" w14:paraId="370E9078" w14:textId="77777777" w:rsidTr="00C5435A">
        <w:trPr>
          <w:trHeight w:val="20"/>
        </w:trPr>
        <w:tc>
          <w:tcPr>
            <w:tcW w:w="4531" w:type="dxa"/>
            <w:noWrap/>
            <w:vAlign w:val="center"/>
            <w:hideMark/>
          </w:tcPr>
          <w:p w14:paraId="3D181E81" w14:textId="77777777" w:rsidR="00C5435A" w:rsidRPr="0053555E" w:rsidRDefault="00C5435A">
            <w:pPr>
              <w:rPr>
                <w:rFonts w:eastAsia="Times New Roman" w:cs="Calibri"/>
                <w:szCs w:val="22"/>
                <w:lang w:eastAsia="sk-SK"/>
              </w:rPr>
            </w:pPr>
            <w:r w:rsidRPr="0053555E">
              <w:rPr>
                <w:rFonts w:eastAsia="Times New Roman" w:cs="Calibri"/>
                <w:szCs w:val="22"/>
                <w:lang w:eastAsia="sk-SK"/>
              </w:rPr>
              <w:t xml:space="preserve">Stres v každodennom živote  </w:t>
            </w:r>
          </w:p>
        </w:tc>
        <w:tc>
          <w:tcPr>
            <w:tcW w:w="2268" w:type="dxa"/>
            <w:vAlign w:val="center"/>
            <w:hideMark/>
          </w:tcPr>
          <w:p w14:paraId="615711C7"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22</w:t>
            </w:r>
          </w:p>
        </w:tc>
        <w:tc>
          <w:tcPr>
            <w:tcW w:w="2346" w:type="dxa"/>
            <w:vAlign w:val="bottom"/>
            <w:hideMark/>
          </w:tcPr>
          <w:p w14:paraId="6451F41B"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1</w:t>
            </w:r>
          </w:p>
        </w:tc>
      </w:tr>
      <w:tr w:rsidR="00C5435A" w:rsidRPr="0053555E" w14:paraId="5F8107E0" w14:textId="77777777" w:rsidTr="00C5435A">
        <w:trPr>
          <w:trHeight w:val="20"/>
        </w:trPr>
        <w:tc>
          <w:tcPr>
            <w:tcW w:w="4531" w:type="dxa"/>
            <w:noWrap/>
            <w:vAlign w:val="center"/>
            <w:hideMark/>
          </w:tcPr>
          <w:p w14:paraId="44C90B35" w14:textId="77777777" w:rsidR="00C5435A" w:rsidRPr="0053555E" w:rsidRDefault="00C5435A">
            <w:pPr>
              <w:rPr>
                <w:rFonts w:eastAsia="Times New Roman" w:cs="Calibri"/>
                <w:szCs w:val="22"/>
                <w:lang w:eastAsia="sk-SK"/>
              </w:rPr>
            </w:pPr>
            <w:r w:rsidRPr="0053555E">
              <w:rPr>
                <w:rFonts w:eastAsia="Times New Roman" w:cs="Calibri"/>
                <w:szCs w:val="22"/>
                <w:lang w:eastAsia="sk-SK"/>
              </w:rPr>
              <w:t>Učebné zručnosti študenta</w:t>
            </w:r>
          </w:p>
        </w:tc>
        <w:tc>
          <w:tcPr>
            <w:tcW w:w="2268" w:type="dxa"/>
            <w:vAlign w:val="center"/>
            <w:hideMark/>
          </w:tcPr>
          <w:p w14:paraId="6FBFD242"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15</w:t>
            </w:r>
          </w:p>
        </w:tc>
        <w:tc>
          <w:tcPr>
            <w:tcW w:w="2346" w:type="dxa"/>
            <w:vAlign w:val="bottom"/>
            <w:hideMark/>
          </w:tcPr>
          <w:p w14:paraId="2CF21E4C" w14:textId="77777777" w:rsidR="00C5435A" w:rsidRPr="0053555E" w:rsidRDefault="00C5435A">
            <w:pPr>
              <w:jc w:val="center"/>
              <w:rPr>
                <w:rFonts w:eastAsia="Times New Roman" w:cs="Calibri"/>
                <w:szCs w:val="22"/>
                <w:lang w:eastAsia="sk-SK"/>
              </w:rPr>
            </w:pPr>
            <w:r w:rsidRPr="0053555E">
              <w:rPr>
                <w:rFonts w:eastAsia="Times New Roman" w:cs="Calibri"/>
                <w:szCs w:val="22"/>
                <w:lang w:eastAsia="sk-SK"/>
              </w:rPr>
              <w:t>1</w:t>
            </w:r>
          </w:p>
        </w:tc>
      </w:tr>
      <w:tr w:rsidR="00C5435A" w:rsidRPr="0053555E" w14:paraId="76B2CCA9" w14:textId="77777777" w:rsidTr="00E756AF">
        <w:trPr>
          <w:trHeight w:val="20"/>
        </w:trPr>
        <w:tc>
          <w:tcPr>
            <w:tcW w:w="4531" w:type="dxa"/>
            <w:shd w:val="clear" w:color="auto" w:fill="EEECE1" w:themeFill="background2"/>
            <w:noWrap/>
            <w:vAlign w:val="center"/>
            <w:hideMark/>
          </w:tcPr>
          <w:p w14:paraId="7417F40A" w14:textId="77777777" w:rsidR="00C5435A" w:rsidRPr="0053555E" w:rsidRDefault="00C5435A">
            <w:pPr>
              <w:rPr>
                <w:rFonts w:eastAsia="Times New Roman" w:cs="Calibri"/>
                <w:b/>
                <w:bCs/>
                <w:szCs w:val="22"/>
                <w:lang w:eastAsia="sk-SK"/>
              </w:rPr>
            </w:pPr>
            <w:r w:rsidRPr="0053555E">
              <w:rPr>
                <w:rFonts w:eastAsia="Times New Roman" w:cs="Calibri"/>
                <w:b/>
                <w:bCs/>
                <w:szCs w:val="22"/>
                <w:lang w:eastAsia="sk-SK"/>
              </w:rPr>
              <w:t>SPOLU</w:t>
            </w:r>
          </w:p>
        </w:tc>
        <w:tc>
          <w:tcPr>
            <w:tcW w:w="2268" w:type="dxa"/>
            <w:shd w:val="clear" w:color="auto" w:fill="EEECE1" w:themeFill="background2"/>
            <w:noWrap/>
            <w:vAlign w:val="bottom"/>
            <w:hideMark/>
          </w:tcPr>
          <w:p w14:paraId="55FA1167" w14:textId="77777777" w:rsidR="00C5435A" w:rsidRPr="0053555E" w:rsidRDefault="00C5435A">
            <w:pPr>
              <w:jc w:val="center"/>
              <w:rPr>
                <w:rFonts w:eastAsia="Times New Roman" w:cs="Calibri"/>
                <w:b/>
                <w:bCs/>
                <w:szCs w:val="22"/>
                <w:lang w:eastAsia="sk-SK"/>
              </w:rPr>
            </w:pPr>
            <w:r w:rsidRPr="0053555E">
              <w:rPr>
                <w:rFonts w:eastAsia="Times New Roman" w:cs="Calibri"/>
                <w:b/>
                <w:bCs/>
                <w:szCs w:val="22"/>
                <w:lang w:eastAsia="sk-SK"/>
              </w:rPr>
              <w:t>280</w:t>
            </w:r>
          </w:p>
        </w:tc>
        <w:tc>
          <w:tcPr>
            <w:tcW w:w="2346" w:type="dxa"/>
            <w:shd w:val="clear" w:color="auto" w:fill="EEECE1" w:themeFill="background2"/>
            <w:vAlign w:val="bottom"/>
            <w:hideMark/>
          </w:tcPr>
          <w:p w14:paraId="757A7A4D" w14:textId="77777777" w:rsidR="00C5435A" w:rsidRPr="0053555E" w:rsidRDefault="00C5435A">
            <w:pPr>
              <w:jc w:val="center"/>
              <w:rPr>
                <w:rFonts w:eastAsia="Times New Roman" w:cs="Calibri"/>
                <w:b/>
                <w:bCs/>
                <w:szCs w:val="22"/>
                <w:lang w:eastAsia="sk-SK"/>
              </w:rPr>
            </w:pPr>
            <w:r w:rsidRPr="0053555E">
              <w:rPr>
                <w:rFonts w:eastAsia="Times New Roman" w:cs="Calibri"/>
                <w:b/>
                <w:bCs/>
                <w:szCs w:val="22"/>
                <w:lang w:eastAsia="sk-SK"/>
              </w:rPr>
              <w:t>13</w:t>
            </w:r>
          </w:p>
        </w:tc>
      </w:tr>
    </w:tbl>
    <w:p w14:paraId="360D14AC" w14:textId="37E344F6" w:rsidR="00AD6170" w:rsidRDefault="00AD6170" w:rsidP="00F66E75">
      <w:pPr>
        <w:tabs>
          <w:tab w:val="left" w:pos="567"/>
        </w:tabs>
        <w:rPr>
          <w:rFonts w:asciiTheme="majorHAnsi" w:hAnsiTheme="majorHAnsi" w:cstheme="minorHAnsi"/>
          <w:b/>
        </w:rPr>
      </w:pPr>
    </w:p>
    <w:p w14:paraId="31F66AD2" w14:textId="251E077C" w:rsidR="00AD6170" w:rsidRDefault="00AD6170" w:rsidP="00AD6170">
      <w:pPr>
        <w:jc w:val="both"/>
      </w:pPr>
      <w:r>
        <w:rPr>
          <w:rFonts w:asciiTheme="majorHAnsi" w:hAnsiTheme="majorHAnsi" w:cstheme="minorHAnsi"/>
        </w:rPr>
        <w:t>V súvislosti s vojnou na Ukrajine bolo uzatvorené memorandum o spolupráci s neziskovou organizáciou </w:t>
      </w:r>
      <w:r>
        <w:rPr>
          <w:bCs/>
        </w:rPr>
        <w:t xml:space="preserve">Modrý anjel/tím krízovej intervencie, o </w:t>
      </w:r>
      <w:r>
        <w:t xml:space="preserve">poskytovaní akútnej a sprostredkovaní následnej </w:t>
      </w:r>
      <w:r w:rsidRPr="00A14A8C">
        <w:rPr>
          <w:b/>
        </w:rPr>
        <w:t>psychosociálnej starostlivosti</w:t>
      </w:r>
      <w:r>
        <w:t xml:space="preserve"> o študentov STU  a bývalých študentov STU, ktorých štúdium na STU skončilo nie pred viac ako 12 mesiacmi v súvislosti s vojnou na Ukrajine a s tým súvisiacou humanitárnou krízou. </w:t>
      </w:r>
    </w:p>
    <w:p w14:paraId="0C11EF2D" w14:textId="77777777" w:rsidR="00A87863" w:rsidRDefault="00A87863" w:rsidP="00AD6170">
      <w:pPr>
        <w:jc w:val="both"/>
      </w:pPr>
    </w:p>
    <w:p w14:paraId="3934A6F4" w14:textId="77777777" w:rsidR="00F66E75" w:rsidRPr="0053555E" w:rsidRDefault="00F66E75" w:rsidP="00F66E75">
      <w:pPr>
        <w:tabs>
          <w:tab w:val="left" w:pos="567"/>
        </w:tabs>
        <w:rPr>
          <w:rFonts w:asciiTheme="majorHAnsi" w:hAnsiTheme="majorHAnsi" w:cstheme="minorHAnsi"/>
          <w:b/>
        </w:rPr>
      </w:pPr>
    </w:p>
    <w:p w14:paraId="4B688D6D" w14:textId="31FCB507" w:rsidR="002071AC" w:rsidRPr="00A14A8C" w:rsidRDefault="00D7659A" w:rsidP="00A14A8C">
      <w:pPr>
        <w:rPr>
          <w:b/>
          <w:sz w:val="28"/>
          <w:szCs w:val="28"/>
        </w:rPr>
      </w:pPr>
      <w:bookmarkStart w:id="259" w:name="_Študentské_organizácie"/>
      <w:bookmarkStart w:id="260" w:name="_Ref127481219"/>
      <w:bookmarkStart w:id="261" w:name="_Ref127481222"/>
      <w:bookmarkStart w:id="262" w:name="_Toc127593251"/>
      <w:bookmarkEnd w:id="259"/>
      <w:r>
        <w:rPr>
          <w:rFonts w:asciiTheme="majorHAnsi" w:hAnsiTheme="majorHAnsi" w:cstheme="minorHAnsi"/>
          <w:b/>
        </w:rPr>
        <w:t xml:space="preserve"> </w:t>
      </w:r>
      <w:r w:rsidR="00A14A8C" w:rsidRPr="00A14A8C">
        <w:rPr>
          <w:b/>
          <w:sz w:val="28"/>
          <w:szCs w:val="28"/>
        </w:rPr>
        <w:t xml:space="preserve">8.9. </w:t>
      </w:r>
      <w:r w:rsidR="002071AC" w:rsidRPr="00A14A8C">
        <w:rPr>
          <w:b/>
          <w:sz w:val="28"/>
          <w:szCs w:val="28"/>
        </w:rPr>
        <w:t>Študentské organizácie</w:t>
      </w:r>
      <w:bookmarkEnd w:id="260"/>
      <w:bookmarkEnd w:id="261"/>
      <w:bookmarkEnd w:id="262"/>
    </w:p>
    <w:p w14:paraId="4F5F89F5" w14:textId="77777777" w:rsidR="00A14A8C" w:rsidRPr="00A14A8C" w:rsidRDefault="00A14A8C" w:rsidP="00A14A8C"/>
    <w:p w14:paraId="05066FA2" w14:textId="236678D8" w:rsidR="00C16338" w:rsidRPr="0053555E" w:rsidRDefault="002071AC" w:rsidP="0032443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Na STU pôsobí </w:t>
      </w:r>
      <w:r w:rsidR="00184848" w:rsidRPr="0053555E">
        <w:rPr>
          <w:rFonts w:asciiTheme="majorHAnsi" w:hAnsiTheme="majorHAnsi" w:cstheme="majorHAnsi"/>
        </w:rPr>
        <w:t>viac</w:t>
      </w:r>
      <w:r w:rsidR="00D04B02" w:rsidRPr="0053555E">
        <w:rPr>
          <w:rFonts w:asciiTheme="majorHAnsi" w:hAnsiTheme="majorHAnsi" w:cstheme="majorHAnsi"/>
        </w:rPr>
        <w:t xml:space="preserve"> </w:t>
      </w:r>
      <w:r w:rsidRPr="0053555E">
        <w:rPr>
          <w:rFonts w:asciiTheme="majorHAnsi" w:hAnsiTheme="majorHAnsi" w:cstheme="majorHAnsi"/>
        </w:rPr>
        <w:t>študentských organizácií</w:t>
      </w:r>
      <w:r w:rsidR="00EC7878" w:rsidRPr="0053555E">
        <w:rPr>
          <w:rFonts w:asciiTheme="majorHAnsi" w:hAnsiTheme="majorHAnsi" w:cstheme="majorHAnsi"/>
        </w:rPr>
        <w:t xml:space="preserve"> a združení študentov STU</w:t>
      </w:r>
      <w:r w:rsidR="00830627" w:rsidRPr="0053555E">
        <w:rPr>
          <w:rFonts w:asciiTheme="majorHAnsi" w:hAnsiTheme="majorHAnsi" w:cstheme="majorHAnsi"/>
        </w:rPr>
        <w:t xml:space="preserve">. Ich </w:t>
      </w:r>
      <w:r w:rsidR="00EC2EAA" w:rsidRPr="0053555E">
        <w:rPr>
          <w:rFonts w:asciiTheme="majorHAnsi" w:hAnsiTheme="majorHAnsi" w:cstheme="majorHAnsi"/>
        </w:rPr>
        <w:t xml:space="preserve">zámerom </w:t>
      </w:r>
      <w:r w:rsidR="00830627" w:rsidRPr="0053555E">
        <w:rPr>
          <w:rFonts w:asciiTheme="majorHAnsi" w:hAnsiTheme="majorHAnsi" w:cstheme="majorHAnsi"/>
        </w:rPr>
        <w:t>je </w:t>
      </w:r>
      <w:r w:rsidRPr="0053555E">
        <w:rPr>
          <w:rFonts w:asciiTheme="majorHAnsi" w:hAnsiTheme="majorHAnsi" w:cstheme="majorHAnsi"/>
        </w:rPr>
        <w:t>organizovať voľnočasové aktivity študentov, rozvíjať osobnosť študentov v oblasti športu a</w:t>
      </w:r>
      <w:r w:rsidR="00E744B6" w:rsidRPr="0053555E">
        <w:rPr>
          <w:rFonts w:asciiTheme="majorHAnsi" w:hAnsiTheme="majorHAnsi" w:cstheme="majorHAnsi"/>
        </w:rPr>
        <w:t> </w:t>
      </w:r>
      <w:r w:rsidRPr="0053555E">
        <w:rPr>
          <w:rFonts w:asciiTheme="majorHAnsi" w:hAnsiTheme="majorHAnsi" w:cstheme="majorHAnsi"/>
        </w:rPr>
        <w:t xml:space="preserve">kultúry ako aj prispievať k ich odbornému rastu. </w:t>
      </w:r>
      <w:r w:rsidR="0075770E">
        <w:rPr>
          <w:rFonts w:asciiTheme="majorHAnsi" w:hAnsiTheme="majorHAnsi" w:cstheme="majorHAnsi"/>
        </w:rPr>
        <w:t>P</w:t>
      </w:r>
      <w:r w:rsidR="00EC7878" w:rsidRPr="0053555E">
        <w:rPr>
          <w:rFonts w:asciiTheme="majorHAnsi" w:hAnsiTheme="majorHAnsi" w:cstheme="majorHAnsi"/>
        </w:rPr>
        <w:t xml:space="preserve">odieľajú </w:t>
      </w:r>
      <w:r w:rsidR="0075770E">
        <w:rPr>
          <w:rFonts w:asciiTheme="majorHAnsi" w:hAnsiTheme="majorHAnsi" w:cstheme="majorHAnsi"/>
        </w:rPr>
        <w:t xml:space="preserve">sa </w:t>
      </w:r>
      <w:r w:rsidR="001562DB" w:rsidRPr="0053555E">
        <w:rPr>
          <w:rFonts w:asciiTheme="majorHAnsi" w:hAnsiTheme="majorHAnsi" w:cstheme="majorHAnsi"/>
        </w:rPr>
        <w:t>aj </w:t>
      </w:r>
      <w:r w:rsidR="00EC2EAA" w:rsidRPr="0053555E">
        <w:rPr>
          <w:rFonts w:asciiTheme="majorHAnsi" w:hAnsiTheme="majorHAnsi" w:cstheme="majorHAnsi"/>
        </w:rPr>
        <w:t>na </w:t>
      </w:r>
      <w:r w:rsidR="0093359E" w:rsidRPr="0053555E">
        <w:rPr>
          <w:rFonts w:asciiTheme="majorHAnsi" w:hAnsiTheme="majorHAnsi" w:cstheme="majorHAnsi"/>
        </w:rPr>
        <w:t>propagácii štúdia na </w:t>
      </w:r>
      <w:r w:rsidR="00324A1C" w:rsidRPr="0053555E">
        <w:rPr>
          <w:rFonts w:asciiTheme="majorHAnsi" w:hAnsiTheme="majorHAnsi" w:cstheme="majorHAnsi"/>
        </w:rPr>
        <w:t xml:space="preserve">STU, </w:t>
      </w:r>
      <w:r w:rsidR="00EC7878" w:rsidRPr="0053555E">
        <w:rPr>
          <w:rFonts w:asciiTheme="majorHAnsi" w:hAnsiTheme="majorHAnsi" w:cstheme="majorHAnsi"/>
        </w:rPr>
        <w:t>na </w:t>
      </w:r>
      <w:r w:rsidRPr="0053555E">
        <w:rPr>
          <w:rFonts w:asciiTheme="majorHAnsi" w:hAnsiTheme="majorHAnsi" w:cstheme="majorHAnsi"/>
        </w:rPr>
        <w:t xml:space="preserve">medzinárodných či domácich </w:t>
      </w:r>
      <w:r w:rsidR="00E71FC7" w:rsidRPr="0053555E">
        <w:rPr>
          <w:rFonts w:asciiTheme="majorHAnsi" w:hAnsiTheme="majorHAnsi" w:cstheme="majorHAnsi"/>
        </w:rPr>
        <w:t xml:space="preserve">akademických </w:t>
      </w:r>
      <w:r w:rsidRPr="0053555E">
        <w:rPr>
          <w:rFonts w:asciiTheme="majorHAnsi" w:hAnsiTheme="majorHAnsi" w:cstheme="majorHAnsi"/>
        </w:rPr>
        <w:t xml:space="preserve">mobilitách študentov, doučovaní mladších </w:t>
      </w:r>
      <w:r w:rsidR="00E71FC7" w:rsidRPr="0053555E">
        <w:rPr>
          <w:rFonts w:asciiTheme="majorHAnsi" w:hAnsiTheme="majorHAnsi" w:cstheme="majorHAnsi"/>
        </w:rPr>
        <w:t>študentov</w:t>
      </w:r>
      <w:r w:rsidRPr="0053555E">
        <w:rPr>
          <w:rFonts w:asciiTheme="majorHAnsi" w:hAnsiTheme="majorHAnsi" w:cstheme="majorHAnsi"/>
        </w:rPr>
        <w:t xml:space="preserve"> </w:t>
      </w:r>
      <w:r w:rsidR="0085240D" w:rsidRPr="0053555E">
        <w:rPr>
          <w:rFonts w:asciiTheme="majorHAnsi" w:hAnsiTheme="majorHAnsi" w:cstheme="majorHAnsi"/>
        </w:rPr>
        <w:t>„</w:t>
      </w:r>
      <w:r w:rsidR="00DF7A5B" w:rsidRPr="00DF7A5B">
        <w:rPr>
          <w:rFonts w:asciiTheme="majorHAnsi" w:hAnsiTheme="majorHAnsi" w:cstheme="majorHAnsi"/>
        </w:rPr>
        <w:t>študentské sprevádzanie</w:t>
      </w:r>
      <w:r w:rsidR="0085240D" w:rsidRPr="0053555E">
        <w:rPr>
          <w:rFonts w:asciiTheme="majorHAnsi" w:hAnsiTheme="majorHAnsi" w:cstheme="majorHAnsi"/>
        </w:rPr>
        <w:t>“</w:t>
      </w:r>
      <w:r w:rsidR="0075770E">
        <w:rPr>
          <w:rFonts w:asciiTheme="majorHAnsi" w:hAnsiTheme="majorHAnsi" w:cstheme="majorHAnsi"/>
        </w:rPr>
        <w:t xml:space="preserve">, na </w:t>
      </w:r>
      <w:r w:rsidRPr="0053555E">
        <w:rPr>
          <w:rFonts w:asciiTheme="majorHAnsi" w:hAnsiTheme="majorHAnsi" w:cstheme="majorHAnsi"/>
        </w:rPr>
        <w:t>humánne orientovaných akciách ako je napr. darcovstvo krvi</w:t>
      </w:r>
      <w:r w:rsidR="00870A6E">
        <w:rPr>
          <w:rFonts w:asciiTheme="majorHAnsi" w:hAnsiTheme="majorHAnsi" w:cstheme="majorHAnsi"/>
        </w:rPr>
        <w:t xml:space="preserve">, pomoc </w:t>
      </w:r>
      <w:r w:rsidR="005E72EE">
        <w:rPr>
          <w:rFonts w:asciiTheme="majorHAnsi" w:hAnsiTheme="majorHAnsi" w:cstheme="majorHAnsi"/>
        </w:rPr>
        <w:t>občanom postihnutým konfliktom na Ukrajine</w:t>
      </w:r>
      <w:r w:rsidRPr="0053555E">
        <w:rPr>
          <w:rFonts w:asciiTheme="majorHAnsi" w:hAnsiTheme="majorHAnsi" w:cstheme="majorHAnsi"/>
        </w:rPr>
        <w:t xml:space="preserve">. </w:t>
      </w:r>
    </w:p>
    <w:p w14:paraId="3F681BE3" w14:textId="6068AC71" w:rsidR="006D0BC9" w:rsidRPr="009E3F8B" w:rsidRDefault="00EC094B" w:rsidP="00324438">
      <w:pPr>
        <w:tabs>
          <w:tab w:val="left" w:pos="9356"/>
        </w:tabs>
        <w:spacing w:after="120"/>
        <w:jc w:val="both"/>
        <w:rPr>
          <w:rFonts w:asciiTheme="majorHAnsi" w:hAnsiTheme="majorHAnsi" w:cstheme="majorHAnsi"/>
        </w:rPr>
      </w:pPr>
      <w:r w:rsidRPr="0053555E">
        <w:rPr>
          <w:rFonts w:asciiTheme="majorHAnsi" w:hAnsiTheme="majorHAnsi" w:cstheme="majorHAnsi"/>
        </w:rPr>
        <w:t>Od roku 201</w:t>
      </w:r>
      <w:r w:rsidR="00F15619" w:rsidRPr="0053555E">
        <w:rPr>
          <w:rFonts w:asciiTheme="majorHAnsi" w:hAnsiTheme="majorHAnsi" w:cstheme="majorHAnsi"/>
        </w:rPr>
        <w:t>7</w:t>
      </w:r>
      <w:r w:rsidRPr="0053555E">
        <w:rPr>
          <w:rFonts w:asciiTheme="majorHAnsi" w:hAnsiTheme="majorHAnsi" w:cstheme="majorHAnsi"/>
        </w:rPr>
        <w:t xml:space="preserve"> STU </w:t>
      </w:r>
      <w:r w:rsidR="0075770E">
        <w:rPr>
          <w:rFonts w:asciiTheme="majorHAnsi" w:hAnsiTheme="majorHAnsi" w:cstheme="majorHAnsi"/>
        </w:rPr>
        <w:t>pravidelne podporuje</w:t>
      </w:r>
      <w:r w:rsidR="000822AB" w:rsidRPr="0053555E">
        <w:rPr>
          <w:rFonts w:asciiTheme="majorHAnsi" w:hAnsiTheme="majorHAnsi" w:cstheme="majorHAnsi"/>
        </w:rPr>
        <w:t> aktivity študentských organizácií pôsobiacich v rámci STU</w:t>
      </w:r>
      <w:r w:rsidR="00E87BE1" w:rsidRPr="0053555E">
        <w:rPr>
          <w:rFonts w:asciiTheme="majorHAnsi" w:hAnsiTheme="majorHAnsi" w:cstheme="majorHAnsi"/>
        </w:rPr>
        <w:t xml:space="preserve"> </w:t>
      </w:r>
      <w:r w:rsidR="007A5E2B" w:rsidRPr="0053555E">
        <w:rPr>
          <w:rFonts w:asciiTheme="majorHAnsi" w:hAnsiTheme="majorHAnsi" w:cstheme="majorHAnsi"/>
        </w:rPr>
        <w:t xml:space="preserve">podľa pravidiel a podmienok </w:t>
      </w:r>
      <w:r w:rsidR="00AF4189" w:rsidRPr="0053555E">
        <w:rPr>
          <w:rFonts w:asciiTheme="majorHAnsi" w:hAnsiTheme="majorHAnsi" w:cstheme="majorHAnsi"/>
        </w:rPr>
        <w:t>upraven</w:t>
      </w:r>
      <w:r w:rsidR="0075770E">
        <w:rPr>
          <w:rFonts w:asciiTheme="majorHAnsi" w:hAnsiTheme="majorHAnsi" w:cstheme="majorHAnsi"/>
        </w:rPr>
        <w:t>ých</w:t>
      </w:r>
      <w:r w:rsidR="00AF4189" w:rsidRPr="0053555E">
        <w:rPr>
          <w:rFonts w:asciiTheme="majorHAnsi" w:hAnsiTheme="majorHAnsi" w:cstheme="majorHAnsi"/>
        </w:rPr>
        <w:t xml:space="preserve"> smernicou rektora </w:t>
      </w:r>
      <w:r w:rsidR="00E02E35" w:rsidRPr="0053555E">
        <w:rPr>
          <w:rFonts w:asciiTheme="majorHAnsi" w:hAnsiTheme="majorHAnsi" w:cstheme="majorHAnsi"/>
        </w:rPr>
        <w:t>formou spolufinancovania aktivít prís</w:t>
      </w:r>
      <w:r w:rsidR="0075770E">
        <w:rPr>
          <w:rFonts w:asciiTheme="majorHAnsi" w:hAnsiTheme="majorHAnsi" w:cstheme="majorHAnsi"/>
        </w:rPr>
        <w:t xml:space="preserve">lušnej študentskej organizácie. </w:t>
      </w:r>
      <w:r w:rsidR="002A0BC5" w:rsidRPr="0053555E">
        <w:rPr>
          <w:rFonts w:asciiTheme="majorHAnsi" w:hAnsiTheme="majorHAnsi" w:cstheme="majorHAnsi"/>
        </w:rPr>
        <w:t>V roku 20</w:t>
      </w:r>
      <w:r w:rsidR="00AE009C" w:rsidRPr="0053555E">
        <w:rPr>
          <w:rFonts w:asciiTheme="majorHAnsi" w:hAnsiTheme="majorHAnsi" w:cstheme="majorHAnsi"/>
        </w:rPr>
        <w:t>2</w:t>
      </w:r>
      <w:r w:rsidR="005C75AE">
        <w:rPr>
          <w:rFonts w:asciiTheme="majorHAnsi" w:hAnsiTheme="majorHAnsi" w:cstheme="majorHAnsi"/>
        </w:rPr>
        <w:t>2</w:t>
      </w:r>
      <w:r w:rsidR="002A0BC5" w:rsidRPr="0053555E">
        <w:rPr>
          <w:rFonts w:asciiTheme="majorHAnsi" w:hAnsiTheme="majorHAnsi" w:cstheme="majorHAnsi"/>
        </w:rPr>
        <w:t xml:space="preserve"> </w:t>
      </w:r>
      <w:r w:rsidR="006D0BC9" w:rsidRPr="0053555E">
        <w:rPr>
          <w:rFonts w:asciiTheme="majorHAnsi" w:hAnsiTheme="majorHAnsi" w:cstheme="majorHAnsi"/>
        </w:rPr>
        <w:t xml:space="preserve">rektor </w:t>
      </w:r>
      <w:r w:rsidR="00995B8F" w:rsidRPr="0053555E">
        <w:rPr>
          <w:rFonts w:asciiTheme="majorHAnsi" w:hAnsiTheme="majorHAnsi" w:cstheme="majorHAnsi"/>
        </w:rPr>
        <w:t>schválil</w:t>
      </w:r>
      <w:r w:rsidR="006D0BC9" w:rsidRPr="0053555E">
        <w:rPr>
          <w:rFonts w:asciiTheme="majorHAnsi" w:hAnsiTheme="majorHAnsi" w:cstheme="majorHAnsi"/>
        </w:rPr>
        <w:t xml:space="preserve"> </w:t>
      </w:r>
      <w:r w:rsidR="00C810C7" w:rsidRPr="0053555E">
        <w:rPr>
          <w:rFonts w:asciiTheme="majorHAnsi" w:hAnsiTheme="majorHAnsi" w:cstheme="majorHAnsi"/>
        </w:rPr>
        <w:t xml:space="preserve">všetkých </w:t>
      </w:r>
      <w:r w:rsidR="004E3A74">
        <w:rPr>
          <w:rFonts w:asciiTheme="majorHAnsi" w:hAnsiTheme="majorHAnsi" w:cstheme="majorHAnsi"/>
          <w:b/>
        </w:rPr>
        <w:t>15</w:t>
      </w:r>
      <w:r w:rsidR="006D0BC9" w:rsidRPr="0053555E">
        <w:rPr>
          <w:rFonts w:asciiTheme="majorHAnsi" w:hAnsiTheme="majorHAnsi" w:cstheme="majorHAnsi"/>
          <w:b/>
        </w:rPr>
        <w:t xml:space="preserve"> </w:t>
      </w:r>
      <w:r w:rsidR="00735B47" w:rsidRPr="0053555E">
        <w:rPr>
          <w:rFonts w:asciiTheme="majorHAnsi" w:hAnsiTheme="majorHAnsi" w:cstheme="majorHAnsi"/>
          <w:b/>
        </w:rPr>
        <w:t>návrhov</w:t>
      </w:r>
      <w:r w:rsidR="006D0BC9" w:rsidRPr="0053555E">
        <w:rPr>
          <w:rFonts w:asciiTheme="majorHAnsi" w:hAnsiTheme="majorHAnsi" w:cstheme="majorHAnsi"/>
          <w:b/>
        </w:rPr>
        <w:t xml:space="preserve"> </w:t>
      </w:r>
      <w:r w:rsidR="004E3A74" w:rsidRPr="003C6C43">
        <w:rPr>
          <w:rFonts w:asciiTheme="majorHAnsi" w:hAnsiTheme="majorHAnsi" w:cstheme="majorHAnsi"/>
        </w:rPr>
        <w:t xml:space="preserve">odporučených </w:t>
      </w:r>
      <w:r w:rsidR="004B4A5B" w:rsidRPr="003C6C43">
        <w:rPr>
          <w:rFonts w:asciiTheme="majorHAnsi" w:hAnsiTheme="majorHAnsi" w:cstheme="majorHAnsi"/>
        </w:rPr>
        <w:t>predsedom študentskej časti Akademick</w:t>
      </w:r>
      <w:r w:rsidR="004B4A5B" w:rsidRPr="007E2E54">
        <w:rPr>
          <w:rFonts w:asciiTheme="majorHAnsi" w:hAnsiTheme="majorHAnsi" w:cstheme="majorHAnsi"/>
        </w:rPr>
        <w:t>ého senátu STU</w:t>
      </w:r>
      <w:r w:rsidR="004B4A5B" w:rsidRPr="0053555E">
        <w:rPr>
          <w:rFonts w:asciiTheme="majorHAnsi" w:hAnsiTheme="majorHAnsi" w:cstheme="majorHAnsi"/>
        </w:rPr>
        <w:t xml:space="preserve"> </w:t>
      </w:r>
      <w:r w:rsidR="006D0BC9" w:rsidRPr="0053555E">
        <w:rPr>
          <w:rFonts w:asciiTheme="majorHAnsi" w:hAnsiTheme="majorHAnsi" w:cstheme="majorHAnsi"/>
        </w:rPr>
        <w:t xml:space="preserve">v celkovej výške </w:t>
      </w:r>
      <w:r w:rsidR="004B4A5B">
        <w:rPr>
          <w:rFonts w:asciiTheme="majorHAnsi" w:hAnsiTheme="majorHAnsi" w:cstheme="majorHAnsi"/>
          <w:b/>
        </w:rPr>
        <w:t>20 000</w:t>
      </w:r>
      <w:r w:rsidR="009C430A" w:rsidRPr="0053555E">
        <w:rPr>
          <w:rFonts w:asciiTheme="majorHAnsi" w:hAnsiTheme="majorHAnsi" w:cstheme="majorHAnsi"/>
          <w:b/>
        </w:rPr>
        <w:t xml:space="preserve"> </w:t>
      </w:r>
      <w:r w:rsidR="006D0BC9" w:rsidRPr="0053555E">
        <w:rPr>
          <w:rFonts w:asciiTheme="majorHAnsi" w:hAnsiTheme="majorHAnsi" w:cstheme="majorHAnsi"/>
          <w:b/>
        </w:rPr>
        <w:t>€.</w:t>
      </w:r>
    </w:p>
    <w:p w14:paraId="3039F646" w14:textId="107A1389" w:rsidR="004A7F6C" w:rsidRPr="0053555E" w:rsidRDefault="00C840C1" w:rsidP="00324438">
      <w:pPr>
        <w:tabs>
          <w:tab w:val="left" w:pos="9356"/>
        </w:tabs>
        <w:spacing w:after="120"/>
        <w:jc w:val="both"/>
        <w:rPr>
          <w:rFonts w:asciiTheme="majorHAnsi" w:hAnsiTheme="majorHAnsi" w:cstheme="majorHAnsi"/>
        </w:rPr>
      </w:pPr>
      <w:r w:rsidRPr="0053555E">
        <w:rPr>
          <w:rFonts w:asciiTheme="majorHAnsi" w:hAnsiTheme="majorHAnsi" w:cstheme="majorHAnsi"/>
        </w:rPr>
        <w:t>Nepriamou podporou študentských organizác</w:t>
      </w:r>
      <w:r w:rsidR="003425B2" w:rsidRPr="0053555E">
        <w:rPr>
          <w:rFonts w:asciiTheme="majorHAnsi" w:hAnsiTheme="majorHAnsi" w:cstheme="majorHAnsi"/>
        </w:rPr>
        <w:t>ií</w:t>
      </w:r>
      <w:r w:rsidRPr="0053555E">
        <w:rPr>
          <w:rFonts w:asciiTheme="majorHAnsi" w:hAnsiTheme="majorHAnsi" w:cstheme="majorHAnsi"/>
        </w:rPr>
        <w:t xml:space="preserve"> je aktí</w:t>
      </w:r>
      <w:r w:rsidR="001562DB" w:rsidRPr="0053555E">
        <w:rPr>
          <w:rFonts w:asciiTheme="majorHAnsi" w:hAnsiTheme="majorHAnsi" w:cstheme="majorHAnsi"/>
        </w:rPr>
        <w:t>vna súčinnosť STU v prípade, ak </w:t>
      </w:r>
      <w:r w:rsidRPr="0053555E">
        <w:rPr>
          <w:rFonts w:asciiTheme="majorHAnsi" w:hAnsiTheme="majorHAnsi" w:cstheme="majorHAnsi"/>
        </w:rPr>
        <w:t>študentská organizácia požiada ministerstvo o poskytnutie finančných prostriedkov na jej činnosť, rozvoj a podporu.</w:t>
      </w:r>
    </w:p>
    <w:p w14:paraId="3AA9B365" w14:textId="77777777" w:rsidR="002071AC" w:rsidRPr="009E3F8B" w:rsidRDefault="006936EE" w:rsidP="00E2694A">
      <w:pPr>
        <w:tabs>
          <w:tab w:val="left" w:pos="9356"/>
        </w:tabs>
        <w:jc w:val="both"/>
        <w:rPr>
          <w:rFonts w:asciiTheme="majorHAnsi" w:hAnsiTheme="majorHAnsi" w:cstheme="majorHAnsi"/>
          <w:b/>
        </w:rPr>
      </w:pPr>
      <w:r w:rsidRPr="009E3F8B">
        <w:rPr>
          <w:rFonts w:asciiTheme="majorHAnsi" w:hAnsiTheme="majorHAnsi" w:cstheme="majorHAnsi"/>
          <w:b/>
        </w:rPr>
        <w:t xml:space="preserve">Prehľad </w:t>
      </w:r>
      <w:r w:rsidR="008A064D" w:rsidRPr="009E3F8B">
        <w:rPr>
          <w:rFonts w:asciiTheme="majorHAnsi" w:hAnsiTheme="majorHAnsi" w:cstheme="majorHAnsi"/>
          <w:b/>
        </w:rPr>
        <w:t>študentských organizácií</w:t>
      </w:r>
      <w:r w:rsidR="00AD4AE7" w:rsidRPr="009E3F8B">
        <w:rPr>
          <w:rFonts w:asciiTheme="majorHAnsi" w:hAnsiTheme="majorHAnsi" w:cstheme="majorHAnsi"/>
          <w:b/>
        </w:rPr>
        <w:t xml:space="preserve"> a združení študentov pôsobiacich na STU</w:t>
      </w:r>
      <w:r w:rsidR="00604E07" w:rsidRPr="009E3F8B">
        <w:rPr>
          <w:rFonts w:asciiTheme="majorHAnsi" w:hAnsiTheme="majorHAnsi" w:cstheme="majorHAnsi"/>
          <w:b/>
        </w:rPr>
        <w:t>:</w:t>
      </w:r>
    </w:p>
    <w:p w14:paraId="1B540CF9" w14:textId="77777777" w:rsidR="001C2238" w:rsidRPr="0053555E" w:rsidRDefault="001C2238" w:rsidP="00324438">
      <w:pPr>
        <w:tabs>
          <w:tab w:val="left" w:pos="9356"/>
        </w:tabs>
        <w:jc w:val="both"/>
        <w:rPr>
          <w:rFonts w:asciiTheme="majorHAnsi" w:hAnsiTheme="majorHAnsi" w:cstheme="majorHAnsi"/>
        </w:rPr>
      </w:pPr>
      <w:r w:rsidRPr="009E3F8B">
        <w:rPr>
          <w:rFonts w:asciiTheme="majorHAnsi" w:hAnsiTheme="majorHAnsi" w:cstheme="majorHAnsi"/>
        </w:rPr>
        <w:t>Študentské organizácie</w:t>
      </w:r>
      <w:r w:rsidR="00B827B2" w:rsidRPr="009E3F8B">
        <w:rPr>
          <w:rFonts w:asciiTheme="majorHAnsi" w:hAnsiTheme="majorHAnsi" w:cstheme="majorHAnsi"/>
        </w:rPr>
        <w:t>, ktoré splnili podmienky pre poskytnutie finančnej podpory</w:t>
      </w:r>
      <w:r w:rsidRPr="0053555E">
        <w:rPr>
          <w:rFonts w:asciiTheme="majorHAnsi" w:hAnsiTheme="majorHAnsi" w:cstheme="majorHAnsi"/>
          <w:b/>
        </w:rPr>
        <w:t xml:space="preserve"> </w:t>
      </w:r>
      <w:r w:rsidRPr="0053555E">
        <w:rPr>
          <w:rFonts w:asciiTheme="majorHAnsi" w:hAnsiTheme="majorHAnsi" w:cstheme="majorHAnsi"/>
        </w:rPr>
        <w:t>(predložili podklady preukazujúce právnu formu alebo právnu subjektivitu)</w:t>
      </w:r>
    </w:p>
    <w:p w14:paraId="028279C9" w14:textId="77777777" w:rsidR="001C2238" w:rsidRPr="0053555E" w:rsidRDefault="001C2238" w:rsidP="00E027F7">
      <w:pPr>
        <w:pStyle w:val="Odsekzoznamu"/>
        <w:numPr>
          <w:ilvl w:val="0"/>
          <w:numId w:val="4"/>
        </w:numPr>
        <w:tabs>
          <w:tab w:val="left" w:pos="9356"/>
        </w:tabs>
        <w:spacing w:line="240" w:lineRule="auto"/>
        <w:ind w:left="426" w:hanging="426"/>
        <w:jc w:val="both"/>
        <w:rPr>
          <w:rFonts w:asciiTheme="majorHAnsi" w:hAnsiTheme="majorHAnsi" w:cstheme="majorHAnsi"/>
          <w:bCs/>
          <w:sz w:val="24"/>
          <w:szCs w:val="24"/>
        </w:rPr>
      </w:pPr>
      <w:r w:rsidRPr="0053555E">
        <w:rPr>
          <w:rFonts w:asciiTheme="majorHAnsi" w:hAnsiTheme="majorHAnsi" w:cstheme="majorHAnsi"/>
          <w:bCs/>
          <w:sz w:val="24"/>
          <w:szCs w:val="24"/>
        </w:rPr>
        <w:t>BEST - Board of European Students of Technology</w:t>
      </w:r>
    </w:p>
    <w:p w14:paraId="6286D8E0" w14:textId="77777777" w:rsidR="001C2238" w:rsidRPr="0053555E" w:rsidRDefault="001C2238" w:rsidP="00E027F7">
      <w:pPr>
        <w:pStyle w:val="Odsekzoznamu"/>
        <w:numPr>
          <w:ilvl w:val="0"/>
          <w:numId w:val="4"/>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 xml:space="preserve">ESN </w:t>
      </w:r>
      <w:r w:rsidR="00942EE0" w:rsidRPr="0053555E">
        <w:rPr>
          <w:rFonts w:asciiTheme="majorHAnsi" w:hAnsiTheme="majorHAnsi" w:cstheme="majorHAnsi"/>
          <w:sz w:val="24"/>
          <w:szCs w:val="24"/>
        </w:rPr>
        <w:t xml:space="preserve">STUBA - </w:t>
      </w:r>
      <w:r w:rsidRPr="0053555E">
        <w:rPr>
          <w:rFonts w:asciiTheme="majorHAnsi" w:hAnsiTheme="majorHAnsi" w:cstheme="majorHAnsi"/>
          <w:sz w:val="24"/>
          <w:szCs w:val="24"/>
        </w:rPr>
        <w:t>Erasmus Student Network</w:t>
      </w:r>
      <w:r w:rsidR="00861CA0" w:rsidRPr="0053555E">
        <w:rPr>
          <w:rFonts w:asciiTheme="majorHAnsi" w:hAnsiTheme="majorHAnsi" w:cstheme="majorHAnsi"/>
          <w:sz w:val="24"/>
          <w:szCs w:val="24"/>
        </w:rPr>
        <w:t xml:space="preserve"> STU</w:t>
      </w:r>
    </w:p>
    <w:p w14:paraId="6A3B06CE" w14:textId="445EFBF9" w:rsidR="004B43AF" w:rsidRPr="0053555E" w:rsidRDefault="004B43AF" w:rsidP="00E027F7">
      <w:pPr>
        <w:pStyle w:val="Odsekzoznamu"/>
        <w:numPr>
          <w:ilvl w:val="0"/>
          <w:numId w:val="4"/>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Esport STUBA</w:t>
      </w:r>
      <w:r w:rsidR="004F21A1">
        <w:rPr>
          <w:rFonts w:asciiTheme="majorHAnsi" w:hAnsiTheme="majorHAnsi" w:cstheme="majorHAnsi"/>
          <w:sz w:val="24"/>
          <w:szCs w:val="24"/>
        </w:rPr>
        <w:t>,</w:t>
      </w:r>
      <w:r w:rsidRPr="0053555E">
        <w:rPr>
          <w:rFonts w:asciiTheme="majorHAnsi" w:hAnsiTheme="majorHAnsi" w:cstheme="majorHAnsi"/>
          <w:sz w:val="24"/>
          <w:szCs w:val="24"/>
        </w:rPr>
        <w:t xml:space="preserve"> o. z.</w:t>
      </w:r>
    </w:p>
    <w:p w14:paraId="75810039" w14:textId="77777777" w:rsidR="00942EE0" w:rsidRPr="0053555E" w:rsidRDefault="00942EE0" w:rsidP="00E027F7">
      <w:pPr>
        <w:pStyle w:val="Odsekzoznamu"/>
        <w:numPr>
          <w:ilvl w:val="0"/>
          <w:numId w:val="4"/>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CHEM – Spolok študentov FCHPT STU</w:t>
      </w:r>
    </w:p>
    <w:p w14:paraId="70F2806B" w14:textId="77777777" w:rsidR="001C2238" w:rsidRPr="0053555E" w:rsidRDefault="001C2238" w:rsidP="00E027F7">
      <w:pPr>
        <w:pStyle w:val="Odsekzoznamu"/>
        <w:numPr>
          <w:ilvl w:val="0"/>
          <w:numId w:val="4"/>
        </w:numPr>
        <w:tabs>
          <w:tab w:val="left" w:pos="9356"/>
        </w:tabs>
        <w:spacing w:line="240" w:lineRule="auto"/>
        <w:ind w:left="426" w:hanging="426"/>
        <w:jc w:val="both"/>
        <w:rPr>
          <w:rFonts w:asciiTheme="majorHAnsi" w:hAnsiTheme="majorHAnsi" w:cstheme="majorHAnsi"/>
          <w:bCs/>
          <w:sz w:val="24"/>
          <w:szCs w:val="24"/>
        </w:rPr>
      </w:pPr>
      <w:r w:rsidRPr="0053555E">
        <w:rPr>
          <w:rFonts w:asciiTheme="majorHAnsi" w:hAnsiTheme="majorHAnsi" w:cstheme="majorHAnsi"/>
          <w:bCs/>
          <w:sz w:val="24"/>
          <w:szCs w:val="24"/>
        </w:rPr>
        <w:t>IAESTE - The International Association for the Exchange of Students for Technical Experience</w:t>
      </w:r>
    </w:p>
    <w:p w14:paraId="2C2F89BE" w14:textId="77777777" w:rsidR="00320289" w:rsidRPr="0053555E" w:rsidRDefault="00320289" w:rsidP="00E027F7">
      <w:pPr>
        <w:pStyle w:val="Odsekzoznamu"/>
        <w:numPr>
          <w:ilvl w:val="0"/>
          <w:numId w:val="4"/>
        </w:numPr>
        <w:tabs>
          <w:tab w:val="left" w:pos="9356"/>
        </w:tabs>
        <w:spacing w:line="240" w:lineRule="auto"/>
        <w:ind w:left="426" w:hanging="426"/>
        <w:jc w:val="both"/>
        <w:rPr>
          <w:rFonts w:asciiTheme="majorHAnsi" w:hAnsiTheme="majorHAnsi" w:cstheme="majorHAnsi"/>
          <w:bCs/>
          <w:sz w:val="24"/>
          <w:szCs w:val="24"/>
        </w:rPr>
      </w:pPr>
      <w:r w:rsidRPr="0053555E">
        <w:rPr>
          <w:rFonts w:asciiTheme="majorHAnsi" w:hAnsiTheme="majorHAnsi" w:cstheme="majorHAnsi"/>
          <w:bCs/>
          <w:sz w:val="24"/>
          <w:szCs w:val="24"/>
        </w:rPr>
        <w:lastRenderedPageBreak/>
        <w:t>Národ Technickej Excelencie</w:t>
      </w:r>
    </w:p>
    <w:p w14:paraId="7E1F2C30" w14:textId="77777777" w:rsidR="00320289" w:rsidRPr="0053555E" w:rsidRDefault="00320289" w:rsidP="00E027F7">
      <w:pPr>
        <w:pStyle w:val="Odsekzoznamu"/>
        <w:numPr>
          <w:ilvl w:val="0"/>
          <w:numId w:val="4"/>
        </w:numPr>
        <w:tabs>
          <w:tab w:val="left" w:pos="9356"/>
        </w:tabs>
        <w:spacing w:line="240" w:lineRule="auto"/>
        <w:ind w:left="426" w:hanging="426"/>
        <w:jc w:val="both"/>
        <w:rPr>
          <w:rFonts w:asciiTheme="majorHAnsi" w:hAnsiTheme="majorHAnsi" w:cstheme="majorHAnsi"/>
          <w:bCs/>
          <w:sz w:val="24"/>
          <w:szCs w:val="24"/>
        </w:rPr>
      </w:pPr>
      <w:r w:rsidRPr="0053555E">
        <w:rPr>
          <w:rFonts w:asciiTheme="majorHAnsi" w:hAnsiTheme="majorHAnsi" w:cstheme="majorHAnsi"/>
          <w:bCs/>
          <w:sz w:val="24"/>
          <w:szCs w:val="24"/>
        </w:rPr>
        <w:t xml:space="preserve">OZ Študentská rada MTF STU </w:t>
      </w:r>
    </w:p>
    <w:p w14:paraId="3747A883" w14:textId="77777777" w:rsidR="00320289" w:rsidRPr="0053555E" w:rsidRDefault="00320289" w:rsidP="00E027F7">
      <w:pPr>
        <w:pStyle w:val="Odsekzoznamu"/>
        <w:numPr>
          <w:ilvl w:val="0"/>
          <w:numId w:val="4"/>
        </w:numPr>
        <w:tabs>
          <w:tab w:val="left" w:pos="9356"/>
        </w:tabs>
        <w:spacing w:line="240" w:lineRule="auto"/>
        <w:ind w:left="426" w:hanging="426"/>
        <w:jc w:val="both"/>
        <w:rPr>
          <w:rFonts w:asciiTheme="majorHAnsi" w:hAnsiTheme="majorHAnsi" w:cstheme="majorHAnsi"/>
          <w:bCs/>
          <w:sz w:val="24"/>
          <w:szCs w:val="24"/>
        </w:rPr>
      </w:pPr>
      <w:r w:rsidRPr="0053555E">
        <w:rPr>
          <w:rFonts w:asciiTheme="majorHAnsi" w:hAnsiTheme="majorHAnsi" w:cstheme="majorHAnsi"/>
          <w:bCs/>
          <w:sz w:val="24"/>
          <w:szCs w:val="24"/>
        </w:rPr>
        <w:t>Rádioklub OMEGA OM3KFF</w:t>
      </w:r>
    </w:p>
    <w:p w14:paraId="5319F899" w14:textId="77777777" w:rsidR="00320289" w:rsidRPr="0053555E" w:rsidRDefault="00320289" w:rsidP="00E027F7">
      <w:pPr>
        <w:pStyle w:val="Odsekzoznamu"/>
        <w:numPr>
          <w:ilvl w:val="0"/>
          <w:numId w:val="4"/>
        </w:numPr>
        <w:tabs>
          <w:tab w:val="left" w:pos="9356"/>
        </w:tabs>
        <w:spacing w:line="240" w:lineRule="auto"/>
        <w:ind w:left="426" w:hanging="426"/>
        <w:jc w:val="both"/>
        <w:rPr>
          <w:rFonts w:asciiTheme="majorHAnsi" w:hAnsiTheme="majorHAnsi" w:cstheme="majorHAnsi"/>
          <w:bCs/>
          <w:sz w:val="24"/>
          <w:szCs w:val="24"/>
        </w:rPr>
      </w:pPr>
      <w:r w:rsidRPr="0053555E">
        <w:rPr>
          <w:rFonts w:asciiTheme="majorHAnsi" w:hAnsiTheme="majorHAnsi" w:cstheme="majorHAnsi"/>
          <w:bCs/>
          <w:sz w:val="24"/>
          <w:szCs w:val="24"/>
        </w:rPr>
        <w:t>Športový klub CASSIUS</w:t>
      </w:r>
    </w:p>
    <w:p w14:paraId="22357080" w14:textId="2662F00F" w:rsidR="001C2238" w:rsidRPr="0053555E" w:rsidRDefault="00861CA0" w:rsidP="00E027F7">
      <w:pPr>
        <w:pStyle w:val="Odsekzoznamu"/>
        <w:numPr>
          <w:ilvl w:val="0"/>
          <w:numId w:val="4"/>
        </w:numPr>
        <w:tabs>
          <w:tab w:val="left" w:pos="9356"/>
        </w:tabs>
        <w:spacing w:line="240" w:lineRule="auto"/>
        <w:ind w:left="426" w:hanging="426"/>
        <w:jc w:val="both"/>
        <w:rPr>
          <w:rFonts w:asciiTheme="majorHAnsi" w:hAnsiTheme="majorHAnsi" w:cstheme="majorHAnsi"/>
          <w:bCs/>
          <w:sz w:val="24"/>
          <w:szCs w:val="24"/>
        </w:rPr>
      </w:pPr>
      <w:r w:rsidRPr="0053555E">
        <w:rPr>
          <w:rFonts w:asciiTheme="majorHAnsi" w:hAnsiTheme="majorHAnsi" w:cstheme="majorHAnsi"/>
          <w:bCs/>
          <w:sz w:val="24"/>
          <w:szCs w:val="24"/>
        </w:rPr>
        <w:t xml:space="preserve">Študentské združenie </w:t>
      </w:r>
      <w:r w:rsidR="001C2238" w:rsidRPr="0053555E">
        <w:rPr>
          <w:rFonts w:asciiTheme="majorHAnsi" w:hAnsiTheme="majorHAnsi" w:cstheme="majorHAnsi"/>
          <w:bCs/>
          <w:sz w:val="24"/>
          <w:szCs w:val="24"/>
        </w:rPr>
        <w:t>IRŠ TLIS</w:t>
      </w:r>
      <w:r w:rsidRPr="0053555E">
        <w:rPr>
          <w:rFonts w:asciiTheme="majorHAnsi" w:hAnsiTheme="majorHAnsi" w:cstheme="majorHAnsi"/>
          <w:bCs/>
          <w:sz w:val="24"/>
          <w:szCs w:val="24"/>
        </w:rPr>
        <w:t xml:space="preserve"> pri STU</w:t>
      </w:r>
      <w:r w:rsidR="00320289">
        <w:rPr>
          <w:rFonts w:asciiTheme="majorHAnsi" w:hAnsiTheme="majorHAnsi" w:cstheme="majorHAnsi"/>
          <w:bCs/>
          <w:sz w:val="24"/>
          <w:szCs w:val="24"/>
        </w:rPr>
        <w:t xml:space="preserve"> </w:t>
      </w:r>
    </w:p>
    <w:p w14:paraId="67786881" w14:textId="77777777" w:rsidR="00795858" w:rsidRPr="0053555E" w:rsidRDefault="00795858" w:rsidP="00E027F7">
      <w:pPr>
        <w:pStyle w:val="Odsekzoznamu"/>
        <w:numPr>
          <w:ilvl w:val="0"/>
          <w:numId w:val="4"/>
        </w:numPr>
        <w:tabs>
          <w:tab w:val="left" w:pos="9356"/>
        </w:tabs>
        <w:spacing w:line="240" w:lineRule="auto"/>
        <w:ind w:left="426" w:hanging="426"/>
        <w:jc w:val="both"/>
        <w:rPr>
          <w:rFonts w:asciiTheme="majorHAnsi" w:hAnsiTheme="majorHAnsi" w:cstheme="majorHAnsi"/>
          <w:bCs/>
          <w:sz w:val="24"/>
          <w:szCs w:val="24"/>
        </w:rPr>
      </w:pPr>
      <w:r w:rsidRPr="0053555E">
        <w:rPr>
          <w:rFonts w:asciiTheme="majorHAnsi" w:hAnsiTheme="majorHAnsi" w:cstheme="majorHAnsi"/>
          <w:bCs/>
          <w:sz w:val="24"/>
          <w:szCs w:val="24"/>
        </w:rPr>
        <w:t>ŠCS - Študentský cech strojárov SjF STU</w:t>
      </w:r>
    </w:p>
    <w:p w14:paraId="114DFB20" w14:textId="77777777" w:rsidR="00795858" w:rsidRPr="0053555E" w:rsidRDefault="00795858" w:rsidP="00E027F7">
      <w:pPr>
        <w:pStyle w:val="Odsekzoznamu"/>
        <w:numPr>
          <w:ilvl w:val="0"/>
          <w:numId w:val="4"/>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ŠPEAI - Študentský parlament elektrotechnikov a informatikov</w:t>
      </w:r>
    </w:p>
    <w:p w14:paraId="1E622915" w14:textId="77777777" w:rsidR="00193845" w:rsidRPr="0053555E" w:rsidRDefault="00942EE0" w:rsidP="00E027F7">
      <w:pPr>
        <w:pStyle w:val="Odsekzoznamu"/>
        <w:numPr>
          <w:ilvl w:val="0"/>
          <w:numId w:val="4"/>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bCs/>
          <w:sz w:val="24"/>
          <w:szCs w:val="24"/>
        </w:rPr>
        <w:t>Ynet - Viac ako internet na internáte</w:t>
      </w:r>
      <w:r w:rsidR="00193845" w:rsidRPr="0053555E">
        <w:rPr>
          <w:rFonts w:asciiTheme="majorHAnsi" w:hAnsiTheme="majorHAnsi" w:cstheme="majorHAnsi"/>
          <w:bCs/>
          <w:sz w:val="24"/>
          <w:szCs w:val="24"/>
        </w:rPr>
        <w:t xml:space="preserve"> </w:t>
      </w:r>
    </w:p>
    <w:p w14:paraId="36CEC67F" w14:textId="77777777" w:rsidR="001C2238" w:rsidRPr="0053555E" w:rsidRDefault="00193845" w:rsidP="00E027F7">
      <w:pPr>
        <w:pStyle w:val="Odsekzoznamu"/>
        <w:numPr>
          <w:ilvl w:val="0"/>
          <w:numId w:val="4"/>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bCs/>
          <w:sz w:val="24"/>
          <w:szCs w:val="24"/>
        </w:rPr>
        <w:t>ZŠ SvF - Združenie študentov Stavebnej fakulty</w:t>
      </w:r>
    </w:p>
    <w:p w14:paraId="35A1D4FF" w14:textId="77777777" w:rsidR="00A030AB" w:rsidRPr="009E3F8B" w:rsidRDefault="00193845" w:rsidP="00324438">
      <w:pPr>
        <w:tabs>
          <w:tab w:val="left" w:pos="9356"/>
        </w:tabs>
        <w:jc w:val="both"/>
        <w:rPr>
          <w:rFonts w:asciiTheme="majorHAnsi" w:hAnsiTheme="majorHAnsi" w:cstheme="majorHAnsi"/>
        </w:rPr>
      </w:pPr>
      <w:r w:rsidRPr="009E3F8B">
        <w:rPr>
          <w:rFonts w:asciiTheme="majorHAnsi" w:hAnsiTheme="majorHAnsi" w:cstheme="majorHAnsi"/>
        </w:rPr>
        <w:t>Ďalšie</w:t>
      </w:r>
      <w:r w:rsidR="003F1E18" w:rsidRPr="009E3F8B">
        <w:rPr>
          <w:rFonts w:asciiTheme="majorHAnsi" w:hAnsiTheme="majorHAnsi" w:cstheme="majorHAnsi"/>
        </w:rPr>
        <w:t xml:space="preserve"> študentské organizácie a</w:t>
      </w:r>
      <w:r w:rsidRPr="009E3F8B">
        <w:rPr>
          <w:rFonts w:asciiTheme="majorHAnsi" w:hAnsiTheme="majorHAnsi" w:cstheme="majorHAnsi"/>
        </w:rPr>
        <w:t> </w:t>
      </w:r>
      <w:r w:rsidR="003F1E18" w:rsidRPr="009E3F8B">
        <w:rPr>
          <w:rFonts w:asciiTheme="majorHAnsi" w:hAnsiTheme="majorHAnsi" w:cstheme="majorHAnsi"/>
        </w:rPr>
        <w:t>združenia</w:t>
      </w:r>
      <w:r w:rsidRPr="009E3F8B">
        <w:rPr>
          <w:rFonts w:asciiTheme="majorHAnsi" w:hAnsiTheme="majorHAnsi" w:cstheme="majorHAnsi"/>
        </w:rPr>
        <w:t>,</w:t>
      </w:r>
      <w:r w:rsidR="003F1E18" w:rsidRPr="009E3F8B">
        <w:rPr>
          <w:rFonts w:asciiTheme="majorHAnsi" w:hAnsiTheme="majorHAnsi" w:cstheme="majorHAnsi"/>
        </w:rPr>
        <w:t xml:space="preserve"> </w:t>
      </w:r>
      <w:r w:rsidRPr="009E3F8B">
        <w:rPr>
          <w:rFonts w:asciiTheme="majorHAnsi" w:hAnsiTheme="majorHAnsi" w:cstheme="majorHAnsi"/>
        </w:rPr>
        <w:t xml:space="preserve">v ktorých sú zastúpení </w:t>
      </w:r>
      <w:r w:rsidR="003F1E18" w:rsidRPr="009E3F8B">
        <w:rPr>
          <w:rFonts w:asciiTheme="majorHAnsi" w:hAnsiTheme="majorHAnsi" w:cstheme="majorHAnsi"/>
        </w:rPr>
        <w:t>študent</w:t>
      </w:r>
      <w:r w:rsidRPr="009E3F8B">
        <w:rPr>
          <w:rFonts w:asciiTheme="majorHAnsi" w:hAnsiTheme="majorHAnsi" w:cstheme="majorHAnsi"/>
        </w:rPr>
        <w:t>i</w:t>
      </w:r>
      <w:r w:rsidR="003F1E18" w:rsidRPr="009E3F8B">
        <w:rPr>
          <w:rFonts w:asciiTheme="majorHAnsi" w:hAnsiTheme="majorHAnsi" w:cstheme="majorHAnsi"/>
        </w:rPr>
        <w:t xml:space="preserve"> STU</w:t>
      </w:r>
    </w:p>
    <w:p w14:paraId="1C7512D4" w14:textId="77777777" w:rsidR="00A030AB" w:rsidRPr="0053555E" w:rsidRDefault="0031092D" w:rsidP="00E027F7">
      <w:pPr>
        <w:pStyle w:val="Odsekzoznamu"/>
        <w:numPr>
          <w:ilvl w:val="0"/>
          <w:numId w:val="5"/>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bCs/>
          <w:sz w:val="24"/>
          <w:szCs w:val="24"/>
        </w:rPr>
        <w:t>AIESEC</w:t>
      </w:r>
    </w:p>
    <w:p w14:paraId="526020D6" w14:textId="77777777" w:rsidR="0031092D" w:rsidRPr="0053555E" w:rsidRDefault="006B21F7" w:rsidP="00E027F7">
      <w:pPr>
        <w:pStyle w:val="Odsekzoznamu"/>
        <w:numPr>
          <w:ilvl w:val="0"/>
          <w:numId w:val="5"/>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STUBA Green</w:t>
      </w:r>
      <w:r w:rsidR="0031092D" w:rsidRPr="0053555E">
        <w:rPr>
          <w:rFonts w:asciiTheme="majorHAnsi" w:hAnsiTheme="majorHAnsi" w:cstheme="majorHAnsi"/>
          <w:sz w:val="24"/>
          <w:szCs w:val="24"/>
        </w:rPr>
        <w:t xml:space="preserve"> Team – študentská formula</w:t>
      </w:r>
    </w:p>
    <w:p w14:paraId="4CD89911" w14:textId="77777777" w:rsidR="0031092D" w:rsidRPr="0053555E" w:rsidRDefault="0031092D" w:rsidP="00E027F7">
      <w:pPr>
        <w:pStyle w:val="Odsekzoznamu"/>
        <w:numPr>
          <w:ilvl w:val="0"/>
          <w:numId w:val="5"/>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FME Racing Team</w:t>
      </w:r>
    </w:p>
    <w:p w14:paraId="2C750D86" w14:textId="77777777" w:rsidR="0031092D" w:rsidRPr="0053555E" w:rsidRDefault="0031092D" w:rsidP="00E027F7">
      <w:pPr>
        <w:pStyle w:val="Odsekzoznamu"/>
        <w:numPr>
          <w:ilvl w:val="0"/>
          <w:numId w:val="5"/>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Nexteria</w:t>
      </w:r>
    </w:p>
    <w:p w14:paraId="21949A2F" w14:textId="77777777" w:rsidR="0031092D" w:rsidRPr="0053555E" w:rsidRDefault="0031092D" w:rsidP="00E027F7">
      <w:pPr>
        <w:pStyle w:val="Odsekzoznamu"/>
        <w:numPr>
          <w:ilvl w:val="0"/>
          <w:numId w:val="5"/>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RUŠ – Rada ubytovaných študentov</w:t>
      </w:r>
    </w:p>
    <w:p w14:paraId="5CEBC202" w14:textId="77777777" w:rsidR="0031092D" w:rsidRPr="0053555E" w:rsidRDefault="0031092D" w:rsidP="00E027F7">
      <w:pPr>
        <w:pStyle w:val="Odsekzoznamu"/>
        <w:numPr>
          <w:ilvl w:val="0"/>
          <w:numId w:val="5"/>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Stavbárske srdce, o. z.</w:t>
      </w:r>
    </w:p>
    <w:p w14:paraId="5B7EA4C3" w14:textId="77777777" w:rsidR="0031092D" w:rsidRPr="0053555E" w:rsidRDefault="0031092D" w:rsidP="00E027F7">
      <w:pPr>
        <w:pStyle w:val="Odsekzoznamu"/>
        <w:numPr>
          <w:ilvl w:val="0"/>
          <w:numId w:val="5"/>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Študentská rada vysokých škôl</w:t>
      </w:r>
    </w:p>
    <w:p w14:paraId="2483A51B" w14:textId="77777777" w:rsidR="0031092D" w:rsidRPr="0053555E" w:rsidRDefault="0031092D" w:rsidP="00E027F7">
      <w:pPr>
        <w:pStyle w:val="Odsekzoznamu"/>
        <w:numPr>
          <w:ilvl w:val="0"/>
          <w:numId w:val="5"/>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Študentská televízia mc2</w:t>
      </w:r>
      <w:r w:rsidR="009F1CF2" w:rsidRPr="0053555E">
        <w:rPr>
          <w:rFonts w:asciiTheme="majorHAnsi" w:hAnsiTheme="majorHAnsi" w:cstheme="majorHAnsi"/>
          <w:sz w:val="24"/>
          <w:szCs w:val="24"/>
        </w:rPr>
        <w:t>.sk</w:t>
      </w:r>
    </w:p>
    <w:p w14:paraId="6961D599" w14:textId="77777777" w:rsidR="0031092D" w:rsidRPr="0053555E" w:rsidRDefault="0031092D" w:rsidP="00E027F7">
      <w:pPr>
        <w:pStyle w:val="Odsekzoznamu"/>
        <w:numPr>
          <w:ilvl w:val="0"/>
          <w:numId w:val="5"/>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 xml:space="preserve">Študentský parlament </w:t>
      </w:r>
      <w:r w:rsidR="009D4BD1" w:rsidRPr="0053555E">
        <w:rPr>
          <w:rFonts w:asciiTheme="majorHAnsi" w:hAnsiTheme="majorHAnsi" w:cstheme="majorHAnsi"/>
          <w:sz w:val="24"/>
          <w:szCs w:val="24"/>
        </w:rPr>
        <w:t>FAD</w:t>
      </w:r>
      <w:r w:rsidRPr="0053555E">
        <w:rPr>
          <w:rFonts w:asciiTheme="majorHAnsi" w:hAnsiTheme="majorHAnsi" w:cstheme="majorHAnsi"/>
          <w:sz w:val="24"/>
          <w:szCs w:val="24"/>
        </w:rPr>
        <w:t xml:space="preserve"> STU</w:t>
      </w:r>
    </w:p>
    <w:p w14:paraId="694C31C9" w14:textId="77777777" w:rsidR="0031092D" w:rsidRPr="0053555E" w:rsidRDefault="0031092D" w:rsidP="00E027F7">
      <w:pPr>
        <w:pStyle w:val="Odsekzoznamu"/>
        <w:numPr>
          <w:ilvl w:val="0"/>
          <w:numId w:val="5"/>
        </w:numPr>
        <w:tabs>
          <w:tab w:val="left" w:pos="9356"/>
        </w:tabs>
        <w:spacing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Študentský parlament ÚM STU</w:t>
      </w:r>
    </w:p>
    <w:p w14:paraId="2B1ED8BE" w14:textId="51A028F1" w:rsidR="002071AC" w:rsidRDefault="0031092D" w:rsidP="00E027F7">
      <w:pPr>
        <w:pStyle w:val="Odsekzoznamu"/>
        <w:numPr>
          <w:ilvl w:val="0"/>
          <w:numId w:val="5"/>
        </w:numPr>
        <w:tabs>
          <w:tab w:val="left" w:pos="9356"/>
        </w:tabs>
        <w:spacing w:after="0" w:line="240" w:lineRule="auto"/>
        <w:ind w:left="426" w:hanging="426"/>
        <w:jc w:val="both"/>
        <w:rPr>
          <w:rFonts w:asciiTheme="majorHAnsi" w:hAnsiTheme="majorHAnsi" w:cstheme="majorHAnsi"/>
          <w:sz w:val="24"/>
          <w:szCs w:val="24"/>
        </w:rPr>
      </w:pPr>
      <w:r w:rsidRPr="0053555E">
        <w:rPr>
          <w:rFonts w:asciiTheme="majorHAnsi" w:hAnsiTheme="majorHAnsi" w:cstheme="majorHAnsi"/>
          <w:sz w:val="24"/>
          <w:szCs w:val="24"/>
        </w:rPr>
        <w:t>Študentský radca FIIT STU</w:t>
      </w:r>
      <w:r w:rsidR="00D45C30">
        <w:rPr>
          <w:rFonts w:asciiTheme="majorHAnsi" w:hAnsiTheme="majorHAnsi" w:cstheme="majorHAnsi"/>
          <w:sz w:val="24"/>
          <w:szCs w:val="24"/>
        </w:rPr>
        <w:t xml:space="preserve"> </w:t>
      </w:r>
    </w:p>
    <w:p w14:paraId="084F93D9" w14:textId="3C88B87B" w:rsidR="001C52B3" w:rsidRDefault="001C52B3" w:rsidP="001C52B3">
      <w:pPr>
        <w:tabs>
          <w:tab w:val="left" w:pos="9356"/>
        </w:tabs>
        <w:jc w:val="both"/>
        <w:rPr>
          <w:rFonts w:asciiTheme="majorHAnsi" w:hAnsiTheme="majorHAnsi" w:cstheme="majorHAnsi"/>
        </w:rPr>
      </w:pPr>
    </w:p>
    <w:p w14:paraId="641A23F8" w14:textId="4B30ED92" w:rsidR="009E3F8B" w:rsidRDefault="009E3F8B" w:rsidP="001C52B3">
      <w:pPr>
        <w:tabs>
          <w:tab w:val="left" w:pos="9356"/>
        </w:tabs>
        <w:jc w:val="both"/>
        <w:rPr>
          <w:rFonts w:asciiTheme="majorHAnsi" w:hAnsiTheme="majorHAnsi" w:cstheme="majorHAnsi"/>
        </w:rPr>
      </w:pPr>
    </w:p>
    <w:p w14:paraId="2F16D84D" w14:textId="0500EE5F" w:rsidR="009E3F8B" w:rsidRPr="009E3F8B" w:rsidRDefault="009E3F8B" w:rsidP="001C52B3">
      <w:pPr>
        <w:tabs>
          <w:tab w:val="left" w:pos="9356"/>
        </w:tabs>
        <w:jc w:val="both"/>
        <w:rPr>
          <w:rFonts w:asciiTheme="majorHAnsi" w:hAnsiTheme="majorHAnsi" w:cstheme="majorHAnsi"/>
          <w:b/>
          <w:sz w:val="32"/>
          <w:szCs w:val="32"/>
        </w:rPr>
      </w:pPr>
      <w:r w:rsidRPr="009E3F8B">
        <w:rPr>
          <w:rFonts w:asciiTheme="majorHAnsi" w:hAnsiTheme="majorHAnsi" w:cstheme="majorHAnsi"/>
          <w:b/>
          <w:sz w:val="32"/>
          <w:szCs w:val="32"/>
        </w:rPr>
        <w:t>9. Podporné činnosti vysokej školy</w:t>
      </w:r>
    </w:p>
    <w:p w14:paraId="5FC1734C" w14:textId="27D0F80F" w:rsidR="00A87863" w:rsidRDefault="00A87863">
      <w:pPr>
        <w:rPr>
          <w:rFonts w:asciiTheme="majorHAnsi" w:hAnsiTheme="majorHAnsi" w:cstheme="majorHAnsi"/>
        </w:rPr>
      </w:pPr>
    </w:p>
    <w:p w14:paraId="16C90D1A" w14:textId="30A56462" w:rsidR="009E3F8B" w:rsidRDefault="009E3F8B">
      <w:pPr>
        <w:rPr>
          <w:rFonts w:asciiTheme="majorHAnsi" w:hAnsiTheme="majorHAnsi" w:cstheme="majorHAnsi"/>
          <w:b/>
          <w:sz w:val="28"/>
          <w:szCs w:val="28"/>
        </w:rPr>
      </w:pPr>
      <w:r w:rsidRPr="009E3F8B">
        <w:rPr>
          <w:rFonts w:asciiTheme="majorHAnsi" w:hAnsiTheme="majorHAnsi" w:cstheme="majorHAnsi"/>
          <w:b/>
          <w:sz w:val="28"/>
          <w:szCs w:val="28"/>
        </w:rPr>
        <w:t>9.1. Informačné a komunikačné technológie</w:t>
      </w:r>
    </w:p>
    <w:p w14:paraId="5408C65D" w14:textId="54C83801" w:rsidR="00E01842" w:rsidRDefault="00E01842">
      <w:pPr>
        <w:rPr>
          <w:rFonts w:asciiTheme="majorHAnsi" w:hAnsiTheme="majorHAnsi" w:cstheme="majorHAnsi"/>
          <w:b/>
          <w:sz w:val="28"/>
          <w:szCs w:val="28"/>
        </w:rPr>
      </w:pPr>
    </w:p>
    <w:p w14:paraId="4322F796" w14:textId="041B83CF" w:rsidR="00E01842" w:rsidRPr="00E01842" w:rsidRDefault="00E01842" w:rsidP="00E01842">
      <w:pPr>
        <w:shd w:val="clear" w:color="auto" w:fill="FFFFFF"/>
        <w:jc w:val="both"/>
        <w:rPr>
          <w:rFonts w:asciiTheme="majorHAnsi" w:eastAsia="Times New Roman" w:hAnsiTheme="majorHAnsi" w:cstheme="majorHAnsi"/>
          <w:color w:val="222222"/>
          <w:lang w:eastAsia="sk-SK"/>
        </w:rPr>
      </w:pPr>
      <w:r w:rsidRPr="00E01842">
        <w:rPr>
          <w:rFonts w:asciiTheme="majorHAnsi" w:eastAsia="Times New Roman" w:hAnsiTheme="majorHAnsi" w:cstheme="majorHAnsi"/>
          <w:color w:val="222222"/>
          <w:lang w:eastAsia="sk-SK"/>
        </w:rPr>
        <w:t xml:space="preserve">Centrum výpočtovej techniky je špecializovaným pracoviskom STU, ktoré navrhuje koncepciu, zabezpečuje projektovanie, implementáciu a prevádzku informačných systémov STU </w:t>
      </w:r>
      <w:r>
        <w:rPr>
          <w:rFonts w:asciiTheme="majorHAnsi" w:eastAsia="Times New Roman" w:hAnsiTheme="majorHAnsi" w:cstheme="majorHAnsi"/>
          <w:color w:val="222222"/>
          <w:lang w:eastAsia="sk-SK"/>
        </w:rPr>
        <w:t>a tiež</w:t>
      </w:r>
      <w:r w:rsidRPr="00E01842">
        <w:rPr>
          <w:rFonts w:asciiTheme="majorHAnsi" w:eastAsia="Times New Roman" w:hAnsiTheme="majorHAnsi" w:cstheme="majorHAnsi"/>
          <w:color w:val="222222"/>
          <w:lang w:eastAsia="sk-SK"/>
        </w:rPr>
        <w:t xml:space="preserve"> prevádzku, rozširovanie a inováciu počítačovej siete STUNET. Koordinuje tiež nákup a prevádzku celouniverzitných licencií programových prostriedkov a vytvára technické podmienky pre plnenie povinností STU vyplývajúcich zo zákona o eGovernmente.</w:t>
      </w:r>
    </w:p>
    <w:p w14:paraId="2F80FF4C" w14:textId="77777777" w:rsidR="00E01842" w:rsidRPr="00E01842" w:rsidRDefault="00E01842" w:rsidP="00E01842">
      <w:pPr>
        <w:shd w:val="clear" w:color="auto" w:fill="FFFFFF"/>
        <w:jc w:val="both"/>
        <w:rPr>
          <w:rFonts w:asciiTheme="majorHAnsi" w:eastAsia="Times New Roman" w:hAnsiTheme="majorHAnsi" w:cstheme="majorHAnsi"/>
          <w:color w:val="222222"/>
          <w:lang w:eastAsia="sk-SK"/>
        </w:rPr>
      </w:pPr>
    </w:p>
    <w:p w14:paraId="02CEDD3B" w14:textId="515B48C5" w:rsidR="00E01842" w:rsidRPr="00E01842" w:rsidRDefault="00E01842" w:rsidP="00E01842">
      <w:pPr>
        <w:shd w:val="clear" w:color="auto" w:fill="FFFFFF"/>
        <w:jc w:val="both"/>
        <w:rPr>
          <w:rFonts w:asciiTheme="majorHAnsi" w:eastAsia="Times New Roman" w:hAnsiTheme="majorHAnsi" w:cstheme="majorHAnsi"/>
          <w:color w:val="222222"/>
          <w:lang w:eastAsia="sk-SK"/>
        </w:rPr>
      </w:pPr>
      <w:r w:rsidRPr="00E01842">
        <w:rPr>
          <w:rFonts w:asciiTheme="majorHAnsi" w:eastAsia="Times New Roman" w:hAnsiTheme="majorHAnsi" w:cstheme="majorHAnsi"/>
          <w:color w:val="222222"/>
          <w:lang w:eastAsia="sk-SK"/>
        </w:rPr>
        <w:t xml:space="preserve">CVT pri svojej činnosti dlhodobo kladie dôraz na elektronizáciu univerzitných procesov a znižovanie podielu dokumentov, ktoré sa spracúvajú v papierovej forme. Akademický informačný systém STU predstavuje v súčasnej dobe najkomplexnejší a najrozsiahlejší informačný systém pre riadenie a správu hlavnej činnosti univerzity (pedagogickej a vedecko-výskumnej činnosti) na Slovensku, ktorý v plne elektronickej forme zabezpečuje okrem štandardných procesov </w:t>
      </w:r>
      <w:r>
        <w:rPr>
          <w:rFonts w:asciiTheme="majorHAnsi" w:eastAsia="Times New Roman" w:hAnsiTheme="majorHAnsi" w:cstheme="majorHAnsi"/>
          <w:color w:val="222222"/>
          <w:lang w:eastAsia="sk-SK"/>
        </w:rPr>
        <w:t xml:space="preserve">napr. aj kompletnú agendu </w:t>
      </w:r>
      <w:r w:rsidRPr="00E01842">
        <w:rPr>
          <w:rFonts w:asciiTheme="majorHAnsi" w:eastAsia="Times New Roman" w:hAnsiTheme="majorHAnsi" w:cstheme="majorHAnsi"/>
          <w:color w:val="222222"/>
          <w:lang w:eastAsia="sk-SK"/>
        </w:rPr>
        <w:t>záverečných prác - odovzdávanie záverečných prác, uzatváranie licenčných zmlúv a predkladanie čestných vyhlásení. Ekonomický informačný systém STU už niekoľko rokov podporuje vystavovanie a schvaľovanie objednávok a faktúr plne elektronickou formou, vrátane ich odosielania emailom. Výlučne v elektronickej forme sú vydávané aj všetky smernice a príkazy rektora (vo formáte PDF s kvalifikovaným elektronickým podpisom).</w:t>
      </w:r>
    </w:p>
    <w:p w14:paraId="5509D302" w14:textId="77777777" w:rsidR="00E01842" w:rsidRPr="00E01842" w:rsidRDefault="00E01842" w:rsidP="00E01842">
      <w:pPr>
        <w:shd w:val="clear" w:color="auto" w:fill="FFFFFF"/>
        <w:jc w:val="both"/>
        <w:rPr>
          <w:rFonts w:asciiTheme="majorHAnsi" w:eastAsia="Times New Roman" w:hAnsiTheme="majorHAnsi" w:cstheme="majorHAnsi"/>
          <w:color w:val="222222"/>
          <w:lang w:eastAsia="sk-SK"/>
        </w:rPr>
      </w:pPr>
    </w:p>
    <w:p w14:paraId="74F0E4DE" w14:textId="312492C2" w:rsidR="00E01842" w:rsidRPr="00E01842" w:rsidRDefault="00E01842" w:rsidP="00E01842">
      <w:pPr>
        <w:shd w:val="clear" w:color="auto" w:fill="FFFFFF"/>
        <w:jc w:val="both"/>
        <w:rPr>
          <w:rFonts w:asciiTheme="majorHAnsi" w:eastAsia="Times New Roman" w:hAnsiTheme="majorHAnsi" w:cstheme="majorHAnsi"/>
          <w:color w:val="222222"/>
          <w:lang w:eastAsia="sk-SK"/>
        </w:rPr>
      </w:pPr>
      <w:r w:rsidRPr="00E01842">
        <w:rPr>
          <w:rFonts w:asciiTheme="majorHAnsi" w:eastAsia="Times New Roman" w:hAnsiTheme="majorHAnsi" w:cstheme="majorHAnsi"/>
          <w:color w:val="222222"/>
          <w:lang w:eastAsia="sk-SK"/>
        </w:rPr>
        <w:t xml:space="preserve">V roku 2022 bola do elektronickej formy prevedená agenda cestovných príkazov, kde sa žiadosť o vyslanie na pracovnú cestu ako aj vyúčtovanie nákladov po jej uskutočnení realizuje </w:t>
      </w:r>
      <w:r w:rsidRPr="00E01842">
        <w:rPr>
          <w:rFonts w:asciiTheme="majorHAnsi" w:eastAsia="Times New Roman" w:hAnsiTheme="majorHAnsi" w:cstheme="majorHAnsi"/>
          <w:color w:val="222222"/>
          <w:lang w:eastAsia="sk-SK"/>
        </w:rPr>
        <w:lastRenderedPageBreak/>
        <w:t>v prostredí Personálneho portálu STU, ktorý za</w:t>
      </w:r>
      <w:r w:rsidR="00BB4E45">
        <w:rPr>
          <w:rFonts w:asciiTheme="majorHAnsi" w:eastAsia="Times New Roman" w:hAnsiTheme="majorHAnsi" w:cstheme="majorHAnsi"/>
          <w:color w:val="222222"/>
          <w:lang w:eastAsia="sk-SK"/>
        </w:rPr>
        <w:t>mestnanci dlhodobo používajú na</w:t>
      </w:r>
      <w:r w:rsidRPr="00E01842">
        <w:rPr>
          <w:rFonts w:asciiTheme="majorHAnsi" w:eastAsia="Times New Roman" w:hAnsiTheme="majorHAnsi" w:cstheme="majorHAnsi"/>
          <w:color w:val="222222"/>
          <w:lang w:eastAsia="sk-SK"/>
        </w:rPr>
        <w:t xml:space="preserve"> prístup k elektronickým výplatným páskam. V roku 2022 začala STU aktívne vyzývať svojich dodávateľov, aby faktúry za tovary a služby zasielali výlučne v elektronickej forme. Vzhľadom na výrazný nárast počtu elektronických dokumentov bolo nainštalované nové diskové pole a posilnená komunikačná infraštruktúra dátového centra STU, pričom postupne dochádza aj k navyšovaniu kapacity chrbticovej siete STUNET na 100 Gbit/s.</w:t>
      </w:r>
    </w:p>
    <w:p w14:paraId="0786DA3C" w14:textId="3FAC4F34" w:rsidR="009E3F8B" w:rsidRDefault="009E3F8B">
      <w:pPr>
        <w:rPr>
          <w:rFonts w:asciiTheme="majorHAnsi" w:hAnsiTheme="majorHAnsi" w:cstheme="majorHAnsi"/>
        </w:rPr>
      </w:pPr>
    </w:p>
    <w:tbl>
      <w:tblPr>
        <w:tblW w:w="9792" w:type="dxa"/>
        <w:tblCellSpacing w:w="0" w:type="dxa"/>
        <w:tblCellMar>
          <w:left w:w="0" w:type="dxa"/>
          <w:right w:w="0" w:type="dxa"/>
        </w:tblCellMar>
        <w:tblLook w:val="04A0" w:firstRow="1" w:lastRow="0" w:firstColumn="1" w:lastColumn="0" w:noHBand="0" w:noVBand="1"/>
      </w:tblPr>
      <w:tblGrid>
        <w:gridCol w:w="9792"/>
      </w:tblGrid>
      <w:tr w:rsidR="00790747" w:rsidRPr="004861AE" w14:paraId="10D9FF76" w14:textId="77777777" w:rsidTr="00D6469C">
        <w:trPr>
          <w:trHeight w:val="300"/>
          <w:tblCellSpacing w:w="0" w:type="dxa"/>
        </w:trPr>
        <w:tc>
          <w:tcPr>
            <w:tcW w:w="9786" w:type="dxa"/>
            <w:vAlign w:val="center"/>
          </w:tcPr>
          <w:p w14:paraId="39CDC561" w14:textId="237046D7" w:rsidR="00790747" w:rsidRDefault="00790747" w:rsidP="00D6469C">
            <w:pPr>
              <w:rPr>
                <w:rFonts w:cstheme="minorHAnsi"/>
                <w:b/>
                <w:sz w:val="28"/>
                <w:szCs w:val="28"/>
              </w:rPr>
            </w:pPr>
            <w:r w:rsidRPr="00790747">
              <w:rPr>
                <w:b/>
                <w:sz w:val="28"/>
                <w:szCs w:val="28"/>
              </w:rPr>
              <w:t>9.2.</w:t>
            </w:r>
            <w:r>
              <w:rPr>
                <w:sz w:val="28"/>
                <w:szCs w:val="28"/>
              </w:rPr>
              <w:t xml:space="preserve"> </w:t>
            </w:r>
            <w:r w:rsidRPr="004861AE">
              <w:rPr>
                <w:rFonts w:cstheme="minorHAnsi"/>
                <w:b/>
                <w:sz w:val="28"/>
                <w:szCs w:val="28"/>
              </w:rPr>
              <w:t>Vysokoškolský umelecký súbor Technik</w:t>
            </w:r>
          </w:p>
          <w:p w14:paraId="255A6DF7" w14:textId="77777777" w:rsidR="00790747" w:rsidRDefault="00790747" w:rsidP="00D6469C">
            <w:pPr>
              <w:rPr>
                <w:sz w:val="28"/>
                <w:szCs w:val="28"/>
              </w:rPr>
            </w:pPr>
          </w:p>
          <w:p w14:paraId="2619E518" w14:textId="77777777" w:rsidR="00790747" w:rsidRDefault="00790747" w:rsidP="00D6469C">
            <w:pPr>
              <w:jc w:val="both"/>
            </w:pPr>
            <w:r w:rsidRPr="00C40A4F">
              <w:t>Súbor VUS Technik STU pracoval v roku 202</w:t>
            </w:r>
            <w:r>
              <w:t xml:space="preserve">2 </w:t>
            </w:r>
            <w:r w:rsidRPr="00C40A4F">
              <w:t xml:space="preserve">vo všetkých zložkách: Komornom orchestri, Speváckom zbore a Folklórnom súbore. Všetky pracovali na vypracovanom pláne a na aktivitách </w:t>
            </w:r>
            <w:r>
              <w:t>už bez pandemických opatrení. Vrátil sa tak k svojim zabehnutým aktivitám v podobe nácvikov, koncertov, tvorbe</w:t>
            </w:r>
            <w:r w:rsidRPr="00C40A4F">
              <w:t xml:space="preserve">. </w:t>
            </w:r>
          </w:p>
          <w:p w14:paraId="4A768ECD" w14:textId="77777777" w:rsidR="00790747" w:rsidRPr="00C368A7" w:rsidRDefault="00790747" w:rsidP="00D6469C">
            <w:pPr>
              <w:jc w:val="both"/>
            </w:pPr>
            <w:r w:rsidRPr="00C40A4F">
              <w:rPr>
                <w:b/>
              </w:rPr>
              <w:t xml:space="preserve">Spevácky zbor </w:t>
            </w:r>
            <w:r w:rsidRPr="00C368A7">
              <w:t>Technik</w:t>
            </w:r>
            <w:r w:rsidRPr="00C40A4F">
              <w:t xml:space="preserve"> </w:t>
            </w:r>
            <w:r>
              <w:t>nacvičoval</w:t>
            </w:r>
            <w:r w:rsidRPr="00C368A7">
              <w:t xml:space="preserve"> na FCHPT STU dvakrát týždenne. Absolvoval mnoho koncertov, z nich najznámejšie boli v Bratislave, Žiline, </w:t>
            </w:r>
            <w:r>
              <w:t xml:space="preserve">na </w:t>
            </w:r>
            <w:r w:rsidRPr="00C368A7">
              <w:t>Gorazdovom Mo</w:t>
            </w:r>
            <w:r>
              <w:t>čenku. Pokračoval</w:t>
            </w:r>
            <w:r w:rsidRPr="00C368A7">
              <w:t xml:space="preserve"> vo vytváraní nových zvukových nahrávok pre naučenie sa zborových partov</w:t>
            </w:r>
            <w:r>
              <w:t xml:space="preserve"> </w:t>
            </w:r>
            <w:r w:rsidRPr="00C368A7">
              <w:t>- Výučbová knižnic</w:t>
            </w:r>
            <w:r>
              <w:t>a pre zbory online.  Naštudoval</w:t>
            </w:r>
            <w:r w:rsidRPr="00C368A7">
              <w:t xml:space="preserve"> skladby od Duruflého, Bernátha, Fulmeka, Ho</w:t>
            </w:r>
            <w:r>
              <w:t>chela, Márii Jašurdovej. Bol</w:t>
            </w:r>
            <w:r w:rsidRPr="00C368A7">
              <w:t xml:space="preserve"> súčasťou koncertu Elán</w:t>
            </w:r>
            <w:r>
              <w:t xml:space="preserve"> je klasika, nahrával</w:t>
            </w:r>
            <w:r w:rsidRPr="00C368A7">
              <w:t xml:space="preserve">  filmovú hudbu pre spoločnosť </w:t>
            </w:r>
            <w:r>
              <w:t>Disney a kalendárny rok ukončil</w:t>
            </w:r>
            <w:r w:rsidRPr="00C368A7">
              <w:t xml:space="preserve"> </w:t>
            </w:r>
            <w:r>
              <w:t>interpretáciou</w:t>
            </w:r>
            <w:r w:rsidRPr="00C368A7">
              <w:t xml:space="preserve"> Tichej noci na zimnom štadión</w:t>
            </w:r>
            <w:r>
              <w:t>e Ondreja Nepelu počas zápasu HC</w:t>
            </w:r>
            <w:r w:rsidRPr="00C368A7">
              <w:t xml:space="preserve"> Slovan Bratislava.</w:t>
            </w:r>
          </w:p>
          <w:p w14:paraId="41513A72" w14:textId="77777777" w:rsidR="00790747" w:rsidRDefault="00790747" w:rsidP="00D6469C">
            <w:pPr>
              <w:jc w:val="both"/>
            </w:pPr>
            <w:r w:rsidRPr="00C40A4F">
              <w:rPr>
                <w:b/>
              </w:rPr>
              <w:t>Komorný orchester Technik</w:t>
            </w:r>
            <w:r w:rsidRPr="00C40A4F">
              <w:t xml:space="preserve"> </w:t>
            </w:r>
            <w:r w:rsidRPr="00057BA7">
              <w:t>sa  po troch rokoch opäť zúčastnil  (17. – 18.6.2022) jubilejného 30. ročníka celoslovenskej súťažnej prehliadky neprofesionálnych komorných hudobných telies  Divertimento Musicale v Rimavskej Sobote, kde získal  najvyššie ocenenie  Zlaté pásmo v kategórii Inštrumentálne zoskupenia a orchestre nad 9 členov a tým obhájil svoje víťazstvo z krajského kola v roku 2021.</w:t>
            </w:r>
            <w:r>
              <w:t xml:space="preserve"> </w:t>
            </w:r>
            <w:r w:rsidRPr="00057BA7">
              <w:t xml:space="preserve">Po letnej prestávke </w:t>
            </w:r>
            <w:r>
              <w:t>otvoril v septembri  2022</w:t>
            </w:r>
            <w:r w:rsidRPr="00057BA7">
              <w:t> novú sezónu spoluprácou so študentkou dirigovania zo Štátneho Konzervatória z triedy profesora Konstantina Illievskeho</w:t>
            </w:r>
            <w:r w:rsidRPr="00C40A4F">
              <w:t>.</w:t>
            </w:r>
          </w:p>
          <w:p w14:paraId="643BF770" w14:textId="77777777" w:rsidR="00790747" w:rsidRDefault="00790747" w:rsidP="00D6469C">
            <w:pPr>
              <w:jc w:val="both"/>
            </w:pPr>
            <w:r w:rsidRPr="00C40A4F">
              <w:rPr>
                <w:b/>
              </w:rPr>
              <w:t>Folklórny súbor</w:t>
            </w:r>
            <w:r>
              <w:rPr>
                <w:b/>
              </w:rPr>
              <w:t xml:space="preserve"> Technik</w:t>
            </w:r>
            <w:r w:rsidRPr="00057BA7">
              <w:rPr>
                <w:bCs/>
                <w:i/>
                <w:iCs/>
                <w:color w:val="000080"/>
              </w:rPr>
              <w:t xml:space="preserve"> </w:t>
            </w:r>
            <w:r w:rsidRPr="00057BA7">
              <w:t>s</w:t>
            </w:r>
            <w:r>
              <w:t>a v roku 2022 vrátil k pôvodnej</w:t>
            </w:r>
            <w:r w:rsidRPr="00057BA7">
              <w:t xml:space="preserve"> </w:t>
            </w:r>
            <w:r>
              <w:t>činnosti</w:t>
            </w:r>
            <w:r w:rsidRPr="00057BA7">
              <w:t xml:space="preserve"> v podobe nácvikov, vystú</w:t>
            </w:r>
            <w:r>
              <w:t>pení, zájazdov. Následne dohodol aktivity na rok 2022 a začal</w:t>
            </w:r>
            <w:r w:rsidRPr="00057BA7">
              <w:t xml:space="preserve"> s nacvičovaním večerného programu Z mesta na mie</w:t>
            </w:r>
            <w:r>
              <w:t>sta, ktorým sa počas roka prezentoval</w:t>
            </w:r>
            <w:r w:rsidRPr="00057BA7">
              <w:t xml:space="preserve"> na festivaloch, vystúpeniach na Heľpe, na Morave a</w:t>
            </w:r>
            <w:r>
              <w:t xml:space="preserve"> v španielskej </w:t>
            </w:r>
            <w:r w:rsidRPr="00057BA7">
              <w:t xml:space="preserve">Zaragoze. </w:t>
            </w:r>
            <w:r>
              <w:t>Počas festivalu absolvoval</w:t>
            </w:r>
            <w:r w:rsidRPr="00057BA7">
              <w:t xml:space="preserve"> viacero aktivít</w:t>
            </w:r>
            <w:r>
              <w:t xml:space="preserve"> - sprievod mestom</w:t>
            </w:r>
            <w:r w:rsidRPr="00057BA7">
              <w:t>, predstavenie na námestí Plaza del Pilar, ktoré je druhé najväčšie v Európe, spoločné privítanie na radnic</w:t>
            </w:r>
            <w:r>
              <w:t>i majorkou mesta Sara Fernandéz</w:t>
            </w:r>
            <w:r w:rsidRPr="00057BA7">
              <w:t>, predstavenie v okolitých mestách Zuera, Binefár, 2 vystúpenie v Auditórium W.</w:t>
            </w:r>
            <w:r>
              <w:t xml:space="preserve"> </w:t>
            </w:r>
            <w:r w:rsidRPr="00057BA7">
              <w:t>A.</w:t>
            </w:r>
            <w:r>
              <w:t xml:space="preserve"> </w:t>
            </w:r>
            <w:r w:rsidRPr="00057BA7">
              <w:t>Mozarta  pre 2000 divákov.</w:t>
            </w:r>
            <w:r>
              <w:t xml:space="preserve"> </w:t>
            </w:r>
          </w:p>
          <w:p w14:paraId="6B905D39" w14:textId="77777777" w:rsidR="00790747" w:rsidRDefault="00790747" w:rsidP="00D6469C">
            <w:pPr>
              <w:jc w:val="both"/>
            </w:pPr>
            <w:r>
              <w:t>Koncom roku 2022 pripravili spoločne všetky zložky súboru slávnostný program venovaný 85.výročiu založenia Slovenskej Technickej univerzity. Následne sa</w:t>
            </w:r>
            <w:r w:rsidRPr="00057BA7">
              <w:t xml:space="preserve"> veľmi intenzívne</w:t>
            </w:r>
            <w:r>
              <w:t xml:space="preserve"> začalo </w:t>
            </w:r>
            <w:r w:rsidRPr="00057BA7">
              <w:t xml:space="preserve"> pracovať na 70 výročí súboru Technik</w:t>
            </w:r>
            <w:r>
              <w:t>, ktorého oslavy v podobe spoločných a samostatných koncertov budú v roku 2023.</w:t>
            </w:r>
          </w:p>
          <w:p w14:paraId="1C55563C" w14:textId="77777777" w:rsidR="00790747" w:rsidRPr="004861AE" w:rsidRDefault="00790747" w:rsidP="00D6469C">
            <w:pPr>
              <w:rPr>
                <w:sz w:val="28"/>
                <w:szCs w:val="28"/>
              </w:rPr>
            </w:pPr>
          </w:p>
        </w:tc>
      </w:tr>
      <w:tr w:rsidR="00790747" w:rsidRPr="00C25484" w14:paraId="2AE14F8B" w14:textId="77777777" w:rsidTr="00D6469C">
        <w:trPr>
          <w:trHeight w:val="270"/>
          <w:tblCellSpacing w:w="0" w:type="dxa"/>
        </w:trPr>
        <w:tc>
          <w:tcPr>
            <w:tcW w:w="9786" w:type="dxa"/>
            <w:vAlign w:val="center"/>
          </w:tcPr>
          <w:p w14:paraId="162A062C" w14:textId="77777777" w:rsidR="00790747" w:rsidRDefault="00790747" w:rsidP="00D6469C">
            <w:pPr>
              <w:rPr>
                <w:rFonts w:cstheme="minorHAnsi"/>
                <w:b/>
                <w:sz w:val="28"/>
                <w:szCs w:val="28"/>
              </w:rPr>
            </w:pPr>
            <w:r w:rsidRPr="00C25484">
              <w:rPr>
                <w:rFonts w:cstheme="minorHAnsi"/>
                <w:b/>
                <w:sz w:val="28"/>
                <w:szCs w:val="28"/>
              </w:rPr>
              <w:t>9.3. Vydavateľstvo Spektrum</w:t>
            </w:r>
          </w:p>
          <w:p w14:paraId="653B7137" w14:textId="77777777" w:rsidR="00790747" w:rsidRDefault="00790747" w:rsidP="00D6469C">
            <w:pPr>
              <w:rPr>
                <w:rFonts w:cstheme="minorHAnsi"/>
                <w:b/>
                <w:sz w:val="28"/>
                <w:szCs w:val="28"/>
              </w:rPr>
            </w:pPr>
          </w:p>
          <w:p w14:paraId="347343C4" w14:textId="31631B80" w:rsidR="00790747" w:rsidRPr="00C25484" w:rsidRDefault="00790747" w:rsidP="00D6469C">
            <w:r w:rsidRPr="00C25484">
              <w:t>Vydavateľstvo SPEKTRUM STU vydáva na základe požiadaviek fakúlt a pracovísk STU študijnú literatúru vo forme skrípt, vysokoškolských učebníc a príručiek, monografií, zborníkov vedeckých prác a zborníkov z odborných seminárov a konferencií, odborných časopisov. Okrem literatúry na študijné účely vydáva aj populárno-náučné publikácie a monografie zamerané na významné osobnosti, stavby, pamiatky a ďalšie oblasti súvisiace s technikou či česko-slovenskou históriou.</w:t>
            </w:r>
            <w:r w:rsidRPr="00C25484">
              <w:br/>
              <w:t>Väčšina predaja vydavateľskej produkcie sa realizuje prostredníctvom elektronického obchodu (eshop vydavateľstva) a kníhkupectiev lokalizovaných na fakultách. Vydavateľstvo SPEKTRUM STU zabezpečuje aj vydávanie elektronických publikácií na študijné účely, ktoré si môžu študenti STU sťahovať zdarma z dokumentového serveru AIS.</w:t>
            </w:r>
          </w:p>
          <w:p w14:paraId="00B2549B" w14:textId="77777777" w:rsidR="00790747" w:rsidRPr="00C25484" w:rsidRDefault="00790747" w:rsidP="00D6469C">
            <w:r>
              <w:lastRenderedPageBreak/>
              <w:t>V roku 2022</w:t>
            </w:r>
            <w:r w:rsidRPr="00C25484">
              <w:t xml:space="preserve"> Vydavateľstvo SPEKTRUM STU vydalo 23 zborníkov a 47 titulov študijnej literatúry, v tom 23 skrípt, 21 vysokoškolských učebníc a 3 monografie. Zastúpenie jednotlivých titulov študijnej literatúry podľa príslušnosti k fakulte bolo: Stavebná fakulta – 18 titulov, Strojnícka fakulta – 6 titulov, Fakulta chemickej a potravinárskej technológie – 2 tituly, Fakulta architektúry a dizajnu – 5 titulov, Fakulta elektrotechniky a informatiky – 9 titulov, Ústav manažmentu – 1 titul, Materiálovotechnologická fakulta so sídlom v Trnave – 1 titul. Okrem toho vydalo </w:t>
            </w:r>
            <w:r>
              <w:t>jeden</w:t>
            </w:r>
            <w:r w:rsidRPr="00C25484">
              <w:t xml:space="preserve"> celouniverzitný reprezentačný titul. </w:t>
            </w:r>
          </w:p>
          <w:p w14:paraId="54646771" w14:textId="77777777" w:rsidR="00790747" w:rsidRPr="00C25484" w:rsidRDefault="00790747" w:rsidP="00D6469C">
            <w:pPr>
              <w:rPr>
                <w:b/>
                <w:sz w:val="28"/>
                <w:szCs w:val="28"/>
              </w:rPr>
            </w:pPr>
          </w:p>
        </w:tc>
      </w:tr>
    </w:tbl>
    <w:p w14:paraId="596DBA01" w14:textId="0C5A84A2" w:rsidR="00761028" w:rsidRPr="00FB0F03" w:rsidRDefault="00FB0F03" w:rsidP="00FB0F03">
      <w:pPr>
        <w:rPr>
          <w:b/>
          <w:sz w:val="28"/>
          <w:szCs w:val="28"/>
        </w:rPr>
      </w:pPr>
      <w:bookmarkStart w:id="263" w:name="_Systém_kvality_a"/>
      <w:bookmarkStart w:id="264" w:name="_Absolventi"/>
      <w:bookmarkStart w:id="265" w:name="_Toc127593252"/>
      <w:bookmarkEnd w:id="263"/>
      <w:bookmarkEnd w:id="264"/>
      <w:r w:rsidRPr="00FB0F03">
        <w:rPr>
          <w:b/>
          <w:sz w:val="28"/>
          <w:szCs w:val="28"/>
        </w:rPr>
        <w:lastRenderedPageBreak/>
        <w:t xml:space="preserve">9.4. </w:t>
      </w:r>
      <w:r w:rsidR="00761028" w:rsidRPr="00FB0F03">
        <w:rPr>
          <w:b/>
          <w:sz w:val="28"/>
          <w:szCs w:val="28"/>
        </w:rPr>
        <w:t>Absolventi</w:t>
      </w:r>
      <w:bookmarkEnd w:id="265"/>
    </w:p>
    <w:p w14:paraId="422CA111" w14:textId="77777777" w:rsidR="00FB0F03" w:rsidRPr="00FB0F03" w:rsidRDefault="00FB0F03" w:rsidP="00FB0F03"/>
    <w:p w14:paraId="5BCDEBFE" w14:textId="0A2F6B40" w:rsidR="00E753DD" w:rsidRPr="0053555E" w:rsidRDefault="00E753DD" w:rsidP="00E753DD">
      <w:pPr>
        <w:spacing w:after="120"/>
        <w:jc w:val="both"/>
        <w:rPr>
          <w:rFonts w:asciiTheme="majorHAnsi" w:hAnsiTheme="majorHAnsi" w:cstheme="majorHAnsi"/>
        </w:rPr>
      </w:pPr>
      <w:r w:rsidRPr="0053555E">
        <w:rPr>
          <w:rFonts w:asciiTheme="majorHAnsi" w:hAnsiTheme="majorHAnsi" w:cstheme="majorHAnsi"/>
        </w:rPr>
        <w:t>STU</w:t>
      </w:r>
      <w:r w:rsidR="00FB0F03">
        <w:rPr>
          <w:rFonts w:asciiTheme="majorHAnsi" w:hAnsiTheme="majorHAnsi" w:cstheme="majorHAnsi"/>
        </w:rPr>
        <w:t>, najmä</w:t>
      </w:r>
      <w:r w:rsidRPr="0053555E">
        <w:rPr>
          <w:rFonts w:asciiTheme="majorHAnsi" w:hAnsiTheme="majorHAnsi" w:cstheme="majorHAnsi"/>
        </w:rPr>
        <w:t xml:space="preserve"> jednotlivé pracoviská po absolvovaní štúdia udržiavajú aktívny kontakt so svojimi absolventmi</w:t>
      </w:r>
      <w:r w:rsidR="00B67FDC" w:rsidRPr="0053555E">
        <w:rPr>
          <w:rFonts w:asciiTheme="majorHAnsi" w:hAnsiTheme="majorHAnsi" w:cstheme="majorHAnsi"/>
        </w:rPr>
        <w:t>,</w:t>
      </w:r>
      <w:r w:rsidRPr="0053555E">
        <w:rPr>
          <w:rFonts w:asciiTheme="majorHAnsi" w:hAnsiTheme="majorHAnsi" w:cstheme="majorHAnsi"/>
        </w:rPr>
        <w:t xml:space="preserve"> </w:t>
      </w:r>
      <w:r w:rsidR="00D44D54" w:rsidRPr="0053555E">
        <w:rPr>
          <w:rFonts w:asciiTheme="majorHAnsi" w:hAnsiTheme="majorHAnsi" w:cstheme="majorHAnsi"/>
        </w:rPr>
        <w:t>najmä prostredníctvom</w:t>
      </w:r>
      <w:r w:rsidRPr="0053555E">
        <w:rPr>
          <w:rFonts w:asciiTheme="majorHAnsi" w:hAnsiTheme="majorHAnsi" w:cstheme="majorHAnsi"/>
        </w:rPr>
        <w:t xml:space="preserve"> Alumni klubu STU, Priemyselných rád fakúlt, </w:t>
      </w:r>
      <w:r w:rsidR="007C7F68" w:rsidRPr="0053555E">
        <w:rPr>
          <w:rFonts w:asciiTheme="majorHAnsi" w:hAnsiTheme="majorHAnsi" w:cstheme="majorHAnsi"/>
        </w:rPr>
        <w:t xml:space="preserve">v ktorých sú zastúpení zamestnávatelia, </w:t>
      </w:r>
      <w:r w:rsidRPr="0053555E">
        <w:rPr>
          <w:rFonts w:asciiTheme="majorHAnsi" w:hAnsiTheme="majorHAnsi" w:cstheme="majorHAnsi"/>
        </w:rPr>
        <w:t>stavovských organizácií</w:t>
      </w:r>
      <w:r w:rsidR="006412E9" w:rsidRPr="0053555E">
        <w:rPr>
          <w:rFonts w:asciiTheme="majorHAnsi" w:hAnsiTheme="majorHAnsi" w:cstheme="majorHAnsi"/>
        </w:rPr>
        <w:t xml:space="preserve">, </w:t>
      </w:r>
      <w:r w:rsidRPr="0053555E">
        <w:rPr>
          <w:rFonts w:asciiTheme="majorHAnsi" w:hAnsiTheme="majorHAnsi" w:cstheme="majorHAnsi"/>
        </w:rPr>
        <w:t>spolk</w:t>
      </w:r>
      <w:r w:rsidR="006C73F9" w:rsidRPr="0053555E">
        <w:rPr>
          <w:rFonts w:asciiTheme="majorHAnsi" w:hAnsiTheme="majorHAnsi" w:cstheme="majorHAnsi"/>
        </w:rPr>
        <w:t>ov</w:t>
      </w:r>
      <w:r w:rsidRPr="0053555E">
        <w:rPr>
          <w:rFonts w:asciiTheme="majorHAnsi" w:hAnsiTheme="majorHAnsi" w:cstheme="majorHAnsi"/>
        </w:rPr>
        <w:t xml:space="preserve"> absolventov pôsobiac</w:t>
      </w:r>
      <w:r w:rsidR="006C73F9" w:rsidRPr="0053555E">
        <w:rPr>
          <w:rFonts w:asciiTheme="majorHAnsi" w:hAnsiTheme="majorHAnsi" w:cstheme="majorHAnsi"/>
        </w:rPr>
        <w:t>ich</w:t>
      </w:r>
      <w:r w:rsidRPr="0053555E">
        <w:rPr>
          <w:rFonts w:asciiTheme="majorHAnsi" w:hAnsiTheme="majorHAnsi" w:cstheme="majorHAnsi"/>
        </w:rPr>
        <w:t xml:space="preserve"> v rámci niektorých súčastí STU</w:t>
      </w:r>
      <w:r w:rsidR="006412E9" w:rsidRPr="0053555E">
        <w:rPr>
          <w:rFonts w:asciiTheme="majorHAnsi" w:hAnsiTheme="majorHAnsi" w:cstheme="majorHAnsi"/>
        </w:rPr>
        <w:t>. Pre komunikác</w:t>
      </w:r>
      <w:r w:rsidR="001562DB" w:rsidRPr="0053555E">
        <w:rPr>
          <w:rFonts w:asciiTheme="majorHAnsi" w:hAnsiTheme="majorHAnsi" w:cstheme="majorHAnsi"/>
        </w:rPr>
        <w:t>iu s absolventmi STU využíva aj </w:t>
      </w:r>
      <w:r w:rsidRPr="0053555E">
        <w:rPr>
          <w:rFonts w:asciiTheme="majorHAnsi" w:hAnsiTheme="majorHAnsi" w:cstheme="majorHAnsi"/>
        </w:rPr>
        <w:t>Portál absolventov STU</w:t>
      </w:r>
      <w:r w:rsidR="00FB0F03">
        <w:rPr>
          <w:rFonts w:asciiTheme="majorHAnsi" w:hAnsiTheme="majorHAnsi" w:cstheme="majorHAnsi"/>
        </w:rPr>
        <w:t>.</w:t>
      </w:r>
    </w:p>
    <w:p w14:paraId="05E35C4C" w14:textId="0492672D" w:rsidR="00C5213A" w:rsidRPr="0053555E" w:rsidRDefault="00FB0F03" w:rsidP="00304FC6">
      <w:pPr>
        <w:spacing w:after="120"/>
        <w:jc w:val="both"/>
        <w:rPr>
          <w:rFonts w:asciiTheme="majorHAnsi" w:hAnsiTheme="majorHAnsi" w:cstheme="majorHAnsi"/>
        </w:rPr>
      </w:pPr>
      <w:r>
        <w:rPr>
          <w:rFonts w:asciiTheme="majorHAnsi" w:hAnsiTheme="majorHAnsi" w:cstheme="majorHAnsi"/>
        </w:rPr>
        <w:t>Súčasti STU a</w:t>
      </w:r>
      <w:r w:rsidR="00BB7813" w:rsidRPr="0053555E">
        <w:rPr>
          <w:rFonts w:asciiTheme="majorHAnsi" w:hAnsiTheme="majorHAnsi" w:cstheme="majorHAnsi"/>
        </w:rPr>
        <w:t xml:space="preserve"> ich pracoviská </w:t>
      </w:r>
      <w:r w:rsidR="00426CB9" w:rsidRPr="0053555E">
        <w:rPr>
          <w:rFonts w:asciiTheme="majorHAnsi" w:hAnsiTheme="majorHAnsi" w:cstheme="majorHAnsi"/>
        </w:rPr>
        <w:t>neformálne</w:t>
      </w:r>
      <w:r w:rsidR="00BB7813" w:rsidRPr="0053555E">
        <w:rPr>
          <w:rFonts w:asciiTheme="majorHAnsi" w:hAnsiTheme="majorHAnsi" w:cstheme="majorHAnsi"/>
        </w:rPr>
        <w:t xml:space="preserve"> vzťahy </w:t>
      </w:r>
      <w:r>
        <w:rPr>
          <w:rFonts w:asciiTheme="majorHAnsi" w:hAnsiTheme="majorHAnsi" w:cstheme="majorHAnsi"/>
        </w:rPr>
        <w:t>s</w:t>
      </w:r>
      <w:r w:rsidR="00BB7813" w:rsidRPr="0053555E">
        <w:rPr>
          <w:rFonts w:asciiTheme="majorHAnsi" w:hAnsiTheme="majorHAnsi" w:cstheme="majorHAnsi"/>
        </w:rPr>
        <w:t xml:space="preserve"> absolventmi</w:t>
      </w:r>
      <w:r w:rsidR="00063DCF" w:rsidRPr="0053555E">
        <w:rPr>
          <w:rFonts w:asciiTheme="majorHAnsi" w:hAnsiTheme="majorHAnsi" w:cstheme="majorHAnsi"/>
        </w:rPr>
        <w:t xml:space="preserve"> </w:t>
      </w:r>
      <w:r w:rsidR="00CD5E28" w:rsidRPr="0053555E">
        <w:rPr>
          <w:rFonts w:asciiTheme="majorHAnsi" w:hAnsiTheme="majorHAnsi" w:cstheme="majorHAnsi"/>
        </w:rPr>
        <w:t xml:space="preserve">vyžívajú </w:t>
      </w:r>
      <w:r w:rsidR="00DA3EDD" w:rsidRPr="0053555E">
        <w:rPr>
          <w:rFonts w:asciiTheme="majorHAnsi" w:hAnsiTheme="majorHAnsi" w:cstheme="majorHAnsi"/>
        </w:rPr>
        <w:t xml:space="preserve">napríklad </w:t>
      </w:r>
      <w:r w:rsidR="00CD5E28" w:rsidRPr="0053555E">
        <w:rPr>
          <w:rFonts w:asciiTheme="majorHAnsi" w:hAnsiTheme="majorHAnsi" w:cstheme="majorHAnsi"/>
        </w:rPr>
        <w:t>pri </w:t>
      </w:r>
      <w:r w:rsidR="00986C18" w:rsidRPr="0053555E">
        <w:rPr>
          <w:rFonts w:asciiTheme="majorHAnsi" w:hAnsiTheme="majorHAnsi" w:cstheme="majorHAnsi"/>
        </w:rPr>
        <w:t>vedení</w:t>
      </w:r>
      <w:r w:rsidR="00650458" w:rsidRPr="0053555E">
        <w:rPr>
          <w:rFonts w:asciiTheme="majorHAnsi" w:hAnsiTheme="majorHAnsi" w:cstheme="majorHAnsi"/>
        </w:rPr>
        <w:t xml:space="preserve"> záverečných prác</w:t>
      </w:r>
      <w:r w:rsidR="00931AFE" w:rsidRPr="0053555E">
        <w:rPr>
          <w:rFonts w:asciiTheme="majorHAnsi" w:hAnsiTheme="majorHAnsi" w:cstheme="majorHAnsi"/>
        </w:rPr>
        <w:t xml:space="preserve">, </w:t>
      </w:r>
      <w:r>
        <w:rPr>
          <w:rFonts w:asciiTheme="majorHAnsi" w:hAnsiTheme="majorHAnsi" w:cstheme="majorHAnsi"/>
        </w:rPr>
        <w:t>keď</w:t>
      </w:r>
      <w:r w:rsidR="00650458" w:rsidRPr="0053555E">
        <w:rPr>
          <w:rFonts w:asciiTheme="majorHAnsi" w:hAnsiTheme="majorHAnsi" w:cstheme="majorHAnsi"/>
        </w:rPr>
        <w:t xml:space="preserve"> absolventi </w:t>
      </w:r>
      <w:r w:rsidR="005D495E" w:rsidRPr="0053555E">
        <w:rPr>
          <w:rFonts w:asciiTheme="majorHAnsi" w:hAnsiTheme="majorHAnsi" w:cstheme="majorHAnsi"/>
        </w:rPr>
        <w:t xml:space="preserve">STU </w:t>
      </w:r>
      <w:r w:rsidR="00C655BE" w:rsidRPr="0053555E">
        <w:rPr>
          <w:rFonts w:asciiTheme="majorHAnsi" w:hAnsiTheme="majorHAnsi" w:cstheme="majorHAnsi"/>
        </w:rPr>
        <w:t>často</w:t>
      </w:r>
      <w:r w:rsidR="00650458" w:rsidRPr="0053555E">
        <w:rPr>
          <w:rFonts w:asciiTheme="majorHAnsi" w:hAnsiTheme="majorHAnsi" w:cstheme="majorHAnsi"/>
        </w:rPr>
        <w:t xml:space="preserve"> </w:t>
      </w:r>
      <w:r w:rsidR="008532EE" w:rsidRPr="0053555E">
        <w:rPr>
          <w:rFonts w:asciiTheme="majorHAnsi" w:hAnsiTheme="majorHAnsi" w:cstheme="majorHAnsi"/>
        </w:rPr>
        <w:t xml:space="preserve">pôsobia ako </w:t>
      </w:r>
      <w:r w:rsidR="00650458" w:rsidRPr="0053555E">
        <w:rPr>
          <w:rFonts w:asciiTheme="majorHAnsi" w:hAnsiTheme="majorHAnsi" w:cstheme="majorHAnsi"/>
        </w:rPr>
        <w:t>konzultant</w:t>
      </w:r>
      <w:r w:rsidR="008532EE" w:rsidRPr="0053555E">
        <w:rPr>
          <w:rFonts w:asciiTheme="majorHAnsi" w:hAnsiTheme="majorHAnsi" w:cstheme="majorHAnsi"/>
        </w:rPr>
        <w:t>i</w:t>
      </w:r>
      <w:r w:rsidR="00650458" w:rsidRPr="0053555E">
        <w:rPr>
          <w:rFonts w:asciiTheme="majorHAnsi" w:hAnsiTheme="majorHAnsi" w:cstheme="majorHAnsi"/>
        </w:rPr>
        <w:t xml:space="preserve"> alebo oponent</w:t>
      </w:r>
      <w:r w:rsidR="00BA7241" w:rsidRPr="0053555E">
        <w:rPr>
          <w:rFonts w:asciiTheme="majorHAnsi" w:hAnsiTheme="majorHAnsi" w:cstheme="majorHAnsi"/>
        </w:rPr>
        <w:t xml:space="preserve">i záverečných prác, </w:t>
      </w:r>
      <w:r w:rsidR="00DA3EDD" w:rsidRPr="0053555E">
        <w:rPr>
          <w:rFonts w:asciiTheme="majorHAnsi" w:hAnsiTheme="majorHAnsi" w:cstheme="majorHAnsi"/>
        </w:rPr>
        <w:t>pri</w:t>
      </w:r>
      <w:r w:rsidR="00C655BE" w:rsidRPr="0053555E">
        <w:rPr>
          <w:rFonts w:asciiTheme="majorHAnsi" w:hAnsiTheme="majorHAnsi" w:cstheme="majorHAnsi"/>
        </w:rPr>
        <w:t xml:space="preserve"> organizovaní exkurzií pre študentov, </w:t>
      </w:r>
      <w:r w:rsidR="00CD5E28" w:rsidRPr="0053555E">
        <w:rPr>
          <w:rFonts w:asciiTheme="majorHAnsi" w:hAnsiTheme="majorHAnsi" w:cstheme="majorHAnsi"/>
        </w:rPr>
        <w:t>pri </w:t>
      </w:r>
      <w:r w:rsidR="00C655BE" w:rsidRPr="0053555E">
        <w:rPr>
          <w:rFonts w:asciiTheme="majorHAnsi" w:hAnsiTheme="majorHAnsi" w:cstheme="majorHAnsi"/>
        </w:rPr>
        <w:t>zabezpečovaní odborných praxí v podnikoch a firmách</w:t>
      </w:r>
      <w:r w:rsidR="00650458" w:rsidRPr="0053555E">
        <w:rPr>
          <w:rFonts w:asciiTheme="majorHAnsi" w:hAnsiTheme="majorHAnsi" w:cstheme="majorHAnsi"/>
        </w:rPr>
        <w:t xml:space="preserve">. </w:t>
      </w:r>
      <w:r w:rsidR="006C792E" w:rsidRPr="0053555E">
        <w:rPr>
          <w:rFonts w:asciiTheme="majorHAnsi" w:hAnsiTheme="majorHAnsi" w:cstheme="majorHAnsi"/>
        </w:rPr>
        <w:t>Absolventi</w:t>
      </w:r>
      <w:r w:rsidR="00F770A3" w:rsidRPr="0053555E">
        <w:rPr>
          <w:rFonts w:asciiTheme="majorHAnsi" w:hAnsiTheme="majorHAnsi" w:cstheme="majorHAnsi"/>
        </w:rPr>
        <w:t xml:space="preserve"> STU pôsobiaci na iných vysokých školách</w:t>
      </w:r>
      <w:r w:rsidR="00716DB2" w:rsidRPr="0053555E">
        <w:rPr>
          <w:rFonts w:asciiTheme="majorHAnsi" w:hAnsiTheme="majorHAnsi" w:cstheme="majorHAnsi"/>
        </w:rPr>
        <w:t xml:space="preserve"> alebo</w:t>
      </w:r>
      <w:r w:rsidR="00F770A3" w:rsidRPr="0053555E">
        <w:rPr>
          <w:rFonts w:asciiTheme="majorHAnsi" w:hAnsiTheme="majorHAnsi" w:cstheme="majorHAnsi"/>
        </w:rPr>
        <w:t xml:space="preserve"> </w:t>
      </w:r>
      <w:r w:rsidR="00AF2794" w:rsidRPr="0053555E">
        <w:rPr>
          <w:rFonts w:asciiTheme="majorHAnsi" w:hAnsiTheme="majorHAnsi" w:cstheme="majorHAnsi"/>
        </w:rPr>
        <w:t>vo </w:t>
      </w:r>
      <w:r w:rsidR="00F770A3" w:rsidRPr="0053555E">
        <w:rPr>
          <w:rFonts w:asciiTheme="majorHAnsi" w:hAnsiTheme="majorHAnsi" w:cstheme="majorHAnsi"/>
        </w:rPr>
        <w:t xml:space="preserve">vedeckých </w:t>
      </w:r>
      <w:r w:rsidR="00E9641D" w:rsidRPr="0053555E">
        <w:rPr>
          <w:rFonts w:asciiTheme="majorHAnsi" w:hAnsiTheme="majorHAnsi" w:cstheme="majorHAnsi"/>
        </w:rPr>
        <w:t>inštitúciách</w:t>
      </w:r>
      <w:r w:rsidR="00F770A3" w:rsidRPr="0053555E">
        <w:rPr>
          <w:rFonts w:asciiTheme="majorHAnsi" w:hAnsiTheme="majorHAnsi" w:cstheme="majorHAnsi"/>
        </w:rPr>
        <w:t xml:space="preserve"> </w:t>
      </w:r>
      <w:r w:rsidR="00AF2794" w:rsidRPr="0053555E">
        <w:rPr>
          <w:rFonts w:asciiTheme="majorHAnsi" w:hAnsiTheme="majorHAnsi" w:cstheme="majorHAnsi"/>
        </w:rPr>
        <w:t xml:space="preserve">pôsobia </w:t>
      </w:r>
      <w:r w:rsidR="00F005F0" w:rsidRPr="0053555E">
        <w:rPr>
          <w:rFonts w:asciiTheme="majorHAnsi" w:hAnsiTheme="majorHAnsi" w:cstheme="majorHAnsi"/>
        </w:rPr>
        <w:t>v</w:t>
      </w:r>
      <w:r>
        <w:rPr>
          <w:rFonts w:asciiTheme="majorHAnsi" w:hAnsiTheme="majorHAnsi" w:cstheme="majorHAnsi"/>
        </w:rPr>
        <w:t xml:space="preserve"> skúšobných komisiách</w:t>
      </w:r>
      <w:r w:rsidR="00E9641D" w:rsidRPr="0053555E">
        <w:rPr>
          <w:rFonts w:asciiTheme="majorHAnsi" w:hAnsiTheme="majorHAnsi" w:cstheme="majorHAnsi"/>
        </w:rPr>
        <w:t xml:space="preserve"> na vykonanie štátnych skúšok</w:t>
      </w:r>
      <w:r w:rsidR="00650458" w:rsidRPr="0053555E">
        <w:rPr>
          <w:rFonts w:asciiTheme="majorHAnsi" w:hAnsiTheme="majorHAnsi" w:cstheme="majorHAnsi"/>
        </w:rPr>
        <w:t xml:space="preserve">, </w:t>
      </w:r>
      <w:r w:rsidR="00716DB2" w:rsidRPr="0053555E">
        <w:rPr>
          <w:rFonts w:asciiTheme="majorHAnsi" w:hAnsiTheme="majorHAnsi" w:cstheme="majorHAnsi"/>
        </w:rPr>
        <w:t>spolupracujú</w:t>
      </w:r>
      <w:r w:rsidR="00650458" w:rsidRPr="0053555E">
        <w:rPr>
          <w:rFonts w:asciiTheme="majorHAnsi" w:hAnsiTheme="majorHAnsi" w:cstheme="majorHAnsi"/>
        </w:rPr>
        <w:t xml:space="preserve"> pri riešení výskumných a vývojových úloh a</w:t>
      </w:r>
      <w:r w:rsidR="00BA7241" w:rsidRPr="0053555E">
        <w:rPr>
          <w:rFonts w:asciiTheme="majorHAnsi" w:hAnsiTheme="majorHAnsi" w:cstheme="majorHAnsi"/>
        </w:rPr>
        <w:t xml:space="preserve">lebo v rámci </w:t>
      </w:r>
      <w:r w:rsidR="00650458" w:rsidRPr="0053555E">
        <w:rPr>
          <w:rFonts w:asciiTheme="majorHAnsi" w:hAnsiTheme="majorHAnsi" w:cstheme="majorHAnsi"/>
        </w:rPr>
        <w:t>spoločn</w:t>
      </w:r>
      <w:r w:rsidR="003E6422" w:rsidRPr="0053555E">
        <w:rPr>
          <w:rFonts w:asciiTheme="majorHAnsi" w:hAnsiTheme="majorHAnsi" w:cstheme="majorHAnsi"/>
        </w:rPr>
        <w:t>ých vedecko-výskumných projektov.</w:t>
      </w:r>
      <w:r w:rsidR="00650458" w:rsidRPr="0053555E">
        <w:rPr>
          <w:rFonts w:asciiTheme="majorHAnsi" w:hAnsiTheme="majorHAnsi" w:cstheme="majorHAnsi"/>
        </w:rPr>
        <w:t xml:space="preserve"> </w:t>
      </w:r>
    </w:p>
    <w:p w14:paraId="6FF38526" w14:textId="62073CC3" w:rsidR="007A73A5" w:rsidRPr="0053555E" w:rsidRDefault="00F005F0" w:rsidP="00304FC6">
      <w:pPr>
        <w:spacing w:after="120"/>
        <w:jc w:val="both"/>
        <w:rPr>
          <w:rFonts w:asciiTheme="majorHAnsi" w:hAnsiTheme="majorHAnsi" w:cstheme="majorHAnsi"/>
        </w:rPr>
      </w:pPr>
      <w:r w:rsidRPr="0053555E">
        <w:rPr>
          <w:rFonts w:asciiTheme="majorHAnsi" w:hAnsiTheme="majorHAnsi" w:cstheme="majorHAnsi"/>
        </w:rPr>
        <w:t>V</w:t>
      </w:r>
      <w:r w:rsidR="00550C18" w:rsidRPr="0053555E">
        <w:rPr>
          <w:rFonts w:asciiTheme="majorHAnsi" w:hAnsiTheme="majorHAnsi" w:cstheme="majorHAnsi"/>
        </w:rPr>
        <w:t xml:space="preserve">eľmi dôležitú úlohu </w:t>
      </w:r>
      <w:r w:rsidRPr="0053555E">
        <w:rPr>
          <w:rFonts w:asciiTheme="majorHAnsi" w:hAnsiTheme="majorHAnsi" w:cstheme="majorHAnsi"/>
        </w:rPr>
        <w:t xml:space="preserve">majú absolventi STU </w:t>
      </w:r>
      <w:r w:rsidR="00550C18" w:rsidRPr="0053555E">
        <w:rPr>
          <w:rFonts w:asciiTheme="majorHAnsi" w:hAnsiTheme="majorHAnsi" w:cstheme="majorHAnsi"/>
        </w:rPr>
        <w:t>v rámci vnútorného systému zabezpečovania kvality na STU</w:t>
      </w:r>
      <w:r w:rsidR="0067448C" w:rsidRPr="0053555E">
        <w:rPr>
          <w:rFonts w:asciiTheme="majorHAnsi" w:hAnsiTheme="majorHAnsi" w:cstheme="majorHAnsi"/>
        </w:rPr>
        <w:t>.</w:t>
      </w:r>
      <w:r w:rsidR="00550C18" w:rsidRPr="0053555E">
        <w:rPr>
          <w:rFonts w:asciiTheme="majorHAnsi" w:hAnsiTheme="majorHAnsi" w:cstheme="majorHAnsi"/>
        </w:rPr>
        <w:t xml:space="preserve"> </w:t>
      </w:r>
      <w:r w:rsidR="0067448C" w:rsidRPr="0053555E">
        <w:rPr>
          <w:rFonts w:asciiTheme="majorHAnsi" w:hAnsiTheme="majorHAnsi" w:cstheme="majorHAnsi"/>
        </w:rPr>
        <w:t>P</w:t>
      </w:r>
      <w:r w:rsidR="00550C18" w:rsidRPr="0053555E">
        <w:rPr>
          <w:rFonts w:asciiTheme="majorHAnsi" w:hAnsiTheme="majorHAnsi" w:cstheme="majorHAnsi"/>
        </w:rPr>
        <w:t>odieľajú na tvorbe, úprave a schvaľovaní študijných programov ako členovia rád študijných programov, Rady vnútorného systému zabezpečovania kvality na STU alebo jej pracovných skupín, ktoré posudzujú študijné programy v procese ich zosúlaďovania.</w:t>
      </w:r>
      <w:r w:rsidR="003C1BE4" w:rsidRPr="0053555E">
        <w:rPr>
          <w:rFonts w:asciiTheme="majorHAnsi" w:hAnsiTheme="majorHAnsi" w:cstheme="majorHAnsi"/>
        </w:rPr>
        <w:t xml:space="preserve"> </w:t>
      </w:r>
      <w:r w:rsidR="00C6192E" w:rsidRPr="0053555E">
        <w:rPr>
          <w:rFonts w:asciiTheme="majorHAnsi" w:hAnsiTheme="majorHAnsi" w:cstheme="majorHAnsi"/>
        </w:rPr>
        <w:t>Po</w:t>
      </w:r>
      <w:r w:rsidR="007A73A5" w:rsidRPr="0053555E">
        <w:rPr>
          <w:rFonts w:asciiTheme="majorHAnsi" w:hAnsiTheme="majorHAnsi" w:cstheme="majorHAnsi"/>
        </w:rPr>
        <w:t>dieľajú</w:t>
      </w:r>
      <w:r w:rsidR="0051088D" w:rsidRPr="0053555E">
        <w:rPr>
          <w:rFonts w:asciiTheme="majorHAnsi" w:hAnsiTheme="majorHAnsi" w:cstheme="majorHAnsi"/>
        </w:rPr>
        <w:t xml:space="preserve"> sa</w:t>
      </w:r>
      <w:r w:rsidR="007A73A5" w:rsidRPr="0053555E">
        <w:rPr>
          <w:rFonts w:asciiTheme="majorHAnsi" w:hAnsiTheme="majorHAnsi" w:cstheme="majorHAnsi"/>
        </w:rPr>
        <w:t xml:space="preserve"> </w:t>
      </w:r>
      <w:r w:rsidR="007443D1">
        <w:rPr>
          <w:rFonts w:asciiTheme="majorHAnsi" w:hAnsiTheme="majorHAnsi" w:cstheme="majorHAnsi"/>
        </w:rPr>
        <w:t xml:space="preserve">aj </w:t>
      </w:r>
      <w:r w:rsidR="007A73A5" w:rsidRPr="0053555E">
        <w:rPr>
          <w:rFonts w:asciiTheme="majorHAnsi" w:hAnsiTheme="majorHAnsi" w:cstheme="majorHAnsi"/>
        </w:rPr>
        <w:t>na propagácii STU a</w:t>
      </w:r>
      <w:r w:rsidR="00C6192E" w:rsidRPr="0053555E">
        <w:rPr>
          <w:rFonts w:asciiTheme="majorHAnsi" w:hAnsiTheme="majorHAnsi" w:cstheme="majorHAnsi"/>
        </w:rPr>
        <w:t xml:space="preserve"> fakulty, </w:t>
      </w:r>
      <w:r w:rsidR="007A73A5" w:rsidRPr="0053555E">
        <w:rPr>
          <w:rFonts w:asciiTheme="majorHAnsi" w:hAnsiTheme="majorHAnsi" w:cstheme="majorHAnsi"/>
        </w:rPr>
        <w:t xml:space="preserve">na ktorej </w:t>
      </w:r>
      <w:r w:rsidR="00C6192E" w:rsidRPr="0053555E">
        <w:rPr>
          <w:rFonts w:asciiTheme="majorHAnsi" w:hAnsiTheme="majorHAnsi" w:cstheme="majorHAnsi"/>
        </w:rPr>
        <w:t>študovali</w:t>
      </w:r>
      <w:r w:rsidR="00FB0F03">
        <w:rPr>
          <w:rFonts w:asciiTheme="majorHAnsi" w:hAnsiTheme="majorHAnsi" w:cstheme="majorHAnsi"/>
        </w:rPr>
        <w:t>,</w:t>
      </w:r>
      <w:r w:rsidR="007A73A5" w:rsidRPr="0053555E">
        <w:rPr>
          <w:rFonts w:asciiTheme="majorHAnsi" w:hAnsiTheme="majorHAnsi" w:cstheme="majorHAnsi"/>
        </w:rPr>
        <w:t xml:space="preserve"> v rámci r</w:t>
      </w:r>
      <w:r w:rsidR="00C6192E" w:rsidRPr="0053555E">
        <w:rPr>
          <w:rFonts w:asciiTheme="majorHAnsi" w:hAnsiTheme="majorHAnsi" w:cstheme="majorHAnsi"/>
        </w:rPr>
        <w:t>ôznych podujatí</w:t>
      </w:r>
      <w:r w:rsidR="00FB0F03">
        <w:rPr>
          <w:rFonts w:asciiTheme="majorHAnsi" w:hAnsiTheme="majorHAnsi" w:cstheme="majorHAnsi"/>
        </w:rPr>
        <w:t>.</w:t>
      </w:r>
      <w:r w:rsidR="00913EC1" w:rsidRPr="0053555E">
        <w:rPr>
          <w:rFonts w:asciiTheme="majorHAnsi" w:hAnsiTheme="majorHAnsi" w:cstheme="majorHAnsi"/>
        </w:rPr>
        <w:t xml:space="preserve"> </w:t>
      </w:r>
    </w:p>
    <w:p w14:paraId="42F5C357" w14:textId="6E0FC6EA" w:rsidR="00DE7402" w:rsidRPr="0053555E" w:rsidRDefault="002006CB" w:rsidP="003A4887">
      <w:pPr>
        <w:spacing w:after="120"/>
        <w:jc w:val="both"/>
        <w:rPr>
          <w:rFonts w:asciiTheme="majorHAnsi" w:hAnsiTheme="majorHAnsi" w:cstheme="majorHAnsi"/>
        </w:rPr>
      </w:pPr>
      <w:r w:rsidRPr="0053555E">
        <w:rPr>
          <w:rFonts w:asciiTheme="majorHAnsi" w:hAnsiTheme="majorHAnsi" w:cstheme="majorHAnsi"/>
        </w:rPr>
        <w:t>Sledovani</w:t>
      </w:r>
      <w:r w:rsidR="00B67FDC" w:rsidRPr="0053555E">
        <w:rPr>
          <w:rFonts w:asciiTheme="majorHAnsi" w:hAnsiTheme="majorHAnsi" w:cstheme="majorHAnsi"/>
        </w:rPr>
        <w:t>e</w:t>
      </w:r>
      <w:r w:rsidRPr="0053555E">
        <w:rPr>
          <w:rFonts w:asciiTheme="majorHAnsi" w:hAnsiTheme="majorHAnsi" w:cstheme="majorHAnsi"/>
        </w:rPr>
        <w:t xml:space="preserve"> uplatniteľnosti absolventov po skončení ich štúdia na STU a získavani</w:t>
      </w:r>
      <w:r w:rsidR="00066DFF" w:rsidRPr="0053555E">
        <w:rPr>
          <w:rFonts w:asciiTheme="majorHAnsi" w:hAnsiTheme="majorHAnsi" w:cstheme="majorHAnsi"/>
        </w:rPr>
        <w:t>e</w:t>
      </w:r>
      <w:r w:rsidRPr="0053555E">
        <w:rPr>
          <w:rFonts w:asciiTheme="majorHAnsi" w:hAnsiTheme="majorHAnsi" w:cstheme="majorHAnsi"/>
        </w:rPr>
        <w:t xml:space="preserve"> spätnej väzby vyplýva zo štandardov pre študijný program</w:t>
      </w:r>
      <w:r w:rsidR="00952391" w:rsidRPr="0053555E">
        <w:rPr>
          <w:rFonts w:asciiTheme="majorHAnsi" w:hAnsiTheme="majorHAnsi" w:cstheme="majorHAnsi"/>
        </w:rPr>
        <w:t xml:space="preserve"> vydaných agentúrou</w:t>
      </w:r>
      <w:r w:rsidRPr="0053555E">
        <w:rPr>
          <w:rFonts w:asciiTheme="majorHAnsi" w:hAnsiTheme="majorHAnsi" w:cstheme="majorHAnsi"/>
        </w:rPr>
        <w:t xml:space="preserve">. </w:t>
      </w:r>
      <w:r w:rsidR="00212987" w:rsidRPr="0053555E">
        <w:rPr>
          <w:rFonts w:asciiTheme="majorHAnsi" w:hAnsiTheme="majorHAnsi" w:cstheme="majorHAnsi"/>
        </w:rPr>
        <w:t>Absolventi</w:t>
      </w:r>
      <w:r w:rsidR="008520B4">
        <w:rPr>
          <w:rFonts w:asciiTheme="majorHAnsi" w:hAnsiTheme="majorHAnsi" w:cstheme="majorHAnsi"/>
        </w:rPr>
        <w:t>, ktorí skončili štúdium</w:t>
      </w:r>
      <w:r w:rsidR="002C3660">
        <w:rPr>
          <w:rFonts w:asciiTheme="majorHAnsi" w:hAnsiTheme="majorHAnsi" w:cstheme="majorHAnsi"/>
        </w:rPr>
        <w:t xml:space="preserve"> v</w:t>
      </w:r>
      <w:r w:rsidR="008520B4">
        <w:rPr>
          <w:rFonts w:asciiTheme="majorHAnsi" w:hAnsiTheme="majorHAnsi" w:cstheme="majorHAnsi"/>
        </w:rPr>
        <w:t> </w:t>
      </w:r>
      <w:r w:rsidR="002C3660">
        <w:rPr>
          <w:rFonts w:asciiTheme="majorHAnsi" w:hAnsiTheme="majorHAnsi" w:cstheme="majorHAnsi"/>
        </w:rPr>
        <w:t>akad</w:t>
      </w:r>
      <w:r w:rsidR="008520B4">
        <w:rPr>
          <w:rFonts w:asciiTheme="majorHAnsi" w:hAnsiTheme="majorHAnsi" w:cstheme="majorHAnsi"/>
        </w:rPr>
        <w:t xml:space="preserve">emickom roku 2020/2021 a </w:t>
      </w:r>
      <w:r w:rsidR="0002203D" w:rsidRPr="0053555E">
        <w:rPr>
          <w:rFonts w:asciiTheme="majorHAnsi" w:hAnsiTheme="majorHAnsi" w:cstheme="majorHAnsi"/>
        </w:rPr>
        <w:t>udelili</w:t>
      </w:r>
      <w:r w:rsidR="008150E2" w:rsidRPr="0053555E">
        <w:rPr>
          <w:rFonts w:asciiTheme="majorHAnsi" w:hAnsiTheme="majorHAnsi" w:cstheme="majorHAnsi"/>
        </w:rPr>
        <w:t xml:space="preserve"> </w:t>
      </w:r>
      <w:r w:rsidR="008520B4">
        <w:rPr>
          <w:rFonts w:asciiTheme="majorHAnsi" w:hAnsiTheme="majorHAnsi" w:cstheme="majorHAnsi"/>
        </w:rPr>
        <w:t xml:space="preserve">STU </w:t>
      </w:r>
      <w:r w:rsidR="008150E2" w:rsidRPr="0053555E">
        <w:rPr>
          <w:rFonts w:asciiTheme="majorHAnsi" w:hAnsiTheme="majorHAnsi" w:cstheme="majorHAnsi"/>
        </w:rPr>
        <w:t>súhlas</w:t>
      </w:r>
      <w:r w:rsidR="0002203D" w:rsidRPr="0053555E">
        <w:rPr>
          <w:rFonts w:asciiTheme="majorHAnsi" w:hAnsiTheme="majorHAnsi" w:cstheme="majorHAnsi"/>
        </w:rPr>
        <w:t>,</w:t>
      </w:r>
      <w:r w:rsidR="00B13DF7" w:rsidRPr="0053555E">
        <w:rPr>
          <w:rFonts w:asciiTheme="majorHAnsi" w:hAnsiTheme="majorHAnsi" w:cstheme="majorHAnsi"/>
        </w:rPr>
        <w:t xml:space="preserve"> </w:t>
      </w:r>
      <w:r w:rsidR="00C67CAD">
        <w:rPr>
          <w:rFonts w:asciiTheme="majorHAnsi" w:hAnsiTheme="majorHAnsi" w:cstheme="majorHAnsi"/>
        </w:rPr>
        <w:t xml:space="preserve">boli </w:t>
      </w:r>
      <w:r w:rsidR="00B13DF7" w:rsidRPr="0053555E">
        <w:rPr>
          <w:rFonts w:asciiTheme="majorHAnsi" w:hAnsiTheme="majorHAnsi" w:cstheme="majorHAnsi"/>
        </w:rPr>
        <w:t>oslovovaní formou dotazníkových prieskumov, v ktorých sa vyjadr</w:t>
      </w:r>
      <w:r w:rsidR="00E53BFB">
        <w:rPr>
          <w:rFonts w:asciiTheme="majorHAnsi" w:hAnsiTheme="majorHAnsi" w:cstheme="majorHAnsi"/>
        </w:rPr>
        <w:t>ovali</w:t>
      </w:r>
      <w:r w:rsidR="00B13DF7" w:rsidRPr="0053555E">
        <w:rPr>
          <w:rFonts w:asciiTheme="majorHAnsi" w:hAnsiTheme="majorHAnsi" w:cstheme="majorHAnsi"/>
        </w:rPr>
        <w:t xml:space="preserve"> </w:t>
      </w:r>
      <w:r w:rsidR="00E53BFB">
        <w:rPr>
          <w:rFonts w:asciiTheme="majorHAnsi" w:hAnsiTheme="majorHAnsi" w:cstheme="majorHAnsi"/>
        </w:rPr>
        <w:t xml:space="preserve">kde </w:t>
      </w:r>
      <w:r w:rsidR="00F410AD">
        <w:rPr>
          <w:rFonts w:asciiTheme="majorHAnsi" w:hAnsiTheme="majorHAnsi" w:cstheme="majorHAnsi"/>
        </w:rPr>
        <w:t>v súčasnosti pracujú (v odbore</w:t>
      </w:r>
      <w:r w:rsidR="00AD21FC">
        <w:rPr>
          <w:rFonts w:asciiTheme="majorHAnsi" w:hAnsiTheme="majorHAnsi" w:cstheme="majorHAnsi"/>
        </w:rPr>
        <w:t>,</w:t>
      </w:r>
      <w:r w:rsidR="00F410AD">
        <w:rPr>
          <w:rFonts w:asciiTheme="majorHAnsi" w:hAnsiTheme="majorHAnsi" w:cstheme="majorHAnsi"/>
        </w:rPr>
        <w:t xml:space="preserve"> mimo odbor</w:t>
      </w:r>
      <w:r w:rsidR="00AD21FC">
        <w:rPr>
          <w:rFonts w:asciiTheme="majorHAnsi" w:hAnsiTheme="majorHAnsi" w:cstheme="majorHAnsi"/>
        </w:rPr>
        <w:t xml:space="preserve"> alebo nepracujú)</w:t>
      </w:r>
      <w:r w:rsidR="00F410AD">
        <w:rPr>
          <w:rFonts w:asciiTheme="majorHAnsi" w:hAnsiTheme="majorHAnsi" w:cstheme="majorHAnsi"/>
        </w:rPr>
        <w:t xml:space="preserve">, </w:t>
      </w:r>
      <w:r w:rsidR="00B13DF7" w:rsidRPr="0053555E">
        <w:rPr>
          <w:rFonts w:asciiTheme="majorHAnsi" w:hAnsiTheme="majorHAnsi" w:cstheme="majorHAnsi"/>
        </w:rPr>
        <w:t>k spokojnosti k pripravenosti pre prax, formulovaniu nových požiadaviek kladených zamestnávateľom na absolventa, vyhodnoteniu nápln</w:t>
      </w:r>
      <w:r w:rsidR="00DE7402" w:rsidRPr="0053555E">
        <w:rPr>
          <w:rFonts w:asciiTheme="majorHAnsi" w:hAnsiTheme="majorHAnsi" w:cstheme="majorHAnsi"/>
        </w:rPr>
        <w:t>e študijných plánov a vplyve na </w:t>
      </w:r>
      <w:r w:rsidR="00B13DF7" w:rsidRPr="0053555E">
        <w:rPr>
          <w:rFonts w:asciiTheme="majorHAnsi" w:hAnsiTheme="majorHAnsi" w:cstheme="majorHAnsi"/>
        </w:rPr>
        <w:t>ich</w:t>
      </w:r>
      <w:r w:rsidR="003377DD" w:rsidRPr="0053555E">
        <w:rPr>
          <w:rFonts w:asciiTheme="majorHAnsi" w:hAnsiTheme="majorHAnsi" w:cstheme="majorHAnsi"/>
        </w:rPr>
        <w:t xml:space="preserve"> uplatniteľnosť</w:t>
      </w:r>
      <w:r w:rsidR="00DE7402" w:rsidRPr="0053555E">
        <w:rPr>
          <w:rFonts w:asciiTheme="majorHAnsi" w:hAnsiTheme="majorHAnsi" w:cstheme="majorHAnsi"/>
        </w:rPr>
        <w:t>, k</w:t>
      </w:r>
      <w:r w:rsidR="003377DD" w:rsidRPr="0053555E">
        <w:rPr>
          <w:rFonts w:asciiTheme="majorHAnsi" w:hAnsiTheme="majorHAnsi" w:cstheme="majorHAnsi"/>
        </w:rPr>
        <w:t xml:space="preserve"> </w:t>
      </w:r>
      <w:r w:rsidR="00DD60FF" w:rsidRPr="0053555E">
        <w:rPr>
          <w:rFonts w:asciiTheme="majorHAnsi" w:hAnsiTheme="majorHAnsi" w:cstheme="majorHAnsi"/>
        </w:rPr>
        <w:t>spokojnos</w:t>
      </w:r>
      <w:r w:rsidR="00DE7402" w:rsidRPr="0053555E">
        <w:rPr>
          <w:rFonts w:asciiTheme="majorHAnsi" w:hAnsiTheme="majorHAnsi" w:cstheme="majorHAnsi"/>
        </w:rPr>
        <w:t>ti</w:t>
      </w:r>
      <w:r w:rsidR="00DD60FF" w:rsidRPr="0053555E">
        <w:rPr>
          <w:rFonts w:asciiTheme="majorHAnsi" w:hAnsiTheme="majorHAnsi" w:cstheme="majorHAnsi"/>
        </w:rPr>
        <w:t xml:space="preserve"> so získanými vedomosťami</w:t>
      </w:r>
      <w:r w:rsidR="00452BDD" w:rsidRPr="0053555E">
        <w:rPr>
          <w:rFonts w:asciiTheme="majorHAnsi" w:hAnsiTheme="majorHAnsi" w:cstheme="majorHAnsi"/>
        </w:rPr>
        <w:t xml:space="preserve"> a</w:t>
      </w:r>
      <w:r w:rsidR="00DD60FF" w:rsidRPr="0053555E">
        <w:rPr>
          <w:rFonts w:asciiTheme="majorHAnsi" w:hAnsiTheme="majorHAnsi" w:cstheme="majorHAnsi"/>
        </w:rPr>
        <w:t xml:space="preserve"> </w:t>
      </w:r>
      <w:r w:rsidR="0030574E" w:rsidRPr="0053555E">
        <w:rPr>
          <w:rFonts w:asciiTheme="majorHAnsi" w:hAnsiTheme="majorHAnsi" w:cstheme="majorHAnsi"/>
        </w:rPr>
        <w:t xml:space="preserve">zručnosťami a ich </w:t>
      </w:r>
      <w:r w:rsidR="0034424C" w:rsidRPr="0053555E">
        <w:rPr>
          <w:rFonts w:asciiTheme="majorHAnsi" w:hAnsiTheme="majorHAnsi" w:cstheme="majorHAnsi"/>
        </w:rPr>
        <w:t>využívan</w:t>
      </w:r>
      <w:r w:rsidR="0030574E" w:rsidRPr="0053555E">
        <w:rPr>
          <w:rFonts w:asciiTheme="majorHAnsi" w:hAnsiTheme="majorHAnsi" w:cstheme="majorHAnsi"/>
        </w:rPr>
        <w:t>ím.</w:t>
      </w:r>
      <w:r w:rsidR="00BD2A97" w:rsidRPr="0053555E">
        <w:rPr>
          <w:rFonts w:asciiTheme="majorHAnsi" w:hAnsiTheme="majorHAnsi" w:cstheme="majorHAnsi"/>
        </w:rPr>
        <w:t xml:space="preserve"> </w:t>
      </w:r>
      <w:r w:rsidR="00985ACC">
        <w:rPr>
          <w:rFonts w:asciiTheme="majorHAnsi" w:hAnsiTheme="majorHAnsi" w:cstheme="majorHAnsi"/>
        </w:rPr>
        <w:t xml:space="preserve">Výsledky </w:t>
      </w:r>
      <w:r w:rsidR="00D51705">
        <w:rPr>
          <w:rFonts w:asciiTheme="majorHAnsi" w:hAnsiTheme="majorHAnsi" w:cstheme="majorHAnsi"/>
        </w:rPr>
        <w:t xml:space="preserve">prieskumu </w:t>
      </w:r>
      <w:r w:rsidR="00985ACC">
        <w:rPr>
          <w:rFonts w:asciiTheme="majorHAnsi" w:hAnsiTheme="majorHAnsi" w:cstheme="majorHAnsi"/>
        </w:rPr>
        <w:t xml:space="preserve">sú prístupné na webovom sídle STU </w:t>
      </w:r>
      <w:hyperlink r:id="rId97" w:history="1">
        <w:r w:rsidR="00D51705" w:rsidRPr="00D51705">
          <w:rPr>
            <w:rStyle w:val="Hypertextovprepojenie"/>
            <w:rFonts w:asciiTheme="majorHAnsi" w:hAnsiTheme="majorHAnsi" w:cstheme="majorHAnsi"/>
          </w:rPr>
          <w:t>Spätná väzba absolventov</w:t>
        </w:r>
      </w:hyperlink>
      <w:r w:rsidR="00D51705">
        <w:rPr>
          <w:rFonts w:asciiTheme="majorHAnsi" w:hAnsiTheme="majorHAnsi" w:cstheme="majorHAnsi"/>
        </w:rPr>
        <w:t>.</w:t>
      </w:r>
      <w:r w:rsidR="007443D1">
        <w:rPr>
          <w:rFonts w:asciiTheme="majorHAnsi" w:hAnsiTheme="majorHAnsi" w:cstheme="majorHAnsi"/>
        </w:rPr>
        <w:t xml:space="preserve"> </w:t>
      </w:r>
      <w:r w:rsidR="00DE7402" w:rsidRPr="0053555E">
        <w:rPr>
          <w:rFonts w:asciiTheme="majorHAnsi" w:hAnsiTheme="majorHAnsi" w:cstheme="majorHAnsi"/>
        </w:rPr>
        <w:t xml:space="preserve">Práve výsledky prieskumov </w:t>
      </w:r>
      <w:r w:rsidR="00576185" w:rsidRPr="0053555E">
        <w:rPr>
          <w:rFonts w:asciiTheme="majorHAnsi" w:hAnsiTheme="majorHAnsi" w:cstheme="majorHAnsi"/>
        </w:rPr>
        <w:t xml:space="preserve">od absolventov </w:t>
      </w:r>
      <w:r w:rsidR="007443D1">
        <w:rPr>
          <w:rFonts w:asciiTheme="majorHAnsi" w:hAnsiTheme="majorHAnsi" w:cstheme="majorHAnsi"/>
        </w:rPr>
        <w:t>a</w:t>
      </w:r>
      <w:r w:rsidR="00DE7402" w:rsidRPr="0053555E">
        <w:rPr>
          <w:rFonts w:asciiTheme="majorHAnsi" w:hAnsiTheme="majorHAnsi" w:cstheme="majorHAnsi"/>
        </w:rPr>
        <w:t xml:space="preserve"> získané informácie zo strany zamestnávateľov umožnili </w:t>
      </w:r>
      <w:r w:rsidR="000B41EA" w:rsidRPr="0053555E">
        <w:rPr>
          <w:rFonts w:asciiTheme="majorHAnsi" w:hAnsiTheme="majorHAnsi" w:cstheme="majorHAnsi"/>
        </w:rPr>
        <w:t xml:space="preserve">STU </w:t>
      </w:r>
      <w:r w:rsidR="00DE7402" w:rsidRPr="0053555E">
        <w:rPr>
          <w:rFonts w:asciiTheme="majorHAnsi" w:hAnsiTheme="majorHAnsi" w:cstheme="majorHAnsi"/>
        </w:rPr>
        <w:t>aktualizovať študijné plány a</w:t>
      </w:r>
      <w:r w:rsidR="00227FA9" w:rsidRPr="0053555E">
        <w:rPr>
          <w:rFonts w:asciiTheme="majorHAnsi" w:hAnsiTheme="majorHAnsi" w:cstheme="majorHAnsi"/>
        </w:rPr>
        <w:t xml:space="preserve"> informačné listy </w:t>
      </w:r>
      <w:r w:rsidR="00DE7402" w:rsidRPr="0053555E">
        <w:rPr>
          <w:rFonts w:asciiTheme="majorHAnsi" w:hAnsiTheme="majorHAnsi" w:cstheme="majorHAnsi"/>
        </w:rPr>
        <w:t>predmet</w:t>
      </w:r>
      <w:r w:rsidR="00227FA9" w:rsidRPr="0053555E">
        <w:rPr>
          <w:rFonts w:asciiTheme="majorHAnsi" w:hAnsiTheme="majorHAnsi" w:cstheme="majorHAnsi"/>
        </w:rPr>
        <w:t>ov</w:t>
      </w:r>
      <w:r w:rsidR="00532C75" w:rsidRPr="0053555E">
        <w:rPr>
          <w:rFonts w:asciiTheme="majorHAnsi" w:hAnsiTheme="majorHAnsi" w:cstheme="majorHAnsi"/>
        </w:rPr>
        <w:t xml:space="preserve"> </w:t>
      </w:r>
      <w:r w:rsidR="00227FA9" w:rsidRPr="0053555E">
        <w:rPr>
          <w:rFonts w:asciiTheme="majorHAnsi" w:hAnsiTheme="majorHAnsi" w:cstheme="majorHAnsi"/>
        </w:rPr>
        <w:t xml:space="preserve">jednotlivých </w:t>
      </w:r>
      <w:r w:rsidR="00532C75" w:rsidRPr="0053555E">
        <w:rPr>
          <w:rFonts w:asciiTheme="majorHAnsi" w:hAnsiTheme="majorHAnsi" w:cstheme="majorHAnsi"/>
        </w:rPr>
        <w:t xml:space="preserve">študijných programov </w:t>
      </w:r>
      <w:r w:rsidR="00DE7402" w:rsidRPr="0053555E">
        <w:rPr>
          <w:rFonts w:asciiTheme="majorHAnsi" w:hAnsiTheme="majorHAnsi" w:cstheme="majorHAnsi"/>
        </w:rPr>
        <w:t>v</w:t>
      </w:r>
      <w:r w:rsidR="00532C75" w:rsidRPr="0053555E">
        <w:rPr>
          <w:rFonts w:asciiTheme="majorHAnsi" w:hAnsiTheme="majorHAnsi" w:cstheme="majorHAnsi"/>
        </w:rPr>
        <w:t> </w:t>
      </w:r>
      <w:r w:rsidR="00DE7402" w:rsidRPr="0053555E">
        <w:rPr>
          <w:rFonts w:asciiTheme="majorHAnsi" w:hAnsiTheme="majorHAnsi" w:cstheme="majorHAnsi"/>
        </w:rPr>
        <w:t>procese</w:t>
      </w:r>
      <w:r w:rsidR="00532C75" w:rsidRPr="0053555E">
        <w:rPr>
          <w:rFonts w:asciiTheme="majorHAnsi" w:hAnsiTheme="majorHAnsi" w:cstheme="majorHAnsi"/>
        </w:rPr>
        <w:t xml:space="preserve"> </w:t>
      </w:r>
      <w:r w:rsidR="0081478F" w:rsidRPr="0053555E">
        <w:rPr>
          <w:rFonts w:asciiTheme="majorHAnsi" w:hAnsiTheme="majorHAnsi" w:cstheme="majorHAnsi"/>
        </w:rPr>
        <w:t xml:space="preserve">ich </w:t>
      </w:r>
      <w:r w:rsidR="00227FA9" w:rsidRPr="0053555E">
        <w:rPr>
          <w:rFonts w:asciiTheme="majorHAnsi" w:hAnsiTheme="majorHAnsi" w:cstheme="majorHAnsi"/>
        </w:rPr>
        <w:t>zosúlaďovania</w:t>
      </w:r>
      <w:r w:rsidR="00DE7402" w:rsidRPr="0053555E">
        <w:rPr>
          <w:rFonts w:asciiTheme="majorHAnsi" w:hAnsiTheme="majorHAnsi" w:cstheme="majorHAnsi"/>
        </w:rPr>
        <w:t>.</w:t>
      </w:r>
    </w:p>
    <w:p w14:paraId="274605CD" w14:textId="2B0561C0" w:rsidR="009520F4" w:rsidRPr="007443D1" w:rsidRDefault="00BA55FE" w:rsidP="00F97044">
      <w:pPr>
        <w:spacing w:after="120"/>
        <w:jc w:val="both"/>
        <w:rPr>
          <w:rFonts w:asciiTheme="majorHAnsi" w:hAnsiTheme="majorHAnsi" w:cstheme="majorHAnsi"/>
        </w:rPr>
      </w:pPr>
      <w:r w:rsidRPr="0053555E">
        <w:rPr>
          <w:rFonts w:asciiTheme="majorHAnsi" w:hAnsiTheme="majorHAnsi" w:cstheme="majorHAnsi"/>
        </w:rPr>
        <w:t>V</w:t>
      </w:r>
      <w:r w:rsidR="009520F4" w:rsidRPr="0053555E">
        <w:rPr>
          <w:rFonts w:asciiTheme="majorHAnsi" w:hAnsiTheme="majorHAnsi" w:cstheme="majorHAnsi"/>
        </w:rPr>
        <w:t xml:space="preserve"> rámci webovej stránky STU </w:t>
      </w:r>
      <w:r w:rsidR="000658AB" w:rsidRPr="0053555E">
        <w:rPr>
          <w:rFonts w:asciiTheme="majorHAnsi" w:hAnsiTheme="majorHAnsi" w:cstheme="majorHAnsi"/>
        </w:rPr>
        <w:t xml:space="preserve">je </w:t>
      </w:r>
      <w:r w:rsidR="00CB7BD2" w:rsidRPr="0053555E">
        <w:rPr>
          <w:rFonts w:asciiTheme="majorHAnsi" w:hAnsiTheme="majorHAnsi" w:cstheme="majorHAnsi"/>
        </w:rPr>
        <w:t xml:space="preserve">od roku 2013 </w:t>
      </w:r>
      <w:r w:rsidR="00D07402" w:rsidRPr="0053555E">
        <w:rPr>
          <w:rFonts w:asciiTheme="majorHAnsi" w:hAnsiTheme="majorHAnsi" w:cstheme="majorHAnsi"/>
        </w:rPr>
        <w:t xml:space="preserve">spustený </w:t>
      </w:r>
      <w:hyperlink r:id="rId98" w:history="1">
        <w:r w:rsidRPr="007443D1">
          <w:rPr>
            <w:rStyle w:val="Hypertextovprepojenie"/>
            <w:rFonts w:asciiTheme="majorHAnsi" w:hAnsiTheme="majorHAnsi" w:cstheme="majorHAnsi"/>
            <w:b/>
            <w:color w:val="auto"/>
            <w:u w:val="none"/>
          </w:rPr>
          <w:t>Portál absolventov STU</w:t>
        </w:r>
      </w:hyperlink>
      <w:r w:rsidR="009C3DD5" w:rsidRPr="0053555E">
        <w:rPr>
          <w:rFonts w:asciiTheme="majorHAnsi" w:hAnsiTheme="majorHAnsi" w:cstheme="majorHAnsi"/>
        </w:rPr>
        <w:t xml:space="preserve"> </w:t>
      </w:r>
      <w:r w:rsidR="00AA4B97" w:rsidRPr="0053555E">
        <w:rPr>
          <w:rFonts w:asciiTheme="majorHAnsi" w:hAnsiTheme="majorHAnsi" w:cstheme="majorHAnsi"/>
        </w:rPr>
        <w:t>určený študentom</w:t>
      </w:r>
      <w:r w:rsidR="00191830" w:rsidRPr="0053555E">
        <w:rPr>
          <w:rFonts w:asciiTheme="majorHAnsi" w:hAnsiTheme="majorHAnsi" w:cstheme="majorHAnsi"/>
        </w:rPr>
        <w:t>,</w:t>
      </w:r>
      <w:r w:rsidR="00AA4B97" w:rsidRPr="0053555E">
        <w:rPr>
          <w:rFonts w:asciiTheme="majorHAnsi" w:hAnsiTheme="majorHAnsi" w:cstheme="majorHAnsi"/>
        </w:rPr>
        <w:t xml:space="preserve"> </w:t>
      </w:r>
      <w:r w:rsidR="00191830" w:rsidRPr="0053555E">
        <w:rPr>
          <w:rFonts w:asciiTheme="majorHAnsi" w:hAnsiTheme="majorHAnsi" w:cstheme="majorHAnsi"/>
        </w:rPr>
        <w:t>absolventom,</w:t>
      </w:r>
      <w:r w:rsidR="00AA4B97" w:rsidRPr="0053555E">
        <w:rPr>
          <w:rFonts w:asciiTheme="majorHAnsi" w:hAnsiTheme="majorHAnsi" w:cstheme="majorHAnsi"/>
        </w:rPr>
        <w:t xml:space="preserve"> priateľom a priaznivcom </w:t>
      </w:r>
      <w:r w:rsidR="00191830" w:rsidRPr="0053555E">
        <w:rPr>
          <w:rFonts w:asciiTheme="majorHAnsi" w:hAnsiTheme="majorHAnsi" w:cstheme="majorHAnsi"/>
        </w:rPr>
        <w:t>STU</w:t>
      </w:r>
      <w:r w:rsidR="00AA4B97" w:rsidRPr="0053555E">
        <w:rPr>
          <w:rFonts w:asciiTheme="majorHAnsi" w:hAnsiTheme="majorHAnsi" w:cstheme="majorHAnsi"/>
        </w:rPr>
        <w:t>.</w:t>
      </w:r>
      <w:r w:rsidR="00191830" w:rsidRPr="0053555E">
        <w:rPr>
          <w:rFonts w:asciiTheme="majorHAnsi" w:hAnsiTheme="majorHAnsi" w:cstheme="majorHAnsi"/>
        </w:rPr>
        <w:t xml:space="preserve"> </w:t>
      </w:r>
      <w:r w:rsidR="002A537D" w:rsidRPr="0053555E">
        <w:rPr>
          <w:rFonts w:asciiTheme="majorHAnsi" w:hAnsiTheme="majorHAnsi" w:cstheme="majorHAnsi"/>
        </w:rPr>
        <w:t>Poskytuje</w:t>
      </w:r>
      <w:r w:rsidR="00AA4B97" w:rsidRPr="0053555E">
        <w:rPr>
          <w:rFonts w:asciiTheme="majorHAnsi" w:hAnsiTheme="majorHAnsi" w:cstheme="majorHAnsi"/>
        </w:rPr>
        <w:t xml:space="preserve"> informácie o aktuálnom dianí na univerzite</w:t>
      </w:r>
      <w:r w:rsidR="00D048F0" w:rsidRPr="0053555E">
        <w:rPr>
          <w:rFonts w:asciiTheme="majorHAnsi" w:hAnsiTheme="majorHAnsi" w:cstheme="majorHAnsi"/>
        </w:rPr>
        <w:t>. O</w:t>
      </w:r>
      <w:r w:rsidR="00D33703" w:rsidRPr="0053555E">
        <w:rPr>
          <w:rFonts w:asciiTheme="majorHAnsi" w:hAnsiTheme="majorHAnsi" w:cstheme="majorHAnsi"/>
        </w:rPr>
        <w:t>krem funkcionalít dostupných pre verejnosť ponúka aj ďalšie funkcionality</w:t>
      </w:r>
      <w:r w:rsidR="009C3DD5" w:rsidRPr="0053555E">
        <w:rPr>
          <w:rFonts w:asciiTheme="majorHAnsi" w:hAnsiTheme="majorHAnsi" w:cstheme="majorHAnsi"/>
        </w:rPr>
        <w:t xml:space="preserve"> dostupné pre </w:t>
      </w:r>
      <w:r w:rsidR="00D33703" w:rsidRPr="0053555E">
        <w:rPr>
          <w:rFonts w:asciiTheme="majorHAnsi" w:hAnsiTheme="majorHAnsi" w:cstheme="majorHAnsi"/>
        </w:rPr>
        <w:t>zaregistrovaných užívateľov, ktorý</w:t>
      </w:r>
      <w:r w:rsidR="007443D1">
        <w:rPr>
          <w:rFonts w:asciiTheme="majorHAnsi" w:hAnsiTheme="majorHAnsi" w:cstheme="majorHAnsi"/>
        </w:rPr>
        <w:t xml:space="preserve">mi môžu byť len absolventi STU. </w:t>
      </w:r>
      <w:r w:rsidR="00443162">
        <w:rPr>
          <w:rFonts w:eastAsia="Times New Roman" w:cs="Calibri"/>
          <w:szCs w:val="22"/>
          <w:lang w:eastAsia="sk-SK"/>
        </w:rPr>
        <w:t xml:space="preserve">V rámci Portálu absolventov </w:t>
      </w:r>
      <w:r w:rsidR="00876369">
        <w:rPr>
          <w:rFonts w:eastAsia="Times New Roman" w:cs="Calibri"/>
          <w:szCs w:val="22"/>
          <w:lang w:eastAsia="sk-SK"/>
        </w:rPr>
        <w:t xml:space="preserve">STU </w:t>
      </w:r>
      <w:r w:rsidR="00443162">
        <w:rPr>
          <w:rFonts w:eastAsia="Times New Roman" w:cs="Calibri"/>
          <w:szCs w:val="22"/>
          <w:lang w:eastAsia="sk-SK"/>
        </w:rPr>
        <w:t>je</w:t>
      </w:r>
      <w:r w:rsidR="00E2127A" w:rsidRPr="0053555E">
        <w:rPr>
          <w:rFonts w:eastAsia="Times New Roman" w:cs="Calibri"/>
          <w:szCs w:val="22"/>
          <w:lang w:eastAsia="sk-SK"/>
        </w:rPr>
        <w:t xml:space="preserve"> verejne dostupná funkcionalita </w:t>
      </w:r>
      <w:hyperlink r:id="rId99" w:history="1">
        <w:r w:rsidR="00E2127A" w:rsidRPr="00EB64FC">
          <w:rPr>
            <w:rStyle w:val="Hypertextovprepojenie"/>
            <w:rFonts w:eastAsia="Times New Roman" w:cs="Calibri"/>
            <w:szCs w:val="22"/>
            <w:lang w:eastAsia="sk-SK"/>
          </w:rPr>
          <w:t>vyhľadávani</w:t>
        </w:r>
        <w:r w:rsidR="00EB64FC" w:rsidRPr="00EB64FC">
          <w:rPr>
            <w:rStyle w:val="Hypertextovprepojenie"/>
            <w:rFonts w:eastAsia="Times New Roman" w:cs="Calibri"/>
            <w:szCs w:val="22"/>
            <w:lang w:eastAsia="sk-SK"/>
          </w:rPr>
          <w:t>e</w:t>
        </w:r>
        <w:r w:rsidR="00E2127A" w:rsidRPr="00EB64FC">
          <w:rPr>
            <w:rStyle w:val="Hypertextovprepojenie"/>
            <w:rFonts w:eastAsia="Times New Roman" w:cs="Calibri"/>
            <w:szCs w:val="22"/>
            <w:lang w:eastAsia="sk-SK"/>
          </w:rPr>
          <w:t xml:space="preserve"> absolventov</w:t>
        </w:r>
      </w:hyperlink>
      <w:r w:rsidR="00E2127A" w:rsidRPr="0053555E">
        <w:rPr>
          <w:rFonts w:eastAsia="Times New Roman" w:cs="Calibri"/>
          <w:szCs w:val="22"/>
          <w:lang w:eastAsia="sk-SK"/>
        </w:rPr>
        <w:t xml:space="preserve"> </w:t>
      </w:r>
      <w:r w:rsidR="0056437C" w:rsidRPr="0053555E">
        <w:rPr>
          <w:rFonts w:eastAsia="Times New Roman" w:cs="Calibri"/>
          <w:szCs w:val="22"/>
          <w:lang w:eastAsia="sk-SK"/>
        </w:rPr>
        <w:t>z</w:t>
      </w:r>
      <w:r w:rsidR="00B0435A" w:rsidRPr="0053555E">
        <w:rPr>
          <w:rFonts w:eastAsia="Times New Roman" w:cs="Calibri"/>
          <w:szCs w:val="22"/>
          <w:lang w:eastAsia="sk-SK"/>
        </w:rPr>
        <w:t> </w:t>
      </w:r>
      <w:r w:rsidR="0019509B" w:rsidRPr="0053555E">
        <w:rPr>
          <w:rFonts w:eastAsia="Times New Roman" w:cs="Calibri"/>
          <w:szCs w:val="22"/>
          <w:lang w:eastAsia="sk-SK"/>
        </w:rPr>
        <w:t>databáz</w:t>
      </w:r>
      <w:r w:rsidR="0056437C" w:rsidRPr="0053555E">
        <w:rPr>
          <w:rFonts w:eastAsia="Times New Roman" w:cs="Calibri"/>
          <w:szCs w:val="22"/>
          <w:lang w:eastAsia="sk-SK"/>
        </w:rPr>
        <w:t>y</w:t>
      </w:r>
      <w:r w:rsidR="0019509B" w:rsidRPr="0053555E">
        <w:rPr>
          <w:rFonts w:eastAsia="Times New Roman" w:cs="Calibri"/>
          <w:szCs w:val="22"/>
          <w:lang w:eastAsia="sk-SK"/>
        </w:rPr>
        <w:t xml:space="preserve"> absolventov STU</w:t>
      </w:r>
      <w:r w:rsidR="007443D1">
        <w:rPr>
          <w:rFonts w:eastAsia="Times New Roman" w:cs="Calibri"/>
          <w:szCs w:val="22"/>
          <w:lang w:eastAsia="sk-SK"/>
        </w:rPr>
        <w:t>.</w:t>
      </w:r>
      <w:r w:rsidR="00D17501" w:rsidRPr="0053555E">
        <w:rPr>
          <w:rFonts w:eastAsia="Times New Roman" w:cs="Calibri"/>
          <w:szCs w:val="22"/>
          <w:lang w:eastAsia="sk-SK"/>
        </w:rPr>
        <w:t xml:space="preserve"> </w:t>
      </w:r>
    </w:p>
    <w:p w14:paraId="3161D6C1" w14:textId="60469D88" w:rsidR="006A5C66" w:rsidRPr="00FD14C1" w:rsidRDefault="004A3507" w:rsidP="009C2E0E">
      <w:pPr>
        <w:rPr>
          <w:rFonts w:asciiTheme="majorHAnsi" w:hAnsiTheme="majorHAnsi" w:cstheme="majorHAnsi"/>
          <w:sz w:val="20"/>
          <w:szCs w:val="20"/>
        </w:rPr>
      </w:pPr>
      <w:r w:rsidRPr="0053555E">
        <w:rPr>
          <w:rFonts w:asciiTheme="majorHAnsi" w:hAnsiTheme="majorHAnsi" w:cstheme="majorHAnsi"/>
        </w:rPr>
        <w:lastRenderedPageBreak/>
        <w:t xml:space="preserve">Prehľad </w:t>
      </w:r>
      <w:r w:rsidR="005A7B4A" w:rsidRPr="0053555E">
        <w:rPr>
          <w:rFonts w:asciiTheme="majorHAnsi" w:hAnsiTheme="majorHAnsi" w:cstheme="majorHAnsi"/>
        </w:rPr>
        <w:t xml:space="preserve">vybraných ukazovateľov Portálu absolventov STU za ostatných päť akademických rokov </w:t>
      </w:r>
      <w:r w:rsidRPr="0053555E">
        <w:rPr>
          <w:rFonts w:asciiTheme="majorHAnsi" w:hAnsiTheme="majorHAnsi" w:cstheme="majorHAnsi"/>
        </w:rPr>
        <w:t xml:space="preserve">uvádza </w:t>
      </w:r>
      <w:r w:rsidR="0012729B" w:rsidRPr="0053555E">
        <w:rPr>
          <w:rFonts w:asciiTheme="majorHAnsi" w:hAnsiTheme="majorHAnsi" w:cstheme="majorHAnsi"/>
          <w:sz w:val="20"/>
        </w:rPr>
        <w:fldChar w:fldCharType="begin"/>
      </w:r>
      <w:r w:rsidR="0012729B" w:rsidRPr="0053555E">
        <w:rPr>
          <w:rFonts w:asciiTheme="majorHAnsi" w:hAnsiTheme="majorHAnsi" w:cstheme="majorHAnsi"/>
          <w:sz w:val="20"/>
        </w:rPr>
        <w:instrText xml:space="preserve"> REF _Ref95599564 \h </w:instrText>
      </w:r>
      <w:r w:rsidR="00FF32F6" w:rsidRPr="0053555E">
        <w:rPr>
          <w:rFonts w:asciiTheme="majorHAnsi" w:hAnsiTheme="majorHAnsi" w:cstheme="majorHAnsi"/>
          <w:sz w:val="20"/>
        </w:rPr>
        <w:instrText xml:space="preserve"> \* MERGEFORMAT </w:instrText>
      </w:r>
      <w:r w:rsidR="0012729B" w:rsidRPr="0053555E">
        <w:rPr>
          <w:rFonts w:asciiTheme="majorHAnsi" w:hAnsiTheme="majorHAnsi" w:cstheme="majorHAnsi"/>
          <w:sz w:val="20"/>
        </w:rPr>
      </w:r>
      <w:r w:rsidR="0012729B" w:rsidRPr="0053555E">
        <w:rPr>
          <w:rFonts w:asciiTheme="majorHAnsi" w:hAnsiTheme="majorHAnsi" w:cstheme="majorHAnsi"/>
          <w:sz w:val="20"/>
        </w:rPr>
        <w:fldChar w:fldCharType="separate"/>
      </w:r>
      <w:r w:rsidR="00EE1B59" w:rsidRPr="00EE1B59">
        <w:rPr>
          <w:rFonts w:asciiTheme="majorHAnsi" w:hAnsiTheme="majorHAnsi" w:cstheme="majorHAnsi"/>
          <w:sz w:val="20"/>
        </w:rPr>
        <w:t xml:space="preserve">Tab. č. </w:t>
      </w:r>
      <w:r w:rsidR="00EE1B59" w:rsidRPr="00EE1B59">
        <w:rPr>
          <w:rFonts w:asciiTheme="majorHAnsi" w:hAnsiTheme="majorHAnsi" w:cstheme="majorHAnsi"/>
          <w:noProof/>
          <w:sz w:val="20"/>
        </w:rPr>
        <w:t>55</w:t>
      </w:r>
      <w:r w:rsidR="0012729B" w:rsidRPr="0053555E">
        <w:rPr>
          <w:rFonts w:asciiTheme="majorHAnsi" w:hAnsiTheme="majorHAnsi" w:cstheme="majorHAnsi"/>
          <w:sz w:val="20"/>
        </w:rPr>
        <w:fldChar w:fldCharType="end"/>
      </w:r>
      <w:r w:rsidR="00FF32F6" w:rsidRPr="0053555E">
        <w:rPr>
          <w:rFonts w:asciiTheme="majorHAnsi" w:hAnsiTheme="majorHAnsi" w:cstheme="majorHAnsi"/>
          <w:sz w:val="20"/>
        </w:rPr>
        <w:t xml:space="preserve"> </w:t>
      </w:r>
      <w:r w:rsidR="00FF32F6" w:rsidRPr="0053555E">
        <w:rPr>
          <w:rFonts w:asciiTheme="majorHAnsi" w:hAnsiTheme="majorHAnsi" w:cstheme="majorHAnsi"/>
        </w:rPr>
        <w:t xml:space="preserve">a </w:t>
      </w:r>
      <w:r w:rsidR="00276C67" w:rsidRPr="0053555E">
        <w:rPr>
          <w:rFonts w:asciiTheme="majorHAnsi" w:hAnsiTheme="majorHAnsi" w:cstheme="majorHAnsi"/>
        </w:rPr>
        <w:t xml:space="preserve">vývoj registrovaných absolventov STU na Portál absolventov STU </w:t>
      </w:r>
      <w:r w:rsidR="001562DB" w:rsidRPr="0053555E">
        <w:rPr>
          <w:rFonts w:asciiTheme="majorHAnsi" w:hAnsiTheme="majorHAnsi" w:cstheme="majorHAnsi"/>
        </w:rPr>
        <w:t>od </w:t>
      </w:r>
      <w:r w:rsidR="00D12E97" w:rsidRPr="0053555E">
        <w:rPr>
          <w:rFonts w:asciiTheme="majorHAnsi" w:hAnsiTheme="majorHAnsi" w:cstheme="majorHAnsi"/>
        </w:rPr>
        <w:t xml:space="preserve">jeho spustenia </w:t>
      </w:r>
      <w:r w:rsidR="00276C67" w:rsidRPr="0053555E">
        <w:rPr>
          <w:rFonts w:asciiTheme="majorHAnsi" w:hAnsiTheme="majorHAnsi" w:cstheme="majorHAnsi"/>
        </w:rPr>
        <w:t xml:space="preserve">uvádza </w:t>
      </w:r>
      <w:r w:rsidR="00D12E97" w:rsidRPr="00876369">
        <w:rPr>
          <w:rFonts w:asciiTheme="majorHAnsi" w:hAnsiTheme="majorHAnsi" w:cstheme="majorHAnsi"/>
          <w:sz w:val="20"/>
          <w:szCs w:val="20"/>
        </w:rPr>
        <w:fldChar w:fldCharType="begin"/>
      </w:r>
      <w:r w:rsidR="00D12E97" w:rsidRPr="00876369">
        <w:rPr>
          <w:rFonts w:asciiTheme="majorHAnsi" w:hAnsiTheme="majorHAnsi" w:cstheme="majorHAnsi"/>
          <w:sz w:val="20"/>
          <w:szCs w:val="20"/>
        </w:rPr>
        <w:instrText xml:space="preserve"> REF _Ref95599931 \h  \* MERGEFORMAT </w:instrText>
      </w:r>
      <w:r w:rsidR="00D12E97" w:rsidRPr="00876369">
        <w:rPr>
          <w:rFonts w:asciiTheme="majorHAnsi" w:hAnsiTheme="majorHAnsi" w:cstheme="majorHAnsi"/>
          <w:sz w:val="20"/>
          <w:szCs w:val="20"/>
        </w:rPr>
      </w:r>
      <w:r w:rsidR="00D12E97" w:rsidRPr="00876369">
        <w:rPr>
          <w:rFonts w:asciiTheme="majorHAnsi" w:hAnsiTheme="majorHAnsi" w:cstheme="majorHAnsi"/>
          <w:sz w:val="20"/>
          <w:szCs w:val="20"/>
        </w:rPr>
        <w:fldChar w:fldCharType="separate"/>
      </w:r>
      <w:r w:rsidR="00EE1B59" w:rsidRPr="00EE1B59">
        <w:rPr>
          <w:sz w:val="20"/>
          <w:szCs w:val="20"/>
        </w:rPr>
        <w:t>Graf</w:t>
      </w:r>
      <w:r w:rsidR="00EE1B59" w:rsidRPr="00EE1B59">
        <w:rPr>
          <w:noProof/>
          <w:sz w:val="20"/>
          <w:szCs w:val="20"/>
        </w:rPr>
        <w:t xml:space="preserve"> </w:t>
      </w:r>
      <w:r w:rsidR="00EE1B59" w:rsidRPr="00EE1B59">
        <w:rPr>
          <w:sz w:val="20"/>
          <w:szCs w:val="20"/>
        </w:rPr>
        <w:t>č</w:t>
      </w:r>
      <w:r w:rsidR="00EE1B59" w:rsidRPr="00EE1B59">
        <w:rPr>
          <w:noProof/>
          <w:sz w:val="20"/>
          <w:szCs w:val="20"/>
        </w:rPr>
        <w:t>.</w:t>
      </w:r>
      <w:r w:rsidR="00EE1B59" w:rsidRPr="0053555E">
        <w:t xml:space="preserve"> </w:t>
      </w:r>
      <w:r w:rsidR="00EE1B59">
        <w:rPr>
          <w:noProof/>
        </w:rPr>
        <w:t>21</w:t>
      </w:r>
      <w:r w:rsidR="00D12E97" w:rsidRPr="00876369">
        <w:rPr>
          <w:rFonts w:asciiTheme="majorHAnsi" w:hAnsiTheme="majorHAnsi" w:cstheme="majorHAnsi"/>
          <w:sz w:val="20"/>
          <w:szCs w:val="20"/>
        </w:rPr>
        <w:fldChar w:fldCharType="end"/>
      </w:r>
      <w:r w:rsidRPr="0053555E">
        <w:rPr>
          <w:rFonts w:asciiTheme="majorHAnsi" w:hAnsiTheme="majorHAnsi" w:cstheme="majorHAnsi"/>
          <w:sz w:val="20"/>
        </w:rPr>
        <w:t>.</w:t>
      </w:r>
    </w:p>
    <w:p w14:paraId="11788468" w14:textId="00B3657B" w:rsidR="00FD14C1" w:rsidRDefault="00FD14C1">
      <w:pPr>
        <w:rPr>
          <w:rFonts w:asciiTheme="majorHAnsi" w:hAnsiTheme="majorHAnsi" w:cstheme="majorHAnsi"/>
        </w:rPr>
      </w:pPr>
    </w:p>
    <w:p w14:paraId="577C3889" w14:textId="09C34677" w:rsidR="00E13C45" w:rsidRPr="0053555E" w:rsidRDefault="00E13C45" w:rsidP="000E3322">
      <w:pPr>
        <w:pStyle w:val="Popis"/>
      </w:pPr>
      <w:bookmarkStart w:id="266" w:name="_Ref95599564"/>
      <w:bookmarkStart w:id="267" w:name="_Toc127593318"/>
      <w:r w:rsidRPr="0053555E">
        <w:t>Tab. č.</w:t>
      </w:r>
      <w:bookmarkEnd w:id="266"/>
      <w:r w:rsidR="007443D1">
        <w:t>64</w:t>
      </w:r>
      <w:r w:rsidR="0012729B" w:rsidRPr="0053555E">
        <w:t xml:space="preserve">: </w:t>
      </w:r>
      <w:r w:rsidR="00FF32F6" w:rsidRPr="0053555E">
        <w:t>Vývoj Portálu absolventov za ostatných päť rokov</w:t>
      </w:r>
      <w:bookmarkEnd w:id="267"/>
    </w:p>
    <w:tbl>
      <w:tblPr>
        <w:tblW w:w="9072" w:type="dxa"/>
        <w:tblInd w:w="-5" w:type="dxa"/>
        <w:tblLayout w:type="fixed"/>
        <w:tblCellMar>
          <w:left w:w="0" w:type="dxa"/>
          <w:right w:w="0" w:type="dxa"/>
        </w:tblCellMar>
        <w:tblLook w:val="04A0" w:firstRow="1" w:lastRow="0" w:firstColumn="1" w:lastColumn="0" w:noHBand="0" w:noVBand="1"/>
      </w:tblPr>
      <w:tblGrid>
        <w:gridCol w:w="1985"/>
        <w:gridCol w:w="2410"/>
        <w:gridCol w:w="935"/>
        <w:gridCol w:w="935"/>
        <w:gridCol w:w="936"/>
        <w:gridCol w:w="935"/>
        <w:gridCol w:w="936"/>
      </w:tblGrid>
      <w:tr w:rsidR="009C2E0E" w:rsidRPr="0053555E" w14:paraId="182D03AB" w14:textId="77777777" w:rsidTr="00CA3C13">
        <w:trPr>
          <w:divId w:val="1543396428"/>
          <w:trHeight w:val="20"/>
        </w:trPr>
        <w:tc>
          <w:tcPr>
            <w:tcW w:w="4395" w:type="dxa"/>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5391C6CC" w14:textId="77777777" w:rsidR="009C2E0E" w:rsidRPr="0053555E" w:rsidRDefault="009C2E0E" w:rsidP="009C2E0E">
            <w:pPr>
              <w:jc w:val="center"/>
              <w:rPr>
                <w:rFonts w:eastAsia="Times New Roman" w:cs="Calibri"/>
                <w:sz w:val="20"/>
                <w:szCs w:val="20"/>
                <w:lang w:eastAsia="sk-SK"/>
              </w:rPr>
            </w:pPr>
            <w:r w:rsidRPr="0053555E">
              <w:rPr>
                <w:rFonts w:eastAsia="Times New Roman" w:cs="Calibri"/>
                <w:sz w:val="20"/>
                <w:szCs w:val="20"/>
                <w:lang w:eastAsia="sk-SK"/>
              </w:rPr>
              <w:t> </w:t>
            </w:r>
          </w:p>
        </w:tc>
        <w:tc>
          <w:tcPr>
            <w:tcW w:w="93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845096" w14:textId="13833E24" w:rsidR="009C2E0E" w:rsidRPr="0053555E" w:rsidRDefault="009C2E0E" w:rsidP="009C2E0E">
            <w:pPr>
              <w:jc w:val="center"/>
              <w:rPr>
                <w:rFonts w:eastAsia="Times New Roman" w:cs="Calibri"/>
                <w:b/>
                <w:bCs/>
                <w:sz w:val="22"/>
                <w:szCs w:val="20"/>
                <w:lang w:eastAsia="sk-SK"/>
              </w:rPr>
            </w:pPr>
            <w:r w:rsidRPr="0053555E">
              <w:rPr>
                <w:rFonts w:cs="Calibri"/>
                <w:b/>
                <w:bCs/>
                <w:sz w:val="22"/>
                <w:szCs w:val="20"/>
              </w:rPr>
              <w:t>XII/2018</w:t>
            </w:r>
          </w:p>
        </w:tc>
        <w:tc>
          <w:tcPr>
            <w:tcW w:w="93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14411D" w14:textId="1BD0FFD6" w:rsidR="009C2E0E" w:rsidRPr="0053555E" w:rsidRDefault="009C2E0E" w:rsidP="009C2E0E">
            <w:pPr>
              <w:jc w:val="center"/>
              <w:rPr>
                <w:rFonts w:eastAsia="Times New Roman" w:cs="Calibri"/>
                <w:b/>
                <w:bCs/>
                <w:sz w:val="22"/>
                <w:szCs w:val="20"/>
                <w:lang w:eastAsia="sk-SK"/>
              </w:rPr>
            </w:pPr>
            <w:r w:rsidRPr="0053555E">
              <w:rPr>
                <w:rFonts w:cs="Calibri"/>
                <w:b/>
                <w:bCs/>
                <w:sz w:val="22"/>
                <w:szCs w:val="20"/>
              </w:rPr>
              <w:t>XII/2019</w:t>
            </w:r>
          </w:p>
        </w:tc>
        <w:tc>
          <w:tcPr>
            <w:tcW w:w="93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12DF55" w14:textId="034865A6" w:rsidR="009C2E0E" w:rsidRPr="0053555E" w:rsidRDefault="009C2E0E" w:rsidP="009C2E0E">
            <w:pPr>
              <w:jc w:val="center"/>
              <w:rPr>
                <w:rFonts w:eastAsia="Times New Roman" w:cs="Calibri"/>
                <w:b/>
                <w:bCs/>
                <w:sz w:val="22"/>
                <w:szCs w:val="20"/>
                <w:lang w:eastAsia="sk-SK"/>
              </w:rPr>
            </w:pPr>
            <w:r w:rsidRPr="0053555E">
              <w:rPr>
                <w:rFonts w:cs="Calibri"/>
                <w:b/>
                <w:bCs/>
                <w:sz w:val="22"/>
                <w:szCs w:val="20"/>
              </w:rPr>
              <w:t>XII/2020</w:t>
            </w:r>
          </w:p>
        </w:tc>
        <w:tc>
          <w:tcPr>
            <w:tcW w:w="93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EAC01" w14:textId="6EEB88BB" w:rsidR="009C2E0E" w:rsidRPr="0053555E" w:rsidRDefault="009C2E0E" w:rsidP="009C2E0E">
            <w:pPr>
              <w:jc w:val="center"/>
              <w:rPr>
                <w:rFonts w:eastAsia="Times New Roman" w:cs="Calibri"/>
                <w:b/>
                <w:bCs/>
                <w:sz w:val="22"/>
                <w:szCs w:val="20"/>
                <w:lang w:eastAsia="sk-SK"/>
              </w:rPr>
            </w:pPr>
            <w:r w:rsidRPr="0053555E">
              <w:rPr>
                <w:rFonts w:cs="Calibri"/>
                <w:b/>
                <w:bCs/>
                <w:sz w:val="22"/>
                <w:szCs w:val="20"/>
              </w:rPr>
              <w:t>XII/2021</w:t>
            </w:r>
          </w:p>
        </w:tc>
        <w:tc>
          <w:tcPr>
            <w:tcW w:w="936" w:type="dxa"/>
            <w:tcBorders>
              <w:top w:val="single" w:sz="4" w:space="0" w:color="auto"/>
              <w:left w:val="nil"/>
              <w:bottom w:val="single" w:sz="4" w:space="0" w:color="auto"/>
              <w:right w:val="single" w:sz="4" w:space="0" w:color="auto"/>
            </w:tcBorders>
            <w:shd w:val="clear" w:color="auto" w:fill="EEECE1" w:themeFill="background2"/>
            <w:tcMar>
              <w:top w:w="15" w:type="dxa"/>
              <w:left w:w="15" w:type="dxa"/>
              <w:bottom w:w="0" w:type="dxa"/>
              <w:right w:w="15" w:type="dxa"/>
            </w:tcMar>
            <w:vAlign w:val="center"/>
            <w:hideMark/>
          </w:tcPr>
          <w:p w14:paraId="49E959F6" w14:textId="002D41BC" w:rsidR="009C2E0E" w:rsidRPr="0053555E" w:rsidRDefault="009C2E0E" w:rsidP="009C2E0E">
            <w:pPr>
              <w:jc w:val="center"/>
              <w:rPr>
                <w:rFonts w:eastAsia="Times New Roman" w:cs="Calibri"/>
                <w:b/>
                <w:bCs/>
                <w:sz w:val="22"/>
                <w:szCs w:val="20"/>
                <w:lang w:eastAsia="sk-SK"/>
              </w:rPr>
            </w:pPr>
            <w:r w:rsidRPr="0053555E">
              <w:rPr>
                <w:rFonts w:cs="Calibri"/>
                <w:b/>
                <w:bCs/>
                <w:sz w:val="22"/>
                <w:szCs w:val="20"/>
              </w:rPr>
              <w:t>XII/2022</w:t>
            </w:r>
          </w:p>
        </w:tc>
      </w:tr>
      <w:tr w:rsidR="009C2E0E" w:rsidRPr="0053555E" w14:paraId="66EB8785" w14:textId="77777777" w:rsidTr="00CA3C13">
        <w:trPr>
          <w:divId w:val="1543396428"/>
          <w:trHeight w:val="20"/>
        </w:trPr>
        <w:tc>
          <w:tcPr>
            <w:tcW w:w="4395"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1F26DAC" w14:textId="77777777" w:rsidR="009C2E0E" w:rsidRPr="0053555E" w:rsidRDefault="009C2E0E" w:rsidP="009C2E0E">
            <w:pPr>
              <w:rPr>
                <w:rFonts w:eastAsia="Times New Roman" w:cs="Calibri"/>
                <w:sz w:val="20"/>
                <w:szCs w:val="20"/>
                <w:lang w:eastAsia="sk-SK"/>
              </w:rPr>
            </w:pPr>
            <w:r w:rsidRPr="0053555E">
              <w:rPr>
                <w:rFonts w:eastAsia="Times New Roman" w:cs="Calibri"/>
                <w:sz w:val="20"/>
                <w:szCs w:val="20"/>
                <w:lang w:eastAsia="sk-SK"/>
              </w:rPr>
              <w:t>Zaregistrovaní absolventi STU</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661BF4" w14:textId="127ACDF2" w:rsidR="009C2E0E" w:rsidRPr="00A07622" w:rsidRDefault="009C2E0E" w:rsidP="009C2E0E">
            <w:pPr>
              <w:jc w:val="center"/>
              <w:rPr>
                <w:rFonts w:eastAsia="Times New Roman" w:cs="Calibri"/>
                <w:sz w:val="20"/>
                <w:szCs w:val="20"/>
                <w:lang w:eastAsia="sk-SK"/>
              </w:rPr>
            </w:pPr>
            <w:r w:rsidRPr="00A07622">
              <w:rPr>
                <w:rFonts w:cs="Calibri"/>
                <w:sz w:val="20"/>
                <w:szCs w:val="20"/>
              </w:rPr>
              <w:t>1 182</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4B2986" w14:textId="627B39A8" w:rsidR="009C2E0E" w:rsidRPr="00A07622" w:rsidRDefault="009C2E0E" w:rsidP="009C2E0E">
            <w:pPr>
              <w:jc w:val="center"/>
              <w:rPr>
                <w:rFonts w:eastAsia="Times New Roman" w:cs="Calibri"/>
                <w:sz w:val="20"/>
                <w:szCs w:val="20"/>
                <w:lang w:eastAsia="sk-SK"/>
              </w:rPr>
            </w:pPr>
            <w:r w:rsidRPr="00A07622">
              <w:rPr>
                <w:rFonts w:cs="Calibri"/>
                <w:sz w:val="20"/>
                <w:szCs w:val="20"/>
              </w:rPr>
              <w:t>1 215</w:t>
            </w:r>
          </w:p>
        </w:tc>
        <w:tc>
          <w:tcPr>
            <w:tcW w:w="9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84B0E7" w14:textId="74549687" w:rsidR="009C2E0E" w:rsidRPr="00A07622" w:rsidRDefault="009C2E0E" w:rsidP="009C2E0E">
            <w:pPr>
              <w:jc w:val="center"/>
              <w:rPr>
                <w:rFonts w:eastAsia="Times New Roman" w:cs="Calibri"/>
                <w:sz w:val="20"/>
                <w:szCs w:val="20"/>
                <w:lang w:eastAsia="sk-SK"/>
              </w:rPr>
            </w:pPr>
            <w:r w:rsidRPr="00A07622">
              <w:rPr>
                <w:rFonts w:cs="Calibri"/>
                <w:sz w:val="20"/>
                <w:szCs w:val="20"/>
              </w:rPr>
              <w:t>1 360</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8362BC" w14:textId="1723E24C" w:rsidR="009C2E0E" w:rsidRPr="00A07622" w:rsidRDefault="009C2E0E" w:rsidP="009C2E0E">
            <w:pPr>
              <w:jc w:val="center"/>
              <w:rPr>
                <w:rFonts w:eastAsia="Times New Roman" w:cs="Calibri"/>
                <w:sz w:val="20"/>
                <w:szCs w:val="20"/>
                <w:lang w:eastAsia="sk-SK"/>
              </w:rPr>
            </w:pPr>
            <w:r w:rsidRPr="00A07622">
              <w:rPr>
                <w:rFonts w:cs="Calibri"/>
                <w:sz w:val="20"/>
                <w:szCs w:val="20"/>
              </w:rPr>
              <w:t>1 475</w:t>
            </w:r>
          </w:p>
        </w:tc>
        <w:tc>
          <w:tcPr>
            <w:tcW w:w="936" w:type="dxa"/>
            <w:tcBorders>
              <w:top w:val="nil"/>
              <w:left w:val="nil"/>
              <w:bottom w:val="single" w:sz="4" w:space="0" w:color="auto"/>
              <w:right w:val="single" w:sz="4" w:space="0" w:color="auto"/>
            </w:tcBorders>
            <w:shd w:val="clear" w:color="auto" w:fill="EEECE1" w:themeFill="background2"/>
            <w:tcMar>
              <w:top w:w="15" w:type="dxa"/>
              <w:left w:w="15" w:type="dxa"/>
              <w:bottom w:w="0" w:type="dxa"/>
              <w:right w:w="15" w:type="dxa"/>
            </w:tcMar>
            <w:vAlign w:val="center"/>
            <w:hideMark/>
          </w:tcPr>
          <w:p w14:paraId="666FB7D0" w14:textId="4CB6F0DF" w:rsidR="009C2E0E" w:rsidRPr="00A07622" w:rsidRDefault="009C2E0E" w:rsidP="009C2E0E">
            <w:pPr>
              <w:jc w:val="center"/>
              <w:rPr>
                <w:rFonts w:eastAsia="Times New Roman" w:cs="Calibri"/>
                <w:b/>
                <w:sz w:val="20"/>
                <w:szCs w:val="20"/>
                <w:lang w:eastAsia="sk-SK"/>
              </w:rPr>
            </w:pPr>
            <w:r w:rsidRPr="00A07622">
              <w:rPr>
                <w:rFonts w:cs="Calibri"/>
                <w:b/>
                <w:sz w:val="20"/>
                <w:szCs w:val="20"/>
              </w:rPr>
              <w:t>1 495</w:t>
            </w:r>
          </w:p>
        </w:tc>
      </w:tr>
      <w:tr w:rsidR="009C2E0E" w:rsidRPr="0053555E" w14:paraId="0532AA8E" w14:textId="77777777" w:rsidTr="00CA3C13">
        <w:trPr>
          <w:divId w:val="1543396428"/>
          <w:trHeight w:val="20"/>
        </w:trPr>
        <w:tc>
          <w:tcPr>
            <w:tcW w:w="4395"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AD4CD" w14:textId="77777777" w:rsidR="009C2E0E" w:rsidRPr="0053555E" w:rsidRDefault="009C2E0E" w:rsidP="009C2E0E">
            <w:pPr>
              <w:rPr>
                <w:rFonts w:eastAsia="Times New Roman" w:cs="Calibri"/>
                <w:sz w:val="20"/>
                <w:szCs w:val="20"/>
                <w:lang w:eastAsia="sk-SK"/>
              </w:rPr>
            </w:pPr>
            <w:r w:rsidRPr="0053555E">
              <w:rPr>
                <w:rFonts w:eastAsia="Times New Roman" w:cs="Calibri"/>
                <w:sz w:val="20"/>
                <w:szCs w:val="20"/>
                <w:lang w:eastAsia="sk-SK"/>
              </w:rPr>
              <w:t>Zaregistrované subjekty (firmy) ponúkajúce pracovné príležitosti </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82B45C" w14:textId="34BB574C" w:rsidR="009C2E0E" w:rsidRPr="00A07622" w:rsidRDefault="009C2E0E" w:rsidP="009C2E0E">
            <w:pPr>
              <w:jc w:val="center"/>
              <w:rPr>
                <w:rFonts w:eastAsia="Times New Roman" w:cs="Calibri"/>
                <w:sz w:val="20"/>
                <w:szCs w:val="20"/>
                <w:lang w:eastAsia="sk-SK"/>
              </w:rPr>
            </w:pPr>
            <w:r w:rsidRPr="00A07622">
              <w:rPr>
                <w:rFonts w:cs="Calibri"/>
                <w:sz w:val="20"/>
                <w:szCs w:val="20"/>
              </w:rPr>
              <w:t>618</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4DF8E0" w14:textId="2B8602DD" w:rsidR="009C2E0E" w:rsidRPr="00A07622" w:rsidRDefault="009C2E0E" w:rsidP="009C2E0E">
            <w:pPr>
              <w:jc w:val="center"/>
              <w:rPr>
                <w:rFonts w:eastAsia="Times New Roman" w:cs="Calibri"/>
                <w:sz w:val="20"/>
                <w:szCs w:val="20"/>
                <w:lang w:eastAsia="sk-SK"/>
              </w:rPr>
            </w:pPr>
            <w:r w:rsidRPr="00A07622">
              <w:rPr>
                <w:rFonts w:cs="Calibri"/>
                <w:sz w:val="20"/>
                <w:szCs w:val="20"/>
              </w:rPr>
              <w:t>687</w:t>
            </w:r>
          </w:p>
        </w:tc>
        <w:tc>
          <w:tcPr>
            <w:tcW w:w="9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517FD8" w14:textId="665A91E6" w:rsidR="009C2E0E" w:rsidRPr="00A07622" w:rsidRDefault="009C2E0E" w:rsidP="009C2E0E">
            <w:pPr>
              <w:jc w:val="center"/>
              <w:rPr>
                <w:rFonts w:eastAsia="Times New Roman" w:cs="Calibri"/>
                <w:sz w:val="20"/>
                <w:szCs w:val="20"/>
                <w:lang w:eastAsia="sk-SK"/>
              </w:rPr>
            </w:pPr>
            <w:r w:rsidRPr="00A07622">
              <w:rPr>
                <w:rFonts w:cs="Calibri"/>
                <w:sz w:val="20"/>
                <w:szCs w:val="20"/>
              </w:rPr>
              <w:t>728</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A24C78" w14:textId="6F100599" w:rsidR="009C2E0E" w:rsidRPr="00A07622" w:rsidRDefault="009C2E0E" w:rsidP="009C2E0E">
            <w:pPr>
              <w:jc w:val="center"/>
              <w:rPr>
                <w:rFonts w:eastAsia="Times New Roman" w:cs="Calibri"/>
                <w:sz w:val="20"/>
                <w:szCs w:val="20"/>
                <w:lang w:eastAsia="sk-SK"/>
              </w:rPr>
            </w:pPr>
            <w:r w:rsidRPr="00A07622">
              <w:rPr>
                <w:rFonts w:cs="Calibri"/>
                <w:sz w:val="20"/>
                <w:szCs w:val="20"/>
              </w:rPr>
              <w:t>797</w:t>
            </w:r>
          </w:p>
        </w:tc>
        <w:tc>
          <w:tcPr>
            <w:tcW w:w="936" w:type="dxa"/>
            <w:tcBorders>
              <w:top w:val="nil"/>
              <w:left w:val="nil"/>
              <w:bottom w:val="single" w:sz="4" w:space="0" w:color="auto"/>
              <w:right w:val="single" w:sz="4" w:space="0" w:color="auto"/>
            </w:tcBorders>
            <w:shd w:val="clear" w:color="auto" w:fill="EEECE1" w:themeFill="background2"/>
            <w:tcMar>
              <w:top w:w="15" w:type="dxa"/>
              <w:left w:w="15" w:type="dxa"/>
              <w:bottom w:w="0" w:type="dxa"/>
              <w:right w:w="15" w:type="dxa"/>
            </w:tcMar>
            <w:vAlign w:val="center"/>
            <w:hideMark/>
          </w:tcPr>
          <w:p w14:paraId="075C90FB" w14:textId="09D6EE61" w:rsidR="009C2E0E" w:rsidRPr="00A07622" w:rsidRDefault="009C2E0E" w:rsidP="009C2E0E">
            <w:pPr>
              <w:jc w:val="center"/>
              <w:rPr>
                <w:rFonts w:eastAsia="Times New Roman" w:cs="Calibri"/>
                <w:b/>
                <w:sz w:val="20"/>
                <w:szCs w:val="20"/>
                <w:lang w:eastAsia="sk-SK"/>
              </w:rPr>
            </w:pPr>
            <w:r w:rsidRPr="00A07622">
              <w:rPr>
                <w:rFonts w:cs="Calibri"/>
                <w:b/>
                <w:sz w:val="20"/>
                <w:szCs w:val="20"/>
              </w:rPr>
              <w:t>856</w:t>
            </w:r>
          </w:p>
        </w:tc>
      </w:tr>
      <w:tr w:rsidR="009C2E0E" w:rsidRPr="0053555E" w14:paraId="0040AC1F" w14:textId="77777777" w:rsidTr="00CA3C13">
        <w:trPr>
          <w:divId w:val="1543396428"/>
          <w:trHeight w:val="20"/>
        </w:trPr>
        <w:tc>
          <w:tcPr>
            <w:tcW w:w="4395"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5B400" w14:textId="77777777" w:rsidR="009C2E0E" w:rsidRPr="0053555E" w:rsidRDefault="009C2E0E" w:rsidP="009C2E0E">
            <w:pPr>
              <w:rPr>
                <w:rFonts w:eastAsia="Times New Roman" w:cs="Calibri"/>
                <w:sz w:val="20"/>
                <w:szCs w:val="20"/>
                <w:lang w:eastAsia="sk-SK"/>
              </w:rPr>
            </w:pPr>
            <w:r w:rsidRPr="0053555E">
              <w:rPr>
                <w:rFonts w:eastAsia="Times New Roman" w:cs="Calibri"/>
                <w:sz w:val="20"/>
                <w:szCs w:val="20"/>
                <w:lang w:eastAsia="sk-SK"/>
              </w:rPr>
              <w:t>Počet inzerovaných pracovných ponúk zadaných priamo firmami cez elektronický formulár  </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971022" w14:textId="7A7FB039" w:rsidR="009C2E0E" w:rsidRPr="00A07622" w:rsidRDefault="009C2E0E" w:rsidP="009C2E0E">
            <w:pPr>
              <w:jc w:val="center"/>
              <w:rPr>
                <w:rFonts w:eastAsia="Times New Roman" w:cs="Calibri"/>
                <w:sz w:val="20"/>
                <w:szCs w:val="20"/>
                <w:lang w:eastAsia="sk-SK"/>
              </w:rPr>
            </w:pPr>
            <w:r w:rsidRPr="00A07622">
              <w:rPr>
                <w:rFonts w:cs="Calibri"/>
                <w:sz w:val="20"/>
                <w:szCs w:val="20"/>
              </w:rPr>
              <w:t>1 294</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52C1AB" w14:textId="6859A6D5" w:rsidR="009C2E0E" w:rsidRPr="00A07622" w:rsidRDefault="009C2E0E" w:rsidP="009C2E0E">
            <w:pPr>
              <w:jc w:val="center"/>
              <w:rPr>
                <w:rFonts w:eastAsia="Times New Roman" w:cs="Calibri"/>
                <w:sz w:val="20"/>
                <w:szCs w:val="20"/>
                <w:lang w:eastAsia="sk-SK"/>
              </w:rPr>
            </w:pPr>
            <w:r w:rsidRPr="00A07622">
              <w:rPr>
                <w:rFonts w:cs="Calibri"/>
                <w:sz w:val="20"/>
                <w:szCs w:val="20"/>
              </w:rPr>
              <w:t>1 478</w:t>
            </w:r>
          </w:p>
        </w:tc>
        <w:tc>
          <w:tcPr>
            <w:tcW w:w="9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DC8460" w14:textId="1D5BF9E6" w:rsidR="009C2E0E" w:rsidRPr="00A07622" w:rsidRDefault="009C2E0E" w:rsidP="009C2E0E">
            <w:pPr>
              <w:jc w:val="center"/>
              <w:rPr>
                <w:rFonts w:eastAsia="Times New Roman" w:cs="Calibri"/>
                <w:sz w:val="20"/>
                <w:szCs w:val="20"/>
                <w:lang w:eastAsia="sk-SK"/>
              </w:rPr>
            </w:pPr>
            <w:r w:rsidRPr="00A07622">
              <w:rPr>
                <w:rFonts w:cs="Calibri"/>
                <w:sz w:val="20"/>
                <w:szCs w:val="20"/>
              </w:rPr>
              <w:t>1 564</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CF4D1D" w14:textId="37F9F4EE" w:rsidR="009C2E0E" w:rsidRPr="00A07622" w:rsidRDefault="009C2E0E" w:rsidP="009C2E0E">
            <w:pPr>
              <w:jc w:val="center"/>
              <w:rPr>
                <w:rFonts w:eastAsia="Times New Roman" w:cs="Calibri"/>
                <w:sz w:val="20"/>
                <w:szCs w:val="20"/>
                <w:lang w:eastAsia="sk-SK"/>
              </w:rPr>
            </w:pPr>
            <w:r w:rsidRPr="00A07622">
              <w:rPr>
                <w:rFonts w:cs="Calibri"/>
                <w:sz w:val="20"/>
                <w:szCs w:val="20"/>
              </w:rPr>
              <w:t>1846+</w:t>
            </w:r>
          </w:p>
        </w:tc>
        <w:tc>
          <w:tcPr>
            <w:tcW w:w="936" w:type="dxa"/>
            <w:tcBorders>
              <w:top w:val="nil"/>
              <w:left w:val="nil"/>
              <w:bottom w:val="single" w:sz="4" w:space="0" w:color="auto"/>
              <w:right w:val="single" w:sz="4" w:space="0" w:color="auto"/>
            </w:tcBorders>
            <w:shd w:val="clear" w:color="auto" w:fill="EEECE1" w:themeFill="background2"/>
            <w:tcMar>
              <w:top w:w="15" w:type="dxa"/>
              <w:left w:w="15" w:type="dxa"/>
              <w:bottom w:w="0" w:type="dxa"/>
              <w:right w:w="15" w:type="dxa"/>
            </w:tcMar>
            <w:vAlign w:val="center"/>
            <w:hideMark/>
          </w:tcPr>
          <w:p w14:paraId="6ACE1D23" w14:textId="37A9642A" w:rsidR="009C2E0E" w:rsidRPr="00A07622" w:rsidRDefault="009C2E0E" w:rsidP="009C2E0E">
            <w:pPr>
              <w:jc w:val="center"/>
              <w:rPr>
                <w:rFonts w:eastAsia="Times New Roman" w:cs="Calibri"/>
                <w:b/>
                <w:sz w:val="20"/>
                <w:szCs w:val="20"/>
                <w:lang w:eastAsia="sk-SK"/>
              </w:rPr>
            </w:pPr>
            <w:r w:rsidRPr="00A07622">
              <w:rPr>
                <w:rFonts w:cs="Calibri"/>
                <w:b/>
                <w:sz w:val="20"/>
                <w:szCs w:val="20"/>
              </w:rPr>
              <w:t>2 196</w:t>
            </w:r>
          </w:p>
        </w:tc>
      </w:tr>
      <w:tr w:rsidR="009C2E0E" w:rsidRPr="0053555E" w14:paraId="265C0510" w14:textId="77777777" w:rsidTr="00CA3C13">
        <w:trPr>
          <w:divId w:val="1543396428"/>
          <w:trHeight w:val="20"/>
        </w:trPr>
        <w:tc>
          <w:tcPr>
            <w:tcW w:w="4395"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4C17E406" w14:textId="77777777" w:rsidR="009C2E0E" w:rsidRPr="0053555E" w:rsidRDefault="009C2E0E" w:rsidP="009C2E0E">
            <w:pPr>
              <w:rPr>
                <w:rFonts w:eastAsia="Times New Roman" w:cs="Calibri"/>
                <w:sz w:val="20"/>
                <w:szCs w:val="20"/>
                <w:lang w:eastAsia="sk-SK"/>
              </w:rPr>
            </w:pPr>
            <w:r w:rsidRPr="0053555E">
              <w:rPr>
                <w:rFonts w:eastAsia="Times New Roman" w:cs="Calibri"/>
                <w:sz w:val="20"/>
                <w:szCs w:val="20"/>
                <w:lang w:eastAsia="sk-SK"/>
              </w:rPr>
              <w:t>Distribúcia Newsletteru</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938DF3" w14:textId="23FDEC4C" w:rsidR="009C2E0E" w:rsidRPr="00A07622" w:rsidRDefault="009C2E0E" w:rsidP="009C2E0E">
            <w:pPr>
              <w:jc w:val="center"/>
              <w:rPr>
                <w:rFonts w:eastAsia="Times New Roman" w:cs="Calibri"/>
                <w:sz w:val="20"/>
                <w:szCs w:val="20"/>
                <w:lang w:eastAsia="sk-SK"/>
              </w:rPr>
            </w:pPr>
            <w:r w:rsidRPr="00A07622">
              <w:rPr>
                <w:rFonts w:cs="Calibri"/>
                <w:sz w:val="20"/>
                <w:szCs w:val="20"/>
              </w:rPr>
              <w:t>658</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B98E59" w14:textId="53D4C4AA" w:rsidR="009C2E0E" w:rsidRPr="00A07622" w:rsidRDefault="009C2E0E" w:rsidP="009C2E0E">
            <w:pPr>
              <w:jc w:val="center"/>
              <w:rPr>
                <w:rFonts w:eastAsia="Times New Roman" w:cs="Calibri"/>
                <w:sz w:val="20"/>
                <w:szCs w:val="20"/>
                <w:lang w:eastAsia="sk-SK"/>
              </w:rPr>
            </w:pPr>
            <w:r w:rsidRPr="00A07622">
              <w:rPr>
                <w:rFonts w:cs="Calibri"/>
                <w:sz w:val="20"/>
                <w:szCs w:val="20"/>
              </w:rPr>
              <w:t>755</w:t>
            </w:r>
          </w:p>
        </w:tc>
        <w:tc>
          <w:tcPr>
            <w:tcW w:w="9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96DBD3" w14:textId="4B128B08" w:rsidR="009C2E0E" w:rsidRPr="00A07622" w:rsidRDefault="009C2E0E" w:rsidP="009C2E0E">
            <w:pPr>
              <w:jc w:val="center"/>
              <w:rPr>
                <w:rFonts w:eastAsia="Times New Roman" w:cs="Calibri"/>
                <w:sz w:val="20"/>
                <w:szCs w:val="20"/>
                <w:lang w:eastAsia="sk-SK"/>
              </w:rPr>
            </w:pPr>
            <w:r w:rsidRPr="00A07622">
              <w:rPr>
                <w:rFonts w:cs="Calibri"/>
                <w:sz w:val="20"/>
                <w:szCs w:val="20"/>
              </w:rPr>
              <w:t>794</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7C1249" w14:textId="5A1D885F" w:rsidR="009C2E0E" w:rsidRPr="00A07622" w:rsidRDefault="009C2E0E" w:rsidP="009C2E0E">
            <w:pPr>
              <w:jc w:val="center"/>
              <w:rPr>
                <w:rFonts w:eastAsia="Times New Roman" w:cs="Calibri"/>
                <w:sz w:val="20"/>
                <w:szCs w:val="20"/>
                <w:lang w:eastAsia="sk-SK"/>
              </w:rPr>
            </w:pPr>
            <w:r w:rsidRPr="00A07622">
              <w:rPr>
                <w:rFonts w:cs="Calibri"/>
                <w:sz w:val="20"/>
                <w:szCs w:val="20"/>
              </w:rPr>
              <w:t>938</w:t>
            </w:r>
          </w:p>
        </w:tc>
        <w:tc>
          <w:tcPr>
            <w:tcW w:w="936" w:type="dxa"/>
            <w:tcBorders>
              <w:top w:val="nil"/>
              <w:left w:val="nil"/>
              <w:bottom w:val="single" w:sz="4" w:space="0" w:color="auto"/>
              <w:right w:val="single" w:sz="4" w:space="0" w:color="auto"/>
            </w:tcBorders>
            <w:shd w:val="clear" w:color="auto" w:fill="EEECE1" w:themeFill="background2"/>
            <w:tcMar>
              <w:top w:w="15" w:type="dxa"/>
              <w:left w:w="15" w:type="dxa"/>
              <w:bottom w:w="0" w:type="dxa"/>
              <w:right w:w="15" w:type="dxa"/>
            </w:tcMar>
            <w:vAlign w:val="center"/>
            <w:hideMark/>
          </w:tcPr>
          <w:p w14:paraId="0FD62BD3" w14:textId="00DB4837" w:rsidR="009C2E0E" w:rsidRPr="00A07622" w:rsidRDefault="009C2E0E" w:rsidP="009C2E0E">
            <w:pPr>
              <w:jc w:val="center"/>
              <w:rPr>
                <w:rFonts w:eastAsia="Times New Roman" w:cs="Calibri"/>
                <w:b/>
                <w:sz w:val="20"/>
                <w:szCs w:val="20"/>
                <w:lang w:eastAsia="sk-SK"/>
              </w:rPr>
            </w:pPr>
            <w:r w:rsidRPr="00A07622">
              <w:rPr>
                <w:rFonts w:cs="Calibri"/>
                <w:b/>
                <w:sz w:val="20"/>
                <w:szCs w:val="20"/>
              </w:rPr>
              <w:t>1 005</w:t>
            </w:r>
          </w:p>
        </w:tc>
      </w:tr>
      <w:tr w:rsidR="001864C6" w:rsidRPr="0053555E" w14:paraId="10A30BAC" w14:textId="77777777" w:rsidTr="00CA3C13">
        <w:trPr>
          <w:divId w:val="1543396428"/>
          <w:trHeight w:val="20"/>
        </w:trPr>
        <w:tc>
          <w:tcPr>
            <w:tcW w:w="1985"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333AF9C3" w14:textId="77777777" w:rsidR="001864C6" w:rsidRPr="0053555E" w:rsidRDefault="001864C6" w:rsidP="001864C6">
            <w:pPr>
              <w:rPr>
                <w:rFonts w:eastAsia="Times New Roman" w:cs="Calibri"/>
                <w:sz w:val="20"/>
                <w:szCs w:val="20"/>
                <w:lang w:eastAsia="sk-SK"/>
              </w:rPr>
            </w:pPr>
            <w:r w:rsidRPr="0053555E">
              <w:rPr>
                <w:rFonts w:eastAsia="Times New Roman" w:cs="Calibri"/>
                <w:sz w:val="20"/>
                <w:szCs w:val="20"/>
                <w:lang w:eastAsia="sk-SK"/>
              </w:rPr>
              <w:t>Počet zobrazení pracovných ponúk</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1118D66" w14:textId="022644A8" w:rsidR="001864C6" w:rsidRPr="0053555E" w:rsidRDefault="001864C6" w:rsidP="001864C6">
            <w:pPr>
              <w:rPr>
                <w:rFonts w:eastAsia="Times New Roman" w:cs="Calibri"/>
                <w:sz w:val="20"/>
                <w:szCs w:val="20"/>
                <w:lang w:eastAsia="sk-SK"/>
              </w:rPr>
            </w:pPr>
            <w:r>
              <w:rPr>
                <w:rFonts w:cs="Calibri"/>
                <w:color w:val="000000"/>
                <w:sz w:val="20"/>
                <w:szCs w:val="20"/>
              </w:rPr>
              <w:t>prevzatých z Profesia.sk</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A50F4" w14:textId="4EB49136" w:rsidR="001864C6" w:rsidRPr="00A07622" w:rsidRDefault="001864C6" w:rsidP="001864C6">
            <w:pPr>
              <w:jc w:val="center"/>
              <w:rPr>
                <w:rFonts w:eastAsia="Times New Roman" w:cs="Calibri"/>
                <w:sz w:val="20"/>
                <w:szCs w:val="20"/>
                <w:lang w:eastAsia="sk-SK"/>
              </w:rPr>
            </w:pPr>
            <w:r w:rsidRPr="00A07622">
              <w:rPr>
                <w:rFonts w:cs="Calibri"/>
                <w:sz w:val="20"/>
                <w:szCs w:val="20"/>
              </w:rPr>
              <w:t>185 325</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B084BE" w14:textId="5918EBBE" w:rsidR="001864C6" w:rsidRPr="00A07622" w:rsidRDefault="001864C6" w:rsidP="001864C6">
            <w:pPr>
              <w:jc w:val="center"/>
              <w:rPr>
                <w:rFonts w:eastAsia="Times New Roman" w:cs="Calibri"/>
                <w:sz w:val="20"/>
                <w:szCs w:val="20"/>
                <w:lang w:eastAsia="sk-SK"/>
              </w:rPr>
            </w:pPr>
            <w:r w:rsidRPr="00A07622">
              <w:rPr>
                <w:rFonts w:cs="Calibri"/>
                <w:sz w:val="20"/>
                <w:szCs w:val="20"/>
              </w:rPr>
              <w:t>284 578</w:t>
            </w:r>
          </w:p>
        </w:tc>
        <w:tc>
          <w:tcPr>
            <w:tcW w:w="9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E160A4" w14:textId="4A834A4F" w:rsidR="001864C6" w:rsidRPr="00A07622" w:rsidRDefault="001864C6" w:rsidP="001864C6">
            <w:pPr>
              <w:jc w:val="center"/>
              <w:rPr>
                <w:rFonts w:eastAsia="Times New Roman" w:cs="Calibri"/>
                <w:sz w:val="20"/>
                <w:szCs w:val="20"/>
                <w:lang w:eastAsia="sk-SK"/>
              </w:rPr>
            </w:pPr>
            <w:r w:rsidRPr="00A07622">
              <w:rPr>
                <w:rFonts w:cs="Calibri"/>
                <w:sz w:val="20"/>
                <w:szCs w:val="20"/>
              </w:rPr>
              <w:t>388 455</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453178" w14:textId="41F6498C" w:rsidR="001864C6" w:rsidRPr="00A07622" w:rsidRDefault="001864C6" w:rsidP="001864C6">
            <w:pPr>
              <w:jc w:val="center"/>
              <w:rPr>
                <w:rFonts w:eastAsia="Times New Roman" w:cs="Calibri"/>
                <w:sz w:val="20"/>
                <w:szCs w:val="20"/>
                <w:lang w:eastAsia="sk-SK"/>
              </w:rPr>
            </w:pPr>
            <w:r w:rsidRPr="00A07622">
              <w:rPr>
                <w:rFonts w:cs="Calibri"/>
                <w:sz w:val="20"/>
                <w:szCs w:val="20"/>
              </w:rPr>
              <w:t>494 405</w:t>
            </w:r>
          </w:p>
        </w:tc>
        <w:tc>
          <w:tcPr>
            <w:tcW w:w="936" w:type="dxa"/>
            <w:tcBorders>
              <w:top w:val="nil"/>
              <w:left w:val="nil"/>
              <w:bottom w:val="single" w:sz="4" w:space="0" w:color="auto"/>
              <w:right w:val="single" w:sz="4" w:space="0" w:color="auto"/>
            </w:tcBorders>
            <w:shd w:val="clear" w:color="auto" w:fill="EEECE1" w:themeFill="background2"/>
            <w:tcMar>
              <w:top w:w="15" w:type="dxa"/>
              <w:left w:w="15" w:type="dxa"/>
              <w:bottom w:w="0" w:type="dxa"/>
              <w:right w:w="15" w:type="dxa"/>
            </w:tcMar>
            <w:vAlign w:val="center"/>
            <w:hideMark/>
          </w:tcPr>
          <w:p w14:paraId="0A87A3C9" w14:textId="0FE088B4" w:rsidR="001864C6" w:rsidRPr="00A07622" w:rsidRDefault="001864C6" w:rsidP="001864C6">
            <w:pPr>
              <w:jc w:val="center"/>
              <w:rPr>
                <w:rFonts w:eastAsia="Times New Roman" w:cs="Calibri"/>
                <w:b/>
                <w:sz w:val="20"/>
                <w:szCs w:val="20"/>
                <w:lang w:eastAsia="sk-SK"/>
              </w:rPr>
            </w:pPr>
            <w:r w:rsidRPr="00A07622">
              <w:rPr>
                <w:rFonts w:cs="Calibri"/>
                <w:b/>
                <w:sz w:val="20"/>
                <w:szCs w:val="20"/>
              </w:rPr>
              <w:t>569 312</w:t>
            </w:r>
          </w:p>
        </w:tc>
      </w:tr>
      <w:tr w:rsidR="001864C6" w:rsidRPr="0053555E" w14:paraId="6543ED6E" w14:textId="77777777" w:rsidTr="00CA3C13">
        <w:trPr>
          <w:divId w:val="1543396428"/>
          <w:trHeight w:val="20"/>
        </w:trPr>
        <w:tc>
          <w:tcPr>
            <w:tcW w:w="1985" w:type="dxa"/>
            <w:vMerge/>
            <w:tcBorders>
              <w:top w:val="nil"/>
              <w:left w:val="single" w:sz="4" w:space="0" w:color="auto"/>
              <w:bottom w:val="single" w:sz="4" w:space="0" w:color="000000"/>
              <w:right w:val="single" w:sz="4" w:space="0" w:color="auto"/>
            </w:tcBorders>
            <w:vAlign w:val="center"/>
            <w:hideMark/>
          </w:tcPr>
          <w:p w14:paraId="5A037B0F" w14:textId="77777777" w:rsidR="001864C6" w:rsidRPr="0053555E" w:rsidRDefault="001864C6" w:rsidP="001864C6">
            <w:pPr>
              <w:rPr>
                <w:rFonts w:eastAsia="Times New Roman" w:cs="Calibri"/>
                <w:sz w:val="20"/>
                <w:szCs w:val="20"/>
                <w:lang w:eastAsia="sk-SK"/>
              </w:rP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94C36B" w14:textId="1124836D" w:rsidR="001864C6" w:rsidRPr="0053555E" w:rsidRDefault="001864C6" w:rsidP="001864C6">
            <w:pPr>
              <w:rPr>
                <w:rFonts w:eastAsia="Times New Roman" w:cs="Calibri"/>
                <w:sz w:val="20"/>
                <w:szCs w:val="20"/>
                <w:lang w:eastAsia="sk-SK"/>
              </w:rPr>
            </w:pPr>
            <w:r>
              <w:rPr>
                <w:rFonts w:cs="Calibri"/>
                <w:color w:val="000000"/>
                <w:sz w:val="20"/>
                <w:szCs w:val="20"/>
              </w:rPr>
              <w:t>zadaných firmami</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19B8F6" w14:textId="12677C94" w:rsidR="001864C6" w:rsidRPr="00A07622" w:rsidRDefault="001864C6" w:rsidP="001864C6">
            <w:pPr>
              <w:jc w:val="center"/>
              <w:rPr>
                <w:rFonts w:eastAsia="Times New Roman" w:cs="Calibri"/>
                <w:sz w:val="20"/>
                <w:szCs w:val="20"/>
                <w:lang w:eastAsia="sk-SK"/>
              </w:rPr>
            </w:pPr>
            <w:r w:rsidRPr="00A07622">
              <w:rPr>
                <w:rFonts w:cs="Calibri"/>
                <w:sz w:val="20"/>
                <w:szCs w:val="20"/>
              </w:rPr>
              <w:t>54 485</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D98E15" w14:textId="03922294" w:rsidR="001864C6" w:rsidRPr="00A07622" w:rsidRDefault="001864C6" w:rsidP="001864C6">
            <w:pPr>
              <w:jc w:val="center"/>
              <w:rPr>
                <w:rFonts w:eastAsia="Times New Roman" w:cs="Calibri"/>
                <w:sz w:val="20"/>
                <w:szCs w:val="20"/>
                <w:lang w:eastAsia="sk-SK"/>
              </w:rPr>
            </w:pPr>
            <w:r w:rsidRPr="00A07622">
              <w:rPr>
                <w:rFonts w:cs="Calibri"/>
                <w:sz w:val="20"/>
                <w:szCs w:val="20"/>
              </w:rPr>
              <w:t>71 154</w:t>
            </w:r>
          </w:p>
        </w:tc>
        <w:tc>
          <w:tcPr>
            <w:tcW w:w="9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2C97DD" w14:textId="303B6B03" w:rsidR="001864C6" w:rsidRPr="00A07622" w:rsidRDefault="001864C6" w:rsidP="001864C6">
            <w:pPr>
              <w:jc w:val="center"/>
              <w:rPr>
                <w:rFonts w:eastAsia="Times New Roman" w:cs="Calibri"/>
                <w:sz w:val="20"/>
                <w:szCs w:val="20"/>
                <w:lang w:eastAsia="sk-SK"/>
              </w:rPr>
            </w:pPr>
            <w:r w:rsidRPr="00A07622">
              <w:rPr>
                <w:rFonts w:cs="Calibri"/>
                <w:sz w:val="20"/>
                <w:szCs w:val="20"/>
              </w:rPr>
              <w:t>92 785</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CAEA20" w14:textId="7694C1ED" w:rsidR="001864C6" w:rsidRPr="00A07622" w:rsidRDefault="001864C6" w:rsidP="001864C6">
            <w:pPr>
              <w:jc w:val="center"/>
              <w:rPr>
                <w:rFonts w:eastAsia="Times New Roman" w:cs="Calibri"/>
                <w:sz w:val="20"/>
                <w:szCs w:val="20"/>
                <w:lang w:eastAsia="sk-SK"/>
              </w:rPr>
            </w:pPr>
            <w:r w:rsidRPr="00A07622">
              <w:rPr>
                <w:rFonts w:cs="Calibri"/>
                <w:sz w:val="20"/>
                <w:szCs w:val="20"/>
              </w:rPr>
              <w:t>111 790</w:t>
            </w:r>
          </w:p>
        </w:tc>
        <w:tc>
          <w:tcPr>
            <w:tcW w:w="936" w:type="dxa"/>
            <w:tcBorders>
              <w:top w:val="nil"/>
              <w:left w:val="nil"/>
              <w:bottom w:val="single" w:sz="4" w:space="0" w:color="auto"/>
              <w:right w:val="single" w:sz="4" w:space="0" w:color="auto"/>
            </w:tcBorders>
            <w:shd w:val="clear" w:color="auto" w:fill="EEECE1" w:themeFill="background2"/>
            <w:tcMar>
              <w:top w:w="15" w:type="dxa"/>
              <w:left w:w="15" w:type="dxa"/>
              <w:bottom w:w="0" w:type="dxa"/>
              <w:right w:w="15" w:type="dxa"/>
            </w:tcMar>
            <w:vAlign w:val="center"/>
            <w:hideMark/>
          </w:tcPr>
          <w:p w14:paraId="1E84BC99" w14:textId="1CDACA3D" w:rsidR="001864C6" w:rsidRPr="00A07622" w:rsidRDefault="001864C6" w:rsidP="001864C6">
            <w:pPr>
              <w:jc w:val="center"/>
              <w:rPr>
                <w:rFonts w:eastAsia="Times New Roman" w:cs="Calibri"/>
                <w:b/>
                <w:sz w:val="20"/>
                <w:szCs w:val="20"/>
                <w:lang w:eastAsia="sk-SK"/>
              </w:rPr>
            </w:pPr>
            <w:r w:rsidRPr="00A07622">
              <w:rPr>
                <w:rFonts w:cs="Calibri"/>
                <w:b/>
                <w:sz w:val="20"/>
                <w:szCs w:val="20"/>
              </w:rPr>
              <w:t>131 058</w:t>
            </w:r>
          </w:p>
        </w:tc>
      </w:tr>
      <w:tr w:rsidR="009C2E0E" w:rsidRPr="0053555E" w14:paraId="11BA4FFE" w14:textId="77777777" w:rsidTr="00CA3C13">
        <w:trPr>
          <w:divId w:val="1543396428"/>
          <w:trHeight w:val="20"/>
        </w:trPr>
        <w:tc>
          <w:tcPr>
            <w:tcW w:w="4395"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9F88979" w14:textId="77777777" w:rsidR="009C2E0E" w:rsidRPr="0053555E" w:rsidRDefault="009C2E0E" w:rsidP="009C2E0E">
            <w:pPr>
              <w:rPr>
                <w:rFonts w:eastAsia="Times New Roman" w:cs="Calibri"/>
                <w:sz w:val="20"/>
                <w:szCs w:val="20"/>
                <w:lang w:eastAsia="sk-SK"/>
              </w:rPr>
            </w:pPr>
            <w:r w:rsidRPr="0053555E">
              <w:rPr>
                <w:rFonts w:eastAsia="Times New Roman" w:cs="Calibri"/>
                <w:sz w:val="20"/>
                <w:szCs w:val="20"/>
                <w:lang w:eastAsia="sk-SK"/>
              </w:rPr>
              <w:t>Počet krajín, z ktorých bol portál navštívený</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BED21B" w14:textId="2BF02B1B" w:rsidR="009C2E0E" w:rsidRPr="00A07622" w:rsidRDefault="009C2E0E" w:rsidP="009C2E0E">
            <w:pPr>
              <w:jc w:val="center"/>
              <w:rPr>
                <w:rFonts w:eastAsia="Times New Roman" w:cs="Calibri"/>
                <w:sz w:val="20"/>
                <w:szCs w:val="20"/>
                <w:lang w:eastAsia="sk-SK"/>
              </w:rPr>
            </w:pPr>
            <w:r w:rsidRPr="00A07622">
              <w:rPr>
                <w:rFonts w:cs="Calibri"/>
                <w:sz w:val="20"/>
                <w:szCs w:val="20"/>
              </w:rPr>
              <w:t>138</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8F260F" w14:textId="54530019" w:rsidR="009C2E0E" w:rsidRPr="00A07622" w:rsidRDefault="009C2E0E" w:rsidP="009C2E0E">
            <w:pPr>
              <w:jc w:val="center"/>
              <w:rPr>
                <w:rFonts w:eastAsia="Times New Roman" w:cs="Calibri"/>
                <w:sz w:val="20"/>
                <w:szCs w:val="20"/>
                <w:lang w:eastAsia="sk-SK"/>
              </w:rPr>
            </w:pPr>
            <w:r w:rsidRPr="00A07622">
              <w:rPr>
                <w:rFonts w:cs="Calibri"/>
                <w:sz w:val="20"/>
                <w:szCs w:val="20"/>
              </w:rPr>
              <w:t>145</w:t>
            </w:r>
          </w:p>
        </w:tc>
        <w:tc>
          <w:tcPr>
            <w:tcW w:w="9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B3D588" w14:textId="66E639E2" w:rsidR="009C2E0E" w:rsidRPr="00A07622" w:rsidRDefault="009C2E0E" w:rsidP="009C2E0E">
            <w:pPr>
              <w:jc w:val="center"/>
              <w:rPr>
                <w:rFonts w:eastAsia="Times New Roman" w:cs="Calibri"/>
                <w:sz w:val="20"/>
                <w:szCs w:val="20"/>
                <w:lang w:eastAsia="sk-SK"/>
              </w:rPr>
            </w:pPr>
            <w:r w:rsidRPr="00A07622">
              <w:rPr>
                <w:rFonts w:cs="Calibri"/>
                <w:sz w:val="20"/>
                <w:szCs w:val="20"/>
              </w:rPr>
              <w:t>148</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139235" w14:textId="352DDF96" w:rsidR="009C2E0E" w:rsidRPr="00A07622" w:rsidRDefault="009C2E0E" w:rsidP="009C2E0E">
            <w:pPr>
              <w:jc w:val="center"/>
              <w:rPr>
                <w:rFonts w:eastAsia="Times New Roman" w:cs="Calibri"/>
                <w:sz w:val="20"/>
                <w:szCs w:val="20"/>
                <w:lang w:eastAsia="sk-SK"/>
              </w:rPr>
            </w:pPr>
            <w:r w:rsidRPr="00A07622">
              <w:rPr>
                <w:rFonts w:cs="Calibri"/>
                <w:sz w:val="20"/>
                <w:szCs w:val="20"/>
              </w:rPr>
              <w:t>157</w:t>
            </w:r>
          </w:p>
        </w:tc>
        <w:tc>
          <w:tcPr>
            <w:tcW w:w="936" w:type="dxa"/>
            <w:tcBorders>
              <w:top w:val="nil"/>
              <w:left w:val="nil"/>
              <w:bottom w:val="single" w:sz="4" w:space="0" w:color="auto"/>
              <w:right w:val="single" w:sz="4" w:space="0" w:color="auto"/>
            </w:tcBorders>
            <w:shd w:val="clear" w:color="auto" w:fill="EEECE1" w:themeFill="background2"/>
            <w:tcMar>
              <w:top w:w="15" w:type="dxa"/>
              <w:left w:w="15" w:type="dxa"/>
              <w:bottom w:w="0" w:type="dxa"/>
              <w:right w:w="15" w:type="dxa"/>
            </w:tcMar>
            <w:vAlign w:val="center"/>
            <w:hideMark/>
          </w:tcPr>
          <w:p w14:paraId="4ADCBFE3" w14:textId="3125D68F" w:rsidR="009C2E0E" w:rsidRPr="00A07622" w:rsidRDefault="009C2E0E" w:rsidP="009C2E0E">
            <w:pPr>
              <w:jc w:val="center"/>
              <w:rPr>
                <w:rFonts w:eastAsia="Times New Roman" w:cs="Calibri"/>
                <w:b/>
                <w:sz w:val="20"/>
                <w:szCs w:val="20"/>
                <w:lang w:eastAsia="sk-SK"/>
              </w:rPr>
            </w:pPr>
            <w:r w:rsidRPr="00A07622">
              <w:rPr>
                <w:rFonts w:cs="Calibri"/>
                <w:b/>
                <w:sz w:val="20"/>
                <w:szCs w:val="20"/>
              </w:rPr>
              <w:t>160</w:t>
            </w:r>
          </w:p>
        </w:tc>
      </w:tr>
      <w:tr w:rsidR="009C2E0E" w:rsidRPr="0053555E" w14:paraId="655EFFBB" w14:textId="77777777" w:rsidTr="00CA3C13">
        <w:trPr>
          <w:divId w:val="1543396428"/>
          <w:trHeight w:val="20"/>
        </w:trPr>
        <w:tc>
          <w:tcPr>
            <w:tcW w:w="4395"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339B85A9" w14:textId="77777777" w:rsidR="009C2E0E" w:rsidRPr="0053555E" w:rsidRDefault="009C2E0E" w:rsidP="009C2E0E">
            <w:pPr>
              <w:rPr>
                <w:rFonts w:eastAsia="Times New Roman" w:cs="Calibri"/>
                <w:sz w:val="20"/>
                <w:szCs w:val="20"/>
                <w:lang w:eastAsia="sk-SK"/>
              </w:rPr>
            </w:pPr>
            <w:r w:rsidRPr="0053555E">
              <w:rPr>
                <w:rFonts w:eastAsia="Times New Roman" w:cs="Calibri"/>
                <w:sz w:val="20"/>
                <w:szCs w:val="20"/>
                <w:lang w:eastAsia="sk-SK"/>
              </w:rPr>
              <w:t>Jedineční návštevníci</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637BAF" w14:textId="393E51B3" w:rsidR="009C2E0E" w:rsidRPr="00A07622" w:rsidRDefault="009C2E0E" w:rsidP="009C2E0E">
            <w:pPr>
              <w:jc w:val="center"/>
              <w:rPr>
                <w:rFonts w:eastAsia="Times New Roman" w:cs="Calibri"/>
                <w:sz w:val="20"/>
                <w:szCs w:val="20"/>
                <w:lang w:eastAsia="sk-SK"/>
              </w:rPr>
            </w:pPr>
            <w:r w:rsidRPr="00A07622">
              <w:rPr>
                <w:rFonts w:cs="Calibri"/>
                <w:sz w:val="20"/>
                <w:szCs w:val="20"/>
              </w:rPr>
              <w:t>153 775</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8CD9DE" w14:textId="3C6D4741" w:rsidR="009C2E0E" w:rsidRPr="00A07622" w:rsidRDefault="009C2E0E" w:rsidP="009C2E0E">
            <w:pPr>
              <w:jc w:val="center"/>
              <w:rPr>
                <w:rFonts w:eastAsia="Times New Roman" w:cs="Calibri"/>
                <w:sz w:val="20"/>
                <w:szCs w:val="20"/>
                <w:lang w:eastAsia="sk-SK"/>
              </w:rPr>
            </w:pPr>
            <w:r w:rsidRPr="00A07622">
              <w:rPr>
                <w:rFonts w:cs="Calibri"/>
                <w:sz w:val="20"/>
                <w:szCs w:val="20"/>
              </w:rPr>
              <w:t>177 895</w:t>
            </w:r>
          </w:p>
        </w:tc>
        <w:tc>
          <w:tcPr>
            <w:tcW w:w="9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8EE5B3" w14:textId="660E8123" w:rsidR="009C2E0E" w:rsidRPr="00A07622" w:rsidRDefault="009C2E0E" w:rsidP="009C2E0E">
            <w:pPr>
              <w:jc w:val="center"/>
              <w:rPr>
                <w:rFonts w:eastAsia="Times New Roman" w:cs="Calibri"/>
                <w:sz w:val="20"/>
                <w:szCs w:val="20"/>
                <w:lang w:eastAsia="sk-SK"/>
              </w:rPr>
            </w:pPr>
            <w:r w:rsidRPr="00A07622">
              <w:rPr>
                <w:rFonts w:cs="Calibri"/>
                <w:sz w:val="20"/>
                <w:szCs w:val="20"/>
              </w:rPr>
              <w:t>204 831</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0EEBE1" w14:textId="388B7BBD" w:rsidR="009C2E0E" w:rsidRPr="00A07622" w:rsidRDefault="009C2E0E" w:rsidP="009C2E0E">
            <w:pPr>
              <w:jc w:val="center"/>
              <w:rPr>
                <w:rFonts w:eastAsia="Times New Roman" w:cs="Calibri"/>
                <w:sz w:val="20"/>
                <w:szCs w:val="20"/>
                <w:lang w:eastAsia="sk-SK"/>
              </w:rPr>
            </w:pPr>
            <w:r w:rsidRPr="00A07622">
              <w:rPr>
                <w:rFonts w:cs="Calibri"/>
                <w:sz w:val="20"/>
                <w:szCs w:val="20"/>
              </w:rPr>
              <w:t>228 767</w:t>
            </w:r>
          </w:p>
        </w:tc>
        <w:tc>
          <w:tcPr>
            <w:tcW w:w="936" w:type="dxa"/>
            <w:tcBorders>
              <w:top w:val="nil"/>
              <w:left w:val="nil"/>
              <w:bottom w:val="single" w:sz="4" w:space="0" w:color="auto"/>
              <w:right w:val="single" w:sz="4" w:space="0" w:color="auto"/>
            </w:tcBorders>
            <w:shd w:val="clear" w:color="auto" w:fill="EEECE1" w:themeFill="background2"/>
            <w:tcMar>
              <w:top w:w="15" w:type="dxa"/>
              <w:left w:w="15" w:type="dxa"/>
              <w:bottom w:w="0" w:type="dxa"/>
              <w:right w:w="15" w:type="dxa"/>
            </w:tcMar>
            <w:vAlign w:val="center"/>
            <w:hideMark/>
          </w:tcPr>
          <w:p w14:paraId="0D7BE724" w14:textId="37D8E73A" w:rsidR="009C2E0E" w:rsidRPr="00A07622" w:rsidRDefault="009C2E0E" w:rsidP="009C2E0E">
            <w:pPr>
              <w:jc w:val="center"/>
              <w:rPr>
                <w:rFonts w:eastAsia="Times New Roman" w:cs="Calibri"/>
                <w:b/>
                <w:sz w:val="20"/>
                <w:szCs w:val="20"/>
                <w:lang w:eastAsia="sk-SK"/>
              </w:rPr>
            </w:pPr>
            <w:r w:rsidRPr="00A07622">
              <w:rPr>
                <w:rFonts w:cs="Calibri"/>
                <w:b/>
                <w:sz w:val="20"/>
                <w:szCs w:val="20"/>
              </w:rPr>
              <w:t>242 633</w:t>
            </w:r>
          </w:p>
        </w:tc>
      </w:tr>
      <w:tr w:rsidR="009C2E0E" w:rsidRPr="0053555E" w14:paraId="0DB4D6FB" w14:textId="77777777" w:rsidTr="00CA3C13">
        <w:trPr>
          <w:divId w:val="1543396428"/>
          <w:trHeight w:val="20"/>
        </w:trPr>
        <w:tc>
          <w:tcPr>
            <w:tcW w:w="4395"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088596DB" w14:textId="77777777" w:rsidR="009C2E0E" w:rsidRPr="0053555E" w:rsidRDefault="009C2E0E" w:rsidP="009C2E0E">
            <w:pPr>
              <w:rPr>
                <w:rFonts w:eastAsia="Times New Roman" w:cs="Calibri"/>
                <w:sz w:val="20"/>
                <w:szCs w:val="20"/>
                <w:lang w:eastAsia="sk-SK"/>
              </w:rPr>
            </w:pPr>
            <w:r w:rsidRPr="0053555E">
              <w:rPr>
                <w:rFonts w:eastAsia="Times New Roman" w:cs="Calibri"/>
                <w:sz w:val="20"/>
                <w:szCs w:val="20"/>
                <w:lang w:eastAsia="sk-SK"/>
              </w:rPr>
              <w:t>Celková návštevnosť portálu</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F914F2" w14:textId="79293F62" w:rsidR="009C2E0E" w:rsidRPr="00A07622" w:rsidRDefault="009C2E0E" w:rsidP="009C2E0E">
            <w:pPr>
              <w:jc w:val="center"/>
              <w:rPr>
                <w:rFonts w:eastAsia="Times New Roman" w:cs="Calibri"/>
                <w:sz w:val="20"/>
                <w:szCs w:val="20"/>
                <w:lang w:eastAsia="sk-SK"/>
              </w:rPr>
            </w:pPr>
            <w:r w:rsidRPr="00A07622">
              <w:rPr>
                <w:rFonts w:cs="Calibri"/>
                <w:sz w:val="20"/>
                <w:szCs w:val="20"/>
              </w:rPr>
              <w:t>216 600</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A54307" w14:textId="246A8DFC" w:rsidR="009C2E0E" w:rsidRPr="00A07622" w:rsidRDefault="009C2E0E" w:rsidP="009C2E0E">
            <w:pPr>
              <w:jc w:val="center"/>
              <w:rPr>
                <w:rFonts w:eastAsia="Times New Roman" w:cs="Calibri"/>
                <w:sz w:val="20"/>
                <w:szCs w:val="20"/>
                <w:lang w:eastAsia="sk-SK"/>
              </w:rPr>
            </w:pPr>
            <w:r w:rsidRPr="00A07622">
              <w:rPr>
                <w:rFonts w:cs="Calibri"/>
                <w:sz w:val="20"/>
                <w:szCs w:val="20"/>
              </w:rPr>
              <w:t>245 782</w:t>
            </w:r>
          </w:p>
        </w:tc>
        <w:tc>
          <w:tcPr>
            <w:tcW w:w="9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096FCF" w14:textId="706F7519" w:rsidR="009C2E0E" w:rsidRPr="00A07622" w:rsidRDefault="009C2E0E" w:rsidP="009C2E0E">
            <w:pPr>
              <w:jc w:val="center"/>
              <w:rPr>
                <w:rFonts w:eastAsia="Times New Roman" w:cs="Calibri"/>
                <w:sz w:val="20"/>
                <w:szCs w:val="20"/>
                <w:lang w:eastAsia="sk-SK"/>
              </w:rPr>
            </w:pPr>
            <w:r w:rsidRPr="00A07622">
              <w:rPr>
                <w:rFonts w:cs="Calibri"/>
                <w:sz w:val="20"/>
                <w:szCs w:val="20"/>
              </w:rPr>
              <w:t>274 783</w:t>
            </w:r>
          </w:p>
        </w:tc>
        <w:tc>
          <w:tcPr>
            <w:tcW w:w="9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13333E" w14:textId="4509C945" w:rsidR="009C2E0E" w:rsidRPr="00A07622" w:rsidRDefault="009C2E0E" w:rsidP="009C2E0E">
            <w:pPr>
              <w:jc w:val="center"/>
              <w:rPr>
                <w:rFonts w:eastAsia="Times New Roman" w:cs="Calibri"/>
                <w:sz w:val="20"/>
                <w:szCs w:val="20"/>
                <w:lang w:eastAsia="sk-SK"/>
              </w:rPr>
            </w:pPr>
            <w:r w:rsidRPr="00A07622">
              <w:rPr>
                <w:rFonts w:cs="Calibri"/>
                <w:sz w:val="20"/>
                <w:szCs w:val="20"/>
              </w:rPr>
              <w:t>307 369</w:t>
            </w:r>
          </w:p>
        </w:tc>
        <w:tc>
          <w:tcPr>
            <w:tcW w:w="936" w:type="dxa"/>
            <w:tcBorders>
              <w:top w:val="nil"/>
              <w:left w:val="nil"/>
              <w:bottom w:val="single" w:sz="4" w:space="0" w:color="auto"/>
              <w:right w:val="single" w:sz="4" w:space="0" w:color="auto"/>
            </w:tcBorders>
            <w:shd w:val="clear" w:color="auto" w:fill="EEECE1" w:themeFill="background2"/>
            <w:tcMar>
              <w:top w:w="15" w:type="dxa"/>
              <w:left w:w="15" w:type="dxa"/>
              <w:bottom w:w="0" w:type="dxa"/>
              <w:right w:w="15" w:type="dxa"/>
            </w:tcMar>
            <w:vAlign w:val="center"/>
            <w:hideMark/>
          </w:tcPr>
          <w:p w14:paraId="40A1793C" w14:textId="4703EBA5" w:rsidR="009C2E0E" w:rsidRPr="00A07622" w:rsidRDefault="009C2E0E" w:rsidP="009C2E0E">
            <w:pPr>
              <w:jc w:val="center"/>
              <w:rPr>
                <w:rFonts w:eastAsia="Times New Roman" w:cs="Calibri"/>
                <w:b/>
                <w:sz w:val="20"/>
                <w:szCs w:val="20"/>
                <w:lang w:eastAsia="sk-SK"/>
              </w:rPr>
            </w:pPr>
            <w:r w:rsidRPr="00A07622">
              <w:rPr>
                <w:rFonts w:cs="Calibri"/>
                <w:b/>
                <w:sz w:val="20"/>
                <w:szCs w:val="20"/>
              </w:rPr>
              <w:t>330 907</w:t>
            </w:r>
          </w:p>
        </w:tc>
      </w:tr>
      <w:tr w:rsidR="009C2E0E" w:rsidRPr="0053555E" w14:paraId="0B0C2652" w14:textId="77777777" w:rsidTr="00CA3C13">
        <w:trPr>
          <w:divId w:val="1543396428"/>
          <w:trHeight w:val="20"/>
        </w:trPr>
        <w:tc>
          <w:tcPr>
            <w:tcW w:w="4395"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6DA8090A" w14:textId="77777777" w:rsidR="009C2E0E" w:rsidRPr="0053555E" w:rsidRDefault="009C2E0E" w:rsidP="009C2E0E">
            <w:pPr>
              <w:rPr>
                <w:rFonts w:eastAsia="Times New Roman" w:cs="Calibri"/>
                <w:sz w:val="20"/>
                <w:szCs w:val="20"/>
                <w:lang w:eastAsia="sk-SK"/>
              </w:rPr>
            </w:pPr>
            <w:r w:rsidRPr="0053555E">
              <w:rPr>
                <w:rFonts w:eastAsia="Times New Roman" w:cs="Calibri"/>
                <w:sz w:val="20"/>
                <w:szCs w:val="20"/>
                <w:lang w:eastAsia="sk-SK"/>
              </w:rPr>
              <w:t>Celkový počet zobrazených stránok</w:t>
            </w:r>
          </w:p>
        </w:tc>
        <w:tc>
          <w:tcPr>
            <w:tcW w:w="9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FA4C4" w14:textId="083868B1" w:rsidR="009C2E0E" w:rsidRPr="00A07622" w:rsidRDefault="009C2E0E" w:rsidP="009C2E0E">
            <w:pPr>
              <w:jc w:val="center"/>
              <w:rPr>
                <w:rFonts w:eastAsia="Times New Roman" w:cs="Calibri"/>
                <w:sz w:val="20"/>
                <w:szCs w:val="20"/>
                <w:lang w:eastAsia="sk-SK"/>
              </w:rPr>
            </w:pPr>
            <w:r w:rsidRPr="00A07622">
              <w:rPr>
                <w:rFonts w:cs="Calibri"/>
                <w:sz w:val="20"/>
                <w:szCs w:val="20"/>
              </w:rPr>
              <w:t>673 247</w:t>
            </w:r>
          </w:p>
        </w:tc>
        <w:tc>
          <w:tcPr>
            <w:tcW w:w="9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0CED6" w14:textId="7DC96BC0" w:rsidR="009C2E0E" w:rsidRPr="00A07622" w:rsidRDefault="009C2E0E" w:rsidP="009C2E0E">
            <w:pPr>
              <w:jc w:val="center"/>
              <w:rPr>
                <w:rFonts w:eastAsia="Times New Roman" w:cs="Calibri"/>
                <w:sz w:val="20"/>
                <w:szCs w:val="20"/>
                <w:lang w:eastAsia="sk-SK"/>
              </w:rPr>
            </w:pPr>
            <w:r w:rsidRPr="00A07622">
              <w:rPr>
                <w:rFonts w:cs="Calibri"/>
                <w:sz w:val="20"/>
                <w:szCs w:val="20"/>
              </w:rPr>
              <w:t>738 654</w:t>
            </w:r>
          </w:p>
        </w:tc>
        <w:tc>
          <w:tcPr>
            <w:tcW w:w="93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BED90" w14:textId="7AE7DD8E" w:rsidR="009C2E0E" w:rsidRPr="00A07622" w:rsidRDefault="009C2E0E" w:rsidP="009C2E0E">
            <w:pPr>
              <w:jc w:val="center"/>
              <w:rPr>
                <w:rFonts w:eastAsia="Times New Roman" w:cs="Calibri"/>
                <w:sz w:val="20"/>
                <w:szCs w:val="20"/>
                <w:lang w:eastAsia="sk-SK"/>
              </w:rPr>
            </w:pPr>
            <w:r w:rsidRPr="00A07622">
              <w:rPr>
                <w:rFonts w:cs="Calibri"/>
                <w:sz w:val="20"/>
                <w:szCs w:val="20"/>
              </w:rPr>
              <w:t>806 230</w:t>
            </w:r>
          </w:p>
        </w:tc>
        <w:tc>
          <w:tcPr>
            <w:tcW w:w="9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59709" w14:textId="1BC0A557" w:rsidR="009C2E0E" w:rsidRPr="00A07622" w:rsidRDefault="009C2E0E" w:rsidP="009C2E0E">
            <w:pPr>
              <w:jc w:val="center"/>
              <w:rPr>
                <w:rFonts w:eastAsia="Times New Roman" w:cs="Calibri"/>
                <w:sz w:val="20"/>
                <w:szCs w:val="20"/>
                <w:lang w:eastAsia="sk-SK"/>
              </w:rPr>
            </w:pPr>
            <w:r w:rsidRPr="00A07622">
              <w:rPr>
                <w:rFonts w:cs="Calibri"/>
                <w:sz w:val="20"/>
                <w:szCs w:val="20"/>
              </w:rPr>
              <w:t>873 959</w:t>
            </w:r>
          </w:p>
        </w:tc>
        <w:tc>
          <w:tcPr>
            <w:tcW w:w="936" w:type="dxa"/>
            <w:tcBorders>
              <w:top w:val="nil"/>
              <w:left w:val="nil"/>
              <w:bottom w:val="single" w:sz="4" w:space="0" w:color="auto"/>
              <w:right w:val="single" w:sz="4" w:space="0" w:color="auto"/>
            </w:tcBorders>
            <w:shd w:val="clear" w:color="auto" w:fill="EEECE1" w:themeFill="background2"/>
            <w:noWrap/>
            <w:tcMar>
              <w:top w:w="15" w:type="dxa"/>
              <w:left w:w="15" w:type="dxa"/>
              <w:bottom w:w="0" w:type="dxa"/>
              <w:right w:w="15" w:type="dxa"/>
            </w:tcMar>
            <w:vAlign w:val="bottom"/>
            <w:hideMark/>
          </w:tcPr>
          <w:p w14:paraId="79F0196B" w14:textId="66BAB415" w:rsidR="009C2E0E" w:rsidRPr="00A07622" w:rsidRDefault="009C2E0E" w:rsidP="009C2E0E">
            <w:pPr>
              <w:jc w:val="center"/>
              <w:rPr>
                <w:rFonts w:eastAsia="Times New Roman" w:cs="Calibri"/>
                <w:b/>
                <w:sz w:val="20"/>
                <w:szCs w:val="20"/>
                <w:lang w:eastAsia="sk-SK"/>
              </w:rPr>
            </w:pPr>
            <w:r w:rsidRPr="00A07622">
              <w:rPr>
                <w:rFonts w:cs="Calibri"/>
                <w:b/>
                <w:sz w:val="20"/>
                <w:szCs w:val="20"/>
              </w:rPr>
              <w:t>923 726</w:t>
            </w:r>
          </w:p>
        </w:tc>
      </w:tr>
    </w:tbl>
    <w:p w14:paraId="6C26C26C" w14:textId="77777777" w:rsidR="006A5C66" w:rsidRPr="0053555E" w:rsidRDefault="006A5C66" w:rsidP="00196604">
      <w:bookmarkStart w:id="268" w:name="_Ref95599931"/>
    </w:p>
    <w:p w14:paraId="25FD90A3" w14:textId="77777777" w:rsidR="006A5C66" w:rsidRPr="0053555E" w:rsidRDefault="006A5C66" w:rsidP="00196604"/>
    <w:p w14:paraId="0BA28A2B" w14:textId="7FE21FE1" w:rsidR="00E13C45" w:rsidRPr="0053555E" w:rsidRDefault="00CE2724" w:rsidP="000E3322">
      <w:pPr>
        <w:pStyle w:val="Popis"/>
      </w:pPr>
      <w:bookmarkStart w:id="269" w:name="_Toc127593349"/>
      <w:r w:rsidRPr="0053555E">
        <w:t>Graf č.</w:t>
      </w:r>
      <w:bookmarkEnd w:id="268"/>
      <w:r w:rsidR="007443D1">
        <w:t>35</w:t>
      </w:r>
      <w:r w:rsidRPr="0053555E">
        <w:t>: Vývoj registrovaných absolventov STU na Portál absolventov STU</w:t>
      </w:r>
      <w:bookmarkEnd w:id="269"/>
      <w:r w:rsidR="00D12E97" w:rsidRPr="0053555E">
        <w:t xml:space="preserve"> </w:t>
      </w:r>
    </w:p>
    <w:p w14:paraId="62DAE7CB" w14:textId="2A53129B" w:rsidR="00196604" w:rsidRPr="0053555E" w:rsidRDefault="00196604" w:rsidP="00196604">
      <w:pPr>
        <w:jc w:val="center"/>
      </w:pPr>
      <w:r w:rsidRPr="0053555E">
        <w:rPr>
          <w:noProof/>
          <w:lang w:eastAsia="sk-SK"/>
        </w:rPr>
        <w:drawing>
          <wp:inline distT="0" distB="0" distL="0" distR="0" wp14:anchorId="4FFD7BD4" wp14:editId="5B33EF79">
            <wp:extent cx="5624291" cy="2691441"/>
            <wp:effectExtent l="0" t="0" r="0" b="0"/>
            <wp:docPr id="16" name="Graf 16">
              <a:extLst xmlns:a="http://schemas.openxmlformats.org/drawingml/2006/main">
                <a:ext uri="{FF2B5EF4-FFF2-40B4-BE49-F238E27FC236}">
                  <a16:creationId xmlns:a16="http://schemas.microsoft.com/office/drawing/2014/main" id="{00000000-0008-0000-3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59B5C00" w14:textId="4B0EBBAE" w:rsidR="00CA3C13" w:rsidRDefault="00CA3C13">
      <w:pPr>
        <w:rPr>
          <w:noProof/>
          <w:lang w:eastAsia="sk-SK"/>
        </w:rPr>
      </w:pPr>
    </w:p>
    <w:p w14:paraId="41E3BCAD" w14:textId="62A1E435" w:rsidR="007443D1" w:rsidRDefault="00C00899" w:rsidP="00F97044">
      <w:pPr>
        <w:spacing w:after="120"/>
        <w:jc w:val="both"/>
        <w:rPr>
          <w:rFonts w:asciiTheme="majorHAnsi" w:hAnsiTheme="majorHAnsi" w:cstheme="majorHAnsi"/>
        </w:rPr>
      </w:pPr>
      <w:r w:rsidRPr="0053555E">
        <w:rPr>
          <w:rFonts w:asciiTheme="majorHAnsi" w:hAnsiTheme="majorHAnsi" w:cstheme="majorHAnsi"/>
        </w:rPr>
        <w:t xml:space="preserve">Do budúcnosti je </w:t>
      </w:r>
      <w:r w:rsidR="009A0E4B" w:rsidRPr="0053555E">
        <w:rPr>
          <w:rFonts w:asciiTheme="majorHAnsi" w:hAnsiTheme="majorHAnsi" w:cstheme="majorHAnsi"/>
        </w:rPr>
        <w:t xml:space="preserve">potrebné </w:t>
      </w:r>
      <w:r w:rsidR="001254AC" w:rsidRPr="0053555E">
        <w:rPr>
          <w:rFonts w:asciiTheme="majorHAnsi" w:hAnsiTheme="majorHAnsi" w:cstheme="majorHAnsi"/>
        </w:rPr>
        <w:t xml:space="preserve">Portál absolventov STU </w:t>
      </w:r>
      <w:r w:rsidR="00CB3361" w:rsidRPr="0053555E">
        <w:rPr>
          <w:rFonts w:asciiTheme="majorHAnsi" w:hAnsiTheme="majorHAnsi" w:cstheme="majorHAnsi"/>
        </w:rPr>
        <w:t xml:space="preserve">intenzívnejšie rozvíjať </w:t>
      </w:r>
      <w:r w:rsidR="001254AC" w:rsidRPr="0053555E">
        <w:rPr>
          <w:rFonts w:asciiTheme="majorHAnsi" w:hAnsiTheme="majorHAnsi" w:cstheme="majorHAnsi"/>
        </w:rPr>
        <w:t>ako marketingový nástroj STU</w:t>
      </w:r>
      <w:r w:rsidR="00A555CE" w:rsidRPr="0053555E">
        <w:rPr>
          <w:rFonts w:asciiTheme="majorHAnsi" w:hAnsiTheme="majorHAnsi" w:cstheme="majorHAnsi"/>
        </w:rPr>
        <w:t>. Zároveň je možné Portál absolventov STU využívať ako</w:t>
      </w:r>
      <w:r w:rsidR="00B864C1" w:rsidRPr="0053555E">
        <w:rPr>
          <w:rFonts w:asciiTheme="majorHAnsi" w:hAnsiTheme="majorHAnsi" w:cstheme="majorHAnsi"/>
        </w:rPr>
        <w:t xml:space="preserve"> </w:t>
      </w:r>
      <w:r w:rsidR="00E75535" w:rsidRPr="0053555E">
        <w:rPr>
          <w:rFonts w:asciiTheme="majorHAnsi" w:hAnsiTheme="majorHAnsi" w:cstheme="majorHAnsi"/>
        </w:rPr>
        <w:t>jed</w:t>
      </w:r>
      <w:r w:rsidR="00E9042B" w:rsidRPr="0053555E">
        <w:rPr>
          <w:rFonts w:asciiTheme="majorHAnsi" w:hAnsiTheme="majorHAnsi" w:cstheme="majorHAnsi"/>
        </w:rPr>
        <w:t>en</w:t>
      </w:r>
      <w:r w:rsidR="00E75535" w:rsidRPr="0053555E">
        <w:rPr>
          <w:rFonts w:asciiTheme="majorHAnsi" w:hAnsiTheme="majorHAnsi" w:cstheme="majorHAnsi"/>
        </w:rPr>
        <w:t xml:space="preserve"> z</w:t>
      </w:r>
      <w:r w:rsidR="00BD5017" w:rsidRPr="0053555E">
        <w:rPr>
          <w:rFonts w:asciiTheme="majorHAnsi" w:hAnsiTheme="majorHAnsi" w:cstheme="majorHAnsi"/>
        </w:rPr>
        <w:t>o</w:t>
      </w:r>
      <w:r w:rsidR="00E9042B" w:rsidRPr="0053555E">
        <w:rPr>
          <w:rFonts w:asciiTheme="majorHAnsi" w:hAnsiTheme="majorHAnsi" w:cstheme="majorHAnsi"/>
        </w:rPr>
        <w:t xml:space="preserve"> spôsobov</w:t>
      </w:r>
      <w:r w:rsidR="003E331E" w:rsidRPr="0053555E">
        <w:rPr>
          <w:rFonts w:asciiTheme="majorHAnsi" w:hAnsiTheme="majorHAnsi" w:cstheme="majorHAnsi"/>
        </w:rPr>
        <w:t xml:space="preserve"> </w:t>
      </w:r>
      <w:r w:rsidR="00BD5017" w:rsidRPr="0053555E">
        <w:rPr>
          <w:rFonts w:asciiTheme="majorHAnsi" w:hAnsiTheme="majorHAnsi" w:cstheme="majorHAnsi"/>
        </w:rPr>
        <w:t xml:space="preserve">aktívnej </w:t>
      </w:r>
      <w:r w:rsidR="00E412C6" w:rsidRPr="0053555E">
        <w:rPr>
          <w:rFonts w:asciiTheme="majorHAnsi" w:hAnsiTheme="majorHAnsi" w:cstheme="majorHAnsi"/>
        </w:rPr>
        <w:t xml:space="preserve">komunikácie s absolventmi STU a </w:t>
      </w:r>
      <w:r w:rsidR="009A0E4B" w:rsidRPr="0053555E">
        <w:rPr>
          <w:rFonts w:asciiTheme="majorHAnsi" w:hAnsiTheme="majorHAnsi" w:cstheme="majorHAnsi"/>
        </w:rPr>
        <w:t xml:space="preserve">získavania </w:t>
      </w:r>
      <w:r w:rsidR="00220E6D" w:rsidRPr="0053555E">
        <w:rPr>
          <w:rFonts w:asciiTheme="majorHAnsi" w:hAnsiTheme="majorHAnsi" w:cstheme="majorHAnsi"/>
        </w:rPr>
        <w:t xml:space="preserve">ich </w:t>
      </w:r>
      <w:r w:rsidR="009A0E4B" w:rsidRPr="0053555E">
        <w:rPr>
          <w:rFonts w:asciiTheme="majorHAnsi" w:hAnsiTheme="majorHAnsi" w:cstheme="majorHAnsi"/>
        </w:rPr>
        <w:t>spätnej väzby</w:t>
      </w:r>
      <w:r w:rsidR="003E331E" w:rsidRPr="0053555E">
        <w:rPr>
          <w:rFonts w:asciiTheme="majorHAnsi" w:hAnsiTheme="majorHAnsi" w:cstheme="majorHAnsi"/>
        </w:rPr>
        <w:t xml:space="preserve">. </w:t>
      </w:r>
    </w:p>
    <w:p w14:paraId="51D0CB30" w14:textId="4565FF0F" w:rsidR="00C035B5" w:rsidRPr="00C035B5" w:rsidRDefault="00252725" w:rsidP="00106CA2">
      <w:pPr>
        <w:spacing w:after="120"/>
        <w:jc w:val="both"/>
        <w:rPr>
          <w:rFonts w:asciiTheme="majorHAnsi" w:hAnsiTheme="majorHAnsi" w:cstheme="majorHAnsi"/>
        </w:rPr>
      </w:pPr>
      <w:hyperlink r:id="rId101" w:history="1">
        <w:r w:rsidR="00BA55FE" w:rsidRPr="007443D1">
          <w:rPr>
            <w:rStyle w:val="Hypertextovprepojenie"/>
            <w:rFonts w:asciiTheme="majorHAnsi" w:hAnsiTheme="majorHAnsi" w:cstheme="majorHAnsi"/>
            <w:b/>
            <w:color w:val="auto"/>
            <w:u w:val="none"/>
          </w:rPr>
          <w:t>Alumni klub STU</w:t>
        </w:r>
      </w:hyperlink>
      <w:r w:rsidR="00CA7D37" w:rsidRPr="0053555E">
        <w:rPr>
          <w:rFonts w:asciiTheme="majorHAnsi" w:hAnsiTheme="majorHAnsi" w:cstheme="majorHAnsi"/>
        </w:rPr>
        <w:t xml:space="preserve"> je nezávislé občianske združenie</w:t>
      </w:r>
      <w:r w:rsidR="00B03627" w:rsidRPr="0053555E">
        <w:rPr>
          <w:rFonts w:asciiTheme="majorHAnsi" w:hAnsiTheme="majorHAnsi" w:cstheme="majorHAnsi"/>
        </w:rPr>
        <w:t>, ktoré</w:t>
      </w:r>
      <w:r w:rsidR="008B5F4B">
        <w:rPr>
          <w:rFonts w:asciiTheme="majorHAnsi" w:hAnsiTheme="majorHAnsi" w:cstheme="majorHAnsi"/>
        </w:rPr>
        <w:t>ho</w:t>
      </w:r>
      <w:r w:rsidR="00B03627" w:rsidRPr="0053555E">
        <w:rPr>
          <w:rFonts w:asciiTheme="majorHAnsi" w:hAnsiTheme="majorHAnsi" w:cstheme="majorHAnsi"/>
        </w:rPr>
        <w:t xml:space="preserve"> </w:t>
      </w:r>
      <w:r w:rsidR="008B5F4B">
        <w:rPr>
          <w:rFonts w:asciiTheme="majorHAnsi" w:hAnsiTheme="majorHAnsi" w:cstheme="majorHAnsi"/>
        </w:rPr>
        <w:t>c</w:t>
      </w:r>
      <w:r w:rsidR="000461D3" w:rsidRPr="0053555E">
        <w:rPr>
          <w:rFonts w:asciiTheme="majorHAnsi" w:hAnsiTheme="majorHAnsi" w:cstheme="majorHAnsi"/>
        </w:rPr>
        <w:t xml:space="preserve">ieľom je </w:t>
      </w:r>
      <w:r w:rsidR="001562DB" w:rsidRPr="0053555E">
        <w:rPr>
          <w:rFonts w:asciiTheme="majorHAnsi" w:hAnsiTheme="majorHAnsi" w:cstheme="majorHAnsi"/>
        </w:rPr>
        <w:t>združovať absolventov a </w:t>
      </w:r>
      <w:r w:rsidR="008B5F4B">
        <w:rPr>
          <w:rFonts w:asciiTheme="majorHAnsi" w:hAnsiTheme="majorHAnsi" w:cstheme="majorHAnsi"/>
        </w:rPr>
        <w:t>priateľov STU.</w:t>
      </w:r>
      <w:r w:rsidR="000461D3" w:rsidRPr="0053555E">
        <w:rPr>
          <w:rFonts w:asciiTheme="majorHAnsi" w:hAnsiTheme="majorHAnsi" w:cstheme="majorHAnsi"/>
        </w:rPr>
        <w:t xml:space="preserve"> </w:t>
      </w:r>
      <w:r w:rsidR="008B5F4B">
        <w:rPr>
          <w:rFonts w:asciiTheme="majorHAnsi" w:hAnsiTheme="majorHAnsi" w:cstheme="majorHAnsi"/>
        </w:rPr>
        <w:t>P</w:t>
      </w:r>
      <w:r w:rsidR="00CA7D37" w:rsidRPr="0053555E">
        <w:rPr>
          <w:rFonts w:asciiTheme="majorHAnsi" w:hAnsiTheme="majorHAnsi" w:cstheme="majorHAnsi"/>
        </w:rPr>
        <w:t xml:space="preserve">racuje na báze pravidelných </w:t>
      </w:r>
      <w:r w:rsidR="00A9543C" w:rsidRPr="0053555E">
        <w:rPr>
          <w:rFonts w:asciiTheme="majorHAnsi" w:hAnsiTheme="majorHAnsi" w:cstheme="majorHAnsi"/>
        </w:rPr>
        <w:t>mesačných stretnutí</w:t>
      </w:r>
      <w:r w:rsidR="00B0483C" w:rsidRPr="0053555E">
        <w:rPr>
          <w:rFonts w:asciiTheme="majorHAnsi" w:hAnsiTheme="majorHAnsi" w:cstheme="majorHAnsi"/>
        </w:rPr>
        <w:t xml:space="preserve"> pod názvom Rozhovory s </w:t>
      </w:r>
      <w:r w:rsidR="00CA7D37" w:rsidRPr="0053555E">
        <w:rPr>
          <w:rFonts w:asciiTheme="majorHAnsi" w:hAnsiTheme="majorHAnsi" w:cstheme="majorHAnsi"/>
        </w:rPr>
        <w:t>vedou. Hlavným obsahom stretnutí sú prednášky významných osobn</w:t>
      </w:r>
      <w:r w:rsidR="001562DB" w:rsidRPr="0053555E">
        <w:rPr>
          <w:rFonts w:asciiTheme="majorHAnsi" w:hAnsiTheme="majorHAnsi" w:cstheme="majorHAnsi"/>
        </w:rPr>
        <w:t>ostí z oblasti vedy a </w:t>
      </w:r>
      <w:r w:rsidR="00A9543C" w:rsidRPr="0053555E">
        <w:rPr>
          <w:rFonts w:asciiTheme="majorHAnsi" w:hAnsiTheme="majorHAnsi" w:cstheme="majorHAnsi"/>
        </w:rPr>
        <w:t>výskumu v </w:t>
      </w:r>
      <w:r w:rsidR="00CA7D37" w:rsidRPr="0053555E">
        <w:rPr>
          <w:rFonts w:asciiTheme="majorHAnsi" w:hAnsiTheme="majorHAnsi" w:cstheme="majorHAnsi"/>
        </w:rPr>
        <w:t>technických, ekonomických, ale aj prírodov</w:t>
      </w:r>
      <w:r w:rsidR="008B5F4B">
        <w:rPr>
          <w:rFonts w:asciiTheme="majorHAnsi" w:hAnsiTheme="majorHAnsi" w:cstheme="majorHAnsi"/>
        </w:rPr>
        <w:t xml:space="preserve">edných a umeleckých oblastiach. </w:t>
      </w:r>
      <w:r w:rsidR="00C035B5" w:rsidRPr="00C035B5">
        <w:rPr>
          <w:rFonts w:asciiTheme="majorHAnsi" w:hAnsiTheme="majorHAnsi" w:cstheme="majorHAnsi"/>
        </w:rPr>
        <w:t xml:space="preserve">V </w:t>
      </w:r>
      <w:r w:rsidR="00EB7CA3">
        <w:rPr>
          <w:rFonts w:asciiTheme="majorHAnsi" w:hAnsiTheme="majorHAnsi" w:cstheme="majorHAnsi"/>
        </w:rPr>
        <w:t>roku</w:t>
      </w:r>
      <w:r w:rsidR="00C035B5" w:rsidRPr="00C035B5">
        <w:rPr>
          <w:rFonts w:asciiTheme="majorHAnsi" w:hAnsiTheme="majorHAnsi" w:cstheme="majorHAnsi"/>
        </w:rPr>
        <w:t xml:space="preserve"> 2022 </w:t>
      </w:r>
      <w:r w:rsidR="008B5F4B">
        <w:rPr>
          <w:rFonts w:asciiTheme="majorHAnsi" w:hAnsiTheme="majorHAnsi" w:cstheme="majorHAnsi"/>
        </w:rPr>
        <w:t>uviedli v rámci Alumni klubu do života</w:t>
      </w:r>
      <w:r w:rsidR="00C035B5" w:rsidRPr="00C035B5">
        <w:rPr>
          <w:rFonts w:asciiTheme="majorHAnsi" w:hAnsiTheme="majorHAnsi" w:cstheme="majorHAnsi"/>
        </w:rPr>
        <w:t xml:space="preserve"> knih</w:t>
      </w:r>
      <w:r w:rsidR="007A6173">
        <w:rPr>
          <w:rFonts w:asciiTheme="majorHAnsi" w:hAnsiTheme="majorHAnsi" w:cstheme="majorHAnsi"/>
        </w:rPr>
        <w:t>y</w:t>
      </w:r>
      <w:r w:rsidR="00C035B5" w:rsidRPr="00C035B5">
        <w:rPr>
          <w:rFonts w:asciiTheme="majorHAnsi" w:hAnsiTheme="majorHAnsi" w:cstheme="majorHAnsi"/>
        </w:rPr>
        <w:t xml:space="preserve"> Štefana Lubyho: Naša národná akadémia a Ruženy Wagnerovej: 100 Rozhovorov s vedou, ktor</w:t>
      </w:r>
      <w:r w:rsidR="007A6173">
        <w:rPr>
          <w:rFonts w:asciiTheme="majorHAnsi" w:hAnsiTheme="majorHAnsi" w:cstheme="majorHAnsi"/>
        </w:rPr>
        <w:t>ého</w:t>
      </w:r>
      <w:r w:rsidR="00C035B5" w:rsidRPr="00C035B5">
        <w:rPr>
          <w:rFonts w:asciiTheme="majorHAnsi" w:hAnsiTheme="majorHAnsi" w:cstheme="majorHAnsi"/>
        </w:rPr>
        <w:t xml:space="preserve"> sa zúčastnilo 70 hostí zo SAV, STU a mimo univerzitného prostredia.</w:t>
      </w:r>
    </w:p>
    <w:p w14:paraId="0281FFF7" w14:textId="77777777" w:rsidR="008B5F4B" w:rsidRDefault="008B5F4B" w:rsidP="00062A16">
      <w:pPr>
        <w:jc w:val="both"/>
        <w:rPr>
          <w:rFonts w:asciiTheme="majorHAnsi" w:hAnsiTheme="majorHAnsi" w:cstheme="majorHAnsi"/>
          <w:b/>
          <w:sz w:val="28"/>
          <w:szCs w:val="28"/>
        </w:rPr>
      </w:pPr>
    </w:p>
    <w:p w14:paraId="59E192BE" w14:textId="77777777" w:rsidR="00456C9E" w:rsidRDefault="00456C9E" w:rsidP="008B5F4B">
      <w:pPr>
        <w:rPr>
          <w:rFonts w:asciiTheme="majorHAnsi" w:hAnsiTheme="majorHAnsi" w:cstheme="majorHAnsi"/>
          <w:b/>
          <w:sz w:val="28"/>
          <w:szCs w:val="28"/>
        </w:rPr>
      </w:pPr>
    </w:p>
    <w:p w14:paraId="09F282C8" w14:textId="36FE6E7D" w:rsidR="008B5F4B" w:rsidRPr="00053414" w:rsidRDefault="008B5F4B" w:rsidP="008B5F4B">
      <w:pPr>
        <w:rPr>
          <w:rFonts w:asciiTheme="majorHAnsi" w:hAnsiTheme="majorHAnsi" w:cstheme="majorHAnsi"/>
          <w:b/>
          <w:sz w:val="28"/>
          <w:szCs w:val="28"/>
        </w:rPr>
      </w:pPr>
      <w:r w:rsidRPr="00053414">
        <w:rPr>
          <w:rFonts w:asciiTheme="majorHAnsi" w:hAnsiTheme="majorHAnsi" w:cstheme="majorHAnsi"/>
          <w:b/>
          <w:sz w:val="28"/>
          <w:szCs w:val="28"/>
        </w:rPr>
        <w:lastRenderedPageBreak/>
        <w:t>9.5.</w:t>
      </w:r>
      <w:r>
        <w:rPr>
          <w:rFonts w:asciiTheme="majorHAnsi" w:hAnsiTheme="majorHAnsi" w:cstheme="majorHAnsi"/>
          <w:b/>
          <w:sz w:val="28"/>
          <w:szCs w:val="28"/>
        </w:rPr>
        <w:t xml:space="preserve"> </w:t>
      </w:r>
      <w:r w:rsidRPr="00053414">
        <w:rPr>
          <w:rFonts w:asciiTheme="majorHAnsi" w:hAnsiTheme="majorHAnsi" w:cstheme="majorHAnsi"/>
          <w:b/>
          <w:sz w:val="28"/>
          <w:szCs w:val="28"/>
        </w:rPr>
        <w:t>Nadácia STU</w:t>
      </w:r>
    </w:p>
    <w:p w14:paraId="378FE6E2" w14:textId="77777777" w:rsidR="008B5F4B" w:rsidRPr="00053414" w:rsidRDefault="008B5F4B" w:rsidP="008B5F4B">
      <w:pPr>
        <w:rPr>
          <w:rFonts w:asciiTheme="majorHAnsi" w:hAnsiTheme="majorHAnsi" w:cstheme="majorHAnsi"/>
          <w:b/>
        </w:rPr>
      </w:pPr>
      <w:r w:rsidRPr="00053414">
        <w:rPr>
          <w:rFonts w:asciiTheme="majorHAnsi" w:hAnsiTheme="majorHAnsi" w:cstheme="majorHAnsi"/>
          <w:b/>
        </w:rPr>
        <w:t xml:space="preserve"> </w:t>
      </w:r>
    </w:p>
    <w:p w14:paraId="7A55A31B" w14:textId="4AEB667C" w:rsidR="008B5F4B" w:rsidRPr="00053414" w:rsidRDefault="008B5F4B" w:rsidP="008B5F4B">
      <w:pPr>
        <w:jc w:val="both"/>
        <w:rPr>
          <w:rFonts w:asciiTheme="majorHAnsi" w:hAnsiTheme="majorHAnsi" w:cstheme="majorHAnsi"/>
        </w:rPr>
      </w:pPr>
      <w:r w:rsidRPr="00053414">
        <w:rPr>
          <w:rFonts w:asciiTheme="majorHAnsi" w:hAnsiTheme="majorHAnsi" w:cstheme="majorHAnsi"/>
        </w:rPr>
        <w:t>Cieľom nadácie je podporovať vzdelávanie, vedecko-výskumnú činnosť, športové aktivity a rozvoj infraštruktúry STU v Bratislave. Financie zí</w:t>
      </w:r>
      <w:r>
        <w:rPr>
          <w:rFonts w:asciiTheme="majorHAnsi" w:hAnsiTheme="majorHAnsi" w:cstheme="majorHAnsi"/>
        </w:rPr>
        <w:t xml:space="preserve">skané v rámci nadácie slúžia na </w:t>
      </w:r>
      <w:r w:rsidRPr="00053414">
        <w:rPr>
          <w:rFonts w:asciiTheme="majorHAnsi" w:hAnsiTheme="majorHAnsi" w:cstheme="majorHAnsi"/>
        </w:rPr>
        <w:t>podporu aktivít nadaných študentov, výskumníkov i športovcov STU formou štipendií či oceňovaním ich aktivít, vydávanie vedeckých publikácii o výsledkoch výskumu,</w:t>
      </w:r>
      <w:r>
        <w:rPr>
          <w:rFonts w:asciiTheme="majorHAnsi" w:hAnsiTheme="majorHAnsi" w:cstheme="majorHAnsi"/>
        </w:rPr>
        <w:t xml:space="preserve"> </w:t>
      </w:r>
      <w:r w:rsidRPr="00053414">
        <w:rPr>
          <w:rFonts w:asciiTheme="majorHAnsi" w:hAnsiTheme="majorHAnsi" w:cstheme="majorHAnsi"/>
        </w:rPr>
        <w:t>oceňovanie osobností za významné vedecké prínosy a spo</w:t>
      </w:r>
      <w:r>
        <w:rPr>
          <w:rFonts w:asciiTheme="majorHAnsi" w:hAnsiTheme="majorHAnsi" w:cstheme="majorHAnsi"/>
        </w:rPr>
        <w:t>ločensky prospešnú činnosť z prostredia STU</w:t>
      </w:r>
      <w:r w:rsidRPr="00053414">
        <w:rPr>
          <w:rFonts w:asciiTheme="majorHAnsi" w:hAnsiTheme="majorHAnsi" w:cstheme="majorHAnsi"/>
        </w:rPr>
        <w:t xml:space="preserve"> i mimo neho, </w:t>
      </w:r>
    </w:p>
    <w:p w14:paraId="5D2A29EF" w14:textId="2CCC3261" w:rsidR="008B5F4B" w:rsidRDefault="008B5F4B" w:rsidP="008B5F4B">
      <w:pPr>
        <w:jc w:val="both"/>
        <w:rPr>
          <w:rFonts w:asciiTheme="majorHAnsi" w:hAnsiTheme="majorHAnsi" w:cstheme="majorHAnsi"/>
        </w:rPr>
      </w:pPr>
      <w:r w:rsidRPr="00053414">
        <w:rPr>
          <w:rFonts w:asciiTheme="majorHAnsi" w:hAnsiTheme="majorHAnsi" w:cstheme="majorHAnsi"/>
        </w:rPr>
        <w:t>skvalitňovanie prístrojového vybavenia a IKT, zlepšovanie technického stavu budov a zariadení univerzity.</w:t>
      </w:r>
    </w:p>
    <w:p w14:paraId="30B58403" w14:textId="421E9134" w:rsidR="008B5F4B" w:rsidRDefault="008B5F4B" w:rsidP="008B5F4B">
      <w:pPr>
        <w:jc w:val="both"/>
        <w:rPr>
          <w:rFonts w:asciiTheme="majorHAnsi" w:hAnsiTheme="majorHAnsi" w:cstheme="majorHAnsi"/>
        </w:rPr>
      </w:pPr>
    </w:p>
    <w:p w14:paraId="7575438C" w14:textId="77777777" w:rsidR="00D6469C" w:rsidRPr="008A1CF2" w:rsidRDefault="00D6469C" w:rsidP="00D6469C">
      <w:pPr>
        <w:rPr>
          <w:rFonts w:cs="Calibri"/>
          <w:b/>
          <w:bCs/>
          <w:sz w:val="28"/>
          <w:szCs w:val="28"/>
          <w:shd w:val="clear" w:color="auto" w:fill="FFFFFF"/>
        </w:rPr>
      </w:pPr>
      <w:r w:rsidRPr="008A1CF2">
        <w:rPr>
          <w:rFonts w:cs="Calibri"/>
          <w:b/>
          <w:bCs/>
          <w:sz w:val="28"/>
          <w:szCs w:val="28"/>
          <w:shd w:val="clear" w:color="auto" w:fill="FFFFFF"/>
        </w:rPr>
        <w:t>9.6. Centrum akademického športu STU</w:t>
      </w:r>
    </w:p>
    <w:p w14:paraId="29B546DE" w14:textId="77A1FDE0" w:rsidR="008B5F4B" w:rsidRDefault="008B5F4B" w:rsidP="008B5F4B">
      <w:pPr>
        <w:jc w:val="both"/>
        <w:rPr>
          <w:rFonts w:asciiTheme="majorHAnsi" w:hAnsiTheme="majorHAnsi" w:cstheme="majorHAnsi"/>
        </w:rPr>
      </w:pPr>
    </w:p>
    <w:p w14:paraId="6F9BDF27" w14:textId="55D93486" w:rsidR="0008747D" w:rsidRPr="0008747D" w:rsidRDefault="0008747D" w:rsidP="0008747D">
      <w:pPr>
        <w:jc w:val="both"/>
        <w:rPr>
          <w:rFonts w:ascii="Times New Roman" w:hAnsi="Times New Roman"/>
          <w:shd w:val="clear" w:color="auto" w:fill="FFFFFF"/>
        </w:rPr>
      </w:pPr>
      <w:r w:rsidRPr="0008747D">
        <w:rPr>
          <w:rFonts w:cs="Calibri"/>
          <w:shd w:val="clear" w:color="auto" w:fill="FFFFFF"/>
        </w:rPr>
        <w:t>Centrum akademického športu STU (CAŠ STU) je správcom unikátneho športového areálu Mladá garda STU, umiestneného za rovnomenným internátom v Bratislave. V areáli je jediný oficiálny atletický štadión s 400 m</w:t>
      </w:r>
      <w:r>
        <w:rPr>
          <w:rFonts w:cs="Calibri"/>
          <w:shd w:val="clear" w:color="auto" w:fill="FFFFFF"/>
        </w:rPr>
        <w:t>etrovým</w:t>
      </w:r>
      <w:r w:rsidRPr="0008747D">
        <w:rPr>
          <w:rFonts w:cs="Calibri"/>
          <w:shd w:val="clear" w:color="auto" w:fill="FFFFFF"/>
        </w:rPr>
        <w:t xml:space="preserve"> tartanovým oválom v Bratislavskom kraji, ktorý spĺňa podmienky na organizáciu atletických súťaží, veľké futbalové ihrisko s umelou trávou a umelým osvetlením, 7 tenisových antukových kurtov, 2 beachvolejbalové ihriská a 2 multifunkčné ihriská. Športoviská sú k dispozícii všetkým študentom a zamestnancom STU i širokej verejnosti.</w:t>
      </w:r>
    </w:p>
    <w:p w14:paraId="070F5B5C" w14:textId="3E3C43CF" w:rsidR="0008747D" w:rsidRPr="0008747D" w:rsidRDefault="0008747D" w:rsidP="0008747D">
      <w:pPr>
        <w:jc w:val="both"/>
        <w:rPr>
          <w:shd w:val="clear" w:color="auto" w:fill="FFFFFF"/>
        </w:rPr>
      </w:pPr>
      <w:r w:rsidRPr="0008747D">
        <w:rPr>
          <w:rFonts w:cs="Calibri"/>
          <w:shd w:val="clear" w:color="auto" w:fill="FFFFFF"/>
        </w:rPr>
        <w:t xml:space="preserve">V roku 2018 </w:t>
      </w:r>
      <w:r>
        <w:rPr>
          <w:rFonts w:cs="Calibri"/>
          <w:shd w:val="clear" w:color="auto" w:fill="FFFFFF"/>
        </w:rPr>
        <w:t>sa vymenila umelá tráva</w:t>
      </w:r>
      <w:r w:rsidRPr="0008747D">
        <w:rPr>
          <w:rFonts w:cs="Calibri"/>
          <w:shd w:val="clear" w:color="auto" w:fill="FFFFFF"/>
        </w:rPr>
        <w:t xml:space="preserve"> na futbalovom ihrisku, pribudla malá tribúna, v roku 2019 nové LED osvetlenie. Na jar 2021 bol spustený nový vstupný systém do areálu. </w:t>
      </w:r>
      <w:r w:rsidRPr="0008747D">
        <w:rPr>
          <w:rFonts w:cs="Calibri"/>
        </w:rPr>
        <w:t>Po pandemických opatreniach v predchádzajúcich rok</w:t>
      </w:r>
      <w:r>
        <w:rPr>
          <w:rFonts w:cs="Calibri"/>
        </w:rPr>
        <w:t>och areál v roku 2022 opäť ožil</w:t>
      </w:r>
      <w:r w:rsidRPr="0008747D">
        <w:rPr>
          <w:rFonts w:cs="Calibri"/>
        </w:rPr>
        <w:t xml:space="preserve"> zvýšeným záujmom o športovanie. </w:t>
      </w:r>
      <w:r>
        <w:rPr>
          <w:rFonts w:cs="Calibri"/>
        </w:rPr>
        <w:t>Investície</w:t>
      </w:r>
      <w:r w:rsidRPr="0008747D">
        <w:rPr>
          <w:rFonts w:cs="Calibri"/>
        </w:rPr>
        <w:t xml:space="preserve"> do rekonštrukcií športovísk</w:t>
      </w:r>
      <w:r>
        <w:rPr>
          <w:rFonts w:cs="Calibri"/>
        </w:rPr>
        <w:t xml:space="preserve"> v roku 2022</w:t>
      </w:r>
      <w:r w:rsidRPr="0008747D">
        <w:rPr>
          <w:rFonts w:cs="Calibri"/>
        </w:rPr>
        <w:t xml:space="preserve"> prispievajú k</w:t>
      </w:r>
      <w:r>
        <w:rPr>
          <w:rFonts w:cs="Calibri"/>
        </w:rPr>
        <w:t xml:space="preserve"> ich </w:t>
      </w:r>
      <w:r w:rsidRPr="0008747D">
        <w:rPr>
          <w:rFonts w:cs="Calibri"/>
        </w:rPr>
        <w:t>bezproblémovému fungovaniu</w:t>
      </w:r>
      <w:r>
        <w:rPr>
          <w:rFonts w:cs="Calibri"/>
        </w:rPr>
        <w:t>,</w:t>
      </w:r>
      <w:r w:rsidRPr="0008747D">
        <w:rPr>
          <w:rFonts w:cs="Calibri"/>
        </w:rPr>
        <w:t xml:space="preserve"> pričom viaceré investície a opatrenia bol</w:t>
      </w:r>
      <w:r>
        <w:rPr>
          <w:rFonts w:cs="Calibri"/>
        </w:rPr>
        <w:t xml:space="preserve">i zamerané na úsporu energií. </w:t>
      </w:r>
      <w:r w:rsidRPr="0008747D">
        <w:rPr>
          <w:rFonts w:cs="Calibri"/>
          <w:shd w:val="clear" w:color="auto" w:fill="FFFFFF"/>
        </w:rPr>
        <w:t xml:space="preserve">CAŠ STU </w:t>
      </w:r>
      <w:r>
        <w:rPr>
          <w:rFonts w:cs="Calibri"/>
          <w:shd w:val="clear" w:color="auto" w:fill="FFFFFF"/>
        </w:rPr>
        <w:t>komunikuje</w:t>
      </w:r>
      <w:r w:rsidRPr="0008747D">
        <w:rPr>
          <w:rFonts w:cs="Calibri"/>
          <w:shd w:val="clear" w:color="auto" w:fill="FFFFFF"/>
        </w:rPr>
        <w:t xml:space="preserve"> na  internetovej stránke </w:t>
      </w:r>
      <w:hyperlink r:id="rId102" w:tgtFrame="_blank" w:history="1">
        <w:r w:rsidRPr="0008747D">
          <w:rPr>
            <w:rStyle w:val="Hypertextovprepojenie"/>
            <w:rFonts w:cs="Calibri"/>
            <w:color w:val="auto"/>
            <w:shd w:val="clear" w:color="auto" w:fill="FFFFFF"/>
          </w:rPr>
          <w:t>www.stusport.sk</w:t>
        </w:r>
      </w:hyperlink>
      <w:r w:rsidRPr="0008747D">
        <w:rPr>
          <w:rFonts w:cs="Calibri"/>
          <w:shd w:val="clear" w:color="auto" w:fill="FFFFFF"/>
        </w:rPr>
        <w:t> a naďalej rozvíja komunikáciu cez sociálne siete instagram (stu_sport) a facebook (STU SPORT Mladá garda). Pomocou týchto médií  prináša aktuálne informácie o možnostiach športovania v areáli.</w:t>
      </w:r>
    </w:p>
    <w:p w14:paraId="1C957483" w14:textId="77777777" w:rsidR="0008747D" w:rsidRDefault="0008747D" w:rsidP="008B5F4B">
      <w:pPr>
        <w:jc w:val="both"/>
        <w:rPr>
          <w:rFonts w:asciiTheme="majorHAnsi" w:hAnsiTheme="majorHAnsi" w:cstheme="majorHAnsi"/>
        </w:rPr>
      </w:pPr>
    </w:p>
    <w:p w14:paraId="38969BDD" w14:textId="7FE80109" w:rsidR="00D6469C" w:rsidRDefault="00D6469C" w:rsidP="008B5F4B">
      <w:pPr>
        <w:jc w:val="both"/>
        <w:rPr>
          <w:rFonts w:asciiTheme="majorHAnsi" w:hAnsiTheme="majorHAnsi" w:cstheme="majorHAnsi"/>
        </w:rPr>
      </w:pPr>
    </w:p>
    <w:p w14:paraId="7D77FB8B" w14:textId="77777777" w:rsidR="00D6469C" w:rsidRPr="002344DB" w:rsidRDefault="00D6469C" w:rsidP="00D6469C">
      <w:pPr>
        <w:jc w:val="both"/>
        <w:rPr>
          <w:rFonts w:asciiTheme="majorHAnsi" w:hAnsiTheme="majorHAnsi" w:cstheme="majorHAnsi"/>
          <w:b/>
          <w:sz w:val="28"/>
          <w:szCs w:val="28"/>
        </w:rPr>
      </w:pPr>
      <w:r w:rsidRPr="002344DB">
        <w:rPr>
          <w:rFonts w:asciiTheme="majorHAnsi" w:hAnsiTheme="majorHAnsi" w:cstheme="majorHAnsi"/>
          <w:b/>
          <w:sz w:val="28"/>
          <w:szCs w:val="28"/>
        </w:rPr>
        <w:t>9.7. Súkromná materská škola STUBAčik</w:t>
      </w:r>
    </w:p>
    <w:p w14:paraId="7EF9F3A9" w14:textId="77777777" w:rsidR="00D6469C" w:rsidRPr="002344DB" w:rsidRDefault="00D6469C" w:rsidP="00D6469C">
      <w:pPr>
        <w:jc w:val="both"/>
        <w:rPr>
          <w:rFonts w:asciiTheme="majorHAnsi" w:hAnsiTheme="majorHAnsi" w:cstheme="majorHAnsi"/>
          <w:b/>
          <w:sz w:val="28"/>
          <w:szCs w:val="28"/>
        </w:rPr>
      </w:pPr>
    </w:p>
    <w:p w14:paraId="56059773" w14:textId="46C2D5CB" w:rsidR="00D6469C" w:rsidRDefault="00D6469C" w:rsidP="00D6469C">
      <w:pPr>
        <w:shd w:val="clear" w:color="auto" w:fill="FFFFFF"/>
        <w:jc w:val="both"/>
        <w:rPr>
          <w:rFonts w:asciiTheme="majorHAnsi" w:hAnsiTheme="majorHAnsi" w:cstheme="majorHAnsi"/>
        </w:rPr>
      </w:pPr>
      <w:r w:rsidRPr="002344DB">
        <w:rPr>
          <w:rFonts w:asciiTheme="majorHAnsi" w:hAnsiTheme="majorHAnsi" w:cstheme="majorHAnsi"/>
        </w:rPr>
        <w:t xml:space="preserve">Súkromnú materskú školu Slovenskej technickej univerzity v Bratislave zriadila STU k 1.9.2020 so zámerom prevádzkovať materskú školu pre deti svojich študentov a zamestnancov. </w:t>
      </w:r>
    </w:p>
    <w:p w14:paraId="6C1C2032" w14:textId="67D24D6F" w:rsidR="00D6469C" w:rsidRPr="00D6469C" w:rsidRDefault="00D6469C" w:rsidP="00D6469C">
      <w:r>
        <w:t>V septembri 2022 škôlke pribudlo nové i</w:t>
      </w:r>
      <w:r w:rsidRPr="00D6469C">
        <w:t>hrisko</w:t>
      </w:r>
      <w:r>
        <w:t>, ktoré</w:t>
      </w:r>
      <w:r w:rsidRPr="00D6469C">
        <w:t xml:space="preserve"> postavili za šesť týždňov na pozemku, </w:t>
      </w:r>
      <w:r>
        <w:t>prenajatom</w:t>
      </w:r>
      <w:r w:rsidRPr="00D6469C">
        <w:t xml:space="preserve"> za symbolické euro </w:t>
      </w:r>
      <w:r>
        <w:t>od mestskej</w:t>
      </w:r>
      <w:r w:rsidRPr="00D6469C">
        <w:t xml:space="preserve"> čas</w:t>
      </w:r>
      <w:r>
        <w:t>ti</w:t>
      </w:r>
      <w:r w:rsidRPr="00D6469C">
        <w:t xml:space="preserve"> Staré Mesto. Na ploche 170 štvorcových metrov je štrková a trávnatá plocha s viacerými hracími prvkami. </w:t>
      </w:r>
      <w:r w:rsidR="00157E3C">
        <w:t>Náklady na výstavbu dosiahli 27 tisíc</w:t>
      </w:r>
      <w:r w:rsidRPr="00D6469C">
        <w:t xml:space="preserve"> eur, financovala ich STU.</w:t>
      </w:r>
    </w:p>
    <w:p w14:paraId="75D92313" w14:textId="22BCC8C2" w:rsidR="00D6469C" w:rsidRDefault="00D6469C" w:rsidP="00D6469C">
      <w:pPr>
        <w:jc w:val="both"/>
      </w:pPr>
      <w:r>
        <w:t xml:space="preserve">V mesiacoch máj – jún bol v materskej škole Zápis na školský rok 2022/2023. Na dochádzku do materskej školy bolo prijatých 7 nových detí. K 2.9.2022 nastúpilo na dochádzku 23 detí vo veku od 2,5 do 5 rokov, 21 z nich sú deťmi zamestnancov/študentov STU. </w:t>
      </w:r>
    </w:p>
    <w:p w14:paraId="20244702" w14:textId="71E62AED" w:rsidR="00D6469C" w:rsidRDefault="00D6469C" w:rsidP="00D6469C">
      <w:pPr>
        <w:jc w:val="both"/>
      </w:pPr>
      <w:r>
        <w:t>Materská škola má vypracovaný Školský vzdelávací program Malí vedci, ktorého zámerom je rozvíjať u detí prírodovedné poznávanie s riešením technických úloh, environmentálne cítenie a utvárať národné povedomie prostredníctvom ľudových tradícií regiónu. Pre deti sú v materskej škole vytvorené centrá aktivít, v ktorých si rozvíjajú kognitívnu gramotnosť, tvorivé – konštruktívne myslenie, interpersonálne a intrapersonálne zručnosti, komunikačné schopnosti. Deti sa môžu zapojiť aj do záujmových krúžkov Angličtina pre deti a Tanečno-pohybová príprava.</w:t>
      </w:r>
    </w:p>
    <w:p w14:paraId="2AC4D5B2" w14:textId="77777777" w:rsidR="00D6469C" w:rsidRDefault="00D6469C" w:rsidP="00D6469C">
      <w:pPr>
        <w:jc w:val="both"/>
      </w:pPr>
    </w:p>
    <w:p w14:paraId="64FB159A" w14:textId="3F5809C2" w:rsidR="00CA7D37" w:rsidRDefault="00CA7D37" w:rsidP="00062A16">
      <w:pPr>
        <w:jc w:val="both"/>
        <w:rPr>
          <w:rFonts w:asciiTheme="majorHAnsi" w:hAnsiTheme="majorHAnsi" w:cstheme="majorHAnsi"/>
        </w:rPr>
      </w:pPr>
    </w:p>
    <w:p w14:paraId="2F7B23D4" w14:textId="579A674A" w:rsidR="008D7CE0" w:rsidRPr="008D7CE0" w:rsidRDefault="008D7CE0" w:rsidP="00062A16">
      <w:pPr>
        <w:jc w:val="both"/>
        <w:rPr>
          <w:rFonts w:asciiTheme="majorHAnsi" w:hAnsiTheme="majorHAnsi" w:cstheme="majorHAnsi"/>
          <w:b/>
          <w:sz w:val="32"/>
          <w:szCs w:val="32"/>
        </w:rPr>
      </w:pPr>
      <w:r w:rsidRPr="008D7CE0">
        <w:rPr>
          <w:rFonts w:asciiTheme="majorHAnsi" w:hAnsiTheme="majorHAnsi" w:cstheme="majorHAnsi"/>
          <w:b/>
          <w:sz w:val="32"/>
          <w:szCs w:val="32"/>
        </w:rPr>
        <w:t>10. Rozvoj vysokej školy</w:t>
      </w:r>
    </w:p>
    <w:p w14:paraId="45983FF2" w14:textId="77777777" w:rsidR="008D7CE0" w:rsidRDefault="008D7CE0" w:rsidP="00062A16">
      <w:pPr>
        <w:jc w:val="both"/>
        <w:rPr>
          <w:highlight w:val="green"/>
        </w:rPr>
      </w:pPr>
    </w:p>
    <w:p w14:paraId="3934DC1C" w14:textId="77777777" w:rsidR="008D7CE0" w:rsidRPr="00B81457" w:rsidRDefault="008D7CE0" w:rsidP="008D7CE0">
      <w:pPr>
        <w:jc w:val="both"/>
        <w:rPr>
          <w:rFonts w:asciiTheme="majorHAnsi" w:hAnsiTheme="majorHAnsi" w:cstheme="majorHAnsi"/>
        </w:rPr>
      </w:pPr>
      <w:r w:rsidRPr="00B81457">
        <w:rPr>
          <w:rFonts w:asciiTheme="majorHAnsi" w:hAnsiTheme="majorHAnsi" w:cstheme="majorHAnsi"/>
        </w:rPr>
        <w:t xml:space="preserve">Slovenská technická univerzita v Bratislave dokončila v ostatných rokoch významné rozvojové projekty – Univerzitný vedecký park Science City v Bratislave a Univerzitný vedecký park Cambo v Trnave. V rámci projektov boli na STU vybudované a zrekonštruované nové vedecké laboratóriá so špičkovými prístrojmi. Vybudovanie novej infraštruktúry sa prejavilo aj na úspechu STU v medzinárodných grantových programoch, najmä úspešnosťou v zapojení sa do programu Horizont 2020. </w:t>
      </w:r>
    </w:p>
    <w:p w14:paraId="3BECFF81" w14:textId="77777777" w:rsidR="008D7CE0" w:rsidRPr="00B81457" w:rsidRDefault="008D7CE0" w:rsidP="008D7CE0">
      <w:pPr>
        <w:jc w:val="both"/>
        <w:rPr>
          <w:rFonts w:asciiTheme="majorHAnsi" w:hAnsiTheme="majorHAnsi" w:cstheme="majorHAnsi"/>
        </w:rPr>
      </w:pPr>
      <w:r w:rsidRPr="00B81457">
        <w:rPr>
          <w:rFonts w:asciiTheme="majorHAnsi" w:hAnsiTheme="majorHAnsi" w:cstheme="majorHAnsi"/>
        </w:rPr>
        <w:t xml:space="preserve">V sledovanom období STU pokračovala v realizácii plánu rozvoja so zámerom zatraktívniť prostredie, v ktorom trávia študenti čas svojho štúdia i voľný čas, pokračovať v budovaní výskumnej infraštruktúry a naďalej znižovať energetickú náročnosť budov. </w:t>
      </w:r>
    </w:p>
    <w:p w14:paraId="2A40D8DF" w14:textId="35E1E95E" w:rsidR="002C0CD5" w:rsidRPr="002C0CD5" w:rsidRDefault="008D7CE0" w:rsidP="002C0CD5">
      <w:pPr>
        <w:jc w:val="both"/>
        <w:rPr>
          <w:rFonts w:asciiTheme="majorHAnsi" w:eastAsia="Times New Roman" w:hAnsiTheme="majorHAnsi" w:cstheme="majorHAnsi"/>
          <w:color w:val="000000" w:themeColor="text1"/>
          <w:lang w:eastAsia="sk-SK"/>
        </w:rPr>
      </w:pPr>
      <w:r>
        <w:rPr>
          <w:rFonts w:asciiTheme="majorHAnsi" w:hAnsiTheme="majorHAnsi" w:cstheme="majorHAnsi"/>
          <w:color w:val="000000" w:themeColor="text1"/>
        </w:rPr>
        <w:t>V roku 2022</w:t>
      </w:r>
      <w:r w:rsidRPr="00B81457">
        <w:rPr>
          <w:rFonts w:asciiTheme="majorHAnsi" w:hAnsiTheme="majorHAnsi" w:cstheme="majorHAnsi"/>
          <w:color w:val="000000" w:themeColor="text1"/>
        </w:rPr>
        <w:t xml:space="preserve"> </w:t>
      </w:r>
      <w:r w:rsidR="002C0CD5">
        <w:rPr>
          <w:rFonts w:asciiTheme="majorHAnsi" w:hAnsiTheme="majorHAnsi" w:cstheme="majorHAnsi"/>
          <w:color w:val="000000" w:themeColor="text1"/>
        </w:rPr>
        <w:t>sa na modernizácii, rekonštrukciách, opravách a novom zariadení študentských domovov STU v Bratislave napriek zložitej finančnej situácii spôsobenej pandémiou preinvestovalo</w:t>
      </w:r>
      <w:r w:rsidRPr="00B81457">
        <w:rPr>
          <w:rFonts w:asciiTheme="majorHAnsi" w:hAnsiTheme="majorHAnsi" w:cstheme="majorHAnsi"/>
          <w:color w:val="000000" w:themeColor="text1"/>
        </w:rPr>
        <w:t xml:space="preserve"> </w:t>
      </w:r>
      <w:r w:rsidR="002C0CD5">
        <w:rPr>
          <w:rFonts w:asciiTheme="majorHAnsi" w:hAnsiTheme="majorHAnsi" w:cstheme="majorHAnsi"/>
          <w:color w:val="000000" w:themeColor="text1"/>
        </w:rPr>
        <w:t xml:space="preserve">1 281 818 €, </w:t>
      </w:r>
      <w:r w:rsidR="002C0CD5">
        <w:rPr>
          <w:rFonts w:asciiTheme="majorHAnsi" w:eastAsia="Times New Roman" w:hAnsiTheme="majorHAnsi" w:cstheme="majorHAnsi"/>
          <w:color w:val="000000" w:themeColor="text1"/>
          <w:lang w:eastAsia="sk-SK"/>
        </w:rPr>
        <w:t>v</w:t>
      </w:r>
      <w:r w:rsidRPr="00B81457">
        <w:rPr>
          <w:rFonts w:asciiTheme="majorHAnsi" w:hAnsiTheme="majorHAnsi" w:cstheme="majorHAnsi"/>
          <w:color w:val="000000" w:themeColor="text1"/>
        </w:rPr>
        <w:t> rámci ŠDaJ Milo</w:t>
      </w:r>
      <w:r w:rsidR="002C0CD5">
        <w:rPr>
          <w:rFonts w:asciiTheme="majorHAnsi" w:hAnsiTheme="majorHAnsi" w:cstheme="majorHAnsi"/>
          <w:color w:val="000000" w:themeColor="text1"/>
        </w:rPr>
        <w:t xml:space="preserve">ša Uhra v Trnave </w:t>
      </w:r>
      <w:r w:rsidR="002C0CD5" w:rsidRPr="002C0CD5">
        <w:rPr>
          <w:rFonts w:asciiTheme="majorHAnsi" w:hAnsiTheme="majorHAnsi" w:cstheme="majorHAnsi"/>
        </w:rPr>
        <w:t>331 649 €</w:t>
      </w:r>
      <w:r w:rsidR="002C0CD5">
        <w:rPr>
          <w:rFonts w:asciiTheme="majorHAnsi" w:hAnsiTheme="majorHAnsi" w:cstheme="majorHAnsi"/>
        </w:rPr>
        <w:t>.</w:t>
      </w:r>
    </w:p>
    <w:p w14:paraId="547B6D81" w14:textId="77777777" w:rsidR="00D36C7A" w:rsidRDefault="00D36C7A" w:rsidP="008D7CE0">
      <w:pPr>
        <w:jc w:val="both"/>
        <w:rPr>
          <w:rFonts w:asciiTheme="majorHAnsi" w:hAnsiTheme="majorHAnsi" w:cstheme="majorHAnsi"/>
          <w:color w:val="000000" w:themeColor="text1"/>
        </w:rPr>
      </w:pPr>
    </w:p>
    <w:p w14:paraId="7BD8BFEF" w14:textId="3F35AE1E" w:rsidR="008D7CE0" w:rsidRDefault="00B710E8" w:rsidP="008D7CE0">
      <w:pPr>
        <w:jc w:val="both"/>
        <w:rPr>
          <w:rFonts w:asciiTheme="majorHAnsi" w:hAnsiTheme="majorHAnsi" w:cstheme="majorHAnsi"/>
          <w:color w:val="000000" w:themeColor="text1"/>
        </w:rPr>
      </w:pPr>
      <w:r>
        <w:rPr>
          <w:rFonts w:asciiTheme="majorHAnsi" w:hAnsiTheme="majorHAnsi" w:cstheme="majorHAnsi"/>
          <w:color w:val="000000" w:themeColor="text1"/>
        </w:rPr>
        <w:t xml:space="preserve"> </w:t>
      </w:r>
      <w:r w:rsidR="008D7CE0" w:rsidRPr="00F563DB">
        <w:rPr>
          <w:rFonts w:asciiTheme="majorHAnsi" w:hAnsiTheme="majorHAnsi" w:cstheme="majorHAnsi"/>
        </w:rPr>
        <w:t xml:space="preserve">STU spoločne s Univerzitou Komenského </w:t>
      </w:r>
      <w:r w:rsidR="008D7CE0">
        <w:rPr>
          <w:rFonts w:asciiTheme="majorHAnsi" w:hAnsiTheme="majorHAnsi" w:cstheme="majorHAnsi"/>
        </w:rPr>
        <w:t>pokračujú v</w:t>
      </w:r>
      <w:r w:rsidR="008D7CE0" w:rsidRPr="00F563DB">
        <w:rPr>
          <w:rFonts w:asciiTheme="majorHAnsi" w:hAnsiTheme="majorHAnsi" w:cstheme="majorHAnsi"/>
        </w:rPr>
        <w:t xml:space="preserve"> </w:t>
      </w:r>
      <w:r w:rsidR="008D7CE0">
        <w:rPr>
          <w:rFonts w:asciiTheme="majorHAnsi" w:hAnsiTheme="majorHAnsi" w:cstheme="majorHAnsi"/>
          <w:b/>
        </w:rPr>
        <w:t>rozvojovom</w:t>
      </w:r>
      <w:r w:rsidR="008D7CE0" w:rsidRPr="002E2F32">
        <w:rPr>
          <w:rFonts w:asciiTheme="majorHAnsi" w:hAnsiTheme="majorHAnsi" w:cstheme="majorHAnsi"/>
          <w:b/>
        </w:rPr>
        <w:t xml:space="preserve"> projekt</w:t>
      </w:r>
      <w:r w:rsidR="008D7CE0">
        <w:rPr>
          <w:rFonts w:asciiTheme="majorHAnsi" w:hAnsiTheme="majorHAnsi" w:cstheme="majorHAnsi"/>
          <w:b/>
        </w:rPr>
        <w:t>e</w:t>
      </w:r>
      <w:r w:rsidR="008D7CE0" w:rsidRPr="002E2F32">
        <w:rPr>
          <w:rFonts w:asciiTheme="majorHAnsi" w:hAnsiTheme="majorHAnsi" w:cstheme="majorHAnsi"/>
          <w:b/>
        </w:rPr>
        <w:t xml:space="preserve"> ACCORD</w:t>
      </w:r>
      <w:r w:rsidR="008D7CE0" w:rsidRPr="00F563DB">
        <w:rPr>
          <w:rFonts w:asciiTheme="majorHAnsi" w:hAnsiTheme="majorHAnsi" w:cstheme="majorHAnsi"/>
        </w:rPr>
        <w:t xml:space="preserve"> (Advancing university Capacity and COmpetence in Research, Development and innovation/ Zlepšenie univerzitných kapacít a kompetencií vo výskume, vývoji a inováciách) so začiatkom riešenia v r. 2019 s celkovou výškou oprávnených výdavkov 110,9 mil. eur, z toho 105,4 mil. eur tvorí príspevok zo štrukturálnych fondov. 5,5 mil. eur predstavuje spolufinancovanie z vlastných zdrojov. Pre STU je vyčlenená polovica z uvedených finančných prostriedkov.</w:t>
      </w:r>
    </w:p>
    <w:p w14:paraId="217F6A46" w14:textId="55C51B81" w:rsidR="002C0CD5" w:rsidRDefault="00A92865" w:rsidP="008D7CE0">
      <w:pPr>
        <w:jc w:val="both"/>
        <w:rPr>
          <w:rFonts w:asciiTheme="majorHAnsi" w:eastAsia="Times New Roman" w:hAnsiTheme="majorHAnsi" w:cstheme="majorHAnsi"/>
          <w:lang w:eastAsia="sk-SK"/>
        </w:rPr>
      </w:pPr>
      <w:r>
        <w:rPr>
          <w:rFonts w:asciiTheme="majorHAnsi" w:eastAsia="Times New Roman" w:hAnsiTheme="majorHAnsi" w:cstheme="majorHAnsi"/>
          <w:lang w:eastAsia="sk-SK"/>
        </w:rPr>
        <w:t>V priebehu roka 2022</w:t>
      </w:r>
      <w:r w:rsidR="008D7CE0" w:rsidRPr="002E2F32">
        <w:rPr>
          <w:rFonts w:asciiTheme="majorHAnsi" w:eastAsia="Times New Roman" w:hAnsiTheme="majorHAnsi" w:cstheme="majorHAnsi"/>
          <w:lang w:eastAsia="sk-SK"/>
        </w:rPr>
        <w:t xml:space="preserve"> pokračovala implementácia projektu ACCORD v súlade s časovým harmonogramom. </w:t>
      </w:r>
    </w:p>
    <w:p w14:paraId="2ABA5D6B" w14:textId="77777777" w:rsidR="002C0CD5" w:rsidRDefault="002C0CD5" w:rsidP="008D7CE0">
      <w:pPr>
        <w:jc w:val="both"/>
        <w:rPr>
          <w:rFonts w:asciiTheme="majorHAnsi" w:eastAsia="Times New Roman" w:hAnsiTheme="majorHAnsi" w:cstheme="majorHAnsi"/>
          <w:lang w:eastAsia="sk-SK"/>
        </w:rPr>
      </w:pPr>
    </w:p>
    <w:p w14:paraId="705822A3" w14:textId="77777777" w:rsidR="00A92865" w:rsidRPr="00A92865" w:rsidRDefault="00A92865" w:rsidP="00A92865">
      <w:pPr>
        <w:rPr>
          <w:rFonts w:asciiTheme="majorHAnsi" w:eastAsia="Times New Roman" w:hAnsiTheme="majorHAnsi" w:cstheme="majorHAnsi"/>
          <w:u w:val="single"/>
          <w:lang w:eastAsia="sk-SK"/>
        </w:rPr>
      </w:pPr>
      <w:r w:rsidRPr="00A92865">
        <w:rPr>
          <w:rFonts w:asciiTheme="majorHAnsi" w:eastAsia="Times New Roman" w:hAnsiTheme="majorHAnsi" w:cstheme="majorHAnsi"/>
          <w:u w:val="single"/>
          <w:lang w:eastAsia="sk-SK"/>
        </w:rPr>
        <w:t>Aktivita 1 – Program znižovania emisií CO2</w:t>
      </w:r>
    </w:p>
    <w:p w14:paraId="0035CCAB" w14:textId="3A239B37" w:rsidR="00A92865" w:rsidRPr="00A92865" w:rsidRDefault="00A92865" w:rsidP="00E027F7">
      <w:pPr>
        <w:pStyle w:val="Odsekzoznamu"/>
        <w:numPr>
          <w:ilvl w:val="0"/>
          <w:numId w:val="31"/>
        </w:numPr>
        <w:spacing w:after="0" w:line="259" w:lineRule="auto"/>
        <w:jc w:val="both"/>
        <w:rPr>
          <w:rFonts w:asciiTheme="majorHAnsi" w:hAnsiTheme="majorHAnsi" w:cstheme="majorHAnsi"/>
          <w:sz w:val="24"/>
          <w:szCs w:val="24"/>
        </w:rPr>
      </w:pPr>
      <w:r w:rsidRPr="00A92865">
        <w:rPr>
          <w:rFonts w:asciiTheme="majorHAnsi" w:hAnsiTheme="majorHAnsi" w:cstheme="majorHAnsi"/>
          <w:sz w:val="24"/>
          <w:szCs w:val="24"/>
        </w:rPr>
        <w:t>ukončená rekonštrukcia blokov A,T a medziblokov AB, BC na Fakulte elektrotechniky a informatiky STU</w:t>
      </w:r>
      <w:r>
        <w:rPr>
          <w:rFonts w:asciiTheme="majorHAnsi" w:hAnsiTheme="majorHAnsi" w:cstheme="majorHAnsi"/>
          <w:sz w:val="24"/>
          <w:szCs w:val="24"/>
        </w:rPr>
        <w:t xml:space="preserve"> </w:t>
      </w:r>
    </w:p>
    <w:p w14:paraId="2AF95C91" w14:textId="1EB5F0C0" w:rsidR="00A92865" w:rsidRPr="00A92865" w:rsidRDefault="00A92865" w:rsidP="00E027F7">
      <w:pPr>
        <w:pStyle w:val="Odsekzoznamu"/>
        <w:numPr>
          <w:ilvl w:val="0"/>
          <w:numId w:val="31"/>
        </w:numPr>
        <w:spacing w:after="0" w:line="259" w:lineRule="auto"/>
        <w:jc w:val="both"/>
        <w:rPr>
          <w:rFonts w:asciiTheme="majorHAnsi" w:hAnsiTheme="majorHAnsi" w:cstheme="majorHAnsi"/>
          <w:sz w:val="24"/>
          <w:szCs w:val="24"/>
        </w:rPr>
      </w:pPr>
      <w:r w:rsidRPr="00A92865">
        <w:rPr>
          <w:rFonts w:asciiTheme="majorHAnsi" w:hAnsiTheme="majorHAnsi" w:cstheme="majorHAnsi"/>
          <w:sz w:val="24"/>
          <w:szCs w:val="24"/>
        </w:rPr>
        <w:t>ukončenie stavebných prác na Stavebnej fakulte STU, práce spočívali v obnove a modernizácii obalového plášťa bloku B (strecha) a obnove a modernizácii obalového plášťa bloku B (obvodové steny)</w:t>
      </w:r>
      <w:r>
        <w:rPr>
          <w:rFonts w:asciiTheme="majorHAnsi" w:hAnsiTheme="majorHAnsi" w:cstheme="majorHAnsi"/>
          <w:sz w:val="24"/>
          <w:szCs w:val="24"/>
        </w:rPr>
        <w:t xml:space="preserve"> </w:t>
      </w:r>
    </w:p>
    <w:p w14:paraId="3B60F31B" w14:textId="5C4E05CF" w:rsidR="00A92865" w:rsidRPr="00A92865" w:rsidRDefault="00A92865" w:rsidP="00E027F7">
      <w:pPr>
        <w:pStyle w:val="Odsekzoznamu"/>
        <w:numPr>
          <w:ilvl w:val="0"/>
          <w:numId w:val="31"/>
        </w:numPr>
        <w:spacing w:after="0" w:line="259" w:lineRule="auto"/>
        <w:jc w:val="both"/>
        <w:rPr>
          <w:rFonts w:asciiTheme="majorHAnsi" w:hAnsiTheme="majorHAnsi" w:cstheme="majorHAnsi"/>
          <w:sz w:val="24"/>
          <w:szCs w:val="24"/>
        </w:rPr>
      </w:pPr>
      <w:r w:rsidRPr="00A92865">
        <w:rPr>
          <w:rFonts w:asciiTheme="majorHAnsi" w:hAnsiTheme="majorHAnsi" w:cstheme="majorHAnsi"/>
          <w:sz w:val="24"/>
          <w:szCs w:val="24"/>
        </w:rPr>
        <w:t>ukončenie prác súvisiacich s rekuperáciou v bloku B Stavebnej fakulty STU</w:t>
      </w:r>
      <w:r>
        <w:rPr>
          <w:rFonts w:asciiTheme="majorHAnsi" w:hAnsiTheme="majorHAnsi" w:cstheme="majorHAnsi"/>
          <w:sz w:val="24"/>
          <w:szCs w:val="24"/>
        </w:rPr>
        <w:t xml:space="preserve"> </w:t>
      </w:r>
    </w:p>
    <w:p w14:paraId="115B1F2A" w14:textId="4BC04A4B" w:rsidR="00A92865" w:rsidRPr="00A92865" w:rsidRDefault="00A92865" w:rsidP="00E027F7">
      <w:pPr>
        <w:pStyle w:val="Odsekzoznamu"/>
        <w:numPr>
          <w:ilvl w:val="0"/>
          <w:numId w:val="31"/>
        </w:numPr>
        <w:spacing w:after="0" w:line="259" w:lineRule="auto"/>
        <w:jc w:val="both"/>
        <w:rPr>
          <w:rFonts w:asciiTheme="majorHAnsi" w:hAnsiTheme="majorHAnsi" w:cstheme="majorHAnsi"/>
          <w:sz w:val="24"/>
          <w:szCs w:val="24"/>
        </w:rPr>
      </w:pPr>
      <w:r w:rsidRPr="00A92865">
        <w:rPr>
          <w:rFonts w:asciiTheme="majorHAnsi" w:hAnsiTheme="majorHAnsi" w:cstheme="majorHAnsi"/>
          <w:sz w:val="24"/>
          <w:szCs w:val="24"/>
        </w:rPr>
        <w:t>prebieha obnova a modernizácia starej budovy Fakulty chemickej a potravinárskej technológie STU</w:t>
      </w:r>
      <w:r>
        <w:rPr>
          <w:rFonts w:asciiTheme="majorHAnsi" w:hAnsiTheme="majorHAnsi" w:cstheme="majorHAnsi"/>
          <w:sz w:val="24"/>
          <w:szCs w:val="24"/>
        </w:rPr>
        <w:t xml:space="preserve"> </w:t>
      </w:r>
    </w:p>
    <w:p w14:paraId="6FC74541" w14:textId="10415A35" w:rsidR="00A92865" w:rsidRPr="00A92865" w:rsidRDefault="00A92865" w:rsidP="00E027F7">
      <w:pPr>
        <w:pStyle w:val="Odsekzoznamu"/>
        <w:numPr>
          <w:ilvl w:val="0"/>
          <w:numId w:val="30"/>
        </w:numPr>
        <w:spacing w:after="0" w:line="259" w:lineRule="auto"/>
        <w:jc w:val="both"/>
        <w:rPr>
          <w:rFonts w:asciiTheme="majorHAnsi" w:hAnsiTheme="majorHAnsi" w:cstheme="majorHAnsi"/>
          <w:sz w:val="24"/>
          <w:szCs w:val="24"/>
        </w:rPr>
      </w:pPr>
      <w:r w:rsidRPr="00A92865">
        <w:rPr>
          <w:rFonts w:asciiTheme="majorHAnsi" w:hAnsiTheme="majorHAnsi" w:cstheme="majorHAnsi"/>
          <w:sz w:val="24"/>
          <w:szCs w:val="24"/>
        </w:rPr>
        <w:t xml:space="preserve">začínajú sa rekonštrukčné práce parapetnej časti budovy Strojníckej fakulty STU </w:t>
      </w:r>
    </w:p>
    <w:p w14:paraId="2B00666C" w14:textId="3268B024" w:rsidR="00A92865" w:rsidRDefault="00A92865" w:rsidP="00E027F7">
      <w:pPr>
        <w:pStyle w:val="Odsekzoznamu"/>
        <w:numPr>
          <w:ilvl w:val="0"/>
          <w:numId w:val="30"/>
        </w:numPr>
        <w:spacing w:after="0" w:line="259" w:lineRule="auto"/>
        <w:jc w:val="both"/>
        <w:rPr>
          <w:rFonts w:asciiTheme="majorHAnsi" w:hAnsiTheme="majorHAnsi" w:cstheme="majorHAnsi"/>
          <w:sz w:val="24"/>
          <w:szCs w:val="24"/>
        </w:rPr>
      </w:pPr>
      <w:r w:rsidRPr="00A92865">
        <w:rPr>
          <w:rFonts w:asciiTheme="majorHAnsi" w:hAnsiTheme="majorHAnsi" w:cstheme="majorHAnsi"/>
          <w:sz w:val="24"/>
          <w:szCs w:val="24"/>
        </w:rPr>
        <w:t xml:space="preserve">prebieha rekonštrukcia opláštenia bloku A Stavebnej fakulty </w:t>
      </w:r>
    </w:p>
    <w:p w14:paraId="753A1EF4" w14:textId="77777777" w:rsidR="00A92865" w:rsidRPr="00A92865" w:rsidRDefault="00A92865" w:rsidP="00A92865">
      <w:pPr>
        <w:pStyle w:val="Odsekzoznamu"/>
        <w:spacing w:after="0" w:line="259" w:lineRule="auto"/>
        <w:ind w:left="360"/>
        <w:jc w:val="both"/>
        <w:rPr>
          <w:rFonts w:asciiTheme="majorHAnsi" w:hAnsiTheme="majorHAnsi" w:cstheme="majorHAnsi"/>
          <w:sz w:val="24"/>
          <w:szCs w:val="24"/>
        </w:rPr>
      </w:pPr>
    </w:p>
    <w:p w14:paraId="4965FDAC" w14:textId="77777777" w:rsidR="00A92865" w:rsidRPr="00A92865" w:rsidRDefault="00A92865" w:rsidP="00A92865">
      <w:pPr>
        <w:jc w:val="both"/>
        <w:rPr>
          <w:rFonts w:asciiTheme="majorHAnsi" w:eastAsia="Times New Roman" w:hAnsiTheme="majorHAnsi" w:cstheme="majorHAnsi"/>
          <w:u w:val="single"/>
          <w:lang w:eastAsia="sk-SK"/>
        </w:rPr>
      </w:pPr>
      <w:r w:rsidRPr="00A92865">
        <w:rPr>
          <w:rFonts w:asciiTheme="majorHAnsi" w:eastAsia="Times New Roman" w:hAnsiTheme="majorHAnsi" w:cstheme="majorHAnsi"/>
          <w:u w:val="single"/>
          <w:lang w:eastAsia="sk-SK"/>
        </w:rPr>
        <w:t>Aktivita 2 – Zvyšovanie atraktívnosti vzdelávacieho prostredia</w:t>
      </w:r>
    </w:p>
    <w:p w14:paraId="68C1916A" w14:textId="5BF559D2" w:rsidR="00A92865" w:rsidRPr="00A92865" w:rsidRDefault="00A92865" w:rsidP="00E027F7">
      <w:pPr>
        <w:pStyle w:val="Odsekzoznamu"/>
        <w:numPr>
          <w:ilvl w:val="0"/>
          <w:numId w:val="30"/>
        </w:numPr>
        <w:spacing w:after="0" w:line="259" w:lineRule="auto"/>
        <w:jc w:val="both"/>
        <w:rPr>
          <w:rFonts w:asciiTheme="majorHAnsi" w:hAnsiTheme="majorHAnsi" w:cstheme="majorHAnsi"/>
          <w:sz w:val="24"/>
          <w:szCs w:val="24"/>
        </w:rPr>
      </w:pPr>
      <w:r w:rsidRPr="00A92865">
        <w:rPr>
          <w:rFonts w:asciiTheme="majorHAnsi" w:hAnsiTheme="majorHAnsi" w:cstheme="majorHAnsi"/>
          <w:sz w:val="24"/>
          <w:szCs w:val="24"/>
        </w:rPr>
        <w:t xml:space="preserve">prebiehajú stavebné práce v rámci obnovy a modernizácie </w:t>
      </w:r>
      <w:r>
        <w:rPr>
          <w:rFonts w:asciiTheme="majorHAnsi" w:hAnsiTheme="majorHAnsi" w:cstheme="majorHAnsi"/>
          <w:sz w:val="24"/>
          <w:szCs w:val="24"/>
        </w:rPr>
        <w:t xml:space="preserve">starej budovy Fakulty chemickej </w:t>
      </w:r>
      <w:r w:rsidRPr="00A92865">
        <w:rPr>
          <w:rFonts w:asciiTheme="majorHAnsi" w:hAnsiTheme="majorHAnsi" w:cstheme="majorHAnsi"/>
          <w:sz w:val="24"/>
          <w:szCs w:val="24"/>
        </w:rPr>
        <w:t xml:space="preserve">a potravinárskej technológie STU v rámci ktorej sa rekonštruujú interiérové priestory a dôjde k výmene zariadení v laboratóriách; </w:t>
      </w:r>
    </w:p>
    <w:p w14:paraId="64F478DB" w14:textId="174C8004" w:rsidR="00A92865" w:rsidRPr="00A92865" w:rsidRDefault="00A92865" w:rsidP="00E027F7">
      <w:pPr>
        <w:pStyle w:val="Odsekzoznamu"/>
        <w:numPr>
          <w:ilvl w:val="0"/>
          <w:numId w:val="30"/>
        </w:numPr>
        <w:spacing w:after="0" w:line="259" w:lineRule="auto"/>
        <w:jc w:val="both"/>
        <w:rPr>
          <w:rFonts w:asciiTheme="majorHAnsi" w:hAnsiTheme="majorHAnsi" w:cstheme="majorHAnsi"/>
          <w:sz w:val="24"/>
          <w:szCs w:val="24"/>
        </w:rPr>
      </w:pPr>
      <w:r w:rsidRPr="00A92865">
        <w:rPr>
          <w:rFonts w:asciiTheme="majorHAnsi" w:hAnsiTheme="majorHAnsi" w:cstheme="majorHAnsi"/>
          <w:sz w:val="24"/>
          <w:szCs w:val="24"/>
        </w:rPr>
        <w:t>ukončená revitalizácia interiérových časti Fakulty elektrotechniky a informatiky STU, súčasťou diela je aj dodávka didaktickej techniky a obnova počítačových sietí a zlepšení konektivity</w:t>
      </w:r>
      <w:r>
        <w:rPr>
          <w:rFonts w:asciiTheme="majorHAnsi" w:hAnsiTheme="majorHAnsi" w:cstheme="majorHAnsi"/>
          <w:sz w:val="24"/>
          <w:szCs w:val="24"/>
        </w:rPr>
        <w:t xml:space="preserve"> </w:t>
      </w:r>
    </w:p>
    <w:p w14:paraId="11CD523D" w14:textId="25956785" w:rsidR="00A92865" w:rsidRPr="00A92865" w:rsidRDefault="00A92865" w:rsidP="00E027F7">
      <w:pPr>
        <w:pStyle w:val="Odsekzoznamu"/>
        <w:numPr>
          <w:ilvl w:val="0"/>
          <w:numId w:val="30"/>
        </w:numPr>
        <w:spacing w:after="0" w:line="259" w:lineRule="auto"/>
        <w:jc w:val="both"/>
        <w:rPr>
          <w:rFonts w:asciiTheme="majorHAnsi" w:hAnsiTheme="majorHAnsi" w:cstheme="majorHAnsi"/>
          <w:sz w:val="24"/>
          <w:szCs w:val="24"/>
        </w:rPr>
      </w:pPr>
      <w:r w:rsidRPr="00A92865">
        <w:rPr>
          <w:rFonts w:asciiTheme="majorHAnsi" w:hAnsiTheme="majorHAnsi" w:cstheme="majorHAnsi"/>
          <w:sz w:val="24"/>
          <w:szCs w:val="24"/>
        </w:rPr>
        <w:t>prebieha rekonštrukcia interiérov bloku A Stavebnej fakulty</w:t>
      </w:r>
      <w:r w:rsidRPr="00A92865">
        <w:rPr>
          <w:rFonts w:asciiTheme="majorHAnsi" w:hAnsiTheme="majorHAnsi" w:cstheme="majorHAnsi"/>
          <w:sz w:val="24"/>
          <w:szCs w:val="24"/>
        </w:rPr>
        <w:br/>
        <w:t>STU a auly akademika Bellu</w:t>
      </w:r>
      <w:r>
        <w:rPr>
          <w:rFonts w:asciiTheme="majorHAnsi" w:hAnsiTheme="majorHAnsi" w:cstheme="majorHAnsi"/>
          <w:sz w:val="24"/>
          <w:szCs w:val="24"/>
        </w:rPr>
        <w:t xml:space="preserve"> </w:t>
      </w:r>
    </w:p>
    <w:p w14:paraId="0CD89820" w14:textId="77777777" w:rsidR="00A92865" w:rsidRPr="00A92865" w:rsidRDefault="00A92865" w:rsidP="00A92865">
      <w:pPr>
        <w:jc w:val="both"/>
        <w:rPr>
          <w:rFonts w:asciiTheme="majorHAnsi" w:eastAsia="Times New Roman" w:hAnsiTheme="majorHAnsi" w:cstheme="majorHAnsi"/>
          <w:u w:val="single"/>
          <w:lang w:eastAsia="sk-SK"/>
        </w:rPr>
      </w:pPr>
      <w:r w:rsidRPr="00A92865">
        <w:rPr>
          <w:rFonts w:asciiTheme="majorHAnsi" w:eastAsia="Times New Roman" w:hAnsiTheme="majorHAnsi" w:cstheme="majorHAnsi"/>
          <w:lang w:eastAsia="sk-SK"/>
        </w:rPr>
        <w:lastRenderedPageBreak/>
        <w:br/>
      </w:r>
      <w:r w:rsidRPr="00A92865">
        <w:rPr>
          <w:rFonts w:asciiTheme="majorHAnsi" w:eastAsia="Times New Roman" w:hAnsiTheme="majorHAnsi" w:cstheme="majorHAnsi"/>
          <w:u w:val="single"/>
          <w:lang w:eastAsia="sk-SK"/>
        </w:rPr>
        <w:t>Aktivita 3 – Modernizácia IT infraštruktúry</w:t>
      </w:r>
    </w:p>
    <w:p w14:paraId="6C50AC4F" w14:textId="7C0BD7DF" w:rsidR="00A92865" w:rsidRPr="00A92865" w:rsidRDefault="00A92865" w:rsidP="00E027F7">
      <w:pPr>
        <w:pStyle w:val="Odsekzoznamu"/>
        <w:numPr>
          <w:ilvl w:val="0"/>
          <w:numId w:val="30"/>
        </w:numPr>
        <w:spacing w:after="0" w:line="259" w:lineRule="auto"/>
        <w:jc w:val="both"/>
        <w:rPr>
          <w:rFonts w:asciiTheme="majorHAnsi" w:hAnsiTheme="majorHAnsi" w:cstheme="majorHAnsi"/>
          <w:sz w:val="24"/>
          <w:szCs w:val="24"/>
        </w:rPr>
      </w:pPr>
      <w:r w:rsidRPr="00A92865">
        <w:rPr>
          <w:rFonts w:asciiTheme="majorHAnsi" w:hAnsiTheme="majorHAnsi" w:cstheme="majorHAnsi"/>
          <w:sz w:val="24"/>
          <w:szCs w:val="24"/>
        </w:rPr>
        <w:t>ukončené verejné obstarávanie na dodávku didaktickej techniky, didaktická technika bola zároveň už dodaná</w:t>
      </w:r>
      <w:r>
        <w:rPr>
          <w:rFonts w:asciiTheme="majorHAnsi" w:hAnsiTheme="majorHAnsi" w:cstheme="majorHAnsi"/>
          <w:sz w:val="24"/>
          <w:szCs w:val="24"/>
        </w:rPr>
        <w:t xml:space="preserve"> </w:t>
      </w:r>
    </w:p>
    <w:p w14:paraId="6DEF44BD" w14:textId="77777777" w:rsidR="00A92865" w:rsidRPr="00A92865" w:rsidRDefault="00A92865" w:rsidP="00E027F7">
      <w:pPr>
        <w:pStyle w:val="Odsekzoznamu"/>
        <w:numPr>
          <w:ilvl w:val="0"/>
          <w:numId w:val="30"/>
        </w:numPr>
        <w:spacing w:after="0" w:line="259" w:lineRule="auto"/>
        <w:jc w:val="both"/>
        <w:rPr>
          <w:rFonts w:asciiTheme="majorHAnsi" w:hAnsiTheme="majorHAnsi" w:cstheme="majorHAnsi"/>
          <w:sz w:val="24"/>
          <w:szCs w:val="24"/>
        </w:rPr>
      </w:pPr>
      <w:r w:rsidRPr="00A92865">
        <w:rPr>
          <w:rFonts w:asciiTheme="majorHAnsi" w:hAnsiTheme="majorHAnsi" w:cstheme="majorHAnsi"/>
          <w:sz w:val="24"/>
          <w:szCs w:val="24"/>
        </w:rPr>
        <w:t>ukončené verejné obstarávanie troch logických celkov v rámci počítačových sietí a konektivity (rektorát, FCHPT, FIIT) technika bola zároveň už dodaná, čaká sa na dodanie zvyšných dvoch logických celkov (SjF, SvF).</w:t>
      </w:r>
    </w:p>
    <w:p w14:paraId="0F2CF230" w14:textId="77777777" w:rsidR="00A92865" w:rsidRPr="00A92865" w:rsidRDefault="00A92865" w:rsidP="00A92865">
      <w:pPr>
        <w:jc w:val="both"/>
        <w:rPr>
          <w:rFonts w:asciiTheme="majorHAnsi" w:eastAsia="Times New Roman" w:hAnsiTheme="majorHAnsi" w:cstheme="majorHAnsi"/>
          <w:u w:val="single"/>
          <w:lang w:eastAsia="sk-SK"/>
        </w:rPr>
      </w:pPr>
      <w:r w:rsidRPr="00A92865">
        <w:rPr>
          <w:rFonts w:asciiTheme="majorHAnsi" w:eastAsia="Times New Roman" w:hAnsiTheme="majorHAnsi" w:cstheme="majorHAnsi"/>
          <w:lang w:eastAsia="sk-SK"/>
        </w:rPr>
        <w:br/>
      </w:r>
      <w:r w:rsidRPr="00A92865">
        <w:rPr>
          <w:rFonts w:asciiTheme="majorHAnsi" w:eastAsia="Times New Roman" w:hAnsiTheme="majorHAnsi" w:cstheme="majorHAnsi"/>
          <w:u w:val="single"/>
          <w:lang w:eastAsia="sk-SK"/>
        </w:rPr>
        <w:t>Aktivita 4 – Obnova výskumnej infraštruktúry a prístrojov</w:t>
      </w:r>
    </w:p>
    <w:p w14:paraId="4A53C1BA" w14:textId="69C2157B" w:rsidR="00A92865" w:rsidRPr="00A92865" w:rsidRDefault="00A92865" w:rsidP="00A92865">
      <w:pPr>
        <w:jc w:val="both"/>
        <w:rPr>
          <w:rFonts w:asciiTheme="majorHAnsi" w:eastAsia="Times New Roman" w:hAnsiTheme="majorHAnsi" w:cstheme="majorHAnsi"/>
          <w:strike/>
          <w:lang w:eastAsia="sk-SK"/>
        </w:rPr>
      </w:pPr>
      <w:r w:rsidRPr="00A92865">
        <w:rPr>
          <w:rFonts w:asciiTheme="majorHAnsi" w:eastAsia="Times New Roman" w:hAnsiTheme="majorHAnsi" w:cstheme="majorHAnsi"/>
          <w:lang w:eastAsia="sk-SK"/>
        </w:rPr>
        <w:t xml:space="preserve">V rámci tejto aktivity pokračovali dodávky obstaraných prístrojov. Zároveň prebieha príprava nadlimitnej súťaže na dodávku IKT zariadení. V súčasnej dobe sa vyhodnocuje súťaž na poslednú časť biotechnológií. </w:t>
      </w:r>
    </w:p>
    <w:p w14:paraId="0A3BCF72" w14:textId="77777777" w:rsidR="00A92865" w:rsidRPr="00A92865" w:rsidRDefault="00A92865" w:rsidP="00A92865">
      <w:pPr>
        <w:jc w:val="both"/>
        <w:rPr>
          <w:rFonts w:asciiTheme="majorHAnsi" w:eastAsia="Times New Roman" w:hAnsiTheme="majorHAnsi" w:cstheme="majorHAnsi"/>
          <w:lang w:eastAsia="sk-SK"/>
        </w:rPr>
      </w:pPr>
    </w:p>
    <w:p w14:paraId="5F6E58EA" w14:textId="68D94A12" w:rsidR="00A92865" w:rsidRPr="00A92865" w:rsidRDefault="00A92865" w:rsidP="00A92865">
      <w:pPr>
        <w:jc w:val="both"/>
        <w:rPr>
          <w:rFonts w:asciiTheme="majorHAnsi" w:eastAsia="Times New Roman" w:hAnsiTheme="majorHAnsi" w:cstheme="majorHAnsi"/>
          <w:u w:val="single"/>
          <w:lang w:eastAsia="sk-SK"/>
        </w:rPr>
      </w:pPr>
      <w:r w:rsidRPr="00A92865">
        <w:rPr>
          <w:rFonts w:asciiTheme="majorHAnsi" w:eastAsia="Times New Roman" w:hAnsiTheme="majorHAnsi" w:cstheme="majorHAnsi"/>
          <w:u w:val="single"/>
          <w:lang w:eastAsia="sk-SK"/>
        </w:rPr>
        <w:t>Aktivita 5 Spoločné výskumné programy</w:t>
      </w:r>
    </w:p>
    <w:p w14:paraId="2755F26F" w14:textId="77777777" w:rsidR="00A92865" w:rsidRPr="00A92865" w:rsidRDefault="00A92865" w:rsidP="00E027F7">
      <w:pPr>
        <w:pStyle w:val="Odsekzoznamu"/>
        <w:numPr>
          <w:ilvl w:val="0"/>
          <w:numId w:val="30"/>
        </w:numPr>
        <w:spacing w:after="0" w:line="259" w:lineRule="auto"/>
        <w:jc w:val="both"/>
        <w:rPr>
          <w:rFonts w:asciiTheme="majorHAnsi" w:hAnsiTheme="majorHAnsi" w:cstheme="majorHAnsi"/>
          <w:sz w:val="24"/>
          <w:szCs w:val="24"/>
        </w:rPr>
      </w:pPr>
      <w:r w:rsidRPr="00A92865">
        <w:rPr>
          <w:rFonts w:asciiTheme="majorHAnsi" w:hAnsiTheme="majorHAnsi" w:cstheme="majorHAnsi"/>
          <w:sz w:val="24"/>
          <w:szCs w:val="24"/>
        </w:rPr>
        <w:t>boli vytvorené spoločné riadiace a koordinačné orgány STU a UK;</w:t>
      </w:r>
    </w:p>
    <w:p w14:paraId="2742559B" w14:textId="77777777" w:rsidR="00A92865" w:rsidRPr="00A92865" w:rsidRDefault="00A92865" w:rsidP="00E027F7">
      <w:pPr>
        <w:pStyle w:val="Odsekzoznamu"/>
        <w:numPr>
          <w:ilvl w:val="0"/>
          <w:numId w:val="30"/>
        </w:numPr>
        <w:spacing w:after="0" w:line="259" w:lineRule="auto"/>
        <w:jc w:val="both"/>
        <w:rPr>
          <w:rFonts w:asciiTheme="majorHAnsi" w:hAnsiTheme="majorHAnsi" w:cstheme="majorHAnsi"/>
          <w:sz w:val="24"/>
          <w:szCs w:val="24"/>
        </w:rPr>
      </w:pPr>
      <w:r w:rsidRPr="00A92865">
        <w:rPr>
          <w:rFonts w:asciiTheme="majorHAnsi" w:hAnsiTheme="majorHAnsi" w:cstheme="majorHAnsi"/>
          <w:sz w:val="24"/>
          <w:szCs w:val="24"/>
        </w:rPr>
        <w:t>prebehlo/prebieha testovanie, nastavovanie nových prístrojov a zariadení, začali  sa skúšobné merania a analýzy s využitím zakúpenej prístrojovej infraštruktúry v laboratóriách zapojených do výskumu;</w:t>
      </w:r>
    </w:p>
    <w:p w14:paraId="36DAE783" w14:textId="160D242B" w:rsidR="00A92865" w:rsidRDefault="00A92865" w:rsidP="00E027F7">
      <w:pPr>
        <w:pStyle w:val="Odsekzoznamu"/>
        <w:numPr>
          <w:ilvl w:val="0"/>
          <w:numId w:val="30"/>
        </w:numPr>
        <w:spacing w:after="0" w:line="259" w:lineRule="auto"/>
        <w:jc w:val="both"/>
        <w:rPr>
          <w:rFonts w:asciiTheme="majorHAnsi" w:hAnsiTheme="majorHAnsi" w:cstheme="majorHAnsi"/>
          <w:sz w:val="24"/>
          <w:szCs w:val="24"/>
        </w:rPr>
      </w:pPr>
      <w:r w:rsidRPr="00A92865">
        <w:rPr>
          <w:rFonts w:asciiTheme="majorHAnsi" w:hAnsiTheme="majorHAnsi" w:cstheme="majorHAnsi"/>
          <w:sz w:val="24"/>
          <w:szCs w:val="24"/>
        </w:rPr>
        <w:t xml:space="preserve">v laboratóriách s obstaranou prístrojovou infraštruktúrou prebiehajú výskumné aktivity ako súčasť štandardného výskumu, štandardný výskum je hradený z vlastných finančných zdrojov </w:t>
      </w:r>
    </w:p>
    <w:p w14:paraId="11313B0C" w14:textId="2F1CADDF" w:rsidR="00A92865" w:rsidRDefault="00A92865" w:rsidP="00A92865">
      <w:pPr>
        <w:spacing w:line="259" w:lineRule="auto"/>
        <w:jc w:val="both"/>
        <w:rPr>
          <w:rFonts w:asciiTheme="majorHAnsi" w:hAnsiTheme="majorHAnsi" w:cstheme="majorHAnsi"/>
        </w:rPr>
      </w:pPr>
    </w:p>
    <w:p w14:paraId="7C5352EA" w14:textId="77777777" w:rsidR="006437BD" w:rsidRDefault="006437BD" w:rsidP="008D7CE0">
      <w:pPr>
        <w:jc w:val="both"/>
        <w:rPr>
          <w:rFonts w:asciiTheme="majorHAnsi" w:eastAsia="Times New Roman" w:hAnsiTheme="majorHAnsi" w:cstheme="majorHAnsi"/>
          <w:lang w:eastAsia="sk-SK"/>
        </w:rPr>
      </w:pPr>
    </w:p>
    <w:p w14:paraId="5857FB79" w14:textId="77777777" w:rsidR="006437BD" w:rsidRDefault="006437BD" w:rsidP="006437BD">
      <w:pPr>
        <w:pStyle w:val="Nadpis1"/>
        <w:numPr>
          <w:ilvl w:val="0"/>
          <w:numId w:val="0"/>
        </w:numPr>
        <w:tabs>
          <w:tab w:val="left" w:pos="709"/>
        </w:tabs>
        <w:rPr>
          <w:rFonts w:ascii="Calibri" w:eastAsia="Calibri" w:hAnsi="Calibri" w:cs="Calibri"/>
          <w:color w:val="000000"/>
          <w:sz w:val="32"/>
          <w:szCs w:val="32"/>
        </w:rPr>
      </w:pPr>
      <w:r>
        <w:rPr>
          <w:rFonts w:ascii="Calibri" w:eastAsia="Calibri" w:hAnsi="Calibri" w:cs="Calibri"/>
          <w:color w:val="000000"/>
          <w:sz w:val="32"/>
          <w:szCs w:val="32"/>
        </w:rPr>
        <w:t>11. Medzinárodné aktivity STU</w:t>
      </w:r>
    </w:p>
    <w:p w14:paraId="42574386" w14:textId="77777777" w:rsidR="006437BD" w:rsidRDefault="006437BD" w:rsidP="006437BD">
      <w:pPr>
        <w:pBdr>
          <w:top w:val="nil"/>
          <w:left w:val="nil"/>
          <w:bottom w:val="nil"/>
          <w:right w:val="nil"/>
          <w:between w:val="nil"/>
        </w:pBdr>
        <w:rPr>
          <w:color w:val="000000"/>
          <w:sz w:val="32"/>
          <w:szCs w:val="32"/>
        </w:rPr>
      </w:pPr>
    </w:p>
    <w:p w14:paraId="28C63B1B" w14:textId="77777777" w:rsidR="006437BD" w:rsidRDefault="006437BD" w:rsidP="006437BD">
      <w:pPr>
        <w:pBdr>
          <w:top w:val="nil"/>
          <w:left w:val="nil"/>
          <w:bottom w:val="nil"/>
          <w:right w:val="nil"/>
          <w:between w:val="nil"/>
        </w:pBdr>
        <w:jc w:val="both"/>
        <w:rPr>
          <w:color w:val="00000A"/>
        </w:rPr>
      </w:pPr>
      <w:r>
        <w:rPr>
          <w:color w:val="000000"/>
        </w:rPr>
        <w:t>STU bola v rok</w:t>
      </w:r>
      <w:r>
        <w:t>u 2022 mimoriadne aktívna v oblastiach podávania medzinárodných projektov, obnovovania zmlúv na</w:t>
      </w:r>
      <w:r>
        <w:rPr>
          <w:color w:val="00000A"/>
        </w:rPr>
        <w:t xml:space="preserve"> nové programové obdobie Erasmus+ 2021-2027, ktoré sa Útvar medzinárodných vzťahov na rektoráte STU rozhodol centralizovať a </w:t>
      </w:r>
      <w:r>
        <w:rPr>
          <w:b/>
          <w:color w:val="00000A"/>
        </w:rPr>
        <w:t xml:space="preserve">otvárať univerzitu medzinárodnému prostrediu, </w:t>
      </w:r>
      <w:r>
        <w:rPr>
          <w:color w:val="00000A"/>
        </w:rPr>
        <w:t xml:space="preserve">ako to má STU zakotvené v Dlhodobej vízii a aj  v stratégii internacionalizácie STU. </w:t>
      </w:r>
    </w:p>
    <w:p w14:paraId="57D642F7" w14:textId="77777777" w:rsidR="006437BD" w:rsidRDefault="006437BD" w:rsidP="006437BD">
      <w:pPr>
        <w:pBdr>
          <w:top w:val="nil"/>
          <w:left w:val="nil"/>
          <w:bottom w:val="nil"/>
          <w:right w:val="nil"/>
          <w:between w:val="nil"/>
        </w:pBdr>
        <w:jc w:val="both"/>
        <w:rPr>
          <w:color w:val="00000A"/>
        </w:rPr>
      </w:pPr>
      <w:r>
        <w:rPr>
          <w:color w:val="00000A"/>
        </w:rPr>
        <w:t>Cieľom je tvoriť medzinárodné prostredie, posilňovať počty medzinárodných študentov, zvyšovať aktivitu zahraničnej mobility v prípade študentov aj zamestnancov STU. V roku 2022 v rámci konzorcia EULiST podala spolu so svojimi partnermi projekt Európske univerzity v rámci schémy Erasmus+. Žiaľ, toto konzorcium nebolo úspešné, avšak v januári 2023 bol projekt opätovne podaný. Tento projekt reflektuje aktuálnu situáciu v spoločnosti , ktorú bude prepájať s vedou. Rovnako v oblasti výskumu a tvorivej činnosti sa STU usiluje o intenzívnejšiu otvorenosť medzinárodnej spolupráci, t. j. posilniť pozíciu univerzity v európskom výskumnom priestore, zlepšiť výskumnú infraštruktúru a prepájať vzdelávanie s výskumom a ďalšou tvorivou činnosťou. STU sa úspešne zapája do grantovej schémy Európskej únie na podporu mobilít študentov a učiteľov s inštitúciami/krajinami mimo EÚ prostredníctvom programu International Credit Mobility (ICM) Erasmus+, kde bola v rámci poslednej výzvy mimoriadne úspešná.</w:t>
      </w:r>
    </w:p>
    <w:p w14:paraId="51D3D47F" w14:textId="77777777" w:rsidR="006437BD" w:rsidRDefault="006437BD" w:rsidP="006437BD">
      <w:pPr>
        <w:pBdr>
          <w:top w:val="nil"/>
          <w:left w:val="nil"/>
          <w:bottom w:val="nil"/>
          <w:right w:val="nil"/>
          <w:between w:val="nil"/>
        </w:pBdr>
        <w:jc w:val="both"/>
        <w:rPr>
          <w:b/>
          <w:color w:val="000000"/>
          <w:sz w:val="20"/>
          <w:szCs w:val="20"/>
        </w:rPr>
      </w:pPr>
    </w:p>
    <w:p w14:paraId="468BF303" w14:textId="77777777" w:rsidR="006437BD" w:rsidRDefault="006437BD" w:rsidP="006437BD">
      <w:pPr>
        <w:pBdr>
          <w:top w:val="nil"/>
          <w:left w:val="nil"/>
          <w:bottom w:val="nil"/>
          <w:right w:val="nil"/>
          <w:between w:val="nil"/>
        </w:pBdr>
        <w:tabs>
          <w:tab w:val="left" w:pos="709"/>
        </w:tabs>
        <w:jc w:val="both"/>
        <w:rPr>
          <w:color w:val="00000A"/>
          <w:sz w:val="28"/>
          <w:szCs w:val="28"/>
        </w:rPr>
      </w:pPr>
      <w:r>
        <w:rPr>
          <w:b/>
          <w:color w:val="000000"/>
          <w:sz w:val="28"/>
          <w:szCs w:val="28"/>
        </w:rPr>
        <w:t>11.1. Medzinárodné dohody a partnerstvá</w:t>
      </w:r>
    </w:p>
    <w:p w14:paraId="01F6A2FE" w14:textId="77777777" w:rsidR="006437BD" w:rsidRDefault="006437BD" w:rsidP="006437BD">
      <w:pPr>
        <w:pBdr>
          <w:top w:val="nil"/>
          <w:left w:val="nil"/>
          <w:bottom w:val="nil"/>
          <w:right w:val="nil"/>
          <w:between w:val="nil"/>
        </w:pBdr>
        <w:spacing w:before="120"/>
        <w:jc w:val="both"/>
        <w:rPr>
          <w:color w:val="00000A"/>
        </w:rPr>
      </w:pPr>
      <w:r>
        <w:rPr>
          <w:color w:val="00000A"/>
        </w:rPr>
        <w:t xml:space="preserve">Medzinárodné dohody a uzatvorené partnerstvá sú veľmi dôležitým nástrojom rozvoja internacionalizácie na univerzite, udržiavania a vytvárania nových vzťahov s partnerskými </w:t>
      </w:r>
      <w:r>
        <w:rPr>
          <w:color w:val="00000A"/>
        </w:rPr>
        <w:lastRenderedPageBreak/>
        <w:t xml:space="preserve">univerzitami zo zahraničia. Tieto partnerstvá sú takzvanou platformou pre rozvoj spolupráce univerzity, fakúlt, ústavov, katedier, či jednotlivých zamestnancov spolupracujúcich inštitúcií. Celkovo mala STU v roku 2021 platných </w:t>
      </w:r>
      <w:r>
        <w:rPr>
          <w:b/>
          <w:color w:val="00000A"/>
        </w:rPr>
        <w:t xml:space="preserve">82 </w:t>
      </w:r>
      <w:r>
        <w:rPr>
          <w:color w:val="00000A"/>
        </w:rPr>
        <w:t>univerzitných rámcových dohôd.</w:t>
      </w:r>
    </w:p>
    <w:p w14:paraId="6DD7A923" w14:textId="77777777" w:rsidR="006437BD" w:rsidRDefault="006437BD" w:rsidP="006437BD">
      <w:pPr>
        <w:pBdr>
          <w:top w:val="nil"/>
          <w:left w:val="nil"/>
          <w:bottom w:val="nil"/>
          <w:right w:val="nil"/>
          <w:between w:val="nil"/>
        </w:pBdr>
        <w:spacing w:before="120"/>
        <w:jc w:val="both"/>
        <w:rPr>
          <w:color w:val="00000A"/>
        </w:rPr>
      </w:pPr>
      <w:r>
        <w:rPr>
          <w:color w:val="00000A"/>
        </w:rPr>
        <w:t xml:space="preserve">Okrem dohôd na univerzitnej úrovni sa uzatvárajú rámcové zmluvy o spolupráci aj na fakultnej úrovni. Dôvodom je predovšetkým skutočnosť, že obsahové zameranie partnerskej univerzity môže byť odlišné od technickej orientácie STU a príbuznosť je len na úrovni jednej zložky partnera. Celkovo mali fakulty STU v roku </w:t>
      </w:r>
      <w:r>
        <w:rPr>
          <w:b/>
          <w:color w:val="00000A"/>
        </w:rPr>
        <w:t>2021</w:t>
      </w:r>
      <w:r>
        <w:rPr>
          <w:color w:val="00000A"/>
        </w:rPr>
        <w:t xml:space="preserve"> uzatvorených </w:t>
      </w:r>
      <w:r>
        <w:rPr>
          <w:b/>
          <w:color w:val="00000A"/>
        </w:rPr>
        <w:t xml:space="preserve">78 </w:t>
      </w:r>
      <w:r>
        <w:rPr>
          <w:color w:val="00000A"/>
        </w:rPr>
        <w:t>dohôd.</w:t>
      </w:r>
    </w:p>
    <w:p w14:paraId="05808CC5" w14:textId="77777777" w:rsidR="006437BD" w:rsidRDefault="006437BD" w:rsidP="006437BD">
      <w:pPr>
        <w:pBdr>
          <w:top w:val="nil"/>
          <w:left w:val="nil"/>
          <w:bottom w:val="nil"/>
          <w:right w:val="nil"/>
          <w:between w:val="nil"/>
        </w:pBdr>
        <w:jc w:val="both"/>
        <w:rPr>
          <w:color w:val="00000A"/>
        </w:rPr>
      </w:pPr>
      <w:bookmarkStart w:id="270" w:name="_heading=h.30j0zll" w:colFirst="0" w:colLast="0"/>
      <w:bookmarkEnd w:id="270"/>
    </w:p>
    <w:p w14:paraId="2FA51F15" w14:textId="77777777" w:rsidR="006437BD" w:rsidRDefault="006437BD" w:rsidP="006437BD">
      <w:pPr>
        <w:pBdr>
          <w:top w:val="nil"/>
          <w:left w:val="nil"/>
          <w:bottom w:val="nil"/>
          <w:right w:val="nil"/>
          <w:between w:val="nil"/>
        </w:pBdr>
        <w:jc w:val="both"/>
        <w:rPr>
          <w:color w:val="00000A"/>
        </w:rPr>
      </w:pPr>
      <w:r>
        <w:rPr>
          <w:color w:val="00000A"/>
        </w:rPr>
        <w:t xml:space="preserve">Pre oblasť mobilít študentov, akademických i neakademických zamestnancov je prínosom základňa </w:t>
      </w:r>
      <w:r>
        <w:rPr>
          <w:b/>
          <w:color w:val="00000A"/>
        </w:rPr>
        <w:t>489</w:t>
      </w:r>
      <w:r>
        <w:rPr>
          <w:color w:val="00000A"/>
        </w:rPr>
        <w:t xml:space="preserve"> platných Erasmus+ dohôd, ktoré sú vo fáze obnovy a zosúlaďovania. Od roku 2015 sú v rámci Erasmus+ prostredníctvom Národnej agentúry programu Erasmus+ pre vzdelávanie a odbornú prípravu SAAIC a novej aktivity KA107 - International Credit Mobility (Medzinárodná kreditová mobilita) podporované aj výmeny študentov a zamestnancov vysokých škôl s kolegami z krajín mimo Európy. V roku 2022 kedy bola výzva opätovne otvorená po ročnej prestávke bola STU mimoriadne úspešná. Projekt bol schválený s 20 partnerskými krajinami a 31 inštitúciami:</w:t>
      </w:r>
    </w:p>
    <w:p w14:paraId="6CA64756" w14:textId="77777777" w:rsidR="006437BD" w:rsidRDefault="006437BD" w:rsidP="00E027F7">
      <w:pPr>
        <w:numPr>
          <w:ilvl w:val="0"/>
          <w:numId w:val="37"/>
        </w:numPr>
        <w:pBdr>
          <w:top w:val="nil"/>
          <w:left w:val="nil"/>
          <w:bottom w:val="nil"/>
          <w:right w:val="nil"/>
          <w:between w:val="nil"/>
        </w:pBdr>
        <w:jc w:val="both"/>
        <w:rPr>
          <w:color w:val="00000A"/>
        </w:rPr>
      </w:pPr>
      <w:r>
        <w:rPr>
          <w:color w:val="00000A"/>
        </w:rPr>
        <w:t>POLIS University, Albánsko (garant prof. Finka),</w:t>
      </w:r>
    </w:p>
    <w:p w14:paraId="420B9EDC" w14:textId="77777777" w:rsidR="006437BD" w:rsidRDefault="006437BD" w:rsidP="00E027F7">
      <w:pPr>
        <w:numPr>
          <w:ilvl w:val="0"/>
          <w:numId w:val="37"/>
        </w:numPr>
        <w:pBdr>
          <w:top w:val="nil"/>
          <w:left w:val="nil"/>
          <w:bottom w:val="nil"/>
          <w:right w:val="nil"/>
          <w:between w:val="nil"/>
        </w:pBdr>
        <w:jc w:val="both"/>
        <w:rPr>
          <w:color w:val="00000A"/>
        </w:rPr>
      </w:pPr>
      <w:r>
        <w:rPr>
          <w:color w:val="00000A"/>
        </w:rPr>
        <w:t>Djillali Liabes University of Sidi Bel-Abbes, Alžírsko (garantka Mgr. Babenko),</w:t>
      </w:r>
    </w:p>
    <w:p w14:paraId="52DA380F" w14:textId="77777777" w:rsidR="006437BD" w:rsidRDefault="006437BD" w:rsidP="00E027F7">
      <w:pPr>
        <w:numPr>
          <w:ilvl w:val="0"/>
          <w:numId w:val="37"/>
        </w:numPr>
        <w:pBdr>
          <w:top w:val="nil"/>
          <w:left w:val="nil"/>
          <w:bottom w:val="nil"/>
          <w:right w:val="nil"/>
          <w:between w:val="nil"/>
        </w:pBdr>
        <w:jc w:val="both"/>
        <w:rPr>
          <w:color w:val="00000A"/>
        </w:rPr>
      </w:pPr>
      <w:r>
        <w:rPr>
          <w:color w:val="00000A"/>
        </w:rPr>
        <w:t>University of El Oued, Alžírsko (garantka Mgr. Babenko a garant Ing. Grančay),</w:t>
      </w:r>
    </w:p>
    <w:p w14:paraId="18A584FF" w14:textId="77777777" w:rsidR="006437BD" w:rsidRDefault="006437BD" w:rsidP="00E027F7">
      <w:pPr>
        <w:numPr>
          <w:ilvl w:val="0"/>
          <w:numId w:val="37"/>
        </w:numPr>
        <w:pBdr>
          <w:top w:val="nil"/>
          <w:left w:val="nil"/>
          <w:bottom w:val="nil"/>
          <w:right w:val="nil"/>
          <w:between w:val="nil"/>
        </w:pBdr>
        <w:jc w:val="both"/>
        <w:rPr>
          <w:color w:val="00000A"/>
        </w:rPr>
      </w:pPr>
      <w:r>
        <w:rPr>
          <w:color w:val="00000A"/>
        </w:rPr>
        <w:t>The University of the West Indies-Cave Hill, Barbados (garantka Ing. Lapšanská a garant Ing. Grančay)</w:t>
      </w:r>
    </w:p>
    <w:p w14:paraId="20EBF38B" w14:textId="77777777" w:rsidR="006437BD" w:rsidRDefault="006437BD" w:rsidP="00E027F7">
      <w:pPr>
        <w:numPr>
          <w:ilvl w:val="0"/>
          <w:numId w:val="37"/>
        </w:numPr>
        <w:jc w:val="both"/>
        <w:rPr>
          <w:color w:val="00000A"/>
        </w:rPr>
      </w:pPr>
      <w:r>
        <w:rPr>
          <w:color w:val="00000A"/>
        </w:rPr>
        <w:t>Univerzitet Sinergija Bijeljina, Bosna a Hercegovina (garant doc. Vranić),</w:t>
      </w:r>
    </w:p>
    <w:p w14:paraId="16EAEB39" w14:textId="77777777" w:rsidR="006437BD" w:rsidRDefault="006437BD" w:rsidP="00E027F7">
      <w:pPr>
        <w:numPr>
          <w:ilvl w:val="0"/>
          <w:numId w:val="37"/>
        </w:numPr>
        <w:jc w:val="both"/>
        <w:rPr>
          <w:color w:val="00000A"/>
        </w:rPr>
      </w:pPr>
      <w:r>
        <w:rPr>
          <w:color w:val="00000A"/>
        </w:rPr>
        <w:t>University of Banja Luka, Bosna a Hercegovina (garantka Ing. Machyňáková a granti Stanko a Wittman),</w:t>
      </w:r>
    </w:p>
    <w:p w14:paraId="4D4EA75F" w14:textId="77777777" w:rsidR="006437BD" w:rsidRDefault="006437BD" w:rsidP="00E027F7">
      <w:pPr>
        <w:numPr>
          <w:ilvl w:val="0"/>
          <w:numId w:val="37"/>
        </w:numPr>
        <w:jc w:val="both"/>
        <w:rPr>
          <w:color w:val="00000A"/>
        </w:rPr>
      </w:pPr>
      <w:r>
        <w:rPr>
          <w:color w:val="00000A"/>
        </w:rPr>
        <w:t>International Burch University, Bosna a Hercegovina (garant Morgenstein),</w:t>
      </w:r>
    </w:p>
    <w:p w14:paraId="5D77D428" w14:textId="77777777" w:rsidR="006437BD" w:rsidRDefault="006437BD" w:rsidP="00E027F7">
      <w:pPr>
        <w:numPr>
          <w:ilvl w:val="0"/>
          <w:numId w:val="37"/>
        </w:numPr>
        <w:jc w:val="both"/>
        <w:rPr>
          <w:color w:val="00000A"/>
        </w:rPr>
      </w:pPr>
      <w:r>
        <w:rPr>
          <w:color w:val="00000A"/>
        </w:rPr>
        <w:t>University of Monte Negro, Čierna Hora (garant Šoltész),</w:t>
      </w:r>
    </w:p>
    <w:p w14:paraId="5912EAE8" w14:textId="77777777" w:rsidR="006437BD" w:rsidRDefault="006437BD" w:rsidP="00E027F7">
      <w:pPr>
        <w:numPr>
          <w:ilvl w:val="0"/>
          <w:numId w:val="37"/>
        </w:numPr>
        <w:jc w:val="both"/>
        <w:rPr>
          <w:color w:val="00000A"/>
        </w:rPr>
      </w:pPr>
      <w:r>
        <w:rPr>
          <w:color w:val="00000A"/>
        </w:rPr>
        <w:t>Pontificia Universidad Católica de Chile, Čile (garant prof. Moravčík),</w:t>
      </w:r>
    </w:p>
    <w:p w14:paraId="45CAA118" w14:textId="77777777" w:rsidR="006437BD" w:rsidRDefault="006437BD" w:rsidP="00E027F7">
      <w:pPr>
        <w:numPr>
          <w:ilvl w:val="0"/>
          <w:numId w:val="37"/>
        </w:numPr>
        <w:jc w:val="both"/>
        <w:rPr>
          <w:color w:val="00000A"/>
        </w:rPr>
      </w:pPr>
      <w:r>
        <w:rPr>
          <w:color w:val="00000A"/>
        </w:rPr>
        <w:t>Shanghai Jiao Tong University, Čína (garantka Ondrejíčková),</w:t>
      </w:r>
    </w:p>
    <w:p w14:paraId="0992F542" w14:textId="77777777" w:rsidR="006437BD" w:rsidRDefault="006437BD" w:rsidP="00E027F7">
      <w:pPr>
        <w:numPr>
          <w:ilvl w:val="0"/>
          <w:numId w:val="37"/>
        </w:numPr>
        <w:jc w:val="both"/>
        <w:rPr>
          <w:color w:val="00000A"/>
        </w:rPr>
      </w:pPr>
      <w:r>
        <w:rPr>
          <w:color w:val="00000A"/>
        </w:rPr>
        <w:t>Cairo University a Nile University, Egypt (garant prof. Finka),</w:t>
      </w:r>
    </w:p>
    <w:p w14:paraId="65D788CA" w14:textId="77777777" w:rsidR="006437BD" w:rsidRDefault="006437BD" w:rsidP="00E027F7">
      <w:pPr>
        <w:numPr>
          <w:ilvl w:val="0"/>
          <w:numId w:val="37"/>
        </w:numPr>
        <w:jc w:val="both"/>
        <w:rPr>
          <w:color w:val="00000A"/>
        </w:rPr>
      </w:pPr>
      <w:r>
        <w:rPr>
          <w:color w:val="00000A"/>
        </w:rPr>
        <w:t>University of Energy and Natural Resources, Ghana (garant prof. Finka),</w:t>
      </w:r>
    </w:p>
    <w:p w14:paraId="18A7A6D8" w14:textId="77777777" w:rsidR="006437BD" w:rsidRDefault="006437BD" w:rsidP="00E027F7">
      <w:pPr>
        <w:numPr>
          <w:ilvl w:val="0"/>
          <w:numId w:val="37"/>
        </w:numPr>
        <w:jc w:val="both"/>
        <w:rPr>
          <w:color w:val="00000A"/>
        </w:rPr>
      </w:pPr>
      <w:r>
        <w:rPr>
          <w:color w:val="00000A"/>
        </w:rPr>
        <w:t>University of Tabriz, Irán (garant prof. Finka),</w:t>
      </w:r>
    </w:p>
    <w:p w14:paraId="72B870CD" w14:textId="77777777" w:rsidR="006437BD" w:rsidRDefault="006437BD" w:rsidP="00E027F7">
      <w:pPr>
        <w:numPr>
          <w:ilvl w:val="0"/>
          <w:numId w:val="37"/>
        </w:numPr>
        <w:jc w:val="both"/>
        <w:rPr>
          <w:color w:val="00000A"/>
        </w:rPr>
      </w:pPr>
      <w:r>
        <w:rPr>
          <w:color w:val="00000A"/>
        </w:rPr>
        <w:t>The University of Jordan, Jordánsko (garant prof. Špánik),</w:t>
      </w:r>
    </w:p>
    <w:p w14:paraId="28CC5B7D" w14:textId="77777777" w:rsidR="006437BD" w:rsidRDefault="006437BD" w:rsidP="00E027F7">
      <w:pPr>
        <w:numPr>
          <w:ilvl w:val="0"/>
          <w:numId w:val="37"/>
        </w:numPr>
        <w:pBdr>
          <w:top w:val="nil"/>
          <w:left w:val="nil"/>
          <w:bottom w:val="nil"/>
          <w:right w:val="nil"/>
          <w:between w:val="nil"/>
        </w:pBdr>
        <w:jc w:val="both"/>
        <w:rPr>
          <w:color w:val="00000A"/>
        </w:rPr>
      </w:pPr>
      <w:r>
        <w:rPr>
          <w:color w:val="00000A"/>
        </w:rPr>
        <w:t>University of Alberta, Kanada (garant prof. Moravčík),</w:t>
      </w:r>
    </w:p>
    <w:p w14:paraId="42DE9D5B" w14:textId="77777777" w:rsidR="006437BD" w:rsidRDefault="006437BD" w:rsidP="00E027F7">
      <w:pPr>
        <w:numPr>
          <w:ilvl w:val="0"/>
          <w:numId w:val="37"/>
        </w:numPr>
        <w:pBdr>
          <w:top w:val="nil"/>
          <w:left w:val="nil"/>
          <w:bottom w:val="nil"/>
          <w:right w:val="nil"/>
          <w:between w:val="nil"/>
        </w:pBdr>
        <w:jc w:val="both"/>
        <w:rPr>
          <w:color w:val="00000A"/>
        </w:rPr>
      </w:pPr>
      <w:r>
        <w:rPr>
          <w:color w:val="00000A"/>
        </w:rPr>
        <w:t>Jomo Kenyatta University Agriculture and Technology, Keňa (garant prof. Špánik),</w:t>
      </w:r>
    </w:p>
    <w:p w14:paraId="714788D1" w14:textId="77777777" w:rsidR="006437BD" w:rsidRDefault="006437BD" w:rsidP="00E027F7">
      <w:pPr>
        <w:numPr>
          <w:ilvl w:val="0"/>
          <w:numId w:val="37"/>
        </w:numPr>
        <w:jc w:val="both"/>
        <w:rPr>
          <w:color w:val="00000A"/>
        </w:rPr>
      </w:pPr>
      <w:r>
        <w:rPr>
          <w:color w:val="00000A"/>
        </w:rPr>
        <w:t>UBT - Higher Education Institution, Kosovo (garant Husár),</w:t>
      </w:r>
    </w:p>
    <w:p w14:paraId="6058B52E" w14:textId="77777777" w:rsidR="006437BD" w:rsidRDefault="006437BD" w:rsidP="00E027F7">
      <w:pPr>
        <w:numPr>
          <w:ilvl w:val="0"/>
          <w:numId w:val="37"/>
        </w:numPr>
        <w:jc w:val="both"/>
        <w:rPr>
          <w:color w:val="00000A"/>
        </w:rPr>
      </w:pPr>
      <w:r>
        <w:rPr>
          <w:color w:val="00000A"/>
        </w:rPr>
        <w:t>University of Mauritius, Maurícius (garantka JUDr. Rybanská)</w:t>
      </w:r>
    </w:p>
    <w:p w14:paraId="462B9E45" w14:textId="77777777" w:rsidR="006437BD" w:rsidRDefault="006437BD" w:rsidP="00E027F7">
      <w:pPr>
        <w:numPr>
          <w:ilvl w:val="0"/>
          <w:numId w:val="37"/>
        </w:numPr>
        <w:jc w:val="both"/>
        <w:rPr>
          <w:color w:val="00000A"/>
        </w:rPr>
      </w:pPr>
      <w:r>
        <w:rPr>
          <w:color w:val="00000A"/>
        </w:rPr>
        <w:t>Federal State Budgetary Educational Institution of Higher Education “Omsk State Agrarian University named after P.A. Stolypin”, Ruská federácia (garanti Mgr. doc. Rabenseifer a Mgr. Protasov)</w:t>
      </w:r>
    </w:p>
    <w:p w14:paraId="1263A0E0" w14:textId="77777777" w:rsidR="006437BD" w:rsidRDefault="006437BD" w:rsidP="00E027F7">
      <w:pPr>
        <w:numPr>
          <w:ilvl w:val="0"/>
          <w:numId w:val="37"/>
        </w:numPr>
        <w:jc w:val="both"/>
        <w:rPr>
          <w:color w:val="00000A"/>
        </w:rPr>
      </w:pPr>
      <w:r>
        <w:rPr>
          <w:color w:val="00000A"/>
        </w:rPr>
        <w:t>Kalashnikov Izhevsk State Technical University, Ruská federácia (garant prof. Moravčík),</w:t>
      </w:r>
    </w:p>
    <w:p w14:paraId="131F62C1" w14:textId="77777777" w:rsidR="006437BD" w:rsidRDefault="006437BD" w:rsidP="00E027F7">
      <w:pPr>
        <w:numPr>
          <w:ilvl w:val="0"/>
          <w:numId w:val="37"/>
        </w:numPr>
        <w:jc w:val="both"/>
        <w:rPr>
          <w:color w:val="00000A"/>
        </w:rPr>
      </w:pPr>
      <w:r>
        <w:rPr>
          <w:color w:val="00000A"/>
        </w:rPr>
        <w:t>Lomonosov Moscow State University, Ruská federácia (garant prof. Špánik),</w:t>
      </w:r>
    </w:p>
    <w:p w14:paraId="361C547D" w14:textId="77777777" w:rsidR="006437BD" w:rsidRDefault="006437BD" w:rsidP="00E027F7">
      <w:pPr>
        <w:numPr>
          <w:ilvl w:val="0"/>
          <w:numId w:val="37"/>
        </w:numPr>
        <w:jc w:val="both"/>
        <w:rPr>
          <w:color w:val="00000A"/>
        </w:rPr>
      </w:pPr>
      <w:r>
        <w:rPr>
          <w:color w:val="00000A"/>
        </w:rPr>
        <w:t>University of Wisconsin-Milwaukee, Spojené štáty americké (garantka Ing. Lapšanská a garant Ing. Grančay),</w:t>
      </w:r>
    </w:p>
    <w:p w14:paraId="77E21919" w14:textId="77777777" w:rsidR="006437BD" w:rsidRDefault="006437BD" w:rsidP="00E027F7">
      <w:pPr>
        <w:numPr>
          <w:ilvl w:val="0"/>
          <w:numId w:val="37"/>
        </w:numPr>
        <w:jc w:val="both"/>
        <w:rPr>
          <w:color w:val="00000A"/>
        </w:rPr>
      </w:pPr>
      <w:r>
        <w:rPr>
          <w:color w:val="00000A"/>
        </w:rPr>
        <w:t>ICBT Colombo, Srí Lanka (garanti prof. Finka a Ing. Jamečný),</w:t>
      </w:r>
    </w:p>
    <w:p w14:paraId="37E9BE2E" w14:textId="77777777" w:rsidR="006437BD" w:rsidRDefault="006437BD" w:rsidP="00E027F7">
      <w:pPr>
        <w:numPr>
          <w:ilvl w:val="0"/>
          <w:numId w:val="37"/>
        </w:numPr>
        <w:jc w:val="both"/>
        <w:rPr>
          <w:color w:val="00000A"/>
        </w:rPr>
      </w:pPr>
      <w:r>
        <w:rPr>
          <w:color w:val="00000A"/>
        </w:rPr>
        <w:t>Makerere University, Uganda (garant prof. Špánik),</w:t>
      </w:r>
    </w:p>
    <w:p w14:paraId="1D31CC58" w14:textId="77777777" w:rsidR="006437BD" w:rsidRDefault="006437BD" w:rsidP="00E027F7">
      <w:pPr>
        <w:numPr>
          <w:ilvl w:val="0"/>
          <w:numId w:val="37"/>
        </w:numPr>
        <w:jc w:val="both"/>
        <w:rPr>
          <w:color w:val="00000A"/>
        </w:rPr>
      </w:pPr>
      <w:r>
        <w:rPr>
          <w:color w:val="00000A"/>
        </w:rPr>
        <w:lastRenderedPageBreak/>
        <w:t>The National Technical University Kharkiv Polytechnical Institute, Ukrajina (garanti prof. Bošanský a Mgr. Protasov),</w:t>
      </w:r>
    </w:p>
    <w:p w14:paraId="1A791972" w14:textId="77777777" w:rsidR="006437BD" w:rsidRDefault="006437BD" w:rsidP="00E027F7">
      <w:pPr>
        <w:numPr>
          <w:ilvl w:val="0"/>
          <w:numId w:val="37"/>
        </w:numPr>
        <w:pBdr>
          <w:top w:val="nil"/>
          <w:left w:val="nil"/>
          <w:bottom w:val="nil"/>
          <w:right w:val="nil"/>
          <w:between w:val="nil"/>
        </w:pBdr>
        <w:jc w:val="both"/>
        <w:rPr>
          <w:color w:val="00000A"/>
        </w:rPr>
      </w:pPr>
      <w:r>
        <w:rPr>
          <w:color w:val="00000A"/>
        </w:rPr>
        <w:t>State Higher Educational Institution Prydniprovska State Academy of Civil Engineering and Architecture, Ukrajina (garantka Mgr. Babenko),</w:t>
      </w:r>
    </w:p>
    <w:p w14:paraId="32D1FD36" w14:textId="77777777" w:rsidR="006437BD" w:rsidRDefault="006437BD" w:rsidP="00E027F7">
      <w:pPr>
        <w:numPr>
          <w:ilvl w:val="0"/>
          <w:numId w:val="37"/>
        </w:numPr>
        <w:pBdr>
          <w:top w:val="nil"/>
          <w:left w:val="nil"/>
          <w:bottom w:val="nil"/>
          <w:right w:val="nil"/>
          <w:between w:val="nil"/>
        </w:pBdr>
        <w:jc w:val="both"/>
        <w:rPr>
          <w:color w:val="00000A"/>
        </w:rPr>
      </w:pPr>
      <w:r>
        <w:rPr>
          <w:color w:val="00000A"/>
        </w:rPr>
        <w:t>Sumy State University, Ukrajina (garant Ing. Sahul),</w:t>
      </w:r>
    </w:p>
    <w:p w14:paraId="3CEBCF71" w14:textId="77777777" w:rsidR="006437BD" w:rsidRDefault="006437BD" w:rsidP="00E027F7">
      <w:pPr>
        <w:numPr>
          <w:ilvl w:val="0"/>
          <w:numId w:val="37"/>
        </w:numPr>
        <w:pBdr>
          <w:top w:val="nil"/>
          <w:left w:val="nil"/>
          <w:bottom w:val="nil"/>
          <w:right w:val="nil"/>
          <w:between w:val="nil"/>
        </w:pBdr>
        <w:jc w:val="both"/>
        <w:rPr>
          <w:color w:val="00000A"/>
        </w:rPr>
      </w:pPr>
      <w:r>
        <w:rPr>
          <w:color w:val="00000A"/>
        </w:rPr>
        <w:t>Lviv Polytechnic National University, Ukrajina (garant Mgr. Protasov),</w:t>
      </w:r>
    </w:p>
    <w:p w14:paraId="3D81FF30" w14:textId="77777777" w:rsidR="006437BD" w:rsidRDefault="006437BD" w:rsidP="00E027F7">
      <w:pPr>
        <w:numPr>
          <w:ilvl w:val="0"/>
          <w:numId w:val="37"/>
        </w:numPr>
        <w:pBdr>
          <w:top w:val="nil"/>
          <w:left w:val="nil"/>
          <w:bottom w:val="nil"/>
          <w:right w:val="nil"/>
          <w:between w:val="nil"/>
        </w:pBdr>
        <w:jc w:val="both"/>
        <w:rPr>
          <w:color w:val="00000A"/>
        </w:rPr>
      </w:pPr>
      <w:r>
        <w:rPr>
          <w:color w:val="00000A"/>
        </w:rPr>
        <w:t>O. M. Beketov National University of Urban Economy in Kharkiv, Ukrajina (garant doc. Schlosser),</w:t>
      </w:r>
    </w:p>
    <w:p w14:paraId="3F27A5CF" w14:textId="77777777" w:rsidR="006437BD" w:rsidRDefault="006437BD" w:rsidP="00E027F7">
      <w:pPr>
        <w:numPr>
          <w:ilvl w:val="0"/>
          <w:numId w:val="37"/>
        </w:numPr>
        <w:pBdr>
          <w:top w:val="nil"/>
          <w:left w:val="nil"/>
          <w:bottom w:val="nil"/>
          <w:right w:val="nil"/>
          <w:between w:val="nil"/>
        </w:pBdr>
        <w:jc w:val="both"/>
        <w:rPr>
          <w:color w:val="00000A"/>
        </w:rPr>
      </w:pPr>
      <w:r>
        <w:rPr>
          <w:color w:val="00000A"/>
        </w:rPr>
        <w:t>Odessa State Academy of Civil Engineering and Architecture, Ukrajina (garant doc. Borzovič).</w:t>
      </w:r>
    </w:p>
    <w:p w14:paraId="6F10DA13" w14:textId="77777777" w:rsidR="006437BD" w:rsidRDefault="006437BD" w:rsidP="006437BD">
      <w:pPr>
        <w:pBdr>
          <w:top w:val="nil"/>
          <w:left w:val="nil"/>
          <w:bottom w:val="nil"/>
          <w:right w:val="nil"/>
          <w:between w:val="nil"/>
        </w:pBdr>
        <w:jc w:val="both"/>
        <w:rPr>
          <w:color w:val="00000A"/>
        </w:rPr>
      </w:pPr>
    </w:p>
    <w:p w14:paraId="748B0FF9" w14:textId="77777777" w:rsidR="006437BD" w:rsidRDefault="006437BD" w:rsidP="006437BD">
      <w:pPr>
        <w:ind w:left="720"/>
        <w:jc w:val="both"/>
        <w:rPr>
          <w:color w:val="00000A"/>
        </w:rPr>
      </w:pPr>
    </w:p>
    <w:p w14:paraId="15F0B414" w14:textId="5707E9E6" w:rsidR="006437BD" w:rsidRDefault="006437BD" w:rsidP="006437BD">
      <w:pPr>
        <w:pBdr>
          <w:top w:val="nil"/>
          <w:left w:val="nil"/>
          <w:bottom w:val="nil"/>
          <w:right w:val="nil"/>
          <w:between w:val="nil"/>
        </w:pBdr>
        <w:jc w:val="both"/>
        <w:rPr>
          <w:color w:val="00000A"/>
        </w:rPr>
      </w:pPr>
      <w:r>
        <w:rPr>
          <w:color w:val="00000A"/>
        </w:rPr>
        <w:t>Kompletnú zmluvnú základňu univerzitných, fakultných a Erasmus+ dohôd STU predstavuje spolupráca s 503 inštitúciami v 65 štátoch sveta tvorená celkovým počtom 719 dohôd (Tab. č. 65). V rámci projektu Erasmus+ ICM bolo na úrovni rektorátu platných 18 dohôd</w:t>
      </w:r>
      <w:r w:rsidR="00573738">
        <w:rPr>
          <w:color w:val="00000A"/>
        </w:rPr>
        <w:t>.</w:t>
      </w:r>
    </w:p>
    <w:p w14:paraId="4E39170A" w14:textId="2AF438CF" w:rsidR="006437BD" w:rsidRPr="00C46CF5" w:rsidRDefault="006437BD" w:rsidP="006437BD">
      <w:pPr>
        <w:pBdr>
          <w:top w:val="nil"/>
          <w:left w:val="nil"/>
          <w:bottom w:val="nil"/>
          <w:right w:val="nil"/>
          <w:between w:val="nil"/>
        </w:pBdr>
        <w:spacing w:before="120"/>
        <w:jc w:val="both"/>
        <w:rPr>
          <w:color w:val="00000A"/>
        </w:rPr>
      </w:pPr>
      <w:r>
        <w:rPr>
          <w:color w:val="00000A"/>
        </w:rPr>
        <w:t>Tab. č. 65</w:t>
      </w:r>
      <w:r w:rsidRPr="00C46CF5">
        <w:rPr>
          <w:color w:val="00000A"/>
        </w:rPr>
        <w:t>. Prehľad dohôd STU so zahraničnými univerzitami k roku</w:t>
      </w:r>
      <w:r w:rsidRPr="00C46CF5">
        <w:rPr>
          <w:color w:val="FF0000"/>
        </w:rPr>
        <w:t xml:space="preserve"> </w:t>
      </w:r>
      <w:r w:rsidRPr="00C46CF5">
        <w:t>2022</w:t>
      </w:r>
    </w:p>
    <w:tbl>
      <w:tblPr>
        <w:tblW w:w="6610" w:type="dxa"/>
        <w:tblLayout w:type="fixed"/>
        <w:tblLook w:val="0000" w:firstRow="0" w:lastRow="0" w:firstColumn="0" w:lastColumn="0" w:noHBand="0" w:noVBand="0"/>
      </w:tblPr>
      <w:tblGrid>
        <w:gridCol w:w="975"/>
        <w:gridCol w:w="1305"/>
        <w:gridCol w:w="960"/>
        <w:gridCol w:w="960"/>
        <w:gridCol w:w="1400"/>
        <w:gridCol w:w="1010"/>
      </w:tblGrid>
      <w:tr w:rsidR="006437BD" w14:paraId="62833834" w14:textId="77777777" w:rsidTr="006437BD">
        <w:trPr>
          <w:trHeight w:val="139"/>
        </w:trPr>
        <w:tc>
          <w:tcPr>
            <w:tcW w:w="975" w:type="dxa"/>
            <w:tcBorders>
              <w:top w:val="single" w:sz="8" w:space="0" w:color="000000"/>
              <w:left w:val="single" w:sz="8" w:space="0" w:color="000000"/>
              <w:bottom w:val="single" w:sz="8" w:space="0" w:color="000000"/>
            </w:tcBorders>
            <w:shd w:val="clear" w:color="auto" w:fill="auto"/>
            <w:tcMar>
              <w:top w:w="0" w:type="dxa"/>
              <w:left w:w="70" w:type="dxa"/>
              <w:bottom w:w="0" w:type="dxa"/>
              <w:right w:w="70" w:type="dxa"/>
            </w:tcMar>
            <w:vAlign w:val="bottom"/>
          </w:tcPr>
          <w:p w14:paraId="7F35C82D" w14:textId="77777777" w:rsidR="006437BD" w:rsidRDefault="006437BD" w:rsidP="006437BD">
            <w:pPr>
              <w:pBdr>
                <w:top w:val="nil"/>
                <w:left w:val="nil"/>
                <w:bottom w:val="nil"/>
                <w:right w:val="nil"/>
                <w:between w:val="nil"/>
              </w:pBdr>
              <w:jc w:val="both"/>
              <w:rPr>
                <w:sz w:val="20"/>
                <w:szCs w:val="20"/>
              </w:rPr>
            </w:pPr>
            <w:r>
              <w:rPr>
                <w:sz w:val="20"/>
                <w:szCs w:val="20"/>
              </w:rPr>
              <w:t>STU</w:t>
            </w:r>
          </w:p>
        </w:tc>
        <w:tc>
          <w:tcPr>
            <w:tcW w:w="1305" w:type="dxa"/>
            <w:tcBorders>
              <w:top w:val="single" w:sz="8" w:space="0" w:color="000000"/>
              <w:left w:val="single" w:sz="8" w:space="0" w:color="000000"/>
              <w:bottom w:val="single" w:sz="8" w:space="0" w:color="000000"/>
            </w:tcBorders>
            <w:shd w:val="clear" w:color="auto" w:fill="auto"/>
            <w:tcMar>
              <w:top w:w="0" w:type="dxa"/>
              <w:left w:w="70" w:type="dxa"/>
              <w:bottom w:w="0" w:type="dxa"/>
              <w:right w:w="70" w:type="dxa"/>
            </w:tcMar>
            <w:vAlign w:val="bottom"/>
          </w:tcPr>
          <w:p w14:paraId="4D4D559E" w14:textId="77777777" w:rsidR="006437BD" w:rsidRDefault="006437BD" w:rsidP="006437BD">
            <w:pPr>
              <w:pBdr>
                <w:top w:val="nil"/>
                <w:left w:val="nil"/>
                <w:bottom w:val="nil"/>
                <w:right w:val="nil"/>
                <w:between w:val="nil"/>
              </w:pBdr>
              <w:jc w:val="both"/>
              <w:rPr>
                <w:sz w:val="20"/>
                <w:szCs w:val="20"/>
              </w:rPr>
            </w:pPr>
            <w:r>
              <w:rPr>
                <w:sz w:val="20"/>
                <w:szCs w:val="20"/>
              </w:rPr>
              <w:t>Univerzitné</w:t>
            </w:r>
          </w:p>
        </w:tc>
        <w:tc>
          <w:tcPr>
            <w:tcW w:w="960" w:type="dxa"/>
            <w:tcBorders>
              <w:top w:val="single" w:sz="8" w:space="0" w:color="000000"/>
              <w:left w:val="single" w:sz="4" w:space="0" w:color="000000"/>
              <w:bottom w:val="single" w:sz="8" w:space="0" w:color="000000"/>
            </w:tcBorders>
            <w:shd w:val="clear" w:color="auto" w:fill="auto"/>
            <w:tcMar>
              <w:top w:w="0" w:type="dxa"/>
              <w:left w:w="70" w:type="dxa"/>
              <w:bottom w:w="0" w:type="dxa"/>
              <w:right w:w="70" w:type="dxa"/>
            </w:tcMar>
            <w:vAlign w:val="bottom"/>
          </w:tcPr>
          <w:p w14:paraId="2ADA5E33" w14:textId="77777777" w:rsidR="006437BD" w:rsidRDefault="006437BD" w:rsidP="006437BD">
            <w:pPr>
              <w:pBdr>
                <w:top w:val="nil"/>
                <w:left w:val="nil"/>
                <w:bottom w:val="nil"/>
                <w:right w:val="nil"/>
                <w:between w:val="nil"/>
              </w:pBdr>
              <w:jc w:val="both"/>
              <w:rPr>
                <w:sz w:val="20"/>
                <w:szCs w:val="20"/>
              </w:rPr>
            </w:pPr>
            <w:r>
              <w:rPr>
                <w:sz w:val="20"/>
                <w:szCs w:val="20"/>
              </w:rPr>
              <w:t>Fakultné</w:t>
            </w:r>
          </w:p>
        </w:tc>
        <w:tc>
          <w:tcPr>
            <w:tcW w:w="960" w:type="dxa"/>
            <w:tcBorders>
              <w:top w:val="single" w:sz="8" w:space="0" w:color="000000"/>
              <w:left w:val="single" w:sz="4" w:space="0" w:color="000000"/>
              <w:bottom w:val="single" w:sz="8" w:space="0" w:color="000000"/>
            </w:tcBorders>
            <w:shd w:val="clear" w:color="auto" w:fill="auto"/>
            <w:tcMar>
              <w:top w:w="0" w:type="dxa"/>
              <w:left w:w="70" w:type="dxa"/>
              <w:bottom w:w="0" w:type="dxa"/>
              <w:right w:w="70" w:type="dxa"/>
            </w:tcMar>
            <w:vAlign w:val="bottom"/>
          </w:tcPr>
          <w:p w14:paraId="165C8F2A" w14:textId="77777777" w:rsidR="006437BD" w:rsidRDefault="006437BD" w:rsidP="006437BD">
            <w:pPr>
              <w:pBdr>
                <w:top w:val="nil"/>
                <w:left w:val="nil"/>
                <w:bottom w:val="nil"/>
                <w:right w:val="nil"/>
                <w:between w:val="nil"/>
              </w:pBdr>
              <w:jc w:val="both"/>
              <w:rPr>
                <w:sz w:val="20"/>
                <w:szCs w:val="20"/>
              </w:rPr>
            </w:pPr>
            <w:r>
              <w:rPr>
                <w:sz w:val="20"/>
                <w:szCs w:val="20"/>
              </w:rPr>
              <w:t>Erasmus+</w:t>
            </w:r>
          </w:p>
        </w:tc>
        <w:tc>
          <w:tcPr>
            <w:tcW w:w="1400" w:type="dxa"/>
            <w:tcBorders>
              <w:top w:val="single" w:sz="8" w:space="0" w:color="000000"/>
              <w:left w:val="single" w:sz="4" w:space="0" w:color="000000"/>
              <w:bottom w:val="single" w:sz="8" w:space="0" w:color="000000"/>
            </w:tcBorders>
            <w:shd w:val="clear" w:color="auto" w:fill="auto"/>
            <w:tcMar>
              <w:top w:w="0" w:type="dxa"/>
              <w:left w:w="70" w:type="dxa"/>
              <w:bottom w:w="0" w:type="dxa"/>
              <w:right w:w="70" w:type="dxa"/>
            </w:tcMar>
            <w:vAlign w:val="bottom"/>
          </w:tcPr>
          <w:p w14:paraId="77ED006B" w14:textId="77777777" w:rsidR="006437BD" w:rsidRDefault="006437BD" w:rsidP="006437BD">
            <w:pPr>
              <w:pBdr>
                <w:top w:val="nil"/>
                <w:left w:val="nil"/>
                <w:bottom w:val="nil"/>
                <w:right w:val="nil"/>
                <w:between w:val="nil"/>
              </w:pBdr>
              <w:jc w:val="both"/>
              <w:rPr>
                <w:sz w:val="20"/>
                <w:szCs w:val="20"/>
              </w:rPr>
            </w:pPr>
            <w:r>
              <w:rPr>
                <w:sz w:val="20"/>
                <w:szCs w:val="20"/>
              </w:rPr>
              <w:t>Erasmus+ ICM</w:t>
            </w:r>
          </w:p>
        </w:tc>
        <w:tc>
          <w:tcPr>
            <w:tcW w:w="1010" w:type="dxa"/>
            <w:tcBorders>
              <w:top w:val="single" w:sz="8" w:space="0" w:color="000000"/>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14:paraId="5A35F19F" w14:textId="77777777" w:rsidR="006437BD" w:rsidRDefault="006437BD" w:rsidP="006437BD">
            <w:pPr>
              <w:pBdr>
                <w:top w:val="nil"/>
                <w:left w:val="nil"/>
                <w:bottom w:val="nil"/>
                <w:right w:val="nil"/>
                <w:between w:val="nil"/>
              </w:pBdr>
              <w:jc w:val="both"/>
              <w:rPr>
                <w:sz w:val="20"/>
                <w:szCs w:val="20"/>
              </w:rPr>
            </w:pPr>
            <w:r>
              <w:rPr>
                <w:sz w:val="20"/>
                <w:szCs w:val="20"/>
              </w:rPr>
              <w:t>Spolu</w:t>
            </w:r>
          </w:p>
        </w:tc>
      </w:tr>
      <w:tr w:rsidR="006437BD" w14:paraId="4144E0EF" w14:textId="77777777" w:rsidTr="006437BD">
        <w:trPr>
          <w:trHeight w:val="243"/>
        </w:trPr>
        <w:tc>
          <w:tcPr>
            <w:tcW w:w="97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5F0FFBC1" w14:textId="77777777" w:rsidR="006437BD" w:rsidRDefault="006437BD" w:rsidP="006437BD">
            <w:pPr>
              <w:pBdr>
                <w:top w:val="nil"/>
                <w:left w:val="nil"/>
                <w:bottom w:val="nil"/>
                <w:right w:val="nil"/>
                <w:between w:val="nil"/>
              </w:pBdr>
              <w:jc w:val="both"/>
              <w:rPr>
                <w:sz w:val="20"/>
                <w:szCs w:val="20"/>
              </w:rPr>
            </w:pPr>
            <w:r>
              <w:rPr>
                <w:sz w:val="20"/>
                <w:szCs w:val="20"/>
              </w:rPr>
              <w:t>R-STU</w:t>
            </w:r>
          </w:p>
        </w:tc>
        <w:tc>
          <w:tcPr>
            <w:tcW w:w="130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033A054A" w14:textId="77777777" w:rsidR="006437BD" w:rsidRDefault="006437BD" w:rsidP="006437BD">
            <w:pPr>
              <w:pBdr>
                <w:top w:val="nil"/>
                <w:left w:val="nil"/>
                <w:bottom w:val="nil"/>
                <w:right w:val="nil"/>
                <w:between w:val="nil"/>
              </w:pBdr>
              <w:jc w:val="both"/>
              <w:rPr>
                <w:sz w:val="20"/>
                <w:szCs w:val="20"/>
              </w:rPr>
            </w:pPr>
            <w:r>
              <w:rPr>
                <w:sz w:val="20"/>
                <w:szCs w:val="20"/>
              </w:rPr>
              <w:t>4</w:t>
            </w:r>
          </w:p>
        </w:tc>
        <w:tc>
          <w:tcPr>
            <w:tcW w:w="96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3E9AA1E" w14:textId="77777777" w:rsidR="006437BD" w:rsidRDefault="006437BD" w:rsidP="006437BD">
            <w:pPr>
              <w:pBdr>
                <w:top w:val="nil"/>
                <w:left w:val="nil"/>
                <w:bottom w:val="nil"/>
                <w:right w:val="nil"/>
                <w:between w:val="nil"/>
              </w:pBdr>
              <w:jc w:val="both"/>
              <w:rPr>
                <w:sz w:val="20"/>
                <w:szCs w:val="20"/>
              </w:rPr>
            </w:pPr>
            <w:r>
              <w:rPr>
                <w:sz w:val="20"/>
                <w:szCs w:val="20"/>
              </w:rPr>
              <w:t> </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630309F" w14:textId="77777777" w:rsidR="006437BD" w:rsidRDefault="006437BD" w:rsidP="006437BD">
            <w:pPr>
              <w:pBdr>
                <w:top w:val="nil"/>
                <w:left w:val="nil"/>
                <w:bottom w:val="nil"/>
                <w:right w:val="nil"/>
                <w:between w:val="nil"/>
              </w:pBdr>
              <w:jc w:val="both"/>
              <w:rPr>
                <w:sz w:val="20"/>
                <w:szCs w:val="20"/>
              </w:rPr>
            </w:pPr>
            <w:r>
              <w:rPr>
                <w:sz w:val="20"/>
                <w:szCs w:val="20"/>
              </w:rPr>
              <w:t> 312</w:t>
            </w:r>
          </w:p>
        </w:tc>
        <w:tc>
          <w:tcPr>
            <w:tcW w:w="1400" w:type="dxa"/>
            <w:tcBorders>
              <w:top w:val="single" w:sz="8"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51C60792" w14:textId="77777777" w:rsidR="006437BD" w:rsidRDefault="006437BD" w:rsidP="006437BD">
            <w:pPr>
              <w:pBdr>
                <w:top w:val="nil"/>
                <w:left w:val="nil"/>
                <w:bottom w:val="nil"/>
                <w:right w:val="nil"/>
                <w:between w:val="nil"/>
              </w:pBdr>
              <w:jc w:val="both"/>
              <w:rPr>
                <w:sz w:val="20"/>
                <w:szCs w:val="20"/>
              </w:rPr>
            </w:pPr>
          </w:p>
        </w:tc>
        <w:tc>
          <w:tcPr>
            <w:tcW w:w="1010" w:type="dxa"/>
            <w:tcBorders>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14:paraId="351D54A4" w14:textId="77777777" w:rsidR="006437BD" w:rsidRDefault="006437BD" w:rsidP="006437BD">
            <w:pPr>
              <w:pBdr>
                <w:top w:val="nil"/>
                <w:left w:val="nil"/>
                <w:bottom w:val="nil"/>
                <w:right w:val="nil"/>
                <w:between w:val="nil"/>
              </w:pBdr>
              <w:jc w:val="both"/>
              <w:rPr>
                <w:sz w:val="20"/>
                <w:szCs w:val="20"/>
              </w:rPr>
            </w:pPr>
            <w:r>
              <w:rPr>
                <w:sz w:val="20"/>
                <w:szCs w:val="20"/>
              </w:rPr>
              <w:t>316</w:t>
            </w:r>
          </w:p>
        </w:tc>
      </w:tr>
      <w:tr w:rsidR="006437BD" w14:paraId="521F652D" w14:textId="77777777" w:rsidTr="006437BD">
        <w:trPr>
          <w:trHeight w:val="261"/>
        </w:trPr>
        <w:tc>
          <w:tcPr>
            <w:tcW w:w="97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0A760400" w14:textId="77777777" w:rsidR="006437BD" w:rsidRDefault="006437BD" w:rsidP="006437BD">
            <w:pPr>
              <w:pBdr>
                <w:top w:val="nil"/>
                <w:left w:val="nil"/>
                <w:bottom w:val="nil"/>
                <w:right w:val="nil"/>
                <w:between w:val="nil"/>
              </w:pBdr>
              <w:jc w:val="both"/>
              <w:rPr>
                <w:sz w:val="20"/>
                <w:szCs w:val="20"/>
              </w:rPr>
            </w:pPr>
            <w:r>
              <w:rPr>
                <w:sz w:val="20"/>
                <w:szCs w:val="20"/>
              </w:rPr>
              <w:t>SvF</w:t>
            </w:r>
          </w:p>
        </w:tc>
        <w:tc>
          <w:tcPr>
            <w:tcW w:w="130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6C8418F0" w14:textId="77777777" w:rsidR="006437BD" w:rsidRDefault="006437BD" w:rsidP="006437BD">
            <w:pPr>
              <w:pBdr>
                <w:top w:val="nil"/>
                <w:left w:val="nil"/>
                <w:bottom w:val="nil"/>
                <w:right w:val="nil"/>
                <w:between w:val="nil"/>
              </w:pBdr>
              <w:jc w:val="both"/>
              <w:rPr>
                <w:sz w:val="20"/>
                <w:szCs w:val="20"/>
              </w:rPr>
            </w:pPr>
            <w:r>
              <w:rPr>
                <w:sz w:val="20"/>
                <w:szCs w:val="20"/>
              </w:rPr>
              <w:t> 1</w:t>
            </w:r>
          </w:p>
        </w:tc>
        <w:tc>
          <w:tcPr>
            <w:tcW w:w="96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2BD9E15" w14:textId="77777777" w:rsidR="006437BD" w:rsidRDefault="006437BD" w:rsidP="006437BD">
            <w:pPr>
              <w:pBdr>
                <w:top w:val="nil"/>
                <w:left w:val="nil"/>
                <w:bottom w:val="nil"/>
                <w:right w:val="nil"/>
                <w:between w:val="nil"/>
              </w:pBdr>
              <w:jc w:val="both"/>
              <w:rPr>
                <w:sz w:val="20"/>
                <w:szCs w:val="20"/>
              </w:rPr>
            </w:pPr>
            <w:r>
              <w:rPr>
                <w:sz w:val="20"/>
                <w:szCs w:val="20"/>
              </w:rPr>
              <w:t> 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F665EDF" w14:textId="77777777" w:rsidR="006437BD" w:rsidRDefault="006437BD" w:rsidP="006437BD">
            <w:pPr>
              <w:pBdr>
                <w:top w:val="nil"/>
                <w:left w:val="nil"/>
                <w:bottom w:val="nil"/>
                <w:right w:val="nil"/>
                <w:between w:val="nil"/>
              </w:pBdr>
              <w:jc w:val="both"/>
              <w:rPr>
                <w:sz w:val="20"/>
                <w:szCs w:val="20"/>
              </w:rPr>
            </w:pPr>
          </w:p>
        </w:tc>
        <w:tc>
          <w:tcPr>
            <w:tcW w:w="1400"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755289A5" w14:textId="77777777" w:rsidR="006437BD" w:rsidRDefault="006437BD" w:rsidP="006437BD">
            <w:pPr>
              <w:pBdr>
                <w:top w:val="nil"/>
                <w:left w:val="nil"/>
                <w:bottom w:val="nil"/>
                <w:right w:val="nil"/>
                <w:between w:val="nil"/>
              </w:pBdr>
              <w:jc w:val="both"/>
              <w:rPr>
                <w:sz w:val="20"/>
                <w:szCs w:val="20"/>
              </w:rPr>
            </w:pPr>
            <w:r>
              <w:rPr>
                <w:sz w:val="20"/>
                <w:szCs w:val="20"/>
              </w:rPr>
              <w:t>2</w:t>
            </w:r>
          </w:p>
        </w:tc>
        <w:tc>
          <w:tcPr>
            <w:tcW w:w="1010" w:type="dxa"/>
            <w:tcBorders>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14:paraId="7A7769B6" w14:textId="77777777" w:rsidR="006437BD" w:rsidRDefault="006437BD" w:rsidP="006437BD">
            <w:pPr>
              <w:pBdr>
                <w:top w:val="nil"/>
                <w:left w:val="nil"/>
                <w:bottom w:val="nil"/>
                <w:right w:val="nil"/>
                <w:between w:val="nil"/>
              </w:pBdr>
              <w:jc w:val="both"/>
              <w:rPr>
                <w:sz w:val="20"/>
                <w:szCs w:val="20"/>
              </w:rPr>
            </w:pPr>
            <w:r>
              <w:rPr>
                <w:sz w:val="20"/>
                <w:szCs w:val="20"/>
              </w:rPr>
              <w:t>6</w:t>
            </w:r>
          </w:p>
        </w:tc>
      </w:tr>
      <w:tr w:rsidR="006437BD" w14:paraId="03B48578" w14:textId="77777777" w:rsidTr="006437BD">
        <w:trPr>
          <w:trHeight w:val="123"/>
        </w:trPr>
        <w:tc>
          <w:tcPr>
            <w:tcW w:w="97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19794525" w14:textId="77777777" w:rsidR="006437BD" w:rsidRDefault="006437BD" w:rsidP="006437BD">
            <w:pPr>
              <w:pBdr>
                <w:top w:val="nil"/>
                <w:left w:val="nil"/>
                <w:bottom w:val="nil"/>
                <w:right w:val="nil"/>
                <w:between w:val="nil"/>
              </w:pBdr>
              <w:jc w:val="both"/>
              <w:rPr>
                <w:sz w:val="20"/>
                <w:szCs w:val="20"/>
              </w:rPr>
            </w:pPr>
            <w:r>
              <w:rPr>
                <w:sz w:val="20"/>
                <w:szCs w:val="20"/>
              </w:rPr>
              <w:t>SjF</w:t>
            </w:r>
          </w:p>
        </w:tc>
        <w:tc>
          <w:tcPr>
            <w:tcW w:w="130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5C5E4F17" w14:textId="77777777" w:rsidR="006437BD" w:rsidRDefault="006437BD" w:rsidP="006437BD">
            <w:pPr>
              <w:pBdr>
                <w:top w:val="nil"/>
                <w:left w:val="nil"/>
                <w:bottom w:val="nil"/>
                <w:right w:val="nil"/>
                <w:between w:val="nil"/>
              </w:pBdr>
              <w:jc w:val="both"/>
              <w:rPr>
                <w:sz w:val="20"/>
                <w:szCs w:val="20"/>
              </w:rPr>
            </w:pPr>
            <w:r>
              <w:rPr>
                <w:sz w:val="20"/>
                <w:szCs w:val="20"/>
              </w:rPr>
              <w:t> 1</w:t>
            </w:r>
          </w:p>
        </w:tc>
        <w:tc>
          <w:tcPr>
            <w:tcW w:w="96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90D1D78" w14:textId="77777777" w:rsidR="006437BD" w:rsidRDefault="006437BD" w:rsidP="006437BD">
            <w:pPr>
              <w:pBdr>
                <w:top w:val="nil"/>
                <w:left w:val="nil"/>
                <w:bottom w:val="nil"/>
                <w:right w:val="nil"/>
                <w:between w:val="nil"/>
              </w:pBdr>
              <w:jc w:val="both"/>
              <w:rPr>
                <w:sz w:val="20"/>
                <w:szCs w:val="20"/>
              </w:rPr>
            </w:pPr>
            <w:r>
              <w:rPr>
                <w:sz w:val="20"/>
                <w:szCs w:val="20"/>
              </w:rPr>
              <w:t> 6</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7303E96" w14:textId="77777777" w:rsidR="006437BD" w:rsidRDefault="006437BD" w:rsidP="006437BD">
            <w:pPr>
              <w:pBdr>
                <w:top w:val="nil"/>
                <w:left w:val="nil"/>
                <w:bottom w:val="nil"/>
                <w:right w:val="nil"/>
                <w:between w:val="nil"/>
              </w:pBdr>
              <w:jc w:val="both"/>
              <w:rPr>
                <w:sz w:val="20"/>
                <w:szCs w:val="20"/>
              </w:rPr>
            </w:pPr>
          </w:p>
        </w:tc>
        <w:tc>
          <w:tcPr>
            <w:tcW w:w="1400"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10DDF0F6" w14:textId="77777777" w:rsidR="006437BD" w:rsidRDefault="006437BD" w:rsidP="006437BD">
            <w:pPr>
              <w:pBdr>
                <w:top w:val="nil"/>
                <w:left w:val="nil"/>
                <w:bottom w:val="nil"/>
                <w:right w:val="nil"/>
                <w:between w:val="nil"/>
              </w:pBdr>
              <w:jc w:val="both"/>
              <w:rPr>
                <w:sz w:val="20"/>
                <w:szCs w:val="20"/>
              </w:rPr>
            </w:pPr>
            <w:r>
              <w:rPr>
                <w:sz w:val="20"/>
                <w:szCs w:val="20"/>
              </w:rPr>
              <w:t>0</w:t>
            </w:r>
          </w:p>
        </w:tc>
        <w:tc>
          <w:tcPr>
            <w:tcW w:w="1010" w:type="dxa"/>
            <w:tcBorders>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14:paraId="2D71D992" w14:textId="77777777" w:rsidR="006437BD" w:rsidRDefault="006437BD" w:rsidP="006437BD">
            <w:pPr>
              <w:pBdr>
                <w:top w:val="nil"/>
                <w:left w:val="nil"/>
                <w:bottom w:val="nil"/>
                <w:right w:val="nil"/>
                <w:between w:val="nil"/>
              </w:pBdr>
              <w:jc w:val="both"/>
              <w:rPr>
                <w:sz w:val="20"/>
                <w:szCs w:val="20"/>
              </w:rPr>
            </w:pPr>
            <w:r>
              <w:rPr>
                <w:sz w:val="20"/>
                <w:szCs w:val="20"/>
              </w:rPr>
              <w:t>7</w:t>
            </w:r>
          </w:p>
        </w:tc>
      </w:tr>
      <w:tr w:rsidR="006437BD" w14:paraId="1823858E" w14:textId="77777777" w:rsidTr="006437BD">
        <w:trPr>
          <w:trHeight w:val="155"/>
        </w:trPr>
        <w:tc>
          <w:tcPr>
            <w:tcW w:w="97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3F70EE63" w14:textId="77777777" w:rsidR="006437BD" w:rsidRDefault="006437BD" w:rsidP="006437BD">
            <w:pPr>
              <w:pBdr>
                <w:top w:val="nil"/>
                <w:left w:val="nil"/>
                <w:bottom w:val="nil"/>
                <w:right w:val="nil"/>
                <w:between w:val="nil"/>
              </w:pBdr>
              <w:jc w:val="both"/>
              <w:rPr>
                <w:sz w:val="20"/>
                <w:szCs w:val="20"/>
              </w:rPr>
            </w:pPr>
            <w:r>
              <w:rPr>
                <w:sz w:val="20"/>
                <w:szCs w:val="20"/>
              </w:rPr>
              <w:t>FEI</w:t>
            </w:r>
          </w:p>
        </w:tc>
        <w:tc>
          <w:tcPr>
            <w:tcW w:w="130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6A7622BB" w14:textId="77777777" w:rsidR="006437BD" w:rsidRDefault="006437BD" w:rsidP="006437BD">
            <w:pPr>
              <w:pBdr>
                <w:top w:val="nil"/>
                <w:left w:val="nil"/>
                <w:bottom w:val="nil"/>
                <w:right w:val="nil"/>
                <w:between w:val="nil"/>
              </w:pBdr>
              <w:jc w:val="both"/>
              <w:rPr>
                <w:sz w:val="20"/>
                <w:szCs w:val="20"/>
              </w:rPr>
            </w:pPr>
            <w:r>
              <w:rPr>
                <w:sz w:val="20"/>
                <w:szCs w:val="20"/>
              </w:rPr>
              <w:t> 1</w:t>
            </w:r>
          </w:p>
        </w:tc>
        <w:tc>
          <w:tcPr>
            <w:tcW w:w="96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11F46CF" w14:textId="77777777" w:rsidR="006437BD" w:rsidRDefault="006437BD" w:rsidP="006437BD">
            <w:pPr>
              <w:pBdr>
                <w:top w:val="nil"/>
                <w:left w:val="nil"/>
                <w:bottom w:val="nil"/>
                <w:right w:val="nil"/>
                <w:between w:val="nil"/>
              </w:pBdr>
              <w:jc w:val="both"/>
              <w:rPr>
                <w:sz w:val="20"/>
                <w:szCs w:val="20"/>
              </w:rPr>
            </w:pPr>
            <w:r>
              <w:rPr>
                <w:sz w:val="20"/>
                <w:szCs w:val="20"/>
              </w:rPr>
              <w:t> 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7EC5C1A" w14:textId="77777777" w:rsidR="006437BD" w:rsidRDefault="006437BD" w:rsidP="006437BD">
            <w:pPr>
              <w:pBdr>
                <w:top w:val="nil"/>
                <w:left w:val="nil"/>
                <w:bottom w:val="nil"/>
                <w:right w:val="nil"/>
                <w:between w:val="nil"/>
              </w:pBdr>
              <w:jc w:val="both"/>
              <w:rPr>
                <w:sz w:val="20"/>
                <w:szCs w:val="20"/>
              </w:rPr>
            </w:pPr>
          </w:p>
        </w:tc>
        <w:tc>
          <w:tcPr>
            <w:tcW w:w="1400"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01961050" w14:textId="77777777" w:rsidR="006437BD" w:rsidRDefault="006437BD" w:rsidP="006437BD">
            <w:pPr>
              <w:pBdr>
                <w:top w:val="nil"/>
                <w:left w:val="nil"/>
                <w:bottom w:val="nil"/>
                <w:right w:val="nil"/>
                <w:between w:val="nil"/>
              </w:pBdr>
              <w:jc w:val="both"/>
              <w:rPr>
                <w:sz w:val="20"/>
                <w:szCs w:val="20"/>
              </w:rPr>
            </w:pPr>
            <w:r>
              <w:rPr>
                <w:sz w:val="20"/>
                <w:szCs w:val="20"/>
              </w:rPr>
              <w:t>1</w:t>
            </w:r>
          </w:p>
        </w:tc>
        <w:tc>
          <w:tcPr>
            <w:tcW w:w="1010" w:type="dxa"/>
            <w:tcBorders>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14:paraId="74FC8FBF" w14:textId="77777777" w:rsidR="006437BD" w:rsidRDefault="006437BD" w:rsidP="006437BD">
            <w:pPr>
              <w:pBdr>
                <w:top w:val="nil"/>
                <w:left w:val="nil"/>
                <w:bottom w:val="nil"/>
                <w:right w:val="nil"/>
                <w:between w:val="nil"/>
              </w:pBdr>
              <w:jc w:val="both"/>
              <w:rPr>
                <w:sz w:val="20"/>
                <w:szCs w:val="20"/>
              </w:rPr>
            </w:pPr>
            <w:r>
              <w:rPr>
                <w:sz w:val="20"/>
                <w:szCs w:val="20"/>
              </w:rPr>
              <w:t>5</w:t>
            </w:r>
          </w:p>
        </w:tc>
      </w:tr>
      <w:tr w:rsidR="006437BD" w14:paraId="4DCCEC51" w14:textId="77777777" w:rsidTr="006437BD">
        <w:trPr>
          <w:trHeight w:val="187"/>
        </w:trPr>
        <w:tc>
          <w:tcPr>
            <w:tcW w:w="97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25C75EA5" w14:textId="77777777" w:rsidR="006437BD" w:rsidRDefault="006437BD" w:rsidP="006437BD">
            <w:pPr>
              <w:pBdr>
                <w:top w:val="nil"/>
                <w:left w:val="nil"/>
                <w:bottom w:val="nil"/>
                <w:right w:val="nil"/>
                <w:between w:val="nil"/>
              </w:pBdr>
              <w:jc w:val="both"/>
              <w:rPr>
                <w:sz w:val="20"/>
                <w:szCs w:val="20"/>
              </w:rPr>
            </w:pPr>
            <w:r>
              <w:rPr>
                <w:sz w:val="20"/>
                <w:szCs w:val="20"/>
              </w:rPr>
              <w:t>FCHPT</w:t>
            </w:r>
          </w:p>
        </w:tc>
        <w:tc>
          <w:tcPr>
            <w:tcW w:w="130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6C86B369" w14:textId="77777777" w:rsidR="006437BD" w:rsidRDefault="006437BD" w:rsidP="006437BD">
            <w:pPr>
              <w:pBdr>
                <w:top w:val="nil"/>
                <w:left w:val="nil"/>
                <w:bottom w:val="nil"/>
                <w:right w:val="nil"/>
                <w:between w:val="nil"/>
              </w:pBdr>
              <w:jc w:val="both"/>
              <w:rPr>
                <w:sz w:val="20"/>
                <w:szCs w:val="20"/>
              </w:rPr>
            </w:pPr>
            <w:r>
              <w:rPr>
                <w:sz w:val="20"/>
                <w:szCs w:val="20"/>
              </w:rPr>
              <w:t> 1</w:t>
            </w:r>
          </w:p>
        </w:tc>
        <w:tc>
          <w:tcPr>
            <w:tcW w:w="96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69DAA53" w14:textId="77777777" w:rsidR="006437BD" w:rsidRDefault="006437BD" w:rsidP="006437BD">
            <w:pPr>
              <w:pBdr>
                <w:top w:val="nil"/>
                <w:left w:val="nil"/>
                <w:bottom w:val="nil"/>
                <w:right w:val="nil"/>
                <w:between w:val="nil"/>
              </w:pBdr>
              <w:jc w:val="both"/>
              <w:rPr>
                <w:sz w:val="20"/>
                <w:szCs w:val="20"/>
              </w:rPr>
            </w:pPr>
            <w:r>
              <w:rPr>
                <w:sz w:val="20"/>
                <w:szCs w:val="20"/>
              </w:rPr>
              <w:t> 6</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99BEA45" w14:textId="77777777" w:rsidR="006437BD" w:rsidRDefault="006437BD" w:rsidP="006437BD">
            <w:pPr>
              <w:pBdr>
                <w:top w:val="nil"/>
                <w:left w:val="nil"/>
                <w:bottom w:val="nil"/>
                <w:right w:val="nil"/>
                <w:between w:val="nil"/>
              </w:pBdr>
              <w:jc w:val="both"/>
              <w:rPr>
                <w:sz w:val="20"/>
                <w:szCs w:val="20"/>
              </w:rPr>
            </w:pPr>
          </w:p>
        </w:tc>
        <w:tc>
          <w:tcPr>
            <w:tcW w:w="1400"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1D775B25" w14:textId="77777777" w:rsidR="006437BD" w:rsidRDefault="006437BD" w:rsidP="006437BD">
            <w:pPr>
              <w:pBdr>
                <w:top w:val="nil"/>
                <w:left w:val="nil"/>
                <w:bottom w:val="nil"/>
                <w:right w:val="nil"/>
                <w:between w:val="nil"/>
              </w:pBdr>
              <w:jc w:val="both"/>
              <w:rPr>
                <w:sz w:val="20"/>
                <w:szCs w:val="20"/>
              </w:rPr>
            </w:pPr>
            <w:r>
              <w:rPr>
                <w:sz w:val="20"/>
                <w:szCs w:val="20"/>
              </w:rPr>
              <w:t>5</w:t>
            </w:r>
          </w:p>
        </w:tc>
        <w:tc>
          <w:tcPr>
            <w:tcW w:w="1010" w:type="dxa"/>
            <w:tcBorders>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14:paraId="06F05A82" w14:textId="77777777" w:rsidR="006437BD" w:rsidRDefault="006437BD" w:rsidP="006437BD">
            <w:pPr>
              <w:pBdr>
                <w:top w:val="nil"/>
                <w:left w:val="nil"/>
                <w:bottom w:val="nil"/>
                <w:right w:val="nil"/>
                <w:between w:val="nil"/>
              </w:pBdr>
              <w:jc w:val="both"/>
              <w:rPr>
                <w:sz w:val="20"/>
                <w:szCs w:val="20"/>
              </w:rPr>
            </w:pPr>
            <w:r>
              <w:rPr>
                <w:sz w:val="20"/>
                <w:szCs w:val="20"/>
              </w:rPr>
              <w:t>12</w:t>
            </w:r>
          </w:p>
        </w:tc>
      </w:tr>
      <w:tr w:rsidR="006437BD" w14:paraId="1593DB41" w14:textId="77777777" w:rsidTr="006437BD">
        <w:trPr>
          <w:trHeight w:val="77"/>
        </w:trPr>
        <w:tc>
          <w:tcPr>
            <w:tcW w:w="97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4992B704" w14:textId="77777777" w:rsidR="006437BD" w:rsidRDefault="006437BD" w:rsidP="006437BD">
            <w:pPr>
              <w:pBdr>
                <w:top w:val="nil"/>
                <w:left w:val="nil"/>
                <w:bottom w:val="nil"/>
                <w:right w:val="nil"/>
                <w:between w:val="nil"/>
              </w:pBdr>
              <w:jc w:val="both"/>
              <w:rPr>
                <w:sz w:val="20"/>
                <w:szCs w:val="20"/>
              </w:rPr>
            </w:pPr>
            <w:r>
              <w:rPr>
                <w:sz w:val="20"/>
                <w:szCs w:val="20"/>
              </w:rPr>
              <w:t>FAD</w:t>
            </w:r>
          </w:p>
        </w:tc>
        <w:tc>
          <w:tcPr>
            <w:tcW w:w="130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1C83FB42" w14:textId="77777777" w:rsidR="006437BD" w:rsidRDefault="006437BD" w:rsidP="006437BD">
            <w:pPr>
              <w:pBdr>
                <w:top w:val="nil"/>
                <w:left w:val="nil"/>
                <w:bottom w:val="nil"/>
                <w:right w:val="nil"/>
                <w:between w:val="nil"/>
              </w:pBdr>
              <w:jc w:val="both"/>
              <w:rPr>
                <w:sz w:val="20"/>
                <w:szCs w:val="20"/>
              </w:rPr>
            </w:pPr>
            <w:r>
              <w:rPr>
                <w:sz w:val="20"/>
                <w:szCs w:val="20"/>
              </w:rPr>
              <w:t> 1</w:t>
            </w:r>
          </w:p>
        </w:tc>
        <w:tc>
          <w:tcPr>
            <w:tcW w:w="96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E4ACE8C" w14:textId="77777777" w:rsidR="006437BD" w:rsidRDefault="006437BD" w:rsidP="006437BD">
            <w:pPr>
              <w:pBdr>
                <w:top w:val="nil"/>
                <w:left w:val="nil"/>
                <w:bottom w:val="nil"/>
                <w:right w:val="nil"/>
                <w:between w:val="nil"/>
              </w:pBdr>
              <w:jc w:val="both"/>
              <w:rPr>
                <w:sz w:val="20"/>
                <w:szCs w:val="20"/>
              </w:rPr>
            </w:pPr>
            <w:r>
              <w:rPr>
                <w:sz w:val="20"/>
                <w:szCs w:val="20"/>
              </w:rPr>
              <w:t> 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6E293D8" w14:textId="77777777" w:rsidR="006437BD" w:rsidRDefault="006437BD" w:rsidP="006437BD">
            <w:pPr>
              <w:pBdr>
                <w:top w:val="nil"/>
                <w:left w:val="nil"/>
                <w:bottom w:val="nil"/>
                <w:right w:val="nil"/>
                <w:between w:val="nil"/>
              </w:pBdr>
              <w:jc w:val="both"/>
              <w:rPr>
                <w:sz w:val="20"/>
                <w:szCs w:val="20"/>
              </w:rPr>
            </w:pPr>
          </w:p>
        </w:tc>
        <w:tc>
          <w:tcPr>
            <w:tcW w:w="1400"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1D4EAE25" w14:textId="77777777" w:rsidR="006437BD" w:rsidRDefault="006437BD" w:rsidP="006437BD">
            <w:pPr>
              <w:pBdr>
                <w:top w:val="nil"/>
                <w:left w:val="nil"/>
                <w:bottom w:val="nil"/>
                <w:right w:val="nil"/>
                <w:between w:val="nil"/>
              </w:pBdr>
              <w:jc w:val="both"/>
              <w:rPr>
                <w:sz w:val="20"/>
                <w:szCs w:val="20"/>
              </w:rPr>
            </w:pPr>
            <w:r>
              <w:rPr>
                <w:sz w:val="20"/>
                <w:szCs w:val="20"/>
              </w:rPr>
              <w:t>1</w:t>
            </w:r>
          </w:p>
        </w:tc>
        <w:tc>
          <w:tcPr>
            <w:tcW w:w="1010" w:type="dxa"/>
            <w:tcBorders>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14:paraId="6E7B91C3" w14:textId="77777777" w:rsidR="006437BD" w:rsidRDefault="006437BD" w:rsidP="006437BD">
            <w:pPr>
              <w:pBdr>
                <w:top w:val="nil"/>
                <w:left w:val="nil"/>
                <w:bottom w:val="nil"/>
                <w:right w:val="nil"/>
                <w:between w:val="nil"/>
              </w:pBdr>
              <w:jc w:val="both"/>
              <w:rPr>
                <w:sz w:val="20"/>
                <w:szCs w:val="20"/>
              </w:rPr>
            </w:pPr>
            <w:r>
              <w:rPr>
                <w:sz w:val="20"/>
                <w:szCs w:val="20"/>
              </w:rPr>
              <w:t>4</w:t>
            </w:r>
          </w:p>
        </w:tc>
      </w:tr>
      <w:tr w:rsidR="006437BD" w14:paraId="4FFAD3B4" w14:textId="77777777" w:rsidTr="006437BD">
        <w:trPr>
          <w:trHeight w:val="109"/>
        </w:trPr>
        <w:tc>
          <w:tcPr>
            <w:tcW w:w="97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644F185D" w14:textId="77777777" w:rsidR="006437BD" w:rsidRDefault="006437BD" w:rsidP="006437BD">
            <w:pPr>
              <w:pBdr>
                <w:top w:val="nil"/>
                <w:left w:val="nil"/>
                <w:bottom w:val="nil"/>
                <w:right w:val="nil"/>
                <w:between w:val="nil"/>
              </w:pBdr>
              <w:jc w:val="both"/>
              <w:rPr>
                <w:sz w:val="20"/>
                <w:szCs w:val="20"/>
              </w:rPr>
            </w:pPr>
            <w:r>
              <w:rPr>
                <w:sz w:val="20"/>
                <w:szCs w:val="20"/>
              </w:rPr>
              <w:t>MTF</w:t>
            </w:r>
          </w:p>
        </w:tc>
        <w:tc>
          <w:tcPr>
            <w:tcW w:w="130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49669A20" w14:textId="77777777" w:rsidR="006437BD" w:rsidRDefault="006437BD" w:rsidP="006437BD">
            <w:pPr>
              <w:pBdr>
                <w:top w:val="nil"/>
                <w:left w:val="nil"/>
                <w:bottom w:val="nil"/>
                <w:right w:val="nil"/>
                <w:between w:val="nil"/>
              </w:pBdr>
              <w:jc w:val="both"/>
              <w:rPr>
                <w:sz w:val="20"/>
                <w:szCs w:val="20"/>
              </w:rPr>
            </w:pPr>
            <w:r>
              <w:rPr>
                <w:sz w:val="20"/>
                <w:szCs w:val="20"/>
              </w:rPr>
              <w:t> 2</w:t>
            </w:r>
          </w:p>
        </w:tc>
        <w:tc>
          <w:tcPr>
            <w:tcW w:w="96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0339E83" w14:textId="77777777" w:rsidR="006437BD" w:rsidRDefault="006437BD" w:rsidP="006437BD">
            <w:pPr>
              <w:pBdr>
                <w:top w:val="nil"/>
                <w:left w:val="nil"/>
                <w:bottom w:val="nil"/>
                <w:right w:val="nil"/>
                <w:between w:val="nil"/>
              </w:pBdr>
              <w:jc w:val="both"/>
              <w:rPr>
                <w:sz w:val="20"/>
                <w:szCs w:val="20"/>
              </w:rPr>
            </w:pPr>
            <w:r>
              <w:rPr>
                <w:sz w:val="20"/>
                <w:szCs w:val="20"/>
              </w:rPr>
              <w:t> 45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754B5BF" w14:textId="77777777" w:rsidR="006437BD" w:rsidRDefault="006437BD" w:rsidP="006437BD">
            <w:pPr>
              <w:pBdr>
                <w:top w:val="nil"/>
                <w:left w:val="nil"/>
                <w:bottom w:val="nil"/>
                <w:right w:val="nil"/>
                <w:between w:val="nil"/>
              </w:pBdr>
              <w:jc w:val="both"/>
              <w:rPr>
                <w:sz w:val="20"/>
                <w:szCs w:val="20"/>
              </w:rPr>
            </w:pPr>
          </w:p>
        </w:tc>
        <w:tc>
          <w:tcPr>
            <w:tcW w:w="1400"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67CD3607" w14:textId="77777777" w:rsidR="006437BD" w:rsidRDefault="006437BD" w:rsidP="006437BD">
            <w:pPr>
              <w:pBdr>
                <w:top w:val="nil"/>
                <w:left w:val="nil"/>
                <w:bottom w:val="nil"/>
                <w:right w:val="nil"/>
                <w:between w:val="nil"/>
              </w:pBdr>
              <w:jc w:val="both"/>
              <w:rPr>
                <w:sz w:val="20"/>
                <w:szCs w:val="20"/>
              </w:rPr>
            </w:pPr>
            <w:r>
              <w:rPr>
                <w:sz w:val="20"/>
                <w:szCs w:val="20"/>
              </w:rPr>
              <w:t>3</w:t>
            </w:r>
          </w:p>
        </w:tc>
        <w:tc>
          <w:tcPr>
            <w:tcW w:w="1010" w:type="dxa"/>
            <w:tcBorders>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14:paraId="469EAA5F" w14:textId="77777777" w:rsidR="006437BD" w:rsidRDefault="006437BD" w:rsidP="006437BD">
            <w:pPr>
              <w:pBdr>
                <w:top w:val="nil"/>
                <w:left w:val="nil"/>
                <w:bottom w:val="nil"/>
                <w:right w:val="nil"/>
                <w:between w:val="nil"/>
              </w:pBdr>
              <w:jc w:val="both"/>
              <w:rPr>
                <w:sz w:val="20"/>
                <w:szCs w:val="20"/>
              </w:rPr>
            </w:pPr>
            <w:r>
              <w:rPr>
                <w:sz w:val="20"/>
                <w:szCs w:val="20"/>
              </w:rPr>
              <w:t>50</w:t>
            </w:r>
          </w:p>
        </w:tc>
      </w:tr>
      <w:tr w:rsidR="006437BD" w14:paraId="3B7BD1A2" w14:textId="77777777" w:rsidTr="006437BD">
        <w:trPr>
          <w:trHeight w:val="225"/>
        </w:trPr>
        <w:tc>
          <w:tcPr>
            <w:tcW w:w="97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64988E62" w14:textId="77777777" w:rsidR="006437BD" w:rsidRDefault="006437BD" w:rsidP="006437BD">
            <w:pPr>
              <w:pBdr>
                <w:top w:val="nil"/>
                <w:left w:val="nil"/>
                <w:bottom w:val="nil"/>
                <w:right w:val="nil"/>
                <w:between w:val="nil"/>
              </w:pBdr>
              <w:jc w:val="both"/>
              <w:rPr>
                <w:sz w:val="20"/>
                <w:szCs w:val="20"/>
              </w:rPr>
            </w:pPr>
            <w:r>
              <w:rPr>
                <w:sz w:val="20"/>
                <w:szCs w:val="20"/>
              </w:rPr>
              <w:t>FIIT</w:t>
            </w:r>
          </w:p>
        </w:tc>
        <w:tc>
          <w:tcPr>
            <w:tcW w:w="130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4B9B3851" w14:textId="77777777" w:rsidR="006437BD" w:rsidRDefault="006437BD" w:rsidP="006437BD">
            <w:pPr>
              <w:pBdr>
                <w:top w:val="nil"/>
                <w:left w:val="nil"/>
                <w:bottom w:val="nil"/>
                <w:right w:val="nil"/>
                <w:between w:val="nil"/>
              </w:pBdr>
              <w:jc w:val="both"/>
              <w:rPr>
                <w:sz w:val="20"/>
                <w:szCs w:val="20"/>
              </w:rPr>
            </w:pPr>
            <w:r>
              <w:rPr>
                <w:sz w:val="20"/>
                <w:szCs w:val="20"/>
              </w:rPr>
              <w:t> 1</w:t>
            </w:r>
          </w:p>
        </w:tc>
        <w:tc>
          <w:tcPr>
            <w:tcW w:w="96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CCC58CA" w14:textId="77777777" w:rsidR="006437BD" w:rsidRDefault="006437BD" w:rsidP="006437BD">
            <w:pPr>
              <w:pBdr>
                <w:top w:val="nil"/>
                <w:left w:val="nil"/>
                <w:bottom w:val="nil"/>
                <w:right w:val="nil"/>
                <w:between w:val="nil"/>
              </w:pBdr>
              <w:jc w:val="both"/>
              <w:rPr>
                <w:sz w:val="20"/>
                <w:szCs w:val="20"/>
              </w:rPr>
            </w:pPr>
            <w:r>
              <w:rPr>
                <w:sz w:val="20"/>
                <w:szCs w:val="20"/>
              </w:rPr>
              <w:t> 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676FD4B" w14:textId="77777777" w:rsidR="006437BD" w:rsidRDefault="006437BD" w:rsidP="006437BD">
            <w:pPr>
              <w:pBdr>
                <w:top w:val="nil"/>
                <w:left w:val="nil"/>
                <w:bottom w:val="nil"/>
                <w:right w:val="nil"/>
                <w:between w:val="nil"/>
              </w:pBdr>
              <w:jc w:val="both"/>
              <w:rPr>
                <w:sz w:val="20"/>
                <w:szCs w:val="20"/>
              </w:rPr>
            </w:pPr>
          </w:p>
        </w:tc>
        <w:tc>
          <w:tcPr>
            <w:tcW w:w="1400"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7DE0241F" w14:textId="77777777" w:rsidR="006437BD" w:rsidRDefault="006437BD" w:rsidP="006437BD">
            <w:pPr>
              <w:pBdr>
                <w:top w:val="nil"/>
                <w:left w:val="nil"/>
                <w:bottom w:val="nil"/>
                <w:right w:val="nil"/>
                <w:between w:val="nil"/>
              </w:pBdr>
              <w:jc w:val="both"/>
              <w:rPr>
                <w:sz w:val="20"/>
                <w:szCs w:val="20"/>
              </w:rPr>
            </w:pPr>
            <w:r>
              <w:rPr>
                <w:sz w:val="20"/>
                <w:szCs w:val="20"/>
              </w:rPr>
              <w:t>1</w:t>
            </w:r>
          </w:p>
        </w:tc>
        <w:tc>
          <w:tcPr>
            <w:tcW w:w="1010" w:type="dxa"/>
            <w:tcBorders>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14:paraId="1AD6BF76" w14:textId="77777777" w:rsidR="006437BD" w:rsidRDefault="006437BD" w:rsidP="006437BD">
            <w:pPr>
              <w:pBdr>
                <w:top w:val="nil"/>
                <w:left w:val="nil"/>
                <w:bottom w:val="nil"/>
                <w:right w:val="nil"/>
                <w:between w:val="nil"/>
              </w:pBdr>
              <w:jc w:val="both"/>
              <w:rPr>
                <w:sz w:val="20"/>
                <w:szCs w:val="20"/>
              </w:rPr>
            </w:pPr>
            <w:r>
              <w:rPr>
                <w:sz w:val="20"/>
                <w:szCs w:val="20"/>
              </w:rPr>
              <w:t>4</w:t>
            </w:r>
          </w:p>
        </w:tc>
      </w:tr>
      <w:tr w:rsidR="006437BD" w14:paraId="47084D03" w14:textId="77777777" w:rsidTr="006437BD">
        <w:trPr>
          <w:trHeight w:val="244"/>
        </w:trPr>
        <w:tc>
          <w:tcPr>
            <w:tcW w:w="97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1825FD6F" w14:textId="77777777" w:rsidR="006437BD" w:rsidRDefault="006437BD" w:rsidP="006437BD">
            <w:pPr>
              <w:pBdr>
                <w:top w:val="nil"/>
                <w:left w:val="nil"/>
                <w:bottom w:val="nil"/>
                <w:right w:val="nil"/>
                <w:between w:val="nil"/>
              </w:pBdr>
              <w:jc w:val="both"/>
              <w:rPr>
                <w:sz w:val="20"/>
                <w:szCs w:val="20"/>
              </w:rPr>
            </w:pPr>
            <w:r>
              <w:rPr>
                <w:sz w:val="20"/>
                <w:szCs w:val="20"/>
              </w:rPr>
              <w:t>ÚM</w:t>
            </w:r>
          </w:p>
        </w:tc>
        <w:tc>
          <w:tcPr>
            <w:tcW w:w="130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04784D0A" w14:textId="77777777" w:rsidR="006437BD" w:rsidRDefault="006437BD" w:rsidP="006437BD">
            <w:pPr>
              <w:pBdr>
                <w:top w:val="nil"/>
                <w:left w:val="nil"/>
                <w:bottom w:val="nil"/>
                <w:right w:val="nil"/>
                <w:between w:val="nil"/>
              </w:pBdr>
              <w:jc w:val="both"/>
              <w:rPr>
                <w:sz w:val="20"/>
                <w:szCs w:val="20"/>
              </w:rPr>
            </w:pPr>
            <w:r>
              <w:rPr>
                <w:sz w:val="20"/>
                <w:szCs w:val="20"/>
              </w:rPr>
              <w:t> 1</w:t>
            </w:r>
          </w:p>
        </w:tc>
        <w:tc>
          <w:tcPr>
            <w:tcW w:w="96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6303793" w14:textId="77777777" w:rsidR="006437BD" w:rsidRDefault="006437BD" w:rsidP="006437BD">
            <w:pPr>
              <w:pBdr>
                <w:top w:val="nil"/>
                <w:left w:val="nil"/>
                <w:bottom w:val="nil"/>
                <w:right w:val="nil"/>
                <w:between w:val="nil"/>
              </w:pBdr>
              <w:jc w:val="both"/>
              <w:rPr>
                <w:sz w:val="20"/>
                <w:szCs w:val="20"/>
              </w:rPr>
            </w:pPr>
            <w:r>
              <w:rPr>
                <w:sz w:val="20"/>
                <w:szCs w:val="20"/>
              </w:rPr>
              <w:t> 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14:paraId="52D0CC0E" w14:textId="77777777" w:rsidR="006437BD" w:rsidRDefault="006437BD" w:rsidP="006437BD">
            <w:pPr>
              <w:pBdr>
                <w:top w:val="nil"/>
                <w:left w:val="nil"/>
                <w:bottom w:val="nil"/>
                <w:right w:val="nil"/>
                <w:between w:val="nil"/>
              </w:pBdr>
              <w:jc w:val="both"/>
              <w:rPr>
                <w:sz w:val="20"/>
                <w:szCs w:val="20"/>
              </w:rPr>
            </w:pPr>
          </w:p>
        </w:tc>
        <w:tc>
          <w:tcPr>
            <w:tcW w:w="1400" w:type="dxa"/>
            <w:tcBorders>
              <w:top w:val="single" w:sz="4" w:space="0" w:color="000000"/>
              <w:left w:val="single" w:sz="4"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2F312422" w14:textId="77777777" w:rsidR="006437BD" w:rsidRDefault="006437BD" w:rsidP="006437BD">
            <w:pPr>
              <w:pBdr>
                <w:top w:val="nil"/>
                <w:left w:val="nil"/>
                <w:bottom w:val="nil"/>
                <w:right w:val="nil"/>
                <w:between w:val="nil"/>
              </w:pBdr>
              <w:jc w:val="both"/>
              <w:rPr>
                <w:sz w:val="20"/>
                <w:szCs w:val="20"/>
              </w:rPr>
            </w:pPr>
            <w:r>
              <w:rPr>
                <w:sz w:val="20"/>
                <w:szCs w:val="20"/>
              </w:rPr>
              <w:t>5</w:t>
            </w:r>
          </w:p>
        </w:tc>
        <w:tc>
          <w:tcPr>
            <w:tcW w:w="1010" w:type="dxa"/>
            <w:tcBorders>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14:paraId="0B43E72C" w14:textId="77777777" w:rsidR="006437BD" w:rsidRDefault="006437BD" w:rsidP="006437BD">
            <w:pPr>
              <w:pBdr>
                <w:top w:val="nil"/>
                <w:left w:val="nil"/>
                <w:bottom w:val="nil"/>
                <w:right w:val="nil"/>
                <w:between w:val="nil"/>
              </w:pBdr>
              <w:jc w:val="both"/>
              <w:rPr>
                <w:sz w:val="20"/>
                <w:szCs w:val="20"/>
              </w:rPr>
            </w:pPr>
            <w:r>
              <w:rPr>
                <w:sz w:val="20"/>
                <w:szCs w:val="20"/>
              </w:rPr>
              <w:t>7</w:t>
            </w:r>
          </w:p>
        </w:tc>
      </w:tr>
      <w:tr w:rsidR="006437BD" w14:paraId="18D960F1" w14:textId="77777777" w:rsidTr="006437BD">
        <w:trPr>
          <w:trHeight w:val="147"/>
        </w:trPr>
        <w:tc>
          <w:tcPr>
            <w:tcW w:w="975" w:type="dxa"/>
            <w:tcBorders>
              <w:top w:val="single" w:sz="8" w:space="0" w:color="000000"/>
              <w:left w:val="single" w:sz="8" w:space="0" w:color="000000"/>
              <w:bottom w:val="single" w:sz="8" w:space="0" w:color="000000"/>
            </w:tcBorders>
            <w:shd w:val="clear" w:color="auto" w:fill="auto"/>
            <w:tcMar>
              <w:top w:w="0" w:type="dxa"/>
              <w:left w:w="70" w:type="dxa"/>
              <w:bottom w:w="0" w:type="dxa"/>
              <w:right w:w="70" w:type="dxa"/>
            </w:tcMar>
            <w:vAlign w:val="bottom"/>
          </w:tcPr>
          <w:p w14:paraId="247F579D" w14:textId="77777777" w:rsidR="006437BD" w:rsidRDefault="006437BD" w:rsidP="006437BD">
            <w:pPr>
              <w:pBdr>
                <w:top w:val="nil"/>
                <w:left w:val="nil"/>
                <w:bottom w:val="nil"/>
                <w:right w:val="nil"/>
                <w:between w:val="nil"/>
              </w:pBdr>
              <w:jc w:val="both"/>
              <w:rPr>
                <w:sz w:val="20"/>
                <w:szCs w:val="20"/>
              </w:rPr>
            </w:pPr>
            <w:r>
              <w:rPr>
                <w:sz w:val="20"/>
                <w:szCs w:val="20"/>
              </w:rPr>
              <w:t>Spolu</w:t>
            </w:r>
          </w:p>
        </w:tc>
        <w:tc>
          <w:tcPr>
            <w:tcW w:w="1305" w:type="dxa"/>
            <w:tcBorders>
              <w:top w:val="single" w:sz="8" w:space="0" w:color="000000"/>
              <w:left w:val="single" w:sz="8" w:space="0" w:color="000000"/>
              <w:bottom w:val="single" w:sz="8" w:space="0" w:color="000000"/>
            </w:tcBorders>
            <w:shd w:val="clear" w:color="auto" w:fill="auto"/>
            <w:tcMar>
              <w:top w:w="0" w:type="dxa"/>
              <w:left w:w="70" w:type="dxa"/>
              <w:bottom w:w="0" w:type="dxa"/>
              <w:right w:w="70" w:type="dxa"/>
            </w:tcMar>
            <w:vAlign w:val="bottom"/>
          </w:tcPr>
          <w:p w14:paraId="4450EE9D" w14:textId="77777777" w:rsidR="006437BD" w:rsidRDefault="006437BD" w:rsidP="006437BD">
            <w:pPr>
              <w:pBdr>
                <w:top w:val="nil"/>
                <w:left w:val="nil"/>
                <w:bottom w:val="nil"/>
                <w:right w:val="nil"/>
                <w:between w:val="nil"/>
              </w:pBdr>
              <w:jc w:val="both"/>
              <w:rPr>
                <w:sz w:val="20"/>
                <w:szCs w:val="20"/>
              </w:rPr>
            </w:pPr>
            <w:r>
              <w:rPr>
                <w:sz w:val="20"/>
                <w:szCs w:val="20"/>
              </w:rPr>
              <w:t>13</w:t>
            </w:r>
          </w:p>
        </w:tc>
        <w:tc>
          <w:tcPr>
            <w:tcW w:w="960" w:type="dxa"/>
            <w:tcBorders>
              <w:top w:val="single" w:sz="8" w:space="0" w:color="000000"/>
              <w:left w:val="single" w:sz="8" w:space="0" w:color="000000"/>
              <w:bottom w:val="single" w:sz="8" w:space="0" w:color="000000"/>
            </w:tcBorders>
            <w:shd w:val="clear" w:color="auto" w:fill="auto"/>
            <w:tcMar>
              <w:top w:w="0" w:type="dxa"/>
              <w:left w:w="70" w:type="dxa"/>
              <w:bottom w:w="0" w:type="dxa"/>
              <w:right w:w="70" w:type="dxa"/>
            </w:tcMar>
            <w:vAlign w:val="bottom"/>
          </w:tcPr>
          <w:p w14:paraId="6FDEC8EF" w14:textId="77777777" w:rsidR="006437BD" w:rsidRDefault="006437BD" w:rsidP="006437BD">
            <w:pPr>
              <w:pBdr>
                <w:top w:val="nil"/>
                <w:left w:val="nil"/>
                <w:bottom w:val="nil"/>
                <w:right w:val="nil"/>
                <w:between w:val="nil"/>
              </w:pBdr>
              <w:jc w:val="both"/>
              <w:rPr>
                <w:sz w:val="20"/>
                <w:szCs w:val="20"/>
              </w:rPr>
            </w:pPr>
            <w:r>
              <w:rPr>
                <w:sz w:val="20"/>
                <w:szCs w:val="20"/>
              </w:rPr>
              <w:t>67</w:t>
            </w:r>
          </w:p>
        </w:tc>
        <w:tc>
          <w:tcPr>
            <w:tcW w:w="960" w:type="dxa"/>
            <w:tcBorders>
              <w:top w:val="single" w:sz="8" w:space="0" w:color="000000"/>
              <w:left w:val="single" w:sz="8" w:space="0" w:color="000000"/>
              <w:bottom w:val="single" w:sz="8" w:space="0" w:color="000000"/>
            </w:tcBorders>
            <w:shd w:val="clear" w:color="auto" w:fill="auto"/>
            <w:tcMar>
              <w:top w:w="0" w:type="dxa"/>
              <w:left w:w="70" w:type="dxa"/>
              <w:bottom w:w="0" w:type="dxa"/>
              <w:right w:w="70" w:type="dxa"/>
            </w:tcMar>
            <w:vAlign w:val="bottom"/>
          </w:tcPr>
          <w:p w14:paraId="50CF791A" w14:textId="77777777" w:rsidR="006437BD" w:rsidRDefault="006437BD" w:rsidP="006437BD">
            <w:pPr>
              <w:pBdr>
                <w:top w:val="nil"/>
                <w:left w:val="nil"/>
                <w:bottom w:val="nil"/>
                <w:right w:val="nil"/>
                <w:between w:val="nil"/>
              </w:pBdr>
              <w:jc w:val="both"/>
              <w:rPr>
                <w:sz w:val="20"/>
                <w:szCs w:val="20"/>
              </w:rPr>
            </w:pPr>
            <w:r>
              <w:rPr>
                <w:sz w:val="20"/>
                <w:szCs w:val="20"/>
              </w:rPr>
              <w:t>312</w:t>
            </w:r>
          </w:p>
        </w:tc>
        <w:tc>
          <w:tcPr>
            <w:tcW w:w="1400" w:type="dxa"/>
            <w:tcBorders>
              <w:top w:val="single" w:sz="8" w:space="0" w:color="000000"/>
              <w:left w:val="single" w:sz="8" w:space="0" w:color="000000"/>
              <w:bottom w:val="single" w:sz="8" w:space="0" w:color="000000"/>
            </w:tcBorders>
            <w:shd w:val="clear" w:color="auto" w:fill="auto"/>
            <w:tcMar>
              <w:top w:w="0" w:type="dxa"/>
              <w:left w:w="70" w:type="dxa"/>
              <w:bottom w:w="0" w:type="dxa"/>
              <w:right w:w="70" w:type="dxa"/>
            </w:tcMar>
            <w:vAlign w:val="bottom"/>
          </w:tcPr>
          <w:p w14:paraId="4265B316" w14:textId="77777777" w:rsidR="006437BD" w:rsidRDefault="006437BD" w:rsidP="006437BD">
            <w:pPr>
              <w:pBdr>
                <w:top w:val="nil"/>
                <w:left w:val="nil"/>
                <w:bottom w:val="nil"/>
                <w:right w:val="nil"/>
                <w:between w:val="nil"/>
              </w:pBdr>
              <w:jc w:val="both"/>
              <w:rPr>
                <w:sz w:val="20"/>
                <w:szCs w:val="20"/>
              </w:rPr>
            </w:pPr>
            <w:r>
              <w:rPr>
                <w:sz w:val="20"/>
                <w:szCs w:val="20"/>
              </w:rPr>
              <w:t>18</w:t>
            </w:r>
          </w:p>
        </w:tc>
        <w:tc>
          <w:tcPr>
            <w:tcW w:w="1010" w:type="dxa"/>
            <w:tcBorders>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14:paraId="52942843" w14:textId="77777777" w:rsidR="006437BD" w:rsidRDefault="006437BD" w:rsidP="006437BD">
            <w:pPr>
              <w:pBdr>
                <w:top w:val="nil"/>
                <w:left w:val="nil"/>
                <w:bottom w:val="nil"/>
                <w:right w:val="nil"/>
                <w:between w:val="nil"/>
              </w:pBdr>
              <w:jc w:val="both"/>
              <w:rPr>
                <w:sz w:val="20"/>
                <w:szCs w:val="20"/>
              </w:rPr>
            </w:pPr>
            <w:r>
              <w:rPr>
                <w:sz w:val="20"/>
                <w:szCs w:val="20"/>
              </w:rPr>
              <w:t>411</w:t>
            </w:r>
          </w:p>
        </w:tc>
      </w:tr>
    </w:tbl>
    <w:p w14:paraId="6668C5C8" w14:textId="77777777" w:rsidR="006437BD" w:rsidRDefault="006437BD" w:rsidP="006437BD">
      <w:pPr>
        <w:pBdr>
          <w:top w:val="nil"/>
          <w:left w:val="nil"/>
          <w:bottom w:val="nil"/>
          <w:right w:val="nil"/>
          <w:between w:val="nil"/>
        </w:pBdr>
        <w:tabs>
          <w:tab w:val="left" w:pos="709"/>
        </w:tabs>
        <w:spacing w:before="120"/>
        <w:jc w:val="both"/>
        <w:rPr>
          <w:b/>
          <w:color w:val="00000A"/>
          <w:sz w:val="28"/>
          <w:szCs w:val="28"/>
        </w:rPr>
      </w:pPr>
    </w:p>
    <w:p w14:paraId="5C786764" w14:textId="77777777" w:rsidR="006437BD" w:rsidRDefault="006437BD" w:rsidP="006437BD">
      <w:pPr>
        <w:pBdr>
          <w:top w:val="nil"/>
          <w:left w:val="nil"/>
          <w:bottom w:val="nil"/>
          <w:right w:val="nil"/>
          <w:between w:val="nil"/>
        </w:pBdr>
        <w:tabs>
          <w:tab w:val="left" w:pos="709"/>
        </w:tabs>
        <w:spacing w:before="120"/>
        <w:jc w:val="both"/>
        <w:rPr>
          <w:color w:val="00000A"/>
          <w:sz w:val="28"/>
          <w:szCs w:val="28"/>
        </w:rPr>
      </w:pPr>
      <w:r>
        <w:rPr>
          <w:b/>
          <w:color w:val="00000A"/>
          <w:sz w:val="28"/>
          <w:szCs w:val="28"/>
        </w:rPr>
        <w:t>11.2. Medzinárodné vzdelávacie projekty a siete</w:t>
      </w:r>
    </w:p>
    <w:p w14:paraId="12234A16" w14:textId="77777777" w:rsidR="006437BD" w:rsidRDefault="006437BD" w:rsidP="006437BD">
      <w:pPr>
        <w:pBdr>
          <w:top w:val="nil"/>
          <w:left w:val="nil"/>
          <w:bottom w:val="nil"/>
          <w:right w:val="nil"/>
          <w:between w:val="nil"/>
        </w:pBdr>
        <w:jc w:val="both"/>
        <w:rPr>
          <w:color w:val="00000A"/>
        </w:rPr>
      </w:pPr>
    </w:p>
    <w:p w14:paraId="6EDDF0E7" w14:textId="5F9F54CF" w:rsidR="006437BD" w:rsidRDefault="006437BD" w:rsidP="006437BD">
      <w:pPr>
        <w:pBdr>
          <w:top w:val="nil"/>
          <w:left w:val="nil"/>
          <w:bottom w:val="nil"/>
          <w:right w:val="nil"/>
          <w:between w:val="nil"/>
        </w:pBdr>
        <w:jc w:val="both"/>
        <w:rPr>
          <w:color w:val="00000A"/>
        </w:rPr>
      </w:pPr>
      <w:r>
        <w:rPr>
          <w:color w:val="00000A"/>
        </w:rPr>
        <w:t>Zmluvné partnerstvá a spolupráce s medzinárodnými univerzitami sú pre akademickú obec základný predpoklad pre podávanie a riešenie medzinárodných projektov.  Medzinárodná spolupráca pri riešení vzdelávacích a výskumných projektov patrí medzi kľúčové aktivity univerzity, okrem nezanedbateľných finančných zdrojov je zároveň účinným nástrojom skvalitňovania a internacionalizácie vzdelávania, vedy a výskumu.</w:t>
      </w:r>
    </w:p>
    <w:p w14:paraId="536FAFA0" w14:textId="77777777" w:rsidR="006437BD" w:rsidRDefault="006437BD" w:rsidP="006437BD">
      <w:pPr>
        <w:pBdr>
          <w:top w:val="nil"/>
          <w:left w:val="nil"/>
          <w:bottom w:val="nil"/>
          <w:right w:val="nil"/>
          <w:between w:val="nil"/>
        </w:pBdr>
        <w:jc w:val="both"/>
        <w:rPr>
          <w:color w:val="00000A"/>
        </w:rPr>
      </w:pPr>
    </w:p>
    <w:p w14:paraId="7EB16191" w14:textId="77777777" w:rsidR="006437BD" w:rsidRDefault="006437BD" w:rsidP="006437BD">
      <w:pPr>
        <w:pBdr>
          <w:top w:val="nil"/>
          <w:left w:val="nil"/>
          <w:bottom w:val="nil"/>
          <w:right w:val="nil"/>
          <w:between w:val="nil"/>
        </w:pBdr>
        <w:jc w:val="both"/>
        <w:rPr>
          <w:color w:val="00000A"/>
        </w:rPr>
      </w:pPr>
      <w:r>
        <w:rPr>
          <w:color w:val="00000A"/>
        </w:rPr>
        <w:t xml:space="preserve">Cieľom medzinárodných programov Európskej únie, ako aj iných samostatných programov orientovaných na oblasť vzdelávania, je skvalitňovanie a ďalší rozvoj vzdelávania prostredníctvom riešenia multinárodných projektov. V novom programovom období sa taktiež sústreďujú program na tri kľúčové témy, ktorými sú ekológia, digitalizácia a inklúzia. </w:t>
      </w:r>
    </w:p>
    <w:p w14:paraId="75F8ECB6" w14:textId="77777777" w:rsidR="006437BD" w:rsidRDefault="006437BD" w:rsidP="006437BD">
      <w:pPr>
        <w:pBdr>
          <w:top w:val="nil"/>
          <w:left w:val="nil"/>
          <w:bottom w:val="nil"/>
          <w:right w:val="nil"/>
          <w:between w:val="nil"/>
        </w:pBdr>
        <w:jc w:val="both"/>
        <w:rPr>
          <w:color w:val="00000A"/>
        </w:rPr>
      </w:pPr>
    </w:p>
    <w:p w14:paraId="699DF7D4" w14:textId="17EC8006" w:rsidR="006437BD" w:rsidRDefault="006437BD" w:rsidP="006437BD">
      <w:pPr>
        <w:pBdr>
          <w:top w:val="nil"/>
          <w:left w:val="nil"/>
          <w:bottom w:val="nil"/>
          <w:right w:val="nil"/>
          <w:between w:val="nil"/>
        </w:pBdr>
        <w:jc w:val="both"/>
        <w:rPr>
          <w:color w:val="00000A"/>
        </w:rPr>
      </w:pPr>
      <w:r>
        <w:rPr>
          <w:color w:val="00000A"/>
        </w:rPr>
        <w:t>Vzdelávacie projekty riešia problematiku týkajúcu sa rôznych aspektov vzdelávania a zároveň podporujú mobility všetkých účastníkov vzdelávacieho procesu – študentov, akademických i neakademických zamestnancov, čo je pre stratégiu internacionalizácie univerzity neodmysliteľnou súčasťou</w:t>
      </w:r>
      <w:r w:rsidR="00573738">
        <w:rPr>
          <w:color w:val="00000A"/>
        </w:rPr>
        <w:t>.</w:t>
      </w:r>
      <w:r>
        <w:rPr>
          <w:color w:val="00000A"/>
        </w:rPr>
        <w:t xml:space="preserve"> </w:t>
      </w:r>
    </w:p>
    <w:p w14:paraId="6C3967A4" w14:textId="77777777" w:rsidR="006437BD" w:rsidRDefault="006437BD" w:rsidP="006437BD">
      <w:pPr>
        <w:pBdr>
          <w:top w:val="nil"/>
          <w:left w:val="nil"/>
          <w:bottom w:val="nil"/>
          <w:right w:val="nil"/>
          <w:between w:val="nil"/>
        </w:pBdr>
        <w:jc w:val="both"/>
        <w:rPr>
          <w:color w:val="00000A"/>
        </w:rPr>
      </w:pPr>
    </w:p>
    <w:p w14:paraId="7149E06F" w14:textId="39D28F0F" w:rsidR="006437BD" w:rsidRDefault="006437BD" w:rsidP="006437BD">
      <w:pPr>
        <w:pBdr>
          <w:top w:val="nil"/>
          <w:left w:val="nil"/>
          <w:bottom w:val="nil"/>
          <w:right w:val="nil"/>
          <w:between w:val="nil"/>
        </w:pBdr>
        <w:jc w:val="both"/>
        <w:rPr>
          <w:color w:val="00000A"/>
        </w:rPr>
      </w:pPr>
      <w:r>
        <w:rPr>
          <w:color w:val="00000A"/>
        </w:rPr>
        <w:t xml:space="preserve">Okrem riešenia a zapojenia do projektov typu Erasmus+ a iných typov projektov je dôležitá spolupráca fakúlt  a univerzity v akademických sieťach. Významným programom </w:t>
      </w:r>
      <w:r>
        <w:rPr>
          <w:color w:val="00000A"/>
        </w:rPr>
        <w:lastRenderedPageBreak/>
        <w:t>podporujúcim sieťovanie je CEEPUS – Stredoeurópsky výmenný program pre univerzitné štúdiá, ktorý podporuje akademické mobility v strednej, východnej a juhovýchodnej Európe, prispieva k európskej integrácii a zdôrazňuje regionálne špecifiká. Zapojenie sa fakúlt do sietí CEEPUS (zdroj SAI</w:t>
      </w:r>
      <w:r w:rsidR="00573738">
        <w:rPr>
          <w:color w:val="00000A"/>
        </w:rPr>
        <w:t>A n. o.) je uvedená v Tab. č. 66</w:t>
      </w:r>
      <w:r>
        <w:rPr>
          <w:color w:val="00000A"/>
        </w:rPr>
        <w:t>.</w:t>
      </w:r>
    </w:p>
    <w:p w14:paraId="3A33E4DB" w14:textId="77777777" w:rsidR="006437BD" w:rsidRDefault="006437BD" w:rsidP="006437BD">
      <w:pPr>
        <w:pBdr>
          <w:top w:val="nil"/>
          <w:left w:val="nil"/>
          <w:bottom w:val="nil"/>
          <w:right w:val="nil"/>
          <w:between w:val="nil"/>
        </w:pBdr>
        <w:spacing w:before="120"/>
        <w:jc w:val="both"/>
        <w:rPr>
          <w:color w:val="00000A"/>
          <w:sz w:val="20"/>
          <w:szCs w:val="20"/>
        </w:rPr>
      </w:pPr>
    </w:p>
    <w:p w14:paraId="73DF7A00" w14:textId="25248345" w:rsidR="006437BD" w:rsidRPr="006437BD" w:rsidRDefault="006437BD" w:rsidP="006437BD">
      <w:pPr>
        <w:pBdr>
          <w:top w:val="nil"/>
          <w:left w:val="nil"/>
          <w:bottom w:val="nil"/>
          <w:right w:val="nil"/>
          <w:between w:val="nil"/>
        </w:pBdr>
        <w:spacing w:before="120"/>
        <w:jc w:val="both"/>
        <w:rPr>
          <w:color w:val="00000A"/>
        </w:rPr>
      </w:pPr>
      <w:r w:rsidRPr="006437BD">
        <w:rPr>
          <w:color w:val="00000A"/>
        </w:rPr>
        <w:t>Tab. č. 66. Riešené medzinárodné vzdelávacie a nevýskumné projekty a zapojenie fakúlt do sietí CEEPUS v roku 2022</w:t>
      </w:r>
    </w:p>
    <w:tbl>
      <w:tblPr>
        <w:tblW w:w="6630" w:type="dxa"/>
        <w:tblLayout w:type="fixed"/>
        <w:tblLook w:val="0000" w:firstRow="0" w:lastRow="0" w:firstColumn="0" w:lastColumn="0" w:noHBand="0" w:noVBand="0"/>
      </w:tblPr>
      <w:tblGrid>
        <w:gridCol w:w="1044"/>
        <w:gridCol w:w="1044"/>
        <w:gridCol w:w="1303"/>
        <w:gridCol w:w="1044"/>
        <w:gridCol w:w="1044"/>
        <w:gridCol w:w="1151"/>
      </w:tblGrid>
      <w:tr w:rsidR="006437BD" w14:paraId="50F9FE32" w14:textId="77777777" w:rsidTr="006437BD">
        <w:trPr>
          <w:trHeight w:val="325"/>
        </w:trPr>
        <w:tc>
          <w:tcPr>
            <w:tcW w:w="10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bottom"/>
          </w:tcPr>
          <w:p w14:paraId="5F584709" w14:textId="77777777" w:rsidR="006437BD" w:rsidRDefault="006437BD" w:rsidP="006437BD">
            <w:pPr>
              <w:pBdr>
                <w:top w:val="nil"/>
                <w:left w:val="nil"/>
                <w:bottom w:val="nil"/>
                <w:right w:val="nil"/>
                <w:between w:val="nil"/>
              </w:pBdr>
              <w:rPr>
                <w:color w:val="000000"/>
                <w:sz w:val="22"/>
                <w:szCs w:val="22"/>
              </w:rPr>
            </w:pPr>
            <w:r>
              <w:rPr>
                <w:color w:val="000000"/>
                <w:sz w:val="22"/>
                <w:szCs w:val="22"/>
              </w:rPr>
              <w:t>STU</w:t>
            </w:r>
          </w:p>
        </w:tc>
        <w:tc>
          <w:tcPr>
            <w:tcW w:w="10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bottom"/>
          </w:tcPr>
          <w:p w14:paraId="58AA19FB" w14:textId="77777777" w:rsidR="006437BD" w:rsidRDefault="006437BD" w:rsidP="006437BD">
            <w:pPr>
              <w:pBdr>
                <w:top w:val="nil"/>
                <w:left w:val="nil"/>
                <w:bottom w:val="nil"/>
                <w:right w:val="nil"/>
                <w:between w:val="nil"/>
              </w:pBdr>
              <w:rPr>
                <w:color w:val="000000"/>
                <w:sz w:val="22"/>
                <w:szCs w:val="22"/>
              </w:rPr>
            </w:pPr>
            <w:r>
              <w:rPr>
                <w:color w:val="000000"/>
                <w:sz w:val="22"/>
                <w:szCs w:val="22"/>
              </w:rPr>
              <w:t>CEEPUS</w:t>
            </w:r>
          </w:p>
        </w:tc>
        <w:tc>
          <w:tcPr>
            <w:tcW w:w="1303" w:type="dxa"/>
            <w:tcBorders>
              <w:top w:val="single" w:sz="8" w:space="0" w:color="000000"/>
              <w:left w:val="single" w:sz="4" w:space="0" w:color="000000"/>
              <w:bottom w:val="single" w:sz="8" w:space="0" w:color="000000"/>
            </w:tcBorders>
            <w:shd w:val="clear" w:color="auto" w:fill="FFFFFF"/>
            <w:tcMar>
              <w:top w:w="0" w:type="dxa"/>
              <w:left w:w="70" w:type="dxa"/>
              <w:bottom w:w="0" w:type="dxa"/>
              <w:right w:w="70" w:type="dxa"/>
            </w:tcMar>
            <w:vAlign w:val="bottom"/>
          </w:tcPr>
          <w:p w14:paraId="10B399BD" w14:textId="77777777" w:rsidR="006437BD" w:rsidRDefault="006437BD" w:rsidP="006437BD">
            <w:pPr>
              <w:pBdr>
                <w:top w:val="nil"/>
                <w:left w:val="nil"/>
                <w:bottom w:val="nil"/>
                <w:right w:val="nil"/>
                <w:between w:val="nil"/>
              </w:pBdr>
              <w:rPr>
                <w:color w:val="000000"/>
                <w:sz w:val="22"/>
                <w:szCs w:val="22"/>
              </w:rPr>
            </w:pPr>
            <w:r>
              <w:rPr>
                <w:color w:val="000000"/>
                <w:sz w:val="22"/>
                <w:szCs w:val="22"/>
              </w:rPr>
              <w:t>ERASMUS+</w:t>
            </w:r>
          </w:p>
        </w:tc>
        <w:tc>
          <w:tcPr>
            <w:tcW w:w="1044" w:type="dxa"/>
            <w:tcBorders>
              <w:top w:val="single" w:sz="8" w:space="0" w:color="000000"/>
              <w:left w:val="single" w:sz="4" w:space="0" w:color="000000"/>
              <w:bottom w:val="single" w:sz="8" w:space="0" w:color="000000"/>
            </w:tcBorders>
            <w:shd w:val="clear" w:color="auto" w:fill="FFFFFF"/>
            <w:tcMar>
              <w:top w:w="0" w:type="dxa"/>
              <w:left w:w="70" w:type="dxa"/>
              <w:bottom w:w="0" w:type="dxa"/>
              <w:right w:w="70" w:type="dxa"/>
            </w:tcMar>
            <w:vAlign w:val="bottom"/>
          </w:tcPr>
          <w:p w14:paraId="551D9C2F" w14:textId="77777777" w:rsidR="006437BD" w:rsidRDefault="006437BD" w:rsidP="006437BD">
            <w:pPr>
              <w:pBdr>
                <w:top w:val="nil"/>
                <w:left w:val="nil"/>
                <w:bottom w:val="nil"/>
                <w:right w:val="nil"/>
                <w:between w:val="nil"/>
              </w:pBdr>
              <w:rPr>
                <w:color w:val="000000"/>
                <w:sz w:val="22"/>
                <w:szCs w:val="22"/>
              </w:rPr>
            </w:pPr>
            <w:r>
              <w:rPr>
                <w:color w:val="000000"/>
                <w:sz w:val="22"/>
                <w:szCs w:val="22"/>
              </w:rPr>
              <w:t>TEMPUS</w:t>
            </w:r>
          </w:p>
        </w:tc>
        <w:tc>
          <w:tcPr>
            <w:tcW w:w="1044" w:type="dxa"/>
            <w:tcBorders>
              <w:top w:val="single" w:sz="8" w:space="0" w:color="000000"/>
              <w:left w:val="single" w:sz="4" w:space="0" w:color="000000"/>
              <w:bottom w:val="single" w:sz="8" w:space="0" w:color="000000"/>
            </w:tcBorders>
            <w:shd w:val="clear" w:color="auto" w:fill="FFFFFF"/>
            <w:tcMar>
              <w:top w:w="0" w:type="dxa"/>
              <w:left w:w="70" w:type="dxa"/>
              <w:bottom w:w="0" w:type="dxa"/>
              <w:right w:w="70" w:type="dxa"/>
            </w:tcMar>
            <w:vAlign w:val="bottom"/>
          </w:tcPr>
          <w:p w14:paraId="6BFD9D93" w14:textId="77777777" w:rsidR="006437BD" w:rsidRDefault="006437BD" w:rsidP="006437BD">
            <w:pPr>
              <w:pBdr>
                <w:top w:val="nil"/>
                <w:left w:val="nil"/>
                <w:bottom w:val="nil"/>
                <w:right w:val="nil"/>
                <w:between w:val="nil"/>
              </w:pBdr>
              <w:rPr>
                <w:color w:val="000000"/>
                <w:sz w:val="22"/>
                <w:szCs w:val="22"/>
              </w:rPr>
            </w:pPr>
            <w:r>
              <w:rPr>
                <w:color w:val="000000"/>
                <w:sz w:val="22"/>
                <w:szCs w:val="22"/>
              </w:rPr>
              <w:t>Iné*</w:t>
            </w:r>
          </w:p>
        </w:tc>
        <w:tc>
          <w:tcPr>
            <w:tcW w:w="1151" w:type="dxa"/>
            <w:tcBorders>
              <w:top w:val="single" w:sz="8" w:space="0" w:color="000000"/>
              <w:left w:val="single" w:sz="8" w:space="0" w:color="000000"/>
              <w:bottom w:val="single" w:sz="8" w:space="0" w:color="000000"/>
              <w:right w:val="single" w:sz="8" w:space="0" w:color="000000"/>
            </w:tcBorders>
            <w:shd w:val="clear" w:color="auto" w:fill="E7E6E6"/>
            <w:tcMar>
              <w:top w:w="0" w:type="dxa"/>
              <w:left w:w="70" w:type="dxa"/>
              <w:bottom w:w="0" w:type="dxa"/>
              <w:right w:w="70" w:type="dxa"/>
            </w:tcMar>
            <w:vAlign w:val="bottom"/>
          </w:tcPr>
          <w:p w14:paraId="7B92FCD2" w14:textId="77777777" w:rsidR="006437BD" w:rsidRDefault="006437BD" w:rsidP="006437BD">
            <w:pPr>
              <w:pBdr>
                <w:top w:val="nil"/>
                <w:left w:val="nil"/>
                <w:bottom w:val="nil"/>
                <w:right w:val="nil"/>
                <w:between w:val="nil"/>
              </w:pBdr>
              <w:rPr>
                <w:color w:val="000000"/>
                <w:sz w:val="22"/>
                <w:szCs w:val="22"/>
              </w:rPr>
            </w:pPr>
            <w:r>
              <w:rPr>
                <w:color w:val="000000"/>
                <w:sz w:val="22"/>
                <w:szCs w:val="22"/>
              </w:rPr>
              <w:t>Spolu</w:t>
            </w:r>
          </w:p>
        </w:tc>
      </w:tr>
      <w:tr w:rsidR="006437BD" w14:paraId="6CC5705A" w14:textId="77777777" w:rsidTr="006437BD">
        <w:trPr>
          <w:trHeight w:val="242"/>
        </w:trPr>
        <w:tc>
          <w:tcPr>
            <w:tcW w:w="1044" w:type="dxa"/>
            <w:tcBorders>
              <w:left w:val="single" w:sz="8" w:space="0" w:color="000000"/>
              <w:bottom w:val="single" w:sz="4" w:space="0" w:color="000000"/>
            </w:tcBorders>
            <w:shd w:val="clear" w:color="auto" w:fill="FFFFFF"/>
            <w:tcMar>
              <w:top w:w="0" w:type="dxa"/>
              <w:left w:w="70" w:type="dxa"/>
              <w:bottom w:w="0" w:type="dxa"/>
              <w:right w:w="70" w:type="dxa"/>
            </w:tcMar>
            <w:vAlign w:val="bottom"/>
          </w:tcPr>
          <w:p w14:paraId="2199B263" w14:textId="77777777" w:rsidR="006437BD" w:rsidRDefault="006437BD" w:rsidP="006437BD">
            <w:pPr>
              <w:pBdr>
                <w:top w:val="nil"/>
                <w:left w:val="nil"/>
                <w:bottom w:val="nil"/>
                <w:right w:val="nil"/>
                <w:between w:val="nil"/>
              </w:pBdr>
              <w:rPr>
                <w:color w:val="000000"/>
                <w:sz w:val="22"/>
                <w:szCs w:val="22"/>
              </w:rPr>
            </w:pPr>
            <w:r>
              <w:rPr>
                <w:color w:val="000000"/>
                <w:sz w:val="22"/>
                <w:szCs w:val="22"/>
              </w:rPr>
              <w:t>R/STU</w:t>
            </w:r>
          </w:p>
        </w:tc>
        <w:tc>
          <w:tcPr>
            <w:tcW w:w="104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5D3ADC" w14:textId="77777777" w:rsidR="006437BD" w:rsidRDefault="006437BD" w:rsidP="006437BD">
            <w:pPr>
              <w:spacing w:line="276" w:lineRule="auto"/>
              <w:rPr>
                <w:sz w:val="22"/>
                <w:szCs w:val="22"/>
              </w:rPr>
            </w:pPr>
            <w:r>
              <w:rPr>
                <w:sz w:val="22"/>
                <w:szCs w:val="22"/>
              </w:rPr>
              <w:t>1</w:t>
            </w:r>
          </w:p>
        </w:tc>
        <w:tc>
          <w:tcPr>
            <w:tcW w:w="1303"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3A7DAEC" w14:textId="77777777" w:rsidR="006437BD" w:rsidRDefault="006437BD" w:rsidP="006437BD">
            <w:pPr>
              <w:spacing w:line="276" w:lineRule="auto"/>
              <w:rPr>
                <w:sz w:val="22"/>
                <w:szCs w:val="22"/>
              </w:rPr>
            </w:pPr>
            <w:r>
              <w:rPr>
                <w:sz w:val="22"/>
                <w:szCs w:val="22"/>
              </w:rPr>
              <w:t>2</w:t>
            </w:r>
          </w:p>
        </w:tc>
        <w:tc>
          <w:tcPr>
            <w:tcW w:w="1044"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98650C6" w14:textId="77777777" w:rsidR="006437BD" w:rsidRDefault="006437BD" w:rsidP="006437BD">
            <w:pPr>
              <w:spacing w:line="276" w:lineRule="auto"/>
              <w:rPr>
                <w:sz w:val="22"/>
                <w:szCs w:val="22"/>
              </w:rPr>
            </w:pPr>
          </w:p>
        </w:tc>
        <w:tc>
          <w:tcPr>
            <w:tcW w:w="1044"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0D588E2" w14:textId="77777777" w:rsidR="006437BD" w:rsidRDefault="006437BD" w:rsidP="006437BD">
            <w:pPr>
              <w:spacing w:line="276" w:lineRule="auto"/>
              <w:rPr>
                <w:sz w:val="22"/>
                <w:szCs w:val="22"/>
              </w:rPr>
            </w:pPr>
          </w:p>
        </w:tc>
        <w:tc>
          <w:tcPr>
            <w:tcW w:w="1151" w:type="dxa"/>
            <w:tcBorders>
              <w:top w:val="single" w:sz="6" w:space="0" w:color="000000"/>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5AF10E7B" w14:textId="77777777" w:rsidR="006437BD" w:rsidRDefault="006437BD" w:rsidP="006437BD">
            <w:pPr>
              <w:spacing w:line="276" w:lineRule="auto"/>
              <w:jc w:val="right"/>
              <w:rPr>
                <w:sz w:val="22"/>
                <w:szCs w:val="22"/>
              </w:rPr>
            </w:pPr>
            <w:r>
              <w:rPr>
                <w:sz w:val="22"/>
                <w:szCs w:val="22"/>
              </w:rPr>
              <w:t>3</w:t>
            </w:r>
          </w:p>
        </w:tc>
      </w:tr>
      <w:tr w:rsidR="006437BD" w14:paraId="367FE377" w14:textId="77777777" w:rsidTr="006437BD">
        <w:trPr>
          <w:trHeight w:val="276"/>
        </w:trPr>
        <w:tc>
          <w:tcPr>
            <w:tcW w:w="1044" w:type="dxa"/>
            <w:tcBorders>
              <w:left w:val="single" w:sz="8" w:space="0" w:color="000000"/>
              <w:bottom w:val="single" w:sz="4" w:space="0" w:color="000000"/>
            </w:tcBorders>
            <w:shd w:val="clear" w:color="auto" w:fill="FFFFFF"/>
            <w:tcMar>
              <w:top w:w="0" w:type="dxa"/>
              <w:left w:w="70" w:type="dxa"/>
              <w:bottom w:w="0" w:type="dxa"/>
              <w:right w:w="70" w:type="dxa"/>
            </w:tcMar>
            <w:vAlign w:val="bottom"/>
          </w:tcPr>
          <w:p w14:paraId="6D742D92" w14:textId="77777777" w:rsidR="006437BD" w:rsidRDefault="006437BD" w:rsidP="006437BD">
            <w:pPr>
              <w:pBdr>
                <w:top w:val="nil"/>
                <w:left w:val="nil"/>
                <w:bottom w:val="nil"/>
                <w:right w:val="nil"/>
                <w:between w:val="nil"/>
              </w:pBdr>
              <w:rPr>
                <w:color w:val="000000"/>
                <w:sz w:val="22"/>
                <w:szCs w:val="22"/>
              </w:rPr>
            </w:pPr>
            <w:r>
              <w:rPr>
                <w:color w:val="000000"/>
                <w:sz w:val="22"/>
                <w:szCs w:val="22"/>
              </w:rPr>
              <w:t>SvF</w:t>
            </w:r>
          </w:p>
        </w:tc>
        <w:tc>
          <w:tcPr>
            <w:tcW w:w="104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D052411" w14:textId="77777777" w:rsidR="006437BD" w:rsidRDefault="006437BD" w:rsidP="006437BD">
            <w:pPr>
              <w:spacing w:line="276" w:lineRule="auto"/>
              <w:rPr>
                <w:sz w:val="22"/>
                <w:szCs w:val="22"/>
              </w:rPr>
            </w:pPr>
            <w:r>
              <w:rPr>
                <w:sz w:val="22"/>
                <w:szCs w:val="22"/>
              </w:rPr>
              <w:t>2</w:t>
            </w:r>
          </w:p>
        </w:tc>
        <w:tc>
          <w:tcPr>
            <w:tcW w:w="130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945548C"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3C97DCA"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3EB7CB0" w14:textId="77777777" w:rsidR="006437BD" w:rsidRDefault="006437BD" w:rsidP="006437BD">
            <w:pPr>
              <w:spacing w:line="276" w:lineRule="auto"/>
              <w:rPr>
                <w:sz w:val="22"/>
                <w:szCs w:val="22"/>
              </w:rPr>
            </w:pPr>
          </w:p>
        </w:tc>
        <w:tc>
          <w:tcPr>
            <w:tcW w:w="1151"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7C1B184B" w14:textId="77777777" w:rsidR="006437BD" w:rsidRDefault="006437BD" w:rsidP="006437BD">
            <w:pPr>
              <w:spacing w:line="276" w:lineRule="auto"/>
              <w:jc w:val="right"/>
              <w:rPr>
                <w:sz w:val="22"/>
                <w:szCs w:val="22"/>
              </w:rPr>
            </w:pPr>
            <w:r>
              <w:rPr>
                <w:sz w:val="22"/>
                <w:szCs w:val="22"/>
              </w:rPr>
              <w:t>2</w:t>
            </w:r>
          </w:p>
        </w:tc>
      </w:tr>
      <w:tr w:rsidR="006437BD" w14:paraId="10106F9A" w14:textId="77777777" w:rsidTr="006437BD">
        <w:trPr>
          <w:trHeight w:val="280"/>
        </w:trPr>
        <w:tc>
          <w:tcPr>
            <w:tcW w:w="1044" w:type="dxa"/>
            <w:tcBorders>
              <w:left w:val="single" w:sz="8" w:space="0" w:color="000000"/>
              <w:bottom w:val="single" w:sz="4" w:space="0" w:color="000000"/>
            </w:tcBorders>
            <w:shd w:val="clear" w:color="auto" w:fill="FFFFFF"/>
            <w:tcMar>
              <w:top w:w="0" w:type="dxa"/>
              <w:left w:w="70" w:type="dxa"/>
              <w:bottom w:w="0" w:type="dxa"/>
              <w:right w:w="70" w:type="dxa"/>
            </w:tcMar>
            <w:vAlign w:val="bottom"/>
          </w:tcPr>
          <w:p w14:paraId="63462D8F" w14:textId="77777777" w:rsidR="006437BD" w:rsidRDefault="006437BD" w:rsidP="006437BD">
            <w:pPr>
              <w:pBdr>
                <w:top w:val="nil"/>
                <w:left w:val="nil"/>
                <w:bottom w:val="nil"/>
                <w:right w:val="nil"/>
                <w:between w:val="nil"/>
              </w:pBdr>
              <w:rPr>
                <w:color w:val="000000"/>
                <w:sz w:val="22"/>
                <w:szCs w:val="22"/>
              </w:rPr>
            </w:pPr>
            <w:r>
              <w:rPr>
                <w:color w:val="000000"/>
                <w:sz w:val="22"/>
                <w:szCs w:val="22"/>
              </w:rPr>
              <w:t>SjF</w:t>
            </w:r>
          </w:p>
        </w:tc>
        <w:tc>
          <w:tcPr>
            <w:tcW w:w="104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4EC548" w14:textId="77777777" w:rsidR="006437BD" w:rsidRDefault="006437BD" w:rsidP="006437BD">
            <w:pPr>
              <w:spacing w:line="276" w:lineRule="auto"/>
              <w:rPr>
                <w:sz w:val="22"/>
                <w:szCs w:val="22"/>
              </w:rPr>
            </w:pPr>
            <w:r>
              <w:rPr>
                <w:sz w:val="22"/>
                <w:szCs w:val="22"/>
              </w:rPr>
              <w:t>7</w:t>
            </w:r>
          </w:p>
        </w:tc>
        <w:tc>
          <w:tcPr>
            <w:tcW w:w="130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6F31812" w14:textId="77777777" w:rsidR="006437BD" w:rsidRDefault="006437BD" w:rsidP="006437BD">
            <w:pPr>
              <w:spacing w:line="276" w:lineRule="auto"/>
              <w:rPr>
                <w:sz w:val="22"/>
                <w:szCs w:val="22"/>
              </w:rPr>
            </w:pPr>
            <w:r>
              <w:rPr>
                <w:sz w:val="22"/>
                <w:szCs w:val="22"/>
              </w:rPr>
              <w:t>1</w:t>
            </w: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6EF5E3B"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7FEC24A" w14:textId="77777777" w:rsidR="006437BD" w:rsidRDefault="006437BD" w:rsidP="006437BD">
            <w:pPr>
              <w:spacing w:line="276" w:lineRule="auto"/>
              <w:rPr>
                <w:sz w:val="22"/>
                <w:szCs w:val="22"/>
              </w:rPr>
            </w:pPr>
          </w:p>
        </w:tc>
        <w:tc>
          <w:tcPr>
            <w:tcW w:w="1151"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03708E51" w14:textId="77777777" w:rsidR="006437BD" w:rsidRDefault="006437BD" w:rsidP="006437BD">
            <w:pPr>
              <w:spacing w:line="276" w:lineRule="auto"/>
              <w:jc w:val="right"/>
              <w:rPr>
                <w:sz w:val="22"/>
                <w:szCs w:val="22"/>
              </w:rPr>
            </w:pPr>
            <w:r>
              <w:rPr>
                <w:sz w:val="22"/>
                <w:szCs w:val="22"/>
              </w:rPr>
              <w:t>8</w:t>
            </w:r>
          </w:p>
        </w:tc>
      </w:tr>
      <w:tr w:rsidR="006437BD" w14:paraId="3D98C217" w14:textId="77777777" w:rsidTr="006437BD">
        <w:trPr>
          <w:trHeight w:val="244"/>
        </w:trPr>
        <w:tc>
          <w:tcPr>
            <w:tcW w:w="1044" w:type="dxa"/>
            <w:tcBorders>
              <w:left w:val="single" w:sz="8" w:space="0" w:color="000000"/>
              <w:bottom w:val="single" w:sz="4" w:space="0" w:color="000000"/>
            </w:tcBorders>
            <w:shd w:val="clear" w:color="auto" w:fill="FFFFFF"/>
            <w:tcMar>
              <w:top w:w="0" w:type="dxa"/>
              <w:left w:w="70" w:type="dxa"/>
              <w:bottom w:w="0" w:type="dxa"/>
              <w:right w:w="70" w:type="dxa"/>
            </w:tcMar>
            <w:vAlign w:val="bottom"/>
          </w:tcPr>
          <w:p w14:paraId="619626EF" w14:textId="77777777" w:rsidR="006437BD" w:rsidRDefault="006437BD" w:rsidP="006437BD">
            <w:pPr>
              <w:pBdr>
                <w:top w:val="nil"/>
                <w:left w:val="nil"/>
                <w:bottom w:val="nil"/>
                <w:right w:val="nil"/>
                <w:between w:val="nil"/>
              </w:pBdr>
              <w:rPr>
                <w:color w:val="000000"/>
                <w:sz w:val="22"/>
                <w:szCs w:val="22"/>
              </w:rPr>
            </w:pPr>
            <w:r>
              <w:rPr>
                <w:color w:val="000000"/>
                <w:sz w:val="22"/>
                <w:szCs w:val="22"/>
              </w:rPr>
              <w:t>FEI</w:t>
            </w:r>
          </w:p>
        </w:tc>
        <w:tc>
          <w:tcPr>
            <w:tcW w:w="104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607D4F" w14:textId="77777777" w:rsidR="006437BD" w:rsidRDefault="006437BD" w:rsidP="006437BD">
            <w:pPr>
              <w:spacing w:line="276" w:lineRule="auto"/>
              <w:rPr>
                <w:sz w:val="22"/>
                <w:szCs w:val="22"/>
              </w:rPr>
            </w:pPr>
          </w:p>
        </w:tc>
        <w:tc>
          <w:tcPr>
            <w:tcW w:w="130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8B41B6A"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8C7193"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6EDD37E" w14:textId="77777777" w:rsidR="006437BD" w:rsidRDefault="006437BD" w:rsidP="006437BD">
            <w:pPr>
              <w:spacing w:line="276" w:lineRule="auto"/>
              <w:jc w:val="right"/>
              <w:rPr>
                <w:sz w:val="22"/>
                <w:szCs w:val="22"/>
              </w:rPr>
            </w:pPr>
          </w:p>
        </w:tc>
        <w:tc>
          <w:tcPr>
            <w:tcW w:w="1151"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0CD7605F" w14:textId="77777777" w:rsidR="006437BD" w:rsidRDefault="006437BD" w:rsidP="006437BD">
            <w:pPr>
              <w:spacing w:line="276" w:lineRule="auto"/>
              <w:jc w:val="right"/>
              <w:rPr>
                <w:sz w:val="22"/>
                <w:szCs w:val="22"/>
              </w:rPr>
            </w:pPr>
          </w:p>
        </w:tc>
      </w:tr>
      <w:tr w:rsidR="006437BD" w14:paraId="137FA462" w14:textId="77777777" w:rsidTr="006437BD">
        <w:trPr>
          <w:trHeight w:val="169"/>
        </w:trPr>
        <w:tc>
          <w:tcPr>
            <w:tcW w:w="1044" w:type="dxa"/>
            <w:tcBorders>
              <w:left w:val="single" w:sz="8" w:space="0" w:color="000000"/>
              <w:bottom w:val="single" w:sz="4" w:space="0" w:color="000000"/>
            </w:tcBorders>
            <w:shd w:val="clear" w:color="auto" w:fill="FFFFFF"/>
            <w:tcMar>
              <w:top w:w="0" w:type="dxa"/>
              <w:left w:w="70" w:type="dxa"/>
              <w:bottom w:w="0" w:type="dxa"/>
              <w:right w:w="70" w:type="dxa"/>
            </w:tcMar>
            <w:vAlign w:val="bottom"/>
          </w:tcPr>
          <w:p w14:paraId="285AB693" w14:textId="77777777" w:rsidR="006437BD" w:rsidRDefault="006437BD" w:rsidP="006437BD">
            <w:pPr>
              <w:pBdr>
                <w:top w:val="nil"/>
                <w:left w:val="nil"/>
                <w:bottom w:val="nil"/>
                <w:right w:val="nil"/>
                <w:between w:val="nil"/>
              </w:pBdr>
              <w:rPr>
                <w:color w:val="000000"/>
                <w:sz w:val="22"/>
                <w:szCs w:val="22"/>
              </w:rPr>
            </w:pPr>
            <w:r>
              <w:rPr>
                <w:color w:val="000000"/>
                <w:sz w:val="22"/>
                <w:szCs w:val="22"/>
              </w:rPr>
              <w:t>FCHPT</w:t>
            </w:r>
          </w:p>
        </w:tc>
        <w:tc>
          <w:tcPr>
            <w:tcW w:w="104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B1AE8D7" w14:textId="77777777" w:rsidR="006437BD" w:rsidRDefault="006437BD" w:rsidP="006437BD">
            <w:pPr>
              <w:spacing w:line="276" w:lineRule="auto"/>
              <w:rPr>
                <w:sz w:val="22"/>
                <w:szCs w:val="22"/>
              </w:rPr>
            </w:pPr>
            <w:r>
              <w:rPr>
                <w:sz w:val="22"/>
                <w:szCs w:val="22"/>
              </w:rPr>
              <w:t>2</w:t>
            </w:r>
          </w:p>
        </w:tc>
        <w:tc>
          <w:tcPr>
            <w:tcW w:w="130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26345DE"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57C0D40"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314FB30" w14:textId="77777777" w:rsidR="006437BD" w:rsidRDefault="006437BD" w:rsidP="006437BD">
            <w:pPr>
              <w:spacing w:line="276" w:lineRule="auto"/>
              <w:rPr>
                <w:sz w:val="22"/>
                <w:szCs w:val="22"/>
              </w:rPr>
            </w:pPr>
          </w:p>
        </w:tc>
        <w:tc>
          <w:tcPr>
            <w:tcW w:w="1151"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56F516FC" w14:textId="77777777" w:rsidR="006437BD" w:rsidRDefault="006437BD" w:rsidP="006437BD">
            <w:pPr>
              <w:spacing w:line="276" w:lineRule="auto"/>
              <w:jc w:val="right"/>
              <w:rPr>
                <w:sz w:val="22"/>
                <w:szCs w:val="22"/>
              </w:rPr>
            </w:pPr>
            <w:r>
              <w:rPr>
                <w:sz w:val="22"/>
                <w:szCs w:val="22"/>
              </w:rPr>
              <w:t>2</w:t>
            </w:r>
          </w:p>
        </w:tc>
      </w:tr>
      <w:tr w:rsidR="006437BD" w14:paraId="2D6347EC" w14:textId="77777777" w:rsidTr="006437BD">
        <w:trPr>
          <w:trHeight w:val="202"/>
        </w:trPr>
        <w:tc>
          <w:tcPr>
            <w:tcW w:w="1044" w:type="dxa"/>
            <w:tcBorders>
              <w:left w:val="single" w:sz="8" w:space="0" w:color="000000"/>
              <w:bottom w:val="single" w:sz="4" w:space="0" w:color="000000"/>
            </w:tcBorders>
            <w:shd w:val="clear" w:color="auto" w:fill="FFFFFF"/>
            <w:tcMar>
              <w:top w:w="0" w:type="dxa"/>
              <w:left w:w="70" w:type="dxa"/>
              <w:bottom w:w="0" w:type="dxa"/>
              <w:right w:w="70" w:type="dxa"/>
            </w:tcMar>
            <w:vAlign w:val="bottom"/>
          </w:tcPr>
          <w:p w14:paraId="22D1FE1F" w14:textId="77777777" w:rsidR="006437BD" w:rsidRDefault="006437BD" w:rsidP="006437BD">
            <w:pPr>
              <w:pBdr>
                <w:top w:val="nil"/>
                <w:left w:val="nil"/>
                <w:bottom w:val="nil"/>
                <w:right w:val="nil"/>
                <w:between w:val="nil"/>
              </w:pBdr>
              <w:rPr>
                <w:color w:val="000000"/>
                <w:sz w:val="22"/>
                <w:szCs w:val="22"/>
              </w:rPr>
            </w:pPr>
            <w:r>
              <w:rPr>
                <w:color w:val="000000"/>
                <w:sz w:val="22"/>
                <w:szCs w:val="22"/>
              </w:rPr>
              <w:t>FAD</w:t>
            </w:r>
          </w:p>
        </w:tc>
        <w:tc>
          <w:tcPr>
            <w:tcW w:w="104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0EBFC7" w14:textId="77777777" w:rsidR="006437BD" w:rsidRDefault="006437BD" w:rsidP="006437BD">
            <w:pPr>
              <w:spacing w:line="276" w:lineRule="auto"/>
              <w:rPr>
                <w:sz w:val="22"/>
                <w:szCs w:val="22"/>
              </w:rPr>
            </w:pPr>
          </w:p>
        </w:tc>
        <w:tc>
          <w:tcPr>
            <w:tcW w:w="130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9E0314C" w14:textId="77777777" w:rsidR="006437BD" w:rsidRDefault="006437BD" w:rsidP="006437BD">
            <w:pPr>
              <w:spacing w:line="276" w:lineRule="auto"/>
              <w:rPr>
                <w:sz w:val="22"/>
                <w:szCs w:val="22"/>
              </w:rPr>
            </w:pPr>
            <w:r>
              <w:rPr>
                <w:sz w:val="22"/>
                <w:szCs w:val="22"/>
              </w:rPr>
              <w:t>3</w:t>
            </w: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8D02220"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3BA0695" w14:textId="77777777" w:rsidR="006437BD" w:rsidRDefault="006437BD" w:rsidP="006437BD">
            <w:pPr>
              <w:spacing w:line="276" w:lineRule="auto"/>
              <w:rPr>
                <w:sz w:val="22"/>
                <w:szCs w:val="22"/>
              </w:rPr>
            </w:pPr>
          </w:p>
        </w:tc>
        <w:tc>
          <w:tcPr>
            <w:tcW w:w="1151"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529B5D9E" w14:textId="77777777" w:rsidR="006437BD" w:rsidRDefault="006437BD" w:rsidP="006437BD">
            <w:pPr>
              <w:spacing w:line="276" w:lineRule="auto"/>
              <w:jc w:val="right"/>
              <w:rPr>
                <w:sz w:val="22"/>
                <w:szCs w:val="22"/>
              </w:rPr>
            </w:pPr>
            <w:r>
              <w:rPr>
                <w:sz w:val="22"/>
                <w:szCs w:val="22"/>
              </w:rPr>
              <w:t>3</w:t>
            </w:r>
          </w:p>
        </w:tc>
      </w:tr>
      <w:tr w:rsidR="006437BD" w14:paraId="108C9B19" w14:textId="77777777" w:rsidTr="006437BD">
        <w:trPr>
          <w:trHeight w:val="87"/>
        </w:trPr>
        <w:tc>
          <w:tcPr>
            <w:tcW w:w="1044" w:type="dxa"/>
            <w:tcBorders>
              <w:left w:val="single" w:sz="8" w:space="0" w:color="000000"/>
              <w:bottom w:val="single" w:sz="4" w:space="0" w:color="000000"/>
            </w:tcBorders>
            <w:shd w:val="clear" w:color="auto" w:fill="FFFFFF"/>
            <w:tcMar>
              <w:top w:w="0" w:type="dxa"/>
              <w:left w:w="70" w:type="dxa"/>
              <w:bottom w:w="0" w:type="dxa"/>
              <w:right w:w="70" w:type="dxa"/>
            </w:tcMar>
            <w:vAlign w:val="bottom"/>
          </w:tcPr>
          <w:p w14:paraId="54CAF430" w14:textId="77777777" w:rsidR="006437BD" w:rsidRDefault="006437BD" w:rsidP="006437BD">
            <w:pPr>
              <w:pBdr>
                <w:top w:val="nil"/>
                <w:left w:val="nil"/>
                <w:bottom w:val="nil"/>
                <w:right w:val="nil"/>
                <w:between w:val="nil"/>
              </w:pBdr>
              <w:rPr>
                <w:color w:val="000000"/>
                <w:sz w:val="22"/>
                <w:szCs w:val="22"/>
              </w:rPr>
            </w:pPr>
            <w:r>
              <w:rPr>
                <w:color w:val="000000"/>
                <w:sz w:val="22"/>
                <w:szCs w:val="22"/>
              </w:rPr>
              <w:t>MTF</w:t>
            </w:r>
          </w:p>
        </w:tc>
        <w:tc>
          <w:tcPr>
            <w:tcW w:w="104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906ABE9" w14:textId="77777777" w:rsidR="006437BD" w:rsidRDefault="006437BD" w:rsidP="006437BD">
            <w:pPr>
              <w:spacing w:line="276" w:lineRule="auto"/>
              <w:rPr>
                <w:sz w:val="22"/>
                <w:szCs w:val="22"/>
              </w:rPr>
            </w:pPr>
            <w:r>
              <w:rPr>
                <w:sz w:val="22"/>
                <w:szCs w:val="22"/>
              </w:rPr>
              <w:t>19</w:t>
            </w:r>
          </w:p>
        </w:tc>
        <w:tc>
          <w:tcPr>
            <w:tcW w:w="130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FFDAE48"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213F98B"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35906DC" w14:textId="77777777" w:rsidR="006437BD" w:rsidRDefault="006437BD" w:rsidP="006437BD">
            <w:pPr>
              <w:spacing w:line="276" w:lineRule="auto"/>
              <w:rPr>
                <w:sz w:val="22"/>
                <w:szCs w:val="22"/>
              </w:rPr>
            </w:pPr>
          </w:p>
        </w:tc>
        <w:tc>
          <w:tcPr>
            <w:tcW w:w="1151"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39691D0F" w14:textId="77777777" w:rsidR="006437BD" w:rsidRDefault="006437BD" w:rsidP="006437BD">
            <w:pPr>
              <w:spacing w:line="276" w:lineRule="auto"/>
              <w:jc w:val="right"/>
              <w:rPr>
                <w:sz w:val="22"/>
                <w:szCs w:val="22"/>
              </w:rPr>
            </w:pPr>
            <w:r>
              <w:rPr>
                <w:sz w:val="22"/>
                <w:szCs w:val="22"/>
              </w:rPr>
              <w:t>19</w:t>
            </w:r>
          </w:p>
        </w:tc>
      </w:tr>
      <w:tr w:rsidR="006437BD" w14:paraId="7B4E5239" w14:textId="77777777" w:rsidTr="006437BD">
        <w:trPr>
          <w:trHeight w:val="24"/>
        </w:trPr>
        <w:tc>
          <w:tcPr>
            <w:tcW w:w="1044" w:type="dxa"/>
            <w:tcBorders>
              <w:left w:val="single" w:sz="8" w:space="0" w:color="000000"/>
              <w:bottom w:val="single" w:sz="4" w:space="0" w:color="000000"/>
            </w:tcBorders>
            <w:shd w:val="clear" w:color="auto" w:fill="FFFFFF"/>
            <w:tcMar>
              <w:top w:w="0" w:type="dxa"/>
              <w:left w:w="70" w:type="dxa"/>
              <w:bottom w:w="0" w:type="dxa"/>
              <w:right w:w="70" w:type="dxa"/>
            </w:tcMar>
            <w:vAlign w:val="bottom"/>
          </w:tcPr>
          <w:p w14:paraId="7D26CEF7" w14:textId="77777777" w:rsidR="006437BD" w:rsidRDefault="006437BD" w:rsidP="006437BD">
            <w:pPr>
              <w:pBdr>
                <w:top w:val="nil"/>
                <w:left w:val="nil"/>
                <w:bottom w:val="nil"/>
                <w:right w:val="nil"/>
                <w:between w:val="nil"/>
              </w:pBdr>
              <w:rPr>
                <w:color w:val="000000"/>
                <w:sz w:val="22"/>
                <w:szCs w:val="22"/>
              </w:rPr>
            </w:pPr>
            <w:r>
              <w:rPr>
                <w:color w:val="000000"/>
                <w:sz w:val="22"/>
                <w:szCs w:val="22"/>
              </w:rPr>
              <w:t>FIIT</w:t>
            </w:r>
          </w:p>
        </w:tc>
        <w:tc>
          <w:tcPr>
            <w:tcW w:w="104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4DEE579" w14:textId="77777777" w:rsidR="006437BD" w:rsidRDefault="006437BD" w:rsidP="006437BD">
            <w:pPr>
              <w:spacing w:line="276" w:lineRule="auto"/>
              <w:rPr>
                <w:sz w:val="22"/>
                <w:szCs w:val="22"/>
              </w:rPr>
            </w:pPr>
          </w:p>
        </w:tc>
        <w:tc>
          <w:tcPr>
            <w:tcW w:w="130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61623A9"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A62AF90"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6F5DE62" w14:textId="77777777" w:rsidR="006437BD" w:rsidRDefault="006437BD" w:rsidP="006437BD">
            <w:pPr>
              <w:spacing w:line="276" w:lineRule="auto"/>
              <w:rPr>
                <w:sz w:val="22"/>
                <w:szCs w:val="22"/>
              </w:rPr>
            </w:pPr>
          </w:p>
        </w:tc>
        <w:tc>
          <w:tcPr>
            <w:tcW w:w="1151"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316142D9" w14:textId="77777777" w:rsidR="006437BD" w:rsidRDefault="006437BD" w:rsidP="006437BD">
            <w:pPr>
              <w:spacing w:line="276" w:lineRule="auto"/>
              <w:jc w:val="right"/>
              <w:rPr>
                <w:sz w:val="22"/>
                <w:szCs w:val="22"/>
              </w:rPr>
            </w:pPr>
          </w:p>
        </w:tc>
      </w:tr>
      <w:tr w:rsidR="006437BD" w14:paraId="44557A6D" w14:textId="77777777" w:rsidTr="006437BD">
        <w:trPr>
          <w:trHeight w:val="24"/>
        </w:trPr>
        <w:tc>
          <w:tcPr>
            <w:tcW w:w="1044" w:type="dxa"/>
            <w:tcBorders>
              <w:left w:val="single" w:sz="8" w:space="0" w:color="000000"/>
              <w:bottom w:val="single" w:sz="4" w:space="0" w:color="000000"/>
            </w:tcBorders>
            <w:shd w:val="clear" w:color="auto" w:fill="FFFFFF"/>
            <w:tcMar>
              <w:top w:w="0" w:type="dxa"/>
              <w:left w:w="70" w:type="dxa"/>
              <w:bottom w:w="0" w:type="dxa"/>
              <w:right w:w="70" w:type="dxa"/>
            </w:tcMar>
            <w:vAlign w:val="bottom"/>
          </w:tcPr>
          <w:p w14:paraId="06B55B48" w14:textId="77777777" w:rsidR="006437BD" w:rsidRDefault="006437BD" w:rsidP="006437BD">
            <w:pPr>
              <w:pBdr>
                <w:top w:val="nil"/>
                <w:left w:val="nil"/>
                <w:bottom w:val="nil"/>
                <w:right w:val="nil"/>
                <w:between w:val="nil"/>
              </w:pBdr>
              <w:rPr>
                <w:color w:val="000000"/>
                <w:sz w:val="22"/>
                <w:szCs w:val="22"/>
              </w:rPr>
            </w:pPr>
          </w:p>
        </w:tc>
        <w:tc>
          <w:tcPr>
            <w:tcW w:w="104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67B9552" w14:textId="77777777" w:rsidR="006437BD" w:rsidRDefault="006437BD" w:rsidP="006437BD">
            <w:pPr>
              <w:spacing w:line="276" w:lineRule="auto"/>
              <w:rPr>
                <w:sz w:val="22"/>
                <w:szCs w:val="22"/>
              </w:rPr>
            </w:pPr>
          </w:p>
        </w:tc>
        <w:tc>
          <w:tcPr>
            <w:tcW w:w="130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E1C6585"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26F8D8A"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C95A21A" w14:textId="77777777" w:rsidR="006437BD" w:rsidRDefault="006437BD" w:rsidP="006437BD">
            <w:pPr>
              <w:spacing w:line="276" w:lineRule="auto"/>
              <w:rPr>
                <w:sz w:val="22"/>
                <w:szCs w:val="22"/>
              </w:rPr>
            </w:pPr>
          </w:p>
        </w:tc>
        <w:tc>
          <w:tcPr>
            <w:tcW w:w="1151"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0378976A" w14:textId="77777777" w:rsidR="006437BD" w:rsidRDefault="006437BD" w:rsidP="006437BD">
            <w:pPr>
              <w:spacing w:line="276" w:lineRule="auto"/>
              <w:jc w:val="right"/>
              <w:rPr>
                <w:sz w:val="22"/>
                <w:szCs w:val="22"/>
              </w:rPr>
            </w:pPr>
          </w:p>
        </w:tc>
      </w:tr>
      <w:tr w:rsidR="006437BD" w14:paraId="0CCDBC48" w14:textId="77777777" w:rsidTr="006437BD">
        <w:trPr>
          <w:trHeight w:val="325"/>
        </w:trPr>
        <w:tc>
          <w:tcPr>
            <w:tcW w:w="1044" w:type="dxa"/>
            <w:tcBorders>
              <w:left w:val="single" w:sz="8" w:space="0" w:color="000000"/>
              <w:bottom w:val="single" w:sz="4" w:space="0" w:color="000000"/>
            </w:tcBorders>
            <w:shd w:val="clear" w:color="auto" w:fill="FFFFFF"/>
            <w:tcMar>
              <w:top w:w="0" w:type="dxa"/>
              <w:left w:w="70" w:type="dxa"/>
              <w:bottom w:w="0" w:type="dxa"/>
              <w:right w:w="70" w:type="dxa"/>
            </w:tcMar>
            <w:vAlign w:val="bottom"/>
          </w:tcPr>
          <w:p w14:paraId="1E4674ED" w14:textId="77777777" w:rsidR="006437BD" w:rsidRDefault="006437BD" w:rsidP="006437BD">
            <w:pPr>
              <w:pBdr>
                <w:top w:val="nil"/>
                <w:left w:val="nil"/>
                <w:bottom w:val="nil"/>
                <w:right w:val="nil"/>
                <w:between w:val="nil"/>
              </w:pBdr>
              <w:rPr>
                <w:color w:val="000000"/>
                <w:sz w:val="22"/>
                <w:szCs w:val="22"/>
              </w:rPr>
            </w:pPr>
            <w:r>
              <w:rPr>
                <w:color w:val="000000"/>
                <w:sz w:val="22"/>
                <w:szCs w:val="22"/>
              </w:rPr>
              <w:t>ÚM</w:t>
            </w:r>
          </w:p>
        </w:tc>
        <w:tc>
          <w:tcPr>
            <w:tcW w:w="104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0006CF6" w14:textId="77777777" w:rsidR="006437BD" w:rsidRDefault="006437BD" w:rsidP="006437BD">
            <w:pPr>
              <w:spacing w:line="276" w:lineRule="auto"/>
              <w:rPr>
                <w:sz w:val="22"/>
                <w:szCs w:val="22"/>
              </w:rPr>
            </w:pPr>
            <w:r>
              <w:rPr>
                <w:sz w:val="22"/>
                <w:szCs w:val="22"/>
              </w:rPr>
              <w:t>1</w:t>
            </w:r>
          </w:p>
        </w:tc>
        <w:tc>
          <w:tcPr>
            <w:tcW w:w="130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B60CA11"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B34F0ED" w14:textId="77777777" w:rsidR="006437BD" w:rsidRDefault="006437BD" w:rsidP="006437BD">
            <w:pPr>
              <w:spacing w:line="276" w:lineRule="auto"/>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90B8C96" w14:textId="77777777" w:rsidR="006437BD" w:rsidRDefault="006437BD" w:rsidP="006437BD">
            <w:pPr>
              <w:spacing w:line="276" w:lineRule="auto"/>
              <w:rPr>
                <w:sz w:val="22"/>
                <w:szCs w:val="22"/>
              </w:rPr>
            </w:pPr>
          </w:p>
        </w:tc>
        <w:tc>
          <w:tcPr>
            <w:tcW w:w="1151"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5B1D4430" w14:textId="77777777" w:rsidR="006437BD" w:rsidRDefault="006437BD" w:rsidP="006437BD">
            <w:pPr>
              <w:spacing w:line="276" w:lineRule="auto"/>
              <w:jc w:val="right"/>
              <w:rPr>
                <w:sz w:val="22"/>
                <w:szCs w:val="22"/>
              </w:rPr>
            </w:pPr>
            <w:r>
              <w:rPr>
                <w:sz w:val="22"/>
                <w:szCs w:val="22"/>
              </w:rPr>
              <w:t>1</w:t>
            </w:r>
          </w:p>
        </w:tc>
      </w:tr>
      <w:tr w:rsidR="006437BD" w14:paraId="2CE4C24F" w14:textId="77777777" w:rsidTr="006437BD">
        <w:trPr>
          <w:trHeight w:val="94"/>
        </w:trPr>
        <w:tc>
          <w:tcPr>
            <w:tcW w:w="1044" w:type="dxa"/>
            <w:tcBorders>
              <w:top w:val="single" w:sz="8" w:space="0" w:color="000000"/>
              <w:left w:val="single" w:sz="8" w:space="0" w:color="000000"/>
              <w:bottom w:val="single" w:sz="8" w:space="0" w:color="000000"/>
            </w:tcBorders>
            <w:shd w:val="clear" w:color="auto" w:fill="E7E6E6"/>
            <w:tcMar>
              <w:top w:w="0" w:type="dxa"/>
              <w:left w:w="70" w:type="dxa"/>
              <w:bottom w:w="0" w:type="dxa"/>
              <w:right w:w="70" w:type="dxa"/>
            </w:tcMar>
            <w:vAlign w:val="bottom"/>
          </w:tcPr>
          <w:p w14:paraId="4BBCDDA3" w14:textId="77777777" w:rsidR="006437BD" w:rsidRDefault="006437BD" w:rsidP="006437BD">
            <w:pPr>
              <w:pBdr>
                <w:top w:val="nil"/>
                <w:left w:val="nil"/>
                <w:bottom w:val="nil"/>
                <w:right w:val="nil"/>
                <w:between w:val="nil"/>
              </w:pBdr>
              <w:rPr>
                <w:color w:val="000000"/>
                <w:sz w:val="22"/>
                <w:szCs w:val="22"/>
              </w:rPr>
            </w:pPr>
            <w:r>
              <w:rPr>
                <w:color w:val="000000"/>
                <w:sz w:val="22"/>
                <w:szCs w:val="22"/>
              </w:rPr>
              <w:t>Spolu</w:t>
            </w:r>
          </w:p>
        </w:tc>
        <w:tc>
          <w:tcPr>
            <w:tcW w:w="1044" w:type="dxa"/>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278F9AFF" w14:textId="77777777" w:rsidR="006437BD" w:rsidRDefault="006437BD" w:rsidP="006437BD">
            <w:pPr>
              <w:spacing w:line="276" w:lineRule="auto"/>
              <w:jc w:val="right"/>
              <w:rPr>
                <w:sz w:val="22"/>
                <w:szCs w:val="22"/>
              </w:rPr>
            </w:pPr>
            <w:r>
              <w:rPr>
                <w:sz w:val="22"/>
                <w:szCs w:val="22"/>
              </w:rPr>
              <w:t>32</w:t>
            </w:r>
          </w:p>
        </w:tc>
        <w:tc>
          <w:tcPr>
            <w:tcW w:w="1303"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4B39E7E0" w14:textId="77777777" w:rsidR="006437BD" w:rsidRDefault="006437BD" w:rsidP="006437BD">
            <w:pPr>
              <w:spacing w:line="276" w:lineRule="auto"/>
              <w:jc w:val="right"/>
              <w:rPr>
                <w:sz w:val="22"/>
                <w:szCs w:val="22"/>
              </w:rPr>
            </w:pPr>
            <w:r>
              <w:rPr>
                <w:sz w:val="22"/>
                <w:szCs w:val="22"/>
              </w:rPr>
              <w:t>6</w:t>
            </w:r>
          </w:p>
        </w:tc>
        <w:tc>
          <w:tcPr>
            <w:tcW w:w="1044"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078161E8" w14:textId="77777777" w:rsidR="006437BD" w:rsidRDefault="006437BD" w:rsidP="006437BD">
            <w:pPr>
              <w:spacing w:line="276" w:lineRule="auto"/>
              <w:jc w:val="right"/>
              <w:rPr>
                <w:sz w:val="22"/>
                <w:szCs w:val="22"/>
              </w:rPr>
            </w:pPr>
          </w:p>
        </w:tc>
        <w:tc>
          <w:tcPr>
            <w:tcW w:w="1044"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0995B97B" w14:textId="77777777" w:rsidR="006437BD" w:rsidRDefault="006437BD" w:rsidP="006437BD">
            <w:pPr>
              <w:spacing w:line="276" w:lineRule="auto"/>
              <w:jc w:val="right"/>
              <w:rPr>
                <w:sz w:val="22"/>
                <w:szCs w:val="22"/>
              </w:rPr>
            </w:pPr>
          </w:p>
        </w:tc>
        <w:tc>
          <w:tcPr>
            <w:tcW w:w="1151"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4FF96000" w14:textId="77777777" w:rsidR="006437BD" w:rsidRDefault="006437BD" w:rsidP="006437BD">
            <w:pPr>
              <w:spacing w:line="276" w:lineRule="auto"/>
              <w:jc w:val="right"/>
              <w:rPr>
                <w:sz w:val="22"/>
                <w:szCs w:val="22"/>
              </w:rPr>
            </w:pPr>
            <w:r>
              <w:rPr>
                <w:sz w:val="22"/>
                <w:szCs w:val="22"/>
              </w:rPr>
              <w:t>38</w:t>
            </w:r>
          </w:p>
        </w:tc>
      </w:tr>
    </w:tbl>
    <w:p w14:paraId="5EFF1029" w14:textId="77777777" w:rsidR="006437BD" w:rsidRDefault="006437BD" w:rsidP="006437BD">
      <w:pPr>
        <w:pBdr>
          <w:top w:val="nil"/>
          <w:left w:val="nil"/>
          <w:bottom w:val="nil"/>
          <w:right w:val="nil"/>
          <w:between w:val="nil"/>
        </w:pBdr>
        <w:jc w:val="both"/>
        <w:rPr>
          <w:color w:val="FF0000"/>
        </w:rPr>
      </w:pPr>
    </w:p>
    <w:p w14:paraId="7A1BEF53" w14:textId="77777777" w:rsidR="006437BD" w:rsidRDefault="006437BD" w:rsidP="006437BD">
      <w:pPr>
        <w:pBdr>
          <w:top w:val="nil"/>
          <w:left w:val="nil"/>
          <w:bottom w:val="nil"/>
          <w:right w:val="nil"/>
          <w:between w:val="nil"/>
        </w:pBdr>
        <w:jc w:val="both"/>
        <w:rPr>
          <w:color w:val="00000A"/>
          <w:sz w:val="20"/>
          <w:szCs w:val="20"/>
        </w:rPr>
      </w:pPr>
    </w:p>
    <w:p w14:paraId="1CB93BB7" w14:textId="77777777" w:rsidR="006437BD" w:rsidRDefault="006437BD" w:rsidP="006437BD">
      <w:pPr>
        <w:pBdr>
          <w:top w:val="nil"/>
          <w:left w:val="nil"/>
          <w:bottom w:val="nil"/>
          <w:right w:val="nil"/>
          <w:between w:val="nil"/>
        </w:pBdr>
        <w:rPr>
          <w:color w:val="FF0000"/>
          <w:sz w:val="20"/>
          <w:szCs w:val="20"/>
        </w:rPr>
      </w:pPr>
    </w:p>
    <w:p w14:paraId="09349900" w14:textId="77777777" w:rsidR="006437BD" w:rsidRDefault="006437BD" w:rsidP="006437BD">
      <w:pPr>
        <w:pBdr>
          <w:top w:val="nil"/>
          <w:left w:val="nil"/>
          <w:bottom w:val="nil"/>
          <w:right w:val="nil"/>
          <w:between w:val="nil"/>
        </w:pBdr>
        <w:jc w:val="both"/>
        <w:rPr>
          <w:color w:val="00000A"/>
          <w:sz w:val="28"/>
          <w:szCs w:val="28"/>
        </w:rPr>
      </w:pPr>
      <w:r>
        <w:rPr>
          <w:b/>
          <w:color w:val="000000"/>
          <w:sz w:val="28"/>
          <w:szCs w:val="28"/>
        </w:rPr>
        <w:t>11.3. Mobility zamestnancov</w:t>
      </w:r>
    </w:p>
    <w:p w14:paraId="41DE4D59" w14:textId="77777777" w:rsidR="006437BD" w:rsidRDefault="006437BD" w:rsidP="006437BD">
      <w:pPr>
        <w:pBdr>
          <w:top w:val="nil"/>
          <w:left w:val="nil"/>
          <w:bottom w:val="nil"/>
          <w:right w:val="nil"/>
          <w:between w:val="nil"/>
        </w:pBdr>
        <w:jc w:val="both"/>
        <w:rPr>
          <w:color w:val="00000A"/>
          <w:sz w:val="20"/>
          <w:szCs w:val="20"/>
        </w:rPr>
      </w:pPr>
    </w:p>
    <w:p w14:paraId="084A1997" w14:textId="77777777" w:rsidR="006437BD" w:rsidRDefault="006437BD" w:rsidP="006437BD">
      <w:pPr>
        <w:pBdr>
          <w:top w:val="nil"/>
          <w:left w:val="nil"/>
          <w:bottom w:val="nil"/>
          <w:right w:val="nil"/>
          <w:between w:val="nil"/>
        </w:pBdr>
        <w:jc w:val="both"/>
        <w:rPr>
          <w:color w:val="00000A"/>
        </w:rPr>
      </w:pPr>
      <w:r>
        <w:rPr>
          <w:color w:val="00000A"/>
        </w:rPr>
        <w:t>Mobility vysokoškolských učiteľov a výskumných pracovníkov sú nielen prínosom krajiny pôvodu a ich alma-mater, ale aj pre hostiteľské krajiny a prijímajúce inštitúcie. Mobility učiteľov a výskumných zamestnancov sú zamerané najmä na realizáciu výučby a výskumu na partnerskej inštitúcii. V prípade mobilít administratívnych zamestnancov ide predovšetkým o školenia, alebo tzv. job shadowing, prípadne účasť na takzvaných „Staff week“, ktorých sa môžu zúčastniť zamestnanci Útvaru medzinárodných vzťahov a taktiež aj fakultný Erasmus+ koordinátori. Univerzita realizovala mobility študentov, zamestnancov a prijímanie zahraničných zamestnancov prevažne cez nasledujúce medzinárodné programy:</w:t>
      </w:r>
    </w:p>
    <w:p w14:paraId="1DC4698F" w14:textId="77777777" w:rsidR="006437BD" w:rsidRDefault="006437BD" w:rsidP="00E027F7">
      <w:pPr>
        <w:numPr>
          <w:ilvl w:val="0"/>
          <w:numId w:val="34"/>
        </w:numPr>
        <w:pBdr>
          <w:top w:val="nil"/>
          <w:left w:val="nil"/>
          <w:bottom w:val="nil"/>
          <w:right w:val="nil"/>
          <w:between w:val="nil"/>
        </w:pBdr>
        <w:jc w:val="both"/>
        <w:rPr>
          <w:color w:val="00000A"/>
        </w:rPr>
      </w:pPr>
      <w:r>
        <w:rPr>
          <w:color w:val="00000A"/>
        </w:rPr>
        <w:t>Erasmus+ podporuje mobility študentov, učiteľov a zamestnancov zo zdrojov Európskej únie.</w:t>
      </w:r>
    </w:p>
    <w:p w14:paraId="1312532A" w14:textId="77777777" w:rsidR="006437BD" w:rsidRDefault="006437BD" w:rsidP="00E027F7">
      <w:pPr>
        <w:numPr>
          <w:ilvl w:val="0"/>
          <w:numId w:val="34"/>
        </w:numPr>
        <w:pBdr>
          <w:top w:val="nil"/>
          <w:left w:val="nil"/>
          <w:bottom w:val="nil"/>
          <w:right w:val="nil"/>
          <w:between w:val="nil"/>
        </w:pBdr>
        <w:jc w:val="both"/>
        <w:rPr>
          <w:color w:val="00000A"/>
        </w:rPr>
      </w:pPr>
      <w:r>
        <w:rPr>
          <w:color w:val="00000A"/>
        </w:rPr>
        <w:t>Národný štipendijný program Slovenskej republiky (NŠP) – určený na podporu mobilít študentov, doktorandov, vysokoškolských učiteľov, a výskumných/umeleckých zamestnancov. Je financovaný</w:t>
      </w:r>
    </w:p>
    <w:p w14:paraId="410D3F49" w14:textId="77777777" w:rsidR="006437BD" w:rsidRDefault="006437BD" w:rsidP="006437BD">
      <w:pPr>
        <w:pBdr>
          <w:top w:val="nil"/>
          <w:left w:val="nil"/>
          <w:bottom w:val="nil"/>
          <w:right w:val="nil"/>
          <w:between w:val="nil"/>
        </w:pBdr>
        <w:ind w:firstLine="708"/>
        <w:jc w:val="both"/>
        <w:rPr>
          <w:color w:val="00000A"/>
        </w:rPr>
      </w:pPr>
      <w:r>
        <w:rPr>
          <w:color w:val="00000A"/>
        </w:rPr>
        <w:t>Ministerstvom školstva, vedy, výskumu a športu SR.</w:t>
      </w:r>
    </w:p>
    <w:p w14:paraId="3441A2DF" w14:textId="77777777" w:rsidR="006437BD" w:rsidRDefault="006437BD" w:rsidP="00E027F7">
      <w:pPr>
        <w:numPr>
          <w:ilvl w:val="0"/>
          <w:numId w:val="34"/>
        </w:numPr>
        <w:pBdr>
          <w:top w:val="nil"/>
          <w:left w:val="nil"/>
          <w:bottom w:val="nil"/>
          <w:right w:val="nil"/>
          <w:between w:val="nil"/>
        </w:pBdr>
        <w:jc w:val="both"/>
        <w:rPr>
          <w:color w:val="00000A"/>
        </w:rPr>
      </w:pPr>
      <w:r>
        <w:rPr>
          <w:color w:val="00000A"/>
        </w:rPr>
        <w:t>CEEPUS – stredoeurópsky výmenný program pre univerzitné štúdiá podporuje akademické mobility v strednej, východnej a juhovýchodnej Európe, prispieva k európskej integrácii a zdôrazňuje regionálne špecifiká.</w:t>
      </w:r>
    </w:p>
    <w:p w14:paraId="55120633" w14:textId="77777777" w:rsidR="006437BD" w:rsidRDefault="006437BD" w:rsidP="006437BD">
      <w:pPr>
        <w:pBdr>
          <w:top w:val="nil"/>
          <w:left w:val="nil"/>
          <w:bottom w:val="nil"/>
          <w:right w:val="nil"/>
          <w:between w:val="nil"/>
        </w:pBdr>
        <w:jc w:val="both"/>
        <w:rPr>
          <w:color w:val="FF0000"/>
        </w:rPr>
      </w:pPr>
    </w:p>
    <w:p w14:paraId="2F84AD6B" w14:textId="77777777" w:rsidR="006437BD" w:rsidRDefault="006437BD" w:rsidP="006437BD">
      <w:pPr>
        <w:pBdr>
          <w:top w:val="nil"/>
          <w:left w:val="nil"/>
          <w:bottom w:val="nil"/>
          <w:right w:val="nil"/>
          <w:between w:val="nil"/>
        </w:pBdr>
        <w:jc w:val="both"/>
        <w:rPr>
          <w:color w:val="FF0000"/>
        </w:rPr>
      </w:pPr>
    </w:p>
    <w:p w14:paraId="503ED073" w14:textId="77777777" w:rsidR="00573738" w:rsidRDefault="00573738" w:rsidP="006437BD">
      <w:pPr>
        <w:pBdr>
          <w:top w:val="nil"/>
          <w:left w:val="nil"/>
          <w:bottom w:val="nil"/>
          <w:right w:val="nil"/>
          <w:between w:val="nil"/>
        </w:pBdr>
        <w:tabs>
          <w:tab w:val="left" w:pos="709"/>
        </w:tabs>
        <w:jc w:val="both"/>
        <w:rPr>
          <w:b/>
          <w:color w:val="000000"/>
          <w:sz w:val="28"/>
          <w:szCs w:val="28"/>
        </w:rPr>
      </w:pPr>
    </w:p>
    <w:p w14:paraId="0FFDA203" w14:textId="72E181D5" w:rsidR="006437BD" w:rsidRDefault="006437BD" w:rsidP="006437BD">
      <w:pPr>
        <w:pBdr>
          <w:top w:val="nil"/>
          <w:left w:val="nil"/>
          <w:bottom w:val="nil"/>
          <w:right w:val="nil"/>
          <w:between w:val="nil"/>
        </w:pBdr>
        <w:tabs>
          <w:tab w:val="left" w:pos="709"/>
        </w:tabs>
        <w:jc w:val="both"/>
        <w:rPr>
          <w:color w:val="00000A"/>
          <w:sz w:val="28"/>
          <w:szCs w:val="28"/>
        </w:rPr>
      </w:pPr>
      <w:r>
        <w:rPr>
          <w:b/>
          <w:color w:val="000000"/>
          <w:sz w:val="28"/>
          <w:szCs w:val="28"/>
        </w:rPr>
        <w:lastRenderedPageBreak/>
        <w:t>11.4. Pôsobenie STU v medzinárodných organizáciách a sieťach</w:t>
      </w:r>
    </w:p>
    <w:p w14:paraId="103D1327" w14:textId="77777777" w:rsidR="006437BD" w:rsidRDefault="006437BD" w:rsidP="006437BD">
      <w:pPr>
        <w:pBdr>
          <w:top w:val="nil"/>
          <w:left w:val="nil"/>
          <w:bottom w:val="nil"/>
          <w:right w:val="nil"/>
          <w:between w:val="nil"/>
        </w:pBdr>
        <w:jc w:val="both"/>
        <w:rPr>
          <w:color w:val="00000A"/>
        </w:rPr>
      </w:pPr>
    </w:p>
    <w:p w14:paraId="12146C47" w14:textId="77777777" w:rsidR="006437BD" w:rsidRDefault="006437BD" w:rsidP="006437BD">
      <w:pPr>
        <w:pBdr>
          <w:top w:val="nil"/>
          <w:left w:val="nil"/>
          <w:bottom w:val="nil"/>
          <w:right w:val="nil"/>
          <w:between w:val="nil"/>
        </w:pBdr>
        <w:jc w:val="both"/>
        <w:rPr>
          <w:color w:val="00000A"/>
        </w:rPr>
      </w:pPr>
      <w:r>
        <w:rPr>
          <w:color w:val="00000A"/>
        </w:rPr>
        <w:t>Slovenská technická univerzita v Bratislave, jej súčasti a jednotliví zamestnanci sa podieľajú na medzinárodnej spolupráci svojim pôsobením vo významných európskych a svetových odborných, vedeckých, technických, umeleckých organizáciách a združeniach. S rastúcou mierou globalizácie rastie aj význam medzinárodnej spolupráce univerzity so zahraničnými inštitúciami. Aj členstvom v medzinárodne uznávaných organizáciách sa vytvára platforma na pozitívnu propagáciu STU v globálnom kontexte.</w:t>
      </w:r>
    </w:p>
    <w:p w14:paraId="348AA09B" w14:textId="77777777" w:rsidR="006437BD" w:rsidRDefault="006437BD" w:rsidP="006437BD">
      <w:pPr>
        <w:pBdr>
          <w:top w:val="nil"/>
          <w:left w:val="nil"/>
          <w:bottom w:val="nil"/>
          <w:right w:val="nil"/>
          <w:between w:val="nil"/>
        </w:pBdr>
        <w:jc w:val="both"/>
        <w:rPr>
          <w:color w:val="00000A"/>
        </w:rPr>
      </w:pPr>
      <w:r>
        <w:rPr>
          <w:color w:val="00000A"/>
        </w:rPr>
        <w:t>STU bola v sledovanom roku inštitucionálny člen v nasledujúcich organizáciách:</w:t>
      </w:r>
    </w:p>
    <w:p w14:paraId="454038B8" w14:textId="77777777" w:rsidR="006437BD" w:rsidRDefault="006437BD" w:rsidP="00E027F7">
      <w:pPr>
        <w:numPr>
          <w:ilvl w:val="0"/>
          <w:numId w:val="38"/>
        </w:numPr>
        <w:pBdr>
          <w:top w:val="nil"/>
          <w:left w:val="nil"/>
          <w:bottom w:val="nil"/>
          <w:right w:val="nil"/>
          <w:between w:val="nil"/>
        </w:pBdr>
        <w:jc w:val="both"/>
        <w:rPr>
          <w:b/>
          <w:color w:val="00000A"/>
        </w:rPr>
      </w:pPr>
      <w:r>
        <w:rPr>
          <w:b/>
          <w:color w:val="00000A"/>
        </w:rPr>
        <w:t>European University Association (EUA)</w:t>
      </w:r>
    </w:p>
    <w:p w14:paraId="4BCCBF96" w14:textId="77777777" w:rsidR="006437BD" w:rsidRDefault="006437BD" w:rsidP="006437BD">
      <w:pPr>
        <w:pBdr>
          <w:top w:val="nil"/>
          <w:left w:val="nil"/>
          <w:bottom w:val="nil"/>
          <w:right w:val="nil"/>
          <w:between w:val="nil"/>
        </w:pBdr>
        <w:jc w:val="both"/>
        <w:rPr>
          <w:color w:val="00000A"/>
        </w:rPr>
      </w:pPr>
      <w:r>
        <w:rPr>
          <w:color w:val="00000A"/>
        </w:rPr>
        <w:t>Patrí k najvýznamnejším organizáciám ovplyvňujúcim vysokoškolskú a vedeckú politiku Európskej únie. Poskytuje jedinečné odborné hodnotenie vysokoškolského vzdelávania a vedy, ako i platformu na výmenu skúseností a vízií v predmetnej oblasti. STU je jej dlhoročným členom.</w:t>
      </w:r>
    </w:p>
    <w:p w14:paraId="08DEC80B" w14:textId="77777777" w:rsidR="006437BD" w:rsidRDefault="006437BD" w:rsidP="00E027F7">
      <w:pPr>
        <w:numPr>
          <w:ilvl w:val="0"/>
          <w:numId w:val="38"/>
        </w:numPr>
        <w:pBdr>
          <w:top w:val="nil"/>
          <w:left w:val="nil"/>
          <w:bottom w:val="nil"/>
          <w:right w:val="nil"/>
          <w:between w:val="nil"/>
        </w:pBdr>
        <w:jc w:val="both"/>
        <w:rPr>
          <w:b/>
          <w:color w:val="00000A"/>
        </w:rPr>
      </w:pPr>
      <w:r>
        <w:rPr>
          <w:b/>
          <w:color w:val="00000A"/>
        </w:rPr>
        <w:t>European Society for Engineering Education (SEFI)</w:t>
      </w:r>
    </w:p>
    <w:p w14:paraId="65AD0CB6" w14:textId="77777777" w:rsidR="006437BD" w:rsidRDefault="006437BD" w:rsidP="006437BD">
      <w:pPr>
        <w:pBdr>
          <w:top w:val="nil"/>
          <w:left w:val="nil"/>
          <w:bottom w:val="nil"/>
          <w:right w:val="nil"/>
          <w:between w:val="nil"/>
        </w:pBdr>
        <w:jc w:val="both"/>
        <w:rPr>
          <w:color w:val="00000A"/>
        </w:rPr>
      </w:pPr>
      <w:r>
        <w:rPr>
          <w:color w:val="00000A"/>
        </w:rPr>
        <w:t>STU ako technicky orientovaná univerzita je dlhodobým členom nezávislého medzinárodného fóra na diskusie o problémoch a možnostiach ich riešenia v inžinierskom vzdelávaní. Okrem iného je cieľom SEFI prispieť k rozvoju a zlepšeniu vysokoškolského inžinierskeho štúdia a zlepšiť komunikáciu a mobilitu profesorov, výskumných pracovníkov a študentov v Európe.</w:t>
      </w:r>
    </w:p>
    <w:p w14:paraId="3ACD7D3B" w14:textId="77777777" w:rsidR="006437BD" w:rsidRDefault="006437BD" w:rsidP="00E027F7">
      <w:pPr>
        <w:numPr>
          <w:ilvl w:val="0"/>
          <w:numId w:val="35"/>
        </w:numPr>
        <w:pBdr>
          <w:top w:val="nil"/>
          <w:left w:val="nil"/>
          <w:bottom w:val="nil"/>
          <w:right w:val="nil"/>
          <w:between w:val="nil"/>
        </w:pBdr>
        <w:jc w:val="both"/>
        <w:rPr>
          <w:b/>
          <w:color w:val="00000A"/>
        </w:rPr>
      </w:pPr>
      <w:r>
        <w:rPr>
          <w:b/>
          <w:color w:val="00000A"/>
        </w:rPr>
        <w:t>CESAER-</w:t>
      </w:r>
      <w:r>
        <w:rPr>
          <w:color w:val="00000A"/>
        </w:rPr>
        <w:t xml:space="preserve">  neziskové združenie univerzít vedy a techniky v Európe, ktorého sa STU stala členom v roku 2022</w:t>
      </w:r>
    </w:p>
    <w:p w14:paraId="784A1579" w14:textId="77777777" w:rsidR="006437BD" w:rsidRDefault="006437BD" w:rsidP="006437BD">
      <w:pPr>
        <w:pBdr>
          <w:top w:val="nil"/>
          <w:left w:val="nil"/>
          <w:bottom w:val="nil"/>
          <w:right w:val="nil"/>
          <w:between w:val="nil"/>
        </w:pBdr>
        <w:spacing w:before="120"/>
        <w:jc w:val="both"/>
        <w:rPr>
          <w:color w:val="00000A"/>
        </w:rPr>
      </w:pPr>
      <w:r>
        <w:rPr>
          <w:color w:val="00000A"/>
        </w:rPr>
        <w:t>Fakulty STU sú členmi nasledovných medzinárodných organizácií:</w:t>
      </w:r>
    </w:p>
    <w:p w14:paraId="4D26C961" w14:textId="77777777" w:rsidR="006437BD" w:rsidRDefault="006437BD" w:rsidP="006437BD">
      <w:pPr>
        <w:pBdr>
          <w:top w:val="nil"/>
          <w:left w:val="nil"/>
          <w:bottom w:val="nil"/>
          <w:right w:val="nil"/>
          <w:between w:val="nil"/>
        </w:pBdr>
        <w:jc w:val="both"/>
        <w:rPr>
          <w:color w:val="00000A"/>
        </w:rPr>
      </w:pPr>
      <w:r>
        <w:rPr>
          <w:b/>
          <w:color w:val="00000A"/>
        </w:rPr>
        <w:t>Stavebná fakulta</w:t>
      </w:r>
      <w:r>
        <w:rPr>
          <w:color w:val="00000A"/>
        </w:rPr>
        <w:t>:</w:t>
      </w:r>
    </w:p>
    <w:p w14:paraId="640862FB" w14:textId="77777777" w:rsidR="006437BD" w:rsidRDefault="006437BD" w:rsidP="00E027F7">
      <w:pPr>
        <w:numPr>
          <w:ilvl w:val="0"/>
          <w:numId w:val="34"/>
        </w:numPr>
        <w:pBdr>
          <w:top w:val="nil"/>
          <w:left w:val="nil"/>
          <w:bottom w:val="nil"/>
          <w:right w:val="nil"/>
          <w:between w:val="nil"/>
        </w:pBdr>
        <w:jc w:val="both"/>
        <w:rPr>
          <w:color w:val="00000A"/>
        </w:rPr>
      </w:pPr>
      <w:r>
        <w:rPr>
          <w:color w:val="00000A"/>
        </w:rPr>
        <w:t>Federation of European Heating, Ventilation and Air-conditioning Associations (REHVA)</w:t>
      </w:r>
    </w:p>
    <w:p w14:paraId="30CA21BC" w14:textId="77777777" w:rsidR="006437BD" w:rsidRDefault="006437BD" w:rsidP="006437BD">
      <w:pPr>
        <w:pBdr>
          <w:top w:val="nil"/>
          <w:left w:val="nil"/>
          <w:bottom w:val="nil"/>
          <w:right w:val="nil"/>
          <w:between w:val="nil"/>
        </w:pBdr>
        <w:jc w:val="both"/>
        <w:rPr>
          <w:b/>
          <w:color w:val="00000A"/>
        </w:rPr>
      </w:pPr>
      <w:r>
        <w:rPr>
          <w:b/>
          <w:color w:val="00000A"/>
        </w:rPr>
        <w:t>Strojnícka fakulta:</w:t>
      </w:r>
    </w:p>
    <w:p w14:paraId="557CE803" w14:textId="77777777" w:rsidR="006437BD" w:rsidRDefault="006437BD" w:rsidP="00E027F7">
      <w:pPr>
        <w:numPr>
          <w:ilvl w:val="0"/>
          <w:numId w:val="33"/>
        </w:numPr>
        <w:pBdr>
          <w:top w:val="nil"/>
          <w:left w:val="nil"/>
          <w:bottom w:val="nil"/>
          <w:right w:val="nil"/>
          <w:between w:val="nil"/>
        </w:pBdr>
        <w:jc w:val="both"/>
        <w:rPr>
          <w:color w:val="00000A"/>
        </w:rPr>
      </w:pPr>
      <w:r>
        <w:rPr>
          <w:color w:val="00000A"/>
        </w:rPr>
        <w:t>Federation of European Materials Societies (FEMS)</w:t>
      </w:r>
    </w:p>
    <w:p w14:paraId="33DD9634" w14:textId="77777777" w:rsidR="006437BD" w:rsidRDefault="006437BD" w:rsidP="00E027F7">
      <w:pPr>
        <w:numPr>
          <w:ilvl w:val="0"/>
          <w:numId w:val="33"/>
        </w:numPr>
        <w:pBdr>
          <w:top w:val="nil"/>
          <w:left w:val="nil"/>
          <w:bottom w:val="nil"/>
          <w:right w:val="nil"/>
          <w:between w:val="nil"/>
        </w:pBdr>
        <w:jc w:val="both"/>
        <w:rPr>
          <w:color w:val="00000A"/>
        </w:rPr>
      </w:pPr>
      <w:r>
        <w:rPr>
          <w:color w:val="00000A"/>
        </w:rPr>
        <w:t>European Automobile Enginneers Cooperation (EAEC)</w:t>
      </w:r>
    </w:p>
    <w:p w14:paraId="56D81DEF" w14:textId="77777777" w:rsidR="006437BD" w:rsidRDefault="006437BD" w:rsidP="00E027F7">
      <w:pPr>
        <w:numPr>
          <w:ilvl w:val="0"/>
          <w:numId w:val="33"/>
        </w:numPr>
        <w:pBdr>
          <w:top w:val="nil"/>
          <w:left w:val="nil"/>
          <w:bottom w:val="nil"/>
          <w:right w:val="nil"/>
          <w:between w:val="nil"/>
        </w:pBdr>
        <w:jc w:val="both"/>
        <w:rPr>
          <w:color w:val="00000A"/>
        </w:rPr>
      </w:pPr>
      <w:r>
        <w:rPr>
          <w:color w:val="00000A"/>
        </w:rPr>
        <w:t>International Society for Geometry and Graphics (ISGG)</w:t>
      </w:r>
    </w:p>
    <w:p w14:paraId="3C0139E2" w14:textId="77777777" w:rsidR="006437BD" w:rsidRDefault="006437BD" w:rsidP="00E027F7">
      <w:pPr>
        <w:numPr>
          <w:ilvl w:val="0"/>
          <w:numId w:val="33"/>
        </w:numPr>
        <w:pBdr>
          <w:top w:val="nil"/>
          <w:left w:val="nil"/>
          <w:bottom w:val="nil"/>
          <w:right w:val="nil"/>
          <w:between w:val="nil"/>
        </w:pBdr>
        <w:jc w:val="both"/>
        <w:rPr>
          <w:color w:val="00000A"/>
        </w:rPr>
      </w:pPr>
      <w:r>
        <w:rPr>
          <w:color w:val="00000A"/>
        </w:rPr>
        <w:t>International Federation of Automatic Control (IFAC)</w:t>
      </w:r>
    </w:p>
    <w:p w14:paraId="161667B3" w14:textId="77777777" w:rsidR="006437BD" w:rsidRDefault="006437BD" w:rsidP="00E027F7">
      <w:pPr>
        <w:numPr>
          <w:ilvl w:val="0"/>
          <w:numId w:val="33"/>
        </w:numPr>
        <w:pBdr>
          <w:top w:val="nil"/>
          <w:left w:val="nil"/>
          <w:bottom w:val="nil"/>
          <w:right w:val="nil"/>
          <w:between w:val="nil"/>
        </w:pBdr>
        <w:jc w:val="both"/>
        <w:rPr>
          <w:color w:val="00000A"/>
        </w:rPr>
      </w:pPr>
      <w:r>
        <w:rPr>
          <w:color w:val="00000A"/>
        </w:rPr>
        <w:t>International Institute of Noise Control Engineering (I-INCE)</w:t>
      </w:r>
    </w:p>
    <w:p w14:paraId="7494F446" w14:textId="77777777" w:rsidR="006437BD" w:rsidRDefault="006437BD" w:rsidP="00E027F7">
      <w:pPr>
        <w:numPr>
          <w:ilvl w:val="0"/>
          <w:numId w:val="33"/>
        </w:numPr>
        <w:pBdr>
          <w:top w:val="nil"/>
          <w:left w:val="nil"/>
          <w:bottom w:val="nil"/>
          <w:right w:val="nil"/>
          <w:between w:val="nil"/>
        </w:pBdr>
        <w:jc w:val="both"/>
        <w:rPr>
          <w:color w:val="00000A"/>
        </w:rPr>
      </w:pPr>
      <w:r>
        <w:rPr>
          <w:color w:val="00000A"/>
        </w:rPr>
        <w:t>International Institute of Refrigeration (IIR)</w:t>
      </w:r>
    </w:p>
    <w:p w14:paraId="116C0EC1" w14:textId="77777777" w:rsidR="006437BD" w:rsidRDefault="006437BD" w:rsidP="00E027F7">
      <w:pPr>
        <w:numPr>
          <w:ilvl w:val="0"/>
          <w:numId w:val="33"/>
        </w:numPr>
        <w:pBdr>
          <w:top w:val="nil"/>
          <w:left w:val="nil"/>
          <w:bottom w:val="nil"/>
          <w:right w:val="nil"/>
          <w:between w:val="nil"/>
        </w:pBdr>
        <w:jc w:val="both"/>
        <w:rPr>
          <w:color w:val="00000A"/>
        </w:rPr>
      </w:pPr>
      <w:r>
        <w:rPr>
          <w:color w:val="00000A"/>
        </w:rPr>
        <w:t>International Federation for the Promotion of Mechanism and Machine Science (IFToMM)</w:t>
      </w:r>
    </w:p>
    <w:p w14:paraId="797EB62F" w14:textId="77777777" w:rsidR="006437BD" w:rsidRDefault="006437BD" w:rsidP="00E027F7">
      <w:pPr>
        <w:numPr>
          <w:ilvl w:val="0"/>
          <w:numId w:val="33"/>
        </w:numPr>
        <w:pBdr>
          <w:top w:val="nil"/>
          <w:left w:val="nil"/>
          <w:bottom w:val="nil"/>
          <w:right w:val="nil"/>
          <w:between w:val="nil"/>
        </w:pBdr>
        <w:jc w:val="both"/>
        <w:rPr>
          <w:color w:val="00000A"/>
        </w:rPr>
      </w:pPr>
      <w:r>
        <w:rPr>
          <w:color w:val="00000A"/>
        </w:rPr>
        <w:t>Fedération Internationale des Societés d'Ingénieurs de Techniques de l'Automobile (FISITA)</w:t>
      </w:r>
    </w:p>
    <w:p w14:paraId="0D20327F" w14:textId="77777777" w:rsidR="006437BD" w:rsidRDefault="006437BD" w:rsidP="00E027F7">
      <w:pPr>
        <w:numPr>
          <w:ilvl w:val="0"/>
          <w:numId w:val="33"/>
        </w:numPr>
        <w:pBdr>
          <w:top w:val="nil"/>
          <w:left w:val="nil"/>
          <w:bottom w:val="nil"/>
          <w:right w:val="nil"/>
          <w:between w:val="nil"/>
        </w:pBdr>
        <w:jc w:val="both"/>
        <w:rPr>
          <w:color w:val="00000A"/>
        </w:rPr>
      </w:pPr>
      <w:r>
        <w:rPr>
          <w:color w:val="00000A"/>
        </w:rPr>
        <w:t>Česká slévárenská společnost</w:t>
      </w:r>
    </w:p>
    <w:p w14:paraId="273DEAB6" w14:textId="77777777" w:rsidR="006437BD" w:rsidRDefault="006437BD" w:rsidP="00E027F7">
      <w:pPr>
        <w:numPr>
          <w:ilvl w:val="0"/>
          <w:numId w:val="33"/>
        </w:numPr>
        <w:pBdr>
          <w:top w:val="nil"/>
          <w:left w:val="nil"/>
          <w:bottom w:val="nil"/>
          <w:right w:val="nil"/>
          <w:between w:val="nil"/>
        </w:pBdr>
        <w:jc w:val="both"/>
        <w:rPr>
          <w:color w:val="00000A"/>
        </w:rPr>
      </w:pPr>
      <w:r>
        <w:rPr>
          <w:color w:val="00000A"/>
        </w:rPr>
        <w:t>International Society for Geometry and Graphics</w:t>
      </w:r>
    </w:p>
    <w:p w14:paraId="0D6200EB" w14:textId="77777777" w:rsidR="006437BD" w:rsidRDefault="006437BD" w:rsidP="00E027F7">
      <w:pPr>
        <w:numPr>
          <w:ilvl w:val="0"/>
          <w:numId w:val="33"/>
        </w:numPr>
        <w:pBdr>
          <w:top w:val="nil"/>
          <w:left w:val="nil"/>
          <w:bottom w:val="nil"/>
          <w:right w:val="nil"/>
          <w:between w:val="nil"/>
        </w:pBdr>
        <w:jc w:val="both"/>
        <w:rPr>
          <w:color w:val="00000A"/>
        </w:rPr>
      </w:pPr>
      <w:r>
        <w:rPr>
          <w:color w:val="00000A"/>
        </w:rPr>
        <w:t>Federation of European Materials Societies</w:t>
      </w:r>
    </w:p>
    <w:p w14:paraId="03C9DEB6" w14:textId="77777777" w:rsidR="006437BD" w:rsidRDefault="006437BD" w:rsidP="006437BD">
      <w:pPr>
        <w:pBdr>
          <w:top w:val="nil"/>
          <w:left w:val="nil"/>
          <w:bottom w:val="nil"/>
          <w:right w:val="nil"/>
          <w:between w:val="nil"/>
        </w:pBdr>
        <w:jc w:val="both"/>
        <w:rPr>
          <w:b/>
          <w:color w:val="00000A"/>
        </w:rPr>
      </w:pPr>
      <w:r>
        <w:rPr>
          <w:b/>
          <w:color w:val="00000A"/>
        </w:rPr>
        <w:t>Materiálovotechnologická fakulta v Trnave:</w:t>
      </w:r>
    </w:p>
    <w:p w14:paraId="7271AD74" w14:textId="77777777" w:rsidR="006437BD" w:rsidRDefault="006437BD" w:rsidP="00E027F7">
      <w:pPr>
        <w:numPr>
          <w:ilvl w:val="0"/>
          <w:numId w:val="40"/>
        </w:numPr>
        <w:pBdr>
          <w:top w:val="nil"/>
          <w:left w:val="nil"/>
          <w:bottom w:val="nil"/>
          <w:right w:val="nil"/>
          <w:between w:val="nil"/>
        </w:pBdr>
        <w:jc w:val="both"/>
        <w:rPr>
          <w:color w:val="00000A"/>
        </w:rPr>
      </w:pPr>
      <w:r>
        <w:rPr>
          <w:color w:val="00000A"/>
        </w:rPr>
        <w:t>European Alliance for Innovation (EAI)</w:t>
      </w:r>
    </w:p>
    <w:p w14:paraId="0E1823F8" w14:textId="77777777" w:rsidR="006437BD" w:rsidRDefault="006437BD" w:rsidP="00E027F7">
      <w:pPr>
        <w:numPr>
          <w:ilvl w:val="0"/>
          <w:numId w:val="40"/>
        </w:numPr>
        <w:pBdr>
          <w:top w:val="nil"/>
          <w:left w:val="nil"/>
          <w:bottom w:val="nil"/>
          <w:right w:val="nil"/>
          <w:between w:val="nil"/>
        </w:pBdr>
        <w:jc w:val="both"/>
        <w:rPr>
          <w:color w:val="00000A"/>
        </w:rPr>
      </w:pPr>
      <w:r>
        <w:rPr>
          <w:color w:val="00000A"/>
        </w:rPr>
        <w:t>European Network Education and Training in Occupational Safety and Health (ENETOSH)</w:t>
      </w:r>
    </w:p>
    <w:p w14:paraId="4F289911" w14:textId="77777777" w:rsidR="006437BD" w:rsidRDefault="006437BD" w:rsidP="00E027F7">
      <w:pPr>
        <w:numPr>
          <w:ilvl w:val="0"/>
          <w:numId w:val="40"/>
        </w:numPr>
        <w:pBdr>
          <w:top w:val="nil"/>
          <w:left w:val="nil"/>
          <w:bottom w:val="nil"/>
          <w:right w:val="nil"/>
          <w:between w:val="nil"/>
        </w:pBdr>
        <w:jc w:val="both"/>
        <w:rPr>
          <w:color w:val="00000A"/>
        </w:rPr>
      </w:pPr>
      <w:r>
        <w:rPr>
          <w:color w:val="00000A"/>
        </w:rPr>
        <w:t xml:space="preserve">European Platform of Women Scientists </w:t>
      </w:r>
    </w:p>
    <w:p w14:paraId="6384EEF3" w14:textId="77777777" w:rsidR="006437BD" w:rsidRDefault="006437BD" w:rsidP="00E027F7">
      <w:pPr>
        <w:numPr>
          <w:ilvl w:val="0"/>
          <w:numId w:val="40"/>
        </w:numPr>
        <w:pBdr>
          <w:top w:val="nil"/>
          <w:left w:val="nil"/>
          <w:bottom w:val="nil"/>
          <w:right w:val="nil"/>
          <w:between w:val="nil"/>
        </w:pBdr>
        <w:jc w:val="both"/>
        <w:rPr>
          <w:color w:val="00000A"/>
        </w:rPr>
      </w:pPr>
      <w:r>
        <w:rPr>
          <w:color w:val="00000A"/>
        </w:rPr>
        <w:t>KMM.VIN European Virtuall Institute On Based Multifunctional Materials AISBL</w:t>
      </w:r>
    </w:p>
    <w:p w14:paraId="7DCFCEF1" w14:textId="77777777" w:rsidR="006437BD" w:rsidRDefault="006437BD" w:rsidP="00E027F7">
      <w:pPr>
        <w:numPr>
          <w:ilvl w:val="0"/>
          <w:numId w:val="40"/>
        </w:numPr>
        <w:pBdr>
          <w:top w:val="nil"/>
          <w:left w:val="nil"/>
          <w:bottom w:val="nil"/>
          <w:right w:val="nil"/>
          <w:between w:val="nil"/>
        </w:pBdr>
        <w:jc w:val="both"/>
        <w:rPr>
          <w:color w:val="00000A"/>
        </w:rPr>
      </w:pPr>
      <w:r>
        <w:rPr>
          <w:color w:val="00000A"/>
        </w:rPr>
        <w:t>Asociace pro tepelné zpracování kovů (ATZK)</w:t>
      </w:r>
    </w:p>
    <w:p w14:paraId="2842FE9F" w14:textId="77777777" w:rsidR="006437BD" w:rsidRDefault="006437BD" w:rsidP="00E027F7">
      <w:pPr>
        <w:numPr>
          <w:ilvl w:val="0"/>
          <w:numId w:val="40"/>
        </w:numPr>
        <w:pBdr>
          <w:top w:val="nil"/>
          <w:left w:val="nil"/>
          <w:bottom w:val="nil"/>
          <w:right w:val="nil"/>
          <w:between w:val="nil"/>
        </w:pBdr>
        <w:jc w:val="both"/>
        <w:rPr>
          <w:color w:val="00000A"/>
        </w:rPr>
      </w:pPr>
      <w:r>
        <w:rPr>
          <w:color w:val="00000A"/>
        </w:rPr>
        <w:t>EEDC AISBL C/O SEFI AISBL European Engineering Deans Council</w:t>
      </w:r>
    </w:p>
    <w:p w14:paraId="75D2BD64" w14:textId="77777777" w:rsidR="00573738" w:rsidRDefault="00573738" w:rsidP="006437BD">
      <w:pPr>
        <w:pBdr>
          <w:top w:val="nil"/>
          <w:left w:val="nil"/>
          <w:bottom w:val="nil"/>
          <w:right w:val="nil"/>
          <w:between w:val="nil"/>
        </w:pBdr>
        <w:jc w:val="both"/>
        <w:rPr>
          <w:b/>
          <w:color w:val="00000A"/>
        </w:rPr>
      </w:pPr>
    </w:p>
    <w:p w14:paraId="2D2ED209" w14:textId="03C9F543" w:rsidR="006437BD" w:rsidRDefault="006437BD" w:rsidP="006437BD">
      <w:pPr>
        <w:pBdr>
          <w:top w:val="nil"/>
          <w:left w:val="nil"/>
          <w:bottom w:val="nil"/>
          <w:right w:val="nil"/>
          <w:between w:val="nil"/>
        </w:pBdr>
        <w:jc w:val="both"/>
        <w:rPr>
          <w:b/>
          <w:color w:val="00000A"/>
        </w:rPr>
      </w:pPr>
      <w:r>
        <w:rPr>
          <w:b/>
          <w:color w:val="00000A"/>
        </w:rPr>
        <w:lastRenderedPageBreak/>
        <w:t>Fakulta architektúry:</w:t>
      </w:r>
    </w:p>
    <w:p w14:paraId="783C668D" w14:textId="77777777" w:rsidR="006437BD" w:rsidRDefault="006437BD" w:rsidP="00E027F7">
      <w:pPr>
        <w:numPr>
          <w:ilvl w:val="0"/>
          <w:numId w:val="39"/>
        </w:numPr>
        <w:pBdr>
          <w:top w:val="nil"/>
          <w:left w:val="nil"/>
          <w:bottom w:val="nil"/>
          <w:right w:val="nil"/>
          <w:between w:val="nil"/>
        </w:pBdr>
        <w:jc w:val="both"/>
        <w:rPr>
          <w:color w:val="00000A"/>
        </w:rPr>
      </w:pPr>
      <w:r>
        <w:rPr>
          <w:color w:val="00000A"/>
        </w:rPr>
        <w:t>European Association for Architecture Education (EAAE)</w:t>
      </w:r>
    </w:p>
    <w:p w14:paraId="403733C5" w14:textId="77777777" w:rsidR="006437BD" w:rsidRDefault="006437BD" w:rsidP="00E027F7">
      <w:pPr>
        <w:numPr>
          <w:ilvl w:val="0"/>
          <w:numId w:val="39"/>
        </w:numPr>
        <w:pBdr>
          <w:top w:val="nil"/>
          <w:left w:val="nil"/>
          <w:bottom w:val="nil"/>
          <w:right w:val="nil"/>
          <w:between w:val="nil"/>
        </w:pBdr>
        <w:jc w:val="both"/>
        <w:rPr>
          <w:color w:val="00000A"/>
        </w:rPr>
      </w:pPr>
      <w:r>
        <w:rPr>
          <w:color w:val="00000A"/>
        </w:rPr>
        <w:t>World Institute for Engineering and Technology Education (WIETE)</w:t>
      </w:r>
    </w:p>
    <w:p w14:paraId="20C9F2D9" w14:textId="77777777" w:rsidR="006437BD" w:rsidRDefault="006437BD" w:rsidP="006437BD">
      <w:pPr>
        <w:pBdr>
          <w:top w:val="nil"/>
          <w:left w:val="nil"/>
          <w:bottom w:val="nil"/>
          <w:right w:val="nil"/>
          <w:between w:val="nil"/>
        </w:pBdr>
        <w:jc w:val="both"/>
        <w:rPr>
          <w:b/>
          <w:color w:val="00000A"/>
        </w:rPr>
      </w:pPr>
      <w:r>
        <w:rPr>
          <w:b/>
          <w:color w:val="00000A"/>
        </w:rPr>
        <w:t>Ústav manažmentu:</w:t>
      </w:r>
    </w:p>
    <w:p w14:paraId="7E761FFB" w14:textId="77777777" w:rsidR="006437BD" w:rsidRDefault="006437BD" w:rsidP="00E027F7">
      <w:pPr>
        <w:numPr>
          <w:ilvl w:val="0"/>
          <w:numId w:val="36"/>
        </w:numPr>
        <w:pBdr>
          <w:top w:val="nil"/>
          <w:left w:val="nil"/>
          <w:bottom w:val="nil"/>
          <w:right w:val="nil"/>
          <w:between w:val="nil"/>
        </w:pBdr>
        <w:jc w:val="both"/>
        <w:rPr>
          <w:color w:val="00000A"/>
        </w:rPr>
      </w:pPr>
      <w:r>
        <w:rPr>
          <w:color w:val="00000A"/>
        </w:rPr>
        <w:t>Network of Spatial Research and Planning in Central, Eastern and South Eastern Europe (SPA-CE.NET)</w:t>
      </w:r>
    </w:p>
    <w:p w14:paraId="14B5E662" w14:textId="77777777" w:rsidR="006437BD" w:rsidRDefault="006437BD" w:rsidP="006437BD">
      <w:pPr>
        <w:pBdr>
          <w:top w:val="nil"/>
          <w:left w:val="nil"/>
          <w:bottom w:val="nil"/>
          <w:right w:val="nil"/>
          <w:between w:val="nil"/>
        </w:pBdr>
        <w:jc w:val="both"/>
        <w:rPr>
          <w:color w:val="00000A"/>
          <w:highlight w:val="red"/>
        </w:rPr>
      </w:pPr>
    </w:p>
    <w:p w14:paraId="2153FD5E" w14:textId="77777777" w:rsidR="006437BD" w:rsidRDefault="006437BD" w:rsidP="006437BD">
      <w:pPr>
        <w:pBdr>
          <w:top w:val="nil"/>
          <w:left w:val="nil"/>
          <w:bottom w:val="nil"/>
          <w:right w:val="nil"/>
          <w:between w:val="nil"/>
        </w:pBdr>
        <w:jc w:val="both"/>
        <w:rPr>
          <w:color w:val="00000A"/>
          <w:highlight w:val="red"/>
        </w:rPr>
      </w:pPr>
    </w:p>
    <w:p w14:paraId="2E2BC8BB" w14:textId="77777777" w:rsidR="006437BD" w:rsidRDefault="006437BD" w:rsidP="006437BD">
      <w:pPr>
        <w:pBdr>
          <w:top w:val="nil"/>
          <w:left w:val="nil"/>
          <w:bottom w:val="nil"/>
          <w:right w:val="nil"/>
          <w:between w:val="nil"/>
        </w:pBdr>
        <w:tabs>
          <w:tab w:val="left" w:pos="709"/>
        </w:tabs>
        <w:jc w:val="both"/>
        <w:rPr>
          <w:color w:val="00000A"/>
          <w:sz w:val="28"/>
          <w:szCs w:val="28"/>
        </w:rPr>
      </w:pPr>
      <w:r>
        <w:rPr>
          <w:b/>
          <w:color w:val="00000A"/>
          <w:sz w:val="28"/>
          <w:szCs w:val="28"/>
        </w:rPr>
        <w:t>11.5. Vycestovania zamestnancov do zahraničia a prijatia zahraničných hostí</w:t>
      </w:r>
    </w:p>
    <w:p w14:paraId="60C06FA5" w14:textId="77777777" w:rsidR="006437BD" w:rsidRDefault="006437BD" w:rsidP="006437BD">
      <w:pPr>
        <w:pBdr>
          <w:top w:val="nil"/>
          <w:left w:val="nil"/>
          <w:bottom w:val="nil"/>
          <w:right w:val="nil"/>
          <w:between w:val="nil"/>
        </w:pBdr>
        <w:jc w:val="both"/>
        <w:rPr>
          <w:color w:val="00000A"/>
        </w:rPr>
      </w:pPr>
    </w:p>
    <w:p w14:paraId="5187F23E" w14:textId="73E9ABE0" w:rsidR="006437BD" w:rsidRDefault="006437BD" w:rsidP="006437BD">
      <w:pPr>
        <w:pBdr>
          <w:top w:val="nil"/>
          <w:left w:val="nil"/>
          <w:bottom w:val="nil"/>
          <w:right w:val="nil"/>
          <w:between w:val="nil"/>
        </w:pBdr>
        <w:jc w:val="both"/>
        <w:rPr>
          <w:color w:val="00000A"/>
        </w:rPr>
      </w:pPr>
      <w:r>
        <w:rPr>
          <w:color w:val="00000A"/>
        </w:rPr>
        <w:t xml:space="preserve">Neoddeliteľnou súčasťou medzinárodnej spolupráce sú i zahraničné pracovné cesty zamestnancov a prijímanie zahraničných zamestnancov a hostí. Počas pandémie </w:t>
      </w:r>
      <w:r w:rsidR="00573738">
        <w:rPr>
          <w:color w:val="00000A"/>
        </w:rPr>
        <w:t>COVID</w:t>
      </w:r>
      <w:r>
        <w:rPr>
          <w:color w:val="00000A"/>
        </w:rPr>
        <w:t xml:space="preserve">-19 boli počty vycestovaných aj prijatých zamestnancov výrazne nižšie, čo ešte </w:t>
      </w:r>
      <w:r w:rsidR="00573738">
        <w:rPr>
          <w:color w:val="00000A"/>
        </w:rPr>
        <w:t>bolo cítiť</w:t>
      </w:r>
      <w:r>
        <w:rPr>
          <w:color w:val="00000A"/>
        </w:rPr>
        <w:t xml:space="preserve"> v prvých mesiacoch roku 2022, postupne sa však začali čísla zvyšovať.  V roku 2022 zrealizovali zamestnanci STU 2 097 zahraničných pracovných ciest a prijali 12</w:t>
      </w:r>
      <w:r w:rsidR="00573738">
        <w:rPr>
          <w:color w:val="00000A"/>
        </w:rPr>
        <w:t>9 zahraničných hostí (Tab. č. 67</w:t>
      </w:r>
      <w:r>
        <w:rPr>
          <w:color w:val="00000A"/>
        </w:rPr>
        <w:t>)</w:t>
      </w:r>
      <w:r>
        <w:rPr>
          <w:b/>
          <w:color w:val="00000A"/>
        </w:rPr>
        <w:t xml:space="preserve">. </w:t>
      </w:r>
      <w:r>
        <w:rPr>
          <w:color w:val="00000A"/>
        </w:rPr>
        <w:t>Najviac ciest smerovalo do Českej republiky, Rakúska a Talianska.</w:t>
      </w:r>
    </w:p>
    <w:p w14:paraId="6673B4B2" w14:textId="77777777" w:rsidR="00573738" w:rsidRDefault="00573738" w:rsidP="006437BD">
      <w:pPr>
        <w:pBdr>
          <w:top w:val="nil"/>
          <w:left w:val="nil"/>
          <w:bottom w:val="nil"/>
          <w:right w:val="nil"/>
          <w:between w:val="nil"/>
        </w:pBdr>
        <w:jc w:val="both"/>
        <w:rPr>
          <w:color w:val="00000A"/>
        </w:rPr>
      </w:pPr>
    </w:p>
    <w:p w14:paraId="2E37B12E" w14:textId="3A7A909E" w:rsidR="006437BD" w:rsidRDefault="00573738" w:rsidP="006437BD">
      <w:pPr>
        <w:pBdr>
          <w:top w:val="nil"/>
          <w:left w:val="nil"/>
          <w:bottom w:val="nil"/>
          <w:right w:val="nil"/>
          <w:between w:val="nil"/>
        </w:pBdr>
        <w:spacing w:before="120"/>
        <w:jc w:val="both"/>
        <w:rPr>
          <w:color w:val="00000A"/>
          <w:sz w:val="22"/>
          <w:szCs w:val="22"/>
        </w:rPr>
      </w:pPr>
      <w:r>
        <w:rPr>
          <w:color w:val="00000A"/>
          <w:sz w:val="22"/>
          <w:szCs w:val="22"/>
        </w:rPr>
        <w:t>Tab. č. 67</w:t>
      </w:r>
      <w:r w:rsidR="006437BD">
        <w:rPr>
          <w:color w:val="00000A"/>
          <w:sz w:val="22"/>
          <w:szCs w:val="22"/>
        </w:rPr>
        <w:t>: Vyce</w:t>
      </w:r>
      <w:r>
        <w:rPr>
          <w:color w:val="00000A"/>
          <w:sz w:val="22"/>
          <w:szCs w:val="22"/>
        </w:rPr>
        <w:t>stovania a prijatia v roku 2022</w:t>
      </w:r>
    </w:p>
    <w:tbl>
      <w:tblPr>
        <w:tblW w:w="4725" w:type="dxa"/>
        <w:tblBorders>
          <w:top w:val="nil"/>
          <w:left w:val="nil"/>
          <w:bottom w:val="nil"/>
          <w:right w:val="nil"/>
          <w:insideH w:val="nil"/>
          <w:insideV w:val="nil"/>
        </w:tblBorders>
        <w:tblLayout w:type="fixed"/>
        <w:tblLook w:val="0600" w:firstRow="0" w:lastRow="0" w:firstColumn="0" w:lastColumn="0" w:noHBand="1" w:noVBand="1"/>
      </w:tblPr>
      <w:tblGrid>
        <w:gridCol w:w="1335"/>
        <w:gridCol w:w="1680"/>
        <w:gridCol w:w="1710"/>
      </w:tblGrid>
      <w:tr w:rsidR="006437BD" w14:paraId="62E9E968" w14:textId="77777777" w:rsidTr="006437BD">
        <w:trPr>
          <w:trHeight w:val="975"/>
        </w:trPr>
        <w:tc>
          <w:tcPr>
            <w:tcW w:w="133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2994EC88" w14:textId="77777777" w:rsidR="006437BD" w:rsidRPr="006437BD" w:rsidRDefault="006437BD" w:rsidP="006437BD">
            <w:pPr>
              <w:jc w:val="both"/>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STU</w:t>
            </w:r>
          </w:p>
        </w:tc>
        <w:tc>
          <w:tcPr>
            <w:tcW w:w="1680" w:type="dxa"/>
            <w:tcBorders>
              <w:top w:val="single" w:sz="8" w:space="0" w:color="000000"/>
              <w:bottom w:val="single" w:sz="8" w:space="0" w:color="000000"/>
              <w:right w:val="single" w:sz="8" w:space="0" w:color="000000"/>
            </w:tcBorders>
            <w:tcMar>
              <w:top w:w="100" w:type="dxa"/>
              <w:left w:w="80" w:type="dxa"/>
              <w:bottom w:w="100" w:type="dxa"/>
              <w:right w:w="80" w:type="dxa"/>
            </w:tcMar>
          </w:tcPr>
          <w:p w14:paraId="5142E76F" w14:textId="77777777" w:rsidR="006437BD" w:rsidRPr="006437BD" w:rsidRDefault="006437BD" w:rsidP="006437BD">
            <w:pPr>
              <w:jc w:val="both"/>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Počet vycestovaných zamestnancov</w:t>
            </w:r>
          </w:p>
        </w:tc>
        <w:tc>
          <w:tcPr>
            <w:tcW w:w="1710" w:type="dxa"/>
            <w:tcBorders>
              <w:top w:val="single" w:sz="8" w:space="0" w:color="000000"/>
              <w:bottom w:val="single" w:sz="8" w:space="0" w:color="000000"/>
              <w:right w:val="single" w:sz="8" w:space="0" w:color="000000"/>
            </w:tcBorders>
            <w:tcMar>
              <w:top w:w="100" w:type="dxa"/>
              <w:left w:w="80" w:type="dxa"/>
              <w:bottom w:w="100" w:type="dxa"/>
              <w:right w:w="80" w:type="dxa"/>
            </w:tcMar>
          </w:tcPr>
          <w:p w14:paraId="0EB578DA" w14:textId="77777777" w:rsidR="006437BD" w:rsidRPr="006437BD" w:rsidRDefault="006437BD" w:rsidP="006437BD">
            <w:pPr>
              <w:jc w:val="both"/>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Počet prijatých zahraničných hostí</w:t>
            </w:r>
          </w:p>
        </w:tc>
      </w:tr>
      <w:tr w:rsidR="006437BD" w14:paraId="39E0FCCF" w14:textId="77777777" w:rsidTr="006437BD">
        <w:trPr>
          <w:trHeight w:val="261"/>
        </w:trPr>
        <w:tc>
          <w:tcPr>
            <w:tcW w:w="1335"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42AC2D0C" w14:textId="77777777" w:rsidR="006437BD" w:rsidRPr="006437BD" w:rsidRDefault="006437BD" w:rsidP="006437BD">
            <w:pPr>
              <w:jc w:val="both"/>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R-STU</w:t>
            </w:r>
          </w:p>
        </w:tc>
        <w:tc>
          <w:tcPr>
            <w:tcW w:w="1680" w:type="dxa"/>
            <w:tcBorders>
              <w:bottom w:val="single" w:sz="8" w:space="0" w:color="000000"/>
              <w:right w:val="single" w:sz="8" w:space="0" w:color="000000"/>
            </w:tcBorders>
            <w:tcMar>
              <w:top w:w="100" w:type="dxa"/>
              <w:left w:w="80" w:type="dxa"/>
              <w:bottom w:w="100" w:type="dxa"/>
              <w:right w:w="80" w:type="dxa"/>
            </w:tcMar>
          </w:tcPr>
          <w:p w14:paraId="6248FF46" w14:textId="77777777" w:rsidR="006437BD" w:rsidRPr="006437BD" w:rsidRDefault="006437BD" w:rsidP="006437BD">
            <w:pPr>
              <w:jc w:val="right"/>
              <w:rPr>
                <w:rFonts w:asciiTheme="majorHAnsi" w:eastAsia="Arial" w:hAnsiTheme="majorHAnsi" w:cstheme="majorHAnsi"/>
                <w:sz w:val="20"/>
                <w:szCs w:val="20"/>
              </w:rPr>
            </w:pPr>
            <w:r w:rsidRPr="006437BD">
              <w:rPr>
                <w:rFonts w:asciiTheme="majorHAnsi" w:eastAsia="Arial" w:hAnsiTheme="majorHAnsi" w:cstheme="majorHAnsi"/>
                <w:sz w:val="20"/>
                <w:szCs w:val="20"/>
              </w:rPr>
              <w:t>241</w:t>
            </w:r>
          </w:p>
        </w:tc>
        <w:tc>
          <w:tcPr>
            <w:tcW w:w="1710" w:type="dxa"/>
            <w:tcBorders>
              <w:bottom w:val="single" w:sz="8" w:space="0" w:color="000000"/>
              <w:right w:val="single" w:sz="8" w:space="0" w:color="000000"/>
            </w:tcBorders>
            <w:tcMar>
              <w:top w:w="100" w:type="dxa"/>
              <w:left w:w="80" w:type="dxa"/>
              <w:bottom w:w="100" w:type="dxa"/>
              <w:right w:w="80" w:type="dxa"/>
            </w:tcMar>
          </w:tcPr>
          <w:p w14:paraId="2575F912" w14:textId="77777777" w:rsidR="006437BD" w:rsidRPr="006437BD" w:rsidRDefault="006437BD" w:rsidP="006437BD">
            <w:pPr>
              <w:jc w:val="right"/>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14</w:t>
            </w:r>
          </w:p>
        </w:tc>
      </w:tr>
      <w:tr w:rsidR="006437BD" w14:paraId="48E12461" w14:textId="77777777" w:rsidTr="006437BD">
        <w:trPr>
          <w:trHeight w:val="261"/>
        </w:trPr>
        <w:tc>
          <w:tcPr>
            <w:tcW w:w="1335"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074F5FCE" w14:textId="77777777" w:rsidR="006437BD" w:rsidRPr="006437BD" w:rsidRDefault="006437BD" w:rsidP="006437BD">
            <w:pPr>
              <w:jc w:val="both"/>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SvF</w:t>
            </w:r>
          </w:p>
        </w:tc>
        <w:tc>
          <w:tcPr>
            <w:tcW w:w="1680" w:type="dxa"/>
            <w:tcBorders>
              <w:bottom w:val="single" w:sz="8" w:space="0" w:color="000000"/>
              <w:right w:val="single" w:sz="8" w:space="0" w:color="000000"/>
            </w:tcBorders>
            <w:tcMar>
              <w:top w:w="100" w:type="dxa"/>
              <w:left w:w="80" w:type="dxa"/>
              <w:bottom w:w="100" w:type="dxa"/>
              <w:right w:w="80" w:type="dxa"/>
            </w:tcMar>
          </w:tcPr>
          <w:p w14:paraId="0B1B03B5" w14:textId="77777777" w:rsidR="006437BD" w:rsidRPr="006437BD" w:rsidRDefault="006437BD" w:rsidP="006437BD">
            <w:pPr>
              <w:jc w:val="right"/>
              <w:rPr>
                <w:rFonts w:asciiTheme="majorHAnsi" w:eastAsia="Arial" w:hAnsiTheme="majorHAnsi" w:cstheme="majorHAnsi"/>
                <w:sz w:val="20"/>
                <w:szCs w:val="20"/>
              </w:rPr>
            </w:pPr>
            <w:r w:rsidRPr="006437BD">
              <w:rPr>
                <w:rFonts w:asciiTheme="majorHAnsi" w:eastAsia="Arial" w:hAnsiTheme="majorHAnsi" w:cstheme="majorHAnsi"/>
                <w:sz w:val="20"/>
                <w:szCs w:val="20"/>
              </w:rPr>
              <w:t>275</w:t>
            </w:r>
          </w:p>
        </w:tc>
        <w:tc>
          <w:tcPr>
            <w:tcW w:w="1710" w:type="dxa"/>
            <w:tcBorders>
              <w:bottom w:val="single" w:sz="8" w:space="0" w:color="000000"/>
              <w:right w:val="single" w:sz="8" w:space="0" w:color="000000"/>
            </w:tcBorders>
            <w:tcMar>
              <w:top w:w="100" w:type="dxa"/>
              <w:left w:w="80" w:type="dxa"/>
              <w:bottom w:w="100" w:type="dxa"/>
              <w:right w:w="80" w:type="dxa"/>
            </w:tcMar>
          </w:tcPr>
          <w:p w14:paraId="2669EE21" w14:textId="77777777" w:rsidR="006437BD" w:rsidRPr="006437BD" w:rsidRDefault="006437BD" w:rsidP="006437BD">
            <w:pPr>
              <w:jc w:val="right"/>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0</w:t>
            </w:r>
          </w:p>
        </w:tc>
      </w:tr>
      <w:tr w:rsidR="006437BD" w14:paraId="194CC726" w14:textId="77777777" w:rsidTr="006437BD">
        <w:trPr>
          <w:trHeight w:val="261"/>
        </w:trPr>
        <w:tc>
          <w:tcPr>
            <w:tcW w:w="1335"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003D8684" w14:textId="77777777" w:rsidR="006437BD" w:rsidRPr="006437BD" w:rsidRDefault="006437BD" w:rsidP="006437BD">
            <w:pPr>
              <w:jc w:val="both"/>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SjF</w:t>
            </w:r>
          </w:p>
        </w:tc>
        <w:tc>
          <w:tcPr>
            <w:tcW w:w="1680" w:type="dxa"/>
            <w:tcBorders>
              <w:bottom w:val="single" w:sz="8" w:space="0" w:color="000000"/>
              <w:right w:val="single" w:sz="8" w:space="0" w:color="000000"/>
            </w:tcBorders>
            <w:tcMar>
              <w:top w:w="100" w:type="dxa"/>
              <w:left w:w="80" w:type="dxa"/>
              <w:bottom w:w="100" w:type="dxa"/>
              <w:right w:w="80" w:type="dxa"/>
            </w:tcMar>
          </w:tcPr>
          <w:p w14:paraId="535E314C" w14:textId="77777777" w:rsidR="006437BD" w:rsidRPr="006437BD" w:rsidRDefault="006437BD" w:rsidP="006437BD">
            <w:pPr>
              <w:jc w:val="right"/>
              <w:rPr>
                <w:rFonts w:asciiTheme="majorHAnsi" w:eastAsia="Arial" w:hAnsiTheme="majorHAnsi" w:cstheme="majorHAnsi"/>
                <w:sz w:val="20"/>
                <w:szCs w:val="20"/>
              </w:rPr>
            </w:pPr>
            <w:r w:rsidRPr="006437BD">
              <w:rPr>
                <w:rFonts w:asciiTheme="majorHAnsi" w:eastAsia="Arial" w:hAnsiTheme="majorHAnsi" w:cstheme="majorHAnsi"/>
                <w:sz w:val="20"/>
                <w:szCs w:val="20"/>
              </w:rPr>
              <w:t>137</w:t>
            </w:r>
          </w:p>
        </w:tc>
        <w:tc>
          <w:tcPr>
            <w:tcW w:w="1710" w:type="dxa"/>
            <w:tcBorders>
              <w:bottom w:val="single" w:sz="8" w:space="0" w:color="000000"/>
              <w:right w:val="single" w:sz="8" w:space="0" w:color="000000"/>
            </w:tcBorders>
            <w:tcMar>
              <w:top w:w="100" w:type="dxa"/>
              <w:left w:w="80" w:type="dxa"/>
              <w:bottom w:w="100" w:type="dxa"/>
              <w:right w:w="80" w:type="dxa"/>
            </w:tcMar>
          </w:tcPr>
          <w:p w14:paraId="5F96050E" w14:textId="77777777" w:rsidR="006437BD" w:rsidRPr="006437BD" w:rsidRDefault="006437BD" w:rsidP="006437BD">
            <w:pPr>
              <w:jc w:val="right"/>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0</w:t>
            </w:r>
          </w:p>
        </w:tc>
      </w:tr>
      <w:tr w:rsidR="006437BD" w14:paraId="73F8CB0D" w14:textId="77777777" w:rsidTr="006437BD">
        <w:trPr>
          <w:trHeight w:val="261"/>
        </w:trPr>
        <w:tc>
          <w:tcPr>
            <w:tcW w:w="1335"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3180C736" w14:textId="77777777" w:rsidR="006437BD" w:rsidRPr="006437BD" w:rsidRDefault="006437BD" w:rsidP="006437BD">
            <w:pPr>
              <w:jc w:val="both"/>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FEI</w:t>
            </w:r>
          </w:p>
        </w:tc>
        <w:tc>
          <w:tcPr>
            <w:tcW w:w="1680" w:type="dxa"/>
            <w:tcBorders>
              <w:bottom w:val="single" w:sz="8" w:space="0" w:color="000000"/>
              <w:right w:val="single" w:sz="8" w:space="0" w:color="000000"/>
            </w:tcBorders>
            <w:tcMar>
              <w:top w:w="100" w:type="dxa"/>
              <w:left w:w="80" w:type="dxa"/>
              <w:bottom w:w="100" w:type="dxa"/>
              <w:right w:w="80" w:type="dxa"/>
            </w:tcMar>
          </w:tcPr>
          <w:p w14:paraId="34672441" w14:textId="77777777" w:rsidR="006437BD" w:rsidRPr="006437BD" w:rsidRDefault="006437BD" w:rsidP="006437BD">
            <w:pPr>
              <w:jc w:val="right"/>
              <w:rPr>
                <w:rFonts w:asciiTheme="majorHAnsi" w:eastAsia="Arial" w:hAnsiTheme="majorHAnsi" w:cstheme="majorHAnsi"/>
                <w:sz w:val="20"/>
                <w:szCs w:val="20"/>
              </w:rPr>
            </w:pPr>
            <w:r w:rsidRPr="006437BD">
              <w:rPr>
                <w:rFonts w:asciiTheme="majorHAnsi" w:eastAsia="Arial" w:hAnsiTheme="majorHAnsi" w:cstheme="majorHAnsi"/>
                <w:sz w:val="20"/>
                <w:szCs w:val="20"/>
              </w:rPr>
              <w:t>397</w:t>
            </w:r>
          </w:p>
        </w:tc>
        <w:tc>
          <w:tcPr>
            <w:tcW w:w="1710" w:type="dxa"/>
            <w:tcBorders>
              <w:bottom w:val="single" w:sz="8" w:space="0" w:color="000000"/>
              <w:right w:val="single" w:sz="8" w:space="0" w:color="000000"/>
            </w:tcBorders>
            <w:tcMar>
              <w:top w:w="100" w:type="dxa"/>
              <w:left w:w="80" w:type="dxa"/>
              <w:bottom w:w="100" w:type="dxa"/>
              <w:right w:w="80" w:type="dxa"/>
            </w:tcMar>
          </w:tcPr>
          <w:p w14:paraId="73E6AFF2" w14:textId="77777777" w:rsidR="006437BD" w:rsidRPr="006437BD" w:rsidRDefault="006437BD" w:rsidP="006437BD">
            <w:pPr>
              <w:jc w:val="right"/>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17</w:t>
            </w:r>
          </w:p>
        </w:tc>
      </w:tr>
      <w:tr w:rsidR="006437BD" w14:paraId="79809813" w14:textId="77777777" w:rsidTr="006437BD">
        <w:trPr>
          <w:trHeight w:val="261"/>
        </w:trPr>
        <w:tc>
          <w:tcPr>
            <w:tcW w:w="1335"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2A92A08B" w14:textId="77777777" w:rsidR="006437BD" w:rsidRPr="006437BD" w:rsidRDefault="006437BD" w:rsidP="006437BD">
            <w:pPr>
              <w:jc w:val="both"/>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FCHPT</w:t>
            </w:r>
          </w:p>
        </w:tc>
        <w:tc>
          <w:tcPr>
            <w:tcW w:w="1680" w:type="dxa"/>
            <w:tcBorders>
              <w:bottom w:val="single" w:sz="8" w:space="0" w:color="000000"/>
              <w:right w:val="single" w:sz="8" w:space="0" w:color="000000"/>
            </w:tcBorders>
            <w:tcMar>
              <w:top w:w="100" w:type="dxa"/>
              <w:left w:w="80" w:type="dxa"/>
              <w:bottom w:w="100" w:type="dxa"/>
              <w:right w:w="80" w:type="dxa"/>
            </w:tcMar>
          </w:tcPr>
          <w:p w14:paraId="5625C0D9" w14:textId="77777777" w:rsidR="006437BD" w:rsidRPr="006437BD" w:rsidRDefault="006437BD" w:rsidP="006437BD">
            <w:pPr>
              <w:jc w:val="right"/>
              <w:rPr>
                <w:rFonts w:asciiTheme="majorHAnsi" w:eastAsia="Arial" w:hAnsiTheme="majorHAnsi" w:cstheme="majorHAnsi"/>
                <w:sz w:val="20"/>
                <w:szCs w:val="20"/>
              </w:rPr>
            </w:pPr>
            <w:r w:rsidRPr="006437BD">
              <w:rPr>
                <w:rFonts w:asciiTheme="majorHAnsi" w:eastAsia="Arial" w:hAnsiTheme="majorHAnsi" w:cstheme="majorHAnsi"/>
                <w:sz w:val="20"/>
                <w:szCs w:val="20"/>
              </w:rPr>
              <w:t>440</w:t>
            </w:r>
          </w:p>
        </w:tc>
        <w:tc>
          <w:tcPr>
            <w:tcW w:w="1710" w:type="dxa"/>
            <w:tcBorders>
              <w:bottom w:val="single" w:sz="8" w:space="0" w:color="000000"/>
              <w:right w:val="single" w:sz="8" w:space="0" w:color="000000"/>
            </w:tcBorders>
            <w:tcMar>
              <w:top w:w="100" w:type="dxa"/>
              <w:left w:w="80" w:type="dxa"/>
              <w:bottom w:w="100" w:type="dxa"/>
              <w:right w:w="80" w:type="dxa"/>
            </w:tcMar>
          </w:tcPr>
          <w:p w14:paraId="01642232" w14:textId="77777777" w:rsidR="006437BD" w:rsidRPr="006437BD" w:rsidRDefault="006437BD" w:rsidP="006437BD">
            <w:pPr>
              <w:jc w:val="right"/>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34</w:t>
            </w:r>
          </w:p>
        </w:tc>
      </w:tr>
      <w:tr w:rsidR="006437BD" w14:paraId="539CA601" w14:textId="77777777" w:rsidTr="006437BD">
        <w:trPr>
          <w:trHeight w:val="261"/>
        </w:trPr>
        <w:tc>
          <w:tcPr>
            <w:tcW w:w="1335"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55570EC8" w14:textId="77777777" w:rsidR="006437BD" w:rsidRPr="006437BD" w:rsidRDefault="006437BD" w:rsidP="006437BD">
            <w:pPr>
              <w:jc w:val="both"/>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FAD</w:t>
            </w:r>
          </w:p>
        </w:tc>
        <w:tc>
          <w:tcPr>
            <w:tcW w:w="1680" w:type="dxa"/>
            <w:tcBorders>
              <w:bottom w:val="single" w:sz="8" w:space="0" w:color="000000"/>
              <w:right w:val="single" w:sz="8" w:space="0" w:color="000000"/>
            </w:tcBorders>
            <w:tcMar>
              <w:top w:w="100" w:type="dxa"/>
              <w:left w:w="80" w:type="dxa"/>
              <w:bottom w:w="100" w:type="dxa"/>
              <w:right w:w="80" w:type="dxa"/>
            </w:tcMar>
          </w:tcPr>
          <w:p w14:paraId="07DEFA08" w14:textId="77777777" w:rsidR="006437BD" w:rsidRPr="006437BD" w:rsidRDefault="006437BD" w:rsidP="006437BD">
            <w:pPr>
              <w:jc w:val="right"/>
              <w:rPr>
                <w:rFonts w:asciiTheme="majorHAnsi" w:eastAsia="Arial" w:hAnsiTheme="majorHAnsi" w:cstheme="majorHAnsi"/>
                <w:sz w:val="20"/>
                <w:szCs w:val="20"/>
              </w:rPr>
            </w:pPr>
            <w:r w:rsidRPr="006437BD">
              <w:rPr>
                <w:rFonts w:asciiTheme="majorHAnsi" w:eastAsia="Arial" w:hAnsiTheme="majorHAnsi" w:cstheme="majorHAnsi"/>
                <w:sz w:val="20"/>
                <w:szCs w:val="20"/>
              </w:rPr>
              <w:t>187</w:t>
            </w:r>
          </w:p>
        </w:tc>
        <w:tc>
          <w:tcPr>
            <w:tcW w:w="1710" w:type="dxa"/>
            <w:tcBorders>
              <w:bottom w:val="single" w:sz="8" w:space="0" w:color="000000"/>
              <w:right w:val="single" w:sz="8" w:space="0" w:color="000000"/>
            </w:tcBorders>
            <w:tcMar>
              <w:top w:w="100" w:type="dxa"/>
              <w:left w:w="80" w:type="dxa"/>
              <w:bottom w:w="100" w:type="dxa"/>
              <w:right w:w="80" w:type="dxa"/>
            </w:tcMar>
          </w:tcPr>
          <w:p w14:paraId="102AC38D" w14:textId="77777777" w:rsidR="006437BD" w:rsidRPr="006437BD" w:rsidRDefault="006437BD" w:rsidP="006437BD">
            <w:pPr>
              <w:jc w:val="right"/>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0</w:t>
            </w:r>
          </w:p>
        </w:tc>
      </w:tr>
      <w:tr w:rsidR="006437BD" w14:paraId="0C7190CC" w14:textId="77777777" w:rsidTr="006437BD">
        <w:trPr>
          <w:trHeight w:val="261"/>
        </w:trPr>
        <w:tc>
          <w:tcPr>
            <w:tcW w:w="1335"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3B994D87" w14:textId="77777777" w:rsidR="006437BD" w:rsidRPr="006437BD" w:rsidRDefault="006437BD" w:rsidP="006437BD">
            <w:pPr>
              <w:jc w:val="both"/>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MTF</w:t>
            </w:r>
          </w:p>
        </w:tc>
        <w:tc>
          <w:tcPr>
            <w:tcW w:w="1680" w:type="dxa"/>
            <w:tcBorders>
              <w:bottom w:val="single" w:sz="8" w:space="0" w:color="000000"/>
              <w:right w:val="single" w:sz="8" w:space="0" w:color="000000"/>
            </w:tcBorders>
            <w:tcMar>
              <w:top w:w="100" w:type="dxa"/>
              <w:left w:w="80" w:type="dxa"/>
              <w:bottom w:w="100" w:type="dxa"/>
              <w:right w:w="80" w:type="dxa"/>
            </w:tcMar>
          </w:tcPr>
          <w:p w14:paraId="034013BB" w14:textId="77777777" w:rsidR="006437BD" w:rsidRPr="006437BD" w:rsidRDefault="006437BD" w:rsidP="006437BD">
            <w:pPr>
              <w:jc w:val="right"/>
              <w:rPr>
                <w:rFonts w:asciiTheme="majorHAnsi" w:eastAsia="Arial" w:hAnsiTheme="majorHAnsi" w:cstheme="majorHAnsi"/>
                <w:sz w:val="20"/>
                <w:szCs w:val="20"/>
              </w:rPr>
            </w:pPr>
            <w:r w:rsidRPr="006437BD">
              <w:rPr>
                <w:rFonts w:asciiTheme="majorHAnsi" w:eastAsia="Arial" w:hAnsiTheme="majorHAnsi" w:cstheme="majorHAnsi"/>
                <w:sz w:val="20"/>
                <w:szCs w:val="20"/>
              </w:rPr>
              <w:t>273</w:t>
            </w:r>
          </w:p>
        </w:tc>
        <w:tc>
          <w:tcPr>
            <w:tcW w:w="1710" w:type="dxa"/>
            <w:tcBorders>
              <w:bottom w:val="single" w:sz="8" w:space="0" w:color="000000"/>
              <w:right w:val="single" w:sz="8" w:space="0" w:color="000000"/>
            </w:tcBorders>
            <w:tcMar>
              <w:top w:w="100" w:type="dxa"/>
              <w:left w:w="80" w:type="dxa"/>
              <w:bottom w:w="100" w:type="dxa"/>
              <w:right w:w="80" w:type="dxa"/>
            </w:tcMar>
          </w:tcPr>
          <w:p w14:paraId="4C419EB0" w14:textId="77777777" w:rsidR="006437BD" w:rsidRPr="006437BD" w:rsidRDefault="006437BD" w:rsidP="006437BD">
            <w:pPr>
              <w:jc w:val="right"/>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83</w:t>
            </w:r>
          </w:p>
        </w:tc>
      </w:tr>
      <w:tr w:rsidR="006437BD" w14:paraId="4B9CBDB0" w14:textId="77777777" w:rsidTr="006437BD">
        <w:trPr>
          <w:trHeight w:val="261"/>
        </w:trPr>
        <w:tc>
          <w:tcPr>
            <w:tcW w:w="1335"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7BCC97D4" w14:textId="77777777" w:rsidR="006437BD" w:rsidRPr="006437BD" w:rsidRDefault="006437BD" w:rsidP="006437BD">
            <w:pPr>
              <w:jc w:val="both"/>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FIIT</w:t>
            </w:r>
          </w:p>
        </w:tc>
        <w:tc>
          <w:tcPr>
            <w:tcW w:w="1680" w:type="dxa"/>
            <w:tcBorders>
              <w:bottom w:val="single" w:sz="8" w:space="0" w:color="000000"/>
              <w:right w:val="single" w:sz="8" w:space="0" w:color="000000"/>
            </w:tcBorders>
            <w:tcMar>
              <w:top w:w="100" w:type="dxa"/>
              <w:left w:w="80" w:type="dxa"/>
              <w:bottom w:w="100" w:type="dxa"/>
              <w:right w:w="80" w:type="dxa"/>
            </w:tcMar>
          </w:tcPr>
          <w:p w14:paraId="72E9A948" w14:textId="77777777" w:rsidR="006437BD" w:rsidRPr="006437BD" w:rsidRDefault="006437BD" w:rsidP="006437BD">
            <w:pPr>
              <w:jc w:val="right"/>
              <w:rPr>
                <w:rFonts w:asciiTheme="majorHAnsi" w:eastAsia="Arial" w:hAnsiTheme="majorHAnsi" w:cstheme="majorHAnsi"/>
                <w:sz w:val="20"/>
                <w:szCs w:val="20"/>
              </w:rPr>
            </w:pPr>
            <w:r w:rsidRPr="006437BD">
              <w:rPr>
                <w:rFonts w:asciiTheme="majorHAnsi" w:eastAsia="Arial" w:hAnsiTheme="majorHAnsi" w:cstheme="majorHAnsi"/>
                <w:sz w:val="20"/>
                <w:szCs w:val="20"/>
              </w:rPr>
              <w:t>93</w:t>
            </w:r>
          </w:p>
        </w:tc>
        <w:tc>
          <w:tcPr>
            <w:tcW w:w="1710" w:type="dxa"/>
            <w:tcBorders>
              <w:bottom w:val="single" w:sz="8" w:space="0" w:color="000000"/>
              <w:right w:val="single" w:sz="8" w:space="0" w:color="000000"/>
            </w:tcBorders>
            <w:tcMar>
              <w:top w:w="100" w:type="dxa"/>
              <w:left w:w="80" w:type="dxa"/>
              <w:bottom w:w="100" w:type="dxa"/>
              <w:right w:w="80" w:type="dxa"/>
            </w:tcMar>
          </w:tcPr>
          <w:p w14:paraId="0910265F" w14:textId="77777777" w:rsidR="006437BD" w:rsidRPr="006437BD" w:rsidRDefault="006437BD" w:rsidP="006437BD">
            <w:pPr>
              <w:jc w:val="right"/>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1</w:t>
            </w:r>
          </w:p>
        </w:tc>
      </w:tr>
      <w:tr w:rsidR="006437BD" w14:paraId="4758D7C6" w14:textId="77777777" w:rsidTr="006437BD">
        <w:trPr>
          <w:trHeight w:val="375"/>
        </w:trPr>
        <w:tc>
          <w:tcPr>
            <w:tcW w:w="1335"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5725E519" w14:textId="77777777" w:rsidR="006437BD" w:rsidRPr="006437BD" w:rsidRDefault="006437BD" w:rsidP="006437BD">
            <w:pPr>
              <w:jc w:val="both"/>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ÚM</w:t>
            </w:r>
          </w:p>
        </w:tc>
        <w:tc>
          <w:tcPr>
            <w:tcW w:w="1680" w:type="dxa"/>
            <w:tcBorders>
              <w:bottom w:val="single" w:sz="8" w:space="0" w:color="000000"/>
              <w:right w:val="single" w:sz="8" w:space="0" w:color="000000"/>
            </w:tcBorders>
            <w:tcMar>
              <w:top w:w="100" w:type="dxa"/>
              <w:left w:w="80" w:type="dxa"/>
              <w:bottom w:w="100" w:type="dxa"/>
              <w:right w:w="80" w:type="dxa"/>
            </w:tcMar>
          </w:tcPr>
          <w:p w14:paraId="63D2D9F4" w14:textId="77777777" w:rsidR="006437BD" w:rsidRPr="006437BD" w:rsidRDefault="006437BD" w:rsidP="006437BD">
            <w:pPr>
              <w:jc w:val="right"/>
              <w:rPr>
                <w:rFonts w:asciiTheme="majorHAnsi" w:eastAsia="Arial" w:hAnsiTheme="majorHAnsi" w:cstheme="majorHAnsi"/>
                <w:sz w:val="20"/>
                <w:szCs w:val="20"/>
              </w:rPr>
            </w:pPr>
            <w:r w:rsidRPr="006437BD">
              <w:rPr>
                <w:rFonts w:asciiTheme="majorHAnsi" w:eastAsia="Arial" w:hAnsiTheme="majorHAnsi" w:cstheme="majorHAnsi"/>
                <w:sz w:val="20"/>
                <w:szCs w:val="20"/>
              </w:rPr>
              <w:t>54</w:t>
            </w:r>
          </w:p>
        </w:tc>
        <w:tc>
          <w:tcPr>
            <w:tcW w:w="1710" w:type="dxa"/>
            <w:tcBorders>
              <w:bottom w:val="single" w:sz="8" w:space="0" w:color="000000"/>
              <w:right w:val="single" w:sz="8" w:space="0" w:color="000000"/>
            </w:tcBorders>
            <w:tcMar>
              <w:top w:w="100" w:type="dxa"/>
              <w:left w:w="80" w:type="dxa"/>
              <w:bottom w:w="100" w:type="dxa"/>
              <w:right w:w="80" w:type="dxa"/>
            </w:tcMar>
          </w:tcPr>
          <w:p w14:paraId="2B0058BB" w14:textId="77777777" w:rsidR="006437BD" w:rsidRPr="006437BD" w:rsidRDefault="006437BD" w:rsidP="006437BD">
            <w:pPr>
              <w:jc w:val="right"/>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0</w:t>
            </w:r>
          </w:p>
        </w:tc>
      </w:tr>
      <w:tr w:rsidR="006437BD" w14:paraId="0A6D215A" w14:textId="77777777" w:rsidTr="006437BD">
        <w:trPr>
          <w:trHeight w:val="261"/>
        </w:trPr>
        <w:tc>
          <w:tcPr>
            <w:tcW w:w="1335" w:type="dxa"/>
            <w:tcBorders>
              <w:left w:val="single" w:sz="8" w:space="0" w:color="000000"/>
              <w:bottom w:val="single" w:sz="8" w:space="0" w:color="000000"/>
              <w:right w:val="single" w:sz="8" w:space="0" w:color="000000"/>
            </w:tcBorders>
            <w:shd w:val="clear" w:color="auto" w:fill="A9D08E"/>
            <w:tcMar>
              <w:top w:w="100" w:type="dxa"/>
              <w:left w:w="80" w:type="dxa"/>
              <w:bottom w:w="100" w:type="dxa"/>
              <w:right w:w="80" w:type="dxa"/>
            </w:tcMar>
          </w:tcPr>
          <w:p w14:paraId="365A989A" w14:textId="77777777" w:rsidR="006437BD" w:rsidRPr="006437BD" w:rsidRDefault="006437BD" w:rsidP="006437BD">
            <w:pPr>
              <w:jc w:val="center"/>
              <w:rPr>
                <w:rFonts w:asciiTheme="majorHAnsi" w:eastAsia="Times New Roman" w:hAnsiTheme="majorHAnsi" w:cstheme="majorHAnsi"/>
                <w:sz w:val="20"/>
                <w:szCs w:val="20"/>
              </w:rPr>
            </w:pPr>
            <w:r w:rsidRPr="006437BD">
              <w:rPr>
                <w:rFonts w:asciiTheme="majorHAnsi" w:eastAsia="Times New Roman" w:hAnsiTheme="majorHAnsi" w:cstheme="majorHAnsi"/>
                <w:sz w:val="20"/>
                <w:szCs w:val="20"/>
              </w:rPr>
              <w:t>Spolu</w:t>
            </w:r>
          </w:p>
        </w:tc>
        <w:tc>
          <w:tcPr>
            <w:tcW w:w="1680" w:type="dxa"/>
            <w:tcBorders>
              <w:bottom w:val="single" w:sz="8" w:space="0" w:color="000000"/>
              <w:right w:val="single" w:sz="8" w:space="0" w:color="000000"/>
            </w:tcBorders>
            <w:shd w:val="clear" w:color="auto" w:fill="A9D08E"/>
            <w:tcMar>
              <w:top w:w="100" w:type="dxa"/>
              <w:left w:w="80" w:type="dxa"/>
              <w:bottom w:w="100" w:type="dxa"/>
              <w:right w:w="80" w:type="dxa"/>
            </w:tcMar>
          </w:tcPr>
          <w:p w14:paraId="4C9D2556" w14:textId="77777777" w:rsidR="006437BD" w:rsidRPr="006437BD" w:rsidRDefault="006437BD" w:rsidP="006437BD">
            <w:pPr>
              <w:jc w:val="right"/>
              <w:rPr>
                <w:rFonts w:asciiTheme="majorHAnsi" w:eastAsia="Times New Roman" w:hAnsiTheme="majorHAnsi" w:cstheme="majorHAnsi"/>
                <w:b/>
                <w:sz w:val="20"/>
                <w:szCs w:val="20"/>
              </w:rPr>
            </w:pPr>
            <w:r w:rsidRPr="006437BD">
              <w:rPr>
                <w:rFonts w:asciiTheme="majorHAnsi" w:eastAsia="Times New Roman" w:hAnsiTheme="majorHAnsi" w:cstheme="majorHAnsi"/>
                <w:b/>
                <w:sz w:val="20"/>
                <w:szCs w:val="20"/>
              </w:rPr>
              <w:t>2097</w:t>
            </w:r>
          </w:p>
        </w:tc>
        <w:tc>
          <w:tcPr>
            <w:tcW w:w="1710" w:type="dxa"/>
            <w:tcBorders>
              <w:bottom w:val="single" w:sz="8" w:space="0" w:color="000000"/>
              <w:right w:val="single" w:sz="8" w:space="0" w:color="000000"/>
            </w:tcBorders>
            <w:shd w:val="clear" w:color="auto" w:fill="A9D08E"/>
            <w:tcMar>
              <w:top w:w="100" w:type="dxa"/>
              <w:left w:w="80" w:type="dxa"/>
              <w:bottom w:w="100" w:type="dxa"/>
              <w:right w:w="80" w:type="dxa"/>
            </w:tcMar>
          </w:tcPr>
          <w:p w14:paraId="43AE2278" w14:textId="77777777" w:rsidR="006437BD" w:rsidRPr="006437BD" w:rsidRDefault="006437BD" w:rsidP="006437BD">
            <w:pPr>
              <w:jc w:val="right"/>
              <w:rPr>
                <w:rFonts w:asciiTheme="majorHAnsi" w:eastAsia="Times New Roman" w:hAnsiTheme="majorHAnsi" w:cstheme="majorHAnsi"/>
                <w:b/>
                <w:sz w:val="20"/>
                <w:szCs w:val="20"/>
              </w:rPr>
            </w:pPr>
            <w:r w:rsidRPr="006437BD">
              <w:rPr>
                <w:rFonts w:asciiTheme="majorHAnsi" w:eastAsia="Times New Roman" w:hAnsiTheme="majorHAnsi" w:cstheme="majorHAnsi"/>
                <w:b/>
                <w:sz w:val="20"/>
                <w:szCs w:val="20"/>
              </w:rPr>
              <w:t>129</w:t>
            </w:r>
          </w:p>
        </w:tc>
      </w:tr>
    </w:tbl>
    <w:p w14:paraId="17A51F50" w14:textId="77777777" w:rsidR="006437BD" w:rsidRDefault="006437BD" w:rsidP="006437BD">
      <w:pPr>
        <w:pBdr>
          <w:top w:val="nil"/>
          <w:left w:val="nil"/>
          <w:bottom w:val="nil"/>
          <w:right w:val="nil"/>
          <w:between w:val="nil"/>
        </w:pBdr>
        <w:spacing w:before="120"/>
        <w:jc w:val="both"/>
        <w:rPr>
          <w:color w:val="00000A"/>
          <w:sz w:val="22"/>
          <w:szCs w:val="22"/>
        </w:rPr>
      </w:pPr>
    </w:p>
    <w:p w14:paraId="34AEFA95" w14:textId="77777777" w:rsidR="006437BD" w:rsidRDefault="006437BD" w:rsidP="006437BD"/>
    <w:p w14:paraId="0F7890F6" w14:textId="40364073" w:rsidR="005B7304" w:rsidRPr="0053555E" w:rsidRDefault="008D7CE0" w:rsidP="008D7CE0">
      <w:pPr>
        <w:jc w:val="both"/>
        <w:rPr>
          <w:highlight w:val="green"/>
        </w:rPr>
      </w:pPr>
      <w:r w:rsidRPr="002E2F32">
        <w:rPr>
          <w:rFonts w:asciiTheme="majorHAnsi" w:eastAsia="Times New Roman" w:hAnsiTheme="majorHAnsi" w:cstheme="majorHAnsi"/>
          <w:lang w:eastAsia="sk-SK"/>
        </w:rPr>
        <w:br/>
      </w:r>
      <w:r w:rsidR="005B7304" w:rsidRPr="0053555E">
        <w:rPr>
          <w:highlight w:val="green"/>
        </w:rPr>
        <w:br w:type="page"/>
      </w:r>
    </w:p>
    <w:p w14:paraId="1F5DE2F1" w14:textId="0D4BB1AA" w:rsidR="002071AC" w:rsidRPr="00157E3C" w:rsidRDefault="00157E3C" w:rsidP="00157E3C">
      <w:pPr>
        <w:rPr>
          <w:b/>
          <w:sz w:val="32"/>
          <w:szCs w:val="32"/>
        </w:rPr>
      </w:pPr>
      <w:bookmarkStart w:id="271" w:name="_Systém_kvality_a_1"/>
      <w:bookmarkStart w:id="272" w:name="_Systém_kvality_vzdelávania"/>
      <w:bookmarkStart w:id="273" w:name="_Ref94813075"/>
      <w:bookmarkStart w:id="274" w:name="_Ref94813113"/>
      <w:bookmarkStart w:id="275" w:name="_Toc127593253"/>
      <w:bookmarkEnd w:id="271"/>
      <w:bookmarkEnd w:id="272"/>
      <w:r w:rsidRPr="00157E3C">
        <w:rPr>
          <w:b/>
          <w:sz w:val="32"/>
          <w:szCs w:val="32"/>
        </w:rPr>
        <w:lastRenderedPageBreak/>
        <w:t xml:space="preserve">12. </w:t>
      </w:r>
      <w:r w:rsidR="002071AC" w:rsidRPr="00157E3C">
        <w:rPr>
          <w:b/>
          <w:sz w:val="32"/>
          <w:szCs w:val="32"/>
        </w:rPr>
        <w:t>Systém kvality vzdelávania na STU</w:t>
      </w:r>
      <w:bookmarkEnd w:id="273"/>
      <w:bookmarkEnd w:id="274"/>
      <w:bookmarkEnd w:id="275"/>
    </w:p>
    <w:p w14:paraId="2BEB76A3" w14:textId="77777777" w:rsidR="00157E3C" w:rsidRPr="00157E3C" w:rsidRDefault="00157E3C" w:rsidP="00157E3C"/>
    <w:p w14:paraId="6FD80C84" w14:textId="47A452C3" w:rsidR="00637693" w:rsidRPr="0053555E" w:rsidRDefault="00B57583" w:rsidP="00637693">
      <w:pPr>
        <w:tabs>
          <w:tab w:val="left" w:pos="9356"/>
        </w:tabs>
        <w:spacing w:after="120"/>
        <w:jc w:val="both"/>
        <w:rPr>
          <w:rFonts w:asciiTheme="majorHAnsi" w:hAnsiTheme="majorHAnsi" w:cstheme="majorHAnsi"/>
        </w:rPr>
      </w:pPr>
      <w:r>
        <w:rPr>
          <w:rFonts w:asciiTheme="majorHAnsi" w:hAnsiTheme="majorHAnsi" w:cstheme="majorHAnsi"/>
        </w:rPr>
        <w:t>A</w:t>
      </w:r>
      <w:r w:rsidR="00947C60">
        <w:rPr>
          <w:rFonts w:asciiTheme="majorHAnsi" w:hAnsiTheme="majorHAnsi" w:cstheme="majorHAnsi"/>
        </w:rPr>
        <w:t xml:space="preserve">j akademický </w:t>
      </w:r>
      <w:r w:rsidR="00637693" w:rsidRPr="0053555E">
        <w:rPr>
          <w:rFonts w:asciiTheme="majorHAnsi" w:hAnsiTheme="majorHAnsi" w:cstheme="majorHAnsi"/>
        </w:rPr>
        <w:t xml:space="preserve">rok </w:t>
      </w:r>
      <w:r w:rsidR="00EA24BA" w:rsidRPr="0053555E">
        <w:rPr>
          <w:rFonts w:asciiTheme="majorHAnsi" w:hAnsiTheme="majorHAnsi" w:cstheme="majorHAnsi"/>
        </w:rPr>
        <w:t>2021/2022</w:t>
      </w:r>
      <w:r w:rsidR="00637693" w:rsidRPr="0053555E">
        <w:rPr>
          <w:rFonts w:asciiTheme="majorHAnsi" w:hAnsiTheme="majorHAnsi" w:cstheme="majorHAnsi"/>
        </w:rPr>
        <w:t xml:space="preserve"> bol pre STU významný z pohľadu zavádzania nového vnútorného systému zabezpečovania kvality vysokoškolského vzdelávania na STU</w:t>
      </w:r>
      <w:r w:rsidR="008974BE" w:rsidRPr="0053555E">
        <w:rPr>
          <w:rFonts w:asciiTheme="majorHAnsi" w:hAnsiTheme="majorHAnsi" w:cstheme="majorHAnsi"/>
        </w:rPr>
        <w:t xml:space="preserve"> (VSK)</w:t>
      </w:r>
      <w:r w:rsidR="008C471D" w:rsidRPr="0053555E">
        <w:rPr>
          <w:rFonts w:asciiTheme="majorHAnsi" w:hAnsiTheme="majorHAnsi" w:cstheme="majorHAnsi"/>
        </w:rPr>
        <w:t xml:space="preserve"> </w:t>
      </w:r>
      <w:r w:rsidR="00BA4855">
        <w:rPr>
          <w:rFonts w:asciiTheme="majorHAnsi" w:hAnsiTheme="majorHAnsi" w:cstheme="majorHAnsi"/>
        </w:rPr>
        <w:t xml:space="preserve">a rovnako bude </w:t>
      </w:r>
      <w:r w:rsidR="008C471D" w:rsidRPr="0053555E">
        <w:rPr>
          <w:rFonts w:asciiTheme="majorHAnsi" w:hAnsiTheme="majorHAnsi" w:cstheme="majorHAnsi"/>
        </w:rPr>
        <w:t xml:space="preserve">aj akademický rok </w:t>
      </w:r>
      <w:r w:rsidR="00EA24BA" w:rsidRPr="0053555E">
        <w:rPr>
          <w:rFonts w:asciiTheme="majorHAnsi" w:hAnsiTheme="majorHAnsi" w:cstheme="majorHAnsi"/>
        </w:rPr>
        <w:t>2022/2023</w:t>
      </w:r>
      <w:r w:rsidR="00637693" w:rsidRPr="0053555E">
        <w:rPr>
          <w:rFonts w:asciiTheme="majorHAnsi" w:hAnsiTheme="majorHAnsi" w:cstheme="majorHAnsi"/>
        </w:rPr>
        <w:t xml:space="preserve">. </w:t>
      </w:r>
      <w:r w:rsidR="008C471D" w:rsidRPr="0053555E">
        <w:rPr>
          <w:rFonts w:asciiTheme="majorHAnsi" w:hAnsiTheme="majorHAnsi" w:cstheme="majorHAnsi"/>
        </w:rPr>
        <w:t>P</w:t>
      </w:r>
      <w:r w:rsidR="00637693" w:rsidRPr="0053555E">
        <w:rPr>
          <w:rFonts w:asciiTheme="majorHAnsi" w:hAnsiTheme="majorHAnsi" w:cstheme="majorHAnsi"/>
        </w:rPr>
        <w:t xml:space="preserve">odľa § 37 ods. 1 zákona o zabezpečovaní kvality </w:t>
      </w:r>
      <w:r w:rsidR="008C471D" w:rsidRPr="0053555E">
        <w:rPr>
          <w:rFonts w:asciiTheme="majorHAnsi" w:hAnsiTheme="majorHAnsi" w:cstheme="majorHAnsi"/>
        </w:rPr>
        <w:t>boli</w:t>
      </w:r>
      <w:r w:rsidR="003868E7" w:rsidRPr="0053555E">
        <w:rPr>
          <w:rFonts w:asciiTheme="majorHAnsi" w:hAnsiTheme="majorHAnsi" w:cstheme="majorHAnsi"/>
        </w:rPr>
        <w:t xml:space="preserve"> vysoké školy v Slovenskej republike</w:t>
      </w:r>
      <w:r w:rsidR="00637693" w:rsidRPr="0053555E">
        <w:rPr>
          <w:rFonts w:asciiTheme="majorHAnsi" w:hAnsiTheme="majorHAnsi" w:cstheme="majorHAnsi"/>
        </w:rPr>
        <w:t xml:space="preserve"> povinn</w:t>
      </w:r>
      <w:r w:rsidR="008974BE" w:rsidRPr="0053555E">
        <w:rPr>
          <w:rFonts w:asciiTheme="majorHAnsi" w:hAnsiTheme="majorHAnsi" w:cstheme="majorHAnsi"/>
        </w:rPr>
        <w:t>é</w:t>
      </w:r>
      <w:r w:rsidR="00637693" w:rsidRPr="0053555E">
        <w:rPr>
          <w:rFonts w:asciiTheme="majorHAnsi" w:hAnsiTheme="majorHAnsi" w:cstheme="majorHAnsi"/>
        </w:rPr>
        <w:t xml:space="preserve"> zosúladiť svoj VSK a všetky študijné programy, ktoré plán</w:t>
      </w:r>
      <w:r w:rsidR="008C471D" w:rsidRPr="0053555E">
        <w:rPr>
          <w:rFonts w:asciiTheme="majorHAnsi" w:hAnsiTheme="majorHAnsi" w:cstheme="majorHAnsi"/>
        </w:rPr>
        <w:t>ovali</w:t>
      </w:r>
      <w:r w:rsidR="00637693" w:rsidRPr="0053555E">
        <w:rPr>
          <w:rFonts w:asciiTheme="majorHAnsi" w:hAnsiTheme="majorHAnsi" w:cstheme="majorHAnsi"/>
        </w:rPr>
        <w:t xml:space="preserve"> naďalej uskutočňovať, so zákonom o zabezpečovaní kvality a so štandardmi vydanými agentúrou do 24 mesiacov od nadobudnutia ich účinnost</w:t>
      </w:r>
      <w:r w:rsidR="001F29FE" w:rsidRPr="0053555E">
        <w:rPr>
          <w:rFonts w:asciiTheme="majorHAnsi" w:hAnsiTheme="majorHAnsi" w:cstheme="majorHAnsi"/>
        </w:rPr>
        <w:t xml:space="preserve">i, </w:t>
      </w:r>
      <w:r w:rsidR="008C471D" w:rsidRPr="0053555E">
        <w:rPr>
          <w:rFonts w:asciiTheme="majorHAnsi" w:hAnsiTheme="majorHAnsi" w:cstheme="majorHAnsi"/>
        </w:rPr>
        <w:t xml:space="preserve">čo predstavoval práve koniec akademického roka </w:t>
      </w:r>
      <w:r w:rsidR="00EA24BA" w:rsidRPr="0053555E">
        <w:rPr>
          <w:rFonts w:asciiTheme="majorHAnsi" w:hAnsiTheme="majorHAnsi" w:cstheme="majorHAnsi"/>
        </w:rPr>
        <w:t>202</w:t>
      </w:r>
      <w:r w:rsidR="005732AA">
        <w:rPr>
          <w:rFonts w:asciiTheme="majorHAnsi" w:hAnsiTheme="majorHAnsi" w:cstheme="majorHAnsi"/>
        </w:rPr>
        <w:t>1</w:t>
      </w:r>
      <w:r w:rsidR="00EA24BA" w:rsidRPr="0053555E">
        <w:rPr>
          <w:rFonts w:asciiTheme="majorHAnsi" w:hAnsiTheme="majorHAnsi" w:cstheme="majorHAnsi"/>
        </w:rPr>
        <w:t>/202</w:t>
      </w:r>
      <w:r w:rsidR="005732AA">
        <w:rPr>
          <w:rFonts w:asciiTheme="majorHAnsi" w:hAnsiTheme="majorHAnsi" w:cstheme="majorHAnsi"/>
        </w:rPr>
        <w:t>2</w:t>
      </w:r>
      <w:r w:rsidR="001F29FE" w:rsidRPr="0053555E">
        <w:rPr>
          <w:rFonts w:asciiTheme="majorHAnsi" w:hAnsiTheme="majorHAnsi" w:cstheme="majorHAnsi"/>
        </w:rPr>
        <w:t>; a o </w:t>
      </w:r>
      <w:r w:rsidR="00637693" w:rsidRPr="0053555E">
        <w:rPr>
          <w:rFonts w:asciiTheme="majorHAnsi" w:hAnsiTheme="majorHAnsi" w:cstheme="majorHAnsi"/>
        </w:rPr>
        <w:t xml:space="preserve">tejto skutočnosti </w:t>
      </w:r>
      <w:r w:rsidR="008C471D" w:rsidRPr="0053555E">
        <w:rPr>
          <w:rFonts w:asciiTheme="majorHAnsi" w:hAnsiTheme="majorHAnsi" w:cstheme="majorHAnsi"/>
        </w:rPr>
        <w:t xml:space="preserve">mali povinnosť </w:t>
      </w:r>
      <w:r w:rsidR="00637693" w:rsidRPr="0053555E">
        <w:rPr>
          <w:rFonts w:asciiTheme="majorHAnsi" w:hAnsiTheme="majorHAnsi" w:cstheme="majorHAnsi"/>
        </w:rPr>
        <w:t>bezodkladne inform</w:t>
      </w:r>
      <w:r w:rsidR="002906C1" w:rsidRPr="0053555E">
        <w:rPr>
          <w:rFonts w:asciiTheme="majorHAnsi" w:hAnsiTheme="majorHAnsi" w:cstheme="majorHAnsi"/>
        </w:rPr>
        <w:t>ovať</w:t>
      </w:r>
      <w:r w:rsidR="00637693" w:rsidRPr="0053555E">
        <w:rPr>
          <w:rFonts w:asciiTheme="majorHAnsi" w:hAnsiTheme="majorHAnsi" w:cstheme="majorHAnsi"/>
        </w:rPr>
        <w:t xml:space="preserve"> agentúru.</w:t>
      </w:r>
    </w:p>
    <w:p w14:paraId="79623463" w14:textId="77777777" w:rsidR="004D7D0F" w:rsidRDefault="009117CC" w:rsidP="004D7D0F">
      <w:pPr>
        <w:tabs>
          <w:tab w:val="left" w:pos="9356"/>
        </w:tabs>
        <w:spacing w:after="120"/>
        <w:jc w:val="both"/>
        <w:rPr>
          <w:rFonts w:asciiTheme="majorHAnsi" w:hAnsiTheme="majorHAnsi" w:cstheme="majorHAnsi"/>
        </w:rPr>
      </w:pPr>
      <w:bookmarkStart w:id="276" w:name="_Hlk127591936"/>
      <w:r w:rsidRPr="0053555E">
        <w:rPr>
          <w:rFonts w:asciiTheme="majorHAnsi" w:hAnsiTheme="majorHAnsi" w:cstheme="majorHAnsi"/>
        </w:rPr>
        <w:t>V</w:t>
      </w:r>
      <w:r w:rsidR="000D7666" w:rsidRPr="0053555E">
        <w:rPr>
          <w:rFonts w:asciiTheme="majorHAnsi" w:hAnsiTheme="majorHAnsi" w:cstheme="majorHAnsi"/>
        </w:rPr>
        <w:t xml:space="preserve"> priebehu akademického roka </w:t>
      </w:r>
      <w:r w:rsidR="00EA24BA" w:rsidRPr="0053555E">
        <w:rPr>
          <w:rFonts w:asciiTheme="majorHAnsi" w:hAnsiTheme="majorHAnsi" w:cstheme="majorHAnsi"/>
        </w:rPr>
        <w:t>202</w:t>
      </w:r>
      <w:r w:rsidR="005732AA">
        <w:rPr>
          <w:rFonts w:asciiTheme="majorHAnsi" w:hAnsiTheme="majorHAnsi" w:cstheme="majorHAnsi"/>
        </w:rPr>
        <w:t>0</w:t>
      </w:r>
      <w:r w:rsidR="00EA24BA" w:rsidRPr="0053555E">
        <w:rPr>
          <w:rFonts w:asciiTheme="majorHAnsi" w:hAnsiTheme="majorHAnsi" w:cstheme="majorHAnsi"/>
        </w:rPr>
        <w:t>/202</w:t>
      </w:r>
      <w:r w:rsidR="005732AA">
        <w:rPr>
          <w:rFonts w:asciiTheme="majorHAnsi" w:hAnsiTheme="majorHAnsi" w:cstheme="majorHAnsi"/>
        </w:rPr>
        <w:t>1</w:t>
      </w:r>
      <w:r w:rsidR="000D7666" w:rsidRPr="0053555E">
        <w:rPr>
          <w:rFonts w:asciiTheme="majorHAnsi" w:hAnsiTheme="majorHAnsi" w:cstheme="majorHAnsi"/>
        </w:rPr>
        <w:t xml:space="preserve"> </w:t>
      </w:r>
      <w:r w:rsidRPr="0053555E">
        <w:rPr>
          <w:rFonts w:asciiTheme="majorHAnsi" w:hAnsiTheme="majorHAnsi" w:cstheme="majorHAnsi"/>
        </w:rPr>
        <w:t>STU nastavila nový</w:t>
      </w:r>
      <w:r w:rsidR="006E2213" w:rsidRPr="0053555E">
        <w:rPr>
          <w:rFonts w:asciiTheme="majorHAnsi" w:hAnsiTheme="majorHAnsi" w:cstheme="majorHAnsi"/>
        </w:rPr>
        <w:t xml:space="preserve"> VSK</w:t>
      </w:r>
      <w:r w:rsidRPr="0053555E">
        <w:rPr>
          <w:rFonts w:asciiTheme="majorHAnsi" w:hAnsiTheme="majorHAnsi" w:cstheme="majorHAnsi"/>
        </w:rPr>
        <w:t xml:space="preserve">, a k 31. máju 2021 </w:t>
      </w:r>
      <w:r w:rsidR="00E60E13">
        <w:rPr>
          <w:rFonts w:asciiTheme="majorHAnsi" w:hAnsiTheme="majorHAnsi" w:cstheme="majorHAnsi"/>
        </w:rPr>
        <w:t xml:space="preserve">boli </w:t>
      </w:r>
      <w:r w:rsidRPr="0053555E">
        <w:rPr>
          <w:rFonts w:asciiTheme="majorHAnsi" w:hAnsiTheme="majorHAnsi" w:cstheme="majorHAnsi"/>
        </w:rPr>
        <w:t>odovzda</w:t>
      </w:r>
      <w:r w:rsidR="00E60E13">
        <w:rPr>
          <w:rFonts w:asciiTheme="majorHAnsi" w:hAnsiTheme="majorHAnsi" w:cstheme="majorHAnsi"/>
        </w:rPr>
        <w:t>né</w:t>
      </w:r>
      <w:r w:rsidRPr="0053555E">
        <w:rPr>
          <w:rFonts w:asciiTheme="majorHAnsi" w:hAnsiTheme="majorHAnsi" w:cstheme="majorHAnsi"/>
        </w:rPr>
        <w:t xml:space="preserve"> dokumenty slúžiace k zosúladeniu študijných programov, </w:t>
      </w:r>
      <w:r w:rsidR="00E60E13">
        <w:rPr>
          <w:rFonts w:asciiTheme="majorHAnsi" w:hAnsiTheme="majorHAnsi" w:cstheme="majorHAnsi"/>
        </w:rPr>
        <w:t>teda</w:t>
      </w:r>
      <w:r w:rsidRPr="0053555E">
        <w:rPr>
          <w:rFonts w:asciiTheme="majorHAnsi" w:hAnsiTheme="majorHAnsi" w:cstheme="majorHAnsi"/>
        </w:rPr>
        <w:t xml:space="preserve"> akreditovaných študijných programov, ktoré chce STU naďalej uskutočňovať</w:t>
      </w:r>
      <w:bookmarkEnd w:id="276"/>
      <w:r w:rsidRPr="0053555E">
        <w:rPr>
          <w:rFonts w:asciiTheme="majorHAnsi" w:hAnsiTheme="majorHAnsi" w:cstheme="majorHAnsi"/>
        </w:rPr>
        <w:t xml:space="preserve">. Akademický rok </w:t>
      </w:r>
      <w:r w:rsidR="00EA24BA" w:rsidRPr="0053555E">
        <w:rPr>
          <w:rFonts w:asciiTheme="majorHAnsi" w:hAnsiTheme="majorHAnsi" w:cstheme="majorHAnsi"/>
        </w:rPr>
        <w:t>202</w:t>
      </w:r>
      <w:r w:rsidR="00E60E13">
        <w:rPr>
          <w:rFonts w:asciiTheme="majorHAnsi" w:hAnsiTheme="majorHAnsi" w:cstheme="majorHAnsi"/>
        </w:rPr>
        <w:t>1</w:t>
      </w:r>
      <w:r w:rsidR="00EA24BA" w:rsidRPr="0053555E">
        <w:rPr>
          <w:rFonts w:asciiTheme="majorHAnsi" w:hAnsiTheme="majorHAnsi" w:cstheme="majorHAnsi"/>
        </w:rPr>
        <w:t>/202</w:t>
      </w:r>
      <w:r w:rsidR="00E60E13">
        <w:rPr>
          <w:rFonts w:asciiTheme="majorHAnsi" w:hAnsiTheme="majorHAnsi" w:cstheme="majorHAnsi"/>
        </w:rPr>
        <w:t>2</w:t>
      </w:r>
      <w:r w:rsidRPr="0053555E">
        <w:rPr>
          <w:rFonts w:asciiTheme="majorHAnsi" w:hAnsiTheme="majorHAnsi" w:cstheme="majorHAnsi"/>
        </w:rPr>
        <w:t xml:space="preserve"> bol rokom implementácie a dolaďovanie VSK. VSK sa doplnilo o posledný predpis o pravidlách priebežného monitorovania, periodického hodnotenia a periodického schvaľovania študijných programov, habilitačných a inauguračných konaní a tvorivej činnosti na STU a</w:t>
      </w:r>
      <w:r w:rsidR="00890FE6">
        <w:rPr>
          <w:rFonts w:asciiTheme="majorHAnsi" w:hAnsiTheme="majorHAnsi" w:cstheme="majorHAnsi"/>
        </w:rPr>
        <w:t> zároveň bol</w:t>
      </w:r>
      <w:r w:rsidRPr="0053555E">
        <w:rPr>
          <w:rFonts w:asciiTheme="majorHAnsi" w:hAnsiTheme="majorHAnsi" w:cstheme="majorHAnsi"/>
        </w:rPr>
        <w:t xml:space="preserve"> </w:t>
      </w:r>
      <w:r w:rsidR="00896F96" w:rsidRPr="0053555E">
        <w:rPr>
          <w:rFonts w:asciiTheme="majorHAnsi" w:hAnsiTheme="majorHAnsi" w:cstheme="majorHAnsi"/>
        </w:rPr>
        <w:t>uprav</w:t>
      </w:r>
      <w:r w:rsidR="00896F96">
        <w:rPr>
          <w:rFonts w:asciiTheme="majorHAnsi" w:hAnsiTheme="majorHAnsi" w:cstheme="majorHAnsi"/>
        </w:rPr>
        <w:t>ený</w:t>
      </w:r>
      <w:r w:rsidRPr="0053555E">
        <w:rPr>
          <w:rFonts w:asciiTheme="majorHAnsi" w:hAnsiTheme="majorHAnsi" w:cstheme="majorHAnsi"/>
        </w:rPr>
        <w:t xml:space="preserve"> vnútorn</w:t>
      </w:r>
      <w:r w:rsidR="00896F96">
        <w:rPr>
          <w:rFonts w:asciiTheme="majorHAnsi" w:hAnsiTheme="majorHAnsi" w:cstheme="majorHAnsi"/>
        </w:rPr>
        <w:t>ý</w:t>
      </w:r>
      <w:r w:rsidRPr="0053555E">
        <w:rPr>
          <w:rFonts w:asciiTheme="majorHAnsi" w:hAnsiTheme="majorHAnsi" w:cstheme="majorHAnsi"/>
        </w:rPr>
        <w:t xml:space="preserve"> predpis </w:t>
      </w:r>
      <w:r w:rsidRPr="0053555E">
        <w:t>Rada pre vnútorný systém zabezpečovania kvality na STU</w:t>
      </w:r>
      <w:r w:rsidRPr="0053555E">
        <w:rPr>
          <w:rFonts w:asciiTheme="majorHAnsi" w:hAnsiTheme="majorHAnsi" w:cstheme="majorHAnsi"/>
        </w:rPr>
        <w:t xml:space="preserve">. </w:t>
      </w:r>
    </w:p>
    <w:p w14:paraId="020A3540" w14:textId="0930EFD2" w:rsidR="00B07AE9" w:rsidRPr="0053555E" w:rsidRDefault="009117CC" w:rsidP="004D7D0F">
      <w:pPr>
        <w:tabs>
          <w:tab w:val="left" w:pos="9356"/>
        </w:tabs>
        <w:spacing w:after="120"/>
        <w:jc w:val="both"/>
        <w:rPr>
          <w:rFonts w:asciiTheme="majorHAnsi" w:hAnsiTheme="majorHAnsi" w:cstheme="majorHAnsi"/>
        </w:rPr>
      </w:pPr>
      <w:r w:rsidRPr="0053555E">
        <w:rPr>
          <w:rFonts w:asciiTheme="majorHAnsi" w:hAnsiTheme="majorHAnsi" w:cstheme="majorHAnsi"/>
        </w:rPr>
        <w:t>VSK</w:t>
      </w:r>
      <w:r w:rsidR="00B07AE9" w:rsidRPr="0053555E">
        <w:rPr>
          <w:rFonts w:asciiTheme="majorHAnsi" w:hAnsiTheme="majorHAnsi" w:cstheme="majorHAnsi"/>
        </w:rPr>
        <w:t xml:space="preserve"> </w:t>
      </w:r>
      <w:r w:rsidR="00642FA1" w:rsidRPr="0053555E">
        <w:rPr>
          <w:rFonts w:asciiTheme="majorHAnsi" w:hAnsiTheme="majorHAnsi" w:cstheme="majorHAnsi"/>
        </w:rPr>
        <w:t xml:space="preserve">podľa článku 32a </w:t>
      </w:r>
      <w:hyperlink r:id="rId103" w:history="1">
        <w:r w:rsidR="00642FA1" w:rsidRPr="004D7D0F">
          <w:rPr>
            <w:rStyle w:val="Hypertextovprepojenie"/>
            <w:rFonts w:asciiTheme="majorHAnsi" w:hAnsiTheme="majorHAnsi" w:cstheme="majorHAnsi"/>
          </w:rPr>
          <w:t>Štatútu STU</w:t>
        </w:r>
      </w:hyperlink>
      <w:r w:rsidR="00E55232" w:rsidRPr="0053555E">
        <w:rPr>
          <w:rFonts w:asciiTheme="majorHAnsi" w:hAnsiTheme="majorHAnsi" w:cstheme="majorHAnsi"/>
        </w:rPr>
        <w:t xml:space="preserve"> v platnom znení</w:t>
      </w:r>
      <w:r w:rsidR="00642FA1" w:rsidRPr="0053555E">
        <w:rPr>
          <w:rFonts w:asciiTheme="majorHAnsi" w:hAnsiTheme="majorHAnsi" w:cstheme="majorHAnsi"/>
        </w:rPr>
        <w:t xml:space="preserve"> </w:t>
      </w:r>
      <w:r w:rsidR="00B07AE9" w:rsidRPr="0053555E">
        <w:rPr>
          <w:rFonts w:asciiTheme="majorHAnsi" w:hAnsiTheme="majorHAnsi" w:cstheme="majorHAnsi"/>
        </w:rPr>
        <w:t xml:space="preserve">tvorený nasledovnými </w:t>
      </w:r>
      <w:r w:rsidR="00B07AE9" w:rsidRPr="0053555E">
        <w:rPr>
          <w:rFonts w:asciiTheme="majorHAnsi" w:hAnsiTheme="majorHAnsi" w:cstheme="majorHAnsi"/>
          <w:b/>
        </w:rPr>
        <w:t>vnútornými predpismi</w:t>
      </w:r>
      <w:r w:rsidR="00C41B03" w:rsidRPr="0053555E">
        <w:rPr>
          <w:rFonts w:asciiTheme="majorHAnsi" w:hAnsiTheme="majorHAnsi" w:cstheme="majorHAnsi"/>
        </w:rPr>
        <w:t>:</w:t>
      </w:r>
    </w:p>
    <w:p w14:paraId="5CA9783E" w14:textId="356CF1E1" w:rsidR="00BF39E4" w:rsidRPr="0053555E" w:rsidRDefault="00C41B03" w:rsidP="00E027F7">
      <w:pPr>
        <w:pStyle w:val="Odsekzoznamu"/>
        <w:numPr>
          <w:ilvl w:val="0"/>
          <w:numId w:val="9"/>
        </w:numPr>
        <w:tabs>
          <w:tab w:val="left" w:pos="9356"/>
        </w:tabs>
        <w:spacing w:after="0" w:line="240" w:lineRule="auto"/>
        <w:ind w:left="426" w:hanging="426"/>
        <w:jc w:val="both"/>
        <w:rPr>
          <w:rFonts w:asciiTheme="majorHAnsi" w:hAnsiTheme="majorHAnsi" w:cstheme="majorHAnsi"/>
          <w:sz w:val="24"/>
          <w:szCs w:val="24"/>
        </w:rPr>
      </w:pPr>
      <w:r w:rsidRPr="0053555E">
        <w:rPr>
          <w:sz w:val="24"/>
          <w:szCs w:val="24"/>
        </w:rPr>
        <w:t xml:space="preserve">Politika kvality </w:t>
      </w:r>
      <w:r w:rsidR="000B2156" w:rsidRPr="0053555E">
        <w:rPr>
          <w:sz w:val="24"/>
          <w:szCs w:val="24"/>
        </w:rPr>
        <w:t>STU</w:t>
      </w:r>
      <w:r w:rsidR="00710B6A" w:rsidRPr="0053555E">
        <w:rPr>
          <w:sz w:val="24"/>
          <w:szCs w:val="24"/>
        </w:rPr>
        <w:t xml:space="preserve"> (ďalej tiež</w:t>
      </w:r>
      <w:r w:rsidR="001A3FD9" w:rsidRPr="0053555E">
        <w:rPr>
          <w:sz w:val="24"/>
          <w:szCs w:val="24"/>
        </w:rPr>
        <w:t xml:space="preserve"> </w:t>
      </w:r>
      <w:r w:rsidR="003A623F" w:rsidRPr="00FD7B93">
        <w:rPr>
          <w:sz w:val="24"/>
          <w:szCs w:val="24"/>
        </w:rPr>
        <w:t>„</w:t>
      </w:r>
      <w:hyperlink r:id="rId104" w:history="1">
        <w:r w:rsidR="001A3FD9" w:rsidRPr="00FD7B93">
          <w:rPr>
            <w:rStyle w:val="Hypertextovprepojenie"/>
            <w:sz w:val="24"/>
            <w:szCs w:val="24"/>
          </w:rPr>
          <w:t>VP č. 3/2021</w:t>
        </w:r>
      </w:hyperlink>
      <w:r w:rsidR="003A623F" w:rsidRPr="00FD7B93">
        <w:rPr>
          <w:sz w:val="24"/>
          <w:szCs w:val="24"/>
        </w:rPr>
        <w:t>“</w:t>
      </w:r>
      <w:r w:rsidR="003A623F" w:rsidRPr="0053555E">
        <w:rPr>
          <w:sz w:val="24"/>
          <w:szCs w:val="24"/>
        </w:rPr>
        <w:t>)</w:t>
      </w:r>
    </w:p>
    <w:p w14:paraId="6C76D1DE" w14:textId="2F880D1F" w:rsidR="00BF39E4" w:rsidRPr="0053555E" w:rsidRDefault="00C41B03" w:rsidP="00E027F7">
      <w:pPr>
        <w:pStyle w:val="Odsekzoznamu"/>
        <w:numPr>
          <w:ilvl w:val="0"/>
          <w:numId w:val="9"/>
        </w:numPr>
        <w:tabs>
          <w:tab w:val="left" w:pos="9356"/>
        </w:tabs>
        <w:spacing w:after="0" w:line="240" w:lineRule="auto"/>
        <w:ind w:left="426" w:hanging="426"/>
        <w:jc w:val="both"/>
        <w:rPr>
          <w:rFonts w:asciiTheme="majorHAnsi" w:hAnsiTheme="majorHAnsi" w:cstheme="majorHAnsi"/>
          <w:sz w:val="24"/>
          <w:szCs w:val="24"/>
        </w:rPr>
      </w:pPr>
      <w:r w:rsidRPr="0053555E">
        <w:rPr>
          <w:sz w:val="24"/>
          <w:szCs w:val="24"/>
        </w:rPr>
        <w:t xml:space="preserve">Pravidlá pre návrh, schvaľovanie, úpravu a zrušenie študijných programov na </w:t>
      </w:r>
      <w:r w:rsidR="000B2156" w:rsidRPr="0053555E">
        <w:rPr>
          <w:sz w:val="24"/>
          <w:szCs w:val="24"/>
        </w:rPr>
        <w:t>STU</w:t>
      </w:r>
      <w:r w:rsidR="003A623F" w:rsidRPr="0053555E">
        <w:rPr>
          <w:sz w:val="24"/>
          <w:szCs w:val="24"/>
        </w:rPr>
        <w:t xml:space="preserve"> (ďalej tiež</w:t>
      </w:r>
      <w:r w:rsidR="002E12C8" w:rsidRPr="0053555E">
        <w:rPr>
          <w:sz w:val="24"/>
          <w:szCs w:val="24"/>
        </w:rPr>
        <w:t xml:space="preserve"> </w:t>
      </w:r>
      <w:r w:rsidR="002E12C8" w:rsidRPr="00FD7B93">
        <w:rPr>
          <w:sz w:val="24"/>
          <w:szCs w:val="24"/>
        </w:rPr>
        <w:t>„</w:t>
      </w:r>
      <w:hyperlink r:id="rId105" w:history="1">
        <w:r w:rsidR="001A3FD9" w:rsidRPr="00FD7B93">
          <w:rPr>
            <w:rStyle w:val="Hypertextovprepojenie"/>
            <w:sz w:val="24"/>
            <w:szCs w:val="24"/>
          </w:rPr>
          <w:t>VP č. 4/2021</w:t>
        </w:r>
      </w:hyperlink>
      <w:r w:rsidR="002E12C8" w:rsidRPr="00FD7B93">
        <w:rPr>
          <w:sz w:val="24"/>
          <w:szCs w:val="24"/>
        </w:rPr>
        <w:t>“</w:t>
      </w:r>
      <w:r w:rsidR="002E12C8" w:rsidRPr="0053555E">
        <w:rPr>
          <w:sz w:val="24"/>
          <w:szCs w:val="24"/>
        </w:rPr>
        <w:t>)</w:t>
      </w:r>
    </w:p>
    <w:p w14:paraId="255E1F58" w14:textId="116C2393" w:rsidR="00BF39E4" w:rsidRPr="0053555E" w:rsidRDefault="00C41B03" w:rsidP="00E027F7">
      <w:pPr>
        <w:pStyle w:val="Odsekzoznamu"/>
        <w:numPr>
          <w:ilvl w:val="0"/>
          <w:numId w:val="9"/>
        </w:numPr>
        <w:tabs>
          <w:tab w:val="left" w:pos="9356"/>
        </w:tabs>
        <w:spacing w:after="0" w:line="240" w:lineRule="auto"/>
        <w:ind w:left="426" w:hanging="426"/>
        <w:jc w:val="both"/>
        <w:rPr>
          <w:rFonts w:asciiTheme="majorHAnsi" w:hAnsiTheme="majorHAnsi" w:cstheme="majorHAnsi"/>
          <w:sz w:val="24"/>
          <w:szCs w:val="24"/>
        </w:rPr>
      </w:pPr>
      <w:r w:rsidRPr="0053555E">
        <w:rPr>
          <w:sz w:val="24"/>
          <w:szCs w:val="24"/>
        </w:rPr>
        <w:t xml:space="preserve">Pravidlá pre personálne zabezpečenie študijných programov na </w:t>
      </w:r>
      <w:r w:rsidR="000B2156" w:rsidRPr="0053555E">
        <w:rPr>
          <w:sz w:val="24"/>
          <w:szCs w:val="24"/>
        </w:rPr>
        <w:t>STU</w:t>
      </w:r>
      <w:r w:rsidR="00D82664" w:rsidRPr="0053555E">
        <w:rPr>
          <w:sz w:val="24"/>
          <w:szCs w:val="24"/>
        </w:rPr>
        <w:t xml:space="preserve"> </w:t>
      </w:r>
      <w:r w:rsidR="002E12C8" w:rsidRPr="0053555E">
        <w:rPr>
          <w:sz w:val="24"/>
          <w:szCs w:val="24"/>
        </w:rPr>
        <w:t xml:space="preserve">(ďalej tiež </w:t>
      </w:r>
      <w:r w:rsidR="002E12C8" w:rsidRPr="00FD7B93">
        <w:rPr>
          <w:sz w:val="24"/>
          <w:szCs w:val="24"/>
        </w:rPr>
        <w:t>„</w:t>
      </w:r>
      <w:hyperlink r:id="rId106" w:history="1">
        <w:r w:rsidR="002E12C8" w:rsidRPr="00CC5FFD">
          <w:rPr>
            <w:rStyle w:val="Hypertextovprepojenie"/>
            <w:sz w:val="24"/>
            <w:szCs w:val="24"/>
          </w:rPr>
          <w:t>VP č. </w:t>
        </w:r>
        <w:r w:rsidR="00D82664" w:rsidRPr="00CC5FFD">
          <w:rPr>
            <w:rStyle w:val="Hypertextovprepojenie"/>
            <w:sz w:val="24"/>
            <w:szCs w:val="24"/>
          </w:rPr>
          <w:t>5/2021</w:t>
        </w:r>
      </w:hyperlink>
      <w:r w:rsidR="002E12C8" w:rsidRPr="00FD7B93">
        <w:rPr>
          <w:sz w:val="24"/>
          <w:szCs w:val="24"/>
        </w:rPr>
        <w:t>“</w:t>
      </w:r>
      <w:r w:rsidR="002E12C8" w:rsidRPr="0053555E">
        <w:rPr>
          <w:sz w:val="24"/>
          <w:szCs w:val="24"/>
        </w:rPr>
        <w:t>)</w:t>
      </w:r>
    </w:p>
    <w:p w14:paraId="26E549D0" w14:textId="7C9D728D" w:rsidR="00642FA1" w:rsidRPr="0053555E" w:rsidRDefault="00C41B03" w:rsidP="00E027F7">
      <w:pPr>
        <w:pStyle w:val="Odsekzoznamu"/>
        <w:numPr>
          <w:ilvl w:val="0"/>
          <w:numId w:val="9"/>
        </w:numPr>
        <w:tabs>
          <w:tab w:val="left" w:pos="9356"/>
        </w:tabs>
        <w:spacing w:after="0" w:line="240" w:lineRule="auto"/>
        <w:ind w:left="426" w:hanging="426"/>
        <w:jc w:val="both"/>
        <w:rPr>
          <w:rFonts w:asciiTheme="majorHAnsi" w:hAnsiTheme="majorHAnsi" w:cstheme="majorHAnsi"/>
          <w:sz w:val="24"/>
          <w:szCs w:val="24"/>
        </w:rPr>
      </w:pPr>
      <w:r w:rsidRPr="0053555E">
        <w:rPr>
          <w:sz w:val="24"/>
          <w:szCs w:val="24"/>
        </w:rPr>
        <w:t xml:space="preserve">Rada pre vnútorný systém zabezpečovania kvality na </w:t>
      </w:r>
      <w:r w:rsidR="000B2156" w:rsidRPr="0053555E">
        <w:rPr>
          <w:sz w:val="24"/>
          <w:szCs w:val="24"/>
        </w:rPr>
        <w:t>STU</w:t>
      </w:r>
      <w:r w:rsidR="002E12C8" w:rsidRPr="0053555E">
        <w:rPr>
          <w:sz w:val="24"/>
          <w:szCs w:val="24"/>
        </w:rPr>
        <w:t xml:space="preserve"> (ďalej tiež</w:t>
      </w:r>
      <w:r w:rsidR="00C40720" w:rsidRPr="0053555E">
        <w:rPr>
          <w:sz w:val="24"/>
          <w:szCs w:val="24"/>
        </w:rPr>
        <w:t xml:space="preserve"> </w:t>
      </w:r>
      <w:r w:rsidR="00D66BF6" w:rsidRPr="00CC5FFD">
        <w:rPr>
          <w:sz w:val="24"/>
          <w:szCs w:val="24"/>
        </w:rPr>
        <w:t>„</w:t>
      </w:r>
      <w:hyperlink r:id="rId107" w:history="1">
        <w:r w:rsidR="00C40720" w:rsidRPr="00CC5FFD">
          <w:rPr>
            <w:rStyle w:val="Hypertextovprepojenie"/>
            <w:sz w:val="24"/>
            <w:szCs w:val="24"/>
          </w:rPr>
          <w:t>VP č. 6/2021</w:t>
        </w:r>
      </w:hyperlink>
      <w:r w:rsidR="00D66BF6" w:rsidRPr="00CC5FFD">
        <w:rPr>
          <w:sz w:val="24"/>
          <w:szCs w:val="24"/>
        </w:rPr>
        <w:t>“</w:t>
      </w:r>
      <w:r w:rsidR="00D66BF6" w:rsidRPr="0053555E">
        <w:rPr>
          <w:sz w:val="24"/>
          <w:szCs w:val="24"/>
        </w:rPr>
        <w:t>)</w:t>
      </w:r>
    </w:p>
    <w:p w14:paraId="454D780B" w14:textId="3F40753F" w:rsidR="00642FA1" w:rsidRPr="0053555E" w:rsidRDefault="00C41B03" w:rsidP="00E027F7">
      <w:pPr>
        <w:pStyle w:val="Odsekzoznamu"/>
        <w:numPr>
          <w:ilvl w:val="0"/>
          <w:numId w:val="9"/>
        </w:numPr>
        <w:tabs>
          <w:tab w:val="left" w:pos="9356"/>
        </w:tabs>
        <w:spacing w:after="0" w:line="240" w:lineRule="auto"/>
        <w:ind w:left="426" w:hanging="426"/>
        <w:jc w:val="both"/>
        <w:rPr>
          <w:rFonts w:asciiTheme="majorHAnsi" w:hAnsiTheme="majorHAnsi" w:cstheme="majorHAnsi"/>
          <w:sz w:val="24"/>
          <w:szCs w:val="24"/>
        </w:rPr>
      </w:pPr>
      <w:r w:rsidRPr="0053555E">
        <w:rPr>
          <w:sz w:val="24"/>
          <w:szCs w:val="24"/>
        </w:rPr>
        <w:t xml:space="preserve">Rada študijného programu na </w:t>
      </w:r>
      <w:r w:rsidR="000B2156" w:rsidRPr="0053555E">
        <w:rPr>
          <w:sz w:val="24"/>
          <w:szCs w:val="24"/>
        </w:rPr>
        <w:t>STU</w:t>
      </w:r>
      <w:r w:rsidR="00C40720" w:rsidRPr="0053555E">
        <w:rPr>
          <w:sz w:val="24"/>
          <w:szCs w:val="24"/>
        </w:rPr>
        <w:t xml:space="preserve"> </w:t>
      </w:r>
      <w:r w:rsidR="00D66BF6" w:rsidRPr="0053555E">
        <w:rPr>
          <w:sz w:val="24"/>
          <w:szCs w:val="24"/>
        </w:rPr>
        <w:t xml:space="preserve">(ďalej tiež </w:t>
      </w:r>
      <w:r w:rsidR="00D66BF6" w:rsidRPr="00CC5FFD">
        <w:rPr>
          <w:sz w:val="24"/>
          <w:szCs w:val="24"/>
        </w:rPr>
        <w:t>„</w:t>
      </w:r>
      <w:hyperlink r:id="rId108" w:history="1">
        <w:r w:rsidR="00C40720" w:rsidRPr="00CC5FFD">
          <w:rPr>
            <w:rStyle w:val="Hypertextovprepojenie"/>
            <w:sz w:val="24"/>
            <w:szCs w:val="24"/>
          </w:rPr>
          <w:t>VP č. 7/2021</w:t>
        </w:r>
      </w:hyperlink>
      <w:r w:rsidR="00D66BF6" w:rsidRPr="00CC5FFD">
        <w:rPr>
          <w:sz w:val="24"/>
          <w:szCs w:val="24"/>
        </w:rPr>
        <w:t>“</w:t>
      </w:r>
      <w:r w:rsidR="00D66BF6" w:rsidRPr="0053555E">
        <w:rPr>
          <w:sz w:val="24"/>
          <w:szCs w:val="24"/>
        </w:rPr>
        <w:t>)</w:t>
      </w:r>
    </w:p>
    <w:p w14:paraId="480322C6" w14:textId="26DECCA0" w:rsidR="00642FA1" w:rsidRPr="0053555E" w:rsidRDefault="00C41B03" w:rsidP="00E027F7">
      <w:pPr>
        <w:pStyle w:val="Odsekzoznamu"/>
        <w:numPr>
          <w:ilvl w:val="0"/>
          <w:numId w:val="9"/>
        </w:numPr>
        <w:tabs>
          <w:tab w:val="left" w:pos="9356"/>
        </w:tabs>
        <w:spacing w:after="0" w:line="240" w:lineRule="auto"/>
        <w:ind w:left="426" w:hanging="426"/>
        <w:jc w:val="both"/>
        <w:rPr>
          <w:rFonts w:asciiTheme="majorHAnsi" w:hAnsiTheme="majorHAnsi" w:cstheme="majorHAnsi"/>
          <w:sz w:val="24"/>
          <w:szCs w:val="24"/>
        </w:rPr>
      </w:pPr>
      <w:r w:rsidRPr="0053555E">
        <w:rPr>
          <w:sz w:val="24"/>
          <w:szCs w:val="24"/>
        </w:rPr>
        <w:t xml:space="preserve">Pravidlá pre tvorbu a posudzovanie podkladov na získanie práv na </w:t>
      </w:r>
      <w:r w:rsidR="000B2156" w:rsidRPr="0053555E">
        <w:rPr>
          <w:sz w:val="24"/>
          <w:szCs w:val="24"/>
        </w:rPr>
        <w:t>habilitačné konania a </w:t>
      </w:r>
      <w:r w:rsidRPr="0053555E">
        <w:rPr>
          <w:sz w:val="24"/>
          <w:szCs w:val="24"/>
        </w:rPr>
        <w:t xml:space="preserve">inauguračné konania na </w:t>
      </w:r>
      <w:r w:rsidR="000B2156" w:rsidRPr="0053555E">
        <w:rPr>
          <w:sz w:val="24"/>
          <w:szCs w:val="24"/>
        </w:rPr>
        <w:t>STU</w:t>
      </w:r>
      <w:r w:rsidR="00AC3FA9" w:rsidRPr="0053555E">
        <w:rPr>
          <w:sz w:val="24"/>
          <w:szCs w:val="24"/>
        </w:rPr>
        <w:t xml:space="preserve"> </w:t>
      </w:r>
      <w:r w:rsidR="00D66BF6" w:rsidRPr="0053555E">
        <w:rPr>
          <w:sz w:val="24"/>
          <w:szCs w:val="24"/>
        </w:rPr>
        <w:t xml:space="preserve">(ďalej tiež </w:t>
      </w:r>
      <w:r w:rsidR="00846D44" w:rsidRPr="00CC5FFD">
        <w:rPr>
          <w:sz w:val="24"/>
          <w:szCs w:val="24"/>
        </w:rPr>
        <w:t>„</w:t>
      </w:r>
      <w:hyperlink r:id="rId109" w:history="1">
        <w:r w:rsidR="00AC3FA9" w:rsidRPr="00CC5FFD">
          <w:rPr>
            <w:rStyle w:val="Hypertextovprepojenie"/>
            <w:sz w:val="24"/>
            <w:szCs w:val="24"/>
          </w:rPr>
          <w:t>VP č. 8/2021</w:t>
        </w:r>
      </w:hyperlink>
      <w:r w:rsidR="00846D44" w:rsidRPr="00CC5FFD">
        <w:rPr>
          <w:sz w:val="24"/>
          <w:szCs w:val="24"/>
        </w:rPr>
        <w:t>“</w:t>
      </w:r>
      <w:r w:rsidR="00846D44" w:rsidRPr="0053555E">
        <w:rPr>
          <w:sz w:val="24"/>
          <w:szCs w:val="24"/>
        </w:rPr>
        <w:t>)</w:t>
      </w:r>
    </w:p>
    <w:p w14:paraId="3B59EB88" w14:textId="4C5CEEB1" w:rsidR="00642FA1" w:rsidRPr="0053555E" w:rsidRDefault="00C41B03" w:rsidP="00E027F7">
      <w:pPr>
        <w:pStyle w:val="Odsekzoznamu"/>
        <w:numPr>
          <w:ilvl w:val="0"/>
          <w:numId w:val="9"/>
        </w:numPr>
        <w:tabs>
          <w:tab w:val="left" w:pos="9356"/>
        </w:tabs>
        <w:spacing w:after="0" w:line="240" w:lineRule="auto"/>
        <w:ind w:left="426" w:hanging="426"/>
        <w:jc w:val="both"/>
        <w:rPr>
          <w:rFonts w:asciiTheme="majorHAnsi" w:hAnsiTheme="majorHAnsi" w:cstheme="majorHAnsi"/>
          <w:sz w:val="24"/>
          <w:szCs w:val="24"/>
        </w:rPr>
      </w:pPr>
      <w:r w:rsidRPr="0053555E">
        <w:rPr>
          <w:sz w:val="24"/>
          <w:szCs w:val="24"/>
        </w:rPr>
        <w:t xml:space="preserve">Vnútorný systém zabezpečenia kvality doktorandského štúdia na </w:t>
      </w:r>
      <w:r w:rsidR="000B2156" w:rsidRPr="0053555E">
        <w:rPr>
          <w:sz w:val="24"/>
          <w:szCs w:val="24"/>
        </w:rPr>
        <w:t>STU</w:t>
      </w:r>
      <w:r w:rsidR="00AC3FA9" w:rsidRPr="0053555E">
        <w:rPr>
          <w:sz w:val="24"/>
          <w:szCs w:val="24"/>
        </w:rPr>
        <w:t xml:space="preserve"> </w:t>
      </w:r>
      <w:r w:rsidR="00846D44" w:rsidRPr="0053555E">
        <w:rPr>
          <w:sz w:val="24"/>
          <w:szCs w:val="24"/>
        </w:rPr>
        <w:t xml:space="preserve">(ďalej tiež </w:t>
      </w:r>
      <w:r w:rsidR="00846D44" w:rsidRPr="00CC5FFD">
        <w:rPr>
          <w:sz w:val="24"/>
          <w:szCs w:val="24"/>
        </w:rPr>
        <w:t>„</w:t>
      </w:r>
      <w:hyperlink r:id="rId110" w:history="1">
        <w:r w:rsidR="00846D44" w:rsidRPr="00CC5FFD">
          <w:rPr>
            <w:rStyle w:val="Hypertextovprepojenie"/>
            <w:sz w:val="24"/>
            <w:szCs w:val="24"/>
          </w:rPr>
          <w:t>VP č. </w:t>
        </w:r>
        <w:r w:rsidR="00AC3FA9" w:rsidRPr="00CC5FFD">
          <w:rPr>
            <w:rStyle w:val="Hypertextovprepojenie"/>
            <w:sz w:val="24"/>
            <w:szCs w:val="24"/>
          </w:rPr>
          <w:t>9/2021</w:t>
        </w:r>
      </w:hyperlink>
      <w:r w:rsidR="00846D44" w:rsidRPr="00CC5FFD">
        <w:rPr>
          <w:sz w:val="24"/>
          <w:szCs w:val="24"/>
        </w:rPr>
        <w:t>“</w:t>
      </w:r>
      <w:r w:rsidR="00846D44" w:rsidRPr="0053555E">
        <w:rPr>
          <w:sz w:val="24"/>
          <w:szCs w:val="24"/>
        </w:rPr>
        <w:t>).</w:t>
      </w:r>
    </w:p>
    <w:p w14:paraId="03ADA5F0" w14:textId="243DCA9A" w:rsidR="00C418A4" w:rsidRPr="0053555E" w:rsidRDefault="00C41B03" w:rsidP="00E027F7">
      <w:pPr>
        <w:pStyle w:val="Odsekzoznamu"/>
        <w:numPr>
          <w:ilvl w:val="0"/>
          <w:numId w:val="9"/>
        </w:numPr>
        <w:tabs>
          <w:tab w:val="left" w:pos="9356"/>
        </w:tabs>
        <w:spacing w:after="120" w:line="240" w:lineRule="auto"/>
        <w:ind w:left="425" w:hanging="425"/>
        <w:contextualSpacing w:val="0"/>
        <w:jc w:val="both"/>
        <w:rPr>
          <w:rFonts w:asciiTheme="majorHAnsi" w:hAnsiTheme="majorHAnsi" w:cstheme="majorHAnsi"/>
          <w:sz w:val="24"/>
          <w:szCs w:val="24"/>
        </w:rPr>
      </w:pPr>
      <w:bookmarkStart w:id="277" w:name="_Hlk126253781"/>
      <w:r w:rsidRPr="0053555E">
        <w:rPr>
          <w:sz w:val="24"/>
          <w:szCs w:val="24"/>
        </w:rPr>
        <w:t xml:space="preserve">Pravidlá priebežného monitorovania, periodického hodnotenia a periodického schvaľovania študijných programov, habilitačných a inauguračných konaní a tvorivej činnosti na </w:t>
      </w:r>
      <w:r w:rsidR="000B2156" w:rsidRPr="0053555E">
        <w:rPr>
          <w:sz w:val="24"/>
          <w:szCs w:val="24"/>
        </w:rPr>
        <w:t>STU</w:t>
      </w:r>
      <w:bookmarkEnd w:id="277"/>
      <w:r w:rsidR="009117CC" w:rsidRPr="0053555E">
        <w:rPr>
          <w:sz w:val="24"/>
          <w:szCs w:val="24"/>
        </w:rPr>
        <w:t xml:space="preserve"> (ďalej tiež </w:t>
      </w:r>
      <w:r w:rsidR="009117CC" w:rsidRPr="00534589">
        <w:rPr>
          <w:sz w:val="24"/>
          <w:szCs w:val="24"/>
        </w:rPr>
        <w:t>„</w:t>
      </w:r>
      <w:hyperlink r:id="rId111" w:history="1">
        <w:r w:rsidR="009117CC" w:rsidRPr="00534589">
          <w:rPr>
            <w:rStyle w:val="Hypertextovprepojenie"/>
            <w:sz w:val="24"/>
            <w:szCs w:val="24"/>
          </w:rPr>
          <w:t>VP č. 2/2022</w:t>
        </w:r>
      </w:hyperlink>
      <w:r w:rsidR="009117CC" w:rsidRPr="00534589">
        <w:rPr>
          <w:sz w:val="24"/>
          <w:szCs w:val="24"/>
        </w:rPr>
        <w:t>“</w:t>
      </w:r>
      <w:r w:rsidR="009117CC" w:rsidRPr="0053555E">
        <w:rPr>
          <w:sz w:val="24"/>
          <w:szCs w:val="24"/>
        </w:rPr>
        <w:t>)</w:t>
      </w:r>
      <w:r w:rsidR="00C418A4" w:rsidRPr="0053555E">
        <w:rPr>
          <w:sz w:val="24"/>
          <w:szCs w:val="24"/>
        </w:rPr>
        <w:t>.</w:t>
      </w:r>
    </w:p>
    <w:p w14:paraId="66ECB248" w14:textId="41FE18EB" w:rsidR="002961FB" w:rsidRPr="0053555E" w:rsidRDefault="0029500D" w:rsidP="003B5B6C">
      <w:pPr>
        <w:tabs>
          <w:tab w:val="left" w:pos="9356"/>
        </w:tabs>
        <w:spacing w:after="120"/>
        <w:jc w:val="both"/>
        <w:rPr>
          <w:rFonts w:asciiTheme="majorHAnsi" w:hAnsiTheme="majorHAnsi" w:cstheme="majorHAnsi"/>
        </w:rPr>
      </w:pPr>
      <w:r w:rsidRPr="0053555E">
        <w:rPr>
          <w:rFonts w:asciiTheme="majorHAnsi" w:hAnsiTheme="majorHAnsi" w:cstheme="majorHAnsi"/>
        </w:rPr>
        <w:t xml:space="preserve">Okrem uvedených vnútorných predpisov je VSK </w:t>
      </w:r>
      <w:r w:rsidR="008D236F" w:rsidRPr="0053555E">
        <w:rPr>
          <w:rFonts w:asciiTheme="majorHAnsi" w:hAnsiTheme="majorHAnsi" w:cstheme="majorHAnsi"/>
        </w:rPr>
        <w:t xml:space="preserve">čiastočne </w:t>
      </w:r>
      <w:r w:rsidRPr="0053555E">
        <w:rPr>
          <w:rFonts w:asciiTheme="majorHAnsi" w:hAnsiTheme="majorHAnsi" w:cstheme="majorHAnsi"/>
        </w:rPr>
        <w:t xml:space="preserve">upravený aj </w:t>
      </w:r>
      <w:r w:rsidRPr="0053555E">
        <w:rPr>
          <w:rFonts w:asciiTheme="majorHAnsi" w:hAnsiTheme="majorHAnsi" w:cstheme="majorHAnsi"/>
          <w:b/>
        </w:rPr>
        <w:t xml:space="preserve">ďalšími </w:t>
      </w:r>
      <w:r w:rsidR="00EB76BC" w:rsidRPr="0053555E">
        <w:rPr>
          <w:rFonts w:asciiTheme="majorHAnsi" w:hAnsiTheme="majorHAnsi" w:cstheme="majorHAnsi"/>
          <w:b/>
        </w:rPr>
        <w:t xml:space="preserve">vnútornými </w:t>
      </w:r>
      <w:r w:rsidRPr="0053555E">
        <w:rPr>
          <w:rFonts w:asciiTheme="majorHAnsi" w:hAnsiTheme="majorHAnsi" w:cstheme="majorHAnsi"/>
          <w:b/>
        </w:rPr>
        <w:t>predpismi</w:t>
      </w:r>
      <w:r w:rsidR="00EB76BC" w:rsidRPr="0053555E">
        <w:rPr>
          <w:rFonts w:asciiTheme="majorHAnsi" w:hAnsiTheme="majorHAnsi" w:cstheme="majorHAnsi"/>
          <w:b/>
        </w:rPr>
        <w:t>, resp. smernicami rektora</w:t>
      </w:r>
      <w:r w:rsidRPr="0053555E">
        <w:rPr>
          <w:rFonts w:asciiTheme="majorHAnsi" w:hAnsiTheme="majorHAnsi" w:cstheme="majorHAnsi"/>
          <w:b/>
        </w:rPr>
        <w:t xml:space="preserve"> STU</w:t>
      </w:r>
      <w:r w:rsidR="008D236F" w:rsidRPr="0053555E">
        <w:rPr>
          <w:rFonts w:asciiTheme="majorHAnsi" w:hAnsiTheme="majorHAnsi" w:cstheme="majorHAnsi"/>
          <w:b/>
        </w:rPr>
        <w:t xml:space="preserve">. </w:t>
      </w:r>
      <w:r w:rsidR="008D236F" w:rsidRPr="0053555E">
        <w:rPr>
          <w:rFonts w:asciiTheme="majorHAnsi" w:hAnsiTheme="majorHAnsi" w:cstheme="majorHAnsi"/>
        </w:rPr>
        <w:t>Sú to</w:t>
      </w:r>
      <w:r w:rsidR="007232DC" w:rsidRPr="0053555E">
        <w:rPr>
          <w:rFonts w:asciiTheme="majorHAnsi" w:hAnsiTheme="majorHAnsi" w:cstheme="majorHAnsi"/>
        </w:rPr>
        <w:t xml:space="preserve"> </w:t>
      </w:r>
      <w:r w:rsidR="008527F6" w:rsidRPr="0053555E">
        <w:rPr>
          <w:rFonts w:asciiTheme="majorHAnsi" w:hAnsiTheme="majorHAnsi" w:cstheme="majorHAnsi"/>
        </w:rPr>
        <w:t>najmä</w:t>
      </w:r>
      <w:r w:rsidRPr="0053555E">
        <w:rPr>
          <w:rFonts w:asciiTheme="majorHAnsi" w:hAnsiTheme="majorHAnsi" w:cstheme="majorHAnsi"/>
        </w:rPr>
        <w:t xml:space="preserve"> Študijný poriadok STU, </w:t>
      </w:r>
      <w:r w:rsidR="00C81B66" w:rsidRPr="0053555E">
        <w:rPr>
          <w:rFonts w:asciiTheme="majorHAnsi" w:hAnsiTheme="majorHAnsi" w:cstheme="majorHAnsi"/>
        </w:rPr>
        <w:t xml:space="preserve">Etický kódex študentov STU, </w:t>
      </w:r>
      <w:r w:rsidR="00D53923" w:rsidRPr="0053555E">
        <w:rPr>
          <w:rFonts w:asciiTheme="majorHAnsi" w:hAnsiTheme="majorHAnsi" w:cstheme="majorHAnsi"/>
        </w:rPr>
        <w:t>Pravidlá a podmienky prijímania na štúdium študijn</w:t>
      </w:r>
      <w:r w:rsidR="00A34735" w:rsidRPr="0053555E">
        <w:rPr>
          <w:rFonts w:asciiTheme="majorHAnsi" w:hAnsiTheme="majorHAnsi" w:cstheme="majorHAnsi"/>
        </w:rPr>
        <w:t>ých programov prvého, druhého a </w:t>
      </w:r>
      <w:r w:rsidR="00D53923" w:rsidRPr="0053555E">
        <w:rPr>
          <w:rFonts w:asciiTheme="majorHAnsi" w:hAnsiTheme="majorHAnsi" w:cstheme="majorHAnsi"/>
        </w:rPr>
        <w:t>tretieho stupňa na STU</w:t>
      </w:r>
      <w:r w:rsidR="00BA4B4D" w:rsidRPr="0053555E">
        <w:rPr>
          <w:rFonts w:asciiTheme="majorHAnsi" w:hAnsiTheme="majorHAnsi" w:cstheme="majorHAnsi"/>
        </w:rPr>
        <w:t xml:space="preserve">, </w:t>
      </w:r>
      <w:r w:rsidR="001F29FE" w:rsidRPr="0053555E">
        <w:rPr>
          <w:rFonts w:asciiTheme="majorHAnsi" w:hAnsiTheme="majorHAnsi" w:cstheme="majorHAnsi"/>
        </w:rPr>
        <w:t>Disciplinárny poriadok STU pre </w:t>
      </w:r>
      <w:r w:rsidR="00A34735" w:rsidRPr="0053555E">
        <w:rPr>
          <w:rFonts w:asciiTheme="majorHAnsi" w:hAnsiTheme="majorHAnsi" w:cstheme="majorHAnsi"/>
        </w:rPr>
        <w:t xml:space="preserve">študentov, Rokovací poriadok Disciplinárnej komisie STU, </w:t>
      </w:r>
      <w:r w:rsidR="00BA4B4D" w:rsidRPr="0053555E">
        <w:rPr>
          <w:rFonts w:asciiTheme="majorHAnsi" w:hAnsiTheme="majorHAnsi" w:cstheme="majorHAnsi"/>
        </w:rPr>
        <w:t xml:space="preserve">smernica rektora </w:t>
      </w:r>
      <w:r w:rsidR="00742B77" w:rsidRPr="0053555E">
        <w:rPr>
          <w:rFonts w:asciiTheme="majorHAnsi" w:hAnsiTheme="majorHAnsi" w:cstheme="majorHAnsi"/>
        </w:rPr>
        <w:t>O</w:t>
      </w:r>
      <w:r w:rsidR="00BA4B4D" w:rsidRPr="0053555E">
        <w:rPr>
          <w:rFonts w:asciiTheme="majorHAnsi" w:hAnsiTheme="majorHAnsi" w:cstheme="majorHAnsi"/>
        </w:rPr>
        <w:t>dborov</w:t>
      </w:r>
      <w:r w:rsidR="00A66C3F" w:rsidRPr="0053555E">
        <w:rPr>
          <w:rFonts w:asciiTheme="majorHAnsi" w:hAnsiTheme="majorHAnsi" w:cstheme="majorHAnsi"/>
        </w:rPr>
        <w:t>á</w:t>
      </w:r>
      <w:r w:rsidR="00BA4B4D" w:rsidRPr="0053555E">
        <w:rPr>
          <w:rFonts w:asciiTheme="majorHAnsi" w:hAnsiTheme="majorHAnsi" w:cstheme="majorHAnsi"/>
        </w:rPr>
        <w:t xml:space="preserve"> komisi</w:t>
      </w:r>
      <w:r w:rsidR="00A66C3F" w:rsidRPr="0053555E">
        <w:rPr>
          <w:rFonts w:asciiTheme="majorHAnsi" w:hAnsiTheme="majorHAnsi" w:cstheme="majorHAnsi"/>
        </w:rPr>
        <w:t>a</w:t>
      </w:r>
      <w:r w:rsidR="00BA4B4D" w:rsidRPr="0053555E">
        <w:rPr>
          <w:rFonts w:asciiTheme="majorHAnsi" w:hAnsiTheme="majorHAnsi" w:cstheme="majorHAnsi"/>
        </w:rPr>
        <w:t xml:space="preserve"> doktorandských študijných programov na STU</w:t>
      </w:r>
      <w:r w:rsidR="00172495" w:rsidRPr="0053555E">
        <w:rPr>
          <w:rFonts w:asciiTheme="majorHAnsi" w:hAnsiTheme="majorHAnsi" w:cstheme="majorHAnsi"/>
        </w:rPr>
        <w:t xml:space="preserve">, </w:t>
      </w:r>
      <w:r w:rsidR="00375A2A" w:rsidRPr="0053555E">
        <w:rPr>
          <w:rFonts w:asciiTheme="majorHAnsi" w:hAnsiTheme="majorHAnsi" w:cstheme="majorHAnsi"/>
        </w:rPr>
        <w:t xml:space="preserve">smernica rektora Etická komisia STU, </w:t>
      </w:r>
      <w:r w:rsidR="00BE4B81" w:rsidRPr="0053555E">
        <w:rPr>
          <w:rFonts w:asciiTheme="majorHAnsi" w:hAnsiTheme="majorHAnsi" w:cstheme="majorHAnsi"/>
        </w:rPr>
        <w:t>Pravidlá pre tvorbu a posudzovanie podkladov na získani</w:t>
      </w:r>
      <w:r w:rsidR="00A34735" w:rsidRPr="0053555E">
        <w:rPr>
          <w:rFonts w:asciiTheme="majorHAnsi" w:hAnsiTheme="majorHAnsi" w:cstheme="majorHAnsi"/>
        </w:rPr>
        <w:t>e práv na </w:t>
      </w:r>
      <w:r w:rsidR="00BE4B81" w:rsidRPr="0053555E">
        <w:rPr>
          <w:rFonts w:asciiTheme="majorHAnsi" w:hAnsiTheme="majorHAnsi" w:cstheme="majorHAnsi"/>
        </w:rPr>
        <w:t xml:space="preserve">habilitačné konania </w:t>
      </w:r>
      <w:r w:rsidR="001F29FE" w:rsidRPr="0053555E">
        <w:rPr>
          <w:rFonts w:asciiTheme="majorHAnsi" w:hAnsiTheme="majorHAnsi" w:cstheme="majorHAnsi"/>
        </w:rPr>
        <w:t>a </w:t>
      </w:r>
      <w:r w:rsidR="00BE4B81" w:rsidRPr="0053555E">
        <w:rPr>
          <w:rFonts w:asciiTheme="majorHAnsi" w:hAnsiTheme="majorHAnsi" w:cstheme="majorHAnsi"/>
        </w:rPr>
        <w:t xml:space="preserve">inauguračné konania na STU, </w:t>
      </w:r>
      <w:r w:rsidR="00EB76BC" w:rsidRPr="0053555E">
        <w:rPr>
          <w:rFonts w:asciiTheme="majorHAnsi" w:hAnsiTheme="majorHAnsi" w:cstheme="majorHAnsi"/>
        </w:rPr>
        <w:t>Pravidlá na </w:t>
      </w:r>
      <w:r w:rsidR="00BE4B81" w:rsidRPr="0053555E">
        <w:rPr>
          <w:rFonts w:asciiTheme="majorHAnsi" w:hAnsiTheme="majorHAnsi" w:cstheme="majorHAnsi"/>
        </w:rPr>
        <w:t>určenie minimálnych kritérií na získanie titulu docent a profesor na STU</w:t>
      </w:r>
      <w:r w:rsidR="003B5B6C" w:rsidRPr="0053555E">
        <w:rPr>
          <w:rFonts w:asciiTheme="majorHAnsi" w:hAnsiTheme="majorHAnsi" w:cstheme="majorHAnsi"/>
        </w:rPr>
        <w:t>, Zásady výberového konania na STU</w:t>
      </w:r>
      <w:r w:rsidR="008527F6" w:rsidRPr="0053555E">
        <w:rPr>
          <w:rFonts w:asciiTheme="majorHAnsi" w:hAnsiTheme="majorHAnsi" w:cstheme="majorHAnsi"/>
        </w:rPr>
        <w:t xml:space="preserve"> a ďalšie</w:t>
      </w:r>
      <w:r w:rsidR="00D53923" w:rsidRPr="0053555E">
        <w:rPr>
          <w:rFonts w:asciiTheme="majorHAnsi" w:hAnsiTheme="majorHAnsi" w:cstheme="majorHAnsi"/>
        </w:rPr>
        <w:t>.</w:t>
      </w:r>
    </w:p>
    <w:p w14:paraId="21805677" w14:textId="374A567B" w:rsidR="004866CE" w:rsidRPr="0053555E" w:rsidRDefault="00472B67" w:rsidP="005769D4">
      <w:pPr>
        <w:spacing w:after="120"/>
        <w:jc w:val="both"/>
        <w:rPr>
          <w:rFonts w:asciiTheme="majorHAnsi" w:hAnsiTheme="majorHAnsi" w:cstheme="majorHAnsi"/>
        </w:rPr>
      </w:pPr>
      <w:r w:rsidRPr="0053555E">
        <w:rPr>
          <w:rFonts w:asciiTheme="majorHAnsi" w:hAnsiTheme="majorHAnsi" w:cstheme="majorHAnsi"/>
        </w:rPr>
        <w:t xml:space="preserve">Manažment VSK je tvorený viacerými úrovňami. </w:t>
      </w:r>
    </w:p>
    <w:p w14:paraId="5381D2B2" w14:textId="5A993B5C" w:rsidR="00472B67" w:rsidRPr="0053555E" w:rsidRDefault="00002857" w:rsidP="005769D4">
      <w:pPr>
        <w:spacing w:after="120"/>
        <w:jc w:val="both"/>
        <w:rPr>
          <w:rFonts w:asciiTheme="majorHAnsi" w:hAnsiTheme="majorHAnsi" w:cstheme="majorHAnsi"/>
        </w:rPr>
      </w:pPr>
      <w:r w:rsidRPr="0053555E">
        <w:rPr>
          <w:rFonts w:asciiTheme="majorHAnsi" w:hAnsiTheme="majorHAnsi" w:cstheme="majorHAnsi"/>
          <w:b/>
          <w:bCs/>
        </w:rPr>
        <w:t>S</w:t>
      </w:r>
      <w:r w:rsidRPr="0053555E">
        <w:rPr>
          <w:rFonts w:asciiTheme="majorHAnsi" w:hAnsiTheme="majorHAnsi" w:cstheme="majorHAnsi"/>
          <w:b/>
        </w:rPr>
        <w:t>plnomocnenou</w:t>
      </w:r>
      <w:r w:rsidR="00780C27" w:rsidRPr="0053555E">
        <w:rPr>
          <w:rFonts w:asciiTheme="majorHAnsi" w:hAnsiTheme="majorHAnsi" w:cstheme="majorHAnsi"/>
          <w:b/>
        </w:rPr>
        <w:t xml:space="preserve"> osob</w:t>
      </w:r>
      <w:r w:rsidRPr="0053555E">
        <w:rPr>
          <w:rFonts w:asciiTheme="majorHAnsi" w:hAnsiTheme="majorHAnsi" w:cstheme="majorHAnsi"/>
          <w:b/>
        </w:rPr>
        <w:t>o</w:t>
      </w:r>
      <w:r w:rsidR="00780C27" w:rsidRPr="0053555E">
        <w:rPr>
          <w:rFonts w:asciiTheme="majorHAnsi" w:hAnsiTheme="majorHAnsi" w:cstheme="majorHAnsi"/>
          <w:b/>
        </w:rPr>
        <w:t>u</w:t>
      </w:r>
      <w:r w:rsidRPr="0053555E">
        <w:rPr>
          <w:rFonts w:asciiTheme="majorHAnsi" w:hAnsiTheme="majorHAnsi" w:cstheme="majorHAnsi"/>
          <w:b/>
        </w:rPr>
        <w:t xml:space="preserve"> STU</w:t>
      </w:r>
      <w:r w:rsidR="00780C27" w:rsidRPr="0053555E">
        <w:rPr>
          <w:rFonts w:asciiTheme="majorHAnsi" w:hAnsiTheme="majorHAnsi" w:cstheme="majorHAnsi"/>
          <w:b/>
        </w:rPr>
        <w:t xml:space="preserve"> pre VSK</w:t>
      </w:r>
      <w:r w:rsidRPr="0053555E">
        <w:rPr>
          <w:rFonts w:asciiTheme="majorHAnsi" w:hAnsiTheme="majorHAnsi" w:cstheme="majorHAnsi"/>
        </w:rPr>
        <w:t xml:space="preserve"> bol v sledovanom období</w:t>
      </w:r>
      <w:r w:rsidR="00780C27" w:rsidRPr="0053555E">
        <w:rPr>
          <w:rFonts w:asciiTheme="majorHAnsi" w:hAnsiTheme="majorHAnsi" w:cstheme="majorHAnsi"/>
        </w:rPr>
        <w:t xml:space="preserve"> </w:t>
      </w:r>
      <w:r w:rsidR="00CB66B9" w:rsidRPr="0053555E">
        <w:rPr>
          <w:rFonts w:asciiTheme="majorHAnsi" w:hAnsiTheme="majorHAnsi" w:cstheme="majorHAnsi"/>
        </w:rPr>
        <w:t>doc. Ing. Pet</w:t>
      </w:r>
      <w:r w:rsidRPr="0053555E">
        <w:rPr>
          <w:rFonts w:asciiTheme="majorHAnsi" w:hAnsiTheme="majorHAnsi" w:cstheme="majorHAnsi"/>
        </w:rPr>
        <w:t xml:space="preserve">er </w:t>
      </w:r>
      <w:r w:rsidR="00CB66B9" w:rsidRPr="0053555E">
        <w:rPr>
          <w:rFonts w:asciiTheme="majorHAnsi" w:hAnsiTheme="majorHAnsi" w:cstheme="majorHAnsi"/>
        </w:rPr>
        <w:t xml:space="preserve">Makýš, PhD., </w:t>
      </w:r>
      <w:r w:rsidR="00780C27" w:rsidRPr="0053555E">
        <w:rPr>
          <w:rFonts w:asciiTheme="majorHAnsi" w:hAnsiTheme="majorHAnsi" w:cstheme="majorHAnsi"/>
        </w:rPr>
        <w:t>ktor</w:t>
      </w:r>
      <w:r w:rsidR="00CB66B9" w:rsidRPr="0053555E">
        <w:rPr>
          <w:rFonts w:asciiTheme="majorHAnsi" w:hAnsiTheme="majorHAnsi" w:cstheme="majorHAnsi"/>
        </w:rPr>
        <w:t>ý</w:t>
      </w:r>
      <w:r w:rsidR="00780C27" w:rsidRPr="0053555E">
        <w:rPr>
          <w:rFonts w:asciiTheme="majorHAnsi" w:hAnsiTheme="majorHAnsi" w:cstheme="majorHAnsi"/>
        </w:rPr>
        <w:t xml:space="preserve"> </w:t>
      </w:r>
      <w:r w:rsidRPr="0053555E">
        <w:rPr>
          <w:rFonts w:asciiTheme="majorHAnsi" w:hAnsiTheme="majorHAnsi" w:cstheme="majorHAnsi"/>
        </w:rPr>
        <w:t>bol</w:t>
      </w:r>
      <w:r w:rsidR="00780C27" w:rsidRPr="0053555E">
        <w:rPr>
          <w:rFonts w:asciiTheme="majorHAnsi" w:hAnsiTheme="majorHAnsi" w:cstheme="majorHAnsi"/>
        </w:rPr>
        <w:t xml:space="preserve"> zodpovedn</w:t>
      </w:r>
      <w:r w:rsidR="00CB66B9" w:rsidRPr="0053555E">
        <w:rPr>
          <w:rFonts w:asciiTheme="majorHAnsi" w:hAnsiTheme="majorHAnsi" w:cstheme="majorHAnsi"/>
        </w:rPr>
        <w:t>ý za </w:t>
      </w:r>
      <w:r w:rsidR="00780C27" w:rsidRPr="0053555E">
        <w:rPr>
          <w:rFonts w:asciiTheme="majorHAnsi" w:hAnsiTheme="majorHAnsi" w:cstheme="majorHAnsi"/>
        </w:rPr>
        <w:t>koordinovanie a metodické usmerňovanie VSK</w:t>
      </w:r>
      <w:r w:rsidR="002B3C8E" w:rsidRPr="0053555E">
        <w:rPr>
          <w:rFonts w:asciiTheme="majorHAnsi" w:hAnsiTheme="majorHAnsi" w:cstheme="majorHAnsi"/>
        </w:rPr>
        <w:t xml:space="preserve"> smerom k jednotlivým súčastiam STU a pln</w:t>
      </w:r>
      <w:r w:rsidRPr="0053555E">
        <w:rPr>
          <w:rFonts w:asciiTheme="majorHAnsi" w:hAnsiTheme="majorHAnsi" w:cstheme="majorHAnsi"/>
        </w:rPr>
        <w:t>il</w:t>
      </w:r>
      <w:r w:rsidR="002B3C8E" w:rsidRPr="0053555E">
        <w:rPr>
          <w:rFonts w:asciiTheme="majorHAnsi" w:hAnsiTheme="majorHAnsi" w:cstheme="majorHAnsi"/>
        </w:rPr>
        <w:t xml:space="preserve"> úlohou kontaktnej osoby smerom k</w:t>
      </w:r>
      <w:r w:rsidR="00706F09" w:rsidRPr="0053555E">
        <w:rPr>
          <w:rFonts w:asciiTheme="majorHAnsi" w:hAnsiTheme="majorHAnsi" w:cstheme="majorHAnsi"/>
        </w:rPr>
        <w:t> </w:t>
      </w:r>
      <w:r w:rsidR="002B3C8E" w:rsidRPr="0053555E">
        <w:rPr>
          <w:rFonts w:asciiTheme="majorHAnsi" w:hAnsiTheme="majorHAnsi" w:cstheme="majorHAnsi"/>
        </w:rPr>
        <w:t>agentúre</w:t>
      </w:r>
      <w:r w:rsidR="00706F09" w:rsidRPr="0053555E">
        <w:rPr>
          <w:rFonts w:asciiTheme="majorHAnsi" w:hAnsiTheme="majorHAnsi" w:cstheme="majorHAnsi"/>
        </w:rPr>
        <w:t xml:space="preserve"> a opačne, </w:t>
      </w:r>
      <w:r w:rsidR="00CF07CD" w:rsidRPr="0053555E">
        <w:rPr>
          <w:rFonts w:asciiTheme="majorHAnsi" w:hAnsiTheme="majorHAnsi" w:cstheme="majorHAnsi"/>
        </w:rPr>
        <w:lastRenderedPageBreak/>
        <w:t>zúčastň</w:t>
      </w:r>
      <w:r w:rsidRPr="0053555E">
        <w:rPr>
          <w:rFonts w:asciiTheme="majorHAnsi" w:hAnsiTheme="majorHAnsi" w:cstheme="majorHAnsi"/>
        </w:rPr>
        <w:t>oval</w:t>
      </w:r>
      <w:r w:rsidR="00CF07CD" w:rsidRPr="0053555E">
        <w:rPr>
          <w:rFonts w:asciiTheme="majorHAnsi" w:hAnsiTheme="majorHAnsi" w:cstheme="majorHAnsi"/>
        </w:rPr>
        <w:t xml:space="preserve"> sa zasadnutí akademických samosprávnych orgánov STU</w:t>
      </w:r>
      <w:r w:rsidR="005769D4" w:rsidRPr="0053555E">
        <w:rPr>
          <w:rFonts w:asciiTheme="majorHAnsi" w:hAnsiTheme="majorHAnsi" w:cstheme="majorHAnsi"/>
        </w:rPr>
        <w:t xml:space="preserve"> a poradných orgánov rektora</w:t>
      </w:r>
      <w:r w:rsidR="005656C9" w:rsidRPr="0053555E">
        <w:rPr>
          <w:rFonts w:asciiTheme="majorHAnsi" w:hAnsiTheme="majorHAnsi" w:cstheme="majorHAnsi"/>
        </w:rPr>
        <w:t>,</w:t>
      </w:r>
      <w:r w:rsidR="005769D4" w:rsidRPr="0053555E">
        <w:rPr>
          <w:rFonts w:asciiTheme="majorHAnsi" w:hAnsiTheme="majorHAnsi" w:cstheme="majorHAnsi"/>
        </w:rPr>
        <w:t xml:space="preserve"> ako je </w:t>
      </w:r>
      <w:r w:rsidR="003968A5" w:rsidRPr="0053555E">
        <w:rPr>
          <w:rFonts w:asciiTheme="majorHAnsi" w:hAnsiTheme="majorHAnsi" w:cstheme="majorHAnsi"/>
        </w:rPr>
        <w:t>kolégi</w:t>
      </w:r>
      <w:r w:rsidR="005769D4" w:rsidRPr="0053555E">
        <w:rPr>
          <w:rFonts w:asciiTheme="majorHAnsi" w:hAnsiTheme="majorHAnsi" w:cstheme="majorHAnsi"/>
        </w:rPr>
        <w:t xml:space="preserve">um </w:t>
      </w:r>
      <w:r w:rsidR="003968A5" w:rsidRPr="0053555E">
        <w:rPr>
          <w:rFonts w:asciiTheme="majorHAnsi" w:hAnsiTheme="majorHAnsi" w:cstheme="majorHAnsi"/>
        </w:rPr>
        <w:t>rektora STU</w:t>
      </w:r>
      <w:r w:rsidR="005769D4" w:rsidRPr="0053555E">
        <w:rPr>
          <w:rFonts w:asciiTheme="majorHAnsi" w:hAnsiTheme="majorHAnsi" w:cstheme="majorHAnsi"/>
        </w:rPr>
        <w:t>.</w:t>
      </w:r>
    </w:p>
    <w:p w14:paraId="367CCABC" w14:textId="631A4426" w:rsidR="001C2EBB" w:rsidRPr="0053555E" w:rsidRDefault="00664EA6" w:rsidP="0009004A">
      <w:pPr>
        <w:spacing w:after="120"/>
        <w:jc w:val="both"/>
      </w:pPr>
      <w:r w:rsidRPr="0053555E">
        <w:rPr>
          <w:rFonts w:asciiTheme="majorHAnsi" w:hAnsiTheme="majorHAnsi" w:cstheme="majorHAnsi"/>
        </w:rPr>
        <w:t xml:space="preserve">Vnútorný akreditačným orgánom STU je </w:t>
      </w:r>
      <w:r w:rsidRPr="0053555E">
        <w:rPr>
          <w:rFonts w:asciiTheme="majorHAnsi" w:hAnsiTheme="majorHAnsi" w:cstheme="majorHAnsi"/>
          <w:b/>
        </w:rPr>
        <w:t xml:space="preserve">Rada pre vnútorný systém zabezpečovania kvality </w:t>
      </w:r>
      <w:r w:rsidR="001C2EBB" w:rsidRPr="0053555E">
        <w:rPr>
          <w:rFonts w:asciiTheme="majorHAnsi" w:hAnsiTheme="majorHAnsi" w:cstheme="majorHAnsi"/>
          <w:b/>
        </w:rPr>
        <w:t>na STU</w:t>
      </w:r>
      <w:r w:rsidR="001C2EBB" w:rsidRPr="0053555E">
        <w:rPr>
          <w:rFonts w:asciiTheme="majorHAnsi" w:hAnsiTheme="majorHAnsi" w:cstheme="majorHAnsi"/>
        </w:rPr>
        <w:t xml:space="preserve"> (ďalej len „Rada VSK“)</w:t>
      </w:r>
      <w:r w:rsidR="00C15511" w:rsidRPr="0053555E">
        <w:rPr>
          <w:rFonts w:asciiTheme="majorHAnsi" w:hAnsiTheme="majorHAnsi" w:cstheme="majorHAnsi"/>
        </w:rPr>
        <w:t xml:space="preserve">, ktorá je zriadená </w:t>
      </w:r>
      <w:r w:rsidR="003B577B">
        <w:rPr>
          <w:rFonts w:asciiTheme="majorHAnsi" w:hAnsiTheme="majorHAnsi" w:cstheme="majorHAnsi"/>
        </w:rPr>
        <w:t>na</w:t>
      </w:r>
      <w:r w:rsidR="00C15511" w:rsidRPr="0053555E">
        <w:rPr>
          <w:rFonts w:asciiTheme="majorHAnsi" w:hAnsiTheme="majorHAnsi" w:cstheme="majorHAnsi"/>
        </w:rPr>
        <w:t xml:space="preserve"> účely zabezpečovania kvality vzdelávacej činnosti, vedeckovýskumnej činnosti, habilitačných konaní a konaní na vymenúvanie profesorov (ďalej len „inauguračné konania“) a ďalších činností, ktoré s nimi súvisia.</w:t>
      </w:r>
      <w:r w:rsidR="001C2EBB" w:rsidRPr="0053555E">
        <w:t xml:space="preserve"> </w:t>
      </w:r>
    </w:p>
    <w:p w14:paraId="6C7A607E" w14:textId="5ED16BE5" w:rsidR="00BA1BF5" w:rsidRPr="0053555E" w:rsidRDefault="00615935" w:rsidP="003A5116">
      <w:pPr>
        <w:spacing w:after="120"/>
        <w:jc w:val="both"/>
      </w:pPr>
      <w:r w:rsidRPr="0053555E">
        <w:t>Rad</w:t>
      </w:r>
      <w:r w:rsidR="00B57583">
        <w:t>u VSK tvorí</w:t>
      </w:r>
      <w:r w:rsidRPr="0053555E">
        <w:t xml:space="preserve"> </w:t>
      </w:r>
      <w:r w:rsidR="00B57583">
        <w:rPr>
          <w:b/>
        </w:rPr>
        <w:t>19 členov</w:t>
      </w:r>
      <w:r w:rsidR="005659AB" w:rsidRPr="0053555E">
        <w:rPr>
          <w:b/>
        </w:rPr>
        <w:t xml:space="preserve"> vrátane predsedu</w:t>
      </w:r>
      <w:r w:rsidR="00BC1627">
        <w:t xml:space="preserve">. Členmi Rady VSK </w:t>
      </w:r>
      <w:r w:rsidRPr="0053555E">
        <w:t xml:space="preserve">sú </w:t>
      </w:r>
      <w:r w:rsidRPr="0053555E">
        <w:rPr>
          <w:b/>
        </w:rPr>
        <w:t>významní odborníci z</w:t>
      </w:r>
      <w:r w:rsidR="00BC1627">
        <w:rPr>
          <w:b/>
        </w:rPr>
        <w:t> </w:t>
      </w:r>
      <w:r w:rsidRPr="0053555E">
        <w:rPr>
          <w:b/>
        </w:rPr>
        <w:t>STU</w:t>
      </w:r>
      <w:r w:rsidRPr="0053555E">
        <w:t xml:space="preserve"> pôsobiaci</w:t>
      </w:r>
      <w:r w:rsidR="00931BE1" w:rsidRPr="0053555E">
        <w:t xml:space="preserve"> </w:t>
      </w:r>
      <w:r w:rsidRPr="0053555E">
        <w:t>v oblastiach, v ktorých STU uskutočňuje vzdelávaciu, výskumnú, vývojovú, umeleckú</w:t>
      </w:r>
      <w:r w:rsidR="005659AB" w:rsidRPr="0053555E">
        <w:t xml:space="preserve"> </w:t>
      </w:r>
      <w:r w:rsidRPr="0053555E">
        <w:t xml:space="preserve">a ďalšiu tvorivú činnosť, významní odborníci </w:t>
      </w:r>
      <w:r w:rsidRPr="0053555E">
        <w:rPr>
          <w:b/>
        </w:rPr>
        <w:t>z externého prostredia</w:t>
      </w:r>
      <w:r w:rsidRPr="0053555E">
        <w:t xml:space="preserve"> pôsobiaci</w:t>
      </w:r>
      <w:r w:rsidR="005659AB" w:rsidRPr="0053555E">
        <w:t xml:space="preserve"> </w:t>
      </w:r>
      <w:r w:rsidRPr="0053555E">
        <w:t>v</w:t>
      </w:r>
      <w:r w:rsidR="00BC1627">
        <w:t> </w:t>
      </w:r>
      <w:r w:rsidRPr="0053555E">
        <w:t>oblastiach, v ktorých STU uskutočňuje vzdelávaciu, výskumnú, vývojovú, umeleckú</w:t>
      </w:r>
      <w:r w:rsidR="005659AB" w:rsidRPr="0053555E">
        <w:t xml:space="preserve"> a ďalšiu tvorivú činnosť a </w:t>
      </w:r>
      <w:r w:rsidRPr="0053555E">
        <w:rPr>
          <w:b/>
        </w:rPr>
        <w:t>zástupcovia študentov</w:t>
      </w:r>
      <w:r w:rsidRPr="0053555E">
        <w:t xml:space="preserve"> druhého stupňa štúdia a tretieho</w:t>
      </w:r>
      <w:r w:rsidR="005659AB" w:rsidRPr="0053555E">
        <w:t xml:space="preserve"> </w:t>
      </w:r>
      <w:r w:rsidRPr="0053555E">
        <w:t>stupňa štúdia na</w:t>
      </w:r>
      <w:r w:rsidR="00BC1627">
        <w:t> </w:t>
      </w:r>
      <w:r w:rsidRPr="0053555E">
        <w:t>STU.</w:t>
      </w:r>
      <w:r w:rsidR="005659AB" w:rsidRPr="0053555E">
        <w:t xml:space="preserve"> </w:t>
      </w:r>
      <w:r w:rsidR="00B1665A" w:rsidRPr="0053555E">
        <w:t xml:space="preserve">Členov Rady VSK vymenúva a odvoláva rektor po schválení Vedeckou radou STU. </w:t>
      </w:r>
      <w:r w:rsidR="00C312EE" w:rsidRPr="0053555E">
        <w:t xml:space="preserve">Prehľad členov Rady VSK je zverejnený na </w:t>
      </w:r>
      <w:hyperlink r:id="rId112" w:history="1">
        <w:r w:rsidR="00C312EE" w:rsidRPr="00BC1627">
          <w:rPr>
            <w:rStyle w:val="Hypertextovprepojenie"/>
          </w:rPr>
          <w:t>webov</w:t>
        </w:r>
        <w:r w:rsidR="00BC1627">
          <w:rPr>
            <w:rStyle w:val="Hypertextovprepojenie"/>
          </w:rPr>
          <w:t>om sídle</w:t>
        </w:r>
        <w:r w:rsidR="00C312EE" w:rsidRPr="00BC1627">
          <w:rPr>
            <w:rStyle w:val="Hypertextovprepojenie"/>
          </w:rPr>
          <w:t xml:space="preserve"> STU</w:t>
        </w:r>
      </w:hyperlink>
      <w:r w:rsidR="00C312EE" w:rsidRPr="0053555E">
        <w:t xml:space="preserve">. </w:t>
      </w:r>
    </w:p>
    <w:p w14:paraId="2DD4A594" w14:textId="297BA39B" w:rsidR="000C4ADE" w:rsidRPr="0053555E" w:rsidRDefault="000C4ADE" w:rsidP="000F7F3A">
      <w:pPr>
        <w:spacing w:after="120"/>
        <w:jc w:val="both"/>
      </w:pPr>
      <w:r w:rsidRPr="0053555E">
        <w:t xml:space="preserve">Rada VSK pre realizáciu svojich činností </w:t>
      </w:r>
      <w:r w:rsidR="00002857" w:rsidRPr="0053555E">
        <w:t xml:space="preserve">môže </w:t>
      </w:r>
      <w:r w:rsidRPr="0053555E">
        <w:t>vytvára</w:t>
      </w:r>
      <w:r w:rsidR="00002857" w:rsidRPr="0053555E">
        <w:t>ť</w:t>
      </w:r>
      <w:r w:rsidRPr="0053555E">
        <w:t xml:space="preserve"> </w:t>
      </w:r>
      <w:r w:rsidRPr="0053555E">
        <w:rPr>
          <w:b/>
        </w:rPr>
        <w:t>pracovné skupiny</w:t>
      </w:r>
      <w:r w:rsidRPr="0053555E">
        <w:t>,</w:t>
      </w:r>
      <w:r w:rsidR="00C312EE" w:rsidRPr="0053555E">
        <w:t xml:space="preserve"> </w:t>
      </w:r>
      <w:r w:rsidRPr="0053555E">
        <w:t>ktoré sú jej poradnými orgánmi.</w:t>
      </w:r>
      <w:r w:rsidR="0029052A" w:rsidRPr="0053555E">
        <w:t xml:space="preserve"> </w:t>
      </w:r>
      <w:r w:rsidR="0079020A" w:rsidRPr="0053555E">
        <w:t>P</w:t>
      </w:r>
      <w:r w:rsidR="00D82FC2" w:rsidRPr="0053555E">
        <w:t>racovn</w:t>
      </w:r>
      <w:r w:rsidR="0079020A" w:rsidRPr="0053555E">
        <w:t>á</w:t>
      </w:r>
      <w:r w:rsidR="00D82FC2" w:rsidRPr="0053555E">
        <w:t xml:space="preserve"> skupin</w:t>
      </w:r>
      <w:r w:rsidR="0079020A" w:rsidRPr="0053555E">
        <w:t>a</w:t>
      </w:r>
      <w:r w:rsidR="00D82FC2" w:rsidRPr="0053555E">
        <w:t xml:space="preserve"> je </w:t>
      </w:r>
      <w:r w:rsidR="0079020A" w:rsidRPr="0053555E">
        <w:t xml:space="preserve">zložená z </w:t>
      </w:r>
      <w:r w:rsidR="00D82FC2" w:rsidRPr="0053555E">
        <w:t xml:space="preserve">najmenej </w:t>
      </w:r>
      <w:r w:rsidR="00472A27">
        <w:rPr>
          <w:b/>
        </w:rPr>
        <w:t>7</w:t>
      </w:r>
      <w:r w:rsidR="0079020A" w:rsidRPr="0053555E">
        <w:rPr>
          <w:b/>
        </w:rPr>
        <w:t xml:space="preserve"> členov</w:t>
      </w:r>
      <w:r w:rsidR="00D82FC2" w:rsidRPr="0053555E">
        <w:t xml:space="preserve">, z toho najmenej </w:t>
      </w:r>
      <w:r w:rsidR="00472A27">
        <w:rPr>
          <w:b/>
        </w:rPr>
        <w:t>2</w:t>
      </w:r>
      <w:r w:rsidR="00D82FC2" w:rsidRPr="0053555E">
        <w:rPr>
          <w:b/>
        </w:rPr>
        <w:t xml:space="preserve"> sú</w:t>
      </w:r>
      <w:r w:rsidR="000A7D52" w:rsidRPr="0053555E">
        <w:rPr>
          <w:b/>
        </w:rPr>
        <w:t xml:space="preserve"> </w:t>
      </w:r>
      <w:r w:rsidR="00D82FC2" w:rsidRPr="0053555E">
        <w:rPr>
          <w:b/>
        </w:rPr>
        <w:t>odborníci z praxe</w:t>
      </w:r>
      <w:r w:rsidR="00D82FC2" w:rsidRPr="0053555E">
        <w:t xml:space="preserve">, najmenej </w:t>
      </w:r>
      <w:r w:rsidR="00472A27">
        <w:rPr>
          <w:b/>
        </w:rPr>
        <w:t>2</w:t>
      </w:r>
      <w:r w:rsidR="00D82FC2" w:rsidRPr="0053555E">
        <w:rPr>
          <w:b/>
        </w:rPr>
        <w:t xml:space="preserve"> sú externí akademickí pracovníci</w:t>
      </w:r>
      <w:r w:rsidR="00D82FC2" w:rsidRPr="0053555E">
        <w:t xml:space="preserve"> alebo</w:t>
      </w:r>
      <w:r w:rsidR="000A7D52" w:rsidRPr="0053555E">
        <w:t xml:space="preserve"> </w:t>
      </w:r>
      <w:r w:rsidR="00D82FC2" w:rsidRPr="0053555E">
        <w:t xml:space="preserve">odborníci zo </w:t>
      </w:r>
      <w:r w:rsidR="000A7D52" w:rsidRPr="0053555E">
        <w:t>SAV</w:t>
      </w:r>
      <w:r w:rsidR="00D82FC2" w:rsidRPr="0053555E">
        <w:t xml:space="preserve"> alebo inej výskumnej inštitúcie, pričom aspoň </w:t>
      </w:r>
      <w:r w:rsidR="00032B31">
        <w:rPr>
          <w:b/>
        </w:rPr>
        <w:t>1</w:t>
      </w:r>
      <w:r w:rsidR="00D82FC2" w:rsidRPr="0053555E">
        <w:rPr>
          <w:b/>
        </w:rPr>
        <w:t xml:space="preserve"> z nich je zo zahraničia</w:t>
      </w:r>
      <w:r w:rsidR="00D82FC2" w:rsidRPr="0053555E">
        <w:t>. V prípade posudzovania študijných programov</w:t>
      </w:r>
      <w:r w:rsidR="000A7D52" w:rsidRPr="0053555E">
        <w:t xml:space="preserve"> </w:t>
      </w:r>
      <w:r w:rsidR="00D82FC2" w:rsidRPr="0053555E">
        <w:t xml:space="preserve">najmenej </w:t>
      </w:r>
      <w:r w:rsidR="00032B31">
        <w:rPr>
          <w:b/>
        </w:rPr>
        <w:t>1</w:t>
      </w:r>
      <w:r w:rsidR="00D82FC2" w:rsidRPr="00032B31">
        <w:rPr>
          <w:b/>
        </w:rPr>
        <w:t xml:space="preserve"> člen je</w:t>
      </w:r>
      <w:r w:rsidR="00D82FC2" w:rsidRPr="0053555E">
        <w:t xml:space="preserve"> </w:t>
      </w:r>
      <w:r w:rsidR="00D82FC2" w:rsidRPr="0053555E">
        <w:rPr>
          <w:b/>
        </w:rPr>
        <w:t>študent</w:t>
      </w:r>
      <w:r w:rsidR="00D82FC2" w:rsidRPr="0053555E">
        <w:t>. Najviac traja členovia sú interní členovia z</w:t>
      </w:r>
      <w:r w:rsidR="00BA1BF5" w:rsidRPr="0053555E">
        <w:t> </w:t>
      </w:r>
      <w:r w:rsidR="00D82FC2" w:rsidRPr="0053555E">
        <w:t>radov</w:t>
      </w:r>
      <w:r w:rsidR="00BA1BF5" w:rsidRPr="0053555E">
        <w:t xml:space="preserve"> </w:t>
      </w:r>
      <w:r w:rsidR="00D82FC2" w:rsidRPr="0053555E">
        <w:t>zamestnancov STU.</w:t>
      </w:r>
      <w:r w:rsidR="00002857" w:rsidRPr="0053555E">
        <w:t xml:space="preserve"> </w:t>
      </w:r>
      <w:r w:rsidR="00002857" w:rsidRPr="0053555E">
        <w:rPr>
          <w:rFonts w:asciiTheme="majorHAnsi" w:hAnsiTheme="majorHAnsi" w:cstheme="majorHAnsi"/>
        </w:rPr>
        <w:t>Predsedom pracovnej skupiny, ktorý riadi činnosť pracovnej skupiny, je interný člen z radov zamestnancov STU.</w:t>
      </w:r>
    </w:p>
    <w:p w14:paraId="51E0F682" w14:textId="3C798C29" w:rsidR="00615935" w:rsidRPr="0053555E" w:rsidRDefault="00615935" w:rsidP="00664267">
      <w:pPr>
        <w:spacing w:after="120"/>
        <w:jc w:val="both"/>
        <w:rPr>
          <w:rFonts w:asciiTheme="majorHAnsi" w:hAnsiTheme="majorHAnsi" w:cstheme="majorHAnsi"/>
        </w:rPr>
      </w:pPr>
      <w:r w:rsidRPr="0053555E">
        <w:rPr>
          <w:rFonts w:asciiTheme="majorHAnsi" w:hAnsiTheme="majorHAnsi" w:cstheme="majorHAnsi"/>
          <w:b/>
        </w:rPr>
        <w:t>Osobou zodpovednou</w:t>
      </w:r>
      <w:r w:rsidRPr="0053555E">
        <w:rPr>
          <w:rFonts w:asciiTheme="majorHAnsi" w:hAnsiTheme="majorHAnsi" w:cstheme="majorHAnsi"/>
        </w:rPr>
        <w:t xml:space="preserve"> za uskutočňovanie, rozvoj a zabezpečovanie kvality študijného programu na STU je </w:t>
      </w:r>
      <w:r w:rsidRPr="0053555E">
        <w:rPr>
          <w:rFonts w:asciiTheme="majorHAnsi" w:hAnsiTheme="majorHAnsi" w:cstheme="majorHAnsi"/>
          <w:b/>
        </w:rPr>
        <w:t>garant študijného programu</w:t>
      </w:r>
      <w:r w:rsidR="005B6E5E">
        <w:rPr>
          <w:rFonts w:asciiTheme="majorHAnsi" w:hAnsiTheme="majorHAnsi" w:cstheme="majorHAnsi"/>
          <w:b/>
        </w:rPr>
        <w:t xml:space="preserve"> a spolugarant študijného programu, ak je pre študijný program určený</w:t>
      </w:r>
      <w:r w:rsidRPr="0053555E">
        <w:rPr>
          <w:rFonts w:asciiTheme="majorHAnsi" w:hAnsiTheme="majorHAnsi" w:cstheme="majorHAnsi"/>
        </w:rPr>
        <w:t xml:space="preserve">. Každý študijný program má </w:t>
      </w:r>
      <w:r w:rsidR="00002857" w:rsidRPr="0053555E">
        <w:rPr>
          <w:rFonts w:asciiTheme="majorHAnsi" w:hAnsiTheme="majorHAnsi" w:cstheme="majorHAnsi"/>
        </w:rPr>
        <w:t xml:space="preserve">okrem garanta </w:t>
      </w:r>
      <w:r w:rsidRPr="0053555E">
        <w:rPr>
          <w:rFonts w:asciiTheme="majorHAnsi" w:hAnsiTheme="majorHAnsi" w:cstheme="majorHAnsi"/>
        </w:rPr>
        <w:t xml:space="preserve">určených </w:t>
      </w:r>
      <w:r w:rsidR="00002857" w:rsidRPr="0053555E">
        <w:rPr>
          <w:rFonts w:asciiTheme="majorHAnsi" w:hAnsiTheme="majorHAnsi" w:cstheme="majorHAnsi"/>
        </w:rPr>
        <w:t xml:space="preserve">ešte štyroch </w:t>
      </w:r>
      <w:r w:rsidRPr="0053555E">
        <w:rPr>
          <w:rFonts w:asciiTheme="majorHAnsi" w:hAnsiTheme="majorHAnsi" w:cstheme="majorHAnsi"/>
          <w:b/>
        </w:rPr>
        <w:t>učiteľov</w:t>
      </w:r>
      <w:r w:rsidR="00757B9E" w:rsidRPr="0053555E">
        <w:rPr>
          <w:rFonts w:asciiTheme="majorHAnsi" w:hAnsiTheme="majorHAnsi" w:cstheme="majorHAnsi"/>
          <w:b/>
        </w:rPr>
        <w:t xml:space="preserve"> zabezpečujúcich</w:t>
      </w:r>
      <w:r w:rsidRPr="0053555E">
        <w:rPr>
          <w:rFonts w:asciiTheme="majorHAnsi" w:hAnsiTheme="majorHAnsi" w:cstheme="majorHAnsi"/>
          <w:b/>
        </w:rPr>
        <w:t xml:space="preserve"> profilov</w:t>
      </w:r>
      <w:r w:rsidR="00757B9E" w:rsidRPr="0053555E">
        <w:rPr>
          <w:rFonts w:asciiTheme="majorHAnsi" w:hAnsiTheme="majorHAnsi" w:cstheme="majorHAnsi"/>
          <w:b/>
        </w:rPr>
        <w:t>é</w:t>
      </w:r>
      <w:r w:rsidRPr="0053555E">
        <w:rPr>
          <w:rFonts w:asciiTheme="majorHAnsi" w:hAnsiTheme="majorHAnsi" w:cstheme="majorHAnsi"/>
          <w:b/>
        </w:rPr>
        <w:t xml:space="preserve"> predmet</w:t>
      </w:r>
      <w:r w:rsidR="00757B9E" w:rsidRPr="0053555E">
        <w:rPr>
          <w:rFonts w:asciiTheme="majorHAnsi" w:hAnsiTheme="majorHAnsi" w:cstheme="majorHAnsi"/>
          <w:b/>
        </w:rPr>
        <w:t>y</w:t>
      </w:r>
      <w:r w:rsidR="00664267" w:rsidRPr="0053555E">
        <w:rPr>
          <w:rFonts w:asciiTheme="majorHAnsi" w:hAnsiTheme="majorHAnsi" w:cstheme="majorHAnsi"/>
        </w:rPr>
        <w:t xml:space="preserve">, ktorí </w:t>
      </w:r>
      <w:r w:rsidR="00002857" w:rsidRPr="0053555E">
        <w:rPr>
          <w:rFonts w:asciiTheme="majorHAnsi" w:hAnsiTheme="majorHAnsi" w:cstheme="majorHAnsi"/>
        </w:rPr>
        <w:t>musia byť na funkčných miestach profesor al</w:t>
      </w:r>
      <w:r w:rsidR="00B57583">
        <w:rPr>
          <w:rFonts w:asciiTheme="majorHAnsi" w:hAnsiTheme="majorHAnsi" w:cstheme="majorHAnsi"/>
        </w:rPr>
        <w:t>ebo docent, musia byť zamestnaní</w:t>
      </w:r>
      <w:r w:rsidR="00002857" w:rsidRPr="0053555E">
        <w:rPr>
          <w:rFonts w:asciiTheme="majorHAnsi" w:hAnsiTheme="majorHAnsi" w:cstheme="majorHAnsi"/>
        </w:rPr>
        <w:t xml:space="preserve"> na </w:t>
      </w:r>
      <w:r w:rsidR="00BC4BB2">
        <w:rPr>
          <w:rFonts w:asciiTheme="majorHAnsi" w:hAnsiTheme="majorHAnsi" w:cstheme="majorHAnsi"/>
        </w:rPr>
        <w:t>STU</w:t>
      </w:r>
      <w:r w:rsidR="00002857" w:rsidRPr="0053555E">
        <w:rPr>
          <w:rFonts w:asciiTheme="majorHAnsi" w:hAnsiTheme="majorHAnsi" w:cstheme="majorHAnsi"/>
        </w:rPr>
        <w:t xml:space="preserve"> na ustanovený pracovný čas a musia </w:t>
      </w:r>
      <w:r w:rsidR="00664267" w:rsidRPr="0053555E">
        <w:rPr>
          <w:rFonts w:asciiTheme="majorHAnsi" w:hAnsiTheme="majorHAnsi" w:cstheme="majorHAnsi"/>
        </w:rPr>
        <w:t>preukaz</w:t>
      </w:r>
      <w:r w:rsidR="00002857" w:rsidRPr="0053555E">
        <w:rPr>
          <w:rFonts w:asciiTheme="majorHAnsi" w:hAnsiTheme="majorHAnsi" w:cstheme="majorHAnsi"/>
        </w:rPr>
        <w:t>ovať</w:t>
      </w:r>
      <w:r w:rsidR="00664267" w:rsidRPr="0053555E">
        <w:rPr>
          <w:rFonts w:asciiTheme="majorHAnsi" w:hAnsiTheme="majorHAnsi" w:cstheme="majorHAnsi"/>
        </w:rPr>
        <w:t xml:space="preserve"> výsledky tvorivej činnosti v príslušnom študijnom odbore, v</w:t>
      </w:r>
      <w:r w:rsidR="007D1238" w:rsidRPr="0053555E">
        <w:rPr>
          <w:rFonts w:asciiTheme="majorHAnsi" w:hAnsiTheme="majorHAnsi" w:cstheme="majorHAnsi"/>
        </w:rPr>
        <w:t> </w:t>
      </w:r>
      <w:r w:rsidR="00664267" w:rsidRPr="0053555E">
        <w:rPr>
          <w:rFonts w:asciiTheme="majorHAnsi" w:hAnsiTheme="majorHAnsi" w:cstheme="majorHAnsi"/>
        </w:rPr>
        <w:t>ktorom</w:t>
      </w:r>
      <w:r w:rsidR="007D1238" w:rsidRPr="0053555E">
        <w:rPr>
          <w:rFonts w:asciiTheme="majorHAnsi" w:hAnsiTheme="majorHAnsi" w:cstheme="majorHAnsi"/>
        </w:rPr>
        <w:t xml:space="preserve"> </w:t>
      </w:r>
      <w:r w:rsidR="00664267" w:rsidRPr="0053555E">
        <w:rPr>
          <w:rFonts w:asciiTheme="majorHAnsi" w:hAnsiTheme="majorHAnsi" w:cstheme="majorHAnsi"/>
        </w:rPr>
        <w:t>sa študijný program uskutočňuje na požadovanej úrovni v závislosti od stupňa</w:t>
      </w:r>
      <w:r w:rsidR="007D1238" w:rsidRPr="0053555E">
        <w:rPr>
          <w:rFonts w:asciiTheme="majorHAnsi" w:hAnsiTheme="majorHAnsi" w:cstheme="majorHAnsi"/>
        </w:rPr>
        <w:t xml:space="preserve"> štúdia</w:t>
      </w:r>
      <w:r w:rsidRPr="0053555E">
        <w:rPr>
          <w:rFonts w:asciiTheme="majorHAnsi" w:hAnsiTheme="majorHAnsi" w:cstheme="majorHAnsi"/>
        </w:rPr>
        <w:t>.</w:t>
      </w:r>
      <w:r w:rsidR="00002857" w:rsidRPr="0053555E">
        <w:rPr>
          <w:rFonts w:asciiTheme="majorHAnsi" w:hAnsiTheme="majorHAnsi" w:cstheme="majorHAnsi"/>
        </w:rPr>
        <w:t xml:space="preserve"> </w:t>
      </w:r>
    </w:p>
    <w:p w14:paraId="3E5DA79A" w14:textId="77777777" w:rsidR="00C27D00" w:rsidRPr="0053555E" w:rsidRDefault="00D14413" w:rsidP="00F35EE9">
      <w:pPr>
        <w:spacing w:after="120"/>
        <w:jc w:val="both"/>
        <w:rPr>
          <w:rFonts w:asciiTheme="majorHAnsi" w:hAnsiTheme="majorHAnsi" w:cstheme="majorHAnsi"/>
        </w:rPr>
      </w:pPr>
      <w:r w:rsidRPr="0053555E">
        <w:rPr>
          <w:rFonts w:asciiTheme="majorHAnsi" w:hAnsiTheme="majorHAnsi" w:cstheme="majorHAnsi"/>
          <w:b/>
        </w:rPr>
        <w:t>Rada študijného programu</w:t>
      </w:r>
      <w:r w:rsidRPr="0053555E">
        <w:rPr>
          <w:rFonts w:asciiTheme="majorHAnsi" w:hAnsiTheme="majorHAnsi" w:cstheme="majorHAnsi"/>
        </w:rPr>
        <w:t xml:space="preserve"> </w:t>
      </w:r>
      <w:r w:rsidR="002F7D92" w:rsidRPr="0053555E">
        <w:rPr>
          <w:rFonts w:asciiTheme="majorHAnsi" w:hAnsiTheme="majorHAnsi" w:cstheme="majorHAnsi"/>
        </w:rPr>
        <w:t xml:space="preserve">(ďalej len „Rada ŠP“) </w:t>
      </w:r>
      <w:r w:rsidR="00E94246" w:rsidRPr="0053555E">
        <w:rPr>
          <w:rFonts w:asciiTheme="majorHAnsi" w:hAnsiTheme="majorHAnsi" w:cstheme="majorHAnsi"/>
        </w:rPr>
        <w:t>je poradný</w:t>
      </w:r>
      <w:r w:rsidR="00615935" w:rsidRPr="0053555E">
        <w:rPr>
          <w:rFonts w:asciiTheme="majorHAnsi" w:hAnsiTheme="majorHAnsi" w:cstheme="majorHAnsi"/>
        </w:rPr>
        <w:t>m</w:t>
      </w:r>
      <w:r w:rsidR="00E94246" w:rsidRPr="0053555E">
        <w:rPr>
          <w:rFonts w:asciiTheme="majorHAnsi" w:hAnsiTheme="majorHAnsi" w:cstheme="majorHAnsi"/>
        </w:rPr>
        <w:t xml:space="preserve"> </w:t>
      </w:r>
      <w:r w:rsidRPr="0053555E">
        <w:rPr>
          <w:rFonts w:asciiTheme="majorHAnsi" w:hAnsiTheme="majorHAnsi" w:cstheme="majorHAnsi"/>
        </w:rPr>
        <w:t>orgán</w:t>
      </w:r>
      <w:r w:rsidR="00615935" w:rsidRPr="0053555E">
        <w:rPr>
          <w:rFonts w:asciiTheme="majorHAnsi" w:hAnsiTheme="majorHAnsi" w:cstheme="majorHAnsi"/>
        </w:rPr>
        <w:t>om</w:t>
      </w:r>
      <w:r w:rsidRPr="0053555E">
        <w:rPr>
          <w:rFonts w:asciiTheme="majorHAnsi" w:hAnsiTheme="majorHAnsi" w:cstheme="majorHAnsi"/>
        </w:rPr>
        <w:t xml:space="preserve"> </w:t>
      </w:r>
      <w:r w:rsidR="0042540A" w:rsidRPr="0053555E">
        <w:rPr>
          <w:rFonts w:asciiTheme="majorHAnsi" w:hAnsiTheme="majorHAnsi" w:cstheme="majorHAnsi"/>
        </w:rPr>
        <w:t>garanta</w:t>
      </w:r>
      <w:r w:rsidR="00321426" w:rsidRPr="0053555E">
        <w:rPr>
          <w:rFonts w:asciiTheme="majorHAnsi" w:hAnsiTheme="majorHAnsi" w:cstheme="majorHAnsi"/>
        </w:rPr>
        <w:t xml:space="preserve"> študijného programu</w:t>
      </w:r>
      <w:r w:rsidR="00B81209" w:rsidRPr="0053555E">
        <w:rPr>
          <w:rFonts w:asciiTheme="majorHAnsi" w:hAnsiTheme="majorHAnsi" w:cstheme="majorHAnsi"/>
        </w:rPr>
        <w:t>, ktorý</w:t>
      </w:r>
      <w:r w:rsidR="003D4F9E" w:rsidRPr="0053555E">
        <w:rPr>
          <w:rFonts w:asciiTheme="majorHAnsi" w:hAnsiTheme="majorHAnsi" w:cstheme="majorHAnsi"/>
        </w:rPr>
        <w:t xml:space="preserve"> je</w:t>
      </w:r>
      <w:r w:rsidR="00321426" w:rsidRPr="0053555E">
        <w:rPr>
          <w:rFonts w:asciiTheme="majorHAnsi" w:hAnsiTheme="majorHAnsi" w:cstheme="majorHAnsi"/>
        </w:rPr>
        <w:t xml:space="preserve"> </w:t>
      </w:r>
      <w:r w:rsidRPr="0053555E">
        <w:rPr>
          <w:rFonts w:asciiTheme="majorHAnsi" w:hAnsiTheme="majorHAnsi" w:cstheme="majorHAnsi"/>
        </w:rPr>
        <w:t xml:space="preserve">zriadený na </w:t>
      </w:r>
      <w:r w:rsidR="00E94246" w:rsidRPr="0053555E">
        <w:rPr>
          <w:rFonts w:asciiTheme="majorHAnsi" w:hAnsiTheme="majorHAnsi" w:cstheme="majorHAnsi"/>
        </w:rPr>
        <w:t>súčasti STU, kde sa príslušný študijný program</w:t>
      </w:r>
      <w:r w:rsidRPr="0053555E">
        <w:rPr>
          <w:rFonts w:asciiTheme="majorHAnsi" w:hAnsiTheme="majorHAnsi" w:cstheme="majorHAnsi"/>
        </w:rPr>
        <w:t xml:space="preserve"> </w:t>
      </w:r>
      <w:r w:rsidR="00B81209" w:rsidRPr="0053555E">
        <w:rPr>
          <w:rFonts w:asciiTheme="majorHAnsi" w:hAnsiTheme="majorHAnsi" w:cstheme="majorHAnsi"/>
        </w:rPr>
        <w:t xml:space="preserve">uskutočňuje alebo bude uskutočňovať. Rada </w:t>
      </w:r>
      <w:r w:rsidR="002F7D92" w:rsidRPr="0053555E">
        <w:rPr>
          <w:rFonts w:asciiTheme="majorHAnsi" w:hAnsiTheme="majorHAnsi" w:cstheme="majorHAnsi"/>
        </w:rPr>
        <w:t>ŠP</w:t>
      </w:r>
      <w:r w:rsidR="00B81209" w:rsidRPr="0053555E">
        <w:rPr>
          <w:rFonts w:asciiTheme="majorHAnsi" w:hAnsiTheme="majorHAnsi" w:cstheme="majorHAnsi"/>
        </w:rPr>
        <w:t xml:space="preserve"> </w:t>
      </w:r>
      <w:r w:rsidR="00972EA5" w:rsidRPr="0053555E">
        <w:rPr>
          <w:rFonts w:asciiTheme="majorHAnsi" w:hAnsiTheme="majorHAnsi" w:cstheme="majorHAnsi"/>
        </w:rPr>
        <w:t>pripravuje</w:t>
      </w:r>
      <w:r w:rsidR="00B81209" w:rsidRPr="0053555E">
        <w:rPr>
          <w:rFonts w:asciiTheme="majorHAnsi" w:hAnsiTheme="majorHAnsi" w:cstheme="majorHAnsi"/>
        </w:rPr>
        <w:t xml:space="preserve"> návrh nového študijného programu, </w:t>
      </w:r>
      <w:r w:rsidR="001F29FE" w:rsidRPr="0053555E">
        <w:rPr>
          <w:rFonts w:asciiTheme="majorHAnsi" w:hAnsiTheme="majorHAnsi" w:cstheme="majorHAnsi"/>
        </w:rPr>
        <w:t>návrh na </w:t>
      </w:r>
      <w:r w:rsidR="00972EA5" w:rsidRPr="0053555E">
        <w:rPr>
          <w:rFonts w:asciiTheme="majorHAnsi" w:hAnsiTheme="majorHAnsi" w:cstheme="majorHAnsi"/>
        </w:rPr>
        <w:t>úpravu študijného programu, navrhuje zrušenie študijného programu, realizuje monitorovanie študijného</w:t>
      </w:r>
      <w:r w:rsidR="003D4F9E" w:rsidRPr="0053555E">
        <w:rPr>
          <w:rFonts w:asciiTheme="majorHAnsi" w:hAnsiTheme="majorHAnsi" w:cstheme="majorHAnsi"/>
        </w:rPr>
        <w:t xml:space="preserve"> programu</w:t>
      </w:r>
      <w:r w:rsidR="00972EA5" w:rsidRPr="0053555E">
        <w:rPr>
          <w:rFonts w:asciiTheme="majorHAnsi" w:hAnsiTheme="majorHAnsi" w:cstheme="majorHAnsi"/>
        </w:rPr>
        <w:t xml:space="preserve">, zabezpečuje napĺňanie požiadaviek </w:t>
      </w:r>
      <w:r w:rsidR="00B35556" w:rsidRPr="0053555E">
        <w:rPr>
          <w:rFonts w:asciiTheme="majorHAnsi" w:hAnsiTheme="majorHAnsi" w:cstheme="majorHAnsi"/>
        </w:rPr>
        <w:t xml:space="preserve">VSK, </w:t>
      </w:r>
      <w:r w:rsidR="002F7D92" w:rsidRPr="0053555E">
        <w:rPr>
          <w:rFonts w:asciiTheme="majorHAnsi" w:hAnsiTheme="majorHAnsi" w:cstheme="majorHAnsi"/>
        </w:rPr>
        <w:t>prijíma podnety vzťahujúce sa k </w:t>
      </w:r>
      <w:r w:rsidR="00B35556" w:rsidRPr="0053555E">
        <w:rPr>
          <w:rFonts w:asciiTheme="majorHAnsi" w:hAnsiTheme="majorHAnsi" w:cstheme="majorHAnsi"/>
        </w:rPr>
        <w:t>uskutočňovaniu študijného programu z interného a externého prostredia od všetkých zainteresovaných strán, vyhodnocuje ich</w:t>
      </w:r>
      <w:r w:rsidR="00F35EE9" w:rsidRPr="0053555E">
        <w:rPr>
          <w:rFonts w:asciiTheme="majorHAnsi" w:hAnsiTheme="majorHAnsi" w:cstheme="majorHAnsi"/>
        </w:rPr>
        <w:t xml:space="preserve"> </w:t>
      </w:r>
      <w:r w:rsidR="003D4F9E" w:rsidRPr="0053555E">
        <w:rPr>
          <w:rFonts w:asciiTheme="majorHAnsi" w:hAnsiTheme="majorHAnsi" w:cstheme="majorHAnsi"/>
        </w:rPr>
        <w:t>a prijíma opatrenia na </w:t>
      </w:r>
      <w:r w:rsidR="00B35556" w:rsidRPr="0053555E">
        <w:rPr>
          <w:rFonts w:asciiTheme="majorHAnsi" w:hAnsiTheme="majorHAnsi" w:cstheme="majorHAnsi"/>
        </w:rPr>
        <w:t>odstránenie zistených nedostatkov,</w:t>
      </w:r>
      <w:r w:rsidR="00F35EE9" w:rsidRPr="0053555E">
        <w:rPr>
          <w:rFonts w:asciiTheme="majorHAnsi" w:hAnsiTheme="majorHAnsi" w:cstheme="majorHAnsi"/>
        </w:rPr>
        <w:t xml:space="preserve"> </w:t>
      </w:r>
      <w:r w:rsidR="00B35556" w:rsidRPr="0053555E">
        <w:rPr>
          <w:rFonts w:asciiTheme="majorHAnsi" w:hAnsiTheme="majorHAnsi" w:cstheme="majorHAnsi"/>
        </w:rPr>
        <w:t>spracováva správu o vnútornom hodnotení kvality vzdelávacej činnosti v</w:t>
      </w:r>
      <w:r w:rsidR="00F35EE9" w:rsidRPr="0053555E">
        <w:rPr>
          <w:rFonts w:asciiTheme="majorHAnsi" w:hAnsiTheme="majorHAnsi" w:cstheme="majorHAnsi"/>
        </w:rPr>
        <w:t> </w:t>
      </w:r>
      <w:r w:rsidR="00B35556" w:rsidRPr="0053555E">
        <w:rPr>
          <w:rFonts w:asciiTheme="majorHAnsi" w:hAnsiTheme="majorHAnsi" w:cstheme="majorHAnsi"/>
        </w:rPr>
        <w:t>rámci</w:t>
      </w:r>
      <w:r w:rsidR="00F35EE9" w:rsidRPr="0053555E">
        <w:rPr>
          <w:rFonts w:asciiTheme="majorHAnsi" w:hAnsiTheme="majorHAnsi" w:cstheme="majorHAnsi"/>
        </w:rPr>
        <w:t xml:space="preserve"> </w:t>
      </w:r>
      <w:r w:rsidR="00B35556" w:rsidRPr="0053555E">
        <w:rPr>
          <w:rFonts w:asciiTheme="majorHAnsi" w:hAnsiTheme="majorHAnsi" w:cstheme="majorHAnsi"/>
        </w:rPr>
        <w:t>študijného programu a prijíma opatrenia na zvýšenie kvality,</w:t>
      </w:r>
      <w:r w:rsidR="00F35EE9" w:rsidRPr="0053555E">
        <w:rPr>
          <w:rFonts w:asciiTheme="majorHAnsi" w:hAnsiTheme="majorHAnsi" w:cstheme="majorHAnsi"/>
        </w:rPr>
        <w:t xml:space="preserve"> </w:t>
      </w:r>
      <w:r w:rsidR="00B35556" w:rsidRPr="0053555E">
        <w:rPr>
          <w:rFonts w:asciiTheme="majorHAnsi" w:hAnsiTheme="majorHAnsi" w:cstheme="majorHAnsi"/>
        </w:rPr>
        <w:t>vykonáva ďalšie činnosti</w:t>
      </w:r>
      <w:r w:rsidR="00F35EE9" w:rsidRPr="0053555E">
        <w:rPr>
          <w:rFonts w:asciiTheme="majorHAnsi" w:hAnsiTheme="majorHAnsi" w:cstheme="majorHAnsi"/>
        </w:rPr>
        <w:t xml:space="preserve"> súvisiace s uskutočňovaním príslušného študijného programu.</w:t>
      </w:r>
      <w:r w:rsidR="002F7D92" w:rsidRPr="0053555E">
        <w:rPr>
          <w:rFonts w:asciiTheme="majorHAnsi" w:hAnsiTheme="majorHAnsi" w:cstheme="majorHAnsi"/>
        </w:rPr>
        <w:t xml:space="preserve"> </w:t>
      </w:r>
    </w:p>
    <w:p w14:paraId="29F398A3" w14:textId="77777777" w:rsidR="00972EA5" w:rsidRPr="0053555E" w:rsidRDefault="002F7D92" w:rsidP="00064E39">
      <w:pPr>
        <w:jc w:val="both"/>
        <w:rPr>
          <w:rFonts w:asciiTheme="majorHAnsi" w:hAnsiTheme="majorHAnsi" w:cstheme="majorHAnsi"/>
        </w:rPr>
      </w:pPr>
      <w:r w:rsidRPr="0053555E">
        <w:rPr>
          <w:rFonts w:asciiTheme="majorHAnsi" w:hAnsiTheme="majorHAnsi" w:cstheme="majorHAnsi"/>
        </w:rPr>
        <w:t xml:space="preserve">Radu ŠP vymenúva a odvoláva </w:t>
      </w:r>
      <w:r w:rsidR="00D85448" w:rsidRPr="0053555E">
        <w:rPr>
          <w:rFonts w:asciiTheme="majorHAnsi" w:hAnsiTheme="majorHAnsi" w:cstheme="majorHAnsi"/>
        </w:rPr>
        <w:t>d</w:t>
      </w:r>
      <w:r w:rsidRPr="0053555E">
        <w:rPr>
          <w:rFonts w:asciiTheme="majorHAnsi" w:hAnsiTheme="majorHAnsi" w:cstheme="majorHAnsi"/>
        </w:rPr>
        <w:t xml:space="preserve">ekan príslušnej </w:t>
      </w:r>
      <w:r w:rsidR="00D85448" w:rsidRPr="0053555E">
        <w:rPr>
          <w:rFonts w:asciiTheme="majorHAnsi" w:hAnsiTheme="majorHAnsi" w:cstheme="majorHAnsi"/>
        </w:rPr>
        <w:t>fakulty, v prípade študijných programov neuskutočňovaných na fakulte rektor.</w:t>
      </w:r>
      <w:r w:rsidR="007915E7" w:rsidRPr="0053555E">
        <w:rPr>
          <w:rFonts w:asciiTheme="majorHAnsi" w:hAnsiTheme="majorHAnsi" w:cstheme="majorHAnsi"/>
        </w:rPr>
        <w:t xml:space="preserve"> Rada ŠP môže </w:t>
      </w:r>
      <w:r w:rsidR="00CB65C7" w:rsidRPr="0053555E">
        <w:rPr>
          <w:rFonts w:asciiTheme="majorHAnsi" w:hAnsiTheme="majorHAnsi" w:cstheme="majorHAnsi"/>
        </w:rPr>
        <w:t>pôsobiť</w:t>
      </w:r>
      <w:r w:rsidR="007915E7" w:rsidRPr="0053555E">
        <w:rPr>
          <w:rFonts w:asciiTheme="majorHAnsi" w:hAnsiTheme="majorHAnsi" w:cstheme="majorHAnsi"/>
        </w:rPr>
        <w:t xml:space="preserve"> pre viac </w:t>
      </w:r>
      <w:r w:rsidR="00CB65C7" w:rsidRPr="0053555E">
        <w:rPr>
          <w:rFonts w:asciiTheme="majorHAnsi" w:hAnsiTheme="majorHAnsi" w:cstheme="majorHAnsi"/>
        </w:rPr>
        <w:t xml:space="preserve">študijných programov. </w:t>
      </w:r>
      <w:r w:rsidR="007915E7" w:rsidRPr="0053555E">
        <w:rPr>
          <w:rFonts w:asciiTheme="majorHAnsi" w:hAnsiTheme="majorHAnsi" w:cstheme="majorHAnsi"/>
        </w:rPr>
        <w:t>Predsedom Rady ŠP je garant študijného programu</w:t>
      </w:r>
      <w:r w:rsidR="00B915FD" w:rsidRPr="0053555E">
        <w:rPr>
          <w:rFonts w:asciiTheme="majorHAnsi" w:hAnsiTheme="majorHAnsi" w:cstheme="majorHAnsi"/>
        </w:rPr>
        <w:t>, ak Rada ŠP pôsobí pre viac študijných programov</w:t>
      </w:r>
      <w:r w:rsidR="00971077" w:rsidRPr="0053555E">
        <w:rPr>
          <w:rFonts w:asciiTheme="majorHAnsi" w:hAnsiTheme="majorHAnsi" w:cstheme="majorHAnsi"/>
        </w:rPr>
        <w:t xml:space="preserve">, potom ním je </w:t>
      </w:r>
      <w:r w:rsidR="00B915FD" w:rsidRPr="0053555E">
        <w:rPr>
          <w:rFonts w:asciiTheme="majorHAnsi" w:hAnsiTheme="majorHAnsi" w:cstheme="majorHAnsi"/>
        </w:rPr>
        <w:t>jed</w:t>
      </w:r>
      <w:r w:rsidR="00943B89" w:rsidRPr="0053555E">
        <w:rPr>
          <w:rFonts w:asciiTheme="majorHAnsi" w:hAnsiTheme="majorHAnsi" w:cstheme="majorHAnsi"/>
        </w:rPr>
        <w:t>e</w:t>
      </w:r>
      <w:r w:rsidR="00B915FD" w:rsidRPr="0053555E">
        <w:rPr>
          <w:rFonts w:asciiTheme="majorHAnsi" w:hAnsiTheme="majorHAnsi" w:cstheme="majorHAnsi"/>
        </w:rPr>
        <w:t>n z</w:t>
      </w:r>
      <w:r w:rsidR="0088184D" w:rsidRPr="0053555E">
        <w:rPr>
          <w:rFonts w:asciiTheme="majorHAnsi" w:hAnsiTheme="majorHAnsi" w:cstheme="majorHAnsi"/>
        </w:rPr>
        <w:t> </w:t>
      </w:r>
      <w:r w:rsidR="00B915FD" w:rsidRPr="0053555E">
        <w:rPr>
          <w:rFonts w:asciiTheme="majorHAnsi" w:hAnsiTheme="majorHAnsi" w:cstheme="majorHAnsi"/>
        </w:rPr>
        <w:t>garantov</w:t>
      </w:r>
      <w:r w:rsidR="0088184D" w:rsidRPr="0053555E">
        <w:rPr>
          <w:rFonts w:asciiTheme="majorHAnsi" w:hAnsiTheme="majorHAnsi" w:cstheme="majorHAnsi"/>
        </w:rPr>
        <w:t xml:space="preserve"> príslušných </w:t>
      </w:r>
      <w:r w:rsidR="00CB65C7" w:rsidRPr="0053555E">
        <w:rPr>
          <w:rFonts w:asciiTheme="majorHAnsi" w:hAnsiTheme="majorHAnsi" w:cstheme="majorHAnsi"/>
        </w:rPr>
        <w:t>študijných programov</w:t>
      </w:r>
      <w:r w:rsidR="0088184D" w:rsidRPr="0053555E">
        <w:rPr>
          <w:rFonts w:asciiTheme="majorHAnsi" w:hAnsiTheme="majorHAnsi" w:cstheme="majorHAnsi"/>
        </w:rPr>
        <w:t>.</w:t>
      </w:r>
      <w:r w:rsidR="00EC053B" w:rsidRPr="0053555E">
        <w:rPr>
          <w:rFonts w:asciiTheme="majorHAnsi" w:hAnsiTheme="majorHAnsi" w:cstheme="majorHAnsi"/>
        </w:rPr>
        <w:t xml:space="preserve"> Radu ŠP tvorí </w:t>
      </w:r>
      <w:r w:rsidR="00EC053B" w:rsidRPr="0053555E">
        <w:rPr>
          <w:rFonts w:asciiTheme="majorHAnsi" w:hAnsiTheme="majorHAnsi" w:cstheme="majorHAnsi"/>
          <w:b/>
        </w:rPr>
        <w:t>najmenej 9 členov</w:t>
      </w:r>
      <w:r w:rsidR="00EC053B" w:rsidRPr="0053555E">
        <w:rPr>
          <w:rFonts w:asciiTheme="majorHAnsi" w:hAnsiTheme="majorHAnsi" w:cstheme="majorHAnsi"/>
        </w:rPr>
        <w:t xml:space="preserve">, z toho najmenej </w:t>
      </w:r>
      <w:r w:rsidR="00EC053B" w:rsidRPr="0053555E">
        <w:rPr>
          <w:rFonts w:asciiTheme="majorHAnsi" w:hAnsiTheme="majorHAnsi" w:cstheme="majorHAnsi"/>
          <w:b/>
        </w:rPr>
        <w:t xml:space="preserve">3 </w:t>
      </w:r>
      <w:r w:rsidR="00B97D83" w:rsidRPr="0053555E">
        <w:rPr>
          <w:rFonts w:asciiTheme="majorHAnsi" w:hAnsiTheme="majorHAnsi" w:cstheme="majorHAnsi"/>
          <w:b/>
        </w:rPr>
        <w:t>sú akademickí zamestnanci</w:t>
      </w:r>
      <w:r w:rsidR="00B97D83" w:rsidRPr="0053555E">
        <w:rPr>
          <w:rFonts w:asciiTheme="majorHAnsi" w:hAnsiTheme="majorHAnsi" w:cstheme="majorHAnsi"/>
        </w:rPr>
        <w:t xml:space="preserve"> </w:t>
      </w:r>
      <w:r w:rsidR="00B97D83" w:rsidRPr="0053555E">
        <w:rPr>
          <w:rFonts w:asciiTheme="majorHAnsi" w:hAnsiTheme="majorHAnsi" w:cstheme="majorHAnsi"/>
          <w:b/>
        </w:rPr>
        <w:t xml:space="preserve">z </w:t>
      </w:r>
      <w:r w:rsidR="00EC053B" w:rsidRPr="0053555E">
        <w:rPr>
          <w:rFonts w:asciiTheme="majorHAnsi" w:hAnsiTheme="majorHAnsi" w:cstheme="majorHAnsi"/>
          <w:b/>
        </w:rPr>
        <w:t>interného prostredia STU</w:t>
      </w:r>
      <w:r w:rsidR="00B97D83" w:rsidRPr="0053555E">
        <w:rPr>
          <w:rFonts w:asciiTheme="majorHAnsi" w:hAnsiTheme="majorHAnsi" w:cstheme="majorHAnsi"/>
        </w:rPr>
        <w:t xml:space="preserve">, najmenej </w:t>
      </w:r>
      <w:r w:rsidR="00B97D83" w:rsidRPr="0053555E">
        <w:rPr>
          <w:rFonts w:asciiTheme="majorHAnsi" w:hAnsiTheme="majorHAnsi" w:cstheme="majorHAnsi"/>
          <w:b/>
        </w:rPr>
        <w:t xml:space="preserve">3 sú študenti </w:t>
      </w:r>
      <w:r w:rsidR="00FE387A" w:rsidRPr="0053555E">
        <w:rPr>
          <w:rFonts w:asciiTheme="majorHAnsi" w:hAnsiTheme="majorHAnsi" w:cstheme="majorHAnsi"/>
          <w:b/>
        </w:rPr>
        <w:t>STU</w:t>
      </w:r>
      <w:r w:rsidR="00EB1522" w:rsidRPr="0053555E">
        <w:rPr>
          <w:rFonts w:asciiTheme="majorHAnsi" w:hAnsiTheme="majorHAnsi" w:cstheme="majorHAnsi"/>
          <w:b/>
        </w:rPr>
        <w:t>,</w:t>
      </w:r>
      <w:r w:rsidR="00EC053B" w:rsidRPr="0053555E">
        <w:rPr>
          <w:rFonts w:asciiTheme="majorHAnsi" w:hAnsiTheme="majorHAnsi" w:cstheme="majorHAnsi"/>
        </w:rPr>
        <w:t xml:space="preserve"> </w:t>
      </w:r>
      <w:r w:rsidR="00EB1522" w:rsidRPr="0053555E">
        <w:rPr>
          <w:rFonts w:asciiTheme="majorHAnsi" w:hAnsiTheme="majorHAnsi" w:cstheme="majorHAnsi"/>
        </w:rPr>
        <w:t xml:space="preserve">najmenej </w:t>
      </w:r>
      <w:r w:rsidR="00EB1522" w:rsidRPr="00032B31">
        <w:rPr>
          <w:rFonts w:asciiTheme="majorHAnsi" w:hAnsiTheme="majorHAnsi" w:cstheme="majorHAnsi"/>
          <w:b/>
        </w:rPr>
        <w:t xml:space="preserve">3 sú zástupcovia externých </w:t>
      </w:r>
      <w:r w:rsidR="001F29FE" w:rsidRPr="00032B31">
        <w:rPr>
          <w:rFonts w:asciiTheme="majorHAnsi" w:hAnsiTheme="majorHAnsi" w:cstheme="majorHAnsi"/>
          <w:b/>
        </w:rPr>
        <w:t>zainteresovaných strán</w:t>
      </w:r>
      <w:r w:rsidR="001F29FE" w:rsidRPr="0053555E">
        <w:rPr>
          <w:rFonts w:asciiTheme="majorHAnsi" w:hAnsiTheme="majorHAnsi" w:cstheme="majorHAnsi"/>
        </w:rPr>
        <w:t xml:space="preserve"> z </w:t>
      </w:r>
      <w:r w:rsidR="00EB1522" w:rsidRPr="0053555E">
        <w:rPr>
          <w:rFonts w:asciiTheme="majorHAnsi" w:hAnsiTheme="majorHAnsi" w:cstheme="majorHAnsi"/>
        </w:rPr>
        <w:t xml:space="preserve">radov zamestnávateľov, priemyselných partnerov, absolventov, </w:t>
      </w:r>
      <w:r w:rsidR="00C26BC0" w:rsidRPr="0053555E">
        <w:rPr>
          <w:rFonts w:asciiTheme="majorHAnsi" w:hAnsiTheme="majorHAnsi" w:cstheme="majorHAnsi"/>
        </w:rPr>
        <w:t>ktorí sú významní odborníci z </w:t>
      </w:r>
      <w:r w:rsidR="00EB1522" w:rsidRPr="0053555E">
        <w:rPr>
          <w:rFonts w:asciiTheme="majorHAnsi" w:hAnsiTheme="majorHAnsi" w:cstheme="majorHAnsi"/>
        </w:rPr>
        <w:t>externého</w:t>
      </w:r>
      <w:r w:rsidR="00955C5D" w:rsidRPr="0053555E">
        <w:rPr>
          <w:rFonts w:asciiTheme="majorHAnsi" w:hAnsiTheme="majorHAnsi" w:cstheme="majorHAnsi"/>
        </w:rPr>
        <w:t xml:space="preserve"> </w:t>
      </w:r>
      <w:r w:rsidR="006110CE" w:rsidRPr="0053555E">
        <w:rPr>
          <w:rFonts w:asciiTheme="majorHAnsi" w:hAnsiTheme="majorHAnsi" w:cstheme="majorHAnsi"/>
        </w:rPr>
        <w:t>prostredia</w:t>
      </w:r>
      <w:r w:rsidR="00955C5D" w:rsidRPr="0053555E">
        <w:rPr>
          <w:rFonts w:asciiTheme="majorHAnsi" w:hAnsiTheme="majorHAnsi" w:cstheme="majorHAnsi"/>
        </w:rPr>
        <w:t xml:space="preserve"> v príslušnej oblasti.</w:t>
      </w:r>
      <w:r w:rsidR="006110CE" w:rsidRPr="0053555E">
        <w:rPr>
          <w:rFonts w:asciiTheme="majorHAnsi" w:hAnsiTheme="majorHAnsi" w:cstheme="majorHAnsi"/>
        </w:rPr>
        <w:t xml:space="preserve"> </w:t>
      </w:r>
      <w:r w:rsidR="006110CE" w:rsidRPr="002966D2">
        <w:rPr>
          <w:rFonts w:asciiTheme="majorHAnsi" w:hAnsiTheme="majorHAnsi" w:cstheme="majorHAnsi"/>
          <w:b/>
        </w:rPr>
        <w:t>Ďalšími členmi Rady ŠP môžu byť</w:t>
      </w:r>
      <w:r w:rsidR="006110CE" w:rsidRPr="0053555E">
        <w:rPr>
          <w:rFonts w:asciiTheme="majorHAnsi" w:hAnsiTheme="majorHAnsi" w:cstheme="majorHAnsi"/>
        </w:rPr>
        <w:t xml:space="preserve"> </w:t>
      </w:r>
      <w:r w:rsidR="006110CE" w:rsidRPr="002966D2">
        <w:rPr>
          <w:rFonts w:asciiTheme="majorHAnsi" w:hAnsiTheme="majorHAnsi" w:cstheme="majorHAnsi"/>
          <w:b/>
        </w:rPr>
        <w:t>tvoriví zamestnanci iných vysokých škôl a výskumných inštitúcií</w:t>
      </w:r>
      <w:r w:rsidR="006110CE" w:rsidRPr="0053555E">
        <w:rPr>
          <w:rFonts w:asciiTheme="majorHAnsi" w:hAnsiTheme="majorHAnsi" w:cstheme="majorHAnsi"/>
        </w:rPr>
        <w:t>.</w:t>
      </w:r>
    </w:p>
    <w:p w14:paraId="4A5E9F1F" w14:textId="5D9B0236" w:rsidR="00E805ED" w:rsidRPr="00B57583" w:rsidRDefault="00B57583" w:rsidP="00B57583">
      <w:pPr>
        <w:rPr>
          <w:b/>
          <w:sz w:val="28"/>
          <w:szCs w:val="28"/>
        </w:rPr>
      </w:pPr>
      <w:bookmarkStart w:id="278" w:name="_Ref127530025"/>
      <w:bookmarkStart w:id="279" w:name="_Ref127530030"/>
      <w:bookmarkStart w:id="280" w:name="_Toc127593254"/>
      <w:r w:rsidRPr="00B57583">
        <w:rPr>
          <w:b/>
          <w:sz w:val="28"/>
          <w:szCs w:val="28"/>
        </w:rPr>
        <w:lastRenderedPageBreak/>
        <w:t xml:space="preserve">12.1. </w:t>
      </w:r>
      <w:r w:rsidR="00E805ED" w:rsidRPr="00B57583">
        <w:rPr>
          <w:b/>
          <w:sz w:val="28"/>
          <w:szCs w:val="28"/>
        </w:rPr>
        <w:t xml:space="preserve">Návrh a schvaľovanie nových študijných </w:t>
      </w:r>
      <w:r w:rsidR="009C3B7F" w:rsidRPr="00B57583">
        <w:rPr>
          <w:b/>
          <w:sz w:val="28"/>
          <w:szCs w:val="28"/>
        </w:rPr>
        <w:t>programov</w:t>
      </w:r>
      <w:r w:rsidR="00CB50B6" w:rsidRPr="00B57583">
        <w:rPr>
          <w:b/>
          <w:sz w:val="28"/>
          <w:szCs w:val="28"/>
        </w:rPr>
        <w:t>, posúdenie súladu študijných programov so štandardmi a zrušenie študijných programov</w:t>
      </w:r>
      <w:bookmarkEnd w:id="278"/>
      <w:bookmarkEnd w:id="279"/>
      <w:bookmarkEnd w:id="280"/>
    </w:p>
    <w:p w14:paraId="01A126A2" w14:textId="77777777" w:rsidR="00B57583" w:rsidRPr="00B57583" w:rsidRDefault="00B57583" w:rsidP="00B57583"/>
    <w:p w14:paraId="6A9EB975" w14:textId="4DDC3AA6" w:rsidR="00846D44" w:rsidRPr="0053555E" w:rsidRDefault="00A73169" w:rsidP="00CB50B6">
      <w:pPr>
        <w:spacing w:after="120"/>
        <w:jc w:val="both"/>
      </w:pPr>
      <w:r w:rsidRPr="0053555E">
        <w:t>STU využila zákonnú možnosť a v lehote do 31. marca 2021 predložila agentúre 10 žiadostí o</w:t>
      </w:r>
      <w:r w:rsidR="002966D2">
        <w:t> </w:t>
      </w:r>
      <w:r w:rsidRPr="0053555E">
        <w:t xml:space="preserve">akreditáciu </w:t>
      </w:r>
      <w:r w:rsidR="00CB50B6" w:rsidRPr="0053555E">
        <w:t xml:space="preserve">nových </w:t>
      </w:r>
      <w:r w:rsidRPr="0053555E">
        <w:t>študijných</w:t>
      </w:r>
      <w:r w:rsidR="008A0355" w:rsidRPr="0053555E">
        <w:t xml:space="preserve"> programov v študijnom odbore a </w:t>
      </w:r>
      <w:r w:rsidRPr="0053555E">
        <w:t xml:space="preserve">stupni, v ktorom mala oprávnenie uskutočňovať študijné programy k 31. októbru 2018. </w:t>
      </w:r>
      <w:r w:rsidR="00CB50B6" w:rsidRPr="0053555E">
        <w:t>Po návšteve pracovných skupín a vypracovaní hodnotiacich správ a</w:t>
      </w:r>
      <w:r w:rsidR="008A0355" w:rsidRPr="0053555E">
        <w:t xml:space="preserve">gentúra rozhodla </w:t>
      </w:r>
      <w:r w:rsidR="00CB50B6" w:rsidRPr="0053555E">
        <w:t xml:space="preserve">na jeseň 2021 </w:t>
      </w:r>
      <w:r w:rsidR="008A0355" w:rsidRPr="0053555E">
        <w:t xml:space="preserve">o akreditácii všetkých 10 nových študijných programov. </w:t>
      </w:r>
    </w:p>
    <w:p w14:paraId="54A9676D" w14:textId="13FA8FFB" w:rsidR="003A34A8" w:rsidRPr="0053555E" w:rsidRDefault="00CB50B6" w:rsidP="00C22063">
      <w:pPr>
        <w:spacing w:after="120"/>
        <w:jc w:val="both"/>
        <w:rPr>
          <w:rFonts w:asciiTheme="majorHAnsi" w:hAnsiTheme="majorHAnsi" w:cstheme="majorHAnsi"/>
        </w:rPr>
      </w:pPr>
      <w:r w:rsidRPr="0053555E">
        <w:t xml:space="preserve">Práce na </w:t>
      </w:r>
      <w:r w:rsidR="00D708C3" w:rsidRPr="0053555E">
        <w:t xml:space="preserve">prvom zosúladení </w:t>
      </w:r>
      <w:r w:rsidRPr="0053555E">
        <w:t xml:space="preserve">študijných programov, ktoré plánuje STU v budúcnosti naďalej uskutočňovať, so štandardmi pre vnútorný systém kvality a štandardmi pre študijný program prebiehali od </w:t>
      </w:r>
      <w:r w:rsidR="00D708C3" w:rsidRPr="0053555E">
        <w:t xml:space="preserve">jari 2021. </w:t>
      </w:r>
      <w:r w:rsidR="005F2774" w:rsidRPr="0053555E">
        <w:t xml:space="preserve">Proces zosúlaďovania študijných programov je upravený v článku 5 </w:t>
      </w:r>
      <w:hyperlink r:id="rId113" w:history="1">
        <w:r w:rsidR="0091003D" w:rsidRPr="00463AB4">
          <w:rPr>
            <w:rStyle w:val="Hypertextovprepojenie"/>
          </w:rPr>
          <w:t>VP č.</w:t>
        </w:r>
        <w:r w:rsidR="00180D74" w:rsidRPr="00463AB4">
          <w:rPr>
            <w:rStyle w:val="Hypertextovprepojenie"/>
          </w:rPr>
          <w:t xml:space="preserve"> </w:t>
        </w:r>
        <w:r w:rsidR="006159CC" w:rsidRPr="00463AB4">
          <w:rPr>
            <w:rStyle w:val="Hypertextovprepojenie"/>
          </w:rPr>
          <w:t>4</w:t>
        </w:r>
        <w:r w:rsidR="00180D74" w:rsidRPr="00463AB4">
          <w:rPr>
            <w:rStyle w:val="Hypertextovprepojenie"/>
          </w:rPr>
          <w:t>/2021</w:t>
        </w:r>
      </w:hyperlink>
      <w:r w:rsidR="006159CC" w:rsidRPr="0053555E">
        <w:t xml:space="preserve">. </w:t>
      </w:r>
      <w:r w:rsidR="00C04D88" w:rsidRPr="0053555E">
        <w:rPr>
          <w:rFonts w:asciiTheme="majorHAnsi" w:hAnsiTheme="majorHAnsi" w:cstheme="majorHAnsi"/>
        </w:rPr>
        <w:t>V</w:t>
      </w:r>
      <w:r w:rsidR="006159CC" w:rsidRPr="0053555E">
        <w:rPr>
          <w:rFonts w:asciiTheme="majorHAnsi" w:hAnsiTheme="majorHAnsi" w:cstheme="majorHAnsi"/>
        </w:rPr>
        <w:t xml:space="preserve"> rámci zosúlaďovania študijných programov </w:t>
      </w:r>
      <w:r w:rsidR="00C04D88" w:rsidRPr="0053555E">
        <w:rPr>
          <w:rFonts w:asciiTheme="majorHAnsi" w:hAnsiTheme="majorHAnsi" w:cstheme="majorHAnsi"/>
        </w:rPr>
        <w:t xml:space="preserve">mohli byť </w:t>
      </w:r>
      <w:r w:rsidR="006159CC" w:rsidRPr="0053555E">
        <w:rPr>
          <w:rFonts w:asciiTheme="majorHAnsi" w:hAnsiTheme="majorHAnsi" w:cstheme="majorHAnsi"/>
        </w:rPr>
        <w:t>vykona</w:t>
      </w:r>
      <w:r w:rsidR="00C04D88" w:rsidRPr="0053555E">
        <w:rPr>
          <w:rFonts w:asciiTheme="majorHAnsi" w:hAnsiTheme="majorHAnsi" w:cstheme="majorHAnsi"/>
        </w:rPr>
        <w:t>né</w:t>
      </w:r>
      <w:r w:rsidR="006159CC" w:rsidRPr="0053555E">
        <w:rPr>
          <w:rFonts w:asciiTheme="majorHAnsi" w:hAnsiTheme="majorHAnsi" w:cstheme="majorHAnsi"/>
        </w:rPr>
        <w:t xml:space="preserve"> úpravy len existujúcich študijných programov, ktoré sú považované za študijné program</w:t>
      </w:r>
      <w:r w:rsidR="00F501ED" w:rsidRPr="0053555E">
        <w:rPr>
          <w:rFonts w:asciiTheme="majorHAnsi" w:hAnsiTheme="majorHAnsi" w:cstheme="majorHAnsi"/>
        </w:rPr>
        <w:t>y</w:t>
      </w:r>
      <w:r w:rsidR="006159CC" w:rsidRPr="0053555E">
        <w:rPr>
          <w:rFonts w:asciiTheme="majorHAnsi" w:hAnsiTheme="majorHAnsi" w:cstheme="majorHAnsi"/>
        </w:rPr>
        <w:t xml:space="preserve"> po potvrdení súladu agentúrou. Nové študijné programy, ktoré sú považované za študijné program</w:t>
      </w:r>
      <w:r w:rsidR="00F501ED" w:rsidRPr="0053555E">
        <w:rPr>
          <w:rFonts w:asciiTheme="majorHAnsi" w:hAnsiTheme="majorHAnsi" w:cstheme="majorHAnsi"/>
        </w:rPr>
        <w:t>y pred </w:t>
      </w:r>
      <w:r w:rsidR="006159CC" w:rsidRPr="0053555E">
        <w:rPr>
          <w:rFonts w:asciiTheme="majorHAnsi" w:hAnsiTheme="majorHAnsi" w:cstheme="majorHAnsi"/>
        </w:rPr>
        <w:t xml:space="preserve">potvrdením súladu agentúry, sa mohli upravovať až po predchádzajúcom súhlase agentúry s ich úpravou. </w:t>
      </w:r>
    </w:p>
    <w:p w14:paraId="300E8636" w14:textId="1192C63C" w:rsidR="00C04D88" w:rsidRPr="0053555E" w:rsidRDefault="004A1703" w:rsidP="006159CC">
      <w:pPr>
        <w:tabs>
          <w:tab w:val="left" w:pos="9356"/>
        </w:tabs>
        <w:spacing w:after="120"/>
        <w:jc w:val="both"/>
        <w:rPr>
          <w:rFonts w:asciiTheme="majorHAnsi" w:hAnsiTheme="majorHAnsi" w:cstheme="majorHAnsi"/>
        </w:rPr>
      </w:pPr>
      <w:r w:rsidRPr="0053555E">
        <w:rPr>
          <w:rFonts w:asciiTheme="majorHAnsi" w:hAnsiTheme="majorHAnsi" w:cstheme="majorHAnsi"/>
        </w:rPr>
        <w:t>Pre každý študijný program</w:t>
      </w:r>
      <w:r w:rsidR="004A7032" w:rsidRPr="0053555E">
        <w:rPr>
          <w:rFonts w:asciiTheme="majorHAnsi" w:hAnsiTheme="majorHAnsi" w:cstheme="majorHAnsi"/>
        </w:rPr>
        <w:t xml:space="preserve"> predložený na zosúla</w:t>
      </w:r>
      <w:r w:rsidR="00C22063" w:rsidRPr="0053555E">
        <w:rPr>
          <w:rFonts w:asciiTheme="majorHAnsi" w:hAnsiTheme="majorHAnsi" w:cstheme="majorHAnsi"/>
        </w:rPr>
        <w:t>de</w:t>
      </w:r>
      <w:r w:rsidR="004A7032" w:rsidRPr="0053555E">
        <w:rPr>
          <w:rFonts w:asciiTheme="majorHAnsi" w:hAnsiTheme="majorHAnsi" w:cstheme="majorHAnsi"/>
        </w:rPr>
        <w:t>nie</w:t>
      </w:r>
      <w:r w:rsidRPr="0053555E">
        <w:rPr>
          <w:rFonts w:asciiTheme="majorHAnsi" w:hAnsiTheme="majorHAnsi" w:cstheme="majorHAnsi"/>
        </w:rPr>
        <w:t xml:space="preserve"> bol vypracovaný opis študijného programu</w:t>
      </w:r>
      <w:r w:rsidR="00577B8A" w:rsidRPr="0053555E">
        <w:rPr>
          <w:rFonts w:asciiTheme="majorHAnsi" w:hAnsiTheme="majorHAnsi" w:cstheme="majorHAnsi"/>
        </w:rPr>
        <w:t>, odporúčaný študijný plán, informačné listy predmetov</w:t>
      </w:r>
      <w:r w:rsidR="00331A00" w:rsidRPr="0053555E">
        <w:rPr>
          <w:rFonts w:asciiTheme="majorHAnsi" w:hAnsiTheme="majorHAnsi" w:cstheme="majorHAnsi"/>
        </w:rPr>
        <w:t xml:space="preserve">, vedecko/umelecko-pedagogické charakteristiky učiteľov zabezpečujúcich profilové predmety študijného programu </w:t>
      </w:r>
      <w:r w:rsidR="003101F6" w:rsidRPr="0053555E">
        <w:rPr>
          <w:rFonts w:asciiTheme="majorHAnsi" w:hAnsiTheme="majorHAnsi" w:cstheme="majorHAnsi"/>
        </w:rPr>
        <w:t xml:space="preserve">(VUPCH) </w:t>
      </w:r>
      <w:r w:rsidR="00331A00" w:rsidRPr="0053555E">
        <w:rPr>
          <w:rFonts w:asciiTheme="majorHAnsi" w:hAnsiTheme="majorHAnsi" w:cstheme="majorHAnsi"/>
        </w:rPr>
        <w:t xml:space="preserve">a </w:t>
      </w:r>
      <w:r w:rsidR="00F6400F" w:rsidRPr="0053555E">
        <w:rPr>
          <w:rFonts w:asciiTheme="majorHAnsi" w:hAnsiTheme="majorHAnsi" w:cstheme="majorHAnsi"/>
        </w:rPr>
        <w:t>c</w:t>
      </w:r>
      <w:r w:rsidR="00331A00" w:rsidRPr="0053555E">
        <w:rPr>
          <w:rFonts w:asciiTheme="majorHAnsi" w:hAnsiTheme="majorHAnsi" w:cstheme="majorHAnsi"/>
        </w:rPr>
        <w:t>harakteristiky predkladaných výstupov tvorivých činnosti</w:t>
      </w:r>
      <w:r w:rsidR="00577B8A" w:rsidRPr="0053555E">
        <w:rPr>
          <w:rFonts w:asciiTheme="majorHAnsi" w:hAnsiTheme="majorHAnsi" w:cstheme="majorHAnsi"/>
        </w:rPr>
        <w:t xml:space="preserve"> </w:t>
      </w:r>
      <w:r w:rsidR="003101F6" w:rsidRPr="0053555E">
        <w:rPr>
          <w:rFonts w:asciiTheme="majorHAnsi" w:hAnsiTheme="majorHAnsi" w:cstheme="majorHAnsi"/>
        </w:rPr>
        <w:t xml:space="preserve">(VTC) </w:t>
      </w:r>
      <w:r w:rsidR="00577B8A" w:rsidRPr="0053555E">
        <w:rPr>
          <w:rFonts w:asciiTheme="majorHAnsi" w:hAnsiTheme="majorHAnsi" w:cstheme="majorHAnsi"/>
        </w:rPr>
        <w:t>študijného programu</w:t>
      </w:r>
      <w:r w:rsidR="00F6400F" w:rsidRPr="0053555E">
        <w:rPr>
          <w:rFonts w:asciiTheme="majorHAnsi" w:hAnsiTheme="majorHAnsi" w:cstheme="majorHAnsi"/>
        </w:rPr>
        <w:t xml:space="preserve"> (25 </w:t>
      </w:r>
      <w:r w:rsidR="004A7032" w:rsidRPr="0053555E">
        <w:rPr>
          <w:rFonts w:asciiTheme="majorHAnsi" w:hAnsiTheme="majorHAnsi" w:cstheme="majorHAnsi"/>
        </w:rPr>
        <w:t xml:space="preserve">výstupov za každý študijný program, 15 za spoločný študijný program). </w:t>
      </w:r>
      <w:r w:rsidR="0036549E" w:rsidRPr="0053555E">
        <w:rPr>
          <w:rFonts w:asciiTheme="majorHAnsi" w:hAnsiTheme="majorHAnsi" w:cstheme="majorHAnsi"/>
        </w:rPr>
        <w:t>Ako podklad pre pracovnú skupinu boli pripravené vnútorné hodnotiace správy pre</w:t>
      </w:r>
      <w:r w:rsidR="00A07408" w:rsidRPr="0053555E">
        <w:rPr>
          <w:rFonts w:asciiTheme="majorHAnsi" w:hAnsiTheme="majorHAnsi" w:cstheme="majorHAnsi"/>
        </w:rPr>
        <w:t> </w:t>
      </w:r>
      <w:r w:rsidR="0036549E" w:rsidRPr="0053555E">
        <w:rPr>
          <w:rFonts w:asciiTheme="majorHAnsi" w:hAnsiTheme="majorHAnsi" w:cstheme="majorHAnsi"/>
        </w:rPr>
        <w:t xml:space="preserve">jednotlivé </w:t>
      </w:r>
      <w:r w:rsidR="003101F6" w:rsidRPr="0053555E">
        <w:rPr>
          <w:rFonts w:asciiTheme="majorHAnsi" w:hAnsiTheme="majorHAnsi" w:cstheme="majorHAnsi"/>
        </w:rPr>
        <w:t>študijn</w:t>
      </w:r>
      <w:r w:rsidR="0036549E" w:rsidRPr="0053555E">
        <w:rPr>
          <w:rFonts w:asciiTheme="majorHAnsi" w:hAnsiTheme="majorHAnsi" w:cstheme="majorHAnsi"/>
        </w:rPr>
        <w:t>é</w:t>
      </w:r>
      <w:r w:rsidR="003101F6" w:rsidRPr="0053555E">
        <w:rPr>
          <w:rFonts w:asciiTheme="majorHAnsi" w:hAnsiTheme="majorHAnsi" w:cstheme="majorHAnsi"/>
        </w:rPr>
        <w:t xml:space="preserve"> program</w:t>
      </w:r>
      <w:r w:rsidR="0036549E" w:rsidRPr="0053555E">
        <w:rPr>
          <w:rFonts w:asciiTheme="majorHAnsi" w:hAnsiTheme="majorHAnsi" w:cstheme="majorHAnsi"/>
        </w:rPr>
        <w:t>y</w:t>
      </w:r>
      <w:r w:rsidR="00E63B4B" w:rsidRPr="0053555E">
        <w:rPr>
          <w:rFonts w:asciiTheme="majorHAnsi" w:hAnsiTheme="majorHAnsi" w:cstheme="majorHAnsi"/>
        </w:rPr>
        <w:t>.</w:t>
      </w:r>
      <w:r w:rsidR="005D30C2" w:rsidRPr="0053555E">
        <w:rPr>
          <w:rFonts w:asciiTheme="majorHAnsi" w:hAnsiTheme="majorHAnsi" w:cstheme="majorHAnsi"/>
        </w:rPr>
        <w:t xml:space="preserve"> </w:t>
      </w:r>
      <w:r w:rsidR="004A7032" w:rsidRPr="0053555E">
        <w:rPr>
          <w:rFonts w:asciiTheme="majorHAnsi" w:hAnsiTheme="majorHAnsi" w:cstheme="majorHAnsi"/>
        </w:rPr>
        <w:t>Dokumentácia je prístupná na verejnom dokumentovom serveri v</w:t>
      </w:r>
      <w:r w:rsidR="003101F6" w:rsidRPr="0053555E">
        <w:rPr>
          <w:rFonts w:asciiTheme="majorHAnsi" w:hAnsiTheme="majorHAnsi" w:cstheme="majorHAnsi"/>
        </w:rPr>
        <w:t> </w:t>
      </w:r>
      <w:r w:rsidR="004A7032" w:rsidRPr="0053555E">
        <w:rPr>
          <w:rFonts w:asciiTheme="majorHAnsi" w:hAnsiTheme="majorHAnsi" w:cstheme="majorHAnsi"/>
        </w:rPr>
        <w:t>AIS</w:t>
      </w:r>
      <w:r w:rsidR="003101F6" w:rsidRPr="0053555E">
        <w:rPr>
          <w:rFonts w:asciiTheme="majorHAnsi" w:hAnsiTheme="majorHAnsi" w:cstheme="majorHAnsi"/>
        </w:rPr>
        <w:t xml:space="preserve"> s </w:t>
      </w:r>
      <w:r w:rsidR="00E63B4B" w:rsidRPr="0053555E">
        <w:rPr>
          <w:rFonts w:asciiTheme="majorHAnsi" w:hAnsiTheme="majorHAnsi" w:cstheme="majorHAnsi"/>
        </w:rPr>
        <w:t>výnimkou</w:t>
      </w:r>
      <w:r w:rsidR="001F29FE" w:rsidRPr="0053555E">
        <w:rPr>
          <w:rFonts w:asciiTheme="majorHAnsi" w:hAnsiTheme="majorHAnsi" w:cstheme="majorHAnsi"/>
        </w:rPr>
        <w:t xml:space="preserve"> VUPCH a VTC, ktoré sú </w:t>
      </w:r>
      <w:r w:rsidR="00463AB4">
        <w:rPr>
          <w:rFonts w:asciiTheme="majorHAnsi" w:hAnsiTheme="majorHAnsi" w:cstheme="majorHAnsi"/>
        </w:rPr>
        <w:t xml:space="preserve">z dôvodu GDPR </w:t>
      </w:r>
      <w:r w:rsidR="001F29FE" w:rsidRPr="0053555E">
        <w:rPr>
          <w:rFonts w:asciiTheme="majorHAnsi" w:hAnsiTheme="majorHAnsi" w:cstheme="majorHAnsi"/>
        </w:rPr>
        <w:t>na </w:t>
      </w:r>
      <w:r w:rsidR="003101F6" w:rsidRPr="0053555E">
        <w:rPr>
          <w:rFonts w:asciiTheme="majorHAnsi" w:hAnsiTheme="majorHAnsi" w:cstheme="majorHAnsi"/>
        </w:rPr>
        <w:t xml:space="preserve">neverejnom dokumentovom serveri. </w:t>
      </w:r>
    </w:p>
    <w:p w14:paraId="77CD429B" w14:textId="2FE061CF" w:rsidR="00A4714A" w:rsidRPr="0053555E" w:rsidRDefault="00A4714A" w:rsidP="00B57583">
      <w:bookmarkStart w:id="281" w:name="_Ref95757180"/>
      <w:bookmarkStart w:id="282" w:name="_Toc127593319"/>
      <w:r w:rsidRPr="0053555E">
        <w:t>Tab. č.</w:t>
      </w:r>
      <w:bookmarkEnd w:id="281"/>
      <w:r w:rsidR="00E82525">
        <w:t xml:space="preserve"> 68</w:t>
      </w:r>
      <w:r w:rsidR="00FE03E5" w:rsidRPr="0053555E">
        <w:t>: Študijné programy, ktoré boli predložené</w:t>
      </w:r>
      <w:r w:rsidR="00C22063" w:rsidRPr="0053555E">
        <w:t xml:space="preserve"> Rade VSK</w:t>
      </w:r>
      <w:r w:rsidR="00FE03E5" w:rsidRPr="0053555E">
        <w:t xml:space="preserve"> na zosúladenie so štandardmi agentúry</w:t>
      </w:r>
      <w:bookmarkEnd w:id="282"/>
      <w:r w:rsidR="00FE03E5" w:rsidRPr="0053555E">
        <w:t xml:space="preserve"> </w:t>
      </w:r>
    </w:p>
    <w:tbl>
      <w:tblPr>
        <w:tblW w:w="9072" w:type="dxa"/>
        <w:tblInd w:w="-5" w:type="dxa"/>
        <w:tblLayout w:type="fixed"/>
        <w:tblCellMar>
          <w:left w:w="0" w:type="dxa"/>
          <w:right w:w="0" w:type="dxa"/>
        </w:tblCellMar>
        <w:tblLook w:val="04A0" w:firstRow="1" w:lastRow="0" w:firstColumn="1" w:lastColumn="0" w:noHBand="0" w:noVBand="1"/>
      </w:tblPr>
      <w:tblGrid>
        <w:gridCol w:w="709"/>
        <w:gridCol w:w="673"/>
        <w:gridCol w:w="673"/>
        <w:gridCol w:w="673"/>
        <w:gridCol w:w="674"/>
        <w:gridCol w:w="815"/>
        <w:gridCol w:w="815"/>
        <w:gridCol w:w="815"/>
        <w:gridCol w:w="816"/>
        <w:gridCol w:w="803"/>
        <w:gridCol w:w="803"/>
        <w:gridCol w:w="803"/>
      </w:tblGrid>
      <w:tr w:rsidR="00CC6741" w:rsidRPr="0053555E" w14:paraId="6E680444" w14:textId="77777777" w:rsidTr="001F29FE">
        <w:trPr>
          <w:divId w:val="254558966"/>
          <w:trHeight w:val="30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811A4A" w14:textId="77777777" w:rsidR="00CC6741" w:rsidRPr="0053555E" w:rsidRDefault="00CC6741" w:rsidP="00E769F7">
            <w:pPr>
              <w:jc w:val="center"/>
              <w:rPr>
                <w:rFonts w:eastAsia="Times New Roman" w:cs="Calibri"/>
                <w:sz w:val="22"/>
                <w:szCs w:val="22"/>
                <w:lang w:eastAsia="sk-SK"/>
              </w:rPr>
            </w:pPr>
            <w:r w:rsidRPr="0053555E">
              <w:rPr>
                <w:rFonts w:eastAsia="Times New Roman" w:cs="Calibri"/>
                <w:sz w:val="22"/>
                <w:szCs w:val="22"/>
                <w:lang w:eastAsia="sk-SK"/>
              </w:rPr>
              <w:t>súčasť STU</w:t>
            </w:r>
          </w:p>
        </w:tc>
        <w:tc>
          <w:tcPr>
            <w:tcW w:w="134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A449A" w14:textId="77777777" w:rsidR="00CC6741" w:rsidRPr="0053555E" w:rsidRDefault="00CC6741" w:rsidP="00A4714A">
            <w:pPr>
              <w:jc w:val="center"/>
              <w:rPr>
                <w:rFonts w:eastAsia="Times New Roman" w:cs="Calibri"/>
                <w:sz w:val="22"/>
                <w:szCs w:val="22"/>
                <w:lang w:eastAsia="sk-SK"/>
              </w:rPr>
            </w:pPr>
            <w:r w:rsidRPr="0053555E">
              <w:rPr>
                <w:rFonts w:eastAsia="Times New Roman" w:cs="Calibri"/>
                <w:sz w:val="22"/>
                <w:szCs w:val="22"/>
                <w:lang w:eastAsia="sk-SK"/>
              </w:rPr>
              <w:t>I. stupeň</w:t>
            </w:r>
          </w:p>
        </w:tc>
        <w:tc>
          <w:tcPr>
            <w:tcW w:w="1347" w:type="dxa"/>
            <w:gridSpan w:val="2"/>
            <w:tcBorders>
              <w:top w:val="single" w:sz="4" w:space="0" w:color="auto"/>
              <w:left w:val="nil"/>
              <w:bottom w:val="single" w:sz="4" w:space="0" w:color="auto"/>
              <w:right w:val="single" w:sz="4" w:space="0" w:color="auto"/>
            </w:tcBorders>
            <w:shd w:val="clear" w:color="auto" w:fill="auto"/>
            <w:vAlign w:val="bottom"/>
          </w:tcPr>
          <w:p w14:paraId="6F8698DE" w14:textId="77777777" w:rsidR="00CC6741" w:rsidRPr="0053555E" w:rsidRDefault="00CC6741" w:rsidP="00A4714A">
            <w:pPr>
              <w:jc w:val="center"/>
              <w:rPr>
                <w:rFonts w:eastAsia="Times New Roman" w:cs="Calibri"/>
                <w:sz w:val="22"/>
                <w:szCs w:val="22"/>
                <w:lang w:eastAsia="sk-SK"/>
              </w:rPr>
            </w:pPr>
            <w:r w:rsidRPr="0053555E">
              <w:rPr>
                <w:rFonts w:eastAsia="Times New Roman" w:cs="Calibri"/>
                <w:sz w:val="22"/>
                <w:szCs w:val="22"/>
                <w:lang w:eastAsia="sk-SK"/>
              </w:rPr>
              <w:t>II. stupeň</w:t>
            </w:r>
          </w:p>
        </w:tc>
        <w:tc>
          <w:tcPr>
            <w:tcW w:w="3261" w:type="dxa"/>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35D15" w14:textId="77777777" w:rsidR="00CC6741" w:rsidRPr="0053555E" w:rsidRDefault="00CC6741" w:rsidP="00A4714A">
            <w:pPr>
              <w:jc w:val="center"/>
              <w:rPr>
                <w:rFonts w:eastAsia="Times New Roman" w:cs="Calibri"/>
                <w:sz w:val="22"/>
                <w:szCs w:val="22"/>
                <w:lang w:eastAsia="sk-SK"/>
              </w:rPr>
            </w:pPr>
            <w:r w:rsidRPr="0053555E">
              <w:rPr>
                <w:rFonts w:eastAsia="Times New Roman" w:cs="Calibri"/>
                <w:sz w:val="22"/>
                <w:szCs w:val="22"/>
                <w:lang w:eastAsia="sk-SK"/>
              </w:rPr>
              <w:t>III. stupeň</w:t>
            </w:r>
          </w:p>
        </w:tc>
        <w:tc>
          <w:tcPr>
            <w:tcW w:w="2409" w:type="dxa"/>
            <w:gridSpan w:val="3"/>
            <w:vMerge w:val="restart"/>
            <w:tcBorders>
              <w:top w:val="single" w:sz="4" w:space="0" w:color="auto"/>
              <w:left w:val="single" w:sz="4" w:space="0" w:color="auto"/>
              <w:right w:val="single" w:sz="4" w:space="0" w:color="000000"/>
            </w:tcBorders>
            <w:shd w:val="clear" w:color="auto" w:fill="auto"/>
            <w:tcMar>
              <w:top w:w="15" w:type="dxa"/>
              <w:left w:w="15" w:type="dxa"/>
              <w:bottom w:w="0" w:type="dxa"/>
              <w:right w:w="15" w:type="dxa"/>
            </w:tcMar>
            <w:vAlign w:val="center"/>
            <w:hideMark/>
          </w:tcPr>
          <w:p w14:paraId="2B36BFC7" w14:textId="77777777" w:rsidR="00CC6741" w:rsidRPr="0053555E" w:rsidRDefault="00CC6741" w:rsidP="00E769F7">
            <w:pPr>
              <w:jc w:val="center"/>
              <w:rPr>
                <w:rFonts w:eastAsia="Times New Roman" w:cs="Calibri"/>
                <w:sz w:val="22"/>
                <w:szCs w:val="22"/>
                <w:lang w:eastAsia="sk-SK"/>
              </w:rPr>
            </w:pPr>
            <w:r w:rsidRPr="0053555E">
              <w:rPr>
                <w:rFonts w:eastAsia="Times New Roman" w:cs="Calibri"/>
                <w:sz w:val="22"/>
                <w:szCs w:val="22"/>
                <w:lang w:eastAsia="sk-SK"/>
              </w:rPr>
              <w:t>všetky stupne štúdia</w:t>
            </w:r>
          </w:p>
        </w:tc>
      </w:tr>
      <w:tr w:rsidR="00CC6741" w:rsidRPr="0053555E" w14:paraId="65A455BA" w14:textId="77777777" w:rsidTr="001F29FE">
        <w:trPr>
          <w:divId w:val="254558966"/>
          <w:trHeight w:val="30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788FC7" w14:textId="77777777" w:rsidR="00CC6741" w:rsidRPr="0053555E" w:rsidRDefault="00CC6741" w:rsidP="00A4714A">
            <w:pPr>
              <w:rPr>
                <w:rFonts w:eastAsia="Times New Roman" w:cs="Calibri"/>
                <w:sz w:val="22"/>
                <w:szCs w:val="22"/>
                <w:lang w:eastAsia="sk-SK"/>
              </w:rPr>
            </w:pPr>
          </w:p>
        </w:tc>
        <w:tc>
          <w:tcPr>
            <w:tcW w:w="67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308E7F" w14:textId="77777777" w:rsidR="00CC6741" w:rsidRPr="0053555E" w:rsidRDefault="00CC6741" w:rsidP="00E769F7">
            <w:pPr>
              <w:jc w:val="center"/>
              <w:rPr>
                <w:rFonts w:eastAsia="Times New Roman" w:cs="Calibri"/>
                <w:sz w:val="20"/>
                <w:szCs w:val="22"/>
                <w:lang w:eastAsia="sk-SK"/>
              </w:rPr>
            </w:pPr>
            <w:r w:rsidRPr="0053555E">
              <w:rPr>
                <w:rFonts w:eastAsia="Times New Roman" w:cs="Calibri"/>
                <w:sz w:val="20"/>
                <w:szCs w:val="22"/>
                <w:lang w:eastAsia="sk-SK"/>
              </w:rPr>
              <w:t>ŠP</w:t>
            </w:r>
            <w:r w:rsidRPr="0053555E">
              <w:rPr>
                <w:rFonts w:eastAsia="Times New Roman" w:cs="Calibri"/>
                <w:sz w:val="20"/>
                <w:szCs w:val="22"/>
                <w:lang w:eastAsia="sk-SK"/>
              </w:rPr>
              <w:br/>
              <w:t>štátny jazyk</w:t>
            </w:r>
          </w:p>
        </w:tc>
        <w:tc>
          <w:tcPr>
            <w:tcW w:w="67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D789BB" w14:textId="77777777" w:rsidR="00CC6741" w:rsidRPr="0053555E" w:rsidRDefault="00CC6741" w:rsidP="00E769F7">
            <w:pPr>
              <w:jc w:val="center"/>
              <w:rPr>
                <w:rFonts w:eastAsia="Times New Roman" w:cs="Calibri"/>
                <w:sz w:val="20"/>
                <w:szCs w:val="22"/>
                <w:lang w:eastAsia="sk-SK"/>
              </w:rPr>
            </w:pPr>
            <w:r w:rsidRPr="0053555E">
              <w:rPr>
                <w:rFonts w:eastAsia="Times New Roman" w:cs="Calibri"/>
                <w:sz w:val="20"/>
                <w:szCs w:val="22"/>
                <w:lang w:eastAsia="sk-SK"/>
              </w:rPr>
              <w:t xml:space="preserve">ŠP </w:t>
            </w:r>
            <w:r w:rsidRPr="0053555E">
              <w:rPr>
                <w:rFonts w:eastAsia="Times New Roman" w:cs="Calibri"/>
                <w:sz w:val="20"/>
                <w:szCs w:val="22"/>
                <w:lang w:eastAsia="sk-SK"/>
              </w:rPr>
              <w:br/>
              <w:t>anglický jazyk</w:t>
            </w:r>
          </w:p>
        </w:tc>
        <w:tc>
          <w:tcPr>
            <w:tcW w:w="67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CBC4D7" w14:textId="77777777" w:rsidR="00CC6741" w:rsidRPr="0053555E" w:rsidRDefault="00CC6741" w:rsidP="00E769F7">
            <w:pPr>
              <w:jc w:val="center"/>
              <w:rPr>
                <w:rFonts w:eastAsia="Times New Roman" w:cs="Calibri"/>
                <w:sz w:val="20"/>
                <w:szCs w:val="22"/>
                <w:lang w:eastAsia="sk-SK"/>
              </w:rPr>
            </w:pPr>
            <w:r w:rsidRPr="0053555E">
              <w:rPr>
                <w:rFonts w:eastAsia="Times New Roman" w:cs="Calibri"/>
                <w:sz w:val="20"/>
                <w:szCs w:val="22"/>
                <w:lang w:eastAsia="sk-SK"/>
              </w:rPr>
              <w:t>ŠP</w:t>
            </w:r>
            <w:r w:rsidRPr="0053555E">
              <w:rPr>
                <w:rFonts w:eastAsia="Times New Roman" w:cs="Calibri"/>
                <w:sz w:val="20"/>
                <w:szCs w:val="22"/>
                <w:lang w:eastAsia="sk-SK"/>
              </w:rPr>
              <w:br/>
              <w:t>štátny jazyk</w:t>
            </w:r>
          </w:p>
        </w:tc>
        <w:tc>
          <w:tcPr>
            <w:tcW w:w="67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4B5A53" w14:textId="77777777" w:rsidR="00CC6741" w:rsidRPr="0053555E" w:rsidRDefault="00CC6741" w:rsidP="00E769F7">
            <w:pPr>
              <w:jc w:val="center"/>
              <w:rPr>
                <w:rFonts w:eastAsia="Times New Roman" w:cs="Calibri"/>
                <w:sz w:val="20"/>
                <w:szCs w:val="22"/>
                <w:lang w:eastAsia="sk-SK"/>
              </w:rPr>
            </w:pPr>
            <w:r w:rsidRPr="0053555E">
              <w:rPr>
                <w:rFonts w:eastAsia="Times New Roman" w:cs="Calibri"/>
                <w:sz w:val="20"/>
                <w:szCs w:val="22"/>
                <w:lang w:eastAsia="sk-SK"/>
              </w:rPr>
              <w:t xml:space="preserve">ŠP </w:t>
            </w:r>
            <w:r w:rsidRPr="0053555E">
              <w:rPr>
                <w:rFonts w:eastAsia="Times New Roman" w:cs="Calibri"/>
                <w:sz w:val="20"/>
                <w:szCs w:val="22"/>
                <w:lang w:eastAsia="sk-SK"/>
              </w:rPr>
              <w:br/>
              <w:t>anglický jazyk</w:t>
            </w:r>
          </w:p>
        </w:tc>
        <w:tc>
          <w:tcPr>
            <w:tcW w:w="163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D5037C" w14:textId="77777777" w:rsidR="00CC6741" w:rsidRPr="0053555E" w:rsidRDefault="00CC6741" w:rsidP="00A4714A">
            <w:pPr>
              <w:jc w:val="center"/>
              <w:rPr>
                <w:rFonts w:eastAsia="Times New Roman" w:cs="Calibri"/>
                <w:sz w:val="20"/>
                <w:szCs w:val="22"/>
                <w:lang w:eastAsia="sk-SK"/>
              </w:rPr>
            </w:pPr>
            <w:r w:rsidRPr="0053555E">
              <w:rPr>
                <w:rFonts w:eastAsia="Times New Roman" w:cs="Calibri"/>
                <w:sz w:val="20"/>
                <w:szCs w:val="22"/>
                <w:lang w:eastAsia="sk-SK"/>
              </w:rPr>
              <w:t>denná forma</w:t>
            </w:r>
          </w:p>
        </w:tc>
        <w:tc>
          <w:tcPr>
            <w:tcW w:w="1631" w:type="dxa"/>
            <w:gridSpan w:val="2"/>
            <w:tcBorders>
              <w:top w:val="single" w:sz="4" w:space="0" w:color="auto"/>
              <w:left w:val="nil"/>
              <w:bottom w:val="single" w:sz="4" w:space="0" w:color="auto"/>
              <w:right w:val="single" w:sz="4" w:space="0" w:color="auto"/>
            </w:tcBorders>
            <w:shd w:val="clear" w:color="auto" w:fill="auto"/>
            <w:vAlign w:val="bottom"/>
          </w:tcPr>
          <w:p w14:paraId="3AF38417" w14:textId="77777777" w:rsidR="00CC6741" w:rsidRPr="0053555E" w:rsidRDefault="00CC6741" w:rsidP="00A4714A">
            <w:pPr>
              <w:jc w:val="center"/>
              <w:rPr>
                <w:rFonts w:eastAsia="Times New Roman" w:cs="Calibri"/>
                <w:sz w:val="20"/>
                <w:szCs w:val="22"/>
                <w:lang w:eastAsia="sk-SK"/>
              </w:rPr>
            </w:pPr>
            <w:r w:rsidRPr="0053555E">
              <w:rPr>
                <w:rFonts w:eastAsia="Times New Roman" w:cs="Calibri"/>
                <w:sz w:val="20"/>
                <w:szCs w:val="22"/>
                <w:lang w:eastAsia="sk-SK"/>
              </w:rPr>
              <w:t>externá forma</w:t>
            </w:r>
          </w:p>
        </w:tc>
        <w:tc>
          <w:tcPr>
            <w:tcW w:w="2409" w:type="dxa"/>
            <w:gridSpan w:val="3"/>
            <w:vMerge/>
            <w:tcBorders>
              <w:left w:val="single" w:sz="4" w:space="0" w:color="auto"/>
              <w:bottom w:val="single" w:sz="4" w:space="0" w:color="000000"/>
              <w:right w:val="single" w:sz="4" w:space="0" w:color="000000"/>
            </w:tcBorders>
            <w:vAlign w:val="center"/>
            <w:hideMark/>
          </w:tcPr>
          <w:p w14:paraId="2B1F2A3E" w14:textId="77777777" w:rsidR="00CC6741" w:rsidRPr="0053555E" w:rsidRDefault="00CC6741" w:rsidP="00A4714A">
            <w:pPr>
              <w:rPr>
                <w:rFonts w:eastAsia="Times New Roman" w:cs="Calibri"/>
                <w:sz w:val="20"/>
                <w:szCs w:val="22"/>
                <w:lang w:eastAsia="sk-SK"/>
              </w:rPr>
            </w:pPr>
          </w:p>
        </w:tc>
      </w:tr>
      <w:tr w:rsidR="007427E2" w:rsidRPr="0053555E" w14:paraId="13816281" w14:textId="77777777" w:rsidTr="001F29FE">
        <w:trPr>
          <w:divId w:val="254558966"/>
          <w:trHeight w:val="806"/>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79AC2A" w14:textId="77777777" w:rsidR="00A4714A" w:rsidRPr="0053555E" w:rsidRDefault="00A4714A" w:rsidP="00A4714A">
            <w:pPr>
              <w:rPr>
                <w:rFonts w:eastAsia="Times New Roman" w:cs="Calibri"/>
                <w:sz w:val="22"/>
                <w:szCs w:val="22"/>
                <w:lang w:eastAsia="sk-SK"/>
              </w:rPr>
            </w:pPr>
          </w:p>
        </w:tc>
        <w:tc>
          <w:tcPr>
            <w:tcW w:w="673" w:type="dxa"/>
            <w:vMerge/>
            <w:tcBorders>
              <w:top w:val="nil"/>
              <w:left w:val="single" w:sz="4" w:space="0" w:color="auto"/>
              <w:bottom w:val="single" w:sz="4" w:space="0" w:color="auto"/>
              <w:right w:val="single" w:sz="4" w:space="0" w:color="auto"/>
            </w:tcBorders>
            <w:vAlign w:val="center"/>
            <w:hideMark/>
          </w:tcPr>
          <w:p w14:paraId="12CEC12B" w14:textId="77777777" w:rsidR="00A4714A" w:rsidRPr="0053555E" w:rsidRDefault="00A4714A" w:rsidP="00A4714A">
            <w:pPr>
              <w:rPr>
                <w:rFonts w:eastAsia="Times New Roman" w:cs="Calibri"/>
                <w:sz w:val="20"/>
                <w:szCs w:val="22"/>
                <w:lang w:eastAsia="sk-SK"/>
              </w:rPr>
            </w:pPr>
          </w:p>
        </w:tc>
        <w:tc>
          <w:tcPr>
            <w:tcW w:w="673" w:type="dxa"/>
            <w:vMerge/>
            <w:tcBorders>
              <w:top w:val="nil"/>
              <w:left w:val="single" w:sz="4" w:space="0" w:color="auto"/>
              <w:bottom w:val="single" w:sz="4" w:space="0" w:color="auto"/>
              <w:right w:val="single" w:sz="4" w:space="0" w:color="auto"/>
            </w:tcBorders>
            <w:vAlign w:val="center"/>
            <w:hideMark/>
          </w:tcPr>
          <w:p w14:paraId="20D5567B" w14:textId="77777777" w:rsidR="00A4714A" w:rsidRPr="0053555E" w:rsidRDefault="00A4714A" w:rsidP="00A4714A">
            <w:pPr>
              <w:rPr>
                <w:rFonts w:eastAsia="Times New Roman" w:cs="Calibri"/>
                <w:sz w:val="20"/>
                <w:szCs w:val="22"/>
                <w:lang w:eastAsia="sk-SK"/>
              </w:rPr>
            </w:pPr>
          </w:p>
        </w:tc>
        <w:tc>
          <w:tcPr>
            <w:tcW w:w="673" w:type="dxa"/>
            <w:vMerge/>
            <w:tcBorders>
              <w:top w:val="nil"/>
              <w:left w:val="single" w:sz="4" w:space="0" w:color="auto"/>
              <w:bottom w:val="single" w:sz="4" w:space="0" w:color="auto"/>
              <w:right w:val="single" w:sz="4" w:space="0" w:color="auto"/>
            </w:tcBorders>
            <w:vAlign w:val="center"/>
            <w:hideMark/>
          </w:tcPr>
          <w:p w14:paraId="33636794" w14:textId="77777777" w:rsidR="00A4714A" w:rsidRPr="0053555E" w:rsidRDefault="00A4714A" w:rsidP="00A4714A">
            <w:pPr>
              <w:rPr>
                <w:rFonts w:eastAsia="Times New Roman" w:cs="Calibri"/>
                <w:sz w:val="20"/>
                <w:szCs w:val="22"/>
                <w:lang w:eastAsia="sk-SK"/>
              </w:rPr>
            </w:pPr>
          </w:p>
        </w:tc>
        <w:tc>
          <w:tcPr>
            <w:tcW w:w="674" w:type="dxa"/>
            <w:vMerge/>
            <w:tcBorders>
              <w:top w:val="nil"/>
              <w:left w:val="single" w:sz="4" w:space="0" w:color="auto"/>
              <w:bottom w:val="single" w:sz="4" w:space="0" w:color="auto"/>
              <w:right w:val="single" w:sz="4" w:space="0" w:color="auto"/>
            </w:tcBorders>
            <w:vAlign w:val="center"/>
            <w:hideMark/>
          </w:tcPr>
          <w:p w14:paraId="078969C4" w14:textId="77777777" w:rsidR="00A4714A" w:rsidRPr="0053555E" w:rsidRDefault="00A4714A" w:rsidP="00A4714A">
            <w:pPr>
              <w:rPr>
                <w:rFonts w:eastAsia="Times New Roman" w:cs="Calibri"/>
                <w:sz w:val="20"/>
                <w:szCs w:val="22"/>
                <w:lang w:eastAsia="sk-SK"/>
              </w:rPr>
            </w:pPr>
          </w:p>
        </w:tc>
        <w:tc>
          <w:tcPr>
            <w:tcW w:w="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AB453E" w14:textId="77777777" w:rsidR="00A4714A" w:rsidRPr="0053555E" w:rsidRDefault="00A4714A" w:rsidP="00A4714A">
            <w:pPr>
              <w:jc w:val="center"/>
              <w:rPr>
                <w:rFonts w:eastAsia="Times New Roman" w:cs="Calibri"/>
                <w:sz w:val="20"/>
                <w:szCs w:val="22"/>
                <w:lang w:eastAsia="sk-SK"/>
              </w:rPr>
            </w:pPr>
            <w:r w:rsidRPr="0053555E">
              <w:rPr>
                <w:rFonts w:eastAsia="Times New Roman" w:cs="Calibri"/>
                <w:sz w:val="20"/>
                <w:szCs w:val="22"/>
                <w:lang w:eastAsia="sk-SK"/>
              </w:rPr>
              <w:t>ŠP</w:t>
            </w:r>
            <w:r w:rsidRPr="0053555E">
              <w:rPr>
                <w:rFonts w:eastAsia="Times New Roman" w:cs="Calibri"/>
                <w:sz w:val="20"/>
                <w:szCs w:val="22"/>
                <w:lang w:eastAsia="sk-SK"/>
              </w:rPr>
              <w:br/>
              <w:t>štátny jazyk</w:t>
            </w:r>
          </w:p>
        </w:tc>
        <w:tc>
          <w:tcPr>
            <w:tcW w:w="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8C2879" w14:textId="77777777" w:rsidR="00A4714A" w:rsidRPr="0053555E" w:rsidRDefault="00A4714A" w:rsidP="00A4714A">
            <w:pPr>
              <w:jc w:val="center"/>
              <w:rPr>
                <w:rFonts w:eastAsia="Times New Roman" w:cs="Calibri"/>
                <w:sz w:val="20"/>
                <w:szCs w:val="22"/>
                <w:lang w:eastAsia="sk-SK"/>
              </w:rPr>
            </w:pPr>
            <w:r w:rsidRPr="0053555E">
              <w:rPr>
                <w:rFonts w:eastAsia="Times New Roman" w:cs="Calibri"/>
                <w:sz w:val="20"/>
                <w:szCs w:val="22"/>
                <w:lang w:eastAsia="sk-SK"/>
              </w:rPr>
              <w:t>ŠP</w:t>
            </w:r>
            <w:r w:rsidRPr="0053555E">
              <w:rPr>
                <w:rFonts w:eastAsia="Times New Roman" w:cs="Calibri"/>
                <w:sz w:val="20"/>
                <w:szCs w:val="22"/>
                <w:lang w:eastAsia="sk-SK"/>
              </w:rPr>
              <w:br/>
              <w:t>anglický jazyk</w:t>
            </w:r>
          </w:p>
        </w:tc>
        <w:tc>
          <w:tcPr>
            <w:tcW w:w="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1F998B4" w14:textId="77777777" w:rsidR="00A4714A" w:rsidRPr="0053555E" w:rsidRDefault="00A4714A" w:rsidP="00A4714A">
            <w:pPr>
              <w:jc w:val="center"/>
              <w:rPr>
                <w:rFonts w:eastAsia="Times New Roman" w:cs="Calibri"/>
                <w:sz w:val="20"/>
                <w:szCs w:val="22"/>
                <w:lang w:eastAsia="sk-SK"/>
              </w:rPr>
            </w:pPr>
            <w:r w:rsidRPr="0053555E">
              <w:rPr>
                <w:rFonts w:eastAsia="Times New Roman" w:cs="Calibri"/>
                <w:sz w:val="20"/>
                <w:szCs w:val="22"/>
                <w:lang w:eastAsia="sk-SK"/>
              </w:rPr>
              <w:t>ŠP</w:t>
            </w:r>
            <w:r w:rsidRPr="0053555E">
              <w:rPr>
                <w:rFonts w:eastAsia="Times New Roman" w:cs="Calibri"/>
                <w:sz w:val="20"/>
                <w:szCs w:val="22"/>
                <w:lang w:eastAsia="sk-SK"/>
              </w:rPr>
              <w:br/>
              <w:t>štátny jazyk</w:t>
            </w:r>
          </w:p>
        </w:tc>
        <w:tc>
          <w:tcPr>
            <w:tcW w:w="8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63F6DA" w14:textId="77777777" w:rsidR="00A4714A" w:rsidRPr="0053555E" w:rsidRDefault="00A4714A" w:rsidP="00A4714A">
            <w:pPr>
              <w:jc w:val="center"/>
              <w:rPr>
                <w:rFonts w:eastAsia="Times New Roman" w:cs="Calibri"/>
                <w:sz w:val="20"/>
                <w:szCs w:val="22"/>
                <w:lang w:eastAsia="sk-SK"/>
              </w:rPr>
            </w:pPr>
            <w:r w:rsidRPr="0053555E">
              <w:rPr>
                <w:rFonts w:eastAsia="Times New Roman" w:cs="Calibri"/>
                <w:sz w:val="20"/>
                <w:szCs w:val="22"/>
                <w:lang w:eastAsia="sk-SK"/>
              </w:rPr>
              <w:t>ŠP</w:t>
            </w:r>
            <w:r w:rsidRPr="0053555E">
              <w:rPr>
                <w:rFonts w:eastAsia="Times New Roman" w:cs="Calibri"/>
                <w:sz w:val="20"/>
                <w:szCs w:val="22"/>
                <w:lang w:eastAsia="sk-SK"/>
              </w:rPr>
              <w:br/>
              <w:t>anglický jazyk</w:t>
            </w:r>
          </w:p>
        </w:tc>
        <w:tc>
          <w:tcPr>
            <w:tcW w:w="8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01CB49" w14:textId="77777777" w:rsidR="00A4714A" w:rsidRPr="0053555E" w:rsidRDefault="00A4714A" w:rsidP="00A4714A">
            <w:pPr>
              <w:jc w:val="center"/>
              <w:rPr>
                <w:rFonts w:eastAsia="Times New Roman" w:cs="Calibri"/>
                <w:sz w:val="20"/>
                <w:szCs w:val="22"/>
                <w:lang w:eastAsia="sk-SK"/>
              </w:rPr>
            </w:pPr>
            <w:r w:rsidRPr="0053555E">
              <w:rPr>
                <w:rFonts w:eastAsia="Times New Roman" w:cs="Calibri"/>
                <w:sz w:val="20"/>
                <w:szCs w:val="22"/>
                <w:lang w:eastAsia="sk-SK"/>
              </w:rPr>
              <w:t>ŠP</w:t>
            </w:r>
            <w:r w:rsidRPr="0053555E">
              <w:rPr>
                <w:rFonts w:eastAsia="Times New Roman" w:cs="Calibri"/>
                <w:sz w:val="20"/>
                <w:szCs w:val="22"/>
                <w:lang w:eastAsia="sk-SK"/>
              </w:rPr>
              <w:br/>
              <w:t>štátny jazyk</w:t>
            </w:r>
          </w:p>
        </w:tc>
        <w:tc>
          <w:tcPr>
            <w:tcW w:w="8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E06AF0" w14:textId="77777777" w:rsidR="00A4714A" w:rsidRPr="0053555E" w:rsidRDefault="00A4714A" w:rsidP="00A4714A">
            <w:pPr>
              <w:jc w:val="center"/>
              <w:rPr>
                <w:rFonts w:eastAsia="Times New Roman" w:cs="Calibri"/>
                <w:sz w:val="20"/>
                <w:szCs w:val="22"/>
                <w:lang w:eastAsia="sk-SK"/>
              </w:rPr>
            </w:pPr>
            <w:r w:rsidRPr="0053555E">
              <w:rPr>
                <w:rFonts w:eastAsia="Times New Roman" w:cs="Calibri"/>
                <w:sz w:val="20"/>
                <w:szCs w:val="22"/>
                <w:lang w:eastAsia="sk-SK"/>
              </w:rPr>
              <w:t>ŠP</w:t>
            </w:r>
            <w:r w:rsidRPr="0053555E">
              <w:rPr>
                <w:rFonts w:eastAsia="Times New Roman" w:cs="Calibri"/>
                <w:sz w:val="20"/>
                <w:szCs w:val="22"/>
                <w:lang w:eastAsia="sk-SK"/>
              </w:rPr>
              <w:br/>
              <w:t>anglický jazyk</w:t>
            </w:r>
          </w:p>
        </w:tc>
        <w:tc>
          <w:tcPr>
            <w:tcW w:w="803" w:type="dxa"/>
            <w:tcBorders>
              <w:top w:val="nil"/>
              <w:left w:val="nil"/>
              <w:bottom w:val="single" w:sz="4" w:space="0" w:color="auto"/>
              <w:right w:val="single" w:sz="4" w:space="0" w:color="auto"/>
            </w:tcBorders>
            <w:shd w:val="clear" w:color="000000" w:fill="EEECE1"/>
            <w:tcMar>
              <w:top w:w="15" w:type="dxa"/>
              <w:left w:w="15" w:type="dxa"/>
              <w:bottom w:w="0" w:type="dxa"/>
              <w:right w:w="15" w:type="dxa"/>
            </w:tcMar>
            <w:vAlign w:val="center"/>
            <w:hideMark/>
          </w:tcPr>
          <w:p w14:paraId="70735499" w14:textId="77777777" w:rsidR="00A4714A" w:rsidRPr="0053555E" w:rsidRDefault="007427E2" w:rsidP="00E769F7">
            <w:pPr>
              <w:jc w:val="center"/>
              <w:rPr>
                <w:rFonts w:eastAsia="Times New Roman" w:cs="Calibri"/>
                <w:b/>
                <w:bCs/>
                <w:sz w:val="22"/>
                <w:szCs w:val="22"/>
                <w:lang w:eastAsia="sk-SK"/>
              </w:rPr>
            </w:pPr>
            <w:r w:rsidRPr="0053555E">
              <w:rPr>
                <w:rFonts w:eastAsia="Times New Roman" w:cs="Calibri"/>
                <w:b/>
                <w:bCs/>
                <w:sz w:val="22"/>
                <w:szCs w:val="22"/>
                <w:lang w:eastAsia="sk-SK"/>
              </w:rPr>
              <w:t>spolu</w:t>
            </w:r>
          </w:p>
        </w:tc>
      </w:tr>
      <w:tr w:rsidR="00882704" w:rsidRPr="0053555E" w14:paraId="5A1C71D7" w14:textId="77777777" w:rsidTr="001F29FE">
        <w:trPr>
          <w:divId w:val="254558966"/>
          <w:trHeight w:val="300"/>
        </w:trPr>
        <w:tc>
          <w:tcPr>
            <w:tcW w:w="7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C9826" w14:textId="77777777" w:rsidR="00882704" w:rsidRPr="0053555E" w:rsidRDefault="00882704" w:rsidP="00882704">
            <w:pPr>
              <w:rPr>
                <w:rFonts w:eastAsia="Times New Roman" w:cs="Calibri"/>
                <w:sz w:val="22"/>
                <w:szCs w:val="22"/>
                <w:lang w:eastAsia="sk-SK"/>
              </w:rPr>
            </w:pPr>
            <w:r w:rsidRPr="0053555E">
              <w:rPr>
                <w:rFonts w:eastAsia="Times New Roman" w:cs="Calibri"/>
                <w:sz w:val="22"/>
                <w:szCs w:val="22"/>
                <w:lang w:eastAsia="sk-SK"/>
              </w:rPr>
              <w:t>SvF</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5C6DE" w14:textId="5ED90EA9" w:rsidR="00882704" w:rsidRPr="0053555E" w:rsidRDefault="00C65F68" w:rsidP="00882704">
            <w:pPr>
              <w:jc w:val="center"/>
              <w:rPr>
                <w:rFonts w:eastAsia="Times New Roman" w:cs="Calibri"/>
                <w:sz w:val="22"/>
                <w:szCs w:val="22"/>
                <w:lang w:eastAsia="sk-SK"/>
              </w:rPr>
            </w:pPr>
            <w:r>
              <w:rPr>
                <w:rFonts w:cs="Calibri"/>
                <w:sz w:val="22"/>
                <w:szCs w:val="22"/>
              </w:rPr>
              <w:t>9</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AFD0D" w14:textId="4B395446" w:rsidR="00882704" w:rsidRPr="0053555E" w:rsidRDefault="00882704" w:rsidP="00882704">
            <w:pPr>
              <w:jc w:val="center"/>
              <w:rPr>
                <w:rFonts w:eastAsia="Times New Roman" w:cs="Calibri"/>
                <w:sz w:val="22"/>
                <w:szCs w:val="22"/>
                <w:lang w:eastAsia="sk-SK"/>
              </w:rPr>
            </w:pPr>
            <w:r w:rsidRPr="0053555E">
              <w:rPr>
                <w:rFonts w:cs="Calibri"/>
                <w:sz w:val="22"/>
                <w:szCs w:val="22"/>
              </w:rPr>
              <w:t>1</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AC3B9" w14:textId="7B8DB4B0" w:rsidR="00882704" w:rsidRPr="0053555E" w:rsidRDefault="00882704" w:rsidP="00882704">
            <w:pPr>
              <w:jc w:val="center"/>
              <w:rPr>
                <w:rFonts w:eastAsia="Times New Roman" w:cs="Calibri"/>
                <w:sz w:val="22"/>
                <w:szCs w:val="22"/>
                <w:lang w:eastAsia="sk-SK"/>
              </w:rPr>
            </w:pPr>
            <w:r w:rsidRPr="0053555E">
              <w:rPr>
                <w:rFonts w:cs="Calibri"/>
                <w:sz w:val="22"/>
                <w:szCs w:val="22"/>
              </w:rPr>
              <w:t>10</w:t>
            </w:r>
          </w:p>
        </w:tc>
        <w:tc>
          <w:tcPr>
            <w:tcW w:w="6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36E8B" w14:textId="3C1432D8" w:rsidR="00882704" w:rsidRPr="0053555E" w:rsidRDefault="00882704" w:rsidP="00882704">
            <w:pPr>
              <w:jc w:val="center"/>
              <w:rPr>
                <w:rFonts w:eastAsia="Times New Roman" w:cs="Calibri"/>
                <w:sz w:val="22"/>
                <w:szCs w:val="22"/>
                <w:lang w:eastAsia="sk-SK"/>
              </w:rPr>
            </w:pPr>
            <w:r w:rsidRPr="0053555E">
              <w:rPr>
                <w:rFonts w:cs="Calibri"/>
                <w:sz w:val="22"/>
                <w:szCs w:val="22"/>
              </w:rPr>
              <w:t>1</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49846" w14:textId="12A12DA0" w:rsidR="00882704" w:rsidRPr="0053555E" w:rsidRDefault="00882704" w:rsidP="00882704">
            <w:pPr>
              <w:jc w:val="center"/>
              <w:rPr>
                <w:rFonts w:eastAsia="Times New Roman" w:cs="Calibri"/>
                <w:sz w:val="22"/>
                <w:szCs w:val="22"/>
                <w:lang w:eastAsia="sk-SK"/>
              </w:rPr>
            </w:pPr>
            <w:r w:rsidRPr="0053555E">
              <w:rPr>
                <w:rFonts w:cs="Calibri"/>
                <w:sz w:val="22"/>
                <w:szCs w:val="22"/>
              </w:rPr>
              <w:t>8</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27DBD" w14:textId="1CD87D60" w:rsidR="00882704" w:rsidRPr="0053555E" w:rsidRDefault="00882704" w:rsidP="00882704">
            <w:pPr>
              <w:jc w:val="center"/>
              <w:rPr>
                <w:rFonts w:eastAsia="Times New Roman" w:cs="Calibri"/>
                <w:sz w:val="22"/>
                <w:szCs w:val="22"/>
                <w:lang w:eastAsia="sk-SK"/>
              </w:rPr>
            </w:pPr>
            <w:r w:rsidRPr="0053555E">
              <w:rPr>
                <w:rFonts w:cs="Calibri"/>
                <w:sz w:val="22"/>
                <w:szCs w:val="22"/>
              </w:rPr>
              <w:t>8</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E7A00" w14:textId="39698F7C" w:rsidR="00882704" w:rsidRPr="0053555E" w:rsidRDefault="00882704" w:rsidP="00882704">
            <w:pPr>
              <w:jc w:val="center"/>
              <w:rPr>
                <w:rFonts w:eastAsia="Times New Roman" w:cs="Calibri"/>
                <w:sz w:val="22"/>
                <w:szCs w:val="22"/>
                <w:lang w:eastAsia="sk-SK"/>
              </w:rPr>
            </w:pPr>
            <w:r w:rsidRPr="0053555E">
              <w:rPr>
                <w:rFonts w:cs="Calibri"/>
                <w:sz w:val="22"/>
                <w:szCs w:val="22"/>
              </w:rPr>
              <w:t>8</w:t>
            </w:r>
          </w:p>
        </w:tc>
        <w:tc>
          <w:tcPr>
            <w:tcW w:w="8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B30A3" w14:textId="527C1D7B" w:rsidR="00882704" w:rsidRPr="0053555E" w:rsidRDefault="00882704" w:rsidP="00882704">
            <w:pPr>
              <w:jc w:val="center"/>
              <w:rPr>
                <w:rFonts w:eastAsia="Times New Roman" w:cs="Calibri"/>
                <w:sz w:val="22"/>
                <w:szCs w:val="22"/>
                <w:lang w:eastAsia="sk-SK"/>
              </w:rPr>
            </w:pPr>
            <w:r w:rsidRPr="0053555E">
              <w:rPr>
                <w:rFonts w:cs="Calibri"/>
                <w:sz w:val="22"/>
                <w:szCs w:val="22"/>
              </w:rPr>
              <w:t>8</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5A080" w14:textId="548AC7BD" w:rsidR="00882704" w:rsidRPr="0053555E" w:rsidRDefault="00882704" w:rsidP="00882704">
            <w:pPr>
              <w:jc w:val="center"/>
              <w:rPr>
                <w:rFonts w:eastAsia="Times New Roman" w:cs="Calibri"/>
                <w:sz w:val="22"/>
                <w:szCs w:val="22"/>
                <w:lang w:eastAsia="sk-SK"/>
              </w:rPr>
            </w:pPr>
            <w:r w:rsidRPr="0053555E">
              <w:rPr>
                <w:rFonts w:cs="Calibri"/>
                <w:sz w:val="22"/>
                <w:szCs w:val="22"/>
              </w:rPr>
              <w:t>3</w:t>
            </w:r>
            <w:r w:rsidR="006756F1">
              <w:rPr>
                <w:rFonts w:cs="Calibri"/>
                <w:sz w:val="22"/>
                <w:szCs w:val="22"/>
              </w:rPr>
              <w:t>5</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B2CB0" w14:textId="1AB85FA5" w:rsidR="00882704" w:rsidRPr="0053555E" w:rsidRDefault="00882704" w:rsidP="00882704">
            <w:pPr>
              <w:jc w:val="center"/>
              <w:rPr>
                <w:rFonts w:eastAsia="Times New Roman" w:cs="Calibri"/>
                <w:sz w:val="22"/>
                <w:szCs w:val="22"/>
                <w:lang w:eastAsia="sk-SK"/>
              </w:rPr>
            </w:pPr>
            <w:r w:rsidRPr="0053555E">
              <w:rPr>
                <w:rFonts w:cs="Calibri"/>
                <w:sz w:val="22"/>
                <w:szCs w:val="22"/>
              </w:rPr>
              <w:t>18</w:t>
            </w:r>
          </w:p>
        </w:tc>
        <w:tc>
          <w:tcPr>
            <w:tcW w:w="803" w:type="dxa"/>
            <w:tcBorders>
              <w:top w:val="nil"/>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6C1E1BC6" w14:textId="738570A9"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5</w:t>
            </w:r>
            <w:r w:rsidR="006756F1">
              <w:rPr>
                <w:rFonts w:cs="Calibri"/>
                <w:b/>
                <w:bCs/>
                <w:sz w:val="22"/>
                <w:szCs w:val="22"/>
              </w:rPr>
              <w:t>3</w:t>
            </w:r>
          </w:p>
        </w:tc>
      </w:tr>
      <w:tr w:rsidR="00882704" w:rsidRPr="0053555E" w14:paraId="5A315B3F" w14:textId="77777777" w:rsidTr="001F29FE">
        <w:trPr>
          <w:divId w:val="254558966"/>
          <w:trHeight w:val="300"/>
        </w:trPr>
        <w:tc>
          <w:tcPr>
            <w:tcW w:w="7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82923" w14:textId="77777777" w:rsidR="00882704" w:rsidRPr="0053555E" w:rsidRDefault="00882704" w:rsidP="00882704">
            <w:pPr>
              <w:rPr>
                <w:rFonts w:eastAsia="Times New Roman" w:cs="Calibri"/>
                <w:sz w:val="22"/>
                <w:szCs w:val="22"/>
                <w:lang w:eastAsia="sk-SK"/>
              </w:rPr>
            </w:pPr>
            <w:r w:rsidRPr="0053555E">
              <w:rPr>
                <w:rFonts w:eastAsia="Times New Roman" w:cs="Calibri"/>
                <w:sz w:val="22"/>
                <w:szCs w:val="22"/>
                <w:lang w:eastAsia="sk-SK"/>
              </w:rPr>
              <w:t>SjF</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EEA00" w14:textId="01A8027D" w:rsidR="00882704" w:rsidRPr="0053555E" w:rsidRDefault="00882704" w:rsidP="00882704">
            <w:pPr>
              <w:jc w:val="center"/>
              <w:rPr>
                <w:rFonts w:eastAsia="Times New Roman" w:cs="Calibri"/>
                <w:sz w:val="22"/>
                <w:szCs w:val="22"/>
                <w:lang w:eastAsia="sk-SK"/>
              </w:rPr>
            </w:pPr>
            <w:r w:rsidRPr="0053555E">
              <w:rPr>
                <w:rFonts w:cs="Calibri"/>
                <w:sz w:val="22"/>
                <w:szCs w:val="22"/>
              </w:rPr>
              <w:t>9</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3C403" w14:textId="73BA74ED" w:rsidR="00882704" w:rsidRPr="0053555E" w:rsidRDefault="00882704" w:rsidP="00882704">
            <w:pPr>
              <w:jc w:val="center"/>
              <w:rPr>
                <w:rFonts w:eastAsia="Times New Roman" w:cs="Calibri"/>
                <w:sz w:val="22"/>
                <w:szCs w:val="22"/>
                <w:lang w:eastAsia="sk-SK"/>
              </w:rPr>
            </w:pPr>
            <w:r w:rsidRPr="0053555E">
              <w:rPr>
                <w:rFonts w:cs="Calibri"/>
                <w:sz w:val="22"/>
                <w:szCs w:val="22"/>
              </w:rPr>
              <w:t>3</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381E8" w14:textId="3D0F29B0" w:rsidR="00882704" w:rsidRPr="0053555E" w:rsidRDefault="00882704" w:rsidP="00882704">
            <w:pPr>
              <w:jc w:val="center"/>
              <w:rPr>
                <w:rFonts w:eastAsia="Times New Roman" w:cs="Calibri"/>
                <w:sz w:val="22"/>
                <w:szCs w:val="22"/>
                <w:lang w:eastAsia="sk-SK"/>
              </w:rPr>
            </w:pPr>
            <w:r w:rsidRPr="0053555E">
              <w:rPr>
                <w:rFonts w:cs="Calibri"/>
                <w:sz w:val="22"/>
                <w:szCs w:val="22"/>
              </w:rPr>
              <w:t>9</w:t>
            </w:r>
          </w:p>
        </w:tc>
        <w:tc>
          <w:tcPr>
            <w:tcW w:w="6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B5A73" w14:textId="030CB57B" w:rsidR="00882704" w:rsidRPr="0053555E" w:rsidRDefault="00882704" w:rsidP="00882704">
            <w:pPr>
              <w:jc w:val="center"/>
              <w:rPr>
                <w:rFonts w:eastAsia="Times New Roman" w:cs="Calibri"/>
                <w:sz w:val="22"/>
                <w:szCs w:val="22"/>
                <w:lang w:eastAsia="sk-SK"/>
              </w:rPr>
            </w:pPr>
            <w:r w:rsidRPr="0053555E">
              <w:rPr>
                <w:rFonts w:cs="Calibri"/>
                <w:sz w:val="22"/>
                <w:szCs w:val="22"/>
              </w:rPr>
              <w:t>3</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9DE52" w14:textId="63716B71" w:rsidR="00882704" w:rsidRPr="0053555E" w:rsidRDefault="00882704" w:rsidP="00882704">
            <w:pPr>
              <w:jc w:val="center"/>
              <w:rPr>
                <w:rFonts w:eastAsia="Times New Roman" w:cs="Calibri"/>
                <w:sz w:val="22"/>
                <w:szCs w:val="22"/>
                <w:lang w:eastAsia="sk-SK"/>
              </w:rPr>
            </w:pPr>
            <w:r w:rsidRPr="0053555E">
              <w:rPr>
                <w:rFonts w:cs="Calibri"/>
                <w:sz w:val="22"/>
                <w:szCs w:val="22"/>
              </w:rPr>
              <w:t>8</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2C309" w14:textId="080CCCDD" w:rsidR="00882704" w:rsidRPr="0053555E" w:rsidRDefault="00882704" w:rsidP="00882704">
            <w:pPr>
              <w:jc w:val="center"/>
              <w:rPr>
                <w:rFonts w:eastAsia="Times New Roman" w:cs="Calibri"/>
                <w:sz w:val="22"/>
                <w:szCs w:val="22"/>
                <w:lang w:eastAsia="sk-SK"/>
              </w:rPr>
            </w:pPr>
            <w:r w:rsidRPr="0053555E">
              <w:rPr>
                <w:rFonts w:cs="Calibri"/>
                <w:sz w:val="22"/>
                <w:szCs w:val="22"/>
              </w:rPr>
              <w:t>3</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1028B" w14:textId="3FAE2CD3" w:rsidR="00882704" w:rsidRPr="0053555E" w:rsidRDefault="00882704" w:rsidP="00882704">
            <w:pPr>
              <w:jc w:val="center"/>
              <w:rPr>
                <w:rFonts w:eastAsia="Times New Roman" w:cs="Calibri"/>
                <w:sz w:val="22"/>
                <w:szCs w:val="22"/>
                <w:lang w:eastAsia="sk-SK"/>
              </w:rPr>
            </w:pPr>
            <w:r w:rsidRPr="0053555E">
              <w:rPr>
                <w:rFonts w:cs="Calibri"/>
                <w:sz w:val="22"/>
                <w:szCs w:val="22"/>
              </w:rPr>
              <w:t>8</w:t>
            </w:r>
          </w:p>
        </w:tc>
        <w:tc>
          <w:tcPr>
            <w:tcW w:w="8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B52E7" w14:textId="7CC1698C" w:rsidR="00882704" w:rsidRPr="0053555E" w:rsidRDefault="00882704" w:rsidP="00882704">
            <w:pPr>
              <w:jc w:val="center"/>
              <w:rPr>
                <w:rFonts w:eastAsia="Times New Roman" w:cs="Calibri"/>
                <w:sz w:val="22"/>
                <w:szCs w:val="22"/>
                <w:lang w:eastAsia="sk-SK"/>
              </w:rPr>
            </w:pPr>
            <w:r w:rsidRPr="0053555E">
              <w:rPr>
                <w:rFonts w:cs="Calibri"/>
                <w:sz w:val="22"/>
                <w:szCs w:val="22"/>
              </w:rPr>
              <w:t>3</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861E6" w14:textId="173215C0" w:rsidR="00882704" w:rsidRPr="0053555E" w:rsidRDefault="00882704" w:rsidP="00882704">
            <w:pPr>
              <w:jc w:val="center"/>
              <w:rPr>
                <w:rFonts w:eastAsia="Times New Roman" w:cs="Calibri"/>
                <w:sz w:val="22"/>
                <w:szCs w:val="22"/>
                <w:lang w:eastAsia="sk-SK"/>
              </w:rPr>
            </w:pPr>
            <w:r w:rsidRPr="0053555E">
              <w:rPr>
                <w:rFonts w:cs="Calibri"/>
                <w:sz w:val="22"/>
                <w:szCs w:val="22"/>
              </w:rPr>
              <w:t>34</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0A9AB" w14:textId="7FC428A3" w:rsidR="00882704" w:rsidRPr="0053555E" w:rsidRDefault="00882704" w:rsidP="00882704">
            <w:pPr>
              <w:jc w:val="center"/>
              <w:rPr>
                <w:rFonts w:eastAsia="Times New Roman" w:cs="Calibri"/>
                <w:sz w:val="22"/>
                <w:szCs w:val="22"/>
                <w:lang w:eastAsia="sk-SK"/>
              </w:rPr>
            </w:pPr>
            <w:r w:rsidRPr="0053555E">
              <w:rPr>
                <w:rFonts w:cs="Calibri"/>
                <w:sz w:val="22"/>
                <w:szCs w:val="22"/>
              </w:rPr>
              <w:t>12</w:t>
            </w:r>
          </w:p>
        </w:tc>
        <w:tc>
          <w:tcPr>
            <w:tcW w:w="803" w:type="dxa"/>
            <w:tcBorders>
              <w:top w:val="nil"/>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0909DB5E" w14:textId="027FC3D3"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46</w:t>
            </w:r>
          </w:p>
        </w:tc>
      </w:tr>
      <w:tr w:rsidR="00882704" w:rsidRPr="0053555E" w14:paraId="4DCF38E9" w14:textId="77777777" w:rsidTr="001F29FE">
        <w:trPr>
          <w:divId w:val="254558966"/>
          <w:trHeight w:val="300"/>
        </w:trPr>
        <w:tc>
          <w:tcPr>
            <w:tcW w:w="7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65F46" w14:textId="77777777" w:rsidR="00882704" w:rsidRPr="0053555E" w:rsidRDefault="00882704" w:rsidP="00882704">
            <w:pPr>
              <w:rPr>
                <w:rFonts w:eastAsia="Times New Roman" w:cs="Calibri"/>
                <w:sz w:val="22"/>
                <w:szCs w:val="22"/>
                <w:lang w:eastAsia="sk-SK"/>
              </w:rPr>
            </w:pPr>
            <w:r w:rsidRPr="0053555E">
              <w:rPr>
                <w:rFonts w:eastAsia="Times New Roman" w:cs="Calibri"/>
                <w:sz w:val="22"/>
                <w:szCs w:val="22"/>
                <w:lang w:eastAsia="sk-SK"/>
              </w:rPr>
              <w:t>FEI</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1BCAB" w14:textId="56F1ADE4" w:rsidR="00882704" w:rsidRPr="0053555E" w:rsidRDefault="00882704" w:rsidP="00882704">
            <w:pPr>
              <w:jc w:val="center"/>
              <w:rPr>
                <w:rFonts w:eastAsia="Times New Roman" w:cs="Calibri"/>
                <w:sz w:val="22"/>
                <w:szCs w:val="22"/>
                <w:lang w:eastAsia="sk-SK"/>
              </w:rPr>
            </w:pPr>
            <w:r w:rsidRPr="0053555E">
              <w:rPr>
                <w:rFonts w:cs="Calibri"/>
                <w:sz w:val="22"/>
                <w:szCs w:val="22"/>
              </w:rPr>
              <w:t>7</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FEDD3" w14:textId="3B522384" w:rsidR="00882704" w:rsidRPr="0053555E" w:rsidRDefault="00882704" w:rsidP="00882704">
            <w:pPr>
              <w:jc w:val="center"/>
              <w:rPr>
                <w:rFonts w:eastAsia="Times New Roman" w:cs="Calibri"/>
                <w:sz w:val="22"/>
                <w:szCs w:val="22"/>
                <w:lang w:eastAsia="sk-SK"/>
              </w:rPr>
            </w:pPr>
            <w:r w:rsidRPr="0053555E">
              <w:rPr>
                <w:rFonts w:cs="Calibri"/>
                <w:sz w:val="22"/>
                <w:szCs w:val="22"/>
              </w:rPr>
              <w:t>0</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37B3C" w14:textId="20408C71" w:rsidR="00882704" w:rsidRPr="0053555E" w:rsidRDefault="00882704" w:rsidP="00882704">
            <w:pPr>
              <w:jc w:val="center"/>
              <w:rPr>
                <w:rFonts w:eastAsia="Times New Roman" w:cs="Calibri"/>
                <w:sz w:val="22"/>
                <w:szCs w:val="22"/>
                <w:lang w:eastAsia="sk-SK"/>
              </w:rPr>
            </w:pPr>
            <w:r w:rsidRPr="0053555E">
              <w:rPr>
                <w:rFonts w:cs="Calibri"/>
                <w:sz w:val="22"/>
                <w:szCs w:val="22"/>
              </w:rPr>
              <w:t>7</w:t>
            </w:r>
          </w:p>
        </w:tc>
        <w:tc>
          <w:tcPr>
            <w:tcW w:w="6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BA6DB" w14:textId="499BCB79" w:rsidR="00882704" w:rsidRPr="0053555E" w:rsidRDefault="00882704" w:rsidP="00882704">
            <w:pPr>
              <w:jc w:val="center"/>
              <w:rPr>
                <w:rFonts w:eastAsia="Times New Roman" w:cs="Calibri"/>
                <w:sz w:val="22"/>
                <w:szCs w:val="22"/>
                <w:lang w:eastAsia="sk-SK"/>
              </w:rPr>
            </w:pPr>
            <w:r w:rsidRPr="0053555E">
              <w:rPr>
                <w:rFonts w:cs="Calibri"/>
                <w:sz w:val="22"/>
                <w:szCs w:val="22"/>
              </w:rPr>
              <w:t>2</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CF546" w14:textId="53B7B797" w:rsidR="00882704" w:rsidRPr="0053555E" w:rsidRDefault="00882704" w:rsidP="00882704">
            <w:pPr>
              <w:jc w:val="center"/>
              <w:rPr>
                <w:rFonts w:eastAsia="Times New Roman" w:cs="Calibri"/>
                <w:sz w:val="22"/>
                <w:szCs w:val="22"/>
                <w:lang w:eastAsia="sk-SK"/>
              </w:rPr>
            </w:pPr>
            <w:r w:rsidRPr="0053555E">
              <w:rPr>
                <w:rFonts w:cs="Calibri"/>
                <w:sz w:val="22"/>
                <w:szCs w:val="22"/>
              </w:rPr>
              <w:t>9</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A76D7" w14:textId="2454DEBF" w:rsidR="00882704" w:rsidRPr="0053555E" w:rsidRDefault="00882704" w:rsidP="00882704">
            <w:pPr>
              <w:jc w:val="center"/>
              <w:rPr>
                <w:rFonts w:eastAsia="Times New Roman" w:cs="Calibri"/>
                <w:sz w:val="22"/>
                <w:szCs w:val="22"/>
                <w:lang w:eastAsia="sk-SK"/>
              </w:rPr>
            </w:pPr>
            <w:r w:rsidRPr="0053555E">
              <w:rPr>
                <w:rFonts w:cs="Calibri"/>
                <w:sz w:val="22"/>
                <w:szCs w:val="22"/>
              </w:rPr>
              <w:t>9</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DEC0C" w14:textId="712C0B2C" w:rsidR="00882704" w:rsidRPr="0053555E" w:rsidRDefault="00882704" w:rsidP="00882704">
            <w:pPr>
              <w:jc w:val="center"/>
              <w:rPr>
                <w:rFonts w:eastAsia="Times New Roman" w:cs="Calibri"/>
                <w:sz w:val="22"/>
                <w:szCs w:val="22"/>
                <w:lang w:eastAsia="sk-SK"/>
              </w:rPr>
            </w:pPr>
            <w:r w:rsidRPr="0053555E">
              <w:rPr>
                <w:rFonts w:cs="Calibri"/>
                <w:sz w:val="22"/>
                <w:szCs w:val="22"/>
              </w:rPr>
              <w:t>9</w:t>
            </w:r>
          </w:p>
        </w:tc>
        <w:tc>
          <w:tcPr>
            <w:tcW w:w="8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56F4F" w14:textId="6B95FF4A" w:rsidR="00882704" w:rsidRPr="0053555E" w:rsidRDefault="00882704" w:rsidP="00882704">
            <w:pPr>
              <w:jc w:val="center"/>
              <w:rPr>
                <w:rFonts w:eastAsia="Times New Roman" w:cs="Calibri"/>
                <w:sz w:val="22"/>
                <w:szCs w:val="22"/>
                <w:lang w:eastAsia="sk-SK"/>
              </w:rPr>
            </w:pPr>
            <w:r w:rsidRPr="0053555E">
              <w:rPr>
                <w:rFonts w:cs="Calibri"/>
                <w:sz w:val="22"/>
                <w:szCs w:val="22"/>
              </w:rPr>
              <w:t>9</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C1990" w14:textId="7B5CE5AB" w:rsidR="00882704" w:rsidRPr="0053555E" w:rsidRDefault="00882704" w:rsidP="00882704">
            <w:pPr>
              <w:jc w:val="center"/>
              <w:rPr>
                <w:rFonts w:eastAsia="Times New Roman" w:cs="Calibri"/>
                <w:sz w:val="22"/>
                <w:szCs w:val="22"/>
                <w:lang w:eastAsia="sk-SK"/>
              </w:rPr>
            </w:pPr>
            <w:r w:rsidRPr="0053555E">
              <w:rPr>
                <w:rFonts w:cs="Calibri"/>
                <w:sz w:val="22"/>
                <w:szCs w:val="22"/>
              </w:rPr>
              <w:t>32</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DB0C9" w14:textId="7D0DCF7C" w:rsidR="00882704" w:rsidRPr="0053555E" w:rsidRDefault="00882704" w:rsidP="00882704">
            <w:pPr>
              <w:jc w:val="center"/>
              <w:rPr>
                <w:rFonts w:eastAsia="Times New Roman" w:cs="Calibri"/>
                <w:sz w:val="22"/>
                <w:szCs w:val="22"/>
                <w:lang w:eastAsia="sk-SK"/>
              </w:rPr>
            </w:pPr>
            <w:r w:rsidRPr="0053555E">
              <w:rPr>
                <w:rFonts w:cs="Calibri"/>
                <w:sz w:val="22"/>
                <w:szCs w:val="22"/>
              </w:rPr>
              <w:t>20</w:t>
            </w:r>
          </w:p>
        </w:tc>
        <w:tc>
          <w:tcPr>
            <w:tcW w:w="803" w:type="dxa"/>
            <w:tcBorders>
              <w:top w:val="nil"/>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3DF3D215" w14:textId="79B9A129"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52</w:t>
            </w:r>
          </w:p>
        </w:tc>
      </w:tr>
      <w:tr w:rsidR="00882704" w:rsidRPr="0053555E" w14:paraId="5A23F36E" w14:textId="77777777" w:rsidTr="001F29FE">
        <w:trPr>
          <w:divId w:val="254558966"/>
          <w:trHeight w:val="300"/>
        </w:trPr>
        <w:tc>
          <w:tcPr>
            <w:tcW w:w="7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70ED9" w14:textId="77777777" w:rsidR="00882704" w:rsidRPr="0053555E" w:rsidRDefault="00882704" w:rsidP="00882704">
            <w:pPr>
              <w:rPr>
                <w:rFonts w:eastAsia="Times New Roman" w:cs="Calibri"/>
                <w:sz w:val="22"/>
                <w:szCs w:val="22"/>
                <w:lang w:eastAsia="sk-SK"/>
              </w:rPr>
            </w:pPr>
            <w:r w:rsidRPr="0053555E">
              <w:rPr>
                <w:rFonts w:eastAsia="Times New Roman" w:cs="Calibri"/>
                <w:sz w:val="22"/>
                <w:szCs w:val="22"/>
                <w:lang w:eastAsia="sk-SK"/>
              </w:rPr>
              <w:t>FCHPT</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16A41" w14:textId="06EB81BA" w:rsidR="00882704" w:rsidRPr="0053555E" w:rsidRDefault="00882704" w:rsidP="00882704">
            <w:pPr>
              <w:jc w:val="center"/>
              <w:rPr>
                <w:rFonts w:eastAsia="Times New Roman" w:cs="Calibri"/>
                <w:sz w:val="22"/>
                <w:szCs w:val="22"/>
                <w:lang w:eastAsia="sk-SK"/>
              </w:rPr>
            </w:pPr>
            <w:r w:rsidRPr="0053555E">
              <w:rPr>
                <w:rFonts w:cs="Calibri"/>
                <w:sz w:val="22"/>
                <w:szCs w:val="22"/>
              </w:rPr>
              <w:t>10</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62E22" w14:textId="092E0045" w:rsidR="00882704" w:rsidRPr="0053555E" w:rsidRDefault="00882704" w:rsidP="00882704">
            <w:pPr>
              <w:jc w:val="center"/>
              <w:rPr>
                <w:rFonts w:eastAsia="Times New Roman" w:cs="Calibri"/>
                <w:sz w:val="22"/>
                <w:szCs w:val="22"/>
                <w:lang w:eastAsia="sk-SK"/>
              </w:rPr>
            </w:pPr>
            <w:r w:rsidRPr="0053555E">
              <w:rPr>
                <w:rFonts w:cs="Calibri"/>
                <w:sz w:val="22"/>
                <w:szCs w:val="22"/>
              </w:rPr>
              <w:t>10</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4A531" w14:textId="09E09F40" w:rsidR="00882704" w:rsidRPr="0053555E" w:rsidRDefault="00882704" w:rsidP="00882704">
            <w:pPr>
              <w:jc w:val="center"/>
              <w:rPr>
                <w:rFonts w:eastAsia="Times New Roman" w:cs="Calibri"/>
                <w:sz w:val="22"/>
                <w:szCs w:val="22"/>
                <w:lang w:eastAsia="sk-SK"/>
              </w:rPr>
            </w:pPr>
            <w:r w:rsidRPr="0053555E">
              <w:rPr>
                <w:rFonts w:cs="Calibri"/>
                <w:sz w:val="22"/>
                <w:szCs w:val="22"/>
              </w:rPr>
              <w:t>10</w:t>
            </w:r>
          </w:p>
        </w:tc>
        <w:tc>
          <w:tcPr>
            <w:tcW w:w="6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236A6" w14:textId="768DA64E" w:rsidR="00882704" w:rsidRPr="0053555E" w:rsidRDefault="00882704" w:rsidP="00882704">
            <w:pPr>
              <w:jc w:val="center"/>
              <w:rPr>
                <w:rFonts w:eastAsia="Times New Roman" w:cs="Calibri"/>
                <w:sz w:val="22"/>
                <w:szCs w:val="22"/>
                <w:lang w:eastAsia="sk-SK"/>
              </w:rPr>
            </w:pPr>
            <w:r w:rsidRPr="0053555E">
              <w:rPr>
                <w:rFonts w:cs="Calibri"/>
                <w:sz w:val="22"/>
                <w:szCs w:val="22"/>
              </w:rPr>
              <w:t>10</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73CDF" w14:textId="1BF6D43C" w:rsidR="00882704" w:rsidRPr="0053555E" w:rsidRDefault="00882704" w:rsidP="00882704">
            <w:pPr>
              <w:jc w:val="center"/>
              <w:rPr>
                <w:rFonts w:eastAsia="Times New Roman" w:cs="Calibri"/>
                <w:sz w:val="22"/>
                <w:szCs w:val="22"/>
                <w:lang w:eastAsia="sk-SK"/>
              </w:rPr>
            </w:pPr>
            <w:r w:rsidRPr="0053555E">
              <w:rPr>
                <w:rFonts w:cs="Calibri"/>
                <w:sz w:val="22"/>
                <w:szCs w:val="22"/>
              </w:rPr>
              <w:t>15</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70430" w14:textId="08BC8B82" w:rsidR="00882704" w:rsidRPr="0053555E" w:rsidRDefault="00882704" w:rsidP="00882704">
            <w:pPr>
              <w:jc w:val="center"/>
              <w:rPr>
                <w:rFonts w:eastAsia="Times New Roman" w:cs="Calibri"/>
                <w:sz w:val="22"/>
                <w:szCs w:val="22"/>
                <w:lang w:eastAsia="sk-SK"/>
              </w:rPr>
            </w:pPr>
            <w:r w:rsidRPr="0053555E">
              <w:rPr>
                <w:rFonts w:cs="Calibri"/>
                <w:sz w:val="22"/>
                <w:szCs w:val="22"/>
              </w:rPr>
              <w:t>14</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882B9" w14:textId="7DF61F59" w:rsidR="00882704" w:rsidRPr="0053555E" w:rsidRDefault="00882704" w:rsidP="00882704">
            <w:pPr>
              <w:jc w:val="center"/>
              <w:rPr>
                <w:rFonts w:eastAsia="Times New Roman" w:cs="Calibri"/>
                <w:sz w:val="22"/>
                <w:szCs w:val="22"/>
                <w:lang w:eastAsia="sk-SK"/>
              </w:rPr>
            </w:pPr>
            <w:r w:rsidRPr="0053555E">
              <w:rPr>
                <w:rFonts w:cs="Calibri"/>
                <w:sz w:val="22"/>
                <w:szCs w:val="22"/>
              </w:rPr>
              <w:t>12</w:t>
            </w:r>
          </w:p>
        </w:tc>
        <w:tc>
          <w:tcPr>
            <w:tcW w:w="8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BD285" w14:textId="169B257C" w:rsidR="00882704" w:rsidRPr="0053555E" w:rsidRDefault="00882704" w:rsidP="00882704">
            <w:pPr>
              <w:jc w:val="center"/>
              <w:rPr>
                <w:rFonts w:eastAsia="Times New Roman" w:cs="Calibri"/>
                <w:sz w:val="22"/>
                <w:szCs w:val="22"/>
                <w:lang w:eastAsia="sk-SK"/>
              </w:rPr>
            </w:pPr>
            <w:r w:rsidRPr="0053555E">
              <w:rPr>
                <w:rFonts w:cs="Calibri"/>
                <w:sz w:val="22"/>
                <w:szCs w:val="22"/>
              </w:rPr>
              <w:t>12</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7ED98" w14:textId="0168A32C" w:rsidR="00882704" w:rsidRPr="0053555E" w:rsidRDefault="00882704" w:rsidP="00882704">
            <w:pPr>
              <w:jc w:val="center"/>
              <w:rPr>
                <w:rFonts w:eastAsia="Times New Roman" w:cs="Calibri"/>
                <w:sz w:val="22"/>
                <w:szCs w:val="22"/>
                <w:lang w:eastAsia="sk-SK"/>
              </w:rPr>
            </w:pPr>
            <w:r w:rsidRPr="0053555E">
              <w:rPr>
                <w:rFonts w:cs="Calibri"/>
                <w:sz w:val="22"/>
                <w:szCs w:val="22"/>
              </w:rPr>
              <w:t>47</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29950" w14:textId="462F2123" w:rsidR="00882704" w:rsidRPr="0053555E" w:rsidRDefault="00882704" w:rsidP="00882704">
            <w:pPr>
              <w:jc w:val="center"/>
              <w:rPr>
                <w:rFonts w:eastAsia="Times New Roman" w:cs="Calibri"/>
                <w:sz w:val="22"/>
                <w:szCs w:val="22"/>
                <w:lang w:eastAsia="sk-SK"/>
              </w:rPr>
            </w:pPr>
            <w:r w:rsidRPr="0053555E">
              <w:rPr>
                <w:rFonts w:cs="Calibri"/>
                <w:sz w:val="22"/>
                <w:szCs w:val="22"/>
              </w:rPr>
              <w:t>46</w:t>
            </w:r>
          </w:p>
        </w:tc>
        <w:tc>
          <w:tcPr>
            <w:tcW w:w="803" w:type="dxa"/>
            <w:tcBorders>
              <w:top w:val="nil"/>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75D07BA2" w14:textId="244B39AD"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93</w:t>
            </w:r>
          </w:p>
        </w:tc>
      </w:tr>
      <w:tr w:rsidR="00882704" w:rsidRPr="0053555E" w14:paraId="549C1632" w14:textId="77777777" w:rsidTr="001F29FE">
        <w:trPr>
          <w:divId w:val="254558966"/>
          <w:trHeight w:val="300"/>
        </w:trPr>
        <w:tc>
          <w:tcPr>
            <w:tcW w:w="7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EAD49" w14:textId="77777777" w:rsidR="00882704" w:rsidRPr="0053555E" w:rsidRDefault="00882704" w:rsidP="00882704">
            <w:pPr>
              <w:rPr>
                <w:rFonts w:eastAsia="Times New Roman" w:cs="Calibri"/>
                <w:sz w:val="22"/>
                <w:szCs w:val="22"/>
                <w:lang w:eastAsia="sk-SK"/>
              </w:rPr>
            </w:pPr>
            <w:r w:rsidRPr="0053555E">
              <w:rPr>
                <w:rFonts w:eastAsia="Times New Roman" w:cs="Calibri"/>
                <w:sz w:val="22"/>
                <w:szCs w:val="22"/>
                <w:lang w:eastAsia="sk-SK"/>
              </w:rPr>
              <w:t>FAD</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A99B1" w14:textId="473EF233" w:rsidR="00882704" w:rsidRPr="0053555E" w:rsidRDefault="00882704" w:rsidP="00882704">
            <w:pPr>
              <w:jc w:val="center"/>
              <w:rPr>
                <w:rFonts w:eastAsia="Times New Roman" w:cs="Calibri"/>
                <w:sz w:val="22"/>
                <w:szCs w:val="22"/>
                <w:lang w:eastAsia="sk-SK"/>
              </w:rPr>
            </w:pPr>
            <w:r w:rsidRPr="0053555E">
              <w:rPr>
                <w:rFonts w:cs="Calibri"/>
                <w:sz w:val="22"/>
                <w:szCs w:val="22"/>
              </w:rPr>
              <w:t>2</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702C7" w14:textId="710C4A33" w:rsidR="00882704" w:rsidRPr="0053555E" w:rsidRDefault="00882704" w:rsidP="00882704">
            <w:pPr>
              <w:jc w:val="center"/>
              <w:rPr>
                <w:rFonts w:eastAsia="Times New Roman" w:cs="Calibri"/>
                <w:sz w:val="22"/>
                <w:szCs w:val="22"/>
                <w:lang w:eastAsia="sk-SK"/>
              </w:rPr>
            </w:pPr>
            <w:r w:rsidRPr="0053555E">
              <w:rPr>
                <w:rFonts w:cs="Calibri"/>
                <w:sz w:val="22"/>
                <w:szCs w:val="22"/>
              </w:rPr>
              <w:t>1</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26049" w14:textId="0CB8CC26" w:rsidR="00882704" w:rsidRPr="0053555E" w:rsidRDefault="00882704" w:rsidP="00882704">
            <w:pPr>
              <w:jc w:val="center"/>
              <w:rPr>
                <w:rFonts w:eastAsia="Times New Roman" w:cs="Calibri"/>
                <w:sz w:val="22"/>
                <w:szCs w:val="22"/>
                <w:lang w:eastAsia="sk-SK"/>
              </w:rPr>
            </w:pPr>
            <w:r w:rsidRPr="0053555E">
              <w:rPr>
                <w:rFonts w:cs="Calibri"/>
                <w:sz w:val="22"/>
                <w:szCs w:val="22"/>
              </w:rPr>
              <w:t>2</w:t>
            </w:r>
          </w:p>
        </w:tc>
        <w:tc>
          <w:tcPr>
            <w:tcW w:w="6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4C21D" w14:textId="4E9794E0" w:rsidR="00882704" w:rsidRPr="0053555E" w:rsidRDefault="00882704" w:rsidP="00882704">
            <w:pPr>
              <w:jc w:val="center"/>
              <w:rPr>
                <w:rFonts w:eastAsia="Times New Roman" w:cs="Calibri"/>
                <w:sz w:val="22"/>
                <w:szCs w:val="22"/>
                <w:lang w:eastAsia="sk-SK"/>
              </w:rPr>
            </w:pPr>
            <w:r w:rsidRPr="0053555E">
              <w:rPr>
                <w:rFonts w:cs="Calibri"/>
                <w:sz w:val="22"/>
                <w:szCs w:val="22"/>
              </w:rPr>
              <w:t>1</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79419" w14:textId="68D31A60" w:rsidR="00882704" w:rsidRPr="0053555E" w:rsidRDefault="00882704" w:rsidP="00882704">
            <w:pPr>
              <w:jc w:val="center"/>
              <w:rPr>
                <w:rFonts w:eastAsia="Times New Roman" w:cs="Calibri"/>
                <w:sz w:val="22"/>
                <w:szCs w:val="22"/>
                <w:lang w:eastAsia="sk-SK"/>
              </w:rPr>
            </w:pPr>
            <w:r w:rsidRPr="0053555E">
              <w:rPr>
                <w:rFonts w:cs="Calibri"/>
                <w:sz w:val="22"/>
                <w:szCs w:val="22"/>
              </w:rPr>
              <w:t>2</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95A72" w14:textId="0D8D2CA8" w:rsidR="00882704" w:rsidRPr="0053555E" w:rsidRDefault="00882704" w:rsidP="00882704">
            <w:pPr>
              <w:jc w:val="center"/>
              <w:rPr>
                <w:rFonts w:eastAsia="Times New Roman" w:cs="Calibri"/>
                <w:sz w:val="22"/>
                <w:szCs w:val="22"/>
                <w:lang w:eastAsia="sk-SK"/>
              </w:rPr>
            </w:pPr>
            <w:r w:rsidRPr="0053555E">
              <w:rPr>
                <w:rFonts w:cs="Calibri"/>
                <w:sz w:val="22"/>
                <w:szCs w:val="22"/>
              </w:rPr>
              <w:t>1</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FBFAC" w14:textId="4711C8EF" w:rsidR="00882704" w:rsidRPr="0053555E" w:rsidRDefault="00882704" w:rsidP="00882704">
            <w:pPr>
              <w:jc w:val="center"/>
              <w:rPr>
                <w:rFonts w:eastAsia="Times New Roman" w:cs="Calibri"/>
                <w:sz w:val="22"/>
                <w:szCs w:val="22"/>
                <w:lang w:eastAsia="sk-SK"/>
              </w:rPr>
            </w:pPr>
            <w:r w:rsidRPr="0053555E">
              <w:rPr>
                <w:rFonts w:cs="Calibri"/>
                <w:sz w:val="22"/>
                <w:szCs w:val="22"/>
              </w:rPr>
              <w:t>2</w:t>
            </w:r>
          </w:p>
        </w:tc>
        <w:tc>
          <w:tcPr>
            <w:tcW w:w="8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917C8" w14:textId="5C7A00BC" w:rsidR="00882704" w:rsidRPr="0053555E" w:rsidRDefault="00882704" w:rsidP="00882704">
            <w:pPr>
              <w:jc w:val="center"/>
              <w:rPr>
                <w:rFonts w:eastAsia="Times New Roman" w:cs="Calibri"/>
                <w:sz w:val="22"/>
                <w:szCs w:val="22"/>
                <w:lang w:eastAsia="sk-SK"/>
              </w:rPr>
            </w:pPr>
            <w:r w:rsidRPr="0053555E">
              <w:rPr>
                <w:rFonts w:cs="Calibri"/>
                <w:sz w:val="22"/>
                <w:szCs w:val="22"/>
              </w:rPr>
              <w:t>1</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21585" w14:textId="4241C95D" w:rsidR="00882704" w:rsidRPr="0053555E" w:rsidRDefault="00882704" w:rsidP="00882704">
            <w:pPr>
              <w:jc w:val="center"/>
              <w:rPr>
                <w:rFonts w:eastAsia="Times New Roman" w:cs="Calibri"/>
                <w:sz w:val="22"/>
                <w:szCs w:val="22"/>
                <w:lang w:eastAsia="sk-SK"/>
              </w:rPr>
            </w:pPr>
            <w:r w:rsidRPr="0053555E">
              <w:rPr>
                <w:rFonts w:cs="Calibri"/>
                <w:sz w:val="22"/>
                <w:szCs w:val="22"/>
              </w:rPr>
              <w:t>8</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05C32" w14:textId="7B71256A" w:rsidR="00882704" w:rsidRPr="0053555E" w:rsidRDefault="00882704" w:rsidP="00882704">
            <w:pPr>
              <w:jc w:val="center"/>
              <w:rPr>
                <w:rFonts w:eastAsia="Times New Roman" w:cs="Calibri"/>
                <w:sz w:val="22"/>
                <w:szCs w:val="22"/>
                <w:lang w:eastAsia="sk-SK"/>
              </w:rPr>
            </w:pPr>
            <w:r w:rsidRPr="0053555E">
              <w:rPr>
                <w:rFonts w:cs="Calibri"/>
                <w:sz w:val="22"/>
                <w:szCs w:val="22"/>
              </w:rPr>
              <w:t>4</w:t>
            </w:r>
          </w:p>
        </w:tc>
        <w:tc>
          <w:tcPr>
            <w:tcW w:w="803" w:type="dxa"/>
            <w:tcBorders>
              <w:top w:val="nil"/>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4FADAB93" w14:textId="4D593EDD"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12</w:t>
            </w:r>
          </w:p>
        </w:tc>
      </w:tr>
      <w:tr w:rsidR="00882704" w:rsidRPr="0053555E" w14:paraId="1742D713" w14:textId="77777777" w:rsidTr="001F29FE">
        <w:trPr>
          <w:divId w:val="254558966"/>
          <w:trHeight w:val="300"/>
        </w:trPr>
        <w:tc>
          <w:tcPr>
            <w:tcW w:w="7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C564F" w14:textId="77777777" w:rsidR="00882704" w:rsidRPr="0053555E" w:rsidRDefault="00882704" w:rsidP="00882704">
            <w:pPr>
              <w:rPr>
                <w:rFonts w:eastAsia="Times New Roman" w:cs="Calibri"/>
                <w:sz w:val="22"/>
                <w:szCs w:val="22"/>
                <w:lang w:eastAsia="sk-SK"/>
              </w:rPr>
            </w:pPr>
            <w:r w:rsidRPr="0053555E">
              <w:rPr>
                <w:rFonts w:eastAsia="Times New Roman" w:cs="Calibri"/>
                <w:sz w:val="22"/>
                <w:szCs w:val="22"/>
                <w:lang w:eastAsia="sk-SK"/>
              </w:rPr>
              <w:t>MTF</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7B585" w14:textId="2E66780C" w:rsidR="00882704" w:rsidRPr="0053555E" w:rsidRDefault="00882704" w:rsidP="00882704">
            <w:pPr>
              <w:jc w:val="center"/>
              <w:rPr>
                <w:rFonts w:eastAsia="Times New Roman" w:cs="Calibri"/>
                <w:sz w:val="22"/>
                <w:szCs w:val="22"/>
                <w:lang w:eastAsia="sk-SK"/>
              </w:rPr>
            </w:pPr>
            <w:r w:rsidRPr="0053555E">
              <w:rPr>
                <w:rFonts w:cs="Calibri"/>
                <w:sz w:val="22"/>
                <w:szCs w:val="22"/>
              </w:rPr>
              <w:t>8</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B7839" w14:textId="370BD3BD" w:rsidR="00882704" w:rsidRPr="0053555E" w:rsidRDefault="00882704" w:rsidP="00882704">
            <w:pPr>
              <w:jc w:val="center"/>
              <w:rPr>
                <w:rFonts w:eastAsia="Times New Roman" w:cs="Calibri"/>
                <w:sz w:val="22"/>
                <w:szCs w:val="22"/>
                <w:lang w:eastAsia="sk-SK"/>
              </w:rPr>
            </w:pPr>
            <w:r w:rsidRPr="0053555E">
              <w:rPr>
                <w:rFonts w:cs="Calibri"/>
                <w:sz w:val="22"/>
                <w:szCs w:val="22"/>
              </w:rPr>
              <w:t>0</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0096E" w14:textId="730645B1" w:rsidR="00882704" w:rsidRPr="0053555E" w:rsidRDefault="00882704" w:rsidP="00882704">
            <w:pPr>
              <w:jc w:val="center"/>
              <w:rPr>
                <w:rFonts w:eastAsia="Times New Roman" w:cs="Calibri"/>
                <w:sz w:val="22"/>
                <w:szCs w:val="22"/>
                <w:lang w:eastAsia="sk-SK"/>
              </w:rPr>
            </w:pPr>
            <w:r w:rsidRPr="0053555E">
              <w:rPr>
                <w:rFonts w:cs="Calibri"/>
                <w:sz w:val="22"/>
                <w:szCs w:val="22"/>
              </w:rPr>
              <w:t>6</w:t>
            </w:r>
          </w:p>
        </w:tc>
        <w:tc>
          <w:tcPr>
            <w:tcW w:w="6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66647" w14:textId="3E716D53" w:rsidR="00882704" w:rsidRPr="0053555E" w:rsidRDefault="00882704" w:rsidP="00882704">
            <w:pPr>
              <w:jc w:val="center"/>
              <w:rPr>
                <w:rFonts w:eastAsia="Times New Roman" w:cs="Calibri"/>
                <w:sz w:val="22"/>
                <w:szCs w:val="22"/>
                <w:lang w:eastAsia="sk-SK"/>
              </w:rPr>
            </w:pPr>
            <w:r w:rsidRPr="0053555E">
              <w:rPr>
                <w:rFonts w:cs="Calibri"/>
                <w:sz w:val="22"/>
                <w:szCs w:val="22"/>
              </w:rPr>
              <w:t>0</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E76CD" w14:textId="48C07E7A" w:rsidR="00882704" w:rsidRPr="0053555E" w:rsidRDefault="00882704" w:rsidP="00882704">
            <w:pPr>
              <w:jc w:val="center"/>
              <w:rPr>
                <w:rFonts w:eastAsia="Times New Roman" w:cs="Calibri"/>
                <w:sz w:val="22"/>
                <w:szCs w:val="22"/>
                <w:lang w:eastAsia="sk-SK"/>
              </w:rPr>
            </w:pPr>
            <w:r w:rsidRPr="0053555E">
              <w:rPr>
                <w:rFonts w:cs="Calibri"/>
                <w:sz w:val="22"/>
                <w:szCs w:val="22"/>
              </w:rPr>
              <w:t>5</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07B79" w14:textId="50B1746C" w:rsidR="00882704" w:rsidRPr="0053555E" w:rsidRDefault="00882704" w:rsidP="00882704">
            <w:pPr>
              <w:jc w:val="center"/>
              <w:rPr>
                <w:rFonts w:eastAsia="Times New Roman" w:cs="Calibri"/>
                <w:sz w:val="22"/>
                <w:szCs w:val="22"/>
                <w:lang w:eastAsia="sk-SK"/>
              </w:rPr>
            </w:pPr>
            <w:r w:rsidRPr="0053555E">
              <w:rPr>
                <w:rFonts w:cs="Calibri"/>
                <w:sz w:val="22"/>
                <w:szCs w:val="22"/>
              </w:rPr>
              <w:t>4</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DCB77" w14:textId="2EBBDA23" w:rsidR="00882704" w:rsidRPr="0053555E" w:rsidRDefault="00882704" w:rsidP="00882704">
            <w:pPr>
              <w:jc w:val="center"/>
              <w:rPr>
                <w:rFonts w:eastAsia="Times New Roman" w:cs="Calibri"/>
                <w:sz w:val="22"/>
                <w:szCs w:val="22"/>
                <w:lang w:eastAsia="sk-SK"/>
              </w:rPr>
            </w:pPr>
            <w:r w:rsidRPr="0053555E">
              <w:rPr>
                <w:rFonts w:cs="Calibri"/>
                <w:sz w:val="22"/>
                <w:szCs w:val="22"/>
              </w:rPr>
              <w:t>5</w:t>
            </w:r>
          </w:p>
        </w:tc>
        <w:tc>
          <w:tcPr>
            <w:tcW w:w="8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36D65" w14:textId="22CCD3C6" w:rsidR="00882704" w:rsidRPr="0053555E" w:rsidRDefault="00882704" w:rsidP="00882704">
            <w:pPr>
              <w:jc w:val="center"/>
              <w:rPr>
                <w:rFonts w:eastAsia="Times New Roman" w:cs="Calibri"/>
                <w:sz w:val="22"/>
                <w:szCs w:val="22"/>
                <w:lang w:eastAsia="sk-SK"/>
              </w:rPr>
            </w:pPr>
            <w:r w:rsidRPr="0053555E">
              <w:rPr>
                <w:rFonts w:cs="Calibri"/>
                <w:sz w:val="22"/>
                <w:szCs w:val="22"/>
              </w:rPr>
              <w:t>4</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89B60" w14:textId="409197A3" w:rsidR="00882704" w:rsidRPr="0053555E" w:rsidRDefault="00882704" w:rsidP="00882704">
            <w:pPr>
              <w:jc w:val="center"/>
              <w:rPr>
                <w:rFonts w:eastAsia="Times New Roman" w:cs="Calibri"/>
                <w:sz w:val="22"/>
                <w:szCs w:val="22"/>
                <w:lang w:eastAsia="sk-SK"/>
              </w:rPr>
            </w:pPr>
            <w:r w:rsidRPr="0053555E">
              <w:rPr>
                <w:rFonts w:cs="Calibri"/>
                <w:sz w:val="22"/>
                <w:szCs w:val="22"/>
              </w:rPr>
              <w:t>24</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D89FD" w14:textId="55DD5C8D" w:rsidR="00882704" w:rsidRPr="0053555E" w:rsidRDefault="00882704" w:rsidP="00882704">
            <w:pPr>
              <w:jc w:val="center"/>
              <w:rPr>
                <w:rFonts w:eastAsia="Times New Roman" w:cs="Calibri"/>
                <w:sz w:val="22"/>
                <w:szCs w:val="22"/>
                <w:lang w:eastAsia="sk-SK"/>
              </w:rPr>
            </w:pPr>
            <w:r w:rsidRPr="0053555E">
              <w:rPr>
                <w:rFonts w:cs="Calibri"/>
                <w:sz w:val="22"/>
                <w:szCs w:val="22"/>
              </w:rPr>
              <w:t>8</w:t>
            </w:r>
          </w:p>
        </w:tc>
        <w:tc>
          <w:tcPr>
            <w:tcW w:w="803" w:type="dxa"/>
            <w:tcBorders>
              <w:top w:val="nil"/>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63A3A020" w14:textId="01B83092"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32</w:t>
            </w:r>
          </w:p>
        </w:tc>
      </w:tr>
      <w:tr w:rsidR="00882704" w:rsidRPr="0053555E" w14:paraId="0DCE40B1" w14:textId="77777777" w:rsidTr="001F29FE">
        <w:trPr>
          <w:divId w:val="254558966"/>
          <w:trHeight w:val="300"/>
        </w:trPr>
        <w:tc>
          <w:tcPr>
            <w:tcW w:w="7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1B982" w14:textId="77777777" w:rsidR="00882704" w:rsidRPr="0053555E" w:rsidRDefault="00882704" w:rsidP="00882704">
            <w:pPr>
              <w:rPr>
                <w:rFonts w:eastAsia="Times New Roman" w:cs="Calibri"/>
                <w:sz w:val="22"/>
                <w:szCs w:val="22"/>
                <w:lang w:eastAsia="sk-SK"/>
              </w:rPr>
            </w:pPr>
            <w:r w:rsidRPr="0053555E">
              <w:rPr>
                <w:rFonts w:eastAsia="Times New Roman" w:cs="Calibri"/>
                <w:sz w:val="22"/>
                <w:szCs w:val="22"/>
                <w:lang w:eastAsia="sk-SK"/>
              </w:rPr>
              <w:t>FIIT</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6A69D" w14:textId="3AF8AD2F" w:rsidR="00882704" w:rsidRPr="0053555E" w:rsidRDefault="00882704" w:rsidP="00882704">
            <w:pPr>
              <w:jc w:val="center"/>
              <w:rPr>
                <w:rFonts w:eastAsia="Times New Roman" w:cs="Calibri"/>
                <w:sz w:val="22"/>
                <w:szCs w:val="22"/>
                <w:lang w:eastAsia="sk-SK"/>
              </w:rPr>
            </w:pPr>
            <w:r w:rsidRPr="0053555E">
              <w:rPr>
                <w:rFonts w:cs="Calibri"/>
                <w:sz w:val="22"/>
                <w:szCs w:val="22"/>
              </w:rPr>
              <w:t>2</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2AE93" w14:textId="5C127900" w:rsidR="00882704" w:rsidRPr="0053555E" w:rsidRDefault="00882704" w:rsidP="00882704">
            <w:pPr>
              <w:jc w:val="center"/>
              <w:rPr>
                <w:rFonts w:eastAsia="Times New Roman" w:cs="Calibri"/>
                <w:sz w:val="22"/>
                <w:szCs w:val="22"/>
                <w:lang w:eastAsia="sk-SK"/>
              </w:rPr>
            </w:pPr>
            <w:r w:rsidRPr="0053555E">
              <w:rPr>
                <w:rFonts w:cs="Calibri"/>
                <w:sz w:val="22"/>
                <w:szCs w:val="22"/>
              </w:rPr>
              <w:t>0</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01991" w14:textId="0C345C29" w:rsidR="00882704" w:rsidRPr="0053555E" w:rsidRDefault="00882704" w:rsidP="00882704">
            <w:pPr>
              <w:jc w:val="center"/>
              <w:rPr>
                <w:rFonts w:eastAsia="Times New Roman" w:cs="Calibri"/>
                <w:sz w:val="22"/>
                <w:szCs w:val="22"/>
                <w:lang w:eastAsia="sk-SK"/>
              </w:rPr>
            </w:pPr>
            <w:r w:rsidRPr="0053555E">
              <w:rPr>
                <w:rFonts w:cs="Calibri"/>
                <w:sz w:val="22"/>
                <w:szCs w:val="22"/>
              </w:rPr>
              <w:t>4</w:t>
            </w:r>
          </w:p>
        </w:tc>
        <w:tc>
          <w:tcPr>
            <w:tcW w:w="6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1932F" w14:textId="1DEF037B" w:rsidR="00882704" w:rsidRPr="0053555E" w:rsidRDefault="00882704" w:rsidP="00882704">
            <w:pPr>
              <w:jc w:val="center"/>
              <w:rPr>
                <w:rFonts w:eastAsia="Times New Roman" w:cs="Calibri"/>
                <w:sz w:val="22"/>
                <w:szCs w:val="22"/>
                <w:lang w:eastAsia="sk-SK"/>
              </w:rPr>
            </w:pPr>
            <w:r w:rsidRPr="0053555E">
              <w:rPr>
                <w:rFonts w:cs="Calibri"/>
                <w:sz w:val="22"/>
                <w:szCs w:val="22"/>
              </w:rPr>
              <w:t>0</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8652B" w14:textId="47AAA76E" w:rsidR="00882704" w:rsidRPr="0053555E" w:rsidRDefault="00882704" w:rsidP="00882704">
            <w:pPr>
              <w:jc w:val="center"/>
              <w:rPr>
                <w:rFonts w:eastAsia="Times New Roman" w:cs="Calibri"/>
                <w:sz w:val="22"/>
                <w:szCs w:val="22"/>
                <w:lang w:eastAsia="sk-SK"/>
              </w:rPr>
            </w:pPr>
            <w:r w:rsidRPr="0053555E">
              <w:rPr>
                <w:rFonts w:cs="Calibri"/>
                <w:sz w:val="22"/>
                <w:szCs w:val="22"/>
              </w:rPr>
              <w:t>1</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DD61A" w14:textId="282A27A2" w:rsidR="00882704" w:rsidRPr="0053555E" w:rsidRDefault="00882704" w:rsidP="00882704">
            <w:pPr>
              <w:jc w:val="center"/>
              <w:rPr>
                <w:rFonts w:eastAsia="Times New Roman" w:cs="Calibri"/>
                <w:sz w:val="22"/>
                <w:szCs w:val="22"/>
                <w:lang w:eastAsia="sk-SK"/>
              </w:rPr>
            </w:pPr>
            <w:r w:rsidRPr="0053555E">
              <w:rPr>
                <w:rFonts w:cs="Calibri"/>
                <w:sz w:val="22"/>
                <w:szCs w:val="22"/>
              </w:rPr>
              <w:t>1</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B4EC1" w14:textId="3850B91E" w:rsidR="00882704" w:rsidRPr="0053555E" w:rsidRDefault="00882704" w:rsidP="00882704">
            <w:pPr>
              <w:jc w:val="center"/>
              <w:rPr>
                <w:rFonts w:eastAsia="Times New Roman" w:cs="Calibri"/>
                <w:sz w:val="22"/>
                <w:szCs w:val="22"/>
                <w:lang w:eastAsia="sk-SK"/>
              </w:rPr>
            </w:pPr>
            <w:r w:rsidRPr="0053555E">
              <w:rPr>
                <w:rFonts w:cs="Calibri"/>
                <w:sz w:val="22"/>
                <w:szCs w:val="22"/>
              </w:rPr>
              <w:t>1</w:t>
            </w:r>
          </w:p>
        </w:tc>
        <w:tc>
          <w:tcPr>
            <w:tcW w:w="8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91B81" w14:textId="56C20844" w:rsidR="00882704" w:rsidRPr="0053555E" w:rsidRDefault="00882704" w:rsidP="00882704">
            <w:pPr>
              <w:jc w:val="center"/>
              <w:rPr>
                <w:rFonts w:eastAsia="Times New Roman" w:cs="Calibri"/>
                <w:sz w:val="22"/>
                <w:szCs w:val="22"/>
                <w:lang w:eastAsia="sk-SK"/>
              </w:rPr>
            </w:pPr>
            <w:r w:rsidRPr="0053555E">
              <w:rPr>
                <w:rFonts w:cs="Calibri"/>
                <w:sz w:val="22"/>
                <w:szCs w:val="22"/>
              </w:rPr>
              <w:t>1</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0F217" w14:textId="37FCA4F9" w:rsidR="00882704" w:rsidRPr="0053555E" w:rsidRDefault="00882704" w:rsidP="00882704">
            <w:pPr>
              <w:jc w:val="center"/>
              <w:rPr>
                <w:rFonts w:eastAsia="Times New Roman" w:cs="Calibri"/>
                <w:sz w:val="22"/>
                <w:szCs w:val="22"/>
                <w:lang w:eastAsia="sk-SK"/>
              </w:rPr>
            </w:pPr>
            <w:r w:rsidRPr="0053555E">
              <w:rPr>
                <w:rFonts w:cs="Calibri"/>
                <w:sz w:val="22"/>
                <w:szCs w:val="22"/>
              </w:rPr>
              <w:t>8</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4281C" w14:textId="459F340A" w:rsidR="00882704" w:rsidRPr="0053555E" w:rsidRDefault="00882704" w:rsidP="00882704">
            <w:pPr>
              <w:jc w:val="center"/>
              <w:rPr>
                <w:rFonts w:eastAsia="Times New Roman" w:cs="Calibri"/>
                <w:sz w:val="22"/>
                <w:szCs w:val="22"/>
                <w:lang w:eastAsia="sk-SK"/>
              </w:rPr>
            </w:pPr>
            <w:r w:rsidRPr="0053555E">
              <w:rPr>
                <w:rFonts w:cs="Calibri"/>
                <w:sz w:val="22"/>
                <w:szCs w:val="22"/>
              </w:rPr>
              <w:t>2</w:t>
            </w:r>
          </w:p>
        </w:tc>
        <w:tc>
          <w:tcPr>
            <w:tcW w:w="803" w:type="dxa"/>
            <w:tcBorders>
              <w:top w:val="nil"/>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40D38626" w14:textId="0FCC9E2F"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10</w:t>
            </w:r>
          </w:p>
        </w:tc>
      </w:tr>
      <w:tr w:rsidR="00882704" w:rsidRPr="0053555E" w14:paraId="044E53AD" w14:textId="77777777" w:rsidTr="00882704">
        <w:trPr>
          <w:divId w:val="254558966"/>
          <w:trHeight w:val="300"/>
        </w:trPr>
        <w:tc>
          <w:tcPr>
            <w:tcW w:w="7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47475" w14:textId="77777777" w:rsidR="00882704" w:rsidRPr="0053555E" w:rsidRDefault="00882704" w:rsidP="00882704">
            <w:pPr>
              <w:rPr>
                <w:rFonts w:eastAsia="Times New Roman" w:cs="Calibri"/>
                <w:sz w:val="22"/>
                <w:szCs w:val="22"/>
                <w:lang w:eastAsia="sk-SK"/>
              </w:rPr>
            </w:pPr>
            <w:r w:rsidRPr="0053555E">
              <w:rPr>
                <w:rFonts w:eastAsia="Times New Roman" w:cs="Calibri"/>
                <w:sz w:val="22"/>
                <w:szCs w:val="22"/>
                <w:lang w:eastAsia="sk-SK"/>
              </w:rPr>
              <w:t>ÚM</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48226" w14:textId="3B683488" w:rsidR="00882704" w:rsidRPr="0053555E" w:rsidRDefault="00882704" w:rsidP="00882704">
            <w:pPr>
              <w:jc w:val="center"/>
              <w:rPr>
                <w:rFonts w:eastAsia="Times New Roman" w:cs="Calibri"/>
                <w:sz w:val="22"/>
                <w:szCs w:val="22"/>
                <w:lang w:eastAsia="sk-SK"/>
              </w:rPr>
            </w:pPr>
            <w:r w:rsidRPr="0053555E">
              <w:rPr>
                <w:rFonts w:cs="Calibri"/>
                <w:sz w:val="22"/>
                <w:szCs w:val="22"/>
              </w:rPr>
              <w:t>2</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1B6E2" w14:textId="42989726" w:rsidR="00882704" w:rsidRPr="0053555E" w:rsidRDefault="00882704" w:rsidP="00882704">
            <w:pPr>
              <w:jc w:val="center"/>
              <w:rPr>
                <w:rFonts w:eastAsia="Times New Roman" w:cs="Calibri"/>
                <w:sz w:val="22"/>
                <w:szCs w:val="22"/>
                <w:lang w:eastAsia="sk-SK"/>
              </w:rPr>
            </w:pPr>
            <w:r w:rsidRPr="0053555E">
              <w:rPr>
                <w:rFonts w:cs="Calibri"/>
                <w:sz w:val="22"/>
                <w:szCs w:val="22"/>
              </w:rPr>
              <w:t>2</w:t>
            </w:r>
          </w:p>
        </w:tc>
        <w:tc>
          <w:tcPr>
            <w:tcW w:w="6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1D617" w14:textId="497D7441" w:rsidR="00882704" w:rsidRPr="0053555E" w:rsidRDefault="00882704" w:rsidP="00882704">
            <w:pPr>
              <w:jc w:val="center"/>
              <w:rPr>
                <w:rFonts w:eastAsia="Times New Roman" w:cs="Calibri"/>
                <w:sz w:val="22"/>
                <w:szCs w:val="22"/>
                <w:lang w:eastAsia="sk-SK"/>
              </w:rPr>
            </w:pPr>
            <w:r w:rsidRPr="0053555E">
              <w:rPr>
                <w:rFonts w:cs="Calibri"/>
                <w:sz w:val="22"/>
                <w:szCs w:val="22"/>
              </w:rPr>
              <w:t>2</w:t>
            </w:r>
          </w:p>
        </w:tc>
        <w:tc>
          <w:tcPr>
            <w:tcW w:w="6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F0FF7" w14:textId="2B8D9B0E" w:rsidR="00882704" w:rsidRPr="0053555E" w:rsidRDefault="00882704" w:rsidP="00882704">
            <w:pPr>
              <w:jc w:val="center"/>
              <w:rPr>
                <w:rFonts w:eastAsia="Times New Roman" w:cs="Calibri"/>
                <w:sz w:val="22"/>
                <w:szCs w:val="22"/>
                <w:lang w:eastAsia="sk-SK"/>
              </w:rPr>
            </w:pPr>
            <w:r w:rsidRPr="0053555E">
              <w:rPr>
                <w:rFonts w:cs="Calibri"/>
                <w:sz w:val="22"/>
                <w:szCs w:val="22"/>
              </w:rPr>
              <w:t>2</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447E1" w14:textId="078D10C7" w:rsidR="00882704" w:rsidRPr="0053555E" w:rsidRDefault="00882704" w:rsidP="00882704">
            <w:pPr>
              <w:jc w:val="center"/>
              <w:rPr>
                <w:rFonts w:eastAsia="Times New Roman" w:cs="Calibri"/>
                <w:sz w:val="22"/>
                <w:szCs w:val="22"/>
                <w:lang w:eastAsia="sk-SK"/>
              </w:rPr>
            </w:pPr>
            <w:r w:rsidRPr="0053555E">
              <w:rPr>
                <w:rFonts w:cs="Calibri"/>
                <w:sz w:val="22"/>
                <w:szCs w:val="22"/>
              </w:rPr>
              <w:t>2</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651B6" w14:textId="4B6DBDEE" w:rsidR="00882704" w:rsidRPr="0053555E" w:rsidRDefault="00882704" w:rsidP="00882704">
            <w:pPr>
              <w:jc w:val="center"/>
              <w:rPr>
                <w:rFonts w:eastAsia="Times New Roman" w:cs="Calibri"/>
                <w:sz w:val="22"/>
                <w:szCs w:val="22"/>
                <w:lang w:eastAsia="sk-SK"/>
              </w:rPr>
            </w:pPr>
            <w:r w:rsidRPr="0053555E">
              <w:rPr>
                <w:rFonts w:cs="Calibri"/>
                <w:sz w:val="22"/>
                <w:szCs w:val="22"/>
              </w:rPr>
              <w:t>2</w:t>
            </w:r>
          </w:p>
        </w:tc>
        <w:tc>
          <w:tcPr>
            <w:tcW w:w="8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99E31" w14:textId="6E5F0786" w:rsidR="00882704" w:rsidRPr="0053555E" w:rsidRDefault="00882704" w:rsidP="00882704">
            <w:pPr>
              <w:jc w:val="center"/>
              <w:rPr>
                <w:rFonts w:eastAsia="Times New Roman" w:cs="Calibri"/>
                <w:sz w:val="22"/>
                <w:szCs w:val="22"/>
                <w:lang w:eastAsia="sk-SK"/>
              </w:rPr>
            </w:pPr>
            <w:r w:rsidRPr="0053555E">
              <w:rPr>
                <w:rFonts w:cs="Calibri"/>
                <w:sz w:val="22"/>
                <w:szCs w:val="22"/>
              </w:rPr>
              <w:t>2</w:t>
            </w:r>
          </w:p>
        </w:tc>
        <w:tc>
          <w:tcPr>
            <w:tcW w:w="8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68701" w14:textId="670F8893" w:rsidR="00882704" w:rsidRPr="0053555E" w:rsidRDefault="00882704" w:rsidP="00882704">
            <w:pPr>
              <w:jc w:val="center"/>
              <w:rPr>
                <w:rFonts w:eastAsia="Times New Roman" w:cs="Calibri"/>
                <w:sz w:val="22"/>
                <w:szCs w:val="22"/>
                <w:lang w:eastAsia="sk-SK"/>
              </w:rPr>
            </w:pPr>
            <w:r w:rsidRPr="0053555E">
              <w:rPr>
                <w:rFonts w:cs="Calibri"/>
                <w:sz w:val="22"/>
                <w:szCs w:val="22"/>
              </w:rPr>
              <w:t>2</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61CF6" w14:textId="0000B2D8" w:rsidR="00882704" w:rsidRPr="0053555E" w:rsidRDefault="00882704" w:rsidP="00882704">
            <w:pPr>
              <w:jc w:val="center"/>
              <w:rPr>
                <w:rFonts w:eastAsia="Times New Roman" w:cs="Calibri"/>
                <w:sz w:val="22"/>
                <w:szCs w:val="22"/>
                <w:lang w:eastAsia="sk-SK"/>
              </w:rPr>
            </w:pPr>
            <w:r w:rsidRPr="0053555E">
              <w:rPr>
                <w:rFonts w:cs="Calibri"/>
                <w:sz w:val="22"/>
                <w:szCs w:val="22"/>
              </w:rPr>
              <w:t>8</w:t>
            </w:r>
          </w:p>
        </w:tc>
        <w:tc>
          <w:tcPr>
            <w:tcW w:w="8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1DCEA" w14:textId="7D6AE051" w:rsidR="00882704" w:rsidRPr="0053555E" w:rsidRDefault="00882704" w:rsidP="00882704">
            <w:pPr>
              <w:jc w:val="center"/>
              <w:rPr>
                <w:rFonts w:eastAsia="Times New Roman" w:cs="Calibri"/>
                <w:sz w:val="22"/>
                <w:szCs w:val="22"/>
                <w:lang w:eastAsia="sk-SK"/>
              </w:rPr>
            </w:pPr>
            <w:r w:rsidRPr="0053555E">
              <w:rPr>
                <w:rFonts w:cs="Calibri"/>
                <w:sz w:val="22"/>
                <w:szCs w:val="22"/>
              </w:rPr>
              <w:t>8</w:t>
            </w:r>
          </w:p>
        </w:tc>
        <w:tc>
          <w:tcPr>
            <w:tcW w:w="803" w:type="dxa"/>
            <w:tcBorders>
              <w:top w:val="nil"/>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3694C4CA" w14:textId="2DA03660"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16</w:t>
            </w:r>
          </w:p>
        </w:tc>
      </w:tr>
      <w:tr w:rsidR="00882704" w:rsidRPr="0053555E" w14:paraId="4E2DFC0A" w14:textId="77777777" w:rsidTr="00882704">
        <w:trPr>
          <w:divId w:val="254558966"/>
          <w:trHeight w:val="300"/>
        </w:trPr>
        <w:tc>
          <w:tcPr>
            <w:tcW w:w="709" w:type="dxa"/>
            <w:tcBorders>
              <w:top w:val="nil"/>
              <w:left w:val="single" w:sz="4" w:space="0" w:color="auto"/>
              <w:bottom w:val="nil"/>
              <w:right w:val="single" w:sz="4" w:space="0" w:color="auto"/>
            </w:tcBorders>
            <w:shd w:val="clear" w:color="000000" w:fill="EEECE1"/>
            <w:noWrap/>
            <w:tcMar>
              <w:top w:w="15" w:type="dxa"/>
              <w:left w:w="15" w:type="dxa"/>
              <w:bottom w:w="0" w:type="dxa"/>
              <w:right w:w="15" w:type="dxa"/>
            </w:tcMar>
            <w:vAlign w:val="bottom"/>
            <w:hideMark/>
          </w:tcPr>
          <w:p w14:paraId="4BECC29A" w14:textId="77777777" w:rsidR="00882704" w:rsidRPr="0053555E" w:rsidRDefault="00882704" w:rsidP="00882704">
            <w:pPr>
              <w:rPr>
                <w:rFonts w:eastAsia="Times New Roman" w:cs="Calibri"/>
                <w:b/>
                <w:bCs/>
                <w:sz w:val="22"/>
                <w:szCs w:val="22"/>
                <w:lang w:eastAsia="sk-SK"/>
              </w:rPr>
            </w:pPr>
            <w:r w:rsidRPr="0053555E">
              <w:rPr>
                <w:rFonts w:eastAsia="Times New Roman" w:cs="Calibri"/>
                <w:b/>
                <w:bCs/>
                <w:sz w:val="22"/>
                <w:szCs w:val="22"/>
                <w:lang w:eastAsia="sk-SK"/>
              </w:rPr>
              <w:t>STU</w:t>
            </w:r>
          </w:p>
        </w:tc>
        <w:tc>
          <w:tcPr>
            <w:tcW w:w="673" w:type="dxa"/>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54F274F9" w14:textId="18DFF447"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4</w:t>
            </w:r>
            <w:r w:rsidR="00523F12">
              <w:rPr>
                <w:rFonts w:cs="Calibri"/>
                <w:b/>
                <w:bCs/>
                <w:sz w:val="22"/>
                <w:szCs w:val="22"/>
              </w:rPr>
              <w:t>9</w:t>
            </w:r>
          </w:p>
        </w:tc>
        <w:tc>
          <w:tcPr>
            <w:tcW w:w="673" w:type="dxa"/>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747E44ED" w14:textId="55A3E0BF"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17</w:t>
            </w:r>
          </w:p>
        </w:tc>
        <w:tc>
          <w:tcPr>
            <w:tcW w:w="673" w:type="dxa"/>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2B273B73" w14:textId="7E775196"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50</w:t>
            </w:r>
          </w:p>
        </w:tc>
        <w:tc>
          <w:tcPr>
            <w:tcW w:w="674" w:type="dxa"/>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1B206E4A" w14:textId="0E5A358D"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19</w:t>
            </w:r>
          </w:p>
        </w:tc>
        <w:tc>
          <w:tcPr>
            <w:tcW w:w="815" w:type="dxa"/>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4633D99C" w14:textId="680BC119"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50</w:t>
            </w:r>
          </w:p>
        </w:tc>
        <w:tc>
          <w:tcPr>
            <w:tcW w:w="815" w:type="dxa"/>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4E300F83" w14:textId="47E0297B"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42</w:t>
            </w:r>
          </w:p>
        </w:tc>
        <w:tc>
          <w:tcPr>
            <w:tcW w:w="815" w:type="dxa"/>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24CFE643" w14:textId="1C76763F"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47</w:t>
            </w:r>
          </w:p>
        </w:tc>
        <w:tc>
          <w:tcPr>
            <w:tcW w:w="816" w:type="dxa"/>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56C171BA" w14:textId="13A43B34"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40</w:t>
            </w:r>
          </w:p>
        </w:tc>
        <w:tc>
          <w:tcPr>
            <w:tcW w:w="803" w:type="dxa"/>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5634E128" w14:textId="58954846"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19</w:t>
            </w:r>
            <w:r w:rsidR="00523F12">
              <w:rPr>
                <w:rFonts w:cs="Calibri"/>
                <w:b/>
                <w:bCs/>
                <w:sz w:val="22"/>
                <w:szCs w:val="22"/>
              </w:rPr>
              <w:t>6</w:t>
            </w:r>
          </w:p>
        </w:tc>
        <w:tc>
          <w:tcPr>
            <w:tcW w:w="803" w:type="dxa"/>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45AEADA6" w14:textId="6E03F6EA"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118</w:t>
            </w:r>
          </w:p>
        </w:tc>
        <w:tc>
          <w:tcPr>
            <w:tcW w:w="803" w:type="dxa"/>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hideMark/>
          </w:tcPr>
          <w:p w14:paraId="59488548" w14:textId="383D0A8C" w:rsidR="00882704" w:rsidRPr="0053555E" w:rsidRDefault="00882704" w:rsidP="00882704">
            <w:pPr>
              <w:jc w:val="center"/>
              <w:rPr>
                <w:rFonts w:eastAsia="Times New Roman" w:cs="Calibri"/>
                <w:b/>
                <w:bCs/>
                <w:sz w:val="22"/>
                <w:szCs w:val="22"/>
                <w:lang w:eastAsia="sk-SK"/>
              </w:rPr>
            </w:pPr>
            <w:r w:rsidRPr="0053555E">
              <w:rPr>
                <w:rFonts w:cs="Calibri"/>
                <w:b/>
                <w:bCs/>
                <w:sz w:val="22"/>
                <w:szCs w:val="22"/>
              </w:rPr>
              <w:t>31</w:t>
            </w:r>
            <w:r w:rsidR="00D2610A">
              <w:rPr>
                <w:rFonts w:cs="Calibri"/>
                <w:b/>
                <w:bCs/>
                <w:sz w:val="22"/>
                <w:szCs w:val="22"/>
              </w:rPr>
              <w:t>4</w:t>
            </w:r>
          </w:p>
        </w:tc>
      </w:tr>
      <w:tr w:rsidR="00882704" w:rsidRPr="0053555E" w14:paraId="24F9BCC3" w14:textId="77777777" w:rsidTr="005D6FCF">
        <w:trPr>
          <w:divId w:val="254558966"/>
          <w:trHeight w:val="300"/>
        </w:trPr>
        <w:tc>
          <w:tcPr>
            <w:tcW w:w="709" w:type="dxa"/>
            <w:tcBorders>
              <w:top w:val="nil"/>
              <w:left w:val="single" w:sz="4" w:space="0" w:color="auto"/>
              <w:bottom w:val="single" w:sz="4" w:space="0" w:color="auto"/>
              <w:right w:val="single" w:sz="4" w:space="0" w:color="auto"/>
            </w:tcBorders>
            <w:shd w:val="clear" w:color="000000" w:fill="EEECE1"/>
            <w:noWrap/>
            <w:tcMar>
              <w:top w:w="15" w:type="dxa"/>
              <w:left w:w="15" w:type="dxa"/>
              <w:bottom w:w="0" w:type="dxa"/>
              <w:right w:w="15" w:type="dxa"/>
            </w:tcMar>
            <w:vAlign w:val="bottom"/>
          </w:tcPr>
          <w:p w14:paraId="3562844D" w14:textId="41F13578" w:rsidR="00882704" w:rsidRPr="0053555E" w:rsidRDefault="00882704" w:rsidP="00882704">
            <w:pPr>
              <w:rPr>
                <w:rFonts w:eastAsia="Times New Roman" w:cs="Calibri"/>
                <w:b/>
                <w:bCs/>
                <w:sz w:val="22"/>
                <w:szCs w:val="22"/>
                <w:lang w:eastAsia="sk-SK"/>
              </w:rPr>
            </w:pPr>
            <w:r w:rsidRPr="0053555E">
              <w:rPr>
                <w:rFonts w:eastAsia="Times New Roman" w:cs="Calibri"/>
                <w:b/>
                <w:bCs/>
                <w:sz w:val="22"/>
                <w:szCs w:val="22"/>
                <w:lang w:eastAsia="sk-SK"/>
              </w:rPr>
              <w:t>STU</w:t>
            </w:r>
          </w:p>
        </w:tc>
        <w:tc>
          <w:tcPr>
            <w:tcW w:w="1346" w:type="dxa"/>
            <w:gridSpan w:val="2"/>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tcPr>
          <w:p w14:paraId="30B618B2" w14:textId="6818065C" w:rsidR="00882704" w:rsidRPr="0053555E" w:rsidRDefault="00882704" w:rsidP="00882704">
            <w:pPr>
              <w:jc w:val="center"/>
              <w:rPr>
                <w:rFonts w:cs="Calibri"/>
                <w:b/>
                <w:bCs/>
                <w:sz w:val="22"/>
                <w:szCs w:val="22"/>
              </w:rPr>
            </w:pPr>
            <w:r w:rsidRPr="0053555E">
              <w:rPr>
                <w:rFonts w:cs="Calibri"/>
                <w:b/>
                <w:bCs/>
                <w:sz w:val="22"/>
                <w:szCs w:val="22"/>
              </w:rPr>
              <w:t>6</w:t>
            </w:r>
            <w:r w:rsidR="00523F12">
              <w:rPr>
                <w:rFonts w:cs="Calibri"/>
                <w:b/>
                <w:bCs/>
                <w:sz w:val="22"/>
                <w:szCs w:val="22"/>
              </w:rPr>
              <w:t>6</w:t>
            </w:r>
          </w:p>
        </w:tc>
        <w:tc>
          <w:tcPr>
            <w:tcW w:w="1347" w:type="dxa"/>
            <w:gridSpan w:val="2"/>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tcPr>
          <w:p w14:paraId="6CC8CFC4" w14:textId="5B6C4544" w:rsidR="00882704" w:rsidRPr="0053555E" w:rsidRDefault="00882704" w:rsidP="00882704">
            <w:pPr>
              <w:jc w:val="center"/>
              <w:rPr>
                <w:rFonts w:cs="Calibri"/>
                <w:b/>
                <w:bCs/>
                <w:sz w:val="22"/>
                <w:szCs w:val="22"/>
              </w:rPr>
            </w:pPr>
            <w:r w:rsidRPr="0053555E">
              <w:rPr>
                <w:rFonts w:cs="Calibri"/>
                <w:b/>
                <w:bCs/>
                <w:sz w:val="22"/>
                <w:szCs w:val="22"/>
              </w:rPr>
              <w:t>69</w:t>
            </w:r>
          </w:p>
        </w:tc>
        <w:tc>
          <w:tcPr>
            <w:tcW w:w="1630" w:type="dxa"/>
            <w:gridSpan w:val="2"/>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tcPr>
          <w:p w14:paraId="5D38670D" w14:textId="13A6EA5D" w:rsidR="00882704" w:rsidRPr="0053555E" w:rsidRDefault="00882704" w:rsidP="00882704">
            <w:pPr>
              <w:jc w:val="center"/>
              <w:rPr>
                <w:rFonts w:cs="Calibri"/>
                <w:b/>
                <w:bCs/>
                <w:sz w:val="22"/>
                <w:szCs w:val="22"/>
              </w:rPr>
            </w:pPr>
            <w:r w:rsidRPr="0053555E">
              <w:rPr>
                <w:rFonts w:cs="Calibri"/>
                <w:b/>
                <w:bCs/>
                <w:sz w:val="22"/>
                <w:szCs w:val="22"/>
              </w:rPr>
              <w:t>92</w:t>
            </w:r>
          </w:p>
        </w:tc>
        <w:tc>
          <w:tcPr>
            <w:tcW w:w="1631" w:type="dxa"/>
            <w:gridSpan w:val="2"/>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tcPr>
          <w:p w14:paraId="4FB6E5A4" w14:textId="2941106F" w:rsidR="00882704" w:rsidRPr="0053555E" w:rsidRDefault="00882704" w:rsidP="00882704">
            <w:pPr>
              <w:jc w:val="center"/>
              <w:rPr>
                <w:rFonts w:cs="Calibri"/>
                <w:b/>
                <w:bCs/>
                <w:sz w:val="22"/>
                <w:szCs w:val="22"/>
              </w:rPr>
            </w:pPr>
            <w:r w:rsidRPr="0053555E">
              <w:rPr>
                <w:rFonts w:cs="Calibri"/>
                <w:b/>
                <w:bCs/>
                <w:sz w:val="22"/>
                <w:szCs w:val="22"/>
              </w:rPr>
              <w:t>87</w:t>
            </w:r>
          </w:p>
        </w:tc>
        <w:tc>
          <w:tcPr>
            <w:tcW w:w="1606" w:type="dxa"/>
            <w:gridSpan w:val="2"/>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tcPr>
          <w:p w14:paraId="7DB98A1C" w14:textId="54DC1BF2" w:rsidR="00882704" w:rsidRPr="0053555E" w:rsidRDefault="00882704" w:rsidP="00882704">
            <w:pPr>
              <w:jc w:val="center"/>
              <w:rPr>
                <w:rFonts w:cs="Calibri"/>
                <w:b/>
                <w:bCs/>
                <w:sz w:val="22"/>
                <w:szCs w:val="22"/>
              </w:rPr>
            </w:pPr>
            <w:r w:rsidRPr="0053555E">
              <w:rPr>
                <w:rFonts w:cs="Calibri"/>
                <w:b/>
                <w:bCs/>
                <w:sz w:val="22"/>
                <w:szCs w:val="22"/>
              </w:rPr>
              <w:t>313</w:t>
            </w:r>
          </w:p>
        </w:tc>
        <w:tc>
          <w:tcPr>
            <w:tcW w:w="803" w:type="dxa"/>
            <w:tcBorders>
              <w:top w:val="single" w:sz="4" w:space="0" w:color="auto"/>
              <w:left w:val="nil"/>
              <w:bottom w:val="single" w:sz="4" w:space="0" w:color="auto"/>
              <w:right w:val="single" w:sz="4" w:space="0" w:color="auto"/>
            </w:tcBorders>
            <w:shd w:val="clear" w:color="000000" w:fill="EEECE1"/>
            <w:noWrap/>
            <w:tcMar>
              <w:top w:w="15" w:type="dxa"/>
              <w:left w:w="15" w:type="dxa"/>
              <w:bottom w:w="0" w:type="dxa"/>
              <w:right w:w="15" w:type="dxa"/>
            </w:tcMar>
            <w:vAlign w:val="bottom"/>
          </w:tcPr>
          <w:p w14:paraId="51F451FA" w14:textId="72BC786E" w:rsidR="00882704" w:rsidRPr="0053555E" w:rsidRDefault="00882704" w:rsidP="00882704">
            <w:pPr>
              <w:jc w:val="center"/>
              <w:rPr>
                <w:rFonts w:cs="Calibri"/>
                <w:b/>
                <w:bCs/>
                <w:sz w:val="22"/>
                <w:szCs w:val="22"/>
              </w:rPr>
            </w:pPr>
            <w:r w:rsidRPr="0053555E">
              <w:rPr>
                <w:rFonts w:cs="Calibri"/>
                <w:b/>
                <w:bCs/>
                <w:sz w:val="22"/>
                <w:szCs w:val="22"/>
              </w:rPr>
              <w:t>31</w:t>
            </w:r>
            <w:r w:rsidR="00523F12">
              <w:rPr>
                <w:rFonts w:cs="Calibri"/>
                <w:b/>
                <w:bCs/>
                <w:sz w:val="22"/>
                <w:szCs w:val="22"/>
              </w:rPr>
              <w:t>4</w:t>
            </w:r>
          </w:p>
        </w:tc>
      </w:tr>
    </w:tbl>
    <w:p w14:paraId="552AE027" w14:textId="77777777" w:rsidR="00E95BF0" w:rsidRPr="0053555E" w:rsidRDefault="00E95BF0" w:rsidP="00E95BF0"/>
    <w:p w14:paraId="68E60DCF" w14:textId="2582E166" w:rsidR="00705FC2" w:rsidRPr="0053555E" w:rsidRDefault="00705FC2" w:rsidP="00230F19">
      <w:pPr>
        <w:spacing w:after="120"/>
        <w:jc w:val="both"/>
      </w:pPr>
      <w:r w:rsidRPr="0053555E">
        <w:t>Rada VSK posudzova</w:t>
      </w:r>
      <w:r w:rsidR="00B72DB7" w:rsidRPr="0053555E">
        <w:t>la</w:t>
      </w:r>
      <w:r w:rsidRPr="0053555E">
        <w:t xml:space="preserve"> </w:t>
      </w:r>
      <w:r w:rsidR="00E95BF0" w:rsidRPr="0053555E">
        <w:t xml:space="preserve">súlad </w:t>
      </w:r>
      <w:r w:rsidRPr="0053555E">
        <w:t>študijn</w:t>
      </w:r>
      <w:r w:rsidR="00E95BF0" w:rsidRPr="0053555E">
        <w:t>ých</w:t>
      </w:r>
      <w:r w:rsidRPr="0053555E">
        <w:t xml:space="preserve"> program</w:t>
      </w:r>
      <w:r w:rsidR="00E95BF0" w:rsidRPr="0053555E">
        <w:t xml:space="preserve">ov </w:t>
      </w:r>
      <w:r w:rsidRPr="0053555E">
        <w:t xml:space="preserve">v priebehu </w:t>
      </w:r>
      <w:r w:rsidR="00B72DB7" w:rsidRPr="0053555E">
        <w:t>mesiacov január</w:t>
      </w:r>
      <w:r w:rsidRPr="0053555E">
        <w:t xml:space="preserve"> a</w:t>
      </w:r>
      <w:r w:rsidR="00B72DB7" w:rsidRPr="0053555E">
        <w:t>ž</w:t>
      </w:r>
      <w:r w:rsidRPr="0053555E">
        <w:t> m</w:t>
      </w:r>
      <w:r w:rsidR="00662866" w:rsidRPr="0053555E">
        <w:t>áj</w:t>
      </w:r>
      <w:r w:rsidRPr="0053555E">
        <w:t xml:space="preserve"> 2022</w:t>
      </w:r>
      <w:r w:rsidR="00E95BF0" w:rsidRPr="0053555E">
        <w:t>.</w:t>
      </w:r>
      <w:r w:rsidR="00662866" w:rsidRPr="0053555E">
        <w:t xml:space="preserve"> V januári </w:t>
      </w:r>
      <w:r w:rsidR="009E699F">
        <w:t>boli</w:t>
      </w:r>
      <w:r w:rsidR="00662866" w:rsidRPr="0053555E">
        <w:t xml:space="preserve"> vytvor</w:t>
      </w:r>
      <w:r w:rsidR="009E699F">
        <w:t>ené</w:t>
      </w:r>
      <w:r w:rsidR="00662866" w:rsidRPr="0053555E">
        <w:t xml:space="preserve"> pracovné skupiny, ktoré </w:t>
      </w:r>
      <w:r w:rsidR="009E699F">
        <w:t>sa oboznámili s</w:t>
      </w:r>
      <w:r w:rsidR="00662866" w:rsidRPr="0053555E">
        <w:t xml:space="preserve"> dokument</w:t>
      </w:r>
      <w:r w:rsidR="009E699F">
        <w:t>ami</w:t>
      </w:r>
      <w:r w:rsidR="00662866" w:rsidRPr="0053555E">
        <w:t xml:space="preserve"> </w:t>
      </w:r>
      <w:r w:rsidR="00001106">
        <w:t>a </w:t>
      </w:r>
      <w:r w:rsidR="00662866" w:rsidRPr="0053555E">
        <w:t>predložen</w:t>
      </w:r>
      <w:r w:rsidR="00001106">
        <w:t xml:space="preserve">ými </w:t>
      </w:r>
      <w:r w:rsidR="00662866" w:rsidRPr="0053555E">
        <w:t>podklad</w:t>
      </w:r>
      <w:r w:rsidR="00001106">
        <w:t>mi</w:t>
      </w:r>
      <w:r w:rsidR="00662866" w:rsidRPr="0053555E">
        <w:t xml:space="preserve"> k študijným programom a následne vypracovali stanovisko </w:t>
      </w:r>
      <w:r w:rsidR="00662866" w:rsidRPr="0053555E">
        <w:lastRenderedPageBreak/>
        <w:t>k plneniu štandardov pre daný študijný program. V rámci neho mohli navrhnúť aj opatrenia v prípade čiastočného splnenia štandardov. Stanoviská pracovných skupín boli predložené na</w:t>
      </w:r>
      <w:r w:rsidR="00001106">
        <w:t> </w:t>
      </w:r>
      <w:r w:rsidR="00662866" w:rsidRPr="0053555E">
        <w:t>rokovania Rady VSK</w:t>
      </w:r>
      <w:r w:rsidR="00001106">
        <w:t>, k</w:t>
      </w:r>
      <w:r w:rsidR="00662866" w:rsidRPr="0053555E">
        <w:t>torá postupne schválila pokračovanie uskutočňovania všetkých predložených študijných programov.</w:t>
      </w:r>
    </w:p>
    <w:p w14:paraId="7C2E5E70" w14:textId="1DB91B37" w:rsidR="00662866" w:rsidRPr="0053555E" w:rsidRDefault="00230F19" w:rsidP="00662866">
      <w:pPr>
        <w:jc w:val="both"/>
      </w:pPr>
      <w:r w:rsidRPr="0053555E">
        <w:t xml:space="preserve">V júni </w:t>
      </w:r>
      <w:r w:rsidR="00D936EB" w:rsidRPr="0053555E">
        <w:t xml:space="preserve">2022 </w:t>
      </w:r>
      <w:r w:rsidRPr="0053555E">
        <w:t xml:space="preserve">bola Rada VSK požiadaná o posúdenie </w:t>
      </w:r>
      <w:r w:rsidRPr="00C33068">
        <w:rPr>
          <w:b/>
        </w:rPr>
        <w:t xml:space="preserve">návrhu na zrušenie </w:t>
      </w:r>
      <w:r w:rsidR="00C33068" w:rsidRPr="00C33068">
        <w:rPr>
          <w:b/>
        </w:rPr>
        <w:t>109</w:t>
      </w:r>
      <w:r w:rsidR="00C33068">
        <w:t xml:space="preserve"> </w:t>
      </w:r>
      <w:r w:rsidRPr="00C33068">
        <w:rPr>
          <w:b/>
        </w:rPr>
        <w:t>študijných programov</w:t>
      </w:r>
      <w:r w:rsidRPr="0053555E">
        <w:t xml:space="preserve">, ktoré </w:t>
      </w:r>
      <w:r w:rsidR="003916CA">
        <w:t>STU</w:t>
      </w:r>
      <w:r w:rsidRPr="0053555E">
        <w:t xml:space="preserve"> už neplánovala naďalej uskutočňovať. Rada VSK vyhovela všetkým návrhom a predmetné študijné programy boli následne zrušené aj v registri študijných programov.</w:t>
      </w:r>
      <w:r w:rsidR="007F6FEC">
        <w:t xml:space="preserve"> V decembri 2022 Rada VSK schválila </w:t>
      </w:r>
      <w:r w:rsidR="00A20002">
        <w:t>ešte jed</w:t>
      </w:r>
      <w:r w:rsidR="00906562">
        <w:t>e</w:t>
      </w:r>
      <w:r w:rsidR="00A20002">
        <w:t xml:space="preserve">n návrh na zrušenie </w:t>
      </w:r>
      <w:r w:rsidR="00C33068">
        <w:t xml:space="preserve">bakalárskeho </w:t>
      </w:r>
      <w:r w:rsidR="00A20002">
        <w:t xml:space="preserve">študijného programu </w:t>
      </w:r>
      <w:r w:rsidR="00906562">
        <w:t xml:space="preserve">na </w:t>
      </w:r>
      <w:r w:rsidR="00A20002">
        <w:t>SvF z </w:t>
      </w:r>
      <w:r w:rsidR="00906562">
        <w:t>personálnych</w:t>
      </w:r>
      <w:r w:rsidR="00A20002">
        <w:t xml:space="preserve"> dôvodov. Tento študijný program bol následne zrušený v</w:t>
      </w:r>
      <w:r w:rsidR="00906562">
        <w:t> </w:t>
      </w:r>
      <w:r w:rsidR="00A20002" w:rsidRPr="0053555E">
        <w:t>registri študijných programov</w:t>
      </w:r>
      <w:r w:rsidR="005A05E5">
        <w:t xml:space="preserve">. STU v roku 2022 zrušila celkove </w:t>
      </w:r>
      <w:r w:rsidR="005A05E5" w:rsidRPr="005A05E5">
        <w:rPr>
          <w:b/>
        </w:rPr>
        <w:t xml:space="preserve">110 </w:t>
      </w:r>
      <w:r w:rsidR="005A05E5">
        <w:t>študijných programov.</w:t>
      </w:r>
    </w:p>
    <w:p w14:paraId="366D9301" w14:textId="77777777" w:rsidR="00B57583" w:rsidRDefault="00B57583" w:rsidP="000E3322">
      <w:pPr>
        <w:pStyle w:val="Popis"/>
      </w:pPr>
      <w:bookmarkStart w:id="283" w:name="_Ref127110965"/>
      <w:bookmarkStart w:id="284" w:name="_Toc127593320"/>
    </w:p>
    <w:p w14:paraId="5F0E59C2" w14:textId="18A8B75A" w:rsidR="00230F19" w:rsidRPr="0053555E" w:rsidRDefault="00230F19" w:rsidP="000E3322">
      <w:pPr>
        <w:pStyle w:val="Popis"/>
      </w:pPr>
      <w:r w:rsidRPr="0053555E">
        <w:t>Tab. č.</w:t>
      </w:r>
      <w:bookmarkEnd w:id="283"/>
      <w:r w:rsidR="00E82525">
        <w:t xml:space="preserve"> 69</w:t>
      </w:r>
      <w:r w:rsidRPr="0053555E">
        <w:t>: Študijné programy, ktoré boli predložené Rade VSK na zrušenie</w:t>
      </w:r>
      <w:bookmarkEnd w:id="284"/>
      <w:r w:rsidRPr="0053555E">
        <w:t xml:space="preserve"> </w:t>
      </w:r>
    </w:p>
    <w:tbl>
      <w:tblPr>
        <w:tblW w:w="8495" w:type="dxa"/>
        <w:tblLayout w:type="fixed"/>
        <w:tblCellMar>
          <w:left w:w="70" w:type="dxa"/>
          <w:right w:w="70" w:type="dxa"/>
        </w:tblCellMar>
        <w:tblLook w:val="04A0" w:firstRow="1" w:lastRow="0" w:firstColumn="1" w:lastColumn="0" w:noHBand="0" w:noVBand="1"/>
      </w:tblPr>
      <w:tblGrid>
        <w:gridCol w:w="1266"/>
        <w:gridCol w:w="1748"/>
        <w:gridCol w:w="1748"/>
        <w:gridCol w:w="1749"/>
        <w:gridCol w:w="1984"/>
      </w:tblGrid>
      <w:tr w:rsidR="009A412B" w:rsidRPr="0053555E" w14:paraId="61C5CA48" w14:textId="77777777" w:rsidTr="009A412B">
        <w:trPr>
          <w:trHeight w:val="20"/>
        </w:trPr>
        <w:tc>
          <w:tcPr>
            <w:tcW w:w="1266"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0D15FDAC" w14:textId="77777777" w:rsidR="009A412B" w:rsidRPr="0053555E" w:rsidRDefault="009A412B" w:rsidP="00230F19">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Súčasť STU</w:t>
            </w:r>
          </w:p>
        </w:tc>
        <w:tc>
          <w:tcPr>
            <w:tcW w:w="5245" w:type="dxa"/>
            <w:gridSpan w:val="3"/>
            <w:tcBorders>
              <w:top w:val="single" w:sz="8" w:space="0" w:color="auto"/>
              <w:left w:val="nil"/>
              <w:bottom w:val="single" w:sz="4" w:space="0" w:color="auto"/>
              <w:right w:val="single" w:sz="8" w:space="0" w:color="000000"/>
            </w:tcBorders>
            <w:shd w:val="clear" w:color="auto" w:fill="auto"/>
            <w:hideMark/>
          </w:tcPr>
          <w:p w14:paraId="1FB15673" w14:textId="2BB0086F" w:rsidR="009A412B" w:rsidRPr="0053555E" w:rsidRDefault="009A412B" w:rsidP="00230F19">
            <w:pPr>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Zrušenie ŠP</w:t>
            </w:r>
          </w:p>
        </w:tc>
        <w:tc>
          <w:tcPr>
            <w:tcW w:w="1984" w:type="dxa"/>
            <w:vMerge w:val="restart"/>
            <w:tcBorders>
              <w:top w:val="single" w:sz="8" w:space="0" w:color="auto"/>
              <w:left w:val="single" w:sz="8" w:space="0" w:color="auto"/>
              <w:right w:val="single" w:sz="8" w:space="0" w:color="auto"/>
            </w:tcBorders>
            <w:shd w:val="clear" w:color="auto" w:fill="auto"/>
            <w:vAlign w:val="center"/>
            <w:hideMark/>
          </w:tcPr>
          <w:p w14:paraId="714E3EA2" w14:textId="77777777" w:rsidR="009A412B" w:rsidRPr="0053555E" w:rsidRDefault="009A412B" w:rsidP="009A412B">
            <w:pPr>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celkom počet študijných programov</w:t>
            </w:r>
          </w:p>
        </w:tc>
      </w:tr>
      <w:tr w:rsidR="009A412B" w:rsidRPr="0053555E" w14:paraId="5AB13901" w14:textId="77777777" w:rsidTr="009A412B">
        <w:trPr>
          <w:trHeight w:val="20"/>
        </w:trPr>
        <w:tc>
          <w:tcPr>
            <w:tcW w:w="1266" w:type="dxa"/>
            <w:vMerge/>
            <w:tcBorders>
              <w:top w:val="single" w:sz="8" w:space="0" w:color="auto"/>
              <w:left w:val="single" w:sz="8" w:space="0" w:color="auto"/>
              <w:bottom w:val="single" w:sz="4" w:space="0" w:color="000000"/>
              <w:right w:val="single" w:sz="8" w:space="0" w:color="auto"/>
            </w:tcBorders>
            <w:vAlign w:val="center"/>
            <w:hideMark/>
          </w:tcPr>
          <w:p w14:paraId="7BEE08B0" w14:textId="77777777" w:rsidR="009A412B" w:rsidRPr="0053555E" w:rsidRDefault="009A412B" w:rsidP="00230F19">
            <w:pPr>
              <w:jc w:val="center"/>
              <w:rPr>
                <w:rFonts w:asciiTheme="majorHAnsi" w:eastAsia="Times New Roman" w:hAnsiTheme="majorHAnsi" w:cstheme="majorHAnsi"/>
                <w:b/>
                <w:bCs/>
                <w:sz w:val="22"/>
                <w:szCs w:val="22"/>
                <w:lang w:eastAsia="sk-SK"/>
              </w:rPr>
            </w:pPr>
          </w:p>
        </w:tc>
        <w:tc>
          <w:tcPr>
            <w:tcW w:w="1748" w:type="dxa"/>
            <w:tcBorders>
              <w:top w:val="nil"/>
              <w:left w:val="nil"/>
              <w:bottom w:val="single" w:sz="4" w:space="0" w:color="auto"/>
              <w:right w:val="nil"/>
            </w:tcBorders>
            <w:shd w:val="clear" w:color="auto" w:fill="auto"/>
            <w:hideMark/>
          </w:tcPr>
          <w:p w14:paraId="75D054A6" w14:textId="77777777" w:rsidR="009A412B" w:rsidRPr="0053555E" w:rsidRDefault="009A412B" w:rsidP="00230F19">
            <w:pPr>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 xml:space="preserve">počet ŠP </w:t>
            </w:r>
            <w:r w:rsidRPr="0053555E">
              <w:rPr>
                <w:rFonts w:asciiTheme="majorHAnsi" w:eastAsia="Times New Roman" w:hAnsiTheme="majorHAnsi" w:cstheme="majorHAnsi"/>
                <w:sz w:val="22"/>
                <w:szCs w:val="22"/>
                <w:lang w:eastAsia="sk-SK"/>
              </w:rPr>
              <w:br/>
              <w:t>I. stupeň</w:t>
            </w:r>
          </w:p>
        </w:tc>
        <w:tc>
          <w:tcPr>
            <w:tcW w:w="1748" w:type="dxa"/>
            <w:tcBorders>
              <w:top w:val="nil"/>
              <w:left w:val="single" w:sz="4" w:space="0" w:color="auto"/>
              <w:bottom w:val="single" w:sz="4" w:space="0" w:color="auto"/>
              <w:right w:val="single" w:sz="4" w:space="0" w:color="auto"/>
            </w:tcBorders>
            <w:shd w:val="clear" w:color="auto" w:fill="auto"/>
            <w:hideMark/>
          </w:tcPr>
          <w:p w14:paraId="544C694D" w14:textId="77777777" w:rsidR="009A412B" w:rsidRPr="0053555E" w:rsidRDefault="009A412B" w:rsidP="00230F19">
            <w:pPr>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 xml:space="preserve">počet ŠP </w:t>
            </w:r>
            <w:r w:rsidRPr="0053555E">
              <w:rPr>
                <w:rFonts w:asciiTheme="majorHAnsi" w:eastAsia="Times New Roman" w:hAnsiTheme="majorHAnsi" w:cstheme="majorHAnsi"/>
                <w:sz w:val="22"/>
                <w:szCs w:val="22"/>
                <w:lang w:eastAsia="sk-SK"/>
              </w:rPr>
              <w:br/>
              <w:t>II. stupeň</w:t>
            </w:r>
          </w:p>
        </w:tc>
        <w:tc>
          <w:tcPr>
            <w:tcW w:w="1749" w:type="dxa"/>
            <w:tcBorders>
              <w:top w:val="single" w:sz="4" w:space="0" w:color="auto"/>
              <w:left w:val="nil"/>
              <w:bottom w:val="single" w:sz="4" w:space="0" w:color="auto"/>
              <w:right w:val="single" w:sz="4" w:space="0" w:color="auto"/>
            </w:tcBorders>
            <w:shd w:val="clear" w:color="auto" w:fill="auto"/>
            <w:hideMark/>
          </w:tcPr>
          <w:p w14:paraId="127098B3" w14:textId="77777777" w:rsidR="009A412B" w:rsidRPr="0053555E" w:rsidRDefault="009A412B" w:rsidP="00230F19">
            <w:pPr>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 xml:space="preserve">počet ŠP </w:t>
            </w:r>
            <w:r w:rsidRPr="0053555E">
              <w:rPr>
                <w:rFonts w:asciiTheme="majorHAnsi" w:eastAsia="Times New Roman" w:hAnsiTheme="majorHAnsi" w:cstheme="majorHAnsi"/>
                <w:sz w:val="22"/>
                <w:szCs w:val="22"/>
                <w:lang w:eastAsia="sk-SK"/>
              </w:rPr>
              <w:br/>
              <w:t>III. stupeň</w:t>
            </w:r>
          </w:p>
        </w:tc>
        <w:tc>
          <w:tcPr>
            <w:tcW w:w="1984" w:type="dxa"/>
            <w:vMerge/>
            <w:tcBorders>
              <w:left w:val="single" w:sz="8" w:space="0" w:color="auto"/>
              <w:bottom w:val="single" w:sz="4" w:space="0" w:color="000000"/>
              <w:right w:val="single" w:sz="8" w:space="0" w:color="auto"/>
            </w:tcBorders>
            <w:vAlign w:val="center"/>
            <w:hideMark/>
          </w:tcPr>
          <w:p w14:paraId="049EC9D2" w14:textId="77777777" w:rsidR="009A412B" w:rsidRPr="0053555E" w:rsidRDefault="009A412B" w:rsidP="00230F19">
            <w:pPr>
              <w:jc w:val="center"/>
              <w:rPr>
                <w:rFonts w:asciiTheme="majorHAnsi" w:eastAsia="Times New Roman" w:hAnsiTheme="majorHAnsi" w:cstheme="majorHAnsi"/>
                <w:sz w:val="22"/>
                <w:szCs w:val="22"/>
                <w:lang w:eastAsia="sk-SK"/>
              </w:rPr>
            </w:pPr>
          </w:p>
        </w:tc>
      </w:tr>
      <w:tr w:rsidR="009A412B" w:rsidRPr="0053555E" w14:paraId="440B7028" w14:textId="77777777" w:rsidTr="009A412B">
        <w:trPr>
          <w:trHeight w:val="240"/>
        </w:trPr>
        <w:tc>
          <w:tcPr>
            <w:tcW w:w="1266" w:type="dxa"/>
            <w:tcBorders>
              <w:top w:val="nil"/>
              <w:left w:val="single" w:sz="8" w:space="0" w:color="auto"/>
              <w:bottom w:val="single" w:sz="4" w:space="0" w:color="auto"/>
              <w:right w:val="single" w:sz="8" w:space="0" w:color="auto"/>
            </w:tcBorders>
            <w:shd w:val="clear" w:color="auto" w:fill="auto"/>
            <w:noWrap/>
            <w:hideMark/>
          </w:tcPr>
          <w:p w14:paraId="5BE4D2A6" w14:textId="77777777"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SvF</w:t>
            </w:r>
          </w:p>
        </w:tc>
        <w:tc>
          <w:tcPr>
            <w:tcW w:w="1748" w:type="dxa"/>
            <w:tcBorders>
              <w:top w:val="nil"/>
              <w:left w:val="nil"/>
              <w:bottom w:val="single" w:sz="4" w:space="0" w:color="auto"/>
              <w:right w:val="single" w:sz="4" w:space="0" w:color="auto"/>
            </w:tcBorders>
            <w:shd w:val="clear" w:color="auto" w:fill="auto"/>
            <w:noWrap/>
            <w:vAlign w:val="center"/>
            <w:hideMark/>
          </w:tcPr>
          <w:p w14:paraId="74720ABC" w14:textId="5C76DCC1" w:rsidR="009A412B" w:rsidRPr="0053555E" w:rsidRDefault="00C33068" w:rsidP="009A412B">
            <w:pPr>
              <w:jc w:val="center"/>
              <w:rPr>
                <w:rFonts w:asciiTheme="majorHAnsi" w:eastAsia="Times New Roman" w:hAnsiTheme="majorHAnsi" w:cstheme="majorHAnsi"/>
                <w:sz w:val="22"/>
                <w:szCs w:val="22"/>
                <w:lang w:eastAsia="sk-SK"/>
              </w:rPr>
            </w:pPr>
            <w:r>
              <w:rPr>
                <w:rFonts w:cs="Calibri"/>
                <w:sz w:val="22"/>
                <w:szCs w:val="18"/>
              </w:rPr>
              <w:t>4</w:t>
            </w:r>
          </w:p>
        </w:tc>
        <w:tc>
          <w:tcPr>
            <w:tcW w:w="1748" w:type="dxa"/>
            <w:tcBorders>
              <w:top w:val="single" w:sz="4" w:space="0" w:color="auto"/>
              <w:left w:val="nil"/>
              <w:bottom w:val="single" w:sz="4" w:space="0" w:color="auto"/>
              <w:right w:val="single" w:sz="4" w:space="0" w:color="auto"/>
            </w:tcBorders>
            <w:shd w:val="clear" w:color="000000" w:fill="FFFFFF"/>
            <w:vAlign w:val="center"/>
            <w:hideMark/>
          </w:tcPr>
          <w:p w14:paraId="5612C5BB" w14:textId="47335557"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5</w:t>
            </w:r>
          </w:p>
        </w:tc>
        <w:tc>
          <w:tcPr>
            <w:tcW w:w="1749" w:type="dxa"/>
            <w:tcBorders>
              <w:top w:val="nil"/>
              <w:left w:val="nil"/>
              <w:bottom w:val="single" w:sz="4" w:space="0" w:color="auto"/>
              <w:right w:val="single" w:sz="4" w:space="0" w:color="auto"/>
            </w:tcBorders>
            <w:shd w:val="clear" w:color="000000" w:fill="FFFFFF"/>
            <w:vAlign w:val="center"/>
            <w:hideMark/>
          </w:tcPr>
          <w:p w14:paraId="29388574" w14:textId="06203A3E"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4</w:t>
            </w:r>
          </w:p>
        </w:tc>
        <w:tc>
          <w:tcPr>
            <w:tcW w:w="1984" w:type="dxa"/>
            <w:tcBorders>
              <w:top w:val="nil"/>
              <w:left w:val="single" w:sz="8" w:space="0" w:color="auto"/>
              <w:bottom w:val="single" w:sz="4" w:space="0" w:color="auto"/>
              <w:right w:val="single" w:sz="8" w:space="0" w:color="auto"/>
            </w:tcBorders>
            <w:shd w:val="clear" w:color="auto" w:fill="auto"/>
            <w:noWrap/>
            <w:vAlign w:val="center"/>
            <w:hideMark/>
          </w:tcPr>
          <w:p w14:paraId="786489E8" w14:textId="21B879EB"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cs="Calibri"/>
                <w:b/>
                <w:bCs/>
                <w:sz w:val="22"/>
                <w:szCs w:val="18"/>
              </w:rPr>
              <w:t>1</w:t>
            </w:r>
            <w:r w:rsidR="00906562">
              <w:rPr>
                <w:rFonts w:cs="Calibri"/>
                <w:b/>
                <w:bCs/>
                <w:sz w:val="22"/>
                <w:szCs w:val="18"/>
              </w:rPr>
              <w:t>3</w:t>
            </w:r>
          </w:p>
        </w:tc>
      </w:tr>
      <w:tr w:rsidR="009A412B" w:rsidRPr="0053555E" w14:paraId="3514C40E" w14:textId="77777777" w:rsidTr="009A412B">
        <w:trPr>
          <w:trHeight w:val="240"/>
        </w:trPr>
        <w:tc>
          <w:tcPr>
            <w:tcW w:w="1266" w:type="dxa"/>
            <w:tcBorders>
              <w:top w:val="nil"/>
              <w:left w:val="single" w:sz="8" w:space="0" w:color="auto"/>
              <w:bottom w:val="single" w:sz="4" w:space="0" w:color="auto"/>
              <w:right w:val="single" w:sz="8" w:space="0" w:color="auto"/>
            </w:tcBorders>
            <w:shd w:val="clear" w:color="auto" w:fill="auto"/>
            <w:noWrap/>
            <w:hideMark/>
          </w:tcPr>
          <w:p w14:paraId="05DA9782" w14:textId="77777777"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SjF</w:t>
            </w:r>
          </w:p>
        </w:tc>
        <w:tc>
          <w:tcPr>
            <w:tcW w:w="1748" w:type="dxa"/>
            <w:tcBorders>
              <w:top w:val="nil"/>
              <w:left w:val="nil"/>
              <w:bottom w:val="single" w:sz="4" w:space="0" w:color="auto"/>
              <w:right w:val="single" w:sz="4" w:space="0" w:color="auto"/>
            </w:tcBorders>
            <w:shd w:val="clear" w:color="auto" w:fill="auto"/>
            <w:noWrap/>
            <w:vAlign w:val="center"/>
            <w:hideMark/>
          </w:tcPr>
          <w:p w14:paraId="2DF31C10" w14:textId="2860ECC8"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1</w:t>
            </w:r>
          </w:p>
        </w:tc>
        <w:tc>
          <w:tcPr>
            <w:tcW w:w="1748" w:type="dxa"/>
            <w:tcBorders>
              <w:top w:val="nil"/>
              <w:left w:val="nil"/>
              <w:bottom w:val="single" w:sz="4" w:space="0" w:color="auto"/>
              <w:right w:val="single" w:sz="4" w:space="0" w:color="auto"/>
            </w:tcBorders>
            <w:shd w:val="clear" w:color="auto" w:fill="auto"/>
            <w:vAlign w:val="center"/>
            <w:hideMark/>
          </w:tcPr>
          <w:p w14:paraId="62885060" w14:textId="28CE0B3A"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1</w:t>
            </w:r>
          </w:p>
        </w:tc>
        <w:tc>
          <w:tcPr>
            <w:tcW w:w="1749" w:type="dxa"/>
            <w:tcBorders>
              <w:top w:val="nil"/>
              <w:left w:val="nil"/>
              <w:bottom w:val="single" w:sz="4" w:space="0" w:color="auto"/>
              <w:right w:val="single" w:sz="4" w:space="0" w:color="auto"/>
            </w:tcBorders>
            <w:shd w:val="clear" w:color="auto" w:fill="auto"/>
            <w:vAlign w:val="center"/>
            <w:hideMark/>
          </w:tcPr>
          <w:p w14:paraId="2280666B" w14:textId="039180C6"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 </w:t>
            </w:r>
          </w:p>
        </w:tc>
        <w:tc>
          <w:tcPr>
            <w:tcW w:w="1984" w:type="dxa"/>
            <w:tcBorders>
              <w:top w:val="nil"/>
              <w:left w:val="single" w:sz="8" w:space="0" w:color="auto"/>
              <w:bottom w:val="single" w:sz="4" w:space="0" w:color="auto"/>
              <w:right w:val="single" w:sz="8" w:space="0" w:color="auto"/>
            </w:tcBorders>
            <w:shd w:val="clear" w:color="auto" w:fill="auto"/>
            <w:noWrap/>
            <w:vAlign w:val="center"/>
            <w:hideMark/>
          </w:tcPr>
          <w:p w14:paraId="32E5CDCB" w14:textId="7A336327"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cs="Calibri"/>
                <w:b/>
                <w:bCs/>
                <w:sz w:val="22"/>
                <w:szCs w:val="18"/>
              </w:rPr>
              <w:t>2</w:t>
            </w:r>
          </w:p>
        </w:tc>
      </w:tr>
      <w:tr w:rsidR="009A412B" w:rsidRPr="0053555E" w14:paraId="6124F093" w14:textId="77777777" w:rsidTr="009A412B">
        <w:trPr>
          <w:trHeight w:val="240"/>
        </w:trPr>
        <w:tc>
          <w:tcPr>
            <w:tcW w:w="1266" w:type="dxa"/>
            <w:tcBorders>
              <w:top w:val="nil"/>
              <w:left w:val="single" w:sz="8" w:space="0" w:color="auto"/>
              <w:bottom w:val="single" w:sz="4" w:space="0" w:color="auto"/>
              <w:right w:val="single" w:sz="8" w:space="0" w:color="auto"/>
            </w:tcBorders>
            <w:shd w:val="clear" w:color="auto" w:fill="auto"/>
            <w:noWrap/>
            <w:hideMark/>
          </w:tcPr>
          <w:p w14:paraId="78B228B8" w14:textId="77777777"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FEI</w:t>
            </w:r>
          </w:p>
        </w:tc>
        <w:tc>
          <w:tcPr>
            <w:tcW w:w="1748" w:type="dxa"/>
            <w:tcBorders>
              <w:top w:val="nil"/>
              <w:left w:val="nil"/>
              <w:bottom w:val="single" w:sz="4" w:space="0" w:color="auto"/>
              <w:right w:val="single" w:sz="4" w:space="0" w:color="auto"/>
            </w:tcBorders>
            <w:shd w:val="clear" w:color="auto" w:fill="auto"/>
            <w:noWrap/>
            <w:vAlign w:val="center"/>
            <w:hideMark/>
          </w:tcPr>
          <w:p w14:paraId="65D120AA" w14:textId="799C0FD6"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9</w:t>
            </w:r>
          </w:p>
        </w:tc>
        <w:tc>
          <w:tcPr>
            <w:tcW w:w="1748" w:type="dxa"/>
            <w:tcBorders>
              <w:top w:val="nil"/>
              <w:left w:val="nil"/>
              <w:bottom w:val="single" w:sz="4" w:space="0" w:color="auto"/>
              <w:right w:val="single" w:sz="4" w:space="0" w:color="auto"/>
            </w:tcBorders>
            <w:shd w:val="clear" w:color="auto" w:fill="auto"/>
            <w:noWrap/>
            <w:vAlign w:val="center"/>
            <w:hideMark/>
          </w:tcPr>
          <w:p w14:paraId="22DF037C" w14:textId="0E692CF9"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9</w:t>
            </w:r>
          </w:p>
        </w:tc>
        <w:tc>
          <w:tcPr>
            <w:tcW w:w="1749" w:type="dxa"/>
            <w:tcBorders>
              <w:top w:val="nil"/>
              <w:left w:val="nil"/>
              <w:bottom w:val="single" w:sz="4" w:space="0" w:color="auto"/>
              <w:right w:val="single" w:sz="4" w:space="0" w:color="auto"/>
            </w:tcBorders>
            <w:shd w:val="clear" w:color="auto" w:fill="auto"/>
            <w:noWrap/>
            <w:vAlign w:val="center"/>
            <w:hideMark/>
          </w:tcPr>
          <w:p w14:paraId="60956AD6" w14:textId="3316C2E9"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8</w:t>
            </w:r>
          </w:p>
        </w:tc>
        <w:tc>
          <w:tcPr>
            <w:tcW w:w="1984" w:type="dxa"/>
            <w:tcBorders>
              <w:top w:val="nil"/>
              <w:left w:val="single" w:sz="8" w:space="0" w:color="auto"/>
              <w:bottom w:val="single" w:sz="4" w:space="0" w:color="auto"/>
              <w:right w:val="single" w:sz="8" w:space="0" w:color="auto"/>
            </w:tcBorders>
            <w:shd w:val="clear" w:color="auto" w:fill="auto"/>
            <w:noWrap/>
            <w:vAlign w:val="center"/>
            <w:hideMark/>
          </w:tcPr>
          <w:p w14:paraId="5F3075D2" w14:textId="39C3F711"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cs="Calibri"/>
                <w:b/>
                <w:bCs/>
                <w:sz w:val="22"/>
                <w:szCs w:val="18"/>
              </w:rPr>
              <w:t>26</w:t>
            </w:r>
          </w:p>
        </w:tc>
      </w:tr>
      <w:tr w:rsidR="009A412B" w:rsidRPr="0053555E" w14:paraId="02F67340" w14:textId="77777777" w:rsidTr="009A412B">
        <w:trPr>
          <w:trHeight w:val="240"/>
        </w:trPr>
        <w:tc>
          <w:tcPr>
            <w:tcW w:w="1266" w:type="dxa"/>
            <w:tcBorders>
              <w:top w:val="nil"/>
              <w:left w:val="single" w:sz="8" w:space="0" w:color="auto"/>
              <w:bottom w:val="single" w:sz="4" w:space="0" w:color="auto"/>
              <w:right w:val="single" w:sz="8" w:space="0" w:color="auto"/>
            </w:tcBorders>
            <w:shd w:val="clear" w:color="auto" w:fill="auto"/>
            <w:noWrap/>
            <w:hideMark/>
          </w:tcPr>
          <w:p w14:paraId="612E17D5" w14:textId="77777777"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FCHPT</w:t>
            </w:r>
          </w:p>
        </w:tc>
        <w:tc>
          <w:tcPr>
            <w:tcW w:w="1748" w:type="dxa"/>
            <w:tcBorders>
              <w:top w:val="nil"/>
              <w:left w:val="nil"/>
              <w:bottom w:val="single" w:sz="4" w:space="0" w:color="auto"/>
              <w:right w:val="single" w:sz="4" w:space="0" w:color="auto"/>
            </w:tcBorders>
            <w:shd w:val="clear" w:color="auto" w:fill="auto"/>
            <w:noWrap/>
            <w:vAlign w:val="center"/>
            <w:hideMark/>
          </w:tcPr>
          <w:p w14:paraId="40553DD1" w14:textId="079A43CE"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8</w:t>
            </w:r>
          </w:p>
        </w:tc>
        <w:tc>
          <w:tcPr>
            <w:tcW w:w="1748" w:type="dxa"/>
            <w:tcBorders>
              <w:top w:val="nil"/>
              <w:left w:val="nil"/>
              <w:bottom w:val="single" w:sz="4" w:space="0" w:color="auto"/>
              <w:right w:val="single" w:sz="4" w:space="0" w:color="auto"/>
            </w:tcBorders>
            <w:shd w:val="clear" w:color="auto" w:fill="auto"/>
            <w:vAlign w:val="center"/>
            <w:hideMark/>
          </w:tcPr>
          <w:p w14:paraId="213142EF" w14:textId="4A0BF549"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4</w:t>
            </w:r>
          </w:p>
        </w:tc>
        <w:tc>
          <w:tcPr>
            <w:tcW w:w="1749" w:type="dxa"/>
            <w:tcBorders>
              <w:top w:val="nil"/>
              <w:left w:val="nil"/>
              <w:bottom w:val="single" w:sz="4" w:space="0" w:color="auto"/>
              <w:right w:val="single" w:sz="4" w:space="0" w:color="auto"/>
            </w:tcBorders>
            <w:shd w:val="clear" w:color="auto" w:fill="auto"/>
            <w:vAlign w:val="center"/>
            <w:hideMark/>
          </w:tcPr>
          <w:p w14:paraId="79E193A7" w14:textId="3E9787BB"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20</w:t>
            </w:r>
          </w:p>
        </w:tc>
        <w:tc>
          <w:tcPr>
            <w:tcW w:w="1984" w:type="dxa"/>
            <w:tcBorders>
              <w:top w:val="nil"/>
              <w:left w:val="single" w:sz="8" w:space="0" w:color="auto"/>
              <w:bottom w:val="single" w:sz="4" w:space="0" w:color="auto"/>
              <w:right w:val="single" w:sz="8" w:space="0" w:color="auto"/>
            </w:tcBorders>
            <w:shd w:val="clear" w:color="auto" w:fill="auto"/>
            <w:noWrap/>
            <w:vAlign w:val="center"/>
            <w:hideMark/>
          </w:tcPr>
          <w:p w14:paraId="5DEA5CC9" w14:textId="453A9131"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cs="Calibri"/>
                <w:b/>
                <w:bCs/>
                <w:sz w:val="22"/>
                <w:szCs w:val="18"/>
              </w:rPr>
              <w:t>32</w:t>
            </w:r>
          </w:p>
        </w:tc>
      </w:tr>
      <w:tr w:rsidR="009A412B" w:rsidRPr="0053555E" w14:paraId="2235EDA3" w14:textId="77777777" w:rsidTr="009A412B">
        <w:trPr>
          <w:trHeight w:val="240"/>
        </w:trPr>
        <w:tc>
          <w:tcPr>
            <w:tcW w:w="1266" w:type="dxa"/>
            <w:tcBorders>
              <w:top w:val="nil"/>
              <w:left w:val="single" w:sz="8" w:space="0" w:color="auto"/>
              <w:bottom w:val="single" w:sz="4" w:space="0" w:color="auto"/>
              <w:right w:val="single" w:sz="8" w:space="0" w:color="auto"/>
            </w:tcBorders>
            <w:shd w:val="clear" w:color="auto" w:fill="auto"/>
            <w:noWrap/>
            <w:hideMark/>
          </w:tcPr>
          <w:p w14:paraId="43B004C3" w14:textId="77777777"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FAD</w:t>
            </w:r>
          </w:p>
        </w:tc>
        <w:tc>
          <w:tcPr>
            <w:tcW w:w="1748" w:type="dxa"/>
            <w:tcBorders>
              <w:top w:val="nil"/>
              <w:left w:val="nil"/>
              <w:bottom w:val="single" w:sz="4" w:space="0" w:color="auto"/>
              <w:right w:val="single" w:sz="4" w:space="0" w:color="auto"/>
            </w:tcBorders>
            <w:shd w:val="clear" w:color="auto" w:fill="auto"/>
            <w:noWrap/>
            <w:vAlign w:val="center"/>
            <w:hideMark/>
          </w:tcPr>
          <w:p w14:paraId="52B3949E" w14:textId="72E0CF34"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 </w:t>
            </w:r>
          </w:p>
        </w:tc>
        <w:tc>
          <w:tcPr>
            <w:tcW w:w="1748" w:type="dxa"/>
            <w:tcBorders>
              <w:top w:val="nil"/>
              <w:left w:val="nil"/>
              <w:bottom w:val="single" w:sz="4" w:space="0" w:color="auto"/>
              <w:right w:val="single" w:sz="4" w:space="0" w:color="auto"/>
            </w:tcBorders>
            <w:shd w:val="clear" w:color="auto" w:fill="auto"/>
            <w:noWrap/>
            <w:vAlign w:val="center"/>
            <w:hideMark/>
          </w:tcPr>
          <w:p w14:paraId="4E5951D5" w14:textId="20753A2A"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1</w:t>
            </w:r>
          </w:p>
        </w:tc>
        <w:tc>
          <w:tcPr>
            <w:tcW w:w="1749" w:type="dxa"/>
            <w:tcBorders>
              <w:top w:val="nil"/>
              <w:left w:val="nil"/>
              <w:bottom w:val="single" w:sz="4" w:space="0" w:color="auto"/>
              <w:right w:val="single" w:sz="4" w:space="0" w:color="auto"/>
            </w:tcBorders>
            <w:shd w:val="clear" w:color="auto" w:fill="auto"/>
            <w:noWrap/>
            <w:vAlign w:val="center"/>
            <w:hideMark/>
          </w:tcPr>
          <w:p w14:paraId="53A52973" w14:textId="1490C094"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4</w:t>
            </w:r>
          </w:p>
        </w:tc>
        <w:tc>
          <w:tcPr>
            <w:tcW w:w="1984" w:type="dxa"/>
            <w:tcBorders>
              <w:top w:val="nil"/>
              <w:left w:val="single" w:sz="8" w:space="0" w:color="auto"/>
              <w:bottom w:val="single" w:sz="4" w:space="0" w:color="auto"/>
              <w:right w:val="single" w:sz="8" w:space="0" w:color="auto"/>
            </w:tcBorders>
            <w:shd w:val="clear" w:color="auto" w:fill="auto"/>
            <w:noWrap/>
            <w:vAlign w:val="center"/>
            <w:hideMark/>
          </w:tcPr>
          <w:p w14:paraId="02340F27" w14:textId="692F6671"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cs="Calibri"/>
                <w:b/>
                <w:bCs/>
                <w:sz w:val="22"/>
                <w:szCs w:val="18"/>
              </w:rPr>
              <w:t>5</w:t>
            </w:r>
          </w:p>
        </w:tc>
      </w:tr>
      <w:tr w:rsidR="009A412B" w:rsidRPr="0053555E" w14:paraId="7933D993" w14:textId="77777777" w:rsidTr="009A412B">
        <w:trPr>
          <w:trHeight w:val="240"/>
        </w:trPr>
        <w:tc>
          <w:tcPr>
            <w:tcW w:w="1266" w:type="dxa"/>
            <w:tcBorders>
              <w:top w:val="nil"/>
              <w:left w:val="single" w:sz="8" w:space="0" w:color="auto"/>
              <w:bottom w:val="single" w:sz="4" w:space="0" w:color="auto"/>
              <w:right w:val="single" w:sz="8" w:space="0" w:color="auto"/>
            </w:tcBorders>
            <w:shd w:val="clear" w:color="auto" w:fill="auto"/>
            <w:noWrap/>
            <w:hideMark/>
          </w:tcPr>
          <w:p w14:paraId="09EA4EFA" w14:textId="77777777"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MTF</w:t>
            </w:r>
          </w:p>
        </w:tc>
        <w:tc>
          <w:tcPr>
            <w:tcW w:w="1748" w:type="dxa"/>
            <w:tcBorders>
              <w:top w:val="nil"/>
              <w:left w:val="nil"/>
              <w:bottom w:val="single" w:sz="4" w:space="0" w:color="auto"/>
              <w:right w:val="single" w:sz="4" w:space="0" w:color="auto"/>
            </w:tcBorders>
            <w:shd w:val="clear" w:color="auto" w:fill="auto"/>
            <w:noWrap/>
            <w:vAlign w:val="center"/>
            <w:hideMark/>
          </w:tcPr>
          <w:p w14:paraId="7CE47F3E" w14:textId="11943F37"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2</w:t>
            </w:r>
          </w:p>
        </w:tc>
        <w:tc>
          <w:tcPr>
            <w:tcW w:w="1748" w:type="dxa"/>
            <w:tcBorders>
              <w:top w:val="nil"/>
              <w:left w:val="nil"/>
              <w:bottom w:val="single" w:sz="4" w:space="0" w:color="auto"/>
              <w:right w:val="single" w:sz="4" w:space="0" w:color="auto"/>
            </w:tcBorders>
            <w:shd w:val="clear" w:color="auto" w:fill="auto"/>
            <w:vAlign w:val="center"/>
            <w:hideMark/>
          </w:tcPr>
          <w:p w14:paraId="64F27717" w14:textId="5042A8D6"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6"/>
              </w:rPr>
              <w:t>4</w:t>
            </w:r>
          </w:p>
        </w:tc>
        <w:tc>
          <w:tcPr>
            <w:tcW w:w="1749" w:type="dxa"/>
            <w:tcBorders>
              <w:top w:val="nil"/>
              <w:left w:val="nil"/>
              <w:bottom w:val="single" w:sz="4" w:space="0" w:color="auto"/>
              <w:right w:val="single" w:sz="4" w:space="0" w:color="auto"/>
            </w:tcBorders>
            <w:shd w:val="clear" w:color="auto" w:fill="auto"/>
            <w:vAlign w:val="center"/>
            <w:hideMark/>
          </w:tcPr>
          <w:p w14:paraId="44CF9A14" w14:textId="393B5B37"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6"/>
              </w:rPr>
              <w:t>12</w:t>
            </w:r>
          </w:p>
        </w:tc>
        <w:tc>
          <w:tcPr>
            <w:tcW w:w="1984" w:type="dxa"/>
            <w:tcBorders>
              <w:top w:val="nil"/>
              <w:left w:val="single" w:sz="8" w:space="0" w:color="auto"/>
              <w:bottom w:val="single" w:sz="4" w:space="0" w:color="auto"/>
              <w:right w:val="single" w:sz="8" w:space="0" w:color="auto"/>
            </w:tcBorders>
            <w:shd w:val="clear" w:color="auto" w:fill="auto"/>
            <w:noWrap/>
            <w:vAlign w:val="center"/>
            <w:hideMark/>
          </w:tcPr>
          <w:p w14:paraId="6B56BA3E" w14:textId="36770116"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cs="Calibri"/>
                <w:b/>
                <w:bCs/>
                <w:sz w:val="22"/>
                <w:szCs w:val="18"/>
              </w:rPr>
              <w:t>18</w:t>
            </w:r>
          </w:p>
        </w:tc>
      </w:tr>
      <w:tr w:rsidR="009A412B" w:rsidRPr="0053555E" w14:paraId="2AEEC27F" w14:textId="77777777" w:rsidTr="009A412B">
        <w:trPr>
          <w:trHeight w:val="240"/>
        </w:trPr>
        <w:tc>
          <w:tcPr>
            <w:tcW w:w="1266" w:type="dxa"/>
            <w:tcBorders>
              <w:top w:val="nil"/>
              <w:left w:val="single" w:sz="8" w:space="0" w:color="auto"/>
              <w:bottom w:val="single" w:sz="4" w:space="0" w:color="auto"/>
              <w:right w:val="single" w:sz="8" w:space="0" w:color="auto"/>
            </w:tcBorders>
            <w:shd w:val="clear" w:color="auto" w:fill="auto"/>
            <w:noWrap/>
            <w:hideMark/>
          </w:tcPr>
          <w:p w14:paraId="552EE2BF" w14:textId="77777777"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FIIT</w:t>
            </w:r>
          </w:p>
        </w:tc>
        <w:tc>
          <w:tcPr>
            <w:tcW w:w="1748" w:type="dxa"/>
            <w:tcBorders>
              <w:top w:val="nil"/>
              <w:left w:val="nil"/>
              <w:bottom w:val="single" w:sz="4" w:space="0" w:color="auto"/>
              <w:right w:val="single" w:sz="4" w:space="0" w:color="auto"/>
            </w:tcBorders>
            <w:shd w:val="clear" w:color="auto" w:fill="auto"/>
            <w:noWrap/>
            <w:vAlign w:val="center"/>
            <w:hideMark/>
          </w:tcPr>
          <w:p w14:paraId="02BDAD74" w14:textId="348F6D39"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4</w:t>
            </w:r>
          </w:p>
        </w:tc>
        <w:tc>
          <w:tcPr>
            <w:tcW w:w="1748" w:type="dxa"/>
            <w:tcBorders>
              <w:top w:val="nil"/>
              <w:left w:val="nil"/>
              <w:bottom w:val="single" w:sz="4" w:space="0" w:color="auto"/>
              <w:right w:val="single" w:sz="4" w:space="0" w:color="auto"/>
            </w:tcBorders>
            <w:shd w:val="clear" w:color="auto" w:fill="auto"/>
            <w:noWrap/>
            <w:vAlign w:val="center"/>
            <w:hideMark/>
          </w:tcPr>
          <w:p w14:paraId="41B3FC7A" w14:textId="18D2012C"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6</w:t>
            </w:r>
          </w:p>
        </w:tc>
        <w:tc>
          <w:tcPr>
            <w:tcW w:w="1749" w:type="dxa"/>
            <w:tcBorders>
              <w:top w:val="nil"/>
              <w:left w:val="nil"/>
              <w:bottom w:val="single" w:sz="4" w:space="0" w:color="auto"/>
              <w:right w:val="single" w:sz="4" w:space="0" w:color="auto"/>
            </w:tcBorders>
            <w:shd w:val="clear" w:color="auto" w:fill="auto"/>
            <w:noWrap/>
            <w:vAlign w:val="center"/>
            <w:hideMark/>
          </w:tcPr>
          <w:p w14:paraId="30E9BD26" w14:textId="18A85D17"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4</w:t>
            </w:r>
          </w:p>
        </w:tc>
        <w:tc>
          <w:tcPr>
            <w:tcW w:w="1984" w:type="dxa"/>
            <w:tcBorders>
              <w:top w:val="nil"/>
              <w:left w:val="single" w:sz="8" w:space="0" w:color="auto"/>
              <w:bottom w:val="single" w:sz="4" w:space="0" w:color="auto"/>
              <w:right w:val="single" w:sz="8" w:space="0" w:color="auto"/>
            </w:tcBorders>
            <w:shd w:val="clear" w:color="auto" w:fill="auto"/>
            <w:noWrap/>
            <w:vAlign w:val="center"/>
            <w:hideMark/>
          </w:tcPr>
          <w:p w14:paraId="120A29B5" w14:textId="60C6FA08"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cs="Calibri"/>
                <w:b/>
                <w:bCs/>
                <w:sz w:val="22"/>
                <w:szCs w:val="18"/>
              </w:rPr>
              <w:t>14</w:t>
            </w:r>
          </w:p>
        </w:tc>
      </w:tr>
      <w:tr w:rsidR="009A412B" w:rsidRPr="0053555E" w14:paraId="6B94CB3E" w14:textId="77777777" w:rsidTr="009A412B">
        <w:trPr>
          <w:trHeight w:val="240"/>
        </w:trPr>
        <w:tc>
          <w:tcPr>
            <w:tcW w:w="1266" w:type="dxa"/>
            <w:tcBorders>
              <w:top w:val="nil"/>
              <w:left w:val="single" w:sz="8" w:space="0" w:color="auto"/>
              <w:bottom w:val="single" w:sz="4" w:space="0" w:color="auto"/>
              <w:right w:val="single" w:sz="8" w:space="0" w:color="auto"/>
            </w:tcBorders>
            <w:shd w:val="clear" w:color="auto" w:fill="auto"/>
            <w:noWrap/>
            <w:hideMark/>
          </w:tcPr>
          <w:p w14:paraId="24A84F64" w14:textId="77777777"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ÚM</w:t>
            </w:r>
          </w:p>
        </w:tc>
        <w:tc>
          <w:tcPr>
            <w:tcW w:w="1748" w:type="dxa"/>
            <w:tcBorders>
              <w:top w:val="nil"/>
              <w:left w:val="nil"/>
              <w:bottom w:val="single" w:sz="4" w:space="0" w:color="auto"/>
              <w:right w:val="single" w:sz="4" w:space="0" w:color="auto"/>
            </w:tcBorders>
            <w:shd w:val="clear" w:color="auto" w:fill="auto"/>
            <w:noWrap/>
            <w:vAlign w:val="center"/>
            <w:hideMark/>
          </w:tcPr>
          <w:p w14:paraId="67FA6D37" w14:textId="4C72FD04"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 </w:t>
            </w:r>
          </w:p>
        </w:tc>
        <w:tc>
          <w:tcPr>
            <w:tcW w:w="1748" w:type="dxa"/>
            <w:tcBorders>
              <w:top w:val="nil"/>
              <w:left w:val="nil"/>
              <w:bottom w:val="single" w:sz="4" w:space="0" w:color="auto"/>
              <w:right w:val="single" w:sz="4" w:space="0" w:color="auto"/>
            </w:tcBorders>
            <w:shd w:val="clear" w:color="auto" w:fill="auto"/>
            <w:vAlign w:val="center"/>
            <w:hideMark/>
          </w:tcPr>
          <w:p w14:paraId="0D3CD889" w14:textId="726162CF"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 </w:t>
            </w:r>
          </w:p>
        </w:tc>
        <w:tc>
          <w:tcPr>
            <w:tcW w:w="1749" w:type="dxa"/>
            <w:tcBorders>
              <w:top w:val="nil"/>
              <w:left w:val="nil"/>
              <w:bottom w:val="single" w:sz="4" w:space="0" w:color="auto"/>
              <w:right w:val="single" w:sz="4" w:space="0" w:color="auto"/>
            </w:tcBorders>
            <w:shd w:val="clear" w:color="auto" w:fill="auto"/>
            <w:vAlign w:val="center"/>
            <w:hideMark/>
          </w:tcPr>
          <w:p w14:paraId="724BB56A" w14:textId="1D188FAB" w:rsidR="009A412B" w:rsidRPr="0053555E" w:rsidRDefault="009A412B" w:rsidP="009A412B">
            <w:pPr>
              <w:jc w:val="center"/>
              <w:rPr>
                <w:rFonts w:asciiTheme="majorHAnsi" w:eastAsia="Times New Roman" w:hAnsiTheme="majorHAnsi" w:cstheme="majorHAnsi"/>
                <w:sz w:val="22"/>
                <w:szCs w:val="22"/>
                <w:lang w:eastAsia="sk-SK"/>
              </w:rPr>
            </w:pPr>
            <w:r w:rsidRPr="0053555E">
              <w:rPr>
                <w:rFonts w:cs="Calibri"/>
                <w:sz w:val="22"/>
                <w:szCs w:val="18"/>
              </w:rPr>
              <w:t> </w:t>
            </w:r>
          </w:p>
        </w:tc>
        <w:tc>
          <w:tcPr>
            <w:tcW w:w="1984" w:type="dxa"/>
            <w:tcBorders>
              <w:top w:val="nil"/>
              <w:left w:val="single" w:sz="8" w:space="0" w:color="auto"/>
              <w:bottom w:val="single" w:sz="4" w:space="0" w:color="auto"/>
              <w:right w:val="single" w:sz="8" w:space="0" w:color="auto"/>
            </w:tcBorders>
            <w:shd w:val="clear" w:color="auto" w:fill="auto"/>
            <w:noWrap/>
            <w:vAlign w:val="center"/>
            <w:hideMark/>
          </w:tcPr>
          <w:p w14:paraId="5D7BA5CF" w14:textId="56F1C293"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cs="Calibri"/>
                <w:b/>
                <w:bCs/>
                <w:sz w:val="22"/>
                <w:szCs w:val="18"/>
              </w:rPr>
              <w:t>0</w:t>
            </w:r>
          </w:p>
        </w:tc>
      </w:tr>
      <w:tr w:rsidR="009A412B" w:rsidRPr="0053555E" w14:paraId="6F199672" w14:textId="77777777" w:rsidTr="009A412B">
        <w:trPr>
          <w:trHeight w:val="250"/>
        </w:trPr>
        <w:tc>
          <w:tcPr>
            <w:tcW w:w="1266" w:type="dxa"/>
            <w:tcBorders>
              <w:top w:val="nil"/>
              <w:left w:val="single" w:sz="8" w:space="0" w:color="auto"/>
              <w:bottom w:val="single" w:sz="8" w:space="0" w:color="auto"/>
              <w:right w:val="single" w:sz="8" w:space="0" w:color="auto"/>
            </w:tcBorders>
            <w:shd w:val="clear" w:color="000000" w:fill="EEECE1"/>
            <w:noWrap/>
            <w:hideMark/>
          </w:tcPr>
          <w:p w14:paraId="4645E995" w14:textId="77777777"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STU</w:t>
            </w:r>
          </w:p>
        </w:tc>
        <w:tc>
          <w:tcPr>
            <w:tcW w:w="1748" w:type="dxa"/>
            <w:tcBorders>
              <w:top w:val="nil"/>
              <w:left w:val="nil"/>
              <w:bottom w:val="single" w:sz="8" w:space="0" w:color="auto"/>
              <w:right w:val="single" w:sz="4" w:space="0" w:color="auto"/>
            </w:tcBorders>
            <w:shd w:val="clear" w:color="000000" w:fill="EEECE1"/>
            <w:noWrap/>
            <w:hideMark/>
          </w:tcPr>
          <w:p w14:paraId="031ECDE0" w14:textId="40330459"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cs="Calibri"/>
                <w:b/>
                <w:bCs/>
                <w:sz w:val="22"/>
                <w:szCs w:val="18"/>
              </w:rPr>
              <w:t>2</w:t>
            </w:r>
            <w:r w:rsidR="00BD20FC">
              <w:rPr>
                <w:rFonts w:cs="Calibri"/>
                <w:b/>
                <w:bCs/>
                <w:sz w:val="22"/>
                <w:szCs w:val="18"/>
              </w:rPr>
              <w:t>8</w:t>
            </w:r>
          </w:p>
        </w:tc>
        <w:tc>
          <w:tcPr>
            <w:tcW w:w="1748" w:type="dxa"/>
            <w:tcBorders>
              <w:top w:val="single" w:sz="4" w:space="0" w:color="auto"/>
              <w:left w:val="nil"/>
              <w:bottom w:val="single" w:sz="8" w:space="0" w:color="auto"/>
              <w:right w:val="single" w:sz="4" w:space="0" w:color="auto"/>
            </w:tcBorders>
            <w:shd w:val="clear" w:color="000000" w:fill="EEECE1"/>
            <w:noWrap/>
            <w:hideMark/>
          </w:tcPr>
          <w:p w14:paraId="4FCCCE8F" w14:textId="3AA1EBC6"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cs="Calibri"/>
                <w:b/>
                <w:bCs/>
                <w:sz w:val="22"/>
                <w:szCs w:val="18"/>
              </w:rPr>
              <w:t>30</w:t>
            </w:r>
          </w:p>
        </w:tc>
        <w:tc>
          <w:tcPr>
            <w:tcW w:w="1749" w:type="dxa"/>
            <w:tcBorders>
              <w:top w:val="single" w:sz="4" w:space="0" w:color="auto"/>
              <w:left w:val="nil"/>
              <w:bottom w:val="single" w:sz="8" w:space="0" w:color="auto"/>
              <w:right w:val="single" w:sz="4" w:space="0" w:color="auto"/>
            </w:tcBorders>
            <w:shd w:val="clear" w:color="000000" w:fill="EEECE1"/>
            <w:noWrap/>
            <w:hideMark/>
          </w:tcPr>
          <w:p w14:paraId="7F1D2907" w14:textId="33B01795"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cs="Calibri"/>
                <w:b/>
                <w:bCs/>
                <w:sz w:val="22"/>
                <w:szCs w:val="18"/>
              </w:rPr>
              <w:t>52</w:t>
            </w:r>
          </w:p>
        </w:tc>
        <w:tc>
          <w:tcPr>
            <w:tcW w:w="1984" w:type="dxa"/>
            <w:tcBorders>
              <w:top w:val="nil"/>
              <w:left w:val="single" w:sz="8" w:space="0" w:color="auto"/>
              <w:bottom w:val="single" w:sz="8" w:space="0" w:color="auto"/>
              <w:right w:val="single" w:sz="8" w:space="0" w:color="auto"/>
            </w:tcBorders>
            <w:shd w:val="clear" w:color="000000" w:fill="EEECE1"/>
            <w:noWrap/>
            <w:hideMark/>
          </w:tcPr>
          <w:p w14:paraId="1CBBE3A9" w14:textId="6DB6924F" w:rsidR="009A412B" w:rsidRPr="0053555E" w:rsidRDefault="009A412B" w:rsidP="009A412B">
            <w:pPr>
              <w:jc w:val="center"/>
              <w:rPr>
                <w:rFonts w:asciiTheme="majorHAnsi" w:eastAsia="Times New Roman" w:hAnsiTheme="majorHAnsi" w:cstheme="majorHAnsi"/>
                <w:b/>
                <w:bCs/>
                <w:sz w:val="22"/>
                <w:szCs w:val="22"/>
                <w:lang w:eastAsia="sk-SK"/>
              </w:rPr>
            </w:pPr>
            <w:r w:rsidRPr="0053555E">
              <w:rPr>
                <w:rFonts w:cs="Calibri"/>
                <w:b/>
                <w:bCs/>
                <w:sz w:val="22"/>
                <w:szCs w:val="18"/>
              </w:rPr>
              <w:t>1</w:t>
            </w:r>
            <w:r w:rsidR="00906562">
              <w:rPr>
                <w:rFonts w:cs="Calibri"/>
                <w:b/>
                <w:bCs/>
                <w:sz w:val="22"/>
                <w:szCs w:val="18"/>
              </w:rPr>
              <w:t>10</w:t>
            </w:r>
          </w:p>
        </w:tc>
      </w:tr>
    </w:tbl>
    <w:p w14:paraId="77A03A3D" w14:textId="3266CE50" w:rsidR="00BD20FC" w:rsidRDefault="00BD20FC" w:rsidP="00662866">
      <w:pPr>
        <w:jc w:val="both"/>
      </w:pPr>
    </w:p>
    <w:p w14:paraId="2FF3298A" w14:textId="0B2D3F17" w:rsidR="00253880" w:rsidRDefault="00CC0150" w:rsidP="00157E3C">
      <w:r w:rsidRPr="0053555E">
        <w:t xml:space="preserve">V júli 2022 bola Rada VSK požiadaná o posúdenie návrhu úpravy študijných programov z dôvodu personálnych zmien na súčastiach STU. Aj tieto návrhy boli </w:t>
      </w:r>
      <w:r w:rsidR="00253880">
        <w:t xml:space="preserve">Radou VSK </w:t>
      </w:r>
      <w:r w:rsidRPr="0053555E">
        <w:t>posúdené kladne.</w:t>
      </w:r>
      <w:r w:rsidR="00253880">
        <w:t xml:space="preserve"> </w:t>
      </w:r>
    </w:p>
    <w:p w14:paraId="61DA005D" w14:textId="77777777" w:rsidR="00170394" w:rsidRPr="0053555E" w:rsidRDefault="00170394" w:rsidP="00157E3C"/>
    <w:p w14:paraId="70E12B6B" w14:textId="7864B3AD" w:rsidR="00CC0150" w:rsidRPr="0053555E" w:rsidRDefault="00CC0150" w:rsidP="000E3322">
      <w:pPr>
        <w:pStyle w:val="Popis"/>
      </w:pPr>
      <w:bookmarkStart w:id="285" w:name="_Ref127111251"/>
      <w:bookmarkStart w:id="286" w:name="_Ref127525527"/>
      <w:bookmarkStart w:id="287" w:name="_Toc127593321"/>
      <w:r w:rsidRPr="0053555E">
        <w:t>Tab. č.</w:t>
      </w:r>
      <w:bookmarkEnd w:id="285"/>
      <w:r w:rsidR="00E82525">
        <w:t xml:space="preserve"> 70</w:t>
      </w:r>
      <w:r w:rsidRPr="0053555E">
        <w:t>: Študijné programy, ktoré boli predložené Rade VSK na posúdenie návrhu úpravy</w:t>
      </w:r>
      <w:r w:rsidR="00FB3257" w:rsidRPr="0053555E">
        <w:t xml:space="preserve"> v akad. </w:t>
      </w:r>
      <w:r w:rsidR="002F1361" w:rsidRPr="0053555E">
        <w:t>roku</w:t>
      </w:r>
      <w:r w:rsidR="00FB3257" w:rsidRPr="0053555E">
        <w:t xml:space="preserve"> 2021/2022</w:t>
      </w:r>
      <w:bookmarkEnd w:id="286"/>
      <w:bookmarkEnd w:id="287"/>
    </w:p>
    <w:tbl>
      <w:tblPr>
        <w:tblW w:w="9062" w:type="dxa"/>
        <w:tblCellMar>
          <w:left w:w="70" w:type="dxa"/>
          <w:right w:w="70" w:type="dxa"/>
        </w:tblCellMar>
        <w:tblLook w:val="04A0" w:firstRow="1" w:lastRow="0" w:firstColumn="1" w:lastColumn="0" w:noHBand="0" w:noVBand="1"/>
      </w:tblPr>
      <w:tblGrid>
        <w:gridCol w:w="1833"/>
        <w:gridCol w:w="1701"/>
        <w:gridCol w:w="1701"/>
        <w:gridCol w:w="1559"/>
        <w:gridCol w:w="2268"/>
      </w:tblGrid>
      <w:tr w:rsidR="00C54A1E" w:rsidRPr="0053555E" w14:paraId="11879C51" w14:textId="77777777" w:rsidTr="00C54A1E">
        <w:trPr>
          <w:trHeight w:val="20"/>
        </w:trPr>
        <w:tc>
          <w:tcPr>
            <w:tcW w:w="1833"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041330AA" w14:textId="77777777" w:rsidR="00C54A1E" w:rsidRPr="0053555E" w:rsidRDefault="00C54A1E" w:rsidP="00C54A1E">
            <w:pPr>
              <w:ind w:right="494"/>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Súčasť STU</w:t>
            </w:r>
          </w:p>
        </w:tc>
        <w:tc>
          <w:tcPr>
            <w:tcW w:w="4961" w:type="dxa"/>
            <w:gridSpan w:val="3"/>
            <w:tcBorders>
              <w:top w:val="single" w:sz="8" w:space="0" w:color="auto"/>
              <w:left w:val="nil"/>
              <w:bottom w:val="single" w:sz="4" w:space="0" w:color="auto"/>
              <w:right w:val="single" w:sz="8" w:space="0" w:color="000000"/>
            </w:tcBorders>
            <w:shd w:val="clear" w:color="auto" w:fill="auto"/>
            <w:hideMark/>
          </w:tcPr>
          <w:p w14:paraId="6F3E8D59" w14:textId="7D2AA409" w:rsidR="00C54A1E" w:rsidRPr="0053555E" w:rsidRDefault="00C54A1E" w:rsidP="00CC0150">
            <w:pPr>
              <w:ind w:right="494"/>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Návrh na úpravu ŠP</w:t>
            </w:r>
          </w:p>
        </w:tc>
        <w:tc>
          <w:tcPr>
            <w:tcW w:w="2268" w:type="dxa"/>
            <w:vMerge w:val="restart"/>
            <w:tcBorders>
              <w:top w:val="single" w:sz="8" w:space="0" w:color="auto"/>
              <w:left w:val="single" w:sz="8" w:space="0" w:color="auto"/>
              <w:right w:val="single" w:sz="8" w:space="0" w:color="auto"/>
            </w:tcBorders>
            <w:shd w:val="clear" w:color="auto" w:fill="auto"/>
            <w:hideMark/>
          </w:tcPr>
          <w:p w14:paraId="4DC173E3" w14:textId="77777777" w:rsidR="00C54A1E" w:rsidRPr="0053555E" w:rsidRDefault="00C54A1E" w:rsidP="00CC0150">
            <w:pPr>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celkom počet študijných programov</w:t>
            </w:r>
          </w:p>
        </w:tc>
      </w:tr>
      <w:tr w:rsidR="00C54A1E" w:rsidRPr="0053555E" w14:paraId="702D9152" w14:textId="77777777" w:rsidTr="00C54A1E">
        <w:trPr>
          <w:trHeight w:val="20"/>
        </w:trPr>
        <w:tc>
          <w:tcPr>
            <w:tcW w:w="1833" w:type="dxa"/>
            <w:vMerge/>
            <w:tcBorders>
              <w:top w:val="single" w:sz="8" w:space="0" w:color="auto"/>
              <w:left w:val="single" w:sz="8" w:space="0" w:color="auto"/>
              <w:bottom w:val="single" w:sz="4" w:space="0" w:color="000000"/>
              <w:right w:val="single" w:sz="8" w:space="0" w:color="auto"/>
            </w:tcBorders>
            <w:vAlign w:val="center"/>
            <w:hideMark/>
          </w:tcPr>
          <w:p w14:paraId="1A848288" w14:textId="77777777" w:rsidR="00C54A1E" w:rsidRPr="0053555E" w:rsidRDefault="00C54A1E" w:rsidP="00CC0150">
            <w:pPr>
              <w:ind w:right="494"/>
              <w:rPr>
                <w:rFonts w:asciiTheme="majorHAnsi" w:eastAsia="Times New Roman" w:hAnsiTheme="majorHAnsi" w:cstheme="majorHAnsi"/>
                <w:b/>
                <w:bCs/>
                <w:sz w:val="22"/>
                <w:szCs w:val="22"/>
                <w:lang w:eastAsia="sk-SK"/>
              </w:rPr>
            </w:pPr>
          </w:p>
        </w:tc>
        <w:tc>
          <w:tcPr>
            <w:tcW w:w="1701" w:type="dxa"/>
            <w:tcBorders>
              <w:top w:val="nil"/>
              <w:left w:val="nil"/>
              <w:bottom w:val="single" w:sz="4" w:space="0" w:color="auto"/>
              <w:right w:val="nil"/>
            </w:tcBorders>
            <w:shd w:val="clear" w:color="auto" w:fill="auto"/>
            <w:hideMark/>
          </w:tcPr>
          <w:p w14:paraId="70D16173" w14:textId="77777777" w:rsidR="00C54A1E" w:rsidRPr="0053555E" w:rsidRDefault="00C54A1E" w:rsidP="00CC0150">
            <w:pPr>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 xml:space="preserve">počet ŠP </w:t>
            </w:r>
          </w:p>
          <w:p w14:paraId="68904A3C" w14:textId="30741834" w:rsidR="00C54A1E" w:rsidRPr="0053555E" w:rsidRDefault="00C54A1E" w:rsidP="00CC0150">
            <w:pPr>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I. stupeň</w:t>
            </w:r>
          </w:p>
        </w:tc>
        <w:tc>
          <w:tcPr>
            <w:tcW w:w="1701" w:type="dxa"/>
            <w:tcBorders>
              <w:top w:val="nil"/>
              <w:left w:val="single" w:sz="4" w:space="0" w:color="auto"/>
              <w:bottom w:val="single" w:sz="4" w:space="0" w:color="auto"/>
              <w:right w:val="single" w:sz="4" w:space="0" w:color="auto"/>
            </w:tcBorders>
            <w:shd w:val="clear" w:color="auto" w:fill="auto"/>
            <w:hideMark/>
          </w:tcPr>
          <w:p w14:paraId="027CCDCC" w14:textId="77777777" w:rsidR="00C54A1E" w:rsidRPr="0053555E" w:rsidRDefault="00C54A1E" w:rsidP="00CC0150">
            <w:pPr>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 xml:space="preserve">počet ŠP </w:t>
            </w:r>
            <w:r w:rsidRPr="0053555E">
              <w:rPr>
                <w:rFonts w:asciiTheme="majorHAnsi" w:eastAsia="Times New Roman" w:hAnsiTheme="majorHAnsi" w:cstheme="majorHAnsi"/>
                <w:sz w:val="22"/>
                <w:szCs w:val="22"/>
                <w:lang w:eastAsia="sk-SK"/>
              </w:rPr>
              <w:br/>
              <w:t>II. stupeň</w:t>
            </w:r>
          </w:p>
        </w:tc>
        <w:tc>
          <w:tcPr>
            <w:tcW w:w="1559" w:type="dxa"/>
            <w:tcBorders>
              <w:top w:val="single" w:sz="4" w:space="0" w:color="auto"/>
              <w:left w:val="nil"/>
              <w:bottom w:val="single" w:sz="4" w:space="0" w:color="auto"/>
              <w:right w:val="single" w:sz="4" w:space="0" w:color="auto"/>
            </w:tcBorders>
            <w:shd w:val="clear" w:color="auto" w:fill="auto"/>
            <w:hideMark/>
          </w:tcPr>
          <w:p w14:paraId="08EFB11A" w14:textId="77777777" w:rsidR="00C54A1E" w:rsidRPr="0053555E" w:rsidRDefault="00C54A1E" w:rsidP="00CC0150">
            <w:pPr>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 xml:space="preserve">počet ŠP </w:t>
            </w:r>
            <w:r w:rsidRPr="0053555E">
              <w:rPr>
                <w:rFonts w:asciiTheme="majorHAnsi" w:eastAsia="Times New Roman" w:hAnsiTheme="majorHAnsi" w:cstheme="majorHAnsi"/>
                <w:sz w:val="22"/>
                <w:szCs w:val="22"/>
                <w:lang w:eastAsia="sk-SK"/>
              </w:rPr>
              <w:br/>
              <w:t>III. stupeň</w:t>
            </w:r>
          </w:p>
        </w:tc>
        <w:tc>
          <w:tcPr>
            <w:tcW w:w="2268" w:type="dxa"/>
            <w:vMerge/>
            <w:tcBorders>
              <w:left w:val="single" w:sz="8" w:space="0" w:color="auto"/>
              <w:bottom w:val="single" w:sz="4" w:space="0" w:color="000000"/>
              <w:right w:val="single" w:sz="8" w:space="0" w:color="auto"/>
            </w:tcBorders>
            <w:vAlign w:val="center"/>
            <w:hideMark/>
          </w:tcPr>
          <w:p w14:paraId="6E69E971" w14:textId="77777777" w:rsidR="00C54A1E" w:rsidRPr="0053555E" w:rsidRDefault="00C54A1E" w:rsidP="00CC0150">
            <w:pPr>
              <w:ind w:right="494"/>
              <w:rPr>
                <w:rFonts w:asciiTheme="majorHAnsi" w:eastAsia="Times New Roman" w:hAnsiTheme="majorHAnsi" w:cstheme="majorHAnsi"/>
                <w:sz w:val="22"/>
                <w:szCs w:val="22"/>
                <w:lang w:eastAsia="sk-SK"/>
              </w:rPr>
            </w:pPr>
          </w:p>
        </w:tc>
      </w:tr>
      <w:tr w:rsidR="00CC0150" w:rsidRPr="0053555E" w14:paraId="2EE7DF5D" w14:textId="77777777" w:rsidTr="00CC0150">
        <w:trPr>
          <w:trHeight w:val="240"/>
        </w:trPr>
        <w:tc>
          <w:tcPr>
            <w:tcW w:w="1833" w:type="dxa"/>
            <w:tcBorders>
              <w:top w:val="nil"/>
              <w:left w:val="single" w:sz="8" w:space="0" w:color="auto"/>
              <w:bottom w:val="single" w:sz="4" w:space="0" w:color="auto"/>
              <w:right w:val="single" w:sz="8" w:space="0" w:color="auto"/>
            </w:tcBorders>
            <w:shd w:val="clear" w:color="auto" w:fill="auto"/>
            <w:noWrap/>
            <w:hideMark/>
          </w:tcPr>
          <w:p w14:paraId="0F95D306" w14:textId="77777777" w:rsidR="00CC0150" w:rsidRPr="0053555E" w:rsidRDefault="00CC0150" w:rsidP="00CC0150">
            <w:pPr>
              <w:ind w:right="494"/>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SjF</w:t>
            </w:r>
          </w:p>
        </w:tc>
        <w:tc>
          <w:tcPr>
            <w:tcW w:w="1701" w:type="dxa"/>
            <w:tcBorders>
              <w:top w:val="nil"/>
              <w:left w:val="nil"/>
              <w:bottom w:val="single" w:sz="4" w:space="0" w:color="auto"/>
              <w:right w:val="single" w:sz="4" w:space="0" w:color="auto"/>
            </w:tcBorders>
            <w:shd w:val="clear" w:color="auto" w:fill="auto"/>
            <w:noWrap/>
            <w:vAlign w:val="center"/>
            <w:hideMark/>
          </w:tcPr>
          <w:p w14:paraId="01CD4767" w14:textId="77777777" w:rsidR="00CC0150" w:rsidRPr="0053555E" w:rsidRDefault="00CC0150" w:rsidP="00CC0150">
            <w:pPr>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1</w:t>
            </w:r>
          </w:p>
        </w:tc>
        <w:tc>
          <w:tcPr>
            <w:tcW w:w="1701" w:type="dxa"/>
            <w:tcBorders>
              <w:top w:val="nil"/>
              <w:left w:val="nil"/>
              <w:bottom w:val="single" w:sz="4" w:space="0" w:color="auto"/>
              <w:right w:val="single" w:sz="4" w:space="0" w:color="auto"/>
            </w:tcBorders>
            <w:shd w:val="clear" w:color="auto" w:fill="auto"/>
            <w:vAlign w:val="center"/>
            <w:hideMark/>
          </w:tcPr>
          <w:p w14:paraId="3B38F310" w14:textId="77777777" w:rsidR="00CC0150" w:rsidRPr="0053555E" w:rsidRDefault="00CC0150" w:rsidP="00CC0150">
            <w:pPr>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1</w:t>
            </w:r>
          </w:p>
        </w:tc>
        <w:tc>
          <w:tcPr>
            <w:tcW w:w="1559" w:type="dxa"/>
            <w:tcBorders>
              <w:top w:val="nil"/>
              <w:left w:val="nil"/>
              <w:bottom w:val="single" w:sz="4" w:space="0" w:color="auto"/>
              <w:right w:val="single" w:sz="4" w:space="0" w:color="auto"/>
            </w:tcBorders>
            <w:shd w:val="clear" w:color="auto" w:fill="auto"/>
            <w:vAlign w:val="center"/>
            <w:hideMark/>
          </w:tcPr>
          <w:p w14:paraId="12D192F2" w14:textId="77777777" w:rsidR="00CC0150" w:rsidRPr="0053555E" w:rsidRDefault="00CC0150" w:rsidP="00CC0150">
            <w:pPr>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2</w:t>
            </w:r>
          </w:p>
        </w:tc>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0CFF0823" w14:textId="77777777" w:rsidR="00CC0150" w:rsidRPr="0053555E" w:rsidRDefault="00CC0150" w:rsidP="00CC0150">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4</w:t>
            </w:r>
          </w:p>
        </w:tc>
      </w:tr>
      <w:tr w:rsidR="00CC0150" w:rsidRPr="0053555E" w14:paraId="538E7786" w14:textId="77777777" w:rsidTr="00CC0150">
        <w:trPr>
          <w:trHeight w:val="240"/>
        </w:trPr>
        <w:tc>
          <w:tcPr>
            <w:tcW w:w="1833" w:type="dxa"/>
            <w:tcBorders>
              <w:top w:val="nil"/>
              <w:left w:val="single" w:sz="8" w:space="0" w:color="auto"/>
              <w:bottom w:val="single" w:sz="4" w:space="0" w:color="auto"/>
              <w:right w:val="single" w:sz="8" w:space="0" w:color="auto"/>
            </w:tcBorders>
            <w:shd w:val="clear" w:color="auto" w:fill="auto"/>
            <w:noWrap/>
            <w:hideMark/>
          </w:tcPr>
          <w:p w14:paraId="180C6BEC" w14:textId="77777777" w:rsidR="00CC0150" w:rsidRPr="0053555E" w:rsidRDefault="00CC0150" w:rsidP="00CC0150">
            <w:pPr>
              <w:ind w:right="494"/>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ÚM</w:t>
            </w:r>
          </w:p>
        </w:tc>
        <w:tc>
          <w:tcPr>
            <w:tcW w:w="1701" w:type="dxa"/>
            <w:tcBorders>
              <w:top w:val="nil"/>
              <w:left w:val="nil"/>
              <w:bottom w:val="single" w:sz="4" w:space="0" w:color="auto"/>
              <w:right w:val="single" w:sz="4" w:space="0" w:color="auto"/>
            </w:tcBorders>
            <w:shd w:val="clear" w:color="auto" w:fill="auto"/>
            <w:noWrap/>
            <w:vAlign w:val="center"/>
            <w:hideMark/>
          </w:tcPr>
          <w:p w14:paraId="2F950C62" w14:textId="6D3C63E5" w:rsidR="00CC0150" w:rsidRPr="0053555E" w:rsidRDefault="006B3F77" w:rsidP="00CC0150">
            <w:pPr>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2</w:t>
            </w:r>
          </w:p>
        </w:tc>
        <w:tc>
          <w:tcPr>
            <w:tcW w:w="1701" w:type="dxa"/>
            <w:tcBorders>
              <w:top w:val="nil"/>
              <w:left w:val="nil"/>
              <w:bottom w:val="single" w:sz="4" w:space="0" w:color="auto"/>
              <w:right w:val="single" w:sz="4" w:space="0" w:color="auto"/>
            </w:tcBorders>
            <w:shd w:val="clear" w:color="auto" w:fill="auto"/>
            <w:vAlign w:val="center"/>
            <w:hideMark/>
          </w:tcPr>
          <w:p w14:paraId="0408E8AB" w14:textId="3726A433" w:rsidR="00CC0150" w:rsidRPr="0053555E" w:rsidRDefault="006B3F77" w:rsidP="00CC0150">
            <w:pPr>
              <w:jc w:val="center"/>
              <w:rPr>
                <w:rFonts w:asciiTheme="majorHAnsi" w:eastAsia="Times New Roman" w:hAnsiTheme="majorHAnsi" w:cstheme="majorHAnsi"/>
                <w:sz w:val="22"/>
                <w:szCs w:val="22"/>
                <w:lang w:eastAsia="sk-SK"/>
              </w:rPr>
            </w:pPr>
            <w:r w:rsidRPr="0053555E">
              <w:rPr>
                <w:rFonts w:asciiTheme="majorHAnsi" w:eastAsia="Times New Roman" w:hAnsiTheme="majorHAnsi" w:cstheme="majorHAnsi"/>
                <w:sz w:val="22"/>
                <w:szCs w:val="22"/>
                <w:lang w:eastAsia="sk-SK"/>
              </w:rPr>
              <w:t>2</w:t>
            </w:r>
          </w:p>
        </w:tc>
        <w:tc>
          <w:tcPr>
            <w:tcW w:w="1559" w:type="dxa"/>
            <w:tcBorders>
              <w:top w:val="nil"/>
              <w:left w:val="nil"/>
              <w:bottom w:val="single" w:sz="4" w:space="0" w:color="auto"/>
              <w:right w:val="single" w:sz="4" w:space="0" w:color="auto"/>
            </w:tcBorders>
            <w:shd w:val="clear" w:color="auto" w:fill="auto"/>
            <w:vAlign w:val="center"/>
            <w:hideMark/>
          </w:tcPr>
          <w:p w14:paraId="64D28C29" w14:textId="460AB284" w:rsidR="00CC0150" w:rsidRPr="0053555E" w:rsidRDefault="00CC0150" w:rsidP="00CC0150">
            <w:pPr>
              <w:jc w:val="center"/>
              <w:rPr>
                <w:rFonts w:asciiTheme="majorHAnsi" w:eastAsia="Times New Roman" w:hAnsiTheme="majorHAnsi" w:cstheme="majorHAnsi"/>
                <w:sz w:val="22"/>
                <w:szCs w:val="22"/>
                <w:lang w:eastAsia="sk-SK"/>
              </w:rPr>
            </w:pPr>
          </w:p>
        </w:tc>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7C57E8E4" w14:textId="2A752B4D" w:rsidR="00CC0150" w:rsidRPr="0053555E" w:rsidRDefault="006B3F77" w:rsidP="00CC0150">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4</w:t>
            </w:r>
          </w:p>
        </w:tc>
      </w:tr>
      <w:tr w:rsidR="00CC0150" w:rsidRPr="0053555E" w14:paraId="44E47A17" w14:textId="77777777" w:rsidTr="00CC0150">
        <w:trPr>
          <w:trHeight w:val="250"/>
        </w:trPr>
        <w:tc>
          <w:tcPr>
            <w:tcW w:w="1833" w:type="dxa"/>
            <w:tcBorders>
              <w:top w:val="nil"/>
              <w:left w:val="single" w:sz="8" w:space="0" w:color="auto"/>
              <w:bottom w:val="single" w:sz="8" w:space="0" w:color="auto"/>
              <w:right w:val="single" w:sz="8" w:space="0" w:color="auto"/>
            </w:tcBorders>
            <w:shd w:val="clear" w:color="000000" w:fill="EEECE1"/>
            <w:noWrap/>
            <w:hideMark/>
          </w:tcPr>
          <w:p w14:paraId="1B8C43E5" w14:textId="77777777" w:rsidR="00CC0150" w:rsidRPr="0053555E" w:rsidRDefault="00CC0150" w:rsidP="00CC0150">
            <w:pPr>
              <w:ind w:right="494"/>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STU</w:t>
            </w:r>
          </w:p>
        </w:tc>
        <w:tc>
          <w:tcPr>
            <w:tcW w:w="1701" w:type="dxa"/>
            <w:tcBorders>
              <w:top w:val="nil"/>
              <w:left w:val="nil"/>
              <w:bottom w:val="single" w:sz="8" w:space="0" w:color="auto"/>
              <w:right w:val="single" w:sz="4" w:space="0" w:color="auto"/>
            </w:tcBorders>
            <w:shd w:val="clear" w:color="000000" w:fill="EEECE1"/>
            <w:noWrap/>
            <w:hideMark/>
          </w:tcPr>
          <w:p w14:paraId="6F157777" w14:textId="77777777" w:rsidR="00CC0150" w:rsidRPr="0053555E" w:rsidRDefault="00CC0150" w:rsidP="00CC0150">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2</w:t>
            </w:r>
          </w:p>
        </w:tc>
        <w:tc>
          <w:tcPr>
            <w:tcW w:w="1701" w:type="dxa"/>
            <w:tcBorders>
              <w:top w:val="single" w:sz="4" w:space="0" w:color="auto"/>
              <w:left w:val="nil"/>
              <w:bottom w:val="single" w:sz="8" w:space="0" w:color="auto"/>
              <w:right w:val="single" w:sz="4" w:space="0" w:color="auto"/>
            </w:tcBorders>
            <w:shd w:val="clear" w:color="000000" w:fill="EEECE1"/>
            <w:noWrap/>
            <w:hideMark/>
          </w:tcPr>
          <w:p w14:paraId="2594F0D1" w14:textId="77777777" w:rsidR="00CC0150" w:rsidRPr="0053555E" w:rsidRDefault="00CC0150" w:rsidP="00CC0150">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2</w:t>
            </w:r>
          </w:p>
        </w:tc>
        <w:tc>
          <w:tcPr>
            <w:tcW w:w="1559" w:type="dxa"/>
            <w:tcBorders>
              <w:top w:val="single" w:sz="4" w:space="0" w:color="auto"/>
              <w:left w:val="nil"/>
              <w:bottom w:val="single" w:sz="8" w:space="0" w:color="auto"/>
              <w:right w:val="single" w:sz="4" w:space="0" w:color="auto"/>
            </w:tcBorders>
            <w:shd w:val="clear" w:color="000000" w:fill="EEECE1"/>
            <w:noWrap/>
            <w:hideMark/>
          </w:tcPr>
          <w:p w14:paraId="5DE73AA5" w14:textId="77777777" w:rsidR="00CC0150" w:rsidRPr="0053555E" w:rsidRDefault="00CC0150" w:rsidP="00CC0150">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2</w:t>
            </w:r>
          </w:p>
        </w:tc>
        <w:tc>
          <w:tcPr>
            <w:tcW w:w="2268" w:type="dxa"/>
            <w:tcBorders>
              <w:top w:val="nil"/>
              <w:left w:val="single" w:sz="8" w:space="0" w:color="auto"/>
              <w:bottom w:val="single" w:sz="8" w:space="0" w:color="auto"/>
              <w:right w:val="single" w:sz="8" w:space="0" w:color="auto"/>
            </w:tcBorders>
            <w:shd w:val="clear" w:color="000000" w:fill="EEECE1"/>
            <w:noWrap/>
            <w:hideMark/>
          </w:tcPr>
          <w:p w14:paraId="0AC1B90A" w14:textId="00DB5EC3" w:rsidR="00CC0150" w:rsidRPr="0053555E" w:rsidRDefault="002F1361" w:rsidP="00CC0150">
            <w:pPr>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8</w:t>
            </w:r>
          </w:p>
        </w:tc>
      </w:tr>
    </w:tbl>
    <w:p w14:paraId="400736E7" w14:textId="77777777" w:rsidR="00253880" w:rsidRDefault="00253880" w:rsidP="00253880">
      <w:pPr>
        <w:jc w:val="both"/>
      </w:pPr>
    </w:p>
    <w:p w14:paraId="64160205" w14:textId="7094E4AA" w:rsidR="00253880" w:rsidRDefault="00253880" w:rsidP="00253880">
      <w:pPr>
        <w:spacing w:after="120"/>
        <w:jc w:val="both"/>
      </w:pPr>
      <w:r w:rsidRPr="0053555E">
        <w:t>STU oznámila agentúre</w:t>
      </w:r>
      <w:r w:rsidRPr="00CD6761">
        <w:t xml:space="preserve"> </w:t>
      </w:r>
      <w:r>
        <w:t>10.</w:t>
      </w:r>
      <w:r w:rsidRPr="0053555E">
        <w:t> august</w:t>
      </w:r>
      <w:r>
        <w:t>a</w:t>
      </w:r>
      <w:r w:rsidRPr="0053555E">
        <w:t xml:space="preserve"> 2022, že jej </w:t>
      </w:r>
      <w:r>
        <w:t>VSK</w:t>
      </w:r>
      <w:r w:rsidRPr="0053555E">
        <w:t xml:space="preserve"> ako aj všetky študijné </w:t>
      </w:r>
      <w:r>
        <w:t>pro</w:t>
      </w:r>
      <w:r w:rsidRPr="0053555E">
        <w:t xml:space="preserve">gramy sú v súlade so štandardmi agentúry </w:t>
      </w:r>
      <w:r>
        <w:t xml:space="preserve">a </w:t>
      </w:r>
      <w:r w:rsidRPr="0053555E">
        <w:t>v súlade s požiadavkami zákona</w:t>
      </w:r>
      <w:r>
        <w:t xml:space="preserve"> o zabezpečovaní kvality</w:t>
      </w:r>
      <w:r w:rsidRPr="0053555E">
        <w:t xml:space="preserve">. </w:t>
      </w:r>
    </w:p>
    <w:p w14:paraId="3B586B8F" w14:textId="77777777" w:rsidR="00253880" w:rsidRPr="0053555E" w:rsidRDefault="00253880" w:rsidP="00253880">
      <w:pPr>
        <w:spacing w:after="120"/>
        <w:jc w:val="both"/>
      </w:pPr>
      <w:r>
        <w:t>V priebehu septembra až decembra 2022</w:t>
      </w:r>
      <w:r w:rsidRPr="0053555E">
        <w:t xml:space="preserve"> STU vypracovala </w:t>
      </w:r>
      <w:r>
        <w:t xml:space="preserve">všetky požadované </w:t>
      </w:r>
      <w:r w:rsidRPr="0053555E">
        <w:t xml:space="preserve">podklady a v zákonnej lehote požiadala agentúru o posúdenie súladu </w:t>
      </w:r>
      <w:r>
        <w:t>VSK</w:t>
      </w:r>
      <w:r w:rsidRPr="0053555E">
        <w:t>.</w:t>
      </w:r>
    </w:p>
    <w:p w14:paraId="7296991B" w14:textId="154EBD8B" w:rsidR="00CC0150" w:rsidRPr="0053555E" w:rsidRDefault="00CC0150" w:rsidP="00CC0150">
      <w:pPr>
        <w:jc w:val="both"/>
      </w:pPr>
    </w:p>
    <w:p w14:paraId="08CA4582" w14:textId="77777777" w:rsidR="00CC0150" w:rsidRPr="0053555E" w:rsidRDefault="00CC0150" w:rsidP="00CC0150">
      <w:pPr>
        <w:jc w:val="both"/>
      </w:pPr>
    </w:p>
    <w:p w14:paraId="353C0B3A" w14:textId="77777777" w:rsidR="00170394" w:rsidRDefault="00170394" w:rsidP="00170394">
      <w:pPr>
        <w:rPr>
          <w:b/>
          <w:sz w:val="28"/>
          <w:szCs w:val="28"/>
        </w:rPr>
      </w:pPr>
      <w:bookmarkStart w:id="288" w:name="_Toc127593255"/>
    </w:p>
    <w:p w14:paraId="67DB0091" w14:textId="4469C6F3" w:rsidR="0026109B" w:rsidRDefault="00170394" w:rsidP="00170394">
      <w:pPr>
        <w:rPr>
          <w:b/>
          <w:sz w:val="28"/>
          <w:szCs w:val="28"/>
        </w:rPr>
      </w:pPr>
      <w:r w:rsidRPr="00170394">
        <w:rPr>
          <w:b/>
          <w:sz w:val="28"/>
          <w:szCs w:val="28"/>
        </w:rPr>
        <w:lastRenderedPageBreak/>
        <w:t xml:space="preserve">12.2. </w:t>
      </w:r>
      <w:r w:rsidR="0026109B" w:rsidRPr="00170394">
        <w:rPr>
          <w:b/>
          <w:sz w:val="28"/>
          <w:szCs w:val="28"/>
        </w:rPr>
        <w:t>Zapojenie interných a externých zainteresova</w:t>
      </w:r>
      <w:r w:rsidR="00A54CBC" w:rsidRPr="00170394">
        <w:rPr>
          <w:b/>
          <w:sz w:val="28"/>
          <w:szCs w:val="28"/>
        </w:rPr>
        <w:t>ných strán do prípravy tvorby a </w:t>
      </w:r>
      <w:r w:rsidR="0026109B" w:rsidRPr="00170394">
        <w:rPr>
          <w:b/>
          <w:sz w:val="28"/>
          <w:szCs w:val="28"/>
        </w:rPr>
        <w:t>realizácie študijných programov</w:t>
      </w:r>
      <w:bookmarkEnd w:id="288"/>
      <w:r w:rsidR="0026109B" w:rsidRPr="00170394">
        <w:rPr>
          <w:b/>
          <w:sz w:val="28"/>
          <w:szCs w:val="28"/>
        </w:rPr>
        <w:t xml:space="preserve"> </w:t>
      </w:r>
    </w:p>
    <w:p w14:paraId="29023471" w14:textId="77777777" w:rsidR="00170394" w:rsidRPr="00170394" w:rsidRDefault="00170394" w:rsidP="00170394">
      <w:pPr>
        <w:rPr>
          <w:b/>
          <w:sz w:val="28"/>
          <w:szCs w:val="28"/>
        </w:rPr>
      </w:pPr>
    </w:p>
    <w:p w14:paraId="57B19A48" w14:textId="77777777" w:rsidR="00064E39" w:rsidRPr="0053555E" w:rsidRDefault="00205CBE" w:rsidP="00EE4BAF">
      <w:pPr>
        <w:spacing w:after="120"/>
        <w:jc w:val="both"/>
      </w:pPr>
      <w:r w:rsidRPr="0053555E">
        <w:t xml:space="preserve">V procese VSK majú významné miesto interné a externé zainteresované strany, ktorými sú </w:t>
      </w:r>
      <w:r w:rsidR="00405878" w:rsidRPr="0053555E">
        <w:t>najmä študenti STU, zástupcovia zamestnávateľov, absolventi a</w:t>
      </w:r>
      <w:r w:rsidR="004E39EE" w:rsidRPr="0053555E">
        <w:t xml:space="preserve"> ďalší odborníci </w:t>
      </w:r>
      <w:r w:rsidR="0003661A" w:rsidRPr="0053555E">
        <w:t xml:space="preserve">pôsobiaci v oblastiach, v ktorých STU uskutočňuje vzdelávaciu, výskumnú, vývojovú, umeleckú a ďalšiu tvorivú činnosť. </w:t>
      </w:r>
      <w:r w:rsidR="003916AC" w:rsidRPr="0053555E">
        <w:t>Interné a externé zainteresované strany sú členmi Rád ŠP, Rady VSK a jej pracovných skupín</w:t>
      </w:r>
      <w:r w:rsidR="00243F3B" w:rsidRPr="0053555E">
        <w:t xml:space="preserve"> ako už bolo uvedené v predchádzajúcich častiach tejto správy</w:t>
      </w:r>
      <w:r w:rsidR="003916AC" w:rsidRPr="0053555E">
        <w:t xml:space="preserve">. </w:t>
      </w:r>
      <w:r w:rsidR="00243F3B" w:rsidRPr="0053555E">
        <w:t>Sú zapojen</w:t>
      </w:r>
      <w:r w:rsidR="00BD4B57" w:rsidRPr="0053555E">
        <w:t>í</w:t>
      </w:r>
      <w:r w:rsidR="00243F3B" w:rsidRPr="0053555E">
        <w:t xml:space="preserve"> v procese vytvárania, úpravy, uskutočňovania, schvaľovania</w:t>
      </w:r>
      <w:r w:rsidR="000B790D" w:rsidRPr="0053555E">
        <w:t>,</w:t>
      </w:r>
      <w:r w:rsidR="00243F3B" w:rsidRPr="0053555E">
        <w:t xml:space="preserve"> </w:t>
      </w:r>
      <w:r w:rsidR="000B790D" w:rsidRPr="0053555E">
        <w:t xml:space="preserve">monitorovania a hodnotenia </w:t>
      </w:r>
      <w:r w:rsidR="00243F3B" w:rsidRPr="0053555E">
        <w:t>študijných programov.</w:t>
      </w:r>
    </w:p>
    <w:p w14:paraId="5378B3AA" w14:textId="77777777" w:rsidR="00064E39" w:rsidRPr="0053555E" w:rsidRDefault="000C4D83" w:rsidP="00AC6382">
      <w:pPr>
        <w:spacing w:after="240"/>
      </w:pPr>
      <w:r w:rsidRPr="0053555E">
        <w:t>Uvádzame prehľad externých zainteresovaných strán, ktoré sú zapojené vo VSK</w:t>
      </w:r>
      <w:r w:rsidR="00594716" w:rsidRPr="0053555E">
        <w:t xml:space="preserve"> v rámci Rád ŠP </w:t>
      </w:r>
      <w:r w:rsidR="00594716" w:rsidRPr="0053555E">
        <w:rPr>
          <w:rFonts w:cstheme="minorHAnsi"/>
        </w:rPr>
        <w:t>na</w:t>
      </w:r>
      <w:r w:rsidR="00594716" w:rsidRPr="0053555E">
        <w:t xml:space="preserve"> jednotlivých súčastiach STU</w:t>
      </w:r>
      <w:r w:rsidRPr="0053555E">
        <w:t>:</w:t>
      </w:r>
    </w:p>
    <w:p w14:paraId="58917618" w14:textId="77777777" w:rsidR="000C4D83" w:rsidRPr="00E06828" w:rsidRDefault="00594716" w:rsidP="007B0A7C">
      <w:pPr>
        <w:rPr>
          <w:rFonts w:cs="Calibri"/>
          <w:b/>
        </w:rPr>
      </w:pPr>
      <w:r w:rsidRPr="00E06828">
        <w:rPr>
          <w:rFonts w:cs="Calibri"/>
          <w:b/>
        </w:rPr>
        <w:t>Stavebná fakulta</w:t>
      </w:r>
      <w:r w:rsidR="00673150" w:rsidRPr="00E06828">
        <w:rPr>
          <w:rFonts w:cs="Calibri"/>
          <w:b/>
        </w:rPr>
        <w:t xml:space="preserve"> STU</w:t>
      </w:r>
      <w:r w:rsidRPr="00E06828">
        <w:rPr>
          <w:rFonts w:cs="Calibri"/>
          <w:b/>
        </w:rPr>
        <w:t xml:space="preserve">: </w:t>
      </w:r>
    </w:p>
    <w:p w14:paraId="63131D87"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A B.K.P.Š., s. r. o., Bratislava</w:t>
      </w:r>
    </w:p>
    <w:p w14:paraId="4A0B70B7" w14:textId="49FCF4AC"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 xml:space="preserve">A.S.PROJEKT - </w:t>
      </w:r>
      <w:r w:rsidR="009C5684">
        <w:rPr>
          <w:rFonts w:cs="Calibri"/>
          <w:sz w:val="24"/>
          <w:szCs w:val="24"/>
        </w:rPr>
        <w:t>I</w:t>
      </w:r>
      <w:r w:rsidRPr="00E06828">
        <w:rPr>
          <w:rFonts w:cs="Calibri"/>
          <w:sz w:val="24"/>
          <w:szCs w:val="24"/>
        </w:rPr>
        <w:t>ng., s. r. o., Bratislava</w:t>
      </w:r>
    </w:p>
    <w:p w14:paraId="485C307B"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AGH University of Science and Technology, Krakow, Poľsko</w:t>
      </w:r>
    </w:p>
    <w:p w14:paraId="169BA70B"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ALFA 04, a. s., Bratislava</w:t>
      </w:r>
    </w:p>
    <w:p w14:paraId="79DC7D6C"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ARDING, s. r. o., Bratislava</w:t>
      </w:r>
    </w:p>
    <w:p w14:paraId="6D1994C7"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Archstyl, s. r. o., Bratislava</w:t>
      </w:r>
    </w:p>
    <w:p w14:paraId="559635E9"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Asociácia vodárenských spoločností, Bratislava</w:t>
      </w:r>
    </w:p>
    <w:p w14:paraId="6C2AAF84"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ATR, s. r. o., Bratislava</w:t>
      </w:r>
    </w:p>
    <w:p w14:paraId="48285390" w14:textId="7DAC17A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DHI SLOVAKIA, s.</w:t>
      </w:r>
      <w:r w:rsidR="001977A0">
        <w:rPr>
          <w:rFonts w:cs="Calibri"/>
          <w:sz w:val="24"/>
          <w:szCs w:val="24"/>
        </w:rPr>
        <w:t xml:space="preserve"> </w:t>
      </w:r>
      <w:r w:rsidRPr="00E06828">
        <w:rPr>
          <w:rFonts w:cs="Calibri"/>
          <w:sz w:val="24"/>
          <w:szCs w:val="24"/>
        </w:rPr>
        <w:t>r.</w:t>
      </w:r>
      <w:r w:rsidR="001977A0">
        <w:rPr>
          <w:rFonts w:cs="Calibri"/>
          <w:sz w:val="24"/>
          <w:szCs w:val="24"/>
        </w:rPr>
        <w:t xml:space="preserve"> </w:t>
      </w:r>
      <w:r w:rsidRPr="00E06828">
        <w:rPr>
          <w:rFonts w:cs="Calibri"/>
          <w:sz w:val="24"/>
          <w:szCs w:val="24"/>
        </w:rPr>
        <w:t>o., Bratislava</w:t>
      </w:r>
    </w:p>
    <w:p w14:paraId="6A9424F6"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Dopravoprojekt, a. s., Bratislava</w:t>
      </w:r>
    </w:p>
    <w:p w14:paraId="5BF071E0" w14:textId="16D4F330" w:rsidR="00DD2B96" w:rsidRPr="00E06828" w:rsidRDefault="00DD2B96"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ETIRS, s.</w:t>
      </w:r>
      <w:r w:rsidR="00833123" w:rsidRPr="00E06828">
        <w:rPr>
          <w:rFonts w:cs="Calibri"/>
          <w:sz w:val="24"/>
          <w:szCs w:val="24"/>
        </w:rPr>
        <w:t xml:space="preserve"> </w:t>
      </w:r>
      <w:r w:rsidRPr="00E06828">
        <w:rPr>
          <w:rFonts w:cs="Calibri"/>
          <w:sz w:val="24"/>
          <w:szCs w:val="24"/>
        </w:rPr>
        <w:t>r.</w:t>
      </w:r>
      <w:r w:rsidR="00833123" w:rsidRPr="00E06828">
        <w:rPr>
          <w:rFonts w:cs="Calibri"/>
          <w:sz w:val="24"/>
          <w:szCs w:val="24"/>
        </w:rPr>
        <w:t xml:space="preserve"> </w:t>
      </w:r>
      <w:r w:rsidRPr="00E06828">
        <w:rPr>
          <w:rFonts w:cs="Calibri"/>
          <w:sz w:val="24"/>
          <w:szCs w:val="24"/>
        </w:rPr>
        <w:t>o.</w:t>
      </w:r>
      <w:r w:rsidR="00CC0150" w:rsidRPr="00E06828">
        <w:rPr>
          <w:rFonts w:cs="Calibri"/>
          <w:sz w:val="24"/>
          <w:szCs w:val="24"/>
        </w:rPr>
        <w:t>, Bratislava</w:t>
      </w:r>
    </w:p>
    <w:p w14:paraId="4A265467"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Geoconsult, s. r. o., Bratislava</w:t>
      </w:r>
    </w:p>
    <w:p w14:paraId="5851E302"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Geodetický a kartografický ústav Bratislava</w:t>
      </w:r>
    </w:p>
    <w:p w14:paraId="0E470024"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GFI, a. s., Bratislava</w:t>
      </w:r>
    </w:p>
    <w:p w14:paraId="4325F8B0"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HB Reavis Slovakia a. s., Bratislava</w:t>
      </w:r>
    </w:p>
    <w:p w14:paraId="115B2CE7" w14:textId="7F9C7283"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HERZ, s.</w:t>
      </w:r>
      <w:r w:rsidR="001977A0">
        <w:rPr>
          <w:rFonts w:cs="Calibri"/>
          <w:sz w:val="24"/>
          <w:szCs w:val="24"/>
        </w:rPr>
        <w:t xml:space="preserve"> </w:t>
      </w:r>
      <w:r w:rsidRPr="00E06828">
        <w:rPr>
          <w:rFonts w:cs="Calibri"/>
          <w:sz w:val="24"/>
          <w:szCs w:val="24"/>
        </w:rPr>
        <w:t>r.</w:t>
      </w:r>
      <w:r w:rsidR="001977A0">
        <w:rPr>
          <w:rFonts w:cs="Calibri"/>
          <w:sz w:val="24"/>
          <w:szCs w:val="24"/>
        </w:rPr>
        <w:t xml:space="preserve"> </w:t>
      </w:r>
      <w:r w:rsidRPr="00E06828">
        <w:rPr>
          <w:rFonts w:cs="Calibri"/>
          <w:sz w:val="24"/>
          <w:szCs w:val="24"/>
        </w:rPr>
        <w:t>o., Bernolákovo</w:t>
      </w:r>
    </w:p>
    <w:p w14:paraId="467DA0B0"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Ing. arch. Iľja Skoček - ATELIÉR, Bratislava</w:t>
      </w:r>
    </w:p>
    <w:p w14:paraId="45495A72"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Ingsteel, s. r. o., Bratislava</w:t>
      </w:r>
    </w:p>
    <w:p w14:paraId="18636458" w14:textId="0ECE525B"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Keller špeciálne zakladanie, s.</w:t>
      </w:r>
      <w:r w:rsidR="001977A0">
        <w:rPr>
          <w:rFonts w:cs="Calibri"/>
          <w:sz w:val="24"/>
          <w:szCs w:val="24"/>
        </w:rPr>
        <w:t xml:space="preserve"> </w:t>
      </w:r>
      <w:r w:rsidRPr="00E06828">
        <w:rPr>
          <w:rFonts w:cs="Calibri"/>
          <w:sz w:val="24"/>
          <w:szCs w:val="24"/>
        </w:rPr>
        <w:t>r.</w:t>
      </w:r>
      <w:r w:rsidR="001977A0">
        <w:rPr>
          <w:rFonts w:cs="Calibri"/>
          <w:sz w:val="24"/>
          <w:szCs w:val="24"/>
        </w:rPr>
        <w:t xml:space="preserve"> </w:t>
      </w:r>
      <w:r w:rsidRPr="00E06828">
        <w:rPr>
          <w:rFonts w:cs="Calibri"/>
          <w:sz w:val="24"/>
          <w:szCs w:val="24"/>
        </w:rPr>
        <w:t>o., Bratislava</w:t>
      </w:r>
    </w:p>
    <w:p w14:paraId="6DE6E427"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Komora geodetov a kartografov, Bratislava</w:t>
      </w:r>
    </w:p>
    <w:p w14:paraId="17F15DA9"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Matematický ústav SAV, v. v. i., Bratislava</w:t>
      </w:r>
    </w:p>
    <w:p w14:paraId="7FAE3CEE" w14:textId="7325F115"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Metrostav Slovakia</w:t>
      </w:r>
      <w:r w:rsidR="001977A0">
        <w:rPr>
          <w:rFonts w:cs="Calibri"/>
          <w:sz w:val="24"/>
          <w:szCs w:val="24"/>
        </w:rPr>
        <w:t>,</w:t>
      </w:r>
      <w:r w:rsidRPr="00E06828">
        <w:rPr>
          <w:rFonts w:cs="Calibri"/>
          <w:sz w:val="24"/>
          <w:szCs w:val="24"/>
        </w:rPr>
        <w:t xml:space="preserve"> a.</w:t>
      </w:r>
      <w:r w:rsidR="001977A0">
        <w:rPr>
          <w:rFonts w:cs="Calibri"/>
          <w:sz w:val="24"/>
          <w:szCs w:val="24"/>
        </w:rPr>
        <w:t xml:space="preserve"> </w:t>
      </w:r>
      <w:r w:rsidRPr="00E06828">
        <w:rPr>
          <w:rFonts w:cs="Calibri"/>
          <w:sz w:val="24"/>
          <w:szCs w:val="24"/>
        </w:rPr>
        <w:t>s., Bratislava</w:t>
      </w:r>
    </w:p>
    <w:p w14:paraId="197ACD97"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P-T, s. r. .o., Bratislava</w:t>
      </w:r>
    </w:p>
    <w:p w14:paraId="324D8301" w14:textId="6359AD9B" w:rsidR="00DD2B96" w:rsidRPr="00E06828" w:rsidRDefault="00DD2B96"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PROLAKE, s.</w:t>
      </w:r>
      <w:r w:rsidR="00833123" w:rsidRPr="00E06828">
        <w:rPr>
          <w:rFonts w:cs="Calibri"/>
          <w:sz w:val="24"/>
          <w:szCs w:val="24"/>
        </w:rPr>
        <w:t xml:space="preserve"> </w:t>
      </w:r>
      <w:r w:rsidRPr="00E06828">
        <w:rPr>
          <w:rFonts w:cs="Calibri"/>
          <w:sz w:val="24"/>
          <w:szCs w:val="24"/>
        </w:rPr>
        <w:t>r.</w:t>
      </w:r>
      <w:r w:rsidR="00833123" w:rsidRPr="00E06828">
        <w:rPr>
          <w:rFonts w:cs="Calibri"/>
          <w:sz w:val="24"/>
          <w:szCs w:val="24"/>
        </w:rPr>
        <w:t xml:space="preserve"> </w:t>
      </w:r>
      <w:r w:rsidRPr="00E06828">
        <w:rPr>
          <w:rFonts w:cs="Calibri"/>
          <w:sz w:val="24"/>
          <w:szCs w:val="24"/>
        </w:rPr>
        <w:t>o.</w:t>
      </w:r>
      <w:r w:rsidR="00CC0150" w:rsidRPr="00E06828">
        <w:rPr>
          <w:rFonts w:cs="Calibri"/>
          <w:sz w:val="24"/>
          <w:szCs w:val="24"/>
        </w:rPr>
        <w:t>, Banská Bystrica</w:t>
      </w:r>
    </w:p>
    <w:p w14:paraId="62A79507" w14:textId="7C38A25D" w:rsidR="00DD2B96" w:rsidRPr="00E06828" w:rsidRDefault="00CC0150"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Saint - Gobain Construction Products, s.</w:t>
      </w:r>
      <w:r w:rsidR="001977A0">
        <w:rPr>
          <w:rFonts w:cs="Calibri"/>
          <w:sz w:val="24"/>
          <w:szCs w:val="24"/>
        </w:rPr>
        <w:t xml:space="preserve"> </w:t>
      </w:r>
      <w:r w:rsidRPr="00E06828">
        <w:rPr>
          <w:rFonts w:cs="Calibri"/>
          <w:sz w:val="24"/>
          <w:szCs w:val="24"/>
        </w:rPr>
        <w:t>r.</w:t>
      </w:r>
      <w:r w:rsidR="001977A0">
        <w:rPr>
          <w:rFonts w:cs="Calibri"/>
          <w:sz w:val="24"/>
          <w:szCs w:val="24"/>
        </w:rPr>
        <w:t xml:space="preserve"> </w:t>
      </w:r>
      <w:r w:rsidRPr="00E06828">
        <w:rPr>
          <w:rFonts w:cs="Calibri"/>
          <w:sz w:val="24"/>
          <w:szCs w:val="24"/>
        </w:rPr>
        <w:t>o.</w:t>
      </w:r>
      <w:r w:rsidR="00DD2B96" w:rsidRPr="00E06828">
        <w:rPr>
          <w:rFonts w:cs="Calibri"/>
          <w:sz w:val="24"/>
          <w:szCs w:val="24"/>
        </w:rPr>
        <w:t>, divízia Weber</w:t>
      </w:r>
      <w:r w:rsidRPr="00E06828">
        <w:rPr>
          <w:rFonts w:cs="Calibri"/>
          <w:sz w:val="24"/>
          <w:szCs w:val="24"/>
        </w:rPr>
        <w:t>, Bratislava</w:t>
      </w:r>
    </w:p>
    <w:p w14:paraId="2DD2FBD3"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SlovContact, s.r.o., Bratislava</w:t>
      </w:r>
    </w:p>
    <w:p w14:paraId="1213AC4A" w14:textId="23B9B2FD"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Slovenský vodohosdpodársky závod, š.</w:t>
      </w:r>
      <w:r w:rsidR="001977A0">
        <w:rPr>
          <w:rFonts w:cs="Calibri"/>
          <w:sz w:val="24"/>
          <w:szCs w:val="24"/>
        </w:rPr>
        <w:t xml:space="preserve"> </w:t>
      </w:r>
      <w:r w:rsidRPr="00E06828">
        <w:rPr>
          <w:rFonts w:cs="Calibri"/>
          <w:sz w:val="24"/>
          <w:szCs w:val="24"/>
        </w:rPr>
        <w:t>p. Bratislava, odštepný závod Levice</w:t>
      </w:r>
    </w:p>
    <w:p w14:paraId="71B9962E"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Spolok architektov Slovenska, Bratislava</w:t>
      </w:r>
    </w:p>
    <w:p w14:paraId="57C7F081"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SVS FEM, s.r.o., Brno, Česká republika</w:t>
      </w:r>
    </w:p>
    <w:p w14:paraId="08878DCF"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Systemair Production, a. s., Kalinkovo</w:t>
      </w:r>
    </w:p>
    <w:p w14:paraId="52509161"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Úrad geodézie, kartografie a katastra SR, Bratislava</w:t>
      </w:r>
    </w:p>
    <w:p w14:paraId="50E3D6D9"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Ústav informatiky SAV, v. v. i., Bratislava</w:t>
      </w:r>
    </w:p>
    <w:p w14:paraId="5F6BF65A" w14:textId="515009DA" w:rsidR="005202D3" w:rsidRPr="00E06828" w:rsidRDefault="005202D3"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Ústav stavebníctva a architektúry SAV, v. v. i., Bratislava</w:t>
      </w:r>
    </w:p>
    <w:p w14:paraId="53C9B1A4" w14:textId="77777777" w:rsidR="00E51C2B" w:rsidRPr="00E06828" w:rsidRDefault="00E51C2B" w:rsidP="00E027F7">
      <w:pPr>
        <w:pStyle w:val="Odsekzoznamu"/>
        <w:numPr>
          <w:ilvl w:val="1"/>
          <w:numId w:val="10"/>
        </w:numPr>
        <w:spacing w:after="0" w:line="240" w:lineRule="auto"/>
        <w:ind w:left="426" w:hanging="426"/>
        <w:rPr>
          <w:rFonts w:cs="Calibri"/>
          <w:sz w:val="24"/>
          <w:szCs w:val="24"/>
        </w:rPr>
      </w:pPr>
      <w:r w:rsidRPr="00E06828">
        <w:rPr>
          <w:rFonts w:cs="Calibri"/>
          <w:sz w:val="24"/>
          <w:szCs w:val="24"/>
        </w:rPr>
        <w:t>Váhostav-SK, a .s., Bratislava</w:t>
      </w:r>
    </w:p>
    <w:p w14:paraId="77FF859D" w14:textId="77777777" w:rsidR="00E51C2B" w:rsidRPr="00E06828" w:rsidRDefault="00E51C2B" w:rsidP="00E027F7">
      <w:pPr>
        <w:pStyle w:val="Odsekzoznamu"/>
        <w:numPr>
          <w:ilvl w:val="0"/>
          <w:numId w:val="13"/>
        </w:numPr>
        <w:spacing w:line="240" w:lineRule="auto"/>
        <w:ind w:left="426" w:hanging="426"/>
        <w:rPr>
          <w:rFonts w:cs="Calibri"/>
          <w:sz w:val="24"/>
          <w:szCs w:val="24"/>
        </w:rPr>
      </w:pPr>
      <w:r w:rsidRPr="00E06828">
        <w:rPr>
          <w:rFonts w:cs="Calibri"/>
          <w:sz w:val="24"/>
          <w:szCs w:val="24"/>
        </w:rPr>
        <w:lastRenderedPageBreak/>
        <w:t>Výskumný ústav vodného hospodárstva, Bratislava</w:t>
      </w:r>
    </w:p>
    <w:p w14:paraId="7935C012" w14:textId="77777777" w:rsidR="006705C2" w:rsidRPr="00E06828" w:rsidRDefault="006705C2" w:rsidP="007B0A7C">
      <w:pPr>
        <w:rPr>
          <w:rFonts w:cs="Calibri"/>
          <w:b/>
        </w:rPr>
      </w:pPr>
      <w:r w:rsidRPr="00E06828">
        <w:rPr>
          <w:rFonts w:cs="Calibri"/>
          <w:b/>
        </w:rPr>
        <w:t>Strojnícka fakulta STU</w:t>
      </w:r>
    </w:p>
    <w:p w14:paraId="1E166E66" w14:textId="61D028AF"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3D, s.</w:t>
      </w:r>
      <w:r w:rsidR="00E952F3" w:rsidRPr="00E06828">
        <w:rPr>
          <w:rFonts w:ascii="Calibri" w:hAnsi="Calibri" w:cs="Calibri"/>
        </w:rPr>
        <w:t xml:space="preserve"> </w:t>
      </w:r>
      <w:r w:rsidRPr="00E06828">
        <w:rPr>
          <w:rFonts w:ascii="Calibri" w:hAnsi="Calibri" w:cs="Calibri"/>
        </w:rPr>
        <w:t>r.</w:t>
      </w:r>
      <w:r w:rsidR="00E952F3" w:rsidRPr="00E06828">
        <w:rPr>
          <w:rFonts w:ascii="Calibri" w:hAnsi="Calibri" w:cs="Calibri"/>
        </w:rPr>
        <w:t xml:space="preserve"> </w:t>
      </w:r>
      <w:r w:rsidRPr="00E06828">
        <w:rPr>
          <w:rFonts w:ascii="Calibri" w:hAnsi="Calibri" w:cs="Calibri"/>
        </w:rPr>
        <w:t>o.</w:t>
      </w:r>
      <w:r w:rsidR="007577FA" w:rsidRPr="00E06828">
        <w:rPr>
          <w:rFonts w:ascii="Calibri" w:hAnsi="Calibri" w:cs="Calibri"/>
        </w:rPr>
        <w:t>, Bratislava</w:t>
      </w:r>
    </w:p>
    <w:p w14:paraId="5D95FC45" w14:textId="55735976"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Apertis, s.</w:t>
      </w:r>
      <w:r w:rsidR="00E952F3" w:rsidRPr="00E06828">
        <w:rPr>
          <w:rFonts w:ascii="Calibri" w:hAnsi="Calibri" w:cs="Calibri"/>
        </w:rPr>
        <w:t xml:space="preserve"> </w:t>
      </w:r>
      <w:r w:rsidRPr="00E06828">
        <w:rPr>
          <w:rFonts w:ascii="Calibri" w:hAnsi="Calibri" w:cs="Calibri"/>
        </w:rPr>
        <w:t>r.</w:t>
      </w:r>
      <w:r w:rsidR="00E952F3" w:rsidRPr="00E06828">
        <w:rPr>
          <w:rFonts w:ascii="Calibri" w:hAnsi="Calibri" w:cs="Calibri"/>
        </w:rPr>
        <w:t xml:space="preserve"> </w:t>
      </w:r>
      <w:r w:rsidRPr="00E06828">
        <w:rPr>
          <w:rFonts w:ascii="Calibri" w:hAnsi="Calibri" w:cs="Calibri"/>
        </w:rPr>
        <w:t>o.</w:t>
      </w:r>
      <w:r w:rsidR="007577FA" w:rsidRPr="00E06828">
        <w:rPr>
          <w:rFonts w:ascii="Calibri" w:hAnsi="Calibri" w:cs="Calibri"/>
        </w:rPr>
        <w:t>, Lieskovec</w:t>
      </w:r>
    </w:p>
    <w:p w14:paraId="5DFBCC44" w14:textId="03612BF4"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Boge Elastmetall Slovakia, a. s.</w:t>
      </w:r>
      <w:r w:rsidR="007577FA" w:rsidRPr="00E06828">
        <w:rPr>
          <w:rFonts w:ascii="Calibri" w:hAnsi="Calibri" w:cs="Calibri"/>
        </w:rPr>
        <w:t>, Trnava</w:t>
      </w:r>
    </w:p>
    <w:p w14:paraId="1FD82772" w14:textId="1F53B1A9"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CSM Industry, s.</w:t>
      </w:r>
      <w:r w:rsidR="00E952F3" w:rsidRPr="00E06828">
        <w:rPr>
          <w:rFonts w:ascii="Calibri" w:hAnsi="Calibri" w:cs="Calibri"/>
        </w:rPr>
        <w:t xml:space="preserve"> </w:t>
      </w:r>
      <w:r w:rsidRPr="00E06828">
        <w:rPr>
          <w:rFonts w:ascii="Calibri" w:hAnsi="Calibri" w:cs="Calibri"/>
        </w:rPr>
        <w:t>r.</w:t>
      </w:r>
      <w:r w:rsidR="00E952F3" w:rsidRPr="00E06828">
        <w:rPr>
          <w:rFonts w:ascii="Calibri" w:hAnsi="Calibri" w:cs="Calibri"/>
        </w:rPr>
        <w:t xml:space="preserve"> </w:t>
      </w:r>
      <w:r w:rsidRPr="00E06828">
        <w:rPr>
          <w:rFonts w:ascii="Calibri" w:hAnsi="Calibri" w:cs="Calibri"/>
        </w:rPr>
        <w:t>o.</w:t>
      </w:r>
      <w:r w:rsidR="007577FA" w:rsidRPr="00E06828">
        <w:rPr>
          <w:rFonts w:ascii="Calibri" w:hAnsi="Calibri" w:cs="Calibri"/>
        </w:rPr>
        <w:t>, Tisovec</w:t>
      </w:r>
    </w:p>
    <w:p w14:paraId="426DF29E" w14:textId="70945B2B"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F</w:t>
      </w:r>
      <w:r w:rsidR="007577FA" w:rsidRPr="00E06828">
        <w:rPr>
          <w:rFonts w:ascii="Calibri" w:hAnsi="Calibri" w:cs="Calibri"/>
        </w:rPr>
        <w:t>ORNAXA - SLOVAKIA</w:t>
      </w:r>
      <w:r w:rsidRPr="00E06828">
        <w:rPr>
          <w:rFonts w:ascii="Calibri" w:hAnsi="Calibri" w:cs="Calibri"/>
        </w:rPr>
        <w:t>, s.</w:t>
      </w:r>
      <w:r w:rsidR="00E952F3" w:rsidRPr="00E06828">
        <w:rPr>
          <w:rFonts w:ascii="Calibri" w:hAnsi="Calibri" w:cs="Calibri"/>
        </w:rPr>
        <w:t xml:space="preserve"> </w:t>
      </w:r>
      <w:r w:rsidRPr="00E06828">
        <w:rPr>
          <w:rFonts w:ascii="Calibri" w:hAnsi="Calibri" w:cs="Calibri"/>
        </w:rPr>
        <w:t>r.</w:t>
      </w:r>
      <w:r w:rsidR="00E952F3" w:rsidRPr="00E06828">
        <w:rPr>
          <w:rFonts w:ascii="Calibri" w:hAnsi="Calibri" w:cs="Calibri"/>
        </w:rPr>
        <w:t xml:space="preserve"> </w:t>
      </w:r>
      <w:r w:rsidRPr="00E06828">
        <w:rPr>
          <w:rFonts w:ascii="Calibri" w:hAnsi="Calibri" w:cs="Calibri"/>
        </w:rPr>
        <w:t>o.</w:t>
      </w:r>
      <w:r w:rsidR="007577FA" w:rsidRPr="00E06828">
        <w:rPr>
          <w:rFonts w:ascii="Calibri" w:hAnsi="Calibri" w:cs="Calibri"/>
        </w:rPr>
        <w:t>, Bratislava</w:t>
      </w:r>
    </w:p>
    <w:p w14:paraId="0F0165B4" w14:textId="3ED669B2"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GIA Slovakia</w:t>
      </w:r>
      <w:r w:rsidR="00FD221B" w:rsidRPr="00E06828">
        <w:rPr>
          <w:rFonts w:ascii="Calibri" w:hAnsi="Calibri" w:cs="Calibri"/>
        </w:rPr>
        <w:t>,</w:t>
      </w:r>
      <w:r w:rsidRPr="00E06828">
        <w:rPr>
          <w:rFonts w:ascii="Calibri" w:hAnsi="Calibri" w:cs="Calibri"/>
        </w:rPr>
        <w:t xml:space="preserve"> s r.</w:t>
      </w:r>
      <w:r w:rsidR="00FD221B" w:rsidRPr="00E06828">
        <w:rPr>
          <w:rFonts w:ascii="Calibri" w:hAnsi="Calibri" w:cs="Calibri"/>
        </w:rPr>
        <w:t xml:space="preserve"> </w:t>
      </w:r>
      <w:r w:rsidRPr="00E06828">
        <w:rPr>
          <w:rFonts w:ascii="Calibri" w:hAnsi="Calibri" w:cs="Calibri"/>
        </w:rPr>
        <w:t>o.</w:t>
      </w:r>
      <w:r w:rsidR="007577FA" w:rsidRPr="00E06828">
        <w:rPr>
          <w:rFonts w:ascii="Calibri" w:hAnsi="Calibri" w:cs="Calibri"/>
        </w:rPr>
        <w:t>, Bratislava</w:t>
      </w:r>
    </w:p>
    <w:p w14:paraId="43A756C0" w14:textId="7F74C59F"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IPM E</w:t>
      </w:r>
      <w:r w:rsidR="007577FA" w:rsidRPr="00E06828">
        <w:rPr>
          <w:rFonts w:ascii="Calibri" w:hAnsi="Calibri" w:cs="Calibri"/>
        </w:rPr>
        <w:t>NGINEERING</w:t>
      </w:r>
      <w:r w:rsidRPr="00E06828">
        <w:rPr>
          <w:rFonts w:ascii="Calibri" w:hAnsi="Calibri" w:cs="Calibri"/>
        </w:rPr>
        <w:t>, s. r. o.</w:t>
      </w:r>
      <w:r w:rsidR="007577FA" w:rsidRPr="00E06828">
        <w:rPr>
          <w:rFonts w:ascii="Calibri" w:hAnsi="Calibri" w:cs="Calibri"/>
        </w:rPr>
        <w:t>, Zvolen</w:t>
      </w:r>
    </w:p>
    <w:p w14:paraId="05B7CB9C" w14:textId="5EF706D4"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KNOTT, s.</w:t>
      </w:r>
      <w:r w:rsidR="00FD221B" w:rsidRPr="00E06828">
        <w:rPr>
          <w:rFonts w:ascii="Calibri" w:hAnsi="Calibri" w:cs="Calibri"/>
        </w:rPr>
        <w:t xml:space="preserve"> </w:t>
      </w:r>
      <w:r w:rsidRPr="00E06828">
        <w:rPr>
          <w:rFonts w:ascii="Calibri" w:hAnsi="Calibri" w:cs="Calibri"/>
        </w:rPr>
        <w:t>r.</w:t>
      </w:r>
      <w:r w:rsidR="00FD221B" w:rsidRPr="00E06828">
        <w:rPr>
          <w:rFonts w:ascii="Calibri" w:hAnsi="Calibri" w:cs="Calibri"/>
        </w:rPr>
        <w:t xml:space="preserve"> </w:t>
      </w:r>
      <w:r w:rsidRPr="00E06828">
        <w:rPr>
          <w:rFonts w:ascii="Calibri" w:hAnsi="Calibri" w:cs="Calibri"/>
        </w:rPr>
        <w:t>o.</w:t>
      </w:r>
      <w:r w:rsidR="007577FA" w:rsidRPr="00E06828">
        <w:rPr>
          <w:rFonts w:ascii="Calibri" w:hAnsi="Calibri" w:cs="Calibri"/>
        </w:rPr>
        <w:t>, Modra</w:t>
      </w:r>
    </w:p>
    <w:p w14:paraId="770ADA90" w14:textId="43731EEA"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 xml:space="preserve">KONŠTRUKTA </w:t>
      </w:r>
      <w:r w:rsidR="007577FA" w:rsidRPr="00E06828">
        <w:rPr>
          <w:rFonts w:ascii="Calibri" w:hAnsi="Calibri" w:cs="Calibri"/>
        </w:rPr>
        <w:t xml:space="preserve">- </w:t>
      </w:r>
      <w:r w:rsidRPr="00E06828">
        <w:rPr>
          <w:rFonts w:ascii="Calibri" w:hAnsi="Calibri" w:cs="Calibri"/>
        </w:rPr>
        <w:t>Industry, a.</w:t>
      </w:r>
      <w:r w:rsidR="00FD221B" w:rsidRPr="00E06828">
        <w:rPr>
          <w:rFonts w:ascii="Calibri" w:hAnsi="Calibri" w:cs="Calibri"/>
        </w:rPr>
        <w:t xml:space="preserve"> </w:t>
      </w:r>
      <w:r w:rsidRPr="00E06828">
        <w:rPr>
          <w:rFonts w:ascii="Calibri" w:hAnsi="Calibri" w:cs="Calibri"/>
        </w:rPr>
        <w:t>s.</w:t>
      </w:r>
      <w:r w:rsidR="007577FA" w:rsidRPr="00E06828">
        <w:rPr>
          <w:rFonts w:ascii="Calibri" w:hAnsi="Calibri" w:cs="Calibri"/>
        </w:rPr>
        <w:t>, Trenčín</w:t>
      </w:r>
    </w:p>
    <w:p w14:paraId="766FBDAC" w14:textId="119EA74C" w:rsidR="006705C2" w:rsidRPr="00E06828" w:rsidRDefault="007577FA"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MATADOR Automotive Vráble, a.</w:t>
      </w:r>
      <w:r w:rsidR="001977A0">
        <w:rPr>
          <w:rFonts w:ascii="Calibri" w:hAnsi="Calibri" w:cs="Calibri"/>
        </w:rPr>
        <w:t xml:space="preserve"> </w:t>
      </w:r>
      <w:r w:rsidRPr="00E06828">
        <w:rPr>
          <w:rFonts w:ascii="Calibri" w:hAnsi="Calibri" w:cs="Calibri"/>
        </w:rPr>
        <w:t>s., Vráble</w:t>
      </w:r>
    </w:p>
    <w:p w14:paraId="37CC56F6" w14:textId="043D43E0"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MH Manažment, a.</w:t>
      </w:r>
      <w:r w:rsidR="00FD221B" w:rsidRPr="00E06828">
        <w:rPr>
          <w:rFonts w:ascii="Calibri" w:hAnsi="Calibri" w:cs="Calibri"/>
        </w:rPr>
        <w:t xml:space="preserve"> </w:t>
      </w:r>
      <w:r w:rsidRPr="00E06828">
        <w:rPr>
          <w:rFonts w:ascii="Calibri" w:hAnsi="Calibri" w:cs="Calibri"/>
        </w:rPr>
        <w:t>s.</w:t>
      </w:r>
      <w:r w:rsidR="007577FA" w:rsidRPr="00E06828">
        <w:rPr>
          <w:rFonts w:ascii="Calibri" w:hAnsi="Calibri" w:cs="Calibri"/>
        </w:rPr>
        <w:t>, Bratislava</w:t>
      </w:r>
    </w:p>
    <w:p w14:paraId="3530EF5D" w14:textId="0E3B0FB1"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Micro</w:t>
      </w:r>
      <w:r w:rsidR="007577FA" w:rsidRPr="00E06828">
        <w:rPr>
          <w:rFonts w:ascii="Calibri" w:hAnsi="Calibri" w:cs="Calibri"/>
        </w:rPr>
        <w:t>S</w:t>
      </w:r>
      <w:r w:rsidRPr="00E06828">
        <w:rPr>
          <w:rFonts w:ascii="Calibri" w:hAnsi="Calibri" w:cs="Calibri"/>
        </w:rPr>
        <w:t>tep, s.</w:t>
      </w:r>
      <w:r w:rsidR="00FD221B" w:rsidRPr="00E06828">
        <w:rPr>
          <w:rFonts w:ascii="Calibri" w:hAnsi="Calibri" w:cs="Calibri"/>
        </w:rPr>
        <w:t xml:space="preserve"> </w:t>
      </w:r>
      <w:r w:rsidRPr="00E06828">
        <w:rPr>
          <w:rFonts w:ascii="Calibri" w:hAnsi="Calibri" w:cs="Calibri"/>
        </w:rPr>
        <w:t>r.</w:t>
      </w:r>
      <w:r w:rsidR="00FD221B" w:rsidRPr="00E06828">
        <w:rPr>
          <w:rFonts w:ascii="Calibri" w:hAnsi="Calibri" w:cs="Calibri"/>
        </w:rPr>
        <w:t xml:space="preserve"> </w:t>
      </w:r>
      <w:r w:rsidRPr="00E06828">
        <w:rPr>
          <w:rFonts w:ascii="Calibri" w:hAnsi="Calibri" w:cs="Calibri"/>
        </w:rPr>
        <w:t>o.</w:t>
      </w:r>
      <w:r w:rsidR="007577FA" w:rsidRPr="00E06828">
        <w:rPr>
          <w:rFonts w:ascii="Calibri" w:hAnsi="Calibri" w:cs="Calibri"/>
        </w:rPr>
        <w:t>, Bratislava</w:t>
      </w:r>
    </w:p>
    <w:p w14:paraId="315B8E04" w14:textId="3D2D32CF"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PROSYSTEMY, s.</w:t>
      </w:r>
      <w:r w:rsidR="00FD221B" w:rsidRPr="00E06828">
        <w:rPr>
          <w:rFonts w:ascii="Calibri" w:hAnsi="Calibri" w:cs="Calibri"/>
        </w:rPr>
        <w:t xml:space="preserve"> </w:t>
      </w:r>
      <w:r w:rsidRPr="00E06828">
        <w:rPr>
          <w:rFonts w:ascii="Calibri" w:hAnsi="Calibri" w:cs="Calibri"/>
        </w:rPr>
        <w:t>r.</w:t>
      </w:r>
      <w:r w:rsidR="00FD221B" w:rsidRPr="00E06828">
        <w:rPr>
          <w:rFonts w:ascii="Calibri" w:hAnsi="Calibri" w:cs="Calibri"/>
        </w:rPr>
        <w:t xml:space="preserve"> </w:t>
      </w:r>
      <w:r w:rsidRPr="00E06828">
        <w:rPr>
          <w:rFonts w:ascii="Calibri" w:hAnsi="Calibri" w:cs="Calibri"/>
        </w:rPr>
        <w:t>o.</w:t>
      </w:r>
      <w:r w:rsidR="007577FA" w:rsidRPr="00E06828">
        <w:rPr>
          <w:rFonts w:ascii="Calibri" w:hAnsi="Calibri" w:cs="Calibri"/>
        </w:rPr>
        <w:t>, Budmerice</w:t>
      </w:r>
    </w:p>
    <w:p w14:paraId="2063F105" w14:textId="52F6E950"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P</w:t>
      </w:r>
      <w:r w:rsidR="007577FA" w:rsidRPr="00E06828">
        <w:rPr>
          <w:rFonts w:ascii="Calibri" w:hAnsi="Calibri" w:cs="Calibri"/>
        </w:rPr>
        <w:t>ROTETIKA</w:t>
      </w:r>
      <w:r w:rsidRPr="00E06828">
        <w:rPr>
          <w:rFonts w:ascii="Calibri" w:hAnsi="Calibri" w:cs="Calibri"/>
        </w:rPr>
        <w:t>, a.</w:t>
      </w:r>
      <w:r w:rsidR="00FD221B" w:rsidRPr="00E06828">
        <w:rPr>
          <w:rFonts w:ascii="Calibri" w:hAnsi="Calibri" w:cs="Calibri"/>
        </w:rPr>
        <w:t xml:space="preserve"> </w:t>
      </w:r>
      <w:r w:rsidRPr="00E06828">
        <w:rPr>
          <w:rFonts w:ascii="Calibri" w:hAnsi="Calibri" w:cs="Calibri"/>
        </w:rPr>
        <w:t>s.</w:t>
      </w:r>
      <w:r w:rsidR="007577FA" w:rsidRPr="00E06828">
        <w:rPr>
          <w:rFonts w:ascii="Calibri" w:hAnsi="Calibri" w:cs="Calibri"/>
        </w:rPr>
        <w:t>, Bratislava</w:t>
      </w:r>
    </w:p>
    <w:p w14:paraId="3521FDD2" w14:textId="4E2A2279"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Siemens, s.</w:t>
      </w:r>
      <w:r w:rsidR="00FD221B" w:rsidRPr="00E06828">
        <w:rPr>
          <w:rFonts w:ascii="Calibri" w:hAnsi="Calibri" w:cs="Calibri"/>
        </w:rPr>
        <w:t xml:space="preserve"> </w:t>
      </w:r>
      <w:r w:rsidRPr="00E06828">
        <w:rPr>
          <w:rFonts w:ascii="Calibri" w:hAnsi="Calibri" w:cs="Calibri"/>
        </w:rPr>
        <w:t>r.</w:t>
      </w:r>
      <w:r w:rsidR="00FD221B" w:rsidRPr="00E06828">
        <w:rPr>
          <w:rFonts w:ascii="Calibri" w:hAnsi="Calibri" w:cs="Calibri"/>
        </w:rPr>
        <w:t xml:space="preserve"> </w:t>
      </w:r>
      <w:r w:rsidRPr="00E06828">
        <w:rPr>
          <w:rFonts w:ascii="Calibri" w:hAnsi="Calibri" w:cs="Calibri"/>
        </w:rPr>
        <w:t>o.</w:t>
      </w:r>
      <w:r w:rsidR="007577FA" w:rsidRPr="00E06828">
        <w:rPr>
          <w:rFonts w:ascii="Calibri" w:hAnsi="Calibri" w:cs="Calibri"/>
        </w:rPr>
        <w:t>, Bratislava</w:t>
      </w:r>
    </w:p>
    <w:p w14:paraId="7413332F" w14:textId="3631336D"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SKF Slovensko, s.</w:t>
      </w:r>
      <w:r w:rsidR="00FD221B" w:rsidRPr="00E06828">
        <w:rPr>
          <w:rFonts w:ascii="Calibri" w:hAnsi="Calibri" w:cs="Calibri"/>
        </w:rPr>
        <w:t xml:space="preserve"> </w:t>
      </w:r>
      <w:r w:rsidRPr="00E06828">
        <w:rPr>
          <w:rFonts w:ascii="Calibri" w:hAnsi="Calibri" w:cs="Calibri"/>
        </w:rPr>
        <w:t>r.</w:t>
      </w:r>
      <w:r w:rsidR="00FD221B" w:rsidRPr="00E06828">
        <w:rPr>
          <w:rFonts w:ascii="Calibri" w:hAnsi="Calibri" w:cs="Calibri"/>
        </w:rPr>
        <w:t xml:space="preserve"> </w:t>
      </w:r>
      <w:r w:rsidRPr="00E06828">
        <w:rPr>
          <w:rFonts w:ascii="Calibri" w:hAnsi="Calibri" w:cs="Calibri"/>
        </w:rPr>
        <w:t>o.</w:t>
      </w:r>
      <w:r w:rsidR="007577FA" w:rsidRPr="00E06828">
        <w:rPr>
          <w:rFonts w:ascii="Calibri" w:hAnsi="Calibri" w:cs="Calibri"/>
        </w:rPr>
        <w:t>, Bratislava</w:t>
      </w:r>
    </w:p>
    <w:p w14:paraId="1F9F805F" w14:textId="3A5746CA"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Slovenská legálna metrológia, n.</w:t>
      </w:r>
      <w:r w:rsidR="00FD221B" w:rsidRPr="00E06828">
        <w:rPr>
          <w:rFonts w:ascii="Calibri" w:hAnsi="Calibri" w:cs="Calibri"/>
        </w:rPr>
        <w:t xml:space="preserve"> </w:t>
      </w:r>
      <w:r w:rsidRPr="00E06828">
        <w:rPr>
          <w:rFonts w:ascii="Calibri" w:hAnsi="Calibri" w:cs="Calibri"/>
        </w:rPr>
        <w:t>o.</w:t>
      </w:r>
      <w:r w:rsidR="007577FA" w:rsidRPr="00E06828">
        <w:rPr>
          <w:rFonts w:ascii="Calibri" w:hAnsi="Calibri" w:cs="Calibri"/>
        </w:rPr>
        <w:t>, Banská Bystrica</w:t>
      </w:r>
    </w:p>
    <w:p w14:paraId="450C7E60" w14:textId="30D6164A"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Slovenská národná akreditačná služba</w:t>
      </w:r>
      <w:r w:rsidR="007577FA" w:rsidRPr="00E06828">
        <w:rPr>
          <w:rFonts w:ascii="Calibri" w:hAnsi="Calibri" w:cs="Calibri"/>
        </w:rPr>
        <w:t>, Bratislava</w:t>
      </w:r>
    </w:p>
    <w:p w14:paraId="0B58F5C1" w14:textId="271BDF7D"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bookmarkStart w:id="289" w:name="_Hlk126443767"/>
      <w:r w:rsidRPr="00E06828">
        <w:rPr>
          <w:rFonts w:ascii="Calibri" w:hAnsi="Calibri" w:cs="Calibri"/>
        </w:rPr>
        <w:t>S</w:t>
      </w:r>
      <w:r w:rsidR="007577FA" w:rsidRPr="00E06828">
        <w:rPr>
          <w:rFonts w:ascii="Calibri" w:hAnsi="Calibri" w:cs="Calibri"/>
        </w:rPr>
        <w:t>LOVNAFT</w:t>
      </w:r>
      <w:r w:rsidRPr="00E06828">
        <w:rPr>
          <w:rFonts w:ascii="Calibri" w:hAnsi="Calibri" w:cs="Calibri"/>
        </w:rPr>
        <w:t>, a.</w:t>
      </w:r>
      <w:r w:rsidR="00BD7E1A" w:rsidRPr="00E06828">
        <w:rPr>
          <w:rFonts w:ascii="Calibri" w:hAnsi="Calibri" w:cs="Calibri"/>
        </w:rPr>
        <w:t xml:space="preserve"> </w:t>
      </w:r>
      <w:r w:rsidRPr="00E06828">
        <w:rPr>
          <w:rFonts w:ascii="Calibri" w:hAnsi="Calibri" w:cs="Calibri"/>
        </w:rPr>
        <w:t>s.</w:t>
      </w:r>
      <w:r w:rsidR="007577FA" w:rsidRPr="00E06828">
        <w:rPr>
          <w:rFonts w:ascii="Calibri" w:hAnsi="Calibri" w:cs="Calibri"/>
        </w:rPr>
        <w:t>, Bratislava</w:t>
      </w:r>
    </w:p>
    <w:bookmarkEnd w:id="289"/>
    <w:p w14:paraId="6ED8AE86" w14:textId="31F28487"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SOVA Digital, a.</w:t>
      </w:r>
      <w:r w:rsidR="00BD7E1A" w:rsidRPr="00E06828">
        <w:rPr>
          <w:rFonts w:ascii="Calibri" w:hAnsi="Calibri" w:cs="Calibri"/>
        </w:rPr>
        <w:t xml:space="preserve"> </w:t>
      </w:r>
      <w:r w:rsidRPr="00E06828">
        <w:rPr>
          <w:rFonts w:ascii="Calibri" w:hAnsi="Calibri" w:cs="Calibri"/>
        </w:rPr>
        <w:t>s.</w:t>
      </w:r>
      <w:r w:rsidR="007577FA" w:rsidRPr="00E06828">
        <w:rPr>
          <w:rFonts w:ascii="Calibri" w:hAnsi="Calibri" w:cs="Calibri"/>
        </w:rPr>
        <w:t>, Bratislava</w:t>
      </w:r>
    </w:p>
    <w:p w14:paraId="09AC3A7A" w14:textId="7ADC4646"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SPP</w:t>
      </w:r>
      <w:r w:rsidR="007577FA" w:rsidRPr="00E06828">
        <w:rPr>
          <w:rFonts w:ascii="Calibri" w:hAnsi="Calibri" w:cs="Calibri"/>
        </w:rPr>
        <w:t xml:space="preserve"> </w:t>
      </w:r>
      <w:r w:rsidRPr="00E06828">
        <w:rPr>
          <w:rFonts w:ascii="Calibri" w:hAnsi="Calibri" w:cs="Calibri"/>
        </w:rPr>
        <w:t>-</w:t>
      </w:r>
      <w:r w:rsidR="007577FA" w:rsidRPr="00E06828">
        <w:rPr>
          <w:rFonts w:ascii="Calibri" w:hAnsi="Calibri" w:cs="Calibri"/>
        </w:rPr>
        <w:t xml:space="preserve"> </w:t>
      </w:r>
      <w:r w:rsidRPr="00E06828">
        <w:rPr>
          <w:rFonts w:ascii="Calibri" w:hAnsi="Calibri" w:cs="Calibri"/>
        </w:rPr>
        <w:t>distribúcia, a.</w:t>
      </w:r>
      <w:r w:rsidR="00BD7E1A" w:rsidRPr="00E06828">
        <w:rPr>
          <w:rFonts w:ascii="Calibri" w:hAnsi="Calibri" w:cs="Calibri"/>
        </w:rPr>
        <w:t xml:space="preserve"> </w:t>
      </w:r>
      <w:r w:rsidRPr="00E06828">
        <w:rPr>
          <w:rFonts w:ascii="Calibri" w:hAnsi="Calibri" w:cs="Calibri"/>
        </w:rPr>
        <w:t>s.</w:t>
      </w:r>
      <w:r w:rsidR="007577FA" w:rsidRPr="00E06828">
        <w:rPr>
          <w:rFonts w:ascii="Calibri" w:hAnsi="Calibri" w:cs="Calibri"/>
        </w:rPr>
        <w:t>, Bratislava</w:t>
      </w:r>
    </w:p>
    <w:p w14:paraId="2F4C0E19" w14:textId="66749D51"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Úrad pre normalizáciu, metrológiu a skúšobníctvo SR</w:t>
      </w:r>
      <w:r w:rsidR="00E51C2B" w:rsidRPr="00E06828">
        <w:rPr>
          <w:rFonts w:ascii="Calibri" w:hAnsi="Calibri" w:cs="Calibri"/>
        </w:rPr>
        <w:t>, Bratislava</w:t>
      </w:r>
    </w:p>
    <w:p w14:paraId="507F2D32" w14:textId="2BE03951" w:rsidR="00E51C2B" w:rsidRPr="00E06828" w:rsidRDefault="00E51C2B"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VAKUUMTECHNIK, s. r. o., Hlohovec</w:t>
      </w:r>
    </w:p>
    <w:p w14:paraId="1F08A59C" w14:textId="42F1206D" w:rsidR="006705C2" w:rsidRPr="00E06828" w:rsidRDefault="00E51C2B" w:rsidP="00E027F7">
      <w:pPr>
        <w:pStyle w:val="gmail-default"/>
        <w:numPr>
          <w:ilvl w:val="0"/>
          <w:numId w:val="16"/>
        </w:numPr>
        <w:shd w:val="clear" w:color="auto" w:fill="FFFFFF"/>
        <w:spacing w:before="0" w:beforeAutospacing="0" w:after="40" w:afterAutospacing="0"/>
        <w:ind w:left="426" w:hanging="426"/>
        <w:rPr>
          <w:rFonts w:ascii="Calibri" w:hAnsi="Calibri" w:cs="Calibri"/>
        </w:rPr>
      </w:pPr>
      <w:bookmarkStart w:id="290" w:name="_Hlk126443560"/>
      <w:r w:rsidRPr="00E06828">
        <w:rPr>
          <w:rFonts w:ascii="Calibri" w:hAnsi="Calibri" w:cs="Calibri"/>
        </w:rPr>
        <w:t>VOLKSWAGEN SLOVAKIA, a. s., Bratislava</w:t>
      </w:r>
    </w:p>
    <w:bookmarkEnd w:id="290"/>
    <w:p w14:paraId="29C62166" w14:textId="2B49AC07" w:rsidR="006705C2" w:rsidRPr="00E06828" w:rsidRDefault="006705C2"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WAY INDUSTRIES, a.</w:t>
      </w:r>
      <w:r w:rsidR="00BD7E1A" w:rsidRPr="00E06828">
        <w:rPr>
          <w:rFonts w:ascii="Calibri" w:hAnsi="Calibri" w:cs="Calibri"/>
        </w:rPr>
        <w:t xml:space="preserve"> </w:t>
      </w:r>
      <w:r w:rsidRPr="00E06828">
        <w:rPr>
          <w:rFonts w:ascii="Calibri" w:hAnsi="Calibri" w:cs="Calibri"/>
        </w:rPr>
        <w:t>s.</w:t>
      </w:r>
      <w:r w:rsidR="00E51C2B" w:rsidRPr="00E06828">
        <w:rPr>
          <w:rFonts w:ascii="Calibri" w:hAnsi="Calibri" w:cs="Calibri"/>
        </w:rPr>
        <w:t>, Krupina</w:t>
      </w:r>
    </w:p>
    <w:p w14:paraId="30FC03B9" w14:textId="2094B6A1" w:rsidR="006705C2" w:rsidRPr="00E06828" w:rsidRDefault="00E51C2B" w:rsidP="00E027F7">
      <w:pPr>
        <w:pStyle w:val="gmail-default"/>
        <w:numPr>
          <w:ilvl w:val="0"/>
          <w:numId w:val="16"/>
        </w:numPr>
        <w:shd w:val="clear" w:color="auto" w:fill="FFFFFF"/>
        <w:spacing w:before="0" w:beforeAutospacing="0" w:after="40" w:afterAutospacing="0"/>
        <w:ind w:left="426" w:hanging="426"/>
        <w:rPr>
          <w:rFonts w:ascii="Calibri" w:hAnsi="Calibri" w:cs="Calibri"/>
        </w:rPr>
      </w:pPr>
      <w:r w:rsidRPr="00E06828">
        <w:rPr>
          <w:rFonts w:ascii="Calibri" w:hAnsi="Calibri" w:cs="Calibri"/>
        </w:rPr>
        <w:t>Združenie obcí Horného Žitného ostrova v odpadovom hospodárstve,</w:t>
      </w:r>
      <w:r w:rsidR="006705C2" w:rsidRPr="00E06828">
        <w:rPr>
          <w:rFonts w:ascii="Calibri" w:hAnsi="Calibri" w:cs="Calibri"/>
        </w:rPr>
        <w:t xml:space="preserve"> Šamorín</w:t>
      </w:r>
    </w:p>
    <w:p w14:paraId="4F27967D" w14:textId="42172A91" w:rsidR="006705C2" w:rsidRPr="00E06828" w:rsidRDefault="00E51C2B" w:rsidP="00E027F7">
      <w:pPr>
        <w:pStyle w:val="Odsekzoznamu"/>
        <w:numPr>
          <w:ilvl w:val="0"/>
          <w:numId w:val="13"/>
        </w:numPr>
        <w:spacing w:line="240" w:lineRule="auto"/>
        <w:ind w:left="426" w:hanging="426"/>
        <w:rPr>
          <w:rFonts w:cs="Calibri"/>
          <w:sz w:val="24"/>
          <w:szCs w:val="24"/>
        </w:rPr>
      </w:pPr>
      <w:r w:rsidRPr="00E06828">
        <w:rPr>
          <w:rFonts w:cs="Calibri"/>
          <w:sz w:val="24"/>
          <w:szCs w:val="24"/>
        </w:rPr>
        <w:t>ZTS - VÝSKUM A VÝVOJ, a. s.</w:t>
      </w:r>
      <w:r w:rsidR="006705C2" w:rsidRPr="00E06828">
        <w:rPr>
          <w:rFonts w:cs="Calibri"/>
          <w:sz w:val="24"/>
          <w:szCs w:val="24"/>
        </w:rPr>
        <w:t>, Dubnica nad Váhom </w:t>
      </w:r>
    </w:p>
    <w:p w14:paraId="3CC521C9" w14:textId="77777777" w:rsidR="00E9170A" w:rsidRPr="00E06828" w:rsidRDefault="00673150" w:rsidP="007B0A7C">
      <w:pPr>
        <w:rPr>
          <w:rFonts w:cs="Calibri"/>
          <w:b/>
        </w:rPr>
      </w:pPr>
      <w:r w:rsidRPr="00E06828">
        <w:rPr>
          <w:rFonts w:cs="Calibri"/>
          <w:b/>
        </w:rPr>
        <w:t>Fakulta elektrotechniky a informatiky STU</w:t>
      </w:r>
    </w:p>
    <w:p w14:paraId="71ADF6D4" w14:textId="7367AFF1" w:rsidR="00673150" w:rsidRPr="00E06828" w:rsidRDefault="00C77754" w:rsidP="00E027F7">
      <w:pPr>
        <w:pStyle w:val="Odsekzoznamu"/>
        <w:numPr>
          <w:ilvl w:val="0"/>
          <w:numId w:val="11"/>
        </w:numPr>
        <w:spacing w:line="240" w:lineRule="auto"/>
        <w:ind w:left="426" w:hanging="426"/>
        <w:rPr>
          <w:rFonts w:cs="Calibri"/>
          <w:sz w:val="24"/>
          <w:szCs w:val="24"/>
        </w:rPr>
      </w:pPr>
      <w:r w:rsidRPr="00E06828">
        <w:rPr>
          <w:rFonts w:cs="Calibri"/>
          <w:sz w:val="24"/>
          <w:szCs w:val="24"/>
        </w:rPr>
        <w:t>Airvolute</w:t>
      </w:r>
      <w:r w:rsidR="00673150" w:rsidRPr="00E06828">
        <w:rPr>
          <w:rFonts w:cs="Calibri"/>
          <w:sz w:val="24"/>
          <w:szCs w:val="24"/>
        </w:rPr>
        <w:t>, s. r. o.</w:t>
      </w:r>
      <w:r w:rsidRPr="00E06828">
        <w:rPr>
          <w:rFonts w:cs="Calibri"/>
          <w:sz w:val="24"/>
          <w:szCs w:val="24"/>
        </w:rPr>
        <w:t>, Trnava</w:t>
      </w:r>
    </w:p>
    <w:p w14:paraId="39E328EA" w14:textId="205C6F34"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Asseco Solutions, a. s.</w:t>
      </w:r>
      <w:r w:rsidR="00C77754" w:rsidRPr="00E06828">
        <w:rPr>
          <w:rFonts w:cs="Calibri"/>
          <w:sz w:val="24"/>
          <w:szCs w:val="24"/>
        </w:rPr>
        <w:t>, Bratislava</w:t>
      </w:r>
    </w:p>
    <w:p w14:paraId="5AA56343" w14:textId="7797F454"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BIONT, a. s.</w:t>
      </w:r>
      <w:r w:rsidR="00C77754" w:rsidRPr="00E06828">
        <w:rPr>
          <w:rFonts w:cs="Calibri"/>
          <w:sz w:val="24"/>
          <w:szCs w:val="24"/>
        </w:rPr>
        <w:t>, Bratislava</w:t>
      </w:r>
    </w:p>
    <w:p w14:paraId="7B36E4FE" w14:textId="1CC0212D"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EBG MedAustron</w:t>
      </w:r>
      <w:r w:rsidR="00C77754" w:rsidRPr="00E06828">
        <w:rPr>
          <w:rFonts w:cs="Calibri"/>
          <w:sz w:val="24"/>
          <w:szCs w:val="24"/>
        </w:rPr>
        <w:t>,</w:t>
      </w:r>
      <w:r w:rsidRPr="00E06828">
        <w:rPr>
          <w:rFonts w:cs="Calibri"/>
          <w:sz w:val="24"/>
          <w:szCs w:val="24"/>
        </w:rPr>
        <w:t xml:space="preserve"> GmbH</w:t>
      </w:r>
      <w:r w:rsidR="00C77754" w:rsidRPr="00E06828">
        <w:rPr>
          <w:rFonts w:cs="Calibri"/>
          <w:sz w:val="24"/>
          <w:szCs w:val="24"/>
        </w:rPr>
        <w:t>, Wiener Neustadt, Rakúsko</w:t>
      </w:r>
    </w:p>
    <w:p w14:paraId="03FBD7AB" w14:textId="694EDCB4"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Ecocapsule, s. r. o.</w:t>
      </w:r>
      <w:r w:rsidR="00C77754" w:rsidRPr="00E06828">
        <w:rPr>
          <w:rFonts w:cs="Calibri"/>
          <w:sz w:val="24"/>
          <w:szCs w:val="24"/>
        </w:rPr>
        <w:t>, Bratislava</w:t>
      </w:r>
    </w:p>
    <w:p w14:paraId="6F8D641B" w14:textId="5E2EF54F"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enigMMa, s. r. o.</w:t>
      </w:r>
      <w:r w:rsidR="00C77754" w:rsidRPr="00E06828">
        <w:rPr>
          <w:rFonts w:cs="Calibri"/>
          <w:sz w:val="24"/>
          <w:szCs w:val="24"/>
        </w:rPr>
        <w:t>, Bratislava</w:t>
      </w:r>
    </w:p>
    <w:p w14:paraId="1E46475D" w14:textId="3B0AADB4"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Ericsson Slovakia, s. r. o.</w:t>
      </w:r>
      <w:r w:rsidR="00C77754" w:rsidRPr="00E06828">
        <w:rPr>
          <w:rFonts w:cs="Calibri"/>
          <w:sz w:val="24"/>
          <w:szCs w:val="24"/>
        </w:rPr>
        <w:t>, Bratislava</w:t>
      </w:r>
    </w:p>
    <w:p w14:paraId="092C6F77" w14:textId="1A169C28"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Framatome Controls, s. r. o.</w:t>
      </w:r>
      <w:r w:rsidR="00C77754" w:rsidRPr="00E06828">
        <w:rPr>
          <w:rFonts w:cs="Calibri"/>
          <w:sz w:val="24"/>
          <w:szCs w:val="24"/>
        </w:rPr>
        <w:t>, Bratislava</w:t>
      </w:r>
    </w:p>
    <w:p w14:paraId="08BCCFF2" w14:textId="0EAD6172"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GA Drilling, a .s.</w:t>
      </w:r>
      <w:r w:rsidR="00C77754" w:rsidRPr="00E06828">
        <w:rPr>
          <w:rFonts w:cs="Calibri"/>
          <w:sz w:val="24"/>
          <w:szCs w:val="24"/>
        </w:rPr>
        <w:t>, Trnava</w:t>
      </w:r>
    </w:p>
    <w:p w14:paraId="4E8234BB" w14:textId="22565AC3"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HUMUSOFT, s. r. o.</w:t>
      </w:r>
      <w:r w:rsidR="00C77754" w:rsidRPr="00E06828">
        <w:rPr>
          <w:rFonts w:cs="Calibri"/>
          <w:sz w:val="24"/>
          <w:szCs w:val="24"/>
        </w:rPr>
        <w:t>, Praha, Česká republika</w:t>
      </w:r>
    </w:p>
    <w:p w14:paraId="742DBE26" w14:textId="08635EF8"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IBM Slovensko, s. r. o.</w:t>
      </w:r>
      <w:r w:rsidR="00C77754" w:rsidRPr="00E06828">
        <w:rPr>
          <w:rFonts w:cs="Calibri"/>
          <w:sz w:val="24"/>
          <w:szCs w:val="24"/>
        </w:rPr>
        <w:t>, Bratislava</w:t>
      </w:r>
    </w:p>
    <w:p w14:paraId="19E4BE4E" w14:textId="63551076"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Jacobs Slovakia, s. r. o.</w:t>
      </w:r>
      <w:r w:rsidR="00C77754" w:rsidRPr="00E06828">
        <w:rPr>
          <w:rFonts w:cs="Calibri"/>
          <w:sz w:val="24"/>
          <w:szCs w:val="24"/>
        </w:rPr>
        <w:t>, Trnava</w:t>
      </w:r>
    </w:p>
    <w:p w14:paraId="77656B9B" w14:textId="042CD94B" w:rsidR="00673150" w:rsidRPr="00E06828" w:rsidRDefault="00025732" w:rsidP="00E027F7">
      <w:pPr>
        <w:pStyle w:val="Odsekzoznamu"/>
        <w:numPr>
          <w:ilvl w:val="0"/>
          <w:numId w:val="11"/>
        </w:numPr>
        <w:spacing w:line="240" w:lineRule="auto"/>
        <w:ind w:left="426" w:hanging="426"/>
        <w:rPr>
          <w:rFonts w:cs="Calibri"/>
          <w:sz w:val="24"/>
          <w:szCs w:val="24"/>
        </w:rPr>
      </w:pPr>
      <w:r w:rsidRPr="00E06828">
        <w:rPr>
          <w:rFonts w:cs="Calibri"/>
          <w:sz w:val="24"/>
          <w:szCs w:val="24"/>
        </w:rPr>
        <w:t>MATADOR Automation, s. r. o., Dubnica nad Váhom</w:t>
      </w:r>
    </w:p>
    <w:p w14:paraId="34D08729" w14:textId="77777777" w:rsidR="00025732" w:rsidRPr="00E06828" w:rsidRDefault="00025732" w:rsidP="00E027F7">
      <w:pPr>
        <w:pStyle w:val="Odsekzoznamu"/>
        <w:numPr>
          <w:ilvl w:val="0"/>
          <w:numId w:val="11"/>
        </w:numPr>
        <w:spacing w:line="240" w:lineRule="auto"/>
        <w:ind w:left="426" w:hanging="426"/>
        <w:rPr>
          <w:rFonts w:cs="Calibri"/>
          <w:sz w:val="24"/>
          <w:szCs w:val="24"/>
        </w:rPr>
      </w:pPr>
      <w:r w:rsidRPr="00E06828">
        <w:rPr>
          <w:rFonts w:cs="Calibri"/>
          <w:sz w:val="24"/>
          <w:szCs w:val="24"/>
        </w:rPr>
        <w:t>MIRONAUT, s. r. o., Kežmarok</w:t>
      </w:r>
    </w:p>
    <w:p w14:paraId="08DE1F22" w14:textId="424B3AB3"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lastRenderedPageBreak/>
        <w:t>NETGRIF, s. r. o.</w:t>
      </w:r>
      <w:r w:rsidR="00025732" w:rsidRPr="00E06828">
        <w:rPr>
          <w:rFonts w:cs="Calibri"/>
          <w:sz w:val="24"/>
          <w:szCs w:val="24"/>
        </w:rPr>
        <w:t>, Bratislava</w:t>
      </w:r>
    </w:p>
    <w:p w14:paraId="4C5D1EB6" w14:textId="3EFA8D2F"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ON Semiconductor Slovakia, a. s.</w:t>
      </w:r>
      <w:r w:rsidR="00025732" w:rsidRPr="00E06828">
        <w:rPr>
          <w:rFonts w:cs="Calibri"/>
          <w:sz w:val="24"/>
          <w:szCs w:val="24"/>
        </w:rPr>
        <w:t>, Piešťany</w:t>
      </w:r>
    </w:p>
    <w:p w14:paraId="2B701146" w14:textId="6B19FDFF"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RMC, s. r. o.</w:t>
      </w:r>
      <w:r w:rsidR="00025732" w:rsidRPr="00E06828">
        <w:rPr>
          <w:rFonts w:cs="Calibri"/>
          <w:sz w:val="24"/>
          <w:szCs w:val="24"/>
        </w:rPr>
        <w:t>, Nová Dubnica</w:t>
      </w:r>
    </w:p>
    <w:p w14:paraId="05536627" w14:textId="3A41DBC4"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SEMIKRON, s. r. o.</w:t>
      </w:r>
      <w:r w:rsidR="00025732" w:rsidRPr="00E06828">
        <w:rPr>
          <w:rFonts w:cs="Calibri"/>
          <w:sz w:val="24"/>
          <w:szCs w:val="24"/>
        </w:rPr>
        <w:t>, Vrbové</w:t>
      </w:r>
    </w:p>
    <w:p w14:paraId="6B8290BA" w14:textId="6636FE5B"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Siemens, s. r. o.</w:t>
      </w:r>
      <w:r w:rsidR="00025732" w:rsidRPr="00E06828">
        <w:rPr>
          <w:rFonts w:cs="Calibri"/>
          <w:sz w:val="24"/>
          <w:szCs w:val="24"/>
        </w:rPr>
        <w:t>, Bratislava</w:t>
      </w:r>
    </w:p>
    <w:p w14:paraId="0AF71002" w14:textId="18CC2DDA"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S</w:t>
      </w:r>
      <w:r w:rsidR="00025732" w:rsidRPr="00E06828">
        <w:rPr>
          <w:rFonts w:cs="Calibri"/>
          <w:sz w:val="24"/>
          <w:szCs w:val="24"/>
        </w:rPr>
        <w:t>IPRIN</w:t>
      </w:r>
      <w:r w:rsidRPr="00E06828">
        <w:rPr>
          <w:rFonts w:cs="Calibri"/>
          <w:sz w:val="24"/>
          <w:szCs w:val="24"/>
        </w:rPr>
        <w:t>, s. r. o.</w:t>
      </w:r>
      <w:r w:rsidR="00025732" w:rsidRPr="00E06828">
        <w:rPr>
          <w:rFonts w:cs="Calibri"/>
          <w:sz w:val="24"/>
          <w:szCs w:val="24"/>
        </w:rPr>
        <w:t>, Bratislava</w:t>
      </w:r>
    </w:p>
    <w:p w14:paraId="432DC783" w14:textId="24F09594"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Slovenská elektrizačná prenosová sústava, a. s.</w:t>
      </w:r>
      <w:r w:rsidR="00025732" w:rsidRPr="00E06828">
        <w:rPr>
          <w:rFonts w:cs="Calibri"/>
          <w:sz w:val="24"/>
          <w:szCs w:val="24"/>
        </w:rPr>
        <w:t>, Bratislava</w:t>
      </w:r>
    </w:p>
    <w:p w14:paraId="4E4BBB90" w14:textId="0BFFF508"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Slovenské elektrárne, a. s.</w:t>
      </w:r>
      <w:r w:rsidR="00025732" w:rsidRPr="00E06828">
        <w:rPr>
          <w:rFonts w:cs="Calibri"/>
          <w:sz w:val="24"/>
          <w:szCs w:val="24"/>
        </w:rPr>
        <w:t>, Bratislava</w:t>
      </w:r>
    </w:p>
    <w:p w14:paraId="4A676E62" w14:textId="454D6909"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TESTEK, a. s.</w:t>
      </w:r>
      <w:r w:rsidR="00025732" w:rsidRPr="00E06828">
        <w:rPr>
          <w:rFonts w:cs="Calibri"/>
          <w:sz w:val="24"/>
          <w:szCs w:val="24"/>
        </w:rPr>
        <w:t>, Bratislava</w:t>
      </w:r>
    </w:p>
    <w:p w14:paraId="7D029517" w14:textId="29437F90"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Towercom, a. s.</w:t>
      </w:r>
      <w:r w:rsidR="00025732" w:rsidRPr="00E06828">
        <w:rPr>
          <w:rFonts w:cs="Calibri"/>
          <w:sz w:val="24"/>
          <w:szCs w:val="24"/>
        </w:rPr>
        <w:t>, Bratislava</w:t>
      </w:r>
    </w:p>
    <w:p w14:paraId="671E9E58" w14:textId="73918A3E"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Úrad pre reguláciu elektronických komunikácií a poštových služieb</w:t>
      </w:r>
      <w:r w:rsidR="00025732" w:rsidRPr="00E06828">
        <w:rPr>
          <w:rFonts w:cs="Calibri"/>
          <w:sz w:val="24"/>
          <w:szCs w:val="24"/>
        </w:rPr>
        <w:t>, Bratislava</w:t>
      </w:r>
    </w:p>
    <w:p w14:paraId="542E63E1" w14:textId="77777777" w:rsidR="00025732" w:rsidRPr="00E06828" w:rsidRDefault="00025732" w:rsidP="00E027F7">
      <w:pPr>
        <w:pStyle w:val="Odsekzoznamu"/>
        <w:numPr>
          <w:ilvl w:val="0"/>
          <w:numId w:val="11"/>
        </w:numPr>
        <w:spacing w:line="240" w:lineRule="auto"/>
        <w:ind w:left="426" w:hanging="426"/>
        <w:rPr>
          <w:rFonts w:cs="Calibri"/>
          <w:sz w:val="24"/>
          <w:szCs w:val="24"/>
        </w:rPr>
      </w:pPr>
      <w:r w:rsidRPr="00E06828">
        <w:rPr>
          <w:rFonts w:cs="Calibri"/>
          <w:sz w:val="24"/>
          <w:szCs w:val="24"/>
        </w:rPr>
        <w:t>Ústav merania SAV, v. v. i., Bratislava</w:t>
      </w:r>
    </w:p>
    <w:p w14:paraId="2C6FE239" w14:textId="509A8D5F" w:rsidR="00025732" w:rsidRPr="00E06828" w:rsidRDefault="00025732" w:rsidP="00E027F7">
      <w:pPr>
        <w:pStyle w:val="Odsekzoznamu"/>
        <w:numPr>
          <w:ilvl w:val="0"/>
          <w:numId w:val="11"/>
        </w:numPr>
        <w:spacing w:line="240" w:lineRule="auto"/>
        <w:ind w:left="426" w:hanging="426"/>
        <w:rPr>
          <w:rFonts w:cs="Calibri"/>
          <w:sz w:val="24"/>
          <w:szCs w:val="24"/>
        </w:rPr>
      </w:pPr>
      <w:bookmarkStart w:id="291" w:name="_Hlk126499890"/>
      <w:r w:rsidRPr="00E06828">
        <w:rPr>
          <w:rFonts w:cs="Calibri"/>
          <w:sz w:val="24"/>
          <w:szCs w:val="24"/>
        </w:rPr>
        <w:t>VOLKSWAGEN SLOVAKIA, a. s., Bratislava</w:t>
      </w:r>
    </w:p>
    <w:bookmarkEnd w:id="291"/>
    <w:p w14:paraId="4A166B47" w14:textId="77777777" w:rsidR="00673150" w:rsidRPr="00E06828" w:rsidRDefault="00673150" w:rsidP="00E027F7">
      <w:pPr>
        <w:pStyle w:val="Odsekzoznamu"/>
        <w:numPr>
          <w:ilvl w:val="0"/>
          <w:numId w:val="11"/>
        </w:numPr>
        <w:spacing w:line="240" w:lineRule="auto"/>
        <w:ind w:left="426" w:hanging="426"/>
        <w:rPr>
          <w:rFonts w:cs="Calibri"/>
          <w:sz w:val="24"/>
          <w:szCs w:val="24"/>
        </w:rPr>
      </w:pPr>
      <w:r w:rsidRPr="00E06828">
        <w:rPr>
          <w:rFonts w:cs="Calibri"/>
          <w:sz w:val="24"/>
          <w:szCs w:val="24"/>
        </w:rPr>
        <w:t>VUJE, a.</w:t>
      </w:r>
      <w:r w:rsidR="009C7C94" w:rsidRPr="00E06828">
        <w:rPr>
          <w:rFonts w:cs="Calibri"/>
          <w:sz w:val="24"/>
          <w:szCs w:val="24"/>
        </w:rPr>
        <w:t xml:space="preserve"> </w:t>
      </w:r>
      <w:r w:rsidRPr="00E06828">
        <w:rPr>
          <w:rFonts w:cs="Calibri"/>
          <w:sz w:val="24"/>
          <w:szCs w:val="24"/>
        </w:rPr>
        <w:t>s.</w:t>
      </w:r>
      <w:r w:rsidR="009C7C94" w:rsidRPr="00E06828">
        <w:rPr>
          <w:rFonts w:cs="Calibri"/>
          <w:sz w:val="24"/>
          <w:szCs w:val="24"/>
        </w:rPr>
        <w:t>,</w:t>
      </w:r>
      <w:r w:rsidRPr="00E06828">
        <w:rPr>
          <w:rFonts w:cs="Calibri"/>
          <w:sz w:val="24"/>
          <w:szCs w:val="24"/>
        </w:rPr>
        <w:t xml:space="preserve"> Trnava</w:t>
      </w:r>
    </w:p>
    <w:p w14:paraId="591E5C7B" w14:textId="0E09DF9C" w:rsidR="00E9170A" w:rsidRPr="00E06828" w:rsidRDefault="00673150" w:rsidP="00E027F7">
      <w:pPr>
        <w:pStyle w:val="Odsekzoznamu"/>
        <w:numPr>
          <w:ilvl w:val="0"/>
          <w:numId w:val="13"/>
        </w:numPr>
        <w:spacing w:line="240" w:lineRule="auto"/>
        <w:ind w:left="426" w:hanging="426"/>
        <w:rPr>
          <w:rFonts w:cs="Calibri"/>
          <w:sz w:val="24"/>
          <w:szCs w:val="24"/>
        </w:rPr>
      </w:pPr>
      <w:r w:rsidRPr="00E06828">
        <w:rPr>
          <w:rFonts w:cs="Calibri"/>
          <w:sz w:val="24"/>
          <w:szCs w:val="24"/>
        </w:rPr>
        <w:t>ZG Lighting Slovakia, s.</w:t>
      </w:r>
      <w:r w:rsidR="009C7C94" w:rsidRPr="00E06828">
        <w:rPr>
          <w:rFonts w:cs="Calibri"/>
          <w:sz w:val="24"/>
          <w:szCs w:val="24"/>
        </w:rPr>
        <w:t xml:space="preserve"> </w:t>
      </w:r>
      <w:r w:rsidRPr="00E06828">
        <w:rPr>
          <w:rFonts w:cs="Calibri"/>
          <w:sz w:val="24"/>
          <w:szCs w:val="24"/>
        </w:rPr>
        <w:t>r.</w:t>
      </w:r>
      <w:r w:rsidR="009C7C94" w:rsidRPr="00E06828">
        <w:rPr>
          <w:rFonts w:cs="Calibri"/>
          <w:sz w:val="24"/>
          <w:szCs w:val="24"/>
        </w:rPr>
        <w:t xml:space="preserve"> </w:t>
      </w:r>
      <w:r w:rsidRPr="00E06828">
        <w:rPr>
          <w:rFonts w:cs="Calibri"/>
          <w:sz w:val="24"/>
          <w:szCs w:val="24"/>
        </w:rPr>
        <w:t>o.</w:t>
      </w:r>
      <w:r w:rsidR="00025732" w:rsidRPr="00E06828">
        <w:rPr>
          <w:rFonts w:cs="Calibri"/>
          <w:sz w:val="24"/>
          <w:szCs w:val="24"/>
        </w:rPr>
        <w:t>, Bratislava</w:t>
      </w:r>
    </w:p>
    <w:p w14:paraId="7CCEC4C7" w14:textId="77777777" w:rsidR="00E9170A" w:rsidRPr="00E06828" w:rsidRDefault="009C7C94" w:rsidP="007B0A7C">
      <w:pPr>
        <w:rPr>
          <w:rFonts w:cs="Calibri"/>
          <w:b/>
        </w:rPr>
      </w:pPr>
      <w:r w:rsidRPr="00E06828">
        <w:rPr>
          <w:rFonts w:cs="Calibri"/>
          <w:b/>
        </w:rPr>
        <w:t>Fakulta chemickej a potravinárskej technológie STU:</w:t>
      </w:r>
    </w:p>
    <w:p w14:paraId="2F3DF0BD" w14:textId="77777777" w:rsidR="00A77FC7" w:rsidRDefault="00A77FC7" w:rsidP="00E027F7">
      <w:pPr>
        <w:pStyle w:val="Odsekzoznamu"/>
        <w:numPr>
          <w:ilvl w:val="0"/>
          <w:numId w:val="12"/>
        </w:numPr>
        <w:spacing w:after="0" w:line="240" w:lineRule="auto"/>
        <w:ind w:left="426" w:hanging="426"/>
        <w:rPr>
          <w:rFonts w:cstheme="minorHAnsi"/>
          <w:sz w:val="24"/>
        </w:rPr>
      </w:pPr>
      <w:r>
        <w:rPr>
          <w:rFonts w:cstheme="minorHAnsi"/>
          <w:sz w:val="24"/>
        </w:rPr>
        <w:t>3IPK, a. s.</w:t>
      </w:r>
    </w:p>
    <w:p w14:paraId="7649415F" w14:textId="77777777" w:rsidR="00A77FC7" w:rsidRDefault="00A77FC7" w:rsidP="00E027F7">
      <w:pPr>
        <w:pStyle w:val="Odsekzoznamu"/>
        <w:numPr>
          <w:ilvl w:val="0"/>
          <w:numId w:val="12"/>
        </w:numPr>
        <w:spacing w:after="0" w:line="240" w:lineRule="auto"/>
        <w:ind w:left="426" w:hanging="426"/>
        <w:rPr>
          <w:rFonts w:cstheme="minorHAnsi"/>
          <w:sz w:val="24"/>
        </w:rPr>
      </w:pPr>
      <w:r>
        <w:rPr>
          <w:rFonts w:cstheme="minorHAnsi"/>
          <w:sz w:val="24"/>
        </w:rPr>
        <w:t xml:space="preserve">AL </w:t>
      </w:r>
      <w:r>
        <w:rPr>
          <w:rFonts w:cstheme="minorHAnsi"/>
          <w:sz w:val="24"/>
          <w:lang w:val="en-US"/>
        </w:rPr>
        <w:t xml:space="preserve">&amp; LA </w:t>
      </w:r>
      <w:r>
        <w:rPr>
          <w:rFonts w:cstheme="minorHAnsi"/>
          <w:sz w:val="24"/>
        </w:rPr>
        <w:t>Consulting, s. r. o., Senec</w:t>
      </w:r>
    </w:p>
    <w:p w14:paraId="09F64FA7" w14:textId="447CC2F7" w:rsidR="00FA46AA" w:rsidRPr="00E06828" w:rsidRDefault="00FA46AA"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Biomedicínske centrum SAV, v. v. i., Bratislava</w:t>
      </w:r>
    </w:p>
    <w:p w14:paraId="23600E4A" w14:textId="3E148DAC"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Biz</w:t>
      </w:r>
      <w:r w:rsidR="00F51767" w:rsidRPr="00E06828">
        <w:rPr>
          <w:rFonts w:cs="Calibri"/>
          <w:sz w:val="24"/>
          <w:szCs w:val="24"/>
        </w:rPr>
        <w:t>l</w:t>
      </w:r>
      <w:r w:rsidRPr="00E06828">
        <w:rPr>
          <w:rFonts w:cs="Calibri"/>
          <w:sz w:val="24"/>
          <w:szCs w:val="24"/>
        </w:rPr>
        <w:t>ink Technology</w:t>
      </w:r>
      <w:r w:rsidR="00F51767" w:rsidRPr="00E06828">
        <w:rPr>
          <w:rFonts w:cs="Calibri"/>
          <w:sz w:val="24"/>
          <w:szCs w:val="24"/>
        </w:rPr>
        <w:t xml:space="preserve"> (Slovakia)</w:t>
      </w:r>
      <w:r w:rsidRPr="00E06828">
        <w:rPr>
          <w:rFonts w:cs="Calibri"/>
          <w:sz w:val="24"/>
          <w:szCs w:val="24"/>
        </w:rPr>
        <w:t>, s.</w:t>
      </w:r>
      <w:r w:rsidR="00673BDA" w:rsidRPr="00E06828">
        <w:rPr>
          <w:rFonts w:cs="Calibri"/>
          <w:sz w:val="24"/>
          <w:szCs w:val="24"/>
        </w:rPr>
        <w:t xml:space="preserve"> </w:t>
      </w:r>
      <w:r w:rsidRPr="00E06828">
        <w:rPr>
          <w:rFonts w:cs="Calibri"/>
          <w:sz w:val="24"/>
          <w:szCs w:val="24"/>
        </w:rPr>
        <w:t>r.</w:t>
      </w:r>
      <w:r w:rsidR="00673BDA" w:rsidRPr="00E06828">
        <w:rPr>
          <w:rFonts w:cs="Calibri"/>
          <w:sz w:val="24"/>
          <w:szCs w:val="24"/>
        </w:rPr>
        <w:t xml:space="preserve"> </w:t>
      </w:r>
      <w:r w:rsidRPr="00E06828">
        <w:rPr>
          <w:rFonts w:cs="Calibri"/>
          <w:sz w:val="24"/>
          <w:szCs w:val="24"/>
        </w:rPr>
        <w:t>o.</w:t>
      </w:r>
      <w:r w:rsidR="00F51767" w:rsidRPr="00E06828">
        <w:rPr>
          <w:rFonts w:cs="Calibri"/>
          <w:sz w:val="24"/>
          <w:szCs w:val="24"/>
        </w:rPr>
        <w:t>,</w:t>
      </w:r>
      <w:r w:rsidRPr="00E06828">
        <w:rPr>
          <w:rFonts w:cs="Calibri"/>
          <w:sz w:val="24"/>
          <w:szCs w:val="24"/>
        </w:rPr>
        <w:t xml:space="preserve"> Trenčianska Teplá</w:t>
      </w:r>
    </w:p>
    <w:p w14:paraId="3710FA6F" w14:textId="63D6063A"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Bratislavská vodárenská spoločnosť, a.</w:t>
      </w:r>
      <w:r w:rsidR="00673BDA" w:rsidRPr="00E06828">
        <w:rPr>
          <w:rFonts w:cs="Calibri"/>
          <w:sz w:val="24"/>
          <w:szCs w:val="24"/>
        </w:rPr>
        <w:t xml:space="preserve"> </w:t>
      </w:r>
      <w:r w:rsidRPr="00E06828">
        <w:rPr>
          <w:rFonts w:cs="Calibri"/>
          <w:sz w:val="24"/>
          <w:szCs w:val="24"/>
        </w:rPr>
        <w:t>s.</w:t>
      </w:r>
      <w:r w:rsidR="00F51767" w:rsidRPr="00E06828">
        <w:rPr>
          <w:rFonts w:cs="Calibri"/>
          <w:sz w:val="24"/>
          <w:szCs w:val="24"/>
        </w:rPr>
        <w:t xml:space="preserve">, </w:t>
      </w:r>
      <w:r w:rsidR="00A516E0" w:rsidRPr="00A516E0">
        <w:rPr>
          <w:rFonts w:cs="Calibri"/>
          <w:sz w:val="24"/>
          <w:szCs w:val="24"/>
        </w:rPr>
        <w:t>Laboratórium analytickej chémie, Bratislava</w:t>
      </w:r>
    </w:p>
    <w:p w14:paraId="14EEEEB1" w14:textId="77777777" w:rsidR="00FA46AA" w:rsidRPr="00E06828" w:rsidRDefault="00FA46AA"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Centrum biovied SAV, v. v. i., Bratislava</w:t>
      </w:r>
    </w:p>
    <w:p w14:paraId="505A83F6" w14:textId="77777777"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DUSLO, a.</w:t>
      </w:r>
      <w:r w:rsidR="00673BDA" w:rsidRPr="00E06828">
        <w:rPr>
          <w:rFonts w:cs="Calibri"/>
          <w:sz w:val="24"/>
          <w:szCs w:val="24"/>
        </w:rPr>
        <w:t xml:space="preserve"> </w:t>
      </w:r>
      <w:r w:rsidRPr="00E06828">
        <w:rPr>
          <w:rFonts w:cs="Calibri"/>
          <w:sz w:val="24"/>
          <w:szCs w:val="24"/>
        </w:rPr>
        <w:t>s., Šaľa</w:t>
      </w:r>
    </w:p>
    <w:p w14:paraId="3B854238" w14:textId="77777777"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EKOS PLUS, s.</w:t>
      </w:r>
      <w:r w:rsidR="00673BDA" w:rsidRPr="00E06828">
        <w:rPr>
          <w:rFonts w:cs="Calibri"/>
          <w:sz w:val="24"/>
          <w:szCs w:val="24"/>
        </w:rPr>
        <w:t xml:space="preserve"> </w:t>
      </w:r>
      <w:r w:rsidRPr="00E06828">
        <w:rPr>
          <w:rFonts w:cs="Calibri"/>
          <w:sz w:val="24"/>
          <w:szCs w:val="24"/>
        </w:rPr>
        <w:t>r.</w:t>
      </w:r>
      <w:r w:rsidR="00673BDA" w:rsidRPr="00E06828">
        <w:rPr>
          <w:rFonts w:cs="Calibri"/>
          <w:sz w:val="24"/>
          <w:szCs w:val="24"/>
        </w:rPr>
        <w:t xml:space="preserve"> </w:t>
      </w:r>
      <w:r w:rsidRPr="00E06828">
        <w:rPr>
          <w:rFonts w:cs="Calibri"/>
          <w:sz w:val="24"/>
          <w:szCs w:val="24"/>
        </w:rPr>
        <w:t>o., Bratislava</w:t>
      </w:r>
    </w:p>
    <w:p w14:paraId="024A2D9F" w14:textId="77777777"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ENVIRAL, a.</w:t>
      </w:r>
      <w:r w:rsidR="00673BDA" w:rsidRPr="00E06828">
        <w:rPr>
          <w:rFonts w:cs="Calibri"/>
          <w:sz w:val="24"/>
          <w:szCs w:val="24"/>
        </w:rPr>
        <w:t xml:space="preserve"> </w:t>
      </w:r>
      <w:r w:rsidRPr="00E06828">
        <w:rPr>
          <w:rFonts w:cs="Calibri"/>
          <w:sz w:val="24"/>
          <w:szCs w:val="24"/>
        </w:rPr>
        <w:t>s., Leopoldov</w:t>
      </w:r>
    </w:p>
    <w:p w14:paraId="72C4E6FA" w14:textId="39C9E15F"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 xml:space="preserve">Environmental Institute, </w:t>
      </w:r>
      <w:r w:rsidR="00F51767" w:rsidRPr="00E06828">
        <w:rPr>
          <w:rFonts w:cs="Calibri"/>
          <w:sz w:val="24"/>
          <w:szCs w:val="24"/>
        </w:rPr>
        <w:t xml:space="preserve">s. r. o., </w:t>
      </w:r>
      <w:r w:rsidRPr="00E06828">
        <w:rPr>
          <w:rFonts w:cs="Calibri"/>
          <w:sz w:val="24"/>
          <w:szCs w:val="24"/>
        </w:rPr>
        <w:t>Koš</w:t>
      </w:r>
    </w:p>
    <w:p w14:paraId="06DE0A33" w14:textId="4F53AED5" w:rsidR="009C7C94" w:rsidRPr="00E06828" w:rsidRDefault="00F51767"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Hermes LabSystems, s. r. o., Bratislava</w:t>
      </w:r>
    </w:p>
    <w:p w14:paraId="70B56FFC" w14:textId="264D40AB" w:rsidR="00FA46AA" w:rsidRPr="00E06828" w:rsidRDefault="00FA46AA"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 xml:space="preserve">Finančné riaditeľstvo SR, </w:t>
      </w:r>
      <w:r w:rsidR="00A516E0">
        <w:rPr>
          <w:rFonts w:cstheme="minorHAnsi"/>
        </w:rPr>
        <w:t>Colné laboratórium,</w:t>
      </w:r>
      <w:r w:rsidR="00A516E0" w:rsidRPr="00E06828">
        <w:rPr>
          <w:rFonts w:cs="Calibri"/>
          <w:sz w:val="24"/>
          <w:szCs w:val="24"/>
        </w:rPr>
        <w:t xml:space="preserve"> </w:t>
      </w:r>
      <w:r w:rsidRPr="00E06828">
        <w:rPr>
          <w:rFonts w:cs="Calibri"/>
          <w:sz w:val="24"/>
          <w:szCs w:val="24"/>
        </w:rPr>
        <w:t>Banská Bystrica</w:t>
      </w:r>
    </w:p>
    <w:p w14:paraId="2EB82E49" w14:textId="77777777" w:rsidR="00FA46AA" w:rsidRPr="00E06828" w:rsidRDefault="00FA46AA"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Chemický ústav SAV, v. v. i., Bratislava</w:t>
      </w:r>
    </w:p>
    <w:p w14:paraId="0F39F702" w14:textId="78A560B4" w:rsidR="009C7C94" w:rsidRPr="00E06828" w:rsidRDefault="00B40600"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CHEMOSVIT FOLIE, s.</w:t>
      </w:r>
      <w:r w:rsidR="003D2C1F">
        <w:rPr>
          <w:rFonts w:cs="Calibri"/>
          <w:sz w:val="24"/>
          <w:szCs w:val="24"/>
        </w:rPr>
        <w:t xml:space="preserve"> </w:t>
      </w:r>
      <w:r w:rsidRPr="00E06828">
        <w:rPr>
          <w:rFonts w:cs="Calibri"/>
          <w:sz w:val="24"/>
          <w:szCs w:val="24"/>
        </w:rPr>
        <w:t>r.</w:t>
      </w:r>
      <w:r w:rsidR="003D2C1F">
        <w:rPr>
          <w:rFonts w:cs="Calibri"/>
          <w:sz w:val="24"/>
          <w:szCs w:val="24"/>
        </w:rPr>
        <w:t xml:space="preserve"> </w:t>
      </w:r>
      <w:r w:rsidRPr="00E06828">
        <w:rPr>
          <w:rFonts w:cs="Calibri"/>
          <w:sz w:val="24"/>
          <w:szCs w:val="24"/>
        </w:rPr>
        <w:t>o.,</w:t>
      </w:r>
      <w:r w:rsidR="003D2C1F">
        <w:rPr>
          <w:rFonts w:cs="Calibri"/>
          <w:sz w:val="24"/>
          <w:szCs w:val="24"/>
        </w:rPr>
        <w:t xml:space="preserve"> </w:t>
      </w:r>
      <w:r w:rsidR="009C7C94" w:rsidRPr="00E06828">
        <w:rPr>
          <w:rFonts w:cs="Calibri"/>
          <w:sz w:val="24"/>
          <w:szCs w:val="24"/>
        </w:rPr>
        <w:t>Svit</w:t>
      </w:r>
    </w:p>
    <w:p w14:paraId="2A4C4638" w14:textId="77777777" w:rsidR="00FA46AA" w:rsidRPr="00E06828" w:rsidRDefault="00FA46AA"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Komora reštaurátorov, Bratislava</w:t>
      </w:r>
    </w:p>
    <w:p w14:paraId="3DC5CF35" w14:textId="28E67C97"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McCarter, a.</w:t>
      </w:r>
      <w:r w:rsidR="00673BDA" w:rsidRPr="00E06828">
        <w:rPr>
          <w:rFonts w:cs="Calibri"/>
          <w:sz w:val="24"/>
          <w:szCs w:val="24"/>
        </w:rPr>
        <w:t xml:space="preserve"> </w:t>
      </w:r>
      <w:r w:rsidRPr="00E06828">
        <w:rPr>
          <w:rFonts w:cs="Calibri"/>
          <w:sz w:val="24"/>
          <w:szCs w:val="24"/>
        </w:rPr>
        <w:t>s</w:t>
      </w:r>
      <w:r w:rsidR="00673BDA" w:rsidRPr="00E06828">
        <w:rPr>
          <w:rFonts w:cs="Calibri"/>
          <w:sz w:val="24"/>
          <w:szCs w:val="24"/>
        </w:rPr>
        <w:t>,</w:t>
      </w:r>
      <w:r w:rsidRPr="00E06828">
        <w:rPr>
          <w:rFonts w:cs="Calibri"/>
          <w:sz w:val="24"/>
          <w:szCs w:val="24"/>
        </w:rPr>
        <w:t xml:space="preserve">. </w:t>
      </w:r>
      <w:r w:rsidR="00B40600" w:rsidRPr="00E06828">
        <w:rPr>
          <w:rFonts w:cs="Calibri"/>
          <w:sz w:val="24"/>
          <w:szCs w:val="24"/>
        </w:rPr>
        <w:t>Bratislava</w:t>
      </w:r>
    </w:p>
    <w:p w14:paraId="68AB0908" w14:textId="2740E4DB"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Ministerstvo pôdohospodárstva a rozvoja vidieka SR</w:t>
      </w:r>
      <w:r w:rsidR="00B40600" w:rsidRPr="00E06828">
        <w:rPr>
          <w:rFonts w:cs="Calibri"/>
          <w:sz w:val="24"/>
          <w:szCs w:val="24"/>
        </w:rPr>
        <w:t>, Bratislava</w:t>
      </w:r>
    </w:p>
    <w:p w14:paraId="04865D83" w14:textId="52F50B89"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Ministerstvo životného prostredia SR</w:t>
      </w:r>
      <w:r w:rsidR="00B40600" w:rsidRPr="00E06828">
        <w:rPr>
          <w:rFonts w:cs="Calibri"/>
          <w:sz w:val="24"/>
          <w:szCs w:val="24"/>
        </w:rPr>
        <w:t>, Bratislava</w:t>
      </w:r>
    </w:p>
    <w:p w14:paraId="31BE29C1" w14:textId="17F73878"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Národné poľnohospodárske a potravinárske centrum</w:t>
      </w:r>
      <w:r w:rsidR="00B40600" w:rsidRPr="00E06828">
        <w:rPr>
          <w:rFonts w:cs="Calibri"/>
          <w:sz w:val="24"/>
          <w:szCs w:val="24"/>
        </w:rPr>
        <w:t>, Lužianky</w:t>
      </w:r>
    </w:p>
    <w:p w14:paraId="6754AFAC" w14:textId="70B1FADE"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 xml:space="preserve">Pacific Northwest National Laboratory, </w:t>
      </w:r>
      <w:r w:rsidR="00B40600" w:rsidRPr="00E06828">
        <w:rPr>
          <w:rFonts w:cs="Calibri"/>
          <w:sz w:val="24"/>
          <w:szCs w:val="24"/>
        </w:rPr>
        <w:t xml:space="preserve">Richland, </w:t>
      </w:r>
      <w:r w:rsidRPr="00E06828">
        <w:rPr>
          <w:rFonts w:cs="Calibri"/>
          <w:sz w:val="24"/>
          <w:szCs w:val="24"/>
        </w:rPr>
        <w:t>USA</w:t>
      </w:r>
    </w:p>
    <w:p w14:paraId="36E43C2A" w14:textId="61C5EDA4"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PLEURAN, s.</w:t>
      </w:r>
      <w:r w:rsidR="00164CEE" w:rsidRPr="00E06828">
        <w:rPr>
          <w:rFonts w:cs="Calibri"/>
          <w:sz w:val="24"/>
          <w:szCs w:val="24"/>
        </w:rPr>
        <w:t xml:space="preserve"> </w:t>
      </w:r>
      <w:r w:rsidRPr="00E06828">
        <w:rPr>
          <w:rFonts w:cs="Calibri"/>
          <w:sz w:val="24"/>
          <w:szCs w:val="24"/>
        </w:rPr>
        <w:t>r.</w:t>
      </w:r>
      <w:r w:rsidR="00164CEE" w:rsidRPr="00E06828">
        <w:rPr>
          <w:rFonts w:cs="Calibri"/>
          <w:sz w:val="24"/>
          <w:szCs w:val="24"/>
        </w:rPr>
        <w:t xml:space="preserve"> </w:t>
      </w:r>
      <w:r w:rsidRPr="00E06828">
        <w:rPr>
          <w:rFonts w:cs="Calibri"/>
          <w:sz w:val="24"/>
          <w:szCs w:val="24"/>
        </w:rPr>
        <w:t>o.</w:t>
      </w:r>
      <w:r w:rsidR="00B40600" w:rsidRPr="00E06828">
        <w:rPr>
          <w:rFonts w:cs="Calibri"/>
          <w:sz w:val="24"/>
          <w:szCs w:val="24"/>
        </w:rPr>
        <w:t>, Bratislava</w:t>
      </w:r>
    </w:p>
    <w:p w14:paraId="6CE4F990" w14:textId="5F9DC3E9"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Považská cementáreň, a.</w:t>
      </w:r>
      <w:r w:rsidR="00164CEE" w:rsidRPr="00E06828">
        <w:rPr>
          <w:rFonts w:cs="Calibri"/>
          <w:sz w:val="24"/>
          <w:szCs w:val="24"/>
        </w:rPr>
        <w:t xml:space="preserve"> </w:t>
      </w:r>
      <w:r w:rsidRPr="00E06828">
        <w:rPr>
          <w:rFonts w:cs="Calibri"/>
          <w:sz w:val="24"/>
          <w:szCs w:val="24"/>
        </w:rPr>
        <w:t>s.</w:t>
      </w:r>
      <w:r w:rsidR="00B40600" w:rsidRPr="00E06828">
        <w:rPr>
          <w:rFonts w:cs="Calibri"/>
          <w:sz w:val="24"/>
          <w:szCs w:val="24"/>
        </w:rPr>
        <w:t>, Ladce</w:t>
      </w:r>
    </w:p>
    <w:p w14:paraId="2746EF24" w14:textId="5749658E"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PreVak, s.</w:t>
      </w:r>
      <w:r w:rsidR="003D2C1F">
        <w:rPr>
          <w:rFonts w:cs="Calibri"/>
          <w:sz w:val="24"/>
          <w:szCs w:val="24"/>
        </w:rPr>
        <w:t xml:space="preserve"> </w:t>
      </w:r>
      <w:r w:rsidRPr="00E06828">
        <w:rPr>
          <w:rFonts w:cs="Calibri"/>
          <w:sz w:val="24"/>
          <w:szCs w:val="24"/>
        </w:rPr>
        <w:t>r.</w:t>
      </w:r>
      <w:r w:rsidR="003D2C1F">
        <w:rPr>
          <w:rFonts w:cs="Calibri"/>
          <w:sz w:val="24"/>
          <w:szCs w:val="24"/>
        </w:rPr>
        <w:t xml:space="preserve"> </w:t>
      </w:r>
      <w:r w:rsidRPr="00E06828">
        <w:rPr>
          <w:rFonts w:cs="Calibri"/>
          <w:sz w:val="24"/>
          <w:szCs w:val="24"/>
        </w:rPr>
        <w:t xml:space="preserve">o., </w:t>
      </w:r>
      <w:r w:rsidR="00B40600" w:rsidRPr="00E06828">
        <w:rPr>
          <w:rFonts w:cs="Calibri"/>
          <w:sz w:val="24"/>
          <w:szCs w:val="24"/>
        </w:rPr>
        <w:t>Bratislava</w:t>
      </w:r>
    </w:p>
    <w:p w14:paraId="5A9A4EC0" w14:textId="77777777" w:rsidR="00FA46AA" w:rsidRPr="00E06828" w:rsidRDefault="00FA46AA"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Prírodovedecká fakulta, Univerzita Komenského v Bratislave</w:t>
      </w:r>
    </w:p>
    <w:p w14:paraId="6CCBFE6E" w14:textId="77777777" w:rsidR="00FA46AA" w:rsidRPr="00E06828" w:rsidRDefault="00FA46AA"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Prírodovedecká fakulta, Univerzita Pavla Jozefa Šafárika v Košiciach</w:t>
      </w:r>
    </w:p>
    <w:p w14:paraId="67510C38" w14:textId="77777777"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ProCS, s.</w:t>
      </w:r>
      <w:r w:rsidR="00164CEE" w:rsidRPr="00E06828">
        <w:rPr>
          <w:rFonts w:cs="Calibri"/>
          <w:sz w:val="24"/>
          <w:szCs w:val="24"/>
        </w:rPr>
        <w:t xml:space="preserve"> </w:t>
      </w:r>
      <w:r w:rsidRPr="00E06828">
        <w:rPr>
          <w:rFonts w:cs="Calibri"/>
          <w:sz w:val="24"/>
          <w:szCs w:val="24"/>
        </w:rPr>
        <w:t>r.</w:t>
      </w:r>
      <w:r w:rsidR="00164CEE" w:rsidRPr="00E06828">
        <w:rPr>
          <w:rFonts w:cs="Calibri"/>
          <w:sz w:val="24"/>
          <w:szCs w:val="24"/>
        </w:rPr>
        <w:t xml:space="preserve"> </w:t>
      </w:r>
      <w:r w:rsidRPr="00E06828">
        <w:rPr>
          <w:rFonts w:cs="Calibri"/>
          <w:sz w:val="24"/>
          <w:szCs w:val="24"/>
        </w:rPr>
        <w:t>o., Šaľa</w:t>
      </w:r>
    </w:p>
    <w:p w14:paraId="2B4EBFE0" w14:textId="77777777"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Saneca Pharmaceuticals</w:t>
      </w:r>
      <w:r w:rsidR="00164CEE" w:rsidRPr="00E06828">
        <w:rPr>
          <w:rFonts w:cs="Calibri"/>
          <w:sz w:val="24"/>
          <w:szCs w:val="24"/>
        </w:rPr>
        <w:t>,</w:t>
      </w:r>
      <w:r w:rsidRPr="00E06828">
        <w:rPr>
          <w:rFonts w:cs="Calibri"/>
          <w:sz w:val="24"/>
          <w:szCs w:val="24"/>
        </w:rPr>
        <w:t xml:space="preserve"> a.</w:t>
      </w:r>
      <w:r w:rsidR="00164CEE" w:rsidRPr="00E06828">
        <w:rPr>
          <w:rFonts w:cs="Calibri"/>
          <w:sz w:val="24"/>
          <w:szCs w:val="24"/>
        </w:rPr>
        <w:t xml:space="preserve"> </w:t>
      </w:r>
      <w:r w:rsidRPr="00E06828">
        <w:rPr>
          <w:rFonts w:cs="Calibri"/>
          <w:sz w:val="24"/>
          <w:szCs w:val="24"/>
        </w:rPr>
        <w:t>s., Hlohovec</w:t>
      </w:r>
    </w:p>
    <w:p w14:paraId="0723ADB3" w14:textId="2ADBC92C" w:rsidR="009C7C94" w:rsidRPr="00E06828" w:rsidRDefault="00B40600"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Slovenský hydrometeorologický ústav, Bratislava</w:t>
      </w:r>
    </w:p>
    <w:p w14:paraId="7ECB5DC7" w14:textId="03D7A7B2"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Slovenská národná galéria</w:t>
      </w:r>
      <w:r w:rsidR="00B40600" w:rsidRPr="00E06828">
        <w:rPr>
          <w:rFonts w:cs="Calibri"/>
          <w:sz w:val="24"/>
          <w:szCs w:val="24"/>
        </w:rPr>
        <w:t>, Bratislava</w:t>
      </w:r>
      <w:r w:rsidRPr="00E06828">
        <w:rPr>
          <w:rFonts w:cs="Calibri"/>
          <w:sz w:val="24"/>
          <w:szCs w:val="24"/>
        </w:rPr>
        <w:t xml:space="preserve"> </w:t>
      </w:r>
    </w:p>
    <w:p w14:paraId="5AD98C82" w14:textId="1BBD9F44"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Slovenský národný archív</w:t>
      </w:r>
      <w:r w:rsidR="00B40600" w:rsidRPr="00E06828">
        <w:rPr>
          <w:rFonts w:cs="Calibri"/>
          <w:sz w:val="24"/>
          <w:szCs w:val="24"/>
        </w:rPr>
        <w:t>, Bratislava</w:t>
      </w:r>
    </w:p>
    <w:p w14:paraId="66F042BF" w14:textId="49B8CB41"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Slovenský kozmetologický zväz</w:t>
      </w:r>
      <w:r w:rsidR="00B40600" w:rsidRPr="00E06828">
        <w:rPr>
          <w:rFonts w:cs="Calibri"/>
          <w:sz w:val="24"/>
          <w:szCs w:val="24"/>
        </w:rPr>
        <w:t>, Bratislava</w:t>
      </w:r>
    </w:p>
    <w:p w14:paraId="6E445A29" w14:textId="77777777" w:rsidR="00B40600" w:rsidRPr="00E06828" w:rsidRDefault="00B40600"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SLOVNAFT, a. s., Bratislava</w:t>
      </w:r>
    </w:p>
    <w:p w14:paraId="163D3E6C" w14:textId="37476037" w:rsidR="009C7C94" w:rsidRPr="00E06828" w:rsidRDefault="009C7C94"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lastRenderedPageBreak/>
        <w:t>SYNKOLA, s.</w:t>
      </w:r>
      <w:r w:rsidR="00164CEE" w:rsidRPr="00E06828">
        <w:rPr>
          <w:rFonts w:cs="Calibri"/>
          <w:sz w:val="24"/>
          <w:szCs w:val="24"/>
        </w:rPr>
        <w:t xml:space="preserve"> </w:t>
      </w:r>
      <w:r w:rsidRPr="00E06828">
        <w:rPr>
          <w:rFonts w:cs="Calibri"/>
          <w:sz w:val="24"/>
          <w:szCs w:val="24"/>
        </w:rPr>
        <w:t>r.</w:t>
      </w:r>
      <w:r w:rsidR="00164CEE" w:rsidRPr="00E06828">
        <w:rPr>
          <w:rFonts w:cs="Calibri"/>
          <w:sz w:val="24"/>
          <w:szCs w:val="24"/>
        </w:rPr>
        <w:t xml:space="preserve"> </w:t>
      </w:r>
      <w:r w:rsidRPr="00E06828">
        <w:rPr>
          <w:rFonts w:cs="Calibri"/>
          <w:sz w:val="24"/>
          <w:szCs w:val="24"/>
        </w:rPr>
        <w:t>o.</w:t>
      </w:r>
      <w:r w:rsidR="00B40600" w:rsidRPr="00E06828">
        <w:rPr>
          <w:rFonts w:cs="Calibri"/>
          <w:sz w:val="24"/>
          <w:szCs w:val="24"/>
        </w:rPr>
        <w:t>, Bratislava</w:t>
      </w:r>
    </w:p>
    <w:p w14:paraId="705D1D4B" w14:textId="77777777" w:rsidR="000241F5" w:rsidRPr="00E06828" w:rsidRDefault="000241F5"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Trenčianska univerzita A. Dubčeka v Trenčíne, Fakulta priemyselných technológií v Púchove</w:t>
      </w:r>
    </w:p>
    <w:p w14:paraId="4452EFC4" w14:textId="77777777" w:rsidR="000241F5" w:rsidRPr="00E06828" w:rsidRDefault="000241F5"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Univerzita Komenského v Bratislave, Fakulta manažmentu</w:t>
      </w:r>
    </w:p>
    <w:p w14:paraId="279933EE" w14:textId="0C4B2C94" w:rsidR="00A9115F" w:rsidRPr="00E06828" w:rsidRDefault="00A9115F"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Univerzita Pardubice, Fakulta chemicko-technologická, Ústav chemie a technologie makromolekulárních látek</w:t>
      </w:r>
      <w:r w:rsidR="00AC6382" w:rsidRPr="00E06828">
        <w:rPr>
          <w:rFonts w:cs="Calibri"/>
          <w:sz w:val="24"/>
          <w:szCs w:val="24"/>
        </w:rPr>
        <w:t>, Česká republika</w:t>
      </w:r>
    </w:p>
    <w:p w14:paraId="3B69EAB5" w14:textId="015A8896" w:rsidR="00A9115F" w:rsidRPr="00E06828" w:rsidRDefault="00A9115F"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Univerzita Tomáše Bati ve Zlíně, Fakulta technologická, Ústav inženýrství polymerů</w:t>
      </w:r>
      <w:r w:rsidR="00AC6382" w:rsidRPr="00E06828">
        <w:rPr>
          <w:rFonts w:cs="Calibri"/>
          <w:sz w:val="24"/>
          <w:szCs w:val="24"/>
        </w:rPr>
        <w:t>, Česká republika</w:t>
      </w:r>
    </w:p>
    <w:p w14:paraId="29DE53E7" w14:textId="775A9B31" w:rsidR="00A9115F" w:rsidRPr="00E06828" w:rsidRDefault="00A9115F"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Univerzita Tomáše Bati ve Zlíně, Fakulta technologická, Ústav výrobního inženýrství</w:t>
      </w:r>
      <w:r w:rsidR="00AC6382" w:rsidRPr="00E06828">
        <w:rPr>
          <w:rFonts w:cs="Calibri"/>
          <w:sz w:val="24"/>
          <w:szCs w:val="24"/>
        </w:rPr>
        <w:t>, Česká republika</w:t>
      </w:r>
    </w:p>
    <w:p w14:paraId="29785FE3" w14:textId="77777777" w:rsidR="00A9115F" w:rsidRPr="00E06828" w:rsidRDefault="00A9115F"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Ústav anorganickej chémie SAV, v. v. i., Bratislava</w:t>
      </w:r>
    </w:p>
    <w:p w14:paraId="695DF2E6" w14:textId="77777777" w:rsidR="00A9115F" w:rsidRPr="00E06828" w:rsidRDefault="00A9115F"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Ústav polymérov SAV, v. v. i., Bratislava</w:t>
      </w:r>
    </w:p>
    <w:p w14:paraId="5019A554" w14:textId="77777777" w:rsidR="00A9115F" w:rsidRPr="00E06828" w:rsidRDefault="00A9115F"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Ústav pre výskum srdca, Centrum experimentálnej medicíny SAV, v. v. i., Bratislava</w:t>
      </w:r>
    </w:p>
    <w:p w14:paraId="01433DE3" w14:textId="77777777" w:rsidR="00FA46AA" w:rsidRPr="00E06828" w:rsidRDefault="00FA46AA"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VOLKSWAGEN SLOVAKIA, a. s., Bratislava</w:t>
      </w:r>
    </w:p>
    <w:p w14:paraId="1CF7B853" w14:textId="6FECCF18" w:rsidR="00FA46AA" w:rsidRPr="00E06828" w:rsidRDefault="00FA46AA"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VUCHT</w:t>
      </w:r>
      <w:r w:rsidR="00336C94">
        <w:rPr>
          <w:rFonts w:cs="Calibri"/>
          <w:sz w:val="24"/>
          <w:szCs w:val="24"/>
        </w:rPr>
        <w:t>,</w:t>
      </w:r>
      <w:r w:rsidRPr="00E06828">
        <w:rPr>
          <w:rFonts w:cs="Calibri"/>
          <w:sz w:val="24"/>
          <w:szCs w:val="24"/>
        </w:rPr>
        <w:t xml:space="preserve"> a.</w:t>
      </w:r>
      <w:r w:rsidR="00336C94">
        <w:rPr>
          <w:rFonts w:cs="Calibri"/>
          <w:sz w:val="24"/>
          <w:szCs w:val="24"/>
        </w:rPr>
        <w:t xml:space="preserve"> </w:t>
      </w:r>
      <w:r w:rsidRPr="00E06828">
        <w:rPr>
          <w:rFonts w:cs="Calibri"/>
          <w:sz w:val="24"/>
          <w:szCs w:val="24"/>
        </w:rPr>
        <w:t>s., Bratislava</w:t>
      </w:r>
    </w:p>
    <w:p w14:paraId="0BA9D568" w14:textId="3F23DE33" w:rsidR="00FA46AA" w:rsidRPr="00E06828" w:rsidRDefault="00FA46AA"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Výskumný ústav mliekarenský, a. s., Žilina</w:t>
      </w:r>
    </w:p>
    <w:p w14:paraId="2E58446A" w14:textId="77777777" w:rsidR="00A9115F" w:rsidRPr="00E06828" w:rsidRDefault="00A9115F"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Výskumný ústav potravinársky, Bratislava</w:t>
      </w:r>
    </w:p>
    <w:p w14:paraId="14FF8D05" w14:textId="06C4E197" w:rsidR="00A9115F" w:rsidRPr="00E06828" w:rsidRDefault="00A9115F"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Vysoká škola chemicko-technologická v Praze, Fakulta chemické technologie, Ústav anorganické technologie</w:t>
      </w:r>
      <w:r w:rsidR="00AC6382" w:rsidRPr="00E06828">
        <w:rPr>
          <w:rFonts w:cs="Calibri"/>
          <w:sz w:val="24"/>
          <w:szCs w:val="24"/>
        </w:rPr>
        <w:t>, Česká republika</w:t>
      </w:r>
    </w:p>
    <w:p w14:paraId="2AD1B583" w14:textId="6BF9912C" w:rsidR="00A9115F" w:rsidRPr="00E06828" w:rsidRDefault="00A9115F"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Vysoká škola chemicko-technologická v Praze, Fakulta chemické technologie, Ústav chemické technologie restaurování památek</w:t>
      </w:r>
      <w:r w:rsidR="00AC6382" w:rsidRPr="00E06828">
        <w:rPr>
          <w:rFonts w:cs="Calibri"/>
          <w:sz w:val="24"/>
          <w:szCs w:val="24"/>
        </w:rPr>
        <w:t>, Česká republika</w:t>
      </w:r>
    </w:p>
    <w:p w14:paraId="4A2D1B03" w14:textId="7C687852" w:rsidR="00A9115F" w:rsidRPr="00E06828" w:rsidRDefault="00A9115F"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Vysoká škola chemicko-technologická v Praze, Fakulta chemické technologie, Ústav polymerů</w:t>
      </w:r>
      <w:r w:rsidR="00AC6382" w:rsidRPr="00E06828">
        <w:rPr>
          <w:rFonts w:cs="Calibri"/>
          <w:sz w:val="24"/>
          <w:szCs w:val="24"/>
        </w:rPr>
        <w:t>, Česká republika</w:t>
      </w:r>
    </w:p>
    <w:p w14:paraId="3F721350" w14:textId="6B27D9F1" w:rsidR="00A9115F" w:rsidRPr="00E06828" w:rsidRDefault="00A9115F" w:rsidP="00E027F7">
      <w:pPr>
        <w:pStyle w:val="Odsekzoznamu"/>
        <w:numPr>
          <w:ilvl w:val="0"/>
          <w:numId w:val="12"/>
        </w:numPr>
        <w:spacing w:after="0" w:line="240" w:lineRule="auto"/>
        <w:ind w:left="426" w:hanging="426"/>
        <w:rPr>
          <w:rFonts w:cs="Calibri"/>
          <w:sz w:val="24"/>
          <w:szCs w:val="24"/>
        </w:rPr>
      </w:pPr>
      <w:r w:rsidRPr="00E06828">
        <w:rPr>
          <w:rFonts w:cs="Calibri"/>
          <w:sz w:val="24"/>
          <w:szCs w:val="24"/>
        </w:rPr>
        <w:t>Vysoká škola chemicko-technologická v Praze, Fakulta chemicko-inženýrská, Ústav chemického inženýrství</w:t>
      </w:r>
      <w:r w:rsidR="00AC6382" w:rsidRPr="00E06828">
        <w:rPr>
          <w:rFonts w:cs="Calibri"/>
          <w:sz w:val="24"/>
          <w:szCs w:val="24"/>
        </w:rPr>
        <w:t>, Česká republika</w:t>
      </w:r>
    </w:p>
    <w:p w14:paraId="5E1031ED" w14:textId="6D144555" w:rsidR="00A9115F" w:rsidRDefault="00A9115F" w:rsidP="00E027F7">
      <w:pPr>
        <w:pStyle w:val="Odsekzoznamu"/>
        <w:numPr>
          <w:ilvl w:val="0"/>
          <w:numId w:val="13"/>
        </w:numPr>
        <w:spacing w:line="240" w:lineRule="auto"/>
        <w:ind w:left="426" w:hanging="426"/>
        <w:rPr>
          <w:rFonts w:cs="Calibri"/>
          <w:sz w:val="24"/>
          <w:szCs w:val="24"/>
        </w:rPr>
      </w:pPr>
      <w:r w:rsidRPr="00E06828">
        <w:rPr>
          <w:rFonts w:cs="Calibri"/>
          <w:sz w:val="24"/>
          <w:szCs w:val="24"/>
        </w:rPr>
        <w:t>Vysoká škola chemicko-technologická v Praze, Fakulta potravinářské a biochemické technologie, Ústav biotechnologie</w:t>
      </w:r>
      <w:r w:rsidR="00AC6382" w:rsidRPr="00E06828">
        <w:rPr>
          <w:rFonts w:cs="Calibri"/>
          <w:sz w:val="24"/>
          <w:szCs w:val="24"/>
        </w:rPr>
        <w:t>, Česká republika</w:t>
      </w:r>
    </w:p>
    <w:p w14:paraId="5B5A316A" w14:textId="0A90F1C9" w:rsidR="00E9170A" w:rsidRPr="00170394" w:rsidRDefault="000B0205" w:rsidP="007B0A7C">
      <w:pPr>
        <w:rPr>
          <w:rFonts w:eastAsia="Times New Roman" w:cs="Calibri"/>
          <w:lang w:eastAsia="sk-SK"/>
        </w:rPr>
      </w:pPr>
      <w:r w:rsidRPr="00E06828">
        <w:rPr>
          <w:rFonts w:cs="Calibri"/>
          <w:b/>
        </w:rPr>
        <w:t>Fakulta architektúry a dizajnu STU</w:t>
      </w:r>
    </w:p>
    <w:p w14:paraId="4B31F300" w14:textId="77777777" w:rsidR="00A9115F" w:rsidRPr="00E06828" w:rsidRDefault="00A9115F" w:rsidP="00E027F7">
      <w:pPr>
        <w:pStyle w:val="Odsekzoznamu"/>
        <w:numPr>
          <w:ilvl w:val="0"/>
          <w:numId w:val="13"/>
        </w:numPr>
        <w:spacing w:line="240" w:lineRule="auto"/>
        <w:ind w:left="426" w:hanging="426"/>
        <w:rPr>
          <w:rFonts w:cs="Calibri"/>
          <w:sz w:val="24"/>
          <w:szCs w:val="24"/>
        </w:rPr>
      </w:pPr>
      <w:r w:rsidRPr="00E06828">
        <w:rPr>
          <w:rFonts w:cs="Calibri"/>
          <w:sz w:val="24"/>
          <w:szCs w:val="24"/>
        </w:rPr>
        <w:t>Ecocapsule, s. r. o., Bratislava</w:t>
      </w:r>
    </w:p>
    <w:p w14:paraId="0DCC73DE" w14:textId="77777777" w:rsidR="00A9115F" w:rsidRPr="00E06828" w:rsidRDefault="00A9115F" w:rsidP="00E027F7">
      <w:pPr>
        <w:pStyle w:val="Odsekzoznamu"/>
        <w:numPr>
          <w:ilvl w:val="0"/>
          <w:numId w:val="13"/>
        </w:numPr>
        <w:spacing w:line="240" w:lineRule="auto"/>
        <w:ind w:left="426" w:hanging="426"/>
        <w:rPr>
          <w:rFonts w:cs="Calibri"/>
          <w:sz w:val="24"/>
          <w:szCs w:val="24"/>
        </w:rPr>
      </w:pPr>
      <w:r w:rsidRPr="00E06828">
        <w:rPr>
          <w:rFonts w:cs="Calibri"/>
          <w:sz w:val="24"/>
          <w:szCs w:val="24"/>
        </w:rPr>
        <w:t>Historický ústav SAV, v. v. i., Bratislava</w:t>
      </w:r>
    </w:p>
    <w:p w14:paraId="631E67FB" w14:textId="77777777" w:rsidR="00A9115F" w:rsidRPr="00E06828" w:rsidRDefault="00A9115F" w:rsidP="00E027F7">
      <w:pPr>
        <w:pStyle w:val="Odsekzoznamu"/>
        <w:numPr>
          <w:ilvl w:val="0"/>
          <w:numId w:val="13"/>
        </w:numPr>
        <w:spacing w:line="240" w:lineRule="auto"/>
        <w:ind w:left="426" w:hanging="426"/>
        <w:rPr>
          <w:rFonts w:cs="Calibri"/>
          <w:sz w:val="24"/>
          <w:szCs w:val="24"/>
        </w:rPr>
      </w:pPr>
      <w:r w:rsidRPr="00E06828">
        <w:rPr>
          <w:rFonts w:cs="Calibri"/>
          <w:sz w:val="24"/>
          <w:szCs w:val="24"/>
        </w:rPr>
        <w:t>Kinazo, s. r. o., Bratislava</w:t>
      </w:r>
    </w:p>
    <w:p w14:paraId="1C8B9D17" w14:textId="77777777" w:rsidR="00A9115F" w:rsidRPr="00E06828" w:rsidRDefault="00A9115F" w:rsidP="00E027F7">
      <w:pPr>
        <w:pStyle w:val="Odsekzoznamu"/>
        <w:numPr>
          <w:ilvl w:val="0"/>
          <w:numId w:val="13"/>
        </w:numPr>
        <w:spacing w:line="240" w:lineRule="auto"/>
        <w:ind w:left="426" w:hanging="426"/>
        <w:rPr>
          <w:rFonts w:cs="Calibri"/>
          <w:sz w:val="24"/>
          <w:szCs w:val="24"/>
        </w:rPr>
      </w:pPr>
      <w:r w:rsidRPr="00E06828">
        <w:rPr>
          <w:rFonts w:cs="Calibri"/>
          <w:sz w:val="24"/>
          <w:szCs w:val="24"/>
        </w:rPr>
        <w:t>Kiuub, s. r. o., Trnava</w:t>
      </w:r>
    </w:p>
    <w:p w14:paraId="75FB2871" w14:textId="1EF019B9" w:rsidR="00A9115F" w:rsidRPr="00E06828" w:rsidRDefault="00A9115F" w:rsidP="00E027F7">
      <w:pPr>
        <w:pStyle w:val="Odsekzoznamu"/>
        <w:numPr>
          <w:ilvl w:val="0"/>
          <w:numId w:val="13"/>
        </w:numPr>
        <w:spacing w:line="240" w:lineRule="auto"/>
        <w:ind w:left="426" w:hanging="426"/>
        <w:rPr>
          <w:rFonts w:cs="Calibri"/>
          <w:sz w:val="24"/>
          <w:szCs w:val="24"/>
        </w:rPr>
      </w:pPr>
      <w:r w:rsidRPr="00E06828">
        <w:rPr>
          <w:rFonts w:cs="Calibri"/>
          <w:sz w:val="24"/>
          <w:szCs w:val="24"/>
        </w:rPr>
        <w:t xml:space="preserve">Magistrát hlavného mesta SR Bratislavy </w:t>
      </w:r>
    </w:p>
    <w:p w14:paraId="4E333E76" w14:textId="77777777" w:rsidR="00A9115F" w:rsidRPr="00E06828" w:rsidRDefault="00A9115F" w:rsidP="00E027F7">
      <w:pPr>
        <w:pStyle w:val="Odsekzoznamu"/>
        <w:numPr>
          <w:ilvl w:val="0"/>
          <w:numId w:val="13"/>
        </w:numPr>
        <w:spacing w:line="240" w:lineRule="auto"/>
        <w:ind w:left="426" w:hanging="426"/>
        <w:rPr>
          <w:rFonts w:cs="Calibri"/>
          <w:sz w:val="24"/>
          <w:szCs w:val="24"/>
        </w:rPr>
      </w:pPr>
      <w:r w:rsidRPr="00E06828">
        <w:rPr>
          <w:rFonts w:cs="Calibri"/>
          <w:sz w:val="24"/>
          <w:szCs w:val="24"/>
        </w:rPr>
        <w:t xml:space="preserve">Magistrát hlavného mesta SR Bratislavy, Útvar hlavnej architektky </w:t>
      </w:r>
    </w:p>
    <w:p w14:paraId="2FA587EA" w14:textId="77777777" w:rsidR="00A9115F" w:rsidRPr="00E06828" w:rsidRDefault="00A9115F" w:rsidP="00E027F7">
      <w:pPr>
        <w:pStyle w:val="Odsekzoznamu"/>
        <w:numPr>
          <w:ilvl w:val="0"/>
          <w:numId w:val="13"/>
        </w:numPr>
        <w:spacing w:line="240" w:lineRule="auto"/>
        <w:ind w:left="426" w:hanging="426"/>
        <w:rPr>
          <w:rFonts w:cs="Calibri"/>
          <w:sz w:val="24"/>
          <w:szCs w:val="24"/>
        </w:rPr>
      </w:pPr>
      <w:r w:rsidRPr="00E06828">
        <w:rPr>
          <w:rFonts w:cs="Calibri"/>
          <w:sz w:val="24"/>
          <w:szCs w:val="24"/>
        </w:rPr>
        <w:t>Pamiatkový ústav SR, Bratislava</w:t>
      </w:r>
    </w:p>
    <w:p w14:paraId="6FB6CEB5" w14:textId="77777777" w:rsidR="00A9115F" w:rsidRPr="00E06828" w:rsidRDefault="00A9115F" w:rsidP="00E027F7">
      <w:pPr>
        <w:pStyle w:val="Odsekzoznamu"/>
        <w:numPr>
          <w:ilvl w:val="0"/>
          <w:numId w:val="13"/>
        </w:numPr>
        <w:spacing w:line="240" w:lineRule="auto"/>
        <w:ind w:left="426" w:hanging="426"/>
        <w:rPr>
          <w:rFonts w:cs="Calibri"/>
          <w:sz w:val="24"/>
          <w:szCs w:val="24"/>
        </w:rPr>
      </w:pPr>
      <w:r w:rsidRPr="00E06828">
        <w:rPr>
          <w:rFonts w:cs="Calibri"/>
          <w:sz w:val="24"/>
          <w:szCs w:val="24"/>
        </w:rPr>
        <w:t>Pixel Federation, s. r. o., Bratislava</w:t>
      </w:r>
    </w:p>
    <w:p w14:paraId="7990BD6A" w14:textId="35C9EB4D" w:rsidR="00A9115F" w:rsidRPr="00E06828" w:rsidRDefault="00A9115F" w:rsidP="00E027F7">
      <w:pPr>
        <w:pStyle w:val="Odsekzoznamu"/>
        <w:numPr>
          <w:ilvl w:val="0"/>
          <w:numId w:val="13"/>
        </w:numPr>
        <w:spacing w:line="240" w:lineRule="auto"/>
        <w:ind w:left="426" w:hanging="426"/>
        <w:rPr>
          <w:rFonts w:cs="Calibri"/>
          <w:sz w:val="24"/>
          <w:szCs w:val="24"/>
        </w:rPr>
      </w:pPr>
      <w:r w:rsidRPr="00E06828">
        <w:rPr>
          <w:rFonts w:cs="Calibri"/>
          <w:sz w:val="24"/>
          <w:szCs w:val="24"/>
        </w:rPr>
        <w:t>SIEBERT + TALAŠ, spol. s r.</w:t>
      </w:r>
      <w:r w:rsidR="003D2C1F">
        <w:rPr>
          <w:rFonts w:cs="Calibri"/>
          <w:sz w:val="24"/>
          <w:szCs w:val="24"/>
        </w:rPr>
        <w:t xml:space="preserve"> </w:t>
      </w:r>
      <w:r w:rsidRPr="00E06828">
        <w:rPr>
          <w:rFonts w:cs="Calibri"/>
          <w:sz w:val="24"/>
          <w:szCs w:val="24"/>
        </w:rPr>
        <w:t>o., Bratislava</w:t>
      </w:r>
    </w:p>
    <w:p w14:paraId="4A309E71" w14:textId="77777777" w:rsidR="00A9115F" w:rsidRPr="00E06828" w:rsidRDefault="00A9115F" w:rsidP="00E027F7">
      <w:pPr>
        <w:pStyle w:val="Odsekzoznamu"/>
        <w:numPr>
          <w:ilvl w:val="0"/>
          <w:numId w:val="13"/>
        </w:numPr>
        <w:spacing w:after="0" w:line="240" w:lineRule="auto"/>
        <w:ind w:left="426" w:hanging="426"/>
        <w:rPr>
          <w:rFonts w:cs="Calibri"/>
          <w:sz w:val="24"/>
          <w:szCs w:val="24"/>
        </w:rPr>
      </w:pPr>
      <w:r w:rsidRPr="00E06828">
        <w:rPr>
          <w:rFonts w:cs="Calibri"/>
          <w:sz w:val="24"/>
          <w:szCs w:val="24"/>
        </w:rPr>
        <w:t>Slovenské centrum dizajnu, Bratislava</w:t>
      </w:r>
    </w:p>
    <w:p w14:paraId="19A7BB8D" w14:textId="45A23F99" w:rsidR="000A583E" w:rsidRPr="00E06828" w:rsidRDefault="000A583E" w:rsidP="00E027F7">
      <w:pPr>
        <w:pStyle w:val="Odsekzoznamu"/>
        <w:numPr>
          <w:ilvl w:val="0"/>
          <w:numId w:val="13"/>
        </w:numPr>
        <w:spacing w:line="240" w:lineRule="auto"/>
        <w:ind w:left="426" w:hanging="426"/>
        <w:rPr>
          <w:rFonts w:cs="Calibri"/>
          <w:sz w:val="24"/>
          <w:szCs w:val="24"/>
        </w:rPr>
      </w:pPr>
      <w:r w:rsidRPr="00E06828">
        <w:rPr>
          <w:rFonts w:cs="Calibri"/>
          <w:sz w:val="24"/>
          <w:szCs w:val="24"/>
        </w:rPr>
        <w:t>ŠKODA AUTO, a. s.</w:t>
      </w:r>
      <w:r w:rsidR="00A9115F" w:rsidRPr="00E06828">
        <w:rPr>
          <w:rFonts w:cs="Calibri"/>
          <w:sz w:val="24"/>
          <w:szCs w:val="24"/>
        </w:rPr>
        <w:t>, Mladá Boleslav, Česká republika</w:t>
      </w:r>
    </w:p>
    <w:p w14:paraId="561A9922" w14:textId="77777777" w:rsidR="0052577F" w:rsidRPr="00E06828" w:rsidRDefault="0052577F" w:rsidP="007B0A7C">
      <w:pPr>
        <w:rPr>
          <w:rFonts w:cs="Calibri"/>
          <w:b/>
        </w:rPr>
      </w:pPr>
      <w:r w:rsidRPr="00E06828">
        <w:rPr>
          <w:rFonts w:cs="Calibri"/>
          <w:b/>
        </w:rPr>
        <w:t>Materiálovotechnologická fakulta so sídlom v Trnave</w:t>
      </w:r>
    </w:p>
    <w:p w14:paraId="02FF8A93" w14:textId="77777777"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 xml:space="preserve">ABB, s. r. o., Bratislava </w:t>
      </w:r>
    </w:p>
    <w:p w14:paraId="2073E3EC" w14:textId="03902A92"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B</w:t>
      </w:r>
      <w:r w:rsidR="004E44BA" w:rsidRPr="00E06828">
        <w:rPr>
          <w:rFonts w:cs="Calibri"/>
          <w:sz w:val="24"/>
          <w:szCs w:val="24"/>
        </w:rPr>
        <w:t>OGE</w:t>
      </w:r>
      <w:r w:rsidRPr="00E06828">
        <w:rPr>
          <w:rFonts w:cs="Calibri"/>
          <w:sz w:val="24"/>
          <w:szCs w:val="24"/>
        </w:rPr>
        <w:t xml:space="preserve"> </w:t>
      </w:r>
      <w:r w:rsidR="004E44BA" w:rsidRPr="00E06828">
        <w:rPr>
          <w:rFonts w:cs="Calibri"/>
          <w:sz w:val="24"/>
          <w:szCs w:val="24"/>
        </w:rPr>
        <w:t>E</w:t>
      </w:r>
      <w:r w:rsidRPr="00E06828">
        <w:rPr>
          <w:rFonts w:cs="Calibri"/>
          <w:sz w:val="24"/>
          <w:szCs w:val="24"/>
        </w:rPr>
        <w:t>lastmetall Slovakia, a. s., Trnava</w:t>
      </w:r>
    </w:p>
    <w:p w14:paraId="18FBA942" w14:textId="77777777"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Carl Zeiss Slovakia, s. r. o., Bratislava</w:t>
      </w:r>
    </w:p>
    <w:p w14:paraId="09990F43" w14:textId="1D5A2B0F"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E</w:t>
      </w:r>
      <w:r w:rsidR="004E44BA" w:rsidRPr="00E06828">
        <w:rPr>
          <w:rFonts w:cs="Calibri"/>
          <w:sz w:val="24"/>
          <w:szCs w:val="24"/>
        </w:rPr>
        <w:t>IBEN</w:t>
      </w:r>
      <w:r w:rsidRPr="00E06828">
        <w:rPr>
          <w:rFonts w:cs="Calibri"/>
          <w:sz w:val="24"/>
          <w:szCs w:val="24"/>
        </w:rPr>
        <w:t xml:space="preserve">, s. r. o., </w:t>
      </w:r>
      <w:r w:rsidR="004E44BA" w:rsidRPr="00E06828">
        <w:rPr>
          <w:rFonts w:cs="Calibri"/>
          <w:sz w:val="24"/>
          <w:szCs w:val="24"/>
        </w:rPr>
        <w:t>Zvolen</w:t>
      </w:r>
    </w:p>
    <w:p w14:paraId="4FEB3F5A" w14:textId="73066B7A"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Faurecia Automotive Slovakia</w:t>
      </w:r>
      <w:r w:rsidR="004E44BA" w:rsidRPr="00E06828">
        <w:rPr>
          <w:rFonts w:cs="Calibri"/>
          <w:sz w:val="24"/>
          <w:szCs w:val="24"/>
        </w:rPr>
        <w:t>,</w:t>
      </w:r>
      <w:r w:rsidRPr="00E06828">
        <w:rPr>
          <w:rFonts w:cs="Calibri"/>
          <w:sz w:val="24"/>
          <w:szCs w:val="24"/>
        </w:rPr>
        <w:t xml:space="preserve"> s. r. o.</w:t>
      </w:r>
      <w:r w:rsidR="004E44BA" w:rsidRPr="00E06828">
        <w:rPr>
          <w:rFonts w:cs="Calibri"/>
          <w:sz w:val="24"/>
          <w:szCs w:val="24"/>
        </w:rPr>
        <w:t>,</w:t>
      </w:r>
      <w:r w:rsidRPr="00E06828">
        <w:rPr>
          <w:rFonts w:cs="Calibri"/>
          <w:sz w:val="24"/>
          <w:szCs w:val="24"/>
        </w:rPr>
        <w:t xml:space="preserve"> Bratislava</w:t>
      </w:r>
    </w:p>
    <w:p w14:paraId="6A3E086F" w14:textId="77777777" w:rsidR="000241F5" w:rsidRPr="00E06828" w:rsidRDefault="000241F5" w:rsidP="00E027F7">
      <w:pPr>
        <w:pStyle w:val="Odsekzoznamu"/>
        <w:numPr>
          <w:ilvl w:val="0"/>
          <w:numId w:val="13"/>
        </w:numPr>
        <w:spacing w:line="240" w:lineRule="auto"/>
        <w:ind w:left="426" w:hanging="426"/>
        <w:rPr>
          <w:rFonts w:cs="Calibri"/>
          <w:sz w:val="24"/>
          <w:szCs w:val="24"/>
        </w:rPr>
      </w:pPr>
      <w:r w:rsidRPr="00E06828">
        <w:rPr>
          <w:rFonts w:cs="Calibri"/>
          <w:sz w:val="24"/>
          <w:szCs w:val="24"/>
        </w:rPr>
        <w:t>FESTO, s. r. o., Bratislava</w:t>
      </w:r>
    </w:p>
    <w:p w14:paraId="4AD36CC3" w14:textId="132FF3E7" w:rsidR="0052577F" w:rsidRPr="00E06828" w:rsidRDefault="004E44BA" w:rsidP="00E027F7">
      <w:pPr>
        <w:pStyle w:val="Odsekzoznamu"/>
        <w:numPr>
          <w:ilvl w:val="0"/>
          <w:numId w:val="13"/>
        </w:numPr>
        <w:spacing w:line="240" w:lineRule="auto"/>
        <w:ind w:left="426" w:hanging="426"/>
        <w:rPr>
          <w:rFonts w:cs="Calibri"/>
          <w:sz w:val="24"/>
          <w:szCs w:val="24"/>
        </w:rPr>
      </w:pPr>
      <w:r w:rsidRPr="00E06828">
        <w:rPr>
          <w:rFonts w:cs="Calibri"/>
          <w:sz w:val="24"/>
          <w:szCs w:val="24"/>
        </w:rPr>
        <w:t>Jadrová energetická spoločnosť Slovenska, a.s.</w:t>
      </w:r>
      <w:r w:rsidR="0052577F" w:rsidRPr="00E06828">
        <w:rPr>
          <w:rFonts w:cs="Calibri"/>
          <w:sz w:val="24"/>
          <w:szCs w:val="24"/>
        </w:rPr>
        <w:t>, Bratislava</w:t>
      </w:r>
    </w:p>
    <w:p w14:paraId="2C003F05" w14:textId="486189B4"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lastRenderedPageBreak/>
        <w:t>MASAM</w:t>
      </w:r>
      <w:r w:rsidR="004E44BA" w:rsidRPr="00E06828">
        <w:rPr>
          <w:rFonts w:cs="Calibri"/>
          <w:sz w:val="24"/>
          <w:szCs w:val="24"/>
        </w:rPr>
        <w:t>,</w:t>
      </w:r>
      <w:r w:rsidRPr="00E06828">
        <w:rPr>
          <w:rFonts w:cs="Calibri"/>
          <w:sz w:val="24"/>
          <w:szCs w:val="24"/>
        </w:rPr>
        <w:t xml:space="preserve"> s. r. o., Vráble</w:t>
      </w:r>
    </w:p>
    <w:p w14:paraId="207E75EA" w14:textId="1A78EA22"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Matador Automotive Vráble, a. s.</w:t>
      </w:r>
      <w:r w:rsidR="004E44BA" w:rsidRPr="00E06828">
        <w:rPr>
          <w:rFonts w:cs="Calibri"/>
          <w:sz w:val="24"/>
          <w:szCs w:val="24"/>
        </w:rPr>
        <w:t>, Vráble</w:t>
      </w:r>
    </w:p>
    <w:p w14:paraId="56CA6D5F" w14:textId="77777777" w:rsidR="009F4DDA" w:rsidRPr="00E06828" w:rsidRDefault="009F4DDA" w:rsidP="00E027F7">
      <w:pPr>
        <w:pStyle w:val="Odsekzoznamu"/>
        <w:numPr>
          <w:ilvl w:val="0"/>
          <w:numId w:val="13"/>
        </w:numPr>
        <w:spacing w:line="240" w:lineRule="auto"/>
        <w:ind w:left="426" w:hanging="426"/>
        <w:rPr>
          <w:rFonts w:cs="Calibri"/>
          <w:sz w:val="24"/>
          <w:szCs w:val="24"/>
        </w:rPr>
      </w:pPr>
      <w:r w:rsidRPr="00E06828">
        <w:rPr>
          <w:rFonts w:cs="Calibri"/>
          <w:sz w:val="24"/>
          <w:szCs w:val="24"/>
        </w:rPr>
        <w:t>PCA Slovakia, s. r. o., Trnava</w:t>
      </w:r>
    </w:p>
    <w:p w14:paraId="2E7E5658" w14:textId="106B9730"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Segula Slovensko, s. r. o.</w:t>
      </w:r>
      <w:r w:rsidR="004E44BA" w:rsidRPr="00E06828">
        <w:rPr>
          <w:rFonts w:cs="Calibri"/>
          <w:sz w:val="24"/>
          <w:szCs w:val="24"/>
        </w:rPr>
        <w:t>, Bratislava</w:t>
      </w:r>
    </w:p>
    <w:p w14:paraId="3FC33A9F" w14:textId="3270EC6C"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Schaeffler Skalica, s. r. o.</w:t>
      </w:r>
      <w:r w:rsidR="004E44BA" w:rsidRPr="00E06828">
        <w:rPr>
          <w:rFonts w:cs="Calibri"/>
          <w:sz w:val="24"/>
          <w:szCs w:val="24"/>
        </w:rPr>
        <w:t>, Skalica</w:t>
      </w:r>
    </w:p>
    <w:p w14:paraId="3FACB8A2" w14:textId="6714422C"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 xml:space="preserve">SKARTEK, s. r. o., </w:t>
      </w:r>
      <w:r w:rsidR="004E44BA" w:rsidRPr="00E06828">
        <w:rPr>
          <w:rFonts w:cs="Calibri"/>
          <w:sz w:val="24"/>
          <w:szCs w:val="24"/>
        </w:rPr>
        <w:t>Vlčkovce</w:t>
      </w:r>
    </w:p>
    <w:p w14:paraId="6033F4A5" w14:textId="52662D49"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S</w:t>
      </w:r>
      <w:r w:rsidR="004E44BA" w:rsidRPr="00E06828">
        <w:rPr>
          <w:rFonts w:cs="Calibri"/>
          <w:sz w:val="24"/>
          <w:szCs w:val="24"/>
        </w:rPr>
        <w:t>OVA</w:t>
      </w:r>
      <w:r w:rsidRPr="00E06828">
        <w:rPr>
          <w:rFonts w:cs="Calibri"/>
          <w:sz w:val="24"/>
          <w:szCs w:val="24"/>
        </w:rPr>
        <w:t xml:space="preserve"> Digital, a. s., Bratislava</w:t>
      </w:r>
    </w:p>
    <w:p w14:paraId="7B7226BF" w14:textId="31C44CE4"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TEMPEST</w:t>
      </w:r>
      <w:r w:rsidR="000241F5" w:rsidRPr="00E06828">
        <w:rPr>
          <w:rFonts w:cs="Calibri"/>
          <w:sz w:val="24"/>
          <w:szCs w:val="24"/>
        </w:rPr>
        <w:t>,</w:t>
      </w:r>
      <w:r w:rsidRPr="00E06828">
        <w:rPr>
          <w:rFonts w:cs="Calibri"/>
          <w:sz w:val="24"/>
          <w:szCs w:val="24"/>
        </w:rPr>
        <w:t xml:space="preserve"> a.</w:t>
      </w:r>
      <w:r w:rsidR="000241F5" w:rsidRPr="00E06828">
        <w:rPr>
          <w:rFonts w:cs="Calibri"/>
          <w:sz w:val="24"/>
          <w:szCs w:val="24"/>
        </w:rPr>
        <w:t xml:space="preserve"> </w:t>
      </w:r>
      <w:r w:rsidRPr="00E06828">
        <w:rPr>
          <w:rFonts w:cs="Calibri"/>
          <w:sz w:val="24"/>
          <w:szCs w:val="24"/>
        </w:rPr>
        <w:t>s., Bratislava</w:t>
      </w:r>
    </w:p>
    <w:p w14:paraId="6545741B" w14:textId="02745314"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TÜV SÜD Slovakia, s. r. o.</w:t>
      </w:r>
      <w:r w:rsidR="000241F5" w:rsidRPr="00E06828">
        <w:rPr>
          <w:rFonts w:cs="Calibri"/>
          <w:sz w:val="24"/>
          <w:szCs w:val="24"/>
        </w:rPr>
        <w:t>, Bratislava</w:t>
      </w:r>
    </w:p>
    <w:p w14:paraId="3484206D" w14:textId="262007A4" w:rsidR="0052577F" w:rsidRPr="00E06828" w:rsidRDefault="000241F5" w:rsidP="00E027F7">
      <w:pPr>
        <w:pStyle w:val="Odsekzoznamu"/>
        <w:numPr>
          <w:ilvl w:val="0"/>
          <w:numId w:val="13"/>
        </w:numPr>
        <w:spacing w:line="240" w:lineRule="auto"/>
        <w:ind w:left="426" w:hanging="426"/>
        <w:rPr>
          <w:rFonts w:cs="Calibri"/>
          <w:sz w:val="24"/>
          <w:szCs w:val="24"/>
        </w:rPr>
      </w:pPr>
      <w:r w:rsidRPr="00E06828">
        <w:rPr>
          <w:rFonts w:cs="Calibri"/>
          <w:sz w:val="24"/>
          <w:szCs w:val="24"/>
        </w:rPr>
        <w:t>ÚMMS SAV, v. v. i.</w:t>
      </w:r>
      <w:r w:rsidR="0052577F" w:rsidRPr="00E06828">
        <w:rPr>
          <w:rFonts w:cs="Calibri"/>
          <w:sz w:val="24"/>
          <w:szCs w:val="24"/>
        </w:rPr>
        <w:t>, Bratislava</w:t>
      </w:r>
    </w:p>
    <w:p w14:paraId="4BDCCFA9" w14:textId="77777777"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VACUUMSCHMELZE, s. r. o., Horná Streda</w:t>
      </w:r>
    </w:p>
    <w:p w14:paraId="71176CF8" w14:textId="0DC3EE78" w:rsidR="0052577F" w:rsidRPr="00E06828" w:rsidRDefault="000241F5" w:rsidP="00E027F7">
      <w:pPr>
        <w:pStyle w:val="Odsekzoznamu"/>
        <w:numPr>
          <w:ilvl w:val="0"/>
          <w:numId w:val="13"/>
        </w:numPr>
        <w:spacing w:line="240" w:lineRule="auto"/>
        <w:ind w:left="426" w:hanging="426"/>
        <w:rPr>
          <w:rFonts w:cs="Calibri"/>
          <w:sz w:val="24"/>
          <w:szCs w:val="24"/>
        </w:rPr>
      </w:pPr>
      <w:r w:rsidRPr="00E06828">
        <w:rPr>
          <w:rFonts w:cs="Calibri"/>
          <w:sz w:val="24"/>
          <w:szCs w:val="24"/>
        </w:rPr>
        <w:t>voestalpine Stahl GmbH</w:t>
      </w:r>
      <w:r w:rsidR="0052577F" w:rsidRPr="00E06828">
        <w:rPr>
          <w:rFonts w:cs="Calibri"/>
          <w:sz w:val="24"/>
          <w:szCs w:val="24"/>
        </w:rPr>
        <w:t xml:space="preserve">, </w:t>
      </w:r>
      <w:r w:rsidRPr="00E06828">
        <w:rPr>
          <w:rFonts w:cs="Calibri"/>
          <w:sz w:val="24"/>
          <w:szCs w:val="24"/>
        </w:rPr>
        <w:t xml:space="preserve">Linz, </w:t>
      </w:r>
      <w:r w:rsidR="0052577F" w:rsidRPr="00E06828">
        <w:rPr>
          <w:rFonts w:cs="Calibri"/>
          <w:sz w:val="24"/>
          <w:szCs w:val="24"/>
        </w:rPr>
        <w:t>Rakúsko</w:t>
      </w:r>
    </w:p>
    <w:p w14:paraId="79DE1CDF" w14:textId="77777777" w:rsidR="000241F5" w:rsidRPr="00E06828" w:rsidRDefault="000241F5" w:rsidP="00E027F7">
      <w:pPr>
        <w:pStyle w:val="Odsekzoznamu"/>
        <w:numPr>
          <w:ilvl w:val="0"/>
          <w:numId w:val="13"/>
        </w:numPr>
        <w:spacing w:line="240" w:lineRule="auto"/>
        <w:ind w:left="426" w:hanging="426"/>
        <w:rPr>
          <w:rFonts w:cs="Calibri"/>
          <w:sz w:val="24"/>
          <w:szCs w:val="24"/>
        </w:rPr>
      </w:pPr>
      <w:r w:rsidRPr="00E06828">
        <w:rPr>
          <w:rFonts w:cs="Calibri"/>
          <w:sz w:val="24"/>
          <w:szCs w:val="24"/>
        </w:rPr>
        <w:t>VOLKSWAGEN SLOVAKIA, a. s., Bratislava</w:t>
      </w:r>
    </w:p>
    <w:p w14:paraId="799A2160" w14:textId="77777777" w:rsidR="000241F5" w:rsidRPr="00E06828" w:rsidRDefault="000241F5" w:rsidP="00E027F7">
      <w:pPr>
        <w:pStyle w:val="Odsekzoznamu"/>
        <w:numPr>
          <w:ilvl w:val="0"/>
          <w:numId w:val="13"/>
        </w:numPr>
        <w:spacing w:line="240" w:lineRule="auto"/>
        <w:ind w:left="426" w:hanging="426"/>
        <w:rPr>
          <w:rFonts w:cs="Calibri"/>
          <w:sz w:val="24"/>
          <w:szCs w:val="24"/>
        </w:rPr>
      </w:pPr>
      <w:r w:rsidRPr="00E06828">
        <w:rPr>
          <w:rFonts w:cs="Calibri"/>
          <w:sz w:val="24"/>
          <w:szCs w:val="24"/>
        </w:rPr>
        <w:t>VUJE, a. s., Trnava</w:t>
      </w:r>
    </w:p>
    <w:p w14:paraId="20F23F3F" w14:textId="4D646B7E"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VUKI, a. s., Bratislava</w:t>
      </w:r>
    </w:p>
    <w:p w14:paraId="0871086A" w14:textId="77777777"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Výskumný ústav zváračský, z. z. p. o., Bratislava</w:t>
      </w:r>
    </w:p>
    <w:p w14:paraId="735C8AA5" w14:textId="77777777" w:rsidR="0052577F" w:rsidRPr="00E06828" w:rsidRDefault="0052577F" w:rsidP="00E027F7">
      <w:pPr>
        <w:pStyle w:val="Odsekzoznamu"/>
        <w:numPr>
          <w:ilvl w:val="0"/>
          <w:numId w:val="13"/>
        </w:numPr>
        <w:spacing w:line="240" w:lineRule="auto"/>
        <w:ind w:left="426" w:hanging="426"/>
        <w:rPr>
          <w:rFonts w:cs="Calibri"/>
          <w:sz w:val="24"/>
          <w:szCs w:val="24"/>
        </w:rPr>
      </w:pPr>
      <w:r w:rsidRPr="00E06828">
        <w:rPr>
          <w:rFonts w:cs="Calibri"/>
          <w:sz w:val="24"/>
          <w:szCs w:val="24"/>
        </w:rPr>
        <w:t>ZF Slovakia, a. s., Trnava</w:t>
      </w:r>
    </w:p>
    <w:p w14:paraId="403FC85D" w14:textId="77777777" w:rsidR="007F156C" w:rsidRPr="00E06828" w:rsidRDefault="007F156C" w:rsidP="007B0A7C">
      <w:pPr>
        <w:rPr>
          <w:rFonts w:cs="Calibri"/>
          <w:b/>
        </w:rPr>
      </w:pPr>
      <w:r w:rsidRPr="00E06828">
        <w:rPr>
          <w:rFonts w:cs="Calibri"/>
          <w:b/>
        </w:rPr>
        <w:t>Fakulta informatiky a informačných technológií</w:t>
      </w:r>
    </w:p>
    <w:p w14:paraId="08A8A8BB" w14:textId="35499128" w:rsidR="000241F5" w:rsidRPr="00E06828" w:rsidRDefault="000241F5" w:rsidP="00E027F7">
      <w:pPr>
        <w:pStyle w:val="Odsekzoznamu"/>
        <w:numPr>
          <w:ilvl w:val="0"/>
          <w:numId w:val="14"/>
        </w:numPr>
        <w:spacing w:line="240" w:lineRule="auto"/>
        <w:ind w:left="426" w:hanging="426"/>
        <w:rPr>
          <w:rFonts w:cs="Calibri"/>
          <w:sz w:val="24"/>
          <w:szCs w:val="24"/>
        </w:rPr>
      </w:pPr>
      <w:r w:rsidRPr="00E06828">
        <w:rPr>
          <w:rFonts w:cs="Calibri"/>
          <w:sz w:val="24"/>
          <w:szCs w:val="24"/>
        </w:rPr>
        <w:t>AT&amp;T Global Network Services Slovakia, s.</w:t>
      </w:r>
      <w:r w:rsidR="003D2C1F">
        <w:rPr>
          <w:rFonts w:cs="Calibri"/>
          <w:sz w:val="24"/>
          <w:szCs w:val="24"/>
        </w:rPr>
        <w:t xml:space="preserve"> </w:t>
      </w:r>
      <w:r w:rsidRPr="00E06828">
        <w:rPr>
          <w:rFonts w:cs="Calibri"/>
          <w:sz w:val="24"/>
          <w:szCs w:val="24"/>
        </w:rPr>
        <w:t>r.</w:t>
      </w:r>
      <w:r w:rsidR="003D2C1F">
        <w:rPr>
          <w:rFonts w:cs="Calibri"/>
          <w:sz w:val="24"/>
          <w:szCs w:val="24"/>
        </w:rPr>
        <w:t xml:space="preserve"> </w:t>
      </w:r>
      <w:r w:rsidRPr="00E06828">
        <w:rPr>
          <w:rFonts w:cs="Calibri"/>
          <w:sz w:val="24"/>
          <w:szCs w:val="24"/>
        </w:rPr>
        <w:t>o., Bratislava</w:t>
      </w:r>
    </w:p>
    <w:p w14:paraId="2D8063A9" w14:textId="127A4332" w:rsidR="007F156C" w:rsidRPr="00E06828" w:rsidRDefault="007F156C" w:rsidP="00E027F7">
      <w:pPr>
        <w:pStyle w:val="Odsekzoznamu"/>
        <w:numPr>
          <w:ilvl w:val="0"/>
          <w:numId w:val="14"/>
        </w:numPr>
        <w:spacing w:line="240" w:lineRule="auto"/>
        <w:ind w:left="426" w:hanging="426"/>
        <w:rPr>
          <w:rFonts w:cs="Calibri"/>
          <w:sz w:val="24"/>
          <w:szCs w:val="24"/>
        </w:rPr>
      </w:pPr>
      <w:r w:rsidRPr="00E06828">
        <w:rPr>
          <w:rFonts w:cs="Calibri"/>
          <w:sz w:val="24"/>
          <w:szCs w:val="24"/>
        </w:rPr>
        <w:t>Cisco Systems Slovakia</w:t>
      </w:r>
      <w:r w:rsidR="000241F5" w:rsidRPr="00E06828">
        <w:rPr>
          <w:rFonts w:cs="Calibri"/>
          <w:sz w:val="24"/>
          <w:szCs w:val="24"/>
        </w:rPr>
        <w:t>, s.</w:t>
      </w:r>
      <w:r w:rsidR="003D2C1F">
        <w:rPr>
          <w:rFonts w:cs="Calibri"/>
          <w:sz w:val="24"/>
          <w:szCs w:val="24"/>
        </w:rPr>
        <w:t xml:space="preserve"> </w:t>
      </w:r>
      <w:r w:rsidR="000241F5" w:rsidRPr="00E06828">
        <w:rPr>
          <w:rFonts w:cs="Calibri"/>
          <w:sz w:val="24"/>
          <w:szCs w:val="24"/>
        </w:rPr>
        <w:t>r.</w:t>
      </w:r>
      <w:r w:rsidR="003D2C1F">
        <w:rPr>
          <w:rFonts w:cs="Calibri"/>
          <w:sz w:val="24"/>
          <w:szCs w:val="24"/>
        </w:rPr>
        <w:t xml:space="preserve"> </w:t>
      </w:r>
      <w:r w:rsidR="000241F5" w:rsidRPr="00E06828">
        <w:rPr>
          <w:rFonts w:cs="Calibri"/>
          <w:sz w:val="24"/>
          <w:szCs w:val="24"/>
        </w:rPr>
        <w:t>o., Bratislava</w:t>
      </w:r>
    </w:p>
    <w:p w14:paraId="317C24AF" w14:textId="350B582C" w:rsidR="007F156C" w:rsidRPr="00E06828" w:rsidRDefault="007F156C" w:rsidP="00E027F7">
      <w:pPr>
        <w:pStyle w:val="Odsekzoznamu"/>
        <w:numPr>
          <w:ilvl w:val="0"/>
          <w:numId w:val="14"/>
        </w:numPr>
        <w:spacing w:line="240" w:lineRule="auto"/>
        <w:ind w:left="426" w:hanging="426"/>
        <w:rPr>
          <w:rFonts w:cs="Calibri"/>
          <w:sz w:val="24"/>
          <w:szCs w:val="24"/>
        </w:rPr>
      </w:pPr>
      <w:r w:rsidRPr="00E06828">
        <w:rPr>
          <w:rFonts w:cs="Calibri"/>
          <w:sz w:val="24"/>
          <w:szCs w:val="24"/>
        </w:rPr>
        <w:t>IBM Slovensko</w:t>
      </w:r>
      <w:r w:rsidR="000241F5" w:rsidRPr="00E06828">
        <w:rPr>
          <w:rFonts w:cs="Calibri"/>
          <w:sz w:val="24"/>
          <w:szCs w:val="24"/>
        </w:rPr>
        <w:t>, s.</w:t>
      </w:r>
      <w:r w:rsidR="003D2C1F">
        <w:rPr>
          <w:rFonts w:cs="Calibri"/>
          <w:sz w:val="24"/>
          <w:szCs w:val="24"/>
        </w:rPr>
        <w:t xml:space="preserve"> </w:t>
      </w:r>
      <w:r w:rsidR="000241F5" w:rsidRPr="00E06828">
        <w:rPr>
          <w:rFonts w:cs="Calibri"/>
          <w:sz w:val="24"/>
          <w:szCs w:val="24"/>
        </w:rPr>
        <w:t>r.</w:t>
      </w:r>
      <w:r w:rsidR="003D2C1F">
        <w:rPr>
          <w:rFonts w:cs="Calibri"/>
          <w:sz w:val="24"/>
          <w:szCs w:val="24"/>
        </w:rPr>
        <w:t xml:space="preserve"> </w:t>
      </w:r>
      <w:r w:rsidR="000241F5" w:rsidRPr="00E06828">
        <w:rPr>
          <w:rFonts w:cs="Calibri"/>
          <w:sz w:val="24"/>
          <w:szCs w:val="24"/>
        </w:rPr>
        <w:t>o., Bratislava</w:t>
      </w:r>
    </w:p>
    <w:p w14:paraId="51E1BCB6" w14:textId="77777777" w:rsidR="000241F5" w:rsidRPr="00E06828" w:rsidRDefault="000241F5" w:rsidP="00E027F7">
      <w:pPr>
        <w:pStyle w:val="Odsekzoznamu"/>
        <w:numPr>
          <w:ilvl w:val="0"/>
          <w:numId w:val="14"/>
        </w:numPr>
        <w:spacing w:after="0" w:line="240" w:lineRule="auto"/>
        <w:ind w:left="426" w:hanging="426"/>
        <w:rPr>
          <w:rFonts w:cs="Calibri"/>
          <w:sz w:val="24"/>
          <w:szCs w:val="24"/>
        </w:rPr>
      </w:pPr>
      <w:r w:rsidRPr="00E06828">
        <w:rPr>
          <w:rFonts w:cs="Calibri"/>
          <w:sz w:val="24"/>
          <w:szCs w:val="24"/>
        </w:rPr>
        <w:t>Molpir, s. r. o., Smolenice</w:t>
      </w:r>
    </w:p>
    <w:p w14:paraId="029822B2" w14:textId="7EE5F7B9" w:rsidR="007F156C" w:rsidRPr="00E06828" w:rsidRDefault="004B22E5" w:rsidP="00E027F7">
      <w:pPr>
        <w:pStyle w:val="Odsekzoznamu"/>
        <w:numPr>
          <w:ilvl w:val="0"/>
          <w:numId w:val="14"/>
        </w:numPr>
        <w:spacing w:line="240" w:lineRule="auto"/>
        <w:ind w:left="426" w:hanging="426"/>
        <w:rPr>
          <w:rFonts w:cs="Calibri"/>
          <w:sz w:val="24"/>
          <w:szCs w:val="24"/>
        </w:rPr>
      </w:pPr>
      <w:r w:rsidRPr="00E06828">
        <w:rPr>
          <w:rFonts w:cs="Calibri"/>
          <w:sz w:val="24"/>
          <w:szCs w:val="24"/>
        </w:rPr>
        <w:t>R-DAS</w:t>
      </w:r>
      <w:r w:rsidR="000241F5" w:rsidRPr="00E06828">
        <w:rPr>
          <w:rFonts w:cs="Calibri"/>
          <w:sz w:val="24"/>
          <w:szCs w:val="24"/>
        </w:rPr>
        <w:t>, s.</w:t>
      </w:r>
      <w:r w:rsidR="003D2C1F">
        <w:rPr>
          <w:rFonts w:cs="Calibri"/>
          <w:sz w:val="24"/>
          <w:szCs w:val="24"/>
        </w:rPr>
        <w:t xml:space="preserve"> </w:t>
      </w:r>
      <w:r w:rsidR="000241F5" w:rsidRPr="00E06828">
        <w:rPr>
          <w:rFonts w:cs="Calibri"/>
          <w:sz w:val="24"/>
          <w:szCs w:val="24"/>
        </w:rPr>
        <w:t>r.</w:t>
      </w:r>
      <w:r w:rsidR="003D2C1F">
        <w:rPr>
          <w:rFonts w:cs="Calibri"/>
          <w:sz w:val="24"/>
          <w:szCs w:val="24"/>
        </w:rPr>
        <w:t xml:space="preserve"> </w:t>
      </w:r>
      <w:r w:rsidR="000241F5" w:rsidRPr="00E06828">
        <w:rPr>
          <w:rFonts w:cs="Calibri"/>
          <w:sz w:val="24"/>
          <w:szCs w:val="24"/>
        </w:rPr>
        <w:t>o., Sliač</w:t>
      </w:r>
    </w:p>
    <w:p w14:paraId="31604721" w14:textId="7143E8BB" w:rsidR="000241F5" w:rsidRPr="00E06828" w:rsidRDefault="000241F5" w:rsidP="00E027F7">
      <w:pPr>
        <w:pStyle w:val="Odsekzoznamu"/>
        <w:numPr>
          <w:ilvl w:val="0"/>
          <w:numId w:val="14"/>
        </w:numPr>
        <w:spacing w:line="240" w:lineRule="auto"/>
        <w:ind w:left="426" w:hanging="426"/>
        <w:rPr>
          <w:rFonts w:cs="Calibri"/>
          <w:sz w:val="24"/>
          <w:szCs w:val="24"/>
        </w:rPr>
      </w:pPr>
      <w:r w:rsidRPr="00E06828">
        <w:rPr>
          <w:rFonts w:cs="Calibri"/>
          <w:sz w:val="24"/>
          <w:szCs w:val="24"/>
        </w:rPr>
        <w:t>SNP Slovakia, s. r. o., Bratislava</w:t>
      </w:r>
    </w:p>
    <w:p w14:paraId="0B26B1FF" w14:textId="77E4CF3C" w:rsidR="004B22E5" w:rsidRDefault="004B22E5" w:rsidP="00E027F7">
      <w:pPr>
        <w:pStyle w:val="Odsekzoznamu"/>
        <w:numPr>
          <w:ilvl w:val="0"/>
          <w:numId w:val="14"/>
        </w:numPr>
        <w:spacing w:line="240" w:lineRule="auto"/>
        <w:ind w:left="426" w:hanging="426"/>
        <w:rPr>
          <w:rFonts w:cs="Calibri"/>
          <w:sz w:val="24"/>
          <w:szCs w:val="24"/>
        </w:rPr>
      </w:pPr>
      <w:r w:rsidRPr="00E06828">
        <w:rPr>
          <w:rFonts w:cs="Calibri"/>
          <w:sz w:val="24"/>
          <w:szCs w:val="24"/>
        </w:rPr>
        <w:t>SWAN, a. s</w:t>
      </w:r>
      <w:r w:rsidR="000241F5" w:rsidRPr="00E06828">
        <w:rPr>
          <w:rFonts w:cs="Calibri"/>
          <w:sz w:val="24"/>
          <w:szCs w:val="24"/>
        </w:rPr>
        <w:t>., Bratislava</w:t>
      </w:r>
    </w:p>
    <w:p w14:paraId="6A859A49" w14:textId="3F3884CC" w:rsidR="007F156C" w:rsidRPr="00170394" w:rsidRDefault="00C7583D" w:rsidP="007B0A7C">
      <w:pPr>
        <w:rPr>
          <w:rFonts w:eastAsia="Times New Roman" w:cs="Calibri"/>
          <w:lang w:eastAsia="sk-SK"/>
        </w:rPr>
      </w:pPr>
      <w:r w:rsidRPr="00E06828">
        <w:rPr>
          <w:rFonts w:eastAsia="Times New Roman" w:cs="Calibri"/>
          <w:b/>
          <w:lang w:eastAsia="sk-SK"/>
        </w:rPr>
        <w:t>Ústav manažmentu STU</w:t>
      </w:r>
    </w:p>
    <w:p w14:paraId="05BC223F" w14:textId="77777777" w:rsidR="00AC6382" w:rsidRPr="00E06828" w:rsidRDefault="00AC6382" w:rsidP="00E027F7">
      <w:pPr>
        <w:pStyle w:val="Odsekzoznamu"/>
        <w:numPr>
          <w:ilvl w:val="0"/>
          <w:numId w:val="15"/>
        </w:numPr>
        <w:spacing w:line="240" w:lineRule="auto"/>
        <w:ind w:left="426" w:hanging="426"/>
        <w:rPr>
          <w:rFonts w:cs="Calibri"/>
          <w:sz w:val="24"/>
          <w:szCs w:val="24"/>
        </w:rPr>
      </w:pPr>
      <w:r w:rsidRPr="00E06828">
        <w:rPr>
          <w:rFonts w:cs="Calibri"/>
          <w:sz w:val="24"/>
          <w:szCs w:val="24"/>
        </w:rPr>
        <w:t>České vysoké učení technické v Praze, Česká republika</w:t>
      </w:r>
    </w:p>
    <w:p w14:paraId="0128D21F" w14:textId="77777777" w:rsidR="00AC6382" w:rsidRPr="00E06828" w:rsidRDefault="00AC6382" w:rsidP="00E027F7">
      <w:pPr>
        <w:pStyle w:val="Odsekzoznamu"/>
        <w:numPr>
          <w:ilvl w:val="0"/>
          <w:numId w:val="15"/>
        </w:numPr>
        <w:spacing w:line="240" w:lineRule="auto"/>
        <w:ind w:left="426" w:hanging="426"/>
        <w:rPr>
          <w:rFonts w:cs="Calibri"/>
          <w:sz w:val="24"/>
          <w:szCs w:val="24"/>
        </w:rPr>
      </w:pPr>
      <w:r w:rsidRPr="00E06828">
        <w:rPr>
          <w:rFonts w:cs="Calibri"/>
          <w:sz w:val="24"/>
          <w:szCs w:val="24"/>
        </w:rPr>
        <w:t>Macquarie Business School, Sydney, Austrália</w:t>
      </w:r>
    </w:p>
    <w:p w14:paraId="71E842B9" w14:textId="2A3D7764" w:rsidR="000241F5" w:rsidRPr="00E06828" w:rsidRDefault="000241F5" w:rsidP="00E027F7">
      <w:pPr>
        <w:pStyle w:val="Odsekzoznamu"/>
        <w:numPr>
          <w:ilvl w:val="0"/>
          <w:numId w:val="15"/>
        </w:numPr>
        <w:spacing w:line="240" w:lineRule="auto"/>
        <w:ind w:left="426" w:hanging="426"/>
        <w:rPr>
          <w:rFonts w:cs="Calibri"/>
          <w:sz w:val="24"/>
          <w:szCs w:val="24"/>
        </w:rPr>
      </w:pPr>
      <w:r w:rsidRPr="00E06828">
        <w:rPr>
          <w:rFonts w:cs="Calibri"/>
          <w:sz w:val="24"/>
          <w:szCs w:val="24"/>
        </w:rPr>
        <w:t>Ministerstvo investícií, regionálneho rozvoja a informatizácie SR, Bratislava</w:t>
      </w:r>
    </w:p>
    <w:p w14:paraId="227CCF78" w14:textId="1EE8A786" w:rsidR="007F156C" w:rsidRPr="00E06828" w:rsidRDefault="000241F5" w:rsidP="00E027F7">
      <w:pPr>
        <w:pStyle w:val="Odsekzoznamu"/>
        <w:numPr>
          <w:ilvl w:val="0"/>
          <w:numId w:val="15"/>
        </w:numPr>
        <w:spacing w:line="240" w:lineRule="auto"/>
        <w:ind w:left="426" w:hanging="426"/>
        <w:rPr>
          <w:rFonts w:cs="Calibri"/>
          <w:sz w:val="24"/>
          <w:szCs w:val="24"/>
        </w:rPr>
      </w:pPr>
      <w:r w:rsidRPr="00E06828">
        <w:rPr>
          <w:rFonts w:cs="Calibri"/>
          <w:sz w:val="24"/>
          <w:szCs w:val="24"/>
        </w:rPr>
        <w:t xml:space="preserve">Ministerstvo investícií, regionálneho rozvoja a informatizácie SR, </w:t>
      </w:r>
      <w:r w:rsidR="00C7583D" w:rsidRPr="00E06828">
        <w:rPr>
          <w:rFonts w:cs="Calibri"/>
          <w:sz w:val="24"/>
          <w:szCs w:val="24"/>
        </w:rPr>
        <w:t xml:space="preserve">Sekcia inovácií, strategických investícií a analýz, </w:t>
      </w:r>
      <w:r w:rsidRPr="00E06828">
        <w:rPr>
          <w:rFonts w:cs="Calibri"/>
          <w:sz w:val="24"/>
          <w:szCs w:val="24"/>
        </w:rPr>
        <w:t>Bratislava</w:t>
      </w:r>
    </w:p>
    <w:p w14:paraId="2D9BD73B" w14:textId="60C811AD" w:rsidR="00C7583D" w:rsidRPr="00E06828" w:rsidRDefault="00C7583D" w:rsidP="00E027F7">
      <w:pPr>
        <w:pStyle w:val="Odsekzoznamu"/>
        <w:numPr>
          <w:ilvl w:val="0"/>
          <w:numId w:val="15"/>
        </w:numPr>
        <w:spacing w:line="240" w:lineRule="auto"/>
        <w:ind w:left="426" w:hanging="426"/>
        <w:rPr>
          <w:rFonts w:cs="Calibri"/>
          <w:sz w:val="24"/>
          <w:szCs w:val="24"/>
        </w:rPr>
      </w:pPr>
      <w:r w:rsidRPr="00E06828">
        <w:rPr>
          <w:rFonts w:cs="Calibri"/>
          <w:sz w:val="24"/>
          <w:szCs w:val="24"/>
        </w:rPr>
        <w:t>Slovak Smart City Cluster</w:t>
      </w:r>
      <w:r w:rsidR="00AC6382" w:rsidRPr="00E06828">
        <w:rPr>
          <w:rFonts w:cs="Calibri"/>
          <w:sz w:val="24"/>
          <w:szCs w:val="24"/>
        </w:rPr>
        <w:t>, z. z. p. o., Poprad</w:t>
      </w:r>
    </w:p>
    <w:p w14:paraId="3F210CE0" w14:textId="77777777" w:rsidR="00AC6382" w:rsidRPr="00E06828" w:rsidRDefault="00AC6382" w:rsidP="00E027F7">
      <w:pPr>
        <w:pStyle w:val="Odsekzoznamu"/>
        <w:numPr>
          <w:ilvl w:val="0"/>
          <w:numId w:val="15"/>
        </w:numPr>
        <w:spacing w:line="240" w:lineRule="auto"/>
        <w:ind w:left="426" w:hanging="426"/>
        <w:rPr>
          <w:rFonts w:cs="Calibri"/>
          <w:sz w:val="24"/>
          <w:szCs w:val="24"/>
        </w:rPr>
      </w:pPr>
      <w:r w:rsidRPr="00E06828">
        <w:rPr>
          <w:rFonts w:cs="Calibri"/>
          <w:sz w:val="24"/>
          <w:szCs w:val="24"/>
        </w:rPr>
        <w:t>Univerzita J.E. Purkyně v Ústí nad Labem, Česká republika</w:t>
      </w:r>
    </w:p>
    <w:p w14:paraId="486798C7" w14:textId="77777777" w:rsidR="00AC6382" w:rsidRPr="00E06828" w:rsidRDefault="00AC6382" w:rsidP="00E027F7">
      <w:pPr>
        <w:pStyle w:val="Odsekzoznamu"/>
        <w:numPr>
          <w:ilvl w:val="0"/>
          <w:numId w:val="15"/>
        </w:numPr>
        <w:spacing w:line="240" w:lineRule="auto"/>
        <w:ind w:left="426" w:hanging="426"/>
        <w:rPr>
          <w:rFonts w:cs="Calibri"/>
          <w:sz w:val="24"/>
          <w:szCs w:val="24"/>
        </w:rPr>
      </w:pPr>
      <w:r w:rsidRPr="00E06828">
        <w:rPr>
          <w:rFonts w:cs="Calibri"/>
          <w:sz w:val="24"/>
          <w:szCs w:val="24"/>
        </w:rPr>
        <w:t>Univerzita Komenského v Bratislave</w:t>
      </w:r>
    </w:p>
    <w:p w14:paraId="09BA5445" w14:textId="77777777" w:rsidR="00AC6382" w:rsidRPr="00E06828" w:rsidRDefault="00AC6382" w:rsidP="00E027F7">
      <w:pPr>
        <w:pStyle w:val="Odsekzoznamu"/>
        <w:numPr>
          <w:ilvl w:val="0"/>
          <w:numId w:val="15"/>
        </w:numPr>
        <w:spacing w:line="240" w:lineRule="auto"/>
        <w:ind w:left="426" w:hanging="426"/>
        <w:rPr>
          <w:rFonts w:cs="Calibri"/>
          <w:sz w:val="24"/>
          <w:szCs w:val="24"/>
        </w:rPr>
      </w:pPr>
      <w:r w:rsidRPr="00E06828">
        <w:rPr>
          <w:rFonts w:cs="Calibri"/>
          <w:sz w:val="24"/>
          <w:szCs w:val="24"/>
        </w:rPr>
        <w:t>Vysoké učení technické v Brně, Česká republika</w:t>
      </w:r>
    </w:p>
    <w:p w14:paraId="4E9CAD1A" w14:textId="462F128B" w:rsidR="00464CBE" w:rsidRPr="00E06828" w:rsidRDefault="00464CBE" w:rsidP="00E027F7">
      <w:pPr>
        <w:pStyle w:val="Odsekzoznamu"/>
        <w:numPr>
          <w:ilvl w:val="0"/>
          <w:numId w:val="15"/>
        </w:numPr>
        <w:spacing w:line="240" w:lineRule="auto"/>
        <w:ind w:left="426" w:hanging="426"/>
        <w:rPr>
          <w:rFonts w:cs="Calibri"/>
          <w:sz w:val="24"/>
          <w:szCs w:val="24"/>
        </w:rPr>
      </w:pPr>
      <w:r w:rsidRPr="00E06828">
        <w:rPr>
          <w:rFonts w:cs="Calibri"/>
          <w:sz w:val="24"/>
          <w:szCs w:val="24"/>
        </w:rPr>
        <w:t>Zväz automobilového priemyslu</w:t>
      </w:r>
      <w:r w:rsidR="00AC6382" w:rsidRPr="00E06828">
        <w:rPr>
          <w:rFonts w:cs="Calibri"/>
          <w:sz w:val="24"/>
          <w:szCs w:val="24"/>
        </w:rPr>
        <w:t xml:space="preserve"> SR, Bratislava</w:t>
      </w:r>
    </w:p>
    <w:p w14:paraId="658E8B51" w14:textId="77777777" w:rsidR="00464CBE" w:rsidRPr="00E06828" w:rsidRDefault="00464CBE" w:rsidP="00E027F7">
      <w:pPr>
        <w:pStyle w:val="Odsekzoznamu"/>
        <w:numPr>
          <w:ilvl w:val="0"/>
          <w:numId w:val="15"/>
        </w:numPr>
        <w:spacing w:line="240" w:lineRule="auto"/>
        <w:ind w:left="426" w:hanging="426"/>
        <w:rPr>
          <w:rFonts w:cs="Calibri"/>
          <w:sz w:val="24"/>
          <w:szCs w:val="24"/>
        </w:rPr>
      </w:pPr>
      <w:r w:rsidRPr="00E06828">
        <w:rPr>
          <w:rFonts w:cs="Calibri"/>
          <w:sz w:val="24"/>
          <w:szCs w:val="24"/>
        </w:rPr>
        <w:t>Žilinská univerzita v Žiline</w:t>
      </w:r>
    </w:p>
    <w:p w14:paraId="15FE6082" w14:textId="77777777" w:rsidR="00DD2B96" w:rsidRPr="0053555E" w:rsidRDefault="003D659F" w:rsidP="00673150">
      <w:pPr>
        <w:rPr>
          <w:b/>
        </w:rPr>
      </w:pPr>
      <w:r w:rsidRPr="0053555E">
        <w:rPr>
          <w:b/>
        </w:rPr>
        <w:t>Strojnícka fakulta</w:t>
      </w:r>
      <w:r w:rsidR="00673150" w:rsidRPr="0053555E">
        <w:rPr>
          <w:b/>
        </w:rPr>
        <w:t xml:space="preserve"> STU</w:t>
      </w:r>
      <w:r w:rsidRPr="0053555E">
        <w:rPr>
          <w:b/>
        </w:rPr>
        <w:t>:</w:t>
      </w:r>
    </w:p>
    <w:p w14:paraId="54013AA6" w14:textId="596646C5" w:rsidR="00081DA7" w:rsidRPr="0053555E" w:rsidRDefault="00E9170A" w:rsidP="00EB6949">
      <w:pPr>
        <w:jc w:val="both"/>
      </w:pPr>
      <w:r w:rsidRPr="0053555E">
        <w:t>V prípade profesijne orientovaného bakalárskeho študijného programu prevádzkový technik dopravnej a výrobnej techniky študenti absolvujú dve povinné praxe „Odborná prax I.“ a „Odborná prax II.“ v trvaní 2 semestrov spolu</w:t>
      </w:r>
      <w:r w:rsidR="00BD0AEA" w:rsidRPr="0053555E">
        <w:t>. SjF</w:t>
      </w:r>
      <w:r w:rsidRPr="0053555E">
        <w:t xml:space="preserve"> uzavre</w:t>
      </w:r>
      <w:r w:rsidR="00BD0AEA" w:rsidRPr="0053555E">
        <w:t>l</w:t>
      </w:r>
      <w:r w:rsidRPr="0053555E">
        <w:t xml:space="preserve"> partnerské zmluvy s Volkswagen Slovakia, Stellantis, Schaeffler</w:t>
      </w:r>
      <w:r w:rsidR="00BD7E1A" w:rsidRPr="0053555E">
        <w:t xml:space="preserve"> Skalica, BOGE Elastmetall Slovakia, ZKW Slovakia</w:t>
      </w:r>
      <w:r w:rsidRPr="0053555E">
        <w:t>, Brose</w:t>
      </w:r>
      <w:r w:rsidR="009F4DDA" w:rsidRPr="0053555E">
        <w:t xml:space="preserve"> Slovensko</w:t>
      </w:r>
      <w:r w:rsidRPr="0053555E">
        <w:t>, ZF Slovakia, Continental Automotive Systems Slovakia.</w:t>
      </w:r>
    </w:p>
    <w:p w14:paraId="3328C4C1" w14:textId="55AA4372" w:rsidR="00081DA7" w:rsidRDefault="00081DA7" w:rsidP="00EB6949">
      <w:pPr>
        <w:jc w:val="both"/>
      </w:pPr>
    </w:p>
    <w:p w14:paraId="7FEA5C0E" w14:textId="77777777" w:rsidR="00950094" w:rsidRPr="0053555E" w:rsidRDefault="00950094" w:rsidP="00EB6949">
      <w:pPr>
        <w:jc w:val="both"/>
      </w:pPr>
    </w:p>
    <w:p w14:paraId="18DA9E27" w14:textId="77777777" w:rsidR="00170394" w:rsidRDefault="00170394" w:rsidP="00170394">
      <w:pPr>
        <w:rPr>
          <w:b/>
          <w:sz w:val="28"/>
          <w:szCs w:val="28"/>
        </w:rPr>
      </w:pPr>
      <w:bookmarkStart w:id="292" w:name="_Toc127593256"/>
    </w:p>
    <w:p w14:paraId="3E10ECC4" w14:textId="282826A3" w:rsidR="00081DA7" w:rsidRDefault="00170394" w:rsidP="00170394">
      <w:pPr>
        <w:rPr>
          <w:b/>
          <w:sz w:val="28"/>
          <w:szCs w:val="28"/>
        </w:rPr>
      </w:pPr>
      <w:r w:rsidRPr="00170394">
        <w:rPr>
          <w:b/>
          <w:sz w:val="28"/>
          <w:szCs w:val="28"/>
        </w:rPr>
        <w:lastRenderedPageBreak/>
        <w:t xml:space="preserve">12.3. </w:t>
      </w:r>
      <w:r w:rsidR="00081DA7" w:rsidRPr="00170394">
        <w:rPr>
          <w:b/>
          <w:sz w:val="28"/>
          <w:szCs w:val="28"/>
        </w:rPr>
        <w:t>Periodické hodnotenie študijných programov</w:t>
      </w:r>
      <w:bookmarkEnd w:id="292"/>
    </w:p>
    <w:p w14:paraId="275EF942" w14:textId="77777777" w:rsidR="00170394" w:rsidRPr="00170394" w:rsidRDefault="00170394" w:rsidP="00170394">
      <w:pPr>
        <w:rPr>
          <w:b/>
          <w:sz w:val="28"/>
          <w:szCs w:val="28"/>
        </w:rPr>
      </w:pPr>
    </w:p>
    <w:p w14:paraId="008792A0" w14:textId="5EB6E201" w:rsidR="00517083" w:rsidRPr="0053555E" w:rsidRDefault="00517083" w:rsidP="00DD4568">
      <w:pPr>
        <w:spacing w:after="120"/>
        <w:jc w:val="both"/>
      </w:pPr>
      <w:r w:rsidRPr="0053555E">
        <w:t xml:space="preserve">Systém kontroly </w:t>
      </w:r>
      <w:r w:rsidR="00DB1388" w:rsidRPr="0053555E">
        <w:t>a monitorovania študijných programov</w:t>
      </w:r>
      <w:r w:rsidRPr="0053555E">
        <w:t xml:space="preserve"> je definovaný </w:t>
      </w:r>
      <w:hyperlink r:id="rId114" w:history="1">
        <w:r w:rsidR="00513D3B" w:rsidRPr="00513D3B">
          <w:rPr>
            <w:rStyle w:val="Hypertextovprepojenie"/>
          </w:rPr>
          <w:t>VP</w:t>
        </w:r>
        <w:r w:rsidRPr="00513D3B">
          <w:rPr>
            <w:rStyle w:val="Hypertextovprepojenie"/>
          </w:rPr>
          <w:t xml:space="preserve"> </w:t>
        </w:r>
        <w:r w:rsidR="00DB1388" w:rsidRPr="00513D3B">
          <w:rPr>
            <w:rStyle w:val="Hypertextovprepojenie"/>
          </w:rPr>
          <w:t>č. 2/2022</w:t>
        </w:r>
      </w:hyperlink>
      <w:r w:rsidRPr="0053555E">
        <w:t xml:space="preserve"> Pravidlá priebežného monitorovania, periodického hodnotenia a periodického schvaľovania študijných programov, habilitačných konaní a inauguračných konaní a tvorivej činnosti na STU.</w:t>
      </w:r>
    </w:p>
    <w:p w14:paraId="581164F4" w14:textId="29091688" w:rsidR="008D2B5F" w:rsidRDefault="00517083" w:rsidP="006A0050">
      <w:pPr>
        <w:spacing w:after="120"/>
        <w:jc w:val="both"/>
      </w:pPr>
      <w:r w:rsidRPr="00170394">
        <w:rPr>
          <w:b/>
        </w:rPr>
        <w:t>Priebežné monitorovanie študijných programov zahŕňa zber, analýzu a používanie informácií</w:t>
      </w:r>
      <w:r w:rsidRPr="0053555E">
        <w:t xml:space="preserve"> potrebných na efektívne uskutočňovanie študijných programov, pričom okrem dát z</w:t>
      </w:r>
      <w:r w:rsidR="00F80443">
        <w:t> </w:t>
      </w:r>
      <w:r w:rsidRPr="0053555E">
        <w:t xml:space="preserve">informačných systémov univerzity sa pre zber údajov využívajú aj ankety pre študentov, učiteľov, absolventov a zamestnávateľov. </w:t>
      </w:r>
      <w:r w:rsidR="00DB1388" w:rsidRPr="0053555E">
        <w:t xml:space="preserve">STU </w:t>
      </w:r>
      <w:r w:rsidR="009D4C53" w:rsidRPr="0053555E">
        <w:t xml:space="preserve">na podrobné monitorovanie vybraných ukazovateľov využíva </w:t>
      </w:r>
      <w:r w:rsidR="00F80443">
        <w:t xml:space="preserve">okrem AIS aj </w:t>
      </w:r>
      <w:r w:rsidR="009D4C53" w:rsidRPr="0053555E">
        <w:t>softvér Power BI</w:t>
      </w:r>
      <w:r w:rsidR="002A3A10">
        <w:t xml:space="preserve">. Monitorovanie ukazovateľov je prístupné </w:t>
      </w:r>
      <w:r w:rsidR="00CB2143">
        <w:t>uchádzačom</w:t>
      </w:r>
      <w:r w:rsidR="002A3A10">
        <w:t xml:space="preserve">, študentom, absolventom, ďalším zainteresovaným stranám a širokej verejnosti na </w:t>
      </w:r>
      <w:hyperlink r:id="rId115" w:history="1">
        <w:r w:rsidR="002A3A10" w:rsidRPr="00B15714">
          <w:rPr>
            <w:rStyle w:val="Hypertextovprepojenie"/>
          </w:rPr>
          <w:t>webovom sídle STU</w:t>
        </w:r>
      </w:hyperlink>
      <w:r w:rsidR="002A3A10">
        <w:t xml:space="preserve">. </w:t>
      </w:r>
    </w:p>
    <w:p w14:paraId="6C10A9E3" w14:textId="5CB234E6" w:rsidR="00517083" w:rsidRPr="0053555E" w:rsidRDefault="002A3A10" w:rsidP="006A0050">
      <w:pPr>
        <w:spacing w:after="120"/>
        <w:jc w:val="both"/>
      </w:pPr>
      <w:r>
        <w:t>PowerBi</w:t>
      </w:r>
      <w:r w:rsidR="009D4C53" w:rsidRPr="0053555E">
        <w:t xml:space="preserve"> umožňuje vyhodnocovanie indikátorov a</w:t>
      </w:r>
      <w:r w:rsidR="00F80443">
        <w:t> </w:t>
      </w:r>
      <w:r w:rsidR="009D4C53" w:rsidRPr="0053555E">
        <w:t xml:space="preserve">automatické generovanie reportov pre </w:t>
      </w:r>
      <w:r w:rsidR="004F60E2">
        <w:t>R</w:t>
      </w:r>
      <w:r w:rsidR="009D4C53" w:rsidRPr="0053555E">
        <w:t xml:space="preserve">ady </w:t>
      </w:r>
      <w:r w:rsidR="00925BB7">
        <w:t>ŠP</w:t>
      </w:r>
      <w:r w:rsidR="009D4C53" w:rsidRPr="0053555E">
        <w:t xml:space="preserve"> alebo pre</w:t>
      </w:r>
      <w:r w:rsidR="00CB2143">
        <w:t> </w:t>
      </w:r>
      <w:r w:rsidR="009D4C53" w:rsidRPr="0053555E">
        <w:t xml:space="preserve">potreby fakúlt ako podkladov pre periodické hodnotenie študijných programov. Vygenerované </w:t>
      </w:r>
      <w:r w:rsidR="00901E89">
        <w:t xml:space="preserve">reporty </w:t>
      </w:r>
      <w:r w:rsidR="00F267F8">
        <w:t xml:space="preserve">so </w:t>
      </w:r>
      <w:r w:rsidR="00BE408F">
        <w:t>sledovan</w:t>
      </w:r>
      <w:r w:rsidR="00F267F8">
        <w:t>ými</w:t>
      </w:r>
      <w:r w:rsidR="00BE408F">
        <w:t xml:space="preserve"> </w:t>
      </w:r>
      <w:r w:rsidR="00F267F8">
        <w:t>ukazovateľmi</w:t>
      </w:r>
      <w:r w:rsidR="00F267F8" w:rsidRPr="0053555E">
        <w:t xml:space="preserve"> </w:t>
      </w:r>
      <w:r w:rsidR="00D3006C">
        <w:t>z periodického hodnotenia</w:t>
      </w:r>
      <w:r w:rsidR="00901E89">
        <w:t xml:space="preserve"> </w:t>
      </w:r>
      <w:r w:rsidR="009D4C53" w:rsidRPr="0053555E">
        <w:t>pre</w:t>
      </w:r>
      <w:r w:rsidR="00925BB7">
        <w:t> </w:t>
      </w:r>
      <w:r w:rsidR="009D4C53" w:rsidRPr="0053555E">
        <w:t xml:space="preserve">jednotlivé študijné programy </w:t>
      </w:r>
      <w:r w:rsidR="00925BB7">
        <w:t>sú prístupné</w:t>
      </w:r>
      <w:r w:rsidR="009D4C53" w:rsidRPr="0053555E">
        <w:t xml:space="preserve"> na </w:t>
      </w:r>
      <w:r w:rsidR="009D4C53" w:rsidRPr="00925BB7">
        <w:t xml:space="preserve">verejnom </w:t>
      </w:r>
      <w:hyperlink r:id="rId116" w:history="1">
        <w:r w:rsidR="009D4C53" w:rsidRPr="00D3006C">
          <w:rPr>
            <w:rStyle w:val="Hypertextovprepojenie"/>
          </w:rPr>
          <w:t>dokumentovom serveri AIS</w:t>
        </w:r>
      </w:hyperlink>
      <w:r w:rsidR="00D3006C">
        <w:t>.</w:t>
      </w:r>
      <w:r w:rsidR="00E275C1" w:rsidRPr="0053555E">
        <w:t xml:space="preserve"> </w:t>
      </w:r>
      <w:r w:rsidR="00F267F8">
        <w:t>T</w:t>
      </w:r>
      <w:r w:rsidR="00521540">
        <w:t>i</w:t>
      </w:r>
      <w:r w:rsidR="00F267F8">
        <w:t xml:space="preserve">eto reporty sú prílohou správy z periodického hodnotenia </w:t>
      </w:r>
      <w:r w:rsidR="00521540">
        <w:t xml:space="preserve">príslušného študijného programu, v ktorej sa </w:t>
      </w:r>
      <w:r w:rsidR="004F60E2">
        <w:t>R</w:t>
      </w:r>
      <w:r w:rsidR="00E275C1" w:rsidRPr="0053555E">
        <w:t xml:space="preserve">ada </w:t>
      </w:r>
      <w:r w:rsidR="00901E89">
        <w:t>ŠP</w:t>
      </w:r>
      <w:r w:rsidR="004F60E2">
        <w:t xml:space="preserve"> </w:t>
      </w:r>
      <w:r w:rsidR="00E275C1" w:rsidRPr="0053555E">
        <w:t>venovala hodnoteniu úrovne uskutočňovaného študijného programu, návrhom na úpravy študijného programu, návrhom opatrení na odstránenie zistených nedostatkov a iným návrhom na</w:t>
      </w:r>
      <w:r w:rsidR="00C92CB7">
        <w:t> </w:t>
      </w:r>
      <w:r w:rsidR="00E275C1" w:rsidRPr="0053555E">
        <w:t>zvýšenie kvality zabezpečovania študijného programu, ako miera spokojnosti zamestnávateľov s dosahovanými výstupmi vzdelávania študijného programu na základe prítomnosti zainteresovaných strán.</w:t>
      </w:r>
    </w:p>
    <w:p w14:paraId="3011C069" w14:textId="3BA43F0F" w:rsidR="00517083" w:rsidRPr="0053555E" w:rsidRDefault="009D4C53" w:rsidP="00E970D5">
      <w:pPr>
        <w:spacing w:after="120"/>
        <w:jc w:val="both"/>
      </w:pPr>
      <w:r w:rsidRPr="0053555E">
        <w:t xml:space="preserve">Samotné </w:t>
      </w:r>
      <w:r w:rsidRPr="00170394">
        <w:rPr>
          <w:b/>
        </w:rPr>
        <w:t>p</w:t>
      </w:r>
      <w:r w:rsidR="00517083" w:rsidRPr="00170394">
        <w:rPr>
          <w:b/>
        </w:rPr>
        <w:t>eriodické hodnotenie</w:t>
      </w:r>
      <w:r w:rsidR="00517083" w:rsidRPr="0053555E">
        <w:t xml:space="preserve"> </w:t>
      </w:r>
      <w:r w:rsidR="00C92CB7">
        <w:t xml:space="preserve">študijných programov </w:t>
      </w:r>
      <w:r w:rsidR="00517083" w:rsidRPr="0053555E">
        <w:t>sa realiz</w:t>
      </w:r>
      <w:r w:rsidR="00715787">
        <w:t>ovalo</w:t>
      </w:r>
      <w:r w:rsidR="00517083" w:rsidRPr="0053555E">
        <w:t xml:space="preserve"> na </w:t>
      </w:r>
      <w:r w:rsidRPr="0053555E">
        <w:t>viacerých</w:t>
      </w:r>
      <w:r w:rsidR="00517083" w:rsidRPr="0053555E">
        <w:t xml:space="preserve"> úrovniach</w:t>
      </w:r>
      <w:r w:rsidR="00E275C1" w:rsidRPr="0053555E">
        <w:t xml:space="preserve">. </w:t>
      </w:r>
      <w:r w:rsidRPr="0053555E">
        <w:t>R</w:t>
      </w:r>
      <w:r w:rsidR="00517083" w:rsidRPr="0053555E">
        <w:t xml:space="preserve">ada </w:t>
      </w:r>
      <w:r w:rsidR="00C92CB7">
        <w:t>ŠP</w:t>
      </w:r>
      <w:r w:rsidR="00517083" w:rsidRPr="0053555E">
        <w:t xml:space="preserve"> na základe </w:t>
      </w:r>
      <w:r w:rsidRPr="0053555E">
        <w:t xml:space="preserve">dostupných </w:t>
      </w:r>
      <w:r w:rsidR="00517083" w:rsidRPr="0053555E">
        <w:t>údajov o študijnom programe hodnot</w:t>
      </w:r>
      <w:r w:rsidRPr="0053555E">
        <w:t>ila</w:t>
      </w:r>
      <w:r w:rsidR="00517083" w:rsidRPr="0053555E">
        <w:t xml:space="preserve"> úroveň uskutočňovania študijného programu, priprav</w:t>
      </w:r>
      <w:r w:rsidRPr="0053555E">
        <w:t>ila</w:t>
      </w:r>
      <w:r w:rsidR="00517083" w:rsidRPr="0053555E">
        <w:t xml:space="preserve"> návrhy na úpravu študijného programu, návrhy opatrení na odstránenie zistených nedostatkov, ak boli v rámci periodického hodnotenia preukázané, </w:t>
      </w:r>
      <w:r w:rsidRPr="0053555E">
        <w:t xml:space="preserve">ako aj </w:t>
      </w:r>
      <w:r w:rsidR="00517083" w:rsidRPr="0053555E">
        <w:t>iné návrhy na zvýšenie kvality zabezpečovania študijného programu</w:t>
      </w:r>
      <w:r w:rsidRPr="0053555E">
        <w:t xml:space="preserve">. Zasadnutia </w:t>
      </w:r>
      <w:r w:rsidR="00715787">
        <w:t>R</w:t>
      </w:r>
      <w:r w:rsidRPr="0053555E">
        <w:t xml:space="preserve">ád </w:t>
      </w:r>
      <w:r w:rsidR="00715787">
        <w:t>ŠP</w:t>
      </w:r>
      <w:r w:rsidR="00D35ACA">
        <w:t>, na ktorých</w:t>
      </w:r>
      <w:r w:rsidRPr="0053555E">
        <w:t xml:space="preserve"> </w:t>
      </w:r>
      <w:r w:rsidR="00BE408F">
        <w:t>posudz</w:t>
      </w:r>
      <w:r w:rsidR="00D35ACA">
        <w:t>ovali</w:t>
      </w:r>
      <w:r w:rsidRPr="0053555E">
        <w:t xml:space="preserve"> priebeh akademického roku </w:t>
      </w:r>
      <w:r w:rsidR="00EA24BA" w:rsidRPr="0053555E">
        <w:t>202</w:t>
      </w:r>
      <w:r w:rsidR="00715787">
        <w:t>1</w:t>
      </w:r>
      <w:r w:rsidR="00EA24BA" w:rsidRPr="0053555E">
        <w:t>/202</w:t>
      </w:r>
      <w:r w:rsidR="00715787">
        <w:t>2</w:t>
      </w:r>
      <w:r w:rsidR="007D536A">
        <w:t>,</w:t>
      </w:r>
      <w:r w:rsidRPr="0053555E">
        <w:t xml:space="preserve"> prebehli v mesiacoch november</w:t>
      </w:r>
      <w:r w:rsidR="00715787">
        <w:t>,</w:t>
      </w:r>
      <w:r w:rsidRPr="0053555E">
        <w:t xml:space="preserve"> resp. december 2022. Najdôležitejšie fakty zo zasadnutia </w:t>
      </w:r>
      <w:r w:rsidR="007D536A">
        <w:t>R</w:t>
      </w:r>
      <w:r w:rsidRPr="0053555E">
        <w:t xml:space="preserve">ady </w:t>
      </w:r>
      <w:r w:rsidR="007D536A">
        <w:t xml:space="preserve">ŠP </w:t>
      </w:r>
      <w:r w:rsidRPr="0053555E">
        <w:t>sú pre</w:t>
      </w:r>
      <w:r w:rsidR="00BE408F">
        <w:t> </w:t>
      </w:r>
      <w:r w:rsidRPr="0053555E">
        <w:t>každý študijný program zhrnuté v správach z periodického hodnotenia študijného programu a </w:t>
      </w:r>
      <w:r w:rsidR="00E91289">
        <w:t>sú prístupné</w:t>
      </w:r>
      <w:r w:rsidR="00E91289" w:rsidRPr="0053555E">
        <w:t xml:space="preserve"> na </w:t>
      </w:r>
      <w:r w:rsidR="00E91289" w:rsidRPr="00925BB7">
        <w:t xml:space="preserve">verejnom </w:t>
      </w:r>
      <w:hyperlink r:id="rId117" w:history="1">
        <w:r w:rsidR="00E91289" w:rsidRPr="00D3006C">
          <w:rPr>
            <w:rStyle w:val="Hypertextovprepojenie"/>
          </w:rPr>
          <w:t>dokumentovom serveri AIS</w:t>
        </w:r>
      </w:hyperlink>
      <w:r w:rsidRPr="0053555E">
        <w:t>.</w:t>
      </w:r>
    </w:p>
    <w:p w14:paraId="0682A937" w14:textId="271404AF" w:rsidR="00E91289" w:rsidRDefault="00E970D5" w:rsidP="00E91289">
      <w:pPr>
        <w:spacing w:after="120"/>
        <w:jc w:val="both"/>
      </w:pPr>
      <w:r>
        <w:t>S</w:t>
      </w:r>
      <w:r w:rsidR="00E275C1" w:rsidRPr="0053555E">
        <w:t xml:space="preserve">právy </w:t>
      </w:r>
      <w:r w:rsidRPr="0053555E">
        <w:t xml:space="preserve">z periodického hodnotenia </w:t>
      </w:r>
      <w:r w:rsidR="00574156">
        <w:t xml:space="preserve">všetkých študijných programov </w:t>
      </w:r>
      <w:r w:rsidR="00E275C1" w:rsidRPr="0053555E">
        <w:t>tvorili zároveň podklad pre</w:t>
      </w:r>
      <w:r w:rsidR="00574156">
        <w:t> </w:t>
      </w:r>
      <w:r w:rsidR="00E275C1" w:rsidRPr="0053555E">
        <w:t xml:space="preserve">rokovanie vedenia fakúlt, kde sa hodnotila úroveň uskutočňovania študijných programov poskytovaných fakultou. Zároveň sa stručne zosumarizovali závery zo správ dodaných jednotlivými </w:t>
      </w:r>
      <w:r w:rsidR="00574156">
        <w:t>R</w:t>
      </w:r>
      <w:r w:rsidR="00E275C1" w:rsidRPr="0053555E">
        <w:t xml:space="preserve">adami </w:t>
      </w:r>
      <w:r w:rsidR="00574156">
        <w:t>ŠP</w:t>
      </w:r>
      <w:r w:rsidR="00E275C1" w:rsidRPr="0053555E">
        <w:t xml:space="preserve"> </w:t>
      </w:r>
      <w:r w:rsidR="00574156">
        <w:t xml:space="preserve">príslušnej fakulty </w:t>
      </w:r>
      <w:r w:rsidR="00E275C1" w:rsidRPr="0053555E">
        <w:t>a navrhli sa všeobecné opatrenia na</w:t>
      </w:r>
      <w:r w:rsidR="00574156">
        <w:t> </w:t>
      </w:r>
      <w:r w:rsidR="00E275C1" w:rsidRPr="0053555E">
        <w:t>zlepšenie zabezpečovania študijných programov. Výstupom z takýchto rokovaní sú správy z</w:t>
      </w:r>
      <w:r w:rsidR="00E91289">
        <w:t> </w:t>
      </w:r>
      <w:r w:rsidR="00E275C1" w:rsidRPr="0053555E">
        <w:t>periodického hodnotenia študijných programov vedením fakúlt a </w:t>
      </w:r>
      <w:r w:rsidR="00E91289">
        <w:t xml:space="preserve">sú prístupné na verejnom </w:t>
      </w:r>
      <w:hyperlink r:id="rId118" w:history="1">
        <w:r w:rsidR="00E91289">
          <w:rPr>
            <w:rStyle w:val="Hypertextovprepojenie"/>
          </w:rPr>
          <w:t>dokumentovom serveri AIS</w:t>
        </w:r>
      </w:hyperlink>
      <w:r w:rsidR="00E91289">
        <w:t>.</w:t>
      </w:r>
    </w:p>
    <w:p w14:paraId="1D15262F" w14:textId="72108284" w:rsidR="00E275C1" w:rsidRPr="0053555E" w:rsidRDefault="00E275C1" w:rsidP="005048F7">
      <w:pPr>
        <w:spacing w:after="120"/>
        <w:jc w:val="both"/>
      </w:pPr>
      <w:r w:rsidRPr="0053555E">
        <w:t xml:space="preserve">Periodickým hodnotením uskutočňovaných študijných programov sa venuje aj </w:t>
      </w:r>
      <w:r w:rsidR="00517083" w:rsidRPr="0053555E">
        <w:t>vedecká rada fakulty v rámci hodnotenia úrovne vzdelávacej činnosti na fakulte, ktoré sa vypracuje na</w:t>
      </w:r>
      <w:r w:rsidR="00781230">
        <w:t> </w:t>
      </w:r>
      <w:r w:rsidR="00517083" w:rsidRPr="0053555E">
        <w:t>základe výsledkov priebežného monitorovania študijných programov uskutočňovaných na</w:t>
      </w:r>
      <w:r w:rsidR="00781230">
        <w:t> </w:t>
      </w:r>
      <w:r w:rsidR="00517083" w:rsidRPr="0053555E">
        <w:t>fakulte</w:t>
      </w:r>
      <w:r w:rsidRPr="0053555E">
        <w:t xml:space="preserve">, </w:t>
      </w:r>
      <w:r w:rsidR="00517083" w:rsidRPr="0053555E">
        <w:t>Vedecká rada STU</w:t>
      </w:r>
      <w:r w:rsidRPr="0053555E">
        <w:t xml:space="preserve">, ktorá </w:t>
      </w:r>
      <w:r w:rsidR="00517083" w:rsidRPr="0053555E">
        <w:t xml:space="preserve">hodnotí všetky študijné programy na STU a ich uskutočňovanie v rámci </w:t>
      </w:r>
      <w:r w:rsidR="00781230">
        <w:t>tejto správy</w:t>
      </w:r>
      <w:r w:rsidRPr="0053555E">
        <w:t xml:space="preserve">, a </w:t>
      </w:r>
      <w:r w:rsidR="00517083" w:rsidRPr="0053555E">
        <w:t>Rada VSK</w:t>
      </w:r>
      <w:r w:rsidRPr="0053555E">
        <w:t>, ktorá</w:t>
      </w:r>
      <w:r w:rsidR="00517083" w:rsidRPr="0053555E">
        <w:t xml:space="preserve"> hodnotí študijné programy na</w:t>
      </w:r>
      <w:r w:rsidR="00781230">
        <w:t> </w:t>
      </w:r>
      <w:r w:rsidR="00517083" w:rsidRPr="0053555E">
        <w:t>STU, aby boli v súlade so štandardmi pre vnútorný systém kvality a štandardmi pre študijný program a</w:t>
      </w:r>
      <w:r w:rsidR="005048F7">
        <w:t> </w:t>
      </w:r>
      <w:r w:rsidR="00517083" w:rsidRPr="0053555E">
        <w:t xml:space="preserve">aby dosahované ciele a výstupy vzdelávania boli v súlade s potrebami študentov, zamestnávateľov a ďalších zainteresovaných strán, aby zodpovedali aktuálnym poznatkom </w:t>
      </w:r>
      <w:r w:rsidR="00517083" w:rsidRPr="0053555E">
        <w:lastRenderedPageBreak/>
        <w:t>a</w:t>
      </w:r>
      <w:r w:rsidR="005048F7">
        <w:t> </w:t>
      </w:r>
      <w:r w:rsidR="00517083" w:rsidRPr="0053555E">
        <w:t>aktuálnemu stavu ich aplikácií, aktuálnym technologickým možnostiam a aby úroveň absolventov najmä prostredníctvom dosahovaných výstupov vzdelávania bola v súlade s</w:t>
      </w:r>
      <w:r w:rsidR="005048F7">
        <w:t> </w:t>
      </w:r>
      <w:r w:rsidR="00517083" w:rsidRPr="0053555E">
        <w:t>požadovanou úrovňou kvalifikačného rámca.</w:t>
      </w:r>
    </w:p>
    <w:p w14:paraId="5271C220" w14:textId="7FC7F94A" w:rsidR="00E275C1" w:rsidRPr="0053555E" w:rsidRDefault="00E275C1" w:rsidP="00322C99">
      <w:pPr>
        <w:spacing w:after="120"/>
        <w:jc w:val="both"/>
      </w:pPr>
      <w:r w:rsidRPr="0053555E">
        <w:t xml:space="preserve">Na </w:t>
      </w:r>
      <w:r w:rsidRPr="0053555E">
        <w:rPr>
          <w:b/>
          <w:bCs/>
        </w:rPr>
        <w:t>SvF</w:t>
      </w:r>
      <w:r w:rsidRPr="0053555E">
        <w:t xml:space="preserve"> sa v akademickom roku 2021/</w:t>
      </w:r>
      <w:r w:rsidR="005048F7">
        <w:t>20</w:t>
      </w:r>
      <w:r w:rsidRPr="0053555E">
        <w:t xml:space="preserve">22 </w:t>
      </w:r>
      <w:r w:rsidR="00906402">
        <w:t>uskutočňoval</w:t>
      </w:r>
      <w:r w:rsidR="007C0B1E">
        <w:t>o</w:t>
      </w:r>
      <w:r w:rsidR="00906402">
        <w:t xml:space="preserve"> vzdelávanie v</w:t>
      </w:r>
      <w:r w:rsidRPr="0053555E">
        <w:t xml:space="preserve"> </w:t>
      </w:r>
      <w:r w:rsidR="00270101">
        <w:rPr>
          <w:b/>
        </w:rPr>
        <w:t>34</w:t>
      </w:r>
      <w:r w:rsidRPr="0053555E">
        <w:t xml:space="preserve"> študijných programo</w:t>
      </w:r>
      <w:r w:rsidR="007C0B1E">
        <w:t>ch</w:t>
      </w:r>
      <w:r w:rsidRPr="0053555E">
        <w:t xml:space="preserve"> </w:t>
      </w:r>
      <w:r w:rsidR="00906402">
        <w:t>v štátnom jazyku a </w:t>
      </w:r>
      <w:r w:rsidR="00906402" w:rsidRPr="00DA246F">
        <w:rPr>
          <w:b/>
        </w:rPr>
        <w:t>5</w:t>
      </w:r>
      <w:r w:rsidR="00906402">
        <w:t xml:space="preserve"> </w:t>
      </w:r>
      <w:r w:rsidR="007C0B1E" w:rsidRPr="0053555E">
        <w:t>študijných programo</w:t>
      </w:r>
      <w:r w:rsidR="007C0B1E">
        <w:t xml:space="preserve">ch </w:t>
      </w:r>
      <w:r w:rsidR="00906402">
        <w:t>v anglickom jazyku</w:t>
      </w:r>
      <w:r w:rsidR="00DA246F" w:rsidRPr="00DA246F">
        <w:t xml:space="preserve"> </w:t>
      </w:r>
      <w:r w:rsidR="00DA246F" w:rsidRPr="0053555E">
        <w:t>na všetkých troch stupňoch</w:t>
      </w:r>
      <w:r w:rsidR="00DA246F">
        <w:t xml:space="preserve"> štúdia</w:t>
      </w:r>
      <w:r w:rsidRPr="0053555E">
        <w:t xml:space="preserve">. V rámci štúdia dochádza k nárastu počtu uchádzačov a to najmä zahraničných. Z personálnych dôvodov </w:t>
      </w:r>
      <w:r w:rsidR="001D0A60">
        <w:t>fakulta</w:t>
      </w:r>
      <w:r w:rsidRPr="0053555E">
        <w:t xml:space="preserve"> </w:t>
      </w:r>
      <w:r w:rsidR="007F6FEC">
        <w:t xml:space="preserve">v decembri 2022 </w:t>
      </w:r>
      <w:r w:rsidR="001D0A60">
        <w:t xml:space="preserve">podala návrh na </w:t>
      </w:r>
      <w:r w:rsidRPr="0053555E">
        <w:t>zruš</w:t>
      </w:r>
      <w:r w:rsidR="001D0A60">
        <w:t>enie</w:t>
      </w:r>
      <w:r w:rsidRPr="0053555E">
        <w:t xml:space="preserve"> </w:t>
      </w:r>
      <w:r w:rsidR="00FE699F" w:rsidRPr="0053555E">
        <w:t>bakalársk</w:t>
      </w:r>
      <w:r w:rsidR="001D0A60">
        <w:t>eho</w:t>
      </w:r>
      <w:r w:rsidR="00FE699F" w:rsidRPr="0053555E">
        <w:t xml:space="preserve"> </w:t>
      </w:r>
      <w:r w:rsidRPr="0053555E">
        <w:t>študijn</w:t>
      </w:r>
      <w:r w:rsidR="001D0A60">
        <w:t xml:space="preserve">ého </w:t>
      </w:r>
      <w:r w:rsidRPr="0053555E">
        <w:t>program</w:t>
      </w:r>
      <w:r w:rsidR="001D0A60">
        <w:t>u</w:t>
      </w:r>
      <w:r w:rsidRPr="0053555E">
        <w:t xml:space="preserve"> </w:t>
      </w:r>
      <w:r w:rsidR="00FE699F" w:rsidRPr="0053555E">
        <w:t xml:space="preserve">inžinierske a environmentálne staviteľstvo, v ktorom sa už neuskutočňovala výučba. </w:t>
      </w:r>
      <w:r w:rsidRPr="0053555E">
        <w:t>Za najdôležitejšie</w:t>
      </w:r>
      <w:r w:rsidR="00FE699F" w:rsidRPr="0053555E">
        <w:t xml:space="preserve"> opatrenia SvF považuje dokončenie rokovaní so</w:t>
      </w:r>
      <w:r w:rsidR="00D96DDE">
        <w:t> </w:t>
      </w:r>
      <w:r w:rsidR="00FE699F" w:rsidRPr="0053555E">
        <w:t>Slovenskou komorou stavebných inžinierov, na základe ktorých by sa určili podmienky prístupu študentov k slovenským technickým normám, dokončenie stavebných úprav auly B101, čím sa do rozvrhu zaradí veľkokapacitná miestnosť s dobrým ozvučením, pridelenie finančných prostriedkov</w:t>
      </w:r>
      <w:r w:rsidR="00632C71">
        <w:t xml:space="preserve"> akademickej</w:t>
      </w:r>
      <w:r w:rsidR="00FE699F" w:rsidRPr="0053555E">
        <w:t xml:space="preserve"> knižnici a informačnému centru na zabezpečenie dopĺňania a obmeny knižničného fondu a zavedenie podmienky preukázania znalosti slovenského jazyka v prijímacom konaní na 1. stupeň štúdia, ak uchádzač neabsolvoval maturitu v slovenskom jazyku.</w:t>
      </w:r>
    </w:p>
    <w:p w14:paraId="5AC92375" w14:textId="01EB0B4C" w:rsidR="00FE03E5" w:rsidRPr="0053555E" w:rsidRDefault="00D81551" w:rsidP="00322C99">
      <w:pPr>
        <w:spacing w:after="120"/>
        <w:jc w:val="both"/>
      </w:pPr>
      <w:r>
        <w:t xml:space="preserve">Na </w:t>
      </w:r>
      <w:r>
        <w:rPr>
          <w:b/>
          <w:bCs/>
        </w:rPr>
        <w:t>SjF</w:t>
      </w:r>
      <w:r>
        <w:t xml:space="preserve"> sa v akademickom roku 2021/2022 uskutočňovalo vzdelávanie v </w:t>
      </w:r>
      <w:r>
        <w:rPr>
          <w:b/>
        </w:rPr>
        <w:t>32</w:t>
      </w:r>
      <w:r>
        <w:t xml:space="preserve"> študijných programoch v štátnom jazyku a </w:t>
      </w:r>
      <w:r>
        <w:rPr>
          <w:b/>
        </w:rPr>
        <w:t>3</w:t>
      </w:r>
      <w:r>
        <w:t xml:space="preserve"> študijných programoch v anglickom jazyku na všetkých troch stupňoch štúdia. </w:t>
      </w:r>
      <w:r w:rsidR="000622A4" w:rsidRPr="0053555E">
        <w:t>Uplatniteľnosť absolventov fakulty na trhu práce je veľmi vysoká, z pohľadu záujmu firiem patria medzi najžiadanejších vo svojom odbore. Na druhej strane v posledných rokoch na fakultu prichádza študovať malý počet absolventov slovenských stredných škôl, zároveň je potrebné zlepšiť vybavenosť laboratórií, učební a ďalších priestorov určených pre</w:t>
      </w:r>
      <w:r w:rsidR="009C4472">
        <w:t> </w:t>
      </w:r>
      <w:r w:rsidR="000622A4" w:rsidRPr="0053555E">
        <w:t>študentov. Medzi najdôležitejšie opatrenia patrí pomoc študentom zlepšiť úspešnosť v jednotlivých predmetoch, sústredenie väčšej pozornosti na typické predmety strojného inžiniera, podpora projektovej práce študentov ako aj zapájanie študentov do aktivít súvisiacich s riešením reálnych problémov pre prax.</w:t>
      </w:r>
    </w:p>
    <w:p w14:paraId="28AF89B5" w14:textId="0ED42DE0" w:rsidR="000622A4" w:rsidRPr="0053555E" w:rsidRDefault="00D81551" w:rsidP="00322C99">
      <w:pPr>
        <w:spacing w:after="120"/>
        <w:jc w:val="both"/>
      </w:pPr>
      <w:bookmarkStart w:id="293" w:name="_Hlk127883199"/>
      <w:r>
        <w:t xml:space="preserve">Na </w:t>
      </w:r>
      <w:r>
        <w:rPr>
          <w:b/>
          <w:bCs/>
        </w:rPr>
        <w:t>FEI</w:t>
      </w:r>
      <w:r>
        <w:t xml:space="preserve"> sa v akademickom roku 2021/2022 uskutočňovalo vzdelávanie v </w:t>
      </w:r>
      <w:r>
        <w:rPr>
          <w:b/>
        </w:rPr>
        <w:t>35</w:t>
      </w:r>
      <w:r>
        <w:t xml:space="preserve"> študijných programoch v štátnom jazyku na všetkých troch stupňoch štúdia. </w:t>
      </w:r>
      <w:r w:rsidR="00931582" w:rsidRPr="0053555E">
        <w:t xml:space="preserve">Aj na FEI je rastúci trend počtu uchádzačov o štúdium vo všetkých stupňoch štúdia. Problémom je ich hlavná orientácia </w:t>
      </w:r>
      <w:r w:rsidR="00FA6722">
        <w:t>najmä</w:t>
      </w:r>
      <w:r w:rsidR="00931582" w:rsidRPr="0053555E">
        <w:t xml:space="preserve"> na informatiku, kde fakulta musí obmedziť počty uchádzačov aj z personálnych dôvodov, ale aj neklesajúci </w:t>
      </w:r>
      <w:r w:rsidR="00D80C03">
        <w:t>počet</w:t>
      </w:r>
      <w:r w:rsidR="00931582" w:rsidRPr="0053555E">
        <w:t xml:space="preserve"> neúspešne skončených štúdií </w:t>
      </w:r>
      <w:r w:rsidR="00D80C03">
        <w:t>po</w:t>
      </w:r>
      <w:r w:rsidR="00931582" w:rsidRPr="0053555E">
        <w:t xml:space="preserve"> prv</w:t>
      </w:r>
      <w:r w:rsidR="00D80C03">
        <w:t>om</w:t>
      </w:r>
      <w:r w:rsidR="00931582" w:rsidRPr="0053555E">
        <w:t xml:space="preserve"> ro</w:t>
      </w:r>
      <w:r w:rsidR="00D80C03">
        <w:t>ku</w:t>
      </w:r>
      <w:r w:rsidR="00931582" w:rsidRPr="0053555E">
        <w:t xml:space="preserve"> bakalárskeho štúdia. Ako možné opatrenia sa javia zvýšenie miery zapojenia odborníkov z praxe do pedagogického procesu, lepšie zapojenie študentov do</w:t>
      </w:r>
      <w:r w:rsidR="00F6100D">
        <w:t> </w:t>
      </w:r>
      <w:r w:rsidR="00931582" w:rsidRPr="0053555E">
        <w:t>medzinárodných aktivít, ale aj možné zavedenie prijímacích skúšok na prvý stupeň štúdia a prehodnotenie predĺženia štandardnej dĺžky štúdia v dennej forme v treťom stupni štúdia na 4 roky.</w:t>
      </w:r>
      <w:r w:rsidR="00A72AAC">
        <w:t xml:space="preserve"> </w:t>
      </w:r>
    </w:p>
    <w:bookmarkEnd w:id="293"/>
    <w:p w14:paraId="62C47C3C" w14:textId="058953AD" w:rsidR="00567DCA" w:rsidRPr="0053555E" w:rsidRDefault="002C6135" w:rsidP="00773DDF">
      <w:pPr>
        <w:spacing w:after="120"/>
        <w:jc w:val="both"/>
      </w:pPr>
      <w:r>
        <w:t xml:space="preserve">Na </w:t>
      </w:r>
      <w:r>
        <w:rPr>
          <w:b/>
          <w:bCs/>
        </w:rPr>
        <w:t>FCHPT</w:t>
      </w:r>
      <w:r>
        <w:t xml:space="preserve"> sa v akademickom roku 2021/2022 uskutočňovalo vzdelávanie v </w:t>
      </w:r>
      <w:r w:rsidR="00DB3A9F">
        <w:rPr>
          <w:b/>
        </w:rPr>
        <w:t>48</w:t>
      </w:r>
      <w:r>
        <w:t xml:space="preserve"> študijných programoch v štátnom jazyku a </w:t>
      </w:r>
      <w:r w:rsidR="00DB3A9F">
        <w:rPr>
          <w:b/>
        </w:rPr>
        <w:t>6</w:t>
      </w:r>
      <w:r>
        <w:t xml:space="preserve"> študijných programoch v anglickom jazyku na všetkých troch stupňoch štúdia.</w:t>
      </w:r>
      <w:r w:rsidR="00567DCA" w:rsidRPr="0053555E">
        <w:t xml:space="preserve"> Aj keď celkový počet študentov na</w:t>
      </w:r>
      <w:r w:rsidR="00F6100D">
        <w:t> </w:t>
      </w:r>
      <w:r w:rsidR="00567DCA" w:rsidRPr="0053555E">
        <w:t xml:space="preserve">FCHPT v akademickom roku </w:t>
      </w:r>
      <w:r w:rsidR="00EA24BA" w:rsidRPr="0053555E">
        <w:t>202</w:t>
      </w:r>
      <w:r w:rsidR="00F6100D">
        <w:t>1</w:t>
      </w:r>
      <w:r w:rsidR="00EA24BA" w:rsidRPr="0053555E">
        <w:t>/202</w:t>
      </w:r>
      <w:r w:rsidR="00F6100D">
        <w:t>2</w:t>
      </w:r>
      <w:r w:rsidR="00567DCA" w:rsidRPr="0053555E">
        <w:t xml:space="preserve"> mierne klesol, v nasledujúcom prijímacom konaní bol zaznamenaný nárast prijatých uchádzačov. Žiaľ </w:t>
      </w:r>
      <w:r w:rsidR="00E63E26">
        <w:t>najskôr</w:t>
      </w:r>
      <w:r w:rsidR="00567DCA" w:rsidRPr="0053555E">
        <w:t xml:space="preserve"> COVID-19 a aj rekonštrukcia priestorov starej budovy FCHPT spôsobil</w:t>
      </w:r>
      <w:r w:rsidR="00E63E26">
        <w:t>i</w:t>
      </w:r>
      <w:r w:rsidR="00567DCA" w:rsidRPr="0053555E">
        <w:t xml:space="preserve"> a aj naďalej spôsobuj</w:t>
      </w:r>
      <w:r w:rsidR="00E63E26">
        <w:t>ú</w:t>
      </w:r>
      <w:r w:rsidR="00567DCA" w:rsidRPr="0053555E">
        <w:t xml:space="preserve"> výrazné obmedzenia v</w:t>
      </w:r>
      <w:r w:rsidR="00E63E26">
        <w:t> </w:t>
      </w:r>
      <w:r w:rsidR="00567DCA" w:rsidRPr="0053555E">
        <w:t>experimentálnej činnosti študentov. Napriek týmto obmedzeniam podľa vedenia fakulty mali študenti možnosť absolvovať kvalitné štúdium a</w:t>
      </w:r>
      <w:r w:rsidR="00773DDF">
        <w:t xml:space="preserve"> stále</w:t>
      </w:r>
      <w:r w:rsidR="00567DCA" w:rsidRPr="0053555E">
        <w:t xml:space="preserve"> pretrváva záujem priemyselnej praxe</w:t>
      </w:r>
      <w:r w:rsidR="00773DDF" w:rsidRPr="00773DDF">
        <w:t xml:space="preserve"> </w:t>
      </w:r>
      <w:r w:rsidR="00773DDF" w:rsidRPr="0053555E">
        <w:t>o</w:t>
      </w:r>
      <w:r w:rsidR="00773DDF">
        <w:t> </w:t>
      </w:r>
      <w:r w:rsidR="00773DDF" w:rsidRPr="0053555E">
        <w:t>absolventov</w:t>
      </w:r>
      <w:r w:rsidR="00773DDF">
        <w:t xml:space="preserve"> fakulty</w:t>
      </w:r>
      <w:r w:rsidR="00567DCA" w:rsidRPr="0053555E">
        <w:t>. K zlepšeniu by mohlo podľa vedenia fakulty viesť viacero opatrení, nap</w:t>
      </w:r>
      <w:r w:rsidR="005D4076" w:rsidRPr="0053555E">
        <w:t>r</w:t>
      </w:r>
      <w:r w:rsidR="00567DCA" w:rsidRPr="0053555E">
        <w:t xml:space="preserve">. </w:t>
      </w:r>
      <w:r w:rsidR="005D4076" w:rsidRPr="0053555E">
        <w:t>častejšie zapájanie sa odborníkov z</w:t>
      </w:r>
      <w:r w:rsidR="002116B4">
        <w:t> </w:t>
      </w:r>
      <w:r w:rsidR="005D4076" w:rsidRPr="0053555E">
        <w:t xml:space="preserve">praxe do prednášok z vybraných predmetov, zabezpečenie lepších študijných materiálov, podpora kreatívneho a kritického myslenia študentov, orientácia na multidisciplinaritu </w:t>
      </w:r>
      <w:r w:rsidR="005D4076" w:rsidRPr="0053555E">
        <w:lastRenderedPageBreak/>
        <w:t>pri</w:t>
      </w:r>
      <w:r w:rsidR="002116B4">
        <w:t> </w:t>
      </w:r>
      <w:r w:rsidR="005D4076" w:rsidRPr="0053555E">
        <w:t>vypracovávaní plánov dizertačných prác, prípadne organizácia spoločných doktorandských seminárov.</w:t>
      </w:r>
    </w:p>
    <w:p w14:paraId="3C37781D" w14:textId="74549275" w:rsidR="000622A4" w:rsidRPr="0053555E" w:rsidRDefault="002116B4" w:rsidP="00443E0F">
      <w:pPr>
        <w:spacing w:after="120"/>
        <w:jc w:val="both"/>
      </w:pPr>
      <w:r>
        <w:t xml:space="preserve">Na </w:t>
      </w:r>
      <w:r>
        <w:rPr>
          <w:b/>
          <w:bCs/>
        </w:rPr>
        <w:t>FAD</w:t>
      </w:r>
      <w:r>
        <w:t xml:space="preserve"> sa v akademickom roku 2021/2022 uskutočňovalo vzdelávanie v </w:t>
      </w:r>
      <w:r>
        <w:rPr>
          <w:b/>
        </w:rPr>
        <w:t>11</w:t>
      </w:r>
      <w:r>
        <w:t xml:space="preserve"> študijných programoch v štátnom jazyku a </w:t>
      </w:r>
      <w:r w:rsidR="00843B65">
        <w:rPr>
          <w:b/>
        </w:rPr>
        <w:t>3</w:t>
      </w:r>
      <w:r>
        <w:t xml:space="preserve"> študijných programoch v anglickom jazyku na všetkých troch stupňoch štúdia. </w:t>
      </w:r>
      <w:r w:rsidR="0034794F" w:rsidRPr="0053555E">
        <w:t xml:space="preserve">V priebehu posledných rokov </w:t>
      </w:r>
      <w:r w:rsidR="004C1F26">
        <w:t>má o</w:t>
      </w:r>
      <w:r w:rsidR="0034794F" w:rsidRPr="0053555E">
        <w:t xml:space="preserve"> 11 študijných programov </w:t>
      </w:r>
      <w:r w:rsidR="00E461DA">
        <w:t xml:space="preserve">ponúkaných </w:t>
      </w:r>
      <w:r w:rsidR="00843B65">
        <w:t>v štátnom jazyku</w:t>
      </w:r>
      <w:r w:rsidR="0034794F" w:rsidRPr="0053555E">
        <w:t xml:space="preserve"> </w:t>
      </w:r>
      <w:r w:rsidR="004C1F26">
        <w:t>záujem</w:t>
      </w:r>
      <w:r w:rsidR="00FA6722">
        <w:t xml:space="preserve"> výrazne väčší počet uchádzačov</w:t>
      </w:r>
      <w:r w:rsidR="0034794F" w:rsidRPr="0053555E">
        <w:t xml:space="preserve"> oproti plánovanému počtu prijatých študentov. Pozitívne je možné hodnotiť aj stúpajúci záujem o študijné programy v an</w:t>
      </w:r>
      <w:r w:rsidR="00FA6722">
        <w:t>glickom jazyku. Negatívnym dosah</w:t>
      </w:r>
      <w:r w:rsidR="0034794F" w:rsidRPr="0053555E">
        <w:t>om na uskutočňovanie študijných programov bolo vykonávanie online prijímacích talentových pohovor</w:t>
      </w:r>
      <w:r w:rsidR="00FA6722">
        <w:t>ov</w:t>
      </w:r>
      <w:r w:rsidR="0034794F" w:rsidRPr="0053555E">
        <w:t xml:space="preserve"> v období pandémie COVID, čo sa odrazilo na</w:t>
      </w:r>
      <w:r w:rsidR="003563E7">
        <w:t> </w:t>
      </w:r>
      <w:r w:rsidR="0034794F" w:rsidRPr="0053555E">
        <w:t>nedostatočných výtvarných a sociálnych zručnostiach a absencii kritického myslenia študentov.</w:t>
      </w:r>
      <w:r w:rsidR="00191E09" w:rsidRPr="0053555E">
        <w:t xml:space="preserve"> Medzi najdôležitejšie opatrenia patrí redukcia výberových predmetov tak, aby podporovali samotný profil absolventa, no na druhej strane saturovali požiadavky a počty študentov. Rovnako je nutné klásť dôraz na metodiku tvorby výučby ateliérových prác a</w:t>
      </w:r>
      <w:r w:rsidR="003563E7">
        <w:t> </w:t>
      </w:r>
      <w:r w:rsidR="00191E09" w:rsidRPr="0053555E">
        <w:t>na</w:t>
      </w:r>
      <w:r w:rsidR="003563E7">
        <w:t> </w:t>
      </w:r>
      <w:r w:rsidR="00191E09" w:rsidRPr="0053555E">
        <w:t>zadania s cieľom zlepšenia schopnost</w:t>
      </w:r>
      <w:r w:rsidR="003563E7">
        <w:t>í</w:t>
      </w:r>
      <w:r w:rsidR="00191E09" w:rsidRPr="0053555E">
        <w:t xml:space="preserve"> kritického myslenia študentov a vykonávanie intenzívnejších hospitačných záznamov garantmi</w:t>
      </w:r>
      <w:r w:rsidR="00CD24D1">
        <w:t xml:space="preserve"> študijných programov</w:t>
      </w:r>
      <w:r w:rsidR="00191E09" w:rsidRPr="0053555E">
        <w:t xml:space="preserve">, </w:t>
      </w:r>
      <w:r w:rsidR="00443E0F">
        <w:t>učiteľmi</w:t>
      </w:r>
      <w:r w:rsidR="00191E09" w:rsidRPr="0053555E">
        <w:t>, vedením fakulty, ale najmä odborníkmi z</w:t>
      </w:r>
      <w:r w:rsidR="00443E0F">
        <w:t> </w:t>
      </w:r>
      <w:r w:rsidR="00191E09" w:rsidRPr="0053555E">
        <w:t>externého profesijného prostredia.</w:t>
      </w:r>
    </w:p>
    <w:p w14:paraId="3F6A67E0" w14:textId="03332DDF" w:rsidR="000622A4" w:rsidRPr="0053555E" w:rsidRDefault="00F9010E" w:rsidP="00443E0F">
      <w:pPr>
        <w:spacing w:after="120"/>
        <w:jc w:val="both"/>
      </w:pPr>
      <w:r>
        <w:t xml:space="preserve">Na </w:t>
      </w:r>
      <w:r>
        <w:rPr>
          <w:b/>
          <w:bCs/>
        </w:rPr>
        <w:t>MTF</w:t>
      </w:r>
      <w:r>
        <w:t xml:space="preserve"> sa v akademickom roku 2021/2022 uskutočňovalo vzdelávanie v </w:t>
      </w:r>
      <w:r>
        <w:rPr>
          <w:b/>
        </w:rPr>
        <w:t>26</w:t>
      </w:r>
      <w:r>
        <w:t xml:space="preserve"> študijných programoch v štátnom jazyku a </w:t>
      </w:r>
      <w:r>
        <w:rPr>
          <w:b/>
        </w:rPr>
        <w:t>1</w:t>
      </w:r>
      <w:r>
        <w:t xml:space="preserve"> študijnom programe v anglickom jazyku na všetkých troch stupňoch štúdia. </w:t>
      </w:r>
      <w:r w:rsidR="00BE06F3" w:rsidRPr="0053555E">
        <w:t>Za</w:t>
      </w:r>
      <w:r w:rsidR="00AC56FB">
        <w:t> </w:t>
      </w:r>
      <w:r w:rsidR="00BE06F3" w:rsidRPr="0053555E">
        <w:t>najväčšie pozitívum vedenie fakulty považuje pomer absolventov končiacich v štandardnej dĺžke štúdia</w:t>
      </w:r>
      <w:r w:rsidR="00D82777" w:rsidRPr="0053555E">
        <w:t xml:space="preserve"> (viac ako 92</w:t>
      </w:r>
      <w:r w:rsidR="00FA6722">
        <w:t xml:space="preserve"> </w:t>
      </w:r>
      <w:r w:rsidR="00D82777" w:rsidRPr="0053555E">
        <w:t>%)</w:t>
      </w:r>
      <w:r w:rsidR="00BE06F3" w:rsidRPr="0053555E">
        <w:t xml:space="preserve">, kým medzi negatívne ukazovatele patrí klesajúci trend počtu uchádzačov o štúdium. </w:t>
      </w:r>
      <w:r w:rsidR="00D82777" w:rsidRPr="0053555E">
        <w:t xml:space="preserve">Medzi uvádzané návrhy na zlepšenie realizácie študijných programov patrí zvýšenie počtu hodín na zlepšenie jazykových </w:t>
      </w:r>
      <w:r w:rsidR="00A33045">
        <w:t>znalostí</w:t>
      </w:r>
      <w:r w:rsidR="00D82777" w:rsidRPr="0053555E">
        <w:t xml:space="preserve"> študentov počas štúdia</w:t>
      </w:r>
      <w:r w:rsidR="00A440FD">
        <w:t xml:space="preserve"> najmä anglického jazyka</w:t>
      </w:r>
      <w:r w:rsidR="00D82777" w:rsidRPr="0053555E">
        <w:t>, a tým zvýšenie podielu študentov vyslaných na</w:t>
      </w:r>
      <w:r w:rsidR="00A440FD">
        <w:t> </w:t>
      </w:r>
      <w:r w:rsidR="00A33045">
        <w:t xml:space="preserve">akademickú </w:t>
      </w:r>
      <w:r w:rsidR="00D82777" w:rsidRPr="0053555E">
        <w:t>mobilitu do</w:t>
      </w:r>
      <w:r w:rsidR="00A33045">
        <w:t> </w:t>
      </w:r>
      <w:r w:rsidR="00D82777" w:rsidRPr="0053555E">
        <w:t>zahraničia, ale aj zvýšenie výmeru hodín na prakticky orientovaných predmetoch, laboratórnych cvičeniach a projektovej činnosti. V neposlednom rade je potrebné dbať aj na intenzívnu ale najmä kvalitnú propagáciu štúdia na MTF.</w:t>
      </w:r>
    </w:p>
    <w:p w14:paraId="44BB031E" w14:textId="26312DFA" w:rsidR="00E55AB5" w:rsidRPr="0053555E" w:rsidRDefault="004B0C9B" w:rsidP="00D977B9">
      <w:pPr>
        <w:spacing w:after="120"/>
        <w:jc w:val="both"/>
      </w:pPr>
      <w:r>
        <w:t xml:space="preserve">Na </w:t>
      </w:r>
      <w:r>
        <w:rPr>
          <w:b/>
          <w:bCs/>
        </w:rPr>
        <w:t>FIIT</w:t>
      </w:r>
      <w:r>
        <w:t xml:space="preserve"> sa v akademickom roku 2021/2022 uskutočňovalo vzdelávanie v </w:t>
      </w:r>
      <w:r w:rsidR="0058422C">
        <w:rPr>
          <w:b/>
        </w:rPr>
        <w:t>16</w:t>
      </w:r>
      <w:r>
        <w:t xml:space="preserve"> študijných programoch v štátnom jazyku a </w:t>
      </w:r>
      <w:r w:rsidR="0058422C">
        <w:rPr>
          <w:b/>
        </w:rPr>
        <w:t>2</w:t>
      </w:r>
      <w:r>
        <w:t xml:space="preserve"> študijných programoch v anglickom jazyku na všetkých troch stupňoch štúdia. </w:t>
      </w:r>
      <w:r w:rsidR="00513E5F">
        <w:rPr>
          <w:bCs/>
        </w:rPr>
        <w:t>Š</w:t>
      </w:r>
      <w:r w:rsidR="006F19E2" w:rsidRPr="0053555E">
        <w:rPr>
          <w:rFonts w:ascii="CIDFont+F1" w:hAnsi="CIDFont+F1" w:cs="CIDFont+F1"/>
        </w:rPr>
        <w:t xml:space="preserve">tudijné programy prvého a druhého stupňa majú medzinárodnú akreditáciu od IET. </w:t>
      </w:r>
      <w:r w:rsidR="006F19E2" w:rsidRPr="0053555E">
        <w:t>Absolventi fakulty sú vysoko hodnotení na trhu práce. Ich zamestnanosť dosahuje takmer 100</w:t>
      </w:r>
      <w:r w:rsidR="00513E5F">
        <w:t xml:space="preserve"> </w:t>
      </w:r>
      <w:r w:rsidR="006F19E2" w:rsidRPr="0053555E">
        <w:t xml:space="preserve">%, pričom takmer všetci absolventi fakulty pracujú v odbore, ktorý vyštudovali. Ako problém sa javí </w:t>
      </w:r>
      <w:r w:rsidR="006F19E2" w:rsidRPr="0053555E">
        <w:rPr>
          <w:rFonts w:ascii="CIDFont+F1" w:hAnsi="CIDFont+F1" w:cs="CIDFont+F1"/>
        </w:rPr>
        <w:t>dlhodobá výrazná nevyváženosť záujmu študentov o štúdium jednotlivých oblastí informatiky.</w:t>
      </w:r>
      <w:r w:rsidR="00E55AB5" w:rsidRPr="0053555E">
        <w:rPr>
          <w:rFonts w:ascii="CIDFont+F1" w:hAnsi="CIDFont+F1" w:cs="CIDFont+F1"/>
        </w:rPr>
        <w:t xml:space="preserve"> Medzi potrebné opatrenia patrí identifikova</w:t>
      </w:r>
      <w:r w:rsidR="00F50009">
        <w:rPr>
          <w:rFonts w:ascii="CIDFont+F1" w:hAnsi="CIDFont+F1" w:cs="CIDFont+F1"/>
        </w:rPr>
        <w:t>nie</w:t>
      </w:r>
      <w:r w:rsidR="00E55AB5" w:rsidRPr="0053555E">
        <w:rPr>
          <w:rFonts w:ascii="CIDFont+F1" w:hAnsi="CIDFont+F1" w:cs="CIDFont+F1"/>
        </w:rPr>
        <w:t xml:space="preserve"> prekryvov v niektorých predmetoch, zabezpečenie výuč</w:t>
      </w:r>
      <w:r w:rsidR="00FA6722">
        <w:rPr>
          <w:rFonts w:ascii="CIDFont+F1" w:hAnsi="CIDFont+F1" w:cs="CIDFont+F1"/>
        </w:rPr>
        <w:t>by v súčasnosti nepokrytých tém</w:t>
      </w:r>
      <w:r w:rsidR="00E55AB5" w:rsidRPr="0053555E">
        <w:rPr>
          <w:rFonts w:ascii="CIDFont+F1" w:hAnsi="CIDFont+F1" w:cs="CIDFont+F1"/>
        </w:rPr>
        <w:t>, napr. v oblasti kybernetickej bezpečnosti</w:t>
      </w:r>
      <w:r w:rsidR="00E018D1">
        <w:rPr>
          <w:rFonts w:ascii="CIDFont+F1" w:hAnsi="CIDFont+F1" w:cs="CIDFont+F1"/>
        </w:rPr>
        <w:t>, ktoré sú žiadané zamestnávateľmi</w:t>
      </w:r>
      <w:r w:rsidR="00E55AB5" w:rsidRPr="0053555E">
        <w:rPr>
          <w:rFonts w:ascii="CIDFont+F1" w:hAnsi="CIDFont+F1" w:cs="CIDFont+F1"/>
        </w:rPr>
        <w:t xml:space="preserve">. K opatreniam patrí aj </w:t>
      </w:r>
      <w:r w:rsidR="00E55AB5" w:rsidRPr="0053555E">
        <w:t>rozhodnutie vedenia fakulty, že v nasledujúcom akademickom roku nebude fakulta otvárať konverzný študijný program pre prvý stupeň štúdia</w:t>
      </w:r>
      <w:r w:rsidR="00D977B9">
        <w:t>.</w:t>
      </w:r>
      <w:r w:rsidR="00D977B9" w:rsidRPr="00D977B9">
        <w:t xml:space="preserve"> </w:t>
      </w:r>
      <w:r w:rsidR="00D977B9">
        <w:t xml:space="preserve">Očakávaným </w:t>
      </w:r>
      <w:r w:rsidR="00FA6722">
        <w:t>efektom</w:t>
      </w:r>
      <w:r w:rsidR="00D977B9">
        <w:t xml:space="preserve"> tohto opatrenia </w:t>
      </w:r>
      <w:r w:rsidR="0060516C">
        <w:t xml:space="preserve">by malo byť </w:t>
      </w:r>
      <w:r w:rsidR="00D977B9">
        <w:t>zníženie počtu vyučovaných</w:t>
      </w:r>
      <w:r w:rsidR="0060516C">
        <w:t xml:space="preserve"> </w:t>
      </w:r>
      <w:r w:rsidR="00D977B9">
        <w:t>konverzných predmetov a uvoľnenie kapacít na</w:t>
      </w:r>
      <w:r w:rsidR="0060516C">
        <w:t> </w:t>
      </w:r>
      <w:r w:rsidR="00D977B9">
        <w:t>pokročilejšie predmety, čo by malo priniesť</w:t>
      </w:r>
      <w:r w:rsidR="0060516C">
        <w:t xml:space="preserve"> </w:t>
      </w:r>
      <w:r w:rsidR="00D977B9">
        <w:t>ďalšie zvyšovanie kvality výučby</w:t>
      </w:r>
      <w:r w:rsidR="00E55AB5" w:rsidRPr="0053555E">
        <w:t>.</w:t>
      </w:r>
    </w:p>
    <w:p w14:paraId="0FEF8A29" w14:textId="2E8B87C6" w:rsidR="000622A4" w:rsidRPr="0053555E" w:rsidRDefault="0060516C" w:rsidP="008D2B5F">
      <w:pPr>
        <w:jc w:val="both"/>
      </w:pPr>
      <w:r>
        <w:t xml:space="preserve">Na </w:t>
      </w:r>
      <w:r>
        <w:rPr>
          <w:b/>
          <w:bCs/>
        </w:rPr>
        <w:t>ÚM</w:t>
      </w:r>
      <w:r>
        <w:t xml:space="preserve"> sa v akademickom roku 2021/2022 uskutočňovalo vzdelávanie v </w:t>
      </w:r>
      <w:r>
        <w:rPr>
          <w:b/>
        </w:rPr>
        <w:t>8</w:t>
      </w:r>
      <w:r>
        <w:t xml:space="preserve"> študijných programoch v štátnom jazyku a </w:t>
      </w:r>
      <w:r w:rsidR="00E25070">
        <w:rPr>
          <w:b/>
        </w:rPr>
        <w:t>1</w:t>
      </w:r>
      <w:r>
        <w:t xml:space="preserve"> študijn</w:t>
      </w:r>
      <w:r w:rsidR="00E25070">
        <w:t>om</w:t>
      </w:r>
      <w:r>
        <w:t xml:space="preserve"> program</w:t>
      </w:r>
      <w:r w:rsidR="00E25070">
        <w:t>e</w:t>
      </w:r>
      <w:r>
        <w:t xml:space="preserve"> v anglickom jazyku na všetkých troch stupňoch štúdia. </w:t>
      </w:r>
      <w:r w:rsidR="00E55AB5" w:rsidRPr="0053555E">
        <w:t xml:space="preserve">Poskytovanie študijných programov bolo ovplyvnené pandémiou COVID, čo si vyžadovalo zvýšený rozsah individuálneho prístupu a poskytovania elektronickej formy študijnej literatúry. Medzi opatreniami na zlepšenie </w:t>
      </w:r>
      <w:r w:rsidR="001C6650">
        <w:t>sú</w:t>
      </w:r>
      <w:r w:rsidR="00B21040">
        <w:t xml:space="preserve"> najmä </w:t>
      </w:r>
      <w:r w:rsidR="00E55AB5" w:rsidRPr="0053555E">
        <w:t>kvantitatívny a</w:t>
      </w:r>
      <w:r w:rsidR="00B21040">
        <w:t> </w:t>
      </w:r>
      <w:r w:rsidR="00E55AB5" w:rsidRPr="0053555E">
        <w:t xml:space="preserve">kvalitatívny rast vedecko-pedagogického tímu zabezpečujúceho študijné programy, rozšírenie kontaktných foriem </w:t>
      </w:r>
      <w:r w:rsidR="001C6650">
        <w:t>výučby</w:t>
      </w:r>
      <w:r w:rsidR="00E55AB5" w:rsidRPr="0053555E">
        <w:t xml:space="preserve"> so zástupcami praxe</w:t>
      </w:r>
      <w:r w:rsidR="00A723E0">
        <w:t xml:space="preserve">, </w:t>
      </w:r>
      <w:r w:rsidR="009E72FC" w:rsidRPr="0053555E">
        <w:t>organizáci</w:t>
      </w:r>
      <w:r w:rsidR="001C6650">
        <w:t>a</w:t>
      </w:r>
      <w:r w:rsidR="009E72FC" w:rsidRPr="0053555E">
        <w:t xml:space="preserve"> vstupného týždňa pre študentov prvého roka</w:t>
      </w:r>
      <w:r w:rsidR="00C9232A">
        <w:t xml:space="preserve"> </w:t>
      </w:r>
      <w:r w:rsidR="00C9232A">
        <w:lastRenderedPageBreak/>
        <w:t xml:space="preserve">štúdia, </w:t>
      </w:r>
      <w:r w:rsidR="00A723E0">
        <w:t>r</w:t>
      </w:r>
      <w:r w:rsidR="00C9232A" w:rsidRPr="00C9232A">
        <w:t>ozšír</w:t>
      </w:r>
      <w:r w:rsidR="00A723E0">
        <w:t>enie</w:t>
      </w:r>
      <w:r w:rsidR="00C9232A" w:rsidRPr="00C9232A">
        <w:t xml:space="preserve"> ponuk</w:t>
      </w:r>
      <w:r w:rsidR="00A723E0">
        <w:t>y</w:t>
      </w:r>
      <w:r w:rsidR="00C9232A" w:rsidRPr="00C9232A">
        <w:t xml:space="preserve"> výučby projektovania s využitím rôznych softvérov a</w:t>
      </w:r>
      <w:r w:rsidR="00A723E0">
        <w:t xml:space="preserve"> s </w:t>
      </w:r>
      <w:r w:rsidR="00C9232A" w:rsidRPr="00C9232A">
        <w:t>posilnením individuálnej konzultačnej podpory pri výučbe informačných a komunikačných technológií</w:t>
      </w:r>
      <w:r w:rsidR="009E72FC" w:rsidRPr="0053555E">
        <w:t>.</w:t>
      </w:r>
    </w:p>
    <w:p w14:paraId="52F4A3A8" w14:textId="0599E90D" w:rsidR="000622A4" w:rsidRDefault="000622A4" w:rsidP="000622A4">
      <w:pPr>
        <w:jc w:val="both"/>
      </w:pPr>
    </w:p>
    <w:p w14:paraId="7C8E5430" w14:textId="77777777" w:rsidR="00E279E4" w:rsidRPr="0053555E" w:rsidRDefault="00E279E4" w:rsidP="000622A4">
      <w:pPr>
        <w:jc w:val="both"/>
      </w:pPr>
    </w:p>
    <w:p w14:paraId="71621D3D" w14:textId="67F4AE3D" w:rsidR="005200C3" w:rsidRPr="00FA6722" w:rsidRDefault="00FA6722" w:rsidP="00FA6722">
      <w:pPr>
        <w:rPr>
          <w:b/>
          <w:sz w:val="28"/>
          <w:szCs w:val="28"/>
        </w:rPr>
      </w:pPr>
      <w:bookmarkStart w:id="294" w:name="_Toc127593257"/>
      <w:r w:rsidRPr="00FA6722">
        <w:rPr>
          <w:b/>
          <w:sz w:val="28"/>
          <w:szCs w:val="28"/>
        </w:rPr>
        <w:t xml:space="preserve">12.4. </w:t>
      </w:r>
      <w:r w:rsidR="005200C3" w:rsidRPr="00FA6722">
        <w:rPr>
          <w:b/>
          <w:sz w:val="28"/>
          <w:szCs w:val="28"/>
        </w:rPr>
        <w:t>Monitorovanie kvality vzdelávania prostredníctvom hospitácií</w:t>
      </w:r>
      <w:bookmarkEnd w:id="294"/>
    </w:p>
    <w:p w14:paraId="30CD423D" w14:textId="77777777" w:rsidR="00FA6722" w:rsidRPr="00FA6722" w:rsidRDefault="00FA6722" w:rsidP="00FA6722"/>
    <w:p w14:paraId="5C088FEA" w14:textId="50407E41" w:rsidR="00306547" w:rsidRPr="0053555E" w:rsidRDefault="00B13446" w:rsidP="00324438">
      <w:pPr>
        <w:tabs>
          <w:tab w:val="left" w:pos="9356"/>
        </w:tabs>
        <w:spacing w:after="120"/>
        <w:jc w:val="both"/>
        <w:rPr>
          <w:rFonts w:asciiTheme="majorHAnsi" w:eastAsia="Times New Roman" w:hAnsiTheme="majorHAnsi" w:cstheme="majorHAnsi"/>
          <w:lang w:eastAsia="sk-SK"/>
        </w:rPr>
      </w:pPr>
      <w:r w:rsidRPr="0053555E">
        <w:rPr>
          <w:rFonts w:asciiTheme="majorHAnsi" w:eastAsia="Times New Roman" w:hAnsiTheme="majorHAnsi" w:cstheme="majorHAnsi"/>
          <w:lang w:eastAsia="sk-SK"/>
        </w:rPr>
        <w:t xml:space="preserve">Monitorovanie </w:t>
      </w:r>
      <w:r w:rsidR="00B83341" w:rsidRPr="0053555E">
        <w:rPr>
          <w:rFonts w:asciiTheme="majorHAnsi" w:eastAsia="Times New Roman" w:hAnsiTheme="majorHAnsi" w:cstheme="majorHAnsi"/>
          <w:lang w:eastAsia="sk-SK"/>
        </w:rPr>
        <w:t>kvality vzdelávacieho procesu prebiehal</w:t>
      </w:r>
      <w:r w:rsidR="00E274F2" w:rsidRPr="0053555E">
        <w:rPr>
          <w:rFonts w:asciiTheme="majorHAnsi" w:eastAsia="Times New Roman" w:hAnsiTheme="majorHAnsi" w:cstheme="majorHAnsi"/>
          <w:lang w:eastAsia="sk-SK"/>
        </w:rPr>
        <w:t xml:space="preserve">o </w:t>
      </w:r>
      <w:r w:rsidR="009B795F" w:rsidRPr="0053555E">
        <w:rPr>
          <w:rFonts w:asciiTheme="majorHAnsi" w:eastAsia="Times New Roman" w:hAnsiTheme="majorHAnsi" w:cstheme="majorHAnsi"/>
          <w:lang w:eastAsia="sk-SK"/>
        </w:rPr>
        <w:t>v</w:t>
      </w:r>
      <w:r w:rsidR="00E274F2" w:rsidRPr="0053555E">
        <w:rPr>
          <w:rFonts w:asciiTheme="majorHAnsi" w:eastAsia="Times New Roman" w:hAnsiTheme="majorHAnsi" w:cstheme="majorHAnsi"/>
          <w:lang w:eastAsia="sk-SK"/>
        </w:rPr>
        <w:t xml:space="preserve"> </w:t>
      </w:r>
      <w:r w:rsidR="009B795F" w:rsidRPr="0053555E">
        <w:rPr>
          <w:rFonts w:asciiTheme="majorHAnsi" w:eastAsia="Times New Roman" w:hAnsiTheme="majorHAnsi" w:cstheme="majorHAnsi"/>
          <w:lang w:eastAsia="sk-SK"/>
        </w:rPr>
        <w:t xml:space="preserve">akademickom roku </w:t>
      </w:r>
      <w:r w:rsidR="00EA24BA" w:rsidRPr="0053555E">
        <w:rPr>
          <w:rFonts w:asciiTheme="majorHAnsi" w:eastAsia="Times New Roman" w:hAnsiTheme="majorHAnsi" w:cstheme="majorHAnsi"/>
          <w:lang w:eastAsia="sk-SK"/>
        </w:rPr>
        <w:t>2021/2022</w:t>
      </w:r>
      <w:r w:rsidR="009B795F" w:rsidRPr="0053555E">
        <w:rPr>
          <w:rFonts w:asciiTheme="majorHAnsi" w:eastAsia="Times New Roman" w:hAnsiTheme="majorHAnsi" w:cstheme="majorHAnsi"/>
          <w:lang w:eastAsia="sk-SK"/>
        </w:rPr>
        <w:t xml:space="preserve"> aj</w:t>
      </w:r>
      <w:r w:rsidR="00F94538" w:rsidRPr="0053555E">
        <w:rPr>
          <w:rFonts w:asciiTheme="majorHAnsi" w:eastAsia="Times New Roman" w:hAnsiTheme="majorHAnsi" w:cstheme="majorHAnsi"/>
          <w:lang w:eastAsia="sk-SK"/>
        </w:rPr>
        <w:t> </w:t>
      </w:r>
      <w:r w:rsidR="00B83341" w:rsidRPr="0053555E">
        <w:rPr>
          <w:rFonts w:asciiTheme="majorHAnsi" w:eastAsia="Times New Roman" w:hAnsiTheme="majorHAnsi" w:cstheme="majorHAnsi"/>
          <w:lang w:eastAsia="sk-SK"/>
        </w:rPr>
        <w:t xml:space="preserve">prostredníctvom </w:t>
      </w:r>
      <w:r w:rsidR="00B83341" w:rsidRPr="0053555E">
        <w:rPr>
          <w:rFonts w:asciiTheme="majorHAnsi" w:eastAsia="Times New Roman" w:hAnsiTheme="majorHAnsi" w:cstheme="majorHAnsi"/>
          <w:b/>
          <w:lang w:eastAsia="sk-SK"/>
        </w:rPr>
        <w:t>hospitácií</w:t>
      </w:r>
      <w:r w:rsidR="00B83341" w:rsidRPr="0053555E">
        <w:rPr>
          <w:rFonts w:asciiTheme="majorHAnsi" w:eastAsia="Times New Roman" w:hAnsiTheme="majorHAnsi" w:cstheme="majorHAnsi"/>
          <w:lang w:eastAsia="sk-SK"/>
        </w:rPr>
        <w:t xml:space="preserve">, </w:t>
      </w:r>
      <w:r w:rsidR="00193EFE">
        <w:rPr>
          <w:rFonts w:asciiTheme="majorHAnsi" w:eastAsia="Times New Roman" w:hAnsiTheme="majorHAnsi" w:cstheme="majorHAnsi"/>
          <w:lang w:eastAsia="sk-SK"/>
        </w:rPr>
        <w:t>zameraných</w:t>
      </w:r>
      <w:r w:rsidR="00B83341" w:rsidRPr="0053555E">
        <w:rPr>
          <w:rFonts w:asciiTheme="majorHAnsi" w:eastAsia="Times New Roman" w:hAnsiTheme="majorHAnsi" w:cstheme="majorHAnsi"/>
          <w:lang w:eastAsia="sk-SK"/>
        </w:rPr>
        <w:t xml:space="preserve"> </w:t>
      </w:r>
      <w:r w:rsidR="00193EFE">
        <w:rPr>
          <w:rFonts w:asciiTheme="majorHAnsi" w:eastAsia="Times New Roman" w:hAnsiTheme="majorHAnsi" w:cstheme="majorHAnsi"/>
          <w:lang w:eastAsia="sk-SK"/>
        </w:rPr>
        <w:t>najmä</w:t>
      </w:r>
      <w:r w:rsidR="00B83341" w:rsidRPr="0053555E">
        <w:rPr>
          <w:rFonts w:asciiTheme="majorHAnsi" w:eastAsia="Times New Roman" w:hAnsiTheme="majorHAnsi" w:cstheme="majorHAnsi"/>
          <w:lang w:eastAsia="sk-SK"/>
        </w:rPr>
        <w:t xml:space="preserve"> na zhodnotenie </w:t>
      </w:r>
      <w:r w:rsidR="00E921D6" w:rsidRPr="0053555E">
        <w:rPr>
          <w:rFonts w:asciiTheme="majorHAnsi" w:eastAsia="Times New Roman" w:hAnsiTheme="majorHAnsi" w:cstheme="majorHAnsi"/>
          <w:lang w:eastAsia="sk-SK"/>
        </w:rPr>
        <w:t xml:space="preserve">kvality </w:t>
      </w:r>
      <w:r w:rsidR="00B83341" w:rsidRPr="0053555E">
        <w:rPr>
          <w:rFonts w:asciiTheme="majorHAnsi" w:eastAsia="Times New Roman" w:hAnsiTheme="majorHAnsi" w:cstheme="majorHAnsi"/>
          <w:lang w:eastAsia="sk-SK"/>
        </w:rPr>
        <w:t xml:space="preserve">pedagogickej </w:t>
      </w:r>
      <w:r w:rsidR="00E921D6" w:rsidRPr="0053555E">
        <w:rPr>
          <w:rFonts w:asciiTheme="majorHAnsi" w:eastAsia="Times New Roman" w:hAnsiTheme="majorHAnsi" w:cstheme="majorHAnsi"/>
          <w:lang w:eastAsia="sk-SK"/>
        </w:rPr>
        <w:t xml:space="preserve">činnosti </w:t>
      </w:r>
      <w:r w:rsidR="00B83341" w:rsidRPr="0053555E">
        <w:rPr>
          <w:rFonts w:asciiTheme="majorHAnsi" w:eastAsia="Times New Roman" w:hAnsiTheme="majorHAnsi" w:cstheme="majorHAnsi"/>
          <w:lang w:eastAsia="sk-SK"/>
        </w:rPr>
        <w:t xml:space="preserve">konkrétnych učiteľov. Hospitáciami </w:t>
      </w:r>
      <w:r w:rsidR="00193EFE">
        <w:rPr>
          <w:rFonts w:asciiTheme="majorHAnsi" w:eastAsia="Times New Roman" w:hAnsiTheme="majorHAnsi" w:cstheme="majorHAnsi"/>
          <w:lang w:eastAsia="sk-SK"/>
        </w:rPr>
        <w:t>sa hodnotili</w:t>
      </w:r>
      <w:r w:rsidR="00B83341" w:rsidRPr="0053555E">
        <w:rPr>
          <w:rFonts w:asciiTheme="majorHAnsi" w:eastAsia="Times New Roman" w:hAnsiTheme="majorHAnsi" w:cstheme="majorHAnsi"/>
          <w:lang w:eastAsia="sk-SK"/>
        </w:rPr>
        <w:t xml:space="preserve"> </w:t>
      </w:r>
      <w:r w:rsidR="009B795F" w:rsidRPr="0053555E">
        <w:rPr>
          <w:rFonts w:asciiTheme="majorHAnsi" w:eastAsia="Times New Roman" w:hAnsiTheme="majorHAnsi" w:cstheme="majorHAnsi"/>
          <w:lang w:eastAsia="sk-SK"/>
        </w:rPr>
        <w:t xml:space="preserve">najmä </w:t>
      </w:r>
      <w:r w:rsidR="00B83341" w:rsidRPr="0053555E">
        <w:rPr>
          <w:rFonts w:asciiTheme="majorHAnsi" w:eastAsia="Times New Roman" w:hAnsiTheme="majorHAnsi" w:cstheme="majorHAnsi"/>
          <w:lang w:eastAsia="sk-SK"/>
        </w:rPr>
        <w:t xml:space="preserve">nasledovné kritériá: obsahová stránka zabezpečenia vzdelávacej činnosti, </w:t>
      </w:r>
      <w:r w:rsidR="00451AF5" w:rsidRPr="0053555E">
        <w:rPr>
          <w:rFonts w:asciiTheme="majorHAnsi" w:hAnsiTheme="majorHAnsi" w:cstheme="majorHAnsi"/>
        </w:rPr>
        <w:t>d</w:t>
      </w:r>
      <w:r w:rsidR="003F6F38" w:rsidRPr="0053555E">
        <w:rPr>
          <w:rFonts w:asciiTheme="majorHAnsi" w:hAnsiTheme="majorHAnsi" w:cstheme="majorHAnsi"/>
        </w:rPr>
        <w:t>održiavanie času vyhradeného na </w:t>
      </w:r>
      <w:r w:rsidR="00451AF5" w:rsidRPr="0053555E">
        <w:rPr>
          <w:rFonts w:asciiTheme="majorHAnsi" w:hAnsiTheme="majorHAnsi" w:cstheme="majorHAnsi"/>
        </w:rPr>
        <w:t>výučbu,</w:t>
      </w:r>
      <w:r w:rsidR="00451AF5" w:rsidRPr="0053555E">
        <w:rPr>
          <w:rFonts w:asciiTheme="majorHAnsi" w:eastAsia="Times New Roman" w:hAnsiTheme="majorHAnsi" w:cstheme="majorHAnsi"/>
          <w:lang w:eastAsia="sk-SK"/>
        </w:rPr>
        <w:t xml:space="preserve"> </w:t>
      </w:r>
      <w:r w:rsidR="00B83341" w:rsidRPr="0053555E">
        <w:rPr>
          <w:rFonts w:asciiTheme="majorHAnsi" w:eastAsia="Times New Roman" w:hAnsiTheme="majorHAnsi" w:cstheme="majorHAnsi"/>
          <w:lang w:eastAsia="sk-SK"/>
        </w:rPr>
        <w:t xml:space="preserve">vystupovanie </w:t>
      </w:r>
      <w:r w:rsidR="00451AF5" w:rsidRPr="0053555E">
        <w:rPr>
          <w:rFonts w:asciiTheme="majorHAnsi" w:eastAsia="Times New Roman" w:hAnsiTheme="majorHAnsi" w:cstheme="majorHAnsi"/>
          <w:lang w:eastAsia="sk-SK"/>
        </w:rPr>
        <w:t xml:space="preserve">a </w:t>
      </w:r>
      <w:r w:rsidR="00451AF5" w:rsidRPr="0053555E">
        <w:rPr>
          <w:rFonts w:asciiTheme="majorHAnsi" w:hAnsiTheme="majorHAnsi" w:cstheme="majorHAnsi"/>
        </w:rPr>
        <w:t>pripravenosť</w:t>
      </w:r>
      <w:r w:rsidR="00451AF5" w:rsidRPr="0053555E">
        <w:rPr>
          <w:rFonts w:asciiTheme="majorHAnsi" w:eastAsia="Times New Roman" w:hAnsiTheme="majorHAnsi" w:cstheme="majorHAnsi"/>
          <w:lang w:eastAsia="sk-SK"/>
        </w:rPr>
        <w:t xml:space="preserve"> </w:t>
      </w:r>
      <w:r w:rsidR="00D4327D" w:rsidRPr="0053555E">
        <w:rPr>
          <w:rFonts w:asciiTheme="majorHAnsi" w:eastAsia="Times New Roman" w:hAnsiTheme="majorHAnsi" w:cstheme="majorHAnsi"/>
          <w:lang w:eastAsia="sk-SK"/>
        </w:rPr>
        <w:t>učiteľa</w:t>
      </w:r>
      <w:r w:rsidR="00B83341" w:rsidRPr="0053555E">
        <w:rPr>
          <w:rFonts w:asciiTheme="majorHAnsi" w:eastAsia="Times New Roman" w:hAnsiTheme="majorHAnsi" w:cstheme="majorHAnsi"/>
          <w:lang w:eastAsia="sk-SK"/>
        </w:rPr>
        <w:t xml:space="preserve">, </w:t>
      </w:r>
      <w:r w:rsidR="00451AF5" w:rsidRPr="0053555E">
        <w:rPr>
          <w:rFonts w:asciiTheme="majorHAnsi" w:hAnsiTheme="majorHAnsi" w:cstheme="majorHAnsi"/>
        </w:rPr>
        <w:t>zrozumiteľnos</w:t>
      </w:r>
      <w:r w:rsidR="00897185" w:rsidRPr="0053555E">
        <w:rPr>
          <w:rFonts w:asciiTheme="majorHAnsi" w:hAnsiTheme="majorHAnsi" w:cstheme="majorHAnsi"/>
        </w:rPr>
        <w:t>ť</w:t>
      </w:r>
      <w:r w:rsidR="00451AF5" w:rsidRPr="0053555E">
        <w:rPr>
          <w:rFonts w:asciiTheme="majorHAnsi" w:hAnsiTheme="majorHAnsi" w:cstheme="majorHAnsi"/>
        </w:rPr>
        <w:t xml:space="preserve"> výkladu, </w:t>
      </w:r>
      <w:r w:rsidR="00B83341" w:rsidRPr="0053555E">
        <w:rPr>
          <w:rFonts w:asciiTheme="majorHAnsi" w:eastAsia="Times New Roman" w:hAnsiTheme="majorHAnsi" w:cstheme="majorHAnsi"/>
          <w:lang w:eastAsia="sk-SK"/>
        </w:rPr>
        <w:t>práca s didaktickými a učebnými pomôckami, časové r</w:t>
      </w:r>
      <w:r w:rsidR="00306547" w:rsidRPr="0053555E">
        <w:rPr>
          <w:rFonts w:asciiTheme="majorHAnsi" w:eastAsia="Times New Roman" w:hAnsiTheme="majorHAnsi" w:cstheme="majorHAnsi"/>
          <w:lang w:eastAsia="sk-SK"/>
        </w:rPr>
        <w:t>ozdelenie vzdelávacej činnosti</w:t>
      </w:r>
      <w:r w:rsidR="00BA7A7B" w:rsidRPr="0053555E">
        <w:rPr>
          <w:rFonts w:asciiTheme="majorHAnsi" w:eastAsia="Times New Roman" w:hAnsiTheme="majorHAnsi" w:cstheme="majorHAnsi"/>
          <w:lang w:eastAsia="sk-SK"/>
        </w:rPr>
        <w:t xml:space="preserve"> a celkové</w:t>
      </w:r>
      <w:r w:rsidR="00972AE8" w:rsidRPr="0053555E">
        <w:rPr>
          <w:rFonts w:asciiTheme="majorHAnsi" w:eastAsia="Times New Roman" w:hAnsiTheme="majorHAnsi" w:cstheme="majorHAnsi"/>
          <w:lang w:eastAsia="sk-SK"/>
        </w:rPr>
        <w:t xml:space="preserve"> zvládnutie metódy vzdelávania</w:t>
      </w:r>
      <w:r w:rsidR="00871B16">
        <w:rPr>
          <w:rFonts w:asciiTheme="majorHAnsi" w:eastAsia="Times New Roman" w:hAnsiTheme="majorHAnsi" w:cstheme="majorHAnsi"/>
          <w:lang w:eastAsia="sk-SK"/>
        </w:rPr>
        <w:t xml:space="preserve">, počas pandémie COVID-19 s dôrazom na </w:t>
      </w:r>
      <w:r w:rsidR="00871B16" w:rsidRPr="0053555E">
        <w:rPr>
          <w:rFonts w:asciiTheme="majorHAnsi" w:eastAsia="Times New Roman" w:hAnsiTheme="majorHAnsi" w:cstheme="majorHAnsi"/>
          <w:lang w:eastAsia="sk-SK"/>
        </w:rPr>
        <w:t>dištančn</w:t>
      </w:r>
      <w:r w:rsidR="00871B16">
        <w:rPr>
          <w:rFonts w:asciiTheme="majorHAnsi" w:eastAsia="Times New Roman" w:hAnsiTheme="majorHAnsi" w:cstheme="majorHAnsi"/>
          <w:lang w:eastAsia="sk-SK"/>
        </w:rPr>
        <w:t>é vzdelávanie</w:t>
      </w:r>
      <w:r w:rsidR="00972AE8" w:rsidRPr="0053555E">
        <w:rPr>
          <w:rFonts w:asciiTheme="majorHAnsi" w:eastAsia="Times New Roman" w:hAnsiTheme="majorHAnsi" w:cstheme="majorHAnsi"/>
          <w:lang w:eastAsia="sk-SK"/>
        </w:rPr>
        <w:t>.</w:t>
      </w:r>
    </w:p>
    <w:p w14:paraId="4F85ED6E" w14:textId="72BD2D4D" w:rsidR="00C77194" w:rsidRPr="0053555E" w:rsidRDefault="00D5374D" w:rsidP="00324438">
      <w:pPr>
        <w:pStyle w:val="Zarkazkladnhotextu"/>
        <w:ind w:left="0"/>
        <w:jc w:val="both"/>
        <w:rPr>
          <w:rFonts w:asciiTheme="majorHAnsi" w:hAnsiTheme="majorHAnsi" w:cstheme="majorHAnsi"/>
        </w:rPr>
      </w:pPr>
      <w:r w:rsidRPr="0053555E">
        <w:rPr>
          <w:rFonts w:asciiTheme="majorHAnsi" w:hAnsiTheme="majorHAnsi" w:cstheme="majorHAnsi"/>
          <w:b/>
        </w:rPr>
        <w:t>Ho</w:t>
      </w:r>
      <w:r w:rsidR="00BD7356" w:rsidRPr="0053555E">
        <w:rPr>
          <w:rFonts w:asciiTheme="majorHAnsi" w:hAnsiTheme="majorHAnsi" w:cstheme="majorHAnsi"/>
          <w:b/>
        </w:rPr>
        <w:t>spitácie zabezpeč</w:t>
      </w:r>
      <w:r w:rsidR="00193EFE">
        <w:rPr>
          <w:rFonts w:asciiTheme="majorHAnsi" w:hAnsiTheme="majorHAnsi" w:cstheme="majorHAnsi"/>
          <w:b/>
        </w:rPr>
        <w:t>ovali</w:t>
      </w:r>
      <w:r w:rsidR="00BD7356" w:rsidRPr="0053555E">
        <w:rPr>
          <w:rFonts w:asciiTheme="majorHAnsi" w:hAnsiTheme="majorHAnsi" w:cstheme="majorHAnsi"/>
          <w:b/>
        </w:rPr>
        <w:t xml:space="preserve"> vedúci katedier,</w:t>
      </w:r>
      <w:r w:rsidR="00193EFE">
        <w:rPr>
          <w:rFonts w:asciiTheme="majorHAnsi" w:hAnsiTheme="majorHAnsi" w:cstheme="majorHAnsi"/>
          <w:b/>
        </w:rPr>
        <w:t xml:space="preserve"> resp. riaditelia</w:t>
      </w:r>
      <w:r w:rsidR="00227FF3" w:rsidRPr="0053555E">
        <w:rPr>
          <w:rFonts w:asciiTheme="majorHAnsi" w:hAnsiTheme="majorHAnsi" w:cstheme="majorHAnsi"/>
          <w:b/>
        </w:rPr>
        <w:t xml:space="preserve"> ústavov</w:t>
      </w:r>
      <w:r w:rsidR="007F45E2" w:rsidRPr="0053555E">
        <w:rPr>
          <w:rFonts w:asciiTheme="majorHAnsi" w:hAnsiTheme="majorHAnsi" w:cstheme="majorHAnsi"/>
        </w:rPr>
        <w:t>,</w:t>
      </w:r>
      <w:r w:rsidR="00BD7356" w:rsidRPr="0053555E">
        <w:rPr>
          <w:rFonts w:asciiTheme="majorHAnsi" w:hAnsiTheme="majorHAnsi" w:cstheme="majorHAnsi"/>
        </w:rPr>
        <w:t xml:space="preserve"> ktorí vykonáva</w:t>
      </w:r>
      <w:r w:rsidR="00227FF3" w:rsidRPr="0053555E">
        <w:rPr>
          <w:rFonts w:asciiTheme="majorHAnsi" w:hAnsiTheme="majorHAnsi" w:cstheme="majorHAnsi"/>
        </w:rPr>
        <w:t>li</w:t>
      </w:r>
      <w:r w:rsidR="00BD7356" w:rsidRPr="0053555E">
        <w:rPr>
          <w:rFonts w:asciiTheme="majorHAnsi" w:hAnsiTheme="majorHAnsi" w:cstheme="majorHAnsi"/>
        </w:rPr>
        <w:t xml:space="preserve"> hospitácie </w:t>
      </w:r>
      <w:r w:rsidR="004C0D2B" w:rsidRPr="0053555E">
        <w:rPr>
          <w:rFonts w:asciiTheme="majorHAnsi" w:hAnsiTheme="majorHAnsi" w:cstheme="majorHAnsi"/>
        </w:rPr>
        <w:t xml:space="preserve">na výučbe </w:t>
      </w:r>
      <w:r w:rsidR="00BD7356" w:rsidRPr="0053555E">
        <w:rPr>
          <w:rFonts w:asciiTheme="majorHAnsi" w:hAnsiTheme="majorHAnsi" w:cstheme="majorHAnsi"/>
        </w:rPr>
        <w:t xml:space="preserve">zabezpečovanej pracovníkmi </w:t>
      </w:r>
      <w:r w:rsidR="00CC2CB8" w:rsidRPr="0053555E">
        <w:rPr>
          <w:rFonts w:asciiTheme="majorHAnsi" w:hAnsiTheme="majorHAnsi" w:cstheme="majorHAnsi"/>
        </w:rPr>
        <w:t xml:space="preserve">príslušnej </w:t>
      </w:r>
      <w:r w:rsidR="00BD7356" w:rsidRPr="0053555E">
        <w:rPr>
          <w:rFonts w:asciiTheme="majorHAnsi" w:hAnsiTheme="majorHAnsi" w:cstheme="majorHAnsi"/>
        </w:rPr>
        <w:t xml:space="preserve">katedry </w:t>
      </w:r>
      <w:r w:rsidR="00CC2CB8" w:rsidRPr="0053555E">
        <w:rPr>
          <w:rFonts w:asciiTheme="majorHAnsi" w:hAnsiTheme="majorHAnsi" w:cstheme="majorHAnsi"/>
        </w:rPr>
        <w:t xml:space="preserve">alebo ústavu </w:t>
      </w:r>
      <w:r w:rsidR="007F7C97" w:rsidRPr="0053555E">
        <w:rPr>
          <w:rFonts w:asciiTheme="majorHAnsi" w:hAnsiTheme="majorHAnsi" w:cstheme="majorHAnsi"/>
        </w:rPr>
        <w:t>(predmety</w:t>
      </w:r>
      <w:r w:rsidR="007F45E2" w:rsidRPr="0053555E">
        <w:rPr>
          <w:rFonts w:asciiTheme="majorHAnsi" w:hAnsiTheme="majorHAnsi" w:cstheme="majorHAnsi"/>
        </w:rPr>
        <w:t xml:space="preserve"> garantované príslušným pracoviskom</w:t>
      </w:r>
      <w:r w:rsidR="007F7C97" w:rsidRPr="0053555E">
        <w:rPr>
          <w:rFonts w:asciiTheme="majorHAnsi" w:hAnsiTheme="majorHAnsi" w:cstheme="majorHAnsi"/>
        </w:rPr>
        <w:t xml:space="preserve">), </w:t>
      </w:r>
      <w:r w:rsidR="00BD7356" w:rsidRPr="0053555E">
        <w:rPr>
          <w:rFonts w:asciiTheme="majorHAnsi" w:hAnsiTheme="majorHAnsi" w:cstheme="majorHAnsi"/>
        </w:rPr>
        <w:t>a</w:t>
      </w:r>
      <w:r w:rsidR="00CC2CB8" w:rsidRPr="0053555E">
        <w:rPr>
          <w:rFonts w:asciiTheme="majorHAnsi" w:hAnsiTheme="majorHAnsi" w:cstheme="majorHAnsi"/>
        </w:rPr>
        <w:t xml:space="preserve"> tiež </w:t>
      </w:r>
      <w:r w:rsidR="00BD7356" w:rsidRPr="0053555E">
        <w:rPr>
          <w:rFonts w:asciiTheme="majorHAnsi" w:hAnsiTheme="majorHAnsi" w:cstheme="majorHAnsi"/>
          <w:b/>
        </w:rPr>
        <w:t>garant</w:t>
      </w:r>
      <w:r w:rsidR="00CC2CB8" w:rsidRPr="0053555E">
        <w:rPr>
          <w:rFonts w:asciiTheme="majorHAnsi" w:hAnsiTheme="majorHAnsi" w:cstheme="majorHAnsi"/>
          <w:b/>
        </w:rPr>
        <w:t>i</w:t>
      </w:r>
      <w:r w:rsidR="00BD7356" w:rsidRPr="0053555E">
        <w:rPr>
          <w:rFonts w:asciiTheme="majorHAnsi" w:hAnsiTheme="majorHAnsi" w:cstheme="majorHAnsi"/>
          <w:b/>
        </w:rPr>
        <w:t xml:space="preserve"> študijných programov</w:t>
      </w:r>
      <w:r w:rsidR="00BD7356" w:rsidRPr="0053555E">
        <w:rPr>
          <w:rFonts w:asciiTheme="majorHAnsi" w:hAnsiTheme="majorHAnsi" w:cstheme="majorHAnsi"/>
        </w:rPr>
        <w:t>, ktorí vykonáva</w:t>
      </w:r>
      <w:r w:rsidR="007466C7" w:rsidRPr="0053555E">
        <w:rPr>
          <w:rFonts w:asciiTheme="majorHAnsi" w:hAnsiTheme="majorHAnsi" w:cstheme="majorHAnsi"/>
        </w:rPr>
        <w:t>li</w:t>
      </w:r>
      <w:r w:rsidR="00BD7356" w:rsidRPr="0053555E">
        <w:rPr>
          <w:rFonts w:asciiTheme="majorHAnsi" w:hAnsiTheme="majorHAnsi" w:cstheme="majorHAnsi"/>
        </w:rPr>
        <w:t xml:space="preserve"> hospitácie garantovaných študijných programov. Okrem toho </w:t>
      </w:r>
      <w:r w:rsidR="00BD7356" w:rsidRPr="0053555E">
        <w:rPr>
          <w:rFonts w:asciiTheme="majorHAnsi" w:hAnsiTheme="majorHAnsi" w:cstheme="majorHAnsi"/>
          <w:b/>
        </w:rPr>
        <w:t>hospitačnú činnosť vykonáva</w:t>
      </w:r>
      <w:r w:rsidR="002E41E3" w:rsidRPr="0053555E">
        <w:rPr>
          <w:rFonts w:asciiTheme="majorHAnsi" w:hAnsiTheme="majorHAnsi" w:cstheme="majorHAnsi"/>
          <w:b/>
        </w:rPr>
        <w:t xml:space="preserve">li aj </w:t>
      </w:r>
      <w:r w:rsidR="00E22161" w:rsidRPr="0053555E">
        <w:rPr>
          <w:rFonts w:asciiTheme="majorHAnsi" w:hAnsiTheme="majorHAnsi" w:cstheme="majorHAnsi"/>
          <w:b/>
        </w:rPr>
        <w:t xml:space="preserve">vedenia </w:t>
      </w:r>
      <w:r w:rsidR="00021D4A" w:rsidRPr="0053555E">
        <w:rPr>
          <w:rFonts w:asciiTheme="majorHAnsi" w:hAnsiTheme="majorHAnsi" w:cstheme="majorHAnsi"/>
          <w:b/>
        </w:rPr>
        <w:t>fa</w:t>
      </w:r>
      <w:r w:rsidR="00E22161" w:rsidRPr="0053555E">
        <w:rPr>
          <w:rFonts w:asciiTheme="majorHAnsi" w:hAnsiTheme="majorHAnsi" w:cstheme="majorHAnsi"/>
          <w:b/>
        </w:rPr>
        <w:t xml:space="preserve">kúlt, spravidla </w:t>
      </w:r>
      <w:r w:rsidR="00BD7356" w:rsidRPr="0053555E">
        <w:rPr>
          <w:rFonts w:asciiTheme="majorHAnsi" w:hAnsiTheme="majorHAnsi" w:cstheme="majorHAnsi"/>
          <w:b/>
        </w:rPr>
        <w:t>dekan</w:t>
      </w:r>
      <w:r w:rsidR="002E41E3" w:rsidRPr="0053555E">
        <w:rPr>
          <w:rFonts w:asciiTheme="majorHAnsi" w:hAnsiTheme="majorHAnsi" w:cstheme="majorHAnsi"/>
          <w:b/>
        </w:rPr>
        <w:t>i</w:t>
      </w:r>
      <w:r w:rsidR="00BD7356" w:rsidRPr="0053555E">
        <w:rPr>
          <w:rFonts w:asciiTheme="majorHAnsi" w:hAnsiTheme="majorHAnsi" w:cstheme="majorHAnsi"/>
          <w:b/>
        </w:rPr>
        <w:t xml:space="preserve"> a</w:t>
      </w:r>
      <w:r w:rsidR="002E41E3" w:rsidRPr="0053555E">
        <w:rPr>
          <w:rFonts w:asciiTheme="majorHAnsi" w:hAnsiTheme="majorHAnsi" w:cstheme="majorHAnsi"/>
          <w:b/>
        </w:rPr>
        <w:t> </w:t>
      </w:r>
      <w:r w:rsidR="00BD7356" w:rsidRPr="0053555E">
        <w:rPr>
          <w:rFonts w:asciiTheme="majorHAnsi" w:hAnsiTheme="majorHAnsi" w:cstheme="majorHAnsi"/>
          <w:b/>
        </w:rPr>
        <w:t>prodekani</w:t>
      </w:r>
      <w:r w:rsidR="00F56E77" w:rsidRPr="0053555E">
        <w:rPr>
          <w:rFonts w:asciiTheme="majorHAnsi" w:hAnsiTheme="majorHAnsi" w:cstheme="majorHAnsi"/>
          <w:b/>
        </w:rPr>
        <w:t xml:space="preserve"> pre </w:t>
      </w:r>
      <w:r w:rsidR="002E41E3" w:rsidRPr="0053555E">
        <w:rPr>
          <w:rFonts w:asciiTheme="majorHAnsi" w:hAnsiTheme="majorHAnsi" w:cstheme="majorHAnsi"/>
          <w:b/>
        </w:rPr>
        <w:t>vzdelávanie</w:t>
      </w:r>
      <w:r w:rsidR="00F56E77" w:rsidRPr="0053555E">
        <w:rPr>
          <w:rFonts w:asciiTheme="majorHAnsi" w:hAnsiTheme="majorHAnsi" w:cstheme="majorHAnsi"/>
          <w:b/>
        </w:rPr>
        <w:t>,</w:t>
      </w:r>
      <w:r w:rsidR="001B6E01" w:rsidRPr="0053555E">
        <w:rPr>
          <w:rFonts w:asciiTheme="majorHAnsi" w:hAnsiTheme="majorHAnsi" w:cstheme="majorHAnsi"/>
          <w:b/>
        </w:rPr>
        <w:t xml:space="preserve"> v období dištančného vzdelávania </w:t>
      </w:r>
      <w:r w:rsidR="00B425AD" w:rsidRPr="0053555E">
        <w:rPr>
          <w:rFonts w:asciiTheme="majorHAnsi" w:hAnsiTheme="majorHAnsi" w:cstheme="majorHAnsi"/>
          <w:b/>
        </w:rPr>
        <w:t xml:space="preserve">takéto hospitácie </w:t>
      </w:r>
      <w:r w:rsidR="00193EFE">
        <w:rPr>
          <w:rFonts w:asciiTheme="majorHAnsi" w:hAnsiTheme="majorHAnsi" w:cstheme="majorHAnsi"/>
          <w:b/>
        </w:rPr>
        <w:t>vedenia</w:t>
      </w:r>
      <w:r w:rsidR="003C43F8" w:rsidRPr="0053555E">
        <w:rPr>
          <w:rFonts w:asciiTheme="majorHAnsi" w:hAnsiTheme="majorHAnsi" w:cstheme="majorHAnsi"/>
          <w:b/>
        </w:rPr>
        <w:t xml:space="preserve"> fakúlt </w:t>
      </w:r>
      <w:r w:rsidR="009F01D0" w:rsidRPr="0053555E">
        <w:rPr>
          <w:rFonts w:asciiTheme="majorHAnsi" w:hAnsiTheme="majorHAnsi" w:cstheme="majorHAnsi"/>
          <w:b/>
        </w:rPr>
        <w:t>pravidelne</w:t>
      </w:r>
      <w:r w:rsidR="00193EFE">
        <w:rPr>
          <w:rFonts w:asciiTheme="majorHAnsi" w:hAnsiTheme="majorHAnsi" w:cstheme="majorHAnsi"/>
          <w:b/>
        </w:rPr>
        <w:t xml:space="preserve"> využívali</w:t>
      </w:r>
      <w:r w:rsidR="00BD7356" w:rsidRPr="0053555E">
        <w:rPr>
          <w:rFonts w:asciiTheme="majorHAnsi" w:hAnsiTheme="majorHAnsi" w:cstheme="majorHAnsi"/>
        </w:rPr>
        <w:t>.</w:t>
      </w:r>
      <w:r w:rsidR="00B91237" w:rsidRPr="0053555E">
        <w:rPr>
          <w:rFonts w:asciiTheme="majorHAnsi" w:hAnsiTheme="majorHAnsi" w:cstheme="majorHAnsi"/>
        </w:rPr>
        <w:t xml:space="preserve"> </w:t>
      </w:r>
      <w:r w:rsidR="00E22161" w:rsidRPr="0053555E">
        <w:rPr>
          <w:rFonts w:asciiTheme="majorHAnsi" w:hAnsiTheme="majorHAnsi" w:cstheme="majorHAnsi"/>
        </w:rPr>
        <w:t>Hospitácie</w:t>
      </w:r>
      <w:r w:rsidR="00BA7BAB" w:rsidRPr="0053555E">
        <w:rPr>
          <w:rFonts w:asciiTheme="majorHAnsi" w:hAnsiTheme="majorHAnsi" w:cstheme="majorHAnsi"/>
        </w:rPr>
        <w:t xml:space="preserve"> boli často zamerané najmä na predmety, ktoré sa v</w:t>
      </w:r>
      <w:r w:rsidR="007466C7" w:rsidRPr="0053555E">
        <w:rPr>
          <w:rFonts w:asciiTheme="majorHAnsi" w:hAnsiTheme="majorHAnsi" w:cstheme="majorHAnsi"/>
        </w:rPr>
        <w:t xml:space="preserve"> anonymných </w:t>
      </w:r>
      <w:r w:rsidR="00BA7BAB" w:rsidRPr="0053555E">
        <w:rPr>
          <w:rFonts w:asciiTheme="majorHAnsi" w:hAnsiTheme="majorHAnsi" w:cstheme="majorHAnsi"/>
        </w:rPr>
        <w:t>anketách študentov ocitli medzi</w:t>
      </w:r>
      <w:r w:rsidR="00193EFE">
        <w:rPr>
          <w:rFonts w:asciiTheme="majorHAnsi" w:hAnsiTheme="majorHAnsi" w:cstheme="majorHAnsi"/>
        </w:rPr>
        <w:t xml:space="preserve"> najhoršie hodnotenými</w:t>
      </w:r>
      <w:r w:rsidR="00BA7BAB" w:rsidRPr="0053555E">
        <w:rPr>
          <w:rFonts w:asciiTheme="majorHAnsi" w:hAnsiTheme="majorHAnsi" w:cstheme="majorHAnsi"/>
        </w:rPr>
        <w:t xml:space="preserve">. </w:t>
      </w:r>
      <w:r w:rsidR="00BD7356" w:rsidRPr="0053555E">
        <w:rPr>
          <w:rFonts w:asciiTheme="majorHAnsi" w:hAnsiTheme="majorHAnsi" w:cstheme="majorHAnsi"/>
        </w:rPr>
        <w:t xml:space="preserve">Študenti </w:t>
      </w:r>
      <w:r w:rsidR="00193EFE">
        <w:rPr>
          <w:rFonts w:asciiTheme="majorHAnsi" w:hAnsiTheme="majorHAnsi" w:cstheme="majorHAnsi"/>
        </w:rPr>
        <w:t>moh</w:t>
      </w:r>
      <w:r w:rsidR="002E41E3" w:rsidRPr="0053555E">
        <w:rPr>
          <w:rFonts w:asciiTheme="majorHAnsi" w:hAnsiTheme="majorHAnsi" w:cstheme="majorHAnsi"/>
        </w:rPr>
        <w:t xml:space="preserve">li </w:t>
      </w:r>
      <w:r w:rsidR="00BD7356" w:rsidRPr="0053555E">
        <w:rPr>
          <w:rFonts w:asciiTheme="majorHAnsi" w:hAnsiTheme="majorHAnsi" w:cstheme="majorHAnsi"/>
        </w:rPr>
        <w:t>pri hospitáciách vyjadr</w:t>
      </w:r>
      <w:r w:rsidR="0091662A">
        <w:rPr>
          <w:rFonts w:asciiTheme="majorHAnsi" w:hAnsiTheme="majorHAnsi" w:cstheme="majorHAnsi"/>
        </w:rPr>
        <w:t>iť</w:t>
      </w:r>
      <w:r w:rsidR="00193EFE">
        <w:rPr>
          <w:rFonts w:asciiTheme="majorHAnsi" w:hAnsiTheme="majorHAnsi" w:cstheme="majorHAnsi"/>
        </w:rPr>
        <w:t xml:space="preserve"> </w:t>
      </w:r>
      <w:r w:rsidR="00BD7356" w:rsidRPr="0053555E">
        <w:rPr>
          <w:rFonts w:asciiTheme="majorHAnsi" w:hAnsiTheme="majorHAnsi" w:cstheme="majorHAnsi"/>
        </w:rPr>
        <w:t>návrh</w:t>
      </w:r>
      <w:r w:rsidR="0091662A">
        <w:rPr>
          <w:rFonts w:asciiTheme="majorHAnsi" w:hAnsiTheme="majorHAnsi" w:cstheme="majorHAnsi"/>
        </w:rPr>
        <w:t>y</w:t>
      </w:r>
      <w:r w:rsidR="00BD7356" w:rsidRPr="0053555E">
        <w:rPr>
          <w:rFonts w:asciiTheme="majorHAnsi" w:hAnsiTheme="majorHAnsi" w:cstheme="majorHAnsi"/>
        </w:rPr>
        <w:t xml:space="preserve"> a pripomien</w:t>
      </w:r>
      <w:r w:rsidR="0091662A">
        <w:rPr>
          <w:rFonts w:asciiTheme="majorHAnsi" w:hAnsiTheme="majorHAnsi" w:cstheme="majorHAnsi"/>
        </w:rPr>
        <w:t>ky</w:t>
      </w:r>
      <w:r w:rsidR="00BD7356" w:rsidRPr="0053555E">
        <w:rPr>
          <w:rFonts w:asciiTheme="majorHAnsi" w:hAnsiTheme="majorHAnsi" w:cstheme="majorHAnsi"/>
        </w:rPr>
        <w:t xml:space="preserve">. </w:t>
      </w:r>
      <w:r w:rsidR="001233E6" w:rsidRPr="0053555E">
        <w:rPr>
          <w:rFonts w:asciiTheme="majorHAnsi" w:hAnsiTheme="majorHAnsi" w:cstheme="majorHAnsi"/>
        </w:rPr>
        <w:t>Z</w:t>
      </w:r>
      <w:r w:rsidR="00BD7356" w:rsidRPr="0053555E">
        <w:rPr>
          <w:rFonts w:asciiTheme="majorHAnsi" w:hAnsiTheme="majorHAnsi" w:cstheme="majorHAnsi"/>
        </w:rPr>
        <w:t xml:space="preserve">áznamy z hospitácií </w:t>
      </w:r>
      <w:r w:rsidR="001233E6" w:rsidRPr="0053555E">
        <w:rPr>
          <w:rFonts w:asciiTheme="majorHAnsi" w:hAnsiTheme="majorHAnsi" w:cstheme="majorHAnsi"/>
        </w:rPr>
        <w:t>boli prerokované na</w:t>
      </w:r>
      <w:r w:rsidR="007466C7" w:rsidRPr="0053555E">
        <w:rPr>
          <w:rFonts w:asciiTheme="majorHAnsi" w:hAnsiTheme="majorHAnsi" w:cstheme="majorHAnsi"/>
        </w:rPr>
        <w:t> </w:t>
      </w:r>
      <w:r w:rsidR="00EF76A9" w:rsidRPr="0053555E">
        <w:rPr>
          <w:rFonts w:asciiTheme="majorHAnsi" w:hAnsiTheme="majorHAnsi" w:cstheme="majorHAnsi"/>
        </w:rPr>
        <w:t xml:space="preserve">zasadnutiach príslušných </w:t>
      </w:r>
      <w:r w:rsidR="00631C8F" w:rsidRPr="0053555E">
        <w:rPr>
          <w:rFonts w:asciiTheme="majorHAnsi" w:hAnsiTheme="majorHAnsi" w:cstheme="majorHAnsi"/>
        </w:rPr>
        <w:t>garantujúcich</w:t>
      </w:r>
      <w:r w:rsidR="00EF76A9" w:rsidRPr="0053555E">
        <w:rPr>
          <w:rFonts w:asciiTheme="majorHAnsi" w:hAnsiTheme="majorHAnsi" w:cstheme="majorHAnsi"/>
        </w:rPr>
        <w:t xml:space="preserve"> </w:t>
      </w:r>
      <w:r w:rsidR="00631C8F" w:rsidRPr="0053555E">
        <w:rPr>
          <w:rFonts w:asciiTheme="majorHAnsi" w:hAnsiTheme="majorHAnsi" w:cstheme="majorHAnsi"/>
        </w:rPr>
        <w:t>pracovísk</w:t>
      </w:r>
      <w:r w:rsidR="00AA22F9" w:rsidRPr="0053555E">
        <w:rPr>
          <w:rFonts w:asciiTheme="majorHAnsi" w:hAnsiTheme="majorHAnsi" w:cstheme="majorHAnsi"/>
        </w:rPr>
        <w:t xml:space="preserve"> a</w:t>
      </w:r>
      <w:r w:rsidR="0034687B" w:rsidRPr="0053555E">
        <w:rPr>
          <w:rFonts w:asciiTheme="majorHAnsi" w:hAnsiTheme="majorHAnsi" w:cstheme="majorHAnsi"/>
        </w:rPr>
        <w:t> </w:t>
      </w:r>
      <w:r w:rsidR="00631C8F" w:rsidRPr="0053555E">
        <w:rPr>
          <w:rFonts w:asciiTheme="majorHAnsi" w:hAnsiTheme="majorHAnsi" w:cstheme="majorHAnsi"/>
        </w:rPr>
        <w:t>na</w:t>
      </w:r>
      <w:r w:rsidR="0034687B" w:rsidRPr="0053555E">
        <w:rPr>
          <w:rFonts w:asciiTheme="majorHAnsi" w:hAnsiTheme="majorHAnsi" w:cstheme="majorHAnsi"/>
        </w:rPr>
        <w:t> </w:t>
      </w:r>
      <w:r w:rsidR="001233E6" w:rsidRPr="0053555E">
        <w:rPr>
          <w:rFonts w:asciiTheme="majorHAnsi" w:hAnsiTheme="majorHAnsi" w:cstheme="majorHAnsi"/>
        </w:rPr>
        <w:t xml:space="preserve">vedeniach </w:t>
      </w:r>
      <w:r w:rsidR="00021D4A" w:rsidRPr="0053555E">
        <w:rPr>
          <w:rFonts w:asciiTheme="majorHAnsi" w:hAnsiTheme="majorHAnsi" w:cstheme="majorHAnsi"/>
        </w:rPr>
        <w:t>fa</w:t>
      </w:r>
      <w:r w:rsidR="001233E6" w:rsidRPr="0053555E">
        <w:rPr>
          <w:rFonts w:asciiTheme="majorHAnsi" w:hAnsiTheme="majorHAnsi" w:cstheme="majorHAnsi"/>
        </w:rPr>
        <w:t>kúlt</w:t>
      </w:r>
      <w:r w:rsidR="00BD7356" w:rsidRPr="0053555E">
        <w:rPr>
          <w:rFonts w:asciiTheme="majorHAnsi" w:hAnsiTheme="majorHAnsi" w:cstheme="majorHAnsi"/>
        </w:rPr>
        <w:t xml:space="preserve">. </w:t>
      </w:r>
      <w:r w:rsidR="00193EFE">
        <w:rPr>
          <w:rFonts w:asciiTheme="majorHAnsi" w:hAnsiTheme="majorHAnsi" w:cstheme="majorHAnsi"/>
        </w:rPr>
        <w:t>Hospitácie boli</w:t>
      </w:r>
      <w:r w:rsidR="00BD7356" w:rsidRPr="0053555E">
        <w:rPr>
          <w:rFonts w:asciiTheme="majorHAnsi" w:hAnsiTheme="majorHAnsi" w:cstheme="majorHAnsi"/>
        </w:rPr>
        <w:t xml:space="preserve"> </w:t>
      </w:r>
      <w:r w:rsidR="00193EFE">
        <w:rPr>
          <w:rFonts w:asciiTheme="majorHAnsi" w:hAnsiTheme="majorHAnsi" w:cstheme="majorHAnsi"/>
        </w:rPr>
        <w:t>o</w:t>
      </w:r>
      <w:r w:rsidR="00193EFE" w:rsidRPr="0053555E">
        <w:rPr>
          <w:rFonts w:asciiTheme="majorHAnsi" w:hAnsiTheme="majorHAnsi" w:cstheme="majorHAnsi"/>
        </w:rPr>
        <w:t>rg</w:t>
      </w:r>
      <w:r w:rsidR="00193EFE">
        <w:rPr>
          <w:rFonts w:asciiTheme="majorHAnsi" w:hAnsiTheme="majorHAnsi" w:cstheme="majorHAnsi"/>
        </w:rPr>
        <w:t>anizované</w:t>
      </w:r>
      <w:r w:rsidR="00193EFE" w:rsidRPr="0053555E">
        <w:rPr>
          <w:rFonts w:asciiTheme="majorHAnsi" w:hAnsiTheme="majorHAnsi" w:cstheme="majorHAnsi"/>
        </w:rPr>
        <w:t xml:space="preserve"> </w:t>
      </w:r>
      <w:r w:rsidR="006F0348" w:rsidRPr="0053555E">
        <w:rPr>
          <w:rFonts w:asciiTheme="majorHAnsi" w:hAnsiTheme="majorHAnsi" w:cstheme="majorHAnsi"/>
        </w:rPr>
        <w:t>prostredníctvom AIS,</w:t>
      </w:r>
      <w:r w:rsidR="00BD7356" w:rsidRPr="0053555E">
        <w:rPr>
          <w:rFonts w:asciiTheme="majorHAnsi" w:hAnsiTheme="majorHAnsi" w:cstheme="majorHAnsi"/>
        </w:rPr>
        <w:t xml:space="preserve"> </w:t>
      </w:r>
      <w:r w:rsidR="006F0348" w:rsidRPr="0053555E">
        <w:rPr>
          <w:rFonts w:asciiTheme="majorHAnsi" w:hAnsiTheme="majorHAnsi" w:cstheme="majorHAnsi"/>
        </w:rPr>
        <w:t xml:space="preserve">ktorý umožňuje </w:t>
      </w:r>
      <w:r w:rsidR="00BD7356" w:rsidRPr="0053555E">
        <w:rPr>
          <w:rFonts w:asciiTheme="majorHAnsi" w:hAnsiTheme="majorHAnsi" w:cstheme="majorHAnsi"/>
        </w:rPr>
        <w:t>stanov</w:t>
      </w:r>
      <w:r w:rsidR="00831BFC" w:rsidRPr="0053555E">
        <w:rPr>
          <w:rFonts w:asciiTheme="majorHAnsi" w:hAnsiTheme="majorHAnsi" w:cstheme="majorHAnsi"/>
        </w:rPr>
        <w:t>iť</w:t>
      </w:r>
      <w:r w:rsidR="00BD7356" w:rsidRPr="0053555E">
        <w:rPr>
          <w:rFonts w:asciiTheme="majorHAnsi" w:hAnsiTheme="majorHAnsi" w:cstheme="majorHAnsi"/>
        </w:rPr>
        <w:t xml:space="preserve"> plán hospitácií a</w:t>
      </w:r>
      <w:r w:rsidR="00145EE1" w:rsidRPr="0053555E">
        <w:rPr>
          <w:rFonts w:asciiTheme="majorHAnsi" w:hAnsiTheme="majorHAnsi" w:cstheme="majorHAnsi"/>
        </w:rPr>
        <w:t> evidenciu záznamov</w:t>
      </w:r>
      <w:r w:rsidR="00BD7356" w:rsidRPr="0053555E">
        <w:rPr>
          <w:rFonts w:asciiTheme="majorHAnsi" w:hAnsiTheme="majorHAnsi" w:cstheme="majorHAnsi"/>
        </w:rPr>
        <w:t xml:space="preserve"> z hospitácií. </w:t>
      </w:r>
      <w:r w:rsidR="0091662A">
        <w:rPr>
          <w:rFonts w:asciiTheme="majorHAnsi" w:hAnsiTheme="majorHAnsi" w:cstheme="majorHAnsi"/>
        </w:rPr>
        <w:t>Počas</w:t>
      </w:r>
      <w:r w:rsidR="0034687B" w:rsidRPr="0053555E">
        <w:rPr>
          <w:rFonts w:asciiTheme="majorHAnsi" w:hAnsiTheme="majorHAnsi" w:cstheme="majorHAnsi"/>
        </w:rPr>
        <w:t xml:space="preserve"> </w:t>
      </w:r>
      <w:r w:rsidR="0046042A" w:rsidRPr="0053555E">
        <w:rPr>
          <w:rFonts w:asciiTheme="majorHAnsi" w:hAnsiTheme="majorHAnsi" w:cstheme="majorHAnsi"/>
        </w:rPr>
        <w:t>distančnej</w:t>
      </w:r>
      <w:r w:rsidR="0034687B" w:rsidRPr="0053555E">
        <w:rPr>
          <w:rFonts w:asciiTheme="majorHAnsi" w:hAnsiTheme="majorHAnsi" w:cstheme="majorHAnsi"/>
        </w:rPr>
        <w:t xml:space="preserve"> výučby sa v akademickom roku </w:t>
      </w:r>
      <w:r w:rsidR="00EA24BA" w:rsidRPr="0053555E">
        <w:rPr>
          <w:rFonts w:asciiTheme="majorHAnsi" w:hAnsiTheme="majorHAnsi" w:cstheme="majorHAnsi"/>
        </w:rPr>
        <w:t>2021/2022</w:t>
      </w:r>
      <w:r w:rsidR="0034687B" w:rsidRPr="0053555E">
        <w:rPr>
          <w:rFonts w:asciiTheme="majorHAnsi" w:hAnsiTheme="majorHAnsi" w:cstheme="majorHAnsi"/>
        </w:rPr>
        <w:t xml:space="preserve"> hospitácie </w:t>
      </w:r>
      <w:r w:rsidR="0046042A" w:rsidRPr="0053555E">
        <w:rPr>
          <w:rFonts w:asciiTheme="majorHAnsi" w:hAnsiTheme="majorHAnsi" w:cstheme="majorHAnsi"/>
        </w:rPr>
        <w:t>vykonávali online.</w:t>
      </w:r>
      <w:r w:rsidR="005B4D63" w:rsidRPr="0053555E">
        <w:rPr>
          <w:rFonts w:asciiTheme="majorHAnsi" w:hAnsiTheme="majorHAnsi" w:cstheme="majorHAnsi"/>
        </w:rPr>
        <w:t xml:space="preserve"> </w:t>
      </w:r>
    </w:p>
    <w:p w14:paraId="5FF2849A" w14:textId="2FA2C6E2" w:rsidR="007118E3" w:rsidRPr="0053555E" w:rsidRDefault="003C0121" w:rsidP="007118E3">
      <w:pPr>
        <w:pStyle w:val="Zarkazkladnhotextu"/>
        <w:ind w:left="0"/>
        <w:jc w:val="both"/>
        <w:rPr>
          <w:rFonts w:asciiTheme="majorHAnsi" w:hAnsiTheme="majorHAnsi" w:cstheme="majorHAnsi"/>
        </w:rPr>
      </w:pPr>
      <w:r w:rsidRPr="0053555E">
        <w:rPr>
          <w:rFonts w:asciiTheme="majorHAnsi" w:hAnsiTheme="majorHAnsi" w:cstheme="majorHAnsi"/>
        </w:rPr>
        <w:t xml:space="preserve">Na </w:t>
      </w:r>
      <w:r w:rsidRPr="0053555E">
        <w:rPr>
          <w:rFonts w:asciiTheme="majorHAnsi" w:hAnsiTheme="majorHAnsi" w:cstheme="majorHAnsi"/>
          <w:b/>
        </w:rPr>
        <w:t>SvF</w:t>
      </w:r>
      <w:r w:rsidRPr="0053555E">
        <w:rPr>
          <w:rFonts w:asciiTheme="majorHAnsi" w:hAnsiTheme="majorHAnsi" w:cstheme="majorHAnsi"/>
        </w:rPr>
        <w:t xml:space="preserve"> bolo v posudzovanom akademickom roku vykonaných </w:t>
      </w:r>
      <w:r w:rsidR="00FC37B3">
        <w:rPr>
          <w:rFonts w:asciiTheme="majorHAnsi" w:hAnsiTheme="majorHAnsi" w:cstheme="majorHAnsi"/>
          <w:b/>
        </w:rPr>
        <w:t>228</w:t>
      </w:r>
      <w:r w:rsidRPr="0053555E">
        <w:rPr>
          <w:rFonts w:asciiTheme="majorHAnsi" w:hAnsiTheme="majorHAnsi" w:cstheme="majorHAnsi"/>
          <w:b/>
        </w:rPr>
        <w:t xml:space="preserve"> hospitácií</w:t>
      </w:r>
      <w:r w:rsidRPr="0053555E">
        <w:rPr>
          <w:rFonts w:asciiTheme="majorHAnsi" w:hAnsiTheme="majorHAnsi" w:cstheme="majorHAnsi"/>
        </w:rPr>
        <w:t>, z toho 1</w:t>
      </w:r>
      <w:r w:rsidR="009B38EE">
        <w:rPr>
          <w:rFonts w:asciiTheme="majorHAnsi" w:hAnsiTheme="majorHAnsi" w:cstheme="majorHAnsi"/>
        </w:rPr>
        <w:t>3</w:t>
      </w:r>
      <w:r w:rsidRPr="0053555E">
        <w:rPr>
          <w:rFonts w:asciiTheme="majorHAnsi" w:hAnsiTheme="majorHAnsi" w:cstheme="majorHAnsi"/>
        </w:rPr>
        <w:t>3 v </w:t>
      </w:r>
      <w:r w:rsidR="00F67ACA" w:rsidRPr="0053555E">
        <w:rPr>
          <w:rFonts w:asciiTheme="majorHAnsi" w:hAnsiTheme="majorHAnsi" w:cstheme="majorHAnsi"/>
        </w:rPr>
        <w:t>zimnom</w:t>
      </w:r>
      <w:r w:rsidRPr="0053555E">
        <w:rPr>
          <w:rFonts w:asciiTheme="majorHAnsi" w:hAnsiTheme="majorHAnsi" w:cstheme="majorHAnsi"/>
        </w:rPr>
        <w:t xml:space="preserve"> semestri a 9</w:t>
      </w:r>
      <w:r w:rsidR="009B38EE">
        <w:rPr>
          <w:rFonts w:asciiTheme="majorHAnsi" w:hAnsiTheme="majorHAnsi" w:cstheme="majorHAnsi"/>
        </w:rPr>
        <w:t>5</w:t>
      </w:r>
      <w:r w:rsidRPr="0053555E">
        <w:rPr>
          <w:rFonts w:asciiTheme="majorHAnsi" w:hAnsiTheme="majorHAnsi" w:cstheme="majorHAnsi"/>
        </w:rPr>
        <w:t xml:space="preserve"> v letnom semestri</w:t>
      </w:r>
      <w:r w:rsidR="00F67ACA" w:rsidRPr="0053555E">
        <w:rPr>
          <w:rFonts w:asciiTheme="majorHAnsi" w:hAnsiTheme="majorHAnsi" w:cstheme="majorHAnsi"/>
        </w:rPr>
        <w:t xml:space="preserve">, čo </w:t>
      </w:r>
      <w:r w:rsidR="00BD11BD" w:rsidRPr="0053555E">
        <w:rPr>
          <w:rFonts w:asciiTheme="majorHAnsi" w:hAnsiTheme="majorHAnsi" w:cstheme="majorHAnsi"/>
        </w:rPr>
        <w:t xml:space="preserve">je </w:t>
      </w:r>
      <w:r w:rsidR="00F67ACA" w:rsidRPr="0053555E">
        <w:rPr>
          <w:rFonts w:asciiTheme="majorHAnsi" w:hAnsiTheme="majorHAnsi" w:cstheme="majorHAnsi"/>
        </w:rPr>
        <w:t xml:space="preserve">nárast o </w:t>
      </w:r>
      <w:r w:rsidR="009B38EE">
        <w:rPr>
          <w:rFonts w:asciiTheme="majorHAnsi" w:hAnsiTheme="majorHAnsi" w:cstheme="majorHAnsi"/>
        </w:rPr>
        <w:t>31</w:t>
      </w:r>
      <w:r w:rsidR="00F67ACA" w:rsidRPr="0053555E">
        <w:rPr>
          <w:rFonts w:asciiTheme="majorHAnsi" w:hAnsiTheme="majorHAnsi" w:cstheme="majorHAnsi"/>
        </w:rPr>
        <w:t xml:space="preserve"> </w:t>
      </w:r>
      <w:r w:rsidR="003D1C1E" w:rsidRPr="0053555E">
        <w:rPr>
          <w:rFonts w:asciiTheme="majorHAnsi" w:hAnsiTheme="majorHAnsi" w:cstheme="majorHAnsi"/>
        </w:rPr>
        <w:t>hospitácií v porovnaní s akademickým rokom 20</w:t>
      </w:r>
      <w:r w:rsidR="009B38EE">
        <w:rPr>
          <w:rFonts w:asciiTheme="majorHAnsi" w:hAnsiTheme="majorHAnsi" w:cstheme="majorHAnsi"/>
        </w:rPr>
        <w:t>20</w:t>
      </w:r>
      <w:r w:rsidR="003D1C1E" w:rsidRPr="0053555E">
        <w:rPr>
          <w:rFonts w:asciiTheme="majorHAnsi" w:hAnsiTheme="majorHAnsi" w:cstheme="majorHAnsi"/>
        </w:rPr>
        <w:t>/202</w:t>
      </w:r>
      <w:r w:rsidR="009B38EE">
        <w:rPr>
          <w:rFonts w:asciiTheme="majorHAnsi" w:hAnsiTheme="majorHAnsi" w:cstheme="majorHAnsi"/>
        </w:rPr>
        <w:t>1</w:t>
      </w:r>
      <w:r w:rsidRPr="0053555E">
        <w:rPr>
          <w:rFonts w:asciiTheme="majorHAnsi" w:hAnsiTheme="majorHAnsi" w:cstheme="majorHAnsi"/>
        </w:rPr>
        <w:t>.</w:t>
      </w:r>
      <w:r w:rsidR="005B4D63" w:rsidRPr="0053555E">
        <w:rPr>
          <w:rFonts w:asciiTheme="majorHAnsi" w:hAnsiTheme="majorHAnsi" w:cstheme="majorHAnsi"/>
        </w:rPr>
        <w:t xml:space="preserve"> </w:t>
      </w:r>
      <w:r w:rsidR="009B38EE" w:rsidRPr="009B38EE">
        <w:rPr>
          <w:rFonts w:asciiTheme="majorHAnsi" w:hAnsiTheme="majorHAnsi" w:cstheme="majorHAnsi"/>
        </w:rPr>
        <w:t>Medzi zistené silné stránky výučby niektorých predmetov možno zaradiť zrozumiteľné vysvetlenie látky, spravodlivé hodnotenie. Neboli zistené slabé stránky, ktoré by sa opakovali. Vedenie fakulty považuje za potrebné naďalej pokračovať v</w:t>
      </w:r>
      <w:r w:rsidR="002B76AE">
        <w:rPr>
          <w:rFonts w:asciiTheme="majorHAnsi" w:hAnsiTheme="majorHAnsi" w:cstheme="majorHAnsi"/>
        </w:rPr>
        <w:t> </w:t>
      </w:r>
      <w:r w:rsidR="009B38EE" w:rsidRPr="009B38EE">
        <w:rPr>
          <w:rFonts w:asciiTheme="majorHAnsi" w:hAnsiTheme="majorHAnsi" w:cstheme="majorHAnsi"/>
        </w:rPr>
        <w:t>organizovaní hospitácií a zhromažďovaní vyhotovených záznamov, analyzovať zistenia a</w:t>
      </w:r>
      <w:r w:rsidR="002B76AE">
        <w:rPr>
          <w:rFonts w:asciiTheme="majorHAnsi" w:hAnsiTheme="majorHAnsi" w:cstheme="majorHAnsi"/>
        </w:rPr>
        <w:t> </w:t>
      </w:r>
      <w:r w:rsidR="009B38EE" w:rsidRPr="009B38EE">
        <w:rPr>
          <w:rFonts w:asciiTheme="majorHAnsi" w:hAnsiTheme="majorHAnsi" w:cstheme="majorHAnsi"/>
        </w:rPr>
        <w:t>sledovať efektívnosť prijatých opatrení</w:t>
      </w:r>
    </w:p>
    <w:p w14:paraId="75D5FA82" w14:textId="77483A97" w:rsidR="003D1C1E" w:rsidRPr="0053555E" w:rsidRDefault="006B74BF" w:rsidP="009759AB">
      <w:pPr>
        <w:pStyle w:val="Zarkazkladnhotextu"/>
        <w:ind w:left="0"/>
        <w:jc w:val="both"/>
        <w:rPr>
          <w:rFonts w:asciiTheme="majorHAnsi" w:hAnsiTheme="majorHAnsi" w:cstheme="majorHAnsi"/>
        </w:rPr>
      </w:pPr>
      <w:r w:rsidRPr="0053555E">
        <w:rPr>
          <w:rFonts w:asciiTheme="majorHAnsi" w:hAnsiTheme="majorHAnsi" w:cstheme="majorHAnsi"/>
        </w:rPr>
        <w:t xml:space="preserve">Pri realizácii pedagogického procesu formou dištančnej výuky na </w:t>
      </w:r>
      <w:r w:rsidRPr="0053555E">
        <w:rPr>
          <w:rFonts w:asciiTheme="majorHAnsi" w:hAnsiTheme="majorHAnsi" w:cstheme="majorHAnsi"/>
          <w:b/>
        </w:rPr>
        <w:t>SjF</w:t>
      </w:r>
      <w:r w:rsidRPr="0053555E">
        <w:rPr>
          <w:rFonts w:asciiTheme="majorHAnsi" w:hAnsiTheme="majorHAnsi" w:cstheme="majorHAnsi"/>
        </w:rPr>
        <w:t xml:space="preserve"> bolo zabezpečovanie pedagogického procesu v súlade s harmonogramom výuky a dodržiavanie schváleného rozvrhu vyučujúcimi sledované </w:t>
      </w:r>
      <w:r w:rsidRPr="0053555E">
        <w:rPr>
          <w:rFonts w:asciiTheme="majorHAnsi" w:hAnsiTheme="majorHAnsi" w:cstheme="majorHAnsi"/>
          <w:b/>
        </w:rPr>
        <w:t>náhodnými hospitáciami</w:t>
      </w:r>
      <w:r w:rsidRPr="0053555E">
        <w:rPr>
          <w:rFonts w:asciiTheme="majorHAnsi" w:hAnsiTheme="majorHAnsi" w:cstheme="majorHAnsi"/>
        </w:rPr>
        <w:t>.</w:t>
      </w:r>
    </w:p>
    <w:p w14:paraId="2CF84304" w14:textId="016C68C0" w:rsidR="003977CF" w:rsidRPr="0053555E" w:rsidRDefault="003977CF" w:rsidP="00324438">
      <w:pPr>
        <w:pStyle w:val="Zarkazkladnhotextu"/>
        <w:ind w:left="0"/>
        <w:jc w:val="both"/>
        <w:rPr>
          <w:rFonts w:asciiTheme="majorHAnsi" w:hAnsiTheme="majorHAnsi" w:cstheme="majorHAnsi"/>
        </w:rPr>
      </w:pPr>
      <w:r w:rsidRPr="0053555E">
        <w:rPr>
          <w:rFonts w:asciiTheme="majorHAnsi" w:hAnsiTheme="majorHAnsi" w:cstheme="majorHAnsi"/>
        </w:rPr>
        <w:t xml:space="preserve">Na </w:t>
      </w:r>
      <w:r w:rsidRPr="0053555E">
        <w:rPr>
          <w:rFonts w:asciiTheme="majorHAnsi" w:hAnsiTheme="majorHAnsi" w:cstheme="majorHAnsi"/>
          <w:b/>
        </w:rPr>
        <w:t>FEI</w:t>
      </w:r>
      <w:r w:rsidRPr="0053555E">
        <w:rPr>
          <w:rFonts w:asciiTheme="majorHAnsi" w:hAnsiTheme="majorHAnsi" w:cstheme="majorHAnsi"/>
          <w:i/>
        </w:rPr>
        <w:t xml:space="preserve"> </w:t>
      </w:r>
      <w:r w:rsidRPr="0053555E">
        <w:rPr>
          <w:rFonts w:asciiTheme="majorHAnsi" w:hAnsiTheme="majorHAnsi" w:cstheme="majorHAnsi"/>
        </w:rPr>
        <w:t xml:space="preserve">bolo v akademickom roku </w:t>
      </w:r>
      <w:r w:rsidR="00EA24BA" w:rsidRPr="0053555E">
        <w:rPr>
          <w:rFonts w:asciiTheme="majorHAnsi" w:hAnsiTheme="majorHAnsi" w:cstheme="majorHAnsi"/>
        </w:rPr>
        <w:t>2021/2022</w:t>
      </w:r>
      <w:r w:rsidRPr="0053555E">
        <w:rPr>
          <w:rFonts w:asciiTheme="majorHAnsi" w:hAnsiTheme="majorHAnsi" w:cstheme="majorHAnsi"/>
        </w:rPr>
        <w:t xml:space="preserve"> vykonaných </w:t>
      </w:r>
      <w:r w:rsidR="007E0AE4">
        <w:rPr>
          <w:rFonts w:asciiTheme="majorHAnsi" w:hAnsiTheme="majorHAnsi" w:cstheme="majorHAnsi"/>
          <w:b/>
        </w:rPr>
        <w:t>80</w:t>
      </w:r>
      <w:r w:rsidRPr="0053555E">
        <w:rPr>
          <w:rFonts w:asciiTheme="majorHAnsi" w:hAnsiTheme="majorHAnsi" w:cstheme="majorHAnsi"/>
          <w:b/>
        </w:rPr>
        <w:t xml:space="preserve"> hospitácií</w:t>
      </w:r>
      <w:r w:rsidRPr="0053555E">
        <w:rPr>
          <w:rFonts w:asciiTheme="majorHAnsi" w:hAnsiTheme="majorHAnsi" w:cstheme="majorHAnsi"/>
        </w:rPr>
        <w:t>.</w:t>
      </w:r>
      <w:r w:rsidR="007E0AE4">
        <w:rPr>
          <w:rFonts w:asciiTheme="majorHAnsi" w:hAnsiTheme="majorHAnsi" w:cstheme="majorHAnsi"/>
        </w:rPr>
        <w:t xml:space="preserve"> </w:t>
      </w:r>
      <w:r w:rsidR="007E0AE4" w:rsidRPr="007E0AE4">
        <w:rPr>
          <w:rFonts w:asciiTheme="majorHAnsi" w:hAnsiTheme="majorHAnsi" w:cstheme="majorHAnsi"/>
        </w:rPr>
        <w:t xml:space="preserve">Hospitovaní </w:t>
      </w:r>
      <w:r w:rsidR="007E0AE4">
        <w:rPr>
          <w:rFonts w:asciiTheme="majorHAnsi" w:hAnsiTheme="majorHAnsi" w:cstheme="majorHAnsi"/>
        </w:rPr>
        <w:t>učitelia</w:t>
      </w:r>
      <w:r w:rsidR="007E0AE4" w:rsidRPr="007E0AE4">
        <w:rPr>
          <w:rFonts w:asciiTheme="majorHAnsi" w:hAnsiTheme="majorHAnsi" w:cstheme="majorHAnsi"/>
        </w:rPr>
        <w:t xml:space="preserve"> boli hodnotení pozitívne</w:t>
      </w:r>
      <w:r w:rsidR="007E0AE4">
        <w:rPr>
          <w:rFonts w:asciiTheme="majorHAnsi" w:hAnsiTheme="majorHAnsi" w:cstheme="majorHAnsi"/>
        </w:rPr>
        <w:t>.</w:t>
      </w:r>
    </w:p>
    <w:p w14:paraId="4B2FB89C" w14:textId="0C6A1CCA" w:rsidR="00C77194" w:rsidRPr="0053555E" w:rsidRDefault="00D46DBB" w:rsidP="00324438">
      <w:pPr>
        <w:pStyle w:val="Zarkazkladnhotextu"/>
        <w:ind w:left="0"/>
        <w:jc w:val="both"/>
        <w:rPr>
          <w:rFonts w:asciiTheme="majorHAnsi" w:hAnsiTheme="majorHAnsi" w:cstheme="majorHAnsi"/>
        </w:rPr>
      </w:pPr>
      <w:r w:rsidRPr="0053555E">
        <w:rPr>
          <w:rFonts w:asciiTheme="majorHAnsi" w:hAnsiTheme="majorHAnsi" w:cstheme="majorHAnsi"/>
          <w:b/>
        </w:rPr>
        <w:t>FCHPT</w:t>
      </w:r>
      <w:r w:rsidRPr="0053555E">
        <w:rPr>
          <w:rFonts w:asciiTheme="majorHAnsi" w:hAnsiTheme="majorHAnsi" w:cstheme="majorHAnsi"/>
        </w:rPr>
        <w:t xml:space="preserve"> v akademickom roku</w:t>
      </w:r>
      <w:r w:rsidR="00BA690A" w:rsidRPr="0053555E">
        <w:rPr>
          <w:rFonts w:asciiTheme="majorHAnsi" w:hAnsiTheme="majorHAnsi" w:cstheme="majorHAnsi"/>
        </w:rPr>
        <w:t xml:space="preserve"> </w:t>
      </w:r>
      <w:r w:rsidR="00EA24BA" w:rsidRPr="0053555E">
        <w:rPr>
          <w:rFonts w:asciiTheme="majorHAnsi" w:hAnsiTheme="majorHAnsi" w:cstheme="majorHAnsi"/>
        </w:rPr>
        <w:t>2021/2022</w:t>
      </w:r>
      <w:r w:rsidR="00BA690A" w:rsidRPr="0053555E">
        <w:rPr>
          <w:rFonts w:asciiTheme="majorHAnsi" w:hAnsiTheme="majorHAnsi" w:cstheme="majorHAnsi"/>
        </w:rPr>
        <w:t xml:space="preserve"> </w:t>
      </w:r>
      <w:r w:rsidRPr="0053555E">
        <w:rPr>
          <w:rFonts w:asciiTheme="majorHAnsi" w:hAnsiTheme="majorHAnsi" w:cstheme="majorHAnsi"/>
        </w:rPr>
        <w:t xml:space="preserve">vykonala </w:t>
      </w:r>
      <w:r w:rsidR="00EB5C2E">
        <w:rPr>
          <w:rFonts w:asciiTheme="majorHAnsi" w:hAnsiTheme="majorHAnsi" w:cstheme="majorHAnsi"/>
          <w:b/>
        </w:rPr>
        <w:t>107</w:t>
      </w:r>
      <w:r w:rsidR="00BA690A" w:rsidRPr="0053555E">
        <w:rPr>
          <w:rFonts w:asciiTheme="majorHAnsi" w:hAnsiTheme="majorHAnsi" w:cstheme="majorHAnsi"/>
          <w:b/>
        </w:rPr>
        <w:t xml:space="preserve"> </w:t>
      </w:r>
      <w:r w:rsidRPr="0053555E">
        <w:rPr>
          <w:rFonts w:asciiTheme="majorHAnsi" w:hAnsiTheme="majorHAnsi" w:cstheme="majorHAnsi"/>
          <w:b/>
        </w:rPr>
        <w:t>hospitácií</w:t>
      </w:r>
      <w:r w:rsidR="008D26DB" w:rsidRPr="0053555E">
        <w:rPr>
          <w:rFonts w:asciiTheme="majorHAnsi" w:hAnsiTheme="majorHAnsi" w:cstheme="majorHAnsi"/>
        </w:rPr>
        <w:t xml:space="preserve">, </w:t>
      </w:r>
      <w:r w:rsidR="00C649EC" w:rsidRPr="00C649EC">
        <w:rPr>
          <w:rFonts w:asciiTheme="majorHAnsi" w:hAnsiTheme="majorHAnsi" w:cstheme="majorHAnsi"/>
        </w:rPr>
        <w:t>ku ktorým bolo vložených 76 hospitačných správ (</w:t>
      </w:r>
      <w:r w:rsidR="005A1D00">
        <w:rPr>
          <w:rFonts w:asciiTheme="majorHAnsi" w:hAnsiTheme="majorHAnsi" w:cstheme="majorHAnsi"/>
        </w:rPr>
        <w:t xml:space="preserve">z toho </w:t>
      </w:r>
      <w:r w:rsidR="00C649EC" w:rsidRPr="00C649EC">
        <w:rPr>
          <w:rFonts w:asciiTheme="majorHAnsi" w:hAnsiTheme="majorHAnsi" w:cstheme="majorHAnsi"/>
        </w:rPr>
        <w:t xml:space="preserve">39 </w:t>
      </w:r>
      <w:r w:rsidR="005A1D00">
        <w:rPr>
          <w:rFonts w:asciiTheme="majorHAnsi" w:hAnsiTheme="majorHAnsi" w:cstheme="majorHAnsi"/>
        </w:rPr>
        <w:t>v zimnom semestri</w:t>
      </w:r>
      <w:r w:rsidR="00C649EC" w:rsidRPr="00C649EC">
        <w:rPr>
          <w:rFonts w:asciiTheme="majorHAnsi" w:hAnsiTheme="majorHAnsi" w:cstheme="majorHAnsi"/>
        </w:rPr>
        <w:t xml:space="preserve"> a 37 </w:t>
      </w:r>
      <w:r w:rsidR="005A1D00">
        <w:rPr>
          <w:rFonts w:asciiTheme="majorHAnsi" w:hAnsiTheme="majorHAnsi" w:cstheme="majorHAnsi"/>
        </w:rPr>
        <w:t>v letnom semestri</w:t>
      </w:r>
      <w:r w:rsidR="00C649EC" w:rsidRPr="00C649EC">
        <w:rPr>
          <w:rFonts w:asciiTheme="majorHAnsi" w:hAnsiTheme="majorHAnsi" w:cstheme="majorHAnsi"/>
        </w:rPr>
        <w:t xml:space="preserve">). Celkovo sa hospitácie zrealizovali na 12 pracoviskách (oddeleniach alebo ústavoch, pokiaľ nemá oddelenie) Približne 1/3 hospitácií bola vykonaná garantmi predmetu alebo inak nadriadenými, 2/3 hospitácií využili začínajúci učitelia, ktorí sa týmto spôsobom </w:t>
      </w:r>
      <w:r w:rsidR="00BF4198">
        <w:rPr>
          <w:rFonts w:asciiTheme="majorHAnsi" w:hAnsiTheme="majorHAnsi" w:cstheme="majorHAnsi"/>
        </w:rPr>
        <w:t>mali</w:t>
      </w:r>
      <w:r w:rsidR="00C649EC" w:rsidRPr="00C649EC">
        <w:rPr>
          <w:rFonts w:asciiTheme="majorHAnsi" w:hAnsiTheme="majorHAnsi" w:cstheme="majorHAnsi"/>
        </w:rPr>
        <w:t xml:space="preserve"> možnosť dozvedieť</w:t>
      </w:r>
      <w:r w:rsidR="00193EFE">
        <w:rPr>
          <w:rFonts w:asciiTheme="majorHAnsi" w:hAnsiTheme="majorHAnsi" w:cstheme="majorHAnsi"/>
        </w:rPr>
        <w:t>,</w:t>
      </w:r>
      <w:r w:rsidR="00C649EC" w:rsidRPr="00C649EC">
        <w:rPr>
          <w:rFonts w:asciiTheme="majorHAnsi" w:hAnsiTheme="majorHAnsi" w:cstheme="majorHAnsi"/>
        </w:rPr>
        <w:t xml:space="preserve"> ako viesť vzdelávací proce</w:t>
      </w:r>
      <w:r w:rsidR="00193EFE">
        <w:rPr>
          <w:rFonts w:asciiTheme="majorHAnsi" w:hAnsiTheme="majorHAnsi" w:cstheme="majorHAnsi"/>
        </w:rPr>
        <w:t>s. V pripomienkach hospitujúci vyzývali</w:t>
      </w:r>
      <w:r w:rsidR="00C649EC" w:rsidRPr="00C649EC">
        <w:rPr>
          <w:rFonts w:asciiTheme="majorHAnsi" w:hAnsiTheme="majorHAnsi" w:cstheme="majorHAnsi"/>
        </w:rPr>
        <w:t xml:space="preserve"> napr. na</w:t>
      </w:r>
      <w:r w:rsidR="00BF4198">
        <w:rPr>
          <w:rFonts w:asciiTheme="majorHAnsi" w:hAnsiTheme="majorHAnsi" w:cstheme="majorHAnsi"/>
        </w:rPr>
        <w:t> </w:t>
      </w:r>
      <w:r w:rsidR="00C649EC" w:rsidRPr="00C649EC">
        <w:rPr>
          <w:rFonts w:asciiTheme="majorHAnsi" w:hAnsiTheme="majorHAnsi" w:cstheme="majorHAnsi"/>
        </w:rPr>
        <w:t>väčšiu aktivitu študentov v rámci diskusie, väčšiu samostatnosť pri riešení úloh výpočtového seminára, v prípadoch online výučby boli vyzdvihnuté používané metódy kombinácie viacerých foriem e-learningu, používanie grafických dotykových tabletov a</w:t>
      </w:r>
      <w:r w:rsidR="00BF4198">
        <w:rPr>
          <w:rFonts w:asciiTheme="majorHAnsi" w:hAnsiTheme="majorHAnsi" w:cstheme="majorHAnsi"/>
        </w:rPr>
        <w:t> </w:t>
      </w:r>
      <w:r w:rsidR="00C649EC" w:rsidRPr="00C649EC">
        <w:rPr>
          <w:rFonts w:asciiTheme="majorHAnsi" w:hAnsiTheme="majorHAnsi" w:cstheme="majorHAnsi"/>
        </w:rPr>
        <w:t xml:space="preserve">podobne. </w:t>
      </w:r>
      <w:r w:rsidR="0046042A" w:rsidRPr="0053555E">
        <w:rPr>
          <w:rFonts w:asciiTheme="majorHAnsi" w:hAnsiTheme="majorHAnsi" w:cstheme="majorHAnsi"/>
        </w:rPr>
        <w:t xml:space="preserve"> </w:t>
      </w:r>
    </w:p>
    <w:p w14:paraId="55A30BED" w14:textId="2381483E" w:rsidR="00E500E0" w:rsidRDefault="00AA48A6" w:rsidP="00324438">
      <w:pPr>
        <w:pStyle w:val="Zarkazkladnhotextu"/>
        <w:ind w:left="0"/>
        <w:jc w:val="both"/>
        <w:rPr>
          <w:rFonts w:asciiTheme="majorHAnsi" w:hAnsiTheme="majorHAnsi" w:cstheme="majorHAnsi"/>
        </w:rPr>
      </w:pPr>
      <w:r w:rsidRPr="0053555E">
        <w:rPr>
          <w:rFonts w:asciiTheme="majorHAnsi" w:hAnsiTheme="majorHAnsi" w:cstheme="majorHAnsi"/>
        </w:rPr>
        <w:lastRenderedPageBreak/>
        <w:t>Monitorovanie kvality vzdelávania</w:t>
      </w:r>
      <w:r w:rsidR="0058355A" w:rsidRPr="0053555E">
        <w:rPr>
          <w:rFonts w:asciiTheme="majorHAnsi" w:hAnsiTheme="majorHAnsi" w:cstheme="majorHAnsi"/>
        </w:rPr>
        <w:t xml:space="preserve"> na </w:t>
      </w:r>
      <w:r w:rsidR="0058355A" w:rsidRPr="00E33C78">
        <w:rPr>
          <w:rFonts w:asciiTheme="majorHAnsi" w:hAnsiTheme="majorHAnsi" w:cstheme="majorHAnsi"/>
          <w:b/>
        </w:rPr>
        <w:t>FAD</w:t>
      </w:r>
      <w:r w:rsidR="00193EFE">
        <w:rPr>
          <w:rFonts w:asciiTheme="majorHAnsi" w:hAnsiTheme="majorHAnsi" w:cstheme="majorHAnsi"/>
        </w:rPr>
        <w:t xml:space="preserve"> zabezpečovali</w:t>
      </w:r>
      <w:r w:rsidRPr="0053555E">
        <w:rPr>
          <w:rFonts w:asciiTheme="majorHAnsi" w:hAnsiTheme="majorHAnsi" w:cstheme="majorHAnsi"/>
        </w:rPr>
        <w:t xml:space="preserve"> garant</w:t>
      </w:r>
      <w:r w:rsidR="00687AEC">
        <w:rPr>
          <w:rFonts w:asciiTheme="majorHAnsi" w:hAnsiTheme="majorHAnsi" w:cstheme="majorHAnsi"/>
        </w:rPr>
        <w:t>i</w:t>
      </w:r>
      <w:r w:rsidR="00461035" w:rsidRPr="0053555E">
        <w:rPr>
          <w:rFonts w:asciiTheme="majorHAnsi" w:hAnsiTheme="majorHAnsi" w:cstheme="majorHAnsi"/>
        </w:rPr>
        <w:t xml:space="preserve"> študijných programov,</w:t>
      </w:r>
      <w:r w:rsidRPr="0053555E">
        <w:rPr>
          <w:rFonts w:asciiTheme="majorHAnsi" w:hAnsiTheme="majorHAnsi" w:cstheme="majorHAnsi"/>
        </w:rPr>
        <w:t xml:space="preserve"> vedúci pracovísk </w:t>
      </w:r>
      <w:r w:rsidR="00193EFE">
        <w:rPr>
          <w:rFonts w:asciiTheme="majorHAnsi" w:hAnsiTheme="majorHAnsi" w:cstheme="majorHAnsi"/>
        </w:rPr>
        <w:t>i</w:t>
      </w:r>
      <w:r w:rsidRPr="0053555E">
        <w:rPr>
          <w:rFonts w:asciiTheme="majorHAnsi" w:hAnsiTheme="majorHAnsi" w:cstheme="majorHAnsi"/>
        </w:rPr>
        <w:t xml:space="preserve"> veden</w:t>
      </w:r>
      <w:r w:rsidR="00193EFE">
        <w:rPr>
          <w:rFonts w:asciiTheme="majorHAnsi" w:hAnsiTheme="majorHAnsi" w:cstheme="majorHAnsi"/>
        </w:rPr>
        <w:t>ie</w:t>
      </w:r>
      <w:r w:rsidRPr="0053555E">
        <w:rPr>
          <w:rFonts w:asciiTheme="majorHAnsi" w:hAnsiTheme="majorHAnsi" w:cstheme="majorHAnsi"/>
        </w:rPr>
        <w:t xml:space="preserve"> </w:t>
      </w:r>
      <w:r w:rsidR="00461035" w:rsidRPr="0053555E">
        <w:rPr>
          <w:rFonts w:asciiTheme="majorHAnsi" w:hAnsiTheme="majorHAnsi" w:cstheme="majorHAnsi"/>
        </w:rPr>
        <w:t>fakulty</w:t>
      </w:r>
      <w:r w:rsidR="00193EFE">
        <w:rPr>
          <w:rFonts w:asciiTheme="majorHAnsi" w:hAnsiTheme="majorHAnsi" w:cstheme="majorHAnsi"/>
        </w:rPr>
        <w:t>.</w:t>
      </w:r>
      <w:r w:rsidR="00D347F7" w:rsidRPr="00E33C78">
        <w:rPr>
          <w:rFonts w:asciiTheme="majorHAnsi" w:hAnsiTheme="majorHAnsi" w:cstheme="majorHAnsi"/>
        </w:rPr>
        <w:t xml:space="preserve"> </w:t>
      </w:r>
      <w:r w:rsidR="00E500E0">
        <w:rPr>
          <w:rFonts w:asciiTheme="majorHAnsi" w:hAnsiTheme="majorHAnsi" w:cstheme="majorHAnsi"/>
        </w:rPr>
        <w:t xml:space="preserve">Výsledky </w:t>
      </w:r>
      <w:r w:rsidR="00D347F7" w:rsidRPr="00D347F7">
        <w:rPr>
          <w:rFonts w:asciiTheme="majorHAnsi" w:hAnsiTheme="majorHAnsi" w:cstheme="majorHAnsi"/>
        </w:rPr>
        <w:t>boli poskytnuté garantom predmetov, vedúcim ústavov ako aj Rad</w:t>
      </w:r>
      <w:r w:rsidR="00E500E0">
        <w:rPr>
          <w:rFonts w:asciiTheme="majorHAnsi" w:hAnsiTheme="majorHAnsi" w:cstheme="majorHAnsi"/>
        </w:rPr>
        <w:t>ám</w:t>
      </w:r>
      <w:r w:rsidR="00D347F7" w:rsidRPr="00D347F7">
        <w:rPr>
          <w:rFonts w:asciiTheme="majorHAnsi" w:hAnsiTheme="majorHAnsi" w:cstheme="majorHAnsi"/>
        </w:rPr>
        <w:t xml:space="preserve"> ŠP</w:t>
      </w:r>
      <w:r w:rsidR="00E500E0">
        <w:rPr>
          <w:rFonts w:asciiTheme="majorHAnsi" w:hAnsiTheme="majorHAnsi" w:cstheme="majorHAnsi"/>
        </w:rPr>
        <w:t xml:space="preserve">. </w:t>
      </w:r>
      <w:r w:rsidR="00E500E0" w:rsidRPr="00E500E0">
        <w:rPr>
          <w:rFonts w:asciiTheme="majorHAnsi" w:hAnsiTheme="majorHAnsi" w:cstheme="majorHAnsi"/>
        </w:rPr>
        <w:t xml:space="preserve">V roku 2022 si vedenie </w:t>
      </w:r>
      <w:r w:rsidR="00E500E0">
        <w:rPr>
          <w:rFonts w:asciiTheme="majorHAnsi" w:hAnsiTheme="majorHAnsi" w:cstheme="majorHAnsi"/>
        </w:rPr>
        <w:t>FAD</w:t>
      </w:r>
      <w:r w:rsidR="00E500E0" w:rsidRPr="00E500E0">
        <w:rPr>
          <w:rFonts w:asciiTheme="majorHAnsi" w:hAnsiTheme="majorHAnsi" w:cstheme="majorHAnsi"/>
        </w:rPr>
        <w:t xml:space="preserve"> nastavilo mechanizmus hodnotenia a kvality výučby ateliérových prác, ktoré pozostáva z troch zložiek: hodnotenie externými hodnotiteľmi z komory architektov a dizajnérov, anonymné hodnotenie študentmi formou online dotazník</w:t>
      </w:r>
      <w:r w:rsidR="00E33C78">
        <w:rPr>
          <w:rFonts w:asciiTheme="majorHAnsi" w:hAnsiTheme="majorHAnsi" w:cstheme="majorHAnsi"/>
        </w:rPr>
        <w:t>a</w:t>
      </w:r>
      <w:r w:rsidR="00E500E0" w:rsidRPr="00E500E0">
        <w:rPr>
          <w:rFonts w:asciiTheme="majorHAnsi" w:hAnsiTheme="majorHAnsi" w:cstheme="majorHAnsi"/>
        </w:rPr>
        <w:t xml:space="preserve"> a evaluácia v AIS, a komisionálne hodnotenie jednotlivých vertikálnych ateliérov uskutočnené na konci semestra počas prieskumov.</w:t>
      </w:r>
    </w:p>
    <w:p w14:paraId="62BF2290" w14:textId="03FFB0D0" w:rsidR="00B5796E" w:rsidRPr="0053555E" w:rsidRDefault="003E2760" w:rsidP="00324438">
      <w:pPr>
        <w:pStyle w:val="Zarkazkladnhotextu"/>
        <w:ind w:left="0"/>
        <w:jc w:val="both"/>
        <w:rPr>
          <w:rFonts w:asciiTheme="majorHAnsi" w:hAnsiTheme="majorHAnsi" w:cstheme="majorHAnsi"/>
        </w:rPr>
      </w:pPr>
      <w:r w:rsidRPr="0053555E">
        <w:rPr>
          <w:rFonts w:asciiTheme="majorHAnsi" w:hAnsiTheme="majorHAnsi" w:cstheme="majorHAnsi"/>
        </w:rPr>
        <w:t>N</w:t>
      </w:r>
      <w:r w:rsidR="00F66565" w:rsidRPr="0053555E">
        <w:rPr>
          <w:rFonts w:asciiTheme="majorHAnsi" w:hAnsiTheme="majorHAnsi" w:cstheme="majorHAnsi"/>
        </w:rPr>
        <w:t xml:space="preserve">a </w:t>
      </w:r>
      <w:r w:rsidR="00F66565" w:rsidRPr="0053555E">
        <w:rPr>
          <w:rFonts w:asciiTheme="majorHAnsi" w:hAnsiTheme="majorHAnsi" w:cstheme="majorHAnsi"/>
          <w:b/>
        </w:rPr>
        <w:t>MTF</w:t>
      </w:r>
      <w:r w:rsidR="00F66565" w:rsidRPr="0053555E">
        <w:rPr>
          <w:rFonts w:asciiTheme="majorHAnsi" w:hAnsiTheme="majorHAnsi" w:cstheme="majorHAnsi"/>
        </w:rPr>
        <w:t xml:space="preserve"> prebiehala </w:t>
      </w:r>
      <w:r w:rsidRPr="0053555E">
        <w:rPr>
          <w:rFonts w:asciiTheme="majorHAnsi" w:hAnsiTheme="majorHAnsi" w:cstheme="majorHAnsi"/>
        </w:rPr>
        <w:t xml:space="preserve">kontrola kvality vzdelávacieho procesu </w:t>
      </w:r>
      <w:r w:rsidR="00F66565" w:rsidRPr="0053555E">
        <w:rPr>
          <w:rFonts w:asciiTheme="majorHAnsi" w:hAnsiTheme="majorHAnsi" w:cstheme="majorHAnsi"/>
        </w:rPr>
        <w:t xml:space="preserve">prostredníctvom </w:t>
      </w:r>
      <w:r w:rsidRPr="0053555E">
        <w:rPr>
          <w:rFonts w:asciiTheme="majorHAnsi" w:hAnsiTheme="majorHAnsi" w:cstheme="majorHAnsi"/>
          <w:b/>
        </w:rPr>
        <w:t>6</w:t>
      </w:r>
      <w:r w:rsidR="00F9750A">
        <w:rPr>
          <w:rFonts w:asciiTheme="majorHAnsi" w:hAnsiTheme="majorHAnsi" w:cstheme="majorHAnsi"/>
          <w:b/>
        </w:rPr>
        <w:t>1</w:t>
      </w:r>
      <w:r w:rsidRPr="0053555E">
        <w:rPr>
          <w:rFonts w:asciiTheme="majorHAnsi" w:hAnsiTheme="majorHAnsi" w:cstheme="majorHAnsi"/>
          <w:b/>
        </w:rPr>
        <w:t xml:space="preserve"> </w:t>
      </w:r>
      <w:r w:rsidR="00F66565" w:rsidRPr="0053555E">
        <w:rPr>
          <w:rFonts w:asciiTheme="majorHAnsi" w:hAnsiTheme="majorHAnsi" w:cstheme="majorHAnsi"/>
          <w:b/>
        </w:rPr>
        <w:t xml:space="preserve">hospitácií </w:t>
      </w:r>
      <w:r w:rsidRPr="0053555E">
        <w:rPr>
          <w:rFonts w:asciiTheme="majorHAnsi" w:hAnsiTheme="majorHAnsi" w:cstheme="majorHAnsi"/>
        </w:rPr>
        <w:t>za celý akademický rok</w:t>
      </w:r>
      <w:r w:rsidR="00F66565" w:rsidRPr="0053555E">
        <w:rPr>
          <w:rFonts w:asciiTheme="majorHAnsi" w:hAnsiTheme="majorHAnsi" w:cstheme="majorHAnsi"/>
        </w:rPr>
        <w:t xml:space="preserve"> </w:t>
      </w:r>
      <w:r w:rsidR="00EA24BA" w:rsidRPr="0053555E">
        <w:rPr>
          <w:rFonts w:asciiTheme="majorHAnsi" w:hAnsiTheme="majorHAnsi" w:cstheme="majorHAnsi"/>
        </w:rPr>
        <w:t>2021/2022</w:t>
      </w:r>
      <w:r w:rsidR="00F66565" w:rsidRPr="0053555E">
        <w:rPr>
          <w:rFonts w:asciiTheme="majorHAnsi" w:hAnsiTheme="majorHAnsi" w:cstheme="majorHAnsi"/>
        </w:rPr>
        <w:t>, ktoré boli zamerané predovšetkým na hodnotenie pedagogických zručností vyučujúcich počas výučby.</w:t>
      </w:r>
    </w:p>
    <w:p w14:paraId="599DD736" w14:textId="587501EC" w:rsidR="00E30CE6" w:rsidRPr="0053555E" w:rsidRDefault="007D4175" w:rsidP="00324438">
      <w:pPr>
        <w:pStyle w:val="Zarkazkladnhotextu"/>
        <w:ind w:left="0"/>
        <w:jc w:val="both"/>
        <w:rPr>
          <w:rFonts w:asciiTheme="majorHAnsi" w:hAnsiTheme="majorHAnsi" w:cstheme="majorHAnsi"/>
        </w:rPr>
      </w:pPr>
      <w:r w:rsidRPr="0053555E">
        <w:rPr>
          <w:rFonts w:asciiTheme="majorHAnsi" w:hAnsiTheme="majorHAnsi" w:cstheme="majorHAnsi"/>
        </w:rPr>
        <w:t xml:space="preserve">Na </w:t>
      </w:r>
      <w:r w:rsidRPr="0053555E">
        <w:rPr>
          <w:rFonts w:asciiTheme="majorHAnsi" w:hAnsiTheme="majorHAnsi" w:cstheme="majorHAnsi"/>
          <w:b/>
        </w:rPr>
        <w:t>ÚM</w:t>
      </w:r>
      <w:r w:rsidRPr="0053555E">
        <w:rPr>
          <w:rFonts w:asciiTheme="majorHAnsi" w:hAnsiTheme="majorHAnsi" w:cstheme="majorHAnsi"/>
        </w:rPr>
        <w:t xml:space="preserve"> </w:t>
      </w:r>
      <w:r w:rsidR="00193EFE">
        <w:rPr>
          <w:rFonts w:asciiTheme="majorHAnsi" w:hAnsiTheme="majorHAnsi" w:cstheme="majorHAnsi"/>
        </w:rPr>
        <w:t>sledovalo kvalitu</w:t>
      </w:r>
      <w:r w:rsidRPr="0053555E">
        <w:rPr>
          <w:rFonts w:asciiTheme="majorHAnsi" w:hAnsiTheme="majorHAnsi" w:cstheme="majorHAnsi"/>
        </w:rPr>
        <w:t xml:space="preserve"> vyučovacieho procesu formou hospitácií z </w:t>
      </w:r>
      <w:r w:rsidR="00193EFE">
        <w:rPr>
          <w:rFonts w:asciiTheme="majorHAnsi" w:hAnsiTheme="majorHAnsi" w:cstheme="majorHAnsi"/>
        </w:rPr>
        <w:t>vedenie</w:t>
      </w:r>
      <w:r w:rsidRPr="0053555E">
        <w:rPr>
          <w:rFonts w:asciiTheme="majorHAnsi" w:hAnsiTheme="majorHAnsi" w:cstheme="majorHAnsi"/>
        </w:rPr>
        <w:t xml:space="preserve"> pracoviska, ktoré výučbu zabezpečuje</w:t>
      </w:r>
      <w:r w:rsidR="00193EFE">
        <w:rPr>
          <w:rFonts w:asciiTheme="majorHAnsi" w:hAnsiTheme="majorHAnsi" w:cstheme="majorHAnsi"/>
        </w:rPr>
        <w:t>,</w:t>
      </w:r>
      <w:r w:rsidRPr="0053555E">
        <w:rPr>
          <w:rFonts w:asciiTheme="majorHAnsi" w:hAnsiTheme="majorHAnsi" w:cstheme="majorHAnsi"/>
        </w:rPr>
        <w:t xml:space="preserve"> alebo </w:t>
      </w:r>
      <w:r w:rsidR="00F063D2">
        <w:rPr>
          <w:rFonts w:asciiTheme="majorHAnsi" w:hAnsiTheme="majorHAnsi" w:cstheme="majorHAnsi"/>
        </w:rPr>
        <w:t>garanti</w:t>
      </w:r>
      <w:r w:rsidRPr="0053555E">
        <w:rPr>
          <w:rFonts w:asciiTheme="majorHAnsi" w:hAnsiTheme="majorHAnsi" w:cstheme="majorHAnsi"/>
        </w:rPr>
        <w:t xml:space="preserve"> študijných programov.</w:t>
      </w:r>
    </w:p>
    <w:p w14:paraId="17562350" w14:textId="77777777" w:rsidR="005A1E33" w:rsidRPr="0053555E" w:rsidRDefault="00B91237" w:rsidP="002C04DB">
      <w:pPr>
        <w:pStyle w:val="Zarkazkladnhotextu"/>
        <w:spacing w:after="0"/>
        <w:ind w:left="0"/>
        <w:jc w:val="both"/>
        <w:rPr>
          <w:rFonts w:asciiTheme="majorHAnsi" w:hAnsiTheme="majorHAnsi" w:cstheme="majorHAnsi"/>
        </w:rPr>
      </w:pPr>
      <w:r w:rsidRPr="0053555E">
        <w:rPr>
          <w:rFonts w:asciiTheme="majorHAnsi" w:hAnsiTheme="majorHAnsi" w:cstheme="majorHAnsi"/>
        </w:rPr>
        <w:t>STU považuje za nevyhnutné naďalej pokračovať v </w:t>
      </w:r>
      <w:r w:rsidR="00C77194" w:rsidRPr="0053555E">
        <w:rPr>
          <w:rFonts w:asciiTheme="majorHAnsi" w:hAnsiTheme="majorHAnsi" w:cstheme="majorHAnsi"/>
        </w:rPr>
        <w:t>organizovaní hospitácií a </w:t>
      </w:r>
      <w:r w:rsidRPr="0053555E">
        <w:rPr>
          <w:rFonts w:asciiTheme="majorHAnsi" w:hAnsiTheme="majorHAnsi" w:cstheme="majorHAnsi"/>
        </w:rPr>
        <w:t>zhromažďovaní vyhotovených záznamov</w:t>
      </w:r>
      <w:r w:rsidR="00533AB1" w:rsidRPr="0053555E">
        <w:rPr>
          <w:rFonts w:asciiTheme="majorHAnsi" w:hAnsiTheme="majorHAnsi" w:cstheme="majorHAnsi"/>
        </w:rPr>
        <w:t xml:space="preserve"> z nich</w:t>
      </w:r>
      <w:r w:rsidRPr="0053555E">
        <w:rPr>
          <w:rFonts w:asciiTheme="majorHAnsi" w:hAnsiTheme="majorHAnsi" w:cstheme="majorHAnsi"/>
        </w:rPr>
        <w:t>, analyzovať zistenia a sledovať efektívnosť prijatých opatrení</w:t>
      </w:r>
      <w:r w:rsidR="001F3C14" w:rsidRPr="0053555E">
        <w:rPr>
          <w:rFonts w:asciiTheme="majorHAnsi" w:hAnsiTheme="majorHAnsi" w:cstheme="majorHAnsi"/>
        </w:rPr>
        <w:t xml:space="preserve"> ako jeden z</w:t>
      </w:r>
      <w:r w:rsidR="00AB0DEF" w:rsidRPr="0053555E">
        <w:rPr>
          <w:rFonts w:asciiTheme="majorHAnsi" w:hAnsiTheme="majorHAnsi" w:cstheme="majorHAnsi"/>
        </w:rPr>
        <w:t xml:space="preserve"> dôležitých </w:t>
      </w:r>
      <w:r w:rsidR="001F3C14" w:rsidRPr="0053555E">
        <w:rPr>
          <w:rFonts w:asciiTheme="majorHAnsi" w:hAnsiTheme="majorHAnsi" w:cstheme="majorHAnsi"/>
        </w:rPr>
        <w:t>nástrojov zabezpečenia kvality vo vzdelávacom procese</w:t>
      </w:r>
      <w:r w:rsidRPr="0053555E">
        <w:rPr>
          <w:rFonts w:asciiTheme="majorHAnsi" w:hAnsiTheme="majorHAnsi" w:cstheme="majorHAnsi"/>
        </w:rPr>
        <w:t>.</w:t>
      </w:r>
      <w:r w:rsidR="00451AF5" w:rsidRPr="0053555E">
        <w:rPr>
          <w:rFonts w:asciiTheme="majorHAnsi" w:hAnsiTheme="majorHAnsi" w:cstheme="majorHAnsi"/>
        </w:rPr>
        <w:t xml:space="preserve"> </w:t>
      </w:r>
    </w:p>
    <w:p w14:paraId="5E956EBB" w14:textId="77777777" w:rsidR="00533AB1" w:rsidRPr="0053555E" w:rsidRDefault="00533AB1" w:rsidP="00324438">
      <w:pPr>
        <w:pStyle w:val="Zarkazkladnhotextu"/>
        <w:spacing w:after="0"/>
        <w:ind w:left="0"/>
        <w:jc w:val="both"/>
        <w:rPr>
          <w:rFonts w:asciiTheme="majorHAnsi" w:hAnsiTheme="majorHAnsi" w:cstheme="majorHAnsi"/>
        </w:rPr>
      </w:pPr>
    </w:p>
    <w:p w14:paraId="63D8E782" w14:textId="77777777" w:rsidR="00F063D2" w:rsidRDefault="00F063D2" w:rsidP="00F063D2">
      <w:bookmarkStart w:id="295" w:name="_Ref95691902"/>
      <w:bookmarkStart w:id="296" w:name="_Toc127593258"/>
    </w:p>
    <w:p w14:paraId="32F16FBB" w14:textId="54D754B1" w:rsidR="002071AC" w:rsidRPr="00F063D2" w:rsidRDefault="00F063D2" w:rsidP="00F063D2">
      <w:pPr>
        <w:rPr>
          <w:b/>
          <w:sz w:val="28"/>
          <w:szCs w:val="28"/>
        </w:rPr>
      </w:pPr>
      <w:r w:rsidRPr="00F063D2">
        <w:rPr>
          <w:b/>
          <w:sz w:val="28"/>
          <w:szCs w:val="28"/>
        </w:rPr>
        <w:t xml:space="preserve">12.5. </w:t>
      </w:r>
      <w:r w:rsidR="002071AC" w:rsidRPr="00F063D2">
        <w:rPr>
          <w:b/>
          <w:sz w:val="28"/>
          <w:szCs w:val="28"/>
        </w:rPr>
        <w:t>Hodnotenie vzdelávania študentmi</w:t>
      </w:r>
      <w:bookmarkEnd w:id="295"/>
      <w:bookmarkEnd w:id="296"/>
    </w:p>
    <w:p w14:paraId="78FF4AE9" w14:textId="77777777" w:rsidR="00F063D2" w:rsidRPr="00F063D2" w:rsidRDefault="00F063D2" w:rsidP="00F063D2"/>
    <w:p w14:paraId="735824C2" w14:textId="13DEFEB2" w:rsidR="002071AC" w:rsidRPr="0053555E" w:rsidRDefault="002C04DB" w:rsidP="0032443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Medzi </w:t>
      </w:r>
      <w:r w:rsidR="00F063D2">
        <w:rPr>
          <w:rFonts w:asciiTheme="majorHAnsi" w:hAnsiTheme="majorHAnsi" w:cstheme="majorHAnsi"/>
        </w:rPr>
        <w:t xml:space="preserve">zákonné </w:t>
      </w:r>
      <w:r w:rsidRPr="0053555E">
        <w:rPr>
          <w:rFonts w:asciiTheme="majorHAnsi" w:hAnsiTheme="majorHAnsi" w:cstheme="majorHAnsi"/>
        </w:rPr>
        <w:t xml:space="preserve">práva študenta patrí </w:t>
      </w:r>
      <w:r w:rsidR="00AD2756" w:rsidRPr="0053555E">
        <w:rPr>
          <w:rFonts w:asciiTheme="majorHAnsi" w:hAnsiTheme="majorHAnsi" w:cstheme="majorHAnsi"/>
        </w:rPr>
        <w:t xml:space="preserve">aj vyjadriť sa </w:t>
      </w:r>
      <w:r w:rsidR="002071AC" w:rsidRPr="0053555E">
        <w:rPr>
          <w:rFonts w:asciiTheme="majorHAnsi" w:hAnsiTheme="majorHAnsi" w:cstheme="majorHAnsi"/>
        </w:rPr>
        <w:t xml:space="preserve">formou anonymného dotazníka </w:t>
      </w:r>
      <w:r w:rsidR="005F72C6" w:rsidRPr="0053555E">
        <w:rPr>
          <w:rFonts w:asciiTheme="majorHAnsi" w:hAnsiTheme="majorHAnsi" w:cstheme="majorHAnsi"/>
        </w:rPr>
        <w:t xml:space="preserve">ku </w:t>
      </w:r>
      <w:r w:rsidR="002071AC" w:rsidRPr="0053555E">
        <w:rPr>
          <w:rFonts w:asciiTheme="majorHAnsi" w:hAnsiTheme="majorHAnsi" w:cstheme="majorHAnsi"/>
        </w:rPr>
        <w:t>kvalite výučby a učiteľo</w:t>
      </w:r>
      <w:r w:rsidR="005F72C6" w:rsidRPr="0053555E">
        <w:rPr>
          <w:rFonts w:asciiTheme="majorHAnsi" w:hAnsiTheme="majorHAnsi" w:cstheme="majorHAnsi"/>
        </w:rPr>
        <w:t>v</w:t>
      </w:r>
      <w:r w:rsidR="00F063D2">
        <w:rPr>
          <w:rFonts w:asciiTheme="majorHAnsi" w:hAnsiTheme="majorHAnsi" w:cstheme="majorHAnsi"/>
        </w:rPr>
        <w:t xml:space="preserve"> i</w:t>
      </w:r>
      <w:r w:rsidR="003A0698" w:rsidRPr="0053555E">
        <w:rPr>
          <w:rFonts w:asciiTheme="majorHAnsi" w:hAnsiTheme="majorHAnsi" w:cstheme="majorHAnsi"/>
        </w:rPr>
        <w:t xml:space="preserve"> k</w:t>
      </w:r>
      <w:r w:rsidR="00AA7BB1" w:rsidRPr="0053555E">
        <w:rPr>
          <w:rFonts w:asciiTheme="majorHAnsi" w:hAnsiTheme="majorHAnsi" w:cstheme="majorHAnsi"/>
        </w:rPr>
        <w:t xml:space="preserve"> celkovej úrovni vzdelávania na </w:t>
      </w:r>
      <w:r w:rsidR="003A0698" w:rsidRPr="0053555E">
        <w:rPr>
          <w:rFonts w:asciiTheme="majorHAnsi" w:hAnsiTheme="majorHAnsi" w:cstheme="majorHAnsi"/>
        </w:rPr>
        <w:t>príslušnej súčasti</w:t>
      </w:r>
      <w:r w:rsidR="00AC2394" w:rsidRPr="0053555E">
        <w:rPr>
          <w:rFonts w:asciiTheme="majorHAnsi" w:hAnsiTheme="majorHAnsi" w:cstheme="majorHAnsi"/>
        </w:rPr>
        <w:t xml:space="preserve"> </w:t>
      </w:r>
      <w:r w:rsidR="00F063D2">
        <w:rPr>
          <w:rFonts w:asciiTheme="majorHAnsi" w:hAnsiTheme="majorHAnsi" w:cstheme="majorHAnsi"/>
        </w:rPr>
        <w:t>univerzity</w:t>
      </w:r>
      <w:r w:rsidR="002071AC" w:rsidRPr="0053555E">
        <w:rPr>
          <w:rFonts w:asciiTheme="majorHAnsi" w:hAnsiTheme="majorHAnsi" w:cstheme="majorHAnsi"/>
        </w:rPr>
        <w:t>.</w:t>
      </w:r>
      <w:r w:rsidR="00607E6E" w:rsidRPr="0053555E">
        <w:rPr>
          <w:rFonts w:asciiTheme="majorHAnsi" w:hAnsiTheme="majorHAnsi" w:cstheme="majorHAnsi"/>
        </w:rPr>
        <w:t xml:space="preserve"> STU chápe hodnotenie vzdelávacieho procesu študentmi aj ako zdroj informácií o silných a slabých stránkach </w:t>
      </w:r>
      <w:r w:rsidR="00AD2756" w:rsidRPr="0053555E">
        <w:rPr>
          <w:rFonts w:asciiTheme="majorHAnsi" w:hAnsiTheme="majorHAnsi" w:cstheme="majorHAnsi"/>
        </w:rPr>
        <w:t>vzdelávacieho</w:t>
      </w:r>
      <w:r w:rsidR="00607E6E" w:rsidRPr="0053555E">
        <w:rPr>
          <w:rFonts w:asciiTheme="majorHAnsi" w:hAnsiTheme="majorHAnsi" w:cstheme="majorHAnsi"/>
        </w:rPr>
        <w:t xml:space="preserve"> procesu a služieb poskytovaných študentom a ako nástroj na ich </w:t>
      </w:r>
      <w:r w:rsidR="00AD2756" w:rsidRPr="0053555E">
        <w:rPr>
          <w:rFonts w:asciiTheme="majorHAnsi" w:hAnsiTheme="majorHAnsi" w:cstheme="majorHAnsi"/>
        </w:rPr>
        <w:t xml:space="preserve">neustále </w:t>
      </w:r>
      <w:r w:rsidR="00607E6E" w:rsidRPr="0053555E">
        <w:rPr>
          <w:rFonts w:asciiTheme="majorHAnsi" w:hAnsiTheme="majorHAnsi" w:cstheme="majorHAnsi"/>
        </w:rPr>
        <w:t>skvalitňovanie.</w:t>
      </w:r>
    </w:p>
    <w:p w14:paraId="17871FCA" w14:textId="3D960430" w:rsidR="002071AC" w:rsidRPr="0053555E" w:rsidRDefault="002071AC" w:rsidP="00EB7CAD">
      <w:pPr>
        <w:spacing w:after="120"/>
        <w:jc w:val="both"/>
        <w:rPr>
          <w:rFonts w:asciiTheme="majorHAnsi" w:hAnsiTheme="majorHAnsi" w:cstheme="majorHAnsi"/>
        </w:rPr>
      </w:pPr>
      <w:r w:rsidRPr="0053555E">
        <w:rPr>
          <w:rFonts w:asciiTheme="majorHAnsi" w:hAnsiTheme="majorHAnsi" w:cstheme="majorHAnsi"/>
        </w:rPr>
        <w:t xml:space="preserve">Toto právo </w:t>
      </w:r>
      <w:r w:rsidR="00451F12" w:rsidRPr="0053555E">
        <w:rPr>
          <w:rFonts w:asciiTheme="majorHAnsi" w:hAnsiTheme="majorHAnsi" w:cstheme="majorHAnsi"/>
        </w:rPr>
        <w:t>mohli</w:t>
      </w:r>
      <w:r w:rsidR="008A2604" w:rsidRPr="0053555E">
        <w:rPr>
          <w:rFonts w:asciiTheme="majorHAnsi" w:hAnsiTheme="majorHAnsi" w:cstheme="majorHAnsi"/>
        </w:rPr>
        <w:t xml:space="preserve"> </w:t>
      </w:r>
      <w:r w:rsidRPr="0053555E">
        <w:rPr>
          <w:rFonts w:asciiTheme="majorHAnsi" w:hAnsiTheme="majorHAnsi" w:cstheme="majorHAnsi"/>
        </w:rPr>
        <w:t>študenti STU využiť prostredníctvom dotazníkov (v elektronickej forme, najčastejšie prostredníctvom AIS</w:t>
      </w:r>
      <w:r w:rsidR="00F063D2">
        <w:rPr>
          <w:rFonts w:asciiTheme="majorHAnsi" w:hAnsiTheme="majorHAnsi" w:cstheme="majorHAnsi"/>
        </w:rPr>
        <w:t>)</w:t>
      </w:r>
      <w:r w:rsidRPr="0053555E">
        <w:rPr>
          <w:rFonts w:asciiTheme="majorHAnsi" w:hAnsiTheme="majorHAnsi" w:cstheme="majorHAnsi"/>
        </w:rPr>
        <w:t xml:space="preserve">, v ktorých sa sledovala </w:t>
      </w:r>
      <w:r w:rsidR="00AA7BB1" w:rsidRPr="0053555E">
        <w:rPr>
          <w:rFonts w:asciiTheme="majorHAnsi" w:hAnsiTheme="majorHAnsi" w:cstheme="majorHAnsi"/>
        </w:rPr>
        <w:t>spokojnosť študentov celkovo so </w:t>
      </w:r>
      <w:r w:rsidRPr="0053555E">
        <w:rPr>
          <w:rFonts w:asciiTheme="majorHAnsi" w:hAnsiTheme="majorHAnsi" w:cstheme="majorHAnsi"/>
        </w:rPr>
        <w:t>štúdiom počas akade</w:t>
      </w:r>
      <w:r w:rsidR="00B8440F" w:rsidRPr="0053555E">
        <w:rPr>
          <w:rFonts w:asciiTheme="majorHAnsi" w:hAnsiTheme="majorHAnsi" w:cstheme="majorHAnsi"/>
        </w:rPr>
        <w:t>mického roka, resp. semestra. V</w:t>
      </w:r>
      <w:r w:rsidRPr="0053555E">
        <w:rPr>
          <w:rFonts w:asciiTheme="majorHAnsi" w:hAnsiTheme="majorHAnsi" w:cstheme="majorHAnsi"/>
        </w:rPr>
        <w:t xml:space="preserve"> dotazníkoch</w:t>
      </w:r>
      <w:r w:rsidR="002953C8" w:rsidRPr="0053555E">
        <w:rPr>
          <w:rFonts w:asciiTheme="majorHAnsi" w:hAnsiTheme="majorHAnsi" w:cstheme="majorHAnsi"/>
        </w:rPr>
        <w:t xml:space="preserve"> sa </w:t>
      </w:r>
      <w:r w:rsidRPr="0053555E">
        <w:rPr>
          <w:rFonts w:asciiTheme="majorHAnsi" w:hAnsiTheme="majorHAnsi" w:cstheme="majorHAnsi"/>
        </w:rPr>
        <w:t>väčšinou monitor</w:t>
      </w:r>
      <w:r w:rsidR="007E7A0F" w:rsidRPr="0053555E">
        <w:rPr>
          <w:rFonts w:asciiTheme="majorHAnsi" w:hAnsiTheme="majorHAnsi" w:cstheme="majorHAnsi"/>
        </w:rPr>
        <w:t>ovali</w:t>
      </w:r>
      <w:r w:rsidRPr="0053555E">
        <w:rPr>
          <w:rFonts w:asciiTheme="majorHAnsi" w:hAnsiTheme="majorHAnsi" w:cstheme="majorHAnsi"/>
        </w:rPr>
        <w:t xml:space="preserve"> názory na obsah </w:t>
      </w:r>
      <w:r w:rsidR="00F155B5" w:rsidRPr="0053555E">
        <w:rPr>
          <w:rFonts w:asciiTheme="majorHAnsi" w:hAnsiTheme="majorHAnsi" w:cstheme="majorHAnsi"/>
        </w:rPr>
        <w:t xml:space="preserve">študijného programu, jednotlivých predmetov, </w:t>
      </w:r>
      <w:r w:rsidRPr="0053555E">
        <w:rPr>
          <w:rFonts w:asciiTheme="majorHAnsi" w:hAnsiTheme="majorHAnsi" w:cstheme="majorHAnsi"/>
        </w:rPr>
        <w:t xml:space="preserve">metódy </w:t>
      </w:r>
      <w:r w:rsidR="00E02235" w:rsidRPr="0053555E">
        <w:rPr>
          <w:rFonts w:asciiTheme="majorHAnsi" w:hAnsiTheme="majorHAnsi" w:cstheme="majorHAnsi"/>
        </w:rPr>
        <w:t>vzdelávania</w:t>
      </w:r>
      <w:r w:rsidRPr="0053555E">
        <w:rPr>
          <w:rFonts w:asciiTheme="majorHAnsi" w:hAnsiTheme="majorHAnsi" w:cstheme="majorHAnsi"/>
        </w:rPr>
        <w:t xml:space="preserve">, úroveň využívania didaktických pomôcok, zabezpečenie študijnou literatúrou, </w:t>
      </w:r>
      <w:r w:rsidR="002953C8" w:rsidRPr="0053555E">
        <w:rPr>
          <w:rFonts w:asciiTheme="majorHAnsi" w:hAnsiTheme="majorHAnsi" w:cstheme="majorHAnsi"/>
        </w:rPr>
        <w:t>ako </w:t>
      </w:r>
      <w:r w:rsidR="00F94538" w:rsidRPr="0053555E">
        <w:rPr>
          <w:rFonts w:asciiTheme="majorHAnsi" w:hAnsiTheme="majorHAnsi" w:cstheme="majorHAnsi"/>
        </w:rPr>
        <w:t>aj </w:t>
      </w:r>
      <w:r w:rsidR="00AA7BB1" w:rsidRPr="0053555E">
        <w:rPr>
          <w:rFonts w:asciiTheme="majorHAnsi" w:hAnsiTheme="majorHAnsi" w:cstheme="majorHAnsi"/>
        </w:rPr>
        <w:t>spokojnosť s </w:t>
      </w:r>
      <w:r w:rsidRPr="0053555E">
        <w:rPr>
          <w:rFonts w:asciiTheme="majorHAnsi" w:hAnsiTheme="majorHAnsi" w:cstheme="majorHAnsi"/>
        </w:rPr>
        <w:t>prácou študijných oddelení</w:t>
      </w:r>
      <w:r w:rsidR="008A262E" w:rsidRPr="0053555E">
        <w:rPr>
          <w:rFonts w:asciiTheme="majorHAnsi" w:hAnsiTheme="majorHAnsi" w:cstheme="majorHAnsi"/>
        </w:rPr>
        <w:t xml:space="preserve"> a ďalších </w:t>
      </w:r>
      <w:r w:rsidR="007E7A0F" w:rsidRPr="0053555E">
        <w:rPr>
          <w:rFonts w:asciiTheme="majorHAnsi" w:hAnsiTheme="majorHAnsi" w:cstheme="majorHAnsi"/>
        </w:rPr>
        <w:t>administratívnych</w:t>
      </w:r>
      <w:r w:rsidR="008A262E" w:rsidRPr="0053555E">
        <w:rPr>
          <w:rFonts w:asciiTheme="majorHAnsi" w:hAnsiTheme="majorHAnsi" w:cstheme="majorHAnsi"/>
        </w:rPr>
        <w:t xml:space="preserve"> pracovníkov, </w:t>
      </w:r>
      <w:r w:rsidRPr="0053555E">
        <w:rPr>
          <w:rFonts w:asciiTheme="majorHAnsi" w:hAnsiTheme="majorHAnsi" w:cstheme="majorHAnsi"/>
        </w:rPr>
        <w:t xml:space="preserve">spokojnosť s učiteľmi, </w:t>
      </w:r>
      <w:r w:rsidR="00F1093C" w:rsidRPr="0053555E">
        <w:rPr>
          <w:rFonts w:asciiTheme="majorHAnsi" w:hAnsiTheme="majorHAnsi" w:cstheme="majorHAnsi"/>
        </w:rPr>
        <w:t>s </w:t>
      </w:r>
      <w:r w:rsidR="008A262E" w:rsidRPr="0053555E">
        <w:rPr>
          <w:rFonts w:asciiTheme="majorHAnsi" w:hAnsiTheme="majorHAnsi" w:cstheme="majorHAnsi"/>
        </w:rPr>
        <w:t xml:space="preserve">ubytovaním, </w:t>
      </w:r>
      <w:r w:rsidR="007E7A0F" w:rsidRPr="0053555E">
        <w:rPr>
          <w:rFonts w:asciiTheme="majorHAnsi" w:hAnsiTheme="majorHAnsi" w:cstheme="majorHAnsi"/>
        </w:rPr>
        <w:t xml:space="preserve">so </w:t>
      </w:r>
      <w:r w:rsidR="008A262E" w:rsidRPr="0053555E">
        <w:rPr>
          <w:rFonts w:asciiTheme="majorHAnsi" w:hAnsiTheme="majorHAnsi" w:cstheme="majorHAnsi"/>
        </w:rPr>
        <w:t xml:space="preserve">stravovaním, </w:t>
      </w:r>
      <w:r w:rsidRPr="0053555E">
        <w:rPr>
          <w:rFonts w:asciiTheme="majorHAnsi" w:hAnsiTheme="majorHAnsi" w:cstheme="majorHAnsi"/>
        </w:rPr>
        <w:t>vzťah a lojalit</w:t>
      </w:r>
      <w:r w:rsidR="00FF501E" w:rsidRPr="0053555E">
        <w:rPr>
          <w:rFonts w:asciiTheme="majorHAnsi" w:hAnsiTheme="majorHAnsi" w:cstheme="majorHAnsi"/>
        </w:rPr>
        <w:t>a</w:t>
      </w:r>
      <w:r w:rsidRPr="0053555E">
        <w:rPr>
          <w:rFonts w:asciiTheme="majorHAnsi" w:hAnsiTheme="majorHAnsi" w:cstheme="majorHAnsi"/>
        </w:rPr>
        <w:t xml:space="preserve"> k </w:t>
      </w:r>
      <w:r w:rsidR="009C344E" w:rsidRPr="0053555E">
        <w:rPr>
          <w:rFonts w:asciiTheme="majorHAnsi" w:hAnsiTheme="majorHAnsi" w:cstheme="majorHAnsi"/>
        </w:rPr>
        <w:t>fakulte</w:t>
      </w:r>
      <w:r w:rsidRPr="0053555E">
        <w:rPr>
          <w:rFonts w:asciiTheme="majorHAnsi" w:hAnsiTheme="majorHAnsi" w:cstheme="majorHAnsi"/>
        </w:rPr>
        <w:t xml:space="preserve"> a</w:t>
      </w:r>
      <w:r w:rsidR="00950872" w:rsidRPr="0053555E">
        <w:rPr>
          <w:rFonts w:asciiTheme="majorHAnsi" w:hAnsiTheme="majorHAnsi" w:cstheme="majorHAnsi"/>
        </w:rPr>
        <w:t xml:space="preserve"> </w:t>
      </w:r>
      <w:r w:rsidRPr="0053555E">
        <w:rPr>
          <w:rFonts w:asciiTheme="majorHAnsi" w:hAnsiTheme="majorHAnsi" w:cstheme="majorHAnsi"/>
        </w:rPr>
        <w:t>pod.</w:t>
      </w:r>
      <w:r w:rsidR="00A42A55" w:rsidRPr="0053555E">
        <w:rPr>
          <w:rFonts w:asciiTheme="majorHAnsi" w:hAnsiTheme="majorHAnsi" w:cstheme="majorHAnsi"/>
        </w:rPr>
        <w:t xml:space="preserve"> </w:t>
      </w:r>
      <w:r w:rsidR="00EB7CAD" w:rsidRPr="0053555E">
        <w:rPr>
          <w:rFonts w:asciiTheme="majorHAnsi" w:hAnsiTheme="majorHAnsi" w:cstheme="majorHAnsi"/>
        </w:rPr>
        <w:t xml:space="preserve">V priebehu </w:t>
      </w:r>
      <w:r w:rsidR="00F95103">
        <w:rPr>
          <w:rFonts w:asciiTheme="majorHAnsi" w:hAnsiTheme="majorHAnsi" w:cstheme="majorHAnsi"/>
        </w:rPr>
        <w:t>dištančného vzdelávania</w:t>
      </w:r>
      <w:r w:rsidR="00EB7CAD" w:rsidRPr="0053555E">
        <w:rPr>
          <w:rFonts w:asciiTheme="majorHAnsi" w:hAnsiTheme="majorHAnsi" w:cstheme="majorHAnsi"/>
        </w:rPr>
        <w:t xml:space="preserve"> </w:t>
      </w:r>
      <w:r w:rsidR="00A42A55" w:rsidRPr="0053555E">
        <w:rPr>
          <w:rFonts w:asciiTheme="majorHAnsi" w:hAnsiTheme="majorHAnsi" w:cstheme="majorHAnsi"/>
        </w:rPr>
        <w:t xml:space="preserve">boli dotazníky zamerané najmä na spokojnosť </w:t>
      </w:r>
      <w:r w:rsidR="00163B3E">
        <w:rPr>
          <w:rFonts w:asciiTheme="majorHAnsi" w:hAnsiTheme="majorHAnsi" w:cstheme="majorHAnsi"/>
        </w:rPr>
        <w:t>touto metódou výučby</w:t>
      </w:r>
      <w:r w:rsidR="00A42A55" w:rsidRPr="0053555E">
        <w:rPr>
          <w:rFonts w:asciiTheme="majorHAnsi" w:hAnsiTheme="majorHAnsi" w:cstheme="majorHAnsi"/>
        </w:rPr>
        <w:t>.</w:t>
      </w:r>
      <w:r w:rsidR="00F52F02" w:rsidRPr="0053555E">
        <w:rPr>
          <w:rFonts w:asciiTheme="majorHAnsi" w:hAnsiTheme="majorHAnsi" w:cstheme="majorHAnsi"/>
        </w:rPr>
        <w:t xml:space="preserve"> </w:t>
      </w:r>
      <w:r w:rsidRPr="0053555E">
        <w:rPr>
          <w:rFonts w:asciiTheme="majorHAnsi" w:hAnsiTheme="majorHAnsi" w:cstheme="majorHAnsi"/>
        </w:rPr>
        <w:t xml:space="preserve">Okrem toho </w:t>
      </w:r>
      <w:r w:rsidR="007B52A8" w:rsidRPr="0053555E">
        <w:rPr>
          <w:rFonts w:asciiTheme="majorHAnsi" w:hAnsiTheme="majorHAnsi" w:cstheme="majorHAnsi"/>
        </w:rPr>
        <w:t>mali</w:t>
      </w:r>
      <w:r w:rsidRPr="0053555E">
        <w:rPr>
          <w:rFonts w:asciiTheme="majorHAnsi" w:hAnsiTheme="majorHAnsi" w:cstheme="majorHAnsi"/>
        </w:rPr>
        <w:t xml:space="preserve"> študenti možnosť vyjadrovať sa ku kvalite výučby jednotlivých predme</w:t>
      </w:r>
      <w:r w:rsidR="001828EF">
        <w:rPr>
          <w:rFonts w:asciiTheme="majorHAnsi" w:hAnsiTheme="majorHAnsi" w:cstheme="majorHAnsi"/>
        </w:rPr>
        <w:t xml:space="preserve">tov a učiteľov samostatne </w:t>
      </w:r>
      <w:r w:rsidRPr="0053555E">
        <w:rPr>
          <w:rFonts w:asciiTheme="majorHAnsi" w:hAnsiTheme="majorHAnsi" w:cstheme="majorHAnsi"/>
        </w:rPr>
        <w:t>pomocou dotazníka v</w:t>
      </w:r>
      <w:r w:rsidR="004D741D" w:rsidRPr="0053555E">
        <w:rPr>
          <w:rFonts w:asciiTheme="majorHAnsi" w:hAnsiTheme="majorHAnsi" w:cstheme="majorHAnsi"/>
        </w:rPr>
        <w:t> </w:t>
      </w:r>
      <w:r w:rsidRPr="0053555E">
        <w:rPr>
          <w:rFonts w:asciiTheme="majorHAnsi" w:hAnsiTheme="majorHAnsi" w:cstheme="majorHAnsi"/>
        </w:rPr>
        <w:t>AIS</w:t>
      </w:r>
      <w:r w:rsidR="004D741D" w:rsidRPr="0053555E">
        <w:rPr>
          <w:rFonts w:asciiTheme="majorHAnsi" w:hAnsiTheme="majorHAnsi" w:cstheme="majorHAnsi"/>
        </w:rPr>
        <w:t xml:space="preserve"> –</w:t>
      </w:r>
      <w:r w:rsidR="002C15EF" w:rsidRPr="0053555E">
        <w:rPr>
          <w:rFonts w:asciiTheme="majorHAnsi" w:hAnsiTheme="majorHAnsi" w:cstheme="majorHAnsi"/>
        </w:rPr>
        <w:t xml:space="preserve"> </w:t>
      </w:r>
      <w:r w:rsidR="004D741D" w:rsidRPr="0053555E">
        <w:rPr>
          <w:rFonts w:asciiTheme="majorHAnsi" w:hAnsiTheme="majorHAnsi" w:cstheme="majorHAnsi"/>
        </w:rPr>
        <w:t>Evaluácie predmetov</w:t>
      </w:r>
      <w:r w:rsidRPr="0053555E">
        <w:rPr>
          <w:rFonts w:asciiTheme="majorHAnsi" w:hAnsiTheme="majorHAnsi" w:cstheme="majorHAnsi"/>
        </w:rPr>
        <w:t xml:space="preserve">. </w:t>
      </w:r>
      <w:r w:rsidR="00483EA8" w:rsidRPr="00483EA8">
        <w:rPr>
          <w:rFonts w:asciiTheme="majorHAnsi" w:hAnsiTheme="majorHAnsi" w:cstheme="majorHAnsi"/>
        </w:rPr>
        <w:t xml:space="preserve">Výhodou </w:t>
      </w:r>
      <w:r w:rsidR="001366B9">
        <w:rPr>
          <w:rFonts w:asciiTheme="majorHAnsi" w:hAnsiTheme="majorHAnsi" w:cstheme="majorHAnsi"/>
        </w:rPr>
        <w:t>evaluácie predmetov</w:t>
      </w:r>
      <w:r w:rsidR="001828EF">
        <w:rPr>
          <w:rFonts w:asciiTheme="majorHAnsi" w:hAnsiTheme="majorHAnsi" w:cstheme="majorHAnsi"/>
        </w:rPr>
        <w:t xml:space="preserve"> v AIS je možnosť vyjadriť</w:t>
      </w:r>
      <w:r w:rsidR="00483EA8" w:rsidRPr="00483EA8">
        <w:rPr>
          <w:rFonts w:asciiTheme="majorHAnsi" w:hAnsiTheme="majorHAnsi" w:cstheme="majorHAnsi"/>
        </w:rPr>
        <w:t xml:space="preserve"> sa ku všetkým predmetom a ich vzdelávacím činnostiam (prednášky, cvičenia, laboratórne cvičenia</w:t>
      </w:r>
      <w:r w:rsidR="001366B9">
        <w:rPr>
          <w:rFonts w:asciiTheme="majorHAnsi" w:hAnsiTheme="majorHAnsi" w:cstheme="majorHAnsi"/>
        </w:rPr>
        <w:t>, semináre, ateliéry,...</w:t>
      </w:r>
      <w:r w:rsidR="00483EA8" w:rsidRPr="00483EA8">
        <w:rPr>
          <w:rFonts w:asciiTheme="majorHAnsi" w:hAnsiTheme="majorHAnsi" w:cstheme="majorHAnsi"/>
        </w:rPr>
        <w:t xml:space="preserve">) hodnotením stupňa kvality, ale aj slovnými pripomienkami k vyučovaciemu procesu i </w:t>
      </w:r>
      <w:r w:rsidR="001366B9">
        <w:rPr>
          <w:rFonts w:asciiTheme="majorHAnsi" w:hAnsiTheme="majorHAnsi" w:cstheme="majorHAnsi"/>
        </w:rPr>
        <w:t>učiteľovi</w:t>
      </w:r>
      <w:r w:rsidR="00483EA8" w:rsidRPr="00483EA8">
        <w:rPr>
          <w:rFonts w:asciiTheme="majorHAnsi" w:hAnsiTheme="majorHAnsi" w:cstheme="majorHAnsi"/>
        </w:rPr>
        <w:t xml:space="preserve">. </w:t>
      </w:r>
      <w:r w:rsidR="00553314" w:rsidRPr="0053555E">
        <w:rPr>
          <w:rFonts w:asciiTheme="majorHAnsi" w:hAnsiTheme="majorHAnsi" w:cstheme="majorHAnsi"/>
        </w:rPr>
        <w:t>Využívanie AIS na</w:t>
      </w:r>
      <w:r w:rsidR="00E46663">
        <w:rPr>
          <w:rFonts w:asciiTheme="majorHAnsi" w:hAnsiTheme="majorHAnsi" w:cstheme="majorHAnsi"/>
        </w:rPr>
        <w:t> </w:t>
      </w:r>
      <w:r w:rsidR="00553314" w:rsidRPr="0053555E">
        <w:rPr>
          <w:rFonts w:asciiTheme="majorHAnsi" w:hAnsiTheme="majorHAnsi" w:cstheme="majorHAnsi"/>
        </w:rPr>
        <w:t>dotazníkové ankety študentov možno hodnotiť pozitívne, hlavne z hľadiska jednoduchosti monitorovania a vyhodnocovania ankiet.</w:t>
      </w:r>
    </w:p>
    <w:p w14:paraId="35DB3EDB" w14:textId="661B01DC" w:rsidR="00F1093C" w:rsidRPr="0053555E" w:rsidRDefault="00AB2E7D" w:rsidP="00324438">
      <w:pPr>
        <w:tabs>
          <w:tab w:val="left" w:pos="9356"/>
        </w:tabs>
        <w:spacing w:after="120"/>
        <w:jc w:val="both"/>
        <w:rPr>
          <w:rFonts w:asciiTheme="majorHAnsi" w:hAnsiTheme="majorHAnsi" w:cstheme="majorHAnsi"/>
        </w:rPr>
      </w:pPr>
      <w:r w:rsidRPr="009221EF">
        <w:rPr>
          <w:rFonts w:asciiTheme="majorHAnsi" w:hAnsiTheme="majorHAnsi" w:cstheme="majorHAnsi"/>
        </w:rPr>
        <w:t xml:space="preserve">Súčasti STU organizovali dotazníkové prieskumy </w:t>
      </w:r>
      <w:r w:rsidR="002071AC" w:rsidRPr="009221EF">
        <w:rPr>
          <w:rFonts w:asciiTheme="majorHAnsi" w:hAnsiTheme="majorHAnsi" w:cstheme="majorHAnsi"/>
        </w:rPr>
        <w:t xml:space="preserve">z časového hľadiska </w:t>
      </w:r>
      <w:r w:rsidR="00F94538" w:rsidRPr="009221EF">
        <w:rPr>
          <w:rFonts w:asciiTheme="majorHAnsi" w:hAnsiTheme="majorHAnsi" w:cstheme="majorHAnsi"/>
        </w:rPr>
        <w:t xml:space="preserve">rôzne. Na niektorých </w:t>
      </w:r>
      <w:r w:rsidR="00F94538" w:rsidRPr="0053555E">
        <w:rPr>
          <w:rFonts w:asciiTheme="majorHAnsi" w:hAnsiTheme="majorHAnsi" w:cstheme="majorHAnsi"/>
        </w:rPr>
        <w:t>sa </w:t>
      </w:r>
      <w:r w:rsidR="002071AC" w:rsidRPr="0053555E">
        <w:rPr>
          <w:rFonts w:asciiTheme="majorHAnsi" w:hAnsiTheme="majorHAnsi" w:cstheme="majorHAnsi"/>
        </w:rPr>
        <w:t>vyhodnoc</w:t>
      </w:r>
      <w:r w:rsidR="007B52A8" w:rsidRPr="0053555E">
        <w:rPr>
          <w:rFonts w:asciiTheme="majorHAnsi" w:hAnsiTheme="majorHAnsi" w:cstheme="majorHAnsi"/>
        </w:rPr>
        <w:t>ovali</w:t>
      </w:r>
      <w:r w:rsidR="002071AC" w:rsidRPr="0053555E">
        <w:rPr>
          <w:rFonts w:asciiTheme="majorHAnsi" w:hAnsiTheme="majorHAnsi" w:cstheme="majorHAnsi"/>
        </w:rPr>
        <w:t xml:space="preserve"> </w:t>
      </w:r>
      <w:r w:rsidR="00C77194" w:rsidRPr="0053555E">
        <w:rPr>
          <w:rFonts w:asciiTheme="majorHAnsi" w:hAnsiTheme="majorHAnsi" w:cstheme="majorHAnsi"/>
        </w:rPr>
        <w:t xml:space="preserve">na začiatku semestra pri zápise, na niektorých </w:t>
      </w:r>
      <w:r w:rsidR="00AA7BB1" w:rsidRPr="0053555E">
        <w:rPr>
          <w:rFonts w:asciiTheme="majorHAnsi" w:hAnsiTheme="majorHAnsi" w:cstheme="majorHAnsi"/>
        </w:rPr>
        <w:t>po každom semestri, na </w:t>
      </w:r>
      <w:r w:rsidR="002071AC" w:rsidRPr="0053555E">
        <w:rPr>
          <w:rFonts w:asciiTheme="majorHAnsi" w:hAnsiTheme="majorHAnsi" w:cstheme="majorHAnsi"/>
        </w:rPr>
        <w:t>niektorých raz za akademický rok</w:t>
      </w:r>
      <w:r w:rsidR="005647F6" w:rsidRPr="0053555E">
        <w:rPr>
          <w:rFonts w:asciiTheme="majorHAnsi" w:hAnsiTheme="majorHAnsi" w:cstheme="majorHAnsi"/>
        </w:rPr>
        <w:t xml:space="preserve">, na niektorých </w:t>
      </w:r>
      <w:r w:rsidR="00383D18" w:rsidRPr="0053555E">
        <w:rPr>
          <w:rFonts w:asciiTheme="majorHAnsi" w:hAnsiTheme="majorHAnsi" w:cstheme="majorHAnsi"/>
        </w:rPr>
        <w:t>na konci štúdia</w:t>
      </w:r>
      <w:r w:rsidR="003C7F1B" w:rsidRPr="0053555E">
        <w:rPr>
          <w:rFonts w:asciiTheme="majorHAnsi" w:hAnsiTheme="majorHAnsi" w:cstheme="majorHAnsi"/>
        </w:rPr>
        <w:t xml:space="preserve"> alebo </w:t>
      </w:r>
      <w:r w:rsidR="005647F6" w:rsidRPr="0053555E">
        <w:rPr>
          <w:rFonts w:asciiTheme="majorHAnsi" w:hAnsiTheme="majorHAnsi" w:cstheme="majorHAnsi"/>
        </w:rPr>
        <w:t>na základe aktuálnej potreby, ktoré inici</w:t>
      </w:r>
      <w:r w:rsidR="007B52A8" w:rsidRPr="0053555E">
        <w:rPr>
          <w:rFonts w:asciiTheme="majorHAnsi" w:hAnsiTheme="majorHAnsi" w:cstheme="majorHAnsi"/>
        </w:rPr>
        <w:t>ovali</w:t>
      </w:r>
      <w:r w:rsidR="005647F6" w:rsidRPr="0053555E">
        <w:rPr>
          <w:rFonts w:asciiTheme="majorHAnsi" w:hAnsiTheme="majorHAnsi" w:cstheme="majorHAnsi"/>
        </w:rPr>
        <w:t xml:space="preserve"> predovšetkým garanti predmetov, resp. garanti študijných programov, ale aj samotní študenti.</w:t>
      </w:r>
      <w:r w:rsidR="00F1093C" w:rsidRPr="0053555E">
        <w:rPr>
          <w:rFonts w:asciiTheme="majorHAnsi" w:hAnsiTheme="majorHAnsi" w:cstheme="majorHAnsi"/>
        </w:rPr>
        <w:t xml:space="preserve"> </w:t>
      </w:r>
      <w:r w:rsidR="00500A37">
        <w:rPr>
          <w:rFonts w:asciiTheme="majorHAnsi" w:hAnsiTheme="majorHAnsi" w:cstheme="majorHAnsi"/>
        </w:rPr>
        <w:t>Vedúci</w:t>
      </w:r>
      <w:r w:rsidR="00080D88" w:rsidRPr="0053555E">
        <w:rPr>
          <w:rFonts w:asciiTheme="majorHAnsi" w:hAnsiTheme="majorHAnsi" w:cstheme="majorHAnsi"/>
        </w:rPr>
        <w:t xml:space="preserve"> </w:t>
      </w:r>
      <w:r w:rsidR="00500A37">
        <w:rPr>
          <w:rFonts w:asciiTheme="majorHAnsi" w:hAnsiTheme="majorHAnsi" w:cstheme="majorHAnsi"/>
        </w:rPr>
        <w:t>zamestnanci</w:t>
      </w:r>
      <w:r w:rsidR="00080D88" w:rsidRPr="0053555E">
        <w:rPr>
          <w:rFonts w:asciiTheme="majorHAnsi" w:hAnsiTheme="majorHAnsi" w:cstheme="majorHAnsi"/>
        </w:rPr>
        <w:t xml:space="preserve"> majú v AIS prístup k hodnoteniu všetkých predmetov, ktoré ich pracovisko garantuje, </w:t>
      </w:r>
      <w:r w:rsidR="006E676C" w:rsidRPr="0053555E">
        <w:rPr>
          <w:rFonts w:asciiTheme="majorHAnsi" w:hAnsiTheme="majorHAnsi" w:cstheme="majorHAnsi"/>
        </w:rPr>
        <w:t>g</w:t>
      </w:r>
      <w:r w:rsidR="00080D88" w:rsidRPr="0053555E">
        <w:rPr>
          <w:rFonts w:asciiTheme="majorHAnsi" w:hAnsiTheme="majorHAnsi" w:cstheme="majorHAnsi"/>
        </w:rPr>
        <w:t>arantom študijných programov sú prístupné výsledky ankiet predmeto</w:t>
      </w:r>
      <w:r w:rsidR="00296989" w:rsidRPr="0053555E">
        <w:rPr>
          <w:rFonts w:asciiTheme="majorHAnsi" w:hAnsiTheme="majorHAnsi" w:cstheme="majorHAnsi"/>
        </w:rPr>
        <w:t>v</w:t>
      </w:r>
      <w:r w:rsidR="00080D88" w:rsidRPr="0053555E">
        <w:rPr>
          <w:rFonts w:asciiTheme="majorHAnsi" w:hAnsiTheme="majorHAnsi" w:cstheme="majorHAnsi"/>
        </w:rPr>
        <w:t xml:space="preserve"> študijného programu, ktorý garantujú. </w:t>
      </w:r>
      <w:r w:rsidR="006E676C" w:rsidRPr="0053555E">
        <w:rPr>
          <w:rFonts w:asciiTheme="majorHAnsi" w:hAnsiTheme="majorHAnsi" w:cstheme="majorHAnsi"/>
        </w:rPr>
        <w:t>Na základe hodnotení boli vykonané opatrenia, pričom v</w:t>
      </w:r>
      <w:r w:rsidR="00F1093C" w:rsidRPr="0053555E">
        <w:rPr>
          <w:rFonts w:asciiTheme="majorHAnsi" w:hAnsiTheme="majorHAnsi" w:cstheme="majorHAnsi"/>
        </w:rPr>
        <w:t xml:space="preserve">edenia </w:t>
      </w:r>
      <w:r w:rsidR="009C344E" w:rsidRPr="0053555E">
        <w:rPr>
          <w:rFonts w:asciiTheme="majorHAnsi" w:hAnsiTheme="majorHAnsi" w:cstheme="majorHAnsi"/>
        </w:rPr>
        <w:t>fakúlt</w:t>
      </w:r>
      <w:r w:rsidR="00F1093C" w:rsidRPr="0053555E">
        <w:rPr>
          <w:rFonts w:asciiTheme="majorHAnsi" w:hAnsiTheme="majorHAnsi" w:cstheme="majorHAnsi"/>
        </w:rPr>
        <w:t xml:space="preserve"> primerane </w:t>
      </w:r>
      <w:r w:rsidR="002A659F" w:rsidRPr="0053555E">
        <w:rPr>
          <w:rFonts w:asciiTheme="majorHAnsi" w:hAnsiTheme="majorHAnsi" w:cstheme="majorHAnsi"/>
        </w:rPr>
        <w:t>informovali</w:t>
      </w:r>
      <w:r w:rsidR="00F1093C" w:rsidRPr="0053555E">
        <w:rPr>
          <w:rFonts w:asciiTheme="majorHAnsi" w:hAnsiTheme="majorHAnsi" w:cstheme="majorHAnsi"/>
        </w:rPr>
        <w:t xml:space="preserve"> študentov </w:t>
      </w:r>
      <w:r w:rsidR="00F1093C" w:rsidRPr="0053555E">
        <w:rPr>
          <w:rFonts w:asciiTheme="majorHAnsi" w:hAnsiTheme="majorHAnsi" w:cstheme="majorHAnsi"/>
        </w:rPr>
        <w:lastRenderedPageBreak/>
        <w:t xml:space="preserve">o výsledkoch </w:t>
      </w:r>
      <w:r w:rsidR="00C77194" w:rsidRPr="0053555E">
        <w:rPr>
          <w:rFonts w:asciiTheme="majorHAnsi" w:hAnsiTheme="majorHAnsi" w:cstheme="majorHAnsi"/>
        </w:rPr>
        <w:t>ankiet</w:t>
      </w:r>
      <w:r w:rsidR="00F1093C" w:rsidRPr="0053555E">
        <w:rPr>
          <w:rFonts w:asciiTheme="majorHAnsi" w:hAnsiTheme="majorHAnsi" w:cstheme="majorHAnsi"/>
        </w:rPr>
        <w:t xml:space="preserve"> a o </w:t>
      </w:r>
      <w:r w:rsidR="00396555" w:rsidRPr="0053555E">
        <w:rPr>
          <w:rFonts w:asciiTheme="majorHAnsi" w:hAnsiTheme="majorHAnsi" w:cstheme="majorHAnsi"/>
        </w:rPr>
        <w:t>prijatých</w:t>
      </w:r>
      <w:r w:rsidR="00F1093C" w:rsidRPr="0053555E">
        <w:rPr>
          <w:rFonts w:asciiTheme="majorHAnsi" w:hAnsiTheme="majorHAnsi" w:cstheme="majorHAnsi"/>
        </w:rPr>
        <w:t xml:space="preserve"> opatren</w:t>
      </w:r>
      <w:r w:rsidR="00396555" w:rsidRPr="0053555E">
        <w:rPr>
          <w:rFonts w:asciiTheme="majorHAnsi" w:hAnsiTheme="majorHAnsi" w:cstheme="majorHAnsi"/>
        </w:rPr>
        <w:t>iach</w:t>
      </w:r>
      <w:r w:rsidR="00F1093C" w:rsidRPr="0053555E">
        <w:rPr>
          <w:rFonts w:asciiTheme="majorHAnsi" w:hAnsiTheme="majorHAnsi" w:cstheme="majorHAnsi"/>
        </w:rPr>
        <w:t xml:space="preserve">. </w:t>
      </w:r>
      <w:r w:rsidR="006E676C" w:rsidRPr="0053555E">
        <w:rPr>
          <w:rFonts w:asciiTheme="majorHAnsi" w:hAnsiTheme="majorHAnsi" w:cstheme="majorHAnsi"/>
        </w:rPr>
        <w:t>Zo strany študentov prišli viaceré kladné reakcie</w:t>
      </w:r>
      <w:r w:rsidR="00134F4B" w:rsidRPr="0053555E">
        <w:rPr>
          <w:rFonts w:asciiTheme="majorHAnsi" w:hAnsiTheme="majorHAnsi" w:cstheme="majorHAnsi"/>
        </w:rPr>
        <w:t xml:space="preserve"> ako aj podnety na zlepšenie najmä v súvislosti s dištančným vzdelávaním</w:t>
      </w:r>
      <w:r w:rsidR="006E676C" w:rsidRPr="0053555E">
        <w:rPr>
          <w:rFonts w:asciiTheme="majorHAnsi" w:hAnsiTheme="majorHAnsi" w:cstheme="majorHAnsi"/>
        </w:rPr>
        <w:t>. Učitelia zodpovední za predmet mali možnosť reagovať na výsledky ankiet hromadným</w:t>
      </w:r>
      <w:r w:rsidR="00396555" w:rsidRPr="0053555E">
        <w:rPr>
          <w:rFonts w:asciiTheme="majorHAnsi" w:hAnsiTheme="majorHAnsi" w:cstheme="majorHAnsi"/>
        </w:rPr>
        <w:t>i</w:t>
      </w:r>
      <w:r w:rsidR="006E676C" w:rsidRPr="0053555E">
        <w:rPr>
          <w:rFonts w:asciiTheme="majorHAnsi" w:hAnsiTheme="majorHAnsi" w:cstheme="majorHAnsi"/>
        </w:rPr>
        <w:t xml:space="preserve"> </w:t>
      </w:r>
      <w:r w:rsidR="00396555" w:rsidRPr="0053555E">
        <w:rPr>
          <w:rFonts w:asciiTheme="majorHAnsi" w:hAnsiTheme="majorHAnsi" w:cstheme="majorHAnsi"/>
        </w:rPr>
        <w:t>správami</w:t>
      </w:r>
      <w:r w:rsidR="006E676C" w:rsidRPr="0053555E">
        <w:rPr>
          <w:rFonts w:asciiTheme="majorHAnsi" w:hAnsiTheme="majorHAnsi" w:cstheme="majorHAnsi"/>
        </w:rPr>
        <w:t xml:space="preserve"> pre študentov.</w:t>
      </w:r>
    </w:p>
    <w:p w14:paraId="3707336C" w14:textId="773134B2" w:rsidR="002071AC" w:rsidRPr="0053555E" w:rsidRDefault="006B1EF7" w:rsidP="00324438">
      <w:pPr>
        <w:tabs>
          <w:tab w:val="left" w:pos="9356"/>
        </w:tabs>
        <w:spacing w:after="120"/>
        <w:jc w:val="both"/>
        <w:rPr>
          <w:rFonts w:asciiTheme="majorHAnsi" w:hAnsiTheme="majorHAnsi" w:cstheme="majorHAnsi"/>
        </w:rPr>
      </w:pPr>
      <w:r>
        <w:rPr>
          <w:rFonts w:asciiTheme="majorHAnsi" w:hAnsiTheme="majorHAnsi" w:cstheme="majorHAnsi"/>
        </w:rPr>
        <w:t>J</w:t>
      </w:r>
      <w:r w:rsidR="002071AC" w:rsidRPr="0053555E">
        <w:rPr>
          <w:rFonts w:asciiTheme="majorHAnsi" w:hAnsiTheme="majorHAnsi" w:cstheme="majorHAnsi"/>
        </w:rPr>
        <w:t>ednotliv</w:t>
      </w:r>
      <w:r>
        <w:rPr>
          <w:rFonts w:asciiTheme="majorHAnsi" w:hAnsiTheme="majorHAnsi" w:cstheme="majorHAnsi"/>
        </w:rPr>
        <w:t>í</w:t>
      </w:r>
      <w:r w:rsidR="002071AC" w:rsidRPr="0053555E">
        <w:rPr>
          <w:rFonts w:asciiTheme="majorHAnsi" w:hAnsiTheme="majorHAnsi" w:cstheme="majorHAnsi"/>
        </w:rPr>
        <w:t xml:space="preserve"> učite</w:t>
      </w:r>
      <w:r>
        <w:rPr>
          <w:rFonts w:asciiTheme="majorHAnsi" w:hAnsiTheme="majorHAnsi" w:cstheme="majorHAnsi"/>
        </w:rPr>
        <w:t>lia predmetov tiež nie zriedkavo využívali</w:t>
      </w:r>
      <w:r w:rsidR="00925DB8">
        <w:rPr>
          <w:rFonts w:asciiTheme="majorHAnsi" w:hAnsiTheme="majorHAnsi" w:cstheme="majorHAnsi"/>
        </w:rPr>
        <w:t xml:space="preserve"> možnosť získať</w:t>
      </w:r>
      <w:r w:rsidR="002071AC" w:rsidRPr="0053555E">
        <w:rPr>
          <w:rFonts w:asciiTheme="majorHAnsi" w:hAnsiTheme="majorHAnsi" w:cstheme="majorHAnsi"/>
        </w:rPr>
        <w:t> stručnú spätnú väzbu od študentov pomocou vlastných dotazníkov.</w:t>
      </w:r>
      <w:r w:rsidR="00080D88" w:rsidRPr="0053555E">
        <w:rPr>
          <w:rFonts w:asciiTheme="majorHAnsi" w:hAnsiTheme="majorHAnsi" w:cstheme="majorHAnsi"/>
        </w:rPr>
        <w:t xml:space="preserve"> </w:t>
      </w:r>
      <w:r w:rsidR="00474F6E" w:rsidRPr="0053555E">
        <w:rPr>
          <w:rFonts w:asciiTheme="majorHAnsi" w:hAnsiTheme="majorHAnsi" w:cstheme="majorHAnsi"/>
        </w:rPr>
        <w:t>Najmä realizácia dištančnej výučby sa priebežne kontrolovala online hodnoteniami (študentskými aj učiteľskými anket</w:t>
      </w:r>
      <w:r w:rsidR="00AA3960" w:rsidRPr="0053555E">
        <w:rPr>
          <w:rFonts w:asciiTheme="majorHAnsi" w:hAnsiTheme="majorHAnsi" w:cstheme="majorHAnsi"/>
        </w:rPr>
        <w:t>ami</w:t>
      </w:r>
      <w:r w:rsidR="00474F6E" w:rsidRPr="0053555E">
        <w:rPr>
          <w:rFonts w:asciiTheme="majorHAnsi" w:hAnsiTheme="majorHAnsi" w:cstheme="majorHAnsi"/>
        </w:rPr>
        <w:t xml:space="preserve"> na začiatku, počas a</w:t>
      </w:r>
      <w:r w:rsidR="008026C9">
        <w:rPr>
          <w:rFonts w:asciiTheme="majorHAnsi" w:hAnsiTheme="majorHAnsi" w:cstheme="majorHAnsi"/>
        </w:rPr>
        <w:t> </w:t>
      </w:r>
      <w:r w:rsidR="00474F6E" w:rsidRPr="0053555E">
        <w:rPr>
          <w:rFonts w:asciiTheme="majorHAnsi" w:hAnsiTheme="majorHAnsi" w:cstheme="majorHAnsi"/>
        </w:rPr>
        <w:t>na konci semestra). Prevažná väčšina účastníkov hodnotenia konštatovala spokojnosť a</w:t>
      </w:r>
      <w:r w:rsidR="00925DB8">
        <w:rPr>
          <w:rFonts w:asciiTheme="majorHAnsi" w:hAnsiTheme="majorHAnsi" w:cstheme="majorHAnsi"/>
        </w:rPr>
        <w:t> </w:t>
      </w:r>
      <w:r w:rsidR="00474F6E" w:rsidRPr="0053555E">
        <w:rPr>
          <w:rFonts w:asciiTheme="majorHAnsi" w:hAnsiTheme="majorHAnsi" w:cstheme="majorHAnsi"/>
        </w:rPr>
        <w:t>oceňovala snahu o čo najlepší spôsob výučby.</w:t>
      </w:r>
    </w:p>
    <w:p w14:paraId="2A4C843D" w14:textId="2CFCB4A5" w:rsidR="00160423" w:rsidRPr="0053555E" w:rsidRDefault="002071AC" w:rsidP="00BC1A79">
      <w:pPr>
        <w:tabs>
          <w:tab w:val="left" w:pos="9356"/>
        </w:tabs>
        <w:spacing w:after="120"/>
        <w:jc w:val="both"/>
        <w:rPr>
          <w:rFonts w:asciiTheme="majorHAnsi" w:hAnsiTheme="majorHAnsi" w:cstheme="majorHAnsi"/>
        </w:rPr>
      </w:pPr>
      <w:r w:rsidRPr="0053555E">
        <w:rPr>
          <w:rFonts w:asciiTheme="majorHAnsi" w:hAnsiTheme="majorHAnsi" w:cstheme="majorHAnsi"/>
        </w:rPr>
        <w:t xml:space="preserve">Možnosť zapojiť sa do uvedených aktivít </w:t>
      </w:r>
      <w:r w:rsidR="001828EF">
        <w:rPr>
          <w:rFonts w:asciiTheme="majorHAnsi" w:hAnsiTheme="majorHAnsi" w:cstheme="majorHAnsi"/>
        </w:rPr>
        <w:t>mali študenti</w:t>
      </w:r>
      <w:r w:rsidRPr="0053555E">
        <w:rPr>
          <w:rFonts w:asciiTheme="majorHAnsi" w:hAnsiTheme="majorHAnsi" w:cstheme="majorHAnsi"/>
        </w:rPr>
        <w:t xml:space="preserve"> na všetkých troch stupňoch štúdia.</w:t>
      </w:r>
      <w:r w:rsidR="00BB44A0" w:rsidRPr="0053555E">
        <w:rPr>
          <w:rFonts w:asciiTheme="majorHAnsi" w:hAnsiTheme="majorHAnsi" w:cstheme="majorHAnsi"/>
        </w:rPr>
        <w:t xml:space="preserve"> </w:t>
      </w:r>
      <w:r w:rsidR="001828EF">
        <w:rPr>
          <w:rFonts w:asciiTheme="majorHAnsi" w:hAnsiTheme="majorHAnsi" w:cstheme="majorHAnsi"/>
        </w:rPr>
        <w:t>Vážnym a </w:t>
      </w:r>
      <w:r w:rsidRPr="0053555E">
        <w:rPr>
          <w:rFonts w:asciiTheme="majorHAnsi" w:hAnsiTheme="majorHAnsi" w:cstheme="majorHAnsi"/>
        </w:rPr>
        <w:t xml:space="preserve">dlhodobým negatívom je </w:t>
      </w:r>
      <w:r w:rsidR="00E06C52" w:rsidRPr="0053555E">
        <w:rPr>
          <w:rFonts w:asciiTheme="majorHAnsi" w:hAnsiTheme="majorHAnsi" w:cstheme="majorHAnsi"/>
        </w:rPr>
        <w:t xml:space="preserve">pomerne </w:t>
      </w:r>
      <w:r w:rsidRPr="0053555E">
        <w:rPr>
          <w:rFonts w:asciiTheme="majorHAnsi" w:hAnsiTheme="majorHAnsi" w:cstheme="majorHAnsi"/>
        </w:rPr>
        <w:t>nízke zapojenie sa študentov do</w:t>
      </w:r>
      <w:r w:rsidR="008026C9">
        <w:rPr>
          <w:rFonts w:asciiTheme="majorHAnsi" w:hAnsiTheme="majorHAnsi" w:cstheme="majorHAnsi"/>
        </w:rPr>
        <w:t> </w:t>
      </w:r>
      <w:r w:rsidRPr="0053555E">
        <w:rPr>
          <w:rFonts w:asciiTheme="majorHAnsi" w:hAnsiTheme="majorHAnsi" w:cstheme="majorHAnsi"/>
        </w:rPr>
        <w:t>ankiet, ktor</w:t>
      </w:r>
      <w:r w:rsidR="004D1FB2" w:rsidRPr="0053555E">
        <w:rPr>
          <w:rFonts w:asciiTheme="majorHAnsi" w:hAnsiTheme="majorHAnsi" w:cstheme="majorHAnsi"/>
        </w:rPr>
        <w:t>é</w:t>
      </w:r>
      <w:r w:rsidR="00F94538" w:rsidRPr="0053555E">
        <w:rPr>
          <w:rFonts w:asciiTheme="majorHAnsi" w:hAnsiTheme="majorHAnsi" w:cstheme="majorHAnsi"/>
        </w:rPr>
        <w:t xml:space="preserve"> sa</w:t>
      </w:r>
      <w:r w:rsidR="000F25AB" w:rsidRPr="0053555E">
        <w:rPr>
          <w:rFonts w:asciiTheme="majorHAnsi" w:hAnsiTheme="majorHAnsi" w:cstheme="majorHAnsi"/>
        </w:rPr>
        <w:t> na </w:t>
      </w:r>
      <w:r w:rsidR="000F6FCF" w:rsidRPr="0053555E">
        <w:rPr>
          <w:rFonts w:asciiTheme="majorHAnsi" w:hAnsiTheme="majorHAnsi" w:cstheme="majorHAnsi"/>
        </w:rPr>
        <w:t>niektorých súčastiach STU</w:t>
      </w:r>
      <w:r w:rsidRPr="0053555E">
        <w:rPr>
          <w:rFonts w:asciiTheme="majorHAnsi" w:hAnsiTheme="majorHAnsi" w:cstheme="majorHAnsi"/>
        </w:rPr>
        <w:t xml:space="preserve"> pohybuje </w:t>
      </w:r>
      <w:r w:rsidR="000F6FCF" w:rsidRPr="0053555E">
        <w:rPr>
          <w:rFonts w:asciiTheme="majorHAnsi" w:hAnsiTheme="majorHAnsi" w:cstheme="majorHAnsi"/>
        </w:rPr>
        <w:t xml:space="preserve">v priemere </w:t>
      </w:r>
      <w:r w:rsidRPr="0053555E">
        <w:rPr>
          <w:rFonts w:asciiTheme="majorHAnsi" w:hAnsiTheme="majorHAnsi" w:cstheme="majorHAnsi"/>
        </w:rPr>
        <w:t>na úrovni 1</w:t>
      </w:r>
      <w:r w:rsidR="009E5EE3" w:rsidRPr="0053555E">
        <w:rPr>
          <w:rFonts w:asciiTheme="majorHAnsi" w:hAnsiTheme="majorHAnsi" w:cstheme="majorHAnsi"/>
        </w:rPr>
        <w:t>5</w:t>
      </w:r>
      <w:r w:rsidR="00BA15CF" w:rsidRPr="0053555E">
        <w:rPr>
          <w:rFonts w:asciiTheme="majorHAnsi" w:hAnsiTheme="majorHAnsi" w:cstheme="majorHAnsi"/>
        </w:rPr>
        <w:t xml:space="preserve"> </w:t>
      </w:r>
      <w:r w:rsidRPr="0053555E">
        <w:rPr>
          <w:rFonts w:asciiTheme="majorHAnsi" w:hAnsiTheme="majorHAnsi" w:cstheme="majorHAnsi"/>
        </w:rPr>
        <w:t>%</w:t>
      </w:r>
      <w:r w:rsidR="00BA15CF" w:rsidRPr="0053555E">
        <w:rPr>
          <w:rFonts w:asciiTheme="majorHAnsi" w:hAnsiTheme="majorHAnsi" w:cstheme="majorHAnsi"/>
        </w:rPr>
        <w:t xml:space="preserve"> až </w:t>
      </w:r>
      <w:r w:rsidR="009E5EE3" w:rsidRPr="0053555E">
        <w:rPr>
          <w:rFonts w:asciiTheme="majorHAnsi" w:hAnsiTheme="majorHAnsi" w:cstheme="majorHAnsi"/>
        </w:rPr>
        <w:t>2</w:t>
      </w:r>
      <w:r w:rsidR="000F6FCF" w:rsidRPr="0053555E">
        <w:rPr>
          <w:rFonts w:asciiTheme="majorHAnsi" w:hAnsiTheme="majorHAnsi" w:cstheme="majorHAnsi"/>
        </w:rPr>
        <w:t>0</w:t>
      </w:r>
      <w:r w:rsidR="00BA15CF" w:rsidRPr="0053555E">
        <w:rPr>
          <w:rFonts w:asciiTheme="majorHAnsi" w:hAnsiTheme="majorHAnsi" w:cstheme="majorHAnsi"/>
        </w:rPr>
        <w:t xml:space="preserve"> %</w:t>
      </w:r>
      <w:r w:rsidRPr="0053555E">
        <w:rPr>
          <w:rFonts w:asciiTheme="majorHAnsi" w:hAnsiTheme="majorHAnsi" w:cstheme="majorHAnsi"/>
        </w:rPr>
        <w:t xml:space="preserve"> </w:t>
      </w:r>
      <w:r w:rsidR="00C77194" w:rsidRPr="0053555E">
        <w:rPr>
          <w:rFonts w:asciiTheme="majorHAnsi" w:hAnsiTheme="majorHAnsi" w:cstheme="majorHAnsi"/>
        </w:rPr>
        <w:t xml:space="preserve">alebo aj menej </w:t>
      </w:r>
      <w:r w:rsidR="000F25AB" w:rsidRPr="0053555E">
        <w:rPr>
          <w:rFonts w:asciiTheme="majorHAnsi" w:hAnsiTheme="majorHAnsi" w:cstheme="majorHAnsi"/>
        </w:rPr>
        <w:t>aj </w:t>
      </w:r>
      <w:r w:rsidRPr="0053555E">
        <w:rPr>
          <w:rFonts w:asciiTheme="majorHAnsi" w:hAnsiTheme="majorHAnsi" w:cstheme="majorHAnsi"/>
        </w:rPr>
        <w:t>napriek tomu, že študenti</w:t>
      </w:r>
      <w:r w:rsidR="00D1428C" w:rsidRPr="0053555E">
        <w:rPr>
          <w:rFonts w:asciiTheme="majorHAnsi" w:hAnsiTheme="majorHAnsi" w:cstheme="majorHAnsi"/>
        </w:rPr>
        <w:t xml:space="preserve"> boli</w:t>
      </w:r>
      <w:r w:rsidRPr="0053555E">
        <w:rPr>
          <w:rFonts w:asciiTheme="majorHAnsi" w:hAnsiTheme="majorHAnsi" w:cstheme="majorHAnsi"/>
        </w:rPr>
        <w:t xml:space="preserve"> viackrát a rozličným spôso</w:t>
      </w:r>
      <w:r w:rsidR="000F25AB" w:rsidRPr="0053555E">
        <w:rPr>
          <w:rFonts w:asciiTheme="majorHAnsi" w:hAnsiTheme="majorHAnsi" w:cstheme="majorHAnsi"/>
        </w:rPr>
        <w:t>bom vyzývaní na zapojenie sa do </w:t>
      </w:r>
      <w:r w:rsidRPr="0053555E">
        <w:rPr>
          <w:rFonts w:asciiTheme="majorHAnsi" w:hAnsiTheme="majorHAnsi" w:cstheme="majorHAnsi"/>
        </w:rPr>
        <w:t xml:space="preserve">ankety. </w:t>
      </w:r>
      <w:r w:rsidR="008026C9">
        <w:rPr>
          <w:rFonts w:asciiTheme="majorHAnsi" w:hAnsiTheme="majorHAnsi" w:cstheme="majorHAnsi"/>
        </w:rPr>
        <w:t>Fakulty na zvýšenie účasti študentov na anketách využívali rôzne moti</w:t>
      </w:r>
      <w:r w:rsidR="000000E1">
        <w:rPr>
          <w:rFonts w:asciiTheme="majorHAnsi" w:hAnsiTheme="majorHAnsi" w:cstheme="majorHAnsi"/>
        </w:rPr>
        <w:t>vujúce prvky.</w:t>
      </w:r>
    </w:p>
    <w:p w14:paraId="5479CF02" w14:textId="253C59BB" w:rsidR="00DB6115" w:rsidRPr="0053555E" w:rsidRDefault="002071AC" w:rsidP="00B7023C">
      <w:pPr>
        <w:tabs>
          <w:tab w:val="left" w:pos="9356"/>
        </w:tabs>
        <w:spacing w:after="120"/>
        <w:jc w:val="both"/>
        <w:rPr>
          <w:rFonts w:asciiTheme="majorHAnsi" w:hAnsiTheme="majorHAnsi" w:cstheme="majorHAnsi"/>
        </w:rPr>
      </w:pPr>
      <w:r w:rsidRPr="0053555E">
        <w:rPr>
          <w:rFonts w:asciiTheme="majorHAnsi" w:hAnsiTheme="majorHAnsi" w:cstheme="majorHAnsi"/>
        </w:rPr>
        <w:t xml:space="preserve">Pozitívne možno hodnotiť </w:t>
      </w:r>
      <w:r w:rsidR="006D59CC" w:rsidRPr="0053555E">
        <w:rPr>
          <w:rFonts w:asciiTheme="majorHAnsi" w:hAnsiTheme="majorHAnsi" w:cstheme="majorHAnsi"/>
        </w:rPr>
        <w:t xml:space="preserve">relatívne vysokú </w:t>
      </w:r>
      <w:r w:rsidRPr="0053555E">
        <w:rPr>
          <w:rFonts w:asciiTheme="majorHAnsi" w:hAnsiTheme="majorHAnsi" w:cstheme="majorHAnsi"/>
        </w:rPr>
        <w:t>účas</w:t>
      </w:r>
      <w:r w:rsidR="001F37B5" w:rsidRPr="0053555E">
        <w:rPr>
          <w:rFonts w:asciiTheme="majorHAnsi" w:hAnsiTheme="majorHAnsi" w:cstheme="majorHAnsi"/>
        </w:rPr>
        <w:t>ť</w:t>
      </w:r>
      <w:r w:rsidRPr="0053555E">
        <w:rPr>
          <w:rFonts w:asciiTheme="majorHAnsi" w:hAnsiTheme="majorHAnsi" w:cstheme="majorHAnsi"/>
        </w:rPr>
        <w:t xml:space="preserve"> </w:t>
      </w:r>
      <w:r w:rsidRPr="0053555E">
        <w:rPr>
          <w:rFonts w:asciiTheme="majorHAnsi" w:hAnsiTheme="majorHAnsi" w:cstheme="majorHAnsi"/>
          <w:b/>
        </w:rPr>
        <w:t>študentov</w:t>
      </w:r>
      <w:r w:rsidRPr="0053555E">
        <w:rPr>
          <w:rFonts w:asciiTheme="majorHAnsi" w:hAnsiTheme="majorHAnsi" w:cstheme="majorHAnsi"/>
        </w:rPr>
        <w:t xml:space="preserve"> </w:t>
      </w:r>
      <w:r w:rsidR="00C77194" w:rsidRPr="0053555E">
        <w:rPr>
          <w:rFonts w:asciiTheme="majorHAnsi" w:hAnsiTheme="majorHAnsi" w:cstheme="majorHAnsi"/>
          <w:b/>
        </w:rPr>
        <w:t>SvF</w:t>
      </w:r>
      <w:r w:rsidR="00C77194" w:rsidRPr="0053555E">
        <w:rPr>
          <w:rFonts w:asciiTheme="majorHAnsi" w:hAnsiTheme="majorHAnsi" w:cstheme="majorHAnsi"/>
        </w:rPr>
        <w:t xml:space="preserve"> </w:t>
      </w:r>
      <w:r w:rsidRPr="0053555E">
        <w:rPr>
          <w:rFonts w:asciiTheme="majorHAnsi" w:hAnsiTheme="majorHAnsi" w:cstheme="majorHAnsi"/>
        </w:rPr>
        <w:t xml:space="preserve">na </w:t>
      </w:r>
      <w:r w:rsidR="006D59CC" w:rsidRPr="0053555E">
        <w:rPr>
          <w:rFonts w:asciiTheme="majorHAnsi" w:hAnsiTheme="majorHAnsi" w:cstheme="majorHAnsi"/>
        </w:rPr>
        <w:t>anketách</w:t>
      </w:r>
      <w:r w:rsidRPr="0053555E">
        <w:rPr>
          <w:rFonts w:asciiTheme="majorHAnsi" w:hAnsiTheme="majorHAnsi" w:cstheme="majorHAnsi"/>
        </w:rPr>
        <w:t xml:space="preserve"> </w:t>
      </w:r>
      <w:r w:rsidR="00C77194" w:rsidRPr="0053555E">
        <w:rPr>
          <w:rFonts w:asciiTheme="majorHAnsi" w:hAnsiTheme="majorHAnsi" w:cstheme="majorHAnsi"/>
        </w:rPr>
        <w:t xml:space="preserve">organizovaných </w:t>
      </w:r>
      <w:r w:rsidR="009C344E" w:rsidRPr="0053555E">
        <w:rPr>
          <w:rFonts w:asciiTheme="majorHAnsi" w:hAnsiTheme="majorHAnsi" w:cstheme="majorHAnsi"/>
        </w:rPr>
        <w:t>fakultou</w:t>
      </w:r>
      <w:r w:rsidRPr="0053555E">
        <w:rPr>
          <w:rFonts w:asciiTheme="majorHAnsi" w:hAnsiTheme="majorHAnsi" w:cstheme="majorHAnsi"/>
        </w:rPr>
        <w:t xml:space="preserve"> (</w:t>
      </w:r>
      <w:r w:rsidR="00C77194" w:rsidRPr="0053555E">
        <w:rPr>
          <w:rFonts w:asciiTheme="majorHAnsi" w:hAnsiTheme="majorHAnsi" w:cstheme="majorHAnsi"/>
        </w:rPr>
        <w:t xml:space="preserve">niekoľko rokov </w:t>
      </w:r>
      <w:r w:rsidR="008D060F" w:rsidRPr="0053555E">
        <w:rPr>
          <w:rFonts w:asciiTheme="majorHAnsi" w:hAnsiTheme="majorHAnsi" w:cstheme="majorHAnsi"/>
        </w:rPr>
        <w:t xml:space="preserve">sa pohybuje na úrovni </w:t>
      </w:r>
      <w:r w:rsidR="00B7023C">
        <w:rPr>
          <w:rFonts w:asciiTheme="majorHAnsi" w:hAnsiTheme="majorHAnsi" w:cstheme="majorHAnsi"/>
          <w:b/>
        </w:rPr>
        <w:t>35</w:t>
      </w:r>
      <w:r w:rsidR="008D060F" w:rsidRPr="0053555E">
        <w:rPr>
          <w:rFonts w:asciiTheme="majorHAnsi" w:hAnsiTheme="majorHAnsi" w:cstheme="majorHAnsi"/>
          <w:b/>
        </w:rPr>
        <w:t xml:space="preserve"> </w:t>
      </w:r>
      <w:r w:rsidR="00DB6115" w:rsidRPr="0053555E">
        <w:rPr>
          <w:rFonts w:asciiTheme="majorHAnsi" w:hAnsiTheme="majorHAnsi" w:cstheme="majorHAnsi"/>
          <w:b/>
        </w:rPr>
        <w:t xml:space="preserve">% </w:t>
      </w:r>
      <w:r w:rsidR="008D060F" w:rsidRPr="0053555E">
        <w:rPr>
          <w:rFonts w:asciiTheme="majorHAnsi" w:hAnsiTheme="majorHAnsi" w:cstheme="majorHAnsi"/>
          <w:b/>
        </w:rPr>
        <w:t>až 60</w:t>
      </w:r>
      <w:r w:rsidR="00C77194" w:rsidRPr="0053555E">
        <w:rPr>
          <w:rFonts w:asciiTheme="majorHAnsi" w:hAnsiTheme="majorHAnsi" w:cstheme="majorHAnsi"/>
          <w:b/>
        </w:rPr>
        <w:t xml:space="preserve"> </w:t>
      </w:r>
      <w:r w:rsidRPr="0053555E">
        <w:rPr>
          <w:rFonts w:asciiTheme="majorHAnsi" w:hAnsiTheme="majorHAnsi" w:cstheme="majorHAnsi"/>
          <w:b/>
        </w:rPr>
        <w:t>%</w:t>
      </w:r>
      <w:r w:rsidR="006A514F" w:rsidRPr="0053555E">
        <w:rPr>
          <w:rFonts w:asciiTheme="majorHAnsi" w:hAnsiTheme="majorHAnsi" w:cstheme="majorHAnsi"/>
        </w:rPr>
        <w:t xml:space="preserve"> z počtu všetkých študentov SvF</w:t>
      </w:r>
      <w:r w:rsidRPr="0053555E">
        <w:rPr>
          <w:rFonts w:asciiTheme="majorHAnsi" w:hAnsiTheme="majorHAnsi" w:cstheme="majorHAnsi"/>
        </w:rPr>
        <w:t>)</w:t>
      </w:r>
      <w:r w:rsidR="00C77194" w:rsidRPr="0053555E">
        <w:rPr>
          <w:rFonts w:asciiTheme="majorHAnsi" w:hAnsiTheme="majorHAnsi" w:cstheme="majorHAnsi"/>
        </w:rPr>
        <w:t xml:space="preserve">. </w:t>
      </w:r>
      <w:r w:rsidR="00B7023C" w:rsidRPr="00B7023C">
        <w:rPr>
          <w:rFonts w:asciiTheme="majorHAnsi" w:hAnsiTheme="majorHAnsi" w:cstheme="majorHAnsi"/>
        </w:rPr>
        <w:t>Anket</w:t>
      </w:r>
      <w:r w:rsidR="007B2892">
        <w:rPr>
          <w:rFonts w:asciiTheme="majorHAnsi" w:hAnsiTheme="majorHAnsi" w:cstheme="majorHAnsi"/>
        </w:rPr>
        <w:t>y</w:t>
      </w:r>
      <w:r w:rsidR="00B7023C" w:rsidRPr="00B7023C">
        <w:rPr>
          <w:rFonts w:asciiTheme="majorHAnsi" w:hAnsiTheme="majorHAnsi" w:cstheme="majorHAnsi"/>
        </w:rPr>
        <w:t xml:space="preserve"> bol</w:t>
      </w:r>
      <w:r w:rsidR="007B2892">
        <w:rPr>
          <w:rFonts w:asciiTheme="majorHAnsi" w:hAnsiTheme="majorHAnsi" w:cstheme="majorHAnsi"/>
        </w:rPr>
        <w:t>i</w:t>
      </w:r>
      <w:r w:rsidR="00B7023C" w:rsidRPr="00B7023C">
        <w:rPr>
          <w:rFonts w:asciiTheme="majorHAnsi" w:hAnsiTheme="majorHAnsi" w:cstheme="majorHAnsi"/>
        </w:rPr>
        <w:t xml:space="preserve"> sprístupnen</w:t>
      </w:r>
      <w:r w:rsidR="007B2892">
        <w:rPr>
          <w:rFonts w:asciiTheme="majorHAnsi" w:hAnsiTheme="majorHAnsi" w:cstheme="majorHAnsi"/>
        </w:rPr>
        <w:t>é</w:t>
      </w:r>
      <w:r w:rsidR="00B7023C" w:rsidRPr="00B7023C">
        <w:rPr>
          <w:rFonts w:asciiTheme="majorHAnsi" w:hAnsiTheme="majorHAnsi" w:cstheme="majorHAnsi"/>
        </w:rPr>
        <w:t xml:space="preserve"> študentom pred koncom semestra a počas skúškového obdobia v</w:t>
      </w:r>
      <w:r w:rsidR="007B2892">
        <w:rPr>
          <w:rFonts w:asciiTheme="majorHAnsi" w:hAnsiTheme="majorHAnsi" w:cstheme="majorHAnsi"/>
        </w:rPr>
        <w:t> </w:t>
      </w:r>
      <w:r w:rsidR="00B7023C" w:rsidRPr="00B7023C">
        <w:rPr>
          <w:rFonts w:asciiTheme="majorHAnsi" w:hAnsiTheme="majorHAnsi" w:cstheme="majorHAnsi"/>
        </w:rPr>
        <w:t>mesiacoch január a február pre zimný semester a v mesiacoch máj a jún pre letný semester. Tieto termíny sa javia optimálnymi na základe skúseností z predchádzajúcich rokov. Otázky v</w:t>
      </w:r>
      <w:r w:rsidR="007B2892">
        <w:rPr>
          <w:rFonts w:asciiTheme="majorHAnsi" w:hAnsiTheme="majorHAnsi" w:cstheme="majorHAnsi"/>
        </w:rPr>
        <w:t> </w:t>
      </w:r>
      <w:r w:rsidR="00B7023C" w:rsidRPr="00B7023C">
        <w:rPr>
          <w:rFonts w:asciiTheme="majorHAnsi" w:hAnsiTheme="majorHAnsi" w:cstheme="majorHAnsi"/>
        </w:rPr>
        <w:t>dotazník</w:t>
      </w:r>
      <w:r w:rsidR="007B2892">
        <w:rPr>
          <w:rFonts w:asciiTheme="majorHAnsi" w:hAnsiTheme="majorHAnsi" w:cstheme="majorHAnsi"/>
        </w:rPr>
        <w:t>och</w:t>
      </w:r>
      <w:r w:rsidR="00B7023C" w:rsidRPr="00B7023C">
        <w:rPr>
          <w:rFonts w:asciiTheme="majorHAnsi" w:hAnsiTheme="majorHAnsi" w:cstheme="majorHAnsi"/>
        </w:rPr>
        <w:t xml:space="preserve"> sa týka</w:t>
      </w:r>
      <w:r w:rsidR="007B2892">
        <w:rPr>
          <w:rFonts w:asciiTheme="majorHAnsi" w:hAnsiTheme="majorHAnsi" w:cstheme="majorHAnsi"/>
        </w:rPr>
        <w:t>li</w:t>
      </w:r>
      <w:r w:rsidR="00B7023C" w:rsidRPr="00B7023C">
        <w:rPr>
          <w:rFonts w:asciiTheme="majorHAnsi" w:hAnsiTheme="majorHAnsi" w:cstheme="majorHAnsi"/>
        </w:rPr>
        <w:t xml:space="preserve"> hodnotenia jednotlivých predmetov, ako aj hodnotenia celkovej úrovne vzdelávania na fakulte. </w:t>
      </w:r>
      <w:r w:rsidR="007C4925" w:rsidRPr="00840B63">
        <w:rPr>
          <w:rFonts w:asciiTheme="majorHAnsi" w:hAnsiTheme="majorHAnsi" w:cstheme="majorHAnsi"/>
        </w:rPr>
        <w:t>Z</w:t>
      </w:r>
      <w:r w:rsidR="007C4925">
        <w:rPr>
          <w:rFonts w:asciiTheme="majorHAnsi" w:hAnsiTheme="majorHAnsi" w:cstheme="majorHAnsi"/>
        </w:rPr>
        <w:t> </w:t>
      </w:r>
      <w:r w:rsidR="007C4925" w:rsidRPr="00840B63">
        <w:rPr>
          <w:rFonts w:asciiTheme="majorHAnsi" w:hAnsiTheme="majorHAnsi" w:cstheme="majorHAnsi"/>
        </w:rPr>
        <w:t>výsledkov ankie</w:t>
      </w:r>
      <w:r w:rsidR="007C4925">
        <w:rPr>
          <w:rFonts w:asciiTheme="majorHAnsi" w:hAnsiTheme="majorHAnsi" w:cstheme="majorHAnsi"/>
        </w:rPr>
        <w:t>t</w:t>
      </w:r>
      <w:r w:rsidR="007C4925" w:rsidRPr="00840B63">
        <w:rPr>
          <w:rFonts w:asciiTheme="majorHAnsi" w:hAnsiTheme="majorHAnsi" w:cstheme="majorHAnsi"/>
        </w:rPr>
        <w:t xml:space="preserve"> vypl</w:t>
      </w:r>
      <w:r w:rsidR="007C4925">
        <w:rPr>
          <w:rFonts w:asciiTheme="majorHAnsi" w:hAnsiTheme="majorHAnsi" w:cstheme="majorHAnsi"/>
        </w:rPr>
        <w:t>ynulo</w:t>
      </w:r>
      <w:r w:rsidR="007C4925" w:rsidRPr="00840B63">
        <w:rPr>
          <w:rFonts w:asciiTheme="majorHAnsi" w:hAnsiTheme="majorHAnsi" w:cstheme="majorHAnsi"/>
        </w:rPr>
        <w:t xml:space="preserve">, že väčšina hodnotených </w:t>
      </w:r>
      <w:r w:rsidR="007C4925">
        <w:rPr>
          <w:rFonts w:asciiTheme="majorHAnsi" w:hAnsiTheme="majorHAnsi" w:cstheme="majorHAnsi"/>
        </w:rPr>
        <w:t>učiteľov</w:t>
      </w:r>
      <w:r w:rsidR="007C4925" w:rsidRPr="00840B63">
        <w:rPr>
          <w:rFonts w:asciiTheme="majorHAnsi" w:hAnsiTheme="majorHAnsi" w:cstheme="majorHAnsi"/>
        </w:rPr>
        <w:t xml:space="preserve"> </w:t>
      </w:r>
      <w:r w:rsidR="007C4925">
        <w:rPr>
          <w:rFonts w:asciiTheme="majorHAnsi" w:hAnsiTheme="majorHAnsi" w:cstheme="majorHAnsi"/>
        </w:rPr>
        <w:t>bola</w:t>
      </w:r>
      <w:r w:rsidR="007C4925" w:rsidRPr="00840B63">
        <w:rPr>
          <w:rFonts w:asciiTheme="majorHAnsi" w:hAnsiTheme="majorHAnsi" w:cstheme="majorHAnsi"/>
        </w:rPr>
        <w:t xml:space="preserve"> vnímaná študentmi pozitívne. Vyskyt</w:t>
      </w:r>
      <w:r w:rsidR="007C4925">
        <w:rPr>
          <w:rFonts w:asciiTheme="majorHAnsi" w:hAnsiTheme="majorHAnsi" w:cstheme="majorHAnsi"/>
        </w:rPr>
        <w:t>li</w:t>
      </w:r>
      <w:r w:rsidR="007C4925" w:rsidRPr="00840B63">
        <w:rPr>
          <w:rFonts w:asciiTheme="majorHAnsi" w:hAnsiTheme="majorHAnsi" w:cstheme="majorHAnsi"/>
        </w:rPr>
        <w:t xml:space="preserve"> sa však aj menej pozitívne hodnotenia súvisiace najmä s rozdielnym hodnotením od učiteľov pôsobiacich na cvičeniach v tom istom predmete.</w:t>
      </w:r>
      <w:r w:rsidR="007C4925">
        <w:rPr>
          <w:rFonts w:asciiTheme="majorHAnsi" w:hAnsiTheme="majorHAnsi" w:cstheme="majorHAnsi"/>
        </w:rPr>
        <w:t xml:space="preserve"> </w:t>
      </w:r>
      <w:r w:rsidR="000416F0" w:rsidRPr="000416F0">
        <w:rPr>
          <w:rFonts w:asciiTheme="majorHAnsi" w:hAnsiTheme="majorHAnsi" w:cstheme="majorHAnsi"/>
        </w:rPr>
        <w:t xml:space="preserve">V rámci anonymnej ankety sa </w:t>
      </w:r>
      <w:r w:rsidR="000416F0">
        <w:rPr>
          <w:rFonts w:asciiTheme="majorHAnsi" w:hAnsiTheme="majorHAnsi" w:cstheme="majorHAnsi"/>
        </w:rPr>
        <w:t xml:space="preserve">získavali </w:t>
      </w:r>
      <w:r w:rsidR="000416F0" w:rsidRPr="000416F0">
        <w:rPr>
          <w:rFonts w:asciiTheme="majorHAnsi" w:hAnsiTheme="majorHAnsi" w:cstheme="majorHAnsi"/>
        </w:rPr>
        <w:t>aj podnety študentov k</w:t>
      </w:r>
      <w:r w:rsidR="000416F0">
        <w:rPr>
          <w:rFonts w:asciiTheme="majorHAnsi" w:hAnsiTheme="majorHAnsi" w:cstheme="majorHAnsi"/>
        </w:rPr>
        <w:t> </w:t>
      </w:r>
      <w:r w:rsidR="000416F0" w:rsidRPr="000416F0">
        <w:rPr>
          <w:rFonts w:asciiTheme="majorHAnsi" w:hAnsiTheme="majorHAnsi" w:cstheme="majorHAnsi"/>
        </w:rPr>
        <w:t>ubytovaniu na internátoch (</w:t>
      </w:r>
      <w:r w:rsidR="000416F0">
        <w:rPr>
          <w:rFonts w:asciiTheme="majorHAnsi" w:hAnsiTheme="majorHAnsi" w:cstheme="majorHAnsi"/>
        </w:rPr>
        <w:t>podaných</w:t>
      </w:r>
      <w:r w:rsidR="000416F0" w:rsidRPr="000416F0">
        <w:rPr>
          <w:rFonts w:asciiTheme="majorHAnsi" w:hAnsiTheme="majorHAnsi" w:cstheme="majorHAnsi"/>
        </w:rPr>
        <w:t xml:space="preserve"> 71 podnetov) a k stravovaniu (podaných 68 podnetov), ale aj k činnosti knižničného a informačného centra a k prostrediu na fakulte. Vedenie fakulty podrobne analyzovalo výsledky ankety a následne pripravilo a začalo zavádzať rad opatrení na zlepšenie pedagogického procesu a ponúkaných služieb. Súčasne požiadalo vedúcich katedier a</w:t>
      </w:r>
      <w:r w:rsidR="007C4925">
        <w:rPr>
          <w:rFonts w:asciiTheme="majorHAnsi" w:hAnsiTheme="majorHAnsi" w:cstheme="majorHAnsi"/>
        </w:rPr>
        <w:t> </w:t>
      </w:r>
      <w:r w:rsidR="000416F0" w:rsidRPr="000416F0">
        <w:rPr>
          <w:rFonts w:asciiTheme="majorHAnsi" w:hAnsiTheme="majorHAnsi" w:cstheme="majorHAnsi"/>
        </w:rPr>
        <w:t>garantov študijných programov o vytipovanie slabých miest vo výučbe predmetov a návrh opatrení na ich odstránenie. Vedenie fakulty informovalo študentov o</w:t>
      </w:r>
      <w:r w:rsidR="009541CA">
        <w:rPr>
          <w:rFonts w:asciiTheme="majorHAnsi" w:hAnsiTheme="majorHAnsi" w:cstheme="majorHAnsi"/>
        </w:rPr>
        <w:t> </w:t>
      </w:r>
      <w:r w:rsidR="000416F0" w:rsidRPr="000416F0">
        <w:rPr>
          <w:rFonts w:asciiTheme="majorHAnsi" w:hAnsiTheme="majorHAnsi" w:cstheme="majorHAnsi"/>
        </w:rPr>
        <w:t>výsledkoch ankety, ako aj o spôsobe využitia získaných informácií. Od študentov následne prišli viaceré kladné reakcie. Vedenie fakulty tiež odporučilo učiteľom zodpovedným za</w:t>
      </w:r>
      <w:r w:rsidR="009541CA">
        <w:rPr>
          <w:rFonts w:asciiTheme="majorHAnsi" w:hAnsiTheme="majorHAnsi" w:cstheme="majorHAnsi"/>
        </w:rPr>
        <w:t> </w:t>
      </w:r>
      <w:r w:rsidR="000416F0" w:rsidRPr="000416F0">
        <w:rPr>
          <w:rFonts w:asciiTheme="majorHAnsi" w:hAnsiTheme="majorHAnsi" w:cstheme="majorHAnsi"/>
        </w:rPr>
        <w:t>predmet reagovať na výsledky ankety hromadným mailom pre študentov.</w:t>
      </w:r>
      <w:r w:rsidR="00840B63">
        <w:rPr>
          <w:rFonts w:asciiTheme="majorHAnsi" w:hAnsiTheme="majorHAnsi" w:cstheme="majorHAnsi"/>
        </w:rPr>
        <w:t xml:space="preserve"> </w:t>
      </w:r>
    </w:p>
    <w:p w14:paraId="52AC1E49" w14:textId="67C51B88" w:rsidR="002F02A3" w:rsidRPr="002F02A3" w:rsidRDefault="00C223E5" w:rsidP="008E7EDA">
      <w:pPr>
        <w:tabs>
          <w:tab w:val="left" w:pos="9356"/>
        </w:tabs>
        <w:spacing w:after="120"/>
        <w:jc w:val="both"/>
        <w:rPr>
          <w:rFonts w:asciiTheme="majorHAnsi" w:hAnsiTheme="majorHAnsi" w:cstheme="majorHAnsi"/>
        </w:rPr>
      </w:pPr>
      <w:r w:rsidRPr="00C223E5">
        <w:rPr>
          <w:rFonts w:asciiTheme="majorHAnsi" w:hAnsiTheme="majorHAnsi" w:cstheme="majorHAnsi"/>
        </w:rPr>
        <w:t xml:space="preserve">Do dotazníkového prieskumu spokojnosti s kvalitou vzdelávania </w:t>
      </w:r>
      <w:r w:rsidRPr="0053555E">
        <w:rPr>
          <w:rFonts w:asciiTheme="majorHAnsi" w:hAnsiTheme="majorHAnsi" w:cstheme="majorHAnsi"/>
        </w:rPr>
        <w:t xml:space="preserve">na </w:t>
      </w:r>
      <w:r w:rsidRPr="0053555E">
        <w:rPr>
          <w:rFonts w:asciiTheme="majorHAnsi" w:hAnsiTheme="majorHAnsi" w:cstheme="majorHAnsi"/>
          <w:b/>
        </w:rPr>
        <w:t>SjF</w:t>
      </w:r>
      <w:r w:rsidRPr="0053555E">
        <w:rPr>
          <w:rFonts w:asciiTheme="majorHAnsi" w:hAnsiTheme="majorHAnsi" w:cstheme="majorHAnsi"/>
        </w:rPr>
        <w:t xml:space="preserve"> </w:t>
      </w:r>
      <w:r w:rsidRPr="00C223E5">
        <w:rPr>
          <w:rFonts w:asciiTheme="majorHAnsi" w:hAnsiTheme="majorHAnsi" w:cstheme="majorHAnsi"/>
        </w:rPr>
        <w:t xml:space="preserve">sa v roku 2022 zapojilo </w:t>
      </w:r>
      <w:r w:rsidRPr="00461392">
        <w:rPr>
          <w:rFonts w:asciiTheme="majorHAnsi" w:hAnsiTheme="majorHAnsi" w:cstheme="majorHAnsi"/>
          <w:b/>
        </w:rPr>
        <w:t>6,28 %</w:t>
      </w:r>
      <w:r w:rsidR="005433FC">
        <w:rPr>
          <w:rFonts w:asciiTheme="majorHAnsi" w:hAnsiTheme="majorHAnsi" w:cstheme="majorHAnsi"/>
        </w:rPr>
        <w:t xml:space="preserve"> z oslovených študentov</w:t>
      </w:r>
      <w:r w:rsidRPr="00C223E5">
        <w:rPr>
          <w:rFonts w:asciiTheme="majorHAnsi" w:hAnsiTheme="majorHAnsi" w:cstheme="majorHAnsi"/>
        </w:rPr>
        <w:t xml:space="preserve">, pričom prieskum bol realizovaný v období od </w:t>
      </w:r>
      <w:r w:rsidR="00030632">
        <w:rPr>
          <w:rFonts w:asciiTheme="majorHAnsi" w:hAnsiTheme="majorHAnsi" w:cstheme="majorHAnsi"/>
        </w:rPr>
        <w:t>mája</w:t>
      </w:r>
      <w:r w:rsidRPr="00C223E5">
        <w:rPr>
          <w:rFonts w:asciiTheme="majorHAnsi" w:hAnsiTheme="majorHAnsi" w:cstheme="majorHAnsi"/>
        </w:rPr>
        <w:t xml:space="preserve"> 2022 do </w:t>
      </w:r>
      <w:r w:rsidR="00030632">
        <w:rPr>
          <w:rFonts w:asciiTheme="majorHAnsi" w:hAnsiTheme="majorHAnsi" w:cstheme="majorHAnsi"/>
        </w:rPr>
        <w:t>októbra</w:t>
      </w:r>
      <w:r w:rsidRPr="00C223E5">
        <w:rPr>
          <w:rFonts w:asciiTheme="majorHAnsi" w:hAnsiTheme="majorHAnsi" w:cstheme="majorHAnsi"/>
        </w:rPr>
        <w:t xml:space="preserve"> 2022.</w:t>
      </w:r>
      <w:r w:rsidR="007D774C">
        <w:rPr>
          <w:rFonts w:asciiTheme="majorHAnsi" w:hAnsiTheme="majorHAnsi" w:cstheme="majorHAnsi"/>
        </w:rPr>
        <w:t xml:space="preserve"> </w:t>
      </w:r>
      <w:r w:rsidR="00FA253D">
        <w:rPr>
          <w:rFonts w:asciiTheme="majorHAnsi" w:hAnsiTheme="majorHAnsi" w:cstheme="majorHAnsi"/>
        </w:rPr>
        <w:t xml:space="preserve">Najväčšie zastúpenie študentov zúčastnených na prieskume </w:t>
      </w:r>
      <w:r w:rsidR="007D774C">
        <w:rPr>
          <w:rFonts w:asciiTheme="majorHAnsi" w:hAnsiTheme="majorHAnsi" w:cstheme="majorHAnsi"/>
        </w:rPr>
        <w:t xml:space="preserve">mali študenti </w:t>
      </w:r>
      <w:r w:rsidR="001D3485">
        <w:rPr>
          <w:rFonts w:asciiTheme="majorHAnsi" w:hAnsiTheme="majorHAnsi" w:cstheme="majorHAnsi"/>
        </w:rPr>
        <w:t>v</w:t>
      </w:r>
      <w:r w:rsidR="00FA253D">
        <w:rPr>
          <w:rFonts w:asciiTheme="majorHAnsi" w:hAnsiTheme="majorHAnsi" w:cstheme="majorHAnsi"/>
        </w:rPr>
        <w:t> 1.</w:t>
      </w:r>
      <w:r w:rsidR="001D3485">
        <w:rPr>
          <w:rFonts w:asciiTheme="majorHAnsi" w:hAnsiTheme="majorHAnsi" w:cstheme="majorHAnsi"/>
        </w:rPr>
        <w:t> </w:t>
      </w:r>
      <w:r w:rsidR="00FA253D">
        <w:rPr>
          <w:rFonts w:asciiTheme="majorHAnsi" w:hAnsiTheme="majorHAnsi" w:cstheme="majorHAnsi"/>
        </w:rPr>
        <w:t>rok</w:t>
      </w:r>
      <w:r w:rsidR="001D3485">
        <w:rPr>
          <w:rFonts w:asciiTheme="majorHAnsi" w:hAnsiTheme="majorHAnsi" w:cstheme="majorHAnsi"/>
        </w:rPr>
        <w:t>u</w:t>
      </w:r>
      <w:r w:rsidR="001828EF">
        <w:rPr>
          <w:rFonts w:asciiTheme="majorHAnsi" w:hAnsiTheme="majorHAnsi" w:cstheme="majorHAnsi"/>
        </w:rPr>
        <w:t xml:space="preserve"> štúdia na prvom aj</w:t>
      </w:r>
      <w:r w:rsidR="00FA253D">
        <w:rPr>
          <w:rFonts w:asciiTheme="majorHAnsi" w:hAnsiTheme="majorHAnsi" w:cstheme="majorHAnsi"/>
        </w:rPr>
        <w:t xml:space="preserve"> druho</w:t>
      </w:r>
      <w:r w:rsidR="001D3485">
        <w:rPr>
          <w:rFonts w:asciiTheme="majorHAnsi" w:hAnsiTheme="majorHAnsi" w:cstheme="majorHAnsi"/>
        </w:rPr>
        <w:t>m</w:t>
      </w:r>
      <w:r w:rsidR="00FA253D">
        <w:rPr>
          <w:rFonts w:asciiTheme="majorHAnsi" w:hAnsiTheme="majorHAnsi" w:cstheme="majorHAnsi"/>
        </w:rPr>
        <w:t xml:space="preserve"> stupni</w:t>
      </w:r>
      <w:r w:rsidR="001D3485">
        <w:rPr>
          <w:rFonts w:asciiTheme="majorHAnsi" w:hAnsiTheme="majorHAnsi" w:cstheme="majorHAnsi"/>
        </w:rPr>
        <w:t xml:space="preserve"> štúdia</w:t>
      </w:r>
      <w:r w:rsidR="00440438">
        <w:rPr>
          <w:rFonts w:asciiTheme="majorHAnsi" w:hAnsiTheme="majorHAnsi" w:cstheme="majorHAnsi"/>
        </w:rPr>
        <w:t xml:space="preserve">. </w:t>
      </w:r>
      <w:r w:rsidR="00206B5D">
        <w:rPr>
          <w:rFonts w:asciiTheme="majorHAnsi" w:hAnsiTheme="majorHAnsi" w:cstheme="majorHAnsi"/>
        </w:rPr>
        <w:t>Do e</w:t>
      </w:r>
      <w:r w:rsidR="00E96280">
        <w:rPr>
          <w:rFonts w:asciiTheme="majorHAnsi" w:hAnsiTheme="majorHAnsi" w:cstheme="majorHAnsi"/>
        </w:rPr>
        <w:t>valuácie predmetov prostredníctvom AIS</w:t>
      </w:r>
      <w:r w:rsidR="00610E4F">
        <w:rPr>
          <w:rFonts w:asciiTheme="majorHAnsi" w:hAnsiTheme="majorHAnsi" w:cstheme="majorHAnsi"/>
        </w:rPr>
        <w:t xml:space="preserve"> </w:t>
      </w:r>
      <w:r w:rsidR="00206B5D">
        <w:rPr>
          <w:rFonts w:asciiTheme="majorHAnsi" w:hAnsiTheme="majorHAnsi" w:cstheme="majorHAnsi"/>
        </w:rPr>
        <w:t xml:space="preserve">sa </w:t>
      </w:r>
      <w:r w:rsidR="00192415">
        <w:rPr>
          <w:rFonts w:asciiTheme="majorHAnsi" w:hAnsiTheme="majorHAnsi" w:cstheme="majorHAnsi"/>
        </w:rPr>
        <w:t>v letnom semestri</w:t>
      </w:r>
      <w:r w:rsidR="00206B5D" w:rsidRPr="00206B5D">
        <w:rPr>
          <w:rFonts w:asciiTheme="majorHAnsi" w:hAnsiTheme="majorHAnsi" w:cstheme="majorHAnsi"/>
        </w:rPr>
        <w:t xml:space="preserve"> </w:t>
      </w:r>
      <w:r w:rsidR="00206B5D">
        <w:rPr>
          <w:rFonts w:asciiTheme="majorHAnsi" w:hAnsiTheme="majorHAnsi" w:cstheme="majorHAnsi"/>
        </w:rPr>
        <w:t>a</w:t>
      </w:r>
      <w:r w:rsidR="00440438">
        <w:rPr>
          <w:rFonts w:asciiTheme="majorHAnsi" w:hAnsiTheme="majorHAnsi" w:cstheme="majorHAnsi"/>
        </w:rPr>
        <w:t>kademick</w:t>
      </w:r>
      <w:r w:rsidR="00206B5D">
        <w:rPr>
          <w:rFonts w:asciiTheme="majorHAnsi" w:hAnsiTheme="majorHAnsi" w:cstheme="majorHAnsi"/>
        </w:rPr>
        <w:t>ého</w:t>
      </w:r>
      <w:r w:rsidR="00440438">
        <w:rPr>
          <w:rFonts w:asciiTheme="majorHAnsi" w:hAnsiTheme="majorHAnsi" w:cstheme="majorHAnsi"/>
        </w:rPr>
        <w:t xml:space="preserve"> rok</w:t>
      </w:r>
      <w:r w:rsidR="00206B5D">
        <w:rPr>
          <w:rFonts w:asciiTheme="majorHAnsi" w:hAnsiTheme="majorHAnsi" w:cstheme="majorHAnsi"/>
        </w:rPr>
        <w:t>a</w:t>
      </w:r>
      <w:r w:rsidR="00440438">
        <w:rPr>
          <w:rFonts w:asciiTheme="majorHAnsi" w:hAnsiTheme="majorHAnsi" w:cstheme="majorHAnsi"/>
        </w:rPr>
        <w:t xml:space="preserve"> 2021/2022 </w:t>
      </w:r>
      <w:r w:rsidR="00206B5D">
        <w:rPr>
          <w:rFonts w:asciiTheme="majorHAnsi" w:hAnsiTheme="majorHAnsi" w:cstheme="majorHAnsi"/>
        </w:rPr>
        <w:t xml:space="preserve">zapojilo </w:t>
      </w:r>
      <w:r w:rsidR="00192415" w:rsidRPr="00030632">
        <w:rPr>
          <w:rFonts w:asciiTheme="majorHAnsi" w:hAnsiTheme="majorHAnsi" w:cstheme="majorHAnsi"/>
          <w:b/>
        </w:rPr>
        <w:t>4 %</w:t>
      </w:r>
      <w:r w:rsidR="00192415">
        <w:rPr>
          <w:rFonts w:asciiTheme="majorHAnsi" w:hAnsiTheme="majorHAnsi" w:cstheme="majorHAnsi"/>
        </w:rPr>
        <w:t xml:space="preserve"> študentov</w:t>
      </w:r>
      <w:r w:rsidR="00897C93">
        <w:rPr>
          <w:rFonts w:asciiTheme="majorHAnsi" w:hAnsiTheme="majorHAnsi" w:cstheme="majorHAnsi"/>
        </w:rPr>
        <w:t xml:space="preserve">. </w:t>
      </w:r>
      <w:r w:rsidR="002F02A3">
        <w:rPr>
          <w:rFonts w:asciiTheme="majorHAnsi" w:hAnsiTheme="majorHAnsi" w:cstheme="majorHAnsi"/>
        </w:rPr>
        <w:t>F</w:t>
      </w:r>
      <w:r w:rsidR="002F02A3" w:rsidRPr="002F02A3">
        <w:rPr>
          <w:rFonts w:asciiTheme="majorHAnsi" w:hAnsiTheme="majorHAnsi" w:cstheme="majorHAnsi"/>
        </w:rPr>
        <w:t xml:space="preserve">akulta vyvíja </w:t>
      </w:r>
      <w:r w:rsidR="00A81DA5">
        <w:rPr>
          <w:rFonts w:asciiTheme="majorHAnsi" w:hAnsiTheme="majorHAnsi" w:cstheme="majorHAnsi"/>
        </w:rPr>
        <w:t xml:space="preserve">aj ďalšie </w:t>
      </w:r>
      <w:r w:rsidR="002F02A3" w:rsidRPr="002F02A3">
        <w:rPr>
          <w:rFonts w:asciiTheme="majorHAnsi" w:hAnsiTheme="majorHAnsi" w:cstheme="majorHAnsi"/>
        </w:rPr>
        <w:t>aktivity za účelom zisťovania spokojnosti študentov so</w:t>
      </w:r>
      <w:r w:rsidR="00030632">
        <w:rPr>
          <w:rFonts w:asciiTheme="majorHAnsi" w:hAnsiTheme="majorHAnsi" w:cstheme="majorHAnsi"/>
        </w:rPr>
        <w:t> </w:t>
      </w:r>
      <w:r w:rsidR="002F02A3" w:rsidRPr="002F02A3">
        <w:rPr>
          <w:rFonts w:asciiTheme="majorHAnsi" w:hAnsiTheme="majorHAnsi" w:cstheme="majorHAnsi"/>
        </w:rPr>
        <w:t>štúdiom na SjF</w:t>
      </w:r>
      <w:r w:rsidR="00A81DA5">
        <w:rPr>
          <w:rFonts w:asciiTheme="majorHAnsi" w:hAnsiTheme="majorHAnsi" w:cstheme="majorHAnsi"/>
        </w:rPr>
        <w:t xml:space="preserve">, ktorými sú napríklad </w:t>
      </w:r>
      <w:r w:rsidR="002F02A3" w:rsidRPr="002F02A3">
        <w:rPr>
          <w:rFonts w:asciiTheme="majorHAnsi" w:hAnsiTheme="majorHAnsi" w:cstheme="majorHAnsi"/>
        </w:rPr>
        <w:t>organiz</w:t>
      </w:r>
      <w:r w:rsidR="00A81DA5">
        <w:rPr>
          <w:rFonts w:asciiTheme="majorHAnsi" w:hAnsiTheme="majorHAnsi" w:cstheme="majorHAnsi"/>
        </w:rPr>
        <w:t>ovanie</w:t>
      </w:r>
      <w:r w:rsidR="002F02A3" w:rsidRPr="002F02A3">
        <w:rPr>
          <w:rFonts w:asciiTheme="majorHAnsi" w:hAnsiTheme="majorHAnsi" w:cstheme="majorHAnsi"/>
        </w:rPr>
        <w:t xml:space="preserve"> stretnut</w:t>
      </w:r>
      <w:r w:rsidR="00A81DA5">
        <w:rPr>
          <w:rFonts w:asciiTheme="majorHAnsi" w:hAnsiTheme="majorHAnsi" w:cstheme="majorHAnsi"/>
        </w:rPr>
        <w:t>í</w:t>
      </w:r>
      <w:r w:rsidR="002F02A3" w:rsidRPr="002F02A3">
        <w:rPr>
          <w:rFonts w:asciiTheme="majorHAnsi" w:hAnsiTheme="majorHAnsi" w:cstheme="majorHAnsi"/>
        </w:rPr>
        <w:t xml:space="preserve"> so študentami, ako aj ďalšie dotazníkové </w:t>
      </w:r>
      <w:r w:rsidR="00030632">
        <w:rPr>
          <w:rFonts w:asciiTheme="majorHAnsi" w:hAnsiTheme="majorHAnsi" w:cstheme="majorHAnsi"/>
        </w:rPr>
        <w:t>prieskumy</w:t>
      </w:r>
      <w:r w:rsidR="002F02A3" w:rsidRPr="002F02A3">
        <w:rPr>
          <w:rFonts w:asciiTheme="majorHAnsi" w:hAnsiTheme="majorHAnsi" w:cstheme="majorHAnsi"/>
        </w:rPr>
        <w:t xml:space="preserve"> určené pre študentov, na základe ktorých sa fakulta</w:t>
      </w:r>
      <w:r w:rsidR="00A37BEF">
        <w:rPr>
          <w:rFonts w:asciiTheme="majorHAnsi" w:hAnsiTheme="majorHAnsi" w:cstheme="majorHAnsi"/>
        </w:rPr>
        <w:t xml:space="preserve"> a</w:t>
      </w:r>
      <w:r w:rsidR="002F02A3" w:rsidRPr="002F02A3">
        <w:rPr>
          <w:rFonts w:asciiTheme="majorHAnsi" w:hAnsiTheme="majorHAnsi" w:cstheme="majorHAnsi"/>
        </w:rPr>
        <w:t xml:space="preserve"> ústavy snažia napĺňať očakávania študentov. Dôvodom týchto aktivít je jednak to, že pravidelne každý rok sa len malé percento študentov vyjadruje ku kvalite vzdelávania na fakulte pomocou AIS, to isté platí aj v prípade </w:t>
      </w:r>
      <w:r w:rsidR="00A37BEF">
        <w:rPr>
          <w:rFonts w:asciiTheme="majorHAnsi" w:hAnsiTheme="majorHAnsi" w:cstheme="majorHAnsi"/>
        </w:rPr>
        <w:t>evaluácie</w:t>
      </w:r>
      <w:r w:rsidR="002F02A3" w:rsidRPr="002F02A3">
        <w:rPr>
          <w:rFonts w:asciiTheme="majorHAnsi" w:hAnsiTheme="majorHAnsi" w:cstheme="majorHAnsi"/>
        </w:rPr>
        <w:t xml:space="preserve"> predmetov, ale v neposlednom rade aj z toho dôvodu, že je dôležité poznať názor aj druhej strany, v tomto prípade názor učiteľa zabezpečujúceho predmet, prípadne názor učiteľov ústavu zabezpečujúceho príslušné študijné programy. Takýmto spôsobom sa zvyšuje </w:t>
      </w:r>
      <w:r w:rsidR="002F02A3" w:rsidRPr="002F02A3">
        <w:rPr>
          <w:rFonts w:asciiTheme="majorHAnsi" w:hAnsiTheme="majorHAnsi" w:cstheme="majorHAnsi"/>
        </w:rPr>
        <w:lastRenderedPageBreak/>
        <w:t xml:space="preserve">objektívnosť pri prijímaní záverov implementovaných do samotného vzdelávacieho procesu na SjF STU. </w:t>
      </w:r>
    </w:p>
    <w:p w14:paraId="3368A6E9" w14:textId="2332A6A9" w:rsidR="006A514F" w:rsidRDefault="00080D88" w:rsidP="00431A88">
      <w:pPr>
        <w:tabs>
          <w:tab w:val="left" w:pos="9356"/>
        </w:tabs>
        <w:spacing w:after="120"/>
        <w:jc w:val="both"/>
        <w:rPr>
          <w:rFonts w:asciiTheme="majorHAnsi" w:hAnsiTheme="majorHAnsi" w:cstheme="majorHAnsi"/>
        </w:rPr>
      </w:pPr>
      <w:r w:rsidRPr="0053555E">
        <w:rPr>
          <w:rFonts w:asciiTheme="majorHAnsi" w:hAnsiTheme="majorHAnsi" w:cstheme="majorHAnsi"/>
          <w:b/>
        </w:rPr>
        <w:t>Študent</w:t>
      </w:r>
      <w:r w:rsidR="00824F0F" w:rsidRPr="0053555E">
        <w:rPr>
          <w:rFonts w:asciiTheme="majorHAnsi" w:hAnsiTheme="majorHAnsi" w:cstheme="majorHAnsi"/>
          <w:b/>
        </w:rPr>
        <w:t>i</w:t>
      </w:r>
      <w:r w:rsidR="00791CF0" w:rsidRPr="0053555E">
        <w:rPr>
          <w:rFonts w:asciiTheme="majorHAnsi" w:hAnsiTheme="majorHAnsi" w:cstheme="majorHAnsi"/>
          <w:b/>
        </w:rPr>
        <w:t xml:space="preserve"> FEI</w:t>
      </w:r>
      <w:r w:rsidR="00791CF0" w:rsidRPr="0053555E">
        <w:rPr>
          <w:rFonts w:asciiTheme="majorHAnsi" w:hAnsiTheme="majorHAnsi" w:cstheme="majorHAnsi"/>
        </w:rPr>
        <w:t xml:space="preserve"> </w:t>
      </w:r>
      <w:r w:rsidR="007B1A0C" w:rsidRPr="0053555E">
        <w:rPr>
          <w:rFonts w:asciiTheme="majorHAnsi" w:hAnsiTheme="majorHAnsi" w:cstheme="majorHAnsi"/>
        </w:rPr>
        <w:t>mali</w:t>
      </w:r>
      <w:r w:rsidR="00EE0F26" w:rsidRPr="0053555E">
        <w:rPr>
          <w:rFonts w:asciiTheme="majorHAnsi" w:hAnsiTheme="majorHAnsi" w:cstheme="majorHAnsi"/>
        </w:rPr>
        <w:t xml:space="preserve"> možnosť na konci každého semestra vyjadriť </w:t>
      </w:r>
      <w:r w:rsidR="006C3DB2" w:rsidRPr="0053555E">
        <w:rPr>
          <w:rFonts w:asciiTheme="majorHAnsi" w:hAnsiTheme="majorHAnsi" w:cstheme="majorHAnsi"/>
        </w:rPr>
        <w:t>svoju spokojnosť</w:t>
      </w:r>
      <w:r w:rsidR="00824F0F" w:rsidRPr="0053555E">
        <w:rPr>
          <w:rFonts w:asciiTheme="majorHAnsi" w:hAnsiTheme="majorHAnsi" w:cstheme="majorHAnsi"/>
        </w:rPr>
        <w:t xml:space="preserve">, resp. </w:t>
      </w:r>
      <w:r w:rsidR="006C3DB2" w:rsidRPr="0053555E">
        <w:rPr>
          <w:rFonts w:asciiTheme="majorHAnsi" w:hAnsiTheme="majorHAnsi" w:cstheme="majorHAnsi"/>
        </w:rPr>
        <w:t>nespokojnosť s </w:t>
      </w:r>
      <w:r w:rsidR="00EE0F26" w:rsidRPr="0053555E">
        <w:rPr>
          <w:rFonts w:asciiTheme="majorHAnsi" w:hAnsiTheme="majorHAnsi" w:cstheme="majorHAnsi"/>
        </w:rPr>
        <w:t xml:space="preserve">predmetmi, ktoré </w:t>
      </w:r>
      <w:r w:rsidR="00884DDD" w:rsidRPr="0053555E">
        <w:rPr>
          <w:rFonts w:asciiTheme="majorHAnsi" w:hAnsiTheme="majorHAnsi" w:cstheme="majorHAnsi"/>
        </w:rPr>
        <w:t>mali zapísané</w:t>
      </w:r>
      <w:r w:rsidR="00EE0F26" w:rsidRPr="0053555E">
        <w:rPr>
          <w:rFonts w:asciiTheme="majorHAnsi" w:hAnsiTheme="majorHAnsi" w:cstheme="majorHAnsi"/>
        </w:rPr>
        <w:t>, prostredníctvom</w:t>
      </w:r>
      <w:r w:rsidR="00884DDD" w:rsidRPr="0053555E">
        <w:rPr>
          <w:rFonts w:asciiTheme="majorHAnsi" w:hAnsiTheme="majorHAnsi" w:cstheme="majorHAnsi"/>
        </w:rPr>
        <w:t xml:space="preserve"> e</w:t>
      </w:r>
      <w:r w:rsidR="00EE0F26" w:rsidRPr="0053555E">
        <w:rPr>
          <w:rFonts w:asciiTheme="majorHAnsi" w:hAnsiTheme="majorHAnsi" w:cstheme="majorHAnsi"/>
        </w:rPr>
        <w:t>valuáci</w:t>
      </w:r>
      <w:r w:rsidR="00884DDD" w:rsidRPr="0053555E">
        <w:rPr>
          <w:rFonts w:asciiTheme="majorHAnsi" w:hAnsiTheme="majorHAnsi" w:cstheme="majorHAnsi"/>
        </w:rPr>
        <w:t>e</w:t>
      </w:r>
      <w:r w:rsidR="00EE0F26" w:rsidRPr="0053555E">
        <w:rPr>
          <w:rFonts w:asciiTheme="majorHAnsi" w:hAnsiTheme="majorHAnsi" w:cstheme="majorHAnsi"/>
        </w:rPr>
        <w:t xml:space="preserve"> predmetov</w:t>
      </w:r>
      <w:r w:rsidR="00884DDD" w:rsidRPr="0053555E">
        <w:rPr>
          <w:rFonts w:asciiTheme="majorHAnsi" w:hAnsiTheme="majorHAnsi" w:cstheme="majorHAnsi"/>
        </w:rPr>
        <w:t xml:space="preserve"> v AIS</w:t>
      </w:r>
      <w:r w:rsidR="00EE0F26" w:rsidRPr="0053555E">
        <w:rPr>
          <w:rFonts w:asciiTheme="majorHAnsi" w:hAnsiTheme="majorHAnsi" w:cstheme="majorHAnsi"/>
        </w:rPr>
        <w:t>.</w:t>
      </w:r>
      <w:r w:rsidR="00FA6956" w:rsidRPr="0053555E">
        <w:rPr>
          <w:rFonts w:asciiTheme="majorHAnsi" w:hAnsiTheme="majorHAnsi" w:cstheme="majorHAnsi"/>
        </w:rPr>
        <w:t xml:space="preserve"> </w:t>
      </w:r>
      <w:r w:rsidR="009C770B" w:rsidRPr="0053555E">
        <w:rPr>
          <w:rFonts w:asciiTheme="majorHAnsi" w:hAnsiTheme="majorHAnsi" w:cstheme="majorHAnsi"/>
        </w:rPr>
        <w:t>A</w:t>
      </w:r>
      <w:r w:rsidR="00FA6956" w:rsidRPr="0053555E">
        <w:rPr>
          <w:rFonts w:asciiTheme="majorHAnsi" w:hAnsiTheme="majorHAnsi" w:cstheme="majorHAnsi"/>
        </w:rPr>
        <w:t xml:space="preserve">nkety </w:t>
      </w:r>
      <w:r w:rsidR="009C770B" w:rsidRPr="0053555E">
        <w:rPr>
          <w:rFonts w:asciiTheme="majorHAnsi" w:hAnsiTheme="majorHAnsi" w:cstheme="majorHAnsi"/>
        </w:rPr>
        <w:t xml:space="preserve">sa </w:t>
      </w:r>
      <w:r w:rsidR="004D741D" w:rsidRPr="0053555E">
        <w:rPr>
          <w:rFonts w:asciiTheme="majorHAnsi" w:hAnsiTheme="majorHAnsi" w:cstheme="majorHAnsi"/>
        </w:rPr>
        <w:t>zúčastnilo</w:t>
      </w:r>
      <w:r w:rsidR="009C770B" w:rsidRPr="0053555E">
        <w:rPr>
          <w:rFonts w:asciiTheme="majorHAnsi" w:hAnsiTheme="majorHAnsi" w:cstheme="majorHAnsi"/>
        </w:rPr>
        <w:t xml:space="preserve"> v priemere </w:t>
      </w:r>
      <w:r w:rsidR="00F60B59" w:rsidRPr="0053555E">
        <w:rPr>
          <w:rFonts w:asciiTheme="majorHAnsi" w:hAnsiTheme="majorHAnsi" w:cstheme="majorHAnsi"/>
          <w:b/>
        </w:rPr>
        <w:t>5</w:t>
      </w:r>
      <w:r w:rsidR="004809DB">
        <w:rPr>
          <w:rFonts w:asciiTheme="majorHAnsi" w:hAnsiTheme="majorHAnsi" w:cstheme="majorHAnsi"/>
          <w:b/>
        </w:rPr>
        <w:t>1</w:t>
      </w:r>
      <w:r w:rsidR="000D06D8" w:rsidRPr="0053555E">
        <w:rPr>
          <w:rFonts w:asciiTheme="majorHAnsi" w:hAnsiTheme="majorHAnsi" w:cstheme="majorHAnsi"/>
          <w:b/>
        </w:rPr>
        <w:t xml:space="preserve"> </w:t>
      </w:r>
      <w:r w:rsidRPr="0053555E">
        <w:rPr>
          <w:rFonts w:asciiTheme="majorHAnsi" w:hAnsiTheme="majorHAnsi" w:cstheme="majorHAnsi"/>
          <w:b/>
        </w:rPr>
        <w:t>%</w:t>
      </w:r>
      <w:r w:rsidR="00FA6956" w:rsidRPr="0053555E">
        <w:rPr>
          <w:rFonts w:asciiTheme="majorHAnsi" w:hAnsiTheme="majorHAnsi" w:cstheme="majorHAnsi"/>
          <w:b/>
        </w:rPr>
        <w:t xml:space="preserve"> študentov</w:t>
      </w:r>
      <w:r w:rsidR="009C770B" w:rsidRPr="0053555E">
        <w:rPr>
          <w:rFonts w:asciiTheme="majorHAnsi" w:hAnsiTheme="majorHAnsi" w:cstheme="majorHAnsi"/>
          <w:b/>
        </w:rPr>
        <w:t xml:space="preserve">, hodnotených bolo </w:t>
      </w:r>
      <w:r w:rsidR="00C81D0C" w:rsidRPr="0053555E">
        <w:rPr>
          <w:rFonts w:asciiTheme="majorHAnsi" w:hAnsiTheme="majorHAnsi" w:cstheme="majorHAnsi"/>
          <w:b/>
        </w:rPr>
        <w:t xml:space="preserve">viac ako </w:t>
      </w:r>
      <w:r w:rsidR="009C770B" w:rsidRPr="0053555E">
        <w:rPr>
          <w:rFonts w:asciiTheme="majorHAnsi" w:hAnsiTheme="majorHAnsi" w:cstheme="majorHAnsi"/>
          <w:b/>
        </w:rPr>
        <w:t>8</w:t>
      </w:r>
      <w:r w:rsidR="004809DB">
        <w:rPr>
          <w:rFonts w:asciiTheme="majorHAnsi" w:hAnsiTheme="majorHAnsi" w:cstheme="majorHAnsi"/>
          <w:b/>
        </w:rPr>
        <w:t>0</w:t>
      </w:r>
      <w:r w:rsidR="00C81D0C" w:rsidRPr="0053555E">
        <w:rPr>
          <w:rFonts w:asciiTheme="majorHAnsi" w:hAnsiTheme="majorHAnsi" w:cstheme="majorHAnsi"/>
          <w:b/>
        </w:rPr>
        <w:t xml:space="preserve"> %</w:t>
      </w:r>
      <w:r w:rsidR="00EF40B3" w:rsidRPr="0053555E">
        <w:rPr>
          <w:rFonts w:asciiTheme="majorHAnsi" w:hAnsiTheme="majorHAnsi" w:cstheme="majorHAnsi"/>
          <w:b/>
        </w:rPr>
        <w:t xml:space="preserve"> predmetov</w:t>
      </w:r>
      <w:r w:rsidR="004A261F">
        <w:rPr>
          <w:rFonts w:asciiTheme="majorHAnsi" w:hAnsiTheme="majorHAnsi" w:cstheme="majorHAnsi"/>
          <w:b/>
        </w:rPr>
        <w:t xml:space="preserve">, </w:t>
      </w:r>
      <w:r w:rsidR="004A261F" w:rsidRPr="004A261F">
        <w:rPr>
          <w:rFonts w:asciiTheme="majorHAnsi" w:hAnsiTheme="majorHAnsi" w:cstheme="majorHAnsi"/>
        </w:rPr>
        <w:t xml:space="preserve">ktoré hodnotili </w:t>
      </w:r>
      <w:r w:rsidR="004809DB" w:rsidRPr="004A261F">
        <w:rPr>
          <w:rFonts w:asciiTheme="majorHAnsi" w:hAnsiTheme="majorHAnsi" w:cstheme="majorHAnsi"/>
        </w:rPr>
        <w:t>prevažne pozitívne (známky A a B).</w:t>
      </w:r>
      <w:r w:rsidR="004A261F">
        <w:rPr>
          <w:rFonts w:asciiTheme="majorHAnsi" w:hAnsiTheme="majorHAnsi" w:cstheme="majorHAnsi"/>
        </w:rPr>
        <w:t xml:space="preserve"> </w:t>
      </w:r>
      <w:r w:rsidR="004809DB" w:rsidRPr="004A261F">
        <w:rPr>
          <w:rFonts w:asciiTheme="majorHAnsi" w:hAnsiTheme="majorHAnsi" w:cstheme="majorHAnsi"/>
        </w:rPr>
        <w:t>Študenti hodnotili aj komunikáciu s</w:t>
      </w:r>
      <w:r w:rsidR="004A261F">
        <w:rPr>
          <w:rFonts w:asciiTheme="majorHAnsi" w:hAnsiTheme="majorHAnsi" w:cstheme="majorHAnsi"/>
        </w:rPr>
        <w:t> učiteľmi</w:t>
      </w:r>
      <w:r w:rsidR="001828EF">
        <w:rPr>
          <w:rFonts w:asciiTheme="majorHAnsi" w:hAnsiTheme="majorHAnsi" w:cstheme="majorHAnsi"/>
        </w:rPr>
        <w:t>, ktorú</w:t>
      </w:r>
      <w:r w:rsidR="004809DB" w:rsidRPr="004A261F">
        <w:rPr>
          <w:rFonts w:asciiTheme="majorHAnsi" w:hAnsiTheme="majorHAnsi" w:cstheme="majorHAnsi"/>
        </w:rPr>
        <w:t xml:space="preserve"> 42</w:t>
      </w:r>
      <w:r w:rsidR="004A261F">
        <w:rPr>
          <w:rFonts w:asciiTheme="majorHAnsi" w:hAnsiTheme="majorHAnsi" w:cstheme="majorHAnsi"/>
        </w:rPr>
        <w:t xml:space="preserve"> </w:t>
      </w:r>
      <w:r w:rsidR="004809DB" w:rsidRPr="004A261F">
        <w:rPr>
          <w:rFonts w:asciiTheme="majorHAnsi" w:hAnsiTheme="majorHAnsi" w:cstheme="majorHAnsi"/>
        </w:rPr>
        <w:t>% hodnotilo ako výbornú a</w:t>
      </w:r>
      <w:r w:rsidR="004A261F">
        <w:rPr>
          <w:rFonts w:asciiTheme="majorHAnsi" w:hAnsiTheme="majorHAnsi" w:cstheme="majorHAnsi"/>
        </w:rPr>
        <w:t> </w:t>
      </w:r>
      <w:r w:rsidR="004809DB" w:rsidRPr="004A261F">
        <w:rPr>
          <w:rFonts w:asciiTheme="majorHAnsi" w:hAnsiTheme="majorHAnsi" w:cstheme="majorHAnsi"/>
        </w:rPr>
        <w:t>52</w:t>
      </w:r>
      <w:r w:rsidR="004A261F">
        <w:rPr>
          <w:rFonts w:asciiTheme="majorHAnsi" w:hAnsiTheme="majorHAnsi" w:cstheme="majorHAnsi"/>
        </w:rPr>
        <w:t xml:space="preserve"> </w:t>
      </w:r>
      <w:r w:rsidR="004809DB" w:rsidRPr="004A261F">
        <w:rPr>
          <w:rFonts w:asciiTheme="majorHAnsi" w:hAnsiTheme="majorHAnsi" w:cstheme="majorHAnsi"/>
        </w:rPr>
        <w:t>% ako postačujúcu. Komunikáciu s</w:t>
      </w:r>
      <w:r w:rsidR="001828EF">
        <w:rPr>
          <w:rFonts w:asciiTheme="majorHAnsi" w:hAnsiTheme="majorHAnsi" w:cstheme="majorHAnsi"/>
        </w:rPr>
        <w:t>o</w:t>
      </w:r>
      <w:r w:rsidR="008945E6">
        <w:rPr>
          <w:rFonts w:asciiTheme="majorHAnsi" w:hAnsiTheme="majorHAnsi" w:cstheme="majorHAnsi"/>
        </w:rPr>
        <w:t> študijným oddelením</w:t>
      </w:r>
      <w:r w:rsidR="004809DB" w:rsidRPr="004A261F">
        <w:rPr>
          <w:rFonts w:asciiTheme="majorHAnsi" w:hAnsiTheme="majorHAnsi" w:cstheme="majorHAnsi"/>
        </w:rPr>
        <w:t xml:space="preserve"> hodnotilo 64</w:t>
      </w:r>
      <w:r w:rsidR="004A261F">
        <w:rPr>
          <w:rFonts w:asciiTheme="majorHAnsi" w:hAnsiTheme="majorHAnsi" w:cstheme="majorHAnsi"/>
        </w:rPr>
        <w:t xml:space="preserve"> </w:t>
      </w:r>
      <w:r w:rsidR="004809DB" w:rsidRPr="004A261F">
        <w:rPr>
          <w:rFonts w:asciiTheme="majorHAnsi" w:hAnsiTheme="majorHAnsi" w:cstheme="majorHAnsi"/>
        </w:rPr>
        <w:t>% respondentov ako výbornú a</w:t>
      </w:r>
      <w:r w:rsidR="004A261F">
        <w:rPr>
          <w:rFonts w:asciiTheme="majorHAnsi" w:hAnsiTheme="majorHAnsi" w:cstheme="majorHAnsi"/>
        </w:rPr>
        <w:t> </w:t>
      </w:r>
      <w:r w:rsidR="004809DB" w:rsidRPr="004A261F">
        <w:rPr>
          <w:rFonts w:asciiTheme="majorHAnsi" w:hAnsiTheme="majorHAnsi" w:cstheme="majorHAnsi"/>
        </w:rPr>
        <w:t>32</w:t>
      </w:r>
      <w:r w:rsidR="004A261F">
        <w:rPr>
          <w:rFonts w:asciiTheme="majorHAnsi" w:hAnsiTheme="majorHAnsi" w:cstheme="majorHAnsi"/>
        </w:rPr>
        <w:t xml:space="preserve"> </w:t>
      </w:r>
      <w:r w:rsidR="004809DB" w:rsidRPr="004A261F">
        <w:rPr>
          <w:rFonts w:asciiTheme="majorHAnsi" w:hAnsiTheme="majorHAnsi" w:cstheme="majorHAnsi"/>
        </w:rPr>
        <w:t>% ako postačujúcu</w:t>
      </w:r>
      <w:r w:rsidR="00791CF0" w:rsidRPr="004A261F">
        <w:rPr>
          <w:rFonts w:asciiTheme="majorHAnsi" w:hAnsiTheme="majorHAnsi" w:cstheme="majorHAnsi"/>
        </w:rPr>
        <w:t>. Tak</w:t>
      </w:r>
      <w:r w:rsidR="00950CEF" w:rsidRPr="004A261F">
        <w:rPr>
          <w:rFonts w:asciiTheme="majorHAnsi" w:hAnsiTheme="majorHAnsi" w:cstheme="majorHAnsi"/>
        </w:rPr>
        <w:t>ú</w:t>
      </w:r>
      <w:r w:rsidR="00791CF0" w:rsidRPr="004A261F">
        <w:rPr>
          <w:rFonts w:asciiTheme="majorHAnsi" w:hAnsiTheme="majorHAnsi" w:cstheme="majorHAnsi"/>
        </w:rPr>
        <w:t xml:space="preserve">to </w:t>
      </w:r>
      <w:r w:rsidR="00151D75" w:rsidRPr="004A261F">
        <w:rPr>
          <w:rFonts w:asciiTheme="majorHAnsi" w:hAnsiTheme="majorHAnsi" w:cstheme="majorHAnsi"/>
        </w:rPr>
        <w:t>účasť</w:t>
      </w:r>
      <w:r w:rsidR="00791CF0" w:rsidRPr="004A261F">
        <w:rPr>
          <w:rFonts w:asciiTheme="majorHAnsi" w:hAnsiTheme="majorHAnsi" w:cstheme="majorHAnsi"/>
        </w:rPr>
        <w:t xml:space="preserve"> </w:t>
      </w:r>
      <w:r w:rsidR="0070264D">
        <w:rPr>
          <w:rFonts w:asciiTheme="majorHAnsi" w:hAnsiTheme="majorHAnsi" w:cstheme="majorHAnsi"/>
        </w:rPr>
        <w:t xml:space="preserve">na prieskumoch </w:t>
      </w:r>
      <w:r w:rsidR="00B664EA" w:rsidRPr="004A261F">
        <w:rPr>
          <w:rFonts w:asciiTheme="majorHAnsi" w:hAnsiTheme="majorHAnsi" w:cstheme="majorHAnsi"/>
        </w:rPr>
        <w:t>fakulta</w:t>
      </w:r>
      <w:r w:rsidR="00791CF0" w:rsidRPr="004A261F">
        <w:rPr>
          <w:rFonts w:asciiTheme="majorHAnsi" w:hAnsiTheme="majorHAnsi" w:cstheme="majorHAnsi"/>
        </w:rPr>
        <w:t xml:space="preserve"> </w:t>
      </w:r>
      <w:r w:rsidR="0070264D">
        <w:rPr>
          <w:rFonts w:asciiTheme="majorHAnsi" w:hAnsiTheme="majorHAnsi" w:cstheme="majorHAnsi"/>
        </w:rPr>
        <w:t xml:space="preserve">už dlhodobo dosahuje </w:t>
      </w:r>
      <w:r w:rsidR="00791CF0" w:rsidRPr="004A261F">
        <w:rPr>
          <w:rFonts w:asciiTheme="majorHAnsi" w:hAnsiTheme="majorHAnsi" w:cstheme="majorHAnsi"/>
        </w:rPr>
        <w:t>motiváci</w:t>
      </w:r>
      <w:r w:rsidR="00151D75" w:rsidRPr="004A261F">
        <w:rPr>
          <w:rFonts w:asciiTheme="majorHAnsi" w:hAnsiTheme="majorHAnsi" w:cstheme="majorHAnsi"/>
        </w:rPr>
        <w:t>ou</w:t>
      </w:r>
      <w:r w:rsidR="000E0210" w:rsidRPr="004A261F">
        <w:rPr>
          <w:rFonts w:asciiTheme="majorHAnsi" w:hAnsiTheme="majorHAnsi" w:cstheme="majorHAnsi"/>
        </w:rPr>
        <w:t xml:space="preserve"> študentov </w:t>
      </w:r>
      <w:r w:rsidR="000E0210" w:rsidRPr="004A261F">
        <w:rPr>
          <w:rFonts w:asciiTheme="majorHAnsi" w:hAnsiTheme="majorHAnsi" w:cstheme="majorHAnsi"/>
        </w:rPr>
        <w:sym w:font="Symbol" w:char="F02D"/>
      </w:r>
      <w:r w:rsidR="00791CF0" w:rsidRPr="0053555E">
        <w:rPr>
          <w:rFonts w:asciiTheme="majorHAnsi" w:hAnsiTheme="majorHAnsi" w:cstheme="majorHAnsi"/>
        </w:rPr>
        <w:t xml:space="preserve"> zvýhod</w:t>
      </w:r>
      <w:r w:rsidR="004D741D" w:rsidRPr="0053555E">
        <w:rPr>
          <w:rFonts w:asciiTheme="majorHAnsi" w:hAnsiTheme="majorHAnsi" w:cstheme="majorHAnsi"/>
        </w:rPr>
        <w:t>nením pri voľbe rozvrhu hodín v </w:t>
      </w:r>
      <w:r w:rsidR="00791CF0" w:rsidRPr="0053555E">
        <w:rPr>
          <w:rFonts w:asciiTheme="majorHAnsi" w:hAnsiTheme="majorHAnsi" w:cstheme="majorHAnsi"/>
        </w:rPr>
        <w:t xml:space="preserve">nasledujúcom semestri. </w:t>
      </w:r>
      <w:r w:rsidR="00BD4D01" w:rsidRPr="0053555E">
        <w:rPr>
          <w:rFonts w:asciiTheme="majorHAnsi" w:hAnsiTheme="majorHAnsi" w:cstheme="majorHAnsi"/>
        </w:rPr>
        <w:t xml:space="preserve">Ankety </w:t>
      </w:r>
      <w:r w:rsidR="00251788" w:rsidRPr="0053555E">
        <w:rPr>
          <w:rFonts w:asciiTheme="majorHAnsi" w:hAnsiTheme="majorHAnsi" w:cstheme="majorHAnsi"/>
        </w:rPr>
        <w:t xml:space="preserve">sa po skončení </w:t>
      </w:r>
      <w:r w:rsidR="00DB4586" w:rsidRPr="0053555E">
        <w:rPr>
          <w:rFonts w:asciiTheme="majorHAnsi" w:hAnsiTheme="majorHAnsi" w:cstheme="majorHAnsi"/>
        </w:rPr>
        <w:t>obidvoch</w:t>
      </w:r>
      <w:r w:rsidR="00BD3D21" w:rsidRPr="0053555E">
        <w:rPr>
          <w:rFonts w:asciiTheme="majorHAnsi" w:hAnsiTheme="majorHAnsi" w:cstheme="majorHAnsi"/>
        </w:rPr>
        <w:t xml:space="preserve"> </w:t>
      </w:r>
      <w:r w:rsidR="00BD4D01" w:rsidRPr="0053555E">
        <w:rPr>
          <w:rFonts w:asciiTheme="majorHAnsi" w:hAnsiTheme="majorHAnsi" w:cstheme="majorHAnsi"/>
        </w:rPr>
        <w:t>semestr</w:t>
      </w:r>
      <w:r w:rsidR="00BD3D21" w:rsidRPr="0053555E">
        <w:rPr>
          <w:rFonts w:asciiTheme="majorHAnsi" w:hAnsiTheme="majorHAnsi" w:cstheme="majorHAnsi"/>
        </w:rPr>
        <w:t>ov</w:t>
      </w:r>
      <w:r w:rsidR="00BD4D01" w:rsidRPr="0053555E">
        <w:rPr>
          <w:rFonts w:asciiTheme="majorHAnsi" w:hAnsiTheme="majorHAnsi" w:cstheme="majorHAnsi"/>
        </w:rPr>
        <w:t xml:space="preserve"> vyhodnoc</w:t>
      </w:r>
      <w:r w:rsidR="00BD3D21" w:rsidRPr="0053555E">
        <w:rPr>
          <w:rFonts w:asciiTheme="majorHAnsi" w:hAnsiTheme="majorHAnsi" w:cstheme="majorHAnsi"/>
        </w:rPr>
        <w:t xml:space="preserve">ovali </w:t>
      </w:r>
      <w:r w:rsidR="00DB4586" w:rsidRPr="0053555E">
        <w:rPr>
          <w:rFonts w:asciiTheme="majorHAnsi" w:hAnsiTheme="majorHAnsi" w:cstheme="majorHAnsi"/>
        </w:rPr>
        <w:t>spolu</w:t>
      </w:r>
      <w:r w:rsidR="00BD3D21" w:rsidRPr="0053555E">
        <w:rPr>
          <w:rFonts w:asciiTheme="majorHAnsi" w:hAnsiTheme="majorHAnsi" w:cstheme="majorHAnsi"/>
        </w:rPr>
        <w:t xml:space="preserve"> s </w:t>
      </w:r>
      <w:r w:rsidR="00BD4D01" w:rsidRPr="0053555E">
        <w:rPr>
          <w:rFonts w:asciiTheme="majorHAnsi" w:hAnsiTheme="majorHAnsi" w:cstheme="majorHAnsi"/>
        </w:rPr>
        <w:t xml:space="preserve">úspešnosťou študentov </w:t>
      </w:r>
      <w:r w:rsidR="00DB4586" w:rsidRPr="0053555E">
        <w:rPr>
          <w:rFonts w:asciiTheme="majorHAnsi" w:hAnsiTheme="majorHAnsi" w:cstheme="majorHAnsi"/>
        </w:rPr>
        <w:t>v</w:t>
      </w:r>
      <w:r w:rsidR="00824F0F" w:rsidRPr="0053555E">
        <w:rPr>
          <w:rFonts w:asciiTheme="majorHAnsi" w:hAnsiTheme="majorHAnsi" w:cstheme="majorHAnsi"/>
        </w:rPr>
        <w:t xml:space="preserve"> jednotlivých </w:t>
      </w:r>
      <w:r w:rsidR="00BD4D01" w:rsidRPr="0053555E">
        <w:rPr>
          <w:rFonts w:asciiTheme="majorHAnsi" w:hAnsiTheme="majorHAnsi" w:cstheme="majorHAnsi"/>
        </w:rPr>
        <w:t>predmetoch a</w:t>
      </w:r>
      <w:r w:rsidR="0055075C" w:rsidRPr="0053555E">
        <w:rPr>
          <w:rFonts w:asciiTheme="majorHAnsi" w:hAnsiTheme="majorHAnsi" w:cstheme="majorHAnsi"/>
        </w:rPr>
        <w:t xml:space="preserve"> </w:t>
      </w:r>
      <w:r w:rsidR="00BD3D21" w:rsidRPr="0053555E">
        <w:rPr>
          <w:rFonts w:asciiTheme="majorHAnsi" w:hAnsiTheme="majorHAnsi" w:cstheme="majorHAnsi"/>
        </w:rPr>
        <w:t xml:space="preserve">boli predložené </w:t>
      </w:r>
      <w:r w:rsidR="00824F0F" w:rsidRPr="0053555E">
        <w:rPr>
          <w:rFonts w:asciiTheme="majorHAnsi" w:hAnsiTheme="majorHAnsi" w:cstheme="majorHAnsi"/>
        </w:rPr>
        <w:t xml:space="preserve">vedeniu </w:t>
      </w:r>
      <w:r w:rsidR="00B664EA" w:rsidRPr="0053555E">
        <w:rPr>
          <w:rFonts w:asciiTheme="majorHAnsi" w:hAnsiTheme="majorHAnsi" w:cstheme="majorHAnsi"/>
        </w:rPr>
        <w:t>fakulty</w:t>
      </w:r>
      <w:r w:rsidR="00824F0F" w:rsidRPr="0053555E">
        <w:rPr>
          <w:rFonts w:asciiTheme="majorHAnsi" w:hAnsiTheme="majorHAnsi" w:cstheme="majorHAnsi"/>
        </w:rPr>
        <w:t xml:space="preserve"> a </w:t>
      </w:r>
      <w:r w:rsidR="00BD4D01" w:rsidRPr="0053555E">
        <w:rPr>
          <w:rFonts w:asciiTheme="majorHAnsi" w:hAnsiTheme="majorHAnsi" w:cstheme="majorHAnsi"/>
        </w:rPr>
        <w:t>riaditeľom ústavov</w:t>
      </w:r>
      <w:r w:rsidR="00C772FE" w:rsidRPr="0053555E">
        <w:rPr>
          <w:rFonts w:asciiTheme="majorHAnsi" w:hAnsiTheme="majorHAnsi" w:cstheme="majorHAnsi"/>
        </w:rPr>
        <w:t xml:space="preserve">, resp. </w:t>
      </w:r>
      <w:r w:rsidR="00BD4D01" w:rsidRPr="0053555E">
        <w:rPr>
          <w:rFonts w:asciiTheme="majorHAnsi" w:hAnsiTheme="majorHAnsi" w:cstheme="majorHAnsi"/>
        </w:rPr>
        <w:t>inštitútov.</w:t>
      </w:r>
    </w:p>
    <w:p w14:paraId="7C069450" w14:textId="4B4D399C" w:rsidR="00227431" w:rsidRPr="0053555E" w:rsidRDefault="007605EE" w:rsidP="00431A88">
      <w:pPr>
        <w:tabs>
          <w:tab w:val="left" w:pos="284"/>
        </w:tabs>
        <w:spacing w:after="120"/>
        <w:jc w:val="both"/>
        <w:rPr>
          <w:rFonts w:asciiTheme="majorHAnsi" w:hAnsiTheme="majorHAnsi" w:cstheme="majorHAnsi"/>
        </w:rPr>
      </w:pPr>
      <w:r w:rsidRPr="0053555E">
        <w:rPr>
          <w:rFonts w:asciiTheme="majorHAnsi" w:hAnsiTheme="majorHAnsi" w:cstheme="majorHAnsi"/>
          <w:b/>
        </w:rPr>
        <w:t xml:space="preserve">FCHPT </w:t>
      </w:r>
      <w:r w:rsidR="00227431" w:rsidRPr="0053555E">
        <w:rPr>
          <w:rFonts w:asciiTheme="majorHAnsi" w:hAnsiTheme="majorHAnsi" w:cstheme="majorHAnsi"/>
        </w:rPr>
        <w:t xml:space="preserve">v akademickom roku </w:t>
      </w:r>
      <w:r w:rsidR="00EA24BA" w:rsidRPr="0053555E">
        <w:rPr>
          <w:rFonts w:asciiTheme="majorHAnsi" w:hAnsiTheme="majorHAnsi" w:cstheme="majorHAnsi"/>
        </w:rPr>
        <w:t>2021/2022</w:t>
      </w:r>
      <w:r w:rsidR="00227431" w:rsidRPr="0053555E">
        <w:rPr>
          <w:rFonts w:asciiTheme="majorHAnsi" w:hAnsiTheme="majorHAnsi" w:cstheme="majorHAnsi"/>
        </w:rPr>
        <w:t xml:space="preserve"> uskutočnila niekoľko ankiet pre študentov</w:t>
      </w:r>
      <w:r w:rsidR="001E1BCB">
        <w:rPr>
          <w:rFonts w:asciiTheme="majorHAnsi" w:hAnsiTheme="majorHAnsi" w:cstheme="majorHAnsi"/>
        </w:rPr>
        <w:t xml:space="preserve">. </w:t>
      </w:r>
      <w:r w:rsidR="00963C13" w:rsidRPr="00963C13">
        <w:rPr>
          <w:rFonts w:asciiTheme="majorHAnsi" w:hAnsiTheme="majorHAnsi" w:cstheme="majorHAnsi"/>
        </w:rPr>
        <w:t xml:space="preserve">Boli to ankety v AIS k predmetom zimného i letného semestra. Výsledky sú po uzavretí ankety prístupné vyučujúcim, garantom i vedúcim pracovníkom. V zimnom semestri </w:t>
      </w:r>
      <w:r w:rsidR="00724586">
        <w:rPr>
          <w:rFonts w:asciiTheme="majorHAnsi" w:hAnsiTheme="majorHAnsi" w:cstheme="majorHAnsi"/>
        </w:rPr>
        <w:t xml:space="preserve">sa ankety zúčastnilo </w:t>
      </w:r>
      <w:r w:rsidR="00963C13" w:rsidRPr="00724586">
        <w:rPr>
          <w:rFonts w:asciiTheme="majorHAnsi" w:hAnsiTheme="majorHAnsi" w:cstheme="majorHAnsi"/>
          <w:b/>
        </w:rPr>
        <w:t>27 %</w:t>
      </w:r>
      <w:r w:rsidR="00963C13" w:rsidRPr="00963C13">
        <w:rPr>
          <w:rFonts w:asciiTheme="majorHAnsi" w:hAnsiTheme="majorHAnsi" w:cstheme="majorHAnsi"/>
        </w:rPr>
        <w:t xml:space="preserve"> z celkového počtu študentov</w:t>
      </w:r>
      <w:r w:rsidR="00724586">
        <w:rPr>
          <w:rFonts w:asciiTheme="majorHAnsi" w:hAnsiTheme="majorHAnsi" w:cstheme="majorHAnsi"/>
        </w:rPr>
        <w:t xml:space="preserve"> a v</w:t>
      </w:r>
      <w:r w:rsidR="00963C13" w:rsidRPr="00963C13">
        <w:rPr>
          <w:rFonts w:asciiTheme="majorHAnsi" w:hAnsiTheme="majorHAnsi" w:cstheme="majorHAnsi"/>
        </w:rPr>
        <w:t xml:space="preserve">yjadrili sa k </w:t>
      </w:r>
      <w:r w:rsidR="00963C13" w:rsidRPr="00724586">
        <w:rPr>
          <w:rFonts w:asciiTheme="majorHAnsi" w:hAnsiTheme="majorHAnsi" w:cstheme="majorHAnsi"/>
          <w:b/>
        </w:rPr>
        <w:t xml:space="preserve">69 % </w:t>
      </w:r>
      <w:r w:rsidR="00963C13" w:rsidRPr="00963C13">
        <w:rPr>
          <w:rFonts w:asciiTheme="majorHAnsi" w:hAnsiTheme="majorHAnsi" w:cstheme="majorHAnsi"/>
        </w:rPr>
        <w:t>predmetov ponúkaných v</w:t>
      </w:r>
      <w:r w:rsidR="00F26888">
        <w:rPr>
          <w:rFonts w:asciiTheme="majorHAnsi" w:hAnsiTheme="majorHAnsi" w:cstheme="majorHAnsi"/>
        </w:rPr>
        <w:t> zimnom semestri</w:t>
      </w:r>
      <w:r w:rsidR="00963C13" w:rsidRPr="00963C13">
        <w:rPr>
          <w:rFonts w:asciiTheme="majorHAnsi" w:hAnsiTheme="majorHAnsi" w:cstheme="majorHAnsi"/>
        </w:rPr>
        <w:t xml:space="preserve">. V letnom semestri </w:t>
      </w:r>
      <w:r w:rsidR="00D4560D">
        <w:rPr>
          <w:rFonts w:asciiTheme="majorHAnsi" w:hAnsiTheme="majorHAnsi" w:cstheme="majorHAnsi"/>
        </w:rPr>
        <w:t>sa ankety zúčastnilo</w:t>
      </w:r>
      <w:r w:rsidR="00D4560D" w:rsidRPr="00963C13">
        <w:rPr>
          <w:rFonts w:asciiTheme="majorHAnsi" w:hAnsiTheme="majorHAnsi" w:cstheme="majorHAnsi"/>
        </w:rPr>
        <w:t xml:space="preserve"> </w:t>
      </w:r>
      <w:r w:rsidR="00963C13" w:rsidRPr="00D4560D">
        <w:rPr>
          <w:rFonts w:asciiTheme="majorHAnsi" w:hAnsiTheme="majorHAnsi" w:cstheme="majorHAnsi"/>
          <w:b/>
        </w:rPr>
        <w:t>14 %</w:t>
      </w:r>
      <w:r w:rsidR="00963C13" w:rsidRPr="00963C13">
        <w:rPr>
          <w:rFonts w:asciiTheme="majorHAnsi" w:hAnsiTheme="majorHAnsi" w:cstheme="majorHAnsi"/>
        </w:rPr>
        <w:t xml:space="preserve"> z celkového počtu študentov</w:t>
      </w:r>
      <w:r w:rsidR="00D4560D">
        <w:rPr>
          <w:rFonts w:asciiTheme="majorHAnsi" w:hAnsiTheme="majorHAnsi" w:cstheme="majorHAnsi"/>
        </w:rPr>
        <w:t xml:space="preserve"> a v</w:t>
      </w:r>
      <w:r w:rsidR="00963C13" w:rsidRPr="00963C13">
        <w:rPr>
          <w:rFonts w:asciiTheme="majorHAnsi" w:hAnsiTheme="majorHAnsi" w:cstheme="majorHAnsi"/>
        </w:rPr>
        <w:t xml:space="preserve">yjadrili sa k </w:t>
      </w:r>
      <w:r w:rsidR="00963C13" w:rsidRPr="00D4560D">
        <w:rPr>
          <w:rFonts w:asciiTheme="majorHAnsi" w:hAnsiTheme="majorHAnsi" w:cstheme="majorHAnsi"/>
          <w:b/>
        </w:rPr>
        <w:t>67 %</w:t>
      </w:r>
      <w:r w:rsidR="00963C13" w:rsidRPr="00963C13">
        <w:rPr>
          <w:rFonts w:asciiTheme="majorHAnsi" w:hAnsiTheme="majorHAnsi" w:cstheme="majorHAnsi"/>
        </w:rPr>
        <w:t xml:space="preserve"> predmetov ponúkaných v</w:t>
      </w:r>
      <w:r w:rsidR="00D4560D">
        <w:rPr>
          <w:rFonts w:asciiTheme="majorHAnsi" w:hAnsiTheme="majorHAnsi" w:cstheme="majorHAnsi"/>
        </w:rPr>
        <w:t> letnom semestri</w:t>
      </w:r>
      <w:r w:rsidR="00963C13" w:rsidRPr="00963C13">
        <w:rPr>
          <w:rFonts w:asciiTheme="majorHAnsi" w:hAnsiTheme="majorHAnsi" w:cstheme="majorHAnsi"/>
        </w:rPr>
        <w:t xml:space="preserve">. </w:t>
      </w:r>
      <w:r w:rsidR="00F26888">
        <w:rPr>
          <w:rFonts w:asciiTheme="majorHAnsi" w:hAnsiTheme="majorHAnsi" w:cstheme="majorHAnsi"/>
        </w:rPr>
        <w:t>N</w:t>
      </w:r>
      <w:r w:rsidR="00963C13" w:rsidRPr="00963C13">
        <w:rPr>
          <w:rFonts w:asciiTheme="majorHAnsi" w:hAnsiTheme="majorHAnsi" w:cstheme="majorHAnsi"/>
        </w:rPr>
        <w:t xml:space="preserve">evýhodou </w:t>
      </w:r>
      <w:r w:rsidR="00F26888">
        <w:rPr>
          <w:rFonts w:asciiTheme="majorHAnsi" w:hAnsiTheme="majorHAnsi" w:cstheme="majorHAnsi"/>
        </w:rPr>
        <w:t xml:space="preserve">evaluácie predmetov v AIS je nízka účasť a </w:t>
      </w:r>
      <w:r w:rsidR="00963C13" w:rsidRPr="00963C13">
        <w:rPr>
          <w:rFonts w:asciiTheme="majorHAnsi" w:hAnsiTheme="majorHAnsi" w:cstheme="majorHAnsi"/>
        </w:rPr>
        <w:t xml:space="preserve">neskorá spätná väzba – až po </w:t>
      </w:r>
      <w:r w:rsidR="00F26888">
        <w:rPr>
          <w:rFonts w:asciiTheme="majorHAnsi" w:hAnsiTheme="majorHAnsi" w:cstheme="majorHAnsi"/>
        </w:rPr>
        <w:t>s</w:t>
      </w:r>
      <w:r w:rsidR="00963C13" w:rsidRPr="00963C13">
        <w:rPr>
          <w:rFonts w:asciiTheme="majorHAnsi" w:hAnsiTheme="majorHAnsi" w:cstheme="majorHAnsi"/>
        </w:rPr>
        <w:t xml:space="preserve">končení </w:t>
      </w:r>
      <w:r w:rsidR="00353D42">
        <w:rPr>
          <w:rFonts w:asciiTheme="majorHAnsi" w:hAnsiTheme="majorHAnsi" w:cstheme="majorHAnsi"/>
        </w:rPr>
        <w:t>príslušného</w:t>
      </w:r>
      <w:r w:rsidR="00963C13" w:rsidRPr="00963C13">
        <w:rPr>
          <w:rFonts w:asciiTheme="majorHAnsi" w:hAnsiTheme="majorHAnsi" w:cstheme="majorHAnsi"/>
        </w:rPr>
        <w:t xml:space="preserve"> semestra. </w:t>
      </w:r>
      <w:r w:rsidR="00353D42">
        <w:rPr>
          <w:rFonts w:asciiTheme="majorHAnsi" w:hAnsiTheme="majorHAnsi" w:cstheme="majorHAnsi"/>
        </w:rPr>
        <w:t>M</w:t>
      </w:r>
      <w:r w:rsidR="00963C13" w:rsidRPr="00963C13">
        <w:rPr>
          <w:rFonts w:asciiTheme="majorHAnsi" w:hAnsiTheme="majorHAnsi" w:cstheme="majorHAnsi"/>
        </w:rPr>
        <w:t xml:space="preserve">nohí pedagógovia </w:t>
      </w:r>
      <w:r w:rsidR="00353D42">
        <w:rPr>
          <w:rFonts w:asciiTheme="majorHAnsi" w:hAnsiTheme="majorHAnsi" w:cstheme="majorHAnsi"/>
        </w:rPr>
        <w:t>využívajú vlastné ankety</w:t>
      </w:r>
      <w:r w:rsidR="00963C13" w:rsidRPr="00963C13">
        <w:rPr>
          <w:rFonts w:asciiTheme="majorHAnsi" w:hAnsiTheme="majorHAnsi" w:cstheme="majorHAnsi"/>
        </w:rPr>
        <w:t xml:space="preserve"> zadávan</w:t>
      </w:r>
      <w:r w:rsidR="00353D42">
        <w:rPr>
          <w:rFonts w:asciiTheme="majorHAnsi" w:hAnsiTheme="majorHAnsi" w:cstheme="majorHAnsi"/>
        </w:rPr>
        <w:t>é</w:t>
      </w:r>
      <w:r w:rsidR="00963C13" w:rsidRPr="00963C13">
        <w:rPr>
          <w:rFonts w:asciiTheme="majorHAnsi" w:hAnsiTheme="majorHAnsi" w:cstheme="majorHAnsi"/>
        </w:rPr>
        <w:t xml:space="preserve"> bezprostredne po rozvrhovej akcii, aby najdôležitejšie pripomienky mohli ihneď akceptovať a modifikovať tak pedagogický proces k</w:t>
      </w:r>
      <w:r w:rsidR="00353D42">
        <w:rPr>
          <w:rFonts w:asciiTheme="majorHAnsi" w:hAnsiTheme="majorHAnsi" w:cstheme="majorHAnsi"/>
        </w:rPr>
        <w:t> </w:t>
      </w:r>
      <w:r w:rsidR="00963C13" w:rsidRPr="00963C13">
        <w:rPr>
          <w:rFonts w:asciiTheme="majorHAnsi" w:hAnsiTheme="majorHAnsi" w:cstheme="majorHAnsi"/>
        </w:rPr>
        <w:t>spokojnosti oboch strán. Koncoročné ankety</w:t>
      </w:r>
      <w:r w:rsidR="00872DC6">
        <w:rPr>
          <w:rFonts w:asciiTheme="majorHAnsi" w:hAnsiTheme="majorHAnsi" w:cstheme="majorHAnsi"/>
        </w:rPr>
        <w:t xml:space="preserve"> v akademickom roku</w:t>
      </w:r>
      <w:r w:rsidR="00963C13" w:rsidRPr="00963C13">
        <w:rPr>
          <w:rFonts w:asciiTheme="majorHAnsi" w:hAnsiTheme="majorHAnsi" w:cstheme="majorHAnsi"/>
        </w:rPr>
        <w:t xml:space="preserve"> 2021/2022 </w:t>
      </w:r>
      <w:r w:rsidR="00872DC6">
        <w:rPr>
          <w:rFonts w:asciiTheme="majorHAnsi" w:hAnsiTheme="majorHAnsi" w:cstheme="majorHAnsi"/>
        </w:rPr>
        <w:t xml:space="preserve">boli </w:t>
      </w:r>
      <w:r w:rsidR="00963C13" w:rsidRPr="00963C13">
        <w:rPr>
          <w:rFonts w:asciiTheme="majorHAnsi" w:hAnsiTheme="majorHAnsi" w:cstheme="majorHAnsi"/>
        </w:rPr>
        <w:t>zrealizované elektronickou formou prostredníctvom Google Forms, boli vypísané osobitne pre študentov jednotlivých ročníkov a niektoré z nich aj zvlášť pre jednotlivé študijné programy (</w:t>
      </w:r>
      <w:r w:rsidR="008933FE">
        <w:rPr>
          <w:rFonts w:asciiTheme="majorHAnsi" w:hAnsiTheme="majorHAnsi" w:cstheme="majorHAnsi"/>
        </w:rPr>
        <w:t>na prvom</w:t>
      </w:r>
      <w:r w:rsidR="00963C13" w:rsidRPr="00963C13">
        <w:rPr>
          <w:rFonts w:asciiTheme="majorHAnsi" w:hAnsiTheme="majorHAnsi" w:cstheme="majorHAnsi"/>
        </w:rPr>
        <w:t xml:space="preserve"> stupni). </w:t>
      </w:r>
      <w:r w:rsidR="008933FE">
        <w:rPr>
          <w:rFonts w:asciiTheme="majorHAnsi" w:hAnsiTheme="majorHAnsi" w:cstheme="majorHAnsi"/>
        </w:rPr>
        <w:t>P</w:t>
      </w:r>
      <w:r w:rsidR="00963C13" w:rsidRPr="00963C13">
        <w:rPr>
          <w:rFonts w:asciiTheme="majorHAnsi" w:hAnsiTheme="majorHAnsi" w:cstheme="majorHAnsi"/>
        </w:rPr>
        <w:t xml:space="preserve">red </w:t>
      </w:r>
      <w:r w:rsidR="008933FE">
        <w:rPr>
          <w:rFonts w:asciiTheme="majorHAnsi" w:hAnsiTheme="majorHAnsi" w:cstheme="majorHAnsi"/>
        </w:rPr>
        <w:t xml:space="preserve">začiatkom akademického </w:t>
      </w:r>
      <w:r w:rsidR="00963C13" w:rsidRPr="00963C13">
        <w:rPr>
          <w:rFonts w:asciiTheme="majorHAnsi" w:hAnsiTheme="majorHAnsi" w:cstheme="majorHAnsi"/>
        </w:rPr>
        <w:t xml:space="preserve">roka 2022/2023 </w:t>
      </w:r>
      <w:r w:rsidR="008B60BE">
        <w:rPr>
          <w:rFonts w:asciiTheme="majorHAnsi" w:hAnsiTheme="majorHAnsi" w:cstheme="majorHAnsi"/>
        </w:rPr>
        <w:t>bola</w:t>
      </w:r>
      <w:r w:rsidR="00963C13" w:rsidRPr="00963C13">
        <w:rPr>
          <w:rFonts w:asciiTheme="majorHAnsi" w:hAnsiTheme="majorHAnsi" w:cstheme="majorHAnsi"/>
        </w:rPr>
        <w:t xml:space="preserve"> zrealizova</w:t>
      </w:r>
      <w:r w:rsidR="008B60BE">
        <w:rPr>
          <w:rFonts w:asciiTheme="majorHAnsi" w:hAnsiTheme="majorHAnsi" w:cstheme="majorHAnsi"/>
        </w:rPr>
        <w:t>ná</w:t>
      </w:r>
      <w:r w:rsidR="00963C13" w:rsidRPr="00963C13">
        <w:rPr>
          <w:rFonts w:asciiTheme="majorHAnsi" w:hAnsiTheme="majorHAnsi" w:cstheme="majorHAnsi"/>
        </w:rPr>
        <w:t xml:space="preserve"> aj špeciáln</w:t>
      </w:r>
      <w:r w:rsidR="008B60BE">
        <w:rPr>
          <w:rFonts w:asciiTheme="majorHAnsi" w:hAnsiTheme="majorHAnsi" w:cstheme="majorHAnsi"/>
        </w:rPr>
        <w:t>a</w:t>
      </w:r>
      <w:r w:rsidR="00963C13" w:rsidRPr="00963C13">
        <w:rPr>
          <w:rFonts w:asciiTheme="majorHAnsi" w:hAnsiTheme="majorHAnsi" w:cstheme="majorHAnsi"/>
        </w:rPr>
        <w:t xml:space="preserve"> anket</w:t>
      </w:r>
      <w:r w:rsidR="008B60BE">
        <w:rPr>
          <w:rFonts w:asciiTheme="majorHAnsi" w:hAnsiTheme="majorHAnsi" w:cstheme="majorHAnsi"/>
        </w:rPr>
        <w:t>a</w:t>
      </w:r>
      <w:r w:rsidR="00963C13" w:rsidRPr="00963C13">
        <w:rPr>
          <w:rFonts w:asciiTheme="majorHAnsi" w:hAnsiTheme="majorHAnsi" w:cstheme="majorHAnsi"/>
        </w:rPr>
        <w:t xml:space="preserve"> medzi </w:t>
      </w:r>
      <w:r w:rsidR="008B60BE">
        <w:rPr>
          <w:rFonts w:asciiTheme="majorHAnsi" w:hAnsiTheme="majorHAnsi" w:cstheme="majorHAnsi"/>
        </w:rPr>
        <w:t xml:space="preserve">novoprijatými </w:t>
      </w:r>
      <w:r w:rsidR="00963C13" w:rsidRPr="00963C13">
        <w:rPr>
          <w:rFonts w:asciiTheme="majorHAnsi" w:hAnsiTheme="majorHAnsi" w:cstheme="majorHAnsi"/>
        </w:rPr>
        <w:t>študentmi nastupujúcimi do prvého roka bakalársk</w:t>
      </w:r>
      <w:r w:rsidR="008B60BE">
        <w:rPr>
          <w:rFonts w:asciiTheme="majorHAnsi" w:hAnsiTheme="majorHAnsi" w:cstheme="majorHAnsi"/>
        </w:rPr>
        <w:t>ych študijných programov</w:t>
      </w:r>
      <w:r w:rsidR="00963C13" w:rsidRPr="00963C13">
        <w:rPr>
          <w:rFonts w:asciiTheme="majorHAnsi" w:hAnsiTheme="majorHAnsi" w:cstheme="majorHAnsi"/>
        </w:rPr>
        <w:t>. Priemern</w:t>
      </w:r>
      <w:r w:rsidR="000C6A30">
        <w:rPr>
          <w:rFonts w:asciiTheme="majorHAnsi" w:hAnsiTheme="majorHAnsi" w:cstheme="majorHAnsi"/>
        </w:rPr>
        <w:t xml:space="preserve">á účasť na </w:t>
      </w:r>
      <w:r w:rsidR="00963C13" w:rsidRPr="00963C13">
        <w:rPr>
          <w:rFonts w:asciiTheme="majorHAnsi" w:hAnsiTheme="majorHAnsi" w:cstheme="majorHAnsi"/>
        </w:rPr>
        <w:t xml:space="preserve">týchto </w:t>
      </w:r>
      <w:r w:rsidR="000C6A30">
        <w:rPr>
          <w:rFonts w:asciiTheme="majorHAnsi" w:hAnsiTheme="majorHAnsi" w:cstheme="majorHAnsi"/>
        </w:rPr>
        <w:t>anketách</w:t>
      </w:r>
      <w:r w:rsidR="00963C13" w:rsidRPr="00963C13">
        <w:rPr>
          <w:rFonts w:asciiTheme="majorHAnsi" w:hAnsiTheme="majorHAnsi" w:cstheme="majorHAnsi"/>
        </w:rPr>
        <w:t xml:space="preserve"> bol</w:t>
      </w:r>
      <w:r w:rsidR="000C6A30">
        <w:rPr>
          <w:rFonts w:asciiTheme="majorHAnsi" w:hAnsiTheme="majorHAnsi" w:cstheme="majorHAnsi"/>
        </w:rPr>
        <w:t>a</w:t>
      </w:r>
      <w:r w:rsidR="00963C13" w:rsidRPr="00963C13">
        <w:rPr>
          <w:rFonts w:asciiTheme="majorHAnsi" w:hAnsiTheme="majorHAnsi" w:cstheme="majorHAnsi"/>
        </w:rPr>
        <w:t xml:space="preserve"> </w:t>
      </w:r>
      <w:r w:rsidR="00963C13" w:rsidRPr="000C6A30">
        <w:rPr>
          <w:rFonts w:asciiTheme="majorHAnsi" w:hAnsiTheme="majorHAnsi" w:cstheme="majorHAnsi"/>
          <w:b/>
        </w:rPr>
        <w:t>48,8 %</w:t>
      </w:r>
      <w:r w:rsidR="00963C13" w:rsidRPr="00963C13">
        <w:rPr>
          <w:rFonts w:asciiTheme="majorHAnsi" w:hAnsiTheme="majorHAnsi" w:cstheme="majorHAnsi"/>
        </w:rPr>
        <w:t xml:space="preserve"> vzhľadom na celkový počet možných respondentov.</w:t>
      </w:r>
    </w:p>
    <w:p w14:paraId="2374C2D7" w14:textId="1D120CC8" w:rsidR="00E557A7" w:rsidRPr="0053555E" w:rsidRDefault="002C0DDF" w:rsidP="00E9722A">
      <w:pPr>
        <w:tabs>
          <w:tab w:val="left" w:pos="9356"/>
        </w:tabs>
        <w:spacing w:after="120"/>
        <w:jc w:val="both"/>
        <w:rPr>
          <w:rFonts w:asciiTheme="majorHAnsi" w:hAnsiTheme="majorHAnsi" w:cstheme="majorHAnsi"/>
        </w:rPr>
      </w:pPr>
      <w:r w:rsidRPr="0053555E">
        <w:rPr>
          <w:rFonts w:asciiTheme="majorHAnsi" w:hAnsiTheme="majorHAnsi" w:cstheme="majorHAnsi"/>
        </w:rPr>
        <w:t xml:space="preserve">Počas semestra sa študenti </w:t>
      </w:r>
      <w:r w:rsidR="00E96A5C" w:rsidRPr="0053555E">
        <w:rPr>
          <w:rFonts w:asciiTheme="majorHAnsi" w:hAnsiTheme="majorHAnsi" w:cstheme="majorHAnsi"/>
          <w:b/>
        </w:rPr>
        <w:t xml:space="preserve">FAD </w:t>
      </w:r>
      <w:r w:rsidR="006B6DC8" w:rsidRPr="0053555E">
        <w:rPr>
          <w:rFonts w:asciiTheme="majorHAnsi" w:hAnsiTheme="majorHAnsi" w:cstheme="majorHAnsi"/>
        </w:rPr>
        <w:t xml:space="preserve">zúčastňujú </w:t>
      </w:r>
      <w:r w:rsidR="00A7709D" w:rsidRPr="0053555E">
        <w:rPr>
          <w:rFonts w:asciiTheme="majorHAnsi" w:hAnsiTheme="majorHAnsi" w:cstheme="majorHAnsi"/>
        </w:rPr>
        <w:t xml:space="preserve">evaulácie </w:t>
      </w:r>
      <w:r w:rsidRPr="0053555E">
        <w:rPr>
          <w:rFonts w:asciiTheme="majorHAnsi" w:hAnsiTheme="majorHAnsi" w:cstheme="majorHAnsi"/>
        </w:rPr>
        <w:t>jednotliv</w:t>
      </w:r>
      <w:r w:rsidR="00A7709D" w:rsidRPr="0053555E">
        <w:rPr>
          <w:rFonts w:asciiTheme="majorHAnsi" w:hAnsiTheme="majorHAnsi" w:cstheme="majorHAnsi"/>
        </w:rPr>
        <w:t xml:space="preserve">ých </w:t>
      </w:r>
      <w:r w:rsidRPr="0053555E">
        <w:rPr>
          <w:rFonts w:asciiTheme="majorHAnsi" w:hAnsiTheme="majorHAnsi" w:cstheme="majorHAnsi"/>
        </w:rPr>
        <w:t>predmet</w:t>
      </w:r>
      <w:r w:rsidR="00A7709D" w:rsidRPr="0053555E">
        <w:rPr>
          <w:rFonts w:asciiTheme="majorHAnsi" w:hAnsiTheme="majorHAnsi" w:cstheme="majorHAnsi"/>
        </w:rPr>
        <w:t>ov</w:t>
      </w:r>
      <w:r w:rsidRPr="0053555E">
        <w:rPr>
          <w:rFonts w:asciiTheme="majorHAnsi" w:hAnsiTheme="majorHAnsi" w:cstheme="majorHAnsi"/>
        </w:rPr>
        <w:t xml:space="preserve"> </w:t>
      </w:r>
      <w:r w:rsidR="00A23408" w:rsidRPr="0053555E">
        <w:rPr>
          <w:rFonts w:asciiTheme="majorHAnsi" w:hAnsiTheme="majorHAnsi" w:cstheme="majorHAnsi"/>
        </w:rPr>
        <w:t xml:space="preserve">príslušného obdobia </w:t>
      </w:r>
      <w:r w:rsidRPr="0053555E">
        <w:rPr>
          <w:rFonts w:asciiTheme="majorHAnsi" w:hAnsiTheme="majorHAnsi" w:cstheme="majorHAnsi"/>
        </w:rPr>
        <w:t xml:space="preserve">prostredníctvom AIS. </w:t>
      </w:r>
      <w:r w:rsidR="00E91C6C">
        <w:rPr>
          <w:rFonts w:asciiTheme="majorHAnsi" w:hAnsiTheme="majorHAnsi" w:cstheme="majorHAnsi"/>
        </w:rPr>
        <w:t>E</w:t>
      </w:r>
      <w:r w:rsidR="000F4FFC" w:rsidRPr="000F4FFC">
        <w:rPr>
          <w:rFonts w:asciiTheme="majorHAnsi" w:hAnsiTheme="majorHAnsi" w:cstheme="majorHAnsi"/>
        </w:rPr>
        <w:t xml:space="preserve">valuácie </w:t>
      </w:r>
      <w:r w:rsidR="00E91C6C">
        <w:rPr>
          <w:rFonts w:asciiTheme="majorHAnsi" w:hAnsiTheme="majorHAnsi" w:cstheme="majorHAnsi"/>
        </w:rPr>
        <w:t xml:space="preserve">boli </w:t>
      </w:r>
      <w:r w:rsidR="000F4FFC" w:rsidRPr="000F4FFC">
        <w:rPr>
          <w:rFonts w:asciiTheme="majorHAnsi" w:hAnsiTheme="majorHAnsi" w:cstheme="majorHAnsi"/>
        </w:rPr>
        <w:t>uskutočnené v</w:t>
      </w:r>
      <w:r w:rsidR="001828EF">
        <w:rPr>
          <w:rFonts w:asciiTheme="majorHAnsi" w:hAnsiTheme="majorHAnsi" w:cstheme="majorHAnsi"/>
        </w:rPr>
        <w:t> </w:t>
      </w:r>
      <w:r w:rsidR="000F4FFC" w:rsidRPr="000F4FFC">
        <w:rPr>
          <w:rFonts w:asciiTheme="majorHAnsi" w:hAnsiTheme="majorHAnsi" w:cstheme="majorHAnsi"/>
        </w:rPr>
        <w:t>35</w:t>
      </w:r>
      <w:r w:rsidR="001828EF">
        <w:rPr>
          <w:rFonts w:asciiTheme="majorHAnsi" w:hAnsiTheme="majorHAnsi" w:cstheme="majorHAnsi"/>
        </w:rPr>
        <w:t xml:space="preserve"> </w:t>
      </w:r>
      <w:r w:rsidR="000F4FFC" w:rsidRPr="000F4FFC">
        <w:rPr>
          <w:rFonts w:asciiTheme="majorHAnsi" w:hAnsiTheme="majorHAnsi" w:cstheme="majorHAnsi"/>
        </w:rPr>
        <w:t>% predmetov v LS a</w:t>
      </w:r>
      <w:r w:rsidR="001828EF">
        <w:rPr>
          <w:rFonts w:asciiTheme="majorHAnsi" w:hAnsiTheme="majorHAnsi" w:cstheme="majorHAnsi"/>
        </w:rPr>
        <w:t> </w:t>
      </w:r>
      <w:r w:rsidR="000F4FFC" w:rsidRPr="000F4FFC">
        <w:rPr>
          <w:rFonts w:asciiTheme="majorHAnsi" w:hAnsiTheme="majorHAnsi" w:cstheme="majorHAnsi"/>
        </w:rPr>
        <w:t>19</w:t>
      </w:r>
      <w:r w:rsidR="001828EF">
        <w:rPr>
          <w:rFonts w:asciiTheme="majorHAnsi" w:hAnsiTheme="majorHAnsi" w:cstheme="majorHAnsi"/>
        </w:rPr>
        <w:t xml:space="preserve"> </w:t>
      </w:r>
      <w:r w:rsidR="000F4FFC" w:rsidRPr="000F4FFC">
        <w:rPr>
          <w:rFonts w:asciiTheme="majorHAnsi" w:hAnsiTheme="majorHAnsi" w:cstheme="majorHAnsi"/>
        </w:rPr>
        <w:t xml:space="preserve">% predmetov v ZS. Počet respondentov sa pohyboval na úrovni </w:t>
      </w:r>
      <w:r w:rsidR="000F4FFC" w:rsidRPr="00E91C6C">
        <w:rPr>
          <w:rFonts w:asciiTheme="majorHAnsi" w:hAnsiTheme="majorHAnsi" w:cstheme="majorHAnsi"/>
          <w:b/>
        </w:rPr>
        <w:t>7</w:t>
      </w:r>
      <w:r w:rsidR="001828EF">
        <w:rPr>
          <w:rFonts w:asciiTheme="majorHAnsi" w:hAnsiTheme="majorHAnsi" w:cstheme="majorHAnsi"/>
          <w:b/>
        </w:rPr>
        <w:t xml:space="preserve"> </w:t>
      </w:r>
      <w:r w:rsidR="000F4FFC" w:rsidRPr="00E91C6C">
        <w:rPr>
          <w:rFonts w:asciiTheme="majorHAnsi" w:hAnsiTheme="majorHAnsi" w:cstheme="majorHAnsi"/>
          <w:b/>
        </w:rPr>
        <w:t>%</w:t>
      </w:r>
      <w:r w:rsidR="000F4FFC" w:rsidRPr="000F4FFC">
        <w:rPr>
          <w:rFonts w:asciiTheme="majorHAnsi" w:hAnsiTheme="majorHAnsi" w:cstheme="majorHAnsi"/>
        </w:rPr>
        <w:t>, čo predstavuje veľmi malú vzorku. Preto je cieľom do budúcnosti zlepšiť aj tento aspekt hodnotenia.</w:t>
      </w:r>
      <w:r w:rsidR="00E91C6C" w:rsidRPr="00E91C6C">
        <w:t xml:space="preserve"> </w:t>
      </w:r>
      <w:r w:rsidR="00C506A1">
        <w:t>V</w:t>
      </w:r>
      <w:r w:rsidR="00C506A1" w:rsidRPr="00C506A1">
        <w:t xml:space="preserve">ýsledky </w:t>
      </w:r>
      <w:r w:rsidR="00C506A1">
        <w:t xml:space="preserve">ankiet </w:t>
      </w:r>
      <w:r w:rsidR="00C506A1" w:rsidRPr="00C506A1">
        <w:t xml:space="preserve">boli verifikované prostredníctvom </w:t>
      </w:r>
      <w:r w:rsidR="00C506A1">
        <w:t xml:space="preserve">už spomínaných </w:t>
      </w:r>
      <w:r w:rsidR="00C506A1" w:rsidRPr="00C506A1">
        <w:t xml:space="preserve">hospitácií </w:t>
      </w:r>
      <w:r w:rsidR="00A57C0A">
        <w:t>vykonaný</w:t>
      </w:r>
      <w:r w:rsidR="00461ED5">
        <w:t>ch</w:t>
      </w:r>
      <w:r w:rsidR="00A57C0A">
        <w:t xml:space="preserve"> </w:t>
      </w:r>
      <w:r w:rsidR="00C506A1" w:rsidRPr="00C506A1">
        <w:t>garant</w:t>
      </w:r>
      <w:r w:rsidR="00A57C0A">
        <w:t>mi</w:t>
      </w:r>
      <w:r w:rsidR="00C506A1" w:rsidRPr="00C506A1">
        <w:t>, veden</w:t>
      </w:r>
      <w:r w:rsidR="00A57C0A">
        <w:t>ím</w:t>
      </w:r>
      <w:r w:rsidR="00C506A1" w:rsidRPr="00C506A1">
        <w:t xml:space="preserve"> a</w:t>
      </w:r>
      <w:r w:rsidR="00461ED5">
        <w:t> </w:t>
      </w:r>
      <w:r w:rsidR="00C506A1" w:rsidRPr="00C506A1">
        <w:t>ostatný</w:t>
      </w:r>
      <w:r w:rsidR="00A57C0A">
        <w:t>mi</w:t>
      </w:r>
      <w:r w:rsidR="00C506A1" w:rsidRPr="00C506A1">
        <w:t xml:space="preserve"> </w:t>
      </w:r>
      <w:r w:rsidR="00A57C0A">
        <w:t>učiteľmi</w:t>
      </w:r>
      <w:r w:rsidR="00C506A1" w:rsidRPr="00C506A1">
        <w:t xml:space="preserve"> na jednotlivých predmetoch. Ich závery boli poskytnuté garantom predmetov, vedúcim ústavov ako aj Rade ŠP.</w:t>
      </w:r>
      <w:r w:rsidR="00C506A1">
        <w:t xml:space="preserve"> </w:t>
      </w:r>
      <w:r w:rsidR="00E91C6C" w:rsidRPr="00E91C6C">
        <w:rPr>
          <w:rFonts w:asciiTheme="majorHAnsi" w:hAnsiTheme="majorHAnsi" w:cstheme="majorHAnsi"/>
        </w:rPr>
        <w:t xml:space="preserve">V roku 2022 si vedenie </w:t>
      </w:r>
      <w:r w:rsidR="00C12F82">
        <w:rPr>
          <w:rFonts w:asciiTheme="majorHAnsi" w:hAnsiTheme="majorHAnsi" w:cstheme="majorHAnsi"/>
        </w:rPr>
        <w:t>FAD</w:t>
      </w:r>
      <w:r w:rsidR="00E91C6C" w:rsidRPr="00E91C6C">
        <w:rPr>
          <w:rFonts w:asciiTheme="majorHAnsi" w:hAnsiTheme="majorHAnsi" w:cstheme="majorHAnsi"/>
        </w:rPr>
        <w:t xml:space="preserve"> nastavilo mechanizmus hodnotenia a kvality výučby ateliérových prác, ktoré pozostáva z troch zložiek: hodnotenie externými hodnotiteľmi z komory architektov a</w:t>
      </w:r>
      <w:r w:rsidR="00C12F82">
        <w:rPr>
          <w:rFonts w:asciiTheme="majorHAnsi" w:hAnsiTheme="majorHAnsi" w:cstheme="majorHAnsi"/>
        </w:rPr>
        <w:t> </w:t>
      </w:r>
      <w:r w:rsidR="00E91C6C" w:rsidRPr="00E91C6C">
        <w:rPr>
          <w:rFonts w:asciiTheme="majorHAnsi" w:hAnsiTheme="majorHAnsi" w:cstheme="majorHAnsi"/>
        </w:rPr>
        <w:t>dizajnérov, anonymné hodnotenie študentmi formou online dotazníku a evaluácia v</w:t>
      </w:r>
      <w:r w:rsidR="00461ED5">
        <w:rPr>
          <w:rFonts w:asciiTheme="majorHAnsi" w:hAnsiTheme="majorHAnsi" w:cstheme="majorHAnsi"/>
        </w:rPr>
        <w:t> </w:t>
      </w:r>
      <w:r w:rsidR="00E91C6C" w:rsidRPr="00E91C6C">
        <w:rPr>
          <w:rFonts w:asciiTheme="majorHAnsi" w:hAnsiTheme="majorHAnsi" w:cstheme="majorHAnsi"/>
        </w:rPr>
        <w:t>AIS</w:t>
      </w:r>
      <w:r w:rsidR="00461ED5">
        <w:rPr>
          <w:rFonts w:asciiTheme="majorHAnsi" w:hAnsiTheme="majorHAnsi" w:cstheme="majorHAnsi"/>
        </w:rPr>
        <w:t xml:space="preserve"> </w:t>
      </w:r>
      <w:r w:rsidR="00E91C6C" w:rsidRPr="00E91C6C">
        <w:rPr>
          <w:rFonts w:asciiTheme="majorHAnsi" w:hAnsiTheme="majorHAnsi" w:cstheme="majorHAnsi"/>
        </w:rPr>
        <w:t>a</w:t>
      </w:r>
      <w:r w:rsidR="00C12F82">
        <w:rPr>
          <w:rFonts w:asciiTheme="majorHAnsi" w:hAnsiTheme="majorHAnsi" w:cstheme="majorHAnsi"/>
        </w:rPr>
        <w:t> </w:t>
      </w:r>
      <w:r w:rsidR="00E91C6C" w:rsidRPr="00E91C6C">
        <w:rPr>
          <w:rFonts w:asciiTheme="majorHAnsi" w:hAnsiTheme="majorHAnsi" w:cstheme="majorHAnsi"/>
        </w:rPr>
        <w:t>komisionálne hodnotenie jednotlivých vertikálnych ateliérov uskutočnené na konci semestra počas prieskumov.</w:t>
      </w:r>
      <w:r w:rsidRPr="0053555E">
        <w:rPr>
          <w:rFonts w:asciiTheme="majorHAnsi" w:hAnsiTheme="majorHAnsi" w:cstheme="majorHAnsi"/>
        </w:rPr>
        <w:t xml:space="preserve"> </w:t>
      </w:r>
    </w:p>
    <w:p w14:paraId="51637CA9" w14:textId="2790AF9E" w:rsidR="008B3168" w:rsidRPr="0053555E" w:rsidRDefault="00BC31BB" w:rsidP="00324438">
      <w:pPr>
        <w:spacing w:after="120"/>
        <w:jc w:val="both"/>
        <w:rPr>
          <w:rFonts w:asciiTheme="majorHAnsi" w:eastAsia="Times New Roman" w:hAnsiTheme="majorHAnsi" w:cstheme="majorHAnsi"/>
          <w:lang w:eastAsia="sk-SK"/>
        </w:rPr>
      </w:pPr>
      <w:r w:rsidRPr="0053555E">
        <w:rPr>
          <w:rFonts w:asciiTheme="majorHAnsi" w:eastAsia="Times New Roman" w:hAnsiTheme="majorHAnsi" w:cstheme="majorHAnsi"/>
          <w:lang w:eastAsia="sk-SK"/>
        </w:rPr>
        <w:t xml:space="preserve">K jednotlivým predmetom a vyučujúcim sa </w:t>
      </w:r>
      <w:r w:rsidR="00B97560" w:rsidRPr="0053555E">
        <w:rPr>
          <w:rFonts w:asciiTheme="majorHAnsi" w:eastAsia="Times New Roman" w:hAnsiTheme="majorHAnsi" w:cstheme="majorHAnsi"/>
          <w:lang w:eastAsia="sk-SK"/>
        </w:rPr>
        <w:t xml:space="preserve">v akademickom roku </w:t>
      </w:r>
      <w:r w:rsidR="00EA24BA" w:rsidRPr="0053555E">
        <w:rPr>
          <w:rFonts w:asciiTheme="majorHAnsi" w:eastAsia="Times New Roman" w:hAnsiTheme="majorHAnsi" w:cstheme="majorHAnsi"/>
          <w:lang w:eastAsia="sk-SK"/>
        </w:rPr>
        <w:t>2021/2022</w:t>
      </w:r>
      <w:r w:rsidR="00B97560" w:rsidRPr="0053555E">
        <w:rPr>
          <w:rFonts w:asciiTheme="majorHAnsi" w:eastAsia="Times New Roman" w:hAnsiTheme="majorHAnsi" w:cstheme="majorHAnsi"/>
          <w:lang w:eastAsia="sk-SK"/>
        </w:rPr>
        <w:t xml:space="preserve"> </w:t>
      </w:r>
      <w:r w:rsidRPr="0053555E">
        <w:rPr>
          <w:rFonts w:asciiTheme="majorHAnsi" w:eastAsia="Times New Roman" w:hAnsiTheme="majorHAnsi" w:cstheme="majorHAnsi"/>
          <w:lang w:eastAsia="sk-SK"/>
        </w:rPr>
        <w:t xml:space="preserve">mali možnosť vyjadriť </w:t>
      </w:r>
      <w:r w:rsidR="00161A23" w:rsidRPr="0053555E">
        <w:rPr>
          <w:rFonts w:asciiTheme="majorHAnsi" w:eastAsia="Times New Roman" w:hAnsiTheme="majorHAnsi" w:cstheme="majorHAnsi"/>
          <w:lang w:eastAsia="sk-SK"/>
        </w:rPr>
        <w:t xml:space="preserve">aj </w:t>
      </w:r>
      <w:r w:rsidR="007441A0" w:rsidRPr="0053555E">
        <w:rPr>
          <w:rFonts w:asciiTheme="majorHAnsi" w:eastAsia="Times New Roman" w:hAnsiTheme="majorHAnsi" w:cstheme="majorHAnsi"/>
          <w:lang w:eastAsia="sk-SK"/>
        </w:rPr>
        <w:t xml:space="preserve">študenti </w:t>
      </w:r>
      <w:r w:rsidRPr="0053555E">
        <w:rPr>
          <w:rFonts w:asciiTheme="majorHAnsi" w:eastAsia="Times New Roman" w:hAnsiTheme="majorHAnsi" w:cstheme="majorHAnsi"/>
          <w:b/>
          <w:lang w:eastAsia="sk-SK"/>
        </w:rPr>
        <w:t>MTF</w:t>
      </w:r>
      <w:r w:rsidR="00077C89" w:rsidRPr="0053555E">
        <w:rPr>
          <w:rFonts w:asciiTheme="majorHAnsi" w:eastAsia="Times New Roman" w:hAnsiTheme="majorHAnsi" w:cstheme="majorHAnsi"/>
          <w:b/>
          <w:lang w:eastAsia="sk-SK"/>
        </w:rPr>
        <w:t xml:space="preserve"> </w:t>
      </w:r>
      <w:r w:rsidRPr="0053555E">
        <w:rPr>
          <w:rFonts w:asciiTheme="majorHAnsi" w:eastAsia="Times New Roman" w:hAnsiTheme="majorHAnsi" w:cstheme="majorHAnsi"/>
          <w:lang w:eastAsia="sk-SK"/>
        </w:rPr>
        <w:t xml:space="preserve">prostredníctvom </w:t>
      </w:r>
      <w:r w:rsidRPr="0053555E">
        <w:rPr>
          <w:rFonts w:asciiTheme="majorHAnsi" w:eastAsia="Times New Roman" w:hAnsiTheme="majorHAnsi" w:cstheme="majorHAnsi"/>
          <w:b/>
          <w:lang w:eastAsia="sk-SK"/>
        </w:rPr>
        <w:t>evaluácie predmetov v AIS</w:t>
      </w:r>
      <w:r w:rsidRPr="0053555E">
        <w:rPr>
          <w:rFonts w:asciiTheme="majorHAnsi" w:eastAsia="Times New Roman" w:hAnsiTheme="majorHAnsi" w:cstheme="majorHAnsi"/>
          <w:lang w:eastAsia="sk-SK"/>
        </w:rPr>
        <w:t xml:space="preserve">. </w:t>
      </w:r>
      <w:r w:rsidR="00405150" w:rsidRPr="0053555E">
        <w:rPr>
          <w:rFonts w:asciiTheme="majorHAnsi" w:eastAsia="Times New Roman" w:hAnsiTheme="majorHAnsi" w:cstheme="majorHAnsi"/>
          <w:lang w:eastAsia="sk-SK"/>
        </w:rPr>
        <w:t xml:space="preserve">V zimnom semestri sa ankety zúčastnilo </w:t>
      </w:r>
      <w:r w:rsidR="00F56CB3">
        <w:rPr>
          <w:rFonts w:asciiTheme="majorHAnsi" w:eastAsia="Times New Roman" w:hAnsiTheme="majorHAnsi" w:cstheme="majorHAnsi"/>
          <w:b/>
          <w:lang w:eastAsia="sk-SK"/>
        </w:rPr>
        <w:t>18</w:t>
      </w:r>
      <w:r w:rsidR="00405150" w:rsidRPr="0053555E">
        <w:rPr>
          <w:rFonts w:asciiTheme="majorHAnsi" w:eastAsia="Times New Roman" w:hAnsiTheme="majorHAnsi" w:cstheme="majorHAnsi"/>
          <w:b/>
          <w:lang w:eastAsia="sk-SK"/>
        </w:rPr>
        <w:t xml:space="preserve"> % </w:t>
      </w:r>
      <w:r w:rsidR="00405150" w:rsidRPr="0053555E">
        <w:rPr>
          <w:rFonts w:asciiTheme="majorHAnsi" w:eastAsia="Times New Roman" w:hAnsiTheme="majorHAnsi" w:cstheme="majorHAnsi"/>
          <w:lang w:eastAsia="sk-SK"/>
        </w:rPr>
        <w:t>študentov</w:t>
      </w:r>
      <w:r w:rsidR="003C0FBE" w:rsidRPr="0053555E">
        <w:rPr>
          <w:rFonts w:asciiTheme="majorHAnsi" w:eastAsia="Times New Roman" w:hAnsiTheme="majorHAnsi" w:cstheme="majorHAnsi"/>
          <w:lang w:eastAsia="sk-SK"/>
        </w:rPr>
        <w:t>. V letnom semestri sa ankety</w:t>
      </w:r>
      <w:r w:rsidR="006B2979" w:rsidRPr="0053555E">
        <w:rPr>
          <w:rFonts w:asciiTheme="majorHAnsi" w:eastAsia="Times New Roman" w:hAnsiTheme="majorHAnsi" w:cstheme="majorHAnsi"/>
          <w:lang w:eastAsia="sk-SK"/>
        </w:rPr>
        <w:t xml:space="preserve"> zúčastnilo len </w:t>
      </w:r>
      <w:r w:rsidR="00323BA4">
        <w:rPr>
          <w:rFonts w:asciiTheme="majorHAnsi" w:eastAsia="Times New Roman" w:hAnsiTheme="majorHAnsi" w:cstheme="majorHAnsi"/>
          <w:b/>
          <w:lang w:eastAsia="sk-SK"/>
        </w:rPr>
        <w:t xml:space="preserve">12 </w:t>
      </w:r>
      <w:r w:rsidR="006B2979" w:rsidRPr="0053555E">
        <w:rPr>
          <w:rFonts w:asciiTheme="majorHAnsi" w:eastAsia="Times New Roman" w:hAnsiTheme="majorHAnsi" w:cstheme="majorHAnsi"/>
          <w:b/>
          <w:lang w:eastAsia="sk-SK"/>
        </w:rPr>
        <w:t xml:space="preserve">% </w:t>
      </w:r>
      <w:r w:rsidR="006B2979" w:rsidRPr="0053555E">
        <w:rPr>
          <w:rFonts w:asciiTheme="majorHAnsi" w:eastAsia="Times New Roman" w:hAnsiTheme="majorHAnsi" w:cstheme="majorHAnsi"/>
          <w:lang w:eastAsia="sk-SK"/>
        </w:rPr>
        <w:t xml:space="preserve">študentov. </w:t>
      </w:r>
    </w:p>
    <w:p w14:paraId="70B22EF7" w14:textId="22230E58" w:rsidR="003B5ACC" w:rsidRPr="0053555E" w:rsidRDefault="004A7FFB" w:rsidP="009A3925">
      <w:pPr>
        <w:spacing w:after="120"/>
        <w:jc w:val="both"/>
        <w:rPr>
          <w:rFonts w:asciiTheme="majorHAnsi" w:hAnsiTheme="majorHAnsi" w:cstheme="majorHAnsi"/>
        </w:rPr>
      </w:pPr>
      <w:r w:rsidRPr="0053555E">
        <w:rPr>
          <w:rFonts w:asciiTheme="majorHAnsi" w:hAnsiTheme="majorHAnsi" w:cstheme="majorHAnsi"/>
          <w:b/>
        </w:rPr>
        <w:t>FIIT</w:t>
      </w:r>
      <w:r w:rsidRPr="0053555E">
        <w:rPr>
          <w:rFonts w:asciiTheme="majorHAnsi" w:hAnsiTheme="majorHAnsi" w:cstheme="majorHAnsi"/>
        </w:rPr>
        <w:t xml:space="preserve"> </w:t>
      </w:r>
      <w:r w:rsidR="009A3925" w:rsidRPr="0053555E">
        <w:rPr>
          <w:rFonts w:asciiTheme="majorHAnsi" w:hAnsiTheme="majorHAnsi" w:cstheme="majorHAnsi"/>
        </w:rPr>
        <w:t xml:space="preserve">pravidelne v každom semestri spúšťa proces evaluácie výučby v AIS. Výsledky evaluácie detailne analyzuje, podniká kroky na zmiernenie/elimináciu problémov, ktoré študentov trápia a informuje študentov o relevantných krokoch na pravidelných stretnutiach. Výsledky evaluácie poukazujú na rastúcu spokojnosť a lepšiu identifikáciu študentov s fakultou. Špeciálnu pozornosť venovala fakulta monitorovaniu výučby v období núteného prechodu </w:t>
      </w:r>
      <w:r w:rsidR="00AA7BB1" w:rsidRPr="0053555E">
        <w:rPr>
          <w:rFonts w:asciiTheme="majorHAnsi" w:hAnsiTheme="majorHAnsi" w:cstheme="majorHAnsi"/>
        </w:rPr>
        <w:lastRenderedPageBreak/>
        <w:t>na </w:t>
      </w:r>
      <w:r w:rsidR="00D16B0E" w:rsidRPr="0053555E">
        <w:rPr>
          <w:rFonts w:asciiTheme="majorHAnsi" w:hAnsiTheme="majorHAnsi" w:cstheme="majorHAnsi"/>
        </w:rPr>
        <w:t xml:space="preserve">dištančné vzdelávanie, </w:t>
      </w:r>
      <w:r w:rsidR="009A3925" w:rsidRPr="0053555E">
        <w:rPr>
          <w:rFonts w:asciiTheme="majorHAnsi" w:hAnsiTheme="majorHAnsi" w:cstheme="majorHAnsi"/>
        </w:rPr>
        <w:t>k</w:t>
      </w:r>
      <w:r w:rsidR="00D16B0E" w:rsidRPr="0053555E">
        <w:rPr>
          <w:rFonts w:asciiTheme="majorHAnsi" w:hAnsiTheme="majorHAnsi" w:cstheme="majorHAnsi"/>
        </w:rPr>
        <w:t>edy</w:t>
      </w:r>
      <w:r w:rsidR="009A3925" w:rsidRPr="0053555E">
        <w:rPr>
          <w:rFonts w:asciiTheme="majorHAnsi" w:hAnsiTheme="majorHAnsi" w:cstheme="majorHAnsi"/>
        </w:rPr>
        <w:t xml:space="preserve"> sa anonymné dotazníky spúšťa</w:t>
      </w:r>
      <w:r w:rsidR="00D16B0E" w:rsidRPr="0053555E">
        <w:rPr>
          <w:rFonts w:asciiTheme="majorHAnsi" w:hAnsiTheme="majorHAnsi" w:cstheme="majorHAnsi"/>
        </w:rPr>
        <w:t>li</w:t>
      </w:r>
      <w:r w:rsidR="009A3925" w:rsidRPr="0053555E">
        <w:rPr>
          <w:rFonts w:asciiTheme="majorHAnsi" w:hAnsiTheme="majorHAnsi" w:cstheme="majorHAnsi"/>
        </w:rPr>
        <w:t xml:space="preserve"> a vyhodnoc</w:t>
      </w:r>
      <w:r w:rsidR="00D16B0E" w:rsidRPr="0053555E">
        <w:rPr>
          <w:rFonts w:asciiTheme="majorHAnsi" w:hAnsiTheme="majorHAnsi" w:cstheme="majorHAnsi"/>
        </w:rPr>
        <w:t>ovali niekoľko krát v </w:t>
      </w:r>
      <w:r w:rsidR="009A3925" w:rsidRPr="0053555E">
        <w:rPr>
          <w:rFonts w:asciiTheme="majorHAnsi" w:hAnsiTheme="majorHAnsi" w:cstheme="majorHAnsi"/>
        </w:rPr>
        <w:t>rámci semestra a relevantná spätná väzba sa posúva</w:t>
      </w:r>
      <w:r w:rsidR="00D16B0E" w:rsidRPr="0053555E">
        <w:rPr>
          <w:rFonts w:asciiTheme="majorHAnsi" w:hAnsiTheme="majorHAnsi" w:cstheme="majorHAnsi"/>
        </w:rPr>
        <w:t>la</w:t>
      </w:r>
      <w:r w:rsidR="009A3925" w:rsidRPr="0053555E">
        <w:rPr>
          <w:rFonts w:asciiTheme="majorHAnsi" w:hAnsiTheme="majorHAnsi" w:cstheme="majorHAnsi"/>
        </w:rPr>
        <w:t xml:space="preserve"> späť </w:t>
      </w:r>
      <w:r w:rsidR="00D16B0E" w:rsidRPr="0053555E">
        <w:rPr>
          <w:rFonts w:asciiTheme="majorHAnsi" w:hAnsiTheme="majorHAnsi" w:cstheme="majorHAnsi"/>
        </w:rPr>
        <w:t>učiteľom</w:t>
      </w:r>
      <w:r w:rsidR="009A3925" w:rsidRPr="0053555E">
        <w:rPr>
          <w:rFonts w:asciiTheme="majorHAnsi" w:hAnsiTheme="majorHAnsi" w:cstheme="majorHAnsi"/>
        </w:rPr>
        <w:t xml:space="preserve"> s cieľom pružne reagovať na potreby študentov. Na základe výsledkov týchto dotazníkov </w:t>
      </w:r>
      <w:r w:rsidR="00D16B0E" w:rsidRPr="0053555E">
        <w:rPr>
          <w:rFonts w:asciiTheme="majorHAnsi" w:hAnsiTheme="majorHAnsi" w:cstheme="majorHAnsi"/>
        </w:rPr>
        <w:t>je možné</w:t>
      </w:r>
      <w:r w:rsidR="009A3925" w:rsidRPr="0053555E">
        <w:rPr>
          <w:rFonts w:asciiTheme="majorHAnsi" w:hAnsiTheme="majorHAnsi" w:cstheme="majorHAnsi"/>
        </w:rPr>
        <w:t xml:space="preserve"> konštatovať, že väčšina študentov FIIT nemala s prechodom na bezkontaktné vzde</w:t>
      </w:r>
      <w:r w:rsidR="001828EF">
        <w:rPr>
          <w:rFonts w:asciiTheme="majorHAnsi" w:hAnsiTheme="majorHAnsi" w:cstheme="majorHAnsi"/>
        </w:rPr>
        <w:t>lávanie žiadne problémy. Ukázalo sa však</w:t>
      </w:r>
      <w:r w:rsidR="009A3925" w:rsidRPr="0053555E">
        <w:rPr>
          <w:rFonts w:asciiTheme="majorHAnsi" w:hAnsiTheme="majorHAnsi" w:cstheme="majorHAnsi"/>
        </w:rPr>
        <w:t xml:space="preserve">, že aj </w:t>
      </w:r>
      <w:r w:rsidR="001828EF">
        <w:rPr>
          <w:rFonts w:asciiTheme="majorHAnsi" w:hAnsiTheme="majorHAnsi" w:cstheme="majorHAnsi"/>
        </w:rPr>
        <w:t>študenti</w:t>
      </w:r>
      <w:r w:rsidR="009A3925" w:rsidRPr="0053555E">
        <w:rPr>
          <w:rFonts w:asciiTheme="majorHAnsi" w:hAnsiTheme="majorHAnsi" w:cstheme="majorHAnsi"/>
        </w:rPr>
        <w:t xml:space="preserve"> už</w:t>
      </w:r>
      <w:r w:rsidR="001828EF">
        <w:rPr>
          <w:rFonts w:asciiTheme="majorHAnsi" w:hAnsiTheme="majorHAnsi" w:cstheme="majorHAnsi"/>
        </w:rPr>
        <w:t xml:space="preserve"> mali</w:t>
      </w:r>
      <w:r w:rsidR="009A3925" w:rsidRPr="0053555E">
        <w:rPr>
          <w:rFonts w:asciiTheme="majorHAnsi" w:hAnsiTheme="majorHAnsi" w:cstheme="majorHAnsi"/>
        </w:rPr>
        <w:t xml:space="preserve"> záujem o </w:t>
      </w:r>
      <w:r w:rsidR="001828EF">
        <w:rPr>
          <w:rFonts w:asciiTheme="majorHAnsi" w:hAnsiTheme="majorHAnsi" w:cstheme="majorHAnsi"/>
        </w:rPr>
        <w:t xml:space="preserve">návrat </w:t>
      </w:r>
      <w:r w:rsidR="009A3925" w:rsidRPr="0053555E">
        <w:rPr>
          <w:rFonts w:asciiTheme="majorHAnsi" w:hAnsiTheme="majorHAnsi" w:cstheme="majorHAnsi"/>
        </w:rPr>
        <w:t>k prezenčnej výučbe.</w:t>
      </w:r>
      <w:r w:rsidR="00211325" w:rsidRPr="00211325">
        <w:t xml:space="preserve"> </w:t>
      </w:r>
      <w:r w:rsidR="00211325" w:rsidRPr="00211325">
        <w:rPr>
          <w:rFonts w:asciiTheme="majorHAnsi" w:hAnsiTheme="majorHAnsi" w:cstheme="majorHAnsi"/>
        </w:rPr>
        <w:t xml:space="preserve">Preto </w:t>
      </w:r>
      <w:r w:rsidR="00432691">
        <w:rPr>
          <w:rFonts w:asciiTheme="majorHAnsi" w:hAnsiTheme="majorHAnsi" w:cstheme="majorHAnsi"/>
        </w:rPr>
        <w:t>fakulta uvítala možnosť</w:t>
      </w:r>
      <w:r w:rsidR="00211325" w:rsidRPr="00211325">
        <w:rPr>
          <w:rFonts w:asciiTheme="majorHAnsi" w:hAnsiTheme="majorHAnsi" w:cstheme="majorHAnsi"/>
        </w:rPr>
        <w:t xml:space="preserve"> </w:t>
      </w:r>
      <w:r w:rsidR="00432691" w:rsidRPr="00211325">
        <w:rPr>
          <w:rFonts w:asciiTheme="majorHAnsi" w:hAnsiTheme="majorHAnsi" w:cstheme="majorHAnsi"/>
        </w:rPr>
        <w:t>vrátiť sa k</w:t>
      </w:r>
      <w:r w:rsidR="00432691">
        <w:rPr>
          <w:rFonts w:asciiTheme="majorHAnsi" w:hAnsiTheme="majorHAnsi" w:cstheme="majorHAnsi"/>
        </w:rPr>
        <w:t xml:space="preserve"> prezenčnej</w:t>
      </w:r>
      <w:r w:rsidR="00432691" w:rsidRPr="00211325">
        <w:rPr>
          <w:rFonts w:asciiTheme="majorHAnsi" w:hAnsiTheme="majorHAnsi" w:cstheme="majorHAnsi"/>
        </w:rPr>
        <w:t xml:space="preserve"> výučbe </w:t>
      </w:r>
      <w:r w:rsidR="00211325" w:rsidRPr="00211325">
        <w:rPr>
          <w:rFonts w:asciiTheme="majorHAnsi" w:hAnsiTheme="majorHAnsi" w:cstheme="majorHAnsi"/>
        </w:rPr>
        <w:t>v druhej polovice akademického roka.</w:t>
      </w:r>
    </w:p>
    <w:p w14:paraId="7EC0B62F" w14:textId="1FF576A7" w:rsidR="002C11D0" w:rsidRPr="0053555E" w:rsidRDefault="007441A0" w:rsidP="009A3925">
      <w:pPr>
        <w:spacing w:after="120"/>
        <w:jc w:val="both"/>
        <w:rPr>
          <w:rFonts w:asciiTheme="majorHAnsi" w:hAnsiTheme="majorHAnsi" w:cstheme="majorHAnsi"/>
        </w:rPr>
      </w:pPr>
      <w:r w:rsidRPr="0053555E">
        <w:rPr>
          <w:rFonts w:asciiTheme="majorHAnsi" w:hAnsiTheme="majorHAnsi" w:cstheme="majorHAnsi"/>
        </w:rPr>
        <w:t>Š</w:t>
      </w:r>
      <w:r w:rsidR="008D0E37" w:rsidRPr="0053555E">
        <w:rPr>
          <w:rFonts w:asciiTheme="majorHAnsi" w:hAnsiTheme="majorHAnsi" w:cstheme="majorHAnsi"/>
        </w:rPr>
        <w:t xml:space="preserve">tudenti </w:t>
      </w:r>
      <w:r w:rsidR="008D0E37" w:rsidRPr="0053555E">
        <w:rPr>
          <w:rFonts w:asciiTheme="majorHAnsi" w:hAnsiTheme="majorHAnsi" w:cstheme="majorHAnsi"/>
          <w:b/>
        </w:rPr>
        <w:t>ÚM</w:t>
      </w:r>
      <w:r w:rsidR="008D0E37" w:rsidRPr="0053555E">
        <w:rPr>
          <w:rFonts w:asciiTheme="majorHAnsi" w:hAnsiTheme="majorHAnsi" w:cstheme="majorHAnsi"/>
        </w:rPr>
        <w:t xml:space="preserve"> mali možnosť vyjadriť spokojnosť či nespokojnosť s kvalitou výučby jednotlivých predmetov</w:t>
      </w:r>
      <w:r w:rsidR="0088135E" w:rsidRPr="0053555E">
        <w:rPr>
          <w:rFonts w:asciiTheme="majorHAnsi" w:hAnsiTheme="majorHAnsi" w:cstheme="majorHAnsi"/>
        </w:rPr>
        <w:t xml:space="preserve"> </w:t>
      </w:r>
      <w:r w:rsidR="00BA2104" w:rsidRPr="0053555E">
        <w:rPr>
          <w:rFonts w:asciiTheme="majorHAnsi" w:hAnsiTheme="majorHAnsi" w:cstheme="majorHAnsi"/>
        </w:rPr>
        <w:t xml:space="preserve">a učiteľov </w:t>
      </w:r>
      <w:r w:rsidR="0088135E" w:rsidRPr="0053555E">
        <w:rPr>
          <w:rFonts w:asciiTheme="majorHAnsi" w:hAnsiTheme="majorHAnsi" w:cstheme="majorHAnsi"/>
        </w:rPr>
        <w:t>prostredníctvom</w:t>
      </w:r>
      <w:r w:rsidR="008D0E37" w:rsidRPr="0053555E">
        <w:rPr>
          <w:rFonts w:asciiTheme="majorHAnsi" w:hAnsiTheme="majorHAnsi" w:cstheme="majorHAnsi"/>
        </w:rPr>
        <w:t xml:space="preserve"> </w:t>
      </w:r>
      <w:r w:rsidR="0088135E" w:rsidRPr="0053555E">
        <w:rPr>
          <w:rFonts w:asciiTheme="majorHAnsi" w:hAnsiTheme="majorHAnsi" w:cstheme="majorHAnsi"/>
        </w:rPr>
        <w:t>evaluáci</w:t>
      </w:r>
      <w:r w:rsidR="00C27983" w:rsidRPr="0053555E">
        <w:rPr>
          <w:rFonts w:asciiTheme="majorHAnsi" w:hAnsiTheme="majorHAnsi" w:cstheme="majorHAnsi"/>
        </w:rPr>
        <w:t>e</w:t>
      </w:r>
      <w:r w:rsidR="0088135E" w:rsidRPr="0053555E">
        <w:rPr>
          <w:rFonts w:asciiTheme="majorHAnsi" w:hAnsiTheme="majorHAnsi" w:cstheme="majorHAnsi"/>
        </w:rPr>
        <w:t xml:space="preserve"> v</w:t>
      </w:r>
      <w:r w:rsidR="00486AB8" w:rsidRPr="0053555E">
        <w:rPr>
          <w:rFonts w:asciiTheme="majorHAnsi" w:hAnsiTheme="majorHAnsi" w:cstheme="majorHAnsi"/>
        </w:rPr>
        <w:t> </w:t>
      </w:r>
      <w:r w:rsidR="0088135E" w:rsidRPr="0053555E">
        <w:rPr>
          <w:rFonts w:asciiTheme="majorHAnsi" w:hAnsiTheme="majorHAnsi" w:cstheme="majorHAnsi"/>
        </w:rPr>
        <w:t>AIS</w:t>
      </w:r>
      <w:r w:rsidR="00486AB8" w:rsidRPr="0053555E">
        <w:rPr>
          <w:rFonts w:asciiTheme="majorHAnsi" w:hAnsiTheme="majorHAnsi" w:cstheme="majorHAnsi"/>
        </w:rPr>
        <w:t>,</w:t>
      </w:r>
      <w:r w:rsidR="0088135E" w:rsidRPr="0053555E">
        <w:rPr>
          <w:rFonts w:asciiTheme="majorHAnsi" w:hAnsiTheme="majorHAnsi" w:cstheme="majorHAnsi"/>
        </w:rPr>
        <w:t xml:space="preserve"> pričom sa </w:t>
      </w:r>
      <w:r w:rsidR="00C27983" w:rsidRPr="0053555E">
        <w:rPr>
          <w:rFonts w:asciiTheme="majorHAnsi" w:hAnsiTheme="majorHAnsi" w:cstheme="majorHAnsi"/>
        </w:rPr>
        <w:t>dbalo</w:t>
      </w:r>
      <w:r w:rsidR="0088135E" w:rsidRPr="0053555E">
        <w:rPr>
          <w:rFonts w:asciiTheme="majorHAnsi" w:hAnsiTheme="majorHAnsi" w:cstheme="majorHAnsi"/>
        </w:rPr>
        <w:t xml:space="preserve"> na z</w:t>
      </w:r>
      <w:r w:rsidR="00FA3274" w:rsidRPr="0053555E">
        <w:rPr>
          <w:rFonts w:asciiTheme="majorHAnsi" w:hAnsiTheme="majorHAnsi" w:cstheme="majorHAnsi"/>
        </w:rPr>
        <w:t>a</w:t>
      </w:r>
      <w:r w:rsidR="0088135E" w:rsidRPr="0053555E">
        <w:rPr>
          <w:rFonts w:asciiTheme="majorHAnsi" w:hAnsiTheme="majorHAnsi" w:cstheme="majorHAnsi"/>
        </w:rPr>
        <w:t>hrnutie relevantných pripomienok do vyučovacieho procesu</w:t>
      </w:r>
      <w:r w:rsidR="00C27983" w:rsidRPr="0053555E">
        <w:rPr>
          <w:rFonts w:asciiTheme="majorHAnsi" w:hAnsiTheme="majorHAnsi" w:cstheme="majorHAnsi"/>
        </w:rPr>
        <w:t>.</w:t>
      </w:r>
      <w:r w:rsidR="00BA2104" w:rsidRPr="0053555E">
        <w:rPr>
          <w:rFonts w:asciiTheme="majorHAnsi" w:hAnsiTheme="majorHAnsi" w:cstheme="majorHAnsi"/>
        </w:rPr>
        <w:t xml:space="preserve"> </w:t>
      </w:r>
      <w:r w:rsidR="00837485" w:rsidRPr="0053555E">
        <w:rPr>
          <w:rFonts w:asciiTheme="majorHAnsi" w:hAnsiTheme="majorHAnsi" w:cstheme="majorHAnsi"/>
        </w:rPr>
        <w:t>Zároveň mali študenti možnosť vyjadriť spokojnosť či nespokojnosť s kvalitou výučby jednotlivých predmetov, ale i poskytovaných služieb v rámci štúdia na ÚM</w:t>
      </w:r>
      <w:r w:rsidR="00837485" w:rsidRPr="0053555E">
        <w:rPr>
          <w:rFonts w:asciiTheme="majorHAnsi" w:hAnsiTheme="majorHAnsi" w:cstheme="majorHAnsi"/>
          <w:b/>
        </w:rPr>
        <w:t xml:space="preserve"> </w:t>
      </w:r>
      <w:r w:rsidR="00EE63C6" w:rsidRPr="0053555E">
        <w:rPr>
          <w:rFonts w:asciiTheme="majorHAnsi" w:hAnsiTheme="majorHAnsi" w:cstheme="majorHAnsi"/>
        </w:rPr>
        <w:t xml:space="preserve">prostredníctvom </w:t>
      </w:r>
      <w:r w:rsidR="00223231" w:rsidRPr="0053555E">
        <w:rPr>
          <w:rFonts w:asciiTheme="majorHAnsi" w:hAnsiTheme="majorHAnsi" w:cstheme="majorHAnsi"/>
        </w:rPr>
        <w:t>pripomienok a predloženia vlastných návrhov na zlepšenie podmienok</w:t>
      </w:r>
      <w:r w:rsidR="00FA3274" w:rsidRPr="0053555E">
        <w:rPr>
          <w:rFonts w:asciiTheme="majorHAnsi" w:hAnsiTheme="majorHAnsi" w:cstheme="majorHAnsi"/>
        </w:rPr>
        <w:t xml:space="preserve"> štúdia</w:t>
      </w:r>
      <w:r w:rsidR="008D0E37" w:rsidRPr="0053555E">
        <w:rPr>
          <w:rFonts w:asciiTheme="majorHAnsi" w:hAnsiTheme="majorHAnsi" w:cstheme="majorHAnsi"/>
        </w:rPr>
        <w:t>.</w:t>
      </w:r>
      <w:r w:rsidR="000D0CAE" w:rsidRPr="0053555E">
        <w:rPr>
          <w:rFonts w:asciiTheme="majorHAnsi" w:hAnsiTheme="majorHAnsi" w:cstheme="majorHAnsi"/>
          <w:b/>
        </w:rPr>
        <w:t xml:space="preserve"> </w:t>
      </w:r>
      <w:r w:rsidR="00E67BDA" w:rsidRPr="0053555E">
        <w:rPr>
          <w:rFonts w:asciiTheme="majorHAnsi" w:hAnsiTheme="majorHAnsi" w:cstheme="majorHAnsi"/>
          <w:b/>
        </w:rPr>
        <w:t>Záujem študentov zapájať sa</w:t>
      </w:r>
      <w:r w:rsidR="00E67BDA" w:rsidRPr="0053555E">
        <w:rPr>
          <w:rFonts w:asciiTheme="majorHAnsi" w:hAnsiTheme="majorHAnsi" w:cstheme="majorHAnsi"/>
        </w:rPr>
        <w:t xml:space="preserve"> do vypĺňania anonymných dotazníkov a ankiet je</w:t>
      </w:r>
      <w:r w:rsidR="00E67BDA" w:rsidRPr="0053555E">
        <w:rPr>
          <w:rFonts w:asciiTheme="majorHAnsi" w:hAnsiTheme="majorHAnsi" w:cstheme="majorHAnsi"/>
          <w:b/>
        </w:rPr>
        <w:t xml:space="preserve"> veľmi nízky</w:t>
      </w:r>
      <w:r w:rsidR="0068175D" w:rsidRPr="0053555E">
        <w:rPr>
          <w:rFonts w:asciiTheme="majorHAnsi" w:hAnsiTheme="majorHAnsi" w:cstheme="majorHAnsi"/>
          <w:b/>
        </w:rPr>
        <w:t xml:space="preserve"> </w:t>
      </w:r>
      <w:r w:rsidR="00B52E20">
        <w:rPr>
          <w:rFonts w:asciiTheme="majorHAnsi" w:hAnsiTheme="majorHAnsi" w:cstheme="majorHAnsi"/>
          <w:b/>
        </w:rPr>
        <w:t>(</w:t>
      </w:r>
      <w:r w:rsidR="00282E67">
        <w:rPr>
          <w:rFonts w:asciiTheme="majorHAnsi" w:hAnsiTheme="majorHAnsi" w:cstheme="majorHAnsi"/>
          <w:b/>
        </w:rPr>
        <w:t xml:space="preserve">4 </w:t>
      </w:r>
      <w:r w:rsidR="0068175D" w:rsidRPr="0053555E">
        <w:rPr>
          <w:rFonts w:asciiTheme="majorHAnsi" w:hAnsiTheme="majorHAnsi" w:cstheme="majorHAnsi"/>
          <w:b/>
        </w:rPr>
        <w:t>%</w:t>
      </w:r>
      <w:r w:rsidR="00282E67">
        <w:rPr>
          <w:rFonts w:asciiTheme="majorHAnsi" w:hAnsiTheme="majorHAnsi" w:cstheme="majorHAnsi"/>
          <w:b/>
        </w:rPr>
        <w:t xml:space="preserve"> v zimnom semestri a 5 </w:t>
      </w:r>
      <w:r w:rsidR="00AD6861">
        <w:rPr>
          <w:rFonts w:asciiTheme="majorHAnsi" w:hAnsiTheme="majorHAnsi" w:cstheme="majorHAnsi"/>
          <w:b/>
        </w:rPr>
        <w:t>%</w:t>
      </w:r>
      <w:r w:rsidR="00282E67">
        <w:rPr>
          <w:rFonts w:asciiTheme="majorHAnsi" w:hAnsiTheme="majorHAnsi" w:cstheme="majorHAnsi"/>
          <w:b/>
        </w:rPr>
        <w:t xml:space="preserve"> v letnom semestri</w:t>
      </w:r>
      <w:r w:rsidR="00B52E20">
        <w:rPr>
          <w:rFonts w:asciiTheme="majorHAnsi" w:hAnsiTheme="majorHAnsi" w:cstheme="majorHAnsi"/>
          <w:b/>
        </w:rPr>
        <w:t>)</w:t>
      </w:r>
      <w:r w:rsidR="00282E67">
        <w:rPr>
          <w:rFonts w:asciiTheme="majorHAnsi" w:hAnsiTheme="majorHAnsi" w:cstheme="majorHAnsi"/>
          <w:b/>
        </w:rPr>
        <w:t>.</w:t>
      </w:r>
      <w:r w:rsidR="00E67BDA" w:rsidRPr="0053555E">
        <w:rPr>
          <w:rFonts w:asciiTheme="majorHAnsi" w:hAnsiTheme="majorHAnsi" w:cstheme="majorHAnsi"/>
          <w:b/>
        </w:rPr>
        <w:t xml:space="preserve"> </w:t>
      </w:r>
      <w:r w:rsidR="008D0E37" w:rsidRPr="0053555E">
        <w:rPr>
          <w:rFonts w:asciiTheme="majorHAnsi" w:hAnsiTheme="majorHAnsi" w:cstheme="majorHAnsi"/>
        </w:rPr>
        <w:t xml:space="preserve">Niektoré pripomienky a návrhy študentov boli prerokované v diskusiách </w:t>
      </w:r>
      <w:r w:rsidR="00223231" w:rsidRPr="0053555E">
        <w:rPr>
          <w:rFonts w:asciiTheme="majorHAnsi" w:hAnsiTheme="majorHAnsi" w:cstheme="majorHAnsi"/>
        </w:rPr>
        <w:t>učiteľov</w:t>
      </w:r>
      <w:r w:rsidR="008D0E37" w:rsidRPr="0053555E">
        <w:rPr>
          <w:rFonts w:asciiTheme="majorHAnsi" w:hAnsiTheme="majorHAnsi" w:cstheme="majorHAnsi"/>
        </w:rPr>
        <w:t xml:space="preserve"> so študentmi, z čoho vyplynuli aj prijaté opatrenia.</w:t>
      </w:r>
    </w:p>
    <w:p w14:paraId="7EFF2DEF" w14:textId="77777777" w:rsidR="000D0CAE" w:rsidRPr="0053555E" w:rsidRDefault="00681484" w:rsidP="0087722E">
      <w:pPr>
        <w:spacing w:after="120"/>
        <w:jc w:val="both"/>
        <w:rPr>
          <w:rFonts w:asciiTheme="majorHAnsi" w:hAnsiTheme="majorHAnsi" w:cstheme="majorHAnsi"/>
        </w:rPr>
      </w:pPr>
      <w:r w:rsidRPr="0053555E">
        <w:rPr>
          <w:rFonts w:asciiTheme="majorHAnsi" w:hAnsiTheme="majorHAnsi" w:cstheme="majorHAnsi"/>
        </w:rPr>
        <w:t xml:space="preserve">Študenti </w:t>
      </w:r>
      <w:r w:rsidR="00990DBA" w:rsidRPr="0053555E">
        <w:rPr>
          <w:rFonts w:asciiTheme="majorHAnsi" w:hAnsiTheme="majorHAnsi" w:cstheme="majorHAnsi"/>
        </w:rPr>
        <w:t xml:space="preserve">STU </w:t>
      </w:r>
      <w:r w:rsidR="00CD4F72" w:rsidRPr="0053555E">
        <w:rPr>
          <w:rFonts w:asciiTheme="majorHAnsi" w:hAnsiTheme="majorHAnsi" w:cstheme="majorHAnsi"/>
        </w:rPr>
        <w:t>čoraz častejšie</w:t>
      </w:r>
      <w:r w:rsidRPr="0053555E">
        <w:rPr>
          <w:rFonts w:asciiTheme="majorHAnsi" w:hAnsiTheme="majorHAnsi" w:cstheme="majorHAnsi"/>
        </w:rPr>
        <w:t xml:space="preserve"> svoje</w:t>
      </w:r>
      <w:r w:rsidR="000D0CAE" w:rsidRPr="0053555E">
        <w:rPr>
          <w:rFonts w:asciiTheme="majorHAnsi" w:hAnsiTheme="majorHAnsi" w:cstheme="majorHAnsi"/>
        </w:rPr>
        <w:t xml:space="preserve"> problémy</w:t>
      </w:r>
      <w:r w:rsidRPr="0053555E">
        <w:rPr>
          <w:rFonts w:asciiTheme="majorHAnsi" w:hAnsiTheme="majorHAnsi" w:cstheme="majorHAnsi"/>
        </w:rPr>
        <w:t xml:space="preserve">, </w:t>
      </w:r>
      <w:r w:rsidR="000D0CAE" w:rsidRPr="0053555E">
        <w:rPr>
          <w:rFonts w:asciiTheme="majorHAnsi" w:hAnsiTheme="majorHAnsi" w:cstheme="majorHAnsi"/>
        </w:rPr>
        <w:t>požiadavky</w:t>
      </w:r>
      <w:r w:rsidRPr="0053555E">
        <w:rPr>
          <w:rFonts w:asciiTheme="majorHAnsi" w:hAnsiTheme="majorHAnsi" w:cstheme="majorHAnsi"/>
        </w:rPr>
        <w:t xml:space="preserve"> a podnety</w:t>
      </w:r>
      <w:r w:rsidR="000D0CAE" w:rsidRPr="0053555E">
        <w:rPr>
          <w:rFonts w:asciiTheme="majorHAnsi" w:hAnsiTheme="majorHAnsi" w:cstheme="majorHAnsi"/>
        </w:rPr>
        <w:t xml:space="preserve"> </w:t>
      </w:r>
      <w:r w:rsidR="00CD4F72" w:rsidRPr="0053555E">
        <w:rPr>
          <w:rFonts w:asciiTheme="majorHAnsi" w:hAnsiTheme="majorHAnsi" w:cstheme="majorHAnsi"/>
        </w:rPr>
        <w:t>tlmočia</w:t>
      </w:r>
      <w:r w:rsidR="000D0CAE" w:rsidRPr="0053555E">
        <w:rPr>
          <w:rFonts w:asciiTheme="majorHAnsi" w:hAnsiTheme="majorHAnsi" w:cstheme="majorHAnsi"/>
        </w:rPr>
        <w:t xml:space="preserve"> </w:t>
      </w:r>
      <w:r w:rsidRPr="0053555E">
        <w:rPr>
          <w:rFonts w:asciiTheme="majorHAnsi" w:hAnsiTheme="majorHAnsi" w:cstheme="majorHAnsi"/>
        </w:rPr>
        <w:t xml:space="preserve">priamo </w:t>
      </w:r>
      <w:r w:rsidR="00187ED3" w:rsidRPr="0053555E">
        <w:rPr>
          <w:rFonts w:asciiTheme="majorHAnsi" w:hAnsiTheme="majorHAnsi" w:cstheme="majorHAnsi"/>
        </w:rPr>
        <w:t xml:space="preserve">akademickým funkcionárom a zodpovedným osobám </w:t>
      </w:r>
      <w:r w:rsidR="00FA3274" w:rsidRPr="0053555E">
        <w:rPr>
          <w:rFonts w:asciiTheme="majorHAnsi" w:hAnsiTheme="majorHAnsi" w:cstheme="majorHAnsi"/>
        </w:rPr>
        <w:t>fakulty</w:t>
      </w:r>
      <w:r w:rsidR="00187ED3" w:rsidRPr="0053555E">
        <w:rPr>
          <w:rFonts w:asciiTheme="majorHAnsi" w:hAnsiTheme="majorHAnsi" w:cstheme="majorHAnsi"/>
        </w:rPr>
        <w:t>, res</w:t>
      </w:r>
      <w:r w:rsidR="0062641D" w:rsidRPr="0053555E">
        <w:rPr>
          <w:rFonts w:asciiTheme="majorHAnsi" w:hAnsiTheme="majorHAnsi" w:cstheme="majorHAnsi"/>
        </w:rPr>
        <w:t>p</w:t>
      </w:r>
      <w:r w:rsidR="00187ED3" w:rsidRPr="0053555E">
        <w:rPr>
          <w:rFonts w:asciiTheme="majorHAnsi" w:hAnsiTheme="majorHAnsi" w:cstheme="majorHAnsi"/>
        </w:rPr>
        <w:t xml:space="preserve">. univerzity </w:t>
      </w:r>
      <w:r w:rsidR="00990DBA" w:rsidRPr="0053555E">
        <w:rPr>
          <w:rFonts w:asciiTheme="majorHAnsi" w:hAnsiTheme="majorHAnsi" w:cstheme="majorHAnsi"/>
        </w:rPr>
        <w:t xml:space="preserve">(prostredníctvom osobných stretnutí alebo emailovou komunikáciou) a </w:t>
      </w:r>
      <w:r w:rsidR="000D0CAE" w:rsidRPr="0053555E">
        <w:rPr>
          <w:rFonts w:asciiTheme="majorHAnsi" w:hAnsiTheme="majorHAnsi" w:cstheme="majorHAnsi"/>
        </w:rPr>
        <w:t>dožad</w:t>
      </w:r>
      <w:r w:rsidR="0062641D" w:rsidRPr="0053555E">
        <w:rPr>
          <w:rFonts w:asciiTheme="majorHAnsi" w:hAnsiTheme="majorHAnsi" w:cstheme="majorHAnsi"/>
        </w:rPr>
        <w:t>ujú</w:t>
      </w:r>
      <w:r w:rsidR="000D0CAE" w:rsidRPr="0053555E">
        <w:rPr>
          <w:rFonts w:asciiTheme="majorHAnsi" w:hAnsiTheme="majorHAnsi" w:cstheme="majorHAnsi"/>
        </w:rPr>
        <w:t xml:space="preserve"> sa </w:t>
      </w:r>
      <w:r w:rsidR="00990DBA" w:rsidRPr="0053555E">
        <w:rPr>
          <w:rFonts w:asciiTheme="majorHAnsi" w:hAnsiTheme="majorHAnsi" w:cstheme="majorHAnsi"/>
        </w:rPr>
        <w:t xml:space="preserve">primeraného </w:t>
      </w:r>
      <w:r w:rsidR="000D0CAE" w:rsidRPr="0053555E">
        <w:rPr>
          <w:rFonts w:asciiTheme="majorHAnsi" w:hAnsiTheme="majorHAnsi" w:cstheme="majorHAnsi"/>
        </w:rPr>
        <w:t xml:space="preserve">riešenia. Táto forma komunikácie je zo stany </w:t>
      </w:r>
      <w:r w:rsidRPr="0053555E">
        <w:rPr>
          <w:rFonts w:asciiTheme="majorHAnsi" w:hAnsiTheme="majorHAnsi" w:cstheme="majorHAnsi"/>
        </w:rPr>
        <w:t xml:space="preserve">univerzity a </w:t>
      </w:r>
      <w:r w:rsidR="00FA3274" w:rsidRPr="0053555E">
        <w:rPr>
          <w:rFonts w:asciiTheme="majorHAnsi" w:hAnsiTheme="majorHAnsi" w:cstheme="majorHAnsi"/>
        </w:rPr>
        <w:t>fakúlt</w:t>
      </w:r>
      <w:r w:rsidR="000D0CAE" w:rsidRPr="0053555E">
        <w:rPr>
          <w:rFonts w:asciiTheme="majorHAnsi" w:hAnsiTheme="majorHAnsi" w:cstheme="majorHAnsi"/>
        </w:rPr>
        <w:t xml:space="preserve"> vítaná a plne akceptovaná, pričom častokrát prispieva k rýchlemu a účinnému riešeniu vzniknutej situácie.</w:t>
      </w:r>
      <w:r w:rsidR="005B2C36" w:rsidRPr="0053555E">
        <w:rPr>
          <w:rFonts w:asciiTheme="majorHAnsi" w:hAnsiTheme="majorHAnsi" w:cstheme="majorHAnsi"/>
        </w:rPr>
        <w:t xml:space="preserve"> Všetky podnety študentov sú </w:t>
      </w:r>
      <w:r w:rsidR="000E05DE" w:rsidRPr="0053555E">
        <w:rPr>
          <w:rFonts w:asciiTheme="majorHAnsi" w:hAnsiTheme="majorHAnsi" w:cstheme="majorHAnsi"/>
        </w:rPr>
        <w:t xml:space="preserve">prešetrené a v prípade zistených problémov sú vyvodené </w:t>
      </w:r>
      <w:r w:rsidR="00607BE9" w:rsidRPr="0053555E">
        <w:rPr>
          <w:rFonts w:asciiTheme="majorHAnsi" w:hAnsiTheme="majorHAnsi" w:cstheme="majorHAnsi"/>
        </w:rPr>
        <w:t xml:space="preserve">relevantné </w:t>
      </w:r>
      <w:r w:rsidR="000E05DE" w:rsidRPr="0053555E">
        <w:rPr>
          <w:rFonts w:asciiTheme="majorHAnsi" w:hAnsiTheme="majorHAnsi" w:cstheme="majorHAnsi"/>
        </w:rPr>
        <w:t>opatrenia.</w:t>
      </w:r>
    </w:p>
    <w:p w14:paraId="1E9234E5" w14:textId="77777777" w:rsidR="00FC3A24" w:rsidRPr="0053555E" w:rsidRDefault="00AD5475" w:rsidP="00324438">
      <w:pPr>
        <w:tabs>
          <w:tab w:val="left" w:pos="9356"/>
        </w:tabs>
        <w:spacing w:after="120"/>
        <w:jc w:val="both"/>
        <w:rPr>
          <w:rFonts w:asciiTheme="majorHAnsi" w:hAnsiTheme="majorHAnsi" w:cstheme="majorHAnsi"/>
        </w:rPr>
      </w:pPr>
      <w:r w:rsidRPr="0053555E">
        <w:rPr>
          <w:rFonts w:asciiTheme="majorHAnsi" w:hAnsiTheme="majorHAnsi" w:cstheme="majorHAnsi"/>
        </w:rPr>
        <w:t>Všetci š</w:t>
      </w:r>
      <w:r w:rsidR="00FC3A24" w:rsidRPr="0053555E">
        <w:rPr>
          <w:rFonts w:asciiTheme="majorHAnsi" w:hAnsiTheme="majorHAnsi" w:cstheme="majorHAnsi"/>
        </w:rPr>
        <w:t xml:space="preserve">tudenti </w:t>
      </w:r>
      <w:r w:rsidRPr="0053555E">
        <w:rPr>
          <w:rFonts w:asciiTheme="majorHAnsi" w:hAnsiTheme="majorHAnsi" w:cstheme="majorHAnsi"/>
        </w:rPr>
        <w:t xml:space="preserve">STU </w:t>
      </w:r>
      <w:r w:rsidR="00FC3A24" w:rsidRPr="0053555E">
        <w:rPr>
          <w:rFonts w:asciiTheme="majorHAnsi" w:hAnsiTheme="majorHAnsi" w:cstheme="majorHAnsi"/>
        </w:rPr>
        <w:t xml:space="preserve">mali navyše možnosť vyjadriť sa ku kvalite </w:t>
      </w:r>
      <w:r w:rsidRPr="0053555E">
        <w:rPr>
          <w:rFonts w:asciiTheme="majorHAnsi" w:hAnsiTheme="majorHAnsi" w:cstheme="majorHAnsi"/>
        </w:rPr>
        <w:t>vzdelávania a učiteľov, resp. k </w:t>
      </w:r>
      <w:r w:rsidR="00FC3A24" w:rsidRPr="0053555E">
        <w:rPr>
          <w:rFonts w:asciiTheme="majorHAnsi" w:hAnsiTheme="majorHAnsi" w:cstheme="majorHAnsi"/>
        </w:rPr>
        <w:t xml:space="preserve">ostatným záležitostiam </w:t>
      </w:r>
      <w:r w:rsidR="00681484" w:rsidRPr="0053555E">
        <w:rPr>
          <w:rFonts w:asciiTheme="majorHAnsi" w:hAnsiTheme="majorHAnsi" w:cstheme="majorHAnsi"/>
        </w:rPr>
        <w:t xml:space="preserve">súvisiacim s ich štúdiom </w:t>
      </w:r>
      <w:r w:rsidR="00FC3A24" w:rsidRPr="0053555E">
        <w:rPr>
          <w:rFonts w:asciiTheme="majorHAnsi" w:hAnsiTheme="majorHAnsi" w:cstheme="majorHAnsi"/>
        </w:rPr>
        <w:t xml:space="preserve">na </w:t>
      </w:r>
      <w:r w:rsidR="00A31D4E" w:rsidRPr="0053555E">
        <w:rPr>
          <w:rFonts w:asciiTheme="majorHAnsi" w:hAnsiTheme="majorHAnsi" w:cstheme="majorHAnsi"/>
        </w:rPr>
        <w:t>jednotlivých súčastiach</w:t>
      </w:r>
      <w:r w:rsidR="003B36EE" w:rsidRPr="0053555E">
        <w:rPr>
          <w:rFonts w:asciiTheme="majorHAnsi" w:hAnsiTheme="majorHAnsi" w:cstheme="majorHAnsi"/>
        </w:rPr>
        <w:t xml:space="preserve"> STU </w:t>
      </w:r>
      <w:r w:rsidR="004900BD" w:rsidRPr="0053555E">
        <w:rPr>
          <w:rFonts w:asciiTheme="majorHAnsi" w:hAnsiTheme="majorHAnsi" w:cstheme="majorHAnsi"/>
        </w:rPr>
        <w:t>aj </w:t>
      </w:r>
      <w:r w:rsidR="00FC3A24" w:rsidRPr="0053555E">
        <w:rPr>
          <w:rFonts w:asciiTheme="majorHAnsi" w:hAnsiTheme="majorHAnsi" w:cstheme="majorHAnsi"/>
          <w:b/>
        </w:rPr>
        <w:t>prostredníctvom anonymného Black Boxu</w:t>
      </w:r>
      <w:r w:rsidR="00FC3A24" w:rsidRPr="0053555E">
        <w:rPr>
          <w:rFonts w:asciiTheme="majorHAnsi" w:hAnsiTheme="majorHAnsi" w:cstheme="majorHAnsi"/>
        </w:rPr>
        <w:t xml:space="preserve"> (elektronicky cez web</w:t>
      </w:r>
      <w:r w:rsidR="00990DBA" w:rsidRPr="0053555E">
        <w:rPr>
          <w:rFonts w:asciiTheme="majorHAnsi" w:hAnsiTheme="majorHAnsi" w:cstheme="majorHAnsi"/>
        </w:rPr>
        <w:t>ové</w:t>
      </w:r>
      <w:r w:rsidR="00FC3A24" w:rsidRPr="0053555E">
        <w:rPr>
          <w:rFonts w:asciiTheme="majorHAnsi" w:hAnsiTheme="majorHAnsi" w:cstheme="majorHAnsi"/>
        </w:rPr>
        <w:t xml:space="preserve"> stránky). Tieto námety </w:t>
      </w:r>
      <w:r w:rsidR="003B36EE" w:rsidRPr="0053555E">
        <w:rPr>
          <w:rFonts w:asciiTheme="majorHAnsi" w:hAnsiTheme="majorHAnsi" w:cstheme="majorHAnsi"/>
        </w:rPr>
        <w:t>boli sumarizované</w:t>
      </w:r>
      <w:r w:rsidR="00FC3A24" w:rsidRPr="0053555E">
        <w:rPr>
          <w:rFonts w:asciiTheme="majorHAnsi" w:hAnsiTheme="majorHAnsi" w:cstheme="majorHAnsi"/>
        </w:rPr>
        <w:t xml:space="preserve"> a priebežne </w:t>
      </w:r>
      <w:r w:rsidR="003B36EE" w:rsidRPr="0053555E">
        <w:rPr>
          <w:rFonts w:asciiTheme="majorHAnsi" w:hAnsiTheme="majorHAnsi" w:cstheme="majorHAnsi"/>
        </w:rPr>
        <w:t xml:space="preserve">analyzované </w:t>
      </w:r>
      <w:r w:rsidR="00FC3A24" w:rsidRPr="0053555E">
        <w:rPr>
          <w:rFonts w:asciiTheme="majorHAnsi" w:hAnsiTheme="majorHAnsi" w:cstheme="majorHAnsi"/>
        </w:rPr>
        <w:t xml:space="preserve">počas celého akademického </w:t>
      </w:r>
      <w:r w:rsidR="004900BD" w:rsidRPr="0053555E">
        <w:rPr>
          <w:rFonts w:asciiTheme="majorHAnsi" w:hAnsiTheme="majorHAnsi" w:cstheme="majorHAnsi"/>
        </w:rPr>
        <w:t>roka a podľa závažnosti sa </w:t>
      </w:r>
      <w:r w:rsidR="00FC3A24" w:rsidRPr="0053555E">
        <w:rPr>
          <w:rFonts w:asciiTheme="majorHAnsi" w:hAnsiTheme="majorHAnsi" w:cstheme="majorHAnsi"/>
        </w:rPr>
        <w:t>operatívne rieš</w:t>
      </w:r>
      <w:r w:rsidR="00D94396" w:rsidRPr="0053555E">
        <w:rPr>
          <w:rFonts w:asciiTheme="majorHAnsi" w:hAnsiTheme="majorHAnsi" w:cstheme="majorHAnsi"/>
        </w:rPr>
        <w:t xml:space="preserve">ili </w:t>
      </w:r>
      <w:r w:rsidR="00FC3A24" w:rsidRPr="0053555E">
        <w:rPr>
          <w:rFonts w:asciiTheme="majorHAnsi" w:hAnsiTheme="majorHAnsi" w:cstheme="majorHAnsi"/>
        </w:rPr>
        <w:t xml:space="preserve">vo vedeniach </w:t>
      </w:r>
      <w:r w:rsidR="00D94396" w:rsidRPr="0053555E">
        <w:rPr>
          <w:rFonts w:asciiTheme="majorHAnsi" w:hAnsiTheme="majorHAnsi" w:cstheme="majorHAnsi"/>
        </w:rPr>
        <w:t>jednotlivých súčastí STU</w:t>
      </w:r>
      <w:r w:rsidR="00FC3A24" w:rsidRPr="0053555E">
        <w:rPr>
          <w:rFonts w:asciiTheme="majorHAnsi" w:hAnsiTheme="majorHAnsi" w:cstheme="majorHAnsi"/>
        </w:rPr>
        <w:t xml:space="preserve">. </w:t>
      </w:r>
    </w:p>
    <w:p w14:paraId="6A03ED76" w14:textId="77777777" w:rsidR="00B83341" w:rsidRPr="0053555E" w:rsidRDefault="002071AC" w:rsidP="00686443">
      <w:pPr>
        <w:tabs>
          <w:tab w:val="left" w:pos="9356"/>
        </w:tabs>
        <w:jc w:val="both"/>
        <w:rPr>
          <w:rFonts w:asciiTheme="majorHAnsi" w:hAnsiTheme="majorHAnsi" w:cstheme="majorHAnsi"/>
        </w:rPr>
      </w:pPr>
      <w:r w:rsidRPr="0053555E">
        <w:rPr>
          <w:rFonts w:asciiTheme="majorHAnsi" w:hAnsiTheme="majorHAnsi" w:cstheme="majorHAnsi"/>
        </w:rPr>
        <w:t xml:space="preserve">V tejto súvislosti treba ale spomenúť, že vyjadrovanie sa študentov ku kvalite výučby a učiteľov dotazníkovou formou nie je ich jediná možnosť uplatniť svoj názor. Študenti majú </w:t>
      </w:r>
      <w:r w:rsidR="008F04FB" w:rsidRPr="0053555E">
        <w:rPr>
          <w:rFonts w:asciiTheme="majorHAnsi" w:hAnsiTheme="majorHAnsi" w:cstheme="majorHAnsi"/>
        </w:rPr>
        <w:t>významné miesto v rámci VSK</w:t>
      </w:r>
      <w:r w:rsidR="003F2B28" w:rsidRPr="0053555E">
        <w:rPr>
          <w:rFonts w:asciiTheme="majorHAnsi" w:hAnsiTheme="majorHAnsi" w:cstheme="majorHAnsi"/>
        </w:rPr>
        <w:t xml:space="preserve"> (v radách ŠP a Rade VSK), </w:t>
      </w:r>
      <w:r w:rsidRPr="0053555E">
        <w:rPr>
          <w:rFonts w:asciiTheme="majorHAnsi" w:hAnsiTheme="majorHAnsi" w:cstheme="majorHAnsi"/>
        </w:rPr>
        <w:t xml:space="preserve">zákonom </w:t>
      </w:r>
      <w:r w:rsidR="003F2B28" w:rsidRPr="0053555E">
        <w:rPr>
          <w:rFonts w:asciiTheme="majorHAnsi" w:hAnsiTheme="majorHAnsi" w:cstheme="majorHAnsi"/>
        </w:rPr>
        <w:t xml:space="preserve">o vysokých školách </w:t>
      </w:r>
      <w:r w:rsidRPr="0053555E">
        <w:rPr>
          <w:rFonts w:asciiTheme="majorHAnsi" w:hAnsiTheme="majorHAnsi" w:cstheme="majorHAnsi"/>
        </w:rPr>
        <w:t>dané zastúpenie v akademickom senáte</w:t>
      </w:r>
      <w:r w:rsidR="003F2B28" w:rsidRPr="0053555E">
        <w:rPr>
          <w:rFonts w:asciiTheme="majorHAnsi" w:hAnsiTheme="majorHAnsi" w:cstheme="majorHAnsi"/>
        </w:rPr>
        <w:t xml:space="preserve"> fakúlt a</w:t>
      </w:r>
      <w:r w:rsidR="000028CB" w:rsidRPr="0053555E">
        <w:rPr>
          <w:rFonts w:asciiTheme="majorHAnsi" w:hAnsiTheme="majorHAnsi" w:cstheme="majorHAnsi"/>
        </w:rPr>
        <w:t xml:space="preserve"> v </w:t>
      </w:r>
      <w:r w:rsidR="003F2B28" w:rsidRPr="0053555E">
        <w:rPr>
          <w:rFonts w:asciiTheme="majorHAnsi" w:hAnsiTheme="majorHAnsi" w:cstheme="majorHAnsi"/>
        </w:rPr>
        <w:t>Akademickom senáte STU</w:t>
      </w:r>
      <w:r w:rsidR="000028CB" w:rsidRPr="0053555E">
        <w:rPr>
          <w:rFonts w:asciiTheme="majorHAnsi" w:hAnsiTheme="majorHAnsi" w:cstheme="majorHAnsi"/>
        </w:rPr>
        <w:t>, stretávajú sa formálne aj </w:t>
      </w:r>
      <w:r w:rsidRPr="0053555E">
        <w:rPr>
          <w:rFonts w:asciiTheme="majorHAnsi" w:hAnsiTheme="majorHAnsi" w:cstheme="majorHAnsi"/>
        </w:rPr>
        <w:t xml:space="preserve">neformálne s riadiacimi štruktúrami vzdelávacieho procesu od garantov </w:t>
      </w:r>
      <w:r w:rsidR="003665F0" w:rsidRPr="0053555E">
        <w:rPr>
          <w:rFonts w:asciiTheme="majorHAnsi" w:hAnsiTheme="majorHAnsi" w:cstheme="majorHAnsi"/>
        </w:rPr>
        <w:t xml:space="preserve">predmetov, garantov </w:t>
      </w:r>
      <w:r w:rsidRPr="0053555E">
        <w:rPr>
          <w:rFonts w:asciiTheme="majorHAnsi" w:hAnsiTheme="majorHAnsi" w:cstheme="majorHAnsi"/>
        </w:rPr>
        <w:t xml:space="preserve">študijných programov až po vedenia </w:t>
      </w:r>
      <w:r w:rsidR="008D6D24" w:rsidRPr="0053555E">
        <w:rPr>
          <w:rFonts w:asciiTheme="majorHAnsi" w:hAnsiTheme="majorHAnsi" w:cstheme="majorHAnsi"/>
        </w:rPr>
        <w:t>fakúlt</w:t>
      </w:r>
      <w:r w:rsidRPr="0053555E">
        <w:rPr>
          <w:rFonts w:asciiTheme="majorHAnsi" w:hAnsiTheme="majorHAnsi" w:cstheme="majorHAnsi"/>
        </w:rPr>
        <w:t xml:space="preserve"> a</w:t>
      </w:r>
      <w:r w:rsidR="008F04FB" w:rsidRPr="0053555E">
        <w:rPr>
          <w:rFonts w:asciiTheme="majorHAnsi" w:hAnsiTheme="majorHAnsi" w:cstheme="majorHAnsi"/>
        </w:rPr>
        <w:t> </w:t>
      </w:r>
      <w:r w:rsidRPr="0053555E">
        <w:rPr>
          <w:rFonts w:asciiTheme="majorHAnsi" w:hAnsiTheme="majorHAnsi" w:cstheme="majorHAnsi"/>
        </w:rPr>
        <w:t>univerzity.</w:t>
      </w:r>
      <w:r w:rsidR="00686443" w:rsidRPr="0053555E">
        <w:rPr>
          <w:rFonts w:asciiTheme="majorHAnsi" w:hAnsiTheme="majorHAnsi" w:cstheme="majorHAnsi"/>
        </w:rPr>
        <w:t xml:space="preserve"> </w:t>
      </w:r>
    </w:p>
    <w:p w14:paraId="33B9B184" w14:textId="77777777" w:rsidR="00686443" w:rsidRPr="0053555E" w:rsidRDefault="00686443" w:rsidP="00686443">
      <w:pPr>
        <w:tabs>
          <w:tab w:val="left" w:pos="9356"/>
        </w:tabs>
        <w:jc w:val="both"/>
        <w:rPr>
          <w:rFonts w:asciiTheme="majorHAnsi" w:eastAsia="Times New Roman" w:hAnsiTheme="majorHAnsi" w:cstheme="majorHAnsi"/>
          <w:lang w:eastAsia="sk-SK"/>
        </w:rPr>
      </w:pPr>
    </w:p>
    <w:p w14:paraId="75DBF323" w14:textId="77777777" w:rsidR="00B57EAE" w:rsidRPr="0053555E" w:rsidRDefault="00B57EAE" w:rsidP="00686443">
      <w:pPr>
        <w:tabs>
          <w:tab w:val="left" w:pos="9356"/>
        </w:tabs>
        <w:jc w:val="both"/>
        <w:rPr>
          <w:rFonts w:asciiTheme="majorHAnsi" w:eastAsia="Times New Roman" w:hAnsiTheme="majorHAnsi" w:cstheme="majorHAnsi"/>
          <w:lang w:eastAsia="sk-SK"/>
        </w:rPr>
      </w:pPr>
    </w:p>
    <w:p w14:paraId="120B6BEC" w14:textId="1E258BEA" w:rsidR="002071AC" w:rsidRPr="00B52E20" w:rsidRDefault="00B52E20" w:rsidP="00B52E20">
      <w:pPr>
        <w:rPr>
          <w:b/>
          <w:sz w:val="28"/>
          <w:szCs w:val="28"/>
        </w:rPr>
      </w:pPr>
      <w:bookmarkStart w:id="297" w:name="_Toc127593259"/>
      <w:r w:rsidRPr="00B52E20">
        <w:rPr>
          <w:b/>
          <w:sz w:val="28"/>
          <w:szCs w:val="28"/>
        </w:rPr>
        <w:t xml:space="preserve">12.6. </w:t>
      </w:r>
      <w:r w:rsidR="002071AC" w:rsidRPr="00B52E20">
        <w:rPr>
          <w:b/>
          <w:sz w:val="28"/>
          <w:szCs w:val="28"/>
        </w:rPr>
        <w:t>Kvantitatívne vyhodnotenie zabezpečovania kvality vzdelávania</w:t>
      </w:r>
      <w:bookmarkEnd w:id="297"/>
    </w:p>
    <w:p w14:paraId="217541EA" w14:textId="77777777" w:rsidR="00B52E20" w:rsidRPr="00B52E20" w:rsidRDefault="00B52E20" w:rsidP="00B52E20"/>
    <w:p w14:paraId="5B37E6EB" w14:textId="77777777" w:rsidR="002071AC" w:rsidRPr="0053555E" w:rsidRDefault="002071AC" w:rsidP="00324438">
      <w:pPr>
        <w:tabs>
          <w:tab w:val="left" w:pos="9356"/>
        </w:tabs>
        <w:spacing w:after="120"/>
        <w:jc w:val="both"/>
        <w:rPr>
          <w:rFonts w:asciiTheme="majorHAnsi" w:hAnsiTheme="majorHAnsi" w:cstheme="majorHAnsi"/>
        </w:rPr>
      </w:pPr>
      <w:r w:rsidRPr="0053555E">
        <w:rPr>
          <w:rFonts w:asciiTheme="majorHAnsi" w:hAnsiTheme="majorHAnsi" w:cstheme="majorHAnsi"/>
        </w:rPr>
        <w:t>Výsledky vzdelávacieho procesu možno hodnotiť z viacer</w:t>
      </w:r>
      <w:r w:rsidR="004900BD" w:rsidRPr="0053555E">
        <w:rPr>
          <w:rFonts w:asciiTheme="majorHAnsi" w:hAnsiTheme="majorHAnsi" w:cstheme="majorHAnsi"/>
        </w:rPr>
        <w:t>ých hľadísk. Jedno z hľadísk je </w:t>
      </w:r>
      <w:r w:rsidRPr="0053555E">
        <w:rPr>
          <w:rFonts w:asciiTheme="majorHAnsi" w:hAnsiTheme="majorHAnsi" w:cstheme="majorHAnsi"/>
        </w:rPr>
        <w:t xml:space="preserve">posudzovanie študijných výsledkov študentov dosiahnutých v priebehu semestrov, resp. v danom akademickom roku. </w:t>
      </w:r>
    </w:p>
    <w:p w14:paraId="0AA2A954" w14:textId="04409DD7" w:rsidR="00C46DF9" w:rsidRPr="0053555E" w:rsidRDefault="002071AC" w:rsidP="00324438">
      <w:pPr>
        <w:tabs>
          <w:tab w:val="left" w:pos="9356"/>
        </w:tabs>
        <w:spacing w:after="120"/>
        <w:jc w:val="both"/>
        <w:rPr>
          <w:rFonts w:asciiTheme="majorHAnsi" w:hAnsiTheme="majorHAnsi" w:cstheme="majorHAnsi"/>
        </w:rPr>
      </w:pPr>
      <w:r w:rsidRPr="0053555E">
        <w:rPr>
          <w:rFonts w:asciiTheme="majorHAnsi" w:hAnsiTheme="majorHAnsi" w:cstheme="majorHAnsi"/>
        </w:rPr>
        <w:t>Na druhej strane vysokoškolské vzdelávanie možno chápať ako proces, ktorého výsledný produkt je absolvent. Potom hodnotenie - kvalitu vzdelávania možno tiež posudzovať ako schopnosť absolventa uplatniť sa na trhu práce, čo predstavuje dominantný výsledok procesu vzdelávania. Parameter, ktorým toto možno posudzovať</w:t>
      </w:r>
      <w:r w:rsidR="00DA08C6" w:rsidRPr="0053555E">
        <w:rPr>
          <w:rFonts w:asciiTheme="majorHAnsi" w:hAnsiTheme="majorHAnsi" w:cstheme="majorHAnsi"/>
        </w:rPr>
        <w:t>,</w:t>
      </w:r>
      <w:r w:rsidRPr="0053555E">
        <w:rPr>
          <w:rFonts w:asciiTheme="majorHAnsi" w:hAnsiTheme="majorHAnsi" w:cstheme="majorHAnsi"/>
        </w:rPr>
        <w:t xml:space="preserve"> je percento nezamestnanosti absolventov, ktoré </w:t>
      </w:r>
      <w:r w:rsidR="00DF7BE3" w:rsidRPr="0053555E">
        <w:rPr>
          <w:rFonts w:asciiTheme="majorHAnsi" w:hAnsiTheme="majorHAnsi" w:cstheme="majorHAnsi"/>
        </w:rPr>
        <w:t>tri</w:t>
      </w:r>
      <w:r w:rsidR="00D35C6D" w:rsidRPr="0053555E">
        <w:rPr>
          <w:rFonts w:asciiTheme="majorHAnsi" w:hAnsiTheme="majorHAnsi" w:cstheme="majorHAnsi"/>
        </w:rPr>
        <w:t xml:space="preserve">krát ročne </w:t>
      </w:r>
      <w:r w:rsidRPr="0053555E">
        <w:rPr>
          <w:rFonts w:asciiTheme="majorHAnsi" w:hAnsiTheme="majorHAnsi" w:cstheme="majorHAnsi"/>
        </w:rPr>
        <w:t xml:space="preserve">zverejňuje </w:t>
      </w:r>
      <w:r w:rsidR="00680A56" w:rsidRPr="0053555E">
        <w:rPr>
          <w:rFonts w:asciiTheme="majorHAnsi" w:hAnsiTheme="majorHAnsi" w:cstheme="majorHAnsi"/>
        </w:rPr>
        <w:t>Ústredie</w:t>
      </w:r>
      <w:r w:rsidR="00DA08C6" w:rsidRPr="0053555E">
        <w:rPr>
          <w:rFonts w:asciiTheme="majorHAnsi" w:hAnsiTheme="majorHAnsi" w:cstheme="majorHAnsi"/>
        </w:rPr>
        <w:t xml:space="preserve"> práce, sociálnych vecí a </w:t>
      </w:r>
      <w:r w:rsidRPr="0053555E">
        <w:rPr>
          <w:rFonts w:asciiTheme="majorHAnsi" w:hAnsiTheme="majorHAnsi" w:cstheme="majorHAnsi"/>
        </w:rPr>
        <w:t xml:space="preserve">rodiny SR. </w:t>
      </w:r>
      <w:r w:rsidR="0097256D" w:rsidRPr="0053555E">
        <w:rPr>
          <w:rFonts w:asciiTheme="majorHAnsi" w:hAnsiTheme="majorHAnsi" w:cstheme="majorHAnsi"/>
        </w:rPr>
        <w:t>P</w:t>
      </w:r>
      <w:r w:rsidR="00680A56" w:rsidRPr="0053555E">
        <w:rPr>
          <w:rFonts w:asciiTheme="majorHAnsi" w:hAnsiTheme="majorHAnsi" w:cstheme="majorHAnsi"/>
        </w:rPr>
        <w:t>orovnani</w:t>
      </w:r>
      <w:r w:rsidR="00D35C6D" w:rsidRPr="0053555E">
        <w:rPr>
          <w:rFonts w:asciiTheme="majorHAnsi" w:hAnsiTheme="majorHAnsi" w:cstheme="majorHAnsi"/>
        </w:rPr>
        <w:t>u</w:t>
      </w:r>
      <w:r w:rsidR="00680A56" w:rsidRPr="0053555E">
        <w:rPr>
          <w:rFonts w:asciiTheme="majorHAnsi" w:hAnsiTheme="majorHAnsi" w:cstheme="majorHAnsi"/>
        </w:rPr>
        <w:t xml:space="preserve"> </w:t>
      </w:r>
      <w:r w:rsidR="0097256D" w:rsidRPr="0053555E">
        <w:rPr>
          <w:rFonts w:asciiTheme="majorHAnsi" w:hAnsiTheme="majorHAnsi" w:cstheme="majorHAnsi"/>
        </w:rPr>
        <w:t xml:space="preserve">percenta </w:t>
      </w:r>
      <w:r w:rsidR="00680A56" w:rsidRPr="0053555E">
        <w:rPr>
          <w:rFonts w:asciiTheme="majorHAnsi" w:hAnsiTheme="majorHAnsi" w:cstheme="majorHAnsi"/>
        </w:rPr>
        <w:t xml:space="preserve">nezamestnaných absolventov verejných vysokých škôl v Slovenskej </w:t>
      </w:r>
      <w:r w:rsidR="00680A56" w:rsidRPr="0053555E">
        <w:rPr>
          <w:rFonts w:asciiTheme="majorHAnsi" w:hAnsiTheme="majorHAnsi" w:cstheme="majorHAnsi"/>
        </w:rPr>
        <w:lastRenderedPageBreak/>
        <w:t>republike v roku 20</w:t>
      </w:r>
      <w:r w:rsidR="001408DB" w:rsidRPr="0053555E">
        <w:rPr>
          <w:rFonts w:asciiTheme="majorHAnsi" w:hAnsiTheme="majorHAnsi" w:cstheme="majorHAnsi"/>
        </w:rPr>
        <w:t>2</w:t>
      </w:r>
      <w:r w:rsidR="00B81D58">
        <w:rPr>
          <w:rFonts w:asciiTheme="majorHAnsi" w:hAnsiTheme="majorHAnsi" w:cstheme="majorHAnsi"/>
        </w:rPr>
        <w:t>2</w:t>
      </w:r>
      <w:r w:rsidR="00680A56" w:rsidRPr="0053555E">
        <w:rPr>
          <w:rFonts w:asciiTheme="majorHAnsi" w:hAnsiTheme="majorHAnsi" w:cstheme="majorHAnsi"/>
        </w:rPr>
        <w:t xml:space="preserve"> sa ven</w:t>
      </w:r>
      <w:r w:rsidR="0097256D" w:rsidRPr="0053555E">
        <w:rPr>
          <w:rFonts w:asciiTheme="majorHAnsi" w:hAnsiTheme="majorHAnsi" w:cstheme="majorHAnsi"/>
        </w:rPr>
        <w:t xml:space="preserve">uje </w:t>
      </w:r>
      <w:r w:rsidR="00070600" w:rsidRPr="0053555E">
        <w:rPr>
          <w:rFonts w:asciiTheme="majorHAnsi" w:hAnsiTheme="majorHAnsi" w:cstheme="majorHAnsi"/>
        </w:rPr>
        <w:t xml:space="preserve">časť </w:t>
      </w:r>
      <w:r w:rsidR="00680A56" w:rsidRPr="0053555E">
        <w:rPr>
          <w:rFonts w:asciiTheme="majorHAnsi" w:hAnsiTheme="majorHAnsi" w:cstheme="majorHAnsi"/>
        </w:rPr>
        <w:t>pojednávajúc</w:t>
      </w:r>
      <w:r w:rsidR="0097256D" w:rsidRPr="0053555E">
        <w:rPr>
          <w:rFonts w:asciiTheme="majorHAnsi" w:hAnsiTheme="majorHAnsi" w:cstheme="majorHAnsi"/>
        </w:rPr>
        <w:t xml:space="preserve">a </w:t>
      </w:r>
      <w:r w:rsidR="00680A56" w:rsidRPr="0053555E">
        <w:rPr>
          <w:rFonts w:asciiTheme="majorHAnsi" w:hAnsiTheme="majorHAnsi" w:cstheme="majorHAnsi"/>
        </w:rPr>
        <w:t>o absolventoch vysokoškolského vzdelávania</w:t>
      </w:r>
      <w:r w:rsidR="00AE33E9" w:rsidRPr="0053555E">
        <w:rPr>
          <w:rFonts w:asciiTheme="majorHAnsi" w:hAnsiTheme="majorHAnsi" w:cstheme="majorHAnsi"/>
        </w:rPr>
        <w:t>.</w:t>
      </w:r>
      <w:r w:rsidR="00004709" w:rsidRPr="0053555E">
        <w:rPr>
          <w:rFonts w:asciiTheme="majorHAnsi" w:hAnsiTheme="majorHAnsi" w:cstheme="majorHAnsi"/>
        </w:rPr>
        <w:t xml:space="preserve"> </w:t>
      </w:r>
      <w:r w:rsidR="00ED3F74" w:rsidRPr="0053555E">
        <w:rPr>
          <w:rFonts w:asciiTheme="majorHAnsi" w:hAnsiTheme="majorHAnsi" w:cstheme="majorHAnsi"/>
        </w:rPr>
        <w:t>Skutočnosť, že</w:t>
      </w:r>
      <w:r w:rsidR="004461FC">
        <w:rPr>
          <w:rFonts w:asciiTheme="majorHAnsi" w:hAnsiTheme="majorHAnsi" w:cstheme="majorHAnsi"/>
        </w:rPr>
        <w:t xml:space="preserve"> </w:t>
      </w:r>
      <w:r w:rsidRPr="0053555E">
        <w:rPr>
          <w:rFonts w:asciiTheme="majorHAnsi" w:hAnsiTheme="majorHAnsi" w:cstheme="majorHAnsi"/>
          <w:b/>
        </w:rPr>
        <w:t xml:space="preserve">STU </w:t>
      </w:r>
      <w:r w:rsidR="004461FC" w:rsidRPr="004461FC">
        <w:rPr>
          <w:rFonts w:asciiTheme="majorHAnsi" w:hAnsiTheme="majorHAnsi" w:cstheme="majorHAnsi"/>
          <w:b/>
        </w:rPr>
        <w:t>dlhodobo</w:t>
      </w:r>
      <w:r w:rsidR="004461FC" w:rsidRPr="0053555E">
        <w:rPr>
          <w:rFonts w:asciiTheme="majorHAnsi" w:hAnsiTheme="majorHAnsi" w:cstheme="majorHAnsi"/>
        </w:rPr>
        <w:t xml:space="preserve"> </w:t>
      </w:r>
      <w:r w:rsidRPr="0053555E">
        <w:rPr>
          <w:rFonts w:asciiTheme="majorHAnsi" w:hAnsiTheme="majorHAnsi" w:cstheme="majorHAnsi"/>
          <w:b/>
        </w:rPr>
        <w:t xml:space="preserve">patrí medzi </w:t>
      </w:r>
      <w:r w:rsidR="00DF7BE3" w:rsidRPr="0053555E">
        <w:rPr>
          <w:rFonts w:asciiTheme="majorHAnsi" w:hAnsiTheme="majorHAnsi" w:cstheme="majorHAnsi"/>
          <w:b/>
        </w:rPr>
        <w:t>vysoké školy v Slovenskej republike</w:t>
      </w:r>
      <w:r w:rsidRPr="0053555E">
        <w:rPr>
          <w:rFonts w:asciiTheme="majorHAnsi" w:hAnsiTheme="majorHAnsi" w:cstheme="majorHAnsi"/>
          <w:b/>
        </w:rPr>
        <w:t xml:space="preserve"> s</w:t>
      </w:r>
      <w:r w:rsidR="00BE070F" w:rsidRPr="0053555E">
        <w:rPr>
          <w:rFonts w:asciiTheme="majorHAnsi" w:hAnsiTheme="majorHAnsi" w:cstheme="majorHAnsi"/>
          <w:b/>
        </w:rPr>
        <w:t xml:space="preserve"> </w:t>
      </w:r>
      <w:r w:rsidRPr="0053555E">
        <w:rPr>
          <w:rFonts w:asciiTheme="majorHAnsi" w:hAnsiTheme="majorHAnsi" w:cstheme="majorHAnsi"/>
          <w:b/>
        </w:rPr>
        <w:t>najnižším percentom nezamestnaných</w:t>
      </w:r>
      <w:r w:rsidR="001379A0" w:rsidRPr="0053555E">
        <w:rPr>
          <w:rFonts w:asciiTheme="majorHAnsi" w:hAnsiTheme="majorHAnsi" w:cstheme="majorHAnsi"/>
          <w:b/>
        </w:rPr>
        <w:t xml:space="preserve"> absolventov</w:t>
      </w:r>
      <w:r w:rsidR="00B52E20">
        <w:rPr>
          <w:rFonts w:asciiTheme="majorHAnsi" w:hAnsiTheme="majorHAnsi" w:cstheme="majorHAnsi"/>
          <w:b/>
        </w:rPr>
        <w:t>,</w:t>
      </w:r>
      <w:r w:rsidRPr="0053555E">
        <w:rPr>
          <w:rFonts w:asciiTheme="majorHAnsi" w:hAnsiTheme="majorHAnsi" w:cstheme="majorHAnsi"/>
          <w:b/>
        </w:rPr>
        <w:t xml:space="preserve"> </w:t>
      </w:r>
      <w:r w:rsidRPr="0053555E">
        <w:rPr>
          <w:rFonts w:asciiTheme="majorHAnsi" w:hAnsiTheme="majorHAnsi" w:cstheme="majorHAnsi"/>
        </w:rPr>
        <w:t>je potvr</w:t>
      </w:r>
      <w:r w:rsidR="00950872" w:rsidRPr="0053555E">
        <w:rPr>
          <w:rFonts w:asciiTheme="majorHAnsi" w:hAnsiTheme="majorHAnsi" w:cstheme="majorHAnsi"/>
        </w:rPr>
        <w:t>dením, že spoločenská prax má o </w:t>
      </w:r>
      <w:r w:rsidRPr="0053555E">
        <w:rPr>
          <w:rFonts w:asciiTheme="majorHAnsi" w:hAnsiTheme="majorHAnsi" w:cstheme="majorHAnsi"/>
        </w:rPr>
        <w:t>absolventov</w:t>
      </w:r>
      <w:r w:rsidR="00950872" w:rsidRPr="0053555E">
        <w:rPr>
          <w:rFonts w:asciiTheme="majorHAnsi" w:hAnsiTheme="majorHAnsi" w:cstheme="majorHAnsi"/>
        </w:rPr>
        <w:t xml:space="preserve"> STU</w:t>
      </w:r>
      <w:r w:rsidRPr="0053555E">
        <w:rPr>
          <w:rFonts w:asciiTheme="majorHAnsi" w:hAnsiTheme="majorHAnsi" w:cstheme="majorHAnsi"/>
        </w:rPr>
        <w:t xml:space="preserve"> záujem.</w:t>
      </w:r>
    </w:p>
    <w:p w14:paraId="1D46BAD5" w14:textId="0E6551C9" w:rsidR="002071AC" w:rsidRPr="0053555E" w:rsidRDefault="00997085" w:rsidP="00324438">
      <w:pPr>
        <w:tabs>
          <w:tab w:val="left" w:pos="6804"/>
          <w:tab w:val="left" w:pos="9356"/>
        </w:tabs>
        <w:spacing w:after="120"/>
        <w:jc w:val="both"/>
        <w:rPr>
          <w:rFonts w:asciiTheme="majorHAnsi" w:hAnsiTheme="majorHAnsi" w:cstheme="majorHAnsi"/>
        </w:rPr>
      </w:pPr>
      <w:r w:rsidRPr="0053555E">
        <w:rPr>
          <w:rFonts w:asciiTheme="majorHAnsi" w:hAnsiTheme="majorHAnsi" w:cstheme="majorHAnsi"/>
        </w:rPr>
        <w:t>Ď</w:t>
      </w:r>
      <w:r w:rsidR="00932237" w:rsidRPr="0053555E">
        <w:rPr>
          <w:rFonts w:asciiTheme="majorHAnsi" w:hAnsiTheme="majorHAnsi" w:cstheme="majorHAnsi"/>
        </w:rPr>
        <w:t>alším parametrom, ktorý vyjadruje náročnosť a aj kvalitu vzdelávacieho procesu</w:t>
      </w:r>
      <w:r w:rsidRPr="0053555E">
        <w:rPr>
          <w:rFonts w:asciiTheme="majorHAnsi" w:hAnsiTheme="majorHAnsi" w:cstheme="majorHAnsi"/>
        </w:rPr>
        <w:t>,</w:t>
      </w:r>
      <w:r w:rsidR="00932237" w:rsidRPr="0053555E">
        <w:rPr>
          <w:rFonts w:asciiTheme="majorHAnsi" w:hAnsiTheme="majorHAnsi" w:cstheme="majorHAnsi"/>
        </w:rPr>
        <w:t xml:space="preserve"> </w:t>
      </w:r>
      <w:r w:rsidR="00BE070F" w:rsidRPr="0053555E">
        <w:rPr>
          <w:rFonts w:asciiTheme="majorHAnsi" w:hAnsiTheme="majorHAnsi" w:cstheme="majorHAnsi"/>
        </w:rPr>
        <w:t>je</w:t>
      </w:r>
      <w:r w:rsidR="00932237" w:rsidRPr="0053555E">
        <w:rPr>
          <w:rFonts w:asciiTheme="majorHAnsi" w:hAnsiTheme="majorHAnsi" w:cstheme="majorHAnsi"/>
        </w:rPr>
        <w:t xml:space="preserve"> </w:t>
      </w:r>
      <w:r w:rsidR="00E37281" w:rsidRPr="0053555E">
        <w:rPr>
          <w:rFonts w:asciiTheme="majorHAnsi" w:hAnsiTheme="majorHAnsi" w:cstheme="majorHAnsi"/>
        </w:rPr>
        <w:t xml:space="preserve">percento </w:t>
      </w:r>
      <w:r w:rsidR="00932237" w:rsidRPr="0053555E">
        <w:rPr>
          <w:rFonts w:asciiTheme="majorHAnsi" w:hAnsiTheme="majorHAnsi" w:cstheme="majorHAnsi"/>
        </w:rPr>
        <w:t>úspešnosti študentov. V</w:t>
      </w:r>
      <w:r w:rsidR="00E82525">
        <w:rPr>
          <w:rFonts w:asciiTheme="majorHAnsi" w:hAnsiTheme="majorHAnsi" w:cstheme="majorHAnsi"/>
        </w:rPr>
        <w:t> Tab. 71</w:t>
      </w:r>
      <w:r w:rsidR="00B52E20">
        <w:rPr>
          <w:rFonts w:asciiTheme="majorHAnsi" w:hAnsiTheme="majorHAnsi" w:cstheme="majorHAnsi"/>
        </w:rPr>
        <w:t xml:space="preserve"> </w:t>
      </w:r>
      <w:r w:rsidR="00E82525">
        <w:rPr>
          <w:rFonts w:asciiTheme="majorHAnsi" w:hAnsiTheme="majorHAnsi" w:cstheme="majorHAnsi"/>
        </w:rPr>
        <w:t>a 72</w:t>
      </w:r>
      <w:r w:rsidR="00B52E20">
        <w:rPr>
          <w:rFonts w:asciiTheme="majorHAnsi" w:hAnsiTheme="majorHAnsi" w:cstheme="majorHAnsi"/>
        </w:rPr>
        <w:t xml:space="preserve"> </w:t>
      </w:r>
      <w:r w:rsidR="00932237" w:rsidRPr="0053555E">
        <w:rPr>
          <w:rFonts w:asciiTheme="majorHAnsi" w:hAnsiTheme="majorHAnsi" w:cstheme="majorHAnsi"/>
        </w:rPr>
        <w:t xml:space="preserve">je uvedený </w:t>
      </w:r>
      <w:r w:rsidR="00BC1A79" w:rsidRPr="0053555E">
        <w:rPr>
          <w:rFonts w:asciiTheme="majorHAnsi" w:hAnsiTheme="majorHAnsi" w:cstheme="majorHAnsi"/>
        </w:rPr>
        <w:t>prehľad úspešnosti študentov na </w:t>
      </w:r>
      <w:r w:rsidR="00932237" w:rsidRPr="0053555E">
        <w:rPr>
          <w:rFonts w:asciiTheme="majorHAnsi" w:hAnsiTheme="majorHAnsi" w:cstheme="majorHAnsi"/>
        </w:rPr>
        <w:t xml:space="preserve">prvom a druhom stupni štúdia, ktorých štúdium začalo v jednotlivých </w:t>
      </w:r>
      <w:r w:rsidR="009169A8" w:rsidRPr="0053555E">
        <w:rPr>
          <w:rFonts w:asciiTheme="majorHAnsi" w:hAnsiTheme="majorHAnsi" w:cstheme="majorHAnsi"/>
        </w:rPr>
        <w:t xml:space="preserve">akademických rokoch </w:t>
      </w:r>
      <w:r w:rsidR="0097256D" w:rsidRPr="0053555E">
        <w:rPr>
          <w:rFonts w:asciiTheme="majorHAnsi" w:hAnsiTheme="majorHAnsi" w:cstheme="majorHAnsi"/>
        </w:rPr>
        <w:t xml:space="preserve">a stav ich štúdia k </w:t>
      </w:r>
      <w:r w:rsidR="009169A8" w:rsidRPr="0053555E">
        <w:rPr>
          <w:rFonts w:asciiTheme="majorHAnsi" w:hAnsiTheme="majorHAnsi" w:cstheme="majorHAnsi"/>
        </w:rPr>
        <w:t>31</w:t>
      </w:r>
      <w:r w:rsidR="00932237" w:rsidRPr="0053555E">
        <w:rPr>
          <w:rFonts w:asciiTheme="majorHAnsi" w:hAnsiTheme="majorHAnsi" w:cstheme="majorHAnsi"/>
        </w:rPr>
        <w:t>.</w:t>
      </w:r>
      <w:r w:rsidR="00643274" w:rsidRPr="0053555E">
        <w:rPr>
          <w:rFonts w:asciiTheme="majorHAnsi" w:hAnsiTheme="majorHAnsi" w:cstheme="majorHAnsi"/>
        </w:rPr>
        <w:t xml:space="preserve"> </w:t>
      </w:r>
      <w:r w:rsidR="00932237" w:rsidRPr="0053555E">
        <w:rPr>
          <w:rFonts w:asciiTheme="majorHAnsi" w:hAnsiTheme="majorHAnsi" w:cstheme="majorHAnsi"/>
        </w:rPr>
        <w:t>1</w:t>
      </w:r>
      <w:r w:rsidR="009169A8" w:rsidRPr="0053555E">
        <w:rPr>
          <w:rFonts w:asciiTheme="majorHAnsi" w:hAnsiTheme="majorHAnsi" w:cstheme="majorHAnsi"/>
        </w:rPr>
        <w:t>2</w:t>
      </w:r>
      <w:r w:rsidR="00932237" w:rsidRPr="0053555E">
        <w:rPr>
          <w:rFonts w:asciiTheme="majorHAnsi" w:hAnsiTheme="majorHAnsi" w:cstheme="majorHAnsi"/>
        </w:rPr>
        <w:t>.</w:t>
      </w:r>
      <w:r w:rsidR="00643274" w:rsidRPr="0053555E">
        <w:rPr>
          <w:rFonts w:asciiTheme="majorHAnsi" w:hAnsiTheme="majorHAnsi" w:cstheme="majorHAnsi"/>
        </w:rPr>
        <w:t xml:space="preserve"> </w:t>
      </w:r>
      <w:r w:rsidR="00932237" w:rsidRPr="0053555E">
        <w:rPr>
          <w:rFonts w:asciiTheme="majorHAnsi" w:hAnsiTheme="majorHAnsi" w:cstheme="majorHAnsi"/>
        </w:rPr>
        <w:t>20</w:t>
      </w:r>
      <w:r w:rsidR="001C2382" w:rsidRPr="0053555E">
        <w:rPr>
          <w:rFonts w:asciiTheme="majorHAnsi" w:hAnsiTheme="majorHAnsi" w:cstheme="majorHAnsi"/>
        </w:rPr>
        <w:t>2</w:t>
      </w:r>
      <w:r w:rsidR="00673E23">
        <w:rPr>
          <w:rFonts w:asciiTheme="majorHAnsi" w:hAnsiTheme="majorHAnsi" w:cstheme="majorHAnsi"/>
        </w:rPr>
        <w:t>2</w:t>
      </w:r>
      <w:r w:rsidR="00932237" w:rsidRPr="0053555E">
        <w:rPr>
          <w:rFonts w:asciiTheme="majorHAnsi" w:hAnsiTheme="majorHAnsi" w:cstheme="majorHAnsi"/>
        </w:rPr>
        <w:t>.</w:t>
      </w:r>
    </w:p>
    <w:p w14:paraId="3D7A4383" w14:textId="53E63FD3" w:rsidR="00561CF5" w:rsidRPr="0053555E" w:rsidRDefault="00744FF7" w:rsidP="000E3322">
      <w:pPr>
        <w:pStyle w:val="Popis"/>
      </w:pPr>
      <w:bookmarkStart w:id="298" w:name="_Ref31721364"/>
      <w:bookmarkStart w:id="299" w:name="_Ref31721304"/>
      <w:bookmarkStart w:id="300" w:name="_Toc127593322"/>
      <w:r w:rsidRPr="0053555E">
        <w:t>Tab. č.</w:t>
      </w:r>
      <w:bookmarkEnd w:id="298"/>
      <w:r w:rsidR="00E82525">
        <w:t xml:space="preserve"> 71</w:t>
      </w:r>
      <w:r w:rsidRPr="0053555E">
        <w:t>:</w:t>
      </w:r>
      <w:r w:rsidR="000974C3" w:rsidRPr="0053555E">
        <w:t xml:space="preserve"> </w:t>
      </w:r>
      <w:r w:rsidR="00E762E9" w:rsidRPr="0053555E">
        <w:t>Úspešnosť</w:t>
      </w:r>
      <w:r w:rsidR="00561CF5" w:rsidRPr="0053555E">
        <w:t xml:space="preserve"> študentov na prvom stupni štúdia</w:t>
      </w:r>
      <w:bookmarkEnd w:id="299"/>
      <w:bookmarkEnd w:id="300"/>
    </w:p>
    <w:tbl>
      <w:tblPr>
        <w:tblW w:w="9007"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20"/>
        <w:gridCol w:w="1225"/>
        <w:gridCol w:w="709"/>
        <w:gridCol w:w="956"/>
        <w:gridCol w:w="745"/>
        <w:gridCol w:w="921"/>
        <w:gridCol w:w="780"/>
        <w:gridCol w:w="885"/>
        <w:gridCol w:w="816"/>
        <w:gridCol w:w="850"/>
      </w:tblGrid>
      <w:tr w:rsidR="0046576A" w:rsidRPr="0053555E" w14:paraId="52E133B4" w14:textId="77777777" w:rsidTr="001403D5">
        <w:trPr>
          <w:trHeight w:val="113"/>
        </w:trPr>
        <w:tc>
          <w:tcPr>
            <w:tcW w:w="1120" w:type="dxa"/>
            <w:vMerge w:val="restart"/>
            <w:shd w:val="clear" w:color="auto" w:fill="auto"/>
            <w:vAlign w:val="center"/>
            <w:hideMark/>
          </w:tcPr>
          <w:p w14:paraId="167CD308" w14:textId="77777777" w:rsidR="00C41B2E" w:rsidRPr="0053555E" w:rsidRDefault="00B86497" w:rsidP="00324438">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r</w:t>
            </w:r>
            <w:r w:rsidR="00B96F57" w:rsidRPr="0053555E">
              <w:rPr>
                <w:rFonts w:asciiTheme="majorHAnsi" w:eastAsia="Times New Roman" w:hAnsiTheme="majorHAnsi" w:cstheme="majorHAnsi"/>
                <w:sz w:val="20"/>
                <w:szCs w:val="20"/>
                <w:lang w:eastAsia="sk-SK"/>
              </w:rPr>
              <w:t>ok začatia štúdia</w:t>
            </w:r>
          </w:p>
        </w:tc>
        <w:tc>
          <w:tcPr>
            <w:tcW w:w="1225" w:type="dxa"/>
            <w:vMerge w:val="restart"/>
            <w:shd w:val="clear" w:color="auto" w:fill="auto"/>
            <w:vAlign w:val="center"/>
            <w:hideMark/>
          </w:tcPr>
          <w:p w14:paraId="4DB89699" w14:textId="77777777" w:rsidR="00B96F57" w:rsidRPr="0053555E" w:rsidRDefault="00B96F57"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celkový počet zapísaných študentov</w:t>
            </w:r>
          </w:p>
        </w:tc>
        <w:tc>
          <w:tcPr>
            <w:tcW w:w="1665" w:type="dxa"/>
            <w:gridSpan w:val="2"/>
            <w:shd w:val="clear" w:color="auto" w:fill="auto"/>
            <w:vAlign w:val="center"/>
            <w:hideMark/>
          </w:tcPr>
          <w:p w14:paraId="3D764A5E" w14:textId="77777777" w:rsidR="00B96F57" w:rsidRPr="0053555E" w:rsidRDefault="00B86497"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r</w:t>
            </w:r>
            <w:r w:rsidR="00B96F57" w:rsidRPr="0053555E">
              <w:rPr>
                <w:rFonts w:asciiTheme="majorHAnsi" w:eastAsia="Times New Roman" w:hAnsiTheme="majorHAnsi" w:cstheme="majorHAnsi"/>
                <w:sz w:val="20"/>
                <w:szCs w:val="20"/>
                <w:lang w:eastAsia="sk-SK"/>
              </w:rPr>
              <w:t>iadne skončili štúdium</w:t>
            </w:r>
          </w:p>
        </w:tc>
        <w:tc>
          <w:tcPr>
            <w:tcW w:w="1666" w:type="dxa"/>
            <w:gridSpan w:val="2"/>
            <w:shd w:val="clear" w:color="auto" w:fill="auto"/>
            <w:vAlign w:val="center"/>
            <w:hideMark/>
          </w:tcPr>
          <w:p w14:paraId="7E0FC95E" w14:textId="77777777" w:rsidR="000974C3" w:rsidRPr="0053555E" w:rsidRDefault="00B86497"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b</w:t>
            </w:r>
            <w:r w:rsidR="00B96F57" w:rsidRPr="0053555E">
              <w:rPr>
                <w:rFonts w:asciiTheme="majorHAnsi" w:eastAsia="Times New Roman" w:hAnsiTheme="majorHAnsi" w:cstheme="majorHAnsi"/>
                <w:sz w:val="20"/>
                <w:szCs w:val="20"/>
                <w:lang w:eastAsia="sk-SK"/>
              </w:rPr>
              <w:t>oli vylúčení</w:t>
            </w:r>
          </w:p>
          <w:p w14:paraId="3EAD1774" w14:textId="77777777" w:rsidR="00B96F57" w:rsidRPr="0053555E" w:rsidRDefault="00B96F57"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zo štúdia alebo zanechali štúdium</w:t>
            </w:r>
          </w:p>
        </w:tc>
        <w:tc>
          <w:tcPr>
            <w:tcW w:w="1665" w:type="dxa"/>
            <w:gridSpan w:val="2"/>
            <w:shd w:val="clear" w:color="auto" w:fill="auto"/>
            <w:vAlign w:val="center"/>
            <w:hideMark/>
          </w:tcPr>
          <w:p w14:paraId="1169A42C" w14:textId="77777777" w:rsidR="00B96F57" w:rsidRPr="0053555E" w:rsidRDefault="00B96F57"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zmenili študijný program</w:t>
            </w:r>
          </w:p>
        </w:tc>
        <w:tc>
          <w:tcPr>
            <w:tcW w:w="1666" w:type="dxa"/>
            <w:gridSpan w:val="2"/>
            <w:shd w:val="clear" w:color="auto" w:fill="auto"/>
            <w:vAlign w:val="center"/>
            <w:hideMark/>
          </w:tcPr>
          <w:p w14:paraId="1CCBD619" w14:textId="77777777" w:rsidR="00B96F57" w:rsidRPr="0053555E" w:rsidRDefault="00B96F57"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štúdium trvá, prípadne je prerušené</w:t>
            </w:r>
          </w:p>
        </w:tc>
      </w:tr>
      <w:tr w:rsidR="00B96F57" w:rsidRPr="0053555E" w14:paraId="17605C59" w14:textId="77777777" w:rsidTr="001403D5">
        <w:trPr>
          <w:trHeight w:val="113"/>
        </w:trPr>
        <w:tc>
          <w:tcPr>
            <w:tcW w:w="1120" w:type="dxa"/>
            <w:vMerge/>
            <w:vAlign w:val="center"/>
            <w:hideMark/>
          </w:tcPr>
          <w:p w14:paraId="24896A31" w14:textId="77777777" w:rsidR="00B96F57" w:rsidRPr="0053555E" w:rsidRDefault="00B96F57" w:rsidP="00324438">
            <w:pPr>
              <w:tabs>
                <w:tab w:val="left" w:pos="9356"/>
              </w:tabs>
              <w:jc w:val="both"/>
              <w:rPr>
                <w:rFonts w:asciiTheme="majorHAnsi" w:eastAsia="Times New Roman" w:hAnsiTheme="majorHAnsi" w:cstheme="majorHAnsi"/>
                <w:sz w:val="22"/>
                <w:szCs w:val="22"/>
                <w:lang w:eastAsia="sk-SK"/>
              </w:rPr>
            </w:pPr>
          </w:p>
        </w:tc>
        <w:tc>
          <w:tcPr>
            <w:tcW w:w="1225" w:type="dxa"/>
            <w:vMerge/>
            <w:vAlign w:val="center"/>
            <w:hideMark/>
          </w:tcPr>
          <w:p w14:paraId="46BB9F8F" w14:textId="77777777" w:rsidR="00B96F57" w:rsidRPr="0053555E" w:rsidRDefault="00B96F57" w:rsidP="00324438">
            <w:pPr>
              <w:tabs>
                <w:tab w:val="left" w:pos="9356"/>
              </w:tabs>
              <w:jc w:val="center"/>
              <w:rPr>
                <w:rFonts w:asciiTheme="majorHAnsi" w:eastAsia="Times New Roman" w:hAnsiTheme="majorHAnsi" w:cstheme="majorHAnsi"/>
                <w:b/>
                <w:bCs/>
                <w:sz w:val="22"/>
                <w:szCs w:val="22"/>
                <w:lang w:eastAsia="sk-SK"/>
              </w:rPr>
            </w:pPr>
          </w:p>
        </w:tc>
        <w:tc>
          <w:tcPr>
            <w:tcW w:w="709" w:type="dxa"/>
            <w:shd w:val="clear" w:color="auto" w:fill="auto"/>
            <w:vAlign w:val="center"/>
            <w:hideMark/>
          </w:tcPr>
          <w:p w14:paraId="26E50EE9" w14:textId="77777777" w:rsidR="00B96F57" w:rsidRPr="0053555E" w:rsidRDefault="00B96F57" w:rsidP="00324438">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počet</w:t>
            </w:r>
          </w:p>
        </w:tc>
        <w:tc>
          <w:tcPr>
            <w:tcW w:w="956" w:type="dxa"/>
            <w:shd w:val="clear" w:color="auto" w:fill="EEECE1" w:themeFill="background2"/>
            <w:noWrap/>
            <w:vAlign w:val="center"/>
            <w:hideMark/>
          </w:tcPr>
          <w:p w14:paraId="3C79D1F1" w14:textId="77777777" w:rsidR="00B96F57" w:rsidRPr="0053555E" w:rsidRDefault="00B96F57" w:rsidP="00324438">
            <w:pPr>
              <w:tabs>
                <w:tab w:val="left" w:pos="9356"/>
              </w:tabs>
              <w:jc w:val="center"/>
              <w:rPr>
                <w:rFonts w:asciiTheme="majorHAnsi" w:eastAsia="Times New Roman" w:hAnsiTheme="majorHAnsi" w:cstheme="majorHAnsi"/>
                <w:b/>
                <w:sz w:val="20"/>
                <w:szCs w:val="22"/>
                <w:lang w:eastAsia="sk-SK"/>
              </w:rPr>
            </w:pPr>
            <w:r w:rsidRPr="0053555E">
              <w:rPr>
                <w:rFonts w:asciiTheme="majorHAnsi" w:eastAsia="Times New Roman" w:hAnsiTheme="majorHAnsi" w:cstheme="majorHAnsi"/>
                <w:b/>
                <w:sz w:val="20"/>
                <w:szCs w:val="22"/>
                <w:lang w:eastAsia="sk-SK"/>
              </w:rPr>
              <w:t>%</w:t>
            </w:r>
          </w:p>
        </w:tc>
        <w:tc>
          <w:tcPr>
            <w:tcW w:w="745" w:type="dxa"/>
            <w:shd w:val="clear" w:color="auto" w:fill="auto"/>
            <w:vAlign w:val="center"/>
            <w:hideMark/>
          </w:tcPr>
          <w:p w14:paraId="2877E777" w14:textId="77777777" w:rsidR="00B96F57" w:rsidRPr="0053555E" w:rsidRDefault="00B96F57" w:rsidP="00324438">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počet</w:t>
            </w:r>
          </w:p>
        </w:tc>
        <w:tc>
          <w:tcPr>
            <w:tcW w:w="921" w:type="dxa"/>
            <w:shd w:val="clear" w:color="auto" w:fill="EEECE1" w:themeFill="background2"/>
            <w:noWrap/>
            <w:vAlign w:val="center"/>
            <w:hideMark/>
          </w:tcPr>
          <w:p w14:paraId="1AF77CB3" w14:textId="77777777" w:rsidR="00B96F57" w:rsidRPr="0053555E" w:rsidRDefault="00B96F57" w:rsidP="00324438">
            <w:pPr>
              <w:tabs>
                <w:tab w:val="left" w:pos="9356"/>
              </w:tabs>
              <w:jc w:val="center"/>
              <w:rPr>
                <w:rFonts w:asciiTheme="majorHAnsi" w:eastAsia="Times New Roman" w:hAnsiTheme="majorHAnsi" w:cstheme="majorHAnsi"/>
                <w:b/>
                <w:sz w:val="20"/>
                <w:szCs w:val="22"/>
                <w:lang w:eastAsia="sk-SK"/>
              </w:rPr>
            </w:pPr>
            <w:r w:rsidRPr="0053555E">
              <w:rPr>
                <w:rFonts w:asciiTheme="majorHAnsi" w:eastAsia="Times New Roman" w:hAnsiTheme="majorHAnsi" w:cstheme="majorHAnsi"/>
                <w:b/>
                <w:sz w:val="20"/>
                <w:szCs w:val="22"/>
                <w:lang w:eastAsia="sk-SK"/>
              </w:rPr>
              <w:t>%</w:t>
            </w:r>
          </w:p>
        </w:tc>
        <w:tc>
          <w:tcPr>
            <w:tcW w:w="780" w:type="dxa"/>
            <w:shd w:val="clear" w:color="auto" w:fill="auto"/>
            <w:vAlign w:val="bottom"/>
            <w:hideMark/>
          </w:tcPr>
          <w:p w14:paraId="2377A8E9" w14:textId="77777777" w:rsidR="00B96F57" w:rsidRPr="0053555E" w:rsidRDefault="00B96F57" w:rsidP="00324438">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počet</w:t>
            </w:r>
          </w:p>
        </w:tc>
        <w:tc>
          <w:tcPr>
            <w:tcW w:w="885" w:type="dxa"/>
            <w:shd w:val="clear" w:color="auto" w:fill="EEECE1" w:themeFill="background2"/>
            <w:noWrap/>
            <w:vAlign w:val="bottom"/>
            <w:hideMark/>
          </w:tcPr>
          <w:p w14:paraId="4097A9DE" w14:textId="77777777" w:rsidR="00B96F57" w:rsidRPr="0053555E" w:rsidRDefault="00B96F57" w:rsidP="00324438">
            <w:pPr>
              <w:tabs>
                <w:tab w:val="left" w:pos="9356"/>
              </w:tabs>
              <w:jc w:val="center"/>
              <w:rPr>
                <w:rFonts w:asciiTheme="majorHAnsi" w:eastAsia="Times New Roman" w:hAnsiTheme="majorHAnsi" w:cstheme="majorHAnsi"/>
                <w:b/>
                <w:sz w:val="20"/>
                <w:szCs w:val="22"/>
                <w:lang w:eastAsia="sk-SK"/>
              </w:rPr>
            </w:pPr>
            <w:r w:rsidRPr="0053555E">
              <w:rPr>
                <w:rFonts w:asciiTheme="majorHAnsi" w:eastAsia="Times New Roman" w:hAnsiTheme="majorHAnsi" w:cstheme="majorHAnsi"/>
                <w:b/>
                <w:sz w:val="20"/>
                <w:szCs w:val="22"/>
                <w:lang w:eastAsia="sk-SK"/>
              </w:rPr>
              <w:t>%</w:t>
            </w:r>
          </w:p>
        </w:tc>
        <w:tc>
          <w:tcPr>
            <w:tcW w:w="816" w:type="dxa"/>
            <w:shd w:val="clear" w:color="auto" w:fill="auto"/>
            <w:vAlign w:val="center"/>
            <w:hideMark/>
          </w:tcPr>
          <w:p w14:paraId="155C7E78" w14:textId="77777777" w:rsidR="00B96F57" w:rsidRPr="0053555E" w:rsidRDefault="00B96F57" w:rsidP="00324438">
            <w:pPr>
              <w:tabs>
                <w:tab w:val="left" w:pos="9356"/>
              </w:tabs>
              <w:jc w:val="center"/>
              <w:rPr>
                <w:rFonts w:asciiTheme="majorHAnsi" w:eastAsia="Times New Roman" w:hAnsiTheme="majorHAnsi" w:cstheme="majorHAnsi"/>
                <w:sz w:val="20"/>
                <w:szCs w:val="22"/>
                <w:lang w:eastAsia="sk-SK"/>
              </w:rPr>
            </w:pPr>
            <w:r w:rsidRPr="0053555E">
              <w:rPr>
                <w:rFonts w:asciiTheme="majorHAnsi" w:eastAsia="Times New Roman" w:hAnsiTheme="majorHAnsi" w:cstheme="majorHAnsi"/>
                <w:sz w:val="20"/>
                <w:szCs w:val="22"/>
                <w:lang w:eastAsia="sk-SK"/>
              </w:rPr>
              <w:t>počet</w:t>
            </w:r>
          </w:p>
        </w:tc>
        <w:tc>
          <w:tcPr>
            <w:tcW w:w="850" w:type="dxa"/>
            <w:shd w:val="clear" w:color="auto" w:fill="EEECE1" w:themeFill="background2"/>
            <w:noWrap/>
            <w:vAlign w:val="center"/>
            <w:hideMark/>
          </w:tcPr>
          <w:p w14:paraId="186C8CC0" w14:textId="77777777" w:rsidR="00B96F57" w:rsidRPr="0053555E" w:rsidRDefault="00B96F57" w:rsidP="00324438">
            <w:pPr>
              <w:tabs>
                <w:tab w:val="left" w:pos="9356"/>
              </w:tabs>
              <w:jc w:val="center"/>
              <w:rPr>
                <w:rFonts w:asciiTheme="majorHAnsi" w:eastAsia="Times New Roman" w:hAnsiTheme="majorHAnsi" w:cstheme="majorHAnsi"/>
                <w:b/>
                <w:sz w:val="20"/>
                <w:szCs w:val="22"/>
                <w:lang w:eastAsia="sk-SK"/>
              </w:rPr>
            </w:pPr>
            <w:r w:rsidRPr="0053555E">
              <w:rPr>
                <w:rFonts w:asciiTheme="majorHAnsi" w:eastAsia="Times New Roman" w:hAnsiTheme="majorHAnsi" w:cstheme="majorHAnsi"/>
                <w:b/>
                <w:sz w:val="20"/>
                <w:szCs w:val="22"/>
                <w:lang w:eastAsia="sk-SK"/>
              </w:rPr>
              <w:t>%</w:t>
            </w:r>
          </w:p>
        </w:tc>
      </w:tr>
      <w:tr w:rsidR="00B33F4D" w:rsidRPr="0053555E" w14:paraId="21036CCD" w14:textId="77777777" w:rsidTr="001403D5">
        <w:trPr>
          <w:trHeight w:val="227"/>
        </w:trPr>
        <w:tc>
          <w:tcPr>
            <w:tcW w:w="1120" w:type="dxa"/>
            <w:shd w:val="clear" w:color="auto" w:fill="auto"/>
            <w:noWrap/>
            <w:vAlign w:val="bottom"/>
            <w:hideMark/>
          </w:tcPr>
          <w:p w14:paraId="66C37774" w14:textId="69B126D0" w:rsidR="00B33F4D" w:rsidRPr="0053555E" w:rsidRDefault="00B33F4D" w:rsidP="00B33F4D">
            <w:pPr>
              <w:jc w:val="center"/>
              <w:rPr>
                <w:rFonts w:asciiTheme="majorHAnsi" w:hAnsiTheme="majorHAnsi" w:cstheme="majorHAnsi"/>
                <w:sz w:val="22"/>
                <w:szCs w:val="20"/>
              </w:rPr>
            </w:pPr>
            <w:r w:rsidRPr="0053555E">
              <w:rPr>
                <w:rFonts w:cs="Arial"/>
                <w:sz w:val="22"/>
                <w:szCs w:val="20"/>
              </w:rPr>
              <w:t>2014/2015</w:t>
            </w:r>
          </w:p>
        </w:tc>
        <w:tc>
          <w:tcPr>
            <w:tcW w:w="1225" w:type="dxa"/>
            <w:shd w:val="clear" w:color="auto" w:fill="auto"/>
            <w:vAlign w:val="bottom"/>
            <w:hideMark/>
          </w:tcPr>
          <w:p w14:paraId="73CA9506" w14:textId="2812E1FF" w:rsidR="00B33F4D" w:rsidRPr="0053555E" w:rsidRDefault="00B33F4D" w:rsidP="00B33F4D">
            <w:pPr>
              <w:jc w:val="center"/>
              <w:rPr>
                <w:rFonts w:asciiTheme="majorHAnsi" w:hAnsiTheme="majorHAnsi" w:cstheme="majorHAnsi"/>
                <w:sz w:val="22"/>
                <w:szCs w:val="20"/>
              </w:rPr>
            </w:pPr>
            <w:r w:rsidRPr="0053555E">
              <w:rPr>
                <w:rFonts w:cs="Arial"/>
                <w:sz w:val="22"/>
                <w:szCs w:val="20"/>
              </w:rPr>
              <w:t>4 545</w:t>
            </w:r>
          </w:p>
        </w:tc>
        <w:tc>
          <w:tcPr>
            <w:tcW w:w="709" w:type="dxa"/>
            <w:shd w:val="clear" w:color="auto" w:fill="auto"/>
            <w:vAlign w:val="bottom"/>
            <w:hideMark/>
          </w:tcPr>
          <w:p w14:paraId="3DC3F8FF" w14:textId="55A2A283" w:rsidR="00B33F4D" w:rsidRPr="0053555E" w:rsidRDefault="00B33F4D" w:rsidP="00B33F4D">
            <w:pPr>
              <w:jc w:val="center"/>
              <w:rPr>
                <w:rFonts w:asciiTheme="majorHAnsi" w:hAnsiTheme="majorHAnsi" w:cstheme="majorHAnsi"/>
                <w:sz w:val="22"/>
                <w:szCs w:val="20"/>
              </w:rPr>
            </w:pPr>
            <w:r w:rsidRPr="0053555E">
              <w:rPr>
                <w:rFonts w:cs="Arial"/>
                <w:sz w:val="22"/>
                <w:szCs w:val="20"/>
              </w:rPr>
              <w:t>1 417</w:t>
            </w:r>
          </w:p>
        </w:tc>
        <w:tc>
          <w:tcPr>
            <w:tcW w:w="956" w:type="dxa"/>
            <w:shd w:val="clear" w:color="auto" w:fill="EEECE1" w:themeFill="background2"/>
            <w:noWrap/>
            <w:vAlign w:val="bottom"/>
            <w:hideMark/>
          </w:tcPr>
          <w:p w14:paraId="2234252E" w14:textId="28BDAE7E" w:rsidR="00B33F4D" w:rsidRPr="0053555E" w:rsidRDefault="00B33F4D" w:rsidP="00B33F4D">
            <w:pPr>
              <w:jc w:val="center"/>
              <w:rPr>
                <w:rFonts w:asciiTheme="majorHAnsi" w:hAnsiTheme="majorHAnsi" w:cstheme="majorHAnsi"/>
                <w:b/>
                <w:sz w:val="22"/>
                <w:szCs w:val="20"/>
              </w:rPr>
            </w:pPr>
            <w:r w:rsidRPr="0053555E">
              <w:rPr>
                <w:rFonts w:cs="Arial"/>
                <w:sz w:val="22"/>
                <w:szCs w:val="20"/>
              </w:rPr>
              <w:t>31,18 %</w:t>
            </w:r>
          </w:p>
        </w:tc>
        <w:tc>
          <w:tcPr>
            <w:tcW w:w="745" w:type="dxa"/>
            <w:shd w:val="clear" w:color="auto" w:fill="auto"/>
            <w:vAlign w:val="bottom"/>
            <w:hideMark/>
          </w:tcPr>
          <w:p w14:paraId="458327AF" w14:textId="74F90AA8" w:rsidR="00B33F4D" w:rsidRPr="0053555E" w:rsidRDefault="00B33F4D" w:rsidP="00B33F4D">
            <w:pPr>
              <w:jc w:val="center"/>
              <w:rPr>
                <w:rFonts w:asciiTheme="majorHAnsi" w:hAnsiTheme="majorHAnsi" w:cstheme="majorHAnsi"/>
                <w:sz w:val="22"/>
                <w:szCs w:val="20"/>
              </w:rPr>
            </w:pPr>
            <w:r w:rsidRPr="0053555E">
              <w:rPr>
                <w:rFonts w:cs="Arial"/>
                <w:sz w:val="22"/>
                <w:szCs w:val="20"/>
              </w:rPr>
              <w:t>2 563</w:t>
            </w:r>
          </w:p>
        </w:tc>
        <w:tc>
          <w:tcPr>
            <w:tcW w:w="921" w:type="dxa"/>
            <w:shd w:val="clear" w:color="auto" w:fill="EEECE1" w:themeFill="background2"/>
            <w:noWrap/>
            <w:vAlign w:val="bottom"/>
            <w:hideMark/>
          </w:tcPr>
          <w:p w14:paraId="53963379" w14:textId="6B1516AC" w:rsidR="00B33F4D" w:rsidRPr="0053555E" w:rsidRDefault="00B33F4D" w:rsidP="00B33F4D">
            <w:pPr>
              <w:jc w:val="center"/>
              <w:rPr>
                <w:rFonts w:asciiTheme="majorHAnsi" w:hAnsiTheme="majorHAnsi" w:cstheme="majorHAnsi"/>
                <w:b/>
                <w:sz w:val="22"/>
                <w:szCs w:val="20"/>
              </w:rPr>
            </w:pPr>
            <w:r w:rsidRPr="0053555E">
              <w:rPr>
                <w:rFonts w:cs="Arial"/>
                <w:sz w:val="22"/>
                <w:szCs w:val="20"/>
              </w:rPr>
              <w:t>56,39 %</w:t>
            </w:r>
          </w:p>
        </w:tc>
        <w:tc>
          <w:tcPr>
            <w:tcW w:w="780" w:type="dxa"/>
            <w:shd w:val="clear" w:color="auto" w:fill="auto"/>
            <w:noWrap/>
            <w:vAlign w:val="bottom"/>
            <w:hideMark/>
          </w:tcPr>
          <w:p w14:paraId="44418D10" w14:textId="439D716A" w:rsidR="00B33F4D" w:rsidRPr="0053555E" w:rsidRDefault="00B33F4D" w:rsidP="00B33F4D">
            <w:pPr>
              <w:jc w:val="center"/>
              <w:rPr>
                <w:rFonts w:asciiTheme="majorHAnsi" w:hAnsiTheme="majorHAnsi" w:cstheme="majorHAnsi"/>
                <w:sz w:val="22"/>
                <w:szCs w:val="20"/>
              </w:rPr>
            </w:pPr>
            <w:r w:rsidRPr="0053555E">
              <w:rPr>
                <w:rFonts w:cs="Arial"/>
                <w:sz w:val="22"/>
                <w:szCs w:val="20"/>
              </w:rPr>
              <w:t>562</w:t>
            </w:r>
          </w:p>
        </w:tc>
        <w:tc>
          <w:tcPr>
            <w:tcW w:w="885" w:type="dxa"/>
            <w:shd w:val="clear" w:color="auto" w:fill="EEECE1" w:themeFill="background2"/>
            <w:noWrap/>
            <w:vAlign w:val="bottom"/>
            <w:hideMark/>
          </w:tcPr>
          <w:p w14:paraId="21CD6C11" w14:textId="3CD29371" w:rsidR="00B33F4D" w:rsidRPr="0053555E" w:rsidRDefault="00B33F4D" w:rsidP="00B33F4D">
            <w:pPr>
              <w:jc w:val="center"/>
              <w:rPr>
                <w:rFonts w:asciiTheme="majorHAnsi" w:hAnsiTheme="majorHAnsi" w:cstheme="majorHAnsi"/>
                <w:b/>
                <w:sz w:val="22"/>
                <w:szCs w:val="20"/>
              </w:rPr>
            </w:pPr>
            <w:r w:rsidRPr="0053555E">
              <w:rPr>
                <w:rFonts w:cs="Arial"/>
                <w:sz w:val="22"/>
                <w:szCs w:val="20"/>
              </w:rPr>
              <w:t>12,3</w:t>
            </w:r>
            <w:r w:rsidR="00093924" w:rsidRPr="0053555E">
              <w:rPr>
                <w:rFonts w:cs="Arial"/>
                <w:sz w:val="22"/>
                <w:szCs w:val="20"/>
              </w:rPr>
              <w:t>6</w:t>
            </w:r>
            <w:r w:rsidRPr="0053555E">
              <w:rPr>
                <w:rFonts w:cs="Arial"/>
                <w:sz w:val="22"/>
                <w:szCs w:val="20"/>
              </w:rPr>
              <w:t xml:space="preserve"> %</w:t>
            </w:r>
          </w:p>
        </w:tc>
        <w:tc>
          <w:tcPr>
            <w:tcW w:w="816" w:type="dxa"/>
            <w:shd w:val="clear" w:color="auto" w:fill="auto"/>
            <w:vAlign w:val="bottom"/>
            <w:hideMark/>
          </w:tcPr>
          <w:p w14:paraId="60B78611" w14:textId="02D74D04" w:rsidR="00B33F4D" w:rsidRPr="0053555E" w:rsidRDefault="00B33F4D" w:rsidP="00B33F4D">
            <w:pPr>
              <w:jc w:val="center"/>
              <w:rPr>
                <w:rFonts w:asciiTheme="majorHAnsi" w:hAnsiTheme="majorHAnsi" w:cstheme="majorHAnsi"/>
                <w:sz w:val="22"/>
                <w:szCs w:val="20"/>
              </w:rPr>
            </w:pPr>
            <w:r w:rsidRPr="0053555E">
              <w:rPr>
                <w:rFonts w:cs="Arial"/>
                <w:sz w:val="22"/>
                <w:szCs w:val="20"/>
              </w:rPr>
              <w:t>3</w:t>
            </w:r>
          </w:p>
        </w:tc>
        <w:tc>
          <w:tcPr>
            <w:tcW w:w="850" w:type="dxa"/>
            <w:shd w:val="clear" w:color="auto" w:fill="EEECE1" w:themeFill="background2"/>
            <w:vAlign w:val="bottom"/>
            <w:hideMark/>
          </w:tcPr>
          <w:p w14:paraId="7B9F155C" w14:textId="741B606A" w:rsidR="00B33F4D" w:rsidRPr="0053555E" w:rsidRDefault="00B33F4D" w:rsidP="00B33F4D">
            <w:pPr>
              <w:jc w:val="center"/>
              <w:rPr>
                <w:rFonts w:asciiTheme="majorHAnsi" w:hAnsiTheme="majorHAnsi" w:cstheme="majorHAnsi"/>
                <w:b/>
                <w:sz w:val="22"/>
                <w:szCs w:val="20"/>
              </w:rPr>
            </w:pPr>
            <w:r w:rsidRPr="0053555E">
              <w:rPr>
                <w:rFonts w:cs="Arial"/>
                <w:sz w:val="22"/>
                <w:szCs w:val="20"/>
              </w:rPr>
              <w:t>0,07 %</w:t>
            </w:r>
          </w:p>
        </w:tc>
      </w:tr>
      <w:tr w:rsidR="00B33F4D" w:rsidRPr="0053555E" w14:paraId="093AE002" w14:textId="77777777" w:rsidTr="001403D5">
        <w:trPr>
          <w:trHeight w:val="227"/>
        </w:trPr>
        <w:tc>
          <w:tcPr>
            <w:tcW w:w="1120" w:type="dxa"/>
            <w:shd w:val="clear" w:color="auto" w:fill="auto"/>
            <w:noWrap/>
            <w:vAlign w:val="bottom"/>
            <w:hideMark/>
          </w:tcPr>
          <w:p w14:paraId="1B71AA0D" w14:textId="6B9EFA3A" w:rsidR="00B33F4D" w:rsidRPr="0053555E" w:rsidRDefault="00B33F4D" w:rsidP="00B33F4D">
            <w:pPr>
              <w:jc w:val="center"/>
              <w:rPr>
                <w:rFonts w:asciiTheme="majorHAnsi" w:hAnsiTheme="majorHAnsi" w:cstheme="majorHAnsi"/>
                <w:sz w:val="22"/>
                <w:szCs w:val="20"/>
              </w:rPr>
            </w:pPr>
            <w:r w:rsidRPr="0053555E">
              <w:rPr>
                <w:rFonts w:cs="Arial"/>
                <w:sz w:val="22"/>
                <w:szCs w:val="20"/>
              </w:rPr>
              <w:t>2015/2016</w:t>
            </w:r>
          </w:p>
        </w:tc>
        <w:tc>
          <w:tcPr>
            <w:tcW w:w="1225" w:type="dxa"/>
            <w:shd w:val="clear" w:color="auto" w:fill="auto"/>
            <w:vAlign w:val="bottom"/>
            <w:hideMark/>
          </w:tcPr>
          <w:p w14:paraId="72956353" w14:textId="0A199A6D" w:rsidR="00B33F4D" w:rsidRPr="0053555E" w:rsidRDefault="00B33F4D" w:rsidP="00B33F4D">
            <w:pPr>
              <w:jc w:val="center"/>
              <w:rPr>
                <w:rFonts w:asciiTheme="majorHAnsi" w:hAnsiTheme="majorHAnsi" w:cstheme="majorHAnsi"/>
                <w:sz w:val="22"/>
                <w:szCs w:val="20"/>
              </w:rPr>
            </w:pPr>
            <w:r w:rsidRPr="0053555E">
              <w:rPr>
                <w:rFonts w:cs="Arial"/>
                <w:sz w:val="22"/>
                <w:szCs w:val="20"/>
              </w:rPr>
              <w:t>5 844</w:t>
            </w:r>
          </w:p>
        </w:tc>
        <w:tc>
          <w:tcPr>
            <w:tcW w:w="709" w:type="dxa"/>
            <w:shd w:val="clear" w:color="auto" w:fill="auto"/>
            <w:vAlign w:val="bottom"/>
            <w:hideMark/>
          </w:tcPr>
          <w:p w14:paraId="6810669A" w14:textId="020253F2" w:rsidR="00B33F4D" w:rsidRPr="0053555E" w:rsidRDefault="00B33F4D" w:rsidP="00B33F4D">
            <w:pPr>
              <w:jc w:val="center"/>
              <w:rPr>
                <w:rFonts w:asciiTheme="majorHAnsi" w:hAnsiTheme="majorHAnsi" w:cstheme="majorHAnsi"/>
                <w:sz w:val="22"/>
                <w:szCs w:val="20"/>
              </w:rPr>
            </w:pPr>
            <w:r w:rsidRPr="0053555E">
              <w:rPr>
                <w:rFonts w:cs="Arial"/>
                <w:sz w:val="22"/>
                <w:szCs w:val="20"/>
              </w:rPr>
              <w:t>2 427</w:t>
            </w:r>
          </w:p>
        </w:tc>
        <w:tc>
          <w:tcPr>
            <w:tcW w:w="956" w:type="dxa"/>
            <w:shd w:val="clear" w:color="auto" w:fill="EEECE1" w:themeFill="background2"/>
            <w:noWrap/>
            <w:vAlign w:val="bottom"/>
            <w:hideMark/>
          </w:tcPr>
          <w:p w14:paraId="583D2119" w14:textId="0FDBD239" w:rsidR="00B33F4D" w:rsidRPr="0053555E" w:rsidRDefault="00B33F4D" w:rsidP="00B33F4D">
            <w:pPr>
              <w:jc w:val="center"/>
              <w:rPr>
                <w:rFonts w:asciiTheme="majorHAnsi" w:hAnsiTheme="majorHAnsi" w:cstheme="majorHAnsi"/>
                <w:b/>
                <w:sz w:val="22"/>
                <w:szCs w:val="20"/>
              </w:rPr>
            </w:pPr>
            <w:r w:rsidRPr="0053555E">
              <w:rPr>
                <w:rFonts w:cs="Arial"/>
                <w:sz w:val="22"/>
                <w:szCs w:val="20"/>
              </w:rPr>
              <w:t>41,53 %</w:t>
            </w:r>
          </w:p>
        </w:tc>
        <w:tc>
          <w:tcPr>
            <w:tcW w:w="745" w:type="dxa"/>
            <w:shd w:val="clear" w:color="auto" w:fill="auto"/>
            <w:vAlign w:val="bottom"/>
            <w:hideMark/>
          </w:tcPr>
          <w:p w14:paraId="3C2B9F4A" w14:textId="6321DFBD" w:rsidR="00B33F4D" w:rsidRPr="0053555E" w:rsidRDefault="00B33F4D" w:rsidP="00B33F4D">
            <w:pPr>
              <w:jc w:val="center"/>
              <w:rPr>
                <w:rFonts w:asciiTheme="majorHAnsi" w:hAnsiTheme="majorHAnsi" w:cstheme="majorHAnsi"/>
                <w:sz w:val="22"/>
                <w:szCs w:val="20"/>
              </w:rPr>
            </w:pPr>
            <w:r w:rsidRPr="0053555E">
              <w:rPr>
                <w:rFonts w:cs="Arial"/>
                <w:sz w:val="22"/>
                <w:szCs w:val="20"/>
              </w:rPr>
              <w:t>2 711</w:t>
            </w:r>
          </w:p>
        </w:tc>
        <w:tc>
          <w:tcPr>
            <w:tcW w:w="921" w:type="dxa"/>
            <w:shd w:val="clear" w:color="auto" w:fill="EEECE1" w:themeFill="background2"/>
            <w:noWrap/>
            <w:vAlign w:val="bottom"/>
            <w:hideMark/>
          </w:tcPr>
          <w:p w14:paraId="708AA03D" w14:textId="2313C6F0" w:rsidR="00B33F4D" w:rsidRPr="0053555E" w:rsidRDefault="00B33F4D" w:rsidP="00B33F4D">
            <w:pPr>
              <w:jc w:val="center"/>
              <w:rPr>
                <w:rFonts w:asciiTheme="majorHAnsi" w:hAnsiTheme="majorHAnsi" w:cstheme="majorHAnsi"/>
                <w:b/>
                <w:sz w:val="22"/>
                <w:szCs w:val="20"/>
              </w:rPr>
            </w:pPr>
            <w:r w:rsidRPr="0053555E">
              <w:rPr>
                <w:rFonts w:cs="Arial"/>
                <w:sz w:val="22"/>
                <w:szCs w:val="20"/>
              </w:rPr>
              <w:t>46,39 %</w:t>
            </w:r>
          </w:p>
        </w:tc>
        <w:tc>
          <w:tcPr>
            <w:tcW w:w="780" w:type="dxa"/>
            <w:shd w:val="clear" w:color="auto" w:fill="auto"/>
            <w:noWrap/>
            <w:vAlign w:val="bottom"/>
            <w:hideMark/>
          </w:tcPr>
          <w:p w14:paraId="11323382" w14:textId="138AB6F2" w:rsidR="00B33F4D" w:rsidRPr="0053555E" w:rsidRDefault="00B33F4D" w:rsidP="00B33F4D">
            <w:pPr>
              <w:jc w:val="center"/>
              <w:rPr>
                <w:rFonts w:asciiTheme="majorHAnsi" w:hAnsiTheme="majorHAnsi" w:cstheme="majorHAnsi"/>
                <w:sz w:val="22"/>
                <w:szCs w:val="20"/>
              </w:rPr>
            </w:pPr>
            <w:r w:rsidRPr="0053555E">
              <w:rPr>
                <w:rFonts w:cs="Arial"/>
                <w:sz w:val="22"/>
                <w:szCs w:val="20"/>
              </w:rPr>
              <w:t>704</w:t>
            </w:r>
          </w:p>
        </w:tc>
        <w:tc>
          <w:tcPr>
            <w:tcW w:w="885" w:type="dxa"/>
            <w:shd w:val="clear" w:color="auto" w:fill="EEECE1" w:themeFill="background2"/>
            <w:noWrap/>
            <w:vAlign w:val="bottom"/>
            <w:hideMark/>
          </w:tcPr>
          <w:p w14:paraId="4DEEB2B4" w14:textId="70D6FBDC" w:rsidR="00B33F4D" w:rsidRPr="0053555E" w:rsidRDefault="00B33F4D" w:rsidP="00B33F4D">
            <w:pPr>
              <w:jc w:val="center"/>
              <w:rPr>
                <w:rFonts w:asciiTheme="majorHAnsi" w:hAnsiTheme="majorHAnsi" w:cstheme="majorHAnsi"/>
                <w:b/>
                <w:sz w:val="22"/>
                <w:szCs w:val="20"/>
              </w:rPr>
            </w:pPr>
            <w:r w:rsidRPr="0053555E">
              <w:rPr>
                <w:rFonts w:cs="Arial"/>
                <w:sz w:val="22"/>
                <w:szCs w:val="20"/>
              </w:rPr>
              <w:t>12,05 %</w:t>
            </w:r>
          </w:p>
        </w:tc>
        <w:tc>
          <w:tcPr>
            <w:tcW w:w="816" w:type="dxa"/>
            <w:shd w:val="clear" w:color="auto" w:fill="auto"/>
            <w:vAlign w:val="bottom"/>
            <w:hideMark/>
          </w:tcPr>
          <w:p w14:paraId="594A913C" w14:textId="6A2E9873" w:rsidR="00B33F4D" w:rsidRPr="0053555E" w:rsidRDefault="00B33F4D" w:rsidP="00B33F4D">
            <w:pPr>
              <w:jc w:val="center"/>
              <w:rPr>
                <w:rFonts w:asciiTheme="majorHAnsi" w:hAnsiTheme="majorHAnsi" w:cstheme="majorHAnsi"/>
                <w:sz w:val="22"/>
                <w:szCs w:val="20"/>
              </w:rPr>
            </w:pPr>
            <w:r w:rsidRPr="0053555E">
              <w:rPr>
                <w:rFonts w:cs="Arial"/>
                <w:sz w:val="22"/>
                <w:szCs w:val="20"/>
              </w:rPr>
              <w:t>2</w:t>
            </w:r>
          </w:p>
        </w:tc>
        <w:tc>
          <w:tcPr>
            <w:tcW w:w="850" w:type="dxa"/>
            <w:shd w:val="clear" w:color="auto" w:fill="EEECE1" w:themeFill="background2"/>
            <w:vAlign w:val="bottom"/>
            <w:hideMark/>
          </w:tcPr>
          <w:p w14:paraId="1CB28F94" w14:textId="594EAAE2" w:rsidR="00B33F4D" w:rsidRPr="0053555E" w:rsidRDefault="00B33F4D" w:rsidP="00B33F4D">
            <w:pPr>
              <w:jc w:val="center"/>
              <w:rPr>
                <w:rFonts w:asciiTheme="majorHAnsi" w:hAnsiTheme="majorHAnsi" w:cstheme="majorHAnsi"/>
                <w:b/>
                <w:sz w:val="22"/>
                <w:szCs w:val="20"/>
              </w:rPr>
            </w:pPr>
            <w:r w:rsidRPr="0053555E">
              <w:rPr>
                <w:rFonts w:cs="Arial"/>
                <w:sz w:val="22"/>
                <w:szCs w:val="20"/>
              </w:rPr>
              <w:t>0,03 %</w:t>
            </w:r>
          </w:p>
        </w:tc>
      </w:tr>
      <w:tr w:rsidR="00B33F4D" w:rsidRPr="0053555E" w14:paraId="40765920" w14:textId="77777777" w:rsidTr="001403D5">
        <w:trPr>
          <w:trHeight w:val="227"/>
        </w:trPr>
        <w:tc>
          <w:tcPr>
            <w:tcW w:w="1120" w:type="dxa"/>
            <w:shd w:val="clear" w:color="auto" w:fill="auto"/>
            <w:noWrap/>
            <w:vAlign w:val="bottom"/>
            <w:hideMark/>
          </w:tcPr>
          <w:p w14:paraId="32B06BE4" w14:textId="4BFF529E" w:rsidR="00B33F4D" w:rsidRPr="0053555E" w:rsidRDefault="00B33F4D" w:rsidP="00B33F4D">
            <w:pPr>
              <w:jc w:val="center"/>
              <w:rPr>
                <w:rFonts w:asciiTheme="majorHAnsi" w:hAnsiTheme="majorHAnsi" w:cstheme="majorHAnsi"/>
                <w:sz w:val="22"/>
                <w:szCs w:val="20"/>
              </w:rPr>
            </w:pPr>
            <w:r w:rsidRPr="0053555E">
              <w:rPr>
                <w:rFonts w:cs="Arial"/>
                <w:sz w:val="22"/>
                <w:szCs w:val="20"/>
              </w:rPr>
              <w:t>2016/2017</w:t>
            </w:r>
          </w:p>
        </w:tc>
        <w:tc>
          <w:tcPr>
            <w:tcW w:w="1225" w:type="dxa"/>
            <w:shd w:val="clear" w:color="auto" w:fill="auto"/>
            <w:vAlign w:val="bottom"/>
            <w:hideMark/>
          </w:tcPr>
          <w:p w14:paraId="3527E863" w14:textId="3CEA9CE2" w:rsidR="00B33F4D" w:rsidRPr="0053555E" w:rsidRDefault="00B33F4D" w:rsidP="00B33F4D">
            <w:pPr>
              <w:jc w:val="center"/>
              <w:rPr>
                <w:rFonts w:asciiTheme="majorHAnsi" w:hAnsiTheme="majorHAnsi" w:cstheme="majorHAnsi"/>
                <w:sz w:val="22"/>
                <w:szCs w:val="20"/>
              </w:rPr>
            </w:pPr>
            <w:r w:rsidRPr="0053555E">
              <w:rPr>
                <w:rFonts w:cs="Arial"/>
                <w:sz w:val="22"/>
                <w:szCs w:val="20"/>
              </w:rPr>
              <w:t>3 410</w:t>
            </w:r>
          </w:p>
        </w:tc>
        <w:tc>
          <w:tcPr>
            <w:tcW w:w="709" w:type="dxa"/>
            <w:shd w:val="clear" w:color="auto" w:fill="auto"/>
            <w:vAlign w:val="bottom"/>
            <w:hideMark/>
          </w:tcPr>
          <w:p w14:paraId="570B00A5" w14:textId="57F8E31E" w:rsidR="00B33F4D" w:rsidRPr="0053555E" w:rsidRDefault="00B33F4D" w:rsidP="00B33F4D">
            <w:pPr>
              <w:jc w:val="center"/>
              <w:rPr>
                <w:rFonts w:asciiTheme="majorHAnsi" w:hAnsiTheme="majorHAnsi" w:cstheme="majorHAnsi"/>
                <w:sz w:val="22"/>
                <w:szCs w:val="20"/>
              </w:rPr>
            </w:pPr>
            <w:r w:rsidRPr="0053555E">
              <w:rPr>
                <w:rFonts w:cs="Arial"/>
                <w:sz w:val="22"/>
                <w:szCs w:val="20"/>
              </w:rPr>
              <w:t>1 267</w:t>
            </w:r>
          </w:p>
        </w:tc>
        <w:tc>
          <w:tcPr>
            <w:tcW w:w="956" w:type="dxa"/>
            <w:shd w:val="clear" w:color="auto" w:fill="EEECE1" w:themeFill="background2"/>
            <w:noWrap/>
            <w:vAlign w:val="bottom"/>
            <w:hideMark/>
          </w:tcPr>
          <w:p w14:paraId="5C249C3F" w14:textId="7F1C7BE4" w:rsidR="00B33F4D" w:rsidRPr="0053555E" w:rsidRDefault="00B33F4D" w:rsidP="00B33F4D">
            <w:pPr>
              <w:jc w:val="center"/>
              <w:rPr>
                <w:rFonts w:asciiTheme="majorHAnsi" w:hAnsiTheme="majorHAnsi" w:cstheme="majorHAnsi"/>
                <w:b/>
                <w:sz w:val="22"/>
                <w:szCs w:val="20"/>
              </w:rPr>
            </w:pPr>
            <w:r w:rsidRPr="0053555E">
              <w:rPr>
                <w:rFonts w:cs="Arial"/>
                <w:sz w:val="22"/>
                <w:szCs w:val="20"/>
              </w:rPr>
              <w:t>37,16 %</w:t>
            </w:r>
          </w:p>
        </w:tc>
        <w:tc>
          <w:tcPr>
            <w:tcW w:w="745" w:type="dxa"/>
            <w:shd w:val="clear" w:color="auto" w:fill="auto"/>
            <w:noWrap/>
            <w:vAlign w:val="bottom"/>
            <w:hideMark/>
          </w:tcPr>
          <w:p w14:paraId="038B02B8" w14:textId="74BED3DF" w:rsidR="00B33F4D" w:rsidRPr="0053555E" w:rsidRDefault="00B33F4D" w:rsidP="00B33F4D">
            <w:pPr>
              <w:jc w:val="center"/>
              <w:rPr>
                <w:rFonts w:asciiTheme="majorHAnsi" w:hAnsiTheme="majorHAnsi" w:cstheme="majorHAnsi"/>
                <w:sz w:val="22"/>
                <w:szCs w:val="20"/>
              </w:rPr>
            </w:pPr>
            <w:r w:rsidRPr="0053555E">
              <w:rPr>
                <w:rFonts w:cs="Arial"/>
                <w:sz w:val="22"/>
                <w:szCs w:val="20"/>
              </w:rPr>
              <w:t>2 009</w:t>
            </w:r>
          </w:p>
        </w:tc>
        <w:tc>
          <w:tcPr>
            <w:tcW w:w="921" w:type="dxa"/>
            <w:shd w:val="clear" w:color="auto" w:fill="EEECE1" w:themeFill="background2"/>
            <w:noWrap/>
            <w:vAlign w:val="bottom"/>
            <w:hideMark/>
          </w:tcPr>
          <w:p w14:paraId="06F3FA8E" w14:textId="48C3A1CE" w:rsidR="00B33F4D" w:rsidRPr="0053555E" w:rsidRDefault="00B33F4D" w:rsidP="00B33F4D">
            <w:pPr>
              <w:jc w:val="center"/>
              <w:rPr>
                <w:rFonts w:asciiTheme="majorHAnsi" w:hAnsiTheme="majorHAnsi" w:cstheme="majorHAnsi"/>
                <w:b/>
                <w:sz w:val="22"/>
                <w:szCs w:val="20"/>
              </w:rPr>
            </w:pPr>
            <w:r w:rsidRPr="0053555E">
              <w:rPr>
                <w:rFonts w:cs="Arial"/>
                <w:sz w:val="22"/>
                <w:szCs w:val="20"/>
              </w:rPr>
              <w:t>58,91 %</w:t>
            </w:r>
          </w:p>
        </w:tc>
        <w:tc>
          <w:tcPr>
            <w:tcW w:w="780" w:type="dxa"/>
            <w:shd w:val="clear" w:color="auto" w:fill="auto"/>
            <w:noWrap/>
            <w:vAlign w:val="bottom"/>
            <w:hideMark/>
          </w:tcPr>
          <w:p w14:paraId="58DFC56B" w14:textId="00C3115F" w:rsidR="00B33F4D" w:rsidRPr="0053555E" w:rsidRDefault="00B33F4D" w:rsidP="00B33F4D">
            <w:pPr>
              <w:jc w:val="center"/>
              <w:rPr>
                <w:rFonts w:asciiTheme="majorHAnsi" w:hAnsiTheme="majorHAnsi" w:cstheme="majorHAnsi"/>
                <w:sz w:val="22"/>
                <w:szCs w:val="20"/>
              </w:rPr>
            </w:pPr>
            <w:r w:rsidRPr="0053555E">
              <w:rPr>
                <w:rFonts w:cs="Arial"/>
                <w:sz w:val="22"/>
                <w:szCs w:val="20"/>
              </w:rPr>
              <w:t>132</w:t>
            </w:r>
          </w:p>
        </w:tc>
        <w:tc>
          <w:tcPr>
            <w:tcW w:w="885" w:type="dxa"/>
            <w:shd w:val="clear" w:color="auto" w:fill="EEECE1" w:themeFill="background2"/>
            <w:noWrap/>
            <w:vAlign w:val="bottom"/>
            <w:hideMark/>
          </w:tcPr>
          <w:p w14:paraId="1BA57DAE" w14:textId="02890AE1" w:rsidR="00B33F4D" w:rsidRPr="0053555E" w:rsidRDefault="00B33F4D" w:rsidP="00B33F4D">
            <w:pPr>
              <w:jc w:val="center"/>
              <w:rPr>
                <w:rFonts w:asciiTheme="majorHAnsi" w:hAnsiTheme="majorHAnsi" w:cstheme="majorHAnsi"/>
                <w:b/>
                <w:sz w:val="22"/>
                <w:szCs w:val="20"/>
              </w:rPr>
            </w:pPr>
            <w:r w:rsidRPr="0053555E">
              <w:rPr>
                <w:rFonts w:cs="Arial"/>
                <w:sz w:val="22"/>
                <w:szCs w:val="20"/>
              </w:rPr>
              <w:t>3,87 %</w:t>
            </w:r>
          </w:p>
        </w:tc>
        <w:tc>
          <w:tcPr>
            <w:tcW w:w="816" w:type="dxa"/>
            <w:shd w:val="clear" w:color="auto" w:fill="auto"/>
            <w:noWrap/>
            <w:vAlign w:val="bottom"/>
            <w:hideMark/>
          </w:tcPr>
          <w:p w14:paraId="36D32D97" w14:textId="14CAD504" w:rsidR="00B33F4D" w:rsidRPr="0053555E" w:rsidRDefault="00B33F4D" w:rsidP="00B33F4D">
            <w:pPr>
              <w:jc w:val="center"/>
              <w:rPr>
                <w:rFonts w:asciiTheme="majorHAnsi" w:hAnsiTheme="majorHAnsi" w:cstheme="majorHAnsi"/>
                <w:sz w:val="22"/>
                <w:szCs w:val="20"/>
              </w:rPr>
            </w:pPr>
            <w:r w:rsidRPr="0053555E">
              <w:rPr>
                <w:rFonts w:cs="Arial"/>
                <w:sz w:val="22"/>
                <w:szCs w:val="20"/>
              </w:rPr>
              <w:t>2</w:t>
            </w:r>
          </w:p>
        </w:tc>
        <w:tc>
          <w:tcPr>
            <w:tcW w:w="850" w:type="dxa"/>
            <w:shd w:val="clear" w:color="auto" w:fill="EEECE1" w:themeFill="background2"/>
            <w:noWrap/>
            <w:vAlign w:val="bottom"/>
            <w:hideMark/>
          </w:tcPr>
          <w:p w14:paraId="5E88C83B" w14:textId="39FE7AFE" w:rsidR="00B33F4D" w:rsidRPr="0053555E" w:rsidRDefault="00B33F4D" w:rsidP="00B33F4D">
            <w:pPr>
              <w:jc w:val="center"/>
              <w:rPr>
                <w:rFonts w:asciiTheme="majorHAnsi" w:hAnsiTheme="majorHAnsi" w:cstheme="majorHAnsi"/>
                <w:b/>
                <w:sz w:val="22"/>
                <w:szCs w:val="20"/>
              </w:rPr>
            </w:pPr>
            <w:r w:rsidRPr="0053555E">
              <w:rPr>
                <w:rFonts w:cs="Arial"/>
                <w:sz w:val="22"/>
                <w:szCs w:val="20"/>
              </w:rPr>
              <w:t>0,06 %</w:t>
            </w:r>
          </w:p>
        </w:tc>
      </w:tr>
      <w:tr w:rsidR="00B33F4D" w:rsidRPr="0053555E" w14:paraId="74F82D91" w14:textId="77777777" w:rsidTr="001403D5">
        <w:trPr>
          <w:trHeight w:val="227"/>
        </w:trPr>
        <w:tc>
          <w:tcPr>
            <w:tcW w:w="1120" w:type="dxa"/>
            <w:shd w:val="clear" w:color="auto" w:fill="auto"/>
            <w:noWrap/>
            <w:vAlign w:val="bottom"/>
            <w:hideMark/>
          </w:tcPr>
          <w:p w14:paraId="1745E45D" w14:textId="54BA6DA3" w:rsidR="00B33F4D" w:rsidRPr="0053555E" w:rsidRDefault="00B33F4D" w:rsidP="00B33F4D">
            <w:pPr>
              <w:jc w:val="center"/>
              <w:rPr>
                <w:rFonts w:asciiTheme="majorHAnsi" w:hAnsiTheme="majorHAnsi" w:cstheme="majorHAnsi"/>
                <w:sz w:val="22"/>
                <w:szCs w:val="20"/>
              </w:rPr>
            </w:pPr>
            <w:r w:rsidRPr="0053555E">
              <w:rPr>
                <w:rFonts w:cs="Arial"/>
                <w:sz w:val="22"/>
                <w:szCs w:val="20"/>
              </w:rPr>
              <w:t>2017/2018</w:t>
            </w:r>
          </w:p>
        </w:tc>
        <w:tc>
          <w:tcPr>
            <w:tcW w:w="1225" w:type="dxa"/>
            <w:shd w:val="clear" w:color="auto" w:fill="auto"/>
            <w:vAlign w:val="bottom"/>
            <w:hideMark/>
          </w:tcPr>
          <w:p w14:paraId="6F567F0D" w14:textId="7ABA593D" w:rsidR="00B33F4D" w:rsidRPr="0053555E" w:rsidRDefault="00B33F4D" w:rsidP="00B33F4D">
            <w:pPr>
              <w:jc w:val="center"/>
              <w:rPr>
                <w:rFonts w:asciiTheme="majorHAnsi" w:hAnsiTheme="majorHAnsi" w:cstheme="majorHAnsi"/>
                <w:sz w:val="22"/>
                <w:szCs w:val="20"/>
              </w:rPr>
            </w:pPr>
            <w:r w:rsidRPr="0053555E">
              <w:rPr>
                <w:rFonts w:cs="Arial"/>
                <w:sz w:val="22"/>
                <w:szCs w:val="20"/>
              </w:rPr>
              <w:t>3 357</w:t>
            </w:r>
          </w:p>
        </w:tc>
        <w:tc>
          <w:tcPr>
            <w:tcW w:w="709" w:type="dxa"/>
            <w:shd w:val="clear" w:color="auto" w:fill="auto"/>
            <w:vAlign w:val="bottom"/>
            <w:hideMark/>
          </w:tcPr>
          <w:p w14:paraId="6455098F" w14:textId="129F753E" w:rsidR="00B33F4D" w:rsidRPr="0053555E" w:rsidRDefault="00B33F4D" w:rsidP="00B33F4D">
            <w:pPr>
              <w:jc w:val="center"/>
              <w:rPr>
                <w:rFonts w:asciiTheme="majorHAnsi" w:hAnsiTheme="majorHAnsi" w:cstheme="majorHAnsi"/>
                <w:sz w:val="22"/>
                <w:szCs w:val="20"/>
              </w:rPr>
            </w:pPr>
            <w:r w:rsidRPr="0053555E">
              <w:rPr>
                <w:rFonts w:cs="Arial"/>
                <w:sz w:val="22"/>
                <w:szCs w:val="20"/>
              </w:rPr>
              <w:t>1 277</w:t>
            </w:r>
          </w:p>
        </w:tc>
        <w:tc>
          <w:tcPr>
            <w:tcW w:w="956" w:type="dxa"/>
            <w:shd w:val="clear" w:color="auto" w:fill="EEECE1" w:themeFill="background2"/>
            <w:noWrap/>
            <w:vAlign w:val="bottom"/>
            <w:hideMark/>
          </w:tcPr>
          <w:p w14:paraId="2D5CAC42" w14:textId="02C9D9F6" w:rsidR="00B33F4D" w:rsidRPr="0053555E" w:rsidRDefault="00B33F4D" w:rsidP="00B33F4D">
            <w:pPr>
              <w:jc w:val="center"/>
              <w:rPr>
                <w:rFonts w:asciiTheme="majorHAnsi" w:hAnsiTheme="majorHAnsi" w:cstheme="majorHAnsi"/>
                <w:b/>
                <w:sz w:val="22"/>
                <w:szCs w:val="20"/>
              </w:rPr>
            </w:pPr>
            <w:r w:rsidRPr="0053555E">
              <w:rPr>
                <w:rFonts w:cs="Arial"/>
                <w:sz w:val="22"/>
                <w:szCs w:val="20"/>
              </w:rPr>
              <w:t>38,04 %</w:t>
            </w:r>
          </w:p>
        </w:tc>
        <w:tc>
          <w:tcPr>
            <w:tcW w:w="745" w:type="dxa"/>
            <w:shd w:val="clear" w:color="auto" w:fill="auto"/>
            <w:noWrap/>
            <w:vAlign w:val="bottom"/>
            <w:hideMark/>
          </w:tcPr>
          <w:p w14:paraId="57493CBD" w14:textId="03E8108A" w:rsidR="00B33F4D" w:rsidRPr="0053555E" w:rsidRDefault="00B33F4D" w:rsidP="00B33F4D">
            <w:pPr>
              <w:jc w:val="center"/>
              <w:rPr>
                <w:rFonts w:asciiTheme="majorHAnsi" w:hAnsiTheme="majorHAnsi" w:cstheme="majorHAnsi"/>
                <w:sz w:val="22"/>
                <w:szCs w:val="20"/>
              </w:rPr>
            </w:pPr>
            <w:r w:rsidRPr="0053555E">
              <w:rPr>
                <w:rFonts w:cs="Arial"/>
                <w:sz w:val="22"/>
                <w:szCs w:val="20"/>
              </w:rPr>
              <w:t>1 951</w:t>
            </w:r>
          </w:p>
        </w:tc>
        <w:tc>
          <w:tcPr>
            <w:tcW w:w="921" w:type="dxa"/>
            <w:shd w:val="clear" w:color="auto" w:fill="EEECE1" w:themeFill="background2"/>
            <w:noWrap/>
            <w:vAlign w:val="bottom"/>
            <w:hideMark/>
          </w:tcPr>
          <w:p w14:paraId="2FABF38E" w14:textId="142333A8" w:rsidR="00B33F4D" w:rsidRPr="0053555E" w:rsidRDefault="00B33F4D" w:rsidP="00B33F4D">
            <w:pPr>
              <w:jc w:val="center"/>
              <w:rPr>
                <w:rFonts w:asciiTheme="majorHAnsi" w:hAnsiTheme="majorHAnsi" w:cstheme="majorHAnsi"/>
                <w:b/>
                <w:sz w:val="22"/>
                <w:szCs w:val="20"/>
              </w:rPr>
            </w:pPr>
            <w:r w:rsidRPr="0053555E">
              <w:rPr>
                <w:rFonts w:cs="Arial"/>
                <w:sz w:val="22"/>
                <w:szCs w:val="20"/>
              </w:rPr>
              <w:t>58,12 %</w:t>
            </w:r>
          </w:p>
        </w:tc>
        <w:tc>
          <w:tcPr>
            <w:tcW w:w="780" w:type="dxa"/>
            <w:shd w:val="clear" w:color="auto" w:fill="auto"/>
            <w:noWrap/>
            <w:vAlign w:val="bottom"/>
            <w:hideMark/>
          </w:tcPr>
          <w:p w14:paraId="72AB60B4" w14:textId="28239183" w:rsidR="00B33F4D" w:rsidRPr="0053555E" w:rsidRDefault="00B33F4D" w:rsidP="00B33F4D">
            <w:pPr>
              <w:jc w:val="center"/>
              <w:rPr>
                <w:rFonts w:asciiTheme="majorHAnsi" w:hAnsiTheme="majorHAnsi" w:cstheme="majorHAnsi"/>
                <w:sz w:val="22"/>
                <w:szCs w:val="20"/>
              </w:rPr>
            </w:pPr>
            <w:r w:rsidRPr="0053555E">
              <w:rPr>
                <w:rFonts w:cs="Arial"/>
                <w:sz w:val="22"/>
                <w:szCs w:val="20"/>
              </w:rPr>
              <w:t>125</w:t>
            </w:r>
          </w:p>
        </w:tc>
        <w:tc>
          <w:tcPr>
            <w:tcW w:w="885" w:type="dxa"/>
            <w:shd w:val="clear" w:color="auto" w:fill="EEECE1" w:themeFill="background2"/>
            <w:noWrap/>
            <w:vAlign w:val="bottom"/>
            <w:hideMark/>
          </w:tcPr>
          <w:p w14:paraId="33A9DC97" w14:textId="5E731933" w:rsidR="00B33F4D" w:rsidRPr="0053555E" w:rsidRDefault="00B33F4D" w:rsidP="00B33F4D">
            <w:pPr>
              <w:jc w:val="center"/>
              <w:rPr>
                <w:rFonts w:asciiTheme="majorHAnsi" w:hAnsiTheme="majorHAnsi" w:cstheme="majorHAnsi"/>
                <w:b/>
                <w:sz w:val="22"/>
                <w:szCs w:val="20"/>
              </w:rPr>
            </w:pPr>
            <w:r w:rsidRPr="0053555E">
              <w:rPr>
                <w:rFonts w:cs="Arial"/>
                <w:sz w:val="22"/>
                <w:szCs w:val="20"/>
              </w:rPr>
              <w:t>3,72 %</w:t>
            </w:r>
          </w:p>
        </w:tc>
        <w:tc>
          <w:tcPr>
            <w:tcW w:w="816" w:type="dxa"/>
            <w:shd w:val="clear" w:color="auto" w:fill="auto"/>
            <w:noWrap/>
            <w:vAlign w:val="bottom"/>
            <w:hideMark/>
          </w:tcPr>
          <w:p w14:paraId="168068CC" w14:textId="077CA1F4" w:rsidR="00B33F4D" w:rsidRPr="0053555E" w:rsidRDefault="00B33F4D" w:rsidP="00B33F4D">
            <w:pPr>
              <w:jc w:val="center"/>
              <w:rPr>
                <w:rFonts w:asciiTheme="majorHAnsi" w:hAnsiTheme="majorHAnsi" w:cstheme="majorHAnsi"/>
                <w:sz w:val="22"/>
                <w:szCs w:val="20"/>
              </w:rPr>
            </w:pPr>
            <w:r w:rsidRPr="0053555E">
              <w:rPr>
                <w:rFonts w:cs="Arial"/>
                <w:sz w:val="22"/>
                <w:szCs w:val="20"/>
              </w:rPr>
              <w:t>4</w:t>
            </w:r>
          </w:p>
        </w:tc>
        <w:tc>
          <w:tcPr>
            <w:tcW w:w="850" w:type="dxa"/>
            <w:shd w:val="clear" w:color="auto" w:fill="EEECE1" w:themeFill="background2"/>
            <w:noWrap/>
            <w:vAlign w:val="bottom"/>
            <w:hideMark/>
          </w:tcPr>
          <w:p w14:paraId="574108B7" w14:textId="72C12269" w:rsidR="00B33F4D" w:rsidRPr="0053555E" w:rsidRDefault="00B33F4D" w:rsidP="00B33F4D">
            <w:pPr>
              <w:jc w:val="center"/>
              <w:rPr>
                <w:rFonts w:asciiTheme="majorHAnsi" w:hAnsiTheme="majorHAnsi" w:cstheme="majorHAnsi"/>
                <w:b/>
                <w:sz w:val="22"/>
                <w:szCs w:val="20"/>
              </w:rPr>
            </w:pPr>
            <w:r w:rsidRPr="0053555E">
              <w:rPr>
                <w:rFonts w:cs="Arial"/>
                <w:sz w:val="22"/>
                <w:szCs w:val="20"/>
              </w:rPr>
              <w:t>0,12 %</w:t>
            </w:r>
          </w:p>
        </w:tc>
      </w:tr>
      <w:tr w:rsidR="00B33F4D" w:rsidRPr="0053555E" w14:paraId="052A879D" w14:textId="77777777" w:rsidTr="001403D5">
        <w:trPr>
          <w:trHeight w:val="227"/>
        </w:trPr>
        <w:tc>
          <w:tcPr>
            <w:tcW w:w="1120" w:type="dxa"/>
            <w:shd w:val="clear" w:color="auto" w:fill="auto"/>
            <w:noWrap/>
            <w:vAlign w:val="bottom"/>
            <w:hideMark/>
          </w:tcPr>
          <w:p w14:paraId="6FF912C0" w14:textId="62924A54" w:rsidR="00B33F4D" w:rsidRPr="0053555E" w:rsidRDefault="00B33F4D" w:rsidP="00B33F4D">
            <w:pPr>
              <w:jc w:val="center"/>
              <w:rPr>
                <w:rFonts w:asciiTheme="majorHAnsi" w:hAnsiTheme="majorHAnsi" w:cstheme="majorHAnsi"/>
                <w:sz w:val="22"/>
                <w:szCs w:val="20"/>
              </w:rPr>
            </w:pPr>
            <w:r w:rsidRPr="0053555E">
              <w:rPr>
                <w:rFonts w:cs="Arial"/>
                <w:sz w:val="22"/>
                <w:szCs w:val="20"/>
              </w:rPr>
              <w:t>2018/2019</w:t>
            </w:r>
          </w:p>
        </w:tc>
        <w:tc>
          <w:tcPr>
            <w:tcW w:w="1225" w:type="dxa"/>
            <w:shd w:val="clear" w:color="auto" w:fill="auto"/>
            <w:vAlign w:val="bottom"/>
            <w:hideMark/>
          </w:tcPr>
          <w:p w14:paraId="4151525A" w14:textId="56E62E2D" w:rsidR="00B33F4D" w:rsidRPr="0053555E" w:rsidRDefault="00B33F4D" w:rsidP="00B33F4D">
            <w:pPr>
              <w:jc w:val="center"/>
              <w:rPr>
                <w:rFonts w:asciiTheme="majorHAnsi" w:hAnsiTheme="majorHAnsi" w:cstheme="majorHAnsi"/>
                <w:sz w:val="22"/>
                <w:szCs w:val="20"/>
              </w:rPr>
            </w:pPr>
            <w:r w:rsidRPr="0053555E">
              <w:rPr>
                <w:rFonts w:cs="Arial"/>
                <w:sz w:val="22"/>
                <w:szCs w:val="20"/>
              </w:rPr>
              <w:t>3 562</w:t>
            </w:r>
          </w:p>
        </w:tc>
        <w:tc>
          <w:tcPr>
            <w:tcW w:w="709" w:type="dxa"/>
            <w:shd w:val="clear" w:color="auto" w:fill="auto"/>
            <w:vAlign w:val="bottom"/>
            <w:hideMark/>
          </w:tcPr>
          <w:p w14:paraId="67D1113F" w14:textId="57D10955" w:rsidR="00B33F4D" w:rsidRPr="0053555E" w:rsidRDefault="00B33F4D" w:rsidP="00B33F4D">
            <w:pPr>
              <w:jc w:val="center"/>
              <w:rPr>
                <w:rFonts w:asciiTheme="majorHAnsi" w:hAnsiTheme="majorHAnsi" w:cstheme="majorHAnsi"/>
                <w:sz w:val="22"/>
                <w:szCs w:val="20"/>
              </w:rPr>
            </w:pPr>
            <w:r w:rsidRPr="0053555E">
              <w:rPr>
                <w:rFonts w:cs="Arial"/>
                <w:sz w:val="22"/>
                <w:szCs w:val="20"/>
              </w:rPr>
              <w:t>1 413</w:t>
            </w:r>
          </w:p>
        </w:tc>
        <w:tc>
          <w:tcPr>
            <w:tcW w:w="956" w:type="dxa"/>
            <w:shd w:val="clear" w:color="auto" w:fill="EEECE1" w:themeFill="background2"/>
            <w:noWrap/>
            <w:vAlign w:val="bottom"/>
            <w:hideMark/>
          </w:tcPr>
          <w:p w14:paraId="5A8F93D3" w14:textId="14BB56DC" w:rsidR="00B33F4D" w:rsidRPr="0053555E" w:rsidRDefault="00B33F4D" w:rsidP="00B33F4D">
            <w:pPr>
              <w:jc w:val="center"/>
              <w:rPr>
                <w:rFonts w:asciiTheme="majorHAnsi" w:hAnsiTheme="majorHAnsi" w:cstheme="majorHAnsi"/>
                <w:b/>
                <w:sz w:val="22"/>
                <w:szCs w:val="20"/>
              </w:rPr>
            </w:pPr>
            <w:r w:rsidRPr="0053555E">
              <w:rPr>
                <w:rFonts w:cs="Arial"/>
                <w:sz w:val="22"/>
                <w:szCs w:val="20"/>
              </w:rPr>
              <w:t>39,67 %</w:t>
            </w:r>
          </w:p>
        </w:tc>
        <w:tc>
          <w:tcPr>
            <w:tcW w:w="745" w:type="dxa"/>
            <w:shd w:val="clear" w:color="auto" w:fill="auto"/>
            <w:noWrap/>
            <w:vAlign w:val="bottom"/>
            <w:hideMark/>
          </w:tcPr>
          <w:p w14:paraId="5126DBBF" w14:textId="5B797A07" w:rsidR="00B33F4D" w:rsidRPr="0053555E" w:rsidRDefault="00B33F4D" w:rsidP="00B33F4D">
            <w:pPr>
              <w:jc w:val="center"/>
              <w:rPr>
                <w:rFonts w:asciiTheme="majorHAnsi" w:hAnsiTheme="majorHAnsi" w:cstheme="majorHAnsi"/>
                <w:sz w:val="22"/>
                <w:szCs w:val="20"/>
              </w:rPr>
            </w:pPr>
            <w:r w:rsidRPr="0053555E">
              <w:rPr>
                <w:rFonts w:cs="Arial"/>
                <w:sz w:val="22"/>
                <w:szCs w:val="20"/>
              </w:rPr>
              <w:t>1 831</w:t>
            </w:r>
          </w:p>
        </w:tc>
        <w:tc>
          <w:tcPr>
            <w:tcW w:w="921" w:type="dxa"/>
            <w:shd w:val="clear" w:color="auto" w:fill="EEECE1" w:themeFill="background2"/>
            <w:noWrap/>
            <w:vAlign w:val="bottom"/>
            <w:hideMark/>
          </w:tcPr>
          <w:p w14:paraId="5AC8FCE9" w14:textId="25816303" w:rsidR="00B33F4D" w:rsidRPr="0053555E" w:rsidRDefault="00B33F4D" w:rsidP="00B33F4D">
            <w:pPr>
              <w:jc w:val="center"/>
              <w:rPr>
                <w:rFonts w:asciiTheme="majorHAnsi" w:hAnsiTheme="majorHAnsi" w:cstheme="majorHAnsi"/>
                <w:b/>
                <w:sz w:val="22"/>
                <w:szCs w:val="20"/>
              </w:rPr>
            </w:pPr>
            <w:r w:rsidRPr="0053555E">
              <w:rPr>
                <w:rFonts w:cs="Arial"/>
                <w:sz w:val="22"/>
                <w:szCs w:val="20"/>
              </w:rPr>
              <w:t>51,40 %</w:t>
            </w:r>
          </w:p>
        </w:tc>
        <w:tc>
          <w:tcPr>
            <w:tcW w:w="780" w:type="dxa"/>
            <w:shd w:val="clear" w:color="auto" w:fill="auto"/>
            <w:noWrap/>
            <w:vAlign w:val="bottom"/>
            <w:hideMark/>
          </w:tcPr>
          <w:p w14:paraId="6B9B5E45" w14:textId="6FEE741C" w:rsidR="00B33F4D" w:rsidRPr="0053555E" w:rsidRDefault="00B33F4D" w:rsidP="00B33F4D">
            <w:pPr>
              <w:jc w:val="center"/>
              <w:rPr>
                <w:rFonts w:asciiTheme="majorHAnsi" w:hAnsiTheme="majorHAnsi" w:cstheme="majorHAnsi"/>
                <w:sz w:val="22"/>
                <w:szCs w:val="20"/>
              </w:rPr>
            </w:pPr>
            <w:r w:rsidRPr="0053555E">
              <w:rPr>
                <w:rFonts w:cs="Arial"/>
                <w:sz w:val="22"/>
                <w:szCs w:val="20"/>
              </w:rPr>
              <w:t>226</w:t>
            </w:r>
          </w:p>
        </w:tc>
        <w:tc>
          <w:tcPr>
            <w:tcW w:w="885" w:type="dxa"/>
            <w:shd w:val="clear" w:color="auto" w:fill="EEECE1" w:themeFill="background2"/>
            <w:noWrap/>
            <w:vAlign w:val="bottom"/>
            <w:hideMark/>
          </w:tcPr>
          <w:p w14:paraId="427C5EEC" w14:textId="45BB0D6E" w:rsidR="00B33F4D" w:rsidRPr="0053555E" w:rsidRDefault="00B33F4D" w:rsidP="00B33F4D">
            <w:pPr>
              <w:jc w:val="center"/>
              <w:rPr>
                <w:rFonts w:asciiTheme="majorHAnsi" w:hAnsiTheme="majorHAnsi" w:cstheme="majorHAnsi"/>
                <w:b/>
                <w:sz w:val="22"/>
                <w:szCs w:val="20"/>
              </w:rPr>
            </w:pPr>
            <w:r w:rsidRPr="0053555E">
              <w:rPr>
                <w:rFonts w:cs="Arial"/>
                <w:sz w:val="22"/>
                <w:szCs w:val="20"/>
              </w:rPr>
              <w:t>6,3</w:t>
            </w:r>
            <w:r w:rsidR="00093924" w:rsidRPr="0053555E">
              <w:rPr>
                <w:rFonts w:cs="Arial"/>
                <w:sz w:val="22"/>
                <w:szCs w:val="20"/>
              </w:rPr>
              <w:t>5</w:t>
            </w:r>
            <w:r w:rsidRPr="0053555E">
              <w:rPr>
                <w:rFonts w:cs="Arial"/>
                <w:sz w:val="22"/>
                <w:szCs w:val="20"/>
              </w:rPr>
              <w:t>%</w:t>
            </w:r>
          </w:p>
        </w:tc>
        <w:tc>
          <w:tcPr>
            <w:tcW w:w="816" w:type="dxa"/>
            <w:shd w:val="clear" w:color="auto" w:fill="auto"/>
            <w:noWrap/>
            <w:vAlign w:val="bottom"/>
            <w:hideMark/>
          </w:tcPr>
          <w:p w14:paraId="38526644" w14:textId="3A3117F3" w:rsidR="00B33F4D" w:rsidRPr="0053555E" w:rsidRDefault="00B33F4D" w:rsidP="00B33F4D">
            <w:pPr>
              <w:jc w:val="center"/>
              <w:rPr>
                <w:rFonts w:asciiTheme="majorHAnsi" w:hAnsiTheme="majorHAnsi" w:cstheme="majorHAnsi"/>
                <w:sz w:val="22"/>
                <w:szCs w:val="20"/>
              </w:rPr>
            </w:pPr>
            <w:r w:rsidRPr="0053555E">
              <w:rPr>
                <w:rFonts w:cs="Arial"/>
                <w:sz w:val="22"/>
                <w:szCs w:val="20"/>
              </w:rPr>
              <w:t>92</w:t>
            </w:r>
          </w:p>
        </w:tc>
        <w:tc>
          <w:tcPr>
            <w:tcW w:w="850" w:type="dxa"/>
            <w:shd w:val="clear" w:color="auto" w:fill="EEECE1" w:themeFill="background2"/>
            <w:noWrap/>
            <w:vAlign w:val="bottom"/>
            <w:hideMark/>
          </w:tcPr>
          <w:p w14:paraId="4C2A1312" w14:textId="76520290" w:rsidR="00B33F4D" w:rsidRPr="0053555E" w:rsidRDefault="00B33F4D" w:rsidP="00B33F4D">
            <w:pPr>
              <w:jc w:val="center"/>
              <w:rPr>
                <w:rFonts w:asciiTheme="majorHAnsi" w:hAnsiTheme="majorHAnsi" w:cstheme="majorHAnsi"/>
                <w:b/>
                <w:sz w:val="22"/>
                <w:szCs w:val="20"/>
              </w:rPr>
            </w:pPr>
            <w:r w:rsidRPr="0053555E">
              <w:rPr>
                <w:rFonts w:cs="Arial"/>
                <w:sz w:val="22"/>
                <w:szCs w:val="20"/>
              </w:rPr>
              <w:t>2,58 %</w:t>
            </w:r>
          </w:p>
        </w:tc>
      </w:tr>
      <w:tr w:rsidR="00B33F4D" w:rsidRPr="0053555E" w14:paraId="0F18E709" w14:textId="77777777" w:rsidTr="001403D5">
        <w:trPr>
          <w:trHeight w:val="227"/>
        </w:trPr>
        <w:tc>
          <w:tcPr>
            <w:tcW w:w="1120" w:type="dxa"/>
            <w:shd w:val="clear" w:color="auto" w:fill="auto"/>
            <w:noWrap/>
            <w:vAlign w:val="bottom"/>
            <w:hideMark/>
          </w:tcPr>
          <w:p w14:paraId="4BA13EFE" w14:textId="6C1ABD73" w:rsidR="00B33F4D" w:rsidRPr="0053555E" w:rsidRDefault="00B33F4D" w:rsidP="00B33F4D">
            <w:pPr>
              <w:jc w:val="center"/>
              <w:rPr>
                <w:rFonts w:asciiTheme="majorHAnsi" w:hAnsiTheme="majorHAnsi" w:cstheme="majorHAnsi"/>
                <w:sz w:val="22"/>
                <w:szCs w:val="20"/>
              </w:rPr>
            </w:pPr>
            <w:r w:rsidRPr="0053555E">
              <w:rPr>
                <w:rFonts w:cs="Arial"/>
                <w:sz w:val="22"/>
                <w:szCs w:val="20"/>
              </w:rPr>
              <w:t>2019/2020</w:t>
            </w:r>
          </w:p>
        </w:tc>
        <w:tc>
          <w:tcPr>
            <w:tcW w:w="1225" w:type="dxa"/>
            <w:shd w:val="clear" w:color="auto" w:fill="auto"/>
            <w:vAlign w:val="bottom"/>
            <w:hideMark/>
          </w:tcPr>
          <w:p w14:paraId="03FA6F84" w14:textId="13B0C059" w:rsidR="00B33F4D" w:rsidRPr="0053555E" w:rsidRDefault="00B33F4D" w:rsidP="00B33F4D">
            <w:pPr>
              <w:jc w:val="center"/>
              <w:rPr>
                <w:rFonts w:asciiTheme="majorHAnsi" w:hAnsiTheme="majorHAnsi" w:cstheme="majorHAnsi"/>
                <w:sz w:val="22"/>
                <w:szCs w:val="20"/>
              </w:rPr>
            </w:pPr>
            <w:r w:rsidRPr="0053555E">
              <w:rPr>
                <w:rFonts w:cs="Arial"/>
                <w:sz w:val="22"/>
                <w:szCs w:val="20"/>
              </w:rPr>
              <w:t>3 532</w:t>
            </w:r>
          </w:p>
        </w:tc>
        <w:tc>
          <w:tcPr>
            <w:tcW w:w="709" w:type="dxa"/>
            <w:shd w:val="clear" w:color="auto" w:fill="auto"/>
            <w:vAlign w:val="bottom"/>
            <w:hideMark/>
          </w:tcPr>
          <w:p w14:paraId="3994DB3E" w14:textId="049D7A74" w:rsidR="00B33F4D" w:rsidRPr="0053555E" w:rsidRDefault="00B33F4D" w:rsidP="00B33F4D">
            <w:pPr>
              <w:jc w:val="center"/>
              <w:rPr>
                <w:rFonts w:asciiTheme="majorHAnsi" w:hAnsiTheme="majorHAnsi" w:cstheme="majorHAnsi"/>
                <w:sz w:val="22"/>
                <w:szCs w:val="20"/>
              </w:rPr>
            </w:pPr>
            <w:r w:rsidRPr="0053555E">
              <w:rPr>
                <w:rFonts w:cs="Arial"/>
                <w:sz w:val="22"/>
                <w:szCs w:val="20"/>
              </w:rPr>
              <w:t>994</w:t>
            </w:r>
          </w:p>
        </w:tc>
        <w:tc>
          <w:tcPr>
            <w:tcW w:w="956" w:type="dxa"/>
            <w:shd w:val="clear" w:color="auto" w:fill="EEECE1" w:themeFill="background2"/>
            <w:noWrap/>
            <w:vAlign w:val="bottom"/>
            <w:hideMark/>
          </w:tcPr>
          <w:p w14:paraId="1EABAD85" w14:textId="71FFFB01" w:rsidR="00B33F4D" w:rsidRPr="0053555E" w:rsidRDefault="00B33F4D" w:rsidP="00B33F4D">
            <w:pPr>
              <w:jc w:val="center"/>
              <w:rPr>
                <w:rFonts w:asciiTheme="majorHAnsi" w:hAnsiTheme="majorHAnsi" w:cstheme="majorHAnsi"/>
                <w:b/>
                <w:sz w:val="22"/>
                <w:szCs w:val="20"/>
              </w:rPr>
            </w:pPr>
            <w:r w:rsidRPr="0053555E">
              <w:rPr>
                <w:rFonts w:cs="Arial"/>
                <w:sz w:val="22"/>
                <w:szCs w:val="20"/>
              </w:rPr>
              <w:t>28,14 %</w:t>
            </w:r>
          </w:p>
        </w:tc>
        <w:tc>
          <w:tcPr>
            <w:tcW w:w="745" w:type="dxa"/>
            <w:shd w:val="clear" w:color="auto" w:fill="auto"/>
            <w:noWrap/>
            <w:vAlign w:val="bottom"/>
            <w:hideMark/>
          </w:tcPr>
          <w:p w14:paraId="3B2C928C" w14:textId="3550FDD1" w:rsidR="00B33F4D" w:rsidRPr="0053555E" w:rsidRDefault="00B33F4D" w:rsidP="00B33F4D">
            <w:pPr>
              <w:jc w:val="center"/>
              <w:rPr>
                <w:rFonts w:asciiTheme="majorHAnsi" w:hAnsiTheme="majorHAnsi" w:cstheme="majorHAnsi"/>
                <w:sz w:val="22"/>
                <w:szCs w:val="20"/>
              </w:rPr>
            </w:pPr>
            <w:r w:rsidRPr="0053555E">
              <w:rPr>
                <w:rFonts w:cs="Arial"/>
                <w:sz w:val="22"/>
                <w:szCs w:val="20"/>
              </w:rPr>
              <w:t>1 710</w:t>
            </w:r>
          </w:p>
        </w:tc>
        <w:tc>
          <w:tcPr>
            <w:tcW w:w="921" w:type="dxa"/>
            <w:shd w:val="clear" w:color="auto" w:fill="EEECE1" w:themeFill="background2"/>
            <w:noWrap/>
            <w:vAlign w:val="bottom"/>
            <w:hideMark/>
          </w:tcPr>
          <w:p w14:paraId="37FEC66C" w14:textId="5C7A0E0A" w:rsidR="00B33F4D" w:rsidRPr="0053555E" w:rsidRDefault="00B33F4D" w:rsidP="00B33F4D">
            <w:pPr>
              <w:jc w:val="center"/>
              <w:rPr>
                <w:rFonts w:asciiTheme="majorHAnsi" w:hAnsiTheme="majorHAnsi" w:cstheme="majorHAnsi"/>
                <w:b/>
                <w:sz w:val="22"/>
                <w:szCs w:val="20"/>
              </w:rPr>
            </w:pPr>
            <w:r w:rsidRPr="0053555E">
              <w:rPr>
                <w:rFonts w:cs="Arial"/>
                <w:sz w:val="22"/>
                <w:szCs w:val="20"/>
              </w:rPr>
              <w:t>48,4</w:t>
            </w:r>
            <w:r w:rsidR="00093924" w:rsidRPr="0053555E">
              <w:rPr>
                <w:rFonts w:cs="Arial"/>
                <w:sz w:val="22"/>
                <w:szCs w:val="20"/>
              </w:rPr>
              <w:t>2</w:t>
            </w:r>
            <w:r w:rsidRPr="0053555E">
              <w:rPr>
                <w:rFonts w:cs="Arial"/>
                <w:sz w:val="22"/>
                <w:szCs w:val="20"/>
              </w:rPr>
              <w:t xml:space="preserve"> %</w:t>
            </w:r>
          </w:p>
        </w:tc>
        <w:tc>
          <w:tcPr>
            <w:tcW w:w="780" w:type="dxa"/>
            <w:shd w:val="clear" w:color="auto" w:fill="auto"/>
            <w:noWrap/>
            <w:vAlign w:val="bottom"/>
            <w:hideMark/>
          </w:tcPr>
          <w:p w14:paraId="440EF49A" w14:textId="2B811949" w:rsidR="00B33F4D" w:rsidRPr="0053555E" w:rsidRDefault="00B33F4D" w:rsidP="00B33F4D">
            <w:pPr>
              <w:jc w:val="center"/>
              <w:rPr>
                <w:rFonts w:asciiTheme="majorHAnsi" w:hAnsiTheme="majorHAnsi" w:cstheme="majorHAnsi"/>
                <w:sz w:val="22"/>
                <w:szCs w:val="20"/>
              </w:rPr>
            </w:pPr>
            <w:r w:rsidRPr="0053555E">
              <w:rPr>
                <w:rFonts w:cs="Arial"/>
                <w:sz w:val="22"/>
                <w:szCs w:val="20"/>
              </w:rPr>
              <w:t>230</w:t>
            </w:r>
          </w:p>
        </w:tc>
        <w:tc>
          <w:tcPr>
            <w:tcW w:w="885" w:type="dxa"/>
            <w:shd w:val="clear" w:color="auto" w:fill="EEECE1" w:themeFill="background2"/>
            <w:noWrap/>
            <w:vAlign w:val="bottom"/>
            <w:hideMark/>
          </w:tcPr>
          <w:p w14:paraId="0CCA89D8" w14:textId="49F6CD91" w:rsidR="00B33F4D" w:rsidRPr="0053555E" w:rsidRDefault="00B33F4D" w:rsidP="00B33F4D">
            <w:pPr>
              <w:jc w:val="center"/>
              <w:rPr>
                <w:rFonts w:asciiTheme="majorHAnsi" w:hAnsiTheme="majorHAnsi" w:cstheme="majorHAnsi"/>
                <w:b/>
                <w:sz w:val="22"/>
                <w:szCs w:val="20"/>
              </w:rPr>
            </w:pPr>
            <w:r w:rsidRPr="0053555E">
              <w:rPr>
                <w:rFonts w:cs="Arial"/>
                <w:sz w:val="22"/>
                <w:szCs w:val="20"/>
              </w:rPr>
              <w:t>6,51 %</w:t>
            </w:r>
          </w:p>
        </w:tc>
        <w:tc>
          <w:tcPr>
            <w:tcW w:w="816" w:type="dxa"/>
            <w:shd w:val="clear" w:color="auto" w:fill="auto"/>
            <w:noWrap/>
            <w:vAlign w:val="bottom"/>
            <w:hideMark/>
          </w:tcPr>
          <w:p w14:paraId="5116EB66" w14:textId="01BF8FCB" w:rsidR="00B33F4D" w:rsidRPr="0053555E" w:rsidRDefault="00B33F4D" w:rsidP="00B33F4D">
            <w:pPr>
              <w:jc w:val="center"/>
              <w:rPr>
                <w:rFonts w:asciiTheme="majorHAnsi" w:hAnsiTheme="majorHAnsi" w:cstheme="majorHAnsi"/>
                <w:sz w:val="22"/>
                <w:szCs w:val="20"/>
              </w:rPr>
            </w:pPr>
            <w:r w:rsidRPr="0053555E">
              <w:rPr>
                <w:rFonts w:cs="Arial"/>
                <w:sz w:val="22"/>
                <w:szCs w:val="20"/>
              </w:rPr>
              <w:t>598</w:t>
            </w:r>
          </w:p>
        </w:tc>
        <w:tc>
          <w:tcPr>
            <w:tcW w:w="850" w:type="dxa"/>
            <w:shd w:val="clear" w:color="auto" w:fill="EEECE1" w:themeFill="background2"/>
            <w:noWrap/>
            <w:vAlign w:val="bottom"/>
            <w:hideMark/>
          </w:tcPr>
          <w:p w14:paraId="77519047" w14:textId="662EC791" w:rsidR="00B33F4D" w:rsidRPr="0053555E" w:rsidRDefault="00B33F4D" w:rsidP="00B33F4D">
            <w:pPr>
              <w:jc w:val="center"/>
              <w:rPr>
                <w:rFonts w:asciiTheme="majorHAnsi" w:hAnsiTheme="majorHAnsi" w:cstheme="majorHAnsi"/>
                <w:b/>
                <w:sz w:val="22"/>
                <w:szCs w:val="20"/>
              </w:rPr>
            </w:pPr>
            <w:r w:rsidRPr="0053555E">
              <w:rPr>
                <w:rFonts w:cs="Arial"/>
                <w:sz w:val="22"/>
                <w:szCs w:val="20"/>
              </w:rPr>
              <w:t>16,93 %</w:t>
            </w:r>
          </w:p>
        </w:tc>
      </w:tr>
      <w:tr w:rsidR="00B33F4D" w:rsidRPr="0053555E" w14:paraId="0F51D53E" w14:textId="77777777" w:rsidTr="001403D5">
        <w:trPr>
          <w:trHeight w:val="227"/>
        </w:trPr>
        <w:tc>
          <w:tcPr>
            <w:tcW w:w="1120" w:type="dxa"/>
            <w:tcBorders>
              <w:bottom w:val="single" w:sz="8" w:space="0" w:color="auto"/>
            </w:tcBorders>
            <w:shd w:val="clear" w:color="auto" w:fill="auto"/>
            <w:noWrap/>
            <w:vAlign w:val="bottom"/>
            <w:hideMark/>
          </w:tcPr>
          <w:p w14:paraId="496405D5" w14:textId="304F2CDB" w:rsidR="00B33F4D" w:rsidRPr="0053555E" w:rsidRDefault="00B33F4D" w:rsidP="00B33F4D">
            <w:pPr>
              <w:jc w:val="center"/>
              <w:rPr>
                <w:rFonts w:asciiTheme="majorHAnsi" w:hAnsiTheme="majorHAnsi" w:cstheme="majorHAnsi"/>
                <w:sz w:val="22"/>
                <w:szCs w:val="20"/>
              </w:rPr>
            </w:pPr>
            <w:r w:rsidRPr="0053555E">
              <w:rPr>
                <w:rFonts w:cs="Arial"/>
                <w:sz w:val="22"/>
                <w:szCs w:val="20"/>
              </w:rPr>
              <w:t>2020/2021</w:t>
            </w:r>
          </w:p>
        </w:tc>
        <w:tc>
          <w:tcPr>
            <w:tcW w:w="1225" w:type="dxa"/>
            <w:tcBorders>
              <w:bottom w:val="single" w:sz="8" w:space="0" w:color="auto"/>
            </w:tcBorders>
            <w:shd w:val="clear" w:color="auto" w:fill="auto"/>
            <w:vAlign w:val="bottom"/>
            <w:hideMark/>
          </w:tcPr>
          <w:p w14:paraId="1D4093BF" w14:textId="74D52717" w:rsidR="00B33F4D" w:rsidRPr="0053555E" w:rsidRDefault="00B33F4D" w:rsidP="00B33F4D">
            <w:pPr>
              <w:jc w:val="center"/>
              <w:rPr>
                <w:rFonts w:asciiTheme="majorHAnsi" w:hAnsiTheme="majorHAnsi" w:cstheme="majorHAnsi"/>
                <w:sz w:val="22"/>
                <w:szCs w:val="20"/>
              </w:rPr>
            </w:pPr>
            <w:r w:rsidRPr="0053555E">
              <w:rPr>
                <w:rFonts w:cs="Arial"/>
                <w:sz w:val="22"/>
                <w:szCs w:val="20"/>
              </w:rPr>
              <w:t>3 104</w:t>
            </w:r>
          </w:p>
        </w:tc>
        <w:tc>
          <w:tcPr>
            <w:tcW w:w="709" w:type="dxa"/>
            <w:tcBorders>
              <w:bottom w:val="single" w:sz="8" w:space="0" w:color="auto"/>
            </w:tcBorders>
            <w:shd w:val="clear" w:color="auto" w:fill="auto"/>
            <w:vAlign w:val="bottom"/>
            <w:hideMark/>
          </w:tcPr>
          <w:p w14:paraId="5170D848" w14:textId="11795C5B" w:rsidR="00B33F4D" w:rsidRPr="0053555E" w:rsidRDefault="00B33F4D" w:rsidP="00B33F4D">
            <w:pPr>
              <w:jc w:val="center"/>
              <w:rPr>
                <w:rFonts w:asciiTheme="majorHAnsi" w:hAnsiTheme="majorHAnsi" w:cstheme="majorHAnsi"/>
                <w:sz w:val="22"/>
                <w:szCs w:val="20"/>
              </w:rPr>
            </w:pPr>
            <w:r w:rsidRPr="0053555E">
              <w:rPr>
                <w:rFonts w:cs="Arial"/>
                <w:sz w:val="22"/>
                <w:szCs w:val="20"/>
              </w:rPr>
              <w:t>125</w:t>
            </w:r>
          </w:p>
        </w:tc>
        <w:tc>
          <w:tcPr>
            <w:tcW w:w="956" w:type="dxa"/>
            <w:tcBorders>
              <w:bottom w:val="single" w:sz="8" w:space="0" w:color="auto"/>
            </w:tcBorders>
            <w:shd w:val="clear" w:color="auto" w:fill="EEECE1" w:themeFill="background2"/>
            <w:noWrap/>
            <w:vAlign w:val="bottom"/>
            <w:hideMark/>
          </w:tcPr>
          <w:p w14:paraId="71263073" w14:textId="044D5858" w:rsidR="00B33F4D" w:rsidRPr="0053555E" w:rsidRDefault="00B33F4D" w:rsidP="00B33F4D">
            <w:pPr>
              <w:jc w:val="center"/>
              <w:rPr>
                <w:rFonts w:asciiTheme="majorHAnsi" w:hAnsiTheme="majorHAnsi" w:cstheme="majorHAnsi"/>
                <w:b/>
                <w:sz w:val="22"/>
                <w:szCs w:val="20"/>
              </w:rPr>
            </w:pPr>
            <w:r w:rsidRPr="0053555E">
              <w:rPr>
                <w:rFonts w:cs="Arial"/>
                <w:sz w:val="22"/>
                <w:szCs w:val="20"/>
              </w:rPr>
              <w:t>4,03 %</w:t>
            </w:r>
          </w:p>
        </w:tc>
        <w:tc>
          <w:tcPr>
            <w:tcW w:w="745" w:type="dxa"/>
            <w:tcBorders>
              <w:bottom w:val="single" w:sz="8" w:space="0" w:color="auto"/>
            </w:tcBorders>
            <w:shd w:val="clear" w:color="auto" w:fill="auto"/>
            <w:noWrap/>
            <w:vAlign w:val="bottom"/>
            <w:hideMark/>
          </w:tcPr>
          <w:p w14:paraId="611D9400" w14:textId="1155D3DB" w:rsidR="00B33F4D" w:rsidRPr="0053555E" w:rsidRDefault="00B33F4D" w:rsidP="00B33F4D">
            <w:pPr>
              <w:jc w:val="center"/>
              <w:rPr>
                <w:rFonts w:asciiTheme="majorHAnsi" w:hAnsiTheme="majorHAnsi" w:cstheme="majorHAnsi"/>
                <w:sz w:val="22"/>
                <w:szCs w:val="20"/>
              </w:rPr>
            </w:pPr>
            <w:r w:rsidRPr="0053555E">
              <w:rPr>
                <w:rFonts w:cs="Arial"/>
                <w:sz w:val="22"/>
                <w:szCs w:val="20"/>
              </w:rPr>
              <w:t>1 394</w:t>
            </w:r>
          </w:p>
        </w:tc>
        <w:tc>
          <w:tcPr>
            <w:tcW w:w="921" w:type="dxa"/>
            <w:tcBorders>
              <w:bottom w:val="single" w:sz="8" w:space="0" w:color="auto"/>
            </w:tcBorders>
            <w:shd w:val="clear" w:color="auto" w:fill="EEECE1" w:themeFill="background2"/>
            <w:noWrap/>
            <w:vAlign w:val="bottom"/>
            <w:hideMark/>
          </w:tcPr>
          <w:p w14:paraId="46C3B751" w14:textId="3D56FA81" w:rsidR="00B33F4D" w:rsidRPr="0053555E" w:rsidRDefault="00B33F4D" w:rsidP="00B33F4D">
            <w:pPr>
              <w:jc w:val="center"/>
              <w:rPr>
                <w:rFonts w:asciiTheme="majorHAnsi" w:hAnsiTheme="majorHAnsi" w:cstheme="majorHAnsi"/>
                <w:b/>
                <w:sz w:val="22"/>
                <w:szCs w:val="20"/>
              </w:rPr>
            </w:pPr>
            <w:r w:rsidRPr="0053555E">
              <w:rPr>
                <w:rFonts w:cs="Arial"/>
                <w:sz w:val="22"/>
                <w:szCs w:val="20"/>
              </w:rPr>
              <w:t>44,91 %</w:t>
            </w:r>
          </w:p>
        </w:tc>
        <w:tc>
          <w:tcPr>
            <w:tcW w:w="780" w:type="dxa"/>
            <w:tcBorders>
              <w:bottom w:val="single" w:sz="8" w:space="0" w:color="auto"/>
            </w:tcBorders>
            <w:shd w:val="clear" w:color="auto" w:fill="auto"/>
            <w:noWrap/>
            <w:vAlign w:val="bottom"/>
            <w:hideMark/>
          </w:tcPr>
          <w:p w14:paraId="5D5C66CE" w14:textId="5543EBF1" w:rsidR="00B33F4D" w:rsidRPr="0053555E" w:rsidRDefault="00B33F4D" w:rsidP="00B33F4D">
            <w:pPr>
              <w:jc w:val="center"/>
              <w:rPr>
                <w:rFonts w:asciiTheme="majorHAnsi" w:hAnsiTheme="majorHAnsi" w:cstheme="majorHAnsi"/>
                <w:sz w:val="22"/>
                <w:szCs w:val="20"/>
              </w:rPr>
            </w:pPr>
            <w:r w:rsidRPr="0053555E">
              <w:rPr>
                <w:rFonts w:cs="Arial"/>
                <w:sz w:val="22"/>
                <w:szCs w:val="20"/>
              </w:rPr>
              <w:t>152</w:t>
            </w:r>
          </w:p>
        </w:tc>
        <w:tc>
          <w:tcPr>
            <w:tcW w:w="885" w:type="dxa"/>
            <w:tcBorders>
              <w:bottom w:val="single" w:sz="8" w:space="0" w:color="auto"/>
            </w:tcBorders>
            <w:shd w:val="clear" w:color="auto" w:fill="EEECE1" w:themeFill="background2"/>
            <w:noWrap/>
            <w:vAlign w:val="bottom"/>
            <w:hideMark/>
          </w:tcPr>
          <w:p w14:paraId="3CE0D882" w14:textId="1C390E6B" w:rsidR="00B33F4D" w:rsidRPr="0053555E" w:rsidRDefault="00B33F4D" w:rsidP="00B33F4D">
            <w:pPr>
              <w:jc w:val="center"/>
              <w:rPr>
                <w:rFonts w:asciiTheme="majorHAnsi" w:hAnsiTheme="majorHAnsi" w:cstheme="majorHAnsi"/>
                <w:b/>
                <w:sz w:val="22"/>
                <w:szCs w:val="20"/>
              </w:rPr>
            </w:pPr>
            <w:r w:rsidRPr="0053555E">
              <w:rPr>
                <w:rFonts w:cs="Arial"/>
                <w:sz w:val="22"/>
                <w:szCs w:val="20"/>
              </w:rPr>
              <w:t>4,90 %</w:t>
            </w:r>
          </w:p>
        </w:tc>
        <w:tc>
          <w:tcPr>
            <w:tcW w:w="816" w:type="dxa"/>
            <w:tcBorders>
              <w:bottom w:val="single" w:sz="8" w:space="0" w:color="auto"/>
            </w:tcBorders>
            <w:shd w:val="clear" w:color="auto" w:fill="auto"/>
            <w:noWrap/>
            <w:vAlign w:val="bottom"/>
            <w:hideMark/>
          </w:tcPr>
          <w:p w14:paraId="18DECDBE" w14:textId="59E81887" w:rsidR="00B33F4D" w:rsidRPr="0053555E" w:rsidRDefault="00B33F4D" w:rsidP="00B33F4D">
            <w:pPr>
              <w:jc w:val="center"/>
              <w:rPr>
                <w:rFonts w:asciiTheme="majorHAnsi" w:hAnsiTheme="majorHAnsi" w:cstheme="majorHAnsi"/>
                <w:sz w:val="22"/>
                <w:szCs w:val="20"/>
              </w:rPr>
            </w:pPr>
            <w:r w:rsidRPr="0053555E">
              <w:rPr>
                <w:rFonts w:cs="Arial"/>
                <w:sz w:val="22"/>
                <w:szCs w:val="20"/>
              </w:rPr>
              <w:t>1 433</w:t>
            </w:r>
          </w:p>
        </w:tc>
        <w:tc>
          <w:tcPr>
            <w:tcW w:w="850" w:type="dxa"/>
            <w:tcBorders>
              <w:bottom w:val="single" w:sz="8" w:space="0" w:color="auto"/>
            </w:tcBorders>
            <w:shd w:val="clear" w:color="auto" w:fill="EEECE1" w:themeFill="background2"/>
            <w:noWrap/>
            <w:vAlign w:val="bottom"/>
            <w:hideMark/>
          </w:tcPr>
          <w:p w14:paraId="3687B5AF" w14:textId="3A6B89FE" w:rsidR="00B33F4D" w:rsidRPr="0053555E" w:rsidRDefault="00B33F4D" w:rsidP="00B33F4D">
            <w:pPr>
              <w:jc w:val="center"/>
              <w:rPr>
                <w:rFonts w:asciiTheme="majorHAnsi" w:hAnsiTheme="majorHAnsi" w:cstheme="majorHAnsi"/>
                <w:b/>
                <w:sz w:val="22"/>
                <w:szCs w:val="20"/>
              </w:rPr>
            </w:pPr>
            <w:r w:rsidRPr="0053555E">
              <w:rPr>
                <w:rFonts w:cs="Arial"/>
                <w:sz w:val="22"/>
                <w:szCs w:val="20"/>
              </w:rPr>
              <w:t>46,1</w:t>
            </w:r>
            <w:r w:rsidR="00093924" w:rsidRPr="0053555E">
              <w:rPr>
                <w:rFonts w:cs="Arial"/>
                <w:sz w:val="22"/>
                <w:szCs w:val="20"/>
              </w:rPr>
              <w:t>6</w:t>
            </w:r>
            <w:r w:rsidRPr="0053555E">
              <w:rPr>
                <w:rFonts w:cs="Arial"/>
                <w:sz w:val="22"/>
                <w:szCs w:val="20"/>
              </w:rPr>
              <w:t xml:space="preserve"> %</w:t>
            </w:r>
          </w:p>
        </w:tc>
      </w:tr>
      <w:tr w:rsidR="00B33F4D" w:rsidRPr="0053555E" w14:paraId="1705032A" w14:textId="77777777" w:rsidTr="001403D5">
        <w:trPr>
          <w:trHeight w:val="227"/>
        </w:trPr>
        <w:tc>
          <w:tcPr>
            <w:tcW w:w="1120" w:type="dxa"/>
            <w:tcBorders>
              <w:bottom w:val="single" w:sz="4" w:space="0" w:color="auto"/>
            </w:tcBorders>
            <w:shd w:val="clear" w:color="auto" w:fill="auto"/>
            <w:noWrap/>
            <w:vAlign w:val="bottom"/>
          </w:tcPr>
          <w:p w14:paraId="516E56C2" w14:textId="4C365AB0" w:rsidR="00B33F4D" w:rsidRPr="0053555E" w:rsidRDefault="00B33F4D" w:rsidP="00B33F4D">
            <w:pPr>
              <w:jc w:val="center"/>
              <w:rPr>
                <w:rFonts w:asciiTheme="majorHAnsi" w:hAnsiTheme="majorHAnsi" w:cstheme="majorHAnsi"/>
                <w:sz w:val="22"/>
                <w:szCs w:val="20"/>
              </w:rPr>
            </w:pPr>
            <w:r w:rsidRPr="0053555E">
              <w:rPr>
                <w:rFonts w:cs="Arial"/>
                <w:sz w:val="22"/>
                <w:szCs w:val="20"/>
              </w:rPr>
              <w:t>2021/2022</w:t>
            </w:r>
          </w:p>
        </w:tc>
        <w:tc>
          <w:tcPr>
            <w:tcW w:w="1225" w:type="dxa"/>
            <w:tcBorders>
              <w:bottom w:val="single" w:sz="4" w:space="0" w:color="auto"/>
            </w:tcBorders>
            <w:shd w:val="clear" w:color="auto" w:fill="auto"/>
            <w:vAlign w:val="bottom"/>
          </w:tcPr>
          <w:p w14:paraId="110322E7" w14:textId="681601EE" w:rsidR="00B33F4D" w:rsidRPr="0053555E" w:rsidRDefault="00B33F4D" w:rsidP="00B33F4D">
            <w:pPr>
              <w:jc w:val="center"/>
              <w:rPr>
                <w:rFonts w:asciiTheme="majorHAnsi" w:hAnsiTheme="majorHAnsi" w:cstheme="majorHAnsi"/>
                <w:sz w:val="22"/>
                <w:szCs w:val="20"/>
              </w:rPr>
            </w:pPr>
            <w:r w:rsidRPr="0053555E">
              <w:rPr>
                <w:rFonts w:cs="Arial"/>
                <w:sz w:val="22"/>
                <w:szCs w:val="20"/>
              </w:rPr>
              <w:t>3 116</w:t>
            </w:r>
          </w:p>
        </w:tc>
        <w:tc>
          <w:tcPr>
            <w:tcW w:w="709" w:type="dxa"/>
            <w:tcBorders>
              <w:bottom w:val="single" w:sz="4" w:space="0" w:color="auto"/>
            </w:tcBorders>
            <w:shd w:val="clear" w:color="auto" w:fill="auto"/>
            <w:vAlign w:val="bottom"/>
          </w:tcPr>
          <w:p w14:paraId="405EA3E7" w14:textId="6711D01B" w:rsidR="00B33F4D" w:rsidRPr="0053555E" w:rsidRDefault="00B33F4D" w:rsidP="00B33F4D">
            <w:pPr>
              <w:jc w:val="center"/>
              <w:rPr>
                <w:rFonts w:asciiTheme="majorHAnsi" w:hAnsiTheme="majorHAnsi" w:cstheme="majorHAnsi"/>
                <w:sz w:val="22"/>
                <w:szCs w:val="20"/>
              </w:rPr>
            </w:pPr>
            <w:r w:rsidRPr="0053555E">
              <w:rPr>
                <w:rFonts w:cs="Arial"/>
                <w:sz w:val="22"/>
                <w:szCs w:val="20"/>
              </w:rPr>
              <w:t>114</w:t>
            </w:r>
          </w:p>
        </w:tc>
        <w:tc>
          <w:tcPr>
            <w:tcW w:w="956" w:type="dxa"/>
            <w:tcBorders>
              <w:bottom w:val="single" w:sz="4" w:space="0" w:color="auto"/>
            </w:tcBorders>
            <w:shd w:val="clear" w:color="auto" w:fill="EEECE1" w:themeFill="background2"/>
            <w:noWrap/>
            <w:vAlign w:val="bottom"/>
          </w:tcPr>
          <w:p w14:paraId="09C2A04D" w14:textId="2642C891" w:rsidR="00B33F4D" w:rsidRPr="0053555E" w:rsidRDefault="00B33F4D" w:rsidP="00B33F4D">
            <w:pPr>
              <w:jc w:val="center"/>
              <w:rPr>
                <w:rFonts w:asciiTheme="majorHAnsi" w:hAnsiTheme="majorHAnsi" w:cstheme="majorHAnsi"/>
                <w:b/>
                <w:sz w:val="22"/>
                <w:szCs w:val="20"/>
              </w:rPr>
            </w:pPr>
            <w:r w:rsidRPr="0053555E">
              <w:rPr>
                <w:rFonts w:cs="Arial"/>
                <w:sz w:val="22"/>
                <w:szCs w:val="20"/>
              </w:rPr>
              <w:t>3,66 %</w:t>
            </w:r>
          </w:p>
        </w:tc>
        <w:tc>
          <w:tcPr>
            <w:tcW w:w="745" w:type="dxa"/>
            <w:tcBorders>
              <w:bottom w:val="single" w:sz="4" w:space="0" w:color="auto"/>
            </w:tcBorders>
            <w:shd w:val="clear" w:color="auto" w:fill="auto"/>
            <w:noWrap/>
            <w:vAlign w:val="bottom"/>
          </w:tcPr>
          <w:p w14:paraId="0A8C531D" w14:textId="5E18551D" w:rsidR="00B33F4D" w:rsidRPr="0053555E" w:rsidRDefault="00B33F4D" w:rsidP="00B33F4D">
            <w:pPr>
              <w:jc w:val="center"/>
              <w:rPr>
                <w:rFonts w:asciiTheme="majorHAnsi" w:hAnsiTheme="majorHAnsi" w:cstheme="majorHAnsi"/>
                <w:sz w:val="22"/>
                <w:szCs w:val="20"/>
              </w:rPr>
            </w:pPr>
            <w:r w:rsidRPr="0053555E">
              <w:rPr>
                <w:rFonts w:cs="Arial"/>
                <w:sz w:val="22"/>
                <w:szCs w:val="20"/>
              </w:rPr>
              <w:t>1 146</w:t>
            </w:r>
          </w:p>
        </w:tc>
        <w:tc>
          <w:tcPr>
            <w:tcW w:w="921" w:type="dxa"/>
            <w:tcBorders>
              <w:bottom w:val="single" w:sz="4" w:space="0" w:color="auto"/>
            </w:tcBorders>
            <w:shd w:val="clear" w:color="auto" w:fill="EEECE1" w:themeFill="background2"/>
            <w:noWrap/>
            <w:vAlign w:val="bottom"/>
          </w:tcPr>
          <w:p w14:paraId="445D284C" w14:textId="4CD5050C" w:rsidR="00B33F4D" w:rsidRPr="0053555E" w:rsidRDefault="00B33F4D" w:rsidP="00B33F4D">
            <w:pPr>
              <w:jc w:val="center"/>
              <w:rPr>
                <w:rFonts w:asciiTheme="majorHAnsi" w:hAnsiTheme="majorHAnsi" w:cstheme="majorHAnsi"/>
                <w:b/>
                <w:sz w:val="22"/>
                <w:szCs w:val="20"/>
              </w:rPr>
            </w:pPr>
            <w:r w:rsidRPr="0053555E">
              <w:rPr>
                <w:rFonts w:cs="Arial"/>
                <w:sz w:val="22"/>
                <w:szCs w:val="20"/>
              </w:rPr>
              <w:t>36,78 %</w:t>
            </w:r>
          </w:p>
        </w:tc>
        <w:tc>
          <w:tcPr>
            <w:tcW w:w="780" w:type="dxa"/>
            <w:tcBorders>
              <w:bottom w:val="single" w:sz="4" w:space="0" w:color="auto"/>
            </w:tcBorders>
            <w:shd w:val="clear" w:color="auto" w:fill="auto"/>
            <w:noWrap/>
            <w:vAlign w:val="bottom"/>
          </w:tcPr>
          <w:p w14:paraId="44DFBE41" w14:textId="3C0FC6A7" w:rsidR="00B33F4D" w:rsidRPr="0053555E" w:rsidRDefault="00B33F4D" w:rsidP="00B33F4D">
            <w:pPr>
              <w:jc w:val="center"/>
              <w:rPr>
                <w:rFonts w:asciiTheme="majorHAnsi" w:hAnsiTheme="majorHAnsi" w:cstheme="majorHAnsi"/>
                <w:sz w:val="22"/>
                <w:szCs w:val="20"/>
              </w:rPr>
            </w:pPr>
            <w:r w:rsidRPr="0053555E">
              <w:rPr>
                <w:rFonts w:cs="Arial"/>
                <w:sz w:val="22"/>
                <w:szCs w:val="20"/>
              </w:rPr>
              <w:t>151</w:t>
            </w:r>
          </w:p>
        </w:tc>
        <w:tc>
          <w:tcPr>
            <w:tcW w:w="885" w:type="dxa"/>
            <w:tcBorders>
              <w:bottom w:val="single" w:sz="4" w:space="0" w:color="auto"/>
            </w:tcBorders>
            <w:shd w:val="clear" w:color="auto" w:fill="EEECE1" w:themeFill="background2"/>
            <w:noWrap/>
            <w:vAlign w:val="bottom"/>
          </w:tcPr>
          <w:p w14:paraId="5692AADD" w14:textId="039DCBB2" w:rsidR="00B33F4D" w:rsidRPr="0053555E" w:rsidRDefault="00B33F4D" w:rsidP="00B33F4D">
            <w:pPr>
              <w:jc w:val="center"/>
              <w:rPr>
                <w:rFonts w:asciiTheme="majorHAnsi" w:hAnsiTheme="majorHAnsi" w:cstheme="majorHAnsi"/>
                <w:b/>
                <w:sz w:val="22"/>
                <w:szCs w:val="20"/>
              </w:rPr>
            </w:pPr>
            <w:r w:rsidRPr="0053555E">
              <w:rPr>
                <w:rFonts w:cs="Arial"/>
                <w:sz w:val="22"/>
                <w:szCs w:val="20"/>
              </w:rPr>
              <w:t>4,8</w:t>
            </w:r>
            <w:r w:rsidR="00093924" w:rsidRPr="0053555E">
              <w:rPr>
                <w:rFonts w:cs="Arial"/>
                <w:sz w:val="22"/>
                <w:szCs w:val="20"/>
              </w:rPr>
              <w:t>4</w:t>
            </w:r>
            <w:r w:rsidRPr="0053555E">
              <w:rPr>
                <w:rFonts w:cs="Arial"/>
                <w:sz w:val="22"/>
                <w:szCs w:val="20"/>
              </w:rPr>
              <w:t xml:space="preserve"> %</w:t>
            </w:r>
          </w:p>
        </w:tc>
        <w:tc>
          <w:tcPr>
            <w:tcW w:w="816" w:type="dxa"/>
            <w:tcBorders>
              <w:bottom w:val="single" w:sz="4" w:space="0" w:color="auto"/>
            </w:tcBorders>
            <w:shd w:val="clear" w:color="auto" w:fill="auto"/>
            <w:noWrap/>
            <w:vAlign w:val="bottom"/>
          </w:tcPr>
          <w:p w14:paraId="53B1C5AA" w14:textId="2FA6E44A" w:rsidR="00B33F4D" w:rsidRPr="0053555E" w:rsidRDefault="00B33F4D" w:rsidP="00B33F4D">
            <w:pPr>
              <w:jc w:val="center"/>
              <w:rPr>
                <w:rFonts w:asciiTheme="majorHAnsi" w:hAnsiTheme="majorHAnsi" w:cstheme="majorHAnsi"/>
                <w:sz w:val="22"/>
                <w:szCs w:val="20"/>
              </w:rPr>
            </w:pPr>
            <w:r w:rsidRPr="0053555E">
              <w:rPr>
                <w:rFonts w:cs="Arial"/>
                <w:sz w:val="22"/>
                <w:szCs w:val="20"/>
              </w:rPr>
              <w:t>1 705</w:t>
            </w:r>
          </w:p>
        </w:tc>
        <w:tc>
          <w:tcPr>
            <w:tcW w:w="850" w:type="dxa"/>
            <w:tcBorders>
              <w:bottom w:val="single" w:sz="4" w:space="0" w:color="auto"/>
            </w:tcBorders>
            <w:shd w:val="clear" w:color="auto" w:fill="EEECE1" w:themeFill="background2"/>
            <w:noWrap/>
            <w:vAlign w:val="bottom"/>
          </w:tcPr>
          <w:p w14:paraId="65F8DB61" w14:textId="59BA29AB" w:rsidR="00B33F4D" w:rsidRPr="0053555E" w:rsidRDefault="00B33F4D" w:rsidP="00B33F4D">
            <w:pPr>
              <w:jc w:val="center"/>
              <w:rPr>
                <w:rFonts w:asciiTheme="majorHAnsi" w:hAnsiTheme="majorHAnsi" w:cstheme="majorHAnsi"/>
                <w:b/>
                <w:sz w:val="22"/>
                <w:szCs w:val="20"/>
              </w:rPr>
            </w:pPr>
            <w:r w:rsidRPr="0053555E">
              <w:rPr>
                <w:rFonts w:cs="Arial"/>
                <w:sz w:val="22"/>
                <w:szCs w:val="20"/>
              </w:rPr>
              <w:t>54,72 %</w:t>
            </w:r>
          </w:p>
        </w:tc>
      </w:tr>
    </w:tbl>
    <w:p w14:paraId="36571D74" w14:textId="2C622912" w:rsidR="002071AC" w:rsidRPr="0053555E" w:rsidRDefault="00483EB6" w:rsidP="00324438">
      <w:pPr>
        <w:tabs>
          <w:tab w:val="left" w:pos="9356"/>
        </w:tabs>
        <w:jc w:val="both"/>
        <w:rPr>
          <w:rFonts w:asciiTheme="majorHAnsi" w:hAnsiTheme="majorHAnsi" w:cstheme="majorHAnsi"/>
          <w:sz w:val="20"/>
          <w:szCs w:val="20"/>
          <w:lang w:eastAsia="sk-SK"/>
        </w:rPr>
      </w:pPr>
      <w:r w:rsidRPr="0053555E">
        <w:rPr>
          <w:rFonts w:asciiTheme="majorHAnsi" w:hAnsiTheme="majorHAnsi" w:cstheme="majorHAnsi"/>
          <w:sz w:val="20"/>
          <w:szCs w:val="20"/>
          <w:lang w:eastAsia="sk-SK"/>
        </w:rPr>
        <w:t>Stav k </w:t>
      </w:r>
      <w:r w:rsidR="009169A8" w:rsidRPr="0053555E">
        <w:rPr>
          <w:rFonts w:asciiTheme="majorHAnsi" w:hAnsiTheme="majorHAnsi" w:cstheme="majorHAnsi"/>
          <w:sz w:val="20"/>
          <w:szCs w:val="20"/>
          <w:lang w:eastAsia="sk-SK"/>
        </w:rPr>
        <w:t>31</w:t>
      </w:r>
      <w:r w:rsidRPr="0053555E">
        <w:rPr>
          <w:rFonts w:asciiTheme="majorHAnsi" w:hAnsiTheme="majorHAnsi" w:cstheme="majorHAnsi"/>
          <w:sz w:val="20"/>
          <w:szCs w:val="20"/>
          <w:lang w:eastAsia="sk-SK"/>
        </w:rPr>
        <w:t>.</w:t>
      </w:r>
      <w:r w:rsidR="00A71D41" w:rsidRPr="0053555E">
        <w:rPr>
          <w:rFonts w:asciiTheme="majorHAnsi" w:hAnsiTheme="majorHAnsi" w:cstheme="majorHAnsi"/>
          <w:sz w:val="20"/>
          <w:szCs w:val="20"/>
          <w:lang w:eastAsia="sk-SK"/>
        </w:rPr>
        <w:t xml:space="preserve"> </w:t>
      </w:r>
      <w:r w:rsidRPr="0053555E">
        <w:rPr>
          <w:rFonts w:asciiTheme="majorHAnsi" w:hAnsiTheme="majorHAnsi" w:cstheme="majorHAnsi"/>
          <w:sz w:val="20"/>
          <w:szCs w:val="20"/>
          <w:lang w:eastAsia="sk-SK"/>
        </w:rPr>
        <w:t>1</w:t>
      </w:r>
      <w:r w:rsidR="009169A8" w:rsidRPr="0053555E">
        <w:rPr>
          <w:rFonts w:asciiTheme="majorHAnsi" w:hAnsiTheme="majorHAnsi" w:cstheme="majorHAnsi"/>
          <w:sz w:val="20"/>
          <w:szCs w:val="20"/>
          <w:lang w:eastAsia="sk-SK"/>
        </w:rPr>
        <w:t>2</w:t>
      </w:r>
      <w:r w:rsidRPr="0053555E">
        <w:rPr>
          <w:rFonts w:asciiTheme="majorHAnsi" w:hAnsiTheme="majorHAnsi" w:cstheme="majorHAnsi"/>
          <w:sz w:val="20"/>
          <w:szCs w:val="20"/>
          <w:lang w:eastAsia="sk-SK"/>
        </w:rPr>
        <w:t>.</w:t>
      </w:r>
      <w:r w:rsidR="00A71D41" w:rsidRPr="0053555E">
        <w:rPr>
          <w:rFonts w:asciiTheme="majorHAnsi" w:hAnsiTheme="majorHAnsi" w:cstheme="majorHAnsi"/>
          <w:sz w:val="20"/>
          <w:szCs w:val="20"/>
          <w:lang w:eastAsia="sk-SK"/>
        </w:rPr>
        <w:t xml:space="preserve"> </w:t>
      </w:r>
      <w:r w:rsidRPr="0053555E">
        <w:rPr>
          <w:rFonts w:asciiTheme="majorHAnsi" w:hAnsiTheme="majorHAnsi" w:cstheme="majorHAnsi"/>
          <w:sz w:val="20"/>
          <w:szCs w:val="20"/>
          <w:lang w:eastAsia="sk-SK"/>
        </w:rPr>
        <w:t>20</w:t>
      </w:r>
      <w:r w:rsidR="0041725A" w:rsidRPr="0053555E">
        <w:rPr>
          <w:rFonts w:asciiTheme="majorHAnsi" w:hAnsiTheme="majorHAnsi" w:cstheme="majorHAnsi"/>
          <w:sz w:val="20"/>
          <w:szCs w:val="20"/>
          <w:lang w:eastAsia="sk-SK"/>
        </w:rPr>
        <w:t>2</w:t>
      </w:r>
      <w:r w:rsidR="00B33F4D" w:rsidRPr="0053555E">
        <w:rPr>
          <w:rFonts w:asciiTheme="majorHAnsi" w:hAnsiTheme="majorHAnsi" w:cstheme="majorHAnsi"/>
          <w:sz w:val="20"/>
          <w:szCs w:val="20"/>
          <w:lang w:eastAsia="sk-SK"/>
        </w:rPr>
        <w:t>2</w:t>
      </w:r>
    </w:p>
    <w:p w14:paraId="4711B1A6" w14:textId="77777777" w:rsidR="003F38D2" w:rsidRPr="0053555E" w:rsidRDefault="003F38D2" w:rsidP="00324438">
      <w:pPr>
        <w:tabs>
          <w:tab w:val="left" w:pos="9356"/>
        </w:tabs>
        <w:jc w:val="both"/>
        <w:rPr>
          <w:rFonts w:asciiTheme="majorHAnsi" w:hAnsiTheme="majorHAnsi" w:cstheme="majorHAnsi"/>
          <w:sz w:val="20"/>
          <w:szCs w:val="20"/>
          <w:lang w:eastAsia="sk-SK"/>
        </w:rPr>
      </w:pPr>
      <w:r w:rsidRPr="0053555E">
        <w:rPr>
          <w:rFonts w:asciiTheme="majorHAnsi" w:hAnsiTheme="majorHAnsi" w:cstheme="majorHAnsi"/>
          <w:sz w:val="20"/>
          <w:szCs w:val="20"/>
          <w:lang w:eastAsia="sk-SK"/>
        </w:rPr>
        <w:t>Vysvetlivky:</w:t>
      </w:r>
    </w:p>
    <w:p w14:paraId="608B07B3" w14:textId="77777777" w:rsidR="00B52E20" w:rsidRDefault="003F38D2" w:rsidP="00493A8F">
      <w:pPr>
        <w:tabs>
          <w:tab w:val="left" w:pos="9356"/>
        </w:tabs>
        <w:spacing w:after="120"/>
        <w:jc w:val="both"/>
        <w:rPr>
          <w:rFonts w:asciiTheme="majorHAnsi" w:hAnsiTheme="majorHAnsi" w:cstheme="majorHAnsi"/>
          <w:sz w:val="20"/>
          <w:szCs w:val="20"/>
          <w:lang w:eastAsia="sk-SK"/>
        </w:rPr>
      </w:pPr>
      <w:r w:rsidRPr="0053555E">
        <w:rPr>
          <w:rFonts w:asciiTheme="majorHAnsi" w:hAnsiTheme="majorHAnsi" w:cstheme="majorHAnsi"/>
          <w:sz w:val="20"/>
          <w:szCs w:val="20"/>
          <w:lang w:eastAsia="sk-SK"/>
        </w:rPr>
        <w:t>C</w:t>
      </w:r>
      <w:r w:rsidR="00460C5E" w:rsidRPr="0053555E">
        <w:rPr>
          <w:rFonts w:asciiTheme="majorHAnsi" w:hAnsiTheme="majorHAnsi" w:cstheme="majorHAnsi"/>
          <w:sz w:val="20"/>
          <w:szCs w:val="20"/>
          <w:lang w:eastAsia="sk-SK"/>
        </w:rPr>
        <w:t>elkový počet zapísaných študentov</w:t>
      </w:r>
      <w:r w:rsidRPr="0053555E">
        <w:rPr>
          <w:rFonts w:asciiTheme="majorHAnsi" w:hAnsiTheme="majorHAnsi" w:cstheme="majorHAnsi"/>
          <w:sz w:val="20"/>
          <w:szCs w:val="20"/>
          <w:lang w:eastAsia="sk-SK"/>
        </w:rPr>
        <w:t xml:space="preserve"> predstavuje počet </w:t>
      </w:r>
      <w:r w:rsidR="002D3F07" w:rsidRPr="0053555E">
        <w:rPr>
          <w:rFonts w:asciiTheme="majorHAnsi" w:hAnsiTheme="majorHAnsi" w:cstheme="majorHAnsi"/>
          <w:sz w:val="20"/>
          <w:szCs w:val="20"/>
          <w:lang w:eastAsia="sk-SK"/>
        </w:rPr>
        <w:t xml:space="preserve">všetkých </w:t>
      </w:r>
      <w:r w:rsidRPr="0053555E">
        <w:rPr>
          <w:rFonts w:asciiTheme="majorHAnsi" w:hAnsiTheme="majorHAnsi" w:cstheme="majorHAnsi"/>
          <w:sz w:val="20"/>
          <w:szCs w:val="20"/>
          <w:lang w:eastAsia="sk-SK"/>
        </w:rPr>
        <w:t xml:space="preserve">štúdií, ktoré vznikli </w:t>
      </w:r>
      <w:r w:rsidR="0080582A" w:rsidRPr="0053555E">
        <w:rPr>
          <w:rFonts w:asciiTheme="majorHAnsi" w:hAnsiTheme="majorHAnsi" w:cstheme="majorHAnsi"/>
          <w:sz w:val="20"/>
          <w:szCs w:val="20"/>
          <w:lang w:eastAsia="sk-SK"/>
        </w:rPr>
        <w:t xml:space="preserve">(1. rok štúdia) </w:t>
      </w:r>
      <w:r w:rsidR="006613C6" w:rsidRPr="0053555E">
        <w:rPr>
          <w:rFonts w:asciiTheme="majorHAnsi" w:hAnsiTheme="majorHAnsi" w:cstheme="majorHAnsi"/>
          <w:sz w:val="20"/>
          <w:szCs w:val="20"/>
          <w:lang w:eastAsia="sk-SK"/>
        </w:rPr>
        <w:t xml:space="preserve">na prvom stupni štúdia </w:t>
      </w:r>
      <w:r w:rsidRPr="0053555E">
        <w:rPr>
          <w:rFonts w:asciiTheme="majorHAnsi" w:hAnsiTheme="majorHAnsi" w:cstheme="majorHAnsi"/>
          <w:sz w:val="20"/>
          <w:szCs w:val="20"/>
          <w:lang w:eastAsia="sk-SK"/>
        </w:rPr>
        <w:t xml:space="preserve">v príslušnom akademickom </w:t>
      </w:r>
      <w:r w:rsidR="00862B9D" w:rsidRPr="0053555E">
        <w:rPr>
          <w:rFonts w:asciiTheme="majorHAnsi" w:hAnsiTheme="majorHAnsi" w:cstheme="majorHAnsi"/>
          <w:sz w:val="20"/>
          <w:szCs w:val="20"/>
          <w:lang w:eastAsia="sk-SK"/>
        </w:rPr>
        <w:t xml:space="preserve">roku </w:t>
      </w:r>
      <w:r w:rsidR="002D3F07" w:rsidRPr="0053555E">
        <w:rPr>
          <w:rFonts w:asciiTheme="majorHAnsi" w:hAnsiTheme="majorHAnsi" w:cstheme="majorHAnsi"/>
          <w:sz w:val="20"/>
          <w:szCs w:val="20"/>
          <w:lang w:eastAsia="sk-SK"/>
        </w:rPr>
        <w:t>prostredníctvom prijímacieho konania alebo</w:t>
      </w:r>
      <w:r w:rsidR="00862B9D" w:rsidRPr="0053555E">
        <w:rPr>
          <w:rFonts w:asciiTheme="majorHAnsi" w:hAnsiTheme="majorHAnsi" w:cstheme="majorHAnsi"/>
          <w:sz w:val="20"/>
          <w:szCs w:val="20"/>
          <w:lang w:eastAsia="sk-SK"/>
        </w:rPr>
        <w:t xml:space="preserve"> zmenou študijného programu</w:t>
      </w:r>
      <w:r w:rsidR="001403D5" w:rsidRPr="0053555E">
        <w:rPr>
          <w:rFonts w:asciiTheme="majorHAnsi" w:hAnsiTheme="majorHAnsi" w:cstheme="majorHAnsi"/>
          <w:sz w:val="20"/>
          <w:szCs w:val="20"/>
          <w:lang w:eastAsia="sk-SK"/>
        </w:rPr>
        <w:t xml:space="preserve"> </w:t>
      </w:r>
    </w:p>
    <w:p w14:paraId="39BB78FB" w14:textId="77777777" w:rsidR="00B52E20" w:rsidRDefault="00B52E20" w:rsidP="00493A8F">
      <w:pPr>
        <w:tabs>
          <w:tab w:val="left" w:pos="9356"/>
        </w:tabs>
        <w:spacing w:after="120"/>
        <w:jc w:val="both"/>
        <w:rPr>
          <w:rFonts w:asciiTheme="majorHAnsi" w:hAnsiTheme="majorHAnsi" w:cstheme="majorHAnsi"/>
          <w:sz w:val="20"/>
          <w:szCs w:val="20"/>
          <w:lang w:eastAsia="sk-SK"/>
        </w:rPr>
      </w:pPr>
    </w:p>
    <w:p w14:paraId="7C83CD27" w14:textId="2569E2C0" w:rsidR="00493A8F" w:rsidRPr="00B52E20" w:rsidRDefault="00493A8F" w:rsidP="00493A8F">
      <w:pPr>
        <w:tabs>
          <w:tab w:val="left" w:pos="9356"/>
        </w:tabs>
        <w:spacing w:after="120"/>
        <w:jc w:val="both"/>
        <w:rPr>
          <w:rFonts w:asciiTheme="majorHAnsi" w:hAnsiTheme="majorHAnsi" w:cstheme="majorHAnsi"/>
          <w:sz w:val="20"/>
          <w:szCs w:val="20"/>
          <w:lang w:eastAsia="sk-SK"/>
        </w:rPr>
      </w:pPr>
      <w:r w:rsidRPr="0053555E">
        <w:rPr>
          <w:rFonts w:asciiTheme="majorHAnsi" w:hAnsiTheme="majorHAnsi" w:cstheme="majorHAnsi"/>
          <w:b/>
        </w:rPr>
        <w:t>Úspešnosť študentov počas prvého stupňa štúdia</w:t>
      </w:r>
      <w:r w:rsidRPr="0053555E">
        <w:rPr>
          <w:rFonts w:asciiTheme="majorHAnsi" w:hAnsiTheme="majorHAnsi" w:cstheme="majorHAnsi"/>
        </w:rPr>
        <w:t xml:space="preserve"> (riadne skončené štúdium) je uvedená v prvej časti tabuľky. V priemere za prezentované akademické roky sa úspešnosť na prvom stupni štúdia pohybuje na úrovni </w:t>
      </w:r>
      <w:r w:rsidR="00673E23">
        <w:rPr>
          <w:rFonts w:asciiTheme="majorHAnsi" w:hAnsiTheme="majorHAnsi" w:cstheme="majorHAnsi"/>
        </w:rPr>
        <w:t>50</w:t>
      </w:r>
      <w:r w:rsidRPr="0053555E">
        <w:rPr>
          <w:rFonts w:asciiTheme="majorHAnsi" w:hAnsiTheme="majorHAnsi" w:cstheme="majorHAnsi"/>
        </w:rPr>
        <w:t xml:space="preserve"> %, pričom sú zohľadnené všetky stavy štúdia s výnimkou neúspešného skončenia štúdia (vylúčenie zo štúdia alebo zanechanie štúdia). Z údajov</w:t>
      </w:r>
      <w:r w:rsidR="00074293" w:rsidRPr="0053555E">
        <w:rPr>
          <w:rFonts w:asciiTheme="majorHAnsi" w:hAnsiTheme="majorHAnsi" w:cstheme="majorHAnsi"/>
        </w:rPr>
        <w:t xml:space="preserve"> v </w:t>
      </w:r>
      <w:r w:rsidRPr="0053555E">
        <w:rPr>
          <w:rFonts w:asciiTheme="majorHAnsi" w:hAnsiTheme="majorHAnsi" w:cstheme="majorHAnsi"/>
        </w:rPr>
        <w:fldChar w:fldCharType="begin"/>
      </w:r>
      <w:r w:rsidRPr="0053555E">
        <w:rPr>
          <w:rFonts w:asciiTheme="majorHAnsi" w:hAnsiTheme="majorHAnsi" w:cstheme="majorHAnsi"/>
        </w:rPr>
        <w:instrText xml:space="preserve"> REF _Ref31721364 \h  \* MERGEFORMAT </w:instrText>
      </w:r>
      <w:r w:rsidRPr="0053555E">
        <w:rPr>
          <w:rFonts w:asciiTheme="majorHAnsi" w:hAnsiTheme="majorHAnsi" w:cstheme="majorHAnsi"/>
        </w:rPr>
      </w:r>
      <w:r w:rsidRPr="0053555E">
        <w:rPr>
          <w:rFonts w:asciiTheme="majorHAnsi" w:hAnsiTheme="majorHAnsi" w:cstheme="majorHAnsi"/>
        </w:rPr>
        <w:fldChar w:fldCharType="separate"/>
      </w:r>
      <w:r w:rsidR="00EE1B59" w:rsidRPr="00B52E20">
        <w:rPr>
          <w:rFonts w:asciiTheme="majorHAnsi" w:hAnsiTheme="majorHAnsi" w:cstheme="majorHAnsi"/>
        </w:rPr>
        <w:t>Tab. č</w:t>
      </w:r>
      <w:r w:rsidR="00EE1B59" w:rsidRPr="00B52E20">
        <w:t xml:space="preserve">. </w:t>
      </w:r>
      <w:r w:rsidR="00B52E20">
        <w:rPr>
          <w:noProof/>
        </w:rPr>
        <w:t>XX</w:t>
      </w:r>
      <w:r w:rsidRPr="0053555E">
        <w:rPr>
          <w:rFonts w:asciiTheme="majorHAnsi" w:hAnsiTheme="majorHAnsi" w:cstheme="majorHAnsi"/>
        </w:rPr>
        <w:fldChar w:fldCharType="end"/>
      </w:r>
      <w:r w:rsidRPr="0053555E">
        <w:rPr>
          <w:rFonts w:asciiTheme="majorHAnsi" w:hAnsiTheme="majorHAnsi" w:cstheme="majorHAnsi"/>
        </w:rPr>
        <w:t xml:space="preserve"> je zrejmá potreba </w:t>
      </w:r>
      <w:r w:rsidR="002B375E">
        <w:rPr>
          <w:rFonts w:asciiTheme="majorHAnsi" w:hAnsiTheme="majorHAnsi" w:cstheme="majorHAnsi"/>
        </w:rPr>
        <w:t>ú</w:t>
      </w:r>
      <w:r w:rsidRPr="0053555E">
        <w:rPr>
          <w:rFonts w:asciiTheme="majorHAnsi" w:hAnsiTheme="majorHAnsi" w:cstheme="majorHAnsi"/>
        </w:rPr>
        <w:t>spešnosť študentov na prvom stupni štúdia riešiť systémovo na</w:t>
      </w:r>
      <w:r w:rsidR="002B375E">
        <w:rPr>
          <w:rFonts w:asciiTheme="majorHAnsi" w:hAnsiTheme="majorHAnsi" w:cstheme="majorHAnsi"/>
        </w:rPr>
        <w:t> </w:t>
      </w:r>
      <w:r w:rsidRPr="0053555E">
        <w:rPr>
          <w:rFonts w:asciiTheme="majorHAnsi" w:hAnsiTheme="majorHAnsi" w:cstheme="majorHAnsi"/>
        </w:rPr>
        <w:t>celej univerzite</w:t>
      </w:r>
      <w:r w:rsidR="002B375E">
        <w:rPr>
          <w:rFonts w:asciiTheme="majorHAnsi" w:hAnsiTheme="majorHAnsi" w:cstheme="majorHAnsi"/>
        </w:rPr>
        <w:t xml:space="preserve">. Z uvedeného dôvodu </w:t>
      </w:r>
      <w:r w:rsidR="00F10106">
        <w:rPr>
          <w:rFonts w:asciiTheme="majorHAnsi" w:hAnsiTheme="majorHAnsi" w:cstheme="majorHAnsi"/>
        </w:rPr>
        <w:t>je</w:t>
      </w:r>
      <w:r w:rsidRPr="0053555E">
        <w:rPr>
          <w:rFonts w:asciiTheme="majorHAnsi" w:hAnsiTheme="majorHAnsi" w:cstheme="majorHAnsi"/>
        </w:rPr>
        <w:t xml:space="preserve"> zvyšovanie úspešnosti študentov (hlavne prvého stupňa štúdia) jedným zo strategických cieľov STU v oblasti vzdelávania. Treba ale uviesť, že úspešnosť študentov na technických univerzitách v okolitých krajinách sa pohybuje </w:t>
      </w:r>
      <w:r w:rsidR="00256A6C" w:rsidRPr="0053555E">
        <w:rPr>
          <w:rFonts w:asciiTheme="majorHAnsi" w:hAnsiTheme="majorHAnsi" w:cstheme="majorHAnsi"/>
        </w:rPr>
        <w:t xml:space="preserve">tiež </w:t>
      </w:r>
      <w:r w:rsidRPr="0053555E">
        <w:rPr>
          <w:rFonts w:asciiTheme="majorHAnsi" w:hAnsiTheme="majorHAnsi" w:cstheme="majorHAnsi"/>
        </w:rPr>
        <w:t xml:space="preserve">na úrovni 50 %. </w:t>
      </w:r>
    </w:p>
    <w:p w14:paraId="67625830" w14:textId="037AC056" w:rsidR="00493A8F" w:rsidRPr="0053555E" w:rsidRDefault="00493A8F" w:rsidP="00493A8F">
      <w:pPr>
        <w:tabs>
          <w:tab w:val="left" w:pos="9356"/>
        </w:tabs>
        <w:spacing w:after="120"/>
        <w:jc w:val="both"/>
        <w:rPr>
          <w:rFonts w:asciiTheme="majorHAnsi" w:hAnsiTheme="majorHAnsi" w:cstheme="majorHAnsi"/>
        </w:rPr>
      </w:pPr>
      <w:r w:rsidRPr="0053555E">
        <w:rPr>
          <w:rFonts w:asciiTheme="majorHAnsi" w:hAnsiTheme="majorHAnsi" w:cstheme="majorHAnsi"/>
        </w:rPr>
        <w:t xml:space="preserve">Jedným z opatrení, ktoré sa na STU darí uplatňovať, je tzv. </w:t>
      </w:r>
      <w:r w:rsidRPr="0053555E">
        <w:rPr>
          <w:rFonts w:asciiTheme="majorHAnsi" w:hAnsiTheme="majorHAnsi" w:cstheme="majorHAnsi"/>
          <w:b/>
        </w:rPr>
        <w:t xml:space="preserve">študentský </w:t>
      </w:r>
      <w:r w:rsidR="00D8378F" w:rsidRPr="00D8378F">
        <w:rPr>
          <w:rFonts w:asciiTheme="majorHAnsi" w:hAnsiTheme="majorHAnsi" w:cstheme="majorHAnsi"/>
          <w:b/>
        </w:rPr>
        <w:t>tútoring (študentské sprevádzanie</w:t>
      </w:r>
      <w:r w:rsidR="00D8378F">
        <w:rPr>
          <w:rFonts w:asciiTheme="majorHAnsi" w:hAnsiTheme="majorHAnsi" w:cstheme="majorHAnsi"/>
          <w:b/>
        </w:rPr>
        <w:t>)</w:t>
      </w:r>
      <w:r w:rsidRPr="0053555E">
        <w:rPr>
          <w:rFonts w:asciiTheme="majorHAnsi" w:hAnsiTheme="majorHAnsi" w:cstheme="majorHAnsi"/>
          <w:b/>
        </w:rPr>
        <w:t xml:space="preserve"> – vzájomné podporovanie sa študentov </w:t>
      </w:r>
      <w:r w:rsidR="00B52E20">
        <w:rPr>
          <w:rFonts w:asciiTheme="majorHAnsi" w:hAnsiTheme="majorHAnsi" w:cstheme="majorHAnsi"/>
          <w:b/>
        </w:rPr>
        <w:t>najmä</w:t>
      </w:r>
      <w:r w:rsidRPr="0053555E">
        <w:rPr>
          <w:rFonts w:asciiTheme="majorHAnsi" w:hAnsiTheme="majorHAnsi" w:cstheme="majorHAnsi"/>
          <w:b/>
        </w:rPr>
        <w:t xml:space="preserve"> formou doučovania</w:t>
      </w:r>
      <w:r w:rsidR="00BC1A79" w:rsidRPr="0053555E">
        <w:rPr>
          <w:rFonts w:asciiTheme="majorHAnsi" w:hAnsiTheme="majorHAnsi" w:cstheme="majorHAnsi"/>
        </w:rPr>
        <w:t>, do </w:t>
      </w:r>
      <w:r w:rsidRPr="0053555E">
        <w:rPr>
          <w:rFonts w:asciiTheme="majorHAnsi" w:hAnsiTheme="majorHAnsi" w:cstheme="majorHAnsi"/>
        </w:rPr>
        <w:t xml:space="preserve">ktorého sa  zapojili všetky fakulty prostredníctvom študentských organizácií alebo jednotlivcov. Doučovanie prebiehalo najmä vo vybraných predmetoch, ktoré sú pre študentov dlhodobo najproblematickejšie. V akademickom roku </w:t>
      </w:r>
      <w:r w:rsidR="00EA24BA" w:rsidRPr="0053555E">
        <w:rPr>
          <w:rFonts w:asciiTheme="majorHAnsi" w:hAnsiTheme="majorHAnsi" w:cstheme="majorHAnsi"/>
        </w:rPr>
        <w:t>2021/2022</w:t>
      </w:r>
      <w:r w:rsidRPr="0053555E">
        <w:rPr>
          <w:rFonts w:asciiTheme="majorHAnsi" w:hAnsiTheme="majorHAnsi" w:cstheme="majorHAnsi"/>
        </w:rPr>
        <w:t xml:space="preserve"> bola obzvlášť venovaná pozornosť podpore študentov, najmä v prvých rokoch štú</w:t>
      </w:r>
      <w:r w:rsidR="00BC1A79" w:rsidRPr="0053555E">
        <w:rPr>
          <w:rFonts w:asciiTheme="majorHAnsi" w:hAnsiTheme="majorHAnsi" w:cstheme="majorHAnsi"/>
        </w:rPr>
        <w:t xml:space="preserve">dia v súvislosti </w:t>
      </w:r>
      <w:r w:rsidR="00901169">
        <w:rPr>
          <w:rFonts w:asciiTheme="majorHAnsi" w:hAnsiTheme="majorHAnsi" w:cstheme="majorHAnsi"/>
        </w:rPr>
        <w:t xml:space="preserve">s čiastočne prebiehajúcim </w:t>
      </w:r>
      <w:r w:rsidRPr="0053555E">
        <w:rPr>
          <w:rFonts w:asciiTheme="majorHAnsi" w:hAnsiTheme="majorHAnsi" w:cstheme="majorHAnsi"/>
        </w:rPr>
        <w:t>dištančn</w:t>
      </w:r>
      <w:r w:rsidR="00901169">
        <w:rPr>
          <w:rFonts w:asciiTheme="majorHAnsi" w:hAnsiTheme="majorHAnsi" w:cstheme="majorHAnsi"/>
        </w:rPr>
        <w:t>ým</w:t>
      </w:r>
      <w:r w:rsidRPr="0053555E">
        <w:rPr>
          <w:rFonts w:asciiTheme="majorHAnsi" w:hAnsiTheme="majorHAnsi" w:cstheme="majorHAnsi"/>
        </w:rPr>
        <w:t xml:space="preserve"> vzdelávan</w:t>
      </w:r>
      <w:r w:rsidR="00901169">
        <w:rPr>
          <w:rFonts w:asciiTheme="majorHAnsi" w:hAnsiTheme="majorHAnsi" w:cstheme="majorHAnsi"/>
        </w:rPr>
        <w:t>ím v zimnom semestri</w:t>
      </w:r>
      <w:r w:rsidR="00DB5F6B">
        <w:rPr>
          <w:rFonts w:asciiTheme="majorHAnsi" w:hAnsiTheme="majorHAnsi" w:cstheme="majorHAnsi"/>
        </w:rPr>
        <w:t xml:space="preserve"> a po vypuknutí konfliktu na</w:t>
      </w:r>
      <w:r w:rsidR="00566705">
        <w:rPr>
          <w:rFonts w:asciiTheme="majorHAnsi" w:hAnsiTheme="majorHAnsi" w:cstheme="majorHAnsi"/>
        </w:rPr>
        <w:t> </w:t>
      </w:r>
      <w:r w:rsidR="00DB5F6B">
        <w:rPr>
          <w:rFonts w:asciiTheme="majorHAnsi" w:hAnsiTheme="majorHAnsi" w:cstheme="majorHAnsi"/>
        </w:rPr>
        <w:t xml:space="preserve">Ukrajine osobitne študentom, ktorých sa táto situácia </w:t>
      </w:r>
      <w:r w:rsidR="00566705">
        <w:rPr>
          <w:rFonts w:asciiTheme="majorHAnsi" w:hAnsiTheme="majorHAnsi" w:cstheme="majorHAnsi"/>
        </w:rPr>
        <w:t>osobne</w:t>
      </w:r>
      <w:r w:rsidR="00DB5F6B">
        <w:rPr>
          <w:rFonts w:asciiTheme="majorHAnsi" w:hAnsiTheme="majorHAnsi" w:cstheme="majorHAnsi"/>
        </w:rPr>
        <w:t xml:space="preserve"> dotýkala</w:t>
      </w:r>
      <w:r w:rsidRPr="0053555E">
        <w:rPr>
          <w:rFonts w:asciiTheme="majorHAnsi" w:hAnsiTheme="majorHAnsi" w:cstheme="majorHAnsi"/>
        </w:rPr>
        <w:t xml:space="preserve">. Študenti mali k dispozícii študijných poradcov, študentské organizácie pôsobiace na príslušnej súčasti a tiež Poradenské centrum STU, ktoré im boli k dispozícii počas celého </w:t>
      </w:r>
      <w:r w:rsidR="00566705">
        <w:rPr>
          <w:rFonts w:asciiTheme="majorHAnsi" w:hAnsiTheme="majorHAnsi" w:cstheme="majorHAnsi"/>
        </w:rPr>
        <w:t>akademického roka</w:t>
      </w:r>
      <w:r w:rsidR="00BC1A79" w:rsidRPr="0053555E">
        <w:rPr>
          <w:rFonts w:asciiTheme="majorHAnsi" w:hAnsiTheme="majorHAnsi" w:cstheme="majorHAnsi"/>
        </w:rPr>
        <w:t>. Rovnako študentom so </w:t>
      </w:r>
      <w:r w:rsidRPr="0053555E">
        <w:rPr>
          <w:rFonts w:asciiTheme="majorHAnsi" w:hAnsiTheme="majorHAnsi" w:cstheme="majorHAnsi"/>
        </w:rPr>
        <w:t>špecifickými potrebami boli k dispozícii koordinátori pre študentov so</w:t>
      </w:r>
      <w:r w:rsidR="006C4631">
        <w:rPr>
          <w:rFonts w:asciiTheme="majorHAnsi" w:hAnsiTheme="majorHAnsi" w:cstheme="majorHAnsi"/>
        </w:rPr>
        <w:t> </w:t>
      </w:r>
      <w:r w:rsidRPr="0053555E">
        <w:rPr>
          <w:rFonts w:asciiTheme="majorHAnsi" w:hAnsiTheme="majorHAnsi" w:cstheme="majorHAnsi"/>
        </w:rPr>
        <w:t xml:space="preserve">špecifickými potrebami na príslušnej súčasti STU. Konzultácie a poradenstvo týkajúce sa </w:t>
      </w:r>
      <w:r w:rsidRPr="0053555E">
        <w:rPr>
          <w:rFonts w:asciiTheme="majorHAnsi" w:hAnsiTheme="majorHAnsi" w:cstheme="majorHAnsi"/>
        </w:rPr>
        <w:lastRenderedPageBreak/>
        <w:t>pedagogického procesu zabezpečovali všetci učitelia vrátane doktorandov pôsobiacich v</w:t>
      </w:r>
      <w:r w:rsidR="006C4631">
        <w:rPr>
          <w:rFonts w:asciiTheme="majorHAnsi" w:hAnsiTheme="majorHAnsi" w:cstheme="majorHAnsi"/>
        </w:rPr>
        <w:t> </w:t>
      </w:r>
      <w:r w:rsidRPr="0053555E">
        <w:rPr>
          <w:rFonts w:asciiTheme="majorHAnsi" w:hAnsiTheme="majorHAnsi" w:cstheme="majorHAnsi"/>
        </w:rPr>
        <w:t xml:space="preserve">pedagogickom procese prostredníctvom vypísaných konzultačných hodín. </w:t>
      </w:r>
    </w:p>
    <w:p w14:paraId="6793D102" w14:textId="31296423" w:rsidR="00627169" w:rsidRDefault="00493A8F" w:rsidP="00627169">
      <w:pPr>
        <w:tabs>
          <w:tab w:val="left" w:pos="9356"/>
        </w:tabs>
        <w:spacing w:after="120"/>
        <w:jc w:val="both"/>
        <w:rPr>
          <w:rFonts w:asciiTheme="majorHAnsi" w:hAnsiTheme="majorHAnsi" w:cstheme="majorHAnsi"/>
        </w:rPr>
      </w:pPr>
      <w:r w:rsidRPr="0053555E">
        <w:rPr>
          <w:rFonts w:asciiTheme="majorHAnsi" w:hAnsiTheme="majorHAnsi" w:cstheme="majorHAnsi"/>
        </w:rPr>
        <w:t>Ako už bolo uvedené v inej časti správy, medzi najčastejšie</w:t>
      </w:r>
      <w:r w:rsidR="009477A5" w:rsidRPr="0053555E">
        <w:rPr>
          <w:rFonts w:asciiTheme="majorHAnsi" w:hAnsiTheme="majorHAnsi" w:cstheme="majorHAnsi"/>
        </w:rPr>
        <w:t xml:space="preserve"> príčiny neúspechu študentov na </w:t>
      </w:r>
      <w:r w:rsidRPr="0053555E">
        <w:rPr>
          <w:rFonts w:asciiTheme="majorHAnsi" w:hAnsiTheme="majorHAnsi" w:cstheme="majorHAnsi"/>
        </w:rPr>
        <w:t xml:space="preserve">prvom stupni patria nedostatočná príprava na strednej škole na štúdium technického zamerania </w:t>
      </w:r>
      <w:r w:rsidRPr="0053555E">
        <w:rPr>
          <w:rFonts w:asciiTheme="majorHAnsi" w:hAnsiTheme="majorHAnsi" w:cstheme="majorHAnsi"/>
          <w:b/>
        </w:rPr>
        <w:t xml:space="preserve">(znižovanie rozsahu a úrovne výučby </w:t>
      </w:r>
      <w:r w:rsidR="00BF25BE">
        <w:rPr>
          <w:rFonts w:asciiTheme="majorHAnsi" w:hAnsiTheme="majorHAnsi" w:cstheme="majorHAnsi"/>
          <w:b/>
        </w:rPr>
        <w:t>najmä</w:t>
      </w:r>
      <w:r w:rsidRPr="0053555E">
        <w:rPr>
          <w:rFonts w:asciiTheme="majorHAnsi" w:hAnsiTheme="majorHAnsi" w:cstheme="majorHAnsi"/>
          <w:b/>
        </w:rPr>
        <w:t xml:space="preserve"> prírodovedných predmetov)</w:t>
      </w:r>
      <w:r w:rsidRPr="0053555E">
        <w:rPr>
          <w:rFonts w:asciiTheme="majorHAnsi" w:hAnsiTheme="majorHAnsi" w:cstheme="majorHAnsi"/>
        </w:rPr>
        <w:t xml:space="preserve">, zmena prostredia a systému vzdelávania na univerzite, prenášanie predmetov a kreditov do vyšších rokov štúdia a pod. </w:t>
      </w:r>
      <w:r w:rsidR="00566705">
        <w:rPr>
          <w:rFonts w:asciiTheme="majorHAnsi" w:hAnsiTheme="majorHAnsi" w:cstheme="majorHAnsi"/>
        </w:rPr>
        <w:t xml:space="preserve"> </w:t>
      </w:r>
    </w:p>
    <w:p w14:paraId="5BA97A57" w14:textId="6D429820" w:rsidR="00627169" w:rsidRPr="0053555E" w:rsidRDefault="00627169" w:rsidP="00627169">
      <w:pPr>
        <w:tabs>
          <w:tab w:val="left" w:pos="9356"/>
        </w:tabs>
        <w:spacing w:after="120"/>
        <w:jc w:val="both"/>
        <w:rPr>
          <w:rFonts w:asciiTheme="majorHAnsi" w:hAnsiTheme="majorHAnsi" w:cstheme="majorHAnsi"/>
        </w:rPr>
      </w:pPr>
      <w:r w:rsidRPr="0053555E">
        <w:rPr>
          <w:rFonts w:asciiTheme="majorHAnsi" w:hAnsiTheme="majorHAnsi" w:cstheme="majorHAnsi"/>
          <w:b/>
        </w:rPr>
        <w:t>Úspešnosť štúdia na druhom stupni je vysoká</w:t>
      </w:r>
      <w:r w:rsidRPr="0053555E">
        <w:rPr>
          <w:rFonts w:asciiTheme="majorHAnsi" w:hAnsiTheme="majorHAnsi" w:cstheme="majorHAnsi"/>
        </w:rPr>
        <w:t xml:space="preserve"> (</w:t>
      </w:r>
      <w:r w:rsidRPr="0053555E">
        <w:rPr>
          <w:rFonts w:asciiTheme="majorHAnsi" w:hAnsiTheme="majorHAnsi" w:cstheme="majorHAnsi"/>
          <w:sz w:val="20"/>
          <w:szCs w:val="20"/>
        </w:rPr>
        <w:fldChar w:fldCharType="begin"/>
      </w:r>
      <w:r w:rsidRPr="0053555E">
        <w:rPr>
          <w:rFonts w:asciiTheme="majorHAnsi" w:hAnsiTheme="majorHAnsi" w:cstheme="majorHAnsi"/>
          <w:sz w:val="20"/>
          <w:szCs w:val="20"/>
        </w:rPr>
        <w:instrText xml:space="preserve"> REF _Ref31721389 \h  \* MERGEFORMAT </w:instrText>
      </w:r>
      <w:r w:rsidRPr="0053555E">
        <w:rPr>
          <w:rFonts w:asciiTheme="majorHAnsi" w:hAnsiTheme="majorHAnsi" w:cstheme="majorHAnsi"/>
          <w:sz w:val="20"/>
          <w:szCs w:val="20"/>
        </w:rPr>
      </w:r>
      <w:r w:rsidRPr="0053555E">
        <w:rPr>
          <w:rFonts w:asciiTheme="majorHAnsi" w:hAnsiTheme="majorHAnsi" w:cstheme="majorHAnsi"/>
          <w:sz w:val="20"/>
          <w:szCs w:val="20"/>
        </w:rPr>
        <w:fldChar w:fldCharType="separate"/>
      </w:r>
      <w:r w:rsidR="00E82525">
        <w:rPr>
          <w:rFonts w:asciiTheme="majorHAnsi" w:hAnsiTheme="majorHAnsi" w:cstheme="majorHAnsi"/>
        </w:rPr>
        <w:t>Tab. č. 72</w:t>
      </w:r>
      <w:r w:rsidR="00BF25BE" w:rsidRPr="00E82525">
        <w:rPr>
          <w:rFonts w:asciiTheme="majorHAnsi" w:hAnsiTheme="majorHAnsi" w:cstheme="majorHAnsi"/>
        </w:rPr>
        <w:t>)</w:t>
      </w:r>
      <w:r w:rsidRPr="0053555E">
        <w:rPr>
          <w:rFonts w:asciiTheme="majorHAnsi" w:hAnsiTheme="majorHAnsi" w:cstheme="majorHAnsi"/>
          <w:sz w:val="20"/>
          <w:szCs w:val="20"/>
        </w:rPr>
        <w:fldChar w:fldCharType="end"/>
      </w:r>
      <w:r w:rsidRPr="0053555E">
        <w:rPr>
          <w:rFonts w:asciiTheme="majorHAnsi" w:hAnsiTheme="majorHAnsi" w:cstheme="majorHAnsi"/>
          <w:sz w:val="20"/>
          <w:szCs w:val="20"/>
        </w:rPr>
        <w:t>,</w:t>
      </w:r>
      <w:r w:rsidRPr="0053555E">
        <w:rPr>
          <w:rFonts w:asciiTheme="majorHAnsi" w:hAnsiTheme="majorHAnsi" w:cstheme="majorHAnsi"/>
        </w:rPr>
        <w:t xml:space="preserve"> v priemere za prezentované akademické roky dosahuje 88 % na celej univerzite, pričom sú zohľadnené všetky stavy štúdia s výnimkou neúspešného skončenia štúdia (vylúčenie zo štúdia alebo zanechanie štúdia). V akademických rokoch 2014/2015 a 2015/2016 údaje v </w:t>
      </w:r>
      <w:r w:rsidRPr="00BF25BE">
        <w:rPr>
          <w:rFonts w:asciiTheme="majorHAnsi" w:hAnsiTheme="majorHAnsi" w:cstheme="majorHAnsi"/>
        </w:rPr>
        <w:fldChar w:fldCharType="begin"/>
      </w:r>
      <w:r w:rsidRPr="0053555E">
        <w:rPr>
          <w:rFonts w:asciiTheme="majorHAnsi" w:hAnsiTheme="majorHAnsi" w:cstheme="majorHAnsi"/>
        </w:rPr>
        <w:instrText xml:space="preserve"> REF _Ref31721389 \h  \* MERGEFORMAT </w:instrText>
      </w:r>
      <w:r w:rsidRPr="00BF25BE">
        <w:rPr>
          <w:rFonts w:asciiTheme="majorHAnsi" w:hAnsiTheme="majorHAnsi" w:cstheme="majorHAnsi"/>
        </w:rPr>
      </w:r>
      <w:r w:rsidRPr="00BF25BE">
        <w:rPr>
          <w:rFonts w:asciiTheme="majorHAnsi" w:hAnsiTheme="majorHAnsi" w:cstheme="majorHAnsi"/>
        </w:rPr>
        <w:fldChar w:fldCharType="separate"/>
      </w:r>
      <w:r w:rsidR="00EE1B59" w:rsidRPr="00BF25BE">
        <w:rPr>
          <w:rFonts w:asciiTheme="majorHAnsi" w:hAnsiTheme="majorHAnsi" w:cstheme="majorHAnsi"/>
        </w:rPr>
        <w:t xml:space="preserve">Tab. č. </w:t>
      </w:r>
      <w:r w:rsidR="00E82525">
        <w:rPr>
          <w:rFonts w:asciiTheme="majorHAnsi" w:hAnsiTheme="majorHAnsi" w:cstheme="majorHAnsi"/>
        </w:rPr>
        <w:t>72</w:t>
      </w:r>
      <w:r w:rsidRPr="00BF25BE">
        <w:rPr>
          <w:rFonts w:asciiTheme="majorHAnsi" w:hAnsiTheme="majorHAnsi" w:cstheme="majorHAnsi"/>
        </w:rPr>
        <w:fldChar w:fldCharType="end"/>
      </w:r>
      <w:r w:rsidRPr="0053555E">
        <w:rPr>
          <w:rFonts w:asciiTheme="majorHAnsi" w:hAnsiTheme="majorHAnsi" w:cstheme="majorHAnsi"/>
        </w:rPr>
        <w:t xml:space="preserve"> síce vykazujú nižšie percento riadne skončených štúdií, tieto údaje však neodrážajú reálny stav, pretože toto bolo spôsobené prechodom na nové študijné programy</w:t>
      </w:r>
      <w:r w:rsidR="00BF25BE">
        <w:rPr>
          <w:rFonts w:asciiTheme="majorHAnsi" w:hAnsiTheme="majorHAnsi" w:cstheme="majorHAnsi"/>
        </w:rPr>
        <w:t xml:space="preserve"> po komplexnej akreditácii, keď</w:t>
      </w:r>
      <w:r w:rsidRPr="0053555E">
        <w:rPr>
          <w:rFonts w:asciiTheme="majorHAnsi" w:hAnsiTheme="majorHAnsi" w:cstheme="majorHAnsi"/>
        </w:rPr>
        <w:t xml:space="preserve"> študenti museli zmeniť študijný program v rámci tej istej súčasti STU (23 % v akademickom roku 2014/2015 a 16 % v  akademickom roku 2015/2016), z čoho vyplýva, že percento úspešnosti v týchto akademických rokoch bolo v skutočnosti vyššie, ako uvádza tabuľka (obdobne to platí aj pre prvý stupeň štúdia </w:t>
      </w:r>
      <w:r w:rsidR="008060EA" w:rsidRPr="00207187">
        <w:rPr>
          <w:rFonts w:asciiTheme="majorHAnsi" w:hAnsiTheme="majorHAnsi" w:cstheme="majorHAnsi"/>
          <w:sz w:val="20"/>
        </w:rPr>
        <w:t>(</w:t>
      </w:r>
      <w:r w:rsidR="00E82525">
        <w:rPr>
          <w:rFonts w:asciiTheme="majorHAnsi" w:hAnsiTheme="majorHAnsi" w:cstheme="majorHAnsi"/>
        </w:rPr>
        <w:t>Tab. č. 71)</w:t>
      </w:r>
      <w:r w:rsidRPr="0053555E">
        <w:rPr>
          <w:rFonts w:asciiTheme="majorHAnsi" w:hAnsiTheme="majorHAnsi" w:cstheme="majorHAnsi"/>
        </w:rPr>
        <w:t>. Pomerne vysoká úspešnosť na druhom stupni štúdia je daná hlavne vyššou motiváciou študentov úspešne skončiť štúdium, bližším vzťahom študentov k študovanému študijnému programu, ako aj kvalitnými odbornými znalosti, zručnosťami a návykmi získanými počas prvého stupňa štúdia.</w:t>
      </w:r>
    </w:p>
    <w:p w14:paraId="42DE0F91" w14:textId="369D14ED" w:rsidR="00493A8F" w:rsidRPr="0053555E" w:rsidRDefault="00493A8F" w:rsidP="00493A8F">
      <w:pPr>
        <w:tabs>
          <w:tab w:val="left" w:pos="9356"/>
        </w:tabs>
        <w:spacing w:after="120"/>
        <w:jc w:val="both"/>
        <w:rPr>
          <w:rFonts w:asciiTheme="majorHAnsi" w:hAnsiTheme="majorHAnsi" w:cstheme="majorHAnsi"/>
        </w:rPr>
      </w:pPr>
    </w:p>
    <w:p w14:paraId="5C07F741" w14:textId="42276CCB" w:rsidR="00DC2916" w:rsidRPr="0053555E" w:rsidRDefault="00744FF7" w:rsidP="000E3322">
      <w:pPr>
        <w:pStyle w:val="Popis"/>
      </w:pPr>
      <w:bookmarkStart w:id="301" w:name="_Ref31721389"/>
      <w:bookmarkStart w:id="302" w:name="_Toc127593323"/>
      <w:r w:rsidRPr="0053555E">
        <w:t xml:space="preserve">Tab. č. </w:t>
      </w:r>
      <w:bookmarkEnd w:id="301"/>
      <w:r w:rsidR="00E82525">
        <w:t>72</w:t>
      </w:r>
      <w:r w:rsidRPr="0053555E">
        <w:t>:</w:t>
      </w:r>
      <w:r w:rsidR="000974C3" w:rsidRPr="0053555E">
        <w:t xml:space="preserve"> </w:t>
      </w:r>
      <w:r w:rsidR="0044785D" w:rsidRPr="0053555E">
        <w:t>Ú</w:t>
      </w:r>
      <w:r w:rsidR="00DC2916" w:rsidRPr="0053555E">
        <w:t>spešno</w:t>
      </w:r>
      <w:r w:rsidR="0044785D" w:rsidRPr="0053555E">
        <w:t>sť</w:t>
      </w:r>
      <w:r w:rsidR="00DC2916" w:rsidRPr="0053555E">
        <w:t xml:space="preserve"> študentov na druhom stupni štúdia</w:t>
      </w:r>
      <w:bookmarkEnd w:id="302"/>
    </w:p>
    <w:tbl>
      <w:tblPr>
        <w:tblW w:w="9007"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11"/>
        <w:gridCol w:w="1134"/>
        <w:gridCol w:w="708"/>
        <w:gridCol w:w="851"/>
        <w:gridCol w:w="850"/>
        <w:gridCol w:w="851"/>
        <w:gridCol w:w="850"/>
        <w:gridCol w:w="851"/>
        <w:gridCol w:w="850"/>
        <w:gridCol w:w="851"/>
      </w:tblGrid>
      <w:tr w:rsidR="0046576A" w:rsidRPr="0053555E" w14:paraId="0330A694" w14:textId="77777777" w:rsidTr="009B5EFC">
        <w:trPr>
          <w:trHeight w:val="20"/>
        </w:trPr>
        <w:tc>
          <w:tcPr>
            <w:tcW w:w="1211" w:type="dxa"/>
            <w:vMerge w:val="restart"/>
            <w:shd w:val="clear" w:color="auto" w:fill="auto"/>
            <w:vAlign w:val="center"/>
            <w:hideMark/>
          </w:tcPr>
          <w:p w14:paraId="38A560B0" w14:textId="77777777" w:rsidR="00C41B2E" w:rsidRPr="0053555E" w:rsidRDefault="00B86497" w:rsidP="00324438">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r</w:t>
            </w:r>
            <w:r w:rsidR="00D34F31" w:rsidRPr="0053555E">
              <w:rPr>
                <w:rFonts w:asciiTheme="majorHAnsi" w:eastAsia="Times New Roman" w:hAnsiTheme="majorHAnsi" w:cstheme="majorHAnsi"/>
                <w:sz w:val="20"/>
                <w:szCs w:val="20"/>
                <w:lang w:eastAsia="sk-SK"/>
              </w:rPr>
              <w:t>ok začatia štúdia</w:t>
            </w:r>
          </w:p>
        </w:tc>
        <w:tc>
          <w:tcPr>
            <w:tcW w:w="1134" w:type="dxa"/>
            <w:vMerge w:val="restart"/>
            <w:shd w:val="clear" w:color="auto" w:fill="auto"/>
            <w:vAlign w:val="center"/>
            <w:hideMark/>
          </w:tcPr>
          <w:p w14:paraId="3B7B253E" w14:textId="77777777" w:rsidR="00D34F31" w:rsidRPr="0053555E" w:rsidRDefault="00D34F31" w:rsidP="00324438">
            <w:pPr>
              <w:tabs>
                <w:tab w:val="left" w:pos="9356"/>
              </w:tabs>
              <w:jc w:val="center"/>
              <w:rPr>
                <w:rFonts w:asciiTheme="majorHAnsi" w:eastAsia="Times New Roman" w:hAnsiTheme="majorHAnsi" w:cstheme="majorHAnsi"/>
                <w:b/>
                <w:bCs/>
                <w:sz w:val="20"/>
                <w:szCs w:val="20"/>
                <w:lang w:eastAsia="sk-SK"/>
              </w:rPr>
            </w:pPr>
            <w:r w:rsidRPr="0053555E">
              <w:rPr>
                <w:rFonts w:asciiTheme="majorHAnsi" w:eastAsia="Times New Roman" w:hAnsiTheme="majorHAnsi" w:cstheme="majorHAnsi"/>
                <w:b/>
                <w:bCs/>
                <w:sz w:val="20"/>
                <w:szCs w:val="20"/>
                <w:lang w:eastAsia="sk-SK"/>
              </w:rPr>
              <w:t>celkový počet zapísaných študentov</w:t>
            </w:r>
          </w:p>
        </w:tc>
        <w:tc>
          <w:tcPr>
            <w:tcW w:w="1559" w:type="dxa"/>
            <w:gridSpan w:val="2"/>
            <w:shd w:val="clear" w:color="auto" w:fill="auto"/>
            <w:vAlign w:val="center"/>
            <w:hideMark/>
          </w:tcPr>
          <w:p w14:paraId="7E50852D" w14:textId="77777777" w:rsidR="00D34F31" w:rsidRPr="0053555E" w:rsidRDefault="00B86497"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r</w:t>
            </w:r>
            <w:r w:rsidR="00D34F31" w:rsidRPr="0053555E">
              <w:rPr>
                <w:rFonts w:asciiTheme="majorHAnsi" w:eastAsia="Times New Roman" w:hAnsiTheme="majorHAnsi" w:cstheme="majorHAnsi"/>
                <w:sz w:val="20"/>
                <w:szCs w:val="20"/>
                <w:lang w:eastAsia="sk-SK"/>
              </w:rPr>
              <w:t>iadne skončili štúdium</w:t>
            </w:r>
          </w:p>
        </w:tc>
        <w:tc>
          <w:tcPr>
            <w:tcW w:w="1701" w:type="dxa"/>
            <w:gridSpan w:val="2"/>
            <w:shd w:val="clear" w:color="auto" w:fill="auto"/>
            <w:vAlign w:val="center"/>
            <w:hideMark/>
          </w:tcPr>
          <w:p w14:paraId="7211FE63" w14:textId="77777777" w:rsidR="00D34F31" w:rsidRPr="0053555E" w:rsidRDefault="00B86497"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b</w:t>
            </w:r>
            <w:r w:rsidR="00D34F31" w:rsidRPr="0053555E">
              <w:rPr>
                <w:rFonts w:asciiTheme="majorHAnsi" w:eastAsia="Times New Roman" w:hAnsiTheme="majorHAnsi" w:cstheme="majorHAnsi"/>
                <w:sz w:val="20"/>
                <w:szCs w:val="20"/>
                <w:lang w:eastAsia="sk-SK"/>
              </w:rPr>
              <w:t>oli vylúčení zo</w:t>
            </w:r>
            <w:r w:rsidR="000F7BA4" w:rsidRPr="0053555E">
              <w:rPr>
                <w:rFonts w:asciiTheme="majorHAnsi" w:eastAsia="Times New Roman" w:hAnsiTheme="majorHAnsi" w:cstheme="majorHAnsi"/>
                <w:sz w:val="20"/>
                <w:szCs w:val="20"/>
                <w:lang w:eastAsia="sk-SK"/>
              </w:rPr>
              <w:t> </w:t>
            </w:r>
            <w:r w:rsidR="00D34F31" w:rsidRPr="0053555E">
              <w:rPr>
                <w:rFonts w:asciiTheme="majorHAnsi" w:eastAsia="Times New Roman" w:hAnsiTheme="majorHAnsi" w:cstheme="majorHAnsi"/>
                <w:sz w:val="20"/>
                <w:szCs w:val="20"/>
                <w:lang w:eastAsia="sk-SK"/>
              </w:rPr>
              <w:t>štúdia alebo zanechali štúdium</w:t>
            </w:r>
          </w:p>
        </w:tc>
        <w:tc>
          <w:tcPr>
            <w:tcW w:w="1701" w:type="dxa"/>
            <w:gridSpan w:val="2"/>
            <w:shd w:val="clear" w:color="auto" w:fill="auto"/>
            <w:vAlign w:val="center"/>
            <w:hideMark/>
          </w:tcPr>
          <w:p w14:paraId="375923A9" w14:textId="77777777" w:rsidR="00D34F31" w:rsidRPr="0053555E" w:rsidRDefault="00D34F31"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zmenili študijný program</w:t>
            </w:r>
          </w:p>
        </w:tc>
        <w:tc>
          <w:tcPr>
            <w:tcW w:w="1701" w:type="dxa"/>
            <w:gridSpan w:val="2"/>
            <w:shd w:val="clear" w:color="auto" w:fill="auto"/>
            <w:vAlign w:val="center"/>
            <w:hideMark/>
          </w:tcPr>
          <w:p w14:paraId="71B9E26F" w14:textId="77777777" w:rsidR="00D34F31" w:rsidRPr="0053555E" w:rsidRDefault="00D34F31"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štúdium trvá, prípadne je prerušené</w:t>
            </w:r>
          </w:p>
        </w:tc>
      </w:tr>
      <w:tr w:rsidR="00D34F31" w:rsidRPr="0053555E" w14:paraId="3C2D81CC" w14:textId="77777777" w:rsidTr="009B5EFC">
        <w:trPr>
          <w:trHeight w:val="20"/>
        </w:trPr>
        <w:tc>
          <w:tcPr>
            <w:tcW w:w="1211" w:type="dxa"/>
            <w:vMerge/>
            <w:vAlign w:val="center"/>
            <w:hideMark/>
          </w:tcPr>
          <w:p w14:paraId="7C731EC1" w14:textId="77777777" w:rsidR="00D34F31" w:rsidRPr="0053555E" w:rsidRDefault="00D34F31" w:rsidP="00324438">
            <w:pPr>
              <w:tabs>
                <w:tab w:val="left" w:pos="9356"/>
              </w:tabs>
              <w:jc w:val="both"/>
              <w:rPr>
                <w:rFonts w:asciiTheme="majorHAnsi" w:eastAsia="Times New Roman" w:hAnsiTheme="majorHAnsi" w:cstheme="majorHAnsi"/>
                <w:sz w:val="20"/>
                <w:szCs w:val="20"/>
                <w:lang w:eastAsia="sk-SK"/>
              </w:rPr>
            </w:pPr>
          </w:p>
        </w:tc>
        <w:tc>
          <w:tcPr>
            <w:tcW w:w="1134" w:type="dxa"/>
            <w:vMerge/>
            <w:vAlign w:val="center"/>
            <w:hideMark/>
          </w:tcPr>
          <w:p w14:paraId="676FCBA6" w14:textId="77777777" w:rsidR="00D34F31" w:rsidRPr="0053555E" w:rsidRDefault="00D34F31" w:rsidP="00324438">
            <w:pPr>
              <w:tabs>
                <w:tab w:val="left" w:pos="9356"/>
              </w:tabs>
              <w:jc w:val="center"/>
              <w:rPr>
                <w:rFonts w:asciiTheme="majorHAnsi" w:eastAsia="Times New Roman" w:hAnsiTheme="majorHAnsi" w:cstheme="majorHAnsi"/>
                <w:b/>
                <w:bCs/>
                <w:sz w:val="20"/>
                <w:szCs w:val="20"/>
                <w:lang w:eastAsia="sk-SK"/>
              </w:rPr>
            </w:pPr>
          </w:p>
        </w:tc>
        <w:tc>
          <w:tcPr>
            <w:tcW w:w="708" w:type="dxa"/>
            <w:shd w:val="clear" w:color="auto" w:fill="auto"/>
            <w:vAlign w:val="center"/>
            <w:hideMark/>
          </w:tcPr>
          <w:p w14:paraId="46E481AF" w14:textId="77777777" w:rsidR="00D34F31" w:rsidRPr="0053555E" w:rsidRDefault="00D34F31"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počet</w:t>
            </w:r>
          </w:p>
        </w:tc>
        <w:tc>
          <w:tcPr>
            <w:tcW w:w="851" w:type="dxa"/>
            <w:shd w:val="clear" w:color="auto" w:fill="EEECE1" w:themeFill="background2"/>
            <w:noWrap/>
            <w:vAlign w:val="center"/>
            <w:hideMark/>
          </w:tcPr>
          <w:p w14:paraId="4750035F" w14:textId="77777777" w:rsidR="00D34F31" w:rsidRPr="0053555E" w:rsidRDefault="00D34F31" w:rsidP="00324438">
            <w:pPr>
              <w:tabs>
                <w:tab w:val="left" w:pos="9356"/>
              </w:tabs>
              <w:jc w:val="center"/>
              <w:rPr>
                <w:rFonts w:asciiTheme="majorHAnsi" w:eastAsia="Times New Roman" w:hAnsiTheme="majorHAnsi" w:cstheme="majorHAnsi"/>
                <w:b/>
                <w:sz w:val="20"/>
                <w:szCs w:val="20"/>
                <w:lang w:eastAsia="sk-SK"/>
              </w:rPr>
            </w:pPr>
            <w:r w:rsidRPr="0053555E">
              <w:rPr>
                <w:rFonts w:asciiTheme="majorHAnsi" w:eastAsia="Times New Roman" w:hAnsiTheme="majorHAnsi" w:cstheme="majorHAnsi"/>
                <w:b/>
                <w:sz w:val="20"/>
                <w:szCs w:val="20"/>
                <w:lang w:eastAsia="sk-SK"/>
              </w:rPr>
              <w:t>%</w:t>
            </w:r>
          </w:p>
        </w:tc>
        <w:tc>
          <w:tcPr>
            <w:tcW w:w="850" w:type="dxa"/>
            <w:shd w:val="clear" w:color="auto" w:fill="auto"/>
            <w:vAlign w:val="center"/>
            <w:hideMark/>
          </w:tcPr>
          <w:p w14:paraId="639E2375" w14:textId="77777777" w:rsidR="00D34F31" w:rsidRPr="0053555E" w:rsidRDefault="00D34F31"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počet</w:t>
            </w:r>
          </w:p>
        </w:tc>
        <w:tc>
          <w:tcPr>
            <w:tcW w:w="851" w:type="dxa"/>
            <w:shd w:val="clear" w:color="auto" w:fill="EEECE1" w:themeFill="background2"/>
            <w:noWrap/>
            <w:vAlign w:val="center"/>
            <w:hideMark/>
          </w:tcPr>
          <w:p w14:paraId="44C33870" w14:textId="77777777" w:rsidR="00D34F31" w:rsidRPr="0053555E" w:rsidRDefault="00D34F31" w:rsidP="00324438">
            <w:pPr>
              <w:tabs>
                <w:tab w:val="left" w:pos="9356"/>
              </w:tabs>
              <w:jc w:val="center"/>
              <w:rPr>
                <w:rFonts w:asciiTheme="majorHAnsi" w:eastAsia="Times New Roman" w:hAnsiTheme="majorHAnsi" w:cstheme="majorHAnsi"/>
                <w:b/>
                <w:sz w:val="20"/>
                <w:szCs w:val="20"/>
                <w:lang w:eastAsia="sk-SK"/>
              </w:rPr>
            </w:pPr>
            <w:r w:rsidRPr="0053555E">
              <w:rPr>
                <w:rFonts w:asciiTheme="majorHAnsi" w:eastAsia="Times New Roman" w:hAnsiTheme="majorHAnsi" w:cstheme="majorHAnsi"/>
                <w:b/>
                <w:sz w:val="20"/>
                <w:szCs w:val="20"/>
                <w:lang w:eastAsia="sk-SK"/>
              </w:rPr>
              <w:t>%</w:t>
            </w:r>
          </w:p>
        </w:tc>
        <w:tc>
          <w:tcPr>
            <w:tcW w:w="850" w:type="dxa"/>
            <w:shd w:val="clear" w:color="auto" w:fill="auto"/>
            <w:vAlign w:val="bottom"/>
            <w:hideMark/>
          </w:tcPr>
          <w:p w14:paraId="105900F9" w14:textId="77777777" w:rsidR="00D34F31" w:rsidRPr="0053555E" w:rsidRDefault="00D34F31"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počet</w:t>
            </w:r>
          </w:p>
        </w:tc>
        <w:tc>
          <w:tcPr>
            <w:tcW w:w="851" w:type="dxa"/>
            <w:shd w:val="clear" w:color="auto" w:fill="EEECE1" w:themeFill="background2"/>
            <w:noWrap/>
            <w:vAlign w:val="bottom"/>
            <w:hideMark/>
          </w:tcPr>
          <w:p w14:paraId="41871398" w14:textId="77777777" w:rsidR="00D34F31" w:rsidRPr="0053555E" w:rsidRDefault="00D34F31" w:rsidP="00324438">
            <w:pPr>
              <w:tabs>
                <w:tab w:val="left" w:pos="9356"/>
              </w:tabs>
              <w:jc w:val="center"/>
              <w:rPr>
                <w:rFonts w:asciiTheme="majorHAnsi" w:eastAsia="Times New Roman" w:hAnsiTheme="majorHAnsi" w:cstheme="majorHAnsi"/>
                <w:b/>
                <w:sz w:val="20"/>
                <w:szCs w:val="20"/>
                <w:lang w:eastAsia="sk-SK"/>
              </w:rPr>
            </w:pPr>
            <w:r w:rsidRPr="0053555E">
              <w:rPr>
                <w:rFonts w:asciiTheme="majorHAnsi" w:eastAsia="Times New Roman" w:hAnsiTheme="majorHAnsi" w:cstheme="majorHAnsi"/>
                <w:b/>
                <w:sz w:val="20"/>
                <w:szCs w:val="20"/>
                <w:lang w:eastAsia="sk-SK"/>
              </w:rPr>
              <w:t>%</w:t>
            </w:r>
          </w:p>
        </w:tc>
        <w:tc>
          <w:tcPr>
            <w:tcW w:w="850" w:type="dxa"/>
            <w:shd w:val="clear" w:color="auto" w:fill="auto"/>
            <w:vAlign w:val="center"/>
            <w:hideMark/>
          </w:tcPr>
          <w:p w14:paraId="76077E77" w14:textId="77777777" w:rsidR="00D34F31" w:rsidRPr="0053555E" w:rsidRDefault="00D34F31" w:rsidP="00324438">
            <w:pPr>
              <w:tabs>
                <w:tab w:val="left" w:pos="9356"/>
              </w:tabs>
              <w:jc w:val="center"/>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počet</w:t>
            </w:r>
          </w:p>
        </w:tc>
        <w:tc>
          <w:tcPr>
            <w:tcW w:w="851" w:type="dxa"/>
            <w:shd w:val="clear" w:color="auto" w:fill="EEECE1" w:themeFill="background2"/>
            <w:noWrap/>
            <w:vAlign w:val="center"/>
            <w:hideMark/>
          </w:tcPr>
          <w:p w14:paraId="188B89AD" w14:textId="77777777" w:rsidR="00D34F31" w:rsidRPr="0053555E" w:rsidRDefault="00D34F31" w:rsidP="00324438">
            <w:pPr>
              <w:tabs>
                <w:tab w:val="left" w:pos="9356"/>
              </w:tabs>
              <w:jc w:val="center"/>
              <w:rPr>
                <w:rFonts w:asciiTheme="majorHAnsi" w:eastAsia="Times New Roman" w:hAnsiTheme="majorHAnsi" w:cstheme="majorHAnsi"/>
                <w:b/>
                <w:sz w:val="20"/>
                <w:szCs w:val="20"/>
                <w:lang w:eastAsia="sk-SK"/>
              </w:rPr>
            </w:pPr>
            <w:r w:rsidRPr="0053555E">
              <w:rPr>
                <w:rFonts w:asciiTheme="majorHAnsi" w:eastAsia="Times New Roman" w:hAnsiTheme="majorHAnsi" w:cstheme="majorHAnsi"/>
                <w:b/>
                <w:sz w:val="20"/>
                <w:szCs w:val="20"/>
                <w:lang w:eastAsia="sk-SK"/>
              </w:rPr>
              <w:t>%</w:t>
            </w:r>
          </w:p>
        </w:tc>
      </w:tr>
      <w:tr w:rsidR="009B5EFC" w:rsidRPr="0053555E" w14:paraId="7B1CD83B" w14:textId="77777777" w:rsidTr="009B5EFC">
        <w:trPr>
          <w:trHeight w:val="269"/>
        </w:trPr>
        <w:tc>
          <w:tcPr>
            <w:tcW w:w="1211" w:type="dxa"/>
            <w:shd w:val="clear" w:color="auto" w:fill="auto"/>
            <w:noWrap/>
            <w:vAlign w:val="bottom"/>
            <w:hideMark/>
          </w:tcPr>
          <w:p w14:paraId="38D941AE" w14:textId="79752D19" w:rsidR="009B5EFC" w:rsidRPr="0053555E" w:rsidRDefault="009B5EFC" w:rsidP="009B5EFC">
            <w:pPr>
              <w:jc w:val="center"/>
              <w:rPr>
                <w:rFonts w:asciiTheme="majorHAnsi" w:hAnsiTheme="majorHAnsi" w:cstheme="majorHAnsi"/>
                <w:sz w:val="22"/>
                <w:szCs w:val="22"/>
              </w:rPr>
            </w:pPr>
            <w:r w:rsidRPr="0053555E">
              <w:rPr>
                <w:rFonts w:cs="Arial"/>
                <w:sz w:val="22"/>
                <w:szCs w:val="22"/>
              </w:rPr>
              <w:t>2014/2015</w:t>
            </w:r>
          </w:p>
        </w:tc>
        <w:tc>
          <w:tcPr>
            <w:tcW w:w="1134" w:type="dxa"/>
            <w:shd w:val="clear" w:color="auto" w:fill="auto"/>
            <w:vAlign w:val="bottom"/>
            <w:hideMark/>
          </w:tcPr>
          <w:p w14:paraId="01B9907F" w14:textId="5B5C6152" w:rsidR="009B5EFC" w:rsidRPr="0053555E" w:rsidRDefault="009B5EFC" w:rsidP="009B5EFC">
            <w:pPr>
              <w:jc w:val="center"/>
              <w:rPr>
                <w:rFonts w:asciiTheme="majorHAnsi" w:hAnsiTheme="majorHAnsi" w:cstheme="majorHAnsi"/>
                <w:sz w:val="22"/>
                <w:szCs w:val="22"/>
              </w:rPr>
            </w:pPr>
            <w:r w:rsidRPr="0053555E">
              <w:rPr>
                <w:rFonts w:cs="Arial"/>
                <w:sz w:val="22"/>
                <w:szCs w:val="22"/>
              </w:rPr>
              <w:t>2 098</w:t>
            </w:r>
          </w:p>
        </w:tc>
        <w:tc>
          <w:tcPr>
            <w:tcW w:w="708" w:type="dxa"/>
            <w:shd w:val="clear" w:color="auto" w:fill="auto"/>
            <w:vAlign w:val="bottom"/>
            <w:hideMark/>
          </w:tcPr>
          <w:p w14:paraId="46E91B46" w14:textId="002189AF" w:rsidR="009B5EFC" w:rsidRPr="0053555E" w:rsidRDefault="009B5EFC" w:rsidP="009B5EFC">
            <w:pPr>
              <w:jc w:val="center"/>
              <w:rPr>
                <w:rFonts w:asciiTheme="majorHAnsi" w:hAnsiTheme="majorHAnsi" w:cstheme="majorHAnsi"/>
                <w:sz w:val="22"/>
                <w:szCs w:val="22"/>
              </w:rPr>
            </w:pPr>
            <w:r w:rsidRPr="0053555E">
              <w:rPr>
                <w:rFonts w:cs="Arial"/>
                <w:sz w:val="22"/>
                <w:szCs w:val="22"/>
              </w:rPr>
              <w:t>1 396</w:t>
            </w:r>
          </w:p>
        </w:tc>
        <w:tc>
          <w:tcPr>
            <w:tcW w:w="851" w:type="dxa"/>
            <w:shd w:val="clear" w:color="auto" w:fill="EEECE1" w:themeFill="background2"/>
            <w:noWrap/>
            <w:vAlign w:val="bottom"/>
            <w:hideMark/>
          </w:tcPr>
          <w:p w14:paraId="77C81CAD" w14:textId="0B32774C" w:rsidR="009B5EFC" w:rsidRPr="0053555E" w:rsidRDefault="009B5EFC" w:rsidP="009B5EFC">
            <w:pPr>
              <w:jc w:val="center"/>
              <w:rPr>
                <w:rFonts w:asciiTheme="majorHAnsi" w:hAnsiTheme="majorHAnsi" w:cstheme="majorHAnsi"/>
                <w:b/>
                <w:sz w:val="22"/>
                <w:szCs w:val="22"/>
              </w:rPr>
            </w:pPr>
            <w:r w:rsidRPr="0053555E">
              <w:rPr>
                <w:rFonts w:cs="Arial"/>
                <w:sz w:val="22"/>
                <w:szCs w:val="22"/>
              </w:rPr>
              <w:t>66,54 %</w:t>
            </w:r>
          </w:p>
        </w:tc>
        <w:tc>
          <w:tcPr>
            <w:tcW w:w="850" w:type="dxa"/>
            <w:shd w:val="clear" w:color="auto" w:fill="auto"/>
            <w:noWrap/>
            <w:vAlign w:val="bottom"/>
            <w:hideMark/>
          </w:tcPr>
          <w:p w14:paraId="53011E4B" w14:textId="1D58EE7C" w:rsidR="009B5EFC" w:rsidRPr="0053555E" w:rsidRDefault="009B5EFC" w:rsidP="009B5EFC">
            <w:pPr>
              <w:jc w:val="center"/>
              <w:rPr>
                <w:rFonts w:asciiTheme="majorHAnsi" w:hAnsiTheme="majorHAnsi" w:cstheme="majorHAnsi"/>
                <w:sz w:val="22"/>
                <w:szCs w:val="22"/>
              </w:rPr>
            </w:pPr>
            <w:r w:rsidRPr="0053555E">
              <w:rPr>
                <w:rFonts w:cs="Arial"/>
                <w:sz w:val="22"/>
                <w:szCs w:val="22"/>
              </w:rPr>
              <w:t>218</w:t>
            </w:r>
          </w:p>
        </w:tc>
        <w:tc>
          <w:tcPr>
            <w:tcW w:w="851" w:type="dxa"/>
            <w:shd w:val="clear" w:color="auto" w:fill="EEECE1" w:themeFill="background2"/>
            <w:noWrap/>
            <w:vAlign w:val="bottom"/>
            <w:hideMark/>
          </w:tcPr>
          <w:p w14:paraId="6CF4106A" w14:textId="34D92A2F" w:rsidR="009B5EFC" w:rsidRPr="0053555E" w:rsidRDefault="009B5EFC" w:rsidP="009B5EFC">
            <w:pPr>
              <w:jc w:val="center"/>
              <w:rPr>
                <w:rFonts w:asciiTheme="majorHAnsi" w:hAnsiTheme="majorHAnsi" w:cstheme="majorHAnsi"/>
                <w:b/>
                <w:sz w:val="22"/>
                <w:szCs w:val="22"/>
              </w:rPr>
            </w:pPr>
            <w:r w:rsidRPr="0053555E">
              <w:rPr>
                <w:rFonts w:cs="Arial"/>
                <w:sz w:val="22"/>
                <w:szCs w:val="22"/>
              </w:rPr>
              <w:t>10,39 %</w:t>
            </w:r>
          </w:p>
        </w:tc>
        <w:tc>
          <w:tcPr>
            <w:tcW w:w="850" w:type="dxa"/>
            <w:shd w:val="clear" w:color="auto" w:fill="auto"/>
            <w:noWrap/>
            <w:vAlign w:val="bottom"/>
            <w:hideMark/>
          </w:tcPr>
          <w:p w14:paraId="6A26A54C" w14:textId="779BE495" w:rsidR="009B5EFC" w:rsidRPr="0053555E" w:rsidRDefault="009B5EFC" w:rsidP="009B5EFC">
            <w:pPr>
              <w:jc w:val="center"/>
              <w:rPr>
                <w:rFonts w:asciiTheme="majorHAnsi" w:hAnsiTheme="majorHAnsi" w:cstheme="majorHAnsi"/>
                <w:sz w:val="22"/>
                <w:szCs w:val="22"/>
              </w:rPr>
            </w:pPr>
            <w:r w:rsidRPr="0053555E">
              <w:rPr>
                <w:rFonts w:cs="Arial"/>
                <w:sz w:val="22"/>
                <w:szCs w:val="22"/>
              </w:rPr>
              <w:t>484</w:t>
            </w:r>
          </w:p>
        </w:tc>
        <w:tc>
          <w:tcPr>
            <w:tcW w:w="851" w:type="dxa"/>
            <w:shd w:val="clear" w:color="auto" w:fill="EEECE1" w:themeFill="background2"/>
            <w:noWrap/>
            <w:vAlign w:val="bottom"/>
            <w:hideMark/>
          </w:tcPr>
          <w:p w14:paraId="67A038F0" w14:textId="38734AAC" w:rsidR="009B5EFC" w:rsidRPr="0053555E" w:rsidRDefault="009B5EFC" w:rsidP="009B5EFC">
            <w:pPr>
              <w:jc w:val="center"/>
              <w:rPr>
                <w:rFonts w:asciiTheme="majorHAnsi" w:hAnsiTheme="majorHAnsi" w:cstheme="majorHAnsi"/>
                <w:b/>
                <w:sz w:val="22"/>
                <w:szCs w:val="22"/>
              </w:rPr>
            </w:pPr>
            <w:r w:rsidRPr="0053555E">
              <w:rPr>
                <w:rFonts w:cs="Arial"/>
                <w:sz w:val="22"/>
                <w:szCs w:val="22"/>
              </w:rPr>
              <w:t>23,07 %</w:t>
            </w:r>
          </w:p>
        </w:tc>
        <w:tc>
          <w:tcPr>
            <w:tcW w:w="850" w:type="dxa"/>
            <w:shd w:val="clear" w:color="auto" w:fill="auto"/>
            <w:noWrap/>
            <w:vAlign w:val="bottom"/>
            <w:hideMark/>
          </w:tcPr>
          <w:p w14:paraId="08B53159" w14:textId="4D9BFFAB" w:rsidR="009B5EFC" w:rsidRPr="0053555E" w:rsidRDefault="009B5EFC" w:rsidP="009B5EFC">
            <w:pPr>
              <w:jc w:val="center"/>
              <w:rPr>
                <w:rFonts w:asciiTheme="majorHAnsi" w:hAnsiTheme="majorHAnsi" w:cstheme="majorHAnsi"/>
                <w:sz w:val="22"/>
                <w:szCs w:val="22"/>
              </w:rPr>
            </w:pPr>
            <w:r w:rsidRPr="0053555E">
              <w:rPr>
                <w:rFonts w:cs="Arial"/>
                <w:sz w:val="22"/>
                <w:szCs w:val="22"/>
              </w:rPr>
              <w:t>0</w:t>
            </w:r>
          </w:p>
        </w:tc>
        <w:tc>
          <w:tcPr>
            <w:tcW w:w="851" w:type="dxa"/>
            <w:shd w:val="clear" w:color="auto" w:fill="EEECE1" w:themeFill="background2"/>
            <w:noWrap/>
            <w:vAlign w:val="bottom"/>
            <w:hideMark/>
          </w:tcPr>
          <w:p w14:paraId="2A32D4DC" w14:textId="73794DAC" w:rsidR="009B5EFC" w:rsidRPr="0053555E" w:rsidRDefault="009B5EFC" w:rsidP="009B5EFC">
            <w:pPr>
              <w:jc w:val="center"/>
              <w:rPr>
                <w:rFonts w:asciiTheme="majorHAnsi" w:hAnsiTheme="majorHAnsi" w:cstheme="majorHAnsi"/>
                <w:b/>
                <w:sz w:val="22"/>
                <w:szCs w:val="22"/>
              </w:rPr>
            </w:pPr>
            <w:r w:rsidRPr="0053555E">
              <w:rPr>
                <w:rFonts w:cs="Arial"/>
                <w:sz w:val="22"/>
                <w:szCs w:val="22"/>
              </w:rPr>
              <w:t>0,00 %</w:t>
            </w:r>
          </w:p>
        </w:tc>
      </w:tr>
      <w:tr w:rsidR="009B5EFC" w:rsidRPr="0053555E" w14:paraId="060793C8" w14:textId="77777777" w:rsidTr="009B5EFC">
        <w:trPr>
          <w:trHeight w:val="269"/>
        </w:trPr>
        <w:tc>
          <w:tcPr>
            <w:tcW w:w="1211" w:type="dxa"/>
            <w:shd w:val="clear" w:color="auto" w:fill="auto"/>
            <w:noWrap/>
            <w:vAlign w:val="bottom"/>
            <w:hideMark/>
          </w:tcPr>
          <w:p w14:paraId="1CA0473F" w14:textId="16BFE640" w:rsidR="009B5EFC" w:rsidRPr="0053555E" w:rsidRDefault="009B5EFC" w:rsidP="009B5EFC">
            <w:pPr>
              <w:jc w:val="center"/>
              <w:rPr>
                <w:rFonts w:asciiTheme="majorHAnsi" w:hAnsiTheme="majorHAnsi" w:cstheme="majorHAnsi"/>
                <w:sz w:val="22"/>
                <w:szCs w:val="22"/>
              </w:rPr>
            </w:pPr>
            <w:r w:rsidRPr="0053555E">
              <w:rPr>
                <w:rFonts w:cs="Arial"/>
                <w:sz w:val="22"/>
                <w:szCs w:val="22"/>
              </w:rPr>
              <w:t>2015/2016</w:t>
            </w:r>
          </w:p>
        </w:tc>
        <w:tc>
          <w:tcPr>
            <w:tcW w:w="1134" w:type="dxa"/>
            <w:shd w:val="clear" w:color="auto" w:fill="auto"/>
            <w:vAlign w:val="bottom"/>
            <w:hideMark/>
          </w:tcPr>
          <w:p w14:paraId="4BDA0072" w14:textId="669FD341" w:rsidR="009B5EFC" w:rsidRPr="0053555E" w:rsidRDefault="009B5EFC" w:rsidP="009B5EFC">
            <w:pPr>
              <w:jc w:val="center"/>
              <w:rPr>
                <w:rFonts w:asciiTheme="majorHAnsi" w:hAnsiTheme="majorHAnsi" w:cstheme="majorHAnsi"/>
                <w:sz w:val="22"/>
                <w:szCs w:val="22"/>
              </w:rPr>
            </w:pPr>
            <w:r w:rsidRPr="0053555E">
              <w:rPr>
                <w:rFonts w:cs="Arial"/>
                <w:sz w:val="22"/>
                <w:szCs w:val="22"/>
              </w:rPr>
              <w:t>3 293</w:t>
            </w:r>
          </w:p>
        </w:tc>
        <w:tc>
          <w:tcPr>
            <w:tcW w:w="708" w:type="dxa"/>
            <w:shd w:val="clear" w:color="auto" w:fill="auto"/>
            <w:vAlign w:val="bottom"/>
            <w:hideMark/>
          </w:tcPr>
          <w:p w14:paraId="054FF6F9" w14:textId="502E09B4" w:rsidR="009B5EFC" w:rsidRPr="0053555E" w:rsidRDefault="009B5EFC" w:rsidP="009B5EFC">
            <w:pPr>
              <w:jc w:val="center"/>
              <w:rPr>
                <w:rFonts w:asciiTheme="majorHAnsi" w:hAnsiTheme="majorHAnsi" w:cstheme="majorHAnsi"/>
                <w:sz w:val="22"/>
                <w:szCs w:val="22"/>
              </w:rPr>
            </w:pPr>
            <w:r w:rsidRPr="0053555E">
              <w:rPr>
                <w:rFonts w:cs="Arial"/>
                <w:sz w:val="22"/>
                <w:szCs w:val="22"/>
              </w:rPr>
              <w:t>2 447</w:t>
            </w:r>
          </w:p>
        </w:tc>
        <w:tc>
          <w:tcPr>
            <w:tcW w:w="851" w:type="dxa"/>
            <w:shd w:val="clear" w:color="auto" w:fill="EEECE1" w:themeFill="background2"/>
            <w:noWrap/>
            <w:vAlign w:val="bottom"/>
            <w:hideMark/>
          </w:tcPr>
          <w:p w14:paraId="67C274F6" w14:textId="2A175635" w:rsidR="009B5EFC" w:rsidRPr="0053555E" w:rsidRDefault="009B5EFC" w:rsidP="009B5EFC">
            <w:pPr>
              <w:jc w:val="center"/>
              <w:rPr>
                <w:rFonts w:asciiTheme="majorHAnsi" w:hAnsiTheme="majorHAnsi" w:cstheme="majorHAnsi"/>
                <w:b/>
                <w:sz w:val="22"/>
                <w:szCs w:val="22"/>
              </w:rPr>
            </w:pPr>
            <w:r w:rsidRPr="0053555E">
              <w:rPr>
                <w:rFonts w:cs="Arial"/>
                <w:sz w:val="22"/>
                <w:szCs w:val="22"/>
              </w:rPr>
              <w:t>74,31 %</w:t>
            </w:r>
          </w:p>
        </w:tc>
        <w:tc>
          <w:tcPr>
            <w:tcW w:w="850" w:type="dxa"/>
            <w:shd w:val="clear" w:color="auto" w:fill="auto"/>
            <w:noWrap/>
            <w:vAlign w:val="bottom"/>
            <w:hideMark/>
          </w:tcPr>
          <w:p w14:paraId="2A0DFEA6" w14:textId="21FC2F98" w:rsidR="009B5EFC" w:rsidRPr="0053555E" w:rsidRDefault="009B5EFC" w:rsidP="009B5EFC">
            <w:pPr>
              <w:jc w:val="center"/>
              <w:rPr>
                <w:rFonts w:asciiTheme="majorHAnsi" w:hAnsiTheme="majorHAnsi" w:cstheme="majorHAnsi"/>
                <w:sz w:val="22"/>
                <w:szCs w:val="22"/>
              </w:rPr>
            </w:pPr>
            <w:r w:rsidRPr="0053555E">
              <w:rPr>
                <w:rFonts w:cs="Arial"/>
                <w:sz w:val="22"/>
                <w:szCs w:val="22"/>
              </w:rPr>
              <w:t>314</w:t>
            </w:r>
          </w:p>
        </w:tc>
        <w:tc>
          <w:tcPr>
            <w:tcW w:w="851" w:type="dxa"/>
            <w:shd w:val="clear" w:color="auto" w:fill="EEECE1" w:themeFill="background2"/>
            <w:noWrap/>
            <w:vAlign w:val="bottom"/>
            <w:hideMark/>
          </w:tcPr>
          <w:p w14:paraId="75EEF4C0" w14:textId="0A342A83" w:rsidR="009B5EFC" w:rsidRPr="0053555E" w:rsidRDefault="009B5EFC" w:rsidP="009B5EFC">
            <w:pPr>
              <w:jc w:val="center"/>
              <w:rPr>
                <w:rFonts w:asciiTheme="majorHAnsi" w:hAnsiTheme="majorHAnsi" w:cstheme="majorHAnsi"/>
                <w:b/>
                <w:sz w:val="22"/>
                <w:szCs w:val="22"/>
              </w:rPr>
            </w:pPr>
            <w:r w:rsidRPr="0053555E">
              <w:rPr>
                <w:rFonts w:cs="Arial"/>
                <w:sz w:val="22"/>
                <w:szCs w:val="22"/>
              </w:rPr>
              <w:t>9,54 %</w:t>
            </w:r>
          </w:p>
        </w:tc>
        <w:tc>
          <w:tcPr>
            <w:tcW w:w="850" w:type="dxa"/>
            <w:shd w:val="clear" w:color="auto" w:fill="auto"/>
            <w:noWrap/>
            <w:vAlign w:val="bottom"/>
            <w:hideMark/>
          </w:tcPr>
          <w:p w14:paraId="6B3070C5" w14:textId="6F4AD42B" w:rsidR="009B5EFC" w:rsidRPr="0053555E" w:rsidRDefault="009B5EFC" w:rsidP="009B5EFC">
            <w:pPr>
              <w:jc w:val="center"/>
              <w:rPr>
                <w:rFonts w:asciiTheme="majorHAnsi" w:hAnsiTheme="majorHAnsi" w:cstheme="majorHAnsi"/>
                <w:sz w:val="22"/>
                <w:szCs w:val="22"/>
              </w:rPr>
            </w:pPr>
            <w:r w:rsidRPr="0053555E">
              <w:rPr>
                <w:rFonts w:cs="Arial"/>
                <w:sz w:val="22"/>
                <w:szCs w:val="22"/>
              </w:rPr>
              <w:t>530</w:t>
            </w:r>
          </w:p>
        </w:tc>
        <w:tc>
          <w:tcPr>
            <w:tcW w:w="851" w:type="dxa"/>
            <w:shd w:val="clear" w:color="auto" w:fill="EEECE1" w:themeFill="background2"/>
            <w:noWrap/>
            <w:vAlign w:val="bottom"/>
            <w:hideMark/>
          </w:tcPr>
          <w:p w14:paraId="3C631BB2" w14:textId="3A047DFA" w:rsidR="009B5EFC" w:rsidRPr="0053555E" w:rsidRDefault="009B5EFC" w:rsidP="009B5EFC">
            <w:pPr>
              <w:jc w:val="center"/>
              <w:rPr>
                <w:rFonts w:asciiTheme="majorHAnsi" w:hAnsiTheme="majorHAnsi" w:cstheme="majorHAnsi"/>
                <w:b/>
                <w:sz w:val="22"/>
                <w:szCs w:val="22"/>
              </w:rPr>
            </w:pPr>
            <w:r w:rsidRPr="0053555E">
              <w:rPr>
                <w:rFonts w:cs="Arial"/>
                <w:sz w:val="22"/>
                <w:szCs w:val="22"/>
              </w:rPr>
              <w:t>16,09 %</w:t>
            </w:r>
          </w:p>
        </w:tc>
        <w:tc>
          <w:tcPr>
            <w:tcW w:w="850" w:type="dxa"/>
            <w:shd w:val="clear" w:color="auto" w:fill="auto"/>
            <w:noWrap/>
            <w:vAlign w:val="bottom"/>
            <w:hideMark/>
          </w:tcPr>
          <w:p w14:paraId="412A4552" w14:textId="05BD019F" w:rsidR="009B5EFC" w:rsidRPr="0053555E" w:rsidRDefault="009B5EFC" w:rsidP="009B5EFC">
            <w:pPr>
              <w:jc w:val="center"/>
              <w:rPr>
                <w:rFonts w:asciiTheme="majorHAnsi" w:hAnsiTheme="majorHAnsi" w:cstheme="majorHAnsi"/>
                <w:sz w:val="22"/>
                <w:szCs w:val="22"/>
              </w:rPr>
            </w:pPr>
            <w:r w:rsidRPr="0053555E">
              <w:rPr>
                <w:rFonts w:cs="Arial"/>
                <w:sz w:val="22"/>
                <w:szCs w:val="22"/>
              </w:rPr>
              <w:t>2</w:t>
            </w:r>
          </w:p>
        </w:tc>
        <w:tc>
          <w:tcPr>
            <w:tcW w:w="851" w:type="dxa"/>
            <w:shd w:val="clear" w:color="auto" w:fill="EEECE1" w:themeFill="background2"/>
            <w:noWrap/>
            <w:vAlign w:val="bottom"/>
            <w:hideMark/>
          </w:tcPr>
          <w:p w14:paraId="0DB22379" w14:textId="0FA5B281" w:rsidR="009B5EFC" w:rsidRPr="0053555E" w:rsidRDefault="009B5EFC" w:rsidP="009B5EFC">
            <w:pPr>
              <w:jc w:val="center"/>
              <w:rPr>
                <w:rFonts w:asciiTheme="majorHAnsi" w:hAnsiTheme="majorHAnsi" w:cstheme="majorHAnsi"/>
                <w:b/>
                <w:sz w:val="22"/>
                <w:szCs w:val="22"/>
              </w:rPr>
            </w:pPr>
            <w:r w:rsidRPr="0053555E">
              <w:rPr>
                <w:rFonts w:cs="Arial"/>
                <w:sz w:val="22"/>
                <w:szCs w:val="22"/>
              </w:rPr>
              <w:t>0,06 %</w:t>
            </w:r>
          </w:p>
        </w:tc>
      </w:tr>
      <w:tr w:rsidR="009B5EFC" w:rsidRPr="0053555E" w14:paraId="6B298D3F" w14:textId="77777777" w:rsidTr="009B5EFC">
        <w:trPr>
          <w:trHeight w:val="269"/>
        </w:trPr>
        <w:tc>
          <w:tcPr>
            <w:tcW w:w="1211" w:type="dxa"/>
            <w:shd w:val="clear" w:color="auto" w:fill="auto"/>
            <w:noWrap/>
            <w:vAlign w:val="bottom"/>
            <w:hideMark/>
          </w:tcPr>
          <w:p w14:paraId="6BBD0352" w14:textId="0921888E" w:rsidR="009B5EFC" w:rsidRPr="0053555E" w:rsidRDefault="009B5EFC" w:rsidP="009B5EFC">
            <w:pPr>
              <w:jc w:val="center"/>
              <w:rPr>
                <w:rFonts w:asciiTheme="majorHAnsi" w:hAnsiTheme="majorHAnsi" w:cstheme="majorHAnsi"/>
                <w:sz w:val="22"/>
                <w:szCs w:val="22"/>
              </w:rPr>
            </w:pPr>
            <w:r w:rsidRPr="0053555E">
              <w:rPr>
                <w:rFonts w:cs="Arial"/>
                <w:sz w:val="22"/>
                <w:szCs w:val="22"/>
              </w:rPr>
              <w:t>2016/2017</w:t>
            </w:r>
          </w:p>
        </w:tc>
        <w:tc>
          <w:tcPr>
            <w:tcW w:w="1134" w:type="dxa"/>
            <w:shd w:val="clear" w:color="auto" w:fill="auto"/>
            <w:vAlign w:val="bottom"/>
            <w:hideMark/>
          </w:tcPr>
          <w:p w14:paraId="4D354C50" w14:textId="67B57F5A" w:rsidR="009B5EFC" w:rsidRPr="0053555E" w:rsidRDefault="009B5EFC" w:rsidP="009B5EFC">
            <w:pPr>
              <w:jc w:val="center"/>
              <w:rPr>
                <w:rFonts w:asciiTheme="majorHAnsi" w:hAnsiTheme="majorHAnsi" w:cstheme="majorHAnsi"/>
                <w:sz w:val="22"/>
                <w:szCs w:val="22"/>
              </w:rPr>
            </w:pPr>
            <w:r w:rsidRPr="0053555E">
              <w:rPr>
                <w:rFonts w:cs="Arial"/>
                <w:sz w:val="22"/>
                <w:szCs w:val="22"/>
              </w:rPr>
              <w:t>2 008</w:t>
            </w:r>
          </w:p>
        </w:tc>
        <w:tc>
          <w:tcPr>
            <w:tcW w:w="708" w:type="dxa"/>
            <w:shd w:val="clear" w:color="auto" w:fill="auto"/>
            <w:vAlign w:val="bottom"/>
            <w:hideMark/>
          </w:tcPr>
          <w:p w14:paraId="10BD65B8" w14:textId="0C2452A4" w:rsidR="009B5EFC" w:rsidRPr="0053555E" w:rsidRDefault="009B5EFC" w:rsidP="009B5EFC">
            <w:pPr>
              <w:jc w:val="center"/>
              <w:rPr>
                <w:rFonts w:asciiTheme="majorHAnsi" w:hAnsiTheme="majorHAnsi" w:cstheme="majorHAnsi"/>
                <w:sz w:val="22"/>
                <w:szCs w:val="22"/>
              </w:rPr>
            </w:pPr>
            <w:r w:rsidRPr="0053555E">
              <w:rPr>
                <w:rFonts w:cs="Arial"/>
                <w:sz w:val="22"/>
                <w:szCs w:val="22"/>
              </w:rPr>
              <w:t>1 702</w:t>
            </w:r>
          </w:p>
        </w:tc>
        <w:tc>
          <w:tcPr>
            <w:tcW w:w="851" w:type="dxa"/>
            <w:shd w:val="clear" w:color="auto" w:fill="EEECE1" w:themeFill="background2"/>
            <w:noWrap/>
            <w:vAlign w:val="bottom"/>
            <w:hideMark/>
          </w:tcPr>
          <w:p w14:paraId="4CF3F05A" w14:textId="5C53008D" w:rsidR="009B5EFC" w:rsidRPr="0053555E" w:rsidRDefault="009B5EFC" w:rsidP="009B5EFC">
            <w:pPr>
              <w:jc w:val="center"/>
              <w:rPr>
                <w:rFonts w:asciiTheme="majorHAnsi" w:hAnsiTheme="majorHAnsi" w:cstheme="majorHAnsi"/>
                <w:b/>
                <w:sz w:val="22"/>
                <w:szCs w:val="22"/>
              </w:rPr>
            </w:pPr>
            <w:r w:rsidRPr="0053555E">
              <w:rPr>
                <w:rFonts w:cs="Arial"/>
                <w:sz w:val="22"/>
                <w:szCs w:val="22"/>
              </w:rPr>
              <w:t>84,76 %</w:t>
            </w:r>
          </w:p>
        </w:tc>
        <w:tc>
          <w:tcPr>
            <w:tcW w:w="850" w:type="dxa"/>
            <w:shd w:val="clear" w:color="auto" w:fill="auto"/>
            <w:noWrap/>
            <w:vAlign w:val="bottom"/>
            <w:hideMark/>
          </w:tcPr>
          <w:p w14:paraId="4558827D" w14:textId="473445B9" w:rsidR="009B5EFC" w:rsidRPr="0053555E" w:rsidRDefault="009B5EFC" w:rsidP="009B5EFC">
            <w:pPr>
              <w:jc w:val="center"/>
              <w:rPr>
                <w:rFonts w:asciiTheme="majorHAnsi" w:hAnsiTheme="majorHAnsi" w:cstheme="majorHAnsi"/>
                <w:sz w:val="22"/>
                <w:szCs w:val="22"/>
              </w:rPr>
            </w:pPr>
            <w:r w:rsidRPr="0053555E">
              <w:rPr>
                <w:rFonts w:cs="Arial"/>
                <w:sz w:val="22"/>
                <w:szCs w:val="22"/>
              </w:rPr>
              <w:t>268</w:t>
            </w:r>
          </w:p>
        </w:tc>
        <w:tc>
          <w:tcPr>
            <w:tcW w:w="851" w:type="dxa"/>
            <w:shd w:val="clear" w:color="auto" w:fill="EEECE1" w:themeFill="background2"/>
            <w:noWrap/>
            <w:vAlign w:val="bottom"/>
            <w:hideMark/>
          </w:tcPr>
          <w:p w14:paraId="6F92CE6C" w14:textId="0E4FAA7A" w:rsidR="009B5EFC" w:rsidRPr="0053555E" w:rsidRDefault="009B5EFC" w:rsidP="009B5EFC">
            <w:pPr>
              <w:jc w:val="center"/>
              <w:rPr>
                <w:rFonts w:asciiTheme="majorHAnsi" w:hAnsiTheme="majorHAnsi" w:cstheme="majorHAnsi"/>
                <w:b/>
                <w:sz w:val="22"/>
                <w:szCs w:val="22"/>
              </w:rPr>
            </w:pPr>
            <w:r w:rsidRPr="0053555E">
              <w:rPr>
                <w:rFonts w:cs="Arial"/>
                <w:sz w:val="22"/>
                <w:szCs w:val="22"/>
              </w:rPr>
              <w:t>13,35 %</w:t>
            </w:r>
          </w:p>
        </w:tc>
        <w:tc>
          <w:tcPr>
            <w:tcW w:w="850" w:type="dxa"/>
            <w:shd w:val="clear" w:color="auto" w:fill="auto"/>
            <w:noWrap/>
            <w:vAlign w:val="bottom"/>
            <w:hideMark/>
          </w:tcPr>
          <w:p w14:paraId="6E05FD58" w14:textId="06E20F11" w:rsidR="009B5EFC" w:rsidRPr="0053555E" w:rsidRDefault="009B5EFC" w:rsidP="009B5EFC">
            <w:pPr>
              <w:jc w:val="center"/>
              <w:rPr>
                <w:rFonts w:asciiTheme="majorHAnsi" w:hAnsiTheme="majorHAnsi" w:cstheme="majorHAnsi"/>
                <w:sz w:val="22"/>
                <w:szCs w:val="22"/>
              </w:rPr>
            </w:pPr>
            <w:r w:rsidRPr="0053555E">
              <w:rPr>
                <w:rFonts w:cs="Arial"/>
                <w:sz w:val="22"/>
                <w:szCs w:val="22"/>
              </w:rPr>
              <w:t>38</w:t>
            </w:r>
          </w:p>
        </w:tc>
        <w:tc>
          <w:tcPr>
            <w:tcW w:w="851" w:type="dxa"/>
            <w:shd w:val="clear" w:color="auto" w:fill="EEECE1" w:themeFill="background2"/>
            <w:noWrap/>
            <w:vAlign w:val="bottom"/>
            <w:hideMark/>
          </w:tcPr>
          <w:p w14:paraId="76D4F966" w14:textId="5961C353" w:rsidR="009B5EFC" w:rsidRPr="0053555E" w:rsidRDefault="009B5EFC" w:rsidP="009B5EFC">
            <w:pPr>
              <w:jc w:val="center"/>
              <w:rPr>
                <w:rFonts w:asciiTheme="majorHAnsi" w:hAnsiTheme="majorHAnsi" w:cstheme="majorHAnsi"/>
                <w:b/>
                <w:sz w:val="22"/>
                <w:szCs w:val="22"/>
              </w:rPr>
            </w:pPr>
            <w:r w:rsidRPr="0053555E">
              <w:rPr>
                <w:rFonts w:cs="Arial"/>
                <w:sz w:val="22"/>
                <w:szCs w:val="22"/>
              </w:rPr>
              <w:t>1,89 %</w:t>
            </w:r>
          </w:p>
        </w:tc>
        <w:tc>
          <w:tcPr>
            <w:tcW w:w="850" w:type="dxa"/>
            <w:shd w:val="clear" w:color="auto" w:fill="auto"/>
            <w:noWrap/>
            <w:vAlign w:val="bottom"/>
            <w:hideMark/>
          </w:tcPr>
          <w:p w14:paraId="6370B590" w14:textId="7171C037" w:rsidR="009B5EFC" w:rsidRPr="0053555E" w:rsidRDefault="009B5EFC" w:rsidP="009B5EFC">
            <w:pPr>
              <w:jc w:val="center"/>
              <w:rPr>
                <w:rFonts w:asciiTheme="majorHAnsi" w:hAnsiTheme="majorHAnsi" w:cstheme="majorHAnsi"/>
                <w:sz w:val="22"/>
                <w:szCs w:val="22"/>
              </w:rPr>
            </w:pPr>
            <w:r w:rsidRPr="0053555E">
              <w:rPr>
                <w:rFonts w:cs="Arial"/>
                <w:sz w:val="22"/>
                <w:szCs w:val="22"/>
              </w:rPr>
              <w:t>0</w:t>
            </w:r>
          </w:p>
        </w:tc>
        <w:tc>
          <w:tcPr>
            <w:tcW w:w="851" w:type="dxa"/>
            <w:shd w:val="clear" w:color="auto" w:fill="EEECE1" w:themeFill="background2"/>
            <w:noWrap/>
            <w:vAlign w:val="bottom"/>
            <w:hideMark/>
          </w:tcPr>
          <w:p w14:paraId="75F24AB9" w14:textId="62BDAB72" w:rsidR="009B5EFC" w:rsidRPr="0053555E" w:rsidRDefault="009B5EFC" w:rsidP="009B5EFC">
            <w:pPr>
              <w:jc w:val="center"/>
              <w:rPr>
                <w:rFonts w:asciiTheme="majorHAnsi" w:hAnsiTheme="majorHAnsi" w:cstheme="majorHAnsi"/>
                <w:b/>
                <w:sz w:val="22"/>
                <w:szCs w:val="22"/>
              </w:rPr>
            </w:pPr>
            <w:r w:rsidRPr="0053555E">
              <w:rPr>
                <w:rFonts w:cs="Arial"/>
                <w:sz w:val="22"/>
                <w:szCs w:val="22"/>
              </w:rPr>
              <w:t>0,00 %</w:t>
            </w:r>
          </w:p>
        </w:tc>
      </w:tr>
      <w:tr w:rsidR="009B5EFC" w:rsidRPr="0053555E" w14:paraId="4100BA0D" w14:textId="77777777" w:rsidTr="009B5EFC">
        <w:trPr>
          <w:trHeight w:val="269"/>
        </w:trPr>
        <w:tc>
          <w:tcPr>
            <w:tcW w:w="1211" w:type="dxa"/>
            <w:shd w:val="clear" w:color="auto" w:fill="auto"/>
            <w:noWrap/>
            <w:vAlign w:val="bottom"/>
            <w:hideMark/>
          </w:tcPr>
          <w:p w14:paraId="341C9569" w14:textId="48D97144" w:rsidR="009B5EFC" w:rsidRPr="0053555E" w:rsidRDefault="009B5EFC" w:rsidP="009B5EFC">
            <w:pPr>
              <w:jc w:val="center"/>
              <w:rPr>
                <w:rFonts w:asciiTheme="majorHAnsi" w:hAnsiTheme="majorHAnsi" w:cstheme="majorHAnsi"/>
                <w:sz w:val="22"/>
                <w:szCs w:val="22"/>
              </w:rPr>
            </w:pPr>
            <w:r w:rsidRPr="0053555E">
              <w:rPr>
                <w:rFonts w:cs="Arial"/>
                <w:sz w:val="22"/>
                <w:szCs w:val="22"/>
              </w:rPr>
              <w:t>2017/2018</w:t>
            </w:r>
          </w:p>
        </w:tc>
        <w:tc>
          <w:tcPr>
            <w:tcW w:w="1134" w:type="dxa"/>
            <w:shd w:val="clear" w:color="auto" w:fill="auto"/>
            <w:vAlign w:val="bottom"/>
            <w:hideMark/>
          </w:tcPr>
          <w:p w14:paraId="479CA9CC" w14:textId="69C3CE6A" w:rsidR="009B5EFC" w:rsidRPr="0053555E" w:rsidRDefault="009B5EFC" w:rsidP="009B5EFC">
            <w:pPr>
              <w:jc w:val="center"/>
              <w:rPr>
                <w:rFonts w:asciiTheme="majorHAnsi" w:hAnsiTheme="majorHAnsi" w:cstheme="majorHAnsi"/>
                <w:sz w:val="22"/>
                <w:szCs w:val="22"/>
              </w:rPr>
            </w:pPr>
            <w:r w:rsidRPr="0053555E">
              <w:rPr>
                <w:rFonts w:cs="Arial"/>
                <w:sz w:val="22"/>
                <w:szCs w:val="22"/>
              </w:rPr>
              <w:t>1 949</w:t>
            </w:r>
          </w:p>
        </w:tc>
        <w:tc>
          <w:tcPr>
            <w:tcW w:w="708" w:type="dxa"/>
            <w:shd w:val="clear" w:color="auto" w:fill="auto"/>
            <w:vAlign w:val="bottom"/>
            <w:hideMark/>
          </w:tcPr>
          <w:p w14:paraId="602AC9FA" w14:textId="06A3B6B8" w:rsidR="009B5EFC" w:rsidRPr="0053555E" w:rsidRDefault="009B5EFC" w:rsidP="009B5EFC">
            <w:pPr>
              <w:jc w:val="center"/>
              <w:rPr>
                <w:rFonts w:asciiTheme="majorHAnsi" w:hAnsiTheme="majorHAnsi" w:cstheme="majorHAnsi"/>
                <w:sz w:val="22"/>
                <w:szCs w:val="22"/>
              </w:rPr>
            </w:pPr>
            <w:r w:rsidRPr="0053555E">
              <w:rPr>
                <w:rFonts w:cs="Arial"/>
                <w:sz w:val="22"/>
                <w:szCs w:val="22"/>
              </w:rPr>
              <w:t>1 478</w:t>
            </w:r>
          </w:p>
        </w:tc>
        <w:tc>
          <w:tcPr>
            <w:tcW w:w="851" w:type="dxa"/>
            <w:shd w:val="clear" w:color="auto" w:fill="EEECE1" w:themeFill="background2"/>
            <w:noWrap/>
            <w:vAlign w:val="bottom"/>
            <w:hideMark/>
          </w:tcPr>
          <w:p w14:paraId="649377F9" w14:textId="500355CB" w:rsidR="009B5EFC" w:rsidRPr="0053555E" w:rsidRDefault="009B5EFC" w:rsidP="009B5EFC">
            <w:pPr>
              <w:jc w:val="center"/>
              <w:rPr>
                <w:rFonts w:asciiTheme="majorHAnsi" w:hAnsiTheme="majorHAnsi" w:cstheme="majorHAnsi"/>
                <w:b/>
                <w:sz w:val="22"/>
                <w:szCs w:val="22"/>
              </w:rPr>
            </w:pPr>
            <w:r w:rsidRPr="0053555E">
              <w:rPr>
                <w:rFonts w:cs="Arial"/>
                <w:sz w:val="22"/>
                <w:szCs w:val="22"/>
              </w:rPr>
              <w:t>75,8</w:t>
            </w:r>
            <w:r w:rsidR="00626B96" w:rsidRPr="0053555E">
              <w:rPr>
                <w:rFonts w:cs="Arial"/>
                <w:sz w:val="22"/>
                <w:szCs w:val="22"/>
              </w:rPr>
              <w:t>4</w:t>
            </w:r>
            <w:r w:rsidRPr="0053555E">
              <w:rPr>
                <w:rFonts w:cs="Arial"/>
                <w:sz w:val="22"/>
                <w:szCs w:val="22"/>
              </w:rPr>
              <w:t xml:space="preserve"> %</w:t>
            </w:r>
          </w:p>
        </w:tc>
        <w:tc>
          <w:tcPr>
            <w:tcW w:w="850" w:type="dxa"/>
            <w:shd w:val="clear" w:color="auto" w:fill="auto"/>
            <w:noWrap/>
            <w:vAlign w:val="bottom"/>
            <w:hideMark/>
          </w:tcPr>
          <w:p w14:paraId="086E8AD7" w14:textId="4C8DF2A8" w:rsidR="009B5EFC" w:rsidRPr="0053555E" w:rsidRDefault="009B5EFC" w:rsidP="009B5EFC">
            <w:pPr>
              <w:jc w:val="center"/>
              <w:rPr>
                <w:rFonts w:asciiTheme="majorHAnsi" w:hAnsiTheme="majorHAnsi" w:cstheme="majorHAnsi"/>
                <w:sz w:val="22"/>
                <w:szCs w:val="22"/>
              </w:rPr>
            </w:pPr>
            <w:r w:rsidRPr="0053555E">
              <w:rPr>
                <w:rFonts w:cs="Arial"/>
                <w:sz w:val="22"/>
                <w:szCs w:val="22"/>
              </w:rPr>
              <w:t>278</w:t>
            </w:r>
          </w:p>
        </w:tc>
        <w:tc>
          <w:tcPr>
            <w:tcW w:w="851" w:type="dxa"/>
            <w:shd w:val="clear" w:color="auto" w:fill="EEECE1" w:themeFill="background2"/>
            <w:noWrap/>
            <w:vAlign w:val="bottom"/>
            <w:hideMark/>
          </w:tcPr>
          <w:p w14:paraId="13D1057E" w14:textId="214BB75B" w:rsidR="009B5EFC" w:rsidRPr="0053555E" w:rsidRDefault="009B5EFC" w:rsidP="009B5EFC">
            <w:pPr>
              <w:jc w:val="center"/>
              <w:rPr>
                <w:rFonts w:asciiTheme="majorHAnsi" w:hAnsiTheme="majorHAnsi" w:cstheme="majorHAnsi"/>
                <w:b/>
                <w:sz w:val="22"/>
                <w:szCs w:val="22"/>
              </w:rPr>
            </w:pPr>
            <w:r w:rsidRPr="0053555E">
              <w:rPr>
                <w:rFonts w:cs="Arial"/>
                <w:sz w:val="22"/>
                <w:szCs w:val="22"/>
              </w:rPr>
              <w:t>14,26 %</w:t>
            </w:r>
          </w:p>
        </w:tc>
        <w:tc>
          <w:tcPr>
            <w:tcW w:w="850" w:type="dxa"/>
            <w:shd w:val="clear" w:color="auto" w:fill="auto"/>
            <w:noWrap/>
            <w:vAlign w:val="bottom"/>
            <w:hideMark/>
          </w:tcPr>
          <w:p w14:paraId="54CC6CC4" w14:textId="42940A51" w:rsidR="009B5EFC" w:rsidRPr="0053555E" w:rsidRDefault="009B5EFC" w:rsidP="009B5EFC">
            <w:pPr>
              <w:jc w:val="center"/>
              <w:rPr>
                <w:rFonts w:asciiTheme="majorHAnsi" w:hAnsiTheme="majorHAnsi" w:cstheme="majorHAnsi"/>
                <w:sz w:val="22"/>
                <w:szCs w:val="22"/>
              </w:rPr>
            </w:pPr>
            <w:r w:rsidRPr="0053555E">
              <w:rPr>
                <w:rFonts w:cs="Arial"/>
                <w:sz w:val="22"/>
                <w:szCs w:val="22"/>
              </w:rPr>
              <w:t>192</w:t>
            </w:r>
          </w:p>
        </w:tc>
        <w:tc>
          <w:tcPr>
            <w:tcW w:w="851" w:type="dxa"/>
            <w:shd w:val="clear" w:color="auto" w:fill="EEECE1" w:themeFill="background2"/>
            <w:noWrap/>
            <w:vAlign w:val="bottom"/>
            <w:hideMark/>
          </w:tcPr>
          <w:p w14:paraId="41758BAC" w14:textId="168F2963" w:rsidR="009B5EFC" w:rsidRPr="0053555E" w:rsidRDefault="009B5EFC" w:rsidP="009B5EFC">
            <w:pPr>
              <w:jc w:val="center"/>
              <w:rPr>
                <w:rFonts w:asciiTheme="majorHAnsi" w:hAnsiTheme="majorHAnsi" w:cstheme="majorHAnsi"/>
                <w:b/>
                <w:sz w:val="22"/>
                <w:szCs w:val="22"/>
              </w:rPr>
            </w:pPr>
            <w:r w:rsidRPr="0053555E">
              <w:rPr>
                <w:rFonts w:cs="Arial"/>
                <w:sz w:val="22"/>
                <w:szCs w:val="22"/>
              </w:rPr>
              <w:t>9,85 %</w:t>
            </w:r>
          </w:p>
        </w:tc>
        <w:tc>
          <w:tcPr>
            <w:tcW w:w="850" w:type="dxa"/>
            <w:shd w:val="clear" w:color="auto" w:fill="auto"/>
            <w:noWrap/>
            <w:vAlign w:val="bottom"/>
            <w:hideMark/>
          </w:tcPr>
          <w:p w14:paraId="557C119C" w14:textId="4CC83575" w:rsidR="009B5EFC" w:rsidRPr="0053555E" w:rsidRDefault="009B5EFC" w:rsidP="009B5EFC">
            <w:pPr>
              <w:jc w:val="center"/>
              <w:rPr>
                <w:rFonts w:asciiTheme="majorHAnsi" w:hAnsiTheme="majorHAnsi" w:cstheme="majorHAnsi"/>
                <w:sz w:val="22"/>
                <w:szCs w:val="22"/>
              </w:rPr>
            </w:pPr>
            <w:r w:rsidRPr="0053555E">
              <w:rPr>
                <w:rFonts w:cs="Arial"/>
                <w:sz w:val="22"/>
                <w:szCs w:val="22"/>
              </w:rPr>
              <w:t>1</w:t>
            </w:r>
          </w:p>
        </w:tc>
        <w:tc>
          <w:tcPr>
            <w:tcW w:w="851" w:type="dxa"/>
            <w:shd w:val="clear" w:color="auto" w:fill="EEECE1" w:themeFill="background2"/>
            <w:noWrap/>
            <w:vAlign w:val="bottom"/>
            <w:hideMark/>
          </w:tcPr>
          <w:p w14:paraId="13BC7C7E" w14:textId="2167112D" w:rsidR="009B5EFC" w:rsidRPr="0053555E" w:rsidRDefault="009B5EFC" w:rsidP="009B5EFC">
            <w:pPr>
              <w:jc w:val="center"/>
              <w:rPr>
                <w:rFonts w:asciiTheme="majorHAnsi" w:hAnsiTheme="majorHAnsi" w:cstheme="majorHAnsi"/>
                <w:b/>
                <w:sz w:val="22"/>
                <w:szCs w:val="22"/>
              </w:rPr>
            </w:pPr>
            <w:r w:rsidRPr="0053555E">
              <w:rPr>
                <w:rFonts w:cs="Arial"/>
                <w:sz w:val="22"/>
                <w:szCs w:val="22"/>
              </w:rPr>
              <w:t>0,05 %</w:t>
            </w:r>
          </w:p>
        </w:tc>
      </w:tr>
      <w:tr w:rsidR="009B5EFC" w:rsidRPr="0053555E" w14:paraId="69214A0E" w14:textId="77777777" w:rsidTr="009B5EFC">
        <w:trPr>
          <w:trHeight w:val="269"/>
        </w:trPr>
        <w:tc>
          <w:tcPr>
            <w:tcW w:w="1211" w:type="dxa"/>
            <w:shd w:val="clear" w:color="auto" w:fill="auto"/>
            <w:noWrap/>
            <w:vAlign w:val="bottom"/>
            <w:hideMark/>
          </w:tcPr>
          <w:p w14:paraId="53EE5B1D" w14:textId="3846650F" w:rsidR="009B5EFC" w:rsidRPr="0053555E" w:rsidRDefault="009B5EFC" w:rsidP="009B5EFC">
            <w:pPr>
              <w:jc w:val="center"/>
              <w:rPr>
                <w:rFonts w:asciiTheme="majorHAnsi" w:hAnsiTheme="majorHAnsi" w:cstheme="majorHAnsi"/>
                <w:sz w:val="22"/>
                <w:szCs w:val="22"/>
              </w:rPr>
            </w:pPr>
            <w:r w:rsidRPr="0053555E">
              <w:rPr>
                <w:rFonts w:cs="Arial"/>
                <w:sz w:val="22"/>
                <w:szCs w:val="22"/>
              </w:rPr>
              <w:t>2018/2019</w:t>
            </w:r>
          </w:p>
        </w:tc>
        <w:tc>
          <w:tcPr>
            <w:tcW w:w="1134" w:type="dxa"/>
            <w:shd w:val="clear" w:color="auto" w:fill="auto"/>
            <w:vAlign w:val="bottom"/>
            <w:hideMark/>
          </w:tcPr>
          <w:p w14:paraId="7A2A51EE" w14:textId="2CDEB010" w:rsidR="009B5EFC" w:rsidRPr="0053555E" w:rsidRDefault="009B5EFC" w:rsidP="009B5EFC">
            <w:pPr>
              <w:jc w:val="center"/>
              <w:rPr>
                <w:rFonts w:asciiTheme="majorHAnsi" w:hAnsiTheme="majorHAnsi" w:cstheme="majorHAnsi"/>
                <w:sz w:val="22"/>
                <w:szCs w:val="22"/>
              </w:rPr>
            </w:pPr>
            <w:r w:rsidRPr="0053555E">
              <w:rPr>
                <w:rFonts w:cs="Arial"/>
                <w:sz w:val="22"/>
                <w:szCs w:val="22"/>
              </w:rPr>
              <w:t>1 743</w:t>
            </w:r>
          </w:p>
        </w:tc>
        <w:tc>
          <w:tcPr>
            <w:tcW w:w="708" w:type="dxa"/>
            <w:shd w:val="clear" w:color="auto" w:fill="auto"/>
            <w:vAlign w:val="bottom"/>
            <w:hideMark/>
          </w:tcPr>
          <w:p w14:paraId="449614F7" w14:textId="20E1243F" w:rsidR="009B5EFC" w:rsidRPr="0053555E" w:rsidRDefault="009B5EFC" w:rsidP="009B5EFC">
            <w:pPr>
              <w:jc w:val="center"/>
              <w:rPr>
                <w:rFonts w:asciiTheme="majorHAnsi" w:hAnsiTheme="majorHAnsi" w:cstheme="majorHAnsi"/>
                <w:sz w:val="22"/>
                <w:szCs w:val="22"/>
              </w:rPr>
            </w:pPr>
            <w:r w:rsidRPr="0053555E">
              <w:rPr>
                <w:rFonts w:cs="Arial"/>
                <w:sz w:val="22"/>
                <w:szCs w:val="22"/>
              </w:rPr>
              <w:t>1 467</w:t>
            </w:r>
          </w:p>
        </w:tc>
        <w:tc>
          <w:tcPr>
            <w:tcW w:w="851" w:type="dxa"/>
            <w:shd w:val="clear" w:color="auto" w:fill="EEECE1" w:themeFill="background2"/>
            <w:noWrap/>
            <w:vAlign w:val="bottom"/>
            <w:hideMark/>
          </w:tcPr>
          <w:p w14:paraId="4CAF2B29" w14:textId="464A412F" w:rsidR="009B5EFC" w:rsidRPr="0053555E" w:rsidRDefault="009B5EFC" w:rsidP="009B5EFC">
            <w:pPr>
              <w:jc w:val="center"/>
              <w:rPr>
                <w:rFonts w:asciiTheme="majorHAnsi" w:hAnsiTheme="majorHAnsi" w:cstheme="majorHAnsi"/>
                <w:b/>
                <w:sz w:val="22"/>
                <w:szCs w:val="22"/>
              </w:rPr>
            </w:pPr>
            <w:r w:rsidRPr="0053555E">
              <w:rPr>
                <w:rFonts w:cs="Arial"/>
                <w:sz w:val="22"/>
                <w:szCs w:val="22"/>
              </w:rPr>
              <w:t>84,17 %</w:t>
            </w:r>
          </w:p>
        </w:tc>
        <w:tc>
          <w:tcPr>
            <w:tcW w:w="850" w:type="dxa"/>
            <w:shd w:val="clear" w:color="auto" w:fill="auto"/>
            <w:noWrap/>
            <w:vAlign w:val="bottom"/>
            <w:hideMark/>
          </w:tcPr>
          <w:p w14:paraId="77179F27" w14:textId="1F5517ED" w:rsidR="009B5EFC" w:rsidRPr="0053555E" w:rsidRDefault="009B5EFC" w:rsidP="009B5EFC">
            <w:pPr>
              <w:jc w:val="center"/>
              <w:rPr>
                <w:rFonts w:asciiTheme="majorHAnsi" w:hAnsiTheme="majorHAnsi" w:cstheme="majorHAnsi"/>
                <w:sz w:val="22"/>
                <w:szCs w:val="22"/>
              </w:rPr>
            </w:pPr>
            <w:r w:rsidRPr="0053555E">
              <w:rPr>
                <w:rFonts w:cs="Arial"/>
                <w:sz w:val="22"/>
                <w:szCs w:val="22"/>
              </w:rPr>
              <w:t>228</w:t>
            </w:r>
          </w:p>
        </w:tc>
        <w:tc>
          <w:tcPr>
            <w:tcW w:w="851" w:type="dxa"/>
            <w:shd w:val="clear" w:color="auto" w:fill="EEECE1" w:themeFill="background2"/>
            <w:noWrap/>
            <w:vAlign w:val="bottom"/>
            <w:hideMark/>
          </w:tcPr>
          <w:p w14:paraId="6041A483" w14:textId="70C5D7E7" w:rsidR="009B5EFC" w:rsidRPr="0053555E" w:rsidRDefault="009B5EFC" w:rsidP="009B5EFC">
            <w:pPr>
              <w:jc w:val="center"/>
              <w:rPr>
                <w:rFonts w:asciiTheme="majorHAnsi" w:hAnsiTheme="majorHAnsi" w:cstheme="majorHAnsi"/>
                <w:b/>
                <w:sz w:val="22"/>
                <w:szCs w:val="22"/>
              </w:rPr>
            </w:pPr>
            <w:r w:rsidRPr="0053555E">
              <w:rPr>
                <w:rFonts w:cs="Arial"/>
                <w:sz w:val="22"/>
                <w:szCs w:val="22"/>
              </w:rPr>
              <w:t>13,08 %</w:t>
            </w:r>
          </w:p>
        </w:tc>
        <w:tc>
          <w:tcPr>
            <w:tcW w:w="850" w:type="dxa"/>
            <w:shd w:val="clear" w:color="auto" w:fill="auto"/>
            <w:noWrap/>
            <w:vAlign w:val="bottom"/>
            <w:hideMark/>
          </w:tcPr>
          <w:p w14:paraId="51510D7B" w14:textId="6EEBD01A" w:rsidR="009B5EFC" w:rsidRPr="0053555E" w:rsidRDefault="009B5EFC" w:rsidP="009B5EFC">
            <w:pPr>
              <w:jc w:val="center"/>
              <w:rPr>
                <w:rFonts w:asciiTheme="majorHAnsi" w:hAnsiTheme="majorHAnsi" w:cstheme="majorHAnsi"/>
                <w:sz w:val="22"/>
                <w:szCs w:val="22"/>
              </w:rPr>
            </w:pPr>
            <w:r w:rsidRPr="0053555E">
              <w:rPr>
                <w:rFonts w:cs="Arial"/>
                <w:sz w:val="22"/>
                <w:szCs w:val="22"/>
              </w:rPr>
              <w:t>44</w:t>
            </w:r>
          </w:p>
        </w:tc>
        <w:tc>
          <w:tcPr>
            <w:tcW w:w="851" w:type="dxa"/>
            <w:shd w:val="clear" w:color="auto" w:fill="EEECE1" w:themeFill="background2"/>
            <w:noWrap/>
            <w:vAlign w:val="bottom"/>
            <w:hideMark/>
          </w:tcPr>
          <w:p w14:paraId="2D7F03FF" w14:textId="0D337377" w:rsidR="009B5EFC" w:rsidRPr="0053555E" w:rsidRDefault="009B5EFC" w:rsidP="009B5EFC">
            <w:pPr>
              <w:jc w:val="center"/>
              <w:rPr>
                <w:rFonts w:asciiTheme="majorHAnsi" w:hAnsiTheme="majorHAnsi" w:cstheme="majorHAnsi"/>
                <w:b/>
                <w:sz w:val="22"/>
                <w:szCs w:val="22"/>
              </w:rPr>
            </w:pPr>
            <w:r w:rsidRPr="0053555E">
              <w:rPr>
                <w:rFonts w:cs="Arial"/>
                <w:sz w:val="22"/>
                <w:szCs w:val="22"/>
              </w:rPr>
              <w:t>2,52 %</w:t>
            </w:r>
          </w:p>
        </w:tc>
        <w:tc>
          <w:tcPr>
            <w:tcW w:w="850" w:type="dxa"/>
            <w:shd w:val="clear" w:color="auto" w:fill="auto"/>
            <w:noWrap/>
            <w:vAlign w:val="bottom"/>
            <w:hideMark/>
          </w:tcPr>
          <w:p w14:paraId="7CC91F15" w14:textId="754A5A5B" w:rsidR="009B5EFC" w:rsidRPr="0053555E" w:rsidRDefault="009B5EFC" w:rsidP="009B5EFC">
            <w:pPr>
              <w:jc w:val="center"/>
              <w:rPr>
                <w:rFonts w:asciiTheme="majorHAnsi" w:hAnsiTheme="majorHAnsi" w:cstheme="majorHAnsi"/>
                <w:sz w:val="22"/>
                <w:szCs w:val="22"/>
              </w:rPr>
            </w:pPr>
            <w:r w:rsidRPr="0053555E">
              <w:rPr>
                <w:rFonts w:cs="Arial"/>
                <w:sz w:val="22"/>
                <w:szCs w:val="22"/>
              </w:rPr>
              <w:t>4</w:t>
            </w:r>
          </w:p>
        </w:tc>
        <w:tc>
          <w:tcPr>
            <w:tcW w:w="851" w:type="dxa"/>
            <w:shd w:val="clear" w:color="auto" w:fill="EEECE1" w:themeFill="background2"/>
            <w:noWrap/>
            <w:vAlign w:val="bottom"/>
            <w:hideMark/>
          </w:tcPr>
          <w:p w14:paraId="4ABA537A" w14:textId="0A0AC03F" w:rsidR="009B5EFC" w:rsidRPr="0053555E" w:rsidRDefault="009B5EFC" w:rsidP="009B5EFC">
            <w:pPr>
              <w:jc w:val="center"/>
              <w:rPr>
                <w:rFonts w:asciiTheme="majorHAnsi" w:hAnsiTheme="majorHAnsi" w:cstheme="majorHAnsi"/>
                <w:b/>
                <w:sz w:val="22"/>
                <w:szCs w:val="22"/>
              </w:rPr>
            </w:pPr>
            <w:r w:rsidRPr="0053555E">
              <w:rPr>
                <w:rFonts w:cs="Arial"/>
                <w:sz w:val="22"/>
                <w:szCs w:val="22"/>
              </w:rPr>
              <w:t>0,23 %</w:t>
            </w:r>
          </w:p>
        </w:tc>
      </w:tr>
      <w:tr w:rsidR="009B5EFC" w:rsidRPr="0053555E" w14:paraId="413970B4" w14:textId="77777777" w:rsidTr="009B5EFC">
        <w:trPr>
          <w:trHeight w:val="269"/>
        </w:trPr>
        <w:tc>
          <w:tcPr>
            <w:tcW w:w="1211" w:type="dxa"/>
            <w:shd w:val="clear" w:color="auto" w:fill="auto"/>
            <w:noWrap/>
            <w:vAlign w:val="bottom"/>
            <w:hideMark/>
          </w:tcPr>
          <w:p w14:paraId="3D22FA04" w14:textId="01860940" w:rsidR="009B5EFC" w:rsidRPr="0053555E" w:rsidRDefault="009B5EFC" w:rsidP="009B5EFC">
            <w:pPr>
              <w:jc w:val="center"/>
              <w:rPr>
                <w:rFonts w:asciiTheme="majorHAnsi" w:hAnsiTheme="majorHAnsi" w:cstheme="majorHAnsi"/>
                <w:sz w:val="22"/>
                <w:szCs w:val="22"/>
              </w:rPr>
            </w:pPr>
            <w:r w:rsidRPr="0053555E">
              <w:rPr>
                <w:rFonts w:cs="Arial"/>
                <w:sz w:val="22"/>
                <w:szCs w:val="22"/>
              </w:rPr>
              <w:t>2019/2020</w:t>
            </w:r>
          </w:p>
        </w:tc>
        <w:tc>
          <w:tcPr>
            <w:tcW w:w="1134" w:type="dxa"/>
            <w:shd w:val="clear" w:color="auto" w:fill="auto"/>
            <w:vAlign w:val="bottom"/>
            <w:hideMark/>
          </w:tcPr>
          <w:p w14:paraId="01DE39C2" w14:textId="1DA71530" w:rsidR="009B5EFC" w:rsidRPr="0053555E" w:rsidRDefault="009B5EFC" w:rsidP="009B5EFC">
            <w:pPr>
              <w:jc w:val="center"/>
              <w:rPr>
                <w:rFonts w:asciiTheme="majorHAnsi" w:hAnsiTheme="majorHAnsi" w:cstheme="majorHAnsi"/>
                <w:sz w:val="22"/>
                <w:szCs w:val="22"/>
              </w:rPr>
            </w:pPr>
            <w:r w:rsidRPr="0053555E">
              <w:rPr>
                <w:rFonts w:cs="Arial"/>
                <w:sz w:val="22"/>
                <w:szCs w:val="22"/>
              </w:rPr>
              <w:t>1 643</w:t>
            </w:r>
          </w:p>
        </w:tc>
        <w:tc>
          <w:tcPr>
            <w:tcW w:w="708" w:type="dxa"/>
            <w:shd w:val="clear" w:color="auto" w:fill="auto"/>
            <w:vAlign w:val="bottom"/>
            <w:hideMark/>
          </w:tcPr>
          <w:p w14:paraId="455A73D6" w14:textId="35048BD2" w:rsidR="009B5EFC" w:rsidRPr="0053555E" w:rsidRDefault="009B5EFC" w:rsidP="009B5EFC">
            <w:pPr>
              <w:jc w:val="center"/>
              <w:rPr>
                <w:rFonts w:asciiTheme="majorHAnsi" w:hAnsiTheme="majorHAnsi" w:cstheme="majorHAnsi"/>
                <w:sz w:val="22"/>
                <w:szCs w:val="22"/>
              </w:rPr>
            </w:pPr>
            <w:r w:rsidRPr="0053555E">
              <w:rPr>
                <w:rFonts w:cs="Arial"/>
                <w:sz w:val="22"/>
                <w:szCs w:val="22"/>
              </w:rPr>
              <w:t>1 342</w:t>
            </w:r>
          </w:p>
        </w:tc>
        <w:tc>
          <w:tcPr>
            <w:tcW w:w="851" w:type="dxa"/>
            <w:shd w:val="clear" w:color="auto" w:fill="EEECE1" w:themeFill="background2"/>
            <w:noWrap/>
            <w:vAlign w:val="bottom"/>
            <w:hideMark/>
          </w:tcPr>
          <w:p w14:paraId="3A1AA09A" w14:textId="29B37208" w:rsidR="009B5EFC" w:rsidRPr="0053555E" w:rsidRDefault="009B5EFC" w:rsidP="009B5EFC">
            <w:pPr>
              <w:jc w:val="center"/>
              <w:rPr>
                <w:rFonts w:asciiTheme="majorHAnsi" w:hAnsiTheme="majorHAnsi" w:cstheme="majorHAnsi"/>
                <w:b/>
                <w:sz w:val="22"/>
                <w:szCs w:val="22"/>
              </w:rPr>
            </w:pPr>
            <w:r w:rsidRPr="0053555E">
              <w:rPr>
                <w:rFonts w:cs="Arial"/>
                <w:sz w:val="22"/>
                <w:szCs w:val="22"/>
              </w:rPr>
              <w:t>81,68 %</w:t>
            </w:r>
          </w:p>
        </w:tc>
        <w:tc>
          <w:tcPr>
            <w:tcW w:w="850" w:type="dxa"/>
            <w:shd w:val="clear" w:color="auto" w:fill="auto"/>
            <w:noWrap/>
            <w:vAlign w:val="bottom"/>
            <w:hideMark/>
          </w:tcPr>
          <w:p w14:paraId="2A9005D8" w14:textId="4902FED7" w:rsidR="009B5EFC" w:rsidRPr="0053555E" w:rsidRDefault="009B5EFC" w:rsidP="009B5EFC">
            <w:pPr>
              <w:jc w:val="center"/>
              <w:rPr>
                <w:rFonts w:asciiTheme="majorHAnsi" w:hAnsiTheme="majorHAnsi" w:cstheme="majorHAnsi"/>
                <w:sz w:val="22"/>
                <w:szCs w:val="22"/>
              </w:rPr>
            </w:pPr>
            <w:r w:rsidRPr="0053555E">
              <w:rPr>
                <w:rFonts w:cs="Arial"/>
                <w:sz w:val="22"/>
                <w:szCs w:val="22"/>
              </w:rPr>
              <w:t>251</w:t>
            </w:r>
          </w:p>
        </w:tc>
        <w:tc>
          <w:tcPr>
            <w:tcW w:w="851" w:type="dxa"/>
            <w:shd w:val="clear" w:color="auto" w:fill="EEECE1" w:themeFill="background2"/>
            <w:noWrap/>
            <w:vAlign w:val="bottom"/>
            <w:hideMark/>
          </w:tcPr>
          <w:p w14:paraId="723CF766" w14:textId="70F89B72" w:rsidR="009B5EFC" w:rsidRPr="0053555E" w:rsidRDefault="009B5EFC" w:rsidP="009B5EFC">
            <w:pPr>
              <w:jc w:val="center"/>
              <w:rPr>
                <w:rFonts w:asciiTheme="majorHAnsi" w:hAnsiTheme="majorHAnsi" w:cstheme="majorHAnsi"/>
                <w:b/>
                <w:sz w:val="22"/>
                <w:szCs w:val="22"/>
              </w:rPr>
            </w:pPr>
            <w:r w:rsidRPr="0053555E">
              <w:rPr>
                <w:rFonts w:cs="Arial"/>
                <w:sz w:val="22"/>
                <w:szCs w:val="22"/>
              </w:rPr>
              <w:t>15,28 %</w:t>
            </w:r>
          </w:p>
        </w:tc>
        <w:tc>
          <w:tcPr>
            <w:tcW w:w="850" w:type="dxa"/>
            <w:shd w:val="clear" w:color="auto" w:fill="auto"/>
            <w:noWrap/>
            <w:vAlign w:val="bottom"/>
            <w:hideMark/>
          </w:tcPr>
          <w:p w14:paraId="27EBEC48" w14:textId="255D19F7" w:rsidR="009B5EFC" w:rsidRPr="0053555E" w:rsidRDefault="009B5EFC" w:rsidP="009B5EFC">
            <w:pPr>
              <w:jc w:val="center"/>
              <w:rPr>
                <w:rFonts w:asciiTheme="majorHAnsi" w:hAnsiTheme="majorHAnsi" w:cstheme="majorHAnsi"/>
                <w:sz w:val="22"/>
                <w:szCs w:val="22"/>
              </w:rPr>
            </w:pPr>
            <w:r w:rsidRPr="0053555E">
              <w:rPr>
                <w:rFonts w:cs="Arial"/>
                <w:sz w:val="22"/>
                <w:szCs w:val="22"/>
              </w:rPr>
              <w:t>35</w:t>
            </w:r>
          </w:p>
        </w:tc>
        <w:tc>
          <w:tcPr>
            <w:tcW w:w="851" w:type="dxa"/>
            <w:shd w:val="clear" w:color="auto" w:fill="EEECE1" w:themeFill="background2"/>
            <w:noWrap/>
            <w:vAlign w:val="bottom"/>
            <w:hideMark/>
          </w:tcPr>
          <w:p w14:paraId="20D4531C" w14:textId="09E14E10" w:rsidR="009B5EFC" w:rsidRPr="0053555E" w:rsidRDefault="009B5EFC" w:rsidP="009B5EFC">
            <w:pPr>
              <w:jc w:val="center"/>
              <w:rPr>
                <w:rFonts w:asciiTheme="majorHAnsi" w:hAnsiTheme="majorHAnsi" w:cstheme="majorHAnsi"/>
                <w:b/>
                <w:sz w:val="22"/>
                <w:szCs w:val="22"/>
              </w:rPr>
            </w:pPr>
            <w:r w:rsidRPr="0053555E">
              <w:rPr>
                <w:rFonts w:cs="Arial"/>
                <w:sz w:val="22"/>
                <w:szCs w:val="22"/>
              </w:rPr>
              <w:t>2,13 %</w:t>
            </w:r>
          </w:p>
        </w:tc>
        <w:tc>
          <w:tcPr>
            <w:tcW w:w="850" w:type="dxa"/>
            <w:shd w:val="clear" w:color="auto" w:fill="auto"/>
            <w:noWrap/>
            <w:vAlign w:val="bottom"/>
            <w:hideMark/>
          </w:tcPr>
          <w:p w14:paraId="0C85218E" w14:textId="26E605B0" w:rsidR="009B5EFC" w:rsidRPr="0053555E" w:rsidRDefault="009B5EFC" w:rsidP="009B5EFC">
            <w:pPr>
              <w:jc w:val="center"/>
              <w:rPr>
                <w:rFonts w:asciiTheme="majorHAnsi" w:hAnsiTheme="majorHAnsi" w:cstheme="majorHAnsi"/>
                <w:sz w:val="22"/>
                <w:szCs w:val="22"/>
              </w:rPr>
            </w:pPr>
            <w:r w:rsidRPr="0053555E">
              <w:rPr>
                <w:rFonts w:cs="Arial"/>
                <w:sz w:val="22"/>
                <w:szCs w:val="22"/>
              </w:rPr>
              <w:t>15</w:t>
            </w:r>
          </w:p>
        </w:tc>
        <w:tc>
          <w:tcPr>
            <w:tcW w:w="851" w:type="dxa"/>
            <w:shd w:val="clear" w:color="auto" w:fill="EEECE1" w:themeFill="background2"/>
            <w:noWrap/>
            <w:vAlign w:val="bottom"/>
            <w:hideMark/>
          </w:tcPr>
          <w:p w14:paraId="6A6509E4" w14:textId="597DDCA5" w:rsidR="009B5EFC" w:rsidRPr="0053555E" w:rsidRDefault="009B5EFC" w:rsidP="009B5EFC">
            <w:pPr>
              <w:jc w:val="center"/>
              <w:rPr>
                <w:rFonts w:asciiTheme="majorHAnsi" w:hAnsiTheme="majorHAnsi" w:cstheme="majorHAnsi"/>
                <w:b/>
                <w:sz w:val="22"/>
                <w:szCs w:val="22"/>
              </w:rPr>
            </w:pPr>
            <w:r w:rsidRPr="0053555E">
              <w:rPr>
                <w:rFonts w:cs="Arial"/>
                <w:sz w:val="22"/>
                <w:szCs w:val="22"/>
              </w:rPr>
              <w:t>0,91 %</w:t>
            </w:r>
          </w:p>
        </w:tc>
      </w:tr>
      <w:tr w:rsidR="009B5EFC" w:rsidRPr="0053555E" w14:paraId="3AD87B45" w14:textId="77777777" w:rsidTr="009B5EFC">
        <w:trPr>
          <w:trHeight w:val="269"/>
        </w:trPr>
        <w:tc>
          <w:tcPr>
            <w:tcW w:w="1211" w:type="dxa"/>
            <w:shd w:val="clear" w:color="auto" w:fill="auto"/>
            <w:noWrap/>
            <w:vAlign w:val="bottom"/>
            <w:hideMark/>
          </w:tcPr>
          <w:p w14:paraId="53A5936A" w14:textId="4C5BB8D3" w:rsidR="009B5EFC" w:rsidRPr="0053555E" w:rsidRDefault="009B5EFC" w:rsidP="009B5EFC">
            <w:pPr>
              <w:jc w:val="center"/>
              <w:rPr>
                <w:rFonts w:asciiTheme="majorHAnsi" w:hAnsiTheme="majorHAnsi" w:cstheme="majorHAnsi"/>
                <w:sz w:val="22"/>
                <w:szCs w:val="22"/>
              </w:rPr>
            </w:pPr>
            <w:r w:rsidRPr="0053555E">
              <w:rPr>
                <w:rFonts w:cs="Arial"/>
                <w:sz w:val="22"/>
                <w:szCs w:val="22"/>
              </w:rPr>
              <w:t>2020/2021</w:t>
            </w:r>
          </w:p>
        </w:tc>
        <w:tc>
          <w:tcPr>
            <w:tcW w:w="1134" w:type="dxa"/>
            <w:shd w:val="clear" w:color="auto" w:fill="auto"/>
            <w:vAlign w:val="bottom"/>
            <w:hideMark/>
          </w:tcPr>
          <w:p w14:paraId="1215242D" w14:textId="050459B1" w:rsidR="009B5EFC" w:rsidRPr="0053555E" w:rsidRDefault="009B5EFC" w:rsidP="009B5EFC">
            <w:pPr>
              <w:jc w:val="center"/>
              <w:rPr>
                <w:rFonts w:asciiTheme="majorHAnsi" w:hAnsiTheme="majorHAnsi" w:cstheme="majorHAnsi"/>
                <w:sz w:val="22"/>
                <w:szCs w:val="22"/>
              </w:rPr>
            </w:pPr>
            <w:r w:rsidRPr="0053555E">
              <w:rPr>
                <w:rFonts w:cs="Arial"/>
                <w:sz w:val="22"/>
                <w:szCs w:val="22"/>
              </w:rPr>
              <w:t>1 396</w:t>
            </w:r>
          </w:p>
        </w:tc>
        <w:tc>
          <w:tcPr>
            <w:tcW w:w="708" w:type="dxa"/>
            <w:shd w:val="clear" w:color="auto" w:fill="auto"/>
            <w:vAlign w:val="bottom"/>
            <w:hideMark/>
          </w:tcPr>
          <w:p w14:paraId="50197D95" w14:textId="5AB11AED" w:rsidR="009B5EFC" w:rsidRPr="0053555E" w:rsidRDefault="009B5EFC" w:rsidP="009B5EFC">
            <w:pPr>
              <w:jc w:val="center"/>
              <w:rPr>
                <w:rFonts w:asciiTheme="majorHAnsi" w:hAnsiTheme="majorHAnsi" w:cstheme="majorHAnsi"/>
                <w:sz w:val="22"/>
                <w:szCs w:val="22"/>
              </w:rPr>
            </w:pPr>
            <w:r w:rsidRPr="0053555E">
              <w:rPr>
                <w:rFonts w:cs="Arial"/>
                <w:sz w:val="22"/>
                <w:szCs w:val="22"/>
              </w:rPr>
              <w:t>1 025</w:t>
            </w:r>
          </w:p>
        </w:tc>
        <w:tc>
          <w:tcPr>
            <w:tcW w:w="851" w:type="dxa"/>
            <w:shd w:val="clear" w:color="auto" w:fill="EEECE1" w:themeFill="background2"/>
            <w:noWrap/>
            <w:vAlign w:val="bottom"/>
            <w:hideMark/>
          </w:tcPr>
          <w:p w14:paraId="7CF38F8C" w14:textId="17F9CB5E" w:rsidR="009B5EFC" w:rsidRPr="0053555E" w:rsidRDefault="009B5EFC" w:rsidP="009B5EFC">
            <w:pPr>
              <w:jc w:val="center"/>
              <w:rPr>
                <w:rFonts w:asciiTheme="majorHAnsi" w:hAnsiTheme="majorHAnsi" w:cstheme="majorHAnsi"/>
                <w:b/>
                <w:sz w:val="22"/>
                <w:szCs w:val="22"/>
              </w:rPr>
            </w:pPr>
            <w:r w:rsidRPr="0053555E">
              <w:rPr>
                <w:rFonts w:cs="Arial"/>
                <w:sz w:val="22"/>
                <w:szCs w:val="22"/>
              </w:rPr>
              <w:t>73,4</w:t>
            </w:r>
            <w:r w:rsidR="00626B96" w:rsidRPr="0053555E">
              <w:rPr>
                <w:rFonts w:cs="Arial"/>
                <w:sz w:val="22"/>
                <w:szCs w:val="22"/>
              </w:rPr>
              <w:t>3</w:t>
            </w:r>
            <w:r w:rsidRPr="0053555E">
              <w:rPr>
                <w:rFonts w:cs="Arial"/>
                <w:sz w:val="22"/>
                <w:szCs w:val="22"/>
              </w:rPr>
              <w:t xml:space="preserve"> %</w:t>
            </w:r>
          </w:p>
        </w:tc>
        <w:tc>
          <w:tcPr>
            <w:tcW w:w="850" w:type="dxa"/>
            <w:shd w:val="clear" w:color="auto" w:fill="auto"/>
            <w:noWrap/>
            <w:vAlign w:val="bottom"/>
            <w:hideMark/>
          </w:tcPr>
          <w:p w14:paraId="26D6E692" w14:textId="3DF800C8" w:rsidR="009B5EFC" w:rsidRPr="0053555E" w:rsidRDefault="009B5EFC" w:rsidP="009B5EFC">
            <w:pPr>
              <w:jc w:val="center"/>
              <w:rPr>
                <w:rFonts w:asciiTheme="majorHAnsi" w:hAnsiTheme="majorHAnsi" w:cstheme="majorHAnsi"/>
                <w:sz w:val="22"/>
                <w:szCs w:val="22"/>
              </w:rPr>
            </w:pPr>
            <w:r w:rsidRPr="0053555E">
              <w:rPr>
                <w:rFonts w:cs="Arial"/>
                <w:sz w:val="22"/>
                <w:szCs w:val="22"/>
              </w:rPr>
              <w:t>143</w:t>
            </w:r>
          </w:p>
        </w:tc>
        <w:tc>
          <w:tcPr>
            <w:tcW w:w="851" w:type="dxa"/>
            <w:shd w:val="clear" w:color="auto" w:fill="EEECE1" w:themeFill="background2"/>
            <w:noWrap/>
            <w:vAlign w:val="bottom"/>
            <w:hideMark/>
          </w:tcPr>
          <w:p w14:paraId="1D583A7F" w14:textId="0C705F3A" w:rsidR="009B5EFC" w:rsidRPr="0053555E" w:rsidRDefault="009B5EFC" w:rsidP="009B5EFC">
            <w:pPr>
              <w:jc w:val="center"/>
              <w:rPr>
                <w:rFonts w:asciiTheme="majorHAnsi" w:hAnsiTheme="majorHAnsi" w:cstheme="majorHAnsi"/>
                <w:b/>
                <w:sz w:val="22"/>
                <w:szCs w:val="22"/>
              </w:rPr>
            </w:pPr>
            <w:r w:rsidRPr="0053555E">
              <w:rPr>
                <w:rFonts w:cs="Arial"/>
                <w:sz w:val="22"/>
                <w:szCs w:val="22"/>
              </w:rPr>
              <w:t>10,24 %</w:t>
            </w:r>
          </w:p>
        </w:tc>
        <w:tc>
          <w:tcPr>
            <w:tcW w:w="850" w:type="dxa"/>
            <w:shd w:val="clear" w:color="auto" w:fill="auto"/>
            <w:noWrap/>
            <w:vAlign w:val="bottom"/>
            <w:hideMark/>
          </w:tcPr>
          <w:p w14:paraId="5CC8CA3D" w14:textId="7FB3E5F0" w:rsidR="009B5EFC" w:rsidRPr="0053555E" w:rsidRDefault="009B5EFC" w:rsidP="009B5EFC">
            <w:pPr>
              <w:jc w:val="center"/>
              <w:rPr>
                <w:rFonts w:asciiTheme="majorHAnsi" w:hAnsiTheme="majorHAnsi" w:cstheme="majorHAnsi"/>
                <w:sz w:val="22"/>
                <w:szCs w:val="22"/>
              </w:rPr>
            </w:pPr>
            <w:r w:rsidRPr="0053555E">
              <w:rPr>
                <w:rFonts w:cs="Arial"/>
                <w:sz w:val="22"/>
                <w:szCs w:val="22"/>
              </w:rPr>
              <w:t>100</w:t>
            </w:r>
          </w:p>
        </w:tc>
        <w:tc>
          <w:tcPr>
            <w:tcW w:w="851" w:type="dxa"/>
            <w:shd w:val="clear" w:color="auto" w:fill="EEECE1" w:themeFill="background2"/>
            <w:noWrap/>
            <w:vAlign w:val="bottom"/>
            <w:hideMark/>
          </w:tcPr>
          <w:p w14:paraId="1E037787" w14:textId="237C6746" w:rsidR="009B5EFC" w:rsidRPr="0053555E" w:rsidRDefault="009B5EFC" w:rsidP="009B5EFC">
            <w:pPr>
              <w:jc w:val="center"/>
              <w:rPr>
                <w:rFonts w:asciiTheme="majorHAnsi" w:hAnsiTheme="majorHAnsi" w:cstheme="majorHAnsi"/>
                <w:b/>
                <w:sz w:val="22"/>
                <w:szCs w:val="22"/>
              </w:rPr>
            </w:pPr>
            <w:r w:rsidRPr="0053555E">
              <w:rPr>
                <w:rFonts w:cs="Arial"/>
                <w:sz w:val="22"/>
                <w:szCs w:val="22"/>
              </w:rPr>
              <w:t>7,16 %</w:t>
            </w:r>
          </w:p>
        </w:tc>
        <w:tc>
          <w:tcPr>
            <w:tcW w:w="850" w:type="dxa"/>
            <w:shd w:val="clear" w:color="auto" w:fill="auto"/>
            <w:noWrap/>
            <w:vAlign w:val="bottom"/>
            <w:hideMark/>
          </w:tcPr>
          <w:p w14:paraId="060D4911" w14:textId="6017468F" w:rsidR="009B5EFC" w:rsidRPr="0053555E" w:rsidRDefault="009B5EFC" w:rsidP="009B5EFC">
            <w:pPr>
              <w:jc w:val="center"/>
              <w:rPr>
                <w:rFonts w:asciiTheme="majorHAnsi" w:hAnsiTheme="majorHAnsi" w:cstheme="majorHAnsi"/>
                <w:sz w:val="22"/>
                <w:szCs w:val="22"/>
              </w:rPr>
            </w:pPr>
            <w:r w:rsidRPr="0053555E">
              <w:rPr>
                <w:rFonts w:cs="Arial"/>
                <w:sz w:val="22"/>
                <w:szCs w:val="22"/>
              </w:rPr>
              <w:t>128</w:t>
            </w:r>
          </w:p>
        </w:tc>
        <w:tc>
          <w:tcPr>
            <w:tcW w:w="851" w:type="dxa"/>
            <w:shd w:val="clear" w:color="auto" w:fill="EEECE1" w:themeFill="background2"/>
            <w:noWrap/>
            <w:vAlign w:val="bottom"/>
            <w:hideMark/>
          </w:tcPr>
          <w:p w14:paraId="46B8CE8B" w14:textId="4C8682C7" w:rsidR="009B5EFC" w:rsidRPr="0053555E" w:rsidRDefault="009B5EFC" w:rsidP="009B5EFC">
            <w:pPr>
              <w:jc w:val="center"/>
              <w:rPr>
                <w:rFonts w:asciiTheme="majorHAnsi" w:hAnsiTheme="majorHAnsi" w:cstheme="majorHAnsi"/>
                <w:b/>
                <w:sz w:val="22"/>
                <w:szCs w:val="22"/>
              </w:rPr>
            </w:pPr>
            <w:r w:rsidRPr="0053555E">
              <w:rPr>
                <w:rFonts w:cs="Arial"/>
                <w:sz w:val="22"/>
                <w:szCs w:val="22"/>
              </w:rPr>
              <w:t>9,17 %</w:t>
            </w:r>
          </w:p>
        </w:tc>
      </w:tr>
      <w:tr w:rsidR="009B5EFC" w:rsidRPr="0053555E" w14:paraId="2414D310" w14:textId="77777777" w:rsidTr="009B5EFC">
        <w:trPr>
          <w:trHeight w:val="269"/>
        </w:trPr>
        <w:tc>
          <w:tcPr>
            <w:tcW w:w="1211" w:type="dxa"/>
            <w:shd w:val="clear" w:color="auto" w:fill="auto"/>
            <w:noWrap/>
            <w:vAlign w:val="bottom"/>
          </w:tcPr>
          <w:p w14:paraId="1DFDD891" w14:textId="05B9FADF" w:rsidR="009B5EFC" w:rsidRPr="0053555E" w:rsidRDefault="009B5EFC" w:rsidP="009B5EFC">
            <w:pPr>
              <w:jc w:val="center"/>
              <w:rPr>
                <w:rFonts w:asciiTheme="majorHAnsi" w:hAnsiTheme="majorHAnsi" w:cstheme="majorHAnsi"/>
                <w:sz w:val="22"/>
                <w:szCs w:val="22"/>
              </w:rPr>
            </w:pPr>
            <w:r w:rsidRPr="0053555E">
              <w:rPr>
                <w:rFonts w:cs="Arial"/>
                <w:sz w:val="22"/>
                <w:szCs w:val="22"/>
              </w:rPr>
              <w:t>2021/2022</w:t>
            </w:r>
          </w:p>
        </w:tc>
        <w:tc>
          <w:tcPr>
            <w:tcW w:w="1134" w:type="dxa"/>
            <w:shd w:val="clear" w:color="auto" w:fill="auto"/>
            <w:vAlign w:val="bottom"/>
          </w:tcPr>
          <w:p w14:paraId="2E69E5A1" w14:textId="26E8B1B4" w:rsidR="009B5EFC" w:rsidRPr="0053555E" w:rsidRDefault="009B5EFC" w:rsidP="009B5EFC">
            <w:pPr>
              <w:jc w:val="center"/>
              <w:rPr>
                <w:rFonts w:asciiTheme="majorHAnsi" w:hAnsiTheme="majorHAnsi" w:cstheme="majorHAnsi"/>
                <w:sz w:val="22"/>
                <w:szCs w:val="22"/>
              </w:rPr>
            </w:pPr>
            <w:r w:rsidRPr="0053555E">
              <w:rPr>
                <w:rFonts w:cs="Arial"/>
                <w:sz w:val="22"/>
                <w:szCs w:val="22"/>
              </w:rPr>
              <w:t>1 716</w:t>
            </w:r>
          </w:p>
        </w:tc>
        <w:tc>
          <w:tcPr>
            <w:tcW w:w="708" w:type="dxa"/>
            <w:shd w:val="clear" w:color="auto" w:fill="auto"/>
            <w:vAlign w:val="bottom"/>
          </w:tcPr>
          <w:p w14:paraId="2F9B18BF" w14:textId="459327E3" w:rsidR="009B5EFC" w:rsidRPr="0053555E" w:rsidRDefault="009B5EFC" w:rsidP="009B5EFC">
            <w:pPr>
              <w:jc w:val="center"/>
              <w:rPr>
                <w:rFonts w:asciiTheme="majorHAnsi" w:hAnsiTheme="majorHAnsi" w:cstheme="majorHAnsi"/>
                <w:sz w:val="22"/>
                <w:szCs w:val="22"/>
              </w:rPr>
            </w:pPr>
            <w:r w:rsidRPr="0053555E">
              <w:rPr>
                <w:rFonts w:cs="Arial"/>
                <w:sz w:val="22"/>
                <w:szCs w:val="22"/>
              </w:rPr>
              <w:t>101</w:t>
            </w:r>
          </w:p>
        </w:tc>
        <w:tc>
          <w:tcPr>
            <w:tcW w:w="851" w:type="dxa"/>
            <w:shd w:val="clear" w:color="auto" w:fill="EEECE1" w:themeFill="background2"/>
            <w:noWrap/>
            <w:vAlign w:val="bottom"/>
          </w:tcPr>
          <w:p w14:paraId="6C112742" w14:textId="47F59EC8" w:rsidR="009B5EFC" w:rsidRPr="0053555E" w:rsidRDefault="009B5EFC" w:rsidP="009B5EFC">
            <w:pPr>
              <w:jc w:val="center"/>
              <w:rPr>
                <w:rFonts w:asciiTheme="majorHAnsi" w:hAnsiTheme="majorHAnsi" w:cstheme="majorHAnsi"/>
                <w:b/>
                <w:sz w:val="22"/>
                <w:szCs w:val="22"/>
              </w:rPr>
            </w:pPr>
            <w:r w:rsidRPr="0053555E">
              <w:rPr>
                <w:rFonts w:cs="Arial"/>
                <w:sz w:val="22"/>
                <w:szCs w:val="22"/>
              </w:rPr>
              <w:t>5,89 %</w:t>
            </w:r>
          </w:p>
        </w:tc>
        <w:tc>
          <w:tcPr>
            <w:tcW w:w="850" w:type="dxa"/>
            <w:shd w:val="clear" w:color="auto" w:fill="auto"/>
            <w:noWrap/>
            <w:vAlign w:val="bottom"/>
          </w:tcPr>
          <w:p w14:paraId="691C00F1" w14:textId="4FEAEBE4" w:rsidR="009B5EFC" w:rsidRPr="0053555E" w:rsidRDefault="009B5EFC" w:rsidP="009B5EFC">
            <w:pPr>
              <w:jc w:val="center"/>
              <w:rPr>
                <w:rFonts w:asciiTheme="majorHAnsi" w:hAnsiTheme="majorHAnsi" w:cstheme="majorHAnsi"/>
                <w:sz w:val="22"/>
                <w:szCs w:val="22"/>
              </w:rPr>
            </w:pPr>
            <w:r w:rsidRPr="0053555E">
              <w:rPr>
                <w:rFonts w:cs="Arial"/>
                <w:sz w:val="22"/>
                <w:szCs w:val="22"/>
              </w:rPr>
              <w:t>176</w:t>
            </w:r>
          </w:p>
        </w:tc>
        <w:tc>
          <w:tcPr>
            <w:tcW w:w="851" w:type="dxa"/>
            <w:shd w:val="clear" w:color="auto" w:fill="EEECE1" w:themeFill="background2"/>
            <w:noWrap/>
            <w:vAlign w:val="bottom"/>
          </w:tcPr>
          <w:p w14:paraId="725D0207" w14:textId="4E01DC75" w:rsidR="009B5EFC" w:rsidRPr="0053555E" w:rsidRDefault="009B5EFC" w:rsidP="009B5EFC">
            <w:pPr>
              <w:jc w:val="center"/>
              <w:rPr>
                <w:rFonts w:asciiTheme="majorHAnsi" w:hAnsiTheme="majorHAnsi" w:cstheme="majorHAnsi"/>
                <w:b/>
                <w:sz w:val="22"/>
                <w:szCs w:val="22"/>
              </w:rPr>
            </w:pPr>
            <w:r w:rsidRPr="0053555E">
              <w:rPr>
                <w:rFonts w:cs="Arial"/>
                <w:sz w:val="22"/>
                <w:szCs w:val="22"/>
              </w:rPr>
              <w:t>10,26 %</w:t>
            </w:r>
          </w:p>
        </w:tc>
        <w:tc>
          <w:tcPr>
            <w:tcW w:w="850" w:type="dxa"/>
            <w:shd w:val="clear" w:color="auto" w:fill="auto"/>
            <w:noWrap/>
            <w:vAlign w:val="bottom"/>
          </w:tcPr>
          <w:p w14:paraId="7523B6A2" w14:textId="4FE01757" w:rsidR="009B5EFC" w:rsidRPr="0053555E" w:rsidRDefault="009B5EFC" w:rsidP="009B5EFC">
            <w:pPr>
              <w:jc w:val="center"/>
              <w:rPr>
                <w:rFonts w:asciiTheme="majorHAnsi" w:hAnsiTheme="majorHAnsi" w:cstheme="majorHAnsi"/>
                <w:sz w:val="22"/>
                <w:szCs w:val="22"/>
              </w:rPr>
            </w:pPr>
            <w:r w:rsidRPr="0053555E">
              <w:rPr>
                <w:rFonts w:cs="Arial"/>
                <w:sz w:val="22"/>
                <w:szCs w:val="22"/>
              </w:rPr>
              <w:t>67</w:t>
            </w:r>
          </w:p>
        </w:tc>
        <w:tc>
          <w:tcPr>
            <w:tcW w:w="851" w:type="dxa"/>
            <w:shd w:val="clear" w:color="auto" w:fill="EEECE1" w:themeFill="background2"/>
            <w:noWrap/>
            <w:vAlign w:val="bottom"/>
          </w:tcPr>
          <w:p w14:paraId="76225ADC" w14:textId="7692A964" w:rsidR="009B5EFC" w:rsidRPr="0053555E" w:rsidRDefault="009B5EFC" w:rsidP="009B5EFC">
            <w:pPr>
              <w:jc w:val="center"/>
              <w:rPr>
                <w:rFonts w:asciiTheme="majorHAnsi" w:hAnsiTheme="majorHAnsi" w:cstheme="majorHAnsi"/>
                <w:b/>
                <w:sz w:val="22"/>
                <w:szCs w:val="22"/>
              </w:rPr>
            </w:pPr>
            <w:r w:rsidRPr="0053555E">
              <w:rPr>
                <w:rFonts w:cs="Arial"/>
                <w:sz w:val="22"/>
                <w:szCs w:val="22"/>
              </w:rPr>
              <w:t>3,90 %</w:t>
            </w:r>
          </w:p>
        </w:tc>
        <w:tc>
          <w:tcPr>
            <w:tcW w:w="850" w:type="dxa"/>
            <w:shd w:val="clear" w:color="auto" w:fill="auto"/>
            <w:noWrap/>
            <w:vAlign w:val="bottom"/>
          </w:tcPr>
          <w:p w14:paraId="1F04AD6C" w14:textId="6046EF91" w:rsidR="009B5EFC" w:rsidRPr="0053555E" w:rsidRDefault="009B5EFC" w:rsidP="009B5EFC">
            <w:pPr>
              <w:jc w:val="center"/>
              <w:rPr>
                <w:rFonts w:asciiTheme="majorHAnsi" w:hAnsiTheme="majorHAnsi" w:cstheme="majorHAnsi"/>
                <w:sz w:val="22"/>
                <w:szCs w:val="22"/>
              </w:rPr>
            </w:pPr>
            <w:r w:rsidRPr="0053555E">
              <w:rPr>
                <w:rFonts w:cs="Arial"/>
                <w:sz w:val="22"/>
                <w:szCs w:val="22"/>
              </w:rPr>
              <w:t>1 372</w:t>
            </w:r>
          </w:p>
        </w:tc>
        <w:tc>
          <w:tcPr>
            <w:tcW w:w="851" w:type="dxa"/>
            <w:shd w:val="clear" w:color="auto" w:fill="EEECE1" w:themeFill="background2"/>
            <w:noWrap/>
            <w:vAlign w:val="bottom"/>
          </w:tcPr>
          <w:p w14:paraId="117DD9AF" w14:textId="5F53E827" w:rsidR="009B5EFC" w:rsidRPr="0053555E" w:rsidRDefault="009B5EFC" w:rsidP="009B5EFC">
            <w:pPr>
              <w:jc w:val="center"/>
              <w:rPr>
                <w:rFonts w:asciiTheme="majorHAnsi" w:hAnsiTheme="majorHAnsi" w:cstheme="majorHAnsi"/>
                <w:b/>
                <w:sz w:val="22"/>
                <w:szCs w:val="22"/>
              </w:rPr>
            </w:pPr>
            <w:r w:rsidRPr="0053555E">
              <w:rPr>
                <w:rFonts w:cs="Arial"/>
                <w:sz w:val="22"/>
                <w:szCs w:val="22"/>
              </w:rPr>
              <w:t>79,95 %</w:t>
            </w:r>
          </w:p>
        </w:tc>
      </w:tr>
    </w:tbl>
    <w:p w14:paraId="4DF1C109" w14:textId="52BF2D1C" w:rsidR="00DC2916" w:rsidRPr="0053555E" w:rsidRDefault="00DC2916" w:rsidP="00324438">
      <w:pPr>
        <w:tabs>
          <w:tab w:val="left" w:pos="9356"/>
        </w:tabs>
        <w:jc w:val="both"/>
        <w:rPr>
          <w:rFonts w:asciiTheme="majorHAnsi" w:hAnsiTheme="majorHAnsi" w:cstheme="majorHAnsi"/>
          <w:sz w:val="20"/>
          <w:szCs w:val="20"/>
          <w:lang w:eastAsia="sk-SK"/>
        </w:rPr>
      </w:pPr>
      <w:r w:rsidRPr="0053555E">
        <w:rPr>
          <w:rFonts w:asciiTheme="majorHAnsi" w:hAnsiTheme="majorHAnsi" w:cstheme="majorHAnsi"/>
          <w:sz w:val="20"/>
          <w:szCs w:val="20"/>
          <w:lang w:eastAsia="sk-SK"/>
        </w:rPr>
        <w:t>Stav k </w:t>
      </w:r>
      <w:r w:rsidR="009169A8" w:rsidRPr="0053555E">
        <w:rPr>
          <w:rFonts w:asciiTheme="majorHAnsi" w:hAnsiTheme="majorHAnsi" w:cstheme="majorHAnsi"/>
          <w:sz w:val="20"/>
          <w:szCs w:val="20"/>
          <w:lang w:eastAsia="sk-SK"/>
        </w:rPr>
        <w:t>31</w:t>
      </w:r>
      <w:r w:rsidRPr="0053555E">
        <w:rPr>
          <w:rFonts w:asciiTheme="majorHAnsi" w:hAnsiTheme="majorHAnsi" w:cstheme="majorHAnsi"/>
          <w:sz w:val="20"/>
          <w:szCs w:val="20"/>
          <w:lang w:eastAsia="sk-SK"/>
        </w:rPr>
        <w:t>.</w:t>
      </w:r>
      <w:r w:rsidR="00A71D41" w:rsidRPr="0053555E">
        <w:rPr>
          <w:rFonts w:asciiTheme="majorHAnsi" w:hAnsiTheme="majorHAnsi" w:cstheme="majorHAnsi"/>
          <w:sz w:val="20"/>
          <w:szCs w:val="20"/>
          <w:lang w:eastAsia="sk-SK"/>
        </w:rPr>
        <w:t xml:space="preserve"> </w:t>
      </w:r>
      <w:r w:rsidRPr="0053555E">
        <w:rPr>
          <w:rFonts w:asciiTheme="majorHAnsi" w:hAnsiTheme="majorHAnsi" w:cstheme="majorHAnsi"/>
          <w:sz w:val="20"/>
          <w:szCs w:val="20"/>
          <w:lang w:eastAsia="sk-SK"/>
        </w:rPr>
        <w:t>1</w:t>
      </w:r>
      <w:r w:rsidR="009169A8" w:rsidRPr="0053555E">
        <w:rPr>
          <w:rFonts w:asciiTheme="majorHAnsi" w:hAnsiTheme="majorHAnsi" w:cstheme="majorHAnsi"/>
          <w:sz w:val="20"/>
          <w:szCs w:val="20"/>
          <w:lang w:eastAsia="sk-SK"/>
        </w:rPr>
        <w:t>2</w:t>
      </w:r>
      <w:r w:rsidRPr="0053555E">
        <w:rPr>
          <w:rFonts w:asciiTheme="majorHAnsi" w:hAnsiTheme="majorHAnsi" w:cstheme="majorHAnsi"/>
          <w:sz w:val="20"/>
          <w:szCs w:val="20"/>
          <w:lang w:eastAsia="sk-SK"/>
        </w:rPr>
        <w:t>.</w:t>
      </w:r>
      <w:r w:rsidR="00A71D41" w:rsidRPr="0053555E">
        <w:rPr>
          <w:rFonts w:asciiTheme="majorHAnsi" w:hAnsiTheme="majorHAnsi" w:cstheme="majorHAnsi"/>
          <w:sz w:val="20"/>
          <w:szCs w:val="20"/>
          <w:lang w:eastAsia="sk-SK"/>
        </w:rPr>
        <w:t xml:space="preserve"> </w:t>
      </w:r>
      <w:r w:rsidRPr="0053555E">
        <w:rPr>
          <w:rFonts w:asciiTheme="majorHAnsi" w:hAnsiTheme="majorHAnsi" w:cstheme="majorHAnsi"/>
          <w:sz w:val="20"/>
          <w:szCs w:val="20"/>
          <w:lang w:eastAsia="sk-SK"/>
        </w:rPr>
        <w:t>20</w:t>
      </w:r>
      <w:r w:rsidR="00EE2B49" w:rsidRPr="0053555E">
        <w:rPr>
          <w:rFonts w:asciiTheme="majorHAnsi" w:hAnsiTheme="majorHAnsi" w:cstheme="majorHAnsi"/>
          <w:sz w:val="20"/>
          <w:szCs w:val="20"/>
          <w:lang w:eastAsia="sk-SK"/>
        </w:rPr>
        <w:t>2</w:t>
      </w:r>
      <w:r w:rsidR="009B5EFC" w:rsidRPr="0053555E">
        <w:rPr>
          <w:rFonts w:asciiTheme="majorHAnsi" w:hAnsiTheme="majorHAnsi" w:cstheme="majorHAnsi"/>
          <w:sz w:val="20"/>
          <w:szCs w:val="20"/>
          <w:lang w:eastAsia="sk-SK"/>
        </w:rPr>
        <w:t>2</w:t>
      </w:r>
    </w:p>
    <w:p w14:paraId="4E876743" w14:textId="77777777" w:rsidR="00862B9D" w:rsidRPr="0053555E" w:rsidRDefault="00862B9D" w:rsidP="00862B9D">
      <w:pPr>
        <w:tabs>
          <w:tab w:val="left" w:pos="9356"/>
        </w:tabs>
        <w:jc w:val="both"/>
        <w:rPr>
          <w:rFonts w:asciiTheme="majorHAnsi" w:hAnsiTheme="majorHAnsi" w:cstheme="majorHAnsi"/>
          <w:sz w:val="20"/>
          <w:szCs w:val="20"/>
          <w:lang w:eastAsia="sk-SK"/>
        </w:rPr>
      </w:pPr>
      <w:r w:rsidRPr="0053555E">
        <w:rPr>
          <w:rFonts w:asciiTheme="majorHAnsi" w:hAnsiTheme="majorHAnsi" w:cstheme="majorHAnsi"/>
          <w:sz w:val="20"/>
          <w:szCs w:val="20"/>
          <w:lang w:eastAsia="sk-SK"/>
        </w:rPr>
        <w:t>Vysvetlivky:</w:t>
      </w:r>
    </w:p>
    <w:p w14:paraId="3B914BE2" w14:textId="32778F0E" w:rsidR="009477A5" w:rsidRPr="0053555E" w:rsidRDefault="00862B9D" w:rsidP="009477A5">
      <w:pPr>
        <w:tabs>
          <w:tab w:val="left" w:pos="9356"/>
        </w:tabs>
        <w:spacing w:after="120"/>
        <w:jc w:val="both"/>
        <w:rPr>
          <w:rFonts w:asciiTheme="majorHAnsi" w:hAnsiTheme="majorHAnsi" w:cstheme="majorHAnsi"/>
          <w:sz w:val="20"/>
          <w:szCs w:val="20"/>
          <w:lang w:eastAsia="sk-SK"/>
        </w:rPr>
      </w:pPr>
      <w:r w:rsidRPr="0053555E">
        <w:rPr>
          <w:rFonts w:asciiTheme="majorHAnsi" w:hAnsiTheme="majorHAnsi" w:cstheme="majorHAnsi"/>
          <w:sz w:val="20"/>
          <w:szCs w:val="20"/>
          <w:lang w:eastAsia="sk-SK"/>
        </w:rPr>
        <w:t xml:space="preserve">Celkový počet zapísaných študentov predstavuje počet všetkých štúdií, ktoré vznikli </w:t>
      </w:r>
      <w:r w:rsidR="00B22AA9" w:rsidRPr="0053555E">
        <w:rPr>
          <w:rFonts w:asciiTheme="majorHAnsi" w:hAnsiTheme="majorHAnsi" w:cstheme="majorHAnsi"/>
          <w:sz w:val="20"/>
          <w:szCs w:val="20"/>
          <w:lang w:eastAsia="sk-SK"/>
        </w:rPr>
        <w:t xml:space="preserve">(1. rok štúdia) </w:t>
      </w:r>
      <w:r w:rsidR="006613C6" w:rsidRPr="0053555E">
        <w:rPr>
          <w:rFonts w:asciiTheme="majorHAnsi" w:hAnsiTheme="majorHAnsi" w:cstheme="majorHAnsi"/>
          <w:sz w:val="20"/>
          <w:szCs w:val="20"/>
          <w:lang w:eastAsia="sk-SK"/>
        </w:rPr>
        <w:t xml:space="preserve">na druhom stupni štúdia </w:t>
      </w:r>
      <w:r w:rsidRPr="0053555E">
        <w:rPr>
          <w:rFonts w:asciiTheme="majorHAnsi" w:hAnsiTheme="majorHAnsi" w:cstheme="majorHAnsi"/>
          <w:sz w:val="20"/>
          <w:szCs w:val="20"/>
          <w:lang w:eastAsia="sk-SK"/>
        </w:rPr>
        <w:t>v príslušnom akademickom roku prostredníctvom prijímacieho konania alebo zmenou študijného programu</w:t>
      </w:r>
      <w:r w:rsidR="009477A5" w:rsidRPr="0053555E">
        <w:rPr>
          <w:rFonts w:asciiTheme="majorHAnsi" w:hAnsiTheme="majorHAnsi" w:cstheme="majorHAnsi"/>
          <w:sz w:val="20"/>
          <w:szCs w:val="20"/>
          <w:lang w:eastAsia="sk-SK"/>
        </w:rPr>
        <w:t xml:space="preserve"> </w:t>
      </w:r>
    </w:p>
    <w:p w14:paraId="67987ACD" w14:textId="546D81D0" w:rsidR="002071AC" w:rsidRPr="0053555E" w:rsidRDefault="002071AC" w:rsidP="00324438">
      <w:pPr>
        <w:tabs>
          <w:tab w:val="left" w:pos="9356"/>
        </w:tabs>
        <w:jc w:val="both"/>
        <w:rPr>
          <w:rFonts w:asciiTheme="majorHAnsi" w:hAnsiTheme="majorHAnsi" w:cstheme="majorHAnsi"/>
        </w:rPr>
      </w:pPr>
      <w:r w:rsidRPr="0053555E">
        <w:rPr>
          <w:rFonts w:asciiTheme="majorHAnsi" w:hAnsiTheme="majorHAnsi" w:cstheme="majorHAnsi"/>
        </w:rPr>
        <w:t xml:space="preserve">Zo študijných výsledkov študentov </w:t>
      </w:r>
      <w:r w:rsidR="00400287" w:rsidRPr="0053555E">
        <w:rPr>
          <w:rFonts w:asciiTheme="majorHAnsi" w:hAnsiTheme="majorHAnsi" w:cstheme="majorHAnsi"/>
        </w:rPr>
        <w:t>prvého stupňa</w:t>
      </w:r>
      <w:r w:rsidRPr="0053555E">
        <w:rPr>
          <w:rFonts w:asciiTheme="majorHAnsi" w:hAnsiTheme="majorHAnsi" w:cstheme="majorHAnsi"/>
        </w:rPr>
        <w:t xml:space="preserve"> štúdia, ktoré sú reprezentované váženými študijnými priemermi </w:t>
      </w:r>
      <w:r w:rsidR="00EF2899" w:rsidRPr="0053555E">
        <w:rPr>
          <w:rFonts w:asciiTheme="majorHAnsi" w:hAnsiTheme="majorHAnsi" w:cstheme="majorHAnsi"/>
        </w:rPr>
        <w:t>(V</w:t>
      </w:r>
      <w:r w:rsidR="00A256A9" w:rsidRPr="0053555E">
        <w:rPr>
          <w:rFonts w:asciiTheme="majorHAnsi" w:hAnsiTheme="majorHAnsi" w:cstheme="majorHAnsi"/>
        </w:rPr>
        <w:t>Š</w:t>
      </w:r>
      <w:r w:rsidR="00EF2899" w:rsidRPr="0053555E">
        <w:rPr>
          <w:rFonts w:asciiTheme="majorHAnsi" w:hAnsiTheme="majorHAnsi" w:cstheme="majorHAnsi"/>
        </w:rPr>
        <w:t xml:space="preserve">P) </w:t>
      </w:r>
      <w:r w:rsidRPr="0053555E">
        <w:rPr>
          <w:rFonts w:asciiTheme="majorHAnsi" w:hAnsiTheme="majorHAnsi" w:cstheme="majorHAnsi"/>
        </w:rPr>
        <w:t>je vidieť, že študent</w:t>
      </w:r>
      <w:r w:rsidR="00A55F79" w:rsidRPr="0053555E">
        <w:rPr>
          <w:rFonts w:asciiTheme="majorHAnsi" w:hAnsiTheme="majorHAnsi" w:cstheme="majorHAnsi"/>
        </w:rPr>
        <w:t>i</w:t>
      </w:r>
      <w:r w:rsidRPr="0053555E">
        <w:rPr>
          <w:rFonts w:asciiTheme="majorHAnsi" w:hAnsiTheme="majorHAnsi" w:cstheme="majorHAnsi"/>
        </w:rPr>
        <w:t xml:space="preserve"> na </w:t>
      </w:r>
      <w:r w:rsidR="00400287" w:rsidRPr="0053555E">
        <w:rPr>
          <w:rFonts w:asciiTheme="majorHAnsi" w:hAnsiTheme="majorHAnsi" w:cstheme="majorHAnsi"/>
        </w:rPr>
        <w:t>prvom</w:t>
      </w:r>
      <w:r w:rsidRPr="0053555E">
        <w:rPr>
          <w:rFonts w:asciiTheme="majorHAnsi" w:hAnsiTheme="majorHAnsi" w:cstheme="majorHAnsi"/>
        </w:rPr>
        <w:t xml:space="preserve"> stupni štúdia dosahuj</w:t>
      </w:r>
      <w:r w:rsidR="00A55F79" w:rsidRPr="0053555E">
        <w:rPr>
          <w:rFonts w:asciiTheme="majorHAnsi" w:hAnsiTheme="majorHAnsi" w:cstheme="majorHAnsi"/>
        </w:rPr>
        <w:t>ú</w:t>
      </w:r>
      <w:r w:rsidR="00E8444D" w:rsidRPr="0053555E">
        <w:rPr>
          <w:rFonts w:asciiTheme="majorHAnsi" w:hAnsiTheme="majorHAnsi" w:cstheme="majorHAnsi"/>
        </w:rPr>
        <w:t xml:space="preserve"> </w:t>
      </w:r>
      <w:r w:rsidR="00EE48E8" w:rsidRPr="0053555E">
        <w:rPr>
          <w:rFonts w:asciiTheme="majorHAnsi" w:hAnsiTheme="majorHAnsi" w:cstheme="majorHAnsi"/>
        </w:rPr>
        <w:t xml:space="preserve">v prvom roku štúdia </w:t>
      </w:r>
      <w:r w:rsidR="00144492">
        <w:rPr>
          <w:rFonts w:asciiTheme="majorHAnsi" w:hAnsiTheme="majorHAnsi" w:cstheme="majorHAnsi"/>
        </w:rPr>
        <w:t>najhoršie</w:t>
      </w:r>
      <w:r w:rsidR="00EE48E8" w:rsidRPr="0053555E">
        <w:rPr>
          <w:rFonts w:asciiTheme="majorHAnsi" w:hAnsiTheme="majorHAnsi" w:cstheme="majorHAnsi"/>
        </w:rPr>
        <w:t xml:space="preserve"> študijné výsledky, najväčšie zastúpenie študentov je s VŠP &lt;</w:t>
      </w:r>
      <w:r w:rsidR="00207187">
        <w:rPr>
          <w:rFonts w:asciiTheme="majorHAnsi" w:hAnsiTheme="majorHAnsi" w:cstheme="majorHAnsi"/>
        </w:rPr>
        <w:t>3</w:t>
      </w:r>
      <w:r w:rsidR="00EE48E8" w:rsidRPr="0053555E">
        <w:rPr>
          <w:rFonts w:asciiTheme="majorHAnsi" w:hAnsiTheme="majorHAnsi" w:cstheme="majorHAnsi"/>
        </w:rPr>
        <w:t xml:space="preserve">,00 – </w:t>
      </w:r>
      <w:r w:rsidR="00207187">
        <w:rPr>
          <w:rFonts w:asciiTheme="majorHAnsi" w:hAnsiTheme="majorHAnsi" w:cstheme="majorHAnsi"/>
        </w:rPr>
        <w:t>4</w:t>
      </w:r>
      <w:r w:rsidR="00EE48E8" w:rsidRPr="0053555E">
        <w:rPr>
          <w:rFonts w:asciiTheme="majorHAnsi" w:hAnsiTheme="majorHAnsi" w:cstheme="majorHAnsi"/>
        </w:rPr>
        <w:t>,00)</w:t>
      </w:r>
      <w:r w:rsidR="00312DC8" w:rsidRPr="0053555E">
        <w:rPr>
          <w:rFonts w:asciiTheme="majorHAnsi" w:hAnsiTheme="majorHAnsi" w:cstheme="majorHAnsi"/>
        </w:rPr>
        <w:t xml:space="preserve">. </w:t>
      </w:r>
      <w:r w:rsidR="00D93A2B" w:rsidRPr="0053555E">
        <w:rPr>
          <w:rFonts w:asciiTheme="majorHAnsi" w:hAnsiTheme="majorHAnsi" w:cstheme="majorHAnsi"/>
        </w:rPr>
        <w:t xml:space="preserve">Študijné </w:t>
      </w:r>
      <w:r w:rsidRPr="0053555E">
        <w:rPr>
          <w:rFonts w:asciiTheme="majorHAnsi" w:hAnsiTheme="majorHAnsi" w:cstheme="majorHAnsi"/>
        </w:rPr>
        <w:t>výsl</w:t>
      </w:r>
      <w:r w:rsidR="00D93A2B" w:rsidRPr="0053555E">
        <w:rPr>
          <w:rFonts w:asciiTheme="majorHAnsi" w:hAnsiTheme="majorHAnsi" w:cstheme="majorHAnsi"/>
        </w:rPr>
        <w:t xml:space="preserve">edky </w:t>
      </w:r>
      <w:r w:rsidR="00110D1F" w:rsidRPr="0053555E">
        <w:rPr>
          <w:rFonts w:asciiTheme="majorHAnsi" w:hAnsiTheme="majorHAnsi" w:cstheme="majorHAnsi"/>
        </w:rPr>
        <w:t xml:space="preserve">študentov prvého stupňa </w:t>
      </w:r>
      <w:r w:rsidR="00ED3F74" w:rsidRPr="0053555E">
        <w:rPr>
          <w:rFonts w:asciiTheme="majorHAnsi" w:hAnsiTheme="majorHAnsi" w:cstheme="majorHAnsi"/>
        </w:rPr>
        <w:t>sa </w:t>
      </w:r>
      <w:r w:rsidR="00D93A2B" w:rsidRPr="0053555E">
        <w:rPr>
          <w:rFonts w:asciiTheme="majorHAnsi" w:hAnsiTheme="majorHAnsi" w:cstheme="majorHAnsi"/>
        </w:rPr>
        <w:t>výraznejšie zlepšujú vo </w:t>
      </w:r>
      <w:r w:rsidRPr="0053555E">
        <w:rPr>
          <w:rFonts w:asciiTheme="majorHAnsi" w:hAnsiTheme="majorHAnsi" w:cstheme="majorHAnsi"/>
        </w:rPr>
        <w:t>vyšších rokoch štúdia</w:t>
      </w:r>
      <w:r w:rsidR="00EF2899" w:rsidRPr="0053555E">
        <w:rPr>
          <w:rFonts w:asciiTheme="majorHAnsi" w:hAnsiTheme="majorHAnsi" w:cstheme="majorHAnsi"/>
        </w:rPr>
        <w:t xml:space="preserve"> </w:t>
      </w:r>
      <w:r w:rsidR="00DD74F1" w:rsidRPr="0053555E">
        <w:rPr>
          <w:rFonts w:asciiTheme="majorHAnsi" w:hAnsiTheme="majorHAnsi" w:cstheme="majorHAnsi"/>
        </w:rPr>
        <w:t>(v treťom a štvrtom)</w:t>
      </w:r>
      <w:r w:rsidR="00997085" w:rsidRPr="0053555E">
        <w:rPr>
          <w:rFonts w:asciiTheme="majorHAnsi" w:hAnsiTheme="majorHAnsi" w:cstheme="majorHAnsi"/>
        </w:rPr>
        <w:t xml:space="preserve">, </w:t>
      </w:r>
      <w:r w:rsidR="00DD74F1" w:rsidRPr="0053555E">
        <w:rPr>
          <w:rFonts w:asciiTheme="majorHAnsi" w:hAnsiTheme="majorHAnsi" w:cstheme="majorHAnsi"/>
        </w:rPr>
        <w:t xml:space="preserve">ako uvádza </w:t>
      </w:r>
      <w:r w:rsidR="00F71253" w:rsidRPr="00BF25BE">
        <w:rPr>
          <w:rFonts w:asciiTheme="majorHAnsi" w:hAnsiTheme="majorHAnsi" w:cstheme="majorHAnsi"/>
        </w:rPr>
        <w:fldChar w:fldCharType="begin"/>
      </w:r>
      <w:r w:rsidR="00F71253" w:rsidRPr="00BF25BE">
        <w:rPr>
          <w:rFonts w:asciiTheme="majorHAnsi" w:hAnsiTheme="majorHAnsi" w:cstheme="majorHAnsi"/>
        </w:rPr>
        <w:instrText xml:space="preserve"> REF _Ref31721451 \h </w:instrText>
      </w:r>
      <w:r w:rsidR="00324438" w:rsidRPr="00BF25BE">
        <w:rPr>
          <w:rFonts w:asciiTheme="majorHAnsi" w:hAnsiTheme="majorHAnsi" w:cstheme="majorHAnsi"/>
        </w:rPr>
        <w:instrText xml:space="preserve"> \* MERGEFORMAT </w:instrText>
      </w:r>
      <w:r w:rsidR="00F71253" w:rsidRPr="00BF25BE">
        <w:rPr>
          <w:rFonts w:asciiTheme="majorHAnsi" w:hAnsiTheme="majorHAnsi" w:cstheme="majorHAnsi"/>
        </w:rPr>
      </w:r>
      <w:r w:rsidR="00F71253" w:rsidRPr="00BF25BE">
        <w:rPr>
          <w:rFonts w:asciiTheme="majorHAnsi" w:hAnsiTheme="majorHAnsi" w:cstheme="majorHAnsi"/>
        </w:rPr>
        <w:fldChar w:fldCharType="separate"/>
      </w:r>
      <w:r w:rsidR="00EE1B59" w:rsidRPr="00BF25BE">
        <w:rPr>
          <w:rFonts w:asciiTheme="majorHAnsi" w:hAnsiTheme="majorHAnsi" w:cstheme="majorHAnsi"/>
        </w:rPr>
        <w:t xml:space="preserve">Tab. č. </w:t>
      </w:r>
      <w:r w:rsidR="00E82525">
        <w:rPr>
          <w:rFonts w:asciiTheme="majorHAnsi" w:hAnsiTheme="majorHAnsi" w:cstheme="majorHAnsi"/>
        </w:rPr>
        <w:t>73</w:t>
      </w:r>
      <w:r w:rsidR="00F71253" w:rsidRPr="00BF25BE">
        <w:rPr>
          <w:rFonts w:asciiTheme="majorHAnsi" w:hAnsiTheme="majorHAnsi" w:cstheme="majorHAnsi"/>
        </w:rPr>
        <w:fldChar w:fldCharType="end"/>
      </w:r>
      <w:r w:rsidR="00DF3D3D" w:rsidRPr="0053555E">
        <w:rPr>
          <w:rFonts w:asciiTheme="majorHAnsi" w:hAnsiTheme="majorHAnsi" w:cstheme="majorHAnsi"/>
        </w:rPr>
        <w:t>.</w:t>
      </w:r>
      <w:r w:rsidR="00186DC3">
        <w:rPr>
          <w:rFonts w:asciiTheme="majorHAnsi" w:hAnsiTheme="majorHAnsi" w:cstheme="majorHAnsi"/>
        </w:rPr>
        <w:t xml:space="preserve"> Aj tieto výsledky poukazujú na fakt, že prechod zo</w:t>
      </w:r>
      <w:r w:rsidR="00D970FE">
        <w:rPr>
          <w:rFonts w:asciiTheme="majorHAnsi" w:hAnsiTheme="majorHAnsi" w:cstheme="majorHAnsi"/>
        </w:rPr>
        <w:t> strednej</w:t>
      </w:r>
      <w:r w:rsidR="00186DC3">
        <w:rPr>
          <w:rFonts w:asciiTheme="majorHAnsi" w:hAnsiTheme="majorHAnsi" w:cstheme="majorHAnsi"/>
        </w:rPr>
        <w:t xml:space="preserve"> školy na vysokoškolské štúdium je pre väčšinu študentov veľmi </w:t>
      </w:r>
      <w:r w:rsidR="00D970FE">
        <w:rPr>
          <w:rFonts w:asciiTheme="majorHAnsi" w:hAnsiTheme="majorHAnsi" w:cstheme="majorHAnsi"/>
        </w:rPr>
        <w:t>náročný, obzvlášť na technickej vysokej škole, akou je STU.</w:t>
      </w:r>
    </w:p>
    <w:p w14:paraId="5FABEE93" w14:textId="77777777" w:rsidR="002071AC" w:rsidRPr="0053555E" w:rsidRDefault="002071AC" w:rsidP="00324438">
      <w:pPr>
        <w:tabs>
          <w:tab w:val="left" w:pos="9356"/>
        </w:tabs>
        <w:jc w:val="both"/>
        <w:rPr>
          <w:rFonts w:asciiTheme="majorHAnsi" w:hAnsiTheme="majorHAnsi" w:cstheme="majorHAnsi"/>
        </w:rPr>
      </w:pPr>
    </w:p>
    <w:p w14:paraId="61EC7104" w14:textId="2A196AC5" w:rsidR="002071AC" w:rsidRPr="0053555E" w:rsidRDefault="00F71253" w:rsidP="000E3322">
      <w:pPr>
        <w:pStyle w:val="Popis"/>
      </w:pPr>
      <w:bookmarkStart w:id="303" w:name="_Ref31721451"/>
      <w:bookmarkStart w:id="304" w:name="_Toc127593324"/>
      <w:r w:rsidRPr="0053555E">
        <w:lastRenderedPageBreak/>
        <w:t xml:space="preserve">Tab. č. </w:t>
      </w:r>
      <w:bookmarkEnd w:id="303"/>
      <w:r w:rsidR="00E82525">
        <w:t>73</w:t>
      </w:r>
      <w:r w:rsidRPr="0053555E">
        <w:t>:</w:t>
      </w:r>
      <w:r w:rsidR="002071AC" w:rsidRPr="0053555E">
        <w:t xml:space="preserve"> </w:t>
      </w:r>
      <w:r w:rsidR="00400287" w:rsidRPr="0053555E">
        <w:t xml:space="preserve">Študijné výsledky </w:t>
      </w:r>
      <w:r w:rsidR="00CB3ED4" w:rsidRPr="0053555E">
        <w:t>na</w:t>
      </w:r>
      <w:r w:rsidR="00400287" w:rsidRPr="0053555E">
        <w:t xml:space="preserve"> prvom stupni štúdia v dennej forme v akad</w:t>
      </w:r>
      <w:r w:rsidR="00847D1E" w:rsidRPr="0053555E">
        <w:t>emickom</w:t>
      </w:r>
      <w:r w:rsidR="00400287" w:rsidRPr="0053555E">
        <w:t xml:space="preserve"> roku </w:t>
      </w:r>
      <w:r w:rsidR="00EA24BA" w:rsidRPr="0053555E">
        <w:t>2021/2022</w:t>
      </w:r>
      <w:bookmarkEnd w:id="304"/>
      <w:r w:rsidR="00400287" w:rsidRPr="0053555E">
        <w:t xml:space="preserve"> </w:t>
      </w:r>
    </w:p>
    <w:tbl>
      <w:tblPr>
        <w:tblW w:w="6177" w:type="dxa"/>
        <w:tblInd w:w="55" w:type="dxa"/>
        <w:tblLayout w:type="fixed"/>
        <w:tblCellMar>
          <w:left w:w="70" w:type="dxa"/>
          <w:right w:w="70" w:type="dxa"/>
        </w:tblCellMar>
        <w:tblLook w:val="04A0" w:firstRow="1" w:lastRow="0" w:firstColumn="1" w:lastColumn="0" w:noHBand="0" w:noVBand="1"/>
      </w:tblPr>
      <w:tblGrid>
        <w:gridCol w:w="1216"/>
        <w:gridCol w:w="1653"/>
        <w:gridCol w:w="1654"/>
        <w:gridCol w:w="1654"/>
      </w:tblGrid>
      <w:tr w:rsidR="003D473D" w:rsidRPr="0053555E" w14:paraId="22992591" w14:textId="77777777" w:rsidTr="00F150F0">
        <w:trPr>
          <w:trHeight w:val="255"/>
        </w:trPr>
        <w:tc>
          <w:tcPr>
            <w:tcW w:w="12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6B88AB5" w14:textId="77777777" w:rsidR="003D473D" w:rsidRPr="0053555E" w:rsidRDefault="003D473D" w:rsidP="00324438">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ročník</w:t>
            </w:r>
          </w:p>
        </w:tc>
        <w:tc>
          <w:tcPr>
            <w:tcW w:w="4961"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0AE1CF1" w14:textId="77777777" w:rsidR="003D473D" w:rsidRPr="0053555E" w:rsidRDefault="003D473D"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vážený študijný priemer</w:t>
            </w:r>
          </w:p>
        </w:tc>
      </w:tr>
      <w:tr w:rsidR="00F150F0" w:rsidRPr="0053555E" w14:paraId="00ACBCE0" w14:textId="77777777" w:rsidTr="00F150F0">
        <w:trPr>
          <w:trHeight w:val="285"/>
        </w:trPr>
        <w:tc>
          <w:tcPr>
            <w:tcW w:w="1216" w:type="dxa"/>
            <w:vMerge/>
            <w:tcBorders>
              <w:top w:val="single" w:sz="4" w:space="0" w:color="auto"/>
              <w:left w:val="single" w:sz="4" w:space="0" w:color="auto"/>
              <w:bottom w:val="single" w:sz="4" w:space="0" w:color="000000"/>
              <w:right w:val="single" w:sz="4" w:space="0" w:color="auto"/>
            </w:tcBorders>
            <w:vAlign w:val="center"/>
            <w:hideMark/>
          </w:tcPr>
          <w:p w14:paraId="6842E13F" w14:textId="77777777" w:rsidR="00F150F0" w:rsidRPr="0053555E" w:rsidRDefault="00F150F0" w:rsidP="00324438">
            <w:pPr>
              <w:tabs>
                <w:tab w:val="left" w:pos="9356"/>
              </w:tabs>
              <w:jc w:val="both"/>
              <w:rPr>
                <w:rFonts w:asciiTheme="majorHAnsi" w:eastAsia="Times New Roman" w:hAnsiTheme="majorHAnsi" w:cstheme="majorHAnsi"/>
                <w:b/>
                <w:bCs/>
                <w:sz w:val="22"/>
                <w:szCs w:val="22"/>
                <w:lang w:eastAsia="sk-SK"/>
              </w:rPr>
            </w:pPr>
          </w:p>
        </w:tc>
        <w:tc>
          <w:tcPr>
            <w:tcW w:w="1653" w:type="dxa"/>
            <w:tcBorders>
              <w:top w:val="nil"/>
              <w:left w:val="nil"/>
              <w:bottom w:val="single" w:sz="4" w:space="0" w:color="auto"/>
              <w:right w:val="single" w:sz="4" w:space="0" w:color="auto"/>
            </w:tcBorders>
            <w:shd w:val="clear" w:color="auto" w:fill="auto"/>
            <w:noWrap/>
            <w:vAlign w:val="center"/>
            <w:hideMark/>
          </w:tcPr>
          <w:p w14:paraId="68C82937" w14:textId="77777777" w:rsidR="00F150F0" w:rsidRPr="0053555E" w:rsidRDefault="00F150F0" w:rsidP="00324438">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VŠP &lt;1,00-2,00)</w:t>
            </w:r>
          </w:p>
        </w:tc>
        <w:tc>
          <w:tcPr>
            <w:tcW w:w="1654" w:type="dxa"/>
            <w:tcBorders>
              <w:top w:val="nil"/>
              <w:left w:val="nil"/>
              <w:bottom w:val="single" w:sz="4" w:space="0" w:color="auto"/>
              <w:right w:val="single" w:sz="4" w:space="0" w:color="auto"/>
            </w:tcBorders>
            <w:shd w:val="clear" w:color="auto" w:fill="auto"/>
            <w:noWrap/>
            <w:vAlign w:val="center"/>
            <w:hideMark/>
          </w:tcPr>
          <w:p w14:paraId="61E2226F" w14:textId="77777777" w:rsidR="00F150F0" w:rsidRPr="0053555E" w:rsidRDefault="00F150F0" w:rsidP="00324438">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VŠP &lt;2,00-3,00)</w:t>
            </w:r>
          </w:p>
        </w:tc>
        <w:tc>
          <w:tcPr>
            <w:tcW w:w="1654" w:type="dxa"/>
            <w:tcBorders>
              <w:top w:val="nil"/>
              <w:left w:val="nil"/>
              <w:bottom w:val="single" w:sz="4" w:space="0" w:color="auto"/>
              <w:right w:val="single" w:sz="4" w:space="0" w:color="auto"/>
            </w:tcBorders>
            <w:shd w:val="clear" w:color="auto" w:fill="auto"/>
            <w:noWrap/>
            <w:vAlign w:val="center"/>
            <w:hideMark/>
          </w:tcPr>
          <w:p w14:paraId="3B4FD50A" w14:textId="77777777" w:rsidR="00F150F0" w:rsidRPr="0053555E" w:rsidRDefault="00F150F0" w:rsidP="00324438">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VŠP &lt;3,00-4,00)</w:t>
            </w:r>
          </w:p>
        </w:tc>
      </w:tr>
      <w:tr w:rsidR="00CE5E32" w:rsidRPr="0053555E" w14:paraId="1EDDED16" w14:textId="77777777" w:rsidTr="00F150F0">
        <w:trPr>
          <w:trHeight w:val="25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7DD6817D" w14:textId="77777777" w:rsidR="00CE5E32" w:rsidRPr="0053555E" w:rsidRDefault="00CE5E32" w:rsidP="00CE5E32">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1. rok</w:t>
            </w:r>
          </w:p>
        </w:tc>
        <w:tc>
          <w:tcPr>
            <w:tcW w:w="1653" w:type="dxa"/>
            <w:tcBorders>
              <w:top w:val="nil"/>
              <w:left w:val="nil"/>
              <w:bottom w:val="single" w:sz="4" w:space="0" w:color="auto"/>
              <w:right w:val="single" w:sz="4" w:space="0" w:color="auto"/>
            </w:tcBorders>
            <w:shd w:val="clear" w:color="auto" w:fill="auto"/>
            <w:noWrap/>
            <w:vAlign w:val="center"/>
            <w:hideMark/>
          </w:tcPr>
          <w:p w14:paraId="29328762" w14:textId="2A7EA2B0" w:rsidR="00CE5E32" w:rsidRPr="0053555E" w:rsidRDefault="00CE5E32" w:rsidP="00CE5E32">
            <w:pPr>
              <w:jc w:val="center"/>
              <w:rPr>
                <w:rFonts w:asciiTheme="majorHAnsi" w:hAnsiTheme="majorHAnsi" w:cstheme="majorHAnsi"/>
                <w:sz w:val="22"/>
                <w:szCs w:val="20"/>
              </w:rPr>
            </w:pPr>
            <w:r w:rsidRPr="0053555E">
              <w:rPr>
                <w:rFonts w:cs="Arial"/>
                <w:sz w:val="22"/>
                <w:szCs w:val="20"/>
              </w:rPr>
              <w:t>21,97</w:t>
            </w:r>
            <w:r w:rsidR="00BF25BE">
              <w:rPr>
                <w:rFonts w:cs="Arial"/>
                <w:sz w:val="22"/>
                <w:szCs w:val="20"/>
              </w:rPr>
              <w:t xml:space="preserve"> </w:t>
            </w:r>
            <w:r w:rsidRPr="0053555E">
              <w:rPr>
                <w:rFonts w:cs="Arial"/>
                <w:sz w:val="22"/>
                <w:szCs w:val="20"/>
              </w:rPr>
              <w:t>%</w:t>
            </w:r>
          </w:p>
        </w:tc>
        <w:tc>
          <w:tcPr>
            <w:tcW w:w="1654" w:type="dxa"/>
            <w:tcBorders>
              <w:top w:val="nil"/>
              <w:left w:val="nil"/>
              <w:bottom w:val="single" w:sz="4" w:space="0" w:color="auto"/>
              <w:right w:val="single" w:sz="4" w:space="0" w:color="auto"/>
            </w:tcBorders>
            <w:shd w:val="clear" w:color="auto" w:fill="auto"/>
            <w:noWrap/>
            <w:vAlign w:val="center"/>
            <w:hideMark/>
          </w:tcPr>
          <w:p w14:paraId="12807A12" w14:textId="08CE4FA8" w:rsidR="00CE5E32" w:rsidRPr="0053555E" w:rsidRDefault="00CE5E32" w:rsidP="00CE5E32">
            <w:pPr>
              <w:jc w:val="center"/>
              <w:rPr>
                <w:rFonts w:asciiTheme="majorHAnsi" w:hAnsiTheme="majorHAnsi" w:cstheme="majorHAnsi"/>
                <w:sz w:val="22"/>
                <w:szCs w:val="20"/>
              </w:rPr>
            </w:pPr>
            <w:r w:rsidRPr="0053555E">
              <w:rPr>
                <w:rFonts w:cs="Arial"/>
                <w:sz w:val="22"/>
                <w:szCs w:val="20"/>
              </w:rPr>
              <w:t>37,89</w:t>
            </w:r>
            <w:r w:rsidR="00BF25BE">
              <w:rPr>
                <w:rFonts w:cs="Arial"/>
                <w:sz w:val="22"/>
                <w:szCs w:val="20"/>
              </w:rPr>
              <w:t xml:space="preserve"> </w:t>
            </w:r>
            <w:r w:rsidRPr="0053555E">
              <w:rPr>
                <w:rFonts w:cs="Arial"/>
                <w:sz w:val="22"/>
                <w:szCs w:val="20"/>
              </w:rPr>
              <w:t>%</w:t>
            </w:r>
          </w:p>
        </w:tc>
        <w:tc>
          <w:tcPr>
            <w:tcW w:w="1654" w:type="dxa"/>
            <w:tcBorders>
              <w:top w:val="nil"/>
              <w:left w:val="nil"/>
              <w:bottom w:val="single" w:sz="4" w:space="0" w:color="auto"/>
              <w:right w:val="single" w:sz="4" w:space="0" w:color="auto"/>
            </w:tcBorders>
            <w:shd w:val="clear" w:color="auto" w:fill="auto"/>
            <w:noWrap/>
            <w:vAlign w:val="center"/>
            <w:hideMark/>
          </w:tcPr>
          <w:p w14:paraId="65D7B23E" w14:textId="51545445" w:rsidR="00CE5E32" w:rsidRPr="0053555E" w:rsidRDefault="00CE5E32" w:rsidP="00CE5E32">
            <w:pPr>
              <w:jc w:val="center"/>
              <w:rPr>
                <w:rFonts w:asciiTheme="majorHAnsi" w:hAnsiTheme="majorHAnsi" w:cstheme="majorHAnsi"/>
                <w:sz w:val="22"/>
                <w:szCs w:val="20"/>
              </w:rPr>
            </w:pPr>
            <w:r w:rsidRPr="0053555E">
              <w:rPr>
                <w:rFonts w:cs="Arial"/>
                <w:sz w:val="22"/>
                <w:szCs w:val="20"/>
              </w:rPr>
              <w:t>40,14</w:t>
            </w:r>
            <w:r w:rsidR="00BF25BE">
              <w:rPr>
                <w:rFonts w:cs="Arial"/>
                <w:sz w:val="22"/>
                <w:szCs w:val="20"/>
              </w:rPr>
              <w:t xml:space="preserve"> </w:t>
            </w:r>
            <w:r w:rsidRPr="0053555E">
              <w:rPr>
                <w:rFonts w:cs="Arial"/>
                <w:sz w:val="22"/>
                <w:szCs w:val="20"/>
              </w:rPr>
              <w:t>%</w:t>
            </w:r>
          </w:p>
        </w:tc>
      </w:tr>
      <w:tr w:rsidR="00CE5E32" w:rsidRPr="0053555E" w14:paraId="283D74D2" w14:textId="77777777" w:rsidTr="00F150F0">
        <w:trPr>
          <w:trHeight w:val="25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42DD226F" w14:textId="77777777" w:rsidR="00CE5E32" w:rsidRPr="0053555E" w:rsidRDefault="00CE5E32" w:rsidP="00CE5E32">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2. rok</w:t>
            </w:r>
          </w:p>
        </w:tc>
        <w:tc>
          <w:tcPr>
            <w:tcW w:w="1653" w:type="dxa"/>
            <w:tcBorders>
              <w:top w:val="nil"/>
              <w:left w:val="nil"/>
              <w:bottom w:val="single" w:sz="4" w:space="0" w:color="auto"/>
              <w:right w:val="single" w:sz="4" w:space="0" w:color="auto"/>
            </w:tcBorders>
            <w:shd w:val="clear" w:color="auto" w:fill="auto"/>
            <w:noWrap/>
            <w:vAlign w:val="center"/>
            <w:hideMark/>
          </w:tcPr>
          <w:p w14:paraId="387ED411" w14:textId="295BE45B" w:rsidR="00CE5E32" w:rsidRPr="0053555E" w:rsidRDefault="00CE5E32" w:rsidP="00CE5E32">
            <w:pPr>
              <w:jc w:val="center"/>
              <w:rPr>
                <w:rFonts w:asciiTheme="majorHAnsi" w:hAnsiTheme="majorHAnsi" w:cstheme="majorHAnsi"/>
                <w:sz w:val="22"/>
                <w:szCs w:val="20"/>
              </w:rPr>
            </w:pPr>
            <w:r w:rsidRPr="0053555E">
              <w:rPr>
                <w:rFonts w:cs="Arial"/>
                <w:sz w:val="22"/>
                <w:szCs w:val="20"/>
              </w:rPr>
              <w:t>41,3</w:t>
            </w:r>
            <w:r w:rsidR="00E70D8F" w:rsidRPr="0053555E">
              <w:rPr>
                <w:rFonts w:cs="Arial"/>
                <w:sz w:val="22"/>
                <w:szCs w:val="20"/>
              </w:rPr>
              <w:t>5</w:t>
            </w:r>
            <w:r w:rsidR="00BF25BE">
              <w:rPr>
                <w:rFonts w:cs="Arial"/>
                <w:sz w:val="22"/>
                <w:szCs w:val="20"/>
              </w:rPr>
              <w:t xml:space="preserve"> </w:t>
            </w:r>
            <w:r w:rsidRPr="0053555E">
              <w:rPr>
                <w:rFonts w:cs="Arial"/>
                <w:sz w:val="22"/>
                <w:szCs w:val="20"/>
              </w:rPr>
              <w:t>%</w:t>
            </w:r>
          </w:p>
        </w:tc>
        <w:tc>
          <w:tcPr>
            <w:tcW w:w="1654" w:type="dxa"/>
            <w:tcBorders>
              <w:top w:val="nil"/>
              <w:left w:val="nil"/>
              <w:bottom w:val="single" w:sz="4" w:space="0" w:color="auto"/>
              <w:right w:val="single" w:sz="4" w:space="0" w:color="auto"/>
            </w:tcBorders>
            <w:shd w:val="clear" w:color="auto" w:fill="auto"/>
            <w:noWrap/>
            <w:vAlign w:val="center"/>
            <w:hideMark/>
          </w:tcPr>
          <w:p w14:paraId="749A5E8C" w14:textId="2F393115" w:rsidR="00CE5E32" w:rsidRPr="0053555E" w:rsidRDefault="00CE5E32" w:rsidP="00CE5E32">
            <w:pPr>
              <w:jc w:val="center"/>
              <w:rPr>
                <w:rFonts w:asciiTheme="majorHAnsi" w:hAnsiTheme="majorHAnsi" w:cstheme="majorHAnsi"/>
                <w:sz w:val="22"/>
                <w:szCs w:val="20"/>
              </w:rPr>
            </w:pPr>
            <w:r w:rsidRPr="0053555E">
              <w:rPr>
                <w:rFonts w:cs="Arial"/>
                <w:sz w:val="22"/>
                <w:szCs w:val="20"/>
              </w:rPr>
              <w:t>39,53</w:t>
            </w:r>
            <w:r w:rsidR="00BF25BE">
              <w:rPr>
                <w:rFonts w:cs="Arial"/>
                <w:sz w:val="22"/>
                <w:szCs w:val="20"/>
              </w:rPr>
              <w:t xml:space="preserve"> </w:t>
            </w:r>
            <w:r w:rsidRPr="0053555E">
              <w:rPr>
                <w:rFonts w:cs="Arial"/>
                <w:sz w:val="22"/>
                <w:szCs w:val="20"/>
              </w:rPr>
              <w:t>%</w:t>
            </w:r>
          </w:p>
        </w:tc>
        <w:tc>
          <w:tcPr>
            <w:tcW w:w="1654" w:type="dxa"/>
            <w:tcBorders>
              <w:top w:val="nil"/>
              <w:left w:val="nil"/>
              <w:bottom w:val="single" w:sz="4" w:space="0" w:color="auto"/>
              <w:right w:val="single" w:sz="4" w:space="0" w:color="auto"/>
            </w:tcBorders>
            <w:shd w:val="clear" w:color="auto" w:fill="auto"/>
            <w:noWrap/>
            <w:vAlign w:val="center"/>
            <w:hideMark/>
          </w:tcPr>
          <w:p w14:paraId="612A20E9" w14:textId="210227AF" w:rsidR="00CE5E32" w:rsidRPr="0053555E" w:rsidRDefault="00CE5E32" w:rsidP="00CE5E32">
            <w:pPr>
              <w:jc w:val="center"/>
              <w:rPr>
                <w:rFonts w:asciiTheme="majorHAnsi" w:hAnsiTheme="majorHAnsi" w:cstheme="majorHAnsi"/>
                <w:sz w:val="22"/>
                <w:szCs w:val="20"/>
              </w:rPr>
            </w:pPr>
            <w:r w:rsidRPr="0053555E">
              <w:rPr>
                <w:rFonts w:cs="Arial"/>
                <w:sz w:val="22"/>
                <w:szCs w:val="20"/>
              </w:rPr>
              <w:t>19,1</w:t>
            </w:r>
            <w:r w:rsidR="00E70D8F" w:rsidRPr="0053555E">
              <w:rPr>
                <w:rFonts w:cs="Arial"/>
                <w:sz w:val="22"/>
                <w:szCs w:val="20"/>
              </w:rPr>
              <w:t>2</w:t>
            </w:r>
            <w:r w:rsidR="00BF25BE">
              <w:rPr>
                <w:rFonts w:cs="Arial"/>
                <w:sz w:val="22"/>
                <w:szCs w:val="20"/>
              </w:rPr>
              <w:t xml:space="preserve"> </w:t>
            </w:r>
            <w:r w:rsidRPr="0053555E">
              <w:rPr>
                <w:rFonts w:cs="Arial"/>
                <w:sz w:val="22"/>
                <w:szCs w:val="20"/>
              </w:rPr>
              <w:t>%</w:t>
            </w:r>
          </w:p>
        </w:tc>
      </w:tr>
      <w:tr w:rsidR="00CE5E32" w:rsidRPr="0053555E" w14:paraId="235A0568" w14:textId="77777777" w:rsidTr="00F150F0">
        <w:trPr>
          <w:trHeight w:val="240"/>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58B75E86" w14:textId="77777777" w:rsidR="00CE5E32" w:rsidRPr="0053555E" w:rsidRDefault="00CE5E32" w:rsidP="00CE5E32">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3. rok</w:t>
            </w:r>
          </w:p>
        </w:tc>
        <w:tc>
          <w:tcPr>
            <w:tcW w:w="1653" w:type="dxa"/>
            <w:tcBorders>
              <w:top w:val="nil"/>
              <w:left w:val="nil"/>
              <w:bottom w:val="single" w:sz="4" w:space="0" w:color="auto"/>
              <w:right w:val="single" w:sz="4" w:space="0" w:color="auto"/>
            </w:tcBorders>
            <w:shd w:val="clear" w:color="auto" w:fill="auto"/>
            <w:noWrap/>
            <w:vAlign w:val="center"/>
            <w:hideMark/>
          </w:tcPr>
          <w:p w14:paraId="0DB22A67" w14:textId="429DCB8F" w:rsidR="00CE5E32" w:rsidRPr="0053555E" w:rsidRDefault="00CE5E32" w:rsidP="00CE5E32">
            <w:pPr>
              <w:jc w:val="center"/>
              <w:rPr>
                <w:rFonts w:asciiTheme="majorHAnsi" w:hAnsiTheme="majorHAnsi" w:cstheme="majorHAnsi"/>
                <w:sz w:val="22"/>
                <w:szCs w:val="20"/>
              </w:rPr>
            </w:pPr>
            <w:r w:rsidRPr="0053555E">
              <w:rPr>
                <w:rFonts w:cs="Arial"/>
                <w:sz w:val="22"/>
                <w:szCs w:val="20"/>
              </w:rPr>
              <w:t>54,88</w:t>
            </w:r>
            <w:r w:rsidR="00BF25BE">
              <w:rPr>
                <w:rFonts w:cs="Arial"/>
                <w:sz w:val="22"/>
                <w:szCs w:val="20"/>
              </w:rPr>
              <w:t xml:space="preserve"> </w:t>
            </w:r>
            <w:r w:rsidRPr="0053555E">
              <w:rPr>
                <w:rFonts w:cs="Arial"/>
                <w:sz w:val="22"/>
                <w:szCs w:val="20"/>
              </w:rPr>
              <w:t>%</w:t>
            </w:r>
          </w:p>
        </w:tc>
        <w:tc>
          <w:tcPr>
            <w:tcW w:w="1654" w:type="dxa"/>
            <w:tcBorders>
              <w:top w:val="nil"/>
              <w:left w:val="nil"/>
              <w:bottom w:val="single" w:sz="4" w:space="0" w:color="auto"/>
              <w:right w:val="single" w:sz="4" w:space="0" w:color="auto"/>
            </w:tcBorders>
            <w:shd w:val="clear" w:color="auto" w:fill="auto"/>
            <w:noWrap/>
            <w:vAlign w:val="center"/>
            <w:hideMark/>
          </w:tcPr>
          <w:p w14:paraId="07115E3B" w14:textId="66B28422" w:rsidR="00CE5E32" w:rsidRPr="0053555E" w:rsidRDefault="00CE5E32" w:rsidP="00CE5E32">
            <w:pPr>
              <w:jc w:val="center"/>
              <w:rPr>
                <w:rFonts w:asciiTheme="majorHAnsi" w:hAnsiTheme="majorHAnsi" w:cstheme="majorHAnsi"/>
                <w:sz w:val="22"/>
                <w:szCs w:val="20"/>
              </w:rPr>
            </w:pPr>
            <w:r w:rsidRPr="0053555E">
              <w:rPr>
                <w:rFonts w:cs="Arial"/>
                <w:sz w:val="22"/>
                <w:szCs w:val="20"/>
              </w:rPr>
              <w:t>30,03</w:t>
            </w:r>
            <w:r w:rsidR="00BF25BE">
              <w:rPr>
                <w:rFonts w:cs="Arial"/>
                <w:sz w:val="22"/>
                <w:szCs w:val="20"/>
              </w:rPr>
              <w:t xml:space="preserve"> </w:t>
            </w:r>
            <w:r w:rsidRPr="0053555E">
              <w:rPr>
                <w:rFonts w:cs="Arial"/>
                <w:sz w:val="22"/>
                <w:szCs w:val="20"/>
              </w:rPr>
              <w:t>%</w:t>
            </w:r>
          </w:p>
        </w:tc>
        <w:tc>
          <w:tcPr>
            <w:tcW w:w="1654" w:type="dxa"/>
            <w:tcBorders>
              <w:top w:val="nil"/>
              <w:left w:val="nil"/>
              <w:bottom w:val="single" w:sz="4" w:space="0" w:color="auto"/>
              <w:right w:val="single" w:sz="4" w:space="0" w:color="auto"/>
            </w:tcBorders>
            <w:shd w:val="clear" w:color="auto" w:fill="auto"/>
            <w:noWrap/>
            <w:vAlign w:val="center"/>
            <w:hideMark/>
          </w:tcPr>
          <w:p w14:paraId="4058A260" w14:textId="3FE00DFD" w:rsidR="00CE5E32" w:rsidRPr="0053555E" w:rsidRDefault="00CE5E32" w:rsidP="00CE5E32">
            <w:pPr>
              <w:jc w:val="center"/>
              <w:rPr>
                <w:rFonts w:asciiTheme="majorHAnsi" w:hAnsiTheme="majorHAnsi" w:cstheme="majorHAnsi"/>
                <w:sz w:val="22"/>
                <w:szCs w:val="20"/>
              </w:rPr>
            </w:pPr>
            <w:r w:rsidRPr="0053555E">
              <w:rPr>
                <w:rFonts w:cs="Arial"/>
                <w:sz w:val="22"/>
                <w:szCs w:val="20"/>
              </w:rPr>
              <w:t>15,09</w:t>
            </w:r>
            <w:r w:rsidR="00BF25BE">
              <w:rPr>
                <w:rFonts w:cs="Arial"/>
                <w:sz w:val="22"/>
                <w:szCs w:val="20"/>
              </w:rPr>
              <w:t xml:space="preserve"> </w:t>
            </w:r>
            <w:r w:rsidRPr="0053555E">
              <w:rPr>
                <w:rFonts w:cs="Arial"/>
                <w:sz w:val="22"/>
                <w:szCs w:val="20"/>
              </w:rPr>
              <w:t>%</w:t>
            </w:r>
          </w:p>
        </w:tc>
      </w:tr>
      <w:tr w:rsidR="00CE5E32" w:rsidRPr="0053555E" w14:paraId="538D0109" w14:textId="77777777" w:rsidTr="00F150F0">
        <w:trPr>
          <w:trHeight w:val="25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4F8E3A07" w14:textId="77777777" w:rsidR="00CE5E32" w:rsidRPr="0053555E" w:rsidRDefault="00CE5E32" w:rsidP="00CE5E32">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4. rok</w:t>
            </w:r>
          </w:p>
        </w:tc>
        <w:tc>
          <w:tcPr>
            <w:tcW w:w="1653" w:type="dxa"/>
            <w:tcBorders>
              <w:top w:val="nil"/>
              <w:left w:val="nil"/>
              <w:bottom w:val="single" w:sz="4" w:space="0" w:color="auto"/>
              <w:right w:val="single" w:sz="4" w:space="0" w:color="auto"/>
            </w:tcBorders>
            <w:shd w:val="clear" w:color="auto" w:fill="auto"/>
            <w:noWrap/>
            <w:vAlign w:val="center"/>
            <w:hideMark/>
          </w:tcPr>
          <w:p w14:paraId="1E54F0D1" w14:textId="1A23D95F" w:rsidR="00CE5E32" w:rsidRPr="0053555E" w:rsidRDefault="00CE5E32" w:rsidP="00CE5E32">
            <w:pPr>
              <w:jc w:val="center"/>
              <w:rPr>
                <w:rFonts w:asciiTheme="majorHAnsi" w:hAnsiTheme="majorHAnsi" w:cstheme="majorHAnsi"/>
                <w:sz w:val="22"/>
                <w:szCs w:val="20"/>
              </w:rPr>
            </w:pPr>
            <w:r w:rsidRPr="0053555E">
              <w:rPr>
                <w:rFonts w:cs="Arial"/>
                <w:sz w:val="22"/>
                <w:szCs w:val="20"/>
              </w:rPr>
              <w:t>76,04</w:t>
            </w:r>
            <w:r w:rsidR="00BF25BE">
              <w:rPr>
                <w:rFonts w:cs="Arial"/>
                <w:sz w:val="22"/>
                <w:szCs w:val="20"/>
              </w:rPr>
              <w:t xml:space="preserve"> </w:t>
            </w:r>
            <w:r w:rsidRPr="0053555E">
              <w:rPr>
                <w:rFonts w:cs="Arial"/>
                <w:sz w:val="22"/>
                <w:szCs w:val="20"/>
              </w:rPr>
              <w:t>%</w:t>
            </w:r>
          </w:p>
        </w:tc>
        <w:tc>
          <w:tcPr>
            <w:tcW w:w="1654" w:type="dxa"/>
            <w:tcBorders>
              <w:top w:val="nil"/>
              <w:left w:val="nil"/>
              <w:bottom w:val="single" w:sz="4" w:space="0" w:color="auto"/>
              <w:right w:val="single" w:sz="4" w:space="0" w:color="auto"/>
            </w:tcBorders>
            <w:shd w:val="clear" w:color="auto" w:fill="auto"/>
            <w:noWrap/>
            <w:vAlign w:val="center"/>
            <w:hideMark/>
          </w:tcPr>
          <w:p w14:paraId="3BA74656" w14:textId="2A370D77" w:rsidR="00CE5E32" w:rsidRPr="0053555E" w:rsidRDefault="00CE5E32" w:rsidP="00CE5E32">
            <w:pPr>
              <w:jc w:val="center"/>
              <w:rPr>
                <w:rFonts w:asciiTheme="majorHAnsi" w:hAnsiTheme="majorHAnsi" w:cstheme="majorHAnsi"/>
                <w:sz w:val="22"/>
                <w:szCs w:val="20"/>
              </w:rPr>
            </w:pPr>
            <w:r w:rsidRPr="0053555E">
              <w:rPr>
                <w:rFonts w:cs="Arial"/>
                <w:sz w:val="22"/>
                <w:szCs w:val="20"/>
              </w:rPr>
              <w:t>18,68</w:t>
            </w:r>
            <w:r w:rsidR="00BF25BE">
              <w:rPr>
                <w:rFonts w:cs="Arial"/>
                <w:sz w:val="22"/>
                <w:szCs w:val="20"/>
              </w:rPr>
              <w:t xml:space="preserve"> </w:t>
            </w:r>
            <w:r w:rsidRPr="0053555E">
              <w:rPr>
                <w:rFonts w:cs="Arial"/>
                <w:sz w:val="22"/>
                <w:szCs w:val="20"/>
              </w:rPr>
              <w:t>%</w:t>
            </w:r>
          </w:p>
        </w:tc>
        <w:tc>
          <w:tcPr>
            <w:tcW w:w="1654" w:type="dxa"/>
            <w:tcBorders>
              <w:top w:val="nil"/>
              <w:left w:val="nil"/>
              <w:bottom w:val="single" w:sz="4" w:space="0" w:color="auto"/>
              <w:right w:val="single" w:sz="4" w:space="0" w:color="auto"/>
            </w:tcBorders>
            <w:shd w:val="clear" w:color="auto" w:fill="auto"/>
            <w:noWrap/>
            <w:vAlign w:val="center"/>
            <w:hideMark/>
          </w:tcPr>
          <w:p w14:paraId="1B4224DD" w14:textId="212E94A1" w:rsidR="00CE5E32" w:rsidRPr="0053555E" w:rsidRDefault="00CE5E32" w:rsidP="00CE5E32">
            <w:pPr>
              <w:jc w:val="center"/>
              <w:rPr>
                <w:rFonts w:asciiTheme="majorHAnsi" w:hAnsiTheme="majorHAnsi" w:cstheme="majorHAnsi"/>
                <w:sz w:val="22"/>
                <w:szCs w:val="20"/>
              </w:rPr>
            </w:pPr>
            <w:r w:rsidRPr="0053555E">
              <w:rPr>
                <w:rFonts w:cs="Arial"/>
                <w:sz w:val="22"/>
                <w:szCs w:val="20"/>
              </w:rPr>
              <w:t>5,2</w:t>
            </w:r>
            <w:r w:rsidR="00E70D8F" w:rsidRPr="0053555E">
              <w:rPr>
                <w:rFonts w:cs="Arial"/>
                <w:sz w:val="22"/>
                <w:szCs w:val="20"/>
              </w:rPr>
              <w:t>8</w:t>
            </w:r>
            <w:r w:rsidR="00BF25BE">
              <w:rPr>
                <w:rFonts w:cs="Arial"/>
                <w:sz w:val="22"/>
                <w:szCs w:val="20"/>
              </w:rPr>
              <w:t xml:space="preserve"> </w:t>
            </w:r>
            <w:r w:rsidRPr="0053555E">
              <w:rPr>
                <w:rFonts w:cs="Arial"/>
                <w:sz w:val="22"/>
                <w:szCs w:val="20"/>
              </w:rPr>
              <w:t>%</w:t>
            </w:r>
          </w:p>
        </w:tc>
      </w:tr>
    </w:tbl>
    <w:p w14:paraId="636D8C6F" w14:textId="6B4C6148" w:rsidR="002071AC" w:rsidRPr="0053555E" w:rsidRDefault="002071AC" w:rsidP="00324438">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Stav k 31. 8. 20</w:t>
      </w:r>
      <w:r w:rsidR="00D10B93" w:rsidRPr="0053555E">
        <w:rPr>
          <w:rFonts w:asciiTheme="majorHAnsi" w:eastAsia="Times New Roman" w:hAnsiTheme="majorHAnsi" w:cstheme="majorHAnsi"/>
          <w:sz w:val="20"/>
          <w:szCs w:val="20"/>
          <w:lang w:eastAsia="sk-SK"/>
        </w:rPr>
        <w:t>2</w:t>
      </w:r>
      <w:r w:rsidR="00CE5E32" w:rsidRPr="0053555E">
        <w:rPr>
          <w:rFonts w:asciiTheme="majorHAnsi" w:eastAsia="Times New Roman" w:hAnsiTheme="majorHAnsi" w:cstheme="majorHAnsi"/>
          <w:sz w:val="20"/>
          <w:szCs w:val="20"/>
          <w:lang w:eastAsia="sk-SK"/>
        </w:rPr>
        <w:t>2</w:t>
      </w:r>
    </w:p>
    <w:p w14:paraId="7CB17A2D" w14:textId="77777777" w:rsidR="002071AC" w:rsidRPr="0053555E" w:rsidRDefault="002071AC" w:rsidP="00324438">
      <w:pPr>
        <w:tabs>
          <w:tab w:val="left" w:pos="9356"/>
        </w:tabs>
        <w:jc w:val="both"/>
        <w:rPr>
          <w:rFonts w:asciiTheme="majorHAnsi" w:eastAsia="Calibri" w:hAnsiTheme="majorHAnsi" w:cstheme="majorHAnsi"/>
        </w:rPr>
      </w:pPr>
    </w:p>
    <w:p w14:paraId="3FA91A37" w14:textId="1B485493" w:rsidR="002071AC" w:rsidRPr="0053555E" w:rsidRDefault="002071AC" w:rsidP="0032443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Na </w:t>
      </w:r>
      <w:r w:rsidR="00400287" w:rsidRPr="0053555E">
        <w:rPr>
          <w:rFonts w:asciiTheme="majorHAnsi" w:hAnsiTheme="majorHAnsi" w:cstheme="majorHAnsi"/>
        </w:rPr>
        <w:t>druhom</w:t>
      </w:r>
      <w:r w:rsidRPr="0053555E">
        <w:rPr>
          <w:rFonts w:asciiTheme="majorHAnsi" w:hAnsiTheme="majorHAnsi" w:cstheme="majorHAnsi"/>
        </w:rPr>
        <w:t xml:space="preserve"> stupni štúdia väčšina študentov dosahuje lepšie študijné výsledky</w:t>
      </w:r>
      <w:r w:rsidR="00B17D76" w:rsidRPr="0053555E">
        <w:rPr>
          <w:rFonts w:asciiTheme="majorHAnsi" w:hAnsiTheme="majorHAnsi" w:cstheme="majorHAnsi"/>
        </w:rPr>
        <w:t xml:space="preserve">, </w:t>
      </w:r>
      <w:r w:rsidR="00997085" w:rsidRPr="0053555E">
        <w:rPr>
          <w:rFonts w:asciiTheme="majorHAnsi" w:hAnsiTheme="majorHAnsi" w:cstheme="majorHAnsi"/>
        </w:rPr>
        <w:t>a to</w:t>
      </w:r>
      <w:r w:rsidR="00B17D76" w:rsidRPr="0053555E">
        <w:rPr>
          <w:rFonts w:asciiTheme="majorHAnsi" w:hAnsiTheme="majorHAnsi" w:cstheme="majorHAnsi"/>
        </w:rPr>
        <w:t xml:space="preserve"> </w:t>
      </w:r>
      <w:r w:rsidR="00823F17" w:rsidRPr="0053555E">
        <w:rPr>
          <w:rFonts w:asciiTheme="majorHAnsi" w:hAnsiTheme="majorHAnsi" w:cstheme="majorHAnsi"/>
        </w:rPr>
        <w:t>VŠP</w:t>
      </w:r>
      <w:r w:rsidRPr="0053555E">
        <w:rPr>
          <w:rFonts w:asciiTheme="majorHAnsi" w:hAnsiTheme="majorHAnsi" w:cstheme="majorHAnsi"/>
        </w:rPr>
        <w:t xml:space="preserve"> </w:t>
      </w:r>
      <w:r w:rsidR="00B17D76" w:rsidRPr="0053555E">
        <w:rPr>
          <w:rFonts w:asciiTheme="majorHAnsi" w:hAnsiTheme="majorHAnsi" w:cstheme="majorHAnsi"/>
        </w:rPr>
        <w:t>&lt;</w:t>
      </w:r>
      <w:r w:rsidRPr="0053555E">
        <w:rPr>
          <w:rFonts w:asciiTheme="majorHAnsi" w:hAnsiTheme="majorHAnsi" w:cstheme="majorHAnsi"/>
        </w:rPr>
        <w:t xml:space="preserve">1,00 – </w:t>
      </w:r>
      <w:r w:rsidR="00110D1F" w:rsidRPr="0053555E">
        <w:rPr>
          <w:rFonts w:asciiTheme="majorHAnsi" w:hAnsiTheme="majorHAnsi" w:cstheme="majorHAnsi"/>
        </w:rPr>
        <w:t>2,00</w:t>
      </w:r>
      <w:r w:rsidRPr="0053555E">
        <w:rPr>
          <w:rFonts w:asciiTheme="majorHAnsi" w:hAnsiTheme="majorHAnsi" w:cstheme="majorHAnsi"/>
        </w:rPr>
        <w:t>)</w:t>
      </w:r>
      <w:r w:rsidR="00997085" w:rsidRPr="0053555E">
        <w:rPr>
          <w:rFonts w:asciiTheme="majorHAnsi" w:hAnsiTheme="majorHAnsi" w:cstheme="majorHAnsi"/>
        </w:rPr>
        <w:t xml:space="preserve"> </w:t>
      </w:r>
      <w:r w:rsidR="00CF7985">
        <w:rPr>
          <w:rFonts w:asciiTheme="majorHAnsi" w:hAnsiTheme="majorHAnsi" w:cstheme="majorHAnsi"/>
        </w:rPr>
        <w:t xml:space="preserve">už v prvom roku štúdia </w:t>
      </w:r>
      <w:r w:rsidR="00997085" w:rsidRPr="0053555E">
        <w:rPr>
          <w:rFonts w:asciiTheme="majorHAnsi" w:hAnsiTheme="majorHAnsi" w:cstheme="majorHAnsi"/>
        </w:rPr>
        <w:t>(</w:t>
      </w:r>
      <w:r w:rsidR="00997085" w:rsidRPr="00BF25BE">
        <w:rPr>
          <w:rFonts w:asciiTheme="majorHAnsi" w:hAnsiTheme="majorHAnsi" w:cstheme="majorHAnsi"/>
        </w:rPr>
        <w:fldChar w:fldCharType="begin"/>
      </w:r>
      <w:r w:rsidR="00997085" w:rsidRPr="00BF25BE">
        <w:rPr>
          <w:rFonts w:asciiTheme="majorHAnsi" w:hAnsiTheme="majorHAnsi" w:cstheme="majorHAnsi"/>
        </w:rPr>
        <w:instrText xml:space="preserve"> REF _Ref31721490 \h </w:instrText>
      </w:r>
      <w:r w:rsidR="00324438" w:rsidRPr="00BF25BE">
        <w:rPr>
          <w:rFonts w:asciiTheme="majorHAnsi" w:hAnsiTheme="majorHAnsi" w:cstheme="majorHAnsi"/>
        </w:rPr>
        <w:instrText xml:space="preserve"> \* MERGEFORMAT </w:instrText>
      </w:r>
      <w:r w:rsidR="00997085" w:rsidRPr="00BF25BE">
        <w:rPr>
          <w:rFonts w:asciiTheme="majorHAnsi" w:hAnsiTheme="majorHAnsi" w:cstheme="majorHAnsi"/>
        </w:rPr>
      </w:r>
      <w:r w:rsidR="00997085" w:rsidRPr="00BF25BE">
        <w:rPr>
          <w:rFonts w:asciiTheme="majorHAnsi" w:hAnsiTheme="majorHAnsi" w:cstheme="majorHAnsi"/>
        </w:rPr>
        <w:fldChar w:fldCharType="separate"/>
      </w:r>
      <w:r w:rsidR="00EE1B59" w:rsidRPr="00BF25BE">
        <w:rPr>
          <w:rFonts w:asciiTheme="majorHAnsi" w:hAnsiTheme="majorHAnsi" w:cstheme="majorHAnsi"/>
        </w:rPr>
        <w:t xml:space="preserve">Tab. č. </w:t>
      </w:r>
      <w:r w:rsidR="00E82525">
        <w:rPr>
          <w:rFonts w:asciiTheme="majorHAnsi" w:hAnsiTheme="majorHAnsi" w:cstheme="majorHAnsi"/>
        </w:rPr>
        <w:t>74</w:t>
      </w:r>
      <w:r w:rsidR="00997085" w:rsidRPr="00BF25BE">
        <w:rPr>
          <w:rFonts w:asciiTheme="majorHAnsi" w:hAnsiTheme="majorHAnsi" w:cstheme="majorHAnsi"/>
        </w:rPr>
        <w:fldChar w:fldCharType="end"/>
      </w:r>
      <w:r w:rsidR="00997085" w:rsidRPr="0053555E">
        <w:rPr>
          <w:rFonts w:asciiTheme="majorHAnsi" w:hAnsiTheme="majorHAnsi" w:cstheme="majorHAnsi"/>
        </w:rPr>
        <w:t>)</w:t>
      </w:r>
      <w:r w:rsidRPr="0053555E">
        <w:rPr>
          <w:rFonts w:asciiTheme="majorHAnsi" w:hAnsiTheme="majorHAnsi" w:cstheme="majorHAnsi"/>
        </w:rPr>
        <w:t>, čo je zrejme dané už spomínanou vyššou motiváciu a záujmom študovať</w:t>
      </w:r>
      <w:r w:rsidR="00997085" w:rsidRPr="0053555E">
        <w:rPr>
          <w:rFonts w:asciiTheme="majorHAnsi" w:hAnsiTheme="majorHAnsi" w:cstheme="majorHAnsi"/>
        </w:rPr>
        <w:t>.</w:t>
      </w:r>
    </w:p>
    <w:p w14:paraId="555F9236" w14:textId="05790631" w:rsidR="002071AC" w:rsidRPr="0053555E" w:rsidRDefault="00F71253" w:rsidP="000E3322">
      <w:pPr>
        <w:pStyle w:val="Popis"/>
      </w:pPr>
      <w:bookmarkStart w:id="305" w:name="_Ref31721490"/>
      <w:bookmarkStart w:id="306" w:name="_Toc127593325"/>
      <w:r w:rsidRPr="0053555E">
        <w:t xml:space="preserve">Tab. č. </w:t>
      </w:r>
      <w:bookmarkEnd w:id="305"/>
      <w:r w:rsidR="00E82525">
        <w:t>74</w:t>
      </w:r>
      <w:r w:rsidRPr="0053555E">
        <w:t>:</w:t>
      </w:r>
      <w:r w:rsidR="002071AC" w:rsidRPr="0053555E">
        <w:t xml:space="preserve"> </w:t>
      </w:r>
      <w:r w:rsidR="00400287" w:rsidRPr="0053555E">
        <w:t xml:space="preserve">Študijné výsledky </w:t>
      </w:r>
      <w:r w:rsidR="00CB3ED4" w:rsidRPr="0053555E">
        <w:t>na</w:t>
      </w:r>
      <w:r w:rsidR="00400287" w:rsidRPr="0053555E">
        <w:t xml:space="preserve"> druhom stupni štúdia v dennej forme v akad</w:t>
      </w:r>
      <w:r w:rsidR="00847D1E" w:rsidRPr="0053555E">
        <w:t>emickom</w:t>
      </w:r>
      <w:r w:rsidR="00400287" w:rsidRPr="0053555E">
        <w:t xml:space="preserve"> roku </w:t>
      </w:r>
      <w:r w:rsidR="00EA24BA" w:rsidRPr="0053555E">
        <w:t>2021/2022</w:t>
      </w:r>
      <w:bookmarkEnd w:id="306"/>
    </w:p>
    <w:tbl>
      <w:tblPr>
        <w:tblW w:w="6177" w:type="dxa"/>
        <w:tblInd w:w="55" w:type="dxa"/>
        <w:tblLayout w:type="fixed"/>
        <w:tblCellMar>
          <w:left w:w="70" w:type="dxa"/>
          <w:right w:w="70" w:type="dxa"/>
        </w:tblCellMar>
        <w:tblLook w:val="04A0" w:firstRow="1" w:lastRow="0" w:firstColumn="1" w:lastColumn="0" w:noHBand="0" w:noVBand="1"/>
      </w:tblPr>
      <w:tblGrid>
        <w:gridCol w:w="1216"/>
        <w:gridCol w:w="1653"/>
        <w:gridCol w:w="1654"/>
        <w:gridCol w:w="1654"/>
      </w:tblGrid>
      <w:tr w:rsidR="003D473D" w:rsidRPr="0053555E" w14:paraId="0630136A" w14:textId="77777777" w:rsidTr="00F150F0">
        <w:trPr>
          <w:trHeight w:val="255"/>
        </w:trPr>
        <w:tc>
          <w:tcPr>
            <w:tcW w:w="121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9007A" w14:textId="77777777" w:rsidR="003D473D" w:rsidRPr="0053555E" w:rsidRDefault="003D473D" w:rsidP="00324438">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ročník</w:t>
            </w:r>
          </w:p>
        </w:tc>
        <w:tc>
          <w:tcPr>
            <w:tcW w:w="4961"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3142084" w14:textId="77777777" w:rsidR="003D473D" w:rsidRPr="0053555E" w:rsidRDefault="003D473D" w:rsidP="00324438">
            <w:pPr>
              <w:tabs>
                <w:tab w:val="left" w:pos="9356"/>
              </w:tabs>
              <w:jc w:val="center"/>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vážený študijný priemer</w:t>
            </w:r>
          </w:p>
        </w:tc>
      </w:tr>
      <w:tr w:rsidR="000641D4" w:rsidRPr="0053555E" w14:paraId="189CFEC9" w14:textId="77777777" w:rsidTr="00F150F0">
        <w:trPr>
          <w:trHeight w:val="255"/>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7D658A78" w14:textId="77777777" w:rsidR="000641D4" w:rsidRPr="0053555E" w:rsidRDefault="000641D4" w:rsidP="00324438">
            <w:pPr>
              <w:tabs>
                <w:tab w:val="left" w:pos="9356"/>
              </w:tabs>
              <w:jc w:val="both"/>
              <w:rPr>
                <w:rFonts w:asciiTheme="majorHAnsi" w:eastAsia="Times New Roman" w:hAnsiTheme="majorHAnsi" w:cstheme="majorHAnsi"/>
                <w:b/>
                <w:bCs/>
                <w:sz w:val="22"/>
                <w:szCs w:val="22"/>
                <w:lang w:eastAsia="sk-SK"/>
              </w:rPr>
            </w:pPr>
          </w:p>
        </w:tc>
        <w:tc>
          <w:tcPr>
            <w:tcW w:w="1653" w:type="dxa"/>
            <w:tcBorders>
              <w:top w:val="nil"/>
              <w:left w:val="nil"/>
              <w:bottom w:val="single" w:sz="4" w:space="0" w:color="auto"/>
              <w:right w:val="single" w:sz="4" w:space="0" w:color="auto"/>
            </w:tcBorders>
            <w:shd w:val="clear" w:color="auto" w:fill="auto"/>
            <w:noWrap/>
            <w:vAlign w:val="center"/>
            <w:hideMark/>
          </w:tcPr>
          <w:p w14:paraId="3B7E09F1" w14:textId="77777777" w:rsidR="000641D4" w:rsidRPr="0053555E" w:rsidRDefault="000641D4" w:rsidP="00324438">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VŠP &lt;1,00-2,00)</w:t>
            </w:r>
          </w:p>
        </w:tc>
        <w:tc>
          <w:tcPr>
            <w:tcW w:w="1654" w:type="dxa"/>
            <w:tcBorders>
              <w:top w:val="nil"/>
              <w:left w:val="nil"/>
              <w:bottom w:val="single" w:sz="4" w:space="0" w:color="auto"/>
              <w:right w:val="single" w:sz="4" w:space="0" w:color="auto"/>
            </w:tcBorders>
            <w:shd w:val="clear" w:color="auto" w:fill="auto"/>
            <w:noWrap/>
            <w:vAlign w:val="center"/>
            <w:hideMark/>
          </w:tcPr>
          <w:p w14:paraId="6D502F33" w14:textId="77777777" w:rsidR="000641D4" w:rsidRPr="0053555E" w:rsidRDefault="000641D4" w:rsidP="00324438">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VŠP &lt;2,00-3,00)</w:t>
            </w:r>
          </w:p>
        </w:tc>
        <w:tc>
          <w:tcPr>
            <w:tcW w:w="1654" w:type="dxa"/>
            <w:tcBorders>
              <w:top w:val="nil"/>
              <w:left w:val="nil"/>
              <w:bottom w:val="single" w:sz="4" w:space="0" w:color="auto"/>
              <w:right w:val="single" w:sz="4" w:space="0" w:color="auto"/>
            </w:tcBorders>
            <w:shd w:val="clear" w:color="auto" w:fill="auto"/>
            <w:noWrap/>
            <w:vAlign w:val="center"/>
            <w:hideMark/>
          </w:tcPr>
          <w:p w14:paraId="382FB0C3" w14:textId="77777777" w:rsidR="000641D4" w:rsidRPr="0053555E" w:rsidRDefault="000641D4" w:rsidP="00324438">
            <w:pPr>
              <w:tabs>
                <w:tab w:val="left" w:pos="9356"/>
              </w:tabs>
              <w:jc w:val="center"/>
              <w:rPr>
                <w:rFonts w:asciiTheme="majorHAnsi" w:hAnsiTheme="majorHAnsi" w:cstheme="majorHAnsi"/>
                <w:b/>
                <w:bCs/>
                <w:sz w:val="22"/>
                <w:szCs w:val="20"/>
              </w:rPr>
            </w:pPr>
            <w:r w:rsidRPr="0053555E">
              <w:rPr>
                <w:rFonts w:asciiTheme="majorHAnsi" w:hAnsiTheme="majorHAnsi" w:cstheme="majorHAnsi"/>
                <w:b/>
                <w:bCs/>
                <w:sz w:val="22"/>
                <w:szCs w:val="20"/>
              </w:rPr>
              <w:t>VŠP &lt;3,00-4,00)</w:t>
            </w:r>
          </w:p>
        </w:tc>
      </w:tr>
      <w:tr w:rsidR="00E8604F" w:rsidRPr="0053555E" w14:paraId="402DA0F5" w14:textId="77777777" w:rsidTr="00F150F0">
        <w:trPr>
          <w:trHeight w:val="25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59E7259B" w14:textId="77777777" w:rsidR="00E8604F" w:rsidRPr="0053555E" w:rsidRDefault="00E8604F" w:rsidP="00E8604F">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1. rok</w:t>
            </w:r>
          </w:p>
        </w:tc>
        <w:tc>
          <w:tcPr>
            <w:tcW w:w="1653" w:type="dxa"/>
            <w:tcBorders>
              <w:top w:val="nil"/>
              <w:left w:val="nil"/>
              <w:bottom w:val="single" w:sz="4" w:space="0" w:color="auto"/>
              <w:right w:val="single" w:sz="4" w:space="0" w:color="auto"/>
            </w:tcBorders>
            <w:shd w:val="clear" w:color="auto" w:fill="auto"/>
            <w:noWrap/>
            <w:vAlign w:val="center"/>
            <w:hideMark/>
          </w:tcPr>
          <w:p w14:paraId="139A9B2E" w14:textId="705C7DF2" w:rsidR="00E8604F" w:rsidRPr="0053555E" w:rsidRDefault="00E8604F" w:rsidP="00E8604F">
            <w:pPr>
              <w:jc w:val="center"/>
              <w:rPr>
                <w:rFonts w:asciiTheme="majorHAnsi" w:hAnsiTheme="majorHAnsi" w:cstheme="majorHAnsi"/>
                <w:sz w:val="22"/>
                <w:szCs w:val="20"/>
              </w:rPr>
            </w:pPr>
            <w:r w:rsidRPr="0053555E">
              <w:rPr>
                <w:rFonts w:cs="Arial"/>
                <w:sz w:val="22"/>
                <w:szCs w:val="20"/>
              </w:rPr>
              <w:t>66,6</w:t>
            </w:r>
            <w:r w:rsidR="004C5BCE" w:rsidRPr="0053555E">
              <w:rPr>
                <w:rFonts w:cs="Arial"/>
                <w:sz w:val="22"/>
                <w:szCs w:val="20"/>
              </w:rPr>
              <w:t>5</w:t>
            </w:r>
            <w:r w:rsidRPr="0053555E">
              <w:rPr>
                <w:rFonts w:cs="Arial"/>
                <w:sz w:val="22"/>
                <w:szCs w:val="20"/>
              </w:rPr>
              <w:t>%</w:t>
            </w:r>
          </w:p>
        </w:tc>
        <w:tc>
          <w:tcPr>
            <w:tcW w:w="1654" w:type="dxa"/>
            <w:tcBorders>
              <w:top w:val="nil"/>
              <w:left w:val="nil"/>
              <w:bottom w:val="single" w:sz="4" w:space="0" w:color="auto"/>
              <w:right w:val="single" w:sz="4" w:space="0" w:color="auto"/>
            </w:tcBorders>
            <w:shd w:val="clear" w:color="auto" w:fill="auto"/>
            <w:noWrap/>
            <w:vAlign w:val="center"/>
            <w:hideMark/>
          </w:tcPr>
          <w:p w14:paraId="2D3FEE75" w14:textId="3464EA3C" w:rsidR="00E8604F" w:rsidRPr="0053555E" w:rsidRDefault="00E8604F" w:rsidP="00E8604F">
            <w:pPr>
              <w:jc w:val="center"/>
              <w:rPr>
                <w:rFonts w:asciiTheme="majorHAnsi" w:hAnsiTheme="majorHAnsi" w:cstheme="majorHAnsi"/>
                <w:sz w:val="22"/>
                <w:szCs w:val="20"/>
              </w:rPr>
            </w:pPr>
            <w:r w:rsidRPr="0053555E">
              <w:rPr>
                <w:rFonts w:cs="Arial"/>
                <w:sz w:val="22"/>
                <w:szCs w:val="20"/>
              </w:rPr>
              <w:t>23,09%</w:t>
            </w:r>
          </w:p>
        </w:tc>
        <w:tc>
          <w:tcPr>
            <w:tcW w:w="1654" w:type="dxa"/>
            <w:tcBorders>
              <w:top w:val="nil"/>
              <w:left w:val="nil"/>
              <w:bottom w:val="single" w:sz="4" w:space="0" w:color="auto"/>
              <w:right w:val="single" w:sz="4" w:space="0" w:color="auto"/>
            </w:tcBorders>
            <w:shd w:val="clear" w:color="auto" w:fill="auto"/>
            <w:noWrap/>
            <w:vAlign w:val="center"/>
            <w:hideMark/>
          </w:tcPr>
          <w:p w14:paraId="08ABC192" w14:textId="695B1B20" w:rsidR="00E8604F" w:rsidRPr="0053555E" w:rsidRDefault="00E8604F" w:rsidP="00E8604F">
            <w:pPr>
              <w:jc w:val="center"/>
              <w:rPr>
                <w:rFonts w:asciiTheme="majorHAnsi" w:hAnsiTheme="majorHAnsi" w:cstheme="majorHAnsi"/>
                <w:sz w:val="22"/>
                <w:szCs w:val="20"/>
              </w:rPr>
            </w:pPr>
            <w:r w:rsidRPr="0053555E">
              <w:rPr>
                <w:rFonts w:cs="Arial"/>
                <w:sz w:val="22"/>
                <w:szCs w:val="20"/>
              </w:rPr>
              <w:t>10,26%</w:t>
            </w:r>
          </w:p>
        </w:tc>
      </w:tr>
      <w:tr w:rsidR="00E8604F" w:rsidRPr="0053555E" w14:paraId="01767A0A" w14:textId="77777777" w:rsidTr="00F150F0">
        <w:trPr>
          <w:trHeight w:val="28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3184A335" w14:textId="77777777" w:rsidR="00E8604F" w:rsidRPr="0053555E" w:rsidRDefault="00E8604F" w:rsidP="00E8604F">
            <w:pPr>
              <w:tabs>
                <w:tab w:val="left" w:pos="9356"/>
              </w:tabs>
              <w:jc w:val="both"/>
              <w:rPr>
                <w:rFonts w:asciiTheme="majorHAnsi" w:eastAsia="Times New Roman" w:hAnsiTheme="majorHAnsi" w:cstheme="majorHAnsi"/>
                <w:b/>
                <w:bCs/>
                <w:sz w:val="22"/>
                <w:szCs w:val="22"/>
                <w:lang w:eastAsia="sk-SK"/>
              </w:rPr>
            </w:pPr>
            <w:r w:rsidRPr="0053555E">
              <w:rPr>
                <w:rFonts w:asciiTheme="majorHAnsi" w:eastAsia="Times New Roman" w:hAnsiTheme="majorHAnsi" w:cstheme="majorHAnsi"/>
                <w:b/>
                <w:bCs/>
                <w:sz w:val="22"/>
                <w:szCs w:val="22"/>
                <w:lang w:eastAsia="sk-SK"/>
              </w:rPr>
              <w:t>2. rok</w:t>
            </w:r>
          </w:p>
        </w:tc>
        <w:tc>
          <w:tcPr>
            <w:tcW w:w="1653" w:type="dxa"/>
            <w:tcBorders>
              <w:top w:val="nil"/>
              <w:left w:val="nil"/>
              <w:bottom w:val="single" w:sz="4" w:space="0" w:color="auto"/>
              <w:right w:val="single" w:sz="4" w:space="0" w:color="auto"/>
            </w:tcBorders>
            <w:shd w:val="clear" w:color="auto" w:fill="auto"/>
            <w:noWrap/>
            <w:vAlign w:val="center"/>
            <w:hideMark/>
          </w:tcPr>
          <w:p w14:paraId="4875F7AD" w14:textId="3542486E" w:rsidR="00E8604F" w:rsidRPr="0053555E" w:rsidRDefault="00E8604F" w:rsidP="00E8604F">
            <w:pPr>
              <w:jc w:val="center"/>
              <w:rPr>
                <w:rFonts w:asciiTheme="majorHAnsi" w:hAnsiTheme="majorHAnsi" w:cstheme="majorHAnsi"/>
                <w:sz w:val="22"/>
                <w:szCs w:val="20"/>
              </w:rPr>
            </w:pPr>
            <w:r w:rsidRPr="0053555E">
              <w:rPr>
                <w:rFonts w:cs="Arial"/>
                <w:sz w:val="22"/>
                <w:szCs w:val="20"/>
              </w:rPr>
              <w:t>75,26%</w:t>
            </w:r>
          </w:p>
        </w:tc>
        <w:tc>
          <w:tcPr>
            <w:tcW w:w="1654" w:type="dxa"/>
            <w:tcBorders>
              <w:top w:val="nil"/>
              <w:left w:val="nil"/>
              <w:bottom w:val="single" w:sz="4" w:space="0" w:color="auto"/>
              <w:right w:val="single" w:sz="4" w:space="0" w:color="auto"/>
            </w:tcBorders>
            <w:shd w:val="clear" w:color="auto" w:fill="auto"/>
            <w:noWrap/>
            <w:vAlign w:val="center"/>
            <w:hideMark/>
          </w:tcPr>
          <w:p w14:paraId="70AB965D" w14:textId="46568225" w:rsidR="00E8604F" w:rsidRPr="0053555E" w:rsidRDefault="00E8604F" w:rsidP="00E8604F">
            <w:pPr>
              <w:jc w:val="center"/>
              <w:rPr>
                <w:rFonts w:asciiTheme="majorHAnsi" w:hAnsiTheme="majorHAnsi" w:cstheme="majorHAnsi"/>
                <w:sz w:val="22"/>
                <w:szCs w:val="20"/>
              </w:rPr>
            </w:pPr>
            <w:r w:rsidRPr="0053555E">
              <w:rPr>
                <w:rFonts w:cs="Arial"/>
                <w:sz w:val="22"/>
                <w:szCs w:val="20"/>
              </w:rPr>
              <w:t>15,81%</w:t>
            </w:r>
          </w:p>
        </w:tc>
        <w:tc>
          <w:tcPr>
            <w:tcW w:w="1654" w:type="dxa"/>
            <w:tcBorders>
              <w:top w:val="nil"/>
              <w:left w:val="nil"/>
              <w:bottom w:val="single" w:sz="4" w:space="0" w:color="auto"/>
              <w:right w:val="single" w:sz="4" w:space="0" w:color="auto"/>
            </w:tcBorders>
            <w:shd w:val="clear" w:color="auto" w:fill="auto"/>
            <w:noWrap/>
            <w:vAlign w:val="center"/>
            <w:hideMark/>
          </w:tcPr>
          <w:p w14:paraId="01B46AEB" w14:textId="443F8115" w:rsidR="00E8604F" w:rsidRPr="0053555E" w:rsidRDefault="00E8604F" w:rsidP="00E8604F">
            <w:pPr>
              <w:jc w:val="center"/>
              <w:rPr>
                <w:rFonts w:asciiTheme="majorHAnsi" w:hAnsiTheme="majorHAnsi" w:cstheme="majorHAnsi"/>
                <w:sz w:val="22"/>
                <w:szCs w:val="20"/>
              </w:rPr>
            </w:pPr>
            <w:r w:rsidRPr="0053555E">
              <w:rPr>
                <w:rFonts w:cs="Arial"/>
                <w:sz w:val="22"/>
                <w:szCs w:val="20"/>
              </w:rPr>
              <w:t>8,93%</w:t>
            </w:r>
          </w:p>
        </w:tc>
      </w:tr>
    </w:tbl>
    <w:p w14:paraId="39347BBF" w14:textId="77777777" w:rsidR="00E21BCD" w:rsidRPr="0053555E" w:rsidRDefault="002071AC" w:rsidP="00324438">
      <w:pPr>
        <w:tabs>
          <w:tab w:val="left" w:pos="9356"/>
        </w:tabs>
        <w:jc w:val="both"/>
        <w:rPr>
          <w:rFonts w:asciiTheme="majorHAnsi" w:eastAsia="Times New Roman" w:hAnsiTheme="majorHAnsi" w:cstheme="majorHAnsi"/>
          <w:sz w:val="20"/>
          <w:szCs w:val="20"/>
          <w:lang w:eastAsia="sk-SK"/>
        </w:rPr>
      </w:pPr>
      <w:r w:rsidRPr="0053555E">
        <w:rPr>
          <w:rFonts w:asciiTheme="majorHAnsi" w:eastAsia="Times New Roman" w:hAnsiTheme="majorHAnsi" w:cstheme="majorHAnsi"/>
          <w:sz w:val="20"/>
          <w:szCs w:val="20"/>
          <w:lang w:eastAsia="sk-SK"/>
        </w:rPr>
        <w:t>Stav k 31. 8. 20</w:t>
      </w:r>
      <w:r w:rsidR="00D7181E" w:rsidRPr="0053555E">
        <w:rPr>
          <w:rFonts w:asciiTheme="majorHAnsi" w:eastAsia="Times New Roman" w:hAnsiTheme="majorHAnsi" w:cstheme="majorHAnsi"/>
          <w:sz w:val="20"/>
          <w:szCs w:val="20"/>
          <w:lang w:eastAsia="sk-SK"/>
        </w:rPr>
        <w:t>2</w:t>
      </w:r>
      <w:r w:rsidR="0094500F" w:rsidRPr="0053555E">
        <w:rPr>
          <w:rFonts w:asciiTheme="majorHAnsi" w:eastAsia="Times New Roman" w:hAnsiTheme="majorHAnsi" w:cstheme="majorHAnsi"/>
          <w:sz w:val="20"/>
          <w:szCs w:val="20"/>
          <w:lang w:eastAsia="sk-SK"/>
        </w:rPr>
        <w:t>1</w:t>
      </w:r>
    </w:p>
    <w:p w14:paraId="2D7C1C02" w14:textId="77777777" w:rsidR="00E21BCD" w:rsidRPr="0053555E" w:rsidRDefault="00E21BCD" w:rsidP="00324438">
      <w:pPr>
        <w:tabs>
          <w:tab w:val="left" w:pos="9356"/>
        </w:tabs>
        <w:jc w:val="both"/>
        <w:rPr>
          <w:rFonts w:asciiTheme="majorHAnsi" w:eastAsia="Times New Roman" w:hAnsiTheme="majorHAnsi" w:cstheme="majorHAnsi"/>
          <w:sz w:val="20"/>
          <w:szCs w:val="20"/>
          <w:lang w:eastAsia="sk-SK"/>
        </w:rPr>
      </w:pPr>
    </w:p>
    <w:p w14:paraId="6A596CC9" w14:textId="77777777" w:rsidR="00BF25BE" w:rsidRDefault="00BF25BE">
      <w:pPr>
        <w:rPr>
          <w:rFonts w:asciiTheme="majorHAnsi" w:eastAsia="Times New Roman" w:hAnsiTheme="majorHAnsi" w:cstheme="majorHAnsi"/>
          <w:sz w:val="20"/>
          <w:szCs w:val="20"/>
          <w:lang w:eastAsia="sk-SK"/>
        </w:rPr>
      </w:pPr>
    </w:p>
    <w:p w14:paraId="16DC1AA0" w14:textId="32C393DD" w:rsidR="00BF25BE" w:rsidRDefault="004D5A18">
      <w:pPr>
        <w:rPr>
          <w:rFonts w:asciiTheme="majorHAnsi" w:eastAsia="Times New Roman" w:hAnsiTheme="majorHAnsi" w:cstheme="majorHAnsi"/>
          <w:b/>
          <w:sz w:val="28"/>
          <w:szCs w:val="28"/>
          <w:lang w:eastAsia="sk-SK"/>
        </w:rPr>
      </w:pPr>
      <w:r>
        <w:rPr>
          <w:rFonts w:asciiTheme="majorHAnsi" w:eastAsia="Times New Roman" w:hAnsiTheme="majorHAnsi" w:cstheme="majorHAnsi"/>
          <w:b/>
          <w:sz w:val="28"/>
          <w:szCs w:val="28"/>
          <w:lang w:eastAsia="sk-SK"/>
        </w:rPr>
        <w:t>12.7</w:t>
      </w:r>
      <w:r w:rsidR="00BF25BE" w:rsidRPr="00BF25BE">
        <w:rPr>
          <w:rFonts w:asciiTheme="majorHAnsi" w:eastAsia="Times New Roman" w:hAnsiTheme="majorHAnsi" w:cstheme="majorHAnsi"/>
          <w:b/>
          <w:sz w:val="28"/>
          <w:szCs w:val="28"/>
          <w:lang w:eastAsia="sk-SK"/>
        </w:rPr>
        <w:t>. Hodnotenie úrovne vzdelávacej činnosti na STU za rok 2022</w:t>
      </w:r>
    </w:p>
    <w:p w14:paraId="71F351BE" w14:textId="77777777" w:rsidR="00BF25BE" w:rsidRDefault="00BF25BE">
      <w:pPr>
        <w:rPr>
          <w:rFonts w:asciiTheme="majorHAnsi" w:eastAsia="Times New Roman" w:hAnsiTheme="majorHAnsi" w:cstheme="majorHAnsi"/>
          <w:b/>
          <w:sz w:val="28"/>
          <w:szCs w:val="28"/>
          <w:lang w:eastAsia="sk-SK"/>
        </w:rPr>
      </w:pPr>
    </w:p>
    <w:p w14:paraId="250B7B36" w14:textId="77777777" w:rsidR="004D5A18" w:rsidRPr="0053555E" w:rsidRDefault="004D5A18" w:rsidP="004D5A18">
      <w:pPr>
        <w:tabs>
          <w:tab w:val="left" w:pos="9356"/>
        </w:tabs>
        <w:spacing w:after="120"/>
        <w:jc w:val="both"/>
        <w:rPr>
          <w:rFonts w:asciiTheme="majorHAnsi" w:hAnsiTheme="majorHAnsi" w:cstheme="majorHAnsi"/>
        </w:rPr>
      </w:pPr>
      <w:r w:rsidRPr="0053555E">
        <w:rPr>
          <w:rFonts w:asciiTheme="majorHAnsi" w:hAnsiTheme="majorHAnsi" w:cstheme="majorHAnsi"/>
        </w:rPr>
        <w:t xml:space="preserve">Vedecká rada STU </w:t>
      </w:r>
      <w:r>
        <w:rPr>
          <w:rFonts w:asciiTheme="majorHAnsi" w:hAnsiTheme="majorHAnsi" w:cstheme="majorHAnsi"/>
        </w:rPr>
        <w:t xml:space="preserve">v Bratislave na svojom zasadnutí 15.3.2023 prerokovala správu o vzdelávacej činnosti STU za rok 2022. Na základe predloženej správy </w:t>
      </w:r>
      <w:r w:rsidRPr="0053555E">
        <w:rPr>
          <w:rFonts w:asciiTheme="majorHAnsi" w:hAnsiTheme="majorHAnsi" w:cstheme="majorHAnsi"/>
        </w:rPr>
        <w:t>Vedecká rada STU hodnotí úroveň vzdelávacej činnosti na Slovenskej technickej univerzite v Bratislave (ďalej tiež „STU“) za akademický rok 2021/2022 nasledovne:</w:t>
      </w:r>
    </w:p>
    <w:p w14:paraId="44827E37" w14:textId="77777777" w:rsidR="004D5A18" w:rsidRPr="0053555E" w:rsidRDefault="004D5A18" w:rsidP="00E027F7">
      <w:pPr>
        <w:numPr>
          <w:ilvl w:val="0"/>
          <w:numId w:val="6"/>
        </w:numPr>
        <w:tabs>
          <w:tab w:val="left" w:pos="9356"/>
        </w:tabs>
        <w:spacing w:after="120"/>
        <w:ind w:left="284" w:hanging="284"/>
        <w:jc w:val="both"/>
        <w:rPr>
          <w:rFonts w:asciiTheme="majorHAnsi" w:hAnsiTheme="majorHAnsi" w:cstheme="majorHAnsi"/>
        </w:rPr>
      </w:pPr>
      <w:r w:rsidRPr="0053555E">
        <w:rPr>
          <w:rFonts w:asciiTheme="majorHAnsi" w:hAnsiTheme="majorHAnsi" w:cstheme="majorHAnsi"/>
        </w:rPr>
        <w:t>Všetky študijné programy na STU sú ponúkané a uskutočňované v súlade so zákonom č. 131/2002 Z. z. o vysokých školách a o zmene a doplnení niektorých zákonov v znení neskorších predpisov.</w:t>
      </w:r>
    </w:p>
    <w:p w14:paraId="5D30D547" w14:textId="77777777" w:rsidR="004D5A18" w:rsidRPr="0053555E" w:rsidRDefault="004D5A18" w:rsidP="00E027F7">
      <w:pPr>
        <w:numPr>
          <w:ilvl w:val="0"/>
          <w:numId w:val="6"/>
        </w:numPr>
        <w:tabs>
          <w:tab w:val="left" w:pos="9356"/>
        </w:tabs>
        <w:spacing w:after="120"/>
        <w:ind w:left="284" w:hanging="284"/>
        <w:jc w:val="both"/>
        <w:rPr>
          <w:rFonts w:asciiTheme="majorHAnsi" w:hAnsiTheme="majorHAnsi" w:cstheme="majorHAnsi"/>
        </w:rPr>
      </w:pPr>
      <w:r w:rsidRPr="0053555E">
        <w:rPr>
          <w:rFonts w:asciiTheme="majorHAnsi" w:hAnsiTheme="majorHAnsi" w:cstheme="majorHAnsi"/>
        </w:rPr>
        <w:t xml:space="preserve">Kontrola kvality vzdelávacieho procesu na STU sa uskutočňuje s súlade s novým vnútorným systémom zabezpečovania kvality vysokoškolského vzdelávania na STU, ktorý je upravený viacerými samostatnými vnútornými predpismi. Študijné programy, ktoré STU </w:t>
      </w:r>
      <w:r>
        <w:rPr>
          <w:rFonts w:asciiTheme="majorHAnsi" w:hAnsiTheme="majorHAnsi" w:cstheme="majorHAnsi"/>
        </w:rPr>
        <w:t>poskytuje</w:t>
      </w:r>
      <w:r w:rsidRPr="0053555E">
        <w:rPr>
          <w:rFonts w:asciiTheme="majorHAnsi" w:hAnsiTheme="majorHAnsi" w:cstheme="majorHAnsi"/>
        </w:rPr>
        <w:t xml:space="preserve"> sú zosúlaďované so zákonom č. 269/2018 Z. z. a so štandardmi vydanými Slovenskou akreditačnou agentúrou pre vysoké školstvo. </w:t>
      </w:r>
    </w:p>
    <w:p w14:paraId="3572E1B4" w14:textId="77777777" w:rsidR="004D5A18" w:rsidRPr="0053555E" w:rsidRDefault="004D5A18" w:rsidP="00E027F7">
      <w:pPr>
        <w:numPr>
          <w:ilvl w:val="0"/>
          <w:numId w:val="6"/>
        </w:numPr>
        <w:tabs>
          <w:tab w:val="left" w:pos="9356"/>
        </w:tabs>
        <w:spacing w:after="120"/>
        <w:ind w:left="284" w:hanging="284"/>
        <w:jc w:val="both"/>
        <w:rPr>
          <w:rFonts w:asciiTheme="majorHAnsi" w:hAnsiTheme="majorHAnsi" w:cstheme="majorHAnsi"/>
        </w:rPr>
      </w:pPr>
      <w:r w:rsidRPr="0053555E">
        <w:rPr>
          <w:rFonts w:asciiTheme="majorHAnsi" w:hAnsiTheme="majorHAnsi" w:cstheme="majorHAnsi"/>
        </w:rPr>
        <w:t>Do procesu prípravy, úpravy, schvaľovania a realizácie študijných programov sú zapojené interné a externé zainteresované strany z radov zamestnancov STU, študentov STU, zamestnávateľov, absolventov STU a ďalších relevantných zainteresovaných strán.</w:t>
      </w:r>
    </w:p>
    <w:p w14:paraId="13499939" w14:textId="77777777" w:rsidR="004D5A18" w:rsidRPr="0053555E" w:rsidRDefault="004D5A18" w:rsidP="00E027F7">
      <w:pPr>
        <w:numPr>
          <w:ilvl w:val="0"/>
          <w:numId w:val="6"/>
        </w:numPr>
        <w:tabs>
          <w:tab w:val="left" w:pos="9356"/>
        </w:tabs>
        <w:spacing w:after="120"/>
        <w:ind w:left="284" w:hanging="284"/>
        <w:jc w:val="both"/>
        <w:rPr>
          <w:rFonts w:asciiTheme="majorHAnsi" w:hAnsiTheme="majorHAnsi" w:cstheme="majorHAnsi"/>
        </w:rPr>
      </w:pPr>
      <w:r w:rsidRPr="0053555E">
        <w:rPr>
          <w:rFonts w:asciiTheme="majorHAnsi" w:hAnsiTheme="majorHAnsi" w:cstheme="majorHAnsi"/>
        </w:rPr>
        <w:t>Celkové počty študentov na STU</w:t>
      </w:r>
      <w:r>
        <w:rPr>
          <w:rFonts w:asciiTheme="majorHAnsi" w:hAnsiTheme="majorHAnsi" w:cstheme="majorHAnsi"/>
        </w:rPr>
        <w:t xml:space="preserve"> majú z dlhodobého hľadiska</w:t>
      </w:r>
      <w:r w:rsidRPr="0053555E">
        <w:rPr>
          <w:rFonts w:asciiTheme="majorHAnsi" w:hAnsiTheme="majorHAnsi" w:cstheme="majorHAnsi"/>
        </w:rPr>
        <w:t xml:space="preserve"> </w:t>
      </w:r>
      <w:r>
        <w:rPr>
          <w:rFonts w:asciiTheme="majorHAnsi" w:hAnsiTheme="majorHAnsi" w:cstheme="majorHAnsi"/>
        </w:rPr>
        <w:t>klesajúcu tendenciu na všetkých stupňoch štúdia</w:t>
      </w:r>
      <w:r w:rsidRPr="0053555E">
        <w:rPr>
          <w:rFonts w:asciiTheme="majorHAnsi" w:hAnsiTheme="majorHAnsi" w:cstheme="majorHAnsi"/>
        </w:rPr>
        <w:t xml:space="preserve">. </w:t>
      </w:r>
    </w:p>
    <w:p w14:paraId="0987E997" w14:textId="77777777" w:rsidR="004D5A18" w:rsidRPr="0053555E" w:rsidRDefault="004D5A18" w:rsidP="00E027F7">
      <w:pPr>
        <w:numPr>
          <w:ilvl w:val="0"/>
          <w:numId w:val="6"/>
        </w:numPr>
        <w:tabs>
          <w:tab w:val="left" w:pos="9356"/>
        </w:tabs>
        <w:spacing w:after="120"/>
        <w:ind w:left="284" w:hanging="284"/>
        <w:jc w:val="both"/>
        <w:rPr>
          <w:rFonts w:asciiTheme="majorHAnsi" w:hAnsiTheme="majorHAnsi" w:cstheme="majorHAnsi"/>
        </w:rPr>
      </w:pPr>
      <w:r w:rsidRPr="0053555E">
        <w:rPr>
          <w:rFonts w:asciiTheme="majorHAnsi" w:hAnsiTheme="majorHAnsi" w:cstheme="majorHAnsi"/>
        </w:rPr>
        <w:t>V priemere 4/5 študentov STU sú z iného ako Bratislavského kraja, z čoho je zrejmý výrazne celoslovenský záber STU.</w:t>
      </w:r>
    </w:p>
    <w:p w14:paraId="3E18FD14" w14:textId="77777777" w:rsidR="004D5A18" w:rsidRPr="0053555E" w:rsidRDefault="004D5A18" w:rsidP="00E027F7">
      <w:pPr>
        <w:numPr>
          <w:ilvl w:val="0"/>
          <w:numId w:val="6"/>
        </w:numPr>
        <w:tabs>
          <w:tab w:val="left" w:pos="9356"/>
        </w:tabs>
        <w:spacing w:after="120"/>
        <w:ind w:left="284" w:hanging="284"/>
        <w:jc w:val="both"/>
        <w:rPr>
          <w:rFonts w:asciiTheme="majorHAnsi" w:hAnsiTheme="majorHAnsi" w:cstheme="majorHAnsi"/>
        </w:rPr>
      </w:pPr>
      <w:r w:rsidRPr="0053555E">
        <w:rPr>
          <w:rFonts w:asciiTheme="majorHAnsi" w:hAnsiTheme="majorHAnsi" w:cstheme="majorHAnsi"/>
        </w:rPr>
        <w:t xml:space="preserve">V oblasti medzinárodných akademických mobilít bol zaznamenaný </w:t>
      </w:r>
      <w:r>
        <w:rPr>
          <w:rFonts w:asciiTheme="majorHAnsi" w:hAnsiTheme="majorHAnsi" w:cstheme="majorHAnsi"/>
        </w:rPr>
        <w:t>nárast</w:t>
      </w:r>
      <w:r w:rsidRPr="0053555E">
        <w:rPr>
          <w:rFonts w:asciiTheme="majorHAnsi" w:hAnsiTheme="majorHAnsi" w:cstheme="majorHAnsi"/>
        </w:rPr>
        <w:t xml:space="preserve"> prijatých študentov na STU aj vyslaných študentov STU na zahraničné vysoké školy.</w:t>
      </w:r>
    </w:p>
    <w:p w14:paraId="5FB1BD15" w14:textId="77777777" w:rsidR="004D5A18" w:rsidRPr="0053555E" w:rsidRDefault="004D5A18" w:rsidP="00E027F7">
      <w:pPr>
        <w:numPr>
          <w:ilvl w:val="0"/>
          <w:numId w:val="6"/>
        </w:numPr>
        <w:tabs>
          <w:tab w:val="left" w:pos="9356"/>
        </w:tabs>
        <w:spacing w:after="120"/>
        <w:ind w:left="284" w:hanging="284"/>
        <w:jc w:val="both"/>
        <w:rPr>
          <w:rFonts w:asciiTheme="majorHAnsi" w:hAnsiTheme="majorHAnsi" w:cstheme="majorHAnsi"/>
        </w:rPr>
      </w:pPr>
      <w:r w:rsidRPr="0053555E">
        <w:rPr>
          <w:rFonts w:asciiTheme="majorHAnsi" w:hAnsiTheme="majorHAnsi" w:cstheme="majorHAnsi"/>
        </w:rPr>
        <w:lastRenderedPageBreak/>
        <w:t>Počet zahraničných študentov s riadnym štúdiom na STU vykazuje nárast, avšak z dlhodobého hľadiska je tento počet stále nepostačujúci. Väčšina zahraničných študentov študuje študijné programy uskutočňované v slovenskom jazyku alebo v kombinácii slovenského jazyka s anglickým jazykom.</w:t>
      </w:r>
    </w:p>
    <w:p w14:paraId="40AFC025" w14:textId="77777777" w:rsidR="004D5A18" w:rsidRPr="0053555E" w:rsidRDefault="004D5A18" w:rsidP="00E027F7">
      <w:pPr>
        <w:numPr>
          <w:ilvl w:val="0"/>
          <w:numId w:val="6"/>
        </w:numPr>
        <w:shd w:val="clear" w:color="auto" w:fill="FFFFFF"/>
        <w:tabs>
          <w:tab w:val="left" w:pos="9356"/>
        </w:tabs>
        <w:spacing w:after="120"/>
        <w:ind w:left="284" w:hanging="284"/>
        <w:jc w:val="both"/>
        <w:rPr>
          <w:rFonts w:asciiTheme="majorHAnsi" w:hAnsiTheme="majorHAnsi" w:cstheme="majorHAnsi"/>
        </w:rPr>
      </w:pPr>
      <w:r w:rsidRPr="0053555E">
        <w:rPr>
          <w:rFonts w:asciiTheme="majorHAnsi" w:hAnsiTheme="majorHAnsi" w:cstheme="majorHAnsi"/>
        </w:rPr>
        <w:t>STU si štandardne udržiava poprednú pozíciu medzi vysokými školami na Slovensku z hľadiska uplatniteľnosti absolventov.</w:t>
      </w:r>
    </w:p>
    <w:p w14:paraId="316B2C66" w14:textId="77777777" w:rsidR="004D5A18" w:rsidRPr="0053555E" w:rsidRDefault="004D5A18" w:rsidP="00E027F7">
      <w:pPr>
        <w:numPr>
          <w:ilvl w:val="0"/>
          <w:numId w:val="6"/>
        </w:numPr>
        <w:shd w:val="clear" w:color="auto" w:fill="FFFFFF"/>
        <w:tabs>
          <w:tab w:val="left" w:pos="9356"/>
        </w:tabs>
        <w:spacing w:after="120"/>
        <w:ind w:left="284" w:hanging="284"/>
        <w:jc w:val="both"/>
        <w:rPr>
          <w:rFonts w:asciiTheme="majorHAnsi" w:hAnsiTheme="majorHAnsi" w:cstheme="majorHAnsi"/>
        </w:rPr>
      </w:pPr>
      <w:r w:rsidRPr="0053555E">
        <w:rPr>
          <w:rFonts w:asciiTheme="majorHAnsi" w:hAnsiTheme="majorHAnsi" w:cstheme="majorHAnsi"/>
        </w:rPr>
        <w:t xml:space="preserve">Roky pretrvávajúcim pozitívnym trendom vo vzdelávaní študentov na STU je spolupráca s praxou, o čom svedčia mnohé ocenenia študentov STU. </w:t>
      </w:r>
    </w:p>
    <w:p w14:paraId="7793208A" w14:textId="77777777" w:rsidR="004D5A18" w:rsidRPr="0053555E" w:rsidRDefault="004D5A18" w:rsidP="00E027F7">
      <w:pPr>
        <w:numPr>
          <w:ilvl w:val="0"/>
          <w:numId w:val="6"/>
        </w:numPr>
        <w:shd w:val="clear" w:color="auto" w:fill="FFFFFF"/>
        <w:tabs>
          <w:tab w:val="left" w:pos="9356"/>
        </w:tabs>
        <w:spacing w:after="120"/>
        <w:ind w:left="284" w:hanging="284"/>
        <w:jc w:val="both"/>
        <w:rPr>
          <w:rFonts w:asciiTheme="majorHAnsi" w:hAnsiTheme="majorHAnsi" w:cstheme="majorHAnsi"/>
        </w:rPr>
      </w:pPr>
      <w:r w:rsidRPr="0053555E">
        <w:rPr>
          <w:rFonts w:asciiTheme="majorHAnsi" w:hAnsiTheme="majorHAnsi" w:cstheme="majorHAnsi"/>
        </w:rPr>
        <w:t>STU poskytuje kvalitnú sociálnu podporu svojim študentom najmä v rámci poskytovania štipendií, ubytovania, stravovania, poradenskej a konzultantskej činnosti, podpory športových, kultúrnych a iných záujmových činností študentov, podpory študentských organizácií pôsobiacich na STU a študentov so špecifickými potrebami.</w:t>
      </w:r>
    </w:p>
    <w:p w14:paraId="62544604" w14:textId="77777777" w:rsidR="004D5A18" w:rsidRPr="0053555E" w:rsidRDefault="004D5A18" w:rsidP="00E027F7">
      <w:pPr>
        <w:numPr>
          <w:ilvl w:val="0"/>
          <w:numId w:val="6"/>
        </w:numPr>
        <w:tabs>
          <w:tab w:val="left" w:pos="9356"/>
        </w:tabs>
        <w:spacing w:after="120"/>
        <w:ind w:left="284" w:hanging="284"/>
        <w:jc w:val="both"/>
        <w:rPr>
          <w:rFonts w:asciiTheme="majorHAnsi" w:hAnsiTheme="majorHAnsi" w:cstheme="majorHAnsi"/>
        </w:rPr>
      </w:pPr>
      <w:r w:rsidRPr="0053555E">
        <w:rPr>
          <w:rFonts w:asciiTheme="majorHAnsi" w:hAnsiTheme="majorHAnsi" w:cstheme="majorHAnsi"/>
        </w:rPr>
        <w:t>Oblasť celoživotného vzdelávania na STU má dlhodobo veľmi dobrú úroveň</w:t>
      </w:r>
      <w:r>
        <w:rPr>
          <w:rFonts w:asciiTheme="majorHAnsi" w:hAnsiTheme="majorHAnsi" w:cstheme="majorHAnsi"/>
        </w:rPr>
        <w:t>. STU poskytuje akreditované aj neakreditované vzdelávacie programy, ktoré sú pripravované na základe požiadaviek z praxe.</w:t>
      </w:r>
      <w:r w:rsidRPr="0053555E">
        <w:rPr>
          <w:rFonts w:asciiTheme="majorHAnsi" w:hAnsiTheme="majorHAnsi" w:cstheme="majorHAnsi"/>
        </w:rPr>
        <w:t xml:space="preserve"> </w:t>
      </w:r>
    </w:p>
    <w:p w14:paraId="560EF945" w14:textId="77777777" w:rsidR="004D5A18" w:rsidRPr="0053555E" w:rsidRDefault="004D5A18" w:rsidP="00E027F7">
      <w:pPr>
        <w:numPr>
          <w:ilvl w:val="0"/>
          <w:numId w:val="6"/>
        </w:numPr>
        <w:tabs>
          <w:tab w:val="left" w:pos="9356"/>
        </w:tabs>
        <w:spacing w:after="120"/>
        <w:ind w:left="284" w:hanging="284"/>
        <w:jc w:val="both"/>
        <w:rPr>
          <w:rFonts w:asciiTheme="majorHAnsi" w:hAnsiTheme="majorHAnsi" w:cstheme="majorHAnsi"/>
        </w:rPr>
      </w:pPr>
      <w:r w:rsidRPr="0053555E">
        <w:rPr>
          <w:rFonts w:asciiTheme="majorHAnsi" w:hAnsiTheme="majorHAnsi" w:cstheme="majorHAnsi"/>
        </w:rPr>
        <w:t xml:space="preserve">Inštitút celoživotného vzdelávania STU zabezpečuje vzdelávacie programy jazykovej a odbornej prípravy pre zahraničných záujemcov o štúdium v slovenskom jazyku. </w:t>
      </w:r>
    </w:p>
    <w:p w14:paraId="177DA289" w14:textId="77777777" w:rsidR="004D5A18" w:rsidRPr="0053555E" w:rsidRDefault="004D5A18" w:rsidP="00E027F7">
      <w:pPr>
        <w:numPr>
          <w:ilvl w:val="0"/>
          <w:numId w:val="6"/>
        </w:numPr>
        <w:tabs>
          <w:tab w:val="left" w:pos="9356"/>
        </w:tabs>
        <w:spacing w:after="120"/>
        <w:ind w:left="284" w:hanging="284"/>
        <w:jc w:val="both"/>
        <w:rPr>
          <w:rFonts w:asciiTheme="majorHAnsi" w:hAnsiTheme="majorHAnsi" w:cstheme="majorHAnsi"/>
        </w:rPr>
      </w:pPr>
      <w:r w:rsidRPr="0053555E">
        <w:rPr>
          <w:rFonts w:asciiTheme="majorHAnsi" w:hAnsiTheme="majorHAnsi" w:cstheme="majorHAnsi"/>
        </w:rPr>
        <w:t>STU uskutočňuje vzdelávanie na veľmi dobrej úrovni, čo vyplýva aj z anonymných dotazníkov študentov. Výsledky týchto dotazníkov sú využívané na zlepšenie kvality poskytovaného vzdelávania.</w:t>
      </w:r>
    </w:p>
    <w:p w14:paraId="49D12CC6" w14:textId="77777777" w:rsidR="004D5A18" w:rsidRPr="0053555E" w:rsidRDefault="004D5A18" w:rsidP="00E027F7">
      <w:pPr>
        <w:numPr>
          <w:ilvl w:val="0"/>
          <w:numId w:val="6"/>
        </w:numPr>
        <w:tabs>
          <w:tab w:val="left" w:pos="9356"/>
        </w:tabs>
        <w:spacing w:after="120"/>
        <w:ind w:left="284" w:hanging="284"/>
        <w:jc w:val="both"/>
        <w:rPr>
          <w:rFonts w:asciiTheme="majorHAnsi" w:hAnsiTheme="majorHAnsi" w:cstheme="majorHAnsi"/>
        </w:rPr>
      </w:pPr>
      <w:r w:rsidRPr="0053555E">
        <w:rPr>
          <w:rFonts w:asciiTheme="majorHAnsi" w:hAnsiTheme="majorHAnsi" w:cstheme="majorHAnsi"/>
        </w:rPr>
        <w:t>STU počas pandémie COVID-19 prispôsobila poskytované vzdelávanie na všetkých stupňoch štúdia, poskytovala sociálnu podporu pre študentov a zamestnancov, materiálne aj technické zabezpečenie, aby v čo najvyššej miere zmiernila dopady na kvalitu poskytovaného vzdelávania ako aj zdravotné a psychické dopady súvisiace s ochorením COVID-19.</w:t>
      </w:r>
    </w:p>
    <w:p w14:paraId="78AF7AF2" w14:textId="77777777" w:rsidR="004D5A18" w:rsidRPr="00471953" w:rsidRDefault="004D5A18" w:rsidP="00E027F7">
      <w:pPr>
        <w:numPr>
          <w:ilvl w:val="0"/>
          <w:numId w:val="6"/>
        </w:numPr>
        <w:tabs>
          <w:tab w:val="left" w:pos="9356"/>
        </w:tabs>
        <w:spacing w:after="120"/>
        <w:ind w:left="284" w:hanging="284"/>
        <w:jc w:val="both"/>
        <w:rPr>
          <w:rFonts w:asciiTheme="majorHAnsi" w:hAnsiTheme="majorHAnsi" w:cstheme="majorHAnsi"/>
        </w:rPr>
      </w:pPr>
      <w:r w:rsidRPr="00471953">
        <w:rPr>
          <w:rFonts w:asciiTheme="majorHAnsi" w:hAnsiTheme="majorHAnsi" w:cstheme="majorHAnsi"/>
        </w:rPr>
        <w:t xml:space="preserve">STU </w:t>
      </w:r>
      <w:r>
        <w:rPr>
          <w:rFonts w:asciiTheme="majorHAnsi" w:hAnsiTheme="majorHAnsi" w:cstheme="majorHAnsi"/>
        </w:rPr>
        <w:t>poskytuje študentom zasiahnutým vojnovým konfliktom na Ukrajine rôzne formy podpory v rámci vzdelávania a sociálnej starostlivosti, najmä poskytovaním mimoriadnych štipendií, poradenskej a konzultantskej činnosti, prostredníctvom študijných poradcov, jazykovej podpory v rámci poskytovaných jazykový kurzov a ponuky výberových predmetov slovenský jazyk, ubytovanie, stravovanie</w:t>
      </w:r>
      <w:r w:rsidRPr="00471953">
        <w:rPr>
          <w:rFonts w:asciiTheme="majorHAnsi" w:hAnsiTheme="majorHAnsi" w:cstheme="majorHAnsi"/>
        </w:rPr>
        <w:t>.</w:t>
      </w:r>
    </w:p>
    <w:p w14:paraId="7F0CA001" w14:textId="77777777" w:rsidR="004D5A18" w:rsidRPr="00842E60" w:rsidRDefault="004D5A18" w:rsidP="004D5A18">
      <w:pPr>
        <w:tabs>
          <w:tab w:val="left" w:pos="9356"/>
        </w:tabs>
        <w:spacing w:after="120"/>
        <w:jc w:val="both"/>
        <w:rPr>
          <w:rFonts w:asciiTheme="majorHAnsi" w:hAnsiTheme="majorHAnsi" w:cstheme="majorHAnsi"/>
          <w:b/>
          <w:color w:val="00B050"/>
        </w:rPr>
      </w:pPr>
      <w:r w:rsidRPr="0053555E">
        <w:rPr>
          <w:rFonts w:asciiTheme="majorHAnsi" w:hAnsiTheme="majorHAnsi" w:cstheme="majorHAnsi"/>
        </w:rPr>
        <w:t xml:space="preserve">Napriek zjavnému podfinancovaniu vysokoškolského vzdelávania na Slovensku je možné konštatovať, že vzdelávanie na STU je obsahovo inovované výsledkami tvorivej vedeckej a umeleckej činnosti a aktuálnymi požiadavkami spoločenskej praxe. V akademickom roku 2021/2022 sa uskutočňovalo na veľmi dobrej kvalitatívnej a kvantitatívnej úrovni, ktorá bola pozitívne hodnotená aj vonkajším prostredím. Aj napriek nútenému čiastočnému prechodu na dištančné vzdelávanie STU v oblasti vzdelávania plní svoje poslanie, ktoré je jej dané zákonom o vysokých školách a formulované dlhodobým zámerom vzdelávacej, vedeckovýskumnej, umeleckej, vývojovej a ďalšej tvorivej činnosti STU. STU bude v ďalšom období vyvíjať aktivity na zlepšenie ukazovateľov, ktorých plnenie bolo vyhodnotené ako neuspokojivé, najmä aktivity smerujúce k zvýšeniu počtu študijných programov realizovaných v anglickom jazyku, k zvýšeniu počtu akademických mobilít, k zvýšeniu počtu zahraničných študentov a k </w:t>
      </w:r>
      <w:r w:rsidRPr="00EE33DD">
        <w:rPr>
          <w:rFonts w:asciiTheme="majorHAnsi" w:hAnsiTheme="majorHAnsi" w:cstheme="majorHAnsi"/>
        </w:rPr>
        <w:t>zníženiu úbytku študentov na prvom stupni štúdia.</w:t>
      </w:r>
    </w:p>
    <w:p w14:paraId="7EC7C7B2" w14:textId="77777777" w:rsidR="004D5A18" w:rsidRDefault="004D5A18">
      <w:pPr>
        <w:rPr>
          <w:rFonts w:asciiTheme="majorHAnsi" w:eastAsia="Times New Roman" w:hAnsiTheme="majorHAnsi" w:cstheme="majorHAnsi"/>
          <w:b/>
          <w:sz w:val="28"/>
          <w:szCs w:val="28"/>
          <w:lang w:eastAsia="sk-SK"/>
        </w:rPr>
      </w:pPr>
    </w:p>
    <w:p w14:paraId="0D0CD27A" w14:textId="77777777" w:rsidR="004D5A18" w:rsidRDefault="004D5A18">
      <w:pPr>
        <w:rPr>
          <w:rFonts w:asciiTheme="majorHAnsi" w:eastAsia="Times New Roman" w:hAnsiTheme="majorHAnsi" w:cstheme="majorHAnsi"/>
          <w:b/>
          <w:sz w:val="28"/>
          <w:szCs w:val="28"/>
          <w:lang w:eastAsia="sk-SK"/>
        </w:rPr>
      </w:pPr>
    </w:p>
    <w:p w14:paraId="6E9ABD38" w14:textId="4D012432" w:rsidR="004D5A18" w:rsidRPr="00216A96" w:rsidRDefault="004D5A18" w:rsidP="004D5A18">
      <w:pPr>
        <w:pStyle w:val="Zkladntext1"/>
        <w:shd w:val="clear" w:color="auto" w:fill="auto"/>
        <w:spacing w:after="300" w:line="209" w:lineRule="auto"/>
        <w:rPr>
          <w:sz w:val="28"/>
          <w:szCs w:val="28"/>
          <w:lang w:val="sk-SK"/>
        </w:rPr>
      </w:pPr>
      <w:r w:rsidRPr="00216A96">
        <w:rPr>
          <w:b/>
          <w:bCs/>
          <w:sz w:val="28"/>
          <w:szCs w:val="28"/>
          <w:lang w:val="sk-SK"/>
        </w:rPr>
        <w:lastRenderedPageBreak/>
        <w:t>12.8. Hodnotenie úrovne vedeckovýskumnej a umeleckej činnosti na STU za rok 2022</w:t>
      </w:r>
    </w:p>
    <w:p w14:paraId="415A0647" w14:textId="77777777" w:rsidR="004D5A18" w:rsidRPr="00216A96" w:rsidRDefault="004D5A18" w:rsidP="004D5A18">
      <w:pPr>
        <w:pStyle w:val="Zkladntext1"/>
        <w:shd w:val="clear" w:color="auto" w:fill="auto"/>
        <w:spacing w:after="300"/>
        <w:jc w:val="both"/>
        <w:rPr>
          <w:rFonts w:asciiTheme="majorHAnsi" w:hAnsiTheme="majorHAnsi" w:cstheme="majorHAnsi"/>
          <w:lang w:val="sk-SK"/>
        </w:rPr>
      </w:pPr>
      <w:r w:rsidRPr="00216A96">
        <w:rPr>
          <w:rFonts w:asciiTheme="majorHAnsi" w:hAnsiTheme="majorHAnsi" w:cstheme="majorHAnsi"/>
          <w:lang w:val="sk-SK"/>
        </w:rPr>
        <w:t>Vedecká rada STU v Bratislave na svojom zasadnutí 15.3.2023 prerokovala správu o vedeckovýskumnej a umeleckej činnosti STU za rok 2022. Na základe predloženej správy Vedecká rada hodnotí pozitívne úroveň činnosti STU v oblasti vedy, techniky a umenia v roku 2022 a konštatuje, že:</w:t>
      </w:r>
    </w:p>
    <w:p w14:paraId="35AFB23A" w14:textId="77777777" w:rsidR="004D5A18" w:rsidRPr="00216A96" w:rsidRDefault="004D5A18" w:rsidP="004D5A18">
      <w:pPr>
        <w:pStyle w:val="Zkladntext1"/>
        <w:shd w:val="clear" w:color="auto" w:fill="auto"/>
        <w:spacing w:line="206" w:lineRule="auto"/>
        <w:ind w:left="740" w:hanging="360"/>
        <w:jc w:val="both"/>
        <w:rPr>
          <w:rFonts w:asciiTheme="majorHAnsi" w:hAnsiTheme="majorHAnsi" w:cstheme="majorHAnsi"/>
          <w:lang w:val="sk-SK"/>
        </w:rPr>
      </w:pPr>
      <w:r w:rsidRPr="00216A96">
        <w:rPr>
          <w:rFonts w:asciiTheme="majorHAnsi" w:hAnsiTheme="majorHAnsi" w:cstheme="majorHAnsi"/>
          <w:lang w:val="sk-SK"/>
        </w:rPr>
        <w:t>- STU v Bratislave ako najlepšia technická univerzita na Slovensku svojou tvorivou činnosťou výraznou mierou prispieva k rozvoju vedeckého poznania vo svete. Výskum na univerzite je úzko prepojený s praxou, pokrýva široké spektrum oblastí vedy a výskumu a súbežne vytvára vhodné podmienky pre zapájanie študentov do výskumnej činnosti.</w:t>
      </w:r>
    </w:p>
    <w:p w14:paraId="30552C25" w14:textId="77777777" w:rsidR="004D5A18" w:rsidRPr="00216A96" w:rsidRDefault="004D5A18" w:rsidP="004D5A18">
      <w:pPr>
        <w:pStyle w:val="Zkladntext1"/>
        <w:shd w:val="clear" w:color="auto" w:fill="auto"/>
        <w:spacing w:line="206" w:lineRule="auto"/>
        <w:ind w:left="740" w:hanging="360"/>
        <w:jc w:val="both"/>
        <w:rPr>
          <w:rFonts w:asciiTheme="majorHAnsi" w:hAnsiTheme="majorHAnsi" w:cstheme="majorHAnsi"/>
          <w:lang w:val="sk-SK"/>
        </w:rPr>
      </w:pPr>
      <w:r w:rsidRPr="00216A96">
        <w:rPr>
          <w:rFonts w:asciiTheme="majorHAnsi" w:hAnsiTheme="majorHAnsi" w:cstheme="majorHAnsi"/>
          <w:lang w:val="sk-SK"/>
        </w:rPr>
        <w:t>- Univerzita sa umiestnila v troch významných svetových rebríčkoch: v QS World University Rankings®, THE (Times Higher Education) World University Rankings a U.S. News Best Global Universities. Najlepšie sa STU umiestnila v rebríčku QS World University Rankings® na pozícii 801 - 1000 z 1422 hodnotených univerzít, pričom sa v rebríčku okrem STU umiestnilo ďalších 5 univerzít.</w:t>
      </w:r>
    </w:p>
    <w:p w14:paraId="4E8B4F72" w14:textId="77777777" w:rsidR="004D5A18" w:rsidRPr="00216A96" w:rsidRDefault="004D5A18" w:rsidP="00E027F7">
      <w:pPr>
        <w:pStyle w:val="Zkladntext1"/>
        <w:numPr>
          <w:ilvl w:val="0"/>
          <w:numId w:val="32"/>
        </w:numPr>
        <w:shd w:val="clear" w:color="auto" w:fill="auto"/>
        <w:tabs>
          <w:tab w:val="left" w:pos="740"/>
        </w:tabs>
        <w:spacing w:line="209" w:lineRule="auto"/>
        <w:ind w:left="740" w:hanging="360"/>
        <w:jc w:val="both"/>
        <w:rPr>
          <w:rFonts w:asciiTheme="majorHAnsi" w:hAnsiTheme="majorHAnsi" w:cstheme="majorHAnsi"/>
          <w:lang w:val="sk-SK"/>
        </w:rPr>
      </w:pPr>
      <w:r w:rsidRPr="00216A96">
        <w:rPr>
          <w:rFonts w:asciiTheme="majorHAnsi" w:hAnsiTheme="majorHAnsi" w:cstheme="majorHAnsi"/>
          <w:lang w:val="sk-SK"/>
        </w:rPr>
        <w:t>V THE World University Rankings sa STU umiestnila na pozícii 1501 - 1800 z 2345 hodnotených univerzít, pričom sa v rebríčku okrem STU umiestnilo ďalších 8 univerzít. U.S. News Best Global Universities už 30 rokov porovnávajú americké univerzity so svetom. V tomto rebríčku sa umiestnilo päť univerzít zo Slovenska vrátane STU. Okrem THE hodnotia ostatné rebríčky STU ako najlepšiu univerzitu s technickým zameraním na Slovensku. Podľa rebríčka UniRank™ je STU druhou najlepšou univerzitou na Slovensku.</w:t>
      </w:r>
    </w:p>
    <w:p w14:paraId="5173B79B" w14:textId="77777777" w:rsidR="004D5A18" w:rsidRPr="00216A96" w:rsidRDefault="004D5A18" w:rsidP="00E027F7">
      <w:pPr>
        <w:pStyle w:val="Zkladntext1"/>
        <w:numPr>
          <w:ilvl w:val="0"/>
          <w:numId w:val="32"/>
        </w:numPr>
        <w:shd w:val="clear" w:color="auto" w:fill="auto"/>
        <w:tabs>
          <w:tab w:val="left" w:pos="740"/>
        </w:tabs>
        <w:spacing w:line="209" w:lineRule="auto"/>
        <w:ind w:left="740" w:hanging="360"/>
        <w:jc w:val="both"/>
        <w:rPr>
          <w:rFonts w:asciiTheme="majorHAnsi" w:hAnsiTheme="majorHAnsi" w:cstheme="majorHAnsi"/>
          <w:lang w:val="sk-SK"/>
        </w:rPr>
      </w:pPr>
      <w:r w:rsidRPr="00216A96">
        <w:rPr>
          <w:rFonts w:asciiTheme="majorHAnsi" w:hAnsiTheme="majorHAnsi" w:cstheme="majorHAnsi"/>
          <w:lang w:val="sk-SK"/>
        </w:rPr>
        <w:t>STU potvrdila výnimočné postavenie medzi slovenskými verejnými vysokými školami vo viacerých ukazovateľoch - v oblasti získavania domácich grantov STU má 18 % podiel zo všetkých vysokých škôl, vo výskumných zahraničných grantoch má STU 18 % podiel, na výskumných grantoch od iných subjektov 32 % podiel, v ostatných zahraničných grantoch 9 %, a v celkovej publikačnej činnosti 11 %. STU zaznamenala nárast v podiely na publikačnej činnosti a patrí jej druhé miesto z 20 sledovaných vysokých škôl pre výpočet dotácie na rok 2023.</w:t>
      </w:r>
    </w:p>
    <w:p w14:paraId="5F57A46D" w14:textId="77777777" w:rsidR="004D5A18" w:rsidRPr="00216A96" w:rsidRDefault="004D5A18" w:rsidP="00E027F7">
      <w:pPr>
        <w:pStyle w:val="Zkladntext1"/>
        <w:numPr>
          <w:ilvl w:val="0"/>
          <w:numId w:val="32"/>
        </w:numPr>
        <w:shd w:val="clear" w:color="auto" w:fill="auto"/>
        <w:tabs>
          <w:tab w:val="left" w:pos="740"/>
        </w:tabs>
        <w:spacing w:line="202" w:lineRule="auto"/>
        <w:ind w:left="740" w:hanging="360"/>
        <w:jc w:val="both"/>
        <w:rPr>
          <w:rFonts w:asciiTheme="majorHAnsi" w:hAnsiTheme="majorHAnsi" w:cstheme="majorHAnsi"/>
          <w:lang w:val="sk-SK"/>
        </w:rPr>
      </w:pPr>
      <w:r w:rsidRPr="00216A96">
        <w:rPr>
          <w:rFonts w:asciiTheme="majorHAnsi" w:hAnsiTheme="majorHAnsi" w:cstheme="majorHAnsi"/>
          <w:lang w:val="sk-SK"/>
        </w:rPr>
        <w:t>Odborná verejnosť vysoko pozitívne hodnotí STU v oblasti výskumu, čo deklarujú ocenenia, ktoré získali pracovníci STU za výsledky v oblasti vedy.</w:t>
      </w:r>
    </w:p>
    <w:p w14:paraId="404BD1C0" w14:textId="77777777" w:rsidR="004D5A18" w:rsidRPr="00216A96" w:rsidRDefault="004D5A18" w:rsidP="00E027F7">
      <w:pPr>
        <w:pStyle w:val="Zkladntext1"/>
        <w:numPr>
          <w:ilvl w:val="0"/>
          <w:numId w:val="32"/>
        </w:numPr>
        <w:shd w:val="clear" w:color="auto" w:fill="auto"/>
        <w:tabs>
          <w:tab w:val="left" w:pos="740"/>
        </w:tabs>
        <w:spacing w:after="300"/>
        <w:ind w:left="740" w:hanging="360"/>
        <w:jc w:val="both"/>
        <w:rPr>
          <w:rFonts w:asciiTheme="majorHAnsi" w:hAnsiTheme="majorHAnsi" w:cstheme="majorHAnsi"/>
          <w:lang w:val="sk-SK"/>
        </w:rPr>
      </w:pPr>
      <w:r w:rsidRPr="00216A96">
        <w:rPr>
          <w:rFonts w:asciiTheme="majorHAnsi" w:hAnsiTheme="majorHAnsi" w:cstheme="majorHAnsi"/>
          <w:lang w:val="sk-SK"/>
        </w:rPr>
        <w:t>Vedecká rada vysoko hodnotí aktívnu účasť pracovníkov STU na riešení výskumných projektov v rámci výziev Horizont 2020 (44) a Horizont Európa (4), kde medzi všetkými subjektmi na Slovensku patrí STU medzi najlepšie podľa počtu získaných projektov čo dokumentuje šírku záberu spolupráce STU so zahraničnými partnermi.</w:t>
      </w:r>
    </w:p>
    <w:p w14:paraId="37BA78A9" w14:textId="77777777" w:rsidR="004D5A18" w:rsidRPr="00216A96" w:rsidRDefault="004D5A18" w:rsidP="00E027F7">
      <w:pPr>
        <w:pStyle w:val="Zkladntext1"/>
        <w:numPr>
          <w:ilvl w:val="0"/>
          <w:numId w:val="32"/>
        </w:numPr>
        <w:shd w:val="clear" w:color="auto" w:fill="auto"/>
        <w:tabs>
          <w:tab w:val="left" w:pos="740"/>
        </w:tabs>
        <w:spacing w:after="300" w:line="230" w:lineRule="auto"/>
        <w:ind w:left="740" w:hanging="360"/>
        <w:jc w:val="both"/>
        <w:rPr>
          <w:rFonts w:asciiTheme="majorHAnsi" w:hAnsiTheme="majorHAnsi" w:cstheme="majorHAnsi"/>
          <w:lang w:val="sk-SK"/>
        </w:rPr>
      </w:pPr>
      <w:r w:rsidRPr="00216A96">
        <w:rPr>
          <w:rFonts w:asciiTheme="majorHAnsi" w:hAnsiTheme="majorHAnsi" w:cstheme="majorHAnsi"/>
          <w:lang w:val="sk-SK"/>
        </w:rPr>
        <w:t>Vedecká rada oceňuje cieľavedomý prístup univerzity v motivovaní pracovníkov s cieľom zvýšiť kvantitu, ale najmä kvalitu vedecko-výskumných a umeleckých výstupov. Zvlášť dôležitá je podpora mladých výskumníkov, excelentných tímov mladých výskumníkov a schémy oceňovania najlepších vedeckých osobností a najlepších výstupov tvorivej činnosti, ktoré zostali zachované aj napriek neustále sa znižujúcej finančnej podpory štátu.</w:t>
      </w:r>
    </w:p>
    <w:p w14:paraId="07B3B0EF" w14:textId="77777777" w:rsidR="004D5A18" w:rsidRPr="00216A96" w:rsidRDefault="004D5A18" w:rsidP="00E027F7">
      <w:pPr>
        <w:pStyle w:val="Zkladntext1"/>
        <w:numPr>
          <w:ilvl w:val="0"/>
          <w:numId w:val="32"/>
        </w:numPr>
        <w:shd w:val="clear" w:color="auto" w:fill="auto"/>
        <w:tabs>
          <w:tab w:val="left" w:pos="740"/>
        </w:tabs>
        <w:spacing w:after="300" w:line="230" w:lineRule="auto"/>
        <w:ind w:left="740" w:hanging="360"/>
        <w:jc w:val="both"/>
        <w:rPr>
          <w:rFonts w:asciiTheme="majorHAnsi" w:hAnsiTheme="majorHAnsi" w:cstheme="majorHAnsi"/>
          <w:lang w:val="sk-SK"/>
        </w:rPr>
      </w:pPr>
      <w:r w:rsidRPr="00216A96">
        <w:rPr>
          <w:rFonts w:asciiTheme="majorHAnsi" w:hAnsiTheme="majorHAnsi" w:cstheme="majorHAnsi"/>
          <w:lang w:val="sk-SK"/>
        </w:rPr>
        <w:t xml:space="preserve">Vedecká rada prerokovala informáciu o realizácii Periodického hodnotenia výskumnej, vývojovej, umeleckej a ďalšej tvorivej činnosti (VER) Ministerstvom školstva, vedy </w:t>
      </w:r>
      <w:r w:rsidRPr="00216A96">
        <w:rPr>
          <w:rFonts w:asciiTheme="majorHAnsi" w:hAnsiTheme="majorHAnsi" w:cstheme="majorHAnsi"/>
          <w:lang w:val="sk-SK"/>
        </w:rPr>
        <w:lastRenderedPageBreak/>
        <w:t>výskumu a športu SR a konštatovala, že vo zverejnených dokumentoch nie je žiadna definícia jednotlivých kategórií kvality a ani zmienka o zosúladení postupu komisií pri zaraďovaní publikácií do jednotlivých úrovní výstupov, čo významným spôsobom znižuje korektnosť hodnotenia naprieč panelmi. Vedecká rada nepovažuje výsledky VER za dostatočne transparentné a nesúhlasí s ich použitím na rozdeľovanie dotačných finančných prostriedkov ministerstva a  podpore štipendií pre excelentných PhD. študentov.</w:t>
      </w:r>
    </w:p>
    <w:p w14:paraId="13976385" w14:textId="4F2EFA0C" w:rsidR="004D5A18" w:rsidRPr="00216A96" w:rsidRDefault="004D5A18" w:rsidP="004D5A18">
      <w:pPr>
        <w:pStyle w:val="Zkladntext1"/>
        <w:shd w:val="clear" w:color="auto" w:fill="auto"/>
        <w:spacing w:after="0"/>
        <w:jc w:val="both"/>
        <w:rPr>
          <w:rFonts w:asciiTheme="majorHAnsi" w:hAnsiTheme="majorHAnsi" w:cstheme="majorHAnsi"/>
          <w:lang w:val="sk-SK"/>
        </w:rPr>
      </w:pPr>
      <w:r w:rsidRPr="00216A96">
        <w:rPr>
          <w:rFonts w:asciiTheme="majorHAnsi" w:hAnsiTheme="majorHAnsi" w:cstheme="majorHAnsi"/>
          <w:lang w:val="sk-SK"/>
        </w:rPr>
        <w:t>Možno konštatovať, že úroveň vedy, techniky a umenia na Slovenskej technick</w:t>
      </w:r>
      <w:r w:rsidR="00216A96">
        <w:rPr>
          <w:rFonts w:asciiTheme="majorHAnsi" w:hAnsiTheme="majorHAnsi" w:cstheme="majorHAnsi"/>
          <w:lang w:val="sk-SK"/>
        </w:rPr>
        <w:t>ej univerzite v Bratislave je veľmi dobrá</w:t>
      </w:r>
      <w:r w:rsidRPr="00216A96">
        <w:rPr>
          <w:rFonts w:asciiTheme="majorHAnsi" w:hAnsiTheme="majorHAnsi" w:cstheme="majorHAnsi"/>
          <w:lang w:val="sk-SK"/>
        </w:rPr>
        <w:t xml:space="preserve">, pozitívne </w:t>
      </w:r>
      <w:r w:rsidR="00216A96" w:rsidRPr="00216A96">
        <w:rPr>
          <w:rFonts w:asciiTheme="majorHAnsi" w:hAnsiTheme="majorHAnsi" w:cstheme="majorHAnsi"/>
          <w:lang w:val="sk-SK"/>
        </w:rPr>
        <w:t xml:space="preserve">bola </w:t>
      </w:r>
      <w:r w:rsidRPr="00216A96">
        <w:rPr>
          <w:rFonts w:asciiTheme="majorHAnsi" w:hAnsiTheme="majorHAnsi" w:cstheme="majorHAnsi"/>
          <w:lang w:val="sk-SK"/>
        </w:rPr>
        <w:t>hodnotená aj vonkajším prostredím. Slovenská technická univerzita v Bratislave v oblasti vedy, techniky a umenia plní strategické ciele a úlohy formulované Dlhodobým zámerom rozvoja STU a napĺňa tak poslanie dané jej Zákonom č. 131/2002 Z. z. o vysokých školách a o zmene a doplnení niektorých zákonov v znení neskorších predpisov.</w:t>
      </w:r>
      <w:r w:rsidR="00216A96">
        <w:rPr>
          <w:rFonts w:asciiTheme="majorHAnsi" w:hAnsiTheme="majorHAnsi" w:cstheme="majorHAnsi"/>
          <w:lang w:val="sk-SK"/>
        </w:rPr>
        <w:t xml:space="preserve"> </w:t>
      </w:r>
    </w:p>
    <w:p w14:paraId="1A8D16C2" w14:textId="77777777" w:rsidR="00216A96" w:rsidRDefault="00216A96" w:rsidP="00216A96">
      <w:pPr>
        <w:rPr>
          <w:rFonts w:asciiTheme="majorHAnsi" w:eastAsia="Times New Roman" w:hAnsiTheme="majorHAnsi" w:cstheme="majorHAnsi"/>
          <w:b/>
          <w:sz w:val="28"/>
          <w:szCs w:val="28"/>
          <w:lang w:eastAsia="sk-SK"/>
        </w:rPr>
      </w:pPr>
      <w:bookmarkStart w:id="307" w:name="_Krízová_situácia_v"/>
      <w:bookmarkStart w:id="308" w:name="_Ref95464647"/>
      <w:bookmarkStart w:id="309" w:name="_Toc127593260"/>
      <w:bookmarkEnd w:id="307"/>
    </w:p>
    <w:p w14:paraId="1DDF47E5" w14:textId="77777777" w:rsidR="00216A96" w:rsidRDefault="00216A96" w:rsidP="00216A96">
      <w:pPr>
        <w:rPr>
          <w:rFonts w:asciiTheme="majorHAnsi" w:eastAsia="Times New Roman" w:hAnsiTheme="majorHAnsi" w:cstheme="majorHAnsi"/>
          <w:b/>
          <w:sz w:val="28"/>
          <w:szCs w:val="28"/>
          <w:lang w:eastAsia="sk-SK"/>
        </w:rPr>
      </w:pPr>
    </w:p>
    <w:p w14:paraId="1BD6CB6E" w14:textId="34683C55" w:rsidR="00B963AA" w:rsidRPr="00216A96" w:rsidRDefault="00216A96" w:rsidP="00216A96">
      <w:pPr>
        <w:rPr>
          <w:rFonts w:asciiTheme="majorHAnsi" w:eastAsia="Times New Roman" w:hAnsiTheme="majorHAnsi" w:cstheme="majorHAnsi"/>
          <w:b/>
          <w:sz w:val="28"/>
          <w:szCs w:val="28"/>
          <w:lang w:eastAsia="sk-SK"/>
        </w:rPr>
      </w:pPr>
      <w:r w:rsidRPr="00216A96">
        <w:rPr>
          <w:b/>
          <w:sz w:val="32"/>
          <w:szCs w:val="32"/>
        </w:rPr>
        <w:t xml:space="preserve">13. </w:t>
      </w:r>
      <w:r w:rsidR="00B963AA" w:rsidRPr="00216A96">
        <w:rPr>
          <w:b/>
          <w:sz w:val="32"/>
          <w:szCs w:val="32"/>
        </w:rPr>
        <w:t>Krízová situácia v súvislosti s ochorením COVID-19</w:t>
      </w:r>
      <w:bookmarkEnd w:id="308"/>
      <w:bookmarkEnd w:id="309"/>
    </w:p>
    <w:p w14:paraId="126D0FF6" w14:textId="77777777" w:rsidR="00216A96" w:rsidRPr="00216A96" w:rsidRDefault="00216A96" w:rsidP="00216A96">
      <w:pPr>
        <w:rPr>
          <w:b/>
          <w:sz w:val="32"/>
          <w:szCs w:val="32"/>
        </w:rPr>
      </w:pPr>
    </w:p>
    <w:p w14:paraId="1A47018C" w14:textId="4B399A23" w:rsidR="007576CA" w:rsidRPr="003341EF" w:rsidRDefault="003A3D09" w:rsidP="00A5616D">
      <w:pPr>
        <w:tabs>
          <w:tab w:val="left" w:pos="9356"/>
        </w:tabs>
        <w:spacing w:after="120"/>
        <w:jc w:val="both"/>
        <w:rPr>
          <w:rFonts w:asciiTheme="majorHAnsi" w:eastAsia="Times New Roman" w:hAnsiTheme="majorHAnsi" w:cstheme="majorHAnsi"/>
          <w:lang w:eastAsia="sk-SK"/>
        </w:rPr>
      </w:pPr>
      <w:r>
        <w:rPr>
          <w:rFonts w:asciiTheme="majorHAnsi" w:eastAsia="Times New Roman" w:hAnsiTheme="majorHAnsi" w:cstheme="majorHAnsi"/>
          <w:lang w:eastAsia="sk-SK"/>
        </w:rPr>
        <w:t>Vzdelávanie</w:t>
      </w:r>
      <w:r w:rsidR="009715C7" w:rsidRPr="009715C7">
        <w:rPr>
          <w:rFonts w:asciiTheme="majorHAnsi" w:eastAsia="Times New Roman" w:hAnsiTheme="majorHAnsi" w:cstheme="majorHAnsi"/>
          <w:lang w:eastAsia="sk-SK"/>
        </w:rPr>
        <w:t xml:space="preserve"> na </w:t>
      </w:r>
      <w:r>
        <w:rPr>
          <w:rFonts w:asciiTheme="majorHAnsi" w:eastAsia="Times New Roman" w:hAnsiTheme="majorHAnsi" w:cstheme="majorHAnsi"/>
          <w:lang w:eastAsia="sk-SK"/>
        </w:rPr>
        <w:t>STU</w:t>
      </w:r>
      <w:r w:rsidR="009715C7" w:rsidRPr="009715C7">
        <w:rPr>
          <w:rFonts w:asciiTheme="majorHAnsi" w:eastAsia="Times New Roman" w:hAnsiTheme="majorHAnsi" w:cstheme="majorHAnsi"/>
          <w:lang w:eastAsia="sk-SK"/>
        </w:rPr>
        <w:t xml:space="preserve"> </w:t>
      </w:r>
      <w:r w:rsidRPr="003341EF">
        <w:rPr>
          <w:rFonts w:asciiTheme="majorHAnsi" w:eastAsia="Times New Roman" w:hAnsiTheme="majorHAnsi" w:cstheme="majorHAnsi"/>
          <w:lang w:eastAsia="sk-SK"/>
        </w:rPr>
        <w:t>v</w:t>
      </w:r>
      <w:r w:rsidR="009715C7" w:rsidRPr="003341EF">
        <w:rPr>
          <w:rFonts w:asciiTheme="majorHAnsi" w:eastAsia="Times New Roman" w:hAnsiTheme="majorHAnsi" w:cstheme="majorHAnsi"/>
          <w:lang w:eastAsia="sk-SK"/>
        </w:rPr>
        <w:t xml:space="preserve"> zimn</w:t>
      </w:r>
      <w:r w:rsidRPr="003341EF">
        <w:rPr>
          <w:rFonts w:asciiTheme="majorHAnsi" w:eastAsia="Times New Roman" w:hAnsiTheme="majorHAnsi" w:cstheme="majorHAnsi"/>
          <w:lang w:eastAsia="sk-SK"/>
        </w:rPr>
        <w:t>om</w:t>
      </w:r>
      <w:r w:rsidR="009715C7" w:rsidRPr="003341EF">
        <w:rPr>
          <w:rFonts w:asciiTheme="majorHAnsi" w:eastAsia="Times New Roman" w:hAnsiTheme="majorHAnsi" w:cstheme="majorHAnsi"/>
          <w:lang w:eastAsia="sk-SK"/>
        </w:rPr>
        <w:t xml:space="preserve"> semest</w:t>
      </w:r>
      <w:r w:rsidRPr="003341EF">
        <w:rPr>
          <w:rFonts w:asciiTheme="majorHAnsi" w:eastAsia="Times New Roman" w:hAnsiTheme="majorHAnsi" w:cstheme="majorHAnsi"/>
          <w:lang w:eastAsia="sk-SK"/>
        </w:rPr>
        <w:t xml:space="preserve">ri </w:t>
      </w:r>
      <w:r w:rsidR="009715C7" w:rsidRPr="003341EF">
        <w:rPr>
          <w:rFonts w:asciiTheme="majorHAnsi" w:eastAsia="Times New Roman" w:hAnsiTheme="majorHAnsi" w:cstheme="majorHAnsi"/>
          <w:lang w:eastAsia="sk-SK"/>
        </w:rPr>
        <w:t>akademického roka</w:t>
      </w:r>
      <w:r w:rsidRPr="003341EF">
        <w:rPr>
          <w:rFonts w:asciiTheme="majorHAnsi" w:eastAsia="Times New Roman" w:hAnsiTheme="majorHAnsi" w:cstheme="majorHAnsi"/>
          <w:lang w:eastAsia="sk-SK"/>
        </w:rPr>
        <w:t xml:space="preserve"> </w:t>
      </w:r>
      <w:r w:rsidR="009715C7" w:rsidRPr="003341EF">
        <w:rPr>
          <w:rFonts w:asciiTheme="majorHAnsi" w:eastAsia="Times New Roman" w:hAnsiTheme="majorHAnsi" w:cstheme="majorHAnsi"/>
          <w:lang w:eastAsia="sk-SK"/>
        </w:rPr>
        <w:t xml:space="preserve">2021/2022 </w:t>
      </w:r>
      <w:r w:rsidRPr="003341EF">
        <w:rPr>
          <w:rFonts w:asciiTheme="majorHAnsi" w:eastAsia="Times New Roman" w:hAnsiTheme="majorHAnsi" w:cstheme="majorHAnsi"/>
          <w:lang w:eastAsia="sk-SK"/>
        </w:rPr>
        <w:t>bol</w:t>
      </w:r>
      <w:r w:rsidR="00805BA0" w:rsidRPr="003341EF">
        <w:rPr>
          <w:rFonts w:asciiTheme="majorHAnsi" w:eastAsia="Times New Roman" w:hAnsiTheme="majorHAnsi" w:cstheme="majorHAnsi"/>
          <w:lang w:eastAsia="sk-SK"/>
        </w:rPr>
        <w:t>o</w:t>
      </w:r>
      <w:r w:rsidR="009715C7" w:rsidRPr="003341EF">
        <w:rPr>
          <w:rFonts w:asciiTheme="majorHAnsi" w:eastAsia="Times New Roman" w:hAnsiTheme="majorHAnsi" w:cstheme="majorHAnsi"/>
          <w:lang w:eastAsia="sk-SK"/>
        </w:rPr>
        <w:t xml:space="preserve"> zabezpeč</w:t>
      </w:r>
      <w:r w:rsidR="00805BA0" w:rsidRPr="003341EF">
        <w:rPr>
          <w:rFonts w:asciiTheme="majorHAnsi" w:eastAsia="Times New Roman" w:hAnsiTheme="majorHAnsi" w:cstheme="majorHAnsi"/>
          <w:lang w:eastAsia="sk-SK"/>
        </w:rPr>
        <w:t xml:space="preserve">ované </w:t>
      </w:r>
      <w:r w:rsidR="009715C7" w:rsidRPr="003341EF">
        <w:rPr>
          <w:rFonts w:asciiTheme="majorHAnsi" w:eastAsia="Times New Roman" w:hAnsiTheme="majorHAnsi" w:cstheme="majorHAnsi"/>
          <w:lang w:eastAsia="sk-SK"/>
        </w:rPr>
        <w:t>v</w:t>
      </w:r>
      <w:r w:rsidR="00805BA0" w:rsidRPr="003341EF">
        <w:rPr>
          <w:rFonts w:asciiTheme="majorHAnsi" w:eastAsia="Times New Roman" w:hAnsiTheme="majorHAnsi" w:cstheme="majorHAnsi"/>
          <w:lang w:eastAsia="sk-SK"/>
        </w:rPr>
        <w:t> </w:t>
      </w:r>
      <w:r w:rsidR="009715C7" w:rsidRPr="003341EF">
        <w:rPr>
          <w:rFonts w:asciiTheme="majorHAnsi" w:eastAsia="Times New Roman" w:hAnsiTheme="majorHAnsi" w:cstheme="majorHAnsi"/>
          <w:lang w:eastAsia="sk-SK"/>
        </w:rPr>
        <w:t>čo</w:t>
      </w:r>
      <w:r w:rsidR="00805BA0" w:rsidRPr="003341EF">
        <w:rPr>
          <w:rFonts w:asciiTheme="majorHAnsi" w:eastAsia="Times New Roman" w:hAnsiTheme="majorHAnsi" w:cstheme="majorHAnsi"/>
          <w:lang w:eastAsia="sk-SK"/>
        </w:rPr>
        <w:t xml:space="preserve"> </w:t>
      </w:r>
      <w:r w:rsidR="009715C7" w:rsidRPr="003341EF">
        <w:rPr>
          <w:rFonts w:asciiTheme="majorHAnsi" w:eastAsia="Times New Roman" w:hAnsiTheme="majorHAnsi" w:cstheme="majorHAnsi"/>
          <w:lang w:eastAsia="sk-SK"/>
        </w:rPr>
        <w:t xml:space="preserve">najväčšom rozsahu </w:t>
      </w:r>
      <w:r w:rsidR="0045623F" w:rsidRPr="003341EF">
        <w:rPr>
          <w:rFonts w:asciiTheme="majorHAnsi" w:eastAsia="Times New Roman" w:hAnsiTheme="majorHAnsi" w:cstheme="majorHAnsi"/>
          <w:lang w:eastAsia="sk-SK"/>
        </w:rPr>
        <w:t xml:space="preserve">prezenčnou metódou </w:t>
      </w:r>
      <w:r w:rsidR="00216A96">
        <w:rPr>
          <w:rFonts w:asciiTheme="majorHAnsi" w:eastAsia="Times New Roman" w:hAnsiTheme="majorHAnsi" w:cstheme="majorHAnsi"/>
          <w:lang w:eastAsia="sk-SK"/>
        </w:rPr>
        <w:t xml:space="preserve">aj počas </w:t>
      </w:r>
      <w:r w:rsidR="009715C7" w:rsidRPr="003341EF">
        <w:rPr>
          <w:rFonts w:asciiTheme="majorHAnsi" w:eastAsia="Times New Roman" w:hAnsiTheme="majorHAnsi" w:cstheme="majorHAnsi"/>
          <w:lang w:eastAsia="sk-SK"/>
        </w:rPr>
        <w:t>pretrvávajúcej pandémie ochorenia COVID-19</w:t>
      </w:r>
      <w:r w:rsidR="00805BA0" w:rsidRPr="003341EF">
        <w:rPr>
          <w:rFonts w:asciiTheme="majorHAnsi" w:eastAsia="Times New Roman" w:hAnsiTheme="majorHAnsi" w:cstheme="majorHAnsi"/>
          <w:lang w:eastAsia="sk-SK"/>
        </w:rPr>
        <w:t xml:space="preserve"> </w:t>
      </w:r>
      <w:r w:rsidR="007F6412" w:rsidRPr="007F6412">
        <w:rPr>
          <w:rFonts w:asciiTheme="majorHAnsi" w:eastAsia="Times New Roman" w:hAnsiTheme="majorHAnsi" w:cstheme="majorHAnsi"/>
          <w:lang w:eastAsia="sk-SK"/>
        </w:rPr>
        <w:t>v súlade s COVID AUTOMAT Alert Systémom</w:t>
      </w:r>
      <w:r w:rsidR="007F6412">
        <w:rPr>
          <w:rFonts w:asciiTheme="majorHAnsi" w:eastAsia="Times New Roman" w:hAnsiTheme="majorHAnsi" w:cstheme="majorHAnsi"/>
          <w:lang w:eastAsia="sk-SK"/>
        </w:rPr>
        <w:t xml:space="preserve"> </w:t>
      </w:r>
      <w:r w:rsidR="007F6412" w:rsidRPr="007F6412">
        <w:rPr>
          <w:rFonts w:asciiTheme="majorHAnsi" w:eastAsia="Times New Roman" w:hAnsiTheme="majorHAnsi" w:cstheme="majorHAnsi"/>
          <w:lang w:eastAsia="sk-SK"/>
        </w:rPr>
        <w:t>pre monitorovanie vývoja epidémie a prijímanie proti-epidemických opatrení</w:t>
      </w:r>
      <w:r w:rsidR="007F6412">
        <w:rPr>
          <w:rFonts w:asciiTheme="majorHAnsi" w:eastAsia="Times New Roman" w:hAnsiTheme="majorHAnsi" w:cstheme="majorHAnsi"/>
          <w:lang w:eastAsia="sk-SK"/>
        </w:rPr>
        <w:t xml:space="preserve"> </w:t>
      </w:r>
      <w:r w:rsidR="009715C7" w:rsidRPr="003341EF">
        <w:rPr>
          <w:rFonts w:asciiTheme="majorHAnsi" w:eastAsia="Times New Roman" w:hAnsiTheme="majorHAnsi" w:cstheme="majorHAnsi"/>
          <w:lang w:eastAsia="sk-SK"/>
        </w:rPr>
        <w:t>a za dodržania všetkých proti-epidemických opatrení podľa aktuálnych uznesení vlády</w:t>
      </w:r>
      <w:r w:rsidR="00805BA0" w:rsidRPr="003341EF">
        <w:rPr>
          <w:rFonts w:asciiTheme="majorHAnsi" w:eastAsia="Times New Roman" w:hAnsiTheme="majorHAnsi" w:cstheme="majorHAnsi"/>
          <w:lang w:eastAsia="sk-SK"/>
        </w:rPr>
        <w:t xml:space="preserve"> </w:t>
      </w:r>
      <w:r w:rsidR="009715C7" w:rsidRPr="003341EF">
        <w:rPr>
          <w:rFonts w:asciiTheme="majorHAnsi" w:eastAsia="Times New Roman" w:hAnsiTheme="majorHAnsi" w:cstheme="majorHAnsi"/>
          <w:lang w:eastAsia="sk-SK"/>
        </w:rPr>
        <w:t>Slovenskej republiky a vyhlášok Úradu verejného</w:t>
      </w:r>
      <w:r w:rsidR="00805BA0" w:rsidRPr="003341EF">
        <w:rPr>
          <w:rFonts w:asciiTheme="majorHAnsi" w:eastAsia="Times New Roman" w:hAnsiTheme="majorHAnsi" w:cstheme="majorHAnsi"/>
          <w:lang w:eastAsia="sk-SK"/>
        </w:rPr>
        <w:t xml:space="preserve"> </w:t>
      </w:r>
      <w:r w:rsidR="009715C7" w:rsidRPr="003341EF">
        <w:rPr>
          <w:rFonts w:asciiTheme="majorHAnsi" w:eastAsia="Times New Roman" w:hAnsiTheme="majorHAnsi" w:cstheme="majorHAnsi"/>
          <w:lang w:eastAsia="sk-SK"/>
        </w:rPr>
        <w:t>zdravotníctva Slovenskej republiky.</w:t>
      </w:r>
      <w:r w:rsidR="000E7624" w:rsidRPr="003341EF">
        <w:rPr>
          <w:rFonts w:asciiTheme="majorHAnsi" w:eastAsia="Times New Roman" w:hAnsiTheme="majorHAnsi" w:cstheme="majorHAnsi"/>
          <w:lang w:eastAsia="sk-SK"/>
        </w:rPr>
        <w:t xml:space="preserve"> Vybrané predmety a ich vzdelávacie činnosti sa na fakultách realizovali </w:t>
      </w:r>
      <w:r w:rsidR="0008678E">
        <w:rPr>
          <w:rFonts w:asciiTheme="majorHAnsi" w:eastAsia="Times New Roman" w:hAnsiTheme="majorHAnsi" w:cstheme="majorHAnsi"/>
          <w:lang w:eastAsia="sk-SK"/>
        </w:rPr>
        <w:t xml:space="preserve">aj </w:t>
      </w:r>
      <w:r w:rsidR="007576CA" w:rsidRPr="003341EF">
        <w:rPr>
          <w:rFonts w:asciiTheme="majorHAnsi" w:eastAsia="Times New Roman" w:hAnsiTheme="majorHAnsi" w:cstheme="majorHAnsi"/>
          <w:lang w:eastAsia="sk-SK"/>
        </w:rPr>
        <w:t>dištančn</w:t>
      </w:r>
      <w:r w:rsidR="0007572B" w:rsidRPr="003341EF">
        <w:rPr>
          <w:rFonts w:asciiTheme="majorHAnsi" w:eastAsia="Times New Roman" w:hAnsiTheme="majorHAnsi" w:cstheme="majorHAnsi"/>
          <w:lang w:eastAsia="sk-SK"/>
        </w:rPr>
        <w:t xml:space="preserve">e. </w:t>
      </w:r>
      <w:r w:rsidR="0019228B" w:rsidRPr="0019228B">
        <w:rPr>
          <w:rFonts w:asciiTheme="majorHAnsi" w:eastAsia="Times New Roman" w:hAnsiTheme="majorHAnsi" w:cstheme="majorHAnsi"/>
          <w:lang w:eastAsia="sk-SK"/>
        </w:rPr>
        <w:t>Metódy uskutočňovania vzdelávacích činností (prezenčná alebo dištančná) v</w:t>
      </w:r>
      <w:r w:rsidR="0019228B">
        <w:rPr>
          <w:rFonts w:asciiTheme="majorHAnsi" w:eastAsia="Times New Roman" w:hAnsiTheme="majorHAnsi" w:cstheme="majorHAnsi"/>
          <w:lang w:eastAsia="sk-SK"/>
        </w:rPr>
        <w:t> </w:t>
      </w:r>
      <w:r w:rsidR="0019228B" w:rsidRPr="0019228B">
        <w:rPr>
          <w:rFonts w:asciiTheme="majorHAnsi" w:eastAsia="Times New Roman" w:hAnsiTheme="majorHAnsi" w:cstheme="majorHAnsi"/>
          <w:lang w:eastAsia="sk-SK"/>
        </w:rPr>
        <w:t>rámci</w:t>
      </w:r>
      <w:r w:rsidR="0019228B">
        <w:rPr>
          <w:rFonts w:asciiTheme="majorHAnsi" w:eastAsia="Times New Roman" w:hAnsiTheme="majorHAnsi" w:cstheme="majorHAnsi"/>
          <w:lang w:eastAsia="sk-SK"/>
        </w:rPr>
        <w:t xml:space="preserve"> </w:t>
      </w:r>
      <w:r w:rsidR="0019228B" w:rsidRPr="0019228B">
        <w:rPr>
          <w:rFonts w:asciiTheme="majorHAnsi" w:eastAsia="Times New Roman" w:hAnsiTheme="majorHAnsi" w:cstheme="majorHAnsi"/>
          <w:lang w:eastAsia="sk-SK"/>
        </w:rPr>
        <w:t xml:space="preserve">vysokoškolského vzdelávania si </w:t>
      </w:r>
      <w:r w:rsidR="0019228B">
        <w:rPr>
          <w:rFonts w:asciiTheme="majorHAnsi" w:eastAsia="Times New Roman" w:hAnsiTheme="majorHAnsi" w:cstheme="majorHAnsi"/>
          <w:lang w:eastAsia="sk-SK"/>
        </w:rPr>
        <w:t>volili</w:t>
      </w:r>
      <w:r w:rsidR="0019228B" w:rsidRPr="0019228B">
        <w:rPr>
          <w:rFonts w:asciiTheme="majorHAnsi" w:eastAsia="Times New Roman" w:hAnsiTheme="majorHAnsi" w:cstheme="majorHAnsi"/>
          <w:lang w:eastAsia="sk-SK"/>
        </w:rPr>
        <w:t xml:space="preserve"> fakulty, resp. Ústav manažmentu STU</w:t>
      </w:r>
      <w:r w:rsidR="0019228B">
        <w:rPr>
          <w:rFonts w:asciiTheme="majorHAnsi" w:eastAsia="Times New Roman" w:hAnsiTheme="majorHAnsi" w:cstheme="majorHAnsi"/>
          <w:lang w:eastAsia="sk-SK"/>
        </w:rPr>
        <w:t>.</w:t>
      </w:r>
      <w:r w:rsidR="0019228B" w:rsidRPr="0019228B">
        <w:rPr>
          <w:rFonts w:asciiTheme="majorHAnsi" w:eastAsia="Times New Roman" w:hAnsiTheme="majorHAnsi" w:cstheme="majorHAnsi"/>
          <w:lang w:eastAsia="sk-SK"/>
        </w:rPr>
        <w:t xml:space="preserve"> </w:t>
      </w:r>
      <w:r w:rsidR="0007572B" w:rsidRPr="003341EF">
        <w:rPr>
          <w:rFonts w:asciiTheme="majorHAnsi" w:eastAsia="Times New Roman" w:hAnsiTheme="majorHAnsi" w:cstheme="majorHAnsi"/>
          <w:lang w:eastAsia="sk-SK"/>
        </w:rPr>
        <w:t>V letnom semestri prebiehalo vzdelávanie</w:t>
      </w:r>
      <w:r w:rsidR="00E85684">
        <w:rPr>
          <w:rFonts w:asciiTheme="majorHAnsi" w:eastAsia="Times New Roman" w:hAnsiTheme="majorHAnsi" w:cstheme="majorHAnsi"/>
          <w:lang w:eastAsia="sk-SK"/>
        </w:rPr>
        <w:t xml:space="preserve"> prezenčne</w:t>
      </w:r>
      <w:r w:rsidR="0007572B" w:rsidRPr="003341EF">
        <w:rPr>
          <w:rFonts w:asciiTheme="majorHAnsi" w:eastAsia="Times New Roman" w:hAnsiTheme="majorHAnsi" w:cstheme="majorHAnsi"/>
          <w:lang w:eastAsia="sk-SK"/>
        </w:rPr>
        <w:t>.</w:t>
      </w:r>
      <w:r w:rsidR="007576CA" w:rsidRPr="003341EF">
        <w:rPr>
          <w:rFonts w:asciiTheme="majorHAnsi" w:eastAsia="Times New Roman" w:hAnsiTheme="majorHAnsi" w:cstheme="majorHAnsi"/>
          <w:lang w:eastAsia="sk-SK"/>
        </w:rPr>
        <w:t xml:space="preserve"> </w:t>
      </w:r>
    </w:p>
    <w:p w14:paraId="31130F62" w14:textId="2C7A3B07" w:rsidR="007576CA" w:rsidRPr="0053555E" w:rsidRDefault="007576CA" w:rsidP="007576CA">
      <w:pPr>
        <w:tabs>
          <w:tab w:val="left" w:pos="9356"/>
        </w:tabs>
        <w:spacing w:after="120"/>
        <w:jc w:val="both"/>
        <w:rPr>
          <w:rFonts w:asciiTheme="majorHAnsi" w:eastAsia="Times New Roman" w:hAnsiTheme="majorHAnsi" w:cstheme="majorHAnsi"/>
          <w:lang w:eastAsia="sk-SK"/>
        </w:rPr>
      </w:pPr>
      <w:r w:rsidRPr="003341EF">
        <w:rPr>
          <w:rFonts w:asciiTheme="majorHAnsi" w:eastAsia="Times New Roman" w:hAnsiTheme="majorHAnsi" w:cstheme="majorHAnsi"/>
          <w:lang w:eastAsia="sk-SK"/>
        </w:rPr>
        <w:t xml:space="preserve">STU </w:t>
      </w:r>
      <w:r w:rsidR="00A74EFA" w:rsidRPr="003341EF">
        <w:rPr>
          <w:rFonts w:asciiTheme="majorHAnsi" w:eastAsia="Times New Roman" w:hAnsiTheme="majorHAnsi" w:cstheme="majorHAnsi"/>
          <w:lang w:eastAsia="sk-SK"/>
        </w:rPr>
        <w:t xml:space="preserve">má v súvislosti </w:t>
      </w:r>
      <w:r w:rsidRPr="003341EF">
        <w:rPr>
          <w:rFonts w:asciiTheme="majorHAnsi" w:eastAsia="Times New Roman" w:hAnsiTheme="majorHAnsi" w:cstheme="majorHAnsi"/>
          <w:lang w:eastAsia="sk-SK"/>
        </w:rPr>
        <w:t>s dištančným vzdelávaním</w:t>
      </w:r>
      <w:r w:rsidRPr="0053555E">
        <w:rPr>
          <w:rFonts w:asciiTheme="majorHAnsi" w:eastAsia="Times New Roman" w:hAnsiTheme="majorHAnsi" w:cstheme="majorHAnsi"/>
          <w:lang w:eastAsia="sk-SK"/>
        </w:rPr>
        <w:t xml:space="preserve"> </w:t>
      </w:r>
      <w:r w:rsidR="00916B46" w:rsidRPr="0053555E">
        <w:rPr>
          <w:rFonts w:asciiTheme="majorHAnsi" w:eastAsia="Times New Roman" w:hAnsiTheme="majorHAnsi" w:cstheme="majorHAnsi"/>
          <w:lang w:eastAsia="sk-SK"/>
        </w:rPr>
        <w:t xml:space="preserve">upravený </w:t>
      </w:r>
      <w:r w:rsidRPr="0053555E">
        <w:rPr>
          <w:rFonts w:asciiTheme="majorHAnsi" w:eastAsia="Times New Roman" w:hAnsiTheme="majorHAnsi" w:cstheme="majorHAnsi"/>
          <w:lang w:eastAsia="sk-SK"/>
        </w:rPr>
        <w:t>Študijný poriadok STU</w:t>
      </w:r>
      <w:r w:rsidR="00461D6D">
        <w:rPr>
          <w:rFonts w:asciiTheme="majorHAnsi" w:eastAsia="Times New Roman" w:hAnsiTheme="majorHAnsi" w:cstheme="majorHAnsi"/>
          <w:lang w:eastAsia="sk-SK"/>
        </w:rPr>
        <w:t xml:space="preserve"> </w:t>
      </w:r>
      <w:r w:rsidR="004A67F3">
        <w:rPr>
          <w:rFonts w:asciiTheme="majorHAnsi" w:eastAsia="Times New Roman" w:hAnsiTheme="majorHAnsi" w:cstheme="majorHAnsi"/>
          <w:lang w:eastAsia="sk-SK"/>
        </w:rPr>
        <w:t>zavedením osobitných opatrení v súvislosti s krízovou situáciou</w:t>
      </w:r>
      <w:r w:rsidR="002E3BB9" w:rsidRPr="0053555E">
        <w:rPr>
          <w:rFonts w:asciiTheme="majorHAnsi" w:eastAsia="Times New Roman" w:hAnsiTheme="majorHAnsi" w:cstheme="majorHAnsi"/>
          <w:lang w:eastAsia="sk-SK"/>
        </w:rPr>
        <w:t xml:space="preserve">, zároveň upravila </w:t>
      </w:r>
      <w:r w:rsidRPr="0053555E">
        <w:rPr>
          <w:rFonts w:asciiTheme="majorHAnsi" w:eastAsia="Times New Roman" w:hAnsiTheme="majorHAnsi" w:cstheme="majorHAnsi"/>
          <w:lang w:eastAsia="sk-SK"/>
        </w:rPr>
        <w:t xml:space="preserve">podrobnosti k organizácii </w:t>
      </w:r>
      <w:r w:rsidR="002E3BB9" w:rsidRPr="0053555E">
        <w:rPr>
          <w:rFonts w:asciiTheme="majorHAnsi" w:eastAsia="Times New Roman" w:hAnsiTheme="majorHAnsi" w:cstheme="majorHAnsi"/>
          <w:lang w:eastAsia="sk-SK"/>
        </w:rPr>
        <w:t xml:space="preserve">zimného aj </w:t>
      </w:r>
      <w:r w:rsidRPr="0053555E">
        <w:rPr>
          <w:rFonts w:asciiTheme="majorHAnsi" w:eastAsia="Times New Roman" w:hAnsiTheme="majorHAnsi" w:cstheme="majorHAnsi"/>
          <w:lang w:eastAsia="sk-SK"/>
        </w:rPr>
        <w:t xml:space="preserve">letného semestra </w:t>
      </w:r>
      <w:r w:rsidR="00EA24BA" w:rsidRPr="0053555E">
        <w:rPr>
          <w:rFonts w:asciiTheme="majorHAnsi" w:eastAsia="Times New Roman" w:hAnsiTheme="majorHAnsi" w:cstheme="majorHAnsi"/>
          <w:lang w:eastAsia="sk-SK"/>
        </w:rPr>
        <w:t>2021/2022</w:t>
      </w:r>
      <w:r w:rsidRPr="0053555E">
        <w:rPr>
          <w:rFonts w:asciiTheme="majorHAnsi" w:eastAsia="Times New Roman" w:hAnsiTheme="majorHAnsi" w:cstheme="majorHAnsi"/>
          <w:lang w:eastAsia="sk-SK"/>
        </w:rPr>
        <w:t xml:space="preserve"> formou metodických usmernení, príkazov rektora a vydávaním usmernení a pokynov pre súčasti STU a</w:t>
      </w:r>
      <w:r w:rsidR="00F34CB9" w:rsidRPr="0053555E">
        <w:rPr>
          <w:rFonts w:asciiTheme="majorHAnsi" w:eastAsia="Times New Roman" w:hAnsiTheme="majorHAnsi" w:cstheme="majorHAnsi"/>
          <w:lang w:eastAsia="sk-SK"/>
        </w:rPr>
        <w:t> </w:t>
      </w:r>
      <w:r w:rsidRPr="0053555E">
        <w:rPr>
          <w:rFonts w:asciiTheme="majorHAnsi" w:eastAsia="Times New Roman" w:hAnsiTheme="majorHAnsi" w:cstheme="majorHAnsi"/>
          <w:lang w:eastAsia="sk-SK"/>
        </w:rPr>
        <w:t>študentov</w:t>
      </w:r>
      <w:r w:rsidR="00F34CB9" w:rsidRPr="0053555E">
        <w:rPr>
          <w:rFonts w:asciiTheme="majorHAnsi" w:eastAsia="Times New Roman" w:hAnsiTheme="majorHAnsi" w:cstheme="majorHAnsi"/>
          <w:lang w:eastAsia="sk-SK"/>
        </w:rPr>
        <w:t xml:space="preserve"> STU</w:t>
      </w:r>
      <w:r w:rsidRPr="0053555E">
        <w:rPr>
          <w:rFonts w:asciiTheme="majorHAnsi" w:eastAsia="Times New Roman" w:hAnsiTheme="majorHAnsi" w:cstheme="majorHAnsi"/>
          <w:lang w:eastAsia="sk-SK"/>
        </w:rPr>
        <w:t xml:space="preserve">. </w:t>
      </w:r>
      <w:r w:rsidR="00F34CB9" w:rsidRPr="0053555E">
        <w:rPr>
          <w:rFonts w:asciiTheme="majorHAnsi" w:eastAsia="Times New Roman" w:hAnsiTheme="majorHAnsi" w:cstheme="majorHAnsi"/>
          <w:lang w:eastAsia="sk-SK"/>
        </w:rPr>
        <w:t>K</w:t>
      </w:r>
      <w:r w:rsidRPr="0053555E">
        <w:rPr>
          <w:rFonts w:asciiTheme="majorHAnsi" w:eastAsia="Times New Roman" w:hAnsiTheme="majorHAnsi" w:cstheme="majorHAnsi"/>
          <w:lang w:eastAsia="sk-SK"/>
        </w:rPr>
        <w:t xml:space="preserve">omunikácia so študentmi </w:t>
      </w:r>
      <w:r w:rsidR="00F34CB9" w:rsidRPr="0053555E">
        <w:rPr>
          <w:rFonts w:asciiTheme="majorHAnsi" w:eastAsia="Times New Roman" w:hAnsiTheme="majorHAnsi" w:cstheme="majorHAnsi"/>
          <w:lang w:eastAsia="sk-SK"/>
        </w:rPr>
        <w:t xml:space="preserve">bola zabezpečená </w:t>
      </w:r>
      <w:r w:rsidRPr="0053555E">
        <w:rPr>
          <w:rFonts w:asciiTheme="majorHAnsi" w:eastAsia="Times New Roman" w:hAnsiTheme="majorHAnsi" w:cstheme="majorHAnsi"/>
          <w:lang w:eastAsia="sk-SK"/>
        </w:rPr>
        <w:t>najmä prostredníctvom hromadných emailov</w:t>
      </w:r>
      <w:r w:rsidR="00B810CF" w:rsidRPr="0053555E">
        <w:rPr>
          <w:rFonts w:asciiTheme="majorHAnsi" w:eastAsia="Times New Roman" w:hAnsiTheme="majorHAnsi" w:cstheme="majorHAnsi"/>
          <w:lang w:eastAsia="sk-SK"/>
        </w:rPr>
        <w:t xml:space="preserve"> a informáciami zverejňovanými na </w:t>
      </w:r>
      <w:hyperlink r:id="rId119" w:history="1">
        <w:r w:rsidR="00B810CF" w:rsidRPr="00A41950">
          <w:rPr>
            <w:rStyle w:val="Hypertextovprepojenie"/>
            <w:rFonts w:asciiTheme="majorHAnsi" w:eastAsia="Times New Roman" w:hAnsiTheme="majorHAnsi" w:cstheme="majorHAnsi"/>
            <w:lang w:eastAsia="sk-SK"/>
          </w:rPr>
          <w:t>webových stránkach STU</w:t>
        </w:r>
      </w:hyperlink>
      <w:r w:rsidR="00B810CF" w:rsidRPr="0053555E">
        <w:rPr>
          <w:rFonts w:asciiTheme="majorHAnsi" w:eastAsia="Times New Roman" w:hAnsiTheme="majorHAnsi" w:cstheme="majorHAnsi"/>
          <w:lang w:eastAsia="sk-SK"/>
        </w:rPr>
        <w:t xml:space="preserve"> a jej súčastí.</w:t>
      </w:r>
      <w:r w:rsidRPr="0053555E">
        <w:rPr>
          <w:rFonts w:asciiTheme="majorHAnsi" w:eastAsia="Times New Roman" w:hAnsiTheme="majorHAnsi" w:cstheme="majorHAnsi"/>
          <w:lang w:eastAsia="sk-SK"/>
        </w:rPr>
        <w:t xml:space="preserve"> Vzdelávacie činnosti uskutočňované dištančnou metódou boli uskutočňované tak, aby bola </w:t>
      </w:r>
      <w:r w:rsidR="00E85684">
        <w:rPr>
          <w:rFonts w:asciiTheme="majorHAnsi" w:eastAsia="Times New Roman" w:hAnsiTheme="majorHAnsi" w:cstheme="majorHAnsi"/>
          <w:lang w:eastAsia="sk-SK"/>
        </w:rPr>
        <w:t>v minimálnej miere</w:t>
      </w:r>
      <w:r w:rsidR="00E85684" w:rsidRPr="0053555E">
        <w:rPr>
          <w:rFonts w:asciiTheme="majorHAnsi" w:eastAsia="Times New Roman" w:hAnsiTheme="majorHAnsi" w:cstheme="majorHAnsi"/>
          <w:lang w:eastAsia="sk-SK"/>
        </w:rPr>
        <w:t xml:space="preserve"> </w:t>
      </w:r>
      <w:r w:rsidRPr="0053555E">
        <w:rPr>
          <w:rFonts w:asciiTheme="majorHAnsi" w:eastAsia="Times New Roman" w:hAnsiTheme="majorHAnsi" w:cstheme="majorHAnsi"/>
          <w:lang w:eastAsia="sk-SK"/>
        </w:rPr>
        <w:t>ohrozená kvalita a</w:t>
      </w:r>
      <w:r w:rsidR="00E85684">
        <w:rPr>
          <w:rFonts w:asciiTheme="majorHAnsi" w:eastAsia="Times New Roman" w:hAnsiTheme="majorHAnsi" w:cstheme="majorHAnsi"/>
          <w:lang w:eastAsia="sk-SK"/>
        </w:rPr>
        <w:t> </w:t>
      </w:r>
      <w:r w:rsidRPr="0053555E">
        <w:rPr>
          <w:rFonts w:asciiTheme="majorHAnsi" w:eastAsia="Times New Roman" w:hAnsiTheme="majorHAnsi" w:cstheme="majorHAnsi"/>
          <w:lang w:eastAsia="sk-SK"/>
        </w:rPr>
        <w:t>rozsah výučby. Kvalita poskytovaného vzdelávania bola priebežne kontrolovaná na všetkých úrovniach</w:t>
      </w:r>
      <w:r w:rsidR="000777ED" w:rsidRPr="0053555E">
        <w:rPr>
          <w:rFonts w:asciiTheme="majorHAnsi" w:eastAsia="Times New Roman" w:hAnsiTheme="majorHAnsi" w:cstheme="majorHAnsi"/>
          <w:lang w:eastAsia="sk-SK"/>
        </w:rPr>
        <w:t xml:space="preserve"> nevynímajúc</w:t>
      </w:r>
      <w:r w:rsidRPr="0053555E">
        <w:rPr>
          <w:rFonts w:asciiTheme="majorHAnsi" w:eastAsia="Times New Roman" w:hAnsiTheme="majorHAnsi" w:cstheme="majorHAnsi"/>
          <w:lang w:eastAsia="sk-SK"/>
        </w:rPr>
        <w:t xml:space="preserve"> vedenia súčastí STU a veden</w:t>
      </w:r>
      <w:r w:rsidR="000777ED" w:rsidRPr="0053555E">
        <w:rPr>
          <w:rFonts w:asciiTheme="majorHAnsi" w:eastAsia="Times New Roman" w:hAnsiTheme="majorHAnsi" w:cstheme="majorHAnsi"/>
          <w:lang w:eastAsia="sk-SK"/>
        </w:rPr>
        <w:t>ie</w:t>
      </w:r>
      <w:r w:rsidRPr="0053555E">
        <w:rPr>
          <w:rFonts w:asciiTheme="majorHAnsi" w:eastAsia="Times New Roman" w:hAnsiTheme="majorHAnsi" w:cstheme="majorHAnsi"/>
          <w:lang w:eastAsia="sk-SK"/>
        </w:rPr>
        <w:t xml:space="preserve"> STU.   </w:t>
      </w:r>
    </w:p>
    <w:p w14:paraId="4341ECEE" w14:textId="0D3AED0F" w:rsidR="007576CA" w:rsidRPr="0053555E" w:rsidRDefault="007576CA" w:rsidP="007576CA">
      <w:pPr>
        <w:tabs>
          <w:tab w:val="left" w:pos="9356"/>
        </w:tabs>
        <w:spacing w:after="120"/>
        <w:jc w:val="both"/>
        <w:rPr>
          <w:rFonts w:asciiTheme="majorHAnsi" w:eastAsia="Times New Roman" w:hAnsiTheme="majorHAnsi" w:cstheme="majorHAnsi"/>
          <w:lang w:eastAsia="sk-SK"/>
        </w:rPr>
      </w:pPr>
      <w:r w:rsidRPr="0053555E">
        <w:rPr>
          <w:rFonts w:asciiTheme="majorHAnsi" w:eastAsia="Times New Roman" w:hAnsiTheme="majorHAnsi" w:cstheme="majorHAnsi"/>
          <w:lang w:eastAsia="sk-SK"/>
        </w:rPr>
        <w:t>Pre dištančné vzdelávanie boli na STU využívané dostupné online platformy ako AIS, LMS Moodle, Google G Suite, MS Teams a</w:t>
      </w:r>
      <w:r w:rsidR="00621EDD" w:rsidRPr="0053555E">
        <w:rPr>
          <w:rFonts w:asciiTheme="majorHAnsi" w:eastAsia="Times New Roman" w:hAnsiTheme="majorHAnsi" w:cstheme="majorHAnsi"/>
          <w:lang w:eastAsia="sk-SK"/>
        </w:rPr>
        <w:t xml:space="preserve"> Cisco </w:t>
      </w:r>
      <w:r w:rsidRPr="0053555E">
        <w:rPr>
          <w:rFonts w:asciiTheme="majorHAnsi" w:eastAsia="Times New Roman" w:hAnsiTheme="majorHAnsi" w:cstheme="majorHAnsi"/>
          <w:lang w:eastAsia="sk-SK"/>
        </w:rPr>
        <w:t>Webex</w:t>
      </w:r>
      <w:r w:rsidR="00A54536" w:rsidRPr="0053555E">
        <w:rPr>
          <w:rFonts w:asciiTheme="majorHAnsi" w:eastAsia="Times New Roman" w:hAnsiTheme="majorHAnsi" w:cstheme="majorHAnsi"/>
          <w:lang w:eastAsia="sk-SK"/>
        </w:rPr>
        <w:t xml:space="preserve"> a Discord</w:t>
      </w:r>
      <w:r w:rsidRPr="0053555E">
        <w:rPr>
          <w:rFonts w:asciiTheme="majorHAnsi" w:eastAsia="Times New Roman" w:hAnsiTheme="majorHAnsi" w:cstheme="majorHAnsi"/>
          <w:lang w:eastAsia="sk-SK"/>
        </w:rPr>
        <w:t xml:space="preserve">. Prednášky z vybraných predmetov boli </w:t>
      </w:r>
      <w:r w:rsidR="00141BBD" w:rsidRPr="0053555E">
        <w:rPr>
          <w:rFonts w:asciiTheme="majorHAnsi" w:eastAsia="Times New Roman" w:hAnsiTheme="majorHAnsi" w:cstheme="majorHAnsi"/>
          <w:lang w:eastAsia="sk-SK"/>
        </w:rPr>
        <w:t xml:space="preserve">tiež </w:t>
      </w:r>
      <w:r w:rsidRPr="0053555E">
        <w:rPr>
          <w:rFonts w:asciiTheme="majorHAnsi" w:eastAsia="Times New Roman" w:hAnsiTheme="majorHAnsi" w:cstheme="majorHAnsi"/>
          <w:lang w:eastAsia="sk-SK"/>
        </w:rPr>
        <w:t xml:space="preserve">študentom k dispozícii formou videozáznamov. Študijné materiály mali študenti k dispozícii na dokumentovom serveri v AIS, prípadne ich mali zdieľané (napr. prostredníctvom </w:t>
      </w:r>
      <w:r w:rsidRPr="0053555E">
        <w:rPr>
          <w:rFonts w:asciiTheme="majorHAnsi" w:hAnsiTheme="majorHAnsi" w:cstheme="majorHAnsi"/>
        </w:rPr>
        <w:t>Classroom</w:t>
      </w:r>
      <w:r w:rsidRPr="0053555E">
        <w:rPr>
          <w:rFonts w:asciiTheme="majorHAnsi" w:eastAsia="Times New Roman" w:hAnsiTheme="majorHAnsi" w:cstheme="majorHAnsi"/>
          <w:lang w:eastAsia="sk-SK"/>
        </w:rPr>
        <w:t xml:space="preserve"> Google Disk, OneNote) v závislosti od používanej online platformy.</w:t>
      </w:r>
    </w:p>
    <w:p w14:paraId="3E628F3B" w14:textId="3C9EC025" w:rsidR="007576CA" w:rsidRPr="0053555E" w:rsidRDefault="007576CA" w:rsidP="007576CA">
      <w:pPr>
        <w:tabs>
          <w:tab w:val="left" w:pos="9356"/>
        </w:tabs>
        <w:spacing w:after="120"/>
        <w:jc w:val="both"/>
        <w:rPr>
          <w:rFonts w:asciiTheme="majorHAnsi" w:eastAsia="Times New Roman" w:hAnsiTheme="majorHAnsi" w:cstheme="majorHAnsi"/>
          <w:lang w:eastAsia="sk-SK"/>
        </w:rPr>
      </w:pPr>
      <w:r w:rsidRPr="0053555E">
        <w:rPr>
          <w:rFonts w:asciiTheme="majorHAnsi" w:eastAsia="Times New Roman" w:hAnsiTheme="majorHAnsi" w:cstheme="majorHAnsi"/>
          <w:lang w:eastAsia="sk-SK"/>
        </w:rPr>
        <w:t xml:space="preserve">Harmonogram akademického roka </w:t>
      </w:r>
      <w:r w:rsidR="00EA24BA" w:rsidRPr="0053555E">
        <w:rPr>
          <w:rFonts w:asciiTheme="majorHAnsi" w:eastAsia="Times New Roman" w:hAnsiTheme="majorHAnsi" w:cstheme="majorHAnsi"/>
          <w:lang w:eastAsia="sk-SK"/>
        </w:rPr>
        <w:t>2021/2022</w:t>
      </w:r>
      <w:r w:rsidRPr="0053555E">
        <w:rPr>
          <w:rFonts w:asciiTheme="majorHAnsi" w:eastAsia="Times New Roman" w:hAnsiTheme="majorHAnsi" w:cstheme="majorHAnsi"/>
          <w:lang w:eastAsia="sk-SK"/>
        </w:rPr>
        <w:t xml:space="preserve"> </w:t>
      </w:r>
      <w:r w:rsidR="00980166" w:rsidRPr="0053555E">
        <w:rPr>
          <w:rFonts w:asciiTheme="majorHAnsi" w:eastAsia="Times New Roman" w:hAnsiTheme="majorHAnsi" w:cstheme="majorHAnsi"/>
          <w:lang w:eastAsia="sk-SK"/>
        </w:rPr>
        <w:t>zostal nezmenený</w:t>
      </w:r>
      <w:r w:rsidRPr="0053555E">
        <w:rPr>
          <w:rFonts w:asciiTheme="majorHAnsi" w:eastAsia="Times New Roman" w:hAnsiTheme="majorHAnsi" w:cstheme="majorHAnsi"/>
          <w:lang w:eastAsia="sk-SK"/>
        </w:rPr>
        <w:t xml:space="preserve">. </w:t>
      </w:r>
    </w:p>
    <w:p w14:paraId="661D97D5" w14:textId="36A21E6B" w:rsidR="007576CA" w:rsidRPr="0053555E" w:rsidRDefault="007576CA" w:rsidP="007576CA">
      <w:pPr>
        <w:tabs>
          <w:tab w:val="left" w:pos="9356"/>
        </w:tabs>
        <w:spacing w:after="120"/>
        <w:jc w:val="both"/>
        <w:rPr>
          <w:rFonts w:asciiTheme="majorHAnsi" w:eastAsia="Times New Roman" w:hAnsiTheme="majorHAnsi" w:cstheme="majorHAnsi"/>
          <w:lang w:eastAsia="sk-SK"/>
        </w:rPr>
      </w:pPr>
      <w:r w:rsidRPr="0053555E">
        <w:rPr>
          <w:rFonts w:asciiTheme="majorHAnsi" w:eastAsia="Times New Roman" w:hAnsiTheme="majorHAnsi" w:cstheme="majorHAnsi"/>
          <w:lang w:eastAsia="sk-SK"/>
        </w:rPr>
        <w:t xml:space="preserve">Študentom bolo umožnené zrušenie zápisu predmetov letného semestra </w:t>
      </w:r>
      <w:r w:rsidR="006820FB" w:rsidRPr="0053555E">
        <w:rPr>
          <w:rFonts w:asciiTheme="majorHAnsi" w:eastAsia="Times New Roman" w:hAnsiTheme="majorHAnsi" w:cstheme="majorHAnsi"/>
          <w:lang w:eastAsia="sk-SK"/>
        </w:rPr>
        <w:t xml:space="preserve">alebo zimného semestra </w:t>
      </w:r>
      <w:r w:rsidR="00EA24BA" w:rsidRPr="0053555E">
        <w:rPr>
          <w:rFonts w:asciiTheme="majorHAnsi" w:eastAsia="Times New Roman" w:hAnsiTheme="majorHAnsi" w:cstheme="majorHAnsi"/>
          <w:lang w:eastAsia="sk-SK"/>
        </w:rPr>
        <w:t>2021/2022</w:t>
      </w:r>
      <w:r w:rsidRPr="0053555E">
        <w:rPr>
          <w:rFonts w:asciiTheme="majorHAnsi" w:eastAsia="Times New Roman" w:hAnsiTheme="majorHAnsi" w:cstheme="majorHAnsi"/>
          <w:lang w:eastAsia="sk-SK"/>
        </w:rPr>
        <w:t xml:space="preserve"> pred prvým termínom skúšky z príslušného predmetu na základe odôvodnenej žiadosti doručenej dekanovi, ak sa študent nemohol zúčastňovať vzdelávacích </w:t>
      </w:r>
      <w:r w:rsidRPr="0053555E">
        <w:rPr>
          <w:rFonts w:asciiTheme="majorHAnsi" w:eastAsia="Times New Roman" w:hAnsiTheme="majorHAnsi" w:cstheme="majorHAnsi"/>
          <w:lang w:eastAsia="sk-SK"/>
        </w:rPr>
        <w:lastRenderedPageBreak/>
        <w:t>činností z vážnych zdravotných dôvodov alebo z inýc</w:t>
      </w:r>
      <w:r w:rsidR="00524DD0" w:rsidRPr="0053555E">
        <w:rPr>
          <w:rFonts w:asciiTheme="majorHAnsi" w:eastAsia="Times New Roman" w:hAnsiTheme="majorHAnsi" w:cstheme="majorHAnsi"/>
          <w:lang w:eastAsia="sk-SK"/>
        </w:rPr>
        <w:t>h vážnych dôvodov súvisiacich s </w:t>
      </w:r>
      <w:r w:rsidRPr="0053555E">
        <w:rPr>
          <w:rFonts w:asciiTheme="majorHAnsi" w:eastAsia="Times New Roman" w:hAnsiTheme="majorHAnsi" w:cstheme="majorHAnsi"/>
          <w:lang w:eastAsia="sk-SK"/>
        </w:rPr>
        <w:t>pandémiou COVID-19</w:t>
      </w:r>
      <w:r w:rsidR="00980166" w:rsidRPr="0053555E">
        <w:rPr>
          <w:rFonts w:asciiTheme="majorHAnsi" w:eastAsia="Times New Roman" w:hAnsiTheme="majorHAnsi" w:cstheme="majorHAnsi"/>
          <w:lang w:eastAsia="sk-SK"/>
        </w:rPr>
        <w:t xml:space="preserve"> v súlade s osobitnými ustanoveniami článku 50a Študijného poriadku STU</w:t>
      </w:r>
      <w:r w:rsidRPr="0053555E">
        <w:rPr>
          <w:rFonts w:asciiTheme="majorHAnsi" w:eastAsia="Times New Roman" w:hAnsiTheme="majorHAnsi" w:cstheme="majorHAnsi"/>
          <w:lang w:eastAsia="sk-SK"/>
        </w:rPr>
        <w:t xml:space="preserve">. </w:t>
      </w:r>
    </w:p>
    <w:p w14:paraId="1856B893" w14:textId="096E9213" w:rsidR="007576CA" w:rsidRPr="0053555E" w:rsidRDefault="007576CA" w:rsidP="00665FCF">
      <w:pPr>
        <w:tabs>
          <w:tab w:val="left" w:pos="9356"/>
        </w:tabs>
        <w:spacing w:after="120"/>
        <w:jc w:val="both"/>
        <w:rPr>
          <w:rFonts w:asciiTheme="majorHAnsi" w:eastAsia="Times New Roman" w:hAnsiTheme="majorHAnsi" w:cstheme="majorHAnsi"/>
          <w:lang w:eastAsia="sk-SK"/>
        </w:rPr>
      </w:pPr>
      <w:r w:rsidRPr="0053555E">
        <w:rPr>
          <w:rFonts w:asciiTheme="majorHAnsi" w:eastAsia="Times New Roman" w:hAnsiTheme="majorHAnsi" w:cstheme="majorHAnsi"/>
          <w:lang w:eastAsia="sk-SK"/>
        </w:rPr>
        <w:t>Skúškové obdobie v</w:t>
      </w:r>
      <w:r w:rsidR="00665FCF" w:rsidRPr="0053555E">
        <w:rPr>
          <w:rFonts w:asciiTheme="majorHAnsi" w:eastAsia="Times New Roman" w:hAnsiTheme="majorHAnsi" w:cstheme="majorHAnsi"/>
          <w:lang w:eastAsia="sk-SK"/>
        </w:rPr>
        <w:t xml:space="preserve"> zimnom </w:t>
      </w:r>
      <w:r w:rsidR="00972497" w:rsidRPr="0053555E">
        <w:rPr>
          <w:rFonts w:asciiTheme="majorHAnsi" w:eastAsia="Times New Roman" w:hAnsiTheme="majorHAnsi" w:cstheme="majorHAnsi"/>
          <w:lang w:eastAsia="sk-SK"/>
        </w:rPr>
        <w:t xml:space="preserve">semestri </w:t>
      </w:r>
      <w:r w:rsidR="00972497">
        <w:rPr>
          <w:rFonts w:asciiTheme="majorHAnsi" w:eastAsia="Times New Roman" w:hAnsiTheme="majorHAnsi" w:cstheme="majorHAnsi"/>
          <w:lang w:eastAsia="sk-SK"/>
        </w:rPr>
        <w:t>mohlo</w:t>
      </w:r>
      <w:r w:rsidR="00184D77">
        <w:rPr>
          <w:rFonts w:asciiTheme="majorHAnsi" w:eastAsia="Times New Roman" w:hAnsiTheme="majorHAnsi" w:cstheme="majorHAnsi"/>
          <w:lang w:eastAsia="sk-SK"/>
        </w:rPr>
        <w:t xml:space="preserve"> prebiehať dištančne</w:t>
      </w:r>
      <w:r w:rsidR="00216A96">
        <w:rPr>
          <w:rFonts w:asciiTheme="majorHAnsi" w:eastAsia="Times New Roman" w:hAnsiTheme="majorHAnsi" w:cstheme="majorHAnsi"/>
          <w:lang w:eastAsia="sk-SK"/>
        </w:rPr>
        <w:t>,</w:t>
      </w:r>
      <w:r w:rsidR="00184D77">
        <w:rPr>
          <w:rFonts w:asciiTheme="majorHAnsi" w:eastAsia="Times New Roman" w:hAnsiTheme="majorHAnsi" w:cstheme="majorHAnsi"/>
          <w:lang w:eastAsia="sk-SK"/>
        </w:rPr>
        <w:t xml:space="preserve"> alebo prezenčne</w:t>
      </w:r>
      <w:r w:rsidR="00972497">
        <w:rPr>
          <w:rFonts w:asciiTheme="majorHAnsi" w:eastAsia="Times New Roman" w:hAnsiTheme="majorHAnsi" w:cstheme="majorHAnsi"/>
          <w:lang w:eastAsia="sk-SK"/>
        </w:rPr>
        <w:t>. Skúškové obdobie v letnom semestri pobiehalo prezenčne.</w:t>
      </w:r>
      <w:r w:rsidRPr="0053555E">
        <w:rPr>
          <w:rFonts w:asciiTheme="majorHAnsi" w:eastAsia="Times New Roman" w:hAnsiTheme="majorHAnsi" w:cstheme="majorHAnsi"/>
          <w:lang w:eastAsia="sk-SK"/>
        </w:rPr>
        <w:t xml:space="preserve"> Skúšky </w:t>
      </w:r>
      <w:r w:rsidR="00515BDF">
        <w:rPr>
          <w:rFonts w:asciiTheme="majorHAnsi" w:eastAsia="Times New Roman" w:hAnsiTheme="majorHAnsi" w:cstheme="majorHAnsi"/>
          <w:lang w:eastAsia="sk-SK"/>
        </w:rPr>
        <w:t xml:space="preserve">v oboch semestroch boli </w:t>
      </w:r>
      <w:r w:rsidR="00FA74D1">
        <w:rPr>
          <w:rFonts w:asciiTheme="majorHAnsi" w:eastAsia="Times New Roman" w:hAnsiTheme="majorHAnsi" w:cstheme="majorHAnsi"/>
          <w:lang w:eastAsia="sk-SK"/>
        </w:rPr>
        <w:t xml:space="preserve">organizované </w:t>
      </w:r>
      <w:r w:rsidRPr="0053555E">
        <w:rPr>
          <w:rFonts w:asciiTheme="majorHAnsi" w:eastAsia="Times New Roman" w:hAnsiTheme="majorHAnsi" w:cstheme="majorHAnsi"/>
          <w:lang w:eastAsia="sk-SK"/>
        </w:rPr>
        <w:t>tak</w:t>
      </w:r>
      <w:r w:rsidR="00FA74D1">
        <w:rPr>
          <w:rFonts w:asciiTheme="majorHAnsi" w:eastAsia="Times New Roman" w:hAnsiTheme="majorHAnsi" w:cstheme="majorHAnsi"/>
          <w:lang w:eastAsia="sk-SK"/>
        </w:rPr>
        <w:t>,</w:t>
      </w:r>
      <w:r w:rsidRPr="0053555E">
        <w:rPr>
          <w:rFonts w:asciiTheme="majorHAnsi" w:eastAsia="Times New Roman" w:hAnsiTheme="majorHAnsi" w:cstheme="majorHAnsi"/>
          <w:lang w:eastAsia="sk-SK"/>
        </w:rPr>
        <w:t xml:space="preserve"> aby boli pre všetkých študentov v rámci jednotlivých predmetov </w:t>
      </w:r>
      <w:r w:rsidR="00FA74D1">
        <w:rPr>
          <w:rFonts w:asciiTheme="majorHAnsi" w:eastAsia="Times New Roman" w:hAnsiTheme="majorHAnsi" w:cstheme="majorHAnsi"/>
          <w:lang w:eastAsia="sk-SK"/>
        </w:rPr>
        <w:t>zabezpečené</w:t>
      </w:r>
      <w:r w:rsidR="00FA74D1" w:rsidRPr="0053555E">
        <w:rPr>
          <w:rFonts w:asciiTheme="majorHAnsi" w:eastAsia="Times New Roman" w:hAnsiTheme="majorHAnsi" w:cstheme="majorHAnsi"/>
          <w:lang w:eastAsia="sk-SK"/>
        </w:rPr>
        <w:t xml:space="preserve"> </w:t>
      </w:r>
      <w:r w:rsidRPr="0053555E">
        <w:rPr>
          <w:rFonts w:asciiTheme="majorHAnsi" w:eastAsia="Times New Roman" w:hAnsiTheme="majorHAnsi" w:cstheme="majorHAnsi"/>
          <w:lang w:eastAsia="sk-SK"/>
        </w:rPr>
        <w:t>rovnaké podmienky a rovnaký systém realizácie skúšok počas celého skúškového obdobia v súlade so</w:t>
      </w:r>
      <w:r w:rsidR="00FA74D1">
        <w:rPr>
          <w:rFonts w:asciiTheme="majorHAnsi" w:eastAsia="Times New Roman" w:hAnsiTheme="majorHAnsi" w:cstheme="majorHAnsi"/>
          <w:lang w:eastAsia="sk-SK"/>
        </w:rPr>
        <w:t> </w:t>
      </w:r>
      <w:r w:rsidRPr="0053555E">
        <w:rPr>
          <w:rFonts w:asciiTheme="majorHAnsi" w:eastAsia="Times New Roman" w:hAnsiTheme="majorHAnsi" w:cstheme="majorHAnsi"/>
          <w:lang w:eastAsia="sk-SK"/>
        </w:rPr>
        <w:t xml:space="preserve">Študijným poriadkom STU. </w:t>
      </w:r>
    </w:p>
    <w:p w14:paraId="51F38BFC" w14:textId="3C99F499" w:rsidR="007576CA" w:rsidRPr="0053555E" w:rsidRDefault="00382A5F" w:rsidP="007576CA">
      <w:pPr>
        <w:tabs>
          <w:tab w:val="left" w:pos="9356"/>
        </w:tabs>
        <w:spacing w:after="120"/>
        <w:jc w:val="both"/>
        <w:rPr>
          <w:rFonts w:asciiTheme="majorHAnsi" w:eastAsia="Times New Roman" w:hAnsiTheme="majorHAnsi" w:cstheme="majorHAnsi"/>
          <w:lang w:eastAsia="sk-SK"/>
        </w:rPr>
      </w:pPr>
      <w:r>
        <w:rPr>
          <w:rFonts w:asciiTheme="majorHAnsi" w:eastAsia="Times New Roman" w:hAnsiTheme="majorHAnsi" w:cstheme="majorHAnsi"/>
          <w:lang w:eastAsia="sk-SK"/>
        </w:rPr>
        <w:t>Š</w:t>
      </w:r>
      <w:r w:rsidR="007576CA" w:rsidRPr="0053555E">
        <w:rPr>
          <w:rFonts w:asciiTheme="majorHAnsi" w:eastAsia="Times New Roman" w:hAnsiTheme="majorHAnsi" w:cstheme="majorHAnsi"/>
          <w:lang w:eastAsia="sk-SK"/>
        </w:rPr>
        <w:t xml:space="preserve">tátne skúšky </w:t>
      </w:r>
      <w:r w:rsidR="00136D09">
        <w:rPr>
          <w:rFonts w:asciiTheme="majorHAnsi" w:eastAsia="Times New Roman" w:hAnsiTheme="majorHAnsi" w:cstheme="majorHAnsi"/>
          <w:lang w:eastAsia="sk-SK"/>
        </w:rPr>
        <w:t xml:space="preserve">v letnom semestri </w:t>
      </w:r>
      <w:r w:rsidR="007576CA" w:rsidRPr="0053555E">
        <w:rPr>
          <w:rFonts w:asciiTheme="majorHAnsi" w:eastAsia="Times New Roman" w:hAnsiTheme="majorHAnsi" w:cstheme="majorHAnsi"/>
          <w:lang w:eastAsia="sk-SK"/>
        </w:rPr>
        <w:t xml:space="preserve">vrátane obhajob záverečných prác prebiehali </w:t>
      </w:r>
      <w:r>
        <w:rPr>
          <w:rFonts w:asciiTheme="majorHAnsi" w:eastAsia="Times New Roman" w:hAnsiTheme="majorHAnsi" w:cstheme="majorHAnsi"/>
          <w:lang w:eastAsia="sk-SK"/>
        </w:rPr>
        <w:t>prezenčne</w:t>
      </w:r>
      <w:r w:rsidR="007576CA" w:rsidRPr="0053555E">
        <w:rPr>
          <w:rFonts w:asciiTheme="majorHAnsi" w:eastAsia="Times New Roman" w:hAnsiTheme="majorHAnsi" w:cstheme="majorHAnsi"/>
          <w:lang w:eastAsia="sk-SK"/>
        </w:rPr>
        <w:t>. Študenti odovzdávali záverečné práce v elektronickej podobe prostredníctvom AIS</w:t>
      </w:r>
      <w:r w:rsidR="00816F2B" w:rsidRPr="0053555E">
        <w:rPr>
          <w:rFonts w:asciiTheme="majorHAnsi" w:eastAsia="Times New Roman" w:hAnsiTheme="majorHAnsi" w:cstheme="majorHAnsi"/>
          <w:lang w:eastAsia="sk-SK"/>
        </w:rPr>
        <w:t xml:space="preserve">. </w:t>
      </w:r>
      <w:r w:rsidR="00753981" w:rsidRPr="0053555E">
        <w:rPr>
          <w:rFonts w:asciiTheme="majorHAnsi" w:eastAsia="Times New Roman" w:hAnsiTheme="majorHAnsi" w:cstheme="majorHAnsi"/>
          <w:lang w:eastAsia="sk-SK"/>
        </w:rPr>
        <w:t xml:space="preserve">Rovnako doktorandi </w:t>
      </w:r>
      <w:r w:rsidR="001D55A3" w:rsidRPr="0053555E">
        <w:rPr>
          <w:rFonts w:asciiTheme="majorHAnsi" w:eastAsia="Times New Roman" w:hAnsiTheme="majorHAnsi" w:cstheme="majorHAnsi"/>
          <w:lang w:eastAsia="sk-SK"/>
        </w:rPr>
        <w:t>dovzdávali</w:t>
      </w:r>
      <w:r w:rsidR="00753981" w:rsidRPr="0053555E">
        <w:rPr>
          <w:rFonts w:asciiTheme="majorHAnsi" w:eastAsia="Times New Roman" w:hAnsiTheme="majorHAnsi" w:cstheme="majorHAnsi"/>
          <w:lang w:eastAsia="sk-SK"/>
        </w:rPr>
        <w:t xml:space="preserve"> písomné práce k dizertačným skúškam prostredníctvom AIS.</w:t>
      </w:r>
      <w:r w:rsidR="001D55A3" w:rsidRPr="0053555E">
        <w:rPr>
          <w:rFonts w:asciiTheme="majorHAnsi" w:eastAsia="Times New Roman" w:hAnsiTheme="majorHAnsi" w:cstheme="majorHAnsi"/>
          <w:lang w:eastAsia="sk-SK"/>
        </w:rPr>
        <w:t xml:space="preserve"> </w:t>
      </w:r>
      <w:r w:rsidR="009F6DE8" w:rsidRPr="0053555E">
        <w:rPr>
          <w:rFonts w:asciiTheme="majorHAnsi" w:eastAsia="Times New Roman" w:hAnsiTheme="majorHAnsi" w:cstheme="majorHAnsi"/>
          <w:lang w:eastAsia="sk-SK"/>
        </w:rPr>
        <w:t>Li</w:t>
      </w:r>
      <w:r w:rsidR="00816F2B" w:rsidRPr="0053555E">
        <w:rPr>
          <w:rFonts w:asciiTheme="majorHAnsi" w:eastAsia="Times New Roman" w:hAnsiTheme="majorHAnsi" w:cstheme="majorHAnsi"/>
          <w:lang w:eastAsia="sk-SK"/>
        </w:rPr>
        <w:t xml:space="preserve">cenčné zmluvy k záverečným </w:t>
      </w:r>
      <w:r w:rsidR="00BC191C" w:rsidRPr="0053555E">
        <w:rPr>
          <w:rFonts w:asciiTheme="majorHAnsi" w:eastAsia="Times New Roman" w:hAnsiTheme="majorHAnsi" w:cstheme="majorHAnsi"/>
          <w:lang w:eastAsia="sk-SK"/>
        </w:rPr>
        <w:t>prácam ako aj licenčné zmluvy k</w:t>
      </w:r>
      <w:r w:rsidR="00C81708" w:rsidRPr="0053555E">
        <w:rPr>
          <w:rFonts w:asciiTheme="majorHAnsi" w:eastAsia="Times New Roman" w:hAnsiTheme="majorHAnsi" w:cstheme="majorHAnsi"/>
          <w:lang w:eastAsia="sk-SK"/>
        </w:rPr>
        <w:t> </w:t>
      </w:r>
      <w:r w:rsidR="00BC191C" w:rsidRPr="0053555E">
        <w:rPr>
          <w:rFonts w:asciiTheme="majorHAnsi" w:eastAsia="Times New Roman" w:hAnsiTheme="majorHAnsi" w:cstheme="majorHAnsi"/>
          <w:lang w:eastAsia="sk-SK"/>
        </w:rPr>
        <w:t>posudkom</w:t>
      </w:r>
      <w:r w:rsidR="00C81708" w:rsidRPr="0053555E">
        <w:rPr>
          <w:rFonts w:asciiTheme="majorHAnsi" w:eastAsia="Times New Roman" w:hAnsiTheme="majorHAnsi" w:cstheme="majorHAnsi"/>
          <w:lang w:eastAsia="sk-SK"/>
        </w:rPr>
        <w:t xml:space="preserve"> záverečných prác </w:t>
      </w:r>
      <w:r w:rsidR="00BC191C" w:rsidRPr="0053555E">
        <w:rPr>
          <w:rFonts w:asciiTheme="majorHAnsi" w:eastAsia="Times New Roman" w:hAnsiTheme="majorHAnsi" w:cstheme="majorHAnsi"/>
          <w:lang w:eastAsia="sk-SK"/>
        </w:rPr>
        <w:t>sa uzatvárali prostredníctvom AIS,</w:t>
      </w:r>
      <w:r w:rsidR="00816F2B" w:rsidRPr="0053555E">
        <w:rPr>
          <w:rFonts w:asciiTheme="majorHAnsi" w:eastAsia="Times New Roman" w:hAnsiTheme="majorHAnsi" w:cstheme="majorHAnsi"/>
          <w:lang w:eastAsia="sk-SK"/>
        </w:rPr>
        <w:t xml:space="preserve"> v súlade s platnou vyhláškou </w:t>
      </w:r>
      <w:r w:rsidR="009F6DE8" w:rsidRPr="0053555E">
        <w:rPr>
          <w:rFonts w:asciiTheme="majorHAnsi" w:eastAsia="Times New Roman" w:hAnsiTheme="majorHAnsi" w:cstheme="majorHAnsi"/>
          <w:lang w:eastAsia="sk-SK"/>
        </w:rPr>
        <w:t xml:space="preserve">ministerstva školstva </w:t>
      </w:r>
      <w:r w:rsidR="004A08AE" w:rsidRPr="0053555E">
        <w:rPr>
          <w:rFonts w:asciiTheme="majorHAnsi" w:eastAsia="Times New Roman" w:hAnsiTheme="majorHAnsi" w:cstheme="majorHAnsi"/>
          <w:lang w:eastAsia="sk-SK"/>
        </w:rPr>
        <w:t>č. </w:t>
      </w:r>
      <w:r w:rsidR="00816F2B" w:rsidRPr="0053555E">
        <w:rPr>
          <w:rFonts w:asciiTheme="majorHAnsi" w:eastAsia="Times New Roman" w:hAnsiTheme="majorHAnsi" w:cstheme="majorHAnsi"/>
          <w:lang w:eastAsia="sk-SK"/>
        </w:rPr>
        <w:t>233/2011</w:t>
      </w:r>
      <w:r w:rsidR="009F6DE8" w:rsidRPr="0053555E">
        <w:rPr>
          <w:rFonts w:asciiTheme="majorHAnsi" w:eastAsia="Times New Roman" w:hAnsiTheme="majorHAnsi" w:cstheme="majorHAnsi"/>
          <w:lang w:eastAsia="sk-SK"/>
        </w:rPr>
        <w:t>, ktorou sa vykonávajú niektoré ustanovenia zákona č. 131/2002 Z. z.</w:t>
      </w:r>
      <w:r w:rsidR="00C81708" w:rsidRPr="0053555E">
        <w:rPr>
          <w:rFonts w:asciiTheme="majorHAnsi" w:eastAsia="Times New Roman" w:hAnsiTheme="majorHAnsi" w:cstheme="majorHAnsi"/>
          <w:lang w:eastAsia="sk-SK"/>
        </w:rPr>
        <w:t xml:space="preserve"> o vysokých školách a o zmene a </w:t>
      </w:r>
      <w:r w:rsidR="009F6DE8" w:rsidRPr="0053555E">
        <w:rPr>
          <w:rFonts w:asciiTheme="majorHAnsi" w:eastAsia="Times New Roman" w:hAnsiTheme="majorHAnsi" w:cstheme="majorHAnsi"/>
          <w:lang w:eastAsia="sk-SK"/>
        </w:rPr>
        <w:t>doplnení niektorých zákonov v znení neskorších predpisov.</w:t>
      </w:r>
    </w:p>
    <w:p w14:paraId="074E1F50" w14:textId="184A226E" w:rsidR="000973E7" w:rsidRPr="0053555E" w:rsidRDefault="000973E7" w:rsidP="007576CA">
      <w:pPr>
        <w:tabs>
          <w:tab w:val="left" w:pos="9356"/>
        </w:tabs>
        <w:spacing w:after="120"/>
        <w:jc w:val="both"/>
        <w:rPr>
          <w:rFonts w:asciiTheme="majorHAnsi" w:eastAsia="Times New Roman" w:hAnsiTheme="majorHAnsi" w:cstheme="majorHAnsi"/>
          <w:lang w:eastAsia="sk-SK"/>
        </w:rPr>
      </w:pPr>
      <w:r w:rsidRPr="0053555E">
        <w:rPr>
          <w:rFonts w:asciiTheme="majorHAnsi" w:eastAsia="Times New Roman" w:hAnsiTheme="majorHAnsi" w:cstheme="majorHAnsi"/>
          <w:lang w:eastAsia="sk-SK"/>
        </w:rPr>
        <w:t xml:space="preserve">Osobitné ustanovenia článku 50a Študijného poriadku STU upravujú </w:t>
      </w:r>
      <w:r w:rsidR="00400EFB" w:rsidRPr="0053555E">
        <w:rPr>
          <w:rFonts w:asciiTheme="majorHAnsi" w:eastAsia="Times New Roman" w:hAnsiTheme="majorHAnsi" w:cstheme="majorHAnsi"/>
          <w:lang w:eastAsia="sk-SK"/>
        </w:rPr>
        <w:t>podmienky na </w:t>
      </w:r>
      <w:r w:rsidR="00626288" w:rsidRPr="0053555E">
        <w:rPr>
          <w:rFonts w:asciiTheme="majorHAnsi" w:eastAsia="Times New Roman" w:hAnsiTheme="majorHAnsi" w:cstheme="majorHAnsi"/>
          <w:lang w:eastAsia="sk-SK"/>
        </w:rPr>
        <w:t>pok</w:t>
      </w:r>
      <w:r w:rsidR="00216A96">
        <w:rPr>
          <w:rFonts w:asciiTheme="majorHAnsi" w:eastAsia="Times New Roman" w:hAnsiTheme="majorHAnsi" w:cstheme="majorHAnsi"/>
          <w:lang w:eastAsia="sk-SK"/>
        </w:rPr>
        <w:t>račovanie v ďalšej časti štúdia</w:t>
      </w:r>
      <w:r w:rsidR="00626288" w:rsidRPr="0053555E">
        <w:rPr>
          <w:rFonts w:asciiTheme="majorHAnsi" w:eastAsia="Times New Roman" w:hAnsiTheme="majorHAnsi" w:cstheme="majorHAnsi"/>
          <w:lang w:eastAsia="sk-SK"/>
        </w:rPr>
        <w:t xml:space="preserve"> tým</w:t>
      </w:r>
      <w:r w:rsidR="00216A96">
        <w:rPr>
          <w:rFonts w:asciiTheme="majorHAnsi" w:eastAsia="Times New Roman" w:hAnsiTheme="majorHAnsi" w:cstheme="majorHAnsi"/>
          <w:lang w:eastAsia="sk-SK"/>
        </w:rPr>
        <w:t>,</w:t>
      </w:r>
      <w:r w:rsidR="00626288" w:rsidRPr="0053555E">
        <w:rPr>
          <w:rFonts w:asciiTheme="majorHAnsi" w:eastAsia="Times New Roman" w:hAnsiTheme="majorHAnsi" w:cstheme="majorHAnsi"/>
          <w:lang w:eastAsia="sk-SK"/>
        </w:rPr>
        <w:t xml:space="preserve"> že sa </w:t>
      </w:r>
      <w:r w:rsidR="006750CD" w:rsidRPr="0053555E">
        <w:rPr>
          <w:rFonts w:asciiTheme="majorHAnsi" w:eastAsia="Times New Roman" w:hAnsiTheme="majorHAnsi" w:cstheme="majorHAnsi"/>
          <w:lang w:eastAsia="sk-SK"/>
        </w:rPr>
        <w:t xml:space="preserve">v prvom semestri prvého stupňa štúdia </w:t>
      </w:r>
      <w:r w:rsidR="00626288" w:rsidRPr="0053555E">
        <w:rPr>
          <w:rFonts w:asciiTheme="majorHAnsi" w:eastAsia="Times New Roman" w:hAnsiTheme="majorHAnsi" w:cstheme="majorHAnsi"/>
          <w:lang w:eastAsia="sk-SK"/>
        </w:rPr>
        <w:t>znížil po</w:t>
      </w:r>
      <w:r w:rsidR="006750CD" w:rsidRPr="0053555E">
        <w:rPr>
          <w:rFonts w:asciiTheme="majorHAnsi" w:eastAsia="Times New Roman" w:hAnsiTheme="majorHAnsi" w:cstheme="majorHAnsi"/>
          <w:lang w:eastAsia="sk-SK"/>
        </w:rPr>
        <w:t>č</w:t>
      </w:r>
      <w:r w:rsidR="00626288" w:rsidRPr="0053555E">
        <w:rPr>
          <w:rFonts w:asciiTheme="majorHAnsi" w:eastAsia="Times New Roman" w:hAnsiTheme="majorHAnsi" w:cstheme="majorHAnsi"/>
          <w:lang w:eastAsia="sk-SK"/>
        </w:rPr>
        <w:t xml:space="preserve">et kreditov </w:t>
      </w:r>
      <w:r w:rsidR="003621E9" w:rsidRPr="0053555E">
        <w:rPr>
          <w:rFonts w:asciiTheme="majorHAnsi" w:eastAsia="Times New Roman" w:hAnsiTheme="majorHAnsi" w:cstheme="majorHAnsi"/>
          <w:lang w:eastAsia="sk-SK"/>
        </w:rPr>
        <w:t xml:space="preserve">najmenej na 10 a za rok štúdia na všetkých troch stupňoch </w:t>
      </w:r>
      <w:r w:rsidR="007045A4" w:rsidRPr="0053555E">
        <w:rPr>
          <w:rFonts w:asciiTheme="majorHAnsi" w:eastAsia="Times New Roman" w:hAnsiTheme="majorHAnsi" w:cstheme="majorHAnsi"/>
          <w:lang w:eastAsia="sk-SK"/>
        </w:rPr>
        <w:t>najmenej 20 </w:t>
      </w:r>
      <w:r w:rsidR="00425FE4" w:rsidRPr="0053555E">
        <w:rPr>
          <w:rFonts w:asciiTheme="majorHAnsi" w:eastAsia="Times New Roman" w:hAnsiTheme="majorHAnsi" w:cstheme="majorHAnsi"/>
          <w:lang w:eastAsia="sk-SK"/>
        </w:rPr>
        <w:t xml:space="preserve">v dennej forme a 16 v externej forme, pričom fakulty si mohli </w:t>
      </w:r>
      <w:r w:rsidR="00B36C9F" w:rsidRPr="0053555E">
        <w:rPr>
          <w:rFonts w:asciiTheme="majorHAnsi" w:eastAsia="Times New Roman" w:hAnsiTheme="majorHAnsi" w:cstheme="majorHAnsi"/>
          <w:lang w:eastAsia="sk-SK"/>
        </w:rPr>
        <w:t xml:space="preserve">upraviť </w:t>
      </w:r>
      <w:r w:rsidR="00400EFB" w:rsidRPr="0053555E">
        <w:rPr>
          <w:rFonts w:asciiTheme="majorHAnsi" w:eastAsia="Times New Roman" w:hAnsiTheme="majorHAnsi" w:cstheme="majorHAnsi"/>
          <w:lang w:eastAsia="sk-SK"/>
        </w:rPr>
        <w:t>ďalšie pravidlá pre </w:t>
      </w:r>
      <w:r w:rsidR="00B36C9F" w:rsidRPr="0053555E">
        <w:rPr>
          <w:rFonts w:asciiTheme="majorHAnsi" w:eastAsia="Times New Roman" w:hAnsiTheme="majorHAnsi" w:cstheme="majorHAnsi"/>
          <w:lang w:eastAsia="sk-SK"/>
        </w:rPr>
        <w:t xml:space="preserve">pokračovanie v štúdiu v rámci svojich študijných poriadkov. </w:t>
      </w:r>
      <w:r w:rsidR="00484B29" w:rsidRPr="0053555E">
        <w:rPr>
          <w:rFonts w:asciiTheme="majorHAnsi" w:eastAsia="Times New Roman" w:hAnsiTheme="majorHAnsi" w:cstheme="majorHAnsi"/>
          <w:lang w:eastAsia="sk-SK"/>
        </w:rPr>
        <w:t xml:space="preserve">Na základe uvedených </w:t>
      </w:r>
      <w:r w:rsidR="00B36C9F" w:rsidRPr="0053555E">
        <w:rPr>
          <w:rFonts w:asciiTheme="majorHAnsi" w:eastAsia="Times New Roman" w:hAnsiTheme="majorHAnsi" w:cstheme="majorHAnsi"/>
          <w:lang w:eastAsia="sk-SK"/>
        </w:rPr>
        <w:t>ustanoven</w:t>
      </w:r>
      <w:r w:rsidR="00484B29" w:rsidRPr="0053555E">
        <w:rPr>
          <w:rFonts w:asciiTheme="majorHAnsi" w:eastAsia="Times New Roman" w:hAnsiTheme="majorHAnsi" w:cstheme="majorHAnsi"/>
          <w:lang w:eastAsia="sk-SK"/>
        </w:rPr>
        <w:t xml:space="preserve">í </w:t>
      </w:r>
      <w:r w:rsidR="00B36C9F" w:rsidRPr="0053555E">
        <w:rPr>
          <w:rFonts w:asciiTheme="majorHAnsi" w:eastAsia="Times New Roman" w:hAnsiTheme="majorHAnsi" w:cstheme="majorHAnsi"/>
          <w:lang w:eastAsia="sk-SK"/>
        </w:rPr>
        <w:t>mohli študent</w:t>
      </w:r>
      <w:r w:rsidR="00484B29" w:rsidRPr="0053555E">
        <w:rPr>
          <w:rFonts w:asciiTheme="majorHAnsi" w:eastAsia="Times New Roman" w:hAnsiTheme="majorHAnsi" w:cstheme="majorHAnsi"/>
          <w:lang w:eastAsia="sk-SK"/>
        </w:rPr>
        <w:t>i</w:t>
      </w:r>
      <w:r w:rsidR="00B2678C" w:rsidRPr="0053555E">
        <w:rPr>
          <w:rFonts w:asciiTheme="majorHAnsi" w:eastAsia="Times New Roman" w:hAnsiTheme="majorHAnsi" w:cstheme="majorHAnsi"/>
          <w:lang w:eastAsia="sk-SK"/>
        </w:rPr>
        <w:t>,</w:t>
      </w:r>
      <w:r w:rsidR="00484B29" w:rsidRPr="0053555E">
        <w:rPr>
          <w:rFonts w:asciiTheme="majorHAnsi" w:eastAsia="Times New Roman" w:hAnsiTheme="majorHAnsi" w:cstheme="majorHAnsi"/>
          <w:lang w:eastAsia="sk-SK"/>
        </w:rPr>
        <w:t xml:space="preserve"> najmä prváci</w:t>
      </w:r>
      <w:r w:rsidR="00141BBD" w:rsidRPr="0053555E">
        <w:rPr>
          <w:rFonts w:asciiTheme="majorHAnsi" w:eastAsia="Times New Roman" w:hAnsiTheme="majorHAnsi" w:cstheme="majorHAnsi"/>
          <w:lang w:eastAsia="sk-SK"/>
        </w:rPr>
        <w:t>,</w:t>
      </w:r>
      <w:r w:rsidR="00484B29" w:rsidRPr="0053555E">
        <w:rPr>
          <w:rFonts w:asciiTheme="majorHAnsi" w:eastAsia="Times New Roman" w:hAnsiTheme="majorHAnsi" w:cstheme="majorHAnsi"/>
          <w:lang w:eastAsia="sk-SK"/>
        </w:rPr>
        <w:t xml:space="preserve"> </w:t>
      </w:r>
      <w:r w:rsidR="00400EFB" w:rsidRPr="0053555E">
        <w:rPr>
          <w:rFonts w:asciiTheme="majorHAnsi" w:eastAsia="Times New Roman" w:hAnsiTheme="majorHAnsi" w:cstheme="majorHAnsi"/>
          <w:lang w:eastAsia="sk-SK"/>
        </w:rPr>
        <w:t>získať dostatočný počet kreditov</w:t>
      </w:r>
      <w:r w:rsidR="00B2678C" w:rsidRPr="0053555E">
        <w:rPr>
          <w:rFonts w:asciiTheme="majorHAnsi" w:eastAsia="Times New Roman" w:hAnsiTheme="majorHAnsi" w:cstheme="majorHAnsi"/>
          <w:lang w:eastAsia="sk-SK"/>
        </w:rPr>
        <w:t xml:space="preserve"> po zimnom semestri</w:t>
      </w:r>
      <w:r w:rsidR="00415CA0" w:rsidRPr="0053555E">
        <w:rPr>
          <w:rFonts w:asciiTheme="majorHAnsi" w:eastAsia="Times New Roman" w:hAnsiTheme="majorHAnsi" w:cstheme="majorHAnsi"/>
          <w:lang w:eastAsia="sk-SK"/>
        </w:rPr>
        <w:t xml:space="preserve">, prípadne po </w:t>
      </w:r>
      <w:r w:rsidR="00B2678C" w:rsidRPr="0053555E">
        <w:rPr>
          <w:rFonts w:asciiTheme="majorHAnsi" w:eastAsia="Times New Roman" w:hAnsiTheme="majorHAnsi" w:cstheme="majorHAnsi"/>
          <w:lang w:eastAsia="sk-SK"/>
        </w:rPr>
        <w:t xml:space="preserve">skončení akademického roka </w:t>
      </w:r>
      <w:r w:rsidR="00400EFB" w:rsidRPr="0053555E">
        <w:rPr>
          <w:rFonts w:asciiTheme="majorHAnsi" w:eastAsia="Times New Roman" w:hAnsiTheme="majorHAnsi" w:cstheme="majorHAnsi"/>
          <w:lang w:eastAsia="sk-SK"/>
        </w:rPr>
        <w:t>a postúpiť v štúdiu aj v</w:t>
      </w:r>
      <w:r w:rsidR="00415CA0" w:rsidRPr="0053555E">
        <w:rPr>
          <w:rFonts w:asciiTheme="majorHAnsi" w:eastAsia="Times New Roman" w:hAnsiTheme="majorHAnsi" w:cstheme="majorHAnsi"/>
          <w:lang w:eastAsia="sk-SK"/>
        </w:rPr>
        <w:t> </w:t>
      </w:r>
      <w:r w:rsidR="00400EFB" w:rsidRPr="0053555E">
        <w:rPr>
          <w:rFonts w:asciiTheme="majorHAnsi" w:eastAsia="Times New Roman" w:hAnsiTheme="majorHAnsi" w:cstheme="majorHAnsi"/>
          <w:lang w:eastAsia="sk-SK"/>
        </w:rPr>
        <w:t>prípade</w:t>
      </w:r>
      <w:r w:rsidR="00415CA0" w:rsidRPr="0053555E">
        <w:rPr>
          <w:rFonts w:asciiTheme="majorHAnsi" w:eastAsia="Times New Roman" w:hAnsiTheme="majorHAnsi" w:cstheme="majorHAnsi"/>
          <w:lang w:eastAsia="sk-SK"/>
        </w:rPr>
        <w:t>, ak im</w:t>
      </w:r>
      <w:r w:rsidR="00400EFB" w:rsidRPr="0053555E">
        <w:rPr>
          <w:rFonts w:asciiTheme="majorHAnsi" w:eastAsia="Times New Roman" w:hAnsiTheme="majorHAnsi" w:cstheme="majorHAnsi"/>
          <w:lang w:eastAsia="sk-SK"/>
        </w:rPr>
        <w:t xml:space="preserve"> </w:t>
      </w:r>
      <w:r w:rsidR="00415CA0" w:rsidRPr="0053555E">
        <w:rPr>
          <w:rFonts w:asciiTheme="majorHAnsi" w:eastAsia="Times New Roman" w:hAnsiTheme="majorHAnsi" w:cstheme="majorHAnsi"/>
          <w:lang w:eastAsia="sk-SK"/>
        </w:rPr>
        <w:t>dištančné</w:t>
      </w:r>
      <w:r w:rsidR="00400EFB" w:rsidRPr="0053555E">
        <w:rPr>
          <w:rFonts w:asciiTheme="majorHAnsi" w:eastAsia="Times New Roman" w:hAnsiTheme="majorHAnsi" w:cstheme="majorHAnsi"/>
          <w:lang w:eastAsia="sk-SK"/>
        </w:rPr>
        <w:t xml:space="preserve"> </w:t>
      </w:r>
      <w:r w:rsidR="00415CA0" w:rsidRPr="0053555E">
        <w:rPr>
          <w:rFonts w:asciiTheme="majorHAnsi" w:eastAsia="Times New Roman" w:hAnsiTheme="majorHAnsi" w:cstheme="majorHAnsi"/>
          <w:lang w:eastAsia="sk-SK"/>
        </w:rPr>
        <w:t>vzdelávanie spôsobovalo problémy</w:t>
      </w:r>
      <w:r w:rsidR="00400EFB" w:rsidRPr="0053555E">
        <w:rPr>
          <w:rFonts w:asciiTheme="majorHAnsi" w:eastAsia="Times New Roman" w:hAnsiTheme="majorHAnsi" w:cstheme="majorHAnsi"/>
          <w:lang w:eastAsia="sk-SK"/>
        </w:rPr>
        <w:t>.</w:t>
      </w:r>
      <w:r w:rsidR="00626288" w:rsidRPr="0053555E">
        <w:rPr>
          <w:rFonts w:asciiTheme="majorHAnsi" w:eastAsia="Times New Roman" w:hAnsiTheme="majorHAnsi" w:cstheme="majorHAnsi"/>
          <w:lang w:eastAsia="sk-SK"/>
        </w:rPr>
        <w:t xml:space="preserve"> </w:t>
      </w:r>
    </w:p>
    <w:p w14:paraId="5B13EE97" w14:textId="7222C295" w:rsidR="007576CA" w:rsidRPr="0053555E" w:rsidRDefault="007576CA" w:rsidP="007576CA">
      <w:pPr>
        <w:tabs>
          <w:tab w:val="left" w:pos="9356"/>
        </w:tabs>
        <w:spacing w:after="120"/>
        <w:jc w:val="both"/>
        <w:rPr>
          <w:rFonts w:asciiTheme="majorHAnsi" w:eastAsia="Times New Roman" w:hAnsiTheme="majorHAnsi" w:cstheme="majorHAnsi"/>
          <w:lang w:eastAsia="sk-SK"/>
        </w:rPr>
      </w:pPr>
      <w:r w:rsidRPr="0053555E">
        <w:rPr>
          <w:rFonts w:asciiTheme="majorHAnsi" w:eastAsia="Times New Roman" w:hAnsiTheme="majorHAnsi" w:cstheme="majorHAnsi"/>
          <w:lang w:eastAsia="sk-SK"/>
        </w:rPr>
        <w:t xml:space="preserve">Študenti sa v prípade problémov so zvládnutím dištančného vzdelávania, prípadne iných problémov mohli </w:t>
      </w:r>
      <w:r w:rsidR="001D55A3" w:rsidRPr="0053555E">
        <w:rPr>
          <w:rFonts w:asciiTheme="majorHAnsi" w:eastAsia="Times New Roman" w:hAnsiTheme="majorHAnsi" w:cstheme="majorHAnsi"/>
          <w:lang w:eastAsia="sk-SK"/>
        </w:rPr>
        <w:t>využiť poradenské a konzultantské služby</w:t>
      </w:r>
      <w:r w:rsidR="00A44616">
        <w:rPr>
          <w:rFonts w:asciiTheme="majorHAnsi" w:eastAsia="Times New Roman" w:hAnsiTheme="majorHAnsi" w:cstheme="majorHAnsi"/>
          <w:lang w:eastAsia="sk-SK"/>
        </w:rPr>
        <w:t xml:space="preserve"> (časť </w:t>
      </w:r>
      <w:r w:rsidR="00A44616" w:rsidRPr="005F4E1A">
        <w:rPr>
          <w:rFonts w:asciiTheme="majorHAnsi" w:eastAsia="Times New Roman" w:hAnsiTheme="majorHAnsi" w:cstheme="majorHAnsi"/>
          <w:u w:val="single"/>
          <w:lang w:eastAsia="sk-SK"/>
        </w:rPr>
        <w:fldChar w:fldCharType="begin"/>
      </w:r>
      <w:r w:rsidR="00A44616" w:rsidRPr="005F4E1A">
        <w:rPr>
          <w:rFonts w:asciiTheme="majorHAnsi" w:eastAsia="Times New Roman" w:hAnsiTheme="majorHAnsi" w:cstheme="majorHAnsi"/>
          <w:u w:val="single"/>
          <w:lang w:eastAsia="sk-SK"/>
        </w:rPr>
        <w:instrText xml:space="preserve"> REF _Ref127545549 \h </w:instrText>
      </w:r>
      <w:r w:rsidR="00A44616" w:rsidRPr="005F4E1A">
        <w:rPr>
          <w:rFonts w:asciiTheme="majorHAnsi" w:eastAsia="Times New Roman" w:hAnsiTheme="majorHAnsi" w:cstheme="majorHAnsi"/>
          <w:u w:val="single"/>
          <w:lang w:eastAsia="sk-SK"/>
        </w:rPr>
      </w:r>
      <w:r w:rsidR="00A44616" w:rsidRPr="005F4E1A">
        <w:rPr>
          <w:rFonts w:asciiTheme="majorHAnsi" w:eastAsia="Times New Roman" w:hAnsiTheme="majorHAnsi" w:cstheme="majorHAnsi"/>
          <w:u w:val="single"/>
          <w:lang w:eastAsia="sk-SK"/>
        </w:rPr>
        <w:fldChar w:fldCharType="separate"/>
      </w:r>
      <w:r w:rsidR="00EE1B59" w:rsidRPr="0053555E">
        <w:rPr>
          <w:rFonts w:cstheme="majorHAnsi"/>
        </w:rPr>
        <w:t>Konzultantská a poradenská činnosť</w:t>
      </w:r>
      <w:r w:rsidR="00A44616" w:rsidRPr="005F4E1A">
        <w:rPr>
          <w:rFonts w:asciiTheme="majorHAnsi" w:eastAsia="Times New Roman" w:hAnsiTheme="majorHAnsi" w:cstheme="majorHAnsi"/>
          <w:u w:val="single"/>
          <w:lang w:eastAsia="sk-SK"/>
        </w:rPr>
        <w:fldChar w:fldCharType="end"/>
      </w:r>
      <w:r w:rsidR="00A44616">
        <w:rPr>
          <w:rFonts w:asciiTheme="majorHAnsi" w:eastAsia="Times New Roman" w:hAnsiTheme="majorHAnsi" w:cstheme="majorHAnsi"/>
          <w:lang w:eastAsia="sk-SK"/>
        </w:rPr>
        <w:t>)</w:t>
      </w:r>
      <w:r w:rsidR="00441B69" w:rsidRPr="0053555E">
        <w:rPr>
          <w:rFonts w:asciiTheme="majorHAnsi" w:eastAsia="Times New Roman" w:hAnsiTheme="majorHAnsi" w:cstheme="majorHAnsi"/>
          <w:lang w:eastAsia="sk-SK"/>
        </w:rPr>
        <w:t xml:space="preserve">. </w:t>
      </w:r>
    </w:p>
    <w:p w14:paraId="3E0FDC08" w14:textId="3D092FEF" w:rsidR="005F4E1A" w:rsidRDefault="007576CA" w:rsidP="005F4E1A">
      <w:pPr>
        <w:tabs>
          <w:tab w:val="left" w:pos="9356"/>
        </w:tabs>
        <w:jc w:val="both"/>
        <w:rPr>
          <w:rFonts w:asciiTheme="majorHAnsi" w:eastAsia="Times New Roman" w:hAnsiTheme="majorHAnsi" w:cstheme="majorHAnsi"/>
          <w:lang w:eastAsia="sk-SK"/>
        </w:rPr>
      </w:pPr>
      <w:r w:rsidRPr="0053555E">
        <w:rPr>
          <w:rFonts w:asciiTheme="majorHAnsi" w:eastAsia="Times New Roman" w:hAnsiTheme="majorHAnsi" w:cstheme="majorHAnsi"/>
          <w:lang w:eastAsia="sk-SK"/>
        </w:rPr>
        <w:t xml:space="preserve">Ak z dôvodu pandémie COVID-19 nemohol študent riadne skončiť štúdium v lehote podľa § 65 ods. 2 zákona o vysokých školách, rektor mohol na odôvodnenú žiadosť študenta mimoriadne predĺžiť štúdium nad rozsah ustanovený zákonom o vysokých školách a určiť študentovi lehotu, o ktorú sa štúdium predĺži v zmysle osobitných ustanovení § 108e zákona o vysokých školách. </w:t>
      </w:r>
      <w:r w:rsidR="00A44616" w:rsidRPr="00A44616">
        <w:rPr>
          <w:rFonts w:asciiTheme="majorHAnsi" w:eastAsia="Times New Roman" w:hAnsiTheme="majorHAnsi" w:cstheme="majorHAnsi"/>
          <w:lang w:eastAsia="sk-SK"/>
        </w:rPr>
        <w:t>Rektorovi bolo doručených 8 žiadostí o mimoriadne predĺženie štúdia. V prípade 4 žiadostí rektor rozhodol o mimoriadnom predĺžení štúdia o jeden akademický rok.</w:t>
      </w:r>
      <w:r w:rsidR="00152035">
        <w:rPr>
          <w:rFonts w:asciiTheme="majorHAnsi" w:eastAsia="Times New Roman" w:hAnsiTheme="majorHAnsi" w:cstheme="majorHAnsi"/>
          <w:lang w:eastAsia="sk-SK"/>
        </w:rPr>
        <w:t xml:space="preserve"> </w:t>
      </w:r>
    </w:p>
    <w:p w14:paraId="24875797" w14:textId="77777777" w:rsidR="005F4E1A" w:rsidRPr="0053555E" w:rsidRDefault="005F4E1A" w:rsidP="007576CA">
      <w:pPr>
        <w:tabs>
          <w:tab w:val="left" w:pos="9356"/>
        </w:tabs>
        <w:spacing w:after="120"/>
        <w:jc w:val="both"/>
        <w:rPr>
          <w:rFonts w:asciiTheme="majorHAnsi" w:eastAsia="Times New Roman" w:hAnsiTheme="majorHAnsi" w:cstheme="majorHAnsi"/>
          <w:lang w:eastAsia="sk-SK"/>
        </w:rPr>
      </w:pPr>
    </w:p>
    <w:p w14:paraId="7C20C5D7" w14:textId="01B6B884" w:rsidR="00AB1AFB" w:rsidRPr="006E4B3B" w:rsidRDefault="006E4B3B" w:rsidP="006E4B3B">
      <w:pPr>
        <w:rPr>
          <w:b/>
          <w:sz w:val="28"/>
          <w:szCs w:val="28"/>
        </w:rPr>
      </w:pPr>
      <w:bookmarkStart w:id="310" w:name="_Krízová_situácia_v_1"/>
      <w:bookmarkStart w:id="311" w:name="_Ref127222097"/>
      <w:bookmarkStart w:id="312" w:name="_Ref127270515"/>
      <w:bookmarkStart w:id="313" w:name="_Ref127270539"/>
      <w:bookmarkStart w:id="314" w:name="_Ref127542964"/>
      <w:bookmarkStart w:id="315" w:name="_Toc127593261"/>
      <w:bookmarkEnd w:id="310"/>
      <w:r w:rsidRPr="006E4B3B">
        <w:rPr>
          <w:b/>
          <w:sz w:val="28"/>
          <w:szCs w:val="28"/>
        </w:rPr>
        <w:t xml:space="preserve">14. </w:t>
      </w:r>
      <w:r w:rsidR="00AB1AFB" w:rsidRPr="006E4B3B">
        <w:rPr>
          <w:b/>
          <w:sz w:val="28"/>
          <w:szCs w:val="28"/>
        </w:rPr>
        <w:t xml:space="preserve">Krízová situácia v súvislosti </w:t>
      </w:r>
      <w:r w:rsidR="00AE5EF2" w:rsidRPr="006E4B3B">
        <w:rPr>
          <w:b/>
          <w:sz w:val="28"/>
          <w:szCs w:val="28"/>
        </w:rPr>
        <w:t>s konfliktom na Ukrajine</w:t>
      </w:r>
      <w:bookmarkEnd w:id="311"/>
      <w:bookmarkEnd w:id="312"/>
      <w:bookmarkEnd w:id="313"/>
      <w:bookmarkEnd w:id="314"/>
      <w:bookmarkEnd w:id="315"/>
    </w:p>
    <w:p w14:paraId="054C1F6E" w14:textId="77777777" w:rsidR="006E4B3B" w:rsidRPr="006E4B3B" w:rsidRDefault="006E4B3B" w:rsidP="006E4B3B"/>
    <w:p w14:paraId="178DD4E7" w14:textId="4E9167B3" w:rsidR="0039414B" w:rsidRDefault="00B1612F" w:rsidP="00245DE5">
      <w:pPr>
        <w:spacing w:after="120"/>
        <w:jc w:val="both"/>
        <w:rPr>
          <w:rFonts w:asciiTheme="majorHAnsi" w:hAnsiTheme="majorHAnsi" w:cstheme="majorHAnsi"/>
        </w:rPr>
      </w:pPr>
      <w:r w:rsidRPr="00B1612F">
        <w:t xml:space="preserve">Od 26. februára 2022 </w:t>
      </w:r>
      <w:r>
        <w:t>bola v</w:t>
      </w:r>
      <w:r w:rsidRPr="00B1612F">
        <w:t xml:space="preserve"> Slovenskej republike </w:t>
      </w:r>
      <w:r w:rsidRPr="001A4A1F">
        <w:rPr>
          <w:rFonts w:asciiTheme="majorHAnsi" w:hAnsiTheme="majorHAnsi" w:cstheme="majorHAnsi"/>
        </w:rPr>
        <w:t>vyhlásená mimoriadna situácia v súvislosti s</w:t>
      </w:r>
      <w:r w:rsidR="00311D49">
        <w:rPr>
          <w:rFonts w:asciiTheme="majorHAnsi" w:hAnsiTheme="majorHAnsi" w:cstheme="majorHAnsi"/>
        </w:rPr>
        <w:t> </w:t>
      </w:r>
      <w:r w:rsidRPr="001A4A1F">
        <w:rPr>
          <w:rFonts w:asciiTheme="majorHAnsi" w:hAnsiTheme="majorHAnsi" w:cstheme="majorHAnsi"/>
        </w:rPr>
        <w:t xml:space="preserve">hromadným prílevom cudzincov na územie Slovenskej republiky </w:t>
      </w:r>
      <w:r w:rsidR="006E4B3B">
        <w:rPr>
          <w:rFonts w:asciiTheme="majorHAnsi" w:hAnsiTheme="majorHAnsi" w:cstheme="majorHAnsi"/>
        </w:rPr>
        <w:t xml:space="preserve">utekajúcich </w:t>
      </w:r>
      <w:r w:rsidRPr="001A4A1F">
        <w:rPr>
          <w:rFonts w:asciiTheme="majorHAnsi" w:hAnsiTheme="majorHAnsi" w:cstheme="majorHAnsi"/>
        </w:rPr>
        <w:t xml:space="preserve">pred vojnou na Ukrajine. </w:t>
      </w:r>
      <w:r w:rsidR="00FE5038" w:rsidRPr="001A4A1F">
        <w:rPr>
          <w:rFonts w:asciiTheme="majorHAnsi" w:hAnsiTheme="majorHAnsi" w:cstheme="majorHAnsi"/>
        </w:rPr>
        <w:t>Vojnový konflikt</w:t>
      </w:r>
      <w:r w:rsidRPr="001A4A1F">
        <w:rPr>
          <w:rFonts w:asciiTheme="majorHAnsi" w:hAnsiTheme="majorHAnsi" w:cstheme="majorHAnsi"/>
        </w:rPr>
        <w:t xml:space="preserve"> </w:t>
      </w:r>
      <w:r w:rsidR="00E1197E">
        <w:rPr>
          <w:rFonts w:asciiTheme="majorHAnsi" w:hAnsiTheme="majorHAnsi" w:cstheme="majorHAnsi"/>
        </w:rPr>
        <w:t xml:space="preserve">výrazne </w:t>
      </w:r>
      <w:r w:rsidRPr="001A4A1F">
        <w:rPr>
          <w:rFonts w:asciiTheme="majorHAnsi" w:hAnsiTheme="majorHAnsi" w:cstheme="majorHAnsi"/>
        </w:rPr>
        <w:t xml:space="preserve">ovplyvnil </w:t>
      </w:r>
      <w:r w:rsidR="00E1197E">
        <w:rPr>
          <w:rFonts w:asciiTheme="majorHAnsi" w:hAnsiTheme="majorHAnsi" w:cstheme="majorHAnsi"/>
        </w:rPr>
        <w:t xml:space="preserve">mnohé </w:t>
      </w:r>
      <w:r w:rsidR="001E1A18" w:rsidRPr="001A4A1F">
        <w:rPr>
          <w:rFonts w:asciiTheme="majorHAnsi" w:hAnsiTheme="majorHAnsi" w:cstheme="majorHAnsi"/>
        </w:rPr>
        <w:t>činnos</w:t>
      </w:r>
      <w:r w:rsidR="00E1197E">
        <w:rPr>
          <w:rFonts w:asciiTheme="majorHAnsi" w:hAnsiTheme="majorHAnsi" w:cstheme="majorHAnsi"/>
        </w:rPr>
        <w:t>ti</w:t>
      </w:r>
      <w:r w:rsidR="001E1A18" w:rsidRPr="001A4A1F">
        <w:rPr>
          <w:rFonts w:asciiTheme="majorHAnsi" w:hAnsiTheme="majorHAnsi" w:cstheme="majorHAnsi"/>
        </w:rPr>
        <w:t xml:space="preserve"> STU. </w:t>
      </w:r>
      <w:r w:rsidR="008D0AEC">
        <w:rPr>
          <w:rFonts w:asciiTheme="majorHAnsi" w:hAnsiTheme="majorHAnsi" w:cstheme="majorHAnsi"/>
        </w:rPr>
        <w:t>Takmer okamžite sa na</w:t>
      </w:r>
      <w:r w:rsidR="00A07280" w:rsidRPr="001A4A1F">
        <w:rPr>
          <w:rFonts w:asciiTheme="majorHAnsi" w:hAnsiTheme="majorHAnsi" w:cstheme="majorHAnsi"/>
        </w:rPr>
        <w:t xml:space="preserve"> STU začali organizovať humanitárne aktivity na pomoc</w:t>
      </w:r>
      <w:r w:rsidR="00CC2A19">
        <w:rPr>
          <w:rFonts w:asciiTheme="majorHAnsi" w:hAnsiTheme="majorHAnsi" w:cstheme="majorHAnsi"/>
        </w:rPr>
        <w:t>, ktorá smerovala</w:t>
      </w:r>
      <w:r w:rsidR="00A07280" w:rsidRPr="001A4A1F">
        <w:rPr>
          <w:rFonts w:asciiTheme="majorHAnsi" w:hAnsiTheme="majorHAnsi" w:cstheme="majorHAnsi"/>
        </w:rPr>
        <w:t xml:space="preserve"> </w:t>
      </w:r>
      <w:r w:rsidR="00CC2A19" w:rsidRPr="001A4A1F">
        <w:rPr>
          <w:rFonts w:asciiTheme="majorHAnsi" w:hAnsiTheme="majorHAnsi" w:cstheme="majorHAnsi"/>
        </w:rPr>
        <w:t>najskôr</w:t>
      </w:r>
      <w:r w:rsidR="00A07280" w:rsidRPr="001A4A1F">
        <w:rPr>
          <w:rFonts w:asciiTheme="majorHAnsi" w:hAnsiTheme="majorHAnsi" w:cstheme="majorHAnsi"/>
        </w:rPr>
        <w:t xml:space="preserve"> študentom STU</w:t>
      </w:r>
      <w:r w:rsidR="00E1197E">
        <w:rPr>
          <w:rFonts w:asciiTheme="majorHAnsi" w:hAnsiTheme="majorHAnsi" w:cstheme="majorHAnsi"/>
        </w:rPr>
        <w:t xml:space="preserve"> pochádzajúcim z postihnutých regiónov</w:t>
      </w:r>
      <w:r w:rsidR="00CC2A19">
        <w:rPr>
          <w:rFonts w:asciiTheme="majorHAnsi" w:hAnsiTheme="majorHAnsi" w:cstheme="majorHAnsi"/>
        </w:rPr>
        <w:t>,</w:t>
      </w:r>
      <w:r w:rsidR="00A07280" w:rsidRPr="001A4A1F">
        <w:rPr>
          <w:rFonts w:asciiTheme="majorHAnsi" w:hAnsiTheme="majorHAnsi" w:cstheme="majorHAnsi"/>
        </w:rPr>
        <w:t xml:space="preserve"> následne </w:t>
      </w:r>
      <w:r w:rsidR="00E1197E">
        <w:rPr>
          <w:rFonts w:asciiTheme="majorHAnsi" w:hAnsiTheme="majorHAnsi" w:cstheme="majorHAnsi"/>
        </w:rPr>
        <w:t xml:space="preserve">sa aktivity </w:t>
      </w:r>
      <w:r w:rsidR="00CC2A19">
        <w:rPr>
          <w:rFonts w:asciiTheme="majorHAnsi" w:hAnsiTheme="majorHAnsi" w:cstheme="majorHAnsi"/>
        </w:rPr>
        <w:t>rozšíril</w:t>
      </w:r>
      <w:r w:rsidR="00E1197E">
        <w:rPr>
          <w:rFonts w:asciiTheme="majorHAnsi" w:hAnsiTheme="majorHAnsi" w:cstheme="majorHAnsi"/>
        </w:rPr>
        <w:t xml:space="preserve">i </w:t>
      </w:r>
      <w:r w:rsidR="00CC2A19">
        <w:rPr>
          <w:rFonts w:asciiTheme="majorHAnsi" w:hAnsiTheme="majorHAnsi" w:cstheme="majorHAnsi"/>
        </w:rPr>
        <w:t xml:space="preserve">aj na pomoc </w:t>
      </w:r>
      <w:r w:rsidR="00A07280" w:rsidRPr="001A4A1F">
        <w:rPr>
          <w:rFonts w:asciiTheme="majorHAnsi" w:hAnsiTheme="majorHAnsi" w:cstheme="majorHAnsi"/>
        </w:rPr>
        <w:t>ich rodinným príslušníkom</w:t>
      </w:r>
      <w:r w:rsidR="00165426">
        <w:rPr>
          <w:rFonts w:asciiTheme="majorHAnsi" w:hAnsiTheme="majorHAnsi" w:cstheme="majorHAnsi"/>
        </w:rPr>
        <w:t xml:space="preserve"> a ďalším osobám postihnutým vojnovým konfliktom.</w:t>
      </w:r>
      <w:r w:rsidR="00684EA3" w:rsidRPr="001A4A1F">
        <w:rPr>
          <w:rFonts w:asciiTheme="majorHAnsi" w:hAnsiTheme="majorHAnsi" w:cstheme="majorHAnsi"/>
        </w:rPr>
        <w:t xml:space="preserve"> STU zriadila začiatkom marca </w:t>
      </w:r>
      <w:r w:rsidR="00245DE5">
        <w:rPr>
          <w:rFonts w:asciiTheme="majorHAnsi" w:hAnsiTheme="majorHAnsi" w:cstheme="majorHAnsi"/>
        </w:rPr>
        <w:t xml:space="preserve">2022 </w:t>
      </w:r>
      <w:r w:rsidR="00684EA3">
        <w:rPr>
          <w:rFonts w:asciiTheme="majorHAnsi" w:hAnsiTheme="majorHAnsi" w:cstheme="majorHAnsi"/>
        </w:rPr>
        <w:t>t</w:t>
      </w:r>
      <w:r w:rsidR="00684EA3" w:rsidRPr="001A4A1F">
        <w:rPr>
          <w:rFonts w:asciiTheme="majorHAnsi" w:hAnsiTheme="majorHAnsi" w:cstheme="majorHAnsi"/>
        </w:rPr>
        <w:t>ransparentný účet</w:t>
      </w:r>
      <w:r w:rsidR="000B336D">
        <w:rPr>
          <w:rFonts w:asciiTheme="majorHAnsi" w:hAnsiTheme="majorHAnsi" w:cstheme="majorHAnsi"/>
        </w:rPr>
        <w:t>,</w:t>
      </w:r>
      <w:r w:rsidR="00684EA3" w:rsidRPr="001A4A1F">
        <w:rPr>
          <w:rFonts w:asciiTheme="majorHAnsi" w:hAnsiTheme="majorHAnsi" w:cstheme="majorHAnsi"/>
        </w:rPr>
        <w:t xml:space="preserve"> </w:t>
      </w:r>
      <w:r w:rsidR="000B336D" w:rsidRPr="001A4A1F">
        <w:rPr>
          <w:rFonts w:asciiTheme="majorHAnsi" w:hAnsiTheme="majorHAnsi" w:cstheme="majorHAnsi"/>
        </w:rPr>
        <w:t>na ktorý mohli</w:t>
      </w:r>
      <w:r w:rsidR="000B336D">
        <w:rPr>
          <w:rFonts w:asciiTheme="majorHAnsi" w:hAnsiTheme="majorHAnsi" w:cstheme="majorHAnsi"/>
        </w:rPr>
        <w:t xml:space="preserve"> zamestnanci STU </w:t>
      </w:r>
      <w:r w:rsidR="000B336D" w:rsidRPr="001A4A1F">
        <w:rPr>
          <w:rFonts w:asciiTheme="majorHAnsi" w:hAnsiTheme="majorHAnsi" w:cstheme="majorHAnsi"/>
        </w:rPr>
        <w:t>posielať finančné dary</w:t>
      </w:r>
      <w:r w:rsidR="000B336D">
        <w:rPr>
          <w:rFonts w:asciiTheme="majorHAnsi" w:hAnsiTheme="majorHAnsi" w:cstheme="majorHAnsi"/>
        </w:rPr>
        <w:t xml:space="preserve">. </w:t>
      </w:r>
      <w:r w:rsidR="00684EA3" w:rsidRPr="001A4A1F">
        <w:rPr>
          <w:rFonts w:asciiTheme="majorHAnsi" w:hAnsiTheme="majorHAnsi" w:cstheme="majorHAnsi"/>
        </w:rPr>
        <w:t>O poskytnutí pomoci z prostriedkov účtu v</w:t>
      </w:r>
      <w:r w:rsidR="000B336D">
        <w:rPr>
          <w:rFonts w:asciiTheme="majorHAnsi" w:hAnsiTheme="majorHAnsi" w:cstheme="majorHAnsi"/>
        </w:rPr>
        <w:t> </w:t>
      </w:r>
      <w:r w:rsidR="00684EA3" w:rsidRPr="001A4A1F">
        <w:rPr>
          <w:rFonts w:asciiTheme="majorHAnsi" w:hAnsiTheme="majorHAnsi" w:cstheme="majorHAnsi"/>
        </w:rPr>
        <w:t>nefinančnej podobe rozhod</w:t>
      </w:r>
      <w:r w:rsidR="001556C5">
        <w:rPr>
          <w:rFonts w:asciiTheme="majorHAnsi" w:hAnsiTheme="majorHAnsi" w:cstheme="majorHAnsi"/>
        </w:rPr>
        <w:t>ovala</w:t>
      </w:r>
      <w:r w:rsidR="00684EA3" w:rsidRPr="001A4A1F">
        <w:rPr>
          <w:rFonts w:asciiTheme="majorHAnsi" w:hAnsiTheme="majorHAnsi" w:cstheme="majorHAnsi"/>
        </w:rPr>
        <w:t xml:space="preserve"> Rada</w:t>
      </w:r>
      <w:r w:rsidR="000B336D">
        <w:rPr>
          <w:rFonts w:asciiTheme="majorHAnsi" w:hAnsiTheme="majorHAnsi" w:cstheme="majorHAnsi"/>
        </w:rPr>
        <w:t xml:space="preserve"> transparentného účtu</w:t>
      </w:r>
      <w:r w:rsidR="00684EA3" w:rsidRPr="001A4A1F">
        <w:rPr>
          <w:rFonts w:asciiTheme="majorHAnsi" w:hAnsiTheme="majorHAnsi" w:cstheme="majorHAnsi"/>
        </w:rPr>
        <w:t xml:space="preserve"> na</w:t>
      </w:r>
      <w:r w:rsidR="00245DE5">
        <w:rPr>
          <w:rFonts w:asciiTheme="majorHAnsi" w:hAnsiTheme="majorHAnsi" w:cstheme="majorHAnsi"/>
        </w:rPr>
        <w:t> </w:t>
      </w:r>
      <w:r w:rsidR="00684EA3" w:rsidRPr="001A4A1F">
        <w:rPr>
          <w:rFonts w:asciiTheme="majorHAnsi" w:hAnsiTheme="majorHAnsi" w:cstheme="majorHAnsi"/>
        </w:rPr>
        <w:t xml:space="preserve">základe posúdenia </w:t>
      </w:r>
      <w:r w:rsidR="00684EA3" w:rsidRPr="0039414B">
        <w:rPr>
          <w:rFonts w:asciiTheme="majorHAnsi" w:hAnsiTheme="majorHAnsi" w:cstheme="majorHAnsi"/>
        </w:rPr>
        <w:t>konkrétnych potrieb študentov.</w:t>
      </w:r>
      <w:r w:rsidR="000B336D" w:rsidRPr="0039414B">
        <w:rPr>
          <w:rFonts w:asciiTheme="majorHAnsi" w:hAnsiTheme="majorHAnsi" w:cstheme="majorHAnsi"/>
        </w:rPr>
        <w:t xml:space="preserve"> Zo získaných finančných prostriedkov boli študentom poskytnuté </w:t>
      </w:r>
      <w:r w:rsidR="002A2FAD" w:rsidRPr="0039414B">
        <w:rPr>
          <w:rFonts w:asciiTheme="majorHAnsi" w:hAnsiTheme="majorHAnsi" w:cstheme="majorHAnsi"/>
        </w:rPr>
        <w:t>stravné lístky.</w:t>
      </w:r>
      <w:r w:rsidR="000B336D" w:rsidRPr="0039414B">
        <w:rPr>
          <w:rFonts w:asciiTheme="majorHAnsi" w:hAnsiTheme="majorHAnsi" w:cstheme="majorHAnsi"/>
        </w:rPr>
        <w:t xml:space="preserve"> </w:t>
      </w:r>
      <w:r w:rsidR="00596A92" w:rsidRPr="0039414B">
        <w:rPr>
          <w:rFonts w:asciiTheme="majorHAnsi" w:hAnsiTheme="majorHAnsi" w:cstheme="majorHAnsi"/>
        </w:rPr>
        <w:t>Ďalšou formou pomoci bolo odloženie platieb za ubytovanie v študentských domovoch.</w:t>
      </w:r>
    </w:p>
    <w:p w14:paraId="13CA860E" w14:textId="0B2EAC6A" w:rsidR="003E47AD" w:rsidRDefault="002A2FAD" w:rsidP="0060123E">
      <w:pPr>
        <w:spacing w:after="120"/>
        <w:jc w:val="both"/>
        <w:rPr>
          <w:rFonts w:asciiTheme="majorHAnsi" w:hAnsiTheme="majorHAnsi" w:cstheme="majorHAnsi"/>
          <w:sz w:val="20"/>
        </w:rPr>
      </w:pPr>
      <w:r w:rsidRPr="0039414B">
        <w:rPr>
          <w:rFonts w:asciiTheme="majorHAnsi" w:hAnsiTheme="majorHAnsi" w:cstheme="majorHAnsi"/>
        </w:rPr>
        <w:lastRenderedPageBreak/>
        <w:t xml:space="preserve">STU už niekoľko dní po vypuknutí vojny </w:t>
      </w:r>
      <w:r w:rsidR="00245DE5">
        <w:rPr>
          <w:rFonts w:asciiTheme="majorHAnsi" w:hAnsiTheme="majorHAnsi" w:cstheme="majorHAnsi"/>
        </w:rPr>
        <w:t>začal</w:t>
      </w:r>
      <w:r w:rsidR="007B58B6">
        <w:rPr>
          <w:rFonts w:asciiTheme="majorHAnsi" w:hAnsiTheme="majorHAnsi" w:cstheme="majorHAnsi"/>
        </w:rPr>
        <w:t>a</w:t>
      </w:r>
      <w:r w:rsidR="00245DE5">
        <w:rPr>
          <w:rFonts w:asciiTheme="majorHAnsi" w:hAnsiTheme="majorHAnsi" w:cstheme="majorHAnsi"/>
        </w:rPr>
        <w:t xml:space="preserve"> </w:t>
      </w:r>
      <w:r w:rsidR="00B64EB4">
        <w:rPr>
          <w:rFonts w:asciiTheme="majorHAnsi" w:hAnsiTheme="majorHAnsi" w:cstheme="majorHAnsi"/>
        </w:rPr>
        <w:t>poskytovať</w:t>
      </w:r>
      <w:r w:rsidRPr="0039414B">
        <w:rPr>
          <w:rFonts w:asciiTheme="majorHAnsi" w:hAnsiTheme="majorHAnsi" w:cstheme="majorHAnsi"/>
        </w:rPr>
        <w:t xml:space="preserve"> študentom </w:t>
      </w:r>
      <w:r w:rsidR="00092753" w:rsidRPr="0039414B">
        <w:rPr>
          <w:rFonts w:asciiTheme="majorHAnsi" w:hAnsiTheme="majorHAnsi" w:cstheme="majorHAnsi"/>
        </w:rPr>
        <w:t xml:space="preserve">STU </w:t>
      </w:r>
      <w:r w:rsidR="00B64EB4" w:rsidRPr="0039414B">
        <w:rPr>
          <w:rFonts w:asciiTheme="majorHAnsi" w:hAnsiTheme="majorHAnsi" w:cstheme="majorHAnsi"/>
        </w:rPr>
        <w:t xml:space="preserve">postihnutým </w:t>
      </w:r>
      <w:r w:rsidR="00B64EB4">
        <w:rPr>
          <w:rFonts w:asciiTheme="majorHAnsi" w:hAnsiTheme="majorHAnsi" w:cstheme="majorHAnsi"/>
        </w:rPr>
        <w:t xml:space="preserve">vojnovým konfliktom </w:t>
      </w:r>
      <w:r w:rsidR="00092753" w:rsidRPr="0039414B">
        <w:rPr>
          <w:rFonts w:asciiTheme="majorHAnsi" w:hAnsiTheme="majorHAnsi" w:cstheme="majorHAnsi"/>
        </w:rPr>
        <w:t>sociáln</w:t>
      </w:r>
      <w:r w:rsidR="0039414B" w:rsidRPr="0039414B">
        <w:rPr>
          <w:rFonts w:asciiTheme="majorHAnsi" w:hAnsiTheme="majorHAnsi" w:cstheme="majorHAnsi"/>
        </w:rPr>
        <w:t>u</w:t>
      </w:r>
      <w:r w:rsidR="00092753" w:rsidRPr="0039414B">
        <w:rPr>
          <w:rFonts w:asciiTheme="majorHAnsi" w:hAnsiTheme="majorHAnsi" w:cstheme="majorHAnsi"/>
        </w:rPr>
        <w:t xml:space="preserve"> podpor</w:t>
      </w:r>
      <w:r w:rsidR="0039414B" w:rsidRPr="0039414B">
        <w:rPr>
          <w:rFonts w:asciiTheme="majorHAnsi" w:hAnsiTheme="majorHAnsi" w:cstheme="majorHAnsi"/>
        </w:rPr>
        <w:t>u formou</w:t>
      </w:r>
      <w:r w:rsidR="00092753" w:rsidRPr="0039414B">
        <w:rPr>
          <w:rFonts w:asciiTheme="majorHAnsi" w:hAnsiTheme="majorHAnsi" w:cstheme="majorHAnsi"/>
        </w:rPr>
        <w:t xml:space="preserve"> </w:t>
      </w:r>
      <w:r w:rsidRPr="0039414B">
        <w:rPr>
          <w:rFonts w:asciiTheme="majorHAnsi" w:hAnsiTheme="majorHAnsi" w:cstheme="majorHAnsi"/>
        </w:rPr>
        <w:t>mimoriadnych štipendií z </w:t>
      </w:r>
      <w:r w:rsidR="00092753" w:rsidRPr="0039414B">
        <w:rPr>
          <w:rFonts w:asciiTheme="majorHAnsi" w:hAnsiTheme="majorHAnsi" w:cstheme="majorHAnsi"/>
        </w:rPr>
        <w:t>vlastných</w:t>
      </w:r>
      <w:r w:rsidRPr="0039414B">
        <w:rPr>
          <w:rFonts w:asciiTheme="majorHAnsi" w:hAnsiTheme="majorHAnsi" w:cstheme="majorHAnsi"/>
        </w:rPr>
        <w:t xml:space="preserve"> zdrojov</w:t>
      </w:r>
      <w:r w:rsidR="00FB632D">
        <w:rPr>
          <w:rFonts w:asciiTheme="majorHAnsi" w:hAnsiTheme="majorHAnsi" w:cstheme="majorHAnsi"/>
        </w:rPr>
        <w:t xml:space="preserve"> </w:t>
      </w:r>
      <w:r w:rsidR="003C5E2B">
        <w:rPr>
          <w:rFonts w:asciiTheme="majorHAnsi" w:hAnsiTheme="majorHAnsi" w:cstheme="majorHAnsi"/>
        </w:rPr>
        <w:t xml:space="preserve">zo štipendijných fondov fakúlt a osobitného štipendijného fondu </w:t>
      </w:r>
      <w:r w:rsidR="00FB632D">
        <w:rPr>
          <w:rFonts w:asciiTheme="majorHAnsi" w:hAnsiTheme="majorHAnsi" w:cstheme="majorHAnsi"/>
        </w:rPr>
        <w:t xml:space="preserve">ÚM. Štipendiá boli poskytnuté </w:t>
      </w:r>
      <w:r w:rsidR="005628F6">
        <w:rPr>
          <w:rFonts w:asciiTheme="majorHAnsi" w:hAnsiTheme="majorHAnsi" w:cstheme="majorHAnsi"/>
        </w:rPr>
        <w:t>jednorazovo</w:t>
      </w:r>
      <w:r w:rsidR="008D0AEC">
        <w:rPr>
          <w:rFonts w:asciiTheme="majorHAnsi" w:hAnsiTheme="majorHAnsi" w:cstheme="majorHAnsi"/>
        </w:rPr>
        <w:t xml:space="preserve"> alebo</w:t>
      </w:r>
      <w:r w:rsidR="005628F6">
        <w:rPr>
          <w:rFonts w:asciiTheme="majorHAnsi" w:hAnsiTheme="majorHAnsi" w:cstheme="majorHAnsi"/>
        </w:rPr>
        <w:t xml:space="preserve"> opakovane v mesiacoch marec až jún 2022 </w:t>
      </w:r>
      <w:r w:rsidR="008D0AEC">
        <w:rPr>
          <w:rFonts w:asciiTheme="majorHAnsi" w:hAnsiTheme="majorHAnsi" w:cstheme="majorHAnsi"/>
        </w:rPr>
        <w:t xml:space="preserve">ako </w:t>
      </w:r>
      <w:r w:rsidR="008D0AEC" w:rsidRPr="008D0AEC">
        <w:rPr>
          <w:rFonts w:asciiTheme="majorHAnsi" w:hAnsiTheme="majorHAnsi" w:cstheme="majorHAnsi"/>
        </w:rPr>
        <w:t>mimoriadne štipendium na</w:t>
      </w:r>
      <w:r w:rsidR="00FB632D">
        <w:rPr>
          <w:rFonts w:asciiTheme="majorHAnsi" w:hAnsiTheme="majorHAnsi" w:cstheme="majorHAnsi"/>
        </w:rPr>
        <w:t> </w:t>
      </w:r>
      <w:r w:rsidR="008D0AEC" w:rsidRPr="008D0AEC">
        <w:rPr>
          <w:rFonts w:asciiTheme="majorHAnsi" w:hAnsiTheme="majorHAnsi" w:cstheme="majorHAnsi"/>
        </w:rPr>
        <w:t xml:space="preserve">podporu zahraničných študentov </w:t>
      </w:r>
      <w:r w:rsidR="008D0AEC">
        <w:rPr>
          <w:rFonts w:asciiTheme="majorHAnsi" w:hAnsiTheme="majorHAnsi" w:cstheme="majorHAnsi"/>
        </w:rPr>
        <w:t xml:space="preserve">alebo </w:t>
      </w:r>
      <w:r w:rsidR="008D0AEC" w:rsidRPr="008D0AEC">
        <w:rPr>
          <w:rFonts w:asciiTheme="majorHAnsi" w:hAnsiTheme="majorHAnsi" w:cstheme="majorHAnsi"/>
        </w:rPr>
        <w:t xml:space="preserve">mimoriadne štipendium na podporu štúdia na STU </w:t>
      </w:r>
      <w:r w:rsidR="008D0AEC">
        <w:rPr>
          <w:rFonts w:asciiTheme="majorHAnsi" w:hAnsiTheme="majorHAnsi" w:cstheme="majorHAnsi"/>
        </w:rPr>
        <w:t xml:space="preserve">podľa </w:t>
      </w:r>
      <w:r w:rsidR="005628F6">
        <w:rPr>
          <w:rFonts w:asciiTheme="majorHAnsi" w:hAnsiTheme="majorHAnsi" w:cstheme="majorHAnsi"/>
        </w:rPr>
        <w:t xml:space="preserve">článku 7 a 8 </w:t>
      </w:r>
      <w:hyperlink r:id="rId120" w:history="1">
        <w:r w:rsidR="005628F6">
          <w:rPr>
            <w:rStyle w:val="Hypertextovprepojenie"/>
            <w:rFonts w:cstheme="majorHAnsi"/>
          </w:rPr>
          <w:t>Štipendijného poriadku STU</w:t>
        </w:r>
      </w:hyperlink>
      <w:r w:rsidRPr="0039414B">
        <w:rPr>
          <w:rFonts w:asciiTheme="majorHAnsi" w:hAnsiTheme="majorHAnsi" w:cstheme="majorHAnsi"/>
        </w:rPr>
        <w:t xml:space="preserve">. </w:t>
      </w:r>
      <w:r w:rsidR="006E4B3B">
        <w:rPr>
          <w:rFonts w:asciiTheme="majorHAnsi" w:hAnsiTheme="majorHAnsi" w:cstheme="majorHAnsi"/>
        </w:rPr>
        <w:t>Celkovo</w:t>
      </w:r>
      <w:r w:rsidR="003C5E2B">
        <w:rPr>
          <w:rFonts w:asciiTheme="majorHAnsi" w:hAnsiTheme="majorHAnsi" w:cstheme="majorHAnsi"/>
        </w:rPr>
        <w:t xml:space="preserve"> STU poskytla </w:t>
      </w:r>
      <w:r w:rsidR="00FB632D" w:rsidRPr="003C3B87">
        <w:rPr>
          <w:rFonts w:asciiTheme="majorHAnsi" w:hAnsiTheme="majorHAnsi" w:cstheme="majorHAnsi"/>
          <w:b/>
        </w:rPr>
        <w:t xml:space="preserve">308 </w:t>
      </w:r>
      <w:r w:rsidR="003C5E2B">
        <w:rPr>
          <w:rFonts w:asciiTheme="majorHAnsi" w:hAnsiTheme="majorHAnsi" w:cstheme="majorHAnsi"/>
        </w:rPr>
        <w:t>mimoriadn</w:t>
      </w:r>
      <w:r w:rsidR="00FB632D">
        <w:rPr>
          <w:rFonts w:asciiTheme="majorHAnsi" w:hAnsiTheme="majorHAnsi" w:cstheme="majorHAnsi"/>
        </w:rPr>
        <w:t>ych</w:t>
      </w:r>
      <w:r w:rsidR="003C5E2B">
        <w:rPr>
          <w:rFonts w:asciiTheme="majorHAnsi" w:hAnsiTheme="majorHAnsi" w:cstheme="majorHAnsi"/>
        </w:rPr>
        <w:t xml:space="preserve"> štipendi</w:t>
      </w:r>
      <w:r w:rsidR="00FB632D">
        <w:rPr>
          <w:rFonts w:asciiTheme="majorHAnsi" w:hAnsiTheme="majorHAnsi" w:cstheme="majorHAnsi"/>
        </w:rPr>
        <w:t>í</w:t>
      </w:r>
      <w:r w:rsidR="003C5E2B">
        <w:rPr>
          <w:rFonts w:asciiTheme="majorHAnsi" w:hAnsiTheme="majorHAnsi" w:cstheme="majorHAnsi"/>
        </w:rPr>
        <w:t xml:space="preserve"> vo výške </w:t>
      </w:r>
      <w:r w:rsidR="003C5E2B" w:rsidRPr="00FB632D">
        <w:rPr>
          <w:rFonts w:asciiTheme="majorHAnsi" w:hAnsiTheme="majorHAnsi" w:cstheme="majorHAnsi"/>
          <w:b/>
        </w:rPr>
        <w:t>68 970 €</w:t>
      </w:r>
      <w:r w:rsidR="00FB632D">
        <w:rPr>
          <w:rFonts w:asciiTheme="majorHAnsi" w:hAnsiTheme="majorHAnsi" w:cstheme="majorHAnsi"/>
          <w:b/>
        </w:rPr>
        <w:t xml:space="preserve"> </w:t>
      </w:r>
      <w:r w:rsidR="003C3B87" w:rsidRPr="0053555E">
        <w:rPr>
          <w:rFonts w:asciiTheme="majorHAnsi" w:hAnsiTheme="majorHAnsi" w:cstheme="majorHAnsi"/>
        </w:rPr>
        <w:t xml:space="preserve">Prehľad </w:t>
      </w:r>
      <w:r w:rsidR="003C3B87">
        <w:rPr>
          <w:rFonts w:asciiTheme="majorHAnsi" w:hAnsiTheme="majorHAnsi" w:cstheme="majorHAnsi"/>
        </w:rPr>
        <w:t>poskytnutých</w:t>
      </w:r>
      <w:r w:rsidR="003C3B87" w:rsidRPr="0053555E">
        <w:rPr>
          <w:rFonts w:asciiTheme="majorHAnsi" w:hAnsiTheme="majorHAnsi" w:cstheme="majorHAnsi"/>
        </w:rPr>
        <w:t xml:space="preserve"> </w:t>
      </w:r>
      <w:r w:rsidR="003C3B87">
        <w:rPr>
          <w:rFonts w:asciiTheme="majorHAnsi" w:hAnsiTheme="majorHAnsi" w:cstheme="majorHAnsi"/>
        </w:rPr>
        <w:t>mimoriadnych</w:t>
      </w:r>
      <w:r w:rsidR="003C3B87" w:rsidRPr="0053555E">
        <w:rPr>
          <w:rFonts w:asciiTheme="majorHAnsi" w:hAnsiTheme="majorHAnsi" w:cstheme="majorHAnsi"/>
        </w:rPr>
        <w:t xml:space="preserve"> štipendií na</w:t>
      </w:r>
      <w:r w:rsidR="003C3B87">
        <w:rPr>
          <w:rFonts w:asciiTheme="majorHAnsi" w:hAnsiTheme="majorHAnsi" w:cstheme="majorHAnsi"/>
        </w:rPr>
        <w:t xml:space="preserve"> jednotlivých súčastiach </w:t>
      </w:r>
      <w:r w:rsidR="003C3B87" w:rsidRPr="0053555E">
        <w:rPr>
          <w:rFonts w:asciiTheme="majorHAnsi" w:hAnsiTheme="majorHAnsi" w:cstheme="majorHAnsi"/>
        </w:rPr>
        <w:t>STU je uvedený v </w:t>
      </w:r>
      <w:r w:rsidR="003E47AD" w:rsidRPr="006E4B3B">
        <w:rPr>
          <w:rFonts w:asciiTheme="majorHAnsi" w:hAnsiTheme="majorHAnsi" w:cstheme="majorHAnsi"/>
        </w:rPr>
        <w:fldChar w:fldCharType="begin"/>
      </w:r>
      <w:r w:rsidR="003E47AD" w:rsidRPr="006E4B3B">
        <w:rPr>
          <w:rFonts w:asciiTheme="majorHAnsi" w:hAnsiTheme="majorHAnsi" w:cstheme="majorHAnsi"/>
        </w:rPr>
        <w:instrText xml:space="preserve"> REF _Ref127570770 \h  \* MERGEFORMAT </w:instrText>
      </w:r>
      <w:r w:rsidR="003E47AD" w:rsidRPr="006E4B3B">
        <w:rPr>
          <w:rFonts w:asciiTheme="majorHAnsi" w:hAnsiTheme="majorHAnsi" w:cstheme="majorHAnsi"/>
        </w:rPr>
      </w:r>
      <w:r w:rsidR="003E47AD" w:rsidRPr="006E4B3B">
        <w:rPr>
          <w:rFonts w:asciiTheme="majorHAnsi" w:hAnsiTheme="majorHAnsi" w:cstheme="majorHAnsi"/>
        </w:rPr>
        <w:fldChar w:fldCharType="separate"/>
      </w:r>
      <w:r w:rsidR="00EE1B59" w:rsidRPr="006E4B3B">
        <w:t xml:space="preserve">Tab. č. </w:t>
      </w:r>
      <w:r w:rsidR="00E82525">
        <w:t>75</w:t>
      </w:r>
      <w:r w:rsidR="003E47AD" w:rsidRPr="006E4B3B">
        <w:rPr>
          <w:rFonts w:asciiTheme="majorHAnsi" w:hAnsiTheme="majorHAnsi" w:cstheme="majorHAnsi"/>
        </w:rPr>
        <w:fldChar w:fldCharType="end"/>
      </w:r>
      <w:r w:rsidR="003E47AD" w:rsidRPr="003E47AD">
        <w:rPr>
          <w:rFonts w:asciiTheme="majorHAnsi" w:hAnsiTheme="majorHAnsi" w:cstheme="majorHAnsi"/>
          <w:sz w:val="20"/>
        </w:rPr>
        <w:t xml:space="preserve"> </w:t>
      </w:r>
    </w:p>
    <w:p w14:paraId="232E0482" w14:textId="4D53FA87" w:rsidR="0060123E" w:rsidRPr="006E4B3B" w:rsidRDefault="0060123E" w:rsidP="006E4B3B">
      <w:pPr>
        <w:rPr>
          <w:rFonts w:asciiTheme="majorHAnsi" w:hAnsiTheme="majorHAnsi" w:cstheme="majorHAnsi"/>
          <w:sz w:val="20"/>
        </w:rPr>
      </w:pPr>
      <w:bookmarkStart w:id="316" w:name="_Ref127570770"/>
      <w:bookmarkStart w:id="317" w:name="_Toc127593326"/>
      <w:r>
        <w:t xml:space="preserve">Tab. č. </w:t>
      </w:r>
      <w:bookmarkEnd w:id="316"/>
      <w:r w:rsidR="00E82525">
        <w:t>75</w:t>
      </w:r>
      <w:r w:rsidR="003E47AD">
        <w:t>:</w:t>
      </w:r>
      <w:r w:rsidR="003E47AD" w:rsidRPr="003E47AD">
        <w:t xml:space="preserve"> Mimoriadne štipendiá poskytnuté študentom postihnutým konfliktom na Ukrajine v roku 2022</w:t>
      </w:r>
      <w:bookmarkEnd w:id="317"/>
    </w:p>
    <w:tbl>
      <w:tblPr>
        <w:tblW w:w="9060" w:type="dxa"/>
        <w:tblLayout w:type="fixed"/>
        <w:tblCellMar>
          <w:left w:w="70" w:type="dxa"/>
          <w:right w:w="70" w:type="dxa"/>
        </w:tblCellMar>
        <w:tblLook w:val="04A0" w:firstRow="1" w:lastRow="0" w:firstColumn="1" w:lastColumn="0" w:noHBand="0" w:noVBand="1"/>
      </w:tblPr>
      <w:tblGrid>
        <w:gridCol w:w="1080"/>
        <w:gridCol w:w="1995"/>
        <w:gridCol w:w="1995"/>
        <w:gridCol w:w="1995"/>
        <w:gridCol w:w="1995"/>
      </w:tblGrid>
      <w:tr w:rsidR="005628F6" w:rsidRPr="007B58B6" w14:paraId="4028B14C" w14:textId="77777777" w:rsidTr="0060123E">
        <w:trPr>
          <w:trHeight w:val="240"/>
        </w:trPr>
        <w:tc>
          <w:tcPr>
            <w:tcW w:w="1080" w:type="dxa"/>
            <w:vMerge w:val="restart"/>
            <w:tcBorders>
              <w:top w:val="single" w:sz="4" w:space="0" w:color="auto"/>
              <w:left w:val="single" w:sz="4" w:space="0" w:color="auto"/>
              <w:bottom w:val="single" w:sz="4" w:space="0" w:color="000000"/>
              <w:right w:val="single" w:sz="4" w:space="0" w:color="auto"/>
            </w:tcBorders>
            <w:vAlign w:val="center"/>
            <w:hideMark/>
          </w:tcPr>
          <w:p w14:paraId="45A2DF53" w14:textId="77777777" w:rsidR="005628F6" w:rsidRPr="007B58B6" w:rsidRDefault="005628F6" w:rsidP="005628F6">
            <w:pPr>
              <w:tabs>
                <w:tab w:val="left" w:pos="9356"/>
              </w:tabs>
              <w:jc w:val="both"/>
              <w:rPr>
                <w:rFonts w:asciiTheme="majorHAnsi" w:eastAsia="Times New Roman" w:hAnsiTheme="majorHAnsi" w:cstheme="majorHAnsi"/>
                <w:b/>
                <w:bCs/>
                <w:sz w:val="20"/>
                <w:szCs w:val="20"/>
                <w:lang w:eastAsia="sk-SK"/>
              </w:rPr>
            </w:pPr>
            <w:r w:rsidRPr="007B58B6">
              <w:rPr>
                <w:rFonts w:asciiTheme="majorHAnsi" w:eastAsia="Times New Roman" w:hAnsiTheme="majorHAnsi" w:cstheme="majorHAnsi"/>
                <w:b/>
                <w:bCs/>
                <w:szCs w:val="20"/>
                <w:lang w:eastAsia="sk-SK"/>
              </w:rPr>
              <w:t xml:space="preserve">Súčasť STU </w:t>
            </w:r>
          </w:p>
        </w:tc>
        <w:tc>
          <w:tcPr>
            <w:tcW w:w="3990" w:type="dxa"/>
            <w:gridSpan w:val="2"/>
            <w:tcBorders>
              <w:top w:val="single" w:sz="4" w:space="0" w:color="auto"/>
              <w:left w:val="nil"/>
              <w:bottom w:val="single" w:sz="4" w:space="0" w:color="auto"/>
              <w:right w:val="double" w:sz="6" w:space="0" w:color="000000"/>
            </w:tcBorders>
            <w:vAlign w:val="bottom"/>
            <w:hideMark/>
          </w:tcPr>
          <w:p w14:paraId="145E5F80" w14:textId="36EBA35E" w:rsidR="005628F6" w:rsidRPr="005628F6" w:rsidRDefault="005628F6" w:rsidP="005628F6">
            <w:pPr>
              <w:tabs>
                <w:tab w:val="left" w:pos="9356"/>
              </w:tabs>
              <w:jc w:val="center"/>
              <w:rPr>
                <w:rFonts w:asciiTheme="majorHAnsi" w:eastAsia="Times New Roman" w:hAnsiTheme="majorHAnsi" w:cstheme="majorHAnsi"/>
                <w:b/>
                <w:bCs/>
                <w:sz w:val="20"/>
                <w:szCs w:val="20"/>
                <w:lang w:eastAsia="sk-SK"/>
              </w:rPr>
            </w:pPr>
            <w:bookmarkStart w:id="318" w:name="_Hlk127570186"/>
            <w:r w:rsidRPr="005628F6">
              <w:rPr>
                <w:rFonts w:cs="Arial"/>
                <w:b/>
                <w:bCs/>
                <w:sz w:val="20"/>
              </w:rPr>
              <w:t>mimoriadne štipendium na podporu zahraničných študentov</w:t>
            </w:r>
            <w:bookmarkEnd w:id="318"/>
          </w:p>
        </w:tc>
        <w:tc>
          <w:tcPr>
            <w:tcW w:w="3990" w:type="dxa"/>
            <w:gridSpan w:val="2"/>
            <w:tcBorders>
              <w:top w:val="single" w:sz="4" w:space="0" w:color="auto"/>
              <w:left w:val="nil"/>
              <w:bottom w:val="single" w:sz="4" w:space="0" w:color="auto"/>
              <w:right w:val="single" w:sz="4" w:space="0" w:color="auto"/>
            </w:tcBorders>
            <w:vAlign w:val="bottom"/>
            <w:hideMark/>
          </w:tcPr>
          <w:p w14:paraId="03827E01" w14:textId="27FA7C22" w:rsidR="005628F6" w:rsidRPr="005628F6" w:rsidRDefault="005628F6" w:rsidP="005628F6">
            <w:pPr>
              <w:tabs>
                <w:tab w:val="left" w:pos="9356"/>
              </w:tabs>
              <w:jc w:val="center"/>
              <w:rPr>
                <w:rFonts w:asciiTheme="majorHAnsi" w:eastAsia="Times New Roman" w:hAnsiTheme="majorHAnsi" w:cstheme="majorHAnsi"/>
                <w:b/>
                <w:bCs/>
                <w:sz w:val="20"/>
                <w:szCs w:val="20"/>
                <w:lang w:eastAsia="sk-SK"/>
              </w:rPr>
            </w:pPr>
            <w:bookmarkStart w:id="319" w:name="_Hlk127570202"/>
            <w:r w:rsidRPr="005628F6">
              <w:rPr>
                <w:rFonts w:cs="Arial"/>
                <w:b/>
                <w:bCs/>
                <w:sz w:val="20"/>
              </w:rPr>
              <w:t>mimoriadne štipendium na podporu štúdia na STU</w:t>
            </w:r>
            <w:bookmarkEnd w:id="319"/>
          </w:p>
        </w:tc>
      </w:tr>
      <w:tr w:rsidR="00462AD7" w:rsidRPr="007B58B6" w14:paraId="5CD7D8B6" w14:textId="77777777" w:rsidTr="0060123E">
        <w:trPr>
          <w:trHeight w:val="510"/>
        </w:trPr>
        <w:tc>
          <w:tcPr>
            <w:tcW w:w="1080" w:type="dxa"/>
            <w:vMerge/>
            <w:tcBorders>
              <w:top w:val="single" w:sz="4" w:space="0" w:color="auto"/>
              <w:left w:val="single" w:sz="4" w:space="0" w:color="auto"/>
              <w:bottom w:val="single" w:sz="4" w:space="0" w:color="000000"/>
              <w:right w:val="single" w:sz="4" w:space="0" w:color="auto"/>
            </w:tcBorders>
            <w:vAlign w:val="center"/>
            <w:hideMark/>
          </w:tcPr>
          <w:p w14:paraId="74268EA4" w14:textId="77777777" w:rsidR="00462AD7" w:rsidRPr="007B58B6" w:rsidRDefault="00462AD7">
            <w:pPr>
              <w:rPr>
                <w:rFonts w:asciiTheme="majorHAnsi" w:eastAsia="Times New Roman" w:hAnsiTheme="majorHAnsi" w:cstheme="majorHAnsi"/>
                <w:b/>
                <w:bCs/>
                <w:sz w:val="20"/>
                <w:szCs w:val="20"/>
                <w:lang w:eastAsia="sk-SK"/>
              </w:rPr>
            </w:pPr>
          </w:p>
        </w:tc>
        <w:tc>
          <w:tcPr>
            <w:tcW w:w="1995" w:type="dxa"/>
            <w:tcBorders>
              <w:top w:val="nil"/>
              <w:left w:val="nil"/>
              <w:bottom w:val="single" w:sz="4" w:space="0" w:color="auto"/>
              <w:right w:val="single" w:sz="4" w:space="0" w:color="auto"/>
            </w:tcBorders>
            <w:vAlign w:val="center"/>
            <w:hideMark/>
          </w:tcPr>
          <w:p w14:paraId="063B2836" w14:textId="77777777" w:rsidR="00462AD7" w:rsidRPr="007B58B6" w:rsidRDefault="00462AD7">
            <w:pPr>
              <w:tabs>
                <w:tab w:val="left" w:pos="9356"/>
              </w:tabs>
              <w:jc w:val="center"/>
              <w:rPr>
                <w:rFonts w:asciiTheme="majorHAnsi" w:eastAsia="Times New Roman" w:hAnsiTheme="majorHAnsi" w:cstheme="majorHAnsi"/>
                <w:b/>
                <w:bCs/>
                <w:sz w:val="20"/>
                <w:szCs w:val="20"/>
                <w:lang w:eastAsia="sk-SK"/>
              </w:rPr>
            </w:pPr>
            <w:r w:rsidRPr="007B58B6">
              <w:rPr>
                <w:rFonts w:asciiTheme="majorHAnsi" w:eastAsia="Times New Roman" w:hAnsiTheme="majorHAnsi" w:cstheme="majorHAnsi"/>
                <w:b/>
                <w:bCs/>
                <w:sz w:val="20"/>
                <w:szCs w:val="20"/>
                <w:lang w:eastAsia="sk-SK"/>
              </w:rPr>
              <w:t>Celková suma poskytnutých štipendií v €</w:t>
            </w:r>
          </w:p>
        </w:tc>
        <w:tc>
          <w:tcPr>
            <w:tcW w:w="1995" w:type="dxa"/>
            <w:tcBorders>
              <w:top w:val="nil"/>
              <w:left w:val="nil"/>
              <w:bottom w:val="single" w:sz="4" w:space="0" w:color="auto"/>
              <w:right w:val="double" w:sz="6" w:space="0" w:color="auto"/>
            </w:tcBorders>
            <w:vAlign w:val="center"/>
            <w:hideMark/>
          </w:tcPr>
          <w:p w14:paraId="26825232" w14:textId="77777777" w:rsidR="00462AD7" w:rsidRPr="007B58B6" w:rsidRDefault="00462AD7">
            <w:pPr>
              <w:tabs>
                <w:tab w:val="left" w:pos="9356"/>
              </w:tabs>
              <w:jc w:val="center"/>
              <w:rPr>
                <w:rFonts w:asciiTheme="majorHAnsi" w:eastAsia="Times New Roman" w:hAnsiTheme="majorHAnsi" w:cstheme="majorHAnsi"/>
                <w:b/>
                <w:bCs/>
                <w:sz w:val="20"/>
                <w:szCs w:val="20"/>
                <w:lang w:eastAsia="sk-SK"/>
              </w:rPr>
            </w:pPr>
            <w:r w:rsidRPr="007B58B6">
              <w:rPr>
                <w:rFonts w:asciiTheme="majorHAnsi" w:eastAsia="Times New Roman" w:hAnsiTheme="majorHAnsi" w:cstheme="majorHAnsi"/>
                <w:b/>
                <w:bCs/>
                <w:sz w:val="20"/>
                <w:szCs w:val="20"/>
                <w:lang w:eastAsia="sk-SK"/>
              </w:rPr>
              <w:t>Počet študentov STU (štipendií)</w:t>
            </w:r>
          </w:p>
        </w:tc>
        <w:tc>
          <w:tcPr>
            <w:tcW w:w="1995" w:type="dxa"/>
            <w:tcBorders>
              <w:top w:val="nil"/>
              <w:left w:val="nil"/>
              <w:bottom w:val="single" w:sz="4" w:space="0" w:color="auto"/>
              <w:right w:val="single" w:sz="4" w:space="0" w:color="auto"/>
            </w:tcBorders>
            <w:vAlign w:val="center"/>
            <w:hideMark/>
          </w:tcPr>
          <w:p w14:paraId="709812F1" w14:textId="77777777" w:rsidR="00462AD7" w:rsidRPr="007B58B6" w:rsidRDefault="00462AD7">
            <w:pPr>
              <w:tabs>
                <w:tab w:val="left" w:pos="9356"/>
              </w:tabs>
              <w:jc w:val="center"/>
              <w:rPr>
                <w:rFonts w:asciiTheme="majorHAnsi" w:eastAsia="Times New Roman" w:hAnsiTheme="majorHAnsi" w:cstheme="majorHAnsi"/>
                <w:b/>
                <w:bCs/>
                <w:sz w:val="20"/>
                <w:szCs w:val="20"/>
                <w:lang w:eastAsia="sk-SK"/>
              </w:rPr>
            </w:pPr>
            <w:r w:rsidRPr="007B58B6">
              <w:rPr>
                <w:rFonts w:asciiTheme="majorHAnsi" w:eastAsia="Times New Roman" w:hAnsiTheme="majorHAnsi" w:cstheme="majorHAnsi"/>
                <w:b/>
                <w:bCs/>
                <w:sz w:val="20"/>
                <w:szCs w:val="20"/>
                <w:lang w:eastAsia="sk-SK"/>
              </w:rPr>
              <w:t>Celková suma poskytnutých štipendií v €</w:t>
            </w:r>
          </w:p>
        </w:tc>
        <w:tc>
          <w:tcPr>
            <w:tcW w:w="1995" w:type="dxa"/>
            <w:tcBorders>
              <w:top w:val="nil"/>
              <w:left w:val="nil"/>
              <w:bottom w:val="single" w:sz="4" w:space="0" w:color="auto"/>
              <w:right w:val="single" w:sz="4" w:space="0" w:color="auto"/>
            </w:tcBorders>
            <w:vAlign w:val="center"/>
            <w:hideMark/>
          </w:tcPr>
          <w:p w14:paraId="151B8C08" w14:textId="2D326CA0" w:rsidR="00462AD7" w:rsidRPr="007B58B6" w:rsidRDefault="005628F6">
            <w:pPr>
              <w:tabs>
                <w:tab w:val="left" w:pos="9356"/>
              </w:tabs>
              <w:jc w:val="center"/>
              <w:rPr>
                <w:rFonts w:asciiTheme="majorHAnsi" w:eastAsia="Times New Roman" w:hAnsiTheme="majorHAnsi" w:cstheme="majorHAnsi"/>
                <w:b/>
                <w:bCs/>
                <w:sz w:val="20"/>
                <w:szCs w:val="20"/>
                <w:lang w:eastAsia="sk-SK"/>
              </w:rPr>
            </w:pPr>
            <w:r w:rsidRPr="007B58B6">
              <w:rPr>
                <w:rFonts w:asciiTheme="majorHAnsi" w:eastAsia="Times New Roman" w:hAnsiTheme="majorHAnsi" w:cstheme="majorHAnsi"/>
                <w:b/>
                <w:bCs/>
                <w:sz w:val="20"/>
                <w:szCs w:val="20"/>
                <w:lang w:eastAsia="sk-SK"/>
              </w:rPr>
              <w:t>Počet študentov STU (štipendií)</w:t>
            </w:r>
          </w:p>
        </w:tc>
      </w:tr>
      <w:tr w:rsidR="00B64EB4" w14:paraId="65E651D8" w14:textId="77777777" w:rsidTr="00B64EB4">
        <w:trPr>
          <w:trHeight w:val="255"/>
        </w:trPr>
        <w:tc>
          <w:tcPr>
            <w:tcW w:w="1080" w:type="dxa"/>
            <w:tcBorders>
              <w:top w:val="nil"/>
              <w:left w:val="single" w:sz="4" w:space="0" w:color="auto"/>
              <w:bottom w:val="single" w:sz="4" w:space="0" w:color="auto"/>
              <w:right w:val="single" w:sz="4" w:space="0" w:color="auto"/>
            </w:tcBorders>
            <w:noWrap/>
            <w:vAlign w:val="bottom"/>
            <w:hideMark/>
          </w:tcPr>
          <w:p w14:paraId="5FA194BC" w14:textId="77777777" w:rsidR="00B64EB4" w:rsidRDefault="00B64EB4" w:rsidP="00B64EB4">
            <w:pPr>
              <w:tabs>
                <w:tab w:val="left" w:pos="9356"/>
              </w:tabs>
              <w:jc w:val="both"/>
              <w:rPr>
                <w:rFonts w:asciiTheme="majorHAnsi" w:eastAsia="Times New Roman" w:hAnsiTheme="majorHAnsi" w:cstheme="majorHAnsi"/>
                <w:b/>
                <w:bCs/>
                <w:szCs w:val="20"/>
                <w:lang w:val="en-US" w:eastAsia="sk-SK"/>
              </w:rPr>
            </w:pPr>
            <w:r>
              <w:rPr>
                <w:rFonts w:asciiTheme="majorHAnsi" w:eastAsia="Times New Roman" w:hAnsiTheme="majorHAnsi" w:cstheme="majorHAnsi"/>
                <w:b/>
                <w:bCs/>
                <w:szCs w:val="20"/>
                <w:lang w:val="en-US" w:eastAsia="sk-SK"/>
              </w:rPr>
              <w:t>SvF</w:t>
            </w:r>
          </w:p>
        </w:tc>
        <w:tc>
          <w:tcPr>
            <w:tcW w:w="1995" w:type="dxa"/>
            <w:tcBorders>
              <w:top w:val="nil"/>
              <w:left w:val="nil"/>
              <w:bottom w:val="single" w:sz="4" w:space="0" w:color="auto"/>
              <w:right w:val="single" w:sz="4" w:space="0" w:color="auto"/>
            </w:tcBorders>
            <w:noWrap/>
            <w:vAlign w:val="bottom"/>
            <w:hideMark/>
          </w:tcPr>
          <w:p w14:paraId="54D3C93C" w14:textId="71CBF3F6" w:rsidR="00B64EB4" w:rsidRDefault="00B64EB4" w:rsidP="00B64EB4">
            <w:pPr>
              <w:jc w:val="center"/>
              <w:rPr>
                <w:rFonts w:asciiTheme="majorHAnsi" w:hAnsiTheme="majorHAnsi" w:cstheme="majorHAnsi"/>
                <w:szCs w:val="20"/>
                <w:lang w:val="en-US"/>
              </w:rPr>
            </w:pPr>
            <w:r>
              <w:rPr>
                <w:rFonts w:cs="Arial"/>
              </w:rPr>
              <w:t>19 500</w:t>
            </w:r>
          </w:p>
        </w:tc>
        <w:tc>
          <w:tcPr>
            <w:tcW w:w="1995" w:type="dxa"/>
            <w:tcBorders>
              <w:top w:val="nil"/>
              <w:left w:val="nil"/>
              <w:bottom w:val="single" w:sz="4" w:space="0" w:color="auto"/>
              <w:right w:val="double" w:sz="6" w:space="0" w:color="auto"/>
            </w:tcBorders>
            <w:noWrap/>
            <w:vAlign w:val="bottom"/>
            <w:hideMark/>
          </w:tcPr>
          <w:p w14:paraId="5BDBF3F0" w14:textId="175837AC" w:rsidR="00B64EB4" w:rsidRDefault="00B64EB4" w:rsidP="00B64EB4">
            <w:pPr>
              <w:jc w:val="center"/>
              <w:rPr>
                <w:rFonts w:asciiTheme="majorHAnsi" w:hAnsiTheme="majorHAnsi" w:cstheme="majorHAnsi"/>
                <w:szCs w:val="20"/>
                <w:lang w:val="en-US"/>
              </w:rPr>
            </w:pPr>
            <w:r>
              <w:rPr>
                <w:rFonts w:cs="Arial"/>
              </w:rPr>
              <w:t>65</w:t>
            </w:r>
          </w:p>
        </w:tc>
        <w:tc>
          <w:tcPr>
            <w:tcW w:w="1995" w:type="dxa"/>
            <w:tcBorders>
              <w:top w:val="nil"/>
              <w:left w:val="nil"/>
              <w:bottom w:val="single" w:sz="4" w:space="0" w:color="auto"/>
              <w:right w:val="single" w:sz="4" w:space="0" w:color="auto"/>
            </w:tcBorders>
            <w:noWrap/>
            <w:vAlign w:val="bottom"/>
          </w:tcPr>
          <w:p w14:paraId="202A22AB" w14:textId="68C012B7" w:rsidR="00B64EB4" w:rsidRDefault="00B64EB4" w:rsidP="00B64EB4">
            <w:pPr>
              <w:jc w:val="center"/>
              <w:rPr>
                <w:rFonts w:asciiTheme="majorHAnsi" w:hAnsiTheme="majorHAnsi" w:cstheme="majorHAnsi"/>
                <w:szCs w:val="20"/>
                <w:lang w:val="en-US"/>
              </w:rPr>
            </w:pPr>
          </w:p>
        </w:tc>
        <w:tc>
          <w:tcPr>
            <w:tcW w:w="1995" w:type="dxa"/>
            <w:tcBorders>
              <w:top w:val="nil"/>
              <w:left w:val="nil"/>
              <w:bottom w:val="single" w:sz="4" w:space="0" w:color="auto"/>
              <w:right w:val="single" w:sz="4" w:space="0" w:color="auto"/>
            </w:tcBorders>
            <w:noWrap/>
            <w:vAlign w:val="bottom"/>
          </w:tcPr>
          <w:p w14:paraId="0B80C3DB" w14:textId="13636FAE" w:rsidR="00B64EB4" w:rsidRDefault="00B64EB4" w:rsidP="00B64EB4">
            <w:pPr>
              <w:jc w:val="center"/>
              <w:rPr>
                <w:rFonts w:asciiTheme="majorHAnsi" w:hAnsiTheme="majorHAnsi" w:cstheme="majorHAnsi"/>
                <w:szCs w:val="20"/>
                <w:lang w:val="en-US"/>
              </w:rPr>
            </w:pPr>
          </w:p>
        </w:tc>
      </w:tr>
      <w:tr w:rsidR="00B64EB4" w14:paraId="63C0401E" w14:textId="77777777" w:rsidTr="00B64EB4">
        <w:trPr>
          <w:trHeight w:val="255"/>
        </w:trPr>
        <w:tc>
          <w:tcPr>
            <w:tcW w:w="1080" w:type="dxa"/>
            <w:tcBorders>
              <w:top w:val="nil"/>
              <w:left w:val="single" w:sz="4" w:space="0" w:color="auto"/>
              <w:bottom w:val="single" w:sz="4" w:space="0" w:color="auto"/>
              <w:right w:val="single" w:sz="4" w:space="0" w:color="auto"/>
            </w:tcBorders>
            <w:noWrap/>
            <w:vAlign w:val="bottom"/>
            <w:hideMark/>
          </w:tcPr>
          <w:p w14:paraId="4FDEA887" w14:textId="77777777" w:rsidR="00B64EB4" w:rsidRDefault="00B64EB4" w:rsidP="00B64EB4">
            <w:pPr>
              <w:tabs>
                <w:tab w:val="left" w:pos="9356"/>
              </w:tabs>
              <w:jc w:val="both"/>
              <w:rPr>
                <w:rFonts w:asciiTheme="majorHAnsi" w:eastAsia="Times New Roman" w:hAnsiTheme="majorHAnsi" w:cstheme="majorHAnsi"/>
                <w:b/>
                <w:bCs/>
                <w:szCs w:val="20"/>
                <w:lang w:val="en-US" w:eastAsia="sk-SK"/>
              </w:rPr>
            </w:pPr>
            <w:r>
              <w:rPr>
                <w:rFonts w:asciiTheme="majorHAnsi" w:eastAsia="Times New Roman" w:hAnsiTheme="majorHAnsi" w:cstheme="majorHAnsi"/>
                <w:b/>
                <w:bCs/>
                <w:szCs w:val="20"/>
                <w:lang w:val="en-US" w:eastAsia="sk-SK"/>
              </w:rPr>
              <w:t>SjF</w:t>
            </w:r>
          </w:p>
        </w:tc>
        <w:tc>
          <w:tcPr>
            <w:tcW w:w="1995" w:type="dxa"/>
            <w:tcBorders>
              <w:top w:val="nil"/>
              <w:left w:val="nil"/>
              <w:bottom w:val="single" w:sz="4" w:space="0" w:color="auto"/>
              <w:right w:val="single" w:sz="4" w:space="0" w:color="auto"/>
            </w:tcBorders>
            <w:noWrap/>
            <w:vAlign w:val="bottom"/>
          </w:tcPr>
          <w:p w14:paraId="2BF433D0" w14:textId="4A912398" w:rsidR="00B64EB4" w:rsidRDefault="00B64EB4" w:rsidP="00B64EB4">
            <w:pPr>
              <w:jc w:val="center"/>
              <w:rPr>
                <w:rFonts w:asciiTheme="majorHAnsi" w:hAnsiTheme="majorHAnsi" w:cstheme="majorHAnsi"/>
                <w:szCs w:val="20"/>
                <w:lang w:val="en-US"/>
              </w:rPr>
            </w:pPr>
          </w:p>
        </w:tc>
        <w:tc>
          <w:tcPr>
            <w:tcW w:w="1995" w:type="dxa"/>
            <w:tcBorders>
              <w:top w:val="nil"/>
              <w:left w:val="nil"/>
              <w:bottom w:val="single" w:sz="4" w:space="0" w:color="auto"/>
              <w:right w:val="double" w:sz="6" w:space="0" w:color="auto"/>
            </w:tcBorders>
            <w:noWrap/>
            <w:vAlign w:val="bottom"/>
          </w:tcPr>
          <w:p w14:paraId="52747433" w14:textId="318B5D90" w:rsidR="00B64EB4" w:rsidRDefault="00B64EB4" w:rsidP="00B64EB4">
            <w:pPr>
              <w:jc w:val="center"/>
              <w:rPr>
                <w:rFonts w:asciiTheme="majorHAnsi" w:hAnsiTheme="majorHAnsi" w:cstheme="majorHAnsi"/>
                <w:szCs w:val="20"/>
                <w:lang w:val="en-US"/>
              </w:rPr>
            </w:pPr>
          </w:p>
        </w:tc>
        <w:tc>
          <w:tcPr>
            <w:tcW w:w="1995" w:type="dxa"/>
            <w:tcBorders>
              <w:top w:val="nil"/>
              <w:left w:val="nil"/>
              <w:bottom w:val="single" w:sz="4" w:space="0" w:color="auto"/>
              <w:right w:val="single" w:sz="4" w:space="0" w:color="auto"/>
            </w:tcBorders>
            <w:noWrap/>
            <w:vAlign w:val="bottom"/>
            <w:hideMark/>
          </w:tcPr>
          <w:p w14:paraId="589AA6DC" w14:textId="57A6797A" w:rsidR="00B64EB4" w:rsidRDefault="00B64EB4" w:rsidP="00B64EB4">
            <w:pPr>
              <w:jc w:val="center"/>
              <w:rPr>
                <w:rFonts w:asciiTheme="majorHAnsi" w:hAnsiTheme="majorHAnsi" w:cstheme="majorHAnsi"/>
                <w:szCs w:val="20"/>
                <w:lang w:val="en-US"/>
              </w:rPr>
            </w:pPr>
            <w:r>
              <w:rPr>
                <w:rFonts w:cs="Arial"/>
              </w:rPr>
              <w:t>5 200</w:t>
            </w:r>
          </w:p>
        </w:tc>
        <w:tc>
          <w:tcPr>
            <w:tcW w:w="1995" w:type="dxa"/>
            <w:tcBorders>
              <w:top w:val="nil"/>
              <w:left w:val="nil"/>
              <w:bottom w:val="single" w:sz="4" w:space="0" w:color="auto"/>
              <w:right w:val="single" w:sz="4" w:space="0" w:color="auto"/>
            </w:tcBorders>
            <w:noWrap/>
            <w:vAlign w:val="bottom"/>
            <w:hideMark/>
          </w:tcPr>
          <w:p w14:paraId="40003A10" w14:textId="146FB1F5" w:rsidR="00B64EB4" w:rsidRDefault="00B64EB4" w:rsidP="00B64EB4">
            <w:pPr>
              <w:jc w:val="center"/>
              <w:rPr>
                <w:rFonts w:asciiTheme="majorHAnsi" w:hAnsiTheme="majorHAnsi" w:cstheme="majorHAnsi"/>
                <w:szCs w:val="20"/>
                <w:lang w:val="en-US"/>
              </w:rPr>
            </w:pPr>
            <w:r>
              <w:rPr>
                <w:rFonts w:cs="Arial"/>
              </w:rPr>
              <w:t>26</w:t>
            </w:r>
          </w:p>
        </w:tc>
      </w:tr>
      <w:tr w:rsidR="00B64EB4" w14:paraId="2ABE0D6A" w14:textId="77777777" w:rsidTr="00B64EB4">
        <w:trPr>
          <w:trHeight w:val="255"/>
        </w:trPr>
        <w:tc>
          <w:tcPr>
            <w:tcW w:w="1080" w:type="dxa"/>
            <w:tcBorders>
              <w:top w:val="nil"/>
              <w:left w:val="single" w:sz="4" w:space="0" w:color="auto"/>
              <w:bottom w:val="single" w:sz="4" w:space="0" w:color="auto"/>
              <w:right w:val="single" w:sz="4" w:space="0" w:color="auto"/>
            </w:tcBorders>
            <w:noWrap/>
            <w:vAlign w:val="bottom"/>
            <w:hideMark/>
          </w:tcPr>
          <w:p w14:paraId="6168A39A" w14:textId="77777777" w:rsidR="00B64EB4" w:rsidRDefault="00B64EB4" w:rsidP="00B64EB4">
            <w:pPr>
              <w:tabs>
                <w:tab w:val="left" w:pos="9356"/>
              </w:tabs>
              <w:jc w:val="both"/>
              <w:rPr>
                <w:rFonts w:asciiTheme="majorHAnsi" w:eastAsia="Times New Roman" w:hAnsiTheme="majorHAnsi" w:cstheme="majorHAnsi"/>
                <w:b/>
                <w:bCs/>
                <w:szCs w:val="20"/>
                <w:lang w:val="en-US" w:eastAsia="sk-SK"/>
              </w:rPr>
            </w:pPr>
            <w:r>
              <w:rPr>
                <w:rFonts w:asciiTheme="majorHAnsi" w:eastAsia="Times New Roman" w:hAnsiTheme="majorHAnsi" w:cstheme="majorHAnsi"/>
                <w:b/>
                <w:bCs/>
                <w:szCs w:val="20"/>
                <w:lang w:val="en-US" w:eastAsia="sk-SK"/>
              </w:rPr>
              <w:t>FEI</w:t>
            </w:r>
          </w:p>
        </w:tc>
        <w:tc>
          <w:tcPr>
            <w:tcW w:w="1995" w:type="dxa"/>
            <w:tcBorders>
              <w:top w:val="nil"/>
              <w:left w:val="nil"/>
              <w:bottom w:val="single" w:sz="4" w:space="0" w:color="auto"/>
              <w:right w:val="single" w:sz="4" w:space="0" w:color="auto"/>
            </w:tcBorders>
            <w:noWrap/>
            <w:vAlign w:val="bottom"/>
          </w:tcPr>
          <w:p w14:paraId="06592995" w14:textId="12DFB009" w:rsidR="00B64EB4" w:rsidRDefault="00B64EB4" w:rsidP="00B64EB4">
            <w:pPr>
              <w:jc w:val="center"/>
              <w:rPr>
                <w:rFonts w:asciiTheme="majorHAnsi" w:hAnsiTheme="majorHAnsi" w:cstheme="majorHAnsi"/>
                <w:szCs w:val="20"/>
                <w:lang w:val="en-US"/>
              </w:rPr>
            </w:pPr>
          </w:p>
        </w:tc>
        <w:tc>
          <w:tcPr>
            <w:tcW w:w="1995" w:type="dxa"/>
            <w:tcBorders>
              <w:top w:val="nil"/>
              <w:left w:val="nil"/>
              <w:bottom w:val="single" w:sz="4" w:space="0" w:color="auto"/>
              <w:right w:val="double" w:sz="6" w:space="0" w:color="auto"/>
            </w:tcBorders>
            <w:noWrap/>
            <w:vAlign w:val="bottom"/>
          </w:tcPr>
          <w:p w14:paraId="259CFC6B" w14:textId="3D0F6698" w:rsidR="00B64EB4" w:rsidRDefault="00B64EB4" w:rsidP="00B64EB4">
            <w:pPr>
              <w:jc w:val="center"/>
              <w:rPr>
                <w:rFonts w:asciiTheme="majorHAnsi" w:hAnsiTheme="majorHAnsi" w:cstheme="majorHAnsi"/>
                <w:szCs w:val="20"/>
                <w:lang w:val="en-US"/>
              </w:rPr>
            </w:pPr>
          </w:p>
        </w:tc>
        <w:tc>
          <w:tcPr>
            <w:tcW w:w="1995" w:type="dxa"/>
            <w:tcBorders>
              <w:top w:val="nil"/>
              <w:left w:val="nil"/>
              <w:bottom w:val="single" w:sz="4" w:space="0" w:color="auto"/>
              <w:right w:val="single" w:sz="4" w:space="0" w:color="auto"/>
            </w:tcBorders>
            <w:noWrap/>
            <w:vAlign w:val="bottom"/>
            <w:hideMark/>
          </w:tcPr>
          <w:p w14:paraId="128C4CB2" w14:textId="1A23B401" w:rsidR="00B64EB4" w:rsidRDefault="00B64EB4" w:rsidP="00B64EB4">
            <w:pPr>
              <w:jc w:val="center"/>
              <w:rPr>
                <w:rFonts w:asciiTheme="majorHAnsi" w:hAnsiTheme="majorHAnsi" w:cstheme="majorHAnsi"/>
                <w:szCs w:val="20"/>
                <w:lang w:val="en-US"/>
              </w:rPr>
            </w:pPr>
            <w:r>
              <w:rPr>
                <w:rFonts w:cs="Arial"/>
              </w:rPr>
              <w:t>11 400</w:t>
            </w:r>
          </w:p>
        </w:tc>
        <w:tc>
          <w:tcPr>
            <w:tcW w:w="1995" w:type="dxa"/>
            <w:tcBorders>
              <w:top w:val="nil"/>
              <w:left w:val="nil"/>
              <w:bottom w:val="single" w:sz="4" w:space="0" w:color="auto"/>
              <w:right w:val="single" w:sz="4" w:space="0" w:color="auto"/>
            </w:tcBorders>
            <w:noWrap/>
            <w:vAlign w:val="bottom"/>
            <w:hideMark/>
          </w:tcPr>
          <w:p w14:paraId="2B670881" w14:textId="04AC9646" w:rsidR="00B64EB4" w:rsidRDefault="00B64EB4" w:rsidP="00B64EB4">
            <w:pPr>
              <w:jc w:val="center"/>
              <w:rPr>
                <w:rFonts w:asciiTheme="majorHAnsi" w:hAnsiTheme="majorHAnsi" w:cstheme="majorHAnsi"/>
                <w:szCs w:val="20"/>
                <w:lang w:val="en-US"/>
              </w:rPr>
            </w:pPr>
            <w:r>
              <w:rPr>
                <w:rFonts w:cs="Arial"/>
              </w:rPr>
              <w:t>57</w:t>
            </w:r>
          </w:p>
        </w:tc>
      </w:tr>
      <w:tr w:rsidR="00B64EB4" w14:paraId="684C6CAB" w14:textId="77777777" w:rsidTr="00B64EB4">
        <w:trPr>
          <w:trHeight w:val="255"/>
        </w:trPr>
        <w:tc>
          <w:tcPr>
            <w:tcW w:w="1080" w:type="dxa"/>
            <w:tcBorders>
              <w:top w:val="nil"/>
              <w:left w:val="single" w:sz="4" w:space="0" w:color="auto"/>
              <w:bottom w:val="single" w:sz="4" w:space="0" w:color="auto"/>
              <w:right w:val="single" w:sz="4" w:space="0" w:color="auto"/>
            </w:tcBorders>
            <w:noWrap/>
            <w:vAlign w:val="bottom"/>
            <w:hideMark/>
          </w:tcPr>
          <w:p w14:paraId="58155919" w14:textId="77777777" w:rsidR="00B64EB4" w:rsidRDefault="00B64EB4" w:rsidP="00B64EB4">
            <w:pPr>
              <w:tabs>
                <w:tab w:val="left" w:pos="9356"/>
              </w:tabs>
              <w:jc w:val="both"/>
              <w:rPr>
                <w:rFonts w:asciiTheme="majorHAnsi" w:eastAsia="Times New Roman" w:hAnsiTheme="majorHAnsi" w:cstheme="majorHAnsi"/>
                <w:b/>
                <w:bCs/>
                <w:szCs w:val="20"/>
                <w:lang w:val="en-US" w:eastAsia="sk-SK"/>
              </w:rPr>
            </w:pPr>
            <w:r>
              <w:rPr>
                <w:rFonts w:asciiTheme="majorHAnsi" w:eastAsia="Times New Roman" w:hAnsiTheme="majorHAnsi" w:cstheme="majorHAnsi"/>
                <w:b/>
                <w:bCs/>
                <w:szCs w:val="20"/>
                <w:lang w:val="en-US" w:eastAsia="sk-SK"/>
              </w:rPr>
              <w:t>FCHPT</w:t>
            </w:r>
          </w:p>
        </w:tc>
        <w:tc>
          <w:tcPr>
            <w:tcW w:w="1995" w:type="dxa"/>
            <w:tcBorders>
              <w:top w:val="nil"/>
              <w:left w:val="nil"/>
              <w:bottom w:val="single" w:sz="4" w:space="0" w:color="auto"/>
              <w:right w:val="single" w:sz="4" w:space="0" w:color="auto"/>
            </w:tcBorders>
            <w:noWrap/>
            <w:vAlign w:val="bottom"/>
            <w:hideMark/>
          </w:tcPr>
          <w:p w14:paraId="4607F9C2" w14:textId="6357F353" w:rsidR="00B64EB4" w:rsidRDefault="00B64EB4" w:rsidP="00B64EB4">
            <w:pPr>
              <w:jc w:val="center"/>
              <w:rPr>
                <w:rFonts w:asciiTheme="majorHAnsi" w:hAnsiTheme="majorHAnsi" w:cstheme="majorHAnsi"/>
                <w:szCs w:val="20"/>
                <w:lang w:val="en-US"/>
              </w:rPr>
            </w:pPr>
            <w:r>
              <w:rPr>
                <w:rFonts w:cs="Arial"/>
              </w:rPr>
              <w:t>17 800</w:t>
            </w:r>
          </w:p>
        </w:tc>
        <w:tc>
          <w:tcPr>
            <w:tcW w:w="1995" w:type="dxa"/>
            <w:tcBorders>
              <w:top w:val="nil"/>
              <w:left w:val="nil"/>
              <w:bottom w:val="single" w:sz="4" w:space="0" w:color="auto"/>
              <w:right w:val="double" w:sz="6" w:space="0" w:color="auto"/>
            </w:tcBorders>
            <w:noWrap/>
            <w:vAlign w:val="bottom"/>
            <w:hideMark/>
          </w:tcPr>
          <w:p w14:paraId="3B0573F9" w14:textId="7053EA71" w:rsidR="00B64EB4" w:rsidRDefault="00B64EB4" w:rsidP="00B64EB4">
            <w:pPr>
              <w:jc w:val="center"/>
              <w:rPr>
                <w:rFonts w:asciiTheme="majorHAnsi" w:hAnsiTheme="majorHAnsi" w:cstheme="majorHAnsi"/>
                <w:szCs w:val="20"/>
                <w:lang w:val="en-US"/>
              </w:rPr>
            </w:pPr>
            <w:r>
              <w:rPr>
                <w:rFonts w:cs="Arial"/>
              </w:rPr>
              <w:t>89</w:t>
            </w:r>
          </w:p>
        </w:tc>
        <w:tc>
          <w:tcPr>
            <w:tcW w:w="1995" w:type="dxa"/>
            <w:tcBorders>
              <w:top w:val="nil"/>
              <w:left w:val="nil"/>
              <w:bottom w:val="single" w:sz="4" w:space="0" w:color="auto"/>
              <w:right w:val="single" w:sz="4" w:space="0" w:color="auto"/>
            </w:tcBorders>
            <w:noWrap/>
            <w:vAlign w:val="bottom"/>
          </w:tcPr>
          <w:p w14:paraId="5B3EF1E5" w14:textId="725B303A" w:rsidR="00B64EB4" w:rsidRDefault="00B64EB4" w:rsidP="00B64EB4">
            <w:pPr>
              <w:jc w:val="center"/>
              <w:rPr>
                <w:rFonts w:asciiTheme="majorHAnsi" w:hAnsiTheme="majorHAnsi" w:cstheme="majorHAnsi"/>
                <w:szCs w:val="20"/>
                <w:lang w:val="en-US"/>
              </w:rPr>
            </w:pPr>
          </w:p>
        </w:tc>
        <w:tc>
          <w:tcPr>
            <w:tcW w:w="1995" w:type="dxa"/>
            <w:tcBorders>
              <w:top w:val="nil"/>
              <w:left w:val="nil"/>
              <w:bottom w:val="single" w:sz="4" w:space="0" w:color="auto"/>
              <w:right w:val="single" w:sz="4" w:space="0" w:color="auto"/>
            </w:tcBorders>
            <w:noWrap/>
            <w:vAlign w:val="bottom"/>
          </w:tcPr>
          <w:p w14:paraId="18D2C140" w14:textId="2B9AF2A3" w:rsidR="00B64EB4" w:rsidRDefault="00B64EB4" w:rsidP="00B64EB4">
            <w:pPr>
              <w:jc w:val="center"/>
              <w:rPr>
                <w:rFonts w:asciiTheme="majorHAnsi" w:hAnsiTheme="majorHAnsi" w:cstheme="majorHAnsi"/>
                <w:szCs w:val="20"/>
                <w:lang w:val="en-US"/>
              </w:rPr>
            </w:pPr>
          </w:p>
        </w:tc>
      </w:tr>
      <w:tr w:rsidR="00B64EB4" w14:paraId="468BD39B" w14:textId="77777777" w:rsidTr="00B64EB4">
        <w:trPr>
          <w:trHeight w:val="255"/>
        </w:trPr>
        <w:tc>
          <w:tcPr>
            <w:tcW w:w="1080" w:type="dxa"/>
            <w:tcBorders>
              <w:top w:val="nil"/>
              <w:left w:val="single" w:sz="4" w:space="0" w:color="auto"/>
              <w:bottom w:val="single" w:sz="4" w:space="0" w:color="auto"/>
              <w:right w:val="single" w:sz="4" w:space="0" w:color="auto"/>
            </w:tcBorders>
            <w:noWrap/>
            <w:vAlign w:val="bottom"/>
            <w:hideMark/>
          </w:tcPr>
          <w:p w14:paraId="56F1D3B5" w14:textId="77777777" w:rsidR="00B64EB4" w:rsidRDefault="00B64EB4" w:rsidP="00B64EB4">
            <w:pPr>
              <w:tabs>
                <w:tab w:val="left" w:pos="9356"/>
              </w:tabs>
              <w:jc w:val="both"/>
              <w:rPr>
                <w:rFonts w:asciiTheme="majorHAnsi" w:eastAsia="Times New Roman" w:hAnsiTheme="majorHAnsi" w:cstheme="majorHAnsi"/>
                <w:b/>
                <w:bCs/>
                <w:szCs w:val="20"/>
                <w:lang w:val="en-US" w:eastAsia="sk-SK"/>
              </w:rPr>
            </w:pPr>
            <w:r>
              <w:rPr>
                <w:rFonts w:asciiTheme="majorHAnsi" w:eastAsia="Times New Roman" w:hAnsiTheme="majorHAnsi" w:cstheme="majorHAnsi"/>
                <w:b/>
                <w:bCs/>
                <w:szCs w:val="20"/>
                <w:lang w:val="en-US" w:eastAsia="sk-SK"/>
              </w:rPr>
              <w:t>FAD</w:t>
            </w:r>
          </w:p>
        </w:tc>
        <w:tc>
          <w:tcPr>
            <w:tcW w:w="1995" w:type="dxa"/>
            <w:tcBorders>
              <w:top w:val="nil"/>
              <w:left w:val="nil"/>
              <w:bottom w:val="single" w:sz="4" w:space="0" w:color="auto"/>
              <w:right w:val="single" w:sz="4" w:space="0" w:color="auto"/>
            </w:tcBorders>
            <w:noWrap/>
            <w:vAlign w:val="bottom"/>
          </w:tcPr>
          <w:p w14:paraId="16539CB3" w14:textId="4C77733B" w:rsidR="00B64EB4" w:rsidRDefault="00B64EB4" w:rsidP="00B64EB4">
            <w:pPr>
              <w:jc w:val="center"/>
              <w:rPr>
                <w:rFonts w:asciiTheme="majorHAnsi" w:hAnsiTheme="majorHAnsi" w:cstheme="majorHAnsi"/>
                <w:szCs w:val="20"/>
                <w:lang w:val="en-US"/>
              </w:rPr>
            </w:pPr>
          </w:p>
        </w:tc>
        <w:tc>
          <w:tcPr>
            <w:tcW w:w="1995" w:type="dxa"/>
            <w:tcBorders>
              <w:top w:val="nil"/>
              <w:left w:val="nil"/>
              <w:bottom w:val="single" w:sz="4" w:space="0" w:color="auto"/>
              <w:right w:val="double" w:sz="6" w:space="0" w:color="auto"/>
            </w:tcBorders>
            <w:noWrap/>
            <w:vAlign w:val="bottom"/>
          </w:tcPr>
          <w:p w14:paraId="20AF3F9E" w14:textId="2A710271" w:rsidR="00B64EB4" w:rsidRDefault="00B64EB4" w:rsidP="00B64EB4">
            <w:pPr>
              <w:jc w:val="center"/>
              <w:rPr>
                <w:rFonts w:asciiTheme="majorHAnsi" w:hAnsiTheme="majorHAnsi" w:cstheme="majorHAnsi"/>
                <w:szCs w:val="20"/>
                <w:lang w:val="en-US"/>
              </w:rPr>
            </w:pPr>
          </w:p>
        </w:tc>
        <w:tc>
          <w:tcPr>
            <w:tcW w:w="1995" w:type="dxa"/>
            <w:tcBorders>
              <w:top w:val="nil"/>
              <w:left w:val="nil"/>
              <w:bottom w:val="single" w:sz="4" w:space="0" w:color="auto"/>
              <w:right w:val="single" w:sz="4" w:space="0" w:color="auto"/>
            </w:tcBorders>
            <w:noWrap/>
            <w:vAlign w:val="bottom"/>
            <w:hideMark/>
          </w:tcPr>
          <w:p w14:paraId="7E2859E6" w14:textId="46C49443" w:rsidR="00B64EB4" w:rsidRDefault="00B64EB4" w:rsidP="00B64EB4">
            <w:pPr>
              <w:jc w:val="center"/>
              <w:rPr>
                <w:rFonts w:asciiTheme="majorHAnsi" w:hAnsiTheme="majorHAnsi" w:cstheme="majorHAnsi"/>
                <w:szCs w:val="20"/>
                <w:lang w:val="en-US"/>
              </w:rPr>
            </w:pPr>
            <w:r>
              <w:rPr>
                <w:rFonts w:cs="Arial"/>
              </w:rPr>
              <w:t>2 600</w:t>
            </w:r>
          </w:p>
        </w:tc>
        <w:tc>
          <w:tcPr>
            <w:tcW w:w="1995" w:type="dxa"/>
            <w:tcBorders>
              <w:top w:val="nil"/>
              <w:left w:val="nil"/>
              <w:bottom w:val="single" w:sz="4" w:space="0" w:color="auto"/>
              <w:right w:val="single" w:sz="4" w:space="0" w:color="auto"/>
            </w:tcBorders>
            <w:noWrap/>
            <w:vAlign w:val="bottom"/>
            <w:hideMark/>
          </w:tcPr>
          <w:p w14:paraId="6D0DD406" w14:textId="74CD8169" w:rsidR="00B64EB4" w:rsidRDefault="00B64EB4" w:rsidP="00B64EB4">
            <w:pPr>
              <w:jc w:val="center"/>
              <w:rPr>
                <w:rFonts w:asciiTheme="majorHAnsi" w:hAnsiTheme="majorHAnsi" w:cstheme="majorHAnsi"/>
                <w:szCs w:val="20"/>
                <w:lang w:val="en-US"/>
              </w:rPr>
            </w:pPr>
            <w:r>
              <w:rPr>
                <w:rFonts w:cs="Arial"/>
              </w:rPr>
              <w:t>13</w:t>
            </w:r>
          </w:p>
        </w:tc>
      </w:tr>
      <w:tr w:rsidR="00B64EB4" w14:paraId="4131402C" w14:textId="77777777" w:rsidTr="00B64EB4">
        <w:trPr>
          <w:trHeight w:val="255"/>
        </w:trPr>
        <w:tc>
          <w:tcPr>
            <w:tcW w:w="1080" w:type="dxa"/>
            <w:tcBorders>
              <w:top w:val="nil"/>
              <w:left w:val="single" w:sz="4" w:space="0" w:color="auto"/>
              <w:bottom w:val="single" w:sz="4" w:space="0" w:color="auto"/>
              <w:right w:val="single" w:sz="4" w:space="0" w:color="auto"/>
            </w:tcBorders>
            <w:noWrap/>
            <w:vAlign w:val="bottom"/>
            <w:hideMark/>
          </w:tcPr>
          <w:p w14:paraId="7D41AAA9" w14:textId="77777777" w:rsidR="00B64EB4" w:rsidRDefault="00B64EB4" w:rsidP="00B64EB4">
            <w:pPr>
              <w:tabs>
                <w:tab w:val="left" w:pos="9356"/>
              </w:tabs>
              <w:jc w:val="both"/>
              <w:rPr>
                <w:rFonts w:asciiTheme="majorHAnsi" w:eastAsia="Times New Roman" w:hAnsiTheme="majorHAnsi" w:cstheme="majorHAnsi"/>
                <w:b/>
                <w:bCs/>
                <w:szCs w:val="20"/>
                <w:lang w:val="en-US" w:eastAsia="sk-SK"/>
              </w:rPr>
            </w:pPr>
            <w:r>
              <w:rPr>
                <w:rFonts w:asciiTheme="majorHAnsi" w:eastAsia="Times New Roman" w:hAnsiTheme="majorHAnsi" w:cstheme="majorHAnsi"/>
                <w:b/>
                <w:bCs/>
                <w:szCs w:val="20"/>
                <w:lang w:val="en-US" w:eastAsia="sk-SK"/>
              </w:rPr>
              <w:t>MTF</w:t>
            </w:r>
          </w:p>
        </w:tc>
        <w:tc>
          <w:tcPr>
            <w:tcW w:w="1995" w:type="dxa"/>
            <w:tcBorders>
              <w:top w:val="nil"/>
              <w:left w:val="nil"/>
              <w:bottom w:val="single" w:sz="4" w:space="0" w:color="auto"/>
              <w:right w:val="single" w:sz="4" w:space="0" w:color="auto"/>
            </w:tcBorders>
            <w:noWrap/>
            <w:vAlign w:val="bottom"/>
          </w:tcPr>
          <w:p w14:paraId="5B3D0EED" w14:textId="2FEC32BE" w:rsidR="00B64EB4" w:rsidRDefault="00B64EB4" w:rsidP="00B64EB4">
            <w:pPr>
              <w:jc w:val="center"/>
              <w:rPr>
                <w:rFonts w:asciiTheme="majorHAnsi" w:hAnsiTheme="majorHAnsi" w:cstheme="majorHAnsi"/>
                <w:szCs w:val="20"/>
                <w:lang w:val="en-US"/>
              </w:rPr>
            </w:pPr>
          </w:p>
        </w:tc>
        <w:tc>
          <w:tcPr>
            <w:tcW w:w="1995" w:type="dxa"/>
            <w:tcBorders>
              <w:top w:val="nil"/>
              <w:left w:val="nil"/>
              <w:bottom w:val="single" w:sz="4" w:space="0" w:color="auto"/>
              <w:right w:val="double" w:sz="6" w:space="0" w:color="auto"/>
            </w:tcBorders>
            <w:noWrap/>
            <w:vAlign w:val="bottom"/>
          </w:tcPr>
          <w:p w14:paraId="50728BEA" w14:textId="1D8C7188" w:rsidR="00B64EB4" w:rsidRDefault="00B64EB4" w:rsidP="00B64EB4">
            <w:pPr>
              <w:jc w:val="center"/>
              <w:rPr>
                <w:rFonts w:asciiTheme="majorHAnsi" w:hAnsiTheme="majorHAnsi" w:cstheme="majorHAnsi"/>
                <w:szCs w:val="20"/>
                <w:lang w:val="en-US"/>
              </w:rPr>
            </w:pPr>
          </w:p>
        </w:tc>
        <w:tc>
          <w:tcPr>
            <w:tcW w:w="1995" w:type="dxa"/>
            <w:tcBorders>
              <w:top w:val="nil"/>
              <w:left w:val="nil"/>
              <w:bottom w:val="single" w:sz="4" w:space="0" w:color="auto"/>
              <w:right w:val="single" w:sz="4" w:space="0" w:color="auto"/>
            </w:tcBorders>
            <w:noWrap/>
            <w:vAlign w:val="bottom"/>
            <w:hideMark/>
          </w:tcPr>
          <w:p w14:paraId="556E6679" w14:textId="468DA01E" w:rsidR="00B64EB4" w:rsidRDefault="00B64EB4" w:rsidP="00B64EB4">
            <w:pPr>
              <w:jc w:val="center"/>
              <w:rPr>
                <w:rFonts w:asciiTheme="majorHAnsi" w:hAnsiTheme="majorHAnsi" w:cstheme="majorHAnsi"/>
                <w:szCs w:val="20"/>
                <w:lang w:val="en-US"/>
              </w:rPr>
            </w:pPr>
            <w:r>
              <w:rPr>
                <w:rFonts w:cs="Arial"/>
              </w:rPr>
              <w:t>4 320</w:t>
            </w:r>
          </w:p>
        </w:tc>
        <w:tc>
          <w:tcPr>
            <w:tcW w:w="1995" w:type="dxa"/>
            <w:tcBorders>
              <w:top w:val="nil"/>
              <w:left w:val="nil"/>
              <w:bottom w:val="single" w:sz="4" w:space="0" w:color="auto"/>
              <w:right w:val="single" w:sz="4" w:space="0" w:color="auto"/>
            </w:tcBorders>
            <w:noWrap/>
            <w:vAlign w:val="bottom"/>
            <w:hideMark/>
          </w:tcPr>
          <w:p w14:paraId="075E2154" w14:textId="5900CF03" w:rsidR="00B64EB4" w:rsidRDefault="00B64EB4" w:rsidP="00B64EB4">
            <w:pPr>
              <w:jc w:val="center"/>
              <w:rPr>
                <w:rFonts w:asciiTheme="majorHAnsi" w:hAnsiTheme="majorHAnsi" w:cstheme="majorHAnsi"/>
                <w:szCs w:val="20"/>
                <w:lang w:val="en-US"/>
              </w:rPr>
            </w:pPr>
            <w:r>
              <w:rPr>
                <w:rFonts w:cs="Arial"/>
              </w:rPr>
              <w:t>9</w:t>
            </w:r>
          </w:p>
        </w:tc>
      </w:tr>
      <w:tr w:rsidR="00B64EB4" w14:paraId="1CE70900" w14:textId="77777777" w:rsidTr="00B64EB4">
        <w:trPr>
          <w:trHeight w:val="255"/>
        </w:trPr>
        <w:tc>
          <w:tcPr>
            <w:tcW w:w="1080" w:type="dxa"/>
            <w:tcBorders>
              <w:top w:val="nil"/>
              <w:left w:val="single" w:sz="4" w:space="0" w:color="auto"/>
              <w:bottom w:val="single" w:sz="4" w:space="0" w:color="auto"/>
              <w:right w:val="single" w:sz="4" w:space="0" w:color="auto"/>
            </w:tcBorders>
            <w:noWrap/>
            <w:vAlign w:val="bottom"/>
            <w:hideMark/>
          </w:tcPr>
          <w:p w14:paraId="1977BBB7" w14:textId="77777777" w:rsidR="00B64EB4" w:rsidRDefault="00B64EB4" w:rsidP="00B64EB4">
            <w:pPr>
              <w:tabs>
                <w:tab w:val="left" w:pos="9356"/>
              </w:tabs>
              <w:jc w:val="both"/>
              <w:rPr>
                <w:rFonts w:asciiTheme="majorHAnsi" w:eastAsia="Times New Roman" w:hAnsiTheme="majorHAnsi" w:cstheme="majorHAnsi"/>
                <w:b/>
                <w:bCs/>
                <w:szCs w:val="20"/>
                <w:lang w:val="en-US" w:eastAsia="sk-SK"/>
              </w:rPr>
            </w:pPr>
            <w:r>
              <w:rPr>
                <w:rFonts w:asciiTheme="majorHAnsi" w:eastAsia="Times New Roman" w:hAnsiTheme="majorHAnsi" w:cstheme="majorHAnsi"/>
                <w:b/>
                <w:bCs/>
                <w:szCs w:val="20"/>
                <w:lang w:val="en-US" w:eastAsia="sk-SK"/>
              </w:rPr>
              <w:t>FIIT</w:t>
            </w:r>
          </w:p>
        </w:tc>
        <w:tc>
          <w:tcPr>
            <w:tcW w:w="1995" w:type="dxa"/>
            <w:tcBorders>
              <w:top w:val="nil"/>
              <w:left w:val="nil"/>
              <w:bottom w:val="single" w:sz="4" w:space="0" w:color="auto"/>
              <w:right w:val="single" w:sz="4" w:space="0" w:color="auto"/>
            </w:tcBorders>
            <w:noWrap/>
            <w:vAlign w:val="bottom"/>
            <w:hideMark/>
          </w:tcPr>
          <w:p w14:paraId="21692C41" w14:textId="5352842D" w:rsidR="00B64EB4" w:rsidRDefault="00B64EB4" w:rsidP="00B64EB4">
            <w:pPr>
              <w:jc w:val="center"/>
              <w:rPr>
                <w:rFonts w:asciiTheme="majorHAnsi" w:hAnsiTheme="majorHAnsi" w:cstheme="majorHAnsi"/>
                <w:szCs w:val="20"/>
                <w:lang w:val="en-US"/>
              </w:rPr>
            </w:pPr>
            <w:r>
              <w:rPr>
                <w:rFonts w:cs="Arial"/>
              </w:rPr>
              <w:t>6 800</w:t>
            </w:r>
          </w:p>
        </w:tc>
        <w:tc>
          <w:tcPr>
            <w:tcW w:w="1995" w:type="dxa"/>
            <w:tcBorders>
              <w:top w:val="nil"/>
              <w:left w:val="nil"/>
              <w:bottom w:val="single" w:sz="4" w:space="0" w:color="auto"/>
              <w:right w:val="double" w:sz="6" w:space="0" w:color="auto"/>
            </w:tcBorders>
            <w:noWrap/>
            <w:vAlign w:val="bottom"/>
            <w:hideMark/>
          </w:tcPr>
          <w:p w14:paraId="5AD38C1C" w14:textId="2E057358" w:rsidR="00B64EB4" w:rsidRDefault="00B64EB4" w:rsidP="00B64EB4">
            <w:pPr>
              <w:jc w:val="center"/>
              <w:rPr>
                <w:rFonts w:asciiTheme="majorHAnsi" w:hAnsiTheme="majorHAnsi" w:cstheme="majorHAnsi"/>
                <w:szCs w:val="20"/>
                <w:lang w:val="en-US"/>
              </w:rPr>
            </w:pPr>
            <w:r>
              <w:rPr>
                <w:rFonts w:cs="Arial"/>
              </w:rPr>
              <w:t>34</w:t>
            </w:r>
          </w:p>
        </w:tc>
        <w:tc>
          <w:tcPr>
            <w:tcW w:w="1995" w:type="dxa"/>
            <w:tcBorders>
              <w:top w:val="nil"/>
              <w:left w:val="nil"/>
              <w:bottom w:val="single" w:sz="4" w:space="0" w:color="auto"/>
              <w:right w:val="single" w:sz="4" w:space="0" w:color="auto"/>
            </w:tcBorders>
            <w:noWrap/>
            <w:vAlign w:val="bottom"/>
          </w:tcPr>
          <w:p w14:paraId="00B2E77E" w14:textId="1510DA26" w:rsidR="00B64EB4" w:rsidRDefault="00B64EB4" w:rsidP="00B64EB4">
            <w:pPr>
              <w:jc w:val="center"/>
              <w:rPr>
                <w:rFonts w:asciiTheme="majorHAnsi" w:hAnsiTheme="majorHAnsi" w:cstheme="majorHAnsi"/>
                <w:szCs w:val="20"/>
                <w:lang w:val="en-US"/>
              </w:rPr>
            </w:pPr>
          </w:p>
        </w:tc>
        <w:tc>
          <w:tcPr>
            <w:tcW w:w="1995" w:type="dxa"/>
            <w:tcBorders>
              <w:top w:val="nil"/>
              <w:left w:val="nil"/>
              <w:bottom w:val="single" w:sz="4" w:space="0" w:color="auto"/>
              <w:right w:val="single" w:sz="4" w:space="0" w:color="auto"/>
            </w:tcBorders>
            <w:noWrap/>
            <w:vAlign w:val="bottom"/>
          </w:tcPr>
          <w:p w14:paraId="6A676DAA" w14:textId="2F56192F" w:rsidR="00B64EB4" w:rsidRDefault="00B64EB4" w:rsidP="00B64EB4">
            <w:pPr>
              <w:jc w:val="center"/>
              <w:rPr>
                <w:rFonts w:asciiTheme="majorHAnsi" w:hAnsiTheme="majorHAnsi" w:cstheme="majorHAnsi"/>
                <w:szCs w:val="20"/>
                <w:lang w:val="en-US"/>
              </w:rPr>
            </w:pPr>
          </w:p>
        </w:tc>
      </w:tr>
      <w:tr w:rsidR="00B64EB4" w14:paraId="72EFEA69" w14:textId="77777777" w:rsidTr="00B64EB4">
        <w:trPr>
          <w:trHeight w:val="255"/>
        </w:trPr>
        <w:tc>
          <w:tcPr>
            <w:tcW w:w="1080" w:type="dxa"/>
            <w:tcBorders>
              <w:top w:val="nil"/>
              <w:left w:val="single" w:sz="4" w:space="0" w:color="auto"/>
              <w:bottom w:val="single" w:sz="4" w:space="0" w:color="auto"/>
              <w:right w:val="single" w:sz="4" w:space="0" w:color="auto"/>
            </w:tcBorders>
            <w:noWrap/>
            <w:vAlign w:val="bottom"/>
            <w:hideMark/>
          </w:tcPr>
          <w:p w14:paraId="6650F5B4" w14:textId="77777777" w:rsidR="00B64EB4" w:rsidRDefault="00B64EB4" w:rsidP="00B64EB4">
            <w:pPr>
              <w:tabs>
                <w:tab w:val="left" w:pos="9356"/>
              </w:tabs>
              <w:jc w:val="both"/>
              <w:rPr>
                <w:rFonts w:asciiTheme="majorHAnsi" w:eastAsia="Times New Roman" w:hAnsiTheme="majorHAnsi" w:cstheme="majorHAnsi"/>
                <w:b/>
                <w:bCs/>
                <w:szCs w:val="20"/>
                <w:lang w:val="en-US" w:eastAsia="sk-SK"/>
              </w:rPr>
            </w:pPr>
            <w:r>
              <w:rPr>
                <w:rFonts w:asciiTheme="majorHAnsi" w:eastAsia="Times New Roman" w:hAnsiTheme="majorHAnsi" w:cstheme="majorHAnsi"/>
                <w:b/>
                <w:bCs/>
                <w:szCs w:val="20"/>
                <w:lang w:val="en-US" w:eastAsia="sk-SK"/>
              </w:rPr>
              <w:t>ÚM</w:t>
            </w:r>
          </w:p>
        </w:tc>
        <w:tc>
          <w:tcPr>
            <w:tcW w:w="1995" w:type="dxa"/>
            <w:tcBorders>
              <w:top w:val="nil"/>
              <w:left w:val="nil"/>
              <w:bottom w:val="single" w:sz="4" w:space="0" w:color="auto"/>
              <w:right w:val="single" w:sz="4" w:space="0" w:color="auto"/>
            </w:tcBorders>
            <w:noWrap/>
            <w:vAlign w:val="bottom"/>
            <w:hideMark/>
          </w:tcPr>
          <w:p w14:paraId="4AEED6C7" w14:textId="7F59F558" w:rsidR="00B64EB4" w:rsidRDefault="00B64EB4" w:rsidP="00B64EB4">
            <w:pPr>
              <w:jc w:val="center"/>
              <w:rPr>
                <w:rFonts w:asciiTheme="majorHAnsi" w:hAnsiTheme="majorHAnsi" w:cstheme="majorHAnsi"/>
                <w:szCs w:val="20"/>
                <w:lang w:val="en-US"/>
              </w:rPr>
            </w:pPr>
            <w:r>
              <w:rPr>
                <w:rFonts w:cs="Arial"/>
              </w:rPr>
              <w:t>1 350</w:t>
            </w:r>
          </w:p>
        </w:tc>
        <w:tc>
          <w:tcPr>
            <w:tcW w:w="1995" w:type="dxa"/>
            <w:tcBorders>
              <w:top w:val="nil"/>
              <w:left w:val="nil"/>
              <w:bottom w:val="single" w:sz="4" w:space="0" w:color="auto"/>
              <w:right w:val="double" w:sz="6" w:space="0" w:color="auto"/>
            </w:tcBorders>
            <w:noWrap/>
            <w:vAlign w:val="bottom"/>
            <w:hideMark/>
          </w:tcPr>
          <w:p w14:paraId="47B268B5" w14:textId="0661F788" w:rsidR="00B64EB4" w:rsidRDefault="00B64EB4" w:rsidP="00B64EB4">
            <w:pPr>
              <w:jc w:val="center"/>
              <w:rPr>
                <w:rFonts w:asciiTheme="majorHAnsi" w:hAnsiTheme="majorHAnsi" w:cstheme="majorHAnsi"/>
                <w:szCs w:val="20"/>
                <w:lang w:val="en-US"/>
              </w:rPr>
            </w:pPr>
            <w:r>
              <w:rPr>
                <w:rFonts w:cs="Arial"/>
              </w:rPr>
              <w:t>15</w:t>
            </w:r>
          </w:p>
        </w:tc>
        <w:tc>
          <w:tcPr>
            <w:tcW w:w="1995" w:type="dxa"/>
            <w:tcBorders>
              <w:top w:val="nil"/>
              <w:left w:val="nil"/>
              <w:bottom w:val="single" w:sz="4" w:space="0" w:color="auto"/>
              <w:right w:val="single" w:sz="4" w:space="0" w:color="auto"/>
            </w:tcBorders>
            <w:noWrap/>
            <w:vAlign w:val="bottom"/>
          </w:tcPr>
          <w:p w14:paraId="2267CE7C" w14:textId="4BA125F5" w:rsidR="00B64EB4" w:rsidRDefault="00B64EB4" w:rsidP="00B64EB4">
            <w:pPr>
              <w:jc w:val="center"/>
              <w:rPr>
                <w:rFonts w:asciiTheme="majorHAnsi" w:hAnsiTheme="majorHAnsi" w:cstheme="majorHAnsi"/>
                <w:szCs w:val="20"/>
                <w:lang w:val="en-US"/>
              </w:rPr>
            </w:pPr>
          </w:p>
        </w:tc>
        <w:tc>
          <w:tcPr>
            <w:tcW w:w="1995" w:type="dxa"/>
            <w:tcBorders>
              <w:top w:val="nil"/>
              <w:left w:val="nil"/>
              <w:bottom w:val="single" w:sz="4" w:space="0" w:color="auto"/>
              <w:right w:val="single" w:sz="4" w:space="0" w:color="auto"/>
            </w:tcBorders>
            <w:noWrap/>
            <w:vAlign w:val="bottom"/>
          </w:tcPr>
          <w:p w14:paraId="03691FA7" w14:textId="428D8E84" w:rsidR="00B64EB4" w:rsidRDefault="00B64EB4" w:rsidP="00B64EB4">
            <w:pPr>
              <w:jc w:val="center"/>
              <w:rPr>
                <w:rFonts w:asciiTheme="majorHAnsi" w:hAnsiTheme="majorHAnsi" w:cstheme="majorHAnsi"/>
                <w:szCs w:val="20"/>
                <w:lang w:val="en-US"/>
              </w:rPr>
            </w:pPr>
          </w:p>
        </w:tc>
      </w:tr>
      <w:tr w:rsidR="00B64EB4" w14:paraId="34327A73" w14:textId="77777777" w:rsidTr="0060123E">
        <w:trPr>
          <w:trHeight w:val="255"/>
        </w:trPr>
        <w:tc>
          <w:tcPr>
            <w:tcW w:w="1080"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7900A671" w14:textId="77777777" w:rsidR="00B64EB4" w:rsidRDefault="00B64EB4" w:rsidP="00B64EB4">
            <w:pPr>
              <w:tabs>
                <w:tab w:val="left" w:pos="9356"/>
              </w:tabs>
              <w:jc w:val="both"/>
              <w:rPr>
                <w:rFonts w:asciiTheme="majorHAnsi" w:eastAsia="Times New Roman" w:hAnsiTheme="majorHAnsi" w:cstheme="majorHAnsi"/>
                <w:b/>
                <w:bCs/>
                <w:szCs w:val="20"/>
                <w:lang w:val="en-US" w:eastAsia="sk-SK"/>
              </w:rPr>
            </w:pPr>
            <w:r w:rsidRPr="007F4EA0">
              <w:rPr>
                <w:rFonts w:asciiTheme="majorHAnsi" w:eastAsia="Times New Roman" w:hAnsiTheme="majorHAnsi" w:cstheme="majorHAnsi"/>
                <w:b/>
                <w:bCs/>
                <w:szCs w:val="20"/>
                <w:lang w:eastAsia="sk-SK"/>
              </w:rPr>
              <w:t>Spolu</w:t>
            </w:r>
          </w:p>
        </w:tc>
        <w:tc>
          <w:tcPr>
            <w:tcW w:w="1995" w:type="dxa"/>
            <w:tcBorders>
              <w:top w:val="nil"/>
              <w:left w:val="nil"/>
              <w:bottom w:val="single" w:sz="4" w:space="0" w:color="auto"/>
              <w:right w:val="single" w:sz="4" w:space="0" w:color="auto"/>
            </w:tcBorders>
            <w:shd w:val="clear" w:color="auto" w:fill="EEECE1" w:themeFill="background2"/>
            <w:noWrap/>
            <w:vAlign w:val="bottom"/>
            <w:hideMark/>
          </w:tcPr>
          <w:p w14:paraId="28FE3743" w14:textId="2E7FFEBF" w:rsidR="00B64EB4" w:rsidRDefault="00B64EB4" w:rsidP="00B64EB4">
            <w:pPr>
              <w:jc w:val="center"/>
              <w:rPr>
                <w:rFonts w:asciiTheme="majorHAnsi" w:hAnsiTheme="majorHAnsi" w:cstheme="majorHAnsi"/>
                <w:b/>
                <w:bCs/>
                <w:szCs w:val="20"/>
                <w:lang w:val="en-US"/>
              </w:rPr>
            </w:pPr>
            <w:r>
              <w:rPr>
                <w:rFonts w:cs="Arial"/>
                <w:b/>
                <w:bCs/>
              </w:rPr>
              <w:t>45 450</w:t>
            </w:r>
          </w:p>
        </w:tc>
        <w:tc>
          <w:tcPr>
            <w:tcW w:w="1995" w:type="dxa"/>
            <w:tcBorders>
              <w:top w:val="nil"/>
              <w:left w:val="nil"/>
              <w:bottom w:val="single" w:sz="4" w:space="0" w:color="auto"/>
              <w:right w:val="double" w:sz="6" w:space="0" w:color="auto"/>
            </w:tcBorders>
            <w:shd w:val="clear" w:color="auto" w:fill="EEECE1" w:themeFill="background2"/>
            <w:noWrap/>
            <w:vAlign w:val="bottom"/>
            <w:hideMark/>
          </w:tcPr>
          <w:p w14:paraId="3B9AC2B5" w14:textId="1FAE98F5" w:rsidR="00B64EB4" w:rsidRDefault="00B64EB4" w:rsidP="00B64EB4">
            <w:pPr>
              <w:jc w:val="center"/>
              <w:rPr>
                <w:rFonts w:asciiTheme="majorHAnsi" w:hAnsiTheme="majorHAnsi" w:cstheme="majorHAnsi"/>
                <w:b/>
                <w:bCs/>
                <w:szCs w:val="20"/>
                <w:lang w:val="en-US"/>
              </w:rPr>
            </w:pPr>
            <w:r>
              <w:rPr>
                <w:rFonts w:cs="Arial"/>
                <w:b/>
                <w:bCs/>
              </w:rPr>
              <w:t>203</w:t>
            </w:r>
          </w:p>
        </w:tc>
        <w:tc>
          <w:tcPr>
            <w:tcW w:w="1995" w:type="dxa"/>
            <w:tcBorders>
              <w:top w:val="nil"/>
              <w:left w:val="nil"/>
              <w:bottom w:val="single" w:sz="4" w:space="0" w:color="auto"/>
              <w:right w:val="single" w:sz="4" w:space="0" w:color="auto"/>
            </w:tcBorders>
            <w:shd w:val="clear" w:color="auto" w:fill="EEECE1" w:themeFill="background2"/>
            <w:noWrap/>
            <w:vAlign w:val="bottom"/>
            <w:hideMark/>
          </w:tcPr>
          <w:p w14:paraId="3B2C6A87" w14:textId="0329F72F" w:rsidR="00B64EB4" w:rsidRDefault="00B64EB4" w:rsidP="00B64EB4">
            <w:pPr>
              <w:jc w:val="center"/>
              <w:rPr>
                <w:rFonts w:asciiTheme="majorHAnsi" w:hAnsiTheme="majorHAnsi" w:cstheme="majorHAnsi"/>
                <w:b/>
                <w:bCs/>
                <w:szCs w:val="20"/>
                <w:lang w:val="en-US"/>
              </w:rPr>
            </w:pPr>
            <w:r>
              <w:rPr>
                <w:rFonts w:cs="Arial"/>
                <w:b/>
                <w:bCs/>
              </w:rPr>
              <w:t>23 520</w:t>
            </w:r>
          </w:p>
        </w:tc>
        <w:tc>
          <w:tcPr>
            <w:tcW w:w="1995" w:type="dxa"/>
            <w:tcBorders>
              <w:top w:val="nil"/>
              <w:left w:val="nil"/>
              <w:bottom w:val="single" w:sz="4" w:space="0" w:color="auto"/>
              <w:right w:val="single" w:sz="4" w:space="0" w:color="auto"/>
            </w:tcBorders>
            <w:shd w:val="clear" w:color="auto" w:fill="EEECE1" w:themeFill="background2"/>
            <w:noWrap/>
            <w:vAlign w:val="bottom"/>
            <w:hideMark/>
          </w:tcPr>
          <w:p w14:paraId="31FF8F8A" w14:textId="1E7CB729" w:rsidR="00B64EB4" w:rsidRDefault="00B64EB4" w:rsidP="00B64EB4">
            <w:pPr>
              <w:jc w:val="center"/>
              <w:rPr>
                <w:rFonts w:asciiTheme="majorHAnsi" w:hAnsiTheme="majorHAnsi" w:cstheme="majorHAnsi"/>
                <w:b/>
                <w:bCs/>
                <w:szCs w:val="20"/>
                <w:lang w:val="en-US"/>
              </w:rPr>
            </w:pPr>
            <w:r>
              <w:rPr>
                <w:rFonts w:cs="Arial"/>
                <w:b/>
                <w:bCs/>
              </w:rPr>
              <w:t>105</w:t>
            </w:r>
          </w:p>
        </w:tc>
      </w:tr>
    </w:tbl>
    <w:p w14:paraId="5F76852F" w14:textId="77777777" w:rsidR="00986D24" w:rsidRDefault="00986D24" w:rsidP="00986D24">
      <w:pPr>
        <w:tabs>
          <w:tab w:val="left" w:pos="9356"/>
        </w:tabs>
        <w:jc w:val="both"/>
        <w:rPr>
          <w:rFonts w:asciiTheme="majorHAnsi" w:eastAsia="Times New Roman" w:hAnsiTheme="majorHAnsi" w:cstheme="majorHAnsi"/>
          <w:sz w:val="20"/>
          <w:szCs w:val="20"/>
          <w:lang w:eastAsia="sk-SK"/>
        </w:rPr>
      </w:pPr>
      <w:r>
        <w:rPr>
          <w:rFonts w:asciiTheme="majorHAnsi" w:eastAsia="Times New Roman" w:hAnsiTheme="majorHAnsi" w:cstheme="majorHAnsi"/>
          <w:sz w:val="20"/>
          <w:szCs w:val="20"/>
          <w:lang w:eastAsia="sk-SK"/>
        </w:rPr>
        <w:t>Vysvetlivky:</w:t>
      </w:r>
    </w:p>
    <w:p w14:paraId="546FD5BC" w14:textId="56113792" w:rsidR="003E47AD" w:rsidRDefault="00986D24" w:rsidP="005122F3">
      <w:pPr>
        <w:tabs>
          <w:tab w:val="left" w:pos="9356"/>
        </w:tabs>
        <w:jc w:val="both"/>
        <w:rPr>
          <w:rFonts w:asciiTheme="majorHAnsi" w:hAnsiTheme="majorHAnsi" w:cstheme="majorHAnsi"/>
        </w:rPr>
      </w:pPr>
      <w:r>
        <w:rPr>
          <w:rFonts w:asciiTheme="majorHAnsi" w:eastAsia="Times New Roman" w:hAnsiTheme="majorHAnsi" w:cstheme="majorHAnsi"/>
          <w:sz w:val="20"/>
          <w:szCs w:val="20"/>
          <w:lang w:eastAsia="sk-SK"/>
        </w:rPr>
        <w:t>Počet študentov</w:t>
      </w:r>
      <w:r w:rsidR="005122F3">
        <w:rPr>
          <w:rFonts w:asciiTheme="majorHAnsi" w:eastAsia="Times New Roman" w:hAnsiTheme="majorHAnsi" w:cstheme="majorHAnsi"/>
          <w:sz w:val="20"/>
          <w:szCs w:val="20"/>
          <w:lang w:eastAsia="sk-SK"/>
        </w:rPr>
        <w:t xml:space="preserve"> STU (štipendií)</w:t>
      </w:r>
      <w:r>
        <w:rPr>
          <w:rFonts w:asciiTheme="majorHAnsi" w:eastAsia="Times New Roman" w:hAnsiTheme="majorHAnsi" w:cstheme="majorHAnsi"/>
          <w:sz w:val="20"/>
          <w:szCs w:val="20"/>
          <w:lang w:eastAsia="sk-SK"/>
        </w:rPr>
        <w:t xml:space="preserve"> </w:t>
      </w:r>
      <w:r w:rsidR="005122F3">
        <w:rPr>
          <w:rFonts w:asciiTheme="majorHAnsi" w:eastAsia="Times New Roman" w:hAnsiTheme="majorHAnsi" w:cstheme="majorHAnsi"/>
          <w:sz w:val="20"/>
          <w:szCs w:val="20"/>
          <w:lang w:eastAsia="sk-SK"/>
        </w:rPr>
        <w:t xml:space="preserve">predstavuje </w:t>
      </w:r>
      <w:r w:rsidR="005122F3" w:rsidRPr="005122F3">
        <w:rPr>
          <w:rFonts w:asciiTheme="majorHAnsi" w:eastAsia="Times New Roman" w:hAnsiTheme="majorHAnsi" w:cstheme="majorHAnsi"/>
          <w:sz w:val="20"/>
          <w:szCs w:val="20"/>
          <w:lang w:eastAsia="sk-SK"/>
        </w:rPr>
        <w:t>počet poskytnutých štipendií, každý študent je započítaný toľkokrát, koľko štipendií mu bolo poskytnuté</w:t>
      </w:r>
      <w:r w:rsidR="005122F3">
        <w:rPr>
          <w:rFonts w:asciiTheme="majorHAnsi" w:eastAsia="Times New Roman" w:hAnsiTheme="majorHAnsi" w:cstheme="majorHAnsi"/>
          <w:sz w:val="20"/>
          <w:szCs w:val="20"/>
          <w:lang w:eastAsia="sk-SK"/>
        </w:rPr>
        <w:t>.</w:t>
      </w:r>
    </w:p>
    <w:p w14:paraId="1D72DF4C" w14:textId="3AE2765E" w:rsidR="00D27305" w:rsidRPr="001A4A1F" w:rsidRDefault="00331A18" w:rsidP="00596A92">
      <w:pPr>
        <w:spacing w:before="120" w:after="120"/>
        <w:jc w:val="both"/>
        <w:rPr>
          <w:rFonts w:asciiTheme="majorHAnsi" w:hAnsiTheme="majorHAnsi" w:cstheme="majorHAnsi"/>
        </w:rPr>
      </w:pPr>
      <w:r w:rsidRPr="0039414B">
        <w:rPr>
          <w:rFonts w:asciiTheme="majorHAnsi" w:hAnsiTheme="majorHAnsi" w:cstheme="majorHAnsi"/>
        </w:rPr>
        <w:t xml:space="preserve">STU spustila webovú stránku na podporu pri </w:t>
      </w:r>
      <w:r w:rsidR="0039414B" w:rsidRPr="0039414B">
        <w:rPr>
          <w:rFonts w:asciiTheme="majorHAnsi" w:hAnsiTheme="majorHAnsi" w:cstheme="majorHAnsi"/>
        </w:rPr>
        <w:t>hľadaní</w:t>
      </w:r>
      <w:r w:rsidRPr="0039414B">
        <w:rPr>
          <w:rFonts w:asciiTheme="majorHAnsi" w:hAnsiTheme="majorHAnsi" w:cstheme="majorHAnsi"/>
        </w:rPr>
        <w:t xml:space="preserve"> pracovných príležitostí pre študentov a ich </w:t>
      </w:r>
      <w:r w:rsidR="004F3E37" w:rsidRPr="0039414B">
        <w:rPr>
          <w:rFonts w:asciiTheme="majorHAnsi" w:hAnsiTheme="majorHAnsi" w:cstheme="majorHAnsi"/>
        </w:rPr>
        <w:t>príbuzných</w:t>
      </w:r>
      <w:r w:rsidR="0039414B" w:rsidRPr="0039414B">
        <w:rPr>
          <w:rFonts w:asciiTheme="majorHAnsi" w:hAnsiTheme="majorHAnsi" w:cstheme="majorHAnsi"/>
        </w:rPr>
        <w:t xml:space="preserve"> </w:t>
      </w:r>
      <w:hyperlink r:id="rId121" w:history="1">
        <w:r w:rsidR="0039414B" w:rsidRPr="0039414B">
          <w:rPr>
            <w:rStyle w:val="Hypertextovprepojenie"/>
            <w:rFonts w:asciiTheme="majorHAnsi" w:hAnsiTheme="majorHAnsi" w:cstheme="majorHAnsi"/>
            <w:shd w:val="clear" w:color="auto" w:fill="FFFFFF"/>
          </w:rPr>
          <w:t>www.STUpreUkrajinu.sk</w:t>
        </w:r>
      </w:hyperlink>
      <w:r w:rsidR="003D058B" w:rsidRPr="0039414B">
        <w:rPr>
          <w:rFonts w:asciiTheme="majorHAnsi" w:hAnsiTheme="majorHAnsi" w:cstheme="majorHAnsi"/>
          <w:color w:val="333333"/>
          <w:shd w:val="clear" w:color="auto" w:fill="FFFFFF"/>
        </w:rPr>
        <w:t>.</w:t>
      </w:r>
      <w:r w:rsidRPr="0039414B">
        <w:rPr>
          <w:rFonts w:asciiTheme="majorHAnsi" w:hAnsiTheme="majorHAnsi" w:cstheme="majorHAnsi"/>
        </w:rPr>
        <w:t xml:space="preserve"> </w:t>
      </w:r>
      <w:r w:rsidR="00D27305" w:rsidRPr="0039414B">
        <w:rPr>
          <w:rFonts w:asciiTheme="majorHAnsi" w:hAnsiTheme="majorHAnsi" w:cstheme="majorHAnsi"/>
        </w:rPr>
        <w:t>Webová stránka súčasne umožňuje firmám a</w:t>
      </w:r>
      <w:r w:rsidR="00596A92">
        <w:rPr>
          <w:rFonts w:asciiTheme="majorHAnsi" w:hAnsiTheme="majorHAnsi" w:cstheme="majorHAnsi"/>
        </w:rPr>
        <w:t> </w:t>
      </w:r>
      <w:r w:rsidR="00D27305" w:rsidRPr="0039414B">
        <w:rPr>
          <w:rFonts w:asciiTheme="majorHAnsi" w:hAnsiTheme="majorHAnsi" w:cstheme="majorHAnsi"/>
        </w:rPr>
        <w:t>inštitúciám ponúknuť im pracovné príležitosti v štyroch kategóriách – brigádnická práca, pomocné práce, odborná práca</w:t>
      </w:r>
      <w:r w:rsidR="00596A92">
        <w:rPr>
          <w:rFonts w:asciiTheme="majorHAnsi" w:hAnsiTheme="majorHAnsi" w:cstheme="majorHAnsi"/>
        </w:rPr>
        <w:t>,</w:t>
      </w:r>
      <w:r w:rsidR="00D27305" w:rsidRPr="0039414B">
        <w:rPr>
          <w:rFonts w:asciiTheme="majorHAnsi" w:hAnsiTheme="majorHAnsi" w:cstheme="majorHAnsi"/>
        </w:rPr>
        <w:t xml:space="preserve"> či výskumná alebo pedagogická činnosť. </w:t>
      </w:r>
      <w:r>
        <w:rPr>
          <w:rFonts w:asciiTheme="majorHAnsi" w:hAnsiTheme="majorHAnsi" w:cstheme="majorHAnsi"/>
        </w:rPr>
        <w:t xml:space="preserve">Už </w:t>
      </w:r>
      <w:r w:rsidR="0039414B">
        <w:rPr>
          <w:rFonts w:asciiTheme="majorHAnsi" w:hAnsiTheme="majorHAnsi" w:cstheme="majorHAnsi"/>
        </w:rPr>
        <w:t>p</w:t>
      </w:r>
      <w:r w:rsidR="0039414B" w:rsidRPr="001A4A1F">
        <w:rPr>
          <w:rFonts w:asciiTheme="majorHAnsi" w:hAnsiTheme="majorHAnsi" w:cstheme="majorHAnsi"/>
        </w:rPr>
        <w:t>očas</w:t>
      </w:r>
      <w:r w:rsidR="00D27305" w:rsidRPr="001A4A1F">
        <w:rPr>
          <w:rFonts w:asciiTheme="majorHAnsi" w:hAnsiTheme="majorHAnsi" w:cstheme="majorHAnsi"/>
        </w:rPr>
        <w:t xml:space="preserve"> prvých dní </w:t>
      </w:r>
      <w:r w:rsidR="003D058B">
        <w:rPr>
          <w:rFonts w:asciiTheme="majorHAnsi" w:hAnsiTheme="majorHAnsi" w:cstheme="majorHAnsi"/>
        </w:rPr>
        <w:t>pribúdali</w:t>
      </w:r>
      <w:r w:rsidR="00D27305" w:rsidRPr="001A4A1F">
        <w:rPr>
          <w:rFonts w:asciiTheme="majorHAnsi" w:hAnsiTheme="majorHAnsi" w:cstheme="majorHAnsi"/>
        </w:rPr>
        <w:t xml:space="preserve"> desiatky ponúk a</w:t>
      </w:r>
      <w:r w:rsidR="0039414B">
        <w:rPr>
          <w:rFonts w:asciiTheme="majorHAnsi" w:hAnsiTheme="majorHAnsi" w:cstheme="majorHAnsi"/>
        </w:rPr>
        <w:t> </w:t>
      </w:r>
      <w:r w:rsidR="00D27305" w:rsidRPr="001A4A1F">
        <w:rPr>
          <w:rFonts w:asciiTheme="majorHAnsi" w:hAnsiTheme="majorHAnsi" w:cstheme="majorHAnsi"/>
        </w:rPr>
        <w:t>priebežne prichádzajú ďalšie. Na vývoji webovej stránky sa podieľali aj bývalí absolventi STU.</w:t>
      </w:r>
    </w:p>
    <w:p w14:paraId="0BE0BF5B" w14:textId="40288FED" w:rsidR="003D058B" w:rsidRDefault="0039414B" w:rsidP="00596A92">
      <w:pPr>
        <w:spacing w:after="120"/>
        <w:jc w:val="both"/>
        <w:rPr>
          <w:rFonts w:asciiTheme="majorHAnsi" w:hAnsiTheme="majorHAnsi"/>
        </w:rPr>
      </w:pPr>
      <w:r>
        <w:rPr>
          <w:rFonts w:asciiTheme="majorHAnsi" w:hAnsiTheme="majorHAnsi" w:cstheme="majorHAnsi"/>
        </w:rPr>
        <w:t xml:space="preserve">Do humanitárnej pomoci boli </w:t>
      </w:r>
      <w:r w:rsidR="004F3E37">
        <w:rPr>
          <w:rFonts w:asciiTheme="majorHAnsi" w:hAnsiTheme="majorHAnsi" w:cstheme="majorHAnsi"/>
        </w:rPr>
        <w:t xml:space="preserve">zapojené študentské organizácie pôsobiace na STU </w:t>
      </w:r>
      <w:r w:rsidR="006E4B3B">
        <w:rPr>
          <w:rFonts w:asciiTheme="majorHAnsi" w:hAnsiTheme="majorHAnsi" w:cstheme="majorHAnsi"/>
        </w:rPr>
        <w:t>i</w:t>
      </w:r>
      <w:r w:rsidR="004F3E37">
        <w:rPr>
          <w:rFonts w:asciiTheme="majorHAnsi" w:hAnsiTheme="majorHAnsi" w:cstheme="majorHAnsi"/>
        </w:rPr>
        <w:t xml:space="preserve"> jednotlivci. Zabezpečovali </w:t>
      </w:r>
      <w:r w:rsidR="002A2FAD" w:rsidRPr="002A2FAD">
        <w:rPr>
          <w:rFonts w:asciiTheme="majorHAnsi" w:hAnsiTheme="majorHAnsi" w:cstheme="majorHAnsi"/>
        </w:rPr>
        <w:t>riešenie bežných existenčných otázok študentov STU</w:t>
      </w:r>
      <w:r w:rsidR="004F3E37">
        <w:rPr>
          <w:rFonts w:asciiTheme="majorHAnsi" w:hAnsiTheme="majorHAnsi" w:cstheme="majorHAnsi"/>
        </w:rPr>
        <w:t xml:space="preserve">. </w:t>
      </w:r>
      <w:r w:rsidR="001D45EA">
        <w:rPr>
          <w:rFonts w:asciiTheme="majorHAnsi" w:hAnsiTheme="majorHAnsi" w:cstheme="majorHAnsi"/>
        </w:rPr>
        <w:t xml:space="preserve">Vytvorili </w:t>
      </w:r>
      <w:r w:rsidR="002A2FAD" w:rsidRPr="002A2FAD">
        <w:rPr>
          <w:rFonts w:asciiTheme="majorHAnsi" w:hAnsiTheme="majorHAnsi" w:cstheme="majorHAnsi"/>
        </w:rPr>
        <w:t>pracovn</w:t>
      </w:r>
      <w:r w:rsidR="001D45EA">
        <w:rPr>
          <w:rFonts w:asciiTheme="majorHAnsi" w:hAnsiTheme="majorHAnsi" w:cstheme="majorHAnsi"/>
        </w:rPr>
        <w:t>é</w:t>
      </w:r>
      <w:r w:rsidR="002A2FAD" w:rsidRPr="002A2FAD">
        <w:rPr>
          <w:rFonts w:asciiTheme="majorHAnsi" w:hAnsiTheme="majorHAnsi" w:cstheme="majorHAnsi"/>
        </w:rPr>
        <w:t xml:space="preserve"> skupin</w:t>
      </w:r>
      <w:r w:rsidR="001D45EA">
        <w:rPr>
          <w:rFonts w:asciiTheme="majorHAnsi" w:hAnsiTheme="majorHAnsi" w:cstheme="majorHAnsi"/>
        </w:rPr>
        <w:t>y</w:t>
      </w:r>
      <w:r w:rsidR="002A2FAD" w:rsidRPr="002A2FAD">
        <w:rPr>
          <w:rFonts w:asciiTheme="majorHAnsi" w:hAnsiTheme="majorHAnsi" w:cstheme="majorHAnsi"/>
        </w:rPr>
        <w:t xml:space="preserve"> študentov STU nepretržite </w:t>
      </w:r>
      <w:r w:rsidR="001D45EA" w:rsidRPr="002A2FAD">
        <w:rPr>
          <w:rFonts w:asciiTheme="majorHAnsi" w:hAnsiTheme="majorHAnsi" w:cstheme="majorHAnsi"/>
        </w:rPr>
        <w:t>poskyto</w:t>
      </w:r>
      <w:r w:rsidR="001D45EA">
        <w:rPr>
          <w:rFonts w:asciiTheme="majorHAnsi" w:hAnsiTheme="majorHAnsi" w:cstheme="majorHAnsi"/>
        </w:rPr>
        <w:t>vali</w:t>
      </w:r>
      <w:r w:rsidR="002A2FAD" w:rsidRPr="002A2FAD">
        <w:rPr>
          <w:rFonts w:asciiTheme="majorHAnsi" w:hAnsiTheme="majorHAnsi" w:cstheme="majorHAnsi"/>
        </w:rPr>
        <w:t xml:space="preserve"> odpovede na otázky</w:t>
      </w:r>
      <w:r w:rsidR="003D058B">
        <w:rPr>
          <w:rFonts w:asciiTheme="majorHAnsi" w:hAnsiTheme="majorHAnsi" w:cstheme="majorHAnsi"/>
        </w:rPr>
        <w:t xml:space="preserve">, </w:t>
      </w:r>
      <w:r w:rsidR="003D058B" w:rsidRPr="00596A92">
        <w:rPr>
          <w:rFonts w:asciiTheme="majorHAnsi" w:hAnsiTheme="majorHAnsi"/>
        </w:rPr>
        <w:t>ktoré prichádzajú na osobitnú e-mailovú adresu a poskyt</w:t>
      </w:r>
      <w:r w:rsidR="001D45EA" w:rsidRPr="00596A92">
        <w:rPr>
          <w:rFonts w:asciiTheme="majorHAnsi" w:hAnsiTheme="majorHAnsi"/>
        </w:rPr>
        <w:t>ovali</w:t>
      </w:r>
      <w:r w:rsidR="003D058B" w:rsidRPr="00596A92">
        <w:rPr>
          <w:rFonts w:asciiTheme="majorHAnsi" w:hAnsiTheme="majorHAnsi"/>
        </w:rPr>
        <w:t xml:space="preserve"> poradenstvo pri problémoch</w:t>
      </w:r>
      <w:r w:rsidR="001D45EA" w:rsidRPr="00596A92">
        <w:rPr>
          <w:rFonts w:asciiTheme="majorHAnsi" w:hAnsiTheme="majorHAnsi"/>
        </w:rPr>
        <w:t>.</w:t>
      </w:r>
      <w:r w:rsidR="000712E1">
        <w:rPr>
          <w:rFonts w:asciiTheme="majorHAnsi" w:hAnsiTheme="majorHAnsi"/>
        </w:rPr>
        <w:t xml:space="preserve"> Poradenské centrum STU zabezpečovalo pre postihnutých študentov psychologické poradenstvo.</w:t>
      </w:r>
    </w:p>
    <w:p w14:paraId="46DD667A" w14:textId="6565B5D8" w:rsidR="009B382E" w:rsidRDefault="009B382E" w:rsidP="009B382E">
      <w:pPr>
        <w:spacing w:after="120"/>
        <w:jc w:val="both"/>
        <w:rPr>
          <w:rFonts w:asciiTheme="majorHAnsi" w:hAnsiTheme="majorHAnsi"/>
        </w:rPr>
      </w:pPr>
      <w:r>
        <w:rPr>
          <w:rFonts w:asciiTheme="majorHAnsi" w:hAnsiTheme="majorHAnsi"/>
        </w:rPr>
        <w:t xml:space="preserve">Fakulty poskytli svoje priestory </w:t>
      </w:r>
      <w:r w:rsidR="006E4B3B">
        <w:rPr>
          <w:rFonts w:asciiTheme="majorHAnsi" w:hAnsiTheme="majorHAnsi"/>
        </w:rPr>
        <w:t>pre</w:t>
      </w:r>
      <w:r>
        <w:rPr>
          <w:rFonts w:asciiTheme="majorHAnsi" w:hAnsiTheme="majorHAnsi"/>
        </w:rPr>
        <w:t xml:space="preserve"> študentov, ktorí organizovali voľnočasové aktivity pre mladých ľudí odídených z Ukrajiny v dôsledku vojnovej situácie. Išlo </w:t>
      </w:r>
      <w:r w:rsidR="008A3F0B">
        <w:rPr>
          <w:rFonts w:asciiTheme="majorHAnsi" w:hAnsiTheme="majorHAnsi"/>
        </w:rPr>
        <w:t xml:space="preserve">napríklad </w:t>
      </w:r>
      <w:r>
        <w:rPr>
          <w:rFonts w:asciiTheme="majorHAnsi" w:hAnsiTheme="majorHAnsi"/>
        </w:rPr>
        <w:t>o</w:t>
      </w:r>
      <w:r w:rsidR="008A3F0B">
        <w:rPr>
          <w:rFonts w:asciiTheme="majorHAnsi" w:hAnsiTheme="majorHAnsi"/>
        </w:rPr>
        <w:t> </w:t>
      </w:r>
      <w:r>
        <w:rPr>
          <w:rFonts w:asciiTheme="majorHAnsi" w:hAnsiTheme="majorHAnsi"/>
        </w:rPr>
        <w:t>telovýchovné aktivity (basketbal, futbal)</w:t>
      </w:r>
      <w:r w:rsidR="008A3F0B">
        <w:rPr>
          <w:rFonts w:asciiTheme="majorHAnsi" w:hAnsiTheme="majorHAnsi"/>
        </w:rPr>
        <w:t>,</w:t>
      </w:r>
      <w:r>
        <w:rPr>
          <w:rFonts w:asciiTheme="majorHAnsi" w:hAnsiTheme="majorHAnsi"/>
        </w:rPr>
        <w:t xml:space="preserve"> </w:t>
      </w:r>
      <w:r w:rsidR="008A3F0B">
        <w:rPr>
          <w:rFonts w:asciiTheme="majorHAnsi" w:hAnsiTheme="majorHAnsi"/>
        </w:rPr>
        <w:t xml:space="preserve">zabezpečovanie </w:t>
      </w:r>
      <w:r>
        <w:rPr>
          <w:rFonts w:asciiTheme="majorHAnsi" w:hAnsiTheme="majorHAnsi"/>
        </w:rPr>
        <w:t>výučb</w:t>
      </w:r>
      <w:r w:rsidR="008A3F0B">
        <w:rPr>
          <w:rFonts w:asciiTheme="majorHAnsi" w:hAnsiTheme="majorHAnsi"/>
        </w:rPr>
        <w:t>y</w:t>
      </w:r>
      <w:r>
        <w:rPr>
          <w:rFonts w:asciiTheme="majorHAnsi" w:hAnsiTheme="majorHAnsi"/>
        </w:rPr>
        <w:t xml:space="preserve"> slovenského jazyka</w:t>
      </w:r>
      <w:r w:rsidR="008A3F0B">
        <w:rPr>
          <w:rFonts w:asciiTheme="majorHAnsi" w:hAnsiTheme="majorHAnsi"/>
        </w:rPr>
        <w:t>.</w:t>
      </w:r>
    </w:p>
    <w:p w14:paraId="42D434C3" w14:textId="67729E84" w:rsidR="004C6C23" w:rsidRDefault="00F712D9" w:rsidP="00F712D9">
      <w:pPr>
        <w:spacing w:after="120"/>
        <w:jc w:val="both"/>
      </w:pPr>
      <w:r>
        <w:rPr>
          <w:rFonts w:asciiTheme="majorHAnsi" w:hAnsiTheme="majorHAnsi"/>
        </w:rPr>
        <w:t>Vojnový konflikt mal veľký vplyv aj na vzdelávanie. O štúdium na</w:t>
      </w:r>
      <w:r w:rsidR="001D45EA" w:rsidRPr="00596A92">
        <w:rPr>
          <w:rFonts w:asciiTheme="majorHAnsi" w:hAnsiTheme="majorHAnsi"/>
        </w:rPr>
        <w:t xml:space="preserve"> STU sa začali zaujímať študenti, ktorí študovali na ukrajinských vysokých</w:t>
      </w:r>
      <w:r w:rsidR="001D45EA">
        <w:t xml:space="preserve"> školách a ušli pred vojnou. Okrem občano</w:t>
      </w:r>
      <w:r w:rsidR="009337E3">
        <w:t>v</w:t>
      </w:r>
      <w:r w:rsidR="001D45EA">
        <w:t xml:space="preserve"> Ukrajiny to boli aj </w:t>
      </w:r>
      <w:r w:rsidR="006E4B3B">
        <w:t>štátni príslušníci</w:t>
      </w:r>
      <w:r w:rsidR="001D45EA">
        <w:t xml:space="preserve"> iných </w:t>
      </w:r>
      <w:r w:rsidR="009337E3">
        <w:t xml:space="preserve">krajín. Vzhľadom </w:t>
      </w:r>
      <w:r w:rsidR="006E4B3B">
        <w:t>n</w:t>
      </w:r>
      <w:r w:rsidR="009337E3">
        <w:t>a </w:t>
      </w:r>
      <w:r>
        <w:t>prebiehajúci</w:t>
      </w:r>
      <w:r w:rsidR="009337E3">
        <w:t xml:space="preserve"> semester </w:t>
      </w:r>
      <w:r>
        <w:t xml:space="preserve">nemohli byť zapísaní na riadne štúdium, preto sa hľadali iné </w:t>
      </w:r>
      <w:r w:rsidR="009337E3">
        <w:t>možnos</w:t>
      </w:r>
      <w:r>
        <w:t xml:space="preserve">ti ako </w:t>
      </w:r>
      <w:r w:rsidR="00852E76">
        <w:t>zaradiť týchto študentov</w:t>
      </w:r>
      <w:r w:rsidR="009337E3">
        <w:t xml:space="preserve"> do</w:t>
      </w:r>
      <w:r w:rsidR="0090144A">
        <w:t> </w:t>
      </w:r>
      <w:r w:rsidR="009337E3">
        <w:t>procesu vzdelávania</w:t>
      </w:r>
      <w:r w:rsidR="0090144A">
        <w:t>. Vhodnou formou sa ukázalo byť štúdium v rámci akademickej mobility</w:t>
      </w:r>
      <w:r w:rsidR="00852E76">
        <w:t xml:space="preserve">. Neskôr od začiatku akademického roka 2022/2023 niektorí zo študentov boli </w:t>
      </w:r>
      <w:r w:rsidR="009337E3">
        <w:t>zapísa</w:t>
      </w:r>
      <w:r w:rsidR="00852E76">
        <w:t xml:space="preserve">ní na riadne štúdium zmenou študijného programu. </w:t>
      </w:r>
    </w:p>
    <w:p w14:paraId="0EEFAF56" w14:textId="555EE5B3" w:rsidR="008A3F0B" w:rsidRDefault="00852E76" w:rsidP="00F712D9">
      <w:pPr>
        <w:spacing w:after="120"/>
        <w:jc w:val="both"/>
      </w:pPr>
      <w:r>
        <w:lastRenderedPageBreak/>
        <w:t xml:space="preserve">Zároveň </w:t>
      </w:r>
      <w:r w:rsidR="006E4B3B">
        <w:t xml:space="preserve">bol </w:t>
      </w:r>
      <w:r w:rsidR="004C6C23">
        <w:t xml:space="preserve">v rámci prijímacieho konania zaznamenaný </w:t>
      </w:r>
      <w:r w:rsidR="00F56B8B">
        <w:t>veľký nárast uchádzačov</w:t>
      </w:r>
      <w:r w:rsidR="006E4B3B">
        <w:t>,</w:t>
      </w:r>
      <w:r w:rsidR="004C6C23">
        <w:t xml:space="preserve"> </w:t>
      </w:r>
      <w:r w:rsidR="00F56B8B">
        <w:t>najmä ukrajinských stredoškolákov</w:t>
      </w:r>
      <w:r w:rsidR="006E4B3B">
        <w:t>,</w:t>
      </w:r>
      <w:r w:rsidR="00F56B8B">
        <w:t xml:space="preserve"> o štúdium na prvom stupni vzdelávania.</w:t>
      </w:r>
      <w:r w:rsidR="00C2714C">
        <w:t xml:space="preserve"> STU pre uchádzačov vytvorila </w:t>
      </w:r>
      <w:r w:rsidR="006802F7">
        <w:t>samostatné</w:t>
      </w:r>
      <w:r w:rsidR="00F56B8B">
        <w:t xml:space="preserve"> </w:t>
      </w:r>
      <w:r w:rsidR="006802F7">
        <w:t>webové stránky</w:t>
      </w:r>
      <w:r w:rsidR="00C2714C">
        <w:t xml:space="preserve">, </w:t>
      </w:r>
      <w:r w:rsidR="006802F7">
        <w:t xml:space="preserve">na ktorých </w:t>
      </w:r>
      <w:r w:rsidR="00C2714C">
        <w:t>uchádzačov komplexne inform</w:t>
      </w:r>
      <w:r w:rsidR="006802F7">
        <w:t xml:space="preserve">ovala </w:t>
      </w:r>
      <w:r w:rsidR="00C2714C">
        <w:t xml:space="preserve">o prijímacom konaní, </w:t>
      </w:r>
      <w:r w:rsidR="00CF46F5">
        <w:t>o uznávaní dokladov o</w:t>
      </w:r>
      <w:r w:rsidR="006802F7">
        <w:t> </w:t>
      </w:r>
      <w:r w:rsidR="00CF46F5">
        <w:t>vzdelaní</w:t>
      </w:r>
      <w:r w:rsidR="006802F7">
        <w:t xml:space="preserve">, </w:t>
      </w:r>
      <w:r w:rsidR="00CF46F5">
        <w:t xml:space="preserve">o kurzoch slovenského </w:t>
      </w:r>
      <w:r w:rsidR="004B28CD">
        <w:t>jazy</w:t>
      </w:r>
      <w:r w:rsidR="00CF46F5">
        <w:t xml:space="preserve">ka pre </w:t>
      </w:r>
      <w:r w:rsidR="006802F7">
        <w:t>zahraničných</w:t>
      </w:r>
      <w:r w:rsidR="00CF46F5">
        <w:t xml:space="preserve"> uchádzačov</w:t>
      </w:r>
      <w:r w:rsidR="006802F7">
        <w:t xml:space="preserve"> a ďalších potrebných informáciách</w:t>
      </w:r>
      <w:r w:rsidR="00CF46F5">
        <w:t xml:space="preserve">. </w:t>
      </w:r>
      <w:r w:rsidR="006E4B3B">
        <w:t xml:space="preserve"> </w:t>
      </w:r>
    </w:p>
    <w:p w14:paraId="32C74299" w14:textId="17871264" w:rsidR="00D67E23" w:rsidRDefault="00CF46F5" w:rsidP="006E4B3B">
      <w:r>
        <w:t xml:space="preserve">V súvislosti s vojnovým konfliktom boli </w:t>
      </w:r>
      <w:r w:rsidR="004B28CD">
        <w:t>uprav</w:t>
      </w:r>
      <w:r w:rsidR="006802F7">
        <w:t>ené</w:t>
      </w:r>
      <w:r w:rsidR="004B28CD">
        <w:t xml:space="preserve"> právne predpisy Slovenskej republiky vrátane zákona o vysokých školách. Jednou z úprav bol</w:t>
      </w:r>
      <w:r w:rsidR="006802F7">
        <w:t>o</w:t>
      </w:r>
      <w:r w:rsidR="004B28CD">
        <w:t xml:space="preserve"> doplnenie § 5</w:t>
      </w:r>
      <w:r w:rsidR="007E5A8B">
        <w:t>6</w:t>
      </w:r>
      <w:r w:rsidR="004B28CD">
        <w:t xml:space="preserve"> ods. 2 zákona o </w:t>
      </w:r>
      <w:r w:rsidR="006802F7">
        <w:t>vysokých</w:t>
      </w:r>
      <w:r w:rsidR="004B28CD">
        <w:t xml:space="preserve"> školách, ktorý </w:t>
      </w:r>
      <w:r w:rsidR="007E5A8B">
        <w:t xml:space="preserve">umožňoval </w:t>
      </w:r>
      <w:r w:rsidR="007E5A8B" w:rsidRPr="007E5A8B">
        <w:t>osob</w:t>
      </w:r>
      <w:r w:rsidR="007E5A8B">
        <w:t>ám</w:t>
      </w:r>
      <w:r w:rsidR="007E5A8B" w:rsidRPr="007E5A8B">
        <w:t xml:space="preserve">, ktorým bol udelený azyl, poskytnutá doplnková ochrana alebo poskytnuté dočasné útočisko, </w:t>
      </w:r>
      <w:r w:rsidR="007E5A8B">
        <w:t>preukázať základnú podmienku prijatia na prvý stupeň štúdia</w:t>
      </w:r>
      <w:r w:rsidR="007E5A8B" w:rsidRPr="007E5A8B">
        <w:t xml:space="preserve"> čestným vyhlásením a testom všeobecných študijných predpokladov</w:t>
      </w:r>
      <w:r w:rsidR="007E5A8B">
        <w:t xml:space="preserve"> (ďalej len „VŠP“).</w:t>
      </w:r>
      <w:r w:rsidR="007E5A8B" w:rsidRPr="007E5A8B">
        <w:t xml:space="preserve"> </w:t>
      </w:r>
      <w:r w:rsidR="006802F7">
        <w:t>Týkalo</w:t>
      </w:r>
      <w:r w:rsidR="007D041D">
        <w:t xml:space="preserve"> sa to najmä odídených ukrajinských stredoškolákov, ktorí sa nevedeli preukázať dokladmi o absolvovaní strednej školy porovnateľnej s úplným </w:t>
      </w:r>
      <w:r w:rsidR="006802F7">
        <w:t>stredný</w:t>
      </w:r>
      <w:r w:rsidR="00C83C7A">
        <w:t>m</w:t>
      </w:r>
      <w:r w:rsidR="007D041D">
        <w:t xml:space="preserve"> alebo úplným stredným odborným vzdelaním. STU upravila </w:t>
      </w:r>
      <w:r w:rsidR="00C83C7A">
        <w:t xml:space="preserve">postup prijímania </w:t>
      </w:r>
      <w:hyperlink r:id="rId122" w:history="1">
        <w:r w:rsidR="00FF5468" w:rsidRPr="00FF5468">
          <w:rPr>
            <w:rStyle w:val="Hypertextovprepojenie"/>
          </w:rPr>
          <w:t>metodickým usmernením k</w:t>
        </w:r>
        <w:r w:rsidR="00C83C7A">
          <w:rPr>
            <w:rStyle w:val="Hypertextovprepojenie"/>
          </w:rPr>
          <w:t> </w:t>
        </w:r>
        <w:r w:rsidR="00FF5468" w:rsidRPr="00FF5468">
          <w:rPr>
            <w:rStyle w:val="Hypertextovprepojenie"/>
          </w:rPr>
          <w:t>prijímaciemu konaniu na bakalárske študijné programy na STU</w:t>
        </w:r>
      </w:hyperlink>
      <w:r w:rsidR="00FF5468">
        <w:t>, ktoré vydal rektor. Podmienka preukázania testom VŠP podľa tohto metodického usmernenia je splnená, ak úspešnosť testu VŠP je najmenej 50 %, ak sa test VŠP skladá z viacerých častí, úspešnosť každej časti je najmenej 50 %; v prípade certifikátu SCIO percentil každej časti testu VŠP je najmenej 50.</w:t>
      </w:r>
      <w:r w:rsidR="00C83C7A">
        <w:t xml:space="preserve"> </w:t>
      </w:r>
    </w:p>
    <w:p w14:paraId="4A6F4C15" w14:textId="590BF5E3" w:rsidR="006B7292" w:rsidRDefault="00573685" w:rsidP="00D37791">
      <w:pPr>
        <w:jc w:val="both"/>
      </w:pPr>
      <w:r>
        <w:t xml:space="preserve">Na všetkých súčastiach STU bol </w:t>
      </w:r>
      <w:r w:rsidR="0098345B">
        <w:t>zaznamenaný</w:t>
      </w:r>
      <w:r>
        <w:t xml:space="preserve"> veľký nárast uchádzačov o štúdium z Ukrajiny. Mnohí z nich si podali </w:t>
      </w:r>
      <w:r w:rsidR="0098345B">
        <w:t>prihlášky</w:t>
      </w:r>
      <w:r>
        <w:t xml:space="preserve"> na viac študijných programov v rámci jednej fakulty alebo aj v rámci STU. </w:t>
      </w:r>
      <w:r w:rsidR="006D4FBE">
        <w:t xml:space="preserve">V prijímacom konaní na akademický rok 2022/2023 si </w:t>
      </w:r>
      <w:r w:rsidR="006D4FBE" w:rsidRPr="00316C5E">
        <w:rPr>
          <w:b/>
        </w:rPr>
        <w:t>podalo prihlášku celkove</w:t>
      </w:r>
      <w:r w:rsidR="006D4FBE">
        <w:t xml:space="preserve"> </w:t>
      </w:r>
      <w:r w:rsidR="006D4FBE" w:rsidRPr="009B382E">
        <w:rPr>
          <w:b/>
        </w:rPr>
        <w:t>2 424 uchádzačov z Ukrajiny</w:t>
      </w:r>
      <w:r w:rsidR="006D4FBE">
        <w:t xml:space="preserve">, z toho </w:t>
      </w:r>
      <w:r w:rsidR="006D4FBE" w:rsidRPr="009B382E">
        <w:rPr>
          <w:b/>
        </w:rPr>
        <w:t>2 129</w:t>
      </w:r>
      <w:r w:rsidR="006D4FBE">
        <w:t xml:space="preserve"> na prvý </w:t>
      </w:r>
      <w:r w:rsidR="009B382E">
        <w:t>stupeň</w:t>
      </w:r>
      <w:r w:rsidR="006D4FBE">
        <w:t xml:space="preserve"> štúdia, </w:t>
      </w:r>
      <w:r w:rsidR="006D4FBE" w:rsidRPr="009B382E">
        <w:rPr>
          <w:b/>
        </w:rPr>
        <w:t>282</w:t>
      </w:r>
      <w:r w:rsidR="006D4FBE">
        <w:t xml:space="preserve"> na druhý stupeň štúdia a </w:t>
      </w:r>
      <w:r w:rsidR="006D4FBE" w:rsidRPr="009B382E">
        <w:rPr>
          <w:b/>
        </w:rPr>
        <w:t>12</w:t>
      </w:r>
      <w:r w:rsidR="006D4FBE">
        <w:t xml:space="preserve"> na tretí stupeň štúdia. </w:t>
      </w:r>
      <w:r w:rsidR="006B7292">
        <w:t>Z</w:t>
      </w:r>
      <w:r w:rsidR="00D37791">
        <w:t xml:space="preserve"> celkového počtu </w:t>
      </w:r>
      <w:r w:rsidR="006B7292">
        <w:t xml:space="preserve">2 129 </w:t>
      </w:r>
      <w:r w:rsidR="00D37791">
        <w:t xml:space="preserve">prihlásených </w:t>
      </w:r>
      <w:r w:rsidR="006B7292">
        <w:t xml:space="preserve">uchádzačov o štúdium prvého stupňa len 9 </w:t>
      </w:r>
      <w:r w:rsidR="00D37791">
        <w:t xml:space="preserve">uchádzači na FEI </w:t>
      </w:r>
      <w:r w:rsidR="006B7292">
        <w:t xml:space="preserve">využili možnosť </w:t>
      </w:r>
      <w:r w:rsidR="00D37791">
        <w:t>predložiť</w:t>
      </w:r>
      <w:r w:rsidR="006B7292">
        <w:t xml:space="preserve"> čestné vyhlásenie a vykonať test VŠP</w:t>
      </w:r>
      <w:r w:rsidR="00271994">
        <w:t>, ktorý zabezpečovala fakulta</w:t>
      </w:r>
      <w:r w:rsidR="008003C5">
        <w:t>, podľa § 56 ods. 2 zákona o vysokých školách</w:t>
      </w:r>
      <w:r w:rsidR="00D37791">
        <w:t xml:space="preserve">. Všetci ostatní uchádzači predložili </w:t>
      </w:r>
      <w:r w:rsidR="008003C5">
        <w:t>doklady</w:t>
      </w:r>
      <w:r w:rsidR="00D37791">
        <w:t xml:space="preserve"> o </w:t>
      </w:r>
      <w:r w:rsidR="008003C5">
        <w:t>absolvovaní</w:t>
      </w:r>
      <w:r w:rsidR="00D37791">
        <w:t xml:space="preserve"> strednej školy uznané </w:t>
      </w:r>
      <w:r w:rsidR="008003C5">
        <w:t>regionálnym úradom školskej správy ako rovnocenné maturitnému vysvedčeniu získanému v Slovenskej republike.</w:t>
      </w:r>
    </w:p>
    <w:p w14:paraId="0B7C5457" w14:textId="77777777" w:rsidR="0051386F" w:rsidRDefault="00962122" w:rsidP="0051386F">
      <w:pPr>
        <w:spacing w:after="120"/>
        <w:jc w:val="both"/>
      </w:pPr>
      <w:r>
        <w:t xml:space="preserve">MTF tiež ponúkala uchádzačom </w:t>
      </w:r>
      <w:r w:rsidR="006B7292" w:rsidRPr="00962122">
        <w:t>absolvovať test VŠP</w:t>
      </w:r>
      <w:r w:rsidR="00C34622">
        <w:t xml:space="preserve"> organizovaný fakultou</w:t>
      </w:r>
      <w:r w:rsidR="006B7292" w:rsidRPr="00962122">
        <w:t>, žiadny uchádzač to</w:t>
      </w:r>
      <w:r>
        <w:t xml:space="preserve"> </w:t>
      </w:r>
      <w:r w:rsidR="006B7292" w:rsidRPr="00962122">
        <w:t>nevyužil.</w:t>
      </w:r>
    </w:p>
    <w:p w14:paraId="1146966A" w14:textId="0CC18DED" w:rsidR="006D4FBE" w:rsidRDefault="00962122" w:rsidP="008774D7">
      <w:pPr>
        <w:spacing w:after="120"/>
        <w:jc w:val="both"/>
      </w:pPr>
      <w:r>
        <w:t xml:space="preserve">Na štúdium bolo </w:t>
      </w:r>
      <w:r w:rsidRPr="00316C5E">
        <w:rPr>
          <w:b/>
        </w:rPr>
        <w:t>prijatých 1</w:t>
      </w:r>
      <w:r w:rsidR="00316C5E" w:rsidRPr="00316C5E">
        <w:rPr>
          <w:b/>
        </w:rPr>
        <w:t xml:space="preserve"> </w:t>
      </w:r>
      <w:r w:rsidRPr="00316C5E">
        <w:rPr>
          <w:b/>
        </w:rPr>
        <w:t>217 uchádzačov z</w:t>
      </w:r>
      <w:r w:rsidR="00316C5E" w:rsidRPr="00316C5E">
        <w:rPr>
          <w:b/>
        </w:rPr>
        <w:t> </w:t>
      </w:r>
      <w:r w:rsidRPr="00316C5E">
        <w:rPr>
          <w:b/>
        </w:rPr>
        <w:t>Ukrajiny</w:t>
      </w:r>
      <w:r w:rsidR="00316C5E">
        <w:t xml:space="preserve">, z toho </w:t>
      </w:r>
      <w:r w:rsidR="00316C5E" w:rsidRPr="00316C5E">
        <w:rPr>
          <w:b/>
        </w:rPr>
        <w:t>1 121</w:t>
      </w:r>
      <w:r w:rsidR="00316C5E">
        <w:t xml:space="preserve"> na prvý stupeň, </w:t>
      </w:r>
      <w:r w:rsidR="00316C5E" w:rsidRPr="00316C5E">
        <w:rPr>
          <w:b/>
        </w:rPr>
        <w:t>90</w:t>
      </w:r>
      <w:r w:rsidR="00316C5E">
        <w:t xml:space="preserve"> na druhý stupeň a </w:t>
      </w:r>
      <w:r w:rsidR="00316C5E" w:rsidRPr="00316C5E">
        <w:rPr>
          <w:b/>
        </w:rPr>
        <w:t>6</w:t>
      </w:r>
      <w:r w:rsidR="00316C5E">
        <w:t xml:space="preserve"> na tretí stupeň. Na štúdium sa z</w:t>
      </w:r>
      <w:r>
        <w:t xml:space="preserve">apísalo </w:t>
      </w:r>
      <w:r w:rsidR="00316C5E">
        <w:t xml:space="preserve">spolu </w:t>
      </w:r>
      <w:r w:rsidR="00316C5E" w:rsidRPr="00316C5E">
        <w:rPr>
          <w:b/>
        </w:rPr>
        <w:t>950</w:t>
      </w:r>
      <w:r w:rsidR="00316C5E">
        <w:t xml:space="preserve"> prijatých uchádzačov</w:t>
      </w:r>
      <w:r w:rsidR="00C34622">
        <w:t xml:space="preserve">, z toho </w:t>
      </w:r>
      <w:r w:rsidR="00C34622" w:rsidRPr="0051386F">
        <w:rPr>
          <w:b/>
        </w:rPr>
        <w:t>879</w:t>
      </w:r>
      <w:r w:rsidR="00C34622">
        <w:t xml:space="preserve"> na prvý stupeň, </w:t>
      </w:r>
      <w:r w:rsidR="00C34622" w:rsidRPr="0051386F">
        <w:rPr>
          <w:b/>
        </w:rPr>
        <w:t xml:space="preserve">66 </w:t>
      </w:r>
      <w:r w:rsidR="00C34622">
        <w:t>na druhý stupeň a </w:t>
      </w:r>
      <w:r w:rsidR="00C34622" w:rsidRPr="0051386F">
        <w:rPr>
          <w:b/>
        </w:rPr>
        <w:t>5</w:t>
      </w:r>
      <w:r w:rsidR="00C34622">
        <w:t xml:space="preserve"> na tretí stupeň. </w:t>
      </w:r>
      <w:r w:rsidR="00193FFD">
        <w:t xml:space="preserve">Súčasti STU boli nútené posunúť termíny zápisov </w:t>
      </w:r>
      <w:r w:rsidR="0020717A">
        <w:t>u</w:t>
      </w:r>
      <w:r w:rsidR="00193FFD">
        <w:t xml:space="preserve">krajinských </w:t>
      </w:r>
      <w:r w:rsidR="00A13FD0">
        <w:t>uchádzačov na prvý stupeň štúdia, ktorí boli podmienečne prijatí na štúdium, z dôvodu problémov s vybavovaním uznaní dokladov o absolvovaní stredných škôl na Ukrajine.</w:t>
      </w:r>
      <w:r w:rsidR="00193FFD">
        <w:t xml:space="preserve"> </w:t>
      </w:r>
      <w:r w:rsidR="005803A5">
        <w:t xml:space="preserve">Väčšinou im bolo umožnené sa zapísať do konca septembra 2022, vo výnimočných prípadoch aj neskôr. </w:t>
      </w:r>
    </w:p>
    <w:p w14:paraId="7CF8D33E" w14:textId="7429E826" w:rsidR="00D67E23" w:rsidRDefault="00573685" w:rsidP="00193FFD">
      <w:pPr>
        <w:spacing w:after="120"/>
        <w:jc w:val="both"/>
      </w:pPr>
      <w:r>
        <w:t xml:space="preserve">Porovnanie </w:t>
      </w:r>
      <w:r w:rsidR="0098345B">
        <w:t>prijímacieho</w:t>
      </w:r>
      <w:r>
        <w:t xml:space="preserve"> </w:t>
      </w:r>
      <w:r w:rsidR="0098345B">
        <w:t>konania</w:t>
      </w:r>
      <w:r>
        <w:t xml:space="preserve"> na STU</w:t>
      </w:r>
      <w:r w:rsidR="005A7EF9">
        <w:t xml:space="preserve"> jej súčastiach </w:t>
      </w:r>
      <w:r>
        <w:t>za</w:t>
      </w:r>
      <w:r w:rsidR="0098345B">
        <w:t xml:space="preserve"> ostatné</w:t>
      </w:r>
      <w:r>
        <w:t xml:space="preserve"> tri akademické roky </w:t>
      </w:r>
      <w:r w:rsidR="00D67E23">
        <w:t xml:space="preserve">uvádza </w:t>
      </w:r>
      <w:r w:rsidR="00156AB1" w:rsidRPr="00271994">
        <w:fldChar w:fldCharType="begin"/>
      </w:r>
      <w:r w:rsidR="00156AB1" w:rsidRPr="00271994">
        <w:instrText xml:space="preserve"> REF _Ref127565514 \h </w:instrText>
      </w:r>
      <w:r w:rsidR="0098345B" w:rsidRPr="00271994">
        <w:instrText xml:space="preserve"> \* MERGEFORMAT </w:instrText>
      </w:r>
      <w:r w:rsidR="00156AB1" w:rsidRPr="00271994">
        <w:fldChar w:fldCharType="separate"/>
      </w:r>
      <w:r w:rsidR="00EE1B59" w:rsidRPr="00271994">
        <w:t xml:space="preserve">Tab. č. </w:t>
      </w:r>
      <w:r w:rsidR="00E82525">
        <w:t>76</w:t>
      </w:r>
      <w:r w:rsidR="00156AB1" w:rsidRPr="00271994">
        <w:fldChar w:fldCharType="end"/>
      </w:r>
      <w:r w:rsidR="00D67E23">
        <w:t>.</w:t>
      </w:r>
    </w:p>
    <w:p w14:paraId="68779F3D" w14:textId="463F59E5" w:rsidR="005C22FF" w:rsidRDefault="005C22FF" w:rsidP="005C22FF">
      <w:pPr>
        <w:tabs>
          <w:tab w:val="left" w:pos="9498"/>
        </w:tabs>
        <w:jc w:val="both"/>
        <w:rPr>
          <w:rFonts w:asciiTheme="majorHAnsi" w:hAnsiTheme="majorHAnsi" w:cstheme="majorHAnsi"/>
        </w:rPr>
      </w:pPr>
      <w:r>
        <w:rPr>
          <w:rFonts w:asciiTheme="majorHAnsi" w:hAnsiTheme="majorHAnsi" w:cstheme="majorHAnsi"/>
        </w:rPr>
        <w:t xml:space="preserve">STU mala v akademickom roku 2022/2023 (stav k 31. 10. 2022) celkovo </w:t>
      </w:r>
      <w:r>
        <w:rPr>
          <w:rFonts w:asciiTheme="majorHAnsi" w:hAnsiTheme="majorHAnsi" w:cstheme="majorHAnsi"/>
          <w:b/>
        </w:rPr>
        <w:t xml:space="preserve">1 194 </w:t>
      </w:r>
      <w:r w:rsidR="00271994">
        <w:rPr>
          <w:rFonts w:asciiTheme="majorHAnsi" w:hAnsiTheme="majorHAnsi" w:cstheme="majorHAnsi"/>
          <w:b/>
        </w:rPr>
        <w:t xml:space="preserve">ukrajinských </w:t>
      </w:r>
      <w:r>
        <w:rPr>
          <w:rFonts w:asciiTheme="majorHAnsi" w:hAnsiTheme="majorHAnsi" w:cstheme="majorHAnsi"/>
          <w:b/>
        </w:rPr>
        <w:t>študentov,</w:t>
      </w:r>
      <w:r>
        <w:rPr>
          <w:rFonts w:asciiTheme="majorHAnsi" w:hAnsiTheme="majorHAnsi" w:cstheme="majorHAnsi"/>
        </w:rPr>
        <w:t xml:space="preserve"> </w:t>
      </w:r>
      <w:r>
        <w:rPr>
          <w:rFonts w:asciiTheme="majorHAnsi" w:hAnsiTheme="majorHAnsi" w:cstheme="majorHAnsi"/>
          <w:b/>
        </w:rPr>
        <w:t>z toho 1 091 na prvom stupni, 93 na druhom stupni a </w:t>
      </w:r>
      <w:r w:rsidR="00753D01">
        <w:rPr>
          <w:rFonts w:asciiTheme="majorHAnsi" w:hAnsiTheme="majorHAnsi" w:cstheme="majorHAnsi"/>
          <w:b/>
        </w:rPr>
        <w:t>10</w:t>
      </w:r>
      <w:r>
        <w:rPr>
          <w:rFonts w:asciiTheme="majorHAnsi" w:hAnsiTheme="majorHAnsi" w:cstheme="majorHAnsi"/>
          <w:b/>
        </w:rPr>
        <w:t xml:space="preserve"> na treťom stupni štúdia. </w:t>
      </w:r>
      <w:r>
        <w:rPr>
          <w:rFonts w:asciiTheme="majorHAnsi" w:hAnsiTheme="majorHAnsi" w:cstheme="majorHAnsi"/>
        </w:rPr>
        <w:t xml:space="preserve">Prehľad o počtoch študentov </w:t>
      </w:r>
      <w:r w:rsidR="00753D01">
        <w:rPr>
          <w:rFonts w:asciiTheme="majorHAnsi" w:hAnsiTheme="majorHAnsi" w:cstheme="majorHAnsi"/>
        </w:rPr>
        <w:t xml:space="preserve">občanov Ukrajiny za ostatné tri akademické roky </w:t>
      </w:r>
      <w:r>
        <w:rPr>
          <w:rFonts w:asciiTheme="majorHAnsi" w:hAnsiTheme="majorHAnsi" w:cstheme="majorHAnsi"/>
        </w:rPr>
        <w:t xml:space="preserve">uvádza </w:t>
      </w:r>
      <w:r w:rsidRPr="00271994">
        <w:rPr>
          <w:rFonts w:asciiTheme="majorHAnsi" w:eastAsia="Times New Roman" w:hAnsiTheme="majorHAnsi" w:cstheme="majorHAnsi"/>
          <w:lang w:eastAsia="sk-SK"/>
        </w:rPr>
        <w:fldChar w:fldCharType="begin"/>
      </w:r>
      <w:r w:rsidRPr="00271994">
        <w:rPr>
          <w:rFonts w:asciiTheme="majorHAnsi" w:eastAsia="Times New Roman" w:hAnsiTheme="majorHAnsi" w:cstheme="majorHAnsi"/>
          <w:lang w:eastAsia="sk-SK"/>
        </w:rPr>
        <w:instrText xml:space="preserve"> REF _Ref31707092 \h  \* MERGEFORMAT </w:instrText>
      </w:r>
      <w:r w:rsidRPr="00271994">
        <w:rPr>
          <w:rFonts w:asciiTheme="majorHAnsi" w:eastAsia="Times New Roman" w:hAnsiTheme="majorHAnsi" w:cstheme="majorHAnsi"/>
          <w:lang w:eastAsia="sk-SK"/>
        </w:rPr>
      </w:r>
      <w:r w:rsidRPr="00271994">
        <w:rPr>
          <w:rFonts w:asciiTheme="majorHAnsi" w:eastAsia="Times New Roman" w:hAnsiTheme="majorHAnsi" w:cstheme="majorHAnsi"/>
          <w:lang w:eastAsia="sk-SK"/>
        </w:rPr>
        <w:fldChar w:fldCharType="separate"/>
      </w:r>
      <w:r w:rsidR="00EE1B59" w:rsidRPr="00271994">
        <w:rPr>
          <w:rFonts w:asciiTheme="majorHAnsi" w:eastAsia="Times New Roman" w:hAnsiTheme="majorHAnsi" w:cstheme="majorHAnsi"/>
          <w:lang w:eastAsia="sk-SK"/>
        </w:rPr>
        <w:t xml:space="preserve">Tab. č. </w:t>
      </w:r>
      <w:r w:rsidR="00E82525">
        <w:rPr>
          <w:rFonts w:asciiTheme="majorHAnsi" w:eastAsia="Times New Roman" w:hAnsiTheme="majorHAnsi" w:cstheme="majorHAnsi"/>
          <w:lang w:eastAsia="sk-SK"/>
        </w:rPr>
        <w:t>77</w:t>
      </w:r>
      <w:r w:rsidRPr="00271994">
        <w:rPr>
          <w:rFonts w:asciiTheme="majorHAnsi" w:eastAsia="Times New Roman" w:hAnsiTheme="majorHAnsi" w:cstheme="majorHAnsi"/>
          <w:lang w:eastAsia="sk-SK"/>
        </w:rPr>
        <w:fldChar w:fldCharType="end"/>
      </w:r>
      <w:r w:rsidRPr="00753D01">
        <w:rPr>
          <w:rFonts w:asciiTheme="majorHAnsi" w:hAnsiTheme="majorHAnsi" w:cstheme="majorHAnsi"/>
          <w:sz w:val="20"/>
        </w:rPr>
        <w:t xml:space="preserve">. </w:t>
      </w:r>
    </w:p>
    <w:p w14:paraId="5C996C64" w14:textId="0CA1C3C1" w:rsidR="00120CB6" w:rsidRDefault="00120CB6" w:rsidP="00FF5468"/>
    <w:p w14:paraId="4AC30C4F" w14:textId="232BD92E" w:rsidR="005803A5" w:rsidRDefault="0033348D" w:rsidP="00FA109F">
      <w:pPr>
        <w:jc w:val="both"/>
      </w:pPr>
      <w:r>
        <w:t xml:space="preserve">Jednotlivé súčasti STU </w:t>
      </w:r>
      <w:r w:rsidR="00271994">
        <w:t xml:space="preserve">im </w:t>
      </w:r>
      <w:r w:rsidR="002053C1">
        <w:t xml:space="preserve">z </w:t>
      </w:r>
      <w:r w:rsidR="002053C1" w:rsidRPr="002053C1">
        <w:t>dôvodu nedostatočnej jazykovej pripravenosti na štúdium v</w:t>
      </w:r>
      <w:r w:rsidR="002053C1">
        <w:t> </w:t>
      </w:r>
      <w:r w:rsidR="002053C1" w:rsidRPr="002053C1">
        <w:t xml:space="preserve">slovenskom jazyku </w:t>
      </w:r>
      <w:r w:rsidR="00271994">
        <w:t xml:space="preserve">ponúkali </w:t>
      </w:r>
      <w:r w:rsidR="00677527">
        <w:t>v letných mesiacoch alebo pred začiatkom akademického roka intenzívne kurzy slovenského jazyka</w:t>
      </w:r>
      <w:r w:rsidR="00CA19CF">
        <w:t xml:space="preserve"> (SvF, FCHPT)</w:t>
      </w:r>
      <w:r w:rsidR="00677527">
        <w:t>. Aj pri zápisoch bol ukrajinským študentom ponúknutý slovenský jazyk ako</w:t>
      </w:r>
      <w:r w:rsidR="00677527" w:rsidRPr="00FA109F">
        <w:t xml:space="preserve"> </w:t>
      </w:r>
      <w:r w:rsidR="00677527">
        <w:t>výberový predmet</w:t>
      </w:r>
      <w:r w:rsidR="00CA19CF">
        <w:t xml:space="preserve"> na všetkých fakultách a ÚM.</w:t>
      </w:r>
      <w:r>
        <w:t xml:space="preserve"> </w:t>
      </w:r>
    </w:p>
    <w:p w14:paraId="5C73A7A0" w14:textId="3A7BA730" w:rsidR="006D75F5" w:rsidRDefault="006D75F5" w:rsidP="00463AD8">
      <w:pPr>
        <w:spacing w:after="120"/>
        <w:jc w:val="both"/>
        <w:rPr>
          <w:rFonts w:asciiTheme="majorHAnsi" w:hAnsiTheme="majorHAnsi"/>
        </w:rPr>
        <w:sectPr w:rsidR="006D75F5" w:rsidSect="003E47AD">
          <w:headerReference w:type="default" r:id="rId123"/>
          <w:pgSz w:w="11906" w:h="16838"/>
          <w:pgMar w:top="1418" w:right="1418" w:bottom="993" w:left="1418" w:header="425" w:footer="391" w:gutter="0"/>
          <w:cols w:space="708"/>
        </w:sectPr>
      </w:pPr>
    </w:p>
    <w:p w14:paraId="6DF8F1EF" w14:textId="467F99E3" w:rsidR="00120CB6" w:rsidRPr="0053555E" w:rsidRDefault="009B429A" w:rsidP="000E3322">
      <w:pPr>
        <w:pStyle w:val="Popis"/>
      </w:pPr>
      <w:bookmarkStart w:id="320" w:name="_Ref127565514"/>
      <w:bookmarkStart w:id="321" w:name="_Toc127593327"/>
      <w:r w:rsidRPr="0053555E">
        <w:lastRenderedPageBreak/>
        <w:t xml:space="preserve">Tab. č. </w:t>
      </w:r>
      <w:bookmarkEnd w:id="320"/>
      <w:r w:rsidR="00E82525">
        <w:t>76</w:t>
      </w:r>
      <w:r w:rsidRPr="0053555E">
        <w:t>: Prehľad uchádzačov z Ukrajiny za ostatné tri akademické roky</w:t>
      </w:r>
      <w:bookmarkEnd w:id="321"/>
    </w:p>
    <w:tbl>
      <w:tblPr>
        <w:tblW w:w="14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5"/>
        <w:gridCol w:w="483"/>
        <w:gridCol w:w="484"/>
        <w:gridCol w:w="484"/>
        <w:gridCol w:w="484"/>
        <w:gridCol w:w="484"/>
        <w:gridCol w:w="484"/>
        <w:gridCol w:w="484"/>
        <w:gridCol w:w="484"/>
        <w:gridCol w:w="484"/>
        <w:gridCol w:w="518"/>
        <w:gridCol w:w="518"/>
        <w:gridCol w:w="519"/>
        <w:gridCol w:w="518"/>
        <w:gridCol w:w="518"/>
        <w:gridCol w:w="519"/>
        <w:gridCol w:w="518"/>
        <w:gridCol w:w="518"/>
        <w:gridCol w:w="519"/>
        <w:gridCol w:w="602"/>
        <w:gridCol w:w="602"/>
        <w:gridCol w:w="516"/>
        <w:gridCol w:w="491"/>
        <w:gridCol w:w="403"/>
        <w:gridCol w:w="516"/>
        <w:gridCol w:w="491"/>
        <w:gridCol w:w="403"/>
        <w:gridCol w:w="516"/>
      </w:tblGrid>
      <w:tr w:rsidR="0053555E" w:rsidRPr="0053555E" w14:paraId="1EFA9F14" w14:textId="77777777" w:rsidTr="00046D80">
        <w:trPr>
          <w:cantSplit/>
          <w:trHeight w:val="170"/>
        </w:trPr>
        <w:tc>
          <w:tcPr>
            <w:tcW w:w="715" w:type="dxa"/>
            <w:vMerge w:val="restart"/>
            <w:tcBorders>
              <w:right w:val="single" w:sz="12" w:space="0" w:color="auto"/>
            </w:tcBorders>
            <w:shd w:val="clear" w:color="auto" w:fill="auto"/>
            <w:noWrap/>
            <w:textDirection w:val="btLr"/>
            <w:vAlign w:val="center"/>
            <w:hideMark/>
          </w:tcPr>
          <w:p w14:paraId="5E3A8940" w14:textId="3F96633C" w:rsidR="00C13615" w:rsidRPr="0053555E" w:rsidRDefault="00C13615" w:rsidP="00C13615">
            <w:pPr>
              <w:ind w:left="113" w:right="113"/>
              <w:jc w:val="center"/>
              <w:rPr>
                <w:rFonts w:eastAsia="Times New Roman" w:cs="Calibri"/>
                <w:b/>
                <w:sz w:val="22"/>
                <w:szCs w:val="22"/>
                <w:lang w:eastAsia="sk-SK"/>
              </w:rPr>
            </w:pPr>
            <w:r w:rsidRPr="0053555E">
              <w:rPr>
                <w:rFonts w:eastAsia="Times New Roman" w:cs="Calibri"/>
                <w:b/>
                <w:sz w:val="22"/>
                <w:szCs w:val="22"/>
                <w:lang w:eastAsia="sk-SK"/>
              </w:rPr>
              <w:t>Súčasť STU</w:t>
            </w:r>
          </w:p>
        </w:tc>
        <w:tc>
          <w:tcPr>
            <w:tcW w:w="4355" w:type="dxa"/>
            <w:gridSpan w:val="9"/>
            <w:tcBorders>
              <w:left w:val="single" w:sz="12" w:space="0" w:color="auto"/>
              <w:right w:val="single" w:sz="12" w:space="0" w:color="auto"/>
            </w:tcBorders>
            <w:shd w:val="clear" w:color="auto" w:fill="auto"/>
            <w:noWrap/>
            <w:vAlign w:val="center"/>
            <w:hideMark/>
          </w:tcPr>
          <w:p w14:paraId="57DB4A32" w14:textId="77777777" w:rsidR="00C13615" w:rsidRPr="0053555E" w:rsidRDefault="00C13615" w:rsidP="00C13615">
            <w:pPr>
              <w:jc w:val="center"/>
              <w:rPr>
                <w:rFonts w:eastAsia="Times New Roman" w:cs="Calibri"/>
                <w:b/>
                <w:bCs/>
                <w:sz w:val="22"/>
                <w:szCs w:val="22"/>
                <w:lang w:eastAsia="sk-SK"/>
              </w:rPr>
            </w:pPr>
            <w:r w:rsidRPr="0053555E">
              <w:rPr>
                <w:rFonts w:eastAsia="Times New Roman" w:cs="Calibri"/>
                <w:b/>
                <w:bCs/>
                <w:sz w:val="22"/>
                <w:szCs w:val="22"/>
                <w:lang w:eastAsia="sk-SK"/>
              </w:rPr>
              <w:t xml:space="preserve">akad. rok 2020/2021 </w:t>
            </w:r>
            <w:r w:rsidRPr="0053555E">
              <w:rPr>
                <w:rFonts w:eastAsia="Times New Roman" w:cs="Calibri"/>
                <w:i/>
                <w:iCs/>
                <w:sz w:val="22"/>
                <w:szCs w:val="22"/>
                <w:lang w:eastAsia="sk-SK"/>
              </w:rPr>
              <w:t>(k 31.10.2020)</w:t>
            </w:r>
          </w:p>
        </w:tc>
        <w:tc>
          <w:tcPr>
            <w:tcW w:w="4665" w:type="dxa"/>
            <w:gridSpan w:val="9"/>
            <w:tcBorders>
              <w:left w:val="single" w:sz="12" w:space="0" w:color="auto"/>
              <w:right w:val="single" w:sz="12" w:space="0" w:color="auto"/>
            </w:tcBorders>
            <w:shd w:val="clear" w:color="auto" w:fill="auto"/>
            <w:noWrap/>
            <w:vAlign w:val="center"/>
            <w:hideMark/>
          </w:tcPr>
          <w:p w14:paraId="12BA4B8A" w14:textId="77777777" w:rsidR="00C13615" w:rsidRPr="0053555E" w:rsidRDefault="00C13615" w:rsidP="00C13615">
            <w:pPr>
              <w:jc w:val="center"/>
              <w:rPr>
                <w:rFonts w:eastAsia="Times New Roman" w:cs="Calibri"/>
                <w:b/>
                <w:bCs/>
                <w:sz w:val="22"/>
                <w:szCs w:val="22"/>
                <w:lang w:eastAsia="sk-SK"/>
              </w:rPr>
            </w:pPr>
            <w:r w:rsidRPr="0053555E">
              <w:rPr>
                <w:rFonts w:eastAsia="Times New Roman" w:cs="Calibri"/>
                <w:b/>
                <w:bCs/>
                <w:sz w:val="22"/>
                <w:szCs w:val="22"/>
                <w:lang w:eastAsia="sk-SK"/>
              </w:rPr>
              <w:t xml:space="preserve">akad. rok 2021/2022 </w:t>
            </w:r>
            <w:r w:rsidRPr="0053555E">
              <w:rPr>
                <w:rFonts w:eastAsia="Times New Roman" w:cs="Calibri"/>
                <w:i/>
                <w:iCs/>
                <w:sz w:val="22"/>
                <w:szCs w:val="22"/>
                <w:lang w:eastAsia="sk-SK"/>
              </w:rPr>
              <w:t>(k 31.10.2021)</w:t>
            </w:r>
          </w:p>
        </w:tc>
        <w:tc>
          <w:tcPr>
            <w:tcW w:w="4540" w:type="dxa"/>
            <w:gridSpan w:val="9"/>
            <w:tcBorders>
              <w:left w:val="single" w:sz="12" w:space="0" w:color="auto"/>
            </w:tcBorders>
            <w:shd w:val="clear" w:color="auto" w:fill="auto"/>
            <w:noWrap/>
            <w:vAlign w:val="center"/>
            <w:hideMark/>
          </w:tcPr>
          <w:p w14:paraId="0FF0ABC7" w14:textId="77777777" w:rsidR="00C13615" w:rsidRPr="0053555E" w:rsidRDefault="00C13615" w:rsidP="00C13615">
            <w:pPr>
              <w:jc w:val="center"/>
              <w:rPr>
                <w:rFonts w:eastAsia="Times New Roman" w:cs="Calibri"/>
                <w:b/>
                <w:bCs/>
                <w:sz w:val="22"/>
                <w:szCs w:val="22"/>
                <w:lang w:eastAsia="sk-SK"/>
              </w:rPr>
            </w:pPr>
            <w:r w:rsidRPr="0053555E">
              <w:rPr>
                <w:rFonts w:eastAsia="Times New Roman" w:cs="Calibri"/>
                <w:b/>
                <w:bCs/>
                <w:sz w:val="22"/>
                <w:szCs w:val="22"/>
                <w:lang w:eastAsia="sk-SK"/>
              </w:rPr>
              <w:t xml:space="preserve">akad. rok 2022/2023 </w:t>
            </w:r>
            <w:r w:rsidRPr="0053555E">
              <w:rPr>
                <w:rFonts w:eastAsia="Times New Roman" w:cs="Calibri"/>
                <w:i/>
                <w:iCs/>
                <w:sz w:val="22"/>
                <w:szCs w:val="22"/>
                <w:lang w:eastAsia="sk-SK"/>
              </w:rPr>
              <w:t>(k 31.10.2022)</w:t>
            </w:r>
          </w:p>
        </w:tc>
      </w:tr>
      <w:tr w:rsidR="00490F3A" w:rsidRPr="0053555E" w14:paraId="7D704E7D" w14:textId="77777777" w:rsidTr="00991718">
        <w:trPr>
          <w:cantSplit/>
          <w:trHeight w:val="170"/>
        </w:trPr>
        <w:tc>
          <w:tcPr>
            <w:tcW w:w="715" w:type="dxa"/>
            <w:vMerge/>
            <w:tcBorders>
              <w:right w:val="single" w:sz="12" w:space="0" w:color="auto"/>
            </w:tcBorders>
            <w:vAlign w:val="center"/>
            <w:hideMark/>
          </w:tcPr>
          <w:p w14:paraId="0FB57512" w14:textId="6F4BCE7F" w:rsidR="00490F3A" w:rsidRPr="0053555E" w:rsidRDefault="00490F3A" w:rsidP="00490F3A">
            <w:pPr>
              <w:rPr>
                <w:rFonts w:eastAsia="Times New Roman" w:cs="Calibri"/>
                <w:sz w:val="22"/>
                <w:szCs w:val="22"/>
                <w:lang w:eastAsia="sk-SK"/>
              </w:rPr>
            </w:pPr>
          </w:p>
        </w:tc>
        <w:tc>
          <w:tcPr>
            <w:tcW w:w="1451" w:type="dxa"/>
            <w:gridSpan w:val="3"/>
            <w:tcBorders>
              <w:left w:val="single" w:sz="12" w:space="0" w:color="auto"/>
            </w:tcBorders>
            <w:shd w:val="clear" w:color="auto" w:fill="auto"/>
            <w:noWrap/>
            <w:vAlign w:val="center"/>
            <w:hideMark/>
          </w:tcPr>
          <w:p w14:paraId="66D5CEB6" w14:textId="56E162D0" w:rsidR="00490F3A" w:rsidRPr="00490F3A" w:rsidRDefault="00490F3A" w:rsidP="00490F3A">
            <w:pPr>
              <w:jc w:val="center"/>
              <w:rPr>
                <w:rFonts w:eastAsia="Times New Roman" w:cs="Calibri"/>
                <w:bCs/>
                <w:sz w:val="22"/>
                <w:szCs w:val="20"/>
                <w:lang w:eastAsia="sk-SK"/>
              </w:rPr>
            </w:pPr>
            <w:r w:rsidRPr="00490F3A">
              <w:rPr>
                <w:rFonts w:eastAsia="Times New Roman" w:cs="Calibri"/>
                <w:bCs/>
                <w:sz w:val="22"/>
                <w:szCs w:val="20"/>
                <w:lang w:eastAsia="sk-SK"/>
              </w:rPr>
              <w:t>I.</w:t>
            </w:r>
            <w:r w:rsidRPr="00490F3A">
              <w:rPr>
                <w:rFonts w:cs="Calibri"/>
                <w:bCs/>
                <w:sz w:val="22"/>
                <w:szCs w:val="20"/>
              </w:rPr>
              <w:t xml:space="preserve"> stupeň</w:t>
            </w:r>
          </w:p>
        </w:tc>
        <w:tc>
          <w:tcPr>
            <w:tcW w:w="1452" w:type="dxa"/>
            <w:gridSpan w:val="3"/>
            <w:shd w:val="clear" w:color="auto" w:fill="auto"/>
            <w:noWrap/>
            <w:vAlign w:val="center"/>
            <w:hideMark/>
          </w:tcPr>
          <w:p w14:paraId="33680455" w14:textId="44272679" w:rsidR="00490F3A" w:rsidRPr="00490F3A" w:rsidRDefault="00490F3A" w:rsidP="00490F3A">
            <w:pPr>
              <w:jc w:val="center"/>
              <w:rPr>
                <w:rFonts w:eastAsia="Times New Roman" w:cs="Calibri"/>
                <w:bCs/>
                <w:sz w:val="22"/>
                <w:szCs w:val="20"/>
                <w:lang w:eastAsia="sk-SK"/>
              </w:rPr>
            </w:pPr>
            <w:r w:rsidRPr="00490F3A">
              <w:rPr>
                <w:rFonts w:eastAsia="Times New Roman" w:cs="Calibri"/>
                <w:bCs/>
                <w:sz w:val="22"/>
                <w:szCs w:val="20"/>
                <w:lang w:eastAsia="sk-SK"/>
              </w:rPr>
              <w:t>II.</w:t>
            </w:r>
            <w:r w:rsidRPr="00490F3A">
              <w:rPr>
                <w:rFonts w:cs="Calibri"/>
                <w:bCs/>
                <w:sz w:val="22"/>
                <w:szCs w:val="20"/>
              </w:rPr>
              <w:t xml:space="preserve"> stupeň</w:t>
            </w:r>
            <w:r w:rsidRPr="00490F3A">
              <w:rPr>
                <w:rFonts w:eastAsia="Times New Roman" w:cs="Calibri"/>
                <w:bCs/>
                <w:sz w:val="22"/>
                <w:szCs w:val="20"/>
                <w:lang w:eastAsia="sk-SK"/>
              </w:rPr>
              <w:t xml:space="preserve"> </w:t>
            </w:r>
          </w:p>
        </w:tc>
        <w:tc>
          <w:tcPr>
            <w:tcW w:w="1452" w:type="dxa"/>
            <w:gridSpan w:val="3"/>
            <w:tcBorders>
              <w:right w:val="single" w:sz="12" w:space="0" w:color="auto"/>
            </w:tcBorders>
            <w:shd w:val="clear" w:color="auto" w:fill="auto"/>
            <w:noWrap/>
            <w:vAlign w:val="center"/>
            <w:hideMark/>
          </w:tcPr>
          <w:p w14:paraId="387AF25E" w14:textId="64FDB2E8" w:rsidR="00490F3A" w:rsidRPr="00490F3A" w:rsidRDefault="00490F3A" w:rsidP="00490F3A">
            <w:pPr>
              <w:jc w:val="center"/>
              <w:rPr>
                <w:rFonts w:eastAsia="Times New Roman" w:cs="Calibri"/>
                <w:bCs/>
                <w:sz w:val="22"/>
                <w:szCs w:val="20"/>
                <w:lang w:eastAsia="sk-SK"/>
              </w:rPr>
            </w:pPr>
            <w:r w:rsidRPr="00490F3A">
              <w:rPr>
                <w:rFonts w:eastAsia="Times New Roman" w:cs="Calibri"/>
                <w:bCs/>
                <w:sz w:val="22"/>
                <w:szCs w:val="20"/>
                <w:lang w:eastAsia="sk-SK"/>
              </w:rPr>
              <w:t>III.</w:t>
            </w:r>
            <w:r w:rsidRPr="00490F3A">
              <w:rPr>
                <w:rFonts w:cs="Calibri"/>
                <w:bCs/>
                <w:sz w:val="22"/>
                <w:szCs w:val="20"/>
              </w:rPr>
              <w:t xml:space="preserve"> stupeň</w:t>
            </w:r>
            <w:r w:rsidRPr="00490F3A">
              <w:rPr>
                <w:rFonts w:eastAsia="Times New Roman" w:cs="Calibri"/>
                <w:bCs/>
                <w:sz w:val="22"/>
                <w:szCs w:val="20"/>
                <w:lang w:eastAsia="sk-SK"/>
              </w:rPr>
              <w:t xml:space="preserve"> </w:t>
            </w:r>
          </w:p>
        </w:tc>
        <w:tc>
          <w:tcPr>
            <w:tcW w:w="1555" w:type="dxa"/>
            <w:gridSpan w:val="3"/>
            <w:tcBorders>
              <w:left w:val="single" w:sz="12" w:space="0" w:color="auto"/>
            </w:tcBorders>
            <w:shd w:val="clear" w:color="auto" w:fill="auto"/>
            <w:noWrap/>
            <w:vAlign w:val="center"/>
            <w:hideMark/>
          </w:tcPr>
          <w:p w14:paraId="5FB0D08B" w14:textId="688C208B" w:rsidR="00490F3A" w:rsidRPr="00490F3A" w:rsidRDefault="00490F3A" w:rsidP="00490F3A">
            <w:pPr>
              <w:jc w:val="center"/>
              <w:rPr>
                <w:rFonts w:eastAsia="Times New Roman" w:cs="Calibri"/>
                <w:bCs/>
                <w:sz w:val="22"/>
                <w:szCs w:val="20"/>
                <w:lang w:eastAsia="sk-SK"/>
              </w:rPr>
            </w:pPr>
            <w:r w:rsidRPr="00490F3A">
              <w:rPr>
                <w:rFonts w:eastAsia="Times New Roman" w:cs="Calibri"/>
                <w:bCs/>
                <w:sz w:val="22"/>
                <w:szCs w:val="20"/>
                <w:lang w:eastAsia="sk-SK"/>
              </w:rPr>
              <w:t>I.</w:t>
            </w:r>
            <w:r w:rsidRPr="00490F3A">
              <w:rPr>
                <w:rFonts w:cs="Calibri"/>
                <w:bCs/>
                <w:sz w:val="22"/>
                <w:szCs w:val="20"/>
              </w:rPr>
              <w:t xml:space="preserve"> stupeň</w:t>
            </w:r>
          </w:p>
        </w:tc>
        <w:tc>
          <w:tcPr>
            <w:tcW w:w="1555" w:type="dxa"/>
            <w:gridSpan w:val="3"/>
            <w:shd w:val="clear" w:color="auto" w:fill="auto"/>
            <w:noWrap/>
            <w:vAlign w:val="center"/>
            <w:hideMark/>
          </w:tcPr>
          <w:p w14:paraId="1D3D60E1" w14:textId="62756C64" w:rsidR="00490F3A" w:rsidRPr="00490F3A" w:rsidRDefault="00490F3A" w:rsidP="00490F3A">
            <w:pPr>
              <w:jc w:val="center"/>
              <w:rPr>
                <w:rFonts w:eastAsia="Times New Roman" w:cs="Calibri"/>
                <w:bCs/>
                <w:sz w:val="22"/>
                <w:szCs w:val="20"/>
                <w:lang w:eastAsia="sk-SK"/>
              </w:rPr>
            </w:pPr>
            <w:r w:rsidRPr="00490F3A">
              <w:rPr>
                <w:rFonts w:eastAsia="Times New Roman" w:cs="Calibri"/>
                <w:bCs/>
                <w:sz w:val="22"/>
                <w:szCs w:val="20"/>
                <w:lang w:eastAsia="sk-SK"/>
              </w:rPr>
              <w:t>II.</w:t>
            </w:r>
            <w:r w:rsidRPr="00490F3A">
              <w:rPr>
                <w:rFonts w:cs="Calibri"/>
                <w:bCs/>
                <w:sz w:val="22"/>
                <w:szCs w:val="20"/>
              </w:rPr>
              <w:t xml:space="preserve"> stupeň</w:t>
            </w:r>
            <w:r w:rsidRPr="00490F3A">
              <w:rPr>
                <w:rFonts w:eastAsia="Times New Roman" w:cs="Calibri"/>
                <w:bCs/>
                <w:sz w:val="22"/>
                <w:szCs w:val="20"/>
                <w:lang w:eastAsia="sk-SK"/>
              </w:rPr>
              <w:t xml:space="preserve"> </w:t>
            </w:r>
          </w:p>
        </w:tc>
        <w:tc>
          <w:tcPr>
            <w:tcW w:w="1555" w:type="dxa"/>
            <w:gridSpan w:val="3"/>
            <w:tcBorders>
              <w:right w:val="single" w:sz="12" w:space="0" w:color="auto"/>
            </w:tcBorders>
            <w:shd w:val="clear" w:color="auto" w:fill="auto"/>
            <w:noWrap/>
            <w:vAlign w:val="center"/>
            <w:hideMark/>
          </w:tcPr>
          <w:p w14:paraId="56BA5F4B" w14:textId="2C8AE322" w:rsidR="00490F3A" w:rsidRPr="00490F3A" w:rsidRDefault="00490F3A" w:rsidP="00490F3A">
            <w:pPr>
              <w:jc w:val="center"/>
              <w:rPr>
                <w:rFonts w:eastAsia="Times New Roman" w:cs="Calibri"/>
                <w:bCs/>
                <w:sz w:val="22"/>
                <w:szCs w:val="20"/>
                <w:lang w:eastAsia="sk-SK"/>
              </w:rPr>
            </w:pPr>
            <w:r w:rsidRPr="00490F3A">
              <w:rPr>
                <w:rFonts w:eastAsia="Times New Roman" w:cs="Calibri"/>
                <w:bCs/>
                <w:sz w:val="22"/>
                <w:szCs w:val="20"/>
                <w:lang w:eastAsia="sk-SK"/>
              </w:rPr>
              <w:t>III.</w:t>
            </w:r>
            <w:r w:rsidRPr="00490F3A">
              <w:rPr>
                <w:rFonts w:cs="Calibri"/>
                <w:bCs/>
                <w:sz w:val="22"/>
                <w:szCs w:val="20"/>
              </w:rPr>
              <w:t xml:space="preserve"> stupeň</w:t>
            </w:r>
            <w:r w:rsidRPr="00490F3A">
              <w:rPr>
                <w:rFonts w:eastAsia="Times New Roman" w:cs="Calibri"/>
                <w:bCs/>
                <w:sz w:val="22"/>
                <w:szCs w:val="20"/>
                <w:lang w:eastAsia="sk-SK"/>
              </w:rPr>
              <w:t xml:space="preserve"> </w:t>
            </w:r>
          </w:p>
        </w:tc>
        <w:tc>
          <w:tcPr>
            <w:tcW w:w="1720" w:type="dxa"/>
            <w:gridSpan w:val="3"/>
            <w:tcBorders>
              <w:left w:val="single" w:sz="12" w:space="0" w:color="auto"/>
            </w:tcBorders>
            <w:shd w:val="clear" w:color="auto" w:fill="auto"/>
            <w:noWrap/>
            <w:vAlign w:val="center"/>
            <w:hideMark/>
          </w:tcPr>
          <w:p w14:paraId="46E6ABFE" w14:textId="0133037A" w:rsidR="00490F3A" w:rsidRPr="00490F3A" w:rsidRDefault="00490F3A" w:rsidP="00490F3A">
            <w:pPr>
              <w:jc w:val="center"/>
              <w:rPr>
                <w:rFonts w:eastAsia="Times New Roman" w:cs="Calibri"/>
                <w:bCs/>
                <w:sz w:val="22"/>
                <w:szCs w:val="20"/>
                <w:lang w:eastAsia="sk-SK"/>
              </w:rPr>
            </w:pPr>
            <w:r w:rsidRPr="00490F3A">
              <w:rPr>
                <w:rFonts w:eastAsia="Times New Roman" w:cs="Calibri"/>
                <w:bCs/>
                <w:sz w:val="22"/>
                <w:szCs w:val="20"/>
                <w:lang w:eastAsia="sk-SK"/>
              </w:rPr>
              <w:t>I.</w:t>
            </w:r>
            <w:r w:rsidRPr="00490F3A">
              <w:rPr>
                <w:rFonts w:cs="Calibri"/>
                <w:bCs/>
                <w:sz w:val="22"/>
                <w:szCs w:val="20"/>
              </w:rPr>
              <w:t xml:space="preserve"> stupeň</w:t>
            </w:r>
          </w:p>
        </w:tc>
        <w:tc>
          <w:tcPr>
            <w:tcW w:w="1410" w:type="dxa"/>
            <w:gridSpan w:val="3"/>
            <w:shd w:val="clear" w:color="auto" w:fill="auto"/>
            <w:noWrap/>
            <w:vAlign w:val="center"/>
            <w:hideMark/>
          </w:tcPr>
          <w:p w14:paraId="1A6110C2" w14:textId="65B0D0C1" w:rsidR="00490F3A" w:rsidRPr="00490F3A" w:rsidRDefault="00490F3A" w:rsidP="00490F3A">
            <w:pPr>
              <w:jc w:val="center"/>
              <w:rPr>
                <w:rFonts w:eastAsia="Times New Roman" w:cs="Calibri"/>
                <w:bCs/>
                <w:sz w:val="22"/>
                <w:szCs w:val="20"/>
                <w:lang w:eastAsia="sk-SK"/>
              </w:rPr>
            </w:pPr>
            <w:r w:rsidRPr="00490F3A">
              <w:rPr>
                <w:rFonts w:eastAsia="Times New Roman" w:cs="Calibri"/>
                <w:bCs/>
                <w:sz w:val="22"/>
                <w:szCs w:val="20"/>
                <w:lang w:eastAsia="sk-SK"/>
              </w:rPr>
              <w:t>II.</w:t>
            </w:r>
            <w:r w:rsidRPr="00490F3A">
              <w:rPr>
                <w:rFonts w:cs="Calibri"/>
                <w:bCs/>
                <w:sz w:val="22"/>
                <w:szCs w:val="20"/>
              </w:rPr>
              <w:t xml:space="preserve"> stupeň</w:t>
            </w:r>
            <w:r w:rsidRPr="00490F3A">
              <w:rPr>
                <w:rFonts w:eastAsia="Times New Roman" w:cs="Calibri"/>
                <w:bCs/>
                <w:sz w:val="22"/>
                <w:szCs w:val="20"/>
                <w:lang w:eastAsia="sk-SK"/>
              </w:rPr>
              <w:t xml:space="preserve"> </w:t>
            </w:r>
          </w:p>
        </w:tc>
        <w:tc>
          <w:tcPr>
            <w:tcW w:w="1410" w:type="dxa"/>
            <w:gridSpan w:val="3"/>
            <w:shd w:val="clear" w:color="auto" w:fill="auto"/>
            <w:noWrap/>
            <w:vAlign w:val="center"/>
            <w:hideMark/>
          </w:tcPr>
          <w:p w14:paraId="18CCA205" w14:textId="425C0108" w:rsidR="00490F3A" w:rsidRPr="00490F3A" w:rsidRDefault="00490F3A" w:rsidP="00490F3A">
            <w:pPr>
              <w:jc w:val="center"/>
              <w:rPr>
                <w:rFonts w:eastAsia="Times New Roman" w:cs="Calibri"/>
                <w:bCs/>
                <w:sz w:val="22"/>
                <w:szCs w:val="20"/>
                <w:lang w:eastAsia="sk-SK"/>
              </w:rPr>
            </w:pPr>
            <w:r w:rsidRPr="00490F3A">
              <w:rPr>
                <w:rFonts w:eastAsia="Times New Roman" w:cs="Calibri"/>
                <w:bCs/>
                <w:sz w:val="22"/>
                <w:szCs w:val="20"/>
                <w:lang w:eastAsia="sk-SK"/>
              </w:rPr>
              <w:t>III.</w:t>
            </w:r>
            <w:r w:rsidRPr="00490F3A">
              <w:rPr>
                <w:rFonts w:cs="Calibri"/>
                <w:bCs/>
                <w:sz w:val="22"/>
                <w:szCs w:val="20"/>
              </w:rPr>
              <w:t xml:space="preserve"> stupeň</w:t>
            </w:r>
            <w:r w:rsidRPr="00490F3A">
              <w:rPr>
                <w:rFonts w:eastAsia="Times New Roman" w:cs="Calibri"/>
                <w:bCs/>
                <w:sz w:val="22"/>
                <w:szCs w:val="20"/>
                <w:lang w:eastAsia="sk-SK"/>
              </w:rPr>
              <w:t xml:space="preserve"> </w:t>
            </w:r>
          </w:p>
        </w:tc>
      </w:tr>
      <w:tr w:rsidR="00490F3A" w:rsidRPr="0053555E" w14:paraId="62A74CCB" w14:textId="77777777" w:rsidTr="00046D80">
        <w:trPr>
          <w:cantSplit/>
          <w:trHeight w:val="170"/>
        </w:trPr>
        <w:tc>
          <w:tcPr>
            <w:tcW w:w="715" w:type="dxa"/>
            <w:vMerge/>
            <w:tcBorders>
              <w:right w:val="single" w:sz="12" w:space="0" w:color="auto"/>
            </w:tcBorders>
            <w:shd w:val="clear" w:color="auto" w:fill="auto"/>
            <w:noWrap/>
            <w:vAlign w:val="center"/>
            <w:hideMark/>
          </w:tcPr>
          <w:p w14:paraId="588005D9" w14:textId="7E2BC610" w:rsidR="00490F3A" w:rsidRPr="0053555E" w:rsidRDefault="00490F3A" w:rsidP="00490F3A">
            <w:pPr>
              <w:rPr>
                <w:rFonts w:eastAsia="Times New Roman" w:cs="Calibri"/>
                <w:sz w:val="22"/>
                <w:szCs w:val="22"/>
                <w:lang w:eastAsia="sk-SK"/>
              </w:rPr>
            </w:pPr>
          </w:p>
        </w:tc>
        <w:tc>
          <w:tcPr>
            <w:tcW w:w="483" w:type="dxa"/>
            <w:tcBorders>
              <w:left w:val="single" w:sz="12" w:space="0" w:color="auto"/>
            </w:tcBorders>
            <w:shd w:val="clear" w:color="auto" w:fill="auto"/>
            <w:noWrap/>
            <w:vAlign w:val="center"/>
            <w:hideMark/>
          </w:tcPr>
          <w:p w14:paraId="257E709E" w14:textId="105C798D" w:rsidR="00490F3A" w:rsidRPr="00490F3A" w:rsidRDefault="00490F3A" w:rsidP="00490F3A">
            <w:pPr>
              <w:jc w:val="center"/>
              <w:rPr>
                <w:rFonts w:eastAsia="Times New Roman" w:cs="Calibri"/>
                <w:sz w:val="22"/>
                <w:lang w:eastAsia="sk-SK"/>
              </w:rPr>
            </w:pPr>
            <w:r w:rsidRPr="00490F3A">
              <w:rPr>
                <w:rFonts w:eastAsia="Times New Roman" w:cs="Calibri"/>
                <w:sz w:val="22"/>
                <w:lang w:val="en-US" w:eastAsia="sk-SK"/>
              </w:rPr>
              <w:t>Ph</w:t>
            </w:r>
          </w:p>
        </w:tc>
        <w:tc>
          <w:tcPr>
            <w:tcW w:w="484" w:type="dxa"/>
            <w:shd w:val="clear" w:color="auto" w:fill="auto"/>
            <w:noWrap/>
            <w:vAlign w:val="center"/>
            <w:hideMark/>
          </w:tcPr>
          <w:p w14:paraId="7EB32EC4" w14:textId="0B5C1E56" w:rsidR="00490F3A" w:rsidRPr="00490F3A" w:rsidRDefault="00490F3A" w:rsidP="00490F3A">
            <w:pPr>
              <w:jc w:val="center"/>
              <w:rPr>
                <w:rFonts w:eastAsia="Times New Roman" w:cs="Calibri"/>
                <w:sz w:val="22"/>
                <w:lang w:eastAsia="sk-SK"/>
              </w:rPr>
            </w:pPr>
            <w:r w:rsidRPr="00490F3A">
              <w:rPr>
                <w:rFonts w:eastAsia="Times New Roman" w:cs="Calibri"/>
                <w:sz w:val="22"/>
                <w:lang w:val="en-US" w:eastAsia="sk-SK"/>
              </w:rPr>
              <w:t>Pr</w:t>
            </w:r>
          </w:p>
        </w:tc>
        <w:tc>
          <w:tcPr>
            <w:tcW w:w="484" w:type="dxa"/>
            <w:shd w:val="clear" w:color="auto" w:fill="auto"/>
            <w:noWrap/>
            <w:vAlign w:val="center"/>
            <w:hideMark/>
          </w:tcPr>
          <w:p w14:paraId="3B161F72" w14:textId="0E2EBC29" w:rsidR="00490F3A" w:rsidRPr="00490F3A" w:rsidRDefault="00490F3A" w:rsidP="00490F3A">
            <w:pPr>
              <w:jc w:val="center"/>
              <w:rPr>
                <w:rFonts w:eastAsia="Times New Roman" w:cs="Calibri"/>
                <w:sz w:val="22"/>
                <w:lang w:eastAsia="sk-SK"/>
              </w:rPr>
            </w:pPr>
            <w:r w:rsidRPr="00490F3A">
              <w:rPr>
                <w:rFonts w:eastAsia="Times New Roman" w:cs="Calibri"/>
                <w:sz w:val="22"/>
                <w:lang w:val="en-US" w:eastAsia="sk-SK"/>
              </w:rPr>
              <w:t>Z</w:t>
            </w:r>
          </w:p>
        </w:tc>
        <w:tc>
          <w:tcPr>
            <w:tcW w:w="484" w:type="dxa"/>
            <w:shd w:val="clear" w:color="auto" w:fill="auto"/>
            <w:noWrap/>
            <w:vAlign w:val="center"/>
            <w:hideMark/>
          </w:tcPr>
          <w:p w14:paraId="5AC13732" w14:textId="6714CFD9" w:rsidR="00490F3A" w:rsidRPr="00490F3A" w:rsidRDefault="00490F3A" w:rsidP="00490F3A">
            <w:pPr>
              <w:jc w:val="center"/>
              <w:rPr>
                <w:rFonts w:eastAsia="Times New Roman" w:cs="Calibri"/>
                <w:sz w:val="22"/>
                <w:lang w:eastAsia="sk-SK"/>
              </w:rPr>
            </w:pPr>
            <w:r w:rsidRPr="00490F3A">
              <w:rPr>
                <w:sz w:val="22"/>
              </w:rPr>
              <w:t>Ph</w:t>
            </w:r>
          </w:p>
        </w:tc>
        <w:tc>
          <w:tcPr>
            <w:tcW w:w="484" w:type="dxa"/>
            <w:shd w:val="clear" w:color="auto" w:fill="auto"/>
            <w:noWrap/>
            <w:vAlign w:val="center"/>
            <w:hideMark/>
          </w:tcPr>
          <w:p w14:paraId="416F70C0" w14:textId="77401CCE" w:rsidR="00490F3A" w:rsidRPr="00490F3A" w:rsidRDefault="00490F3A" w:rsidP="00490F3A">
            <w:pPr>
              <w:jc w:val="center"/>
              <w:rPr>
                <w:rFonts w:eastAsia="Times New Roman" w:cs="Calibri"/>
                <w:sz w:val="22"/>
                <w:lang w:eastAsia="sk-SK"/>
              </w:rPr>
            </w:pPr>
            <w:r w:rsidRPr="00490F3A">
              <w:rPr>
                <w:sz w:val="22"/>
              </w:rPr>
              <w:t>Pr</w:t>
            </w:r>
          </w:p>
        </w:tc>
        <w:tc>
          <w:tcPr>
            <w:tcW w:w="484" w:type="dxa"/>
            <w:shd w:val="clear" w:color="auto" w:fill="auto"/>
            <w:noWrap/>
            <w:vAlign w:val="center"/>
            <w:hideMark/>
          </w:tcPr>
          <w:p w14:paraId="6B454BB1" w14:textId="5412334C" w:rsidR="00490F3A" w:rsidRPr="00490F3A" w:rsidRDefault="00490F3A" w:rsidP="00490F3A">
            <w:pPr>
              <w:jc w:val="center"/>
              <w:rPr>
                <w:rFonts w:eastAsia="Times New Roman" w:cs="Calibri"/>
                <w:sz w:val="22"/>
                <w:lang w:eastAsia="sk-SK"/>
              </w:rPr>
            </w:pPr>
            <w:r w:rsidRPr="00490F3A">
              <w:rPr>
                <w:sz w:val="22"/>
              </w:rPr>
              <w:t>Z</w:t>
            </w:r>
          </w:p>
        </w:tc>
        <w:tc>
          <w:tcPr>
            <w:tcW w:w="484" w:type="dxa"/>
            <w:shd w:val="clear" w:color="auto" w:fill="auto"/>
            <w:noWrap/>
            <w:vAlign w:val="center"/>
            <w:hideMark/>
          </w:tcPr>
          <w:p w14:paraId="5C75AC40" w14:textId="0BEDF5D0" w:rsidR="00490F3A" w:rsidRPr="00490F3A" w:rsidRDefault="00490F3A" w:rsidP="00490F3A">
            <w:pPr>
              <w:jc w:val="center"/>
              <w:rPr>
                <w:rFonts w:eastAsia="Times New Roman" w:cs="Calibri"/>
                <w:sz w:val="22"/>
                <w:lang w:eastAsia="sk-SK"/>
              </w:rPr>
            </w:pPr>
            <w:r w:rsidRPr="00490F3A">
              <w:rPr>
                <w:sz w:val="22"/>
              </w:rPr>
              <w:t>Ph</w:t>
            </w:r>
          </w:p>
        </w:tc>
        <w:tc>
          <w:tcPr>
            <w:tcW w:w="484" w:type="dxa"/>
            <w:shd w:val="clear" w:color="auto" w:fill="auto"/>
            <w:noWrap/>
            <w:vAlign w:val="center"/>
            <w:hideMark/>
          </w:tcPr>
          <w:p w14:paraId="295E0345" w14:textId="55A61C18" w:rsidR="00490F3A" w:rsidRPr="00490F3A" w:rsidRDefault="00490F3A" w:rsidP="00490F3A">
            <w:pPr>
              <w:jc w:val="center"/>
              <w:rPr>
                <w:rFonts w:eastAsia="Times New Roman" w:cs="Calibri"/>
                <w:sz w:val="22"/>
                <w:lang w:eastAsia="sk-SK"/>
              </w:rPr>
            </w:pPr>
            <w:r w:rsidRPr="00490F3A">
              <w:rPr>
                <w:sz w:val="22"/>
              </w:rPr>
              <w:t>Pr</w:t>
            </w:r>
          </w:p>
        </w:tc>
        <w:tc>
          <w:tcPr>
            <w:tcW w:w="484" w:type="dxa"/>
            <w:tcBorders>
              <w:right w:val="single" w:sz="12" w:space="0" w:color="auto"/>
            </w:tcBorders>
            <w:shd w:val="clear" w:color="auto" w:fill="auto"/>
            <w:noWrap/>
            <w:vAlign w:val="center"/>
            <w:hideMark/>
          </w:tcPr>
          <w:p w14:paraId="16B036C0" w14:textId="2941CD0D" w:rsidR="00490F3A" w:rsidRPr="00490F3A" w:rsidRDefault="00490F3A" w:rsidP="00490F3A">
            <w:pPr>
              <w:jc w:val="center"/>
              <w:rPr>
                <w:rFonts w:eastAsia="Times New Roman" w:cs="Calibri"/>
                <w:sz w:val="22"/>
                <w:lang w:eastAsia="sk-SK"/>
              </w:rPr>
            </w:pPr>
            <w:r w:rsidRPr="00490F3A">
              <w:rPr>
                <w:sz w:val="22"/>
              </w:rPr>
              <w:t>Z</w:t>
            </w:r>
          </w:p>
        </w:tc>
        <w:tc>
          <w:tcPr>
            <w:tcW w:w="518" w:type="dxa"/>
            <w:tcBorders>
              <w:left w:val="single" w:sz="12" w:space="0" w:color="auto"/>
            </w:tcBorders>
            <w:shd w:val="clear" w:color="auto" w:fill="auto"/>
            <w:noWrap/>
            <w:vAlign w:val="center"/>
            <w:hideMark/>
          </w:tcPr>
          <w:p w14:paraId="01311E93" w14:textId="0B6092EC" w:rsidR="00490F3A" w:rsidRPr="00490F3A" w:rsidRDefault="00490F3A" w:rsidP="00490F3A">
            <w:pPr>
              <w:jc w:val="center"/>
              <w:rPr>
                <w:rFonts w:eastAsia="Times New Roman" w:cs="Calibri"/>
                <w:sz w:val="22"/>
                <w:lang w:eastAsia="sk-SK"/>
              </w:rPr>
            </w:pPr>
            <w:r w:rsidRPr="00490F3A">
              <w:rPr>
                <w:sz w:val="22"/>
              </w:rPr>
              <w:t>Ph</w:t>
            </w:r>
          </w:p>
        </w:tc>
        <w:tc>
          <w:tcPr>
            <w:tcW w:w="518" w:type="dxa"/>
            <w:shd w:val="clear" w:color="auto" w:fill="auto"/>
            <w:noWrap/>
            <w:vAlign w:val="center"/>
            <w:hideMark/>
          </w:tcPr>
          <w:p w14:paraId="546E9111" w14:textId="47C76B9D" w:rsidR="00490F3A" w:rsidRPr="00490F3A" w:rsidRDefault="00490F3A" w:rsidP="00490F3A">
            <w:pPr>
              <w:jc w:val="center"/>
              <w:rPr>
                <w:rFonts w:eastAsia="Times New Roman" w:cs="Calibri"/>
                <w:sz w:val="22"/>
                <w:lang w:eastAsia="sk-SK"/>
              </w:rPr>
            </w:pPr>
            <w:r w:rsidRPr="00490F3A">
              <w:rPr>
                <w:sz w:val="22"/>
              </w:rPr>
              <w:t>Pr</w:t>
            </w:r>
          </w:p>
        </w:tc>
        <w:tc>
          <w:tcPr>
            <w:tcW w:w="519" w:type="dxa"/>
            <w:shd w:val="clear" w:color="auto" w:fill="auto"/>
            <w:noWrap/>
            <w:vAlign w:val="center"/>
            <w:hideMark/>
          </w:tcPr>
          <w:p w14:paraId="30C024B3" w14:textId="4ADDA787" w:rsidR="00490F3A" w:rsidRPr="00490F3A" w:rsidRDefault="00490F3A" w:rsidP="00490F3A">
            <w:pPr>
              <w:jc w:val="center"/>
              <w:rPr>
                <w:rFonts w:eastAsia="Times New Roman" w:cs="Calibri"/>
                <w:sz w:val="22"/>
                <w:lang w:eastAsia="sk-SK"/>
              </w:rPr>
            </w:pPr>
            <w:r w:rsidRPr="00490F3A">
              <w:rPr>
                <w:sz w:val="22"/>
              </w:rPr>
              <w:t>Z</w:t>
            </w:r>
          </w:p>
        </w:tc>
        <w:tc>
          <w:tcPr>
            <w:tcW w:w="518" w:type="dxa"/>
            <w:shd w:val="clear" w:color="auto" w:fill="auto"/>
            <w:noWrap/>
            <w:vAlign w:val="center"/>
            <w:hideMark/>
          </w:tcPr>
          <w:p w14:paraId="564CBF11" w14:textId="62676AD4" w:rsidR="00490F3A" w:rsidRPr="00490F3A" w:rsidRDefault="00490F3A" w:rsidP="00490F3A">
            <w:pPr>
              <w:jc w:val="center"/>
              <w:rPr>
                <w:rFonts w:eastAsia="Times New Roman" w:cs="Calibri"/>
                <w:sz w:val="22"/>
                <w:lang w:eastAsia="sk-SK"/>
              </w:rPr>
            </w:pPr>
            <w:r w:rsidRPr="00490F3A">
              <w:rPr>
                <w:sz w:val="22"/>
              </w:rPr>
              <w:t>Ph</w:t>
            </w:r>
          </w:p>
        </w:tc>
        <w:tc>
          <w:tcPr>
            <w:tcW w:w="518" w:type="dxa"/>
            <w:shd w:val="clear" w:color="auto" w:fill="auto"/>
            <w:noWrap/>
            <w:vAlign w:val="center"/>
            <w:hideMark/>
          </w:tcPr>
          <w:p w14:paraId="594AD96C" w14:textId="4C1D454D" w:rsidR="00490F3A" w:rsidRPr="00490F3A" w:rsidRDefault="00490F3A" w:rsidP="00490F3A">
            <w:pPr>
              <w:jc w:val="center"/>
              <w:rPr>
                <w:rFonts w:eastAsia="Times New Roman" w:cs="Calibri"/>
                <w:sz w:val="22"/>
                <w:lang w:eastAsia="sk-SK"/>
              </w:rPr>
            </w:pPr>
            <w:r w:rsidRPr="00490F3A">
              <w:rPr>
                <w:sz w:val="22"/>
              </w:rPr>
              <w:t>Pr</w:t>
            </w:r>
          </w:p>
        </w:tc>
        <w:tc>
          <w:tcPr>
            <w:tcW w:w="519" w:type="dxa"/>
            <w:shd w:val="clear" w:color="auto" w:fill="auto"/>
            <w:noWrap/>
            <w:vAlign w:val="center"/>
            <w:hideMark/>
          </w:tcPr>
          <w:p w14:paraId="2783F3CE" w14:textId="69F6F4A2" w:rsidR="00490F3A" w:rsidRPr="00490F3A" w:rsidRDefault="00490F3A" w:rsidP="00490F3A">
            <w:pPr>
              <w:jc w:val="center"/>
              <w:rPr>
                <w:rFonts w:eastAsia="Times New Roman" w:cs="Calibri"/>
                <w:sz w:val="22"/>
                <w:lang w:eastAsia="sk-SK"/>
              </w:rPr>
            </w:pPr>
            <w:r w:rsidRPr="00490F3A">
              <w:rPr>
                <w:sz w:val="22"/>
              </w:rPr>
              <w:t>Z</w:t>
            </w:r>
          </w:p>
        </w:tc>
        <w:tc>
          <w:tcPr>
            <w:tcW w:w="518" w:type="dxa"/>
            <w:shd w:val="clear" w:color="auto" w:fill="auto"/>
            <w:noWrap/>
            <w:vAlign w:val="center"/>
            <w:hideMark/>
          </w:tcPr>
          <w:p w14:paraId="0C2CEB13" w14:textId="0C030540" w:rsidR="00490F3A" w:rsidRPr="00490F3A" w:rsidRDefault="00490F3A" w:rsidP="00490F3A">
            <w:pPr>
              <w:jc w:val="center"/>
              <w:rPr>
                <w:rFonts w:eastAsia="Times New Roman" w:cs="Calibri"/>
                <w:sz w:val="22"/>
                <w:lang w:eastAsia="sk-SK"/>
              </w:rPr>
            </w:pPr>
            <w:r w:rsidRPr="00490F3A">
              <w:rPr>
                <w:sz w:val="22"/>
              </w:rPr>
              <w:t>Ph</w:t>
            </w:r>
          </w:p>
        </w:tc>
        <w:tc>
          <w:tcPr>
            <w:tcW w:w="518" w:type="dxa"/>
            <w:shd w:val="clear" w:color="auto" w:fill="auto"/>
            <w:noWrap/>
            <w:vAlign w:val="center"/>
            <w:hideMark/>
          </w:tcPr>
          <w:p w14:paraId="3242E516" w14:textId="279DA59A" w:rsidR="00490F3A" w:rsidRPr="00490F3A" w:rsidRDefault="00490F3A" w:rsidP="00490F3A">
            <w:pPr>
              <w:jc w:val="center"/>
              <w:rPr>
                <w:rFonts w:eastAsia="Times New Roman" w:cs="Calibri"/>
                <w:sz w:val="22"/>
                <w:lang w:eastAsia="sk-SK"/>
              </w:rPr>
            </w:pPr>
            <w:r w:rsidRPr="00490F3A">
              <w:rPr>
                <w:sz w:val="22"/>
              </w:rPr>
              <w:t>Pr</w:t>
            </w:r>
          </w:p>
        </w:tc>
        <w:tc>
          <w:tcPr>
            <w:tcW w:w="519" w:type="dxa"/>
            <w:tcBorders>
              <w:right w:val="single" w:sz="12" w:space="0" w:color="auto"/>
            </w:tcBorders>
            <w:shd w:val="clear" w:color="auto" w:fill="auto"/>
            <w:noWrap/>
            <w:vAlign w:val="center"/>
            <w:hideMark/>
          </w:tcPr>
          <w:p w14:paraId="4B5B44C6" w14:textId="642EA000" w:rsidR="00490F3A" w:rsidRPr="00490F3A" w:rsidRDefault="00490F3A" w:rsidP="00490F3A">
            <w:pPr>
              <w:jc w:val="center"/>
              <w:rPr>
                <w:rFonts w:eastAsia="Times New Roman" w:cs="Calibri"/>
                <w:sz w:val="22"/>
                <w:lang w:eastAsia="sk-SK"/>
              </w:rPr>
            </w:pPr>
            <w:r w:rsidRPr="00490F3A">
              <w:rPr>
                <w:sz w:val="22"/>
              </w:rPr>
              <w:t>Z</w:t>
            </w:r>
          </w:p>
        </w:tc>
        <w:tc>
          <w:tcPr>
            <w:tcW w:w="602" w:type="dxa"/>
            <w:tcBorders>
              <w:left w:val="single" w:sz="12" w:space="0" w:color="auto"/>
            </w:tcBorders>
            <w:shd w:val="clear" w:color="auto" w:fill="auto"/>
            <w:noWrap/>
            <w:vAlign w:val="center"/>
            <w:hideMark/>
          </w:tcPr>
          <w:p w14:paraId="076A3A39" w14:textId="4FF10EED" w:rsidR="00490F3A" w:rsidRPr="00490F3A" w:rsidRDefault="00490F3A" w:rsidP="00490F3A">
            <w:pPr>
              <w:jc w:val="center"/>
              <w:rPr>
                <w:rFonts w:eastAsia="Times New Roman" w:cs="Calibri"/>
                <w:sz w:val="22"/>
                <w:lang w:eastAsia="sk-SK"/>
              </w:rPr>
            </w:pPr>
            <w:r w:rsidRPr="00490F3A">
              <w:rPr>
                <w:sz w:val="22"/>
              </w:rPr>
              <w:t>Ph</w:t>
            </w:r>
          </w:p>
        </w:tc>
        <w:tc>
          <w:tcPr>
            <w:tcW w:w="602" w:type="dxa"/>
            <w:shd w:val="clear" w:color="auto" w:fill="auto"/>
            <w:noWrap/>
            <w:vAlign w:val="center"/>
            <w:hideMark/>
          </w:tcPr>
          <w:p w14:paraId="11484B77" w14:textId="588EFFD2" w:rsidR="00490F3A" w:rsidRPr="00490F3A" w:rsidRDefault="00490F3A" w:rsidP="00490F3A">
            <w:pPr>
              <w:jc w:val="center"/>
              <w:rPr>
                <w:rFonts w:eastAsia="Times New Roman" w:cs="Calibri"/>
                <w:sz w:val="22"/>
                <w:lang w:eastAsia="sk-SK"/>
              </w:rPr>
            </w:pPr>
            <w:r w:rsidRPr="00490F3A">
              <w:rPr>
                <w:sz w:val="22"/>
              </w:rPr>
              <w:t>Pr</w:t>
            </w:r>
          </w:p>
        </w:tc>
        <w:tc>
          <w:tcPr>
            <w:tcW w:w="516" w:type="dxa"/>
            <w:shd w:val="clear" w:color="auto" w:fill="auto"/>
            <w:noWrap/>
            <w:vAlign w:val="center"/>
            <w:hideMark/>
          </w:tcPr>
          <w:p w14:paraId="1D83D4E5" w14:textId="6DBD982B" w:rsidR="00490F3A" w:rsidRPr="00490F3A" w:rsidRDefault="00490F3A" w:rsidP="00490F3A">
            <w:pPr>
              <w:jc w:val="center"/>
              <w:rPr>
                <w:rFonts w:eastAsia="Times New Roman" w:cs="Calibri"/>
                <w:sz w:val="22"/>
                <w:lang w:eastAsia="sk-SK"/>
              </w:rPr>
            </w:pPr>
            <w:r w:rsidRPr="00490F3A">
              <w:rPr>
                <w:sz w:val="22"/>
              </w:rPr>
              <w:t>Z</w:t>
            </w:r>
          </w:p>
        </w:tc>
        <w:tc>
          <w:tcPr>
            <w:tcW w:w="491" w:type="dxa"/>
            <w:shd w:val="clear" w:color="auto" w:fill="auto"/>
            <w:noWrap/>
            <w:vAlign w:val="center"/>
            <w:hideMark/>
          </w:tcPr>
          <w:p w14:paraId="658B25AA" w14:textId="5F4A9E9C" w:rsidR="00490F3A" w:rsidRPr="00490F3A" w:rsidRDefault="00490F3A" w:rsidP="00490F3A">
            <w:pPr>
              <w:jc w:val="center"/>
              <w:rPr>
                <w:rFonts w:eastAsia="Times New Roman" w:cs="Calibri"/>
                <w:sz w:val="22"/>
                <w:lang w:eastAsia="sk-SK"/>
              </w:rPr>
            </w:pPr>
            <w:r w:rsidRPr="00490F3A">
              <w:rPr>
                <w:sz w:val="22"/>
              </w:rPr>
              <w:t>Ph</w:t>
            </w:r>
          </w:p>
        </w:tc>
        <w:tc>
          <w:tcPr>
            <w:tcW w:w="403" w:type="dxa"/>
            <w:shd w:val="clear" w:color="auto" w:fill="auto"/>
            <w:noWrap/>
            <w:vAlign w:val="center"/>
            <w:hideMark/>
          </w:tcPr>
          <w:p w14:paraId="2630C7BF" w14:textId="2355256D" w:rsidR="00490F3A" w:rsidRPr="00490F3A" w:rsidRDefault="00490F3A" w:rsidP="00490F3A">
            <w:pPr>
              <w:jc w:val="center"/>
              <w:rPr>
                <w:rFonts w:eastAsia="Times New Roman" w:cs="Calibri"/>
                <w:sz w:val="22"/>
                <w:lang w:eastAsia="sk-SK"/>
              </w:rPr>
            </w:pPr>
            <w:r w:rsidRPr="00490F3A">
              <w:rPr>
                <w:sz w:val="22"/>
              </w:rPr>
              <w:t>Pr</w:t>
            </w:r>
          </w:p>
        </w:tc>
        <w:tc>
          <w:tcPr>
            <w:tcW w:w="516" w:type="dxa"/>
            <w:shd w:val="clear" w:color="auto" w:fill="auto"/>
            <w:noWrap/>
            <w:vAlign w:val="center"/>
            <w:hideMark/>
          </w:tcPr>
          <w:p w14:paraId="386BADD3" w14:textId="7BF43BDA" w:rsidR="00490F3A" w:rsidRPr="00490F3A" w:rsidRDefault="00490F3A" w:rsidP="00490F3A">
            <w:pPr>
              <w:jc w:val="center"/>
              <w:rPr>
                <w:rFonts w:eastAsia="Times New Roman" w:cs="Calibri"/>
                <w:sz w:val="22"/>
                <w:lang w:eastAsia="sk-SK"/>
              </w:rPr>
            </w:pPr>
            <w:r w:rsidRPr="00490F3A">
              <w:rPr>
                <w:sz w:val="22"/>
              </w:rPr>
              <w:t>Z</w:t>
            </w:r>
          </w:p>
        </w:tc>
        <w:tc>
          <w:tcPr>
            <w:tcW w:w="491" w:type="dxa"/>
            <w:shd w:val="clear" w:color="auto" w:fill="auto"/>
            <w:noWrap/>
            <w:vAlign w:val="center"/>
            <w:hideMark/>
          </w:tcPr>
          <w:p w14:paraId="15F83D6A" w14:textId="684FB96B" w:rsidR="00490F3A" w:rsidRPr="00490F3A" w:rsidRDefault="00490F3A" w:rsidP="00490F3A">
            <w:pPr>
              <w:jc w:val="center"/>
              <w:rPr>
                <w:rFonts w:eastAsia="Times New Roman" w:cs="Calibri"/>
                <w:sz w:val="22"/>
                <w:lang w:eastAsia="sk-SK"/>
              </w:rPr>
            </w:pPr>
            <w:r w:rsidRPr="00490F3A">
              <w:rPr>
                <w:sz w:val="22"/>
              </w:rPr>
              <w:t>Ph</w:t>
            </w:r>
          </w:p>
        </w:tc>
        <w:tc>
          <w:tcPr>
            <w:tcW w:w="403" w:type="dxa"/>
            <w:shd w:val="clear" w:color="auto" w:fill="auto"/>
            <w:noWrap/>
            <w:vAlign w:val="center"/>
            <w:hideMark/>
          </w:tcPr>
          <w:p w14:paraId="6F58C31A" w14:textId="0BCEDFB5" w:rsidR="00490F3A" w:rsidRPr="00490F3A" w:rsidRDefault="00490F3A" w:rsidP="00490F3A">
            <w:pPr>
              <w:jc w:val="center"/>
              <w:rPr>
                <w:rFonts w:eastAsia="Times New Roman" w:cs="Calibri"/>
                <w:sz w:val="22"/>
                <w:lang w:eastAsia="sk-SK"/>
              </w:rPr>
            </w:pPr>
            <w:r w:rsidRPr="00490F3A">
              <w:rPr>
                <w:sz w:val="22"/>
              </w:rPr>
              <w:t>Pr</w:t>
            </w:r>
          </w:p>
        </w:tc>
        <w:tc>
          <w:tcPr>
            <w:tcW w:w="516" w:type="dxa"/>
            <w:shd w:val="clear" w:color="auto" w:fill="auto"/>
            <w:noWrap/>
            <w:vAlign w:val="center"/>
            <w:hideMark/>
          </w:tcPr>
          <w:p w14:paraId="3B41B41B" w14:textId="4622A23F" w:rsidR="00490F3A" w:rsidRPr="00490F3A" w:rsidRDefault="00490F3A" w:rsidP="00490F3A">
            <w:pPr>
              <w:jc w:val="center"/>
              <w:rPr>
                <w:rFonts w:eastAsia="Times New Roman" w:cs="Calibri"/>
                <w:sz w:val="22"/>
                <w:lang w:eastAsia="sk-SK"/>
              </w:rPr>
            </w:pPr>
            <w:r w:rsidRPr="00490F3A">
              <w:rPr>
                <w:sz w:val="22"/>
              </w:rPr>
              <w:t>Z</w:t>
            </w:r>
          </w:p>
        </w:tc>
      </w:tr>
      <w:tr w:rsidR="00490F3A" w:rsidRPr="0053555E" w14:paraId="00DDF32D" w14:textId="77777777" w:rsidTr="00046D80">
        <w:trPr>
          <w:cantSplit/>
          <w:trHeight w:val="170"/>
        </w:trPr>
        <w:tc>
          <w:tcPr>
            <w:tcW w:w="715" w:type="dxa"/>
            <w:tcBorders>
              <w:right w:val="single" w:sz="12" w:space="0" w:color="auto"/>
            </w:tcBorders>
            <w:shd w:val="clear" w:color="auto" w:fill="auto"/>
            <w:noWrap/>
            <w:vAlign w:val="center"/>
            <w:hideMark/>
          </w:tcPr>
          <w:p w14:paraId="769F4C36" w14:textId="77777777" w:rsidR="00490F3A" w:rsidRPr="00046D80" w:rsidRDefault="00490F3A" w:rsidP="00490F3A">
            <w:pPr>
              <w:rPr>
                <w:rFonts w:eastAsia="Times New Roman" w:cs="Calibri"/>
                <w:b/>
                <w:bCs/>
                <w:sz w:val="20"/>
                <w:szCs w:val="20"/>
                <w:lang w:eastAsia="sk-SK"/>
              </w:rPr>
            </w:pPr>
            <w:r w:rsidRPr="00046D80">
              <w:rPr>
                <w:rFonts w:eastAsia="Times New Roman" w:cs="Calibri"/>
                <w:b/>
                <w:bCs/>
                <w:sz w:val="20"/>
                <w:szCs w:val="20"/>
                <w:lang w:eastAsia="sk-SK"/>
              </w:rPr>
              <w:t>SvF</w:t>
            </w:r>
          </w:p>
        </w:tc>
        <w:tc>
          <w:tcPr>
            <w:tcW w:w="483" w:type="dxa"/>
            <w:tcBorders>
              <w:left w:val="single" w:sz="12" w:space="0" w:color="auto"/>
            </w:tcBorders>
            <w:shd w:val="clear" w:color="auto" w:fill="auto"/>
            <w:noWrap/>
            <w:vAlign w:val="center"/>
            <w:hideMark/>
          </w:tcPr>
          <w:p w14:paraId="391B7AA9" w14:textId="11E2697A"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46</w:t>
            </w:r>
          </w:p>
        </w:tc>
        <w:tc>
          <w:tcPr>
            <w:tcW w:w="484" w:type="dxa"/>
            <w:shd w:val="clear" w:color="auto" w:fill="auto"/>
            <w:noWrap/>
            <w:vAlign w:val="center"/>
          </w:tcPr>
          <w:p w14:paraId="6E3D6B26" w14:textId="35F53840"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35</w:t>
            </w:r>
          </w:p>
        </w:tc>
        <w:tc>
          <w:tcPr>
            <w:tcW w:w="484" w:type="dxa"/>
            <w:shd w:val="clear" w:color="auto" w:fill="auto"/>
            <w:noWrap/>
            <w:vAlign w:val="center"/>
            <w:hideMark/>
          </w:tcPr>
          <w:p w14:paraId="45449521" w14:textId="74CD60D2"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31</w:t>
            </w:r>
          </w:p>
        </w:tc>
        <w:tc>
          <w:tcPr>
            <w:tcW w:w="484" w:type="dxa"/>
            <w:shd w:val="clear" w:color="auto" w:fill="auto"/>
            <w:noWrap/>
            <w:vAlign w:val="center"/>
            <w:hideMark/>
          </w:tcPr>
          <w:p w14:paraId="7319E46F" w14:textId="07CD7BD2"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3</w:t>
            </w:r>
          </w:p>
        </w:tc>
        <w:tc>
          <w:tcPr>
            <w:tcW w:w="484" w:type="dxa"/>
            <w:shd w:val="clear" w:color="auto" w:fill="auto"/>
            <w:noWrap/>
            <w:vAlign w:val="center"/>
          </w:tcPr>
          <w:p w14:paraId="435D612C" w14:textId="7113CF73"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3</w:t>
            </w:r>
          </w:p>
        </w:tc>
        <w:tc>
          <w:tcPr>
            <w:tcW w:w="484" w:type="dxa"/>
            <w:shd w:val="clear" w:color="auto" w:fill="auto"/>
            <w:noWrap/>
            <w:vAlign w:val="center"/>
            <w:hideMark/>
          </w:tcPr>
          <w:p w14:paraId="7065AFB8" w14:textId="47A18F59"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w:t>
            </w:r>
          </w:p>
        </w:tc>
        <w:tc>
          <w:tcPr>
            <w:tcW w:w="484" w:type="dxa"/>
            <w:shd w:val="clear" w:color="auto" w:fill="auto"/>
            <w:noWrap/>
            <w:vAlign w:val="center"/>
            <w:hideMark/>
          </w:tcPr>
          <w:p w14:paraId="081324C7" w14:textId="0E7625E4"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484" w:type="dxa"/>
            <w:shd w:val="clear" w:color="auto" w:fill="auto"/>
            <w:noWrap/>
            <w:vAlign w:val="center"/>
          </w:tcPr>
          <w:p w14:paraId="61768E61" w14:textId="659845C9"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484" w:type="dxa"/>
            <w:tcBorders>
              <w:right w:val="single" w:sz="12" w:space="0" w:color="auto"/>
            </w:tcBorders>
            <w:shd w:val="clear" w:color="auto" w:fill="auto"/>
            <w:noWrap/>
            <w:vAlign w:val="center"/>
            <w:hideMark/>
          </w:tcPr>
          <w:p w14:paraId="1C40FFE6" w14:textId="093ADF01"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tcBorders>
              <w:left w:val="single" w:sz="12" w:space="0" w:color="auto"/>
            </w:tcBorders>
            <w:shd w:val="clear" w:color="auto" w:fill="auto"/>
            <w:noWrap/>
            <w:vAlign w:val="center"/>
            <w:hideMark/>
          </w:tcPr>
          <w:p w14:paraId="04A5DA2C" w14:textId="708A9783"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72</w:t>
            </w:r>
          </w:p>
        </w:tc>
        <w:tc>
          <w:tcPr>
            <w:tcW w:w="518" w:type="dxa"/>
            <w:shd w:val="clear" w:color="auto" w:fill="auto"/>
            <w:noWrap/>
            <w:vAlign w:val="center"/>
            <w:hideMark/>
          </w:tcPr>
          <w:p w14:paraId="69AF85A0" w14:textId="245CD353"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61</w:t>
            </w:r>
          </w:p>
        </w:tc>
        <w:tc>
          <w:tcPr>
            <w:tcW w:w="519" w:type="dxa"/>
            <w:shd w:val="clear" w:color="auto" w:fill="auto"/>
            <w:noWrap/>
            <w:vAlign w:val="center"/>
            <w:hideMark/>
          </w:tcPr>
          <w:p w14:paraId="0DA63B72" w14:textId="320CDE0C"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53</w:t>
            </w:r>
          </w:p>
        </w:tc>
        <w:tc>
          <w:tcPr>
            <w:tcW w:w="518" w:type="dxa"/>
            <w:shd w:val="clear" w:color="auto" w:fill="auto"/>
            <w:noWrap/>
            <w:vAlign w:val="center"/>
            <w:hideMark/>
          </w:tcPr>
          <w:p w14:paraId="3D43429B" w14:textId="07DA8B6C"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10</w:t>
            </w:r>
          </w:p>
        </w:tc>
        <w:tc>
          <w:tcPr>
            <w:tcW w:w="518" w:type="dxa"/>
            <w:shd w:val="clear" w:color="auto" w:fill="auto"/>
            <w:noWrap/>
            <w:vAlign w:val="center"/>
            <w:hideMark/>
          </w:tcPr>
          <w:p w14:paraId="585F0501" w14:textId="7609790E"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6</w:t>
            </w:r>
          </w:p>
        </w:tc>
        <w:tc>
          <w:tcPr>
            <w:tcW w:w="519" w:type="dxa"/>
            <w:shd w:val="clear" w:color="auto" w:fill="auto"/>
            <w:noWrap/>
            <w:vAlign w:val="center"/>
            <w:hideMark/>
          </w:tcPr>
          <w:p w14:paraId="504FE941" w14:textId="1D5FFD77"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6</w:t>
            </w:r>
          </w:p>
        </w:tc>
        <w:tc>
          <w:tcPr>
            <w:tcW w:w="518" w:type="dxa"/>
            <w:shd w:val="clear" w:color="auto" w:fill="auto"/>
            <w:noWrap/>
            <w:vAlign w:val="center"/>
            <w:hideMark/>
          </w:tcPr>
          <w:p w14:paraId="24B4400D" w14:textId="32647296"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c>
          <w:tcPr>
            <w:tcW w:w="518" w:type="dxa"/>
            <w:shd w:val="clear" w:color="auto" w:fill="auto"/>
            <w:noWrap/>
            <w:vAlign w:val="center"/>
            <w:hideMark/>
          </w:tcPr>
          <w:p w14:paraId="3209F99B" w14:textId="79F910D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c>
          <w:tcPr>
            <w:tcW w:w="519" w:type="dxa"/>
            <w:tcBorders>
              <w:right w:val="single" w:sz="12" w:space="0" w:color="auto"/>
            </w:tcBorders>
            <w:shd w:val="clear" w:color="auto" w:fill="auto"/>
            <w:noWrap/>
            <w:vAlign w:val="center"/>
            <w:hideMark/>
          </w:tcPr>
          <w:p w14:paraId="43B982B4" w14:textId="7165BF00"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c>
          <w:tcPr>
            <w:tcW w:w="602" w:type="dxa"/>
            <w:tcBorders>
              <w:left w:val="single" w:sz="12" w:space="0" w:color="auto"/>
            </w:tcBorders>
            <w:shd w:val="clear" w:color="auto" w:fill="auto"/>
            <w:noWrap/>
            <w:vAlign w:val="center"/>
            <w:hideMark/>
          </w:tcPr>
          <w:p w14:paraId="3ED81399" w14:textId="05462D1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373</w:t>
            </w:r>
          </w:p>
        </w:tc>
        <w:tc>
          <w:tcPr>
            <w:tcW w:w="602" w:type="dxa"/>
            <w:shd w:val="clear" w:color="auto" w:fill="auto"/>
            <w:noWrap/>
            <w:vAlign w:val="center"/>
            <w:hideMark/>
          </w:tcPr>
          <w:p w14:paraId="0274B71E" w14:textId="091D99BE"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225</w:t>
            </w:r>
          </w:p>
        </w:tc>
        <w:tc>
          <w:tcPr>
            <w:tcW w:w="516" w:type="dxa"/>
            <w:shd w:val="clear" w:color="auto" w:fill="auto"/>
            <w:noWrap/>
            <w:vAlign w:val="center"/>
            <w:hideMark/>
          </w:tcPr>
          <w:p w14:paraId="52A1A7E7" w14:textId="3EA6DEFC"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188</w:t>
            </w:r>
          </w:p>
        </w:tc>
        <w:tc>
          <w:tcPr>
            <w:tcW w:w="491" w:type="dxa"/>
            <w:shd w:val="clear" w:color="auto" w:fill="auto"/>
            <w:noWrap/>
            <w:vAlign w:val="center"/>
            <w:hideMark/>
          </w:tcPr>
          <w:p w14:paraId="1EB336FE" w14:textId="01CBA044"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25</w:t>
            </w:r>
          </w:p>
        </w:tc>
        <w:tc>
          <w:tcPr>
            <w:tcW w:w="403" w:type="dxa"/>
            <w:shd w:val="clear" w:color="auto" w:fill="auto"/>
            <w:noWrap/>
            <w:vAlign w:val="center"/>
            <w:hideMark/>
          </w:tcPr>
          <w:p w14:paraId="5C51723B" w14:textId="75C46FD0"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9</w:t>
            </w:r>
          </w:p>
        </w:tc>
        <w:tc>
          <w:tcPr>
            <w:tcW w:w="516" w:type="dxa"/>
            <w:shd w:val="clear" w:color="auto" w:fill="auto"/>
            <w:noWrap/>
            <w:vAlign w:val="center"/>
            <w:hideMark/>
          </w:tcPr>
          <w:p w14:paraId="3B9837F9" w14:textId="575B7039"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9</w:t>
            </w:r>
          </w:p>
        </w:tc>
        <w:tc>
          <w:tcPr>
            <w:tcW w:w="491" w:type="dxa"/>
            <w:shd w:val="clear" w:color="auto" w:fill="auto"/>
            <w:noWrap/>
            <w:vAlign w:val="center"/>
            <w:hideMark/>
          </w:tcPr>
          <w:p w14:paraId="59A80C92" w14:textId="4A9589DD"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0</w:t>
            </w:r>
          </w:p>
        </w:tc>
        <w:tc>
          <w:tcPr>
            <w:tcW w:w="403" w:type="dxa"/>
            <w:shd w:val="clear" w:color="auto" w:fill="auto"/>
            <w:noWrap/>
            <w:vAlign w:val="center"/>
            <w:hideMark/>
          </w:tcPr>
          <w:p w14:paraId="1EF710F6" w14:textId="7961AEF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0</w:t>
            </w:r>
          </w:p>
        </w:tc>
        <w:tc>
          <w:tcPr>
            <w:tcW w:w="516" w:type="dxa"/>
            <w:shd w:val="clear" w:color="auto" w:fill="auto"/>
            <w:noWrap/>
            <w:vAlign w:val="center"/>
            <w:hideMark/>
          </w:tcPr>
          <w:p w14:paraId="075271A1" w14:textId="1B86EFCB"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r>
      <w:tr w:rsidR="00490F3A" w:rsidRPr="0053555E" w14:paraId="07A6FE45" w14:textId="77777777" w:rsidTr="00046D80">
        <w:trPr>
          <w:cantSplit/>
          <w:trHeight w:val="170"/>
        </w:trPr>
        <w:tc>
          <w:tcPr>
            <w:tcW w:w="715" w:type="dxa"/>
            <w:tcBorders>
              <w:right w:val="single" w:sz="12" w:space="0" w:color="auto"/>
            </w:tcBorders>
            <w:shd w:val="clear" w:color="auto" w:fill="auto"/>
            <w:noWrap/>
            <w:vAlign w:val="center"/>
            <w:hideMark/>
          </w:tcPr>
          <w:p w14:paraId="5DC6B5FA" w14:textId="77777777" w:rsidR="00490F3A" w:rsidRPr="00046D80" w:rsidRDefault="00490F3A" w:rsidP="00490F3A">
            <w:pPr>
              <w:rPr>
                <w:rFonts w:eastAsia="Times New Roman" w:cs="Calibri"/>
                <w:b/>
                <w:bCs/>
                <w:sz w:val="20"/>
                <w:szCs w:val="20"/>
                <w:lang w:eastAsia="sk-SK"/>
              </w:rPr>
            </w:pPr>
            <w:r w:rsidRPr="00046D80">
              <w:rPr>
                <w:rFonts w:eastAsia="Times New Roman" w:cs="Calibri"/>
                <w:b/>
                <w:bCs/>
                <w:sz w:val="20"/>
                <w:szCs w:val="20"/>
                <w:lang w:eastAsia="sk-SK"/>
              </w:rPr>
              <w:t>SjF</w:t>
            </w:r>
          </w:p>
        </w:tc>
        <w:tc>
          <w:tcPr>
            <w:tcW w:w="483" w:type="dxa"/>
            <w:tcBorders>
              <w:left w:val="single" w:sz="12" w:space="0" w:color="auto"/>
            </w:tcBorders>
            <w:shd w:val="clear" w:color="auto" w:fill="auto"/>
            <w:noWrap/>
            <w:vAlign w:val="center"/>
            <w:hideMark/>
          </w:tcPr>
          <w:p w14:paraId="35AC776F" w14:textId="6D95DCAD"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23</w:t>
            </w:r>
          </w:p>
        </w:tc>
        <w:tc>
          <w:tcPr>
            <w:tcW w:w="484" w:type="dxa"/>
            <w:shd w:val="clear" w:color="auto" w:fill="auto"/>
            <w:noWrap/>
            <w:vAlign w:val="center"/>
          </w:tcPr>
          <w:p w14:paraId="346EC028" w14:textId="293FD66E"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14</w:t>
            </w:r>
          </w:p>
        </w:tc>
        <w:tc>
          <w:tcPr>
            <w:tcW w:w="484" w:type="dxa"/>
            <w:shd w:val="clear" w:color="auto" w:fill="auto"/>
            <w:noWrap/>
            <w:vAlign w:val="center"/>
            <w:hideMark/>
          </w:tcPr>
          <w:p w14:paraId="17CE886A" w14:textId="7A4716E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14</w:t>
            </w:r>
          </w:p>
        </w:tc>
        <w:tc>
          <w:tcPr>
            <w:tcW w:w="484" w:type="dxa"/>
            <w:shd w:val="clear" w:color="auto" w:fill="auto"/>
            <w:noWrap/>
            <w:vAlign w:val="center"/>
            <w:hideMark/>
          </w:tcPr>
          <w:p w14:paraId="695401BA" w14:textId="75EB4B7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7</w:t>
            </w:r>
          </w:p>
        </w:tc>
        <w:tc>
          <w:tcPr>
            <w:tcW w:w="484" w:type="dxa"/>
            <w:shd w:val="clear" w:color="auto" w:fill="auto"/>
            <w:noWrap/>
            <w:vAlign w:val="center"/>
          </w:tcPr>
          <w:p w14:paraId="56D337C0" w14:textId="5EBB2C2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5</w:t>
            </w:r>
          </w:p>
        </w:tc>
        <w:tc>
          <w:tcPr>
            <w:tcW w:w="484" w:type="dxa"/>
            <w:shd w:val="clear" w:color="auto" w:fill="auto"/>
            <w:noWrap/>
            <w:vAlign w:val="center"/>
            <w:hideMark/>
          </w:tcPr>
          <w:p w14:paraId="000EB245" w14:textId="4BCFAA5E"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3</w:t>
            </w:r>
          </w:p>
        </w:tc>
        <w:tc>
          <w:tcPr>
            <w:tcW w:w="484" w:type="dxa"/>
            <w:shd w:val="clear" w:color="auto" w:fill="auto"/>
            <w:noWrap/>
            <w:vAlign w:val="center"/>
            <w:hideMark/>
          </w:tcPr>
          <w:p w14:paraId="4ED9BBA9" w14:textId="1ED3564B"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484" w:type="dxa"/>
            <w:shd w:val="clear" w:color="auto" w:fill="auto"/>
            <w:noWrap/>
            <w:vAlign w:val="center"/>
          </w:tcPr>
          <w:p w14:paraId="12011DE3" w14:textId="2CA23D1C"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484" w:type="dxa"/>
            <w:tcBorders>
              <w:right w:val="single" w:sz="12" w:space="0" w:color="auto"/>
            </w:tcBorders>
            <w:shd w:val="clear" w:color="auto" w:fill="auto"/>
            <w:noWrap/>
            <w:vAlign w:val="center"/>
            <w:hideMark/>
          </w:tcPr>
          <w:p w14:paraId="4FE44643" w14:textId="4B803C22"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tcBorders>
              <w:left w:val="single" w:sz="12" w:space="0" w:color="auto"/>
            </w:tcBorders>
            <w:shd w:val="clear" w:color="auto" w:fill="auto"/>
            <w:noWrap/>
            <w:vAlign w:val="center"/>
            <w:hideMark/>
          </w:tcPr>
          <w:p w14:paraId="0368460B" w14:textId="55CA6994"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45</w:t>
            </w:r>
          </w:p>
        </w:tc>
        <w:tc>
          <w:tcPr>
            <w:tcW w:w="518" w:type="dxa"/>
            <w:shd w:val="clear" w:color="auto" w:fill="auto"/>
            <w:noWrap/>
            <w:vAlign w:val="center"/>
            <w:hideMark/>
          </w:tcPr>
          <w:p w14:paraId="5253D555" w14:textId="4F4D05F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27</w:t>
            </w:r>
          </w:p>
        </w:tc>
        <w:tc>
          <w:tcPr>
            <w:tcW w:w="519" w:type="dxa"/>
            <w:shd w:val="clear" w:color="auto" w:fill="auto"/>
            <w:noWrap/>
            <w:vAlign w:val="center"/>
            <w:hideMark/>
          </w:tcPr>
          <w:p w14:paraId="752C06B3" w14:textId="427397F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25</w:t>
            </w:r>
          </w:p>
        </w:tc>
        <w:tc>
          <w:tcPr>
            <w:tcW w:w="518" w:type="dxa"/>
            <w:shd w:val="clear" w:color="auto" w:fill="auto"/>
            <w:noWrap/>
            <w:vAlign w:val="center"/>
            <w:hideMark/>
          </w:tcPr>
          <w:p w14:paraId="350A05A7" w14:textId="00DCD0E6"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21</w:t>
            </w:r>
          </w:p>
        </w:tc>
        <w:tc>
          <w:tcPr>
            <w:tcW w:w="518" w:type="dxa"/>
            <w:shd w:val="clear" w:color="auto" w:fill="auto"/>
            <w:noWrap/>
            <w:vAlign w:val="center"/>
            <w:hideMark/>
          </w:tcPr>
          <w:p w14:paraId="5C879EA0" w14:textId="5EA751E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19</w:t>
            </w:r>
          </w:p>
        </w:tc>
        <w:tc>
          <w:tcPr>
            <w:tcW w:w="519" w:type="dxa"/>
            <w:shd w:val="clear" w:color="auto" w:fill="auto"/>
            <w:noWrap/>
            <w:vAlign w:val="center"/>
            <w:hideMark/>
          </w:tcPr>
          <w:p w14:paraId="59DD3A7D" w14:textId="47DE7181"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18</w:t>
            </w:r>
          </w:p>
        </w:tc>
        <w:tc>
          <w:tcPr>
            <w:tcW w:w="518" w:type="dxa"/>
            <w:shd w:val="clear" w:color="auto" w:fill="auto"/>
            <w:noWrap/>
            <w:vAlign w:val="center"/>
            <w:hideMark/>
          </w:tcPr>
          <w:p w14:paraId="1719A980" w14:textId="31F14360"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shd w:val="clear" w:color="auto" w:fill="auto"/>
            <w:noWrap/>
            <w:vAlign w:val="center"/>
            <w:hideMark/>
          </w:tcPr>
          <w:p w14:paraId="4E88500B" w14:textId="4F417784"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9" w:type="dxa"/>
            <w:tcBorders>
              <w:right w:val="single" w:sz="12" w:space="0" w:color="auto"/>
            </w:tcBorders>
            <w:shd w:val="clear" w:color="auto" w:fill="auto"/>
            <w:noWrap/>
            <w:vAlign w:val="center"/>
            <w:hideMark/>
          </w:tcPr>
          <w:p w14:paraId="5E7386D8" w14:textId="27919962"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602" w:type="dxa"/>
            <w:tcBorders>
              <w:left w:val="single" w:sz="12" w:space="0" w:color="auto"/>
            </w:tcBorders>
            <w:shd w:val="clear" w:color="auto" w:fill="auto"/>
            <w:noWrap/>
            <w:vAlign w:val="center"/>
            <w:hideMark/>
          </w:tcPr>
          <w:p w14:paraId="1108E5F0" w14:textId="3ED1FCB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235</w:t>
            </w:r>
          </w:p>
        </w:tc>
        <w:tc>
          <w:tcPr>
            <w:tcW w:w="602" w:type="dxa"/>
            <w:shd w:val="clear" w:color="auto" w:fill="auto"/>
            <w:noWrap/>
            <w:vAlign w:val="center"/>
            <w:hideMark/>
          </w:tcPr>
          <w:p w14:paraId="1D69D705" w14:textId="46F9D956"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125</w:t>
            </w:r>
          </w:p>
        </w:tc>
        <w:tc>
          <w:tcPr>
            <w:tcW w:w="516" w:type="dxa"/>
            <w:shd w:val="clear" w:color="auto" w:fill="auto"/>
            <w:noWrap/>
            <w:vAlign w:val="center"/>
            <w:hideMark/>
          </w:tcPr>
          <w:p w14:paraId="006AA274" w14:textId="5D36B186"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104</w:t>
            </w:r>
          </w:p>
        </w:tc>
        <w:tc>
          <w:tcPr>
            <w:tcW w:w="491" w:type="dxa"/>
            <w:shd w:val="clear" w:color="auto" w:fill="auto"/>
            <w:noWrap/>
            <w:vAlign w:val="center"/>
            <w:hideMark/>
          </w:tcPr>
          <w:p w14:paraId="15E6E222" w14:textId="785CB6B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61</w:t>
            </w:r>
          </w:p>
        </w:tc>
        <w:tc>
          <w:tcPr>
            <w:tcW w:w="403" w:type="dxa"/>
            <w:shd w:val="clear" w:color="auto" w:fill="auto"/>
            <w:noWrap/>
            <w:vAlign w:val="center"/>
            <w:hideMark/>
          </w:tcPr>
          <w:p w14:paraId="557DE959" w14:textId="60C3811B"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15</w:t>
            </w:r>
          </w:p>
        </w:tc>
        <w:tc>
          <w:tcPr>
            <w:tcW w:w="516" w:type="dxa"/>
            <w:shd w:val="clear" w:color="auto" w:fill="auto"/>
            <w:noWrap/>
            <w:vAlign w:val="center"/>
            <w:hideMark/>
          </w:tcPr>
          <w:p w14:paraId="5A6DED1C" w14:textId="02DE76A4"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12</w:t>
            </w:r>
          </w:p>
        </w:tc>
        <w:tc>
          <w:tcPr>
            <w:tcW w:w="491" w:type="dxa"/>
            <w:shd w:val="clear" w:color="auto" w:fill="auto"/>
            <w:noWrap/>
            <w:vAlign w:val="center"/>
            <w:hideMark/>
          </w:tcPr>
          <w:p w14:paraId="462E3160" w14:textId="09706A4E"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2</w:t>
            </w:r>
          </w:p>
        </w:tc>
        <w:tc>
          <w:tcPr>
            <w:tcW w:w="403" w:type="dxa"/>
            <w:shd w:val="clear" w:color="auto" w:fill="auto"/>
            <w:noWrap/>
            <w:vAlign w:val="center"/>
            <w:hideMark/>
          </w:tcPr>
          <w:p w14:paraId="7529006C" w14:textId="0FBDA88C"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1</w:t>
            </w:r>
          </w:p>
        </w:tc>
        <w:tc>
          <w:tcPr>
            <w:tcW w:w="516" w:type="dxa"/>
            <w:shd w:val="clear" w:color="auto" w:fill="auto"/>
            <w:noWrap/>
            <w:vAlign w:val="center"/>
            <w:hideMark/>
          </w:tcPr>
          <w:p w14:paraId="41021330" w14:textId="309C0196"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r>
      <w:tr w:rsidR="00490F3A" w:rsidRPr="0053555E" w14:paraId="12FB981D" w14:textId="77777777" w:rsidTr="00046D80">
        <w:trPr>
          <w:cantSplit/>
          <w:trHeight w:val="170"/>
        </w:trPr>
        <w:tc>
          <w:tcPr>
            <w:tcW w:w="715" w:type="dxa"/>
            <w:tcBorders>
              <w:right w:val="single" w:sz="12" w:space="0" w:color="auto"/>
            </w:tcBorders>
            <w:shd w:val="clear" w:color="auto" w:fill="auto"/>
            <w:noWrap/>
            <w:vAlign w:val="center"/>
            <w:hideMark/>
          </w:tcPr>
          <w:p w14:paraId="2C754AC6" w14:textId="77777777" w:rsidR="00490F3A" w:rsidRPr="00046D80" w:rsidRDefault="00490F3A" w:rsidP="00490F3A">
            <w:pPr>
              <w:rPr>
                <w:rFonts w:eastAsia="Times New Roman" w:cs="Calibri"/>
                <w:b/>
                <w:bCs/>
                <w:sz w:val="20"/>
                <w:szCs w:val="20"/>
                <w:lang w:eastAsia="sk-SK"/>
              </w:rPr>
            </w:pPr>
            <w:r w:rsidRPr="00046D80">
              <w:rPr>
                <w:rFonts w:eastAsia="Times New Roman" w:cs="Calibri"/>
                <w:b/>
                <w:bCs/>
                <w:sz w:val="20"/>
                <w:szCs w:val="20"/>
                <w:lang w:eastAsia="sk-SK"/>
              </w:rPr>
              <w:t>FEI</w:t>
            </w:r>
          </w:p>
        </w:tc>
        <w:tc>
          <w:tcPr>
            <w:tcW w:w="483" w:type="dxa"/>
            <w:tcBorders>
              <w:left w:val="single" w:sz="12" w:space="0" w:color="auto"/>
            </w:tcBorders>
            <w:shd w:val="clear" w:color="auto" w:fill="auto"/>
            <w:noWrap/>
            <w:vAlign w:val="center"/>
            <w:hideMark/>
          </w:tcPr>
          <w:p w14:paraId="0D603BF5" w14:textId="494AF673"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82</w:t>
            </w:r>
          </w:p>
        </w:tc>
        <w:tc>
          <w:tcPr>
            <w:tcW w:w="484" w:type="dxa"/>
            <w:shd w:val="clear" w:color="auto" w:fill="auto"/>
            <w:noWrap/>
            <w:vAlign w:val="center"/>
          </w:tcPr>
          <w:p w14:paraId="3FE8EE63" w14:textId="5BDD8081"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51</w:t>
            </w:r>
          </w:p>
        </w:tc>
        <w:tc>
          <w:tcPr>
            <w:tcW w:w="484" w:type="dxa"/>
            <w:shd w:val="clear" w:color="auto" w:fill="auto"/>
            <w:noWrap/>
            <w:vAlign w:val="center"/>
            <w:hideMark/>
          </w:tcPr>
          <w:p w14:paraId="660E1146" w14:textId="65411F1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41</w:t>
            </w:r>
          </w:p>
        </w:tc>
        <w:tc>
          <w:tcPr>
            <w:tcW w:w="484" w:type="dxa"/>
            <w:shd w:val="clear" w:color="auto" w:fill="auto"/>
            <w:noWrap/>
            <w:vAlign w:val="center"/>
            <w:hideMark/>
          </w:tcPr>
          <w:p w14:paraId="44B984F1" w14:textId="4074F82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13</w:t>
            </w:r>
          </w:p>
        </w:tc>
        <w:tc>
          <w:tcPr>
            <w:tcW w:w="484" w:type="dxa"/>
            <w:shd w:val="clear" w:color="auto" w:fill="auto"/>
            <w:noWrap/>
            <w:vAlign w:val="center"/>
          </w:tcPr>
          <w:p w14:paraId="1C2DFB94" w14:textId="6260FA2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9</w:t>
            </w:r>
          </w:p>
        </w:tc>
        <w:tc>
          <w:tcPr>
            <w:tcW w:w="484" w:type="dxa"/>
            <w:shd w:val="clear" w:color="auto" w:fill="auto"/>
            <w:noWrap/>
            <w:vAlign w:val="center"/>
            <w:hideMark/>
          </w:tcPr>
          <w:p w14:paraId="2B191111" w14:textId="45509A24"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3</w:t>
            </w:r>
          </w:p>
        </w:tc>
        <w:tc>
          <w:tcPr>
            <w:tcW w:w="484" w:type="dxa"/>
            <w:shd w:val="clear" w:color="auto" w:fill="auto"/>
            <w:noWrap/>
            <w:vAlign w:val="center"/>
            <w:hideMark/>
          </w:tcPr>
          <w:p w14:paraId="7BB08AC5" w14:textId="79DCFA97"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c>
          <w:tcPr>
            <w:tcW w:w="484" w:type="dxa"/>
            <w:shd w:val="clear" w:color="auto" w:fill="auto"/>
            <w:noWrap/>
            <w:vAlign w:val="center"/>
          </w:tcPr>
          <w:p w14:paraId="3EC8A05A" w14:textId="2D867DB3"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c>
          <w:tcPr>
            <w:tcW w:w="484" w:type="dxa"/>
            <w:tcBorders>
              <w:right w:val="single" w:sz="12" w:space="0" w:color="auto"/>
            </w:tcBorders>
            <w:shd w:val="clear" w:color="auto" w:fill="auto"/>
            <w:noWrap/>
            <w:vAlign w:val="center"/>
            <w:hideMark/>
          </w:tcPr>
          <w:p w14:paraId="31BC6F0B" w14:textId="259992F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tcBorders>
              <w:left w:val="single" w:sz="12" w:space="0" w:color="auto"/>
            </w:tcBorders>
            <w:shd w:val="clear" w:color="auto" w:fill="auto"/>
            <w:noWrap/>
            <w:vAlign w:val="center"/>
            <w:hideMark/>
          </w:tcPr>
          <w:p w14:paraId="24FCC460" w14:textId="65470D8B"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172</w:t>
            </w:r>
          </w:p>
        </w:tc>
        <w:tc>
          <w:tcPr>
            <w:tcW w:w="518" w:type="dxa"/>
            <w:shd w:val="clear" w:color="auto" w:fill="auto"/>
            <w:noWrap/>
            <w:vAlign w:val="center"/>
            <w:hideMark/>
          </w:tcPr>
          <w:p w14:paraId="10066661" w14:textId="24244D8D"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67</w:t>
            </w:r>
          </w:p>
        </w:tc>
        <w:tc>
          <w:tcPr>
            <w:tcW w:w="519" w:type="dxa"/>
            <w:shd w:val="clear" w:color="auto" w:fill="auto"/>
            <w:noWrap/>
            <w:vAlign w:val="center"/>
            <w:hideMark/>
          </w:tcPr>
          <w:p w14:paraId="60923FFF" w14:textId="207BED13"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57</w:t>
            </w:r>
          </w:p>
        </w:tc>
        <w:tc>
          <w:tcPr>
            <w:tcW w:w="518" w:type="dxa"/>
            <w:shd w:val="clear" w:color="auto" w:fill="auto"/>
            <w:noWrap/>
            <w:vAlign w:val="center"/>
            <w:hideMark/>
          </w:tcPr>
          <w:p w14:paraId="65AE12A5" w14:textId="143EE457"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18</w:t>
            </w:r>
          </w:p>
        </w:tc>
        <w:tc>
          <w:tcPr>
            <w:tcW w:w="518" w:type="dxa"/>
            <w:shd w:val="clear" w:color="auto" w:fill="auto"/>
            <w:noWrap/>
            <w:vAlign w:val="center"/>
            <w:hideMark/>
          </w:tcPr>
          <w:p w14:paraId="620E2B31" w14:textId="35D91C8B"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10</w:t>
            </w:r>
          </w:p>
        </w:tc>
        <w:tc>
          <w:tcPr>
            <w:tcW w:w="519" w:type="dxa"/>
            <w:shd w:val="clear" w:color="auto" w:fill="auto"/>
            <w:noWrap/>
            <w:vAlign w:val="center"/>
            <w:hideMark/>
          </w:tcPr>
          <w:p w14:paraId="549BDC2E" w14:textId="68AC452D"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7</w:t>
            </w:r>
          </w:p>
        </w:tc>
        <w:tc>
          <w:tcPr>
            <w:tcW w:w="518" w:type="dxa"/>
            <w:shd w:val="clear" w:color="auto" w:fill="auto"/>
            <w:noWrap/>
            <w:vAlign w:val="center"/>
            <w:hideMark/>
          </w:tcPr>
          <w:p w14:paraId="7A5AA155" w14:textId="33AD5FD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shd w:val="clear" w:color="auto" w:fill="auto"/>
            <w:noWrap/>
            <w:vAlign w:val="center"/>
            <w:hideMark/>
          </w:tcPr>
          <w:p w14:paraId="01EC24CE" w14:textId="1380168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9" w:type="dxa"/>
            <w:tcBorders>
              <w:right w:val="single" w:sz="12" w:space="0" w:color="auto"/>
            </w:tcBorders>
            <w:shd w:val="clear" w:color="auto" w:fill="auto"/>
            <w:noWrap/>
            <w:vAlign w:val="center"/>
            <w:hideMark/>
          </w:tcPr>
          <w:p w14:paraId="5B4CAE1A" w14:textId="1656907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602" w:type="dxa"/>
            <w:tcBorders>
              <w:left w:val="single" w:sz="12" w:space="0" w:color="auto"/>
            </w:tcBorders>
            <w:shd w:val="clear" w:color="auto" w:fill="auto"/>
            <w:noWrap/>
            <w:vAlign w:val="center"/>
            <w:hideMark/>
          </w:tcPr>
          <w:p w14:paraId="27C00F4A" w14:textId="55FD196C"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593</w:t>
            </w:r>
          </w:p>
        </w:tc>
        <w:tc>
          <w:tcPr>
            <w:tcW w:w="602" w:type="dxa"/>
            <w:shd w:val="clear" w:color="auto" w:fill="auto"/>
            <w:noWrap/>
            <w:vAlign w:val="center"/>
            <w:hideMark/>
          </w:tcPr>
          <w:p w14:paraId="0E174D52" w14:textId="4A368F8A"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216</w:t>
            </w:r>
          </w:p>
        </w:tc>
        <w:tc>
          <w:tcPr>
            <w:tcW w:w="516" w:type="dxa"/>
            <w:shd w:val="clear" w:color="auto" w:fill="auto"/>
            <w:noWrap/>
            <w:vAlign w:val="center"/>
            <w:hideMark/>
          </w:tcPr>
          <w:p w14:paraId="2EFE088C" w14:textId="2E912B9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173</w:t>
            </w:r>
          </w:p>
        </w:tc>
        <w:tc>
          <w:tcPr>
            <w:tcW w:w="491" w:type="dxa"/>
            <w:shd w:val="clear" w:color="auto" w:fill="auto"/>
            <w:noWrap/>
            <w:vAlign w:val="center"/>
            <w:hideMark/>
          </w:tcPr>
          <w:p w14:paraId="629AC0D1" w14:textId="120AD7D9"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43</w:t>
            </w:r>
          </w:p>
        </w:tc>
        <w:tc>
          <w:tcPr>
            <w:tcW w:w="403" w:type="dxa"/>
            <w:shd w:val="clear" w:color="auto" w:fill="auto"/>
            <w:noWrap/>
            <w:vAlign w:val="center"/>
            <w:hideMark/>
          </w:tcPr>
          <w:p w14:paraId="65E40996" w14:textId="4860E959"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15</w:t>
            </w:r>
          </w:p>
        </w:tc>
        <w:tc>
          <w:tcPr>
            <w:tcW w:w="516" w:type="dxa"/>
            <w:shd w:val="clear" w:color="auto" w:fill="auto"/>
            <w:noWrap/>
            <w:vAlign w:val="center"/>
            <w:hideMark/>
          </w:tcPr>
          <w:p w14:paraId="78509C66" w14:textId="1028AFC2"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13</w:t>
            </w:r>
          </w:p>
        </w:tc>
        <w:tc>
          <w:tcPr>
            <w:tcW w:w="491" w:type="dxa"/>
            <w:shd w:val="clear" w:color="auto" w:fill="auto"/>
            <w:noWrap/>
            <w:vAlign w:val="center"/>
            <w:hideMark/>
          </w:tcPr>
          <w:p w14:paraId="478CFE40" w14:textId="7A74EFA2"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3</w:t>
            </w:r>
          </w:p>
        </w:tc>
        <w:tc>
          <w:tcPr>
            <w:tcW w:w="403" w:type="dxa"/>
            <w:shd w:val="clear" w:color="auto" w:fill="auto"/>
            <w:noWrap/>
            <w:vAlign w:val="center"/>
            <w:hideMark/>
          </w:tcPr>
          <w:p w14:paraId="0702A735" w14:textId="48BFFB5A"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2</w:t>
            </w:r>
          </w:p>
        </w:tc>
        <w:tc>
          <w:tcPr>
            <w:tcW w:w="516" w:type="dxa"/>
            <w:shd w:val="clear" w:color="auto" w:fill="auto"/>
            <w:noWrap/>
            <w:vAlign w:val="center"/>
            <w:hideMark/>
          </w:tcPr>
          <w:p w14:paraId="0BD55A73" w14:textId="7F8407C7"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r>
      <w:tr w:rsidR="00490F3A" w:rsidRPr="0053555E" w14:paraId="3686B719" w14:textId="77777777" w:rsidTr="00046D80">
        <w:trPr>
          <w:cantSplit/>
          <w:trHeight w:val="170"/>
        </w:trPr>
        <w:tc>
          <w:tcPr>
            <w:tcW w:w="715" w:type="dxa"/>
            <w:tcBorders>
              <w:right w:val="single" w:sz="12" w:space="0" w:color="auto"/>
            </w:tcBorders>
            <w:shd w:val="clear" w:color="auto" w:fill="auto"/>
            <w:noWrap/>
            <w:vAlign w:val="center"/>
            <w:hideMark/>
          </w:tcPr>
          <w:p w14:paraId="59075C10" w14:textId="77777777" w:rsidR="00490F3A" w:rsidRPr="00046D80" w:rsidRDefault="00490F3A" w:rsidP="00490F3A">
            <w:pPr>
              <w:rPr>
                <w:rFonts w:eastAsia="Times New Roman" w:cs="Calibri"/>
                <w:b/>
                <w:bCs/>
                <w:sz w:val="20"/>
                <w:szCs w:val="20"/>
                <w:lang w:eastAsia="sk-SK"/>
              </w:rPr>
            </w:pPr>
            <w:r w:rsidRPr="00046D80">
              <w:rPr>
                <w:rFonts w:eastAsia="Times New Roman" w:cs="Calibri"/>
                <w:b/>
                <w:bCs/>
                <w:sz w:val="20"/>
                <w:szCs w:val="20"/>
                <w:lang w:eastAsia="sk-SK"/>
              </w:rPr>
              <w:t>FCHPT</w:t>
            </w:r>
          </w:p>
        </w:tc>
        <w:tc>
          <w:tcPr>
            <w:tcW w:w="483" w:type="dxa"/>
            <w:tcBorders>
              <w:left w:val="single" w:sz="12" w:space="0" w:color="auto"/>
            </w:tcBorders>
            <w:shd w:val="clear" w:color="auto" w:fill="auto"/>
            <w:noWrap/>
            <w:vAlign w:val="center"/>
            <w:hideMark/>
          </w:tcPr>
          <w:p w14:paraId="26A6398B" w14:textId="26D3D5B2"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60</w:t>
            </w:r>
          </w:p>
        </w:tc>
        <w:tc>
          <w:tcPr>
            <w:tcW w:w="484" w:type="dxa"/>
            <w:shd w:val="clear" w:color="auto" w:fill="auto"/>
            <w:noWrap/>
            <w:vAlign w:val="center"/>
          </w:tcPr>
          <w:p w14:paraId="51FA5B04" w14:textId="27B9C94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60</w:t>
            </w:r>
          </w:p>
        </w:tc>
        <w:tc>
          <w:tcPr>
            <w:tcW w:w="484" w:type="dxa"/>
            <w:shd w:val="clear" w:color="auto" w:fill="auto"/>
            <w:noWrap/>
            <w:vAlign w:val="center"/>
            <w:hideMark/>
          </w:tcPr>
          <w:p w14:paraId="0C829A46" w14:textId="6C1BDC3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36</w:t>
            </w:r>
          </w:p>
        </w:tc>
        <w:tc>
          <w:tcPr>
            <w:tcW w:w="484" w:type="dxa"/>
            <w:shd w:val="clear" w:color="auto" w:fill="auto"/>
            <w:noWrap/>
            <w:vAlign w:val="center"/>
            <w:hideMark/>
          </w:tcPr>
          <w:p w14:paraId="09651F8A" w14:textId="34AC2C63"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9</w:t>
            </w:r>
          </w:p>
        </w:tc>
        <w:tc>
          <w:tcPr>
            <w:tcW w:w="484" w:type="dxa"/>
            <w:shd w:val="clear" w:color="auto" w:fill="auto"/>
            <w:noWrap/>
            <w:vAlign w:val="center"/>
          </w:tcPr>
          <w:p w14:paraId="077795C7" w14:textId="4C2F9001"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9</w:t>
            </w:r>
          </w:p>
        </w:tc>
        <w:tc>
          <w:tcPr>
            <w:tcW w:w="484" w:type="dxa"/>
            <w:shd w:val="clear" w:color="auto" w:fill="auto"/>
            <w:noWrap/>
            <w:vAlign w:val="center"/>
            <w:hideMark/>
          </w:tcPr>
          <w:p w14:paraId="11B99FF4" w14:textId="3DC0122E"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5</w:t>
            </w:r>
          </w:p>
        </w:tc>
        <w:tc>
          <w:tcPr>
            <w:tcW w:w="484" w:type="dxa"/>
            <w:shd w:val="clear" w:color="auto" w:fill="auto"/>
            <w:noWrap/>
            <w:vAlign w:val="center"/>
            <w:hideMark/>
          </w:tcPr>
          <w:p w14:paraId="193A1102" w14:textId="170755FC"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c>
          <w:tcPr>
            <w:tcW w:w="484" w:type="dxa"/>
            <w:shd w:val="clear" w:color="auto" w:fill="auto"/>
            <w:noWrap/>
            <w:vAlign w:val="center"/>
          </w:tcPr>
          <w:p w14:paraId="63AB4A7F" w14:textId="0F7A546E"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484" w:type="dxa"/>
            <w:tcBorders>
              <w:right w:val="single" w:sz="12" w:space="0" w:color="auto"/>
            </w:tcBorders>
            <w:shd w:val="clear" w:color="auto" w:fill="auto"/>
            <w:noWrap/>
            <w:vAlign w:val="center"/>
            <w:hideMark/>
          </w:tcPr>
          <w:p w14:paraId="3D55E2FF" w14:textId="6D263CD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tcBorders>
              <w:left w:val="single" w:sz="12" w:space="0" w:color="auto"/>
            </w:tcBorders>
            <w:shd w:val="clear" w:color="auto" w:fill="auto"/>
            <w:noWrap/>
            <w:vAlign w:val="center"/>
            <w:hideMark/>
          </w:tcPr>
          <w:p w14:paraId="22F229F4" w14:textId="523833E2"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108</w:t>
            </w:r>
          </w:p>
        </w:tc>
        <w:tc>
          <w:tcPr>
            <w:tcW w:w="518" w:type="dxa"/>
            <w:shd w:val="clear" w:color="auto" w:fill="auto"/>
            <w:noWrap/>
            <w:vAlign w:val="center"/>
            <w:hideMark/>
          </w:tcPr>
          <w:p w14:paraId="3F403CE6" w14:textId="0587594B"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108</w:t>
            </w:r>
          </w:p>
        </w:tc>
        <w:tc>
          <w:tcPr>
            <w:tcW w:w="519" w:type="dxa"/>
            <w:shd w:val="clear" w:color="auto" w:fill="auto"/>
            <w:noWrap/>
            <w:vAlign w:val="center"/>
            <w:hideMark/>
          </w:tcPr>
          <w:p w14:paraId="1E6D136E" w14:textId="2A386A1B"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70</w:t>
            </w:r>
          </w:p>
        </w:tc>
        <w:tc>
          <w:tcPr>
            <w:tcW w:w="518" w:type="dxa"/>
            <w:shd w:val="clear" w:color="auto" w:fill="auto"/>
            <w:noWrap/>
            <w:vAlign w:val="center"/>
            <w:hideMark/>
          </w:tcPr>
          <w:p w14:paraId="598F2E90" w14:textId="53B4A9E9"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9</w:t>
            </w:r>
          </w:p>
        </w:tc>
        <w:tc>
          <w:tcPr>
            <w:tcW w:w="518" w:type="dxa"/>
            <w:shd w:val="clear" w:color="auto" w:fill="auto"/>
            <w:noWrap/>
            <w:vAlign w:val="center"/>
            <w:hideMark/>
          </w:tcPr>
          <w:p w14:paraId="64FA2EB7" w14:textId="41A29D91"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9</w:t>
            </w:r>
          </w:p>
        </w:tc>
        <w:tc>
          <w:tcPr>
            <w:tcW w:w="519" w:type="dxa"/>
            <w:shd w:val="clear" w:color="auto" w:fill="auto"/>
            <w:noWrap/>
            <w:vAlign w:val="center"/>
            <w:hideMark/>
          </w:tcPr>
          <w:p w14:paraId="6CDF0B9A" w14:textId="512AAF0A"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7</w:t>
            </w:r>
          </w:p>
        </w:tc>
        <w:tc>
          <w:tcPr>
            <w:tcW w:w="518" w:type="dxa"/>
            <w:shd w:val="clear" w:color="auto" w:fill="auto"/>
            <w:noWrap/>
            <w:vAlign w:val="center"/>
            <w:hideMark/>
          </w:tcPr>
          <w:p w14:paraId="43CD0D14" w14:textId="60FC5BB6"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shd w:val="clear" w:color="auto" w:fill="auto"/>
            <w:noWrap/>
            <w:vAlign w:val="center"/>
            <w:hideMark/>
          </w:tcPr>
          <w:p w14:paraId="2C7B951A" w14:textId="4A40A130"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9" w:type="dxa"/>
            <w:tcBorders>
              <w:right w:val="single" w:sz="12" w:space="0" w:color="auto"/>
            </w:tcBorders>
            <w:shd w:val="clear" w:color="auto" w:fill="auto"/>
            <w:noWrap/>
            <w:vAlign w:val="center"/>
            <w:hideMark/>
          </w:tcPr>
          <w:p w14:paraId="1C13E24F" w14:textId="1076FC9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602" w:type="dxa"/>
            <w:tcBorders>
              <w:left w:val="single" w:sz="12" w:space="0" w:color="auto"/>
            </w:tcBorders>
            <w:shd w:val="clear" w:color="auto" w:fill="auto"/>
            <w:noWrap/>
            <w:vAlign w:val="center"/>
            <w:hideMark/>
          </w:tcPr>
          <w:p w14:paraId="41DDBEB3" w14:textId="2B27F07E"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248</w:t>
            </w:r>
          </w:p>
        </w:tc>
        <w:tc>
          <w:tcPr>
            <w:tcW w:w="602" w:type="dxa"/>
            <w:shd w:val="clear" w:color="auto" w:fill="auto"/>
            <w:noWrap/>
            <w:vAlign w:val="center"/>
            <w:hideMark/>
          </w:tcPr>
          <w:p w14:paraId="72E9B63C" w14:textId="160AA4F9"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247</w:t>
            </w:r>
          </w:p>
        </w:tc>
        <w:tc>
          <w:tcPr>
            <w:tcW w:w="516" w:type="dxa"/>
            <w:shd w:val="clear" w:color="auto" w:fill="auto"/>
            <w:noWrap/>
            <w:vAlign w:val="center"/>
            <w:hideMark/>
          </w:tcPr>
          <w:p w14:paraId="0B011A81" w14:textId="719AD6B2"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145</w:t>
            </w:r>
          </w:p>
        </w:tc>
        <w:tc>
          <w:tcPr>
            <w:tcW w:w="491" w:type="dxa"/>
            <w:shd w:val="clear" w:color="auto" w:fill="auto"/>
            <w:noWrap/>
            <w:vAlign w:val="center"/>
            <w:hideMark/>
          </w:tcPr>
          <w:p w14:paraId="44628055" w14:textId="0750E82D"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23</w:t>
            </w:r>
          </w:p>
        </w:tc>
        <w:tc>
          <w:tcPr>
            <w:tcW w:w="403" w:type="dxa"/>
            <w:shd w:val="clear" w:color="auto" w:fill="auto"/>
            <w:noWrap/>
            <w:vAlign w:val="center"/>
            <w:hideMark/>
          </w:tcPr>
          <w:p w14:paraId="11E222EF" w14:textId="6765F316"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23</w:t>
            </w:r>
          </w:p>
        </w:tc>
        <w:tc>
          <w:tcPr>
            <w:tcW w:w="516" w:type="dxa"/>
            <w:shd w:val="clear" w:color="auto" w:fill="auto"/>
            <w:noWrap/>
            <w:vAlign w:val="center"/>
            <w:hideMark/>
          </w:tcPr>
          <w:p w14:paraId="2B62ED70" w14:textId="1AD1E150"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11</w:t>
            </w:r>
          </w:p>
        </w:tc>
        <w:tc>
          <w:tcPr>
            <w:tcW w:w="491" w:type="dxa"/>
            <w:shd w:val="clear" w:color="auto" w:fill="auto"/>
            <w:noWrap/>
            <w:vAlign w:val="center"/>
            <w:hideMark/>
          </w:tcPr>
          <w:p w14:paraId="0D3BA786" w14:textId="0216CB2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0</w:t>
            </w:r>
          </w:p>
        </w:tc>
        <w:tc>
          <w:tcPr>
            <w:tcW w:w="403" w:type="dxa"/>
            <w:shd w:val="clear" w:color="auto" w:fill="auto"/>
            <w:noWrap/>
            <w:vAlign w:val="center"/>
            <w:hideMark/>
          </w:tcPr>
          <w:p w14:paraId="44967E3F" w14:textId="246CD260"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0</w:t>
            </w:r>
          </w:p>
        </w:tc>
        <w:tc>
          <w:tcPr>
            <w:tcW w:w="516" w:type="dxa"/>
            <w:shd w:val="clear" w:color="auto" w:fill="auto"/>
            <w:noWrap/>
            <w:vAlign w:val="center"/>
            <w:hideMark/>
          </w:tcPr>
          <w:p w14:paraId="5C760410" w14:textId="17C16D9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r>
      <w:tr w:rsidR="00490F3A" w:rsidRPr="0053555E" w14:paraId="702D75AE" w14:textId="77777777" w:rsidTr="00046D80">
        <w:trPr>
          <w:cantSplit/>
          <w:trHeight w:val="170"/>
        </w:trPr>
        <w:tc>
          <w:tcPr>
            <w:tcW w:w="715" w:type="dxa"/>
            <w:tcBorders>
              <w:right w:val="single" w:sz="12" w:space="0" w:color="auto"/>
            </w:tcBorders>
            <w:shd w:val="clear" w:color="auto" w:fill="auto"/>
            <w:noWrap/>
            <w:vAlign w:val="center"/>
            <w:hideMark/>
          </w:tcPr>
          <w:p w14:paraId="692B1963" w14:textId="77777777" w:rsidR="00490F3A" w:rsidRPr="00046D80" w:rsidRDefault="00490F3A" w:rsidP="00490F3A">
            <w:pPr>
              <w:rPr>
                <w:rFonts w:eastAsia="Times New Roman" w:cs="Calibri"/>
                <w:b/>
                <w:bCs/>
                <w:sz w:val="20"/>
                <w:szCs w:val="20"/>
                <w:lang w:eastAsia="sk-SK"/>
              </w:rPr>
            </w:pPr>
            <w:r w:rsidRPr="00046D80">
              <w:rPr>
                <w:rFonts w:eastAsia="Times New Roman" w:cs="Calibri"/>
                <w:b/>
                <w:bCs/>
                <w:sz w:val="20"/>
                <w:szCs w:val="20"/>
                <w:lang w:eastAsia="sk-SK"/>
              </w:rPr>
              <w:t>FA</w:t>
            </w:r>
          </w:p>
        </w:tc>
        <w:tc>
          <w:tcPr>
            <w:tcW w:w="483" w:type="dxa"/>
            <w:tcBorders>
              <w:left w:val="single" w:sz="12" w:space="0" w:color="auto"/>
            </w:tcBorders>
            <w:shd w:val="clear" w:color="auto" w:fill="auto"/>
            <w:noWrap/>
            <w:vAlign w:val="center"/>
            <w:hideMark/>
          </w:tcPr>
          <w:p w14:paraId="23609AB0" w14:textId="04784E94"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7</w:t>
            </w:r>
          </w:p>
        </w:tc>
        <w:tc>
          <w:tcPr>
            <w:tcW w:w="484" w:type="dxa"/>
            <w:shd w:val="clear" w:color="auto" w:fill="auto"/>
            <w:noWrap/>
            <w:vAlign w:val="center"/>
          </w:tcPr>
          <w:p w14:paraId="4C1B0C62" w14:textId="166B3A8B"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6</w:t>
            </w:r>
          </w:p>
        </w:tc>
        <w:tc>
          <w:tcPr>
            <w:tcW w:w="484" w:type="dxa"/>
            <w:shd w:val="clear" w:color="auto" w:fill="auto"/>
            <w:noWrap/>
            <w:vAlign w:val="center"/>
            <w:hideMark/>
          </w:tcPr>
          <w:p w14:paraId="44B6D927" w14:textId="7927E5BD"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6</w:t>
            </w:r>
          </w:p>
        </w:tc>
        <w:tc>
          <w:tcPr>
            <w:tcW w:w="484" w:type="dxa"/>
            <w:shd w:val="clear" w:color="auto" w:fill="auto"/>
            <w:noWrap/>
            <w:vAlign w:val="center"/>
            <w:hideMark/>
          </w:tcPr>
          <w:p w14:paraId="35B586EF" w14:textId="0B7B5E8E"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c>
          <w:tcPr>
            <w:tcW w:w="484" w:type="dxa"/>
            <w:shd w:val="clear" w:color="auto" w:fill="auto"/>
            <w:noWrap/>
            <w:vAlign w:val="center"/>
          </w:tcPr>
          <w:p w14:paraId="10064988" w14:textId="16E7214A"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484" w:type="dxa"/>
            <w:shd w:val="clear" w:color="auto" w:fill="auto"/>
            <w:noWrap/>
            <w:vAlign w:val="center"/>
            <w:hideMark/>
          </w:tcPr>
          <w:p w14:paraId="5C3F9D8D" w14:textId="3A79901C"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484" w:type="dxa"/>
            <w:shd w:val="clear" w:color="auto" w:fill="auto"/>
            <w:noWrap/>
            <w:vAlign w:val="center"/>
            <w:hideMark/>
          </w:tcPr>
          <w:p w14:paraId="0F8C1E71" w14:textId="0F3642D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484" w:type="dxa"/>
            <w:shd w:val="clear" w:color="auto" w:fill="auto"/>
            <w:noWrap/>
            <w:vAlign w:val="center"/>
          </w:tcPr>
          <w:p w14:paraId="0D787DF7" w14:textId="2FB0198A"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484" w:type="dxa"/>
            <w:tcBorders>
              <w:right w:val="single" w:sz="12" w:space="0" w:color="auto"/>
            </w:tcBorders>
            <w:shd w:val="clear" w:color="auto" w:fill="auto"/>
            <w:noWrap/>
            <w:vAlign w:val="center"/>
            <w:hideMark/>
          </w:tcPr>
          <w:p w14:paraId="628526F3" w14:textId="0748DA7E"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tcBorders>
              <w:left w:val="single" w:sz="12" w:space="0" w:color="auto"/>
            </w:tcBorders>
            <w:shd w:val="clear" w:color="auto" w:fill="auto"/>
            <w:noWrap/>
            <w:vAlign w:val="center"/>
            <w:hideMark/>
          </w:tcPr>
          <w:p w14:paraId="2934174A" w14:textId="4BDE5EEA"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12</w:t>
            </w:r>
          </w:p>
        </w:tc>
        <w:tc>
          <w:tcPr>
            <w:tcW w:w="518" w:type="dxa"/>
            <w:shd w:val="clear" w:color="auto" w:fill="auto"/>
            <w:noWrap/>
            <w:vAlign w:val="center"/>
            <w:hideMark/>
          </w:tcPr>
          <w:p w14:paraId="4E6E31A5" w14:textId="77FE7E9D"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9</w:t>
            </w:r>
          </w:p>
        </w:tc>
        <w:tc>
          <w:tcPr>
            <w:tcW w:w="519" w:type="dxa"/>
            <w:shd w:val="clear" w:color="auto" w:fill="auto"/>
            <w:noWrap/>
            <w:vAlign w:val="center"/>
            <w:hideMark/>
          </w:tcPr>
          <w:p w14:paraId="747376E2" w14:textId="7BFD345B"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6</w:t>
            </w:r>
          </w:p>
        </w:tc>
        <w:tc>
          <w:tcPr>
            <w:tcW w:w="518" w:type="dxa"/>
            <w:shd w:val="clear" w:color="auto" w:fill="auto"/>
            <w:noWrap/>
            <w:vAlign w:val="center"/>
            <w:hideMark/>
          </w:tcPr>
          <w:p w14:paraId="0CA4A42E" w14:textId="79B28EEA"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6</w:t>
            </w:r>
          </w:p>
        </w:tc>
        <w:tc>
          <w:tcPr>
            <w:tcW w:w="518" w:type="dxa"/>
            <w:shd w:val="clear" w:color="auto" w:fill="auto"/>
            <w:noWrap/>
            <w:vAlign w:val="center"/>
            <w:hideMark/>
          </w:tcPr>
          <w:p w14:paraId="233B37BA" w14:textId="7191237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3</w:t>
            </w:r>
          </w:p>
        </w:tc>
        <w:tc>
          <w:tcPr>
            <w:tcW w:w="519" w:type="dxa"/>
            <w:shd w:val="clear" w:color="auto" w:fill="auto"/>
            <w:noWrap/>
            <w:vAlign w:val="center"/>
            <w:hideMark/>
          </w:tcPr>
          <w:p w14:paraId="31D5AB32" w14:textId="21938E27"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w:t>
            </w:r>
          </w:p>
        </w:tc>
        <w:tc>
          <w:tcPr>
            <w:tcW w:w="518" w:type="dxa"/>
            <w:shd w:val="clear" w:color="auto" w:fill="auto"/>
            <w:noWrap/>
            <w:vAlign w:val="center"/>
            <w:hideMark/>
          </w:tcPr>
          <w:p w14:paraId="6D1561B9" w14:textId="70262942"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shd w:val="clear" w:color="auto" w:fill="auto"/>
            <w:noWrap/>
            <w:vAlign w:val="center"/>
            <w:hideMark/>
          </w:tcPr>
          <w:p w14:paraId="6852D7C3" w14:textId="26BD3AD0"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9" w:type="dxa"/>
            <w:tcBorders>
              <w:right w:val="single" w:sz="12" w:space="0" w:color="auto"/>
            </w:tcBorders>
            <w:shd w:val="clear" w:color="auto" w:fill="auto"/>
            <w:noWrap/>
            <w:vAlign w:val="center"/>
            <w:hideMark/>
          </w:tcPr>
          <w:p w14:paraId="4D2C40DC" w14:textId="62040F3A"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602" w:type="dxa"/>
            <w:tcBorders>
              <w:left w:val="single" w:sz="12" w:space="0" w:color="auto"/>
            </w:tcBorders>
            <w:shd w:val="clear" w:color="auto" w:fill="auto"/>
            <w:noWrap/>
            <w:vAlign w:val="center"/>
            <w:hideMark/>
          </w:tcPr>
          <w:p w14:paraId="35C11CC7" w14:textId="4DCC76C2"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80</w:t>
            </w:r>
          </w:p>
        </w:tc>
        <w:tc>
          <w:tcPr>
            <w:tcW w:w="602" w:type="dxa"/>
            <w:shd w:val="clear" w:color="auto" w:fill="auto"/>
            <w:noWrap/>
            <w:vAlign w:val="center"/>
            <w:hideMark/>
          </w:tcPr>
          <w:p w14:paraId="4C79C480" w14:textId="46D40226"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24</w:t>
            </w:r>
          </w:p>
        </w:tc>
        <w:tc>
          <w:tcPr>
            <w:tcW w:w="516" w:type="dxa"/>
            <w:shd w:val="clear" w:color="auto" w:fill="auto"/>
            <w:noWrap/>
            <w:vAlign w:val="center"/>
            <w:hideMark/>
          </w:tcPr>
          <w:p w14:paraId="767443E7" w14:textId="4F12380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21</w:t>
            </w:r>
          </w:p>
        </w:tc>
        <w:tc>
          <w:tcPr>
            <w:tcW w:w="491" w:type="dxa"/>
            <w:shd w:val="clear" w:color="auto" w:fill="auto"/>
            <w:noWrap/>
            <w:vAlign w:val="center"/>
            <w:hideMark/>
          </w:tcPr>
          <w:p w14:paraId="655DFA37" w14:textId="545314D6"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6</w:t>
            </w:r>
          </w:p>
        </w:tc>
        <w:tc>
          <w:tcPr>
            <w:tcW w:w="403" w:type="dxa"/>
            <w:shd w:val="clear" w:color="auto" w:fill="auto"/>
            <w:noWrap/>
            <w:vAlign w:val="center"/>
            <w:hideMark/>
          </w:tcPr>
          <w:p w14:paraId="6154EF36" w14:textId="1CDF329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2</w:t>
            </w:r>
          </w:p>
        </w:tc>
        <w:tc>
          <w:tcPr>
            <w:tcW w:w="516" w:type="dxa"/>
            <w:shd w:val="clear" w:color="auto" w:fill="auto"/>
            <w:noWrap/>
            <w:vAlign w:val="center"/>
            <w:hideMark/>
          </w:tcPr>
          <w:p w14:paraId="1269E5A7" w14:textId="01179B3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c>
          <w:tcPr>
            <w:tcW w:w="491" w:type="dxa"/>
            <w:shd w:val="clear" w:color="auto" w:fill="auto"/>
            <w:noWrap/>
            <w:vAlign w:val="center"/>
            <w:hideMark/>
          </w:tcPr>
          <w:p w14:paraId="039BF4E3" w14:textId="2AC2F97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1</w:t>
            </w:r>
          </w:p>
        </w:tc>
        <w:tc>
          <w:tcPr>
            <w:tcW w:w="403" w:type="dxa"/>
            <w:shd w:val="clear" w:color="auto" w:fill="auto"/>
            <w:noWrap/>
            <w:vAlign w:val="center"/>
            <w:hideMark/>
          </w:tcPr>
          <w:p w14:paraId="110E6B4E" w14:textId="429BA11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0</w:t>
            </w:r>
          </w:p>
        </w:tc>
        <w:tc>
          <w:tcPr>
            <w:tcW w:w="516" w:type="dxa"/>
            <w:shd w:val="clear" w:color="auto" w:fill="auto"/>
            <w:noWrap/>
            <w:vAlign w:val="center"/>
            <w:hideMark/>
          </w:tcPr>
          <w:p w14:paraId="713743B5" w14:textId="222B79E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r>
      <w:tr w:rsidR="00490F3A" w:rsidRPr="0053555E" w14:paraId="352E821A" w14:textId="77777777" w:rsidTr="00046D80">
        <w:trPr>
          <w:cantSplit/>
          <w:trHeight w:val="170"/>
        </w:trPr>
        <w:tc>
          <w:tcPr>
            <w:tcW w:w="715" w:type="dxa"/>
            <w:tcBorders>
              <w:right w:val="single" w:sz="12" w:space="0" w:color="auto"/>
            </w:tcBorders>
            <w:shd w:val="clear" w:color="auto" w:fill="auto"/>
            <w:noWrap/>
            <w:vAlign w:val="center"/>
            <w:hideMark/>
          </w:tcPr>
          <w:p w14:paraId="1B088907" w14:textId="77777777" w:rsidR="00490F3A" w:rsidRPr="00046D80" w:rsidRDefault="00490F3A" w:rsidP="00490F3A">
            <w:pPr>
              <w:rPr>
                <w:rFonts w:eastAsia="Times New Roman" w:cs="Calibri"/>
                <w:b/>
                <w:bCs/>
                <w:sz w:val="20"/>
                <w:szCs w:val="20"/>
                <w:lang w:eastAsia="sk-SK"/>
              </w:rPr>
            </w:pPr>
            <w:r w:rsidRPr="00046D80">
              <w:rPr>
                <w:rFonts w:eastAsia="Times New Roman" w:cs="Calibri"/>
                <w:b/>
                <w:bCs/>
                <w:sz w:val="20"/>
                <w:szCs w:val="20"/>
                <w:lang w:eastAsia="sk-SK"/>
              </w:rPr>
              <w:t>MTF</w:t>
            </w:r>
          </w:p>
        </w:tc>
        <w:tc>
          <w:tcPr>
            <w:tcW w:w="483" w:type="dxa"/>
            <w:tcBorders>
              <w:left w:val="single" w:sz="12" w:space="0" w:color="auto"/>
            </w:tcBorders>
            <w:shd w:val="clear" w:color="auto" w:fill="auto"/>
            <w:noWrap/>
            <w:vAlign w:val="center"/>
            <w:hideMark/>
          </w:tcPr>
          <w:p w14:paraId="21FCD0CB" w14:textId="3B805507"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8</w:t>
            </w:r>
          </w:p>
        </w:tc>
        <w:tc>
          <w:tcPr>
            <w:tcW w:w="484" w:type="dxa"/>
            <w:shd w:val="clear" w:color="auto" w:fill="auto"/>
            <w:noWrap/>
            <w:vAlign w:val="center"/>
          </w:tcPr>
          <w:p w14:paraId="7AE2BD88" w14:textId="454ABDCB"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5</w:t>
            </w:r>
          </w:p>
        </w:tc>
        <w:tc>
          <w:tcPr>
            <w:tcW w:w="484" w:type="dxa"/>
            <w:shd w:val="clear" w:color="auto" w:fill="auto"/>
            <w:noWrap/>
            <w:vAlign w:val="center"/>
            <w:hideMark/>
          </w:tcPr>
          <w:p w14:paraId="678DF6AD" w14:textId="7BA780D0"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4</w:t>
            </w:r>
          </w:p>
        </w:tc>
        <w:tc>
          <w:tcPr>
            <w:tcW w:w="484" w:type="dxa"/>
            <w:shd w:val="clear" w:color="auto" w:fill="auto"/>
            <w:noWrap/>
            <w:vAlign w:val="center"/>
            <w:hideMark/>
          </w:tcPr>
          <w:p w14:paraId="4C3D36D2" w14:textId="456DD479"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w:t>
            </w:r>
          </w:p>
        </w:tc>
        <w:tc>
          <w:tcPr>
            <w:tcW w:w="484" w:type="dxa"/>
            <w:shd w:val="clear" w:color="auto" w:fill="auto"/>
            <w:noWrap/>
            <w:vAlign w:val="center"/>
          </w:tcPr>
          <w:p w14:paraId="636CE650" w14:textId="217D0EB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w:t>
            </w:r>
          </w:p>
        </w:tc>
        <w:tc>
          <w:tcPr>
            <w:tcW w:w="484" w:type="dxa"/>
            <w:shd w:val="clear" w:color="auto" w:fill="auto"/>
            <w:noWrap/>
            <w:vAlign w:val="center"/>
            <w:hideMark/>
          </w:tcPr>
          <w:p w14:paraId="63CC649A" w14:textId="77C35049"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w:t>
            </w:r>
          </w:p>
        </w:tc>
        <w:tc>
          <w:tcPr>
            <w:tcW w:w="484" w:type="dxa"/>
            <w:shd w:val="clear" w:color="auto" w:fill="auto"/>
            <w:noWrap/>
            <w:vAlign w:val="center"/>
            <w:hideMark/>
          </w:tcPr>
          <w:p w14:paraId="333C441C" w14:textId="68D3A2B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484" w:type="dxa"/>
            <w:shd w:val="clear" w:color="auto" w:fill="auto"/>
            <w:noWrap/>
            <w:vAlign w:val="center"/>
          </w:tcPr>
          <w:p w14:paraId="2A0DA9AF" w14:textId="1A17771E"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484" w:type="dxa"/>
            <w:tcBorders>
              <w:right w:val="single" w:sz="12" w:space="0" w:color="auto"/>
            </w:tcBorders>
            <w:shd w:val="clear" w:color="auto" w:fill="auto"/>
            <w:noWrap/>
            <w:vAlign w:val="center"/>
            <w:hideMark/>
          </w:tcPr>
          <w:p w14:paraId="69336B4C" w14:textId="1A9CD90B"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tcBorders>
              <w:left w:val="single" w:sz="12" w:space="0" w:color="auto"/>
            </w:tcBorders>
            <w:shd w:val="clear" w:color="auto" w:fill="auto"/>
            <w:noWrap/>
            <w:vAlign w:val="center"/>
            <w:hideMark/>
          </w:tcPr>
          <w:p w14:paraId="74A842CF" w14:textId="2B0E90CD"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10</w:t>
            </w:r>
          </w:p>
        </w:tc>
        <w:tc>
          <w:tcPr>
            <w:tcW w:w="518" w:type="dxa"/>
            <w:shd w:val="clear" w:color="auto" w:fill="auto"/>
            <w:noWrap/>
            <w:vAlign w:val="center"/>
            <w:hideMark/>
          </w:tcPr>
          <w:p w14:paraId="7617F73B" w14:textId="6CAED2E4"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7</w:t>
            </w:r>
          </w:p>
        </w:tc>
        <w:tc>
          <w:tcPr>
            <w:tcW w:w="519" w:type="dxa"/>
            <w:shd w:val="clear" w:color="auto" w:fill="auto"/>
            <w:noWrap/>
            <w:vAlign w:val="center"/>
            <w:hideMark/>
          </w:tcPr>
          <w:p w14:paraId="10749257" w14:textId="0FEB0524"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6</w:t>
            </w:r>
          </w:p>
        </w:tc>
        <w:tc>
          <w:tcPr>
            <w:tcW w:w="518" w:type="dxa"/>
            <w:shd w:val="clear" w:color="auto" w:fill="auto"/>
            <w:noWrap/>
            <w:vAlign w:val="center"/>
            <w:hideMark/>
          </w:tcPr>
          <w:p w14:paraId="631EC97A" w14:textId="5BFE6F7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shd w:val="clear" w:color="auto" w:fill="auto"/>
            <w:noWrap/>
            <w:vAlign w:val="center"/>
            <w:hideMark/>
          </w:tcPr>
          <w:p w14:paraId="2F243E2A" w14:textId="5CFD1067"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9" w:type="dxa"/>
            <w:shd w:val="clear" w:color="auto" w:fill="auto"/>
            <w:noWrap/>
            <w:vAlign w:val="center"/>
            <w:hideMark/>
          </w:tcPr>
          <w:p w14:paraId="1C7199DE" w14:textId="738BB2E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shd w:val="clear" w:color="auto" w:fill="auto"/>
            <w:noWrap/>
            <w:vAlign w:val="center"/>
            <w:hideMark/>
          </w:tcPr>
          <w:p w14:paraId="4D288D80" w14:textId="39E4313A"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shd w:val="clear" w:color="auto" w:fill="auto"/>
            <w:noWrap/>
            <w:vAlign w:val="center"/>
            <w:hideMark/>
          </w:tcPr>
          <w:p w14:paraId="27C935A7" w14:textId="20A82DE1"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9" w:type="dxa"/>
            <w:tcBorders>
              <w:right w:val="single" w:sz="12" w:space="0" w:color="auto"/>
            </w:tcBorders>
            <w:shd w:val="clear" w:color="auto" w:fill="auto"/>
            <w:noWrap/>
            <w:vAlign w:val="center"/>
            <w:hideMark/>
          </w:tcPr>
          <w:p w14:paraId="6D1C0C73" w14:textId="3FEFF0F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602" w:type="dxa"/>
            <w:tcBorders>
              <w:left w:val="single" w:sz="12" w:space="0" w:color="auto"/>
            </w:tcBorders>
            <w:shd w:val="clear" w:color="auto" w:fill="auto"/>
            <w:noWrap/>
            <w:vAlign w:val="center"/>
            <w:hideMark/>
          </w:tcPr>
          <w:p w14:paraId="68168E3D" w14:textId="3D618451"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212</w:t>
            </w:r>
          </w:p>
        </w:tc>
        <w:tc>
          <w:tcPr>
            <w:tcW w:w="602" w:type="dxa"/>
            <w:shd w:val="clear" w:color="auto" w:fill="auto"/>
            <w:noWrap/>
            <w:vAlign w:val="center"/>
            <w:hideMark/>
          </w:tcPr>
          <w:p w14:paraId="445B9ABE" w14:textId="534D9FEE"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105</w:t>
            </w:r>
          </w:p>
        </w:tc>
        <w:tc>
          <w:tcPr>
            <w:tcW w:w="516" w:type="dxa"/>
            <w:shd w:val="clear" w:color="auto" w:fill="auto"/>
            <w:noWrap/>
            <w:vAlign w:val="center"/>
            <w:hideMark/>
          </w:tcPr>
          <w:p w14:paraId="094C4A09" w14:textId="0523F7FA"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81</w:t>
            </w:r>
          </w:p>
        </w:tc>
        <w:tc>
          <w:tcPr>
            <w:tcW w:w="491" w:type="dxa"/>
            <w:shd w:val="clear" w:color="auto" w:fill="auto"/>
            <w:noWrap/>
            <w:vAlign w:val="center"/>
            <w:hideMark/>
          </w:tcPr>
          <w:p w14:paraId="4EC0FB08" w14:textId="5058CCE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72</w:t>
            </w:r>
          </w:p>
        </w:tc>
        <w:tc>
          <w:tcPr>
            <w:tcW w:w="403" w:type="dxa"/>
            <w:shd w:val="clear" w:color="auto" w:fill="auto"/>
            <w:noWrap/>
            <w:vAlign w:val="center"/>
            <w:hideMark/>
          </w:tcPr>
          <w:p w14:paraId="5C6B51D9" w14:textId="0D027DD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18</w:t>
            </w:r>
          </w:p>
        </w:tc>
        <w:tc>
          <w:tcPr>
            <w:tcW w:w="516" w:type="dxa"/>
            <w:shd w:val="clear" w:color="auto" w:fill="auto"/>
            <w:noWrap/>
            <w:vAlign w:val="center"/>
            <w:hideMark/>
          </w:tcPr>
          <w:p w14:paraId="1C2FD9E9" w14:textId="68034606"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13</w:t>
            </w:r>
          </w:p>
        </w:tc>
        <w:tc>
          <w:tcPr>
            <w:tcW w:w="491" w:type="dxa"/>
            <w:shd w:val="clear" w:color="auto" w:fill="auto"/>
            <w:noWrap/>
            <w:vAlign w:val="center"/>
            <w:hideMark/>
          </w:tcPr>
          <w:p w14:paraId="72C77E95" w14:textId="4D21D591"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1</w:t>
            </w:r>
          </w:p>
        </w:tc>
        <w:tc>
          <w:tcPr>
            <w:tcW w:w="403" w:type="dxa"/>
            <w:shd w:val="clear" w:color="auto" w:fill="auto"/>
            <w:noWrap/>
            <w:vAlign w:val="center"/>
            <w:hideMark/>
          </w:tcPr>
          <w:p w14:paraId="6A500A25" w14:textId="107BF7F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1</w:t>
            </w:r>
          </w:p>
        </w:tc>
        <w:tc>
          <w:tcPr>
            <w:tcW w:w="516" w:type="dxa"/>
            <w:shd w:val="clear" w:color="auto" w:fill="auto"/>
            <w:noWrap/>
            <w:vAlign w:val="center"/>
            <w:hideMark/>
          </w:tcPr>
          <w:p w14:paraId="1BA21C90" w14:textId="23E31D86"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r>
      <w:tr w:rsidR="00490F3A" w:rsidRPr="0053555E" w14:paraId="0D96499E" w14:textId="77777777" w:rsidTr="00046D80">
        <w:trPr>
          <w:cantSplit/>
          <w:trHeight w:val="170"/>
        </w:trPr>
        <w:tc>
          <w:tcPr>
            <w:tcW w:w="715" w:type="dxa"/>
            <w:tcBorders>
              <w:right w:val="single" w:sz="12" w:space="0" w:color="auto"/>
            </w:tcBorders>
            <w:shd w:val="clear" w:color="auto" w:fill="auto"/>
            <w:noWrap/>
            <w:vAlign w:val="center"/>
            <w:hideMark/>
          </w:tcPr>
          <w:p w14:paraId="5441E55A" w14:textId="77777777" w:rsidR="00490F3A" w:rsidRPr="00046D80" w:rsidRDefault="00490F3A" w:rsidP="00490F3A">
            <w:pPr>
              <w:rPr>
                <w:rFonts w:eastAsia="Times New Roman" w:cs="Calibri"/>
                <w:b/>
                <w:bCs/>
                <w:sz w:val="20"/>
                <w:szCs w:val="20"/>
                <w:lang w:eastAsia="sk-SK"/>
              </w:rPr>
            </w:pPr>
            <w:r w:rsidRPr="00046D80">
              <w:rPr>
                <w:rFonts w:eastAsia="Times New Roman" w:cs="Calibri"/>
                <w:b/>
                <w:bCs/>
                <w:sz w:val="20"/>
                <w:szCs w:val="20"/>
                <w:lang w:eastAsia="sk-SK"/>
              </w:rPr>
              <w:t>FIIT</w:t>
            </w:r>
          </w:p>
        </w:tc>
        <w:tc>
          <w:tcPr>
            <w:tcW w:w="483" w:type="dxa"/>
            <w:tcBorders>
              <w:left w:val="single" w:sz="12" w:space="0" w:color="auto"/>
            </w:tcBorders>
            <w:shd w:val="clear" w:color="auto" w:fill="auto"/>
            <w:noWrap/>
            <w:vAlign w:val="center"/>
            <w:hideMark/>
          </w:tcPr>
          <w:p w14:paraId="0EB8B754" w14:textId="50943B22"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50</w:t>
            </w:r>
          </w:p>
        </w:tc>
        <w:tc>
          <w:tcPr>
            <w:tcW w:w="484" w:type="dxa"/>
            <w:shd w:val="clear" w:color="auto" w:fill="auto"/>
            <w:noWrap/>
            <w:vAlign w:val="center"/>
          </w:tcPr>
          <w:p w14:paraId="5F5DCFA1" w14:textId="61AD6B87"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32</w:t>
            </w:r>
          </w:p>
        </w:tc>
        <w:tc>
          <w:tcPr>
            <w:tcW w:w="484" w:type="dxa"/>
            <w:shd w:val="clear" w:color="auto" w:fill="auto"/>
            <w:noWrap/>
            <w:vAlign w:val="center"/>
            <w:hideMark/>
          </w:tcPr>
          <w:p w14:paraId="2CF34395" w14:textId="723B1E41"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20</w:t>
            </w:r>
          </w:p>
        </w:tc>
        <w:tc>
          <w:tcPr>
            <w:tcW w:w="484" w:type="dxa"/>
            <w:shd w:val="clear" w:color="auto" w:fill="auto"/>
            <w:noWrap/>
            <w:vAlign w:val="center"/>
            <w:hideMark/>
          </w:tcPr>
          <w:p w14:paraId="0B747AC8" w14:textId="0A4F77C7"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7</w:t>
            </w:r>
          </w:p>
        </w:tc>
        <w:tc>
          <w:tcPr>
            <w:tcW w:w="484" w:type="dxa"/>
            <w:shd w:val="clear" w:color="auto" w:fill="auto"/>
            <w:noWrap/>
            <w:vAlign w:val="center"/>
          </w:tcPr>
          <w:p w14:paraId="0E97015B" w14:textId="25B2BC33"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4</w:t>
            </w:r>
          </w:p>
        </w:tc>
        <w:tc>
          <w:tcPr>
            <w:tcW w:w="484" w:type="dxa"/>
            <w:shd w:val="clear" w:color="auto" w:fill="auto"/>
            <w:noWrap/>
            <w:vAlign w:val="center"/>
            <w:hideMark/>
          </w:tcPr>
          <w:p w14:paraId="521BCA76" w14:textId="4CB31D3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4</w:t>
            </w:r>
          </w:p>
        </w:tc>
        <w:tc>
          <w:tcPr>
            <w:tcW w:w="484" w:type="dxa"/>
            <w:shd w:val="clear" w:color="auto" w:fill="auto"/>
            <w:noWrap/>
            <w:vAlign w:val="center"/>
            <w:hideMark/>
          </w:tcPr>
          <w:p w14:paraId="0F32F8DF" w14:textId="319FA106"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w:t>
            </w:r>
          </w:p>
        </w:tc>
        <w:tc>
          <w:tcPr>
            <w:tcW w:w="484" w:type="dxa"/>
            <w:shd w:val="clear" w:color="auto" w:fill="auto"/>
            <w:noWrap/>
            <w:vAlign w:val="center"/>
          </w:tcPr>
          <w:p w14:paraId="31823AFC" w14:textId="53F12617"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c>
          <w:tcPr>
            <w:tcW w:w="484" w:type="dxa"/>
            <w:tcBorders>
              <w:right w:val="single" w:sz="12" w:space="0" w:color="auto"/>
            </w:tcBorders>
            <w:shd w:val="clear" w:color="auto" w:fill="auto"/>
            <w:noWrap/>
            <w:vAlign w:val="center"/>
            <w:hideMark/>
          </w:tcPr>
          <w:p w14:paraId="6C1DA352" w14:textId="27DA9442"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c>
          <w:tcPr>
            <w:tcW w:w="518" w:type="dxa"/>
            <w:tcBorders>
              <w:left w:val="single" w:sz="12" w:space="0" w:color="auto"/>
            </w:tcBorders>
            <w:shd w:val="clear" w:color="auto" w:fill="auto"/>
            <w:noWrap/>
            <w:vAlign w:val="center"/>
            <w:hideMark/>
          </w:tcPr>
          <w:p w14:paraId="480F6F75" w14:textId="66B2B3DD"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73</w:t>
            </w:r>
          </w:p>
        </w:tc>
        <w:tc>
          <w:tcPr>
            <w:tcW w:w="518" w:type="dxa"/>
            <w:shd w:val="clear" w:color="auto" w:fill="auto"/>
            <w:noWrap/>
            <w:vAlign w:val="center"/>
            <w:hideMark/>
          </w:tcPr>
          <w:p w14:paraId="1333C049" w14:textId="70C15E7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45</w:t>
            </w:r>
          </w:p>
        </w:tc>
        <w:tc>
          <w:tcPr>
            <w:tcW w:w="519" w:type="dxa"/>
            <w:shd w:val="clear" w:color="auto" w:fill="auto"/>
            <w:noWrap/>
            <w:vAlign w:val="center"/>
            <w:hideMark/>
          </w:tcPr>
          <w:p w14:paraId="43646FC2" w14:textId="76F38E60"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42</w:t>
            </w:r>
          </w:p>
        </w:tc>
        <w:tc>
          <w:tcPr>
            <w:tcW w:w="518" w:type="dxa"/>
            <w:shd w:val="clear" w:color="auto" w:fill="auto"/>
            <w:noWrap/>
            <w:vAlign w:val="center"/>
            <w:hideMark/>
          </w:tcPr>
          <w:p w14:paraId="7F204B00" w14:textId="2BAB6741"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7</w:t>
            </w:r>
          </w:p>
        </w:tc>
        <w:tc>
          <w:tcPr>
            <w:tcW w:w="518" w:type="dxa"/>
            <w:shd w:val="clear" w:color="auto" w:fill="auto"/>
            <w:noWrap/>
            <w:vAlign w:val="center"/>
            <w:hideMark/>
          </w:tcPr>
          <w:p w14:paraId="14EA43ED" w14:textId="76739AD1"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w:t>
            </w:r>
          </w:p>
        </w:tc>
        <w:tc>
          <w:tcPr>
            <w:tcW w:w="519" w:type="dxa"/>
            <w:shd w:val="clear" w:color="auto" w:fill="auto"/>
            <w:noWrap/>
            <w:vAlign w:val="center"/>
            <w:hideMark/>
          </w:tcPr>
          <w:p w14:paraId="7A3C9790" w14:textId="4A2FE161"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w:t>
            </w:r>
          </w:p>
        </w:tc>
        <w:tc>
          <w:tcPr>
            <w:tcW w:w="518" w:type="dxa"/>
            <w:shd w:val="clear" w:color="auto" w:fill="auto"/>
            <w:noWrap/>
            <w:vAlign w:val="center"/>
            <w:hideMark/>
          </w:tcPr>
          <w:p w14:paraId="018F5F8F" w14:textId="7B07E0D7"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shd w:val="clear" w:color="auto" w:fill="auto"/>
            <w:noWrap/>
            <w:vAlign w:val="center"/>
            <w:hideMark/>
          </w:tcPr>
          <w:p w14:paraId="7451A852" w14:textId="3B8CF333"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9" w:type="dxa"/>
            <w:tcBorders>
              <w:right w:val="single" w:sz="12" w:space="0" w:color="auto"/>
            </w:tcBorders>
            <w:shd w:val="clear" w:color="auto" w:fill="auto"/>
            <w:noWrap/>
            <w:vAlign w:val="center"/>
            <w:hideMark/>
          </w:tcPr>
          <w:p w14:paraId="7BB3348B" w14:textId="1BFBE5A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602" w:type="dxa"/>
            <w:tcBorders>
              <w:left w:val="single" w:sz="12" w:space="0" w:color="auto"/>
            </w:tcBorders>
            <w:shd w:val="clear" w:color="auto" w:fill="auto"/>
            <w:noWrap/>
            <w:vAlign w:val="center"/>
            <w:hideMark/>
          </w:tcPr>
          <w:p w14:paraId="24F3AD50" w14:textId="0BBCE473"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175</w:t>
            </w:r>
          </w:p>
        </w:tc>
        <w:tc>
          <w:tcPr>
            <w:tcW w:w="602" w:type="dxa"/>
            <w:shd w:val="clear" w:color="auto" w:fill="auto"/>
            <w:noWrap/>
            <w:vAlign w:val="center"/>
            <w:hideMark/>
          </w:tcPr>
          <w:p w14:paraId="334C906F" w14:textId="2E58632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78</w:t>
            </w:r>
          </w:p>
        </w:tc>
        <w:tc>
          <w:tcPr>
            <w:tcW w:w="516" w:type="dxa"/>
            <w:shd w:val="clear" w:color="auto" w:fill="auto"/>
            <w:noWrap/>
            <w:vAlign w:val="center"/>
            <w:hideMark/>
          </w:tcPr>
          <w:p w14:paraId="1B4DB8E9" w14:textId="635A58BC"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77</w:t>
            </w:r>
          </w:p>
        </w:tc>
        <w:tc>
          <w:tcPr>
            <w:tcW w:w="491" w:type="dxa"/>
            <w:shd w:val="clear" w:color="auto" w:fill="auto"/>
            <w:noWrap/>
            <w:vAlign w:val="center"/>
            <w:hideMark/>
          </w:tcPr>
          <w:p w14:paraId="0FBB7A2B" w14:textId="6F3CB9E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34</w:t>
            </w:r>
          </w:p>
        </w:tc>
        <w:tc>
          <w:tcPr>
            <w:tcW w:w="403" w:type="dxa"/>
            <w:shd w:val="clear" w:color="auto" w:fill="auto"/>
            <w:noWrap/>
            <w:vAlign w:val="center"/>
            <w:hideMark/>
          </w:tcPr>
          <w:p w14:paraId="264A8DF4" w14:textId="695D76F7"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5</w:t>
            </w:r>
          </w:p>
        </w:tc>
        <w:tc>
          <w:tcPr>
            <w:tcW w:w="516" w:type="dxa"/>
            <w:shd w:val="clear" w:color="auto" w:fill="auto"/>
            <w:noWrap/>
            <w:vAlign w:val="center"/>
            <w:hideMark/>
          </w:tcPr>
          <w:p w14:paraId="15348450" w14:textId="2B1CD8B7"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4</w:t>
            </w:r>
          </w:p>
        </w:tc>
        <w:tc>
          <w:tcPr>
            <w:tcW w:w="491" w:type="dxa"/>
            <w:shd w:val="clear" w:color="auto" w:fill="auto"/>
            <w:noWrap/>
            <w:vAlign w:val="center"/>
            <w:hideMark/>
          </w:tcPr>
          <w:p w14:paraId="1AC4AD28" w14:textId="3FDD45BB"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3</w:t>
            </w:r>
          </w:p>
        </w:tc>
        <w:tc>
          <w:tcPr>
            <w:tcW w:w="403" w:type="dxa"/>
            <w:shd w:val="clear" w:color="auto" w:fill="auto"/>
            <w:noWrap/>
            <w:vAlign w:val="center"/>
            <w:hideMark/>
          </w:tcPr>
          <w:p w14:paraId="0633A4F0" w14:textId="031AAC84"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1</w:t>
            </w:r>
          </w:p>
        </w:tc>
        <w:tc>
          <w:tcPr>
            <w:tcW w:w="516" w:type="dxa"/>
            <w:shd w:val="clear" w:color="auto" w:fill="auto"/>
            <w:noWrap/>
            <w:vAlign w:val="center"/>
            <w:hideMark/>
          </w:tcPr>
          <w:p w14:paraId="064B30A8" w14:textId="3B27BF02"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r>
      <w:tr w:rsidR="00490F3A" w:rsidRPr="0053555E" w14:paraId="2E7BD503" w14:textId="77777777" w:rsidTr="00046D80">
        <w:trPr>
          <w:cantSplit/>
          <w:trHeight w:val="170"/>
        </w:trPr>
        <w:tc>
          <w:tcPr>
            <w:tcW w:w="715" w:type="dxa"/>
            <w:tcBorders>
              <w:right w:val="single" w:sz="12" w:space="0" w:color="auto"/>
            </w:tcBorders>
            <w:shd w:val="clear" w:color="auto" w:fill="auto"/>
            <w:noWrap/>
            <w:vAlign w:val="center"/>
            <w:hideMark/>
          </w:tcPr>
          <w:p w14:paraId="5992E8CC" w14:textId="77777777" w:rsidR="00490F3A" w:rsidRPr="00046D80" w:rsidRDefault="00490F3A" w:rsidP="00490F3A">
            <w:pPr>
              <w:rPr>
                <w:rFonts w:eastAsia="Times New Roman" w:cs="Calibri"/>
                <w:b/>
                <w:bCs/>
                <w:sz w:val="20"/>
                <w:szCs w:val="20"/>
                <w:lang w:eastAsia="sk-SK"/>
              </w:rPr>
            </w:pPr>
            <w:r w:rsidRPr="00046D80">
              <w:rPr>
                <w:rFonts w:eastAsia="Times New Roman" w:cs="Calibri"/>
                <w:b/>
                <w:bCs/>
                <w:sz w:val="20"/>
                <w:szCs w:val="20"/>
                <w:lang w:eastAsia="sk-SK"/>
              </w:rPr>
              <w:t>ÚM</w:t>
            </w:r>
          </w:p>
        </w:tc>
        <w:tc>
          <w:tcPr>
            <w:tcW w:w="483" w:type="dxa"/>
            <w:tcBorders>
              <w:left w:val="single" w:sz="12" w:space="0" w:color="auto"/>
            </w:tcBorders>
            <w:shd w:val="clear" w:color="auto" w:fill="auto"/>
            <w:noWrap/>
            <w:vAlign w:val="center"/>
            <w:hideMark/>
          </w:tcPr>
          <w:p w14:paraId="1BEE3F0A" w14:textId="2EC245F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7</w:t>
            </w:r>
          </w:p>
        </w:tc>
        <w:tc>
          <w:tcPr>
            <w:tcW w:w="484" w:type="dxa"/>
            <w:shd w:val="clear" w:color="auto" w:fill="auto"/>
            <w:noWrap/>
            <w:vAlign w:val="center"/>
          </w:tcPr>
          <w:p w14:paraId="1DF53655" w14:textId="6E03033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3</w:t>
            </w:r>
          </w:p>
        </w:tc>
        <w:tc>
          <w:tcPr>
            <w:tcW w:w="484" w:type="dxa"/>
            <w:shd w:val="clear" w:color="auto" w:fill="auto"/>
            <w:noWrap/>
            <w:vAlign w:val="center"/>
            <w:hideMark/>
          </w:tcPr>
          <w:p w14:paraId="63320A3B" w14:textId="1D1BD17B"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w:t>
            </w:r>
          </w:p>
        </w:tc>
        <w:tc>
          <w:tcPr>
            <w:tcW w:w="484" w:type="dxa"/>
            <w:shd w:val="clear" w:color="auto" w:fill="auto"/>
            <w:noWrap/>
            <w:vAlign w:val="center"/>
            <w:hideMark/>
          </w:tcPr>
          <w:p w14:paraId="11BF71D9" w14:textId="6BEAD784"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c>
          <w:tcPr>
            <w:tcW w:w="484" w:type="dxa"/>
            <w:shd w:val="clear" w:color="auto" w:fill="auto"/>
            <w:noWrap/>
            <w:vAlign w:val="center"/>
          </w:tcPr>
          <w:p w14:paraId="787F4155" w14:textId="2B5ACCC1"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c>
          <w:tcPr>
            <w:tcW w:w="484" w:type="dxa"/>
            <w:shd w:val="clear" w:color="auto" w:fill="auto"/>
            <w:noWrap/>
            <w:vAlign w:val="center"/>
            <w:hideMark/>
          </w:tcPr>
          <w:p w14:paraId="44FA603A" w14:textId="707FC1F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c>
          <w:tcPr>
            <w:tcW w:w="484" w:type="dxa"/>
            <w:shd w:val="clear" w:color="auto" w:fill="auto"/>
            <w:noWrap/>
            <w:vAlign w:val="center"/>
            <w:hideMark/>
          </w:tcPr>
          <w:p w14:paraId="544A5EC5" w14:textId="12114F1A"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484" w:type="dxa"/>
            <w:shd w:val="clear" w:color="auto" w:fill="auto"/>
            <w:noWrap/>
            <w:vAlign w:val="center"/>
          </w:tcPr>
          <w:p w14:paraId="44229344" w14:textId="3D145BF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484" w:type="dxa"/>
            <w:tcBorders>
              <w:right w:val="single" w:sz="12" w:space="0" w:color="auto"/>
            </w:tcBorders>
            <w:shd w:val="clear" w:color="auto" w:fill="auto"/>
            <w:noWrap/>
            <w:vAlign w:val="center"/>
            <w:hideMark/>
          </w:tcPr>
          <w:p w14:paraId="7D788086" w14:textId="36C1E9C6"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tcBorders>
              <w:left w:val="single" w:sz="12" w:space="0" w:color="auto"/>
            </w:tcBorders>
            <w:shd w:val="clear" w:color="auto" w:fill="auto"/>
            <w:noWrap/>
            <w:vAlign w:val="center"/>
            <w:hideMark/>
          </w:tcPr>
          <w:p w14:paraId="12E7994E" w14:textId="46664756"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26</w:t>
            </w:r>
          </w:p>
        </w:tc>
        <w:tc>
          <w:tcPr>
            <w:tcW w:w="518" w:type="dxa"/>
            <w:shd w:val="clear" w:color="auto" w:fill="auto"/>
            <w:noWrap/>
            <w:vAlign w:val="center"/>
            <w:hideMark/>
          </w:tcPr>
          <w:p w14:paraId="59F10C4B" w14:textId="0572D35A"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23</w:t>
            </w:r>
          </w:p>
        </w:tc>
        <w:tc>
          <w:tcPr>
            <w:tcW w:w="519" w:type="dxa"/>
            <w:shd w:val="clear" w:color="auto" w:fill="auto"/>
            <w:noWrap/>
            <w:vAlign w:val="center"/>
            <w:hideMark/>
          </w:tcPr>
          <w:p w14:paraId="0F71739D" w14:textId="4E91BC9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15</w:t>
            </w:r>
          </w:p>
        </w:tc>
        <w:tc>
          <w:tcPr>
            <w:tcW w:w="518" w:type="dxa"/>
            <w:shd w:val="clear" w:color="auto" w:fill="auto"/>
            <w:noWrap/>
            <w:vAlign w:val="center"/>
            <w:hideMark/>
          </w:tcPr>
          <w:p w14:paraId="0E6D03C3" w14:textId="3B13D9F3"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5</w:t>
            </w:r>
          </w:p>
        </w:tc>
        <w:tc>
          <w:tcPr>
            <w:tcW w:w="518" w:type="dxa"/>
            <w:shd w:val="clear" w:color="auto" w:fill="auto"/>
            <w:noWrap/>
            <w:vAlign w:val="center"/>
            <w:hideMark/>
          </w:tcPr>
          <w:p w14:paraId="07360C63" w14:textId="3AA31F0C"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3</w:t>
            </w:r>
          </w:p>
        </w:tc>
        <w:tc>
          <w:tcPr>
            <w:tcW w:w="519" w:type="dxa"/>
            <w:shd w:val="clear" w:color="auto" w:fill="auto"/>
            <w:noWrap/>
            <w:vAlign w:val="center"/>
            <w:hideMark/>
          </w:tcPr>
          <w:p w14:paraId="3F85DC73" w14:textId="35DE713E"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3</w:t>
            </w:r>
          </w:p>
        </w:tc>
        <w:tc>
          <w:tcPr>
            <w:tcW w:w="518" w:type="dxa"/>
            <w:shd w:val="clear" w:color="auto" w:fill="auto"/>
            <w:noWrap/>
            <w:vAlign w:val="center"/>
            <w:hideMark/>
          </w:tcPr>
          <w:p w14:paraId="0D67013F" w14:textId="0DF0C136"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8" w:type="dxa"/>
            <w:shd w:val="clear" w:color="auto" w:fill="auto"/>
            <w:noWrap/>
            <w:vAlign w:val="center"/>
            <w:hideMark/>
          </w:tcPr>
          <w:p w14:paraId="43A77CB8" w14:textId="3A836D04"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519" w:type="dxa"/>
            <w:tcBorders>
              <w:right w:val="single" w:sz="12" w:space="0" w:color="auto"/>
            </w:tcBorders>
            <w:shd w:val="clear" w:color="auto" w:fill="auto"/>
            <w:noWrap/>
            <w:vAlign w:val="center"/>
            <w:hideMark/>
          </w:tcPr>
          <w:p w14:paraId="0B68667B" w14:textId="39630EAB"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0</w:t>
            </w:r>
          </w:p>
        </w:tc>
        <w:tc>
          <w:tcPr>
            <w:tcW w:w="602" w:type="dxa"/>
            <w:tcBorders>
              <w:left w:val="single" w:sz="12" w:space="0" w:color="auto"/>
            </w:tcBorders>
            <w:shd w:val="clear" w:color="auto" w:fill="auto"/>
            <w:noWrap/>
            <w:vAlign w:val="center"/>
            <w:hideMark/>
          </w:tcPr>
          <w:p w14:paraId="3F3022AC" w14:textId="50D5FB2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213</w:t>
            </w:r>
          </w:p>
        </w:tc>
        <w:tc>
          <w:tcPr>
            <w:tcW w:w="602" w:type="dxa"/>
            <w:shd w:val="clear" w:color="auto" w:fill="auto"/>
            <w:noWrap/>
            <w:vAlign w:val="center"/>
            <w:hideMark/>
          </w:tcPr>
          <w:p w14:paraId="34AEFDD9" w14:textId="1E44D627"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101</w:t>
            </w:r>
          </w:p>
        </w:tc>
        <w:tc>
          <w:tcPr>
            <w:tcW w:w="516" w:type="dxa"/>
            <w:shd w:val="clear" w:color="auto" w:fill="auto"/>
            <w:noWrap/>
            <w:vAlign w:val="center"/>
            <w:hideMark/>
          </w:tcPr>
          <w:p w14:paraId="384D2DBF" w14:textId="75F7BDC9"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90</w:t>
            </w:r>
          </w:p>
        </w:tc>
        <w:tc>
          <w:tcPr>
            <w:tcW w:w="491" w:type="dxa"/>
            <w:shd w:val="clear" w:color="auto" w:fill="auto"/>
            <w:noWrap/>
            <w:vAlign w:val="center"/>
            <w:hideMark/>
          </w:tcPr>
          <w:p w14:paraId="03E0CFE8" w14:textId="6815B3A8"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19</w:t>
            </w:r>
          </w:p>
        </w:tc>
        <w:tc>
          <w:tcPr>
            <w:tcW w:w="403" w:type="dxa"/>
            <w:shd w:val="clear" w:color="auto" w:fill="auto"/>
            <w:noWrap/>
            <w:vAlign w:val="center"/>
            <w:hideMark/>
          </w:tcPr>
          <w:p w14:paraId="6294B0C0" w14:textId="6D5CD8C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3</w:t>
            </w:r>
          </w:p>
        </w:tc>
        <w:tc>
          <w:tcPr>
            <w:tcW w:w="516" w:type="dxa"/>
            <w:shd w:val="clear" w:color="auto" w:fill="auto"/>
            <w:noWrap/>
            <w:vAlign w:val="center"/>
            <w:hideMark/>
          </w:tcPr>
          <w:p w14:paraId="7D4D9BCD" w14:textId="573A4875"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3</w:t>
            </w:r>
          </w:p>
        </w:tc>
        <w:tc>
          <w:tcPr>
            <w:tcW w:w="491" w:type="dxa"/>
            <w:shd w:val="clear" w:color="auto" w:fill="auto"/>
            <w:noWrap/>
            <w:vAlign w:val="center"/>
            <w:hideMark/>
          </w:tcPr>
          <w:p w14:paraId="255EF073" w14:textId="35E1A963"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2</w:t>
            </w:r>
          </w:p>
        </w:tc>
        <w:tc>
          <w:tcPr>
            <w:tcW w:w="403" w:type="dxa"/>
            <w:shd w:val="clear" w:color="auto" w:fill="auto"/>
            <w:noWrap/>
            <w:vAlign w:val="center"/>
            <w:hideMark/>
          </w:tcPr>
          <w:p w14:paraId="463B31AF" w14:textId="1035285B"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sz w:val="20"/>
                <w:szCs w:val="20"/>
              </w:rPr>
              <w:t>1</w:t>
            </w:r>
          </w:p>
        </w:tc>
        <w:tc>
          <w:tcPr>
            <w:tcW w:w="516" w:type="dxa"/>
            <w:shd w:val="clear" w:color="auto" w:fill="auto"/>
            <w:noWrap/>
            <w:vAlign w:val="center"/>
            <w:hideMark/>
          </w:tcPr>
          <w:p w14:paraId="67EDF278" w14:textId="2C1A06AF" w:rsidR="00490F3A" w:rsidRPr="001266C9" w:rsidRDefault="00490F3A" w:rsidP="00490F3A">
            <w:pPr>
              <w:jc w:val="center"/>
              <w:rPr>
                <w:rFonts w:asciiTheme="majorHAnsi" w:eastAsia="Times New Roman" w:hAnsiTheme="majorHAnsi" w:cs="Calibri"/>
                <w:sz w:val="20"/>
                <w:szCs w:val="20"/>
                <w:lang w:eastAsia="sk-SK"/>
              </w:rPr>
            </w:pPr>
            <w:r w:rsidRPr="001266C9">
              <w:rPr>
                <w:rFonts w:asciiTheme="majorHAnsi" w:hAnsiTheme="majorHAnsi" w:cs="Arial"/>
                <w:color w:val="000000"/>
                <w:sz w:val="20"/>
                <w:szCs w:val="20"/>
              </w:rPr>
              <w:t>1</w:t>
            </w:r>
          </w:p>
        </w:tc>
      </w:tr>
      <w:tr w:rsidR="00490F3A" w:rsidRPr="007E0551" w14:paraId="1BE81DFF" w14:textId="77777777" w:rsidTr="00046D80">
        <w:trPr>
          <w:cantSplit/>
          <w:trHeight w:val="170"/>
        </w:trPr>
        <w:tc>
          <w:tcPr>
            <w:tcW w:w="715" w:type="dxa"/>
            <w:tcBorders>
              <w:right w:val="single" w:sz="12" w:space="0" w:color="auto"/>
            </w:tcBorders>
            <w:shd w:val="clear" w:color="auto" w:fill="EEECE1" w:themeFill="background2"/>
            <w:noWrap/>
            <w:vAlign w:val="center"/>
          </w:tcPr>
          <w:p w14:paraId="0B2597DD" w14:textId="60634B5F" w:rsidR="00490F3A" w:rsidRPr="00046D80" w:rsidRDefault="00490F3A" w:rsidP="00490F3A">
            <w:pPr>
              <w:rPr>
                <w:rFonts w:eastAsia="Times New Roman" w:cs="Calibri"/>
                <w:b/>
                <w:bCs/>
                <w:sz w:val="20"/>
                <w:szCs w:val="20"/>
                <w:u w:val="single"/>
                <w:lang w:eastAsia="sk-SK"/>
              </w:rPr>
            </w:pPr>
            <w:r w:rsidRPr="00046D80">
              <w:rPr>
                <w:rFonts w:eastAsia="Times New Roman" w:cs="Calibri"/>
                <w:b/>
                <w:bCs/>
                <w:sz w:val="20"/>
                <w:szCs w:val="20"/>
                <w:lang w:eastAsia="sk-SK"/>
              </w:rPr>
              <w:t>STU</w:t>
            </w:r>
          </w:p>
        </w:tc>
        <w:tc>
          <w:tcPr>
            <w:tcW w:w="483" w:type="dxa"/>
            <w:tcBorders>
              <w:left w:val="single" w:sz="12" w:space="0" w:color="auto"/>
            </w:tcBorders>
            <w:shd w:val="clear" w:color="auto" w:fill="EEECE1" w:themeFill="background2"/>
            <w:noWrap/>
            <w:vAlign w:val="center"/>
          </w:tcPr>
          <w:p w14:paraId="3C3FC078" w14:textId="4924018B"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283</w:t>
            </w:r>
          </w:p>
        </w:tc>
        <w:tc>
          <w:tcPr>
            <w:tcW w:w="484" w:type="dxa"/>
            <w:shd w:val="clear" w:color="auto" w:fill="EEECE1" w:themeFill="background2"/>
            <w:noWrap/>
            <w:vAlign w:val="center"/>
          </w:tcPr>
          <w:p w14:paraId="74C7847F" w14:textId="398478E3"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206</w:t>
            </w:r>
          </w:p>
        </w:tc>
        <w:tc>
          <w:tcPr>
            <w:tcW w:w="484" w:type="dxa"/>
            <w:shd w:val="clear" w:color="auto" w:fill="EEECE1" w:themeFill="background2"/>
            <w:noWrap/>
            <w:vAlign w:val="center"/>
          </w:tcPr>
          <w:p w14:paraId="2532F23A" w14:textId="6B041EA8"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154</w:t>
            </w:r>
          </w:p>
        </w:tc>
        <w:tc>
          <w:tcPr>
            <w:tcW w:w="484" w:type="dxa"/>
            <w:shd w:val="clear" w:color="auto" w:fill="EEECE1" w:themeFill="background2"/>
            <w:noWrap/>
            <w:vAlign w:val="center"/>
          </w:tcPr>
          <w:p w14:paraId="2E8358BD" w14:textId="11D63B12"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43</w:t>
            </w:r>
          </w:p>
        </w:tc>
        <w:tc>
          <w:tcPr>
            <w:tcW w:w="484" w:type="dxa"/>
            <w:shd w:val="clear" w:color="auto" w:fill="EEECE1" w:themeFill="background2"/>
            <w:noWrap/>
            <w:vAlign w:val="center"/>
          </w:tcPr>
          <w:p w14:paraId="7FF010F0" w14:textId="6AC8D263"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33</w:t>
            </w:r>
          </w:p>
        </w:tc>
        <w:tc>
          <w:tcPr>
            <w:tcW w:w="484" w:type="dxa"/>
            <w:shd w:val="clear" w:color="auto" w:fill="EEECE1" w:themeFill="background2"/>
            <w:noWrap/>
            <w:vAlign w:val="center"/>
          </w:tcPr>
          <w:p w14:paraId="37C6D5ED" w14:textId="5C6EDD07"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20</w:t>
            </w:r>
          </w:p>
        </w:tc>
        <w:tc>
          <w:tcPr>
            <w:tcW w:w="484" w:type="dxa"/>
            <w:shd w:val="clear" w:color="auto" w:fill="EEECE1" w:themeFill="background2"/>
            <w:noWrap/>
            <w:vAlign w:val="center"/>
          </w:tcPr>
          <w:p w14:paraId="6209BFFC" w14:textId="509A1C17"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4</w:t>
            </w:r>
          </w:p>
        </w:tc>
        <w:tc>
          <w:tcPr>
            <w:tcW w:w="484" w:type="dxa"/>
            <w:shd w:val="clear" w:color="auto" w:fill="EEECE1" w:themeFill="background2"/>
            <w:noWrap/>
            <w:vAlign w:val="center"/>
          </w:tcPr>
          <w:p w14:paraId="2B170D0D" w14:textId="4E614E6E"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2</w:t>
            </w:r>
          </w:p>
        </w:tc>
        <w:tc>
          <w:tcPr>
            <w:tcW w:w="484" w:type="dxa"/>
            <w:tcBorders>
              <w:right w:val="single" w:sz="12" w:space="0" w:color="auto"/>
            </w:tcBorders>
            <w:shd w:val="clear" w:color="auto" w:fill="EEECE1" w:themeFill="background2"/>
            <w:noWrap/>
            <w:vAlign w:val="center"/>
          </w:tcPr>
          <w:p w14:paraId="2E5C71C8" w14:textId="651CAA3C"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1</w:t>
            </w:r>
          </w:p>
        </w:tc>
        <w:tc>
          <w:tcPr>
            <w:tcW w:w="518" w:type="dxa"/>
            <w:tcBorders>
              <w:left w:val="single" w:sz="12" w:space="0" w:color="auto"/>
            </w:tcBorders>
            <w:shd w:val="clear" w:color="auto" w:fill="EEECE1" w:themeFill="background2"/>
            <w:noWrap/>
            <w:vAlign w:val="center"/>
          </w:tcPr>
          <w:p w14:paraId="2B85D921" w14:textId="14D09F11"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518</w:t>
            </w:r>
          </w:p>
        </w:tc>
        <w:tc>
          <w:tcPr>
            <w:tcW w:w="518" w:type="dxa"/>
            <w:shd w:val="clear" w:color="auto" w:fill="EEECE1" w:themeFill="background2"/>
            <w:noWrap/>
            <w:vAlign w:val="center"/>
          </w:tcPr>
          <w:p w14:paraId="48E787CD" w14:textId="3536046E"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347</w:t>
            </w:r>
          </w:p>
        </w:tc>
        <w:tc>
          <w:tcPr>
            <w:tcW w:w="519" w:type="dxa"/>
            <w:shd w:val="clear" w:color="auto" w:fill="EEECE1" w:themeFill="background2"/>
            <w:noWrap/>
            <w:vAlign w:val="center"/>
          </w:tcPr>
          <w:p w14:paraId="7551A1E1" w14:textId="72F6F8D7"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274</w:t>
            </w:r>
          </w:p>
        </w:tc>
        <w:tc>
          <w:tcPr>
            <w:tcW w:w="518" w:type="dxa"/>
            <w:shd w:val="clear" w:color="auto" w:fill="EEECE1" w:themeFill="background2"/>
            <w:noWrap/>
            <w:vAlign w:val="center"/>
          </w:tcPr>
          <w:p w14:paraId="57BC2FD8" w14:textId="521BB557"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76</w:t>
            </w:r>
          </w:p>
        </w:tc>
        <w:tc>
          <w:tcPr>
            <w:tcW w:w="518" w:type="dxa"/>
            <w:shd w:val="clear" w:color="auto" w:fill="EEECE1" w:themeFill="background2"/>
            <w:noWrap/>
            <w:vAlign w:val="center"/>
          </w:tcPr>
          <w:p w14:paraId="69845C17" w14:textId="460073E6"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52</w:t>
            </w:r>
          </w:p>
        </w:tc>
        <w:tc>
          <w:tcPr>
            <w:tcW w:w="519" w:type="dxa"/>
            <w:shd w:val="clear" w:color="auto" w:fill="EEECE1" w:themeFill="background2"/>
            <w:noWrap/>
            <w:vAlign w:val="center"/>
          </w:tcPr>
          <w:p w14:paraId="15CDCA68" w14:textId="1C1A6F44"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45</w:t>
            </w:r>
          </w:p>
        </w:tc>
        <w:tc>
          <w:tcPr>
            <w:tcW w:w="518" w:type="dxa"/>
            <w:shd w:val="clear" w:color="auto" w:fill="EEECE1" w:themeFill="background2"/>
            <w:noWrap/>
            <w:vAlign w:val="center"/>
          </w:tcPr>
          <w:p w14:paraId="12DAA86A" w14:textId="42A51B32"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1</w:t>
            </w:r>
          </w:p>
        </w:tc>
        <w:tc>
          <w:tcPr>
            <w:tcW w:w="518" w:type="dxa"/>
            <w:shd w:val="clear" w:color="auto" w:fill="EEECE1" w:themeFill="background2"/>
            <w:noWrap/>
            <w:vAlign w:val="center"/>
          </w:tcPr>
          <w:p w14:paraId="697B9990" w14:textId="53F28475"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1</w:t>
            </w:r>
          </w:p>
        </w:tc>
        <w:tc>
          <w:tcPr>
            <w:tcW w:w="519" w:type="dxa"/>
            <w:tcBorders>
              <w:right w:val="single" w:sz="12" w:space="0" w:color="auto"/>
            </w:tcBorders>
            <w:shd w:val="clear" w:color="auto" w:fill="EEECE1" w:themeFill="background2"/>
            <w:noWrap/>
            <w:vAlign w:val="center"/>
          </w:tcPr>
          <w:p w14:paraId="45BF05D9" w14:textId="69875463"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1</w:t>
            </w:r>
          </w:p>
        </w:tc>
        <w:tc>
          <w:tcPr>
            <w:tcW w:w="602" w:type="dxa"/>
            <w:tcBorders>
              <w:left w:val="single" w:sz="12" w:space="0" w:color="auto"/>
            </w:tcBorders>
            <w:shd w:val="clear" w:color="auto" w:fill="EEECE1" w:themeFill="background2"/>
            <w:noWrap/>
            <w:vAlign w:val="center"/>
          </w:tcPr>
          <w:p w14:paraId="4C503C2F" w14:textId="19C08B74"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2</w:t>
            </w:r>
            <w:r>
              <w:rPr>
                <w:rFonts w:cs="Arial"/>
                <w:b/>
                <w:bCs/>
                <w:color w:val="000000"/>
                <w:sz w:val="20"/>
                <w:szCs w:val="20"/>
              </w:rPr>
              <w:t xml:space="preserve"> </w:t>
            </w:r>
            <w:r w:rsidRPr="001266C9">
              <w:rPr>
                <w:rFonts w:cs="Arial"/>
                <w:b/>
                <w:bCs/>
                <w:color w:val="000000"/>
                <w:sz w:val="20"/>
                <w:szCs w:val="20"/>
              </w:rPr>
              <w:t>129</w:t>
            </w:r>
          </w:p>
        </w:tc>
        <w:tc>
          <w:tcPr>
            <w:tcW w:w="602" w:type="dxa"/>
            <w:shd w:val="clear" w:color="auto" w:fill="EEECE1" w:themeFill="background2"/>
            <w:noWrap/>
            <w:vAlign w:val="center"/>
          </w:tcPr>
          <w:p w14:paraId="3D21B58F" w14:textId="0AB2A661"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1</w:t>
            </w:r>
            <w:r>
              <w:rPr>
                <w:rFonts w:cs="Arial"/>
                <w:b/>
                <w:bCs/>
                <w:color w:val="000000"/>
                <w:sz w:val="20"/>
                <w:szCs w:val="20"/>
              </w:rPr>
              <w:t xml:space="preserve"> </w:t>
            </w:r>
            <w:r w:rsidRPr="001266C9">
              <w:rPr>
                <w:rFonts w:cs="Arial"/>
                <w:b/>
                <w:bCs/>
                <w:color w:val="000000"/>
                <w:sz w:val="20"/>
                <w:szCs w:val="20"/>
              </w:rPr>
              <w:t>121</w:t>
            </w:r>
          </w:p>
        </w:tc>
        <w:tc>
          <w:tcPr>
            <w:tcW w:w="516" w:type="dxa"/>
            <w:shd w:val="clear" w:color="auto" w:fill="EEECE1" w:themeFill="background2"/>
            <w:noWrap/>
            <w:vAlign w:val="center"/>
          </w:tcPr>
          <w:p w14:paraId="513F0AA9" w14:textId="09030ECF"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879</w:t>
            </w:r>
          </w:p>
        </w:tc>
        <w:tc>
          <w:tcPr>
            <w:tcW w:w="491" w:type="dxa"/>
            <w:shd w:val="clear" w:color="auto" w:fill="EEECE1" w:themeFill="background2"/>
            <w:noWrap/>
            <w:vAlign w:val="center"/>
          </w:tcPr>
          <w:p w14:paraId="7A88DBD1" w14:textId="3EE38B35"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sz w:val="20"/>
                <w:szCs w:val="20"/>
              </w:rPr>
              <w:t>283</w:t>
            </w:r>
          </w:p>
        </w:tc>
        <w:tc>
          <w:tcPr>
            <w:tcW w:w="403" w:type="dxa"/>
            <w:shd w:val="clear" w:color="auto" w:fill="EEECE1" w:themeFill="background2"/>
            <w:noWrap/>
            <w:vAlign w:val="center"/>
          </w:tcPr>
          <w:p w14:paraId="6F65ECBD" w14:textId="1C7CFB95"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sz w:val="20"/>
                <w:szCs w:val="20"/>
              </w:rPr>
              <w:t>90</w:t>
            </w:r>
          </w:p>
        </w:tc>
        <w:tc>
          <w:tcPr>
            <w:tcW w:w="516" w:type="dxa"/>
            <w:shd w:val="clear" w:color="auto" w:fill="EEECE1" w:themeFill="background2"/>
            <w:noWrap/>
            <w:vAlign w:val="center"/>
          </w:tcPr>
          <w:p w14:paraId="34380CC4" w14:textId="127A286E"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66</w:t>
            </w:r>
          </w:p>
        </w:tc>
        <w:tc>
          <w:tcPr>
            <w:tcW w:w="491" w:type="dxa"/>
            <w:shd w:val="clear" w:color="auto" w:fill="EEECE1" w:themeFill="background2"/>
            <w:noWrap/>
            <w:vAlign w:val="center"/>
          </w:tcPr>
          <w:p w14:paraId="654E89A7" w14:textId="57283E10"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sz w:val="20"/>
                <w:szCs w:val="20"/>
              </w:rPr>
              <w:t>12</w:t>
            </w:r>
          </w:p>
        </w:tc>
        <w:tc>
          <w:tcPr>
            <w:tcW w:w="403" w:type="dxa"/>
            <w:shd w:val="clear" w:color="auto" w:fill="EEECE1" w:themeFill="background2"/>
            <w:noWrap/>
            <w:vAlign w:val="center"/>
          </w:tcPr>
          <w:p w14:paraId="1103AC54" w14:textId="1B1D55AF"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sz w:val="20"/>
                <w:szCs w:val="20"/>
              </w:rPr>
              <w:t>6</w:t>
            </w:r>
          </w:p>
        </w:tc>
        <w:tc>
          <w:tcPr>
            <w:tcW w:w="516" w:type="dxa"/>
            <w:shd w:val="clear" w:color="auto" w:fill="EEECE1" w:themeFill="background2"/>
            <w:noWrap/>
            <w:vAlign w:val="center"/>
          </w:tcPr>
          <w:p w14:paraId="54F6D221" w14:textId="1FF52EAF" w:rsidR="00490F3A" w:rsidRPr="001266C9" w:rsidRDefault="00490F3A" w:rsidP="00490F3A">
            <w:pPr>
              <w:jc w:val="center"/>
              <w:rPr>
                <w:rFonts w:asciiTheme="majorHAnsi" w:eastAsia="Times New Roman" w:hAnsiTheme="majorHAnsi" w:cs="Calibri"/>
                <w:b/>
                <w:sz w:val="20"/>
                <w:szCs w:val="20"/>
                <w:u w:val="single"/>
                <w:lang w:eastAsia="sk-SK"/>
              </w:rPr>
            </w:pPr>
            <w:r w:rsidRPr="001266C9">
              <w:rPr>
                <w:rFonts w:cs="Arial"/>
                <w:b/>
                <w:bCs/>
                <w:color w:val="000000"/>
                <w:sz w:val="20"/>
                <w:szCs w:val="20"/>
              </w:rPr>
              <w:t>5</w:t>
            </w:r>
          </w:p>
        </w:tc>
      </w:tr>
    </w:tbl>
    <w:p w14:paraId="4350B92F" w14:textId="498D4D53" w:rsidR="00120CB6" w:rsidRPr="0053555E" w:rsidRDefault="00275ACD" w:rsidP="00275ACD">
      <w:pPr>
        <w:tabs>
          <w:tab w:val="left" w:pos="9356"/>
        </w:tabs>
        <w:jc w:val="both"/>
        <w:rPr>
          <w:rFonts w:asciiTheme="majorHAnsi" w:hAnsiTheme="majorHAnsi" w:cstheme="majorHAnsi"/>
          <w:sz w:val="20"/>
          <w:szCs w:val="20"/>
          <w:lang w:eastAsia="sk-SK"/>
        </w:rPr>
      </w:pPr>
      <w:r w:rsidRPr="0053555E">
        <w:rPr>
          <w:rFonts w:asciiTheme="majorHAnsi" w:hAnsiTheme="majorHAnsi" w:cstheme="majorHAnsi"/>
          <w:sz w:val="20"/>
          <w:szCs w:val="20"/>
          <w:lang w:eastAsia="sk-SK"/>
        </w:rPr>
        <w:t>Vysvetlivky:</w:t>
      </w:r>
    </w:p>
    <w:p w14:paraId="59E53953" w14:textId="5055E372" w:rsidR="000B51C8" w:rsidRPr="0053555E" w:rsidRDefault="00275ACD" w:rsidP="00275ACD">
      <w:pPr>
        <w:tabs>
          <w:tab w:val="left" w:pos="9356"/>
        </w:tabs>
        <w:jc w:val="both"/>
        <w:rPr>
          <w:rFonts w:asciiTheme="majorHAnsi" w:hAnsiTheme="majorHAnsi" w:cstheme="majorHAnsi"/>
          <w:sz w:val="20"/>
          <w:szCs w:val="20"/>
          <w:lang w:eastAsia="sk-SK"/>
        </w:rPr>
      </w:pPr>
      <w:r w:rsidRPr="0053555E">
        <w:rPr>
          <w:rFonts w:asciiTheme="majorHAnsi" w:hAnsiTheme="majorHAnsi" w:cstheme="majorHAnsi"/>
          <w:sz w:val="20"/>
          <w:szCs w:val="20"/>
          <w:lang w:eastAsia="sk-SK"/>
        </w:rPr>
        <w:t>Ph – prihlásení uchádzači</w:t>
      </w:r>
      <w:r w:rsidR="00985A0A">
        <w:rPr>
          <w:rFonts w:asciiTheme="majorHAnsi" w:hAnsiTheme="majorHAnsi" w:cstheme="majorHAnsi"/>
          <w:sz w:val="20"/>
          <w:szCs w:val="20"/>
          <w:lang w:eastAsia="sk-SK"/>
        </w:rPr>
        <w:t xml:space="preserve">, </w:t>
      </w:r>
      <w:r w:rsidR="000B51C8" w:rsidRPr="0053555E">
        <w:rPr>
          <w:rFonts w:asciiTheme="majorHAnsi" w:hAnsiTheme="majorHAnsi" w:cstheme="majorHAnsi"/>
          <w:sz w:val="20"/>
          <w:szCs w:val="20"/>
          <w:lang w:eastAsia="sk-SK"/>
        </w:rPr>
        <w:t>Pr – prijatí uchádzači</w:t>
      </w:r>
      <w:r w:rsidR="00985A0A">
        <w:rPr>
          <w:rFonts w:asciiTheme="majorHAnsi" w:hAnsiTheme="majorHAnsi" w:cstheme="majorHAnsi"/>
          <w:sz w:val="20"/>
          <w:szCs w:val="20"/>
          <w:lang w:eastAsia="sk-SK"/>
        </w:rPr>
        <w:t xml:space="preserve">, </w:t>
      </w:r>
      <w:r w:rsidR="000B51C8" w:rsidRPr="0053555E">
        <w:rPr>
          <w:rFonts w:asciiTheme="majorHAnsi" w:hAnsiTheme="majorHAnsi" w:cstheme="majorHAnsi"/>
          <w:sz w:val="20"/>
          <w:szCs w:val="20"/>
          <w:lang w:eastAsia="sk-SK"/>
        </w:rPr>
        <w:t>Z – zapísaní študenti z novoprijatých uchádzačov</w:t>
      </w:r>
    </w:p>
    <w:p w14:paraId="23371212" w14:textId="1BBC0924" w:rsidR="009B429A" w:rsidRDefault="00EB3BCB" w:rsidP="00275ACD">
      <w:pPr>
        <w:tabs>
          <w:tab w:val="left" w:pos="9356"/>
        </w:tabs>
        <w:jc w:val="both"/>
        <w:rPr>
          <w:rFonts w:asciiTheme="majorHAnsi" w:hAnsiTheme="majorHAnsi" w:cstheme="majorHAnsi"/>
          <w:sz w:val="20"/>
          <w:szCs w:val="20"/>
          <w:lang w:eastAsia="sk-SK"/>
        </w:rPr>
      </w:pPr>
      <w:r w:rsidRPr="00EB3BCB">
        <w:rPr>
          <w:rFonts w:asciiTheme="majorHAnsi" w:hAnsiTheme="majorHAnsi" w:cstheme="majorHAnsi"/>
          <w:sz w:val="20"/>
          <w:szCs w:val="20"/>
          <w:lang w:eastAsia="sk-SK"/>
        </w:rPr>
        <w:t>Ak si uchádzač podal prihlášku na viac študijných programov v rámci jednej súčasti alebo v rámci STU</w:t>
      </w:r>
      <w:r w:rsidR="001266C9">
        <w:rPr>
          <w:rFonts w:asciiTheme="majorHAnsi" w:hAnsiTheme="majorHAnsi" w:cstheme="majorHAnsi"/>
          <w:sz w:val="20"/>
          <w:szCs w:val="20"/>
          <w:lang w:eastAsia="sk-SK"/>
        </w:rPr>
        <w:t xml:space="preserve"> alebo</w:t>
      </w:r>
      <w:r w:rsidRPr="00EB3BCB">
        <w:rPr>
          <w:rFonts w:asciiTheme="majorHAnsi" w:hAnsiTheme="majorHAnsi" w:cstheme="majorHAnsi"/>
          <w:sz w:val="20"/>
          <w:szCs w:val="20"/>
          <w:lang w:eastAsia="sk-SK"/>
        </w:rPr>
        <w:t xml:space="preserve"> bol prijatý na viac študijných programov</w:t>
      </w:r>
      <w:r w:rsidR="00046D80">
        <w:rPr>
          <w:rFonts w:asciiTheme="majorHAnsi" w:hAnsiTheme="majorHAnsi" w:cstheme="majorHAnsi"/>
          <w:sz w:val="20"/>
          <w:szCs w:val="20"/>
          <w:lang w:eastAsia="sk-SK"/>
        </w:rPr>
        <w:t>, prípadne zapísaný</w:t>
      </w:r>
      <w:r w:rsidRPr="00EB3BCB">
        <w:rPr>
          <w:rFonts w:asciiTheme="majorHAnsi" w:hAnsiTheme="majorHAnsi" w:cstheme="majorHAnsi"/>
          <w:sz w:val="20"/>
          <w:szCs w:val="20"/>
          <w:lang w:eastAsia="sk-SK"/>
        </w:rPr>
        <w:t xml:space="preserve"> je zohľadnený </w:t>
      </w:r>
      <w:r w:rsidR="00046D80" w:rsidRPr="00EB3BCB">
        <w:rPr>
          <w:rFonts w:asciiTheme="majorHAnsi" w:hAnsiTheme="majorHAnsi" w:cstheme="majorHAnsi"/>
          <w:sz w:val="20"/>
          <w:szCs w:val="20"/>
          <w:lang w:eastAsia="sk-SK"/>
        </w:rPr>
        <w:t>samostatne</w:t>
      </w:r>
      <w:r w:rsidRPr="00EB3BCB">
        <w:rPr>
          <w:rFonts w:asciiTheme="majorHAnsi" w:hAnsiTheme="majorHAnsi" w:cstheme="majorHAnsi"/>
          <w:sz w:val="20"/>
          <w:szCs w:val="20"/>
          <w:lang w:eastAsia="sk-SK"/>
        </w:rPr>
        <w:t xml:space="preserve"> pre každý študijný program </w:t>
      </w:r>
      <w:r w:rsidR="00046D80" w:rsidRPr="00EB3BCB">
        <w:rPr>
          <w:rFonts w:asciiTheme="majorHAnsi" w:hAnsiTheme="majorHAnsi" w:cstheme="majorHAnsi"/>
          <w:sz w:val="20"/>
          <w:szCs w:val="20"/>
          <w:lang w:eastAsia="sk-SK"/>
        </w:rPr>
        <w:t>samostatne</w:t>
      </w:r>
      <w:r w:rsidRPr="00EB3BCB">
        <w:rPr>
          <w:rFonts w:asciiTheme="majorHAnsi" w:hAnsiTheme="majorHAnsi" w:cstheme="majorHAnsi"/>
          <w:sz w:val="20"/>
          <w:szCs w:val="20"/>
          <w:lang w:eastAsia="sk-SK"/>
        </w:rPr>
        <w:t>.</w:t>
      </w:r>
    </w:p>
    <w:p w14:paraId="63948763" w14:textId="541ABDF3" w:rsidR="007E0551" w:rsidRDefault="007E0551" w:rsidP="00275ACD">
      <w:pPr>
        <w:tabs>
          <w:tab w:val="left" w:pos="9356"/>
        </w:tabs>
        <w:jc w:val="both"/>
        <w:rPr>
          <w:rFonts w:asciiTheme="majorHAnsi" w:hAnsiTheme="majorHAnsi" w:cstheme="majorHAnsi"/>
          <w:sz w:val="20"/>
          <w:szCs w:val="20"/>
          <w:lang w:eastAsia="sk-SK"/>
        </w:rPr>
      </w:pPr>
    </w:p>
    <w:p w14:paraId="54780FF8" w14:textId="7C77A88D" w:rsidR="007E0551" w:rsidRPr="0053555E" w:rsidRDefault="005D139D" w:rsidP="000E3322">
      <w:pPr>
        <w:pStyle w:val="Popis"/>
      </w:pPr>
      <w:bookmarkStart w:id="322" w:name="_Ref127574276"/>
      <w:bookmarkStart w:id="323" w:name="_Toc127593328"/>
      <w:r>
        <w:t xml:space="preserve">Tab. č. </w:t>
      </w:r>
      <w:bookmarkEnd w:id="322"/>
      <w:r w:rsidR="00E82525">
        <w:t>77</w:t>
      </w:r>
      <w:r>
        <w:t xml:space="preserve">: </w:t>
      </w:r>
      <w:r w:rsidRPr="005D139D">
        <w:t>Počet študentov STU občanov Ukrajiny</w:t>
      </w:r>
      <w:r>
        <w:t xml:space="preserve"> za ostatné tri akademické roky</w:t>
      </w:r>
      <w:r w:rsidRPr="005D139D">
        <w:t xml:space="preserve"> k 31.10.2022</w:t>
      </w:r>
      <w:bookmarkEnd w:id="323"/>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3"/>
        <w:gridCol w:w="755"/>
        <w:gridCol w:w="756"/>
        <w:gridCol w:w="755"/>
        <w:gridCol w:w="756"/>
        <w:gridCol w:w="755"/>
        <w:gridCol w:w="756"/>
        <w:gridCol w:w="755"/>
        <w:gridCol w:w="756"/>
        <w:gridCol w:w="755"/>
        <w:gridCol w:w="756"/>
        <w:gridCol w:w="755"/>
        <w:gridCol w:w="756"/>
        <w:gridCol w:w="755"/>
        <w:gridCol w:w="756"/>
        <w:gridCol w:w="755"/>
        <w:gridCol w:w="756"/>
        <w:gridCol w:w="755"/>
        <w:gridCol w:w="756"/>
      </w:tblGrid>
      <w:tr w:rsidR="00C02AC6" w14:paraId="045CE6E7" w14:textId="77777777" w:rsidTr="001054AC">
        <w:trPr>
          <w:cantSplit/>
          <w:trHeight w:val="170"/>
        </w:trPr>
        <w:tc>
          <w:tcPr>
            <w:tcW w:w="713" w:type="dxa"/>
            <w:vMerge w:val="restart"/>
            <w:tcBorders>
              <w:top w:val="single" w:sz="4" w:space="0" w:color="auto"/>
              <w:left w:val="single" w:sz="4" w:space="0" w:color="auto"/>
              <w:bottom w:val="single" w:sz="4" w:space="0" w:color="auto"/>
              <w:right w:val="single" w:sz="12" w:space="0" w:color="auto"/>
            </w:tcBorders>
            <w:noWrap/>
            <w:textDirection w:val="btLr"/>
            <w:vAlign w:val="center"/>
            <w:hideMark/>
          </w:tcPr>
          <w:p w14:paraId="789DFB34" w14:textId="77777777" w:rsidR="00C02AC6" w:rsidRDefault="00C02AC6" w:rsidP="00C02AC6">
            <w:pPr>
              <w:ind w:left="113" w:right="113"/>
              <w:jc w:val="center"/>
              <w:rPr>
                <w:rFonts w:eastAsia="Times New Roman" w:cs="Calibri"/>
                <w:b/>
                <w:sz w:val="22"/>
                <w:szCs w:val="22"/>
                <w:lang w:val="en-US" w:eastAsia="sk-SK"/>
              </w:rPr>
            </w:pPr>
            <w:r>
              <w:rPr>
                <w:rFonts w:eastAsia="Times New Roman" w:cs="Calibri"/>
                <w:b/>
                <w:sz w:val="22"/>
                <w:szCs w:val="22"/>
                <w:lang w:val="en-US" w:eastAsia="sk-SK"/>
              </w:rPr>
              <w:t>Súčasť STU</w:t>
            </w:r>
          </w:p>
        </w:tc>
        <w:tc>
          <w:tcPr>
            <w:tcW w:w="4533" w:type="dxa"/>
            <w:gridSpan w:val="6"/>
            <w:tcBorders>
              <w:top w:val="single" w:sz="4" w:space="0" w:color="auto"/>
              <w:left w:val="single" w:sz="12" w:space="0" w:color="auto"/>
              <w:bottom w:val="single" w:sz="4" w:space="0" w:color="auto"/>
              <w:right w:val="single" w:sz="4" w:space="0" w:color="auto"/>
            </w:tcBorders>
            <w:noWrap/>
            <w:vAlign w:val="center"/>
            <w:hideMark/>
          </w:tcPr>
          <w:p w14:paraId="74D71083" w14:textId="51DBEC67" w:rsidR="00C02AC6" w:rsidRDefault="00C02AC6" w:rsidP="00C02AC6">
            <w:pPr>
              <w:jc w:val="center"/>
              <w:rPr>
                <w:rFonts w:eastAsia="Times New Roman" w:cs="Calibri"/>
                <w:b/>
                <w:bCs/>
                <w:sz w:val="22"/>
                <w:szCs w:val="22"/>
                <w:lang w:val="en-US" w:eastAsia="sk-SK"/>
              </w:rPr>
            </w:pPr>
            <w:r>
              <w:rPr>
                <w:rFonts w:eastAsia="Times New Roman" w:cs="Calibri"/>
                <w:b/>
                <w:bCs/>
                <w:sz w:val="22"/>
                <w:szCs w:val="22"/>
                <w:lang w:val="en-US" w:eastAsia="sk-SK"/>
              </w:rPr>
              <w:t xml:space="preserve">akad. rok 2020/2021 </w:t>
            </w:r>
            <w:r>
              <w:rPr>
                <w:rFonts w:eastAsia="Times New Roman" w:cs="Calibri"/>
                <w:i/>
                <w:iCs/>
                <w:sz w:val="22"/>
                <w:szCs w:val="22"/>
                <w:lang w:val="en-US" w:eastAsia="sk-SK"/>
              </w:rPr>
              <w:t>(k 31.10.2020)</w:t>
            </w:r>
          </w:p>
        </w:tc>
        <w:tc>
          <w:tcPr>
            <w:tcW w:w="4533" w:type="dxa"/>
            <w:gridSpan w:val="6"/>
            <w:tcBorders>
              <w:top w:val="single" w:sz="4" w:space="0" w:color="auto"/>
              <w:left w:val="single" w:sz="12" w:space="0" w:color="auto"/>
              <w:bottom w:val="single" w:sz="4" w:space="0" w:color="auto"/>
              <w:right w:val="single" w:sz="4" w:space="0" w:color="auto"/>
            </w:tcBorders>
            <w:vAlign w:val="center"/>
          </w:tcPr>
          <w:p w14:paraId="284233F0" w14:textId="3FA2767D" w:rsidR="00C02AC6" w:rsidRDefault="00C02AC6" w:rsidP="00C02AC6">
            <w:pPr>
              <w:jc w:val="center"/>
              <w:rPr>
                <w:rFonts w:eastAsia="Times New Roman" w:cs="Calibri"/>
                <w:b/>
                <w:bCs/>
                <w:sz w:val="22"/>
                <w:szCs w:val="22"/>
                <w:lang w:val="en-US" w:eastAsia="sk-SK"/>
              </w:rPr>
            </w:pPr>
            <w:r>
              <w:rPr>
                <w:rFonts w:eastAsia="Times New Roman" w:cs="Calibri"/>
                <w:b/>
                <w:bCs/>
                <w:sz w:val="22"/>
                <w:szCs w:val="22"/>
                <w:lang w:val="en-US" w:eastAsia="sk-SK"/>
              </w:rPr>
              <w:t xml:space="preserve">akad. rok 2021/2022 </w:t>
            </w:r>
            <w:r>
              <w:rPr>
                <w:rFonts w:eastAsia="Times New Roman" w:cs="Calibri"/>
                <w:i/>
                <w:iCs/>
                <w:sz w:val="22"/>
                <w:szCs w:val="22"/>
                <w:lang w:val="en-US" w:eastAsia="sk-SK"/>
              </w:rPr>
              <w:t>(k 31.10.2021)</w:t>
            </w:r>
          </w:p>
        </w:tc>
        <w:tc>
          <w:tcPr>
            <w:tcW w:w="4533" w:type="dxa"/>
            <w:gridSpan w:val="6"/>
            <w:tcBorders>
              <w:top w:val="single" w:sz="4" w:space="0" w:color="auto"/>
              <w:left w:val="single" w:sz="12" w:space="0" w:color="auto"/>
              <w:bottom w:val="single" w:sz="4" w:space="0" w:color="auto"/>
              <w:right w:val="single" w:sz="12" w:space="0" w:color="auto"/>
            </w:tcBorders>
            <w:vAlign w:val="center"/>
          </w:tcPr>
          <w:p w14:paraId="40C28166" w14:textId="3DFBA414" w:rsidR="00C02AC6" w:rsidRDefault="00C02AC6" w:rsidP="00C02AC6">
            <w:pPr>
              <w:jc w:val="center"/>
              <w:rPr>
                <w:rFonts w:eastAsia="Times New Roman" w:cs="Calibri"/>
                <w:b/>
                <w:bCs/>
                <w:sz w:val="22"/>
                <w:szCs w:val="22"/>
                <w:lang w:val="en-US" w:eastAsia="sk-SK"/>
              </w:rPr>
            </w:pPr>
            <w:r>
              <w:rPr>
                <w:rFonts w:eastAsia="Times New Roman" w:cs="Calibri"/>
                <w:b/>
                <w:bCs/>
                <w:sz w:val="22"/>
                <w:szCs w:val="22"/>
                <w:lang w:val="en-US" w:eastAsia="sk-SK"/>
              </w:rPr>
              <w:t xml:space="preserve">akad. rok 2022/2023 </w:t>
            </w:r>
            <w:r>
              <w:rPr>
                <w:rFonts w:eastAsia="Times New Roman" w:cs="Calibri"/>
                <w:i/>
                <w:iCs/>
                <w:sz w:val="22"/>
                <w:szCs w:val="22"/>
                <w:lang w:val="en-US" w:eastAsia="sk-SK"/>
              </w:rPr>
              <w:t>(k 31.10.2022)</w:t>
            </w:r>
          </w:p>
        </w:tc>
      </w:tr>
      <w:tr w:rsidR="00FD3E8B" w14:paraId="3809AC9F" w14:textId="77777777" w:rsidTr="001054AC">
        <w:trPr>
          <w:cantSplit/>
          <w:trHeight w:val="170"/>
        </w:trPr>
        <w:tc>
          <w:tcPr>
            <w:tcW w:w="713" w:type="dxa"/>
            <w:vMerge/>
            <w:tcBorders>
              <w:top w:val="single" w:sz="4" w:space="0" w:color="auto"/>
              <w:left w:val="single" w:sz="4" w:space="0" w:color="auto"/>
              <w:bottom w:val="single" w:sz="4" w:space="0" w:color="auto"/>
              <w:right w:val="single" w:sz="12" w:space="0" w:color="auto"/>
            </w:tcBorders>
            <w:vAlign w:val="center"/>
            <w:hideMark/>
          </w:tcPr>
          <w:p w14:paraId="7B12D9C5" w14:textId="77777777" w:rsidR="00FD3E8B" w:rsidRDefault="00FD3E8B" w:rsidP="00FD3E8B">
            <w:pPr>
              <w:rPr>
                <w:rFonts w:eastAsia="Times New Roman" w:cs="Calibri"/>
                <w:b/>
                <w:sz w:val="22"/>
                <w:szCs w:val="22"/>
                <w:lang w:val="en-US" w:eastAsia="sk-SK"/>
              </w:rPr>
            </w:pPr>
          </w:p>
        </w:tc>
        <w:tc>
          <w:tcPr>
            <w:tcW w:w="2266" w:type="dxa"/>
            <w:gridSpan w:val="3"/>
            <w:tcBorders>
              <w:top w:val="single" w:sz="4" w:space="0" w:color="auto"/>
              <w:left w:val="single" w:sz="12" w:space="0" w:color="auto"/>
              <w:bottom w:val="single" w:sz="4" w:space="0" w:color="auto"/>
              <w:right w:val="single" w:sz="12" w:space="0" w:color="auto"/>
            </w:tcBorders>
            <w:noWrap/>
            <w:vAlign w:val="bottom"/>
          </w:tcPr>
          <w:p w14:paraId="1D396111" w14:textId="19207430" w:rsidR="00FD3E8B" w:rsidRDefault="00FD3E8B" w:rsidP="00FD3E8B">
            <w:pPr>
              <w:jc w:val="center"/>
              <w:rPr>
                <w:rFonts w:eastAsia="Times New Roman" w:cs="Calibri"/>
                <w:b/>
                <w:bCs/>
                <w:sz w:val="22"/>
                <w:szCs w:val="22"/>
                <w:lang w:val="en-US" w:eastAsia="sk-SK"/>
              </w:rPr>
            </w:pPr>
            <w:r>
              <w:rPr>
                <w:rFonts w:cs="Arial"/>
                <w:color w:val="000000"/>
                <w:sz w:val="22"/>
                <w:szCs w:val="22"/>
              </w:rPr>
              <w:t>denná forma</w:t>
            </w:r>
          </w:p>
        </w:tc>
        <w:tc>
          <w:tcPr>
            <w:tcW w:w="2267" w:type="dxa"/>
            <w:gridSpan w:val="3"/>
            <w:tcBorders>
              <w:top w:val="single" w:sz="4" w:space="0" w:color="auto"/>
              <w:left w:val="single" w:sz="12" w:space="0" w:color="auto"/>
              <w:bottom w:val="single" w:sz="4" w:space="0" w:color="auto"/>
              <w:right w:val="single" w:sz="12" w:space="0" w:color="auto"/>
            </w:tcBorders>
            <w:noWrap/>
            <w:vAlign w:val="bottom"/>
          </w:tcPr>
          <w:p w14:paraId="346305E4" w14:textId="0D160505" w:rsidR="00FD3E8B" w:rsidRDefault="00FD3E8B" w:rsidP="00FD3E8B">
            <w:pPr>
              <w:jc w:val="center"/>
              <w:rPr>
                <w:rFonts w:eastAsia="Times New Roman" w:cs="Calibri"/>
                <w:b/>
                <w:bCs/>
                <w:sz w:val="22"/>
                <w:szCs w:val="22"/>
                <w:lang w:val="en-US" w:eastAsia="sk-SK"/>
              </w:rPr>
            </w:pPr>
            <w:r>
              <w:rPr>
                <w:rFonts w:cs="Arial"/>
                <w:color w:val="000000"/>
                <w:sz w:val="22"/>
                <w:szCs w:val="22"/>
              </w:rPr>
              <w:t>externá forma</w:t>
            </w:r>
          </w:p>
        </w:tc>
        <w:tc>
          <w:tcPr>
            <w:tcW w:w="2266" w:type="dxa"/>
            <w:gridSpan w:val="3"/>
            <w:tcBorders>
              <w:top w:val="single" w:sz="4" w:space="0" w:color="auto"/>
              <w:left w:val="single" w:sz="4" w:space="0" w:color="auto"/>
              <w:bottom w:val="single" w:sz="4" w:space="0" w:color="auto"/>
              <w:right w:val="single" w:sz="12" w:space="0" w:color="auto"/>
            </w:tcBorders>
            <w:vAlign w:val="bottom"/>
          </w:tcPr>
          <w:p w14:paraId="60F8E13C" w14:textId="20CB5168" w:rsidR="00FD3E8B" w:rsidRDefault="00FD3E8B" w:rsidP="00FD3E8B">
            <w:pPr>
              <w:jc w:val="center"/>
              <w:rPr>
                <w:rFonts w:eastAsia="Times New Roman" w:cs="Calibri"/>
                <w:b/>
                <w:bCs/>
                <w:sz w:val="22"/>
                <w:szCs w:val="22"/>
                <w:lang w:val="en-US" w:eastAsia="sk-SK"/>
              </w:rPr>
            </w:pPr>
            <w:r>
              <w:rPr>
                <w:rFonts w:cs="Arial"/>
                <w:color w:val="000000"/>
                <w:sz w:val="22"/>
                <w:szCs w:val="22"/>
              </w:rPr>
              <w:t>denná forma</w:t>
            </w:r>
          </w:p>
        </w:tc>
        <w:tc>
          <w:tcPr>
            <w:tcW w:w="2267" w:type="dxa"/>
            <w:gridSpan w:val="3"/>
            <w:tcBorders>
              <w:top w:val="single" w:sz="4" w:space="0" w:color="auto"/>
              <w:left w:val="single" w:sz="12" w:space="0" w:color="auto"/>
              <w:bottom w:val="single" w:sz="4" w:space="0" w:color="auto"/>
              <w:right w:val="single" w:sz="4" w:space="0" w:color="auto"/>
            </w:tcBorders>
            <w:noWrap/>
            <w:vAlign w:val="bottom"/>
          </w:tcPr>
          <w:p w14:paraId="131627BE" w14:textId="32FECC49" w:rsidR="00FD3E8B" w:rsidRDefault="00FD3E8B" w:rsidP="00FD3E8B">
            <w:pPr>
              <w:jc w:val="center"/>
              <w:rPr>
                <w:rFonts w:eastAsia="Times New Roman" w:cs="Calibri"/>
                <w:b/>
                <w:bCs/>
                <w:sz w:val="22"/>
                <w:szCs w:val="22"/>
                <w:lang w:val="en-US" w:eastAsia="sk-SK"/>
              </w:rPr>
            </w:pPr>
            <w:r>
              <w:rPr>
                <w:rFonts w:cs="Arial"/>
                <w:color w:val="000000"/>
                <w:sz w:val="22"/>
                <w:szCs w:val="22"/>
              </w:rPr>
              <w:t>externá forma</w:t>
            </w:r>
          </w:p>
        </w:tc>
        <w:tc>
          <w:tcPr>
            <w:tcW w:w="2266" w:type="dxa"/>
            <w:gridSpan w:val="3"/>
            <w:tcBorders>
              <w:top w:val="single" w:sz="4" w:space="0" w:color="auto"/>
              <w:left w:val="single" w:sz="12" w:space="0" w:color="auto"/>
              <w:bottom w:val="single" w:sz="4" w:space="0" w:color="auto"/>
              <w:right w:val="single" w:sz="4" w:space="0" w:color="auto"/>
            </w:tcBorders>
            <w:vAlign w:val="bottom"/>
          </w:tcPr>
          <w:p w14:paraId="7A304BBC" w14:textId="73EFEDA0" w:rsidR="00FD3E8B" w:rsidRDefault="00FD3E8B" w:rsidP="00FD3E8B">
            <w:pPr>
              <w:jc w:val="center"/>
              <w:rPr>
                <w:rFonts w:eastAsia="Times New Roman" w:cs="Calibri"/>
                <w:b/>
                <w:bCs/>
                <w:sz w:val="22"/>
                <w:szCs w:val="22"/>
                <w:lang w:val="en-US" w:eastAsia="sk-SK"/>
              </w:rPr>
            </w:pPr>
            <w:r>
              <w:rPr>
                <w:rFonts w:cs="Arial"/>
                <w:color w:val="000000"/>
                <w:sz w:val="22"/>
                <w:szCs w:val="22"/>
              </w:rPr>
              <w:t>denná forma</w:t>
            </w:r>
          </w:p>
        </w:tc>
        <w:tc>
          <w:tcPr>
            <w:tcW w:w="2267" w:type="dxa"/>
            <w:gridSpan w:val="3"/>
            <w:tcBorders>
              <w:top w:val="single" w:sz="4" w:space="0" w:color="auto"/>
              <w:left w:val="single" w:sz="12" w:space="0" w:color="auto"/>
              <w:bottom w:val="single" w:sz="4" w:space="0" w:color="auto"/>
              <w:right w:val="single" w:sz="12" w:space="0" w:color="auto"/>
            </w:tcBorders>
            <w:vAlign w:val="bottom"/>
          </w:tcPr>
          <w:p w14:paraId="4E8F9A0F" w14:textId="567BFC8C" w:rsidR="00FD3E8B" w:rsidRDefault="00FD3E8B" w:rsidP="00FD3E8B">
            <w:pPr>
              <w:jc w:val="center"/>
              <w:rPr>
                <w:rFonts w:eastAsia="Times New Roman" w:cs="Calibri"/>
                <w:b/>
                <w:bCs/>
                <w:sz w:val="22"/>
                <w:szCs w:val="22"/>
                <w:lang w:val="en-US" w:eastAsia="sk-SK"/>
              </w:rPr>
            </w:pPr>
            <w:r>
              <w:rPr>
                <w:rFonts w:cs="Arial"/>
                <w:color w:val="000000"/>
                <w:sz w:val="22"/>
                <w:szCs w:val="22"/>
              </w:rPr>
              <w:t>externá forma</w:t>
            </w:r>
          </w:p>
        </w:tc>
      </w:tr>
      <w:tr w:rsidR="00985A0A" w14:paraId="503A09C1" w14:textId="77777777" w:rsidTr="001054AC">
        <w:trPr>
          <w:cantSplit/>
          <w:trHeight w:val="170"/>
        </w:trPr>
        <w:tc>
          <w:tcPr>
            <w:tcW w:w="713" w:type="dxa"/>
            <w:vMerge/>
            <w:tcBorders>
              <w:top w:val="single" w:sz="4" w:space="0" w:color="auto"/>
              <w:left w:val="single" w:sz="4" w:space="0" w:color="auto"/>
              <w:bottom w:val="single" w:sz="4" w:space="0" w:color="auto"/>
              <w:right w:val="single" w:sz="12" w:space="0" w:color="auto"/>
            </w:tcBorders>
            <w:vAlign w:val="center"/>
            <w:hideMark/>
          </w:tcPr>
          <w:p w14:paraId="663010A6" w14:textId="77777777" w:rsidR="00FD3E8B" w:rsidRDefault="00FD3E8B" w:rsidP="00FD3E8B">
            <w:pPr>
              <w:rPr>
                <w:rFonts w:eastAsia="Times New Roman" w:cs="Calibri"/>
                <w:b/>
                <w:sz w:val="22"/>
                <w:szCs w:val="22"/>
                <w:lang w:val="en-US" w:eastAsia="sk-SK"/>
              </w:rPr>
            </w:pPr>
          </w:p>
        </w:tc>
        <w:tc>
          <w:tcPr>
            <w:tcW w:w="755" w:type="dxa"/>
            <w:tcBorders>
              <w:top w:val="single" w:sz="4" w:space="0" w:color="auto"/>
              <w:left w:val="single" w:sz="12" w:space="0" w:color="auto"/>
              <w:bottom w:val="single" w:sz="4" w:space="0" w:color="auto"/>
              <w:right w:val="single" w:sz="4" w:space="0" w:color="auto"/>
            </w:tcBorders>
            <w:noWrap/>
            <w:vAlign w:val="bottom"/>
          </w:tcPr>
          <w:p w14:paraId="5CFB95AE" w14:textId="69C549EF"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 stupeň</w:t>
            </w:r>
          </w:p>
        </w:tc>
        <w:tc>
          <w:tcPr>
            <w:tcW w:w="756" w:type="dxa"/>
            <w:tcBorders>
              <w:top w:val="single" w:sz="4" w:space="0" w:color="auto"/>
              <w:left w:val="single" w:sz="4" w:space="0" w:color="auto"/>
              <w:bottom w:val="single" w:sz="4" w:space="0" w:color="auto"/>
              <w:right w:val="single" w:sz="4" w:space="0" w:color="auto"/>
            </w:tcBorders>
            <w:noWrap/>
            <w:vAlign w:val="bottom"/>
          </w:tcPr>
          <w:p w14:paraId="3AAA2B33" w14:textId="50B233EF"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II. stupeň</w:t>
            </w:r>
          </w:p>
        </w:tc>
        <w:tc>
          <w:tcPr>
            <w:tcW w:w="755" w:type="dxa"/>
            <w:tcBorders>
              <w:top w:val="single" w:sz="4" w:space="0" w:color="auto"/>
              <w:left w:val="single" w:sz="4" w:space="0" w:color="auto"/>
              <w:bottom w:val="single" w:sz="4" w:space="0" w:color="auto"/>
              <w:right w:val="single" w:sz="12" w:space="0" w:color="auto"/>
            </w:tcBorders>
            <w:noWrap/>
            <w:vAlign w:val="bottom"/>
          </w:tcPr>
          <w:p w14:paraId="2D480817" w14:textId="5F7F370E"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III. stupeň</w:t>
            </w:r>
          </w:p>
        </w:tc>
        <w:tc>
          <w:tcPr>
            <w:tcW w:w="756" w:type="dxa"/>
            <w:tcBorders>
              <w:top w:val="single" w:sz="4" w:space="0" w:color="auto"/>
              <w:left w:val="single" w:sz="12" w:space="0" w:color="auto"/>
              <w:bottom w:val="single" w:sz="4" w:space="0" w:color="auto"/>
              <w:right w:val="single" w:sz="4" w:space="0" w:color="auto"/>
            </w:tcBorders>
            <w:noWrap/>
            <w:vAlign w:val="bottom"/>
          </w:tcPr>
          <w:p w14:paraId="3F6B158D" w14:textId="2E700F1F"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 stupeň</w:t>
            </w:r>
          </w:p>
        </w:tc>
        <w:tc>
          <w:tcPr>
            <w:tcW w:w="755" w:type="dxa"/>
            <w:tcBorders>
              <w:top w:val="single" w:sz="4" w:space="0" w:color="auto"/>
              <w:left w:val="single" w:sz="4" w:space="0" w:color="auto"/>
              <w:bottom w:val="single" w:sz="4" w:space="0" w:color="auto"/>
              <w:right w:val="single" w:sz="4" w:space="0" w:color="auto"/>
            </w:tcBorders>
            <w:noWrap/>
            <w:vAlign w:val="bottom"/>
          </w:tcPr>
          <w:p w14:paraId="0A2688BC" w14:textId="1C00D57B"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II. stupeň</w:t>
            </w:r>
          </w:p>
        </w:tc>
        <w:tc>
          <w:tcPr>
            <w:tcW w:w="756" w:type="dxa"/>
            <w:tcBorders>
              <w:top w:val="single" w:sz="4" w:space="0" w:color="auto"/>
              <w:left w:val="single" w:sz="4" w:space="0" w:color="auto"/>
              <w:bottom w:val="single" w:sz="4" w:space="0" w:color="auto"/>
              <w:right w:val="single" w:sz="12" w:space="0" w:color="auto"/>
            </w:tcBorders>
            <w:noWrap/>
            <w:vAlign w:val="bottom"/>
          </w:tcPr>
          <w:p w14:paraId="035844DB" w14:textId="670A9284"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III. stupeň</w:t>
            </w:r>
          </w:p>
        </w:tc>
        <w:tc>
          <w:tcPr>
            <w:tcW w:w="755" w:type="dxa"/>
            <w:tcBorders>
              <w:top w:val="single" w:sz="4" w:space="0" w:color="auto"/>
              <w:left w:val="single" w:sz="12" w:space="0" w:color="auto"/>
              <w:bottom w:val="single" w:sz="4" w:space="0" w:color="auto"/>
              <w:right w:val="single" w:sz="4" w:space="0" w:color="auto"/>
            </w:tcBorders>
            <w:noWrap/>
            <w:vAlign w:val="bottom"/>
          </w:tcPr>
          <w:p w14:paraId="6C562DA5" w14:textId="1BA3D30F"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 stupeň</w:t>
            </w:r>
          </w:p>
        </w:tc>
        <w:tc>
          <w:tcPr>
            <w:tcW w:w="756" w:type="dxa"/>
            <w:tcBorders>
              <w:top w:val="single" w:sz="4" w:space="0" w:color="auto"/>
              <w:left w:val="single" w:sz="4" w:space="0" w:color="auto"/>
              <w:bottom w:val="single" w:sz="4" w:space="0" w:color="auto"/>
              <w:right w:val="single" w:sz="4" w:space="0" w:color="auto"/>
            </w:tcBorders>
            <w:noWrap/>
            <w:vAlign w:val="bottom"/>
          </w:tcPr>
          <w:p w14:paraId="4121F399" w14:textId="76E498A6"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II. stupeň</w:t>
            </w:r>
          </w:p>
        </w:tc>
        <w:tc>
          <w:tcPr>
            <w:tcW w:w="755" w:type="dxa"/>
            <w:tcBorders>
              <w:top w:val="single" w:sz="4" w:space="0" w:color="auto"/>
              <w:left w:val="single" w:sz="4" w:space="0" w:color="auto"/>
              <w:bottom w:val="single" w:sz="4" w:space="0" w:color="auto"/>
              <w:right w:val="single" w:sz="12" w:space="0" w:color="auto"/>
            </w:tcBorders>
            <w:noWrap/>
            <w:vAlign w:val="bottom"/>
          </w:tcPr>
          <w:p w14:paraId="4E8B1AB5" w14:textId="3AC10CF8"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III. stupeň</w:t>
            </w:r>
          </w:p>
        </w:tc>
        <w:tc>
          <w:tcPr>
            <w:tcW w:w="756" w:type="dxa"/>
            <w:tcBorders>
              <w:top w:val="single" w:sz="4" w:space="0" w:color="auto"/>
              <w:left w:val="single" w:sz="12" w:space="0" w:color="auto"/>
              <w:bottom w:val="single" w:sz="4" w:space="0" w:color="auto"/>
              <w:right w:val="single" w:sz="4" w:space="0" w:color="auto"/>
            </w:tcBorders>
            <w:noWrap/>
            <w:vAlign w:val="bottom"/>
          </w:tcPr>
          <w:p w14:paraId="498C81B2" w14:textId="1B1B58E4"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 stupeň</w:t>
            </w:r>
          </w:p>
        </w:tc>
        <w:tc>
          <w:tcPr>
            <w:tcW w:w="755" w:type="dxa"/>
            <w:tcBorders>
              <w:top w:val="single" w:sz="4" w:space="0" w:color="auto"/>
              <w:left w:val="single" w:sz="4" w:space="0" w:color="auto"/>
              <w:bottom w:val="single" w:sz="4" w:space="0" w:color="auto"/>
              <w:right w:val="single" w:sz="4" w:space="0" w:color="auto"/>
            </w:tcBorders>
            <w:noWrap/>
            <w:vAlign w:val="bottom"/>
          </w:tcPr>
          <w:p w14:paraId="2E5871BE" w14:textId="032DF1A8"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II. stupeň</w:t>
            </w:r>
          </w:p>
        </w:tc>
        <w:tc>
          <w:tcPr>
            <w:tcW w:w="756" w:type="dxa"/>
            <w:tcBorders>
              <w:top w:val="single" w:sz="4" w:space="0" w:color="auto"/>
              <w:left w:val="single" w:sz="4" w:space="0" w:color="auto"/>
              <w:bottom w:val="single" w:sz="4" w:space="0" w:color="auto"/>
              <w:right w:val="single" w:sz="12" w:space="0" w:color="auto"/>
            </w:tcBorders>
            <w:noWrap/>
            <w:vAlign w:val="bottom"/>
          </w:tcPr>
          <w:p w14:paraId="121044F7" w14:textId="149C70CF"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III. stupeň</w:t>
            </w:r>
          </w:p>
        </w:tc>
        <w:tc>
          <w:tcPr>
            <w:tcW w:w="755" w:type="dxa"/>
            <w:tcBorders>
              <w:top w:val="single" w:sz="4" w:space="0" w:color="auto"/>
              <w:left w:val="single" w:sz="12" w:space="0" w:color="auto"/>
              <w:bottom w:val="single" w:sz="4" w:space="0" w:color="auto"/>
              <w:right w:val="single" w:sz="4" w:space="0" w:color="auto"/>
            </w:tcBorders>
            <w:noWrap/>
            <w:vAlign w:val="bottom"/>
          </w:tcPr>
          <w:p w14:paraId="15328163" w14:textId="50A06036"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 stupeň</w:t>
            </w:r>
          </w:p>
        </w:tc>
        <w:tc>
          <w:tcPr>
            <w:tcW w:w="756" w:type="dxa"/>
            <w:tcBorders>
              <w:top w:val="single" w:sz="4" w:space="0" w:color="auto"/>
              <w:left w:val="single" w:sz="4" w:space="0" w:color="auto"/>
              <w:bottom w:val="single" w:sz="4" w:space="0" w:color="auto"/>
              <w:right w:val="single" w:sz="4" w:space="0" w:color="auto"/>
            </w:tcBorders>
            <w:noWrap/>
            <w:vAlign w:val="bottom"/>
          </w:tcPr>
          <w:p w14:paraId="4D9A7BA5" w14:textId="3397CC23"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II. stupeň</w:t>
            </w:r>
          </w:p>
        </w:tc>
        <w:tc>
          <w:tcPr>
            <w:tcW w:w="755" w:type="dxa"/>
            <w:tcBorders>
              <w:top w:val="single" w:sz="4" w:space="0" w:color="auto"/>
              <w:left w:val="single" w:sz="4" w:space="0" w:color="auto"/>
              <w:bottom w:val="single" w:sz="4" w:space="0" w:color="auto"/>
              <w:right w:val="single" w:sz="12" w:space="0" w:color="auto"/>
            </w:tcBorders>
            <w:noWrap/>
            <w:vAlign w:val="bottom"/>
          </w:tcPr>
          <w:p w14:paraId="3A864A20" w14:textId="617F305B"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III. stupeň</w:t>
            </w:r>
          </w:p>
        </w:tc>
        <w:tc>
          <w:tcPr>
            <w:tcW w:w="756" w:type="dxa"/>
            <w:tcBorders>
              <w:top w:val="single" w:sz="4" w:space="0" w:color="auto"/>
              <w:left w:val="single" w:sz="12" w:space="0" w:color="auto"/>
              <w:bottom w:val="single" w:sz="4" w:space="0" w:color="auto"/>
              <w:right w:val="single" w:sz="4" w:space="0" w:color="auto"/>
            </w:tcBorders>
            <w:noWrap/>
            <w:vAlign w:val="bottom"/>
          </w:tcPr>
          <w:p w14:paraId="4CD677A7" w14:textId="676F047F"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 stupeň</w:t>
            </w:r>
          </w:p>
        </w:tc>
        <w:tc>
          <w:tcPr>
            <w:tcW w:w="755" w:type="dxa"/>
            <w:tcBorders>
              <w:top w:val="single" w:sz="4" w:space="0" w:color="auto"/>
              <w:left w:val="single" w:sz="4" w:space="0" w:color="auto"/>
              <w:bottom w:val="single" w:sz="4" w:space="0" w:color="auto"/>
              <w:right w:val="single" w:sz="4" w:space="0" w:color="auto"/>
            </w:tcBorders>
            <w:noWrap/>
            <w:vAlign w:val="bottom"/>
          </w:tcPr>
          <w:p w14:paraId="5AB92D30" w14:textId="290C7C7E"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II. stupeň</w:t>
            </w:r>
          </w:p>
        </w:tc>
        <w:tc>
          <w:tcPr>
            <w:tcW w:w="756" w:type="dxa"/>
            <w:tcBorders>
              <w:top w:val="single" w:sz="4" w:space="0" w:color="auto"/>
              <w:left w:val="single" w:sz="4" w:space="0" w:color="auto"/>
              <w:bottom w:val="single" w:sz="4" w:space="0" w:color="auto"/>
              <w:right w:val="single" w:sz="12" w:space="0" w:color="auto"/>
            </w:tcBorders>
            <w:noWrap/>
            <w:vAlign w:val="bottom"/>
          </w:tcPr>
          <w:p w14:paraId="0D077D62" w14:textId="5F10A704" w:rsidR="00FD3E8B" w:rsidRPr="00FD3E8B" w:rsidRDefault="00FD3E8B" w:rsidP="00FD3E8B">
            <w:pPr>
              <w:jc w:val="center"/>
              <w:rPr>
                <w:rFonts w:eastAsia="Times New Roman" w:cs="Calibri"/>
                <w:b/>
                <w:sz w:val="20"/>
                <w:lang w:val="en-US" w:eastAsia="sk-SK"/>
              </w:rPr>
            </w:pPr>
            <w:r w:rsidRPr="00FD3E8B">
              <w:rPr>
                <w:rFonts w:cs="Arial"/>
                <w:color w:val="000000"/>
                <w:sz w:val="20"/>
                <w:szCs w:val="22"/>
              </w:rPr>
              <w:t>III. stupeň</w:t>
            </w:r>
          </w:p>
        </w:tc>
      </w:tr>
      <w:tr w:rsidR="00985A0A" w14:paraId="1561339C" w14:textId="77777777" w:rsidTr="001054AC">
        <w:trPr>
          <w:cantSplit/>
          <w:trHeight w:val="170"/>
        </w:trPr>
        <w:tc>
          <w:tcPr>
            <w:tcW w:w="713" w:type="dxa"/>
            <w:tcBorders>
              <w:top w:val="single" w:sz="4" w:space="0" w:color="auto"/>
              <w:left w:val="single" w:sz="4" w:space="0" w:color="auto"/>
              <w:bottom w:val="single" w:sz="4" w:space="0" w:color="auto"/>
              <w:right w:val="single" w:sz="12" w:space="0" w:color="auto"/>
            </w:tcBorders>
            <w:noWrap/>
            <w:vAlign w:val="center"/>
            <w:hideMark/>
          </w:tcPr>
          <w:p w14:paraId="5D9523AD" w14:textId="77777777" w:rsidR="00FD3E8B" w:rsidRPr="00985A0A" w:rsidRDefault="00FD3E8B" w:rsidP="00FD3E8B">
            <w:pPr>
              <w:rPr>
                <w:rFonts w:eastAsia="Times New Roman" w:cs="Calibri"/>
                <w:b/>
                <w:bCs/>
                <w:sz w:val="20"/>
                <w:szCs w:val="20"/>
                <w:lang w:val="en-US" w:eastAsia="sk-SK"/>
              </w:rPr>
            </w:pPr>
            <w:r w:rsidRPr="00985A0A">
              <w:rPr>
                <w:rFonts w:eastAsia="Times New Roman" w:cs="Calibri"/>
                <w:b/>
                <w:bCs/>
                <w:sz w:val="20"/>
                <w:szCs w:val="20"/>
                <w:lang w:val="en-US" w:eastAsia="sk-SK"/>
              </w:rPr>
              <w:t>SvF</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3D8699A3" w14:textId="7ADD41B4" w:rsidR="00FD3E8B" w:rsidRDefault="00FD3E8B" w:rsidP="00FD3E8B">
            <w:pPr>
              <w:jc w:val="center"/>
              <w:rPr>
                <w:rFonts w:eastAsia="Times New Roman" w:cs="Calibri"/>
                <w:sz w:val="20"/>
                <w:szCs w:val="20"/>
                <w:lang w:val="en-US" w:eastAsia="sk-SK"/>
              </w:rPr>
            </w:pPr>
            <w:r>
              <w:rPr>
                <w:rFonts w:cs="Arial"/>
                <w:color w:val="000000"/>
                <w:sz w:val="22"/>
                <w:szCs w:val="22"/>
              </w:rPr>
              <w:t>42</w:t>
            </w:r>
          </w:p>
        </w:tc>
        <w:tc>
          <w:tcPr>
            <w:tcW w:w="756" w:type="dxa"/>
            <w:tcBorders>
              <w:top w:val="single" w:sz="4" w:space="0" w:color="auto"/>
              <w:left w:val="single" w:sz="4" w:space="0" w:color="auto"/>
              <w:bottom w:val="single" w:sz="4" w:space="0" w:color="auto"/>
              <w:right w:val="single" w:sz="4" w:space="0" w:color="auto"/>
            </w:tcBorders>
            <w:noWrap/>
            <w:vAlign w:val="bottom"/>
          </w:tcPr>
          <w:p w14:paraId="6FC0CA5E" w14:textId="152E8177" w:rsidR="00FD3E8B" w:rsidRDefault="00FD3E8B" w:rsidP="00FD3E8B">
            <w:pPr>
              <w:jc w:val="center"/>
              <w:rPr>
                <w:rFonts w:eastAsia="Times New Roman" w:cs="Calibri"/>
                <w:sz w:val="20"/>
                <w:szCs w:val="20"/>
                <w:lang w:val="en-US" w:eastAsia="sk-SK"/>
              </w:rPr>
            </w:pPr>
            <w:r>
              <w:rPr>
                <w:rFonts w:cs="Arial"/>
                <w:color w:val="000000"/>
                <w:sz w:val="22"/>
                <w:szCs w:val="22"/>
              </w:rPr>
              <w:t>2</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52207547" w14:textId="36713CEC"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42400BD2" w14:textId="3F137AF0"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tcPr>
          <w:p w14:paraId="2E1247C3" w14:textId="69602379"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0E57E0D4" w14:textId="670BB3B6"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5C58E873" w14:textId="0A0DC4A1" w:rsidR="00FD3E8B" w:rsidRDefault="00FD3E8B" w:rsidP="00FD3E8B">
            <w:pPr>
              <w:jc w:val="center"/>
              <w:rPr>
                <w:rFonts w:eastAsia="Times New Roman" w:cs="Calibri"/>
                <w:sz w:val="20"/>
                <w:szCs w:val="20"/>
                <w:lang w:val="en-US" w:eastAsia="sk-SK"/>
              </w:rPr>
            </w:pPr>
            <w:r>
              <w:rPr>
                <w:rFonts w:cs="Arial"/>
                <w:color w:val="000000"/>
                <w:sz w:val="22"/>
                <w:szCs w:val="22"/>
              </w:rPr>
              <w:t>76</w:t>
            </w:r>
          </w:p>
        </w:tc>
        <w:tc>
          <w:tcPr>
            <w:tcW w:w="756" w:type="dxa"/>
            <w:tcBorders>
              <w:top w:val="single" w:sz="4" w:space="0" w:color="auto"/>
              <w:left w:val="single" w:sz="4" w:space="0" w:color="auto"/>
              <w:bottom w:val="single" w:sz="4" w:space="0" w:color="auto"/>
              <w:right w:val="single" w:sz="4" w:space="0" w:color="auto"/>
            </w:tcBorders>
            <w:noWrap/>
            <w:vAlign w:val="bottom"/>
          </w:tcPr>
          <w:p w14:paraId="59DA6FE6" w14:textId="4D3D17EC" w:rsidR="00FD3E8B" w:rsidRDefault="00FD3E8B" w:rsidP="00FD3E8B">
            <w:pPr>
              <w:jc w:val="center"/>
              <w:rPr>
                <w:rFonts w:eastAsia="Times New Roman" w:cs="Calibri"/>
                <w:sz w:val="20"/>
                <w:szCs w:val="20"/>
                <w:lang w:val="en-US" w:eastAsia="sk-SK"/>
              </w:rPr>
            </w:pPr>
            <w:r>
              <w:rPr>
                <w:rFonts w:cs="Arial"/>
                <w:color w:val="000000"/>
                <w:sz w:val="22"/>
                <w:szCs w:val="22"/>
              </w:rPr>
              <w:t>6</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2C03A884" w14:textId="0E804386" w:rsidR="00FD3E8B" w:rsidRDefault="00FD3E8B" w:rsidP="00FD3E8B">
            <w:pPr>
              <w:jc w:val="center"/>
              <w:rPr>
                <w:rFonts w:eastAsia="Times New Roman" w:cs="Calibri"/>
                <w:sz w:val="20"/>
                <w:szCs w:val="20"/>
                <w:lang w:val="en-US" w:eastAsia="sk-SK"/>
              </w:rPr>
            </w:pPr>
            <w:r>
              <w:rPr>
                <w:rFonts w:cs="Arial"/>
                <w:color w:val="000000"/>
                <w:sz w:val="22"/>
                <w:szCs w:val="22"/>
              </w:rPr>
              <w:t>1</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2364A141" w14:textId="638F61F2"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668AF129" w14:textId="2CD86044"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7B5294B9" w14:textId="734F61B3"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2A206D74" w14:textId="629C1287" w:rsidR="00FD3E8B" w:rsidRDefault="00FD3E8B" w:rsidP="00FD3E8B">
            <w:pPr>
              <w:jc w:val="center"/>
              <w:rPr>
                <w:rFonts w:eastAsia="Times New Roman" w:cs="Calibri"/>
                <w:sz w:val="20"/>
                <w:szCs w:val="20"/>
                <w:lang w:val="en-US" w:eastAsia="sk-SK"/>
              </w:rPr>
            </w:pPr>
            <w:r>
              <w:rPr>
                <w:rFonts w:cs="Arial"/>
                <w:color w:val="000000"/>
                <w:sz w:val="22"/>
                <w:szCs w:val="22"/>
              </w:rPr>
              <w:t>227</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913B283" w14:textId="7449A6E6" w:rsidR="00FD3E8B" w:rsidRDefault="00FD3E8B" w:rsidP="00FD3E8B">
            <w:pPr>
              <w:jc w:val="center"/>
              <w:rPr>
                <w:rFonts w:eastAsia="Times New Roman" w:cs="Calibri"/>
                <w:sz w:val="20"/>
                <w:szCs w:val="20"/>
                <w:lang w:val="en-US" w:eastAsia="sk-SK"/>
              </w:rPr>
            </w:pPr>
            <w:r>
              <w:rPr>
                <w:rFonts w:cs="Arial"/>
                <w:color w:val="000000"/>
                <w:sz w:val="22"/>
                <w:szCs w:val="22"/>
              </w:rPr>
              <w:t>10</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43B42E58" w14:textId="0C59ED56" w:rsidR="00FD3E8B" w:rsidRDefault="00FD3E8B" w:rsidP="00FD3E8B">
            <w:pPr>
              <w:jc w:val="center"/>
              <w:rPr>
                <w:rFonts w:eastAsia="Times New Roman" w:cs="Calibri"/>
                <w:sz w:val="20"/>
                <w:szCs w:val="20"/>
                <w:lang w:val="en-US" w:eastAsia="sk-SK"/>
              </w:rPr>
            </w:pPr>
            <w:r>
              <w:rPr>
                <w:rFonts w:cs="Arial"/>
                <w:color w:val="000000"/>
                <w:sz w:val="22"/>
                <w:szCs w:val="22"/>
              </w:rPr>
              <w:t>1</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7262CF3E" w14:textId="29BC1279"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53B55F3B" w14:textId="197D81FA"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70132EE0" w14:textId="590443E7" w:rsidR="00FD3E8B" w:rsidRDefault="00FD3E8B" w:rsidP="00FD3E8B">
            <w:pPr>
              <w:jc w:val="center"/>
              <w:rPr>
                <w:rFonts w:eastAsia="Times New Roman" w:cs="Calibri"/>
                <w:sz w:val="20"/>
                <w:szCs w:val="20"/>
                <w:lang w:val="en-US" w:eastAsia="sk-SK"/>
              </w:rPr>
            </w:pPr>
            <w:r>
              <w:rPr>
                <w:rFonts w:cs="Arial"/>
                <w:color w:val="000000"/>
                <w:sz w:val="22"/>
                <w:szCs w:val="22"/>
              </w:rPr>
              <w:t>0</w:t>
            </w:r>
          </w:p>
        </w:tc>
      </w:tr>
      <w:tr w:rsidR="00985A0A" w14:paraId="046AF99A" w14:textId="77777777" w:rsidTr="001054AC">
        <w:trPr>
          <w:cantSplit/>
          <w:trHeight w:val="170"/>
        </w:trPr>
        <w:tc>
          <w:tcPr>
            <w:tcW w:w="713" w:type="dxa"/>
            <w:tcBorders>
              <w:top w:val="single" w:sz="4" w:space="0" w:color="auto"/>
              <w:left w:val="single" w:sz="4" w:space="0" w:color="auto"/>
              <w:bottom w:val="single" w:sz="4" w:space="0" w:color="auto"/>
              <w:right w:val="single" w:sz="12" w:space="0" w:color="auto"/>
            </w:tcBorders>
            <w:noWrap/>
            <w:vAlign w:val="center"/>
            <w:hideMark/>
          </w:tcPr>
          <w:p w14:paraId="4D05ADBB" w14:textId="77777777" w:rsidR="00FD3E8B" w:rsidRPr="00985A0A" w:rsidRDefault="00FD3E8B" w:rsidP="00FD3E8B">
            <w:pPr>
              <w:rPr>
                <w:rFonts w:eastAsia="Times New Roman" w:cs="Calibri"/>
                <w:b/>
                <w:bCs/>
                <w:sz w:val="20"/>
                <w:szCs w:val="20"/>
                <w:lang w:val="en-US" w:eastAsia="sk-SK"/>
              </w:rPr>
            </w:pPr>
            <w:r w:rsidRPr="00985A0A">
              <w:rPr>
                <w:rFonts w:eastAsia="Times New Roman" w:cs="Calibri"/>
                <w:b/>
                <w:bCs/>
                <w:sz w:val="20"/>
                <w:szCs w:val="20"/>
                <w:lang w:val="en-US" w:eastAsia="sk-SK"/>
              </w:rPr>
              <w:t>SjF</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6DE6B267" w14:textId="0DE1BA27" w:rsidR="00FD3E8B" w:rsidRDefault="00FD3E8B" w:rsidP="00FD3E8B">
            <w:pPr>
              <w:jc w:val="center"/>
              <w:rPr>
                <w:rFonts w:eastAsia="Times New Roman" w:cs="Calibri"/>
                <w:sz w:val="20"/>
                <w:szCs w:val="20"/>
                <w:lang w:val="en-US" w:eastAsia="sk-SK"/>
              </w:rPr>
            </w:pPr>
            <w:r>
              <w:rPr>
                <w:rFonts w:cs="Arial"/>
                <w:color w:val="000000"/>
                <w:sz w:val="22"/>
                <w:szCs w:val="22"/>
              </w:rPr>
              <w:t>17</w:t>
            </w:r>
          </w:p>
        </w:tc>
        <w:tc>
          <w:tcPr>
            <w:tcW w:w="756" w:type="dxa"/>
            <w:tcBorders>
              <w:top w:val="single" w:sz="4" w:space="0" w:color="auto"/>
              <w:left w:val="single" w:sz="4" w:space="0" w:color="auto"/>
              <w:bottom w:val="single" w:sz="4" w:space="0" w:color="auto"/>
              <w:right w:val="single" w:sz="4" w:space="0" w:color="auto"/>
            </w:tcBorders>
            <w:noWrap/>
            <w:vAlign w:val="bottom"/>
          </w:tcPr>
          <w:p w14:paraId="46570098" w14:textId="27AF1D32" w:rsidR="00FD3E8B" w:rsidRDefault="00FD3E8B" w:rsidP="00FD3E8B">
            <w:pPr>
              <w:jc w:val="center"/>
              <w:rPr>
                <w:rFonts w:eastAsia="Times New Roman" w:cs="Calibri"/>
                <w:sz w:val="20"/>
                <w:szCs w:val="20"/>
                <w:lang w:val="en-US" w:eastAsia="sk-SK"/>
              </w:rPr>
            </w:pPr>
            <w:r>
              <w:rPr>
                <w:rFonts w:cs="Arial"/>
                <w:color w:val="000000"/>
                <w:sz w:val="22"/>
                <w:szCs w:val="22"/>
              </w:rPr>
              <w:t>4</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12BEA5B5" w14:textId="08AA2916"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36E7C61B" w14:textId="5293D931"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tcPr>
          <w:p w14:paraId="74A7B9DF" w14:textId="0D000153"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61928577" w14:textId="2607F1B4"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4D16FDF9" w14:textId="646E29A3" w:rsidR="00FD3E8B" w:rsidRDefault="00FD3E8B" w:rsidP="00FD3E8B">
            <w:pPr>
              <w:jc w:val="center"/>
              <w:rPr>
                <w:rFonts w:eastAsia="Times New Roman" w:cs="Calibri"/>
                <w:sz w:val="20"/>
                <w:szCs w:val="20"/>
                <w:lang w:val="en-US" w:eastAsia="sk-SK"/>
              </w:rPr>
            </w:pPr>
            <w:r>
              <w:rPr>
                <w:rFonts w:cs="Arial"/>
                <w:color w:val="000000"/>
                <w:sz w:val="22"/>
                <w:szCs w:val="22"/>
              </w:rPr>
              <w:t>28</w:t>
            </w:r>
          </w:p>
        </w:tc>
        <w:tc>
          <w:tcPr>
            <w:tcW w:w="756" w:type="dxa"/>
            <w:tcBorders>
              <w:top w:val="single" w:sz="4" w:space="0" w:color="auto"/>
              <w:left w:val="single" w:sz="4" w:space="0" w:color="auto"/>
              <w:bottom w:val="single" w:sz="4" w:space="0" w:color="auto"/>
              <w:right w:val="single" w:sz="4" w:space="0" w:color="auto"/>
            </w:tcBorders>
            <w:noWrap/>
            <w:vAlign w:val="bottom"/>
          </w:tcPr>
          <w:p w14:paraId="061A07D6" w14:textId="714042C1" w:rsidR="00FD3E8B" w:rsidRDefault="00FD3E8B" w:rsidP="00FD3E8B">
            <w:pPr>
              <w:jc w:val="center"/>
              <w:rPr>
                <w:rFonts w:eastAsia="Times New Roman" w:cs="Calibri"/>
                <w:sz w:val="20"/>
                <w:szCs w:val="20"/>
                <w:lang w:val="en-US" w:eastAsia="sk-SK"/>
              </w:rPr>
            </w:pPr>
            <w:r>
              <w:rPr>
                <w:rFonts w:cs="Arial"/>
                <w:color w:val="000000"/>
                <w:sz w:val="22"/>
                <w:szCs w:val="22"/>
              </w:rPr>
              <w:t>21</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2FAB5012" w14:textId="4B86CED0"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5A2B8646" w14:textId="06D73AD4"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52CB0D0F" w14:textId="1E58FBC9"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52C0EC4A" w14:textId="20790621"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4E35A5AE" w14:textId="6239E53C" w:rsidR="00FD3E8B" w:rsidRDefault="00FD3E8B" w:rsidP="00FD3E8B">
            <w:pPr>
              <w:jc w:val="center"/>
              <w:rPr>
                <w:rFonts w:eastAsia="Times New Roman" w:cs="Calibri"/>
                <w:sz w:val="20"/>
                <w:szCs w:val="20"/>
                <w:lang w:val="en-US" w:eastAsia="sk-SK"/>
              </w:rPr>
            </w:pPr>
            <w:r>
              <w:rPr>
                <w:rFonts w:cs="Arial"/>
                <w:color w:val="000000"/>
                <w:sz w:val="22"/>
                <w:szCs w:val="22"/>
              </w:rPr>
              <w:t>109</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7B21D308" w14:textId="6D105282" w:rsidR="00FD3E8B" w:rsidRDefault="00FD3E8B" w:rsidP="00FD3E8B">
            <w:pPr>
              <w:jc w:val="center"/>
              <w:rPr>
                <w:rFonts w:eastAsia="Times New Roman" w:cs="Calibri"/>
                <w:sz w:val="20"/>
                <w:szCs w:val="20"/>
                <w:lang w:val="en-US" w:eastAsia="sk-SK"/>
              </w:rPr>
            </w:pPr>
            <w:r>
              <w:rPr>
                <w:rFonts w:cs="Arial"/>
                <w:color w:val="000000"/>
                <w:sz w:val="22"/>
                <w:szCs w:val="22"/>
              </w:rPr>
              <w:t>20</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5BA9DD67" w14:textId="218CA10E"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1E9FB03B" w14:textId="6FC654CB"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6F388BEA" w14:textId="4675705F"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675C90F5" w14:textId="1014511E" w:rsidR="00FD3E8B" w:rsidRDefault="00FD3E8B" w:rsidP="00FD3E8B">
            <w:pPr>
              <w:jc w:val="center"/>
              <w:rPr>
                <w:rFonts w:eastAsia="Times New Roman" w:cs="Calibri"/>
                <w:sz w:val="20"/>
                <w:szCs w:val="20"/>
                <w:lang w:val="en-US" w:eastAsia="sk-SK"/>
              </w:rPr>
            </w:pPr>
            <w:r>
              <w:rPr>
                <w:rFonts w:cs="Arial"/>
                <w:color w:val="000000"/>
                <w:sz w:val="22"/>
                <w:szCs w:val="22"/>
              </w:rPr>
              <w:t>1</w:t>
            </w:r>
          </w:p>
        </w:tc>
      </w:tr>
      <w:tr w:rsidR="00985A0A" w14:paraId="41D834F8" w14:textId="77777777" w:rsidTr="001054AC">
        <w:trPr>
          <w:cantSplit/>
          <w:trHeight w:val="170"/>
        </w:trPr>
        <w:tc>
          <w:tcPr>
            <w:tcW w:w="713" w:type="dxa"/>
            <w:tcBorders>
              <w:top w:val="single" w:sz="4" w:space="0" w:color="auto"/>
              <w:left w:val="single" w:sz="4" w:space="0" w:color="auto"/>
              <w:bottom w:val="single" w:sz="4" w:space="0" w:color="auto"/>
              <w:right w:val="single" w:sz="12" w:space="0" w:color="auto"/>
            </w:tcBorders>
            <w:noWrap/>
            <w:vAlign w:val="center"/>
            <w:hideMark/>
          </w:tcPr>
          <w:p w14:paraId="16F63348" w14:textId="77777777" w:rsidR="00FD3E8B" w:rsidRPr="00985A0A" w:rsidRDefault="00FD3E8B" w:rsidP="00FD3E8B">
            <w:pPr>
              <w:rPr>
                <w:rFonts w:eastAsia="Times New Roman" w:cs="Calibri"/>
                <w:b/>
                <w:bCs/>
                <w:sz w:val="20"/>
                <w:szCs w:val="20"/>
                <w:lang w:val="en-US" w:eastAsia="sk-SK"/>
              </w:rPr>
            </w:pPr>
            <w:r w:rsidRPr="00985A0A">
              <w:rPr>
                <w:rFonts w:eastAsia="Times New Roman" w:cs="Calibri"/>
                <w:b/>
                <w:bCs/>
                <w:sz w:val="20"/>
                <w:szCs w:val="20"/>
                <w:lang w:val="en-US" w:eastAsia="sk-SK"/>
              </w:rPr>
              <w:t>FEI</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7E1A1CAE" w14:textId="1038AD00" w:rsidR="00FD3E8B" w:rsidRDefault="00FD3E8B" w:rsidP="00FD3E8B">
            <w:pPr>
              <w:jc w:val="center"/>
              <w:rPr>
                <w:rFonts w:eastAsia="Times New Roman" w:cs="Calibri"/>
                <w:sz w:val="20"/>
                <w:szCs w:val="20"/>
                <w:lang w:val="en-US" w:eastAsia="sk-SK"/>
              </w:rPr>
            </w:pPr>
            <w:r>
              <w:rPr>
                <w:rFonts w:cs="Arial"/>
                <w:color w:val="000000"/>
                <w:sz w:val="22"/>
                <w:szCs w:val="22"/>
              </w:rPr>
              <w:t>72</w:t>
            </w:r>
          </w:p>
        </w:tc>
        <w:tc>
          <w:tcPr>
            <w:tcW w:w="756" w:type="dxa"/>
            <w:tcBorders>
              <w:top w:val="single" w:sz="4" w:space="0" w:color="auto"/>
              <w:left w:val="single" w:sz="4" w:space="0" w:color="auto"/>
              <w:bottom w:val="single" w:sz="4" w:space="0" w:color="auto"/>
              <w:right w:val="single" w:sz="4" w:space="0" w:color="auto"/>
            </w:tcBorders>
            <w:noWrap/>
            <w:vAlign w:val="bottom"/>
          </w:tcPr>
          <w:p w14:paraId="4ACB4302" w14:textId="6951A55A" w:rsidR="00FD3E8B" w:rsidRDefault="00FD3E8B" w:rsidP="00FD3E8B">
            <w:pPr>
              <w:jc w:val="center"/>
              <w:rPr>
                <w:rFonts w:eastAsia="Times New Roman" w:cs="Calibri"/>
                <w:sz w:val="20"/>
                <w:szCs w:val="20"/>
                <w:lang w:val="en-US" w:eastAsia="sk-SK"/>
              </w:rPr>
            </w:pPr>
            <w:r>
              <w:rPr>
                <w:rFonts w:cs="Arial"/>
                <w:color w:val="000000"/>
                <w:sz w:val="22"/>
                <w:szCs w:val="22"/>
              </w:rPr>
              <w:t>8</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72D6910B" w14:textId="6FE93E5C"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2C8753B9" w14:textId="404742C0"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tcPr>
          <w:p w14:paraId="5EA3BC71" w14:textId="08D8A8A7"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4A812BE4" w14:textId="513BC374"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587DB8CC" w14:textId="59A44CE2" w:rsidR="00FD3E8B" w:rsidRDefault="00FD3E8B" w:rsidP="00FD3E8B">
            <w:pPr>
              <w:jc w:val="center"/>
              <w:rPr>
                <w:rFonts w:eastAsia="Times New Roman" w:cs="Calibri"/>
                <w:sz w:val="20"/>
                <w:szCs w:val="20"/>
                <w:lang w:val="en-US" w:eastAsia="sk-SK"/>
              </w:rPr>
            </w:pPr>
            <w:r>
              <w:rPr>
                <w:rFonts w:cs="Arial"/>
                <w:color w:val="000000"/>
                <w:sz w:val="22"/>
                <w:szCs w:val="22"/>
              </w:rPr>
              <w:t>101</w:t>
            </w:r>
          </w:p>
        </w:tc>
        <w:tc>
          <w:tcPr>
            <w:tcW w:w="756" w:type="dxa"/>
            <w:tcBorders>
              <w:top w:val="single" w:sz="4" w:space="0" w:color="auto"/>
              <w:left w:val="single" w:sz="4" w:space="0" w:color="auto"/>
              <w:bottom w:val="single" w:sz="4" w:space="0" w:color="auto"/>
              <w:right w:val="single" w:sz="4" w:space="0" w:color="auto"/>
            </w:tcBorders>
            <w:noWrap/>
            <w:vAlign w:val="bottom"/>
          </w:tcPr>
          <w:p w14:paraId="6A274452" w14:textId="0F2665ED" w:rsidR="00FD3E8B" w:rsidRDefault="00FD3E8B" w:rsidP="00FD3E8B">
            <w:pPr>
              <w:jc w:val="center"/>
              <w:rPr>
                <w:rFonts w:eastAsia="Times New Roman" w:cs="Calibri"/>
                <w:sz w:val="20"/>
                <w:szCs w:val="20"/>
                <w:lang w:val="en-US" w:eastAsia="sk-SK"/>
              </w:rPr>
            </w:pPr>
            <w:r>
              <w:rPr>
                <w:rFonts w:cs="Arial"/>
                <w:color w:val="000000"/>
                <w:sz w:val="22"/>
                <w:szCs w:val="22"/>
              </w:rPr>
              <w:t>8</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7F74F24D" w14:textId="3EB7A7DB"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44805F1F" w14:textId="2FCEB603"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0BCDF883" w14:textId="566E2FD9"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77C381AB" w14:textId="00D95679"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22527349" w14:textId="5344ED29" w:rsidR="00FD3E8B" w:rsidRDefault="00FD3E8B" w:rsidP="00FD3E8B">
            <w:pPr>
              <w:jc w:val="center"/>
              <w:rPr>
                <w:rFonts w:eastAsia="Times New Roman" w:cs="Calibri"/>
                <w:sz w:val="20"/>
                <w:szCs w:val="20"/>
                <w:lang w:val="en-US" w:eastAsia="sk-SK"/>
              </w:rPr>
            </w:pPr>
            <w:r>
              <w:rPr>
                <w:rFonts w:cs="Arial"/>
                <w:color w:val="000000"/>
                <w:sz w:val="22"/>
                <w:szCs w:val="22"/>
              </w:rPr>
              <w:t>231</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01D7C3A" w14:textId="58AB1693" w:rsidR="00FD3E8B" w:rsidRDefault="00FD3E8B" w:rsidP="00FD3E8B">
            <w:pPr>
              <w:jc w:val="center"/>
              <w:rPr>
                <w:rFonts w:eastAsia="Times New Roman" w:cs="Calibri"/>
                <w:sz w:val="20"/>
                <w:szCs w:val="20"/>
                <w:lang w:val="en-US" w:eastAsia="sk-SK"/>
              </w:rPr>
            </w:pPr>
            <w:r>
              <w:rPr>
                <w:rFonts w:cs="Arial"/>
                <w:color w:val="000000"/>
                <w:sz w:val="22"/>
                <w:szCs w:val="22"/>
              </w:rPr>
              <w:t>19</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1633AC91" w14:textId="7D0D4FEE" w:rsidR="00FD3E8B" w:rsidRDefault="00FD3E8B" w:rsidP="00FD3E8B">
            <w:pPr>
              <w:jc w:val="center"/>
              <w:rPr>
                <w:rFonts w:eastAsia="Times New Roman" w:cs="Calibri"/>
                <w:sz w:val="20"/>
                <w:szCs w:val="20"/>
                <w:lang w:val="en-US" w:eastAsia="sk-SK"/>
              </w:rPr>
            </w:pPr>
            <w:r>
              <w:rPr>
                <w:rFonts w:cs="Arial"/>
                <w:color w:val="000000"/>
                <w:sz w:val="22"/>
                <w:szCs w:val="22"/>
              </w:rPr>
              <w:t>1</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576FF4F1" w14:textId="2AA1FFD0"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7D149937" w14:textId="56328141"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1A46C0C1" w14:textId="06C32839" w:rsidR="00FD3E8B" w:rsidRDefault="00FD3E8B" w:rsidP="00FD3E8B">
            <w:pPr>
              <w:jc w:val="center"/>
              <w:rPr>
                <w:rFonts w:eastAsia="Times New Roman" w:cs="Calibri"/>
                <w:sz w:val="20"/>
                <w:szCs w:val="20"/>
                <w:lang w:val="en-US" w:eastAsia="sk-SK"/>
              </w:rPr>
            </w:pPr>
            <w:r>
              <w:rPr>
                <w:rFonts w:cs="Arial"/>
                <w:color w:val="000000"/>
                <w:sz w:val="22"/>
                <w:szCs w:val="22"/>
              </w:rPr>
              <w:t>0</w:t>
            </w:r>
          </w:p>
        </w:tc>
      </w:tr>
      <w:tr w:rsidR="00985A0A" w14:paraId="1EE4B7F3" w14:textId="77777777" w:rsidTr="001054AC">
        <w:trPr>
          <w:cantSplit/>
          <w:trHeight w:val="170"/>
        </w:trPr>
        <w:tc>
          <w:tcPr>
            <w:tcW w:w="713" w:type="dxa"/>
            <w:tcBorders>
              <w:top w:val="single" w:sz="4" w:space="0" w:color="auto"/>
              <w:left w:val="single" w:sz="4" w:space="0" w:color="auto"/>
              <w:bottom w:val="single" w:sz="4" w:space="0" w:color="auto"/>
              <w:right w:val="single" w:sz="12" w:space="0" w:color="auto"/>
            </w:tcBorders>
            <w:noWrap/>
            <w:vAlign w:val="center"/>
            <w:hideMark/>
          </w:tcPr>
          <w:p w14:paraId="1E74EB4F" w14:textId="77777777" w:rsidR="00FD3E8B" w:rsidRPr="00985A0A" w:rsidRDefault="00FD3E8B" w:rsidP="00FD3E8B">
            <w:pPr>
              <w:rPr>
                <w:rFonts w:eastAsia="Times New Roman" w:cs="Calibri"/>
                <w:b/>
                <w:bCs/>
                <w:sz w:val="20"/>
                <w:szCs w:val="20"/>
                <w:lang w:val="en-US" w:eastAsia="sk-SK"/>
              </w:rPr>
            </w:pPr>
            <w:r w:rsidRPr="00985A0A">
              <w:rPr>
                <w:rFonts w:eastAsia="Times New Roman" w:cs="Calibri"/>
                <w:b/>
                <w:bCs/>
                <w:sz w:val="20"/>
                <w:szCs w:val="20"/>
                <w:lang w:val="en-US" w:eastAsia="sk-SK"/>
              </w:rPr>
              <w:t>FCHPT</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0673E7AE" w14:textId="57626C7C" w:rsidR="00FD3E8B" w:rsidRDefault="00FD3E8B" w:rsidP="00FD3E8B">
            <w:pPr>
              <w:jc w:val="center"/>
              <w:rPr>
                <w:rFonts w:eastAsia="Times New Roman" w:cs="Calibri"/>
                <w:sz w:val="20"/>
                <w:szCs w:val="20"/>
                <w:lang w:val="en-US" w:eastAsia="sk-SK"/>
              </w:rPr>
            </w:pPr>
            <w:r>
              <w:rPr>
                <w:rFonts w:cs="Arial"/>
                <w:color w:val="000000"/>
                <w:sz w:val="22"/>
                <w:szCs w:val="22"/>
              </w:rPr>
              <w:t>59</w:t>
            </w:r>
          </w:p>
        </w:tc>
        <w:tc>
          <w:tcPr>
            <w:tcW w:w="756" w:type="dxa"/>
            <w:tcBorders>
              <w:top w:val="single" w:sz="4" w:space="0" w:color="auto"/>
              <w:left w:val="single" w:sz="4" w:space="0" w:color="auto"/>
              <w:bottom w:val="single" w:sz="4" w:space="0" w:color="auto"/>
              <w:right w:val="single" w:sz="4" w:space="0" w:color="auto"/>
            </w:tcBorders>
            <w:noWrap/>
            <w:vAlign w:val="bottom"/>
          </w:tcPr>
          <w:p w14:paraId="278BB79C" w14:textId="75E8A530" w:rsidR="00FD3E8B" w:rsidRDefault="00FD3E8B" w:rsidP="00FD3E8B">
            <w:pPr>
              <w:jc w:val="center"/>
              <w:rPr>
                <w:rFonts w:eastAsia="Times New Roman" w:cs="Calibri"/>
                <w:sz w:val="20"/>
                <w:szCs w:val="20"/>
                <w:lang w:val="en-US" w:eastAsia="sk-SK"/>
              </w:rPr>
            </w:pPr>
            <w:r>
              <w:rPr>
                <w:rFonts w:cs="Arial"/>
                <w:color w:val="000000"/>
                <w:sz w:val="22"/>
                <w:szCs w:val="22"/>
              </w:rPr>
              <w:t>6</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360F9465" w14:textId="6121E090" w:rsidR="00FD3E8B" w:rsidRDefault="00FD3E8B" w:rsidP="00FD3E8B">
            <w:pPr>
              <w:jc w:val="center"/>
              <w:rPr>
                <w:rFonts w:eastAsia="Times New Roman" w:cs="Calibri"/>
                <w:sz w:val="20"/>
                <w:szCs w:val="20"/>
                <w:lang w:val="en-US" w:eastAsia="sk-SK"/>
              </w:rPr>
            </w:pPr>
            <w:r>
              <w:rPr>
                <w:rFonts w:cs="Arial"/>
                <w:color w:val="000000"/>
                <w:sz w:val="22"/>
                <w:szCs w:val="22"/>
              </w:rPr>
              <w:t>4</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0EBCAD6D" w14:textId="7AB8EAA1"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tcPr>
          <w:p w14:paraId="7755F40E" w14:textId="230E0AB7"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3780A589" w14:textId="4A97F9B4"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5D5B5AB3" w14:textId="6FB8B211" w:rsidR="00FD3E8B" w:rsidRDefault="00FD3E8B" w:rsidP="00FD3E8B">
            <w:pPr>
              <w:jc w:val="center"/>
              <w:rPr>
                <w:rFonts w:eastAsia="Times New Roman" w:cs="Calibri"/>
                <w:sz w:val="20"/>
                <w:szCs w:val="20"/>
                <w:lang w:val="en-US" w:eastAsia="sk-SK"/>
              </w:rPr>
            </w:pPr>
            <w:r>
              <w:rPr>
                <w:rFonts w:cs="Arial"/>
                <w:color w:val="000000"/>
                <w:sz w:val="22"/>
                <w:szCs w:val="22"/>
              </w:rPr>
              <w:t>112</w:t>
            </w:r>
          </w:p>
        </w:tc>
        <w:tc>
          <w:tcPr>
            <w:tcW w:w="756" w:type="dxa"/>
            <w:tcBorders>
              <w:top w:val="single" w:sz="4" w:space="0" w:color="auto"/>
              <w:left w:val="single" w:sz="4" w:space="0" w:color="auto"/>
              <w:bottom w:val="single" w:sz="4" w:space="0" w:color="auto"/>
              <w:right w:val="single" w:sz="4" w:space="0" w:color="auto"/>
            </w:tcBorders>
            <w:noWrap/>
            <w:vAlign w:val="bottom"/>
          </w:tcPr>
          <w:p w14:paraId="14B36E61" w14:textId="1B9417F6" w:rsidR="00FD3E8B" w:rsidRDefault="00FD3E8B" w:rsidP="00FD3E8B">
            <w:pPr>
              <w:jc w:val="center"/>
              <w:rPr>
                <w:rFonts w:eastAsia="Times New Roman" w:cs="Calibri"/>
                <w:sz w:val="20"/>
                <w:szCs w:val="20"/>
                <w:lang w:val="en-US" w:eastAsia="sk-SK"/>
              </w:rPr>
            </w:pPr>
            <w:r>
              <w:rPr>
                <w:rFonts w:cs="Arial"/>
                <w:color w:val="000000"/>
                <w:sz w:val="22"/>
                <w:szCs w:val="22"/>
              </w:rPr>
              <w:t>11</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429E418D" w14:textId="7D0ECC4B" w:rsidR="00FD3E8B" w:rsidRDefault="00FD3E8B" w:rsidP="00FD3E8B">
            <w:pPr>
              <w:jc w:val="center"/>
              <w:rPr>
                <w:rFonts w:eastAsia="Times New Roman" w:cs="Calibri"/>
                <w:sz w:val="20"/>
                <w:szCs w:val="20"/>
                <w:lang w:val="en-US" w:eastAsia="sk-SK"/>
              </w:rPr>
            </w:pPr>
            <w:r>
              <w:rPr>
                <w:rFonts w:cs="Arial"/>
                <w:color w:val="000000"/>
                <w:sz w:val="22"/>
                <w:szCs w:val="22"/>
              </w:rPr>
              <w:t>3</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4C458E8C" w14:textId="5B0C7B5A"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237A5FE9" w14:textId="59A415CE"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28BE3953" w14:textId="2937E1CE"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24A9EA2A" w14:textId="70250FC1" w:rsidR="00FD3E8B" w:rsidRDefault="00FD3E8B" w:rsidP="00FD3E8B">
            <w:pPr>
              <w:jc w:val="center"/>
              <w:rPr>
                <w:rFonts w:eastAsia="Times New Roman" w:cs="Calibri"/>
                <w:sz w:val="20"/>
                <w:szCs w:val="20"/>
                <w:lang w:val="en-US" w:eastAsia="sk-SK"/>
              </w:rPr>
            </w:pPr>
            <w:r>
              <w:rPr>
                <w:rFonts w:cs="Arial"/>
                <w:color w:val="000000"/>
                <w:sz w:val="22"/>
                <w:szCs w:val="22"/>
              </w:rPr>
              <w:t>184</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25890BE6" w14:textId="4CDAD459" w:rsidR="00FD3E8B" w:rsidRDefault="00FD3E8B" w:rsidP="00FD3E8B">
            <w:pPr>
              <w:jc w:val="center"/>
              <w:rPr>
                <w:rFonts w:eastAsia="Times New Roman" w:cs="Calibri"/>
                <w:sz w:val="20"/>
                <w:szCs w:val="20"/>
                <w:lang w:val="en-US" w:eastAsia="sk-SK"/>
              </w:rPr>
            </w:pPr>
            <w:r>
              <w:rPr>
                <w:rFonts w:cs="Arial"/>
                <w:color w:val="000000"/>
                <w:sz w:val="22"/>
                <w:szCs w:val="22"/>
              </w:rPr>
              <w:t>17</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159A4AB4" w14:textId="6850760F" w:rsidR="00FD3E8B" w:rsidRDefault="00FD3E8B" w:rsidP="00FD3E8B">
            <w:pPr>
              <w:jc w:val="center"/>
              <w:rPr>
                <w:rFonts w:eastAsia="Times New Roman" w:cs="Calibri"/>
                <w:sz w:val="20"/>
                <w:szCs w:val="20"/>
                <w:lang w:val="en-US" w:eastAsia="sk-SK"/>
              </w:rPr>
            </w:pPr>
            <w:r>
              <w:rPr>
                <w:rFonts w:cs="Arial"/>
                <w:color w:val="000000"/>
                <w:sz w:val="22"/>
                <w:szCs w:val="22"/>
              </w:rPr>
              <w:t>2</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5B308E31" w14:textId="0B295A49"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70CBCD7B" w14:textId="680150FE"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5596E629" w14:textId="60F307B3" w:rsidR="00FD3E8B" w:rsidRDefault="00FD3E8B" w:rsidP="00FD3E8B">
            <w:pPr>
              <w:jc w:val="center"/>
              <w:rPr>
                <w:rFonts w:eastAsia="Times New Roman" w:cs="Calibri"/>
                <w:sz w:val="20"/>
                <w:szCs w:val="20"/>
                <w:lang w:val="en-US" w:eastAsia="sk-SK"/>
              </w:rPr>
            </w:pPr>
            <w:r>
              <w:rPr>
                <w:rFonts w:cs="Arial"/>
                <w:color w:val="000000"/>
                <w:sz w:val="22"/>
                <w:szCs w:val="22"/>
              </w:rPr>
              <w:t>0</w:t>
            </w:r>
          </w:p>
        </w:tc>
      </w:tr>
      <w:tr w:rsidR="00985A0A" w14:paraId="504645F1" w14:textId="77777777" w:rsidTr="001054AC">
        <w:trPr>
          <w:cantSplit/>
          <w:trHeight w:val="170"/>
        </w:trPr>
        <w:tc>
          <w:tcPr>
            <w:tcW w:w="713" w:type="dxa"/>
            <w:tcBorders>
              <w:top w:val="single" w:sz="4" w:space="0" w:color="auto"/>
              <w:left w:val="single" w:sz="4" w:space="0" w:color="auto"/>
              <w:bottom w:val="single" w:sz="4" w:space="0" w:color="auto"/>
              <w:right w:val="single" w:sz="12" w:space="0" w:color="auto"/>
            </w:tcBorders>
            <w:noWrap/>
            <w:vAlign w:val="center"/>
            <w:hideMark/>
          </w:tcPr>
          <w:p w14:paraId="4771BB1C" w14:textId="77777777" w:rsidR="00FD3E8B" w:rsidRPr="00985A0A" w:rsidRDefault="00FD3E8B" w:rsidP="00FD3E8B">
            <w:pPr>
              <w:rPr>
                <w:rFonts w:eastAsia="Times New Roman" w:cs="Calibri"/>
                <w:b/>
                <w:bCs/>
                <w:sz w:val="20"/>
                <w:szCs w:val="20"/>
                <w:lang w:val="en-US" w:eastAsia="sk-SK"/>
              </w:rPr>
            </w:pPr>
            <w:r w:rsidRPr="00985A0A">
              <w:rPr>
                <w:rFonts w:eastAsia="Times New Roman" w:cs="Calibri"/>
                <w:b/>
                <w:bCs/>
                <w:sz w:val="20"/>
                <w:szCs w:val="20"/>
                <w:lang w:val="en-US" w:eastAsia="sk-SK"/>
              </w:rPr>
              <w:t>FA</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7123EA7D" w14:textId="2242F87E" w:rsidR="00FD3E8B" w:rsidRDefault="00FD3E8B" w:rsidP="00FD3E8B">
            <w:pPr>
              <w:jc w:val="center"/>
              <w:rPr>
                <w:rFonts w:eastAsia="Times New Roman" w:cs="Calibri"/>
                <w:sz w:val="20"/>
                <w:szCs w:val="20"/>
                <w:lang w:val="en-US" w:eastAsia="sk-SK"/>
              </w:rPr>
            </w:pPr>
            <w:r>
              <w:rPr>
                <w:rFonts w:cs="Arial"/>
                <w:color w:val="000000"/>
                <w:sz w:val="22"/>
                <w:szCs w:val="22"/>
              </w:rPr>
              <w:t>12</w:t>
            </w:r>
          </w:p>
        </w:tc>
        <w:tc>
          <w:tcPr>
            <w:tcW w:w="756" w:type="dxa"/>
            <w:tcBorders>
              <w:top w:val="single" w:sz="4" w:space="0" w:color="auto"/>
              <w:left w:val="single" w:sz="4" w:space="0" w:color="auto"/>
              <w:bottom w:val="single" w:sz="4" w:space="0" w:color="auto"/>
              <w:right w:val="single" w:sz="4" w:space="0" w:color="auto"/>
            </w:tcBorders>
            <w:noWrap/>
            <w:vAlign w:val="bottom"/>
          </w:tcPr>
          <w:p w14:paraId="09E7A052" w14:textId="7E43BB2F"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15FE1447" w14:textId="11C8C3CA" w:rsidR="00FD3E8B" w:rsidRDefault="00FD3E8B" w:rsidP="00FD3E8B">
            <w:pPr>
              <w:jc w:val="center"/>
              <w:rPr>
                <w:rFonts w:eastAsia="Times New Roman" w:cs="Calibri"/>
                <w:sz w:val="20"/>
                <w:szCs w:val="20"/>
                <w:lang w:val="en-US" w:eastAsia="sk-SK"/>
              </w:rPr>
            </w:pPr>
            <w:r>
              <w:rPr>
                <w:rFonts w:cs="Arial"/>
                <w:color w:val="000000"/>
                <w:sz w:val="22"/>
                <w:szCs w:val="22"/>
              </w:rPr>
              <w:t>1</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4F5C9AE5" w14:textId="0925FA96"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tcPr>
          <w:p w14:paraId="2EAF1863" w14:textId="110AF5DB"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0E47559A" w14:textId="0157C75B"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61AB9AEF" w14:textId="33803D19" w:rsidR="00FD3E8B" w:rsidRDefault="00FD3E8B" w:rsidP="00FD3E8B">
            <w:pPr>
              <w:jc w:val="center"/>
              <w:rPr>
                <w:rFonts w:eastAsia="Times New Roman" w:cs="Calibri"/>
                <w:sz w:val="20"/>
                <w:szCs w:val="20"/>
                <w:lang w:val="en-US" w:eastAsia="sk-SK"/>
              </w:rPr>
            </w:pPr>
            <w:r>
              <w:rPr>
                <w:rFonts w:cs="Arial"/>
                <w:color w:val="000000"/>
                <w:sz w:val="22"/>
                <w:szCs w:val="22"/>
              </w:rPr>
              <w:t>14</w:t>
            </w:r>
          </w:p>
        </w:tc>
        <w:tc>
          <w:tcPr>
            <w:tcW w:w="756" w:type="dxa"/>
            <w:tcBorders>
              <w:top w:val="single" w:sz="4" w:space="0" w:color="auto"/>
              <w:left w:val="single" w:sz="4" w:space="0" w:color="auto"/>
              <w:bottom w:val="single" w:sz="4" w:space="0" w:color="auto"/>
              <w:right w:val="single" w:sz="4" w:space="0" w:color="auto"/>
            </w:tcBorders>
            <w:noWrap/>
            <w:vAlign w:val="bottom"/>
          </w:tcPr>
          <w:p w14:paraId="0F63A030" w14:textId="59B4A483" w:rsidR="00FD3E8B" w:rsidRDefault="00FD3E8B" w:rsidP="00FD3E8B">
            <w:pPr>
              <w:jc w:val="center"/>
              <w:rPr>
                <w:rFonts w:eastAsia="Times New Roman" w:cs="Calibri"/>
                <w:sz w:val="20"/>
                <w:szCs w:val="20"/>
                <w:lang w:val="en-US" w:eastAsia="sk-SK"/>
              </w:rPr>
            </w:pPr>
            <w:r>
              <w:rPr>
                <w:rFonts w:cs="Arial"/>
                <w:color w:val="000000"/>
                <w:sz w:val="22"/>
                <w:szCs w:val="22"/>
              </w:rPr>
              <w:t>2</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7C051159" w14:textId="700AB10C" w:rsidR="00FD3E8B" w:rsidRDefault="00FD3E8B" w:rsidP="00FD3E8B">
            <w:pPr>
              <w:jc w:val="center"/>
              <w:rPr>
                <w:rFonts w:eastAsia="Times New Roman" w:cs="Calibri"/>
                <w:sz w:val="20"/>
                <w:szCs w:val="20"/>
                <w:lang w:val="en-US" w:eastAsia="sk-SK"/>
              </w:rPr>
            </w:pPr>
            <w:r>
              <w:rPr>
                <w:rFonts w:cs="Arial"/>
                <w:color w:val="000000"/>
                <w:sz w:val="22"/>
                <w:szCs w:val="22"/>
              </w:rPr>
              <w:t>1</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69778136" w14:textId="09AF421A"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28A4D474" w14:textId="2175AC6B"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567725D4" w14:textId="364D6C67"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33F31EFE" w14:textId="0773DE3F" w:rsidR="00FD3E8B" w:rsidRDefault="00FD3E8B" w:rsidP="00FD3E8B">
            <w:pPr>
              <w:jc w:val="center"/>
              <w:rPr>
                <w:rFonts w:eastAsia="Times New Roman" w:cs="Calibri"/>
                <w:sz w:val="20"/>
                <w:szCs w:val="20"/>
                <w:lang w:val="en-US" w:eastAsia="sk-SK"/>
              </w:rPr>
            </w:pPr>
            <w:r>
              <w:rPr>
                <w:rFonts w:cs="Arial"/>
                <w:color w:val="000000"/>
                <w:sz w:val="22"/>
                <w:szCs w:val="22"/>
              </w:rPr>
              <w:t>38</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10F8BC1C" w14:textId="4265C312" w:rsidR="00FD3E8B" w:rsidRDefault="00FD3E8B" w:rsidP="00FD3E8B">
            <w:pPr>
              <w:jc w:val="center"/>
              <w:rPr>
                <w:rFonts w:eastAsia="Times New Roman" w:cs="Calibri"/>
                <w:sz w:val="20"/>
                <w:szCs w:val="20"/>
                <w:lang w:val="en-US" w:eastAsia="sk-SK"/>
              </w:rPr>
            </w:pPr>
            <w:r>
              <w:rPr>
                <w:rFonts w:cs="Arial"/>
                <w:color w:val="000000"/>
                <w:sz w:val="22"/>
                <w:szCs w:val="22"/>
              </w:rPr>
              <w:t>3</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31553CBD" w14:textId="7C7ADF06" w:rsidR="00FD3E8B" w:rsidRDefault="00FD3E8B" w:rsidP="00FD3E8B">
            <w:pPr>
              <w:jc w:val="center"/>
              <w:rPr>
                <w:rFonts w:eastAsia="Times New Roman" w:cs="Calibri"/>
                <w:sz w:val="20"/>
                <w:szCs w:val="20"/>
                <w:lang w:val="en-US" w:eastAsia="sk-SK"/>
              </w:rPr>
            </w:pPr>
            <w:r>
              <w:rPr>
                <w:rFonts w:cs="Arial"/>
                <w:color w:val="000000"/>
                <w:sz w:val="22"/>
                <w:szCs w:val="22"/>
              </w:rPr>
              <w:t>1</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2E07EBD6" w14:textId="541A5E54"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00EF4E08" w14:textId="5F0030FA"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779141D9" w14:textId="7E9B084C" w:rsidR="00FD3E8B" w:rsidRDefault="00FD3E8B" w:rsidP="00FD3E8B">
            <w:pPr>
              <w:jc w:val="center"/>
              <w:rPr>
                <w:rFonts w:eastAsia="Times New Roman" w:cs="Calibri"/>
                <w:sz w:val="20"/>
                <w:szCs w:val="20"/>
                <w:lang w:val="en-US" w:eastAsia="sk-SK"/>
              </w:rPr>
            </w:pPr>
            <w:r>
              <w:rPr>
                <w:rFonts w:cs="Arial"/>
                <w:color w:val="000000"/>
                <w:sz w:val="22"/>
                <w:szCs w:val="22"/>
              </w:rPr>
              <w:t>0</w:t>
            </w:r>
          </w:p>
        </w:tc>
      </w:tr>
      <w:tr w:rsidR="00985A0A" w14:paraId="78EE1213" w14:textId="77777777" w:rsidTr="001054AC">
        <w:trPr>
          <w:cantSplit/>
          <w:trHeight w:val="170"/>
        </w:trPr>
        <w:tc>
          <w:tcPr>
            <w:tcW w:w="713" w:type="dxa"/>
            <w:tcBorders>
              <w:top w:val="single" w:sz="4" w:space="0" w:color="auto"/>
              <w:left w:val="single" w:sz="4" w:space="0" w:color="auto"/>
              <w:bottom w:val="single" w:sz="4" w:space="0" w:color="auto"/>
              <w:right w:val="single" w:sz="12" w:space="0" w:color="auto"/>
            </w:tcBorders>
            <w:noWrap/>
            <w:vAlign w:val="center"/>
            <w:hideMark/>
          </w:tcPr>
          <w:p w14:paraId="32F618BA" w14:textId="77777777" w:rsidR="00FD3E8B" w:rsidRPr="00985A0A" w:rsidRDefault="00FD3E8B" w:rsidP="00FD3E8B">
            <w:pPr>
              <w:rPr>
                <w:rFonts w:eastAsia="Times New Roman" w:cs="Calibri"/>
                <w:b/>
                <w:bCs/>
                <w:sz w:val="20"/>
                <w:szCs w:val="20"/>
                <w:lang w:val="en-US" w:eastAsia="sk-SK"/>
              </w:rPr>
            </w:pPr>
            <w:r w:rsidRPr="00985A0A">
              <w:rPr>
                <w:rFonts w:eastAsia="Times New Roman" w:cs="Calibri"/>
                <w:b/>
                <w:bCs/>
                <w:sz w:val="20"/>
                <w:szCs w:val="20"/>
                <w:lang w:val="en-US" w:eastAsia="sk-SK"/>
              </w:rPr>
              <w:t>MTF</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261F59CF" w14:textId="647B31D4" w:rsidR="00FD3E8B" w:rsidRDefault="00FD3E8B" w:rsidP="00FD3E8B">
            <w:pPr>
              <w:jc w:val="center"/>
              <w:rPr>
                <w:rFonts w:eastAsia="Times New Roman" w:cs="Calibri"/>
                <w:sz w:val="20"/>
                <w:szCs w:val="20"/>
                <w:lang w:val="en-US" w:eastAsia="sk-SK"/>
              </w:rPr>
            </w:pPr>
            <w:r>
              <w:rPr>
                <w:rFonts w:cs="Arial"/>
                <w:color w:val="000000"/>
                <w:sz w:val="22"/>
                <w:szCs w:val="22"/>
              </w:rPr>
              <w:t>5</w:t>
            </w:r>
          </w:p>
        </w:tc>
        <w:tc>
          <w:tcPr>
            <w:tcW w:w="756" w:type="dxa"/>
            <w:tcBorders>
              <w:top w:val="single" w:sz="4" w:space="0" w:color="auto"/>
              <w:left w:val="single" w:sz="4" w:space="0" w:color="auto"/>
              <w:bottom w:val="single" w:sz="4" w:space="0" w:color="auto"/>
              <w:right w:val="single" w:sz="4" w:space="0" w:color="auto"/>
            </w:tcBorders>
            <w:noWrap/>
            <w:vAlign w:val="bottom"/>
          </w:tcPr>
          <w:p w14:paraId="1BC5238E" w14:textId="65338F72" w:rsidR="00FD3E8B" w:rsidRDefault="00FD3E8B" w:rsidP="00FD3E8B">
            <w:pPr>
              <w:jc w:val="center"/>
              <w:rPr>
                <w:rFonts w:eastAsia="Times New Roman" w:cs="Calibri"/>
                <w:sz w:val="20"/>
                <w:szCs w:val="20"/>
                <w:lang w:val="en-US" w:eastAsia="sk-SK"/>
              </w:rPr>
            </w:pPr>
            <w:r>
              <w:rPr>
                <w:rFonts w:cs="Arial"/>
                <w:color w:val="000000"/>
                <w:sz w:val="22"/>
                <w:szCs w:val="22"/>
              </w:rPr>
              <w:t>4</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74F1D1C1" w14:textId="1DE064E4"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7C08CAC7" w14:textId="2D0415C4"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tcPr>
          <w:p w14:paraId="78582342" w14:textId="10C3C750"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684D9BA0" w14:textId="4C0675D8"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045844B0" w14:textId="72C16C6D" w:rsidR="00FD3E8B" w:rsidRDefault="00FD3E8B" w:rsidP="00FD3E8B">
            <w:pPr>
              <w:jc w:val="center"/>
              <w:rPr>
                <w:rFonts w:eastAsia="Times New Roman" w:cs="Calibri"/>
                <w:sz w:val="20"/>
                <w:szCs w:val="20"/>
                <w:lang w:val="en-US" w:eastAsia="sk-SK"/>
              </w:rPr>
            </w:pPr>
            <w:r>
              <w:rPr>
                <w:rFonts w:cs="Arial"/>
                <w:color w:val="000000"/>
                <w:sz w:val="22"/>
                <w:szCs w:val="22"/>
              </w:rPr>
              <w:t>9</w:t>
            </w:r>
          </w:p>
        </w:tc>
        <w:tc>
          <w:tcPr>
            <w:tcW w:w="756" w:type="dxa"/>
            <w:tcBorders>
              <w:top w:val="single" w:sz="4" w:space="0" w:color="auto"/>
              <w:left w:val="single" w:sz="4" w:space="0" w:color="auto"/>
              <w:bottom w:val="single" w:sz="4" w:space="0" w:color="auto"/>
              <w:right w:val="single" w:sz="4" w:space="0" w:color="auto"/>
            </w:tcBorders>
            <w:noWrap/>
            <w:vAlign w:val="bottom"/>
          </w:tcPr>
          <w:p w14:paraId="494FB535" w14:textId="01698E95" w:rsidR="00FD3E8B" w:rsidRDefault="00FD3E8B" w:rsidP="00FD3E8B">
            <w:pPr>
              <w:jc w:val="center"/>
              <w:rPr>
                <w:rFonts w:eastAsia="Times New Roman" w:cs="Calibri"/>
                <w:sz w:val="20"/>
                <w:szCs w:val="20"/>
                <w:lang w:val="en-US" w:eastAsia="sk-SK"/>
              </w:rPr>
            </w:pPr>
            <w:r>
              <w:rPr>
                <w:rFonts w:cs="Arial"/>
                <w:color w:val="000000"/>
                <w:sz w:val="22"/>
                <w:szCs w:val="22"/>
              </w:rPr>
              <w:t>1</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11E77E9C" w14:textId="257B9689"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78F0DDAB" w14:textId="7E017167"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4B74CF66" w14:textId="7D397DA5"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5B4553A5" w14:textId="153CD1E2"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0DA6C7BF" w14:textId="6658E8AB" w:rsidR="00FD3E8B" w:rsidRDefault="00FD3E8B" w:rsidP="00FD3E8B">
            <w:pPr>
              <w:jc w:val="center"/>
              <w:rPr>
                <w:rFonts w:eastAsia="Times New Roman" w:cs="Calibri"/>
                <w:sz w:val="20"/>
                <w:szCs w:val="20"/>
                <w:lang w:val="en-US" w:eastAsia="sk-SK"/>
              </w:rPr>
            </w:pPr>
            <w:r>
              <w:rPr>
                <w:rFonts w:cs="Arial"/>
                <w:color w:val="000000"/>
                <w:sz w:val="22"/>
                <w:szCs w:val="22"/>
              </w:rPr>
              <w:t>84</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249A5F4" w14:textId="49177F6C" w:rsidR="00FD3E8B" w:rsidRDefault="00FD3E8B" w:rsidP="00FD3E8B">
            <w:pPr>
              <w:jc w:val="center"/>
              <w:rPr>
                <w:rFonts w:eastAsia="Times New Roman" w:cs="Calibri"/>
                <w:sz w:val="20"/>
                <w:szCs w:val="20"/>
                <w:lang w:val="en-US" w:eastAsia="sk-SK"/>
              </w:rPr>
            </w:pPr>
            <w:r>
              <w:rPr>
                <w:rFonts w:cs="Arial"/>
                <w:color w:val="000000"/>
                <w:sz w:val="22"/>
                <w:szCs w:val="22"/>
              </w:rPr>
              <w:t>14</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6E706AFD" w14:textId="40C02B3B" w:rsidR="00FD3E8B" w:rsidRDefault="00FD3E8B" w:rsidP="00FD3E8B">
            <w:pPr>
              <w:jc w:val="center"/>
              <w:rPr>
                <w:rFonts w:eastAsia="Times New Roman" w:cs="Calibri"/>
                <w:sz w:val="20"/>
                <w:szCs w:val="20"/>
                <w:lang w:val="en-US" w:eastAsia="sk-SK"/>
              </w:rPr>
            </w:pPr>
            <w:r>
              <w:rPr>
                <w:rFonts w:cs="Arial"/>
                <w:color w:val="000000"/>
                <w:sz w:val="22"/>
                <w:szCs w:val="22"/>
              </w:rPr>
              <w:t>1</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69C55495" w14:textId="750AA8AB"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524ACEE4" w14:textId="4EEB4E09"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1AEFD6D9" w14:textId="6F9FC09F" w:rsidR="00FD3E8B" w:rsidRDefault="00FD3E8B" w:rsidP="00FD3E8B">
            <w:pPr>
              <w:jc w:val="center"/>
              <w:rPr>
                <w:rFonts w:eastAsia="Times New Roman" w:cs="Calibri"/>
                <w:sz w:val="20"/>
                <w:szCs w:val="20"/>
                <w:lang w:val="en-US" w:eastAsia="sk-SK"/>
              </w:rPr>
            </w:pPr>
            <w:r>
              <w:rPr>
                <w:rFonts w:cs="Arial"/>
                <w:color w:val="000000"/>
                <w:sz w:val="22"/>
                <w:szCs w:val="22"/>
              </w:rPr>
              <w:t>0</w:t>
            </w:r>
          </w:p>
        </w:tc>
      </w:tr>
      <w:tr w:rsidR="00985A0A" w14:paraId="01F96ADF" w14:textId="77777777" w:rsidTr="001054AC">
        <w:trPr>
          <w:cantSplit/>
          <w:trHeight w:val="170"/>
        </w:trPr>
        <w:tc>
          <w:tcPr>
            <w:tcW w:w="713" w:type="dxa"/>
            <w:tcBorders>
              <w:top w:val="single" w:sz="4" w:space="0" w:color="auto"/>
              <w:left w:val="single" w:sz="4" w:space="0" w:color="auto"/>
              <w:bottom w:val="single" w:sz="4" w:space="0" w:color="auto"/>
              <w:right w:val="single" w:sz="12" w:space="0" w:color="auto"/>
            </w:tcBorders>
            <w:noWrap/>
            <w:vAlign w:val="center"/>
            <w:hideMark/>
          </w:tcPr>
          <w:p w14:paraId="603861E7" w14:textId="77777777" w:rsidR="00FD3E8B" w:rsidRPr="00985A0A" w:rsidRDefault="00FD3E8B" w:rsidP="00FD3E8B">
            <w:pPr>
              <w:rPr>
                <w:rFonts w:eastAsia="Times New Roman" w:cs="Calibri"/>
                <w:b/>
                <w:bCs/>
                <w:sz w:val="20"/>
                <w:szCs w:val="20"/>
                <w:lang w:val="en-US" w:eastAsia="sk-SK"/>
              </w:rPr>
            </w:pPr>
            <w:r w:rsidRPr="00985A0A">
              <w:rPr>
                <w:rFonts w:eastAsia="Times New Roman" w:cs="Calibri"/>
                <w:b/>
                <w:bCs/>
                <w:sz w:val="20"/>
                <w:szCs w:val="20"/>
                <w:lang w:val="en-US" w:eastAsia="sk-SK"/>
              </w:rPr>
              <w:t>FIIT</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6E10D69F" w14:textId="41A83835" w:rsidR="00FD3E8B" w:rsidRDefault="00FD3E8B" w:rsidP="00FD3E8B">
            <w:pPr>
              <w:jc w:val="center"/>
              <w:rPr>
                <w:rFonts w:eastAsia="Times New Roman" w:cs="Calibri"/>
                <w:sz w:val="20"/>
                <w:szCs w:val="20"/>
                <w:lang w:val="en-US" w:eastAsia="sk-SK"/>
              </w:rPr>
            </w:pPr>
            <w:r>
              <w:rPr>
                <w:rFonts w:cs="Arial"/>
                <w:color w:val="000000"/>
                <w:sz w:val="22"/>
                <w:szCs w:val="22"/>
              </w:rPr>
              <w:t>33</w:t>
            </w:r>
          </w:p>
        </w:tc>
        <w:tc>
          <w:tcPr>
            <w:tcW w:w="756" w:type="dxa"/>
            <w:tcBorders>
              <w:top w:val="single" w:sz="4" w:space="0" w:color="auto"/>
              <w:left w:val="single" w:sz="4" w:space="0" w:color="auto"/>
              <w:bottom w:val="single" w:sz="4" w:space="0" w:color="auto"/>
              <w:right w:val="single" w:sz="4" w:space="0" w:color="auto"/>
            </w:tcBorders>
            <w:noWrap/>
            <w:vAlign w:val="bottom"/>
          </w:tcPr>
          <w:p w14:paraId="17068DB2" w14:textId="6D812650" w:rsidR="00FD3E8B" w:rsidRDefault="00FD3E8B" w:rsidP="00FD3E8B">
            <w:pPr>
              <w:jc w:val="center"/>
              <w:rPr>
                <w:rFonts w:eastAsia="Times New Roman" w:cs="Calibri"/>
                <w:sz w:val="20"/>
                <w:szCs w:val="20"/>
                <w:lang w:val="en-US" w:eastAsia="sk-SK"/>
              </w:rPr>
            </w:pPr>
            <w:r>
              <w:rPr>
                <w:rFonts w:cs="Arial"/>
                <w:color w:val="000000"/>
                <w:sz w:val="22"/>
                <w:szCs w:val="22"/>
              </w:rPr>
              <w:t>6</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7176A9EC" w14:textId="53DD9C17" w:rsidR="00FD3E8B" w:rsidRDefault="00FD3E8B" w:rsidP="00FD3E8B">
            <w:pPr>
              <w:jc w:val="center"/>
              <w:rPr>
                <w:rFonts w:eastAsia="Times New Roman" w:cs="Calibri"/>
                <w:sz w:val="20"/>
                <w:szCs w:val="20"/>
                <w:lang w:val="en-US" w:eastAsia="sk-SK"/>
              </w:rPr>
            </w:pPr>
            <w:r>
              <w:rPr>
                <w:rFonts w:cs="Arial"/>
                <w:color w:val="000000"/>
                <w:sz w:val="22"/>
                <w:szCs w:val="22"/>
              </w:rPr>
              <w:t>1</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7061AEC7" w14:textId="362B340D"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tcPr>
          <w:p w14:paraId="6E7B05CC" w14:textId="32789F7B"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009A468B" w14:textId="65AB2EDD"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3990F779" w14:textId="56A69421" w:rsidR="00FD3E8B" w:rsidRDefault="00FD3E8B" w:rsidP="00FD3E8B">
            <w:pPr>
              <w:jc w:val="center"/>
              <w:rPr>
                <w:rFonts w:eastAsia="Times New Roman" w:cs="Calibri"/>
                <w:sz w:val="20"/>
                <w:szCs w:val="20"/>
                <w:lang w:val="en-US" w:eastAsia="sk-SK"/>
              </w:rPr>
            </w:pPr>
            <w:r>
              <w:rPr>
                <w:rFonts w:cs="Arial"/>
                <w:color w:val="000000"/>
                <w:sz w:val="22"/>
                <w:szCs w:val="22"/>
              </w:rPr>
              <w:t>68</w:t>
            </w:r>
          </w:p>
        </w:tc>
        <w:tc>
          <w:tcPr>
            <w:tcW w:w="756" w:type="dxa"/>
            <w:tcBorders>
              <w:top w:val="single" w:sz="4" w:space="0" w:color="auto"/>
              <w:left w:val="single" w:sz="4" w:space="0" w:color="auto"/>
              <w:bottom w:val="single" w:sz="4" w:space="0" w:color="auto"/>
              <w:right w:val="single" w:sz="4" w:space="0" w:color="auto"/>
            </w:tcBorders>
            <w:noWrap/>
            <w:vAlign w:val="bottom"/>
          </w:tcPr>
          <w:p w14:paraId="0972A08C" w14:textId="4F8D93B9" w:rsidR="00FD3E8B" w:rsidRDefault="00FD3E8B" w:rsidP="00FD3E8B">
            <w:pPr>
              <w:jc w:val="center"/>
              <w:rPr>
                <w:rFonts w:eastAsia="Times New Roman" w:cs="Calibri"/>
                <w:sz w:val="20"/>
                <w:szCs w:val="20"/>
                <w:lang w:val="en-US" w:eastAsia="sk-SK"/>
              </w:rPr>
            </w:pPr>
            <w:r>
              <w:rPr>
                <w:rFonts w:cs="Arial"/>
                <w:color w:val="000000"/>
                <w:sz w:val="22"/>
                <w:szCs w:val="22"/>
              </w:rPr>
              <w:t>8</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0D85D3A9" w14:textId="28A380A5" w:rsidR="00FD3E8B" w:rsidRDefault="00FD3E8B" w:rsidP="00FD3E8B">
            <w:pPr>
              <w:jc w:val="center"/>
              <w:rPr>
                <w:rFonts w:eastAsia="Times New Roman" w:cs="Calibri"/>
                <w:sz w:val="20"/>
                <w:szCs w:val="20"/>
                <w:lang w:val="en-US" w:eastAsia="sk-SK"/>
              </w:rPr>
            </w:pPr>
            <w:r>
              <w:rPr>
                <w:rFonts w:cs="Arial"/>
                <w:color w:val="000000"/>
                <w:sz w:val="22"/>
                <w:szCs w:val="22"/>
              </w:rPr>
              <w:t>1</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6215A1BB" w14:textId="24F0C5F7"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72EA6AA2" w14:textId="1EDD5BFC"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2609B1AE" w14:textId="06FFC63E"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5CF2182E" w14:textId="4587991C" w:rsidR="00FD3E8B" w:rsidRDefault="00FD3E8B" w:rsidP="00FD3E8B">
            <w:pPr>
              <w:jc w:val="center"/>
              <w:rPr>
                <w:rFonts w:eastAsia="Times New Roman" w:cs="Calibri"/>
                <w:sz w:val="20"/>
                <w:szCs w:val="20"/>
                <w:lang w:val="en-US" w:eastAsia="sk-SK"/>
              </w:rPr>
            </w:pPr>
            <w:r>
              <w:rPr>
                <w:rFonts w:cs="Arial"/>
                <w:color w:val="000000"/>
                <w:sz w:val="22"/>
                <w:szCs w:val="22"/>
              </w:rPr>
              <w:t>115</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4E9690D9" w14:textId="51EBA7D7" w:rsidR="00FD3E8B" w:rsidRDefault="00FD3E8B" w:rsidP="00FD3E8B">
            <w:pPr>
              <w:jc w:val="center"/>
              <w:rPr>
                <w:rFonts w:eastAsia="Times New Roman" w:cs="Calibri"/>
                <w:sz w:val="20"/>
                <w:szCs w:val="20"/>
                <w:lang w:val="en-US" w:eastAsia="sk-SK"/>
              </w:rPr>
            </w:pPr>
            <w:r>
              <w:rPr>
                <w:rFonts w:cs="Arial"/>
                <w:color w:val="000000"/>
                <w:sz w:val="22"/>
                <w:szCs w:val="22"/>
              </w:rPr>
              <w:t>7</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013FC381" w14:textId="10A0DF01" w:rsidR="00FD3E8B" w:rsidRDefault="00FD3E8B" w:rsidP="00FD3E8B">
            <w:pPr>
              <w:jc w:val="center"/>
              <w:rPr>
                <w:rFonts w:eastAsia="Times New Roman" w:cs="Calibri"/>
                <w:sz w:val="20"/>
                <w:szCs w:val="20"/>
                <w:lang w:val="en-US" w:eastAsia="sk-SK"/>
              </w:rPr>
            </w:pPr>
            <w:r>
              <w:rPr>
                <w:rFonts w:cs="Arial"/>
                <w:color w:val="000000"/>
                <w:sz w:val="22"/>
                <w:szCs w:val="22"/>
              </w:rPr>
              <w:t>2</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063BEA35" w14:textId="0A144063"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4394AB87" w14:textId="266FD32D"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398528D3" w14:textId="7E81DDB7" w:rsidR="00FD3E8B" w:rsidRDefault="00FD3E8B" w:rsidP="00FD3E8B">
            <w:pPr>
              <w:jc w:val="center"/>
              <w:rPr>
                <w:rFonts w:eastAsia="Times New Roman" w:cs="Calibri"/>
                <w:sz w:val="20"/>
                <w:szCs w:val="20"/>
                <w:lang w:val="en-US" w:eastAsia="sk-SK"/>
              </w:rPr>
            </w:pPr>
            <w:r>
              <w:rPr>
                <w:rFonts w:cs="Arial"/>
                <w:color w:val="000000"/>
                <w:sz w:val="22"/>
                <w:szCs w:val="22"/>
              </w:rPr>
              <w:t>0</w:t>
            </w:r>
          </w:p>
        </w:tc>
      </w:tr>
      <w:tr w:rsidR="00985A0A" w14:paraId="6AA67A43" w14:textId="77777777" w:rsidTr="001054AC">
        <w:trPr>
          <w:cantSplit/>
          <w:trHeight w:val="170"/>
        </w:trPr>
        <w:tc>
          <w:tcPr>
            <w:tcW w:w="713" w:type="dxa"/>
            <w:tcBorders>
              <w:top w:val="single" w:sz="4" w:space="0" w:color="auto"/>
              <w:left w:val="single" w:sz="4" w:space="0" w:color="auto"/>
              <w:bottom w:val="single" w:sz="4" w:space="0" w:color="auto"/>
              <w:right w:val="single" w:sz="12" w:space="0" w:color="auto"/>
            </w:tcBorders>
            <w:noWrap/>
            <w:vAlign w:val="center"/>
            <w:hideMark/>
          </w:tcPr>
          <w:p w14:paraId="5885A030" w14:textId="77777777" w:rsidR="00FD3E8B" w:rsidRPr="00985A0A" w:rsidRDefault="00FD3E8B" w:rsidP="00FD3E8B">
            <w:pPr>
              <w:rPr>
                <w:rFonts w:eastAsia="Times New Roman" w:cs="Calibri"/>
                <w:b/>
                <w:bCs/>
                <w:sz w:val="20"/>
                <w:szCs w:val="20"/>
                <w:lang w:val="en-US" w:eastAsia="sk-SK"/>
              </w:rPr>
            </w:pPr>
            <w:r w:rsidRPr="00985A0A">
              <w:rPr>
                <w:rFonts w:eastAsia="Times New Roman" w:cs="Calibri"/>
                <w:b/>
                <w:bCs/>
                <w:sz w:val="20"/>
                <w:szCs w:val="20"/>
                <w:lang w:val="en-US" w:eastAsia="sk-SK"/>
              </w:rPr>
              <w:t>ÚM</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195F2D9B" w14:textId="1106406D" w:rsidR="00FD3E8B" w:rsidRDefault="00FD3E8B" w:rsidP="00FD3E8B">
            <w:pPr>
              <w:jc w:val="center"/>
              <w:rPr>
                <w:rFonts w:eastAsia="Times New Roman" w:cs="Calibri"/>
                <w:sz w:val="20"/>
                <w:szCs w:val="20"/>
                <w:lang w:val="en-US" w:eastAsia="sk-SK"/>
              </w:rPr>
            </w:pPr>
            <w:r>
              <w:rPr>
                <w:rFonts w:cs="Arial"/>
                <w:color w:val="000000"/>
                <w:sz w:val="22"/>
                <w:szCs w:val="22"/>
              </w:rPr>
              <w:t>2</w:t>
            </w:r>
          </w:p>
        </w:tc>
        <w:tc>
          <w:tcPr>
            <w:tcW w:w="756" w:type="dxa"/>
            <w:tcBorders>
              <w:top w:val="single" w:sz="4" w:space="0" w:color="auto"/>
              <w:left w:val="single" w:sz="4" w:space="0" w:color="auto"/>
              <w:bottom w:val="single" w:sz="4" w:space="0" w:color="auto"/>
              <w:right w:val="single" w:sz="4" w:space="0" w:color="auto"/>
            </w:tcBorders>
            <w:noWrap/>
            <w:vAlign w:val="bottom"/>
          </w:tcPr>
          <w:p w14:paraId="73654775" w14:textId="37E25417" w:rsidR="00FD3E8B" w:rsidRDefault="00FD3E8B" w:rsidP="00FD3E8B">
            <w:pPr>
              <w:jc w:val="center"/>
              <w:rPr>
                <w:rFonts w:eastAsia="Times New Roman" w:cs="Calibri"/>
                <w:sz w:val="20"/>
                <w:szCs w:val="20"/>
                <w:lang w:val="en-US" w:eastAsia="sk-SK"/>
              </w:rPr>
            </w:pPr>
            <w:r>
              <w:rPr>
                <w:rFonts w:cs="Arial"/>
                <w:color w:val="000000"/>
                <w:sz w:val="22"/>
                <w:szCs w:val="22"/>
              </w:rPr>
              <w:t>1</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0F733D88" w14:textId="7D0EC1B7"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530C3EC8" w14:textId="0DB45312"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tcPr>
          <w:p w14:paraId="17D15739" w14:textId="59E386CB"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550BF402" w14:textId="71C1E416"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469CC373" w14:textId="6D313769" w:rsidR="00FD3E8B" w:rsidRDefault="00FD3E8B" w:rsidP="00FD3E8B">
            <w:pPr>
              <w:jc w:val="center"/>
              <w:rPr>
                <w:rFonts w:eastAsia="Times New Roman" w:cs="Calibri"/>
                <w:sz w:val="20"/>
                <w:szCs w:val="20"/>
                <w:lang w:val="en-US" w:eastAsia="sk-SK"/>
              </w:rPr>
            </w:pPr>
            <w:r>
              <w:rPr>
                <w:rFonts w:cs="Arial"/>
                <w:color w:val="000000"/>
                <w:sz w:val="22"/>
                <w:szCs w:val="22"/>
              </w:rPr>
              <w:t>15</w:t>
            </w:r>
          </w:p>
        </w:tc>
        <w:tc>
          <w:tcPr>
            <w:tcW w:w="756" w:type="dxa"/>
            <w:tcBorders>
              <w:top w:val="single" w:sz="4" w:space="0" w:color="auto"/>
              <w:left w:val="single" w:sz="4" w:space="0" w:color="auto"/>
              <w:bottom w:val="single" w:sz="4" w:space="0" w:color="auto"/>
              <w:right w:val="single" w:sz="4" w:space="0" w:color="auto"/>
            </w:tcBorders>
            <w:noWrap/>
            <w:vAlign w:val="bottom"/>
          </w:tcPr>
          <w:p w14:paraId="0702DAA3" w14:textId="1427A059" w:rsidR="00FD3E8B" w:rsidRDefault="00FD3E8B" w:rsidP="00FD3E8B">
            <w:pPr>
              <w:jc w:val="center"/>
              <w:rPr>
                <w:rFonts w:eastAsia="Times New Roman" w:cs="Calibri"/>
                <w:sz w:val="20"/>
                <w:szCs w:val="20"/>
                <w:lang w:val="en-US" w:eastAsia="sk-SK"/>
              </w:rPr>
            </w:pPr>
            <w:r>
              <w:rPr>
                <w:rFonts w:cs="Arial"/>
                <w:color w:val="000000"/>
                <w:sz w:val="22"/>
                <w:szCs w:val="22"/>
              </w:rPr>
              <w:t>3</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138A5A1D" w14:textId="45563A52"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3DAFB52B" w14:textId="0C438714"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18C61A06" w14:textId="7C06D084"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02E12523" w14:textId="6B419789"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noWrap/>
            <w:vAlign w:val="bottom"/>
            <w:hideMark/>
          </w:tcPr>
          <w:p w14:paraId="125A51BC" w14:textId="3B81A659" w:rsidR="00FD3E8B" w:rsidRDefault="00FD3E8B" w:rsidP="00FD3E8B">
            <w:pPr>
              <w:jc w:val="center"/>
              <w:rPr>
                <w:rFonts w:eastAsia="Times New Roman" w:cs="Calibri"/>
                <w:sz w:val="20"/>
                <w:szCs w:val="20"/>
                <w:lang w:val="en-US" w:eastAsia="sk-SK"/>
              </w:rPr>
            </w:pPr>
            <w:r>
              <w:rPr>
                <w:rFonts w:cs="Arial"/>
                <w:color w:val="000000"/>
                <w:sz w:val="22"/>
                <w:szCs w:val="22"/>
              </w:rPr>
              <w:t>103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2DFE5E9C" w14:textId="1E0AF273" w:rsidR="00FD3E8B" w:rsidRDefault="00FD3E8B" w:rsidP="00FD3E8B">
            <w:pPr>
              <w:jc w:val="center"/>
              <w:rPr>
                <w:rFonts w:eastAsia="Times New Roman" w:cs="Calibri"/>
                <w:sz w:val="20"/>
                <w:szCs w:val="20"/>
                <w:lang w:val="en-US" w:eastAsia="sk-SK"/>
              </w:rPr>
            </w:pPr>
            <w:r>
              <w:rPr>
                <w:rFonts w:cs="Arial"/>
                <w:color w:val="000000"/>
                <w:sz w:val="22"/>
                <w:szCs w:val="22"/>
              </w:rPr>
              <w:t>3</w:t>
            </w:r>
          </w:p>
        </w:tc>
        <w:tc>
          <w:tcPr>
            <w:tcW w:w="755" w:type="dxa"/>
            <w:tcBorders>
              <w:top w:val="single" w:sz="4" w:space="0" w:color="auto"/>
              <w:left w:val="single" w:sz="4" w:space="0" w:color="auto"/>
              <w:bottom w:val="single" w:sz="4" w:space="0" w:color="auto"/>
              <w:right w:val="single" w:sz="12" w:space="0" w:color="auto"/>
            </w:tcBorders>
            <w:noWrap/>
            <w:vAlign w:val="bottom"/>
            <w:hideMark/>
          </w:tcPr>
          <w:p w14:paraId="128051D4" w14:textId="1F0BABCA" w:rsidR="00FD3E8B" w:rsidRDefault="00FD3E8B" w:rsidP="00FD3E8B">
            <w:pPr>
              <w:jc w:val="center"/>
              <w:rPr>
                <w:rFonts w:eastAsia="Times New Roman" w:cs="Calibri"/>
                <w:sz w:val="20"/>
                <w:szCs w:val="20"/>
                <w:lang w:val="en-US" w:eastAsia="sk-SK"/>
              </w:rPr>
            </w:pPr>
            <w:r>
              <w:rPr>
                <w:rFonts w:cs="Arial"/>
                <w:color w:val="000000"/>
                <w:sz w:val="22"/>
                <w:szCs w:val="22"/>
              </w:rPr>
              <w:t>1</w:t>
            </w:r>
          </w:p>
        </w:tc>
        <w:tc>
          <w:tcPr>
            <w:tcW w:w="756" w:type="dxa"/>
            <w:tcBorders>
              <w:top w:val="single" w:sz="4" w:space="0" w:color="auto"/>
              <w:left w:val="single" w:sz="12" w:space="0" w:color="auto"/>
              <w:bottom w:val="single" w:sz="4" w:space="0" w:color="auto"/>
              <w:right w:val="single" w:sz="4" w:space="0" w:color="auto"/>
            </w:tcBorders>
            <w:noWrap/>
            <w:vAlign w:val="bottom"/>
            <w:hideMark/>
          </w:tcPr>
          <w:p w14:paraId="5FCFEC9C" w14:textId="6E44161B"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noWrap/>
            <w:vAlign w:val="bottom"/>
            <w:hideMark/>
          </w:tcPr>
          <w:p w14:paraId="46B4F829" w14:textId="397AA9AF" w:rsidR="00FD3E8B" w:rsidRDefault="00FD3E8B" w:rsidP="00FD3E8B">
            <w:pPr>
              <w:jc w:val="center"/>
              <w:rPr>
                <w:rFonts w:eastAsia="Times New Roman" w:cs="Calibri"/>
                <w:sz w:val="20"/>
                <w:szCs w:val="20"/>
                <w:lang w:val="en-US" w:eastAsia="sk-SK"/>
              </w:rPr>
            </w:pPr>
            <w:r>
              <w:rPr>
                <w:rFonts w:cs="Arial"/>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noWrap/>
            <w:vAlign w:val="bottom"/>
            <w:hideMark/>
          </w:tcPr>
          <w:p w14:paraId="27A10E6B" w14:textId="09854B18" w:rsidR="00FD3E8B" w:rsidRDefault="00FD3E8B" w:rsidP="00FD3E8B">
            <w:pPr>
              <w:jc w:val="center"/>
              <w:rPr>
                <w:rFonts w:eastAsia="Times New Roman" w:cs="Calibri"/>
                <w:sz w:val="20"/>
                <w:szCs w:val="20"/>
                <w:lang w:val="en-US" w:eastAsia="sk-SK"/>
              </w:rPr>
            </w:pPr>
            <w:r>
              <w:rPr>
                <w:rFonts w:cs="Arial"/>
                <w:color w:val="000000"/>
                <w:sz w:val="22"/>
                <w:szCs w:val="22"/>
              </w:rPr>
              <w:t>0</w:t>
            </w:r>
          </w:p>
        </w:tc>
      </w:tr>
      <w:tr w:rsidR="00985A0A" w14:paraId="059807E8" w14:textId="77777777" w:rsidTr="001054AC">
        <w:trPr>
          <w:cantSplit/>
          <w:trHeight w:val="170"/>
        </w:trPr>
        <w:tc>
          <w:tcPr>
            <w:tcW w:w="713" w:type="dxa"/>
            <w:tcBorders>
              <w:top w:val="single" w:sz="4" w:space="0" w:color="auto"/>
              <w:left w:val="single" w:sz="4" w:space="0" w:color="auto"/>
              <w:bottom w:val="single" w:sz="4" w:space="0" w:color="auto"/>
              <w:right w:val="single" w:sz="12" w:space="0" w:color="auto"/>
            </w:tcBorders>
            <w:shd w:val="clear" w:color="auto" w:fill="EEECE1" w:themeFill="background2"/>
            <w:noWrap/>
            <w:vAlign w:val="center"/>
            <w:hideMark/>
          </w:tcPr>
          <w:p w14:paraId="0FAD4E4F" w14:textId="77777777" w:rsidR="00FD3E8B" w:rsidRPr="00985A0A" w:rsidRDefault="00FD3E8B" w:rsidP="00FD3E8B">
            <w:pPr>
              <w:rPr>
                <w:rFonts w:eastAsia="Times New Roman" w:cs="Calibri"/>
                <w:b/>
                <w:bCs/>
                <w:sz w:val="20"/>
                <w:szCs w:val="20"/>
                <w:u w:val="single"/>
                <w:lang w:val="en-US" w:eastAsia="sk-SK"/>
              </w:rPr>
            </w:pPr>
            <w:r w:rsidRPr="00985A0A">
              <w:rPr>
                <w:rFonts w:eastAsia="Times New Roman" w:cs="Calibri"/>
                <w:b/>
                <w:bCs/>
                <w:sz w:val="20"/>
                <w:szCs w:val="20"/>
                <w:lang w:val="en-US" w:eastAsia="sk-SK"/>
              </w:rPr>
              <w:t>STU</w:t>
            </w:r>
          </w:p>
        </w:tc>
        <w:tc>
          <w:tcPr>
            <w:tcW w:w="755" w:type="dxa"/>
            <w:tcBorders>
              <w:top w:val="single" w:sz="4" w:space="0" w:color="auto"/>
              <w:left w:val="single" w:sz="12" w:space="0" w:color="auto"/>
              <w:bottom w:val="single" w:sz="4" w:space="0" w:color="auto"/>
              <w:right w:val="single" w:sz="4" w:space="0" w:color="auto"/>
            </w:tcBorders>
            <w:shd w:val="clear" w:color="auto" w:fill="EEECE1" w:themeFill="background2"/>
            <w:noWrap/>
            <w:vAlign w:val="bottom"/>
            <w:hideMark/>
          </w:tcPr>
          <w:p w14:paraId="06A1EABE" w14:textId="305D8536"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242</w:t>
            </w: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14:paraId="0CB73DCA" w14:textId="0ECC320D"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31</w:t>
            </w:r>
          </w:p>
        </w:tc>
        <w:tc>
          <w:tcPr>
            <w:tcW w:w="755" w:type="dxa"/>
            <w:tcBorders>
              <w:top w:val="single" w:sz="4" w:space="0" w:color="auto"/>
              <w:left w:val="single" w:sz="4" w:space="0" w:color="auto"/>
              <w:bottom w:val="single" w:sz="4" w:space="0" w:color="auto"/>
              <w:right w:val="single" w:sz="12" w:space="0" w:color="auto"/>
            </w:tcBorders>
            <w:shd w:val="clear" w:color="auto" w:fill="EEECE1" w:themeFill="background2"/>
            <w:noWrap/>
            <w:vAlign w:val="bottom"/>
            <w:hideMark/>
          </w:tcPr>
          <w:p w14:paraId="6CCA1BC9" w14:textId="495385AE"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6</w:t>
            </w:r>
          </w:p>
        </w:tc>
        <w:tc>
          <w:tcPr>
            <w:tcW w:w="756" w:type="dxa"/>
            <w:tcBorders>
              <w:top w:val="single" w:sz="4" w:space="0" w:color="auto"/>
              <w:left w:val="single" w:sz="12" w:space="0" w:color="auto"/>
              <w:bottom w:val="single" w:sz="4" w:space="0" w:color="auto"/>
              <w:right w:val="single" w:sz="4" w:space="0" w:color="auto"/>
            </w:tcBorders>
            <w:shd w:val="clear" w:color="auto" w:fill="EEECE1" w:themeFill="background2"/>
            <w:noWrap/>
            <w:vAlign w:val="bottom"/>
            <w:hideMark/>
          </w:tcPr>
          <w:p w14:paraId="2098F112" w14:textId="395B6568"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14:paraId="26650D8B" w14:textId="024E2AD1"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shd w:val="clear" w:color="auto" w:fill="EEECE1" w:themeFill="background2"/>
            <w:noWrap/>
            <w:vAlign w:val="bottom"/>
            <w:hideMark/>
          </w:tcPr>
          <w:p w14:paraId="0DC54459" w14:textId="5A4ACDD8"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shd w:val="clear" w:color="auto" w:fill="EEECE1" w:themeFill="background2"/>
            <w:noWrap/>
            <w:vAlign w:val="bottom"/>
            <w:hideMark/>
          </w:tcPr>
          <w:p w14:paraId="63DBBC4F" w14:textId="45816FFA"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423</w:t>
            </w: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14:paraId="7FD40274" w14:textId="11B192BB"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60</w:t>
            </w:r>
          </w:p>
        </w:tc>
        <w:tc>
          <w:tcPr>
            <w:tcW w:w="755" w:type="dxa"/>
            <w:tcBorders>
              <w:top w:val="single" w:sz="4" w:space="0" w:color="auto"/>
              <w:left w:val="single" w:sz="4" w:space="0" w:color="auto"/>
              <w:bottom w:val="single" w:sz="4" w:space="0" w:color="auto"/>
              <w:right w:val="single" w:sz="12" w:space="0" w:color="auto"/>
            </w:tcBorders>
            <w:shd w:val="clear" w:color="auto" w:fill="EEECE1" w:themeFill="background2"/>
            <w:noWrap/>
            <w:vAlign w:val="bottom"/>
            <w:hideMark/>
          </w:tcPr>
          <w:p w14:paraId="036F2198" w14:textId="7181CE92"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6</w:t>
            </w:r>
          </w:p>
        </w:tc>
        <w:tc>
          <w:tcPr>
            <w:tcW w:w="756" w:type="dxa"/>
            <w:tcBorders>
              <w:top w:val="single" w:sz="4" w:space="0" w:color="auto"/>
              <w:left w:val="single" w:sz="12" w:space="0" w:color="auto"/>
              <w:bottom w:val="single" w:sz="4" w:space="0" w:color="auto"/>
              <w:right w:val="single" w:sz="4" w:space="0" w:color="auto"/>
            </w:tcBorders>
            <w:shd w:val="clear" w:color="auto" w:fill="EEECE1" w:themeFill="background2"/>
            <w:noWrap/>
            <w:vAlign w:val="bottom"/>
            <w:hideMark/>
          </w:tcPr>
          <w:p w14:paraId="596864A9" w14:textId="4759F79A"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14EA9A30" w14:textId="06895704"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shd w:val="clear" w:color="auto" w:fill="EEECE1" w:themeFill="background2"/>
            <w:noWrap/>
            <w:vAlign w:val="bottom"/>
            <w:hideMark/>
          </w:tcPr>
          <w:p w14:paraId="0729E168" w14:textId="5604A229"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0</w:t>
            </w:r>
          </w:p>
        </w:tc>
        <w:tc>
          <w:tcPr>
            <w:tcW w:w="755" w:type="dxa"/>
            <w:tcBorders>
              <w:top w:val="single" w:sz="4" w:space="0" w:color="auto"/>
              <w:left w:val="single" w:sz="12" w:space="0" w:color="auto"/>
              <w:bottom w:val="single" w:sz="4" w:space="0" w:color="auto"/>
              <w:right w:val="single" w:sz="4" w:space="0" w:color="auto"/>
            </w:tcBorders>
            <w:shd w:val="clear" w:color="auto" w:fill="EEECE1" w:themeFill="background2"/>
            <w:noWrap/>
            <w:vAlign w:val="bottom"/>
            <w:hideMark/>
          </w:tcPr>
          <w:p w14:paraId="6CB90E92" w14:textId="188738E0"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1 091</w:t>
            </w: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1270F54C" w14:textId="368BD4E5"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93</w:t>
            </w:r>
          </w:p>
        </w:tc>
        <w:tc>
          <w:tcPr>
            <w:tcW w:w="755" w:type="dxa"/>
            <w:tcBorders>
              <w:top w:val="single" w:sz="4" w:space="0" w:color="auto"/>
              <w:left w:val="single" w:sz="4" w:space="0" w:color="auto"/>
              <w:bottom w:val="single" w:sz="4" w:space="0" w:color="auto"/>
              <w:right w:val="single" w:sz="12" w:space="0" w:color="auto"/>
            </w:tcBorders>
            <w:shd w:val="clear" w:color="auto" w:fill="EEECE1" w:themeFill="background2"/>
            <w:noWrap/>
            <w:vAlign w:val="bottom"/>
            <w:hideMark/>
          </w:tcPr>
          <w:p w14:paraId="127F1AA3" w14:textId="36C07900"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9</w:t>
            </w:r>
          </w:p>
        </w:tc>
        <w:tc>
          <w:tcPr>
            <w:tcW w:w="756" w:type="dxa"/>
            <w:tcBorders>
              <w:top w:val="single" w:sz="4" w:space="0" w:color="auto"/>
              <w:left w:val="single" w:sz="12" w:space="0" w:color="auto"/>
              <w:bottom w:val="single" w:sz="4" w:space="0" w:color="auto"/>
              <w:right w:val="single" w:sz="4" w:space="0" w:color="auto"/>
            </w:tcBorders>
            <w:shd w:val="clear" w:color="auto" w:fill="EEECE1" w:themeFill="background2"/>
            <w:noWrap/>
            <w:vAlign w:val="bottom"/>
            <w:hideMark/>
          </w:tcPr>
          <w:p w14:paraId="312D9145" w14:textId="357BF487"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0</w:t>
            </w:r>
          </w:p>
        </w:tc>
        <w:tc>
          <w:tcPr>
            <w:tcW w:w="755"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3C2AC46E" w14:textId="6A937F70"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0</w:t>
            </w:r>
          </w:p>
        </w:tc>
        <w:tc>
          <w:tcPr>
            <w:tcW w:w="756" w:type="dxa"/>
            <w:tcBorders>
              <w:top w:val="single" w:sz="4" w:space="0" w:color="auto"/>
              <w:left w:val="single" w:sz="4" w:space="0" w:color="auto"/>
              <w:bottom w:val="single" w:sz="4" w:space="0" w:color="auto"/>
              <w:right w:val="single" w:sz="12" w:space="0" w:color="auto"/>
            </w:tcBorders>
            <w:shd w:val="clear" w:color="auto" w:fill="EEECE1" w:themeFill="background2"/>
            <w:noWrap/>
            <w:vAlign w:val="bottom"/>
            <w:hideMark/>
          </w:tcPr>
          <w:p w14:paraId="4FBE8AEC" w14:textId="323CF2C8" w:rsidR="00FD3E8B" w:rsidRDefault="00FD3E8B" w:rsidP="00FD3E8B">
            <w:pPr>
              <w:jc w:val="center"/>
              <w:rPr>
                <w:rFonts w:eastAsia="Times New Roman" w:cs="Calibri"/>
                <w:sz w:val="20"/>
                <w:szCs w:val="20"/>
                <w:u w:val="single"/>
                <w:lang w:val="en-US" w:eastAsia="sk-SK"/>
              </w:rPr>
            </w:pPr>
            <w:r>
              <w:rPr>
                <w:rFonts w:cs="Arial"/>
                <w:b/>
                <w:bCs/>
                <w:color w:val="000000"/>
                <w:sz w:val="22"/>
                <w:szCs w:val="22"/>
              </w:rPr>
              <w:t>1</w:t>
            </w:r>
          </w:p>
        </w:tc>
      </w:tr>
    </w:tbl>
    <w:p w14:paraId="1D1CD36D" w14:textId="77777777" w:rsidR="007E0551" w:rsidRPr="0053555E" w:rsidRDefault="007E0551" w:rsidP="00854454">
      <w:pPr>
        <w:jc w:val="both"/>
        <w:rPr>
          <w:u w:val="single"/>
        </w:rPr>
      </w:pPr>
    </w:p>
    <w:p w14:paraId="2F80E469" w14:textId="77777777" w:rsidR="00120CB6" w:rsidRPr="0053555E" w:rsidRDefault="00120CB6" w:rsidP="00854454">
      <w:pPr>
        <w:jc w:val="both"/>
        <w:sectPr w:rsidR="00120CB6" w:rsidRPr="0053555E" w:rsidSect="009B429A">
          <w:pgSz w:w="16838" w:h="11906" w:orient="landscape"/>
          <w:pgMar w:top="1418" w:right="1135" w:bottom="1418" w:left="1418" w:header="425" w:footer="391" w:gutter="0"/>
          <w:cols w:space="708"/>
          <w:docGrid w:linePitch="326"/>
        </w:sectPr>
      </w:pPr>
    </w:p>
    <w:p w14:paraId="6B87C14B" w14:textId="723695CB" w:rsidR="006D75F5" w:rsidRDefault="006D75F5" w:rsidP="00CA19CF">
      <w:pPr>
        <w:shd w:val="clear" w:color="auto" w:fill="FFFFFF"/>
        <w:spacing w:after="120"/>
        <w:jc w:val="both"/>
        <w:rPr>
          <w:rFonts w:eastAsia="Times New Roman" w:cs="Calibri"/>
          <w:color w:val="222222"/>
          <w:lang w:eastAsia="sk-SK"/>
        </w:rPr>
      </w:pPr>
      <w:r>
        <w:rPr>
          <w:rFonts w:eastAsia="Times New Roman" w:cs="Calibri"/>
          <w:color w:val="222222"/>
          <w:lang w:eastAsia="sk-SK"/>
        </w:rPr>
        <w:lastRenderedPageBreak/>
        <w:t xml:space="preserve">Výučba ukrajinských študentov </w:t>
      </w:r>
      <w:r w:rsidR="00BC566C">
        <w:rPr>
          <w:rFonts w:eastAsia="Times New Roman" w:cs="Calibri"/>
          <w:color w:val="222222"/>
          <w:lang w:eastAsia="sk-SK"/>
        </w:rPr>
        <w:t>je zložitá</w:t>
      </w:r>
      <w:r w:rsidR="00227BE9">
        <w:rPr>
          <w:rFonts w:eastAsia="Times New Roman" w:cs="Calibri"/>
          <w:color w:val="222222"/>
          <w:lang w:eastAsia="sk-SK"/>
        </w:rPr>
        <w:t>, pričom</w:t>
      </w:r>
      <w:r>
        <w:rPr>
          <w:rFonts w:eastAsia="Times New Roman" w:cs="Calibri"/>
          <w:color w:val="222222"/>
          <w:lang w:eastAsia="sk-SK"/>
        </w:rPr>
        <w:t xml:space="preserve"> </w:t>
      </w:r>
      <w:r w:rsidR="00BC566C">
        <w:rPr>
          <w:rFonts w:eastAsia="Times New Roman" w:cs="Calibri"/>
          <w:color w:val="222222"/>
          <w:lang w:eastAsia="sk-SK"/>
        </w:rPr>
        <w:t>h</w:t>
      </w:r>
      <w:r>
        <w:rPr>
          <w:rFonts w:eastAsia="Times New Roman" w:cs="Calibri"/>
          <w:color w:val="222222"/>
          <w:lang w:eastAsia="sk-SK"/>
        </w:rPr>
        <w:t>lavným dôvodom, ktorý komplikuje vzťah medzi študentom a</w:t>
      </w:r>
      <w:r w:rsidR="00AC1BFD">
        <w:rPr>
          <w:rFonts w:eastAsia="Times New Roman" w:cs="Calibri"/>
          <w:color w:val="222222"/>
          <w:lang w:eastAsia="sk-SK"/>
        </w:rPr>
        <w:t> </w:t>
      </w:r>
      <w:r>
        <w:rPr>
          <w:rFonts w:eastAsia="Times New Roman" w:cs="Calibri"/>
          <w:color w:val="222222"/>
          <w:lang w:eastAsia="sk-SK"/>
        </w:rPr>
        <w:t>učiteľom</w:t>
      </w:r>
      <w:r w:rsidR="00AC1BFD">
        <w:rPr>
          <w:rFonts w:eastAsia="Times New Roman" w:cs="Calibri"/>
          <w:color w:val="222222"/>
          <w:lang w:eastAsia="sk-SK"/>
        </w:rPr>
        <w:t>,</w:t>
      </w:r>
      <w:r>
        <w:rPr>
          <w:rFonts w:eastAsia="Times New Roman" w:cs="Calibri"/>
          <w:color w:val="222222"/>
          <w:lang w:eastAsia="sk-SK"/>
        </w:rPr>
        <w:t xml:space="preserve"> je jazyková bariéra. </w:t>
      </w:r>
      <w:r w:rsidR="00D371CE">
        <w:rPr>
          <w:rFonts w:eastAsia="Times New Roman" w:cs="Calibri"/>
          <w:color w:val="222222"/>
          <w:lang w:eastAsia="sk-SK"/>
        </w:rPr>
        <w:t>So študent</w:t>
      </w:r>
      <w:r w:rsidR="00BC566C">
        <w:rPr>
          <w:rFonts w:eastAsia="Times New Roman" w:cs="Calibri"/>
          <w:color w:val="222222"/>
          <w:lang w:eastAsia="sk-SK"/>
        </w:rPr>
        <w:t xml:space="preserve">mi sa dá </w:t>
      </w:r>
      <w:r>
        <w:rPr>
          <w:rFonts w:eastAsia="Times New Roman" w:cs="Calibri"/>
          <w:color w:val="222222"/>
          <w:lang w:eastAsia="sk-SK"/>
        </w:rPr>
        <w:t>komunikovať, dohovoriť, ale v prípade odborných predmetov nastáva už zreteľný problém, ktorý spočíva v nepochopení odborných pojmov. Študenti sa sťažujú, že nerozumejú zadaniam, následne nestíhajú v daných termínoch splniť úloh</w:t>
      </w:r>
      <w:r w:rsidR="00AC1BFD">
        <w:rPr>
          <w:rFonts w:eastAsia="Times New Roman" w:cs="Calibri"/>
          <w:color w:val="222222"/>
          <w:lang w:eastAsia="sk-SK"/>
        </w:rPr>
        <w:t>y</w:t>
      </w:r>
      <w:r>
        <w:rPr>
          <w:rFonts w:eastAsia="Times New Roman" w:cs="Calibri"/>
          <w:color w:val="222222"/>
          <w:lang w:eastAsia="sk-SK"/>
        </w:rPr>
        <w:t xml:space="preserve">, čo následne vytvára negatívne prostredie. V dôsledku uvedeného </w:t>
      </w:r>
      <w:r w:rsidR="00BC566C">
        <w:rPr>
          <w:rFonts w:eastAsia="Times New Roman" w:cs="Calibri"/>
          <w:color w:val="222222"/>
          <w:lang w:eastAsia="sk-SK"/>
        </w:rPr>
        <w:t xml:space="preserve">majú následné problém splniť podmienky pre absolvovanie predmetov a získať potrebné kredity na </w:t>
      </w:r>
      <w:r w:rsidR="00AC1BFD">
        <w:rPr>
          <w:rFonts w:eastAsia="Times New Roman" w:cs="Calibri"/>
          <w:color w:val="222222"/>
          <w:lang w:eastAsia="sk-SK"/>
        </w:rPr>
        <w:t>postup</w:t>
      </w:r>
      <w:r w:rsidR="00BC566C">
        <w:rPr>
          <w:rFonts w:eastAsia="Times New Roman" w:cs="Calibri"/>
          <w:color w:val="222222"/>
          <w:lang w:eastAsia="sk-SK"/>
        </w:rPr>
        <w:t xml:space="preserve"> do </w:t>
      </w:r>
      <w:r w:rsidR="00AC1BFD">
        <w:rPr>
          <w:rFonts w:eastAsia="Times New Roman" w:cs="Calibri"/>
          <w:color w:val="222222"/>
          <w:lang w:eastAsia="sk-SK"/>
        </w:rPr>
        <w:t>ďalšej</w:t>
      </w:r>
      <w:r w:rsidR="00BC566C">
        <w:rPr>
          <w:rFonts w:eastAsia="Times New Roman" w:cs="Calibri"/>
          <w:color w:val="222222"/>
          <w:lang w:eastAsia="sk-SK"/>
        </w:rPr>
        <w:t xml:space="preserve"> časti štúdia. </w:t>
      </w:r>
    </w:p>
    <w:p w14:paraId="7FE84BB3" w14:textId="48903C8C" w:rsidR="006D75F5" w:rsidRDefault="004037FB" w:rsidP="002A76F0">
      <w:pPr>
        <w:jc w:val="both"/>
      </w:pPr>
      <w:r>
        <w:t xml:space="preserve">V rámci Úvodu do štúdia boli ukrajinským študentom venované samostatné informačné bloky, v rámci ktorých boli podrobnejšie zoznámení praktickými informáciami potrebnými k začiatku štúdia. </w:t>
      </w:r>
      <w:r w:rsidR="006D75F5">
        <w:rPr>
          <w:rFonts w:cstheme="minorHAnsi"/>
        </w:rPr>
        <w:t xml:space="preserve">Podporné aktivity boli študentom poskytnuté </w:t>
      </w:r>
      <w:r w:rsidR="00FB517C">
        <w:rPr>
          <w:rFonts w:cstheme="minorHAnsi"/>
        </w:rPr>
        <w:t xml:space="preserve">prostredníctvom študijných oddelení, </w:t>
      </w:r>
      <w:r w:rsidR="006D75F5">
        <w:rPr>
          <w:rFonts w:cstheme="minorHAnsi"/>
        </w:rPr>
        <w:t>formou konzultácií a mimoriadnych informačných emailov a zároveň boli študentom poskytnuté služby „Študentského radcu“</w:t>
      </w:r>
      <w:r w:rsidR="00CA19CF">
        <w:rPr>
          <w:rFonts w:cstheme="minorHAnsi"/>
        </w:rPr>
        <w:t xml:space="preserve"> (FEI)</w:t>
      </w:r>
      <w:r w:rsidR="00C6429A">
        <w:rPr>
          <w:rFonts w:cstheme="minorHAnsi"/>
        </w:rPr>
        <w:t>, študentského tútora (FCHPT)</w:t>
      </w:r>
      <w:r w:rsidR="002A76F0">
        <w:rPr>
          <w:rFonts w:cstheme="minorHAnsi"/>
        </w:rPr>
        <w:t xml:space="preserve"> spravidla z členov </w:t>
      </w:r>
      <w:r w:rsidR="00CA19CF">
        <w:rPr>
          <w:rFonts w:cstheme="minorHAnsi"/>
        </w:rPr>
        <w:t xml:space="preserve">študentských </w:t>
      </w:r>
      <w:r w:rsidR="00CD3E83">
        <w:rPr>
          <w:rFonts w:cstheme="minorHAnsi"/>
        </w:rPr>
        <w:t>organizácií pôsobiacich na fakultách</w:t>
      </w:r>
      <w:r w:rsidR="002A76F0">
        <w:rPr>
          <w:rFonts w:cstheme="minorHAnsi"/>
        </w:rPr>
        <w:t xml:space="preserve">. Rovnako boli oslovení </w:t>
      </w:r>
      <w:r w:rsidR="00CD3E83">
        <w:rPr>
          <w:rFonts w:cstheme="minorHAnsi"/>
        </w:rPr>
        <w:t>jednotlivc</w:t>
      </w:r>
      <w:r w:rsidR="002A76F0">
        <w:rPr>
          <w:rFonts w:cstheme="minorHAnsi"/>
        </w:rPr>
        <w:t>i</w:t>
      </w:r>
      <w:r w:rsidR="00CD3E83">
        <w:rPr>
          <w:rFonts w:cstheme="minorHAnsi"/>
        </w:rPr>
        <w:t xml:space="preserve">, napr. </w:t>
      </w:r>
      <w:r w:rsidR="006D75F5">
        <w:rPr>
          <w:rFonts w:cstheme="minorHAnsi"/>
        </w:rPr>
        <w:t xml:space="preserve">ukrajinskí študenti z vyšších ročníkov, ktorí sa zapojili s cieľom pomôcť začleniť sa študentom </w:t>
      </w:r>
      <w:r w:rsidR="00CA19CF">
        <w:rPr>
          <w:rFonts w:cstheme="minorHAnsi"/>
        </w:rPr>
        <w:t>v prvom roku štúdia</w:t>
      </w:r>
      <w:r w:rsidR="006D75F5">
        <w:rPr>
          <w:rFonts w:cstheme="minorHAnsi"/>
        </w:rPr>
        <w:t xml:space="preserve"> do</w:t>
      </w:r>
      <w:r w:rsidR="00C6429A">
        <w:rPr>
          <w:rFonts w:cstheme="minorHAnsi"/>
        </w:rPr>
        <w:t> </w:t>
      </w:r>
      <w:r w:rsidR="006D75F5">
        <w:rPr>
          <w:rFonts w:cstheme="minorHAnsi"/>
        </w:rPr>
        <w:t>výučbového procesu a vypomôcť pri tlmočení a pri ďalších činnostiach v rámci fakulty.</w:t>
      </w:r>
      <w:r w:rsidR="002A76F0">
        <w:rPr>
          <w:rFonts w:cstheme="minorHAnsi"/>
        </w:rPr>
        <w:t xml:space="preserve"> </w:t>
      </w:r>
    </w:p>
    <w:p w14:paraId="470682F9" w14:textId="606FB23B" w:rsidR="006D75F5" w:rsidRDefault="006D75F5" w:rsidP="006D75F5"/>
    <w:p w14:paraId="5A36018F" w14:textId="497C8326" w:rsidR="00D16BA8" w:rsidRDefault="00D16BA8" w:rsidP="00171A3C">
      <w:pPr>
        <w:jc w:val="both"/>
      </w:pPr>
      <w:r>
        <w:t>Na základe</w:t>
      </w:r>
      <w:r w:rsidR="00BE332C">
        <w:t xml:space="preserve"> tý</w:t>
      </w:r>
      <w:r>
        <w:t xml:space="preserve">chto skúseností </w:t>
      </w:r>
      <w:r w:rsidR="003924FE">
        <w:t>STU prijala opatrenia</w:t>
      </w:r>
      <w:r w:rsidR="00D371CE">
        <w:t>, v rámci</w:t>
      </w:r>
      <w:r w:rsidR="003924FE">
        <w:t xml:space="preserve"> ktorých už</w:t>
      </w:r>
      <w:r w:rsidR="00171A3C">
        <w:t xml:space="preserve"> </w:t>
      </w:r>
      <w:r w:rsidR="003924FE">
        <w:t xml:space="preserve">v </w:t>
      </w:r>
      <w:r w:rsidR="00171A3C">
        <w:t>nasledujúc</w:t>
      </w:r>
      <w:r w:rsidR="003924FE">
        <w:t>om</w:t>
      </w:r>
      <w:r w:rsidR="00171A3C">
        <w:t xml:space="preserve"> prijímac</w:t>
      </w:r>
      <w:r w:rsidR="003924FE">
        <w:t>om</w:t>
      </w:r>
      <w:r w:rsidR="00171A3C">
        <w:t xml:space="preserve"> konan</w:t>
      </w:r>
      <w:r w:rsidR="003924FE">
        <w:t>í bude</w:t>
      </w:r>
      <w:r>
        <w:t xml:space="preserve"> požadovať </w:t>
      </w:r>
      <w:r w:rsidR="00171A3C">
        <w:t xml:space="preserve">ako </w:t>
      </w:r>
      <w:r>
        <w:t>ďalš</w:t>
      </w:r>
      <w:r w:rsidR="00171A3C">
        <w:t>iu z</w:t>
      </w:r>
      <w:r>
        <w:t xml:space="preserve"> podmienok </w:t>
      </w:r>
      <w:r w:rsidR="00BE332C">
        <w:t>prijímania</w:t>
      </w:r>
      <w:r>
        <w:t xml:space="preserve"> na štúdium</w:t>
      </w:r>
      <w:r w:rsidR="00BE332C">
        <w:t xml:space="preserve"> </w:t>
      </w:r>
      <w:r w:rsidR="003924FE">
        <w:t xml:space="preserve">študijných programov </w:t>
      </w:r>
      <w:r w:rsidR="00BE332C">
        <w:t>všetkých stupňov znalosť jazyka uskutočňovania študijného programu, na ktorý si uchádzač podá prihlášku</w:t>
      </w:r>
      <w:r w:rsidR="000147BC">
        <w:t>,</w:t>
      </w:r>
      <w:r w:rsidR="00BE332C">
        <w:t xml:space="preserve"> minimálne na</w:t>
      </w:r>
      <w:r w:rsidR="00171A3C">
        <w:t> </w:t>
      </w:r>
      <w:r w:rsidR="00BE332C">
        <w:t xml:space="preserve">úrovni B1. </w:t>
      </w:r>
    </w:p>
    <w:p w14:paraId="48C01FDF" w14:textId="3F0C591D" w:rsidR="00D371CE" w:rsidRDefault="00D371CE" w:rsidP="00171A3C">
      <w:pPr>
        <w:jc w:val="both"/>
      </w:pPr>
    </w:p>
    <w:p w14:paraId="57C3850D" w14:textId="08064FAB" w:rsidR="00D371CE" w:rsidRDefault="00D371CE" w:rsidP="00171A3C">
      <w:pPr>
        <w:jc w:val="both"/>
      </w:pPr>
    </w:p>
    <w:p w14:paraId="1D2FD6F9" w14:textId="750715CC" w:rsidR="00D371CE" w:rsidRPr="00E5317D" w:rsidRDefault="00D371CE" w:rsidP="00D371CE">
      <w:pPr>
        <w:rPr>
          <w:rFonts w:asciiTheme="majorHAnsi" w:hAnsiTheme="majorHAnsi" w:cstheme="majorHAnsi"/>
          <w:b/>
          <w:sz w:val="32"/>
          <w:szCs w:val="32"/>
        </w:rPr>
      </w:pPr>
      <w:r>
        <w:rPr>
          <w:rFonts w:asciiTheme="majorHAnsi" w:hAnsiTheme="majorHAnsi" w:cstheme="majorHAnsi"/>
          <w:b/>
          <w:sz w:val="32"/>
          <w:szCs w:val="32"/>
        </w:rPr>
        <w:t>15</w:t>
      </w:r>
      <w:r w:rsidRPr="00E5317D">
        <w:rPr>
          <w:rFonts w:asciiTheme="majorHAnsi" w:hAnsiTheme="majorHAnsi" w:cstheme="majorHAnsi"/>
          <w:b/>
          <w:sz w:val="32"/>
          <w:szCs w:val="32"/>
        </w:rPr>
        <w:t>. Kontaktné údaje</w:t>
      </w:r>
    </w:p>
    <w:p w14:paraId="4F56C8D3" w14:textId="77777777" w:rsidR="00D371CE" w:rsidRPr="00E5317D" w:rsidRDefault="00D371CE" w:rsidP="00D371CE">
      <w:pPr>
        <w:rPr>
          <w:rFonts w:asciiTheme="majorHAnsi" w:hAnsiTheme="majorHAnsi" w:cstheme="majorHAnsi"/>
        </w:rPr>
      </w:pPr>
    </w:p>
    <w:p w14:paraId="4F633399" w14:textId="77777777" w:rsidR="00D371CE" w:rsidRPr="00E5317D" w:rsidRDefault="00D371CE" w:rsidP="00D371CE">
      <w:pPr>
        <w:rPr>
          <w:rFonts w:asciiTheme="majorHAnsi" w:hAnsiTheme="majorHAnsi" w:cstheme="majorHAnsi"/>
        </w:rPr>
      </w:pPr>
      <w:r w:rsidRPr="00E5317D">
        <w:rPr>
          <w:rFonts w:asciiTheme="majorHAnsi" w:hAnsiTheme="majorHAnsi" w:cstheme="majorHAnsi"/>
        </w:rPr>
        <w:t xml:space="preserve">Slovenská technická univerzita v Bratislave </w:t>
      </w:r>
    </w:p>
    <w:p w14:paraId="2BBF5278" w14:textId="77777777" w:rsidR="00D371CE" w:rsidRPr="00E5317D" w:rsidRDefault="00D371CE" w:rsidP="00D371CE">
      <w:pPr>
        <w:rPr>
          <w:rFonts w:asciiTheme="majorHAnsi" w:hAnsiTheme="majorHAnsi" w:cstheme="majorHAnsi"/>
        </w:rPr>
      </w:pPr>
      <w:r w:rsidRPr="00E5317D">
        <w:rPr>
          <w:rFonts w:asciiTheme="majorHAnsi" w:hAnsiTheme="majorHAnsi" w:cstheme="majorHAnsi"/>
        </w:rPr>
        <w:t xml:space="preserve">Rektorát </w:t>
      </w:r>
    </w:p>
    <w:p w14:paraId="65CB8FEC" w14:textId="77777777" w:rsidR="00D371CE" w:rsidRPr="00E5317D" w:rsidRDefault="00D371CE" w:rsidP="00D371CE">
      <w:pPr>
        <w:rPr>
          <w:rFonts w:asciiTheme="majorHAnsi" w:hAnsiTheme="majorHAnsi" w:cstheme="majorHAnsi"/>
        </w:rPr>
      </w:pPr>
      <w:r w:rsidRPr="00E5317D">
        <w:rPr>
          <w:rFonts w:asciiTheme="majorHAnsi" w:hAnsiTheme="majorHAnsi" w:cstheme="majorHAnsi"/>
        </w:rPr>
        <w:t xml:space="preserve">Vazovova 5, 812 43 Bratislava 1 </w:t>
      </w:r>
    </w:p>
    <w:p w14:paraId="4D5D31C4" w14:textId="77777777" w:rsidR="00D371CE" w:rsidRPr="00E5317D" w:rsidRDefault="00D371CE" w:rsidP="00D371CE">
      <w:pPr>
        <w:rPr>
          <w:rFonts w:asciiTheme="majorHAnsi" w:hAnsiTheme="majorHAnsi" w:cstheme="majorHAnsi"/>
        </w:rPr>
      </w:pPr>
      <w:r w:rsidRPr="00E5317D">
        <w:rPr>
          <w:rFonts w:asciiTheme="majorHAnsi" w:hAnsiTheme="majorHAnsi" w:cstheme="majorHAnsi"/>
        </w:rPr>
        <w:t xml:space="preserve">Tel.: 02/5249 7196, 0918 669 118 </w:t>
      </w:r>
    </w:p>
    <w:p w14:paraId="0B4B0EAA" w14:textId="77777777" w:rsidR="00D371CE" w:rsidRPr="00E5317D" w:rsidRDefault="00D371CE" w:rsidP="00D371CE">
      <w:pPr>
        <w:rPr>
          <w:rFonts w:asciiTheme="majorHAnsi" w:hAnsiTheme="majorHAnsi" w:cstheme="majorHAnsi"/>
        </w:rPr>
      </w:pPr>
      <w:r w:rsidRPr="00E5317D">
        <w:rPr>
          <w:rFonts w:asciiTheme="majorHAnsi" w:hAnsiTheme="majorHAnsi" w:cstheme="majorHAnsi"/>
        </w:rPr>
        <w:t xml:space="preserve">E-mail: </w:t>
      </w:r>
      <w:hyperlink r:id="rId124" w:history="1">
        <w:r w:rsidRPr="00E5317D">
          <w:rPr>
            <w:rStyle w:val="Hypertextovprepojenie"/>
            <w:rFonts w:asciiTheme="majorHAnsi" w:hAnsiTheme="majorHAnsi" w:cstheme="majorHAnsi"/>
            <w:color w:val="auto"/>
          </w:rPr>
          <w:t>rector@stuba.sk</w:t>
        </w:r>
      </w:hyperlink>
      <w:r w:rsidRPr="00E5317D">
        <w:rPr>
          <w:rFonts w:asciiTheme="majorHAnsi" w:hAnsiTheme="majorHAnsi" w:cstheme="majorHAnsi"/>
        </w:rPr>
        <w:t xml:space="preserve"> </w:t>
      </w:r>
    </w:p>
    <w:p w14:paraId="597E36CB" w14:textId="77777777" w:rsidR="00D371CE" w:rsidRPr="00E5317D" w:rsidRDefault="00D371CE" w:rsidP="00D371CE">
      <w:r w:rsidRPr="00E5317D">
        <w:rPr>
          <w:rFonts w:asciiTheme="majorHAnsi" w:hAnsiTheme="majorHAnsi" w:cstheme="majorHAnsi"/>
        </w:rPr>
        <w:t xml:space="preserve">Web: </w:t>
      </w:r>
      <w:hyperlink r:id="rId125" w:history="1">
        <w:r w:rsidRPr="00E5317D">
          <w:rPr>
            <w:rStyle w:val="Hypertextovprepojenie"/>
            <w:rFonts w:asciiTheme="majorHAnsi" w:hAnsiTheme="majorHAnsi" w:cstheme="majorHAnsi"/>
            <w:color w:val="auto"/>
          </w:rPr>
          <w:t>www.stuba.sk</w:t>
        </w:r>
      </w:hyperlink>
    </w:p>
    <w:p w14:paraId="5A08FBEF" w14:textId="77777777" w:rsidR="00D371CE" w:rsidRPr="00E5317D" w:rsidRDefault="00D371CE" w:rsidP="00D371CE">
      <w:pPr>
        <w:rPr>
          <w:rFonts w:asciiTheme="majorHAnsi" w:hAnsiTheme="majorHAnsi" w:cstheme="majorHAnsi"/>
        </w:rPr>
      </w:pPr>
      <w:r w:rsidRPr="00E5317D">
        <w:rPr>
          <w:rFonts w:asciiTheme="majorHAnsi" w:hAnsiTheme="majorHAnsi" w:cstheme="majorHAnsi"/>
        </w:rPr>
        <w:t xml:space="preserve">Informácie: </w:t>
      </w:r>
      <w:hyperlink r:id="rId126" w:history="1">
        <w:r w:rsidRPr="00E5317D">
          <w:rPr>
            <w:rStyle w:val="Hypertextovprepojenie"/>
            <w:rFonts w:asciiTheme="majorHAnsi" w:hAnsiTheme="majorHAnsi" w:cstheme="majorHAnsi"/>
            <w:color w:val="auto"/>
          </w:rPr>
          <w:t>public@stuba.sk</w:t>
        </w:r>
      </w:hyperlink>
      <w:r w:rsidRPr="00E5317D">
        <w:rPr>
          <w:rFonts w:asciiTheme="majorHAnsi" w:hAnsiTheme="majorHAnsi" w:cstheme="majorHAnsi"/>
        </w:rPr>
        <w:t xml:space="preserve"> </w:t>
      </w:r>
    </w:p>
    <w:p w14:paraId="25B5F923" w14:textId="77777777" w:rsidR="00D371CE" w:rsidRDefault="00D371CE" w:rsidP="00D371CE">
      <w:pPr>
        <w:rPr>
          <w:rFonts w:asciiTheme="majorHAnsi" w:hAnsiTheme="majorHAnsi" w:cstheme="majorHAnsi"/>
          <w:color w:val="333333"/>
          <w:shd w:val="clear" w:color="auto" w:fill="FFFFFF"/>
        </w:rPr>
      </w:pPr>
      <w:r w:rsidRPr="00E5317D">
        <w:rPr>
          <w:rFonts w:asciiTheme="majorHAnsi" w:hAnsiTheme="majorHAnsi" w:cstheme="majorHAnsi"/>
          <w:color w:val="333333"/>
          <w:shd w:val="clear" w:color="auto" w:fill="FFFFFF"/>
        </w:rPr>
        <w:t>IČO  00397 687</w:t>
      </w:r>
      <w:r w:rsidRPr="00E5317D">
        <w:rPr>
          <w:rFonts w:asciiTheme="majorHAnsi" w:hAnsiTheme="majorHAnsi" w:cstheme="majorHAnsi"/>
          <w:color w:val="333333"/>
        </w:rPr>
        <w:br/>
      </w:r>
      <w:r w:rsidRPr="00E5317D">
        <w:rPr>
          <w:rFonts w:asciiTheme="majorHAnsi" w:hAnsiTheme="majorHAnsi" w:cstheme="majorHAnsi"/>
          <w:color w:val="333333"/>
          <w:shd w:val="clear" w:color="auto" w:fill="FFFFFF"/>
        </w:rPr>
        <w:t>DIČ  2020845255</w:t>
      </w:r>
    </w:p>
    <w:p w14:paraId="752B0133" w14:textId="77777777" w:rsidR="00D371CE" w:rsidRDefault="00D371CE" w:rsidP="00171A3C">
      <w:pPr>
        <w:jc w:val="both"/>
      </w:pPr>
    </w:p>
    <w:p w14:paraId="09C80F65" w14:textId="5B0356A7" w:rsidR="006D75F5" w:rsidRDefault="006D75F5" w:rsidP="00854454">
      <w:pPr>
        <w:jc w:val="both"/>
      </w:pPr>
    </w:p>
    <w:p w14:paraId="2E2524B6" w14:textId="7C721985" w:rsidR="00D371CE" w:rsidRPr="00CA4F50" w:rsidRDefault="00D371CE" w:rsidP="00D371CE">
      <w:pPr>
        <w:rPr>
          <w:rFonts w:asciiTheme="majorHAnsi" w:hAnsiTheme="majorHAnsi" w:cstheme="majorHAnsi"/>
          <w:b/>
          <w:sz w:val="32"/>
          <w:szCs w:val="32"/>
        </w:rPr>
      </w:pPr>
      <w:r>
        <w:rPr>
          <w:rFonts w:asciiTheme="majorHAnsi" w:hAnsiTheme="majorHAnsi" w:cstheme="majorHAnsi"/>
          <w:b/>
          <w:sz w:val="32"/>
          <w:szCs w:val="32"/>
        </w:rPr>
        <w:t>16</w:t>
      </w:r>
      <w:r w:rsidRPr="00CA4F50">
        <w:rPr>
          <w:rFonts w:asciiTheme="majorHAnsi" w:hAnsiTheme="majorHAnsi" w:cstheme="majorHAnsi"/>
          <w:b/>
          <w:sz w:val="32"/>
          <w:szCs w:val="32"/>
        </w:rPr>
        <w:t>. Sumár</w:t>
      </w:r>
    </w:p>
    <w:p w14:paraId="2A203104" w14:textId="402CF1A0" w:rsidR="006D75F5" w:rsidRDefault="006D75F5" w:rsidP="00854454">
      <w:pPr>
        <w:jc w:val="both"/>
      </w:pPr>
    </w:p>
    <w:p w14:paraId="3EB68AF4" w14:textId="77777777" w:rsidR="00707477" w:rsidRPr="00707477" w:rsidRDefault="00707477" w:rsidP="00707477">
      <w:pPr>
        <w:jc w:val="both"/>
        <w:rPr>
          <w:rFonts w:asciiTheme="majorHAnsi" w:hAnsiTheme="majorHAnsi" w:cstheme="majorHAnsi"/>
        </w:rPr>
      </w:pPr>
      <w:r w:rsidRPr="00707477">
        <w:rPr>
          <w:rFonts w:asciiTheme="majorHAnsi" w:hAnsiTheme="majorHAnsi" w:cstheme="majorHAnsi"/>
        </w:rPr>
        <w:t xml:space="preserve">Slovenská technická univerzita v Bratislave si v roku 2022 pripomenula </w:t>
      </w:r>
      <w:r w:rsidRPr="00707477">
        <w:rPr>
          <w:rFonts w:asciiTheme="majorHAnsi" w:hAnsiTheme="majorHAnsi" w:cstheme="majorHAnsi"/>
          <w:b/>
        </w:rPr>
        <w:t>85. výročie založenia</w:t>
      </w:r>
      <w:r w:rsidRPr="00707477">
        <w:rPr>
          <w:rFonts w:asciiTheme="majorHAnsi" w:hAnsiTheme="majorHAnsi" w:cstheme="majorHAnsi"/>
        </w:rPr>
        <w:t>.</w:t>
      </w:r>
    </w:p>
    <w:p w14:paraId="7BFD79AB" w14:textId="77777777" w:rsidR="00707477" w:rsidRPr="00707477" w:rsidRDefault="00707477" w:rsidP="00707477">
      <w:pPr>
        <w:rPr>
          <w:rFonts w:asciiTheme="majorHAnsi" w:hAnsiTheme="majorHAnsi" w:cstheme="majorHAnsi"/>
        </w:rPr>
      </w:pPr>
    </w:p>
    <w:p w14:paraId="46319CD1" w14:textId="77777777" w:rsidR="00707477" w:rsidRPr="00707477" w:rsidRDefault="00707477" w:rsidP="00707477">
      <w:pPr>
        <w:rPr>
          <w:rFonts w:asciiTheme="majorHAnsi" w:eastAsia="Times New Roman" w:hAnsiTheme="majorHAnsi" w:cstheme="majorHAnsi"/>
          <w:lang w:eastAsia="sk-SK"/>
        </w:rPr>
      </w:pPr>
      <w:r w:rsidRPr="00707477">
        <w:rPr>
          <w:rFonts w:asciiTheme="majorHAnsi" w:hAnsiTheme="majorHAnsi" w:cstheme="majorHAnsi"/>
          <w:b/>
        </w:rPr>
        <w:t>Doznievajúca pandémia</w:t>
      </w:r>
      <w:r w:rsidRPr="00707477">
        <w:rPr>
          <w:rFonts w:asciiTheme="majorHAnsi" w:hAnsiTheme="majorHAnsi" w:cstheme="majorHAnsi"/>
        </w:rPr>
        <w:t xml:space="preserve"> </w:t>
      </w:r>
      <w:r w:rsidRPr="00707477">
        <w:rPr>
          <w:rFonts w:asciiTheme="majorHAnsi" w:hAnsiTheme="majorHAnsi" w:cstheme="majorHAnsi"/>
          <w:b/>
        </w:rPr>
        <w:t xml:space="preserve">COVID-19 </w:t>
      </w:r>
      <w:r w:rsidRPr="00707477">
        <w:rPr>
          <w:rFonts w:asciiTheme="majorHAnsi" w:hAnsiTheme="majorHAnsi" w:cstheme="majorHAnsi"/>
        </w:rPr>
        <w:t xml:space="preserve">ešte čiastočne poznamenala činnosť univerzity na začiatku roka 2022. </w:t>
      </w:r>
      <w:r w:rsidRPr="00707477">
        <w:rPr>
          <w:rFonts w:asciiTheme="majorHAnsi" w:eastAsia="Times New Roman" w:hAnsiTheme="majorHAnsi" w:cstheme="majorHAnsi"/>
          <w:lang w:eastAsia="sk-SK"/>
        </w:rPr>
        <w:t>Skúšanie v zimnom semestri mohlo byť dištančne alebo prezenčne, v letnom semestri bolo prezenčne.</w:t>
      </w:r>
    </w:p>
    <w:p w14:paraId="7859D5F7" w14:textId="77777777" w:rsidR="00707477" w:rsidRPr="00707477" w:rsidRDefault="00707477" w:rsidP="00707477">
      <w:pPr>
        <w:rPr>
          <w:rFonts w:asciiTheme="majorHAnsi" w:eastAsia="Times New Roman" w:hAnsiTheme="majorHAnsi" w:cstheme="majorHAnsi"/>
          <w:lang w:eastAsia="sk-SK"/>
        </w:rPr>
      </w:pPr>
    </w:p>
    <w:p w14:paraId="29724EFB" w14:textId="77777777" w:rsidR="00707477" w:rsidRPr="00707477" w:rsidRDefault="00707477" w:rsidP="00707477">
      <w:pPr>
        <w:spacing w:after="120"/>
        <w:jc w:val="both"/>
        <w:rPr>
          <w:rFonts w:asciiTheme="majorHAnsi" w:hAnsiTheme="majorHAnsi" w:cstheme="majorHAnsi"/>
        </w:rPr>
      </w:pPr>
      <w:r w:rsidRPr="00707477">
        <w:rPr>
          <w:rFonts w:asciiTheme="majorHAnsi" w:hAnsiTheme="majorHAnsi" w:cstheme="majorHAnsi"/>
          <w:b/>
        </w:rPr>
        <w:t>Vojnový konflikt na Ukrajine</w:t>
      </w:r>
      <w:r w:rsidRPr="00707477">
        <w:rPr>
          <w:rFonts w:asciiTheme="majorHAnsi" w:hAnsiTheme="majorHAnsi" w:cstheme="majorHAnsi"/>
        </w:rPr>
        <w:t xml:space="preserve"> výrazne ovplyvnil mnohé činnosti STU. Univerzita zorganizovala humanitárne a podporné aktivity na pomoc študentom STU zo zasiahnutých regiónov, ich rodinným príslušníkom a ďalším dotknutým. Poskytla 308</w:t>
      </w:r>
      <w:r w:rsidRPr="00707477">
        <w:rPr>
          <w:rFonts w:asciiTheme="majorHAnsi" w:hAnsiTheme="majorHAnsi" w:cstheme="majorHAnsi"/>
          <w:b/>
        </w:rPr>
        <w:t xml:space="preserve"> </w:t>
      </w:r>
      <w:r w:rsidRPr="00707477">
        <w:rPr>
          <w:rFonts w:asciiTheme="majorHAnsi" w:hAnsiTheme="majorHAnsi" w:cstheme="majorHAnsi"/>
        </w:rPr>
        <w:t xml:space="preserve">mimoriadnych štipendií, záujem </w:t>
      </w:r>
      <w:r w:rsidRPr="00707477">
        <w:rPr>
          <w:rFonts w:asciiTheme="majorHAnsi" w:hAnsiTheme="majorHAnsi" w:cstheme="majorHAnsi"/>
        </w:rPr>
        <w:lastRenderedPageBreak/>
        <w:t>o štúdium</w:t>
      </w:r>
      <w:r w:rsidRPr="00707477">
        <w:rPr>
          <w:rFonts w:asciiTheme="majorHAnsi" w:hAnsiTheme="majorHAnsi" w:cstheme="majorHAnsi"/>
          <w:b/>
        </w:rPr>
        <w:t xml:space="preserve"> </w:t>
      </w:r>
      <w:r w:rsidRPr="00707477">
        <w:rPr>
          <w:rFonts w:asciiTheme="majorHAnsi" w:hAnsiTheme="majorHAnsi" w:cstheme="majorHAnsi"/>
        </w:rPr>
        <w:t xml:space="preserve">na STU zo strany ukrajinských študentov riešila formou akademickej mobility, od začiatku akademického roka 2022/2023 boli niektorí zo študentov zapísaní na riadne štúdium zmenou študijného programu. V prijímacom konaní výrazne narástol počet uchádzačov, najmä ukrajinských stredoškolákov, o štúdium na prvom stupni. Prihlášku podalo celkovo 2 424 uchádzačov z Ukrajiny, zapísalo sa spolu 950 prijatých uchádzačov. </w:t>
      </w:r>
      <w:r w:rsidRPr="00707477">
        <w:rPr>
          <w:rFonts w:asciiTheme="majorHAnsi" w:eastAsia="Times New Roman" w:hAnsiTheme="majorHAnsi" w:cstheme="majorHAnsi"/>
          <w:color w:val="222222"/>
          <w:lang w:eastAsia="sk-SK"/>
        </w:rPr>
        <w:t xml:space="preserve">Výučba ukrajinských študentov je napriek podporným adaptačným opatreniam a kurzom pre jazykovú bariéru zložitá, študenti majú problém splniť podmienky absolvovať predmety a postúpiť. </w:t>
      </w:r>
      <w:r w:rsidRPr="00707477">
        <w:rPr>
          <w:rFonts w:asciiTheme="majorHAnsi" w:hAnsiTheme="majorHAnsi" w:cstheme="majorHAnsi"/>
        </w:rPr>
        <w:t xml:space="preserve">STU preto bude požadovať ako ďalšiu z podmienok prijímania na štúdium študijných programov všetkých stupňov znalosť jazyka uskutočňovania študijného programu, na ktorý si uchádzač podá prihlášku, minimálne na úrovni B1. </w:t>
      </w:r>
    </w:p>
    <w:p w14:paraId="214CBC8A" w14:textId="77777777" w:rsidR="00707477" w:rsidRPr="00707477" w:rsidRDefault="00707477" w:rsidP="00707477">
      <w:pPr>
        <w:tabs>
          <w:tab w:val="left" w:pos="9356"/>
        </w:tabs>
        <w:spacing w:after="120"/>
        <w:jc w:val="both"/>
        <w:rPr>
          <w:rFonts w:asciiTheme="majorHAnsi" w:hAnsiTheme="majorHAnsi" w:cstheme="majorHAnsi"/>
        </w:rPr>
      </w:pPr>
      <w:r w:rsidRPr="00707477">
        <w:rPr>
          <w:rFonts w:asciiTheme="majorHAnsi" w:hAnsiTheme="majorHAnsi" w:cstheme="majorHAnsi"/>
        </w:rPr>
        <w:t xml:space="preserve">V akademickom roku 2021/2022 sa </w:t>
      </w:r>
      <w:r w:rsidRPr="00707477">
        <w:rPr>
          <w:rFonts w:asciiTheme="majorHAnsi" w:hAnsiTheme="majorHAnsi" w:cstheme="majorHAnsi"/>
          <w:b/>
        </w:rPr>
        <w:t>uskutočňovala výučba celkovo v</w:t>
      </w:r>
      <w:r w:rsidRPr="00707477">
        <w:rPr>
          <w:rFonts w:asciiTheme="majorHAnsi" w:hAnsiTheme="majorHAnsi" w:cstheme="majorHAnsi"/>
        </w:rPr>
        <w:t xml:space="preserve"> </w:t>
      </w:r>
      <w:r w:rsidRPr="00707477">
        <w:rPr>
          <w:rFonts w:asciiTheme="majorHAnsi" w:hAnsiTheme="majorHAnsi" w:cstheme="majorHAnsi"/>
          <w:b/>
        </w:rPr>
        <w:t>167 študijných programoch v dennej forme štúdia</w:t>
      </w:r>
      <w:r w:rsidRPr="00707477">
        <w:rPr>
          <w:rFonts w:asciiTheme="majorHAnsi" w:hAnsiTheme="majorHAnsi" w:cstheme="majorHAnsi"/>
        </w:rPr>
        <w:t xml:space="preserve"> v slovenskom jazyku alebo v jeho kombinácii s anglickým jazykom, resp. slovenského jazyka s anglickým a českým, v</w:t>
      </w:r>
      <w:r w:rsidRPr="00707477">
        <w:rPr>
          <w:rFonts w:asciiTheme="majorHAnsi" w:hAnsiTheme="majorHAnsi" w:cstheme="majorHAnsi"/>
          <w:b/>
        </w:rPr>
        <w:t> externej forme štúdia a uskutočňovala výučba len na treťom stupni v 43 študijných programoch</w:t>
      </w:r>
      <w:r w:rsidRPr="00707477">
        <w:rPr>
          <w:rFonts w:asciiTheme="majorHAnsi" w:hAnsiTheme="majorHAnsi" w:cstheme="majorHAnsi"/>
        </w:rPr>
        <w:t xml:space="preserve">. </w:t>
      </w:r>
      <w:r w:rsidRPr="00707477">
        <w:rPr>
          <w:rFonts w:asciiTheme="majorHAnsi" w:hAnsiTheme="majorHAnsi" w:cstheme="majorHAnsi"/>
          <w:b/>
        </w:rPr>
        <w:t>V anglickom jazyku</w:t>
      </w:r>
      <w:r w:rsidRPr="00707477">
        <w:rPr>
          <w:rFonts w:asciiTheme="majorHAnsi" w:hAnsiTheme="majorHAnsi" w:cstheme="majorHAnsi"/>
        </w:rPr>
        <w:t xml:space="preserve"> sa uskutočňovala výučba celkovo v 21 študijných programoch. </w:t>
      </w:r>
    </w:p>
    <w:p w14:paraId="17E9CD4E" w14:textId="77777777" w:rsidR="00707477" w:rsidRPr="00707477" w:rsidRDefault="00707477" w:rsidP="00707477">
      <w:pPr>
        <w:tabs>
          <w:tab w:val="left" w:pos="9356"/>
        </w:tabs>
        <w:spacing w:after="120"/>
        <w:jc w:val="both"/>
        <w:rPr>
          <w:rFonts w:asciiTheme="majorHAnsi" w:hAnsiTheme="majorHAnsi" w:cstheme="majorHAnsi"/>
        </w:rPr>
      </w:pPr>
      <w:r w:rsidRPr="00707477">
        <w:rPr>
          <w:rFonts w:asciiTheme="majorHAnsi" w:hAnsiTheme="majorHAnsi" w:cstheme="majorHAnsi"/>
          <w:b/>
        </w:rPr>
        <w:t>Po zosúladení študijných programov</w:t>
      </w:r>
      <w:r w:rsidRPr="00707477">
        <w:rPr>
          <w:rFonts w:asciiTheme="majorHAnsi" w:hAnsiTheme="majorHAnsi" w:cstheme="majorHAnsi"/>
        </w:rPr>
        <w:t xml:space="preserve"> mala STU na konci akademického roku 2021/2022 celkovo </w:t>
      </w:r>
      <w:r w:rsidRPr="00707477">
        <w:rPr>
          <w:rFonts w:asciiTheme="majorHAnsi" w:hAnsiTheme="majorHAnsi" w:cstheme="majorHAnsi"/>
          <w:b/>
        </w:rPr>
        <w:t xml:space="preserve">202 </w:t>
      </w:r>
      <w:r w:rsidRPr="00707477">
        <w:rPr>
          <w:rFonts w:asciiTheme="majorHAnsi" w:hAnsiTheme="majorHAnsi" w:cstheme="majorHAnsi"/>
        </w:rPr>
        <w:t>akreditovaných</w:t>
      </w:r>
      <w:r w:rsidRPr="00707477">
        <w:rPr>
          <w:rFonts w:asciiTheme="majorHAnsi" w:hAnsiTheme="majorHAnsi" w:cstheme="majorHAnsi"/>
          <w:b/>
        </w:rPr>
        <w:t xml:space="preserve"> </w:t>
      </w:r>
      <w:r w:rsidRPr="00707477">
        <w:rPr>
          <w:rFonts w:asciiTheme="majorHAnsi" w:hAnsiTheme="majorHAnsi" w:cstheme="majorHAnsi"/>
        </w:rPr>
        <w:t xml:space="preserve">študijných programov uskutočňovaných </w:t>
      </w:r>
      <w:r w:rsidRPr="00707477">
        <w:rPr>
          <w:rFonts w:asciiTheme="majorHAnsi" w:hAnsiTheme="majorHAnsi" w:cstheme="majorHAnsi"/>
          <w:b/>
        </w:rPr>
        <w:t>v štátnom jazyku</w:t>
      </w:r>
      <w:r w:rsidRPr="00707477">
        <w:rPr>
          <w:rFonts w:asciiTheme="majorHAnsi" w:hAnsiTheme="majorHAnsi" w:cstheme="majorHAnsi"/>
        </w:rPr>
        <w:t xml:space="preserve"> a  </w:t>
      </w:r>
      <w:r w:rsidRPr="00707477">
        <w:rPr>
          <w:rFonts w:asciiTheme="majorHAnsi" w:hAnsiTheme="majorHAnsi" w:cstheme="majorHAnsi"/>
          <w:b/>
        </w:rPr>
        <w:t>122</w:t>
      </w:r>
      <w:r w:rsidRPr="00707477">
        <w:rPr>
          <w:rFonts w:asciiTheme="majorHAnsi" w:hAnsiTheme="majorHAnsi" w:cstheme="majorHAnsi"/>
        </w:rPr>
        <w:t xml:space="preserve"> študijných programov</w:t>
      </w:r>
      <w:r w:rsidRPr="00707477">
        <w:rPr>
          <w:rFonts w:asciiTheme="majorHAnsi" w:hAnsiTheme="majorHAnsi" w:cstheme="majorHAnsi"/>
          <w:b/>
        </w:rPr>
        <w:t xml:space="preserve"> výlučne v anglickom jazyku</w:t>
      </w:r>
      <w:r w:rsidRPr="00707477">
        <w:rPr>
          <w:rFonts w:asciiTheme="majorHAnsi" w:hAnsiTheme="majorHAnsi" w:cstheme="majorHAnsi"/>
        </w:rPr>
        <w:t xml:space="preserve"> v rámci všetkých troch stupňov štúdia v </w:t>
      </w:r>
      <w:r w:rsidRPr="00707477">
        <w:rPr>
          <w:rFonts w:asciiTheme="majorHAnsi" w:hAnsiTheme="majorHAnsi" w:cstheme="majorHAnsi"/>
          <w:b/>
        </w:rPr>
        <w:t>17 študijných odboroch</w:t>
      </w:r>
      <w:r w:rsidRPr="00707477">
        <w:rPr>
          <w:rFonts w:asciiTheme="majorHAnsi" w:hAnsiTheme="majorHAnsi" w:cstheme="majorHAnsi"/>
        </w:rPr>
        <w:t xml:space="preserve"> - na prvom stupni štúdia 52, na druhom stupni 52 a na treťom stupni štúdia 51 študijných programov v dennej forme štúdia a 47 v externej forme štúdia v štátnom jazyku. Z celkového počtu akreditovaných študijných programov v štátnom jazyku bolo </w:t>
      </w:r>
      <w:r w:rsidRPr="00707477">
        <w:rPr>
          <w:rFonts w:asciiTheme="majorHAnsi" w:hAnsiTheme="majorHAnsi" w:cstheme="majorHAnsi"/>
          <w:b/>
        </w:rPr>
        <w:t xml:space="preserve">67 nových </w:t>
      </w:r>
      <w:r w:rsidRPr="00707477">
        <w:rPr>
          <w:rFonts w:asciiTheme="majorHAnsi" w:hAnsiTheme="majorHAnsi" w:cstheme="majorHAnsi"/>
        </w:rPr>
        <w:t>(nie je možné ich upravovať)</w:t>
      </w:r>
      <w:r w:rsidRPr="00707477">
        <w:rPr>
          <w:rFonts w:asciiTheme="majorHAnsi" w:hAnsiTheme="majorHAnsi" w:cstheme="majorHAnsi"/>
          <w:b/>
        </w:rPr>
        <w:t xml:space="preserve"> </w:t>
      </w:r>
      <w:r w:rsidRPr="00707477">
        <w:rPr>
          <w:rFonts w:asciiTheme="majorHAnsi" w:hAnsiTheme="majorHAnsi" w:cstheme="majorHAnsi"/>
        </w:rPr>
        <w:t>a </w:t>
      </w:r>
      <w:r w:rsidRPr="00707477">
        <w:rPr>
          <w:rFonts w:asciiTheme="majorHAnsi" w:hAnsiTheme="majorHAnsi" w:cstheme="majorHAnsi"/>
          <w:b/>
        </w:rPr>
        <w:t>135</w:t>
      </w:r>
      <w:r w:rsidRPr="00707477">
        <w:rPr>
          <w:rFonts w:asciiTheme="majorHAnsi" w:hAnsiTheme="majorHAnsi" w:cstheme="majorHAnsi"/>
        </w:rPr>
        <w:t xml:space="preserve"> </w:t>
      </w:r>
      <w:r w:rsidRPr="00707477">
        <w:rPr>
          <w:rFonts w:asciiTheme="majorHAnsi" w:hAnsiTheme="majorHAnsi" w:cstheme="majorHAnsi"/>
          <w:b/>
        </w:rPr>
        <w:t>existujúcich</w:t>
      </w:r>
      <w:r w:rsidRPr="00707477">
        <w:rPr>
          <w:rFonts w:asciiTheme="majorHAnsi" w:hAnsiTheme="majorHAnsi" w:cstheme="majorHAnsi"/>
        </w:rPr>
        <w:t xml:space="preserve"> (reakreditované, je možné ich upravovať). STU má jeden </w:t>
      </w:r>
      <w:r w:rsidRPr="00707477">
        <w:rPr>
          <w:rFonts w:asciiTheme="majorHAnsi" w:hAnsiTheme="majorHAnsi" w:cstheme="majorHAnsi"/>
          <w:b/>
        </w:rPr>
        <w:t xml:space="preserve">profesijne orientovaný bakalársky študijný program </w:t>
      </w:r>
      <w:r w:rsidRPr="00707477">
        <w:rPr>
          <w:rFonts w:asciiTheme="majorHAnsi" w:hAnsiTheme="majorHAnsi" w:cstheme="majorHAnsi"/>
        </w:rPr>
        <w:t xml:space="preserve">„prevádzkový technik dopravnej a výrobnej techniky“ uskutočňovaný na SjF. </w:t>
      </w:r>
    </w:p>
    <w:p w14:paraId="7F75F4A3" w14:textId="77777777" w:rsidR="00707477" w:rsidRPr="00707477" w:rsidRDefault="00707477" w:rsidP="00707477">
      <w:pPr>
        <w:tabs>
          <w:tab w:val="left" w:pos="9356"/>
        </w:tabs>
        <w:spacing w:after="120"/>
        <w:jc w:val="both"/>
        <w:rPr>
          <w:rFonts w:asciiTheme="majorHAnsi" w:hAnsiTheme="majorHAnsi" w:cstheme="majorHAnsi"/>
          <w:b/>
        </w:rPr>
      </w:pPr>
      <w:r w:rsidRPr="00707477">
        <w:rPr>
          <w:rFonts w:asciiTheme="majorHAnsi" w:hAnsiTheme="majorHAnsi" w:cstheme="majorHAnsi"/>
          <w:b/>
        </w:rPr>
        <w:t xml:space="preserve">Celkový počet študentov </w:t>
      </w:r>
      <w:r w:rsidRPr="00707477">
        <w:rPr>
          <w:rFonts w:asciiTheme="majorHAnsi" w:hAnsiTheme="majorHAnsi" w:cstheme="majorHAnsi"/>
        </w:rPr>
        <w:t>na STU v akademickom roku 2021/2022 bol</w:t>
      </w:r>
      <w:r w:rsidRPr="00707477">
        <w:rPr>
          <w:rFonts w:asciiTheme="majorHAnsi" w:hAnsiTheme="majorHAnsi" w:cstheme="majorHAnsi"/>
          <w:b/>
        </w:rPr>
        <w:t xml:space="preserve"> 10 543</w:t>
      </w:r>
      <w:r w:rsidRPr="00707477">
        <w:rPr>
          <w:rFonts w:asciiTheme="majorHAnsi" w:hAnsiTheme="majorHAnsi" w:cstheme="majorHAnsi"/>
        </w:rPr>
        <w:t xml:space="preserve">, z toho na prvom stupni 6 842, na druhom stupni 2 923 a na treťom stupni 778, z toho 608 v dennej forme a 170 v externej forme štúdia. V porovnaní s akademickým rokom 2020/2021 STU zaznamenala </w:t>
      </w:r>
      <w:r w:rsidRPr="00707477">
        <w:rPr>
          <w:rFonts w:asciiTheme="majorHAnsi" w:hAnsiTheme="majorHAnsi" w:cstheme="majorHAnsi"/>
          <w:b/>
        </w:rPr>
        <w:t xml:space="preserve">celkový pokles študentov o 1 %, </w:t>
      </w:r>
      <w:r w:rsidRPr="00707477">
        <w:rPr>
          <w:rFonts w:asciiTheme="majorHAnsi" w:hAnsiTheme="majorHAnsi" w:cstheme="majorHAnsi"/>
        </w:rPr>
        <w:t xml:space="preserve">hoci </w:t>
      </w:r>
      <w:r w:rsidRPr="00707477">
        <w:rPr>
          <w:rFonts w:asciiTheme="majorHAnsi" w:hAnsiTheme="majorHAnsi" w:cstheme="majorHAnsi"/>
          <w:b/>
        </w:rPr>
        <w:t>na treťom stupni štúdia</w:t>
      </w:r>
      <w:r w:rsidRPr="00707477">
        <w:rPr>
          <w:rFonts w:asciiTheme="majorHAnsi" w:hAnsiTheme="majorHAnsi" w:cstheme="majorHAnsi"/>
        </w:rPr>
        <w:t xml:space="preserve"> bol v akademickom roku 2021/2022 zaznamenaný</w:t>
      </w:r>
      <w:r w:rsidRPr="00707477">
        <w:rPr>
          <w:rFonts w:asciiTheme="majorHAnsi" w:hAnsiTheme="majorHAnsi" w:cstheme="majorHAnsi"/>
          <w:b/>
        </w:rPr>
        <w:t xml:space="preserve"> mierny medziročný nárast </w:t>
      </w:r>
      <w:r w:rsidRPr="00707477">
        <w:rPr>
          <w:rFonts w:asciiTheme="majorHAnsi" w:hAnsiTheme="majorHAnsi" w:cstheme="majorHAnsi"/>
        </w:rPr>
        <w:t>počtu študentov</w:t>
      </w:r>
      <w:r w:rsidRPr="00707477">
        <w:rPr>
          <w:rFonts w:asciiTheme="majorHAnsi" w:hAnsiTheme="majorHAnsi" w:cstheme="majorHAnsi"/>
          <w:b/>
        </w:rPr>
        <w:t xml:space="preserve"> o necelé 4 %.</w:t>
      </w:r>
    </w:p>
    <w:p w14:paraId="6B37001B" w14:textId="77777777" w:rsidR="00707477" w:rsidRPr="00707477" w:rsidRDefault="00707477" w:rsidP="00707477">
      <w:pPr>
        <w:tabs>
          <w:tab w:val="left" w:pos="9356"/>
          <w:tab w:val="left" w:pos="9498"/>
        </w:tabs>
        <w:jc w:val="both"/>
        <w:rPr>
          <w:rFonts w:asciiTheme="majorHAnsi" w:hAnsiTheme="majorHAnsi" w:cstheme="majorHAnsi"/>
        </w:rPr>
      </w:pPr>
      <w:r w:rsidRPr="00707477">
        <w:rPr>
          <w:rFonts w:asciiTheme="majorHAnsi" w:hAnsiTheme="majorHAnsi" w:cstheme="majorHAnsi"/>
          <w:b/>
        </w:rPr>
        <w:t>V prijímacom konaní 2022/2023 sa do prvých ročníkov celkovo zapísalo 5 167 nových študentov;</w:t>
      </w:r>
      <w:r w:rsidRPr="00707477">
        <w:rPr>
          <w:rFonts w:asciiTheme="majorHAnsi" w:hAnsiTheme="majorHAnsi" w:cstheme="majorHAnsi"/>
        </w:rPr>
        <w:t xml:space="preserve"> na prvom stupni 3 491 študentov, 1 510 študentov na druhom stupni štúdia a na treťom stupni štúdia 166 študentov. Oproti akademickému roku 2021/2022 to znamená </w:t>
      </w:r>
      <w:r w:rsidRPr="00707477">
        <w:rPr>
          <w:rFonts w:asciiTheme="majorHAnsi" w:hAnsiTheme="majorHAnsi" w:cstheme="majorHAnsi"/>
          <w:b/>
        </w:rPr>
        <w:t>nárast o 25 %</w:t>
      </w:r>
      <w:r w:rsidRPr="00707477">
        <w:rPr>
          <w:rFonts w:asciiTheme="majorHAnsi" w:hAnsiTheme="majorHAnsi" w:cstheme="majorHAnsi"/>
        </w:rPr>
        <w:t xml:space="preserve"> na prvom stupni štúdia, pokles </w:t>
      </w:r>
      <w:r w:rsidRPr="00707477">
        <w:rPr>
          <w:rFonts w:asciiTheme="majorHAnsi" w:hAnsiTheme="majorHAnsi" w:cstheme="majorHAnsi"/>
          <w:b/>
        </w:rPr>
        <w:t>o 4 %</w:t>
      </w:r>
      <w:r w:rsidRPr="00707477">
        <w:rPr>
          <w:rFonts w:asciiTheme="majorHAnsi" w:hAnsiTheme="majorHAnsi" w:cstheme="majorHAnsi"/>
        </w:rPr>
        <w:t xml:space="preserve"> na druhom stupni a </w:t>
      </w:r>
      <w:r w:rsidRPr="00707477">
        <w:rPr>
          <w:rFonts w:asciiTheme="majorHAnsi" w:hAnsiTheme="majorHAnsi" w:cstheme="majorHAnsi"/>
          <w:b/>
        </w:rPr>
        <w:t xml:space="preserve">o 20 % </w:t>
      </w:r>
      <w:r w:rsidRPr="00707477">
        <w:rPr>
          <w:rFonts w:asciiTheme="majorHAnsi" w:hAnsiTheme="majorHAnsi" w:cstheme="majorHAnsi"/>
        </w:rPr>
        <w:t>na</w:t>
      </w:r>
      <w:r w:rsidRPr="00707477">
        <w:rPr>
          <w:rFonts w:asciiTheme="majorHAnsi" w:hAnsiTheme="majorHAnsi" w:cstheme="majorHAnsi"/>
          <w:b/>
        </w:rPr>
        <w:t xml:space="preserve"> </w:t>
      </w:r>
      <w:r w:rsidRPr="00707477">
        <w:rPr>
          <w:rFonts w:asciiTheme="majorHAnsi" w:hAnsiTheme="majorHAnsi" w:cstheme="majorHAnsi"/>
        </w:rPr>
        <w:t xml:space="preserve">treťom stupni štúdia. </w:t>
      </w:r>
    </w:p>
    <w:p w14:paraId="380C056B" w14:textId="77777777" w:rsidR="00707477" w:rsidRPr="00707477" w:rsidRDefault="00707477" w:rsidP="00707477">
      <w:pPr>
        <w:tabs>
          <w:tab w:val="left" w:pos="9356"/>
          <w:tab w:val="left" w:pos="9498"/>
        </w:tabs>
        <w:jc w:val="both"/>
        <w:rPr>
          <w:rFonts w:asciiTheme="majorHAnsi" w:hAnsiTheme="majorHAnsi" w:cstheme="majorHAnsi"/>
        </w:rPr>
      </w:pPr>
    </w:p>
    <w:p w14:paraId="4038AC38" w14:textId="77777777" w:rsidR="00707477" w:rsidRPr="00707477" w:rsidRDefault="00707477" w:rsidP="00707477">
      <w:pPr>
        <w:tabs>
          <w:tab w:val="left" w:pos="9356"/>
          <w:tab w:val="left" w:pos="9498"/>
        </w:tabs>
        <w:jc w:val="both"/>
        <w:rPr>
          <w:rFonts w:asciiTheme="majorHAnsi" w:hAnsiTheme="majorHAnsi" w:cstheme="majorHAnsi"/>
        </w:rPr>
      </w:pPr>
      <w:r w:rsidRPr="00707477">
        <w:rPr>
          <w:rFonts w:asciiTheme="majorHAnsi" w:hAnsiTheme="majorHAnsi" w:cstheme="majorHAnsi"/>
          <w:b/>
        </w:rPr>
        <w:t xml:space="preserve">Celoslovenský charakter STU </w:t>
      </w:r>
      <w:r w:rsidRPr="00707477">
        <w:rPr>
          <w:rFonts w:asciiTheme="majorHAnsi" w:hAnsiTheme="majorHAnsi" w:cstheme="majorHAnsi"/>
        </w:rPr>
        <w:t xml:space="preserve">dokumentuje fakt, že len 18,7 % študentov je z Bratislavského kraja (z Trnavského kraja, kde má sídlo MTF STU, je 16,3 % študentov). </w:t>
      </w:r>
    </w:p>
    <w:p w14:paraId="5933ABB8" w14:textId="77777777" w:rsidR="00707477" w:rsidRPr="00707477" w:rsidRDefault="00707477" w:rsidP="00707477">
      <w:pPr>
        <w:tabs>
          <w:tab w:val="left" w:pos="9356"/>
        </w:tabs>
        <w:spacing w:after="120"/>
        <w:jc w:val="both"/>
        <w:rPr>
          <w:rFonts w:asciiTheme="majorHAnsi" w:hAnsiTheme="majorHAnsi" w:cstheme="majorHAnsi"/>
        </w:rPr>
      </w:pPr>
      <w:r w:rsidRPr="00707477">
        <w:rPr>
          <w:rFonts w:asciiTheme="majorHAnsi" w:hAnsiTheme="majorHAnsi" w:cstheme="majorHAnsi"/>
          <w:b/>
        </w:rPr>
        <w:t>Zahraničných študentov</w:t>
      </w:r>
      <w:r w:rsidRPr="00707477">
        <w:rPr>
          <w:rFonts w:asciiTheme="majorHAnsi" w:hAnsiTheme="majorHAnsi" w:cstheme="majorHAnsi"/>
        </w:rPr>
        <w:t xml:space="preserve"> riadneho štúdia v porovnaní s akademickým rokom 2020/2021 </w:t>
      </w:r>
      <w:r w:rsidRPr="00707477">
        <w:rPr>
          <w:rFonts w:asciiTheme="majorHAnsi" w:hAnsiTheme="majorHAnsi" w:cstheme="majorHAnsi"/>
          <w:b/>
        </w:rPr>
        <w:t>pribudlo o</w:t>
      </w:r>
      <w:r w:rsidRPr="00707477">
        <w:rPr>
          <w:rFonts w:asciiTheme="majorHAnsi" w:hAnsiTheme="majorHAnsi" w:cstheme="majorHAnsi"/>
        </w:rPr>
        <w:t xml:space="preserve"> </w:t>
      </w:r>
      <w:r w:rsidRPr="00707477">
        <w:rPr>
          <w:rFonts w:asciiTheme="majorHAnsi" w:hAnsiTheme="majorHAnsi" w:cstheme="majorHAnsi"/>
          <w:b/>
        </w:rPr>
        <w:t>34 %,</w:t>
      </w:r>
      <w:r w:rsidRPr="00707477">
        <w:rPr>
          <w:rFonts w:asciiTheme="majorHAnsi" w:hAnsiTheme="majorHAnsi" w:cstheme="majorHAnsi"/>
        </w:rPr>
        <w:t xml:space="preserve"> v akademickom roku 2021/2022 ich bolo </w:t>
      </w:r>
      <w:r w:rsidRPr="00707477">
        <w:rPr>
          <w:rFonts w:asciiTheme="majorHAnsi" w:hAnsiTheme="majorHAnsi" w:cstheme="majorHAnsi"/>
          <w:b/>
        </w:rPr>
        <w:t>9,4 %</w:t>
      </w:r>
      <w:r w:rsidRPr="00707477">
        <w:rPr>
          <w:rFonts w:asciiTheme="majorHAnsi" w:hAnsiTheme="majorHAnsi" w:cstheme="majorHAnsi"/>
        </w:rPr>
        <w:t xml:space="preserve"> z celkového počtu študentov STU, najviac z Ukrajiny (489 z celkového počtu 987 zahraničných študentov).</w:t>
      </w:r>
    </w:p>
    <w:p w14:paraId="2E4FA7B5" w14:textId="77777777" w:rsidR="00707477" w:rsidRPr="00707477" w:rsidRDefault="00707477" w:rsidP="00707477">
      <w:pPr>
        <w:tabs>
          <w:tab w:val="left" w:pos="9356"/>
        </w:tabs>
        <w:spacing w:after="120"/>
        <w:jc w:val="both"/>
        <w:rPr>
          <w:rFonts w:asciiTheme="majorHAnsi" w:hAnsiTheme="majorHAnsi" w:cstheme="majorHAnsi"/>
        </w:rPr>
      </w:pPr>
      <w:r w:rsidRPr="00707477">
        <w:rPr>
          <w:rFonts w:asciiTheme="majorHAnsi" w:hAnsiTheme="majorHAnsi" w:cstheme="majorHAnsi"/>
        </w:rPr>
        <w:t xml:space="preserve">V rámci </w:t>
      </w:r>
      <w:r w:rsidRPr="00707477">
        <w:rPr>
          <w:rFonts w:asciiTheme="majorHAnsi" w:hAnsiTheme="majorHAnsi" w:cstheme="majorHAnsi"/>
          <w:b/>
        </w:rPr>
        <w:t>medzinárodných akademických mobilít</w:t>
      </w:r>
      <w:r w:rsidRPr="00707477">
        <w:rPr>
          <w:rFonts w:asciiTheme="majorHAnsi" w:hAnsiTheme="majorHAnsi" w:cstheme="majorHAnsi"/>
        </w:rPr>
        <w:t xml:space="preserve"> bol zaznamenaný </w:t>
      </w:r>
      <w:r w:rsidRPr="00707477">
        <w:rPr>
          <w:rFonts w:asciiTheme="majorHAnsi" w:hAnsiTheme="majorHAnsi" w:cstheme="majorHAnsi"/>
          <w:b/>
        </w:rPr>
        <w:t xml:space="preserve">nárast </w:t>
      </w:r>
      <w:r w:rsidRPr="00707477">
        <w:rPr>
          <w:rFonts w:asciiTheme="majorHAnsi" w:hAnsiTheme="majorHAnsi" w:cstheme="majorHAnsi"/>
        </w:rPr>
        <w:t xml:space="preserve">prijatých študentov o 37 % a vyslaných o 67 % oproti akademickému roku 2020/2021. </w:t>
      </w:r>
    </w:p>
    <w:p w14:paraId="40E199E1" w14:textId="77777777" w:rsidR="00707477" w:rsidRPr="00707477" w:rsidRDefault="00707477" w:rsidP="00707477">
      <w:pPr>
        <w:shd w:val="clear" w:color="auto" w:fill="FFFFFF"/>
        <w:tabs>
          <w:tab w:val="left" w:pos="9356"/>
        </w:tabs>
        <w:spacing w:after="120"/>
        <w:jc w:val="both"/>
        <w:rPr>
          <w:rFonts w:asciiTheme="majorHAnsi" w:hAnsiTheme="majorHAnsi" w:cstheme="majorHAnsi"/>
        </w:rPr>
      </w:pPr>
      <w:r w:rsidRPr="00707477">
        <w:rPr>
          <w:rFonts w:asciiTheme="majorHAnsi" w:hAnsiTheme="majorHAnsi" w:cstheme="majorHAnsi"/>
          <w:shd w:val="clear" w:color="auto" w:fill="FFFFFF"/>
        </w:rPr>
        <w:t xml:space="preserve">V akademickom roku 2021/2022 na STU riadne </w:t>
      </w:r>
      <w:r w:rsidRPr="00707477">
        <w:rPr>
          <w:rFonts w:asciiTheme="majorHAnsi" w:hAnsiTheme="majorHAnsi" w:cstheme="majorHAnsi"/>
          <w:b/>
          <w:shd w:val="clear" w:color="auto" w:fill="FFFFFF"/>
        </w:rPr>
        <w:t>skončilo štúdium 2 689 absolventov</w:t>
      </w:r>
      <w:r w:rsidRPr="00707477">
        <w:rPr>
          <w:rFonts w:asciiTheme="majorHAnsi" w:hAnsiTheme="majorHAnsi" w:cstheme="majorHAnsi"/>
          <w:shd w:val="clear" w:color="auto" w:fill="FFFFFF"/>
        </w:rPr>
        <w:t>, z toho na prvom stupni 1 386 absolventov, na druhom stupni 1 172 absolventov a na treťom stupni 131 absolventov, z toho 109 v dennej forme a 22 v externej forme štúdia</w:t>
      </w:r>
      <w:r w:rsidRPr="00707477">
        <w:rPr>
          <w:rFonts w:asciiTheme="majorHAnsi" w:hAnsiTheme="majorHAnsi" w:cstheme="majorHAnsi"/>
        </w:rPr>
        <w:t xml:space="preserve">. </w:t>
      </w:r>
    </w:p>
    <w:p w14:paraId="29D91F63" w14:textId="77777777" w:rsidR="00707477" w:rsidRPr="00707477" w:rsidRDefault="00707477" w:rsidP="00707477">
      <w:pPr>
        <w:shd w:val="clear" w:color="auto" w:fill="FFFFFF"/>
        <w:tabs>
          <w:tab w:val="left" w:pos="9356"/>
        </w:tabs>
        <w:spacing w:after="120"/>
        <w:jc w:val="both"/>
        <w:rPr>
          <w:rFonts w:asciiTheme="majorHAnsi" w:hAnsiTheme="majorHAnsi" w:cstheme="majorHAnsi"/>
        </w:rPr>
      </w:pPr>
      <w:r w:rsidRPr="00707477">
        <w:rPr>
          <w:rFonts w:asciiTheme="majorHAnsi" w:hAnsiTheme="majorHAnsi" w:cstheme="majorHAnsi"/>
          <w:b/>
        </w:rPr>
        <w:lastRenderedPageBreak/>
        <w:t xml:space="preserve">STU patrí medzi tri najúspešnejšie vysoké školy na Slovensku v uplatniteľnosti absolventov. </w:t>
      </w:r>
    </w:p>
    <w:p w14:paraId="0995D9DB" w14:textId="77777777" w:rsidR="00707477" w:rsidRPr="00707477" w:rsidRDefault="00707477" w:rsidP="00707477">
      <w:pPr>
        <w:tabs>
          <w:tab w:val="left" w:pos="9356"/>
        </w:tabs>
        <w:spacing w:after="120"/>
        <w:jc w:val="both"/>
        <w:rPr>
          <w:rFonts w:asciiTheme="majorHAnsi" w:hAnsiTheme="majorHAnsi" w:cstheme="majorHAnsi"/>
        </w:rPr>
      </w:pPr>
      <w:r w:rsidRPr="00707477">
        <w:rPr>
          <w:rFonts w:asciiTheme="majorHAnsi" w:hAnsiTheme="majorHAnsi" w:cstheme="majorHAnsi"/>
          <w:b/>
        </w:rPr>
        <w:t>Študenti STU získali</w:t>
      </w:r>
      <w:r w:rsidRPr="00707477">
        <w:rPr>
          <w:rFonts w:asciiTheme="majorHAnsi" w:hAnsiTheme="majorHAnsi" w:cstheme="majorHAnsi"/>
        </w:rPr>
        <w:t xml:space="preserve"> v akademickom roku 2021/2022 </w:t>
      </w:r>
      <w:r w:rsidRPr="00707477">
        <w:rPr>
          <w:rFonts w:asciiTheme="majorHAnsi" w:hAnsiTheme="majorHAnsi" w:cstheme="majorHAnsi"/>
          <w:b/>
        </w:rPr>
        <w:t xml:space="preserve">spolu 152 významných ocenení na národnej úrovni mimo univerzity a 22 ocenení na medzinárodnej úrovni. </w:t>
      </w:r>
    </w:p>
    <w:p w14:paraId="54D36593" w14:textId="77777777" w:rsidR="00707477" w:rsidRPr="00707477" w:rsidRDefault="00707477" w:rsidP="00707477">
      <w:pPr>
        <w:jc w:val="both"/>
        <w:rPr>
          <w:rFonts w:asciiTheme="majorHAnsi" w:hAnsiTheme="majorHAnsi" w:cstheme="majorHAnsi"/>
        </w:rPr>
      </w:pPr>
      <w:r w:rsidRPr="00707477">
        <w:rPr>
          <w:rFonts w:asciiTheme="majorHAnsi" w:hAnsiTheme="majorHAnsi" w:cstheme="majorHAnsi"/>
          <w:b/>
        </w:rPr>
        <w:t>Slovenská technická univerzita dlhoročne patrí medzi popredné výskumné univerzity</w:t>
      </w:r>
      <w:r w:rsidRPr="00707477">
        <w:rPr>
          <w:rFonts w:asciiTheme="majorHAnsi" w:hAnsiTheme="majorHAnsi" w:cstheme="majorHAnsi"/>
        </w:rPr>
        <w:t xml:space="preserve"> na Slovensku, čo potvrdzuje jej postavenie vo svetových rebríčkoch univerzít. Univerzita sa umiestnila v troch významných svetových rebríčkoch: najlepšie v rebríčku QS World University Rankings® na pozícii 801 – 1000 z 1422 hodnotených univerzít, pričom sa v rebríčku okrem STU umiestnilo ďalších 5 slovenských univerzít. V THE World University Rankings sa STU umiestnila na pozícii 1501 –  1800 z 2345 hodnotených univerzít, pričom sa v rebríčku okrem STU umiestnilo ďalších 8 univerzít. U.S. News Best Global Universities už 30 rokov porovnávajú americké univerzity so svetom. V tomto rebríčku sa umiestnilo päť univerzít zo Slovenska vrátane STU. STU sa umiestnila na druhom mieste z 32 hodnotených univerzít na Slovensku v rebríčku UniRank, ktorý hodnotí kvalitu, dôveryhodnosť a popularitu webov a profilov univerzít na sociálnych sieťach.</w:t>
      </w:r>
    </w:p>
    <w:p w14:paraId="4CEC8906" w14:textId="77777777" w:rsidR="00707477" w:rsidRPr="00707477" w:rsidRDefault="00707477" w:rsidP="00707477">
      <w:pPr>
        <w:jc w:val="both"/>
        <w:rPr>
          <w:rFonts w:asciiTheme="majorHAnsi" w:hAnsiTheme="majorHAnsi" w:cstheme="majorHAnsi"/>
        </w:rPr>
      </w:pPr>
    </w:p>
    <w:p w14:paraId="2951961B" w14:textId="77777777" w:rsidR="00707477" w:rsidRPr="00707477" w:rsidRDefault="00707477" w:rsidP="00707477">
      <w:pPr>
        <w:jc w:val="both"/>
        <w:rPr>
          <w:rFonts w:asciiTheme="majorHAnsi" w:hAnsiTheme="majorHAnsi" w:cstheme="majorHAnsi"/>
        </w:rPr>
      </w:pPr>
      <w:r w:rsidRPr="00707477">
        <w:rPr>
          <w:rFonts w:asciiTheme="majorHAnsi" w:eastAsia="Times New Roman" w:hAnsiTheme="majorHAnsi" w:cstheme="majorHAnsi"/>
          <w:lang w:eastAsia="sk-SK"/>
        </w:rPr>
        <w:t>Koncom novembra 2022</w:t>
      </w:r>
      <w:r w:rsidRPr="00707477">
        <w:rPr>
          <w:rFonts w:asciiTheme="majorHAnsi" w:eastAsia="Times New Roman" w:hAnsiTheme="majorHAnsi" w:cstheme="majorHAnsi"/>
          <w:b/>
          <w:lang w:eastAsia="sk-SK"/>
        </w:rPr>
        <w:t xml:space="preserve"> sa STU úspešne pripojila</w:t>
      </w:r>
      <w:r w:rsidRPr="00707477">
        <w:rPr>
          <w:rFonts w:asciiTheme="majorHAnsi" w:eastAsia="Times New Roman" w:hAnsiTheme="majorHAnsi" w:cstheme="majorHAnsi"/>
          <w:lang w:eastAsia="sk-SK"/>
        </w:rPr>
        <w:t xml:space="preserve"> k vedeckým inštitúciám Európskej Únie, ktoré získali značku </w:t>
      </w:r>
      <w:r w:rsidRPr="00707477">
        <w:rPr>
          <w:rFonts w:asciiTheme="majorHAnsi" w:eastAsia="Times New Roman" w:hAnsiTheme="majorHAnsi" w:cstheme="majorHAnsi"/>
          <w:b/>
          <w:lang w:eastAsia="sk-SK"/>
        </w:rPr>
        <w:t>„HR Excellence in Research“</w:t>
      </w:r>
      <w:r w:rsidRPr="00707477">
        <w:rPr>
          <w:rFonts w:asciiTheme="majorHAnsi" w:eastAsia="Times New Roman" w:hAnsiTheme="majorHAnsi" w:cstheme="majorHAnsi"/>
          <w:lang w:eastAsia="sk-SK"/>
        </w:rPr>
        <w:t>. Ide o </w:t>
      </w:r>
      <w:r w:rsidRPr="00707477">
        <w:rPr>
          <w:rFonts w:asciiTheme="majorHAnsi" w:eastAsia="Times New Roman" w:hAnsiTheme="majorHAnsi" w:cstheme="majorHAnsi"/>
          <w:b/>
          <w:lang w:eastAsia="sk-SK"/>
        </w:rPr>
        <w:t>prestížne ocenenie</w:t>
      </w:r>
      <w:r w:rsidRPr="00707477">
        <w:rPr>
          <w:rFonts w:asciiTheme="majorHAnsi" w:eastAsia="Times New Roman" w:hAnsiTheme="majorHAnsi" w:cstheme="majorHAnsi"/>
          <w:lang w:eastAsia="sk-SK"/>
        </w:rPr>
        <w:t xml:space="preserve"> udeľované Európskou komisiou inštitúciám, ktoré preukázali svoj záväzok dodržiavať 40 princípov a zásad</w:t>
      </w:r>
      <w:r w:rsidRPr="00707477">
        <w:rPr>
          <w:rFonts w:asciiTheme="majorHAnsi" w:hAnsiTheme="majorHAnsi" w:cstheme="majorHAnsi"/>
        </w:rPr>
        <w:t xml:space="preserve"> Európskej charty výskumných pracovníkov a Kódexu správania pre nábor výskumných pracovníkov v rámci Stratégie ľudských zdrojov vo výskume (Human Resources Strategy for Researchers – HRS4R).</w:t>
      </w:r>
    </w:p>
    <w:p w14:paraId="39F84501" w14:textId="77777777" w:rsidR="00707477" w:rsidRPr="00707477" w:rsidRDefault="00707477" w:rsidP="00707477">
      <w:pPr>
        <w:jc w:val="both"/>
        <w:rPr>
          <w:rFonts w:asciiTheme="majorHAnsi" w:hAnsiTheme="majorHAnsi" w:cstheme="majorHAnsi"/>
        </w:rPr>
      </w:pPr>
    </w:p>
    <w:p w14:paraId="047BFDE0" w14:textId="77777777" w:rsidR="00707477" w:rsidRPr="00707477" w:rsidRDefault="00707477" w:rsidP="00707477">
      <w:pPr>
        <w:jc w:val="both"/>
        <w:rPr>
          <w:rFonts w:asciiTheme="majorHAnsi" w:hAnsiTheme="majorHAnsi" w:cstheme="majorHAnsi"/>
        </w:rPr>
      </w:pPr>
      <w:r w:rsidRPr="00707477">
        <w:rPr>
          <w:rFonts w:asciiTheme="majorHAnsi" w:hAnsiTheme="majorHAnsi" w:cstheme="majorHAnsi"/>
          <w:b/>
        </w:rPr>
        <w:t>V domácich výskumných grantoch</w:t>
      </w:r>
      <w:r w:rsidRPr="00707477">
        <w:rPr>
          <w:rFonts w:asciiTheme="majorHAnsi" w:hAnsiTheme="majorHAnsi" w:cstheme="majorHAnsi"/>
        </w:rPr>
        <w:t xml:space="preserve"> spolu 7 vysokých škôl získalo 81 % podiel na získaných finančných prostriedkoch a </w:t>
      </w:r>
      <w:r w:rsidRPr="00707477">
        <w:rPr>
          <w:rFonts w:asciiTheme="majorHAnsi" w:hAnsiTheme="majorHAnsi" w:cstheme="majorHAnsi"/>
          <w:b/>
        </w:rPr>
        <w:t>STU získala 18 % z celkového objemu prostriedkov</w:t>
      </w:r>
      <w:r w:rsidRPr="00707477">
        <w:rPr>
          <w:rFonts w:asciiTheme="majorHAnsi" w:hAnsiTheme="majorHAnsi" w:cstheme="majorHAnsi"/>
        </w:rPr>
        <w:t xml:space="preserve">. V </w:t>
      </w:r>
      <w:r w:rsidRPr="00707477">
        <w:rPr>
          <w:rFonts w:asciiTheme="majorHAnsi" w:hAnsiTheme="majorHAnsi" w:cstheme="majorHAnsi"/>
          <w:b/>
        </w:rPr>
        <w:t>zahraničných výskumných grantoch</w:t>
      </w:r>
      <w:r w:rsidRPr="00707477">
        <w:rPr>
          <w:rFonts w:asciiTheme="majorHAnsi" w:hAnsiTheme="majorHAnsi" w:cstheme="majorHAnsi"/>
        </w:rPr>
        <w:t xml:space="preserve"> sa len 7 vysokých škôl podieľa na 83 % z objemu získaných finančných prostriedkov. </w:t>
      </w:r>
      <w:r w:rsidRPr="00707477">
        <w:rPr>
          <w:rFonts w:asciiTheme="majorHAnsi" w:hAnsiTheme="majorHAnsi" w:cstheme="majorHAnsi"/>
          <w:b/>
        </w:rPr>
        <w:t>STU má 18 % podiel</w:t>
      </w:r>
      <w:r w:rsidRPr="00707477">
        <w:rPr>
          <w:rFonts w:asciiTheme="majorHAnsi" w:hAnsiTheme="majorHAnsi" w:cstheme="majorHAnsi"/>
        </w:rPr>
        <w:t xml:space="preserve">. </w:t>
      </w:r>
    </w:p>
    <w:p w14:paraId="23C72AEE" w14:textId="77777777" w:rsidR="00707477" w:rsidRPr="00707477" w:rsidRDefault="00707477" w:rsidP="00707477">
      <w:pPr>
        <w:jc w:val="both"/>
        <w:rPr>
          <w:rFonts w:asciiTheme="majorHAnsi" w:hAnsiTheme="majorHAnsi" w:cstheme="majorHAnsi"/>
        </w:rPr>
      </w:pPr>
      <w:r w:rsidRPr="00707477">
        <w:rPr>
          <w:rFonts w:asciiTheme="majorHAnsi" w:hAnsiTheme="majorHAnsi" w:cstheme="majorHAnsi"/>
        </w:rPr>
        <w:t xml:space="preserve">STU sa dlhoročne zapája do </w:t>
      </w:r>
      <w:r w:rsidRPr="00707477">
        <w:rPr>
          <w:rFonts w:asciiTheme="majorHAnsi" w:hAnsiTheme="majorHAnsi" w:cstheme="majorHAnsi"/>
          <w:b/>
        </w:rPr>
        <w:t>medzinárodných vedecko-výskumných programov a patrí medzi najúspešnejšie</w:t>
      </w:r>
      <w:r w:rsidRPr="00707477">
        <w:rPr>
          <w:rFonts w:asciiTheme="majorHAnsi" w:hAnsiTheme="majorHAnsi" w:cstheme="majorHAnsi"/>
        </w:rPr>
        <w:t xml:space="preserve"> organizácie na Slovensku </w:t>
      </w:r>
      <w:r w:rsidRPr="00707477">
        <w:rPr>
          <w:rFonts w:asciiTheme="majorHAnsi" w:eastAsia="Times New Roman" w:hAnsiTheme="majorHAnsi" w:cstheme="majorHAnsi"/>
          <w:b/>
          <w:lang w:eastAsia="sk-SK"/>
        </w:rPr>
        <w:t>v počte financovaných projektov i v objeme získaného príspevku z EK v rámcových programoch Horizont 2020 a Horizont Európa</w:t>
      </w:r>
      <w:r w:rsidRPr="00707477">
        <w:rPr>
          <w:rFonts w:asciiTheme="majorHAnsi" w:hAnsiTheme="majorHAnsi" w:cstheme="majorHAnsi"/>
        </w:rPr>
        <w:t xml:space="preserve">. </w:t>
      </w:r>
    </w:p>
    <w:p w14:paraId="2AC6BAEA" w14:textId="77777777" w:rsidR="00707477" w:rsidRPr="00707477" w:rsidRDefault="00707477" w:rsidP="00707477">
      <w:pPr>
        <w:jc w:val="both"/>
        <w:rPr>
          <w:rFonts w:asciiTheme="majorHAnsi" w:hAnsiTheme="majorHAnsi" w:cstheme="majorHAnsi"/>
        </w:rPr>
      </w:pPr>
      <w:r w:rsidRPr="00707477">
        <w:rPr>
          <w:rFonts w:asciiTheme="majorHAnsi" w:hAnsiTheme="majorHAnsi" w:cstheme="majorHAnsi"/>
        </w:rPr>
        <w:t>V roku 2022 bola STU aktívna v 27 projektoch Horizont 2020 a v 10 projektoch Horizont Európa.</w:t>
      </w:r>
    </w:p>
    <w:p w14:paraId="24FD5D4E" w14:textId="77777777" w:rsidR="00707477" w:rsidRPr="00707477" w:rsidRDefault="00707477" w:rsidP="00707477">
      <w:pPr>
        <w:jc w:val="both"/>
        <w:rPr>
          <w:rFonts w:asciiTheme="majorHAnsi" w:hAnsiTheme="majorHAnsi" w:cstheme="majorHAnsi"/>
        </w:rPr>
      </w:pPr>
    </w:p>
    <w:p w14:paraId="26F138F4" w14:textId="77777777" w:rsidR="00707477" w:rsidRPr="00707477" w:rsidRDefault="00707477" w:rsidP="00707477">
      <w:pPr>
        <w:jc w:val="both"/>
        <w:rPr>
          <w:rFonts w:asciiTheme="majorHAnsi" w:hAnsiTheme="majorHAnsi" w:cstheme="majorHAnsi"/>
        </w:rPr>
      </w:pPr>
      <w:r w:rsidRPr="00707477">
        <w:rPr>
          <w:rFonts w:asciiTheme="majorHAnsi" w:hAnsiTheme="majorHAnsi" w:cstheme="majorHAnsi"/>
        </w:rPr>
        <w:t xml:space="preserve">Rektor STU udelil v roku 2022 </w:t>
      </w:r>
      <w:r w:rsidRPr="00707477">
        <w:rPr>
          <w:rFonts w:asciiTheme="majorHAnsi" w:hAnsiTheme="majorHAnsi" w:cstheme="majorHAnsi"/>
          <w:b/>
        </w:rPr>
        <w:t>Plaketu STU</w:t>
      </w:r>
      <w:r w:rsidRPr="00707477">
        <w:rPr>
          <w:rFonts w:asciiTheme="majorHAnsi" w:hAnsiTheme="majorHAnsi" w:cstheme="majorHAnsi"/>
        </w:rPr>
        <w:t xml:space="preserve"> </w:t>
      </w:r>
      <w:r w:rsidRPr="00707477">
        <w:rPr>
          <w:rFonts w:asciiTheme="majorHAnsi" w:hAnsiTheme="majorHAnsi" w:cstheme="majorHAnsi"/>
          <w:b/>
          <w:color w:val="333333"/>
          <w:shd w:val="clear" w:color="auto" w:fill="FFFFFF"/>
        </w:rPr>
        <w:t>prof. Ing. Pavlovi Fellnerovi, DrSc.</w:t>
      </w:r>
      <w:r w:rsidRPr="00707477">
        <w:rPr>
          <w:rFonts w:asciiTheme="majorHAnsi" w:hAnsiTheme="majorHAnsi" w:cstheme="majorHAnsi"/>
        </w:rPr>
        <w:t xml:space="preserve"> Cenu „</w:t>
      </w:r>
      <w:r w:rsidRPr="00707477">
        <w:rPr>
          <w:rFonts w:asciiTheme="majorHAnsi" w:hAnsiTheme="majorHAnsi" w:cstheme="majorHAnsi"/>
          <w:b/>
        </w:rPr>
        <w:t>Vedecká osobnosť roka STU za rok 2022</w:t>
      </w:r>
      <w:r w:rsidRPr="00707477">
        <w:rPr>
          <w:rFonts w:asciiTheme="majorHAnsi" w:hAnsiTheme="majorHAnsi" w:cstheme="majorHAnsi"/>
        </w:rPr>
        <w:t xml:space="preserve">“ v kategórii </w:t>
      </w:r>
      <w:r w:rsidRPr="00707477">
        <w:rPr>
          <w:rFonts w:asciiTheme="majorHAnsi" w:hAnsiTheme="majorHAnsi" w:cstheme="majorHAnsi"/>
          <w:b/>
        </w:rPr>
        <w:t>Významný vedecký prínos</w:t>
      </w:r>
      <w:r w:rsidRPr="00707477">
        <w:rPr>
          <w:rFonts w:asciiTheme="majorHAnsi" w:hAnsiTheme="majorHAnsi" w:cstheme="majorHAnsi"/>
        </w:rPr>
        <w:t xml:space="preserve"> získal </w:t>
      </w:r>
      <w:r w:rsidRPr="00707477">
        <w:rPr>
          <w:rFonts w:asciiTheme="majorHAnsi" w:hAnsiTheme="majorHAnsi" w:cstheme="majorHAnsi"/>
          <w:b/>
          <w:bCs/>
        </w:rPr>
        <w:t>doc. Ing. Tomáš Mackuľak, PhD.</w:t>
      </w:r>
      <w:r w:rsidRPr="00707477">
        <w:rPr>
          <w:rFonts w:asciiTheme="majorHAnsi" w:hAnsiTheme="majorHAnsi" w:cstheme="majorHAnsi"/>
        </w:rPr>
        <w:t>, Fakulta chemickej a potravinárskej technológie.</w:t>
      </w:r>
    </w:p>
    <w:p w14:paraId="0F22A449" w14:textId="77777777" w:rsidR="00707477" w:rsidRPr="00707477" w:rsidRDefault="00707477" w:rsidP="00707477">
      <w:pPr>
        <w:jc w:val="both"/>
        <w:rPr>
          <w:rFonts w:asciiTheme="majorHAnsi" w:hAnsiTheme="majorHAnsi" w:cstheme="majorHAnsi"/>
        </w:rPr>
      </w:pPr>
      <w:r w:rsidRPr="00707477">
        <w:rPr>
          <w:rFonts w:asciiTheme="majorHAnsi" w:hAnsiTheme="majorHAnsi" w:cstheme="majorHAnsi"/>
        </w:rPr>
        <w:t xml:space="preserve">Cenu Vedecká osobnosť roka STU za rok 2022 v kategórii </w:t>
      </w:r>
      <w:r w:rsidRPr="00707477">
        <w:rPr>
          <w:rFonts w:asciiTheme="majorHAnsi" w:hAnsiTheme="majorHAnsi" w:cstheme="majorHAnsi"/>
          <w:b/>
        </w:rPr>
        <w:t xml:space="preserve">Mladý vedec </w:t>
      </w:r>
      <w:r w:rsidRPr="00707477">
        <w:rPr>
          <w:rFonts w:asciiTheme="majorHAnsi" w:hAnsiTheme="majorHAnsi" w:cstheme="majorHAnsi"/>
        </w:rPr>
        <w:t xml:space="preserve">získali  </w:t>
      </w:r>
      <w:r w:rsidRPr="00707477">
        <w:rPr>
          <w:rFonts w:asciiTheme="majorHAnsi" w:hAnsiTheme="majorHAnsi" w:cstheme="majorHAnsi"/>
          <w:b/>
          <w:bCs/>
        </w:rPr>
        <w:t>Ing. Anton Kuzma, PhD.</w:t>
      </w:r>
      <w:r w:rsidRPr="00707477">
        <w:rPr>
          <w:rFonts w:asciiTheme="majorHAnsi" w:hAnsiTheme="majorHAnsi" w:cstheme="majorHAnsi"/>
          <w:bCs/>
        </w:rPr>
        <w:t>,</w:t>
      </w:r>
      <w:r w:rsidRPr="00707477">
        <w:rPr>
          <w:rFonts w:asciiTheme="majorHAnsi" w:hAnsiTheme="majorHAnsi" w:cstheme="majorHAnsi"/>
          <w:b/>
          <w:bCs/>
        </w:rPr>
        <w:t xml:space="preserve"> </w:t>
      </w:r>
      <w:r w:rsidRPr="00707477">
        <w:rPr>
          <w:rFonts w:asciiTheme="majorHAnsi" w:hAnsiTheme="majorHAnsi" w:cstheme="majorHAnsi"/>
          <w:bCs/>
        </w:rPr>
        <w:t>Fakulta elektrotechniky a informatiky a</w:t>
      </w:r>
      <w:r w:rsidRPr="00707477">
        <w:rPr>
          <w:rFonts w:asciiTheme="majorHAnsi" w:hAnsiTheme="majorHAnsi" w:cstheme="majorHAnsi"/>
          <w:b/>
          <w:bCs/>
        </w:rPr>
        <w:t xml:space="preserve"> Ing. Ján Janošovský, PhD.</w:t>
      </w:r>
      <w:r w:rsidRPr="00707477">
        <w:rPr>
          <w:rFonts w:asciiTheme="majorHAnsi" w:hAnsiTheme="majorHAnsi" w:cstheme="majorHAnsi"/>
          <w:bCs/>
        </w:rPr>
        <w:t xml:space="preserve">, </w:t>
      </w:r>
      <w:r w:rsidRPr="00707477">
        <w:rPr>
          <w:rFonts w:asciiTheme="majorHAnsi" w:hAnsiTheme="majorHAnsi" w:cstheme="majorHAnsi"/>
        </w:rPr>
        <w:t>Fakulta chemickej a potravinárskej technológie.</w:t>
      </w:r>
    </w:p>
    <w:p w14:paraId="3F054E79" w14:textId="77777777" w:rsidR="00707477" w:rsidRPr="00707477" w:rsidRDefault="00707477" w:rsidP="00707477">
      <w:pPr>
        <w:jc w:val="both"/>
        <w:rPr>
          <w:rFonts w:asciiTheme="majorHAnsi" w:hAnsiTheme="majorHAnsi" w:cstheme="majorHAnsi"/>
        </w:rPr>
      </w:pPr>
    </w:p>
    <w:p w14:paraId="49A05C83" w14:textId="77777777" w:rsidR="00707477" w:rsidRPr="00707477" w:rsidRDefault="00707477" w:rsidP="00707477">
      <w:pPr>
        <w:jc w:val="both"/>
        <w:rPr>
          <w:rFonts w:asciiTheme="majorHAnsi" w:hAnsiTheme="majorHAnsi" w:cstheme="majorHAnsi"/>
          <w:b/>
          <w:bCs/>
        </w:rPr>
      </w:pPr>
      <w:r w:rsidRPr="00707477">
        <w:rPr>
          <w:rStyle w:val="Vrazn"/>
          <w:rFonts w:asciiTheme="majorHAnsi" w:hAnsiTheme="majorHAnsi" w:cstheme="majorHAnsi"/>
          <w:b w:val="0"/>
        </w:rPr>
        <w:t xml:space="preserve">V Programe L'Oréal - UNESCO Pre ženy vo vede na Slovensku </w:t>
      </w:r>
      <w:r w:rsidRPr="00707477">
        <w:rPr>
          <w:rFonts w:asciiTheme="majorHAnsi" w:hAnsiTheme="majorHAnsi" w:cstheme="majorHAnsi"/>
          <w:b/>
        </w:rPr>
        <w:t xml:space="preserve">zvíťazila </w:t>
      </w:r>
      <w:r w:rsidRPr="00707477">
        <w:rPr>
          <w:rFonts w:asciiTheme="majorHAnsi" w:hAnsiTheme="majorHAnsi" w:cstheme="majorHAnsi"/>
        </w:rPr>
        <w:t>v kategórii inžinierske vedy a technológie</w:t>
      </w:r>
      <w:r w:rsidRPr="00707477">
        <w:rPr>
          <w:rFonts w:asciiTheme="majorHAnsi" w:hAnsiTheme="majorHAnsi" w:cstheme="majorHAnsi"/>
          <w:b/>
        </w:rPr>
        <w:t xml:space="preserve"> Bc. Xiaolu Hou, Ph.D., </w:t>
      </w:r>
      <w:r w:rsidRPr="00707477">
        <w:rPr>
          <w:rFonts w:asciiTheme="majorHAnsi" w:hAnsiTheme="majorHAnsi" w:cstheme="majorHAnsi"/>
        </w:rPr>
        <w:t>ktorá pôsobí na FIIT STU,</w:t>
      </w:r>
      <w:r w:rsidRPr="00707477">
        <w:rPr>
          <w:rFonts w:asciiTheme="majorHAnsi" w:hAnsiTheme="majorHAnsi" w:cstheme="majorHAnsi"/>
          <w:b/>
        </w:rPr>
        <w:t xml:space="preserve"> finalistkou </w:t>
      </w:r>
      <w:r w:rsidRPr="00707477">
        <w:rPr>
          <w:rFonts w:asciiTheme="majorHAnsi" w:hAnsiTheme="majorHAnsi" w:cstheme="majorHAnsi"/>
        </w:rPr>
        <w:t>kategórie Výnimočná osobnosť vysokoškolského vzdelávania 2022,</w:t>
      </w:r>
      <w:r w:rsidRPr="00707477">
        <w:rPr>
          <w:rFonts w:asciiTheme="majorHAnsi" w:hAnsiTheme="majorHAnsi" w:cstheme="majorHAnsi"/>
          <w:b/>
        </w:rPr>
        <w:t xml:space="preserve"> ocenenia ESET Science Award </w:t>
      </w:r>
      <w:r w:rsidRPr="00707477">
        <w:rPr>
          <w:rFonts w:asciiTheme="majorHAnsi" w:hAnsiTheme="majorHAnsi" w:cstheme="majorHAnsi"/>
        </w:rPr>
        <w:t xml:space="preserve">bola </w:t>
      </w:r>
      <w:r w:rsidRPr="00707477">
        <w:rPr>
          <w:rFonts w:asciiTheme="majorHAnsi" w:hAnsiTheme="majorHAnsi" w:cstheme="majorHAnsi"/>
          <w:b/>
        </w:rPr>
        <w:t xml:space="preserve">doc. Ing. Andrea Šagátová, PhD., </w:t>
      </w:r>
      <w:r w:rsidRPr="00707477">
        <w:rPr>
          <w:rFonts w:asciiTheme="majorHAnsi" w:hAnsiTheme="majorHAnsi" w:cstheme="majorHAnsi"/>
        </w:rPr>
        <w:t>z FEI STU.</w:t>
      </w:r>
      <w:r w:rsidRPr="00707477">
        <w:rPr>
          <w:rFonts w:asciiTheme="majorHAnsi" w:hAnsiTheme="majorHAnsi" w:cstheme="majorHAnsi"/>
          <w:b/>
        </w:rPr>
        <w:t xml:space="preserve"> </w:t>
      </w:r>
    </w:p>
    <w:p w14:paraId="2809DE4A" w14:textId="77777777" w:rsidR="00707477" w:rsidRPr="00707477" w:rsidRDefault="00707477" w:rsidP="00707477">
      <w:pPr>
        <w:jc w:val="both"/>
        <w:rPr>
          <w:rFonts w:asciiTheme="majorHAnsi" w:hAnsiTheme="majorHAnsi" w:cstheme="majorHAnsi"/>
          <w:b/>
          <w:bCs/>
        </w:rPr>
      </w:pPr>
    </w:p>
    <w:p w14:paraId="1DA1886A" w14:textId="77777777" w:rsidR="00707477" w:rsidRPr="00707477" w:rsidRDefault="00707477" w:rsidP="00707477">
      <w:pPr>
        <w:jc w:val="both"/>
        <w:rPr>
          <w:rFonts w:asciiTheme="majorHAnsi" w:hAnsiTheme="majorHAnsi" w:cstheme="majorHAnsi"/>
        </w:rPr>
      </w:pPr>
      <w:r w:rsidRPr="00707477">
        <w:rPr>
          <w:rFonts w:asciiTheme="majorHAnsi" w:hAnsiTheme="majorHAnsi" w:cstheme="majorHAnsi"/>
        </w:rPr>
        <w:t>Na zasadnutiach Vedeckej rady STU boli s</w:t>
      </w:r>
      <w:r w:rsidRPr="00707477">
        <w:rPr>
          <w:rFonts w:asciiTheme="majorHAnsi" w:hAnsiTheme="majorHAnsi" w:cstheme="majorHAnsi"/>
          <w:b/>
        </w:rPr>
        <w:t>chválené štyri návrhy na vymenovanie za profesora</w:t>
      </w:r>
      <w:r w:rsidRPr="00707477">
        <w:rPr>
          <w:rFonts w:asciiTheme="majorHAnsi" w:hAnsiTheme="majorHAnsi" w:cstheme="majorHAnsi"/>
        </w:rPr>
        <w:t>. Na zasadnutí Vedeckej rady STU dňa 19.10.2022 boli prerokované a schválené návrhy na udelenie titulu „doctor honoris causa“ nositeľom Nobelovej ceny</w:t>
      </w:r>
      <w:r w:rsidRPr="00707477">
        <w:rPr>
          <w:rFonts w:asciiTheme="majorHAnsi" w:hAnsiTheme="majorHAnsi" w:cstheme="majorHAnsi"/>
          <w:b/>
        </w:rPr>
        <w:t xml:space="preserve"> prof. Bernardovi L. Feringovi </w:t>
      </w:r>
      <w:r w:rsidRPr="00707477">
        <w:rPr>
          <w:rFonts w:asciiTheme="majorHAnsi" w:hAnsiTheme="majorHAnsi" w:cstheme="majorHAnsi"/>
          <w:b/>
        </w:rPr>
        <w:lastRenderedPageBreak/>
        <w:t>a prof. Jean-Marie Lehnovi.</w:t>
      </w:r>
      <w:r w:rsidRPr="00707477">
        <w:rPr>
          <w:rFonts w:asciiTheme="majorHAnsi" w:hAnsiTheme="majorHAnsi" w:cstheme="majorHAnsi"/>
        </w:rPr>
        <w:t xml:space="preserve"> Odovzdanie čestného titulu sa uskutočnilo v marci 2023. </w:t>
      </w:r>
      <w:r w:rsidRPr="00707477">
        <w:rPr>
          <w:rFonts w:asciiTheme="majorHAnsi" w:hAnsiTheme="majorHAnsi" w:cstheme="majorHAnsi"/>
          <w:b/>
        </w:rPr>
        <w:t xml:space="preserve">V roku 2022 rektor STU vymenoval 15 docentov, </w:t>
      </w:r>
      <w:r w:rsidRPr="00707477">
        <w:rPr>
          <w:rFonts w:asciiTheme="majorHAnsi" w:hAnsiTheme="majorHAnsi" w:cstheme="majorHAnsi"/>
        </w:rPr>
        <w:t>z toho 6 mužov a 9 žien.</w:t>
      </w:r>
    </w:p>
    <w:p w14:paraId="58FB0194" w14:textId="77777777" w:rsidR="00707477" w:rsidRPr="00707477" w:rsidRDefault="00707477" w:rsidP="00707477">
      <w:pPr>
        <w:jc w:val="both"/>
        <w:rPr>
          <w:rFonts w:asciiTheme="majorHAnsi" w:hAnsiTheme="majorHAnsi" w:cstheme="majorHAnsi"/>
        </w:rPr>
      </w:pPr>
    </w:p>
    <w:p w14:paraId="30787803" w14:textId="77777777" w:rsidR="00707477" w:rsidRPr="00707477" w:rsidRDefault="00707477" w:rsidP="00707477">
      <w:pPr>
        <w:pStyle w:val="Bezriadkovania"/>
        <w:jc w:val="both"/>
        <w:rPr>
          <w:rFonts w:asciiTheme="majorHAnsi" w:hAnsiTheme="majorHAnsi" w:cstheme="majorHAnsi"/>
          <w:sz w:val="24"/>
          <w:szCs w:val="24"/>
        </w:rPr>
      </w:pPr>
      <w:r w:rsidRPr="00707477">
        <w:rPr>
          <w:rFonts w:asciiTheme="majorHAnsi" w:hAnsiTheme="majorHAnsi" w:cstheme="majorHAnsi"/>
          <w:sz w:val="24"/>
          <w:szCs w:val="24"/>
        </w:rPr>
        <w:t>V roku 2022 bolo Kancelárii spolupráce s praxou doručených 39 Oznámení pôvodcu o vytvorení predmetu priemyselného vlastníctva, bolo 25 podaných patentových prihlášok na Úrad priemyselného vlastníctva SR. Počet udelených patentov bol 17. Počet podaných prihlášok úžitkových vzorov na Úrad priemyselného vlastníctva SR v roku 2022 bol 31. Počet zapísaných úžitkových vzorov bol 27. V roku 2022 boli udelené 2 patenty v Českej republike.</w:t>
      </w:r>
    </w:p>
    <w:p w14:paraId="18A0DE7D" w14:textId="77777777" w:rsidR="00707477" w:rsidRPr="00707477" w:rsidRDefault="00707477" w:rsidP="00707477">
      <w:pPr>
        <w:pStyle w:val="Bezriadkovania"/>
        <w:jc w:val="both"/>
        <w:rPr>
          <w:rFonts w:asciiTheme="majorHAnsi" w:hAnsiTheme="majorHAnsi" w:cstheme="majorHAnsi"/>
          <w:sz w:val="24"/>
          <w:szCs w:val="24"/>
        </w:rPr>
      </w:pPr>
      <w:r w:rsidRPr="00707477">
        <w:rPr>
          <w:rFonts w:asciiTheme="majorHAnsi" w:hAnsiTheme="majorHAnsi" w:cstheme="majorHAnsi"/>
          <w:b/>
          <w:sz w:val="24"/>
          <w:szCs w:val="24"/>
        </w:rPr>
        <w:t>V roku 2022 bola podpísaná historicky prvá licenčná zmluva</w:t>
      </w:r>
      <w:r w:rsidRPr="00707477">
        <w:rPr>
          <w:rFonts w:asciiTheme="majorHAnsi" w:hAnsiTheme="majorHAnsi" w:cstheme="majorHAnsi"/>
          <w:sz w:val="24"/>
          <w:szCs w:val="24"/>
        </w:rPr>
        <w:t xml:space="preserve"> na využitie vynálezu, konkrétne Granulátora partikulárneho materiálu s matricou, na ktorom sa spoločne podieľali zamestnanci Strojníckej fakulty STU. </w:t>
      </w:r>
    </w:p>
    <w:p w14:paraId="1396D0C3" w14:textId="77777777" w:rsidR="00707477" w:rsidRPr="00707477" w:rsidRDefault="00707477" w:rsidP="00854454">
      <w:pPr>
        <w:jc w:val="both"/>
        <w:rPr>
          <w:rFonts w:asciiTheme="majorHAnsi" w:hAnsiTheme="majorHAnsi" w:cstheme="majorHAnsi"/>
        </w:rPr>
      </w:pPr>
    </w:p>
    <w:p w14:paraId="173E66E3" w14:textId="4C47631C" w:rsidR="00D371CE" w:rsidRDefault="00E01842" w:rsidP="00854454">
      <w:pPr>
        <w:jc w:val="both"/>
        <w:rPr>
          <w:rFonts w:asciiTheme="majorHAnsi" w:hAnsiTheme="majorHAnsi" w:cstheme="majorHAnsi"/>
        </w:rPr>
      </w:pPr>
      <w:r w:rsidRPr="00707477">
        <w:rPr>
          <w:rFonts w:asciiTheme="majorHAnsi" w:hAnsiTheme="majorHAnsi" w:cstheme="majorHAnsi"/>
        </w:rPr>
        <w:t>V roku 2022</w:t>
      </w:r>
      <w:r w:rsidRPr="00707477">
        <w:rPr>
          <w:rFonts w:asciiTheme="majorHAnsi" w:hAnsiTheme="majorHAnsi" w:cstheme="majorHAnsi"/>
          <w:b/>
        </w:rPr>
        <w:t xml:space="preserve"> priemerný počet zamestnancov na STU opäť mierne klesol. </w:t>
      </w:r>
      <w:r w:rsidRPr="00707477">
        <w:rPr>
          <w:rFonts w:asciiTheme="majorHAnsi" w:hAnsiTheme="majorHAnsi" w:cstheme="majorHAnsi"/>
        </w:rPr>
        <w:t>Bolo ich 2542, z toho bolo 942 vysokoškolských učiteľov a 465 vedeckovýskumných zamestnancov.</w:t>
      </w:r>
    </w:p>
    <w:p w14:paraId="69B219DD" w14:textId="73584EEE" w:rsidR="006B3A7F" w:rsidRDefault="006B3A7F" w:rsidP="00854454">
      <w:pPr>
        <w:jc w:val="both"/>
        <w:rPr>
          <w:rFonts w:asciiTheme="majorHAnsi" w:hAnsiTheme="majorHAnsi" w:cstheme="majorHAnsi"/>
        </w:rPr>
      </w:pPr>
    </w:p>
    <w:p w14:paraId="5C326E36" w14:textId="00FFEFC8" w:rsidR="00D1552F" w:rsidRDefault="00D1552F" w:rsidP="006B3A7F">
      <w:pPr>
        <w:jc w:val="both"/>
        <w:rPr>
          <w:rFonts w:asciiTheme="majorHAnsi" w:hAnsiTheme="majorHAnsi" w:cstheme="majorHAnsi"/>
        </w:rPr>
      </w:pPr>
    </w:p>
    <w:p w14:paraId="759E6C19" w14:textId="24D2E995" w:rsidR="006B3A7F" w:rsidRDefault="006B3A7F" w:rsidP="006B3A7F">
      <w:pPr>
        <w:jc w:val="both"/>
        <w:rPr>
          <w:rFonts w:asciiTheme="majorHAnsi" w:hAnsiTheme="majorHAnsi" w:cstheme="majorHAnsi"/>
        </w:rPr>
      </w:pPr>
    </w:p>
    <w:p w14:paraId="4A57C9FA" w14:textId="5CE6F226" w:rsidR="006B3A7F" w:rsidRPr="006B3A7F" w:rsidRDefault="006B3A7F" w:rsidP="006B3A7F">
      <w:pPr>
        <w:rPr>
          <w:b/>
          <w:sz w:val="32"/>
          <w:szCs w:val="32"/>
        </w:rPr>
      </w:pPr>
      <w:r w:rsidRPr="006B3A7F">
        <w:rPr>
          <w:b/>
          <w:sz w:val="32"/>
          <w:szCs w:val="32"/>
        </w:rPr>
        <w:t>17. Prílohy a tabuľky</w:t>
      </w:r>
    </w:p>
    <w:p w14:paraId="06936100" w14:textId="3B7F4E27" w:rsidR="00D1552F" w:rsidRDefault="00D1552F" w:rsidP="00854454">
      <w:pPr>
        <w:jc w:val="both"/>
        <w:rPr>
          <w:rFonts w:asciiTheme="majorHAnsi" w:hAnsiTheme="majorHAnsi" w:cstheme="majorHAnsi"/>
        </w:rPr>
      </w:pPr>
    </w:p>
    <w:p w14:paraId="1DE5FFC4" w14:textId="2D9E5CA0" w:rsidR="006B3A7F" w:rsidRDefault="006B3A7F" w:rsidP="00854454">
      <w:pPr>
        <w:jc w:val="both"/>
        <w:rPr>
          <w:rFonts w:asciiTheme="majorHAnsi" w:hAnsiTheme="majorHAnsi" w:cstheme="majorHAnsi"/>
        </w:rPr>
      </w:pPr>
      <w:r>
        <w:rPr>
          <w:rFonts w:asciiTheme="majorHAnsi" w:hAnsiTheme="majorHAnsi" w:cstheme="majorHAnsi"/>
        </w:rPr>
        <w:t>V roku 2022 sa na Slovenskej technickej univerzite v Bratislave zmenili vnútorné predpisy:</w:t>
      </w:r>
    </w:p>
    <w:p w14:paraId="2F5440DD" w14:textId="135F1994" w:rsidR="006B3A7F" w:rsidRDefault="006B3A7F" w:rsidP="00854454">
      <w:pPr>
        <w:jc w:val="both"/>
        <w:rPr>
          <w:rFonts w:asciiTheme="majorHAnsi" w:hAnsiTheme="majorHAnsi" w:cstheme="majorHAnsi"/>
        </w:rPr>
      </w:pPr>
    </w:p>
    <w:p w14:paraId="73C4C4F7" w14:textId="77777777" w:rsidR="00577C07" w:rsidRDefault="00577C07" w:rsidP="00577C07">
      <w:pPr>
        <w:jc w:val="both"/>
        <w:rPr>
          <w:rFonts w:asciiTheme="majorHAnsi" w:hAnsiTheme="majorHAnsi" w:cstheme="majorHAnsi"/>
        </w:rPr>
      </w:pPr>
      <w:r>
        <w:rPr>
          <w:rFonts w:asciiTheme="majorHAnsi" w:hAnsiTheme="majorHAnsi" w:cstheme="majorHAnsi"/>
        </w:rPr>
        <w:t>1/2022</w:t>
      </w:r>
    </w:p>
    <w:p w14:paraId="3617D1F3" w14:textId="48760C5A" w:rsidR="00577C07" w:rsidRPr="00577C07" w:rsidRDefault="00577C07" w:rsidP="00577C07">
      <w:pPr>
        <w:jc w:val="both"/>
        <w:rPr>
          <w:rFonts w:asciiTheme="majorHAnsi" w:hAnsiTheme="majorHAnsi" w:cstheme="majorHAnsi"/>
        </w:rPr>
      </w:pPr>
      <w:r w:rsidRPr="00577C07">
        <w:t> </w:t>
      </w:r>
      <w:hyperlink r:id="rId127" w:tooltip="Dodatok číslo 5 k Štipendijnému poriadku Slovenskej technickej univerzity v Bratislave" w:history="1">
        <w:r w:rsidRPr="00577C07">
          <w:rPr>
            <w:rStyle w:val="Hypertextovprepojenie"/>
          </w:rPr>
          <w:t>Dodatok číslo 5 k Štipendijnému poriadku Slovenskej technickej univerzity v Bratislave</w:t>
        </w:r>
      </w:hyperlink>
    </w:p>
    <w:p w14:paraId="41CE5E83" w14:textId="78A1F923" w:rsidR="006B3A7F" w:rsidRDefault="006B3A7F" w:rsidP="00577C07">
      <w:pPr>
        <w:pStyle w:val="Nadpis4"/>
        <w:shd w:val="clear" w:color="auto" w:fill="FFFFFF"/>
        <w:spacing w:before="0"/>
        <w:jc w:val="center"/>
        <w:textAlignment w:val="baseline"/>
      </w:pPr>
    </w:p>
    <w:p w14:paraId="0BF1B5B5" w14:textId="5FD54943" w:rsidR="00577C07" w:rsidRDefault="00577C07" w:rsidP="00577C07"/>
    <w:p w14:paraId="3C6C28A2" w14:textId="77777777" w:rsidR="00577C07" w:rsidRPr="00577C07" w:rsidRDefault="00577C07" w:rsidP="00577C07">
      <w:r w:rsidRPr="00577C07">
        <w:t>2/2022</w:t>
      </w:r>
    </w:p>
    <w:p w14:paraId="1C5FA7DE" w14:textId="77777777" w:rsidR="00577C07" w:rsidRPr="00577C07" w:rsidRDefault="00577C07" w:rsidP="00577C07">
      <w:r w:rsidRPr="00577C07">
        <w:t> </w:t>
      </w:r>
      <w:hyperlink r:id="rId128" w:tooltip="Pravidlá priebežného monitorovania, periodického hodnotenia a periodického schvaľovania študijných programov, habilitačných a inauguračných konaní a tvorivej činnosti na Slovenskej technickej univerzite v Bratislave" w:history="1">
        <w:r w:rsidRPr="00577C07">
          <w:rPr>
            <w:rStyle w:val="Hypertextovprepojenie"/>
          </w:rPr>
          <w:t>Pravidlá priebežného monitorovania, periodického hodnotenia a periodického schvaľovania študijných programov, habilitačných a inauguračných konaní a tvorivej činnosti na Slovenskej technickej univerzite v Bratislave</w:t>
        </w:r>
      </w:hyperlink>
    </w:p>
    <w:p w14:paraId="1468734C" w14:textId="50E697DE" w:rsidR="00577C07" w:rsidRDefault="00577C07" w:rsidP="00577C07"/>
    <w:p w14:paraId="7B470321" w14:textId="71E464AC" w:rsidR="00577C07" w:rsidRDefault="00577C07" w:rsidP="00577C07">
      <w:r>
        <w:t>3/2022</w:t>
      </w:r>
    </w:p>
    <w:p w14:paraId="46A788E9" w14:textId="48C65210" w:rsidR="00577C07" w:rsidRPr="00577C07" w:rsidRDefault="00252725" w:rsidP="00577C07">
      <w:hyperlink r:id="rId129" w:tooltip="Dodatok číslo 12 k Štatútu Slovenskej technickej univerzity v Bratislave" w:history="1">
        <w:r w:rsidR="00577C07" w:rsidRPr="00577C07">
          <w:rPr>
            <w:rStyle w:val="Hypertextovprepojenie"/>
          </w:rPr>
          <w:t>Dodatok číslo 12 k Štatútu Slovenskej technickej univerzity v Bratislave</w:t>
        </w:r>
      </w:hyperlink>
    </w:p>
    <w:p w14:paraId="75CA54DD" w14:textId="3BAF34A7" w:rsidR="00577C07" w:rsidRDefault="00577C07" w:rsidP="00577C07"/>
    <w:p w14:paraId="4B83BCA4" w14:textId="2C9E2BA1" w:rsidR="00577C07" w:rsidRDefault="00577C07" w:rsidP="00577C07">
      <w:r>
        <w:t>4/2022</w:t>
      </w:r>
    </w:p>
    <w:p w14:paraId="3B7EE521" w14:textId="77777777" w:rsidR="00577C07" w:rsidRPr="00577C07" w:rsidRDefault="00577C07" w:rsidP="00577C07">
      <w:r>
        <w:t> </w:t>
      </w:r>
      <w:hyperlink r:id="rId130" w:tooltip="Zásady voľby kandidáta na rektora a prijatia návrhu na odvolanie rektora Slovenskej technickej univerzity v Bratislave" w:history="1">
        <w:r w:rsidRPr="00577C07">
          <w:rPr>
            <w:rStyle w:val="Hypertextovprepojenie"/>
          </w:rPr>
          <w:t>Zásady voľby kandidáta na rektora a prijatia návrhu na odvolanie rektora Slovenskej technickej univerzity v Bratislave</w:t>
        </w:r>
      </w:hyperlink>
    </w:p>
    <w:p w14:paraId="4AFC8FBC" w14:textId="77777777" w:rsidR="00577C07" w:rsidRPr="00577C07" w:rsidRDefault="00577C07" w:rsidP="00577C07"/>
    <w:p w14:paraId="6F33A29D" w14:textId="56A2B3DC" w:rsidR="006B3A7F" w:rsidRDefault="006B3A7F" w:rsidP="00854454">
      <w:pPr>
        <w:jc w:val="both"/>
        <w:sectPr w:rsidR="006B3A7F" w:rsidSect="00E73CF8">
          <w:pgSz w:w="11906" w:h="16838"/>
          <w:pgMar w:top="1418" w:right="1418" w:bottom="1135" w:left="1418" w:header="425" w:footer="391" w:gutter="0"/>
          <w:cols w:space="708"/>
        </w:sectPr>
      </w:pPr>
    </w:p>
    <w:p w14:paraId="12D64024" w14:textId="77777777" w:rsidR="001A1CAA" w:rsidRPr="0053555E" w:rsidRDefault="001A1CAA" w:rsidP="006C59CA">
      <w:pPr>
        <w:pStyle w:val="Zoznamobrzkov"/>
        <w:tabs>
          <w:tab w:val="right" w:leader="dot" w:pos="9498"/>
        </w:tabs>
        <w:spacing w:after="80"/>
        <w:contextualSpacing/>
        <w:rPr>
          <w:rFonts w:asciiTheme="majorHAnsi" w:hAnsiTheme="majorHAnsi" w:cstheme="majorHAnsi"/>
          <w:sz w:val="12"/>
        </w:rPr>
      </w:pPr>
    </w:p>
    <w:sectPr w:rsidR="001A1CAA" w:rsidRPr="0053555E" w:rsidSect="00E73CF8">
      <w:pgSz w:w="11906" w:h="16838"/>
      <w:pgMar w:top="1418" w:right="1418" w:bottom="1135" w:left="1418" w:header="425" w:footer="39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2EA8A" w14:textId="77777777" w:rsidR="00252725" w:rsidRDefault="00252725" w:rsidP="0030006A">
      <w:r>
        <w:separator/>
      </w:r>
    </w:p>
  </w:endnote>
  <w:endnote w:type="continuationSeparator" w:id="0">
    <w:p w14:paraId="733A6365" w14:textId="77777777" w:rsidR="00252725" w:rsidRDefault="00252725" w:rsidP="00300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 w:name="Cambria">
    <w:altName w:val="Palatino Linotype"/>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Myriad Pro">
    <w:altName w:val="Calibri"/>
    <w:panose1 w:val="00000000000000000000"/>
    <w:charset w:val="00"/>
    <w:family w:val="swiss"/>
    <w:notTrueType/>
    <w:pitch w:val="variable"/>
    <w:sig w:usb0="20000287" w:usb1="00000001" w:usb2="00000000" w:usb3="00000000" w:csb0="0000019F" w:csb1="00000000"/>
  </w:font>
  <w:font w:name="CG Omega (W1)">
    <w:altName w:val="Arial"/>
    <w:panose1 w:val="00000000000000000000"/>
    <w:charset w:val="00"/>
    <w:family w:val="swiss"/>
    <w:notTrueType/>
    <w:pitch w:val="variable"/>
    <w:sig w:usb0="00000003" w:usb1="00000000" w:usb2="00000000" w:usb3="00000000" w:csb0="00000001" w:csb1="00000000"/>
  </w:font>
  <w:font w:name="CIDFont+F1">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832985"/>
      <w:docPartObj>
        <w:docPartGallery w:val="Page Numbers (Bottom of Page)"/>
        <w:docPartUnique/>
      </w:docPartObj>
    </w:sdtPr>
    <w:sdtEndPr>
      <w:rPr>
        <w:rFonts w:asciiTheme="majorHAnsi" w:hAnsiTheme="majorHAnsi"/>
      </w:rPr>
    </w:sdtEndPr>
    <w:sdtContent>
      <w:p w14:paraId="4CD96A89" w14:textId="4D33CDB7" w:rsidR="006437BD" w:rsidRPr="00AE3888" w:rsidRDefault="006437BD">
        <w:pPr>
          <w:pStyle w:val="Pta"/>
          <w:jc w:val="center"/>
          <w:rPr>
            <w:rFonts w:asciiTheme="majorHAnsi" w:hAnsiTheme="majorHAnsi"/>
          </w:rPr>
        </w:pPr>
        <w:r w:rsidRPr="00AE3888">
          <w:rPr>
            <w:rFonts w:asciiTheme="majorHAnsi" w:hAnsiTheme="majorHAnsi"/>
          </w:rPr>
          <w:fldChar w:fldCharType="begin"/>
        </w:r>
        <w:r w:rsidRPr="00AE3888">
          <w:rPr>
            <w:rFonts w:asciiTheme="majorHAnsi" w:hAnsiTheme="majorHAnsi"/>
          </w:rPr>
          <w:instrText>PAGE   \* MERGEFORMAT</w:instrText>
        </w:r>
        <w:r w:rsidRPr="00AE3888">
          <w:rPr>
            <w:rFonts w:asciiTheme="majorHAnsi" w:hAnsiTheme="majorHAnsi"/>
          </w:rPr>
          <w:fldChar w:fldCharType="separate"/>
        </w:r>
        <w:r w:rsidR="000E6CB9">
          <w:rPr>
            <w:rFonts w:asciiTheme="majorHAnsi" w:hAnsiTheme="majorHAnsi"/>
            <w:noProof/>
          </w:rPr>
          <w:t>22</w:t>
        </w:r>
        <w:r w:rsidRPr="00AE3888">
          <w:rPr>
            <w:rFonts w:asciiTheme="majorHAnsi" w:hAnsiTheme="maj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6818E" w14:textId="77777777" w:rsidR="00252725" w:rsidRDefault="00252725" w:rsidP="0030006A">
      <w:r>
        <w:separator/>
      </w:r>
    </w:p>
  </w:footnote>
  <w:footnote w:type="continuationSeparator" w:id="0">
    <w:p w14:paraId="2F9622B7" w14:textId="77777777" w:rsidR="00252725" w:rsidRDefault="00252725" w:rsidP="00300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A13FE" w14:textId="77777777" w:rsidR="000E6CB9" w:rsidRDefault="000E6CB9" w:rsidP="000E6CB9">
    <w:pPr>
      <w:jc w:val="right"/>
    </w:pPr>
    <w:r>
      <w:rPr>
        <w:noProof/>
        <w:lang w:eastAsia="sk-SK"/>
      </w:rPr>
      <w:drawing>
        <wp:anchor distT="0" distB="0" distL="114300" distR="114300" simplePos="0" relativeHeight="251721728" behindDoc="1" locked="0" layoutInCell="1" allowOverlap="1" wp14:anchorId="7D1CC7A2" wp14:editId="3FD8E82D">
          <wp:simplePos x="0" y="0"/>
          <wp:positionH relativeFrom="column">
            <wp:posOffset>-121285</wp:posOffset>
          </wp:positionH>
          <wp:positionV relativeFrom="paragraph">
            <wp:posOffset>46990</wp:posOffset>
          </wp:positionV>
          <wp:extent cx="1676400" cy="619125"/>
          <wp:effectExtent l="0" t="0" r="0" b="0"/>
          <wp:wrapNone/>
          <wp:docPr id="26" name="Picture 1"/>
          <wp:cNvGraphicFramePr/>
          <a:graphic xmlns:a="http://schemas.openxmlformats.org/drawingml/2006/main">
            <a:graphicData uri="http://schemas.openxmlformats.org/drawingml/2006/picture">
              <pic:pic xmlns:pic="http://schemas.openxmlformats.org/drawingml/2006/picture">
                <pic:nvPicPr>
                  <pic:cNvPr id="39"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4ED29A75" w14:textId="70C9F35B" w:rsidR="000E6CB9" w:rsidRDefault="000E6CB9" w:rsidP="000E6CB9">
    <w:pPr>
      <w:jc w:val="right"/>
      <w:rPr>
        <w:rFonts w:asciiTheme="majorHAnsi" w:hAnsiTheme="majorHAnsi"/>
        <w:sz w:val="16"/>
        <w:szCs w:val="16"/>
      </w:rPr>
    </w:pPr>
    <w:r>
      <w:rPr>
        <w:rFonts w:asciiTheme="majorHAnsi" w:hAnsiTheme="majorHAnsi"/>
        <w:sz w:val="16"/>
        <w:szCs w:val="16"/>
      </w:rPr>
      <w:t>4. zasadnutie KR STU, 26.04.2023</w:t>
    </w:r>
  </w:p>
  <w:p w14:paraId="007C6548" w14:textId="508163E0" w:rsidR="000E6CB9" w:rsidRPr="00A20866" w:rsidRDefault="000E6CB9" w:rsidP="000E6CB9">
    <w:pPr>
      <w:jc w:val="right"/>
      <w:rPr>
        <w:rFonts w:asciiTheme="majorHAnsi" w:hAnsiTheme="majorHAnsi"/>
        <w:sz w:val="16"/>
        <w:szCs w:val="16"/>
      </w:rPr>
    </w:pPr>
    <w:r>
      <w:rPr>
        <w:rFonts w:asciiTheme="majorHAnsi" w:hAnsiTheme="majorHAnsi"/>
        <w:sz w:val="16"/>
        <w:szCs w:val="16"/>
      </w:rPr>
      <w:t>Správa o činnosti STU za rok 2022</w:t>
    </w:r>
  </w:p>
  <w:p w14:paraId="3F46286A" w14:textId="77777777" w:rsidR="000E6CB9" w:rsidRDefault="000E6CB9" w:rsidP="000E6CB9">
    <w:pPr>
      <w:pStyle w:val="Hlavika"/>
      <w:jc w:val="right"/>
      <w:rPr>
        <w:noProof/>
        <w:lang w:eastAsia="sk-SK"/>
      </w:rPr>
    </w:pPr>
    <w:r>
      <w:rPr>
        <w:rFonts w:asciiTheme="majorHAnsi" w:hAnsiTheme="majorHAnsi"/>
        <w:sz w:val="16"/>
        <w:szCs w:val="16"/>
      </w:rPr>
      <w:t>prof. Ing. arch. Ľubica Vitková, PhD</w:t>
    </w:r>
    <w:r>
      <w:rPr>
        <w:noProof/>
        <w:lang w:eastAsia="sk-SK"/>
      </w:rPr>
      <w:t xml:space="preserve"> </w:t>
    </w:r>
  </w:p>
  <w:p w14:paraId="5AC8E788" w14:textId="77777777" w:rsidR="006437BD" w:rsidRDefault="006437BD" w:rsidP="00FE305A">
    <w:pPr>
      <w:pStyle w:val="Hlavika"/>
      <w:tabs>
        <w:tab w:val="clear" w:pos="4320"/>
        <w:tab w:val="clear" w:pos="8640"/>
        <w:tab w:val="left" w:pos="3790"/>
      </w:tabs>
      <w:ind w:hanging="99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75A4B" w14:textId="77777777" w:rsidR="006437BD" w:rsidRDefault="006437BD" w:rsidP="00DD30B1">
    <w:pPr>
      <w:pStyle w:val="Hlavika"/>
      <w:tabs>
        <w:tab w:val="clear" w:pos="4320"/>
        <w:tab w:val="clear" w:pos="8640"/>
        <w:tab w:val="left" w:pos="5520"/>
        <w:tab w:val="left" w:pos="6450"/>
      </w:tabs>
      <w:ind w:left="-1276"/>
    </w:pPr>
    <w:r>
      <w:rPr>
        <w:noProof/>
        <w:lang w:eastAsia="sk-SK"/>
      </w:rPr>
      <w:t xml:space="preserve"> </w:t>
    </w:r>
    <w:r>
      <w:rPr>
        <w:noProof/>
        <w:lang w:eastAsia="sk-SK"/>
      </w:rPr>
      <w:drawing>
        <wp:anchor distT="0" distB="0" distL="114300" distR="114300" simplePos="0" relativeHeight="251710464" behindDoc="0" locked="0" layoutInCell="1" allowOverlap="1" wp14:anchorId="0BA5493B" wp14:editId="5EF71441">
          <wp:simplePos x="0" y="0"/>
          <wp:positionH relativeFrom="column">
            <wp:posOffset>-745490</wp:posOffset>
          </wp:positionH>
          <wp:positionV relativeFrom="paragraph">
            <wp:posOffset>-208280</wp:posOffset>
          </wp:positionV>
          <wp:extent cx="1679575" cy="616585"/>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BF07C" w14:textId="77777777" w:rsidR="006437BD" w:rsidRDefault="006437BD" w:rsidP="0046153F">
    <w:pPr>
      <w:pStyle w:val="Hlavika"/>
      <w:ind w:hanging="1134"/>
    </w:pPr>
    <w:r>
      <w:rPr>
        <w:rFonts w:ascii="Times New Roman" w:hAnsi="Times New Roman" w:cs="Times New Roman"/>
        <w:noProof/>
        <w:lang w:eastAsia="sk-SK"/>
      </w:rPr>
      <mc:AlternateContent>
        <mc:Choice Requires="wps">
          <w:drawing>
            <wp:anchor distT="0" distB="0" distL="114300" distR="114300" simplePos="0" relativeHeight="251720704" behindDoc="0" locked="0" layoutInCell="1" allowOverlap="1" wp14:anchorId="6CD43411" wp14:editId="23DE5734">
              <wp:simplePos x="0" y="0"/>
              <wp:positionH relativeFrom="margin">
                <wp:posOffset>723900</wp:posOffset>
              </wp:positionH>
              <wp:positionV relativeFrom="paragraph">
                <wp:posOffset>-635</wp:posOffset>
              </wp:positionV>
              <wp:extent cx="5234305" cy="809625"/>
              <wp:effectExtent l="0" t="0" r="0" b="0"/>
              <wp:wrapNone/>
              <wp:docPr id="56" name="Textové pol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4305" cy="809625"/>
                      </a:xfrm>
                      <a:prstGeom prst="rect">
                        <a:avLst/>
                      </a:prstGeom>
                      <a:noFill/>
                      <a:ln>
                        <a:noFill/>
                      </a:ln>
                      <a:effectLst/>
                      <a:extLst>
                        <a:ext uri="{C572A759-6A51-4108-AA02-DFA0A04FC94B}"/>
                      </a:extLst>
                    </wps:spPr>
                    <wps:txbx>
                      <w:txbxContent>
                        <w:p w14:paraId="47D0E7D1" w14:textId="77777777" w:rsidR="006437BD" w:rsidRDefault="006437BD" w:rsidP="00502DB0">
                          <w:pPr>
                            <w:ind w:right="12"/>
                            <w:jc w:val="right"/>
                            <w:rPr>
                              <w:sz w:val="16"/>
                              <w:szCs w:val="16"/>
                            </w:rPr>
                          </w:pPr>
                          <w:r>
                            <w:rPr>
                              <w:sz w:val="16"/>
                              <w:szCs w:val="16"/>
                            </w:rPr>
                            <w:t>5. zasadnutie V  STU, 21.02.2018</w:t>
                          </w:r>
                        </w:p>
                        <w:p w14:paraId="345A0D7A" w14:textId="77777777" w:rsidR="006437BD" w:rsidRPr="00854224" w:rsidRDefault="006437BD" w:rsidP="00854224">
                          <w:pPr>
                            <w:pStyle w:val="Bezriadkovania"/>
                            <w:tabs>
                              <w:tab w:val="left" w:pos="1985"/>
                            </w:tabs>
                            <w:ind w:left="-142" w:right="12"/>
                            <w:jc w:val="right"/>
                            <w:rPr>
                              <w:rFonts w:eastAsia="MS Mincho"/>
                              <w:sz w:val="16"/>
                              <w:szCs w:val="16"/>
                              <w:lang w:eastAsia="en-US"/>
                            </w:rPr>
                          </w:pPr>
                          <w:r w:rsidRPr="00854224">
                            <w:rPr>
                              <w:rFonts w:eastAsia="MS Mincho"/>
                              <w:sz w:val="16"/>
                              <w:szCs w:val="16"/>
                              <w:lang w:eastAsia="en-US"/>
                            </w:rPr>
                            <w:t>Hodnotenie úrovne vzdelávacej činnosti</w:t>
                          </w:r>
                          <w:r>
                            <w:rPr>
                              <w:rFonts w:eastAsia="MS Mincho"/>
                              <w:sz w:val="16"/>
                              <w:szCs w:val="16"/>
                              <w:lang w:eastAsia="en-US"/>
                            </w:rPr>
                            <w:t xml:space="preserve"> </w:t>
                          </w:r>
                          <w:r w:rsidRPr="00854224">
                            <w:rPr>
                              <w:rFonts w:eastAsia="MS Mincho"/>
                              <w:sz w:val="16"/>
                              <w:szCs w:val="16"/>
                              <w:lang w:eastAsia="en-US"/>
                            </w:rPr>
                            <w:t>na Slovenskej technickej univerzite v Bratislave</w:t>
                          </w:r>
                        </w:p>
                        <w:p w14:paraId="7DC3BEE8" w14:textId="77777777" w:rsidR="006437BD" w:rsidRDefault="006437BD" w:rsidP="00854224">
                          <w:pPr>
                            <w:pStyle w:val="Bezriadkovania"/>
                            <w:tabs>
                              <w:tab w:val="left" w:pos="1985"/>
                            </w:tabs>
                            <w:ind w:left="-142" w:right="12"/>
                            <w:jc w:val="right"/>
                            <w:rPr>
                              <w:rFonts w:eastAsia="MS Mincho"/>
                              <w:sz w:val="16"/>
                              <w:szCs w:val="16"/>
                              <w:lang w:eastAsia="en-US"/>
                            </w:rPr>
                          </w:pPr>
                          <w:r w:rsidRPr="00854224">
                            <w:rPr>
                              <w:rFonts w:eastAsia="MS Mincho"/>
                              <w:sz w:val="16"/>
                              <w:szCs w:val="16"/>
                              <w:lang w:eastAsia="en-US"/>
                            </w:rPr>
                            <w:t xml:space="preserve">za akademický rok </w:t>
                          </w:r>
                          <w:r>
                            <w:rPr>
                              <w:rFonts w:eastAsia="MS Mincho"/>
                              <w:sz w:val="16"/>
                              <w:szCs w:val="16"/>
                              <w:lang w:eastAsia="en-US"/>
                            </w:rPr>
                            <w:t>2017/2018</w:t>
                          </w:r>
                        </w:p>
                        <w:p w14:paraId="597FD652" w14:textId="77777777" w:rsidR="006437BD" w:rsidRDefault="006437BD" w:rsidP="00502DB0">
                          <w:pPr>
                            <w:ind w:right="12"/>
                            <w:jc w:val="right"/>
                            <w:rPr>
                              <w:rFonts w:eastAsia="MS Mincho"/>
                              <w:sz w:val="16"/>
                              <w:szCs w:val="16"/>
                            </w:rPr>
                          </w:pPr>
                          <w:r>
                            <w:rPr>
                              <w:sz w:val="16"/>
                              <w:szCs w:val="16"/>
                            </w:rPr>
                            <w:t>prof. Ing. ŠteFADn Stanko, PhD.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43411" id="_x0000_t202" coordsize="21600,21600" o:spt="202" path="m,l,21600r21600,l21600,xe">
              <v:stroke joinstyle="miter"/>
              <v:path gradientshapeok="t" o:connecttype="rect"/>
            </v:shapetype>
            <v:shape id="Textové pole 56" o:spid="_x0000_s1026" type="#_x0000_t202" style="position:absolute;margin-left:57pt;margin-top:-.05pt;width:412.15pt;height:63.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" filled="f" stroked="f">
              <v:path arrowok="t"/>
              <v:textbox>
                <w:txbxContent>
                  <w:p w14:paraId="47D0E7D1" w14:textId="77777777" w:rsidR="006437BD" w:rsidRDefault="006437BD" w:rsidP="00502DB0">
                    <w:pPr>
                      <w:ind w:right="12"/>
                      <w:jc w:val="right"/>
                      <w:rPr>
                        <w:sz w:val="16"/>
                        <w:szCs w:val="16"/>
                      </w:rPr>
                    </w:pPr>
                    <w:r>
                      <w:rPr>
                        <w:sz w:val="16"/>
                        <w:szCs w:val="16"/>
                      </w:rPr>
                      <w:t>5. zasadnutie V  STU, 21.02.2018</w:t>
                    </w:r>
                  </w:p>
                  <w:p w14:paraId="345A0D7A" w14:textId="77777777" w:rsidR="006437BD" w:rsidRPr="00854224" w:rsidRDefault="006437BD" w:rsidP="00854224">
                    <w:pPr>
                      <w:pStyle w:val="Bezriadkovania"/>
                      <w:tabs>
                        <w:tab w:val="left" w:pos="1985"/>
                      </w:tabs>
                      <w:ind w:left="-142" w:right="12"/>
                      <w:jc w:val="right"/>
                      <w:rPr>
                        <w:rFonts w:eastAsia="MS Mincho"/>
                        <w:sz w:val="16"/>
                        <w:szCs w:val="16"/>
                        <w:lang w:eastAsia="en-US"/>
                      </w:rPr>
                    </w:pPr>
                    <w:r w:rsidRPr="00854224">
                      <w:rPr>
                        <w:rFonts w:eastAsia="MS Mincho"/>
                        <w:sz w:val="16"/>
                        <w:szCs w:val="16"/>
                        <w:lang w:eastAsia="en-US"/>
                      </w:rPr>
                      <w:t>Hodnotenie úrovne vzdelávacej činnosti</w:t>
                    </w:r>
                    <w:r>
                      <w:rPr>
                        <w:rFonts w:eastAsia="MS Mincho"/>
                        <w:sz w:val="16"/>
                        <w:szCs w:val="16"/>
                        <w:lang w:eastAsia="en-US"/>
                      </w:rPr>
                      <w:t xml:space="preserve"> </w:t>
                    </w:r>
                    <w:r w:rsidRPr="00854224">
                      <w:rPr>
                        <w:rFonts w:eastAsia="MS Mincho"/>
                        <w:sz w:val="16"/>
                        <w:szCs w:val="16"/>
                        <w:lang w:eastAsia="en-US"/>
                      </w:rPr>
                      <w:t>na Slovenskej technickej univerzite v Bratislave</w:t>
                    </w:r>
                  </w:p>
                  <w:p w14:paraId="7DC3BEE8" w14:textId="77777777" w:rsidR="006437BD" w:rsidRDefault="006437BD" w:rsidP="00854224">
                    <w:pPr>
                      <w:pStyle w:val="Bezriadkovania"/>
                      <w:tabs>
                        <w:tab w:val="left" w:pos="1985"/>
                      </w:tabs>
                      <w:ind w:left="-142" w:right="12"/>
                      <w:jc w:val="right"/>
                      <w:rPr>
                        <w:rFonts w:eastAsia="MS Mincho"/>
                        <w:sz w:val="16"/>
                        <w:szCs w:val="16"/>
                        <w:lang w:eastAsia="en-US"/>
                      </w:rPr>
                    </w:pPr>
                    <w:r w:rsidRPr="00854224">
                      <w:rPr>
                        <w:rFonts w:eastAsia="MS Mincho"/>
                        <w:sz w:val="16"/>
                        <w:szCs w:val="16"/>
                        <w:lang w:eastAsia="en-US"/>
                      </w:rPr>
                      <w:t xml:space="preserve">za akademický rok </w:t>
                    </w:r>
                    <w:r>
                      <w:rPr>
                        <w:rFonts w:eastAsia="MS Mincho"/>
                        <w:sz w:val="16"/>
                        <w:szCs w:val="16"/>
                        <w:lang w:eastAsia="en-US"/>
                      </w:rPr>
                      <w:t>2017/2018</w:t>
                    </w:r>
                  </w:p>
                  <w:p w14:paraId="597FD652" w14:textId="77777777" w:rsidR="006437BD" w:rsidRDefault="006437BD" w:rsidP="00502DB0">
                    <w:pPr>
                      <w:ind w:right="12"/>
                      <w:jc w:val="right"/>
                      <w:rPr>
                        <w:rFonts w:eastAsia="MS Mincho"/>
                        <w:sz w:val="16"/>
                        <w:szCs w:val="16"/>
                      </w:rPr>
                    </w:pPr>
                    <w:r>
                      <w:rPr>
                        <w:sz w:val="16"/>
                        <w:szCs w:val="16"/>
                      </w:rPr>
                      <w:t>prof. Ing. ŠteFADn Stanko, PhD.</w:t>
                    </w:r>
                  </w:p>
                </w:txbxContent>
              </v:textbox>
              <w10:wrap anchorx="margin"/>
            </v:shape>
          </w:pict>
        </mc:Fallback>
      </mc:AlternateContent>
    </w:r>
    <w:r>
      <w:rPr>
        <w:noProof/>
        <w:lang w:eastAsia="sk-SK"/>
      </w:rPr>
      <w:drawing>
        <wp:inline distT="0" distB="0" distL="0" distR="0" wp14:anchorId="23C43671" wp14:editId="39694AA4">
          <wp:extent cx="1679575" cy="616585"/>
          <wp:effectExtent l="0" t="0" r="0" b="0"/>
          <wp:docPr id="14" name="Picture 1"/>
          <wp:cNvGraphicFramePr/>
          <a:graphic xmlns:a="http://schemas.openxmlformats.org/drawingml/2006/main">
            <a:graphicData uri="http://schemas.openxmlformats.org/drawingml/2006/picture">
              <pic:pic xmlns:pic="http://schemas.openxmlformats.org/drawingml/2006/picture">
                <pic:nvPicPr>
                  <pic:cNvPr id="3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CE51E" w14:textId="77777777" w:rsidR="006437BD" w:rsidRDefault="006437BD" w:rsidP="0054078E">
    <w:pPr>
      <w:pStyle w:val="Hlavika"/>
      <w:tabs>
        <w:tab w:val="clear" w:pos="4320"/>
        <w:tab w:val="clear" w:pos="8640"/>
        <w:tab w:val="left" w:pos="3338"/>
        <w:tab w:val="left" w:pos="4863"/>
      </w:tabs>
      <w:ind w:left="-1134" w:firstLine="992"/>
    </w:pPr>
    <w:r>
      <w:rPr>
        <w:noProof/>
        <w:lang w:eastAsia="sk-SK"/>
      </w:rPr>
      <w:drawing>
        <wp:inline distT="0" distB="0" distL="0" distR="0" wp14:anchorId="17615B42" wp14:editId="0CF6B91D">
          <wp:extent cx="1676400" cy="619125"/>
          <wp:effectExtent l="0" t="0" r="0" b="0"/>
          <wp:docPr id="28" name="Picture 1"/>
          <wp:cNvGraphicFramePr/>
          <a:graphic xmlns:a="http://schemas.openxmlformats.org/drawingml/2006/main">
            <a:graphicData uri="http://schemas.openxmlformats.org/drawingml/2006/picture">
              <pic:pic xmlns:pic="http://schemas.openxmlformats.org/drawingml/2006/picture">
                <pic:nvPicPr>
                  <pic:cNvPr id="117"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19125"/>
                  </a:xfrm>
                  <a:prstGeom prst="rect">
                    <a:avLst/>
                  </a:prstGeom>
                  <a:noFill/>
                  <a:ln>
                    <a:noFill/>
                  </a:ln>
                </pic:spPr>
              </pic:pic>
            </a:graphicData>
          </a:graphic>
        </wp:inline>
      </w:drawing>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37220" w14:textId="77777777" w:rsidR="006437BD" w:rsidRDefault="006437BD" w:rsidP="00E65AEF">
    <w:pPr>
      <w:pStyle w:val="Hlavika"/>
      <w:tabs>
        <w:tab w:val="clear" w:pos="4320"/>
        <w:tab w:val="clear" w:pos="8640"/>
        <w:tab w:val="left" w:pos="5520"/>
      </w:tabs>
      <w:ind w:left="-1276"/>
    </w:pPr>
    <w:r>
      <w:rPr>
        <w:noProof/>
        <w:lang w:eastAsia="sk-SK"/>
      </w:rPr>
      <w:drawing>
        <wp:anchor distT="0" distB="0" distL="114300" distR="114300" simplePos="0" relativeHeight="251715584" behindDoc="0" locked="0" layoutInCell="1" allowOverlap="1" wp14:anchorId="7028419C" wp14:editId="5369E0BA">
          <wp:simplePos x="0" y="0"/>
          <wp:positionH relativeFrom="column">
            <wp:posOffset>-745490</wp:posOffset>
          </wp:positionH>
          <wp:positionV relativeFrom="paragraph">
            <wp:posOffset>-208280</wp:posOffset>
          </wp:positionV>
          <wp:extent cx="1679575" cy="616585"/>
          <wp:effectExtent l="0" t="0" r="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34681" w14:textId="77777777" w:rsidR="006437BD" w:rsidRDefault="006437BD" w:rsidP="00F21752">
    <w:pPr>
      <w:pStyle w:val="Hlavika"/>
      <w:tabs>
        <w:tab w:val="clear" w:pos="4320"/>
        <w:tab w:val="clear" w:pos="8640"/>
        <w:tab w:val="left" w:pos="5520"/>
      </w:tabs>
      <w:ind w:left="-851" w:firstLine="425"/>
    </w:pPr>
    <w:r>
      <w:rPr>
        <w:noProof/>
        <w:lang w:eastAsia="sk-SK"/>
      </w:rPr>
      <w:drawing>
        <wp:anchor distT="0" distB="0" distL="114300" distR="114300" simplePos="0" relativeHeight="251716608" behindDoc="0" locked="0" layoutInCell="1" allowOverlap="1" wp14:anchorId="1FDF1E82" wp14:editId="4DA21A06">
          <wp:simplePos x="0" y="0"/>
          <wp:positionH relativeFrom="column">
            <wp:posOffset>-183515</wp:posOffset>
          </wp:positionH>
          <wp:positionV relativeFrom="paragraph">
            <wp:posOffset>-170180</wp:posOffset>
          </wp:positionV>
          <wp:extent cx="1679575" cy="616585"/>
          <wp:effectExtent l="0" t="0" r="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47F56" w14:textId="77777777" w:rsidR="006437BD" w:rsidRDefault="006437BD" w:rsidP="00E65AEF">
    <w:pPr>
      <w:pStyle w:val="Hlavika"/>
      <w:tabs>
        <w:tab w:val="clear" w:pos="4320"/>
        <w:tab w:val="clear" w:pos="8640"/>
        <w:tab w:val="left" w:pos="5520"/>
      </w:tabs>
      <w:ind w:left="-1276"/>
    </w:pPr>
    <w:r>
      <w:rPr>
        <w:noProof/>
        <w:lang w:eastAsia="sk-SK"/>
      </w:rPr>
      <w:drawing>
        <wp:anchor distT="0" distB="0" distL="114300" distR="114300" simplePos="0" relativeHeight="251717632" behindDoc="0" locked="0" layoutInCell="1" allowOverlap="1" wp14:anchorId="5ECD25E1" wp14:editId="7F33106F">
          <wp:simplePos x="0" y="0"/>
          <wp:positionH relativeFrom="column">
            <wp:posOffset>-745490</wp:posOffset>
          </wp:positionH>
          <wp:positionV relativeFrom="paragraph">
            <wp:posOffset>-208280</wp:posOffset>
          </wp:positionV>
          <wp:extent cx="1679575" cy="616585"/>
          <wp:effectExtent l="0" t="0" r="0" b="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8DE36" w14:textId="77777777" w:rsidR="006437BD" w:rsidRDefault="006437BD" w:rsidP="00E65AEF">
    <w:pPr>
      <w:pStyle w:val="Hlavika"/>
      <w:tabs>
        <w:tab w:val="clear" w:pos="4320"/>
        <w:tab w:val="clear" w:pos="8640"/>
        <w:tab w:val="left" w:pos="5520"/>
      </w:tabs>
      <w:ind w:left="-1276"/>
    </w:pPr>
    <w:r>
      <w:rPr>
        <w:noProof/>
        <w:lang w:eastAsia="sk-SK"/>
      </w:rPr>
      <w:drawing>
        <wp:anchor distT="0" distB="0" distL="114300" distR="114300" simplePos="0" relativeHeight="251718656" behindDoc="0" locked="0" layoutInCell="1" allowOverlap="1" wp14:anchorId="650A8183" wp14:editId="5F175CEC">
          <wp:simplePos x="0" y="0"/>
          <wp:positionH relativeFrom="column">
            <wp:posOffset>-164465</wp:posOffset>
          </wp:positionH>
          <wp:positionV relativeFrom="paragraph">
            <wp:posOffset>-208280</wp:posOffset>
          </wp:positionV>
          <wp:extent cx="1679575" cy="616585"/>
          <wp:effectExtent l="0" t="0" r="0" b="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2E786" w14:textId="77777777" w:rsidR="006437BD" w:rsidRDefault="006437BD" w:rsidP="00E65AEF">
    <w:pPr>
      <w:pStyle w:val="Hlavika"/>
      <w:tabs>
        <w:tab w:val="clear" w:pos="4320"/>
        <w:tab w:val="clear" w:pos="8640"/>
        <w:tab w:val="left" w:pos="5520"/>
      </w:tabs>
      <w:ind w:left="-1276"/>
    </w:pPr>
    <w:r>
      <w:rPr>
        <w:noProof/>
        <w:lang w:eastAsia="sk-SK"/>
      </w:rPr>
      <w:drawing>
        <wp:anchor distT="0" distB="0" distL="114300" distR="114300" simplePos="0" relativeHeight="251712512" behindDoc="0" locked="0" layoutInCell="1" allowOverlap="1" wp14:anchorId="1E54BDE0" wp14:editId="340502AF">
          <wp:simplePos x="0" y="0"/>
          <wp:positionH relativeFrom="column">
            <wp:posOffset>-745490</wp:posOffset>
          </wp:positionH>
          <wp:positionV relativeFrom="paragraph">
            <wp:posOffset>-208280</wp:posOffset>
          </wp:positionV>
          <wp:extent cx="1679575" cy="616585"/>
          <wp:effectExtent l="0" t="0" r="0" b="0"/>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3076" w14:textId="77777777" w:rsidR="006437BD" w:rsidRDefault="006437BD" w:rsidP="008A65DF">
    <w:pPr>
      <w:pStyle w:val="Hlavika"/>
      <w:tabs>
        <w:tab w:val="clear" w:pos="4320"/>
        <w:tab w:val="clear" w:pos="8640"/>
        <w:tab w:val="left" w:pos="5520"/>
        <w:tab w:val="left" w:pos="6450"/>
      </w:tabs>
      <w:ind w:left="-567" w:firstLine="567"/>
    </w:pPr>
    <w:r>
      <w:rPr>
        <w:noProof/>
        <w:lang w:eastAsia="sk-SK"/>
      </w:rPr>
      <w:drawing>
        <wp:anchor distT="0" distB="0" distL="114300" distR="114300" simplePos="0" relativeHeight="251713536" behindDoc="0" locked="0" layoutInCell="1" allowOverlap="1" wp14:anchorId="3F44B1EA" wp14:editId="496A3CA4">
          <wp:simplePos x="0" y="0"/>
          <wp:positionH relativeFrom="column">
            <wp:posOffset>-171332</wp:posOffset>
          </wp:positionH>
          <wp:positionV relativeFrom="paragraph">
            <wp:posOffset>-208280</wp:posOffset>
          </wp:positionV>
          <wp:extent cx="1679575" cy="616585"/>
          <wp:effectExtent l="0" t="0" r="0" b="0"/>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name w:val="WW8Num7"/>
    <w:lvl w:ilvl="0">
      <w:start w:val="1"/>
      <w:numFmt w:val="bullet"/>
      <w:lvlText w:val="-"/>
      <w:lvlJc w:val="left"/>
      <w:pPr>
        <w:tabs>
          <w:tab w:val="num" w:pos="0"/>
        </w:tabs>
        <w:ind w:left="720" w:hanging="360"/>
      </w:pPr>
      <w:rPr>
        <w:rFonts w:ascii="Calibri" w:hAnsi="Calibri" w:cs="Calibri"/>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8BA0327"/>
    <w:multiLevelType w:val="multilevel"/>
    <w:tmpl w:val="37FC05DA"/>
    <w:lvl w:ilvl="0">
      <w:start w:val="1"/>
      <w:numFmt w:val="bullet"/>
      <w:lvlText w:val="-"/>
      <w:lvlJc w:val="left"/>
      <w:pPr>
        <w:ind w:left="720" w:hanging="360"/>
      </w:pPr>
      <w:rPr>
        <w:rFonts w:ascii="Calibri" w:eastAsia="Calibri" w:hAnsi="Calibri" w:cs="Calibri"/>
        <w:color w:val="00000A"/>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6"/>
        <w:szCs w:val="26"/>
      </w:rPr>
    </w:lvl>
    <w:lvl w:ilvl="3">
      <w:start w:val="1"/>
      <w:numFmt w:val="bullet"/>
      <w:lvlText w:val="●"/>
      <w:lvlJc w:val="left"/>
      <w:pPr>
        <w:ind w:left="2880" w:hanging="360"/>
      </w:pPr>
      <w:rPr>
        <w:rFonts w:ascii="Noto Sans Symbols" w:eastAsia="Noto Sans Symbols" w:hAnsi="Noto Sans Symbols" w:cs="Noto Sans Symbols"/>
        <w:b w:val="0"/>
        <w:sz w:val="20"/>
        <w:szCs w:val="20"/>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480928"/>
    <w:multiLevelType w:val="hybridMultilevel"/>
    <w:tmpl w:val="D1E830C2"/>
    <w:lvl w:ilvl="0" w:tplc="76E0F9EC">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cs="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Times New Roman"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Times New Roman" w:hint="default"/>
      </w:rPr>
    </w:lvl>
    <w:lvl w:ilvl="8" w:tplc="041B0005">
      <w:start w:val="1"/>
      <w:numFmt w:val="bullet"/>
      <w:lvlText w:val=""/>
      <w:lvlJc w:val="left"/>
      <w:pPr>
        <w:ind w:left="6480" w:hanging="360"/>
      </w:pPr>
      <w:rPr>
        <w:rFonts w:ascii="Wingdings" w:hAnsi="Wingdings" w:hint="default"/>
      </w:rPr>
    </w:lvl>
  </w:abstractNum>
  <w:abstractNum w:abstractNumId="3" w15:restartNumberingAfterBreak="0">
    <w:nsid w:val="0C0D0EE9"/>
    <w:multiLevelType w:val="hybridMultilevel"/>
    <w:tmpl w:val="87B6FBB4"/>
    <w:lvl w:ilvl="0" w:tplc="76E0F9E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C0E369A"/>
    <w:multiLevelType w:val="hybridMultilevel"/>
    <w:tmpl w:val="FC1EBFEC"/>
    <w:lvl w:ilvl="0" w:tplc="67D277AE">
      <w:start w:val="1"/>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D082ABA"/>
    <w:multiLevelType w:val="hybridMultilevel"/>
    <w:tmpl w:val="CCA465FE"/>
    <w:lvl w:ilvl="0" w:tplc="67D277AE">
      <w:start w:val="1"/>
      <w:numFmt w:val="bullet"/>
      <w:lvlText w:val="-"/>
      <w:lvlJc w:val="left"/>
      <w:pPr>
        <w:ind w:left="720" w:hanging="360"/>
      </w:pPr>
      <w:rPr>
        <w:rFonts w:ascii="Calibri" w:hAnsi="Calibr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FD46856"/>
    <w:multiLevelType w:val="hybridMultilevel"/>
    <w:tmpl w:val="F56013A6"/>
    <w:lvl w:ilvl="0" w:tplc="76E0F9E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1E821FF"/>
    <w:multiLevelType w:val="multilevel"/>
    <w:tmpl w:val="5B84362E"/>
    <w:lvl w:ilvl="0">
      <w:start w:val="1"/>
      <w:numFmt w:val="decimal"/>
      <w:pStyle w:val="Nadpis3"/>
      <w:lvlText w:val="10.9.%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9C69BC"/>
    <w:multiLevelType w:val="multilevel"/>
    <w:tmpl w:val="400A1C34"/>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9D40C21"/>
    <w:multiLevelType w:val="hybridMultilevel"/>
    <w:tmpl w:val="DBA4AEB4"/>
    <w:lvl w:ilvl="0" w:tplc="76E0F9EC">
      <w:numFmt w:val="bullet"/>
      <w:lvlText w:val="-"/>
      <w:lvlJc w:val="left"/>
      <w:pPr>
        <w:ind w:left="720" w:hanging="360"/>
      </w:pPr>
      <w:rPr>
        <w:rFonts w:ascii="Calibri" w:eastAsia="Times New Roman" w:hAnsi="Calibr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9DC3A61"/>
    <w:multiLevelType w:val="multilevel"/>
    <w:tmpl w:val="C6D8C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C743C3"/>
    <w:multiLevelType w:val="hybridMultilevel"/>
    <w:tmpl w:val="D5E411C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DD23719"/>
    <w:multiLevelType w:val="hybridMultilevel"/>
    <w:tmpl w:val="EB3AC9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1E80C24"/>
    <w:multiLevelType w:val="multilevel"/>
    <w:tmpl w:val="BAD65B7E"/>
    <w:lvl w:ilvl="0">
      <w:start w:val="1"/>
      <w:numFmt w:val="decimal"/>
      <w:pStyle w:val="Nadpis1"/>
      <w:lvlText w:val="%1."/>
      <w:lvlJc w:val="left"/>
      <w:pPr>
        <w:ind w:left="1070" w:hanging="360"/>
      </w:pPr>
      <w:rPr>
        <w:rFonts w:cs="Times New Roman" w:hint="default"/>
        <w:color w:val="auto"/>
      </w:rPr>
    </w:lvl>
    <w:lvl w:ilvl="1">
      <w:start w:val="1"/>
      <w:numFmt w:val="decimal"/>
      <w:pStyle w:val="Nadpis2"/>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8E46472"/>
    <w:multiLevelType w:val="hybridMultilevel"/>
    <w:tmpl w:val="6758040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5" w15:restartNumberingAfterBreak="0">
    <w:nsid w:val="2C5C0864"/>
    <w:multiLevelType w:val="hybridMultilevel"/>
    <w:tmpl w:val="34AAD374"/>
    <w:lvl w:ilvl="0" w:tplc="76E0F9E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9A53DBC"/>
    <w:multiLevelType w:val="multilevel"/>
    <w:tmpl w:val="A2E80EFE"/>
    <w:lvl w:ilvl="0">
      <w:start w:val="1"/>
      <w:numFmt w:val="decimal"/>
      <w:lvlText w:val="%1."/>
      <w:lvlJc w:val="left"/>
      <w:pPr>
        <w:ind w:left="720" w:hanging="360"/>
      </w:pPr>
      <w:rPr>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BE339E6"/>
    <w:multiLevelType w:val="hybridMultilevel"/>
    <w:tmpl w:val="B4F4A63C"/>
    <w:lvl w:ilvl="0" w:tplc="76E0F9E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DE83BF5"/>
    <w:multiLevelType w:val="multilevel"/>
    <w:tmpl w:val="DDB055D6"/>
    <w:lvl w:ilvl="0">
      <w:start w:val="1"/>
      <w:numFmt w:val="bullet"/>
      <w:lvlText w:val="-"/>
      <w:lvlJc w:val="left"/>
      <w:pPr>
        <w:ind w:left="720" w:hanging="360"/>
      </w:pPr>
      <w:rPr>
        <w:rFonts w:ascii="Calibri" w:eastAsia="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3FEA3634"/>
    <w:multiLevelType w:val="multilevel"/>
    <w:tmpl w:val="3FF27BE6"/>
    <w:lvl w:ilvl="0">
      <w:start w:val="1"/>
      <w:numFmt w:val="bullet"/>
      <w:lvlText w:val="-"/>
      <w:lvlJc w:val="left"/>
      <w:pPr>
        <w:ind w:left="720" w:hanging="360"/>
      </w:pPr>
      <w:rPr>
        <w:rFonts w:ascii="Calibri" w:eastAsia="Calibri" w:hAnsi="Calibri" w:cs="Calibri"/>
        <w:color w:val="00000A"/>
        <w:sz w:val="24"/>
        <w:szCs w:val="24"/>
        <w:highlight w:val="white"/>
        <w:u w:val="none"/>
      </w:rPr>
    </w:lvl>
    <w:lvl w:ilvl="1">
      <w:start w:val="1"/>
      <w:numFmt w:val="bullet"/>
      <w:lvlText w:val="o"/>
      <w:lvlJc w:val="left"/>
      <w:pPr>
        <w:ind w:left="1440" w:hanging="360"/>
      </w:pPr>
      <w:rPr>
        <w:rFonts w:ascii="Courier New" w:eastAsia="Courier New" w:hAnsi="Courier New" w:cs="Courier New"/>
        <w:b w:val="0"/>
        <w:color w:val="00000A"/>
        <w:sz w:val="24"/>
        <w:szCs w:val="24"/>
        <w:highlight w:val="white"/>
        <w:u w:val="none"/>
      </w:rPr>
    </w:lvl>
    <w:lvl w:ilvl="2">
      <w:start w:val="1"/>
      <w:numFmt w:val="bullet"/>
      <w:lvlText w:val="▪"/>
      <w:lvlJc w:val="left"/>
      <w:pPr>
        <w:ind w:left="2160" w:hanging="360"/>
      </w:pPr>
      <w:rPr>
        <w:rFonts w:ascii="Noto Sans Symbols" w:eastAsia="Noto Sans Symbols" w:hAnsi="Noto Sans Symbols" w:cs="Noto Sans Symbols"/>
        <w:color w:val="000000"/>
        <w:sz w:val="24"/>
        <w:szCs w:val="24"/>
        <w:u w:val="none"/>
      </w:rPr>
    </w:lvl>
    <w:lvl w:ilvl="3">
      <w:start w:val="1"/>
      <w:numFmt w:val="bullet"/>
      <w:lvlText w:val="●"/>
      <w:lvlJc w:val="left"/>
      <w:pPr>
        <w:ind w:left="2880" w:hanging="360"/>
      </w:pPr>
      <w:rPr>
        <w:rFonts w:ascii="Noto Sans Symbols" w:eastAsia="Noto Sans Symbols" w:hAnsi="Noto Sans Symbols" w:cs="Noto Sans Symbols"/>
        <w:color w:val="00000A"/>
        <w:sz w:val="24"/>
        <w:szCs w:val="24"/>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color w:val="00000A"/>
        <w:sz w:val="22"/>
        <w:szCs w:val="22"/>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2630082"/>
    <w:multiLevelType w:val="multilevel"/>
    <w:tmpl w:val="6E72A77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00F0B4B"/>
    <w:multiLevelType w:val="hybridMultilevel"/>
    <w:tmpl w:val="C63A2998"/>
    <w:lvl w:ilvl="0" w:tplc="76E0F9E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508E25BA"/>
    <w:multiLevelType w:val="hybridMultilevel"/>
    <w:tmpl w:val="1ABC1B80"/>
    <w:lvl w:ilvl="0" w:tplc="B1D6EFAA">
      <w:numFmt w:val="bullet"/>
      <w:lvlText w:val="-"/>
      <w:lvlJc w:val="left"/>
      <w:pPr>
        <w:ind w:left="7023" w:hanging="360"/>
      </w:pPr>
      <w:rPr>
        <w:rFonts w:ascii="Calibri Light" w:eastAsia="Times New Roman" w:hAnsi="Calibri Light" w:cs="Calibri Light"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3" w15:restartNumberingAfterBreak="0">
    <w:nsid w:val="517A68F0"/>
    <w:multiLevelType w:val="hybridMultilevel"/>
    <w:tmpl w:val="10D6649A"/>
    <w:lvl w:ilvl="0" w:tplc="041B0001">
      <w:start w:val="1"/>
      <w:numFmt w:val="bullet"/>
      <w:lvlText w:val=""/>
      <w:lvlJc w:val="left"/>
      <w:pPr>
        <w:ind w:left="360" w:hanging="360"/>
      </w:pPr>
      <w:rPr>
        <w:rFonts w:ascii="Symbol" w:hAnsi="Symbol" w:hint="default"/>
      </w:rPr>
    </w:lvl>
    <w:lvl w:ilvl="1" w:tplc="76E0F9EC">
      <w:numFmt w:val="bullet"/>
      <w:lvlText w:val="-"/>
      <w:lvlJc w:val="left"/>
      <w:pPr>
        <w:ind w:left="1080" w:hanging="360"/>
      </w:pPr>
      <w:rPr>
        <w:rFonts w:ascii="Calibri" w:eastAsia="Times New Roman" w:hAnsi="Calibri"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4" w15:restartNumberingAfterBreak="0">
    <w:nsid w:val="56A11D9A"/>
    <w:multiLevelType w:val="multilevel"/>
    <w:tmpl w:val="98020D3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sz w:val="24"/>
        <w:szCs w:val="24"/>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7BC0E17"/>
    <w:multiLevelType w:val="hybridMultilevel"/>
    <w:tmpl w:val="61708DBE"/>
    <w:lvl w:ilvl="0" w:tplc="67D277AE">
      <w:start w:val="1"/>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7FD3DEF"/>
    <w:multiLevelType w:val="hybridMultilevel"/>
    <w:tmpl w:val="910C0D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D8B6E3D"/>
    <w:multiLevelType w:val="hybridMultilevel"/>
    <w:tmpl w:val="6590DACE"/>
    <w:lvl w:ilvl="0" w:tplc="76E0F9EC">
      <w:numFmt w:val="bullet"/>
      <w:lvlText w:val="-"/>
      <w:lvlJc w:val="left"/>
      <w:pPr>
        <w:ind w:left="502" w:hanging="360"/>
      </w:pPr>
      <w:rPr>
        <w:rFonts w:ascii="Calibri" w:eastAsia="Times New Roman" w:hAnsi="Calibri" w:hint="default"/>
      </w:rPr>
    </w:lvl>
    <w:lvl w:ilvl="1" w:tplc="041B0003">
      <w:start w:val="1"/>
      <w:numFmt w:val="decimal"/>
      <w:lvlText w:val="%2."/>
      <w:lvlJc w:val="left"/>
      <w:pPr>
        <w:tabs>
          <w:tab w:val="num" w:pos="1222"/>
        </w:tabs>
        <w:ind w:left="1222" w:hanging="360"/>
      </w:pPr>
      <w:rPr>
        <w:rFonts w:cs="Times New Roman"/>
      </w:rPr>
    </w:lvl>
    <w:lvl w:ilvl="2" w:tplc="041B0005">
      <w:start w:val="1"/>
      <w:numFmt w:val="decimal"/>
      <w:lvlText w:val="%3."/>
      <w:lvlJc w:val="left"/>
      <w:pPr>
        <w:tabs>
          <w:tab w:val="num" w:pos="1942"/>
        </w:tabs>
        <w:ind w:left="1942" w:hanging="360"/>
      </w:pPr>
      <w:rPr>
        <w:rFonts w:cs="Times New Roman"/>
      </w:rPr>
    </w:lvl>
    <w:lvl w:ilvl="3" w:tplc="041B0001">
      <w:start w:val="1"/>
      <w:numFmt w:val="decimal"/>
      <w:lvlText w:val="%4."/>
      <w:lvlJc w:val="left"/>
      <w:pPr>
        <w:tabs>
          <w:tab w:val="num" w:pos="2662"/>
        </w:tabs>
        <w:ind w:left="2662" w:hanging="360"/>
      </w:pPr>
      <w:rPr>
        <w:rFonts w:cs="Times New Roman"/>
      </w:rPr>
    </w:lvl>
    <w:lvl w:ilvl="4" w:tplc="041B0003">
      <w:start w:val="1"/>
      <w:numFmt w:val="decimal"/>
      <w:lvlText w:val="%5."/>
      <w:lvlJc w:val="left"/>
      <w:pPr>
        <w:tabs>
          <w:tab w:val="num" w:pos="3382"/>
        </w:tabs>
        <w:ind w:left="3382" w:hanging="360"/>
      </w:pPr>
      <w:rPr>
        <w:rFonts w:cs="Times New Roman"/>
      </w:rPr>
    </w:lvl>
    <w:lvl w:ilvl="5" w:tplc="041B0005">
      <w:start w:val="1"/>
      <w:numFmt w:val="decimal"/>
      <w:lvlText w:val="%6."/>
      <w:lvlJc w:val="left"/>
      <w:pPr>
        <w:tabs>
          <w:tab w:val="num" w:pos="4102"/>
        </w:tabs>
        <w:ind w:left="4102" w:hanging="360"/>
      </w:pPr>
      <w:rPr>
        <w:rFonts w:cs="Times New Roman"/>
      </w:rPr>
    </w:lvl>
    <w:lvl w:ilvl="6" w:tplc="041B0001">
      <w:start w:val="1"/>
      <w:numFmt w:val="decimal"/>
      <w:lvlText w:val="%7."/>
      <w:lvlJc w:val="left"/>
      <w:pPr>
        <w:tabs>
          <w:tab w:val="num" w:pos="4822"/>
        </w:tabs>
        <w:ind w:left="4822" w:hanging="360"/>
      </w:pPr>
      <w:rPr>
        <w:rFonts w:cs="Times New Roman"/>
      </w:rPr>
    </w:lvl>
    <w:lvl w:ilvl="7" w:tplc="041B0003">
      <w:start w:val="1"/>
      <w:numFmt w:val="decimal"/>
      <w:lvlText w:val="%8."/>
      <w:lvlJc w:val="left"/>
      <w:pPr>
        <w:tabs>
          <w:tab w:val="num" w:pos="5542"/>
        </w:tabs>
        <w:ind w:left="5542" w:hanging="360"/>
      </w:pPr>
      <w:rPr>
        <w:rFonts w:cs="Times New Roman"/>
      </w:rPr>
    </w:lvl>
    <w:lvl w:ilvl="8" w:tplc="041B0005">
      <w:start w:val="1"/>
      <w:numFmt w:val="decimal"/>
      <w:lvlText w:val="%9."/>
      <w:lvlJc w:val="left"/>
      <w:pPr>
        <w:tabs>
          <w:tab w:val="num" w:pos="6262"/>
        </w:tabs>
        <w:ind w:left="6262" w:hanging="360"/>
      </w:pPr>
      <w:rPr>
        <w:rFonts w:cs="Times New Roman"/>
      </w:rPr>
    </w:lvl>
  </w:abstractNum>
  <w:abstractNum w:abstractNumId="28" w15:restartNumberingAfterBreak="0">
    <w:nsid w:val="62E130A9"/>
    <w:multiLevelType w:val="hybridMultilevel"/>
    <w:tmpl w:val="1EF2A240"/>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34F2BE0"/>
    <w:multiLevelType w:val="multilevel"/>
    <w:tmpl w:val="E0B051F8"/>
    <w:lvl w:ilvl="0">
      <w:start w:val="1"/>
      <w:numFmt w:val="bullet"/>
      <w:lvlText w:val="-"/>
      <w:lvlJc w:val="left"/>
      <w:pPr>
        <w:ind w:left="720" w:hanging="360"/>
      </w:pPr>
      <w:rPr>
        <w:rFonts w:ascii="Calibri" w:eastAsia="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64F02655"/>
    <w:multiLevelType w:val="hybridMultilevel"/>
    <w:tmpl w:val="9C96BF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8944FC1"/>
    <w:multiLevelType w:val="multilevel"/>
    <w:tmpl w:val="C36447C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BAF7A26"/>
    <w:multiLevelType w:val="hybridMultilevel"/>
    <w:tmpl w:val="A49448C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3" w15:restartNumberingAfterBreak="0">
    <w:nsid w:val="6C861B94"/>
    <w:multiLevelType w:val="hybridMultilevel"/>
    <w:tmpl w:val="FD6CB3E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4" w15:restartNumberingAfterBreak="0">
    <w:nsid w:val="6CAB1ED7"/>
    <w:multiLevelType w:val="hybridMultilevel"/>
    <w:tmpl w:val="ACB2B0A4"/>
    <w:lvl w:ilvl="0" w:tplc="76E0F9E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FBA0F9F"/>
    <w:multiLevelType w:val="hybridMultilevel"/>
    <w:tmpl w:val="DA80179C"/>
    <w:lvl w:ilvl="0" w:tplc="67D277AE">
      <w:start w:val="1"/>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70554440"/>
    <w:multiLevelType w:val="hybridMultilevel"/>
    <w:tmpl w:val="F594C47A"/>
    <w:lvl w:ilvl="0" w:tplc="76E0F9E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745B26E6"/>
    <w:multiLevelType w:val="hybridMultilevel"/>
    <w:tmpl w:val="11C63B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7B3C7D75"/>
    <w:multiLevelType w:val="multilevel"/>
    <w:tmpl w:val="A0B6CC6A"/>
    <w:lvl w:ilvl="0">
      <w:start w:val="1"/>
      <w:numFmt w:val="bullet"/>
      <w:lvlText w:val="-"/>
      <w:lvlJc w:val="left"/>
      <w:pPr>
        <w:ind w:left="720" w:hanging="360"/>
      </w:pPr>
      <w:rPr>
        <w:rFonts w:ascii="Calibri" w:eastAsia="Calibri" w:hAnsi="Calibri" w:cs="Calibri"/>
        <w:sz w:val="26"/>
        <w:szCs w:val="26"/>
      </w:rPr>
    </w:lvl>
    <w:lvl w:ilvl="1">
      <w:start w:val="1"/>
      <w:numFmt w:val="bullet"/>
      <w:lvlText w:val="o"/>
      <w:lvlJc w:val="left"/>
      <w:pPr>
        <w:ind w:left="1440" w:hanging="360"/>
      </w:pPr>
      <w:rPr>
        <w:rFonts w:ascii="Courier New" w:eastAsia="Courier New" w:hAnsi="Courier New" w:cs="Courier New"/>
        <w:b/>
      </w:rPr>
    </w:lvl>
    <w:lvl w:ilvl="2">
      <w:start w:val="1"/>
      <w:numFmt w:val="bullet"/>
      <w:lvlText w:val="▪"/>
      <w:lvlJc w:val="left"/>
      <w:pPr>
        <w:ind w:left="2160" w:hanging="360"/>
      </w:pPr>
      <w:rPr>
        <w:rFonts w:ascii="Noto Sans Symbols" w:eastAsia="Noto Sans Symbols" w:hAnsi="Noto Sans Symbols" w:cs="Noto Sans Symbols"/>
        <w:sz w:val="24"/>
        <w:szCs w:val="24"/>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E1A7776"/>
    <w:multiLevelType w:val="hybridMultilevel"/>
    <w:tmpl w:val="5BA658EA"/>
    <w:lvl w:ilvl="0" w:tplc="76E0F9E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32"/>
  </w:num>
  <w:num w:numId="4">
    <w:abstractNumId w:val="6"/>
  </w:num>
  <w:num w:numId="5">
    <w:abstractNumId w:val="15"/>
  </w:num>
  <w:num w:numId="6">
    <w:abstractNumId w:val="2"/>
  </w:num>
  <w:num w:numId="7">
    <w:abstractNumId w:val="8"/>
  </w:num>
  <w:num w:numId="8">
    <w:abstractNumId w:val="9"/>
  </w:num>
  <w:num w:numId="9">
    <w:abstractNumId w:val="28"/>
  </w:num>
  <w:num w:numId="10">
    <w:abstractNumId w:val="23"/>
  </w:num>
  <w:num w:numId="11">
    <w:abstractNumId w:val="39"/>
  </w:num>
  <w:num w:numId="12">
    <w:abstractNumId w:val="3"/>
  </w:num>
  <w:num w:numId="13">
    <w:abstractNumId w:val="17"/>
  </w:num>
  <w:num w:numId="14">
    <w:abstractNumId w:val="21"/>
  </w:num>
  <w:num w:numId="15">
    <w:abstractNumId w:val="34"/>
  </w:num>
  <w:num w:numId="16">
    <w:abstractNumId w:val="36"/>
  </w:num>
  <w:num w:numId="17">
    <w:abstractNumId w:val="25"/>
  </w:num>
  <w:num w:numId="18">
    <w:abstractNumId w:val="35"/>
  </w:num>
  <w:num w:numId="19">
    <w:abstractNumId w:val="5"/>
  </w:num>
  <w:num w:numId="20">
    <w:abstractNumId w:val="22"/>
  </w:num>
  <w:num w:numId="21">
    <w:abstractNumId w:val="7"/>
  </w:num>
  <w:num w:numId="22">
    <w:abstractNumId w:val="4"/>
  </w:num>
  <w:num w:numId="23">
    <w:abstractNumId w:val="4"/>
  </w:num>
  <w:num w:numId="24">
    <w:abstractNumId w:val="26"/>
  </w:num>
  <w:num w:numId="25">
    <w:abstractNumId w:val="37"/>
  </w:num>
  <w:num w:numId="26">
    <w:abstractNumId w:val="11"/>
  </w:num>
  <w:num w:numId="27">
    <w:abstractNumId w:val="16"/>
  </w:num>
  <w:num w:numId="28">
    <w:abstractNumId w:val="12"/>
  </w:num>
  <w:num w:numId="29">
    <w:abstractNumId w:val="30"/>
  </w:num>
  <w:num w:numId="30">
    <w:abstractNumId w:val="33"/>
  </w:num>
  <w:num w:numId="31">
    <w:abstractNumId w:val="14"/>
  </w:num>
  <w:num w:numId="32">
    <w:abstractNumId w:val="31"/>
  </w:num>
  <w:num w:numId="33">
    <w:abstractNumId w:val="19"/>
  </w:num>
  <w:num w:numId="34">
    <w:abstractNumId w:val="24"/>
  </w:num>
  <w:num w:numId="35">
    <w:abstractNumId w:val="10"/>
  </w:num>
  <w:num w:numId="36">
    <w:abstractNumId w:val="29"/>
  </w:num>
  <w:num w:numId="37">
    <w:abstractNumId w:val="38"/>
  </w:num>
  <w:num w:numId="38">
    <w:abstractNumId w:val="18"/>
  </w:num>
  <w:num w:numId="39">
    <w:abstractNumId w:val="20"/>
  </w:num>
  <w:num w:numId="40">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ttachedTemplate r:id="rId1"/>
  <w:defaultTabStop w:val="720"/>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AFD"/>
    <w:rsid w:val="00000016"/>
    <w:rsid w:val="000000E1"/>
    <w:rsid w:val="00000106"/>
    <w:rsid w:val="00000267"/>
    <w:rsid w:val="0000029A"/>
    <w:rsid w:val="000002E8"/>
    <w:rsid w:val="00000678"/>
    <w:rsid w:val="0000071B"/>
    <w:rsid w:val="0000074A"/>
    <w:rsid w:val="00000945"/>
    <w:rsid w:val="00000965"/>
    <w:rsid w:val="00000ED1"/>
    <w:rsid w:val="00001054"/>
    <w:rsid w:val="00001106"/>
    <w:rsid w:val="00001AC7"/>
    <w:rsid w:val="00001D34"/>
    <w:rsid w:val="00002373"/>
    <w:rsid w:val="0000273D"/>
    <w:rsid w:val="00002857"/>
    <w:rsid w:val="000028CB"/>
    <w:rsid w:val="0000292F"/>
    <w:rsid w:val="00002B69"/>
    <w:rsid w:val="00002BB4"/>
    <w:rsid w:val="00002E8D"/>
    <w:rsid w:val="00002F58"/>
    <w:rsid w:val="00003305"/>
    <w:rsid w:val="00003743"/>
    <w:rsid w:val="00004052"/>
    <w:rsid w:val="00004709"/>
    <w:rsid w:val="00004A6E"/>
    <w:rsid w:val="00004C20"/>
    <w:rsid w:val="00004D48"/>
    <w:rsid w:val="00004FCA"/>
    <w:rsid w:val="00005148"/>
    <w:rsid w:val="000056D5"/>
    <w:rsid w:val="00005D58"/>
    <w:rsid w:val="00005EBC"/>
    <w:rsid w:val="000061E2"/>
    <w:rsid w:val="0000636D"/>
    <w:rsid w:val="00006449"/>
    <w:rsid w:val="00006514"/>
    <w:rsid w:val="0000692B"/>
    <w:rsid w:val="00006B7D"/>
    <w:rsid w:val="00007034"/>
    <w:rsid w:val="00007149"/>
    <w:rsid w:val="0000755F"/>
    <w:rsid w:val="000078FD"/>
    <w:rsid w:val="00007970"/>
    <w:rsid w:val="00007ABB"/>
    <w:rsid w:val="00007BC7"/>
    <w:rsid w:val="00007ED2"/>
    <w:rsid w:val="00010055"/>
    <w:rsid w:val="000100BE"/>
    <w:rsid w:val="000105FC"/>
    <w:rsid w:val="0001070B"/>
    <w:rsid w:val="000108F8"/>
    <w:rsid w:val="00010961"/>
    <w:rsid w:val="00010DED"/>
    <w:rsid w:val="0001101B"/>
    <w:rsid w:val="0001119F"/>
    <w:rsid w:val="000117BF"/>
    <w:rsid w:val="00011809"/>
    <w:rsid w:val="00011829"/>
    <w:rsid w:val="00011BE1"/>
    <w:rsid w:val="00011C23"/>
    <w:rsid w:val="00011E57"/>
    <w:rsid w:val="00012092"/>
    <w:rsid w:val="00012400"/>
    <w:rsid w:val="000124C3"/>
    <w:rsid w:val="000127C4"/>
    <w:rsid w:val="00012802"/>
    <w:rsid w:val="000131CE"/>
    <w:rsid w:val="000137B8"/>
    <w:rsid w:val="00013DC7"/>
    <w:rsid w:val="00013E8B"/>
    <w:rsid w:val="00014016"/>
    <w:rsid w:val="000141E9"/>
    <w:rsid w:val="000142A5"/>
    <w:rsid w:val="000142C3"/>
    <w:rsid w:val="000146EF"/>
    <w:rsid w:val="000147BC"/>
    <w:rsid w:val="00014B62"/>
    <w:rsid w:val="00014F3A"/>
    <w:rsid w:val="00015131"/>
    <w:rsid w:val="00015336"/>
    <w:rsid w:val="0001534C"/>
    <w:rsid w:val="000155D6"/>
    <w:rsid w:val="0001586A"/>
    <w:rsid w:val="000158CF"/>
    <w:rsid w:val="00015B3E"/>
    <w:rsid w:val="00015B87"/>
    <w:rsid w:val="00015F3C"/>
    <w:rsid w:val="00015F86"/>
    <w:rsid w:val="00016533"/>
    <w:rsid w:val="00016598"/>
    <w:rsid w:val="000166B5"/>
    <w:rsid w:val="0001678D"/>
    <w:rsid w:val="00016BA5"/>
    <w:rsid w:val="00016F2F"/>
    <w:rsid w:val="000173A5"/>
    <w:rsid w:val="00017448"/>
    <w:rsid w:val="000174DA"/>
    <w:rsid w:val="00017591"/>
    <w:rsid w:val="00017907"/>
    <w:rsid w:val="000179DB"/>
    <w:rsid w:val="00017B54"/>
    <w:rsid w:val="00017D66"/>
    <w:rsid w:val="00017E11"/>
    <w:rsid w:val="000203BB"/>
    <w:rsid w:val="0002043B"/>
    <w:rsid w:val="00020652"/>
    <w:rsid w:val="00020A18"/>
    <w:rsid w:val="00020A56"/>
    <w:rsid w:val="00020F8E"/>
    <w:rsid w:val="000211A1"/>
    <w:rsid w:val="00021295"/>
    <w:rsid w:val="000214C2"/>
    <w:rsid w:val="000218B5"/>
    <w:rsid w:val="00021BFB"/>
    <w:rsid w:val="00021D4A"/>
    <w:rsid w:val="0002203D"/>
    <w:rsid w:val="000224D6"/>
    <w:rsid w:val="0002252D"/>
    <w:rsid w:val="00022650"/>
    <w:rsid w:val="000229E0"/>
    <w:rsid w:val="00022A3C"/>
    <w:rsid w:val="00022CB1"/>
    <w:rsid w:val="00022D61"/>
    <w:rsid w:val="00023180"/>
    <w:rsid w:val="00023469"/>
    <w:rsid w:val="000236A8"/>
    <w:rsid w:val="000237BD"/>
    <w:rsid w:val="0002392C"/>
    <w:rsid w:val="00023B13"/>
    <w:rsid w:val="00023B1E"/>
    <w:rsid w:val="00023E22"/>
    <w:rsid w:val="0002401C"/>
    <w:rsid w:val="000241F5"/>
    <w:rsid w:val="00024302"/>
    <w:rsid w:val="000246F7"/>
    <w:rsid w:val="00024B56"/>
    <w:rsid w:val="00024BB8"/>
    <w:rsid w:val="000250FD"/>
    <w:rsid w:val="00025139"/>
    <w:rsid w:val="0002523C"/>
    <w:rsid w:val="0002534A"/>
    <w:rsid w:val="0002554E"/>
    <w:rsid w:val="00025732"/>
    <w:rsid w:val="0002578D"/>
    <w:rsid w:val="0002580A"/>
    <w:rsid w:val="0002594F"/>
    <w:rsid w:val="00025B0A"/>
    <w:rsid w:val="00025E63"/>
    <w:rsid w:val="00025ECC"/>
    <w:rsid w:val="000261E0"/>
    <w:rsid w:val="00026364"/>
    <w:rsid w:val="0002639C"/>
    <w:rsid w:val="000264BC"/>
    <w:rsid w:val="000265D2"/>
    <w:rsid w:val="0002675E"/>
    <w:rsid w:val="00026862"/>
    <w:rsid w:val="00026C2A"/>
    <w:rsid w:val="00027017"/>
    <w:rsid w:val="00027159"/>
    <w:rsid w:val="000273E4"/>
    <w:rsid w:val="000276EA"/>
    <w:rsid w:val="000276F4"/>
    <w:rsid w:val="00027947"/>
    <w:rsid w:val="00027AD5"/>
    <w:rsid w:val="00027F17"/>
    <w:rsid w:val="000304A3"/>
    <w:rsid w:val="000305C7"/>
    <w:rsid w:val="00030632"/>
    <w:rsid w:val="00030734"/>
    <w:rsid w:val="00030814"/>
    <w:rsid w:val="0003095E"/>
    <w:rsid w:val="00030B83"/>
    <w:rsid w:val="00030C92"/>
    <w:rsid w:val="00030CFB"/>
    <w:rsid w:val="00030F71"/>
    <w:rsid w:val="00031077"/>
    <w:rsid w:val="000310E2"/>
    <w:rsid w:val="0003133D"/>
    <w:rsid w:val="00031508"/>
    <w:rsid w:val="000316B1"/>
    <w:rsid w:val="0003183D"/>
    <w:rsid w:val="0003186D"/>
    <w:rsid w:val="00031894"/>
    <w:rsid w:val="00031C76"/>
    <w:rsid w:val="000320A6"/>
    <w:rsid w:val="000321E4"/>
    <w:rsid w:val="000326E3"/>
    <w:rsid w:val="00032801"/>
    <w:rsid w:val="00032B31"/>
    <w:rsid w:val="00032C95"/>
    <w:rsid w:val="00033364"/>
    <w:rsid w:val="00033407"/>
    <w:rsid w:val="0003372B"/>
    <w:rsid w:val="00033AFE"/>
    <w:rsid w:val="00033B8D"/>
    <w:rsid w:val="00033F1C"/>
    <w:rsid w:val="00033F4C"/>
    <w:rsid w:val="00034083"/>
    <w:rsid w:val="000340B4"/>
    <w:rsid w:val="000340FF"/>
    <w:rsid w:val="0003464A"/>
    <w:rsid w:val="000346FB"/>
    <w:rsid w:val="000349F0"/>
    <w:rsid w:val="00034B13"/>
    <w:rsid w:val="0003561F"/>
    <w:rsid w:val="0003567F"/>
    <w:rsid w:val="0003592C"/>
    <w:rsid w:val="00035A78"/>
    <w:rsid w:val="00035B01"/>
    <w:rsid w:val="00035C5D"/>
    <w:rsid w:val="00035EDE"/>
    <w:rsid w:val="00036073"/>
    <w:rsid w:val="00036149"/>
    <w:rsid w:val="000361EE"/>
    <w:rsid w:val="000362B8"/>
    <w:rsid w:val="000363E2"/>
    <w:rsid w:val="0003661A"/>
    <w:rsid w:val="00036C5A"/>
    <w:rsid w:val="00036D2B"/>
    <w:rsid w:val="00036E1C"/>
    <w:rsid w:val="00037216"/>
    <w:rsid w:val="00037527"/>
    <w:rsid w:val="00037771"/>
    <w:rsid w:val="000377CB"/>
    <w:rsid w:val="00037834"/>
    <w:rsid w:val="000379AE"/>
    <w:rsid w:val="00037DC6"/>
    <w:rsid w:val="00037DF9"/>
    <w:rsid w:val="0004001B"/>
    <w:rsid w:val="00040360"/>
    <w:rsid w:val="0004062A"/>
    <w:rsid w:val="000406BE"/>
    <w:rsid w:val="00040892"/>
    <w:rsid w:val="00040A0E"/>
    <w:rsid w:val="00040A79"/>
    <w:rsid w:val="00040EFD"/>
    <w:rsid w:val="0004108F"/>
    <w:rsid w:val="0004122C"/>
    <w:rsid w:val="000415FA"/>
    <w:rsid w:val="000416F0"/>
    <w:rsid w:val="00041879"/>
    <w:rsid w:val="000418CB"/>
    <w:rsid w:val="00041A43"/>
    <w:rsid w:val="00041B1F"/>
    <w:rsid w:val="00041E49"/>
    <w:rsid w:val="000420F7"/>
    <w:rsid w:val="000423FD"/>
    <w:rsid w:val="000426E1"/>
    <w:rsid w:val="000427BF"/>
    <w:rsid w:val="00042AC3"/>
    <w:rsid w:val="00042C0F"/>
    <w:rsid w:val="00042E20"/>
    <w:rsid w:val="00042F16"/>
    <w:rsid w:val="00042FAE"/>
    <w:rsid w:val="00043040"/>
    <w:rsid w:val="0004332E"/>
    <w:rsid w:val="00043480"/>
    <w:rsid w:val="00043481"/>
    <w:rsid w:val="0004365B"/>
    <w:rsid w:val="00043BF3"/>
    <w:rsid w:val="00043C65"/>
    <w:rsid w:val="00043CE6"/>
    <w:rsid w:val="00043F30"/>
    <w:rsid w:val="00043F67"/>
    <w:rsid w:val="00044257"/>
    <w:rsid w:val="00044262"/>
    <w:rsid w:val="000443D5"/>
    <w:rsid w:val="00044425"/>
    <w:rsid w:val="00044644"/>
    <w:rsid w:val="00044845"/>
    <w:rsid w:val="000448AD"/>
    <w:rsid w:val="00044D5B"/>
    <w:rsid w:val="0004506F"/>
    <w:rsid w:val="0004531A"/>
    <w:rsid w:val="000453D6"/>
    <w:rsid w:val="000455B4"/>
    <w:rsid w:val="00045787"/>
    <w:rsid w:val="00045802"/>
    <w:rsid w:val="00045843"/>
    <w:rsid w:val="0004585D"/>
    <w:rsid w:val="0004591F"/>
    <w:rsid w:val="00045AB4"/>
    <w:rsid w:val="00045B59"/>
    <w:rsid w:val="00045C09"/>
    <w:rsid w:val="00045E4F"/>
    <w:rsid w:val="0004603A"/>
    <w:rsid w:val="000461D3"/>
    <w:rsid w:val="000461FE"/>
    <w:rsid w:val="0004623E"/>
    <w:rsid w:val="00046698"/>
    <w:rsid w:val="00046D80"/>
    <w:rsid w:val="00046EF7"/>
    <w:rsid w:val="000470C5"/>
    <w:rsid w:val="00047430"/>
    <w:rsid w:val="000474FE"/>
    <w:rsid w:val="00047565"/>
    <w:rsid w:val="00047648"/>
    <w:rsid w:val="0004777E"/>
    <w:rsid w:val="00047ABE"/>
    <w:rsid w:val="00047AF3"/>
    <w:rsid w:val="000500F0"/>
    <w:rsid w:val="000501A3"/>
    <w:rsid w:val="00050732"/>
    <w:rsid w:val="00050A50"/>
    <w:rsid w:val="00050A7E"/>
    <w:rsid w:val="00050D92"/>
    <w:rsid w:val="00051109"/>
    <w:rsid w:val="0005198A"/>
    <w:rsid w:val="00051A7A"/>
    <w:rsid w:val="00051BE9"/>
    <w:rsid w:val="00051EA3"/>
    <w:rsid w:val="0005212D"/>
    <w:rsid w:val="00052490"/>
    <w:rsid w:val="0005252F"/>
    <w:rsid w:val="0005261C"/>
    <w:rsid w:val="000526F2"/>
    <w:rsid w:val="00052D9A"/>
    <w:rsid w:val="00052EEE"/>
    <w:rsid w:val="00052F53"/>
    <w:rsid w:val="00052FBE"/>
    <w:rsid w:val="00052FDF"/>
    <w:rsid w:val="00053077"/>
    <w:rsid w:val="000530A5"/>
    <w:rsid w:val="00053169"/>
    <w:rsid w:val="00053AB4"/>
    <w:rsid w:val="00053B2A"/>
    <w:rsid w:val="00053D4D"/>
    <w:rsid w:val="000541D9"/>
    <w:rsid w:val="00054A6B"/>
    <w:rsid w:val="00054DE2"/>
    <w:rsid w:val="00055233"/>
    <w:rsid w:val="00055345"/>
    <w:rsid w:val="00055440"/>
    <w:rsid w:val="000555A4"/>
    <w:rsid w:val="00055952"/>
    <w:rsid w:val="00055959"/>
    <w:rsid w:val="00055D38"/>
    <w:rsid w:val="00055DCB"/>
    <w:rsid w:val="00056091"/>
    <w:rsid w:val="000563AC"/>
    <w:rsid w:val="000564FF"/>
    <w:rsid w:val="00056549"/>
    <w:rsid w:val="00056747"/>
    <w:rsid w:val="00056AC6"/>
    <w:rsid w:val="00056BEB"/>
    <w:rsid w:val="00056EA2"/>
    <w:rsid w:val="00057056"/>
    <w:rsid w:val="00057227"/>
    <w:rsid w:val="000573B4"/>
    <w:rsid w:val="00057402"/>
    <w:rsid w:val="00057FD5"/>
    <w:rsid w:val="000604C3"/>
    <w:rsid w:val="00060563"/>
    <w:rsid w:val="000606BF"/>
    <w:rsid w:val="00060ACA"/>
    <w:rsid w:val="00060AF4"/>
    <w:rsid w:val="00060D1F"/>
    <w:rsid w:val="00060D96"/>
    <w:rsid w:val="0006119B"/>
    <w:rsid w:val="000612A4"/>
    <w:rsid w:val="0006137A"/>
    <w:rsid w:val="000614DD"/>
    <w:rsid w:val="00061529"/>
    <w:rsid w:val="000617BA"/>
    <w:rsid w:val="00061918"/>
    <w:rsid w:val="000619E3"/>
    <w:rsid w:val="000619EA"/>
    <w:rsid w:val="00061AC5"/>
    <w:rsid w:val="00061F04"/>
    <w:rsid w:val="00061FFD"/>
    <w:rsid w:val="00062149"/>
    <w:rsid w:val="000622A4"/>
    <w:rsid w:val="000623C3"/>
    <w:rsid w:val="00062A16"/>
    <w:rsid w:val="00062A71"/>
    <w:rsid w:val="00062F1B"/>
    <w:rsid w:val="0006307B"/>
    <w:rsid w:val="00063082"/>
    <w:rsid w:val="0006312F"/>
    <w:rsid w:val="0006326F"/>
    <w:rsid w:val="0006392D"/>
    <w:rsid w:val="00063A8B"/>
    <w:rsid w:val="00063B08"/>
    <w:rsid w:val="00063DCF"/>
    <w:rsid w:val="000641D4"/>
    <w:rsid w:val="00064704"/>
    <w:rsid w:val="000647C2"/>
    <w:rsid w:val="000649FF"/>
    <w:rsid w:val="00064AFC"/>
    <w:rsid w:val="00064CA2"/>
    <w:rsid w:val="00064E39"/>
    <w:rsid w:val="00065421"/>
    <w:rsid w:val="000656A2"/>
    <w:rsid w:val="000657E8"/>
    <w:rsid w:val="000658AB"/>
    <w:rsid w:val="000659A4"/>
    <w:rsid w:val="0006610C"/>
    <w:rsid w:val="00066193"/>
    <w:rsid w:val="00066198"/>
    <w:rsid w:val="000662A6"/>
    <w:rsid w:val="0006644A"/>
    <w:rsid w:val="000666F5"/>
    <w:rsid w:val="00066783"/>
    <w:rsid w:val="00066DFF"/>
    <w:rsid w:val="00066F35"/>
    <w:rsid w:val="00067134"/>
    <w:rsid w:val="0006756D"/>
    <w:rsid w:val="0006774C"/>
    <w:rsid w:val="00067956"/>
    <w:rsid w:val="00067F11"/>
    <w:rsid w:val="00067FC0"/>
    <w:rsid w:val="00070437"/>
    <w:rsid w:val="00070600"/>
    <w:rsid w:val="000706B5"/>
    <w:rsid w:val="0007073E"/>
    <w:rsid w:val="000707F8"/>
    <w:rsid w:val="00070B1A"/>
    <w:rsid w:val="00070D54"/>
    <w:rsid w:val="00070F19"/>
    <w:rsid w:val="0007100B"/>
    <w:rsid w:val="000712C7"/>
    <w:rsid w:val="000712E1"/>
    <w:rsid w:val="0007131A"/>
    <w:rsid w:val="0007167B"/>
    <w:rsid w:val="000717DC"/>
    <w:rsid w:val="00071933"/>
    <w:rsid w:val="00071947"/>
    <w:rsid w:val="00071BCE"/>
    <w:rsid w:val="00071F8C"/>
    <w:rsid w:val="000722D3"/>
    <w:rsid w:val="00072923"/>
    <w:rsid w:val="00072CE3"/>
    <w:rsid w:val="00072FDF"/>
    <w:rsid w:val="00073302"/>
    <w:rsid w:val="00073656"/>
    <w:rsid w:val="00073C84"/>
    <w:rsid w:val="00073CEC"/>
    <w:rsid w:val="00073D40"/>
    <w:rsid w:val="00073D47"/>
    <w:rsid w:val="00073E58"/>
    <w:rsid w:val="0007405D"/>
    <w:rsid w:val="00074060"/>
    <w:rsid w:val="00074293"/>
    <w:rsid w:val="00074409"/>
    <w:rsid w:val="00074514"/>
    <w:rsid w:val="00074CEB"/>
    <w:rsid w:val="00074EFF"/>
    <w:rsid w:val="000754FE"/>
    <w:rsid w:val="000755C8"/>
    <w:rsid w:val="000756A5"/>
    <w:rsid w:val="0007572B"/>
    <w:rsid w:val="00075AD8"/>
    <w:rsid w:val="00075C0C"/>
    <w:rsid w:val="00076023"/>
    <w:rsid w:val="0007606D"/>
    <w:rsid w:val="00076841"/>
    <w:rsid w:val="00076C7A"/>
    <w:rsid w:val="00076E93"/>
    <w:rsid w:val="000777ED"/>
    <w:rsid w:val="0007780A"/>
    <w:rsid w:val="00077C89"/>
    <w:rsid w:val="00077FA1"/>
    <w:rsid w:val="00080563"/>
    <w:rsid w:val="0008096A"/>
    <w:rsid w:val="00080D88"/>
    <w:rsid w:val="00080E5A"/>
    <w:rsid w:val="00081049"/>
    <w:rsid w:val="0008143B"/>
    <w:rsid w:val="00081684"/>
    <w:rsid w:val="00081721"/>
    <w:rsid w:val="00081850"/>
    <w:rsid w:val="000819BA"/>
    <w:rsid w:val="00081DA7"/>
    <w:rsid w:val="00081F2B"/>
    <w:rsid w:val="00081FB9"/>
    <w:rsid w:val="0008206D"/>
    <w:rsid w:val="000822AB"/>
    <w:rsid w:val="00082389"/>
    <w:rsid w:val="000823C3"/>
    <w:rsid w:val="0008285D"/>
    <w:rsid w:val="00082977"/>
    <w:rsid w:val="00082A16"/>
    <w:rsid w:val="00082D75"/>
    <w:rsid w:val="000830CC"/>
    <w:rsid w:val="0008335A"/>
    <w:rsid w:val="00083765"/>
    <w:rsid w:val="00083C19"/>
    <w:rsid w:val="00083CFE"/>
    <w:rsid w:val="00083D64"/>
    <w:rsid w:val="00083DA7"/>
    <w:rsid w:val="000844AF"/>
    <w:rsid w:val="000844EC"/>
    <w:rsid w:val="00084537"/>
    <w:rsid w:val="0008456C"/>
    <w:rsid w:val="0008468E"/>
    <w:rsid w:val="00084813"/>
    <w:rsid w:val="00084A86"/>
    <w:rsid w:val="00084F27"/>
    <w:rsid w:val="000850F5"/>
    <w:rsid w:val="00085614"/>
    <w:rsid w:val="000856D7"/>
    <w:rsid w:val="000857D1"/>
    <w:rsid w:val="00085876"/>
    <w:rsid w:val="00085B04"/>
    <w:rsid w:val="00085CB6"/>
    <w:rsid w:val="00085F06"/>
    <w:rsid w:val="0008619C"/>
    <w:rsid w:val="00086538"/>
    <w:rsid w:val="0008678E"/>
    <w:rsid w:val="000869AD"/>
    <w:rsid w:val="00086B73"/>
    <w:rsid w:val="00086D2F"/>
    <w:rsid w:val="0008700C"/>
    <w:rsid w:val="0008747D"/>
    <w:rsid w:val="000878B5"/>
    <w:rsid w:val="0008794A"/>
    <w:rsid w:val="00087C02"/>
    <w:rsid w:val="00087F85"/>
    <w:rsid w:val="0009004A"/>
    <w:rsid w:val="00090327"/>
    <w:rsid w:val="00090645"/>
    <w:rsid w:val="0009081C"/>
    <w:rsid w:val="000908FF"/>
    <w:rsid w:val="00090A01"/>
    <w:rsid w:val="00090A71"/>
    <w:rsid w:val="00090D7D"/>
    <w:rsid w:val="000914FB"/>
    <w:rsid w:val="000919A7"/>
    <w:rsid w:val="00091B63"/>
    <w:rsid w:val="00091BE1"/>
    <w:rsid w:val="00091BF2"/>
    <w:rsid w:val="00091E2A"/>
    <w:rsid w:val="00091E2F"/>
    <w:rsid w:val="00092030"/>
    <w:rsid w:val="0009219D"/>
    <w:rsid w:val="00092332"/>
    <w:rsid w:val="00092753"/>
    <w:rsid w:val="00092934"/>
    <w:rsid w:val="00092A7A"/>
    <w:rsid w:val="00092C00"/>
    <w:rsid w:val="00093298"/>
    <w:rsid w:val="00093579"/>
    <w:rsid w:val="000935D5"/>
    <w:rsid w:val="00093867"/>
    <w:rsid w:val="00093924"/>
    <w:rsid w:val="000939A5"/>
    <w:rsid w:val="00093DD0"/>
    <w:rsid w:val="00093F72"/>
    <w:rsid w:val="000940B3"/>
    <w:rsid w:val="0009417B"/>
    <w:rsid w:val="000941BB"/>
    <w:rsid w:val="0009451C"/>
    <w:rsid w:val="0009481B"/>
    <w:rsid w:val="000948B3"/>
    <w:rsid w:val="0009508F"/>
    <w:rsid w:val="000951C7"/>
    <w:rsid w:val="0009548A"/>
    <w:rsid w:val="000956F6"/>
    <w:rsid w:val="00095B09"/>
    <w:rsid w:val="00095C59"/>
    <w:rsid w:val="00095DA9"/>
    <w:rsid w:val="00095E59"/>
    <w:rsid w:val="000960CA"/>
    <w:rsid w:val="00096132"/>
    <w:rsid w:val="00096222"/>
    <w:rsid w:val="0009645A"/>
    <w:rsid w:val="000965A1"/>
    <w:rsid w:val="00096641"/>
    <w:rsid w:val="00096A07"/>
    <w:rsid w:val="00096B45"/>
    <w:rsid w:val="00096B75"/>
    <w:rsid w:val="00096D45"/>
    <w:rsid w:val="00096E9B"/>
    <w:rsid w:val="00096F6B"/>
    <w:rsid w:val="000971F8"/>
    <w:rsid w:val="000973E7"/>
    <w:rsid w:val="000974C3"/>
    <w:rsid w:val="00097556"/>
    <w:rsid w:val="00097B71"/>
    <w:rsid w:val="00097D4C"/>
    <w:rsid w:val="00097E7E"/>
    <w:rsid w:val="000A0089"/>
    <w:rsid w:val="000A01D5"/>
    <w:rsid w:val="000A0574"/>
    <w:rsid w:val="000A0DA5"/>
    <w:rsid w:val="000A0FB4"/>
    <w:rsid w:val="000A16FB"/>
    <w:rsid w:val="000A1C0F"/>
    <w:rsid w:val="000A1D09"/>
    <w:rsid w:val="000A214E"/>
    <w:rsid w:val="000A2230"/>
    <w:rsid w:val="000A23A8"/>
    <w:rsid w:val="000A23CE"/>
    <w:rsid w:val="000A2457"/>
    <w:rsid w:val="000A2929"/>
    <w:rsid w:val="000A2A3C"/>
    <w:rsid w:val="000A2AA4"/>
    <w:rsid w:val="000A2C93"/>
    <w:rsid w:val="000A2CBD"/>
    <w:rsid w:val="000A318B"/>
    <w:rsid w:val="000A31CF"/>
    <w:rsid w:val="000A34BC"/>
    <w:rsid w:val="000A35F7"/>
    <w:rsid w:val="000A370D"/>
    <w:rsid w:val="000A392D"/>
    <w:rsid w:val="000A3C84"/>
    <w:rsid w:val="000A3CB7"/>
    <w:rsid w:val="000A4049"/>
    <w:rsid w:val="000A4249"/>
    <w:rsid w:val="000A42C5"/>
    <w:rsid w:val="000A43FF"/>
    <w:rsid w:val="000A45DF"/>
    <w:rsid w:val="000A4A3E"/>
    <w:rsid w:val="000A4D91"/>
    <w:rsid w:val="000A4EAE"/>
    <w:rsid w:val="000A4FF6"/>
    <w:rsid w:val="000A5174"/>
    <w:rsid w:val="000A55BC"/>
    <w:rsid w:val="000A5814"/>
    <w:rsid w:val="000A583E"/>
    <w:rsid w:val="000A5BAB"/>
    <w:rsid w:val="000A5CA5"/>
    <w:rsid w:val="000A6435"/>
    <w:rsid w:val="000A6552"/>
    <w:rsid w:val="000A65AD"/>
    <w:rsid w:val="000A65C1"/>
    <w:rsid w:val="000A6B71"/>
    <w:rsid w:val="000A6BE6"/>
    <w:rsid w:val="000A6D3F"/>
    <w:rsid w:val="000A6FEA"/>
    <w:rsid w:val="000A72DF"/>
    <w:rsid w:val="000A7378"/>
    <w:rsid w:val="000A73E7"/>
    <w:rsid w:val="000A7576"/>
    <w:rsid w:val="000A783D"/>
    <w:rsid w:val="000A7885"/>
    <w:rsid w:val="000A78C6"/>
    <w:rsid w:val="000A79B4"/>
    <w:rsid w:val="000A7C30"/>
    <w:rsid w:val="000A7D52"/>
    <w:rsid w:val="000B0153"/>
    <w:rsid w:val="000B0205"/>
    <w:rsid w:val="000B0299"/>
    <w:rsid w:val="000B0303"/>
    <w:rsid w:val="000B0509"/>
    <w:rsid w:val="000B05A4"/>
    <w:rsid w:val="000B068F"/>
    <w:rsid w:val="000B0887"/>
    <w:rsid w:val="000B0B5D"/>
    <w:rsid w:val="000B0EBD"/>
    <w:rsid w:val="000B1063"/>
    <w:rsid w:val="000B13A1"/>
    <w:rsid w:val="000B16B5"/>
    <w:rsid w:val="000B1BE2"/>
    <w:rsid w:val="000B1CAD"/>
    <w:rsid w:val="000B1CF9"/>
    <w:rsid w:val="000B1FD8"/>
    <w:rsid w:val="000B20CD"/>
    <w:rsid w:val="000B20D8"/>
    <w:rsid w:val="000B2156"/>
    <w:rsid w:val="000B23BB"/>
    <w:rsid w:val="000B28F1"/>
    <w:rsid w:val="000B2C7B"/>
    <w:rsid w:val="000B2CE3"/>
    <w:rsid w:val="000B2CED"/>
    <w:rsid w:val="000B2D61"/>
    <w:rsid w:val="000B2F65"/>
    <w:rsid w:val="000B31A8"/>
    <w:rsid w:val="000B327C"/>
    <w:rsid w:val="000B336D"/>
    <w:rsid w:val="000B38A3"/>
    <w:rsid w:val="000B3904"/>
    <w:rsid w:val="000B3916"/>
    <w:rsid w:val="000B3D2E"/>
    <w:rsid w:val="000B3D81"/>
    <w:rsid w:val="000B3F6A"/>
    <w:rsid w:val="000B402C"/>
    <w:rsid w:val="000B41EA"/>
    <w:rsid w:val="000B4700"/>
    <w:rsid w:val="000B48ED"/>
    <w:rsid w:val="000B48FE"/>
    <w:rsid w:val="000B4A8A"/>
    <w:rsid w:val="000B51C8"/>
    <w:rsid w:val="000B5246"/>
    <w:rsid w:val="000B5306"/>
    <w:rsid w:val="000B569B"/>
    <w:rsid w:val="000B5878"/>
    <w:rsid w:val="000B5985"/>
    <w:rsid w:val="000B629F"/>
    <w:rsid w:val="000B6301"/>
    <w:rsid w:val="000B63B8"/>
    <w:rsid w:val="000B6D36"/>
    <w:rsid w:val="000B70FA"/>
    <w:rsid w:val="000B7600"/>
    <w:rsid w:val="000B772F"/>
    <w:rsid w:val="000B7795"/>
    <w:rsid w:val="000B7841"/>
    <w:rsid w:val="000B790D"/>
    <w:rsid w:val="000B7C75"/>
    <w:rsid w:val="000B7E0E"/>
    <w:rsid w:val="000C002C"/>
    <w:rsid w:val="000C03EE"/>
    <w:rsid w:val="000C04E4"/>
    <w:rsid w:val="000C06CB"/>
    <w:rsid w:val="000C083F"/>
    <w:rsid w:val="000C0868"/>
    <w:rsid w:val="000C0C7C"/>
    <w:rsid w:val="000C100A"/>
    <w:rsid w:val="000C1367"/>
    <w:rsid w:val="000C1766"/>
    <w:rsid w:val="000C1954"/>
    <w:rsid w:val="000C1991"/>
    <w:rsid w:val="000C1AC4"/>
    <w:rsid w:val="000C1EF6"/>
    <w:rsid w:val="000C208F"/>
    <w:rsid w:val="000C21A7"/>
    <w:rsid w:val="000C231F"/>
    <w:rsid w:val="000C284E"/>
    <w:rsid w:val="000C2869"/>
    <w:rsid w:val="000C2A65"/>
    <w:rsid w:val="000C2F5D"/>
    <w:rsid w:val="000C2F82"/>
    <w:rsid w:val="000C333F"/>
    <w:rsid w:val="000C3405"/>
    <w:rsid w:val="000C3581"/>
    <w:rsid w:val="000C35EC"/>
    <w:rsid w:val="000C3837"/>
    <w:rsid w:val="000C38E3"/>
    <w:rsid w:val="000C3951"/>
    <w:rsid w:val="000C439C"/>
    <w:rsid w:val="000C459E"/>
    <w:rsid w:val="000C4718"/>
    <w:rsid w:val="000C471A"/>
    <w:rsid w:val="000C49A1"/>
    <w:rsid w:val="000C4ADE"/>
    <w:rsid w:val="000C4D83"/>
    <w:rsid w:val="000C4F9F"/>
    <w:rsid w:val="000C5017"/>
    <w:rsid w:val="000C5659"/>
    <w:rsid w:val="000C5C47"/>
    <w:rsid w:val="000C611B"/>
    <w:rsid w:val="000C65D6"/>
    <w:rsid w:val="000C6676"/>
    <w:rsid w:val="000C692E"/>
    <w:rsid w:val="000C6A30"/>
    <w:rsid w:val="000C6CFE"/>
    <w:rsid w:val="000C6D63"/>
    <w:rsid w:val="000C6FF2"/>
    <w:rsid w:val="000C6FF9"/>
    <w:rsid w:val="000C7093"/>
    <w:rsid w:val="000C72FC"/>
    <w:rsid w:val="000C7476"/>
    <w:rsid w:val="000C7690"/>
    <w:rsid w:val="000C7860"/>
    <w:rsid w:val="000C7C12"/>
    <w:rsid w:val="000C7C15"/>
    <w:rsid w:val="000C7C1A"/>
    <w:rsid w:val="000C7C90"/>
    <w:rsid w:val="000C7DCE"/>
    <w:rsid w:val="000C7ECD"/>
    <w:rsid w:val="000C7F2A"/>
    <w:rsid w:val="000D00BD"/>
    <w:rsid w:val="000D01A5"/>
    <w:rsid w:val="000D021A"/>
    <w:rsid w:val="000D06D8"/>
    <w:rsid w:val="000D08C7"/>
    <w:rsid w:val="000D0A9D"/>
    <w:rsid w:val="000D0C87"/>
    <w:rsid w:val="000D0CAE"/>
    <w:rsid w:val="000D0DC3"/>
    <w:rsid w:val="000D11E1"/>
    <w:rsid w:val="000D1270"/>
    <w:rsid w:val="000D1388"/>
    <w:rsid w:val="000D1762"/>
    <w:rsid w:val="000D1909"/>
    <w:rsid w:val="000D1B57"/>
    <w:rsid w:val="000D1BB1"/>
    <w:rsid w:val="000D1C95"/>
    <w:rsid w:val="000D1EBF"/>
    <w:rsid w:val="000D201C"/>
    <w:rsid w:val="000D23B3"/>
    <w:rsid w:val="000D23E5"/>
    <w:rsid w:val="000D27DB"/>
    <w:rsid w:val="000D285D"/>
    <w:rsid w:val="000D2A65"/>
    <w:rsid w:val="000D3133"/>
    <w:rsid w:val="000D3158"/>
    <w:rsid w:val="000D31DF"/>
    <w:rsid w:val="000D32E1"/>
    <w:rsid w:val="000D365A"/>
    <w:rsid w:val="000D370C"/>
    <w:rsid w:val="000D3A45"/>
    <w:rsid w:val="000D3EE6"/>
    <w:rsid w:val="000D416D"/>
    <w:rsid w:val="000D4195"/>
    <w:rsid w:val="000D4210"/>
    <w:rsid w:val="000D421C"/>
    <w:rsid w:val="000D44A2"/>
    <w:rsid w:val="000D472B"/>
    <w:rsid w:val="000D4B63"/>
    <w:rsid w:val="000D50C0"/>
    <w:rsid w:val="000D547F"/>
    <w:rsid w:val="000D5B17"/>
    <w:rsid w:val="000D5D91"/>
    <w:rsid w:val="000D5DFA"/>
    <w:rsid w:val="000D5F3B"/>
    <w:rsid w:val="000D6008"/>
    <w:rsid w:val="000D6091"/>
    <w:rsid w:val="000D60DF"/>
    <w:rsid w:val="000D62B5"/>
    <w:rsid w:val="000D639F"/>
    <w:rsid w:val="000D6468"/>
    <w:rsid w:val="000D655B"/>
    <w:rsid w:val="000D6679"/>
    <w:rsid w:val="000D6919"/>
    <w:rsid w:val="000D6CC5"/>
    <w:rsid w:val="000D6E76"/>
    <w:rsid w:val="000D70AD"/>
    <w:rsid w:val="000D72CD"/>
    <w:rsid w:val="000D7666"/>
    <w:rsid w:val="000D770E"/>
    <w:rsid w:val="000D7B8E"/>
    <w:rsid w:val="000D7BDA"/>
    <w:rsid w:val="000D7EB7"/>
    <w:rsid w:val="000D7F2C"/>
    <w:rsid w:val="000E0006"/>
    <w:rsid w:val="000E0210"/>
    <w:rsid w:val="000E0333"/>
    <w:rsid w:val="000E05DE"/>
    <w:rsid w:val="000E06DE"/>
    <w:rsid w:val="000E0774"/>
    <w:rsid w:val="000E0C67"/>
    <w:rsid w:val="000E0C9A"/>
    <w:rsid w:val="000E0D1E"/>
    <w:rsid w:val="000E0F44"/>
    <w:rsid w:val="000E1432"/>
    <w:rsid w:val="000E171C"/>
    <w:rsid w:val="000E1869"/>
    <w:rsid w:val="000E1B6E"/>
    <w:rsid w:val="000E1DAA"/>
    <w:rsid w:val="000E1EAA"/>
    <w:rsid w:val="000E2169"/>
    <w:rsid w:val="000E226D"/>
    <w:rsid w:val="000E244C"/>
    <w:rsid w:val="000E24D0"/>
    <w:rsid w:val="000E2C8E"/>
    <w:rsid w:val="000E316F"/>
    <w:rsid w:val="000E3322"/>
    <w:rsid w:val="000E338D"/>
    <w:rsid w:val="000E356D"/>
    <w:rsid w:val="000E37FE"/>
    <w:rsid w:val="000E394D"/>
    <w:rsid w:val="000E3A6F"/>
    <w:rsid w:val="000E3D6F"/>
    <w:rsid w:val="000E3DDE"/>
    <w:rsid w:val="000E3F18"/>
    <w:rsid w:val="000E40BD"/>
    <w:rsid w:val="000E4464"/>
    <w:rsid w:val="000E44EF"/>
    <w:rsid w:val="000E4623"/>
    <w:rsid w:val="000E4657"/>
    <w:rsid w:val="000E4B85"/>
    <w:rsid w:val="000E4BA7"/>
    <w:rsid w:val="000E4D8E"/>
    <w:rsid w:val="000E4F62"/>
    <w:rsid w:val="000E50E3"/>
    <w:rsid w:val="000E51DB"/>
    <w:rsid w:val="000E5527"/>
    <w:rsid w:val="000E583A"/>
    <w:rsid w:val="000E5AB4"/>
    <w:rsid w:val="000E5D28"/>
    <w:rsid w:val="000E5E50"/>
    <w:rsid w:val="000E5EAF"/>
    <w:rsid w:val="000E614D"/>
    <w:rsid w:val="000E63D3"/>
    <w:rsid w:val="000E6449"/>
    <w:rsid w:val="000E64E3"/>
    <w:rsid w:val="000E6553"/>
    <w:rsid w:val="000E6782"/>
    <w:rsid w:val="000E6B3D"/>
    <w:rsid w:val="000E6B59"/>
    <w:rsid w:val="000E6CB9"/>
    <w:rsid w:val="000E6EB1"/>
    <w:rsid w:val="000E7188"/>
    <w:rsid w:val="000E7474"/>
    <w:rsid w:val="000E7624"/>
    <w:rsid w:val="000E77F1"/>
    <w:rsid w:val="000E79DD"/>
    <w:rsid w:val="000E7B4F"/>
    <w:rsid w:val="000E7E5D"/>
    <w:rsid w:val="000E7EC5"/>
    <w:rsid w:val="000F0042"/>
    <w:rsid w:val="000F02A3"/>
    <w:rsid w:val="000F02DD"/>
    <w:rsid w:val="000F0796"/>
    <w:rsid w:val="000F08B1"/>
    <w:rsid w:val="000F0A1F"/>
    <w:rsid w:val="000F0E4F"/>
    <w:rsid w:val="000F0FD8"/>
    <w:rsid w:val="000F100A"/>
    <w:rsid w:val="000F1333"/>
    <w:rsid w:val="000F1770"/>
    <w:rsid w:val="000F1CB6"/>
    <w:rsid w:val="000F1E97"/>
    <w:rsid w:val="000F20CC"/>
    <w:rsid w:val="000F2145"/>
    <w:rsid w:val="000F234D"/>
    <w:rsid w:val="000F23A5"/>
    <w:rsid w:val="000F2468"/>
    <w:rsid w:val="000F25AB"/>
    <w:rsid w:val="000F28D2"/>
    <w:rsid w:val="000F31A9"/>
    <w:rsid w:val="000F31EA"/>
    <w:rsid w:val="000F3357"/>
    <w:rsid w:val="000F3524"/>
    <w:rsid w:val="000F3544"/>
    <w:rsid w:val="000F3579"/>
    <w:rsid w:val="000F37C1"/>
    <w:rsid w:val="000F3A81"/>
    <w:rsid w:val="000F3E7D"/>
    <w:rsid w:val="000F3EF4"/>
    <w:rsid w:val="000F3F8B"/>
    <w:rsid w:val="000F4104"/>
    <w:rsid w:val="000F41FA"/>
    <w:rsid w:val="000F4235"/>
    <w:rsid w:val="000F42B5"/>
    <w:rsid w:val="000F4396"/>
    <w:rsid w:val="000F4513"/>
    <w:rsid w:val="000F4629"/>
    <w:rsid w:val="000F463E"/>
    <w:rsid w:val="000F49D2"/>
    <w:rsid w:val="000F4A1D"/>
    <w:rsid w:val="000F4C4E"/>
    <w:rsid w:val="000F4FFC"/>
    <w:rsid w:val="000F51EE"/>
    <w:rsid w:val="000F55D1"/>
    <w:rsid w:val="000F5810"/>
    <w:rsid w:val="000F594E"/>
    <w:rsid w:val="000F59DD"/>
    <w:rsid w:val="000F5ABE"/>
    <w:rsid w:val="000F5C9E"/>
    <w:rsid w:val="000F5F82"/>
    <w:rsid w:val="000F6061"/>
    <w:rsid w:val="000F6159"/>
    <w:rsid w:val="000F6280"/>
    <w:rsid w:val="000F6396"/>
    <w:rsid w:val="000F678F"/>
    <w:rsid w:val="000F691B"/>
    <w:rsid w:val="000F6A02"/>
    <w:rsid w:val="000F6BDE"/>
    <w:rsid w:val="000F6BE4"/>
    <w:rsid w:val="000F6FCF"/>
    <w:rsid w:val="000F7379"/>
    <w:rsid w:val="000F73D5"/>
    <w:rsid w:val="000F7838"/>
    <w:rsid w:val="000F79FD"/>
    <w:rsid w:val="000F7AB9"/>
    <w:rsid w:val="000F7BA4"/>
    <w:rsid w:val="000F7EEB"/>
    <w:rsid w:val="000F7F3A"/>
    <w:rsid w:val="00100004"/>
    <w:rsid w:val="001002AF"/>
    <w:rsid w:val="00100326"/>
    <w:rsid w:val="0010044D"/>
    <w:rsid w:val="0010092B"/>
    <w:rsid w:val="00101087"/>
    <w:rsid w:val="001013B2"/>
    <w:rsid w:val="001018C3"/>
    <w:rsid w:val="00101A0A"/>
    <w:rsid w:val="00101A77"/>
    <w:rsid w:val="00101B50"/>
    <w:rsid w:val="00101CCA"/>
    <w:rsid w:val="00101D41"/>
    <w:rsid w:val="00101D5D"/>
    <w:rsid w:val="00101E22"/>
    <w:rsid w:val="0010230D"/>
    <w:rsid w:val="00102519"/>
    <w:rsid w:val="001025E0"/>
    <w:rsid w:val="0010261A"/>
    <w:rsid w:val="00102876"/>
    <w:rsid w:val="00102D64"/>
    <w:rsid w:val="00102F5F"/>
    <w:rsid w:val="001030AE"/>
    <w:rsid w:val="00103566"/>
    <w:rsid w:val="0010398C"/>
    <w:rsid w:val="0010398E"/>
    <w:rsid w:val="00103B22"/>
    <w:rsid w:val="001041CE"/>
    <w:rsid w:val="001042C7"/>
    <w:rsid w:val="00104417"/>
    <w:rsid w:val="001044FE"/>
    <w:rsid w:val="0010459B"/>
    <w:rsid w:val="001049B7"/>
    <w:rsid w:val="00105330"/>
    <w:rsid w:val="001054AC"/>
    <w:rsid w:val="00105709"/>
    <w:rsid w:val="001058B8"/>
    <w:rsid w:val="001059CC"/>
    <w:rsid w:val="00105BD5"/>
    <w:rsid w:val="001061B5"/>
    <w:rsid w:val="0010637A"/>
    <w:rsid w:val="00106420"/>
    <w:rsid w:val="0010658C"/>
    <w:rsid w:val="00106633"/>
    <w:rsid w:val="0010671C"/>
    <w:rsid w:val="001069DA"/>
    <w:rsid w:val="00106A91"/>
    <w:rsid w:val="00106CA2"/>
    <w:rsid w:val="001071B5"/>
    <w:rsid w:val="00107766"/>
    <w:rsid w:val="001077D3"/>
    <w:rsid w:val="00107D8C"/>
    <w:rsid w:val="00107DA5"/>
    <w:rsid w:val="001104BA"/>
    <w:rsid w:val="001104F0"/>
    <w:rsid w:val="00110998"/>
    <w:rsid w:val="00110C0F"/>
    <w:rsid w:val="00110C15"/>
    <w:rsid w:val="00110D1F"/>
    <w:rsid w:val="00110E7C"/>
    <w:rsid w:val="001110F9"/>
    <w:rsid w:val="00111208"/>
    <w:rsid w:val="0011127A"/>
    <w:rsid w:val="00111551"/>
    <w:rsid w:val="00111719"/>
    <w:rsid w:val="001117FB"/>
    <w:rsid w:val="0011187C"/>
    <w:rsid w:val="001118EF"/>
    <w:rsid w:val="00111A90"/>
    <w:rsid w:val="00111E65"/>
    <w:rsid w:val="00111F4B"/>
    <w:rsid w:val="00111F96"/>
    <w:rsid w:val="00111FEB"/>
    <w:rsid w:val="0011208E"/>
    <w:rsid w:val="00112231"/>
    <w:rsid w:val="001123E6"/>
    <w:rsid w:val="00112C7A"/>
    <w:rsid w:val="00112D0B"/>
    <w:rsid w:val="00112ED0"/>
    <w:rsid w:val="00113052"/>
    <w:rsid w:val="00113096"/>
    <w:rsid w:val="001131A9"/>
    <w:rsid w:val="0011346D"/>
    <w:rsid w:val="00113E21"/>
    <w:rsid w:val="00113FA3"/>
    <w:rsid w:val="00114AFA"/>
    <w:rsid w:val="00114BB0"/>
    <w:rsid w:val="00114C6E"/>
    <w:rsid w:val="00114C79"/>
    <w:rsid w:val="00114F70"/>
    <w:rsid w:val="001151BF"/>
    <w:rsid w:val="001152BE"/>
    <w:rsid w:val="001157F7"/>
    <w:rsid w:val="00115835"/>
    <w:rsid w:val="00115939"/>
    <w:rsid w:val="00115A98"/>
    <w:rsid w:val="00115CF4"/>
    <w:rsid w:val="00115DFF"/>
    <w:rsid w:val="00115EB7"/>
    <w:rsid w:val="00116759"/>
    <w:rsid w:val="00116BA8"/>
    <w:rsid w:val="00116D97"/>
    <w:rsid w:val="00117A69"/>
    <w:rsid w:val="00117DB7"/>
    <w:rsid w:val="00120516"/>
    <w:rsid w:val="0012065E"/>
    <w:rsid w:val="001206CE"/>
    <w:rsid w:val="00120996"/>
    <w:rsid w:val="00120A0B"/>
    <w:rsid w:val="00120A18"/>
    <w:rsid w:val="00120BA4"/>
    <w:rsid w:val="00120CB6"/>
    <w:rsid w:val="00120F5F"/>
    <w:rsid w:val="001211B0"/>
    <w:rsid w:val="001212F2"/>
    <w:rsid w:val="00121A4B"/>
    <w:rsid w:val="00121D44"/>
    <w:rsid w:val="00122006"/>
    <w:rsid w:val="00122085"/>
    <w:rsid w:val="001221C8"/>
    <w:rsid w:val="001224CF"/>
    <w:rsid w:val="00122697"/>
    <w:rsid w:val="001227CF"/>
    <w:rsid w:val="001229D0"/>
    <w:rsid w:val="00122ADF"/>
    <w:rsid w:val="00122F7C"/>
    <w:rsid w:val="001233E6"/>
    <w:rsid w:val="00123494"/>
    <w:rsid w:val="00123919"/>
    <w:rsid w:val="0012412F"/>
    <w:rsid w:val="00124271"/>
    <w:rsid w:val="0012455E"/>
    <w:rsid w:val="0012467F"/>
    <w:rsid w:val="001246B1"/>
    <w:rsid w:val="001246E7"/>
    <w:rsid w:val="00124A5A"/>
    <w:rsid w:val="00124BC2"/>
    <w:rsid w:val="00124BED"/>
    <w:rsid w:val="00124D1C"/>
    <w:rsid w:val="00125110"/>
    <w:rsid w:val="0012540D"/>
    <w:rsid w:val="001254AC"/>
    <w:rsid w:val="0012551D"/>
    <w:rsid w:val="0012553C"/>
    <w:rsid w:val="00125C64"/>
    <w:rsid w:val="00125D50"/>
    <w:rsid w:val="00125FF7"/>
    <w:rsid w:val="00126022"/>
    <w:rsid w:val="00126327"/>
    <w:rsid w:val="00126496"/>
    <w:rsid w:val="00126504"/>
    <w:rsid w:val="0012651F"/>
    <w:rsid w:val="0012656A"/>
    <w:rsid w:val="00126609"/>
    <w:rsid w:val="001266C9"/>
    <w:rsid w:val="00126D30"/>
    <w:rsid w:val="00126E71"/>
    <w:rsid w:val="00126EC3"/>
    <w:rsid w:val="00126F05"/>
    <w:rsid w:val="00126F40"/>
    <w:rsid w:val="00126F8B"/>
    <w:rsid w:val="00126FDF"/>
    <w:rsid w:val="0012725F"/>
    <w:rsid w:val="0012729B"/>
    <w:rsid w:val="001276A4"/>
    <w:rsid w:val="0012792A"/>
    <w:rsid w:val="00127C14"/>
    <w:rsid w:val="00127EA7"/>
    <w:rsid w:val="00130009"/>
    <w:rsid w:val="001301FE"/>
    <w:rsid w:val="0013041F"/>
    <w:rsid w:val="0013064D"/>
    <w:rsid w:val="0013091D"/>
    <w:rsid w:val="001309F9"/>
    <w:rsid w:val="00130BE3"/>
    <w:rsid w:val="00130C54"/>
    <w:rsid w:val="00130D59"/>
    <w:rsid w:val="00130FD6"/>
    <w:rsid w:val="001311ED"/>
    <w:rsid w:val="001314A1"/>
    <w:rsid w:val="00131675"/>
    <w:rsid w:val="00131864"/>
    <w:rsid w:val="00131B24"/>
    <w:rsid w:val="00131B98"/>
    <w:rsid w:val="00131BA7"/>
    <w:rsid w:val="00131C90"/>
    <w:rsid w:val="001323F8"/>
    <w:rsid w:val="00132605"/>
    <w:rsid w:val="00132AB1"/>
    <w:rsid w:val="00132B02"/>
    <w:rsid w:val="00132EBA"/>
    <w:rsid w:val="00133709"/>
    <w:rsid w:val="00133898"/>
    <w:rsid w:val="001339E8"/>
    <w:rsid w:val="00133E37"/>
    <w:rsid w:val="00133FE4"/>
    <w:rsid w:val="001342AE"/>
    <w:rsid w:val="001344DA"/>
    <w:rsid w:val="00134646"/>
    <w:rsid w:val="001348E1"/>
    <w:rsid w:val="00134ADA"/>
    <w:rsid w:val="00134E0D"/>
    <w:rsid w:val="00134F4B"/>
    <w:rsid w:val="00134F6B"/>
    <w:rsid w:val="001353B9"/>
    <w:rsid w:val="001356B1"/>
    <w:rsid w:val="00135975"/>
    <w:rsid w:val="00135A85"/>
    <w:rsid w:val="001366B9"/>
    <w:rsid w:val="001368D5"/>
    <w:rsid w:val="00136D09"/>
    <w:rsid w:val="00136D20"/>
    <w:rsid w:val="00136D28"/>
    <w:rsid w:val="00136D47"/>
    <w:rsid w:val="00137183"/>
    <w:rsid w:val="0013737B"/>
    <w:rsid w:val="001374F0"/>
    <w:rsid w:val="001376FF"/>
    <w:rsid w:val="0013777F"/>
    <w:rsid w:val="001377F3"/>
    <w:rsid w:val="001379A0"/>
    <w:rsid w:val="00137C4C"/>
    <w:rsid w:val="001402AB"/>
    <w:rsid w:val="001403D5"/>
    <w:rsid w:val="001408DB"/>
    <w:rsid w:val="00140A9E"/>
    <w:rsid w:val="00140ADA"/>
    <w:rsid w:val="00140B9A"/>
    <w:rsid w:val="00140F1C"/>
    <w:rsid w:val="00140F59"/>
    <w:rsid w:val="001410D0"/>
    <w:rsid w:val="001410EB"/>
    <w:rsid w:val="0014116B"/>
    <w:rsid w:val="001417D5"/>
    <w:rsid w:val="00141B99"/>
    <w:rsid w:val="00141BBD"/>
    <w:rsid w:val="00141ECD"/>
    <w:rsid w:val="001420EE"/>
    <w:rsid w:val="00142228"/>
    <w:rsid w:val="0014228A"/>
    <w:rsid w:val="001424F2"/>
    <w:rsid w:val="00142560"/>
    <w:rsid w:val="0014310C"/>
    <w:rsid w:val="001433FD"/>
    <w:rsid w:val="00143421"/>
    <w:rsid w:val="00143620"/>
    <w:rsid w:val="00143628"/>
    <w:rsid w:val="00143B52"/>
    <w:rsid w:val="00143BD5"/>
    <w:rsid w:val="00143C2A"/>
    <w:rsid w:val="00144377"/>
    <w:rsid w:val="001443BF"/>
    <w:rsid w:val="00144466"/>
    <w:rsid w:val="00144492"/>
    <w:rsid w:val="00144566"/>
    <w:rsid w:val="00144775"/>
    <w:rsid w:val="001447B0"/>
    <w:rsid w:val="001447CE"/>
    <w:rsid w:val="00144AA2"/>
    <w:rsid w:val="00144ADF"/>
    <w:rsid w:val="00144B03"/>
    <w:rsid w:val="00145224"/>
    <w:rsid w:val="0014558F"/>
    <w:rsid w:val="00145A28"/>
    <w:rsid w:val="00145DA3"/>
    <w:rsid w:val="00145EE1"/>
    <w:rsid w:val="001469B3"/>
    <w:rsid w:val="001469F1"/>
    <w:rsid w:val="00146C08"/>
    <w:rsid w:val="00146C52"/>
    <w:rsid w:val="00146D39"/>
    <w:rsid w:val="0014712B"/>
    <w:rsid w:val="00147268"/>
    <w:rsid w:val="0014729D"/>
    <w:rsid w:val="001479B0"/>
    <w:rsid w:val="00147A55"/>
    <w:rsid w:val="00147D76"/>
    <w:rsid w:val="00147F2B"/>
    <w:rsid w:val="00147FD6"/>
    <w:rsid w:val="00150428"/>
    <w:rsid w:val="00150737"/>
    <w:rsid w:val="00150787"/>
    <w:rsid w:val="00150ABA"/>
    <w:rsid w:val="00150F3C"/>
    <w:rsid w:val="00150F9A"/>
    <w:rsid w:val="001511DE"/>
    <w:rsid w:val="0015144B"/>
    <w:rsid w:val="00151586"/>
    <w:rsid w:val="0015159B"/>
    <w:rsid w:val="001517FF"/>
    <w:rsid w:val="00151828"/>
    <w:rsid w:val="001518EF"/>
    <w:rsid w:val="00151A1B"/>
    <w:rsid w:val="00151D0F"/>
    <w:rsid w:val="00151D75"/>
    <w:rsid w:val="00152035"/>
    <w:rsid w:val="001525C6"/>
    <w:rsid w:val="001525DB"/>
    <w:rsid w:val="001526D2"/>
    <w:rsid w:val="0015287D"/>
    <w:rsid w:val="001528BA"/>
    <w:rsid w:val="00152B46"/>
    <w:rsid w:val="00152BA7"/>
    <w:rsid w:val="00152CA2"/>
    <w:rsid w:val="001533C1"/>
    <w:rsid w:val="00153723"/>
    <w:rsid w:val="001539B4"/>
    <w:rsid w:val="00153A11"/>
    <w:rsid w:val="00153B44"/>
    <w:rsid w:val="00153B6E"/>
    <w:rsid w:val="00153EA4"/>
    <w:rsid w:val="00153F2B"/>
    <w:rsid w:val="00153FC5"/>
    <w:rsid w:val="0015433C"/>
    <w:rsid w:val="001544DB"/>
    <w:rsid w:val="00154503"/>
    <w:rsid w:val="00154586"/>
    <w:rsid w:val="001545E2"/>
    <w:rsid w:val="001545E9"/>
    <w:rsid w:val="001546DC"/>
    <w:rsid w:val="001546E4"/>
    <w:rsid w:val="0015476F"/>
    <w:rsid w:val="0015490C"/>
    <w:rsid w:val="00154B3C"/>
    <w:rsid w:val="00154C13"/>
    <w:rsid w:val="00154EC3"/>
    <w:rsid w:val="00154F36"/>
    <w:rsid w:val="00154F44"/>
    <w:rsid w:val="0015566E"/>
    <w:rsid w:val="001556C5"/>
    <w:rsid w:val="001557E5"/>
    <w:rsid w:val="00155872"/>
    <w:rsid w:val="00155A7F"/>
    <w:rsid w:val="00155DF1"/>
    <w:rsid w:val="00155F7E"/>
    <w:rsid w:val="001560A1"/>
    <w:rsid w:val="0015626F"/>
    <w:rsid w:val="001562DB"/>
    <w:rsid w:val="0015644B"/>
    <w:rsid w:val="001568CA"/>
    <w:rsid w:val="00156A2F"/>
    <w:rsid w:val="00156AB1"/>
    <w:rsid w:val="00156CAA"/>
    <w:rsid w:val="001571F4"/>
    <w:rsid w:val="00157368"/>
    <w:rsid w:val="0015741A"/>
    <w:rsid w:val="00157523"/>
    <w:rsid w:val="00157642"/>
    <w:rsid w:val="001577ED"/>
    <w:rsid w:val="00157D18"/>
    <w:rsid w:val="00157E3C"/>
    <w:rsid w:val="00157EA8"/>
    <w:rsid w:val="00157F03"/>
    <w:rsid w:val="00157F61"/>
    <w:rsid w:val="001600C3"/>
    <w:rsid w:val="00160388"/>
    <w:rsid w:val="00160423"/>
    <w:rsid w:val="001605FB"/>
    <w:rsid w:val="0016067D"/>
    <w:rsid w:val="00160803"/>
    <w:rsid w:val="00160A86"/>
    <w:rsid w:val="00160AE5"/>
    <w:rsid w:val="00160BD2"/>
    <w:rsid w:val="00160D48"/>
    <w:rsid w:val="00161407"/>
    <w:rsid w:val="00161A23"/>
    <w:rsid w:val="00161B1F"/>
    <w:rsid w:val="00161D02"/>
    <w:rsid w:val="00161F10"/>
    <w:rsid w:val="00162069"/>
    <w:rsid w:val="0016224E"/>
    <w:rsid w:val="001623B6"/>
    <w:rsid w:val="001623D4"/>
    <w:rsid w:val="00162649"/>
    <w:rsid w:val="00162672"/>
    <w:rsid w:val="00162BA1"/>
    <w:rsid w:val="00162FD1"/>
    <w:rsid w:val="0016319E"/>
    <w:rsid w:val="001632C0"/>
    <w:rsid w:val="001637EF"/>
    <w:rsid w:val="00163A65"/>
    <w:rsid w:val="00163A85"/>
    <w:rsid w:val="00163B3E"/>
    <w:rsid w:val="00163B6F"/>
    <w:rsid w:val="00163CF9"/>
    <w:rsid w:val="00164067"/>
    <w:rsid w:val="00164160"/>
    <w:rsid w:val="001641FA"/>
    <w:rsid w:val="0016447D"/>
    <w:rsid w:val="0016453E"/>
    <w:rsid w:val="00164CD9"/>
    <w:rsid w:val="00164CEE"/>
    <w:rsid w:val="00164DE0"/>
    <w:rsid w:val="00164E64"/>
    <w:rsid w:val="00164FBD"/>
    <w:rsid w:val="001650A2"/>
    <w:rsid w:val="00165392"/>
    <w:rsid w:val="00165426"/>
    <w:rsid w:val="0016546E"/>
    <w:rsid w:val="001654D4"/>
    <w:rsid w:val="0016583A"/>
    <w:rsid w:val="00165CCD"/>
    <w:rsid w:val="00165DD3"/>
    <w:rsid w:val="00165E2C"/>
    <w:rsid w:val="00165FAE"/>
    <w:rsid w:val="0016606F"/>
    <w:rsid w:val="0016618E"/>
    <w:rsid w:val="00166223"/>
    <w:rsid w:val="001662EE"/>
    <w:rsid w:val="00166342"/>
    <w:rsid w:val="00166604"/>
    <w:rsid w:val="00166652"/>
    <w:rsid w:val="00166654"/>
    <w:rsid w:val="0016667F"/>
    <w:rsid w:val="0016677D"/>
    <w:rsid w:val="001667D7"/>
    <w:rsid w:val="00166845"/>
    <w:rsid w:val="00166994"/>
    <w:rsid w:val="00166C09"/>
    <w:rsid w:val="00167228"/>
    <w:rsid w:val="001672B2"/>
    <w:rsid w:val="001672C5"/>
    <w:rsid w:val="00167341"/>
    <w:rsid w:val="00167737"/>
    <w:rsid w:val="00167AB2"/>
    <w:rsid w:val="00167CBF"/>
    <w:rsid w:val="00167EAD"/>
    <w:rsid w:val="00170017"/>
    <w:rsid w:val="001700FD"/>
    <w:rsid w:val="00170394"/>
    <w:rsid w:val="00170712"/>
    <w:rsid w:val="001707EB"/>
    <w:rsid w:val="0017088E"/>
    <w:rsid w:val="00170997"/>
    <w:rsid w:val="00170BDC"/>
    <w:rsid w:val="00170E04"/>
    <w:rsid w:val="0017112C"/>
    <w:rsid w:val="001711F8"/>
    <w:rsid w:val="00171372"/>
    <w:rsid w:val="00171377"/>
    <w:rsid w:val="00171698"/>
    <w:rsid w:val="00171736"/>
    <w:rsid w:val="001717F9"/>
    <w:rsid w:val="00171890"/>
    <w:rsid w:val="00171A3C"/>
    <w:rsid w:val="00171B3D"/>
    <w:rsid w:val="00171B56"/>
    <w:rsid w:val="00172234"/>
    <w:rsid w:val="0017238F"/>
    <w:rsid w:val="00172423"/>
    <w:rsid w:val="00172495"/>
    <w:rsid w:val="001726A5"/>
    <w:rsid w:val="001727DF"/>
    <w:rsid w:val="00172A14"/>
    <w:rsid w:val="00172BB3"/>
    <w:rsid w:val="00172C59"/>
    <w:rsid w:val="00173007"/>
    <w:rsid w:val="00173327"/>
    <w:rsid w:val="0017332E"/>
    <w:rsid w:val="0017334F"/>
    <w:rsid w:val="00173411"/>
    <w:rsid w:val="00173427"/>
    <w:rsid w:val="0017389A"/>
    <w:rsid w:val="00173BF4"/>
    <w:rsid w:val="0017418C"/>
    <w:rsid w:val="001742E8"/>
    <w:rsid w:val="001742EB"/>
    <w:rsid w:val="001743D3"/>
    <w:rsid w:val="00174480"/>
    <w:rsid w:val="00174723"/>
    <w:rsid w:val="00174826"/>
    <w:rsid w:val="00174852"/>
    <w:rsid w:val="001749F4"/>
    <w:rsid w:val="00174DE1"/>
    <w:rsid w:val="00174F0A"/>
    <w:rsid w:val="00175179"/>
    <w:rsid w:val="00175369"/>
    <w:rsid w:val="001756E8"/>
    <w:rsid w:val="0017591D"/>
    <w:rsid w:val="001759FA"/>
    <w:rsid w:val="00175F12"/>
    <w:rsid w:val="00176231"/>
    <w:rsid w:val="0017629D"/>
    <w:rsid w:val="0017637A"/>
    <w:rsid w:val="00176418"/>
    <w:rsid w:val="0017686E"/>
    <w:rsid w:val="00176968"/>
    <w:rsid w:val="001769C2"/>
    <w:rsid w:val="00176C7D"/>
    <w:rsid w:val="00176C7F"/>
    <w:rsid w:val="00176DFC"/>
    <w:rsid w:val="00176E57"/>
    <w:rsid w:val="00177051"/>
    <w:rsid w:val="00177757"/>
    <w:rsid w:val="00177783"/>
    <w:rsid w:val="00177B93"/>
    <w:rsid w:val="00177C50"/>
    <w:rsid w:val="00177D71"/>
    <w:rsid w:val="00177FB7"/>
    <w:rsid w:val="00177FC2"/>
    <w:rsid w:val="0018002A"/>
    <w:rsid w:val="001800FA"/>
    <w:rsid w:val="00180185"/>
    <w:rsid w:val="001801D2"/>
    <w:rsid w:val="001804B3"/>
    <w:rsid w:val="00180518"/>
    <w:rsid w:val="001805F8"/>
    <w:rsid w:val="00180946"/>
    <w:rsid w:val="001809AB"/>
    <w:rsid w:val="001809C2"/>
    <w:rsid w:val="00180BFC"/>
    <w:rsid w:val="00180D74"/>
    <w:rsid w:val="00180F37"/>
    <w:rsid w:val="00181110"/>
    <w:rsid w:val="00181607"/>
    <w:rsid w:val="001818E3"/>
    <w:rsid w:val="001818F7"/>
    <w:rsid w:val="001819B3"/>
    <w:rsid w:val="00181C71"/>
    <w:rsid w:val="00181E4B"/>
    <w:rsid w:val="00181FCA"/>
    <w:rsid w:val="001823F4"/>
    <w:rsid w:val="001828EF"/>
    <w:rsid w:val="00182A0E"/>
    <w:rsid w:val="0018353C"/>
    <w:rsid w:val="001839F0"/>
    <w:rsid w:val="00183A8B"/>
    <w:rsid w:val="00183C25"/>
    <w:rsid w:val="00183E58"/>
    <w:rsid w:val="00183EAA"/>
    <w:rsid w:val="001840A0"/>
    <w:rsid w:val="00184162"/>
    <w:rsid w:val="00184465"/>
    <w:rsid w:val="001846FB"/>
    <w:rsid w:val="0018471E"/>
    <w:rsid w:val="00184848"/>
    <w:rsid w:val="001849AD"/>
    <w:rsid w:val="00184A8D"/>
    <w:rsid w:val="00184D06"/>
    <w:rsid w:val="00184D77"/>
    <w:rsid w:val="00184E91"/>
    <w:rsid w:val="001853D7"/>
    <w:rsid w:val="00185910"/>
    <w:rsid w:val="001859C2"/>
    <w:rsid w:val="0018602B"/>
    <w:rsid w:val="0018623E"/>
    <w:rsid w:val="00186256"/>
    <w:rsid w:val="001862B4"/>
    <w:rsid w:val="001864C6"/>
    <w:rsid w:val="00186518"/>
    <w:rsid w:val="0018656C"/>
    <w:rsid w:val="001869B6"/>
    <w:rsid w:val="00186A13"/>
    <w:rsid w:val="00186BAF"/>
    <w:rsid w:val="00186CFA"/>
    <w:rsid w:val="00186DC3"/>
    <w:rsid w:val="00187041"/>
    <w:rsid w:val="00187053"/>
    <w:rsid w:val="00187312"/>
    <w:rsid w:val="0018738B"/>
    <w:rsid w:val="001876D4"/>
    <w:rsid w:val="001877F0"/>
    <w:rsid w:val="00187945"/>
    <w:rsid w:val="00187D1F"/>
    <w:rsid w:val="00187ED3"/>
    <w:rsid w:val="00187FB1"/>
    <w:rsid w:val="00190144"/>
    <w:rsid w:val="0019029B"/>
    <w:rsid w:val="001905FB"/>
    <w:rsid w:val="0019084D"/>
    <w:rsid w:val="00190EBC"/>
    <w:rsid w:val="00191425"/>
    <w:rsid w:val="00191599"/>
    <w:rsid w:val="00191830"/>
    <w:rsid w:val="001919B0"/>
    <w:rsid w:val="00191E09"/>
    <w:rsid w:val="00191EDA"/>
    <w:rsid w:val="00191FB7"/>
    <w:rsid w:val="001920D6"/>
    <w:rsid w:val="0019228B"/>
    <w:rsid w:val="0019235F"/>
    <w:rsid w:val="00192415"/>
    <w:rsid w:val="001928C6"/>
    <w:rsid w:val="0019290B"/>
    <w:rsid w:val="00192BDB"/>
    <w:rsid w:val="00192DD5"/>
    <w:rsid w:val="001934C1"/>
    <w:rsid w:val="00193845"/>
    <w:rsid w:val="001938E8"/>
    <w:rsid w:val="00193959"/>
    <w:rsid w:val="00193C69"/>
    <w:rsid w:val="00193CD5"/>
    <w:rsid w:val="00193EFE"/>
    <w:rsid w:val="00193FC5"/>
    <w:rsid w:val="00193FFD"/>
    <w:rsid w:val="00194282"/>
    <w:rsid w:val="001948B7"/>
    <w:rsid w:val="00194A29"/>
    <w:rsid w:val="00194B69"/>
    <w:rsid w:val="00194D82"/>
    <w:rsid w:val="00194E0D"/>
    <w:rsid w:val="0019509B"/>
    <w:rsid w:val="001953BD"/>
    <w:rsid w:val="0019575B"/>
    <w:rsid w:val="00195810"/>
    <w:rsid w:val="001958DA"/>
    <w:rsid w:val="001959B7"/>
    <w:rsid w:val="001959D0"/>
    <w:rsid w:val="00195ACA"/>
    <w:rsid w:val="00195DB8"/>
    <w:rsid w:val="0019601A"/>
    <w:rsid w:val="001963B6"/>
    <w:rsid w:val="001965BD"/>
    <w:rsid w:val="00196604"/>
    <w:rsid w:val="00196768"/>
    <w:rsid w:val="00196833"/>
    <w:rsid w:val="00197011"/>
    <w:rsid w:val="00197341"/>
    <w:rsid w:val="001977A0"/>
    <w:rsid w:val="001979B0"/>
    <w:rsid w:val="00197E84"/>
    <w:rsid w:val="001A0D29"/>
    <w:rsid w:val="001A0D49"/>
    <w:rsid w:val="001A0E7F"/>
    <w:rsid w:val="001A0F5C"/>
    <w:rsid w:val="001A12E3"/>
    <w:rsid w:val="001A1797"/>
    <w:rsid w:val="001A18F5"/>
    <w:rsid w:val="001A1954"/>
    <w:rsid w:val="001A1A3A"/>
    <w:rsid w:val="001A1BE8"/>
    <w:rsid w:val="001A1CAA"/>
    <w:rsid w:val="001A21B5"/>
    <w:rsid w:val="001A22A0"/>
    <w:rsid w:val="001A25E0"/>
    <w:rsid w:val="001A269E"/>
    <w:rsid w:val="001A2880"/>
    <w:rsid w:val="001A2B0C"/>
    <w:rsid w:val="001A3331"/>
    <w:rsid w:val="001A3568"/>
    <w:rsid w:val="001A3571"/>
    <w:rsid w:val="001A39EA"/>
    <w:rsid w:val="001A3A65"/>
    <w:rsid w:val="001A3A79"/>
    <w:rsid w:val="001A3BEA"/>
    <w:rsid w:val="001A3E08"/>
    <w:rsid w:val="001A3FD9"/>
    <w:rsid w:val="001A4293"/>
    <w:rsid w:val="001A4385"/>
    <w:rsid w:val="001A468D"/>
    <w:rsid w:val="001A47A5"/>
    <w:rsid w:val="001A47EA"/>
    <w:rsid w:val="001A4844"/>
    <w:rsid w:val="001A492A"/>
    <w:rsid w:val="001A4A1F"/>
    <w:rsid w:val="001A4F92"/>
    <w:rsid w:val="001A5040"/>
    <w:rsid w:val="001A5335"/>
    <w:rsid w:val="001A5442"/>
    <w:rsid w:val="001A5474"/>
    <w:rsid w:val="001A599E"/>
    <w:rsid w:val="001A5D2A"/>
    <w:rsid w:val="001A6194"/>
    <w:rsid w:val="001A652B"/>
    <w:rsid w:val="001A6580"/>
    <w:rsid w:val="001A6660"/>
    <w:rsid w:val="001A67CE"/>
    <w:rsid w:val="001A685E"/>
    <w:rsid w:val="001A6C26"/>
    <w:rsid w:val="001A6D1E"/>
    <w:rsid w:val="001A6D55"/>
    <w:rsid w:val="001A6DCF"/>
    <w:rsid w:val="001A6E1A"/>
    <w:rsid w:val="001A6EC7"/>
    <w:rsid w:val="001A7456"/>
    <w:rsid w:val="001A758D"/>
    <w:rsid w:val="001A7617"/>
    <w:rsid w:val="001A784C"/>
    <w:rsid w:val="001A7AC4"/>
    <w:rsid w:val="001A7B5C"/>
    <w:rsid w:val="001A7C7B"/>
    <w:rsid w:val="001A7D51"/>
    <w:rsid w:val="001A7EE3"/>
    <w:rsid w:val="001A7F67"/>
    <w:rsid w:val="001A7F9B"/>
    <w:rsid w:val="001B02B1"/>
    <w:rsid w:val="001B038C"/>
    <w:rsid w:val="001B04D0"/>
    <w:rsid w:val="001B063A"/>
    <w:rsid w:val="001B0675"/>
    <w:rsid w:val="001B0883"/>
    <w:rsid w:val="001B09F4"/>
    <w:rsid w:val="001B0ADD"/>
    <w:rsid w:val="001B0B4F"/>
    <w:rsid w:val="001B0BA5"/>
    <w:rsid w:val="001B0DB6"/>
    <w:rsid w:val="001B102E"/>
    <w:rsid w:val="001B12EE"/>
    <w:rsid w:val="001B1693"/>
    <w:rsid w:val="001B170D"/>
    <w:rsid w:val="001B1758"/>
    <w:rsid w:val="001B1956"/>
    <w:rsid w:val="001B1A4B"/>
    <w:rsid w:val="001B1E0A"/>
    <w:rsid w:val="001B2040"/>
    <w:rsid w:val="001B2103"/>
    <w:rsid w:val="001B22E7"/>
    <w:rsid w:val="001B2637"/>
    <w:rsid w:val="001B28CE"/>
    <w:rsid w:val="001B2BD2"/>
    <w:rsid w:val="001B2CC5"/>
    <w:rsid w:val="001B2D8E"/>
    <w:rsid w:val="001B2D90"/>
    <w:rsid w:val="001B30A2"/>
    <w:rsid w:val="001B32F7"/>
    <w:rsid w:val="001B352E"/>
    <w:rsid w:val="001B38B8"/>
    <w:rsid w:val="001B3D0D"/>
    <w:rsid w:val="001B3D88"/>
    <w:rsid w:val="001B3FF7"/>
    <w:rsid w:val="001B4259"/>
    <w:rsid w:val="001B45D9"/>
    <w:rsid w:val="001B4662"/>
    <w:rsid w:val="001B4741"/>
    <w:rsid w:val="001B49F4"/>
    <w:rsid w:val="001B4A90"/>
    <w:rsid w:val="001B4ECF"/>
    <w:rsid w:val="001B5056"/>
    <w:rsid w:val="001B50D5"/>
    <w:rsid w:val="001B5430"/>
    <w:rsid w:val="001B563A"/>
    <w:rsid w:val="001B5A9D"/>
    <w:rsid w:val="001B5CD1"/>
    <w:rsid w:val="001B5E65"/>
    <w:rsid w:val="001B6165"/>
    <w:rsid w:val="001B6280"/>
    <w:rsid w:val="001B62BF"/>
    <w:rsid w:val="001B62D3"/>
    <w:rsid w:val="001B6787"/>
    <w:rsid w:val="001B678F"/>
    <w:rsid w:val="001B6997"/>
    <w:rsid w:val="001B6E01"/>
    <w:rsid w:val="001B7000"/>
    <w:rsid w:val="001B748D"/>
    <w:rsid w:val="001B758D"/>
    <w:rsid w:val="001B7AD2"/>
    <w:rsid w:val="001B7B31"/>
    <w:rsid w:val="001B7FA2"/>
    <w:rsid w:val="001C01DF"/>
    <w:rsid w:val="001C02A1"/>
    <w:rsid w:val="001C0528"/>
    <w:rsid w:val="001C0539"/>
    <w:rsid w:val="001C062A"/>
    <w:rsid w:val="001C073F"/>
    <w:rsid w:val="001C07DC"/>
    <w:rsid w:val="001C0BF4"/>
    <w:rsid w:val="001C0C45"/>
    <w:rsid w:val="001C0D62"/>
    <w:rsid w:val="001C1379"/>
    <w:rsid w:val="001C1549"/>
    <w:rsid w:val="001C1807"/>
    <w:rsid w:val="001C19A4"/>
    <w:rsid w:val="001C1B3E"/>
    <w:rsid w:val="001C2238"/>
    <w:rsid w:val="001C22B2"/>
    <w:rsid w:val="001C22C2"/>
    <w:rsid w:val="001C2374"/>
    <w:rsid w:val="001C2382"/>
    <w:rsid w:val="001C2639"/>
    <w:rsid w:val="001C27C4"/>
    <w:rsid w:val="001C2A62"/>
    <w:rsid w:val="001C2D13"/>
    <w:rsid w:val="001C2EBB"/>
    <w:rsid w:val="001C30CE"/>
    <w:rsid w:val="001C3475"/>
    <w:rsid w:val="001C380C"/>
    <w:rsid w:val="001C3833"/>
    <w:rsid w:val="001C4050"/>
    <w:rsid w:val="001C4051"/>
    <w:rsid w:val="001C4582"/>
    <w:rsid w:val="001C4766"/>
    <w:rsid w:val="001C48C6"/>
    <w:rsid w:val="001C5085"/>
    <w:rsid w:val="001C527F"/>
    <w:rsid w:val="001C52B3"/>
    <w:rsid w:val="001C52FF"/>
    <w:rsid w:val="001C5422"/>
    <w:rsid w:val="001C546F"/>
    <w:rsid w:val="001C5725"/>
    <w:rsid w:val="001C5864"/>
    <w:rsid w:val="001C5ADC"/>
    <w:rsid w:val="001C5DFA"/>
    <w:rsid w:val="001C5E9C"/>
    <w:rsid w:val="001C6650"/>
    <w:rsid w:val="001C6963"/>
    <w:rsid w:val="001C6ABC"/>
    <w:rsid w:val="001C6C8E"/>
    <w:rsid w:val="001C6CB5"/>
    <w:rsid w:val="001C6CE8"/>
    <w:rsid w:val="001C6E5D"/>
    <w:rsid w:val="001C6EF4"/>
    <w:rsid w:val="001C7105"/>
    <w:rsid w:val="001C742A"/>
    <w:rsid w:val="001C74E9"/>
    <w:rsid w:val="001C74F6"/>
    <w:rsid w:val="001C7566"/>
    <w:rsid w:val="001C77BA"/>
    <w:rsid w:val="001C78FA"/>
    <w:rsid w:val="001C7968"/>
    <w:rsid w:val="001C7BCA"/>
    <w:rsid w:val="001C7C24"/>
    <w:rsid w:val="001D0094"/>
    <w:rsid w:val="001D00CE"/>
    <w:rsid w:val="001D05A8"/>
    <w:rsid w:val="001D071A"/>
    <w:rsid w:val="001D08AD"/>
    <w:rsid w:val="001D0A60"/>
    <w:rsid w:val="001D11F2"/>
    <w:rsid w:val="001D129E"/>
    <w:rsid w:val="001D1971"/>
    <w:rsid w:val="001D1AFB"/>
    <w:rsid w:val="001D1BCA"/>
    <w:rsid w:val="001D1CCB"/>
    <w:rsid w:val="001D1F3A"/>
    <w:rsid w:val="001D1F97"/>
    <w:rsid w:val="001D227C"/>
    <w:rsid w:val="001D22C4"/>
    <w:rsid w:val="001D27CB"/>
    <w:rsid w:val="001D2A3E"/>
    <w:rsid w:val="001D2AC6"/>
    <w:rsid w:val="001D2B13"/>
    <w:rsid w:val="001D3042"/>
    <w:rsid w:val="001D323E"/>
    <w:rsid w:val="001D32EA"/>
    <w:rsid w:val="001D3485"/>
    <w:rsid w:val="001D397A"/>
    <w:rsid w:val="001D3C93"/>
    <w:rsid w:val="001D3CCE"/>
    <w:rsid w:val="001D3DEE"/>
    <w:rsid w:val="001D419F"/>
    <w:rsid w:val="001D41EF"/>
    <w:rsid w:val="001D45EA"/>
    <w:rsid w:val="001D463F"/>
    <w:rsid w:val="001D514F"/>
    <w:rsid w:val="001D5176"/>
    <w:rsid w:val="001D53D7"/>
    <w:rsid w:val="001D55A3"/>
    <w:rsid w:val="001D587B"/>
    <w:rsid w:val="001D5A96"/>
    <w:rsid w:val="001D5B8E"/>
    <w:rsid w:val="001D6AE9"/>
    <w:rsid w:val="001D6C33"/>
    <w:rsid w:val="001D6CFA"/>
    <w:rsid w:val="001D6D89"/>
    <w:rsid w:val="001D6E5B"/>
    <w:rsid w:val="001D7288"/>
    <w:rsid w:val="001D7766"/>
    <w:rsid w:val="001D7A59"/>
    <w:rsid w:val="001D7AD1"/>
    <w:rsid w:val="001D7F2E"/>
    <w:rsid w:val="001E0258"/>
    <w:rsid w:val="001E0E8C"/>
    <w:rsid w:val="001E0F3B"/>
    <w:rsid w:val="001E1289"/>
    <w:rsid w:val="001E1311"/>
    <w:rsid w:val="001E14BE"/>
    <w:rsid w:val="001E17A2"/>
    <w:rsid w:val="001E1A18"/>
    <w:rsid w:val="001E1BCB"/>
    <w:rsid w:val="001E1CE3"/>
    <w:rsid w:val="001E1E36"/>
    <w:rsid w:val="001E223F"/>
    <w:rsid w:val="001E22CC"/>
    <w:rsid w:val="001E26BB"/>
    <w:rsid w:val="001E2C8B"/>
    <w:rsid w:val="001E2D12"/>
    <w:rsid w:val="001E302B"/>
    <w:rsid w:val="001E3171"/>
    <w:rsid w:val="001E318E"/>
    <w:rsid w:val="001E31CD"/>
    <w:rsid w:val="001E3350"/>
    <w:rsid w:val="001E348F"/>
    <w:rsid w:val="001E350F"/>
    <w:rsid w:val="001E35AD"/>
    <w:rsid w:val="001E378F"/>
    <w:rsid w:val="001E37B1"/>
    <w:rsid w:val="001E3BB2"/>
    <w:rsid w:val="001E4014"/>
    <w:rsid w:val="001E403F"/>
    <w:rsid w:val="001E4104"/>
    <w:rsid w:val="001E441F"/>
    <w:rsid w:val="001E45A4"/>
    <w:rsid w:val="001E47F3"/>
    <w:rsid w:val="001E4858"/>
    <w:rsid w:val="001E5A2F"/>
    <w:rsid w:val="001E5F5A"/>
    <w:rsid w:val="001E609F"/>
    <w:rsid w:val="001E635A"/>
    <w:rsid w:val="001E653C"/>
    <w:rsid w:val="001E65FA"/>
    <w:rsid w:val="001E6759"/>
    <w:rsid w:val="001E6AE6"/>
    <w:rsid w:val="001E6B28"/>
    <w:rsid w:val="001E6D78"/>
    <w:rsid w:val="001E73EF"/>
    <w:rsid w:val="001E7582"/>
    <w:rsid w:val="001E7800"/>
    <w:rsid w:val="001E7A35"/>
    <w:rsid w:val="001E7B2C"/>
    <w:rsid w:val="001E7B96"/>
    <w:rsid w:val="001E7C97"/>
    <w:rsid w:val="001F034A"/>
    <w:rsid w:val="001F041C"/>
    <w:rsid w:val="001F06C2"/>
    <w:rsid w:val="001F0A8C"/>
    <w:rsid w:val="001F11E9"/>
    <w:rsid w:val="001F17B8"/>
    <w:rsid w:val="001F17EE"/>
    <w:rsid w:val="001F182E"/>
    <w:rsid w:val="001F18BF"/>
    <w:rsid w:val="001F18DC"/>
    <w:rsid w:val="001F1964"/>
    <w:rsid w:val="001F19E4"/>
    <w:rsid w:val="001F1ACF"/>
    <w:rsid w:val="001F1B7E"/>
    <w:rsid w:val="001F1CB6"/>
    <w:rsid w:val="001F1D8F"/>
    <w:rsid w:val="001F1DC2"/>
    <w:rsid w:val="001F1FA9"/>
    <w:rsid w:val="001F2136"/>
    <w:rsid w:val="001F2159"/>
    <w:rsid w:val="001F2767"/>
    <w:rsid w:val="001F29FE"/>
    <w:rsid w:val="001F2A11"/>
    <w:rsid w:val="001F2C6C"/>
    <w:rsid w:val="001F2F55"/>
    <w:rsid w:val="001F2F90"/>
    <w:rsid w:val="001F3042"/>
    <w:rsid w:val="001F37B5"/>
    <w:rsid w:val="001F3C14"/>
    <w:rsid w:val="001F3D48"/>
    <w:rsid w:val="001F40D5"/>
    <w:rsid w:val="001F4618"/>
    <w:rsid w:val="001F4916"/>
    <w:rsid w:val="001F4C91"/>
    <w:rsid w:val="001F4CD1"/>
    <w:rsid w:val="001F4DD2"/>
    <w:rsid w:val="001F510E"/>
    <w:rsid w:val="001F5139"/>
    <w:rsid w:val="001F51DC"/>
    <w:rsid w:val="001F522E"/>
    <w:rsid w:val="001F5466"/>
    <w:rsid w:val="001F5722"/>
    <w:rsid w:val="001F57A4"/>
    <w:rsid w:val="001F57FF"/>
    <w:rsid w:val="001F5B6A"/>
    <w:rsid w:val="001F5C57"/>
    <w:rsid w:val="001F602C"/>
    <w:rsid w:val="001F605D"/>
    <w:rsid w:val="001F6078"/>
    <w:rsid w:val="001F6113"/>
    <w:rsid w:val="001F6640"/>
    <w:rsid w:val="001F695C"/>
    <w:rsid w:val="001F6BBF"/>
    <w:rsid w:val="001F6C60"/>
    <w:rsid w:val="001F6CA1"/>
    <w:rsid w:val="001F6DFA"/>
    <w:rsid w:val="001F6EAF"/>
    <w:rsid w:val="001F6EB3"/>
    <w:rsid w:val="001F731A"/>
    <w:rsid w:val="001F73AC"/>
    <w:rsid w:val="0020019A"/>
    <w:rsid w:val="002006CB"/>
    <w:rsid w:val="002007D1"/>
    <w:rsid w:val="00200A27"/>
    <w:rsid w:val="00200BF1"/>
    <w:rsid w:val="00201066"/>
    <w:rsid w:val="00201068"/>
    <w:rsid w:val="002015C2"/>
    <w:rsid w:val="0020165F"/>
    <w:rsid w:val="002018AB"/>
    <w:rsid w:val="00201905"/>
    <w:rsid w:val="0020197B"/>
    <w:rsid w:val="00201D06"/>
    <w:rsid w:val="00201E58"/>
    <w:rsid w:val="00202048"/>
    <w:rsid w:val="002020DA"/>
    <w:rsid w:val="0020221A"/>
    <w:rsid w:val="002027DF"/>
    <w:rsid w:val="0020281E"/>
    <w:rsid w:val="00203128"/>
    <w:rsid w:val="00203595"/>
    <w:rsid w:val="00203AAD"/>
    <w:rsid w:val="002046C7"/>
    <w:rsid w:val="00204D8E"/>
    <w:rsid w:val="0020507D"/>
    <w:rsid w:val="002052FB"/>
    <w:rsid w:val="002053C1"/>
    <w:rsid w:val="0020548E"/>
    <w:rsid w:val="00205556"/>
    <w:rsid w:val="00205A5E"/>
    <w:rsid w:val="00205CBE"/>
    <w:rsid w:val="00205E91"/>
    <w:rsid w:val="0020659C"/>
    <w:rsid w:val="00206AD7"/>
    <w:rsid w:val="00206B5D"/>
    <w:rsid w:val="00206D79"/>
    <w:rsid w:val="0020717A"/>
    <w:rsid w:val="00207187"/>
    <w:rsid w:val="002071AC"/>
    <w:rsid w:val="002072CF"/>
    <w:rsid w:val="00207565"/>
    <w:rsid w:val="0020783C"/>
    <w:rsid w:val="0020794E"/>
    <w:rsid w:val="00207C04"/>
    <w:rsid w:val="00207DAC"/>
    <w:rsid w:val="002101DA"/>
    <w:rsid w:val="0021067F"/>
    <w:rsid w:val="002107DF"/>
    <w:rsid w:val="00210BE5"/>
    <w:rsid w:val="00210CB2"/>
    <w:rsid w:val="00210DC4"/>
    <w:rsid w:val="00210E94"/>
    <w:rsid w:val="0021108C"/>
    <w:rsid w:val="0021116A"/>
    <w:rsid w:val="002111C9"/>
    <w:rsid w:val="00211325"/>
    <w:rsid w:val="002116B4"/>
    <w:rsid w:val="002117F4"/>
    <w:rsid w:val="00211C58"/>
    <w:rsid w:val="00211CF3"/>
    <w:rsid w:val="00211D46"/>
    <w:rsid w:val="00211EB4"/>
    <w:rsid w:val="00211FC3"/>
    <w:rsid w:val="00212156"/>
    <w:rsid w:val="002121CA"/>
    <w:rsid w:val="002124AB"/>
    <w:rsid w:val="0021269C"/>
    <w:rsid w:val="0021281F"/>
    <w:rsid w:val="002128D0"/>
    <w:rsid w:val="00212987"/>
    <w:rsid w:val="002129FA"/>
    <w:rsid w:val="00212B37"/>
    <w:rsid w:val="00212CAD"/>
    <w:rsid w:val="00212E04"/>
    <w:rsid w:val="00213190"/>
    <w:rsid w:val="00213227"/>
    <w:rsid w:val="00213339"/>
    <w:rsid w:val="00213591"/>
    <w:rsid w:val="002136D9"/>
    <w:rsid w:val="0021371B"/>
    <w:rsid w:val="0021375A"/>
    <w:rsid w:val="0021393E"/>
    <w:rsid w:val="00213DF8"/>
    <w:rsid w:val="002146F6"/>
    <w:rsid w:val="00214714"/>
    <w:rsid w:val="00214811"/>
    <w:rsid w:val="00214816"/>
    <w:rsid w:val="00214FFE"/>
    <w:rsid w:val="002151DC"/>
    <w:rsid w:val="002151FA"/>
    <w:rsid w:val="0021577E"/>
    <w:rsid w:val="002159A9"/>
    <w:rsid w:val="00215C9F"/>
    <w:rsid w:val="00215DC5"/>
    <w:rsid w:val="00216217"/>
    <w:rsid w:val="002163C7"/>
    <w:rsid w:val="00216753"/>
    <w:rsid w:val="00216A96"/>
    <w:rsid w:val="00216B95"/>
    <w:rsid w:val="00216E8A"/>
    <w:rsid w:val="00216F53"/>
    <w:rsid w:val="0021727B"/>
    <w:rsid w:val="0021729F"/>
    <w:rsid w:val="00217D87"/>
    <w:rsid w:val="00217DAB"/>
    <w:rsid w:val="00217DFA"/>
    <w:rsid w:val="00217F48"/>
    <w:rsid w:val="00220106"/>
    <w:rsid w:val="0022043F"/>
    <w:rsid w:val="002206F0"/>
    <w:rsid w:val="002206F4"/>
    <w:rsid w:val="0022071E"/>
    <w:rsid w:val="00220CF3"/>
    <w:rsid w:val="00220E6D"/>
    <w:rsid w:val="00220FFC"/>
    <w:rsid w:val="0022114B"/>
    <w:rsid w:val="002214D4"/>
    <w:rsid w:val="00221579"/>
    <w:rsid w:val="0022159D"/>
    <w:rsid w:val="002216E5"/>
    <w:rsid w:val="002217F6"/>
    <w:rsid w:val="00221C7E"/>
    <w:rsid w:val="00221EBC"/>
    <w:rsid w:val="002221E2"/>
    <w:rsid w:val="0022298D"/>
    <w:rsid w:val="00222AF8"/>
    <w:rsid w:val="00223231"/>
    <w:rsid w:val="00223548"/>
    <w:rsid w:val="002235E0"/>
    <w:rsid w:val="00223621"/>
    <w:rsid w:val="002238C5"/>
    <w:rsid w:val="00223B1A"/>
    <w:rsid w:val="00223BAD"/>
    <w:rsid w:val="00223D12"/>
    <w:rsid w:val="00223DAB"/>
    <w:rsid w:val="002244AC"/>
    <w:rsid w:val="002244D1"/>
    <w:rsid w:val="0022479A"/>
    <w:rsid w:val="00224D7A"/>
    <w:rsid w:val="00224D8F"/>
    <w:rsid w:val="00224E7D"/>
    <w:rsid w:val="00224FDB"/>
    <w:rsid w:val="002255A7"/>
    <w:rsid w:val="00225A67"/>
    <w:rsid w:val="00225C22"/>
    <w:rsid w:val="00225CBB"/>
    <w:rsid w:val="0022667E"/>
    <w:rsid w:val="00226BD8"/>
    <w:rsid w:val="00226C75"/>
    <w:rsid w:val="00226D75"/>
    <w:rsid w:val="00227074"/>
    <w:rsid w:val="002271C3"/>
    <w:rsid w:val="002271C5"/>
    <w:rsid w:val="0022737A"/>
    <w:rsid w:val="00227431"/>
    <w:rsid w:val="00227701"/>
    <w:rsid w:val="0022771E"/>
    <w:rsid w:val="002277F9"/>
    <w:rsid w:val="00227BE9"/>
    <w:rsid w:val="00227FA9"/>
    <w:rsid w:val="00227FF3"/>
    <w:rsid w:val="00230044"/>
    <w:rsid w:val="0023016A"/>
    <w:rsid w:val="00230368"/>
    <w:rsid w:val="002304B1"/>
    <w:rsid w:val="00230650"/>
    <w:rsid w:val="002306AD"/>
    <w:rsid w:val="00230714"/>
    <w:rsid w:val="002309D4"/>
    <w:rsid w:val="00230B52"/>
    <w:rsid w:val="00230D2C"/>
    <w:rsid w:val="00230F19"/>
    <w:rsid w:val="00231010"/>
    <w:rsid w:val="0023126D"/>
    <w:rsid w:val="00231531"/>
    <w:rsid w:val="00231983"/>
    <w:rsid w:val="00231A9B"/>
    <w:rsid w:val="00231F5B"/>
    <w:rsid w:val="002320C4"/>
    <w:rsid w:val="00232424"/>
    <w:rsid w:val="00232A93"/>
    <w:rsid w:val="00232F4A"/>
    <w:rsid w:val="00233595"/>
    <w:rsid w:val="00233A2D"/>
    <w:rsid w:val="00233A69"/>
    <w:rsid w:val="00233B70"/>
    <w:rsid w:val="002340AF"/>
    <w:rsid w:val="0023436D"/>
    <w:rsid w:val="0023446D"/>
    <w:rsid w:val="002344AB"/>
    <w:rsid w:val="002345A6"/>
    <w:rsid w:val="002345DD"/>
    <w:rsid w:val="002345F6"/>
    <w:rsid w:val="0023474C"/>
    <w:rsid w:val="00234B69"/>
    <w:rsid w:val="00234C5F"/>
    <w:rsid w:val="00235038"/>
    <w:rsid w:val="002355A2"/>
    <w:rsid w:val="002356C3"/>
    <w:rsid w:val="002356D7"/>
    <w:rsid w:val="002358A3"/>
    <w:rsid w:val="00235A34"/>
    <w:rsid w:val="00235AEB"/>
    <w:rsid w:val="00235CBA"/>
    <w:rsid w:val="00235CEA"/>
    <w:rsid w:val="00235D31"/>
    <w:rsid w:val="00235DAA"/>
    <w:rsid w:val="00235FAF"/>
    <w:rsid w:val="002361C6"/>
    <w:rsid w:val="002362D0"/>
    <w:rsid w:val="00236598"/>
    <w:rsid w:val="0023663A"/>
    <w:rsid w:val="002368DD"/>
    <w:rsid w:val="0023691C"/>
    <w:rsid w:val="0023697C"/>
    <w:rsid w:val="00236A12"/>
    <w:rsid w:val="00236DEA"/>
    <w:rsid w:val="00237124"/>
    <w:rsid w:val="0023736C"/>
    <w:rsid w:val="002374D8"/>
    <w:rsid w:val="002376B9"/>
    <w:rsid w:val="00237757"/>
    <w:rsid w:val="00237A98"/>
    <w:rsid w:val="00237C6E"/>
    <w:rsid w:val="00237E74"/>
    <w:rsid w:val="002400C6"/>
    <w:rsid w:val="002403B6"/>
    <w:rsid w:val="00240450"/>
    <w:rsid w:val="00240722"/>
    <w:rsid w:val="002407F2"/>
    <w:rsid w:val="00240940"/>
    <w:rsid w:val="00240AEC"/>
    <w:rsid w:val="00240D73"/>
    <w:rsid w:val="00240E6C"/>
    <w:rsid w:val="0024112E"/>
    <w:rsid w:val="0024118E"/>
    <w:rsid w:val="00241219"/>
    <w:rsid w:val="002413A1"/>
    <w:rsid w:val="002413E2"/>
    <w:rsid w:val="0024148E"/>
    <w:rsid w:val="0024158A"/>
    <w:rsid w:val="0024171D"/>
    <w:rsid w:val="00241A2C"/>
    <w:rsid w:val="00241B6D"/>
    <w:rsid w:val="00241CC3"/>
    <w:rsid w:val="00241D6F"/>
    <w:rsid w:val="00241F4F"/>
    <w:rsid w:val="0024202F"/>
    <w:rsid w:val="00242279"/>
    <w:rsid w:val="0024242B"/>
    <w:rsid w:val="00242647"/>
    <w:rsid w:val="0024264B"/>
    <w:rsid w:val="002426C2"/>
    <w:rsid w:val="00242728"/>
    <w:rsid w:val="0024342D"/>
    <w:rsid w:val="002435BB"/>
    <w:rsid w:val="0024363A"/>
    <w:rsid w:val="00243F3B"/>
    <w:rsid w:val="00244094"/>
    <w:rsid w:val="002440BF"/>
    <w:rsid w:val="0024448A"/>
    <w:rsid w:val="00244816"/>
    <w:rsid w:val="0024485E"/>
    <w:rsid w:val="002449FF"/>
    <w:rsid w:val="00244A6D"/>
    <w:rsid w:val="00244EA1"/>
    <w:rsid w:val="0024560E"/>
    <w:rsid w:val="002456F5"/>
    <w:rsid w:val="00245709"/>
    <w:rsid w:val="00245924"/>
    <w:rsid w:val="0024592D"/>
    <w:rsid w:val="00245DE5"/>
    <w:rsid w:val="00245EF3"/>
    <w:rsid w:val="002463E0"/>
    <w:rsid w:val="002463FA"/>
    <w:rsid w:val="00246487"/>
    <w:rsid w:val="0024673E"/>
    <w:rsid w:val="002468F0"/>
    <w:rsid w:val="00246EB2"/>
    <w:rsid w:val="00246F36"/>
    <w:rsid w:val="00247433"/>
    <w:rsid w:val="0024749A"/>
    <w:rsid w:val="002474AE"/>
    <w:rsid w:val="002477BE"/>
    <w:rsid w:val="00247858"/>
    <w:rsid w:val="002478D7"/>
    <w:rsid w:val="00247909"/>
    <w:rsid w:val="00247A12"/>
    <w:rsid w:val="00247BC1"/>
    <w:rsid w:val="00247E8E"/>
    <w:rsid w:val="00247FE7"/>
    <w:rsid w:val="002502F8"/>
    <w:rsid w:val="00250480"/>
    <w:rsid w:val="00250735"/>
    <w:rsid w:val="00250970"/>
    <w:rsid w:val="00250A4A"/>
    <w:rsid w:val="00250CBF"/>
    <w:rsid w:val="00250D8B"/>
    <w:rsid w:val="00250E83"/>
    <w:rsid w:val="00251075"/>
    <w:rsid w:val="0025173D"/>
    <w:rsid w:val="00251788"/>
    <w:rsid w:val="0025184F"/>
    <w:rsid w:val="00251F7C"/>
    <w:rsid w:val="0025214D"/>
    <w:rsid w:val="002523DA"/>
    <w:rsid w:val="002524F8"/>
    <w:rsid w:val="00252725"/>
    <w:rsid w:val="002528A0"/>
    <w:rsid w:val="00252ADF"/>
    <w:rsid w:val="00252C59"/>
    <w:rsid w:val="00252D40"/>
    <w:rsid w:val="00252E10"/>
    <w:rsid w:val="0025321C"/>
    <w:rsid w:val="002533C4"/>
    <w:rsid w:val="00253497"/>
    <w:rsid w:val="0025357A"/>
    <w:rsid w:val="002535DC"/>
    <w:rsid w:val="00253880"/>
    <w:rsid w:val="00253A89"/>
    <w:rsid w:val="00253CF7"/>
    <w:rsid w:val="00253D27"/>
    <w:rsid w:val="00254389"/>
    <w:rsid w:val="002545B2"/>
    <w:rsid w:val="0025478E"/>
    <w:rsid w:val="0025482A"/>
    <w:rsid w:val="002548C7"/>
    <w:rsid w:val="002548DC"/>
    <w:rsid w:val="00254AEF"/>
    <w:rsid w:val="00254E8F"/>
    <w:rsid w:val="0025509C"/>
    <w:rsid w:val="00255150"/>
    <w:rsid w:val="002557C1"/>
    <w:rsid w:val="00255E1F"/>
    <w:rsid w:val="00255EE6"/>
    <w:rsid w:val="002564CF"/>
    <w:rsid w:val="0025689B"/>
    <w:rsid w:val="00256941"/>
    <w:rsid w:val="00256A6C"/>
    <w:rsid w:val="00256D15"/>
    <w:rsid w:val="002571BC"/>
    <w:rsid w:val="002571F4"/>
    <w:rsid w:val="00257319"/>
    <w:rsid w:val="002574E4"/>
    <w:rsid w:val="0025762E"/>
    <w:rsid w:val="00257703"/>
    <w:rsid w:val="002577DE"/>
    <w:rsid w:val="002579F0"/>
    <w:rsid w:val="00257E4E"/>
    <w:rsid w:val="0026037F"/>
    <w:rsid w:val="0026043F"/>
    <w:rsid w:val="00260590"/>
    <w:rsid w:val="00260E1B"/>
    <w:rsid w:val="00260F84"/>
    <w:rsid w:val="0026109B"/>
    <w:rsid w:val="002617F1"/>
    <w:rsid w:val="00261846"/>
    <w:rsid w:val="00261850"/>
    <w:rsid w:val="00261A9C"/>
    <w:rsid w:val="00261C77"/>
    <w:rsid w:val="00261D95"/>
    <w:rsid w:val="00261EA0"/>
    <w:rsid w:val="00262269"/>
    <w:rsid w:val="002622DD"/>
    <w:rsid w:val="002625CE"/>
    <w:rsid w:val="00262846"/>
    <w:rsid w:val="00262FA7"/>
    <w:rsid w:val="00263035"/>
    <w:rsid w:val="002631BE"/>
    <w:rsid w:val="00263636"/>
    <w:rsid w:val="0026397C"/>
    <w:rsid w:val="00263CDB"/>
    <w:rsid w:val="00264004"/>
    <w:rsid w:val="00264475"/>
    <w:rsid w:val="0026458D"/>
    <w:rsid w:val="00264A3B"/>
    <w:rsid w:val="00264C33"/>
    <w:rsid w:val="00264CCA"/>
    <w:rsid w:val="00264E3E"/>
    <w:rsid w:val="00264EA3"/>
    <w:rsid w:val="00264ED6"/>
    <w:rsid w:val="002656E4"/>
    <w:rsid w:val="00265760"/>
    <w:rsid w:val="00265980"/>
    <w:rsid w:val="00265DC2"/>
    <w:rsid w:val="00266038"/>
    <w:rsid w:val="00266546"/>
    <w:rsid w:val="002666CF"/>
    <w:rsid w:val="00266797"/>
    <w:rsid w:val="00266CED"/>
    <w:rsid w:val="00266EBB"/>
    <w:rsid w:val="002671BF"/>
    <w:rsid w:val="0026720D"/>
    <w:rsid w:val="00267428"/>
    <w:rsid w:val="00267450"/>
    <w:rsid w:val="00270054"/>
    <w:rsid w:val="00270081"/>
    <w:rsid w:val="00270101"/>
    <w:rsid w:val="002703C6"/>
    <w:rsid w:val="0027056C"/>
    <w:rsid w:val="00270621"/>
    <w:rsid w:val="00270C87"/>
    <w:rsid w:val="00270D76"/>
    <w:rsid w:val="00270D9F"/>
    <w:rsid w:val="00270F63"/>
    <w:rsid w:val="00271246"/>
    <w:rsid w:val="002715BC"/>
    <w:rsid w:val="00271994"/>
    <w:rsid w:val="00271A97"/>
    <w:rsid w:val="00271BF5"/>
    <w:rsid w:val="00271F36"/>
    <w:rsid w:val="00271F9A"/>
    <w:rsid w:val="0027218A"/>
    <w:rsid w:val="002721F1"/>
    <w:rsid w:val="00272C9F"/>
    <w:rsid w:val="00272F7F"/>
    <w:rsid w:val="002731B6"/>
    <w:rsid w:val="00273709"/>
    <w:rsid w:val="00273931"/>
    <w:rsid w:val="002739C6"/>
    <w:rsid w:val="002739FC"/>
    <w:rsid w:val="00273A75"/>
    <w:rsid w:val="00273A8A"/>
    <w:rsid w:val="00273ABD"/>
    <w:rsid w:val="00273CF2"/>
    <w:rsid w:val="00274050"/>
    <w:rsid w:val="0027414D"/>
    <w:rsid w:val="00274428"/>
    <w:rsid w:val="002754FB"/>
    <w:rsid w:val="002758DC"/>
    <w:rsid w:val="00275ACD"/>
    <w:rsid w:val="00275BBC"/>
    <w:rsid w:val="00275D09"/>
    <w:rsid w:val="00275EB8"/>
    <w:rsid w:val="00275F58"/>
    <w:rsid w:val="0027609F"/>
    <w:rsid w:val="002761CE"/>
    <w:rsid w:val="00276560"/>
    <w:rsid w:val="00276941"/>
    <w:rsid w:val="00276C67"/>
    <w:rsid w:val="00276CF5"/>
    <w:rsid w:val="00276DC1"/>
    <w:rsid w:val="00276EF5"/>
    <w:rsid w:val="00277BB3"/>
    <w:rsid w:val="00277C22"/>
    <w:rsid w:val="00277C84"/>
    <w:rsid w:val="00277E86"/>
    <w:rsid w:val="00280AAE"/>
    <w:rsid w:val="00280C32"/>
    <w:rsid w:val="00281677"/>
    <w:rsid w:val="0028186E"/>
    <w:rsid w:val="00281A9E"/>
    <w:rsid w:val="00281BC4"/>
    <w:rsid w:val="00282786"/>
    <w:rsid w:val="00282952"/>
    <w:rsid w:val="00282BD9"/>
    <w:rsid w:val="00282CA0"/>
    <w:rsid w:val="00282E67"/>
    <w:rsid w:val="00282F7B"/>
    <w:rsid w:val="00282FE5"/>
    <w:rsid w:val="0028352A"/>
    <w:rsid w:val="00283634"/>
    <w:rsid w:val="00283914"/>
    <w:rsid w:val="00283BC1"/>
    <w:rsid w:val="00283DB2"/>
    <w:rsid w:val="00283F74"/>
    <w:rsid w:val="00284124"/>
    <w:rsid w:val="00284146"/>
    <w:rsid w:val="002848BA"/>
    <w:rsid w:val="002851A4"/>
    <w:rsid w:val="002856F8"/>
    <w:rsid w:val="00285935"/>
    <w:rsid w:val="00285A99"/>
    <w:rsid w:val="00285AB9"/>
    <w:rsid w:val="00285E3F"/>
    <w:rsid w:val="002861BE"/>
    <w:rsid w:val="0028629D"/>
    <w:rsid w:val="002865E7"/>
    <w:rsid w:val="0028705B"/>
    <w:rsid w:val="00287187"/>
    <w:rsid w:val="002871BA"/>
    <w:rsid w:val="002872C6"/>
    <w:rsid w:val="00287C34"/>
    <w:rsid w:val="00287F97"/>
    <w:rsid w:val="0029033E"/>
    <w:rsid w:val="00290443"/>
    <w:rsid w:val="0029052A"/>
    <w:rsid w:val="002905BD"/>
    <w:rsid w:val="002906C1"/>
    <w:rsid w:val="002907D0"/>
    <w:rsid w:val="00290FA4"/>
    <w:rsid w:val="0029138F"/>
    <w:rsid w:val="0029149B"/>
    <w:rsid w:val="002915D2"/>
    <w:rsid w:val="00291878"/>
    <w:rsid w:val="002918B9"/>
    <w:rsid w:val="00291BA6"/>
    <w:rsid w:val="00291CB5"/>
    <w:rsid w:val="00291E87"/>
    <w:rsid w:val="0029214C"/>
    <w:rsid w:val="00292189"/>
    <w:rsid w:val="002921F0"/>
    <w:rsid w:val="00292315"/>
    <w:rsid w:val="002923D1"/>
    <w:rsid w:val="0029263B"/>
    <w:rsid w:val="0029271C"/>
    <w:rsid w:val="0029273B"/>
    <w:rsid w:val="0029278F"/>
    <w:rsid w:val="00292C6B"/>
    <w:rsid w:val="0029301D"/>
    <w:rsid w:val="00293502"/>
    <w:rsid w:val="00293562"/>
    <w:rsid w:val="0029388C"/>
    <w:rsid w:val="00293AFA"/>
    <w:rsid w:val="00293AFE"/>
    <w:rsid w:val="00293D13"/>
    <w:rsid w:val="00294368"/>
    <w:rsid w:val="002944AD"/>
    <w:rsid w:val="00294559"/>
    <w:rsid w:val="0029471F"/>
    <w:rsid w:val="00294B96"/>
    <w:rsid w:val="00294F9C"/>
    <w:rsid w:val="0029500D"/>
    <w:rsid w:val="0029506F"/>
    <w:rsid w:val="0029534E"/>
    <w:rsid w:val="00295394"/>
    <w:rsid w:val="002953C8"/>
    <w:rsid w:val="00295975"/>
    <w:rsid w:val="002959FB"/>
    <w:rsid w:val="00295DB3"/>
    <w:rsid w:val="002961FB"/>
    <w:rsid w:val="002962BB"/>
    <w:rsid w:val="002964B0"/>
    <w:rsid w:val="002964D0"/>
    <w:rsid w:val="002966D2"/>
    <w:rsid w:val="002968A5"/>
    <w:rsid w:val="00296989"/>
    <w:rsid w:val="00296BE2"/>
    <w:rsid w:val="00296D3A"/>
    <w:rsid w:val="002971A6"/>
    <w:rsid w:val="002973FE"/>
    <w:rsid w:val="0029781C"/>
    <w:rsid w:val="00297824"/>
    <w:rsid w:val="00297D91"/>
    <w:rsid w:val="00297EB4"/>
    <w:rsid w:val="002A0009"/>
    <w:rsid w:val="002A0182"/>
    <w:rsid w:val="002A045A"/>
    <w:rsid w:val="002A04D1"/>
    <w:rsid w:val="002A0734"/>
    <w:rsid w:val="002A0838"/>
    <w:rsid w:val="002A0884"/>
    <w:rsid w:val="002A0905"/>
    <w:rsid w:val="002A0BC5"/>
    <w:rsid w:val="002A0E17"/>
    <w:rsid w:val="002A0F72"/>
    <w:rsid w:val="002A174B"/>
    <w:rsid w:val="002A18D5"/>
    <w:rsid w:val="002A1915"/>
    <w:rsid w:val="002A1983"/>
    <w:rsid w:val="002A1A72"/>
    <w:rsid w:val="002A1CB8"/>
    <w:rsid w:val="002A1D1B"/>
    <w:rsid w:val="002A201E"/>
    <w:rsid w:val="002A2031"/>
    <w:rsid w:val="002A20FA"/>
    <w:rsid w:val="002A2121"/>
    <w:rsid w:val="002A22D0"/>
    <w:rsid w:val="002A259D"/>
    <w:rsid w:val="002A25D7"/>
    <w:rsid w:val="002A27B4"/>
    <w:rsid w:val="002A2814"/>
    <w:rsid w:val="002A28AE"/>
    <w:rsid w:val="002A28DB"/>
    <w:rsid w:val="002A2A1A"/>
    <w:rsid w:val="002A2A2C"/>
    <w:rsid w:val="002A2FAD"/>
    <w:rsid w:val="002A31CB"/>
    <w:rsid w:val="002A3253"/>
    <w:rsid w:val="002A356E"/>
    <w:rsid w:val="002A389A"/>
    <w:rsid w:val="002A3A10"/>
    <w:rsid w:val="002A3ABF"/>
    <w:rsid w:val="002A3CE8"/>
    <w:rsid w:val="002A3DC7"/>
    <w:rsid w:val="002A3DEE"/>
    <w:rsid w:val="002A408D"/>
    <w:rsid w:val="002A419D"/>
    <w:rsid w:val="002A42DF"/>
    <w:rsid w:val="002A4317"/>
    <w:rsid w:val="002A4337"/>
    <w:rsid w:val="002A4464"/>
    <w:rsid w:val="002A4746"/>
    <w:rsid w:val="002A4A50"/>
    <w:rsid w:val="002A4E3D"/>
    <w:rsid w:val="002A5243"/>
    <w:rsid w:val="002A52F9"/>
    <w:rsid w:val="002A5326"/>
    <w:rsid w:val="002A537D"/>
    <w:rsid w:val="002A53EF"/>
    <w:rsid w:val="002A55DF"/>
    <w:rsid w:val="002A5744"/>
    <w:rsid w:val="002A58CD"/>
    <w:rsid w:val="002A5C77"/>
    <w:rsid w:val="002A6379"/>
    <w:rsid w:val="002A659F"/>
    <w:rsid w:val="002A6798"/>
    <w:rsid w:val="002A680E"/>
    <w:rsid w:val="002A6864"/>
    <w:rsid w:val="002A6985"/>
    <w:rsid w:val="002A6A05"/>
    <w:rsid w:val="002A6D51"/>
    <w:rsid w:val="002A6E03"/>
    <w:rsid w:val="002A6F30"/>
    <w:rsid w:val="002A702C"/>
    <w:rsid w:val="002A7259"/>
    <w:rsid w:val="002A72A1"/>
    <w:rsid w:val="002A7338"/>
    <w:rsid w:val="002A73BD"/>
    <w:rsid w:val="002A76F0"/>
    <w:rsid w:val="002A7791"/>
    <w:rsid w:val="002A7A00"/>
    <w:rsid w:val="002B0429"/>
    <w:rsid w:val="002B0475"/>
    <w:rsid w:val="002B0896"/>
    <w:rsid w:val="002B0BEF"/>
    <w:rsid w:val="002B0C69"/>
    <w:rsid w:val="002B0C9B"/>
    <w:rsid w:val="002B0E6A"/>
    <w:rsid w:val="002B16B9"/>
    <w:rsid w:val="002B1768"/>
    <w:rsid w:val="002B18A2"/>
    <w:rsid w:val="002B1E0D"/>
    <w:rsid w:val="002B2074"/>
    <w:rsid w:val="002B236D"/>
    <w:rsid w:val="002B24A4"/>
    <w:rsid w:val="002B277B"/>
    <w:rsid w:val="002B27A0"/>
    <w:rsid w:val="002B2960"/>
    <w:rsid w:val="002B2B4C"/>
    <w:rsid w:val="002B3002"/>
    <w:rsid w:val="002B35AF"/>
    <w:rsid w:val="002B367F"/>
    <w:rsid w:val="002B3682"/>
    <w:rsid w:val="002B3686"/>
    <w:rsid w:val="002B375E"/>
    <w:rsid w:val="002B3820"/>
    <w:rsid w:val="002B3860"/>
    <w:rsid w:val="002B3C51"/>
    <w:rsid w:val="002B3C5B"/>
    <w:rsid w:val="002B3C8E"/>
    <w:rsid w:val="002B3E7D"/>
    <w:rsid w:val="002B439B"/>
    <w:rsid w:val="002B4552"/>
    <w:rsid w:val="002B456F"/>
    <w:rsid w:val="002B4642"/>
    <w:rsid w:val="002B4798"/>
    <w:rsid w:val="002B4CC0"/>
    <w:rsid w:val="002B4DCC"/>
    <w:rsid w:val="002B4EAA"/>
    <w:rsid w:val="002B50AD"/>
    <w:rsid w:val="002B5363"/>
    <w:rsid w:val="002B537C"/>
    <w:rsid w:val="002B53CD"/>
    <w:rsid w:val="002B5854"/>
    <w:rsid w:val="002B5890"/>
    <w:rsid w:val="002B5E1B"/>
    <w:rsid w:val="002B5F63"/>
    <w:rsid w:val="002B60BF"/>
    <w:rsid w:val="002B61B8"/>
    <w:rsid w:val="002B670D"/>
    <w:rsid w:val="002B68FE"/>
    <w:rsid w:val="002B6AA4"/>
    <w:rsid w:val="002B6C06"/>
    <w:rsid w:val="002B6C94"/>
    <w:rsid w:val="002B6E84"/>
    <w:rsid w:val="002B7253"/>
    <w:rsid w:val="002B7339"/>
    <w:rsid w:val="002B74E3"/>
    <w:rsid w:val="002B7584"/>
    <w:rsid w:val="002B76A7"/>
    <w:rsid w:val="002B76AE"/>
    <w:rsid w:val="002B7C72"/>
    <w:rsid w:val="002B7C87"/>
    <w:rsid w:val="002C03CF"/>
    <w:rsid w:val="002C0457"/>
    <w:rsid w:val="002C04A7"/>
    <w:rsid w:val="002C04DB"/>
    <w:rsid w:val="002C05BB"/>
    <w:rsid w:val="002C05D9"/>
    <w:rsid w:val="002C0611"/>
    <w:rsid w:val="002C0617"/>
    <w:rsid w:val="002C06C9"/>
    <w:rsid w:val="002C0786"/>
    <w:rsid w:val="002C0898"/>
    <w:rsid w:val="002C09AF"/>
    <w:rsid w:val="002C0BA6"/>
    <w:rsid w:val="002C0CD5"/>
    <w:rsid w:val="002C0DC9"/>
    <w:rsid w:val="002C0DDF"/>
    <w:rsid w:val="002C0E4A"/>
    <w:rsid w:val="002C111F"/>
    <w:rsid w:val="002C11D0"/>
    <w:rsid w:val="002C12AB"/>
    <w:rsid w:val="002C15EF"/>
    <w:rsid w:val="002C15F0"/>
    <w:rsid w:val="002C16F8"/>
    <w:rsid w:val="002C17AB"/>
    <w:rsid w:val="002C1D44"/>
    <w:rsid w:val="002C27AB"/>
    <w:rsid w:val="002C2807"/>
    <w:rsid w:val="002C280E"/>
    <w:rsid w:val="002C2CC3"/>
    <w:rsid w:val="002C309A"/>
    <w:rsid w:val="002C3660"/>
    <w:rsid w:val="002C36C4"/>
    <w:rsid w:val="002C383B"/>
    <w:rsid w:val="002C42CF"/>
    <w:rsid w:val="002C44CA"/>
    <w:rsid w:val="002C4B94"/>
    <w:rsid w:val="002C4DEF"/>
    <w:rsid w:val="002C4EB0"/>
    <w:rsid w:val="002C519C"/>
    <w:rsid w:val="002C532E"/>
    <w:rsid w:val="002C53A4"/>
    <w:rsid w:val="002C56C5"/>
    <w:rsid w:val="002C5B56"/>
    <w:rsid w:val="002C6135"/>
    <w:rsid w:val="002C6437"/>
    <w:rsid w:val="002C6759"/>
    <w:rsid w:val="002C67C3"/>
    <w:rsid w:val="002C6888"/>
    <w:rsid w:val="002C6956"/>
    <w:rsid w:val="002C6E7A"/>
    <w:rsid w:val="002C7167"/>
    <w:rsid w:val="002C74C8"/>
    <w:rsid w:val="002C76FB"/>
    <w:rsid w:val="002C77C3"/>
    <w:rsid w:val="002C77EA"/>
    <w:rsid w:val="002C78FF"/>
    <w:rsid w:val="002C796F"/>
    <w:rsid w:val="002C7B58"/>
    <w:rsid w:val="002C7DB0"/>
    <w:rsid w:val="002D032A"/>
    <w:rsid w:val="002D0422"/>
    <w:rsid w:val="002D055D"/>
    <w:rsid w:val="002D07E5"/>
    <w:rsid w:val="002D0B74"/>
    <w:rsid w:val="002D156D"/>
    <w:rsid w:val="002D170C"/>
    <w:rsid w:val="002D1879"/>
    <w:rsid w:val="002D1956"/>
    <w:rsid w:val="002D19FE"/>
    <w:rsid w:val="002D1A62"/>
    <w:rsid w:val="002D1ACF"/>
    <w:rsid w:val="002D1B26"/>
    <w:rsid w:val="002D1F99"/>
    <w:rsid w:val="002D1FCA"/>
    <w:rsid w:val="002D2075"/>
    <w:rsid w:val="002D22EA"/>
    <w:rsid w:val="002D235F"/>
    <w:rsid w:val="002D24C4"/>
    <w:rsid w:val="002D2C66"/>
    <w:rsid w:val="002D2D32"/>
    <w:rsid w:val="002D3035"/>
    <w:rsid w:val="002D3131"/>
    <w:rsid w:val="002D333B"/>
    <w:rsid w:val="002D33F2"/>
    <w:rsid w:val="002D3436"/>
    <w:rsid w:val="002D3638"/>
    <w:rsid w:val="002D37D6"/>
    <w:rsid w:val="002D394E"/>
    <w:rsid w:val="002D3A4F"/>
    <w:rsid w:val="002D3F07"/>
    <w:rsid w:val="002D3FC5"/>
    <w:rsid w:val="002D40C6"/>
    <w:rsid w:val="002D4398"/>
    <w:rsid w:val="002D44CF"/>
    <w:rsid w:val="002D48F5"/>
    <w:rsid w:val="002D4B27"/>
    <w:rsid w:val="002D4D34"/>
    <w:rsid w:val="002D4D6C"/>
    <w:rsid w:val="002D4D92"/>
    <w:rsid w:val="002D4DC4"/>
    <w:rsid w:val="002D4DEA"/>
    <w:rsid w:val="002D5022"/>
    <w:rsid w:val="002D50DA"/>
    <w:rsid w:val="002D50EB"/>
    <w:rsid w:val="002D52FC"/>
    <w:rsid w:val="002D59F6"/>
    <w:rsid w:val="002D5A41"/>
    <w:rsid w:val="002D5A7E"/>
    <w:rsid w:val="002D5DCD"/>
    <w:rsid w:val="002D5E32"/>
    <w:rsid w:val="002D6090"/>
    <w:rsid w:val="002D6222"/>
    <w:rsid w:val="002D66BA"/>
    <w:rsid w:val="002D6B31"/>
    <w:rsid w:val="002D6B5F"/>
    <w:rsid w:val="002D6EA1"/>
    <w:rsid w:val="002D71A4"/>
    <w:rsid w:val="002D7318"/>
    <w:rsid w:val="002D7534"/>
    <w:rsid w:val="002D7547"/>
    <w:rsid w:val="002D7710"/>
    <w:rsid w:val="002D7BB3"/>
    <w:rsid w:val="002D7C24"/>
    <w:rsid w:val="002D7D2A"/>
    <w:rsid w:val="002D7DE9"/>
    <w:rsid w:val="002E01E7"/>
    <w:rsid w:val="002E0469"/>
    <w:rsid w:val="002E0C02"/>
    <w:rsid w:val="002E0C2A"/>
    <w:rsid w:val="002E0CC7"/>
    <w:rsid w:val="002E1012"/>
    <w:rsid w:val="002E1190"/>
    <w:rsid w:val="002E12C8"/>
    <w:rsid w:val="002E162C"/>
    <w:rsid w:val="002E1A0F"/>
    <w:rsid w:val="002E1AEE"/>
    <w:rsid w:val="002E1BFD"/>
    <w:rsid w:val="002E205F"/>
    <w:rsid w:val="002E218E"/>
    <w:rsid w:val="002E223A"/>
    <w:rsid w:val="002E22CC"/>
    <w:rsid w:val="002E2468"/>
    <w:rsid w:val="002E28B4"/>
    <w:rsid w:val="002E2B02"/>
    <w:rsid w:val="002E2CFA"/>
    <w:rsid w:val="002E2DCD"/>
    <w:rsid w:val="002E360E"/>
    <w:rsid w:val="002E36B5"/>
    <w:rsid w:val="002E3850"/>
    <w:rsid w:val="002E3A58"/>
    <w:rsid w:val="002E3A9A"/>
    <w:rsid w:val="002E3BB9"/>
    <w:rsid w:val="002E4092"/>
    <w:rsid w:val="002E41E3"/>
    <w:rsid w:val="002E43F5"/>
    <w:rsid w:val="002E4515"/>
    <w:rsid w:val="002E455F"/>
    <w:rsid w:val="002E498B"/>
    <w:rsid w:val="002E4B5B"/>
    <w:rsid w:val="002E4E40"/>
    <w:rsid w:val="002E4FC1"/>
    <w:rsid w:val="002E4FFF"/>
    <w:rsid w:val="002E51D9"/>
    <w:rsid w:val="002E539E"/>
    <w:rsid w:val="002E53ED"/>
    <w:rsid w:val="002E546A"/>
    <w:rsid w:val="002E5637"/>
    <w:rsid w:val="002E5B05"/>
    <w:rsid w:val="002E6105"/>
    <w:rsid w:val="002E62BB"/>
    <w:rsid w:val="002E63E0"/>
    <w:rsid w:val="002E67D7"/>
    <w:rsid w:val="002E68A8"/>
    <w:rsid w:val="002E7026"/>
    <w:rsid w:val="002E7440"/>
    <w:rsid w:val="002E74DE"/>
    <w:rsid w:val="002E7A71"/>
    <w:rsid w:val="002E7B0C"/>
    <w:rsid w:val="002E7BC4"/>
    <w:rsid w:val="002E7D0C"/>
    <w:rsid w:val="002E7D83"/>
    <w:rsid w:val="002E7DD4"/>
    <w:rsid w:val="002F02A3"/>
    <w:rsid w:val="002F094D"/>
    <w:rsid w:val="002F0A76"/>
    <w:rsid w:val="002F0CD4"/>
    <w:rsid w:val="002F0F01"/>
    <w:rsid w:val="002F110F"/>
    <w:rsid w:val="002F1361"/>
    <w:rsid w:val="002F17CD"/>
    <w:rsid w:val="002F190A"/>
    <w:rsid w:val="002F1AAD"/>
    <w:rsid w:val="002F1CF4"/>
    <w:rsid w:val="002F2147"/>
    <w:rsid w:val="002F22F4"/>
    <w:rsid w:val="002F25CF"/>
    <w:rsid w:val="002F26F9"/>
    <w:rsid w:val="002F2DCA"/>
    <w:rsid w:val="002F308C"/>
    <w:rsid w:val="002F3169"/>
    <w:rsid w:val="002F32C8"/>
    <w:rsid w:val="002F360A"/>
    <w:rsid w:val="002F3AA5"/>
    <w:rsid w:val="002F3B45"/>
    <w:rsid w:val="002F3B81"/>
    <w:rsid w:val="002F3EC3"/>
    <w:rsid w:val="002F4192"/>
    <w:rsid w:val="002F481F"/>
    <w:rsid w:val="002F49BD"/>
    <w:rsid w:val="002F4A00"/>
    <w:rsid w:val="002F4E2B"/>
    <w:rsid w:val="002F5370"/>
    <w:rsid w:val="002F544C"/>
    <w:rsid w:val="002F5643"/>
    <w:rsid w:val="002F5651"/>
    <w:rsid w:val="002F5B84"/>
    <w:rsid w:val="002F5BD6"/>
    <w:rsid w:val="002F5CFE"/>
    <w:rsid w:val="002F603A"/>
    <w:rsid w:val="002F6234"/>
    <w:rsid w:val="002F64C8"/>
    <w:rsid w:val="002F69B3"/>
    <w:rsid w:val="002F6A8B"/>
    <w:rsid w:val="002F7816"/>
    <w:rsid w:val="002F7A0B"/>
    <w:rsid w:val="002F7D1B"/>
    <w:rsid w:val="002F7D92"/>
    <w:rsid w:val="0030006A"/>
    <w:rsid w:val="00300099"/>
    <w:rsid w:val="003001F2"/>
    <w:rsid w:val="003002D0"/>
    <w:rsid w:val="003004A3"/>
    <w:rsid w:val="003008BA"/>
    <w:rsid w:val="00300921"/>
    <w:rsid w:val="003009A0"/>
    <w:rsid w:val="00300C3C"/>
    <w:rsid w:val="00301131"/>
    <w:rsid w:val="003012BD"/>
    <w:rsid w:val="00301355"/>
    <w:rsid w:val="00301575"/>
    <w:rsid w:val="003016B1"/>
    <w:rsid w:val="003016EB"/>
    <w:rsid w:val="00301720"/>
    <w:rsid w:val="003019FE"/>
    <w:rsid w:val="00301A34"/>
    <w:rsid w:val="00301B8E"/>
    <w:rsid w:val="003021DB"/>
    <w:rsid w:val="003023F2"/>
    <w:rsid w:val="003028B1"/>
    <w:rsid w:val="00302980"/>
    <w:rsid w:val="003029BF"/>
    <w:rsid w:val="00302AF8"/>
    <w:rsid w:val="00302B43"/>
    <w:rsid w:val="00302C53"/>
    <w:rsid w:val="00302F23"/>
    <w:rsid w:val="00302FF1"/>
    <w:rsid w:val="00303098"/>
    <w:rsid w:val="00303679"/>
    <w:rsid w:val="0030375E"/>
    <w:rsid w:val="00303832"/>
    <w:rsid w:val="003043E1"/>
    <w:rsid w:val="003045E6"/>
    <w:rsid w:val="00304729"/>
    <w:rsid w:val="00304823"/>
    <w:rsid w:val="00304CAB"/>
    <w:rsid w:val="00304DEA"/>
    <w:rsid w:val="00304E88"/>
    <w:rsid w:val="00304FC6"/>
    <w:rsid w:val="0030503B"/>
    <w:rsid w:val="00305399"/>
    <w:rsid w:val="0030574E"/>
    <w:rsid w:val="00305BB2"/>
    <w:rsid w:val="00306013"/>
    <w:rsid w:val="00306037"/>
    <w:rsid w:val="003060D6"/>
    <w:rsid w:val="003060E4"/>
    <w:rsid w:val="003061E5"/>
    <w:rsid w:val="0030647D"/>
    <w:rsid w:val="003064A3"/>
    <w:rsid w:val="00306547"/>
    <w:rsid w:val="003067E7"/>
    <w:rsid w:val="00306950"/>
    <w:rsid w:val="0030708B"/>
    <w:rsid w:val="0030723A"/>
    <w:rsid w:val="00307262"/>
    <w:rsid w:val="003072D1"/>
    <w:rsid w:val="003074FE"/>
    <w:rsid w:val="00307698"/>
    <w:rsid w:val="003076CE"/>
    <w:rsid w:val="0030774B"/>
    <w:rsid w:val="00307769"/>
    <w:rsid w:val="003077FE"/>
    <w:rsid w:val="00307BEE"/>
    <w:rsid w:val="003101F6"/>
    <w:rsid w:val="0031025A"/>
    <w:rsid w:val="003104F5"/>
    <w:rsid w:val="0031092D"/>
    <w:rsid w:val="00310A02"/>
    <w:rsid w:val="00310E82"/>
    <w:rsid w:val="00311147"/>
    <w:rsid w:val="003111DF"/>
    <w:rsid w:val="0031136E"/>
    <w:rsid w:val="00311431"/>
    <w:rsid w:val="003114A1"/>
    <w:rsid w:val="003114F9"/>
    <w:rsid w:val="0031156C"/>
    <w:rsid w:val="003117AA"/>
    <w:rsid w:val="00311957"/>
    <w:rsid w:val="00311D49"/>
    <w:rsid w:val="00311EC6"/>
    <w:rsid w:val="0031204B"/>
    <w:rsid w:val="00312224"/>
    <w:rsid w:val="00312253"/>
    <w:rsid w:val="00312460"/>
    <w:rsid w:val="003125B1"/>
    <w:rsid w:val="003127AF"/>
    <w:rsid w:val="00312A2B"/>
    <w:rsid w:val="00312A78"/>
    <w:rsid w:val="00312A7D"/>
    <w:rsid w:val="00312AF5"/>
    <w:rsid w:val="00312DC8"/>
    <w:rsid w:val="003132F2"/>
    <w:rsid w:val="00313408"/>
    <w:rsid w:val="003135B5"/>
    <w:rsid w:val="00313926"/>
    <w:rsid w:val="00313D26"/>
    <w:rsid w:val="00313DE1"/>
    <w:rsid w:val="00313FFC"/>
    <w:rsid w:val="0031422E"/>
    <w:rsid w:val="00314331"/>
    <w:rsid w:val="0031434D"/>
    <w:rsid w:val="00314410"/>
    <w:rsid w:val="0031449E"/>
    <w:rsid w:val="003144C9"/>
    <w:rsid w:val="00314600"/>
    <w:rsid w:val="00314666"/>
    <w:rsid w:val="00314EFF"/>
    <w:rsid w:val="0031548D"/>
    <w:rsid w:val="00315635"/>
    <w:rsid w:val="003156A4"/>
    <w:rsid w:val="003159E4"/>
    <w:rsid w:val="00315AEB"/>
    <w:rsid w:val="00315C60"/>
    <w:rsid w:val="00315F12"/>
    <w:rsid w:val="00315F39"/>
    <w:rsid w:val="0031687F"/>
    <w:rsid w:val="00316C17"/>
    <w:rsid w:val="00316C5E"/>
    <w:rsid w:val="0031732B"/>
    <w:rsid w:val="0031749D"/>
    <w:rsid w:val="00317CF9"/>
    <w:rsid w:val="00317F99"/>
    <w:rsid w:val="00320114"/>
    <w:rsid w:val="00320289"/>
    <w:rsid w:val="0032099D"/>
    <w:rsid w:val="00320D12"/>
    <w:rsid w:val="00321073"/>
    <w:rsid w:val="00321159"/>
    <w:rsid w:val="00321396"/>
    <w:rsid w:val="00321426"/>
    <w:rsid w:val="003214A5"/>
    <w:rsid w:val="00321615"/>
    <w:rsid w:val="003216D0"/>
    <w:rsid w:val="0032173A"/>
    <w:rsid w:val="003218EB"/>
    <w:rsid w:val="003219C9"/>
    <w:rsid w:val="00321A8A"/>
    <w:rsid w:val="00321E66"/>
    <w:rsid w:val="00322349"/>
    <w:rsid w:val="003224D1"/>
    <w:rsid w:val="00322B52"/>
    <w:rsid w:val="00322BED"/>
    <w:rsid w:val="00322C79"/>
    <w:rsid w:val="00322C99"/>
    <w:rsid w:val="00322E04"/>
    <w:rsid w:val="00322F6E"/>
    <w:rsid w:val="003230AE"/>
    <w:rsid w:val="0032316A"/>
    <w:rsid w:val="00323327"/>
    <w:rsid w:val="003237B4"/>
    <w:rsid w:val="00323B30"/>
    <w:rsid w:val="00323B3D"/>
    <w:rsid w:val="00323BA4"/>
    <w:rsid w:val="00323D11"/>
    <w:rsid w:val="00323E07"/>
    <w:rsid w:val="00323E49"/>
    <w:rsid w:val="00324005"/>
    <w:rsid w:val="0032407D"/>
    <w:rsid w:val="0032409E"/>
    <w:rsid w:val="00324438"/>
    <w:rsid w:val="003248C5"/>
    <w:rsid w:val="00324A1C"/>
    <w:rsid w:val="003250D0"/>
    <w:rsid w:val="003257B6"/>
    <w:rsid w:val="00325AD9"/>
    <w:rsid w:val="00325B1B"/>
    <w:rsid w:val="00325BF7"/>
    <w:rsid w:val="00325FF2"/>
    <w:rsid w:val="003260FE"/>
    <w:rsid w:val="0032625F"/>
    <w:rsid w:val="00326418"/>
    <w:rsid w:val="0032642F"/>
    <w:rsid w:val="003268FD"/>
    <w:rsid w:val="00326CEC"/>
    <w:rsid w:val="00326E4F"/>
    <w:rsid w:val="00326FA8"/>
    <w:rsid w:val="00327240"/>
    <w:rsid w:val="00327242"/>
    <w:rsid w:val="003273FA"/>
    <w:rsid w:val="003277A4"/>
    <w:rsid w:val="0033001C"/>
    <w:rsid w:val="003300FE"/>
    <w:rsid w:val="0033025D"/>
    <w:rsid w:val="00330906"/>
    <w:rsid w:val="00330BB3"/>
    <w:rsid w:val="00330CF5"/>
    <w:rsid w:val="00330F24"/>
    <w:rsid w:val="00331283"/>
    <w:rsid w:val="003313E8"/>
    <w:rsid w:val="0033149F"/>
    <w:rsid w:val="003314E7"/>
    <w:rsid w:val="003319A5"/>
    <w:rsid w:val="00331A00"/>
    <w:rsid w:val="00331A18"/>
    <w:rsid w:val="00331A87"/>
    <w:rsid w:val="00331AC8"/>
    <w:rsid w:val="00331C34"/>
    <w:rsid w:val="00332126"/>
    <w:rsid w:val="00332816"/>
    <w:rsid w:val="0033291D"/>
    <w:rsid w:val="0033294E"/>
    <w:rsid w:val="0033348D"/>
    <w:rsid w:val="00333AF0"/>
    <w:rsid w:val="00333B15"/>
    <w:rsid w:val="0033409F"/>
    <w:rsid w:val="003341EF"/>
    <w:rsid w:val="00334493"/>
    <w:rsid w:val="0033450E"/>
    <w:rsid w:val="0033459D"/>
    <w:rsid w:val="00334747"/>
    <w:rsid w:val="00334B0B"/>
    <w:rsid w:val="00334D89"/>
    <w:rsid w:val="00334D8C"/>
    <w:rsid w:val="00334EC3"/>
    <w:rsid w:val="0033519E"/>
    <w:rsid w:val="003353FD"/>
    <w:rsid w:val="003354B2"/>
    <w:rsid w:val="00335566"/>
    <w:rsid w:val="00335691"/>
    <w:rsid w:val="003359D0"/>
    <w:rsid w:val="00335B57"/>
    <w:rsid w:val="003360A7"/>
    <w:rsid w:val="003362ED"/>
    <w:rsid w:val="00336347"/>
    <w:rsid w:val="00336454"/>
    <w:rsid w:val="003364A4"/>
    <w:rsid w:val="00336A07"/>
    <w:rsid w:val="00336C60"/>
    <w:rsid w:val="00336C94"/>
    <w:rsid w:val="00336D65"/>
    <w:rsid w:val="0033702C"/>
    <w:rsid w:val="00337079"/>
    <w:rsid w:val="003373D9"/>
    <w:rsid w:val="003377DD"/>
    <w:rsid w:val="00337E26"/>
    <w:rsid w:val="003401F6"/>
    <w:rsid w:val="0034034B"/>
    <w:rsid w:val="003408BF"/>
    <w:rsid w:val="00340ADC"/>
    <w:rsid w:val="00340D38"/>
    <w:rsid w:val="00340D5D"/>
    <w:rsid w:val="00340F8D"/>
    <w:rsid w:val="00340FCB"/>
    <w:rsid w:val="00341208"/>
    <w:rsid w:val="003416ED"/>
    <w:rsid w:val="00341748"/>
    <w:rsid w:val="00341D3E"/>
    <w:rsid w:val="00341EA3"/>
    <w:rsid w:val="0034201A"/>
    <w:rsid w:val="003420E3"/>
    <w:rsid w:val="00342200"/>
    <w:rsid w:val="00342234"/>
    <w:rsid w:val="00342585"/>
    <w:rsid w:val="003425B1"/>
    <w:rsid w:val="003425B2"/>
    <w:rsid w:val="00342781"/>
    <w:rsid w:val="003428E6"/>
    <w:rsid w:val="00342AEF"/>
    <w:rsid w:val="00342B10"/>
    <w:rsid w:val="00342B38"/>
    <w:rsid w:val="00342CE6"/>
    <w:rsid w:val="00342D45"/>
    <w:rsid w:val="00342D90"/>
    <w:rsid w:val="00343430"/>
    <w:rsid w:val="003438C4"/>
    <w:rsid w:val="00343FC1"/>
    <w:rsid w:val="0034424C"/>
    <w:rsid w:val="00344558"/>
    <w:rsid w:val="00344C13"/>
    <w:rsid w:val="00344CF7"/>
    <w:rsid w:val="00345266"/>
    <w:rsid w:val="003453D4"/>
    <w:rsid w:val="003459EC"/>
    <w:rsid w:val="00345A25"/>
    <w:rsid w:val="00345AB8"/>
    <w:rsid w:val="00345EDA"/>
    <w:rsid w:val="003460F6"/>
    <w:rsid w:val="00346583"/>
    <w:rsid w:val="0034687B"/>
    <w:rsid w:val="00346B8D"/>
    <w:rsid w:val="00347351"/>
    <w:rsid w:val="00347542"/>
    <w:rsid w:val="0034770C"/>
    <w:rsid w:val="0034794F"/>
    <w:rsid w:val="00347E73"/>
    <w:rsid w:val="003504E4"/>
    <w:rsid w:val="00350571"/>
    <w:rsid w:val="00350B25"/>
    <w:rsid w:val="00350C6C"/>
    <w:rsid w:val="00350E6C"/>
    <w:rsid w:val="00350E8E"/>
    <w:rsid w:val="00350F6D"/>
    <w:rsid w:val="0035131C"/>
    <w:rsid w:val="00351345"/>
    <w:rsid w:val="0035140F"/>
    <w:rsid w:val="00351815"/>
    <w:rsid w:val="003518BA"/>
    <w:rsid w:val="00351A6A"/>
    <w:rsid w:val="00351CDE"/>
    <w:rsid w:val="00351EB3"/>
    <w:rsid w:val="00352375"/>
    <w:rsid w:val="0035288A"/>
    <w:rsid w:val="003530C2"/>
    <w:rsid w:val="00353546"/>
    <w:rsid w:val="0035398D"/>
    <w:rsid w:val="00353AA7"/>
    <w:rsid w:val="00353D42"/>
    <w:rsid w:val="00353DEE"/>
    <w:rsid w:val="00354225"/>
    <w:rsid w:val="003543F6"/>
    <w:rsid w:val="00354438"/>
    <w:rsid w:val="003546E1"/>
    <w:rsid w:val="003548A2"/>
    <w:rsid w:val="003552D6"/>
    <w:rsid w:val="003557C1"/>
    <w:rsid w:val="00355D58"/>
    <w:rsid w:val="00355EEE"/>
    <w:rsid w:val="00355F8F"/>
    <w:rsid w:val="003562D1"/>
    <w:rsid w:val="003563E7"/>
    <w:rsid w:val="003563F0"/>
    <w:rsid w:val="0035679D"/>
    <w:rsid w:val="003568F8"/>
    <w:rsid w:val="00356CD5"/>
    <w:rsid w:val="00356D8E"/>
    <w:rsid w:val="003571C6"/>
    <w:rsid w:val="0035749F"/>
    <w:rsid w:val="003578D3"/>
    <w:rsid w:val="0035797C"/>
    <w:rsid w:val="00357F80"/>
    <w:rsid w:val="00360136"/>
    <w:rsid w:val="003602BB"/>
    <w:rsid w:val="003602FC"/>
    <w:rsid w:val="0036037E"/>
    <w:rsid w:val="00360625"/>
    <w:rsid w:val="00360849"/>
    <w:rsid w:val="0036084B"/>
    <w:rsid w:val="003608E7"/>
    <w:rsid w:val="00360B0A"/>
    <w:rsid w:val="00360F32"/>
    <w:rsid w:val="00361254"/>
    <w:rsid w:val="0036129E"/>
    <w:rsid w:val="003614FC"/>
    <w:rsid w:val="00361598"/>
    <w:rsid w:val="0036168A"/>
    <w:rsid w:val="003616B3"/>
    <w:rsid w:val="003617E4"/>
    <w:rsid w:val="00361846"/>
    <w:rsid w:val="0036194A"/>
    <w:rsid w:val="00361DD0"/>
    <w:rsid w:val="003621E9"/>
    <w:rsid w:val="00362913"/>
    <w:rsid w:val="0036297A"/>
    <w:rsid w:val="00362A51"/>
    <w:rsid w:val="00362A54"/>
    <w:rsid w:val="00362BC3"/>
    <w:rsid w:val="00362D32"/>
    <w:rsid w:val="00362E0F"/>
    <w:rsid w:val="0036367D"/>
    <w:rsid w:val="003638EC"/>
    <w:rsid w:val="00363A23"/>
    <w:rsid w:val="00363C0D"/>
    <w:rsid w:val="00363CBB"/>
    <w:rsid w:val="00363E53"/>
    <w:rsid w:val="00364136"/>
    <w:rsid w:val="00364170"/>
    <w:rsid w:val="0036466F"/>
    <w:rsid w:val="00364D8B"/>
    <w:rsid w:val="003653DC"/>
    <w:rsid w:val="0036549E"/>
    <w:rsid w:val="00365530"/>
    <w:rsid w:val="0036569B"/>
    <w:rsid w:val="0036593A"/>
    <w:rsid w:val="00365D7A"/>
    <w:rsid w:val="00365D7F"/>
    <w:rsid w:val="003660D2"/>
    <w:rsid w:val="003660EC"/>
    <w:rsid w:val="00366166"/>
    <w:rsid w:val="003661E6"/>
    <w:rsid w:val="003665EC"/>
    <w:rsid w:val="003665F0"/>
    <w:rsid w:val="003668D1"/>
    <w:rsid w:val="00366B36"/>
    <w:rsid w:val="00366C91"/>
    <w:rsid w:val="00366D23"/>
    <w:rsid w:val="00366FE6"/>
    <w:rsid w:val="00367217"/>
    <w:rsid w:val="003678F3"/>
    <w:rsid w:val="00367996"/>
    <w:rsid w:val="00367B3D"/>
    <w:rsid w:val="00367B91"/>
    <w:rsid w:val="00370001"/>
    <w:rsid w:val="00370089"/>
    <w:rsid w:val="003700FB"/>
    <w:rsid w:val="0037011E"/>
    <w:rsid w:val="0037048B"/>
    <w:rsid w:val="003705F1"/>
    <w:rsid w:val="00370629"/>
    <w:rsid w:val="003707BF"/>
    <w:rsid w:val="00370A4A"/>
    <w:rsid w:val="00370E86"/>
    <w:rsid w:val="00370F6D"/>
    <w:rsid w:val="00371737"/>
    <w:rsid w:val="00371867"/>
    <w:rsid w:val="00371987"/>
    <w:rsid w:val="00371B77"/>
    <w:rsid w:val="00371CD7"/>
    <w:rsid w:val="00371E05"/>
    <w:rsid w:val="00372001"/>
    <w:rsid w:val="0037219E"/>
    <w:rsid w:val="0037239A"/>
    <w:rsid w:val="00372AC8"/>
    <w:rsid w:val="00372B47"/>
    <w:rsid w:val="00372BD8"/>
    <w:rsid w:val="00372D2C"/>
    <w:rsid w:val="0037319F"/>
    <w:rsid w:val="003731FD"/>
    <w:rsid w:val="00373652"/>
    <w:rsid w:val="003739B4"/>
    <w:rsid w:val="00373D75"/>
    <w:rsid w:val="00373F56"/>
    <w:rsid w:val="003740DE"/>
    <w:rsid w:val="00374178"/>
    <w:rsid w:val="0037472E"/>
    <w:rsid w:val="00374823"/>
    <w:rsid w:val="00374846"/>
    <w:rsid w:val="00374851"/>
    <w:rsid w:val="00374880"/>
    <w:rsid w:val="00374934"/>
    <w:rsid w:val="00374F76"/>
    <w:rsid w:val="00375016"/>
    <w:rsid w:val="003751B7"/>
    <w:rsid w:val="00375504"/>
    <w:rsid w:val="003759A8"/>
    <w:rsid w:val="00375A2A"/>
    <w:rsid w:val="0037612A"/>
    <w:rsid w:val="00376691"/>
    <w:rsid w:val="003766D2"/>
    <w:rsid w:val="003769D3"/>
    <w:rsid w:val="00376AC5"/>
    <w:rsid w:val="00376ACE"/>
    <w:rsid w:val="00376C2F"/>
    <w:rsid w:val="00376D6F"/>
    <w:rsid w:val="00376EE5"/>
    <w:rsid w:val="0037703B"/>
    <w:rsid w:val="00377138"/>
    <w:rsid w:val="0037731A"/>
    <w:rsid w:val="003776F1"/>
    <w:rsid w:val="00377F22"/>
    <w:rsid w:val="003800A4"/>
    <w:rsid w:val="003801A9"/>
    <w:rsid w:val="003804A1"/>
    <w:rsid w:val="00380813"/>
    <w:rsid w:val="00380839"/>
    <w:rsid w:val="00380D56"/>
    <w:rsid w:val="0038113B"/>
    <w:rsid w:val="003816D9"/>
    <w:rsid w:val="0038193B"/>
    <w:rsid w:val="00382007"/>
    <w:rsid w:val="003828E4"/>
    <w:rsid w:val="0038298D"/>
    <w:rsid w:val="003829D4"/>
    <w:rsid w:val="00382A5F"/>
    <w:rsid w:val="00382CE8"/>
    <w:rsid w:val="00382D49"/>
    <w:rsid w:val="00382F55"/>
    <w:rsid w:val="00383058"/>
    <w:rsid w:val="00383276"/>
    <w:rsid w:val="003835BE"/>
    <w:rsid w:val="003835E2"/>
    <w:rsid w:val="0038362F"/>
    <w:rsid w:val="003836EE"/>
    <w:rsid w:val="003837D3"/>
    <w:rsid w:val="0038398B"/>
    <w:rsid w:val="00383D18"/>
    <w:rsid w:val="00383E51"/>
    <w:rsid w:val="00383EDB"/>
    <w:rsid w:val="003841F9"/>
    <w:rsid w:val="003843FE"/>
    <w:rsid w:val="00384520"/>
    <w:rsid w:val="003845F6"/>
    <w:rsid w:val="00384795"/>
    <w:rsid w:val="00384812"/>
    <w:rsid w:val="00384935"/>
    <w:rsid w:val="00384B82"/>
    <w:rsid w:val="00384E69"/>
    <w:rsid w:val="00385238"/>
    <w:rsid w:val="00385567"/>
    <w:rsid w:val="00385664"/>
    <w:rsid w:val="0038590E"/>
    <w:rsid w:val="00385986"/>
    <w:rsid w:val="00385B01"/>
    <w:rsid w:val="00385FCA"/>
    <w:rsid w:val="00385FE9"/>
    <w:rsid w:val="00386272"/>
    <w:rsid w:val="003866D6"/>
    <w:rsid w:val="0038681F"/>
    <w:rsid w:val="003868E7"/>
    <w:rsid w:val="00386AD8"/>
    <w:rsid w:val="00386D12"/>
    <w:rsid w:val="00386E22"/>
    <w:rsid w:val="00386F53"/>
    <w:rsid w:val="0038732C"/>
    <w:rsid w:val="00387501"/>
    <w:rsid w:val="0038761F"/>
    <w:rsid w:val="00387836"/>
    <w:rsid w:val="00387AEF"/>
    <w:rsid w:val="0039007B"/>
    <w:rsid w:val="00390323"/>
    <w:rsid w:val="003903F5"/>
    <w:rsid w:val="00390440"/>
    <w:rsid w:val="003904C5"/>
    <w:rsid w:val="00390696"/>
    <w:rsid w:val="00390C34"/>
    <w:rsid w:val="00390E82"/>
    <w:rsid w:val="00391145"/>
    <w:rsid w:val="003916AC"/>
    <w:rsid w:val="003916CA"/>
    <w:rsid w:val="00391A4F"/>
    <w:rsid w:val="00391B99"/>
    <w:rsid w:val="00391D9F"/>
    <w:rsid w:val="00391E01"/>
    <w:rsid w:val="00391E99"/>
    <w:rsid w:val="003922A9"/>
    <w:rsid w:val="0039230D"/>
    <w:rsid w:val="00392345"/>
    <w:rsid w:val="003924DF"/>
    <w:rsid w:val="003924FE"/>
    <w:rsid w:val="003925E2"/>
    <w:rsid w:val="00392640"/>
    <w:rsid w:val="003927D9"/>
    <w:rsid w:val="00392BB8"/>
    <w:rsid w:val="00392D35"/>
    <w:rsid w:val="0039339E"/>
    <w:rsid w:val="00393546"/>
    <w:rsid w:val="00393940"/>
    <w:rsid w:val="0039399B"/>
    <w:rsid w:val="00393ACC"/>
    <w:rsid w:val="00393B08"/>
    <w:rsid w:val="00393F5C"/>
    <w:rsid w:val="0039414B"/>
    <w:rsid w:val="003941E2"/>
    <w:rsid w:val="0039435F"/>
    <w:rsid w:val="003945AB"/>
    <w:rsid w:val="003948FD"/>
    <w:rsid w:val="00394B94"/>
    <w:rsid w:val="00394BAB"/>
    <w:rsid w:val="003952F7"/>
    <w:rsid w:val="0039531F"/>
    <w:rsid w:val="00395420"/>
    <w:rsid w:val="00395600"/>
    <w:rsid w:val="003960C8"/>
    <w:rsid w:val="003961A4"/>
    <w:rsid w:val="003961F2"/>
    <w:rsid w:val="003964F6"/>
    <w:rsid w:val="00396555"/>
    <w:rsid w:val="00396614"/>
    <w:rsid w:val="0039662B"/>
    <w:rsid w:val="003968A5"/>
    <w:rsid w:val="00396B8F"/>
    <w:rsid w:val="00396E40"/>
    <w:rsid w:val="00396EF2"/>
    <w:rsid w:val="00396F67"/>
    <w:rsid w:val="0039701C"/>
    <w:rsid w:val="00397103"/>
    <w:rsid w:val="00397235"/>
    <w:rsid w:val="003972EC"/>
    <w:rsid w:val="003975FC"/>
    <w:rsid w:val="003976BA"/>
    <w:rsid w:val="003977CF"/>
    <w:rsid w:val="00397C24"/>
    <w:rsid w:val="003A05C2"/>
    <w:rsid w:val="003A062C"/>
    <w:rsid w:val="003A0698"/>
    <w:rsid w:val="003A09B8"/>
    <w:rsid w:val="003A09F4"/>
    <w:rsid w:val="003A0A15"/>
    <w:rsid w:val="003A0DBE"/>
    <w:rsid w:val="003A159F"/>
    <w:rsid w:val="003A15ED"/>
    <w:rsid w:val="003A17A3"/>
    <w:rsid w:val="003A18E1"/>
    <w:rsid w:val="003A1AD0"/>
    <w:rsid w:val="003A1B33"/>
    <w:rsid w:val="003A1CF8"/>
    <w:rsid w:val="003A252E"/>
    <w:rsid w:val="003A27F3"/>
    <w:rsid w:val="003A2998"/>
    <w:rsid w:val="003A2C16"/>
    <w:rsid w:val="003A2E79"/>
    <w:rsid w:val="003A34A8"/>
    <w:rsid w:val="003A35D5"/>
    <w:rsid w:val="003A3D09"/>
    <w:rsid w:val="003A419B"/>
    <w:rsid w:val="003A4488"/>
    <w:rsid w:val="003A456A"/>
    <w:rsid w:val="003A46BC"/>
    <w:rsid w:val="003A484D"/>
    <w:rsid w:val="003A4887"/>
    <w:rsid w:val="003A48AC"/>
    <w:rsid w:val="003A4934"/>
    <w:rsid w:val="003A4AC3"/>
    <w:rsid w:val="003A4DC7"/>
    <w:rsid w:val="003A5017"/>
    <w:rsid w:val="003A5116"/>
    <w:rsid w:val="003A5196"/>
    <w:rsid w:val="003A5511"/>
    <w:rsid w:val="003A5573"/>
    <w:rsid w:val="003A56BB"/>
    <w:rsid w:val="003A57B9"/>
    <w:rsid w:val="003A60D7"/>
    <w:rsid w:val="003A623F"/>
    <w:rsid w:val="003A627F"/>
    <w:rsid w:val="003A6756"/>
    <w:rsid w:val="003A67C9"/>
    <w:rsid w:val="003A6888"/>
    <w:rsid w:val="003A6A42"/>
    <w:rsid w:val="003A6B12"/>
    <w:rsid w:val="003A6B7E"/>
    <w:rsid w:val="003A71EC"/>
    <w:rsid w:val="003A73AD"/>
    <w:rsid w:val="003A7466"/>
    <w:rsid w:val="003A7948"/>
    <w:rsid w:val="003A7C6D"/>
    <w:rsid w:val="003A7E23"/>
    <w:rsid w:val="003A7E40"/>
    <w:rsid w:val="003A7ED8"/>
    <w:rsid w:val="003B023C"/>
    <w:rsid w:val="003B06B0"/>
    <w:rsid w:val="003B08AC"/>
    <w:rsid w:val="003B0BA9"/>
    <w:rsid w:val="003B0D66"/>
    <w:rsid w:val="003B0FF7"/>
    <w:rsid w:val="003B101E"/>
    <w:rsid w:val="003B1624"/>
    <w:rsid w:val="003B16CC"/>
    <w:rsid w:val="003B1721"/>
    <w:rsid w:val="003B1839"/>
    <w:rsid w:val="003B190D"/>
    <w:rsid w:val="003B19DB"/>
    <w:rsid w:val="003B1A6D"/>
    <w:rsid w:val="003B1B67"/>
    <w:rsid w:val="003B21F5"/>
    <w:rsid w:val="003B2359"/>
    <w:rsid w:val="003B2541"/>
    <w:rsid w:val="003B258C"/>
    <w:rsid w:val="003B276F"/>
    <w:rsid w:val="003B2C76"/>
    <w:rsid w:val="003B3035"/>
    <w:rsid w:val="003B321F"/>
    <w:rsid w:val="003B32E5"/>
    <w:rsid w:val="003B33CC"/>
    <w:rsid w:val="003B3429"/>
    <w:rsid w:val="003B34D4"/>
    <w:rsid w:val="003B35F7"/>
    <w:rsid w:val="003B36EE"/>
    <w:rsid w:val="003B3A84"/>
    <w:rsid w:val="003B3BA8"/>
    <w:rsid w:val="003B3CE8"/>
    <w:rsid w:val="003B3E88"/>
    <w:rsid w:val="003B41DC"/>
    <w:rsid w:val="003B4297"/>
    <w:rsid w:val="003B4410"/>
    <w:rsid w:val="003B49F9"/>
    <w:rsid w:val="003B49FF"/>
    <w:rsid w:val="003B4E10"/>
    <w:rsid w:val="003B5049"/>
    <w:rsid w:val="003B50C9"/>
    <w:rsid w:val="003B51BB"/>
    <w:rsid w:val="003B523A"/>
    <w:rsid w:val="003B53E3"/>
    <w:rsid w:val="003B5596"/>
    <w:rsid w:val="003B577B"/>
    <w:rsid w:val="003B5AB8"/>
    <w:rsid w:val="003B5ACC"/>
    <w:rsid w:val="003B5B6A"/>
    <w:rsid w:val="003B5B6C"/>
    <w:rsid w:val="003B5D5E"/>
    <w:rsid w:val="003B5D96"/>
    <w:rsid w:val="003B5DB2"/>
    <w:rsid w:val="003B630C"/>
    <w:rsid w:val="003B653C"/>
    <w:rsid w:val="003B66AE"/>
    <w:rsid w:val="003B6831"/>
    <w:rsid w:val="003B71C9"/>
    <w:rsid w:val="003B7284"/>
    <w:rsid w:val="003B7433"/>
    <w:rsid w:val="003B74C7"/>
    <w:rsid w:val="003B77D1"/>
    <w:rsid w:val="003B791A"/>
    <w:rsid w:val="003B7C55"/>
    <w:rsid w:val="003B7F58"/>
    <w:rsid w:val="003C0121"/>
    <w:rsid w:val="003C01F9"/>
    <w:rsid w:val="003C0523"/>
    <w:rsid w:val="003C091E"/>
    <w:rsid w:val="003C0AC0"/>
    <w:rsid w:val="003C0FBE"/>
    <w:rsid w:val="003C114A"/>
    <w:rsid w:val="003C11A1"/>
    <w:rsid w:val="003C173B"/>
    <w:rsid w:val="003C177E"/>
    <w:rsid w:val="003C17EF"/>
    <w:rsid w:val="003C1925"/>
    <w:rsid w:val="003C1978"/>
    <w:rsid w:val="003C1BE4"/>
    <w:rsid w:val="003C1D14"/>
    <w:rsid w:val="003C20CD"/>
    <w:rsid w:val="003C2249"/>
    <w:rsid w:val="003C277E"/>
    <w:rsid w:val="003C2A44"/>
    <w:rsid w:val="003C2AE8"/>
    <w:rsid w:val="003C2BF4"/>
    <w:rsid w:val="003C303B"/>
    <w:rsid w:val="003C3098"/>
    <w:rsid w:val="003C30A0"/>
    <w:rsid w:val="003C30A6"/>
    <w:rsid w:val="003C329A"/>
    <w:rsid w:val="003C3622"/>
    <w:rsid w:val="003C37FF"/>
    <w:rsid w:val="003C3839"/>
    <w:rsid w:val="003C3B87"/>
    <w:rsid w:val="003C3C9B"/>
    <w:rsid w:val="003C3F3D"/>
    <w:rsid w:val="003C4286"/>
    <w:rsid w:val="003C43F8"/>
    <w:rsid w:val="003C4B11"/>
    <w:rsid w:val="003C4BC6"/>
    <w:rsid w:val="003C4EB8"/>
    <w:rsid w:val="003C5051"/>
    <w:rsid w:val="003C556B"/>
    <w:rsid w:val="003C5885"/>
    <w:rsid w:val="003C58AA"/>
    <w:rsid w:val="003C5AFB"/>
    <w:rsid w:val="003C5C28"/>
    <w:rsid w:val="003C5D18"/>
    <w:rsid w:val="003C5D9A"/>
    <w:rsid w:val="003C5E2B"/>
    <w:rsid w:val="003C5FD6"/>
    <w:rsid w:val="003C60EF"/>
    <w:rsid w:val="003C610C"/>
    <w:rsid w:val="003C6764"/>
    <w:rsid w:val="003C6998"/>
    <w:rsid w:val="003C6A34"/>
    <w:rsid w:val="003C6AB8"/>
    <w:rsid w:val="003C6B6C"/>
    <w:rsid w:val="003C6C43"/>
    <w:rsid w:val="003C6FD4"/>
    <w:rsid w:val="003C71F8"/>
    <w:rsid w:val="003C7587"/>
    <w:rsid w:val="003C79AB"/>
    <w:rsid w:val="003C7F1B"/>
    <w:rsid w:val="003C7F8F"/>
    <w:rsid w:val="003D01F8"/>
    <w:rsid w:val="003D058B"/>
    <w:rsid w:val="003D085D"/>
    <w:rsid w:val="003D0B44"/>
    <w:rsid w:val="003D0CD3"/>
    <w:rsid w:val="003D1187"/>
    <w:rsid w:val="003D1209"/>
    <w:rsid w:val="003D1431"/>
    <w:rsid w:val="003D157E"/>
    <w:rsid w:val="003D185D"/>
    <w:rsid w:val="003D1A00"/>
    <w:rsid w:val="003D1C1E"/>
    <w:rsid w:val="003D1CB1"/>
    <w:rsid w:val="003D1DAF"/>
    <w:rsid w:val="003D1E40"/>
    <w:rsid w:val="003D1ECC"/>
    <w:rsid w:val="003D21A7"/>
    <w:rsid w:val="003D2405"/>
    <w:rsid w:val="003D24E0"/>
    <w:rsid w:val="003D24F6"/>
    <w:rsid w:val="003D2969"/>
    <w:rsid w:val="003D2A29"/>
    <w:rsid w:val="003D2B8E"/>
    <w:rsid w:val="003D2C1F"/>
    <w:rsid w:val="003D2C48"/>
    <w:rsid w:val="003D2D02"/>
    <w:rsid w:val="003D2D42"/>
    <w:rsid w:val="003D31C0"/>
    <w:rsid w:val="003D33F3"/>
    <w:rsid w:val="003D372A"/>
    <w:rsid w:val="003D3A31"/>
    <w:rsid w:val="003D3EEB"/>
    <w:rsid w:val="003D432F"/>
    <w:rsid w:val="003D473D"/>
    <w:rsid w:val="003D4F9E"/>
    <w:rsid w:val="003D51A6"/>
    <w:rsid w:val="003D52BB"/>
    <w:rsid w:val="003D56CA"/>
    <w:rsid w:val="003D582D"/>
    <w:rsid w:val="003D58FF"/>
    <w:rsid w:val="003D5B58"/>
    <w:rsid w:val="003D5C26"/>
    <w:rsid w:val="003D5E39"/>
    <w:rsid w:val="003D5F0E"/>
    <w:rsid w:val="003D6145"/>
    <w:rsid w:val="003D659F"/>
    <w:rsid w:val="003D65BD"/>
    <w:rsid w:val="003D666C"/>
    <w:rsid w:val="003D6928"/>
    <w:rsid w:val="003D6AF2"/>
    <w:rsid w:val="003D6FCA"/>
    <w:rsid w:val="003D725F"/>
    <w:rsid w:val="003D7658"/>
    <w:rsid w:val="003D7A37"/>
    <w:rsid w:val="003D7AC4"/>
    <w:rsid w:val="003D7F5A"/>
    <w:rsid w:val="003E006E"/>
    <w:rsid w:val="003E0491"/>
    <w:rsid w:val="003E0592"/>
    <w:rsid w:val="003E0722"/>
    <w:rsid w:val="003E0946"/>
    <w:rsid w:val="003E0BF9"/>
    <w:rsid w:val="003E0CA9"/>
    <w:rsid w:val="003E0F08"/>
    <w:rsid w:val="003E10BD"/>
    <w:rsid w:val="003E180B"/>
    <w:rsid w:val="003E1A8D"/>
    <w:rsid w:val="003E1D48"/>
    <w:rsid w:val="003E242F"/>
    <w:rsid w:val="003E2717"/>
    <w:rsid w:val="003E2760"/>
    <w:rsid w:val="003E2C06"/>
    <w:rsid w:val="003E2E78"/>
    <w:rsid w:val="003E331E"/>
    <w:rsid w:val="003E342F"/>
    <w:rsid w:val="003E3511"/>
    <w:rsid w:val="003E3611"/>
    <w:rsid w:val="003E368B"/>
    <w:rsid w:val="003E3B87"/>
    <w:rsid w:val="003E4321"/>
    <w:rsid w:val="003E47AD"/>
    <w:rsid w:val="003E4B49"/>
    <w:rsid w:val="003E4CAE"/>
    <w:rsid w:val="003E4CF9"/>
    <w:rsid w:val="003E4F58"/>
    <w:rsid w:val="003E522D"/>
    <w:rsid w:val="003E52AC"/>
    <w:rsid w:val="003E540F"/>
    <w:rsid w:val="003E5C14"/>
    <w:rsid w:val="003E5E15"/>
    <w:rsid w:val="003E6001"/>
    <w:rsid w:val="003E62CA"/>
    <w:rsid w:val="003E6422"/>
    <w:rsid w:val="003E66AE"/>
    <w:rsid w:val="003E6937"/>
    <w:rsid w:val="003E6B51"/>
    <w:rsid w:val="003E6CBC"/>
    <w:rsid w:val="003E6DBE"/>
    <w:rsid w:val="003E6EA2"/>
    <w:rsid w:val="003E709D"/>
    <w:rsid w:val="003E733D"/>
    <w:rsid w:val="003E7446"/>
    <w:rsid w:val="003E745A"/>
    <w:rsid w:val="003E74C6"/>
    <w:rsid w:val="003E7529"/>
    <w:rsid w:val="003E769A"/>
    <w:rsid w:val="003E79C3"/>
    <w:rsid w:val="003E7A93"/>
    <w:rsid w:val="003E7D18"/>
    <w:rsid w:val="003E7F7F"/>
    <w:rsid w:val="003E7F94"/>
    <w:rsid w:val="003F021C"/>
    <w:rsid w:val="003F0226"/>
    <w:rsid w:val="003F03EF"/>
    <w:rsid w:val="003F05D1"/>
    <w:rsid w:val="003F066E"/>
    <w:rsid w:val="003F067F"/>
    <w:rsid w:val="003F0932"/>
    <w:rsid w:val="003F0EAA"/>
    <w:rsid w:val="003F0F95"/>
    <w:rsid w:val="003F1091"/>
    <w:rsid w:val="003F14CA"/>
    <w:rsid w:val="003F1969"/>
    <w:rsid w:val="003F1E18"/>
    <w:rsid w:val="003F205F"/>
    <w:rsid w:val="003F23D6"/>
    <w:rsid w:val="003F2B28"/>
    <w:rsid w:val="003F2BD9"/>
    <w:rsid w:val="003F2F2D"/>
    <w:rsid w:val="003F31D2"/>
    <w:rsid w:val="003F31E9"/>
    <w:rsid w:val="003F34C7"/>
    <w:rsid w:val="003F34E7"/>
    <w:rsid w:val="003F36B7"/>
    <w:rsid w:val="003F376F"/>
    <w:rsid w:val="003F3866"/>
    <w:rsid w:val="003F38D2"/>
    <w:rsid w:val="003F3A84"/>
    <w:rsid w:val="003F4159"/>
    <w:rsid w:val="003F42F5"/>
    <w:rsid w:val="003F434E"/>
    <w:rsid w:val="003F47F8"/>
    <w:rsid w:val="003F4B92"/>
    <w:rsid w:val="003F5224"/>
    <w:rsid w:val="003F54D2"/>
    <w:rsid w:val="003F56CE"/>
    <w:rsid w:val="003F5880"/>
    <w:rsid w:val="003F5CE3"/>
    <w:rsid w:val="003F5D31"/>
    <w:rsid w:val="003F5FBC"/>
    <w:rsid w:val="003F5FCB"/>
    <w:rsid w:val="003F5FF3"/>
    <w:rsid w:val="003F6013"/>
    <w:rsid w:val="003F603C"/>
    <w:rsid w:val="003F6053"/>
    <w:rsid w:val="003F63D2"/>
    <w:rsid w:val="003F670B"/>
    <w:rsid w:val="003F6D27"/>
    <w:rsid w:val="003F6F38"/>
    <w:rsid w:val="003F723A"/>
    <w:rsid w:val="003F75DE"/>
    <w:rsid w:val="003F75F8"/>
    <w:rsid w:val="003F762C"/>
    <w:rsid w:val="003F768F"/>
    <w:rsid w:val="003F76F6"/>
    <w:rsid w:val="003F76FF"/>
    <w:rsid w:val="003F77F6"/>
    <w:rsid w:val="003F795E"/>
    <w:rsid w:val="003F7963"/>
    <w:rsid w:val="00400193"/>
    <w:rsid w:val="004001AC"/>
    <w:rsid w:val="00400287"/>
    <w:rsid w:val="00400696"/>
    <w:rsid w:val="004007A5"/>
    <w:rsid w:val="00400EFB"/>
    <w:rsid w:val="00400FAE"/>
    <w:rsid w:val="00401277"/>
    <w:rsid w:val="00401441"/>
    <w:rsid w:val="0040148C"/>
    <w:rsid w:val="00401562"/>
    <w:rsid w:val="004015DF"/>
    <w:rsid w:val="004015F5"/>
    <w:rsid w:val="0040185E"/>
    <w:rsid w:val="00401C21"/>
    <w:rsid w:val="00401DE7"/>
    <w:rsid w:val="00401DFA"/>
    <w:rsid w:val="00401E34"/>
    <w:rsid w:val="00402286"/>
    <w:rsid w:val="004024DB"/>
    <w:rsid w:val="004026C5"/>
    <w:rsid w:val="00402861"/>
    <w:rsid w:val="00402F51"/>
    <w:rsid w:val="0040300F"/>
    <w:rsid w:val="004033BB"/>
    <w:rsid w:val="004037FB"/>
    <w:rsid w:val="00404220"/>
    <w:rsid w:val="00404278"/>
    <w:rsid w:val="00404B26"/>
    <w:rsid w:val="00404BC2"/>
    <w:rsid w:val="00404D66"/>
    <w:rsid w:val="00404F1D"/>
    <w:rsid w:val="00405110"/>
    <w:rsid w:val="00405150"/>
    <w:rsid w:val="00405234"/>
    <w:rsid w:val="004052FC"/>
    <w:rsid w:val="0040543F"/>
    <w:rsid w:val="004057E3"/>
    <w:rsid w:val="00405878"/>
    <w:rsid w:val="0040589D"/>
    <w:rsid w:val="00405D8A"/>
    <w:rsid w:val="00405DC1"/>
    <w:rsid w:val="00405E1C"/>
    <w:rsid w:val="004060DF"/>
    <w:rsid w:val="00406307"/>
    <w:rsid w:val="004064FB"/>
    <w:rsid w:val="004068B5"/>
    <w:rsid w:val="00406AFE"/>
    <w:rsid w:val="00406F01"/>
    <w:rsid w:val="00407885"/>
    <w:rsid w:val="0040791F"/>
    <w:rsid w:val="00407BE9"/>
    <w:rsid w:val="00407C88"/>
    <w:rsid w:val="00407DC8"/>
    <w:rsid w:val="00407DE8"/>
    <w:rsid w:val="00410297"/>
    <w:rsid w:val="004105E2"/>
    <w:rsid w:val="0041079A"/>
    <w:rsid w:val="00410A20"/>
    <w:rsid w:val="00410A8A"/>
    <w:rsid w:val="00411268"/>
    <w:rsid w:val="004112EC"/>
    <w:rsid w:val="004119F8"/>
    <w:rsid w:val="00411B10"/>
    <w:rsid w:val="00412186"/>
    <w:rsid w:val="004128D2"/>
    <w:rsid w:val="0041299D"/>
    <w:rsid w:val="00412B18"/>
    <w:rsid w:val="00412E54"/>
    <w:rsid w:val="0041329F"/>
    <w:rsid w:val="0041375E"/>
    <w:rsid w:val="004137AE"/>
    <w:rsid w:val="00413910"/>
    <w:rsid w:val="00413A12"/>
    <w:rsid w:val="00413D0E"/>
    <w:rsid w:val="00413D2E"/>
    <w:rsid w:val="00414267"/>
    <w:rsid w:val="004143CE"/>
    <w:rsid w:val="0041462B"/>
    <w:rsid w:val="004147D7"/>
    <w:rsid w:val="0041482F"/>
    <w:rsid w:val="004148DE"/>
    <w:rsid w:val="00414B7F"/>
    <w:rsid w:val="00414BA6"/>
    <w:rsid w:val="00414F9A"/>
    <w:rsid w:val="00415117"/>
    <w:rsid w:val="0041521A"/>
    <w:rsid w:val="0041544B"/>
    <w:rsid w:val="00415863"/>
    <w:rsid w:val="0041586F"/>
    <w:rsid w:val="00415B2E"/>
    <w:rsid w:val="00415CA0"/>
    <w:rsid w:val="00415DD1"/>
    <w:rsid w:val="00415EFE"/>
    <w:rsid w:val="00416605"/>
    <w:rsid w:val="0041660C"/>
    <w:rsid w:val="00416B22"/>
    <w:rsid w:val="00416E8E"/>
    <w:rsid w:val="00416F21"/>
    <w:rsid w:val="004171B1"/>
    <w:rsid w:val="0041725A"/>
    <w:rsid w:val="0041767E"/>
    <w:rsid w:val="00417715"/>
    <w:rsid w:val="004177FE"/>
    <w:rsid w:val="0041787F"/>
    <w:rsid w:val="00417958"/>
    <w:rsid w:val="00417A22"/>
    <w:rsid w:val="00417A44"/>
    <w:rsid w:val="00417CF2"/>
    <w:rsid w:val="00417D8D"/>
    <w:rsid w:val="004202AC"/>
    <w:rsid w:val="0042062D"/>
    <w:rsid w:val="00420A7D"/>
    <w:rsid w:val="00420ACD"/>
    <w:rsid w:val="00420F2C"/>
    <w:rsid w:val="00421107"/>
    <w:rsid w:val="004217D9"/>
    <w:rsid w:val="00421CF5"/>
    <w:rsid w:val="00422052"/>
    <w:rsid w:val="0042210A"/>
    <w:rsid w:val="0042217D"/>
    <w:rsid w:val="0042275D"/>
    <w:rsid w:val="00422B50"/>
    <w:rsid w:val="00422C7E"/>
    <w:rsid w:val="00422D21"/>
    <w:rsid w:val="00422D7A"/>
    <w:rsid w:val="00423156"/>
    <w:rsid w:val="00423750"/>
    <w:rsid w:val="004238C5"/>
    <w:rsid w:val="004238EF"/>
    <w:rsid w:val="004239B8"/>
    <w:rsid w:val="00423C19"/>
    <w:rsid w:val="00423C90"/>
    <w:rsid w:val="00423F9E"/>
    <w:rsid w:val="004248C2"/>
    <w:rsid w:val="00424D2C"/>
    <w:rsid w:val="00424DBD"/>
    <w:rsid w:val="00425131"/>
    <w:rsid w:val="00425261"/>
    <w:rsid w:val="0042536E"/>
    <w:rsid w:val="0042540A"/>
    <w:rsid w:val="004254A6"/>
    <w:rsid w:val="00425617"/>
    <w:rsid w:val="004258D4"/>
    <w:rsid w:val="00425907"/>
    <w:rsid w:val="0042596B"/>
    <w:rsid w:val="00425A99"/>
    <w:rsid w:val="00425AFE"/>
    <w:rsid w:val="00425FE4"/>
    <w:rsid w:val="00426286"/>
    <w:rsid w:val="00426355"/>
    <w:rsid w:val="00426B64"/>
    <w:rsid w:val="00426B86"/>
    <w:rsid w:val="00426C60"/>
    <w:rsid w:val="00426CB9"/>
    <w:rsid w:val="004270CE"/>
    <w:rsid w:val="0042757B"/>
    <w:rsid w:val="0042792F"/>
    <w:rsid w:val="00427AB1"/>
    <w:rsid w:val="00427CCB"/>
    <w:rsid w:val="00427E3F"/>
    <w:rsid w:val="00427EED"/>
    <w:rsid w:val="004300C1"/>
    <w:rsid w:val="00430406"/>
    <w:rsid w:val="004307D0"/>
    <w:rsid w:val="004309B1"/>
    <w:rsid w:val="00430B6E"/>
    <w:rsid w:val="00430BD1"/>
    <w:rsid w:val="00430F68"/>
    <w:rsid w:val="00431052"/>
    <w:rsid w:val="00431216"/>
    <w:rsid w:val="00431A0F"/>
    <w:rsid w:val="00431A88"/>
    <w:rsid w:val="00431F3D"/>
    <w:rsid w:val="00432016"/>
    <w:rsid w:val="0043205D"/>
    <w:rsid w:val="00432691"/>
    <w:rsid w:val="0043272B"/>
    <w:rsid w:val="004328AD"/>
    <w:rsid w:val="004328EE"/>
    <w:rsid w:val="00432B5A"/>
    <w:rsid w:val="00432CC0"/>
    <w:rsid w:val="00432CEA"/>
    <w:rsid w:val="00432DC0"/>
    <w:rsid w:val="00433320"/>
    <w:rsid w:val="0043366A"/>
    <w:rsid w:val="0043384E"/>
    <w:rsid w:val="004338F6"/>
    <w:rsid w:val="00433DD5"/>
    <w:rsid w:val="00433ED1"/>
    <w:rsid w:val="0043401F"/>
    <w:rsid w:val="0043405E"/>
    <w:rsid w:val="00434497"/>
    <w:rsid w:val="00434E0D"/>
    <w:rsid w:val="00434E31"/>
    <w:rsid w:val="00434F71"/>
    <w:rsid w:val="004350AF"/>
    <w:rsid w:val="00435592"/>
    <w:rsid w:val="004355DD"/>
    <w:rsid w:val="00435624"/>
    <w:rsid w:val="00435863"/>
    <w:rsid w:val="00435A43"/>
    <w:rsid w:val="00435D4C"/>
    <w:rsid w:val="00435EE9"/>
    <w:rsid w:val="00435F99"/>
    <w:rsid w:val="00435FCA"/>
    <w:rsid w:val="004366D4"/>
    <w:rsid w:val="004367D6"/>
    <w:rsid w:val="00436855"/>
    <w:rsid w:val="00436E19"/>
    <w:rsid w:val="00436F68"/>
    <w:rsid w:val="00436F75"/>
    <w:rsid w:val="004370BF"/>
    <w:rsid w:val="00437219"/>
    <w:rsid w:val="00437223"/>
    <w:rsid w:val="0043768E"/>
    <w:rsid w:val="004378AE"/>
    <w:rsid w:val="004379E3"/>
    <w:rsid w:val="00437ABE"/>
    <w:rsid w:val="00437FCD"/>
    <w:rsid w:val="00440438"/>
    <w:rsid w:val="0044060F"/>
    <w:rsid w:val="00440966"/>
    <w:rsid w:val="004409A4"/>
    <w:rsid w:val="004409F7"/>
    <w:rsid w:val="00440E79"/>
    <w:rsid w:val="00440FA8"/>
    <w:rsid w:val="00441412"/>
    <w:rsid w:val="004414B3"/>
    <w:rsid w:val="0044151E"/>
    <w:rsid w:val="00441B34"/>
    <w:rsid w:val="00441B69"/>
    <w:rsid w:val="00441CE6"/>
    <w:rsid w:val="00441DFE"/>
    <w:rsid w:val="004421AC"/>
    <w:rsid w:val="00442593"/>
    <w:rsid w:val="004425AC"/>
    <w:rsid w:val="00442613"/>
    <w:rsid w:val="0044285E"/>
    <w:rsid w:val="0044289C"/>
    <w:rsid w:val="00442A21"/>
    <w:rsid w:val="00442C0B"/>
    <w:rsid w:val="0044303E"/>
    <w:rsid w:val="00443108"/>
    <w:rsid w:val="00443162"/>
    <w:rsid w:val="00443378"/>
    <w:rsid w:val="004434DD"/>
    <w:rsid w:val="00443528"/>
    <w:rsid w:val="00443ADF"/>
    <w:rsid w:val="00443B8F"/>
    <w:rsid w:val="00443D92"/>
    <w:rsid w:val="00443E0F"/>
    <w:rsid w:val="00443E99"/>
    <w:rsid w:val="0044440A"/>
    <w:rsid w:val="00444993"/>
    <w:rsid w:val="00444B22"/>
    <w:rsid w:val="00444B6B"/>
    <w:rsid w:val="0044509B"/>
    <w:rsid w:val="004451BD"/>
    <w:rsid w:val="00445674"/>
    <w:rsid w:val="004461FC"/>
    <w:rsid w:val="0044623B"/>
    <w:rsid w:val="0044671E"/>
    <w:rsid w:val="00446AB8"/>
    <w:rsid w:val="00446B08"/>
    <w:rsid w:val="00446E4C"/>
    <w:rsid w:val="00446E79"/>
    <w:rsid w:val="00447031"/>
    <w:rsid w:val="004470B2"/>
    <w:rsid w:val="004471FB"/>
    <w:rsid w:val="00447246"/>
    <w:rsid w:val="00447359"/>
    <w:rsid w:val="00447791"/>
    <w:rsid w:val="004477FB"/>
    <w:rsid w:val="0044785D"/>
    <w:rsid w:val="004479CF"/>
    <w:rsid w:val="00447A75"/>
    <w:rsid w:val="00447B29"/>
    <w:rsid w:val="00447B50"/>
    <w:rsid w:val="00447BA8"/>
    <w:rsid w:val="00447F34"/>
    <w:rsid w:val="004501A6"/>
    <w:rsid w:val="004502A7"/>
    <w:rsid w:val="004502D5"/>
    <w:rsid w:val="004505F9"/>
    <w:rsid w:val="00450753"/>
    <w:rsid w:val="00450B16"/>
    <w:rsid w:val="00450D72"/>
    <w:rsid w:val="00450DFB"/>
    <w:rsid w:val="00451273"/>
    <w:rsid w:val="00451434"/>
    <w:rsid w:val="004514F4"/>
    <w:rsid w:val="004515A5"/>
    <w:rsid w:val="00451903"/>
    <w:rsid w:val="00451AF5"/>
    <w:rsid w:val="00451C7F"/>
    <w:rsid w:val="00451D2C"/>
    <w:rsid w:val="00451ECA"/>
    <w:rsid w:val="00451F12"/>
    <w:rsid w:val="00452147"/>
    <w:rsid w:val="0045230A"/>
    <w:rsid w:val="00452B9A"/>
    <w:rsid w:val="00452BDD"/>
    <w:rsid w:val="004530BF"/>
    <w:rsid w:val="004536A7"/>
    <w:rsid w:val="004536C5"/>
    <w:rsid w:val="00453768"/>
    <w:rsid w:val="00453A02"/>
    <w:rsid w:val="00453C25"/>
    <w:rsid w:val="0045434E"/>
    <w:rsid w:val="00454405"/>
    <w:rsid w:val="00454588"/>
    <w:rsid w:val="004546B0"/>
    <w:rsid w:val="004546F6"/>
    <w:rsid w:val="00454A5A"/>
    <w:rsid w:val="00454BE2"/>
    <w:rsid w:val="00454C14"/>
    <w:rsid w:val="00454CD6"/>
    <w:rsid w:val="00454F59"/>
    <w:rsid w:val="004552C9"/>
    <w:rsid w:val="004552D0"/>
    <w:rsid w:val="00455488"/>
    <w:rsid w:val="00455867"/>
    <w:rsid w:val="0045599D"/>
    <w:rsid w:val="00455A07"/>
    <w:rsid w:val="00455EE1"/>
    <w:rsid w:val="00455F78"/>
    <w:rsid w:val="0045610F"/>
    <w:rsid w:val="004561AE"/>
    <w:rsid w:val="0045623F"/>
    <w:rsid w:val="004562D3"/>
    <w:rsid w:val="004565B4"/>
    <w:rsid w:val="004566D0"/>
    <w:rsid w:val="0045670C"/>
    <w:rsid w:val="00456C9E"/>
    <w:rsid w:val="00457013"/>
    <w:rsid w:val="00457236"/>
    <w:rsid w:val="0045732C"/>
    <w:rsid w:val="00457BD8"/>
    <w:rsid w:val="00457D11"/>
    <w:rsid w:val="00457DAA"/>
    <w:rsid w:val="00457DBC"/>
    <w:rsid w:val="00457F23"/>
    <w:rsid w:val="00460022"/>
    <w:rsid w:val="004603B5"/>
    <w:rsid w:val="0046042A"/>
    <w:rsid w:val="0046045A"/>
    <w:rsid w:val="00460642"/>
    <w:rsid w:val="004606E8"/>
    <w:rsid w:val="00460AB7"/>
    <w:rsid w:val="00460AC5"/>
    <w:rsid w:val="00460B11"/>
    <w:rsid w:val="00460C5E"/>
    <w:rsid w:val="00460CD1"/>
    <w:rsid w:val="00460D70"/>
    <w:rsid w:val="00461035"/>
    <w:rsid w:val="00461392"/>
    <w:rsid w:val="0046153F"/>
    <w:rsid w:val="004616D4"/>
    <w:rsid w:val="0046173D"/>
    <w:rsid w:val="00461926"/>
    <w:rsid w:val="00461C11"/>
    <w:rsid w:val="00461C80"/>
    <w:rsid w:val="00461D6D"/>
    <w:rsid w:val="00461ED5"/>
    <w:rsid w:val="00461FB3"/>
    <w:rsid w:val="004620A2"/>
    <w:rsid w:val="00462606"/>
    <w:rsid w:val="0046273A"/>
    <w:rsid w:val="00462860"/>
    <w:rsid w:val="00462A45"/>
    <w:rsid w:val="00462AB5"/>
    <w:rsid w:val="00462AD7"/>
    <w:rsid w:val="00462B44"/>
    <w:rsid w:val="00462BB5"/>
    <w:rsid w:val="004630CE"/>
    <w:rsid w:val="004630DE"/>
    <w:rsid w:val="0046349F"/>
    <w:rsid w:val="0046360D"/>
    <w:rsid w:val="00463AB4"/>
    <w:rsid w:val="00463AD8"/>
    <w:rsid w:val="00463C14"/>
    <w:rsid w:val="00463E8E"/>
    <w:rsid w:val="00464012"/>
    <w:rsid w:val="0046401D"/>
    <w:rsid w:val="004640F4"/>
    <w:rsid w:val="004647CE"/>
    <w:rsid w:val="00464CBE"/>
    <w:rsid w:val="00464CCD"/>
    <w:rsid w:val="00464D90"/>
    <w:rsid w:val="00464E4E"/>
    <w:rsid w:val="00464F12"/>
    <w:rsid w:val="0046576A"/>
    <w:rsid w:val="004657B6"/>
    <w:rsid w:val="00465FAD"/>
    <w:rsid w:val="00466602"/>
    <w:rsid w:val="00466616"/>
    <w:rsid w:val="00466B95"/>
    <w:rsid w:val="00466BB1"/>
    <w:rsid w:val="00467046"/>
    <w:rsid w:val="004670BC"/>
    <w:rsid w:val="004671B5"/>
    <w:rsid w:val="00467566"/>
    <w:rsid w:val="00467836"/>
    <w:rsid w:val="004678FB"/>
    <w:rsid w:val="00470237"/>
    <w:rsid w:val="00470291"/>
    <w:rsid w:val="004704DD"/>
    <w:rsid w:val="00470520"/>
    <w:rsid w:val="0047067E"/>
    <w:rsid w:val="00470947"/>
    <w:rsid w:val="00470955"/>
    <w:rsid w:val="004709B5"/>
    <w:rsid w:val="00470A5F"/>
    <w:rsid w:val="00470D52"/>
    <w:rsid w:val="00470E42"/>
    <w:rsid w:val="00470F6B"/>
    <w:rsid w:val="00471043"/>
    <w:rsid w:val="0047117E"/>
    <w:rsid w:val="0047118D"/>
    <w:rsid w:val="004713A4"/>
    <w:rsid w:val="004715E3"/>
    <w:rsid w:val="00471829"/>
    <w:rsid w:val="00471953"/>
    <w:rsid w:val="00471AFC"/>
    <w:rsid w:val="00471B85"/>
    <w:rsid w:val="00471BC8"/>
    <w:rsid w:val="00471F13"/>
    <w:rsid w:val="00471FE6"/>
    <w:rsid w:val="004721F7"/>
    <w:rsid w:val="0047283B"/>
    <w:rsid w:val="0047285E"/>
    <w:rsid w:val="00472A27"/>
    <w:rsid w:val="00472B67"/>
    <w:rsid w:val="00472E90"/>
    <w:rsid w:val="00472FF0"/>
    <w:rsid w:val="004733A4"/>
    <w:rsid w:val="00474399"/>
    <w:rsid w:val="00474483"/>
    <w:rsid w:val="00474636"/>
    <w:rsid w:val="0047470D"/>
    <w:rsid w:val="00474BE0"/>
    <w:rsid w:val="00474C32"/>
    <w:rsid w:val="00474CC9"/>
    <w:rsid w:val="00474CF8"/>
    <w:rsid w:val="00474F6E"/>
    <w:rsid w:val="0047522E"/>
    <w:rsid w:val="004752F6"/>
    <w:rsid w:val="004761D7"/>
    <w:rsid w:val="004762AB"/>
    <w:rsid w:val="004764A0"/>
    <w:rsid w:val="0047663D"/>
    <w:rsid w:val="00476792"/>
    <w:rsid w:val="00476C3D"/>
    <w:rsid w:val="00476DE5"/>
    <w:rsid w:val="00476F0E"/>
    <w:rsid w:val="0047735D"/>
    <w:rsid w:val="00477DE6"/>
    <w:rsid w:val="00477E46"/>
    <w:rsid w:val="0048001D"/>
    <w:rsid w:val="00480301"/>
    <w:rsid w:val="00480498"/>
    <w:rsid w:val="0048055C"/>
    <w:rsid w:val="004805C7"/>
    <w:rsid w:val="004805D3"/>
    <w:rsid w:val="004809DB"/>
    <w:rsid w:val="00480B79"/>
    <w:rsid w:val="00480C9D"/>
    <w:rsid w:val="00480D2B"/>
    <w:rsid w:val="00480DA4"/>
    <w:rsid w:val="0048149D"/>
    <w:rsid w:val="00481660"/>
    <w:rsid w:val="0048172D"/>
    <w:rsid w:val="0048175D"/>
    <w:rsid w:val="00481827"/>
    <w:rsid w:val="00481934"/>
    <w:rsid w:val="00481A73"/>
    <w:rsid w:val="00481AFE"/>
    <w:rsid w:val="00481E73"/>
    <w:rsid w:val="0048231A"/>
    <w:rsid w:val="004827B9"/>
    <w:rsid w:val="00482851"/>
    <w:rsid w:val="00482A60"/>
    <w:rsid w:val="00482AA9"/>
    <w:rsid w:val="00482ADB"/>
    <w:rsid w:val="00483124"/>
    <w:rsid w:val="00483A41"/>
    <w:rsid w:val="00483B9F"/>
    <w:rsid w:val="00483DBE"/>
    <w:rsid w:val="00483EA0"/>
    <w:rsid w:val="00483EA8"/>
    <w:rsid w:val="00483EB6"/>
    <w:rsid w:val="00484063"/>
    <w:rsid w:val="004843FB"/>
    <w:rsid w:val="004845E7"/>
    <w:rsid w:val="004846DC"/>
    <w:rsid w:val="00484834"/>
    <w:rsid w:val="00484A87"/>
    <w:rsid w:val="00484B29"/>
    <w:rsid w:val="00485500"/>
    <w:rsid w:val="00485548"/>
    <w:rsid w:val="004859B8"/>
    <w:rsid w:val="00485DA4"/>
    <w:rsid w:val="00486180"/>
    <w:rsid w:val="004862A0"/>
    <w:rsid w:val="004862C6"/>
    <w:rsid w:val="004866CE"/>
    <w:rsid w:val="00486AB8"/>
    <w:rsid w:val="00486DAF"/>
    <w:rsid w:val="00486FB6"/>
    <w:rsid w:val="0048724D"/>
    <w:rsid w:val="0048732B"/>
    <w:rsid w:val="004873BD"/>
    <w:rsid w:val="0048798D"/>
    <w:rsid w:val="00487A39"/>
    <w:rsid w:val="00487AF6"/>
    <w:rsid w:val="00487AFA"/>
    <w:rsid w:val="00487D81"/>
    <w:rsid w:val="00487DC5"/>
    <w:rsid w:val="004900BD"/>
    <w:rsid w:val="00490214"/>
    <w:rsid w:val="004902AB"/>
    <w:rsid w:val="004905EA"/>
    <w:rsid w:val="0049086E"/>
    <w:rsid w:val="0049090A"/>
    <w:rsid w:val="0049091F"/>
    <w:rsid w:val="00490D4C"/>
    <w:rsid w:val="00490DA5"/>
    <w:rsid w:val="00490F3A"/>
    <w:rsid w:val="00490FAF"/>
    <w:rsid w:val="004911EC"/>
    <w:rsid w:val="004915FD"/>
    <w:rsid w:val="004918DC"/>
    <w:rsid w:val="00491CB0"/>
    <w:rsid w:val="00491DC4"/>
    <w:rsid w:val="00491E3A"/>
    <w:rsid w:val="00492214"/>
    <w:rsid w:val="004924A1"/>
    <w:rsid w:val="00492901"/>
    <w:rsid w:val="004929CC"/>
    <w:rsid w:val="00492A47"/>
    <w:rsid w:val="00492FC8"/>
    <w:rsid w:val="004930FA"/>
    <w:rsid w:val="004935E0"/>
    <w:rsid w:val="00493649"/>
    <w:rsid w:val="00493789"/>
    <w:rsid w:val="00493A48"/>
    <w:rsid w:val="00493A8F"/>
    <w:rsid w:val="00493B1B"/>
    <w:rsid w:val="00493C6C"/>
    <w:rsid w:val="00493D09"/>
    <w:rsid w:val="00493DD4"/>
    <w:rsid w:val="004940D1"/>
    <w:rsid w:val="0049440B"/>
    <w:rsid w:val="004949D3"/>
    <w:rsid w:val="00494A96"/>
    <w:rsid w:val="00494C99"/>
    <w:rsid w:val="00495495"/>
    <w:rsid w:val="004954A5"/>
    <w:rsid w:val="004954A9"/>
    <w:rsid w:val="00495521"/>
    <w:rsid w:val="004959EB"/>
    <w:rsid w:val="00495A85"/>
    <w:rsid w:val="00495B5E"/>
    <w:rsid w:val="00495D59"/>
    <w:rsid w:val="00495D66"/>
    <w:rsid w:val="00495E55"/>
    <w:rsid w:val="00495E66"/>
    <w:rsid w:val="00496261"/>
    <w:rsid w:val="004963E7"/>
    <w:rsid w:val="00496FE3"/>
    <w:rsid w:val="0049728E"/>
    <w:rsid w:val="0049738A"/>
    <w:rsid w:val="004979EB"/>
    <w:rsid w:val="00497CA1"/>
    <w:rsid w:val="00497CC3"/>
    <w:rsid w:val="00497FC0"/>
    <w:rsid w:val="00497FC5"/>
    <w:rsid w:val="004A029B"/>
    <w:rsid w:val="004A03E8"/>
    <w:rsid w:val="004A05EF"/>
    <w:rsid w:val="004A06F6"/>
    <w:rsid w:val="004A08AE"/>
    <w:rsid w:val="004A0A4D"/>
    <w:rsid w:val="004A0B99"/>
    <w:rsid w:val="004A1181"/>
    <w:rsid w:val="004A1338"/>
    <w:rsid w:val="004A141B"/>
    <w:rsid w:val="004A15A4"/>
    <w:rsid w:val="004A1703"/>
    <w:rsid w:val="004A1799"/>
    <w:rsid w:val="004A1C00"/>
    <w:rsid w:val="004A2058"/>
    <w:rsid w:val="004A2071"/>
    <w:rsid w:val="004A218A"/>
    <w:rsid w:val="004A2207"/>
    <w:rsid w:val="004A224E"/>
    <w:rsid w:val="004A2516"/>
    <w:rsid w:val="004A261F"/>
    <w:rsid w:val="004A26B8"/>
    <w:rsid w:val="004A2743"/>
    <w:rsid w:val="004A279D"/>
    <w:rsid w:val="004A2E08"/>
    <w:rsid w:val="004A2FB9"/>
    <w:rsid w:val="004A31BA"/>
    <w:rsid w:val="004A3507"/>
    <w:rsid w:val="004A35BA"/>
    <w:rsid w:val="004A3794"/>
    <w:rsid w:val="004A37D2"/>
    <w:rsid w:val="004A38FA"/>
    <w:rsid w:val="004A390A"/>
    <w:rsid w:val="004A3F3D"/>
    <w:rsid w:val="004A4B42"/>
    <w:rsid w:val="004A4C58"/>
    <w:rsid w:val="004A4E44"/>
    <w:rsid w:val="004A4E8D"/>
    <w:rsid w:val="004A51D0"/>
    <w:rsid w:val="004A542B"/>
    <w:rsid w:val="004A57F8"/>
    <w:rsid w:val="004A5836"/>
    <w:rsid w:val="004A5C7E"/>
    <w:rsid w:val="004A5E13"/>
    <w:rsid w:val="004A61D5"/>
    <w:rsid w:val="004A65A4"/>
    <w:rsid w:val="004A662C"/>
    <w:rsid w:val="004A67F3"/>
    <w:rsid w:val="004A6B3F"/>
    <w:rsid w:val="004A6E52"/>
    <w:rsid w:val="004A6EAC"/>
    <w:rsid w:val="004A7032"/>
    <w:rsid w:val="004A771F"/>
    <w:rsid w:val="004A782E"/>
    <w:rsid w:val="004A79E3"/>
    <w:rsid w:val="004A7F6C"/>
    <w:rsid w:val="004A7FFB"/>
    <w:rsid w:val="004B0054"/>
    <w:rsid w:val="004B012D"/>
    <w:rsid w:val="004B01F3"/>
    <w:rsid w:val="004B02D3"/>
    <w:rsid w:val="004B0365"/>
    <w:rsid w:val="004B06C7"/>
    <w:rsid w:val="004B0BD2"/>
    <w:rsid w:val="004B0C9B"/>
    <w:rsid w:val="004B0DA5"/>
    <w:rsid w:val="004B0ED6"/>
    <w:rsid w:val="004B10DB"/>
    <w:rsid w:val="004B12EC"/>
    <w:rsid w:val="004B13DA"/>
    <w:rsid w:val="004B15EF"/>
    <w:rsid w:val="004B1821"/>
    <w:rsid w:val="004B1A0F"/>
    <w:rsid w:val="004B1DB0"/>
    <w:rsid w:val="004B1E13"/>
    <w:rsid w:val="004B1E60"/>
    <w:rsid w:val="004B208A"/>
    <w:rsid w:val="004B2109"/>
    <w:rsid w:val="004B22C1"/>
    <w:rsid w:val="004B22E5"/>
    <w:rsid w:val="004B26ED"/>
    <w:rsid w:val="004B28CD"/>
    <w:rsid w:val="004B2AB1"/>
    <w:rsid w:val="004B2C3F"/>
    <w:rsid w:val="004B2D10"/>
    <w:rsid w:val="004B2DB4"/>
    <w:rsid w:val="004B2DD5"/>
    <w:rsid w:val="004B2E89"/>
    <w:rsid w:val="004B3096"/>
    <w:rsid w:val="004B30DC"/>
    <w:rsid w:val="004B31F5"/>
    <w:rsid w:val="004B362D"/>
    <w:rsid w:val="004B3DEC"/>
    <w:rsid w:val="004B414C"/>
    <w:rsid w:val="004B43AF"/>
    <w:rsid w:val="004B48AC"/>
    <w:rsid w:val="004B493F"/>
    <w:rsid w:val="004B4A5B"/>
    <w:rsid w:val="004B4C11"/>
    <w:rsid w:val="004B4CA5"/>
    <w:rsid w:val="004B4D20"/>
    <w:rsid w:val="004B4DEA"/>
    <w:rsid w:val="004B4E49"/>
    <w:rsid w:val="004B50B4"/>
    <w:rsid w:val="004B5168"/>
    <w:rsid w:val="004B5328"/>
    <w:rsid w:val="004B5511"/>
    <w:rsid w:val="004B5593"/>
    <w:rsid w:val="004B590E"/>
    <w:rsid w:val="004B5934"/>
    <w:rsid w:val="004B5B29"/>
    <w:rsid w:val="004B5D18"/>
    <w:rsid w:val="004B5ED4"/>
    <w:rsid w:val="004B6146"/>
    <w:rsid w:val="004B634F"/>
    <w:rsid w:val="004B6437"/>
    <w:rsid w:val="004B643B"/>
    <w:rsid w:val="004B659F"/>
    <w:rsid w:val="004B65DB"/>
    <w:rsid w:val="004B666C"/>
    <w:rsid w:val="004B6675"/>
    <w:rsid w:val="004B68B0"/>
    <w:rsid w:val="004B6A9C"/>
    <w:rsid w:val="004B6DA0"/>
    <w:rsid w:val="004B6DC0"/>
    <w:rsid w:val="004B6FB6"/>
    <w:rsid w:val="004B70C9"/>
    <w:rsid w:val="004B76DB"/>
    <w:rsid w:val="004B7824"/>
    <w:rsid w:val="004B7837"/>
    <w:rsid w:val="004B785F"/>
    <w:rsid w:val="004B78B5"/>
    <w:rsid w:val="004B7942"/>
    <w:rsid w:val="004B79CB"/>
    <w:rsid w:val="004B7A47"/>
    <w:rsid w:val="004B7B54"/>
    <w:rsid w:val="004B7BAA"/>
    <w:rsid w:val="004B7D57"/>
    <w:rsid w:val="004B7F81"/>
    <w:rsid w:val="004C016C"/>
    <w:rsid w:val="004C02C8"/>
    <w:rsid w:val="004C0C93"/>
    <w:rsid w:val="004C0D2B"/>
    <w:rsid w:val="004C11AA"/>
    <w:rsid w:val="004C1251"/>
    <w:rsid w:val="004C136A"/>
    <w:rsid w:val="004C1473"/>
    <w:rsid w:val="004C1654"/>
    <w:rsid w:val="004C1F26"/>
    <w:rsid w:val="004C23A2"/>
    <w:rsid w:val="004C2611"/>
    <w:rsid w:val="004C26CA"/>
    <w:rsid w:val="004C26D7"/>
    <w:rsid w:val="004C2869"/>
    <w:rsid w:val="004C2980"/>
    <w:rsid w:val="004C2FD3"/>
    <w:rsid w:val="004C31AC"/>
    <w:rsid w:val="004C36C0"/>
    <w:rsid w:val="004C38D3"/>
    <w:rsid w:val="004C396F"/>
    <w:rsid w:val="004C3C43"/>
    <w:rsid w:val="004C3F7C"/>
    <w:rsid w:val="004C403B"/>
    <w:rsid w:val="004C443C"/>
    <w:rsid w:val="004C4BEC"/>
    <w:rsid w:val="004C4F3E"/>
    <w:rsid w:val="004C5060"/>
    <w:rsid w:val="004C5370"/>
    <w:rsid w:val="004C554C"/>
    <w:rsid w:val="004C5899"/>
    <w:rsid w:val="004C5BCE"/>
    <w:rsid w:val="004C6140"/>
    <w:rsid w:val="004C63A1"/>
    <w:rsid w:val="004C6660"/>
    <w:rsid w:val="004C6C23"/>
    <w:rsid w:val="004C6DBA"/>
    <w:rsid w:val="004C6E83"/>
    <w:rsid w:val="004C70CD"/>
    <w:rsid w:val="004C7105"/>
    <w:rsid w:val="004C720B"/>
    <w:rsid w:val="004C721C"/>
    <w:rsid w:val="004C7283"/>
    <w:rsid w:val="004C7548"/>
    <w:rsid w:val="004C7738"/>
    <w:rsid w:val="004C7E12"/>
    <w:rsid w:val="004C7EB0"/>
    <w:rsid w:val="004D0505"/>
    <w:rsid w:val="004D0A96"/>
    <w:rsid w:val="004D0B8C"/>
    <w:rsid w:val="004D1517"/>
    <w:rsid w:val="004D169D"/>
    <w:rsid w:val="004D1937"/>
    <w:rsid w:val="004D1C82"/>
    <w:rsid w:val="004D1FB2"/>
    <w:rsid w:val="004D2194"/>
    <w:rsid w:val="004D231F"/>
    <w:rsid w:val="004D2351"/>
    <w:rsid w:val="004D2F2C"/>
    <w:rsid w:val="004D2FAF"/>
    <w:rsid w:val="004D32C5"/>
    <w:rsid w:val="004D377F"/>
    <w:rsid w:val="004D37E5"/>
    <w:rsid w:val="004D37ED"/>
    <w:rsid w:val="004D3880"/>
    <w:rsid w:val="004D39DD"/>
    <w:rsid w:val="004D3F04"/>
    <w:rsid w:val="004D3F64"/>
    <w:rsid w:val="004D462B"/>
    <w:rsid w:val="004D4842"/>
    <w:rsid w:val="004D4B16"/>
    <w:rsid w:val="004D4D15"/>
    <w:rsid w:val="004D5381"/>
    <w:rsid w:val="004D5506"/>
    <w:rsid w:val="004D5598"/>
    <w:rsid w:val="004D55BA"/>
    <w:rsid w:val="004D5749"/>
    <w:rsid w:val="004D58FA"/>
    <w:rsid w:val="004D596D"/>
    <w:rsid w:val="004D5A18"/>
    <w:rsid w:val="004D5EC0"/>
    <w:rsid w:val="004D5F42"/>
    <w:rsid w:val="004D5FFE"/>
    <w:rsid w:val="004D6360"/>
    <w:rsid w:val="004D6538"/>
    <w:rsid w:val="004D678A"/>
    <w:rsid w:val="004D6C6E"/>
    <w:rsid w:val="004D6E86"/>
    <w:rsid w:val="004D70F3"/>
    <w:rsid w:val="004D7230"/>
    <w:rsid w:val="004D7333"/>
    <w:rsid w:val="004D73F2"/>
    <w:rsid w:val="004D741D"/>
    <w:rsid w:val="004D7435"/>
    <w:rsid w:val="004D75A4"/>
    <w:rsid w:val="004D764F"/>
    <w:rsid w:val="004D7667"/>
    <w:rsid w:val="004D771F"/>
    <w:rsid w:val="004D774F"/>
    <w:rsid w:val="004D7B18"/>
    <w:rsid w:val="004D7B35"/>
    <w:rsid w:val="004D7C22"/>
    <w:rsid w:val="004D7D0F"/>
    <w:rsid w:val="004D7F25"/>
    <w:rsid w:val="004D7FBC"/>
    <w:rsid w:val="004E05C5"/>
    <w:rsid w:val="004E0B0B"/>
    <w:rsid w:val="004E0C6D"/>
    <w:rsid w:val="004E0F4B"/>
    <w:rsid w:val="004E0FBD"/>
    <w:rsid w:val="004E1262"/>
    <w:rsid w:val="004E12A2"/>
    <w:rsid w:val="004E13FB"/>
    <w:rsid w:val="004E17B1"/>
    <w:rsid w:val="004E1BBD"/>
    <w:rsid w:val="004E1BD8"/>
    <w:rsid w:val="004E1E59"/>
    <w:rsid w:val="004E214E"/>
    <w:rsid w:val="004E21EC"/>
    <w:rsid w:val="004E2853"/>
    <w:rsid w:val="004E347A"/>
    <w:rsid w:val="004E39EE"/>
    <w:rsid w:val="004E3A74"/>
    <w:rsid w:val="004E3B19"/>
    <w:rsid w:val="004E3D96"/>
    <w:rsid w:val="004E401D"/>
    <w:rsid w:val="004E41CE"/>
    <w:rsid w:val="004E44BA"/>
    <w:rsid w:val="004E44E4"/>
    <w:rsid w:val="004E4593"/>
    <w:rsid w:val="004E4715"/>
    <w:rsid w:val="004E4856"/>
    <w:rsid w:val="004E4B13"/>
    <w:rsid w:val="004E4B58"/>
    <w:rsid w:val="004E50AC"/>
    <w:rsid w:val="004E524C"/>
    <w:rsid w:val="004E54BF"/>
    <w:rsid w:val="004E55AC"/>
    <w:rsid w:val="004E56B8"/>
    <w:rsid w:val="004E596E"/>
    <w:rsid w:val="004E5B3E"/>
    <w:rsid w:val="004E5B86"/>
    <w:rsid w:val="004E5C5E"/>
    <w:rsid w:val="004E6215"/>
    <w:rsid w:val="004E6687"/>
    <w:rsid w:val="004E66D6"/>
    <w:rsid w:val="004E6759"/>
    <w:rsid w:val="004E687A"/>
    <w:rsid w:val="004E692F"/>
    <w:rsid w:val="004E69DC"/>
    <w:rsid w:val="004E6A5D"/>
    <w:rsid w:val="004E6AB9"/>
    <w:rsid w:val="004E6D6B"/>
    <w:rsid w:val="004E6F3F"/>
    <w:rsid w:val="004E6F5F"/>
    <w:rsid w:val="004E6FD1"/>
    <w:rsid w:val="004E7113"/>
    <w:rsid w:val="004E78FB"/>
    <w:rsid w:val="004F00EE"/>
    <w:rsid w:val="004F03D9"/>
    <w:rsid w:val="004F050E"/>
    <w:rsid w:val="004F0B48"/>
    <w:rsid w:val="004F0F02"/>
    <w:rsid w:val="004F10E9"/>
    <w:rsid w:val="004F14B0"/>
    <w:rsid w:val="004F17C3"/>
    <w:rsid w:val="004F1A3C"/>
    <w:rsid w:val="004F1DF4"/>
    <w:rsid w:val="004F2167"/>
    <w:rsid w:val="004F21A1"/>
    <w:rsid w:val="004F2701"/>
    <w:rsid w:val="004F2711"/>
    <w:rsid w:val="004F2DCE"/>
    <w:rsid w:val="004F3412"/>
    <w:rsid w:val="004F3748"/>
    <w:rsid w:val="004F3865"/>
    <w:rsid w:val="004F388C"/>
    <w:rsid w:val="004F3949"/>
    <w:rsid w:val="004F39ED"/>
    <w:rsid w:val="004F3BF2"/>
    <w:rsid w:val="004F3C87"/>
    <w:rsid w:val="004F3E37"/>
    <w:rsid w:val="004F3F10"/>
    <w:rsid w:val="004F486A"/>
    <w:rsid w:val="004F487F"/>
    <w:rsid w:val="004F493E"/>
    <w:rsid w:val="004F4A05"/>
    <w:rsid w:val="004F4C7A"/>
    <w:rsid w:val="004F4CB9"/>
    <w:rsid w:val="004F4EAE"/>
    <w:rsid w:val="004F505B"/>
    <w:rsid w:val="004F5321"/>
    <w:rsid w:val="004F557C"/>
    <w:rsid w:val="004F55CB"/>
    <w:rsid w:val="004F5627"/>
    <w:rsid w:val="004F56E1"/>
    <w:rsid w:val="004F5924"/>
    <w:rsid w:val="004F5E26"/>
    <w:rsid w:val="004F5F7E"/>
    <w:rsid w:val="004F6067"/>
    <w:rsid w:val="004F60E2"/>
    <w:rsid w:val="004F62DC"/>
    <w:rsid w:val="004F65B0"/>
    <w:rsid w:val="004F6648"/>
    <w:rsid w:val="004F66AE"/>
    <w:rsid w:val="004F6861"/>
    <w:rsid w:val="004F68FE"/>
    <w:rsid w:val="004F6A32"/>
    <w:rsid w:val="004F6D7A"/>
    <w:rsid w:val="004F74D1"/>
    <w:rsid w:val="004F76A2"/>
    <w:rsid w:val="004F781B"/>
    <w:rsid w:val="004F7B83"/>
    <w:rsid w:val="004F7E9B"/>
    <w:rsid w:val="004F7EFE"/>
    <w:rsid w:val="005000BB"/>
    <w:rsid w:val="005002E4"/>
    <w:rsid w:val="00500324"/>
    <w:rsid w:val="00500439"/>
    <w:rsid w:val="0050048B"/>
    <w:rsid w:val="00500576"/>
    <w:rsid w:val="00500886"/>
    <w:rsid w:val="00500A14"/>
    <w:rsid w:val="00500A37"/>
    <w:rsid w:val="00500A4B"/>
    <w:rsid w:val="00500D85"/>
    <w:rsid w:val="005018D7"/>
    <w:rsid w:val="00501A5E"/>
    <w:rsid w:val="0050207D"/>
    <w:rsid w:val="00502260"/>
    <w:rsid w:val="0050237A"/>
    <w:rsid w:val="00502436"/>
    <w:rsid w:val="005025CD"/>
    <w:rsid w:val="005026FE"/>
    <w:rsid w:val="00502DB0"/>
    <w:rsid w:val="00502EB0"/>
    <w:rsid w:val="00503012"/>
    <w:rsid w:val="005030DB"/>
    <w:rsid w:val="0050326E"/>
    <w:rsid w:val="005032DB"/>
    <w:rsid w:val="005034BA"/>
    <w:rsid w:val="0050356C"/>
    <w:rsid w:val="00503869"/>
    <w:rsid w:val="00503FF9"/>
    <w:rsid w:val="00504679"/>
    <w:rsid w:val="005048F7"/>
    <w:rsid w:val="005049EE"/>
    <w:rsid w:val="00504CEE"/>
    <w:rsid w:val="00504DB0"/>
    <w:rsid w:val="005050F1"/>
    <w:rsid w:val="005050FB"/>
    <w:rsid w:val="0050618D"/>
    <w:rsid w:val="005061A2"/>
    <w:rsid w:val="005065F3"/>
    <w:rsid w:val="00506E44"/>
    <w:rsid w:val="00506FF1"/>
    <w:rsid w:val="00506FFD"/>
    <w:rsid w:val="005075A0"/>
    <w:rsid w:val="00507637"/>
    <w:rsid w:val="005078BC"/>
    <w:rsid w:val="005101F9"/>
    <w:rsid w:val="0051039E"/>
    <w:rsid w:val="005105BC"/>
    <w:rsid w:val="00510886"/>
    <w:rsid w:val="0051088D"/>
    <w:rsid w:val="00510C5B"/>
    <w:rsid w:val="00510CEB"/>
    <w:rsid w:val="00510CF0"/>
    <w:rsid w:val="00510D12"/>
    <w:rsid w:val="00510EC2"/>
    <w:rsid w:val="00510F81"/>
    <w:rsid w:val="0051122F"/>
    <w:rsid w:val="005114D3"/>
    <w:rsid w:val="005117F9"/>
    <w:rsid w:val="00511EF3"/>
    <w:rsid w:val="00511EFA"/>
    <w:rsid w:val="0051206C"/>
    <w:rsid w:val="005122B8"/>
    <w:rsid w:val="005122F3"/>
    <w:rsid w:val="005126AF"/>
    <w:rsid w:val="00512AE3"/>
    <w:rsid w:val="00512E91"/>
    <w:rsid w:val="00513053"/>
    <w:rsid w:val="005131AD"/>
    <w:rsid w:val="00513230"/>
    <w:rsid w:val="00513301"/>
    <w:rsid w:val="00513458"/>
    <w:rsid w:val="0051346F"/>
    <w:rsid w:val="0051386F"/>
    <w:rsid w:val="00513930"/>
    <w:rsid w:val="00513A96"/>
    <w:rsid w:val="00513C81"/>
    <w:rsid w:val="00513D3B"/>
    <w:rsid w:val="00513E5F"/>
    <w:rsid w:val="00513EDC"/>
    <w:rsid w:val="00514008"/>
    <w:rsid w:val="0051409B"/>
    <w:rsid w:val="00514158"/>
    <w:rsid w:val="00514311"/>
    <w:rsid w:val="005145C0"/>
    <w:rsid w:val="00514646"/>
    <w:rsid w:val="00514689"/>
    <w:rsid w:val="00514819"/>
    <w:rsid w:val="0051492D"/>
    <w:rsid w:val="00514E54"/>
    <w:rsid w:val="00514EB3"/>
    <w:rsid w:val="005150FE"/>
    <w:rsid w:val="005152BC"/>
    <w:rsid w:val="005153CD"/>
    <w:rsid w:val="005155DC"/>
    <w:rsid w:val="00515916"/>
    <w:rsid w:val="00515BDF"/>
    <w:rsid w:val="00515C50"/>
    <w:rsid w:val="00516017"/>
    <w:rsid w:val="005161C7"/>
    <w:rsid w:val="0051631A"/>
    <w:rsid w:val="0051645E"/>
    <w:rsid w:val="00516566"/>
    <w:rsid w:val="00516892"/>
    <w:rsid w:val="005169BA"/>
    <w:rsid w:val="00516C34"/>
    <w:rsid w:val="00516DBB"/>
    <w:rsid w:val="00517083"/>
    <w:rsid w:val="00517301"/>
    <w:rsid w:val="005173A3"/>
    <w:rsid w:val="005173FB"/>
    <w:rsid w:val="00517478"/>
    <w:rsid w:val="0051780C"/>
    <w:rsid w:val="005179F5"/>
    <w:rsid w:val="00517B25"/>
    <w:rsid w:val="00517C88"/>
    <w:rsid w:val="005200C3"/>
    <w:rsid w:val="005202D3"/>
    <w:rsid w:val="00520DD2"/>
    <w:rsid w:val="00520E18"/>
    <w:rsid w:val="00520FCF"/>
    <w:rsid w:val="00521330"/>
    <w:rsid w:val="00521540"/>
    <w:rsid w:val="00521606"/>
    <w:rsid w:val="00521956"/>
    <w:rsid w:val="00522060"/>
    <w:rsid w:val="00522421"/>
    <w:rsid w:val="005224B7"/>
    <w:rsid w:val="00522672"/>
    <w:rsid w:val="00522691"/>
    <w:rsid w:val="005226E4"/>
    <w:rsid w:val="00522B6E"/>
    <w:rsid w:val="00522D38"/>
    <w:rsid w:val="00522FDE"/>
    <w:rsid w:val="005231B8"/>
    <w:rsid w:val="00523252"/>
    <w:rsid w:val="005232A0"/>
    <w:rsid w:val="00523950"/>
    <w:rsid w:val="00523A75"/>
    <w:rsid w:val="00523C6E"/>
    <w:rsid w:val="00523CAC"/>
    <w:rsid w:val="00523E68"/>
    <w:rsid w:val="00523F12"/>
    <w:rsid w:val="005240B2"/>
    <w:rsid w:val="00524272"/>
    <w:rsid w:val="00524478"/>
    <w:rsid w:val="005247B7"/>
    <w:rsid w:val="00524830"/>
    <w:rsid w:val="00524915"/>
    <w:rsid w:val="005249AD"/>
    <w:rsid w:val="005249FE"/>
    <w:rsid w:val="00524CE0"/>
    <w:rsid w:val="00524DD0"/>
    <w:rsid w:val="005250AE"/>
    <w:rsid w:val="005250F3"/>
    <w:rsid w:val="00525272"/>
    <w:rsid w:val="00525474"/>
    <w:rsid w:val="0052577F"/>
    <w:rsid w:val="005259F7"/>
    <w:rsid w:val="00526097"/>
    <w:rsid w:val="005261BB"/>
    <w:rsid w:val="00526357"/>
    <w:rsid w:val="0052647F"/>
    <w:rsid w:val="00526601"/>
    <w:rsid w:val="00526888"/>
    <w:rsid w:val="00526922"/>
    <w:rsid w:val="005269AA"/>
    <w:rsid w:val="00526A6E"/>
    <w:rsid w:val="00526EE9"/>
    <w:rsid w:val="00526F82"/>
    <w:rsid w:val="0052735D"/>
    <w:rsid w:val="00527431"/>
    <w:rsid w:val="005277EA"/>
    <w:rsid w:val="00527F3B"/>
    <w:rsid w:val="00527FBD"/>
    <w:rsid w:val="005300CF"/>
    <w:rsid w:val="00530371"/>
    <w:rsid w:val="00530474"/>
    <w:rsid w:val="0053078E"/>
    <w:rsid w:val="005307A1"/>
    <w:rsid w:val="005308F9"/>
    <w:rsid w:val="0053091F"/>
    <w:rsid w:val="00530B60"/>
    <w:rsid w:val="00530CB7"/>
    <w:rsid w:val="00530DA1"/>
    <w:rsid w:val="00531755"/>
    <w:rsid w:val="0053196E"/>
    <w:rsid w:val="00531B7D"/>
    <w:rsid w:val="00531BE2"/>
    <w:rsid w:val="0053209F"/>
    <w:rsid w:val="005320F1"/>
    <w:rsid w:val="005321CB"/>
    <w:rsid w:val="005321D9"/>
    <w:rsid w:val="005326AB"/>
    <w:rsid w:val="005328C0"/>
    <w:rsid w:val="00532C75"/>
    <w:rsid w:val="00532D52"/>
    <w:rsid w:val="00532F43"/>
    <w:rsid w:val="00533272"/>
    <w:rsid w:val="005332A2"/>
    <w:rsid w:val="005335F9"/>
    <w:rsid w:val="00533AB1"/>
    <w:rsid w:val="00533B4B"/>
    <w:rsid w:val="00533F89"/>
    <w:rsid w:val="00533F8E"/>
    <w:rsid w:val="00534223"/>
    <w:rsid w:val="005344F9"/>
    <w:rsid w:val="00534589"/>
    <w:rsid w:val="005346AC"/>
    <w:rsid w:val="005349C0"/>
    <w:rsid w:val="00534CD4"/>
    <w:rsid w:val="00534DAB"/>
    <w:rsid w:val="00534F20"/>
    <w:rsid w:val="00535017"/>
    <w:rsid w:val="0053501D"/>
    <w:rsid w:val="0053521C"/>
    <w:rsid w:val="00535257"/>
    <w:rsid w:val="00535558"/>
    <w:rsid w:val="0053555E"/>
    <w:rsid w:val="00535638"/>
    <w:rsid w:val="0053572C"/>
    <w:rsid w:val="005358AC"/>
    <w:rsid w:val="00535999"/>
    <w:rsid w:val="00536236"/>
    <w:rsid w:val="005367A8"/>
    <w:rsid w:val="00536ABC"/>
    <w:rsid w:val="00536AC5"/>
    <w:rsid w:val="00536B00"/>
    <w:rsid w:val="00536B9C"/>
    <w:rsid w:val="00536CCB"/>
    <w:rsid w:val="00536F54"/>
    <w:rsid w:val="005370E4"/>
    <w:rsid w:val="00537224"/>
    <w:rsid w:val="005374D4"/>
    <w:rsid w:val="00537B64"/>
    <w:rsid w:val="00537B68"/>
    <w:rsid w:val="00537CFC"/>
    <w:rsid w:val="00537D3C"/>
    <w:rsid w:val="00537FE1"/>
    <w:rsid w:val="00540572"/>
    <w:rsid w:val="005406A8"/>
    <w:rsid w:val="005406D5"/>
    <w:rsid w:val="0054078E"/>
    <w:rsid w:val="00540855"/>
    <w:rsid w:val="00540E27"/>
    <w:rsid w:val="005410F1"/>
    <w:rsid w:val="00541276"/>
    <w:rsid w:val="00541288"/>
    <w:rsid w:val="005412C0"/>
    <w:rsid w:val="0054146F"/>
    <w:rsid w:val="00541A7D"/>
    <w:rsid w:val="00541C61"/>
    <w:rsid w:val="0054225E"/>
    <w:rsid w:val="005426CF"/>
    <w:rsid w:val="0054285C"/>
    <w:rsid w:val="00542978"/>
    <w:rsid w:val="005431CF"/>
    <w:rsid w:val="005433FC"/>
    <w:rsid w:val="005437B6"/>
    <w:rsid w:val="00543BA5"/>
    <w:rsid w:val="00544029"/>
    <w:rsid w:val="0054413B"/>
    <w:rsid w:val="005443E0"/>
    <w:rsid w:val="005444BF"/>
    <w:rsid w:val="005447D6"/>
    <w:rsid w:val="0054497E"/>
    <w:rsid w:val="00544D38"/>
    <w:rsid w:val="00544E42"/>
    <w:rsid w:val="00544EB0"/>
    <w:rsid w:val="00544ED5"/>
    <w:rsid w:val="005455A9"/>
    <w:rsid w:val="005457A2"/>
    <w:rsid w:val="005458CA"/>
    <w:rsid w:val="00545914"/>
    <w:rsid w:val="0054600C"/>
    <w:rsid w:val="00546142"/>
    <w:rsid w:val="005461E2"/>
    <w:rsid w:val="00546A05"/>
    <w:rsid w:val="00546AD9"/>
    <w:rsid w:val="00546D2E"/>
    <w:rsid w:val="00546FB3"/>
    <w:rsid w:val="00547041"/>
    <w:rsid w:val="00547139"/>
    <w:rsid w:val="005474DD"/>
    <w:rsid w:val="0054754D"/>
    <w:rsid w:val="0054771B"/>
    <w:rsid w:val="005478B5"/>
    <w:rsid w:val="00547B21"/>
    <w:rsid w:val="00550086"/>
    <w:rsid w:val="00550136"/>
    <w:rsid w:val="00550465"/>
    <w:rsid w:val="00550607"/>
    <w:rsid w:val="0055075C"/>
    <w:rsid w:val="005509EA"/>
    <w:rsid w:val="00550ADD"/>
    <w:rsid w:val="00550C18"/>
    <w:rsid w:val="00550EFF"/>
    <w:rsid w:val="00551153"/>
    <w:rsid w:val="0055158D"/>
    <w:rsid w:val="0055168E"/>
    <w:rsid w:val="00551818"/>
    <w:rsid w:val="00551F02"/>
    <w:rsid w:val="00551F23"/>
    <w:rsid w:val="00552024"/>
    <w:rsid w:val="00552250"/>
    <w:rsid w:val="005523F4"/>
    <w:rsid w:val="0055248F"/>
    <w:rsid w:val="0055263E"/>
    <w:rsid w:val="00552832"/>
    <w:rsid w:val="00552982"/>
    <w:rsid w:val="00552A42"/>
    <w:rsid w:val="00552AF2"/>
    <w:rsid w:val="00552B37"/>
    <w:rsid w:val="00552E89"/>
    <w:rsid w:val="00553314"/>
    <w:rsid w:val="005534FB"/>
    <w:rsid w:val="00553570"/>
    <w:rsid w:val="005537D2"/>
    <w:rsid w:val="005537F0"/>
    <w:rsid w:val="005539B2"/>
    <w:rsid w:val="00553A3A"/>
    <w:rsid w:val="00553F2C"/>
    <w:rsid w:val="0055444B"/>
    <w:rsid w:val="0055448F"/>
    <w:rsid w:val="005547B0"/>
    <w:rsid w:val="00554A9D"/>
    <w:rsid w:val="00554BFC"/>
    <w:rsid w:val="00554E88"/>
    <w:rsid w:val="00554EDD"/>
    <w:rsid w:val="005555C3"/>
    <w:rsid w:val="0055562D"/>
    <w:rsid w:val="005558CC"/>
    <w:rsid w:val="00555D44"/>
    <w:rsid w:val="0055623D"/>
    <w:rsid w:val="00556371"/>
    <w:rsid w:val="00556425"/>
    <w:rsid w:val="00556B82"/>
    <w:rsid w:val="00556C8C"/>
    <w:rsid w:val="00557203"/>
    <w:rsid w:val="0055772D"/>
    <w:rsid w:val="00557A2C"/>
    <w:rsid w:val="00557D9B"/>
    <w:rsid w:val="00557E94"/>
    <w:rsid w:val="00557EF4"/>
    <w:rsid w:val="005602F3"/>
    <w:rsid w:val="0056032E"/>
    <w:rsid w:val="005603EA"/>
    <w:rsid w:val="0056040A"/>
    <w:rsid w:val="00560C05"/>
    <w:rsid w:val="00560C66"/>
    <w:rsid w:val="00561516"/>
    <w:rsid w:val="00561624"/>
    <w:rsid w:val="00561847"/>
    <w:rsid w:val="00561A07"/>
    <w:rsid w:val="00561B71"/>
    <w:rsid w:val="00561CF5"/>
    <w:rsid w:val="00561D94"/>
    <w:rsid w:val="00561F0E"/>
    <w:rsid w:val="005628B6"/>
    <w:rsid w:val="005628F6"/>
    <w:rsid w:val="005632B3"/>
    <w:rsid w:val="0056364F"/>
    <w:rsid w:val="0056437C"/>
    <w:rsid w:val="0056440E"/>
    <w:rsid w:val="00564477"/>
    <w:rsid w:val="0056452F"/>
    <w:rsid w:val="005645E2"/>
    <w:rsid w:val="005647F6"/>
    <w:rsid w:val="00564824"/>
    <w:rsid w:val="00564886"/>
    <w:rsid w:val="005649BB"/>
    <w:rsid w:val="00564C8E"/>
    <w:rsid w:val="00565229"/>
    <w:rsid w:val="00565407"/>
    <w:rsid w:val="005656C9"/>
    <w:rsid w:val="005659AB"/>
    <w:rsid w:val="00565A92"/>
    <w:rsid w:val="00565A9B"/>
    <w:rsid w:val="00565DCB"/>
    <w:rsid w:val="00566705"/>
    <w:rsid w:val="00566BC5"/>
    <w:rsid w:val="00566F75"/>
    <w:rsid w:val="00567082"/>
    <w:rsid w:val="00567AAD"/>
    <w:rsid w:val="00567BBC"/>
    <w:rsid w:val="00567DCA"/>
    <w:rsid w:val="00567E12"/>
    <w:rsid w:val="00570334"/>
    <w:rsid w:val="00570540"/>
    <w:rsid w:val="0057055F"/>
    <w:rsid w:val="00570617"/>
    <w:rsid w:val="005706C4"/>
    <w:rsid w:val="00570DA9"/>
    <w:rsid w:val="00571236"/>
    <w:rsid w:val="005712B1"/>
    <w:rsid w:val="005713DB"/>
    <w:rsid w:val="00571738"/>
    <w:rsid w:val="00571AD9"/>
    <w:rsid w:val="00571B57"/>
    <w:rsid w:val="0057223F"/>
    <w:rsid w:val="00572764"/>
    <w:rsid w:val="00572975"/>
    <w:rsid w:val="00572DE7"/>
    <w:rsid w:val="00572F85"/>
    <w:rsid w:val="005731E7"/>
    <w:rsid w:val="00573297"/>
    <w:rsid w:val="005732AA"/>
    <w:rsid w:val="005732D8"/>
    <w:rsid w:val="00573416"/>
    <w:rsid w:val="00573651"/>
    <w:rsid w:val="00573680"/>
    <w:rsid w:val="00573685"/>
    <w:rsid w:val="005736EA"/>
    <w:rsid w:val="005736EE"/>
    <w:rsid w:val="00573738"/>
    <w:rsid w:val="00573974"/>
    <w:rsid w:val="005739AC"/>
    <w:rsid w:val="00573AB8"/>
    <w:rsid w:val="00573CA7"/>
    <w:rsid w:val="00573D59"/>
    <w:rsid w:val="00573E22"/>
    <w:rsid w:val="00574144"/>
    <w:rsid w:val="00574156"/>
    <w:rsid w:val="005742AF"/>
    <w:rsid w:val="005742C6"/>
    <w:rsid w:val="00574385"/>
    <w:rsid w:val="0057444B"/>
    <w:rsid w:val="0057451A"/>
    <w:rsid w:val="00574BD9"/>
    <w:rsid w:val="00574EF1"/>
    <w:rsid w:val="00574F53"/>
    <w:rsid w:val="005751B1"/>
    <w:rsid w:val="0057557A"/>
    <w:rsid w:val="00575ADF"/>
    <w:rsid w:val="00575C1A"/>
    <w:rsid w:val="00575C30"/>
    <w:rsid w:val="00575CB1"/>
    <w:rsid w:val="00575F60"/>
    <w:rsid w:val="00576185"/>
    <w:rsid w:val="005769D4"/>
    <w:rsid w:val="00577386"/>
    <w:rsid w:val="00577666"/>
    <w:rsid w:val="00577707"/>
    <w:rsid w:val="00577B8A"/>
    <w:rsid w:val="00577C07"/>
    <w:rsid w:val="00577D07"/>
    <w:rsid w:val="00577F7C"/>
    <w:rsid w:val="005803A5"/>
    <w:rsid w:val="005804CA"/>
    <w:rsid w:val="00580E1C"/>
    <w:rsid w:val="00581027"/>
    <w:rsid w:val="00581464"/>
    <w:rsid w:val="005817AD"/>
    <w:rsid w:val="005817B5"/>
    <w:rsid w:val="00581B8A"/>
    <w:rsid w:val="00581C41"/>
    <w:rsid w:val="0058209F"/>
    <w:rsid w:val="005826B0"/>
    <w:rsid w:val="00582744"/>
    <w:rsid w:val="005827C6"/>
    <w:rsid w:val="005829AE"/>
    <w:rsid w:val="00582CB9"/>
    <w:rsid w:val="005830B7"/>
    <w:rsid w:val="0058313E"/>
    <w:rsid w:val="0058355A"/>
    <w:rsid w:val="005835F1"/>
    <w:rsid w:val="00583871"/>
    <w:rsid w:val="00583A6F"/>
    <w:rsid w:val="00583C4B"/>
    <w:rsid w:val="00583FB0"/>
    <w:rsid w:val="0058422C"/>
    <w:rsid w:val="00584498"/>
    <w:rsid w:val="005845BF"/>
    <w:rsid w:val="005845D9"/>
    <w:rsid w:val="00584A7B"/>
    <w:rsid w:val="00584ABD"/>
    <w:rsid w:val="00584AD5"/>
    <w:rsid w:val="00584AFD"/>
    <w:rsid w:val="00584C06"/>
    <w:rsid w:val="00584D20"/>
    <w:rsid w:val="00585337"/>
    <w:rsid w:val="0058552B"/>
    <w:rsid w:val="00585722"/>
    <w:rsid w:val="00585727"/>
    <w:rsid w:val="00585C94"/>
    <w:rsid w:val="00585CC3"/>
    <w:rsid w:val="00585D42"/>
    <w:rsid w:val="005861F3"/>
    <w:rsid w:val="00586578"/>
    <w:rsid w:val="00586600"/>
    <w:rsid w:val="00586A52"/>
    <w:rsid w:val="00587172"/>
    <w:rsid w:val="005871E9"/>
    <w:rsid w:val="00587314"/>
    <w:rsid w:val="0058753E"/>
    <w:rsid w:val="00587603"/>
    <w:rsid w:val="00587C62"/>
    <w:rsid w:val="00587FF6"/>
    <w:rsid w:val="00590343"/>
    <w:rsid w:val="005903F4"/>
    <w:rsid w:val="005905BE"/>
    <w:rsid w:val="00590A9E"/>
    <w:rsid w:val="00590B25"/>
    <w:rsid w:val="00590BA5"/>
    <w:rsid w:val="00590CC0"/>
    <w:rsid w:val="00590E1B"/>
    <w:rsid w:val="00590FEE"/>
    <w:rsid w:val="0059103E"/>
    <w:rsid w:val="005910E0"/>
    <w:rsid w:val="00591392"/>
    <w:rsid w:val="005915B0"/>
    <w:rsid w:val="005917C7"/>
    <w:rsid w:val="00591A23"/>
    <w:rsid w:val="00591D52"/>
    <w:rsid w:val="00591F22"/>
    <w:rsid w:val="005922B4"/>
    <w:rsid w:val="0059246F"/>
    <w:rsid w:val="00592849"/>
    <w:rsid w:val="0059378A"/>
    <w:rsid w:val="0059399D"/>
    <w:rsid w:val="00594026"/>
    <w:rsid w:val="00594518"/>
    <w:rsid w:val="00594716"/>
    <w:rsid w:val="0059494C"/>
    <w:rsid w:val="005949A2"/>
    <w:rsid w:val="00594D4F"/>
    <w:rsid w:val="00595036"/>
    <w:rsid w:val="005958CA"/>
    <w:rsid w:val="00595CD0"/>
    <w:rsid w:val="00596115"/>
    <w:rsid w:val="005962CC"/>
    <w:rsid w:val="005964B1"/>
    <w:rsid w:val="00596589"/>
    <w:rsid w:val="005965EE"/>
    <w:rsid w:val="005966F2"/>
    <w:rsid w:val="00596826"/>
    <w:rsid w:val="005969C5"/>
    <w:rsid w:val="00596A70"/>
    <w:rsid w:val="00596A92"/>
    <w:rsid w:val="00596C45"/>
    <w:rsid w:val="00596EEE"/>
    <w:rsid w:val="005973CD"/>
    <w:rsid w:val="0059745A"/>
    <w:rsid w:val="00597A59"/>
    <w:rsid w:val="00597E50"/>
    <w:rsid w:val="00597F93"/>
    <w:rsid w:val="005A007B"/>
    <w:rsid w:val="005A05C5"/>
    <w:rsid w:val="005A05E5"/>
    <w:rsid w:val="005A0A66"/>
    <w:rsid w:val="005A0DCE"/>
    <w:rsid w:val="005A100D"/>
    <w:rsid w:val="005A10C4"/>
    <w:rsid w:val="005A10E6"/>
    <w:rsid w:val="005A169D"/>
    <w:rsid w:val="005A1735"/>
    <w:rsid w:val="005A1790"/>
    <w:rsid w:val="005A1D00"/>
    <w:rsid w:val="005A1DAB"/>
    <w:rsid w:val="005A1E33"/>
    <w:rsid w:val="005A205D"/>
    <w:rsid w:val="005A2272"/>
    <w:rsid w:val="005A2544"/>
    <w:rsid w:val="005A288D"/>
    <w:rsid w:val="005A2917"/>
    <w:rsid w:val="005A2A46"/>
    <w:rsid w:val="005A2B15"/>
    <w:rsid w:val="005A2FEE"/>
    <w:rsid w:val="005A31AD"/>
    <w:rsid w:val="005A3511"/>
    <w:rsid w:val="005A3694"/>
    <w:rsid w:val="005A40A4"/>
    <w:rsid w:val="005A40C0"/>
    <w:rsid w:val="005A44CA"/>
    <w:rsid w:val="005A46D4"/>
    <w:rsid w:val="005A4758"/>
    <w:rsid w:val="005A48C8"/>
    <w:rsid w:val="005A4A1C"/>
    <w:rsid w:val="005A4BBC"/>
    <w:rsid w:val="005A4ED4"/>
    <w:rsid w:val="005A4FE6"/>
    <w:rsid w:val="005A521A"/>
    <w:rsid w:val="005A549E"/>
    <w:rsid w:val="005A5C3F"/>
    <w:rsid w:val="005A5CE8"/>
    <w:rsid w:val="005A6071"/>
    <w:rsid w:val="005A6412"/>
    <w:rsid w:val="005A660F"/>
    <w:rsid w:val="005A67DF"/>
    <w:rsid w:val="005A69F6"/>
    <w:rsid w:val="005A6D48"/>
    <w:rsid w:val="005A7094"/>
    <w:rsid w:val="005A7753"/>
    <w:rsid w:val="005A7B4A"/>
    <w:rsid w:val="005A7B69"/>
    <w:rsid w:val="005A7C57"/>
    <w:rsid w:val="005A7EF9"/>
    <w:rsid w:val="005B03BD"/>
    <w:rsid w:val="005B042F"/>
    <w:rsid w:val="005B064B"/>
    <w:rsid w:val="005B0AF6"/>
    <w:rsid w:val="005B0F5E"/>
    <w:rsid w:val="005B1916"/>
    <w:rsid w:val="005B1D33"/>
    <w:rsid w:val="005B1EBF"/>
    <w:rsid w:val="005B1F84"/>
    <w:rsid w:val="005B1F9D"/>
    <w:rsid w:val="005B2512"/>
    <w:rsid w:val="005B2C36"/>
    <w:rsid w:val="005B2F3D"/>
    <w:rsid w:val="005B345E"/>
    <w:rsid w:val="005B3498"/>
    <w:rsid w:val="005B3B23"/>
    <w:rsid w:val="005B3CC2"/>
    <w:rsid w:val="005B3D6A"/>
    <w:rsid w:val="005B40E8"/>
    <w:rsid w:val="005B4324"/>
    <w:rsid w:val="005B4332"/>
    <w:rsid w:val="005B47DB"/>
    <w:rsid w:val="005B4BB9"/>
    <w:rsid w:val="005B4D63"/>
    <w:rsid w:val="005B4EEA"/>
    <w:rsid w:val="005B4F6A"/>
    <w:rsid w:val="005B5370"/>
    <w:rsid w:val="005B5526"/>
    <w:rsid w:val="005B571D"/>
    <w:rsid w:val="005B5910"/>
    <w:rsid w:val="005B5941"/>
    <w:rsid w:val="005B5A5C"/>
    <w:rsid w:val="005B5EE1"/>
    <w:rsid w:val="005B603C"/>
    <w:rsid w:val="005B6055"/>
    <w:rsid w:val="005B6294"/>
    <w:rsid w:val="005B6566"/>
    <w:rsid w:val="005B66F5"/>
    <w:rsid w:val="005B66FA"/>
    <w:rsid w:val="005B696F"/>
    <w:rsid w:val="005B6CC9"/>
    <w:rsid w:val="005B6E5E"/>
    <w:rsid w:val="005B7083"/>
    <w:rsid w:val="005B710A"/>
    <w:rsid w:val="005B7304"/>
    <w:rsid w:val="005B7810"/>
    <w:rsid w:val="005B7C11"/>
    <w:rsid w:val="005B7D45"/>
    <w:rsid w:val="005C00BA"/>
    <w:rsid w:val="005C011A"/>
    <w:rsid w:val="005C07C6"/>
    <w:rsid w:val="005C0D7C"/>
    <w:rsid w:val="005C1032"/>
    <w:rsid w:val="005C1089"/>
    <w:rsid w:val="005C115C"/>
    <w:rsid w:val="005C16E5"/>
    <w:rsid w:val="005C1878"/>
    <w:rsid w:val="005C1A19"/>
    <w:rsid w:val="005C1AAE"/>
    <w:rsid w:val="005C1B0A"/>
    <w:rsid w:val="005C1E92"/>
    <w:rsid w:val="005C22FF"/>
    <w:rsid w:val="005C2AD4"/>
    <w:rsid w:val="005C3245"/>
    <w:rsid w:val="005C365F"/>
    <w:rsid w:val="005C39BF"/>
    <w:rsid w:val="005C39F1"/>
    <w:rsid w:val="005C3EAB"/>
    <w:rsid w:val="005C4273"/>
    <w:rsid w:val="005C4306"/>
    <w:rsid w:val="005C4844"/>
    <w:rsid w:val="005C4AF5"/>
    <w:rsid w:val="005C4F43"/>
    <w:rsid w:val="005C5019"/>
    <w:rsid w:val="005C528D"/>
    <w:rsid w:val="005C5476"/>
    <w:rsid w:val="005C5497"/>
    <w:rsid w:val="005C555B"/>
    <w:rsid w:val="005C598B"/>
    <w:rsid w:val="005C5A12"/>
    <w:rsid w:val="005C5AA4"/>
    <w:rsid w:val="005C5DC1"/>
    <w:rsid w:val="005C5FE3"/>
    <w:rsid w:val="005C6036"/>
    <w:rsid w:val="005C629A"/>
    <w:rsid w:val="005C6427"/>
    <w:rsid w:val="005C6539"/>
    <w:rsid w:val="005C6739"/>
    <w:rsid w:val="005C6D06"/>
    <w:rsid w:val="005C6DC8"/>
    <w:rsid w:val="005C6FEF"/>
    <w:rsid w:val="005C75AE"/>
    <w:rsid w:val="005C7863"/>
    <w:rsid w:val="005C78BA"/>
    <w:rsid w:val="005C790C"/>
    <w:rsid w:val="005C7C35"/>
    <w:rsid w:val="005C7FD6"/>
    <w:rsid w:val="005D03DD"/>
    <w:rsid w:val="005D0867"/>
    <w:rsid w:val="005D08B4"/>
    <w:rsid w:val="005D0D3A"/>
    <w:rsid w:val="005D0DBA"/>
    <w:rsid w:val="005D106B"/>
    <w:rsid w:val="005D139D"/>
    <w:rsid w:val="005D13B7"/>
    <w:rsid w:val="005D18DD"/>
    <w:rsid w:val="005D1BD1"/>
    <w:rsid w:val="005D1BD9"/>
    <w:rsid w:val="005D1C54"/>
    <w:rsid w:val="005D1E4A"/>
    <w:rsid w:val="005D2004"/>
    <w:rsid w:val="005D205B"/>
    <w:rsid w:val="005D23D5"/>
    <w:rsid w:val="005D24DD"/>
    <w:rsid w:val="005D2588"/>
    <w:rsid w:val="005D261B"/>
    <w:rsid w:val="005D2650"/>
    <w:rsid w:val="005D269A"/>
    <w:rsid w:val="005D2769"/>
    <w:rsid w:val="005D2776"/>
    <w:rsid w:val="005D2B3C"/>
    <w:rsid w:val="005D2C22"/>
    <w:rsid w:val="005D2E22"/>
    <w:rsid w:val="005D2EE2"/>
    <w:rsid w:val="005D303D"/>
    <w:rsid w:val="005D3042"/>
    <w:rsid w:val="005D30C2"/>
    <w:rsid w:val="005D31FA"/>
    <w:rsid w:val="005D3428"/>
    <w:rsid w:val="005D38B7"/>
    <w:rsid w:val="005D3902"/>
    <w:rsid w:val="005D3933"/>
    <w:rsid w:val="005D4076"/>
    <w:rsid w:val="005D40D4"/>
    <w:rsid w:val="005D41DE"/>
    <w:rsid w:val="005D43FB"/>
    <w:rsid w:val="005D4665"/>
    <w:rsid w:val="005D4737"/>
    <w:rsid w:val="005D495E"/>
    <w:rsid w:val="005D496E"/>
    <w:rsid w:val="005D4AE7"/>
    <w:rsid w:val="005D4B0B"/>
    <w:rsid w:val="005D5403"/>
    <w:rsid w:val="005D5827"/>
    <w:rsid w:val="005D5A54"/>
    <w:rsid w:val="005D5B22"/>
    <w:rsid w:val="005D5B54"/>
    <w:rsid w:val="005D5E6A"/>
    <w:rsid w:val="005D6017"/>
    <w:rsid w:val="005D61D1"/>
    <w:rsid w:val="005D62BD"/>
    <w:rsid w:val="005D6323"/>
    <w:rsid w:val="005D65C1"/>
    <w:rsid w:val="005D6F94"/>
    <w:rsid w:val="005D6FCF"/>
    <w:rsid w:val="005D716F"/>
    <w:rsid w:val="005D72D7"/>
    <w:rsid w:val="005D75A6"/>
    <w:rsid w:val="005D75F2"/>
    <w:rsid w:val="005D763E"/>
    <w:rsid w:val="005E0092"/>
    <w:rsid w:val="005E00F6"/>
    <w:rsid w:val="005E02D4"/>
    <w:rsid w:val="005E03CE"/>
    <w:rsid w:val="005E046F"/>
    <w:rsid w:val="005E0561"/>
    <w:rsid w:val="005E0728"/>
    <w:rsid w:val="005E0743"/>
    <w:rsid w:val="005E0A34"/>
    <w:rsid w:val="005E0B7E"/>
    <w:rsid w:val="005E0B81"/>
    <w:rsid w:val="005E0C23"/>
    <w:rsid w:val="005E10CC"/>
    <w:rsid w:val="005E10FB"/>
    <w:rsid w:val="005E115F"/>
    <w:rsid w:val="005E127D"/>
    <w:rsid w:val="005E18A4"/>
    <w:rsid w:val="005E1933"/>
    <w:rsid w:val="005E1B6C"/>
    <w:rsid w:val="005E21AD"/>
    <w:rsid w:val="005E224A"/>
    <w:rsid w:val="005E22F0"/>
    <w:rsid w:val="005E230D"/>
    <w:rsid w:val="005E30DF"/>
    <w:rsid w:val="005E3868"/>
    <w:rsid w:val="005E38C9"/>
    <w:rsid w:val="005E3D67"/>
    <w:rsid w:val="005E4018"/>
    <w:rsid w:val="005E433B"/>
    <w:rsid w:val="005E46A4"/>
    <w:rsid w:val="005E472D"/>
    <w:rsid w:val="005E4B8A"/>
    <w:rsid w:val="005E4C10"/>
    <w:rsid w:val="005E4F03"/>
    <w:rsid w:val="005E5084"/>
    <w:rsid w:val="005E54AA"/>
    <w:rsid w:val="005E57C0"/>
    <w:rsid w:val="005E58EF"/>
    <w:rsid w:val="005E5B45"/>
    <w:rsid w:val="005E6156"/>
    <w:rsid w:val="005E6327"/>
    <w:rsid w:val="005E66AF"/>
    <w:rsid w:val="005E6A79"/>
    <w:rsid w:val="005E6BE3"/>
    <w:rsid w:val="005E6C6F"/>
    <w:rsid w:val="005E7133"/>
    <w:rsid w:val="005E7299"/>
    <w:rsid w:val="005E72EE"/>
    <w:rsid w:val="005E73C5"/>
    <w:rsid w:val="005E766D"/>
    <w:rsid w:val="005E7852"/>
    <w:rsid w:val="005E7C5D"/>
    <w:rsid w:val="005E7E8F"/>
    <w:rsid w:val="005E7FED"/>
    <w:rsid w:val="005F03BA"/>
    <w:rsid w:val="005F059E"/>
    <w:rsid w:val="005F0605"/>
    <w:rsid w:val="005F069B"/>
    <w:rsid w:val="005F069C"/>
    <w:rsid w:val="005F076C"/>
    <w:rsid w:val="005F0ABB"/>
    <w:rsid w:val="005F0AEE"/>
    <w:rsid w:val="005F0F25"/>
    <w:rsid w:val="005F11D0"/>
    <w:rsid w:val="005F1253"/>
    <w:rsid w:val="005F127A"/>
    <w:rsid w:val="005F16E1"/>
    <w:rsid w:val="005F179C"/>
    <w:rsid w:val="005F18A4"/>
    <w:rsid w:val="005F1BB1"/>
    <w:rsid w:val="005F1BD3"/>
    <w:rsid w:val="005F1DBC"/>
    <w:rsid w:val="005F1ECB"/>
    <w:rsid w:val="005F1F00"/>
    <w:rsid w:val="005F1FA0"/>
    <w:rsid w:val="005F1FC0"/>
    <w:rsid w:val="005F2219"/>
    <w:rsid w:val="005F22AB"/>
    <w:rsid w:val="005F243E"/>
    <w:rsid w:val="005F2461"/>
    <w:rsid w:val="005F252A"/>
    <w:rsid w:val="005F2626"/>
    <w:rsid w:val="005F2774"/>
    <w:rsid w:val="005F28B2"/>
    <w:rsid w:val="005F28BA"/>
    <w:rsid w:val="005F29BC"/>
    <w:rsid w:val="005F2A2E"/>
    <w:rsid w:val="005F2BB7"/>
    <w:rsid w:val="005F2FD8"/>
    <w:rsid w:val="005F31AD"/>
    <w:rsid w:val="005F3570"/>
    <w:rsid w:val="005F364C"/>
    <w:rsid w:val="005F37E4"/>
    <w:rsid w:val="005F3C3E"/>
    <w:rsid w:val="005F3D49"/>
    <w:rsid w:val="005F3ED3"/>
    <w:rsid w:val="005F3FB2"/>
    <w:rsid w:val="005F4AB2"/>
    <w:rsid w:val="005F4E1A"/>
    <w:rsid w:val="005F4E58"/>
    <w:rsid w:val="005F4EFF"/>
    <w:rsid w:val="005F4F92"/>
    <w:rsid w:val="005F52D5"/>
    <w:rsid w:val="005F55FA"/>
    <w:rsid w:val="005F5714"/>
    <w:rsid w:val="005F5D2A"/>
    <w:rsid w:val="005F5FA9"/>
    <w:rsid w:val="005F61AD"/>
    <w:rsid w:val="005F628C"/>
    <w:rsid w:val="005F6464"/>
    <w:rsid w:val="005F65B2"/>
    <w:rsid w:val="005F68A3"/>
    <w:rsid w:val="005F6F44"/>
    <w:rsid w:val="005F6FF1"/>
    <w:rsid w:val="005F71FE"/>
    <w:rsid w:val="005F7294"/>
    <w:rsid w:val="005F72C6"/>
    <w:rsid w:val="005F74C4"/>
    <w:rsid w:val="005F75A9"/>
    <w:rsid w:val="005F782E"/>
    <w:rsid w:val="005F7C4F"/>
    <w:rsid w:val="00600072"/>
    <w:rsid w:val="0060025C"/>
    <w:rsid w:val="00600795"/>
    <w:rsid w:val="0060084E"/>
    <w:rsid w:val="0060089E"/>
    <w:rsid w:val="00600943"/>
    <w:rsid w:val="00600C94"/>
    <w:rsid w:val="00600E51"/>
    <w:rsid w:val="00600F48"/>
    <w:rsid w:val="006010F2"/>
    <w:rsid w:val="0060123E"/>
    <w:rsid w:val="00601BAA"/>
    <w:rsid w:val="00601BDD"/>
    <w:rsid w:val="00601EC8"/>
    <w:rsid w:val="0060208C"/>
    <w:rsid w:val="00602208"/>
    <w:rsid w:val="00602371"/>
    <w:rsid w:val="006023AF"/>
    <w:rsid w:val="00602558"/>
    <w:rsid w:val="006026FC"/>
    <w:rsid w:val="006031B0"/>
    <w:rsid w:val="0060346C"/>
    <w:rsid w:val="00603477"/>
    <w:rsid w:val="00603607"/>
    <w:rsid w:val="00603733"/>
    <w:rsid w:val="00603A1A"/>
    <w:rsid w:val="00603C99"/>
    <w:rsid w:val="00603EA7"/>
    <w:rsid w:val="00604064"/>
    <w:rsid w:val="006042EE"/>
    <w:rsid w:val="0060443A"/>
    <w:rsid w:val="006047BE"/>
    <w:rsid w:val="0060487C"/>
    <w:rsid w:val="00604915"/>
    <w:rsid w:val="00604D74"/>
    <w:rsid w:val="00604E07"/>
    <w:rsid w:val="0060516C"/>
    <w:rsid w:val="00605176"/>
    <w:rsid w:val="0060533D"/>
    <w:rsid w:val="00605566"/>
    <w:rsid w:val="00605788"/>
    <w:rsid w:val="0060589F"/>
    <w:rsid w:val="00605E93"/>
    <w:rsid w:val="006060DB"/>
    <w:rsid w:val="0060627E"/>
    <w:rsid w:val="00606319"/>
    <w:rsid w:val="00606613"/>
    <w:rsid w:val="006067DB"/>
    <w:rsid w:val="00606813"/>
    <w:rsid w:val="00606872"/>
    <w:rsid w:val="00606BF4"/>
    <w:rsid w:val="00606CBD"/>
    <w:rsid w:val="00606E09"/>
    <w:rsid w:val="00606E86"/>
    <w:rsid w:val="006071BC"/>
    <w:rsid w:val="006072A0"/>
    <w:rsid w:val="0060748C"/>
    <w:rsid w:val="00607806"/>
    <w:rsid w:val="00607875"/>
    <w:rsid w:val="006078E6"/>
    <w:rsid w:val="006078E7"/>
    <w:rsid w:val="00607902"/>
    <w:rsid w:val="00607989"/>
    <w:rsid w:val="00607A71"/>
    <w:rsid w:val="00607BE9"/>
    <w:rsid w:val="00607E6E"/>
    <w:rsid w:val="00607F5C"/>
    <w:rsid w:val="006100FD"/>
    <w:rsid w:val="006105BB"/>
    <w:rsid w:val="006107B4"/>
    <w:rsid w:val="00610E4F"/>
    <w:rsid w:val="00610F12"/>
    <w:rsid w:val="00610F4F"/>
    <w:rsid w:val="006110CE"/>
    <w:rsid w:val="0061169C"/>
    <w:rsid w:val="006117DD"/>
    <w:rsid w:val="00611E55"/>
    <w:rsid w:val="00612209"/>
    <w:rsid w:val="0061270D"/>
    <w:rsid w:val="00612781"/>
    <w:rsid w:val="00612ED6"/>
    <w:rsid w:val="00613019"/>
    <w:rsid w:val="00613059"/>
    <w:rsid w:val="00613371"/>
    <w:rsid w:val="00613825"/>
    <w:rsid w:val="006139B1"/>
    <w:rsid w:val="00613BA5"/>
    <w:rsid w:val="00613CBB"/>
    <w:rsid w:val="00613EB2"/>
    <w:rsid w:val="006142BF"/>
    <w:rsid w:val="006142F8"/>
    <w:rsid w:val="006143E5"/>
    <w:rsid w:val="006145EB"/>
    <w:rsid w:val="00614602"/>
    <w:rsid w:val="006146FB"/>
    <w:rsid w:val="0061480F"/>
    <w:rsid w:val="00614C22"/>
    <w:rsid w:val="00614C73"/>
    <w:rsid w:val="00614CB2"/>
    <w:rsid w:val="006153ED"/>
    <w:rsid w:val="00615935"/>
    <w:rsid w:val="006159CC"/>
    <w:rsid w:val="00615C71"/>
    <w:rsid w:val="00615D5F"/>
    <w:rsid w:val="00615F75"/>
    <w:rsid w:val="0061604E"/>
    <w:rsid w:val="006162E3"/>
    <w:rsid w:val="0061662D"/>
    <w:rsid w:val="0061668C"/>
    <w:rsid w:val="0061696C"/>
    <w:rsid w:val="00616C16"/>
    <w:rsid w:val="00616D85"/>
    <w:rsid w:val="00617205"/>
    <w:rsid w:val="00617446"/>
    <w:rsid w:val="0061755B"/>
    <w:rsid w:val="006176D9"/>
    <w:rsid w:val="00617836"/>
    <w:rsid w:val="006178FB"/>
    <w:rsid w:val="006179CA"/>
    <w:rsid w:val="00617AE1"/>
    <w:rsid w:val="00617B45"/>
    <w:rsid w:val="00617D8F"/>
    <w:rsid w:val="00617EC3"/>
    <w:rsid w:val="006202DB"/>
    <w:rsid w:val="00620448"/>
    <w:rsid w:val="006204B3"/>
    <w:rsid w:val="00620883"/>
    <w:rsid w:val="006208CD"/>
    <w:rsid w:val="00620C40"/>
    <w:rsid w:val="00620C59"/>
    <w:rsid w:val="00621190"/>
    <w:rsid w:val="00621C3E"/>
    <w:rsid w:val="00621C7B"/>
    <w:rsid w:val="00621C87"/>
    <w:rsid w:val="00621EDD"/>
    <w:rsid w:val="00621F56"/>
    <w:rsid w:val="00621FC8"/>
    <w:rsid w:val="00622163"/>
    <w:rsid w:val="0062217D"/>
    <w:rsid w:val="006224A8"/>
    <w:rsid w:val="00622514"/>
    <w:rsid w:val="00622517"/>
    <w:rsid w:val="006225FE"/>
    <w:rsid w:val="00622792"/>
    <w:rsid w:val="00622AF2"/>
    <w:rsid w:val="00622B7C"/>
    <w:rsid w:val="006231CC"/>
    <w:rsid w:val="0062325C"/>
    <w:rsid w:val="006233EF"/>
    <w:rsid w:val="00623665"/>
    <w:rsid w:val="006236D2"/>
    <w:rsid w:val="0062375F"/>
    <w:rsid w:val="00623975"/>
    <w:rsid w:val="006239E6"/>
    <w:rsid w:val="00623B03"/>
    <w:rsid w:val="00623D10"/>
    <w:rsid w:val="00623F81"/>
    <w:rsid w:val="0062457D"/>
    <w:rsid w:val="00624B21"/>
    <w:rsid w:val="00624C61"/>
    <w:rsid w:val="00624C6F"/>
    <w:rsid w:val="00624D00"/>
    <w:rsid w:val="00624DD9"/>
    <w:rsid w:val="00624E62"/>
    <w:rsid w:val="00624FA0"/>
    <w:rsid w:val="006250B1"/>
    <w:rsid w:val="006254E4"/>
    <w:rsid w:val="00625746"/>
    <w:rsid w:val="00625817"/>
    <w:rsid w:val="00625845"/>
    <w:rsid w:val="006258AE"/>
    <w:rsid w:val="006259FB"/>
    <w:rsid w:val="00625CCB"/>
    <w:rsid w:val="00625CDF"/>
    <w:rsid w:val="00625D4A"/>
    <w:rsid w:val="00625E0B"/>
    <w:rsid w:val="0062618A"/>
    <w:rsid w:val="006261C2"/>
    <w:rsid w:val="006261D9"/>
    <w:rsid w:val="00626288"/>
    <w:rsid w:val="006262DA"/>
    <w:rsid w:val="0062641D"/>
    <w:rsid w:val="006265C1"/>
    <w:rsid w:val="00626B96"/>
    <w:rsid w:val="00626BA0"/>
    <w:rsid w:val="00626D6B"/>
    <w:rsid w:val="00626F0F"/>
    <w:rsid w:val="00627158"/>
    <w:rsid w:val="00627169"/>
    <w:rsid w:val="00627415"/>
    <w:rsid w:val="006276B2"/>
    <w:rsid w:val="00627792"/>
    <w:rsid w:val="006279D1"/>
    <w:rsid w:val="00627A87"/>
    <w:rsid w:val="00627AF2"/>
    <w:rsid w:val="00627E8F"/>
    <w:rsid w:val="006300CE"/>
    <w:rsid w:val="006303A1"/>
    <w:rsid w:val="00630738"/>
    <w:rsid w:val="00630C2B"/>
    <w:rsid w:val="00630D73"/>
    <w:rsid w:val="00630DCD"/>
    <w:rsid w:val="006314C8"/>
    <w:rsid w:val="00631909"/>
    <w:rsid w:val="00631AB6"/>
    <w:rsid w:val="00631C4A"/>
    <w:rsid w:val="00631C8F"/>
    <w:rsid w:val="006323F8"/>
    <w:rsid w:val="006324DF"/>
    <w:rsid w:val="0063264D"/>
    <w:rsid w:val="006326ED"/>
    <w:rsid w:val="00632C71"/>
    <w:rsid w:val="00632CD2"/>
    <w:rsid w:val="00633006"/>
    <w:rsid w:val="006335A9"/>
    <w:rsid w:val="006336C7"/>
    <w:rsid w:val="006337E6"/>
    <w:rsid w:val="0063383E"/>
    <w:rsid w:val="00633A06"/>
    <w:rsid w:val="00633B36"/>
    <w:rsid w:val="00633EB8"/>
    <w:rsid w:val="00634145"/>
    <w:rsid w:val="00634269"/>
    <w:rsid w:val="00634507"/>
    <w:rsid w:val="0063452F"/>
    <w:rsid w:val="00634549"/>
    <w:rsid w:val="006346AE"/>
    <w:rsid w:val="006347A9"/>
    <w:rsid w:val="00635011"/>
    <w:rsid w:val="00635016"/>
    <w:rsid w:val="006351A0"/>
    <w:rsid w:val="0063529F"/>
    <w:rsid w:val="006352AA"/>
    <w:rsid w:val="006353EF"/>
    <w:rsid w:val="006355E5"/>
    <w:rsid w:val="006357D7"/>
    <w:rsid w:val="00635C95"/>
    <w:rsid w:val="00636260"/>
    <w:rsid w:val="00636393"/>
    <w:rsid w:val="006363E3"/>
    <w:rsid w:val="006364AD"/>
    <w:rsid w:val="0063653F"/>
    <w:rsid w:val="006366F2"/>
    <w:rsid w:val="0063678E"/>
    <w:rsid w:val="006367E8"/>
    <w:rsid w:val="0063688C"/>
    <w:rsid w:val="00636935"/>
    <w:rsid w:val="00636A53"/>
    <w:rsid w:val="00636AE3"/>
    <w:rsid w:val="00636E10"/>
    <w:rsid w:val="00636EAF"/>
    <w:rsid w:val="00637259"/>
    <w:rsid w:val="006372C1"/>
    <w:rsid w:val="00637693"/>
    <w:rsid w:val="00637EEC"/>
    <w:rsid w:val="00640253"/>
    <w:rsid w:val="00640585"/>
    <w:rsid w:val="00640C87"/>
    <w:rsid w:val="006412DB"/>
    <w:rsid w:val="006412E9"/>
    <w:rsid w:val="006414CD"/>
    <w:rsid w:val="006416F3"/>
    <w:rsid w:val="0064182A"/>
    <w:rsid w:val="0064199B"/>
    <w:rsid w:val="006419DC"/>
    <w:rsid w:val="00641E7B"/>
    <w:rsid w:val="00641EDB"/>
    <w:rsid w:val="00642025"/>
    <w:rsid w:val="006420D4"/>
    <w:rsid w:val="0064271F"/>
    <w:rsid w:val="00642772"/>
    <w:rsid w:val="006427C2"/>
    <w:rsid w:val="00642888"/>
    <w:rsid w:val="00642967"/>
    <w:rsid w:val="00642E02"/>
    <w:rsid w:val="00642FA1"/>
    <w:rsid w:val="006431BB"/>
    <w:rsid w:val="00643268"/>
    <w:rsid w:val="00643274"/>
    <w:rsid w:val="00643286"/>
    <w:rsid w:val="0064337B"/>
    <w:rsid w:val="006433EF"/>
    <w:rsid w:val="00643405"/>
    <w:rsid w:val="006437BD"/>
    <w:rsid w:val="00643C0D"/>
    <w:rsid w:val="00643ECE"/>
    <w:rsid w:val="00644101"/>
    <w:rsid w:val="00644A86"/>
    <w:rsid w:val="00644B65"/>
    <w:rsid w:val="00644C37"/>
    <w:rsid w:val="00644C93"/>
    <w:rsid w:val="00644F78"/>
    <w:rsid w:val="00645102"/>
    <w:rsid w:val="00645481"/>
    <w:rsid w:val="006454C6"/>
    <w:rsid w:val="00645673"/>
    <w:rsid w:val="00645A64"/>
    <w:rsid w:val="00645B2A"/>
    <w:rsid w:val="00645B76"/>
    <w:rsid w:val="00645DD5"/>
    <w:rsid w:val="0064623D"/>
    <w:rsid w:val="00646776"/>
    <w:rsid w:val="00646832"/>
    <w:rsid w:val="00646909"/>
    <w:rsid w:val="00646A53"/>
    <w:rsid w:val="00646AC7"/>
    <w:rsid w:val="00646BAD"/>
    <w:rsid w:val="00647011"/>
    <w:rsid w:val="006471F2"/>
    <w:rsid w:val="00647217"/>
    <w:rsid w:val="0064730A"/>
    <w:rsid w:val="0064737B"/>
    <w:rsid w:val="006473BF"/>
    <w:rsid w:val="00647CD5"/>
    <w:rsid w:val="0065013F"/>
    <w:rsid w:val="00650336"/>
    <w:rsid w:val="006503FB"/>
    <w:rsid w:val="00650458"/>
    <w:rsid w:val="006504B6"/>
    <w:rsid w:val="00650659"/>
    <w:rsid w:val="00650B0F"/>
    <w:rsid w:val="00650FB3"/>
    <w:rsid w:val="006510E2"/>
    <w:rsid w:val="00651457"/>
    <w:rsid w:val="00651600"/>
    <w:rsid w:val="0065190E"/>
    <w:rsid w:val="00651B7C"/>
    <w:rsid w:val="0065207F"/>
    <w:rsid w:val="006521C0"/>
    <w:rsid w:val="00652309"/>
    <w:rsid w:val="0065269A"/>
    <w:rsid w:val="006529F4"/>
    <w:rsid w:val="00652D19"/>
    <w:rsid w:val="00652D47"/>
    <w:rsid w:val="00652E9F"/>
    <w:rsid w:val="00652EA3"/>
    <w:rsid w:val="00653382"/>
    <w:rsid w:val="0065355C"/>
    <w:rsid w:val="006538E4"/>
    <w:rsid w:val="00653959"/>
    <w:rsid w:val="00653DD3"/>
    <w:rsid w:val="0065420C"/>
    <w:rsid w:val="006542DC"/>
    <w:rsid w:val="0065442C"/>
    <w:rsid w:val="00654755"/>
    <w:rsid w:val="0065476A"/>
    <w:rsid w:val="00654B85"/>
    <w:rsid w:val="00654FD7"/>
    <w:rsid w:val="006551AD"/>
    <w:rsid w:val="00655234"/>
    <w:rsid w:val="00655286"/>
    <w:rsid w:val="00655473"/>
    <w:rsid w:val="00655B06"/>
    <w:rsid w:val="00655B13"/>
    <w:rsid w:val="00655B4F"/>
    <w:rsid w:val="006563C5"/>
    <w:rsid w:val="00656B28"/>
    <w:rsid w:val="00656CA6"/>
    <w:rsid w:val="00656E93"/>
    <w:rsid w:val="00656EC7"/>
    <w:rsid w:val="00657644"/>
    <w:rsid w:val="006577B7"/>
    <w:rsid w:val="00657827"/>
    <w:rsid w:val="006579F9"/>
    <w:rsid w:val="00657C27"/>
    <w:rsid w:val="0066002C"/>
    <w:rsid w:val="006604B4"/>
    <w:rsid w:val="006604CC"/>
    <w:rsid w:val="006606D4"/>
    <w:rsid w:val="006607D2"/>
    <w:rsid w:val="00660B64"/>
    <w:rsid w:val="00660C03"/>
    <w:rsid w:val="00660E4D"/>
    <w:rsid w:val="00661320"/>
    <w:rsid w:val="006613C6"/>
    <w:rsid w:val="0066156C"/>
    <w:rsid w:val="006616DE"/>
    <w:rsid w:val="00661A90"/>
    <w:rsid w:val="00661B64"/>
    <w:rsid w:val="00661E1B"/>
    <w:rsid w:val="00662746"/>
    <w:rsid w:val="00662866"/>
    <w:rsid w:val="00662A43"/>
    <w:rsid w:val="00662BAB"/>
    <w:rsid w:val="00662E86"/>
    <w:rsid w:val="00662F3E"/>
    <w:rsid w:val="0066320C"/>
    <w:rsid w:val="006632D7"/>
    <w:rsid w:val="006633AB"/>
    <w:rsid w:val="00663638"/>
    <w:rsid w:val="00663AC0"/>
    <w:rsid w:val="00663ACC"/>
    <w:rsid w:val="00663AE7"/>
    <w:rsid w:val="00663B31"/>
    <w:rsid w:val="00663D53"/>
    <w:rsid w:val="00663FE5"/>
    <w:rsid w:val="006640BA"/>
    <w:rsid w:val="0066411E"/>
    <w:rsid w:val="00664267"/>
    <w:rsid w:val="006649C5"/>
    <w:rsid w:val="00664A33"/>
    <w:rsid w:val="00664B26"/>
    <w:rsid w:val="00664B31"/>
    <w:rsid w:val="00664E03"/>
    <w:rsid w:val="00664EA6"/>
    <w:rsid w:val="00665030"/>
    <w:rsid w:val="00665255"/>
    <w:rsid w:val="0066560C"/>
    <w:rsid w:val="006657B3"/>
    <w:rsid w:val="00665CD5"/>
    <w:rsid w:val="00665FCF"/>
    <w:rsid w:val="006664A2"/>
    <w:rsid w:val="00666621"/>
    <w:rsid w:val="006666AA"/>
    <w:rsid w:val="00666791"/>
    <w:rsid w:val="00666809"/>
    <w:rsid w:val="00666A6B"/>
    <w:rsid w:val="00666DAF"/>
    <w:rsid w:val="006671FD"/>
    <w:rsid w:val="006674C2"/>
    <w:rsid w:val="00667554"/>
    <w:rsid w:val="006679B4"/>
    <w:rsid w:val="00667B38"/>
    <w:rsid w:val="00667BBF"/>
    <w:rsid w:val="00667C83"/>
    <w:rsid w:val="00667FE8"/>
    <w:rsid w:val="00670346"/>
    <w:rsid w:val="006703E7"/>
    <w:rsid w:val="006705C2"/>
    <w:rsid w:val="0067086D"/>
    <w:rsid w:val="00670AD4"/>
    <w:rsid w:val="006711ED"/>
    <w:rsid w:val="006713AC"/>
    <w:rsid w:val="006713B2"/>
    <w:rsid w:val="00671664"/>
    <w:rsid w:val="006716F5"/>
    <w:rsid w:val="00671AE2"/>
    <w:rsid w:val="00671CF3"/>
    <w:rsid w:val="00671CF8"/>
    <w:rsid w:val="00671EEF"/>
    <w:rsid w:val="00671F13"/>
    <w:rsid w:val="00671F65"/>
    <w:rsid w:val="00671FBD"/>
    <w:rsid w:val="00672151"/>
    <w:rsid w:val="00672163"/>
    <w:rsid w:val="006722CC"/>
    <w:rsid w:val="00672427"/>
    <w:rsid w:val="006727CE"/>
    <w:rsid w:val="00672926"/>
    <w:rsid w:val="00672AA1"/>
    <w:rsid w:val="00672B16"/>
    <w:rsid w:val="00672D31"/>
    <w:rsid w:val="00672EF3"/>
    <w:rsid w:val="00673150"/>
    <w:rsid w:val="0067327C"/>
    <w:rsid w:val="00673469"/>
    <w:rsid w:val="00673565"/>
    <w:rsid w:val="00673BDA"/>
    <w:rsid w:val="00673CCE"/>
    <w:rsid w:val="00673D0D"/>
    <w:rsid w:val="00673E23"/>
    <w:rsid w:val="00673E41"/>
    <w:rsid w:val="00674281"/>
    <w:rsid w:val="0067445F"/>
    <w:rsid w:val="0067448C"/>
    <w:rsid w:val="00674874"/>
    <w:rsid w:val="00674972"/>
    <w:rsid w:val="00674A38"/>
    <w:rsid w:val="00674FF6"/>
    <w:rsid w:val="006750CD"/>
    <w:rsid w:val="006753D2"/>
    <w:rsid w:val="006755F7"/>
    <w:rsid w:val="006756F1"/>
    <w:rsid w:val="0067596A"/>
    <w:rsid w:val="00675AB9"/>
    <w:rsid w:val="00675E99"/>
    <w:rsid w:val="00675EE7"/>
    <w:rsid w:val="00675FEF"/>
    <w:rsid w:val="00676593"/>
    <w:rsid w:val="00676A18"/>
    <w:rsid w:val="00676E54"/>
    <w:rsid w:val="00677422"/>
    <w:rsid w:val="006774BD"/>
    <w:rsid w:val="00677527"/>
    <w:rsid w:val="00677BB7"/>
    <w:rsid w:val="00680207"/>
    <w:rsid w:val="006802A6"/>
    <w:rsid w:val="006802D6"/>
    <w:rsid w:val="006802F7"/>
    <w:rsid w:val="0068033D"/>
    <w:rsid w:val="00680435"/>
    <w:rsid w:val="00680560"/>
    <w:rsid w:val="00680718"/>
    <w:rsid w:val="00680849"/>
    <w:rsid w:val="00680895"/>
    <w:rsid w:val="006808E4"/>
    <w:rsid w:val="00680A19"/>
    <w:rsid w:val="00680A56"/>
    <w:rsid w:val="00680DF0"/>
    <w:rsid w:val="00681484"/>
    <w:rsid w:val="006815BD"/>
    <w:rsid w:val="0068175D"/>
    <w:rsid w:val="00681883"/>
    <w:rsid w:val="006818E6"/>
    <w:rsid w:val="006818EF"/>
    <w:rsid w:val="00681907"/>
    <w:rsid w:val="00681B14"/>
    <w:rsid w:val="00681B4E"/>
    <w:rsid w:val="00681D95"/>
    <w:rsid w:val="00681EDF"/>
    <w:rsid w:val="00681EE3"/>
    <w:rsid w:val="00682073"/>
    <w:rsid w:val="006820FB"/>
    <w:rsid w:val="006822EA"/>
    <w:rsid w:val="00682385"/>
    <w:rsid w:val="006827D0"/>
    <w:rsid w:val="0068298E"/>
    <w:rsid w:val="00682C18"/>
    <w:rsid w:val="00682CB1"/>
    <w:rsid w:val="00682D95"/>
    <w:rsid w:val="00682F3B"/>
    <w:rsid w:val="00683202"/>
    <w:rsid w:val="006832EC"/>
    <w:rsid w:val="00683641"/>
    <w:rsid w:val="00683648"/>
    <w:rsid w:val="006838FF"/>
    <w:rsid w:val="00683AF5"/>
    <w:rsid w:val="00683DDB"/>
    <w:rsid w:val="00684158"/>
    <w:rsid w:val="006845D0"/>
    <w:rsid w:val="006849C9"/>
    <w:rsid w:val="00684B5B"/>
    <w:rsid w:val="00684BAF"/>
    <w:rsid w:val="00684DDC"/>
    <w:rsid w:val="00684EA3"/>
    <w:rsid w:val="00684ED6"/>
    <w:rsid w:val="00685002"/>
    <w:rsid w:val="006852E9"/>
    <w:rsid w:val="00685D90"/>
    <w:rsid w:val="00685FCA"/>
    <w:rsid w:val="006862CE"/>
    <w:rsid w:val="00686443"/>
    <w:rsid w:val="00686BE9"/>
    <w:rsid w:val="006870F5"/>
    <w:rsid w:val="006871FA"/>
    <w:rsid w:val="00687362"/>
    <w:rsid w:val="006876C2"/>
    <w:rsid w:val="00687AEC"/>
    <w:rsid w:val="00687B42"/>
    <w:rsid w:val="00687C6F"/>
    <w:rsid w:val="00687CF2"/>
    <w:rsid w:val="00687DBD"/>
    <w:rsid w:val="00687EDF"/>
    <w:rsid w:val="00687F49"/>
    <w:rsid w:val="00690325"/>
    <w:rsid w:val="006905F4"/>
    <w:rsid w:val="00690A71"/>
    <w:rsid w:val="00690ACB"/>
    <w:rsid w:val="00690D28"/>
    <w:rsid w:val="006910F4"/>
    <w:rsid w:val="00691143"/>
    <w:rsid w:val="00691161"/>
    <w:rsid w:val="006911F9"/>
    <w:rsid w:val="006913ED"/>
    <w:rsid w:val="0069148D"/>
    <w:rsid w:val="0069155F"/>
    <w:rsid w:val="006915F1"/>
    <w:rsid w:val="00691CBA"/>
    <w:rsid w:val="00691EC5"/>
    <w:rsid w:val="006921BD"/>
    <w:rsid w:val="00692342"/>
    <w:rsid w:val="0069274D"/>
    <w:rsid w:val="00692815"/>
    <w:rsid w:val="00692959"/>
    <w:rsid w:val="00692A66"/>
    <w:rsid w:val="00693031"/>
    <w:rsid w:val="006931E0"/>
    <w:rsid w:val="006933FD"/>
    <w:rsid w:val="006936EE"/>
    <w:rsid w:val="00693A9C"/>
    <w:rsid w:val="00693B9F"/>
    <w:rsid w:val="00693EB5"/>
    <w:rsid w:val="00693F88"/>
    <w:rsid w:val="006941A9"/>
    <w:rsid w:val="0069420E"/>
    <w:rsid w:val="006944AC"/>
    <w:rsid w:val="006949CF"/>
    <w:rsid w:val="00694B77"/>
    <w:rsid w:val="00694C1A"/>
    <w:rsid w:val="00694E85"/>
    <w:rsid w:val="00694F24"/>
    <w:rsid w:val="00695129"/>
    <w:rsid w:val="00695147"/>
    <w:rsid w:val="006951B6"/>
    <w:rsid w:val="006954DF"/>
    <w:rsid w:val="0069573C"/>
    <w:rsid w:val="00695769"/>
    <w:rsid w:val="00695887"/>
    <w:rsid w:val="00695894"/>
    <w:rsid w:val="006958C4"/>
    <w:rsid w:val="00695A91"/>
    <w:rsid w:val="00696183"/>
    <w:rsid w:val="006961AB"/>
    <w:rsid w:val="006962CB"/>
    <w:rsid w:val="00696450"/>
    <w:rsid w:val="00696D1F"/>
    <w:rsid w:val="00696D33"/>
    <w:rsid w:val="00696E77"/>
    <w:rsid w:val="006975A6"/>
    <w:rsid w:val="006979C6"/>
    <w:rsid w:val="00697B61"/>
    <w:rsid w:val="00697E0B"/>
    <w:rsid w:val="006A0050"/>
    <w:rsid w:val="006A03F1"/>
    <w:rsid w:val="006A0522"/>
    <w:rsid w:val="006A082B"/>
    <w:rsid w:val="006A0C2E"/>
    <w:rsid w:val="006A0C8F"/>
    <w:rsid w:val="006A0D32"/>
    <w:rsid w:val="006A13E5"/>
    <w:rsid w:val="006A1465"/>
    <w:rsid w:val="006A14B7"/>
    <w:rsid w:val="006A15BE"/>
    <w:rsid w:val="006A162B"/>
    <w:rsid w:val="006A1762"/>
    <w:rsid w:val="006A17A7"/>
    <w:rsid w:val="006A184C"/>
    <w:rsid w:val="006A1BED"/>
    <w:rsid w:val="006A1BFD"/>
    <w:rsid w:val="006A22B3"/>
    <w:rsid w:val="006A273F"/>
    <w:rsid w:val="006A288E"/>
    <w:rsid w:val="006A289F"/>
    <w:rsid w:val="006A2AA4"/>
    <w:rsid w:val="006A2FDF"/>
    <w:rsid w:val="006A31CB"/>
    <w:rsid w:val="006A32B5"/>
    <w:rsid w:val="006A33A3"/>
    <w:rsid w:val="006A33FC"/>
    <w:rsid w:val="006A34F6"/>
    <w:rsid w:val="006A3588"/>
    <w:rsid w:val="006A3599"/>
    <w:rsid w:val="006A3640"/>
    <w:rsid w:val="006A38A2"/>
    <w:rsid w:val="006A38C0"/>
    <w:rsid w:val="006A3972"/>
    <w:rsid w:val="006A39E7"/>
    <w:rsid w:val="006A3A07"/>
    <w:rsid w:val="006A3A36"/>
    <w:rsid w:val="006A3CB1"/>
    <w:rsid w:val="006A3D55"/>
    <w:rsid w:val="006A4303"/>
    <w:rsid w:val="006A4309"/>
    <w:rsid w:val="006A4861"/>
    <w:rsid w:val="006A48DA"/>
    <w:rsid w:val="006A497E"/>
    <w:rsid w:val="006A4A6D"/>
    <w:rsid w:val="006A4C7E"/>
    <w:rsid w:val="006A4CB3"/>
    <w:rsid w:val="006A4E93"/>
    <w:rsid w:val="006A514F"/>
    <w:rsid w:val="006A5C66"/>
    <w:rsid w:val="006A5CEA"/>
    <w:rsid w:val="006A5DB5"/>
    <w:rsid w:val="006A6215"/>
    <w:rsid w:val="006A63F1"/>
    <w:rsid w:val="006A6799"/>
    <w:rsid w:val="006A6A89"/>
    <w:rsid w:val="006A6D37"/>
    <w:rsid w:val="006A6F30"/>
    <w:rsid w:val="006A796B"/>
    <w:rsid w:val="006A79CD"/>
    <w:rsid w:val="006A7DF6"/>
    <w:rsid w:val="006A7FA4"/>
    <w:rsid w:val="006B071D"/>
    <w:rsid w:val="006B08D0"/>
    <w:rsid w:val="006B0AC0"/>
    <w:rsid w:val="006B0B82"/>
    <w:rsid w:val="006B0CD4"/>
    <w:rsid w:val="006B0E29"/>
    <w:rsid w:val="006B0F8B"/>
    <w:rsid w:val="006B1076"/>
    <w:rsid w:val="006B1238"/>
    <w:rsid w:val="006B14AF"/>
    <w:rsid w:val="006B15D4"/>
    <w:rsid w:val="006B174A"/>
    <w:rsid w:val="006B1CC3"/>
    <w:rsid w:val="006B1EF7"/>
    <w:rsid w:val="006B21EC"/>
    <w:rsid w:val="006B21F7"/>
    <w:rsid w:val="006B28B6"/>
    <w:rsid w:val="006B2979"/>
    <w:rsid w:val="006B31AC"/>
    <w:rsid w:val="006B32D4"/>
    <w:rsid w:val="006B33F9"/>
    <w:rsid w:val="006B397A"/>
    <w:rsid w:val="006B3A7F"/>
    <w:rsid w:val="006B3ED3"/>
    <w:rsid w:val="006B3F77"/>
    <w:rsid w:val="006B4301"/>
    <w:rsid w:val="006B44C0"/>
    <w:rsid w:val="006B465D"/>
    <w:rsid w:val="006B486C"/>
    <w:rsid w:val="006B492B"/>
    <w:rsid w:val="006B4BF6"/>
    <w:rsid w:val="006B4BFF"/>
    <w:rsid w:val="006B4DF1"/>
    <w:rsid w:val="006B4E2A"/>
    <w:rsid w:val="006B535E"/>
    <w:rsid w:val="006B580D"/>
    <w:rsid w:val="006B58B2"/>
    <w:rsid w:val="006B5A81"/>
    <w:rsid w:val="006B5B1C"/>
    <w:rsid w:val="006B5C30"/>
    <w:rsid w:val="006B6488"/>
    <w:rsid w:val="006B6651"/>
    <w:rsid w:val="006B67FF"/>
    <w:rsid w:val="006B696E"/>
    <w:rsid w:val="006B6BC8"/>
    <w:rsid w:val="006B6CB1"/>
    <w:rsid w:val="006B6DC8"/>
    <w:rsid w:val="006B6F09"/>
    <w:rsid w:val="006B6F41"/>
    <w:rsid w:val="006B7251"/>
    <w:rsid w:val="006B7292"/>
    <w:rsid w:val="006B73F4"/>
    <w:rsid w:val="006B74BF"/>
    <w:rsid w:val="006B7683"/>
    <w:rsid w:val="006B771B"/>
    <w:rsid w:val="006B77C2"/>
    <w:rsid w:val="006B7988"/>
    <w:rsid w:val="006B7C14"/>
    <w:rsid w:val="006C0260"/>
    <w:rsid w:val="006C064B"/>
    <w:rsid w:val="006C076E"/>
    <w:rsid w:val="006C0973"/>
    <w:rsid w:val="006C0D1F"/>
    <w:rsid w:val="006C1141"/>
    <w:rsid w:val="006C146F"/>
    <w:rsid w:val="006C1590"/>
    <w:rsid w:val="006C15DF"/>
    <w:rsid w:val="006C17DA"/>
    <w:rsid w:val="006C188C"/>
    <w:rsid w:val="006C18D6"/>
    <w:rsid w:val="006C1979"/>
    <w:rsid w:val="006C1B81"/>
    <w:rsid w:val="006C21FD"/>
    <w:rsid w:val="006C248E"/>
    <w:rsid w:val="006C2B25"/>
    <w:rsid w:val="006C2BB0"/>
    <w:rsid w:val="006C2CEE"/>
    <w:rsid w:val="006C3125"/>
    <w:rsid w:val="006C3557"/>
    <w:rsid w:val="006C3617"/>
    <w:rsid w:val="006C36AE"/>
    <w:rsid w:val="006C3843"/>
    <w:rsid w:val="006C3D62"/>
    <w:rsid w:val="006C3DB2"/>
    <w:rsid w:val="006C44E7"/>
    <w:rsid w:val="006C44E8"/>
    <w:rsid w:val="006C462A"/>
    <w:rsid w:val="006C4631"/>
    <w:rsid w:val="006C4758"/>
    <w:rsid w:val="006C48F7"/>
    <w:rsid w:val="006C4A81"/>
    <w:rsid w:val="006C4CDC"/>
    <w:rsid w:val="006C4FE5"/>
    <w:rsid w:val="006C54AC"/>
    <w:rsid w:val="006C54E1"/>
    <w:rsid w:val="006C554C"/>
    <w:rsid w:val="006C5750"/>
    <w:rsid w:val="006C5933"/>
    <w:rsid w:val="006C59CA"/>
    <w:rsid w:val="006C5A9B"/>
    <w:rsid w:val="006C5B87"/>
    <w:rsid w:val="006C5EF0"/>
    <w:rsid w:val="006C5F84"/>
    <w:rsid w:val="006C61E2"/>
    <w:rsid w:val="006C63D0"/>
    <w:rsid w:val="006C7038"/>
    <w:rsid w:val="006C735F"/>
    <w:rsid w:val="006C73F9"/>
    <w:rsid w:val="006C7715"/>
    <w:rsid w:val="006C7755"/>
    <w:rsid w:val="006C77B3"/>
    <w:rsid w:val="006C78E2"/>
    <w:rsid w:val="006C792E"/>
    <w:rsid w:val="006C7EAB"/>
    <w:rsid w:val="006C7F17"/>
    <w:rsid w:val="006D02C9"/>
    <w:rsid w:val="006D02CD"/>
    <w:rsid w:val="006D02D1"/>
    <w:rsid w:val="006D03D5"/>
    <w:rsid w:val="006D0438"/>
    <w:rsid w:val="006D0524"/>
    <w:rsid w:val="006D0BC9"/>
    <w:rsid w:val="006D0CE7"/>
    <w:rsid w:val="006D0D97"/>
    <w:rsid w:val="006D11BE"/>
    <w:rsid w:val="006D13B1"/>
    <w:rsid w:val="006D14A1"/>
    <w:rsid w:val="006D18E2"/>
    <w:rsid w:val="006D1D2E"/>
    <w:rsid w:val="006D2592"/>
    <w:rsid w:val="006D2D79"/>
    <w:rsid w:val="006D2DC3"/>
    <w:rsid w:val="006D2DD1"/>
    <w:rsid w:val="006D3177"/>
    <w:rsid w:val="006D31A0"/>
    <w:rsid w:val="006D31F7"/>
    <w:rsid w:val="006D34D6"/>
    <w:rsid w:val="006D3729"/>
    <w:rsid w:val="006D3AF9"/>
    <w:rsid w:val="006D3B4B"/>
    <w:rsid w:val="006D3CB8"/>
    <w:rsid w:val="006D3D58"/>
    <w:rsid w:val="006D3FB5"/>
    <w:rsid w:val="006D40B5"/>
    <w:rsid w:val="006D4545"/>
    <w:rsid w:val="006D4757"/>
    <w:rsid w:val="006D48F6"/>
    <w:rsid w:val="006D4FBD"/>
    <w:rsid w:val="006D4FBE"/>
    <w:rsid w:val="006D53C5"/>
    <w:rsid w:val="006D556D"/>
    <w:rsid w:val="006D586E"/>
    <w:rsid w:val="006D59CC"/>
    <w:rsid w:val="006D5B38"/>
    <w:rsid w:val="006D5E06"/>
    <w:rsid w:val="006D5E48"/>
    <w:rsid w:val="006D61DC"/>
    <w:rsid w:val="006D6310"/>
    <w:rsid w:val="006D63BF"/>
    <w:rsid w:val="006D65DC"/>
    <w:rsid w:val="006D679F"/>
    <w:rsid w:val="006D67C1"/>
    <w:rsid w:val="006D6940"/>
    <w:rsid w:val="006D696B"/>
    <w:rsid w:val="006D6BE4"/>
    <w:rsid w:val="006D75F5"/>
    <w:rsid w:val="006D77A5"/>
    <w:rsid w:val="006D7819"/>
    <w:rsid w:val="006D78C2"/>
    <w:rsid w:val="006D7957"/>
    <w:rsid w:val="006D7AE7"/>
    <w:rsid w:val="006D7BAD"/>
    <w:rsid w:val="006D7CC6"/>
    <w:rsid w:val="006E011E"/>
    <w:rsid w:val="006E012C"/>
    <w:rsid w:val="006E016A"/>
    <w:rsid w:val="006E044A"/>
    <w:rsid w:val="006E078D"/>
    <w:rsid w:val="006E09ED"/>
    <w:rsid w:val="006E0C3F"/>
    <w:rsid w:val="006E0E02"/>
    <w:rsid w:val="006E0E7E"/>
    <w:rsid w:val="006E0F66"/>
    <w:rsid w:val="006E11A2"/>
    <w:rsid w:val="006E1441"/>
    <w:rsid w:val="006E1876"/>
    <w:rsid w:val="006E1AB9"/>
    <w:rsid w:val="006E1B9F"/>
    <w:rsid w:val="006E2173"/>
    <w:rsid w:val="006E21A0"/>
    <w:rsid w:val="006E2213"/>
    <w:rsid w:val="006E233D"/>
    <w:rsid w:val="006E24B9"/>
    <w:rsid w:val="006E252F"/>
    <w:rsid w:val="006E25D3"/>
    <w:rsid w:val="006E26A6"/>
    <w:rsid w:val="006E2894"/>
    <w:rsid w:val="006E2CCF"/>
    <w:rsid w:val="006E2D17"/>
    <w:rsid w:val="006E2DF4"/>
    <w:rsid w:val="006E3164"/>
    <w:rsid w:val="006E3891"/>
    <w:rsid w:val="006E3CA7"/>
    <w:rsid w:val="006E3D26"/>
    <w:rsid w:val="006E3DCD"/>
    <w:rsid w:val="006E40AA"/>
    <w:rsid w:val="006E4151"/>
    <w:rsid w:val="006E4299"/>
    <w:rsid w:val="006E42B1"/>
    <w:rsid w:val="006E4486"/>
    <w:rsid w:val="006E4666"/>
    <w:rsid w:val="006E477F"/>
    <w:rsid w:val="006E49BC"/>
    <w:rsid w:val="006E4B3B"/>
    <w:rsid w:val="006E4ECF"/>
    <w:rsid w:val="006E4F90"/>
    <w:rsid w:val="006E557C"/>
    <w:rsid w:val="006E560C"/>
    <w:rsid w:val="006E5616"/>
    <w:rsid w:val="006E56F5"/>
    <w:rsid w:val="006E56F6"/>
    <w:rsid w:val="006E58A2"/>
    <w:rsid w:val="006E5973"/>
    <w:rsid w:val="006E5CA6"/>
    <w:rsid w:val="006E5EA2"/>
    <w:rsid w:val="006E64A2"/>
    <w:rsid w:val="006E65A8"/>
    <w:rsid w:val="006E676C"/>
    <w:rsid w:val="006E6861"/>
    <w:rsid w:val="006E6C44"/>
    <w:rsid w:val="006E6C45"/>
    <w:rsid w:val="006E6EF0"/>
    <w:rsid w:val="006E71AA"/>
    <w:rsid w:val="006E720D"/>
    <w:rsid w:val="006E72DC"/>
    <w:rsid w:val="006E763E"/>
    <w:rsid w:val="006E78A4"/>
    <w:rsid w:val="006E78C6"/>
    <w:rsid w:val="006E7A88"/>
    <w:rsid w:val="006F023A"/>
    <w:rsid w:val="006F0348"/>
    <w:rsid w:val="006F0586"/>
    <w:rsid w:val="006F06E3"/>
    <w:rsid w:val="006F07BE"/>
    <w:rsid w:val="006F0811"/>
    <w:rsid w:val="006F0E07"/>
    <w:rsid w:val="006F1415"/>
    <w:rsid w:val="006F19E2"/>
    <w:rsid w:val="006F1A7A"/>
    <w:rsid w:val="006F1CF5"/>
    <w:rsid w:val="006F1E40"/>
    <w:rsid w:val="006F1E53"/>
    <w:rsid w:val="006F22F0"/>
    <w:rsid w:val="006F258A"/>
    <w:rsid w:val="006F2836"/>
    <w:rsid w:val="006F2A97"/>
    <w:rsid w:val="006F2AA5"/>
    <w:rsid w:val="006F2BD5"/>
    <w:rsid w:val="006F30F0"/>
    <w:rsid w:val="006F31C9"/>
    <w:rsid w:val="006F3554"/>
    <w:rsid w:val="006F3577"/>
    <w:rsid w:val="006F391D"/>
    <w:rsid w:val="006F3AEE"/>
    <w:rsid w:val="006F3E5F"/>
    <w:rsid w:val="006F3E67"/>
    <w:rsid w:val="006F3F89"/>
    <w:rsid w:val="006F435A"/>
    <w:rsid w:val="006F43B0"/>
    <w:rsid w:val="006F47F6"/>
    <w:rsid w:val="006F4A3E"/>
    <w:rsid w:val="006F4AFD"/>
    <w:rsid w:val="006F4B13"/>
    <w:rsid w:val="006F4BD3"/>
    <w:rsid w:val="006F4C04"/>
    <w:rsid w:val="006F4EBD"/>
    <w:rsid w:val="006F4FCB"/>
    <w:rsid w:val="006F5035"/>
    <w:rsid w:val="006F5044"/>
    <w:rsid w:val="006F52C6"/>
    <w:rsid w:val="006F53B1"/>
    <w:rsid w:val="006F55FE"/>
    <w:rsid w:val="006F5B75"/>
    <w:rsid w:val="006F5DD8"/>
    <w:rsid w:val="006F62BB"/>
    <w:rsid w:val="006F6379"/>
    <w:rsid w:val="006F63BE"/>
    <w:rsid w:val="006F63CB"/>
    <w:rsid w:val="006F6532"/>
    <w:rsid w:val="006F65DF"/>
    <w:rsid w:val="006F6854"/>
    <w:rsid w:val="006F6AD5"/>
    <w:rsid w:val="006F6E57"/>
    <w:rsid w:val="006F6EF5"/>
    <w:rsid w:val="006F7015"/>
    <w:rsid w:val="006F7034"/>
    <w:rsid w:val="006F70BA"/>
    <w:rsid w:val="006F75EA"/>
    <w:rsid w:val="006F7B49"/>
    <w:rsid w:val="007002D2"/>
    <w:rsid w:val="00700300"/>
    <w:rsid w:val="007003D3"/>
    <w:rsid w:val="00700A92"/>
    <w:rsid w:val="00700ACE"/>
    <w:rsid w:val="00700D3B"/>
    <w:rsid w:val="00700D48"/>
    <w:rsid w:val="00700DA6"/>
    <w:rsid w:val="007011C9"/>
    <w:rsid w:val="0070123E"/>
    <w:rsid w:val="0070157C"/>
    <w:rsid w:val="0070158B"/>
    <w:rsid w:val="0070162E"/>
    <w:rsid w:val="007016E8"/>
    <w:rsid w:val="00701A93"/>
    <w:rsid w:val="00701CD7"/>
    <w:rsid w:val="00701D93"/>
    <w:rsid w:val="00701DBC"/>
    <w:rsid w:val="00701FC4"/>
    <w:rsid w:val="007020BD"/>
    <w:rsid w:val="007024F7"/>
    <w:rsid w:val="0070264D"/>
    <w:rsid w:val="007029C7"/>
    <w:rsid w:val="00702C8D"/>
    <w:rsid w:val="00703208"/>
    <w:rsid w:val="007036E3"/>
    <w:rsid w:val="0070371C"/>
    <w:rsid w:val="007037C1"/>
    <w:rsid w:val="007037FA"/>
    <w:rsid w:val="00703B1A"/>
    <w:rsid w:val="0070434C"/>
    <w:rsid w:val="007045A4"/>
    <w:rsid w:val="00704623"/>
    <w:rsid w:val="00704800"/>
    <w:rsid w:val="00705138"/>
    <w:rsid w:val="007051DA"/>
    <w:rsid w:val="007053B3"/>
    <w:rsid w:val="00705450"/>
    <w:rsid w:val="00705C2D"/>
    <w:rsid w:val="00705C80"/>
    <w:rsid w:val="00705DCB"/>
    <w:rsid w:val="00705FC2"/>
    <w:rsid w:val="00706078"/>
    <w:rsid w:val="007061AF"/>
    <w:rsid w:val="00706368"/>
    <w:rsid w:val="00706556"/>
    <w:rsid w:val="0070657C"/>
    <w:rsid w:val="007066AA"/>
    <w:rsid w:val="007068D4"/>
    <w:rsid w:val="00706997"/>
    <w:rsid w:val="007069A6"/>
    <w:rsid w:val="00706CD9"/>
    <w:rsid w:val="00706DFA"/>
    <w:rsid w:val="00706F09"/>
    <w:rsid w:val="00707039"/>
    <w:rsid w:val="00707141"/>
    <w:rsid w:val="00707477"/>
    <w:rsid w:val="00707766"/>
    <w:rsid w:val="007078CA"/>
    <w:rsid w:val="00707BA3"/>
    <w:rsid w:val="00707BE6"/>
    <w:rsid w:val="0071000D"/>
    <w:rsid w:val="00710197"/>
    <w:rsid w:val="007104EB"/>
    <w:rsid w:val="00710A62"/>
    <w:rsid w:val="00710A8C"/>
    <w:rsid w:val="00710B6A"/>
    <w:rsid w:val="00711202"/>
    <w:rsid w:val="0071138F"/>
    <w:rsid w:val="0071140D"/>
    <w:rsid w:val="00711463"/>
    <w:rsid w:val="007116A8"/>
    <w:rsid w:val="007118E3"/>
    <w:rsid w:val="00711FCD"/>
    <w:rsid w:val="00712138"/>
    <w:rsid w:val="00712235"/>
    <w:rsid w:val="00712686"/>
    <w:rsid w:val="007129BE"/>
    <w:rsid w:val="007129C2"/>
    <w:rsid w:val="007130CD"/>
    <w:rsid w:val="00713462"/>
    <w:rsid w:val="007139BD"/>
    <w:rsid w:val="007139E9"/>
    <w:rsid w:val="00713B9D"/>
    <w:rsid w:val="00713F4B"/>
    <w:rsid w:val="00714095"/>
    <w:rsid w:val="007140ED"/>
    <w:rsid w:val="007141C3"/>
    <w:rsid w:val="007143B3"/>
    <w:rsid w:val="007144E0"/>
    <w:rsid w:val="00714507"/>
    <w:rsid w:val="00714723"/>
    <w:rsid w:val="00714822"/>
    <w:rsid w:val="0071486E"/>
    <w:rsid w:val="00714934"/>
    <w:rsid w:val="00714D66"/>
    <w:rsid w:val="00714D74"/>
    <w:rsid w:val="007152A6"/>
    <w:rsid w:val="007152E5"/>
    <w:rsid w:val="00715407"/>
    <w:rsid w:val="00715695"/>
    <w:rsid w:val="00715787"/>
    <w:rsid w:val="007157C8"/>
    <w:rsid w:val="00715B9F"/>
    <w:rsid w:val="00715CE0"/>
    <w:rsid w:val="00716498"/>
    <w:rsid w:val="00716501"/>
    <w:rsid w:val="007166F8"/>
    <w:rsid w:val="00716912"/>
    <w:rsid w:val="00716DB2"/>
    <w:rsid w:val="00716E93"/>
    <w:rsid w:val="00717188"/>
    <w:rsid w:val="00717244"/>
    <w:rsid w:val="007172E4"/>
    <w:rsid w:val="007176DF"/>
    <w:rsid w:val="00717AFF"/>
    <w:rsid w:val="00717CB8"/>
    <w:rsid w:val="00717DAF"/>
    <w:rsid w:val="00717E7E"/>
    <w:rsid w:val="00717EED"/>
    <w:rsid w:val="00720433"/>
    <w:rsid w:val="00720562"/>
    <w:rsid w:val="00720A5E"/>
    <w:rsid w:val="00720C81"/>
    <w:rsid w:val="00720D7B"/>
    <w:rsid w:val="00720EEC"/>
    <w:rsid w:val="00720FC6"/>
    <w:rsid w:val="007210AC"/>
    <w:rsid w:val="00721548"/>
    <w:rsid w:val="00721768"/>
    <w:rsid w:val="0072183A"/>
    <w:rsid w:val="00721B29"/>
    <w:rsid w:val="00721B92"/>
    <w:rsid w:val="00721EEC"/>
    <w:rsid w:val="007228AE"/>
    <w:rsid w:val="00722B3F"/>
    <w:rsid w:val="007232DC"/>
    <w:rsid w:val="007234E2"/>
    <w:rsid w:val="007235B1"/>
    <w:rsid w:val="0072377F"/>
    <w:rsid w:val="00723E75"/>
    <w:rsid w:val="007241EE"/>
    <w:rsid w:val="00724382"/>
    <w:rsid w:val="00724512"/>
    <w:rsid w:val="00724586"/>
    <w:rsid w:val="007247BC"/>
    <w:rsid w:val="00724C85"/>
    <w:rsid w:val="00724D17"/>
    <w:rsid w:val="0072530C"/>
    <w:rsid w:val="00725410"/>
    <w:rsid w:val="0072584C"/>
    <w:rsid w:val="00725A1C"/>
    <w:rsid w:val="00725D25"/>
    <w:rsid w:val="00725FE9"/>
    <w:rsid w:val="007262A1"/>
    <w:rsid w:val="00726444"/>
    <w:rsid w:val="00726608"/>
    <w:rsid w:val="00726881"/>
    <w:rsid w:val="00726A58"/>
    <w:rsid w:val="00726CB0"/>
    <w:rsid w:val="00726DC1"/>
    <w:rsid w:val="00726E70"/>
    <w:rsid w:val="00726F6E"/>
    <w:rsid w:val="00727152"/>
    <w:rsid w:val="00727292"/>
    <w:rsid w:val="00727475"/>
    <w:rsid w:val="0072770E"/>
    <w:rsid w:val="00727B4C"/>
    <w:rsid w:val="00727BCC"/>
    <w:rsid w:val="00727C28"/>
    <w:rsid w:val="00727DE3"/>
    <w:rsid w:val="0073004B"/>
    <w:rsid w:val="00730386"/>
    <w:rsid w:val="007304BE"/>
    <w:rsid w:val="007306C8"/>
    <w:rsid w:val="007308AE"/>
    <w:rsid w:val="00730E52"/>
    <w:rsid w:val="00730F9D"/>
    <w:rsid w:val="00731020"/>
    <w:rsid w:val="00731354"/>
    <w:rsid w:val="00731377"/>
    <w:rsid w:val="0073168D"/>
    <w:rsid w:val="007316FF"/>
    <w:rsid w:val="0073184C"/>
    <w:rsid w:val="0073207B"/>
    <w:rsid w:val="00732367"/>
    <w:rsid w:val="007323B2"/>
    <w:rsid w:val="00732523"/>
    <w:rsid w:val="007328D0"/>
    <w:rsid w:val="00732F38"/>
    <w:rsid w:val="00733371"/>
    <w:rsid w:val="007334E0"/>
    <w:rsid w:val="0073355E"/>
    <w:rsid w:val="00733571"/>
    <w:rsid w:val="00733A6E"/>
    <w:rsid w:val="00733CA5"/>
    <w:rsid w:val="0073400A"/>
    <w:rsid w:val="007342E2"/>
    <w:rsid w:val="007344EF"/>
    <w:rsid w:val="00734685"/>
    <w:rsid w:val="00734810"/>
    <w:rsid w:val="00735297"/>
    <w:rsid w:val="007353C3"/>
    <w:rsid w:val="00735B47"/>
    <w:rsid w:val="00735DB5"/>
    <w:rsid w:val="00735F8C"/>
    <w:rsid w:val="007361FF"/>
    <w:rsid w:val="00736936"/>
    <w:rsid w:val="00736C9E"/>
    <w:rsid w:val="0073710F"/>
    <w:rsid w:val="00737204"/>
    <w:rsid w:val="00737317"/>
    <w:rsid w:val="007373BB"/>
    <w:rsid w:val="00737461"/>
    <w:rsid w:val="0073746A"/>
    <w:rsid w:val="007374B1"/>
    <w:rsid w:val="007378B0"/>
    <w:rsid w:val="00737CD3"/>
    <w:rsid w:val="00737E14"/>
    <w:rsid w:val="007404E8"/>
    <w:rsid w:val="00740851"/>
    <w:rsid w:val="007408AC"/>
    <w:rsid w:val="00740B90"/>
    <w:rsid w:val="007414E4"/>
    <w:rsid w:val="007415EA"/>
    <w:rsid w:val="00741622"/>
    <w:rsid w:val="0074162D"/>
    <w:rsid w:val="007417F7"/>
    <w:rsid w:val="00741844"/>
    <w:rsid w:val="00741BD2"/>
    <w:rsid w:val="00741DAF"/>
    <w:rsid w:val="00741F07"/>
    <w:rsid w:val="00742481"/>
    <w:rsid w:val="00742500"/>
    <w:rsid w:val="00742684"/>
    <w:rsid w:val="007427A5"/>
    <w:rsid w:val="007427E2"/>
    <w:rsid w:val="00742B77"/>
    <w:rsid w:val="00742CD8"/>
    <w:rsid w:val="00743052"/>
    <w:rsid w:val="0074330A"/>
    <w:rsid w:val="007433F8"/>
    <w:rsid w:val="00743746"/>
    <w:rsid w:val="007437C1"/>
    <w:rsid w:val="007438FA"/>
    <w:rsid w:val="00744012"/>
    <w:rsid w:val="007441A0"/>
    <w:rsid w:val="007443D1"/>
    <w:rsid w:val="00744609"/>
    <w:rsid w:val="007446E5"/>
    <w:rsid w:val="00744AAE"/>
    <w:rsid w:val="00744DFE"/>
    <w:rsid w:val="00744FF7"/>
    <w:rsid w:val="00745093"/>
    <w:rsid w:val="007456FA"/>
    <w:rsid w:val="0074578E"/>
    <w:rsid w:val="007457BA"/>
    <w:rsid w:val="00745B9A"/>
    <w:rsid w:val="007460AF"/>
    <w:rsid w:val="007460C4"/>
    <w:rsid w:val="00746512"/>
    <w:rsid w:val="0074658D"/>
    <w:rsid w:val="007466C7"/>
    <w:rsid w:val="0074676D"/>
    <w:rsid w:val="00746FFF"/>
    <w:rsid w:val="007470A3"/>
    <w:rsid w:val="00747246"/>
    <w:rsid w:val="0074735F"/>
    <w:rsid w:val="00747424"/>
    <w:rsid w:val="00747528"/>
    <w:rsid w:val="00747691"/>
    <w:rsid w:val="00747793"/>
    <w:rsid w:val="00747C10"/>
    <w:rsid w:val="00747C91"/>
    <w:rsid w:val="00750152"/>
    <w:rsid w:val="00750213"/>
    <w:rsid w:val="0075035E"/>
    <w:rsid w:val="00750C41"/>
    <w:rsid w:val="00750F2D"/>
    <w:rsid w:val="00751744"/>
    <w:rsid w:val="00751F5C"/>
    <w:rsid w:val="00752AF1"/>
    <w:rsid w:val="00752B06"/>
    <w:rsid w:val="00752D24"/>
    <w:rsid w:val="00752EA2"/>
    <w:rsid w:val="00753075"/>
    <w:rsid w:val="0075308A"/>
    <w:rsid w:val="00753100"/>
    <w:rsid w:val="007531E8"/>
    <w:rsid w:val="007533A1"/>
    <w:rsid w:val="00753981"/>
    <w:rsid w:val="00753D01"/>
    <w:rsid w:val="00753D9C"/>
    <w:rsid w:val="00753DB6"/>
    <w:rsid w:val="00754235"/>
    <w:rsid w:val="00754D55"/>
    <w:rsid w:val="00754F14"/>
    <w:rsid w:val="00754F5D"/>
    <w:rsid w:val="0075500B"/>
    <w:rsid w:val="007552BD"/>
    <w:rsid w:val="007553B3"/>
    <w:rsid w:val="00755A8B"/>
    <w:rsid w:val="00755DCE"/>
    <w:rsid w:val="007560B0"/>
    <w:rsid w:val="0075650D"/>
    <w:rsid w:val="0075656C"/>
    <w:rsid w:val="00756613"/>
    <w:rsid w:val="00756673"/>
    <w:rsid w:val="0075694A"/>
    <w:rsid w:val="00756A5C"/>
    <w:rsid w:val="00756D36"/>
    <w:rsid w:val="00757108"/>
    <w:rsid w:val="00757116"/>
    <w:rsid w:val="00757160"/>
    <w:rsid w:val="0075729D"/>
    <w:rsid w:val="007576CA"/>
    <w:rsid w:val="0075770E"/>
    <w:rsid w:val="007577FA"/>
    <w:rsid w:val="007578BB"/>
    <w:rsid w:val="00757AC7"/>
    <w:rsid w:val="00757AE6"/>
    <w:rsid w:val="00757B9E"/>
    <w:rsid w:val="00757D75"/>
    <w:rsid w:val="007605EE"/>
    <w:rsid w:val="0076060F"/>
    <w:rsid w:val="00760675"/>
    <w:rsid w:val="00760699"/>
    <w:rsid w:val="007607B5"/>
    <w:rsid w:val="007608FE"/>
    <w:rsid w:val="007609D9"/>
    <w:rsid w:val="007609EA"/>
    <w:rsid w:val="00760BD0"/>
    <w:rsid w:val="00760C1D"/>
    <w:rsid w:val="00760D87"/>
    <w:rsid w:val="00760E8B"/>
    <w:rsid w:val="00761028"/>
    <w:rsid w:val="007616AC"/>
    <w:rsid w:val="007617BE"/>
    <w:rsid w:val="0076180B"/>
    <w:rsid w:val="0076196B"/>
    <w:rsid w:val="00761C7E"/>
    <w:rsid w:val="00762297"/>
    <w:rsid w:val="00762343"/>
    <w:rsid w:val="0076244A"/>
    <w:rsid w:val="00762857"/>
    <w:rsid w:val="00762D5C"/>
    <w:rsid w:val="00762E40"/>
    <w:rsid w:val="00762EFA"/>
    <w:rsid w:val="0076304D"/>
    <w:rsid w:val="00763149"/>
    <w:rsid w:val="007631FA"/>
    <w:rsid w:val="007632EF"/>
    <w:rsid w:val="00763E42"/>
    <w:rsid w:val="00763E7F"/>
    <w:rsid w:val="00764160"/>
    <w:rsid w:val="00764199"/>
    <w:rsid w:val="0076480E"/>
    <w:rsid w:val="00764A6B"/>
    <w:rsid w:val="00764AD2"/>
    <w:rsid w:val="00765046"/>
    <w:rsid w:val="0076517E"/>
    <w:rsid w:val="00765504"/>
    <w:rsid w:val="00765572"/>
    <w:rsid w:val="00765893"/>
    <w:rsid w:val="0076594C"/>
    <w:rsid w:val="007659DD"/>
    <w:rsid w:val="00765D8D"/>
    <w:rsid w:val="00765EC3"/>
    <w:rsid w:val="00765F93"/>
    <w:rsid w:val="00766064"/>
    <w:rsid w:val="00766147"/>
    <w:rsid w:val="00766216"/>
    <w:rsid w:val="007662CA"/>
    <w:rsid w:val="00766452"/>
    <w:rsid w:val="00766625"/>
    <w:rsid w:val="007666F1"/>
    <w:rsid w:val="007669F6"/>
    <w:rsid w:val="0076702E"/>
    <w:rsid w:val="007672DE"/>
    <w:rsid w:val="0076747F"/>
    <w:rsid w:val="00767E9A"/>
    <w:rsid w:val="00767FD8"/>
    <w:rsid w:val="007701CE"/>
    <w:rsid w:val="007702D5"/>
    <w:rsid w:val="00770807"/>
    <w:rsid w:val="0077097D"/>
    <w:rsid w:val="00770B08"/>
    <w:rsid w:val="00770EBF"/>
    <w:rsid w:val="007712D2"/>
    <w:rsid w:val="007712D4"/>
    <w:rsid w:val="007718BC"/>
    <w:rsid w:val="00771D28"/>
    <w:rsid w:val="00771D87"/>
    <w:rsid w:val="00771DAE"/>
    <w:rsid w:val="00772056"/>
    <w:rsid w:val="007720AA"/>
    <w:rsid w:val="007722F2"/>
    <w:rsid w:val="00772563"/>
    <w:rsid w:val="007726D9"/>
    <w:rsid w:val="00772E19"/>
    <w:rsid w:val="00772EF0"/>
    <w:rsid w:val="00772FE8"/>
    <w:rsid w:val="00773014"/>
    <w:rsid w:val="007732E7"/>
    <w:rsid w:val="00773465"/>
    <w:rsid w:val="00773DDF"/>
    <w:rsid w:val="00773F1A"/>
    <w:rsid w:val="0077428B"/>
    <w:rsid w:val="00774589"/>
    <w:rsid w:val="0077467A"/>
    <w:rsid w:val="00774747"/>
    <w:rsid w:val="00774B97"/>
    <w:rsid w:val="00774D8A"/>
    <w:rsid w:val="00774EE6"/>
    <w:rsid w:val="00774F6F"/>
    <w:rsid w:val="00775066"/>
    <w:rsid w:val="00775462"/>
    <w:rsid w:val="007755DC"/>
    <w:rsid w:val="0077568F"/>
    <w:rsid w:val="0077579A"/>
    <w:rsid w:val="00775E8D"/>
    <w:rsid w:val="007760E0"/>
    <w:rsid w:val="007763A8"/>
    <w:rsid w:val="00776430"/>
    <w:rsid w:val="007764DE"/>
    <w:rsid w:val="007769AE"/>
    <w:rsid w:val="00776BB6"/>
    <w:rsid w:val="00776C35"/>
    <w:rsid w:val="00776D70"/>
    <w:rsid w:val="00776EAE"/>
    <w:rsid w:val="007776FC"/>
    <w:rsid w:val="0077778E"/>
    <w:rsid w:val="00777AA3"/>
    <w:rsid w:val="00777F18"/>
    <w:rsid w:val="00780056"/>
    <w:rsid w:val="007807A0"/>
    <w:rsid w:val="007807EA"/>
    <w:rsid w:val="00780989"/>
    <w:rsid w:val="00780C27"/>
    <w:rsid w:val="00780CA7"/>
    <w:rsid w:val="0078112E"/>
    <w:rsid w:val="00781230"/>
    <w:rsid w:val="007813DA"/>
    <w:rsid w:val="007815F5"/>
    <w:rsid w:val="00781A94"/>
    <w:rsid w:val="00781C84"/>
    <w:rsid w:val="00781C94"/>
    <w:rsid w:val="00781ED9"/>
    <w:rsid w:val="007820BE"/>
    <w:rsid w:val="0078241B"/>
    <w:rsid w:val="007824B3"/>
    <w:rsid w:val="0078287B"/>
    <w:rsid w:val="007828E9"/>
    <w:rsid w:val="00782BFB"/>
    <w:rsid w:val="00783161"/>
    <w:rsid w:val="007831FE"/>
    <w:rsid w:val="007832B6"/>
    <w:rsid w:val="00783545"/>
    <w:rsid w:val="00783676"/>
    <w:rsid w:val="00783713"/>
    <w:rsid w:val="0078376A"/>
    <w:rsid w:val="0078384A"/>
    <w:rsid w:val="00783CB2"/>
    <w:rsid w:val="00783CBB"/>
    <w:rsid w:val="00783D1F"/>
    <w:rsid w:val="00783D35"/>
    <w:rsid w:val="0078408A"/>
    <w:rsid w:val="0078425B"/>
    <w:rsid w:val="007845A5"/>
    <w:rsid w:val="0078477A"/>
    <w:rsid w:val="00784852"/>
    <w:rsid w:val="0078499C"/>
    <w:rsid w:val="00784BA6"/>
    <w:rsid w:val="00784CD9"/>
    <w:rsid w:val="00784F1D"/>
    <w:rsid w:val="00785026"/>
    <w:rsid w:val="007852E0"/>
    <w:rsid w:val="0078551D"/>
    <w:rsid w:val="00785546"/>
    <w:rsid w:val="007855ED"/>
    <w:rsid w:val="00785765"/>
    <w:rsid w:val="00785785"/>
    <w:rsid w:val="007857D1"/>
    <w:rsid w:val="00785816"/>
    <w:rsid w:val="007861EB"/>
    <w:rsid w:val="0078686D"/>
    <w:rsid w:val="007869D1"/>
    <w:rsid w:val="00786B55"/>
    <w:rsid w:val="0078752E"/>
    <w:rsid w:val="007876E9"/>
    <w:rsid w:val="007878CE"/>
    <w:rsid w:val="0078793A"/>
    <w:rsid w:val="00787AF9"/>
    <w:rsid w:val="00787B60"/>
    <w:rsid w:val="00787EDD"/>
    <w:rsid w:val="00787F01"/>
    <w:rsid w:val="0079000F"/>
    <w:rsid w:val="0079017E"/>
    <w:rsid w:val="0079020A"/>
    <w:rsid w:val="007902D2"/>
    <w:rsid w:val="00790423"/>
    <w:rsid w:val="0079071C"/>
    <w:rsid w:val="00790747"/>
    <w:rsid w:val="007907F0"/>
    <w:rsid w:val="00790B57"/>
    <w:rsid w:val="00790E95"/>
    <w:rsid w:val="007910D8"/>
    <w:rsid w:val="0079110D"/>
    <w:rsid w:val="007911F2"/>
    <w:rsid w:val="007913DF"/>
    <w:rsid w:val="007915E7"/>
    <w:rsid w:val="00791674"/>
    <w:rsid w:val="007916B8"/>
    <w:rsid w:val="00791AF1"/>
    <w:rsid w:val="00791CF0"/>
    <w:rsid w:val="00791D67"/>
    <w:rsid w:val="00791F54"/>
    <w:rsid w:val="00792204"/>
    <w:rsid w:val="007923E5"/>
    <w:rsid w:val="00792478"/>
    <w:rsid w:val="00792BD0"/>
    <w:rsid w:val="00792C37"/>
    <w:rsid w:val="00792D78"/>
    <w:rsid w:val="00792F67"/>
    <w:rsid w:val="00793114"/>
    <w:rsid w:val="00793170"/>
    <w:rsid w:val="007933CF"/>
    <w:rsid w:val="0079348B"/>
    <w:rsid w:val="00793522"/>
    <w:rsid w:val="00793C94"/>
    <w:rsid w:val="00793CD0"/>
    <w:rsid w:val="00794126"/>
    <w:rsid w:val="0079480B"/>
    <w:rsid w:val="00794842"/>
    <w:rsid w:val="00794C98"/>
    <w:rsid w:val="00794EE7"/>
    <w:rsid w:val="007953A3"/>
    <w:rsid w:val="007955CA"/>
    <w:rsid w:val="00795858"/>
    <w:rsid w:val="007958A3"/>
    <w:rsid w:val="00795D53"/>
    <w:rsid w:val="00795EFD"/>
    <w:rsid w:val="00795F28"/>
    <w:rsid w:val="00795F4E"/>
    <w:rsid w:val="0079602F"/>
    <w:rsid w:val="0079605A"/>
    <w:rsid w:val="007963B3"/>
    <w:rsid w:val="007963C5"/>
    <w:rsid w:val="00796660"/>
    <w:rsid w:val="00796686"/>
    <w:rsid w:val="007968F7"/>
    <w:rsid w:val="00796971"/>
    <w:rsid w:val="007969D8"/>
    <w:rsid w:val="00796AC1"/>
    <w:rsid w:val="00797050"/>
    <w:rsid w:val="00797254"/>
    <w:rsid w:val="00797533"/>
    <w:rsid w:val="007976E4"/>
    <w:rsid w:val="00797AB3"/>
    <w:rsid w:val="00797F57"/>
    <w:rsid w:val="007A0090"/>
    <w:rsid w:val="007A01E1"/>
    <w:rsid w:val="007A02BA"/>
    <w:rsid w:val="007A048D"/>
    <w:rsid w:val="007A0525"/>
    <w:rsid w:val="007A0CA3"/>
    <w:rsid w:val="007A0EAC"/>
    <w:rsid w:val="007A1001"/>
    <w:rsid w:val="007A1298"/>
    <w:rsid w:val="007A142F"/>
    <w:rsid w:val="007A16DF"/>
    <w:rsid w:val="007A1ADE"/>
    <w:rsid w:val="007A1C80"/>
    <w:rsid w:val="007A1C9E"/>
    <w:rsid w:val="007A1CC3"/>
    <w:rsid w:val="007A2418"/>
    <w:rsid w:val="007A2456"/>
    <w:rsid w:val="007A2BE5"/>
    <w:rsid w:val="007A2ED8"/>
    <w:rsid w:val="007A2F07"/>
    <w:rsid w:val="007A30FC"/>
    <w:rsid w:val="007A3269"/>
    <w:rsid w:val="007A3404"/>
    <w:rsid w:val="007A36A4"/>
    <w:rsid w:val="007A3AA3"/>
    <w:rsid w:val="007A3EBC"/>
    <w:rsid w:val="007A41D4"/>
    <w:rsid w:val="007A4299"/>
    <w:rsid w:val="007A42F7"/>
    <w:rsid w:val="007A438C"/>
    <w:rsid w:val="007A462F"/>
    <w:rsid w:val="007A4812"/>
    <w:rsid w:val="007A486F"/>
    <w:rsid w:val="007A48AE"/>
    <w:rsid w:val="007A49D5"/>
    <w:rsid w:val="007A4A93"/>
    <w:rsid w:val="007A4C56"/>
    <w:rsid w:val="007A4D7C"/>
    <w:rsid w:val="007A4E41"/>
    <w:rsid w:val="007A51D4"/>
    <w:rsid w:val="007A540B"/>
    <w:rsid w:val="007A545D"/>
    <w:rsid w:val="007A5873"/>
    <w:rsid w:val="007A5D53"/>
    <w:rsid w:val="007A5E16"/>
    <w:rsid w:val="007A5E2B"/>
    <w:rsid w:val="007A6173"/>
    <w:rsid w:val="007A6344"/>
    <w:rsid w:val="007A6527"/>
    <w:rsid w:val="007A65AF"/>
    <w:rsid w:val="007A65F0"/>
    <w:rsid w:val="007A6902"/>
    <w:rsid w:val="007A6A88"/>
    <w:rsid w:val="007A6D3C"/>
    <w:rsid w:val="007A726B"/>
    <w:rsid w:val="007A73A5"/>
    <w:rsid w:val="007A7D84"/>
    <w:rsid w:val="007A7DD6"/>
    <w:rsid w:val="007A7E25"/>
    <w:rsid w:val="007A7E79"/>
    <w:rsid w:val="007A7EB1"/>
    <w:rsid w:val="007B01FA"/>
    <w:rsid w:val="007B0580"/>
    <w:rsid w:val="007B0A7C"/>
    <w:rsid w:val="007B0C56"/>
    <w:rsid w:val="007B0DA6"/>
    <w:rsid w:val="007B0E19"/>
    <w:rsid w:val="007B0F43"/>
    <w:rsid w:val="007B153A"/>
    <w:rsid w:val="007B1542"/>
    <w:rsid w:val="007B1549"/>
    <w:rsid w:val="007B15C4"/>
    <w:rsid w:val="007B16D1"/>
    <w:rsid w:val="007B18E7"/>
    <w:rsid w:val="007B1A0C"/>
    <w:rsid w:val="007B1C22"/>
    <w:rsid w:val="007B1DF1"/>
    <w:rsid w:val="007B1E53"/>
    <w:rsid w:val="007B20C4"/>
    <w:rsid w:val="007B222B"/>
    <w:rsid w:val="007B2397"/>
    <w:rsid w:val="007B23F7"/>
    <w:rsid w:val="007B2863"/>
    <w:rsid w:val="007B2892"/>
    <w:rsid w:val="007B2D06"/>
    <w:rsid w:val="007B2D4D"/>
    <w:rsid w:val="007B3453"/>
    <w:rsid w:val="007B3805"/>
    <w:rsid w:val="007B3955"/>
    <w:rsid w:val="007B3CE3"/>
    <w:rsid w:val="007B41D3"/>
    <w:rsid w:val="007B4C11"/>
    <w:rsid w:val="007B4E1C"/>
    <w:rsid w:val="007B4F4D"/>
    <w:rsid w:val="007B52A8"/>
    <w:rsid w:val="007B5443"/>
    <w:rsid w:val="007B564D"/>
    <w:rsid w:val="007B581B"/>
    <w:rsid w:val="007B58B6"/>
    <w:rsid w:val="007B592A"/>
    <w:rsid w:val="007B5953"/>
    <w:rsid w:val="007B5C6D"/>
    <w:rsid w:val="007B5F56"/>
    <w:rsid w:val="007B6312"/>
    <w:rsid w:val="007B66C1"/>
    <w:rsid w:val="007B69FF"/>
    <w:rsid w:val="007B6CF5"/>
    <w:rsid w:val="007B70BC"/>
    <w:rsid w:val="007B76B7"/>
    <w:rsid w:val="007B791B"/>
    <w:rsid w:val="007B7CC7"/>
    <w:rsid w:val="007C0582"/>
    <w:rsid w:val="007C0B1E"/>
    <w:rsid w:val="007C0D0F"/>
    <w:rsid w:val="007C11FF"/>
    <w:rsid w:val="007C13DD"/>
    <w:rsid w:val="007C199C"/>
    <w:rsid w:val="007C1A83"/>
    <w:rsid w:val="007C1C4B"/>
    <w:rsid w:val="007C1C98"/>
    <w:rsid w:val="007C1DB0"/>
    <w:rsid w:val="007C20BB"/>
    <w:rsid w:val="007C2205"/>
    <w:rsid w:val="007C249A"/>
    <w:rsid w:val="007C2BB2"/>
    <w:rsid w:val="007C2D89"/>
    <w:rsid w:val="007C2DF9"/>
    <w:rsid w:val="007C2FCD"/>
    <w:rsid w:val="007C330C"/>
    <w:rsid w:val="007C3342"/>
    <w:rsid w:val="007C35ED"/>
    <w:rsid w:val="007C37E7"/>
    <w:rsid w:val="007C3BB3"/>
    <w:rsid w:val="007C3F3D"/>
    <w:rsid w:val="007C4361"/>
    <w:rsid w:val="007C4438"/>
    <w:rsid w:val="007C4840"/>
    <w:rsid w:val="007C4925"/>
    <w:rsid w:val="007C4B34"/>
    <w:rsid w:val="007C4EB8"/>
    <w:rsid w:val="007C5215"/>
    <w:rsid w:val="007C53ED"/>
    <w:rsid w:val="007C584F"/>
    <w:rsid w:val="007C5A07"/>
    <w:rsid w:val="007C5A92"/>
    <w:rsid w:val="007C5E40"/>
    <w:rsid w:val="007C60A9"/>
    <w:rsid w:val="007C6135"/>
    <w:rsid w:val="007C63BE"/>
    <w:rsid w:val="007C6506"/>
    <w:rsid w:val="007C6755"/>
    <w:rsid w:val="007C6760"/>
    <w:rsid w:val="007C678E"/>
    <w:rsid w:val="007C6987"/>
    <w:rsid w:val="007C7006"/>
    <w:rsid w:val="007C726B"/>
    <w:rsid w:val="007C72F9"/>
    <w:rsid w:val="007C74BB"/>
    <w:rsid w:val="007C7641"/>
    <w:rsid w:val="007C7854"/>
    <w:rsid w:val="007C7F68"/>
    <w:rsid w:val="007D03D3"/>
    <w:rsid w:val="007D041D"/>
    <w:rsid w:val="007D0542"/>
    <w:rsid w:val="007D06F4"/>
    <w:rsid w:val="007D0D37"/>
    <w:rsid w:val="007D0E88"/>
    <w:rsid w:val="007D0EAF"/>
    <w:rsid w:val="007D1238"/>
    <w:rsid w:val="007D15FC"/>
    <w:rsid w:val="007D17E1"/>
    <w:rsid w:val="007D18EA"/>
    <w:rsid w:val="007D190F"/>
    <w:rsid w:val="007D19BA"/>
    <w:rsid w:val="007D19E9"/>
    <w:rsid w:val="007D1C66"/>
    <w:rsid w:val="007D1E02"/>
    <w:rsid w:val="007D1E43"/>
    <w:rsid w:val="007D1E66"/>
    <w:rsid w:val="007D20F4"/>
    <w:rsid w:val="007D2399"/>
    <w:rsid w:val="007D24BA"/>
    <w:rsid w:val="007D2550"/>
    <w:rsid w:val="007D27BE"/>
    <w:rsid w:val="007D29CB"/>
    <w:rsid w:val="007D2BC9"/>
    <w:rsid w:val="007D2EC1"/>
    <w:rsid w:val="007D31D2"/>
    <w:rsid w:val="007D336B"/>
    <w:rsid w:val="007D3739"/>
    <w:rsid w:val="007D37D4"/>
    <w:rsid w:val="007D3E11"/>
    <w:rsid w:val="007D3F8F"/>
    <w:rsid w:val="007D4175"/>
    <w:rsid w:val="007D4227"/>
    <w:rsid w:val="007D4510"/>
    <w:rsid w:val="007D4568"/>
    <w:rsid w:val="007D495D"/>
    <w:rsid w:val="007D4AEB"/>
    <w:rsid w:val="007D4E54"/>
    <w:rsid w:val="007D4FBC"/>
    <w:rsid w:val="007D4FFD"/>
    <w:rsid w:val="007D5348"/>
    <w:rsid w:val="007D536A"/>
    <w:rsid w:val="007D55E9"/>
    <w:rsid w:val="007D5786"/>
    <w:rsid w:val="007D593B"/>
    <w:rsid w:val="007D59DB"/>
    <w:rsid w:val="007D5ACF"/>
    <w:rsid w:val="007D618E"/>
    <w:rsid w:val="007D622F"/>
    <w:rsid w:val="007D645F"/>
    <w:rsid w:val="007D650C"/>
    <w:rsid w:val="007D67D2"/>
    <w:rsid w:val="007D697A"/>
    <w:rsid w:val="007D6B77"/>
    <w:rsid w:val="007D6BB9"/>
    <w:rsid w:val="007D6D8B"/>
    <w:rsid w:val="007D6F2D"/>
    <w:rsid w:val="007D707A"/>
    <w:rsid w:val="007D7292"/>
    <w:rsid w:val="007D7310"/>
    <w:rsid w:val="007D7400"/>
    <w:rsid w:val="007D774C"/>
    <w:rsid w:val="007D7A40"/>
    <w:rsid w:val="007D7B9A"/>
    <w:rsid w:val="007D7BE6"/>
    <w:rsid w:val="007D7D86"/>
    <w:rsid w:val="007D7D93"/>
    <w:rsid w:val="007E0137"/>
    <w:rsid w:val="007E015E"/>
    <w:rsid w:val="007E01D9"/>
    <w:rsid w:val="007E042B"/>
    <w:rsid w:val="007E0551"/>
    <w:rsid w:val="007E093A"/>
    <w:rsid w:val="007E0976"/>
    <w:rsid w:val="007E0A4A"/>
    <w:rsid w:val="007E0AD7"/>
    <w:rsid w:val="007E0AE4"/>
    <w:rsid w:val="007E0D63"/>
    <w:rsid w:val="007E202E"/>
    <w:rsid w:val="007E246C"/>
    <w:rsid w:val="007E2529"/>
    <w:rsid w:val="007E2738"/>
    <w:rsid w:val="007E29E6"/>
    <w:rsid w:val="007E2A72"/>
    <w:rsid w:val="007E2B2A"/>
    <w:rsid w:val="007E2E54"/>
    <w:rsid w:val="007E2EA3"/>
    <w:rsid w:val="007E2F4D"/>
    <w:rsid w:val="007E2F70"/>
    <w:rsid w:val="007E3057"/>
    <w:rsid w:val="007E332B"/>
    <w:rsid w:val="007E3417"/>
    <w:rsid w:val="007E344B"/>
    <w:rsid w:val="007E36CB"/>
    <w:rsid w:val="007E377B"/>
    <w:rsid w:val="007E37AA"/>
    <w:rsid w:val="007E37E1"/>
    <w:rsid w:val="007E3856"/>
    <w:rsid w:val="007E38AD"/>
    <w:rsid w:val="007E3A7F"/>
    <w:rsid w:val="007E3B28"/>
    <w:rsid w:val="007E4062"/>
    <w:rsid w:val="007E43DF"/>
    <w:rsid w:val="007E4694"/>
    <w:rsid w:val="007E4C90"/>
    <w:rsid w:val="007E52B2"/>
    <w:rsid w:val="007E5414"/>
    <w:rsid w:val="007E5489"/>
    <w:rsid w:val="007E59F8"/>
    <w:rsid w:val="007E5A8B"/>
    <w:rsid w:val="007E5D4E"/>
    <w:rsid w:val="007E5E35"/>
    <w:rsid w:val="007E5E37"/>
    <w:rsid w:val="007E5FD8"/>
    <w:rsid w:val="007E60AB"/>
    <w:rsid w:val="007E6202"/>
    <w:rsid w:val="007E73B3"/>
    <w:rsid w:val="007E7651"/>
    <w:rsid w:val="007E772C"/>
    <w:rsid w:val="007E774C"/>
    <w:rsid w:val="007E79A6"/>
    <w:rsid w:val="007E79AF"/>
    <w:rsid w:val="007E7A0F"/>
    <w:rsid w:val="007E7C73"/>
    <w:rsid w:val="007E7D74"/>
    <w:rsid w:val="007E7E59"/>
    <w:rsid w:val="007F02D7"/>
    <w:rsid w:val="007F0520"/>
    <w:rsid w:val="007F06B5"/>
    <w:rsid w:val="007F096F"/>
    <w:rsid w:val="007F0D6F"/>
    <w:rsid w:val="007F156C"/>
    <w:rsid w:val="007F188E"/>
    <w:rsid w:val="007F1AC0"/>
    <w:rsid w:val="007F1BB7"/>
    <w:rsid w:val="007F1F91"/>
    <w:rsid w:val="007F222B"/>
    <w:rsid w:val="007F23CE"/>
    <w:rsid w:val="007F270F"/>
    <w:rsid w:val="007F2853"/>
    <w:rsid w:val="007F3088"/>
    <w:rsid w:val="007F30DE"/>
    <w:rsid w:val="007F32F9"/>
    <w:rsid w:val="007F38FC"/>
    <w:rsid w:val="007F3977"/>
    <w:rsid w:val="007F3AE8"/>
    <w:rsid w:val="007F4505"/>
    <w:rsid w:val="007F45E2"/>
    <w:rsid w:val="007F48D5"/>
    <w:rsid w:val="007F4A3C"/>
    <w:rsid w:val="007F4CD0"/>
    <w:rsid w:val="007F4D64"/>
    <w:rsid w:val="007F4EA0"/>
    <w:rsid w:val="007F5401"/>
    <w:rsid w:val="007F540F"/>
    <w:rsid w:val="007F5451"/>
    <w:rsid w:val="007F56D6"/>
    <w:rsid w:val="007F5719"/>
    <w:rsid w:val="007F5771"/>
    <w:rsid w:val="007F589F"/>
    <w:rsid w:val="007F58C9"/>
    <w:rsid w:val="007F5AFD"/>
    <w:rsid w:val="007F5C3B"/>
    <w:rsid w:val="007F6111"/>
    <w:rsid w:val="007F617D"/>
    <w:rsid w:val="007F6243"/>
    <w:rsid w:val="007F62D5"/>
    <w:rsid w:val="007F63FC"/>
    <w:rsid w:val="007F6412"/>
    <w:rsid w:val="007F694A"/>
    <w:rsid w:val="007F6A5D"/>
    <w:rsid w:val="007F6AE8"/>
    <w:rsid w:val="007F6C30"/>
    <w:rsid w:val="007F6FEC"/>
    <w:rsid w:val="007F7087"/>
    <w:rsid w:val="007F72AA"/>
    <w:rsid w:val="007F7517"/>
    <w:rsid w:val="007F765F"/>
    <w:rsid w:val="007F768B"/>
    <w:rsid w:val="007F7742"/>
    <w:rsid w:val="007F77BB"/>
    <w:rsid w:val="007F78C5"/>
    <w:rsid w:val="007F7C42"/>
    <w:rsid w:val="007F7C70"/>
    <w:rsid w:val="007F7C97"/>
    <w:rsid w:val="007F7CA2"/>
    <w:rsid w:val="007F7CF3"/>
    <w:rsid w:val="007F7F25"/>
    <w:rsid w:val="00800233"/>
    <w:rsid w:val="008003C5"/>
    <w:rsid w:val="00800459"/>
    <w:rsid w:val="00800D06"/>
    <w:rsid w:val="00800D66"/>
    <w:rsid w:val="00801202"/>
    <w:rsid w:val="008019AD"/>
    <w:rsid w:val="00801B0A"/>
    <w:rsid w:val="00801B5D"/>
    <w:rsid w:val="00801C8D"/>
    <w:rsid w:val="00801EC0"/>
    <w:rsid w:val="00802233"/>
    <w:rsid w:val="008022D9"/>
    <w:rsid w:val="008022F6"/>
    <w:rsid w:val="008023DB"/>
    <w:rsid w:val="008026C9"/>
    <w:rsid w:val="0080289B"/>
    <w:rsid w:val="00802984"/>
    <w:rsid w:val="00802B6D"/>
    <w:rsid w:val="00802BDA"/>
    <w:rsid w:val="00802D14"/>
    <w:rsid w:val="00803651"/>
    <w:rsid w:val="0080366A"/>
    <w:rsid w:val="00803915"/>
    <w:rsid w:val="008039D5"/>
    <w:rsid w:val="00803A56"/>
    <w:rsid w:val="00803C34"/>
    <w:rsid w:val="00803D62"/>
    <w:rsid w:val="00803EB4"/>
    <w:rsid w:val="008040CE"/>
    <w:rsid w:val="008041C3"/>
    <w:rsid w:val="0080437E"/>
    <w:rsid w:val="008045D3"/>
    <w:rsid w:val="00804723"/>
    <w:rsid w:val="00804E3C"/>
    <w:rsid w:val="00804FBE"/>
    <w:rsid w:val="00804FE9"/>
    <w:rsid w:val="00805070"/>
    <w:rsid w:val="008051C2"/>
    <w:rsid w:val="008055E3"/>
    <w:rsid w:val="008057E7"/>
    <w:rsid w:val="0080581E"/>
    <w:rsid w:val="0080582A"/>
    <w:rsid w:val="0080589F"/>
    <w:rsid w:val="00805ABC"/>
    <w:rsid w:val="00805BA0"/>
    <w:rsid w:val="00805BB4"/>
    <w:rsid w:val="00805D6C"/>
    <w:rsid w:val="008060EA"/>
    <w:rsid w:val="00806227"/>
    <w:rsid w:val="008063BF"/>
    <w:rsid w:val="008064AB"/>
    <w:rsid w:val="00806DDF"/>
    <w:rsid w:val="00807803"/>
    <w:rsid w:val="00807A91"/>
    <w:rsid w:val="00807F5C"/>
    <w:rsid w:val="008101EF"/>
    <w:rsid w:val="00810F4F"/>
    <w:rsid w:val="0081114F"/>
    <w:rsid w:val="008112F7"/>
    <w:rsid w:val="0081142E"/>
    <w:rsid w:val="0081186C"/>
    <w:rsid w:val="00811B15"/>
    <w:rsid w:val="00811C33"/>
    <w:rsid w:val="00811E33"/>
    <w:rsid w:val="00811E43"/>
    <w:rsid w:val="00811EF3"/>
    <w:rsid w:val="00811F56"/>
    <w:rsid w:val="00811F64"/>
    <w:rsid w:val="00812AEE"/>
    <w:rsid w:val="00812B96"/>
    <w:rsid w:val="00812C78"/>
    <w:rsid w:val="00812DBC"/>
    <w:rsid w:val="0081322E"/>
    <w:rsid w:val="0081333E"/>
    <w:rsid w:val="00813457"/>
    <w:rsid w:val="008136F7"/>
    <w:rsid w:val="00813C2D"/>
    <w:rsid w:val="00813EE9"/>
    <w:rsid w:val="00813F30"/>
    <w:rsid w:val="00814531"/>
    <w:rsid w:val="00814578"/>
    <w:rsid w:val="0081478F"/>
    <w:rsid w:val="0081490E"/>
    <w:rsid w:val="0081498A"/>
    <w:rsid w:val="00814BD2"/>
    <w:rsid w:val="00814C86"/>
    <w:rsid w:val="00814D23"/>
    <w:rsid w:val="00814D7D"/>
    <w:rsid w:val="00815051"/>
    <w:rsid w:val="008150E2"/>
    <w:rsid w:val="008157B8"/>
    <w:rsid w:val="00815870"/>
    <w:rsid w:val="008158FC"/>
    <w:rsid w:val="0081591D"/>
    <w:rsid w:val="00815CD9"/>
    <w:rsid w:val="00815E63"/>
    <w:rsid w:val="00815F52"/>
    <w:rsid w:val="008163CC"/>
    <w:rsid w:val="008163E4"/>
    <w:rsid w:val="00816773"/>
    <w:rsid w:val="00816798"/>
    <w:rsid w:val="00816A59"/>
    <w:rsid w:val="00816C2B"/>
    <w:rsid w:val="00816E69"/>
    <w:rsid w:val="00816F2A"/>
    <w:rsid w:val="00816F2B"/>
    <w:rsid w:val="008173E2"/>
    <w:rsid w:val="00817797"/>
    <w:rsid w:val="008177C5"/>
    <w:rsid w:val="00817C4F"/>
    <w:rsid w:val="00817E8E"/>
    <w:rsid w:val="008200F2"/>
    <w:rsid w:val="008200FD"/>
    <w:rsid w:val="00820145"/>
    <w:rsid w:val="008206D3"/>
    <w:rsid w:val="0082076C"/>
    <w:rsid w:val="00820BB0"/>
    <w:rsid w:val="00820D64"/>
    <w:rsid w:val="00820F2E"/>
    <w:rsid w:val="00821462"/>
    <w:rsid w:val="008216BB"/>
    <w:rsid w:val="00821818"/>
    <w:rsid w:val="00821C5D"/>
    <w:rsid w:val="00821CCD"/>
    <w:rsid w:val="00821CE6"/>
    <w:rsid w:val="00821D2C"/>
    <w:rsid w:val="008221B3"/>
    <w:rsid w:val="0082297B"/>
    <w:rsid w:val="008229EC"/>
    <w:rsid w:val="00822A6D"/>
    <w:rsid w:val="00822C28"/>
    <w:rsid w:val="00822D89"/>
    <w:rsid w:val="00822DEB"/>
    <w:rsid w:val="0082346E"/>
    <w:rsid w:val="00823983"/>
    <w:rsid w:val="008239E6"/>
    <w:rsid w:val="00823E5A"/>
    <w:rsid w:val="00823F17"/>
    <w:rsid w:val="0082402A"/>
    <w:rsid w:val="00824484"/>
    <w:rsid w:val="008245FB"/>
    <w:rsid w:val="0082469B"/>
    <w:rsid w:val="00824A9A"/>
    <w:rsid w:val="00824CC4"/>
    <w:rsid w:val="00824F0F"/>
    <w:rsid w:val="00825405"/>
    <w:rsid w:val="0082548D"/>
    <w:rsid w:val="008254B6"/>
    <w:rsid w:val="0082583E"/>
    <w:rsid w:val="00826281"/>
    <w:rsid w:val="008263B2"/>
    <w:rsid w:val="0082646C"/>
    <w:rsid w:val="008266AA"/>
    <w:rsid w:val="0082699A"/>
    <w:rsid w:val="00826BC3"/>
    <w:rsid w:val="00826BE2"/>
    <w:rsid w:val="00826D11"/>
    <w:rsid w:val="00826E9D"/>
    <w:rsid w:val="00827180"/>
    <w:rsid w:val="008271A5"/>
    <w:rsid w:val="0082723D"/>
    <w:rsid w:val="00827444"/>
    <w:rsid w:val="008274D9"/>
    <w:rsid w:val="008275B7"/>
    <w:rsid w:val="0082761A"/>
    <w:rsid w:val="00827A53"/>
    <w:rsid w:val="00827B96"/>
    <w:rsid w:val="008305E2"/>
    <w:rsid w:val="00830627"/>
    <w:rsid w:val="00830920"/>
    <w:rsid w:val="0083095E"/>
    <w:rsid w:val="00830BE7"/>
    <w:rsid w:val="00830D73"/>
    <w:rsid w:val="008310BA"/>
    <w:rsid w:val="0083166C"/>
    <w:rsid w:val="00831B49"/>
    <w:rsid w:val="00831BFC"/>
    <w:rsid w:val="00831F04"/>
    <w:rsid w:val="00832355"/>
    <w:rsid w:val="008324B4"/>
    <w:rsid w:val="008324B5"/>
    <w:rsid w:val="00832591"/>
    <w:rsid w:val="008325DF"/>
    <w:rsid w:val="00832855"/>
    <w:rsid w:val="00832C03"/>
    <w:rsid w:val="0083305B"/>
    <w:rsid w:val="00833123"/>
    <w:rsid w:val="0083332C"/>
    <w:rsid w:val="00833390"/>
    <w:rsid w:val="00833421"/>
    <w:rsid w:val="00833688"/>
    <w:rsid w:val="008336E5"/>
    <w:rsid w:val="008339B7"/>
    <w:rsid w:val="00833B89"/>
    <w:rsid w:val="00833C02"/>
    <w:rsid w:val="00833C38"/>
    <w:rsid w:val="00833C48"/>
    <w:rsid w:val="00833E12"/>
    <w:rsid w:val="00833F11"/>
    <w:rsid w:val="008341E2"/>
    <w:rsid w:val="00834285"/>
    <w:rsid w:val="0083447F"/>
    <w:rsid w:val="0083448D"/>
    <w:rsid w:val="008344FC"/>
    <w:rsid w:val="00834A5F"/>
    <w:rsid w:val="00834BC3"/>
    <w:rsid w:val="00834D61"/>
    <w:rsid w:val="00835B98"/>
    <w:rsid w:val="00835C76"/>
    <w:rsid w:val="00835CDF"/>
    <w:rsid w:val="008361A1"/>
    <w:rsid w:val="00836264"/>
    <w:rsid w:val="00836292"/>
    <w:rsid w:val="008368C0"/>
    <w:rsid w:val="008368D1"/>
    <w:rsid w:val="00836AA8"/>
    <w:rsid w:val="00836BD8"/>
    <w:rsid w:val="00836EE3"/>
    <w:rsid w:val="00836F8B"/>
    <w:rsid w:val="0083717A"/>
    <w:rsid w:val="00837209"/>
    <w:rsid w:val="00837485"/>
    <w:rsid w:val="008374EF"/>
    <w:rsid w:val="00837930"/>
    <w:rsid w:val="00837991"/>
    <w:rsid w:val="00837B5F"/>
    <w:rsid w:val="00837D80"/>
    <w:rsid w:val="0084013B"/>
    <w:rsid w:val="008402A9"/>
    <w:rsid w:val="00840363"/>
    <w:rsid w:val="0084098F"/>
    <w:rsid w:val="00840B13"/>
    <w:rsid w:val="00840B63"/>
    <w:rsid w:val="00840E3E"/>
    <w:rsid w:val="0084129D"/>
    <w:rsid w:val="00841380"/>
    <w:rsid w:val="00841496"/>
    <w:rsid w:val="0084168F"/>
    <w:rsid w:val="0084182C"/>
    <w:rsid w:val="00841B93"/>
    <w:rsid w:val="00842029"/>
    <w:rsid w:val="008420D1"/>
    <w:rsid w:val="00842453"/>
    <w:rsid w:val="00842535"/>
    <w:rsid w:val="008428D5"/>
    <w:rsid w:val="00842D8E"/>
    <w:rsid w:val="00842E0A"/>
    <w:rsid w:val="00842E60"/>
    <w:rsid w:val="00842E69"/>
    <w:rsid w:val="0084310A"/>
    <w:rsid w:val="00843B65"/>
    <w:rsid w:val="00843CD3"/>
    <w:rsid w:val="00843FD9"/>
    <w:rsid w:val="00844633"/>
    <w:rsid w:val="0084474F"/>
    <w:rsid w:val="00844BE9"/>
    <w:rsid w:val="0084520E"/>
    <w:rsid w:val="00845228"/>
    <w:rsid w:val="0084528B"/>
    <w:rsid w:val="0084571A"/>
    <w:rsid w:val="00845B19"/>
    <w:rsid w:val="00845CAE"/>
    <w:rsid w:val="0084602F"/>
    <w:rsid w:val="008463A2"/>
    <w:rsid w:val="0084671B"/>
    <w:rsid w:val="00846D44"/>
    <w:rsid w:val="00846F14"/>
    <w:rsid w:val="00846F37"/>
    <w:rsid w:val="0084702D"/>
    <w:rsid w:val="0084720A"/>
    <w:rsid w:val="008474AB"/>
    <w:rsid w:val="00847868"/>
    <w:rsid w:val="00847B30"/>
    <w:rsid w:val="00847D1E"/>
    <w:rsid w:val="00847F2A"/>
    <w:rsid w:val="008501C0"/>
    <w:rsid w:val="00850C4E"/>
    <w:rsid w:val="00850C5E"/>
    <w:rsid w:val="00850ED0"/>
    <w:rsid w:val="008510AC"/>
    <w:rsid w:val="00851294"/>
    <w:rsid w:val="00851920"/>
    <w:rsid w:val="00851B12"/>
    <w:rsid w:val="00851CE8"/>
    <w:rsid w:val="00851D99"/>
    <w:rsid w:val="00851E20"/>
    <w:rsid w:val="00851EFC"/>
    <w:rsid w:val="008520B4"/>
    <w:rsid w:val="0085240D"/>
    <w:rsid w:val="008526B5"/>
    <w:rsid w:val="008527F6"/>
    <w:rsid w:val="00852A1D"/>
    <w:rsid w:val="00852E76"/>
    <w:rsid w:val="008532EE"/>
    <w:rsid w:val="0085399D"/>
    <w:rsid w:val="00853E79"/>
    <w:rsid w:val="00854117"/>
    <w:rsid w:val="00854224"/>
    <w:rsid w:val="00854228"/>
    <w:rsid w:val="00854454"/>
    <w:rsid w:val="0085469D"/>
    <w:rsid w:val="00854A31"/>
    <w:rsid w:val="00854AE1"/>
    <w:rsid w:val="00854D9E"/>
    <w:rsid w:val="0085525C"/>
    <w:rsid w:val="00855893"/>
    <w:rsid w:val="0085599F"/>
    <w:rsid w:val="00855A00"/>
    <w:rsid w:val="00855C18"/>
    <w:rsid w:val="00855E7F"/>
    <w:rsid w:val="00855F68"/>
    <w:rsid w:val="00855FFC"/>
    <w:rsid w:val="0085603F"/>
    <w:rsid w:val="0085628E"/>
    <w:rsid w:val="00856684"/>
    <w:rsid w:val="008566F2"/>
    <w:rsid w:val="00856C07"/>
    <w:rsid w:val="00856C2F"/>
    <w:rsid w:val="00856F5E"/>
    <w:rsid w:val="008571C2"/>
    <w:rsid w:val="00857517"/>
    <w:rsid w:val="008579CF"/>
    <w:rsid w:val="00857AEF"/>
    <w:rsid w:val="00857E86"/>
    <w:rsid w:val="0086057E"/>
    <w:rsid w:val="00860646"/>
    <w:rsid w:val="008606FD"/>
    <w:rsid w:val="00860700"/>
    <w:rsid w:val="00860867"/>
    <w:rsid w:val="00860CAB"/>
    <w:rsid w:val="00860F8E"/>
    <w:rsid w:val="00861304"/>
    <w:rsid w:val="00861429"/>
    <w:rsid w:val="00861677"/>
    <w:rsid w:val="0086167A"/>
    <w:rsid w:val="008616EE"/>
    <w:rsid w:val="00861867"/>
    <w:rsid w:val="00861C8A"/>
    <w:rsid w:val="00861CA0"/>
    <w:rsid w:val="00861F02"/>
    <w:rsid w:val="00861FF5"/>
    <w:rsid w:val="00862466"/>
    <w:rsid w:val="008624BD"/>
    <w:rsid w:val="008627DA"/>
    <w:rsid w:val="00862B9D"/>
    <w:rsid w:val="00862CF4"/>
    <w:rsid w:val="00862F24"/>
    <w:rsid w:val="00863335"/>
    <w:rsid w:val="00863596"/>
    <w:rsid w:val="008636CF"/>
    <w:rsid w:val="008638F4"/>
    <w:rsid w:val="00863A60"/>
    <w:rsid w:val="00863C0A"/>
    <w:rsid w:val="00863D65"/>
    <w:rsid w:val="0086485C"/>
    <w:rsid w:val="00864B77"/>
    <w:rsid w:val="00864C78"/>
    <w:rsid w:val="00864CE6"/>
    <w:rsid w:val="00864F01"/>
    <w:rsid w:val="00865298"/>
    <w:rsid w:val="0086532E"/>
    <w:rsid w:val="0086537F"/>
    <w:rsid w:val="008658BA"/>
    <w:rsid w:val="00865932"/>
    <w:rsid w:val="00865D05"/>
    <w:rsid w:val="008660FE"/>
    <w:rsid w:val="008663C9"/>
    <w:rsid w:val="00866BC4"/>
    <w:rsid w:val="00866C28"/>
    <w:rsid w:val="00866F20"/>
    <w:rsid w:val="00867115"/>
    <w:rsid w:val="00867391"/>
    <w:rsid w:val="008676E4"/>
    <w:rsid w:val="00867A08"/>
    <w:rsid w:val="00867ACB"/>
    <w:rsid w:val="00867BFC"/>
    <w:rsid w:val="00867E29"/>
    <w:rsid w:val="00867EE1"/>
    <w:rsid w:val="00867FCE"/>
    <w:rsid w:val="008704AC"/>
    <w:rsid w:val="0087093F"/>
    <w:rsid w:val="00870A46"/>
    <w:rsid w:val="00870A6E"/>
    <w:rsid w:val="00870CAC"/>
    <w:rsid w:val="00870CCB"/>
    <w:rsid w:val="00870EB0"/>
    <w:rsid w:val="0087121A"/>
    <w:rsid w:val="008712F7"/>
    <w:rsid w:val="00871A68"/>
    <w:rsid w:val="00871AC3"/>
    <w:rsid w:val="00871B16"/>
    <w:rsid w:val="00871B7B"/>
    <w:rsid w:val="00871C81"/>
    <w:rsid w:val="00871DDF"/>
    <w:rsid w:val="0087212B"/>
    <w:rsid w:val="00872974"/>
    <w:rsid w:val="00872BA2"/>
    <w:rsid w:val="00872C08"/>
    <w:rsid w:val="00872D39"/>
    <w:rsid w:val="00872DC6"/>
    <w:rsid w:val="00872F1A"/>
    <w:rsid w:val="008730E5"/>
    <w:rsid w:val="008732F8"/>
    <w:rsid w:val="00873502"/>
    <w:rsid w:val="00873781"/>
    <w:rsid w:val="008737B7"/>
    <w:rsid w:val="00873CCA"/>
    <w:rsid w:val="00873EDB"/>
    <w:rsid w:val="008745E6"/>
    <w:rsid w:val="00874789"/>
    <w:rsid w:val="00874A9D"/>
    <w:rsid w:val="00875068"/>
    <w:rsid w:val="00875196"/>
    <w:rsid w:val="0087574E"/>
    <w:rsid w:val="0087579A"/>
    <w:rsid w:val="008758A6"/>
    <w:rsid w:val="00875BBC"/>
    <w:rsid w:val="00875D76"/>
    <w:rsid w:val="00875EB7"/>
    <w:rsid w:val="00875FF7"/>
    <w:rsid w:val="008762E0"/>
    <w:rsid w:val="00876369"/>
    <w:rsid w:val="008766F6"/>
    <w:rsid w:val="00876CC6"/>
    <w:rsid w:val="0087722E"/>
    <w:rsid w:val="008773A4"/>
    <w:rsid w:val="008774D7"/>
    <w:rsid w:val="008777DE"/>
    <w:rsid w:val="00877CFF"/>
    <w:rsid w:val="00877F2B"/>
    <w:rsid w:val="00880051"/>
    <w:rsid w:val="008801FC"/>
    <w:rsid w:val="00880317"/>
    <w:rsid w:val="00880682"/>
    <w:rsid w:val="00880B56"/>
    <w:rsid w:val="00880B86"/>
    <w:rsid w:val="00880D6D"/>
    <w:rsid w:val="00880ED5"/>
    <w:rsid w:val="008810D8"/>
    <w:rsid w:val="0088135E"/>
    <w:rsid w:val="008813D1"/>
    <w:rsid w:val="0088184D"/>
    <w:rsid w:val="00881F88"/>
    <w:rsid w:val="00882551"/>
    <w:rsid w:val="00882704"/>
    <w:rsid w:val="00882796"/>
    <w:rsid w:val="008827D0"/>
    <w:rsid w:val="00882802"/>
    <w:rsid w:val="00882F69"/>
    <w:rsid w:val="008833AF"/>
    <w:rsid w:val="008836E1"/>
    <w:rsid w:val="00884263"/>
    <w:rsid w:val="0088430C"/>
    <w:rsid w:val="008844AE"/>
    <w:rsid w:val="00884649"/>
    <w:rsid w:val="008846C4"/>
    <w:rsid w:val="0088490D"/>
    <w:rsid w:val="008849E5"/>
    <w:rsid w:val="00884A96"/>
    <w:rsid w:val="00884D2C"/>
    <w:rsid w:val="00884D31"/>
    <w:rsid w:val="00884DDD"/>
    <w:rsid w:val="00884F2B"/>
    <w:rsid w:val="00885135"/>
    <w:rsid w:val="0088523D"/>
    <w:rsid w:val="0088571D"/>
    <w:rsid w:val="00885781"/>
    <w:rsid w:val="00885B06"/>
    <w:rsid w:val="00885E99"/>
    <w:rsid w:val="00885ECB"/>
    <w:rsid w:val="00885F57"/>
    <w:rsid w:val="0088614E"/>
    <w:rsid w:val="008861ED"/>
    <w:rsid w:val="008865E8"/>
    <w:rsid w:val="008867BC"/>
    <w:rsid w:val="00886C52"/>
    <w:rsid w:val="00886DC0"/>
    <w:rsid w:val="0088704A"/>
    <w:rsid w:val="0088717A"/>
    <w:rsid w:val="008871C0"/>
    <w:rsid w:val="0088721C"/>
    <w:rsid w:val="0088735E"/>
    <w:rsid w:val="008873E9"/>
    <w:rsid w:val="008874BA"/>
    <w:rsid w:val="0088756A"/>
    <w:rsid w:val="00887774"/>
    <w:rsid w:val="008877A2"/>
    <w:rsid w:val="008877F2"/>
    <w:rsid w:val="008879D1"/>
    <w:rsid w:val="00887A5F"/>
    <w:rsid w:val="00887AFC"/>
    <w:rsid w:val="00887D38"/>
    <w:rsid w:val="00887EF6"/>
    <w:rsid w:val="00887F40"/>
    <w:rsid w:val="00890261"/>
    <w:rsid w:val="0089035F"/>
    <w:rsid w:val="00890536"/>
    <w:rsid w:val="00890576"/>
    <w:rsid w:val="00890859"/>
    <w:rsid w:val="00890910"/>
    <w:rsid w:val="0089091C"/>
    <w:rsid w:val="00890BAA"/>
    <w:rsid w:val="00890DD2"/>
    <w:rsid w:val="00890F72"/>
    <w:rsid w:val="00890FE6"/>
    <w:rsid w:val="008912A4"/>
    <w:rsid w:val="0089223A"/>
    <w:rsid w:val="008927C8"/>
    <w:rsid w:val="008927F5"/>
    <w:rsid w:val="008929D2"/>
    <w:rsid w:val="00892C36"/>
    <w:rsid w:val="00892CA3"/>
    <w:rsid w:val="00892FE4"/>
    <w:rsid w:val="0089303E"/>
    <w:rsid w:val="0089319B"/>
    <w:rsid w:val="008933FE"/>
    <w:rsid w:val="0089352C"/>
    <w:rsid w:val="00893565"/>
    <w:rsid w:val="0089387E"/>
    <w:rsid w:val="008938AC"/>
    <w:rsid w:val="00893970"/>
    <w:rsid w:val="00893CDE"/>
    <w:rsid w:val="00893E4B"/>
    <w:rsid w:val="0089445D"/>
    <w:rsid w:val="00894509"/>
    <w:rsid w:val="008945E6"/>
    <w:rsid w:val="00894854"/>
    <w:rsid w:val="00894DEF"/>
    <w:rsid w:val="008951A6"/>
    <w:rsid w:val="00895422"/>
    <w:rsid w:val="00895A05"/>
    <w:rsid w:val="00895CD8"/>
    <w:rsid w:val="0089635E"/>
    <w:rsid w:val="008963FA"/>
    <w:rsid w:val="008964AB"/>
    <w:rsid w:val="00896829"/>
    <w:rsid w:val="0089690B"/>
    <w:rsid w:val="00896915"/>
    <w:rsid w:val="00896AE3"/>
    <w:rsid w:val="00896CD2"/>
    <w:rsid w:val="00896DAC"/>
    <w:rsid w:val="00896F91"/>
    <w:rsid w:val="00896F96"/>
    <w:rsid w:val="00896FC6"/>
    <w:rsid w:val="00897159"/>
    <w:rsid w:val="00897160"/>
    <w:rsid w:val="00897185"/>
    <w:rsid w:val="008974BE"/>
    <w:rsid w:val="008975DF"/>
    <w:rsid w:val="008977CD"/>
    <w:rsid w:val="00897864"/>
    <w:rsid w:val="00897886"/>
    <w:rsid w:val="008979FF"/>
    <w:rsid w:val="00897C75"/>
    <w:rsid w:val="00897C93"/>
    <w:rsid w:val="00897D22"/>
    <w:rsid w:val="00897E6F"/>
    <w:rsid w:val="00897E95"/>
    <w:rsid w:val="008A0355"/>
    <w:rsid w:val="008A0490"/>
    <w:rsid w:val="008A064D"/>
    <w:rsid w:val="008A085B"/>
    <w:rsid w:val="008A0B27"/>
    <w:rsid w:val="008A0B56"/>
    <w:rsid w:val="008A0F45"/>
    <w:rsid w:val="008A10F6"/>
    <w:rsid w:val="008A1539"/>
    <w:rsid w:val="008A15FE"/>
    <w:rsid w:val="008A17CB"/>
    <w:rsid w:val="008A1A80"/>
    <w:rsid w:val="008A1BC4"/>
    <w:rsid w:val="008A243A"/>
    <w:rsid w:val="008A2604"/>
    <w:rsid w:val="008A262E"/>
    <w:rsid w:val="008A264B"/>
    <w:rsid w:val="008A294C"/>
    <w:rsid w:val="008A295F"/>
    <w:rsid w:val="008A2A60"/>
    <w:rsid w:val="008A336B"/>
    <w:rsid w:val="008A3517"/>
    <w:rsid w:val="008A366A"/>
    <w:rsid w:val="008A39CC"/>
    <w:rsid w:val="008A3AEA"/>
    <w:rsid w:val="008A3DC5"/>
    <w:rsid w:val="008A3F0B"/>
    <w:rsid w:val="008A41CF"/>
    <w:rsid w:val="008A4611"/>
    <w:rsid w:val="008A4A8F"/>
    <w:rsid w:val="008A50C8"/>
    <w:rsid w:val="008A5151"/>
    <w:rsid w:val="008A5316"/>
    <w:rsid w:val="008A5557"/>
    <w:rsid w:val="008A5C4A"/>
    <w:rsid w:val="008A5E43"/>
    <w:rsid w:val="008A619F"/>
    <w:rsid w:val="008A65A9"/>
    <w:rsid w:val="008A65DF"/>
    <w:rsid w:val="008A6ECB"/>
    <w:rsid w:val="008A6EEE"/>
    <w:rsid w:val="008A6F06"/>
    <w:rsid w:val="008A710B"/>
    <w:rsid w:val="008A7220"/>
    <w:rsid w:val="008A74C4"/>
    <w:rsid w:val="008A751A"/>
    <w:rsid w:val="008A753E"/>
    <w:rsid w:val="008A7A74"/>
    <w:rsid w:val="008A7B81"/>
    <w:rsid w:val="008A7DB0"/>
    <w:rsid w:val="008A7E9D"/>
    <w:rsid w:val="008B00E3"/>
    <w:rsid w:val="008B0333"/>
    <w:rsid w:val="008B0342"/>
    <w:rsid w:val="008B03E4"/>
    <w:rsid w:val="008B0A63"/>
    <w:rsid w:val="008B0BFB"/>
    <w:rsid w:val="008B1295"/>
    <w:rsid w:val="008B147B"/>
    <w:rsid w:val="008B1699"/>
    <w:rsid w:val="008B18CE"/>
    <w:rsid w:val="008B192A"/>
    <w:rsid w:val="008B1A92"/>
    <w:rsid w:val="008B1AB1"/>
    <w:rsid w:val="008B1BD5"/>
    <w:rsid w:val="008B1BE5"/>
    <w:rsid w:val="008B1F81"/>
    <w:rsid w:val="008B25B7"/>
    <w:rsid w:val="008B26FA"/>
    <w:rsid w:val="008B2BA9"/>
    <w:rsid w:val="008B2CF5"/>
    <w:rsid w:val="008B2EEE"/>
    <w:rsid w:val="008B2F1A"/>
    <w:rsid w:val="008B3133"/>
    <w:rsid w:val="008B3168"/>
    <w:rsid w:val="008B33FA"/>
    <w:rsid w:val="008B373A"/>
    <w:rsid w:val="008B378B"/>
    <w:rsid w:val="008B39DD"/>
    <w:rsid w:val="008B3F35"/>
    <w:rsid w:val="008B42FB"/>
    <w:rsid w:val="008B457B"/>
    <w:rsid w:val="008B4706"/>
    <w:rsid w:val="008B490D"/>
    <w:rsid w:val="008B4B7B"/>
    <w:rsid w:val="008B4BD2"/>
    <w:rsid w:val="008B4F63"/>
    <w:rsid w:val="008B4F6A"/>
    <w:rsid w:val="008B4FDB"/>
    <w:rsid w:val="008B52C4"/>
    <w:rsid w:val="008B5340"/>
    <w:rsid w:val="008B536B"/>
    <w:rsid w:val="008B5488"/>
    <w:rsid w:val="008B5683"/>
    <w:rsid w:val="008B57F3"/>
    <w:rsid w:val="008B5844"/>
    <w:rsid w:val="008B586B"/>
    <w:rsid w:val="008B5D51"/>
    <w:rsid w:val="008B5EA0"/>
    <w:rsid w:val="008B5F4B"/>
    <w:rsid w:val="008B607D"/>
    <w:rsid w:val="008B60BE"/>
    <w:rsid w:val="008B6252"/>
    <w:rsid w:val="008B6723"/>
    <w:rsid w:val="008B692A"/>
    <w:rsid w:val="008B6D66"/>
    <w:rsid w:val="008B6E36"/>
    <w:rsid w:val="008B70D9"/>
    <w:rsid w:val="008B7168"/>
    <w:rsid w:val="008B728A"/>
    <w:rsid w:val="008B7364"/>
    <w:rsid w:val="008B75F4"/>
    <w:rsid w:val="008B765E"/>
    <w:rsid w:val="008B7731"/>
    <w:rsid w:val="008B784C"/>
    <w:rsid w:val="008B78DB"/>
    <w:rsid w:val="008B7A84"/>
    <w:rsid w:val="008B7B2B"/>
    <w:rsid w:val="008B7C30"/>
    <w:rsid w:val="008B7DF7"/>
    <w:rsid w:val="008B7F52"/>
    <w:rsid w:val="008C01B2"/>
    <w:rsid w:val="008C0214"/>
    <w:rsid w:val="008C05DE"/>
    <w:rsid w:val="008C0776"/>
    <w:rsid w:val="008C07E2"/>
    <w:rsid w:val="008C0835"/>
    <w:rsid w:val="008C091A"/>
    <w:rsid w:val="008C0D8B"/>
    <w:rsid w:val="008C0DB1"/>
    <w:rsid w:val="008C1BF1"/>
    <w:rsid w:val="008C1E42"/>
    <w:rsid w:val="008C1FB9"/>
    <w:rsid w:val="008C21C9"/>
    <w:rsid w:val="008C22E8"/>
    <w:rsid w:val="008C235E"/>
    <w:rsid w:val="008C27A4"/>
    <w:rsid w:val="008C2C10"/>
    <w:rsid w:val="008C2C23"/>
    <w:rsid w:val="008C2F6C"/>
    <w:rsid w:val="008C306C"/>
    <w:rsid w:val="008C353E"/>
    <w:rsid w:val="008C3D87"/>
    <w:rsid w:val="008C3D9F"/>
    <w:rsid w:val="008C471D"/>
    <w:rsid w:val="008C4818"/>
    <w:rsid w:val="008C48EC"/>
    <w:rsid w:val="008C49CB"/>
    <w:rsid w:val="008C4D7E"/>
    <w:rsid w:val="008C4EF7"/>
    <w:rsid w:val="008C5060"/>
    <w:rsid w:val="008C50D3"/>
    <w:rsid w:val="008C5186"/>
    <w:rsid w:val="008C5286"/>
    <w:rsid w:val="008C5405"/>
    <w:rsid w:val="008C5733"/>
    <w:rsid w:val="008C577E"/>
    <w:rsid w:val="008C57D5"/>
    <w:rsid w:val="008C58B3"/>
    <w:rsid w:val="008C5C20"/>
    <w:rsid w:val="008C5E61"/>
    <w:rsid w:val="008C60BF"/>
    <w:rsid w:val="008C6784"/>
    <w:rsid w:val="008C6802"/>
    <w:rsid w:val="008C6999"/>
    <w:rsid w:val="008C6D9A"/>
    <w:rsid w:val="008C6DB4"/>
    <w:rsid w:val="008C6F28"/>
    <w:rsid w:val="008C7153"/>
    <w:rsid w:val="008C7359"/>
    <w:rsid w:val="008C73AC"/>
    <w:rsid w:val="008C7A52"/>
    <w:rsid w:val="008C7A91"/>
    <w:rsid w:val="008C7AF3"/>
    <w:rsid w:val="008C7B87"/>
    <w:rsid w:val="008C7D2F"/>
    <w:rsid w:val="008C7F3C"/>
    <w:rsid w:val="008C7F5F"/>
    <w:rsid w:val="008D03BB"/>
    <w:rsid w:val="008D03C5"/>
    <w:rsid w:val="008D060F"/>
    <w:rsid w:val="008D0701"/>
    <w:rsid w:val="008D0789"/>
    <w:rsid w:val="008D080C"/>
    <w:rsid w:val="008D08F6"/>
    <w:rsid w:val="008D0A22"/>
    <w:rsid w:val="008D0AEC"/>
    <w:rsid w:val="008D0C72"/>
    <w:rsid w:val="008D0CE1"/>
    <w:rsid w:val="008D0CFA"/>
    <w:rsid w:val="008D0E37"/>
    <w:rsid w:val="008D0EB0"/>
    <w:rsid w:val="008D1604"/>
    <w:rsid w:val="008D1823"/>
    <w:rsid w:val="008D1900"/>
    <w:rsid w:val="008D1BFD"/>
    <w:rsid w:val="008D1C76"/>
    <w:rsid w:val="008D20D5"/>
    <w:rsid w:val="008D219D"/>
    <w:rsid w:val="008D220B"/>
    <w:rsid w:val="008D236F"/>
    <w:rsid w:val="008D25B5"/>
    <w:rsid w:val="008D26DB"/>
    <w:rsid w:val="008D270A"/>
    <w:rsid w:val="008D27DF"/>
    <w:rsid w:val="008D29E9"/>
    <w:rsid w:val="008D2ABE"/>
    <w:rsid w:val="008D2B5F"/>
    <w:rsid w:val="008D2C26"/>
    <w:rsid w:val="008D2DFA"/>
    <w:rsid w:val="008D2F33"/>
    <w:rsid w:val="008D31E6"/>
    <w:rsid w:val="008D32CC"/>
    <w:rsid w:val="008D33D5"/>
    <w:rsid w:val="008D347A"/>
    <w:rsid w:val="008D34F8"/>
    <w:rsid w:val="008D357C"/>
    <w:rsid w:val="008D36CD"/>
    <w:rsid w:val="008D3736"/>
    <w:rsid w:val="008D3A69"/>
    <w:rsid w:val="008D3E74"/>
    <w:rsid w:val="008D417E"/>
    <w:rsid w:val="008D418C"/>
    <w:rsid w:val="008D41F6"/>
    <w:rsid w:val="008D45EA"/>
    <w:rsid w:val="008D4666"/>
    <w:rsid w:val="008D4788"/>
    <w:rsid w:val="008D47E3"/>
    <w:rsid w:val="008D485B"/>
    <w:rsid w:val="008D48CA"/>
    <w:rsid w:val="008D4BFB"/>
    <w:rsid w:val="008D4FDF"/>
    <w:rsid w:val="008D4FEC"/>
    <w:rsid w:val="008D5359"/>
    <w:rsid w:val="008D550E"/>
    <w:rsid w:val="008D5857"/>
    <w:rsid w:val="008D59F4"/>
    <w:rsid w:val="008D5A32"/>
    <w:rsid w:val="008D5B4A"/>
    <w:rsid w:val="008D5CC4"/>
    <w:rsid w:val="008D5D4D"/>
    <w:rsid w:val="008D5DAA"/>
    <w:rsid w:val="008D5ED3"/>
    <w:rsid w:val="008D6020"/>
    <w:rsid w:val="008D610F"/>
    <w:rsid w:val="008D6236"/>
    <w:rsid w:val="008D67A5"/>
    <w:rsid w:val="008D692C"/>
    <w:rsid w:val="008D6A2C"/>
    <w:rsid w:val="008D6B51"/>
    <w:rsid w:val="008D6D24"/>
    <w:rsid w:val="008D7389"/>
    <w:rsid w:val="008D78B7"/>
    <w:rsid w:val="008D799A"/>
    <w:rsid w:val="008D7B2D"/>
    <w:rsid w:val="008D7B59"/>
    <w:rsid w:val="008D7CE0"/>
    <w:rsid w:val="008D7DFB"/>
    <w:rsid w:val="008E0006"/>
    <w:rsid w:val="008E0168"/>
    <w:rsid w:val="008E0208"/>
    <w:rsid w:val="008E02CC"/>
    <w:rsid w:val="008E0363"/>
    <w:rsid w:val="008E0705"/>
    <w:rsid w:val="008E07E1"/>
    <w:rsid w:val="008E080A"/>
    <w:rsid w:val="008E0AB1"/>
    <w:rsid w:val="008E0ADF"/>
    <w:rsid w:val="008E0C23"/>
    <w:rsid w:val="008E0F36"/>
    <w:rsid w:val="008E1338"/>
    <w:rsid w:val="008E1904"/>
    <w:rsid w:val="008E1D35"/>
    <w:rsid w:val="008E25CD"/>
    <w:rsid w:val="008E27D8"/>
    <w:rsid w:val="008E29B3"/>
    <w:rsid w:val="008E2F6F"/>
    <w:rsid w:val="008E34D2"/>
    <w:rsid w:val="008E3579"/>
    <w:rsid w:val="008E35AA"/>
    <w:rsid w:val="008E3646"/>
    <w:rsid w:val="008E3AC6"/>
    <w:rsid w:val="008E3B56"/>
    <w:rsid w:val="008E3C7B"/>
    <w:rsid w:val="008E47D5"/>
    <w:rsid w:val="008E50AA"/>
    <w:rsid w:val="008E54C8"/>
    <w:rsid w:val="008E5769"/>
    <w:rsid w:val="008E610A"/>
    <w:rsid w:val="008E6477"/>
    <w:rsid w:val="008E662B"/>
    <w:rsid w:val="008E6809"/>
    <w:rsid w:val="008E6B29"/>
    <w:rsid w:val="008E6B59"/>
    <w:rsid w:val="008E6BEA"/>
    <w:rsid w:val="008E6FB1"/>
    <w:rsid w:val="008E722E"/>
    <w:rsid w:val="008E7580"/>
    <w:rsid w:val="008E7658"/>
    <w:rsid w:val="008E78FD"/>
    <w:rsid w:val="008E7C43"/>
    <w:rsid w:val="008E7EDA"/>
    <w:rsid w:val="008F004E"/>
    <w:rsid w:val="008F02FD"/>
    <w:rsid w:val="008F0446"/>
    <w:rsid w:val="008F04FB"/>
    <w:rsid w:val="008F077B"/>
    <w:rsid w:val="008F07CF"/>
    <w:rsid w:val="008F083F"/>
    <w:rsid w:val="008F0ACD"/>
    <w:rsid w:val="008F0C63"/>
    <w:rsid w:val="008F0ED5"/>
    <w:rsid w:val="008F0FA4"/>
    <w:rsid w:val="008F10B7"/>
    <w:rsid w:val="008F1B00"/>
    <w:rsid w:val="008F1C7A"/>
    <w:rsid w:val="008F1DD8"/>
    <w:rsid w:val="008F21C6"/>
    <w:rsid w:val="008F2227"/>
    <w:rsid w:val="008F2338"/>
    <w:rsid w:val="008F2410"/>
    <w:rsid w:val="008F264A"/>
    <w:rsid w:val="008F26AE"/>
    <w:rsid w:val="008F2909"/>
    <w:rsid w:val="008F2B3B"/>
    <w:rsid w:val="008F3016"/>
    <w:rsid w:val="008F335E"/>
    <w:rsid w:val="008F33AB"/>
    <w:rsid w:val="008F3895"/>
    <w:rsid w:val="008F3B01"/>
    <w:rsid w:val="008F41D2"/>
    <w:rsid w:val="008F425F"/>
    <w:rsid w:val="008F43AB"/>
    <w:rsid w:val="008F4602"/>
    <w:rsid w:val="008F46BA"/>
    <w:rsid w:val="008F4845"/>
    <w:rsid w:val="008F48DD"/>
    <w:rsid w:val="008F4D80"/>
    <w:rsid w:val="008F4DF8"/>
    <w:rsid w:val="008F4FCE"/>
    <w:rsid w:val="008F5334"/>
    <w:rsid w:val="008F5367"/>
    <w:rsid w:val="008F578A"/>
    <w:rsid w:val="008F5799"/>
    <w:rsid w:val="008F57AA"/>
    <w:rsid w:val="008F5B4B"/>
    <w:rsid w:val="008F5BB3"/>
    <w:rsid w:val="008F62CC"/>
    <w:rsid w:val="008F6496"/>
    <w:rsid w:val="008F68E5"/>
    <w:rsid w:val="008F6913"/>
    <w:rsid w:val="008F6952"/>
    <w:rsid w:val="008F6F61"/>
    <w:rsid w:val="008F70CC"/>
    <w:rsid w:val="008F711A"/>
    <w:rsid w:val="008F7523"/>
    <w:rsid w:val="008F7773"/>
    <w:rsid w:val="008F78E4"/>
    <w:rsid w:val="008F79E7"/>
    <w:rsid w:val="008F7A6E"/>
    <w:rsid w:val="008F7D4F"/>
    <w:rsid w:val="00900328"/>
    <w:rsid w:val="009003F9"/>
    <w:rsid w:val="00900712"/>
    <w:rsid w:val="00900AFD"/>
    <w:rsid w:val="00900BAF"/>
    <w:rsid w:val="00900BB4"/>
    <w:rsid w:val="00901143"/>
    <w:rsid w:val="00901169"/>
    <w:rsid w:val="009012B9"/>
    <w:rsid w:val="0090144A"/>
    <w:rsid w:val="0090148B"/>
    <w:rsid w:val="009015EC"/>
    <w:rsid w:val="00901877"/>
    <w:rsid w:val="00901A85"/>
    <w:rsid w:val="00901B06"/>
    <w:rsid w:val="00901E17"/>
    <w:rsid w:val="00901E89"/>
    <w:rsid w:val="00901F6F"/>
    <w:rsid w:val="009020F8"/>
    <w:rsid w:val="0090212D"/>
    <w:rsid w:val="00902A9E"/>
    <w:rsid w:val="00902AF2"/>
    <w:rsid w:val="00902C2F"/>
    <w:rsid w:val="00902FE5"/>
    <w:rsid w:val="0090308F"/>
    <w:rsid w:val="009030C1"/>
    <w:rsid w:val="00903276"/>
    <w:rsid w:val="009033D9"/>
    <w:rsid w:val="00903B97"/>
    <w:rsid w:val="00903DAD"/>
    <w:rsid w:val="00903E6B"/>
    <w:rsid w:val="009042C3"/>
    <w:rsid w:val="0090439A"/>
    <w:rsid w:val="00904466"/>
    <w:rsid w:val="009044A5"/>
    <w:rsid w:val="00904E5C"/>
    <w:rsid w:val="00904F46"/>
    <w:rsid w:val="00905297"/>
    <w:rsid w:val="009059CC"/>
    <w:rsid w:val="00905D6B"/>
    <w:rsid w:val="00906185"/>
    <w:rsid w:val="009063D4"/>
    <w:rsid w:val="00906402"/>
    <w:rsid w:val="0090646A"/>
    <w:rsid w:val="00906562"/>
    <w:rsid w:val="00906824"/>
    <w:rsid w:val="009068FE"/>
    <w:rsid w:val="00906AF0"/>
    <w:rsid w:val="00906B98"/>
    <w:rsid w:val="00906C3A"/>
    <w:rsid w:val="00906E00"/>
    <w:rsid w:val="00906EF0"/>
    <w:rsid w:val="009074FB"/>
    <w:rsid w:val="00907630"/>
    <w:rsid w:val="009076D9"/>
    <w:rsid w:val="00907E08"/>
    <w:rsid w:val="0091003D"/>
    <w:rsid w:val="009100A9"/>
    <w:rsid w:val="00910167"/>
    <w:rsid w:val="0091028E"/>
    <w:rsid w:val="00910B0A"/>
    <w:rsid w:val="00910E95"/>
    <w:rsid w:val="009110CE"/>
    <w:rsid w:val="00911255"/>
    <w:rsid w:val="0091155C"/>
    <w:rsid w:val="009117CC"/>
    <w:rsid w:val="009118AE"/>
    <w:rsid w:val="00911AB3"/>
    <w:rsid w:val="00911CAC"/>
    <w:rsid w:val="00911F30"/>
    <w:rsid w:val="009120B7"/>
    <w:rsid w:val="00912266"/>
    <w:rsid w:val="00912896"/>
    <w:rsid w:val="00912AC1"/>
    <w:rsid w:val="00912B4B"/>
    <w:rsid w:val="00912BE9"/>
    <w:rsid w:val="00912E16"/>
    <w:rsid w:val="00912F38"/>
    <w:rsid w:val="009131B4"/>
    <w:rsid w:val="009133B2"/>
    <w:rsid w:val="00913645"/>
    <w:rsid w:val="00913E70"/>
    <w:rsid w:val="00913EC1"/>
    <w:rsid w:val="00913F89"/>
    <w:rsid w:val="00913FE7"/>
    <w:rsid w:val="009144F9"/>
    <w:rsid w:val="00914783"/>
    <w:rsid w:val="009148B2"/>
    <w:rsid w:val="00914C4B"/>
    <w:rsid w:val="00915024"/>
    <w:rsid w:val="0091542E"/>
    <w:rsid w:val="00915663"/>
    <w:rsid w:val="00915701"/>
    <w:rsid w:val="00916131"/>
    <w:rsid w:val="00916231"/>
    <w:rsid w:val="00916348"/>
    <w:rsid w:val="009163D7"/>
    <w:rsid w:val="009164E3"/>
    <w:rsid w:val="009165BA"/>
    <w:rsid w:val="009165E8"/>
    <w:rsid w:val="0091662A"/>
    <w:rsid w:val="009166EA"/>
    <w:rsid w:val="009167C3"/>
    <w:rsid w:val="009168FF"/>
    <w:rsid w:val="009169A8"/>
    <w:rsid w:val="00916B46"/>
    <w:rsid w:val="00916C49"/>
    <w:rsid w:val="00916DEB"/>
    <w:rsid w:val="00916E9F"/>
    <w:rsid w:val="00917009"/>
    <w:rsid w:val="0091708D"/>
    <w:rsid w:val="0091717A"/>
    <w:rsid w:val="009174AF"/>
    <w:rsid w:val="0091761C"/>
    <w:rsid w:val="0091774A"/>
    <w:rsid w:val="00917792"/>
    <w:rsid w:val="0091789B"/>
    <w:rsid w:val="009178C7"/>
    <w:rsid w:val="00917AAA"/>
    <w:rsid w:val="00920502"/>
    <w:rsid w:val="00920868"/>
    <w:rsid w:val="00920C62"/>
    <w:rsid w:val="00920DAE"/>
    <w:rsid w:val="00920DEE"/>
    <w:rsid w:val="00920F41"/>
    <w:rsid w:val="00920FC7"/>
    <w:rsid w:val="00920FD0"/>
    <w:rsid w:val="00921833"/>
    <w:rsid w:val="00921AA3"/>
    <w:rsid w:val="00921CBF"/>
    <w:rsid w:val="00921D48"/>
    <w:rsid w:val="009221EF"/>
    <w:rsid w:val="00922288"/>
    <w:rsid w:val="009223BE"/>
    <w:rsid w:val="00922AD7"/>
    <w:rsid w:val="00922F6A"/>
    <w:rsid w:val="00923047"/>
    <w:rsid w:val="009230D8"/>
    <w:rsid w:val="009232DA"/>
    <w:rsid w:val="00923423"/>
    <w:rsid w:val="0092386B"/>
    <w:rsid w:val="009239C1"/>
    <w:rsid w:val="009239F7"/>
    <w:rsid w:val="00923A42"/>
    <w:rsid w:val="00923C1D"/>
    <w:rsid w:val="00923FE8"/>
    <w:rsid w:val="00924441"/>
    <w:rsid w:val="0092448A"/>
    <w:rsid w:val="00924586"/>
    <w:rsid w:val="009247BE"/>
    <w:rsid w:val="009247DE"/>
    <w:rsid w:val="009249C2"/>
    <w:rsid w:val="00924DE0"/>
    <w:rsid w:val="0092518A"/>
    <w:rsid w:val="009254C5"/>
    <w:rsid w:val="00925955"/>
    <w:rsid w:val="009259AF"/>
    <w:rsid w:val="00925BB7"/>
    <w:rsid w:val="00925C6A"/>
    <w:rsid w:val="00925C73"/>
    <w:rsid w:val="00925DB8"/>
    <w:rsid w:val="00925EE8"/>
    <w:rsid w:val="00926445"/>
    <w:rsid w:val="00926588"/>
    <w:rsid w:val="00926804"/>
    <w:rsid w:val="00926B13"/>
    <w:rsid w:val="00926D43"/>
    <w:rsid w:val="00926DD9"/>
    <w:rsid w:val="00926F91"/>
    <w:rsid w:val="00927804"/>
    <w:rsid w:val="009279D7"/>
    <w:rsid w:val="00927A69"/>
    <w:rsid w:val="00927F32"/>
    <w:rsid w:val="0093038C"/>
    <w:rsid w:val="009306EC"/>
    <w:rsid w:val="009306F3"/>
    <w:rsid w:val="00930750"/>
    <w:rsid w:val="009310F4"/>
    <w:rsid w:val="009314C4"/>
    <w:rsid w:val="00931532"/>
    <w:rsid w:val="00931582"/>
    <w:rsid w:val="00931AFE"/>
    <w:rsid w:val="00931BE1"/>
    <w:rsid w:val="00931C90"/>
    <w:rsid w:val="00932237"/>
    <w:rsid w:val="0093239F"/>
    <w:rsid w:val="009323AE"/>
    <w:rsid w:val="009324D5"/>
    <w:rsid w:val="00932506"/>
    <w:rsid w:val="00932626"/>
    <w:rsid w:val="00932BA0"/>
    <w:rsid w:val="00932C28"/>
    <w:rsid w:val="00932D50"/>
    <w:rsid w:val="00932E0F"/>
    <w:rsid w:val="00933288"/>
    <w:rsid w:val="009332D4"/>
    <w:rsid w:val="00933387"/>
    <w:rsid w:val="0093359E"/>
    <w:rsid w:val="009337E3"/>
    <w:rsid w:val="009337E9"/>
    <w:rsid w:val="009339D7"/>
    <w:rsid w:val="00933CD5"/>
    <w:rsid w:val="00933D9E"/>
    <w:rsid w:val="00933E58"/>
    <w:rsid w:val="009340E5"/>
    <w:rsid w:val="00934302"/>
    <w:rsid w:val="009346B2"/>
    <w:rsid w:val="0093567D"/>
    <w:rsid w:val="009358CA"/>
    <w:rsid w:val="00935919"/>
    <w:rsid w:val="00935D0C"/>
    <w:rsid w:val="00935E26"/>
    <w:rsid w:val="0093643E"/>
    <w:rsid w:val="00936B45"/>
    <w:rsid w:val="00936DDD"/>
    <w:rsid w:val="0093721C"/>
    <w:rsid w:val="00937292"/>
    <w:rsid w:val="0093787F"/>
    <w:rsid w:val="00937B2F"/>
    <w:rsid w:val="00937B47"/>
    <w:rsid w:val="00937DAC"/>
    <w:rsid w:val="00937E87"/>
    <w:rsid w:val="00937F8C"/>
    <w:rsid w:val="00937FFB"/>
    <w:rsid w:val="00940063"/>
    <w:rsid w:val="009408E3"/>
    <w:rsid w:val="00941102"/>
    <w:rsid w:val="00941387"/>
    <w:rsid w:val="00941623"/>
    <w:rsid w:val="00941AB0"/>
    <w:rsid w:val="00941AEA"/>
    <w:rsid w:val="00941F9F"/>
    <w:rsid w:val="00942291"/>
    <w:rsid w:val="00942488"/>
    <w:rsid w:val="00942801"/>
    <w:rsid w:val="00942B54"/>
    <w:rsid w:val="00942DA0"/>
    <w:rsid w:val="00942EE0"/>
    <w:rsid w:val="00943275"/>
    <w:rsid w:val="009436AB"/>
    <w:rsid w:val="009436D4"/>
    <w:rsid w:val="0094376B"/>
    <w:rsid w:val="00943ABA"/>
    <w:rsid w:val="00943B89"/>
    <w:rsid w:val="00943E0E"/>
    <w:rsid w:val="00944366"/>
    <w:rsid w:val="009443E5"/>
    <w:rsid w:val="0094440D"/>
    <w:rsid w:val="00944806"/>
    <w:rsid w:val="00944990"/>
    <w:rsid w:val="00944E85"/>
    <w:rsid w:val="0094500F"/>
    <w:rsid w:val="00945139"/>
    <w:rsid w:val="0094519A"/>
    <w:rsid w:val="0094533D"/>
    <w:rsid w:val="009454C0"/>
    <w:rsid w:val="009456D4"/>
    <w:rsid w:val="0094570C"/>
    <w:rsid w:val="00945B21"/>
    <w:rsid w:val="00945B6B"/>
    <w:rsid w:val="00945C17"/>
    <w:rsid w:val="00945C8E"/>
    <w:rsid w:val="00946245"/>
    <w:rsid w:val="00946274"/>
    <w:rsid w:val="009465F7"/>
    <w:rsid w:val="009466DF"/>
    <w:rsid w:val="00946781"/>
    <w:rsid w:val="00946BE8"/>
    <w:rsid w:val="00946CB3"/>
    <w:rsid w:val="0094716E"/>
    <w:rsid w:val="00947465"/>
    <w:rsid w:val="00947595"/>
    <w:rsid w:val="009477A5"/>
    <w:rsid w:val="00947898"/>
    <w:rsid w:val="00947AB1"/>
    <w:rsid w:val="00947B98"/>
    <w:rsid w:val="00947C60"/>
    <w:rsid w:val="00950031"/>
    <w:rsid w:val="00950094"/>
    <w:rsid w:val="0095033E"/>
    <w:rsid w:val="00950833"/>
    <w:rsid w:val="0095085A"/>
    <w:rsid w:val="00950872"/>
    <w:rsid w:val="00950CEF"/>
    <w:rsid w:val="00950E76"/>
    <w:rsid w:val="009511D9"/>
    <w:rsid w:val="00951339"/>
    <w:rsid w:val="009513D4"/>
    <w:rsid w:val="00951796"/>
    <w:rsid w:val="00951D06"/>
    <w:rsid w:val="0095202E"/>
    <w:rsid w:val="009520F4"/>
    <w:rsid w:val="0095235C"/>
    <w:rsid w:val="00952391"/>
    <w:rsid w:val="00952436"/>
    <w:rsid w:val="00952598"/>
    <w:rsid w:val="00952CC5"/>
    <w:rsid w:val="00952E13"/>
    <w:rsid w:val="00952E67"/>
    <w:rsid w:val="0095301E"/>
    <w:rsid w:val="009530DB"/>
    <w:rsid w:val="009531B0"/>
    <w:rsid w:val="009533B0"/>
    <w:rsid w:val="009533F0"/>
    <w:rsid w:val="009533F3"/>
    <w:rsid w:val="00953759"/>
    <w:rsid w:val="00953A29"/>
    <w:rsid w:val="00953B34"/>
    <w:rsid w:val="00953C1A"/>
    <w:rsid w:val="00954178"/>
    <w:rsid w:val="009541CA"/>
    <w:rsid w:val="009548B3"/>
    <w:rsid w:val="00954A86"/>
    <w:rsid w:val="00954BE1"/>
    <w:rsid w:val="00954CE3"/>
    <w:rsid w:val="00954DF6"/>
    <w:rsid w:val="00955243"/>
    <w:rsid w:val="00955480"/>
    <w:rsid w:val="00955589"/>
    <w:rsid w:val="009555AD"/>
    <w:rsid w:val="00955622"/>
    <w:rsid w:val="00955808"/>
    <w:rsid w:val="00955AAB"/>
    <w:rsid w:val="00955C5C"/>
    <w:rsid w:val="00955C5D"/>
    <w:rsid w:val="00955DB7"/>
    <w:rsid w:val="00955DDD"/>
    <w:rsid w:val="009566A7"/>
    <w:rsid w:val="00956796"/>
    <w:rsid w:val="00956D02"/>
    <w:rsid w:val="00957109"/>
    <w:rsid w:val="009571EB"/>
    <w:rsid w:val="0095720B"/>
    <w:rsid w:val="0095726B"/>
    <w:rsid w:val="009573B2"/>
    <w:rsid w:val="00957589"/>
    <w:rsid w:val="0095760F"/>
    <w:rsid w:val="00957651"/>
    <w:rsid w:val="0095768B"/>
    <w:rsid w:val="00957922"/>
    <w:rsid w:val="00957CCD"/>
    <w:rsid w:val="009603B2"/>
    <w:rsid w:val="00960742"/>
    <w:rsid w:val="0096077C"/>
    <w:rsid w:val="009608DD"/>
    <w:rsid w:val="00960CB7"/>
    <w:rsid w:val="00960D78"/>
    <w:rsid w:val="00960DA4"/>
    <w:rsid w:val="00960DDC"/>
    <w:rsid w:val="009610B8"/>
    <w:rsid w:val="00961176"/>
    <w:rsid w:val="009611F9"/>
    <w:rsid w:val="00961317"/>
    <w:rsid w:val="0096133B"/>
    <w:rsid w:val="00961496"/>
    <w:rsid w:val="0096171B"/>
    <w:rsid w:val="009618B3"/>
    <w:rsid w:val="00961ADF"/>
    <w:rsid w:val="00961BDD"/>
    <w:rsid w:val="00962122"/>
    <w:rsid w:val="0096215F"/>
    <w:rsid w:val="009628C1"/>
    <w:rsid w:val="009629AE"/>
    <w:rsid w:val="00962BB5"/>
    <w:rsid w:val="00962BC4"/>
    <w:rsid w:val="00962E63"/>
    <w:rsid w:val="00963027"/>
    <w:rsid w:val="009630D1"/>
    <w:rsid w:val="009639F5"/>
    <w:rsid w:val="00963C13"/>
    <w:rsid w:val="00963DF4"/>
    <w:rsid w:val="00964142"/>
    <w:rsid w:val="0096475B"/>
    <w:rsid w:val="009648E5"/>
    <w:rsid w:val="00964F6E"/>
    <w:rsid w:val="00964FFB"/>
    <w:rsid w:val="009651ED"/>
    <w:rsid w:val="00965507"/>
    <w:rsid w:val="0096563D"/>
    <w:rsid w:val="009656BF"/>
    <w:rsid w:val="0096605A"/>
    <w:rsid w:val="009662C2"/>
    <w:rsid w:val="00966313"/>
    <w:rsid w:val="00966E92"/>
    <w:rsid w:val="00966EBC"/>
    <w:rsid w:val="00966EF1"/>
    <w:rsid w:val="00966F9F"/>
    <w:rsid w:val="00967068"/>
    <w:rsid w:val="00967478"/>
    <w:rsid w:val="009675A7"/>
    <w:rsid w:val="00967A9B"/>
    <w:rsid w:val="00967B1D"/>
    <w:rsid w:val="00967BB0"/>
    <w:rsid w:val="00967D01"/>
    <w:rsid w:val="00967F24"/>
    <w:rsid w:val="00970120"/>
    <w:rsid w:val="00970308"/>
    <w:rsid w:val="009703FB"/>
    <w:rsid w:val="009704EA"/>
    <w:rsid w:val="00970E35"/>
    <w:rsid w:val="00971077"/>
    <w:rsid w:val="009710DD"/>
    <w:rsid w:val="0097126A"/>
    <w:rsid w:val="009713A0"/>
    <w:rsid w:val="0097146F"/>
    <w:rsid w:val="009715B8"/>
    <w:rsid w:val="009715C7"/>
    <w:rsid w:val="009715D9"/>
    <w:rsid w:val="00971C01"/>
    <w:rsid w:val="00971C8B"/>
    <w:rsid w:val="00971CBC"/>
    <w:rsid w:val="00971F5D"/>
    <w:rsid w:val="00971F6F"/>
    <w:rsid w:val="00971F76"/>
    <w:rsid w:val="00972035"/>
    <w:rsid w:val="00972497"/>
    <w:rsid w:val="0097256D"/>
    <w:rsid w:val="00972AD9"/>
    <w:rsid w:val="00972AE8"/>
    <w:rsid w:val="00972BC5"/>
    <w:rsid w:val="00972E67"/>
    <w:rsid w:val="00972E77"/>
    <w:rsid w:val="00972EA5"/>
    <w:rsid w:val="00972ECF"/>
    <w:rsid w:val="00972F36"/>
    <w:rsid w:val="009735B7"/>
    <w:rsid w:val="009737B3"/>
    <w:rsid w:val="00973A77"/>
    <w:rsid w:val="00973AE6"/>
    <w:rsid w:val="00973E84"/>
    <w:rsid w:val="00974479"/>
    <w:rsid w:val="00975238"/>
    <w:rsid w:val="00975733"/>
    <w:rsid w:val="0097582F"/>
    <w:rsid w:val="009759A5"/>
    <w:rsid w:val="009759AB"/>
    <w:rsid w:val="0097638D"/>
    <w:rsid w:val="00976515"/>
    <w:rsid w:val="009766D1"/>
    <w:rsid w:val="009766DC"/>
    <w:rsid w:val="009768C6"/>
    <w:rsid w:val="00976901"/>
    <w:rsid w:val="009770E6"/>
    <w:rsid w:val="009777ED"/>
    <w:rsid w:val="009777FD"/>
    <w:rsid w:val="0097788C"/>
    <w:rsid w:val="0097790F"/>
    <w:rsid w:val="00980166"/>
    <w:rsid w:val="00980819"/>
    <w:rsid w:val="00980895"/>
    <w:rsid w:val="00980969"/>
    <w:rsid w:val="00981080"/>
    <w:rsid w:val="0098121C"/>
    <w:rsid w:val="009817FA"/>
    <w:rsid w:val="009819C8"/>
    <w:rsid w:val="00981CE9"/>
    <w:rsid w:val="00981D37"/>
    <w:rsid w:val="00981F40"/>
    <w:rsid w:val="00982371"/>
    <w:rsid w:val="00982458"/>
    <w:rsid w:val="00982495"/>
    <w:rsid w:val="009828BD"/>
    <w:rsid w:val="00982C35"/>
    <w:rsid w:val="00983088"/>
    <w:rsid w:val="009832BB"/>
    <w:rsid w:val="0098345B"/>
    <w:rsid w:val="00983500"/>
    <w:rsid w:val="009837AB"/>
    <w:rsid w:val="00983907"/>
    <w:rsid w:val="00983977"/>
    <w:rsid w:val="00983FEA"/>
    <w:rsid w:val="00984514"/>
    <w:rsid w:val="009847F6"/>
    <w:rsid w:val="00984810"/>
    <w:rsid w:val="00984862"/>
    <w:rsid w:val="0098490F"/>
    <w:rsid w:val="009849B6"/>
    <w:rsid w:val="00984C68"/>
    <w:rsid w:val="00984E6A"/>
    <w:rsid w:val="009852A0"/>
    <w:rsid w:val="00985801"/>
    <w:rsid w:val="00985843"/>
    <w:rsid w:val="00985916"/>
    <w:rsid w:val="00985923"/>
    <w:rsid w:val="00985A0A"/>
    <w:rsid w:val="00985ACC"/>
    <w:rsid w:val="00985E20"/>
    <w:rsid w:val="00986AE6"/>
    <w:rsid w:val="00986C18"/>
    <w:rsid w:val="00986D24"/>
    <w:rsid w:val="00986ED6"/>
    <w:rsid w:val="00986EE4"/>
    <w:rsid w:val="009871A7"/>
    <w:rsid w:val="0098727A"/>
    <w:rsid w:val="00987738"/>
    <w:rsid w:val="0098789D"/>
    <w:rsid w:val="00987AC6"/>
    <w:rsid w:val="0099038E"/>
    <w:rsid w:val="0099048A"/>
    <w:rsid w:val="00990A90"/>
    <w:rsid w:val="00990CAB"/>
    <w:rsid w:val="00990DBA"/>
    <w:rsid w:val="00990E1B"/>
    <w:rsid w:val="0099106D"/>
    <w:rsid w:val="00991194"/>
    <w:rsid w:val="0099122D"/>
    <w:rsid w:val="009916BC"/>
    <w:rsid w:val="00991718"/>
    <w:rsid w:val="00991CFC"/>
    <w:rsid w:val="00991E77"/>
    <w:rsid w:val="00991EB1"/>
    <w:rsid w:val="00992026"/>
    <w:rsid w:val="009924D9"/>
    <w:rsid w:val="00992500"/>
    <w:rsid w:val="00992729"/>
    <w:rsid w:val="009927DB"/>
    <w:rsid w:val="00992858"/>
    <w:rsid w:val="00992B62"/>
    <w:rsid w:val="009930D1"/>
    <w:rsid w:val="009933EC"/>
    <w:rsid w:val="0099340A"/>
    <w:rsid w:val="009936B0"/>
    <w:rsid w:val="009937B7"/>
    <w:rsid w:val="009938EC"/>
    <w:rsid w:val="009939C4"/>
    <w:rsid w:val="00993CE7"/>
    <w:rsid w:val="009940A6"/>
    <w:rsid w:val="00994227"/>
    <w:rsid w:val="009946B9"/>
    <w:rsid w:val="00994871"/>
    <w:rsid w:val="009948EA"/>
    <w:rsid w:val="009949F1"/>
    <w:rsid w:val="00994AE8"/>
    <w:rsid w:val="00994ED2"/>
    <w:rsid w:val="009950B7"/>
    <w:rsid w:val="0099552B"/>
    <w:rsid w:val="00995AC6"/>
    <w:rsid w:val="00995B8F"/>
    <w:rsid w:val="00995D41"/>
    <w:rsid w:val="0099606A"/>
    <w:rsid w:val="009963C5"/>
    <w:rsid w:val="009964A8"/>
    <w:rsid w:val="0099664A"/>
    <w:rsid w:val="0099686A"/>
    <w:rsid w:val="00996BBD"/>
    <w:rsid w:val="00996D64"/>
    <w:rsid w:val="00996E4D"/>
    <w:rsid w:val="0099706A"/>
    <w:rsid w:val="00997085"/>
    <w:rsid w:val="0099731B"/>
    <w:rsid w:val="0099751D"/>
    <w:rsid w:val="00997537"/>
    <w:rsid w:val="0099778A"/>
    <w:rsid w:val="00997A9B"/>
    <w:rsid w:val="00997C19"/>
    <w:rsid w:val="00997E3B"/>
    <w:rsid w:val="009A0095"/>
    <w:rsid w:val="009A019D"/>
    <w:rsid w:val="009A04EE"/>
    <w:rsid w:val="009A0A28"/>
    <w:rsid w:val="009A0D9D"/>
    <w:rsid w:val="009A0DB1"/>
    <w:rsid w:val="009A0E4B"/>
    <w:rsid w:val="009A1052"/>
    <w:rsid w:val="009A1236"/>
    <w:rsid w:val="009A12B2"/>
    <w:rsid w:val="009A1725"/>
    <w:rsid w:val="009A1A37"/>
    <w:rsid w:val="009A1A9B"/>
    <w:rsid w:val="009A217D"/>
    <w:rsid w:val="009A21AC"/>
    <w:rsid w:val="009A22EC"/>
    <w:rsid w:val="009A24D1"/>
    <w:rsid w:val="009A2521"/>
    <w:rsid w:val="009A2AAD"/>
    <w:rsid w:val="009A2D5F"/>
    <w:rsid w:val="009A33F2"/>
    <w:rsid w:val="009A3443"/>
    <w:rsid w:val="009A34F7"/>
    <w:rsid w:val="009A3537"/>
    <w:rsid w:val="009A3925"/>
    <w:rsid w:val="009A39AA"/>
    <w:rsid w:val="009A39D8"/>
    <w:rsid w:val="009A3B24"/>
    <w:rsid w:val="009A412B"/>
    <w:rsid w:val="009A436B"/>
    <w:rsid w:val="009A47D8"/>
    <w:rsid w:val="009A4C8C"/>
    <w:rsid w:val="009A4E5A"/>
    <w:rsid w:val="009A501F"/>
    <w:rsid w:val="009A51C8"/>
    <w:rsid w:val="009A5434"/>
    <w:rsid w:val="009A5733"/>
    <w:rsid w:val="009A5A47"/>
    <w:rsid w:val="009A5A7B"/>
    <w:rsid w:val="009A5A80"/>
    <w:rsid w:val="009A5DDC"/>
    <w:rsid w:val="009A665D"/>
    <w:rsid w:val="009A6E1D"/>
    <w:rsid w:val="009A72DC"/>
    <w:rsid w:val="009A7436"/>
    <w:rsid w:val="009A7874"/>
    <w:rsid w:val="009A7C6E"/>
    <w:rsid w:val="009A7E0C"/>
    <w:rsid w:val="009A7E29"/>
    <w:rsid w:val="009B0606"/>
    <w:rsid w:val="009B077E"/>
    <w:rsid w:val="009B09A4"/>
    <w:rsid w:val="009B12A4"/>
    <w:rsid w:val="009B13A6"/>
    <w:rsid w:val="009B161A"/>
    <w:rsid w:val="009B16E3"/>
    <w:rsid w:val="009B178F"/>
    <w:rsid w:val="009B1AB4"/>
    <w:rsid w:val="009B1F02"/>
    <w:rsid w:val="009B1F24"/>
    <w:rsid w:val="009B241B"/>
    <w:rsid w:val="009B2581"/>
    <w:rsid w:val="009B270A"/>
    <w:rsid w:val="009B2A71"/>
    <w:rsid w:val="009B31B0"/>
    <w:rsid w:val="009B378C"/>
    <w:rsid w:val="009B382E"/>
    <w:rsid w:val="009B3896"/>
    <w:rsid w:val="009B38EE"/>
    <w:rsid w:val="009B4018"/>
    <w:rsid w:val="009B41E5"/>
    <w:rsid w:val="009B429A"/>
    <w:rsid w:val="009B45A3"/>
    <w:rsid w:val="009B45AF"/>
    <w:rsid w:val="009B45EC"/>
    <w:rsid w:val="009B45F0"/>
    <w:rsid w:val="009B4751"/>
    <w:rsid w:val="009B4820"/>
    <w:rsid w:val="009B4A5E"/>
    <w:rsid w:val="009B4AEA"/>
    <w:rsid w:val="009B4D81"/>
    <w:rsid w:val="009B4E4E"/>
    <w:rsid w:val="009B52E3"/>
    <w:rsid w:val="009B5337"/>
    <w:rsid w:val="009B53F6"/>
    <w:rsid w:val="009B545F"/>
    <w:rsid w:val="009B5D86"/>
    <w:rsid w:val="009B5EEA"/>
    <w:rsid w:val="009B5EFC"/>
    <w:rsid w:val="009B6072"/>
    <w:rsid w:val="009B6158"/>
    <w:rsid w:val="009B67FF"/>
    <w:rsid w:val="009B6D5D"/>
    <w:rsid w:val="009B6DF6"/>
    <w:rsid w:val="009B70A2"/>
    <w:rsid w:val="009B7397"/>
    <w:rsid w:val="009B7640"/>
    <w:rsid w:val="009B795F"/>
    <w:rsid w:val="009B7F16"/>
    <w:rsid w:val="009C0568"/>
    <w:rsid w:val="009C08D2"/>
    <w:rsid w:val="009C0A9D"/>
    <w:rsid w:val="009C1361"/>
    <w:rsid w:val="009C14CC"/>
    <w:rsid w:val="009C15F2"/>
    <w:rsid w:val="009C1631"/>
    <w:rsid w:val="009C1A5C"/>
    <w:rsid w:val="009C1A7E"/>
    <w:rsid w:val="009C1AD9"/>
    <w:rsid w:val="009C1C4E"/>
    <w:rsid w:val="009C1DBD"/>
    <w:rsid w:val="009C2163"/>
    <w:rsid w:val="009C257E"/>
    <w:rsid w:val="009C258D"/>
    <w:rsid w:val="009C259D"/>
    <w:rsid w:val="009C270F"/>
    <w:rsid w:val="009C28F2"/>
    <w:rsid w:val="009C2B97"/>
    <w:rsid w:val="009C2E0E"/>
    <w:rsid w:val="009C344E"/>
    <w:rsid w:val="009C3643"/>
    <w:rsid w:val="009C3B7F"/>
    <w:rsid w:val="009C3C2F"/>
    <w:rsid w:val="009C3DD5"/>
    <w:rsid w:val="009C3E56"/>
    <w:rsid w:val="009C3FBF"/>
    <w:rsid w:val="009C407F"/>
    <w:rsid w:val="009C430A"/>
    <w:rsid w:val="009C4472"/>
    <w:rsid w:val="009C47BC"/>
    <w:rsid w:val="009C4F71"/>
    <w:rsid w:val="009C5684"/>
    <w:rsid w:val="009C576B"/>
    <w:rsid w:val="009C5779"/>
    <w:rsid w:val="009C57DA"/>
    <w:rsid w:val="009C59E1"/>
    <w:rsid w:val="009C5D17"/>
    <w:rsid w:val="009C5EB2"/>
    <w:rsid w:val="009C5FB7"/>
    <w:rsid w:val="009C662C"/>
    <w:rsid w:val="009C6798"/>
    <w:rsid w:val="009C6AE3"/>
    <w:rsid w:val="009C6BB7"/>
    <w:rsid w:val="009C6DC9"/>
    <w:rsid w:val="009C6EAB"/>
    <w:rsid w:val="009C7054"/>
    <w:rsid w:val="009C760A"/>
    <w:rsid w:val="009C76D0"/>
    <w:rsid w:val="009C770B"/>
    <w:rsid w:val="009C7C05"/>
    <w:rsid w:val="009C7C94"/>
    <w:rsid w:val="009C7EB4"/>
    <w:rsid w:val="009C7FBA"/>
    <w:rsid w:val="009D0352"/>
    <w:rsid w:val="009D0DF6"/>
    <w:rsid w:val="009D0E21"/>
    <w:rsid w:val="009D0F1E"/>
    <w:rsid w:val="009D1323"/>
    <w:rsid w:val="009D1345"/>
    <w:rsid w:val="009D1507"/>
    <w:rsid w:val="009D1548"/>
    <w:rsid w:val="009D157B"/>
    <w:rsid w:val="009D16CA"/>
    <w:rsid w:val="009D17BE"/>
    <w:rsid w:val="009D188C"/>
    <w:rsid w:val="009D18BD"/>
    <w:rsid w:val="009D1A47"/>
    <w:rsid w:val="009D1AC0"/>
    <w:rsid w:val="009D1E0C"/>
    <w:rsid w:val="009D1FBB"/>
    <w:rsid w:val="009D206A"/>
    <w:rsid w:val="009D2274"/>
    <w:rsid w:val="009D23C1"/>
    <w:rsid w:val="009D25F2"/>
    <w:rsid w:val="009D2767"/>
    <w:rsid w:val="009D2DF1"/>
    <w:rsid w:val="009D2EC7"/>
    <w:rsid w:val="009D2FA3"/>
    <w:rsid w:val="009D344B"/>
    <w:rsid w:val="009D35B1"/>
    <w:rsid w:val="009D3620"/>
    <w:rsid w:val="009D38BE"/>
    <w:rsid w:val="009D39CF"/>
    <w:rsid w:val="009D3D47"/>
    <w:rsid w:val="009D407F"/>
    <w:rsid w:val="009D412A"/>
    <w:rsid w:val="009D43D6"/>
    <w:rsid w:val="009D43D9"/>
    <w:rsid w:val="009D4409"/>
    <w:rsid w:val="009D4BD1"/>
    <w:rsid w:val="009D4C53"/>
    <w:rsid w:val="009D4D05"/>
    <w:rsid w:val="009D50C5"/>
    <w:rsid w:val="009D530D"/>
    <w:rsid w:val="009D5960"/>
    <w:rsid w:val="009D59DF"/>
    <w:rsid w:val="009D5DC2"/>
    <w:rsid w:val="009D5F3A"/>
    <w:rsid w:val="009D613F"/>
    <w:rsid w:val="009D6305"/>
    <w:rsid w:val="009D6404"/>
    <w:rsid w:val="009D6421"/>
    <w:rsid w:val="009D65B4"/>
    <w:rsid w:val="009D6644"/>
    <w:rsid w:val="009D683B"/>
    <w:rsid w:val="009D6AE7"/>
    <w:rsid w:val="009D6BA3"/>
    <w:rsid w:val="009D6EE7"/>
    <w:rsid w:val="009D7057"/>
    <w:rsid w:val="009D7226"/>
    <w:rsid w:val="009D73E6"/>
    <w:rsid w:val="009D73F3"/>
    <w:rsid w:val="009D7640"/>
    <w:rsid w:val="009D785B"/>
    <w:rsid w:val="009D793E"/>
    <w:rsid w:val="009D797C"/>
    <w:rsid w:val="009D7AFA"/>
    <w:rsid w:val="009D7DCF"/>
    <w:rsid w:val="009E0039"/>
    <w:rsid w:val="009E00BC"/>
    <w:rsid w:val="009E0162"/>
    <w:rsid w:val="009E017A"/>
    <w:rsid w:val="009E022C"/>
    <w:rsid w:val="009E047B"/>
    <w:rsid w:val="009E0812"/>
    <w:rsid w:val="009E1381"/>
    <w:rsid w:val="009E1767"/>
    <w:rsid w:val="009E1950"/>
    <w:rsid w:val="009E1A7B"/>
    <w:rsid w:val="009E1A80"/>
    <w:rsid w:val="009E1AEF"/>
    <w:rsid w:val="009E1C3E"/>
    <w:rsid w:val="009E1C4A"/>
    <w:rsid w:val="009E1D33"/>
    <w:rsid w:val="009E1EFA"/>
    <w:rsid w:val="009E2152"/>
    <w:rsid w:val="009E230F"/>
    <w:rsid w:val="009E2A0F"/>
    <w:rsid w:val="009E2B80"/>
    <w:rsid w:val="009E2BF5"/>
    <w:rsid w:val="009E2CF0"/>
    <w:rsid w:val="009E2DA9"/>
    <w:rsid w:val="009E2E8C"/>
    <w:rsid w:val="009E3448"/>
    <w:rsid w:val="009E34EE"/>
    <w:rsid w:val="009E385F"/>
    <w:rsid w:val="009E395D"/>
    <w:rsid w:val="009E3AEF"/>
    <w:rsid w:val="009E3CA6"/>
    <w:rsid w:val="009E3CBB"/>
    <w:rsid w:val="009E3E20"/>
    <w:rsid w:val="009E3F52"/>
    <w:rsid w:val="009E3F8B"/>
    <w:rsid w:val="009E4074"/>
    <w:rsid w:val="009E40C7"/>
    <w:rsid w:val="009E4E22"/>
    <w:rsid w:val="009E4F82"/>
    <w:rsid w:val="009E5006"/>
    <w:rsid w:val="009E523D"/>
    <w:rsid w:val="009E552C"/>
    <w:rsid w:val="009E5584"/>
    <w:rsid w:val="009E5EE3"/>
    <w:rsid w:val="009E5F10"/>
    <w:rsid w:val="009E617D"/>
    <w:rsid w:val="009E6471"/>
    <w:rsid w:val="009E64F5"/>
    <w:rsid w:val="009E65F2"/>
    <w:rsid w:val="009E699F"/>
    <w:rsid w:val="009E6CA7"/>
    <w:rsid w:val="009E70B6"/>
    <w:rsid w:val="009E72FC"/>
    <w:rsid w:val="009E7544"/>
    <w:rsid w:val="009E7967"/>
    <w:rsid w:val="009E7C1B"/>
    <w:rsid w:val="009F01D0"/>
    <w:rsid w:val="009F05D6"/>
    <w:rsid w:val="009F0779"/>
    <w:rsid w:val="009F09BC"/>
    <w:rsid w:val="009F0A07"/>
    <w:rsid w:val="009F0C70"/>
    <w:rsid w:val="009F0CB5"/>
    <w:rsid w:val="009F1040"/>
    <w:rsid w:val="009F133B"/>
    <w:rsid w:val="009F1B75"/>
    <w:rsid w:val="009F1CF2"/>
    <w:rsid w:val="009F1DDB"/>
    <w:rsid w:val="009F1FD6"/>
    <w:rsid w:val="009F21BE"/>
    <w:rsid w:val="009F2677"/>
    <w:rsid w:val="009F2968"/>
    <w:rsid w:val="009F2BCC"/>
    <w:rsid w:val="009F2E57"/>
    <w:rsid w:val="009F2E6E"/>
    <w:rsid w:val="009F3132"/>
    <w:rsid w:val="009F35B4"/>
    <w:rsid w:val="009F388D"/>
    <w:rsid w:val="009F3D5D"/>
    <w:rsid w:val="009F3F2D"/>
    <w:rsid w:val="009F4007"/>
    <w:rsid w:val="009F42AD"/>
    <w:rsid w:val="009F4378"/>
    <w:rsid w:val="009F4ACF"/>
    <w:rsid w:val="009F4C80"/>
    <w:rsid w:val="009F4DDA"/>
    <w:rsid w:val="009F50B6"/>
    <w:rsid w:val="009F55DF"/>
    <w:rsid w:val="009F5680"/>
    <w:rsid w:val="009F570B"/>
    <w:rsid w:val="009F59FB"/>
    <w:rsid w:val="009F5A3B"/>
    <w:rsid w:val="009F5C6B"/>
    <w:rsid w:val="009F5EA1"/>
    <w:rsid w:val="009F5F25"/>
    <w:rsid w:val="009F630F"/>
    <w:rsid w:val="009F645E"/>
    <w:rsid w:val="009F6665"/>
    <w:rsid w:val="009F672A"/>
    <w:rsid w:val="009F67B6"/>
    <w:rsid w:val="009F6984"/>
    <w:rsid w:val="009F699F"/>
    <w:rsid w:val="009F69D1"/>
    <w:rsid w:val="009F6DD7"/>
    <w:rsid w:val="009F6DE8"/>
    <w:rsid w:val="009F6E23"/>
    <w:rsid w:val="009F6E6C"/>
    <w:rsid w:val="009F6E97"/>
    <w:rsid w:val="009F75E6"/>
    <w:rsid w:val="009F7931"/>
    <w:rsid w:val="009F7A91"/>
    <w:rsid w:val="009F7B25"/>
    <w:rsid w:val="009F7BC8"/>
    <w:rsid w:val="009F7F14"/>
    <w:rsid w:val="00A00134"/>
    <w:rsid w:val="00A00144"/>
    <w:rsid w:val="00A001F6"/>
    <w:rsid w:val="00A0026B"/>
    <w:rsid w:val="00A003FB"/>
    <w:rsid w:val="00A004DC"/>
    <w:rsid w:val="00A00522"/>
    <w:rsid w:val="00A00748"/>
    <w:rsid w:val="00A00ABB"/>
    <w:rsid w:val="00A00B4D"/>
    <w:rsid w:val="00A00DD4"/>
    <w:rsid w:val="00A00FAB"/>
    <w:rsid w:val="00A0110A"/>
    <w:rsid w:val="00A011E5"/>
    <w:rsid w:val="00A01817"/>
    <w:rsid w:val="00A01A82"/>
    <w:rsid w:val="00A01C11"/>
    <w:rsid w:val="00A01D48"/>
    <w:rsid w:val="00A01F6C"/>
    <w:rsid w:val="00A01FD9"/>
    <w:rsid w:val="00A02187"/>
    <w:rsid w:val="00A02403"/>
    <w:rsid w:val="00A02523"/>
    <w:rsid w:val="00A02681"/>
    <w:rsid w:val="00A02971"/>
    <w:rsid w:val="00A02AD8"/>
    <w:rsid w:val="00A02C0F"/>
    <w:rsid w:val="00A030AB"/>
    <w:rsid w:val="00A034EB"/>
    <w:rsid w:val="00A035A5"/>
    <w:rsid w:val="00A038C9"/>
    <w:rsid w:val="00A041F7"/>
    <w:rsid w:val="00A044EC"/>
    <w:rsid w:val="00A0487C"/>
    <w:rsid w:val="00A04B5D"/>
    <w:rsid w:val="00A04B5F"/>
    <w:rsid w:val="00A04DA3"/>
    <w:rsid w:val="00A0508F"/>
    <w:rsid w:val="00A051C2"/>
    <w:rsid w:val="00A0537D"/>
    <w:rsid w:val="00A05794"/>
    <w:rsid w:val="00A0580F"/>
    <w:rsid w:val="00A05938"/>
    <w:rsid w:val="00A05E48"/>
    <w:rsid w:val="00A05E4A"/>
    <w:rsid w:val="00A061E0"/>
    <w:rsid w:val="00A0665E"/>
    <w:rsid w:val="00A0699F"/>
    <w:rsid w:val="00A07280"/>
    <w:rsid w:val="00A0733B"/>
    <w:rsid w:val="00A07408"/>
    <w:rsid w:val="00A07622"/>
    <w:rsid w:val="00A07666"/>
    <w:rsid w:val="00A07789"/>
    <w:rsid w:val="00A07B68"/>
    <w:rsid w:val="00A1000F"/>
    <w:rsid w:val="00A101ED"/>
    <w:rsid w:val="00A1045B"/>
    <w:rsid w:val="00A10A42"/>
    <w:rsid w:val="00A10F77"/>
    <w:rsid w:val="00A10FFC"/>
    <w:rsid w:val="00A11179"/>
    <w:rsid w:val="00A112F9"/>
    <w:rsid w:val="00A1154B"/>
    <w:rsid w:val="00A1165C"/>
    <w:rsid w:val="00A1171D"/>
    <w:rsid w:val="00A117CE"/>
    <w:rsid w:val="00A1193C"/>
    <w:rsid w:val="00A11941"/>
    <w:rsid w:val="00A1198E"/>
    <w:rsid w:val="00A11A31"/>
    <w:rsid w:val="00A11C3C"/>
    <w:rsid w:val="00A11EF2"/>
    <w:rsid w:val="00A123B5"/>
    <w:rsid w:val="00A12983"/>
    <w:rsid w:val="00A12AAA"/>
    <w:rsid w:val="00A135D4"/>
    <w:rsid w:val="00A1374C"/>
    <w:rsid w:val="00A138B1"/>
    <w:rsid w:val="00A13983"/>
    <w:rsid w:val="00A13FD0"/>
    <w:rsid w:val="00A1400B"/>
    <w:rsid w:val="00A14501"/>
    <w:rsid w:val="00A14A1F"/>
    <w:rsid w:val="00A14A8C"/>
    <w:rsid w:val="00A14BCE"/>
    <w:rsid w:val="00A14F4A"/>
    <w:rsid w:val="00A150EA"/>
    <w:rsid w:val="00A15144"/>
    <w:rsid w:val="00A1536C"/>
    <w:rsid w:val="00A156A5"/>
    <w:rsid w:val="00A157F5"/>
    <w:rsid w:val="00A15B2F"/>
    <w:rsid w:val="00A15EAD"/>
    <w:rsid w:val="00A1615E"/>
    <w:rsid w:val="00A16475"/>
    <w:rsid w:val="00A16A0F"/>
    <w:rsid w:val="00A1796C"/>
    <w:rsid w:val="00A17A60"/>
    <w:rsid w:val="00A17B22"/>
    <w:rsid w:val="00A17D7A"/>
    <w:rsid w:val="00A17F24"/>
    <w:rsid w:val="00A20002"/>
    <w:rsid w:val="00A20072"/>
    <w:rsid w:val="00A20256"/>
    <w:rsid w:val="00A20619"/>
    <w:rsid w:val="00A20644"/>
    <w:rsid w:val="00A20649"/>
    <w:rsid w:val="00A20866"/>
    <w:rsid w:val="00A20A66"/>
    <w:rsid w:val="00A20A9A"/>
    <w:rsid w:val="00A20DAB"/>
    <w:rsid w:val="00A20E74"/>
    <w:rsid w:val="00A211BD"/>
    <w:rsid w:val="00A21455"/>
    <w:rsid w:val="00A2174E"/>
    <w:rsid w:val="00A21B1D"/>
    <w:rsid w:val="00A226F2"/>
    <w:rsid w:val="00A22B18"/>
    <w:rsid w:val="00A231F9"/>
    <w:rsid w:val="00A23408"/>
    <w:rsid w:val="00A23495"/>
    <w:rsid w:val="00A235FB"/>
    <w:rsid w:val="00A236A1"/>
    <w:rsid w:val="00A23768"/>
    <w:rsid w:val="00A23C2E"/>
    <w:rsid w:val="00A240F0"/>
    <w:rsid w:val="00A242B8"/>
    <w:rsid w:val="00A24570"/>
    <w:rsid w:val="00A245EA"/>
    <w:rsid w:val="00A246D3"/>
    <w:rsid w:val="00A24860"/>
    <w:rsid w:val="00A24CDD"/>
    <w:rsid w:val="00A25003"/>
    <w:rsid w:val="00A2525F"/>
    <w:rsid w:val="00A2551D"/>
    <w:rsid w:val="00A256A9"/>
    <w:rsid w:val="00A261BC"/>
    <w:rsid w:val="00A26567"/>
    <w:rsid w:val="00A269AD"/>
    <w:rsid w:val="00A26D09"/>
    <w:rsid w:val="00A26D7C"/>
    <w:rsid w:val="00A26DE4"/>
    <w:rsid w:val="00A27257"/>
    <w:rsid w:val="00A2726B"/>
    <w:rsid w:val="00A27424"/>
    <w:rsid w:val="00A274B8"/>
    <w:rsid w:val="00A27537"/>
    <w:rsid w:val="00A2775D"/>
    <w:rsid w:val="00A279B7"/>
    <w:rsid w:val="00A27A2A"/>
    <w:rsid w:val="00A301AA"/>
    <w:rsid w:val="00A30285"/>
    <w:rsid w:val="00A303F7"/>
    <w:rsid w:val="00A30A4F"/>
    <w:rsid w:val="00A31341"/>
    <w:rsid w:val="00A3147F"/>
    <w:rsid w:val="00A31625"/>
    <w:rsid w:val="00A31998"/>
    <w:rsid w:val="00A31C6F"/>
    <w:rsid w:val="00A31D4E"/>
    <w:rsid w:val="00A31E87"/>
    <w:rsid w:val="00A32051"/>
    <w:rsid w:val="00A326C1"/>
    <w:rsid w:val="00A32781"/>
    <w:rsid w:val="00A3282C"/>
    <w:rsid w:val="00A32A56"/>
    <w:rsid w:val="00A33045"/>
    <w:rsid w:val="00A3320E"/>
    <w:rsid w:val="00A332E8"/>
    <w:rsid w:val="00A33346"/>
    <w:rsid w:val="00A335C6"/>
    <w:rsid w:val="00A337EC"/>
    <w:rsid w:val="00A337EF"/>
    <w:rsid w:val="00A339B5"/>
    <w:rsid w:val="00A339FF"/>
    <w:rsid w:val="00A33AC7"/>
    <w:rsid w:val="00A33C0A"/>
    <w:rsid w:val="00A33D6C"/>
    <w:rsid w:val="00A34342"/>
    <w:rsid w:val="00A343F3"/>
    <w:rsid w:val="00A343F7"/>
    <w:rsid w:val="00A34735"/>
    <w:rsid w:val="00A34AB1"/>
    <w:rsid w:val="00A34C4D"/>
    <w:rsid w:val="00A34FB1"/>
    <w:rsid w:val="00A3519F"/>
    <w:rsid w:val="00A353C0"/>
    <w:rsid w:val="00A35877"/>
    <w:rsid w:val="00A358B3"/>
    <w:rsid w:val="00A35CA2"/>
    <w:rsid w:val="00A35D67"/>
    <w:rsid w:val="00A35FB9"/>
    <w:rsid w:val="00A3608D"/>
    <w:rsid w:val="00A360A5"/>
    <w:rsid w:val="00A36312"/>
    <w:rsid w:val="00A3648B"/>
    <w:rsid w:val="00A369EE"/>
    <w:rsid w:val="00A36CD4"/>
    <w:rsid w:val="00A36E22"/>
    <w:rsid w:val="00A36F46"/>
    <w:rsid w:val="00A3707A"/>
    <w:rsid w:val="00A372B4"/>
    <w:rsid w:val="00A37600"/>
    <w:rsid w:val="00A37632"/>
    <w:rsid w:val="00A377E9"/>
    <w:rsid w:val="00A37806"/>
    <w:rsid w:val="00A37894"/>
    <w:rsid w:val="00A37A50"/>
    <w:rsid w:val="00A37A63"/>
    <w:rsid w:val="00A37BEF"/>
    <w:rsid w:val="00A37C58"/>
    <w:rsid w:val="00A40092"/>
    <w:rsid w:val="00A40124"/>
    <w:rsid w:val="00A40546"/>
    <w:rsid w:val="00A4068D"/>
    <w:rsid w:val="00A40B09"/>
    <w:rsid w:val="00A40B72"/>
    <w:rsid w:val="00A40B96"/>
    <w:rsid w:val="00A40BA1"/>
    <w:rsid w:val="00A40DE8"/>
    <w:rsid w:val="00A4100F"/>
    <w:rsid w:val="00A4131C"/>
    <w:rsid w:val="00A414EB"/>
    <w:rsid w:val="00A414FC"/>
    <w:rsid w:val="00A41727"/>
    <w:rsid w:val="00A418BB"/>
    <w:rsid w:val="00A41950"/>
    <w:rsid w:val="00A41CC4"/>
    <w:rsid w:val="00A42727"/>
    <w:rsid w:val="00A42A55"/>
    <w:rsid w:val="00A42EA4"/>
    <w:rsid w:val="00A4363B"/>
    <w:rsid w:val="00A4389E"/>
    <w:rsid w:val="00A43934"/>
    <w:rsid w:val="00A43EFD"/>
    <w:rsid w:val="00A4406C"/>
    <w:rsid w:val="00A440FD"/>
    <w:rsid w:val="00A441D6"/>
    <w:rsid w:val="00A444A3"/>
    <w:rsid w:val="00A44564"/>
    <w:rsid w:val="00A44616"/>
    <w:rsid w:val="00A4478F"/>
    <w:rsid w:val="00A448AA"/>
    <w:rsid w:val="00A45805"/>
    <w:rsid w:val="00A45D04"/>
    <w:rsid w:val="00A45E41"/>
    <w:rsid w:val="00A46140"/>
    <w:rsid w:val="00A46174"/>
    <w:rsid w:val="00A4643B"/>
    <w:rsid w:val="00A466C0"/>
    <w:rsid w:val="00A46839"/>
    <w:rsid w:val="00A46B23"/>
    <w:rsid w:val="00A46DE3"/>
    <w:rsid w:val="00A46EA1"/>
    <w:rsid w:val="00A4714A"/>
    <w:rsid w:val="00A47557"/>
    <w:rsid w:val="00A476F5"/>
    <w:rsid w:val="00A477BA"/>
    <w:rsid w:val="00A479AB"/>
    <w:rsid w:val="00A47A29"/>
    <w:rsid w:val="00A47B84"/>
    <w:rsid w:val="00A47F6B"/>
    <w:rsid w:val="00A5068D"/>
    <w:rsid w:val="00A50981"/>
    <w:rsid w:val="00A50CD3"/>
    <w:rsid w:val="00A5139F"/>
    <w:rsid w:val="00A516E0"/>
    <w:rsid w:val="00A51AF0"/>
    <w:rsid w:val="00A51B9E"/>
    <w:rsid w:val="00A51E14"/>
    <w:rsid w:val="00A52011"/>
    <w:rsid w:val="00A520AC"/>
    <w:rsid w:val="00A52364"/>
    <w:rsid w:val="00A5258A"/>
    <w:rsid w:val="00A5270C"/>
    <w:rsid w:val="00A5279B"/>
    <w:rsid w:val="00A527B4"/>
    <w:rsid w:val="00A52851"/>
    <w:rsid w:val="00A52AC0"/>
    <w:rsid w:val="00A52ACF"/>
    <w:rsid w:val="00A52B73"/>
    <w:rsid w:val="00A53413"/>
    <w:rsid w:val="00A5357F"/>
    <w:rsid w:val="00A535FE"/>
    <w:rsid w:val="00A5371C"/>
    <w:rsid w:val="00A53881"/>
    <w:rsid w:val="00A53883"/>
    <w:rsid w:val="00A53C94"/>
    <w:rsid w:val="00A53E20"/>
    <w:rsid w:val="00A53EFC"/>
    <w:rsid w:val="00A5404A"/>
    <w:rsid w:val="00A54264"/>
    <w:rsid w:val="00A54536"/>
    <w:rsid w:val="00A545C1"/>
    <w:rsid w:val="00A5480C"/>
    <w:rsid w:val="00A5487E"/>
    <w:rsid w:val="00A54AF0"/>
    <w:rsid w:val="00A54B26"/>
    <w:rsid w:val="00A54C43"/>
    <w:rsid w:val="00A54CBC"/>
    <w:rsid w:val="00A54DCB"/>
    <w:rsid w:val="00A551CD"/>
    <w:rsid w:val="00A553B4"/>
    <w:rsid w:val="00A553D4"/>
    <w:rsid w:val="00A555CE"/>
    <w:rsid w:val="00A55608"/>
    <w:rsid w:val="00A5567F"/>
    <w:rsid w:val="00A559BF"/>
    <w:rsid w:val="00A55A00"/>
    <w:rsid w:val="00A55E19"/>
    <w:rsid w:val="00A55F52"/>
    <w:rsid w:val="00A55F79"/>
    <w:rsid w:val="00A5616D"/>
    <w:rsid w:val="00A561EA"/>
    <w:rsid w:val="00A5629A"/>
    <w:rsid w:val="00A565C8"/>
    <w:rsid w:val="00A56606"/>
    <w:rsid w:val="00A5661F"/>
    <w:rsid w:val="00A5674F"/>
    <w:rsid w:val="00A56B37"/>
    <w:rsid w:val="00A57544"/>
    <w:rsid w:val="00A57723"/>
    <w:rsid w:val="00A577AA"/>
    <w:rsid w:val="00A57B22"/>
    <w:rsid w:val="00A57C0A"/>
    <w:rsid w:val="00A6014C"/>
    <w:rsid w:val="00A609C3"/>
    <w:rsid w:val="00A60AD6"/>
    <w:rsid w:val="00A6155B"/>
    <w:rsid w:val="00A6182B"/>
    <w:rsid w:val="00A619A6"/>
    <w:rsid w:val="00A61A80"/>
    <w:rsid w:val="00A61B21"/>
    <w:rsid w:val="00A61C30"/>
    <w:rsid w:val="00A61C56"/>
    <w:rsid w:val="00A61CE8"/>
    <w:rsid w:val="00A61CFB"/>
    <w:rsid w:val="00A62637"/>
    <w:rsid w:val="00A6268D"/>
    <w:rsid w:val="00A626FC"/>
    <w:rsid w:val="00A627C6"/>
    <w:rsid w:val="00A62827"/>
    <w:rsid w:val="00A6298D"/>
    <w:rsid w:val="00A62F24"/>
    <w:rsid w:val="00A63384"/>
    <w:rsid w:val="00A63509"/>
    <w:rsid w:val="00A636DE"/>
    <w:rsid w:val="00A6371D"/>
    <w:rsid w:val="00A63978"/>
    <w:rsid w:val="00A639FE"/>
    <w:rsid w:val="00A63B84"/>
    <w:rsid w:val="00A63B96"/>
    <w:rsid w:val="00A63F9F"/>
    <w:rsid w:val="00A64467"/>
    <w:rsid w:val="00A6458B"/>
    <w:rsid w:val="00A645DE"/>
    <w:rsid w:val="00A64995"/>
    <w:rsid w:val="00A64B44"/>
    <w:rsid w:val="00A64B52"/>
    <w:rsid w:val="00A64B96"/>
    <w:rsid w:val="00A64D35"/>
    <w:rsid w:val="00A64EE3"/>
    <w:rsid w:val="00A650C6"/>
    <w:rsid w:val="00A65167"/>
    <w:rsid w:val="00A65938"/>
    <w:rsid w:val="00A65A49"/>
    <w:rsid w:val="00A65A81"/>
    <w:rsid w:val="00A65BEE"/>
    <w:rsid w:val="00A66018"/>
    <w:rsid w:val="00A661A7"/>
    <w:rsid w:val="00A6689A"/>
    <w:rsid w:val="00A6698C"/>
    <w:rsid w:val="00A66B4D"/>
    <w:rsid w:val="00A66C3F"/>
    <w:rsid w:val="00A66DF0"/>
    <w:rsid w:val="00A66E74"/>
    <w:rsid w:val="00A66ECF"/>
    <w:rsid w:val="00A6706B"/>
    <w:rsid w:val="00A6738F"/>
    <w:rsid w:val="00A67465"/>
    <w:rsid w:val="00A674D7"/>
    <w:rsid w:val="00A675B9"/>
    <w:rsid w:val="00A6787D"/>
    <w:rsid w:val="00A67958"/>
    <w:rsid w:val="00A679D8"/>
    <w:rsid w:val="00A67E28"/>
    <w:rsid w:val="00A67E66"/>
    <w:rsid w:val="00A67F57"/>
    <w:rsid w:val="00A70216"/>
    <w:rsid w:val="00A70507"/>
    <w:rsid w:val="00A70554"/>
    <w:rsid w:val="00A705B8"/>
    <w:rsid w:val="00A70673"/>
    <w:rsid w:val="00A708E3"/>
    <w:rsid w:val="00A70A0A"/>
    <w:rsid w:val="00A70ABB"/>
    <w:rsid w:val="00A70E7F"/>
    <w:rsid w:val="00A70EB0"/>
    <w:rsid w:val="00A70FD1"/>
    <w:rsid w:val="00A71205"/>
    <w:rsid w:val="00A71207"/>
    <w:rsid w:val="00A71271"/>
    <w:rsid w:val="00A7169C"/>
    <w:rsid w:val="00A71760"/>
    <w:rsid w:val="00A71902"/>
    <w:rsid w:val="00A71B85"/>
    <w:rsid w:val="00A71BD3"/>
    <w:rsid w:val="00A71C52"/>
    <w:rsid w:val="00A71D41"/>
    <w:rsid w:val="00A720E6"/>
    <w:rsid w:val="00A72332"/>
    <w:rsid w:val="00A72338"/>
    <w:rsid w:val="00A723E0"/>
    <w:rsid w:val="00A727F1"/>
    <w:rsid w:val="00A72867"/>
    <w:rsid w:val="00A7289A"/>
    <w:rsid w:val="00A72935"/>
    <w:rsid w:val="00A729FE"/>
    <w:rsid w:val="00A72AAC"/>
    <w:rsid w:val="00A7301E"/>
    <w:rsid w:val="00A73169"/>
    <w:rsid w:val="00A731BA"/>
    <w:rsid w:val="00A735CF"/>
    <w:rsid w:val="00A73672"/>
    <w:rsid w:val="00A73858"/>
    <w:rsid w:val="00A739DD"/>
    <w:rsid w:val="00A73AD8"/>
    <w:rsid w:val="00A73B45"/>
    <w:rsid w:val="00A73B74"/>
    <w:rsid w:val="00A73EAD"/>
    <w:rsid w:val="00A74061"/>
    <w:rsid w:val="00A745CF"/>
    <w:rsid w:val="00A7485A"/>
    <w:rsid w:val="00A74EFA"/>
    <w:rsid w:val="00A751E9"/>
    <w:rsid w:val="00A7531E"/>
    <w:rsid w:val="00A757E7"/>
    <w:rsid w:val="00A75AA1"/>
    <w:rsid w:val="00A75B3D"/>
    <w:rsid w:val="00A76069"/>
    <w:rsid w:val="00A760CE"/>
    <w:rsid w:val="00A761DA"/>
    <w:rsid w:val="00A76334"/>
    <w:rsid w:val="00A76463"/>
    <w:rsid w:val="00A76538"/>
    <w:rsid w:val="00A767E3"/>
    <w:rsid w:val="00A76BAA"/>
    <w:rsid w:val="00A7709D"/>
    <w:rsid w:val="00A77281"/>
    <w:rsid w:val="00A7759E"/>
    <w:rsid w:val="00A77819"/>
    <w:rsid w:val="00A77B70"/>
    <w:rsid w:val="00A77CCD"/>
    <w:rsid w:val="00A77E80"/>
    <w:rsid w:val="00A77FC7"/>
    <w:rsid w:val="00A800EF"/>
    <w:rsid w:val="00A802D9"/>
    <w:rsid w:val="00A80638"/>
    <w:rsid w:val="00A8089A"/>
    <w:rsid w:val="00A80951"/>
    <w:rsid w:val="00A80E7C"/>
    <w:rsid w:val="00A80FC3"/>
    <w:rsid w:val="00A80FF6"/>
    <w:rsid w:val="00A813CE"/>
    <w:rsid w:val="00A81519"/>
    <w:rsid w:val="00A81900"/>
    <w:rsid w:val="00A81DA5"/>
    <w:rsid w:val="00A8258E"/>
    <w:rsid w:val="00A82B5E"/>
    <w:rsid w:val="00A82CFA"/>
    <w:rsid w:val="00A83529"/>
    <w:rsid w:val="00A838A3"/>
    <w:rsid w:val="00A83A30"/>
    <w:rsid w:val="00A83B57"/>
    <w:rsid w:val="00A83B82"/>
    <w:rsid w:val="00A83C18"/>
    <w:rsid w:val="00A83ECE"/>
    <w:rsid w:val="00A84363"/>
    <w:rsid w:val="00A8443F"/>
    <w:rsid w:val="00A8450C"/>
    <w:rsid w:val="00A84667"/>
    <w:rsid w:val="00A8469B"/>
    <w:rsid w:val="00A848A5"/>
    <w:rsid w:val="00A848FD"/>
    <w:rsid w:val="00A84AF8"/>
    <w:rsid w:val="00A84BA3"/>
    <w:rsid w:val="00A84C9E"/>
    <w:rsid w:val="00A85658"/>
    <w:rsid w:val="00A85F50"/>
    <w:rsid w:val="00A86013"/>
    <w:rsid w:val="00A86093"/>
    <w:rsid w:val="00A86141"/>
    <w:rsid w:val="00A865CC"/>
    <w:rsid w:val="00A86C15"/>
    <w:rsid w:val="00A86EC5"/>
    <w:rsid w:val="00A86FE4"/>
    <w:rsid w:val="00A87863"/>
    <w:rsid w:val="00A87916"/>
    <w:rsid w:val="00A87A69"/>
    <w:rsid w:val="00A87BF7"/>
    <w:rsid w:val="00A87D3A"/>
    <w:rsid w:val="00A87E87"/>
    <w:rsid w:val="00A87F8F"/>
    <w:rsid w:val="00A90123"/>
    <w:rsid w:val="00A9057F"/>
    <w:rsid w:val="00A905CF"/>
    <w:rsid w:val="00A90874"/>
    <w:rsid w:val="00A90A46"/>
    <w:rsid w:val="00A90AAC"/>
    <w:rsid w:val="00A90B02"/>
    <w:rsid w:val="00A90D45"/>
    <w:rsid w:val="00A90E03"/>
    <w:rsid w:val="00A90E81"/>
    <w:rsid w:val="00A90EB5"/>
    <w:rsid w:val="00A910D8"/>
    <w:rsid w:val="00A9115F"/>
    <w:rsid w:val="00A911AB"/>
    <w:rsid w:val="00A918BE"/>
    <w:rsid w:val="00A91C7D"/>
    <w:rsid w:val="00A92266"/>
    <w:rsid w:val="00A9242D"/>
    <w:rsid w:val="00A924AE"/>
    <w:rsid w:val="00A926D6"/>
    <w:rsid w:val="00A92865"/>
    <w:rsid w:val="00A9292C"/>
    <w:rsid w:val="00A92BA1"/>
    <w:rsid w:val="00A92D1D"/>
    <w:rsid w:val="00A92DD3"/>
    <w:rsid w:val="00A92FD1"/>
    <w:rsid w:val="00A930E4"/>
    <w:rsid w:val="00A931C4"/>
    <w:rsid w:val="00A93357"/>
    <w:rsid w:val="00A936DD"/>
    <w:rsid w:val="00A93880"/>
    <w:rsid w:val="00A93C4F"/>
    <w:rsid w:val="00A9401D"/>
    <w:rsid w:val="00A9414C"/>
    <w:rsid w:val="00A9418C"/>
    <w:rsid w:val="00A94221"/>
    <w:rsid w:val="00A94A0B"/>
    <w:rsid w:val="00A94A8B"/>
    <w:rsid w:val="00A950DF"/>
    <w:rsid w:val="00A9510F"/>
    <w:rsid w:val="00A9543C"/>
    <w:rsid w:val="00A9575E"/>
    <w:rsid w:val="00A957C9"/>
    <w:rsid w:val="00A959B1"/>
    <w:rsid w:val="00A95A20"/>
    <w:rsid w:val="00A95C06"/>
    <w:rsid w:val="00A95CD7"/>
    <w:rsid w:val="00A9640B"/>
    <w:rsid w:val="00A9660A"/>
    <w:rsid w:val="00A96B12"/>
    <w:rsid w:val="00A96F45"/>
    <w:rsid w:val="00A97112"/>
    <w:rsid w:val="00A971A3"/>
    <w:rsid w:val="00A972D9"/>
    <w:rsid w:val="00A9753F"/>
    <w:rsid w:val="00A97673"/>
    <w:rsid w:val="00A976E9"/>
    <w:rsid w:val="00A97941"/>
    <w:rsid w:val="00A97A3A"/>
    <w:rsid w:val="00A97A67"/>
    <w:rsid w:val="00A97B3A"/>
    <w:rsid w:val="00AA0035"/>
    <w:rsid w:val="00AA00A9"/>
    <w:rsid w:val="00AA0283"/>
    <w:rsid w:val="00AA0728"/>
    <w:rsid w:val="00AA0796"/>
    <w:rsid w:val="00AA0827"/>
    <w:rsid w:val="00AA0BB1"/>
    <w:rsid w:val="00AA1383"/>
    <w:rsid w:val="00AA13E5"/>
    <w:rsid w:val="00AA17A4"/>
    <w:rsid w:val="00AA21C5"/>
    <w:rsid w:val="00AA22F9"/>
    <w:rsid w:val="00AA25BB"/>
    <w:rsid w:val="00AA2B64"/>
    <w:rsid w:val="00AA2BA0"/>
    <w:rsid w:val="00AA2F1C"/>
    <w:rsid w:val="00AA2F34"/>
    <w:rsid w:val="00AA361F"/>
    <w:rsid w:val="00AA38A7"/>
    <w:rsid w:val="00AA38D9"/>
    <w:rsid w:val="00AA393D"/>
    <w:rsid w:val="00AA3960"/>
    <w:rsid w:val="00AA3D18"/>
    <w:rsid w:val="00AA3D62"/>
    <w:rsid w:val="00AA4276"/>
    <w:rsid w:val="00AA42A6"/>
    <w:rsid w:val="00AA48A6"/>
    <w:rsid w:val="00AA4915"/>
    <w:rsid w:val="00AA4A42"/>
    <w:rsid w:val="00AA4B97"/>
    <w:rsid w:val="00AA4C1B"/>
    <w:rsid w:val="00AA4E6A"/>
    <w:rsid w:val="00AA4ED8"/>
    <w:rsid w:val="00AA50DB"/>
    <w:rsid w:val="00AA541B"/>
    <w:rsid w:val="00AA5A80"/>
    <w:rsid w:val="00AA5E35"/>
    <w:rsid w:val="00AA5FA6"/>
    <w:rsid w:val="00AA6071"/>
    <w:rsid w:val="00AA6282"/>
    <w:rsid w:val="00AA6753"/>
    <w:rsid w:val="00AA67E5"/>
    <w:rsid w:val="00AA68D1"/>
    <w:rsid w:val="00AA6BB0"/>
    <w:rsid w:val="00AA6DE4"/>
    <w:rsid w:val="00AA7345"/>
    <w:rsid w:val="00AA75FA"/>
    <w:rsid w:val="00AA78B9"/>
    <w:rsid w:val="00AA7AE6"/>
    <w:rsid w:val="00AA7BB1"/>
    <w:rsid w:val="00AA7C78"/>
    <w:rsid w:val="00AA7D1E"/>
    <w:rsid w:val="00AA7DD2"/>
    <w:rsid w:val="00AA7ED1"/>
    <w:rsid w:val="00AB000E"/>
    <w:rsid w:val="00AB036B"/>
    <w:rsid w:val="00AB0649"/>
    <w:rsid w:val="00AB0B30"/>
    <w:rsid w:val="00AB0CBB"/>
    <w:rsid w:val="00AB0D51"/>
    <w:rsid w:val="00AB0DEF"/>
    <w:rsid w:val="00AB0F7D"/>
    <w:rsid w:val="00AB0F9D"/>
    <w:rsid w:val="00AB115D"/>
    <w:rsid w:val="00AB13A3"/>
    <w:rsid w:val="00AB1462"/>
    <w:rsid w:val="00AB17D0"/>
    <w:rsid w:val="00AB191D"/>
    <w:rsid w:val="00AB1AFB"/>
    <w:rsid w:val="00AB1BA2"/>
    <w:rsid w:val="00AB2063"/>
    <w:rsid w:val="00AB2306"/>
    <w:rsid w:val="00AB2355"/>
    <w:rsid w:val="00AB24A2"/>
    <w:rsid w:val="00AB259E"/>
    <w:rsid w:val="00AB2CB0"/>
    <w:rsid w:val="00AB2E7D"/>
    <w:rsid w:val="00AB2E86"/>
    <w:rsid w:val="00AB2F8A"/>
    <w:rsid w:val="00AB300A"/>
    <w:rsid w:val="00AB3626"/>
    <w:rsid w:val="00AB3662"/>
    <w:rsid w:val="00AB3A6D"/>
    <w:rsid w:val="00AB3C42"/>
    <w:rsid w:val="00AB43C4"/>
    <w:rsid w:val="00AB46C6"/>
    <w:rsid w:val="00AB495A"/>
    <w:rsid w:val="00AB4E85"/>
    <w:rsid w:val="00AB5430"/>
    <w:rsid w:val="00AB59E8"/>
    <w:rsid w:val="00AB61BB"/>
    <w:rsid w:val="00AB63D3"/>
    <w:rsid w:val="00AB6475"/>
    <w:rsid w:val="00AB64EB"/>
    <w:rsid w:val="00AB6602"/>
    <w:rsid w:val="00AB6ACF"/>
    <w:rsid w:val="00AB6EEA"/>
    <w:rsid w:val="00AB7086"/>
    <w:rsid w:val="00AB7098"/>
    <w:rsid w:val="00AB74B2"/>
    <w:rsid w:val="00AB7BC3"/>
    <w:rsid w:val="00AB7DA1"/>
    <w:rsid w:val="00AC00B7"/>
    <w:rsid w:val="00AC0149"/>
    <w:rsid w:val="00AC03B7"/>
    <w:rsid w:val="00AC0482"/>
    <w:rsid w:val="00AC051D"/>
    <w:rsid w:val="00AC0727"/>
    <w:rsid w:val="00AC078E"/>
    <w:rsid w:val="00AC07A0"/>
    <w:rsid w:val="00AC09FA"/>
    <w:rsid w:val="00AC0E04"/>
    <w:rsid w:val="00AC100C"/>
    <w:rsid w:val="00AC107E"/>
    <w:rsid w:val="00AC1767"/>
    <w:rsid w:val="00AC1857"/>
    <w:rsid w:val="00AC1907"/>
    <w:rsid w:val="00AC19FB"/>
    <w:rsid w:val="00AC1B76"/>
    <w:rsid w:val="00AC1BFD"/>
    <w:rsid w:val="00AC1C66"/>
    <w:rsid w:val="00AC1C7B"/>
    <w:rsid w:val="00AC1F97"/>
    <w:rsid w:val="00AC226E"/>
    <w:rsid w:val="00AC2394"/>
    <w:rsid w:val="00AC26DD"/>
    <w:rsid w:val="00AC2918"/>
    <w:rsid w:val="00AC29D6"/>
    <w:rsid w:val="00AC2B1E"/>
    <w:rsid w:val="00AC2C57"/>
    <w:rsid w:val="00AC2C9B"/>
    <w:rsid w:val="00AC2D83"/>
    <w:rsid w:val="00AC2F86"/>
    <w:rsid w:val="00AC31C2"/>
    <w:rsid w:val="00AC32AB"/>
    <w:rsid w:val="00AC339F"/>
    <w:rsid w:val="00AC37D3"/>
    <w:rsid w:val="00AC3887"/>
    <w:rsid w:val="00AC3A17"/>
    <w:rsid w:val="00AC3FA9"/>
    <w:rsid w:val="00AC405F"/>
    <w:rsid w:val="00AC42E1"/>
    <w:rsid w:val="00AC44E8"/>
    <w:rsid w:val="00AC451B"/>
    <w:rsid w:val="00AC45DF"/>
    <w:rsid w:val="00AC473E"/>
    <w:rsid w:val="00AC4B03"/>
    <w:rsid w:val="00AC505D"/>
    <w:rsid w:val="00AC52C9"/>
    <w:rsid w:val="00AC56F7"/>
    <w:rsid w:val="00AC56FB"/>
    <w:rsid w:val="00AC5983"/>
    <w:rsid w:val="00AC6164"/>
    <w:rsid w:val="00AC6225"/>
    <w:rsid w:val="00AC62C7"/>
    <w:rsid w:val="00AC6359"/>
    <w:rsid w:val="00AC6382"/>
    <w:rsid w:val="00AC667A"/>
    <w:rsid w:val="00AC691D"/>
    <w:rsid w:val="00AC6A13"/>
    <w:rsid w:val="00AC6F23"/>
    <w:rsid w:val="00AC7012"/>
    <w:rsid w:val="00AC70AE"/>
    <w:rsid w:val="00AC71A4"/>
    <w:rsid w:val="00AC7214"/>
    <w:rsid w:val="00AC7410"/>
    <w:rsid w:val="00AC7632"/>
    <w:rsid w:val="00AC7721"/>
    <w:rsid w:val="00AC77EF"/>
    <w:rsid w:val="00AC789D"/>
    <w:rsid w:val="00AC7A74"/>
    <w:rsid w:val="00AC7B1A"/>
    <w:rsid w:val="00AC7C5B"/>
    <w:rsid w:val="00AD00FC"/>
    <w:rsid w:val="00AD0715"/>
    <w:rsid w:val="00AD073B"/>
    <w:rsid w:val="00AD094C"/>
    <w:rsid w:val="00AD0955"/>
    <w:rsid w:val="00AD0A13"/>
    <w:rsid w:val="00AD0D85"/>
    <w:rsid w:val="00AD0E4A"/>
    <w:rsid w:val="00AD111C"/>
    <w:rsid w:val="00AD1286"/>
    <w:rsid w:val="00AD1342"/>
    <w:rsid w:val="00AD1343"/>
    <w:rsid w:val="00AD13DC"/>
    <w:rsid w:val="00AD146E"/>
    <w:rsid w:val="00AD151F"/>
    <w:rsid w:val="00AD170B"/>
    <w:rsid w:val="00AD17F7"/>
    <w:rsid w:val="00AD1821"/>
    <w:rsid w:val="00AD1896"/>
    <w:rsid w:val="00AD1928"/>
    <w:rsid w:val="00AD1CBD"/>
    <w:rsid w:val="00AD1DF1"/>
    <w:rsid w:val="00AD21FC"/>
    <w:rsid w:val="00AD2222"/>
    <w:rsid w:val="00AD2379"/>
    <w:rsid w:val="00AD251D"/>
    <w:rsid w:val="00AD2570"/>
    <w:rsid w:val="00AD2756"/>
    <w:rsid w:val="00AD299F"/>
    <w:rsid w:val="00AD2A66"/>
    <w:rsid w:val="00AD2E5B"/>
    <w:rsid w:val="00AD2F1F"/>
    <w:rsid w:val="00AD3298"/>
    <w:rsid w:val="00AD32EA"/>
    <w:rsid w:val="00AD3307"/>
    <w:rsid w:val="00AD3353"/>
    <w:rsid w:val="00AD35CE"/>
    <w:rsid w:val="00AD3713"/>
    <w:rsid w:val="00AD3E57"/>
    <w:rsid w:val="00AD3EC7"/>
    <w:rsid w:val="00AD3F51"/>
    <w:rsid w:val="00AD4193"/>
    <w:rsid w:val="00AD46BC"/>
    <w:rsid w:val="00AD4716"/>
    <w:rsid w:val="00AD4792"/>
    <w:rsid w:val="00AD48ED"/>
    <w:rsid w:val="00AD4AE7"/>
    <w:rsid w:val="00AD5255"/>
    <w:rsid w:val="00AD52E7"/>
    <w:rsid w:val="00AD5475"/>
    <w:rsid w:val="00AD58C5"/>
    <w:rsid w:val="00AD5A52"/>
    <w:rsid w:val="00AD5BBF"/>
    <w:rsid w:val="00AD5EA1"/>
    <w:rsid w:val="00AD5ECB"/>
    <w:rsid w:val="00AD6170"/>
    <w:rsid w:val="00AD61EA"/>
    <w:rsid w:val="00AD63D3"/>
    <w:rsid w:val="00AD6861"/>
    <w:rsid w:val="00AD6A37"/>
    <w:rsid w:val="00AD6B5A"/>
    <w:rsid w:val="00AD6BC8"/>
    <w:rsid w:val="00AD6F03"/>
    <w:rsid w:val="00AD6FED"/>
    <w:rsid w:val="00AD7189"/>
    <w:rsid w:val="00AD72FA"/>
    <w:rsid w:val="00AD7348"/>
    <w:rsid w:val="00AD7356"/>
    <w:rsid w:val="00AD7494"/>
    <w:rsid w:val="00AD753C"/>
    <w:rsid w:val="00AD760A"/>
    <w:rsid w:val="00AD7A4D"/>
    <w:rsid w:val="00AD7BBC"/>
    <w:rsid w:val="00AD7BCB"/>
    <w:rsid w:val="00AD7DDF"/>
    <w:rsid w:val="00AD7EBE"/>
    <w:rsid w:val="00AD7EE5"/>
    <w:rsid w:val="00AE009C"/>
    <w:rsid w:val="00AE0116"/>
    <w:rsid w:val="00AE0175"/>
    <w:rsid w:val="00AE0316"/>
    <w:rsid w:val="00AE0731"/>
    <w:rsid w:val="00AE0807"/>
    <w:rsid w:val="00AE09CF"/>
    <w:rsid w:val="00AE0AAD"/>
    <w:rsid w:val="00AE0AB2"/>
    <w:rsid w:val="00AE0CDA"/>
    <w:rsid w:val="00AE1236"/>
    <w:rsid w:val="00AE175D"/>
    <w:rsid w:val="00AE1D7E"/>
    <w:rsid w:val="00AE224F"/>
    <w:rsid w:val="00AE2557"/>
    <w:rsid w:val="00AE2568"/>
    <w:rsid w:val="00AE269D"/>
    <w:rsid w:val="00AE2784"/>
    <w:rsid w:val="00AE2BCB"/>
    <w:rsid w:val="00AE3137"/>
    <w:rsid w:val="00AE33E1"/>
    <w:rsid w:val="00AE33E9"/>
    <w:rsid w:val="00AE3458"/>
    <w:rsid w:val="00AE36C0"/>
    <w:rsid w:val="00AE3888"/>
    <w:rsid w:val="00AE3889"/>
    <w:rsid w:val="00AE3928"/>
    <w:rsid w:val="00AE3970"/>
    <w:rsid w:val="00AE3AE0"/>
    <w:rsid w:val="00AE3D25"/>
    <w:rsid w:val="00AE3DC9"/>
    <w:rsid w:val="00AE3FA8"/>
    <w:rsid w:val="00AE4047"/>
    <w:rsid w:val="00AE439D"/>
    <w:rsid w:val="00AE46FE"/>
    <w:rsid w:val="00AE47D5"/>
    <w:rsid w:val="00AE4A99"/>
    <w:rsid w:val="00AE4C8B"/>
    <w:rsid w:val="00AE4DF8"/>
    <w:rsid w:val="00AE4EEB"/>
    <w:rsid w:val="00AE4FFA"/>
    <w:rsid w:val="00AE51BD"/>
    <w:rsid w:val="00AE520B"/>
    <w:rsid w:val="00AE530B"/>
    <w:rsid w:val="00AE556F"/>
    <w:rsid w:val="00AE59BD"/>
    <w:rsid w:val="00AE5B1A"/>
    <w:rsid w:val="00AE5EF2"/>
    <w:rsid w:val="00AE61DD"/>
    <w:rsid w:val="00AE68FB"/>
    <w:rsid w:val="00AE69C2"/>
    <w:rsid w:val="00AE6BE8"/>
    <w:rsid w:val="00AE6DBB"/>
    <w:rsid w:val="00AE6EB7"/>
    <w:rsid w:val="00AE6EBD"/>
    <w:rsid w:val="00AE6FF2"/>
    <w:rsid w:val="00AE702D"/>
    <w:rsid w:val="00AE70E4"/>
    <w:rsid w:val="00AE7115"/>
    <w:rsid w:val="00AE7193"/>
    <w:rsid w:val="00AE737E"/>
    <w:rsid w:val="00AE780E"/>
    <w:rsid w:val="00AE7A3A"/>
    <w:rsid w:val="00AE7A85"/>
    <w:rsid w:val="00AE7AC8"/>
    <w:rsid w:val="00AE7CE4"/>
    <w:rsid w:val="00AE7E24"/>
    <w:rsid w:val="00AE7FF3"/>
    <w:rsid w:val="00AF01CB"/>
    <w:rsid w:val="00AF0563"/>
    <w:rsid w:val="00AF0618"/>
    <w:rsid w:val="00AF0BC7"/>
    <w:rsid w:val="00AF113A"/>
    <w:rsid w:val="00AF11E1"/>
    <w:rsid w:val="00AF143F"/>
    <w:rsid w:val="00AF176B"/>
    <w:rsid w:val="00AF1A3E"/>
    <w:rsid w:val="00AF1ABB"/>
    <w:rsid w:val="00AF20E7"/>
    <w:rsid w:val="00AF2219"/>
    <w:rsid w:val="00AF2794"/>
    <w:rsid w:val="00AF27EA"/>
    <w:rsid w:val="00AF2A19"/>
    <w:rsid w:val="00AF2C2E"/>
    <w:rsid w:val="00AF2C93"/>
    <w:rsid w:val="00AF2D68"/>
    <w:rsid w:val="00AF2E6E"/>
    <w:rsid w:val="00AF2F4D"/>
    <w:rsid w:val="00AF3285"/>
    <w:rsid w:val="00AF3D10"/>
    <w:rsid w:val="00AF403F"/>
    <w:rsid w:val="00AF40EC"/>
    <w:rsid w:val="00AF4135"/>
    <w:rsid w:val="00AF4189"/>
    <w:rsid w:val="00AF4454"/>
    <w:rsid w:val="00AF45D6"/>
    <w:rsid w:val="00AF45FE"/>
    <w:rsid w:val="00AF4A63"/>
    <w:rsid w:val="00AF4B97"/>
    <w:rsid w:val="00AF4C71"/>
    <w:rsid w:val="00AF4CB0"/>
    <w:rsid w:val="00AF4D4A"/>
    <w:rsid w:val="00AF4EC1"/>
    <w:rsid w:val="00AF50D3"/>
    <w:rsid w:val="00AF5215"/>
    <w:rsid w:val="00AF5417"/>
    <w:rsid w:val="00AF5423"/>
    <w:rsid w:val="00AF54EF"/>
    <w:rsid w:val="00AF56C4"/>
    <w:rsid w:val="00AF5999"/>
    <w:rsid w:val="00AF5B45"/>
    <w:rsid w:val="00AF5CCC"/>
    <w:rsid w:val="00AF5D36"/>
    <w:rsid w:val="00AF5EE3"/>
    <w:rsid w:val="00AF64A8"/>
    <w:rsid w:val="00AF651F"/>
    <w:rsid w:val="00AF678D"/>
    <w:rsid w:val="00AF6CE3"/>
    <w:rsid w:val="00AF6D7B"/>
    <w:rsid w:val="00AF6E93"/>
    <w:rsid w:val="00AF7046"/>
    <w:rsid w:val="00AF7108"/>
    <w:rsid w:val="00AF792C"/>
    <w:rsid w:val="00AF7A3F"/>
    <w:rsid w:val="00AF7BD1"/>
    <w:rsid w:val="00AF7EB1"/>
    <w:rsid w:val="00AF7F08"/>
    <w:rsid w:val="00AF7F83"/>
    <w:rsid w:val="00AF7FCA"/>
    <w:rsid w:val="00B00135"/>
    <w:rsid w:val="00B0059F"/>
    <w:rsid w:val="00B009E6"/>
    <w:rsid w:val="00B00B65"/>
    <w:rsid w:val="00B00D36"/>
    <w:rsid w:val="00B00F3A"/>
    <w:rsid w:val="00B0131B"/>
    <w:rsid w:val="00B01450"/>
    <w:rsid w:val="00B0164C"/>
    <w:rsid w:val="00B016C5"/>
    <w:rsid w:val="00B018AF"/>
    <w:rsid w:val="00B018B8"/>
    <w:rsid w:val="00B01910"/>
    <w:rsid w:val="00B019A8"/>
    <w:rsid w:val="00B02202"/>
    <w:rsid w:val="00B0233E"/>
    <w:rsid w:val="00B0293F"/>
    <w:rsid w:val="00B02B6B"/>
    <w:rsid w:val="00B02E4C"/>
    <w:rsid w:val="00B02E6E"/>
    <w:rsid w:val="00B02E72"/>
    <w:rsid w:val="00B02F5E"/>
    <w:rsid w:val="00B0301D"/>
    <w:rsid w:val="00B0304E"/>
    <w:rsid w:val="00B0313E"/>
    <w:rsid w:val="00B033CB"/>
    <w:rsid w:val="00B034ED"/>
    <w:rsid w:val="00B03581"/>
    <w:rsid w:val="00B03627"/>
    <w:rsid w:val="00B03788"/>
    <w:rsid w:val="00B037D3"/>
    <w:rsid w:val="00B03917"/>
    <w:rsid w:val="00B039AD"/>
    <w:rsid w:val="00B03A0D"/>
    <w:rsid w:val="00B03F04"/>
    <w:rsid w:val="00B03F13"/>
    <w:rsid w:val="00B03F5C"/>
    <w:rsid w:val="00B0435A"/>
    <w:rsid w:val="00B04389"/>
    <w:rsid w:val="00B045EB"/>
    <w:rsid w:val="00B045F7"/>
    <w:rsid w:val="00B0483C"/>
    <w:rsid w:val="00B04D31"/>
    <w:rsid w:val="00B04EBE"/>
    <w:rsid w:val="00B04F18"/>
    <w:rsid w:val="00B05080"/>
    <w:rsid w:val="00B053F9"/>
    <w:rsid w:val="00B05839"/>
    <w:rsid w:val="00B0587C"/>
    <w:rsid w:val="00B058BC"/>
    <w:rsid w:val="00B059DD"/>
    <w:rsid w:val="00B05ABC"/>
    <w:rsid w:val="00B05B01"/>
    <w:rsid w:val="00B05D74"/>
    <w:rsid w:val="00B05FA1"/>
    <w:rsid w:val="00B067DA"/>
    <w:rsid w:val="00B068F2"/>
    <w:rsid w:val="00B06E5A"/>
    <w:rsid w:val="00B06F1E"/>
    <w:rsid w:val="00B07074"/>
    <w:rsid w:val="00B073B1"/>
    <w:rsid w:val="00B07472"/>
    <w:rsid w:val="00B07647"/>
    <w:rsid w:val="00B07A2A"/>
    <w:rsid w:val="00B07AE9"/>
    <w:rsid w:val="00B07B3A"/>
    <w:rsid w:val="00B07C69"/>
    <w:rsid w:val="00B07EE4"/>
    <w:rsid w:val="00B07FE9"/>
    <w:rsid w:val="00B10030"/>
    <w:rsid w:val="00B10149"/>
    <w:rsid w:val="00B1016E"/>
    <w:rsid w:val="00B1039D"/>
    <w:rsid w:val="00B103D3"/>
    <w:rsid w:val="00B1069D"/>
    <w:rsid w:val="00B1097F"/>
    <w:rsid w:val="00B109F1"/>
    <w:rsid w:val="00B10E06"/>
    <w:rsid w:val="00B10F64"/>
    <w:rsid w:val="00B111A4"/>
    <w:rsid w:val="00B11524"/>
    <w:rsid w:val="00B1178B"/>
    <w:rsid w:val="00B117F5"/>
    <w:rsid w:val="00B118E5"/>
    <w:rsid w:val="00B11A24"/>
    <w:rsid w:val="00B11C38"/>
    <w:rsid w:val="00B11E85"/>
    <w:rsid w:val="00B11FB8"/>
    <w:rsid w:val="00B12088"/>
    <w:rsid w:val="00B12269"/>
    <w:rsid w:val="00B1233F"/>
    <w:rsid w:val="00B124E2"/>
    <w:rsid w:val="00B12B0B"/>
    <w:rsid w:val="00B12BC3"/>
    <w:rsid w:val="00B12C93"/>
    <w:rsid w:val="00B1300E"/>
    <w:rsid w:val="00B1326E"/>
    <w:rsid w:val="00B13446"/>
    <w:rsid w:val="00B134C4"/>
    <w:rsid w:val="00B13C52"/>
    <w:rsid w:val="00B13D51"/>
    <w:rsid w:val="00B13DF7"/>
    <w:rsid w:val="00B141BB"/>
    <w:rsid w:val="00B144F0"/>
    <w:rsid w:val="00B148EC"/>
    <w:rsid w:val="00B149E2"/>
    <w:rsid w:val="00B14A77"/>
    <w:rsid w:val="00B15420"/>
    <w:rsid w:val="00B15714"/>
    <w:rsid w:val="00B15EC5"/>
    <w:rsid w:val="00B1602B"/>
    <w:rsid w:val="00B160A8"/>
    <w:rsid w:val="00B160F3"/>
    <w:rsid w:val="00B1612F"/>
    <w:rsid w:val="00B161BE"/>
    <w:rsid w:val="00B16512"/>
    <w:rsid w:val="00B1653B"/>
    <w:rsid w:val="00B165C1"/>
    <w:rsid w:val="00B1665A"/>
    <w:rsid w:val="00B16970"/>
    <w:rsid w:val="00B16CAD"/>
    <w:rsid w:val="00B17010"/>
    <w:rsid w:val="00B17349"/>
    <w:rsid w:val="00B1743E"/>
    <w:rsid w:val="00B17672"/>
    <w:rsid w:val="00B17888"/>
    <w:rsid w:val="00B179DD"/>
    <w:rsid w:val="00B17D76"/>
    <w:rsid w:val="00B17DC7"/>
    <w:rsid w:val="00B17E10"/>
    <w:rsid w:val="00B17E81"/>
    <w:rsid w:val="00B17FFB"/>
    <w:rsid w:val="00B20091"/>
    <w:rsid w:val="00B20170"/>
    <w:rsid w:val="00B20437"/>
    <w:rsid w:val="00B204FA"/>
    <w:rsid w:val="00B205E8"/>
    <w:rsid w:val="00B2071E"/>
    <w:rsid w:val="00B20A83"/>
    <w:rsid w:val="00B21040"/>
    <w:rsid w:val="00B2126B"/>
    <w:rsid w:val="00B21412"/>
    <w:rsid w:val="00B215C5"/>
    <w:rsid w:val="00B215CF"/>
    <w:rsid w:val="00B2189E"/>
    <w:rsid w:val="00B21C43"/>
    <w:rsid w:val="00B21FFC"/>
    <w:rsid w:val="00B22007"/>
    <w:rsid w:val="00B2213E"/>
    <w:rsid w:val="00B223C0"/>
    <w:rsid w:val="00B22674"/>
    <w:rsid w:val="00B22716"/>
    <w:rsid w:val="00B22901"/>
    <w:rsid w:val="00B22AA9"/>
    <w:rsid w:val="00B22E4D"/>
    <w:rsid w:val="00B2301B"/>
    <w:rsid w:val="00B2301F"/>
    <w:rsid w:val="00B23A46"/>
    <w:rsid w:val="00B23DA5"/>
    <w:rsid w:val="00B23DD5"/>
    <w:rsid w:val="00B23E2E"/>
    <w:rsid w:val="00B24283"/>
    <w:rsid w:val="00B24651"/>
    <w:rsid w:val="00B246EF"/>
    <w:rsid w:val="00B2478F"/>
    <w:rsid w:val="00B24D77"/>
    <w:rsid w:val="00B24F97"/>
    <w:rsid w:val="00B24F9D"/>
    <w:rsid w:val="00B25547"/>
    <w:rsid w:val="00B257C7"/>
    <w:rsid w:val="00B25920"/>
    <w:rsid w:val="00B25985"/>
    <w:rsid w:val="00B25ED2"/>
    <w:rsid w:val="00B260D3"/>
    <w:rsid w:val="00B262F6"/>
    <w:rsid w:val="00B2678C"/>
    <w:rsid w:val="00B26903"/>
    <w:rsid w:val="00B26BD6"/>
    <w:rsid w:val="00B26C4C"/>
    <w:rsid w:val="00B26C87"/>
    <w:rsid w:val="00B274F0"/>
    <w:rsid w:val="00B27743"/>
    <w:rsid w:val="00B27807"/>
    <w:rsid w:val="00B2784C"/>
    <w:rsid w:val="00B27D5F"/>
    <w:rsid w:val="00B27E18"/>
    <w:rsid w:val="00B27EA3"/>
    <w:rsid w:val="00B3077D"/>
    <w:rsid w:val="00B30AB4"/>
    <w:rsid w:val="00B30AD7"/>
    <w:rsid w:val="00B30F6D"/>
    <w:rsid w:val="00B312F8"/>
    <w:rsid w:val="00B313F9"/>
    <w:rsid w:val="00B31528"/>
    <w:rsid w:val="00B31B72"/>
    <w:rsid w:val="00B31C6D"/>
    <w:rsid w:val="00B31DDD"/>
    <w:rsid w:val="00B31DFB"/>
    <w:rsid w:val="00B3218B"/>
    <w:rsid w:val="00B32259"/>
    <w:rsid w:val="00B3234C"/>
    <w:rsid w:val="00B32686"/>
    <w:rsid w:val="00B328BA"/>
    <w:rsid w:val="00B32D69"/>
    <w:rsid w:val="00B32E29"/>
    <w:rsid w:val="00B33562"/>
    <w:rsid w:val="00B335C8"/>
    <w:rsid w:val="00B3382E"/>
    <w:rsid w:val="00B33B61"/>
    <w:rsid w:val="00B33C79"/>
    <w:rsid w:val="00B33CFA"/>
    <w:rsid w:val="00B33F4D"/>
    <w:rsid w:val="00B34037"/>
    <w:rsid w:val="00B344DA"/>
    <w:rsid w:val="00B3452D"/>
    <w:rsid w:val="00B34678"/>
    <w:rsid w:val="00B3481D"/>
    <w:rsid w:val="00B34A59"/>
    <w:rsid w:val="00B34B32"/>
    <w:rsid w:val="00B34C6C"/>
    <w:rsid w:val="00B34CA5"/>
    <w:rsid w:val="00B35064"/>
    <w:rsid w:val="00B35079"/>
    <w:rsid w:val="00B350E3"/>
    <w:rsid w:val="00B35556"/>
    <w:rsid w:val="00B35ADD"/>
    <w:rsid w:val="00B35F02"/>
    <w:rsid w:val="00B36392"/>
    <w:rsid w:val="00B36B58"/>
    <w:rsid w:val="00B36BD6"/>
    <w:rsid w:val="00B36C9F"/>
    <w:rsid w:val="00B371DA"/>
    <w:rsid w:val="00B37488"/>
    <w:rsid w:val="00B37546"/>
    <w:rsid w:val="00B37641"/>
    <w:rsid w:val="00B378EB"/>
    <w:rsid w:val="00B37C16"/>
    <w:rsid w:val="00B4015D"/>
    <w:rsid w:val="00B404F5"/>
    <w:rsid w:val="00B40600"/>
    <w:rsid w:val="00B4094D"/>
    <w:rsid w:val="00B40985"/>
    <w:rsid w:val="00B40B7E"/>
    <w:rsid w:val="00B40BC9"/>
    <w:rsid w:val="00B40BE4"/>
    <w:rsid w:val="00B40D4E"/>
    <w:rsid w:val="00B40E5B"/>
    <w:rsid w:val="00B41019"/>
    <w:rsid w:val="00B41851"/>
    <w:rsid w:val="00B41965"/>
    <w:rsid w:val="00B41AC9"/>
    <w:rsid w:val="00B4242C"/>
    <w:rsid w:val="00B425AD"/>
    <w:rsid w:val="00B426A8"/>
    <w:rsid w:val="00B4294B"/>
    <w:rsid w:val="00B42B16"/>
    <w:rsid w:val="00B42ED5"/>
    <w:rsid w:val="00B43189"/>
    <w:rsid w:val="00B436A3"/>
    <w:rsid w:val="00B437EF"/>
    <w:rsid w:val="00B438ED"/>
    <w:rsid w:val="00B43C5C"/>
    <w:rsid w:val="00B43EEA"/>
    <w:rsid w:val="00B4407B"/>
    <w:rsid w:val="00B442DC"/>
    <w:rsid w:val="00B4444E"/>
    <w:rsid w:val="00B4470B"/>
    <w:rsid w:val="00B44793"/>
    <w:rsid w:val="00B447DD"/>
    <w:rsid w:val="00B451FE"/>
    <w:rsid w:val="00B4533C"/>
    <w:rsid w:val="00B4551C"/>
    <w:rsid w:val="00B455C1"/>
    <w:rsid w:val="00B45629"/>
    <w:rsid w:val="00B45927"/>
    <w:rsid w:val="00B45B6E"/>
    <w:rsid w:val="00B45F21"/>
    <w:rsid w:val="00B46086"/>
    <w:rsid w:val="00B46110"/>
    <w:rsid w:val="00B462C8"/>
    <w:rsid w:val="00B464C3"/>
    <w:rsid w:val="00B46580"/>
    <w:rsid w:val="00B4662B"/>
    <w:rsid w:val="00B46815"/>
    <w:rsid w:val="00B4687C"/>
    <w:rsid w:val="00B468E5"/>
    <w:rsid w:val="00B4694C"/>
    <w:rsid w:val="00B46A68"/>
    <w:rsid w:val="00B46D94"/>
    <w:rsid w:val="00B471C8"/>
    <w:rsid w:val="00B473B2"/>
    <w:rsid w:val="00B47C1B"/>
    <w:rsid w:val="00B47E3C"/>
    <w:rsid w:val="00B47FE3"/>
    <w:rsid w:val="00B50192"/>
    <w:rsid w:val="00B501CE"/>
    <w:rsid w:val="00B50252"/>
    <w:rsid w:val="00B5037D"/>
    <w:rsid w:val="00B50437"/>
    <w:rsid w:val="00B50CA9"/>
    <w:rsid w:val="00B50CE5"/>
    <w:rsid w:val="00B51012"/>
    <w:rsid w:val="00B514B1"/>
    <w:rsid w:val="00B5154E"/>
    <w:rsid w:val="00B5167D"/>
    <w:rsid w:val="00B51910"/>
    <w:rsid w:val="00B51A10"/>
    <w:rsid w:val="00B51D63"/>
    <w:rsid w:val="00B51E74"/>
    <w:rsid w:val="00B51FF1"/>
    <w:rsid w:val="00B524E7"/>
    <w:rsid w:val="00B5258F"/>
    <w:rsid w:val="00B52818"/>
    <w:rsid w:val="00B52915"/>
    <w:rsid w:val="00B52BBB"/>
    <w:rsid w:val="00B52C20"/>
    <w:rsid w:val="00B52E20"/>
    <w:rsid w:val="00B5322E"/>
    <w:rsid w:val="00B533A4"/>
    <w:rsid w:val="00B53A58"/>
    <w:rsid w:val="00B53DCB"/>
    <w:rsid w:val="00B53E14"/>
    <w:rsid w:val="00B5429B"/>
    <w:rsid w:val="00B54353"/>
    <w:rsid w:val="00B54605"/>
    <w:rsid w:val="00B54FF1"/>
    <w:rsid w:val="00B5504A"/>
    <w:rsid w:val="00B550A7"/>
    <w:rsid w:val="00B551CB"/>
    <w:rsid w:val="00B5539A"/>
    <w:rsid w:val="00B55483"/>
    <w:rsid w:val="00B554DC"/>
    <w:rsid w:val="00B555B7"/>
    <w:rsid w:val="00B55875"/>
    <w:rsid w:val="00B559BB"/>
    <w:rsid w:val="00B55BEF"/>
    <w:rsid w:val="00B55D71"/>
    <w:rsid w:val="00B55E4F"/>
    <w:rsid w:val="00B55F7C"/>
    <w:rsid w:val="00B5670E"/>
    <w:rsid w:val="00B567B3"/>
    <w:rsid w:val="00B56A02"/>
    <w:rsid w:val="00B56C22"/>
    <w:rsid w:val="00B56C29"/>
    <w:rsid w:val="00B571D2"/>
    <w:rsid w:val="00B57263"/>
    <w:rsid w:val="00B57583"/>
    <w:rsid w:val="00B5796E"/>
    <w:rsid w:val="00B57A77"/>
    <w:rsid w:val="00B57AAA"/>
    <w:rsid w:val="00B57B0E"/>
    <w:rsid w:val="00B57C1F"/>
    <w:rsid w:val="00B57CE0"/>
    <w:rsid w:val="00B57DD8"/>
    <w:rsid w:val="00B57EAE"/>
    <w:rsid w:val="00B60153"/>
    <w:rsid w:val="00B60387"/>
    <w:rsid w:val="00B603BE"/>
    <w:rsid w:val="00B6067F"/>
    <w:rsid w:val="00B606A7"/>
    <w:rsid w:val="00B606E9"/>
    <w:rsid w:val="00B60FC8"/>
    <w:rsid w:val="00B6129D"/>
    <w:rsid w:val="00B616FF"/>
    <w:rsid w:val="00B6175C"/>
    <w:rsid w:val="00B6182F"/>
    <w:rsid w:val="00B619D3"/>
    <w:rsid w:val="00B61AFC"/>
    <w:rsid w:val="00B61B77"/>
    <w:rsid w:val="00B61E90"/>
    <w:rsid w:val="00B6208F"/>
    <w:rsid w:val="00B6228A"/>
    <w:rsid w:val="00B622DD"/>
    <w:rsid w:val="00B62771"/>
    <w:rsid w:val="00B6297D"/>
    <w:rsid w:val="00B62BB5"/>
    <w:rsid w:val="00B62D57"/>
    <w:rsid w:val="00B62ECE"/>
    <w:rsid w:val="00B62F73"/>
    <w:rsid w:val="00B63140"/>
    <w:rsid w:val="00B6315C"/>
    <w:rsid w:val="00B63345"/>
    <w:rsid w:val="00B633E0"/>
    <w:rsid w:val="00B63509"/>
    <w:rsid w:val="00B636F0"/>
    <w:rsid w:val="00B63878"/>
    <w:rsid w:val="00B63DC4"/>
    <w:rsid w:val="00B640E4"/>
    <w:rsid w:val="00B64745"/>
    <w:rsid w:val="00B64790"/>
    <w:rsid w:val="00B64881"/>
    <w:rsid w:val="00B648B9"/>
    <w:rsid w:val="00B648F4"/>
    <w:rsid w:val="00B64A36"/>
    <w:rsid w:val="00B64C70"/>
    <w:rsid w:val="00B64CDF"/>
    <w:rsid w:val="00B64DCD"/>
    <w:rsid w:val="00B64EB4"/>
    <w:rsid w:val="00B65039"/>
    <w:rsid w:val="00B650EB"/>
    <w:rsid w:val="00B6511D"/>
    <w:rsid w:val="00B651E1"/>
    <w:rsid w:val="00B655C3"/>
    <w:rsid w:val="00B65A01"/>
    <w:rsid w:val="00B65C5E"/>
    <w:rsid w:val="00B6617F"/>
    <w:rsid w:val="00B664EA"/>
    <w:rsid w:val="00B66630"/>
    <w:rsid w:val="00B67031"/>
    <w:rsid w:val="00B6719D"/>
    <w:rsid w:val="00B67359"/>
    <w:rsid w:val="00B673E3"/>
    <w:rsid w:val="00B675F0"/>
    <w:rsid w:val="00B6764C"/>
    <w:rsid w:val="00B67CC2"/>
    <w:rsid w:val="00B67EC3"/>
    <w:rsid w:val="00B67FDC"/>
    <w:rsid w:val="00B70154"/>
    <w:rsid w:val="00B70181"/>
    <w:rsid w:val="00B7023C"/>
    <w:rsid w:val="00B7058D"/>
    <w:rsid w:val="00B70F66"/>
    <w:rsid w:val="00B71098"/>
    <w:rsid w:val="00B710E8"/>
    <w:rsid w:val="00B71214"/>
    <w:rsid w:val="00B71253"/>
    <w:rsid w:val="00B713AE"/>
    <w:rsid w:val="00B71CFD"/>
    <w:rsid w:val="00B71D61"/>
    <w:rsid w:val="00B720D9"/>
    <w:rsid w:val="00B72349"/>
    <w:rsid w:val="00B7236B"/>
    <w:rsid w:val="00B72378"/>
    <w:rsid w:val="00B72398"/>
    <w:rsid w:val="00B72595"/>
    <w:rsid w:val="00B72634"/>
    <w:rsid w:val="00B72BE0"/>
    <w:rsid w:val="00B72D13"/>
    <w:rsid w:val="00B72D1C"/>
    <w:rsid w:val="00B72DB7"/>
    <w:rsid w:val="00B72E41"/>
    <w:rsid w:val="00B731F5"/>
    <w:rsid w:val="00B732A1"/>
    <w:rsid w:val="00B73339"/>
    <w:rsid w:val="00B7336F"/>
    <w:rsid w:val="00B733B7"/>
    <w:rsid w:val="00B73ABC"/>
    <w:rsid w:val="00B74012"/>
    <w:rsid w:val="00B74068"/>
    <w:rsid w:val="00B7452B"/>
    <w:rsid w:val="00B746B7"/>
    <w:rsid w:val="00B748DF"/>
    <w:rsid w:val="00B74ABC"/>
    <w:rsid w:val="00B75302"/>
    <w:rsid w:val="00B75350"/>
    <w:rsid w:val="00B7559B"/>
    <w:rsid w:val="00B7560A"/>
    <w:rsid w:val="00B75685"/>
    <w:rsid w:val="00B757D5"/>
    <w:rsid w:val="00B758EF"/>
    <w:rsid w:val="00B75CC9"/>
    <w:rsid w:val="00B76094"/>
    <w:rsid w:val="00B762D8"/>
    <w:rsid w:val="00B764A9"/>
    <w:rsid w:val="00B766C0"/>
    <w:rsid w:val="00B766F3"/>
    <w:rsid w:val="00B7693D"/>
    <w:rsid w:val="00B76B8C"/>
    <w:rsid w:val="00B76C6E"/>
    <w:rsid w:val="00B76E16"/>
    <w:rsid w:val="00B76F3A"/>
    <w:rsid w:val="00B773B4"/>
    <w:rsid w:val="00B775BA"/>
    <w:rsid w:val="00B775C6"/>
    <w:rsid w:val="00B77B7B"/>
    <w:rsid w:val="00B80386"/>
    <w:rsid w:val="00B80B7E"/>
    <w:rsid w:val="00B80E4C"/>
    <w:rsid w:val="00B810CF"/>
    <w:rsid w:val="00B81209"/>
    <w:rsid w:val="00B8123E"/>
    <w:rsid w:val="00B8134C"/>
    <w:rsid w:val="00B81603"/>
    <w:rsid w:val="00B81C91"/>
    <w:rsid w:val="00B81CCC"/>
    <w:rsid w:val="00B81D58"/>
    <w:rsid w:val="00B81E71"/>
    <w:rsid w:val="00B81EE6"/>
    <w:rsid w:val="00B81FB9"/>
    <w:rsid w:val="00B82153"/>
    <w:rsid w:val="00B824E8"/>
    <w:rsid w:val="00B82515"/>
    <w:rsid w:val="00B8274C"/>
    <w:rsid w:val="00B827B2"/>
    <w:rsid w:val="00B82CC7"/>
    <w:rsid w:val="00B82F09"/>
    <w:rsid w:val="00B82F16"/>
    <w:rsid w:val="00B82F20"/>
    <w:rsid w:val="00B8317B"/>
    <w:rsid w:val="00B83341"/>
    <w:rsid w:val="00B83373"/>
    <w:rsid w:val="00B83545"/>
    <w:rsid w:val="00B83607"/>
    <w:rsid w:val="00B839A8"/>
    <w:rsid w:val="00B83CC7"/>
    <w:rsid w:val="00B83D75"/>
    <w:rsid w:val="00B83EE6"/>
    <w:rsid w:val="00B84035"/>
    <w:rsid w:val="00B8409B"/>
    <w:rsid w:val="00B8440F"/>
    <w:rsid w:val="00B84459"/>
    <w:rsid w:val="00B84508"/>
    <w:rsid w:val="00B845B7"/>
    <w:rsid w:val="00B846E0"/>
    <w:rsid w:val="00B84A85"/>
    <w:rsid w:val="00B84C50"/>
    <w:rsid w:val="00B84CE5"/>
    <w:rsid w:val="00B84DF8"/>
    <w:rsid w:val="00B84DFE"/>
    <w:rsid w:val="00B84EBF"/>
    <w:rsid w:val="00B8523A"/>
    <w:rsid w:val="00B8536E"/>
    <w:rsid w:val="00B853E3"/>
    <w:rsid w:val="00B85637"/>
    <w:rsid w:val="00B85B99"/>
    <w:rsid w:val="00B8613D"/>
    <w:rsid w:val="00B861CE"/>
    <w:rsid w:val="00B86382"/>
    <w:rsid w:val="00B86497"/>
    <w:rsid w:val="00B864C1"/>
    <w:rsid w:val="00B8667D"/>
    <w:rsid w:val="00B86ABA"/>
    <w:rsid w:val="00B86DBF"/>
    <w:rsid w:val="00B86EE1"/>
    <w:rsid w:val="00B86F47"/>
    <w:rsid w:val="00B8731A"/>
    <w:rsid w:val="00B87A00"/>
    <w:rsid w:val="00B87BB2"/>
    <w:rsid w:val="00B87E88"/>
    <w:rsid w:val="00B900C2"/>
    <w:rsid w:val="00B90139"/>
    <w:rsid w:val="00B902D2"/>
    <w:rsid w:val="00B905FA"/>
    <w:rsid w:val="00B90658"/>
    <w:rsid w:val="00B90920"/>
    <w:rsid w:val="00B90A6B"/>
    <w:rsid w:val="00B90B84"/>
    <w:rsid w:val="00B90BA4"/>
    <w:rsid w:val="00B91237"/>
    <w:rsid w:val="00B9131E"/>
    <w:rsid w:val="00B91341"/>
    <w:rsid w:val="00B91434"/>
    <w:rsid w:val="00B915FD"/>
    <w:rsid w:val="00B9182E"/>
    <w:rsid w:val="00B918E3"/>
    <w:rsid w:val="00B91B89"/>
    <w:rsid w:val="00B91D12"/>
    <w:rsid w:val="00B91DA2"/>
    <w:rsid w:val="00B91DB2"/>
    <w:rsid w:val="00B91FC6"/>
    <w:rsid w:val="00B92029"/>
    <w:rsid w:val="00B9202A"/>
    <w:rsid w:val="00B920D9"/>
    <w:rsid w:val="00B922A1"/>
    <w:rsid w:val="00B924C4"/>
    <w:rsid w:val="00B9259D"/>
    <w:rsid w:val="00B92653"/>
    <w:rsid w:val="00B92940"/>
    <w:rsid w:val="00B92DB1"/>
    <w:rsid w:val="00B938F2"/>
    <w:rsid w:val="00B93977"/>
    <w:rsid w:val="00B93B51"/>
    <w:rsid w:val="00B93BDA"/>
    <w:rsid w:val="00B93D28"/>
    <w:rsid w:val="00B93D9D"/>
    <w:rsid w:val="00B9428D"/>
    <w:rsid w:val="00B9447E"/>
    <w:rsid w:val="00B94709"/>
    <w:rsid w:val="00B94BD1"/>
    <w:rsid w:val="00B94C54"/>
    <w:rsid w:val="00B94CBA"/>
    <w:rsid w:val="00B94CCE"/>
    <w:rsid w:val="00B94DE9"/>
    <w:rsid w:val="00B94FE9"/>
    <w:rsid w:val="00B952B9"/>
    <w:rsid w:val="00B95681"/>
    <w:rsid w:val="00B95961"/>
    <w:rsid w:val="00B95A7C"/>
    <w:rsid w:val="00B96129"/>
    <w:rsid w:val="00B961D5"/>
    <w:rsid w:val="00B963AA"/>
    <w:rsid w:val="00B964B6"/>
    <w:rsid w:val="00B9658F"/>
    <w:rsid w:val="00B96667"/>
    <w:rsid w:val="00B96793"/>
    <w:rsid w:val="00B968CA"/>
    <w:rsid w:val="00B96F57"/>
    <w:rsid w:val="00B973DA"/>
    <w:rsid w:val="00B97519"/>
    <w:rsid w:val="00B97560"/>
    <w:rsid w:val="00B9787C"/>
    <w:rsid w:val="00B97C15"/>
    <w:rsid w:val="00B97C3E"/>
    <w:rsid w:val="00B97D83"/>
    <w:rsid w:val="00B97F35"/>
    <w:rsid w:val="00B97FAE"/>
    <w:rsid w:val="00BA0283"/>
    <w:rsid w:val="00BA0292"/>
    <w:rsid w:val="00BA0CD4"/>
    <w:rsid w:val="00BA0D36"/>
    <w:rsid w:val="00BA1111"/>
    <w:rsid w:val="00BA1208"/>
    <w:rsid w:val="00BA14FE"/>
    <w:rsid w:val="00BA156A"/>
    <w:rsid w:val="00BA15B1"/>
    <w:rsid w:val="00BA15CF"/>
    <w:rsid w:val="00BA1679"/>
    <w:rsid w:val="00BA19DD"/>
    <w:rsid w:val="00BA1BF5"/>
    <w:rsid w:val="00BA1E68"/>
    <w:rsid w:val="00BA1FD2"/>
    <w:rsid w:val="00BA2104"/>
    <w:rsid w:val="00BA220B"/>
    <w:rsid w:val="00BA257D"/>
    <w:rsid w:val="00BA27B7"/>
    <w:rsid w:val="00BA284C"/>
    <w:rsid w:val="00BA2F6D"/>
    <w:rsid w:val="00BA2FCD"/>
    <w:rsid w:val="00BA350C"/>
    <w:rsid w:val="00BA3683"/>
    <w:rsid w:val="00BA37C1"/>
    <w:rsid w:val="00BA38A6"/>
    <w:rsid w:val="00BA3C53"/>
    <w:rsid w:val="00BA3C79"/>
    <w:rsid w:val="00BA3F71"/>
    <w:rsid w:val="00BA44C4"/>
    <w:rsid w:val="00BA4742"/>
    <w:rsid w:val="00BA4855"/>
    <w:rsid w:val="00BA4A8D"/>
    <w:rsid w:val="00BA4B4D"/>
    <w:rsid w:val="00BA4BEB"/>
    <w:rsid w:val="00BA4CA5"/>
    <w:rsid w:val="00BA4F1A"/>
    <w:rsid w:val="00BA5075"/>
    <w:rsid w:val="00BA52B3"/>
    <w:rsid w:val="00BA55FE"/>
    <w:rsid w:val="00BA58DB"/>
    <w:rsid w:val="00BA5B1B"/>
    <w:rsid w:val="00BA5C72"/>
    <w:rsid w:val="00BA5E94"/>
    <w:rsid w:val="00BA6143"/>
    <w:rsid w:val="00BA6227"/>
    <w:rsid w:val="00BA6721"/>
    <w:rsid w:val="00BA690A"/>
    <w:rsid w:val="00BA6CA6"/>
    <w:rsid w:val="00BA6F72"/>
    <w:rsid w:val="00BA6FCB"/>
    <w:rsid w:val="00BA708C"/>
    <w:rsid w:val="00BA7241"/>
    <w:rsid w:val="00BA7A35"/>
    <w:rsid w:val="00BA7A7B"/>
    <w:rsid w:val="00BA7BAB"/>
    <w:rsid w:val="00BA7F37"/>
    <w:rsid w:val="00BB0208"/>
    <w:rsid w:val="00BB05A9"/>
    <w:rsid w:val="00BB06D8"/>
    <w:rsid w:val="00BB0ABF"/>
    <w:rsid w:val="00BB0B50"/>
    <w:rsid w:val="00BB0E17"/>
    <w:rsid w:val="00BB1145"/>
    <w:rsid w:val="00BB171B"/>
    <w:rsid w:val="00BB183C"/>
    <w:rsid w:val="00BB1DD1"/>
    <w:rsid w:val="00BB1EC2"/>
    <w:rsid w:val="00BB22FB"/>
    <w:rsid w:val="00BB237E"/>
    <w:rsid w:val="00BB25A5"/>
    <w:rsid w:val="00BB296D"/>
    <w:rsid w:val="00BB2BCD"/>
    <w:rsid w:val="00BB3018"/>
    <w:rsid w:val="00BB30DF"/>
    <w:rsid w:val="00BB3366"/>
    <w:rsid w:val="00BB3436"/>
    <w:rsid w:val="00BB3681"/>
    <w:rsid w:val="00BB381D"/>
    <w:rsid w:val="00BB394F"/>
    <w:rsid w:val="00BB3D4F"/>
    <w:rsid w:val="00BB4262"/>
    <w:rsid w:val="00BB44A0"/>
    <w:rsid w:val="00BB4AFA"/>
    <w:rsid w:val="00BB4E06"/>
    <w:rsid w:val="00BB4E45"/>
    <w:rsid w:val="00BB4EE9"/>
    <w:rsid w:val="00BB5029"/>
    <w:rsid w:val="00BB5060"/>
    <w:rsid w:val="00BB50A4"/>
    <w:rsid w:val="00BB5190"/>
    <w:rsid w:val="00BB5395"/>
    <w:rsid w:val="00BB5F9D"/>
    <w:rsid w:val="00BB624D"/>
    <w:rsid w:val="00BB625B"/>
    <w:rsid w:val="00BB6307"/>
    <w:rsid w:val="00BB6772"/>
    <w:rsid w:val="00BB67AF"/>
    <w:rsid w:val="00BB67D6"/>
    <w:rsid w:val="00BB6B5F"/>
    <w:rsid w:val="00BB6E38"/>
    <w:rsid w:val="00BB72A2"/>
    <w:rsid w:val="00BB751B"/>
    <w:rsid w:val="00BB7553"/>
    <w:rsid w:val="00BB767E"/>
    <w:rsid w:val="00BB76C2"/>
    <w:rsid w:val="00BB7813"/>
    <w:rsid w:val="00BB78E4"/>
    <w:rsid w:val="00BC006C"/>
    <w:rsid w:val="00BC013C"/>
    <w:rsid w:val="00BC01DA"/>
    <w:rsid w:val="00BC08BC"/>
    <w:rsid w:val="00BC096B"/>
    <w:rsid w:val="00BC0C79"/>
    <w:rsid w:val="00BC0E54"/>
    <w:rsid w:val="00BC10C8"/>
    <w:rsid w:val="00BC14C5"/>
    <w:rsid w:val="00BC1591"/>
    <w:rsid w:val="00BC15A0"/>
    <w:rsid w:val="00BC1627"/>
    <w:rsid w:val="00BC1706"/>
    <w:rsid w:val="00BC191C"/>
    <w:rsid w:val="00BC1A26"/>
    <w:rsid w:val="00BC1A72"/>
    <w:rsid w:val="00BC1A79"/>
    <w:rsid w:val="00BC1B1A"/>
    <w:rsid w:val="00BC1B4E"/>
    <w:rsid w:val="00BC1D7C"/>
    <w:rsid w:val="00BC1ECB"/>
    <w:rsid w:val="00BC2062"/>
    <w:rsid w:val="00BC2228"/>
    <w:rsid w:val="00BC2246"/>
    <w:rsid w:val="00BC2286"/>
    <w:rsid w:val="00BC22F3"/>
    <w:rsid w:val="00BC2388"/>
    <w:rsid w:val="00BC245F"/>
    <w:rsid w:val="00BC26A5"/>
    <w:rsid w:val="00BC27A1"/>
    <w:rsid w:val="00BC294C"/>
    <w:rsid w:val="00BC2BB3"/>
    <w:rsid w:val="00BC30ED"/>
    <w:rsid w:val="00BC31BB"/>
    <w:rsid w:val="00BC33F1"/>
    <w:rsid w:val="00BC35A0"/>
    <w:rsid w:val="00BC37EA"/>
    <w:rsid w:val="00BC3B10"/>
    <w:rsid w:val="00BC421E"/>
    <w:rsid w:val="00BC43F1"/>
    <w:rsid w:val="00BC47E1"/>
    <w:rsid w:val="00BC4AFA"/>
    <w:rsid w:val="00BC4BB2"/>
    <w:rsid w:val="00BC4C02"/>
    <w:rsid w:val="00BC5167"/>
    <w:rsid w:val="00BC5196"/>
    <w:rsid w:val="00BC521C"/>
    <w:rsid w:val="00BC5316"/>
    <w:rsid w:val="00BC54BD"/>
    <w:rsid w:val="00BC54D2"/>
    <w:rsid w:val="00BC552E"/>
    <w:rsid w:val="00BC566C"/>
    <w:rsid w:val="00BC5AB4"/>
    <w:rsid w:val="00BC60A5"/>
    <w:rsid w:val="00BC61C9"/>
    <w:rsid w:val="00BC6AB2"/>
    <w:rsid w:val="00BC6AC4"/>
    <w:rsid w:val="00BC6C2F"/>
    <w:rsid w:val="00BC73F4"/>
    <w:rsid w:val="00BC75BA"/>
    <w:rsid w:val="00BC7601"/>
    <w:rsid w:val="00BD0180"/>
    <w:rsid w:val="00BD0922"/>
    <w:rsid w:val="00BD0AA5"/>
    <w:rsid w:val="00BD0AEA"/>
    <w:rsid w:val="00BD0BA1"/>
    <w:rsid w:val="00BD0DFC"/>
    <w:rsid w:val="00BD11BD"/>
    <w:rsid w:val="00BD1559"/>
    <w:rsid w:val="00BD1D45"/>
    <w:rsid w:val="00BD1F70"/>
    <w:rsid w:val="00BD20FC"/>
    <w:rsid w:val="00BD24F0"/>
    <w:rsid w:val="00BD2738"/>
    <w:rsid w:val="00BD2A53"/>
    <w:rsid w:val="00BD2A97"/>
    <w:rsid w:val="00BD2AD0"/>
    <w:rsid w:val="00BD2BAD"/>
    <w:rsid w:val="00BD2D0A"/>
    <w:rsid w:val="00BD2D3C"/>
    <w:rsid w:val="00BD2DAF"/>
    <w:rsid w:val="00BD2F02"/>
    <w:rsid w:val="00BD2F5C"/>
    <w:rsid w:val="00BD3342"/>
    <w:rsid w:val="00BD34BF"/>
    <w:rsid w:val="00BD3C0E"/>
    <w:rsid w:val="00BD3C8F"/>
    <w:rsid w:val="00BD3D21"/>
    <w:rsid w:val="00BD3E94"/>
    <w:rsid w:val="00BD4035"/>
    <w:rsid w:val="00BD40BB"/>
    <w:rsid w:val="00BD40C5"/>
    <w:rsid w:val="00BD4304"/>
    <w:rsid w:val="00BD4411"/>
    <w:rsid w:val="00BD451B"/>
    <w:rsid w:val="00BD453B"/>
    <w:rsid w:val="00BD4901"/>
    <w:rsid w:val="00BD49B9"/>
    <w:rsid w:val="00BD4AE0"/>
    <w:rsid w:val="00BD4B57"/>
    <w:rsid w:val="00BD4D01"/>
    <w:rsid w:val="00BD5017"/>
    <w:rsid w:val="00BD5200"/>
    <w:rsid w:val="00BD549E"/>
    <w:rsid w:val="00BD570D"/>
    <w:rsid w:val="00BD5EB8"/>
    <w:rsid w:val="00BD5F76"/>
    <w:rsid w:val="00BD602E"/>
    <w:rsid w:val="00BD6148"/>
    <w:rsid w:val="00BD62CE"/>
    <w:rsid w:val="00BD6F21"/>
    <w:rsid w:val="00BD7135"/>
    <w:rsid w:val="00BD7157"/>
    <w:rsid w:val="00BD71DB"/>
    <w:rsid w:val="00BD7356"/>
    <w:rsid w:val="00BD77B6"/>
    <w:rsid w:val="00BD79B8"/>
    <w:rsid w:val="00BD7B57"/>
    <w:rsid w:val="00BD7CAD"/>
    <w:rsid w:val="00BD7E1A"/>
    <w:rsid w:val="00BE05D6"/>
    <w:rsid w:val="00BE067D"/>
    <w:rsid w:val="00BE0683"/>
    <w:rsid w:val="00BE06F3"/>
    <w:rsid w:val="00BE070F"/>
    <w:rsid w:val="00BE0859"/>
    <w:rsid w:val="00BE090B"/>
    <w:rsid w:val="00BE0F7B"/>
    <w:rsid w:val="00BE1483"/>
    <w:rsid w:val="00BE15B8"/>
    <w:rsid w:val="00BE15BB"/>
    <w:rsid w:val="00BE170F"/>
    <w:rsid w:val="00BE1BF0"/>
    <w:rsid w:val="00BE1D2F"/>
    <w:rsid w:val="00BE1E1C"/>
    <w:rsid w:val="00BE20AF"/>
    <w:rsid w:val="00BE20F2"/>
    <w:rsid w:val="00BE2288"/>
    <w:rsid w:val="00BE2441"/>
    <w:rsid w:val="00BE2A20"/>
    <w:rsid w:val="00BE2B37"/>
    <w:rsid w:val="00BE2EFB"/>
    <w:rsid w:val="00BE307C"/>
    <w:rsid w:val="00BE32CF"/>
    <w:rsid w:val="00BE332C"/>
    <w:rsid w:val="00BE3C5C"/>
    <w:rsid w:val="00BE3CDC"/>
    <w:rsid w:val="00BE3DE8"/>
    <w:rsid w:val="00BE3E97"/>
    <w:rsid w:val="00BE408F"/>
    <w:rsid w:val="00BE434A"/>
    <w:rsid w:val="00BE4595"/>
    <w:rsid w:val="00BE48FF"/>
    <w:rsid w:val="00BE4B20"/>
    <w:rsid w:val="00BE4B81"/>
    <w:rsid w:val="00BE4C7B"/>
    <w:rsid w:val="00BE4C93"/>
    <w:rsid w:val="00BE4D5D"/>
    <w:rsid w:val="00BE500F"/>
    <w:rsid w:val="00BE52CA"/>
    <w:rsid w:val="00BE52F4"/>
    <w:rsid w:val="00BE54BB"/>
    <w:rsid w:val="00BE55BF"/>
    <w:rsid w:val="00BE56A1"/>
    <w:rsid w:val="00BE5740"/>
    <w:rsid w:val="00BE5A8D"/>
    <w:rsid w:val="00BE5C09"/>
    <w:rsid w:val="00BE6197"/>
    <w:rsid w:val="00BE6295"/>
    <w:rsid w:val="00BE6359"/>
    <w:rsid w:val="00BE64B5"/>
    <w:rsid w:val="00BE6723"/>
    <w:rsid w:val="00BE6AA9"/>
    <w:rsid w:val="00BE6D5C"/>
    <w:rsid w:val="00BE71CB"/>
    <w:rsid w:val="00BE723D"/>
    <w:rsid w:val="00BE7770"/>
    <w:rsid w:val="00BE77CE"/>
    <w:rsid w:val="00BE78B3"/>
    <w:rsid w:val="00BE7A0B"/>
    <w:rsid w:val="00BE7B51"/>
    <w:rsid w:val="00BE7B79"/>
    <w:rsid w:val="00BE7C95"/>
    <w:rsid w:val="00BE7D9A"/>
    <w:rsid w:val="00BE7E1A"/>
    <w:rsid w:val="00BE7E48"/>
    <w:rsid w:val="00BE7FE9"/>
    <w:rsid w:val="00BF0220"/>
    <w:rsid w:val="00BF02E6"/>
    <w:rsid w:val="00BF0370"/>
    <w:rsid w:val="00BF06A8"/>
    <w:rsid w:val="00BF0890"/>
    <w:rsid w:val="00BF08BF"/>
    <w:rsid w:val="00BF0AAA"/>
    <w:rsid w:val="00BF0D85"/>
    <w:rsid w:val="00BF0DC4"/>
    <w:rsid w:val="00BF0F52"/>
    <w:rsid w:val="00BF1034"/>
    <w:rsid w:val="00BF13BA"/>
    <w:rsid w:val="00BF13D3"/>
    <w:rsid w:val="00BF1C3A"/>
    <w:rsid w:val="00BF1E27"/>
    <w:rsid w:val="00BF25BE"/>
    <w:rsid w:val="00BF2622"/>
    <w:rsid w:val="00BF2FF1"/>
    <w:rsid w:val="00BF31D2"/>
    <w:rsid w:val="00BF367A"/>
    <w:rsid w:val="00BF3878"/>
    <w:rsid w:val="00BF39E4"/>
    <w:rsid w:val="00BF3AA9"/>
    <w:rsid w:val="00BF3DEA"/>
    <w:rsid w:val="00BF3FF1"/>
    <w:rsid w:val="00BF4198"/>
    <w:rsid w:val="00BF4457"/>
    <w:rsid w:val="00BF489A"/>
    <w:rsid w:val="00BF4B6C"/>
    <w:rsid w:val="00BF4DF1"/>
    <w:rsid w:val="00BF4E91"/>
    <w:rsid w:val="00BF5012"/>
    <w:rsid w:val="00BF53A2"/>
    <w:rsid w:val="00BF5579"/>
    <w:rsid w:val="00BF57B2"/>
    <w:rsid w:val="00BF583C"/>
    <w:rsid w:val="00BF58AD"/>
    <w:rsid w:val="00BF5A8F"/>
    <w:rsid w:val="00BF5ADD"/>
    <w:rsid w:val="00BF5BF0"/>
    <w:rsid w:val="00BF5C70"/>
    <w:rsid w:val="00BF5C94"/>
    <w:rsid w:val="00BF5EF6"/>
    <w:rsid w:val="00BF6188"/>
    <w:rsid w:val="00BF653B"/>
    <w:rsid w:val="00BF6588"/>
    <w:rsid w:val="00BF6773"/>
    <w:rsid w:val="00BF6897"/>
    <w:rsid w:val="00BF6932"/>
    <w:rsid w:val="00BF6A78"/>
    <w:rsid w:val="00BF6C46"/>
    <w:rsid w:val="00BF6CAC"/>
    <w:rsid w:val="00BF6CE0"/>
    <w:rsid w:val="00BF76FD"/>
    <w:rsid w:val="00BF7839"/>
    <w:rsid w:val="00BF7F7A"/>
    <w:rsid w:val="00C00264"/>
    <w:rsid w:val="00C002F8"/>
    <w:rsid w:val="00C00899"/>
    <w:rsid w:val="00C00E86"/>
    <w:rsid w:val="00C01260"/>
    <w:rsid w:val="00C0164C"/>
    <w:rsid w:val="00C01A8D"/>
    <w:rsid w:val="00C01B86"/>
    <w:rsid w:val="00C01BA0"/>
    <w:rsid w:val="00C01BC8"/>
    <w:rsid w:val="00C01CA5"/>
    <w:rsid w:val="00C01E2A"/>
    <w:rsid w:val="00C01EC8"/>
    <w:rsid w:val="00C01F29"/>
    <w:rsid w:val="00C022E5"/>
    <w:rsid w:val="00C02493"/>
    <w:rsid w:val="00C025BD"/>
    <w:rsid w:val="00C02745"/>
    <w:rsid w:val="00C02912"/>
    <w:rsid w:val="00C02920"/>
    <w:rsid w:val="00C02A3A"/>
    <w:rsid w:val="00C02AB8"/>
    <w:rsid w:val="00C02AC6"/>
    <w:rsid w:val="00C02B7F"/>
    <w:rsid w:val="00C02E4A"/>
    <w:rsid w:val="00C02F60"/>
    <w:rsid w:val="00C0318D"/>
    <w:rsid w:val="00C031BF"/>
    <w:rsid w:val="00C031FB"/>
    <w:rsid w:val="00C0322D"/>
    <w:rsid w:val="00C03336"/>
    <w:rsid w:val="00C03398"/>
    <w:rsid w:val="00C035B5"/>
    <w:rsid w:val="00C03612"/>
    <w:rsid w:val="00C03696"/>
    <w:rsid w:val="00C037FB"/>
    <w:rsid w:val="00C038BB"/>
    <w:rsid w:val="00C03E3F"/>
    <w:rsid w:val="00C04130"/>
    <w:rsid w:val="00C04328"/>
    <w:rsid w:val="00C0453D"/>
    <w:rsid w:val="00C0499E"/>
    <w:rsid w:val="00C04B87"/>
    <w:rsid w:val="00C04D78"/>
    <w:rsid w:val="00C04D88"/>
    <w:rsid w:val="00C04EA4"/>
    <w:rsid w:val="00C051A5"/>
    <w:rsid w:val="00C052DB"/>
    <w:rsid w:val="00C0532F"/>
    <w:rsid w:val="00C0534D"/>
    <w:rsid w:val="00C05481"/>
    <w:rsid w:val="00C05583"/>
    <w:rsid w:val="00C0570D"/>
    <w:rsid w:val="00C05AC6"/>
    <w:rsid w:val="00C05D57"/>
    <w:rsid w:val="00C05E10"/>
    <w:rsid w:val="00C061D4"/>
    <w:rsid w:val="00C06804"/>
    <w:rsid w:val="00C06BEF"/>
    <w:rsid w:val="00C06D4D"/>
    <w:rsid w:val="00C06E0D"/>
    <w:rsid w:val="00C06F73"/>
    <w:rsid w:val="00C07176"/>
    <w:rsid w:val="00C075EE"/>
    <w:rsid w:val="00C0763C"/>
    <w:rsid w:val="00C078A1"/>
    <w:rsid w:val="00C07A4B"/>
    <w:rsid w:val="00C07B8D"/>
    <w:rsid w:val="00C07CFA"/>
    <w:rsid w:val="00C07DAE"/>
    <w:rsid w:val="00C07DC9"/>
    <w:rsid w:val="00C102A2"/>
    <w:rsid w:val="00C1065A"/>
    <w:rsid w:val="00C10BA5"/>
    <w:rsid w:val="00C10CDF"/>
    <w:rsid w:val="00C11110"/>
    <w:rsid w:val="00C1114E"/>
    <w:rsid w:val="00C1128A"/>
    <w:rsid w:val="00C1186D"/>
    <w:rsid w:val="00C11884"/>
    <w:rsid w:val="00C119BB"/>
    <w:rsid w:val="00C11AB5"/>
    <w:rsid w:val="00C1206F"/>
    <w:rsid w:val="00C1220E"/>
    <w:rsid w:val="00C12768"/>
    <w:rsid w:val="00C12839"/>
    <w:rsid w:val="00C12B72"/>
    <w:rsid w:val="00C12EAB"/>
    <w:rsid w:val="00C12EEA"/>
    <w:rsid w:val="00C12F82"/>
    <w:rsid w:val="00C13224"/>
    <w:rsid w:val="00C13492"/>
    <w:rsid w:val="00C13615"/>
    <w:rsid w:val="00C13E3A"/>
    <w:rsid w:val="00C14018"/>
    <w:rsid w:val="00C14213"/>
    <w:rsid w:val="00C14409"/>
    <w:rsid w:val="00C145C3"/>
    <w:rsid w:val="00C145DF"/>
    <w:rsid w:val="00C1460E"/>
    <w:rsid w:val="00C1463B"/>
    <w:rsid w:val="00C1472E"/>
    <w:rsid w:val="00C14993"/>
    <w:rsid w:val="00C14C11"/>
    <w:rsid w:val="00C14E59"/>
    <w:rsid w:val="00C14F54"/>
    <w:rsid w:val="00C15066"/>
    <w:rsid w:val="00C15238"/>
    <w:rsid w:val="00C152ED"/>
    <w:rsid w:val="00C1548A"/>
    <w:rsid w:val="00C15511"/>
    <w:rsid w:val="00C157CB"/>
    <w:rsid w:val="00C15879"/>
    <w:rsid w:val="00C15966"/>
    <w:rsid w:val="00C16038"/>
    <w:rsid w:val="00C16338"/>
    <w:rsid w:val="00C1640C"/>
    <w:rsid w:val="00C166D0"/>
    <w:rsid w:val="00C167B5"/>
    <w:rsid w:val="00C1697A"/>
    <w:rsid w:val="00C1713B"/>
    <w:rsid w:val="00C1746B"/>
    <w:rsid w:val="00C179E3"/>
    <w:rsid w:val="00C17CE8"/>
    <w:rsid w:val="00C20190"/>
    <w:rsid w:val="00C20767"/>
    <w:rsid w:val="00C20C80"/>
    <w:rsid w:val="00C20F24"/>
    <w:rsid w:val="00C21C2D"/>
    <w:rsid w:val="00C21F54"/>
    <w:rsid w:val="00C22063"/>
    <w:rsid w:val="00C220E5"/>
    <w:rsid w:val="00C2211C"/>
    <w:rsid w:val="00C2230B"/>
    <w:rsid w:val="00C223E5"/>
    <w:rsid w:val="00C223F2"/>
    <w:rsid w:val="00C22676"/>
    <w:rsid w:val="00C2295D"/>
    <w:rsid w:val="00C22B90"/>
    <w:rsid w:val="00C22E56"/>
    <w:rsid w:val="00C2319A"/>
    <w:rsid w:val="00C232C6"/>
    <w:rsid w:val="00C232F0"/>
    <w:rsid w:val="00C2344E"/>
    <w:rsid w:val="00C23584"/>
    <w:rsid w:val="00C23823"/>
    <w:rsid w:val="00C23BE5"/>
    <w:rsid w:val="00C23D67"/>
    <w:rsid w:val="00C23EEC"/>
    <w:rsid w:val="00C2406E"/>
    <w:rsid w:val="00C2415E"/>
    <w:rsid w:val="00C242A0"/>
    <w:rsid w:val="00C242B5"/>
    <w:rsid w:val="00C247F4"/>
    <w:rsid w:val="00C24835"/>
    <w:rsid w:val="00C248AD"/>
    <w:rsid w:val="00C24C3B"/>
    <w:rsid w:val="00C24CF8"/>
    <w:rsid w:val="00C25095"/>
    <w:rsid w:val="00C250A8"/>
    <w:rsid w:val="00C25290"/>
    <w:rsid w:val="00C252EB"/>
    <w:rsid w:val="00C2530B"/>
    <w:rsid w:val="00C25682"/>
    <w:rsid w:val="00C25865"/>
    <w:rsid w:val="00C2596C"/>
    <w:rsid w:val="00C25DFF"/>
    <w:rsid w:val="00C25F23"/>
    <w:rsid w:val="00C26165"/>
    <w:rsid w:val="00C261B9"/>
    <w:rsid w:val="00C26834"/>
    <w:rsid w:val="00C26AF9"/>
    <w:rsid w:val="00C26BC0"/>
    <w:rsid w:val="00C26EFA"/>
    <w:rsid w:val="00C2714C"/>
    <w:rsid w:val="00C274AC"/>
    <w:rsid w:val="00C2752D"/>
    <w:rsid w:val="00C278B2"/>
    <w:rsid w:val="00C27983"/>
    <w:rsid w:val="00C27CCD"/>
    <w:rsid w:val="00C27D00"/>
    <w:rsid w:val="00C27EAE"/>
    <w:rsid w:val="00C30580"/>
    <w:rsid w:val="00C305CE"/>
    <w:rsid w:val="00C3070A"/>
    <w:rsid w:val="00C307BF"/>
    <w:rsid w:val="00C30883"/>
    <w:rsid w:val="00C30952"/>
    <w:rsid w:val="00C30DCD"/>
    <w:rsid w:val="00C311DB"/>
    <w:rsid w:val="00C311DE"/>
    <w:rsid w:val="00C31235"/>
    <w:rsid w:val="00C312EE"/>
    <w:rsid w:val="00C313E6"/>
    <w:rsid w:val="00C31851"/>
    <w:rsid w:val="00C31BCC"/>
    <w:rsid w:val="00C32036"/>
    <w:rsid w:val="00C32209"/>
    <w:rsid w:val="00C322D2"/>
    <w:rsid w:val="00C32318"/>
    <w:rsid w:val="00C32380"/>
    <w:rsid w:val="00C3256F"/>
    <w:rsid w:val="00C32798"/>
    <w:rsid w:val="00C32854"/>
    <w:rsid w:val="00C328AB"/>
    <w:rsid w:val="00C32A79"/>
    <w:rsid w:val="00C32EAC"/>
    <w:rsid w:val="00C32FB8"/>
    <w:rsid w:val="00C33068"/>
    <w:rsid w:val="00C334BF"/>
    <w:rsid w:val="00C33626"/>
    <w:rsid w:val="00C336A3"/>
    <w:rsid w:val="00C33806"/>
    <w:rsid w:val="00C33965"/>
    <w:rsid w:val="00C33A30"/>
    <w:rsid w:val="00C33F36"/>
    <w:rsid w:val="00C3442E"/>
    <w:rsid w:val="00C34622"/>
    <w:rsid w:val="00C34A53"/>
    <w:rsid w:val="00C34BCE"/>
    <w:rsid w:val="00C34C2F"/>
    <w:rsid w:val="00C34D66"/>
    <w:rsid w:val="00C34F4C"/>
    <w:rsid w:val="00C3547C"/>
    <w:rsid w:val="00C35519"/>
    <w:rsid w:val="00C355C3"/>
    <w:rsid w:val="00C356FC"/>
    <w:rsid w:val="00C3576C"/>
    <w:rsid w:val="00C36596"/>
    <w:rsid w:val="00C36730"/>
    <w:rsid w:val="00C368FB"/>
    <w:rsid w:val="00C36E04"/>
    <w:rsid w:val="00C36F60"/>
    <w:rsid w:val="00C3738A"/>
    <w:rsid w:val="00C3742C"/>
    <w:rsid w:val="00C374A2"/>
    <w:rsid w:val="00C377D4"/>
    <w:rsid w:val="00C37809"/>
    <w:rsid w:val="00C378E1"/>
    <w:rsid w:val="00C37969"/>
    <w:rsid w:val="00C37BC2"/>
    <w:rsid w:val="00C40163"/>
    <w:rsid w:val="00C4034A"/>
    <w:rsid w:val="00C40720"/>
    <w:rsid w:val="00C40A49"/>
    <w:rsid w:val="00C40B0F"/>
    <w:rsid w:val="00C41041"/>
    <w:rsid w:val="00C41229"/>
    <w:rsid w:val="00C4174B"/>
    <w:rsid w:val="00C41753"/>
    <w:rsid w:val="00C41783"/>
    <w:rsid w:val="00C418A4"/>
    <w:rsid w:val="00C41B03"/>
    <w:rsid w:val="00C41B2E"/>
    <w:rsid w:val="00C41C45"/>
    <w:rsid w:val="00C4247B"/>
    <w:rsid w:val="00C4254E"/>
    <w:rsid w:val="00C4266C"/>
    <w:rsid w:val="00C429F4"/>
    <w:rsid w:val="00C42B6F"/>
    <w:rsid w:val="00C42CBB"/>
    <w:rsid w:val="00C43026"/>
    <w:rsid w:val="00C43442"/>
    <w:rsid w:val="00C43465"/>
    <w:rsid w:val="00C436EC"/>
    <w:rsid w:val="00C43955"/>
    <w:rsid w:val="00C43B03"/>
    <w:rsid w:val="00C43B30"/>
    <w:rsid w:val="00C43C4B"/>
    <w:rsid w:val="00C43E12"/>
    <w:rsid w:val="00C43F01"/>
    <w:rsid w:val="00C43F0B"/>
    <w:rsid w:val="00C4408B"/>
    <w:rsid w:val="00C44380"/>
    <w:rsid w:val="00C443B4"/>
    <w:rsid w:val="00C44E65"/>
    <w:rsid w:val="00C45016"/>
    <w:rsid w:val="00C452DE"/>
    <w:rsid w:val="00C4530C"/>
    <w:rsid w:val="00C45311"/>
    <w:rsid w:val="00C45610"/>
    <w:rsid w:val="00C45899"/>
    <w:rsid w:val="00C45CE7"/>
    <w:rsid w:val="00C45E12"/>
    <w:rsid w:val="00C46002"/>
    <w:rsid w:val="00C460F2"/>
    <w:rsid w:val="00C4630D"/>
    <w:rsid w:val="00C463E2"/>
    <w:rsid w:val="00C46407"/>
    <w:rsid w:val="00C46730"/>
    <w:rsid w:val="00C46942"/>
    <w:rsid w:val="00C469E8"/>
    <w:rsid w:val="00C46AC5"/>
    <w:rsid w:val="00C46DF9"/>
    <w:rsid w:val="00C4717C"/>
    <w:rsid w:val="00C4718C"/>
    <w:rsid w:val="00C472F4"/>
    <w:rsid w:val="00C47437"/>
    <w:rsid w:val="00C47660"/>
    <w:rsid w:val="00C47714"/>
    <w:rsid w:val="00C477D0"/>
    <w:rsid w:val="00C47842"/>
    <w:rsid w:val="00C47C0D"/>
    <w:rsid w:val="00C47C30"/>
    <w:rsid w:val="00C47DAD"/>
    <w:rsid w:val="00C47E24"/>
    <w:rsid w:val="00C5010F"/>
    <w:rsid w:val="00C502A3"/>
    <w:rsid w:val="00C5066B"/>
    <w:rsid w:val="00C506A1"/>
    <w:rsid w:val="00C507ED"/>
    <w:rsid w:val="00C50A30"/>
    <w:rsid w:val="00C50D32"/>
    <w:rsid w:val="00C50DBD"/>
    <w:rsid w:val="00C50EE3"/>
    <w:rsid w:val="00C511CF"/>
    <w:rsid w:val="00C5142D"/>
    <w:rsid w:val="00C51560"/>
    <w:rsid w:val="00C516B5"/>
    <w:rsid w:val="00C517F1"/>
    <w:rsid w:val="00C519AE"/>
    <w:rsid w:val="00C5207E"/>
    <w:rsid w:val="00C5213A"/>
    <w:rsid w:val="00C521FD"/>
    <w:rsid w:val="00C5223F"/>
    <w:rsid w:val="00C52256"/>
    <w:rsid w:val="00C524EF"/>
    <w:rsid w:val="00C526CE"/>
    <w:rsid w:val="00C52972"/>
    <w:rsid w:val="00C529F3"/>
    <w:rsid w:val="00C52AA0"/>
    <w:rsid w:val="00C52AD8"/>
    <w:rsid w:val="00C52BDF"/>
    <w:rsid w:val="00C52C1A"/>
    <w:rsid w:val="00C52FA8"/>
    <w:rsid w:val="00C52FE8"/>
    <w:rsid w:val="00C530B1"/>
    <w:rsid w:val="00C5314D"/>
    <w:rsid w:val="00C531AD"/>
    <w:rsid w:val="00C532BE"/>
    <w:rsid w:val="00C532E8"/>
    <w:rsid w:val="00C53B5C"/>
    <w:rsid w:val="00C53C54"/>
    <w:rsid w:val="00C5409A"/>
    <w:rsid w:val="00C5435A"/>
    <w:rsid w:val="00C546AB"/>
    <w:rsid w:val="00C547CA"/>
    <w:rsid w:val="00C54A1E"/>
    <w:rsid w:val="00C54DE4"/>
    <w:rsid w:val="00C54E42"/>
    <w:rsid w:val="00C5519E"/>
    <w:rsid w:val="00C55439"/>
    <w:rsid w:val="00C555C6"/>
    <w:rsid w:val="00C556BB"/>
    <w:rsid w:val="00C558EC"/>
    <w:rsid w:val="00C55A41"/>
    <w:rsid w:val="00C55AF7"/>
    <w:rsid w:val="00C5677C"/>
    <w:rsid w:val="00C567A5"/>
    <w:rsid w:val="00C56ADF"/>
    <w:rsid w:val="00C56C5E"/>
    <w:rsid w:val="00C56C90"/>
    <w:rsid w:val="00C56DE8"/>
    <w:rsid w:val="00C56E13"/>
    <w:rsid w:val="00C5713E"/>
    <w:rsid w:val="00C5728B"/>
    <w:rsid w:val="00C572FC"/>
    <w:rsid w:val="00C57347"/>
    <w:rsid w:val="00C576C0"/>
    <w:rsid w:val="00C57A60"/>
    <w:rsid w:val="00C57B19"/>
    <w:rsid w:val="00C57B9B"/>
    <w:rsid w:val="00C6014D"/>
    <w:rsid w:val="00C60201"/>
    <w:rsid w:val="00C60399"/>
    <w:rsid w:val="00C60506"/>
    <w:rsid w:val="00C60550"/>
    <w:rsid w:val="00C60836"/>
    <w:rsid w:val="00C6087A"/>
    <w:rsid w:val="00C6192E"/>
    <w:rsid w:val="00C61977"/>
    <w:rsid w:val="00C61A26"/>
    <w:rsid w:val="00C61AB7"/>
    <w:rsid w:val="00C61F7C"/>
    <w:rsid w:val="00C61F7F"/>
    <w:rsid w:val="00C6206A"/>
    <w:rsid w:val="00C621E1"/>
    <w:rsid w:val="00C62360"/>
    <w:rsid w:val="00C62612"/>
    <w:rsid w:val="00C62B55"/>
    <w:rsid w:val="00C62FC5"/>
    <w:rsid w:val="00C63597"/>
    <w:rsid w:val="00C637C5"/>
    <w:rsid w:val="00C63DD1"/>
    <w:rsid w:val="00C63EFE"/>
    <w:rsid w:val="00C63F90"/>
    <w:rsid w:val="00C6429A"/>
    <w:rsid w:val="00C642E7"/>
    <w:rsid w:val="00C645C8"/>
    <w:rsid w:val="00C64660"/>
    <w:rsid w:val="00C6472B"/>
    <w:rsid w:val="00C647D2"/>
    <w:rsid w:val="00C64873"/>
    <w:rsid w:val="00C649EC"/>
    <w:rsid w:val="00C64BED"/>
    <w:rsid w:val="00C64D78"/>
    <w:rsid w:val="00C64F01"/>
    <w:rsid w:val="00C650FE"/>
    <w:rsid w:val="00C651BB"/>
    <w:rsid w:val="00C651D0"/>
    <w:rsid w:val="00C652C5"/>
    <w:rsid w:val="00C655BE"/>
    <w:rsid w:val="00C65620"/>
    <w:rsid w:val="00C656CF"/>
    <w:rsid w:val="00C65F68"/>
    <w:rsid w:val="00C66116"/>
    <w:rsid w:val="00C661E9"/>
    <w:rsid w:val="00C66268"/>
    <w:rsid w:val="00C664DB"/>
    <w:rsid w:val="00C6669B"/>
    <w:rsid w:val="00C66787"/>
    <w:rsid w:val="00C668DF"/>
    <w:rsid w:val="00C66A86"/>
    <w:rsid w:val="00C66BF9"/>
    <w:rsid w:val="00C66C4F"/>
    <w:rsid w:val="00C66F41"/>
    <w:rsid w:val="00C672A7"/>
    <w:rsid w:val="00C67852"/>
    <w:rsid w:val="00C67CAD"/>
    <w:rsid w:val="00C67D3F"/>
    <w:rsid w:val="00C67D91"/>
    <w:rsid w:val="00C67E2E"/>
    <w:rsid w:val="00C7040F"/>
    <w:rsid w:val="00C705DE"/>
    <w:rsid w:val="00C708A7"/>
    <w:rsid w:val="00C709D1"/>
    <w:rsid w:val="00C70AA1"/>
    <w:rsid w:val="00C70CE6"/>
    <w:rsid w:val="00C70D2C"/>
    <w:rsid w:val="00C70EC5"/>
    <w:rsid w:val="00C7103D"/>
    <w:rsid w:val="00C717EF"/>
    <w:rsid w:val="00C71886"/>
    <w:rsid w:val="00C71DBA"/>
    <w:rsid w:val="00C71E2A"/>
    <w:rsid w:val="00C71EC6"/>
    <w:rsid w:val="00C71FD5"/>
    <w:rsid w:val="00C71FF3"/>
    <w:rsid w:val="00C72538"/>
    <w:rsid w:val="00C72655"/>
    <w:rsid w:val="00C726BE"/>
    <w:rsid w:val="00C727AB"/>
    <w:rsid w:val="00C72BA0"/>
    <w:rsid w:val="00C72F93"/>
    <w:rsid w:val="00C7343C"/>
    <w:rsid w:val="00C735B9"/>
    <w:rsid w:val="00C73737"/>
    <w:rsid w:val="00C737E0"/>
    <w:rsid w:val="00C73944"/>
    <w:rsid w:val="00C73F22"/>
    <w:rsid w:val="00C73F49"/>
    <w:rsid w:val="00C740C2"/>
    <w:rsid w:val="00C74260"/>
    <w:rsid w:val="00C74338"/>
    <w:rsid w:val="00C748F7"/>
    <w:rsid w:val="00C756CA"/>
    <w:rsid w:val="00C756F2"/>
    <w:rsid w:val="00C757A1"/>
    <w:rsid w:val="00C7583D"/>
    <w:rsid w:val="00C75A89"/>
    <w:rsid w:val="00C75BD4"/>
    <w:rsid w:val="00C764CC"/>
    <w:rsid w:val="00C76570"/>
    <w:rsid w:val="00C766FA"/>
    <w:rsid w:val="00C76756"/>
    <w:rsid w:val="00C767BD"/>
    <w:rsid w:val="00C76899"/>
    <w:rsid w:val="00C76D0B"/>
    <w:rsid w:val="00C76D42"/>
    <w:rsid w:val="00C76F39"/>
    <w:rsid w:val="00C77053"/>
    <w:rsid w:val="00C7711C"/>
    <w:rsid w:val="00C77123"/>
    <w:rsid w:val="00C77194"/>
    <w:rsid w:val="00C77220"/>
    <w:rsid w:val="00C77252"/>
    <w:rsid w:val="00C772FE"/>
    <w:rsid w:val="00C773B8"/>
    <w:rsid w:val="00C774F0"/>
    <w:rsid w:val="00C77695"/>
    <w:rsid w:val="00C776A3"/>
    <w:rsid w:val="00C77754"/>
    <w:rsid w:val="00C7775B"/>
    <w:rsid w:val="00C777A8"/>
    <w:rsid w:val="00C77901"/>
    <w:rsid w:val="00C779B1"/>
    <w:rsid w:val="00C77C00"/>
    <w:rsid w:val="00C77C2A"/>
    <w:rsid w:val="00C77DB8"/>
    <w:rsid w:val="00C77E2A"/>
    <w:rsid w:val="00C77EAD"/>
    <w:rsid w:val="00C803D6"/>
    <w:rsid w:val="00C8061F"/>
    <w:rsid w:val="00C80C49"/>
    <w:rsid w:val="00C80F58"/>
    <w:rsid w:val="00C810C7"/>
    <w:rsid w:val="00C811CC"/>
    <w:rsid w:val="00C81445"/>
    <w:rsid w:val="00C81708"/>
    <w:rsid w:val="00C817AC"/>
    <w:rsid w:val="00C817C1"/>
    <w:rsid w:val="00C81B66"/>
    <w:rsid w:val="00C81D0C"/>
    <w:rsid w:val="00C8256D"/>
    <w:rsid w:val="00C825A8"/>
    <w:rsid w:val="00C82831"/>
    <w:rsid w:val="00C829F5"/>
    <w:rsid w:val="00C82A48"/>
    <w:rsid w:val="00C82DE1"/>
    <w:rsid w:val="00C82E39"/>
    <w:rsid w:val="00C82E4F"/>
    <w:rsid w:val="00C830A8"/>
    <w:rsid w:val="00C835E3"/>
    <w:rsid w:val="00C83690"/>
    <w:rsid w:val="00C83A87"/>
    <w:rsid w:val="00C83C7A"/>
    <w:rsid w:val="00C840C1"/>
    <w:rsid w:val="00C8412D"/>
    <w:rsid w:val="00C84591"/>
    <w:rsid w:val="00C84670"/>
    <w:rsid w:val="00C84711"/>
    <w:rsid w:val="00C84954"/>
    <w:rsid w:val="00C84CAC"/>
    <w:rsid w:val="00C85606"/>
    <w:rsid w:val="00C85758"/>
    <w:rsid w:val="00C85A90"/>
    <w:rsid w:val="00C85F64"/>
    <w:rsid w:val="00C862E8"/>
    <w:rsid w:val="00C86361"/>
    <w:rsid w:val="00C86422"/>
    <w:rsid w:val="00C864B2"/>
    <w:rsid w:val="00C8654A"/>
    <w:rsid w:val="00C86625"/>
    <w:rsid w:val="00C86A23"/>
    <w:rsid w:val="00C86CEB"/>
    <w:rsid w:val="00C86F19"/>
    <w:rsid w:val="00C87287"/>
    <w:rsid w:val="00C87458"/>
    <w:rsid w:val="00C8746E"/>
    <w:rsid w:val="00C87FA8"/>
    <w:rsid w:val="00C90055"/>
    <w:rsid w:val="00C903E2"/>
    <w:rsid w:val="00C904CE"/>
    <w:rsid w:val="00C9066C"/>
    <w:rsid w:val="00C906E7"/>
    <w:rsid w:val="00C907DA"/>
    <w:rsid w:val="00C90A7E"/>
    <w:rsid w:val="00C90A8F"/>
    <w:rsid w:val="00C90CDD"/>
    <w:rsid w:val="00C9116E"/>
    <w:rsid w:val="00C91A98"/>
    <w:rsid w:val="00C91B1D"/>
    <w:rsid w:val="00C91CEB"/>
    <w:rsid w:val="00C91FEF"/>
    <w:rsid w:val="00C920CB"/>
    <w:rsid w:val="00C921F4"/>
    <w:rsid w:val="00C9232A"/>
    <w:rsid w:val="00C92526"/>
    <w:rsid w:val="00C9254A"/>
    <w:rsid w:val="00C92665"/>
    <w:rsid w:val="00C9266F"/>
    <w:rsid w:val="00C92CB7"/>
    <w:rsid w:val="00C92D5A"/>
    <w:rsid w:val="00C92E1C"/>
    <w:rsid w:val="00C93109"/>
    <w:rsid w:val="00C93164"/>
    <w:rsid w:val="00C9365E"/>
    <w:rsid w:val="00C939B7"/>
    <w:rsid w:val="00C93D22"/>
    <w:rsid w:val="00C94117"/>
    <w:rsid w:val="00C94131"/>
    <w:rsid w:val="00C94525"/>
    <w:rsid w:val="00C9453C"/>
    <w:rsid w:val="00C9464F"/>
    <w:rsid w:val="00C950BA"/>
    <w:rsid w:val="00C953F4"/>
    <w:rsid w:val="00C95411"/>
    <w:rsid w:val="00C95922"/>
    <w:rsid w:val="00C95B14"/>
    <w:rsid w:val="00C95CD5"/>
    <w:rsid w:val="00C95DDD"/>
    <w:rsid w:val="00C96212"/>
    <w:rsid w:val="00C966CA"/>
    <w:rsid w:val="00C96A56"/>
    <w:rsid w:val="00C96EED"/>
    <w:rsid w:val="00C96F6A"/>
    <w:rsid w:val="00C9716F"/>
    <w:rsid w:val="00C97552"/>
    <w:rsid w:val="00C975A4"/>
    <w:rsid w:val="00C975D8"/>
    <w:rsid w:val="00C97798"/>
    <w:rsid w:val="00C97BA1"/>
    <w:rsid w:val="00C97D73"/>
    <w:rsid w:val="00C97E95"/>
    <w:rsid w:val="00C97F6F"/>
    <w:rsid w:val="00CA017C"/>
    <w:rsid w:val="00CA077D"/>
    <w:rsid w:val="00CA10A0"/>
    <w:rsid w:val="00CA116E"/>
    <w:rsid w:val="00CA1357"/>
    <w:rsid w:val="00CA14D1"/>
    <w:rsid w:val="00CA15FB"/>
    <w:rsid w:val="00CA1710"/>
    <w:rsid w:val="00CA19CF"/>
    <w:rsid w:val="00CA1B4F"/>
    <w:rsid w:val="00CA225F"/>
    <w:rsid w:val="00CA22DE"/>
    <w:rsid w:val="00CA257F"/>
    <w:rsid w:val="00CA267A"/>
    <w:rsid w:val="00CA2C3D"/>
    <w:rsid w:val="00CA2C88"/>
    <w:rsid w:val="00CA2D00"/>
    <w:rsid w:val="00CA2F87"/>
    <w:rsid w:val="00CA2FAF"/>
    <w:rsid w:val="00CA334B"/>
    <w:rsid w:val="00CA33AE"/>
    <w:rsid w:val="00CA35C5"/>
    <w:rsid w:val="00CA3867"/>
    <w:rsid w:val="00CA3A7E"/>
    <w:rsid w:val="00CA3A7F"/>
    <w:rsid w:val="00CA3C13"/>
    <w:rsid w:val="00CA3C3F"/>
    <w:rsid w:val="00CA3C5A"/>
    <w:rsid w:val="00CA3CE5"/>
    <w:rsid w:val="00CA466A"/>
    <w:rsid w:val="00CA4A7F"/>
    <w:rsid w:val="00CA4B90"/>
    <w:rsid w:val="00CA4D03"/>
    <w:rsid w:val="00CA4E61"/>
    <w:rsid w:val="00CA503F"/>
    <w:rsid w:val="00CA5109"/>
    <w:rsid w:val="00CA51CB"/>
    <w:rsid w:val="00CA5592"/>
    <w:rsid w:val="00CA55DF"/>
    <w:rsid w:val="00CA5719"/>
    <w:rsid w:val="00CA58AF"/>
    <w:rsid w:val="00CA58C0"/>
    <w:rsid w:val="00CA599A"/>
    <w:rsid w:val="00CA5B89"/>
    <w:rsid w:val="00CA5CE1"/>
    <w:rsid w:val="00CA5EFE"/>
    <w:rsid w:val="00CA605F"/>
    <w:rsid w:val="00CA6200"/>
    <w:rsid w:val="00CA68F5"/>
    <w:rsid w:val="00CA690B"/>
    <w:rsid w:val="00CA6C2D"/>
    <w:rsid w:val="00CA6D88"/>
    <w:rsid w:val="00CA73BB"/>
    <w:rsid w:val="00CA7A3F"/>
    <w:rsid w:val="00CA7C73"/>
    <w:rsid w:val="00CA7D37"/>
    <w:rsid w:val="00CA7DD6"/>
    <w:rsid w:val="00CA7EEB"/>
    <w:rsid w:val="00CB0061"/>
    <w:rsid w:val="00CB009B"/>
    <w:rsid w:val="00CB036E"/>
    <w:rsid w:val="00CB0BE1"/>
    <w:rsid w:val="00CB0C37"/>
    <w:rsid w:val="00CB0C3D"/>
    <w:rsid w:val="00CB10CC"/>
    <w:rsid w:val="00CB1291"/>
    <w:rsid w:val="00CB1618"/>
    <w:rsid w:val="00CB16C8"/>
    <w:rsid w:val="00CB1898"/>
    <w:rsid w:val="00CB1A8D"/>
    <w:rsid w:val="00CB1D32"/>
    <w:rsid w:val="00CB1D98"/>
    <w:rsid w:val="00CB2143"/>
    <w:rsid w:val="00CB21DF"/>
    <w:rsid w:val="00CB2250"/>
    <w:rsid w:val="00CB2540"/>
    <w:rsid w:val="00CB254D"/>
    <w:rsid w:val="00CB263C"/>
    <w:rsid w:val="00CB268F"/>
    <w:rsid w:val="00CB2692"/>
    <w:rsid w:val="00CB2D62"/>
    <w:rsid w:val="00CB318E"/>
    <w:rsid w:val="00CB322E"/>
    <w:rsid w:val="00CB3361"/>
    <w:rsid w:val="00CB36C2"/>
    <w:rsid w:val="00CB3786"/>
    <w:rsid w:val="00CB3B0D"/>
    <w:rsid w:val="00CB3BCD"/>
    <w:rsid w:val="00CB3CB9"/>
    <w:rsid w:val="00CB3D49"/>
    <w:rsid w:val="00CB3ED4"/>
    <w:rsid w:val="00CB3FE1"/>
    <w:rsid w:val="00CB43C0"/>
    <w:rsid w:val="00CB4836"/>
    <w:rsid w:val="00CB48B5"/>
    <w:rsid w:val="00CB4CA5"/>
    <w:rsid w:val="00CB4FD4"/>
    <w:rsid w:val="00CB50B6"/>
    <w:rsid w:val="00CB51AE"/>
    <w:rsid w:val="00CB51B4"/>
    <w:rsid w:val="00CB51DC"/>
    <w:rsid w:val="00CB53BC"/>
    <w:rsid w:val="00CB544B"/>
    <w:rsid w:val="00CB5524"/>
    <w:rsid w:val="00CB5728"/>
    <w:rsid w:val="00CB58C2"/>
    <w:rsid w:val="00CB5918"/>
    <w:rsid w:val="00CB5BB4"/>
    <w:rsid w:val="00CB5BD7"/>
    <w:rsid w:val="00CB5E65"/>
    <w:rsid w:val="00CB6073"/>
    <w:rsid w:val="00CB6252"/>
    <w:rsid w:val="00CB63F3"/>
    <w:rsid w:val="00CB65AE"/>
    <w:rsid w:val="00CB65B3"/>
    <w:rsid w:val="00CB65C7"/>
    <w:rsid w:val="00CB66B9"/>
    <w:rsid w:val="00CB6985"/>
    <w:rsid w:val="00CB6BD5"/>
    <w:rsid w:val="00CB6D7D"/>
    <w:rsid w:val="00CB6EC8"/>
    <w:rsid w:val="00CB72FE"/>
    <w:rsid w:val="00CB7BD2"/>
    <w:rsid w:val="00CC0150"/>
    <w:rsid w:val="00CC037D"/>
    <w:rsid w:val="00CC0503"/>
    <w:rsid w:val="00CC07FA"/>
    <w:rsid w:val="00CC0843"/>
    <w:rsid w:val="00CC08F2"/>
    <w:rsid w:val="00CC0A2D"/>
    <w:rsid w:val="00CC0ACC"/>
    <w:rsid w:val="00CC0C39"/>
    <w:rsid w:val="00CC0DF1"/>
    <w:rsid w:val="00CC0E84"/>
    <w:rsid w:val="00CC0F5B"/>
    <w:rsid w:val="00CC14BA"/>
    <w:rsid w:val="00CC1632"/>
    <w:rsid w:val="00CC1C82"/>
    <w:rsid w:val="00CC27EF"/>
    <w:rsid w:val="00CC284E"/>
    <w:rsid w:val="00CC2A19"/>
    <w:rsid w:val="00CC2B59"/>
    <w:rsid w:val="00CC2C7C"/>
    <w:rsid w:val="00CC2C9F"/>
    <w:rsid w:val="00CC2CB8"/>
    <w:rsid w:val="00CC2DF8"/>
    <w:rsid w:val="00CC3372"/>
    <w:rsid w:val="00CC3447"/>
    <w:rsid w:val="00CC3469"/>
    <w:rsid w:val="00CC3F93"/>
    <w:rsid w:val="00CC4041"/>
    <w:rsid w:val="00CC4162"/>
    <w:rsid w:val="00CC42C8"/>
    <w:rsid w:val="00CC473C"/>
    <w:rsid w:val="00CC4765"/>
    <w:rsid w:val="00CC4911"/>
    <w:rsid w:val="00CC4C90"/>
    <w:rsid w:val="00CC4E21"/>
    <w:rsid w:val="00CC5434"/>
    <w:rsid w:val="00CC555F"/>
    <w:rsid w:val="00CC56A4"/>
    <w:rsid w:val="00CC5DAB"/>
    <w:rsid w:val="00CC5FFD"/>
    <w:rsid w:val="00CC65A6"/>
    <w:rsid w:val="00CC6741"/>
    <w:rsid w:val="00CC6969"/>
    <w:rsid w:val="00CC6AB7"/>
    <w:rsid w:val="00CC6AE7"/>
    <w:rsid w:val="00CC6D5F"/>
    <w:rsid w:val="00CC6F57"/>
    <w:rsid w:val="00CC7622"/>
    <w:rsid w:val="00CC7831"/>
    <w:rsid w:val="00CC7FBD"/>
    <w:rsid w:val="00CD053F"/>
    <w:rsid w:val="00CD05CD"/>
    <w:rsid w:val="00CD05D7"/>
    <w:rsid w:val="00CD0916"/>
    <w:rsid w:val="00CD0AA1"/>
    <w:rsid w:val="00CD0BE1"/>
    <w:rsid w:val="00CD1028"/>
    <w:rsid w:val="00CD1112"/>
    <w:rsid w:val="00CD1141"/>
    <w:rsid w:val="00CD148C"/>
    <w:rsid w:val="00CD14B1"/>
    <w:rsid w:val="00CD17F6"/>
    <w:rsid w:val="00CD1816"/>
    <w:rsid w:val="00CD1BE3"/>
    <w:rsid w:val="00CD1FA5"/>
    <w:rsid w:val="00CD1FCA"/>
    <w:rsid w:val="00CD218F"/>
    <w:rsid w:val="00CD231B"/>
    <w:rsid w:val="00CD2417"/>
    <w:rsid w:val="00CD24D1"/>
    <w:rsid w:val="00CD298B"/>
    <w:rsid w:val="00CD2B22"/>
    <w:rsid w:val="00CD2E2A"/>
    <w:rsid w:val="00CD3026"/>
    <w:rsid w:val="00CD33A4"/>
    <w:rsid w:val="00CD33AA"/>
    <w:rsid w:val="00CD3492"/>
    <w:rsid w:val="00CD34C4"/>
    <w:rsid w:val="00CD34F5"/>
    <w:rsid w:val="00CD3A3B"/>
    <w:rsid w:val="00CD3C61"/>
    <w:rsid w:val="00CD3CB2"/>
    <w:rsid w:val="00CD3E83"/>
    <w:rsid w:val="00CD3F35"/>
    <w:rsid w:val="00CD403F"/>
    <w:rsid w:val="00CD40DD"/>
    <w:rsid w:val="00CD439D"/>
    <w:rsid w:val="00CD44BB"/>
    <w:rsid w:val="00CD45BE"/>
    <w:rsid w:val="00CD4807"/>
    <w:rsid w:val="00CD488A"/>
    <w:rsid w:val="00CD48AE"/>
    <w:rsid w:val="00CD4AC4"/>
    <w:rsid w:val="00CD4F72"/>
    <w:rsid w:val="00CD516E"/>
    <w:rsid w:val="00CD5412"/>
    <w:rsid w:val="00CD5664"/>
    <w:rsid w:val="00CD574D"/>
    <w:rsid w:val="00CD5E28"/>
    <w:rsid w:val="00CD5F6F"/>
    <w:rsid w:val="00CD5F88"/>
    <w:rsid w:val="00CD65E3"/>
    <w:rsid w:val="00CD65F2"/>
    <w:rsid w:val="00CD6716"/>
    <w:rsid w:val="00CD6736"/>
    <w:rsid w:val="00CD6761"/>
    <w:rsid w:val="00CD67B0"/>
    <w:rsid w:val="00CD68C3"/>
    <w:rsid w:val="00CD6A61"/>
    <w:rsid w:val="00CD6FC5"/>
    <w:rsid w:val="00CD7134"/>
    <w:rsid w:val="00CD7495"/>
    <w:rsid w:val="00CD7551"/>
    <w:rsid w:val="00CD763C"/>
    <w:rsid w:val="00CD7B1D"/>
    <w:rsid w:val="00CD7B8C"/>
    <w:rsid w:val="00CD7C39"/>
    <w:rsid w:val="00CD7FF5"/>
    <w:rsid w:val="00CE01AF"/>
    <w:rsid w:val="00CE0209"/>
    <w:rsid w:val="00CE03A4"/>
    <w:rsid w:val="00CE04D3"/>
    <w:rsid w:val="00CE0549"/>
    <w:rsid w:val="00CE083B"/>
    <w:rsid w:val="00CE08AE"/>
    <w:rsid w:val="00CE0934"/>
    <w:rsid w:val="00CE0C66"/>
    <w:rsid w:val="00CE0D6C"/>
    <w:rsid w:val="00CE0F97"/>
    <w:rsid w:val="00CE0FFD"/>
    <w:rsid w:val="00CE10FF"/>
    <w:rsid w:val="00CE11C0"/>
    <w:rsid w:val="00CE14B2"/>
    <w:rsid w:val="00CE1719"/>
    <w:rsid w:val="00CE1966"/>
    <w:rsid w:val="00CE1BCA"/>
    <w:rsid w:val="00CE1CCD"/>
    <w:rsid w:val="00CE219B"/>
    <w:rsid w:val="00CE22A4"/>
    <w:rsid w:val="00CE269A"/>
    <w:rsid w:val="00CE2724"/>
    <w:rsid w:val="00CE27F7"/>
    <w:rsid w:val="00CE2A68"/>
    <w:rsid w:val="00CE2DE5"/>
    <w:rsid w:val="00CE2DE6"/>
    <w:rsid w:val="00CE2EC9"/>
    <w:rsid w:val="00CE2F61"/>
    <w:rsid w:val="00CE2FBA"/>
    <w:rsid w:val="00CE324A"/>
    <w:rsid w:val="00CE376E"/>
    <w:rsid w:val="00CE3AEC"/>
    <w:rsid w:val="00CE3D56"/>
    <w:rsid w:val="00CE3D9A"/>
    <w:rsid w:val="00CE42C9"/>
    <w:rsid w:val="00CE43B8"/>
    <w:rsid w:val="00CE49D4"/>
    <w:rsid w:val="00CE4CF4"/>
    <w:rsid w:val="00CE503E"/>
    <w:rsid w:val="00CE574E"/>
    <w:rsid w:val="00CE5894"/>
    <w:rsid w:val="00CE5B18"/>
    <w:rsid w:val="00CE5B7F"/>
    <w:rsid w:val="00CE5C7B"/>
    <w:rsid w:val="00CE5E1F"/>
    <w:rsid w:val="00CE5E32"/>
    <w:rsid w:val="00CE5F19"/>
    <w:rsid w:val="00CE6211"/>
    <w:rsid w:val="00CE6213"/>
    <w:rsid w:val="00CE64CB"/>
    <w:rsid w:val="00CE669C"/>
    <w:rsid w:val="00CE6984"/>
    <w:rsid w:val="00CE6990"/>
    <w:rsid w:val="00CE6D44"/>
    <w:rsid w:val="00CE7881"/>
    <w:rsid w:val="00CF0108"/>
    <w:rsid w:val="00CF0159"/>
    <w:rsid w:val="00CF0392"/>
    <w:rsid w:val="00CF047E"/>
    <w:rsid w:val="00CF07CD"/>
    <w:rsid w:val="00CF0804"/>
    <w:rsid w:val="00CF0BE8"/>
    <w:rsid w:val="00CF101A"/>
    <w:rsid w:val="00CF1093"/>
    <w:rsid w:val="00CF1496"/>
    <w:rsid w:val="00CF1545"/>
    <w:rsid w:val="00CF185E"/>
    <w:rsid w:val="00CF195E"/>
    <w:rsid w:val="00CF199D"/>
    <w:rsid w:val="00CF1B58"/>
    <w:rsid w:val="00CF1F58"/>
    <w:rsid w:val="00CF2043"/>
    <w:rsid w:val="00CF24DC"/>
    <w:rsid w:val="00CF27D0"/>
    <w:rsid w:val="00CF2941"/>
    <w:rsid w:val="00CF2A91"/>
    <w:rsid w:val="00CF2AB1"/>
    <w:rsid w:val="00CF2C4E"/>
    <w:rsid w:val="00CF3526"/>
    <w:rsid w:val="00CF360B"/>
    <w:rsid w:val="00CF3739"/>
    <w:rsid w:val="00CF39E7"/>
    <w:rsid w:val="00CF3BCA"/>
    <w:rsid w:val="00CF3F61"/>
    <w:rsid w:val="00CF403F"/>
    <w:rsid w:val="00CF463D"/>
    <w:rsid w:val="00CF46E8"/>
    <w:rsid w:val="00CF46F5"/>
    <w:rsid w:val="00CF472D"/>
    <w:rsid w:val="00CF4A8D"/>
    <w:rsid w:val="00CF4B18"/>
    <w:rsid w:val="00CF4B86"/>
    <w:rsid w:val="00CF4CE0"/>
    <w:rsid w:val="00CF4D54"/>
    <w:rsid w:val="00CF51AD"/>
    <w:rsid w:val="00CF5871"/>
    <w:rsid w:val="00CF5AFB"/>
    <w:rsid w:val="00CF5B60"/>
    <w:rsid w:val="00CF5F98"/>
    <w:rsid w:val="00CF627A"/>
    <w:rsid w:val="00CF6456"/>
    <w:rsid w:val="00CF669C"/>
    <w:rsid w:val="00CF66A2"/>
    <w:rsid w:val="00CF6814"/>
    <w:rsid w:val="00CF6DD7"/>
    <w:rsid w:val="00CF71DB"/>
    <w:rsid w:val="00CF72E7"/>
    <w:rsid w:val="00CF754D"/>
    <w:rsid w:val="00CF75B3"/>
    <w:rsid w:val="00CF7985"/>
    <w:rsid w:val="00CF79C0"/>
    <w:rsid w:val="00CF7A21"/>
    <w:rsid w:val="00CF7A71"/>
    <w:rsid w:val="00CF7B64"/>
    <w:rsid w:val="00CF7E19"/>
    <w:rsid w:val="00CF7F57"/>
    <w:rsid w:val="00CF7F7E"/>
    <w:rsid w:val="00D00466"/>
    <w:rsid w:val="00D00D1A"/>
    <w:rsid w:val="00D01102"/>
    <w:rsid w:val="00D0117B"/>
    <w:rsid w:val="00D011DA"/>
    <w:rsid w:val="00D01217"/>
    <w:rsid w:val="00D01275"/>
    <w:rsid w:val="00D01911"/>
    <w:rsid w:val="00D01985"/>
    <w:rsid w:val="00D01B8C"/>
    <w:rsid w:val="00D01DBC"/>
    <w:rsid w:val="00D01DEE"/>
    <w:rsid w:val="00D01FD7"/>
    <w:rsid w:val="00D024A3"/>
    <w:rsid w:val="00D02602"/>
    <w:rsid w:val="00D02655"/>
    <w:rsid w:val="00D0278D"/>
    <w:rsid w:val="00D027F1"/>
    <w:rsid w:val="00D02CCB"/>
    <w:rsid w:val="00D02E6E"/>
    <w:rsid w:val="00D02F8B"/>
    <w:rsid w:val="00D0309F"/>
    <w:rsid w:val="00D037D9"/>
    <w:rsid w:val="00D0393F"/>
    <w:rsid w:val="00D03B25"/>
    <w:rsid w:val="00D03E32"/>
    <w:rsid w:val="00D03ECF"/>
    <w:rsid w:val="00D048F0"/>
    <w:rsid w:val="00D04B02"/>
    <w:rsid w:val="00D04B62"/>
    <w:rsid w:val="00D04BF5"/>
    <w:rsid w:val="00D04C98"/>
    <w:rsid w:val="00D04DB6"/>
    <w:rsid w:val="00D04EBA"/>
    <w:rsid w:val="00D05037"/>
    <w:rsid w:val="00D0504D"/>
    <w:rsid w:val="00D05096"/>
    <w:rsid w:val="00D051FE"/>
    <w:rsid w:val="00D0536F"/>
    <w:rsid w:val="00D054B5"/>
    <w:rsid w:val="00D05A56"/>
    <w:rsid w:val="00D05AAD"/>
    <w:rsid w:val="00D05C3A"/>
    <w:rsid w:val="00D05CCA"/>
    <w:rsid w:val="00D05D68"/>
    <w:rsid w:val="00D061B8"/>
    <w:rsid w:val="00D06289"/>
    <w:rsid w:val="00D06370"/>
    <w:rsid w:val="00D064A0"/>
    <w:rsid w:val="00D06C64"/>
    <w:rsid w:val="00D06F15"/>
    <w:rsid w:val="00D07402"/>
    <w:rsid w:val="00D074BC"/>
    <w:rsid w:val="00D07CF6"/>
    <w:rsid w:val="00D07EB8"/>
    <w:rsid w:val="00D100DE"/>
    <w:rsid w:val="00D1013D"/>
    <w:rsid w:val="00D106BB"/>
    <w:rsid w:val="00D1081F"/>
    <w:rsid w:val="00D10B41"/>
    <w:rsid w:val="00D10B93"/>
    <w:rsid w:val="00D10BC1"/>
    <w:rsid w:val="00D10BCF"/>
    <w:rsid w:val="00D10D2E"/>
    <w:rsid w:val="00D1121C"/>
    <w:rsid w:val="00D114D5"/>
    <w:rsid w:val="00D1158A"/>
    <w:rsid w:val="00D11668"/>
    <w:rsid w:val="00D1173F"/>
    <w:rsid w:val="00D117FF"/>
    <w:rsid w:val="00D11906"/>
    <w:rsid w:val="00D1193A"/>
    <w:rsid w:val="00D11C6E"/>
    <w:rsid w:val="00D1214F"/>
    <w:rsid w:val="00D12E97"/>
    <w:rsid w:val="00D13148"/>
    <w:rsid w:val="00D13361"/>
    <w:rsid w:val="00D13708"/>
    <w:rsid w:val="00D1379E"/>
    <w:rsid w:val="00D13A5B"/>
    <w:rsid w:val="00D13B60"/>
    <w:rsid w:val="00D13D2E"/>
    <w:rsid w:val="00D14073"/>
    <w:rsid w:val="00D1425A"/>
    <w:rsid w:val="00D1428C"/>
    <w:rsid w:val="00D14413"/>
    <w:rsid w:val="00D1452F"/>
    <w:rsid w:val="00D146EC"/>
    <w:rsid w:val="00D1480F"/>
    <w:rsid w:val="00D148A2"/>
    <w:rsid w:val="00D148ED"/>
    <w:rsid w:val="00D14937"/>
    <w:rsid w:val="00D14999"/>
    <w:rsid w:val="00D14B15"/>
    <w:rsid w:val="00D14B40"/>
    <w:rsid w:val="00D14CB4"/>
    <w:rsid w:val="00D14D6A"/>
    <w:rsid w:val="00D14DBB"/>
    <w:rsid w:val="00D14E8F"/>
    <w:rsid w:val="00D1508E"/>
    <w:rsid w:val="00D152AD"/>
    <w:rsid w:val="00D152F3"/>
    <w:rsid w:val="00D15323"/>
    <w:rsid w:val="00D153E1"/>
    <w:rsid w:val="00D1552F"/>
    <w:rsid w:val="00D15532"/>
    <w:rsid w:val="00D1554A"/>
    <w:rsid w:val="00D15C8D"/>
    <w:rsid w:val="00D15D1C"/>
    <w:rsid w:val="00D15D47"/>
    <w:rsid w:val="00D1608E"/>
    <w:rsid w:val="00D16222"/>
    <w:rsid w:val="00D16289"/>
    <w:rsid w:val="00D16295"/>
    <w:rsid w:val="00D1640B"/>
    <w:rsid w:val="00D1681D"/>
    <w:rsid w:val="00D16B0E"/>
    <w:rsid w:val="00D16BA8"/>
    <w:rsid w:val="00D16C91"/>
    <w:rsid w:val="00D17078"/>
    <w:rsid w:val="00D172FE"/>
    <w:rsid w:val="00D17323"/>
    <w:rsid w:val="00D17353"/>
    <w:rsid w:val="00D17501"/>
    <w:rsid w:val="00D17A41"/>
    <w:rsid w:val="00D17A5B"/>
    <w:rsid w:val="00D17F81"/>
    <w:rsid w:val="00D17FF9"/>
    <w:rsid w:val="00D20027"/>
    <w:rsid w:val="00D202CF"/>
    <w:rsid w:val="00D20540"/>
    <w:rsid w:val="00D207B2"/>
    <w:rsid w:val="00D207DF"/>
    <w:rsid w:val="00D20D6F"/>
    <w:rsid w:val="00D21020"/>
    <w:rsid w:val="00D21328"/>
    <w:rsid w:val="00D21330"/>
    <w:rsid w:val="00D21501"/>
    <w:rsid w:val="00D2161C"/>
    <w:rsid w:val="00D217C8"/>
    <w:rsid w:val="00D219DF"/>
    <w:rsid w:val="00D21A4C"/>
    <w:rsid w:val="00D21B72"/>
    <w:rsid w:val="00D21EBC"/>
    <w:rsid w:val="00D21EF6"/>
    <w:rsid w:val="00D2203B"/>
    <w:rsid w:val="00D223D8"/>
    <w:rsid w:val="00D2248D"/>
    <w:rsid w:val="00D229D5"/>
    <w:rsid w:val="00D22D08"/>
    <w:rsid w:val="00D22ED6"/>
    <w:rsid w:val="00D232A7"/>
    <w:rsid w:val="00D2338D"/>
    <w:rsid w:val="00D2382D"/>
    <w:rsid w:val="00D239AC"/>
    <w:rsid w:val="00D23A73"/>
    <w:rsid w:val="00D23EE7"/>
    <w:rsid w:val="00D24321"/>
    <w:rsid w:val="00D2456C"/>
    <w:rsid w:val="00D24CC7"/>
    <w:rsid w:val="00D24DEB"/>
    <w:rsid w:val="00D24E53"/>
    <w:rsid w:val="00D24F72"/>
    <w:rsid w:val="00D24F7F"/>
    <w:rsid w:val="00D2510E"/>
    <w:rsid w:val="00D251A8"/>
    <w:rsid w:val="00D2540B"/>
    <w:rsid w:val="00D255D2"/>
    <w:rsid w:val="00D255E7"/>
    <w:rsid w:val="00D257A2"/>
    <w:rsid w:val="00D2599A"/>
    <w:rsid w:val="00D25AC9"/>
    <w:rsid w:val="00D25C77"/>
    <w:rsid w:val="00D25D2E"/>
    <w:rsid w:val="00D2610A"/>
    <w:rsid w:val="00D26399"/>
    <w:rsid w:val="00D26403"/>
    <w:rsid w:val="00D26576"/>
    <w:rsid w:val="00D26859"/>
    <w:rsid w:val="00D26A09"/>
    <w:rsid w:val="00D26C44"/>
    <w:rsid w:val="00D26C52"/>
    <w:rsid w:val="00D26E39"/>
    <w:rsid w:val="00D26E72"/>
    <w:rsid w:val="00D26EB4"/>
    <w:rsid w:val="00D27075"/>
    <w:rsid w:val="00D27305"/>
    <w:rsid w:val="00D27315"/>
    <w:rsid w:val="00D27462"/>
    <w:rsid w:val="00D27A1B"/>
    <w:rsid w:val="00D27A45"/>
    <w:rsid w:val="00D3006C"/>
    <w:rsid w:val="00D303B6"/>
    <w:rsid w:val="00D3060D"/>
    <w:rsid w:val="00D3063A"/>
    <w:rsid w:val="00D30892"/>
    <w:rsid w:val="00D30B50"/>
    <w:rsid w:val="00D30D06"/>
    <w:rsid w:val="00D30DF8"/>
    <w:rsid w:val="00D30EBF"/>
    <w:rsid w:val="00D31259"/>
    <w:rsid w:val="00D319FB"/>
    <w:rsid w:val="00D31A95"/>
    <w:rsid w:val="00D31BF0"/>
    <w:rsid w:val="00D31D54"/>
    <w:rsid w:val="00D324B7"/>
    <w:rsid w:val="00D327B0"/>
    <w:rsid w:val="00D328BF"/>
    <w:rsid w:val="00D3296B"/>
    <w:rsid w:val="00D32B3B"/>
    <w:rsid w:val="00D32BF0"/>
    <w:rsid w:val="00D32C58"/>
    <w:rsid w:val="00D32D64"/>
    <w:rsid w:val="00D32F3C"/>
    <w:rsid w:val="00D33310"/>
    <w:rsid w:val="00D334AF"/>
    <w:rsid w:val="00D334F3"/>
    <w:rsid w:val="00D33703"/>
    <w:rsid w:val="00D33713"/>
    <w:rsid w:val="00D3392A"/>
    <w:rsid w:val="00D33995"/>
    <w:rsid w:val="00D33B40"/>
    <w:rsid w:val="00D33BD0"/>
    <w:rsid w:val="00D33F3D"/>
    <w:rsid w:val="00D34342"/>
    <w:rsid w:val="00D347BD"/>
    <w:rsid w:val="00D347F7"/>
    <w:rsid w:val="00D34A7A"/>
    <w:rsid w:val="00D34D03"/>
    <w:rsid w:val="00D34D67"/>
    <w:rsid w:val="00D34E59"/>
    <w:rsid w:val="00D34EB6"/>
    <w:rsid w:val="00D34F31"/>
    <w:rsid w:val="00D35ACA"/>
    <w:rsid w:val="00D35BDB"/>
    <w:rsid w:val="00D35C6D"/>
    <w:rsid w:val="00D35C94"/>
    <w:rsid w:val="00D35CE4"/>
    <w:rsid w:val="00D35DFC"/>
    <w:rsid w:val="00D35F2D"/>
    <w:rsid w:val="00D35FA0"/>
    <w:rsid w:val="00D35FD6"/>
    <w:rsid w:val="00D362EE"/>
    <w:rsid w:val="00D36631"/>
    <w:rsid w:val="00D369DB"/>
    <w:rsid w:val="00D36A0B"/>
    <w:rsid w:val="00D36C7A"/>
    <w:rsid w:val="00D36E53"/>
    <w:rsid w:val="00D37045"/>
    <w:rsid w:val="00D371CE"/>
    <w:rsid w:val="00D37445"/>
    <w:rsid w:val="00D3769A"/>
    <w:rsid w:val="00D37791"/>
    <w:rsid w:val="00D37D9D"/>
    <w:rsid w:val="00D40078"/>
    <w:rsid w:val="00D401FD"/>
    <w:rsid w:val="00D40350"/>
    <w:rsid w:val="00D40415"/>
    <w:rsid w:val="00D40613"/>
    <w:rsid w:val="00D40A83"/>
    <w:rsid w:val="00D40CFA"/>
    <w:rsid w:val="00D40DD0"/>
    <w:rsid w:val="00D40DF6"/>
    <w:rsid w:val="00D410D4"/>
    <w:rsid w:val="00D410FF"/>
    <w:rsid w:val="00D413F0"/>
    <w:rsid w:val="00D417A9"/>
    <w:rsid w:val="00D41906"/>
    <w:rsid w:val="00D41FBE"/>
    <w:rsid w:val="00D421E5"/>
    <w:rsid w:val="00D42444"/>
    <w:rsid w:val="00D42699"/>
    <w:rsid w:val="00D427D4"/>
    <w:rsid w:val="00D42826"/>
    <w:rsid w:val="00D42A9D"/>
    <w:rsid w:val="00D42C7B"/>
    <w:rsid w:val="00D4327D"/>
    <w:rsid w:val="00D43482"/>
    <w:rsid w:val="00D434F5"/>
    <w:rsid w:val="00D43527"/>
    <w:rsid w:val="00D43591"/>
    <w:rsid w:val="00D4369E"/>
    <w:rsid w:val="00D43D10"/>
    <w:rsid w:val="00D43DF7"/>
    <w:rsid w:val="00D43FBE"/>
    <w:rsid w:val="00D44074"/>
    <w:rsid w:val="00D4415E"/>
    <w:rsid w:val="00D445E6"/>
    <w:rsid w:val="00D4489F"/>
    <w:rsid w:val="00D448D8"/>
    <w:rsid w:val="00D44A14"/>
    <w:rsid w:val="00D44B21"/>
    <w:rsid w:val="00D44CCA"/>
    <w:rsid w:val="00D44CDE"/>
    <w:rsid w:val="00D44D54"/>
    <w:rsid w:val="00D44E51"/>
    <w:rsid w:val="00D4514A"/>
    <w:rsid w:val="00D452B0"/>
    <w:rsid w:val="00D454DD"/>
    <w:rsid w:val="00D4560D"/>
    <w:rsid w:val="00D4565D"/>
    <w:rsid w:val="00D45719"/>
    <w:rsid w:val="00D45854"/>
    <w:rsid w:val="00D45A36"/>
    <w:rsid w:val="00D45BC2"/>
    <w:rsid w:val="00D45C30"/>
    <w:rsid w:val="00D45DFB"/>
    <w:rsid w:val="00D45F26"/>
    <w:rsid w:val="00D461A0"/>
    <w:rsid w:val="00D46497"/>
    <w:rsid w:val="00D46580"/>
    <w:rsid w:val="00D4659A"/>
    <w:rsid w:val="00D465F1"/>
    <w:rsid w:val="00D467B4"/>
    <w:rsid w:val="00D46DBB"/>
    <w:rsid w:val="00D46DFB"/>
    <w:rsid w:val="00D46FC2"/>
    <w:rsid w:val="00D4705E"/>
    <w:rsid w:val="00D4713E"/>
    <w:rsid w:val="00D47222"/>
    <w:rsid w:val="00D47266"/>
    <w:rsid w:val="00D476E1"/>
    <w:rsid w:val="00D476FD"/>
    <w:rsid w:val="00D47939"/>
    <w:rsid w:val="00D47992"/>
    <w:rsid w:val="00D47B2C"/>
    <w:rsid w:val="00D47B56"/>
    <w:rsid w:val="00D5012A"/>
    <w:rsid w:val="00D505AC"/>
    <w:rsid w:val="00D509EC"/>
    <w:rsid w:val="00D50B13"/>
    <w:rsid w:val="00D50C05"/>
    <w:rsid w:val="00D510CA"/>
    <w:rsid w:val="00D5119F"/>
    <w:rsid w:val="00D511C7"/>
    <w:rsid w:val="00D51705"/>
    <w:rsid w:val="00D51855"/>
    <w:rsid w:val="00D51897"/>
    <w:rsid w:val="00D51AA2"/>
    <w:rsid w:val="00D51D54"/>
    <w:rsid w:val="00D51DE6"/>
    <w:rsid w:val="00D51F06"/>
    <w:rsid w:val="00D522CF"/>
    <w:rsid w:val="00D52952"/>
    <w:rsid w:val="00D53083"/>
    <w:rsid w:val="00D530ED"/>
    <w:rsid w:val="00D5340F"/>
    <w:rsid w:val="00D5374D"/>
    <w:rsid w:val="00D53923"/>
    <w:rsid w:val="00D53B10"/>
    <w:rsid w:val="00D53E18"/>
    <w:rsid w:val="00D53E5A"/>
    <w:rsid w:val="00D53FD4"/>
    <w:rsid w:val="00D545B6"/>
    <w:rsid w:val="00D54754"/>
    <w:rsid w:val="00D550C5"/>
    <w:rsid w:val="00D55168"/>
    <w:rsid w:val="00D5532E"/>
    <w:rsid w:val="00D55645"/>
    <w:rsid w:val="00D55A1D"/>
    <w:rsid w:val="00D55A30"/>
    <w:rsid w:val="00D55AAA"/>
    <w:rsid w:val="00D55C42"/>
    <w:rsid w:val="00D55EDC"/>
    <w:rsid w:val="00D55F57"/>
    <w:rsid w:val="00D56064"/>
    <w:rsid w:val="00D56107"/>
    <w:rsid w:val="00D56306"/>
    <w:rsid w:val="00D563F7"/>
    <w:rsid w:val="00D564CE"/>
    <w:rsid w:val="00D56778"/>
    <w:rsid w:val="00D56EF9"/>
    <w:rsid w:val="00D57050"/>
    <w:rsid w:val="00D5720F"/>
    <w:rsid w:val="00D5760D"/>
    <w:rsid w:val="00D57BCF"/>
    <w:rsid w:val="00D57EFC"/>
    <w:rsid w:val="00D57F6E"/>
    <w:rsid w:val="00D60664"/>
    <w:rsid w:val="00D60682"/>
    <w:rsid w:val="00D60B60"/>
    <w:rsid w:val="00D60D95"/>
    <w:rsid w:val="00D60E64"/>
    <w:rsid w:val="00D61670"/>
    <w:rsid w:val="00D6177F"/>
    <w:rsid w:val="00D617C2"/>
    <w:rsid w:val="00D61CDB"/>
    <w:rsid w:val="00D62471"/>
    <w:rsid w:val="00D629DE"/>
    <w:rsid w:val="00D62AAB"/>
    <w:rsid w:val="00D62ADC"/>
    <w:rsid w:val="00D62B80"/>
    <w:rsid w:val="00D62ECE"/>
    <w:rsid w:val="00D62F2D"/>
    <w:rsid w:val="00D6303B"/>
    <w:rsid w:val="00D630FF"/>
    <w:rsid w:val="00D63348"/>
    <w:rsid w:val="00D634B4"/>
    <w:rsid w:val="00D63541"/>
    <w:rsid w:val="00D636BE"/>
    <w:rsid w:val="00D63A10"/>
    <w:rsid w:val="00D63B3C"/>
    <w:rsid w:val="00D63D78"/>
    <w:rsid w:val="00D640D6"/>
    <w:rsid w:val="00D64107"/>
    <w:rsid w:val="00D641BC"/>
    <w:rsid w:val="00D641C4"/>
    <w:rsid w:val="00D641ED"/>
    <w:rsid w:val="00D6436A"/>
    <w:rsid w:val="00D64389"/>
    <w:rsid w:val="00D6444D"/>
    <w:rsid w:val="00D6451F"/>
    <w:rsid w:val="00D6469C"/>
    <w:rsid w:val="00D64821"/>
    <w:rsid w:val="00D64DA7"/>
    <w:rsid w:val="00D64F83"/>
    <w:rsid w:val="00D65038"/>
    <w:rsid w:val="00D65226"/>
    <w:rsid w:val="00D6552C"/>
    <w:rsid w:val="00D65566"/>
    <w:rsid w:val="00D65832"/>
    <w:rsid w:val="00D658D8"/>
    <w:rsid w:val="00D65ECE"/>
    <w:rsid w:val="00D6620E"/>
    <w:rsid w:val="00D667D3"/>
    <w:rsid w:val="00D6680F"/>
    <w:rsid w:val="00D6686E"/>
    <w:rsid w:val="00D66BDA"/>
    <w:rsid w:val="00D66BF6"/>
    <w:rsid w:val="00D66F64"/>
    <w:rsid w:val="00D673FF"/>
    <w:rsid w:val="00D674D5"/>
    <w:rsid w:val="00D67BA9"/>
    <w:rsid w:val="00D67D1A"/>
    <w:rsid w:val="00D67DE2"/>
    <w:rsid w:val="00D67E23"/>
    <w:rsid w:val="00D70097"/>
    <w:rsid w:val="00D70149"/>
    <w:rsid w:val="00D702B9"/>
    <w:rsid w:val="00D708C3"/>
    <w:rsid w:val="00D70994"/>
    <w:rsid w:val="00D70C2A"/>
    <w:rsid w:val="00D70F45"/>
    <w:rsid w:val="00D70FA5"/>
    <w:rsid w:val="00D70FB4"/>
    <w:rsid w:val="00D71275"/>
    <w:rsid w:val="00D7181E"/>
    <w:rsid w:val="00D719A9"/>
    <w:rsid w:val="00D71A3F"/>
    <w:rsid w:val="00D71C23"/>
    <w:rsid w:val="00D71E7E"/>
    <w:rsid w:val="00D720EE"/>
    <w:rsid w:val="00D7211C"/>
    <w:rsid w:val="00D72256"/>
    <w:rsid w:val="00D722AA"/>
    <w:rsid w:val="00D72501"/>
    <w:rsid w:val="00D72AF6"/>
    <w:rsid w:val="00D7302D"/>
    <w:rsid w:val="00D730D3"/>
    <w:rsid w:val="00D731B0"/>
    <w:rsid w:val="00D73BDC"/>
    <w:rsid w:val="00D741FC"/>
    <w:rsid w:val="00D7459C"/>
    <w:rsid w:val="00D746AA"/>
    <w:rsid w:val="00D747EE"/>
    <w:rsid w:val="00D747F2"/>
    <w:rsid w:val="00D74A56"/>
    <w:rsid w:val="00D74B45"/>
    <w:rsid w:val="00D75177"/>
    <w:rsid w:val="00D75A38"/>
    <w:rsid w:val="00D75D31"/>
    <w:rsid w:val="00D761FF"/>
    <w:rsid w:val="00D76316"/>
    <w:rsid w:val="00D763A0"/>
    <w:rsid w:val="00D76591"/>
    <w:rsid w:val="00D7659A"/>
    <w:rsid w:val="00D76618"/>
    <w:rsid w:val="00D7669C"/>
    <w:rsid w:val="00D766B6"/>
    <w:rsid w:val="00D76704"/>
    <w:rsid w:val="00D76709"/>
    <w:rsid w:val="00D76916"/>
    <w:rsid w:val="00D76A81"/>
    <w:rsid w:val="00D76CA4"/>
    <w:rsid w:val="00D76D5C"/>
    <w:rsid w:val="00D76FF1"/>
    <w:rsid w:val="00D77155"/>
    <w:rsid w:val="00D779FE"/>
    <w:rsid w:val="00D77A26"/>
    <w:rsid w:val="00D77C23"/>
    <w:rsid w:val="00D77CF4"/>
    <w:rsid w:val="00D77D19"/>
    <w:rsid w:val="00D80052"/>
    <w:rsid w:val="00D80075"/>
    <w:rsid w:val="00D80095"/>
    <w:rsid w:val="00D8051A"/>
    <w:rsid w:val="00D808A8"/>
    <w:rsid w:val="00D808AB"/>
    <w:rsid w:val="00D80C03"/>
    <w:rsid w:val="00D80C48"/>
    <w:rsid w:val="00D80F9E"/>
    <w:rsid w:val="00D8107D"/>
    <w:rsid w:val="00D81144"/>
    <w:rsid w:val="00D8114C"/>
    <w:rsid w:val="00D81551"/>
    <w:rsid w:val="00D81843"/>
    <w:rsid w:val="00D81B19"/>
    <w:rsid w:val="00D81D58"/>
    <w:rsid w:val="00D81DA0"/>
    <w:rsid w:val="00D81EFF"/>
    <w:rsid w:val="00D8203A"/>
    <w:rsid w:val="00D8214B"/>
    <w:rsid w:val="00D8229E"/>
    <w:rsid w:val="00D82560"/>
    <w:rsid w:val="00D82664"/>
    <w:rsid w:val="00D82670"/>
    <w:rsid w:val="00D82777"/>
    <w:rsid w:val="00D8278D"/>
    <w:rsid w:val="00D829AA"/>
    <w:rsid w:val="00D82C22"/>
    <w:rsid w:val="00D82C77"/>
    <w:rsid w:val="00D82CF9"/>
    <w:rsid w:val="00D82D4D"/>
    <w:rsid w:val="00D82D6B"/>
    <w:rsid w:val="00D82FC2"/>
    <w:rsid w:val="00D83170"/>
    <w:rsid w:val="00D836EA"/>
    <w:rsid w:val="00D8378F"/>
    <w:rsid w:val="00D83E6A"/>
    <w:rsid w:val="00D84067"/>
    <w:rsid w:val="00D8469D"/>
    <w:rsid w:val="00D84933"/>
    <w:rsid w:val="00D84B12"/>
    <w:rsid w:val="00D84D36"/>
    <w:rsid w:val="00D84E42"/>
    <w:rsid w:val="00D84F5A"/>
    <w:rsid w:val="00D851C8"/>
    <w:rsid w:val="00D85448"/>
    <w:rsid w:val="00D85471"/>
    <w:rsid w:val="00D8547D"/>
    <w:rsid w:val="00D854CE"/>
    <w:rsid w:val="00D854DB"/>
    <w:rsid w:val="00D85523"/>
    <w:rsid w:val="00D857A5"/>
    <w:rsid w:val="00D858B4"/>
    <w:rsid w:val="00D85F54"/>
    <w:rsid w:val="00D85FDE"/>
    <w:rsid w:val="00D86732"/>
    <w:rsid w:val="00D86B9A"/>
    <w:rsid w:val="00D86D2E"/>
    <w:rsid w:val="00D8721D"/>
    <w:rsid w:val="00D87693"/>
    <w:rsid w:val="00D876E4"/>
    <w:rsid w:val="00D87898"/>
    <w:rsid w:val="00D879EE"/>
    <w:rsid w:val="00D87AAF"/>
    <w:rsid w:val="00D87ED4"/>
    <w:rsid w:val="00D900A5"/>
    <w:rsid w:val="00D90776"/>
    <w:rsid w:val="00D9083A"/>
    <w:rsid w:val="00D90910"/>
    <w:rsid w:val="00D9099D"/>
    <w:rsid w:val="00D90D7B"/>
    <w:rsid w:val="00D90EA4"/>
    <w:rsid w:val="00D91243"/>
    <w:rsid w:val="00D917FC"/>
    <w:rsid w:val="00D919E0"/>
    <w:rsid w:val="00D91AD8"/>
    <w:rsid w:val="00D91B84"/>
    <w:rsid w:val="00D91D46"/>
    <w:rsid w:val="00D91EDB"/>
    <w:rsid w:val="00D91EDD"/>
    <w:rsid w:val="00D91F03"/>
    <w:rsid w:val="00D92126"/>
    <w:rsid w:val="00D92414"/>
    <w:rsid w:val="00D925CE"/>
    <w:rsid w:val="00D9264F"/>
    <w:rsid w:val="00D92721"/>
    <w:rsid w:val="00D92801"/>
    <w:rsid w:val="00D92977"/>
    <w:rsid w:val="00D92F03"/>
    <w:rsid w:val="00D9320F"/>
    <w:rsid w:val="00D93223"/>
    <w:rsid w:val="00D932B4"/>
    <w:rsid w:val="00D9347A"/>
    <w:rsid w:val="00D936EB"/>
    <w:rsid w:val="00D93A2B"/>
    <w:rsid w:val="00D93C93"/>
    <w:rsid w:val="00D93DCA"/>
    <w:rsid w:val="00D93EB8"/>
    <w:rsid w:val="00D94032"/>
    <w:rsid w:val="00D94396"/>
    <w:rsid w:val="00D94458"/>
    <w:rsid w:val="00D9461F"/>
    <w:rsid w:val="00D9479E"/>
    <w:rsid w:val="00D9488D"/>
    <w:rsid w:val="00D94947"/>
    <w:rsid w:val="00D94956"/>
    <w:rsid w:val="00D94968"/>
    <w:rsid w:val="00D95175"/>
    <w:rsid w:val="00D95313"/>
    <w:rsid w:val="00D95696"/>
    <w:rsid w:val="00D95717"/>
    <w:rsid w:val="00D957BD"/>
    <w:rsid w:val="00D95F99"/>
    <w:rsid w:val="00D96010"/>
    <w:rsid w:val="00D96081"/>
    <w:rsid w:val="00D96085"/>
    <w:rsid w:val="00D9638B"/>
    <w:rsid w:val="00D969B1"/>
    <w:rsid w:val="00D96A65"/>
    <w:rsid w:val="00D96B9B"/>
    <w:rsid w:val="00D96CA1"/>
    <w:rsid w:val="00D96DDE"/>
    <w:rsid w:val="00D96DF5"/>
    <w:rsid w:val="00D96EDB"/>
    <w:rsid w:val="00D97097"/>
    <w:rsid w:val="00D970FE"/>
    <w:rsid w:val="00D9726A"/>
    <w:rsid w:val="00D973AC"/>
    <w:rsid w:val="00D9746C"/>
    <w:rsid w:val="00D9762C"/>
    <w:rsid w:val="00D97635"/>
    <w:rsid w:val="00D9779D"/>
    <w:rsid w:val="00D977B9"/>
    <w:rsid w:val="00D97D8A"/>
    <w:rsid w:val="00DA03FA"/>
    <w:rsid w:val="00DA04F9"/>
    <w:rsid w:val="00DA0833"/>
    <w:rsid w:val="00DA08C6"/>
    <w:rsid w:val="00DA0B3B"/>
    <w:rsid w:val="00DA0FC6"/>
    <w:rsid w:val="00DA1097"/>
    <w:rsid w:val="00DA1379"/>
    <w:rsid w:val="00DA1422"/>
    <w:rsid w:val="00DA1CEA"/>
    <w:rsid w:val="00DA1F5C"/>
    <w:rsid w:val="00DA246F"/>
    <w:rsid w:val="00DA25AF"/>
    <w:rsid w:val="00DA25FD"/>
    <w:rsid w:val="00DA2C6B"/>
    <w:rsid w:val="00DA2F4A"/>
    <w:rsid w:val="00DA2FCB"/>
    <w:rsid w:val="00DA30CC"/>
    <w:rsid w:val="00DA343D"/>
    <w:rsid w:val="00DA386B"/>
    <w:rsid w:val="00DA38D1"/>
    <w:rsid w:val="00DA3EDD"/>
    <w:rsid w:val="00DA3FE7"/>
    <w:rsid w:val="00DA41FF"/>
    <w:rsid w:val="00DA4928"/>
    <w:rsid w:val="00DA4964"/>
    <w:rsid w:val="00DA49F4"/>
    <w:rsid w:val="00DA4B87"/>
    <w:rsid w:val="00DA4C0C"/>
    <w:rsid w:val="00DA4C4A"/>
    <w:rsid w:val="00DA4C5F"/>
    <w:rsid w:val="00DA4F06"/>
    <w:rsid w:val="00DA4FCD"/>
    <w:rsid w:val="00DA53C9"/>
    <w:rsid w:val="00DA5663"/>
    <w:rsid w:val="00DA5680"/>
    <w:rsid w:val="00DA5AAE"/>
    <w:rsid w:val="00DA5AE0"/>
    <w:rsid w:val="00DA5BE1"/>
    <w:rsid w:val="00DA5D39"/>
    <w:rsid w:val="00DA5EA2"/>
    <w:rsid w:val="00DA5ECE"/>
    <w:rsid w:val="00DA6037"/>
    <w:rsid w:val="00DA640C"/>
    <w:rsid w:val="00DA64F3"/>
    <w:rsid w:val="00DA6695"/>
    <w:rsid w:val="00DA66F8"/>
    <w:rsid w:val="00DA692D"/>
    <w:rsid w:val="00DA6DF6"/>
    <w:rsid w:val="00DA6F8B"/>
    <w:rsid w:val="00DA72E5"/>
    <w:rsid w:val="00DA7387"/>
    <w:rsid w:val="00DA750C"/>
    <w:rsid w:val="00DA7AE3"/>
    <w:rsid w:val="00DA7CC9"/>
    <w:rsid w:val="00DA7D58"/>
    <w:rsid w:val="00DA7E89"/>
    <w:rsid w:val="00DA7FC2"/>
    <w:rsid w:val="00DB04AE"/>
    <w:rsid w:val="00DB06E4"/>
    <w:rsid w:val="00DB081D"/>
    <w:rsid w:val="00DB0898"/>
    <w:rsid w:val="00DB0AB4"/>
    <w:rsid w:val="00DB0C27"/>
    <w:rsid w:val="00DB0D3C"/>
    <w:rsid w:val="00DB1195"/>
    <w:rsid w:val="00DB1308"/>
    <w:rsid w:val="00DB1388"/>
    <w:rsid w:val="00DB175B"/>
    <w:rsid w:val="00DB1891"/>
    <w:rsid w:val="00DB1E86"/>
    <w:rsid w:val="00DB205D"/>
    <w:rsid w:val="00DB2430"/>
    <w:rsid w:val="00DB25B8"/>
    <w:rsid w:val="00DB2CE5"/>
    <w:rsid w:val="00DB2D3C"/>
    <w:rsid w:val="00DB316B"/>
    <w:rsid w:val="00DB33A4"/>
    <w:rsid w:val="00DB34D0"/>
    <w:rsid w:val="00DB35B2"/>
    <w:rsid w:val="00DB3611"/>
    <w:rsid w:val="00DB37F4"/>
    <w:rsid w:val="00DB3A9F"/>
    <w:rsid w:val="00DB3AEC"/>
    <w:rsid w:val="00DB3B7A"/>
    <w:rsid w:val="00DB3C43"/>
    <w:rsid w:val="00DB3D9B"/>
    <w:rsid w:val="00DB3F24"/>
    <w:rsid w:val="00DB4053"/>
    <w:rsid w:val="00DB4444"/>
    <w:rsid w:val="00DB4586"/>
    <w:rsid w:val="00DB470B"/>
    <w:rsid w:val="00DB4815"/>
    <w:rsid w:val="00DB4B5C"/>
    <w:rsid w:val="00DB4BAC"/>
    <w:rsid w:val="00DB5118"/>
    <w:rsid w:val="00DB56E0"/>
    <w:rsid w:val="00DB5716"/>
    <w:rsid w:val="00DB5B1B"/>
    <w:rsid w:val="00DB5CBF"/>
    <w:rsid w:val="00DB5CDE"/>
    <w:rsid w:val="00DB5F6B"/>
    <w:rsid w:val="00DB6012"/>
    <w:rsid w:val="00DB60ED"/>
    <w:rsid w:val="00DB6101"/>
    <w:rsid w:val="00DB6115"/>
    <w:rsid w:val="00DB64EA"/>
    <w:rsid w:val="00DB6AAB"/>
    <w:rsid w:val="00DB6AC5"/>
    <w:rsid w:val="00DB6CA8"/>
    <w:rsid w:val="00DB6CEA"/>
    <w:rsid w:val="00DB6D1A"/>
    <w:rsid w:val="00DB6D8B"/>
    <w:rsid w:val="00DB73B5"/>
    <w:rsid w:val="00DB7442"/>
    <w:rsid w:val="00DB7615"/>
    <w:rsid w:val="00DB7654"/>
    <w:rsid w:val="00DB78CA"/>
    <w:rsid w:val="00DC05D3"/>
    <w:rsid w:val="00DC0943"/>
    <w:rsid w:val="00DC0AD1"/>
    <w:rsid w:val="00DC0F41"/>
    <w:rsid w:val="00DC1009"/>
    <w:rsid w:val="00DC1134"/>
    <w:rsid w:val="00DC12A9"/>
    <w:rsid w:val="00DC1403"/>
    <w:rsid w:val="00DC149B"/>
    <w:rsid w:val="00DC156A"/>
    <w:rsid w:val="00DC1610"/>
    <w:rsid w:val="00DC1741"/>
    <w:rsid w:val="00DC1AF5"/>
    <w:rsid w:val="00DC1B1D"/>
    <w:rsid w:val="00DC1C8E"/>
    <w:rsid w:val="00DC1F2F"/>
    <w:rsid w:val="00DC1F76"/>
    <w:rsid w:val="00DC21E8"/>
    <w:rsid w:val="00DC22FF"/>
    <w:rsid w:val="00DC2370"/>
    <w:rsid w:val="00DC254B"/>
    <w:rsid w:val="00DC2916"/>
    <w:rsid w:val="00DC29BE"/>
    <w:rsid w:val="00DC2A57"/>
    <w:rsid w:val="00DC2E4F"/>
    <w:rsid w:val="00DC31EB"/>
    <w:rsid w:val="00DC3352"/>
    <w:rsid w:val="00DC37CE"/>
    <w:rsid w:val="00DC3C23"/>
    <w:rsid w:val="00DC3E94"/>
    <w:rsid w:val="00DC4141"/>
    <w:rsid w:val="00DC4366"/>
    <w:rsid w:val="00DC4572"/>
    <w:rsid w:val="00DC4D19"/>
    <w:rsid w:val="00DC4D3D"/>
    <w:rsid w:val="00DC4D43"/>
    <w:rsid w:val="00DC4FA8"/>
    <w:rsid w:val="00DC50D9"/>
    <w:rsid w:val="00DC5149"/>
    <w:rsid w:val="00DC5700"/>
    <w:rsid w:val="00DC5987"/>
    <w:rsid w:val="00DC63F2"/>
    <w:rsid w:val="00DC65C5"/>
    <w:rsid w:val="00DC6C75"/>
    <w:rsid w:val="00DC6DAD"/>
    <w:rsid w:val="00DC733C"/>
    <w:rsid w:val="00DC774C"/>
    <w:rsid w:val="00DC79FC"/>
    <w:rsid w:val="00DC7BB0"/>
    <w:rsid w:val="00DD03C4"/>
    <w:rsid w:val="00DD08BE"/>
    <w:rsid w:val="00DD0E5E"/>
    <w:rsid w:val="00DD11E0"/>
    <w:rsid w:val="00DD124A"/>
    <w:rsid w:val="00DD1722"/>
    <w:rsid w:val="00DD1959"/>
    <w:rsid w:val="00DD19FC"/>
    <w:rsid w:val="00DD1C4B"/>
    <w:rsid w:val="00DD22EC"/>
    <w:rsid w:val="00DD27AD"/>
    <w:rsid w:val="00DD27B1"/>
    <w:rsid w:val="00DD2A1B"/>
    <w:rsid w:val="00DD2B96"/>
    <w:rsid w:val="00DD2C6D"/>
    <w:rsid w:val="00DD2FED"/>
    <w:rsid w:val="00DD30B1"/>
    <w:rsid w:val="00DD3707"/>
    <w:rsid w:val="00DD3835"/>
    <w:rsid w:val="00DD3C5C"/>
    <w:rsid w:val="00DD4562"/>
    <w:rsid w:val="00DD4568"/>
    <w:rsid w:val="00DD46AB"/>
    <w:rsid w:val="00DD4E9A"/>
    <w:rsid w:val="00DD5296"/>
    <w:rsid w:val="00DD5699"/>
    <w:rsid w:val="00DD5761"/>
    <w:rsid w:val="00DD5865"/>
    <w:rsid w:val="00DD5DBB"/>
    <w:rsid w:val="00DD5EBB"/>
    <w:rsid w:val="00DD60FF"/>
    <w:rsid w:val="00DD6572"/>
    <w:rsid w:val="00DD690C"/>
    <w:rsid w:val="00DD692F"/>
    <w:rsid w:val="00DD6A9A"/>
    <w:rsid w:val="00DD6D1A"/>
    <w:rsid w:val="00DD738C"/>
    <w:rsid w:val="00DD74F1"/>
    <w:rsid w:val="00DD7A01"/>
    <w:rsid w:val="00DD7BAB"/>
    <w:rsid w:val="00DE011A"/>
    <w:rsid w:val="00DE0210"/>
    <w:rsid w:val="00DE026D"/>
    <w:rsid w:val="00DE0A53"/>
    <w:rsid w:val="00DE0ABF"/>
    <w:rsid w:val="00DE0CBD"/>
    <w:rsid w:val="00DE1095"/>
    <w:rsid w:val="00DE12DB"/>
    <w:rsid w:val="00DE1338"/>
    <w:rsid w:val="00DE163B"/>
    <w:rsid w:val="00DE18D1"/>
    <w:rsid w:val="00DE1AD1"/>
    <w:rsid w:val="00DE1B65"/>
    <w:rsid w:val="00DE1CAC"/>
    <w:rsid w:val="00DE1D41"/>
    <w:rsid w:val="00DE22E3"/>
    <w:rsid w:val="00DE257F"/>
    <w:rsid w:val="00DE27B1"/>
    <w:rsid w:val="00DE2A14"/>
    <w:rsid w:val="00DE2B81"/>
    <w:rsid w:val="00DE2E5A"/>
    <w:rsid w:val="00DE3607"/>
    <w:rsid w:val="00DE37F4"/>
    <w:rsid w:val="00DE3A49"/>
    <w:rsid w:val="00DE3A58"/>
    <w:rsid w:val="00DE3BC6"/>
    <w:rsid w:val="00DE3D0A"/>
    <w:rsid w:val="00DE3FEB"/>
    <w:rsid w:val="00DE4056"/>
    <w:rsid w:val="00DE4457"/>
    <w:rsid w:val="00DE445D"/>
    <w:rsid w:val="00DE48DC"/>
    <w:rsid w:val="00DE48DD"/>
    <w:rsid w:val="00DE4BF1"/>
    <w:rsid w:val="00DE4EAE"/>
    <w:rsid w:val="00DE550E"/>
    <w:rsid w:val="00DE5AC5"/>
    <w:rsid w:val="00DE5E87"/>
    <w:rsid w:val="00DE5E9F"/>
    <w:rsid w:val="00DE5EDC"/>
    <w:rsid w:val="00DE5F89"/>
    <w:rsid w:val="00DE5FC8"/>
    <w:rsid w:val="00DE60D3"/>
    <w:rsid w:val="00DE612B"/>
    <w:rsid w:val="00DE62DB"/>
    <w:rsid w:val="00DE637A"/>
    <w:rsid w:val="00DE6648"/>
    <w:rsid w:val="00DE66A7"/>
    <w:rsid w:val="00DE6A86"/>
    <w:rsid w:val="00DE6A95"/>
    <w:rsid w:val="00DE7131"/>
    <w:rsid w:val="00DE724C"/>
    <w:rsid w:val="00DE7402"/>
    <w:rsid w:val="00DE74B0"/>
    <w:rsid w:val="00DE766F"/>
    <w:rsid w:val="00DE7AC3"/>
    <w:rsid w:val="00DE7CF2"/>
    <w:rsid w:val="00DF0116"/>
    <w:rsid w:val="00DF0282"/>
    <w:rsid w:val="00DF0FF0"/>
    <w:rsid w:val="00DF1055"/>
    <w:rsid w:val="00DF161E"/>
    <w:rsid w:val="00DF1AC9"/>
    <w:rsid w:val="00DF1BF7"/>
    <w:rsid w:val="00DF1CB5"/>
    <w:rsid w:val="00DF1F3A"/>
    <w:rsid w:val="00DF1F96"/>
    <w:rsid w:val="00DF20BB"/>
    <w:rsid w:val="00DF214C"/>
    <w:rsid w:val="00DF2352"/>
    <w:rsid w:val="00DF251A"/>
    <w:rsid w:val="00DF2637"/>
    <w:rsid w:val="00DF26B6"/>
    <w:rsid w:val="00DF2B05"/>
    <w:rsid w:val="00DF2BE3"/>
    <w:rsid w:val="00DF342F"/>
    <w:rsid w:val="00DF372A"/>
    <w:rsid w:val="00DF396F"/>
    <w:rsid w:val="00DF39A4"/>
    <w:rsid w:val="00DF39A5"/>
    <w:rsid w:val="00DF3D3D"/>
    <w:rsid w:val="00DF3E4C"/>
    <w:rsid w:val="00DF420E"/>
    <w:rsid w:val="00DF46D4"/>
    <w:rsid w:val="00DF496D"/>
    <w:rsid w:val="00DF4AB8"/>
    <w:rsid w:val="00DF4B95"/>
    <w:rsid w:val="00DF4EF5"/>
    <w:rsid w:val="00DF4FBA"/>
    <w:rsid w:val="00DF53C1"/>
    <w:rsid w:val="00DF53DD"/>
    <w:rsid w:val="00DF5637"/>
    <w:rsid w:val="00DF5B0E"/>
    <w:rsid w:val="00DF5C88"/>
    <w:rsid w:val="00DF6059"/>
    <w:rsid w:val="00DF667C"/>
    <w:rsid w:val="00DF680B"/>
    <w:rsid w:val="00DF69F3"/>
    <w:rsid w:val="00DF6E8A"/>
    <w:rsid w:val="00DF72D6"/>
    <w:rsid w:val="00DF7380"/>
    <w:rsid w:val="00DF7588"/>
    <w:rsid w:val="00DF7661"/>
    <w:rsid w:val="00DF767E"/>
    <w:rsid w:val="00DF7879"/>
    <w:rsid w:val="00DF7A5B"/>
    <w:rsid w:val="00DF7A8D"/>
    <w:rsid w:val="00DF7BE3"/>
    <w:rsid w:val="00DF7D18"/>
    <w:rsid w:val="00E00203"/>
    <w:rsid w:val="00E004A0"/>
    <w:rsid w:val="00E00748"/>
    <w:rsid w:val="00E00A32"/>
    <w:rsid w:val="00E00A5E"/>
    <w:rsid w:val="00E00C36"/>
    <w:rsid w:val="00E00D19"/>
    <w:rsid w:val="00E00F99"/>
    <w:rsid w:val="00E011E7"/>
    <w:rsid w:val="00E01260"/>
    <w:rsid w:val="00E014BC"/>
    <w:rsid w:val="00E0170E"/>
    <w:rsid w:val="00E0172C"/>
    <w:rsid w:val="00E01758"/>
    <w:rsid w:val="00E01842"/>
    <w:rsid w:val="00E018D1"/>
    <w:rsid w:val="00E01A9E"/>
    <w:rsid w:val="00E01BA0"/>
    <w:rsid w:val="00E01C88"/>
    <w:rsid w:val="00E01C8A"/>
    <w:rsid w:val="00E01CBA"/>
    <w:rsid w:val="00E02235"/>
    <w:rsid w:val="00E027DC"/>
    <w:rsid w:val="00E027F7"/>
    <w:rsid w:val="00E02979"/>
    <w:rsid w:val="00E02A35"/>
    <w:rsid w:val="00E02A44"/>
    <w:rsid w:val="00E02E35"/>
    <w:rsid w:val="00E030AD"/>
    <w:rsid w:val="00E03341"/>
    <w:rsid w:val="00E0364C"/>
    <w:rsid w:val="00E0365F"/>
    <w:rsid w:val="00E03859"/>
    <w:rsid w:val="00E038FF"/>
    <w:rsid w:val="00E03AEB"/>
    <w:rsid w:val="00E03CFD"/>
    <w:rsid w:val="00E03D8B"/>
    <w:rsid w:val="00E04842"/>
    <w:rsid w:val="00E04BDF"/>
    <w:rsid w:val="00E04E39"/>
    <w:rsid w:val="00E04F9B"/>
    <w:rsid w:val="00E050BA"/>
    <w:rsid w:val="00E050FF"/>
    <w:rsid w:val="00E05201"/>
    <w:rsid w:val="00E054C5"/>
    <w:rsid w:val="00E0576C"/>
    <w:rsid w:val="00E05A44"/>
    <w:rsid w:val="00E05A8F"/>
    <w:rsid w:val="00E05AB2"/>
    <w:rsid w:val="00E05B28"/>
    <w:rsid w:val="00E05EE1"/>
    <w:rsid w:val="00E05F6B"/>
    <w:rsid w:val="00E061B7"/>
    <w:rsid w:val="00E064FE"/>
    <w:rsid w:val="00E06828"/>
    <w:rsid w:val="00E069DE"/>
    <w:rsid w:val="00E06C52"/>
    <w:rsid w:val="00E06EDF"/>
    <w:rsid w:val="00E07225"/>
    <w:rsid w:val="00E07982"/>
    <w:rsid w:val="00E07D6E"/>
    <w:rsid w:val="00E07E9F"/>
    <w:rsid w:val="00E101C9"/>
    <w:rsid w:val="00E102B4"/>
    <w:rsid w:val="00E106A7"/>
    <w:rsid w:val="00E106ED"/>
    <w:rsid w:val="00E108F5"/>
    <w:rsid w:val="00E109A0"/>
    <w:rsid w:val="00E10D6F"/>
    <w:rsid w:val="00E112EE"/>
    <w:rsid w:val="00E1176D"/>
    <w:rsid w:val="00E1197E"/>
    <w:rsid w:val="00E119B3"/>
    <w:rsid w:val="00E11E1D"/>
    <w:rsid w:val="00E11EA9"/>
    <w:rsid w:val="00E121B2"/>
    <w:rsid w:val="00E124B4"/>
    <w:rsid w:val="00E12ABC"/>
    <w:rsid w:val="00E12DDD"/>
    <w:rsid w:val="00E12F62"/>
    <w:rsid w:val="00E13053"/>
    <w:rsid w:val="00E1310E"/>
    <w:rsid w:val="00E131FC"/>
    <w:rsid w:val="00E132CB"/>
    <w:rsid w:val="00E13315"/>
    <w:rsid w:val="00E137A8"/>
    <w:rsid w:val="00E13AA8"/>
    <w:rsid w:val="00E13C45"/>
    <w:rsid w:val="00E1401B"/>
    <w:rsid w:val="00E14145"/>
    <w:rsid w:val="00E1448D"/>
    <w:rsid w:val="00E1449C"/>
    <w:rsid w:val="00E14578"/>
    <w:rsid w:val="00E149A3"/>
    <w:rsid w:val="00E14D1B"/>
    <w:rsid w:val="00E14D8E"/>
    <w:rsid w:val="00E14E80"/>
    <w:rsid w:val="00E1504C"/>
    <w:rsid w:val="00E1526B"/>
    <w:rsid w:val="00E153A4"/>
    <w:rsid w:val="00E154F6"/>
    <w:rsid w:val="00E15781"/>
    <w:rsid w:val="00E15B5F"/>
    <w:rsid w:val="00E16514"/>
    <w:rsid w:val="00E16650"/>
    <w:rsid w:val="00E16672"/>
    <w:rsid w:val="00E168A9"/>
    <w:rsid w:val="00E16BF1"/>
    <w:rsid w:val="00E16D56"/>
    <w:rsid w:val="00E17101"/>
    <w:rsid w:val="00E1711C"/>
    <w:rsid w:val="00E17128"/>
    <w:rsid w:val="00E172D7"/>
    <w:rsid w:val="00E17829"/>
    <w:rsid w:val="00E17AAF"/>
    <w:rsid w:val="00E17F9B"/>
    <w:rsid w:val="00E203CC"/>
    <w:rsid w:val="00E20B8F"/>
    <w:rsid w:val="00E20D0E"/>
    <w:rsid w:val="00E20D92"/>
    <w:rsid w:val="00E20EEF"/>
    <w:rsid w:val="00E21138"/>
    <w:rsid w:val="00E2127A"/>
    <w:rsid w:val="00E2139E"/>
    <w:rsid w:val="00E215B5"/>
    <w:rsid w:val="00E217C5"/>
    <w:rsid w:val="00E217EF"/>
    <w:rsid w:val="00E21923"/>
    <w:rsid w:val="00E21BCD"/>
    <w:rsid w:val="00E22161"/>
    <w:rsid w:val="00E22537"/>
    <w:rsid w:val="00E227CC"/>
    <w:rsid w:val="00E22857"/>
    <w:rsid w:val="00E2290A"/>
    <w:rsid w:val="00E229FA"/>
    <w:rsid w:val="00E22B59"/>
    <w:rsid w:val="00E23323"/>
    <w:rsid w:val="00E234AD"/>
    <w:rsid w:val="00E2362A"/>
    <w:rsid w:val="00E23762"/>
    <w:rsid w:val="00E2380E"/>
    <w:rsid w:val="00E238B0"/>
    <w:rsid w:val="00E23B3C"/>
    <w:rsid w:val="00E23B74"/>
    <w:rsid w:val="00E23B94"/>
    <w:rsid w:val="00E23CCE"/>
    <w:rsid w:val="00E23D81"/>
    <w:rsid w:val="00E23DDB"/>
    <w:rsid w:val="00E2420F"/>
    <w:rsid w:val="00E24211"/>
    <w:rsid w:val="00E242F6"/>
    <w:rsid w:val="00E243B6"/>
    <w:rsid w:val="00E24487"/>
    <w:rsid w:val="00E2452C"/>
    <w:rsid w:val="00E24912"/>
    <w:rsid w:val="00E24B4B"/>
    <w:rsid w:val="00E24E4E"/>
    <w:rsid w:val="00E24FEF"/>
    <w:rsid w:val="00E25070"/>
    <w:rsid w:val="00E25349"/>
    <w:rsid w:val="00E253B3"/>
    <w:rsid w:val="00E25658"/>
    <w:rsid w:val="00E25689"/>
    <w:rsid w:val="00E25795"/>
    <w:rsid w:val="00E257E4"/>
    <w:rsid w:val="00E25801"/>
    <w:rsid w:val="00E259FB"/>
    <w:rsid w:val="00E25A49"/>
    <w:rsid w:val="00E25B3E"/>
    <w:rsid w:val="00E25BE8"/>
    <w:rsid w:val="00E25C52"/>
    <w:rsid w:val="00E25C94"/>
    <w:rsid w:val="00E260C5"/>
    <w:rsid w:val="00E26217"/>
    <w:rsid w:val="00E26646"/>
    <w:rsid w:val="00E268E0"/>
    <w:rsid w:val="00E268F8"/>
    <w:rsid w:val="00E2694A"/>
    <w:rsid w:val="00E269E6"/>
    <w:rsid w:val="00E26EF4"/>
    <w:rsid w:val="00E273D0"/>
    <w:rsid w:val="00E274F2"/>
    <w:rsid w:val="00E275C1"/>
    <w:rsid w:val="00E27916"/>
    <w:rsid w:val="00E279E4"/>
    <w:rsid w:val="00E27A23"/>
    <w:rsid w:val="00E27A28"/>
    <w:rsid w:val="00E30324"/>
    <w:rsid w:val="00E308FE"/>
    <w:rsid w:val="00E30BEE"/>
    <w:rsid w:val="00E30CE6"/>
    <w:rsid w:val="00E30D34"/>
    <w:rsid w:val="00E3100E"/>
    <w:rsid w:val="00E31101"/>
    <w:rsid w:val="00E31134"/>
    <w:rsid w:val="00E31184"/>
    <w:rsid w:val="00E312F5"/>
    <w:rsid w:val="00E317C5"/>
    <w:rsid w:val="00E318EA"/>
    <w:rsid w:val="00E31915"/>
    <w:rsid w:val="00E319A1"/>
    <w:rsid w:val="00E31C84"/>
    <w:rsid w:val="00E31D4A"/>
    <w:rsid w:val="00E320CA"/>
    <w:rsid w:val="00E32134"/>
    <w:rsid w:val="00E322D9"/>
    <w:rsid w:val="00E322EC"/>
    <w:rsid w:val="00E32770"/>
    <w:rsid w:val="00E32847"/>
    <w:rsid w:val="00E32863"/>
    <w:rsid w:val="00E32F08"/>
    <w:rsid w:val="00E33516"/>
    <w:rsid w:val="00E33712"/>
    <w:rsid w:val="00E3382E"/>
    <w:rsid w:val="00E33847"/>
    <w:rsid w:val="00E33969"/>
    <w:rsid w:val="00E33B7D"/>
    <w:rsid w:val="00E33B99"/>
    <w:rsid w:val="00E33BDB"/>
    <w:rsid w:val="00E33C78"/>
    <w:rsid w:val="00E33DBC"/>
    <w:rsid w:val="00E33EB5"/>
    <w:rsid w:val="00E3401E"/>
    <w:rsid w:val="00E34077"/>
    <w:rsid w:val="00E3438E"/>
    <w:rsid w:val="00E344E3"/>
    <w:rsid w:val="00E34723"/>
    <w:rsid w:val="00E34E01"/>
    <w:rsid w:val="00E34F8A"/>
    <w:rsid w:val="00E35079"/>
    <w:rsid w:val="00E352A2"/>
    <w:rsid w:val="00E35A85"/>
    <w:rsid w:val="00E35CC1"/>
    <w:rsid w:val="00E35E2C"/>
    <w:rsid w:val="00E35E5B"/>
    <w:rsid w:val="00E3646F"/>
    <w:rsid w:val="00E3654C"/>
    <w:rsid w:val="00E36999"/>
    <w:rsid w:val="00E36A19"/>
    <w:rsid w:val="00E36AA0"/>
    <w:rsid w:val="00E36C14"/>
    <w:rsid w:val="00E36C93"/>
    <w:rsid w:val="00E36CDF"/>
    <w:rsid w:val="00E36D9E"/>
    <w:rsid w:val="00E36FDC"/>
    <w:rsid w:val="00E37281"/>
    <w:rsid w:val="00E37511"/>
    <w:rsid w:val="00E37A0F"/>
    <w:rsid w:val="00E37A4A"/>
    <w:rsid w:val="00E37BC6"/>
    <w:rsid w:val="00E37BF7"/>
    <w:rsid w:val="00E37EDD"/>
    <w:rsid w:val="00E37F05"/>
    <w:rsid w:val="00E37F2C"/>
    <w:rsid w:val="00E40374"/>
    <w:rsid w:val="00E40714"/>
    <w:rsid w:val="00E407A3"/>
    <w:rsid w:val="00E4092F"/>
    <w:rsid w:val="00E40C8D"/>
    <w:rsid w:val="00E41030"/>
    <w:rsid w:val="00E411F0"/>
    <w:rsid w:val="00E412C6"/>
    <w:rsid w:val="00E412E3"/>
    <w:rsid w:val="00E41477"/>
    <w:rsid w:val="00E4147F"/>
    <w:rsid w:val="00E41639"/>
    <w:rsid w:val="00E41730"/>
    <w:rsid w:val="00E418D9"/>
    <w:rsid w:val="00E418FC"/>
    <w:rsid w:val="00E41CAE"/>
    <w:rsid w:val="00E42D34"/>
    <w:rsid w:val="00E42DC1"/>
    <w:rsid w:val="00E43544"/>
    <w:rsid w:val="00E4381D"/>
    <w:rsid w:val="00E438ED"/>
    <w:rsid w:val="00E43B15"/>
    <w:rsid w:val="00E43CB7"/>
    <w:rsid w:val="00E44390"/>
    <w:rsid w:val="00E443A6"/>
    <w:rsid w:val="00E443BF"/>
    <w:rsid w:val="00E444CF"/>
    <w:rsid w:val="00E4454E"/>
    <w:rsid w:val="00E445B7"/>
    <w:rsid w:val="00E447C2"/>
    <w:rsid w:val="00E448EE"/>
    <w:rsid w:val="00E44A1B"/>
    <w:rsid w:val="00E44A8B"/>
    <w:rsid w:val="00E44AAF"/>
    <w:rsid w:val="00E44ACC"/>
    <w:rsid w:val="00E44C7A"/>
    <w:rsid w:val="00E4516B"/>
    <w:rsid w:val="00E4548C"/>
    <w:rsid w:val="00E4557A"/>
    <w:rsid w:val="00E459F9"/>
    <w:rsid w:val="00E45C5C"/>
    <w:rsid w:val="00E45C5E"/>
    <w:rsid w:val="00E45D50"/>
    <w:rsid w:val="00E46145"/>
    <w:rsid w:val="00E461DA"/>
    <w:rsid w:val="00E461F5"/>
    <w:rsid w:val="00E4663D"/>
    <w:rsid w:val="00E46663"/>
    <w:rsid w:val="00E469D3"/>
    <w:rsid w:val="00E46B1C"/>
    <w:rsid w:val="00E46BCF"/>
    <w:rsid w:val="00E46C93"/>
    <w:rsid w:val="00E46E58"/>
    <w:rsid w:val="00E46F06"/>
    <w:rsid w:val="00E4734D"/>
    <w:rsid w:val="00E473E4"/>
    <w:rsid w:val="00E47439"/>
    <w:rsid w:val="00E4753E"/>
    <w:rsid w:val="00E47590"/>
    <w:rsid w:val="00E47B21"/>
    <w:rsid w:val="00E47B8C"/>
    <w:rsid w:val="00E47DD4"/>
    <w:rsid w:val="00E500A9"/>
    <w:rsid w:val="00E500E0"/>
    <w:rsid w:val="00E50242"/>
    <w:rsid w:val="00E50790"/>
    <w:rsid w:val="00E50821"/>
    <w:rsid w:val="00E50C4A"/>
    <w:rsid w:val="00E50CAF"/>
    <w:rsid w:val="00E50D24"/>
    <w:rsid w:val="00E50DCA"/>
    <w:rsid w:val="00E50F3B"/>
    <w:rsid w:val="00E51096"/>
    <w:rsid w:val="00E51439"/>
    <w:rsid w:val="00E515C3"/>
    <w:rsid w:val="00E516F0"/>
    <w:rsid w:val="00E5199F"/>
    <w:rsid w:val="00E51C2B"/>
    <w:rsid w:val="00E51D7B"/>
    <w:rsid w:val="00E51E36"/>
    <w:rsid w:val="00E5228F"/>
    <w:rsid w:val="00E523A4"/>
    <w:rsid w:val="00E5279D"/>
    <w:rsid w:val="00E52CCA"/>
    <w:rsid w:val="00E52CF5"/>
    <w:rsid w:val="00E5304A"/>
    <w:rsid w:val="00E53073"/>
    <w:rsid w:val="00E53286"/>
    <w:rsid w:val="00E53353"/>
    <w:rsid w:val="00E53358"/>
    <w:rsid w:val="00E535F9"/>
    <w:rsid w:val="00E538CA"/>
    <w:rsid w:val="00E53AC1"/>
    <w:rsid w:val="00E53B31"/>
    <w:rsid w:val="00E53BFB"/>
    <w:rsid w:val="00E53E42"/>
    <w:rsid w:val="00E53EC4"/>
    <w:rsid w:val="00E53FB8"/>
    <w:rsid w:val="00E54142"/>
    <w:rsid w:val="00E541B0"/>
    <w:rsid w:val="00E54201"/>
    <w:rsid w:val="00E54269"/>
    <w:rsid w:val="00E5462A"/>
    <w:rsid w:val="00E5464B"/>
    <w:rsid w:val="00E54902"/>
    <w:rsid w:val="00E54C73"/>
    <w:rsid w:val="00E55232"/>
    <w:rsid w:val="00E553A0"/>
    <w:rsid w:val="00E553BF"/>
    <w:rsid w:val="00E554C9"/>
    <w:rsid w:val="00E5556E"/>
    <w:rsid w:val="00E5567D"/>
    <w:rsid w:val="00E557A7"/>
    <w:rsid w:val="00E55920"/>
    <w:rsid w:val="00E55AB5"/>
    <w:rsid w:val="00E5623D"/>
    <w:rsid w:val="00E563D9"/>
    <w:rsid w:val="00E5652F"/>
    <w:rsid w:val="00E577AD"/>
    <w:rsid w:val="00E57F07"/>
    <w:rsid w:val="00E60027"/>
    <w:rsid w:val="00E60207"/>
    <w:rsid w:val="00E605F0"/>
    <w:rsid w:val="00E607E1"/>
    <w:rsid w:val="00E60B76"/>
    <w:rsid w:val="00E60E13"/>
    <w:rsid w:val="00E60F5E"/>
    <w:rsid w:val="00E6101F"/>
    <w:rsid w:val="00E61250"/>
    <w:rsid w:val="00E61275"/>
    <w:rsid w:val="00E616BA"/>
    <w:rsid w:val="00E619E6"/>
    <w:rsid w:val="00E61CD0"/>
    <w:rsid w:val="00E61EE8"/>
    <w:rsid w:val="00E62228"/>
    <w:rsid w:val="00E62DA6"/>
    <w:rsid w:val="00E63025"/>
    <w:rsid w:val="00E6318D"/>
    <w:rsid w:val="00E631B7"/>
    <w:rsid w:val="00E6367E"/>
    <w:rsid w:val="00E636AE"/>
    <w:rsid w:val="00E639E8"/>
    <w:rsid w:val="00E63B4B"/>
    <w:rsid w:val="00E63D7E"/>
    <w:rsid w:val="00E63E26"/>
    <w:rsid w:val="00E63F00"/>
    <w:rsid w:val="00E641DB"/>
    <w:rsid w:val="00E649F8"/>
    <w:rsid w:val="00E64B91"/>
    <w:rsid w:val="00E64E9A"/>
    <w:rsid w:val="00E65036"/>
    <w:rsid w:val="00E655D9"/>
    <w:rsid w:val="00E6567C"/>
    <w:rsid w:val="00E656BF"/>
    <w:rsid w:val="00E65726"/>
    <w:rsid w:val="00E65728"/>
    <w:rsid w:val="00E65788"/>
    <w:rsid w:val="00E65852"/>
    <w:rsid w:val="00E65895"/>
    <w:rsid w:val="00E65AEF"/>
    <w:rsid w:val="00E65DD9"/>
    <w:rsid w:val="00E65F09"/>
    <w:rsid w:val="00E66389"/>
    <w:rsid w:val="00E66617"/>
    <w:rsid w:val="00E6681D"/>
    <w:rsid w:val="00E66E04"/>
    <w:rsid w:val="00E67012"/>
    <w:rsid w:val="00E67252"/>
    <w:rsid w:val="00E67537"/>
    <w:rsid w:val="00E67784"/>
    <w:rsid w:val="00E677C7"/>
    <w:rsid w:val="00E67BDA"/>
    <w:rsid w:val="00E67CD4"/>
    <w:rsid w:val="00E67FBC"/>
    <w:rsid w:val="00E7057A"/>
    <w:rsid w:val="00E70AD4"/>
    <w:rsid w:val="00E70C4C"/>
    <w:rsid w:val="00E70D2B"/>
    <w:rsid w:val="00E70D8F"/>
    <w:rsid w:val="00E70F94"/>
    <w:rsid w:val="00E711F2"/>
    <w:rsid w:val="00E71711"/>
    <w:rsid w:val="00E71840"/>
    <w:rsid w:val="00E71D5B"/>
    <w:rsid w:val="00E71F2E"/>
    <w:rsid w:val="00E71FC7"/>
    <w:rsid w:val="00E720A4"/>
    <w:rsid w:val="00E72129"/>
    <w:rsid w:val="00E722A6"/>
    <w:rsid w:val="00E7274D"/>
    <w:rsid w:val="00E728DB"/>
    <w:rsid w:val="00E72AFC"/>
    <w:rsid w:val="00E73300"/>
    <w:rsid w:val="00E73CF8"/>
    <w:rsid w:val="00E73FE8"/>
    <w:rsid w:val="00E74367"/>
    <w:rsid w:val="00E744B6"/>
    <w:rsid w:val="00E744D6"/>
    <w:rsid w:val="00E744DD"/>
    <w:rsid w:val="00E74DD4"/>
    <w:rsid w:val="00E74F73"/>
    <w:rsid w:val="00E753DD"/>
    <w:rsid w:val="00E754EC"/>
    <w:rsid w:val="00E75535"/>
    <w:rsid w:val="00E7565C"/>
    <w:rsid w:val="00E756AF"/>
    <w:rsid w:val="00E75795"/>
    <w:rsid w:val="00E757C0"/>
    <w:rsid w:val="00E75B91"/>
    <w:rsid w:val="00E762E9"/>
    <w:rsid w:val="00E769B7"/>
    <w:rsid w:val="00E769F7"/>
    <w:rsid w:val="00E76ACC"/>
    <w:rsid w:val="00E76B0B"/>
    <w:rsid w:val="00E76C12"/>
    <w:rsid w:val="00E76E39"/>
    <w:rsid w:val="00E77298"/>
    <w:rsid w:val="00E773C8"/>
    <w:rsid w:val="00E77498"/>
    <w:rsid w:val="00E77891"/>
    <w:rsid w:val="00E77A17"/>
    <w:rsid w:val="00E77BE2"/>
    <w:rsid w:val="00E77D78"/>
    <w:rsid w:val="00E77DE9"/>
    <w:rsid w:val="00E801AB"/>
    <w:rsid w:val="00E805ED"/>
    <w:rsid w:val="00E80624"/>
    <w:rsid w:val="00E80694"/>
    <w:rsid w:val="00E8092F"/>
    <w:rsid w:val="00E80BCD"/>
    <w:rsid w:val="00E80CF4"/>
    <w:rsid w:val="00E80DAC"/>
    <w:rsid w:val="00E81003"/>
    <w:rsid w:val="00E81037"/>
    <w:rsid w:val="00E810E2"/>
    <w:rsid w:val="00E812EE"/>
    <w:rsid w:val="00E81C92"/>
    <w:rsid w:val="00E81E97"/>
    <w:rsid w:val="00E82105"/>
    <w:rsid w:val="00E821FB"/>
    <w:rsid w:val="00E82525"/>
    <w:rsid w:val="00E826FC"/>
    <w:rsid w:val="00E82889"/>
    <w:rsid w:val="00E828F3"/>
    <w:rsid w:val="00E82A0C"/>
    <w:rsid w:val="00E82A18"/>
    <w:rsid w:val="00E82A48"/>
    <w:rsid w:val="00E82DA5"/>
    <w:rsid w:val="00E83089"/>
    <w:rsid w:val="00E83377"/>
    <w:rsid w:val="00E8342D"/>
    <w:rsid w:val="00E8362F"/>
    <w:rsid w:val="00E83773"/>
    <w:rsid w:val="00E839AF"/>
    <w:rsid w:val="00E839D8"/>
    <w:rsid w:val="00E83B7B"/>
    <w:rsid w:val="00E83BCE"/>
    <w:rsid w:val="00E83C36"/>
    <w:rsid w:val="00E83FBB"/>
    <w:rsid w:val="00E8444D"/>
    <w:rsid w:val="00E845CA"/>
    <w:rsid w:val="00E84794"/>
    <w:rsid w:val="00E848D1"/>
    <w:rsid w:val="00E84ABF"/>
    <w:rsid w:val="00E85530"/>
    <w:rsid w:val="00E85669"/>
    <w:rsid w:val="00E85677"/>
    <w:rsid w:val="00E85684"/>
    <w:rsid w:val="00E85C37"/>
    <w:rsid w:val="00E85DD6"/>
    <w:rsid w:val="00E85F0F"/>
    <w:rsid w:val="00E8600B"/>
    <w:rsid w:val="00E86030"/>
    <w:rsid w:val="00E8604F"/>
    <w:rsid w:val="00E8605D"/>
    <w:rsid w:val="00E8606C"/>
    <w:rsid w:val="00E860D2"/>
    <w:rsid w:val="00E8616F"/>
    <w:rsid w:val="00E861D5"/>
    <w:rsid w:val="00E86653"/>
    <w:rsid w:val="00E86821"/>
    <w:rsid w:val="00E86880"/>
    <w:rsid w:val="00E86A64"/>
    <w:rsid w:val="00E86AAE"/>
    <w:rsid w:val="00E86BFD"/>
    <w:rsid w:val="00E86C0D"/>
    <w:rsid w:val="00E873CC"/>
    <w:rsid w:val="00E87BA1"/>
    <w:rsid w:val="00E87BE1"/>
    <w:rsid w:val="00E9042B"/>
    <w:rsid w:val="00E905AE"/>
    <w:rsid w:val="00E90D92"/>
    <w:rsid w:val="00E90E5F"/>
    <w:rsid w:val="00E90EF4"/>
    <w:rsid w:val="00E911F5"/>
    <w:rsid w:val="00E91289"/>
    <w:rsid w:val="00E91434"/>
    <w:rsid w:val="00E91585"/>
    <w:rsid w:val="00E9162F"/>
    <w:rsid w:val="00E9170A"/>
    <w:rsid w:val="00E91886"/>
    <w:rsid w:val="00E91B30"/>
    <w:rsid w:val="00E91C6C"/>
    <w:rsid w:val="00E91CB2"/>
    <w:rsid w:val="00E91CBB"/>
    <w:rsid w:val="00E91E1F"/>
    <w:rsid w:val="00E921D6"/>
    <w:rsid w:val="00E922A8"/>
    <w:rsid w:val="00E9296C"/>
    <w:rsid w:val="00E92F4B"/>
    <w:rsid w:val="00E92FF0"/>
    <w:rsid w:val="00E9332C"/>
    <w:rsid w:val="00E93580"/>
    <w:rsid w:val="00E938DE"/>
    <w:rsid w:val="00E9390D"/>
    <w:rsid w:val="00E93CE8"/>
    <w:rsid w:val="00E93D30"/>
    <w:rsid w:val="00E940AB"/>
    <w:rsid w:val="00E9411A"/>
    <w:rsid w:val="00E94246"/>
    <w:rsid w:val="00E942E4"/>
    <w:rsid w:val="00E947AE"/>
    <w:rsid w:val="00E9484F"/>
    <w:rsid w:val="00E948B6"/>
    <w:rsid w:val="00E948D3"/>
    <w:rsid w:val="00E949C5"/>
    <w:rsid w:val="00E94F13"/>
    <w:rsid w:val="00E94FC0"/>
    <w:rsid w:val="00E9524C"/>
    <w:rsid w:val="00E952F3"/>
    <w:rsid w:val="00E953DB"/>
    <w:rsid w:val="00E9559F"/>
    <w:rsid w:val="00E95794"/>
    <w:rsid w:val="00E95B88"/>
    <w:rsid w:val="00E95BF0"/>
    <w:rsid w:val="00E95D86"/>
    <w:rsid w:val="00E96280"/>
    <w:rsid w:val="00E9641D"/>
    <w:rsid w:val="00E96A5C"/>
    <w:rsid w:val="00E9707F"/>
    <w:rsid w:val="00E970D5"/>
    <w:rsid w:val="00E9722A"/>
    <w:rsid w:val="00E97294"/>
    <w:rsid w:val="00E975BB"/>
    <w:rsid w:val="00E979BE"/>
    <w:rsid w:val="00E97A9D"/>
    <w:rsid w:val="00E97AE3"/>
    <w:rsid w:val="00E97B75"/>
    <w:rsid w:val="00E97D24"/>
    <w:rsid w:val="00E97D82"/>
    <w:rsid w:val="00E97FC1"/>
    <w:rsid w:val="00EA0383"/>
    <w:rsid w:val="00EA03B3"/>
    <w:rsid w:val="00EA0899"/>
    <w:rsid w:val="00EA08ED"/>
    <w:rsid w:val="00EA09B6"/>
    <w:rsid w:val="00EA0D87"/>
    <w:rsid w:val="00EA0D9A"/>
    <w:rsid w:val="00EA0DAA"/>
    <w:rsid w:val="00EA0F08"/>
    <w:rsid w:val="00EA0FF6"/>
    <w:rsid w:val="00EA14FB"/>
    <w:rsid w:val="00EA18D7"/>
    <w:rsid w:val="00EA1CFD"/>
    <w:rsid w:val="00EA2144"/>
    <w:rsid w:val="00EA2222"/>
    <w:rsid w:val="00EA2403"/>
    <w:rsid w:val="00EA24BA"/>
    <w:rsid w:val="00EA277B"/>
    <w:rsid w:val="00EA28B1"/>
    <w:rsid w:val="00EA2DE2"/>
    <w:rsid w:val="00EA2E6C"/>
    <w:rsid w:val="00EA2FF7"/>
    <w:rsid w:val="00EA30B4"/>
    <w:rsid w:val="00EA355D"/>
    <w:rsid w:val="00EA36A4"/>
    <w:rsid w:val="00EA36D5"/>
    <w:rsid w:val="00EA37CC"/>
    <w:rsid w:val="00EA39A6"/>
    <w:rsid w:val="00EA3ADB"/>
    <w:rsid w:val="00EA3C60"/>
    <w:rsid w:val="00EA4039"/>
    <w:rsid w:val="00EA4566"/>
    <w:rsid w:val="00EA4845"/>
    <w:rsid w:val="00EA487B"/>
    <w:rsid w:val="00EA4980"/>
    <w:rsid w:val="00EA4995"/>
    <w:rsid w:val="00EA4E02"/>
    <w:rsid w:val="00EA4E04"/>
    <w:rsid w:val="00EA4E83"/>
    <w:rsid w:val="00EA4F92"/>
    <w:rsid w:val="00EA554E"/>
    <w:rsid w:val="00EA5AC7"/>
    <w:rsid w:val="00EA5FE8"/>
    <w:rsid w:val="00EA622B"/>
    <w:rsid w:val="00EA662E"/>
    <w:rsid w:val="00EA6D31"/>
    <w:rsid w:val="00EA7505"/>
    <w:rsid w:val="00EA75F5"/>
    <w:rsid w:val="00EA7A46"/>
    <w:rsid w:val="00EA7BDB"/>
    <w:rsid w:val="00EA7E47"/>
    <w:rsid w:val="00EA7F13"/>
    <w:rsid w:val="00EB00A5"/>
    <w:rsid w:val="00EB046F"/>
    <w:rsid w:val="00EB05B7"/>
    <w:rsid w:val="00EB0BAD"/>
    <w:rsid w:val="00EB0D7F"/>
    <w:rsid w:val="00EB0DE8"/>
    <w:rsid w:val="00EB0E5E"/>
    <w:rsid w:val="00EB0EA0"/>
    <w:rsid w:val="00EB0ED2"/>
    <w:rsid w:val="00EB1522"/>
    <w:rsid w:val="00EB159C"/>
    <w:rsid w:val="00EB1A23"/>
    <w:rsid w:val="00EB1A7E"/>
    <w:rsid w:val="00EB1B7B"/>
    <w:rsid w:val="00EB1C30"/>
    <w:rsid w:val="00EB1F79"/>
    <w:rsid w:val="00EB20F5"/>
    <w:rsid w:val="00EB26B7"/>
    <w:rsid w:val="00EB27B5"/>
    <w:rsid w:val="00EB29CC"/>
    <w:rsid w:val="00EB2A4B"/>
    <w:rsid w:val="00EB2CB7"/>
    <w:rsid w:val="00EB30FB"/>
    <w:rsid w:val="00EB34C7"/>
    <w:rsid w:val="00EB381A"/>
    <w:rsid w:val="00EB38D1"/>
    <w:rsid w:val="00EB3B58"/>
    <w:rsid w:val="00EB3BCB"/>
    <w:rsid w:val="00EB3EE0"/>
    <w:rsid w:val="00EB4188"/>
    <w:rsid w:val="00EB4245"/>
    <w:rsid w:val="00EB42ED"/>
    <w:rsid w:val="00EB42F4"/>
    <w:rsid w:val="00EB44A3"/>
    <w:rsid w:val="00EB4500"/>
    <w:rsid w:val="00EB4736"/>
    <w:rsid w:val="00EB4A3A"/>
    <w:rsid w:val="00EB4B4D"/>
    <w:rsid w:val="00EB4B5B"/>
    <w:rsid w:val="00EB51A5"/>
    <w:rsid w:val="00EB5256"/>
    <w:rsid w:val="00EB5438"/>
    <w:rsid w:val="00EB57A7"/>
    <w:rsid w:val="00EB5841"/>
    <w:rsid w:val="00EB58C4"/>
    <w:rsid w:val="00EB5A39"/>
    <w:rsid w:val="00EB5A94"/>
    <w:rsid w:val="00EB5C2E"/>
    <w:rsid w:val="00EB6000"/>
    <w:rsid w:val="00EB6280"/>
    <w:rsid w:val="00EB64FC"/>
    <w:rsid w:val="00EB66CF"/>
    <w:rsid w:val="00EB68EB"/>
    <w:rsid w:val="00EB6949"/>
    <w:rsid w:val="00EB6EA3"/>
    <w:rsid w:val="00EB70BD"/>
    <w:rsid w:val="00EB7444"/>
    <w:rsid w:val="00EB7551"/>
    <w:rsid w:val="00EB76BC"/>
    <w:rsid w:val="00EB7769"/>
    <w:rsid w:val="00EB7C70"/>
    <w:rsid w:val="00EB7CA3"/>
    <w:rsid w:val="00EB7CAD"/>
    <w:rsid w:val="00EB7D21"/>
    <w:rsid w:val="00EB7DC6"/>
    <w:rsid w:val="00EC00EC"/>
    <w:rsid w:val="00EC053B"/>
    <w:rsid w:val="00EC06E1"/>
    <w:rsid w:val="00EC0924"/>
    <w:rsid w:val="00EC094B"/>
    <w:rsid w:val="00EC0B4A"/>
    <w:rsid w:val="00EC0BBB"/>
    <w:rsid w:val="00EC1180"/>
    <w:rsid w:val="00EC150C"/>
    <w:rsid w:val="00EC16F3"/>
    <w:rsid w:val="00EC17AF"/>
    <w:rsid w:val="00EC1808"/>
    <w:rsid w:val="00EC1C66"/>
    <w:rsid w:val="00EC20A0"/>
    <w:rsid w:val="00EC23D9"/>
    <w:rsid w:val="00EC24BB"/>
    <w:rsid w:val="00EC2846"/>
    <w:rsid w:val="00EC296E"/>
    <w:rsid w:val="00EC29D6"/>
    <w:rsid w:val="00EC2A6F"/>
    <w:rsid w:val="00EC2B62"/>
    <w:rsid w:val="00EC2B95"/>
    <w:rsid w:val="00EC2EAA"/>
    <w:rsid w:val="00EC2EE9"/>
    <w:rsid w:val="00EC2F51"/>
    <w:rsid w:val="00EC300D"/>
    <w:rsid w:val="00EC30C7"/>
    <w:rsid w:val="00EC3485"/>
    <w:rsid w:val="00EC35DA"/>
    <w:rsid w:val="00EC36A9"/>
    <w:rsid w:val="00EC3B4B"/>
    <w:rsid w:val="00EC3BAE"/>
    <w:rsid w:val="00EC3F59"/>
    <w:rsid w:val="00EC447D"/>
    <w:rsid w:val="00EC44F3"/>
    <w:rsid w:val="00EC4A1C"/>
    <w:rsid w:val="00EC4A93"/>
    <w:rsid w:val="00EC4AA4"/>
    <w:rsid w:val="00EC5443"/>
    <w:rsid w:val="00EC5802"/>
    <w:rsid w:val="00EC6182"/>
    <w:rsid w:val="00EC687E"/>
    <w:rsid w:val="00EC6D50"/>
    <w:rsid w:val="00EC6FCD"/>
    <w:rsid w:val="00EC7215"/>
    <w:rsid w:val="00EC72B5"/>
    <w:rsid w:val="00EC7878"/>
    <w:rsid w:val="00EC78B1"/>
    <w:rsid w:val="00EC78E2"/>
    <w:rsid w:val="00EC7A6B"/>
    <w:rsid w:val="00EC7AFF"/>
    <w:rsid w:val="00EC7CA6"/>
    <w:rsid w:val="00ED005C"/>
    <w:rsid w:val="00ED065C"/>
    <w:rsid w:val="00ED0A3E"/>
    <w:rsid w:val="00ED0E7D"/>
    <w:rsid w:val="00ED10AD"/>
    <w:rsid w:val="00ED13AB"/>
    <w:rsid w:val="00ED13FF"/>
    <w:rsid w:val="00ED1717"/>
    <w:rsid w:val="00ED1954"/>
    <w:rsid w:val="00ED1BB3"/>
    <w:rsid w:val="00ED1BF3"/>
    <w:rsid w:val="00ED1C01"/>
    <w:rsid w:val="00ED20AF"/>
    <w:rsid w:val="00ED221F"/>
    <w:rsid w:val="00ED22CC"/>
    <w:rsid w:val="00ED2490"/>
    <w:rsid w:val="00ED26C0"/>
    <w:rsid w:val="00ED273F"/>
    <w:rsid w:val="00ED2741"/>
    <w:rsid w:val="00ED2A86"/>
    <w:rsid w:val="00ED2ABB"/>
    <w:rsid w:val="00ED2AC6"/>
    <w:rsid w:val="00ED3029"/>
    <w:rsid w:val="00ED35FF"/>
    <w:rsid w:val="00ED370D"/>
    <w:rsid w:val="00ED38E7"/>
    <w:rsid w:val="00ED394F"/>
    <w:rsid w:val="00ED3AB2"/>
    <w:rsid w:val="00ED3BD0"/>
    <w:rsid w:val="00ED3F74"/>
    <w:rsid w:val="00ED41F6"/>
    <w:rsid w:val="00ED4D1A"/>
    <w:rsid w:val="00ED4E91"/>
    <w:rsid w:val="00ED4F21"/>
    <w:rsid w:val="00ED51BA"/>
    <w:rsid w:val="00ED5698"/>
    <w:rsid w:val="00ED5995"/>
    <w:rsid w:val="00ED5A11"/>
    <w:rsid w:val="00ED5A3E"/>
    <w:rsid w:val="00ED5B3B"/>
    <w:rsid w:val="00ED5BB6"/>
    <w:rsid w:val="00ED5C60"/>
    <w:rsid w:val="00ED5D37"/>
    <w:rsid w:val="00ED6341"/>
    <w:rsid w:val="00ED64B1"/>
    <w:rsid w:val="00ED6584"/>
    <w:rsid w:val="00ED6EE5"/>
    <w:rsid w:val="00ED7029"/>
    <w:rsid w:val="00ED72A4"/>
    <w:rsid w:val="00ED75CA"/>
    <w:rsid w:val="00ED7656"/>
    <w:rsid w:val="00ED7B8B"/>
    <w:rsid w:val="00ED7FBB"/>
    <w:rsid w:val="00ED7FD1"/>
    <w:rsid w:val="00EE025D"/>
    <w:rsid w:val="00EE0293"/>
    <w:rsid w:val="00EE039E"/>
    <w:rsid w:val="00EE04BA"/>
    <w:rsid w:val="00EE0578"/>
    <w:rsid w:val="00EE05CA"/>
    <w:rsid w:val="00EE0A78"/>
    <w:rsid w:val="00EE0F26"/>
    <w:rsid w:val="00EE10AC"/>
    <w:rsid w:val="00EE10CD"/>
    <w:rsid w:val="00EE11C7"/>
    <w:rsid w:val="00EE13FC"/>
    <w:rsid w:val="00EE155E"/>
    <w:rsid w:val="00EE1568"/>
    <w:rsid w:val="00EE171F"/>
    <w:rsid w:val="00EE17AC"/>
    <w:rsid w:val="00EE17BF"/>
    <w:rsid w:val="00EE17F4"/>
    <w:rsid w:val="00EE1850"/>
    <w:rsid w:val="00EE18F3"/>
    <w:rsid w:val="00EE18F4"/>
    <w:rsid w:val="00EE1B59"/>
    <w:rsid w:val="00EE1BD1"/>
    <w:rsid w:val="00EE1FE6"/>
    <w:rsid w:val="00EE228A"/>
    <w:rsid w:val="00EE229C"/>
    <w:rsid w:val="00EE230F"/>
    <w:rsid w:val="00EE2342"/>
    <w:rsid w:val="00EE256B"/>
    <w:rsid w:val="00EE25E3"/>
    <w:rsid w:val="00EE2769"/>
    <w:rsid w:val="00EE2A8E"/>
    <w:rsid w:val="00EE2B49"/>
    <w:rsid w:val="00EE2DE9"/>
    <w:rsid w:val="00EE2ED9"/>
    <w:rsid w:val="00EE2F35"/>
    <w:rsid w:val="00EE33DD"/>
    <w:rsid w:val="00EE35F7"/>
    <w:rsid w:val="00EE390E"/>
    <w:rsid w:val="00EE3938"/>
    <w:rsid w:val="00EE396D"/>
    <w:rsid w:val="00EE3CDC"/>
    <w:rsid w:val="00EE47C7"/>
    <w:rsid w:val="00EE48E8"/>
    <w:rsid w:val="00EE4BAF"/>
    <w:rsid w:val="00EE4C9A"/>
    <w:rsid w:val="00EE56B1"/>
    <w:rsid w:val="00EE5DF1"/>
    <w:rsid w:val="00EE6309"/>
    <w:rsid w:val="00EE63C6"/>
    <w:rsid w:val="00EE657C"/>
    <w:rsid w:val="00EE666B"/>
    <w:rsid w:val="00EE668A"/>
    <w:rsid w:val="00EE66EB"/>
    <w:rsid w:val="00EE6B4A"/>
    <w:rsid w:val="00EE75BB"/>
    <w:rsid w:val="00EE7A9D"/>
    <w:rsid w:val="00EE7CB6"/>
    <w:rsid w:val="00EE7E8A"/>
    <w:rsid w:val="00EF00B1"/>
    <w:rsid w:val="00EF00F0"/>
    <w:rsid w:val="00EF0240"/>
    <w:rsid w:val="00EF0303"/>
    <w:rsid w:val="00EF03D2"/>
    <w:rsid w:val="00EF0681"/>
    <w:rsid w:val="00EF0792"/>
    <w:rsid w:val="00EF0A05"/>
    <w:rsid w:val="00EF1093"/>
    <w:rsid w:val="00EF11CF"/>
    <w:rsid w:val="00EF13DC"/>
    <w:rsid w:val="00EF1679"/>
    <w:rsid w:val="00EF1735"/>
    <w:rsid w:val="00EF1989"/>
    <w:rsid w:val="00EF1B5A"/>
    <w:rsid w:val="00EF1C00"/>
    <w:rsid w:val="00EF2078"/>
    <w:rsid w:val="00EF22AF"/>
    <w:rsid w:val="00EF22FE"/>
    <w:rsid w:val="00EF230B"/>
    <w:rsid w:val="00EF2899"/>
    <w:rsid w:val="00EF29F0"/>
    <w:rsid w:val="00EF2F7F"/>
    <w:rsid w:val="00EF3112"/>
    <w:rsid w:val="00EF36BE"/>
    <w:rsid w:val="00EF3744"/>
    <w:rsid w:val="00EF3A5B"/>
    <w:rsid w:val="00EF40B3"/>
    <w:rsid w:val="00EF414E"/>
    <w:rsid w:val="00EF420D"/>
    <w:rsid w:val="00EF485E"/>
    <w:rsid w:val="00EF4CAB"/>
    <w:rsid w:val="00EF4CC3"/>
    <w:rsid w:val="00EF4D2C"/>
    <w:rsid w:val="00EF4F1E"/>
    <w:rsid w:val="00EF5020"/>
    <w:rsid w:val="00EF547D"/>
    <w:rsid w:val="00EF54BF"/>
    <w:rsid w:val="00EF5736"/>
    <w:rsid w:val="00EF5E6C"/>
    <w:rsid w:val="00EF5ED5"/>
    <w:rsid w:val="00EF6475"/>
    <w:rsid w:val="00EF6AAD"/>
    <w:rsid w:val="00EF6C97"/>
    <w:rsid w:val="00EF6DE9"/>
    <w:rsid w:val="00EF7044"/>
    <w:rsid w:val="00EF71B8"/>
    <w:rsid w:val="00EF743A"/>
    <w:rsid w:val="00EF74F6"/>
    <w:rsid w:val="00EF76A9"/>
    <w:rsid w:val="00EF7DDD"/>
    <w:rsid w:val="00F00079"/>
    <w:rsid w:val="00F0026D"/>
    <w:rsid w:val="00F002F1"/>
    <w:rsid w:val="00F00322"/>
    <w:rsid w:val="00F005F0"/>
    <w:rsid w:val="00F00AAB"/>
    <w:rsid w:val="00F00D77"/>
    <w:rsid w:val="00F0100E"/>
    <w:rsid w:val="00F0111D"/>
    <w:rsid w:val="00F0114F"/>
    <w:rsid w:val="00F011F8"/>
    <w:rsid w:val="00F012DB"/>
    <w:rsid w:val="00F0139A"/>
    <w:rsid w:val="00F013D3"/>
    <w:rsid w:val="00F017F7"/>
    <w:rsid w:val="00F01E14"/>
    <w:rsid w:val="00F01FA1"/>
    <w:rsid w:val="00F02046"/>
    <w:rsid w:val="00F02B54"/>
    <w:rsid w:val="00F02D70"/>
    <w:rsid w:val="00F0314D"/>
    <w:rsid w:val="00F032C6"/>
    <w:rsid w:val="00F0332B"/>
    <w:rsid w:val="00F03503"/>
    <w:rsid w:val="00F03505"/>
    <w:rsid w:val="00F03689"/>
    <w:rsid w:val="00F0371B"/>
    <w:rsid w:val="00F0398B"/>
    <w:rsid w:val="00F03C25"/>
    <w:rsid w:val="00F03C7D"/>
    <w:rsid w:val="00F03FD4"/>
    <w:rsid w:val="00F04051"/>
    <w:rsid w:val="00F04141"/>
    <w:rsid w:val="00F04174"/>
    <w:rsid w:val="00F04669"/>
    <w:rsid w:val="00F047CF"/>
    <w:rsid w:val="00F049C6"/>
    <w:rsid w:val="00F04A34"/>
    <w:rsid w:val="00F04EDF"/>
    <w:rsid w:val="00F04FB6"/>
    <w:rsid w:val="00F050F2"/>
    <w:rsid w:val="00F053C4"/>
    <w:rsid w:val="00F059C6"/>
    <w:rsid w:val="00F0632C"/>
    <w:rsid w:val="00F0638B"/>
    <w:rsid w:val="00F063D2"/>
    <w:rsid w:val="00F064D8"/>
    <w:rsid w:val="00F0658A"/>
    <w:rsid w:val="00F06615"/>
    <w:rsid w:val="00F066AA"/>
    <w:rsid w:val="00F0690B"/>
    <w:rsid w:val="00F07324"/>
    <w:rsid w:val="00F077BE"/>
    <w:rsid w:val="00F07D6F"/>
    <w:rsid w:val="00F07FA4"/>
    <w:rsid w:val="00F10106"/>
    <w:rsid w:val="00F1067B"/>
    <w:rsid w:val="00F1067C"/>
    <w:rsid w:val="00F10840"/>
    <w:rsid w:val="00F1093C"/>
    <w:rsid w:val="00F109BE"/>
    <w:rsid w:val="00F10D56"/>
    <w:rsid w:val="00F112FE"/>
    <w:rsid w:val="00F1151D"/>
    <w:rsid w:val="00F116F0"/>
    <w:rsid w:val="00F11DA4"/>
    <w:rsid w:val="00F11EB8"/>
    <w:rsid w:val="00F11FD2"/>
    <w:rsid w:val="00F122EC"/>
    <w:rsid w:val="00F124CF"/>
    <w:rsid w:val="00F12719"/>
    <w:rsid w:val="00F127C6"/>
    <w:rsid w:val="00F12C0F"/>
    <w:rsid w:val="00F12DD9"/>
    <w:rsid w:val="00F12F5E"/>
    <w:rsid w:val="00F134FE"/>
    <w:rsid w:val="00F135D2"/>
    <w:rsid w:val="00F1390E"/>
    <w:rsid w:val="00F13BE1"/>
    <w:rsid w:val="00F13EBB"/>
    <w:rsid w:val="00F13F80"/>
    <w:rsid w:val="00F140A8"/>
    <w:rsid w:val="00F14142"/>
    <w:rsid w:val="00F141A4"/>
    <w:rsid w:val="00F14477"/>
    <w:rsid w:val="00F144DB"/>
    <w:rsid w:val="00F145AD"/>
    <w:rsid w:val="00F14907"/>
    <w:rsid w:val="00F150F0"/>
    <w:rsid w:val="00F152A2"/>
    <w:rsid w:val="00F153EF"/>
    <w:rsid w:val="00F155B5"/>
    <w:rsid w:val="00F15619"/>
    <w:rsid w:val="00F159CC"/>
    <w:rsid w:val="00F159E2"/>
    <w:rsid w:val="00F15AEA"/>
    <w:rsid w:val="00F15C70"/>
    <w:rsid w:val="00F15D71"/>
    <w:rsid w:val="00F15DE0"/>
    <w:rsid w:val="00F164B6"/>
    <w:rsid w:val="00F16908"/>
    <w:rsid w:val="00F16A89"/>
    <w:rsid w:val="00F16BED"/>
    <w:rsid w:val="00F17017"/>
    <w:rsid w:val="00F171C6"/>
    <w:rsid w:val="00F173CE"/>
    <w:rsid w:val="00F17853"/>
    <w:rsid w:val="00F17917"/>
    <w:rsid w:val="00F17964"/>
    <w:rsid w:val="00F179B9"/>
    <w:rsid w:val="00F17A4F"/>
    <w:rsid w:val="00F17C0C"/>
    <w:rsid w:val="00F205D6"/>
    <w:rsid w:val="00F205EF"/>
    <w:rsid w:val="00F2064C"/>
    <w:rsid w:val="00F20A0E"/>
    <w:rsid w:val="00F20B15"/>
    <w:rsid w:val="00F20B16"/>
    <w:rsid w:val="00F20FBA"/>
    <w:rsid w:val="00F210D7"/>
    <w:rsid w:val="00F211ED"/>
    <w:rsid w:val="00F212D3"/>
    <w:rsid w:val="00F21337"/>
    <w:rsid w:val="00F215F3"/>
    <w:rsid w:val="00F2163E"/>
    <w:rsid w:val="00F21649"/>
    <w:rsid w:val="00F21752"/>
    <w:rsid w:val="00F22A3E"/>
    <w:rsid w:val="00F22D01"/>
    <w:rsid w:val="00F22F5D"/>
    <w:rsid w:val="00F2303A"/>
    <w:rsid w:val="00F230A8"/>
    <w:rsid w:val="00F2313B"/>
    <w:rsid w:val="00F23376"/>
    <w:rsid w:val="00F23388"/>
    <w:rsid w:val="00F2338F"/>
    <w:rsid w:val="00F23610"/>
    <w:rsid w:val="00F2366F"/>
    <w:rsid w:val="00F23705"/>
    <w:rsid w:val="00F23E24"/>
    <w:rsid w:val="00F23EE7"/>
    <w:rsid w:val="00F23EEC"/>
    <w:rsid w:val="00F23F11"/>
    <w:rsid w:val="00F23F52"/>
    <w:rsid w:val="00F242B1"/>
    <w:rsid w:val="00F24726"/>
    <w:rsid w:val="00F248D3"/>
    <w:rsid w:val="00F24D9D"/>
    <w:rsid w:val="00F24DC7"/>
    <w:rsid w:val="00F24F13"/>
    <w:rsid w:val="00F24FE9"/>
    <w:rsid w:val="00F24FFB"/>
    <w:rsid w:val="00F251C8"/>
    <w:rsid w:val="00F25293"/>
    <w:rsid w:val="00F255BA"/>
    <w:rsid w:val="00F25646"/>
    <w:rsid w:val="00F25D6A"/>
    <w:rsid w:val="00F26176"/>
    <w:rsid w:val="00F26205"/>
    <w:rsid w:val="00F262CD"/>
    <w:rsid w:val="00F266A1"/>
    <w:rsid w:val="00F266E4"/>
    <w:rsid w:val="00F267F8"/>
    <w:rsid w:val="00F26877"/>
    <w:rsid w:val="00F26888"/>
    <w:rsid w:val="00F271E2"/>
    <w:rsid w:val="00F27D08"/>
    <w:rsid w:val="00F27DBE"/>
    <w:rsid w:val="00F27E08"/>
    <w:rsid w:val="00F27EB1"/>
    <w:rsid w:val="00F27EB5"/>
    <w:rsid w:val="00F300F4"/>
    <w:rsid w:val="00F30272"/>
    <w:rsid w:val="00F30461"/>
    <w:rsid w:val="00F30809"/>
    <w:rsid w:val="00F310BE"/>
    <w:rsid w:val="00F31273"/>
    <w:rsid w:val="00F317C6"/>
    <w:rsid w:val="00F3195B"/>
    <w:rsid w:val="00F31B84"/>
    <w:rsid w:val="00F31D15"/>
    <w:rsid w:val="00F31EB8"/>
    <w:rsid w:val="00F322DA"/>
    <w:rsid w:val="00F325B9"/>
    <w:rsid w:val="00F32A5C"/>
    <w:rsid w:val="00F32BBE"/>
    <w:rsid w:val="00F32D4F"/>
    <w:rsid w:val="00F32EAD"/>
    <w:rsid w:val="00F330D9"/>
    <w:rsid w:val="00F3339C"/>
    <w:rsid w:val="00F333EC"/>
    <w:rsid w:val="00F335DF"/>
    <w:rsid w:val="00F33693"/>
    <w:rsid w:val="00F336FD"/>
    <w:rsid w:val="00F33828"/>
    <w:rsid w:val="00F33953"/>
    <w:rsid w:val="00F33ACC"/>
    <w:rsid w:val="00F33AE8"/>
    <w:rsid w:val="00F33BB3"/>
    <w:rsid w:val="00F33DCC"/>
    <w:rsid w:val="00F33E03"/>
    <w:rsid w:val="00F33E96"/>
    <w:rsid w:val="00F340B8"/>
    <w:rsid w:val="00F3440E"/>
    <w:rsid w:val="00F344D2"/>
    <w:rsid w:val="00F3491D"/>
    <w:rsid w:val="00F34A01"/>
    <w:rsid w:val="00F34C9E"/>
    <w:rsid w:val="00F34CB9"/>
    <w:rsid w:val="00F34E0C"/>
    <w:rsid w:val="00F34E31"/>
    <w:rsid w:val="00F34ECB"/>
    <w:rsid w:val="00F35098"/>
    <w:rsid w:val="00F352D2"/>
    <w:rsid w:val="00F3539C"/>
    <w:rsid w:val="00F35503"/>
    <w:rsid w:val="00F35742"/>
    <w:rsid w:val="00F35892"/>
    <w:rsid w:val="00F3594A"/>
    <w:rsid w:val="00F35B2A"/>
    <w:rsid w:val="00F35C0E"/>
    <w:rsid w:val="00F35D8B"/>
    <w:rsid w:val="00F35E83"/>
    <w:rsid w:val="00F35EE9"/>
    <w:rsid w:val="00F36222"/>
    <w:rsid w:val="00F3630C"/>
    <w:rsid w:val="00F36848"/>
    <w:rsid w:val="00F36A06"/>
    <w:rsid w:val="00F36ADB"/>
    <w:rsid w:val="00F36DC7"/>
    <w:rsid w:val="00F36DEE"/>
    <w:rsid w:val="00F36EDC"/>
    <w:rsid w:val="00F36F12"/>
    <w:rsid w:val="00F37014"/>
    <w:rsid w:val="00F371FE"/>
    <w:rsid w:val="00F37280"/>
    <w:rsid w:val="00F375BB"/>
    <w:rsid w:val="00F376F2"/>
    <w:rsid w:val="00F3772A"/>
    <w:rsid w:val="00F3786A"/>
    <w:rsid w:val="00F37AB6"/>
    <w:rsid w:val="00F37F0A"/>
    <w:rsid w:val="00F37F6C"/>
    <w:rsid w:val="00F4017D"/>
    <w:rsid w:val="00F402E0"/>
    <w:rsid w:val="00F40553"/>
    <w:rsid w:val="00F408BC"/>
    <w:rsid w:val="00F40F47"/>
    <w:rsid w:val="00F410AD"/>
    <w:rsid w:val="00F4159B"/>
    <w:rsid w:val="00F41961"/>
    <w:rsid w:val="00F41982"/>
    <w:rsid w:val="00F41A09"/>
    <w:rsid w:val="00F41B84"/>
    <w:rsid w:val="00F41E1D"/>
    <w:rsid w:val="00F41E2E"/>
    <w:rsid w:val="00F41E81"/>
    <w:rsid w:val="00F4216D"/>
    <w:rsid w:val="00F421D9"/>
    <w:rsid w:val="00F424EB"/>
    <w:rsid w:val="00F425E0"/>
    <w:rsid w:val="00F426E0"/>
    <w:rsid w:val="00F42F2B"/>
    <w:rsid w:val="00F436D7"/>
    <w:rsid w:val="00F438DC"/>
    <w:rsid w:val="00F439A4"/>
    <w:rsid w:val="00F43E64"/>
    <w:rsid w:val="00F43F9C"/>
    <w:rsid w:val="00F44188"/>
    <w:rsid w:val="00F4421F"/>
    <w:rsid w:val="00F444F6"/>
    <w:rsid w:val="00F4466C"/>
    <w:rsid w:val="00F44920"/>
    <w:rsid w:val="00F44B60"/>
    <w:rsid w:val="00F44DF9"/>
    <w:rsid w:val="00F44FA3"/>
    <w:rsid w:val="00F44FFC"/>
    <w:rsid w:val="00F4507F"/>
    <w:rsid w:val="00F453F9"/>
    <w:rsid w:val="00F45484"/>
    <w:rsid w:val="00F4580E"/>
    <w:rsid w:val="00F459B7"/>
    <w:rsid w:val="00F45A05"/>
    <w:rsid w:val="00F45DF2"/>
    <w:rsid w:val="00F45E32"/>
    <w:rsid w:val="00F45EC8"/>
    <w:rsid w:val="00F45F55"/>
    <w:rsid w:val="00F45FF4"/>
    <w:rsid w:val="00F460F4"/>
    <w:rsid w:val="00F461E7"/>
    <w:rsid w:val="00F4669E"/>
    <w:rsid w:val="00F46783"/>
    <w:rsid w:val="00F46E3E"/>
    <w:rsid w:val="00F47094"/>
    <w:rsid w:val="00F471B6"/>
    <w:rsid w:val="00F471CB"/>
    <w:rsid w:val="00F4793A"/>
    <w:rsid w:val="00F47A18"/>
    <w:rsid w:val="00F47AB7"/>
    <w:rsid w:val="00F47BF2"/>
    <w:rsid w:val="00F47CE1"/>
    <w:rsid w:val="00F50009"/>
    <w:rsid w:val="00F501ED"/>
    <w:rsid w:val="00F5052C"/>
    <w:rsid w:val="00F50D70"/>
    <w:rsid w:val="00F51173"/>
    <w:rsid w:val="00F51469"/>
    <w:rsid w:val="00F514F2"/>
    <w:rsid w:val="00F51591"/>
    <w:rsid w:val="00F51767"/>
    <w:rsid w:val="00F517B6"/>
    <w:rsid w:val="00F51BE3"/>
    <w:rsid w:val="00F51DD9"/>
    <w:rsid w:val="00F520C5"/>
    <w:rsid w:val="00F52411"/>
    <w:rsid w:val="00F524B8"/>
    <w:rsid w:val="00F525C0"/>
    <w:rsid w:val="00F526B5"/>
    <w:rsid w:val="00F528AE"/>
    <w:rsid w:val="00F52A7E"/>
    <w:rsid w:val="00F52B3D"/>
    <w:rsid w:val="00F52C45"/>
    <w:rsid w:val="00F52CBA"/>
    <w:rsid w:val="00F52D05"/>
    <w:rsid w:val="00F52F02"/>
    <w:rsid w:val="00F53181"/>
    <w:rsid w:val="00F534F2"/>
    <w:rsid w:val="00F53584"/>
    <w:rsid w:val="00F53AE9"/>
    <w:rsid w:val="00F53C82"/>
    <w:rsid w:val="00F53DE6"/>
    <w:rsid w:val="00F53E25"/>
    <w:rsid w:val="00F53E55"/>
    <w:rsid w:val="00F540FB"/>
    <w:rsid w:val="00F542FE"/>
    <w:rsid w:val="00F54494"/>
    <w:rsid w:val="00F54B9A"/>
    <w:rsid w:val="00F54BA4"/>
    <w:rsid w:val="00F54D46"/>
    <w:rsid w:val="00F55034"/>
    <w:rsid w:val="00F550AA"/>
    <w:rsid w:val="00F551C6"/>
    <w:rsid w:val="00F55466"/>
    <w:rsid w:val="00F55565"/>
    <w:rsid w:val="00F5562E"/>
    <w:rsid w:val="00F55E7A"/>
    <w:rsid w:val="00F56074"/>
    <w:rsid w:val="00F567E6"/>
    <w:rsid w:val="00F56898"/>
    <w:rsid w:val="00F568EF"/>
    <w:rsid w:val="00F5698E"/>
    <w:rsid w:val="00F56B8B"/>
    <w:rsid w:val="00F56CB3"/>
    <w:rsid w:val="00F56D9B"/>
    <w:rsid w:val="00F56E77"/>
    <w:rsid w:val="00F56F79"/>
    <w:rsid w:val="00F574E4"/>
    <w:rsid w:val="00F575AE"/>
    <w:rsid w:val="00F57782"/>
    <w:rsid w:val="00F57851"/>
    <w:rsid w:val="00F57BDC"/>
    <w:rsid w:val="00F57C2F"/>
    <w:rsid w:val="00F57ECD"/>
    <w:rsid w:val="00F6000D"/>
    <w:rsid w:val="00F6024F"/>
    <w:rsid w:val="00F60304"/>
    <w:rsid w:val="00F60319"/>
    <w:rsid w:val="00F60367"/>
    <w:rsid w:val="00F60567"/>
    <w:rsid w:val="00F60720"/>
    <w:rsid w:val="00F60B4A"/>
    <w:rsid w:val="00F60B59"/>
    <w:rsid w:val="00F60B79"/>
    <w:rsid w:val="00F60BCC"/>
    <w:rsid w:val="00F60CE5"/>
    <w:rsid w:val="00F60E02"/>
    <w:rsid w:val="00F60F79"/>
    <w:rsid w:val="00F6100D"/>
    <w:rsid w:val="00F617B8"/>
    <w:rsid w:val="00F61A2F"/>
    <w:rsid w:val="00F61A63"/>
    <w:rsid w:val="00F61CC8"/>
    <w:rsid w:val="00F61D7E"/>
    <w:rsid w:val="00F61EA2"/>
    <w:rsid w:val="00F61ECF"/>
    <w:rsid w:val="00F61F83"/>
    <w:rsid w:val="00F620B4"/>
    <w:rsid w:val="00F624DB"/>
    <w:rsid w:val="00F62A40"/>
    <w:rsid w:val="00F63083"/>
    <w:rsid w:val="00F634F9"/>
    <w:rsid w:val="00F639F9"/>
    <w:rsid w:val="00F63D5C"/>
    <w:rsid w:val="00F6400F"/>
    <w:rsid w:val="00F6440F"/>
    <w:rsid w:val="00F64418"/>
    <w:rsid w:val="00F64D00"/>
    <w:rsid w:val="00F65C24"/>
    <w:rsid w:val="00F66565"/>
    <w:rsid w:val="00F6656B"/>
    <w:rsid w:val="00F668A7"/>
    <w:rsid w:val="00F66B9F"/>
    <w:rsid w:val="00F66E75"/>
    <w:rsid w:val="00F66EA5"/>
    <w:rsid w:val="00F670FF"/>
    <w:rsid w:val="00F67131"/>
    <w:rsid w:val="00F67394"/>
    <w:rsid w:val="00F67395"/>
    <w:rsid w:val="00F6739D"/>
    <w:rsid w:val="00F67736"/>
    <w:rsid w:val="00F67ACA"/>
    <w:rsid w:val="00F67BF5"/>
    <w:rsid w:val="00F67E86"/>
    <w:rsid w:val="00F705AE"/>
    <w:rsid w:val="00F708A7"/>
    <w:rsid w:val="00F70A27"/>
    <w:rsid w:val="00F70A59"/>
    <w:rsid w:val="00F7115D"/>
    <w:rsid w:val="00F71253"/>
    <w:rsid w:val="00F712D9"/>
    <w:rsid w:val="00F7138E"/>
    <w:rsid w:val="00F713AC"/>
    <w:rsid w:val="00F71550"/>
    <w:rsid w:val="00F71598"/>
    <w:rsid w:val="00F7177D"/>
    <w:rsid w:val="00F71912"/>
    <w:rsid w:val="00F71A88"/>
    <w:rsid w:val="00F71B7C"/>
    <w:rsid w:val="00F71C6A"/>
    <w:rsid w:val="00F71D51"/>
    <w:rsid w:val="00F721CB"/>
    <w:rsid w:val="00F722C4"/>
    <w:rsid w:val="00F72410"/>
    <w:rsid w:val="00F7241F"/>
    <w:rsid w:val="00F7268C"/>
    <w:rsid w:val="00F72759"/>
    <w:rsid w:val="00F7277B"/>
    <w:rsid w:val="00F72894"/>
    <w:rsid w:val="00F729DD"/>
    <w:rsid w:val="00F72E3A"/>
    <w:rsid w:val="00F72F3E"/>
    <w:rsid w:val="00F72FE8"/>
    <w:rsid w:val="00F7300A"/>
    <w:rsid w:val="00F73716"/>
    <w:rsid w:val="00F73833"/>
    <w:rsid w:val="00F74424"/>
    <w:rsid w:val="00F745F1"/>
    <w:rsid w:val="00F74BEC"/>
    <w:rsid w:val="00F75045"/>
    <w:rsid w:val="00F752B0"/>
    <w:rsid w:val="00F7559A"/>
    <w:rsid w:val="00F75633"/>
    <w:rsid w:val="00F75A1D"/>
    <w:rsid w:val="00F75AA8"/>
    <w:rsid w:val="00F76108"/>
    <w:rsid w:val="00F762A0"/>
    <w:rsid w:val="00F76625"/>
    <w:rsid w:val="00F76B7A"/>
    <w:rsid w:val="00F76C7F"/>
    <w:rsid w:val="00F76DB2"/>
    <w:rsid w:val="00F770A3"/>
    <w:rsid w:val="00F770E5"/>
    <w:rsid w:val="00F7728F"/>
    <w:rsid w:val="00F773BE"/>
    <w:rsid w:val="00F77401"/>
    <w:rsid w:val="00F77E6E"/>
    <w:rsid w:val="00F803BD"/>
    <w:rsid w:val="00F80443"/>
    <w:rsid w:val="00F806FE"/>
    <w:rsid w:val="00F80732"/>
    <w:rsid w:val="00F807B9"/>
    <w:rsid w:val="00F80CF9"/>
    <w:rsid w:val="00F80EB5"/>
    <w:rsid w:val="00F8105E"/>
    <w:rsid w:val="00F81213"/>
    <w:rsid w:val="00F813EF"/>
    <w:rsid w:val="00F8164D"/>
    <w:rsid w:val="00F81AB0"/>
    <w:rsid w:val="00F81E75"/>
    <w:rsid w:val="00F82149"/>
    <w:rsid w:val="00F82388"/>
    <w:rsid w:val="00F82486"/>
    <w:rsid w:val="00F826C6"/>
    <w:rsid w:val="00F82C03"/>
    <w:rsid w:val="00F82DF4"/>
    <w:rsid w:val="00F82FAA"/>
    <w:rsid w:val="00F83081"/>
    <w:rsid w:val="00F83F99"/>
    <w:rsid w:val="00F84035"/>
    <w:rsid w:val="00F8413C"/>
    <w:rsid w:val="00F842FC"/>
    <w:rsid w:val="00F844FF"/>
    <w:rsid w:val="00F8472A"/>
    <w:rsid w:val="00F848EA"/>
    <w:rsid w:val="00F84919"/>
    <w:rsid w:val="00F84B4E"/>
    <w:rsid w:val="00F84BE6"/>
    <w:rsid w:val="00F84D0B"/>
    <w:rsid w:val="00F84F8D"/>
    <w:rsid w:val="00F85158"/>
    <w:rsid w:val="00F85443"/>
    <w:rsid w:val="00F856DD"/>
    <w:rsid w:val="00F85739"/>
    <w:rsid w:val="00F857CB"/>
    <w:rsid w:val="00F85A27"/>
    <w:rsid w:val="00F85F0B"/>
    <w:rsid w:val="00F86011"/>
    <w:rsid w:val="00F860A5"/>
    <w:rsid w:val="00F862D8"/>
    <w:rsid w:val="00F862FD"/>
    <w:rsid w:val="00F8639B"/>
    <w:rsid w:val="00F8649B"/>
    <w:rsid w:val="00F86514"/>
    <w:rsid w:val="00F86A12"/>
    <w:rsid w:val="00F86B32"/>
    <w:rsid w:val="00F86C73"/>
    <w:rsid w:val="00F872BE"/>
    <w:rsid w:val="00F87774"/>
    <w:rsid w:val="00F87898"/>
    <w:rsid w:val="00F878A8"/>
    <w:rsid w:val="00F879EB"/>
    <w:rsid w:val="00F87AAD"/>
    <w:rsid w:val="00F87AAF"/>
    <w:rsid w:val="00F87B49"/>
    <w:rsid w:val="00F9010E"/>
    <w:rsid w:val="00F90134"/>
    <w:rsid w:val="00F9049B"/>
    <w:rsid w:val="00F905EE"/>
    <w:rsid w:val="00F9064F"/>
    <w:rsid w:val="00F9084C"/>
    <w:rsid w:val="00F90A78"/>
    <w:rsid w:val="00F90ED2"/>
    <w:rsid w:val="00F91901"/>
    <w:rsid w:val="00F9196F"/>
    <w:rsid w:val="00F91C7F"/>
    <w:rsid w:val="00F91CDB"/>
    <w:rsid w:val="00F92196"/>
    <w:rsid w:val="00F921D0"/>
    <w:rsid w:val="00F921FA"/>
    <w:rsid w:val="00F92328"/>
    <w:rsid w:val="00F92657"/>
    <w:rsid w:val="00F926EF"/>
    <w:rsid w:val="00F92740"/>
    <w:rsid w:val="00F92BF1"/>
    <w:rsid w:val="00F92BF3"/>
    <w:rsid w:val="00F92C68"/>
    <w:rsid w:val="00F92D92"/>
    <w:rsid w:val="00F92E5F"/>
    <w:rsid w:val="00F9325C"/>
    <w:rsid w:val="00F937D0"/>
    <w:rsid w:val="00F93B07"/>
    <w:rsid w:val="00F93C59"/>
    <w:rsid w:val="00F93C5C"/>
    <w:rsid w:val="00F93CF2"/>
    <w:rsid w:val="00F93CFF"/>
    <w:rsid w:val="00F93D0A"/>
    <w:rsid w:val="00F93D8F"/>
    <w:rsid w:val="00F940E7"/>
    <w:rsid w:val="00F94538"/>
    <w:rsid w:val="00F94647"/>
    <w:rsid w:val="00F947F2"/>
    <w:rsid w:val="00F94817"/>
    <w:rsid w:val="00F948D6"/>
    <w:rsid w:val="00F949A8"/>
    <w:rsid w:val="00F95063"/>
    <w:rsid w:val="00F95103"/>
    <w:rsid w:val="00F951CE"/>
    <w:rsid w:val="00F9585E"/>
    <w:rsid w:val="00F959B9"/>
    <w:rsid w:val="00F95C5E"/>
    <w:rsid w:val="00F95E99"/>
    <w:rsid w:val="00F95FA8"/>
    <w:rsid w:val="00F969C0"/>
    <w:rsid w:val="00F96CE0"/>
    <w:rsid w:val="00F96E9E"/>
    <w:rsid w:val="00F97044"/>
    <w:rsid w:val="00F974FB"/>
    <w:rsid w:val="00F9750A"/>
    <w:rsid w:val="00F9767E"/>
    <w:rsid w:val="00F97755"/>
    <w:rsid w:val="00F977CB"/>
    <w:rsid w:val="00F97934"/>
    <w:rsid w:val="00F97BC9"/>
    <w:rsid w:val="00F97C37"/>
    <w:rsid w:val="00FA0339"/>
    <w:rsid w:val="00FA0617"/>
    <w:rsid w:val="00FA0F29"/>
    <w:rsid w:val="00FA109F"/>
    <w:rsid w:val="00FA1182"/>
    <w:rsid w:val="00FA12F6"/>
    <w:rsid w:val="00FA1855"/>
    <w:rsid w:val="00FA19AB"/>
    <w:rsid w:val="00FA1AB7"/>
    <w:rsid w:val="00FA1C4B"/>
    <w:rsid w:val="00FA230A"/>
    <w:rsid w:val="00FA23DF"/>
    <w:rsid w:val="00FA23F9"/>
    <w:rsid w:val="00FA253D"/>
    <w:rsid w:val="00FA2744"/>
    <w:rsid w:val="00FA284C"/>
    <w:rsid w:val="00FA28A0"/>
    <w:rsid w:val="00FA2B01"/>
    <w:rsid w:val="00FA2EB7"/>
    <w:rsid w:val="00FA3274"/>
    <w:rsid w:val="00FA3589"/>
    <w:rsid w:val="00FA36C0"/>
    <w:rsid w:val="00FA3906"/>
    <w:rsid w:val="00FA39F0"/>
    <w:rsid w:val="00FA3EC3"/>
    <w:rsid w:val="00FA3FA7"/>
    <w:rsid w:val="00FA431E"/>
    <w:rsid w:val="00FA4490"/>
    <w:rsid w:val="00FA45B7"/>
    <w:rsid w:val="00FA45CC"/>
    <w:rsid w:val="00FA46AA"/>
    <w:rsid w:val="00FA47FA"/>
    <w:rsid w:val="00FA49F7"/>
    <w:rsid w:val="00FA4F25"/>
    <w:rsid w:val="00FA5076"/>
    <w:rsid w:val="00FA517D"/>
    <w:rsid w:val="00FA541E"/>
    <w:rsid w:val="00FA54BF"/>
    <w:rsid w:val="00FA5633"/>
    <w:rsid w:val="00FA58D6"/>
    <w:rsid w:val="00FA5D67"/>
    <w:rsid w:val="00FA5F5C"/>
    <w:rsid w:val="00FA653B"/>
    <w:rsid w:val="00FA6643"/>
    <w:rsid w:val="00FA6722"/>
    <w:rsid w:val="00FA6956"/>
    <w:rsid w:val="00FA6BA8"/>
    <w:rsid w:val="00FA6CB3"/>
    <w:rsid w:val="00FA6E02"/>
    <w:rsid w:val="00FA6FD0"/>
    <w:rsid w:val="00FA74D1"/>
    <w:rsid w:val="00FA75CB"/>
    <w:rsid w:val="00FA75EE"/>
    <w:rsid w:val="00FA7FBE"/>
    <w:rsid w:val="00FB0115"/>
    <w:rsid w:val="00FB05C1"/>
    <w:rsid w:val="00FB088A"/>
    <w:rsid w:val="00FB09A2"/>
    <w:rsid w:val="00FB0C7A"/>
    <w:rsid w:val="00FB0CE5"/>
    <w:rsid w:val="00FB0F03"/>
    <w:rsid w:val="00FB11BD"/>
    <w:rsid w:val="00FB1274"/>
    <w:rsid w:val="00FB12BE"/>
    <w:rsid w:val="00FB13DB"/>
    <w:rsid w:val="00FB1446"/>
    <w:rsid w:val="00FB15F8"/>
    <w:rsid w:val="00FB1A72"/>
    <w:rsid w:val="00FB1CB8"/>
    <w:rsid w:val="00FB1E52"/>
    <w:rsid w:val="00FB1EE9"/>
    <w:rsid w:val="00FB208C"/>
    <w:rsid w:val="00FB24B0"/>
    <w:rsid w:val="00FB24E0"/>
    <w:rsid w:val="00FB25F9"/>
    <w:rsid w:val="00FB26B4"/>
    <w:rsid w:val="00FB29F2"/>
    <w:rsid w:val="00FB2B38"/>
    <w:rsid w:val="00FB2BAE"/>
    <w:rsid w:val="00FB2D79"/>
    <w:rsid w:val="00FB2F6D"/>
    <w:rsid w:val="00FB2FB9"/>
    <w:rsid w:val="00FB3257"/>
    <w:rsid w:val="00FB33D6"/>
    <w:rsid w:val="00FB3A96"/>
    <w:rsid w:val="00FB3BD6"/>
    <w:rsid w:val="00FB3F1A"/>
    <w:rsid w:val="00FB4227"/>
    <w:rsid w:val="00FB4228"/>
    <w:rsid w:val="00FB44FA"/>
    <w:rsid w:val="00FB4696"/>
    <w:rsid w:val="00FB4951"/>
    <w:rsid w:val="00FB4DCC"/>
    <w:rsid w:val="00FB4F0A"/>
    <w:rsid w:val="00FB4F7F"/>
    <w:rsid w:val="00FB502E"/>
    <w:rsid w:val="00FB50DD"/>
    <w:rsid w:val="00FB517C"/>
    <w:rsid w:val="00FB54B7"/>
    <w:rsid w:val="00FB54FD"/>
    <w:rsid w:val="00FB5682"/>
    <w:rsid w:val="00FB58A4"/>
    <w:rsid w:val="00FB5F09"/>
    <w:rsid w:val="00FB6162"/>
    <w:rsid w:val="00FB632D"/>
    <w:rsid w:val="00FB6405"/>
    <w:rsid w:val="00FB6470"/>
    <w:rsid w:val="00FB659E"/>
    <w:rsid w:val="00FB68B3"/>
    <w:rsid w:val="00FB6A97"/>
    <w:rsid w:val="00FB6D71"/>
    <w:rsid w:val="00FB6D96"/>
    <w:rsid w:val="00FB6DD8"/>
    <w:rsid w:val="00FB7497"/>
    <w:rsid w:val="00FB7854"/>
    <w:rsid w:val="00FB7CCD"/>
    <w:rsid w:val="00FB7DC5"/>
    <w:rsid w:val="00FC0105"/>
    <w:rsid w:val="00FC0706"/>
    <w:rsid w:val="00FC0948"/>
    <w:rsid w:val="00FC0C42"/>
    <w:rsid w:val="00FC0E2F"/>
    <w:rsid w:val="00FC104C"/>
    <w:rsid w:val="00FC145E"/>
    <w:rsid w:val="00FC16B0"/>
    <w:rsid w:val="00FC173D"/>
    <w:rsid w:val="00FC19CD"/>
    <w:rsid w:val="00FC1D1D"/>
    <w:rsid w:val="00FC1E03"/>
    <w:rsid w:val="00FC20B0"/>
    <w:rsid w:val="00FC221B"/>
    <w:rsid w:val="00FC25F6"/>
    <w:rsid w:val="00FC27BD"/>
    <w:rsid w:val="00FC2BDF"/>
    <w:rsid w:val="00FC3472"/>
    <w:rsid w:val="00FC37B3"/>
    <w:rsid w:val="00FC388A"/>
    <w:rsid w:val="00FC3A24"/>
    <w:rsid w:val="00FC3C72"/>
    <w:rsid w:val="00FC3CE7"/>
    <w:rsid w:val="00FC3D53"/>
    <w:rsid w:val="00FC3D75"/>
    <w:rsid w:val="00FC3D8A"/>
    <w:rsid w:val="00FC3DDD"/>
    <w:rsid w:val="00FC3FB8"/>
    <w:rsid w:val="00FC400E"/>
    <w:rsid w:val="00FC47CA"/>
    <w:rsid w:val="00FC482B"/>
    <w:rsid w:val="00FC485C"/>
    <w:rsid w:val="00FC4971"/>
    <w:rsid w:val="00FC4AD3"/>
    <w:rsid w:val="00FC4BF3"/>
    <w:rsid w:val="00FC550F"/>
    <w:rsid w:val="00FC57E0"/>
    <w:rsid w:val="00FC5909"/>
    <w:rsid w:val="00FC6179"/>
    <w:rsid w:val="00FC6299"/>
    <w:rsid w:val="00FC6572"/>
    <w:rsid w:val="00FC6728"/>
    <w:rsid w:val="00FC675A"/>
    <w:rsid w:val="00FC67E8"/>
    <w:rsid w:val="00FC6997"/>
    <w:rsid w:val="00FC69AC"/>
    <w:rsid w:val="00FC7024"/>
    <w:rsid w:val="00FC72DC"/>
    <w:rsid w:val="00FC7EBB"/>
    <w:rsid w:val="00FC7F16"/>
    <w:rsid w:val="00FD00FE"/>
    <w:rsid w:val="00FD01CA"/>
    <w:rsid w:val="00FD06BA"/>
    <w:rsid w:val="00FD0781"/>
    <w:rsid w:val="00FD0861"/>
    <w:rsid w:val="00FD08B0"/>
    <w:rsid w:val="00FD0CC3"/>
    <w:rsid w:val="00FD0EC7"/>
    <w:rsid w:val="00FD11B6"/>
    <w:rsid w:val="00FD12F6"/>
    <w:rsid w:val="00FD13D7"/>
    <w:rsid w:val="00FD1453"/>
    <w:rsid w:val="00FD14C1"/>
    <w:rsid w:val="00FD194C"/>
    <w:rsid w:val="00FD1D7C"/>
    <w:rsid w:val="00FD1FFE"/>
    <w:rsid w:val="00FD221B"/>
    <w:rsid w:val="00FD2261"/>
    <w:rsid w:val="00FD23E4"/>
    <w:rsid w:val="00FD241A"/>
    <w:rsid w:val="00FD29E4"/>
    <w:rsid w:val="00FD311D"/>
    <w:rsid w:val="00FD378A"/>
    <w:rsid w:val="00FD384C"/>
    <w:rsid w:val="00FD38B9"/>
    <w:rsid w:val="00FD3AD7"/>
    <w:rsid w:val="00FD3C0C"/>
    <w:rsid w:val="00FD3C6C"/>
    <w:rsid w:val="00FD3D6D"/>
    <w:rsid w:val="00FD3D91"/>
    <w:rsid w:val="00FD3E8B"/>
    <w:rsid w:val="00FD432B"/>
    <w:rsid w:val="00FD47D6"/>
    <w:rsid w:val="00FD4A6A"/>
    <w:rsid w:val="00FD4B81"/>
    <w:rsid w:val="00FD4DFD"/>
    <w:rsid w:val="00FD4E93"/>
    <w:rsid w:val="00FD4F54"/>
    <w:rsid w:val="00FD51E5"/>
    <w:rsid w:val="00FD52A5"/>
    <w:rsid w:val="00FD5491"/>
    <w:rsid w:val="00FD56AE"/>
    <w:rsid w:val="00FD5853"/>
    <w:rsid w:val="00FD5888"/>
    <w:rsid w:val="00FD58D6"/>
    <w:rsid w:val="00FD5A57"/>
    <w:rsid w:val="00FD5AF1"/>
    <w:rsid w:val="00FD5B70"/>
    <w:rsid w:val="00FD5C8B"/>
    <w:rsid w:val="00FD5E3B"/>
    <w:rsid w:val="00FD5E48"/>
    <w:rsid w:val="00FD6336"/>
    <w:rsid w:val="00FD6441"/>
    <w:rsid w:val="00FD6456"/>
    <w:rsid w:val="00FD683E"/>
    <w:rsid w:val="00FD68FD"/>
    <w:rsid w:val="00FD6AF1"/>
    <w:rsid w:val="00FD6D0C"/>
    <w:rsid w:val="00FD6D9B"/>
    <w:rsid w:val="00FD700A"/>
    <w:rsid w:val="00FD70FE"/>
    <w:rsid w:val="00FD726A"/>
    <w:rsid w:val="00FD73E9"/>
    <w:rsid w:val="00FD7A21"/>
    <w:rsid w:val="00FD7B02"/>
    <w:rsid w:val="00FD7B06"/>
    <w:rsid w:val="00FD7B93"/>
    <w:rsid w:val="00FD7E29"/>
    <w:rsid w:val="00FE009B"/>
    <w:rsid w:val="00FE0128"/>
    <w:rsid w:val="00FE01E1"/>
    <w:rsid w:val="00FE03E5"/>
    <w:rsid w:val="00FE0969"/>
    <w:rsid w:val="00FE0C25"/>
    <w:rsid w:val="00FE157F"/>
    <w:rsid w:val="00FE1761"/>
    <w:rsid w:val="00FE19A6"/>
    <w:rsid w:val="00FE19E3"/>
    <w:rsid w:val="00FE1A8E"/>
    <w:rsid w:val="00FE1D1A"/>
    <w:rsid w:val="00FE2199"/>
    <w:rsid w:val="00FE21DD"/>
    <w:rsid w:val="00FE22E8"/>
    <w:rsid w:val="00FE25C1"/>
    <w:rsid w:val="00FE2A33"/>
    <w:rsid w:val="00FE2B68"/>
    <w:rsid w:val="00FE2B86"/>
    <w:rsid w:val="00FE2C76"/>
    <w:rsid w:val="00FE2CC1"/>
    <w:rsid w:val="00FE2CD4"/>
    <w:rsid w:val="00FE2D74"/>
    <w:rsid w:val="00FE2F14"/>
    <w:rsid w:val="00FE305A"/>
    <w:rsid w:val="00FE320D"/>
    <w:rsid w:val="00FE322F"/>
    <w:rsid w:val="00FE341A"/>
    <w:rsid w:val="00FE35A0"/>
    <w:rsid w:val="00FE3704"/>
    <w:rsid w:val="00FE37A0"/>
    <w:rsid w:val="00FE387A"/>
    <w:rsid w:val="00FE3BEF"/>
    <w:rsid w:val="00FE3C03"/>
    <w:rsid w:val="00FE3CB3"/>
    <w:rsid w:val="00FE40F7"/>
    <w:rsid w:val="00FE43D4"/>
    <w:rsid w:val="00FE44C7"/>
    <w:rsid w:val="00FE45CA"/>
    <w:rsid w:val="00FE4FC4"/>
    <w:rsid w:val="00FE5038"/>
    <w:rsid w:val="00FE5115"/>
    <w:rsid w:val="00FE51F2"/>
    <w:rsid w:val="00FE52AD"/>
    <w:rsid w:val="00FE56F5"/>
    <w:rsid w:val="00FE5979"/>
    <w:rsid w:val="00FE59A3"/>
    <w:rsid w:val="00FE5A1E"/>
    <w:rsid w:val="00FE5C35"/>
    <w:rsid w:val="00FE5D33"/>
    <w:rsid w:val="00FE5EFF"/>
    <w:rsid w:val="00FE5FCA"/>
    <w:rsid w:val="00FE6089"/>
    <w:rsid w:val="00FE65FF"/>
    <w:rsid w:val="00FE662B"/>
    <w:rsid w:val="00FE6729"/>
    <w:rsid w:val="00FE699F"/>
    <w:rsid w:val="00FE6AE7"/>
    <w:rsid w:val="00FE6C87"/>
    <w:rsid w:val="00FE6F07"/>
    <w:rsid w:val="00FE7655"/>
    <w:rsid w:val="00FE788C"/>
    <w:rsid w:val="00FE78F5"/>
    <w:rsid w:val="00FE7B21"/>
    <w:rsid w:val="00FE7B61"/>
    <w:rsid w:val="00FE7B87"/>
    <w:rsid w:val="00FF0375"/>
    <w:rsid w:val="00FF0513"/>
    <w:rsid w:val="00FF0584"/>
    <w:rsid w:val="00FF080E"/>
    <w:rsid w:val="00FF08BA"/>
    <w:rsid w:val="00FF0FBB"/>
    <w:rsid w:val="00FF11FE"/>
    <w:rsid w:val="00FF15DE"/>
    <w:rsid w:val="00FF171A"/>
    <w:rsid w:val="00FF175C"/>
    <w:rsid w:val="00FF1D17"/>
    <w:rsid w:val="00FF23F1"/>
    <w:rsid w:val="00FF242B"/>
    <w:rsid w:val="00FF2A87"/>
    <w:rsid w:val="00FF2B19"/>
    <w:rsid w:val="00FF2C29"/>
    <w:rsid w:val="00FF2DFD"/>
    <w:rsid w:val="00FF3108"/>
    <w:rsid w:val="00FF3208"/>
    <w:rsid w:val="00FF32F6"/>
    <w:rsid w:val="00FF35AE"/>
    <w:rsid w:val="00FF35CF"/>
    <w:rsid w:val="00FF3759"/>
    <w:rsid w:val="00FF39E7"/>
    <w:rsid w:val="00FF3BE4"/>
    <w:rsid w:val="00FF3F74"/>
    <w:rsid w:val="00FF4304"/>
    <w:rsid w:val="00FF44B2"/>
    <w:rsid w:val="00FF4597"/>
    <w:rsid w:val="00FF466B"/>
    <w:rsid w:val="00FF46FA"/>
    <w:rsid w:val="00FF4909"/>
    <w:rsid w:val="00FF4C58"/>
    <w:rsid w:val="00FF4C59"/>
    <w:rsid w:val="00FF501E"/>
    <w:rsid w:val="00FF51F0"/>
    <w:rsid w:val="00FF53DC"/>
    <w:rsid w:val="00FF53F6"/>
    <w:rsid w:val="00FF5468"/>
    <w:rsid w:val="00FF54E2"/>
    <w:rsid w:val="00FF5803"/>
    <w:rsid w:val="00FF5BEF"/>
    <w:rsid w:val="00FF5D8D"/>
    <w:rsid w:val="00FF5F6E"/>
    <w:rsid w:val="00FF63AA"/>
    <w:rsid w:val="00FF653C"/>
    <w:rsid w:val="00FF65CD"/>
    <w:rsid w:val="00FF66B5"/>
    <w:rsid w:val="00FF6903"/>
    <w:rsid w:val="00FF6AAB"/>
    <w:rsid w:val="00FF6D13"/>
    <w:rsid w:val="00FF6FC5"/>
    <w:rsid w:val="00FF7B44"/>
    <w:rsid w:val="00FF7C6E"/>
    <w:rsid w:val="00FF7F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82737F"/>
  <w14:defaultImageDpi w14:val="330"/>
  <w15:docId w15:val="{193D7F72-F5A5-4121-A086-BADBD6ADC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EE56B1"/>
    <w:rPr>
      <w:rFonts w:ascii="Calibri" w:hAnsi="Calibri"/>
      <w:lang w:val="sk-SK"/>
    </w:rPr>
  </w:style>
  <w:style w:type="paragraph" w:styleId="Nadpis1">
    <w:name w:val="heading 1"/>
    <w:basedOn w:val="Normlny"/>
    <w:next w:val="Normlny"/>
    <w:link w:val="Nadpis1Char"/>
    <w:uiPriority w:val="9"/>
    <w:qFormat/>
    <w:rsid w:val="00671CF8"/>
    <w:pPr>
      <w:keepNext/>
      <w:keepLines/>
      <w:numPr>
        <w:numId w:val="2"/>
      </w:numPr>
      <w:tabs>
        <w:tab w:val="left" w:pos="426"/>
      </w:tabs>
      <w:ind w:left="502"/>
      <w:outlineLvl w:val="0"/>
    </w:pPr>
    <w:rPr>
      <w:rFonts w:asciiTheme="majorHAnsi" w:eastAsiaTheme="majorEastAsia" w:hAnsiTheme="majorHAnsi" w:cstheme="majorBidi"/>
      <w:b/>
      <w:bCs/>
      <w:color w:val="365F91" w:themeColor="accent1" w:themeShade="BF"/>
    </w:rPr>
  </w:style>
  <w:style w:type="paragraph" w:styleId="Nadpis2">
    <w:name w:val="heading 2"/>
    <w:basedOn w:val="Normlny"/>
    <w:next w:val="Normlny"/>
    <w:link w:val="Nadpis2Char"/>
    <w:uiPriority w:val="9"/>
    <w:unhideWhenUsed/>
    <w:qFormat/>
    <w:rsid w:val="00060D1F"/>
    <w:pPr>
      <w:keepNext/>
      <w:keepLines/>
      <w:numPr>
        <w:ilvl w:val="1"/>
        <w:numId w:val="2"/>
      </w:numPr>
      <w:tabs>
        <w:tab w:val="left" w:pos="567"/>
      </w:tabs>
      <w:spacing w:after="120"/>
      <w:outlineLvl w:val="1"/>
    </w:pPr>
    <w:rPr>
      <w:rFonts w:asciiTheme="majorHAnsi" w:eastAsiaTheme="majorEastAsia" w:hAnsiTheme="majorHAnsi" w:cstheme="majorBidi"/>
      <w:b/>
      <w:bCs/>
      <w:color w:val="0F243E" w:themeColor="text2" w:themeShade="80"/>
      <w:sz w:val="26"/>
      <w:szCs w:val="26"/>
    </w:rPr>
  </w:style>
  <w:style w:type="paragraph" w:styleId="Nadpis3">
    <w:name w:val="heading 3"/>
    <w:basedOn w:val="Normlny"/>
    <w:next w:val="Normlny"/>
    <w:link w:val="Nadpis3Char"/>
    <w:autoRedefine/>
    <w:uiPriority w:val="9"/>
    <w:unhideWhenUsed/>
    <w:qFormat/>
    <w:rsid w:val="004B48AC"/>
    <w:pPr>
      <w:keepNext/>
      <w:keepLines/>
      <w:numPr>
        <w:numId w:val="21"/>
      </w:numPr>
      <w:tabs>
        <w:tab w:val="left" w:pos="567"/>
      </w:tabs>
      <w:spacing w:before="120" w:after="120" w:line="276" w:lineRule="auto"/>
      <w:ind w:left="357" w:hanging="357"/>
      <w:outlineLvl w:val="2"/>
    </w:pPr>
    <w:rPr>
      <w:rFonts w:asciiTheme="majorHAnsi" w:eastAsiaTheme="majorEastAsia" w:hAnsiTheme="majorHAnsi" w:cstheme="majorBidi"/>
      <w:b/>
      <w:bCs/>
      <w:szCs w:val="22"/>
    </w:rPr>
  </w:style>
  <w:style w:type="paragraph" w:styleId="Nadpis4">
    <w:name w:val="heading 4"/>
    <w:basedOn w:val="Normlny"/>
    <w:next w:val="Normlny"/>
    <w:link w:val="Nadpis4Char"/>
    <w:uiPriority w:val="9"/>
    <w:unhideWhenUsed/>
    <w:qFormat/>
    <w:rsid w:val="00F33693"/>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0D7F2C"/>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unhideWhenUsed/>
    <w:qFormat/>
    <w:rsid w:val="00F3369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71CF8"/>
    <w:rPr>
      <w:rFonts w:asciiTheme="majorHAnsi" w:eastAsiaTheme="majorEastAsia" w:hAnsiTheme="majorHAnsi" w:cstheme="majorBidi"/>
      <w:b/>
      <w:bCs/>
      <w:color w:val="365F91" w:themeColor="accent1" w:themeShade="BF"/>
      <w:lang w:val="sk-SK"/>
    </w:rPr>
  </w:style>
  <w:style w:type="character" w:customStyle="1" w:styleId="Nadpis2Char">
    <w:name w:val="Nadpis 2 Char"/>
    <w:basedOn w:val="Predvolenpsmoodseku"/>
    <w:link w:val="Nadpis2"/>
    <w:uiPriority w:val="9"/>
    <w:rsid w:val="00060D1F"/>
    <w:rPr>
      <w:rFonts w:asciiTheme="majorHAnsi" w:eastAsiaTheme="majorEastAsia" w:hAnsiTheme="majorHAnsi" w:cstheme="majorBidi"/>
      <w:b/>
      <w:bCs/>
      <w:color w:val="0F243E" w:themeColor="text2" w:themeShade="80"/>
      <w:sz w:val="26"/>
      <w:szCs w:val="26"/>
      <w:lang w:val="sk-SK"/>
    </w:rPr>
  </w:style>
  <w:style w:type="character" w:customStyle="1" w:styleId="Nadpis3Char">
    <w:name w:val="Nadpis 3 Char"/>
    <w:basedOn w:val="Predvolenpsmoodseku"/>
    <w:link w:val="Nadpis3"/>
    <w:uiPriority w:val="9"/>
    <w:rsid w:val="004B48AC"/>
    <w:rPr>
      <w:rFonts w:asciiTheme="majorHAnsi" w:eastAsiaTheme="majorEastAsia" w:hAnsiTheme="majorHAnsi" w:cstheme="majorBidi"/>
      <w:b/>
      <w:bCs/>
      <w:szCs w:val="22"/>
      <w:lang w:val="sk-SK"/>
    </w:rPr>
  </w:style>
  <w:style w:type="character" w:customStyle="1" w:styleId="Nadpis4Char">
    <w:name w:val="Nadpis 4 Char"/>
    <w:basedOn w:val="Predvolenpsmoodseku"/>
    <w:link w:val="Nadpis4"/>
    <w:uiPriority w:val="9"/>
    <w:rsid w:val="00F33693"/>
    <w:rPr>
      <w:rFonts w:asciiTheme="majorHAnsi" w:eastAsiaTheme="majorEastAsia" w:hAnsiTheme="majorHAnsi" w:cstheme="majorBidi"/>
      <w:b/>
      <w:bCs/>
      <w:i/>
      <w:iCs/>
      <w:color w:val="4F81BD" w:themeColor="accent1"/>
    </w:rPr>
  </w:style>
  <w:style w:type="character" w:customStyle="1" w:styleId="Nadpis5Char">
    <w:name w:val="Nadpis 5 Char"/>
    <w:basedOn w:val="Predvolenpsmoodseku"/>
    <w:link w:val="Nadpis5"/>
    <w:uiPriority w:val="9"/>
    <w:rsid w:val="000D7F2C"/>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uiPriority w:val="9"/>
    <w:rsid w:val="00F33693"/>
    <w:rPr>
      <w:rFonts w:asciiTheme="majorHAnsi" w:eastAsiaTheme="majorEastAsia" w:hAnsiTheme="majorHAnsi" w:cstheme="majorBidi"/>
      <w:i/>
      <w:iCs/>
      <w:color w:val="243F60" w:themeColor="accent1" w:themeShade="7F"/>
    </w:rPr>
  </w:style>
  <w:style w:type="paragraph" w:styleId="Hlavika">
    <w:name w:val="header"/>
    <w:basedOn w:val="Normlny"/>
    <w:link w:val="HlavikaChar"/>
    <w:uiPriority w:val="99"/>
    <w:unhideWhenUsed/>
    <w:qFormat/>
    <w:rsid w:val="0030006A"/>
    <w:pPr>
      <w:tabs>
        <w:tab w:val="center" w:pos="4320"/>
        <w:tab w:val="right" w:pos="8640"/>
      </w:tabs>
    </w:pPr>
  </w:style>
  <w:style w:type="character" w:customStyle="1" w:styleId="HlavikaChar">
    <w:name w:val="Hlavička Char"/>
    <w:basedOn w:val="Predvolenpsmoodseku"/>
    <w:link w:val="Hlavika"/>
    <w:uiPriority w:val="99"/>
    <w:rsid w:val="0030006A"/>
  </w:style>
  <w:style w:type="paragraph" w:styleId="Pta">
    <w:name w:val="footer"/>
    <w:basedOn w:val="Normlny"/>
    <w:link w:val="PtaChar"/>
    <w:uiPriority w:val="99"/>
    <w:unhideWhenUsed/>
    <w:rsid w:val="0030006A"/>
    <w:pPr>
      <w:tabs>
        <w:tab w:val="center" w:pos="4320"/>
        <w:tab w:val="right" w:pos="8640"/>
      </w:tabs>
    </w:pPr>
  </w:style>
  <w:style w:type="character" w:customStyle="1" w:styleId="PtaChar">
    <w:name w:val="Päta Char"/>
    <w:basedOn w:val="Predvolenpsmoodseku"/>
    <w:link w:val="Pta"/>
    <w:uiPriority w:val="99"/>
    <w:rsid w:val="0030006A"/>
  </w:style>
  <w:style w:type="paragraph" w:styleId="Textbubliny">
    <w:name w:val="Balloon Text"/>
    <w:basedOn w:val="Normlny"/>
    <w:link w:val="TextbublinyChar"/>
    <w:uiPriority w:val="99"/>
    <w:semiHidden/>
    <w:unhideWhenUsed/>
    <w:rsid w:val="0030006A"/>
    <w:rPr>
      <w:rFonts w:ascii="Lucida Grande" w:hAnsi="Lucida Grande"/>
      <w:sz w:val="18"/>
      <w:szCs w:val="18"/>
    </w:rPr>
  </w:style>
  <w:style w:type="character" w:customStyle="1" w:styleId="TextbublinyChar">
    <w:name w:val="Text bubliny Char"/>
    <w:basedOn w:val="Predvolenpsmoodseku"/>
    <w:link w:val="Textbubliny"/>
    <w:uiPriority w:val="99"/>
    <w:semiHidden/>
    <w:rsid w:val="0030006A"/>
    <w:rPr>
      <w:rFonts w:ascii="Lucida Grande" w:hAnsi="Lucida Grande"/>
      <w:sz w:val="18"/>
      <w:szCs w:val="18"/>
    </w:rPr>
  </w:style>
  <w:style w:type="character" w:styleId="slostrany">
    <w:name w:val="page number"/>
    <w:basedOn w:val="Predvolenpsmoodseku"/>
    <w:uiPriority w:val="99"/>
    <w:semiHidden/>
    <w:unhideWhenUsed/>
    <w:rsid w:val="0030006A"/>
  </w:style>
  <w:style w:type="paragraph" w:customStyle="1" w:styleId="Default">
    <w:name w:val="Default"/>
    <w:rsid w:val="005A1790"/>
    <w:pPr>
      <w:widowControl w:val="0"/>
      <w:autoSpaceDE w:val="0"/>
      <w:autoSpaceDN w:val="0"/>
      <w:adjustRightInd w:val="0"/>
    </w:pPr>
    <w:rPr>
      <w:rFonts w:ascii="Myriad Pro" w:hAnsi="Myriad Pro" w:cs="Myriad Pro"/>
      <w:color w:val="000000"/>
    </w:rPr>
  </w:style>
  <w:style w:type="paragraph" w:styleId="Bezriadkovania">
    <w:name w:val="No Spacing"/>
    <w:uiPriority w:val="1"/>
    <w:qFormat/>
    <w:rsid w:val="00BC552E"/>
    <w:rPr>
      <w:rFonts w:ascii="Calibri" w:eastAsia="Times New Roman" w:hAnsi="Calibri" w:cs="Times New Roman"/>
      <w:sz w:val="22"/>
      <w:szCs w:val="22"/>
      <w:lang w:val="sk-SK" w:eastAsia="sk-SK"/>
    </w:rPr>
  </w:style>
  <w:style w:type="paragraph" w:styleId="Odsekzoznamu">
    <w:name w:val="List Paragraph"/>
    <w:aliases w:val="body"/>
    <w:basedOn w:val="Normlny"/>
    <w:link w:val="OdsekzoznamuChar"/>
    <w:uiPriority w:val="34"/>
    <w:qFormat/>
    <w:rsid w:val="004715E3"/>
    <w:pPr>
      <w:spacing w:after="200" w:line="276" w:lineRule="auto"/>
      <w:ind w:left="720"/>
      <w:contextualSpacing/>
    </w:pPr>
    <w:rPr>
      <w:rFonts w:eastAsia="Times New Roman" w:cs="Times New Roman"/>
      <w:sz w:val="22"/>
      <w:szCs w:val="22"/>
      <w:lang w:eastAsia="sk-SK"/>
    </w:rPr>
  </w:style>
  <w:style w:type="table" w:styleId="Mriekatabuky">
    <w:name w:val="Table Grid"/>
    <w:basedOn w:val="Normlnatabuka"/>
    <w:uiPriority w:val="39"/>
    <w:rsid w:val="004715E3"/>
    <w:rPr>
      <w:rFonts w:eastAsiaTheme="minorHAns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link w:val="ZkladntextChar"/>
    <w:uiPriority w:val="99"/>
    <w:semiHidden/>
    <w:unhideWhenUsed/>
    <w:rsid w:val="00FD11B6"/>
    <w:pPr>
      <w:widowControl w:val="0"/>
      <w:snapToGrid w:val="0"/>
    </w:pPr>
    <w:rPr>
      <w:rFonts w:ascii="Times New Roman" w:eastAsia="Times New Roman" w:hAnsi="Times New Roman" w:cs="Times New Roman"/>
      <w:color w:val="000000"/>
      <w:szCs w:val="20"/>
      <w:lang w:val="cs-CZ" w:eastAsia="sk-SK"/>
    </w:rPr>
  </w:style>
  <w:style w:type="character" w:customStyle="1" w:styleId="ZkladntextChar">
    <w:name w:val="Základný text Char"/>
    <w:basedOn w:val="Predvolenpsmoodseku"/>
    <w:link w:val="Zkladntext"/>
    <w:uiPriority w:val="99"/>
    <w:semiHidden/>
    <w:rsid w:val="00FD11B6"/>
    <w:rPr>
      <w:rFonts w:ascii="Times New Roman" w:eastAsia="Times New Roman" w:hAnsi="Times New Roman" w:cs="Times New Roman"/>
      <w:color w:val="000000"/>
      <w:szCs w:val="20"/>
      <w:lang w:val="cs-CZ" w:eastAsia="sk-SK"/>
    </w:rPr>
  </w:style>
  <w:style w:type="character" w:styleId="Hypertextovprepojenie">
    <w:name w:val="Hyperlink"/>
    <w:basedOn w:val="Predvolenpsmoodseku"/>
    <w:uiPriority w:val="99"/>
    <w:unhideWhenUsed/>
    <w:rsid w:val="00B55F7C"/>
    <w:rPr>
      <w:color w:val="0000FF" w:themeColor="hyperlink"/>
      <w:u w:val="single"/>
    </w:rPr>
  </w:style>
  <w:style w:type="table" w:styleId="Svetlzoznamzvraznenie2">
    <w:name w:val="Light List Accent 2"/>
    <w:basedOn w:val="Normlnatabuka"/>
    <w:uiPriority w:val="61"/>
    <w:rsid w:val="00CE2F61"/>
    <w:rPr>
      <w:rFonts w:eastAsiaTheme="minorHAnsi"/>
      <w:sz w:val="22"/>
      <w:szCs w:val="22"/>
      <w:lang w:val="sk-S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extkomentra">
    <w:name w:val="annotation text"/>
    <w:basedOn w:val="Normlny"/>
    <w:link w:val="TextkomentraChar"/>
    <w:uiPriority w:val="99"/>
    <w:semiHidden/>
    <w:unhideWhenUsed/>
    <w:rsid w:val="00EC20A0"/>
    <w:pPr>
      <w:spacing w:after="200" w:line="276" w:lineRule="auto"/>
    </w:pPr>
    <w:rPr>
      <w:rFonts w:eastAsia="Times New Roman" w:cs="Times New Roman"/>
      <w:sz w:val="20"/>
      <w:szCs w:val="20"/>
      <w:lang w:eastAsia="sk-SK"/>
    </w:rPr>
  </w:style>
  <w:style w:type="character" w:customStyle="1" w:styleId="TextkomentraChar">
    <w:name w:val="Text komentára Char"/>
    <w:basedOn w:val="Predvolenpsmoodseku"/>
    <w:link w:val="Textkomentra"/>
    <w:uiPriority w:val="99"/>
    <w:semiHidden/>
    <w:rsid w:val="00EC20A0"/>
    <w:rPr>
      <w:rFonts w:ascii="Calibri" w:eastAsia="Times New Roman" w:hAnsi="Calibri" w:cs="Times New Roman"/>
      <w:sz w:val="20"/>
      <w:szCs w:val="20"/>
      <w:lang w:val="sk-SK" w:eastAsia="sk-SK"/>
    </w:rPr>
  </w:style>
  <w:style w:type="character" w:styleId="Odkaznakomentr">
    <w:name w:val="annotation reference"/>
    <w:uiPriority w:val="99"/>
    <w:semiHidden/>
    <w:unhideWhenUsed/>
    <w:rsid w:val="00EC20A0"/>
    <w:rPr>
      <w:sz w:val="16"/>
      <w:szCs w:val="16"/>
    </w:rPr>
  </w:style>
  <w:style w:type="paragraph" w:styleId="Textpoznmkypodiarou">
    <w:name w:val="footnote text"/>
    <w:basedOn w:val="Normlny"/>
    <w:link w:val="TextpoznmkypodiarouChar"/>
    <w:uiPriority w:val="99"/>
    <w:semiHidden/>
    <w:unhideWhenUsed/>
    <w:rsid w:val="005F1FA0"/>
    <w:rPr>
      <w:rFonts w:ascii="Times New Roman" w:eastAsia="Times New Roman" w:hAnsi="Times New Roman" w:cs="Times New Roman"/>
      <w:sz w:val="20"/>
      <w:szCs w:val="20"/>
      <w:lang w:eastAsia="sk-SK"/>
    </w:rPr>
  </w:style>
  <w:style w:type="character" w:customStyle="1" w:styleId="TextpoznmkypodiarouChar">
    <w:name w:val="Text poznámky pod čiarou Char"/>
    <w:basedOn w:val="Predvolenpsmoodseku"/>
    <w:link w:val="Textpoznmkypodiarou"/>
    <w:uiPriority w:val="99"/>
    <w:semiHidden/>
    <w:rsid w:val="005F1FA0"/>
    <w:rPr>
      <w:rFonts w:ascii="Times New Roman" w:eastAsia="Times New Roman" w:hAnsi="Times New Roman" w:cs="Times New Roman"/>
      <w:sz w:val="20"/>
      <w:szCs w:val="20"/>
      <w:lang w:val="sk-SK" w:eastAsia="sk-SK"/>
    </w:rPr>
  </w:style>
  <w:style w:type="paragraph" w:customStyle="1" w:styleId="tlArial11ptTunervenPodaokraja">
    <w:name w:val="Štýl Arial 11 pt Tučné Červená Podľa okraja"/>
    <w:basedOn w:val="Normlny"/>
    <w:rsid w:val="005F1FA0"/>
    <w:pPr>
      <w:jc w:val="both"/>
    </w:pPr>
    <w:rPr>
      <w:rFonts w:ascii="Arial" w:eastAsia="Times New Roman" w:hAnsi="Arial" w:cs="Times New Roman"/>
      <w:bCs/>
      <w:sz w:val="22"/>
      <w:szCs w:val="20"/>
      <w:lang w:eastAsia="cs-CZ"/>
    </w:rPr>
  </w:style>
  <w:style w:type="character" w:styleId="Odkaznapoznmkupodiarou">
    <w:name w:val="footnote reference"/>
    <w:basedOn w:val="Predvolenpsmoodseku"/>
    <w:uiPriority w:val="99"/>
    <w:semiHidden/>
    <w:unhideWhenUsed/>
    <w:rsid w:val="005F1FA0"/>
    <w:rPr>
      <w:vertAlign w:val="superscript"/>
    </w:rPr>
  </w:style>
  <w:style w:type="paragraph" w:styleId="Normlnywebov">
    <w:name w:val="Normal (Web)"/>
    <w:basedOn w:val="Normlny"/>
    <w:uiPriority w:val="99"/>
    <w:unhideWhenUsed/>
    <w:rsid w:val="0004531A"/>
    <w:pPr>
      <w:spacing w:before="100" w:beforeAutospacing="1" w:after="100" w:afterAutospacing="1"/>
    </w:pPr>
    <w:rPr>
      <w:rFonts w:ascii="Times New Roman" w:eastAsia="Times New Roman" w:hAnsi="Times New Roman" w:cs="Times New Roman"/>
      <w:lang w:eastAsia="sk-SK"/>
    </w:rPr>
  </w:style>
  <w:style w:type="paragraph" w:styleId="Zarkazkladnhotextu">
    <w:name w:val="Body Text Indent"/>
    <w:basedOn w:val="Normlny"/>
    <w:link w:val="ZarkazkladnhotextuChar"/>
    <w:unhideWhenUsed/>
    <w:rsid w:val="0004531A"/>
    <w:pPr>
      <w:spacing w:after="120"/>
      <w:ind w:left="283"/>
    </w:pPr>
    <w:rPr>
      <w:rFonts w:ascii="Times New Roman" w:eastAsia="Times New Roman" w:hAnsi="Times New Roman" w:cs="Times New Roman"/>
      <w:lang w:eastAsia="sk-SK"/>
    </w:rPr>
  </w:style>
  <w:style w:type="character" w:customStyle="1" w:styleId="ZarkazkladnhotextuChar">
    <w:name w:val="Zarážka základného textu Char"/>
    <w:basedOn w:val="Predvolenpsmoodseku"/>
    <w:link w:val="Zarkazkladnhotextu"/>
    <w:rsid w:val="0004531A"/>
    <w:rPr>
      <w:rFonts w:ascii="Times New Roman" w:eastAsia="Times New Roman" w:hAnsi="Times New Roman" w:cs="Times New Roman"/>
      <w:lang w:val="sk-SK" w:eastAsia="sk-SK"/>
    </w:rPr>
  </w:style>
  <w:style w:type="character" w:styleId="Vrazn">
    <w:name w:val="Strong"/>
    <w:basedOn w:val="Predvolenpsmoodseku"/>
    <w:uiPriority w:val="22"/>
    <w:qFormat/>
    <w:rsid w:val="0004531A"/>
    <w:rPr>
      <w:b/>
      <w:bCs/>
    </w:rPr>
  </w:style>
  <w:style w:type="character" w:styleId="PouitHypertextovPrepojenie">
    <w:name w:val="FollowedHyperlink"/>
    <w:uiPriority w:val="99"/>
    <w:semiHidden/>
    <w:unhideWhenUsed/>
    <w:rsid w:val="00EA4980"/>
    <w:rPr>
      <w:rFonts w:ascii="Times New Roman" w:hAnsi="Times New Roman" w:cs="Times New Roman" w:hint="default"/>
      <w:color w:val="800080"/>
      <w:u w:val="single"/>
    </w:rPr>
  </w:style>
  <w:style w:type="paragraph" w:styleId="Nzov">
    <w:name w:val="Title"/>
    <w:basedOn w:val="Normlny"/>
    <w:link w:val="NzovChar"/>
    <w:uiPriority w:val="99"/>
    <w:qFormat/>
    <w:rsid w:val="00EA4980"/>
    <w:pPr>
      <w:jc w:val="center"/>
    </w:pPr>
    <w:rPr>
      <w:rFonts w:ascii="Times New Roman" w:eastAsia="Times New Roman" w:hAnsi="Times New Roman" w:cs="Times New Roman"/>
      <w:szCs w:val="20"/>
      <w:lang w:eastAsia="cs-CZ"/>
    </w:rPr>
  </w:style>
  <w:style w:type="character" w:customStyle="1" w:styleId="NzovChar">
    <w:name w:val="Názov Char"/>
    <w:basedOn w:val="Predvolenpsmoodseku"/>
    <w:link w:val="Nzov"/>
    <w:uiPriority w:val="99"/>
    <w:rsid w:val="00EA4980"/>
    <w:rPr>
      <w:rFonts w:ascii="Times New Roman" w:eastAsia="Times New Roman" w:hAnsi="Times New Roman" w:cs="Times New Roman"/>
      <w:szCs w:val="20"/>
      <w:lang w:val="sk-SK" w:eastAsia="cs-CZ"/>
    </w:rPr>
  </w:style>
  <w:style w:type="paragraph" w:styleId="Zkladntext2">
    <w:name w:val="Body Text 2"/>
    <w:basedOn w:val="Normlny"/>
    <w:link w:val="Zkladntext2Char"/>
    <w:uiPriority w:val="99"/>
    <w:unhideWhenUsed/>
    <w:rsid w:val="00EA4980"/>
    <w:pPr>
      <w:jc w:val="both"/>
    </w:pPr>
    <w:rPr>
      <w:rFonts w:ascii="Times New Roman" w:eastAsia="Times New Roman" w:hAnsi="Times New Roman" w:cs="Times New Roman"/>
      <w:sz w:val="22"/>
      <w:szCs w:val="20"/>
      <w:lang w:eastAsia="ko-KR"/>
    </w:rPr>
  </w:style>
  <w:style w:type="character" w:customStyle="1" w:styleId="Zkladntext2Char">
    <w:name w:val="Základný text 2 Char"/>
    <w:basedOn w:val="Predvolenpsmoodseku"/>
    <w:link w:val="Zkladntext2"/>
    <w:uiPriority w:val="99"/>
    <w:rsid w:val="00EA4980"/>
    <w:rPr>
      <w:rFonts w:ascii="Times New Roman" w:eastAsia="Times New Roman" w:hAnsi="Times New Roman" w:cs="Times New Roman"/>
      <w:sz w:val="22"/>
      <w:szCs w:val="20"/>
      <w:lang w:val="sk-SK" w:eastAsia="ko-KR"/>
    </w:rPr>
  </w:style>
  <w:style w:type="paragraph" w:styleId="Predmetkomentra">
    <w:name w:val="annotation subject"/>
    <w:basedOn w:val="Textkomentra"/>
    <w:next w:val="Textkomentra"/>
    <w:link w:val="PredmetkomentraChar"/>
    <w:uiPriority w:val="99"/>
    <w:semiHidden/>
    <w:unhideWhenUsed/>
    <w:rsid w:val="00EA4980"/>
    <w:pPr>
      <w:spacing w:line="240" w:lineRule="auto"/>
    </w:pPr>
    <w:rPr>
      <w:rFonts w:eastAsia="Calibri"/>
      <w:b/>
      <w:bCs/>
      <w:lang w:eastAsia="en-US"/>
    </w:rPr>
  </w:style>
  <w:style w:type="character" w:customStyle="1" w:styleId="PredmetkomentraChar">
    <w:name w:val="Predmet komentára Char"/>
    <w:basedOn w:val="TextkomentraChar"/>
    <w:link w:val="Predmetkomentra"/>
    <w:uiPriority w:val="99"/>
    <w:semiHidden/>
    <w:rsid w:val="00EA4980"/>
    <w:rPr>
      <w:rFonts w:ascii="Calibri" w:eastAsia="Calibri" w:hAnsi="Calibri" w:cs="Times New Roman"/>
      <w:b/>
      <w:bCs/>
      <w:sz w:val="20"/>
      <w:szCs w:val="20"/>
      <w:lang w:val="sk-SK" w:eastAsia="sk-SK"/>
    </w:rPr>
  </w:style>
  <w:style w:type="character" w:customStyle="1" w:styleId="apple-converted-space">
    <w:name w:val="apple-converted-space"/>
    <w:uiPriority w:val="99"/>
    <w:rsid w:val="00EA4980"/>
  </w:style>
  <w:style w:type="paragraph" w:customStyle="1" w:styleId="TableParagraph">
    <w:name w:val="Table Paragraph"/>
    <w:basedOn w:val="Normlny"/>
    <w:uiPriority w:val="1"/>
    <w:semiHidden/>
    <w:qFormat/>
    <w:rsid w:val="002071AC"/>
    <w:pPr>
      <w:widowControl w:val="0"/>
    </w:pPr>
    <w:rPr>
      <w:rFonts w:eastAsiaTheme="minorHAnsi"/>
      <w:sz w:val="22"/>
      <w:szCs w:val="22"/>
    </w:rPr>
  </w:style>
  <w:style w:type="table" w:customStyle="1" w:styleId="TableNormal">
    <w:name w:val="Table Normal"/>
    <w:uiPriority w:val="2"/>
    <w:semiHidden/>
    <w:qFormat/>
    <w:rsid w:val="002071AC"/>
    <w:pPr>
      <w:widowControl w:val="0"/>
    </w:pPr>
    <w:rPr>
      <w:rFonts w:eastAsiaTheme="minorHAnsi"/>
      <w:sz w:val="22"/>
      <w:szCs w:val="22"/>
    </w:rPr>
    <w:tblPr>
      <w:tblCellMar>
        <w:top w:w="0" w:type="dxa"/>
        <w:left w:w="0" w:type="dxa"/>
        <w:bottom w:w="0" w:type="dxa"/>
        <w:right w:w="0" w:type="dxa"/>
      </w:tblCellMar>
    </w:tblPr>
  </w:style>
  <w:style w:type="paragraph" w:styleId="Obyajntext">
    <w:name w:val="Plain Text"/>
    <w:basedOn w:val="Normlny"/>
    <w:link w:val="ObyajntextChar"/>
    <w:uiPriority w:val="99"/>
    <w:semiHidden/>
    <w:unhideWhenUsed/>
    <w:rsid w:val="006F1A7A"/>
    <w:rPr>
      <w:rFonts w:eastAsiaTheme="minorHAnsi"/>
      <w:sz w:val="22"/>
      <w:szCs w:val="21"/>
    </w:rPr>
  </w:style>
  <w:style w:type="character" w:customStyle="1" w:styleId="ObyajntextChar">
    <w:name w:val="Obyčajný text Char"/>
    <w:basedOn w:val="Predvolenpsmoodseku"/>
    <w:link w:val="Obyajntext"/>
    <w:uiPriority w:val="99"/>
    <w:semiHidden/>
    <w:rsid w:val="006F1A7A"/>
    <w:rPr>
      <w:rFonts w:ascii="Calibri" w:eastAsiaTheme="minorHAnsi" w:hAnsi="Calibri"/>
      <w:sz w:val="22"/>
      <w:szCs w:val="21"/>
      <w:lang w:val="sk-SK"/>
    </w:rPr>
  </w:style>
  <w:style w:type="paragraph" w:styleId="Hlavikaobsahu">
    <w:name w:val="TOC Heading"/>
    <w:basedOn w:val="Nadpis1"/>
    <w:next w:val="Normlny"/>
    <w:uiPriority w:val="39"/>
    <w:unhideWhenUsed/>
    <w:qFormat/>
    <w:rsid w:val="00F33693"/>
    <w:pPr>
      <w:outlineLvl w:val="9"/>
    </w:pPr>
    <w:rPr>
      <w:lang w:eastAsia="sk-SK"/>
    </w:rPr>
  </w:style>
  <w:style w:type="paragraph" w:styleId="Obsah1">
    <w:name w:val="toc 1"/>
    <w:basedOn w:val="Normlny"/>
    <w:next w:val="Normlny"/>
    <w:autoRedefine/>
    <w:uiPriority w:val="39"/>
    <w:unhideWhenUsed/>
    <w:rsid w:val="00657827"/>
    <w:pPr>
      <w:tabs>
        <w:tab w:val="left" w:pos="851"/>
        <w:tab w:val="right" w:leader="dot" w:pos="9488"/>
      </w:tabs>
      <w:ind w:left="851" w:hanging="851"/>
    </w:pPr>
    <w:rPr>
      <w:b/>
    </w:rPr>
  </w:style>
  <w:style w:type="paragraph" w:styleId="Podtitul">
    <w:name w:val="Subtitle"/>
    <w:basedOn w:val="Normlny"/>
    <w:next w:val="Normlny"/>
    <w:link w:val="PodtitulChar"/>
    <w:uiPriority w:val="11"/>
    <w:qFormat/>
    <w:rsid w:val="00F33693"/>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Predvolenpsmoodseku"/>
    <w:link w:val="Podtitul"/>
    <w:uiPriority w:val="11"/>
    <w:rsid w:val="00F33693"/>
    <w:rPr>
      <w:rFonts w:asciiTheme="majorHAnsi" w:eastAsiaTheme="majorEastAsia" w:hAnsiTheme="majorHAnsi" w:cstheme="majorBidi"/>
      <w:i/>
      <w:iCs/>
      <w:color w:val="4F81BD" w:themeColor="accent1"/>
      <w:spacing w:val="15"/>
    </w:rPr>
  </w:style>
  <w:style w:type="paragraph" w:styleId="Obsah2">
    <w:name w:val="toc 2"/>
    <w:basedOn w:val="Normlny"/>
    <w:next w:val="Normlny"/>
    <w:autoRedefine/>
    <w:uiPriority w:val="39"/>
    <w:unhideWhenUsed/>
    <w:rsid w:val="006D4FBD"/>
    <w:pPr>
      <w:tabs>
        <w:tab w:val="left" w:pos="880"/>
        <w:tab w:val="right" w:leader="dot" w:pos="9488"/>
      </w:tabs>
      <w:ind w:left="851" w:hanging="613"/>
    </w:pPr>
    <w:rPr>
      <w:noProof/>
    </w:rPr>
  </w:style>
  <w:style w:type="paragraph" w:styleId="Popis">
    <w:name w:val="caption"/>
    <w:basedOn w:val="Normlny"/>
    <w:next w:val="Normlny"/>
    <w:autoRedefine/>
    <w:uiPriority w:val="35"/>
    <w:unhideWhenUsed/>
    <w:qFormat/>
    <w:rsid w:val="000E3322"/>
    <w:pPr>
      <w:keepNext/>
      <w:spacing w:after="120"/>
      <w:jc w:val="both"/>
    </w:pPr>
    <w:rPr>
      <w:rFonts w:asciiTheme="majorHAnsi" w:hAnsiTheme="majorHAnsi" w:cstheme="majorHAnsi"/>
      <w:iCs/>
    </w:rPr>
  </w:style>
  <w:style w:type="paragraph" w:styleId="Zoznamobrzkov">
    <w:name w:val="table of figures"/>
    <w:basedOn w:val="Normlny"/>
    <w:next w:val="Normlny"/>
    <w:uiPriority w:val="99"/>
    <w:unhideWhenUsed/>
    <w:rsid w:val="00855F68"/>
  </w:style>
  <w:style w:type="character" w:customStyle="1" w:styleId="m-6072827416725835815msohyperlink">
    <w:name w:val="m_-6072827416725835815msohyperlink"/>
    <w:basedOn w:val="Predvolenpsmoodseku"/>
    <w:rsid w:val="009F699F"/>
  </w:style>
  <w:style w:type="paragraph" w:customStyle="1" w:styleId="msonormal0">
    <w:name w:val="msonormal"/>
    <w:basedOn w:val="Normlny"/>
    <w:rsid w:val="008206D3"/>
    <w:pPr>
      <w:spacing w:before="100" w:beforeAutospacing="1" w:after="100" w:afterAutospacing="1"/>
    </w:pPr>
    <w:rPr>
      <w:rFonts w:ascii="Times New Roman" w:eastAsia="Times New Roman" w:hAnsi="Times New Roman" w:cs="Times New Roman"/>
      <w:lang w:eastAsia="sk-SK"/>
    </w:rPr>
  </w:style>
  <w:style w:type="paragraph" w:customStyle="1" w:styleId="xl146">
    <w:name w:val="xl146"/>
    <w:basedOn w:val="Normlny"/>
    <w:rsid w:val="008206D3"/>
    <w:pPr>
      <w:spacing w:before="100" w:beforeAutospacing="1" w:after="100" w:afterAutospacing="1"/>
      <w:jc w:val="center"/>
      <w:textAlignment w:val="center"/>
    </w:pPr>
    <w:rPr>
      <w:rFonts w:eastAsia="Times New Roman" w:cs="Calibri"/>
      <w:sz w:val="18"/>
      <w:szCs w:val="18"/>
      <w:lang w:eastAsia="sk-SK"/>
    </w:rPr>
  </w:style>
  <w:style w:type="paragraph" w:customStyle="1" w:styleId="xl147">
    <w:name w:val="xl147"/>
    <w:basedOn w:val="Normlny"/>
    <w:rsid w:val="008206D3"/>
    <w:pPr>
      <w:spacing w:before="100" w:beforeAutospacing="1" w:after="100" w:afterAutospacing="1"/>
      <w:jc w:val="center"/>
      <w:textAlignment w:val="center"/>
    </w:pPr>
    <w:rPr>
      <w:rFonts w:eastAsia="Times New Roman" w:cs="Calibri"/>
      <w:lang w:eastAsia="sk-SK"/>
    </w:rPr>
  </w:style>
  <w:style w:type="paragraph" w:customStyle="1" w:styleId="xl148">
    <w:name w:val="xl148"/>
    <w:basedOn w:val="Normlny"/>
    <w:rsid w:val="008206D3"/>
    <w:pPr>
      <w:spacing w:before="100" w:beforeAutospacing="1" w:after="100" w:afterAutospacing="1"/>
      <w:textAlignment w:val="center"/>
    </w:pPr>
    <w:rPr>
      <w:rFonts w:eastAsia="Times New Roman" w:cs="Calibri"/>
      <w:lang w:eastAsia="sk-SK"/>
    </w:rPr>
  </w:style>
  <w:style w:type="paragraph" w:customStyle="1" w:styleId="xl149">
    <w:name w:val="xl149"/>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50">
    <w:name w:val="xl150"/>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51">
    <w:name w:val="xl151"/>
    <w:basedOn w:val="Normlny"/>
    <w:rsid w:val="008206D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lang w:eastAsia="sk-SK"/>
    </w:rPr>
  </w:style>
  <w:style w:type="paragraph" w:customStyle="1" w:styleId="xl152">
    <w:name w:val="xl152"/>
    <w:basedOn w:val="Normlny"/>
    <w:rsid w:val="008206D3"/>
    <w:pPr>
      <w:spacing w:before="100" w:beforeAutospacing="1" w:after="100" w:afterAutospacing="1"/>
      <w:textAlignment w:val="center"/>
    </w:pPr>
    <w:rPr>
      <w:rFonts w:eastAsia="Times New Roman" w:cs="Calibri"/>
      <w:color w:val="000000"/>
      <w:lang w:eastAsia="sk-SK"/>
    </w:rPr>
  </w:style>
  <w:style w:type="paragraph" w:customStyle="1" w:styleId="xl153">
    <w:name w:val="xl153"/>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b/>
      <w:bCs/>
      <w:sz w:val="18"/>
      <w:szCs w:val="18"/>
      <w:lang w:eastAsia="sk-SK"/>
    </w:rPr>
  </w:style>
  <w:style w:type="paragraph" w:customStyle="1" w:styleId="xl154">
    <w:name w:val="xl154"/>
    <w:basedOn w:val="Normlny"/>
    <w:rsid w:val="008206D3"/>
    <w:pPr>
      <w:spacing w:before="100" w:beforeAutospacing="1" w:after="100" w:afterAutospacing="1"/>
      <w:textAlignment w:val="center"/>
    </w:pPr>
    <w:rPr>
      <w:rFonts w:eastAsia="Times New Roman" w:cs="Calibri"/>
      <w:sz w:val="18"/>
      <w:szCs w:val="18"/>
      <w:lang w:eastAsia="sk-SK"/>
    </w:rPr>
  </w:style>
  <w:style w:type="paragraph" w:customStyle="1" w:styleId="xl155">
    <w:name w:val="xl155"/>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8"/>
      <w:szCs w:val="18"/>
      <w:lang w:eastAsia="sk-SK"/>
    </w:rPr>
  </w:style>
  <w:style w:type="paragraph" w:customStyle="1" w:styleId="xl156">
    <w:name w:val="xl156"/>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Calibri"/>
      <w:b/>
      <w:bCs/>
      <w:sz w:val="18"/>
      <w:szCs w:val="18"/>
      <w:lang w:eastAsia="sk-SK"/>
    </w:rPr>
  </w:style>
  <w:style w:type="paragraph" w:customStyle="1" w:styleId="xl157">
    <w:name w:val="xl157"/>
    <w:basedOn w:val="Normlny"/>
    <w:rsid w:val="008206D3"/>
    <w:pPr>
      <w:spacing w:before="100" w:beforeAutospacing="1" w:after="100" w:afterAutospacing="1"/>
      <w:textAlignment w:val="top"/>
    </w:pPr>
    <w:rPr>
      <w:rFonts w:eastAsia="Times New Roman" w:cs="Calibri"/>
      <w:sz w:val="18"/>
      <w:szCs w:val="18"/>
      <w:lang w:eastAsia="sk-SK"/>
    </w:rPr>
  </w:style>
  <w:style w:type="paragraph" w:customStyle="1" w:styleId="xl158">
    <w:name w:val="xl158"/>
    <w:basedOn w:val="Normlny"/>
    <w:rsid w:val="008206D3"/>
    <w:pPr>
      <w:spacing w:before="100" w:beforeAutospacing="1" w:after="100" w:afterAutospacing="1"/>
      <w:textAlignment w:val="center"/>
    </w:pPr>
    <w:rPr>
      <w:rFonts w:eastAsia="Times New Roman" w:cs="Calibri"/>
      <w:b/>
      <w:bCs/>
      <w:lang w:eastAsia="sk-SK"/>
    </w:rPr>
  </w:style>
  <w:style w:type="paragraph" w:customStyle="1" w:styleId="xl159">
    <w:name w:val="xl159"/>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lang w:eastAsia="sk-SK"/>
    </w:rPr>
  </w:style>
  <w:style w:type="paragraph" w:customStyle="1" w:styleId="xl160">
    <w:name w:val="xl160"/>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lang w:eastAsia="sk-SK"/>
    </w:rPr>
  </w:style>
  <w:style w:type="paragraph" w:customStyle="1" w:styleId="xl161">
    <w:name w:val="xl161"/>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Calibri"/>
      <w:sz w:val="18"/>
      <w:szCs w:val="18"/>
      <w:lang w:eastAsia="sk-SK"/>
    </w:rPr>
  </w:style>
  <w:style w:type="paragraph" w:customStyle="1" w:styleId="xl162">
    <w:name w:val="xl162"/>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color w:val="FF0000"/>
      <w:lang w:eastAsia="sk-SK"/>
    </w:rPr>
  </w:style>
  <w:style w:type="paragraph" w:customStyle="1" w:styleId="xl163">
    <w:name w:val="xl163"/>
    <w:basedOn w:val="Normlny"/>
    <w:rsid w:val="008206D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64">
    <w:name w:val="xl164"/>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8"/>
      <w:szCs w:val="18"/>
      <w:lang w:eastAsia="sk-SK"/>
    </w:rPr>
  </w:style>
  <w:style w:type="paragraph" w:customStyle="1" w:styleId="xl165">
    <w:name w:val="xl165"/>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8"/>
      <w:szCs w:val="18"/>
      <w:lang w:eastAsia="sk-SK"/>
    </w:rPr>
  </w:style>
  <w:style w:type="paragraph" w:customStyle="1" w:styleId="xl166">
    <w:name w:val="xl166"/>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Calibri"/>
      <w:b/>
      <w:bCs/>
      <w:lang w:eastAsia="sk-SK"/>
    </w:rPr>
  </w:style>
  <w:style w:type="paragraph" w:customStyle="1" w:styleId="xl167">
    <w:name w:val="xl167"/>
    <w:basedOn w:val="Normlny"/>
    <w:rsid w:val="008206D3"/>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rFonts w:eastAsia="Times New Roman" w:cs="Calibri"/>
      <w:sz w:val="18"/>
      <w:szCs w:val="18"/>
      <w:lang w:eastAsia="sk-SK"/>
    </w:rPr>
  </w:style>
  <w:style w:type="paragraph" w:customStyle="1" w:styleId="xl168">
    <w:name w:val="xl168"/>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69">
    <w:name w:val="xl169"/>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8"/>
      <w:szCs w:val="18"/>
      <w:lang w:eastAsia="sk-SK"/>
    </w:rPr>
  </w:style>
  <w:style w:type="paragraph" w:customStyle="1" w:styleId="xl170">
    <w:name w:val="xl170"/>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71">
    <w:name w:val="xl171"/>
    <w:basedOn w:val="Normlny"/>
    <w:rsid w:val="008206D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72">
    <w:name w:val="xl172"/>
    <w:basedOn w:val="Normlny"/>
    <w:rsid w:val="008206D3"/>
    <w:pPr>
      <w:pBdr>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73">
    <w:name w:val="xl173"/>
    <w:basedOn w:val="Normlny"/>
    <w:rsid w:val="008206D3"/>
    <w:pPr>
      <w:pBdr>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74">
    <w:name w:val="xl174"/>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lang w:eastAsia="sk-SK"/>
    </w:rPr>
  </w:style>
  <w:style w:type="paragraph" w:customStyle="1" w:styleId="xl175">
    <w:name w:val="xl175"/>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sz w:val="18"/>
      <w:szCs w:val="18"/>
      <w:lang w:eastAsia="sk-SK"/>
    </w:rPr>
  </w:style>
  <w:style w:type="paragraph" w:customStyle="1" w:styleId="xl176">
    <w:name w:val="xl176"/>
    <w:basedOn w:val="Normlny"/>
    <w:rsid w:val="008206D3"/>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rFonts w:eastAsia="Times New Roman" w:cs="Calibri"/>
      <w:sz w:val="18"/>
      <w:szCs w:val="18"/>
      <w:lang w:eastAsia="sk-SK"/>
    </w:rPr>
  </w:style>
  <w:style w:type="paragraph" w:customStyle="1" w:styleId="xl177">
    <w:name w:val="xl177"/>
    <w:basedOn w:val="Normlny"/>
    <w:rsid w:val="008206D3"/>
    <w:pPr>
      <w:pBdr>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rFonts w:eastAsia="Times New Roman" w:cs="Calibri"/>
      <w:lang w:eastAsia="sk-SK"/>
    </w:rPr>
  </w:style>
  <w:style w:type="paragraph" w:customStyle="1" w:styleId="xl178">
    <w:name w:val="xl178"/>
    <w:basedOn w:val="Normlny"/>
    <w:rsid w:val="008206D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79">
    <w:name w:val="xl179"/>
    <w:basedOn w:val="Normlny"/>
    <w:rsid w:val="008206D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80">
    <w:name w:val="xl180"/>
    <w:basedOn w:val="Normlny"/>
    <w:rsid w:val="008206D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81">
    <w:name w:val="xl181"/>
    <w:basedOn w:val="Normlny"/>
    <w:rsid w:val="008206D3"/>
    <w:pPr>
      <w:pBdr>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82">
    <w:name w:val="xl182"/>
    <w:basedOn w:val="Normlny"/>
    <w:rsid w:val="008206D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83">
    <w:name w:val="xl183"/>
    <w:basedOn w:val="Normlny"/>
    <w:rsid w:val="008206D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lang w:eastAsia="sk-SK"/>
    </w:rPr>
  </w:style>
  <w:style w:type="paragraph" w:customStyle="1" w:styleId="xl184">
    <w:name w:val="xl184"/>
    <w:basedOn w:val="Normlny"/>
    <w:rsid w:val="008206D3"/>
    <w:pPr>
      <w:pBdr>
        <w:bottom w:val="single" w:sz="4" w:space="0" w:color="auto"/>
        <w:right w:val="single" w:sz="4" w:space="0" w:color="auto"/>
      </w:pBdr>
      <w:spacing w:before="100" w:beforeAutospacing="1" w:after="100" w:afterAutospacing="1"/>
      <w:jc w:val="center"/>
      <w:textAlignment w:val="center"/>
    </w:pPr>
    <w:rPr>
      <w:rFonts w:eastAsia="Times New Roman" w:cs="Calibri"/>
      <w:lang w:eastAsia="sk-SK"/>
    </w:rPr>
  </w:style>
  <w:style w:type="paragraph" w:customStyle="1" w:styleId="xl185">
    <w:name w:val="xl185"/>
    <w:basedOn w:val="Normlny"/>
    <w:rsid w:val="008206D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lang w:eastAsia="sk-SK"/>
    </w:rPr>
  </w:style>
  <w:style w:type="paragraph" w:customStyle="1" w:styleId="xl186">
    <w:name w:val="xl186"/>
    <w:basedOn w:val="Normlny"/>
    <w:rsid w:val="008206D3"/>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rFonts w:eastAsia="Times New Roman" w:cs="Calibri"/>
      <w:lang w:eastAsia="sk-SK"/>
    </w:rPr>
  </w:style>
  <w:style w:type="paragraph" w:customStyle="1" w:styleId="xl187">
    <w:name w:val="xl187"/>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88">
    <w:name w:val="xl188"/>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Calibri"/>
      <w:sz w:val="18"/>
      <w:szCs w:val="18"/>
      <w:lang w:eastAsia="sk-SK"/>
    </w:rPr>
  </w:style>
  <w:style w:type="paragraph" w:customStyle="1" w:styleId="xl189">
    <w:name w:val="xl189"/>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90">
    <w:name w:val="xl190"/>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lang w:eastAsia="sk-SK"/>
    </w:rPr>
  </w:style>
  <w:style w:type="paragraph" w:customStyle="1" w:styleId="xl191">
    <w:name w:val="xl191"/>
    <w:basedOn w:val="Normlny"/>
    <w:rsid w:val="008206D3"/>
    <w:pPr>
      <w:pBdr>
        <w:top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rFonts w:eastAsia="Times New Roman" w:cs="Calibri"/>
      <w:sz w:val="18"/>
      <w:szCs w:val="18"/>
      <w:lang w:eastAsia="sk-SK"/>
    </w:rPr>
  </w:style>
  <w:style w:type="paragraph" w:customStyle="1" w:styleId="xl192">
    <w:name w:val="xl192"/>
    <w:basedOn w:val="Normlny"/>
    <w:rsid w:val="008206D3"/>
    <w:pPr>
      <w:pBdr>
        <w:bottom w:val="single" w:sz="4" w:space="0" w:color="auto"/>
        <w:right w:val="single" w:sz="4" w:space="9" w:color="auto"/>
      </w:pBdr>
      <w:spacing w:before="100" w:beforeAutospacing="1" w:after="100" w:afterAutospacing="1"/>
      <w:ind w:firstLineChars="100" w:firstLine="100"/>
      <w:jc w:val="right"/>
      <w:textAlignment w:val="center"/>
    </w:pPr>
    <w:rPr>
      <w:rFonts w:eastAsia="Times New Roman" w:cs="Calibri"/>
      <w:sz w:val="18"/>
      <w:szCs w:val="18"/>
      <w:lang w:eastAsia="sk-SK"/>
    </w:rPr>
  </w:style>
  <w:style w:type="paragraph" w:customStyle="1" w:styleId="xl193">
    <w:name w:val="xl193"/>
    <w:basedOn w:val="Normlny"/>
    <w:rsid w:val="008206D3"/>
    <w:pPr>
      <w:pBdr>
        <w:bottom w:val="single" w:sz="4" w:space="0" w:color="auto"/>
        <w:right w:val="single" w:sz="4" w:space="0" w:color="auto"/>
      </w:pBdr>
      <w:spacing w:before="100" w:beforeAutospacing="1" w:after="100" w:afterAutospacing="1"/>
      <w:jc w:val="center"/>
      <w:textAlignment w:val="center"/>
    </w:pPr>
    <w:rPr>
      <w:rFonts w:eastAsia="Times New Roman" w:cs="Calibri"/>
      <w:lang w:eastAsia="sk-SK"/>
    </w:rPr>
  </w:style>
  <w:style w:type="paragraph" w:customStyle="1" w:styleId="xl194">
    <w:name w:val="xl194"/>
    <w:basedOn w:val="Normlny"/>
    <w:rsid w:val="008206D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95">
    <w:name w:val="xl195"/>
    <w:basedOn w:val="Normlny"/>
    <w:rsid w:val="008206D3"/>
    <w:pPr>
      <w:pBdr>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96">
    <w:name w:val="xl196"/>
    <w:basedOn w:val="Normlny"/>
    <w:rsid w:val="008206D3"/>
    <w:pPr>
      <w:pBdr>
        <w:bottom w:val="single" w:sz="4" w:space="0" w:color="auto"/>
        <w:right w:val="single" w:sz="4" w:space="0" w:color="auto"/>
      </w:pBdr>
      <w:spacing w:before="100" w:beforeAutospacing="1" w:after="100" w:afterAutospacing="1"/>
      <w:jc w:val="center"/>
      <w:textAlignment w:val="center"/>
    </w:pPr>
    <w:rPr>
      <w:rFonts w:eastAsia="Times New Roman" w:cs="Calibri"/>
      <w:lang w:eastAsia="sk-SK"/>
    </w:rPr>
  </w:style>
  <w:style w:type="paragraph" w:customStyle="1" w:styleId="xl197">
    <w:name w:val="xl197"/>
    <w:basedOn w:val="Normlny"/>
    <w:rsid w:val="008206D3"/>
    <w:pPr>
      <w:pBdr>
        <w:bottom w:val="single" w:sz="4" w:space="0" w:color="auto"/>
        <w:right w:val="single" w:sz="4" w:space="9" w:color="auto"/>
      </w:pBdr>
      <w:spacing w:before="100" w:beforeAutospacing="1" w:after="100" w:afterAutospacing="1"/>
      <w:ind w:firstLineChars="100" w:firstLine="100"/>
      <w:jc w:val="right"/>
      <w:textAlignment w:val="center"/>
    </w:pPr>
    <w:rPr>
      <w:rFonts w:eastAsia="Times New Roman" w:cs="Calibri"/>
      <w:lang w:eastAsia="sk-SK"/>
    </w:rPr>
  </w:style>
  <w:style w:type="paragraph" w:customStyle="1" w:styleId="xl198">
    <w:name w:val="xl198"/>
    <w:basedOn w:val="Normlny"/>
    <w:rsid w:val="008206D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199">
    <w:name w:val="xl199"/>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lang w:eastAsia="sk-SK"/>
    </w:rPr>
  </w:style>
  <w:style w:type="paragraph" w:customStyle="1" w:styleId="xl200">
    <w:name w:val="xl200"/>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b/>
      <w:bCs/>
      <w:sz w:val="18"/>
      <w:szCs w:val="18"/>
      <w:lang w:eastAsia="sk-SK"/>
    </w:rPr>
  </w:style>
  <w:style w:type="paragraph" w:customStyle="1" w:styleId="xl201">
    <w:name w:val="xl201"/>
    <w:basedOn w:val="Normlny"/>
    <w:rsid w:val="008206D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Calibri"/>
      <w:b/>
      <w:bCs/>
      <w:sz w:val="18"/>
      <w:szCs w:val="18"/>
      <w:lang w:eastAsia="sk-SK"/>
    </w:rPr>
  </w:style>
  <w:style w:type="paragraph" w:customStyle="1" w:styleId="xl202">
    <w:name w:val="xl202"/>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b/>
      <w:bCs/>
      <w:lang w:eastAsia="sk-SK"/>
    </w:rPr>
  </w:style>
  <w:style w:type="paragraph" w:customStyle="1" w:styleId="xl203">
    <w:name w:val="xl203"/>
    <w:basedOn w:val="Normlny"/>
    <w:rsid w:val="008206D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b/>
      <w:bCs/>
      <w:sz w:val="18"/>
      <w:szCs w:val="18"/>
      <w:lang w:eastAsia="sk-SK"/>
    </w:rPr>
  </w:style>
  <w:style w:type="paragraph" w:customStyle="1" w:styleId="xl204">
    <w:name w:val="xl204"/>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b/>
      <w:bCs/>
      <w:lang w:eastAsia="sk-SK"/>
    </w:rPr>
  </w:style>
  <w:style w:type="paragraph" w:customStyle="1" w:styleId="xl205">
    <w:name w:val="xl205"/>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Calibri"/>
      <w:sz w:val="18"/>
      <w:szCs w:val="18"/>
      <w:lang w:eastAsia="sk-SK"/>
    </w:rPr>
  </w:style>
  <w:style w:type="paragraph" w:customStyle="1" w:styleId="xl206">
    <w:name w:val="xl206"/>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color w:val="FF0000"/>
      <w:lang w:eastAsia="sk-SK"/>
    </w:rPr>
  </w:style>
  <w:style w:type="paragraph" w:customStyle="1" w:styleId="xl207">
    <w:name w:val="xl207"/>
    <w:basedOn w:val="Normlny"/>
    <w:rsid w:val="008206D3"/>
    <w:pPr>
      <w:pBdr>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208">
    <w:name w:val="xl208"/>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color w:val="FF0000"/>
      <w:sz w:val="18"/>
      <w:szCs w:val="18"/>
      <w:lang w:eastAsia="sk-SK"/>
    </w:rPr>
  </w:style>
  <w:style w:type="paragraph" w:customStyle="1" w:styleId="xl209">
    <w:name w:val="xl209"/>
    <w:basedOn w:val="Normlny"/>
    <w:rsid w:val="008206D3"/>
    <w:pPr>
      <w:spacing w:before="100" w:beforeAutospacing="1" w:after="100" w:afterAutospacing="1"/>
      <w:textAlignment w:val="center"/>
    </w:pPr>
    <w:rPr>
      <w:rFonts w:eastAsia="Times New Roman" w:cs="Calibri"/>
      <w:color w:val="FF0000"/>
      <w:lang w:eastAsia="sk-SK"/>
    </w:rPr>
  </w:style>
  <w:style w:type="paragraph" w:customStyle="1" w:styleId="xl210">
    <w:name w:val="xl210"/>
    <w:basedOn w:val="Normlny"/>
    <w:rsid w:val="008206D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211">
    <w:name w:val="xl211"/>
    <w:basedOn w:val="Normlny"/>
    <w:rsid w:val="008206D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lang w:eastAsia="sk-SK"/>
    </w:rPr>
  </w:style>
  <w:style w:type="paragraph" w:customStyle="1" w:styleId="xl212">
    <w:name w:val="xl212"/>
    <w:basedOn w:val="Normlny"/>
    <w:rsid w:val="008206D3"/>
    <w:pPr>
      <w:pBdr>
        <w:bottom w:val="single" w:sz="4" w:space="0" w:color="auto"/>
        <w:right w:val="single" w:sz="4" w:space="9" w:color="auto"/>
      </w:pBdr>
      <w:spacing w:before="100" w:beforeAutospacing="1" w:after="100" w:afterAutospacing="1"/>
      <w:ind w:firstLineChars="100" w:firstLine="100"/>
      <w:jc w:val="right"/>
      <w:textAlignment w:val="center"/>
    </w:pPr>
    <w:rPr>
      <w:rFonts w:eastAsia="Times New Roman" w:cs="Calibri"/>
      <w:lang w:eastAsia="sk-SK"/>
    </w:rPr>
  </w:style>
  <w:style w:type="paragraph" w:customStyle="1" w:styleId="xl213">
    <w:name w:val="xl213"/>
    <w:basedOn w:val="Normlny"/>
    <w:rsid w:val="008206D3"/>
    <w:pPr>
      <w:pBdr>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rFonts w:eastAsia="Times New Roman" w:cs="Calibri"/>
      <w:sz w:val="18"/>
      <w:szCs w:val="18"/>
      <w:lang w:eastAsia="sk-SK"/>
    </w:rPr>
  </w:style>
  <w:style w:type="paragraph" w:customStyle="1" w:styleId="xl214">
    <w:name w:val="xl214"/>
    <w:basedOn w:val="Normlny"/>
    <w:rsid w:val="008206D3"/>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rFonts w:eastAsia="Times New Roman" w:cs="Calibri"/>
      <w:lang w:eastAsia="sk-SK"/>
    </w:rPr>
  </w:style>
  <w:style w:type="paragraph" w:customStyle="1" w:styleId="xl215">
    <w:name w:val="xl215"/>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8"/>
      <w:szCs w:val="18"/>
      <w:lang w:eastAsia="sk-SK"/>
    </w:rPr>
  </w:style>
  <w:style w:type="paragraph" w:customStyle="1" w:styleId="xl216">
    <w:name w:val="xl216"/>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Calibri"/>
      <w:sz w:val="18"/>
      <w:szCs w:val="18"/>
      <w:lang w:eastAsia="sk-SK"/>
    </w:rPr>
  </w:style>
  <w:style w:type="paragraph" w:customStyle="1" w:styleId="xl217">
    <w:name w:val="xl217"/>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Calibri"/>
      <w:sz w:val="18"/>
      <w:szCs w:val="18"/>
      <w:lang w:eastAsia="sk-SK"/>
    </w:rPr>
  </w:style>
  <w:style w:type="paragraph" w:customStyle="1" w:styleId="xl218">
    <w:name w:val="xl218"/>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Calibri"/>
      <w:sz w:val="18"/>
      <w:szCs w:val="18"/>
      <w:lang w:eastAsia="sk-SK"/>
    </w:rPr>
  </w:style>
  <w:style w:type="paragraph" w:customStyle="1" w:styleId="xl219">
    <w:name w:val="xl219"/>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8"/>
      <w:szCs w:val="18"/>
      <w:lang w:eastAsia="sk-SK"/>
    </w:rPr>
  </w:style>
  <w:style w:type="paragraph" w:customStyle="1" w:styleId="xl220">
    <w:name w:val="xl220"/>
    <w:basedOn w:val="Normlny"/>
    <w:rsid w:val="008206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sz w:val="18"/>
      <w:szCs w:val="18"/>
      <w:lang w:eastAsia="sk-SK"/>
    </w:rPr>
  </w:style>
  <w:style w:type="paragraph" w:customStyle="1" w:styleId="xl221">
    <w:name w:val="xl221"/>
    <w:basedOn w:val="Normlny"/>
    <w:rsid w:val="008206D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color w:val="FF0000"/>
      <w:sz w:val="18"/>
      <w:szCs w:val="18"/>
      <w:lang w:eastAsia="sk-SK"/>
    </w:rPr>
  </w:style>
  <w:style w:type="paragraph" w:customStyle="1" w:styleId="xl222">
    <w:name w:val="xl222"/>
    <w:basedOn w:val="Normlny"/>
    <w:rsid w:val="008206D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223">
    <w:name w:val="xl223"/>
    <w:basedOn w:val="Normlny"/>
    <w:rsid w:val="008206D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b/>
      <w:bCs/>
      <w:sz w:val="18"/>
      <w:szCs w:val="18"/>
      <w:lang w:eastAsia="sk-SK"/>
    </w:rPr>
  </w:style>
  <w:style w:type="paragraph" w:customStyle="1" w:styleId="xl224">
    <w:name w:val="xl224"/>
    <w:basedOn w:val="Normlny"/>
    <w:rsid w:val="008206D3"/>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rFonts w:eastAsia="Times New Roman" w:cs="Calibri"/>
      <w:sz w:val="18"/>
      <w:szCs w:val="18"/>
      <w:lang w:eastAsia="sk-SK"/>
    </w:rPr>
  </w:style>
  <w:style w:type="paragraph" w:customStyle="1" w:styleId="xl225">
    <w:name w:val="xl225"/>
    <w:basedOn w:val="Normlny"/>
    <w:rsid w:val="008206D3"/>
    <w:pPr>
      <w:pBdr>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rFonts w:eastAsia="Times New Roman" w:cs="Calibri"/>
      <w:sz w:val="18"/>
      <w:szCs w:val="18"/>
      <w:lang w:eastAsia="sk-SK"/>
    </w:rPr>
  </w:style>
  <w:style w:type="paragraph" w:customStyle="1" w:styleId="xl226">
    <w:name w:val="xl226"/>
    <w:basedOn w:val="Normlny"/>
    <w:rsid w:val="008206D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227">
    <w:name w:val="xl227"/>
    <w:basedOn w:val="Normlny"/>
    <w:rsid w:val="008206D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Calibri"/>
      <w:sz w:val="18"/>
      <w:szCs w:val="18"/>
      <w:lang w:eastAsia="sk-SK"/>
    </w:rPr>
  </w:style>
  <w:style w:type="paragraph" w:customStyle="1" w:styleId="xl228">
    <w:name w:val="xl228"/>
    <w:basedOn w:val="Normlny"/>
    <w:rsid w:val="008206D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b/>
      <w:bCs/>
      <w:lang w:eastAsia="sk-SK"/>
    </w:rPr>
  </w:style>
  <w:style w:type="paragraph" w:customStyle="1" w:styleId="xl229">
    <w:name w:val="xl229"/>
    <w:basedOn w:val="Normlny"/>
    <w:rsid w:val="008206D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lang w:eastAsia="sk-SK"/>
    </w:rPr>
  </w:style>
  <w:style w:type="paragraph" w:customStyle="1" w:styleId="xl230">
    <w:name w:val="xl230"/>
    <w:basedOn w:val="Normlny"/>
    <w:rsid w:val="008206D3"/>
    <w:pPr>
      <w:pBdr>
        <w:bottom w:val="single" w:sz="4" w:space="0" w:color="auto"/>
        <w:right w:val="single" w:sz="4" w:space="0" w:color="auto"/>
      </w:pBdr>
      <w:spacing w:before="100" w:beforeAutospacing="1" w:after="100" w:afterAutospacing="1"/>
      <w:jc w:val="center"/>
      <w:textAlignment w:val="center"/>
    </w:pPr>
    <w:rPr>
      <w:rFonts w:eastAsia="Times New Roman" w:cs="Calibri"/>
      <w:b/>
      <w:bCs/>
      <w:sz w:val="18"/>
      <w:szCs w:val="18"/>
      <w:lang w:eastAsia="sk-SK"/>
    </w:rPr>
  </w:style>
  <w:style w:type="paragraph" w:customStyle="1" w:styleId="xl231">
    <w:name w:val="xl231"/>
    <w:basedOn w:val="Normlny"/>
    <w:rsid w:val="008206D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lang w:eastAsia="sk-SK"/>
    </w:rPr>
  </w:style>
  <w:style w:type="paragraph" w:customStyle="1" w:styleId="xl232">
    <w:name w:val="xl232"/>
    <w:basedOn w:val="Normlny"/>
    <w:rsid w:val="008206D3"/>
    <w:pPr>
      <w:pBdr>
        <w:bottom w:val="single" w:sz="4" w:space="0" w:color="auto"/>
        <w:right w:val="single" w:sz="4" w:space="9" w:color="auto"/>
      </w:pBdr>
      <w:spacing w:before="100" w:beforeAutospacing="1" w:after="100" w:afterAutospacing="1"/>
      <w:ind w:firstLineChars="100" w:firstLine="100"/>
      <w:jc w:val="right"/>
      <w:textAlignment w:val="center"/>
    </w:pPr>
    <w:rPr>
      <w:rFonts w:eastAsia="Times New Roman" w:cs="Calibri"/>
      <w:lang w:eastAsia="sk-SK"/>
    </w:rPr>
  </w:style>
  <w:style w:type="paragraph" w:customStyle="1" w:styleId="xl233">
    <w:name w:val="xl233"/>
    <w:basedOn w:val="Normlny"/>
    <w:rsid w:val="008206D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lang w:eastAsia="sk-SK"/>
    </w:rPr>
  </w:style>
  <w:style w:type="paragraph" w:customStyle="1" w:styleId="xl234">
    <w:name w:val="xl234"/>
    <w:basedOn w:val="Normlny"/>
    <w:rsid w:val="008206D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b/>
      <w:bCs/>
      <w:lang w:eastAsia="sk-SK"/>
    </w:rPr>
  </w:style>
  <w:style w:type="paragraph" w:customStyle="1" w:styleId="xl235">
    <w:name w:val="xl235"/>
    <w:basedOn w:val="Normlny"/>
    <w:rsid w:val="008206D3"/>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sk-SK"/>
    </w:rPr>
  </w:style>
  <w:style w:type="paragraph" w:styleId="Register1">
    <w:name w:val="index 1"/>
    <w:basedOn w:val="Normlny"/>
    <w:next w:val="Normlny"/>
    <w:autoRedefine/>
    <w:uiPriority w:val="99"/>
    <w:semiHidden/>
    <w:unhideWhenUsed/>
    <w:rsid w:val="00F97BC9"/>
    <w:pPr>
      <w:ind w:left="240" w:hanging="240"/>
    </w:pPr>
  </w:style>
  <w:style w:type="character" w:styleId="Zvraznenie">
    <w:name w:val="Emphasis"/>
    <w:basedOn w:val="Predvolenpsmoodseku"/>
    <w:uiPriority w:val="20"/>
    <w:qFormat/>
    <w:rsid w:val="00141ECD"/>
    <w:rPr>
      <w:i/>
      <w:iCs/>
    </w:rPr>
  </w:style>
  <w:style w:type="paragraph" w:styleId="Zvraznencitcia">
    <w:name w:val="Intense Quote"/>
    <w:basedOn w:val="Normlny"/>
    <w:next w:val="Normlny"/>
    <w:link w:val="ZvraznencitciaChar"/>
    <w:autoRedefine/>
    <w:uiPriority w:val="30"/>
    <w:qFormat/>
    <w:rsid w:val="00E65F0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ZvraznencitciaChar">
    <w:name w:val="Zvýraznená citácia Char"/>
    <w:basedOn w:val="Predvolenpsmoodseku"/>
    <w:link w:val="Zvraznencitcia"/>
    <w:uiPriority w:val="30"/>
    <w:rsid w:val="00E65F09"/>
    <w:rPr>
      <w:i/>
      <w:iCs/>
      <w:color w:val="4F81BD" w:themeColor="accent1"/>
      <w:lang w:val="sk-SK"/>
    </w:rPr>
  </w:style>
  <w:style w:type="character" w:styleId="Jemnodkaz">
    <w:name w:val="Subtle Reference"/>
    <w:basedOn w:val="Predvolenpsmoodseku"/>
    <w:uiPriority w:val="31"/>
    <w:qFormat/>
    <w:rsid w:val="00E65F09"/>
    <w:rPr>
      <w:rFonts w:ascii="Calibri" w:hAnsi="Calibri"/>
      <w:smallCaps/>
      <w:color w:val="5A5A5A" w:themeColor="text1" w:themeTint="A5"/>
    </w:rPr>
  </w:style>
  <w:style w:type="character" w:styleId="Zstupntext">
    <w:name w:val="Placeholder Text"/>
    <w:basedOn w:val="Predvolenpsmoodseku"/>
    <w:uiPriority w:val="99"/>
    <w:semiHidden/>
    <w:rsid w:val="00811F64"/>
    <w:rPr>
      <w:color w:val="808080"/>
    </w:rPr>
  </w:style>
  <w:style w:type="character" w:customStyle="1" w:styleId="notranslate">
    <w:name w:val="notranslate"/>
    <w:basedOn w:val="Predvolenpsmoodseku"/>
    <w:rsid w:val="00B50CE5"/>
  </w:style>
  <w:style w:type="character" w:customStyle="1" w:styleId="OdsekzoznamuChar">
    <w:name w:val="Odsek zoznamu Char"/>
    <w:aliases w:val="body Char"/>
    <w:link w:val="Odsekzoznamu"/>
    <w:uiPriority w:val="34"/>
    <w:qFormat/>
    <w:locked/>
    <w:rsid w:val="001A47A5"/>
    <w:rPr>
      <w:rFonts w:ascii="Calibri" w:eastAsia="Times New Roman" w:hAnsi="Calibri" w:cs="Times New Roman"/>
      <w:sz w:val="22"/>
      <w:szCs w:val="22"/>
      <w:lang w:val="sk-SK" w:eastAsia="sk-SK"/>
    </w:rPr>
  </w:style>
  <w:style w:type="paragraph" w:customStyle="1" w:styleId="Graf">
    <w:name w:val="Graf"/>
    <w:basedOn w:val="Normlny"/>
    <w:qFormat/>
    <w:rsid w:val="00B57CE0"/>
    <w:pPr>
      <w:jc w:val="center"/>
    </w:pPr>
    <w:rPr>
      <w:noProof/>
      <w:lang w:eastAsia="sk-SK"/>
    </w:rPr>
  </w:style>
  <w:style w:type="paragraph" w:customStyle="1" w:styleId="tl1">
    <w:name w:val="Štýl1"/>
    <w:basedOn w:val="Normlny"/>
    <w:qFormat/>
    <w:rsid w:val="00A727F1"/>
    <w:pPr>
      <w:jc w:val="center"/>
    </w:pPr>
  </w:style>
  <w:style w:type="paragraph" w:customStyle="1" w:styleId="gmail-default">
    <w:name w:val="gmail-default"/>
    <w:basedOn w:val="Normlny"/>
    <w:rsid w:val="006705C2"/>
    <w:pPr>
      <w:spacing w:before="100" w:beforeAutospacing="1" w:after="100" w:afterAutospacing="1"/>
    </w:pPr>
    <w:rPr>
      <w:rFonts w:ascii="Times New Roman" w:eastAsia="Times New Roman" w:hAnsi="Times New Roman" w:cs="Times New Roman"/>
      <w:lang w:eastAsia="sk-SK"/>
    </w:rPr>
  </w:style>
  <w:style w:type="character" w:customStyle="1" w:styleId="Nevyrieenzmienka1">
    <w:name w:val="Nevyriešená zmienka1"/>
    <w:basedOn w:val="Predvolenpsmoodseku"/>
    <w:uiPriority w:val="99"/>
    <w:semiHidden/>
    <w:unhideWhenUsed/>
    <w:rsid w:val="009D4C53"/>
    <w:rPr>
      <w:color w:val="605E5C"/>
      <w:shd w:val="clear" w:color="auto" w:fill="E1DFDD"/>
    </w:rPr>
  </w:style>
  <w:style w:type="paragraph" w:customStyle="1" w:styleId="Block">
    <w:name w:val="Block"/>
    <w:basedOn w:val="Normlny"/>
    <w:uiPriority w:val="99"/>
    <w:rsid w:val="00DA7FC2"/>
    <w:pPr>
      <w:autoSpaceDE w:val="0"/>
      <w:autoSpaceDN w:val="0"/>
      <w:spacing w:after="100"/>
      <w:jc w:val="both"/>
    </w:pPr>
    <w:rPr>
      <w:rFonts w:ascii="CG Omega (W1)" w:eastAsia="Times New Roman" w:hAnsi="CG Omega (W1)" w:cs="CG Omega (W1)"/>
      <w:sz w:val="22"/>
      <w:szCs w:val="22"/>
      <w:lang w:eastAsia="cs-CZ"/>
    </w:rPr>
  </w:style>
  <w:style w:type="paragraph" w:styleId="Obsah3">
    <w:name w:val="toc 3"/>
    <w:basedOn w:val="Normlny"/>
    <w:next w:val="Normlny"/>
    <w:autoRedefine/>
    <w:uiPriority w:val="39"/>
    <w:unhideWhenUsed/>
    <w:rsid w:val="00EE1B59"/>
    <w:pPr>
      <w:tabs>
        <w:tab w:val="left" w:pos="1320"/>
        <w:tab w:val="right" w:leader="dot" w:pos="9498"/>
      </w:tabs>
      <w:spacing w:after="100"/>
      <w:ind w:left="480"/>
    </w:pPr>
  </w:style>
  <w:style w:type="paragraph" w:customStyle="1" w:styleId="Odsekzoznamu1">
    <w:name w:val="Odsek zoznamu1"/>
    <w:basedOn w:val="Normlny"/>
    <w:rsid w:val="00F44FFC"/>
    <w:pPr>
      <w:spacing w:after="200" w:line="276" w:lineRule="auto"/>
      <w:ind w:left="720"/>
      <w:contextualSpacing/>
    </w:pPr>
    <w:rPr>
      <w:rFonts w:eastAsia="Times New Roman" w:cs="Times New Roman"/>
      <w:sz w:val="22"/>
      <w:szCs w:val="22"/>
      <w:lang w:val="en-GB"/>
    </w:rPr>
  </w:style>
  <w:style w:type="character" w:customStyle="1" w:styleId="fontstyle21">
    <w:name w:val="fontstyle21"/>
    <w:basedOn w:val="Predvolenpsmoodseku"/>
    <w:rsid w:val="00B555B7"/>
    <w:rPr>
      <w:rFonts w:ascii="Calibri" w:hAnsi="Calibri" w:cs="Calibri" w:hint="default"/>
      <w:b w:val="0"/>
      <w:bCs w:val="0"/>
      <w:i w:val="0"/>
      <w:iCs w:val="0"/>
      <w:color w:val="000000"/>
      <w:sz w:val="24"/>
      <w:szCs w:val="24"/>
    </w:rPr>
  </w:style>
  <w:style w:type="character" w:customStyle="1" w:styleId="markedcontent">
    <w:name w:val="markedcontent"/>
    <w:basedOn w:val="Predvolenpsmoodseku"/>
    <w:rsid w:val="00606CBD"/>
  </w:style>
  <w:style w:type="character" w:customStyle="1" w:styleId="Zkladntext0">
    <w:name w:val="Základný text_"/>
    <w:basedOn w:val="Predvolenpsmoodseku"/>
    <w:link w:val="Zkladntext1"/>
    <w:rsid w:val="004D5A18"/>
    <w:rPr>
      <w:rFonts w:ascii="Calibri" w:eastAsia="Calibri" w:hAnsi="Calibri" w:cs="Calibri"/>
      <w:shd w:val="clear" w:color="auto" w:fill="FFFFFF"/>
    </w:rPr>
  </w:style>
  <w:style w:type="paragraph" w:customStyle="1" w:styleId="Zkladntext1">
    <w:name w:val="Základný text1"/>
    <w:basedOn w:val="Normlny"/>
    <w:link w:val="Zkladntext0"/>
    <w:rsid w:val="004D5A18"/>
    <w:pPr>
      <w:widowControl w:val="0"/>
      <w:shd w:val="clear" w:color="auto" w:fill="FFFFFF"/>
      <w:spacing w:after="240"/>
    </w:pPr>
    <w:rPr>
      <w:rFonts w:eastAsia="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3622">
      <w:bodyDiv w:val="1"/>
      <w:marLeft w:val="0"/>
      <w:marRight w:val="0"/>
      <w:marTop w:val="0"/>
      <w:marBottom w:val="0"/>
      <w:divBdr>
        <w:top w:val="none" w:sz="0" w:space="0" w:color="auto"/>
        <w:left w:val="none" w:sz="0" w:space="0" w:color="auto"/>
        <w:bottom w:val="none" w:sz="0" w:space="0" w:color="auto"/>
        <w:right w:val="none" w:sz="0" w:space="0" w:color="auto"/>
      </w:divBdr>
    </w:div>
    <w:div w:id="7483787">
      <w:bodyDiv w:val="1"/>
      <w:marLeft w:val="0"/>
      <w:marRight w:val="0"/>
      <w:marTop w:val="0"/>
      <w:marBottom w:val="0"/>
      <w:divBdr>
        <w:top w:val="none" w:sz="0" w:space="0" w:color="auto"/>
        <w:left w:val="none" w:sz="0" w:space="0" w:color="auto"/>
        <w:bottom w:val="none" w:sz="0" w:space="0" w:color="auto"/>
        <w:right w:val="none" w:sz="0" w:space="0" w:color="auto"/>
      </w:divBdr>
    </w:div>
    <w:div w:id="11150605">
      <w:bodyDiv w:val="1"/>
      <w:marLeft w:val="0"/>
      <w:marRight w:val="0"/>
      <w:marTop w:val="0"/>
      <w:marBottom w:val="0"/>
      <w:divBdr>
        <w:top w:val="none" w:sz="0" w:space="0" w:color="auto"/>
        <w:left w:val="none" w:sz="0" w:space="0" w:color="auto"/>
        <w:bottom w:val="none" w:sz="0" w:space="0" w:color="auto"/>
        <w:right w:val="none" w:sz="0" w:space="0" w:color="auto"/>
      </w:divBdr>
    </w:div>
    <w:div w:id="14503195">
      <w:bodyDiv w:val="1"/>
      <w:marLeft w:val="0"/>
      <w:marRight w:val="0"/>
      <w:marTop w:val="0"/>
      <w:marBottom w:val="0"/>
      <w:divBdr>
        <w:top w:val="none" w:sz="0" w:space="0" w:color="auto"/>
        <w:left w:val="none" w:sz="0" w:space="0" w:color="auto"/>
        <w:bottom w:val="none" w:sz="0" w:space="0" w:color="auto"/>
        <w:right w:val="none" w:sz="0" w:space="0" w:color="auto"/>
      </w:divBdr>
    </w:div>
    <w:div w:id="19858487">
      <w:bodyDiv w:val="1"/>
      <w:marLeft w:val="0"/>
      <w:marRight w:val="0"/>
      <w:marTop w:val="0"/>
      <w:marBottom w:val="0"/>
      <w:divBdr>
        <w:top w:val="none" w:sz="0" w:space="0" w:color="auto"/>
        <w:left w:val="none" w:sz="0" w:space="0" w:color="auto"/>
        <w:bottom w:val="none" w:sz="0" w:space="0" w:color="auto"/>
        <w:right w:val="none" w:sz="0" w:space="0" w:color="auto"/>
      </w:divBdr>
    </w:div>
    <w:div w:id="24252849">
      <w:bodyDiv w:val="1"/>
      <w:marLeft w:val="0"/>
      <w:marRight w:val="0"/>
      <w:marTop w:val="0"/>
      <w:marBottom w:val="0"/>
      <w:divBdr>
        <w:top w:val="none" w:sz="0" w:space="0" w:color="auto"/>
        <w:left w:val="none" w:sz="0" w:space="0" w:color="auto"/>
        <w:bottom w:val="none" w:sz="0" w:space="0" w:color="auto"/>
        <w:right w:val="none" w:sz="0" w:space="0" w:color="auto"/>
      </w:divBdr>
    </w:div>
    <w:div w:id="25106524">
      <w:bodyDiv w:val="1"/>
      <w:marLeft w:val="0"/>
      <w:marRight w:val="0"/>
      <w:marTop w:val="0"/>
      <w:marBottom w:val="0"/>
      <w:divBdr>
        <w:top w:val="none" w:sz="0" w:space="0" w:color="auto"/>
        <w:left w:val="none" w:sz="0" w:space="0" w:color="auto"/>
        <w:bottom w:val="none" w:sz="0" w:space="0" w:color="auto"/>
        <w:right w:val="none" w:sz="0" w:space="0" w:color="auto"/>
      </w:divBdr>
    </w:div>
    <w:div w:id="25447124">
      <w:bodyDiv w:val="1"/>
      <w:marLeft w:val="0"/>
      <w:marRight w:val="0"/>
      <w:marTop w:val="0"/>
      <w:marBottom w:val="0"/>
      <w:divBdr>
        <w:top w:val="none" w:sz="0" w:space="0" w:color="auto"/>
        <w:left w:val="none" w:sz="0" w:space="0" w:color="auto"/>
        <w:bottom w:val="none" w:sz="0" w:space="0" w:color="auto"/>
        <w:right w:val="none" w:sz="0" w:space="0" w:color="auto"/>
      </w:divBdr>
    </w:div>
    <w:div w:id="26376771">
      <w:bodyDiv w:val="1"/>
      <w:marLeft w:val="0"/>
      <w:marRight w:val="0"/>
      <w:marTop w:val="0"/>
      <w:marBottom w:val="0"/>
      <w:divBdr>
        <w:top w:val="none" w:sz="0" w:space="0" w:color="auto"/>
        <w:left w:val="none" w:sz="0" w:space="0" w:color="auto"/>
        <w:bottom w:val="none" w:sz="0" w:space="0" w:color="auto"/>
        <w:right w:val="none" w:sz="0" w:space="0" w:color="auto"/>
      </w:divBdr>
    </w:div>
    <w:div w:id="28921951">
      <w:bodyDiv w:val="1"/>
      <w:marLeft w:val="0"/>
      <w:marRight w:val="0"/>
      <w:marTop w:val="0"/>
      <w:marBottom w:val="0"/>
      <w:divBdr>
        <w:top w:val="none" w:sz="0" w:space="0" w:color="auto"/>
        <w:left w:val="none" w:sz="0" w:space="0" w:color="auto"/>
        <w:bottom w:val="none" w:sz="0" w:space="0" w:color="auto"/>
        <w:right w:val="none" w:sz="0" w:space="0" w:color="auto"/>
      </w:divBdr>
    </w:div>
    <w:div w:id="29843315">
      <w:bodyDiv w:val="1"/>
      <w:marLeft w:val="0"/>
      <w:marRight w:val="0"/>
      <w:marTop w:val="0"/>
      <w:marBottom w:val="0"/>
      <w:divBdr>
        <w:top w:val="none" w:sz="0" w:space="0" w:color="auto"/>
        <w:left w:val="none" w:sz="0" w:space="0" w:color="auto"/>
        <w:bottom w:val="none" w:sz="0" w:space="0" w:color="auto"/>
        <w:right w:val="none" w:sz="0" w:space="0" w:color="auto"/>
      </w:divBdr>
    </w:div>
    <w:div w:id="35160063">
      <w:bodyDiv w:val="1"/>
      <w:marLeft w:val="0"/>
      <w:marRight w:val="0"/>
      <w:marTop w:val="0"/>
      <w:marBottom w:val="0"/>
      <w:divBdr>
        <w:top w:val="none" w:sz="0" w:space="0" w:color="auto"/>
        <w:left w:val="none" w:sz="0" w:space="0" w:color="auto"/>
        <w:bottom w:val="none" w:sz="0" w:space="0" w:color="auto"/>
        <w:right w:val="none" w:sz="0" w:space="0" w:color="auto"/>
      </w:divBdr>
    </w:div>
    <w:div w:id="44067683">
      <w:bodyDiv w:val="1"/>
      <w:marLeft w:val="0"/>
      <w:marRight w:val="0"/>
      <w:marTop w:val="0"/>
      <w:marBottom w:val="0"/>
      <w:divBdr>
        <w:top w:val="none" w:sz="0" w:space="0" w:color="auto"/>
        <w:left w:val="none" w:sz="0" w:space="0" w:color="auto"/>
        <w:bottom w:val="none" w:sz="0" w:space="0" w:color="auto"/>
        <w:right w:val="none" w:sz="0" w:space="0" w:color="auto"/>
      </w:divBdr>
    </w:div>
    <w:div w:id="48652379">
      <w:bodyDiv w:val="1"/>
      <w:marLeft w:val="0"/>
      <w:marRight w:val="0"/>
      <w:marTop w:val="0"/>
      <w:marBottom w:val="0"/>
      <w:divBdr>
        <w:top w:val="none" w:sz="0" w:space="0" w:color="auto"/>
        <w:left w:val="none" w:sz="0" w:space="0" w:color="auto"/>
        <w:bottom w:val="none" w:sz="0" w:space="0" w:color="auto"/>
        <w:right w:val="none" w:sz="0" w:space="0" w:color="auto"/>
      </w:divBdr>
    </w:div>
    <w:div w:id="54666415">
      <w:bodyDiv w:val="1"/>
      <w:marLeft w:val="0"/>
      <w:marRight w:val="0"/>
      <w:marTop w:val="0"/>
      <w:marBottom w:val="0"/>
      <w:divBdr>
        <w:top w:val="none" w:sz="0" w:space="0" w:color="auto"/>
        <w:left w:val="none" w:sz="0" w:space="0" w:color="auto"/>
        <w:bottom w:val="none" w:sz="0" w:space="0" w:color="auto"/>
        <w:right w:val="none" w:sz="0" w:space="0" w:color="auto"/>
      </w:divBdr>
    </w:div>
    <w:div w:id="55008074">
      <w:bodyDiv w:val="1"/>
      <w:marLeft w:val="0"/>
      <w:marRight w:val="0"/>
      <w:marTop w:val="0"/>
      <w:marBottom w:val="0"/>
      <w:divBdr>
        <w:top w:val="none" w:sz="0" w:space="0" w:color="auto"/>
        <w:left w:val="none" w:sz="0" w:space="0" w:color="auto"/>
        <w:bottom w:val="none" w:sz="0" w:space="0" w:color="auto"/>
        <w:right w:val="none" w:sz="0" w:space="0" w:color="auto"/>
      </w:divBdr>
    </w:div>
    <w:div w:id="58138410">
      <w:bodyDiv w:val="1"/>
      <w:marLeft w:val="0"/>
      <w:marRight w:val="0"/>
      <w:marTop w:val="0"/>
      <w:marBottom w:val="0"/>
      <w:divBdr>
        <w:top w:val="none" w:sz="0" w:space="0" w:color="auto"/>
        <w:left w:val="none" w:sz="0" w:space="0" w:color="auto"/>
        <w:bottom w:val="none" w:sz="0" w:space="0" w:color="auto"/>
        <w:right w:val="none" w:sz="0" w:space="0" w:color="auto"/>
      </w:divBdr>
    </w:div>
    <w:div w:id="60177061">
      <w:bodyDiv w:val="1"/>
      <w:marLeft w:val="0"/>
      <w:marRight w:val="0"/>
      <w:marTop w:val="0"/>
      <w:marBottom w:val="0"/>
      <w:divBdr>
        <w:top w:val="none" w:sz="0" w:space="0" w:color="auto"/>
        <w:left w:val="none" w:sz="0" w:space="0" w:color="auto"/>
        <w:bottom w:val="none" w:sz="0" w:space="0" w:color="auto"/>
        <w:right w:val="none" w:sz="0" w:space="0" w:color="auto"/>
      </w:divBdr>
    </w:div>
    <w:div w:id="62725877">
      <w:bodyDiv w:val="1"/>
      <w:marLeft w:val="0"/>
      <w:marRight w:val="0"/>
      <w:marTop w:val="0"/>
      <w:marBottom w:val="0"/>
      <w:divBdr>
        <w:top w:val="none" w:sz="0" w:space="0" w:color="auto"/>
        <w:left w:val="none" w:sz="0" w:space="0" w:color="auto"/>
        <w:bottom w:val="none" w:sz="0" w:space="0" w:color="auto"/>
        <w:right w:val="none" w:sz="0" w:space="0" w:color="auto"/>
      </w:divBdr>
    </w:div>
    <w:div w:id="63340390">
      <w:bodyDiv w:val="1"/>
      <w:marLeft w:val="0"/>
      <w:marRight w:val="0"/>
      <w:marTop w:val="0"/>
      <w:marBottom w:val="0"/>
      <w:divBdr>
        <w:top w:val="none" w:sz="0" w:space="0" w:color="auto"/>
        <w:left w:val="none" w:sz="0" w:space="0" w:color="auto"/>
        <w:bottom w:val="none" w:sz="0" w:space="0" w:color="auto"/>
        <w:right w:val="none" w:sz="0" w:space="0" w:color="auto"/>
      </w:divBdr>
    </w:div>
    <w:div w:id="65424223">
      <w:bodyDiv w:val="1"/>
      <w:marLeft w:val="0"/>
      <w:marRight w:val="0"/>
      <w:marTop w:val="0"/>
      <w:marBottom w:val="0"/>
      <w:divBdr>
        <w:top w:val="none" w:sz="0" w:space="0" w:color="auto"/>
        <w:left w:val="none" w:sz="0" w:space="0" w:color="auto"/>
        <w:bottom w:val="none" w:sz="0" w:space="0" w:color="auto"/>
        <w:right w:val="none" w:sz="0" w:space="0" w:color="auto"/>
      </w:divBdr>
    </w:div>
    <w:div w:id="70153925">
      <w:bodyDiv w:val="1"/>
      <w:marLeft w:val="0"/>
      <w:marRight w:val="0"/>
      <w:marTop w:val="0"/>
      <w:marBottom w:val="0"/>
      <w:divBdr>
        <w:top w:val="none" w:sz="0" w:space="0" w:color="auto"/>
        <w:left w:val="none" w:sz="0" w:space="0" w:color="auto"/>
        <w:bottom w:val="none" w:sz="0" w:space="0" w:color="auto"/>
        <w:right w:val="none" w:sz="0" w:space="0" w:color="auto"/>
      </w:divBdr>
    </w:div>
    <w:div w:id="74012667">
      <w:bodyDiv w:val="1"/>
      <w:marLeft w:val="0"/>
      <w:marRight w:val="0"/>
      <w:marTop w:val="0"/>
      <w:marBottom w:val="0"/>
      <w:divBdr>
        <w:top w:val="none" w:sz="0" w:space="0" w:color="auto"/>
        <w:left w:val="none" w:sz="0" w:space="0" w:color="auto"/>
        <w:bottom w:val="none" w:sz="0" w:space="0" w:color="auto"/>
        <w:right w:val="none" w:sz="0" w:space="0" w:color="auto"/>
      </w:divBdr>
    </w:div>
    <w:div w:id="76370803">
      <w:bodyDiv w:val="1"/>
      <w:marLeft w:val="0"/>
      <w:marRight w:val="0"/>
      <w:marTop w:val="0"/>
      <w:marBottom w:val="0"/>
      <w:divBdr>
        <w:top w:val="none" w:sz="0" w:space="0" w:color="auto"/>
        <w:left w:val="none" w:sz="0" w:space="0" w:color="auto"/>
        <w:bottom w:val="none" w:sz="0" w:space="0" w:color="auto"/>
        <w:right w:val="none" w:sz="0" w:space="0" w:color="auto"/>
      </w:divBdr>
    </w:div>
    <w:div w:id="76557284">
      <w:bodyDiv w:val="1"/>
      <w:marLeft w:val="0"/>
      <w:marRight w:val="0"/>
      <w:marTop w:val="0"/>
      <w:marBottom w:val="0"/>
      <w:divBdr>
        <w:top w:val="none" w:sz="0" w:space="0" w:color="auto"/>
        <w:left w:val="none" w:sz="0" w:space="0" w:color="auto"/>
        <w:bottom w:val="none" w:sz="0" w:space="0" w:color="auto"/>
        <w:right w:val="none" w:sz="0" w:space="0" w:color="auto"/>
      </w:divBdr>
    </w:div>
    <w:div w:id="82579193">
      <w:bodyDiv w:val="1"/>
      <w:marLeft w:val="0"/>
      <w:marRight w:val="0"/>
      <w:marTop w:val="0"/>
      <w:marBottom w:val="0"/>
      <w:divBdr>
        <w:top w:val="none" w:sz="0" w:space="0" w:color="auto"/>
        <w:left w:val="none" w:sz="0" w:space="0" w:color="auto"/>
        <w:bottom w:val="none" w:sz="0" w:space="0" w:color="auto"/>
        <w:right w:val="none" w:sz="0" w:space="0" w:color="auto"/>
      </w:divBdr>
    </w:div>
    <w:div w:id="87628379">
      <w:bodyDiv w:val="1"/>
      <w:marLeft w:val="0"/>
      <w:marRight w:val="0"/>
      <w:marTop w:val="0"/>
      <w:marBottom w:val="0"/>
      <w:divBdr>
        <w:top w:val="none" w:sz="0" w:space="0" w:color="auto"/>
        <w:left w:val="none" w:sz="0" w:space="0" w:color="auto"/>
        <w:bottom w:val="none" w:sz="0" w:space="0" w:color="auto"/>
        <w:right w:val="none" w:sz="0" w:space="0" w:color="auto"/>
      </w:divBdr>
    </w:div>
    <w:div w:id="92364292">
      <w:bodyDiv w:val="1"/>
      <w:marLeft w:val="0"/>
      <w:marRight w:val="0"/>
      <w:marTop w:val="0"/>
      <w:marBottom w:val="0"/>
      <w:divBdr>
        <w:top w:val="none" w:sz="0" w:space="0" w:color="auto"/>
        <w:left w:val="none" w:sz="0" w:space="0" w:color="auto"/>
        <w:bottom w:val="none" w:sz="0" w:space="0" w:color="auto"/>
        <w:right w:val="none" w:sz="0" w:space="0" w:color="auto"/>
      </w:divBdr>
    </w:div>
    <w:div w:id="102695339">
      <w:bodyDiv w:val="1"/>
      <w:marLeft w:val="0"/>
      <w:marRight w:val="0"/>
      <w:marTop w:val="0"/>
      <w:marBottom w:val="0"/>
      <w:divBdr>
        <w:top w:val="none" w:sz="0" w:space="0" w:color="auto"/>
        <w:left w:val="none" w:sz="0" w:space="0" w:color="auto"/>
        <w:bottom w:val="none" w:sz="0" w:space="0" w:color="auto"/>
        <w:right w:val="none" w:sz="0" w:space="0" w:color="auto"/>
      </w:divBdr>
    </w:div>
    <w:div w:id="105664952">
      <w:bodyDiv w:val="1"/>
      <w:marLeft w:val="0"/>
      <w:marRight w:val="0"/>
      <w:marTop w:val="0"/>
      <w:marBottom w:val="0"/>
      <w:divBdr>
        <w:top w:val="none" w:sz="0" w:space="0" w:color="auto"/>
        <w:left w:val="none" w:sz="0" w:space="0" w:color="auto"/>
        <w:bottom w:val="none" w:sz="0" w:space="0" w:color="auto"/>
        <w:right w:val="none" w:sz="0" w:space="0" w:color="auto"/>
      </w:divBdr>
    </w:div>
    <w:div w:id="105731767">
      <w:bodyDiv w:val="1"/>
      <w:marLeft w:val="0"/>
      <w:marRight w:val="0"/>
      <w:marTop w:val="0"/>
      <w:marBottom w:val="0"/>
      <w:divBdr>
        <w:top w:val="none" w:sz="0" w:space="0" w:color="auto"/>
        <w:left w:val="none" w:sz="0" w:space="0" w:color="auto"/>
        <w:bottom w:val="none" w:sz="0" w:space="0" w:color="auto"/>
        <w:right w:val="none" w:sz="0" w:space="0" w:color="auto"/>
      </w:divBdr>
    </w:div>
    <w:div w:id="107160169">
      <w:bodyDiv w:val="1"/>
      <w:marLeft w:val="0"/>
      <w:marRight w:val="0"/>
      <w:marTop w:val="0"/>
      <w:marBottom w:val="0"/>
      <w:divBdr>
        <w:top w:val="none" w:sz="0" w:space="0" w:color="auto"/>
        <w:left w:val="none" w:sz="0" w:space="0" w:color="auto"/>
        <w:bottom w:val="none" w:sz="0" w:space="0" w:color="auto"/>
        <w:right w:val="none" w:sz="0" w:space="0" w:color="auto"/>
      </w:divBdr>
    </w:div>
    <w:div w:id="110172491">
      <w:bodyDiv w:val="1"/>
      <w:marLeft w:val="0"/>
      <w:marRight w:val="0"/>
      <w:marTop w:val="0"/>
      <w:marBottom w:val="0"/>
      <w:divBdr>
        <w:top w:val="none" w:sz="0" w:space="0" w:color="auto"/>
        <w:left w:val="none" w:sz="0" w:space="0" w:color="auto"/>
        <w:bottom w:val="none" w:sz="0" w:space="0" w:color="auto"/>
        <w:right w:val="none" w:sz="0" w:space="0" w:color="auto"/>
      </w:divBdr>
    </w:div>
    <w:div w:id="112985522">
      <w:bodyDiv w:val="1"/>
      <w:marLeft w:val="0"/>
      <w:marRight w:val="0"/>
      <w:marTop w:val="0"/>
      <w:marBottom w:val="0"/>
      <w:divBdr>
        <w:top w:val="none" w:sz="0" w:space="0" w:color="auto"/>
        <w:left w:val="none" w:sz="0" w:space="0" w:color="auto"/>
        <w:bottom w:val="none" w:sz="0" w:space="0" w:color="auto"/>
        <w:right w:val="none" w:sz="0" w:space="0" w:color="auto"/>
      </w:divBdr>
    </w:div>
    <w:div w:id="116144594">
      <w:bodyDiv w:val="1"/>
      <w:marLeft w:val="0"/>
      <w:marRight w:val="0"/>
      <w:marTop w:val="0"/>
      <w:marBottom w:val="0"/>
      <w:divBdr>
        <w:top w:val="none" w:sz="0" w:space="0" w:color="auto"/>
        <w:left w:val="none" w:sz="0" w:space="0" w:color="auto"/>
        <w:bottom w:val="none" w:sz="0" w:space="0" w:color="auto"/>
        <w:right w:val="none" w:sz="0" w:space="0" w:color="auto"/>
      </w:divBdr>
    </w:div>
    <w:div w:id="116729545">
      <w:bodyDiv w:val="1"/>
      <w:marLeft w:val="0"/>
      <w:marRight w:val="0"/>
      <w:marTop w:val="0"/>
      <w:marBottom w:val="0"/>
      <w:divBdr>
        <w:top w:val="none" w:sz="0" w:space="0" w:color="auto"/>
        <w:left w:val="none" w:sz="0" w:space="0" w:color="auto"/>
        <w:bottom w:val="none" w:sz="0" w:space="0" w:color="auto"/>
        <w:right w:val="none" w:sz="0" w:space="0" w:color="auto"/>
      </w:divBdr>
    </w:div>
    <w:div w:id="120728230">
      <w:bodyDiv w:val="1"/>
      <w:marLeft w:val="0"/>
      <w:marRight w:val="0"/>
      <w:marTop w:val="0"/>
      <w:marBottom w:val="0"/>
      <w:divBdr>
        <w:top w:val="none" w:sz="0" w:space="0" w:color="auto"/>
        <w:left w:val="none" w:sz="0" w:space="0" w:color="auto"/>
        <w:bottom w:val="none" w:sz="0" w:space="0" w:color="auto"/>
        <w:right w:val="none" w:sz="0" w:space="0" w:color="auto"/>
      </w:divBdr>
    </w:div>
    <w:div w:id="120923407">
      <w:bodyDiv w:val="1"/>
      <w:marLeft w:val="0"/>
      <w:marRight w:val="0"/>
      <w:marTop w:val="0"/>
      <w:marBottom w:val="0"/>
      <w:divBdr>
        <w:top w:val="none" w:sz="0" w:space="0" w:color="auto"/>
        <w:left w:val="none" w:sz="0" w:space="0" w:color="auto"/>
        <w:bottom w:val="none" w:sz="0" w:space="0" w:color="auto"/>
        <w:right w:val="none" w:sz="0" w:space="0" w:color="auto"/>
      </w:divBdr>
    </w:div>
    <w:div w:id="122963595">
      <w:bodyDiv w:val="1"/>
      <w:marLeft w:val="0"/>
      <w:marRight w:val="0"/>
      <w:marTop w:val="0"/>
      <w:marBottom w:val="0"/>
      <w:divBdr>
        <w:top w:val="none" w:sz="0" w:space="0" w:color="auto"/>
        <w:left w:val="none" w:sz="0" w:space="0" w:color="auto"/>
        <w:bottom w:val="none" w:sz="0" w:space="0" w:color="auto"/>
        <w:right w:val="none" w:sz="0" w:space="0" w:color="auto"/>
      </w:divBdr>
    </w:div>
    <w:div w:id="128941340">
      <w:bodyDiv w:val="1"/>
      <w:marLeft w:val="0"/>
      <w:marRight w:val="0"/>
      <w:marTop w:val="0"/>
      <w:marBottom w:val="0"/>
      <w:divBdr>
        <w:top w:val="none" w:sz="0" w:space="0" w:color="auto"/>
        <w:left w:val="none" w:sz="0" w:space="0" w:color="auto"/>
        <w:bottom w:val="none" w:sz="0" w:space="0" w:color="auto"/>
        <w:right w:val="none" w:sz="0" w:space="0" w:color="auto"/>
      </w:divBdr>
    </w:div>
    <w:div w:id="131215963">
      <w:bodyDiv w:val="1"/>
      <w:marLeft w:val="0"/>
      <w:marRight w:val="0"/>
      <w:marTop w:val="0"/>
      <w:marBottom w:val="0"/>
      <w:divBdr>
        <w:top w:val="none" w:sz="0" w:space="0" w:color="auto"/>
        <w:left w:val="none" w:sz="0" w:space="0" w:color="auto"/>
        <w:bottom w:val="none" w:sz="0" w:space="0" w:color="auto"/>
        <w:right w:val="none" w:sz="0" w:space="0" w:color="auto"/>
      </w:divBdr>
    </w:div>
    <w:div w:id="135612657">
      <w:bodyDiv w:val="1"/>
      <w:marLeft w:val="0"/>
      <w:marRight w:val="0"/>
      <w:marTop w:val="0"/>
      <w:marBottom w:val="0"/>
      <w:divBdr>
        <w:top w:val="none" w:sz="0" w:space="0" w:color="auto"/>
        <w:left w:val="none" w:sz="0" w:space="0" w:color="auto"/>
        <w:bottom w:val="none" w:sz="0" w:space="0" w:color="auto"/>
        <w:right w:val="none" w:sz="0" w:space="0" w:color="auto"/>
      </w:divBdr>
    </w:div>
    <w:div w:id="136726054">
      <w:bodyDiv w:val="1"/>
      <w:marLeft w:val="0"/>
      <w:marRight w:val="0"/>
      <w:marTop w:val="0"/>
      <w:marBottom w:val="0"/>
      <w:divBdr>
        <w:top w:val="none" w:sz="0" w:space="0" w:color="auto"/>
        <w:left w:val="none" w:sz="0" w:space="0" w:color="auto"/>
        <w:bottom w:val="none" w:sz="0" w:space="0" w:color="auto"/>
        <w:right w:val="none" w:sz="0" w:space="0" w:color="auto"/>
      </w:divBdr>
    </w:div>
    <w:div w:id="143547023">
      <w:bodyDiv w:val="1"/>
      <w:marLeft w:val="0"/>
      <w:marRight w:val="0"/>
      <w:marTop w:val="0"/>
      <w:marBottom w:val="0"/>
      <w:divBdr>
        <w:top w:val="none" w:sz="0" w:space="0" w:color="auto"/>
        <w:left w:val="none" w:sz="0" w:space="0" w:color="auto"/>
        <w:bottom w:val="none" w:sz="0" w:space="0" w:color="auto"/>
        <w:right w:val="none" w:sz="0" w:space="0" w:color="auto"/>
      </w:divBdr>
    </w:div>
    <w:div w:id="146093813">
      <w:bodyDiv w:val="1"/>
      <w:marLeft w:val="0"/>
      <w:marRight w:val="0"/>
      <w:marTop w:val="0"/>
      <w:marBottom w:val="0"/>
      <w:divBdr>
        <w:top w:val="none" w:sz="0" w:space="0" w:color="auto"/>
        <w:left w:val="none" w:sz="0" w:space="0" w:color="auto"/>
        <w:bottom w:val="none" w:sz="0" w:space="0" w:color="auto"/>
        <w:right w:val="none" w:sz="0" w:space="0" w:color="auto"/>
      </w:divBdr>
    </w:div>
    <w:div w:id="148206191">
      <w:bodyDiv w:val="1"/>
      <w:marLeft w:val="0"/>
      <w:marRight w:val="0"/>
      <w:marTop w:val="0"/>
      <w:marBottom w:val="0"/>
      <w:divBdr>
        <w:top w:val="none" w:sz="0" w:space="0" w:color="auto"/>
        <w:left w:val="none" w:sz="0" w:space="0" w:color="auto"/>
        <w:bottom w:val="none" w:sz="0" w:space="0" w:color="auto"/>
        <w:right w:val="none" w:sz="0" w:space="0" w:color="auto"/>
      </w:divBdr>
    </w:div>
    <w:div w:id="150029056">
      <w:bodyDiv w:val="1"/>
      <w:marLeft w:val="0"/>
      <w:marRight w:val="0"/>
      <w:marTop w:val="0"/>
      <w:marBottom w:val="0"/>
      <w:divBdr>
        <w:top w:val="none" w:sz="0" w:space="0" w:color="auto"/>
        <w:left w:val="none" w:sz="0" w:space="0" w:color="auto"/>
        <w:bottom w:val="none" w:sz="0" w:space="0" w:color="auto"/>
        <w:right w:val="none" w:sz="0" w:space="0" w:color="auto"/>
      </w:divBdr>
    </w:div>
    <w:div w:id="153500067">
      <w:bodyDiv w:val="1"/>
      <w:marLeft w:val="0"/>
      <w:marRight w:val="0"/>
      <w:marTop w:val="0"/>
      <w:marBottom w:val="0"/>
      <w:divBdr>
        <w:top w:val="none" w:sz="0" w:space="0" w:color="auto"/>
        <w:left w:val="none" w:sz="0" w:space="0" w:color="auto"/>
        <w:bottom w:val="none" w:sz="0" w:space="0" w:color="auto"/>
        <w:right w:val="none" w:sz="0" w:space="0" w:color="auto"/>
      </w:divBdr>
    </w:div>
    <w:div w:id="156502609">
      <w:bodyDiv w:val="1"/>
      <w:marLeft w:val="0"/>
      <w:marRight w:val="0"/>
      <w:marTop w:val="0"/>
      <w:marBottom w:val="0"/>
      <w:divBdr>
        <w:top w:val="none" w:sz="0" w:space="0" w:color="auto"/>
        <w:left w:val="none" w:sz="0" w:space="0" w:color="auto"/>
        <w:bottom w:val="none" w:sz="0" w:space="0" w:color="auto"/>
        <w:right w:val="none" w:sz="0" w:space="0" w:color="auto"/>
      </w:divBdr>
    </w:div>
    <w:div w:id="156698846">
      <w:bodyDiv w:val="1"/>
      <w:marLeft w:val="0"/>
      <w:marRight w:val="0"/>
      <w:marTop w:val="0"/>
      <w:marBottom w:val="0"/>
      <w:divBdr>
        <w:top w:val="none" w:sz="0" w:space="0" w:color="auto"/>
        <w:left w:val="none" w:sz="0" w:space="0" w:color="auto"/>
        <w:bottom w:val="none" w:sz="0" w:space="0" w:color="auto"/>
        <w:right w:val="none" w:sz="0" w:space="0" w:color="auto"/>
      </w:divBdr>
    </w:div>
    <w:div w:id="166217032">
      <w:bodyDiv w:val="1"/>
      <w:marLeft w:val="0"/>
      <w:marRight w:val="0"/>
      <w:marTop w:val="0"/>
      <w:marBottom w:val="0"/>
      <w:divBdr>
        <w:top w:val="none" w:sz="0" w:space="0" w:color="auto"/>
        <w:left w:val="none" w:sz="0" w:space="0" w:color="auto"/>
        <w:bottom w:val="none" w:sz="0" w:space="0" w:color="auto"/>
        <w:right w:val="none" w:sz="0" w:space="0" w:color="auto"/>
      </w:divBdr>
    </w:div>
    <w:div w:id="179515874">
      <w:bodyDiv w:val="1"/>
      <w:marLeft w:val="0"/>
      <w:marRight w:val="0"/>
      <w:marTop w:val="0"/>
      <w:marBottom w:val="0"/>
      <w:divBdr>
        <w:top w:val="none" w:sz="0" w:space="0" w:color="auto"/>
        <w:left w:val="none" w:sz="0" w:space="0" w:color="auto"/>
        <w:bottom w:val="none" w:sz="0" w:space="0" w:color="auto"/>
        <w:right w:val="none" w:sz="0" w:space="0" w:color="auto"/>
      </w:divBdr>
    </w:div>
    <w:div w:id="181361160">
      <w:bodyDiv w:val="1"/>
      <w:marLeft w:val="0"/>
      <w:marRight w:val="0"/>
      <w:marTop w:val="0"/>
      <w:marBottom w:val="0"/>
      <w:divBdr>
        <w:top w:val="none" w:sz="0" w:space="0" w:color="auto"/>
        <w:left w:val="none" w:sz="0" w:space="0" w:color="auto"/>
        <w:bottom w:val="none" w:sz="0" w:space="0" w:color="auto"/>
        <w:right w:val="none" w:sz="0" w:space="0" w:color="auto"/>
      </w:divBdr>
    </w:div>
    <w:div w:id="188298024">
      <w:bodyDiv w:val="1"/>
      <w:marLeft w:val="0"/>
      <w:marRight w:val="0"/>
      <w:marTop w:val="0"/>
      <w:marBottom w:val="0"/>
      <w:divBdr>
        <w:top w:val="none" w:sz="0" w:space="0" w:color="auto"/>
        <w:left w:val="none" w:sz="0" w:space="0" w:color="auto"/>
        <w:bottom w:val="none" w:sz="0" w:space="0" w:color="auto"/>
        <w:right w:val="none" w:sz="0" w:space="0" w:color="auto"/>
      </w:divBdr>
    </w:div>
    <w:div w:id="194001705">
      <w:bodyDiv w:val="1"/>
      <w:marLeft w:val="0"/>
      <w:marRight w:val="0"/>
      <w:marTop w:val="0"/>
      <w:marBottom w:val="0"/>
      <w:divBdr>
        <w:top w:val="none" w:sz="0" w:space="0" w:color="auto"/>
        <w:left w:val="none" w:sz="0" w:space="0" w:color="auto"/>
        <w:bottom w:val="none" w:sz="0" w:space="0" w:color="auto"/>
        <w:right w:val="none" w:sz="0" w:space="0" w:color="auto"/>
      </w:divBdr>
    </w:div>
    <w:div w:id="202910060">
      <w:bodyDiv w:val="1"/>
      <w:marLeft w:val="0"/>
      <w:marRight w:val="0"/>
      <w:marTop w:val="0"/>
      <w:marBottom w:val="0"/>
      <w:divBdr>
        <w:top w:val="none" w:sz="0" w:space="0" w:color="auto"/>
        <w:left w:val="none" w:sz="0" w:space="0" w:color="auto"/>
        <w:bottom w:val="none" w:sz="0" w:space="0" w:color="auto"/>
        <w:right w:val="none" w:sz="0" w:space="0" w:color="auto"/>
      </w:divBdr>
    </w:div>
    <w:div w:id="208420082">
      <w:bodyDiv w:val="1"/>
      <w:marLeft w:val="0"/>
      <w:marRight w:val="0"/>
      <w:marTop w:val="0"/>
      <w:marBottom w:val="0"/>
      <w:divBdr>
        <w:top w:val="none" w:sz="0" w:space="0" w:color="auto"/>
        <w:left w:val="none" w:sz="0" w:space="0" w:color="auto"/>
        <w:bottom w:val="none" w:sz="0" w:space="0" w:color="auto"/>
        <w:right w:val="none" w:sz="0" w:space="0" w:color="auto"/>
      </w:divBdr>
    </w:div>
    <w:div w:id="214313164">
      <w:bodyDiv w:val="1"/>
      <w:marLeft w:val="0"/>
      <w:marRight w:val="0"/>
      <w:marTop w:val="0"/>
      <w:marBottom w:val="0"/>
      <w:divBdr>
        <w:top w:val="none" w:sz="0" w:space="0" w:color="auto"/>
        <w:left w:val="none" w:sz="0" w:space="0" w:color="auto"/>
        <w:bottom w:val="none" w:sz="0" w:space="0" w:color="auto"/>
        <w:right w:val="none" w:sz="0" w:space="0" w:color="auto"/>
      </w:divBdr>
    </w:div>
    <w:div w:id="228155265">
      <w:bodyDiv w:val="1"/>
      <w:marLeft w:val="0"/>
      <w:marRight w:val="0"/>
      <w:marTop w:val="0"/>
      <w:marBottom w:val="0"/>
      <w:divBdr>
        <w:top w:val="none" w:sz="0" w:space="0" w:color="auto"/>
        <w:left w:val="none" w:sz="0" w:space="0" w:color="auto"/>
        <w:bottom w:val="none" w:sz="0" w:space="0" w:color="auto"/>
        <w:right w:val="none" w:sz="0" w:space="0" w:color="auto"/>
      </w:divBdr>
    </w:div>
    <w:div w:id="230166401">
      <w:bodyDiv w:val="1"/>
      <w:marLeft w:val="0"/>
      <w:marRight w:val="0"/>
      <w:marTop w:val="0"/>
      <w:marBottom w:val="0"/>
      <w:divBdr>
        <w:top w:val="none" w:sz="0" w:space="0" w:color="auto"/>
        <w:left w:val="none" w:sz="0" w:space="0" w:color="auto"/>
        <w:bottom w:val="none" w:sz="0" w:space="0" w:color="auto"/>
        <w:right w:val="none" w:sz="0" w:space="0" w:color="auto"/>
      </w:divBdr>
    </w:div>
    <w:div w:id="231697862">
      <w:bodyDiv w:val="1"/>
      <w:marLeft w:val="0"/>
      <w:marRight w:val="0"/>
      <w:marTop w:val="0"/>
      <w:marBottom w:val="0"/>
      <w:divBdr>
        <w:top w:val="none" w:sz="0" w:space="0" w:color="auto"/>
        <w:left w:val="none" w:sz="0" w:space="0" w:color="auto"/>
        <w:bottom w:val="none" w:sz="0" w:space="0" w:color="auto"/>
        <w:right w:val="none" w:sz="0" w:space="0" w:color="auto"/>
      </w:divBdr>
    </w:div>
    <w:div w:id="237248114">
      <w:bodyDiv w:val="1"/>
      <w:marLeft w:val="0"/>
      <w:marRight w:val="0"/>
      <w:marTop w:val="0"/>
      <w:marBottom w:val="0"/>
      <w:divBdr>
        <w:top w:val="none" w:sz="0" w:space="0" w:color="auto"/>
        <w:left w:val="none" w:sz="0" w:space="0" w:color="auto"/>
        <w:bottom w:val="none" w:sz="0" w:space="0" w:color="auto"/>
        <w:right w:val="none" w:sz="0" w:space="0" w:color="auto"/>
      </w:divBdr>
    </w:div>
    <w:div w:id="237372654">
      <w:bodyDiv w:val="1"/>
      <w:marLeft w:val="0"/>
      <w:marRight w:val="0"/>
      <w:marTop w:val="0"/>
      <w:marBottom w:val="0"/>
      <w:divBdr>
        <w:top w:val="none" w:sz="0" w:space="0" w:color="auto"/>
        <w:left w:val="none" w:sz="0" w:space="0" w:color="auto"/>
        <w:bottom w:val="none" w:sz="0" w:space="0" w:color="auto"/>
        <w:right w:val="none" w:sz="0" w:space="0" w:color="auto"/>
      </w:divBdr>
    </w:div>
    <w:div w:id="239826321">
      <w:bodyDiv w:val="1"/>
      <w:marLeft w:val="0"/>
      <w:marRight w:val="0"/>
      <w:marTop w:val="0"/>
      <w:marBottom w:val="0"/>
      <w:divBdr>
        <w:top w:val="none" w:sz="0" w:space="0" w:color="auto"/>
        <w:left w:val="none" w:sz="0" w:space="0" w:color="auto"/>
        <w:bottom w:val="none" w:sz="0" w:space="0" w:color="auto"/>
        <w:right w:val="none" w:sz="0" w:space="0" w:color="auto"/>
      </w:divBdr>
    </w:div>
    <w:div w:id="240598960">
      <w:bodyDiv w:val="1"/>
      <w:marLeft w:val="0"/>
      <w:marRight w:val="0"/>
      <w:marTop w:val="0"/>
      <w:marBottom w:val="0"/>
      <w:divBdr>
        <w:top w:val="none" w:sz="0" w:space="0" w:color="auto"/>
        <w:left w:val="none" w:sz="0" w:space="0" w:color="auto"/>
        <w:bottom w:val="none" w:sz="0" w:space="0" w:color="auto"/>
        <w:right w:val="none" w:sz="0" w:space="0" w:color="auto"/>
      </w:divBdr>
    </w:div>
    <w:div w:id="243883206">
      <w:bodyDiv w:val="1"/>
      <w:marLeft w:val="0"/>
      <w:marRight w:val="0"/>
      <w:marTop w:val="0"/>
      <w:marBottom w:val="0"/>
      <w:divBdr>
        <w:top w:val="none" w:sz="0" w:space="0" w:color="auto"/>
        <w:left w:val="none" w:sz="0" w:space="0" w:color="auto"/>
        <w:bottom w:val="none" w:sz="0" w:space="0" w:color="auto"/>
        <w:right w:val="none" w:sz="0" w:space="0" w:color="auto"/>
      </w:divBdr>
    </w:div>
    <w:div w:id="245001075">
      <w:bodyDiv w:val="1"/>
      <w:marLeft w:val="0"/>
      <w:marRight w:val="0"/>
      <w:marTop w:val="0"/>
      <w:marBottom w:val="0"/>
      <w:divBdr>
        <w:top w:val="none" w:sz="0" w:space="0" w:color="auto"/>
        <w:left w:val="none" w:sz="0" w:space="0" w:color="auto"/>
        <w:bottom w:val="none" w:sz="0" w:space="0" w:color="auto"/>
        <w:right w:val="none" w:sz="0" w:space="0" w:color="auto"/>
      </w:divBdr>
    </w:div>
    <w:div w:id="245263415">
      <w:bodyDiv w:val="1"/>
      <w:marLeft w:val="0"/>
      <w:marRight w:val="0"/>
      <w:marTop w:val="0"/>
      <w:marBottom w:val="0"/>
      <w:divBdr>
        <w:top w:val="none" w:sz="0" w:space="0" w:color="auto"/>
        <w:left w:val="none" w:sz="0" w:space="0" w:color="auto"/>
        <w:bottom w:val="none" w:sz="0" w:space="0" w:color="auto"/>
        <w:right w:val="none" w:sz="0" w:space="0" w:color="auto"/>
      </w:divBdr>
    </w:div>
    <w:div w:id="247926392">
      <w:bodyDiv w:val="1"/>
      <w:marLeft w:val="0"/>
      <w:marRight w:val="0"/>
      <w:marTop w:val="0"/>
      <w:marBottom w:val="0"/>
      <w:divBdr>
        <w:top w:val="none" w:sz="0" w:space="0" w:color="auto"/>
        <w:left w:val="none" w:sz="0" w:space="0" w:color="auto"/>
        <w:bottom w:val="none" w:sz="0" w:space="0" w:color="auto"/>
        <w:right w:val="none" w:sz="0" w:space="0" w:color="auto"/>
      </w:divBdr>
    </w:div>
    <w:div w:id="254020906">
      <w:bodyDiv w:val="1"/>
      <w:marLeft w:val="0"/>
      <w:marRight w:val="0"/>
      <w:marTop w:val="0"/>
      <w:marBottom w:val="0"/>
      <w:divBdr>
        <w:top w:val="none" w:sz="0" w:space="0" w:color="auto"/>
        <w:left w:val="none" w:sz="0" w:space="0" w:color="auto"/>
        <w:bottom w:val="none" w:sz="0" w:space="0" w:color="auto"/>
        <w:right w:val="none" w:sz="0" w:space="0" w:color="auto"/>
      </w:divBdr>
    </w:div>
    <w:div w:id="254243794">
      <w:bodyDiv w:val="1"/>
      <w:marLeft w:val="0"/>
      <w:marRight w:val="0"/>
      <w:marTop w:val="0"/>
      <w:marBottom w:val="0"/>
      <w:divBdr>
        <w:top w:val="none" w:sz="0" w:space="0" w:color="auto"/>
        <w:left w:val="none" w:sz="0" w:space="0" w:color="auto"/>
        <w:bottom w:val="none" w:sz="0" w:space="0" w:color="auto"/>
        <w:right w:val="none" w:sz="0" w:space="0" w:color="auto"/>
      </w:divBdr>
    </w:div>
    <w:div w:id="254558966">
      <w:bodyDiv w:val="1"/>
      <w:marLeft w:val="0"/>
      <w:marRight w:val="0"/>
      <w:marTop w:val="0"/>
      <w:marBottom w:val="0"/>
      <w:divBdr>
        <w:top w:val="none" w:sz="0" w:space="0" w:color="auto"/>
        <w:left w:val="none" w:sz="0" w:space="0" w:color="auto"/>
        <w:bottom w:val="none" w:sz="0" w:space="0" w:color="auto"/>
        <w:right w:val="none" w:sz="0" w:space="0" w:color="auto"/>
      </w:divBdr>
    </w:div>
    <w:div w:id="266616936">
      <w:bodyDiv w:val="1"/>
      <w:marLeft w:val="0"/>
      <w:marRight w:val="0"/>
      <w:marTop w:val="0"/>
      <w:marBottom w:val="0"/>
      <w:divBdr>
        <w:top w:val="none" w:sz="0" w:space="0" w:color="auto"/>
        <w:left w:val="none" w:sz="0" w:space="0" w:color="auto"/>
        <w:bottom w:val="none" w:sz="0" w:space="0" w:color="auto"/>
        <w:right w:val="none" w:sz="0" w:space="0" w:color="auto"/>
      </w:divBdr>
    </w:div>
    <w:div w:id="279336479">
      <w:bodyDiv w:val="1"/>
      <w:marLeft w:val="0"/>
      <w:marRight w:val="0"/>
      <w:marTop w:val="0"/>
      <w:marBottom w:val="0"/>
      <w:divBdr>
        <w:top w:val="none" w:sz="0" w:space="0" w:color="auto"/>
        <w:left w:val="none" w:sz="0" w:space="0" w:color="auto"/>
        <w:bottom w:val="none" w:sz="0" w:space="0" w:color="auto"/>
        <w:right w:val="none" w:sz="0" w:space="0" w:color="auto"/>
      </w:divBdr>
    </w:div>
    <w:div w:id="281498157">
      <w:bodyDiv w:val="1"/>
      <w:marLeft w:val="0"/>
      <w:marRight w:val="0"/>
      <w:marTop w:val="0"/>
      <w:marBottom w:val="0"/>
      <w:divBdr>
        <w:top w:val="none" w:sz="0" w:space="0" w:color="auto"/>
        <w:left w:val="none" w:sz="0" w:space="0" w:color="auto"/>
        <w:bottom w:val="none" w:sz="0" w:space="0" w:color="auto"/>
        <w:right w:val="none" w:sz="0" w:space="0" w:color="auto"/>
      </w:divBdr>
    </w:div>
    <w:div w:id="286547618">
      <w:bodyDiv w:val="1"/>
      <w:marLeft w:val="0"/>
      <w:marRight w:val="0"/>
      <w:marTop w:val="0"/>
      <w:marBottom w:val="0"/>
      <w:divBdr>
        <w:top w:val="none" w:sz="0" w:space="0" w:color="auto"/>
        <w:left w:val="none" w:sz="0" w:space="0" w:color="auto"/>
        <w:bottom w:val="none" w:sz="0" w:space="0" w:color="auto"/>
        <w:right w:val="none" w:sz="0" w:space="0" w:color="auto"/>
      </w:divBdr>
    </w:div>
    <w:div w:id="286620324">
      <w:bodyDiv w:val="1"/>
      <w:marLeft w:val="0"/>
      <w:marRight w:val="0"/>
      <w:marTop w:val="0"/>
      <w:marBottom w:val="0"/>
      <w:divBdr>
        <w:top w:val="none" w:sz="0" w:space="0" w:color="auto"/>
        <w:left w:val="none" w:sz="0" w:space="0" w:color="auto"/>
        <w:bottom w:val="none" w:sz="0" w:space="0" w:color="auto"/>
        <w:right w:val="none" w:sz="0" w:space="0" w:color="auto"/>
      </w:divBdr>
    </w:div>
    <w:div w:id="287124529">
      <w:bodyDiv w:val="1"/>
      <w:marLeft w:val="0"/>
      <w:marRight w:val="0"/>
      <w:marTop w:val="0"/>
      <w:marBottom w:val="0"/>
      <w:divBdr>
        <w:top w:val="none" w:sz="0" w:space="0" w:color="auto"/>
        <w:left w:val="none" w:sz="0" w:space="0" w:color="auto"/>
        <w:bottom w:val="none" w:sz="0" w:space="0" w:color="auto"/>
        <w:right w:val="none" w:sz="0" w:space="0" w:color="auto"/>
      </w:divBdr>
    </w:div>
    <w:div w:id="288825434">
      <w:bodyDiv w:val="1"/>
      <w:marLeft w:val="0"/>
      <w:marRight w:val="0"/>
      <w:marTop w:val="0"/>
      <w:marBottom w:val="0"/>
      <w:divBdr>
        <w:top w:val="none" w:sz="0" w:space="0" w:color="auto"/>
        <w:left w:val="none" w:sz="0" w:space="0" w:color="auto"/>
        <w:bottom w:val="none" w:sz="0" w:space="0" w:color="auto"/>
        <w:right w:val="none" w:sz="0" w:space="0" w:color="auto"/>
      </w:divBdr>
    </w:div>
    <w:div w:id="291401565">
      <w:bodyDiv w:val="1"/>
      <w:marLeft w:val="0"/>
      <w:marRight w:val="0"/>
      <w:marTop w:val="0"/>
      <w:marBottom w:val="0"/>
      <w:divBdr>
        <w:top w:val="none" w:sz="0" w:space="0" w:color="auto"/>
        <w:left w:val="none" w:sz="0" w:space="0" w:color="auto"/>
        <w:bottom w:val="none" w:sz="0" w:space="0" w:color="auto"/>
        <w:right w:val="none" w:sz="0" w:space="0" w:color="auto"/>
      </w:divBdr>
    </w:div>
    <w:div w:id="294216647">
      <w:bodyDiv w:val="1"/>
      <w:marLeft w:val="0"/>
      <w:marRight w:val="0"/>
      <w:marTop w:val="0"/>
      <w:marBottom w:val="0"/>
      <w:divBdr>
        <w:top w:val="none" w:sz="0" w:space="0" w:color="auto"/>
        <w:left w:val="none" w:sz="0" w:space="0" w:color="auto"/>
        <w:bottom w:val="none" w:sz="0" w:space="0" w:color="auto"/>
        <w:right w:val="none" w:sz="0" w:space="0" w:color="auto"/>
      </w:divBdr>
    </w:div>
    <w:div w:id="298531452">
      <w:bodyDiv w:val="1"/>
      <w:marLeft w:val="0"/>
      <w:marRight w:val="0"/>
      <w:marTop w:val="0"/>
      <w:marBottom w:val="0"/>
      <w:divBdr>
        <w:top w:val="none" w:sz="0" w:space="0" w:color="auto"/>
        <w:left w:val="none" w:sz="0" w:space="0" w:color="auto"/>
        <w:bottom w:val="none" w:sz="0" w:space="0" w:color="auto"/>
        <w:right w:val="none" w:sz="0" w:space="0" w:color="auto"/>
      </w:divBdr>
    </w:div>
    <w:div w:id="301812776">
      <w:bodyDiv w:val="1"/>
      <w:marLeft w:val="0"/>
      <w:marRight w:val="0"/>
      <w:marTop w:val="0"/>
      <w:marBottom w:val="0"/>
      <w:divBdr>
        <w:top w:val="none" w:sz="0" w:space="0" w:color="auto"/>
        <w:left w:val="none" w:sz="0" w:space="0" w:color="auto"/>
        <w:bottom w:val="none" w:sz="0" w:space="0" w:color="auto"/>
        <w:right w:val="none" w:sz="0" w:space="0" w:color="auto"/>
      </w:divBdr>
    </w:div>
    <w:div w:id="304511989">
      <w:bodyDiv w:val="1"/>
      <w:marLeft w:val="0"/>
      <w:marRight w:val="0"/>
      <w:marTop w:val="0"/>
      <w:marBottom w:val="0"/>
      <w:divBdr>
        <w:top w:val="none" w:sz="0" w:space="0" w:color="auto"/>
        <w:left w:val="none" w:sz="0" w:space="0" w:color="auto"/>
        <w:bottom w:val="none" w:sz="0" w:space="0" w:color="auto"/>
        <w:right w:val="none" w:sz="0" w:space="0" w:color="auto"/>
      </w:divBdr>
    </w:div>
    <w:div w:id="305089464">
      <w:bodyDiv w:val="1"/>
      <w:marLeft w:val="0"/>
      <w:marRight w:val="0"/>
      <w:marTop w:val="0"/>
      <w:marBottom w:val="0"/>
      <w:divBdr>
        <w:top w:val="none" w:sz="0" w:space="0" w:color="auto"/>
        <w:left w:val="none" w:sz="0" w:space="0" w:color="auto"/>
        <w:bottom w:val="none" w:sz="0" w:space="0" w:color="auto"/>
        <w:right w:val="none" w:sz="0" w:space="0" w:color="auto"/>
      </w:divBdr>
    </w:div>
    <w:div w:id="307786493">
      <w:bodyDiv w:val="1"/>
      <w:marLeft w:val="0"/>
      <w:marRight w:val="0"/>
      <w:marTop w:val="0"/>
      <w:marBottom w:val="0"/>
      <w:divBdr>
        <w:top w:val="none" w:sz="0" w:space="0" w:color="auto"/>
        <w:left w:val="none" w:sz="0" w:space="0" w:color="auto"/>
        <w:bottom w:val="none" w:sz="0" w:space="0" w:color="auto"/>
        <w:right w:val="none" w:sz="0" w:space="0" w:color="auto"/>
      </w:divBdr>
    </w:div>
    <w:div w:id="308635525">
      <w:bodyDiv w:val="1"/>
      <w:marLeft w:val="0"/>
      <w:marRight w:val="0"/>
      <w:marTop w:val="0"/>
      <w:marBottom w:val="0"/>
      <w:divBdr>
        <w:top w:val="none" w:sz="0" w:space="0" w:color="auto"/>
        <w:left w:val="none" w:sz="0" w:space="0" w:color="auto"/>
        <w:bottom w:val="none" w:sz="0" w:space="0" w:color="auto"/>
        <w:right w:val="none" w:sz="0" w:space="0" w:color="auto"/>
      </w:divBdr>
    </w:div>
    <w:div w:id="310065307">
      <w:bodyDiv w:val="1"/>
      <w:marLeft w:val="0"/>
      <w:marRight w:val="0"/>
      <w:marTop w:val="0"/>
      <w:marBottom w:val="0"/>
      <w:divBdr>
        <w:top w:val="none" w:sz="0" w:space="0" w:color="auto"/>
        <w:left w:val="none" w:sz="0" w:space="0" w:color="auto"/>
        <w:bottom w:val="none" w:sz="0" w:space="0" w:color="auto"/>
        <w:right w:val="none" w:sz="0" w:space="0" w:color="auto"/>
      </w:divBdr>
    </w:div>
    <w:div w:id="315230571">
      <w:bodyDiv w:val="1"/>
      <w:marLeft w:val="0"/>
      <w:marRight w:val="0"/>
      <w:marTop w:val="0"/>
      <w:marBottom w:val="0"/>
      <w:divBdr>
        <w:top w:val="none" w:sz="0" w:space="0" w:color="auto"/>
        <w:left w:val="none" w:sz="0" w:space="0" w:color="auto"/>
        <w:bottom w:val="none" w:sz="0" w:space="0" w:color="auto"/>
        <w:right w:val="none" w:sz="0" w:space="0" w:color="auto"/>
      </w:divBdr>
    </w:div>
    <w:div w:id="319895005">
      <w:bodyDiv w:val="1"/>
      <w:marLeft w:val="0"/>
      <w:marRight w:val="0"/>
      <w:marTop w:val="0"/>
      <w:marBottom w:val="0"/>
      <w:divBdr>
        <w:top w:val="none" w:sz="0" w:space="0" w:color="auto"/>
        <w:left w:val="none" w:sz="0" w:space="0" w:color="auto"/>
        <w:bottom w:val="none" w:sz="0" w:space="0" w:color="auto"/>
        <w:right w:val="none" w:sz="0" w:space="0" w:color="auto"/>
      </w:divBdr>
    </w:div>
    <w:div w:id="320693958">
      <w:bodyDiv w:val="1"/>
      <w:marLeft w:val="0"/>
      <w:marRight w:val="0"/>
      <w:marTop w:val="0"/>
      <w:marBottom w:val="0"/>
      <w:divBdr>
        <w:top w:val="none" w:sz="0" w:space="0" w:color="auto"/>
        <w:left w:val="none" w:sz="0" w:space="0" w:color="auto"/>
        <w:bottom w:val="none" w:sz="0" w:space="0" w:color="auto"/>
        <w:right w:val="none" w:sz="0" w:space="0" w:color="auto"/>
      </w:divBdr>
    </w:div>
    <w:div w:id="327365851">
      <w:bodyDiv w:val="1"/>
      <w:marLeft w:val="0"/>
      <w:marRight w:val="0"/>
      <w:marTop w:val="0"/>
      <w:marBottom w:val="0"/>
      <w:divBdr>
        <w:top w:val="none" w:sz="0" w:space="0" w:color="auto"/>
        <w:left w:val="none" w:sz="0" w:space="0" w:color="auto"/>
        <w:bottom w:val="none" w:sz="0" w:space="0" w:color="auto"/>
        <w:right w:val="none" w:sz="0" w:space="0" w:color="auto"/>
      </w:divBdr>
    </w:div>
    <w:div w:id="330572569">
      <w:bodyDiv w:val="1"/>
      <w:marLeft w:val="0"/>
      <w:marRight w:val="0"/>
      <w:marTop w:val="0"/>
      <w:marBottom w:val="0"/>
      <w:divBdr>
        <w:top w:val="none" w:sz="0" w:space="0" w:color="auto"/>
        <w:left w:val="none" w:sz="0" w:space="0" w:color="auto"/>
        <w:bottom w:val="none" w:sz="0" w:space="0" w:color="auto"/>
        <w:right w:val="none" w:sz="0" w:space="0" w:color="auto"/>
      </w:divBdr>
    </w:div>
    <w:div w:id="342830527">
      <w:bodyDiv w:val="1"/>
      <w:marLeft w:val="0"/>
      <w:marRight w:val="0"/>
      <w:marTop w:val="0"/>
      <w:marBottom w:val="0"/>
      <w:divBdr>
        <w:top w:val="none" w:sz="0" w:space="0" w:color="auto"/>
        <w:left w:val="none" w:sz="0" w:space="0" w:color="auto"/>
        <w:bottom w:val="none" w:sz="0" w:space="0" w:color="auto"/>
        <w:right w:val="none" w:sz="0" w:space="0" w:color="auto"/>
      </w:divBdr>
    </w:div>
    <w:div w:id="343557611">
      <w:bodyDiv w:val="1"/>
      <w:marLeft w:val="0"/>
      <w:marRight w:val="0"/>
      <w:marTop w:val="0"/>
      <w:marBottom w:val="0"/>
      <w:divBdr>
        <w:top w:val="none" w:sz="0" w:space="0" w:color="auto"/>
        <w:left w:val="none" w:sz="0" w:space="0" w:color="auto"/>
        <w:bottom w:val="none" w:sz="0" w:space="0" w:color="auto"/>
        <w:right w:val="none" w:sz="0" w:space="0" w:color="auto"/>
      </w:divBdr>
    </w:div>
    <w:div w:id="346835093">
      <w:bodyDiv w:val="1"/>
      <w:marLeft w:val="0"/>
      <w:marRight w:val="0"/>
      <w:marTop w:val="0"/>
      <w:marBottom w:val="0"/>
      <w:divBdr>
        <w:top w:val="none" w:sz="0" w:space="0" w:color="auto"/>
        <w:left w:val="none" w:sz="0" w:space="0" w:color="auto"/>
        <w:bottom w:val="none" w:sz="0" w:space="0" w:color="auto"/>
        <w:right w:val="none" w:sz="0" w:space="0" w:color="auto"/>
      </w:divBdr>
    </w:div>
    <w:div w:id="348337621">
      <w:bodyDiv w:val="1"/>
      <w:marLeft w:val="0"/>
      <w:marRight w:val="0"/>
      <w:marTop w:val="0"/>
      <w:marBottom w:val="0"/>
      <w:divBdr>
        <w:top w:val="none" w:sz="0" w:space="0" w:color="auto"/>
        <w:left w:val="none" w:sz="0" w:space="0" w:color="auto"/>
        <w:bottom w:val="none" w:sz="0" w:space="0" w:color="auto"/>
        <w:right w:val="none" w:sz="0" w:space="0" w:color="auto"/>
      </w:divBdr>
    </w:div>
    <w:div w:id="348989367">
      <w:bodyDiv w:val="1"/>
      <w:marLeft w:val="0"/>
      <w:marRight w:val="0"/>
      <w:marTop w:val="0"/>
      <w:marBottom w:val="0"/>
      <w:divBdr>
        <w:top w:val="none" w:sz="0" w:space="0" w:color="auto"/>
        <w:left w:val="none" w:sz="0" w:space="0" w:color="auto"/>
        <w:bottom w:val="none" w:sz="0" w:space="0" w:color="auto"/>
        <w:right w:val="none" w:sz="0" w:space="0" w:color="auto"/>
      </w:divBdr>
    </w:div>
    <w:div w:id="353314022">
      <w:bodyDiv w:val="1"/>
      <w:marLeft w:val="0"/>
      <w:marRight w:val="0"/>
      <w:marTop w:val="0"/>
      <w:marBottom w:val="0"/>
      <w:divBdr>
        <w:top w:val="none" w:sz="0" w:space="0" w:color="auto"/>
        <w:left w:val="none" w:sz="0" w:space="0" w:color="auto"/>
        <w:bottom w:val="none" w:sz="0" w:space="0" w:color="auto"/>
        <w:right w:val="none" w:sz="0" w:space="0" w:color="auto"/>
      </w:divBdr>
    </w:div>
    <w:div w:id="355160217">
      <w:bodyDiv w:val="1"/>
      <w:marLeft w:val="0"/>
      <w:marRight w:val="0"/>
      <w:marTop w:val="0"/>
      <w:marBottom w:val="0"/>
      <w:divBdr>
        <w:top w:val="none" w:sz="0" w:space="0" w:color="auto"/>
        <w:left w:val="none" w:sz="0" w:space="0" w:color="auto"/>
        <w:bottom w:val="none" w:sz="0" w:space="0" w:color="auto"/>
        <w:right w:val="none" w:sz="0" w:space="0" w:color="auto"/>
      </w:divBdr>
    </w:div>
    <w:div w:id="356975832">
      <w:bodyDiv w:val="1"/>
      <w:marLeft w:val="0"/>
      <w:marRight w:val="0"/>
      <w:marTop w:val="0"/>
      <w:marBottom w:val="0"/>
      <w:divBdr>
        <w:top w:val="none" w:sz="0" w:space="0" w:color="auto"/>
        <w:left w:val="none" w:sz="0" w:space="0" w:color="auto"/>
        <w:bottom w:val="none" w:sz="0" w:space="0" w:color="auto"/>
        <w:right w:val="none" w:sz="0" w:space="0" w:color="auto"/>
      </w:divBdr>
    </w:div>
    <w:div w:id="357462971">
      <w:bodyDiv w:val="1"/>
      <w:marLeft w:val="0"/>
      <w:marRight w:val="0"/>
      <w:marTop w:val="0"/>
      <w:marBottom w:val="0"/>
      <w:divBdr>
        <w:top w:val="none" w:sz="0" w:space="0" w:color="auto"/>
        <w:left w:val="none" w:sz="0" w:space="0" w:color="auto"/>
        <w:bottom w:val="none" w:sz="0" w:space="0" w:color="auto"/>
        <w:right w:val="none" w:sz="0" w:space="0" w:color="auto"/>
      </w:divBdr>
    </w:div>
    <w:div w:id="358241644">
      <w:bodyDiv w:val="1"/>
      <w:marLeft w:val="0"/>
      <w:marRight w:val="0"/>
      <w:marTop w:val="0"/>
      <w:marBottom w:val="0"/>
      <w:divBdr>
        <w:top w:val="none" w:sz="0" w:space="0" w:color="auto"/>
        <w:left w:val="none" w:sz="0" w:space="0" w:color="auto"/>
        <w:bottom w:val="none" w:sz="0" w:space="0" w:color="auto"/>
        <w:right w:val="none" w:sz="0" w:space="0" w:color="auto"/>
      </w:divBdr>
    </w:div>
    <w:div w:id="360667711">
      <w:bodyDiv w:val="1"/>
      <w:marLeft w:val="0"/>
      <w:marRight w:val="0"/>
      <w:marTop w:val="0"/>
      <w:marBottom w:val="0"/>
      <w:divBdr>
        <w:top w:val="none" w:sz="0" w:space="0" w:color="auto"/>
        <w:left w:val="none" w:sz="0" w:space="0" w:color="auto"/>
        <w:bottom w:val="none" w:sz="0" w:space="0" w:color="auto"/>
        <w:right w:val="none" w:sz="0" w:space="0" w:color="auto"/>
      </w:divBdr>
    </w:div>
    <w:div w:id="362629722">
      <w:bodyDiv w:val="1"/>
      <w:marLeft w:val="0"/>
      <w:marRight w:val="0"/>
      <w:marTop w:val="0"/>
      <w:marBottom w:val="0"/>
      <w:divBdr>
        <w:top w:val="none" w:sz="0" w:space="0" w:color="auto"/>
        <w:left w:val="none" w:sz="0" w:space="0" w:color="auto"/>
        <w:bottom w:val="none" w:sz="0" w:space="0" w:color="auto"/>
        <w:right w:val="none" w:sz="0" w:space="0" w:color="auto"/>
      </w:divBdr>
    </w:div>
    <w:div w:id="370501312">
      <w:bodyDiv w:val="1"/>
      <w:marLeft w:val="0"/>
      <w:marRight w:val="0"/>
      <w:marTop w:val="0"/>
      <w:marBottom w:val="0"/>
      <w:divBdr>
        <w:top w:val="none" w:sz="0" w:space="0" w:color="auto"/>
        <w:left w:val="none" w:sz="0" w:space="0" w:color="auto"/>
        <w:bottom w:val="none" w:sz="0" w:space="0" w:color="auto"/>
        <w:right w:val="none" w:sz="0" w:space="0" w:color="auto"/>
      </w:divBdr>
    </w:div>
    <w:div w:id="371421130">
      <w:bodyDiv w:val="1"/>
      <w:marLeft w:val="0"/>
      <w:marRight w:val="0"/>
      <w:marTop w:val="0"/>
      <w:marBottom w:val="0"/>
      <w:divBdr>
        <w:top w:val="none" w:sz="0" w:space="0" w:color="auto"/>
        <w:left w:val="none" w:sz="0" w:space="0" w:color="auto"/>
        <w:bottom w:val="none" w:sz="0" w:space="0" w:color="auto"/>
        <w:right w:val="none" w:sz="0" w:space="0" w:color="auto"/>
      </w:divBdr>
    </w:div>
    <w:div w:id="382757324">
      <w:bodyDiv w:val="1"/>
      <w:marLeft w:val="0"/>
      <w:marRight w:val="0"/>
      <w:marTop w:val="0"/>
      <w:marBottom w:val="0"/>
      <w:divBdr>
        <w:top w:val="none" w:sz="0" w:space="0" w:color="auto"/>
        <w:left w:val="none" w:sz="0" w:space="0" w:color="auto"/>
        <w:bottom w:val="none" w:sz="0" w:space="0" w:color="auto"/>
        <w:right w:val="none" w:sz="0" w:space="0" w:color="auto"/>
      </w:divBdr>
    </w:div>
    <w:div w:id="385030500">
      <w:bodyDiv w:val="1"/>
      <w:marLeft w:val="0"/>
      <w:marRight w:val="0"/>
      <w:marTop w:val="0"/>
      <w:marBottom w:val="0"/>
      <w:divBdr>
        <w:top w:val="none" w:sz="0" w:space="0" w:color="auto"/>
        <w:left w:val="none" w:sz="0" w:space="0" w:color="auto"/>
        <w:bottom w:val="none" w:sz="0" w:space="0" w:color="auto"/>
        <w:right w:val="none" w:sz="0" w:space="0" w:color="auto"/>
      </w:divBdr>
    </w:div>
    <w:div w:id="395513027">
      <w:bodyDiv w:val="1"/>
      <w:marLeft w:val="0"/>
      <w:marRight w:val="0"/>
      <w:marTop w:val="0"/>
      <w:marBottom w:val="0"/>
      <w:divBdr>
        <w:top w:val="none" w:sz="0" w:space="0" w:color="auto"/>
        <w:left w:val="none" w:sz="0" w:space="0" w:color="auto"/>
        <w:bottom w:val="none" w:sz="0" w:space="0" w:color="auto"/>
        <w:right w:val="none" w:sz="0" w:space="0" w:color="auto"/>
      </w:divBdr>
    </w:div>
    <w:div w:id="400521703">
      <w:bodyDiv w:val="1"/>
      <w:marLeft w:val="0"/>
      <w:marRight w:val="0"/>
      <w:marTop w:val="0"/>
      <w:marBottom w:val="0"/>
      <w:divBdr>
        <w:top w:val="none" w:sz="0" w:space="0" w:color="auto"/>
        <w:left w:val="none" w:sz="0" w:space="0" w:color="auto"/>
        <w:bottom w:val="none" w:sz="0" w:space="0" w:color="auto"/>
        <w:right w:val="none" w:sz="0" w:space="0" w:color="auto"/>
      </w:divBdr>
    </w:div>
    <w:div w:id="404452557">
      <w:bodyDiv w:val="1"/>
      <w:marLeft w:val="0"/>
      <w:marRight w:val="0"/>
      <w:marTop w:val="0"/>
      <w:marBottom w:val="0"/>
      <w:divBdr>
        <w:top w:val="none" w:sz="0" w:space="0" w:color="auto"/>
        <w:left w:val="none" w:sz="0" w:space="0" w:color="auto"/>
        <w:bottom w:val="none" w:sz="0" w:space="0" w:color="auto"/>
        <w:right w:val="none" w:sz="0" w:space="0" w:color="auto"/>
      </w:divBdr>
    </w:div>
    <w:div w:id="410005643">
      <w:bodyDiv w:val="1"/>
      <w:marLeft w:val="0"/>
      <w:marRight w:val="0"/>
      <w:marTop w:val="0"/>
      <w:marBottom w:val="0"/>
      <w:divBdr>
        <w:top w:val="none" w:sz="0" w:space="0" w:color="auto"/>
        <w:left w:val="none" w:sz="0" w:space="0" w:color="auto"/>
        <w:bottom w:val="none" w:sz="0" w:space="0" w:color="auto"/>
        <w:right w:val="none" w:sz="0" w:space="0" w:color="auto"/>
      </w:divBdr>
    </w:div>
    <w:div w:id="411314552">
      <w:bodyDiv w:val="1"/>
      <w:marLeft w:val="0"/>
      <w:marRight w:val="0"/>
      <w:marTop w:val="0"/>
      <w:marBottom w:val="0"/>
      <w:divBdr>
        <w:top w:val="none" w:sz="0" w:space="0" w:color="auto"/>
        <w:left w:val="none" w:sz="0" w:space="0" w:color="auto"/>
        <w:bottom w:val="none" w:sz="0" w:space="0" w:color="auto"/>
        <w:right w:val="none" w:sz="0" w:space="0" w:color="auto"/>
      </w:divBdr>
    </w:div>
    <w:div w:id="415786334">
      <w:bodyDiv w:val="1"/>
      <w:marLeft w:val="0"/>
      <w:marRight w:val="0"/>
      <w:marTop w:val="0"/>
      <w:marBottom w:val="0"/>
      <w:divBdr>
        <w:top w:val="none" w:sz="0" w:space="0" w:color="auto"/>
        <w:left w:val="none" w:sz="0" w:space="0" w:color="auto"/>
        <w:bottom w:val="none" w:sz="0" w:space="0" w:color="auto"/>
        <w:right w:val="none" w:sz="0" w:space="0" w:color="auto"/>
      </w:divBdr>
    </w:div>
    <w:div w:id="429470071">
      <w:bodyDiv w:val="1"/>
      <w:marLeft w:val="0"/>
      <w:marRight w:val="0"/>
      <w:marTop w:val="0"/>
      <w:marBottom w:val="0"/>
      <w:divBdr>
        <w:top w:val="none" w:sz="0" w:space="0" w:color="auto"/>
        <w:left w:val="none" w:sz="0" w:space="0" w:color="auto"/>
        <w:bottom w:val="none" w:sz="0" w:space="0" w:color="auto"/>
        <w:right w:val="none" w:sz="0" w:space="0" w:color="auto"/>
      </w:divBdr>
    </w:div>
    <w:div w:id="433794908">
      <w:bodyDiv w:val="1"/>
      <w:marLeft w:val="0"/>
      <w:marRight w:val="0"/>
      <w:marTop w:val="0"/>
      <w:marBottom w:val="0"/>
      <w:divBdr>
        <w:top w:val="none" w:sz="0" w:space="0" w:color="auto"/>
        <w:left w:val="none" w:sz="0" w:space="0" w:color="auto"/>
        <w:bottom w:val="none" w:sz="0" w:space="0" w:color="auto"/>
        <w:right w:val="none" w:sz="0" w:space="0" w:color="auto"/>
      </w:divBdr>
    </w:div>
    <w:div w:id="438305639">
      <w:bodyDiv w:val="1"/>
      <w:marLeft w:val="0"/>
      <w:marRight w:val="0"/>
      <w:marTop w:val="0"/>
      <w:marBottom w:val="0"/>
      <w:divBdr>
        <w:top w:val="none" w:sz="0" w:space="0" w:color="auto"/>
        <w:left w:val="none" w:sz="0" w:space="0" w:color="auto"/>
        <w:bottom w:val="none" w:sz="0" w:space="0" w:color="auto"/>
        <w:right w:val="none" w:sz="0" w:space="0" w:color="auto"/>
      </w:divBdr>
    </w:div>
    <w:div w:id="439565291">
      <w:bodyDiv w:val="1"/>
      <w:marLeft w:val="0"/>
      <w:marRight w:val="0"/>
      <w:marTop w:val="0"/>
      <w:marBottom w:val="0"/>
      <w:divBdr>
        <w:top w:val="none" w:sz="0" w:space="0" w:color="auto"/>
        <w:left w:val="none" w:sz="0" w:space="0" w:color="auto"/>
        <w:bottom w:val="none" w:sz="0" w:space="0" w:color="auto"/>
        <w:right w:val="none" w:sz="0" w:space="0" w:color="auto"/>
      </w:divBdr>
    </w:div>
    <w:div w:id="449016301">
      <w:bodyDiv w:val="1"/>
      <w:marLeft w:val="0"/>
      <w:marRight w:val="0"/>
      <w:marTop w:val="0"/>
      <w:marBottom w:val="0"/>
      <w:divBdr>
        <w:top w:val="none" w:sz="0" w:space="0" w:color="auto"/>
        <w:left w:val="none" w:sz="0" w:space="0" w:color="auto"/>
        <w:bottom w:val="none" w:sz="0" w:space="0" w:color="auto"/>
        <w:right w:val="none" w:sz="0" w:space="0" w:color="auto"/>
      </w:divBdr>
    </w:div>
    <w:div w:id="457459686">
      <w:bodyDiv w:val="1"/>
      <w:marLeft w:val="0"/>
      <w:marRight w:val="0"/>
      <w:marTop w:val="0"/>
      <w:marBottom w:val="0"/>
      <w:divBdr>
        <w:top w:val="none" w:sz="0" w:space="0" w:color="auto"/>
        <w:left w:val="none" w:sz="0" w:space="0" w:color="auto"/>
        <w:bottom w:val="none" w:sz="0" w:space="0" w:color="auto"/>
        <w:right w:val="none" w:sz="0" w:space="0" w:color="auto"/>
      </w:divBdr>
    </w:div>
    <w:div w:id="457533501">
      <w:bodyDiv w:val="1"/>
      <w:marLeft w:val="0"/>
      <w:marRight w:val="0"/>
      <w:marTop w:val="0"/>
      <w:marBottom w:val="0"/>
      <w:divBdr>
        <w:top w:val="none" w:sz="0" w:space="0" w:color="auto"/>
        <w:left w:val="none" w:sz="0" w:space="0" w:color="auto"/>
        <w:bottom w:val="none" w:sz="0" w:space="0" w:color="auto"/>
        <w:right w:val="none" w:sz="0" w:space="0" w:color="auto"/>
      </w:divBdr>
    </w:div>
    <w:div w:id="467165841">
      <w:bodyDiv w:val="1"/>
      <w:marLeft w:val="0"/>
      <w:marRight w:val="0"/>
      <w:marTop w:val="0"/>
      <w:marBottom w:val="0"/>
      <w:divBdr>
        <w:top w:val="none" w:sz="0" w:space="0" w:color="auto"/>
        <w:left w:val="none" w:sz="0" w:space="0" w:color="auto"/>
        <w:bottom w:val="none" w:sz="0" w:space="0" w:color="auto"/>
        <w:right w:val="none" w:sz="0" w:space="0" w:color="auto"/>
      </w:divBdr>
    </w:div>
    <w:div w:id="468979730">
      <w:bodyDiv w:val="1"/>
      <w:marLeft w:val="0"/>
      <w:marRight w:val="0"/>
      <w:marTop w:val="0"/>
      <w:marBottom w:val="0"/>
      <w:divBdr>
        <w:top w:val="none" w:sz="0" w:space="0" w:color="auto"/>
        <w:left w:val="none" w:sz="0" w:space="0" w:color="auto"/>
        <w:bottom w:val="none" w:sz="0" w:space="0" w:color="auto"/>
        <w:right w:val="none" w:sz="0" w:space="0" w:color="auto"/>
      </w:divBdr>
    </w:div>
    <w:div w:id="475802479">
      <w:bodyDiv w:val="1"/>
      <w:marLeft w:val="0"/>
      <w:marRight w:val="0"/>
      <w:marTop w:val="0"/>
      <w:marBottom w:val="0"/>
      <w:divBdr>
        <w:top w:val="none" w:sz="0" w:space="0" w:color="auto"/>
        <w:left w:val="none" w:sz="0" w:space="0" w:color="auto"/>
        <w:bottom w:val="none" w:sz="0" w:space="0" w:color="auto"/>
        <w:right w:val="none" w:sz="0" w:space="0" w:color="auto"/>
      </w:divBdr>
    </w:div>
    <w:div w:id="479199418">
      <w:bodyDiv w:val="1"/>
      <w:marLeft w:val="0"/>
      <w:marRight w:val="0"/>
      <w:marTop w:val="0"/>
      <w:marBottom w:val="0"/>
      <w:divBdr>
        <w:top w:val="none" w:sz="0" w:space="0" w:color="auto"/>
        <w:left w:val="none" w:sz="0" w:space="0" w:color="auto"/>
        <w:bottom w:val="none" w:sz="0" w:space="0" w:color="auto"/>
        <w:right w:val="none" w:sz="0" w:space="0" w:color="auto"/>
      </w:divBdr>
    </w:div>
    <w:div w:id="483661017">
      <w:bodyDiv w:val="1"/>
      <w:marLeft w:val="0"/>
      <w:marRight w:val="0"/>
      <w:marTop w:val="0"/>
      <w:marBottom w:val="0"/>
      <w:divBdr>
        <w:top w:val="none" w:sz="0" w:space="0" w:color="auto"/>
        <w:left w:val="none" w:sz="0" w:space="0" w:color="auto"/>
        <w:bottom w:val="none" w:sz="0" w:space="0" w:color="auto"/>
        <w:right w:val="none" w:sz="0" w:space="0" w:color="auto"/>
      </w:divBdr>
    </w:div>
    <w:div w:id="484318933">
      <w:bodyDiv w:val="1"/>
      <w:marLeft w:val="0"/>
      <w:marRight w:val="0"/>
      <w:marTop w:val="0"/>
      <w:marBottom w:val="0"/>
      <w:divBdr>
        <w:top w:val="none" w:sz="0" w:space="0" w:color="auto"/>
        <w:left w:val="none" w:sz="0" w:space="0" w:color="auto"/>
        <w:bottom w:val="none" w:sz="0" w:space="0" w:color="auto"/>
        <w:right w:val="none" w:sz="0" w:space="0" w:color="auto"/>
      </w:divBdr>
    </w:div>
    <w:div w:id="485097730">
      <w:bodyDiv w:val="1"/>
      <w:marLeft w:val="0"/>
      <w:marRight w:val="0"/>
      <w:marTop w:val="0"/>
      <w:marBottom w:val="0"/>
      <w:divBdr>
        <w:top w:val="none" w:sz="0" w:space="0" w:color="auto"/>
        <w:left w:val="none" w:sz="0" w:space="0" w:color="auto"/>
        <w:bottom w:val="none" w:sz="0" w:space="0" w:color="auto"/>
        <w:right w:val="none" w:sz="0" w:space="0" w:color="auto"/>
      </w:divBdr>
    </w:div>
    <w:div w:id="487330115">
      <w:bodyDiv w:val="1"/>
      <w:marLeft w:val="0"/>
      <w:marRight w:val="0"/>
      <w:marTop w:val="0"/>
      <w:marBottom w:val="0"/>
      <w:divBdr>
        <w:top w:val="none" w:sz="0" w:space="0" w:color="auto"/>
        <w:left w:val="none" w:sz="0" w:space="0" w:color="auto"/>
        <w:bottom w:val="none" w:sz="0" w:space="0" w:color="auto"/>
        <w:right w:val="none" w:sz="0" w:space="0" w:color="auto"/>
      </w:divBdr>
    </w:div>
    <w:div w:id="495875495">
      <w:bodyDiv w:val="1"/>
      <w:marLeft w:val="0"/>
      <w:marRight w:val="0"/>
      <w:marTop w:val="0"/>
      <w:marBottom w:val="0"/>
      <w:divBdr>
        <w:top w:val="none" w:sz="0" w:space="0" w:color="auto"/>
        <w:left w:val="none" w:sz="0" w:space="0" w:color="auto"/>
        <w:bottom w:val="none" w:sz="0" w:space="0" w:color="auto"/>
        <w:right w:val="none" w:sz="0" w:space="0" w:color="auto"/>
      </w:divBdr>
    </w:div>
    <w:div w:id="499277207">
      <w:bodyDiv w:val="1"/>
      <w:marLeft w:val="0"/>
      <w:marRight w:val="0"/>
      <w:marTop w:val="0"/>
      <w:marBottom w:val="0"/>
      <w:divBdr>
        <w:top w:val="none" w:sz="0" w:space="0" w:color="auto"/>
        <w:left w:val="none" w:sz="0" w:space="0" w:color="auto"/>
        <w:bottom w:val="none" w:sz="0" w:space="0" w:color="auto"/>
        <w:right w:val="none" w:sz="0" w:space="0" w:color="auto"/>
      </w:divBdr>
    </w:div>
    <w:div w:id="501701188">
      <w:bodyDiv w:val="1"/>
      <w:marLeft w:val="0"/>
      <w:marRight w:val="0"/>
      <w:marTop w:val="0"/>
      <w:marBottom w:val="0"/>
      <w:divBdr>
        <w:top w:val="none" w:sz="0" w:space="0" w:color="auto"/>
        <w:left w:val="none" w:sz="0" w:space="0" w:color="auto"/>
        <w:bottom w:val="none" w:sz="0" w:space="0" w:color="auto"/>
        <w:right w:val="none" w:sz="0" w:space="0" w:color="auto"/>
      </w:divBdr>
    </w:div>
    <w:div w:id="503591214">
      <w:bodyDiv w:val="1"/>
      <w:marLeft w:val="0"/>
      <w:marRight w:val="0"/>
      <w:marTop w:val="0"/>
      <w:marBottom w:val="0"/>
      <w:divBdr>
        <w:top w:val="none" w:sz="0" w:space="0" w:color="auto"/>
        <w:left w:val="none" w:sz="0" w:space="0" w:color="auto"/>
        <w:bottom w:val="none" w:sz="0" w:space="0" w:color="auto"/>
        <w:right w:val="none" w:sz="0" w:space="0" w:color="auto"/>
      </w:divBdr>
    </w:div>
    <w:div w:id="510950615">
      <w:bodyDiv w:val="1"/>
      <w:marLeft w:val="0"/>
      <w:marRight w:val="0"/>
      <w:marTop w:val="0"/>
      <w:marBottom w:val="0"/>
      <w:divBdr>
        <w:top w:val="none" w:sz="0" w:space="0" w:color="auto"/>
        <w:left w:val="none" w:sz="0" w:space="0" w:color="auto"/>
        <w:bottom w:val="none" w:sz="0" w:space="0" w:color="auto"/>
        <w:right w:val="none" w:sz="0" w:space="0" w:color="auto"/>
      </w:divBdr>
    </w:div>
    <w:div w:id="511532966">
      <w:bodyDiv w:val="1"/>
      <w:marLeft w:val="0"/>
      <w:marRight w:val="0"/>
      <w:marTop w:val="0"/>
      <w:marBottom w:val="0"/>
      <w:divBdr>
        <w:top w:val="none" w:sz="0" w:space="0" w:color="auto"/>
        <w:left w:val="none" w:sz="0" w:space="0" w:color="auto"/>
        <w:bottom w:val="none" w:sz="0" w:space="0" w:color="auto"/>
        <w:right w:val="none" w:sz="0" w:space="0" w:color="auto"/>
      </w:divBdr>
    </w:div>
    <w:div w:id="514618568">
      <w:bodyDiv w:val="1"/>
      <w:marLeft w:val="0"/>
      <w:marRight w:val="0"/>
      <w:marTop w:val="0"/>
      <w:marBottom w:val="0"/>
      <w:divBdr>
        <w:top w:val="none" w:sz="0" w:space="0" w:color="auto"/>
        <w:left w:val="none" w:sz="0" w:space="0" w:color="auto"/>
        <w:bottom w:val="none" w:sz="0" w:space="0" w:color="auto"/>
        <w:right w:val="none" w:sz="0" w:space="0" w:color="auto"/>
      </w:divBdr>
    </w:div>
    <w:div w:id="518351487">
      <w:bodyDiv w:val="1"/>
      <w:marLeft w:val="0"/>
      <w:marRight w:val="0"/>
      <w:marTop w:val="0"/>
      <w:marBottom w:val="0"/>
      <w:divBdr>
        <w:top w:val="none" w:sz="0" w:space="0" w:color="auto"/>
        <w:left w:val="none" w:sz="0" w:space="0" w:color="auto"/>
        <w:bottom w:val="none" w:sz="0" w:space="0" w:color="auto"/>
        <w:right w:val="none" w:sz="0" w:space="0" w:color="auto"/>
      </w:divBdr>
    </w:div>
    <w:div w:id="524176840">
      <w:bodyDiv w:val="1"/>
      <w:marLeft w:val="0"/>
      <w:marRight w:val="0"/>
      <w:marTop w:val="0"/>
      <w:marBottom w:val="0"/>
      <w:divBdr>
        <w:top w:val="none" w:sz="0" w:space="0" w:color="auto"/>
        <w:left w:val="none" w:sz="0" w:space="0" w:color="auto"/>
        <w:bottom w:val="none" w:sz="0" w:space="0" w:color="auto"/>
        <w:right w:val="none" w:sz="0" w:space="0" w:color="auto"/>
      </w:divBdr>
    </w:div>
    <w:div w:id="527720223">
      <w:bodyDiv w:val="1"/>
      <w:marLeft w:val="0"/>
      <w:marRight w:val="0"/>
      <w:marTop w:val="0"/>
      <w:marBottom w:val="0"/>
      <w:divBdr>
        <w:top w:val="none" w:sz="0" w:space="0" w:color="auto"/>
        <w:left w:val="none" w:sz="0" w:space="0" w:color="auto"/>
        <w:bottom w:val="none" w:sz="0" w:space="0" w:color="auto"/>
        <w:right w:val="none" w:sz="0" w:space="0" w:color="auto"/>
      </w:divBdr>
    </w:div>
    <w:div w:id="529495730">
      <w:bodyDiv w:val="1"/>
      <w:marLeft w:val="0"/>
      <w:marRight w:val="0"/>
      <w:marTop w:val="0"/>
      <w:marBottom w:val="0"/>
      <w:divBdr>
        <w:top w:val="none" w:sz="0" w:space="0" w:color="auto"/>
        <w:left w:val="none" w:sz="0" w:space="0" w:color="auto"/>
        <w:bottom w:val="none" w:sz="0" w:space="0" w:color="auto"/>
        <w:right w:val="none" w:sz="0" w:space="0" w:color="auto"/>
      </w:divBdr>
    </w:div>
    <w:div w:id="537938177">
      <w:bodyDiv w:val="1"/>
      <w:marLeft w:val="0"/>
      <w:marRight w:val="0"/>
      <w:marTop w:val="0"/>
      <w:marBottom w:val="0"/>
      <w:divBdr>
        <w:top w:val="none" w:sz="0" w:space="0" w:color="auto"/>
        <w:left w:val="none" w:sz="0" w:space="0" w:color="auto"/>
        <w:bottom w:val="none" w:sz="0" w:space="0" w:color="auto"/>
        <w:right w:val="none" w:sz="0" w:space="0" w:color="auto"/>
      </w:divBdr>
    </w:div>
    <w:div w:id="538014330">
      <w:bodyDiv w:val="1"/>
      <w:marLeft w:val="0"/>
      <w:marRight w:val="0"/>
      <w:marTop w:val="0"/>
      <w:marBottom w:val="0"/>
      <w:divBdr>
        <w:top w:val="none" w:sz="0" w:space="0" w:color="auto"/>
        <w:left w:val="none" w:sz="0" w:space="0" w:color="auto"/>
        <w:bottom w:val="none" w:sz="0" w:space="0" w:color="auto"/>
        <w:right w:val="none" w:sz="0" w:space="0" w:color="auto"/>
      </w:divBdr>
    </w:div>
    <w:div w:id="538779931">
      <w:bodyDiv w:val="1"/>
      <w:marLeft w:val="0"/>
      <w:marRight w:val="0"/>
      <w:marTop w:val="0"/>
      <w:marBottom w:val="0"/>
      <w:divBdr>
        <w:top w:val="none" w:sz="0" w:space="0" w:color="auto"/>
        <w:left w:val="none" w:sz="0" w:space="0" w:color="auto"/>
        <w:bottom w:val="none" w:sz="0" w:space="0" w:color="auto"/>
        <w:right w:val="none" w:sz="0" w:space="0" w:color="auto"/>
      </w:divBdr>
    </w:div>
    <w:div w:id="544951346">
      <w:bodyDiv w:val="1"/>
      <w:marLeft w:val="0"/>
      <w:marRight w:val="0"/>
      <w:marTop w:val="0"/>
      <w:marBottom w:val="0"/>
      <w:divBdr>
        <w:top w:val="none" w:sz="0" w:space="0" w:color="auto"/>
        <w:left w:val="none" w:sz="0" w:space="0" w:color="auto"/>
        <w:bottom w:val="none" w:sz="0" w:space="0" w:color="auto"/>
        <w:right w:val="none" w:sz="0" w:space="0" w:color="auto"/>
      </w:divBdr>
    </w:div>
    <w:div w:id="546768870">
      <w:bodyDiv w:val="1"/>
      <w:marLeft w:val="0"/>
      <w:marRight w:val="0"/>
      <w:marTop w:val="0"/>
      <w:marBottom w:val="0"/>
      <w:divBdr>
        <w:top w:val="none" w:sz="0" w:space="0" w:color="auto"/>
        <w:left w:val="none" w:sz="0" w:space="0" w:color="auto"/>
        <w:bottom w:val="none" w:sz="0" w:space="0" w:color="auto"/>
        <w:right w:val="none" w:sz="0" w:space="0" w:color="auto"/>
      </w:divBdr>
    </w:div>
    <w:div w:id="547377007">
      <w:bodyDiv w:val="1"/>
      <w:marLeft w:val="0"/>
      <w:marRight w:val="0"/>
      <w:marTop w:val="0"/>
      <w:marBottom w:val="0"/>
      <w:divBdr>
        <w:top w:val="none" w:sz="0" w:space="0" w:color="auto"/>
        <w:left w:val="none" w:sz="0" w:space="0" w:color="auto"/>
        <w:bottom w:val="none" w:sz="0" w:space="0" w:color="auto"/>
        <w:right w:val="none" w:sz="0" w:space="0" w:color="auto"/>
      </w:divBdr>
    </w:div>
    <w:div w:id="548420547">
      <w:bodyDiv w:val="1"/>
      <w:marLeft w:val="0"/>
      <w:marRight w:val="0"/>
      <w:marTop w:val="0"/>
      <w:marBottom w:val="0"/>
      <w:divBdr>
        <w:top w:val="none" w:sz="0" w:space="0" w:color="auto"/>
        <w:left w:val="none" w:sz="0" w:space="0" w:color="auto"/>
        <w:bottom w:val="none" w:sz="0" w:space="0" w:color="auto"/>
        <w:right w:val="none" w:sz="0" w:space="0" w:color="auto"/>
      </w:divBdr>
    </w:div>
    <w:div w:id="548805279">
      <w:bodyDiv w:val="1"/>
      <w:marLeft w:val="0"/>
      <w:marRight w:val="0"/>
      <w:marTop w:val="0"/>
      <w:marBottom w:val="0"/>
      <w:divBdr>
        <w:top w:val="none" w:sz="0" w:space="0" w:color="auto"/>
        <w:left w:val="none" w:sz="0" w:space="0" w:color="auto"/>
        <w:bottom w:val="none" w:sz="0" w:space="0" w:color="auto"/>
        <w:right w:val="none" w:sz="0" w:space="0" w:color="auto"/>
      </w:divBdr>
    </w:div>
    <w:div w:id="550650988">
      <w:bodyDiv w:val="1"/>
      <w:marLeft w:val="0"/>
      <w:marRight w:val="0"/>
      <w:marTop w:val="0"/>
      <w:marBottom w:val="0"/>
      <w:divBdr>
        <w:top w:val="none" w:sz="0" w:space="0" w:color="auto"/>
        <w:left w:val="none" w:sz="0" w:space="0" w:color="auto"/>
        <w:bottom w:val="none" w:sz="0" w:space="0" w:color="auto"/>
        <w:right w:val="none" w:sz="0" w:space="0" w:color="auto"/>
      </w:divBdr>
    </w:div>
    <w:div w:id="553858199">
      <w:bodyDiv w:val="1"/>
      <w:marLeft w:val="0"/>
      <w:marRight w:val="0"/>
      <w:marTop w:val="0"/>
      <w:marBottom w:val="0"/>
      <w:divBdr>
        <w:top w:val="none" w:sz="0" w:space="0" w:color="auto"/>
        <w:left w:val="none" w:sz="0" w:space="0" w:color="auto"/>
        <w:bottom w:val="none" w:sz="0" w:space="0" w:color="auto"/>
        <w:right w:val="none" w:sz="0" w:space="0" w:color="auto"/>
      </w:divBdr>
    </w:div>
    <w:div w:id="557011293">
      <w:bodyDiv w:val="1"/>
      <w:marLeft w:val="0"/>
      <w:marRight w:val="0"/>
      <w:marTop w:val="0"/>
      <w:marBottom w:val="0"/>
      <w:divBdr>
        <w:top w:val="none" w:sz="0" w:space="0" w:color="auto"/>
        <w:left w:val="none" w:sz="0" w:space="0" w:color="auto"/>
        <w:bottom w:val="none" w:sz="0" w:space="0" w:color="auto"/>
        <w:right w:val="none" w:sz="0" w:space="0" w:color="auto"/>
      </w:divBdr>
    </w:div>
    <w:div w:id="559025824">
      <w:bodyDiv w:val="1"/>
      <w:marLeft w:val="0"/>
      <w:marRight w:val="0"/>
      <w:marTop w:val="0"/>
      <w:marBottom w:val="0"/>
      <w:divBdr>
        <w:top w:val="none" w:sz="0" w:space="0" w:color="auto"/>
        <w:left w:val="none" w:sz="0" w:space="0" w:color="auto"/>
        <w:bottom w:val="none" w:sz="0" w:space="0" w:color="auto"/>
        <w:right w:val="none" w:sz="0" w:space="0" w:color="auto"/>
      </w:divBdr>
    </w:div>
    <w:div w:id="561672346">
      <w:bodyDiv w:val="1"/>
      <w:marLeft w:val="0"/>
      <w:marRight w:val="0"/>
      <w:marTop w:val="0"/>
      <w:marBottom w:val="0"/>
      <w:divBdr>
        <w:top w:val="none" w:sz="0" w:space="0" w:color="auto"/>
        <w:left w:val="none" w:sz="0" w:space="0" w:color="auto"/>
        <w:bottom w:val="none" w:sz="0" w:space="0" w:color="auto"/>
        <w:right w:val="none" w:sz="0" w:space="0" w:color="auto"/>
      </w:divBdr>
    </w:div>
    <w:div w:id="561987155">
      <w:bodyDiv w:val="1"/>
      <w:marLeft w:val="0"/>
      <w:marRight w:val="0"/>
      <w:marTop w:val="0"/>
      <w:marBottom w:val="0"/>
      <w:divBdr>
        <w:top w:val="none" w:sz="0" w:space="0" w:color="auto"/>
        <w:left w:val="none" w:sz="0" w:space="0" w:color="auto"/>
        <w:bottom w:val="none" w:sz="0" w:space="0" w:color="auto"/>
        <w:right w:val="none" w:sz="0" w:space="0" w:color="auto"/>
      </w:divBdr>
    </w:div>
    <w:div w:id="564995563">
      <w:bodyDiv w:val="1"/>
      <w:marLeft w:val="0"/>
      <w:marRight w:val="0"/>
      <w:marTop w:val="0"/>
      <w:marBottom w:val="0"/>
      <w:divBdr>
        <w:top w:val="none" w:sz="0" w:space="0" w:color="auto"/>
        <w:left w:val="none" w:sz="0" w:space="0" w:color="auto"/>
        <w:bottom w:val="none" w:sz="0" w:space="0" w:color="auto"/>
        <w:right w:val="none" w:sz="0" w:space="0" w:color="auto"/>
      </w:divBdr>
    </w:div>
    <w:div w:id="567885683">
      <w:bodyDiv w:val="1"/>
      <w:marLeft w:val="0"/>
      <w:marRight w:val="0"/>
      <w:marTop w:val="0"/>
      <w:marBottom w:val="0"/>
      <w:divBdr>
        <w:top w:val="none" w:sz="0" w:space="0" w:color="auto"/>
        <w:left w:val="none" w:sz="0" w:space="0" w:color="auto"/>
        <w:bottom w:val="none" w:sz="0" w:space="0" w:color="auto"/>
        <w:right w:val="none" w:sz="0" w:space="0" w:color="auto"/>
      </w:divBdr>
    </w:div>
    <w:div w:id="574169934">
      <w:bodyDiv w:val="1"/>
      <w:marLeft w:val="0"/>
      <w:marRight w:val="0"/>
      <w:marTop w:val="0"/>
      <w:marBottom w:val="0"/>
      <w:divBdr>
        <w:top w:val="none" w:sz="0" w:space="0" w:color="auto"/>
        <w:left w:val="none" w:sz="0" w:space="0" w:color="auto"/>
        <w:bottom w:val="none" w:sz="0" w:space="0" w:color="auto"/>
        <w:right w:val="none" w:sz="0" w:space="0" w:color="auto"/>
      </w:divBdr>
    </w:div>
    <w:div w:id="574437039">
      <w:bodyDiv w:val="1"/>
      <w:marLeft w:val="0"/>
      <w:marRight w:val="0"/>
      <w:marTop w:val="0"/>
      <w:marBottom w:val="0"/>
      <w:divBdr>
        <w:top w:val="none" w:sz="0" w:space="0" w:color="auto"/>
        <w:left w:val="none" w:sz="0" w:space="0" w:color="auto"/>
        <w:bottom w:val="none" w:sz="0" w:space="0" w:color="auto"/>
        <w:right w:val="none" w:sz="0" w:space="0" w:color="auto"/>
      </w:divBdr>
    </w:div>
    <w:div w:id="583681432">
      <w:bodyDiv w:val="1"/>
      <w:marLeft w:val="0"/>
      <w:marRight w:val="0"/>
      <w:marTop w:val="0"/>
      <w:marBottom w:val="0"/>
      <w:divBdr>
        <w:top w:val="none" w:sz="0" w:space="0" w:color="auto"/>
        <w:left w:val="none" w:sz="0" w:space="0" w:color="auto"/>
        <w:bottom w:val="none" w:sz="0" w:space="0" w:color="auto"/>
        <w:right w:val="none" w:sz="0" w:space="0" w:color="auto"/>
      </w:divBdr>
    </w:div>
    <w:div w:id="587154993">
      <w:bodyDiv w:val="1"/>
      <w:marLeft w:val="0"/>
      <w:marRight w:val="0"/>
      <w:marTop w:val="0"/>
      <w:marBottom w:val="0"/>
      <w:divBdr>
        <w:top w:val="none" w:sz="0" w:space="0" w:color="auto"/>
        <w:left w:val="none" w:sz="0" w:space="0" w:color="auto"/>
        <w:bottom w:val="none" w:sz="0" w:space="0" w:color="auto"/>
        <w:right w:val="none" w:sz="0" w:space="0" w:color="auto"/>
      </w:divBdr>
    </w:div>
    <w:div w:id="588664054">
      <w:bodyDiv w:val="1"/>
      <w:marLeft w:val="0"/>
      <w:marRight w:val="0"/>
      <w:marTop w:val="0"/>
      <w:marBottom w:val="0"/>
      <w:divBdr>
        <w:top w:val="none" w:sz="0" w:space="0" w:color="auto"/>
        <w:left w:val="none" w:sz="0" w:space="0" w:color="auto"/>
        <w:bottom w:val="none" w:sz="0" w:space="0" w:color="auto"/>
        <w:right w:val="none" w:sz="0" w:space="0" w:color="auto"/>
      </w:divBdr>
    </w:div>
    <w:div w:id="590045292">
      <w:bodyDiv w:val="1"/>
      <w:marLeft w:val="0"/>
      <w:marRight w:val="0"/>
      <w:marTop w:val="0"/>
      <w:marBottom w:val="0"/>
      <w:divBdr>
        <w:top w:val="none" w:sz="0" w:space="0" w:color="auto"/>
        <w:left w:val="none" w:sz="0" w:space="0" w:color="auto"/>
        <w:bottom w:val="none" w:sz="0" w:space="0" w:color="auto"/>
        <w:right w:val="none" w:sz="0" w:space="0" w:color="auto"/>
      </w:divBdr>
    </w:div>
    <w:div w:id="592588378">
      <w:bodyDiv w:val="1"/>
      <w:marLeft w:val="0"/>
      <w:marRight w:val="0"/>
      <w:marTop w:val="0"/>
      <w:marBottom w:val="0"/>
      <w:divBdr>
        <w:top w:val="none" w:sz="0" w:space="0" w:color="auto"/>
        <w:left w:val="none" w:sz="0" w:space="0" w:color="auto"/>
        <w:bottom w:val="none" w:sz="0" w:space="0" w:color="auto"/>
        <w:right w:val="none" w:sz="0" w:space="0" w:color="auto"/>
      </w:divBdr>
    </w:div>
    <w:div w:id="594477337">
      <w:bodyDiv w:val="1"/>
      <w:marLeft w:val="0"/>
      <w:marRight w:val="0"/>
      <w:marTop w:val="0"/>
      <w:marBottom w:val="0"/>
      <w:divBdr>
        <w:top w:val="none" w:sz="0" w:space="0" w:color="auto"/>
        <w:left w:val="none" w:sz="0" w:space="0" w:color="auto"/>
        <w:bottom w:val="none" w:sz="0" w:space="0" w:color="auto"/>
        <w:right w:val="none" w:sz="0" w:space="0" w:color="auto"/>
      </w:divBdr>
    </w:div>
    <w:div w:id="594747286">
      <w:bodyDiv w:val="1"/>
      <w:marLeft w:val="0"/>
      <w:marRight w:val="0"/>
      <w:marTop w:val="0"/>
      <w:marBottom w:val="0"/>
      <w:divBdr>
        <w:top w:val="none" w:sz="0" w:space="0" w:color="auto"/>
        <w:left w:val="none" w:sz="0" w:space="0" w:color="auto"/>
        <w:bottom w:val="none" w:sz="0" w:space="0" w:color="auto"/>
        <w:right w:val="none" w:sz="0" w:space="0" w:color="auto"/>
      </w:divBdr>
    </w:div>
    <w:div w:id="595359189">
      <w:bodyDiv w:val="1"/>
      <w:marLeft w:val="0"/>
      <w:marRight w:val="0"/>
      <w:marTop w:val="0"/>
      <w:marBottom w:val="0"/>
      <w:divBdr>
        <w:top w:val="none" w:sz="0" w:space="0" w:color="auto"/>
        <w:left w:val="none" w:sz="0" w:space="0" w:color="auto"/>
        <w:bottom w:val="none" w:sz="0" w:space="0" w:color="auto"/>
        <w:right w:val="none" w:sz="0" w:space="0" w:color="auto"/>
      </w:divBdr>
    </w:div>
    <w:div w:id="597562179">
      <w:bodyDiv w:val="1"/>
      <w:marLeft w:val="0"/>
      <w:marRight w:val="0"/>
      <w:marTop w:val="0"/>
      <w:marBottom w:val="0"/>
      <w:divBdr>
        <w:top w:val="none" w:sz="0" w:space="0" w:color="auto"/>
        <w:left w:val="none" w:sz="0" w:space="0" w:color="auto"/>
        <w:bottom w:val="none" w:sz="0" w:space="0" w:color="auto"/>
        <w:right w:val="none" w:sz="0" w:space="0" w:color="auto"/>
      </w:divBdr>
    </w:div>
    <w:div w:id="601255595">
      <w:bodyDiv w:val="1"/>
      <w:marLeft w:val="0"/>
      <w:marRight w:val="0"/>
      <w:marTop w:val="0"/>
      <w:marBottom w:val="0"/>
      <w:divBdr>
        <w:top w:val="none" w:sz="0" w:space="0" w:color="auto"/>
        <w:left w:val="none" w:sz="0" w:space="0" w:color="auto"/>
        <w:bottom w:val="none" w:sz="0" w:space="0" w:color="auto"/>
        <w:right w:val="none" w:sz="0" w:space="0" w:color="auto"/>
      </w:divBdr>
    </w:div>
    <w:div w:id="612638565">
      <w:bodyDiv w:val="1"/>
      <w:marLeft w:val="0"/>
      <w:marRight w:val="0"/>
      <w:marTop w:val="0"/>
      <w:marBottom w:val="0"/>
      <w:divBdr>
        <w:top w:val="none" w:sz="0" w:space="0" w:color="auto"/>
        <w:left w:val="none" w:sz="0" w:space="0" w:color="auto"/>
        <w:bottom w:val="none" w:sz="0" w:space="0" w:color="auto"/>
        <w:right w:val="none" w:sz="0" w:space="0" w:color="auto"/>
      </w:divBdr>
    </w:div>
    <w:div w:id="616447943">
      <w:bodyDiv w:val="1"/>
      <w:marLeft w:val="0"/>
      <w:marRight w:val="0"/>
      <w:marTop w:val="0"/>
      <w:marBottom w:val="0"/>
      <w:divBdr>
        <w:top w:val="none" w:sz="0" w:space="0" w:color="auto"/>
        <w:left w:val="none" w:sz="0" w:space="0" w:color="auto"/>
        <w:bottom w:val="none" w:sz="0" w:space="0" w:color="auto"/>
        <w:right w:val="none" w:sz="0" w:space="0" w:color="auto"/>
      </w:divBdr>
    </w:div>
    <w:div w:id="625697554">
      <w:bodyDiv w:val="1"/>
      <w:marLeft w:val="0"/>
      <w:marRight w:val="0"/>
      <w:marTop w:val="0"/>
      <w:marBottom w:val="0"/>
      <w:divBdr>
        <w:top w:val="none" w:sz="0" w:space="0" w:color="auto"/>
        <w:left w:val="none" w:sz="0" w:space="0" w:color="auto"/>
        <w:bottom w:val="none" w:sz="0" w:space="0" w:color="auto"/>
        <w:right w:val="none" w:sz="0" w:space="0" w:color="auto"/>
      </w:divBdr>
    </w:div>
    <w:div w:id="629167771">
      <w:bodyDiv w:val="1"/>
      <w:marLeft w:val="0"/>
      <w:marRight w:val="0"/>
      <w:marTop w:val="0"/>
      <w:marBottom w:val="0"/>
      <w:divBdr>
        <w:top w:val="none" w:sz="0" w:space="0" w:color="auto"/>
        <w:left w:val="none" w:sz="0" w:space="0" w:color="auto"/>
        <w:bottom w:val="none" w:sz="0" w:space="0" w:color="auto"/>
        <w:right w:val="none" w:sz="0" w:space="0" w:color="auto"/>
      </w:divBdr>
    </w:div>
    <w:div w:id="629483787">
      <w:bodyDiv w:val="1"/>
      <w:marLeft w:val="0"/>
      <w:marRight w:val="0"/>
      <w:marTop w:val="0"/>
      <w:marBottom w:val="0"/>
      <w:divBdr>
        <w:top w:val="none" w:sz="0" w:space="0" w:color="auto"/>
        <w:left w:val="none" w:sz="0" w:space="0" w:color="auto"/>
        <w:bottom w:val="none" w:sz="0" w:space="0" w:color="auto"/>
        <w:right w:val="none" w:sz="0" w:space="0" w:color="auto"/>
      </w:divBdr>
    </w:div>
    <w:div w:id="632633452">
      <w:bodyDiv w:val="1"/>
      <w:marLeft w:val="0"/>
      <w:marRight w:val="0"/>
      <w:marTop w:val="0"/>
      <w:marBottom w:val="0"/>
      <w:divBdr>
        <w:top w:val="none" w:sz="0" w:space="0" w:color="auto"/>
        <w:left w:val="none" w:sz="0" w:space="0" w:color="auto"/>
        <w:bottom w:val="none" w:sz="0" w:space="0" w:color="auto"/>
        <w:right w:val="none" w:sz="0" w:space="0" w:color="auto"/>
      </w:divBdr>
    </w:div>
    <w:div w:id="633173951">
      <w:bodyDiv w:val="1"/>
      <w:marLeft w:val="0"/>
      <w:marRight w:val="0"/>
      <w:marTop w:val="0"/>
      <w:marBottom w:val="0"/>
      <w:divBdr>
        <w:top w:val="none" w:sz="0" w:space="0" w:color="auto"/>
        <w:left w:val="none" w:sz="0" w:space="0" w:color="auto"/>
        <w:bottom w:val="none" w:sz="0" w:space="0" w:color="auto"/>
        <w:right w:val="none" w:sz="0" w:space="0" w:color="auto"/>
      </w:divBdr>
    </w:div>
    <w:div w:id="638219356">
      <w:bodyDiv w:val="1"/>
      <w:marLeft w:val="0"/>
      <w:marRight w:val="0"/>
      <w:marTop w:val="0"/>
      <w:marBottom w:val="0"/>
      <w:divBdr>
        <w:top w:val="none" w:sz="0" w:space="0" w:color="auto"/>
        <w:left w:val="none" w:sz="0" w:space="0" w:color="auto"/>
        <w:bottom w:val="none" w:sz="0" w:space="0" w:color="auto"/>
        <w:right w:val="none" w:sz="0" w:space="0" w:color="auto"/>
      </w:divBdr>
    </w:div>
    <w:div w:id="645553117">
      <w:bodyDiv w:val="1"/>
      <w:marLeft w:val="0"/>
      <w:marRight w:val="0"/>
      <w:marTop w:val="0"/>
      <w:marBottom w:val="0"/>
      <w:divBdr>
        <w:top w:val="none" w:sz="0" w:space="0" w:color="auto"/>
        <w:left w:val="none" w:sz="0" w:space="0" w:color="auto"/>
        <w:bottom w:val="none" w:sz="0" w:space="0" w:color="auto"/>
        <w:right w:val="none" w:sz="0" w:space="0" w:color="auto"/>
      </w:divBdr>
    </w:div>
    <w:div w:id="648435956">
      <w:bodyDiv w:val="1"/>
      <w:marLeft w:val="0"/>
      <w:marRight w:val="0"/>
      <w:marTop w:val="0"/>
      <w:marBottom w:val="0"/>
      <w:divBdr>
        <w:top w:val="none" w:sz="0" w:space="0" w:color="auto"/>
        <w:left w:val="none" w:sz="0" w:space="0" w:color="auto"/>
        <w:bottom w:val="none" w:sz="0" w:space="0" w:color="auto"/>
        <w:right w:val="none" w:sz="0" w:space="0" w:color="auto"/>
      </w:divBdr>
    </w:div>
    <w:div w:id="654529638">
      <w:bodyDiv w:val="1"/>
      <w:marLeft w:val="0"/>
      <w:marRight w:val="0"/>
      <w:marTop w:val="0"/>
      <w:marBottom w:val="0"/>
      <w:divBdr>
        <w:top w:val="none" w:sz="0" w:space="0" w:color="auto"/>
        <w:left w:val="none" w:sz="0" w:space="0" w:color="auto"/>
        <w:bottom w:val="none" w:sz="0" w:space="0" w:color="auto"/>
        <w:right w:val="none" w:sz="0" w:space="0" w:color="auto"/>
      </w:divBdr>
    </w:div>
    <w:div w:id="662586771">
      <w:bodyDiv w:val="1"/>
      <w:marLeft w:val="0"/>
      <w:marRight w:val="0"/>
      <w:marTop w:val="0"/>
      <w:marBottom w:val="0"/>
      <w:divBdr>
        <w:top w:val="none" w:sz="0" w:space="0" w:color="auto"/>
        <w:left w:val="none" w:sz="0" w:space="0" w:color="auto"/>
        <w:bottom w:val="none" w:sz="0" w:space="0" w:color="auto"/>
        <w:right w:val="none" w:sz="0" w:space="0" w:color="auto"/>
      </w:divBdr>
    </w:div>
    <w:div w:id="671881649">
      <w:bodyDiv w:val="1"/>
      <w:marLeft w:val="0"/>
      <w:marRight w:val="0"/>
      <w:marTop w:val="0"/>
      <w:marBottom w:val="0"/>
      <w:divBdr>
        <w:top w:val="none" w:sz="0" w:space="0" w:color="auto"/>
        <w:left w:val="none" w:sz="0" w:space="0" w:color="auto"/>
        <w:bottom w:val="none" w:sz="0" w:space="0" w:color="auto"/>
        <w:right w:val="none" w:sz="0" w:space="0" w:color="auto"/>
      </w:divBdr>
    </w:div>
    <w:div w:id="682166061">
      <w:bodyDiv w:val="1"/>
      <w:marLeft w:val="0"/>
      <w:marRight w:val="0"/>
      <w:marTop w:val="0"/>
      <w:marBottom w:val="0"/>
      <w:divBdr>
        <w:top w:val="none" w:sz="0" w:space="0" w:color="auto"/>
        <w:left w:val="none" w:sz="0" w:space="0" w:color="auto"/>
        <w:bottom w:val="none" w:sz="0" w:space="0" w:color="auto"/>
        <w:right w:val="none" w:sz="0" w:space="0" w:color="auto"/>
      </w:divBdr>
    </w:div>
    <w:div w:id="685793778">
      <w:bodyDiv w:val="1"/>
      <w:marLeft w:val="0"/>
      <w:marRight w:val="0"/>
      <w:marTop w:val="0"/>
      <w:marBottom w:val="0"/>
      <w:divBdr>
        <w:top w:val="none" w:sz="0" w:space="0" w:color="auto"/>
        <w:left w:val="none" w:sz="0" w:space="0" w:color="auto"/>
        <w:bottom w:val="none" w:sz="0" w:space="0" w:color="auto"/>
        <w:right w:val="none" w:sz="0" w:space="0" w:color="auto"/>
      </w:divBdr>
    </w:div>
    <w:div w:id="689720523">
      <w:bodyDiv w:val="1"/>
      <w:marLeft w:val="0"/>
      <w:marRight w:val="0"/>
      <w:marTop w:val="0"/>
      <w:marBottom w:val="0"/>
      <w:divBdr>
        <w:top w:val="none" w:sz="0" w:space="0" w:color="auto"/>
        <w:left w:val="none" w:sz="0" w:space="0" w:color="auto"/>
        <w:bottom w:val="none" w:sz="0" w:space="0" w:color="auto"/>
        <w:right w:val="none" w:sz="0" w:space="0" w:color="auto"/>
      </w:divBdr>
    </w:div>
    <w:div w:id="693115578">
      <w:bodyDiv w:val="1"/>
      <w:marLeft w:val="0"/>
      <w:marRight w:val="0"/>
      <w:marTop w:val="0"/>
      <w:marBottom w:val="0"/>
      <w:divBdr>
        <w:top w:val="none" w:sz="0" w:space="0" w:color="auto"/>
        <w:left w:val="none" w:sz="0" w:space="0" w:color="auto"/>
        <w:bottom w:val="none" w:sz="0" w:space="0" w:color="auto"/>
        <w:right w:val="none" w:sz="0" w:space="0" w:color="auto"/>
      </w:divBdr>
    </w:div>
    <w:div w:id="697319546">
      <w:bodyDiv w:val="1"/>
      <w:marLeft w:val="0"/>
      <w:marRight w:val="0"/>
      <w:marTop w:val="0"/>
      <w:marBottom w:val="0"/>
      <w:divBdr>
        <w:top w:val="none" w:sz="0" w:space="0" w:color="auto"/>
        <w:left w:val="none" w:sz="0" w:space="0" w:color="auto"/>
        <w:bottom w:val="none" w:sz="0" w:space="0" w:color="auto"/>
        <w:right w:val="none" w:sz="0" w:space="0" w:color="auto"/>
      </w:divBdr>
    </w:div>
    <w:div w:id="699356535">
      <w:bodyDiv w:val="1"/>
      <w:marLeft w:val="0"/>
      <w:marRight w:val="0"/>
      <w:marTop w:val="0"/>
      <w:marBottom w:val="0"/>
      <w:divBdr>
        <w:top w:val="none" w:sz="0" w:space="0" w:color="auto"/>
        <w:left w:val="none" w:sz="0" w:space="0" w:color="auto"/>
        <w:bottom w:val="none" w:sz="0" w:space="0" w:color="auto"/>
        <w:right w:val="none" w:sz="0" w:space="0" w:color="auto"/>
      </w:divBdr>
    </w:div>
    <w:div w:id="705912461">
      <w:bodyDiv w:val="1"/>
      <w:marLeft w:val="0"/>
      <w:marRight w:val="0"/>
      <w:marTop w:val="0"/>
      <w:marBottom w:val="0"/>
      <w:divBdr>
        <w:top w:val="none" w:sz="0" w:space="0" w:color="auto"/>
        <w:left w:val="none" w:sz="0" w:space="0" w:color="auto"/>
        <w:bottom w:val="none" w:sz="0" w:space="0" w:color="auto"/>
        <w:right w:val="none" w:sz="0" w:space="0" w:color="auto"/>
      </w:divBdr>
    </w:div>
    <w:div w:id="706416708">
      <w:bodyDiv w:val="1"/>
      <w:marLeft w:val="0"/>
      <w:marRight w:val="0"/>
      <w:marTop w:val="0"/>
      <w:marBottom w:val="0"/>
      <w:divBdr>
        <w:top w:val="none" w:sz="0" w:space="0" w:color="auto"/>
        <w:left w:val="none" w:sz="0" w:space="0" w:color="auto"/>
        <w:bottom w:val="none" w:sz="0" w:space="0" w:color="auto"/>
        <w:right w:val="none" w:sz="0" w:space="0" w:color="auto"/>
      </w:divBdr>
    </w:div>
    <w:div w:id="706569150">
      <w:bodyDiv w:val="1"/>
      <w:marLeft w:val="0"/>
      <w:marRight w:val="0"/>
      <w:marTop w:val="0"/>
      <w:marBottom w:val="0"/>
      <w:divBdr>
        <w:top w:val="none" w:sz="0" w:space="0" w:color="auto"/>
        <w:left w:val="none" w:sz="0" w:space="0" w:color="auto"/>
        <w:bottom w:val="none" w:sz="0" w:space="0" w:color="auto"/>
        <w:right w:val="none" w:sz="0" w:space="0" w:color="auto"/>
      </w:divBdr>
    </w:div>
    <w:div w:id="712928036">
      <w:bodyDiv w:val="1"/>
      <w:marLeft w:val="0"/>
      <w:marRight w:val="0"/>
      <w:marTop w:val="0"/>
      <w:marBottom w:val="0"/>
      <w:divBdr>
        <w:top w:val="none" w:sz="0" w:space="0" w:color="auto"/>
        <w:left w:val="none" w:sz="0" w:space="0" w:color="auto"/>
        <w:bottom w:val="none" w:sz="0" w:space="0" w:color="auto"/>
        <w:right w:val="none" w:sz="0" w:space="0" w:color="auto"/>
      </w:divBdr>
    </w:div>
    <w:div w:id="719478493">
      <w:bodyDiv w:val="1"/>
      <w:marLeft w:val="0"/>
      <w:marRight w:val="0"/>
      <w:marTop w:val="0"/>
      <w:marBottom w:val="0"/>
      <w:divBdr>
        <w:top w:val="none" w:sz="0" w:space="0" w:color="auto"/>
        <w:left w:val="none" w:sz="0" w:space="0" w:color="auto"/>
        <w:bottom w:val="none" w:sz="0" w:space="0" w:color="auto"/>
        <w:right w:val="none" w:sz="0" w:space="0" w:color="auto"/>
      </w:divBdr>
    </w:div>
    <w:div w:id="724832898">
      <w:bodyDiv w:val="1"/>
      <w:marLeft w:val="0"/>
      <w:marRight w:val="0"/>
      <w:marTop w:val="0"/>
      <w:marBottom w:val="0"/>
      <w:divBdr>
        <w:top w:val="none" w:sz="0" w:space="0" w:color="auto"/>
        <w:left w:val="none" w:sz="0" w:space="0" w:color="auto"/>
        <w:bottom w:val="none" w:sz="0" w:space="0" w:color="auto"/>
        <w:right w:val="none" w:sz="0" w:space="0" w:color="auto"/>
      </w:divBdr>
    </w:div>
    <w:div w:id="725570651">
      <w:bodyDiv w:val="1"/>
      <w:marLeft w:val="0"/>
      <w:marRight w:val="0"/>
      <w:marTop w:val="0"/>
      <w:marBottom w:val="0"/>
      <w:divBdr>
        <w:top w:val="none" w:sz="0" w:space="0" w:color="auto"/>
        <w:left w:val="none" w:sz="0" w:space="0" w:color="auto"/>
        <w:bottom w:val="none" w:sz="0" w:space="0" w:color="auto"/>
        <w:right w:val="none" w:sz="0" w:space="0" w:color="auto"/>
      </w:divBdr>
    </w:div>
    <w:div w:id="727413024">
      <w:bodyDiv w:val="1"/>
      <w:marLeft w:val="0"/>
      <w:marRight w:val="0"/>
      <w:marTop w:val="0"/>
      <w:marBottom w:val="0"/>
      <w:divBdr>
        <w:top w:val="none" w:sz="0" w:space="0" w:color="auto"/>
        <w:left w:val="none" w:sz="0" w:space="0" w:color="auto"/>
        <w:bottom w:val="none" w:sz="0" w:space="0" w:color="auto"/>
        <w:right w:val="none" w:sz="0" w:space="0" w:color="auto"/>
      </w:divBdr>
    </w:div>
    <w:div w:id="731539376">
      <w:bodyDiv w:val="1"/>
      <w:marLeft w:val="0"/>
      <w:marRight w:val="0"/>
      <w:marTop w:val="0"/>
      <w:marBottom w:val="0"/>
      <w:divBdr>
        <w:top w:val="none" w:sz="0" w:space="0" w:color="auto"/>
        <w:left w:val="none" w:sz="0" w:space="0" w:color="auto"/>
        <w:bottom w:val="none" w:sz="0" w:space="0" w:color="auto"/>
        <w:right w:val="none" w:sz="0" w:space="0" w:color="auto"/>
      </w:divBdr>
    </w:div>
    <w:div w:id="733087103">
      <w:bodyDiv w:val="1"/>
      <w:marLeft w:val="0"/>
      <w:marRight w:val="0"/>
      <w:marTop w:val="0"/>
      <w:marBottom w:val="0"/>
      <w:divBdr>
        <w:top w:val="none" w:sz="0" w:space="0" w:color="auto"/>
        <w:left w:val="none" w:sz="0" w:space="0" w:color="auto"/>
        <w:bottom w:val="none" w:sz="0" w:space="0" w:color="auto"/>
        <w:right w:val="none" w:sz="0" w:space="0" w:color="auto"/>
      </w:divBdr>
    </w:div>
    <w:div w:id="734469309">
      <w:bodyDiv w:val="1"/>
      <w:marLeft w:val="0"/>
      <w:marRight w:val="0"/>
      <w:marTop w:val="0"/>
      <w:marBottom w:val="0"/>
      <w:divBdr>
        <w:top w:val="none" w:sz="0" w:space="0" w:color="auto"/>
        <w:left w:val="none" w:sz="0" w:space="0" w:color="auto"/>
        <w:bottom w:val="none" w:sz="0" w:space="0" w:color="auto"/>
        <w:right w:val="none" w:sz="0" w:space="0" w:color="auto"/>
      </w:divBdr>
    </w:div>
    <w:div w:id="735248477">
      <w:bodyDiv w:val="1"/>
      <w:marLeft w:val="0"/>
      <w:marRight w:val="0"/>
      <w:marTop w:val="0"/>
      <w:marBottom w:val="0"/>
      <w:divBdr>
        <w:top w:val="none" w:sz="0" w:space="0" w:color="auto"/>
        <w:left w:val="none" w:sz="0" w:space="0" w:color="auto"/>
        <w:bottom w:val="none" w:sz="0" w:space="0" w:color="auto"/>
        <w:right w:val="none" w:sz="0" w:space="0" w:color="auto"/>
      </w:divBdr>
    </w:div>
    <w:div w:id="737019147">
      <w:bodyDiv w:val="1"/>
      <w:marLeft w:val="0"/>
      <w:marRight w:val="0"/>
      <w:marTop w:val="0"/>
      <w:marBottom w:val="0"/>
      <w:divBdr>
        <w:top w:val="none" w:sz="0" w:space="0" w:color="auto"/>
        <w:left w:val="none" w:sz="0" w:space="0" w:color="auto"/>
        <w:bottom w:val="none" w:sz="0" w:space="0" w:color="auto"/>
        <w:right w:val="none" w:sz="0" w:space="0" w:color="auto"/>
      </w:divBdr>
    </w:div>
    <w:div w:id="740756424">
      <w:bodyDiv w:val="1"/>
      <w:marLeft w:val="0"/>
      <w:marRight w:val="0"/>
      <w:marTop w:val="0"/>
      <w:marBottom w:val="0"/>
      <w:divBdr>
        <w:top w:val="none" w:sz="0" w:space="0" w:color="auto"/>
        <w:left w:val="none" w:sz="0" w:space="0" w:color="auto"/>
        <w:bottom w:val="none" w:sz="0" w:space="0" w:color="auto"/>
        <w:right w:val="none" w:sz="0" w:space="0" w:color="auto"/>
      </w:divBdr>
    </w:div>
    <w:div w:id="745762807">
      <w:bodyDiv w:val="1"/>
      <w:marLeft w:val="0"/>
      <w:marRight w:val="0"/>
      <w:marTop w:val="0"/>
      <w:marBottom w:val="0"/>
      <w:divBdr>
        <w:top w:val="none" w:sz="0" w:space="0" w:color="auto"/>
        <w:left w:val="none" w:sz="0" w:space="0" w:color="auto"/>
        <w:bottom w:val="none" w:sz="0" w:space="0" w:color="auto"/>
        <w:right w:val="none" w:sz="0" w:space="0" w:color="auto"/>
      </w:divBdr>
    </w:div>
    <w:div w:id="746194489">
      <w:bodyDiv w:val="1"/>
      <w:marLeft w:val="0"/>
      <w:marRight w:val="0"/>
      <w:marTop w:val="0"/>
      <w:marBottom w:val="0"/>
      <w:divBdr>
        <w:top w:val="none" w:sz="0" w:space="0" w:color="auto"/>
        <w:left w:val="none" w:sz="0" w:space="0" w:color="auto"/>
        <w:bottom w:val="none" w:sz="0" w:space="0" w:color="auto"/>
        <w:right w:val="none" w:sz="0" w:space="0" w:color="auto"/>
      </w:divBdr>
    </w:div>
    <w:div w:id="750395995">
      <w:bodyDiv w:val="1"/>
      <w:marLeft w:val="0"/>
      <w:marRight w:val="0"/>
      <w:marTop w:val="0"/>
      <w:marBottom w:val="0"/>
      <w:divBdr>
        <w:top w:val="none" w:sz="0" w:space="0" w:color="auto"/>
        <w:left w:val="none" w:sz="0" w:space="0" w:color="auto"/>
        <w:bottom w:val="none" w:sz="0" w:space="0" w:color="auto"/>
        <w:right w:val="none" w:sz="0" w:space="0" w:color="auto"/>
      </w:divBdr>
    </w:div>
    <w:div w:id="757485007">
      <w:bodyDiv w:val="1"/>
      <w:marLeft w:val="0"/>
      <w:marRight w:val="0"/>
      <w:marTop w:val="0"/>
      <w:marBottom w:val="0"/>
      <w:divBdr>
        <w:top w:val="none" w:sz="0" w:space="0" w:color="auto"/>
        <w:left w:val="none" w:sz="0" w:space="0" w:color="auto"/>
        <w:bottom w:val="none" w:sz="0" w:space="0" w:color="auto"/>
        <w:right w:val="none" w:sz="0" w:space="0" w:color="auto"/>
      </w:divBdr>
    </w:div>
    <w:div w:id="762191071">
      <w:bodyDiv w:val="1"/>
      <w:marLeft w:val="0"/>
      <w:marRight w:val="0"/>
      <w:marTop w:val="0"/>
      <w:marBottom w:val="0"/>
      <w:divBdr>
        <w:top w:val="none" w:sz="0" w:space="0" w:color="auto"/>
        <w:left w:val="none" w:sz="0" w:space="0" w:color="auto"/>
        <w:bottom w:val="none" w:sz="0" w:space="0" w:color="auto"/>
        <w:right w:val="none" w:sz="0" w:space="0" w:color="auto"/>
      </w:divBdr>
    </w:div>
    <w:div w:id="766996357">
      <w:bodyDiv w:val="1"/>
      <w:marLeft w:val="0"/>
      <w:marRight w:val="0"/>
      <w:marTop w:val="0"/>
      <w:marBottom w:val="0"/>
      <w:divBdr>
        <w:top w:val="none" w:sz="0" w:space="0" w:color="auto"/>
        <w:left w:val="none" w:sz="0" w:space="0" w:color="auto"/>
        <w:bottom w:val="none" w:sz="0" w:space="0" w:color="auto"/>
        <w:right w:val="none" w:sz="0" w:space="0" w:color="auto"/>
      </w:divBdr>
    </w:div>
    <w:div w:id="767501344">
      <w:bodyDiv w:val="1"/>
      <w:marLeft w:val="0"/>
      <w:marRight w:val="0"/>
      <w:marTop w:val="0"/>
      <w:marBottom w:val="0"/>
      <w:divBdr>
        <w:top w:val="none" w:sz="0" w:space="0" w:color="auto"/>
        <w:left w:val="none" w:sz="0" w:space="0" w:color="auto"/>
        <w:bottom w:val="none" w:sz="0" w:space="0" w:color="auto"/>
        <w:right w:val="none" w:sz="0" w:space="0" w:color="auto"/>
      </w:divBdr>
    </w:div>
    <w:div w:id="770275804">
      <w:bodyDiv w:val="1"/>
      <w:marLeft w:val="0"/>
      <w:marRight w:val="0"/>
      <w:marTop w:val="0"/>
      <w:marBottom w:val="0"/>
      <w:divBdr>
        <w:top w:val="none" w:sz="0" w:space="0" w:color="auto"/>
        <w:left w:val="none" w:sz="0" w:space="0" w:color="auto"/>
        <w:bottom w:val="none" w:sz="0" w:space="0" w:color="auto"/>
        <w:right w:val="none" w:sz="0" w:space="0" w:color="auto"/>
      </w:divBdr>
    </w:div>
    <w:div w:id="777339397">
      <w:bodyDiv w:val="1"/>
      <w:marLeft w:val="0"/>
      <w:marRight w:val="0"/>
      <w:marTop w:val="0"/>
      <w:marBottom w:val="0"/>
      <w:divBdr>
        <w:top w:val="none" w:sz="0" w:space="0" w:color="auto"/>
        <w:left w:val="none" w:sz="0" w:space="0" w:color="auto"/>
        <w:bottom w:val="none" w:sz="0" w:space="0" w:color="auto"/>
        <w:right w:val="none" w:sz="0" w:space="0" w:color="auto"/>
      </w:divBdr>
    </w:div>
    <w:div w:id="787629618">
      <w:bodyDiv w:val="1"/>
      <w:marLeft w:val="0"/>
      <w:marRight w:val="0"/>
      <w:marTop w:val="0"/>
      <w:marBottom w:val="0"/>
      <w:divBdr>
        <w:top w:val="none" w:sz="0" w:space="0" w:color="auto"/>
        <w:left w:val="none" w:sz="0" w:space="0" w:color="auto"/>
        <w:bottom w:val="none" w:sz="0" w:space="0" w:color="auto"/>
        <w:right w:val="none" w:sz="0" w:space="0" w:color="auto"/>
      </w:divBdr>
    </w:div>
    <w:div w:id="790170877">
      <w:bodyDiv w:val="1"/>
      <w:marLeft w:val="0"/>
      <w:marRight w:val="0"/>
      <w:marTop w:val="0"/>
      <w:marBottom w:val="0"/>
      <w:divBdr>
        <w:top w:val="none" w:sz="0" w:space="0" w:color="auto"/>
        <w:left w:val="none" w:sz="0" w:space="0" w:color="auto"/>
        <w:bottom w:val="none" w:sz="0" w:space="0" w:color="auto"/>
        <w:right w:val="none" w:sz="0" w:space="0" w:color="auto"/>
      </w:divBdr>
    </w:div>
    <w:div w:id="792947674">
      <w:bodyDiv w:val="1"/>
      <w:marLeft w:val="0"/>
      <w:marRight w:val="0"/>
      <w:marTop w:val="0"/>
      <w:marBottom w:val="0"/>
      <w:divBdr>
        <w:top w:val="none" w:sz="0" w:space="0" w:color="auto"/>
        <w:left w:val="none" w:sz="0" w:space="0" w:color="auto"/>
        <w:bottom w:val="none" w:sz="0" w:space="0" w:color="auto"/>
        <w:right w:val="none" w:sz="0" w:space="0" w:color="auto"/>
      </w:divBdr>
    </w:div>
    <w:div w:id="805782852">
      <w:bodyDiv w:val="1"/>
      <w:marLeft w:val="0"/>
      <w:marRight w:val="0"/>
      <w:marTop w:val="0"/>
      <w:marBottom w:val="0"/>
      <w:divBdr>
        <w:top w:val="none" w:sz="0" w:space="0" w:color="auto"/>
        <w:left w:val="none" w:sz="0" w:space="0" w:color="auto"/>
        <w:bottom w:val="none" w:sz="0" w:space="0" w:color="auto"/>
        <w:right w:val="none" w:sz="0" w:space="0" w:color="auto"/>
      </w:divBdr>
    </w:div>
    <w:div w:id="807405175">
      <w:bodyDiv w:val="1"/>
      <w:marLeft w:val="0"/>
      <w:marRight w:val="0"/>
      <w:marTop w:val="0"/>
      <w:marBottom w:val="0"/>
      <w:divBdr>
        <w:top w:val="none" w:sz="0" w:space="0" w:color="auto"/>
        <w:left w:val="none" w:sz="0" w:space="0" w:color="auto"/>
        <w:bottom w:val="none" w:sz="0" w:space="0" w:color="auto"/>
        <w:right w:val="none" w:sz="0" w:space="0" w:color="auto"/>
      </w:divBdr>
    </w:div>
    <w:div w:id="825437504">
      <w:bodyDiv w:val="1"/>
      <w:marLeft w:val="0"/>
      <w:marRight w:val="0"/>
      <w:marTop w:val="0"/>
      <w:marBottom w:val="0"/>
      <w:divBdr>
        <w:top w:val="none" w:sz="0" w:space="0" w:color="auto"/>
        <w:left w:val="none" w:sz="0" w:space="0" w:color="auto"/>
        <w:bottom w:val="none" w:sz="0" w:space="0" w:color="auto"/>
        <w:right w:val="none" w:sz="0" w:space="0" w:color="auto"/>
      </w:divBdr>
    </w:div>
    <w:div w:id="833692339">
      <w:bodyDiv w:val="1"/>
      <w:marLeft w:val="0"/>
      <w:marRight w:val="0"/>
      <w:marTop w:val="0"/>
      <w:marBottom w:val="0"/>
      <w:divBdr>
        <w:top w:val="none" w:sz="0" w:space="0" w:color="auto"/>
        <w:left w:val="none" w:sz="0" w:space="0" w:color="auto"/>
        <w:bottom w:val="none" w:sz="0" w:space="0" w:color="auto"/>
        <w:right w:val="none" w:sz="0" w:space="0" w:color="auto"/>
      </w:divBdr>
    </w:div>
    <w:div w:id="843082667">
      <w:bodyDiv w:val="1"/>
      <w:marLeft w:val="0"/>
      <w:marRight w:val="0"/>
      <w:marTop w:val="0"/>
      <w:marBottom w:val="0"/>
      <w:divBdr>
        <w:top w:val="none" w:sz="0" w:space="0" w:color="auto"/>
        <w:left w:val="none" w:sz="0" w:space="0" w:color="auto"/>
        <w:bottom w:val="none" w:sz="0" w:space="0" w:color="auto"/>
        <w:right w:val="none" w:sz="0" w:space="0" w:color="auto"/>
      </w:divBdr>
    </w:div>
    <w:div w:id="843514468">
      <w:bodyDiv w:val="1"/>
      <w:marLeft w:val="0"/>
      <w:marRight w:val="0"/>
      <w:marTop w:val="0"/>
      <w:marBottom w:val="0"/>
      <w:divBdr>
        <w:top w:val="none" w:sz="0" w:space="0" w:color="auto"/>
        <w:left w:val="none" w:sz="0" w:space="0" w:color="auto"/>
        <w:bottom w:val="none" w:sz="0" w:space="0" w:color="auto"/>
        <w:right w:val="none" w:sz="0" w:space="0" w:color="auto"/>
      </w:divBdr>
    </w:div>
    <w:div w:id="843740482">
      <w:bodyDiv w:val="1"/>
      <w:marLeft w:val="0"/>
      <w:marRight w:val="0"/>
      <w:marTop w:val="0"/>
      <w:marBottom w:val="0"/>
      <w:divBdr>
        <w:top w:val="none" w:sz="0" w:space="0" w:color="auto"/>
        <w:left w:val="none" w:sz="0" w:space="0" w:color="auto"/>
        <w:bottom w:val="none" w:sz="0" w:space="0" w:color="auto"/>
        <w:right w:val="none" w:sz="0" w:space="0" w:color="auto"/>
      </w:divBdr>
    </w:div>
    <w:div w:id="850995835">
      <w:bodyDiv w:val="1"/>
      <w:marLeft w:val="0"/>
      <w:marRight w:val="0"/>
      <w:marTop w:val="0"/>
      <w:marBottom w:val="0"/>
      <w:divBdr>
        <w:top w:val="none" w:sz="0" w:space="0" w:color="auto"/>
        <w:left w:val="none" w:sz="0" w:space="0" w:color="auto"/>
        <w:bottom w:val="none" w:sz="0" w:space="0" w:color="auto"/>
        <w:right w:val="none" w:sz="0" w:space="0" w:color="auto"/>
      </w:divBdr>
    </w:div>
    <w:div w:id="852954657">
      <w:bodyDiv w:val="1"/>
      <w:marLeft w:val="0"/>
      <w:marRight w:val="0"/>
      <w:marTop w:val="0"/>
      <w:marBottom w:val="0"/>
      <w:divBdr>
        <w:top w:val="none" w:sz="0" w:space="0" w:color="auto"/>
        <w:left w:val="none" w:sz="0" w:space="0" w:color="auto"/>
        <w:bottom w:val="none" w:sz="0" w:space="0" w:color="auto"/>
        <w:right w:val="none" w:sz="0" w:space="0" w:color="auto"/>
      </w:divBdr>
    </w:div>
    <w:div w:id="857155500">
      <w:bodyDiv w:val="1"/>
      <w:marLeft w:val="0"/>
      <w:marRight w:val="0"/>
      <w:marTop w:val="0"/>
      <w:marBottom w:val="0"/>
      <w:divBdr>
        <w:top w:val="none" w:sz="0" w:space="0" w:color="auto"/>
        <w:left w:val="none" w:sz="0" w:space="0" w:color="auto"/>
        <w:bottom w:val="none" w:sz="0" w:space="0" w:color="auto"/>
        <w:right w:val="none" w:sz="0" w:space="0" w:color="auto"/>
      </w:divBdr>
    </w:div>
    <w:div w:id="877935240">
      <w:bodyDiv w:val="1"/>
      <w:marLeft w:val="0"/>
      <w:marRight w:val="0"/>
      <w:marTop w:val="0"/>
      <w:marBottom w:val="0"/>
      <w:divBdr>
        <w:top w:val="none" w:sz="0" w:space="0" w:color="auto"/>
        <w:left w:val="none" w:sz="0" w:space="0" w:color="auto"/>
        <w:bottom w:val="none" w:sz="0" w:space="0" w:color="auto"/>
        <w:right w:val="none" w:sz="0" w:space="0" w:color="auto"/>
      </w:divBdr>
    </w:div>
    <w:div w:id="878739215">
      <w:bodyDiv w:val="1"/>
      <w:marLeft w:val="0"/>
      <w:marRight w:val="0"/>
      <w:marTop w:val="0"/>
      <w:marBottom w:val="0"/>
      <w:divBdr>
        <w:top w:val="none" w:sz="0" w:space="0" w:color="auto"/>
        <w:left w:val="none" w:sz="0" w:space="0" w:color="auto"/>
        <w:bottom w:val="none" w:sz="0" w:space="0" w:color="auto"/>
        <w:right w:val="none" w:sz="0" w:space="0" w:color="auto"/>
      </w:divBdr>
    </w:div>
    <w:div w:id="879433785">
      <w:bodyDiv w:val="1"/>
      <w:marLeft w:val="0"/>
      <w:marRight w:val="0"/>
      <w:marTop w:val="0"/>
      <w:marBottom w:val="0"/>
      <w:divBdr>
        <w:top w:val="none" w:sz="0" w:space="0" w:color="auto"/>
        <w:left w:val="none" w:sz="0" w:space="0" w:color="auto"/>
        <w:bottom w:val="none" w:sz="0" w:space="0" w:color="auto"/>
        <w:right w:val="none" w:sz="0" w:space="0" w:color="auto"/>
      </w:divBdr>
    </w:div>
    <w:div w:id="886843820">
      <w:bodyDiv w:val="1"/>
      <w:marLeft w:val="0"/>
      <w:marRight w:val="0"/>
      <w:marTop w:val="0"/>
      <w:marBottom w:val="0"/>
      <w:divBdr>
        <w:top w:val="none" w:sz="0" w:space="0" w:color="auto"/>
        <w:left w:val="none" w:sz="0" w:space="0" w:color="auto"/>
        <w:bottom w:val="none" w:sz="0" w:space="0" w:color="auto"/>
        <w:right w:val="none" w:sz="0" w:space="0" w:color="auto"/>
      </w:divBdr>
    </w:div>
    <w:div w:id="888343468">
      <w:bodyDiv w:val="1"/>
      <w:marLeft w:val="0"/>
      <w:marRight w:val="0"/>
      <w:marTop w:val="0"/>
      <w:marBottom w:val="0"/>
      <w:divBdr>
        <w:top w:val="none" w:sz="0" w:space="0" w:color="auto"/>
        <w:left w:val="none" w:sz="0" w:space="0" w:color="auto"/>
        <w:bottom w:val="none" w:sz="0" w:space="0" w:color="auto"/>
        <w:right w:val="none" w:sz="0" w:space="0" w:color="auto"/>
      </w:divBdr>
    </w:div>
    <w:div w:id="893852410">
      <w:bodyDiv w:val="1"/>
      <w:marLeft w:val="0"/>
      <w:marRight w:val="0"/>
      <w:marTop w:val="0"/>
      <w:marBottom w:val="0"/>
      <w:divBdr>
        <w:top w:val="none" w:sz="0" w:space="0" w:color="auto"/>
        <w:left w:val="none" w:sz="0" w:space="0" w:color="auto"/>
        <w:bottom w:val="none" w:sz="0" w:space="0" w:color="auto"/>
        <w:right w:val="none" w:sz="0" w:space="0" w:color="auto"/>
      </w:divBdr>
    </w:div>
    <w:div w:id="895627458">
      <w:bodyDiv w:val="1"/>
      <w:marLeft w:val="0"/>
      <w:marRight w:val="0"/>
      <w:marTop w:val="0"/>
      <w:marBottom w:val="0"/>
      <w:divBdr>
        <w:top w:val="none" w:sz="0" w:space="0" w:color="auto"/>
        <w:left w:val="none" w:sz="0" w:space="0" w:color="auto"/>
        <w:bottom w:val="none" w:sz="0" w:space="0" w:color="auto"/>
        <w:right w:val="none" w:sz="0" w:space="0" w:color="auto"/>
      </w:divBdr>
    </w:div>
    <w:div w:id="896283848">
      <w:bodyDiv w:val="1"/>
      <w:marLeft w:val="0"/>
      <w:marRight w:val="0"/>
      <w:marTop w:val="0"/>
      <w:marBottom w:val="0"/>
      <w:divBdr>
        <w:top w:val="none" w:sz="0" w:space="0" w:color="auto"/>
        <w:left w:val="none" w:sz="0" w:space="0" w:color="auto"/>
        <w:bottom w:val="none" w:sz="0" w:space="0" w:color="auto"/>
        <w:right w:val="none" w:sz="0" w:space="0" w:color="auto"/>
      </w:divBdr>
      <w:divsChild>
        <w:div w:id="1133140464">
          <w:marLeft w:val="0"/>
          <w:marRight w:val="0"/>
          <w:marTop w:val="0"/>
          <w:marBottom w:val="0"/>
          <w:divBdr>
            <w:top w:val="none" w:sz="0" w:space="0" w:color="auto"/>
            <w:left w:val="none" w:sz="0" w:space="0" w:color="auto"/>
            <w:bottom w:val="none" w:sz="0" w:space="0" w:color="auto"/>
            <w:right w:val="none" w:sz="0" w:space="0" w:color="auto"/>
          </w:divBdr>
        </w:div>
        <w:div w:id="1548445291">
          <w:marLeft w:val="0"/>
          <w:marRight w:val="0"/>
          <w:marTop w:val="0"/>
          <w:marBottom w:val="0"/>
          <w:divBdr>
            <w:top w:val="none" w:sz="0" w:space="0" w:color="auto"/>
            <w:left w:val="none" w:sz="0" w:space="0" w:color="auto"/>
            <w:bottom w:val="none" w:sz="0" w:space="0" w:color="auto"/>
            <w:right w:val="none" w:sz="0" w:space="0" w:color="auto"/>
          </w:divBdr>
        </w:div>
        <w:div w:id="880366343">
          <w:marLeft w:val="0"/>
          <w:marRight w:val="0"/>
          <w:marTop w:val="0"/>
          <w:marBottom w:val="0"/>
          <w:divBdr>
            <w:top w:val="none" w:sz="0" w:space="0" w:color="auto"/>
            <w:left w:val="none" w:sz="0" w:space="0" w:color="auto"/>
            <w:bottom w:val="none" w:sz="0" w:space="0" w:color="auto"/>
            <w:right w:val="none" w:sz="0" w:space="0" w:color="auto"/>
          </w:divBdr>
        </w:div>
        <w:div w:id="1181815880">
          <w:marLeft w:val="0"/>
          <w:marRight w:val="0"/>
          <w:marTop w:val="0"/>
          <w:marBottom w:val="0"/>
          <w:divBdr>
            <w:top w:val="none" w:sz="0" w:space="0" w:color="auto"/>
            <w:left w:val="none" w:sz="0" w:space="0" w:color="auto"/>
            <w:bottom w:val="none" w:sz="0" w:space="0" w:color="auto"/>
            <w:right w:val="none" w:sz="0" w:space="0" w:color="auto"/>
          </w:divBdr>
        </w:div>
        <w:div w:id="528684652">
          <w:marLeft w:val="0"/>
          <w:marRight w:val="0"/>
          <w:marTop w:val="0"/>
          <w:marBottom w:val="0"/>
          <w:divBdr>
            <w:top w:val="none" w:sz="0" w:space="0" w:color="auto"/>
            <w:left w:val="none" w:sz="0" w:space="0" w:color="auto"/>
            <w:bottom w:val="none" w:sz="0" w:space="0" w:color="auto"/>
            <w:right w:val="none" w:sz="0" w:space="0" w:color="auto"/>
          </w:divBdr>
        </w:div>
      </w:divsChild>
    </w:div>
    <w:div w:id="896866280">
      <w:bodyDiv w:val="1"/>
      <w:marLeft w:val="0"/>
      <w:marRight w:val="0"/>
      <w:marTop w:val="0"/>
      <w:marBottom w:val="0"/>
      <w:divBdr>
        <w:top w:val="none" w:sz="0" w:space="0" w:color="auto"/>
        <w:left w:val="none" w:sz="0" w:space="0" w:color="auto"/>
        <w:bottom w:val="none" w:sz="0" w:space="0" w:color="auto"/>
        <w:right w:val="none" w:sz="0" w:space="0" w:color="auto"/>
      </w:divBdr>
    </w:div>
    <w:div w:id="897477967">
      <w:bodyDiv w:val="1"/>
      <w:marLeft w:val="0"/>
      <w:marRight w:val="0"/>
      <w:marTop w:val="0"/>
      <w:marBottom w:val="0"/>
      <w:divBdr>
        <w:top w:val="none" w:sz="0" w:space="0" w:color="auto"/>
        <w:left w:val="none" w:sz="0" w:space="0" w:color="auto"/>
        <w:bottom w:val="none" w:sz="0" w:space="0" w:color="auto"/>
        <w:right w:val="none" w:sz="0" w:space="0" w:color="auto"/>
      </w:divBdr>
    </w:div>
    <w:div w:id="898320731">
      <w:bodyDiv w:val="1"/>
      <w:marLeft w:val="0"/>
      <w:marRight w:val="0"/>
      <w:marTop w:val="0"/>
      <w:marBottom w:val="0"/>
      <w:divBdr>
        <w:top w:val="none" w:sz="0" w:space="0" w:color="auto"/>
        <w:left w:val="none" w:sz="0" w:space="0" w:color="auto"/>
        <w:bottom w:val="none" w:sz="0" w:space="0" w:color="auto"/>
        <w:right w:val="none" w:sz="0" w:space="0" w:color="auto"/>
      </w:divBdr>
    </w:div>
    <w:div w:id="899941332">
      <w:bodyDiv w:val="1"/>
      <w:marLeft w:val="0"/>
      <w:marRight w:val="0"/>
      <w:marTop w:val="0"/>
      <w:marBottom w:val="0"/>
      <w:divBdr>
        <w:top w:val="none" w:sz="0" w:space="0" w:color="auto"/>
        <w:left w:val="none" w:sz="0" w:space="0" w:color="auto"/>
        <w:bottom w:val="none" w:sz="0" w:space="0" w:color="auto"/>
        <w:right w:val="none" w:sz="0" w:space="0" w:color="auto"/>
      </w:divBdr>
    </w:div>
    <w:div w:id="900410933">
      <w:bodyDiv w:val="1"/>
      <w:marLeft w:val="0"/>
      <w:marRight w:val="0"/>
      <w:marTop w:val="0"/>
      <w:marBottom w:val="0"/>
      <w:divBdr>
        <w:top w:val="none" w:sz="0" w:space="0" w:color="auto"/>
        <w:left w:val="none" w:sz="0" w:space="0" w:color="auto"/>
        <w:bottom w:val="none" w:sz="0" w:space="0" w:color="auto"/>
        <w:right w:val="none" w:sz="0" w:space="0" w:color="auto"/>
      </w:divBdr>
    </w:div>
    <w:div w:id="901983634">
      <w:bodyDiv w:val="1"/>
      <w:marLeft w:val="0"/>
      <w:marRight w:val="0"/>
      <w:marTop w:val="0"/>
      <w:marBottom w:val="0"/>
      <w:divBdr>
        <w:top w:val="none" w:sz="0" w:space="0" w:color="auto"/>
        <w:left w:val="none" w:sz="0" w:space="0" w:color="auto"/>
        <w:bottom w:val="none" w:sz="0" w:space="0" w:color="auto"/>
        <w:right w:val="none" w:sz="0" w:space="0" w:color="auto"/>
      </w:divBdr>
    </w:div>
    <w:div w:id="910967265">
      <w:bodyDiv w:val="1"/>
      <w:marLeft w:val="0"/>
      <w:marRight w:val="0"/>
      <w:marTop w:val="0"/>
      <w:marBottom w:val="0"/>
      <w:divBdr>
        <w:top w:val="none" w:sz="0" w:space="0" w:color="auto"/>
        <w:left w:val="none" w:sz="0" w:space="0" w:color="auto"/>
        <w:bottom w:val="none" w:sz="0" w:space="0" w:color="auto"/>
        <w:right w:val="none" w:sz="0" w:space="0" w:color="auto"/>
      </w:divBdr>
    </w:div>
    <w:div w:id="911739562">
      <w:bodyDiv w:val="1"/>
      <w:marLeft w:val="0"/>
      <w:marRight w:val="0"/>
      <w:marTop w:val="0"/>
      <w:marBottom w:val="0"/>
      <w:divBdr>
        <w:top w:val="none" w:sz="0" w:space="0" w:color="auto"/>
        <w:left w:val="none" w:sz="0" w:space="0" w:color="auto"/>
        <w:bottom w:val="none" w:sz="0" w:space="0" w:color="auto"/>
        <w:right w:val="none" w:sz="0" w:space="0" w:color="auto"/>
      </w:divBdr>
    </w:div>
    <w:div w:id="916936614">
      <w:bodyDiv w:val="1"/>
      <w:marLeft w:val="0"/>
      <w:marRight w:val="0"/>
      <w:marTop w:val="0"/>
      <w:marBottom w:val="0"/>
      <w:divBdr>
        <w:top w:val="none" w:sz="0" w:space="0" w:color="auto"/>
        <w:left w:val="none" w:sz="0" w:space="0" w:color="auto"/>
        <w:bottom w:val="none" w:sz="0" w:space="0" w:color="auto"/>
        <w:right w:val="none" w:sz="0" w:space="0" w:color="auto"/>
      </w:divBdr>
    </w:div>
    <w:div w:id="917325304">
      <w:bodyDiv w:val="1"/>
      <w:marLeft w:val="0"/>
      <w:marRight w:val="0"/>
      <w:marTop w:val="0"/>
      <w:marBottom w:val="0"/>
      <w:divBdr>
        <w:top w:val="none" w:sz="0" w:space="0" w:color="auto"/>
        <w:left w:val="none" w:sz="0" w:space="0" w:color="auto"/>
        <w:bottom w:val="none" w:sz="0" w:space="0" w:color="auto"/>
        <w:right w:val="none" w:sz="0" w:space="0" w:color="auto"/>
      </w:divBdr>
    </w:div>
    <w:div w:id="917444271">
      <w:bodyDiv w:val="1"/>
      <w:marLeft w:val="0"/>
      <w:marRight w:val="0"/>
      <w:marTop w:val="0"/>
      <w:marBottom w:val="0"/>
      <w:divBdr>
        <w:top w:val="none" w:sz="0" w:space="0" w:color="auto"/>
        <w:left w:val="none" w:sz="0" w:space="0" w:color="auto"/>
        <w:bottom w:val="none" w:sz="0" w:space="0" w:color="auto"/>
        <w:right w:val="none" w:sz="0" w:space="0" w:color="auto"/>
      </w:divBdr>
    </w:div>
    <w:div w:id="919294864">
      <w:bodyDiv w:val="1"/>
      <w:marLeft w:val="0"/>
      <w:marRight w:val="0"/>
      <w:marTop w:val="0"/>
      <w:marBottom w:val="0"/>
      <w:divBdr>
        <w:top w:val="none" w:sz="0" w:space="0" w:color="auto"/>
        <w:left w:val="none" w:sz="0" w:space="0" w:color="auto"/>
        <w:bottom w:val="none" w:sz="0" w:space="0" w:color="auto"/>
        <w:right w:val="none" w:sz="0" w:space="0" w:color="auto"/>
      </w:divBdr>
    </w:div>
    <w:div w:id="924848591">
      <w:bodyDiv w:val="1"/>
      <w:marLeft w:val="0"/>
      <w:marRight w:val="0"/>
      <w:marTop w:val="0"/>
      <w:marBottom w:val="0"/>
      <w:divBdr>
        <w:top w:val="none" w:sz="0" w:space="0" w:color="auto"/>
        <w:left w:val="none" w:sz="0" w:space="0" w:color="auto"/>
        <w:bottom w:val="none" w:sz="0" w:space="0" w:color="auto"/>
        <w:right w:val="none" w:sz="0" w:space="0" w:color="auto"/>
      </w:divBdr>
    </w:div>
    <w:div w:id="926184441">
      <w:bodyDiv w:val="1"/>
      <w:marLeft w:val="0"/>
      <w:marRight w:val="0"/>
      <w:marTop w:val="0"/>
      <w:marBottom w:val="0"/>
      <w:divBdr>
        <w:top w:val="none" w:sz="0" w:space="0" w:color="auto"/>
        <w:left w:val="none" w:sz="0" w:space="0" w:color="auto"/>
        <w:bottom w:val="none" w:sz="0" w:space="0" w:color="auto"/>
        <w:right w:val="none" w:sz="0" w:space="0" w:color="auto"/>
      </w:divBdr>
    </w:div>
    <w:div w:id="929772555">
      <w:bodyDiv w:val="1"/>
      <w:marLeft w:val="0"/>
      <w:marRight w:val="0"/>
      <w:marTop w:val="0"/>
      <w:marBottom w:val="0"/>
      <w:divBdr>
        <w:top w:val="none" w:sz="0" w:space="0" w:color="auto"/>
        <w:left w:val="none" w:sz="0" w:space="0" w:color="auto"/>
        <w:bottom w:val="none" w:sz="0" w:space="0" w:color="auto"/>
        <w:right w:val="none" w:sz="0" w:space="0" w:color="auto"/>
      </w:divBdr>
    </w:div>
    <w:div w:id="931551567">
      <w:bodyDiv w:val="1"/>
      <w:marLeft w:val="0"/>
      <w:marRight w:val="0"/>
      <w:marTop w:val="0"/>
      <w:marBottom w:val="0"/>
      <w:divBdr>
        <w:top w:val="none" w:sz="0" w:space="0" w:color="auto"/>
        <w:left w:val="none" w:sz="0" w:space="0" w:color="auto"/>
        <w:bottom w:val="none" w:sz="0" w:space="0" w:color="auto"/>
        <w:right w:val="none" w:sz="0" w:space="0" w:color="auto"/>
      </w:divBdr>
    </w:div>
    <w:div w:id="931863304">
      <w:bodyDiv w:val="1"/>
      <w:marLeft w:val="0"/>
      <w:marRight w:val="0"/>
      <w:marTop w:val="0"/>
      <w:marBottom w:val="0"/>
      <w:divBdr>
        <w:top w:val="none" w:sz="0" w:space="0" w:color="auto"/>
        <w:left w:val="none" w:sz="0" w:space="0" w:color="auto"/>
        <w:bottom w:val="none" w:sz="0" w:space="0" w:color="auto"/>
        <w:right w:val="none" w:sz="0" w:space="0" w:color="auto"/>
      </w:divBdr>
    </w:div>
    <w:div w:id="937711959">
      <w:bodyDiv w:val="1"/>
      <w:marLeft w:val="0"/>
      <w:marRight w:val="0"/>
      <w:marTop w:val="0"/>
      <w:marBottom w:val="0"/>
      <w:divBdr>
        <w:top w:val="none" w:sz="0" w:space="0" w:color="auto"/>
        <w:left w:val="none" w:sz="0" w:space="0" w:color="auto"/>
        <w:bottom w:val="none" w:sz="0" w:space="0" w:color="auto"/>
        <w:right w:val="none" w:sz="0" w:space="0" w:color="auto"/>
      </w:divBdr>
    </w:div>
    <w:div w:id="938021281">
      <w:bodyDiv w:val="1"/>
      <w:marLeft w:val="0"/>
      <w:marRight w:val="0"/>
      <w:marTop w:val="0"/>
      <w:marBottom w:val="0"/>
      <w:divBdr>
        <w:top w:val="none" w:sz="0" w:space="0" w:color="auto"/>
        <w:left w:val="none" w:sz="0" w:space="0" w:color="auto"/>
        <w:bottom w:val="none" w:sz="0" w:space="0" w:color="auto"/>
        <w:right w:val="none" w:sz="0" w:space="0" w:color="auto"/>
      </w:divBdr>
    </w:div>
    <w:div w:id="939529065">
      <w:bodyDiv w:val="1"/>
      <w:marLeft w:val="0"/>
      <w:marRight w:val="0"/>
      <w:marTop w:val="0"/>
      <w:marBottom w:val="0"/>
      <w:divBdr>
        <w:top w:val="none" w:sz="0" w:space="0" w:color="auto"/>
        <w:left w:val="none" w:sz="0" w:space="0" w:color="auto"/>
        <w:bottom w:val="none" w:sz="0" w:space="0" w:color="auto"/>
        <w:right w:val="none" w:sz="0" w:space="0" w:color="auto"/>
      </w:divBdr>
    </w:div>
    <w:div w:id="940723913">
      <w:bodyDiv w:val="1"/>
      <w:marLeft w:val="0"/>
      <w:marRight w:val="0"/>
      <w:marTop w:val="0"/>
      <w:marBottom w:val="0"/>
      <w:divBdr>
        <w:top w:val="none" w:sz="0" w:space="0" w:color="auto"/>
        <w:left w:val="none" w:sz="0" w:space="0" w:color="auto"/>
        <w:bottom w:val="none" w:sz="0" w:space="0" w:color="auto"/>
        <w:right w:val="none" w:sz="0" w:space="0" w:color="auto"/>
      </w:divBdr>
    </w:div>
    <w:div w:id="944776599">
      <w:bodyDiv w:val="1"/>
      <w:marLeft w:val="0"/>
      <w:marRight w:val="0"/>
      <w:marTop w:val="0"/>
      <w:marBottom w:val="0"/>
      <w:divBdr>
        <w:top w:val="none" w:sz="0" w:space="0" w:color="auto"/>
        <w:left w:val="none" w:sz="0" w:space="0" w:color="auto"/>
        <w:bottom w:val="none" w:sz="0" w:space="0" w:color="auto"/>
        <w:right w:val="none" w:sz="0" w:space="0" w:color="auto"/>
      </w:divBdr>
    </w:div>
    <w:div w:id="945961050">
      <w:bodyDiv w:val="1"/>
      <w:marLeft w:val="0"/>
      <w:marRight w:val="0"/>
      <w:marTop w:val="0"/>
      <w:marBottom w:val="0"/>
      <w:divBdr>
        <w:top w:val="none" w:sz="0" w:space="0" w:color="auto"/>
        <w:left w:val="none" w:sz="0" w:space="0" w:color="auto"/>
        <w:bottom w:val="none" w:sz="0" w:space="0" w:color="auto"/>
        <w:right w:val="none" w:sz="0" w:space="0" w:color="auto"/>
      </w:divBdr>
    </w:div>
    <w:div w:id="948437197">
      <w:bodyDiv w:val="1"/>
      <w:marLeft w:val="0"/>
      <w:marRight w:val="0"/>
      <w:marTop w:val="0"/>
      <w:marBottom w:val="0"/>
      <w:divBdr>
        <w:top w:val="none" w:sz="0" w:space="0" w:color="auto"/>
        <w:left w:val="none" w:sz="0" w:space="0" w:color="auto"/>
        <w:bottom w:val="none" w:sz="0" w:space="0" w:color="auto"/>
        <w:right w:val="none" w:sz="0" w:space="0" w:color="auto"/>
      </w:divBdr>
    </w:div>
    <w:div w:id="951519427">
      <w:bodyDiv w:val="1"/>
      <w:marLeft w:val="0"/>
      <w:marRight w:val="0"/>
      <w:marTop w:val="0"/>
      <w:marBottom w:val="0"/>
      <w:divBdr>
        <w:top w:val="none" w:sz="0" w:space="0" w:color="auto"/>
        <w:left w:val="none" w:sz="0" w:space="0" w:color="auto"/>
        <w:bottom w:val="none" w:sz="0" w:space="0" w:color="auto"/>
        <w:right w:val="none" w:sz="0" w:space="0" w:color="auto"/>
      </w:divBdr>
    </w:div>
    <w:div w:id="955138330">
      <w:bodyDiv w:val="1"/>
      <w:marLeft w:val="0"/>
      <w:marRight w:val="0"/>
      <w:marTop w:val="0"/>
      <w:marBottom w:val="0"/>
      <w:divBdr>
        <w:top w:val="none" w:sz="0" w:space="0" w:color="auto"/>
        <w:left w:val="none" w:sz="0" w:space="0" w:color="auto"/>
        <w:bottom w:val="none" w:sz="0" w:space="0" w:color="auto"/>
        <w:right w:val="none" w:sz="0" w:space="0" w:color="auto"/>
      </w:divBdr>
    </w:div>
    <w:div w:id="958217616">
      <w:bodyDiv w:val="1"/>
      <w:marLeft w:val="0"/>
      <w:marRight w:val="0"/>
      <w:marTop w:val="0"/>
      <w:marBottom w:val="0"/>
      <w:divBdr>
        <w:top w:val="none" w:sz="0" w:space="0" w:color="auto"/>
        <w:left w:val="none" w:sz="0" w:space="0" w:color="auto"/>
        <w:bottom w:val="none" w:sz="0" w:space="0" w:color="auto"/>
        <w:right w:val="none" w:sz="0" w:space="0" w:color="auto"/>
      </w:divBdr>
    </w:div>
    <w:div w:id="959995771">
      <w:bodyDiv w:val="1"/>
      <w:marLeft w:val="0"/>
      <w:marRight w:val="0"/>
      <w:marTop w:val="0"/>
      <w:marBottom w:val="0"/>
      <w:divBdr>
        <w:top w:val="none" w:sz="0" w:space="0" w:color="auto"/>
        <w:left w:val="none" w:sz="0" w:space="0" w:color="auto"/>
        <w:bottom w:val="none" w:sz="0" w:space="0" w:color="auto"/>
        <w:right w:val="none" w:sz="0" w:space="0" w:color="auto"/>
      </w:divBdr>
    </w:div>
    <w:div w:id="964849139">
      <w:bodyDiv w:val="1"/>
      <w:marLeft w:val="0"/>
      <w:marRight w:val="0"/>
      <w:marTop w:val="0"/>
      <w:marBottom w:val="0"/>
      <w:divBdr>
        <w:top w:val="none" w:sz="0" w:space="0" w:color="auto"/>
        <w:left w:val="none" w:sz="0" w:space="0" w:color="auto"/>
        <w:bottom w:val="none" w:sz="0" w:space="0" w:color="auto"/>
        <w:right w:val="none" w:sz="0" w:space="0" w:color="auto"/>
      </w:divBdr>
    </w:div>
    <w:div w:id="965744127">
      <w:bodyDiv w:val="1"/>
      <w:marLeft w:val="0"/>
      <w:marRight w:val="0"/>
      <w:marTop w:val="0"/>
      <w:marBottom w:val="0"/>
      <w:divBdr>
        <w:top w:val="none" w:sz="0" w:space="0" w:color="auto"/>
        <w:left w:val="none" w:sz="0" w:space="0" w:color="auto"/>
        <w:bottom w:val="none" w:sz="0" w:space="0" w:color="auto"/>
        <w:right w:val="none" w:sz="0" w:space="0" w:color="auto"/>
      </w:divBdr>
    </w:div>
    <w:div w:id="967975644">
      <w:bodyDiv w:val="1"/>
      <w:marLeft w:val="0"/>
      <w:marRight w:val="0"/>
      <w:marTop w:val="0"/>
      <w:marBottom w:val="0"/>
      <w:divBdr>
        <w:top w:val="none" w:sz="0" w:space="0" w:color="auto"/>
        <w:left w:val="none" w:sz="0" w:space="0" w:color="auto"/>
        <w:bottom w:val="none" w:sz="0" w:space="0" w:color="auto"/>
        <w:right w:val="none" w:sz="0" w:space="0" w:color="auto"/>
      </w:divBdr>
    </w:div>
    <w:div w:id="968123463">
      <w:bodyDiv w:val="1"/>
      <w:marLeft w:val="0"/>
      <w:marRight w:val="0"/>
      <w:marTop w:val="0"/>
      <w:marBottom w:val="0"/>
      <w:divBdr>
        <w:top w:val="none" w:sz="0" w:space="0" w:color="auto"/>
        <w:left w:val="none" w:sz="0" w:space="0" w:color="auto"/>
        <w:bottom w:val="none" w:sz="0" w:space="0" w:color="auto"/>
        <w:right w:val="none" w:sz="0" w:space="0" w:color="auto"/>
      </w:divBdr>
    </w:div>
    <w:div w:id="974683045">
      <w:bodyDiv w:val="1"/>
      <w:marLeft w:val="0"/>
      <w:marRight w:val="0"/>
      <w:marTop w:val="0"/>
      <w:marBottom w:val="0"/>
      <w:divBdr>
        <w:top w:val="none" w:sz="0" w:space="0" w:color="auto"/>
        <w:left w:val="none" w:sz="0" w:space="0" w:color="auto"/>
        <w:bottom w:val="none" w:sz="0" w:space="0" w:color="auto"/>
        <w:right w:val="none" w:sz="0" w:space="0" w:color="auto"/>
      </w:divBdr>
    </w:div>
    <w:div w:id="977026774">
      <w:bodyDiv w:val="1"/>
      <w:marLeft w:val="0"/>
      <w:marRight w:val="0"/>
      <w:marTop w:val="0"/>
      <w:marBottom w:val="0"/>
      <w:divBdr>
        <w:top w:val="none" w:sz="0" w:space="0" w:color="auto"/>
        <w:left w:val="none" w:sz="0" w:space="0" w:color="auto"/>
        <w:bottom w:val="none" w:sz="0" w:space="0" w:color="auto"/>
        <w:right w:val="none" w:sz="0" w:space="0" w:color="auto"/>
      </w:divBdr>
    </w:div>
    <w:div w:id="979728653">
      <w:bodyDiv w:val="1"/>
      <w:marLeft w:val="0"/>
      <w:marRight w:val="0"/>
      <w:marTop w:val="0"/>
      <w:marBottom w:val="0"/>
      <w:divBdr>
        <w:top w:val="none" w:sz="0" w:space="0" w:color="auto"/>
        <w:left w:val="none" w:sz="0" w:space="0" w:color="auto"/>
        <w:bottom w:val="none" w:sz="0" w:space="0" w:color="auto"/>
        <w:right w:val="none" w:sz="0" w:space="0" w:color="auto"/>
      </w:divBdr>
    </w:div>
    <w:div w:id="983433578">
      <w:bodyDiv w:val="1"/>
      <w:marLeft w:val="0"/>
      <w:marRight w:val="0"/>
      <w:marTop w:val="0"/>
      <w:marBottom w:val="0"/>
      <w:divBdr>
        <w:top w:val="none" w:sz="0" w:space="0" w:color="auto"/>
        <w:left w:val="none" w:sz="0" w:space="0" w:color="auto"/>
        <w:bottom w:val="none" w:sz="0" w:space="0" w:color="auto"/>
        <w:right w:val="none" w:sz="0" w:space="0" w:color="auto"/>
      </w:divBdr>
    </w:div>
    <w:div w:id="984432063">
      <w:bodyDiv w:val="1"/>
      <w:marLeft w:val="0"/>
      <w:marRight w:val="0"/>
      <w:marTop w:val="0"/>
      <w:marBottom w:val="0"/>
      <w:divBdr>
        <w:top w:val="none" w:sz="0" w:space="0" w:color="auto"/>
        <w:left w:val="none" w:sz="0" w:space="0" w:color="auto"/>
        <w:bottom w:val="none" w:sz="0" w:space="0" w:color="auto"/>
        <w:right w:val="none" w:sz="0" w:space="0" w:color="auto"/>
      </w:divBdr>
    </w:div>
    <w:div w:id="992758368">
      <w:bodyDiv w:val="1"/>
      <w:marLeft w:val="0"/>
      <w:marRight w:val="0"/>
      <w:marTop w:val="0"/>
      <w:marBottom w:val="0"/>
      <w:divBdr>
        <w:top w:val="none" w:sz="0" w:space="0" w:color="auto"/>
        <w:left w:val="none" w:sz="0" w:space="0" w:color="auto"/>
        <w:bottom w:val="none" w:sz="0" w:space="0" w:color="auto"/>
        <w:right w:val="none" w:sz="0" w:space="0" w:color="auto"/>
      </w:divBdr>
    </w:div>
    <w:div w:id="1005716088">
      <w:bodyDiv w:val="1"/>
      <w:marLeft w:val="0"/>
      <w:marRight w:val="0"/>
      <w:marTop w:val="0"/>
      <w:marBottom w:val="0"/>
      <w:divBdr>
        <w:top w:val="none" w:sz="0" w:space="0" w:color="auto"/>
        <w:left w:val="none" w:sz="0" w:space="0" w:color="auto"/>
        <w:bottom w:val="none" w:sz="0" w:space="0" w:color="auto"/>
        <w:right w:val="none" w:sz="0" w:space="0" w:color="auto"/>
      </w:divBdr>
    </w:div>
    <w:div w:id="1007175554">
      <w:bodyDiv w:val="1"/>
      <w:marLeft w:val="0"/>
      <w:marRight w:val="0"/>
      <w:marTop w:val="0"/>
      <w:marBottom w:val="0"/>
      <w:divBdr>
        <w:top w:val="none" w:sz="0" w:space="0" w:color="auto"/>
        <w:left w:val="none" w:sz="0" w:space="0" w:color="auto"/>
        <w:bottom w:val="none" w:sz="0" w:space="0" w:color="auto"/>
        <w:right w:val="none" w:sz="0" w:space="0" w:color="auto"/>
      </w:divBdr>
    </w:div>
    <w:div w:id="1010719522">
      <w:bodyDiv w:val="1"/>
      <w:marLeft w:val="0"/>
      <w:marRight w:val="0"/>
      <w:marTop w:val="0"/>
      <w:marBottom w:val="0"/>
      <w:divBdr>
        <w:top w:val="none" w:sz="0" w:space="0" w:color="auto"/>
        <w:left w:val="none" w:sz="0" w:space="0" w:color="auto"/>
        <w:bottom w:val="none" w:sz="0" w:space="0" w:color="auto"/>
        <w:right w:val="none" w:sz="0" w:space="0" w:color="auto"/>
      </w:divBdr>
    </w:div>
    <w:div w:id="1017004009">
      <w:bodyDiv w:val="1"/>
      <w:marLeft w:val="0"/>
      <w:marRight w:val="0"/>
      <w:marTop w:val="0"/>
      <w:marBottom w:val="0"/>
      <w:divBdr>
        <w:top w:val="none" w:sz="0" w:space="0" w:color="auto"/>
        <w:left w:val="none" w:sz="0" w:space="0" w:color="auto"/>
        <w:bottom w:val="none" w:sz="0" w:space="0" w:color="auto"/>
        <w:right w:val="none" w:sz="0" w:space="0" w:color="auto"/>
      </w:divBdr>
    </w:div>
    <w:div w:id="1026909681">
      <w:bodyDiv w:val="1"/>
      <w:marLeft w:val="0"/>
      <w:marRight w:val="0"/>
      <w:marTop w:val="0"/>
      <w:marBottom w:val="0"/>
      <w:divBdr>
        <w:top w:val="none" w:sz="0" w:space="0" w:color="auto"/>
        <w:left w:val="none" w:sz="0" w:space="0" w:color="auto"/>
        <w:bottom w:val="none" w:sz="0" w:space="0" w:color="auto"/>
        <w:right w:val="none" w:sz="0" w:space="0" w:color="auto"/>
      </w:divBdr>
    </w:div>
    <w:div w:id="1027100752">
      <w:bodyDiv w:val="1"/>
      <w:marLeft w:val="0"/>
      <w:marRight w:val="0"/>
      <w:marTop w:val="0"/>
      <w:marBottom w:val="0"/>
      <w:divBdr>
        <w:top w:val="none" w:sz="0" w:space="0" w:color="auto"/>
        <w:left w:val="none" w:sz="0" w:space="0" w:color="auto"/>
        <w:bottom w:val="none" w:sz="0" w:space="0" w:color="auto"/>
        <w:right w:val="none" w:sz="0" w:space="0" w:color="auto"/>
      </w:divBdr>
    </w:div>
    <w:div w:id="1028064427">
      <w:bodyDiv w:val="1"/>
      <w:marLeft w:val="0"/>
      <w:marRight w:val="0"/>
      <w:marTop w:val="0"/>
      <w:marBottom w:val="0"/>
      <w:divBdr>
        <w:top w:val="none" w:sz="0" w:space="0" w:color="auto"/>
        <w:left w:val="none" w:sz="0" w:space="0" w:color="auto"/>
        <w:bottom w:val="none" w:sz="0" w:space="0" w:color="auto"/>
        <w:right w:val="none" w:sz="0" w:space="0" w:color="auto"/>
      </w:divBdr>
    </w:div>
    <w:div w:id="1041438556">
      <w:bodyDiv w:val="1"/>
      <w:marLeft w:val="0"/>
      <w:marRight w:val="0"/>
      <w:marTop w:val="0"/>
      <w:marBottom w:val="0"/>
      <w:divBdr>
        <w:top w:val="none" w:sz="0" w:space="0" w:color="auto"/>
        <w:left w:val="none" w:sz="0" w:space="0" w:color="auto"/>
        <w:bottom w:val="none" w:sz="0" w:space="0" w:color="auto"/>
        <w:right w:val="none" w:sz="0" w:space="0" w:color="auto"/>
      </w:divBdr>
    </w:div>
    <w:div w:id="1041513341">
      <w:bodyDiv w:val="1"/>
      <w:marLeft w:val="0"/>
      <w:marRight w:val="0"/>
      <w:marTop w:val="0"/>
      <w:marBottom w:val="0"/>
      <w:divBdr>
        <w:top w:val="none" w:sz="0" w:space="0" w:color="auto"/>
        <w:left w:val="none" w:sz="0" w:space="0" w:color="auto"/>
        <w:bottom w:val="none" w:sz="0" w:space="0" w:color="auto"/>
        <w:right w:val="none" w:sz="0" w:space="0" w:color="auto"/>
      </w:divBdr>
    </w:div>
    <w:div w:id="1042094413">
      <w:bodyDiv w:val="1"/>
      <w:marLeft w:val="0"/>
      <w:marRight w:val="0"/>
      <w:marTop w:val="0"/>
      <w:marBottom w:val="0"/>
      <w:divBdr>
        <w:top w:val="none" w:sz="0" w:space="0" w:color="auto"/>
        <w:left w:val="none" w:sz="0" w:space="0" w:color="auto"/>
        <w:bottom w:val="none" w:sz="0" w:space="0" w:color="auto"/>
        <w:right w:val="none" w:sz="0" w:space="0" w:color="auto"/>
      </w:divBdr>
    </w:div>
    <w:div w:id="1043749291">
      <w:bodyDiv w:val="1"/>
      <w:marLeft w:val="0"/>
      <w:marRight w:val="0"/>
      <w:marTop w:val="0"/>
      <w:marBottom w:val="0"/>
      <w:divBdr>
        <w:top w:val="none" w:sz="0" w:space="0" w:color="auto"/>
        <w:left w:val="none" w:sz="0" w:space="0" w:color="auto"/>
        <w:bottom w:val="none" w:sz="0" w:space="0" w:color="auto"/>
        <w:right w:val="none" w:sz="0" w:space="0" w:color="auto"/>
      </w:divBdr>
    </w:div>
    <w:div w:id="1044476601">
      <w:bodyDiv w:val="1"/>
      <w:marLeft w:val="0"/>
      <w:marRight w:val="0"/>
      <w:marTop w:val="0"/>
      <w:marBottom w:val="0"/>
      <w:divBdr>
        <w:top w:val="none" w:sz="0" w:space="0" w:color="auto"/>
        <w:left w:val="none" w:sz="0" w:space="0" w:color="auto"/>
        <w:bottom w:val="none" w:sz="0" w:space="0" w:color="auto"/>
        <w:right w:val="none" w:sz="0" w:space="0" w:color="auto"/>
      </w:divBdr>
    </w:div>
    <w:div w:id="1046831408">
      <w:bodyDiv w:val="1"/>
      <w:marLeft w:val="0"/>
      <w:marRight w:val="0"/>
      <w:marTop w:val="0"/>
      <w:marBottom w:val="0"/>
      <w:divBdr>
        <w:top w:val="none" w:sz="0" w:space="0" w:color="auto"/>
        <w:left w:val="none" w:sz="0" w:space="0" w:color="auto"/>
        <w:bottom w:val="none" w:sz="0" w:space="0" w:color="auto"/>
        <w:right w:val="none" w:sz="0" w:space="0" w:color="auto"/>
      </w:divBdr>
    </w:div>
    <w:div w:id="1048915631">
      <w:bodyDiv w:val="1"/>
      <w:marLeft w:val="0"/>
      <w:marRight w:val="0"/>
      <w:marTop w:val="0"/>
      <w:marBottom w:val="0"/>
      <w:divBdr>
        <w:top w:val="none" w:sz="0" w:space="0" w:color="auto"/>
        <w:left w:val="none" w:sz="0" w:space="0" w:color="auto"/>
        <w:bottom w:val="none" w:sz="0" w:space="0" w:color="auto"/>
        <w:right w:val="none" w:sz="0" w:space="0" w:color="auto"/>
      </w:divBdr>
    </w:div>
    <w:div w:id="1051074543">
      <w:bodyDiv w:val="1"/>
      <w:marLeft w:val="0"/>
      <w:marRight w:val="0"/>
      <w:marTop w:val="0"/>
      <w:marBottom w:val="0"/>
      <w:divBdr>
        <w:top w:val="none" w:sz="0" w:space="0" w:color="auto"/>
        <w:left w:val="none" w:sz="0" w:space="0" w:color="auto"/>
        <w:bottom w:val="none" w:sz="0" w:space="0" w:color="auto"/>
        <w:right w:val="none" w:sz="0" w:space="0" w:color="auto"/>
      </w:divBdr>
    </w:div>
    <w:div w:id="1058743813">
      <w:bodyDiv w:val="1"/>
      <w:marLeft w:val="0"/>
      <w:marRight w:val="0"/>
      <w:marTop w:val="0"/>
      <w:marBottom w:val="0"/>
      <w:divBdr>
        <w:top w:val="none" w:sz="0" w:space="0" w:color="auto"/>
        <w:left w:val="none" w:sz="0" w:space="0" w:color="auto"/>
        <w:bottom w:val="none" w:sz="0" w:space="0" w:color="auto"/>
        <w:right w:val="none" w:sz="0" w:space="0" w:color="auto"/>
      </w:divBdr>
    </w:div>
    <w:div w:id="1061295602">
      <w:bodyDiv w:val="1"/>
      <w:marLeft w:val="0"/>
      <w:marRight w:val="0"/>
      <w:marTop w:val="0"/>
      <w:marBottom w:val="0"/>
      <w:divBdr>
        <w:top w:val="none" w:sz="0" w:space="0" w:color="auto"/>
        <w:left w:val="none" w:sz="0" w:space="0" w:color="auto"/>
        <w:bottom w:val="none" w:sz="0" w:space="0" w:color="auto"/>
        <w:right w:val="none" w:sz="0" w:space="0" w:color="auto"/>
      </w:divBdr>
    </w:div>
    <w:div w:id="1063337178">
      <w:bodyDiv w:val="1"/>
      <w:marLeft w:val="0"/>
      <w:marRight w:val="0"/>
      <w:marTop w:val="0"/>
      <w:marBottom w:val="0"/>
      <w:divBdr>
        <w:top w:val="none" w:sz="0" w:space="0" w:color="auto"/>
        <w:left w:val="none" w:sz="0" w:space="0" w:color="auto"/>
        <w:bottom w:val="none" w:sz="0" w:space="0" w:color="auto"/>
        <w:right w:val="none" w:sz="0" w:space="0" w:color="auto"/>
      </w:divBdr>
    </w:div>
    <w:div w:id="1065490297">
      <w:bodyDiv w:val="1"/>
      <w:marLeft w:val="0"/>
      <w:marRight w:val="0"/>
      <w:marTop w:val="0"/>
      <w:marBottom w:val="0"/>
      <w:divBdr>
        <w:top w:val="none" w:sz="0" w:space="0" w:color="auto"/>
        <w:left w:val="none" w:sz="0" w:space="0" w:color="auto"/>
        <w:bottom w:val="none" w:sz="0" w:space="0" w:color="auto"/>
        <w:right w:val="none" w:sz="0" w:space="0" w:color="auto"/>
      </w:divBdr>
    </w:div>
    <w:div w:id="1068453918">
      <w:bodyDiv w:val="1"/>
      <w:marLeft w:val="0"/>
      <w:marRight w:val="0"/>
      <w:marTop w:val="0"/>
      <w:marBottom w:val="0"/>
      <w:divBdr>
        <w:top w:val="none" w:sz="0" w:space="0" w:color="auto"/>
        <w:left w:val="none" w:sz="0" w:space="0" w:color="auto"/>
        <w:bottom w:val="none" w:sz="0" w:space="0" w:color="auto"/>
        <w:right w:val="none" w:sz="0" w:space="0" w:color="auto"/>
      </w:divBdr>
    </w:div>
    <w:div w:id="1074202225">
      <w:bodyDiv w:val="1"/>
      <w:marLeft w:val="0"/>
      <w:marRight w:val="0"/>
      <w:marTop w:val="0"/>
      <w:marBottom w:val="0"/>
      <w:divBdr>
        <w:top w:val="none" w:sz="0" w:space="0" w:color="auto"/>
        <w:left w:val="none" w:sz="0" w:space="0" w:color="auto"/>
        <w:bottom w:val="none" w:sz="0" w:space="0" w:color="auto"/>
        <w:right w:val="none" w:sz="0" w:space="0" w:color="auto"/>
      </w:divBdr>
    </w:div>
    <w:div w:id="1078795383">
      <w:bodyDiv w:val="1"/>
      <w:marLeft w:val="0"/>
      <w:marRight w:val="0"/>
      <w:marTop w:val="0"/>
      <w:marBottom w:val="0"/>
      <w:divBdr>
        <w:top w:val="none" w:sz="0" w:space="0" w:color="auto"/>
        <w:left w:val="none" w:sz="0" w:space="0" w:color="auto"/>
        <w:bottom w:val="none" w:sz="0" w:space="0" w:color="auto"/>
        <w:right w:val="none" w:sz="0" w:space="0" w:color="auto"/>
      </w:divBdr>
    </w:div>
    <w:div w:id="1082408983">
      <w:bodyDiv w:val="1"/>
      <w:marLeft w:val="0"/>
      <w:marRight w:val="0"/>
      <w:marTop w:val="0"/>
      <w:marBottom w:val="0"/>
      <w:divBdr>
        <w:top w:val="none" w:sz="0" w:space="0" w:color="auto"/>
        <w:left w:val="none" w:sz="0" w:space="0" w:color="auto"/>
        <w:bottom w:val="none" w:sz="0" w:space="0" w:color="auto"/>
        <w:right w:val="none" w:sz="0" w:space="0" w:color="auto"/>
      </w:divBdr>
    </w:div>
    <w:div w:id="1084456225">
      <w:bodyDiv w:val="1"/>
      <w:marLeft w:val="0"/>
      <w:marRight w:val="0"/>
      <w:marTop w:val="0"/>
      <w:marBottom w:val="0"/>
      <w:divBdr>
        <w:top w:val="none" w:sz="0" w:space="0" w:color="auto"/>
        <w:left w:val="none" w:sz="0" w:space="0" w:color="auto"/>
        <w:bottom w:val="none" w:sz="0" w:space="0" w:color="auto"/>
        <w:right w:val="none" w:sz="0" w:space="0" w:color="auto"/>
      </w:divBdr>
    </w:div>
    <w:div w:id="1086926835">
      <w:bodyDiv w:val="1"/>
      <w:marLeft w:val="0"/>
      <w:marRight w:val="0"/>
      <w:marTop w:val="0"/>
      <w:marBottom w:val="0"/>
      <w:divBdr>
        <w:top w:val="none" w:sz="0" w:space="0" w:color="auto"/>
        <w:left w:val="none" w:sz="0" w:space="0" w:color="auto"/>
        <w:bottom w:val="none" w:sz="0" w:space="0" w:color="auto"/>
        <w:right w:val="none" w:sz="0" w:space="0" w:color="auto"/>
      </w:divBdr>
    </w:div>
    <w:div w:id="1088313071">
      <w:bodyDiv w:val="1"/>
      <w:marLeft w:val="0"/>
      <w:marRight w:val="0"/>
      <w:marTop w:val="0"/>
      <w:marBottom w:val="0"/>
      <w:divBdr>
        <w:top w:val="none" w:sz="0" w:space="0" w:color="auto"/>
        <w:left w:val="none" w:sz="0" w:space="0" w:color="auto"/>
        <w:bottom w:val="none" w:sz="0" w:space="0" w:color="auto"/>
        <w:right w:val="none" w:sz="0" w:space="0" w:color="auto"/>
      </w:divBdr>
    </w:div>
    <w:div w:id="1088577630">
      <w:bodyDiv w:val="1"/>
      <w:marLeft w:val="0"/>
      <w:marRight w:val="0"/>
      <w:marTop w:val="0"/>
      <w:marBottom w:val="0"/>
      <w:divBdr>
        <w:top w:val="none" w:sz="0" w:space="0" w:color="auto"/>
        <w:left w:val="none" w:sz="0" w:space="0" w:color="auto"/>
        <w:bottom w:val="none" w:sz="0" w:space="0" w:color="auto"/>
        <w:right w:val="none" w:sz="0" w:space="0" w:color="auto"/>
      </w:divBdr>
    </w:div>
    <w:div w:id="1094203926">
      <w:bodyDiv w:val="1"/>
      <w:marLeft w:val="0"/>
      <w:marRight w:val="0"/>
      <w:marTop w:val="0"/>
      <w:marBottom w:val="0"/>
      <w:divBdr>
        <w:top w:val="none" w:sz="0" w:space="0" w:color="auto"/>
        <w:left w:val="none" w:sz="0" w:space="0" w:color="auto"/>
        <w:bottom w:val="none" w:sz="0" w:space="0" w:color="auto"/>
        <w:right w:val="none" w:sz="0" w:space="0" w:color="auto"/>
      </w:divBdr>
    </w:div>
    <w:div w:id="1097674494">
      <w:bodyDiv w:val="1"/>
      <w:marLeft w:val="0"/>
      <w:marRight w:val="0"/>
      <w:marTop w:val="0"/>
      <w:marBottom w:val="0"/>
      <w:divBdr>
        <w:top w:val="none" w:sz="0" w:space="0" w:color="auto"/>
        <w:left w:val="none" w:sz="0" w:space="0" w:color="auto"/>
        <w:bottom w:val="none" w:sz="0" w:space="0" w:color="auto"/>
        <w:right w:val="none" w:sz="0" w:space="0" w:color="auto"/>
      </w:divBdr>
    </w:div>
    <w:div w:id="1102339694">
      <w:bodyDiv w:val="1"/>
      <w:marLeft w:val="0"/>
      <w:marRight w:val="0"/>
      <w:marTop w:val="0"/>
      <w:marBottom w:val="0"/>
      <w:divBdr>
        <w:top w:val="none" w:sz="0" w:space="0" w:color="auto"/>
        <w:left w:val="none" w:sz="0" w:space="0" w:color="auto"/>
        <w:bottom w:val="none" w:sz="0" w:space="0" w:color="auto"/>
        <w:right w:val="none" w:sz="0" w:space="0" w:color="auto"/>
      </w:divBdr>
    </w:div>
    <w:div w:id="1107430207">
      <w:bodyDiv w:val="1"/>
      <w:marLeft w:val="0"/>
      <w:marRight w:val="0"/>
      <w:marTop w:val="0"/>
      <w:marBottom w:val="0"/>
      <w:divBdr>
        <w:top w:val="none" w:sz="0" w:space="0" w:color="auto"/>
        <w:left w:val="none" w:sz="0" w:space="0" w:color="auto"/>
        <w:bottom w:val="none" w:sz="0" w:space="0" w:color="auto"/>
        <w:right w:val="none" w:sz="0" w:space="0" w:color="auto"/>
      </w:divBdr>
    </w:div>
    <w:div w:id="1110777435">
      <w:bodyDiv w:val="1"/>
      <w:marLeft w:val="0"/>
      <w:marRight w:val="0"/>
      <w:marTop w:val="0"/>
      <w:marBottom w:val="0"/>
      <w:divBdr>
        <w:top w:val="none" w:sz="0" w:space="0" w:color="auto"/>
        <w:left w:val="none" w:sz="0" w:space="0" w:color="auto"/>
        <w:bottom w:val="none" w:sz="0" w:space="0" w:color="auto"/>
        <w:right w:val="none" w:sz="0" w:space="0" w:color="auto"/>
      </w:divBdr>
    </w:div>
    <w:div w:id="1111508055">
      <w:bodyDiv w:val="1"/>
      <w:marLeft w:val="0"/>
      <w:marRight w:val="0"/>
      <w:marTop w:val="0"/>
      <w:marBottom w:val="0"/>
      <w:divBdr>
        <w:top w:val="none" w:sz="0" w:space="0" w:color="auto"/>
        <w:left w:val="none" w:sz="0" w:space="0" w:color="auto"/>
        <w:bottom w:val="none" w:sz="0" w:space="0" w:color="auto"/>
        <w:right w:val="none" w:sz="0" w:space="0" w:color="auto"/>
      </w:divBdr>
    </w:div>
    <w:div w:id="1113328852">
      <w:bodyDiv w:val="1"/>
      <w:marLeft w:val="0"/>
      <w:marRight w:val="0"/>
      <w:marTop w:val="0"/>
      <w:marBottom w:val="0"/>
      <w:divBdr>
        <w:top w:val="none" w:sz="0" w:space="0" w:color="auto"/>
        <w:left w:val="none" w:sz="0" w:space="0" w:color="auto"/>
        <w:bottom w:val="none" w:sz="0" w:space="0" w:color="auto"/>
        <w:right w:val="none" w:sz="0" w:space="0" w:color="auto"/>
      </w:divBdr>
    </w:div>
    <w:div w:id="1114254777">
      <w:bodyDiv w:val="1"/>
      <w:marLeft w:val="0"/>
      <w:marRight w:val="0"/>
      <w:marTop w:val="0"/>
      <w:marBottom w:val="0"/>
      <w:divBdr>
        <w:top w:val="none" w:sz="0" w:space="0" w:color="auto"/>
        <w:left w:val="none" w:sz="0" w:space="0" w:color="auto"/>
        <w:bottom w:val="none" w:sz="0" w:space="0" w:color="auto"/>
        <w:right w:val="none" w:sz="0" w:space="0" w:color="auto"/>
      </w:divBdr>
    </w:div>
    <w:div w:id="1118528612">
      <w:bodyDiv w:val="1"/>
      <w:marLeft w:val="0"/>
      <w:marRight w:val="0"/>
      <w:marTop w:val="0"/>
      <w:marBottom w:val="0"/>
      <w:divBdr>
        <w:top w:val="none" w:sz="0" w:space="0" w:color="auto"/>
        <w:left w:val="none" w:sz="0" w:space="0" w:color="auto"/>
        <w:bottom w:val="none" w:sz="0" w:space="0" w:color="auto"/>
        <w:right w:val="none" w:sz="0" w:space="0" w:color="auto"/>
      </w:divBdr>
    </w:div>
    <w:div w:id="1119110409">
      <w:bodyDiv w:val="1"/>
      <w:marLeft w:val="0"/>
      <w:marRight w:val="0"/>
      <w:marTop w:val="0"/>
      <w:marBottom w:val="0"/>
      <w:divBdr>
        <w:top w:val="none" w:sz="0" w:space="0" w:color="auto"/>
        <w:left w:val="none" w:sz="0" w:space="0" w:color="auto"/>
        <w:bottom w:val="none" w:sz="0" w:space="0" w:color="auto"/>
        <w:right w:val="none" w:sz="0" w:space="0" w:color="auto"/>
      </w:divBdr>
    </w:div>
    <w:div w:id="1119832493">
      <w:bodyDiv w:val="1"/>
      <w:marLeft w:val="0"/>
      <w:marRight w:val="0"/>
      <w:marTop w:val="0"/>
      <w:marBottom w:val="0"/>
      <w:divBdr>
        <w:top w:val="none" w:sz="0" w:space="0" w:color="auto"/>
        <w:left w:val="none" w:sz="0" w:space="0" w:color="auto"/>
        <w:bottom w:val="none" w:sz="0" w:space="0" w:color="auto"/>
        <w:right w:val="none" w:sz="0" w:space="0" w:color="auto"/>
      </w:divBdr>
    </w:div>
    <w:div w:id="1124039254">
      <w:bodyDiv w:val="1"/>
      <w:marLeft w:val="0"/>
      <w:marRight w:val="0"/>
      <w:marTop w:val="0"/>
      <w:marBottom w:val="0"/>
      <w:divBdr>
        <w:top w:val="none" w:sz="0" w:space="0" w:color="auto"/>
        <w:left w:val="none" w:sz="0" w:space="0" w:color="auto"/>
        <w:bottom w:val="none" w:sz="0" w:space="0" w:color="auto"/>
        <w:right w:val="none" w:sz="0" w:space="0" w:color="auto"/>
      </w:divBdr>
    </w:div>
    <w:div w:id="1126387571">
      <w:bodyDiv w:val="1"/>
      <w:marLeft w:val="0"/>
      <w:marRight w:val="0"/>
      <w:marTop w:val="0"/>
      <w:marBottom w:val="0"/>
      <w:divBdr>
        <w:top w:val="none" w:sz="0" w:space="0" w:color="auto"/>
        <w:left w:val="none" w:sz="0" w:space="0" w:color="auto"/>
        <w:bottom w:val="none" w:sz="0" w:space="0" w:color="auto"/>
        <w:right w:val="none" w:sz="0" w:space="0" w:color="auto"/>
      </w:divBdr>
    </w:div>
    <w:div w:id="1127164735">
      <w:bodyDiv w:val="1"/>
      <w:marLeft w:val="0"/>
      <w:marRight w:val="0"/>
      <w:marTop w:val="0"/>
      <w:marBottom w:val="0"/>
      <w:divBdr>
        <w:top w:val="none" w:sz="0" w:space="0" w:color="auto"/>
        <w:left w:val="none" w:sz="0" w:space="0" w:color="auto"/>
        <w:bottom w:val="none" w:sz="0" w:space="0" w:color="auto"/>
        <w:right w:val="none" w:sz="0" w:space="0" w:color="auto"/>
      </w:divBdr>
    </w:div>
    <w:div w:id="1130248902">
      <w:bodyDiv w:val="1"/>
      <w:marLeft w:val="0"/>
      <w:marRight w:val="0"/>
      <w:marTop w:val="0"/>
      <w:marBottom w:val="0"/>
      <w:divBdr>
        <w:top w:val="none" w:sz="0" w:space="0" w:color="auto"/>
        <w:left w:val="none" w:sz="0" w:space="0" w:color="auto"/>
        <w:bottom w:val="none" w:sz="0" w:space="0" w:color="auto"/>
        <w:right w:val="none" w:sz="0" w:space="0" w:color="auto"/>
      </w:divBdr>
    </w:div>
    <w:div w:id="1132600543">
      <w:bodyDiv w:val="1"/>
      <w:marLeft w:val="0"/>
      <w:marRight w:val="0"/>
      <w:marTop w:val="0"/>
      <w:marBottom w:val="0"/>
      <w:divBdr>
        <w:top w:val="none" w:sz="0" w:space="0" w:color="auto"/>
        <w:left w:val="none" w:sz="0" w:space="0" w:color="auto"/>
        <w:bottom w:val="none" w:sz="0" w:space="0" w:color="auto"/>
        <w:right w:val="none" w:sz="0" w:space="0" w:color="auto"/>
      </w:divBdr>
    </w:div>
    <w:div w:id="1133450820">
      <w:bodyDiv w:val="1"/>
      <w:marLeft w:val="0"/>
      <w:marRight w:val="0"/>
      <w:marTop w:val="0"/>
      <w:marBottom w:val="0"/>
      <w:divBdr>
        <w:top w:val="none" w:sz="0" w:space="0" w:color="auto"/>
        <w:left w:val="none" w:sz="0" w:space="0" w:color="auto"/>
        <w:bottom w:val="none" w:sz="0" w:space="0" w:color="auto"/>
        <w:right w:val="none" w:sz="0" w:space="0" w:color="auto"/>
      </w:divBdr>
    </w:div>
    <w:div w:id="1138375940">
      <w:bodyDiv w:val="1"/>
      <w:marLeft w:val="0"/>
      <w:marRight w:val="0"/>
      <w:marTop w:val="0"/>
      <w:marBottom w:val="0"/>
      <w:divBdr>
        <w:top w:val="none" w:sz="0" w:space="0" w:color="auto"/>
        <w:left w:val="none" w:sz="0" w:space="0" w:color="auto"/>
        <w:bottom w:val="none" w:sz="0" w:space="0" w:color="auto"/>
        <w:right w:val="none" w:sz="0" w:space="0" w:color="auto"/>
      </w:divBdr>
    </w:div>
    <w:div w:id="1139882984">
      <w:bodyDiv w:val="1"/>
      <w:marLeft w:val="0"/>
      <w:marRight w:val="0"/>
      <w:marTop w:val="0"/>
      <w:marBottom w:val="0"/>
      <w:divBdr>
        <w:top w:val="none" w:sz="0" w:space="0" w:color="auto"/>
        <w:left w:val="none" w:sz="0" w:space="0" w:color="auto"/>
        <w:bottom w:val="none" w:sz="0" w:space="0" w:color="auto"/>
        <w:right w:val="none" w:sz="0" w:space="0" w:color="auto"/>
      </w:divBdr>
    </w:div>
    <w:div w:id="1148784902">
      <w:bodyDiv w:val="1"/>
      <w:marLeft w:val="0"/>
      <w:marRight w:val="0"/>
      <w:marTop w:val="0"/>
      <w:marBottom w:val="0"/>
      <w:divBdr>
        <w:top w:val="none" w:sz="0" w:space="0" w:color="auto"/>
        <w:left w:val="none" w:sz="0" w:space="0" w:color="auto"/>
        <w:bottom w:val="none" w:sz="0" w:space="0" w:color="auto"/>
        <w:right w:val="none" w:sz="0" w:space="0" w:color="auto"/>
      </w:divBdr>
    </w:div>
    <w:div w:id="1150516521">
      <w:bodyDiv w:val="1"/>
      <w:marLeft w:val="0"/>
      <w:marRight w:val="0"/>
      <w:marTop w:val="0"/>
      <w:marBottom w:val="0"/>
      <w:divBdr>
        <w:top w:val="none" w:sz="0" w:space="0" w:color="auto"/>
        <w:left w:val="none" w:sz="0" w:space="0" w:color="auto"/>
        <w:bottom w:val="none" w:sz="0" w:space="0" w:color="auto"/>
        <w:right w:val="none" w:sz="0" w:space="0" w:color="auto"/>
      </w:divBdr>
    </w:div>
    <w:div w:id="1152601602">
      <w:bodyDiv w:val="1"/>
      <w:marLeft w:val="0"/>
      <w:marRight w:val="0"/>
      <w:marTop w:val="0"/>
      <w:marBottom w:val="0"/>
      <w:divBdr>
        <w:top w:val="none" w:sz="0" w:space="0" w:color="auto"/>
        <w:left w:val="none" w:sz="0" w:space="0" w:color="auto"/>
        <w:bottom w:val="none" w:sz="0" w:space="0" w:color="auto"/>
        <w:right w:val="none" w:sz="0" w:space="0" w:color="auto"/>
      </w:divBdr>
    </w:div>
    <w:div w:id="1153108996">
      <w:bodyDiv w:val="1"/>
      <w:marLeft w:val="0"/>
      <w:marRight w:val="0"/>
      <w:marTop w:val="0"/>
      <w:marBottom w:val="0"/>
      <w:divBdr>
        <w:top w:val="none" w:sz="0" w:space="0" w:color="auto"/>
        <w:left w:val="none" w:sz="0" w:space="0" w:color="auto"/>
        <w:bottom w:val="none" w:sz="0" w:space="0" w:color="auto"/>
        <w:right w:val="none" w:sz="0" w:space="0" w:color="auto"/>
      </w:divBdr>
    </w:div>
    <w:div w:id="1153989833">
      <w:bodyDiv w:val="1"/>
      <w:marLeft w:val="0"/>
      <w:marRight w:val="0"/>
      <w:marTop w:val="0"/>
      <w:marBottom w:val="0"/>
      <w:divBdr>
        <w:top w:val="none" w:sz="0" w:space="0" w:color="auto"/>
        <w:left w:val="none" w:sz="0" w:space="0" w:color="auto"/>
        <w:bottom w:val="none" w:sz="0" w:space="0" w:color="auto"/>
        <w:right w:val="none" w:sz="0" w:space="0" w:color="auto"/>
      </w:divBdr>
    </w:div>
    <w:div w:id="1157649841">
      <w:bodyDiv w:val="1"/>
      <w:marLeft w:val="0"/>
      <w:marRight w:val="0"/>
      <w:marTop w:val="0"/>
      <w:marBottom w:val="0"/>
      <w:divBdr>
        <w:top w:val="none" w:sz="0" w:space="0" w:color="auto"/>
        <w:left w:val="none" w:sz="0" w:space="0" w:color="auto"/>
        <w:bottom w:val="none" w:sz="0" w:space="0" w:color="auto"/>
        <w:right w:val="none" w:sz="0" w:space="0" w:color="auto"/>
      </w:divBdr>
    </w:div>
    <w:div w:id="1158500662">
      <w:bodyDiv w:val="1"/>
      <w:marLeft w:val="0"/>
      <w:marRight w:val="0"/>
      <w:marTop w:val="0"/>
      <w:marBottom w:val="0"/>
      <w:divBdr>
        <w:top w:val="none" w:sz="0" w:space="0" w:color="auto"/>
        <w:left w:val="none" w:sz="0" w:space="0" w:color="auto"/>
        <w:bottom w:val="none" w:sz="0" w:space="0" w:color="auto"/>
        <w:right w:val="none" w:sz="0" w:space="0" w:color="auto"/>
      </w:divBdr>
    </w:div>
    <w:div w:id="1160543092">
      <w:bodyDiv w:val="1"/>
      <w:marLeft w:val="0"/>
      <w:marRight w:val="0"/>
      <w:marTop w:val="0"/>
      <w:marBottom w:val="0"/>
      <w:divBdr>
        <w:top w:val="none" w:sz="0" w:space="0" w:color="auto"/>
        <w:left w:val="none" w:sz="0" w:space="0" w:color="auto"/>
        <w:bottom w:val="none" w:sz="0" w:space="0" w:color="auto"/>
        <w:right w:val="none" w:sz="0" w:space="0" w:color="auto"/>
      </w:divBdr>
    </w:div>
    <w:div w:id="1165316712">
      <w:bodyDiv w:val="1"/>
      <w:marLeft w:val="0"/>
      <w:marRight w:val="0"/>
      <w:marTop w:val="0"/>
      <w:marBottom w:val="0"/>
      <w:divBdr>
        <w:top w:val="none" w:sz="0" w:space="0" w:color="auto"/>
        <w:left w:val="none" w:sz="0" w:space="0" w:color="auto"/>
        <w:bottom w:val="none" w:sz="0" w:space="0" w:color="auto"/>
        <w:right w:val="none" w:sz="0" w:space="0" w:color="auto"/>
      </w:divBdr>
    </w:div>
    <w:div w:id="1175801797">
      <w:bodyDiv w:val="1"/>
      <w:marLeft w:val="0"/>
      <w:marRight w:val="0"/>
      <w:marTop w:val="0"/>
      <w:marBottom w:val="0"/>
      <w:divBdr>
        <w:top w:val="none" w:sz="0" w:space="0" w:color="auto"/>
        <w:left w:val="none" w:sz="0" w:space="0" w:color="auto"/>
        <w:bottom w:val="none" w:sz="0" w:space="0" w:color="auto"/>
        <w:right w:val="none" w:sz="0" w:space="0" w:color="auto"/>
      </w:divBdr>
    </w:div>
    <w:div w:id="1181704975">
      <w:bodyDiv w:val="1"/>
      <w:marLeft w:val="0"/>
      <w:marRight w:val="0"/>
      <w:marTop w:val="0"/>
      <w:marBottom w:val="0"/>
      <w:divBdr>
        <w:top w:val="none" w:sz="0" w:space="0" w:color="auto"/>
        <w:left w:val="none" w:sz="0" w:space="0" w:color="auto"/>
        <w:bottom w:val="none" w:sz="0" w:space="0" w:color="auto"/>
        <w:right w:val="none" w:sz="0" w:space="0" w:color="auto"/>
      </w:divBdr>
    </w:div>
    <w:div w:id="1182741967">
      <w:bodyDiv w:val="1"/>
      <w:marLeft w:val="0"/>
      <w:marRight w:val="0"/>
      <w:marTop w:val="0"/>
      <w:marBottom w:val="0"/>
      <w:divBdr>
        <w:top w:val="none" w:sz="0" w:space="0" w:color="auto"/>
        <w:left w:val="none" w:sz="0" w:space="0" w:color="auto"/>
        <w:bottom w:val="none" w:sz="0" w:space="0" w:color="auto"/>
        <w:right w:val="none" w:sz="0" w:space="0" w:color="auto"/>
      </w:divBdr>
    </w:div>
    <w:div w:id="1191576315">
      <w:bodyDiv w:val="1"/>
      <w:marLeft w:val="0"/>
      <w:marRight w:val="0"/>
      <w:marTop w:val="0"/>
      <w:marBottom w:val="0"/>
      <w:divBdr>
        <w:top w:val="none" w:sz="0" w:space="0" w:color="auto"/>
        <w:left w:val="none" w:sz="0" w:space="0" w:color="auto"/>
        <w:bottom w:val="none" w:sz="0" w:space="0" w:color="auto"/>
        <w:right w:val="none" w:sz="0" w:space="0" w:color="auto"/>
      </w:divBdr>
    </w:div>
    <w:div w:id="1197081776">
      <w:bodyDiv w:val="1"/>
      <w:marLeft w:val="0"/>
      <w:marRight w:val="0"/>
      <w:marTop w:val="0"/>
      <w:marBottom w:val="0"/>
      <w:divBdr>
        <w:top w:val="none" w:sz="0" w:space="0" w:color="auto"/>
        <w:left w:val="none" w:sz="0" w:space="0" w:color="auto"/>
        <w:bottom w:val="none" w:sz="0" w:space="0" w:color="auto"/>
        <w:right w:val="none" w:sz="0" w:space="0" w:color="auto"/>
      </w:divBdr>
    </w:div>
    <w:div w:id="1197964231">
      <w:bodyDiv w:val="1"/>
      <w:marLeft w:val="0"/>
      <w:marRight w:val="0"/>
      <w:marTop w:val="0"/>
      <w:marBottom w:val="0"/>
      <w:divBdr>
        <w:top w:val="none" w:sz="0" w:space="0" w:color="auto"/>
        <w:left w:val="none" w:sz="0" w:space="0" w:color="auto"/>
        <w:bottom w:val="none" w:sz="0" w:space="0" w:color="auto"/>
        <w:right w:val="none" w:sz="0" w:space="0" w:color="auto"/>
      </w:divBdr>
    </w:div>
    <w:div w:id="1198276296">
      <w:bodyDiv w:val="1"/>
      <w:marLeft w:val="0"/>
      <w:marRight w:val="0"/>
      <w:marTop w:val="0"/>
      <w:marBottom w:val="0"/>
      <w:divBdr>
        <w:top w:val="none" w:sz="0" w:space="0" w:color="auto"/>
        <w:left w:val="none" w:sz="0" w:space="0" w:color="auto"/>
        <w:bottom w:val="none" w:sz="0" w:space="0" w:color="auto"/>
        <w:right w:val="none" w:sz="0" w:space="0" w:color="auto"/>
      </w:divBdr>
    </w:div>
    <w:div w:id="1200626308">
      <w:bodyDiv w:val="1"/>
      <w:marLeft w:val="0"/>
      <w:marRight w:val="0"/>
      <w:marTop w:val="0"/>
      <w:marBottom w:val="0"/>
      <w:divBdr>
        <w:top w:val="none" w:sz="0" w:space="0" w:color="auto"/>
        <w:left w:val="none" w:sz="0" w:space="0" w:color="auto"/>
        <w:bottom w:val="none" w:sz="0" w:space="0" w:color="auto"/>
        <w:right w:val="none" w:sz="0" w:space="0" w:color="auto"/>
      </w:divBdr>
    </w:div>
    <w:div w:id="1202523477">
      <w:bodyDiv w:val="1"/>
      <w:marLeft w:val="0"/>
      <w:marRight w:val="0"/>
      <w:marTop w:val="0"/>
      <w:marBottom w:val="0"/>
      <w:divBdr>
        <w:top w:val="none" w:sz="0" w:space="0" w:color="auto"/>
        <w:left w:val="none" w:sz="0" w:space="0" w:color="auto"/>
        <w:bottom w:val="none" w:sz="0" w:space="0" w:color="auto"/>
        <w:right w:val="none" w:sz="0" w:space="0" w:color="auto"/>
      </w:divBdr>
    </w:div>
    <w:div w:id="1205215300">
      <w:bodyDiv w:val="1"/>
      <w:marLeft w:val="0"/>
      <w:marRight w:val="0"/>
      <w:marTop w:val="0"/>
      <w:marBottom w:val="0"/>
      <w:divBdr>
        <w:top w:val="none" w:sz="0" w:space="0" w:color="auto"/>
        <w:left w:val="none" w:sz="0" w:space="0" w:color="auto"/>
        <w:bottom w:val="none" w:sz="0" w:space="0" w:color="auto"/>
        <w:right w:val="none" w:sz="0" w:space="0" w:color="auto"/>
      </w:divBdr>
    </w:div>
    <w:div w:id="1206135735">
      <w:bodyDiv w:val="1"/>
      <w:marLeft w:val="0"/>
      <w:marRight w:val="0"/>
      <w:marTop w:val="0"/>
      <w:marBottom w:val="0"/>
      <w:divBdr>
        <w:top w:val="none" w:sz="0" w:space="0" w:color="auto"/>
        <w:left w:val="none" w:sz="0" w:space="0" w:color="auto"/>
        <w:bottom w:val="none" w:sz="0" w:space="0" w:color="auto"/>
        <w:right w:val="none" w:sz="0" w:space="0" w:color="auto"/>
      </w:divBdr>
    </w:div>
    <w:div w:id="1212383065">
      <w:bodyDiv w:val="1"/>
      <w:marLeft w:val="0"/>
      <w:marRight w:val="0"/>
      <w:marTop w:val="0"/>
      <w:marBottom w:val="0"/>
      <w:divBdr>
        <w:top w:val="none" w:sz="0" w:space="0" w:color="auto"/>
        <w:left w:val="none" w:sz="0" w:space="0" w:color="auto"/>
        <w:bottom w:val="none" w:sz="0" w:space="0" w:color="auto"/>
        <w:right w:val="none" w:sz="0" w:space="0" w:color="auto"/>
      </w:divBdr>
    </w:div>
    <w:div w:id="1212887451">
      <w:bodyDiv w:val="1"/>
      <w:marLeft w:val="0"/>
      <w:marRight w:val="0"/>
      <w:marTop w:val="0"/>
      <w:marBottom w:val="0"/>
      <w:divBdr>
        <w:top w:val="none" w:sz="0" w:space="0" w:color="auto"/>
        <w:left w:val="none" w:sz="0" w:space="0" w:color="auto"/>
        <w:bottom w:val="none" w:sz="0" w:space="0" w:color="auto"/>
        <w:right w:val="none" w:sz="0" w:space="0" w:color="auto"/>
      </w:divBdr>
    </w:div>
    <w:div w:id="1214468637">
      <w:bodyDiv w:val="1"/>
      <w:marLeft w:val="0"/>
      <w:marRight w:val="0"/>
      <w:marTop w:val="0"/>
      <w:marBottom w:val="0"/>
      <w:divBdr>
        <w:top w:val="none" w:sz="0" w:space="0" w:color="auto"/>
        <w:left w:val="none" w:sz="0" w:space="0" w:color="auto"/>
        <w:bottom w:val="none" w:sz="0" w:space="0" w:color="auto"/>
        <w:right w:val="none" w:sz="0" w:space="0" w:color="auto"/>
      </w:divBdr>
    </w:div>
    <w:div w:id="1216042151">
      <w:bodyDiv w:val="1"/>
      <w:marLeft w:val="0"/>
      <w:marRight w:val="0"/>
      <w:marTop w:val="0"/>
      <w:marBottom w:val="0"/>
      <w:divBdr>
        <w:top w:val="none" w:sz="0" w:space="0" w:color="auto"/>
        <w:left w:val="none" w:sz="0" w:space="0" w:color="auto"/>
        <w:bottom w:val="none" w:sz="0" w:space="0" w:color="auto"/>
        <w:right w:val="none" w:sz="0" w:space="0" w:color="auto"/>
      </w:divBdr>
    </w:div>
    <w:div w:id="1217818244">
      <w:bodyDiv w:val="1"/>
      <w:marLeft w:val="0"/>
      <w:marRight w:val="0"/>
      <w:marTop w:val="0"/>
      <w:marBottom w:val="0"/>
      <w:divBdr>
        <w:top w:val="none" w:sz="0" w:space="0" w:color="auto"/>
        <w:left w:val="none" w:sz="0" w:space="0" w:color="auto"/>
        <w:bottom w:val="none" w:sz="0" w:space="0" w:color="auto"/>
        <w:right w:val="none" w:sz="0" w:space="0" w:color="auto"/>
      </w:divBdr>
    </w:div>
    <w:div w:id="1218513484">
      <w:bodyDiv w:val="1"/>
      <w:marLeft w:val="0"/>
      <w:marRight w:val="0"/>
      <w:marTop w:val="0"/>
      <w:marBottom w:val="0"/>
      <w:divBdr>
        <w:top w:val="none" w:sz="0" w:space="0" w:color="auto"/>
        <w:left w:val="none" w:sz="0" w:space="0" w:color="auto"/>
        <w:bottom w:val="none" w:sz="0" w:space="0" w:color="auto"/>
        <w:right w:val="none" w:sz="0" w:space="0" w:color="auto"/>
      </w:divBdr>
    </w:div>
    <w:div w:id="1221089342">
      <w:bodyDiv w:val="1"/>
      <w:marLeft w:val="0"/>
      <w:marRight w:val="0"/>
      <w:marTop w:val="0"/>
      <w:marBottom w:val="0"/>
      <w:divBdr>
        <w:top w:val="none" w:sz="0" w:space="0" w:color="auto"/>
        <w:left w:val="none" w:sz="0" w:space="0" w:color="auto"/>
        <w:bottom w:val="none" w:sz="0" w:space="0" w:color="auto"/>
        <w:right w:val="none" w:sz="0" w:space="0" w:color="auto"/>
      </w:divBdr>
    </w:div>
    <w:div w:id="1223296351">
      <w:bodyDiv w:val="1"/>
      <w:marLeft w:val="0"/>
      <w:marRight w:val="0"/>
      <w:marTop w:val="0"/>
      <w:marBottom w:val="0"/>
      <w:divBdr>
        <w:top w:val="none" w:sz="0" w:space="0" w:color="auto"/>
        <w:left w:val="none" w:sz="0" w:space="0" w:color="auto"/>
        <w:bottom w:val="none" w:sz="0" w:space="0" w:color="auto"/>
        <w:right w:val="none" w:sz="0" w:space="0" w:color="auto"/>
      </w:divBdr>
    </w:div>
    <w:div w:id="1223977373">
      <w:bodyDiv w:val="1"/>
      <w:marLeft w:val="0"/>
      <w:marRight w:val="0"/>
      <w:marTop w:val="0"/>
      <w:marBottom w:val="0"/>
      <w:divBdr>
        <w:top w:val="none" w:sz="0" w:space="0" w:color="auto"/>
        <w:left w:val="none" w:sz="0" w:space="0" w:color="auto"/>
        <w:bottom w:val="none" w:sz="0" w:space="0" w:color="auto"/>
        <w:right w:val="none" w:sz="0" w:space="0" w:color="auto"/>
      </w:divBdr>
    </w:div>
    <w:div w:id="1224440098">
      <w:bodyDiv w:val="1"/>
      <w:marLeft w:val="0"/>
      <w:marRight w:val="0"/>
      <w:marTop w:val="0"/>
      <w:marBottom w:val="0"/>
      <w:divBdr>
        <w:top w:val="none" w:sz="0" w:space="0" w:color="auto"/>
        <w:left w:val="none" w:sz="0" w:space="0" w:color="auto"/>
        <w:bottom w:val="none" w:sz="0" w:space="0" w:color="auto"/>
        <w:right w:val="none" w:sz="0" w:space="0" w:color="auto"/>
      </w:divBdr>
    </w:div>
    <w:div w:id="1226648921">
      <w:bodyDiv w:val="1"/>
      <w:marLeft w:val="0"/>
      <w:marRight w:val="0"/>
      <w:marTop w:val="0"/>
      <w:marBottom w:val="0"/>
      <w:divBdr>
        <w:top w:val="none" w:sz="0" w:space="0" w:color="auto"/>
        <w:left w:val="none" w:sz="0" w:space="0" w:color="auto"/>
        <w:bottom w:val="none" w:sz="0" w:space="0" w:color="auto"/>
        <w:right w:val="none" w:sz="0" w:space="0" w:color="auto"/>
      </w:divBdr>
    </w:div>
    <w:div w:id="1236864404">
      <w:bodyDiv w:val="1"/>
      <w:marLeft w:val="0"/>
      <w:marRight w:val="0"/>
      <w:marTop w:val="0"/>
      <w:marBottom w:val="0"/>
      <w:divBdr>
        <w:top w:val="none" w:sz="0" w:space="0" w:color="auto"/>
        <w:left w:val="none" w:sz="0" w:space="0" w:color="auto"/>
        <w:bottom w:val="none" w:sz="0" w:space="0" w:color="auto"/>
        <w:right w:val="none" w:sz="0" w:space="0" w:color="auto"/>
      </w:divBdr>
    </w:div>
    <w:div w:id="1239248208">
      <w:bodyDiv w:val="1"/>
      <w:marLeft w:val="0"/>
      <w:marRight w:val="0"/>
      <w:marTop w:val="0"/>
      <w:marBottom w:val="0"/>
      <w:divBdr>
        <w:top w:val="none" w:sz="0" w:space="0" w:color="auto"/>
        <w:left w:val="none" w:sz="0" w:space="0" w:color="auto"/>
        <w:bottom w:val="none" w:sz="0" w:space="0" w:color="auto"/>
        <w:right w:val="none" w:sz="0" w:space="0" w:color="auto"/>
      </w:divBdr>
    </w:div>
    <w:div w:id="1249070899">
      <w:bodyDiv w:val="1"/>
      <w:marLeft w:val="0"/>
      <w:marRight w:val="0"/>
      <w:marTop w:val="0"/>
      <w:marBottom w:val="0"/>
      <w:divBdr>
        <w:top w:val="none" w:sz="0" w:space="0" w:color="auto"/>
        <w:left w:val="none" w:sz="0" w:space="0" w:color="auto"/>
        <w:bottom w:val="none" w:sz="0" w:space="0" w:color="auto"/>
        <w:right w:val="none" w:sz="0" w:space="0" w:color="auto"/>
      </w:divBdr>
    </w:div>
    <w:div w:id="1250190865">
      <w:bodyDiv w:val="1"/>
      <w:marLeft w:val="0"/>
      <w:marRight w:val="0"/>
      <w:marTop w:val="0"/>
      <w:marBottom w:val="0"/>
      <w:divBdr>
        <w:top w:val="none" w:sz="0" w:space="0" w:color="auto"/>
        <w:left w:val="none" w:sz="0" w:space="0" w:color="auto"/>
        <w:bottom w:val="none" w:sz="0" w:space="0" w:color="auto"/>
        <w:right w:val="none" w:sz="0" w:space="0" w:color="auto"/>
      </w:divBdr>
    </w:div>
    <w:div w:id="1250655497">
      <w:bodyDiv w:val="1"/>
      <w:marLeft w:val="0"/>
      <w:marRight w:val="0"/>
      <w:marTop w:val="0"/>
      <w:marBottom w:val="0"/>
      <w:divBdr>
        <w:top w:val="none" w:sz="0" w:space="0" w:color="auto"/>
        <w:left w:val="none" w:sz="0" w:space="0" w:color="auto"/>
        <w:bottom w:val="none" w:sz="0" w:space="0" w:color="auto"/>
        <w:right w:val="none" w:sz="0" w:space="0" w:color="auto"/>
      </w:divBdr>
    </w:div>
    <w:div w:id="1251507193">
      <w:bodyDiv w:val="1"/>
      <w:marLeft w:val="0"/>
      <w:marRight w:val="0"/>
      <w:marTop w:val="0"/>
      <w:marBottom w:val="0"/>
      <w:divBdr>
        <w:top w:val="none" w:sz="0" w:space="0" w:color="auto"/>
        <w:left w:val="none" w:sz="0" w:space="0" w:color="auto"/>
        <w:bottom w:val="none" w:sz="0" w:space="0" w:color="auto"/>
        <w:right w:val="none" w:sz="0" w:space="0" w:color="auto"/>
      </w:divBdr>
    </w:div>
    <w:div w:id="1251893196">
      <w:bodyDiv w:val="1"/>
      <w:marLeft w:val="0"/>
      <w:marRight w:val="0"/>
      <w:marTop w:val="0"/>
      <w:marBottom w:val="0"/>
      <w:divBdr>
        <w:top w:val="none" w:sz="0" w:space="0" w:color="auto"/>
        <w:left w:val="none" w:sz="0" w:space="0" w:color="auto"/>
        <w:bottom w:val="none" w:sz="0" w:space="0" w:color="auto"/>
        <w:right w:val="none" w:sz="0" w:space="0" w:color="auto"/>
      </w:divBdr>
    </w:div>
    <w:div w:id="1254316881">
      <w:bodyDiv w:val="1"/>
      <w:marLeft w:val="0"/>
      <w:marRight w:val="0"/>
      <w:marTop w:val="0"/>
      <w:marBottom w:val="0"/>
      <w:divBdr>
        <w:top w:val="none" w:sz="0" w:space="0" w:color="auto"/>
        <w:left w:val="none" w:sz="0" w:space="0" w:color="auto"/>
        <w:bottom w:val="none" w:sz="0" w:space="0" w:color="auto"/>
        <w:right w:val="none" w:sz="0" w:space="0" w:color="auto"/>
      </w:divBdr>
    </w:div>
    <w:div w:id="1257052869">
      <w:bodyDiv w:val="1"/>
      <w:marLeft w:val="0"/>
      <w:marRight w:val="0"/>
      <w:marTop w:val="0"/>
      <w:marBottom w:val="0"/>
      <w:divBdr>
        <w:top w:val="none" w:sz="0" w:space="0" w:color="auto"/>
        <w:left w:val="none" w:sz="0" w:space="0" w:color="auto"/>
        <w:bottom w:val="none" w:sz="0" w:space="0" w:color="auto"/>
        <w:right w:val="none" w:sz="0" w:space="0" w:color="auto"/>
      </w:divBdr>
    </w:div>
    <w:div w:id="1258828422">
      <w:bodyDiv w:val="1"/>
      <w:marLeft w:val="0"/>
      <w:marRight w:val="0"/>
      <w:marTop w:val="0"/>
      <w:marBottom w:val="0"/>
      <w:divBdr>
        <w:top w:val="none" w:sz="0" w:space="0" w:color="auto"/>
        <w:left w:val="none" w:sz="0" w:space="0" w:color="auto"/>
        <w:bottom w:val="none" w:sz="0" w:space="0" w:color="auto"/>
        <w:right w:val="none" w:sz="0" w:space="0" w:color="auto"/>
      </w:divBdr>
    </w:div>
    <w:div w:id="1267228096">
      <w:bodyDiv w:val="1"/>
      <w:marLeft w:val="0"/>
      <w:marRight w:val="0"/>
      <w:marTop w:val="0"/>
      <w:marBottom w:val="0"/>
      <w:divBdr>
        <w:top w:val="none" w:sz="0" w:space="0" w:color="auto"/>
        <w:left w:val="none" w:sz="0" w:space="0" w:color="auto"/>
        <w:bottom w:val="none" w:sz="0" w:space="0" w:color="auto"/>
        <w:right w:val="none" w:sz="0" w:space="0" w:color="auto"/>
      </w:divBdr>
    </w:div>
    <w:div w:id="1268390243">
      <w:bodyDiv w:val="1"/>
      <w:marLeft w:val="0"/>
      <w:marRight w:val="0"/>
      <w:marTop w:val="0"/>
      <w:marBottom w:val="0"/>
      <w:divBdr>
        <w:top w:val="none" w:sz="0" w:space="0" w:color="auto"/>
        <w:left w:val="none" w:sz="0" w:space="0" w:color="auto"/>
        <w:bottom w:val="none" w:sz="0" w:space="0" w:color="auto"/>
        <w:right w:val="none" w:sz="0" w:space="0" w:color="auto"/>
      </w:divBdr>
    </w:div>
    <w:div w:id="1272786242">
      <w:bodyDiv w:val="1"/>
      <w:marLeft w:val="0"/>
      <w:marRight w:val="0"/>
      <w:marTop w:val="0"/>
      <w:marBottom w:val="0"/>
      <w:divBdr>
        <w:top w:val="none" w:sz="0" w:space="0" w:color="auto"/>
        <w:left w:val="none" w:sz="0" w:space="0" w:color="auto"/>
        <w:bottom w:val="none" w:sz="0" w:space="0" w:color="auto"/>
        <w:right w:val="none" w:sz="0" w:space="0" w:color="auto"/>
      </w:divBdr>
    </w:div>
    <w:div w:id="1275019619">
      <w:bodyDiv w:val="1"/>
      <w:marLeft w:val="0"/>
      <w:marRight w:val="0"/>
      <w:marTop w:val="0"/>
      <w:marBottom w:val="0"/>
      <w:divBdr>
        <w:top w:val="none" w:sz="0" w:space="0" w:color="auto"/>
        <w:left w:val="none" w:sz="0" w:space="0" w:color="auto"/>
        <w:bottom w:val="none" w:sz="0" w:space="0" w:color="auto"/>
        <w:right w:val="none" w:sz="0" w:space="0" w:color="auto"/>
      </w:divBdr>
    </w:div>
    <w:div w:id="1275140041">
      <w:bodyDiv w:val="1"/>
      <w:marLeft w:val="0"/>
      <w:marRight w:val="0"/>
      <w:marTop w:val="0"/>
      <w:marBottom w:val="0"/>
      <w:divBdr>
        <w:top w:val="none" w:sz="0" w:space="0" w:color="auto"/>
        <w:left w:val="none" w:sz="0" w:space="0" w:color="auto"/>
        <w:bottom w:val="none" w:sz="0" w:space="0" w:color="auto"/>
        <w:right w:val="none" w:sz="0" w:space="0" w:color="auto"/>
      </w:divBdr>
    </w:div>
    <w:div w:id="1275820953">
      <w:bodyDiv w:val="1"/>
      <w:marLeft w:val="0"/>
      <w:marRight w:val="0"/>
      <w:marTop w:val="0"/>
      <w:marBottom w:val="0"/>
      <w:divBdr>
        <w:top w:val="none" w:sz="0" w:space="0" w:color="auto"/>
        <w:left w:val="none" w:sz="0" w:space="0" w:color="auto"/>
        <w:bottom w:val="none" w:sz="0" w:space="0" w:color="auto"/>
        <w:right w:val="none" w:sz="0" w:space="0" w:color="auto"/>
      </w:divBdr>
    </w:div>
    <w:div w:id="1277104041">
      <w:bodyDiv w:val="1"/>
      <w:marLeft w:val="0"/>
      <w:marRight w:val="0"/>
      <w:marTop w:val="0"/>
      <w:marBottom w:val="0"/>
      <w:divBdr>
        <w:top w:val="none" w:sz="0" w:space="0" w:color="auto"/>
        <w:left w:val="none" w:sz="0" w:space="0" w:color="auto"/>
        <w:bottom w:val="none" w:sz="0" w:space="0" w:color="auto"/>
        <w:right w:val="none" w:sz="0" w:space="0" w:color="auto"/>
      </w:divBdr>
    </w:div>
    <w:div w:id="1278633573">
      <w:bodyDiv w:val="1"/>
      <w:marLeft w:val="0"/>
      <w:marRight w:val="0"/>
      <w:marTop w:val="0"/>
      <w:marBottom w:val="0"/>
      <w:divBdr>
        <w:top w:val="none" w:sz="0" w:space="0" w:color="auto"/>
        <w:left w:val="none" w:sz="0" w:space="0" w:color="auto"/>
        <w:bottom w:val="none" w:sz="0" w:space="0" w:color="auto"/>
        <w:right w:val="none" w:sz="0" w:space="0" w:color="auto"/>
      </w:divBdr>
    </w:div>
    <w:div w:id="1280379412">
      <w:bodyDiv w:val="1"/>
      <w:marLeft w:val="0"/>
      <w:marRight w:val="0"/>
      <w:marTop w:val="0"/>
      <w:marBottom w:val="0"/>
      <w:divBdr>
        <w:top w:val="none" w:sz="0" w:space="0" w:color="auto"/>
        <w:left w:val="none" w:sz="0" w:space="0" w:color="auto"/>
        <w:bottom w:val="none" w:sz="0" w:space="0" w:color="auto"/>
        <w:right w:val="none" w:sz="0" w:space="0" w:color="auto"/>
      </w:divBdr>
    </w:div>
    <w:div w:id="1281033682">
      <w:bodyDiv w:val="1"/>
      <w:marLeft w:val="0"/>
      <w:marRight w:val="0"/>
      <w:marTop w:val="0"/>
      <w:marBottom w:val="0"/>
      <w:divBdr>
        <w:top w:val="none" w:sz="0" w:space="0" w:color="auto"/>
        <w:left w:val="none" w:sz="0" w:space="0" w:color="auto"/>
        <w:bottom w:val="none" w:sz="0" w:space="0" w:color="auto"/>
        <w:right w:val="none" w:sz="0" w:space="0" w:color="auto"/>
      </w:divBdr>
    </w:div>
    <w:div w:id="1282147224">
      <w:bodyDiv w:val="1"/>
      <w:marLeft w:val="0"/>
      <w:marRight w:val="0"/>
      <w:marTop w:val="0"/>
      <w:marBottom w:val="0"/>
      <w:divBdr>
        <w:top w:val="none" w:sz="0" w:space="0" w:color="auto"/>
        <w:left w:val="none" w:sz="0" w:space="0" w:color="auto"/>
        <w:bottom w:val="none" w:sz="0" w:space="0" w:color="auto"/>
        <w:right w:val="none" w:sz="0" w:space="0" w:color="auto"/>
      </w:divBdr>
    </w:div>
    <w:div w:id="1282225452">
      <w:bodyDiv w:val="1"/>
      <w:marLeft w:val="0"/>
      <w:marRight w:val="0"/>
      <w:marTop w:val="0"/>
      <w:marBottom w:val="0"/>
      <w:divBdr>
        <w:top w:val="none" w:sz="0" w:space="0" w:color="auto"/>
        <w:left w:val="none" w:sz="0" w:space="0" w:color="auto"/>
        <w:bottom w:val="none" w:sz="0" w:space="0" w:color="auto"/>
        <w:right w:val="none" w:sz="0" w:space="0" w:color="auto"/>
      </w:divBdr>
    </w:div>
    <w:div w:id="1286428282">
      <w:bodyDiv w:val="1"/>
      <w:marLeft w:val="0"/>
      <w:marRight w:val="0"/>
      <w:marTop w:val="0"/>
      <w:marBottom w:val="0"/>
      <w:divBdr>
        <w:top w:val="none" w:sz="0" w:space="0" w:color="auto"/>
        <w:left w:val="none" w:sz="0" w:space="0" w:color="auto"/>
        <w:bottom w:val="none" w:sz="0" w:space="0" w:color="auto"/>
        <w:right w:val="none" w:sz="0" w:space="0" w:color="auto"/>
      </w:divBdr>
    </w:div>
    <w:div w:id="1288779665">
      <w:bodyDiv w:val="1"/>
      <w:marLeft w:val="0"/>
      <w:marRight w:val="0"/>
      <w:marTop w:val="0"/>
      <w:marBottom w:val="0"/>
      <w:divBdr>
        <w:top w:val="none" w:sz="0" w:space="0" w:color="auto"/>
        <w:left w:val="none" w:sz="0" w:space="0" w:color="auto"/>
        <w:bottom w:val="none" w:sz="0" w:space="0" w:color="auto"/>
        <w:right w:val="none" w:sz="0" w:space="0" w:color="auto"/>
      </w:divBdr>
    </w:div>
    <w:div w:id="1292444535">
      <w:bodyDiv w:val="1"/>
      <w:marLeft w:val="0"/>
      <w:marRight w:val="0"/>
      <w:marTop w:val="0"/>
      <w:marBottom w:val="0"/>
      <w:divBdr>
        <w:top w:val="none" w:sz="0" w:space="0" w:color="auto"/>
        <w:left w:val="none" w:sz="0" w:space="0" w:color="auto"/>
        <w:bottom w:val="none" w:sz="0" w:space="0" w:color="auto"/>
        <w:right w:val="none" w:sz="0" w:space="0" w:color="auto"/>
      </w:divBdr>
    </w:div>
    <w:div w:id="1297030160">
      <w:bodyDiv w:val="1"/>
      <w:marLeft w:val="0"/>
      <w:marRight w:val="0"/>
      <w:marTop w:val="0"/>
      <w:marBottom w:val="0"/>
      <w:divBdr>
        <w:top w:val="none" w:sz="0" w:space="0" w:color="auto"/>
        <w:left w:val="none" w:sz="0" w:space="0" w:color="auto"/>
        <w:bottom w:val="none" w:sz="0" w:space="0" w:color="auto"/>
        <w:right w:val="none" w:sz="0" w:space="0" w:color="auto"/>
      </w:divBdr>
    </w:div>
    <w:div w:id="1299334810">
      <w:bodyDiv w:val="1"/>
      <w:marLeft w:val="0"/>
      <w:marRight w:val="0"/>
      <w:marTop w:val="0"/>
      <w:marBottom w:val="0"/>
      <w:divBdr>
        <w:top w:val="none" w:sz="0" w:space="0" w:color="auto"/>
        <w:left w:val="none" w:sz="0" w:space="0" w:color="auto"/>
        <w:bottom w:val="none" w:sz="0" w:space="0" w:color="auto"/>
        <w:right w:val="none" w:sz="0" w:space="0" w:color="auto"/>
      </w:divBdr>
    </w:div>
    <w:div w:id="1313027685">
      <w:bodyDiv w:val="1"/>
      <w:marLeft w:val="0"/>
      <w:marRight w:val="0"/>
      <w:marTop w:val="0"/>
      <w:marBottom w:val="0"/>
      <w:divBdr>
        <w:top w:val="none" w:sz="0" w:space="0" w:color="auto"/>
        <w:left w:val="none" w:sz="0" w:space="0" w:color="auto"/>
        <w:bottom w:val="none" w:sz="0" w:space="0" w:color="auto"/>
        <w:right w:val="none" w:sz="0" w:space="0" w:color="auto"/>
      </w:divBdr>
    </w:div>
    <w:div w:id="1314143139">
      <w:bodyDiv w:val="1"/>
      <w:marLeft w:val="0"/>
      <w:marRight w:val="0"/>
      <w:marTop w:val="0"/>
      <w:marBottom w:val="0"/>
      <w:divBdr>
        <w:top w:val="none" w:sz="0" w:space="0" w:color="auto"/>
        <w:left w:val="none" w:sz="0" w:space="0" w:color="auto"/>
        <w:bottom w:val="none" w:sz="0" w:space="0" w:color="auto"/>
        <w:right w:val="none" w:sz="0" w:space="0" w:color="auto"/>
      </w:divBdr>
    </w:div>
    <w:div w:id="1315646836">
      <w:bodyDiv w:val="1"/>
      <w:marLeft w:val="0"/>
      <w:marRight w:val="0"/>
      <w:marTop w:val="0"/>
      <w:marBottom w:val="0"/>
      <w:divBdr>
        <w:top w:val="none" w:sz="0" w:space="0" w:color="auto"/>
        <w:left w:val="none" w:sz="0" w:space="0" w:color="auto"/>
        <w:bottom w:val="none" w:sz="0" w:space="0" w:color="auto"/>
        <w:right w:val="none" w:sz="0" w:space="0" w:color="auto"/>
      </w:divBdr>
    </w:div>
    <w:div w:id="1316496225">
      <w:bodyDiv w:val="1"/>
      <w:marLeft w:val="0"/>
      <w:marRight w:val="0"/>
      <w:marTop w:val="0"/>
      <w:marBottom w:val="0"/>
      <w:divBdr>
        <w:top w:val="none" w:sz="0" w:space="0" w:color="auto"/>
        <w:left w:val="none" w:sz="0" w:space="0" w:color="auto"/>
        <w:bottom w:val="none" w:sz="0" w:space="0" w:color="auto"/>
        <w:right w:val="none" w:sz="0" w:space="0" w:color="auto"/>
      </w:divBdr>
    </w:div>
    <w:div w:id="1318343141">
      <w:bodyDiv w:val="1"/>
      <w:marLeft w:val="0"/>
      <w:marRight w:val="0"/>
      <w:marTop w:val="0"/>
      <w:marBottom w:val="0"/>
      <w:divBdr>
        <w:top w:val="none" w:sz="0" w:space="0" w:color="auto"/>
        <w:left w:val="none" w:sz="0" w:space="0" w:color="auto"/>
        <w:bottom w:val="none" w:sz="0" w:space="0" w:color="auto"/>
        <w:right w:val="none" w:sz="0" w:space="0" w:color="auto"/>
      </w:divBdr>
    </w:div>
    <w:div w:id="1320113654">
      <w:bodyDiv w:val="1"/>
      <w:marLeft w:val="0"/>
      <w:marRight w:val="0"/>
      <w:marTop w:val="0"/>
      <w:marBottom w:val="0"/>
      <w:divBdr>
        <w:top w:val="none" w:sz="0" w:space="0" w:color="auto"/>
        <w:left w:val="none" w:sz="0" w:space="0" w:color="auto"/>
        <w:bottom w:val="none" w:sz="0" w:space="0" w:color="auto"/>
        <w:right w:val="none" w:sz="0" w:space="0" w:color="auto"/>
      </w:divBdr>
    </w:div>
    <w:div w:id="1320424061">
      <w:bodyDiv w:val="1"/>
      <w:marLeft w:val="0"/>
      <w:marRight w:val="0"/>
      <w:marTop w:val="0"/>
      <w:marBottom w:val="0"/>
      <w:divBdr>
        <w:top w:val="none" w:sz="0" w:space="0" w:color="auto"/>
        <w:left w:val="none" w:sz="0" w:space="0" w:color="auto"/>
        <w:bottom w:val="none" w:sz="0" w:space="0" w:color="auto"/>
        <w:right w:val="none" w:sz="0" w:space="0" w:color="auto"/>
      </w:divBdr>
    </w:div>
    <w:div w:id="1324116638">
      <w:bodyDiv w:val="1"/>
      <w:marLeft w:val="0"/>
      <w:marRight w:val="0"/>
      <w:marTop w:val="0"/>
      <w:marBottom w:val="0"/>
      <w:divBdr>
        <w:top w:val="none" w:sz="0" w:space="0" w:color="auto"/>
        <w:left w:val="none" w:sz="0" w:space="0" w:color="auto"/>
        <w:bottom w:val="none" w:sz="0" w:space="0" w:color="auto"/>
        <w:right w:val="none" w:sz="0" w:space="0" w:color="auto"/>
      </w:divBdr>
    </w:div>
    <w:div w:id="1332875200">
      <w:bodyDiv w:val="1"/>
      <w:marLeft w:val="0"/>
      <w:marRight w:val="0"/>
      <w:marTop w:val="0"/>
      <w:marBottom w:val="0"/>
      <w:divBdr>
        <w:top w:val="none" w:sz="0" w:space="0" w:color="auto"/>
        <w:left w:val="none" w:sz="0" w:space="0" w:color="auto"/>
        <w:bottom w:val="none" w:sz="0" w:space="0" w:color="auto"/>
        <w:right w:val="none" w:sz="0" w:space="0" w:color="auto"/>
      </w:divBdr>
    </w:div>
    <w:div w:id="1335037669">
      <w:bodyDiv w:val="1"/>
      <w:marLeft w:val="0"/>
      <w:marRight w:val="0"/>
      <w:marTop w:val="0"/>
      <w:marBottom w:val="0"/>
      <w:divBdr>
        <w:top w:val="none" w:sz="0" w:space="0" w:color="auto"/>
        <w:left w:val="none" w:sz="0" w:space="0" w:color="auto"/>
        <w:bottom w:val="none" w:sz="0" w:space="0" w:color="auto"/>
        <w:right w:val="none" w:sz="0" w:space="0" w:color="auto"/>
      </w:divBdr>
    </w:div>
    <w:div w:id="1335185138">
      <w:bodyDiv w:val="1"/>
      <w:marLeft w:val="0"/>
      <w:marRight w:val="0"/>
      <w:marTop w:val="0"/>
      <w:marBottom w:val="0"/>
      <w:divBdr>
        <w:top w:val="none" w:sz="0" w:space="0" w:color="auto"/>
        <w:left w:val="none" w:sz="0" w:space="0" w:color="auto"/>
        <w:bottom w:val="none" w:sz="0" w:space="0" w:color="auto"/>
        <w:right w:val="none" w:sz="0" w:space="0" w:color="auto"/>
      </w:divBdr>
    </w:div>
    <w:div w:id="1335450816">
      <w:bodyDiv w:val="1"/>
      <w:marLeft w:val="0"/>
      <w:marRight w:val="0"/>
      <w:marTop w:val="0"/>
      <w:marBottom w:val="0"/>
      <w:divBdr>
        <w:top w:val="none" w:sz="0" w:space="0" w:color="auto"/>
        <w:left w:val="none" w:sz="0" w:space="0" w:color="auto"/>
        <w:bottom w:val="none" w:sz="0" w:space="0" w:color="auto"/>
        <w:right w:val="none" w:sz="0" w:space="0" w:color="auto"/>
      </w:divBdr>
    </w:div>
    <w:div w:id="1339112510">
      <w:bodyDiv w:val="1"/>
      <w:marLeft w:val="0"/>
      <w:marRight w:val="0"/>
      <w:marTop w:val="0"/>
      <w:marBottom w:val="0"/>
      <w:divBdr>
        <w:top w:val="none" w:sz="0" w:space="0" w:color="auto"/>
        <w:left w:val="none" w:sz="0" w:space="0" w:color="auto"/>
        <w:bottom w:val="none" w:sz="0" w:space="0" w:color="auto"/>
        <w:right w:val="none" w:sz="0" w:space="0" w:color="auto"/>
      </w:divBdr>
    </w:div>
    <w:div w:id="1342857945">
      <w:bodyDiv w:val="1"/>
      <w:marLeft w:val="0"/>
      <w:marRight w:val="0"/>
      <w:marTop w:val="0"/>
      <w:marBottom w:val="0"/>
      <w:divBdr>
        <w:top w:val="none" w:sz="0" w:space="0" w:color="auto"/>
        <w:left w:val="none" w:sz="0" w:space="0" w:color="auto"/>
        <w:bottom w:val="none" w:sz="0" w:space="0" w:color="auto"/>
        <w:right w:val="none" w:sz="0" w:space="0" w:color="auto"/>
      </w:divBdr>
    </w:div>
    <w:div w:id="1345013695">
      <w:bodyDiv w:val="1"/>
      <w:marLeft w:val="0"/>
      <w:marRight w:val="0"/>
      <w:marTop w:val="0"/>
      <w:marBottom w:val="0"/>
      <w:divBdr>
        <w:top w:val="none" w:sz="0" w:space="0" w:color="auto"/>
        <w:left w:val="none" w:sz="0" w:space="0" w:color="auto"/>
        <w:bottom w:val="none" w:sz="0" w:space="0" w:color="auto"/>
        <w:right w:val="none" w:sz="0" w:space="0" w:color="auto"/>
      </w:divBdr>
    </w:div>
    <w:div w:id="1354112588">
      <w:bodyDiv w:val="1"/>
      <w:marLeft w:val="0"/>
      <w:marRight w:val="0"/>
      <w:marTop w:val="0"/>
      <w:marBottom w:val="0"/>
      <w:divBdr>
        <w:top w:val="none" w:sz="0" w:space="0" w:color="auto"/>
        <w:left w:val="none" w:sz="0" w:space="0" w:color="auto"/>
        <w:bottom w:val="none" w:sz="0" w:space="0" w:color="auto"/>
        <w:right w:val="none" w:sz="0" w:space="0" w:color="auto"/>
      </w:divBdr>
    </w:div>
    <w:div w:id="1357850714">
      <w:bodyDiv w:val="1"/>
      <w:marLeft w:val="0"/>
      <w:marRight w:val="0"/>
      <w:marTop w:val="0"/>
      <w:marBottom w:val="0"/>
      <w:divBdr>
        <w:top w:val="none" w:sz="0" w:space="0" w:color="auto"/>
        <w:left w:val="none" w:sz="0" w:space="0" w:color="auto"/>
        <w:bottom w:val="none" w:sz="0" w:space="0" w:color="auto"/>
        <w:right w:val="none" w:sz="0" w:space="0" w:color="auto"/>
      </w:divBdr>
    </w:div>
    <w:div w:id="1358854235">
      <w:bodyDiv w:val="1"/>
      <w:marLeft w:val="0"/>
      <w:marRight w:val="0"/>
      <w:marTop w:val="0"/>
      <w:marBottom w:val="0"/>
      <w:divBdr>
        <w:top w:val="none" w:sz="0" w:space="0" w:color="auto"/>
        <w:left w:val="none" w:sz="0" w:space="0" w:color="auto"/>
        <w:bottom w:val="none" w:sz="0" w:space="0" w:color="auto"/>
        <w:right w:val="none" w:sz="0" w:space="0" w:color="auto"/>
      </w:divBdr>
    </w:div>
    <w:div w:id="1364360724">
      <w:bodyDiv w:val="1"/>
      <w:marLeft w:val="0"/>
      <w:marRight w:val="0"/>
      <w:marTop w:val="0"/>
      <w:marBottom w:val="0"/>
      <w:divBdr>
        <w:top w:val="none" w:sz="0" w:space="0" w:color="auto"/>
        <w:left w:val="none" w:sz="0" w:space="0" w:color="auto"/>
        <w:bottom w:val="none" w:sz="0" w:space="0" w:color="auto"/>
        <w:right w:val="none" w:sz="0" w:space="0" w:color="auto"/>
      </w:divBdr>
    </w:div>
    <w:div w:id="1365904294">
      <w:bodyDiv w:val="1"/>
      <w:marLeft w:val="0"/>
      <w:marRight w:val="0"/>
      <w:marTop w:val="0"/>
      <w:marBottom w:val="0"/>
      <w:divBdr>
        <w:top w:val="none" w:sz="0" w:space="0" w:color="auto"/>
        <w:left w:val="none" w:sz="0" w:space="0" w:color="auto"/>
        <w:bottom w:val="none" w:sz="0" w:space="0" w:color="auto"/>
        <w:right w:val="none" w:sz="0" w:space="0" w:color="auto"/>
      </w:divBdr>
    </w:div>
    <w:div w:id="1369838149">
      <w:bodyDiv w:val="1"/>
      <w:marLeft w:val="0"/>
      <w:marRight w:val="0"/>
      <w:marTop w:val="0"/>
      <w:marBottom w:val="0"/>
      <w:divBdr>
        <w:top w:val="none" w:sz="0" w:space="0" w:color="auto"/>
        <w:left w:val="none" w:sz="0" w:space="0" w:color="auto"/>
        <w:bottom w:val="none" w:sz="0" w:space="0" w:color="auto"/>
        <w:right w:val="none" w:sz="0" w:space="0" w:color="auto"/>
      </w:divBdr>
    </w:div>
    <w:div w:id="1369990176">
      <w:bodyDiv w:val="1"/>
      <w:marLeft w:val="0"/>
      <w:marRight w:val="0"/>
      <w:marTop w:val="0"/>
      <w:marBottom w:val="0"/>
      <w:divBdr>
        <w:top w:val="none" w:sz="0" w:space="0" w:color="auto"/>
        <w:left w:val="none" w:sz="0" w:space="0" w:color="auto"/>
        <w:bottom w:val="none" w:sz="0" w:space="0" w:color="auto"/>
        <w:right w:val="none" w:sz="0" w:space="0" w:color="auto"/>
      </w:divBdr>
    </w:div>
    <w:div w:id="1375882514">
      <w:bodyDiv w:val="1"/>
      <w:marLeft w:val="0"/>
      <w:marRight w:val="0"/>
      <w:marTop w:val="0"/>
      <w:marBottom w:val="0"/>
      <w:divBdr>
        <w:top w:val="none" w:sz="0" w:space="0" w:color="auto"/>
        <w:left w:val="none" w:sz="0" w:space="0" w:color="auto"/>
        <w:bottom w:val="none" w:sz="0" w:space="0" w:color="auto"/>
        <w:right w:val="none" w:sz="0" w:space="0" w:color="auto"/>
      </w:divBdr>
    </w:div>
    <w:div w:id="1376156827">
      <w:bodyDiv w:val="1"/>
      <w:marLeft w:val="0"/>
      <w:marRight w:val="0"/>
      <w:marTop w:val="0"/>
      <w:marBottom w:val="0"/>
      <w:divBdr>
        <w:top w:val="none" w:sz="0" w:space="0" w:color="auto"/>
        <w:left w:val="none" w:sz="0" w:space="0" w:color="auto"/>
        <w:bottom w:val="none" w:sz="0" w:space="0" w:color="auto"/>
        <w:right w:val="none" w:sz="0" w:space="0" w:color="auto"/>
      </w:divBdr>
    </w:div>
    <w:div w:id="1379207360">
      <w:bodyDiv w:val="1"/>
      <w:marLeft w:val="0"/>
      <w:marRight w:val="0"/>
      <w:marTop w:val="0"/>
      <w:marBottom w:val="0"/>
      <w:divBdr>
        <w:top w:val="none" w:sz="0" w:space="0" w:color="auto"/>
        <w:left w:val="none" w:sz="0" w:space="0" w:color="auto"/>
        <w:bottom w:val="none" w:sz="0" w:space="0" w:color="auto"/>
        <w:right w:val="none" w:sz="0" w:space="0" w:color="auto"/>
      </w:divBdr>
    </w:div>
    <w:div w:id="1384480137">
      <w:bodyDiv w:val="1"/>
      <w:marLeft w:val="0"/>
      <w:marRight w:val="0"/>
      <w:marTop w:val="0"/>
      <w:marBottom w:val="0"/>
      <w:divBdr>
        <w:top w:val="none" w:sz="0" w:space="0" w:color="auto"/>
        <w:left w:val="none" w:sz="0" w:space="0" w:color="auto"/>
        <w:bottom w:val="none" w:sz="0" w:space="0" w:color="auto"/>
        <w:right w:val="none" w:sz="0" w:space="0" w:color="auto"/>
      </w:divBdr>
    </w:div>
    <w:div w:id="1386486489">
      <w:bodyDiv w:val="1"/>
      <w:marLeft w:val="0"/>
      <w:marRight w:val="0"/>
      <w:marTop w:val="0"/>
      <w:marBottom w:val="0"/>
      <w:divBdr>
        <w:top w:val="none" w:sz="0" w:space="0" w:color="auto"/>
        <w:left w:val="none" w:sz="0" w:space="0" w:color="auto"/>
        <w:bottom w:val="none" w:sz="0" w:space="0" w:color="auto"/>
        <w:right w:val="none" w:sz="0" w:space="0" w:color="auto"/>
      </w:divBdr>
    </w:div>
    <w:div w:id="1387680990">
      <w:bodyDiv w:val="1"/>
      <w:marLeft w:val="0"/>
      <w:marRight w:val="0"/>
      <w:marTop w:val="0"/>
      <w:marBottom w:val="0"/>
      <w:divBdr>
        <w:top w:val="none" w:sz="0" w:space="0" w:color="auto"/>
        <w:left w:val="none" w:sz="0" w:space="0" w:color="auto"/>
        <w:bottom w:val="none" w:sz="0" w:space="0" w:color="auto"/>
        <w:right w:val="none" w:sz="0" w:space="0" w:color="auto"/>
      </w:divBdr>
    </w:div>
    <w:div w:id="1389187796">
      <w:bodyDiv w:val="1"/>
      <w:marLeft w:val="0"/>
      <w:marRight w:val="0"/>
      <w:marTop w:val="0"/>
      <w:marBottom w:val="0"/>
      <w:divBdr>
        <w:top w:val="none" w:sz="0" w:space="0" w:color="auto"/>
        <w:left w:val="none" w:sz="0" w:space="0" w:color="auto"/>
        <w:bottom w:val="none" w:sz="0" w:space="0" w:color="auto"/>
        <w:right w:val="none" w:sz="0" w:space="0" w:color="auto"/>
      </w:divBdr>
    </w:div>
    <w:div w:id="1391149479">
      <w:bodyDiv w:val="1"/>
      <w:marLeft w:val="0"/>
      <w:marRight w:val="0"/>
      <w:marTop w:val="0"/>
      <w:marBottom w:val="0"/>
      <w:divBdr>
        <w:top w:val="none" w:sz="0" w:space="0" w:color="auto"/>
        <w:left w:val="none" w:sz="0" w:space="0" w:color="auto"/>
        <w:bottom w:val="none" w:sz="0" w:space="0" w:color="auto"/>
        <w:right w:val="none" w:sz="0" w:space="0" w:color="auto"/>
      </w:divBdr>
    </w:div>
    <w:div w:id="1395156726">
      <w:bodyDiv w:val="1"/>
      <w:marLeft w:val="0"/>
      <w:marRight w:val="0"/>
      <w:marTop w:val="0"/>
      <w:marBottom w:val="0"/>
      <w:divBdr>
        <w:top w:val="none" w:sz="0" w:space="0" w:color="auto"/>
        <w:left w:val="none" w:sz="0" w:space="0" w:color="auto"/>
        <w:bottom w:val="none" w:sz="0" w:space="0" w:color="auto"/>
        <w:right w:val="none" w:sz="0" w:space="0" w:color="auto"/>
      </w:divBdr>
    </w:div>
    <w:div w:id="1400009263">
      <w:bodyDiv w:val="1"/>
      <w:marLeft w:val="0"/>
      <w:marRight w:val="0"/>
      <w:marTop w:val="0"/>
      <w:marBottom w:val="0"/>
      <w:divBdr>
        <w:top w:val="none" w:sz="0" w:space="0" w:color="auto"/>
        <w:left w:val="none" w:sz="0" w:space="0" w:color="auto"/>
        <w:bottom w:val="none" w:sz="0" w:space="0" w:color="auto"/>
        <w:right w:val="none" w:sz="0" w:space="0" w:color="auto"/>
      </w:divBdr>
    </w:div>
    <w:div w:id="1400832925">
      <w:bodyDiv w:val="1"/>
      <w:marLeft w:val="0"/>
      <w:marRight w:val="0"/>
      <w:marTop w:val="0"/>
      <w:marBottom w:val="0"/>
      <w:divBdr>
        <w:top w:val="none" w:sz="0" w:space="0" w:color="auto"/>
        <w:left w:val="none" w:sz="0" w:space="0" w:color="auto"/>
        <w:bottom w:val="none" w:sz="0" w:space="0" w:color="auto"/>
        <w:right w:val="none" w:sz="0" w:space="0" w:color="auto"/>
      </w:divBdr>
    </w:div>
    <w:div w:id="1404529979">
      <w:bodyDiv w:val="1"/>
      <w:marLeft w:val="0"/>
      <w:marRight w:val="0"/>
      <w:marTop w:val="0"/>
      <w:marBottom w:val="0"/>
      <w:divBdr>
        <w:top w:val="none" w:sz="0" w:space="0" w:color="auto"/>
        <w:left w:val="none" w:sz="0" w:space="0" w:color="auto"/>
        <w:bottom w:val="none" w:sz="0" w:space="0" w:color="auto"/>
        <w:right w:val="none" w:sz="0" w:space="0" w:color="auto"/>
      </w:divBdr>
    </w:div>
    <w:div w:id="1408724631">
      <w:bodyDiv w:val="1"/>
      <w:marLeft w:val="0"/>
      <w:marRight w:val="0"/>
      <w:marTop w:val="0"/>
      <w:marBottom w:val="0"/>
      <w:divBdr>
        <w:top w:val="none" w:sz="0" w:space="0" w:color="auto"/>
        <w:left w:val="none" w:sz="0" w:space="0" w:color="auto"/>
        <w:bottom w:val="none" w:sz="0" w:space="0" w:color="auto"/>
        <w:right w:val="none" w:sz="0" w:space="0" w:color="auto"/>
      </w:divBdr>
    </w:div>
    <w:div w:id="1409771274">
      <w:bodyDiv w:val="1"/>
      <w:marLeft w:val="0"/>
      <w:marRight w:val="0"/>
      <w:marTop w:val="0"/>
      <w:marBottom w:val="0"/>
      <w:divBdr>
        <w:top w:val="none" w:sz="0" w:space="0" w:color="auto"/>
        <w:left w:val="none" w:sz="0" w:space="0" w:color="auto"/>
        <w:bottom w:val="none" w:sz="0" w:space="0" w:color="auto"/>
        <w:right w:val="none" w:sz="0" w:space="0" w:color="auto"/>
      </w:divBdr>
    </w:div>
    <w:div w:id="1412772032">
      <w:bodyDiv w:val="1"/>
      <w:marLeft w:val="0"/>
      <w:marRight w:val="0"/>
      <w:marTop w:val="0"/>
      <w:marBottom w:val="0"/>
      <w:divBdr>
        <w:top w:val="none" w:sz="0" w:space="0" w:color="auto"/>
        <w:left w:val="none" w:sz="0" w:space="0" w:color="auto"/>
        <w:bottom w:val="none" w:sz="0" w:space="0" w:color="auto"/>
        <w:right w:val="none" w:sz="0" w:space="0" w:color="auto"/>
      </w:divBdr>
    </w:div>
    <w:div w:id="1414276913">
      <w:bodyDiv w:val="1"/>
      <w:marLeft w:val="0"/>
      <w:marRight w:val="0"/>
      <w:marTop w:val="0"/>
      <w:marBottom w:val="0"/>
      <w:divBdr>
        <w:top w:val="none" w:sz="0" w:space="0" w:color="auto"/>
        <w:left w:val="none" w:sz="0" w:space="0" w:color="auto"/>
        <w:bottom w:val="none" w:sz="0" w:space="0" w:color="auto"/>
        <w:right w:val="none" w:sz="0" w:space="0" w:color="auto"/>
      </w:divBdr>
    </w:div>
    <w:div w:id="1415005483">
      <w:bodyDiv w:val="1"/>
      <w:marLeft w:val="0"/>
      <w:marRight w:val="0"/>
      <w:marTop w:val="0"/>
      <w:marBottom w:val="0"/>
      <w:divBdr>
        <w:top w:val="none" w:sz="0" w:space="0" w:color="auto"/>
        <w:left w:val="none" w:sz="0" w:space="0" w:color="auto"/>
        <w:bottom w:val="none" w:sz="0" w:space="0" w:color="auto"/>
        <w:right w:val="none" w:sz="0" w:space="0" w:color="auto"/>
      </w:divBdr>
    </w:div>
    <w:div w:id="1425151521">
      <w:bodyDiv w:val="1"/>
      <w:marLeft w:val="0"/>
      <w:marRight w:val="0"/>
      <w:marTop w:val="0"/>
      <w:marBottom w:val="0"/>
      <w:divBdr>
        <w:top w:val="none" w:sz="0" w:space="0" w:color="auto"/>
        <w:left w:val="none" w:sz="0" w:space="0" w:color="auto"/>
        <w:bottom w:val="none" w:sz="0" w:space="0" w:color="auto"/>
        <w:right w:val="none" w:sz="0" w:space="0" w:color="auto"/>
      </w:divBdr>
    </w:div>
    <w:div w:id="1440224771">
      <w:bodyDiv w:val="1"/>
      <w:marLeft w:val="0"/>
      <w:marRight w:val="0"/>
      <w:marTop w:val="0"/>
      <w:marBottom w:val="0"/>
      <w:divBdr>
        <w:top w:val="none" w:sz="0" w:space="0" w:color="auto"/>
        <w:left w:val="none" w:sz="0" w:space="0" w:color="auto"/>
        <w:bottom w:val="none" w:sz="0" w:space="0" w:color="auto"/>
        <w:right w:val="none" w:sz="0" w:space="0" w:color="auto"/>
      </w:divBdr>
    </w:div>
    <w:div w:id="1451851395">
      <w:bodyDiv w:val="1"/>
      <w:marLeft w:val="0"/>
      <w:marRight w:val="0"/>
      <w:marTop w:val="0"/>
      <w:marBottom w:val="0"/>
      <w:divBdr>
        <w:top w:val="none" w:sz="0" w:space="0" w:color="auto"/>
        <w:left w:val="none" w:sz="0" w:space="0" w:color="auto"/>
        <w:bottom w:val="none" w:sz="0" w:space="0" w:color="auto"/>
        <w:right w:val="none" w:sz="0" w:space="0" w:color="auto"/>
      </w:divBdr>
    </w:div>
    <w:div w:id="1452046098">
      <w:bodyDiv w:val="1"/>
      <w:marLeft w:val="0"/>
      <w:marRight w:val="0"/>
      <w:marTop w:val="0"/>
      <w:marBottom w:val="0"/>
      <w:divBdr>
        <w:top w:val="none" w:sz="0" w:space="0" w:color="auto"/>
        <w:left w:val="none" w:sz="0" w:space="0" w:color="auto"/>
        <w:bottom w:val="none" w:sz="0" w:space="0" w:color="auto"/>
        <w:right w:val="none" w:sz="0" w:space="0" w:color="auto"/>
      </w:divBdr>
    </w:div>
    <w:div w:id="1455709570">
      <w:bodyDiv w:val="1"/>
      <w:marLeft w:val="0"/>
      <w:marRight w:val="0"/>
      <w:marTop w:val="0"/>
      <w:marBottom w:val="0"/>
      <w:divBdr>
        <w:top w:val="none" w:sz="0" w:space="0" w:color="auto"/>
        <w:left w:val="none" w:sz="0" w:space="0" w:color="auto"/>
        <w:bottom w:val="none" w:sz="0" w:space="0" w:color="auto"/>
        <w:right w:val="none" w:sz="0" w:space="0" w:color="auto"/>
      </w:divBdr>
    </w:div>
    <w:div w:id="1458985399">
      <w:bodyDiv w:val="1"/>
      <w:marLeft w:val="0"/>
      <w:marRight w:val="0"/>
      <w:marTop w:val="0"/>
      <w:marBottom w:val="0"/>
      <w:divBdr>
        <w:top w:val="none" w:sz="0" w:space="0" w:color="auto"/>
        <w:left w:val="none" w:sz="0" w:space="0" w:color="auto"/>
        <w:bottom w:val="none" w:sz="0" w:space="0" w:color="auto"/>
        <w:right w:val="none" w:sz="0" w:space="0" w:color="auto"/>
      </w:divBdr>
    </w:div>
    <w:div w:id="1460606196">
      <w:bodyDiv w:val="1"/>
      <w:marLeft w:val="0"/>
      <w:marRight w:val="0"/>
      <w:marTop w:val="0"/>
      <w:marBottom w:val="0"/>
      <w:divBdr>
        <w:top w:val="none" w:sz="0" w:space="0" w:color="auto"/>
        <w:left w:val="none" w:sz="0" w:space="0" w:color="auto"/>
        <w:bottom w:val="none" w:sz="0" w:space="0" w:color="auto"/>
        <w:right w:val="none" w:sz="0" w:space="0" w:color="auto"/>
      </w:divBdr>
    </w:div>
    <w:div w:id="1462455102">
      <w:bodyDiv w:val="1"/>
      <w:marLeft w:val="0"/>
      <w:marRight w:val="0"/>
      <w:marTop w:val="0"/>
      <w:marBottom w:val="0"/>
      <w:divBdr>
        <w:top w:val="none" w:sz="0" w:space="0" w:color="auto"/>
        <w:left w:val="none" w:sz="0" w:space="0" w:color="auto"/>
        <w:bottom w:val="none" w:sz="0" w:space="0" w:color="auto"/>
        <w:right w:val="none" w:sz="0" w:space="0" w:color="auto"/>
      </w:divBdr>
    </w:div>
    <w:div w:id="1464731027">
      <w:bodyDiv w:val="1"/>
      <w:marLeft w:val="0"/>
      <w:marRight w:val="0"/>
      <w:marTop w:val="0"/>
      <w:marBottom w:val="0"/>
      <w:divBdr>
        <w:top w:val="none" w:sz="0" w:space="0" w:color="auto"/>
        <w:left w:val="none" w:sz="0" w:space="0" w:color="auto"/>
        <w:bottom w:val="none" w:sz="0" w:space="0" w:color="auto"/>
        <w:right w:val="none" w:sz="0" w:space="0" w:color="auto"/>
      </w:divBdr>
    </w:div>
    <w:div w:id="1467619843">
      <w:bodyDiv w:val="1"/>
      <w:marLeft w:val="0"/>
      <w:marRight w:val="0"/>
      <w:marTop w:val="0"/>
      <w:marBottom w:val="0"/>
      <w:divBdr>
        <w:top w:val="none" w:sz="0" w:space="0" w:color="auto"/>
        <w:left w:val="none" w:sz="0" w:space="0" w:color="auto"/>
        <w:bottom w:val="none" w:sz="0" w:space="0" w:color="auto"/>
        <w:right w:val="none" w:sz="0" w:space="0" w:color="auto"/>
      </w:divBdr>
    </w:div>
    <w:div w:id="1472747154">
      <w:bodyDiv w:val="1"/>
      <w:marLeft w:val="0"/>
      <w:marRight w:val="0"/>
      <w:marTop w:val="0"/>
      <w:marBottom w:val="0"/>
      <w:divBdr>
        <w:top w:val="none" w:sz="0" w:space="0" w:color="auto"/>
        <w:left w:val="none" w:sz="0" w:space="0" w:color="auto"/>
        <w:bottom w:val="none" w:sz="0" w:space="0" w:color="auto"/>
        <w:right w:val="none" w:sz="0" w:space="0" w:color="auto"/>
      </w:divBdr>
    </w:div>
    <w:div w:id="1472794986">
      <w:bodyDiv w:val="1"/>
      <w:marLeft w:val="0"/>
      <w:marRight w:val="0"/>
      <w:marTop w:val="0"/>
      <w:marBottom w:val="0"/>
      <w:divBdr>
        <w:top w:val="none" w:sz="0" w:space="0" w:color="auto"/>
        <w:left w:val="none" w:sz="0" w:space="0" w:color="auto"/>
        <w:bottom w:val="none" w:sz="0" w:space="0" w:color="auto"/>
        <w:right w:val="none" w:sz="0" w:space="0" w:color="auto"/>
      </w:divBdr>
    </w:div>
    <w:div w:id="1474637987">
      <w:bodyDiv w:val="1"/>
      <w:marLeft w:val="0"/>
      <w:marRight w:val="0"/>
      <w:marTop w:val="0"/>
      <w:marBottom w:val="0"/>
      <w:divBdr>
        <w:top w:val="none" w:sz="0" w:space="0" w:color="auto"/>
        <w:left w:val="none" w:sz="0" w:space="0" w:color="auto"/>
        <w:bottom w:val="none" w:sz="0" w:space="0" w:color="auto"/>
        <w:right w:val="none" w:sz="0" w:space="0" w:color="auto"/>
      </w:divBdr>
    </w:div>
    <w:div w:id="1476217870">
      <w:bodyDiv w:val="1"/>
      <w:marLeft w:val="0"/>
      <w:marRight w:val="0"/>
      <w:marTop w:val="0"/>
      <w:marBottom w:val="0"/>
      <w:divBdr>
        <w:top w:val="none" w:sz="0" w:space="0" w:color="auto"/>
        <w:left w:val="none" w:sz="0" w:space="0" w:color="auto"/>
        <w:bottom w:val="none" w:sz="0" w:space="0" w:color="auto"/>
        <w:right w:val="none" w:sz="0" w:space="0" w:color="auto"/>
      </w:divBdr>
    </w:div>
    <w:div w:id="1482113850">
      <w:bodyDiv w:val="1"/>
      <w:marLeft w:val="0"/>
      <w:marRight w:val="0"/>
      <w:marTop w:val="0"/>
      <w:marBottom w:val="0"/>
      <w:divBdr>
        <w:top w:val="none" w:sz="0" w:space="0" w:color="auto"/>
        <w:left w:val="none" w:sz="0" w:space="0" w:color="auto"/>
        <w:bottom w:val="none" w:sz="0" w:space="0" w:color="auto"/>
        <w:right w:val="none" w:sz="0" w:space="0" w:color="auto"/>
      </w:divBdr>
    </w:div>
    <w:div w:id="1483816514">
      <w:bodyDiv w:val="1"/>
      <w:marLeft w:val="0"/>
      <w:marRight w:val="0"/>
      <w:marTop w:val="0"/>
      <w:marBottom w:val="0"/>
      <w:divBdr>
        <w:top w:val="none" w:sz="0" w:space="0" w:color="auto"/>
        <w:left w:val="none" w:sz="0" w:space="0" w:color="auto"/>
        <w:bottom w:val="none" w:sz="0" w:space="0" w:color="auto"/>
        <w:right w:val="none" w:sz="0" w:space="0" w:color="auto"/>
      </w:divBdr>
    </w:div>
    <w:div w:id="1487864009">
      <w:bodyDiv w:val="1"/>
      <w:marLeft w:val="0"/>
      <w:marRight w:val="0"/>
      <w:marTop w:val="0"/>
      <w:marBottom w:val="0"/>
      <w:divBdr>
        <w:top w:val="none" w:sz="0" w:space="0" w:color="auto"/>
        <w:left w:val="none" w:sz="0" w:space="0" w:color="auto"/>
        <w:bottom w:val="none" w:sz="0" w:space="0" w:color="auto"/>
        <w:right w:val="none" w:sz="0" w:space="0" w:color="auto"/>
      </w:divBdr>
    </w:div>
    <w:div w:id="1494637763">
      <w:bodyDiv w:val="1"/>
      <w:marLeft w:val="0"/>
      <w:marRight w:val="0"/>
      <w:marTop w:val="0"/>
      <w:marBottom w:val="0"/>
      <w:divBdr>
        <w:top w:val="none" w:sz="0" w:space="0" w:color="auto"/>
        <w:left w:val="none" w:sz="0" w:space="0" w:color="auto"/>
        <w:bottom w:val="none" w:sz="0" w:space="0" w:color="auto"/>
        <w:right w:val="none" w:sz="0" w:space="0" w:color="auto"/>
      </w:divBdr>
    </w:div>
    <w:div w:id="1496647427">
      <w:bodyDiv w:val="1"/>
      <w:marLeft w:val="0"/>
      <w:marRight w:val="0"/>
      <w:marTop w:val="0"/>
      <w:marBottom w:val="0"/>
      <w:divBdr>
        <w:top w:val="none" w:sz="0" w:space="0" w:color="auto"/>
        <w:left w:val="none" w:sz="0" w:space="0" w:color="auto"/>
        <w:bottom w:val="none" w:sz="0" w:space="0" w:color="auto"/>
        <w:right w:val="none" w:sz="0" w:space="0" w:color="auto"/>
      </w:divBdr>
    </w:div>
    <w:div w:id="1496996382">
      <w:bodyDiv w:val="1"/>
      <w:marLeft w:val="0"/>
      <w:marRight w:val="0"/>
      <w:marTop w:val="0"/>
      <w:marBottom w:val="0"/>
      <w:divBdr>
        <w:top w:val="none" w:sz="0" w:space="0" w:color="auto"/>
        <w:left w:val="none" w:sz="0" w:space="0" w:color="auto"/>
        <w:bottom w:val="none" w:sz="0" w:space="0" w:color="auto"/>
        <w:right w:val="none" w:sz="0" w:space="0" w:color="auto"/>
      </w:divBdr>
    </w:div>
    <w:div w:id="1508867939">
      <w:bodyDiv w:val="1"/>
      <w:marLeft w:val="0"/>
      <w:marRight w:val="0"/>
      <w:marTop w:val="0"/>
      <w:marBottom w:val="0"/>
      <w:divBdr>
        <w:top w:val="none" w:sz="0" w:space="0" w:color="auto"/>
        <w:left w:val="none" w:sz="0" w:space="0" w:color="auto"/>
        <w:bottom w:val="none" w:sz="0" w:space="0" w:color="auto"/>
        <w:right w:val="none" w:sz="0" w:space="0" w:color="auto"/>
      </w:divBdr>
    </w:div>
    <w:div w:id="1510363906">
      <w:bodyDiv w:val="1"/>
      <w:marLeft w:val="0"/>
      <w:marRight w:val="0"/>
      <w:marTop w:val="0"/>
      <w:marBottom w:val="0"/>
      <w:divBdr>
        <w:top w:val="none" w:sz="0" w:space="0" w:color="auto"/>
        <w:left w:val="none" w:sz="0" w:space="0" w:color="auto"/>
        <w:bottom w:val="none" w:sz="0" w:space="0" w:color="auto"/>
        <w:right w:val="none" w:sz="0" w:space="0" w:color="auto"/>
      </w:divBdr>
    </w:div>
    <w:div w:id="1513255143">
      <w:bodyDiv w:val="1"/>
      <w:marLeft w:val="0"/>
      <w:marRight w:val="0"/>
      <w:marTop w:val="0"/>
      <w:marBottom w:val="0"/>
      <w:divBdr>
        <w:top w:val="none" w:sz="0" w:space="0" w:color="auto"/>
        <w:left w:val="none" w:sz="0" w:space="0" w:color="auto"/>
        <w:bottom w:val="none" w:sz="0" w:space="0" w:color="auto"/>
        <w:right w:val="none" w:sz="0" w:space="0" w:color="auto"/>
      </w:divBdr>
    </w:div>
    <w:div w:id="1514416427">
      <w:bodyDiv w:val="1"/>
      <w:marLeft w:val="0"/>
      <w:marRight w:val="0"/>
      <w:marTop w:val="0"/>
      <w:marBottom w:val="0"/>
      <w:divBdr>
        <w:top w:val="none" w:sz="0" w:space="0" w:color="auto"/>
        <w:left w:val="none" w:sz="0" w:space="0" w:color="auto"/>
        <w:bottom w:val="none" w:sz="0" w:space="0" w:color="auto"/>
        <w:right w:val="none" w:sz="0" w:space="0" w:color="auto"/>
      </w:divBdr>
    </w:div>
    <w:div w:id="1516191747">
      <w:bodyDiv w:val="1"/>
      <w:marLeft w:val="0"/>
      <w:marRight w:val="0"/>
      <w:marTop w:val="0"/>
      <w:marBottom w:val="0"/>
      <w:divBdr>
        <w:top w:val="none" w:sz="0" w:space="0" w:color="auto"/>
        <w:left w:val="none" w:sz="0" w:space="0" w:color="auto"/>
        <w:bottom w:val="none" w:sz="0" w:space="0" w:color="auto"/>
        <w:right w:val="none" w:sz="0" w:space="0" w:color="auto"/>
      </w:divBdr>
    </w:div>
    <w:div w:id="1521775088">
      <w:bodyDiv w:val="1"/>
      <w:marLeft w:val="0"/>
      <w:marRight w:val="0"/>
      <w:marTop w:val="0"/>
      <w:marBottom w:val="0"/>
      <w:divBdr>
        <w:top w:val="none" w:sz="0" w:space="0" w:color="auto"/>
        <w:left w:val="none" w:sz="0" w:space="0" w:color="auto"/>
        <w:bottom w:val="none" w:sz="0" w:space="0" w:color="auto"/>
        <w:right w:val="none" w:sz="0" w:space="0" w:color="auto"/>
      </w:divBdr>
    </w:div>
    <w:div w:id="1529414763">
      <w:bodyDiv w:val="1"/>
      <w:marLeft w:val="0"/>
      <w:marRight w:val="0"/>
      <w:marTop w:val="0"/>
      <w:marBottom w:val="0"/>
      <w:divBdr>
        <w:top w:val="none" w:sz="0" w:space="0" w:color="auto"/>
        <w:left w:val="none" w:sz="0" w:space="0" w:color="auto"/>
        <w:bottom w:val="none" w:sz="0" w:space="0" w:color="auto"/>
        <w:right w:val="none" w:sz="0" w:space="0" w:color="auto"/>
      </w:divBdr>
    </w:div>
    <w:div w:id="1532262140">
      <w:bodyDiv w:val="1"/>
      <w:marLeft w:val="0"/>
      <w:marRight w:val="0"/>
      <w:marTop w:val="0"/>
      <w:marBottom w:val="0"/>
      <w:divBdr>
        <w:top w:val="none" w:sz="0" w:space="0" w:color="auto"/>
        <w:left w:val="none" w:sz="0" w:space="0" w:color="auto"/>
        <w:bottom w:val="none" w:sz="0" w:space="0" w:color="auto"/>
        <w:right w:val="none" w:sz="0" w:space="0" w:color="auto"/>
      </w:divBdr>
    </w:div>
    <w:div w:id="1539970587">
      <w:bodyDiv w:val="1"/>
      <w:marLeft w:val="0"/>
      <w:marRight w:val="0"/>
      <w:marTop w:val="0"/>
      <w:marBottom w:val="0"/>
      <w:divBdr>
        <w:top w:val="none" w:sz="0" w:space="0" w:color="auto"/>
        <w:left w:val="none" w:sz="0" w:space="0" w:color="auto"/>
        <w:bottom w:val="none" w:sz="0" w:space="0" w:color="auto"/>
        <w:right w:val="none" w:sz="0" w:space="0" w:color="auto"/>
      </w:divBdr>
    </w:div>
    <w:div w:id="1543319581">
      <w:bodyDiv w:val="1"/>
      <w:marLeft w:val="0"/>
      <w:marRight w:val="0"/>
      <w:marTop w:val="0"/>
      <w:marBottom w:val="0"/>
      <w:divBdr>
        <w:top w:val="none" w:sz="0" w:space="0" w:color="auto"/>
        <w:left w:val="none" w:sz="0" w:space="0" w:color="auto"/>
        <w:bottom w:val="none" w:sz="0" w:space="0" w:color="auto"/>
        <w:right w:val="none" w:sz="0" w:space="0" w:color="auto"/>
      </w:divBdr>
    </w:div>
    <w:div w:id="1543396428">
      <w:bodyDiv w:val="1"/>
      <w:marLeft w:val="0"/>
      <w:marRight w:val="0"/>
      <w:marTop w:val="0"/>
      <w:marBottom w:val="0"/>
      <w:divBdr>
        <w:top w:val="none" w:sz="0" w:space="0" w:color="auto"/>
        <w:left w:val="none" w:sz="0" w:space="0" w:color="auto"/>
        <w:bottom w:val="none" w:sz="0" w:space="0" w:color="auto"/>
        <w:right w:val="none" w:sz="0" w:space="0" w:color="auto"/>
      </w:divBdr>
    </w:div>
    <w:div w:id="1543983063">
      <w:bodyDiv w:val="1"/>
      <w:marLeft w:val="0"/>
      <w:marRight w:val="0"/>
      <w:marTop w:val="0"/>
      <w:marBottom w:val="0"/>
      <w:divBdr>
        <w:top w:val="none" w:sz="0" w:space="0" w:color="auto"/>
        <w:left w:val="none" w:sz="0" w:space="0" w:color="auto"/>
        <w:bottom w:val="none" w:sz="0" w:space="0" w:color="auto"/>
        <w:right w:val="none" w:sz="0" w:space="0" w:color="auto"/>
      </w:divBdr>
    </w:div>
    <w:div w:id="1544519674">
      <w:bodyDiv w:val="1"/>
      <w:marLeft w:val="0"/>
      <w:marRight w:val="0"/>
      <w:marTop w:val="0"/>
      <w:marBottom w:val="0"/>
      <w:divBdr>
        <w:top w:val="none" w:sz="0" w:space="0" w:color="auto"/>
        <w:left w:val="none" w:sz="0" w:space="0" w:color="auto"/>
        <w:bottom w:val="none" w:sz="0" w:space="0" w:color="auto"/>
        <w:right w:val="none" w:sz="0" w:space="0" w:color="auto"/>
      </w:divBdr>
    </w:div>
    <w:div w:id="1549605334">
      <w:bodyDiv w:val="1"/>
      <w:marLeft w:val="0"/>
      <w:marRight w:val="0"/>
      <w:marTop w:val="0"/>
      <w:marBottom w:val="0"/>
      <w:divBdr>
        <w:top w:val="none" w:sz="0" w:space="0" w:color="auto"/>
        <w:left w:val="none" w:sz="0" w:space="0" w:color="auto"/>
        <w:bottom w:val="none" w:sz="0" w:space="0" w:color="auto"/>
        <w:right w:val="none" w:sz="0" w:space="0" w:color="auto"/>
      </w:divBdr>
    </w:div>
    <w:div w:id="1562059445">
      <w:bodyDiv w:val="1"/>
      <w:marLeft w:val="0"/>
      <w:marRight w:val="0"/>
      <w:marTop w:val="0"/>
      <w:marBottom w:val="0"/>
      <w:divBdr>
        <w:top w:val="none" w:sz="0" w:space="0" w:color="auto"/>
        <w:left w:val="none" w:sz="0" w:space="0" w:color="auto"/>
        <w:bottom w:val="none" w:sz="0" w:space="0" w:color="auto"/>
        <w:right w:val="none" w:sz="0" w:space="0" w:color="auto"/>
      </w:divBdr>
    </w:div>
    <w:div w:id="1565556438">
      <w:bodyDiv w:val="1"/>
      <w:marLeft w:val="0"/>
      <w:marRight w:val="0"/>
      <w:marTop w:val="0"/>
      <w:marBottom w:val="0"/>
      <w:divBdr>
        <w:top w:val="none" w:sz="0" w:space="0" w:color="auto"/>
        <w:left w:val="none" w:sz="0" w:space="0" w:color="auto"/>
        <w:bottom w:val="none" w:sz="0" w:space="0" w:color="auto"/>
        <w:right w:val="none" w:sz="0" w:space="0" w:color="auto"/>
      </w:divBdr>
    </w:div>
    <w:div w:id="1565606766">
      <w:bodyDiv w:val="1"/>
      <w:marLeft w:val="0"/>
      <w:marRight w:val="0"/>
      <w:marTop w:val="0"/>
      <w:marBottom w:val="0"/>
      <w:divBdr>
        <w:top w:val="none" w:sz="0" w:space="0" w:color="auto"/>
        <w:left w:val="none" w:sz="0" w:space="0" w:color="auto"/>
        <w:bottom w:val="none" w:sz="0" w:space="0" w:color="auto"/>
        <w:right w:val="none" w:sz="0" w:space="0" w:color="auto"/>
      </w:divBdr>
    </w:div>
    <w:div w:id="1572351916">
      <w:bodyDiv w:val="1"/>
      <w:marLeft w:val="0"/>
      <w:marRight w:val="0"/>
      <w:marTop w:val="0"/>
      <w:marBottom w:val="0"/>
      <w:divBdr>
        <w:top w:val="none" w:sz="0" w:space="0" w:color="auto"/>
        <w:left w:val="none" w:sz="0" w:space="0" w:color="auto"/>
        <w:bottom w:val="none" w:sz="0" w:space="0" w:color="auto"/>
        <w:right w:val="none" w:sz="0" w:space="0" w:color="auto"/>
      </w:divBdr>
    </w:div>
    <w:div w:id="1576352814">
      <w:bodyDiv w:val="1"/>
      <w:marLeft w:val="0"/>
      <w:marRight w:val="0"/>
      <w:marTop w:val="0"/>
      <w:marBottom w:val="0"/>
      <w:divBdr>
        <w:top w:val="none" w:sz="0" w:space="0" w:color="auto"/>
        <w:left w:val="none" w:sz="0" w:space="0" w:color="auto"/>
        <w:bottom w:val="none" w:sz="0" w:space="0" w:color="auto"/>
        <w:right w:val="none" w:sz="0" w:space="0" w:color="auto"/>
      </w:divBdr>
    </w:div>
    <w:div w:id="1582173751">
      <w:bodyDiv w:val="1"/>
      <w:marLeft w:val="0"/>
      <w:marRight w:val="0"/>
      <w:marTop w:val="0"/>
      <w:marBottom w:val="0"/>
      <w:divBdr>
        <w:top w:val="none" w:sz="0" w:space="0" w:color="auto"/>
        <w:left w:val="none" w:sz="0" w:space="0" w:color="auto"/>
        <w:bottom w:val="none" w:sz="0" w:space="0" w:color="auto"/>
        <w:right w:val="none" w:sz="0" w:space="0" w:color="auto"/>
      </w:divBdr>
    </w:div>
    <w:div w:id="1585917511">
      <w:bodyDiv w:val="1"/>
      <w:marLeft w:val="0"/>
      <w:marRight w:val="0"/>
      <w:marTop w:val="0"/>
      <w:marBottom w:val="0"/>
      <w:divBdr>
        <w:top w:val="none" w:sz="0" w:space="0" w:color="auto"/>
        <w:left w:val="none" w:sz="0" w:space="0" w:color="auto"/>
        <w:bottom w:val="none" w:sz="0" w:space="0" w:color="auto"/>
        <w:right w:val="none" w:sz="0" w:space="0" w:color="auto"/>
      </w:divBdr>
    </w:div>
    <w:div w:id="1592813776">
      <w:bodyDiv w:val="1"/>
      <w:marLeft w:val="0"/>
      <w:marRight w:val="0"/>
      <w:marTop w:val="0"/>
      <w:marBottom w:val="0"/>
      <w:divBdr>
        <w:top w:val="none" w:sz="0" w:space="0" w:color="auto"/>
        <w:left w:val="none" w:sz="0" w:space="0" w:color="auto"/>
        <w:bottom w:val="none" w:sz="0" w:space="0" w:color="auto"/>
        <w:right w:val="none" w:sz="0" w:space="0" w:color="auto"/>
      </w:divBdr>
    </w:div>
    <w:div w:id="1592885159">
      <w:bodyDiv w:val="1"/>
      <w:marLeft w:val="0"/>
      <w:marRight w:val="0"/>
      <w:marTop w:val="0"/>
      <w:marBottom w:val="0"/>
      <w:divBdr>
        <w:top w:val="none" w:sz="0" w:space="0" w:color="auto"/>
        <w:left w:val="none" w:sz="0" w:space="0" w:color="auto"/>
        <w:bottom w:val="none" w:sz="0" w:space="0" w:color="auto"/>
        <w:right w:val="none" w:sz="0" w:space="0" w:color="auto"/>
      </w:divBdr>
    </w:div>
    <w:div w:id="1593857702">
      <w:bodyDiv w:val="1"/>
      <w:marLeft w:val="0"/>
      <w:marRight w:val="0"/>
      <w:marTop w:val="0"/>
      <w:marBottom w:val="0"/>
      <w:divBdr>
        <w:top w:val="none" w:sz="0" w:space="0" w:color="auto"/>
        <w:left w:val="none" w:sz="0" w:space="0" w:color="auto"/>
        <w:bottom w:val="none" w:sz="0" w:space="0" w:color="auto"/>
        <w:right w:val="none" w:sz="0" w:space="0" w:color="auto"/>
      </w:divBdr>
    </w:div>
    <w:div w:id="1594971451">
      <w:bodyDiv w:val="1"/>
      <w:marLeft w:val="0"/>
      <w:marRight w:val="0"/>
      <w:marTop w:val="0"/>
      <w:marBottom w:val="0"/>
      <w:divBdr>
        <w:top w:val="none" w:sz="0" w:space="0" w:color="auto"/>
        <w:left w:val="none" w:sz="0" w:space="0" w:color="auto"/>
        <w:bottom w:val="none" w:sz="0" w:space="0" w:color="auto"/>
        <w:right w:val="none" w:sz="0" w:space="0" w:color="auto"/>
      </w:divBdr>
    </w:div>
    <w:div w:id="1601982683">
      <w:bodyDiv w:val="1"/>
      <w:marLeft w:val="0"/>
      <w:marRight w:val="0"/>
      <w:marTop w:val="0"/>
      <w:marBottom w:val="0"/>
      <w:divBdr>
        <w:top w:val="none" w:sz="0" w:space="0" w:color="auto"/>
        <w:left w:val="none" w:sz="0" w:space="0" w:color="auto"/>
        <w:bottom w:val="none" w:sz="0" w:space="0" w:color="auto"/>
        <w:right w:val="none" w:sz="0" w:space="0" w:color="auto"/>
      </w:divBdr>
    </w:div>
    <w:div w:id="1602839663">
      <w:bodyDiv w:val="1"/>
      <w:marLeft w:val="0"/>
      <w:marRight w:val="0"/>
      <w:marTop w:val="0"/>
      <w:marBottom w:val="0"/>
      <w:divBdr>
        <w:top w:val="none" w:sz="0" w:space="0" w:color="auto"/>
        <w:left w:val="none" w:sz="0" w:space="0" w:color="auto"/>
        <w:bottom w:val="none" w:sz="0" w:space="0" w:color="auto"/>
        <w:right w:val="none" w:sz="0" w:space="0" w:color="auto"/>
      </w:divBdr>
    </w:div>
    <w:div w:id="1607958098">
      <w:bodyDiv w:val="1"/>
      <w:marLeft w:val="0"/>
      <w:marRight w:val="0"/>
      <w:marTop w:val="0"/>
      <w:marBottom w:val="0"/>
      <w:divBdr>
        <w:top w:val="none" w:sz="0" w:space="0" w:color="auto"/>
        <w:left w:val="none" w:sz="0" w:space="0" w:color="auto"/>
        <w:bottom w:val="none" w:sz="0" w:space="0" w:color="auto"/>
        <w:right w:val="none" w:sz="0" w:space="0" w:color="auto"/>
      </w:divBdr>
    </w:div>
    <w:div w:id="1609046944">
      <w:bodyDiv w:val="1"/>
      <w:marLeft w:val="0"/>
      <w:marRight w:val="0"/>
      <w:marTop w:val="0"/>
      <w:marBottom w:val="0"/>
      <w:divBdr>
        <w:top w:val="none" w:sz="0" w:space="0" w:color="auto"/>
        <w:left w:val="none" w:sz="0" w:space="0" w:color="auto"/>
        <w:bottom w:val="none" w:sz="0" w:space="0" w:color="auto"/>
        <w:right w:val="none" w:sz="0" w:space="0" w:color="auto"/>
      </w:divBdr>
    </w:div>
    <w:div w:id="1610434399">
      <w:bodyDiv w:val="1"/>
      <w:marLeft w:val="0"/>
      <w:marRight w:val="0"/>
      <w:marTop w:val="0"/>
      <w:marBottom w:val="0"/>
      <w:divBdr>
        <w:top w:val="none" w:sz="0" w:space="0" w:color="auto"/>
        <w:left w:val="none" w:sz="0" w:space="0" w:color="auto"/>
        <w:bottom w:val="none" w:sz="0" w:space="0" w:color="auto"/>
        <w:right w:val="none" w:sz="0" w:space="0" w:color="auto"/>
      </w:divBdr>
    </w:div>
    <w:div w:id="1610504289">
      <w:bodyDiv w:val="1"/>
      <w:marLeft w:val="0"/>
      <w:marRight w:val="0"/>
      <w:marTop w:val="0"/>
      <w:marBottom w:val="0"/>
      <w:divBdr>
        <w:top w:val="none" w:sz="0" w:space="0" w:color="auto"/>
        <w:left w:val="none" w:sz="0" w:space="0" w:color="auto"/>
        <w:bottom w:val="none" w:sz="0" w:space="0" w:color="auto"/>
        <w:right w:val="none" w:sz="0" w:space="0" w:color="auto"/>
      </w:divBdr>
    </w:div>
    <w:div w:id="1614283715">
      <w:bodyDiv w:val="1"/>
      <w:marLeft w:val="0"/>
      <w:marRight w:val="0"/>
      <w:marTop w:val="0"/>
      <w:marBottom w:val="0"/>
      <w:divBdr>
        <w:top w:val="none" w:sz="0" w:space="0" w:color="auto"/>
        <w:left w:val="none" w:sz="0" w:space="0" w:color="auto"/>
        <w:bottom w:val="none" w:sz="0" w:space="0" w:color="auto"/>
        <w:right w:val="none" w:sz="0" w:space="0" w:color="auto"/>
      </w:divBdr>
    </w:div>
    <w:div w:id="1614900930">
      <w:bodyDiv w:val="1"/>
      <w:marLeft w:val="0"/>
      <w:marRight w:val="0"/>
      <w:marTop w:val="0"/>
      <w:marBottom w:val="0"/>
      <w:divBdr>
        <w:top w:val="none" w:sz="0" w:space="0" w:color="auto"/>
        <w:left w:val="none" w:sz="0" w:space="0" w:color="auto"/>
        <w:bottom w:val="none" w:sz="0" w:space="0" w:color="auto"/>
        <w:right w:val="none" w:sz="0" w:space="0" w:color="auto"/>
      </w:divBdr>
    </w:div>
    <w:div w:id="1618173156">
      <w:bodyDiv w:val="1"/>
      <w:marLeft w:val="0"/>
      <w:marRight w:val="0"/>
      <w:marTop w:val="0"/>
      <w:marBottom w:val="0"/>
      <w:divBdr>
        <w:top w:val="none" w:sz="0" w:space="0" w:color="auto"/>
        <w:left w:val="none" w:sz="0" w:space="0" w:color="auto"/>
        <w:bottom w:val="none" w:sz="0" w:space="0" w:color="auto"/>
        <w:right w:val="none" w:sz="0" w:space="0" w:color="auto"/>
      </w:divBdr>
    </w:div>
    <w:div w:id="1619141601">
      <w:bodyDiv w:val="1"/>
      <w:marLeft w:val="0"/>
      <w:marRight w:val="0"/>
      <w:marTop w:val="0"/>
      <w:marBottom w:val="0"/>
      <w:divBdr>
        <w:top w:val="none" w:sz="0" w:space="0" w:color="auto"/>
        <w:left w:val="none" w:sz="0" w:space="0" w:color="auto"/>
        <w:bottom w:val="none" w:sz="0" w:space="0" w:color="auto"/>
        <w:right w:val="none" w:sz="0" w:space="0" w:color="auto"/>
      </w:divBdr>
    </w:div>
    <w:div w:id="1621256927">
      <w:bodyDiv w:val="1"/>
      <w:marLeft w:val="0"/>
      <w:marRight w:val="0"/>
      <w:marTop w:val="0"/>
      <w:marBottom w:val="0"/>
      <w:divBdr>
        <w:top w:val="none" w:sz="0" w:space="0" w:color="auto"/>
        <w:left w:val="none" w:sz="0" w:space="0" w:color="auto"/>
        <w:bottom w:val="none" w:sz="0" w:space="0" w:color="auto"/>
        <w:right w:val="none" w:sz="0" w:space="0" w:color="auto"/>
      </w:divBdr>
    </w:div>
    <w:div w:id="1624799597">
      <w:bodyDiv w:val="1"/>
      <w:marLeft w:val="0"/>
      <w:marRight w:val="0"/>
      <w:marTop w:val="0"/>
      <w:marBottom w:val="0"/>
      <w:divBdr>
        <w:top w:val="none" w:sz="0" w:space="0" w:color="auto"/>
        <w:left w:val="none" w:sz="0" w:space="0" w:color="auto"/>
        <w:bottom w:val="none" w:sz="0" w:space="0" w:color="auto"/>
        <w:right w:val="none" w:sz="0" w:space="0" w:color="auto"/>
      </w:divBdr>
    </w:div>
    <w:div w:id="1625041531">
      <w:bodyDiv w:val="1"/>
      <w:marLeft w:val="0"/>
      <w:marRight w:val="0"/>
      <w:marTop w:val="0"/>
      <w:marBottom w:val="0"/>
      <w:divBdr>
        <w:top w:val="none" w:sz="0" w:space="0" w:color="auto"/>
        <w:left w:val="none" w:sz="0" w:space="0" w:color="auto"/>
        <w:bottom w:val="none" w:sz="0" w:space="0" w:color="auto"/>
        <w:right w:val="none" w:sz="0" w:space="0" w:color="auto"/>
      </w:divBdr>
    </w:div>
    <w:div w:id="1626233066">
      <w:bodyDiv w:val="1"/>
      <w:marLeft w:val="0"/>
      <w:marRight w:val="0"/>
      <w:marTop w:val="0"/>
      <w:marBottom w:val="0"/>
      <w:divBdr>
        <w:top w:val="none" w:sz="0" w:space="0" w:color="auto"/>
        <w:left w:val="none" w:sz="0" w:space="0" w:color="auto"/>
        <w:bottom w:val="none" w:sz="0" w:space="0" w:color="auto"/>
        <w:right w:val="none" w:sz="0" w:space="0" w:color="auto"/>
      </w:divBdr>
    </w:div>
    <w:div w:id="1630358618">
      <w:bodyDiv w:val="1"/>
      <w:marLeft w:val="0"/>
      <w:marRight w:val="0"/>
      <w:marTop w:val="0"/>
      <w:marBottom w:val="0"/>
      <w:divBdr>
        <w:top w:val="none" w:sz="0" w:space="0" w:color="auto"/>
        <w:left w:val="none" w:sz="0" w:space="0" w:color="auto"/>
        <w:bottom w:val="none" w:sz="0" w:space="0" w:color="auto"/>
        <w:right w:val="none" w:sz="0" w:space="0" w:color="auto"/>
      </w:divBdr>
    </w:div>
    <w:div w:id="1632442737">
      <w:bodyDiv w:val="1"/>
      <w:marLeft w:val="0"/>
      <w:marRight w:val="0"/>
      <w:marTop w:val="0"/>
      <w:marBottom w:val="0"/>
      <w:divBdr>
        <w:top w:val="none" w:sz="0" w:space="0" w:color="auto"/>
        <w:left w:val="none" w:sz="0" w:space="0" w:color="auto"/>
        <w:bottom w:val="none" w:sz="0" w:space="0" w:color="auto"/>
        <w:right w:val="none" w:sz="0" w:space="0" w:color="auto"/>
      </w:divBdr>
    </w:div>
    <w:div w:id="1634557575">
      <w:bodyDiv w:val="1"/>
      <w:marLeft w:val="0"/>
      <w:marRight w:val="0"/>
      <w:marTop w:val="0"/>
      <w:marBottom w:val="0"/>
      <w:divBdr>
        <w:top w:val="none" w:sz="0" w:space="0" w:color="auto"/>
        <w:left w:val="none" w:sz="0" w:space="0" w:color="auto"/>
        <w:bottom w:val="none" w:sz="0" w:space="0" w:color="auto"/>
        <w:right w:val="none" w:sz="0" w:space="0" w:color="auto"/>
      </w:divBdr>
    </w:div>
    <w:div w:id="1637904286">
      <w:bodyDiv w:val="1"/>
      <w:marLeft w:val="0"/>
      <w:marRight w:val="0"/>
      <w:marTop w:val="0"/>
      <w:marBottom w:val="0"/>
      <w:divBdr>
        <w:top w:val="none" w:sz="0" w:space="0" w:color="auto"/>
        <w:left w:val="none" w:sz="0" w:space="0" w:color="auto"/>
        <w:bottom w:val="none" w:sz="0" w:space="0" w:color="auto"/>
        <w:right w:val="none" w:sz="0" w:space="0" w:color="auto"/>
      </w:divBdr>
    </w:div>
    <w:div w:id="1640109546">
      <w:bodyDiv w:val="1"/>
      <w:marLeft w:val="0"/>
      <w:marRight w:val="0"/>
      <w:marTop w:val="0"/>
      <w:marBottom w:val="0"/>
      <w:divBdr>
        <w:top w:val="none" w:sz="0" w:space="0" w:color="auto"/>
        <w:left w:val="none" w:sz="0" w:space="0" w:color="auto"/>
        <w:bottom w:val="none" w:sz="0" w:space="0" w:color="auto"/>
        <w:right w:val="none" w:sz="0" w:space="0" w:color="auto"/>
      </w:divBdr>
    </w:div>
    <w:div w:id="1643802788">
      <w:bodyDiv w:val="1"/>
      <w:marLeft w:val="0"/>
      <w:marRight w:val="0"/>
      <w:marTop w:val="0"/>
      <w:marBottom w:val="0"/>
      <w:divBdr>
        <w:top w:val="none" w:sz="0" w:space="0" w:color="auto"/>
        <w:left w:val="none" w:sz="0" w:space="0" w:color="auto"/>
        <w:bottom w:val="none" w:sz="0" w:space="0" w:color="auto"/>
        <w:right w:val="none" w:sz="0" w:space="0" w:color="auto"/>
      </w:divBdr>
    </w:div>
    <w:div w:id="1647512085">
      <w:bodyDiv w:val="1"/>
      <w:marLeft w:val="0"/>
      <w:marRight w:val="0"/>
      <w:marTop w:val="0"/>
      <w:marBottom w:val="0"/>
      <w:divBdr>
        <w:top w:val="none" w:sz="0" w:space="0" w:color="auto"/>
        <w:left w:val="none" w:sz="0" w:space="0" w:color="auto"/>
        <w:bottom w:val="none" w:sz="0" w:space="0" w:color="auto"/>
        <w:right w:val="none" w:sz="0" w:space="0" w:color="auto"/>
      </w:divBdr>
    </w:div>
    <w:div w:id="1653170297">
      <w:bodyDiv w:val="1"/>
      <w:marLeft w:val="0"/>
      <w:marRight w:val="0"/>
      <w:marTop w:val="0"/>
      <w:marBottom w:val="0"/>
      <w:divBdr>
        <w:top w:val="none" w:sz="0" w:space="0" w:color="auto"/>
        <w:left w:val="none" w:sz="0" w:space="0" w:color="auto"/>
        <w:bottom w:val="none" w:sz="0" w:space="0" w:color="auto"/>
        <w:right w:val="none" w:sz="0" w:space="0" w:color="auto"/>
      </w:divBdr>
    </w:div>
    <w:div w:id="1655722031">
      <w:bodyDiv w:val="1"/>
      <w:marLeft w:val="0"/>
      <w:marRight w:val="0"/>
      <w:marTop w:val="0"/>
      <w:marBottom w:val="0"/>
      <w:divBdr>
        <w:top w:val="none" w:sz="0" w:space="0" w:color="auto"/>
        <w:left w:val="none" w:sz="0" w:space="0" w:color="auto"/>
        <w:bottom w:val="none" w:sz="0" w:space="0" w:color="auto"/>
        <w:right w:val="none" w:sz="0" w:space="0" w:color="auto"/>
      </w:divBdr>
    </w:div>
    <w:div w:id="1657606689">
      <w:bodyDiv w:val="1"/>
      <w:marLeft w:val="0"/>
      <w:marRight w:val="0"/>
      <w:marTop w:val="0"/>
      <w:marBottom w:val="0"/>
      <w:divBdr>
        <w:top w:val="none" w:sz="0" w:space="0" w:color="auto"/>
        <w:left w:val="none" w:sz="0" w:space="0" w:color="auto"/>
        <w:bottom w:val="none" w:sz="0" w:space="0" w:color="auto"/>
        <w:right w:val="none" w:sz="0" w:space="0" w:color="auto"/>
      </w:divBdr>
    </w:div>
    <w:div w:id="1661350368">
      <w:bodyDiv w:val="1"/>
      <w:marLeft w:val="0"/>
      <w:marRight w:val="0"/>
      <w:marTop w:val="0"/>
      <w:marBottom w:val="0"/>
      <w:divBdr>
        <w:top w:val="none" w:sz="0" w:space="0" w:color="auto"/>
        <w:left w:val="none" w:sz="0" w:space="0" w:color="auto"/>
        <w:bottom w:val="none" w:sz="0" w:space="0" w:color="auto"/>
        <w:right w:val="none" w:sz="0" w:space="0" w:color="auto"/>
      </w:divBdr>
    </w:div>
    <w:div w:id="1661614796">
      <w:bodyDiv w:val="1"/>
      <w:marLeft w:val="0"/>
      <w:marRight w:val="0"/>
      <w:marTop w:val="0"/>
      <w:marBottom w:val="0"/>
      <w:divBdr>
        <w:top w:val="none" w:sz="0" w:space="0" w:color="auto"/>
        <w:left w:val="none" w:sz="0" w:space="0" w:color="auto"/>
        <w:bottom w:val="none" w:sz="0" w:space="0" w:color="auto"/>
        <w:right w:val="none" w:sz="0" w:space="0" w:color="auto"/>
      </w:divBdr>
    </w:div>
    <w:div w:id="1665666641">
      <w:bodyDiv w:val="1"/>
      <w:marLeft w:val="0"/>
      <w:marRight w:val="0"/>
      <w:marTop w:val="0"/>
      <w:marBottom w:val="0"/>
      <w:divBdr>
        <w:top w:val="none" w:sz="0" w:space="0" w:color="auto"/>
        <w:left w:val="none" w:sz="0" w:space="0" w:color="auto"/>
        <w:bottom w:val="none" w:sz="0" w:space="0" w:color="auto"/>
        <w:right w:val="none" w:sz="0" w:space="0" w:color="auto"/>
      </w:divBdr>
    </w:div>
    <w:div w:id="1668442314">
      <w:bodyDiv w:val="1"/>
      <w:marLeft w:val="0"/>
      <w:marRight w:val="0"/>
      <w:marTop w:val="0"/>
      <w:marBottom w:val="0"/>
      <w:divBdr>
        <w:top w:val="none" w:sz="0" w:space="0" w:color="auto"/>
        <w:left w:val="none" w:sz="0" w:space="0" w:color="auto"/>
        <w:bottom w:val="none" w:sz="0" w:space="0" w:color="auto"/>
        <w:right w:val="none" w:sz="0" w:space="0" w:color="auto"/>
      </w:divBdr>
    </w:div>
    <w:div w:id="1681202602">
      <w:bodyDiv w:val="1"/>
      <w:marLeft w:val="0"/>
      <w:marRight w:val="0"/>
      <w:marTop w:val="0"/>
      <w:marBottom w:val="0"/>
      <w:divBdr>
        <w:top w:val="none" w:sz="0" w:space="0" w:color="auto"/>
        <w:left w:val="none" w:sz="0" w:space="0" w:color="auto"/>
        <w:bottom w:val="none" w:sz="0" w:space="0" w:color="auto"/>
        <w:right w:val="none" w:sz="0" w:space="0" w:color="auto"/>
      </w:divBdr>
    </w:div>
    <w:div w:id="1688210997">
      <w:bodyDiv w:val="1"/>
      <w:marLeft w:val="0"/>
      <w:marRight w:val="0"/>
      <w:marTop w:val="0"/>
      <w:marBottom w:val="0"/>
      <w:divBdr>
        <w:top w:val="none" w:sz="0" w:space="0" w:color="auto"/>
        <w:left w:val="none" w:sz="0" w:space="0" w:color="auto"/>
        <w:bottom w:val="none" w:sz="0" w:space="0" w:color="auto"/>
        <w:right w:val="none" w:sz="0" w:space="0" w:color="auto"/>
      </w:divBdr>
    </w:div>
    <w:div w:id="1690133084">
      <w:bodyDiv w:val="1"/>
      <w:marLeft w:val="0"/>
      <w:marRight w:val="0"/>
      <w:marTop w:val="0"/>
      <w:marBottom w:val="0"/>
      <w:divBdr>
        <w:top w:val="none" w:sz="0" w:space="0" w:color="auto"/>
        <w:left w:val="none" w:sz="0" w:space="0" w:color="auto"/>
        <w:bottom w:val="none" w:sz="0" w:space="0" w:color="auto"/>
        <w:right w:val="none" w:sz="0" w:space="0" w:color="auto"/>
      </w:divBdr>
    </w:div>
    <w:div w:id="1692338995">
      <w:bodyDiv w:val="1"/>
      <w:marLeft w:val="0"/>
      <w:marRight w:val="0"/>
      <w:marTop w:val="0"/>
      <w:marBottom w:val="0"/>
      <w:divBdr>
        <w:top w:val="none" w:sz="0" w:space="0" w:color="auto"/>
        <w:left w:val="none" w:sz="0" w:space="0" w:color="auto"/>
        <w:bottom w:val="none" w:sz="0" w:space="0" w:color="auto"/>
        <w:right w:val="none" w:sz="0" w:space="0" w:color="auto"/>
      </w:divBdr>
    </w:div>
    <w:div w:id="1695426783">
      <w:bodyDiv w:val="1"/>
      <w:marLeft w:val="0"/>
      <w:marRight w:val="0"/>
      <w:marTop w:val="0"/>
      <w:marBottom w:val="0"/>
      <w:divBdr>
        <w:top w:val="none" w:sz="0" w:space="0" w:color="auto"/>
        <w:left w:val="none" w:sz="0" w:space="0" w:color="auto"/>
        <w:bottom w:val="none" w:sz="0" w:space="0" w:color="auto"/>
        <w:right w:val="none" w:sz="0" w:space="0" w:color="auto"/>
      </w:divBdr>
    </w:div>
    <w:div w:id="1697728299">
      <w:bodyDiv w:val="1"/>
      <w:marLeft w:val="0"/>
      <w:marRight w:val="0"/>
      <w:marTop w:val="0"/>
      <w:marBottom w:val="0"/>
      <w:divBdr>
        <w:top w:val="none" w:sz="0" w:space="0" w:color="auto"/>
        <w:left w:val="none" w:sz="0" w:space="0" w:color="auto"/>
        <w:bottom w:val="none" w:sz="0" w:space="0" w:color="auto"/>
        <w:right w:val="none" w:sz="0" w:space="0" w:color="auto"/>
      </w:divBdr>
    </w:div>
    <w:div w:id="1700619528">
      <w:bodyDiv w:val="1"/>
      <w:marLeft w:val="0"/>
      <w:marRight w:val="0"/>
      <w:marTop w:val="0"/>
      <w:marBottom w:val="0"/>
      <w:divBdr>
        <w:top w:val="none" w:sz="0" w:space="0" w:color="auto"/>
        <w:left w:val="none" w:sz="0" w:space="0" w:color="auto"/>
        <w:bottom w:val="none" w:sz="0" w:space="0" w:color="auto"/>
        <w:right w:val="none" w:sz="0" w:space="0" w:color="auto"/>
      </w:divBdr>
    </w:div>
    <w:div w:id="1702244130">
      <w:bodyDiv w:val="1"/>
      <w:marLeft w:val="0"/>
      <w:marRight w:val="0"/>
      <w:marTop w:val="0"/>
      <w:marBottom w:val="0"/>
      <w:divBdr>
        <w:top w:val="none" w:sz="0" w:space="0" w:color="auto"/>
        <w:left w:val="none" w:sz="0" w:space="0" w:color="auto"/>
        <w:bottom w:val="none" w:sz="0" w:space="0" w:color="auto"/>
        <w:right w:val="none" w:sz="0" w:space="0" w:color="auto"/>
      </w:divBdr>
    </w:div>
    <w:div w:id="1707174267">
      <w:bodyDiv w:val="1"/>
      <w:marLeft w:val="0"/>
      <w:marRight w:val="0"/>
      <w:marTop w:val="0"/>
      <w:marBottom w:val="0"/>
      <w:divBdr>
        <w:top w:val="none" w:sz="0" w:space="0" w:color="auto"/>
        <w:left w:val="none" w:sz="0" w:space="0" w:color="auto"/>
        <w:bottom w:val="none" w:sz="0" w:space="0" w:color="auto"/>
        <w:right w:val="none" w:sz="0" w:space="0" w:color="auto"/>
      </w:divBdr>
    </w:div>
    <w:div w:id="1707175267">
      <w:bodyDiv w:val="1"/>
      <w:marLeft w:val="0"/>
      <w:marRight w:val="0"/>
      <w:marTop w:val="0"/>
      <w:marBottom w:val="0"/>
      <w:divBdr>
        <w:top w:val="none" w:sz="0" w:space="0" w:color="auto"/>
        <w:left w:val="none" w:sz="0" w:space="0" w:color="auto"/>
        <w:bottom w:val="none" w:sz="0" w:space="0" w:color="auto"/>
        <w:right w:val="none" w:sz="0" w:space="0" w:color="auto"/>
      </w:divBdr>
    </w:div>
    <w:div w:id="1708407121">
      <w:bodyDiv w:val="1"/>
      <w:marLeft w:val="0"/>
      <w:marRight w:val="0"/>
      <w:marTop w:val="0"/>
      <w:marBottom w:val="0"/>
      <w:divBdr>
        <w:top w:val="none" w:sz="0" w:space="0" w:color="auto"/>
        <w:left w:val="none" w:sz="0" w:space="0" w:color="auto"/>
        <w:bottom w:val="none" w:sz="0" w:space="0" w:color="auto"/>
        <w:right w:val="none" w:sz="0" w:space="0" w:color="auto"/>
      </w:divBdr>
    </w:div>
    <w:div w:id="1708605412">
      <w:bodyDiv w:val="1"/>
      <w:marLeft w:val="0"/>
      <w:marRight w:val="0"/>
      <w:marTop w:val="0"/>
      <w:marBottom w:val="0"/>
      <w:divBdr>
        <w:top w:val="none" w:sz="0" w:space="0" w:color="auto"/>
        <w:left w:val="none" w:sz="0" w:space="0" w:color="auto"/>
        <w:bottom w:val="none" w:sz="0" w:space="0" w:color="auto"/>
        <w:right w:val="none" w:sz="0" w:space="0" w:color="auto"/>
      </w:divBdr>
    </w:div>
    <w:div w:id="1710950746">
      <w:bodyDiv w:val="1"/>
      <w:marLeft w:val="0"/>
      <w:marRight w:val="0"/>
      <w:marTop w:val="0"/>
      <w:marBottom w:val="0"/>
      <w:divBdr>
        <w:top w:val="none" w:sz="0" w:space="0" w:color="auto"/>
        <w:left w:val="none" w:sz="0" w:space="0" w:color="auto"/>
        <w:bottom w:val="none" w:sz="0" w:space="0" w:color="auto"/>
        <w:right w:val="none" w:sz="0" w:space="0" w:color="auto"/>
      </w:divBdr>
    </w:div>
    <w:div w:id="1723600161">
      <w:bodyDiv w:val="1"/>
      <w:marLeft w:val="0"/>
      <w:marRight w:val="0"/>
      <w:marTop w:val="0"/>
      <w:marBottom w:val="0"/>
      <w:divBdr>
        <w:top w:val="none" w:sz="0" w:space="0" w:color="auto"/>
        <w:left w:val="none" w:sz="0" w:space="0" w:color="auto"/>
        <w:bottom w:val="none" w:sz="0" w:space="0" w:color="auto"/>
        <w:right w:val="none" w:sz="0" w:space="0" w:color="auto"/>
      </w:divBdr>
    </w:div>
    <w:div w:id="1734693339">
      <w:bodyDiv w:val="1"/>
      <w:marLeft w:val="0"/>
      <w:marRight w:val="0"/>
      <w:marTop w:val="0"/>
      <w:marBottom w:val="0"/>
      <w:divBdr>
        <w:top w:val="none" w:sz="0" w:space="0" w:color="auto"/>
        <w:left w:val="none" w:sz="0" w:space="0" w:color="auto"/>
        <w:bottom w:val="none" w:sz="0" w:space="0" w:color="auto"/>
        <w:right w:val="none" w:sz="0" w:space="0" w:color="auto"/>
      </w:divBdr>
    </w:div>
    <w:div w:id="1736733420">
      <w:bodyDiv w:val="1"/>
      <w:marLeft w:val="0"/>
      <w:marRight w:val="0"/>
      <w:marTop w:val="0"/>
      <w:marBottom w:val="0"/>
      <w:divBdr>
        <w:top w:val="none" w:sz="0" w:space="0" w:color="auto"/>
        <w:left w:val="none" w:sz="0" w:space="0" w:color="auto"/>
        <w:bottom w:val="none" w:sz="0" w:space="0" w:color="auto"/>
        <w:right w:val="none" w:sz="0" w:space="0" w:color="auto"/>
      </w:divBdr>
    </w:div>
    <w:div w:id="1742021455">
      <w:bodyDiv w:val="1"/>
      <w:marLeft w:val="0"/>
      <w:marRight w:val="0"/>
      <w:marTop w:val="0"/>
      <w:marBottom w:val="0"/>
      <w:divBdr>
        <w:top w:val="none" w:sz="0" w:space="0" w:color="auto"/>
        <w:left w:val="none" w:sz="0" w:space="0" w:color="auto"/>
        <w:bottom w:val="none" w:sz="0" w:space="0" w:color="auto"/>
        <w:right w:val="none" w:sz="0" w:space="0" w:color="auto"/>
      </w:divBdr>
    </w:div>
    <w:div w:id="1742215420">
      <w:bodyDiv w:val="1"/>
      <w:marLeft w:val="0"/>
      <w:marRight w:val="0"/>
      <w:marTop w:val="0"/>
      <w:marBottom w:val="0"/>
      <w:divBdr>
        <w:top w:val="none" w:sz="0" w:space="0" w:color="auto"/>
        <w:left w:val="none" w:sz="0" w:space="0" w:color="auto"/>
        <w:bottom w:val="none" w:sz="0" w:space="0" w:color="auto"/>
        <w:right w:val="none" w:sz="0" w:space="0" w:color="auto"/>
      </w:divBdr>
    </w:div>
    <w:div w:id="1743600889">
      <w:bodyDiv w:val="1"/>
      <w:marLeft w:val="0"/>
      <w:marRight w:val="0"/>
      <w:marTop w:val="0"/>
      <w:marBottom w:val="0"/>
      <w:divBdr>
        <w:top w:val="none" w:sz="0" w:space="0" w:color="auto"/>
        <w:left w:val="none" w:sz="0" w:space="0" w:color="auto"/>
        <w:bottom w:val="none" w:sz="0" w:space="0" w:color="auto"/>
        <w:right w:val="none" w:sz="0" w:space="0" w:color="auto"/>
      </w:divBdr>
    </w:div>
    <w:div w:id="1746758863">
      <w:bodyDiv w:val="1"/>
      <w:marLeft w:val="0"/>
      <w:marRight w:val="0"/>
      <w:marTop w:val="0"/>
      <w:marBottom w:val="0"/>
      <w:divBdr>
        <w:top w:val="none" w:sz="0" w:space="0" w:color="auto"/>
        <w:left w:val="none" w:sz="0" w:space="0" w:color="auto"/>
        <w:bottom w:val="none" w:sz="0" w:space="0" w:color="auto"/>
        <w:right w:val="none" w:sz="0" w:space="0" w:color="auto"/>
      </w:divBdr>
    </w:div>
    <w:div w:id="1750692320">
      <w:bodyDiv w:val="1"/>
      <w:marLeft w:val="0"/>
      <w:marRight w:val="0"/>
      <w:marTop w:val="0"/>
      <w:marBottom w:val="0"/>
      <w:divBdr>
        <w:top w:val="none" w:sz="0" w:space="0" w:color="auto"/>
        <w:left w:val="none" w:sz="0" w:space="0" w:color="auto"/>
        <w:bottom w:val="none" w:sz="0" w:space="0" w:color="auto"/>
        <w:right w:val="none" w:sz="0" w:space="0" w:color="auto"/>
      </w:divBdr>
    </w:div>
    <w:div w:id="1753893538">
      <w:bodyDiv w:val="1"/>
      <w:marLeft w:val="0"/>
      <w:marRight w:val="0"/>
      <w:marTop w:val="0"/>
      <w:marBottom w:val="0"/>
      <w:divBdr>
        <w:top w:val="none" w:sz="0" w:space="0" w:color="auto"/>
        <w:left w:val="none" w:sz="0" w:space="0" w:color="auto"/>
        <w:bottom w:val="none" w:sz="0" w:space="0" w:color="auto"/>
        <w:right w:val="none" w:sz="0" w:space="0" w:color="auto"/>
      </w:divBdr>
    </w:div>
    <w:div w:id="1766077989">
      <w:bodyDiv w:val="1"/>
      <w:marLeft w:val="0"/>
      <w:marRight w:val="0"/>
      <w:marTop w:val="0"/>
      <w:marBottom w:val="0"/>
      <w:divBdr>
        <w:top w:val="none" w:sz="0" w:space="0" w:color="auto"/>
        <w:left w:val="none" w:sz="0" w:space="0" w:color="auto"/>
        <w:bottom w:val="none" w:sz="0" w:space="0" w:color="auto"/>
        <w:right w:val="none" w:sz="0" w:space="0" w:color="auto"/>
      </w:divBdr>
    </w:div>
    <w:div w:id="1771119582">
      <w:bodyDiv w:val="1"/>
      <w:marLeft w:val="0"/>
      <w:marRight w:val="0"/>
      <w:marTop w:val="0"/>
      <w:marBottom w:val="0"/>
      <w:divBdr>
        <w:top w:val="none" w:sz="0" w:space="0" w:color="auto"/>
        <w:left w:val="none" w:sz="0" w:space="0" w:color="auto"/>
        <w:bottom w:val="none" w:sz="0" w:space="0" w:color="auto"/>
        <w:right w:val="none" w:sz="0" w:space="0" w:color="auto"/>
      </w:divBdr>
    </w:div>
    <w:div w:id="1771466385">
      <w:bodyDiv w:val="1"/>
      <w:marLeft w:val="0"/>
      <w:marRight w:val="0"/>
      <w:marTop w:val="0"/>
      <w:marBottom w:val="0"/>
      <w:divBdr>
        <w:top w:val="none" w:sz="0" w:space="0" w:color="auto"/>
        <w:left w:val="none" w:sz="0" w:space="0" w:color="auto"/>
        <w:bottom w:val="none" w:sz="0" w:space="0" w:color="auto"/>
        <w:right w:val="none" w:sz="0" w:space="0" w:color="auto"/>
      </w:divBdr>
    </w:div>
    <w:div w:id="1773746895">
      <w:bodyDiv w:val="1"/>
      <w:marLeft w:val="0"/>
      <w:marRight w:val="0"/>
      <w:marTop w:val="0"/>
      <w:marBottom w:val="0"/>
      <w:divBdr>
        <w:top w:val="none" w:sz="0" w:space="0" w:color="auto"/>
        <w:left w:val="none" w:sz="0" w:space="0" w:color="auto"/>
        <w:bottom w:val="none" w:sz="0" w:space="0" w:color="auto"/>
        <w:right w:val="none" w:sz="0" w:space="0" w:color="auto"/>
      </w:divBdr>
    </w:div>
    <w:div w:id="1775587021">
      <w:bodyDiv w:val="1"/>
      <w:marLeft w:val="0"/>
      <w:marRight w:val="0"/>
      <w:marTop w:val="0"/>
      <w:marBottom w:val="0"/>
      <w:divBdr>
        <w:top w:val="none" w:sz="0" w:space="0" w:color="auto"/>
        <w:left w:val="none" w:sz="0" w:space="0" w:color="auto"/>
        <w:bottom w:val="none" w:sz="0" w:space="0" w:color="auto"/>
        <w:right w:val="none" w:sz="0" w:space="0" w:color="auto"/>
      </w:divBdr>
    </w:div>
    <w:div w:id="1776902961">
      <w:bodyDiv w:val="1"/>
      <w:marLeft w:val="0"/>
      <w:marRight w:val="0"/>
      <w:marTop w:val="0"/>
      <w:marBottom w:val="0"/>
      <w:divBdr>
        <w:top w:val="none" w:sz="0" w:space="0" w:color="auto"/>
        <w:left w:val="none" w:sz="0" w:space="0" w:color="auto"/>
        <w:bottom w:val="none" w:sz="0" w:space="0" w:color="auto"/>
        <w:right w:val="none" w:sz="0" w:space="0" w:color="auto"/>
      </w:divBdr>
    </w:div>
    <w:div w:id="1777484100">
      <w:bodyDiv w:val="1"/>
      <w:marLeft w:val="0"/>
      <w:marRight w:val="0"/>
      <w:marTop w:val="0"/>
      <w:marBottom w:val="0"/>
      <w:divBdr>
        <w:top w:val="none" w:sz="0" w:space="0" w:color="auto"/>
        <w:left w:val="none" w:sz="0" w:space="0" w:color="auto"/>
        <w:bottom w:val="none" w:sz="0" w:space="0" w:color="auto"/>
        <w:right w:val="none" w:sz="0" w:space="0" w:color="auto"/>
      </w:divBdr>
    </w:div>
    <w:div w:id="1778595651">
      <w:bodyDiv w:val="1"/>
      <w:marLeft w:val="0"/>
      <w:marRight w:val="0"/>
      <w:marTop w:val="0"/>
      <w:marBottom w:val="0"/>
      <w:divBdr>
        <w:top w:val="none" w:sz="0" w:space="0" w:color="auto"/>
        <w:left w:val="none" w:sz="0" w:space="0" w:color="auto"/>
        <w:bottom w:val="none" w:sz="0" w:space="0" w:color="auto"/>
        <w:right w:val="none" w:sz="0" w:space="0" w:color="auto"/>
      </w:divBdr>
    </w:div>
    <w:div w:id="1782141755">
      <w:bodyDiv w:val="1"/>
      <w:marLeft w:val="0"/>
      <w:marRight w:val="0"/>
      <w:marTop w:val="0"/>
      <w:marBottom w:val="0"/>
      <w:divBdr>
        <w:top w:val="none" w:sz="0" w:space="0" w:color="auto"/>
        <w:left w:val="none" w:sz="0" w:space="0" w:color="auto"/>
        <w:bottom w:val="none" w:sz="0" w:space="0" w:color="auto"/>
        <w:right w:val="none" w:sz="0" w:space="0" w:color="auto"/>
      </w:divBdr>
    </w:div>
    <w:div w:id="1782187743">
      <w:bodyDiv w:val="1"/>
      <w:marLeft w:val="0"/>
      <w:marRight w:val="0"/>
      <w:marTop w:val="0"/>
      <w:marBottom w:val="0"/>
      <w:divBdr>
        <w:top w:val="none" w:sz="0" w:space="0" w:color="auto"/>
        <w:left w:val="none" w:sz="0" w:space="0" w:color="auto"/>
        <w:bottom w:val="none" w:sz="0" w:space="0" w:color="auto"/>
        <w:right w:val="none" w:sz="0" w:space="0" w:color="auto"/>
      </w:divBdr>
    </w:div>
    <w:div w:id="1783189845">
      <w:bodyDiv w:val="1"/>
      <w:marLeft w:val="0"/>
      <w:marRight w:val="0"/>
      <w:marTop w:val="0"/>
      <w:marBottom w:val="0"/>
      <w:divBdr>
        <w:top w:val="none" w:sz="0" w:space="0" w:color="auto"/>
        <w:left w:val="none" w:sz="0" w:space="0" w:color="auto"/>
        <w:bottom w:val="none" w:sz="0" w:space="0" w:color="auto"/>
        <w:right w:val="none" w:sz="0" w:space="0" w:color="auto"/>
      </w:divBdr>
    </w:div>
    <w:div w:id="1784495989">
      <w:bodyDiv w:val="1"/>
      <w:marLeft w:val="0"/>
      <w:marRight w:val="0"/>
      <w:marTop w:val="0"/>
      <w:marBottom w:val="0"/>
      <w:divBdr>
        <w:top w:val="none" w:sz="0" w:space="0" w:color="auto"/>
        <w:left w:val="none" w:sz="0" w:space="0" w:color="auto"/>
        <w:bottom w:val="none" w:sz="0" w:space="0" w:color="auto"/>
        <w:right w:val="none" w:sz="0" w:space="0" w:color="auto"/>
      </w:divBdr>
    </w:div>
    <w:div w:id="1791630299">
      <w:bodyDiv w:val="1"/>
      <w:marLeft w:val="0"/>
      <w:marRight w:val="0"/>
      <w:marTop w:val="0"/>
      <w:marBottom w:val="0"/>
      <w:divBdr>
        <w:top w:val="none" w:sz="0" w:space="0" w:color="auto"/>
        <w:left w:val="none" w:sz="0" w:space="0" w:color="auto"/>
        <w:bottom w:val="none" w:sz="0" w:space="0" w:color="auto"/>
        <w:right w:val="none" w:sz="0" w:space="0" w:color="auto"/>
      </w:divBdr>
    </w:div>
    <w:div w:id="1792047758">
      <w:bodyDiv w:val="1"/>
      <w:marLeft w:val="0"/>
      <w:marRight w:val="0"/>
      <w:marTop w:val="0"/>
      <w:marBottom w:val="0"/>
      <w:divBdr>
        <w:top w:val="none" w:sz="0" w:space="0" w:color="auto"/>
        <w:left w:val="none" w:sz="0" w:space="0" w:color="auto"/>
        <w:bottom w:val="none" w:sz="0" w:space="0" w:color="auto"/>
        <w:right w:val="none" w:sz="0" w:space="0" w:color="auto"/>
      </w:divBdr>
    </w:div>
    <w:div w:id="1793356824">
      <w:bodyDiv w:val="1"/>
      <w:marLeft w:val="0"/>
      <w:marRight w:val="0"/>
      <w:marTop w:val="0"/>
      <w:marBottom w:val="0"/>
      <w:divBdr>
        <w:top w:val="none" w:sz="0" w:space="0" w:color="auto"/>
        <w:left w:val="none" w:sz="0" w:space="0" w:color="auto"/>
        <w:bottom w:val="none" w:sz="0" w:space="0" w:color="auto"/>
        <w:right w:val="none" w:sz="0" w:space="0" w:color="auto"/>
      </w:divBdr>
    </w:div>
    <w:div w:id="1795828493">
      <w:bodyDiv w:val="1"/>
      <w:marLeft w:val="0"/>
      <w:marRight w:val="0"/>
      <w:marTop w:val="0"/>
      <w:marBottom w:val="0"/>
      <w:divBdr>
        <w:top w:val="none" w:sz="0" w:space="0" w:color="auto"/>
        <w:left w:val="none" w:sz="0" w:space="0" w:color="auto"/>
        <w:bottom w:val="none" w:sz="0" w:space="0" w:color="auto"/>
        <w:right w:val="none" w:sz="0" w:space="0" w:color="auto"/>
      </w:divBdr>
    </w:div>
    <w:div w:id="1798647147">
      <w:bodyDiv w:val="1"/>
      <w:marLeft w:val="0"/>
      <w:marRight w:val="0"/>
      <w:marTop w:val="0"/>
      <w:marBottom w:val="0"/>
      <w:divBdr>
        <w:top w:val="none" w:sz="0" w:space="0" w:color="auto"/>
        <w:left w:val="none" w:sz="0" w:space="0" w:color="auto"/>
        <w:bottom w:val="none" w:sz="0" w:space="0" w:color="auto"/>
        <w:right w:val="none" w:sz="0" w:space="0" w:color="auto"/>
      </w:divBdr>
    </w:div>
    <w:div w:id="1799059385">
      <w:bodyDiv w:val="1"/>
      <w:marLeft w:val="0"/>
      <w:marRight w:val="0"/>
      <w:marTop w:val="0"/>
      <w:marBottom w:val="0"/>
      <w:divBdr>
        <w:top w:val="none" w:sz="0" w:space="0" w:color="auto"/>
        <w:left w:val="none" w:sz="0" w:space="0" w:color="auto"/>
        <w:bottom w:val="none" w:sz="0" w:space="0" w:color="auto"/>
        <w:right w:val="none" w:sz="0" w:space="0" w:color="auto"/>
      </w:divBdr>
    </w:div>
    <w:div w:id="1800996014">
      <w:bodyDiv w:val="1"/>
      <w:marLeft w:val="0"/>
      <w:marRight w:val="0"/>
      <w:marTop w:val="0"/>
      <w:marBottom w:val="0"/>
      <w:divBdr>
        <w:top w:val="none" w:sz="0" w:space="0" w:color="auto"/>
        <w:left w:val="none" w:sz="0" w:space="0" w:color="auto"/>
        <w:bottom w:val="none" w:sz="0" w:space="0" w:color="auto"/>
        <w:right w:val="none" w:sz="0" w:space="0" w:color="auto"/>
      </w:divBdr>
    </w:div>
    <w:div w:id="1805849292">
      <w:bodyDiv w:val="1"/>
      <w:marLeft w:val="0"/>
      <w:marRight w:val="0"/>
      <w:marTop w:val="0"/>
      <w:marBottom w:val="0"/>
      <w:divBdr>
        <w:top w:val="none" w:sz="0" w:space="0" w:color="auto"/>
        <w:left w:val="none" w:sz="0" w:space="0" w:color="auto"/>
        <w:bottom w:val="none" w:sz="0" w:space="0" w:color="auto"/>
        <w:right w:val="none" w:sz="0" w:space="0" w:color="auto"/>
      </w:divBdr>
    </w:div>
    <w:div w:id="1807623051">
      <w:bodyDiv w:val="1"/>
      <w:marLeft w:val="0"/>
      <w:marRight w:val="0"/>
      <w:marTop w:val="0"/>
      <w:marBottom w:val="0"/>
      <w:divBdr>
        <w:top w:val="none" w:sz="0" w:space="0" w:color="auto"/>
        <w:left w:val="none" w:sz="0" w:space="0" w:color="auto"/>
        <w:bottom w:val="none" w:sz="0" w:space="0" w:color="auto"/>
        <w:right w:val="none" w:sz="0" w:space="0" w:color="auto"/>
      </w:divBdr>
    </w:div>
    <w:div w:id="1808039500">
      <w:bodyDiv w:val="1"/>
      <w:marLeft w:val="0"/>
      <w:marRight w:val="0"/>
      <w:marTop w:val="0"/>
      <w:marBottom w:val="0"/>
      <w:divBdr>
        <w:top w:val="none" w:sz="0" w:space="0" w:color="auto"/>
        <w:left w:val="none" w:sz="0" w:space="0" w:color="auto"/>
        <w:bottom w:val="none" w:sz="0" w:space="0" w:color="auto"/>
        <w:right w:val="none" w:sz="0" w:space="0" w:color="auto"/>
      </w:divBdr>
    </w:div>
    <w:div w:id="1812215285">
      <w:bodyDiv w:val="1"/>
      <w:marLeft w:val="0"/>
      <w:marRight w:val="0"/>
      <w:marTop w:val="0"/>
      <w:marBottom w:val="0"/>
      <w:divBdr>
        <w:top w:val="none" w:sz="0" w:space="0" w:color="auto"/>
        <w:left w:val="none" w:sz="0" w:space="0" w:color="auto"/>
        <w:bottom w:val="none" w:sz="0" w:space="0" w:color="auto"/>
        <w:right w:val="none" w:sz="0" w:space="0" w:color="auto"/>
      </w:divBdr>
    </w:div>
    <w:div w:id="1812399948">
      <w:bodyDiv w:val="1"/>
      <w:marLeft w:val="0"/>
      <w:marRight w:val="0"/>
      <w:marTop w:val="0"/>
      <w:marBottom w:val="0"/>
      <w:divBdr>
        <w:top w:val="none" w:sz="0" w:space="0" w:color="auto"/>
        <w:left w:val="none" w:sz="0" w:space="0" w:color="auto"/>
        <w:bottom w:val="none" w:sz="0" w:space="0" w:color="auto"/>
        <w:right w:val="none" w:sz="0" w:space="0" w:color="auto"/>
      </w:divBdr>
    </w:div>
    <w:div w:id="1817141111">
      <w:bodyDiv w:val="1"/>
      <w:marLeft w:val="0"/>
      <w:marRight w:val="0"/>
      <w:marTop w:val="0"/>
      <w:marBottom w:val="0"/>
      <w:divBdr>
        <w:top w:val="none" w:sz="0" w:space="0" w:color="auto"/>
        <w:left w:val="none" w:sz="0" w:space="0" w:color="auto"/>
        <w:bottom w:val="none" w:sz="0" w:space="0" w:color="auto"/>
        <w:right w:val="none" w:sz="0" w:space="0" w:color="auto"/>
      </w:divBdr>
    </w:div>
    <w:div w:id="1820802281">
      <w:bodyDiv w:val="1"/>
      <w:marLeft w:val="0"/>
      <w:marRight w:val="0"/>
      <w:marTop w:val="0"/>
      <w:marBottom w:val="0"/>
      <w:divBdr>
        <w:top w:val="none" w:sz="0" w:space="0" w:color="auto"/>
        <w:left w:val="none" w:sz="0" w:space="0" w:color="auto"/>
        <w:bottom w:val="none" w:sz="0" w:space="0" w:color="auto"/>
        <w:right w:val="none" w:sz="0" w:space="0" w:color="auto"/>
      </w:divBdr>
    </w:div>
    <w:div w:id="1823545995">
      <w:bodyDiv w:val="1"/>
      <w:marLeft w:val="0"/>
      <w:marRight w:val="0"/>
      <w:marTop w:val="0"/>
      <w:marBottom w:val="0"/>
      <w:divBdr>
        <w:top w:val="none" w:sz="0" w:space="0" w:color="auto"/>
        <w:left w:val="none" w:sz="0" w:space="0" w:color="auto"/>
        <w:bottom w:val="none" w:sz="0" w:space="0" w:color="auto"/>
        <w:right w:val="none" w:sz="0" w:space="0" w:color="auto"/>
      </w:divBdr>
    </w:div>
    <w:div w:id="1828326719">
      <w:bodyDiv w:val="1"/>
      <w:marLeft w:val="0"/>
      <w:marRight w:val="0"/>
      <w:marTop w:val="0"/>
      <w:marBottom w:val="0"/>
      <w:divBdr>
        <w:top w:val="none" w:sz="0" w:space="0" w:color="auto"/>
        <w:left w:val="none" w:sz="0" w:space="0" w:color="auto"/>
        <w:bottom w:val="none" w:sz="0" w:space="0" w:color="auto"/>
        <w:right w:val="none" w:sz="0" w:space="0" w:color="auto"/>
      </w:divBdr>
    </w:div>
    <w:div w:id="1831216102">
      <w:bodyDiv w:val="1"/>
      <w:marLeft w:val="0"/>
      <w:marRight w:val="0"/>
      <w:marTop w:val="0"/>
      <w:marBottom w:val="0"/>
      <w:divBdr>
        <w:top w:val="none" w:sz="0" w:space="0" w:color="auto"/>
        <w:left w:val="none" w:sz="0" w:space="0" w:color="auto"/>
        <w:bottom w:val="none" w:sz="0" w:space="0" w:color="auto"/>
        <w:right w:val="none" w:sz="0" w:space="0" w:color="auto"/>
      </w:divBdr>
    </w:div>
    <w:div w:id="1839349113">
      <w:bodyDiv w:val="1"/>
      <w:marLeft w:val="0"/>
      <w:marRight w:val="0"/>
      <w:marTop w:val="0"/>
      <w:marBottom w:val="0"/>
      <w:divBdr>
        <w:top w:val="none" w:sz="0" w:space="0" w:color="auto"/>
        <w:left w:val="none" w:sz="0" w:space="0" w:color="auto"/>
        <w:bottom w:val="none" w:sz="0" w:space="0" w:color="auto"/>
        <w:right w:val="none" w:sz="0" w:space="0" w:color="auto"/>
      </w:divBdr>
    </w:div>
    <w:div w:id="1846821572">
      <w:bodyDiv w:val="1"/>
      <w:marLeft w:val="0"/>
      <w:marRight w:val="0"/>
      <w:marTop w:val="0"/>
      <w:marBottom w:val="0"/>
      <w:divBdr>
        <w:top w:val="none" w:sz="0" w:space="0" w:color="auto"/>
        <w:left w:val="none" w:sz="0" w:space="0" w:color="auto"/>
        <w:bottom w:val="none" w:sz="0" w:space="0" w:color="auto"/>
        <w:right w:val="none" w:sz="0" w:space="0" w:color="auto"/>
      </w:divBdr>
    </w:div>
    <w:div w:id="1850363681">
      <w:bodyDiv w:val="1"/>
      <w:marLeft w:val="0"/>
      <w:marRight w:val="0"/>
      <w:marTop w:val="0"/>
      <w:marBottom w:val="0"/>
      <w:divBdr>
        <w:top w:val="none" w:sz="0" w:space="0" w:color="auto"/>
        <w:left w:val="none" w:sz="0" w:space="0" w:color="auto"/>
        <w:bottom w:val="none" w:sz="0" w:space="0" w:color="auto"/>
        <w:right w:val="none" w:sz="0" w:space="0" w:color="auto"/>
      </w:divBdr>
    </w:div>
    <w:div w:id="1852258837">
      <w:bodyDiv w:val="1"/>
      <w:marLeft w:val="0"/>
      <w:marRight w:val="0"/>
      <w:marTop w:val="0"/>
      <w:marBottom w:val="0"/>
      <w:divBdr>
        <w:top w:val="none" w:sz="0" w:space="0" w:color="auto"/>
        <w:left w:val="none" w:sz="0" w:space="0" w:color="auto"/>
        <w:bottom w:val="none" w:sz="0" w:space="0" w:color="auto"/>
        <w:right w:val="none" w:sz="0" w:space="0" w:color="auto"/>
      </w:divBdr>
    </w:div>
    <w:div w:id="1862468520">
      <w:bodyDiv w:val="1"/>
      <w:marLeft w:val="0"/>
      <w:marRight w:val="0"/>
      <w:marTop w:val="0"/>
      <w:marBottom w:val="0"/>
      <w:divBdr>
        <w:top w:val="none" w:sz="0" w:space="0" w:color="auto"/>
        <w:left w:val="none" w:sz="0" w:space="0" w:color="auto"/>
        <w:bottom w:val="none" w:sz="0" w:space="0" w:color="auto"/>
        <w:right w:val="none" w:sz="0" w:space="0" w:color="auto"/>
      </w:divBdr>
    </w:div>
    <w:div w:id="1865898346">
      <w:bodyDiv w:val="1"/>
      <w:marLeft w:val="0"/>
      <w:marRight w:val="0"/>
      <w:marTop w:val="0"/>
      <w:marBottom w:val="0"/>
      <w:divBdr>
        <w:top w:val="none" w:sz="0" w:space="0" w:color="auto"/>
        <w:left w:val="none" w:sz="0" w:space="0" w:color="auto"/>
        <w:bottom w:val="none" w:sz="0" w:space="0" w:color="auto"/>
        <w:right w:val="none" w:sz="0" w:space="0" w:color="auto"/>
      </w:divBdr>
    </w:div>
    <w:div w:id="1867400787">
      <w:bodyDiv w:val="1"/>
      <w:marLeft w:val="0"/>
      <w:marRight w:val="0"/>
      <w:marTop w:val="0"/>
      <w:marBottom w:val="0"/>
      <w:divBdr>
        <w:top w:val="none" w:sz="0" w:space="0" w:color="auto"/>
        <w:left w:val="none" w:sz="0" w:space="0" w:color="auto"/>
        <w:bottom w:val="none" w:sz="0" w:space="0" w:color="auto"/>
        <w:right w:val="none" w:sz="0" w:space="0" w:color="auto"/>
      </w:divBdr>
    </w:div>
    <w:div w:id="1868332750">
      <w:bodyDiv w:val="1"/>
      <w:marLeft w:val="0"/>
      <w:marRight w:val="0"/>
      <w:marTop w:val="0"/>
      <w:marBottom w:val="0"/>
      <w:divBdr>
        <w:top w:val="none" w:sz="0" w:space="0" w:color="auto"/>
        <w:left w:val="none" w:sz="0" w:space="0" w:color="auto"/>
        <w:bottom w:val="none" w:sz="0" w:space="0" w:color="auto"/>
        <w:right w:val="none" w:sz="0" w:space="0" w:color="auto"/>
      </w:divBdr>
    </w:div>
    <w:div w:id="1869903113">
      <w:bodyDiv w:val="1"/>
      <w:marLeft w:val="0"/>
      <w:marRight w:val="0"/>
      <w:marTop w:val="0"/>
      <w:marBottom w:val="0"/>
      <w:divBdr>
        <w:top w:val="none" w:sz="0" w:space="0" w:color="auto"/>
        <w:left w:val="none" w:sz="0" w:space="0" w:color="auto"/>
        <w:bottom w:val="none" w:sz="0" w:space="0" w:color="auto"/>
        <w:right w:val="none" w:sz="0" w:space="0" w:color="auto"/>
      </w:divBdr>
    </w:div>
    <w:div w:id="1870602885">
      <w:bodyDiv w:val="1"/>
      <w:marLeft w:val="0"/>
      <w:marRight w:val="0"/>
      <w:marTop w:val="0"/>
      <w:marBottom w:val="0"/>
      <w:divBdr>
        <w:top w:val="none" w:sz="0" w:space="0" w:color="auto"/>
        <w:left w:val="none" w:sz="0" w:space="0" w:color="auto"/>
        <w:bottom w:val="none" w:sz="0" w:space="0" w:color="auto"/>
        <w:right w:val="none" w:sz="0" w:space="0" w:color="auto"/>
      </w:divBdr>
    </w:div>
    <w:div w:id="1871143384">
      <w:bodyDiv w:val="1"/>
      <w:marLeft w:val="0"/>
      <w:marRight w:val="0"/>
      <w:marTop w:val="0"/>
      <w:marBottom w:val="0"/>
      <w:divBdr>
        <w:top w:val="none" w:sz="0" w:space="0" w:color="auto"/>
        <w:left w:val="none" w:sz="0" w:space="0" w:color="auto"/>
        <w:bottom w:val="none" w:sz="0" w:space="0" w:color="auto"/>
        <w:right w:val="none" w:sz="0" w:space="0" w:color="auto"/>
      </w:divBdr>
    </w:div>
    <w:div w:id="1874419253">
      <w:bodyDiv w:val="1"/>
      <w:marLeft w:val="0"/>
      <w:marRight w:val="0"/>
      <w:marTop w:val="0"/>
      <w:marBottom w:val="0"/>
      <w:divBdr>
        <w:top w:val="none" w:sz="0" w:space="0" w:color="auto"/>
        <w:left w:val="none" w:sz="0" w:space="0" w:color="auto"/>
        <w:bottom w:val="none" w:sz="0" w:space="0" w:color="auto"/>
        <w:right w:val="none" w:sz="0" w:space="0" w:color="auto"/>
      </w:divBdr>
    </w:div>
    <w:div w:id="1875313000">
      <w:bodyDiv w:val="1"/>
      <w:marLeft w:val="0"/>
      <w:marRight w:val="0"/>
      <w:marTop w:val="0"/>
      <w:marBottom w:val="0"/>
      <w:divBdr>
        <w:top w:val="none" w:sz="0" w:space="0" w:color="auto"/>
        <w:left w:val="none" w:sz="0" w:space="0" w:color="auto"/>
        <w:bottom w:val="none" w:sz="0" w:space="0" w:color="auto"/>
        <w:right w:val="none" w:sz="0" w:space="0" w:color="auto"/>
      </w:divBdr>
    </w:div>
    <w:div w:id="1876116637">
      <w:bodyDiv w:val="1"/>
      <w:marLeft w:val="0"/>
      <w:marRight w:val="0"/>
      <w:marTop w:val="0"/>
      <w:marBottom w:val="0"/>
      <w:divBdr>
        <w:top w:val="none" w:sz="0" w:space="0" w:color="auto"/>
        <w:left w:val="none" w:sz="0" w:space="0" w:color="auto"/>
        <w:bottom w:val="none" w:sz="0" w:space="0" w:color="auto"/>
        <w:right w:val="none" w:sz="0" w:space="0" w:color="auto"/>
      </w:divBdr>
    </w:div>
    <w:div w:id="1877235683">
      <w:bodyDiv w:val="1"/>
      <w:marLeft w:val="0"/>
      <w:marRight w:val="0"/>
      <w:marTop w:val="0"/>
      <w:marBottom w:val="0"/>
      <w:divBdr>
        <w:top w:val="none" w:sz="0" w:space="0" w:color="auto"/>
        <w:left w:val="none" w:sz="0" w:space="0" w:color="auto"/>
        <w:bottom w:val="none" w:sz="0" w:space="0" w:color="auto"/>
        <w:right w:val="none" w:sz="0" w:space="0" w:color="auto"/>
      </w:divBdr>
    </w:div>
    <w:div w:id="1880315454">
      <w:bodyDiv w:val="1"/>
      <w:marLeft w:val="0"/>
      <w:marRight w:val="0"/>
      <w:marTop w:val="0"/>
      <w:marBottom w:val="0"/>
      <w:divBdr>
        <w:top w:val="none" w:sz="0" w:space="0" w:color="auto"/>
        <w:left w:val="none" w:sz="0" w:space="0" w:color="auto"/>
        <w:bottom w:val="none" w:sz="0" w:space="0" w:color="auto"/>
        <w:right w:val="none" w:sz="0" w:space="0" w:color="auto"/>
      </w:divBdr>
    </w:div>
    <w:div w:id="1882010956">
      <w:bodyDiv w:val="1"/>
      <w:marLeft w:val="0"/>
      <w:marRight w:val="0"/>
      <w:marTop w:val="0"/>
      <w:marBottom w:val="0"/>
      <w:divBdr>
        <w:top w:val="none" w:sz="0" w:space="0" w:color="auto"/>
        <w:left w:val="none" w:sz="0" w:space="0" w:color="auto"/>
        <w:bottom w:val="none" w:sz="0" w:space="0" w:color="auto"/>
        <w:right w:val="none" w:sz="0" w:space="0" w:color="auto"/>
      </w:divBdr>
    </w:div>
    <w:div w:id="1882477445">
      <w:bodyDiv w:val="1"/>
      <w:marLeft w:val="0"/>
      <w:marRight w:val="0"/>
      <w:marTop w:val="0"/>
      <w:marBottom w:val="0"/>
      <w:divBdr>
        <w:top w:val="none" w:sz="0" w:space="0" w:color="auto"/>
        <w:left w:val="none" w:sz="0" w:space="0" w:color="auto"/>
        <w:bottom w:val="none" w:sz="0" w:space="0" w:color="auto"/>
        <w:right w:val="none" w:sz="0" w:space="0" w:color="auto"/>
      </w:divBdr>
    </w:div>
    <w:div w:id="1884445531">
      <w:bodyDiv w:val="1"/>
      <w:marLeft w:val="0"/>
      <w:marRight w:val="0"/>
      <w:marTop w:val="0"/>
      <w:marBottom w:val="0"/>
      <w:divBdr>
        <w:top w:val="none" w:sz="0" w:space="0" w:color="auto"/>
        <w:left w:val="none" w:sz="0" w:space="0" w:color="auto"/>
        <w:bottom w:val="none" w:sz="0" w:space="0" w:color="auto"/>
        <w:right w:val="none" w:sz="0" w:space="0" w:color="auto"/>
      </w:divBdr>
    </w:div>
    <w:div w:id="1891989009">
      <w:bodyDiv w:val="1"/>
      <w:marLeft w:val="0"/>
      <w:marRight w:val="0"/>
      <w:marTop w:val="0"/>
      <w:marBottom w:val="0"/>
      <w:divBdr>
        <w:top w:val="none" w:sz="0" w:space="0" w:color="auto"/>
        <w:left w:val="none" w:sz="0" w:space="0" w:color="auto"/>
        <w:bottom w:val="none" w:sz="0" w:space="0" w:color="auto"/>
        <w:right w:val="none" w:sz="0" w:space="0" w:color="auto"/>
      </w:divBdr>
    </w:div>
    <w:div w:id="1897545549">
      <w:bodyDiv w:val="1"/>
      <w:marLeft w:val="0"/>
      <w:marRight w:val="0"/>
      <w:marTop w:val="0"/>
      <w:marBottom w:val="0"/>
      <w:divBdr>
        <w:top w:val="none" w:sz="0" w:space="0" w:color="auto"/>
        <w:left w:val="none" w:sz="0" w:space="0" w:color="auto"/>
        <w:bottom w:val="none" w:sz="0" w:space="0" w:color="auto"/>
        <w:right w:val="none" w:sz="0" w:space="0" w:color="auto"/>
      </w:divBdr>
    </w:div>
    <w:div w:id="1898323509">
      <w:bodyDiv w:val="1"/>
      <w:marLeft w:val="0"/>
      <w:marRight w:val="0"/>
      <w:marTop w:val="0"/>
      <w:marBottom w:val="0"/>
      <w:divBdr>
        <w:top w:val="none" w:sz="0" w:space="0" w:color="auto"/>
        <w:left w:val="none" w:sz="0" w:space="0" w:color="auto"/>
        <w:bottom w:val="none" w:sz="0" w:space="0" w:color="auto"/>
        <w:right w:val="none" w:sz="0" w:space="0" w:color="auto"/>
      </w:divBdr>
    </w:div>
    <w:div w:id="1900045153">
      <w:bodyDiv w:val="1"/>
      <w:marLeft w:val="0"/>
      <w:marRight w:val="0"/>
      <w:marTop w:val="0"/>
      <w:marBottom w:val="0"/>
      <w:divBdr>
        <w:top w:val="none" w:sz="0" w:space="0" w:color="auto"/>
        <w:left w:val="none" w:sz="0" w:space="0" w:color="auto"/>
        <w:bottom w:val="none" w:sz="0" w:space="0" w:color="auto"/>
        <w:right w:val="none" w:sz="0" w:space="0" w:color="auto"/>
      </w:divBdr>
    </w:div>
    <w:div w:id="1900937486">
      <w:bodyDiv w:val="1"/>
      <w:marLeft w:val="0"/>
      <w:marRight w:val="0"/>
      <w:marTop w:val="0"/>
      <w:marBottom w:val="0"/>
      <w:divBdr>
        <w:top w:val="none" w:sz="0" w:space="0" w:color="auto"/>
        <w:left w:val="none" w:sz="0" w:space="0" w:color="auto"/>
        <w:bottom w:val="none" w:sz="0" w:space="0" w:color="auto"/>
        <w:right w:val="none" w:sz="0" w:space="0" w:color="auto"/>
      </w:divBdr>
    </w:div>
    <w:div w:id="1900968968">
      <w:bodyDiv w:val="1"/>
      <w:marLeft w:val="0"/>
      <w:marRight w:val="0"/>
      <w:marTop w:val="0"/>
      <w:marBottom w:val="0"/>
      <w:divBdr>
        <w:top w:val="none" w:sz="0" w:space="0" w:color="auto"/>
        <w:left w:val="none" w:sz="0" w:space="0" w:color="auto"/>
        <w:bottom w:val="none" w:sz="0" w:space="0" w:color="auto"/>
        <w:right w:val="none" w:sz="0" w:space="0" w:color="auto"/>
      </w:divBdr>
    </w:div>
    <w:div w:id="1907254399">
      <w:bodyDiv w:val="1"/>
      <w:marLeft w:val="0"/>
      <w:marRight w:val="0"/>
      <w:marTop w:val="0"/>
      <w:marBottom w:val="0"/>
      <w:divBdr>
        <w:top w:val="none" w:sz="0" w:space="0" w:color="auto"/>
        <w:left w:val="none" w:sz="0" w:space="0" w:color="auto"/>
        <w:bottom w:val="none" w:sz="0" w:space="0" w:color="auto"/>
        <w:right w:val="none" w:sz="0" w:space="0" w:color="auto"/>
      </w:divBdr>
    </w:div>
    <w:div w:id="1912278003">
      <w:bodyDiv w:val="1"/>
      <w:marLeft w:val="0"/>
      <w:marRight w:val="0"/>
      <w:marTop w:val="0"/>
      <w:marBottom w:val="0"/>
      <w:divBdr>
        <w:top w:val="none" w:sz="0" w:space="0" w:color="auto"/>
        <w:left w:val="none" w:sz="0" w:space="0" w:color="auto"/>
        <w:bottom w:val="none" w:sz="0" w:space="0" w:color="auto"/>
        <w:right w:val="none" w:sz="0" w:space="0" w:color="auto"/>
      </w:divBdr>
    </w:div>
    <w:div w:id="1914470301">
      <w:bodyDiv w:val="1"/>
      <w:marLeft w:val="0"/>
      <w:marRight w:val="0"/>
      <w:marTop w:val="0"/>
      <w:marBottom w:val="0"/>
      <w:divBdr>
        <w:top w:val="none" w:sz="0" w:space="0" w:color="auto"/>
        <w:left w:val="none" w:sz="0" w:space="0" w:color="auto"/>
        <w:bottom w:val="none" w:sz="0" w:space="0" w:color="auto"/>
        <w:right w:val="none" w:sz="0" w:space="0" w:color="auto"/>
      </w:divBdr>
    </w:div>
    <w:div w:id="1915436243">
      <w:bodyDiv w:val="1"/>
      <w:marLeft w:val="0"/>
      <w:marRight w:val="0"/>
      <w:marTop w:val="0"/>
      <w:marBottom w:val="0"/>
      <w:divBdr>
        <w:top w:val="none" w:sz="0" w:space="0" w:color="auto"/>
        <w:left w:val="none" w:sz="0" w:space="0" w:color="auto"/>
        <w:bottom w:val="none" w:sz="0" w:space="0" w:color="auto"/>
        <w:right w:val="none" w:sz="0" w:space="0" w:color="auto"/>
      </w:divBdr>
    </w:div>
    <w:div w:id="1919945860">
      <w:bodyDiv w:val="1"/>
      <w:marLeft w:val="0"/>
      <w:marRight w:val="0"/>
      <w:marTop w:val="0"/>
      <w:marBottom w:val="0"/>
      <w:divBdr>
        <w:top w:val="none" w:sz="0" w:space="0" w:color="auto"/>
        <w:left w:val="none" w:sz="0" w:space="0" w:color="auto"/>
        <w:bottom w:val="none" w:sz="0" w:space="0" w:color="auto"/>
        <w:right w:val="none" w:sz="0" w:space="0" w:color="auto"/>
      </w:divBdr>
    </w:div>
    <w:div w:id="1923447265">
      <w:bodyDiv w:val="1"/>
      <w:marLeft w:val="0"/>
      <w:marRight w:val="0"/>
      <w:marTop w:val="0"/>
      <w:marBottom w:val="0"/>
      <w:divBdr>
        <w:top w:val="none" w:sz="0" w:space="0" w:color="auto"/>
        <w:left w:val="none" w:sz="0" w:space="0" w:color="auto"/>
        <w:bottom w:val="none" w:sz="0" w:space="0" w:color="auto"/>
        <w:right w:val="none" w:sz="0" w:space="0" w:color="auto"/>
      </w:divBdr>
    </w:div>
    <w:div w:id="1923679873">
      <w:bodyDiv w:val="1"/>
      <w:marLeft w:val="0"/>
      <w:marRight w:val="0"/>
      <w:marTop w:val="0"/>
      <w:marBottom w:val="0"/>
      <w:divBdr>
        <w:top w:val="none" w:sz="0" w:space="0" w:color="auto"/>
        <w:left w:val="none" w:sz="0" w:space="0" w:color="auto"/>
        <w:bottom w:val="none" w:sz="0" w:space="0" w:color="auto"/>
        <w:right w:val="none" w:sz="0" w:space="0" w:color="auto"/>
      </w:divBdr>
    </w:div>
    <w:div w:id="1928801702">
      <w:bodyDiv w:val="1"/>
      <w:marLeft w:val="0"/>
      <w:marRight w:val="0"/>
      <w:marTop w:val="0"/>
      <w:marBottom w:val="0"/>
      <w:divBdr>
        <w:top w:val="none" w:sz="0" w:space="0" w:color="auto"/>
        <w:left w:val="none" w:sz="0" w:space="0" w:color="auto"/>
        <w:bottom w:val="none" w:sz="0" w:space="0" w:color="auto"/>
        <w:right w:val="none" w:sz="0" w:space="0" w:color="auto"/>
      </w:divBdr>
    </w:div>
    <w:div w:id="1930960415">
      <w:bodyDiv w:val="1"/>
      <w:marLeft w:val="0"/>
      <w:marRight w:val="0"/>
      <w:marTop w:val="0"/>
      <w:marBottom w:val="0"/>
      <w:divBdr>
        <w:top w:val="none" w:sz="0" w:space="0" w:color="auto"/>
        <w:left w:val="none" w:sz="0" w:space="0" w:color="auto"/>
        <w:bottom w:val="none" w:sz="0" w:space="0" w:color="auto"/>
        <w:right w:val="none" w:sz="0" w:space="0" w:color="auto"/>
      </w:divBdr>
    </w:div>
    <w:div w:id="1931304957">
      <w:bodyDiv w:val="1"/>
      <w:marLeft w:val="0"/>
      <w:marRight w:val="0"/>
      <w:marTop w:val="0"/>
      <w:marBottom w:val="0"/>
      <w:divBdr>
        <w:top w:val="none" w:sz="0" w:space="0" w:color="auto"/>
        <w:left w:val="none" w:sz="0" w:space="0" w:color="auto"/>
        <w:bottom w:val="none" w:sz="0" w:space="0" w:color="auto"/>
        <w:right w:val="none" w:sz="0" w:space="0" w:color="auto"/>
      </w:divBdr>
    </w:div>
    <w:div w:id="1931497549">
      <w:bodyDiv w:val="1"/>
      <w:marLeft w:val="0"/>
      <w:marRight w:val="0"/>
      <w:marTop w:val="0"/>
      <w:marBottom w:val="0"/>
      <w:divBdr>
        <w:top w:val="none" w:sz="0" w:space="0" w:color="auto"/>
        <w:left w:val="none" w:sz="0" w:space="0" w:color="auto"/>
        <w:bottom w:val="none" w:sz="0" w:space="0" w:color="auto"/>
        <w:right w:val="none" w:sz="0" w:space="0" w:color="auto"/>
      </w:divBdr>
    </w:div>
    <w:div w:id="1932932796">
      <w:bodyDiv w:val="1"/>
      <w:marLeft w:val="0"/>
      <w:marRight w:val="0"/>
      <w:marTop w:val="0"/>
      <w:marBottom w:val="0"/>
      <w:divBdr>
        <w:top w:val="none" w:sz="0" w:space="0" w:color="auto"/>
        <w:left w:val="none" w:sz="0" w:space="0" w:color="auto"/>
        <w:bottom w:val="none" w:sz="0" w:space="0" w:color="auto"/>
        <w:right w:val="none" w:sz="0" w:space="0" w:color="auto"/>
      </w:divBdr>
    </w:div>
    <w:div w:id="1933008503">
      <w:bodyDiv w:val="1"/>
      <w:marLeft w:val="0"/>
      <w:marRight w:val="0"/>
      <w:marTop w:val="0"/>
      <w:marBottom w:val="0"/>
      <w:divBdr>
        <w:top w:val="none" w:sz="0" w:space="0" w:color="auto"/>
        <w:left w:val="none" w:sz="0" w:space="0" w:color="auto"/>
        <w:bottom w:val="none" w:sz="0" w:space="0" w:color="auto"/>
        <w:right w:val="none" w:sz="0" w:space="0" w:color="auto"/>
      </w:divBdr>
    </w:div>
    <w:div w:id="1945922987">
      <w:bodyDiv w:val="1"/>
      <w:marLeft w:val="0"/>
      <w:marRight w:val="0"/>
      <w:marTop w:val="0"/>
      <w:marBottom w:val="0"/>
      <w:divBdr>
        <w:top w:val="none" w:sz="0" w:space="0" w:color="auto"/>
        <w:left w:val="none" w:sz="0" w:space="0" w:color="auto"/>
        <w:bottom w:val="none" w:sz="0" w:space="0" w:color="auto"/>
        <w:right w:val="none" w:sz="0" w:space="0" w:color="auto"/>
      </w:divBdr>
    </w:div>
    <w:div w:id="1947883605">
      <w:bodyDiv w:val="1"/>
      <w:marLeft w:val="0"/>
      <w:marRight w:val="0"/>
      <w:marTop w:val="0"/>
      <w:marBottom w:val="0"/>
      <w:divBdr>
        <w:top w:val="none" w:sz="0" w:space="0" w:color="auto"/>
        <w:left w:val="none" w:sz="0" w:space="0" w:color="auto"/>
        <w:bottom w:val="none" w:sz="0" w:space="0" w:color="auto"/>
        <w:right w:val="none" w:sz="0" w:space="0" w:color="auto"/>
      </w:divBdr>
    </w:div>
    <w:div w:id="1958756309">
      <w:bodyDiv w:val="1"/>
      <w:marLeft w:val="0"/>
      <w:marRight w:val="0"/>
      <w:marTop w:val="0"/>
      <w:marBottom w:val="0"/>
      <w:divBdr>
        <w:top w:val="none" w:sz="0" w:space="0" w:color="auto"/>
        <w:left w:val="none" w:sz="0" w:space="0" w:color="auto"/>
        <w:bottom w:val="none" w:sz="0" w:space="0" w:color="auto"/>
        <w:right w:val="none" w:sz="0" w:space="0" w:color="auto"/>
      </w:divBdr>
    </w:div>
    <w:div w:id="1958874530">
      <w:bodyDiv w:val="1"/>
      <w:marLeft w:val="0"/>
      <w:marRight w:val="0"/>
      <w:marTop w:val="0"/>
      <w:marBottom w:val="0"/>
      <w:divBdr>
        <w:top w:val="none" w:sz="0" w:space="0" w:color="auto"/>
        <w:left w:val="none" w:sz="0" w:space="0" w:color="auto"/>
        <w:bottom w:val="none" w:sz="0" w:space="0" w:color="auto"/>
        <w:right w:val="none" w:sz="0" w:space="0" w:color="auto"/>
      </w:divBdr>
    </w:div>
    <w:div w:id="1964534594">
      <w:bodyDiv w:val="1"/>
      <w:marLeft w:val="0"/>
      <w:marRight w:val="0"/>
      <w:marTop w:val="0"/>
      <w:marBottom w:val="0"/>
      <w:divBdr>
        <w:top w:val="none" w:sz="0" w:space="0" w:color="auto"/>
        <w:left w:val="none" w:sz="0" w:space="0" w:color="auto"/>
        <w:bottom w:val="none" w:sz="0" w:space="0" w:color="auto"/>
        <w:right w:val="none" w:sz="0" w:space="0" w:color="auto"/>
      </w:divBdr>
    </w:div>
    <w:div w:id="1974945009">
      <w:bodyDiv w:val="1"/>
      <w:marLeft w:val="0"/>
      <w:marRight w:val="0"/>
      <w:marTop w:val="0"/>
      <w:marBottom w:val="0"/>
      <w:divBdr>
        <w:top w:val="none" w:sz="0" w:space="0" w:color="auto"/>
        <w:left w:val="none" w:sz="0" w:space="0" w:color="auto"/>
        <w:bottom w:val="none" w:sz="0" w:space="0" w:color="auto"/>
        <w:right w:val="none" w:sz="0" w:space="0" w:color="auto"/>
      </w:divBdr>
    </w:div>
    <w:div w:id="1977293759">
      <w:bodyDiv w:val="1"/>
      <w:marLeft w:val="0"/>
      <w:marRight w:val="0"/>
      <w:marTop w:val="0"/>
      <w:marBottom w:val="0"/>
      <w:divBdr>
        <w:top w:val="none" w:sz="0" w:space="0" w:color="auto"/>
        <w:left w:val="none" w:sz="0" w:space="0" w:color="auto"/>
        <w:bottom w:val="none" w:sz="0" w:space="0" w:color="auto"/>
        <w:right w:val="none" w:sz="0" w:space="0" w:color="auto"/>
      </w:divBdr>
    </w:div>
    <w:div w:id="1979873814">
      <w:bodyDiv w:val="1"/>
      <w:marLeft w:val="0"/>
      <w:marRight w:val="0"/>
      <w:marTop w:val="0"/>
      <w:marBottom w:val="0"/>
      <w:divBdr>
        <w:top w:val="none" w:sz="0" w:space="0" w:color="auto"/>
        <w:left w:val="none" w:sz="0" w:space="0" w:color="auto"/>
        <w:bottom w:val="none" w:sz="0" w:space="0" w:color="auto"/>
        <w:right w:val="none" w:sz="0" w:space="0" w:color="auto"/>
      </w:divBdr>
    </w:div>
    <w:div w:id="1980528553">
      <w:bodyDiv w:val="1"/>
      <w:marLeft w:val="0"/>
      <w:marRight w:val="0"/>
      <w:marTop w:val="0"/>
      <w:marBottom w:val="0"/>
      <w:divBdr>
        <w:top w:val="none" w:sz="0" w:space="0" w:color="auto"/>
        <w:left w:val="none" w:sz="0" w:space="0" w:color="auto"/>
        <w:bottom w:val="none" w:sz="0" w:space="0" w:color="auto"/>
        <w:right w:val="none" w:sz="0" w:space="0" w:color="auto"/>
      </w:divBdr>
    </w:div>
    <w:div w:id="1981500772">
      <w:bodyDiv w:val="1"/>
      <w:marLeft w:val="0"/>
      <w:marRight w:val="0"/>
      <w:marTop w:val="0"/>
      <w:marBottom w:val="0"/>
      <w:divBdr>
        <w:top w:val="none" w:sz="0" w:space="0" w:color="auto"/>
        <w:left w:val="none" w:sz="0" w:space="0" w:color="auto"/>
        <w:bottom w:val="none" w:sz="0" w:space="0" w:color="auto"/>
        <w:right w:val="none" w:sz="0" w:space="0" w:color="auto"/>
      </w:divBdr>
    </w:div>
    <w:div w:id="1986280223">
      <w:bodyDiv w:val="1"/>
      <w:marLeft w:val="0"/>
      <w:marRight w:val="0"/>
      <w:marTop w:val="0"/>
      <w:marBottom w:val="0"/>
      <w:divBdr>
        <w:top w:val="none" w:sz="0" w:space="0" w:color="auto"/>
        <w:left w:val="none" w:sz="0" w:space="0" w:color="auto"/>
        <w:bottom w:val="none" w:sz="0" w:space="0" w:color="auto"/>
        <w:right w:val="none" w:sz="0" w:space="0" w:color="auto"/>
      </w:divBdr>
    </w:div>
    <w:div w:id="1986666830">
      <w:bodyDiv w:val="1"/>
      <w:marLeft w:val="0"/>
      <w:marRight w:val="0"/>
      <w:marTop w:val="0"/>
      <w:marBottom w:val="0"/>
      <w:divBdr>
        <w:top w:val="none" w:sz="0" w:space="0" w:color="auto"/>
        <w:left w:val="none" w:sz="0" w:space="0" w:color="auto"/>
        <w:bottom w:val="none" w:sz="0" w:space="0" w:color="auto"/>
        <w:right w:val="none" w:sz="0" w:space="0" w:color="auto"/>
      </w:divBdr>
    </w:div>
    <w:div w:id="1991472110">
      <w:bodyDiv w:val="1"/>
      <w:marLeft w:val="0"/>
      <w:marRight w:val="0"/>
      <w:marTop w:val="0"/>
      <w:marBottom w:val="0"/>
      <w:divBdr>
        <w:top w:val="none" w:sz="0" w:space="0" w:color="auto"/>
        <w:left w:val="none" w:sz="0" w:space="0" w:color="auto"/>
        <w:bottom w:val="none" w:sz="0" w:space="0" w:color="auto"/>
        <w:right w:val="none" w:sz="0" w:space="0" w:color="auto"/>
      </w:divBdr>
    </w:div>
    <w:div w:id="1992128317">
      <w:bodyDiv w:val="1"/>
      <w:marLeft w:val="0"/>
      <w:marRight w:val="0"/>
      <w:marTop w:val="0"/>
      <w:marBottom w:val="0"/>
      <w:divBdr>
        <w:top w:val="none" w:sz="0" w:space="0" w:color="auto"/>
        <w:left w:val="none" w:sz="0" w:space="0" w:color="auto"/>
        <w:bottom w:val="none" w:sz="0" w:space="0" w:color="auto"/>
        <w:right w:val="none" w:sz="0" w:space="0" w:color="auto"/>
      </w:divBdr>
    </w:div>
    <w:div w:id="1993827427">
      <w:bodyDiv w:val="1"/>
      <w:marLeft w:val="0"/>
      <w:marRight w:val="0"/>
      <w:marTop w:val="0"/>
      <w:marBottom w:val="0"/>
      <w:divBdr>
        <w:top w:val="none" w:sz="0" w:space="0" w:color="auto"/>
        <w:left w:val="none" w:sz="0" w:space="0" w:color="auto"/>
        <w:bottom w:val="none" w:sz="0" w:space="0" w:color="auto"/>
        <w:right w:val="none" w:sz="0" w:space="0" w:color="auto"/>
      </w:divBdr>
    </w:div>
    <w:div w:id="1998609842">
      <w:bodyDiv w:val="1"/>
      <w:marLeft w:val="0"/>
      <w:marRight w:val="0"/>
      <w:marTop w:val="0"/>
      <w:marBottom w:val="0"/>
      <w:divBdr>
        <w:top w:val="none" w:sz="0" w:space="0" w:color="auto"/>
        <w:left w:val="none" w:sz="0" w:space="0" w:color="auto"/>
        <w:bottom w:val="none" w:sz="0" w:space="0" w:color="auto"/>
        <w:right w:val="none" w:sz="0" w:space="0" w:color="auto"/>
      </w:divBdr>
    </w:div>
    <w:div w:id="2006476429">
      <w:bodyDiv w:val="1"/>
      <w:marLeft w:val="0"/>
      <w:marRight w:val="0"/>
      <w:marTop w:val="0"/>
      <w:marBottom w:val="0"/>
      <w:divBdr>
        <w:top w:val="none" w:sz="0" w:space="0" w:color="auto"/>
        <w:left w:val="none" w:sz="0" w:space="0" w:color="auto"/>
        <w:bottom w:val="none" w:sz="0" w:space="0" w:color="auto"/>
        <w:right w:val="none" w:sz="0" w:space="0" w:color="auto"/>
      </w:divBdr>
    </w:div>
    <w:div w:id="2013220812">
      <w:bodyDiv w:val="1"/>
      <w:marLeft w:val="0"/>
      <w:marRight w:val="0"/>
      <w:marTop w:val="0"/>
      <w:marBottom w:val="0"/>
      <w:divBdr>
        <w:top w:val="none" w:sz="0" w:space="0" w:color="auto"/>
        <w:left w:val="none" w:sz="0" w:space="0" w:color="auto"/>
        <w:bottom w:val="none" w:sz="0" w:space="0" w:color="auto"/>
        <w:right w:val="none" w:sz="0" w:space="0" w:color="auto"/>
      </w:divBdr>
    </w:div>
    <w:div w:id="2016571041">
      <w:bodyDiv w:val="1"/>
      <w:marLeft w:val="0"/>
      <w:marRight w:val="0"/>
      <w:marTop w:val="0"/>
      <w:marBottom w:val="0"/>
      <w:divBdr>
        <w:top w:val="none" w:sz="0" w:space="0" w:color="auto"/>
        <w:left w:val="none" w:sz="0" w:space="0" w:color="auto"/>
        <w:bottom w:val="none" w:sz="0" w:space="0" w:color="auto"/>
        <w:right w:val="none" w:sz="0" w:space="0" w:color="auto"/>
      </w:divBdr>
    </w:div>
    <w:div w:id="2017808790">
      <w:bodyDiv w:val="1"/>
      <w:marLeft w:val="0"/>
      <w:marRight w:val="0"/>
      <w:marTop w:val="0"/>
      <w:marBottom w:val="0"/>
      <w:divBdr>
        <w:top w:val="none" w:sz="0" w:space="0" w:color="auto"/>
        <w:left w:val="none" w:sz="0" w:space="0" w:color="auto"/>
        <w:bottom w:val="none" w:sz="0" w:space="0" w:color="auto"/>
        <w:right w:val="none" w:sz="0" w:space="0" w:color="auto"/>
      </w:divBdr>
    </w:div>
    <w:div w:id="2023164383">
      <w:bodyDiv w:val="1"/>
      <w:marLeft w:val="0"/>
      <w:marRight w:val="0"/>
      <w:marTop w:val="0"/>
      <w:marBottom w:val="0"/>
      <w:divBdr>
        <w:top w:val="none" w:sz="0" w:space="0" w:color="auto"/>
        <w:left w:val="none" w:sz="0" w:space="0" w:color="auto"/>
        <w:bottom w:val="none" w:sz="0" w:space="0" w:color="auto"/>
        <w:right w:val="none" w:sz="0" w:space="0" w:color="auto"/>
      </w:divBdr>
    </w:div>
    <w:div w:id="2027171169">
      <w:bodyDiv w:val="1"/>
      <w:marLeft w:val="0"/>
      <w:marRight w:val="0"/>
      <w:marTop w:val="0"/>
      <w:marBottom w:val="0"/>
      <w:divBdr>
        <w:top w:val="none" w:sz="0" w:space="0" w:color="auto"/>
        <w:left w:val="none" w:sz="0" w:space="0" w:color="auto"/>
        <w:bottom w:val="none" w:sz="0" w:space="0" w:color="auto"/>
        <w:right w:val="none" w:sz="0" w:space="0" w:color="auto"/>
      </w:divBdr>
    </w:div>
    <w:div w:id="2028168622">
      <w:bodyDiv w:val="1"/>
      <w:marLeft w:val="0"/>
      <w:marRight w:val="0"/>
      <w:marTop w:val="0"/>
      <w:marBottom w:val="0"/>
      <w:divBdr>
        <w:top w:val="none" w:sz="0" w:space="0" w:color="auto"/>
        <w:left w:val="none" w:sz="0" w:space="0" w:color="auto"/>
        <w:bottom w:val="none" w:sz="0" w:space="0" w:color="auto"/>
        <w:right w:val="none" w:sz="0" w:space="0" w:color="auto"/>
      </w:divBdr>
    </w:div>
    <w:div w:id="2032141284">
      <w:bodyDiv w:val="1"/>
      <w:marLeft w:val="0"/>
      <w:marRight w:val="0"/>
      <w:marTop w:val="0"/>
      <w:marBottom w:val="0"/>
      <w:divBdr>
        <w:top w:val="none" w:sz="0" w:space="0" w:color="auto"/>
        <w:left w:val="none" w:sz="0" w:space="0" w:color="auto"/>
        <w:bottom w:val="none" w:sz="0" w:space="0" w:color="auto"/>
        <w:right w:val="none" w:sz="0" w:space="0" w:color="auto"/>
      </w:divBdr>
    </w:div>
    <w:div w:id="2033262791">
      <w:bodyDiv w:val="1"/>
      <w:marLeft w:val="0"/>
      <w:marRight w:val="0"/>
      <w:marTop w:val="0"/>
      <w:marBottom w:val="0"/>
      <w:divBdr>
        <w:top w:val="none" w:sz="0" w:space="0" w:color="auto"/>
        <w:left w:val="none" w:sz="0" w:space="0" w:color="auto"/>
        <w:bottom w:val="none" w:sz="0" w:space="0" w:color="auto"/>
        <w:right w:val="none" w:sz="0" w:space="0" w:color="auto"/>
      </w:divBdr>
    </w:div>
    <w:div w:id="2034502057">
      <w:bodyDiv w:val="1"/>
      <w:marLeft w:val="0"/>
      <w:marRight w:val="0"/>
      <w:marTop w:val="0"/>
      <w:marBottom w:val="0"/>
      <w:divBdr>
        <w:top w:val="none" w:sz="0" w:space="0" w:color="auto"/>
        <w:left w:val="none" w:sz="0" w:space="0" w:color="auto"/>
        <w:bottom w:val="none" w:sz="0" w:space="0" w:color="auto"/>
        <w:right w:val="none" w:sz="0" w:space="0" w:color="auto"/>
      </w:divBdr>
    </w:div>
    <w:div w:id="2036299799">
      <w:bodyDiv w:val="1"/>
      <w:marLeft w:val="0"/>
      <w:marRight w:val="0"/>
      <w:marTop w:val="0"/>
      <w:marBottom w:val="0"/>
      <w:divBdr>
        <w:top w:val="none" w:sz="0" w:space="0" w:color="auto"/>
        <w:left w:val="none" w:sz="0" w:space="0" w:color="auto"/>
        <w:bottom w:val="none" w:sz="0" w:space="0" w:color="auto"/>
        <w:right w:val="none" w:sz="0" w:space="0" w:color="auto"/>
      </w:divBdr>
    </w:div>
    <w:div w:id="2037463185">
      <w:bodyDiv w:val="1"/>
      <w:marLeft w:val="0"/>
      <w:marRight w:val="0"/>
      <w:marTop w:val="0"/>
      <w:marBottom w:val="0"/>
      <w:divBdr>
        <w:top w:val="none" w:sz="0" w:space="0" w:color="auto"/>
        <w:left w:val="none" w:sz="0" w:space="0" w:color="auto"/>
        <w:bottom w:val="none" w:sz="0" w:space="0" w:color="auto"/>
        <w:right w:val="none" w:sz="0" w:space="0" w:color="auto"/>
      </w:divBdr>
    </w:div>
    <w:div w:id="2037927881">
      <w:bodyDiv w:val="1"/>
      <w:marLeft w:val="0"/>
      <w:marRight w:val="0"/>
      <w:marTop w:val="0"/>
      <w:marBottom w:val="0"/>
      <w:divBdr>
        <w:top w:val="none" w:sz="0" w:space="0" w:color="auto"/>
        <w:left w:val="none" w:sz="0" w:space="0" w:color="auto"/>
        <w:bottom w:val="none" w:sz="0" w:space="0" w:color="auto"/>
        <w:right w:val="none" w:sz="0" w:space="0" w:color="auto"/>
      </w:divBdr>
    </w:div>
    <w:div w:id="2038847530">
      <w:bodyDiv w:val="1"/>
      <w:marLeft w:val="0"/>
      <w:marRight w:val="0"/>
      <w:marTop w:val="0"/>
      <w:marBottom w:val="0"/>
      <w:divBdr>
        <w:top w:val="none" w:sz="0" w:space="0" w:color="auto"/>
        <w:left w:val="none" w:sz="0" w:space="0" w:color="auto"/>
        <w:bottom w:val="none" w:sz="0" w:space="0" w:color="auto"/>
        <w:right w:val="none" w:sz="0" w:space="0" w:color="auto"/>
      </w:divBdr>
    </w:div>
    <w:div w:id="2042633910">
      <w:bodyDiv w:val="1"/>
      <w:marLeft w:val="0"/>
      <w:marRight w:val="0"/>
      <w:marTop w:val="0"/>
      <w:marBottom w:val="0"/>
      <w:divBdr>
        <w:top w:val="none" w:sz="0" w:space="0" w:color="auto"/>
        <w:left w:val="none" w:sz="0" w:space="0" w:color="auto"/>
        <w:bottom w:val="none" w:sz="0" w:space="0" w:color="auto"/>
        <w:right w:val="none" w:sz="0" w:space="0" w:color="auto"/>
      </w:divBdr>
    </w:div>
    <w:div w:id="2057121519">
      <w:bodyDiv w:val="1"/>
      <w:marLeft w:val="0"/>
      <w:marRight w:val="0"/>
      <w:marTop w:val="0"/>
      <w:marBottom w:val="0"/>
      <w:divBdr>
        <w:top w:val="none" w:sz="0" w:space="0" w:color="auto"/>
        <w:left w:val="none" w:sz="0" w:space="0" w:color="auto"/>
        <w:bottom w:val="none" w:sz="0" w:space="0" w:color="auto"/>
        <w:right w:val="none" w:sz="0" w:space="0" w:color="auto"/>
      </w:divBdr>
    </w:div>
    <w:div w:id="2059470631">
      <w:bodyDiv w:val="1"/>
      <w:marLeft w:val="0"/>
      <w:marRight w:val="0"/>
      <w:marTop w:val="0"/>
      <w:marBottom w:val="0"/>
      <w:divBdr>
        <w:top w:val="none" w:sz="0" w:space="0" w:color="auto"/>
        <w:left w:val="none" w:sz="0" w:space="0" w:color="auto"/>
        <w:bottom w:val="none" w:sz="0" w:space="0" w:color="auto"/>
        <w:right w:val="none" w:sz="0" w:space="0" w:color="auto"/>
      </w:divBdr>
    </w:div>
    <w:div w:id="2063023085">
      <w:bodyDiv w:val="1"/>
      <w:marLeft w:val="0"/>
      <w:marRight w:val="0"/>
      <w:marTop w:val="0"/>
      <w:marBottom w:val="0"/>
      <w:divBdr>
        <w:top w:val="none" w:sz="0" w:space="0" w:color="auto"/>
        <w:left w:val="none" w:sz="0" w:space="0" w:color="auto"/>
        <w:bottom w:val="none" w:sz="0" w:space="0" w:color="auto"/>
        <w:right w:val="none" w:sz="0" w:space="0" w:color="auto"/>
      </w:divBdr>
    </w:div>
    <w:div w:id="2064863931">
      <w:bodyDiv w:val="1"/>
      <w:marLeft w:val="0"/>
      <w:marRight w:val="0"/>
      <w:marTop w:val="0"/>
      <w:marBottom w:val="0"/>
      <w:divBdr>
        <w:top w:val="none" w:sz="0" w:space="0" w:color="auto"/>
        <w:left w:val="none" w:sz="0" w:space="0" w:color="auto"/>
        <w:bottom w:val="none" w:sz="0" w:space="0" w:color="auto"/>
        <w:right w:val="none" w:sz="0" w:space="0" w:color="auto"/>
      </w:divBdr>
    </w:div>
    <w:div w:id="2065444176">
      <w:bodyDiv w:val="1"/>
      <w:marLeft w:val="0"/>
      <w:marRight w:val="0"/>
      <w:marTop w:val="0"/>
      <w:marBottom w:val="0"/>
      <w:divBdr>
        <w:top w:val="none" w:sz="0" w:space="0" w:color="auto"/>
        <w:left w:val="none" w:sz="0" w:space="0" w:color="auto"/>
        <w:bottom w:val="none" w:sz="0" w:space="0" w:color="auto"/>
        <w:right w:val="none" w:sz="0" w:space="0" w:color="auto"/>
      </w:divBdr>
    </w:div>
    <w:div w:id="2068987985">
      <w:bodyDiv w:val="1"/>
      <w:marLeft w:val="0"/>
      <w:marRight w:val="0"/>
      <w:marTop w:val="0"/>
      <w:marBottom w:val="0"/>
      <w:divBdr>
        <w:top w:val="none" w:sz="0" w:space="0" w:color="auto"/>
        <w:left w:val="none" w:sz="0" w:space="0" w:color="auto"/>
        <w:bottom w:val="none" w:sz="0" w:space="0" w:color="auto"/>
        <w:right w:val="none" w:sz="0" w:space="0" w:color="auto"/>
      </w:divBdr>
    </w:div>
    <w:div w:id="2080053399">
      <w:bodyDiv w:val="1"/>
      <w:marLeft w:val="0"/>
      <w:marRight w:val="0"/>
      <w:marTop w:val="0"/>
      <w:marBottom w:val="0"/>
      <w:divBdr>
        <w:top w:val="none" w:sz="0" w:space="0" w:color="auto"/>
        <w:left w:val="none" w:sz="0" w:space="0" w:color="auto"/>
        <w:bottom w:val="none" w:sz="0" w:space="0" w:color="auto"/>
        <w:right w:val="none" w:sz="0" w:space="0" w:color="auto"/>
      </w:divBdr>
    </w:div>
    <w:div w:id="2089183599">
      <w:bodyDiv w:val="1"/>
      <w:marLeft w:val="0"/>
      <w:marRight w:val="0"/>
      <w:marTop w:val="0"/>
      <w:marBottom w:val="0"/>
      <w:divBdr>
        <w:top w:val="none" w:sz="0" w:space="0" w:color="auto"/>
        <w:left w:val="none" w:sz="0" w:space="0" w:color="auto"/>
        <w:bottom w:val="none" w:sz="0" w:space="0" w:color="auto"/>
        <w:right w:val="none" w:sz="0" w:space="0" w:color="auto"/>
      </w:divBdr>
    </w:div>
    <w:div w:id="2092965787">
      <w:bodyDiv w:val="1"/>
      <w:marLeft w:val="0"/>
      <w:marRight w:val="0"/>
      <w:marTop w:val="0"/>
      <w:marBottom w:val="0"/>
      <w:divBdr>
        <w:top w:val="none" w:sz="0" w:space="0" w:color="auto"/>
        <w:left w:val="none" w:sz="0" w:space="0" w:color="auto"/>
        <w:bottom w:val="none" w:sz="0" w:space="0" w:color="auto"/>
        <w:right w:val="none" w:sz="0" w:space="0" w:color="auto"/>
      </w:divBdr>
    </w:div>
    <w:div w:id="2096433515">
      <w:bodyDiv w:val="1"/>
      <w:marLeft w:val="0"/>
      <w:marRight w:val="0"/>
      <w:marTop w:val="0"/>
      <w:marBottom w:val="0"/>
      <w:divBdr>
        <w:top w:val="none" w:sz="0" w:space="0" w:color="auto"/>
        <w:left w:val="none" w:sz="0" w:space="0" w:color="auto"/>
        <w:bottom w:val="none" w:sz="0" w:space="0" w:color="auto"/>
        <w:right w:val="none" w:sz="0" w:space="0" w:color="auto"/>
      </w:divBdr>
    </w:div>
    <w:div w:id="2102329464">
      <w:bodyDiv w:val="1"/>
      <w:marLeft w:val="0"/>
      <w:marRight w:val="0"/>
      <w:marTop w:val="0"/>
      <w:marBottom w:val="0"/>
      <w:divBdr>
        <w:top w:val="none" w:sz="0" w:space="0" w:color="auto"/>
        <w:left w:val="none" w:sz="0" w:space="0" w:color="auto"/>
        <w:bottom w:val="none" w:sz="0" w:space="0" w:color="auto"/>
        <w:right w:val="none" w:sz="0" w:space="0" w:color="auto"/>
      </w:divBdr>
    </w:div>
    <w:div w:id="2114473744">
      <w:bodyDiv w:val="1"/>
      <w:marLeft w:val="0"/>
      <w:marRight w:val="0"/>
      <w:marTop w:val="0"/>
      <w:marBottom w:val="0"/>
      <w:divBdr>
        <w:top w:val="none" w:sz="0" w:space="0" w:color="auto"/>
        <w:left w:val="none" w:sz="0" w:space="0" w:color="auto"/>
        <w:bottom w:val="none" w:sz="0" w:space="0" w:color="auto"/>
        <w:right w:val="none" w:sz="0" w:space="0" w:color="auto"/>
      </w:divBdr>
    </w:div>
    <w:div w:id="2116753500">
      <w:bodyDiv w:val="1"/>
      <w:marLeft w:val="0"/>
      <w:marRight w:val="0"/>
      <w:marTop w:val="0"/>
      <w:marBottom w:val="0"/>
      <w:divBdr>
        <w:top w:val="none" w:sz="0" w:space="0" w:color="auto"/>
        <w:left w:val="none" w:sz="0" w:space="0" w:color="auto"/>
        <w:bottom w:val="none" w:sz="0" w:space="0" w:color="auto"/>
        <w:right w:val="none" w:sz="0" w:space="0" w:color="auto"/>
      </w:divBdr>
    </w:div>
    <w:div w:id="2124225538">
      <w:bodyDiv w:val="1"/>
      <w:marLeft w:val="0"/>
      <w:marRight w:val="0"/>
      <w:marTop w:val="0"/>
      <w:marBottom w:val="0"/>
      <w:divBdr>
        <w:top w:val="none" w:sz="0" w:space="0" w:color="auto"/>
        <w:left w:val="none" w:sz="0" w:space="0" w:color="auto"/>
        <w:bottom w:val="none" w:sz="0" w:space="0" w:color="auto"/>
        <w:right w:val="none" w:sz="0" w:space="0" w:color="auto"/>
      </w:divBdr>
    </w:div>
    <w:div w:id="2130968804">
      <w:bodyDiv w:val="1"/>
      <w:marLeft w:val="0"/>
      <w:marRight w:val="0"/>
      <w:marTop w:val="0"/>
      <w:marBottom w:val="0"/>
      <w:divBdr>
        <w:top w:val="none" w:sz="0" w:space="0" w:color="auto"/>
        <w:left w:val="none" w:sz="0" w:space="0" w:color="auto"/>
        <w:bottom w:val="none" w:sz="0" w:space="0" w:color="auto"/>
        <w:right w:val="none" w:sz="0" w:space="0" w:color="auto"/>
      </w:divBdr>
    </w:div>
    <w:div w:id="2132354191">
      <w:bodyDiv w:val="1"/>
      <w:marLeft w:val="0"/>
      <w:marRight w:val="0"/>
      <w:marTop w:val="0"/>
      <w:marBottom w:val="0"/>
      <w:divBdr>
        <w:top w:val="none" w:sz="0" w:space="0" w:color="auto"/>
        <w:left w:val="none" w:sz="0" w:space="0" w:color="auto"/>
        <w:bottom w:val="none" w:sz="0" w:space="0" w:color="auto"/>
        <w:right w:val="none" w:sz="0" w:space="0" w:color="auto"/>
      </w:divBdr>
    </w:div>
    <w:div w:id="2139105908">
      <w:bodyDiv w:val="1"/>
      <w:marLeft w:val="0"/>
      <w:marRight w:val="0"/>
      <w:marTop w:val="0"/>
      <w:marBottom w:val="0"/>
      <w:divBdr>
        <w:top w:val="none" w:sz="0" w:space="0" w:color="auto"/>
        <w:left w:val="none" w:sz="0" w:space="0" w:color="auto"/>
        <w:bottom w:val="none" w:sz="0" w:space="0" w:color="auto"/>
        <w:right w:val="none" w:sz="0" w:space="0" w:color="auto"/>
      </w:divBdr>
    </w:div>
    <w:div w:id="2143377188">
      <w:bodyDiv w:val="1"/>
      <w:marLeft w:val="0"/>
      <w:marRight w:val="0"/>
      <w:marTop w:val="0"/>
      <w:marBottom w:val="0"/>
      <w:divBdr>
        <w:top w:val="none" w:sz="0" w:space="0" w:color="auto"/>
        <w:left w:val="none" w:sz="0" w:space="0" w:color="auto"/>
        <w:bottom w:val="none" w:sz="0" w:space="0" w:color="auto"/>
        <w:right w:val="none" w:sz="0" w:space="0" w:color="auto"/>
      </w:divBdr>
    </w:div>
    <w:div w:id="2146582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hyperlink" Target="https://is.stuba.sk/dok_server/slozka.pl?;id=215204" TargetMode="External"/><Relationship Id="rId21" Type="http://schemas.openxmlformats.org/officeDocument/2006/relationships/hyperlink" Target="https://www.cvtisr.sk/cvti-sr-vedecka-kniznica/informacie-o-skolstve/statistiky/statisticka-rocenka-publikacia/statisticka-rocenka-vysoke-skoly.html?page_id=9596" TargetMode="External"/><Relationship Id="rId42" Type="http://schemas.openxmlformats.org/officeDocument/2006/relationships/hyperlink" Target="https://www.studujmtf.sk/" TargetMode="External"/><Relationship Id="rId47" Type="http://schemas.openxmlformats.org/officeDocument/2006/relationships/header" Target="header8.xml"/><Relationship Id="rId63" Type="http://schemas.openxmlformats.org/officeDocument/2006/relationships/chart" Target="charts/chart19.xml"/><Relationship Id="rId68" Type="http://schemas.openxmlformats.org/officeDocument/2006/relationships/chart" Target="charts/chart21.xml"/><Relationship Id="rId84" Type="http://schemas.openxmlformats.org/officeDocument/2006/relationships/chart" Target="charts/chart36.xml"/><Relationship Id="rId89" Type="http://schemas.openxmlformats.org/officeDocument/2006/relationships/chart" Target="charts/chart41.xml"/><Relationship Id="rId112" Type="http://schemas.openxmlformats.org/officeDocument/2006/relationships/hyperlink" Target="https://www.stuba.sk/sk/stu/akademicke-a-samospravne-organy/rada-pre-vnutorny-system-zabezpecovania-kvality-stu.html?page_id=14167" TargetMode="External"/><Relationship Id="rId16" Type="http://schemas.openxmlformats.org/officeDocument/2006/relationships/header" Target="header2.xml"/><Relationship Id="rId107" Type="http://schemas.openxmlformats.org/officeDocument/2006/relationships/hyperlink" Target="https://www.stuba.sk/buxus/docs/stu/pracoviska/rektorat/odd_pravne_organizacne/UZ_6-2021_Rada_VSK_s_D1.pdf" TargetMode="External"/><Relationship Id="rId11" Type="http://schemas.openxmlformats.org/officeDocument/2006/relationships/hyperlink" Target="https://www.stuba.sk/sk/fakulty/ine-pracoviska/stubacik.html?page_id=13400" TargetMode="External"/><Relationship Id="rId32" Type="http://schemas.openxmlformats.org/officeDocument/2006/relationships/chart" Target="charts/chart9.xml"/><Relationship Id="rId37" Type="http://schemas.openxmlformats.org/officeDocument/2006/relationships/hyperlink" Target="https://www.studujstrojarinu.sk/" TargetMode="External"/><Relationship Id="rId53" Type="http://schemas.openxmlformats.org/officeDocument/2006/relationships/chart" Target="charts/chart13.xml"/><Relationship Id="rId58" Type="http://schemas.openxmlformats.org/officeDocument/2006/relationships/chart" Target="charts/chart16.xml"/><Relationship Id="rId74" Type="http://schemas.openxmlformats.org/officeDocument/2006/relationships/chart" Target="charts/chart27.xml"/><Relationship Id="rId79" Type="http://schemas.openxmlformats.org/officeDocument/2006/relationships/chart" Target="charts/chart32.xml"/><Relationship Id="rId102" Type="http://schemas.openxmlformats.org/officeDocument/2006/relationships/hyperlink" Target="http://www.stusport.sk/" TargetMode="External"/><Relationship Id="rId123" Type="http://schemas.openxmlformats.org/officeDocument/2006/relationships/header" Target="header10.xml"/><Relationship Id="rId128" Type="http://schemas.openxmlformats.org/officeDocument/2006/relationships/hyperlink" Target="https://www.stuba.sk/buxus/docs/stu/pracoviska/rektorat/odd_pravne_organizacne/2-2022_%20Pravidla%20monitorovania%20SP%20a%20HaI.pdf" TargetMode="External"/><Relationship Id="rId5" Type="http://schemas.openxmlformats.org/officeDocument/2006/relationships/webSettings" Target="webSettings.xml"/><Relationship Id="rId90" Type="http://schemas.openxmlformats.org/officeDocument/2006/relationships/image" Target="media/image3.png"/><Relationship Id="rId95" Type="http://schemas.openxmlformats.org/officeDocument/2006/relationships/hyperlink" Target="https://www.stuba.sk/sk/studenti/studenti-a-uchadzaci-so-specifickymi-potrebami/poradenske-centrum-stu.html?page_id=12109" TargetMode="External"/><Relationship Id="rId19" Type="http://schemas.openxmlformats.org/officeDocument/2006/relationships/header" Target="header5.xml"/><Relationship Id="rId14" Type="http://schemas.openxmlformats.org/officeDocument/2006/relationships/chart" Target="charts/chart1.xml"/><Relationship Id="rId22" Type="http://schemas.openxmlformats.org/officeDocument/2006/relationships/hyperlink" Target="https://www.portalvs.sk/regzam/stats/?date=2022-10-31" TargetMode="External"/><Relationship Id="rId27" Type="http://schemas.openxmlformats.org/officeDocument/2006/relationships/chart" Target="charts/chart6.xml"/><Relationship Id="rId30" Type="http://schemas.openxmlformats.org/officeDocument/2006/relationships/header" Target="header7.xml"/><Relationship Id="rId35" Type="http://schemas.openxmlformats.org/officeDocument/2006/relationships/hyperlink" Target="https://www.kamnavysoku.sk/videoportal" TargetMode="External"/><Relationship Id="rId43" Type="http://schemas.openxmlformats.org/officeDocument/2006/relationships/hyperlink" Target="https://is.stuba.sk/prihlaska/?lang=sk" TargetMode="External"/><Relationship Id="rId48" Type="http://schemas.openxmlformats.org/officeDocument/2006/relationships/hyperlink" Target="https://slovak.statistics.sk/" TargetMode="External"/><Relationship Id="rId56" Type="http://schemas.openxmlformats.org/officeDocument/2006/relationships/chart" Target="charts/chart15.xml"/><Relationship Id="rId64" Type="http://schemas.openxmlformats.org/officeDocument/2006/relationships/chart" Target="charts/chart20.xml"/><Relationship Id="rId69" Type="http://schemas.openxmlformats.org/officeDocument/2006/relationships/chart" Target="charts/chart22.xml"/><Relationship Id="rId77" Type="http://schemas.openxmlformats.org/officeDocument/2006/relationships/chart" Target="charts/chart30.xml"/><Relationship Id="rId100" Type="http://schemas.openxmlformats.org/officeDocument/2006/relationships/chart" Target="charts/chart43.xml"/><Relationship Id="rId105" Type="http://schemas.openxmlformats.org/officeDocument/2006/relationships/hyperlink" Target="https://www.stuba.sk/buxus/docs/stu/pracoviska/rektorat/odd_pravne_organizacne/4-2021_Pravidla_pre_NSUZ_SP.pdf" TargetMode="External"/><Relationship Id="rId113" Type="http://schemas.openxmlformats.org/officeDocument/2006/relationships/hyperlink" Target="https://www.stuba.sk/buxus/docs/stu/pracoviska/rektorat/odd_pravne_organizacne/4-2021_Pravidla_pre_NSUZ_SP.pdf" TargetMode="External"/><Relationship Id="rId118" Type="http://schemas.openxmlformats.org/officeDocument/2006/relationships/hyperlink" Target="https://is.stuba.sk/dok_server/slozka.pl?;id=215204" TargetMode="External"/><Relationship Id="rId126" Type="http://schemas.openxmlformats.org/officeDocument/2006/relationships/hyperlink" Target="mailto:public@stuba.sk" TargetMode="External"/><Relationship Id="rId8" Type="http://schemas.openxmlformats.org/officeDocument/2006/relationships/hyperlink" Target="http://www.stuscientific.sk/" TargetMode="External"/><Relationship Id="rId51" Type="http://schemas.openxmlformats.org/officeDocument/2006/relationships/hyperlink" Target="http://www.msmt.cz/" TargetMode="External"/><Relationship Id="rId72" Type="http://schemas.openxmlformats.org/officeDocument/2006/relationships/chart" Target="charts/chart25.xml"/><Relationship Id="rId80" Type="http://schemas.openxmlformats.org/officeDocument/2006/relationships/chart" Target="charts/chart33.xml"/><Relationship Id="rId85" Type="http://schemas.openxmlformats.org/officeDocument/2006/relationships/chart" Target="charts/chart37.xml"/><Relationship Id="rId93" Type="http://schemas.openxmlformats.org/officeDocument/2006/relationships/hyperlink" Target="http://www.saspro2.sav.sk" TargetMode="External"/><Relationship Id="rId98" Type="http://schemas.openxmlformats.org/officeDocument/2006/relationships/hyperlink" Target="https://www.absolventi.stuba.sk/" TargetMode="External"/><Relationship Id="rId121" Type="http://schemas.openxmlformats.org/officeDocument/2006/relationships/hyperlink" Target="http://www.STUpreUkrajinu.sk"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chart" Target="charts/chart4.xml"/><Relationship Id="rId33" Type="http://schemas.openxmlformats.org/officeDocument/2006/relationships/hyperlink" Target="http://www.portalvs.sk" TargetMode="External"/><Relationship Id="rId38" Type="http://schemas.openxmlformats.org/officeDocument/2006/relationships/hyperlink" Target="https://www.matozmysel.sk/" TargetMode="External"/><Relationship Id="rId46" Type="http://schemas.openxmlformats.org/officeDocument/2006/relationships/chart" Target="charts/chart12.xml"/><Relationship Id="rId59" Type="http://schemas.openxmlformats.org/officeDocument/2006/relationships/chart" Target="charts/chart17.xml"/><Relationship Id="rId67" Type="http://schemas.openxmlformats.org/officeDocument/2006/relationships/hyperlink" Target="http://icv.stuba.sk/" TargetMode="External"/><Relationship Id="rId103" Type="http://schemas.openxmlformats.org/officeDocument/2006/relationships/hyperlink" Target="https://www.stuba.sk/buxus/docs/stu/pracoviska/rektorat/odd_pravne_organizacne/%C3%9APLN%C3%89_ZNENIE_%C5%A0tat%C3%BAt_STU_D12.pdf" TargetMode="External"/><Relationship Id="rId108" Type="http://schemas.openxmlformats.org/officeDocument/2006/relationships/hyperlink" Target="https://www.stuba.sk/buxus/docs/stu/pracoviska/rektorat/odd_pravne_organizacne/7-2021_Rada_SP.pdf" TargetMode="External"/><Relationship Id="rId116" Type="http://schemas.openxmlformats.org/officeDocument/2006/relationships/hyperlink" Target="https://is.stuba.sk/dok_server/slozka.pl?;id=215204" TargetMode="External"/><Relationship Id="rId124" Type="http://schemas.openxmlformats.org/officeDocument/2006/relationships/hyperlink" Target="mailto:rector@stuba.sk" TargetMode="External"/><Relationship Id="rId129" Type="http://schemas.openxmlformats.org/officeDocument/2006/relationships/hyperlink" Target="https://www.stuba.sk/buxus/docs/stu/pracoviska/rektorat/odd_pravne_organizacne/Dodatok_12_Statut_STU_web.pdf" TargetMode="External"/><Relationship Id="rId20" Type="http://schemas.openxmlformats.org/officeDocument/2006/relationships/chart" Target="charts/chart2.xml"/><Relationship Id="rId41" Type="http://schemas.openxmlformats.org/officeDocument/2006/relationships/hyperlink" Target="http://www.studybestschool.com" TargetMode="External"/><Relationship Id="rId54" Type="http://schemas.openxmlformats.org/officeDocument/2006/relationships/chart" Target="charts/chart14.xml"/><Relationship Id="rId62" Type="http://schemas.openxmlformats.org/officeDocument/2006/relationships/hyperlink" Target="https://www.upsvr.gov.sk/statistiky/" TargetMode="External"/><Relationship Id="rId70" Type="http://schemas.openxmlformats.org/officeDocument/2006/relationships/chart" Target="charts/chart23.xml"/><Relationship Id="rId75" Type="http://schemas.openxmlformats.org/officeDocument/2006/relationships/chart" Target="charts/chart28.xml"/><Relationship Id="rId83" Type="http://schemas.openxmlformats.org/officeDocument/2006/relationships/chart" Target="charts/chart35.xml"/><Relationship Id="rId88" Type="http://schemas.openxmlformats.org/officeDocument/2006/relationships/chart" Target="charts/chart40.xml"/><Relationship Id="rId91" Type="http://schemas.openxmlformats.org/officeDocument/2006/relationships/chart" Target="charts/chart42.xml"/><Relationship Id="rId96" Type="http://schemas.openxmlformats.org/officeDocument/2006/relationships/hyperlink" Target="https://www.stuba.sk/buxus/docs/stu/pracoviska/rektorat/odd_pravne_organizacne/Studento_so_specifickymi_potrebami.pdf" TargetMode="External"/><Relationship Id="rId111" Type="http://schemas.openxmlformats.org/officeDocument/2006/relationships/hyperlink" Target="https://www.stuba.sk/buxus/docs/stu/pracoviska/rektorat/odd_pravne_organizacne/2-2022_%20Pravidla%20monitorovania%20SP%20a%20HaI.pdf"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rtalvs.sk/sk/morho" TargetMode="Externa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hyperlink" Target="https://www.stavebnarevolucia.sk/" TargetMode="External"/><Relationship Id="rId49" Type="http://schemas.openxmlformats.org/officeDocument/2006/relationships/hyperlink" Target="http://www.cvtisr.sk/" TargetMode="External"/><Relationship Id="rId57" Type="http://schemas.openxmlformats.org/officeDocument/2006/relationships/hyperlink" Target="http://www.cvtisr.sk" TargetMode="External"/><Relationship Id="rId106" Type="http://schemas.openxmlformats.org/officeDocument/2006/relationships/hyperlink" Target="https://www.stuba.sk/buxus/docs/stu/pracoviska/rektorat/odd_pravne_organizacne/5-2021_Pravidla_PZ_SP.pdf" TargetMode="External"/><Relationship Id="rId114" Type="http://schemas.openxmlformats.org/officeDocument/2006/relationships/hyperlink" Target="https://www.stuba.sk/buxus/docs/stu/pracoviska/rektorat/odd_pravne_organizacne/2-2022_%20Pravidla%20monitorovania%20SP%20a%20HaI.pdf" TargetMode="External"/><Relationship Id="rId119" Type="http://schemas.openxmlformats.org/officeDocument/2006/relationships/hyperlink" Target="https://www.stuba.sk/sk/diani-na-stu/koronavirus-a-stu-vsetko-co-potrebujete-vediet.html?page_id=13298" TargetMode="External"/><Relationship Id="rId127" Type="http://schemas.openxmlformats.org/officeDocument/2006/relationships/hyperlink" Target="https://www.stuba.sk/buxus/docs/stu/pracoviska/rektorat/odd_pravne_organizacne/Dodatok_5_%C5%A0tipendijn%C3%A9ho_poriadku_STU_schv%C3%A1len%C3%BD_28_02_2022.pdf" TargetMode="External"/><Relationship Id="rId10" Type="http://schemas.openxmlformats.org/officeDocument/2006/relationships/hyperlink" Target="http://www.stuba.sk/sk/vyskume/popredne-vyskumne-pracoviska-na-stu.html?page_id=7589" TargetMode="External"/><Relationship Id="rId31" Type="http://schemas.openxmlformats.org/officeDocument/2006/relationships/chart" Target="charts/chart8.xml"/><Relationship Id="rId44" Type="http://schemas.openxmlformats.org/officeDocument/2006/relationships/chart" Target="charts/chart10.xml"/><Relationship Id="rId52" Type="http://schemas.openxmlformats.org/officeDocument/2006/relationships/header" Target="header9.xml"/><Relationship Id="rId60" Type="http://schemas.openxmlformats.org/officeDocument/2006/relationships/chart" Target="charts/chart18.xml"/><Relationship Id="rId65" Type="http://schemas.openxmlformats.org/officeDocument/2006/relationships/hyperlink" Target="https://www.stuba.sk/sk/absolventov/dalsie-vzdelavanie-doplnujuce-pedagogicke-studium-....html?page_id=659" TargetMode="External"/><Relationship Id="rId73" Type="http://schemas.openxmlformats.org/officeDocument/2006/relationships/chart" Target="charts/chart26.xml"/><Relationship Id="rId78" Type="http://schemas.openxmlformats.org/officeDocument/2006/relationships/chart" Target="charts/chart31.xml"/><Relationship Id="rId81" Type="http://schemas.openxmlformats.org/officeDocument/2006/relationships/image" Target="media/image2.png"/><Relationship Id="rId86" Type="http://schemas.openxmlformats.org/officeDocument/2006/relationships/chart" Target="charts/chart38.xml"/><Relationship Id="rId94" Type="http://schemas.openxmlformats.org/officeDocument/2006/relationships/hyperlink" Target="https://www.stuba.sk/buxus/docs/stu/pracoviska/rektorat/odd_pravne_organizacne/%C3%9Apln%C3%A9_znenie_Stipendijneho_poriadku_STU_s%20dodatkom%201a%C5%BE4_31_05_2021.pdf" TargetMode="External"/><Relationship Id="rId99" Type="http://schemas.openxmlformats.org/officeDocument/2006/relationships/hyperlink" Target="https://www.absolventi.stuba.sk/sk/absolventi-stu/vyhladavanie-absolventov" TargetMode="External"/><Relationship Id="rId101" Type="http://schemas.openxmlformats.org/officeDocument/2006/relationships/hyperlink" Target="https://www.stuba.sk/sk/absolventov/alumni-klub.html?page_id=3060" TargetMode="External"/><Relationship Id="rId122" Type="http://schemas.openxmlformats.org/officeDocument/2006/relationships/hyperlink" Target="https://www.stuba.sk/buxus/docs/stu/pracoviska/rektorat/odd_pravne_organizacne/18.05.2022%20Metodicke_usmernenie_%20k_PK%20od%2018.05.2022%20-%20podpisany.pdf" TargetMode="External"/><Relationship Id="rId130" Type="http://schemas.openxmlformats.org/officeDocument/2006/relationships/hyperlink" Target="https://www.stuba.sk/buxus/docs/stu/pracoviska/rektorat/odd_pravne_organizacne/Zasady_volby_kandid%C3%A1ta_na_rektora.pdf" TargetMode="External"/><Relationship Id="rId4" Type="http://schemas.openxmlformats.org/officeDocument/2006/relationships/settings" Target="settings.xml"/><Relationship Id="rId9" Type="http://schemas.openxmlformats.org/officeDocument/2006/relationships/hyperlink" Target="https://www.stuba.sk/sk/vyskume/europska-aliancia-pre-inovacie-na-stu.html?page_id=6761" TargetMode="Externa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studuj.fiit.sk/" TargetMode="External"/><Relationship Id="rId109" Type="http://schemas.openxmlformats.org/officeDocument/2006/relationships/hyperlink" Target="https://www.stuba.sk/buxus/docs/stu/pracoviska/rektorat/odd_pravne_organizacne/8-2021_Pravidla_pre_TaPP_Hal.pdf" TargetMode="External"/><Relationship Id="rId34" Type="http://schemas.openxmlformats.org/officeDocument/2006/relationships/hyperlink" Target="https://www.vysokeskoly.sk/" TargetMode="External"/><Relationship Id="rId50" Type="http://schemas.openxmlformats.org/officeDocument/2006/relationships/hyperlink" Target="http://www.cvtisr.sk/cvti-sr-vedecka-kniznica/informacie-o-skolstve/statistiky/casove-rady.html?page_id=9724" TargetMode="External"/><Relationship Id="rId55" Type="http://schemas.openxmlformats.org/officeDocument/2006/relationships/hyperlink" Target="http://www.cvtisr.sk" TargetMode="External"/><Relationship Id="rId76" Type="http://schemas.openxmlformats.org/officeDocument/2006/relationships/chart" Target="charts/chart29.xml"/><Relationship Id="rId97" Type="http://schemas.openxmlformats.org/officeDocument/2006/relationships/hyperlink" Target="https://www.stuba.sk/sk/informacie-pre-uchadzacov/studijne-programy-a-studijne-odbory.html?page_id=1060" TargetMode="External"/><Relationship Id="rId104" Type="http://schemas.openxmlformats.org/officeDocument/2006/relationships/hyperlink" Target="https://www.stuba.sk/buxus/docs/stu/pracoviska/rektorat/odd_pravne_organizacne/3-2021_Politika_kvality_STU.pdf" TargetMode="External"/><Relationship Id="rId120" Type="http://schemas.openxmlformats.org/officeDocument/2006/relationships/hyperlink" Target="https://www.stuba.sk/buxus/docs/stu/pracoviska/rektorat/odd_pravne_organizacne/%C3%9Apln%C3%A9_znenie_Stipendijneho_poriadku_STU_s%20dodatkom%201a%C5%BE4_31_05_2021.pdf" TargetMode="External"/><Relationship Id="rId125" Type="http://schemas.openxmlformats.org/officeDocument/2006/relationships/hyperlink" Target="http://www.stuba.sk" TargetMode="External"/><Relationship Id="rId7" Type="http://schemas.openxmlformats.org/officeDocument/2006/relationships/endnotes" Target="endnotes.xml"/><Relationship Id="rId71" Type="http://schemas.openxmlformats.org/officeDocument/2006/relationships/chart" Target="charts/chart24.xml"/><Relationship Id="rId92" Type="http://schemas.openxmlformats.org/officeDocument/2006/relationships/hyperlink" Target="http://www.stuba.sk/hrs4r" TargetMode="Externa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yperlink" Target="http://www.cvtisr.sk" TargetMode="External"/><Relationship Id="rId40" Type="http://schemas.openxmlformats.org/officeDocument/2006/relationships/hyperlink" Target="https://skolaobjawow.sk/" TargetMode="External"/><Relationship Id="rId45" Type="http://schemas.openxmlformats.org/officeDocument/2006/relationships/chart" Target="charts/chart11.xml"/><Relationship Id="rId66" Type="http://schemas.openxmlformats.org/officeDocument/2006/relationships/hyperlink" Target="https://www.stuba.sk/buxus/generate_page.php?page_id=1347" TargetMode="External"/><Relationship Id="rId87" Type="http://schemas.openxmlformats.org/officeDocument/2006/relationships/chart" Target="charts/chart39.xml"/><Relationship Id="rId110" Type="http://schemas.openxmlformats.org/officeDocument/2006/relationships/hyperlink" Target="https://www.stuba.sk/buxus/docs/stu/pracoviska/rektorat/odd_pravne_organizacne/9-2021_VSK_DS.pdf" TargetMode="External"/><Relationship Id="rId115" Type="http://schemas.openxmlformats.org/officeDocument/2006/relationships/hyperlink" Target="https://www.stuba.sk/sk/informacie-pre-uchadzacov/studijne-programy-a-studijne-odbory.html?page_id=1060" TargetMode="External"/><Relationship Id="rId131" Type="http://schemas.openxmlformats.org/officeDocument/2006/relationships/fontTable" Target="fontTable.xml"/><Relationship Id="rId61" Type="http://schemas.openxmlformats.org/officeDocument/2006/relationships/hyperlink" Target="http://www.cvtisr.sk/" TargetMode="External"/><Relationship Id="rId82" Type="http://schemas.openxmlformats.org/officeDocument/2006/relationships/chart" Target="charts/chart34.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gorova\AppData\Local\Microsoft\Windows\Temporary%20Internet%20Files\Content.Outlook\MXBW7FYM\kosielka_gremium_STU.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chelkova\Documents\Pracovn&#233;\Spr&#225;va%202022\pracovn&#233;\STU_Tabulky%20a%20grafy_MM2023021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chelkova\Documents\Pracovn&#233;\Spr&#225;va%202022\pracovn&#233;\STU_Tabulky%20a%20grafy_MM20230211.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ichelkova\Documents\Pracovn&#233;\Spr&#225;va%202022\pracovn&#233;\STU_Tabulky%20a%20grafy_MM20230211.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ichelkova\Documents\Pracovn&#233;\Spr&#225;va%202022\pracovn&#233;\STU_Tabulky%20a%20grafy_MM20230211.xlsx" TargetMode="External"/><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chelkova\Documents\Pracovn&#233;\Spr&#225;va%202022\pracovn&#233;\STU_Tabulky%20a%20grafy_MM2023021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ichelkova\Documents\Pracovn&#233;\Spr&#225;va%202022\pracovn&#233;\STU_Tabulky%20a%20grafy_MM2023021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ichelkova\Documents\Pracovn&#233;\Spr&#225;va%202022\pracovn&#233;\STU_Tabulky%20a%20grafy_MM2023021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ichelkova\Documents\Pracovn&#233;\Spr&#225;va%202022\pracovn&#233;\STU_Tabulky%20a%20grafy_MM2023021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ichelkova\Documents\Pracovn&#233;\Spr&#225;va%202022\pracovn&#233;\STU_Tabulky%20a%20grafy_MM20230211.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ichelkova\Documents\Pracovn&#233;\Spr&#225;va%202022\pracovn&#233;\STU_Tabulky%20a%20grafy_MM20230211.xlsx" TargetMode="External"/><Relationship Id="rId2" Type="http://schemas.microsoft.com/office/2011/relationships/chartColorStyle" Target="colors5.xml"/><Relationship Id="rId1" Type="http://schemas.microsoft.com/office/2011/relationships/chartStyle" Target="style5.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ichelkova\Documents\Pracovn&#233;\Spr&#225;va%202022\pracovn&#233;\STU_Tabulky%20a%20grafy_MM20230212.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chelkova\Documents\Pracovn&#233;\Spr&#225;va%202022\pracovn&#233;\STU_Tabulky%20a%20grafy_MM20230211.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ichelkova\Documents\Marianna\Spr&#225;va%20STU\Spr&#225;va2022\pracovn&#233;\STU_Tabulky%20a%20grafy_MM202302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Takac\Documents\K&#243;pia%20-%20!2022podkladove_tabulky_STU.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Takac\Documents\K&#243;pia%20-%202018podkladoveTabulkySTU.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Zo&#353;it1" TargetMode="External"/><Relationship Id="rId2" Type="http://schemas.microsoft.com/office/2011/relationships/chartColorStyle" Target="colors7.xml"/><Relationship Id="rId1" Type="http://schemas.microsoft.com/office/2011/relationships/chartStyle" Target="style7.xm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dministrator\Documents\Documents\Vyrocna%20sprava\za%202022\!2022podkladove_tabulky_STU.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Takac\AppData\Local\Microsoft\Windows\INetCache\Content.Outlook\NJIESRTS\!2022podkladove_tabulky_STU%20(003).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dministrator\Documents\Documents\Vyrocna%20sprava\za%202022\!2022podkladove_tabulky_STU_AT_v2.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dministrator\Documents\Documents\Vyrocna%20sprava\za%202022\!2022podkladove_tabulky_STU_AT_v2.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dministrator\Documents\Documents\Vyrocna%20sprava\za%202022\!2022podkladove_tabulky_STU_AT_v2.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ministrator\Documents\Documents\Vyrocna%20sprava\za%202022\!2022podkladove_tabulky_STU_AT_v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chelkova\Documents\Pracovn&#233;\Spr&#225;va%202022\pracovn&#233;\STU_Tabulky%20a%20grafy_MM2023021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dministrator\Documents\Documents\Vyrocna%20sprava\za%202022\!2022podkladove_tabulky_STU_AT_v2.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Takac\Documents\K&#243;pia%20-%202018podkladoveTabulkySTU.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Takac\Documents\K&#243;pia%20-%202018podkladoveTabulkySTU.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Takac\Documents\K&#243;pia%20-%202018podkladoveTabulkySTU.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dministrator\Documents\Documents\Vyrocna%20sprava\za%202022\!2022podkladove_tabulky_STU_AT_v2.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Administrator\Documents\Documents\Vyrocna%20sprava\za%202022\!2022podkladove_tabulky_STU_AT_v2.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Administrator\Documents\Documents\Vyrocna%20sprava\za%202022\!2022podkladove_tabulky_STU_AT_v2.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Takac\Documents\K&#243;pia%20-%202018podkladoveTabulkySTU.xlsx" TargetMode="External"/></Relationships>
</file>

<file path=word/charts/_rels/chart38.xml.rels><?xml version="1.0" encoding="UTF-8" standalone="yes"?>
<Relationships xmlns="http://schemas.openxmlformats.org/package/2006/relationships"><Relationship Id="rId2" Type="http://schemas.openxmlformats.org/officeDocument/2006/relationships/oleObject" Target="file:///C:\Users\Takac\Documents\K&#243;pia%20-%20!2022podkladove_tabulky_STU%20(003).xls" TargetMode="External"/><Relationship Id="rId1" Type="http://schemas.openxmlformats.org/officeDocument/2006/relationships/themeOverride" Target="../theme/themeOverride1.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Administrator\Documents\Documents\Vyrocna%20sprava\za%202022\!2022podkladove_tabulky_STU_AT.xls"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chelkova\Documents\Pracovn&#233;\Spr&#225;va%202021\STU_Tabulky%20a%20grafy_2020_2021%202.2.2022.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Takac\Documents\K&#243;pia%20-%202018podkladoveTabulkySTU.xlsx"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file:///C:\novy\rektorat%202020\vystupy%20tvorivej%20cinosti_podklady_za%20rok%202022.xlsx" TargetMode="External"/><Relationship Id="rId2" Type="http://schemas.microsoft.com/office/2011/relationships/chartColorStyle" Target="colors8.xml"/><Relationship Id="rId1" Type="http://schemas.microsoft.com/office/2011/relationships/chartStyle" Target="style8.xml"/></Relationships>
</file>

<file path=word/charts/_rels/chart42.xml.rels><?xml version="1.0" encoding="UTF-8" standalone="yes"?>
<Relationships xmlns="http://schemas.openxmlformats.org/package/2006/relationships"><Relationship Id="rId1" Type="http://schemas.openxmlformats.org/officeDocument/2006/relationships/oleObject" Target="file:///C:\Users\Takac\Documents\K&#243;pia%20-%202018podkladoveTabulkySTU.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file:///C:\Users\Michelkova\Documents\Pracovn&#233;\Spr&#225;va%202022\pracovn&#233;\STU_Tabulky%20a%20grafy_MM20230212.xlsx" TargetMode="External"/><Relationship Id="rId2" Type="http://schemas.microsoft.com/office/2011/relationships/chartColorStyle" Target="colors9.xml"/><Relationship Id="rId1" Type="http://schemas.microsoft.com/office/2011/relationships/chartStyle" Target="style9.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chelkova\Documents\Pracovn&#233;\Spr&#225;va%202021\STU_Tabulky%20a%20grafy_2020_2021%202.2.2022.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Michelkova\Documents\Pracovn&#233;\Spr&#225;va%202021\STU_Tabulky%20a%20grafy_2020_2021%202.2.2022.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chelkova\Documents\Pracovn&#233;\Spr&#225;va%202022\pracovn&#233;\STU_Tabulky%20a%20grafy_MM202302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chelkova\Documents\Pracovn&#233;\Spr&#225;va%202022\pracovn&#233;\STU_Tabulky%20a%20grafy_MM202302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chelkova\Documents\Pracovn&#233;\Spr&#225;va%202022\pracovn&#233;\STU_Tabulky%20a%20grafy_MM202302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effectLst/>
      </c:spPr>
    </c:floor>
    <c:sideWall>
      <c:thickness val="0"/>
      <c:spPr>
        <a:noFill/>
        <a:ln>
          <a:noFill/>
        </a:ln>
        <a:effectLst>
          <a:outerShdw blurRad="50800" dist="50800" dir="5400000" algn="ctr" rotWithShape="0">
            <a:schemeClr val="bg1"/>
          </a:outerShdw>
        </a:effectLst>
      </c:spPr>
    </c:sideWall>
    <c:backWall>
      <c:thickness val="0"/>
      <c:spPr>
        <a:noFill/>
        <a:ln>
          <a:noFill/>
        </a:ln>
        <a:effectLst/>
      </c:spPr>
    </c:backWall>
    <c:plotArea>
      <c:layout>
        <c:manualLayout>
          <c:layoutTarget val="inner"/>
          <c:xMode val="edge"/>
          <c:yMode val="edge"/>
          <c:x val="0.20207124284182737"/>
          <c:y val="6.0198380110461649E-2"/>
          <c:w val="0.89926962021233625"/>
          <c:h val="0.77220021577057474"/>
        </c:manualLayout>
      </c:layout>
      <c:bar3DChart>
        <c:barDir val="bar"/>
        <c:grouping val="clustered"/>
        <c:varyColors val="0"/>
        <c:ser>
          <c:idx val="9"/>
          <c:order val="0"/>
          <c:tx>
            <c:strRef>
              <c:f>Tab_3_Graf_1!$A$24</c:f>
              <c:strCache>
                <c:ptCount val="1"/>
                <c:pt idx="0">
                  <c:v>STU</c:v>
                </c:pt>
              </c:strCache>
            </c:strRef>
          </c:tx>
          <c:spPr>
            <a:solidFill>
              <a:schemeClr val="tx2"/>
            </a:solidFill>
            <a:effectLst/>
            <a:scene3d>
              <a:camera prst="orthographicFront"/>
              <a:lightRig rig="threePt" dir="t"/>
            </a:scene3d>
            <a:sp3d>
              <a:bevelT/>
            </a:sp3d>
          </c:spPr>
          <c:invertIfNegative val="0"/>
          <c:dPt>
            <c:idx val="0"/>
            <c:invertIfNegative val="0"/>
            <c:bubble3D val="0"/>
            <c:explosion val="14"/>
            <c:spPr>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l="50000" t="130000" r="50000" b="-30000"/>
                </a:path>
                <a:tileRect/>
              </a:gradFill>
              <a:effectLst/>
              <a:scene3d>
                <a:camera prst="orthographicFront"/>
                <a:lightRig rig="threePt" dir="t"/>
              </a:scene3d>
              <a:sp3d>
                <a:bevelT/>
              </a:sp3d>
            </c:spPr>
            <c:extLst>
              <c:ext xmlns:c16="http://schemas.microsoft.com/office/drawing/2014/chart" uri="{C3380CC4-5D6E-409C-BE32-E72D297353CC}">
                <c16:uniqueId val="{00000001-35B4-431F-9F49-5903FDC79758}"/>
              </c:ext>
            </c:extLst>
          </c:dPt>
          <c:dPt>
            <c:idx val="1"/>
            <c:invertIfNegative val="0"/>
            <c:bubble3D val="0"/>
            <c:explosion val="6"/>
            <c:spPr>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l="50000" t="130000" r="50000" b="-30000"/>
                </a:path>
                <a:tileRect/>
              </a:gradFill>
              <a:effectLst/>
              <a:scene3d>
                <a:camera prst="orthographicFront"/>
                <a:lightRig rig="threePt" dir="t"/>
              </a:scene3d>
              <a:sp3d>
                <a:bevelT/>
              </a:sp3d>
            </c:spPr>
            <c:extLst>
              <c:ext xmlns:c16="http://schemas.microsoft.com/office/drawing/2014/chart" uri="{C3380CC4-5D6E-409C-BE32-E72D297353CC}">
                <c16:uniqueId val="{00000003-35B4-431F-9F49-5903FDC79758}"/>
              </c:ext>
            </c:extLst>
          </c:dPt>
          <c:dPt>
            <c:idx val="2"/>
            <c:invertIfNegative val="0"/>
            <c:bubble3D val="0"/>
            <c:explosion val="33"/>
            <c:spPr>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effectLst/>
              <a:scene3d>
                <a:camera prst="orthographicFront"/>
                <a:lightRig rig="threePt" dir="t"/>
              </a:scene3d>
              <a:sp3d>
                <a:bevelT/>
              </a:sp3d>
            </c:spPr>
            <c:extLst>
              <c:ext xmlns:c16="http://schemas.microsoft.com/office/drawing/2014/chart" uri="{C3380CC4-5D6E-409C-BE32-E72D297353CC}">
                <c16:uniqueId val="{00000005-35B4-431F-9F49-5903FDC79758}"/>
              </c:ext>
            </c:extLst>
          </c:dPt>
          <c:dLbls>
            <c:dLbl>
              <c:idx val="0"/>
              <c:layout>
                <c:manualLayout>
                  <c:x val="2.3088998335375654E-2"/>
                  <c:y val="-1.8975646620023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B4-431F-9F49-5903FDC79758}"/>
                </c:ext>
              </c:extLst>
            </c:dLbl>
            <c:dLbl>
              <c:idx val="1"/>
              <c:layout>
                <c:manualLayout>
                  <c:x val="2.4415058558759656E-2"/>
                  <c:y val="-3.4252049763129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B4-431F-9F49-5903FDC79758}"/>
                </c:ext>
              </c:extLst>
            </c:dLbl>
            <c:dLbl>
              <c:idx val="2"/>
              <c:layout>
                <c:manualLayout>
                  <c:x val="3.3919842991735304E-2"/>
                  <c:y val="-3.018128925834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B4-431F-9F49-5903FDC7975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Tab_3_Graf_1!$B$14:$D$15</c:f>
              <c:multiLvlStrCache>
                <c:ptCount val="3"/>
                <c:lvl>
                  <c:pt idx="0">
                    <c:v>I. stupeň</c:v>
                  </c:pt>
                  <c:pt idx="1">
                    <c:v>II. stupeň</c:v>
                  </c:pt>
                  <c:pt idx="2">
                    <c:v>III. stupeň</c:v>
                  </c:pt>
                </c:lvl>
                <c:lvl>
                  <c:pt idx="0">
                    <c:v>Študijný program (denná forma v štátnom jazyku)</c:v>
                  </c:pt>
                </c:lvl>
              </c:multiLvlStrCache>
            </c:multiLvlStrRef>
          </c:cat>
          <c:val>
            <c:numRef>
              <c:f>Tab_3_Graf_1!$B$24:$D$24</c:f>
              <c:numCache>
                <c:formatCode>General</c:formatCode>
                <c:ptCount val="3"/>
                <c:pt idx="0">
                  <c:v>58</c:v>
                </c:pt>
                <c:pt idx="1">
                  <c:v>57</c:v>
                </c:pt>
                <c:pt idx="2">
                  <c:v>52</c:v>
                </c:pt>
              </c:numCache>
            </c:numRef>
          </c:val>
          <c:extLst>
            <c:ext xmlns:c16="http://schemas.microsoft.com/office/drawing/2014/chart" uri="{C3380CC4-5D6E-409C-BE32-E72D297353CC}">
              <c16:uniqueId val="{00000006-35B4-431F-9F49-5903FDC79758}"/>
            </c:ext>
          </c:extLst>
        </c:ser>
        <c:dLbls>
          <c:showLegendKey val="0"/>
          <c:showVal val="0"/>
          <c:showCatName val="0"/>
          <c:showSerName val="0"/>
          <c:showPercent val="0"/>
          <c:showBubbleSize val="0"/>
        </c:dLbls>
        <c:gapWidth val="100"/>
        <c:shape val="box"/>
        <c:axId val="132445184"/>
        <c:axId val="200052672"/>
        <c:axId val="0"/>
      </c:bar3DChart>
      <c:catAx>
        <c:axId val="132445184"/>
        <c:scaling>
          <c:orientation val="minMax"/>
        </c:scaling>
        <c:delete val="0"/>
        <c:axPos val="l"/>
        <c:numFmt formatCode="General" sourceLinked="0"/>
        <c:majorTickMark val="out"/>
        <c:minorTickMark val="none"/>
        <c:tickLblPos val="nextTo"/>
        <c:crossAx val="200052672"/>
        <c:crosses val="autoZero"/>
        <c:auto val="1"/>
        <c:lblAlgn val="ctr"/>
        <c:lblOffset val="100"/>
        <c:noMultiLvlLbl val="0"/>
      </c:catAx>
      <c:valAx>
        <c:axId val="200052672"/>
        <c:scaling>
          <c:orientation val="minMax"/>
          <c:min val="50"/>
        </c:scaling>
        <c:delete val="0"/>
        <c:axPos val="b"/>
        <c:majorGridlines>
          <c:spPr>
            <a:effectLst/>
          </c:spPr>
        </c:majorGridlines>
        <c:numFmt formatCode="General" sourceLinked="1"/>
        <c:majorTickMark val="out"/>
        <c:minorTickMark val="none"/>
        <c:tickLblPos val="nextTo"/>
        <c:spPr>
          <a:noFill/>
          <a:ln>
            <a:noFill/>
          </a:ln>
          <a:effectLst>
            <a:outerShdw blurRad="50800" dist="50800" dir="5400000" algn="ctr" rotWithShape="0">
              <a:schemeClr val="bg1"/>
            </a:outerShdw>
          </a:effectLst>
        </c:spPr>
        <c:crossAx val="132445184"/>
        <c:crosses val="autoZero"/>
        <c:crossBetween val="between"/>
        <c:majorUnit val="2"/>
      </c:valAx>
      <c:spPr>
        <a:noFill/>
        <a:ln>
          <a:noFill/>
        </a:ln>
      </c:spPr>
    </c:plotArea>
    <c:plotVisOnly val="1"/>
    <c:dispBlanksAs val="gap"/>
    <c:showDLblsOverMax val="0"/>
  </c:chart>
  <c:spPr>
    <a:ln>
      <a:noFill/>
    </a:ln>
  </c:spPr>
  <c:txPr>
    <a:bodyPr/>
    <a:lstStyle/>
    <a:p>
      <a:pPr>
        <a:defRPr sz="900">
          <a:latin typeface="+mj-lt"/>
        </a:defRPr>
      </a:pPr>
      <a:endParaRPr lang="sk-SK"/>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46084864391952"/>
          <c:y val="5.1400554097404488E-2"/>
          <c:w val="0.73574053243344573"/>
          <c:h val="0.75723169858756589"/>
        </c:manualLayout>
      </c:layout>
      <c:barChart>
        <c:barDir val="col"/>
        <c:grouping val="clustered"/>
        <c:varyColors val="0"/>
        <c:ser>
          <c:idx val="0"/>
          <c:order val="1"/>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solidFill>
                <a:schemeClr val="accent1"/>
              </a:solidFill>
            </a:ln>
          </c:spPr>
          <c:invertIfNegative val="0"/>
          <c:dLbls>
            <c:spPr>
              <a:noFill/>
              <a:ln>
                <a:noFill/>
              </a:ln>
              <a:effectLst/>
            </c:spPr>
            <c:txPr>
              <a:bodyPr rot="-5400000" vert="horz"/>
              <a:lstStyle/>
              <a:p>
                <a:pPr>
                  <a:defRPr>
                    <a:solidFill>
                      <a:schemeClr val="bg1"/>
                    </a:solidFill>
                  </a:defRPr>
                </a:pPr>
                <a:endParaRPr lang="sk-SK"/>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Tab_Graf_10_11_PK_Bc!$I$33:$Q$33</c:f>
              <c:strCache>
                <c:ptCount val="9"/>
                <c:pt idx="0">
                  <c:v>2014/2015</c:v>
                </c:pt>
                <c:pt idx="1">
                  <c:v>2015/2016</c:v>
                </c:pt>
                <c:pt idx="2">
                  <c:v>2016/2017</c:v>
                </c:pt>
                <c:pt idx="3">
                  <c:v>2017/2018</c:v>
                </c:pt>
                <c:pt idx="4">
                  <c:v>2018/2019</c:v>
                </c:pt>
                <c:pt idx="5">
                  <c:v>2019/2020</c:v>
                </c:pt>
                <c:pt idx="6">
                  <c:v>2020/2021</c:v>
                </c:pt>
                <c:pt idx="7">
                  <c:v>2021/2022</c:v>
                </c:pt>
                <c:pt idx="8">
                  <c:v>2022/2023</c:v>
                </c:pt>
              </c:strCache>
              <c:extLst/>
            </c:strRef>
          </c:cat>
          <c:val>
            <c:numRef>
              <c:f>Tab_Graf_10_11_PK_Bc!$I$43:$Q$43</c:f>
              <c:numCache>
                <c:formatCode>#,##0</c:formatCode>
                <c:ptCount val="9"/>
                <c:pt idx="0">
                  <c:v>6660</c:v>
                </c:pt>
                <c:pt idx="1">
                  <c:v>6402</c:v>
                </c:pt>
                <c:pt idx="2">
                  <c:v>5358</c:v>
                </c:pt>
                <c:pt idx="3">
                  <c:v>4711</c:v>
                </c:pt>
                <c:pt idx="4">
                  <c:v>4956</c:v>
                </c:pt>
                <c:pt idx="5">
                  <c:v>4982</c:v>
                </c:pt>
                <c:pt idx="6">
                  <c:v>4385</c:v>
                </c:pt>
                <c:pt idx="7">
                  <c:v>4095</c:v>
                </c:pt>
                <c:pt idx="8">
                  <c:v>4917</c:v>
                </c:pt>
              </c:numCache>
              <c:extLst/>
            </c:numRef>
          </c:val>
          <c:extLst>
            <c:ext xmlns:c16="http://schemas.microsoft.com/office/drawing/2014/chart" uri="{C3380CC4-5D6E-409C-BE32-E72D297353CC}">
              <c16:uniqueId val="{00000000-361B-4616-B15B-F78B0A028F31}"/>
            </c:ext>
          </c:extLst>
        </c:ser>
        <c:dLbls>
          <c:showLegendKey val="0"/>
          <c:showVal val="0"/>
          <c:showCatName val="0"/>
          <c:showSerName val="0"/>
          <c:showPercent val="0"/>
          <c:showBubbleSize val="0"/>
        </c:dLbls>
        <c:gapWidth val="150"/>
        <c:axId val="606646560"/>
        <c:axId val="606646144"/>
      </c:barChart>
      <c:lineChart>
        <c:grouping val="standard"/>
        <c:varyColors val="0"/>
        <c:ser>
          <c:idx val="1"/>
          <c:order val="0"/>
          <c:marker>
            <c:symbol val="none"/>
          </c:marker>
          <c:dLbls>
            <c:dLbl>
              <c:idx val="0"/>
              <c:layout>
                <c:manualLayout>
                  <c:x val="-5.904014849854795E-3"/>
                  <c:y val="-3.2407423573162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1B-4616-B15B-F78B0A028F31}"/>
                </c:ext>
              </c:extLst>
            </c:dLbl>
            <c:dLbl>
              <c:idx val="1"/>
              <c:layout>
                <c:manualLayout>
                  <c:x val="-2.3166087641534501E-2"/>
                  <c:y val="5.00291910180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1B-4616-B15B-F78B0A028F31}"/>
                </c:ext>
              </c:extLst>
            </c:dLbl>
            <c:dLbl>
              <c:idx val="2"/>
              <c:layout>
                <c:manualLayout>
                  <c:x val="-2.5841437870058843E-2"/>
                  <c:y val="3.221636721112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1B-4616-B15B-F78B0A028F31}"/>
                </c:ext>
              </c:extLst>
            </c:dLbl>
            <c:dLbl>
              <c:idx val="3"/>
              <c:layout>
                <c:manualLayout>
                  <c:x val="-2.7662517289073305E-2"/>
                  <c:y val="3.2208443677542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1B-4616-B15B-F78B0A028F31}"/>
                </c:ext>
              </c:extLst>
            </c:dLbl>
            <c:dLbl>
              <c:idx val="4"/>
              <c:layout>
                <c:manualLayout>
                  <c:x val="-2.4319491183933957E-2"/>
                  <c:y val="3.20182788716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1B-4616-B15B-F78B0A028F31}"/>
                </c:ext>
              </c:extLst>
            </c:dLbl>
            <c:dLbl>
              <c:idx val="5"/>
              <c:layout>
                <c:manualLayout>
                  <c:x val="-2.2130013831258646E-2"/>
                  <c:y val="4.1166358549258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1B-4616-B15B-F78B0A028F31}"/>
                </c:ext>
              </c:extLst>
            </c:dLbl>
            <c:dLbl>
              <c:idx val="6"/>
              <c:layout>
                <c:manualLayout>
                  <c:x val="-7.7452984991756612E-17"/>
                  <c:y val="1.7738359201773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7D-4FBE-A718-4085EE31AF09}"/>
                </c:ext>
              </c:extLst>
            </c:dLbl>
            <c:spPr>
              <a:noFill/>
              <a:ln>
                <a:noFill/>
              </a:ln>
              <a:effectLst/>
            </c:spPr>
            <c:txPr>
              <a:bodyPr/>
              <a:lstStyle/>
              <a:p>
                <a:pPr>
                  <a:defRPr>
                    <a:solidFill>
                      <a:srgbClr val="C00000"/>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Tab_Graf_10_11_PK_Bc!$I$33:$Q$33</c:f>
              <c:strCache>
                <c:ptCount val="9"/>
                <c:pt idx="0">
                  <c:v>2014/2015</c:v>
                </c:pt>
                <c:pt idx="1">
                  <c:v>2015/2016</c:v>
                </c:pt>
                <c:pt idx="2">
                  <c:v>2016/2017</c:v>
                </c:pt>
                <c:pt idx="3">
                  <c:v>2017/2018</c:v>
                </c:pt>
                <c:pt idx="4">
                  <c:v>2018/2019</c:v>
                </c:pt>
                <c:pt idx="5">
                  <c:v>2019/2020</c:v>
                </c:pt>
                <c:pt idx="6">
                  <c:v>2020/2021</c:v>
                </c:pt>
                <c:pt idx="7">
                  <c:v>2021/2022</c:v>
                </c:pt>
                <c:pt idx="8">
                  <c:v>2022/2023</c:v>
                </c:pt>
              </c:strCache>
              <c:extLst/>
            </c:strRef>
          </c:cat>
          <c:val>
            <c:numRef>
              <c:f>Tab_Graf_10_11_PK_Bc!$I$42:$Q$42</c:f>
              <c:numCache>
                <c:formatCode>0.00</c:formatCode>
                <c:ptCount val="9"/>
                <c:pt idx="0">
                  <c:v>0.67162162162162165</c:v>
                </c:pt>
                <c:pt idx="1">
                  <c:v>0.65151515151515149</c:v>
                </c:pt>
                <c:pt idx="2">
                  <c:v>0.59817095931317654</c:v>
                </c:pt>
                <c:pt idx="3">
                  <c:v>0.68138399490554025</c:v>
                </c:pt>
                <c:pt idx="4">
                  <c:v>0.67493946731234866</c:v>
                </c:pt>
                <c:pt idx="5">
                  <c:v>0.67442794058611</c:v>
                </c:pt>
                <c:pt idx="6">
                  <c:v>0.68095781071835804</c:v>
                </c:pt>
                <c:pt idx="7" formatCode="#,##0.00">
                  <c:v>0.68302808302808304</c:v>
                </c:pt>
                <c:pt idx="8">
                  <c:v>0.70998576367703881</c:v>
                </c:pt>
              </c:numCache>
              <c:extLst/>
            </c:numRef>
          </c:val>
          <c:smooth val="0"/>
          <c:extLst>
            <c:ext xmlns:c16="http://schemas.microsoft.com/office/drawing/2014/chart" uri="{C3380CC4-5D6E-409C-BE32-E72D297353CC}">
              <c16:uniqueId val="{00000009-361B-4616-B15B-F78B0A028F31}"/>
            </c:ext>
          </c:extLst>
        </c:ser>
        <c:dLbls>
          <c:showLegendKey val="0"/>
          <c:showVal val="0"/>
          <c:showCatName val="0"/>
          <c:showSerName val="0"/>
          <c:showPercent val="0"/>
          <c:showBubbleSize val="0"/>
        </c:dLbls>
        <c:marker val="1"/>
        <c:smooth val="0"/>
        <c:axId val="155251712"/>
        <c:axId val="204197248"/>
      </c:lineChart>
      <c:catAx>
        <c:axId val="155251712"/>
        <c:scaling>
          <c:orientation val="minMax"/>
        </c:scaling>
        <c:delete val="0"/>
        <c:axPos val="b"/>
        <c:numFmt formatCode="General" sourceLinked="0"/>
        <c:majorTickMark val="out"/>
        <c:minorTickMark val="none"/>
        <c:tickLblPos val="nextTo"/>
        <c:txPr>
          <a:bodyPr rot="-1380000"/>
          <a:lstStyle/>
          <a:p>
            <a:pPr>
              <a:defRPr/>
            </a:pPr>
            <a:endParaRPr lang="sk-SK"/>
          </a:p>
        </c:txPr>
        <c:crossAx val="204197248"/>
        <c:crosses val="autoZero"/>
        <c:auto val="1"/>
        <c:lblAlgn val="ctr"/>
        <c:lblOffset val="100"/>
        <c:noMultiLvlLbl val="0"/>
      </c:catAx>
      <c:valAx>
        <c:axId val="204197248"/>
        <c:scaling>
          <c:orientation val="minMax"/>
          <c:max val="0.75000000000000011"/>
          <c:min val="0.55000000000000004"/>
        </c:scaling>
        <c:delete val="0"/>
        <c:axPos val="l"/>
        <c:majorGridlines>
          <c:spPr>
            <a:ln>
              <a:solidFill>
                <a:schemeClr val="accent1">
                  <a:lumMod val="40000"/>
                  <a:lumOff val="60000"/>
                </a:schemeClr>
              </a:solidFill>
            </a:ln>
          </c:spPr>
        </c:majorGridlines>
        <c:title>
          <c:tx>
            <c:rich>
              <a:bodyPr/>
              <a:lstStyle/>
              <a:p>
                <a:pPr>
                  <a:defRPr/>
                </a:pPr>
                <a:r>
                  <a:rPr lang="sk-SK"/>
                  <a:t>zapísaní/prijatí</a:t>
                </a:r>
              </a:p>
            </c:rich>
          </c:tx>
          <c:overlay val="0"/>
        </c:title>
        <c:numFmt formatCode="0.00" sourceLinked="1"/>
        <c:majorTickMark val="out"/>
        <c:minorTickMark val="none"/>
        <c:tickLblPos val="nextTo"/>
        <c:spPr>
          <a:ln>
            <a:solidFill>
              <a:srgbClr val="C00000"/>
            </a:solidFill>
          </a:ln>
        </c:spPr>
        <c:txPr>
          <a:bodyPr/>
          <a:lstStyle/>
          <a:p>
            <a:pPr>
              <a:defRPr>
                <a:solidFill>
                  <a:srgbClr val="C00000"/>
                </a:solidFill>
              </a:defRPr>
            </a:pPr>
            <a:endParaRPr lang="sk-SK"/>
          </a:p>
        </c:txPr>
        <c:crossAx val="155251712"/>
        <c:crosses val="autoZero"/>
        <c:crossBetween val="between"/>
      </c:valAx>
      <c:valAx>
        <c:axId val="606646144"/>
        <c:scaling>
          <c:orientation val="minMax"/>
        </c:scaling>
        <c:delete val="0"/>
        <c:axPos val="r"/>
        <c:title>
          <c:tx>
            <c:rich>
              <a:bodyPr/>
              <a:lstStyle/>
              <a:p>
                <a:pPr>
                  <a:defRPr/>
                </a:pPr>
                <a:r>
                  <a:rPr lang="sk-SK"/>
                  <a:t>počet prijatých</a:t>
                </a:r>
              </a:p>
            </c:rich>
          </c:tx>
          <c:overlay val="0"/>
        </c:title>
        <c:numFmt formatCode="#,##0" sourceLinked="1"/>
        <c:majorTickMark val="out"/>
        <c:minorTickMark val="none"/>
        <c:tickLblPos val="nextTo"/>
        <c:spPr>
          <a:ln>
            <a:solidFill>
              <a:schemeClr val="tx2"/>
            </a:solidFill>
          </a:ln>
        </c:spPr>
        <c:txPr>
          <a:bodyPr/>
          <a:lstStyle/>
          <a:p>
            <a:pPr>
              <a:defRPr>
                <a:solidFill>
                  <a:schemeClr val="tx2"/>
                </a:solidFill>
              </a:defRPr>
            </a:pPr>
            <a:endParaRPr lang="sk-SK"/>
          </a:p>
        </c:txPr>
        <c:crossAx val="606646560"/>
        <c:crosses val="max"/>
        <c:crossBetween val="between"/>
      </c:valAx>
      <c:catAx>
        <c:axId val="606646560"/>
        <c:scaling>
          <c:orientation val="minMax"/>
        </c:scaling>
        <c:delete val="1"/>
        <c:axPos val="b"/>
        <c:numFmt formatCode="General" sourceLinked="1"/>
        <c:majorTickMark val="out"/>
        <c:minorTickMark val="none"/>
        <c:tickLblPos val="nextTo"/>
        <c:crossAx val="606646144"/>
        <c:crosses val="autoZero"/>
        <c:auto val="1"/>
        <c:lblAlgn val="ctr"/>
        <c:lblOffset val="100"/>
        <c:noMultiLvlLbl val="0"/>
      </c:catAx>
    </c:plotArea>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4517346421563462"/>
          <c:y val="4.753723397263155E-2"/>
          <c:w val="0.84207956319035648"/>
          <c:h val="0.63787362138998072"/>
        </c:manualLayout>
      </c:layout>
      <c:areaChart>
        <c:grouping val="standard"/>
        <c:varyColors val="0"/>
        <c:ser>
          <c:idx val="0"/>
          <c:order val="0"/>
          <c:tx>
            <c:strRef>
              <c:f>Tab_Graf_10_11_PK_Bc!$A$71</c:f>
              <c:strCache>
                <c:ptCount val="1"/>
                <c:pt idx="0">
                  <c:v>prihlásení</c:v>
                </c:pt>
              </c:strCache>
            </c:strRef>
          </c:tx>
          <c:spPr>
            <a:gradFill flip="none" rotWithShape="1">
              <a:gsLst>
                <a:gs pos="0">
                  <a:schemeClr val="accent1">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innerShdw dist="12700" dir="16200000">
                <a:schemeClr val="lt1">
                  <a:alpha val="75000"/>
                </a:schemeClr>
              </a:innerShdw>
            </a:effectLst>
          </c:spPr>
          <c:dLbls>
            <c:dLbl>
              <c:idx val="0"/>
              <c:layout>
                <c:manualLayout>
                  <c:x val="-3.4495449063131167E-3"/>
                  <c:y val="-0.2809640739815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1BF-41E7-AA8F-A98EAD59D9C6}"/>
                </c:ext>
              </c:extLst>
            </c:dLbl>
            <c:dLbl>
              <c:idx val="1"/>
              <c:layout>
                <c:manualLayout>
                  <c:x val="-4.6839269374349951E-5"/>
                  <c:y val="-0.254295216436843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BF-41E7-AA8F-A98EAD59D9C6}"/>
                </c:ext>
              </c:extLst>
            </c:dLbl>
            <c:dLbl>
              <c:idx val="2"/>
              <c:layout>
                <c:manualLayout>
                  <c:x val="-7.0462989449454182E-3"/>
                  <c:y val="-0.224447307191776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1BF-41E7-AA8F-A98EAD59D9C6}"/>
                </c:ext>
              </c:extLst>
            </c:dLbl>
            <c:dLbl>
              <c:idx val="3"/>
              <c:layout>
                <c:manualLayout>
                  <c:x val="-5.3294724392720511E-3"/>
                  <c:y val="-0.209653096367962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1BF-41E7-AA8F-A98EAD59D9C6}"/>
                </c:ext>
              </c:extLst>
            </c:dLbl>
            <c:dLbl>
              <c:idx val="4"/>
              <c:layout>
                <c:manualLayout>
                  <c:x val="-3.2049770069373083E-3"/>
                  <c:y val="-0.172071037030220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1BF-41E7-AA8F-A98EAD59D9C6}"/>
                </c:ext>
              </c:extLst>
            </c:dLbl>
            <c:dLbl>
              <c:idx val="5"/>
              <c:layout>
                <c:manualLayout>
                  <c:x val="-5.4733359094931485E-3"/>
                  <c:y val="-0.20213111090662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1BF-41E7-AA8F-A98EAD59D9C6}"/>
                </c:ext>
              </c:extLst>
            </c:dLbl>
            <c:dLbl>
              <c:idx val="6"/>
              <c:layout>
                <c:manualLayout>
                  <c:x val="-2.1244954323347428E-3"/>
                  <c:y val="-0.19031719532554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E9-46B5-A9D5-8536073AA8F5}"/>
                </c:ext>
              </c:extLst>
            </c:dLbl>
            <c:dLbl>
              <c:idx val="7"/>
              <c:layout>
                <c:manualLayout>
                  <c:x val="-8.4979817293394377E-3"/>
                  <c:y val="-0.183639398998330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E9-46B5-A9D5-8536073AA8F5}"/>
                </c:ext>
              </c:extLst>
            </c:dLbl>
            <c:dLbl>
              <c:idx val="8"/>
              <c:layout>
                <c:manualLayout>
                  <c:x val="-1.4871468026343744E-2"/>
                  <c:y val="-0.200333889816360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E9-46B5-A9D5-8536073AA8F5}"/>
                </c:ext>
              </c:extLst>
            </c:dLbl>
            <c:dLbl>
              <c:idx val="9"/>
              <c:layout>
                <c:manualLayout>
                  <c:x val="-4.2489908646696408E-3"/>
                  <c:y val="-0.243739565943238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E9-46B5-A9D5-8536073AA8F5}"/>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j-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Tab_Graf_10_11_PK_Bc!$B$70:$O$70</c:f>
              <c:strCache>
                <c:ptCount val="10"/>
                <c:pt idx="0">
                  <c:v>2013/
2014</c:v>
                </c:pt>
                <c:pt idx="1">
                  <c:v>2014/
2015</c:v>
                </c:pt>
                <c:pt idx="2">
                  <c:v>2015/
2016</c:v>
                </c:pt>
                <c:pt idx="3">
                  <c:v>2016/
2017</c:v>
                </c:pt>
                <c:pt idx="4">
                  <c:v>2017/
2018</c:v>
                </c:pt>
                <c:pt idx="5">
                  <c:v>2018/
2019</c:v>
                </c:pt>
                <c:pt idx="6">
                  <c:v>2019/
2020</c:v>
                </c:pt>
                <c:pt idx="7">
                  <c:v>2020/
2021</c:v>
                </c:pt>
                <c:pt idx="8">
                  <c:v>2021/
2022</c:v>
                </c:pt>
                <c:pt idx="9">
                  <c:v>2022/
2023</c:v>
                </c:pt>
              </c:strCache>
              <c:extLst/>
            </c:strRef>
          </c:cat>
          <c:val>
            <c:numRef>
              <c:f>Tab_Graf_10_11_PK_Bc!$B$71:$O$71</c:f>
              <c:numCache>
                <c:formatCode>#,##0</c:formatCode>
                <c:ptCount val="10"/>
                <c:pt idx="0">
                  <c:v>9299</c:v>
                </c:pt>
                <c:pt idx="1">
                  <c:v>7931</c:v>
                </c:pt>
                <c:pt idx="2">
                  <c:v>7511</c:v>
                </c:pt>
                <c:pt idx="3">
                  <c:v>6404</c:v>
                </c:pt>
                <c:pt idx="4">
                  <c:v>5719</c:v>
                </c:pt>
                <c:pt idx="5">
                  <c:v>6100</c:v>
                </c:pt>
                <c:pt idx="6">
                  <c:v>6102</c:v>
                </c:pt>
                <c:pt idx="7">
                  <c:v>5836</c:v>
                </c:pt>
                <c:pt idx="8">
                  <c:v>6044</c:v>
                </c:pt>
                <c:pt idx="9">
                  <c:v>8408</c:v>
                </c:pt>
              </c:numCache>
              <c:extLst/>
            </c:numRef>
          </c:val>
          <c:extLst>
            <c:ext xmlns:c16="http://schemas.microsoft.com/office/drawing/2014/chart" uri="{C3380CC4-5D6E-409C-BE32-E72D297353CC}">
              <c16:uniqueId val="{0000000E-91BF-41E7-AA8F-A98EAD59D9C6}"/>
            </c:ext>
          </c:extLst>
        </c:ser>
        <c:ser>
          <c:idx val="1"/>
          <c:order val="1"/>
          <c:tx>
            <c:strRef>
              <c:f>Tab_Graf_10_11_PK_Bc!$A$72</c:f>
              <c:strCache>
                <c:ptCount val="1"/>
                <c:pt idx="0">
                  <c:v>prijatí</c:v>
                </c:pt>
              </c:strCache>
            </c:strRef>
          </c:tx>
          <c:spPr>
            <a:gradFill>
              <a:gsLst>
                <a:gs pos="3000">
                  <a:schemeClr val="accent1">
                    <a:lumMod val="40000"/>
                    <a:lumOff val="60000"/>
                  </a:schemeClr>
                </a:gs>
                <a:gs pos="54000">
                  <a:schemeClr val="accent1">
                    <a:lumMod val="40000"/>
                    <a:lumOff val="60000"/>
                  </a:schemeClr>
                </a:gs>
                <a:gs pos="100000">
                  <a:schemeClr val="accent1">
                    <a:lumMod val="60000"/>
                    <a:lumOff val="40000"/>
                  </a:schemeClr>
                </a:gs>
              </a:gsLst>
              <a:lin ang="16200000" scaled="1"/>
            </a:gradFill>
            <a:ln>
              <a:noFill/>
            </a:ln>
            <a:effectLst>
              <a:innerShdw dist="12700" dir="16200000">
                <a:schemeClr val="lt1">
                  <a:alpha val="75000"/>
                </a:schemeClr>
              </a:innerShdw>
            </a:effectLst>
          </c:spPr>
          <c:dLbls>
            <c:dLbl>
              <c:idx val="0"/>
              <c:layout>
                <c:manualLayout>
                  <c:x val="-3.63221805687291E-3"/>
                  <c:y val="-0.189615237995083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1BF-41E7-AA8F-A98EAD59D9C6}"/>
                </c:ext>
              </c:extLst>
            </c:dLbl>
            <c:dLbl>
              <c:idx val="1"/>
              <c:layout>
                <c:manualLayout>
                  <c:x val="2.5125922357215795E-4"/>
                  <c:y val="-0.166147253296176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1BF-41E7-AA8F-A98EAD59D9C6}"/>
                </c:ext>
              </c:extLst>
            </c:dLbl>
            <c:dLbl>
              <c:idx val="2"/>
              <c:layout>
                <c:manualLayout>
                  <c:x val="-1.6052486746996402E-3"/>
                  <c:y val="-0.156250180747439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1BF-41E7-AA8F-A98EAD59D9C6}"/>
                </c:ext>
              </c:extLst>
            </c:dLbl>
            <c:dLbl>
              <c:idx val="3"/>
              <c:layout>
                <c:manualLayout>
                  <c:x val="-4.3945271659398213E-4"/>
                  <c:y val="-0.137827612950718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1BF-41E7-AA8F-A98EAD59D9C6}"/>
                </c:ext>
              </c:extLst>
            </c:dLbl>
            <c:dLbl>
              <c:idx val="4"/>
              <c:layout>
                <c:manualLayout>
                  <c:x val="-6.3184501554896461E-3"/>
                  <c:y val="-9.690639254400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1BF-41E7-AA8F-A98EAD59D9C6}"/>
                </c:ext>
              </c:extLst>
            </c:dLbl>
            <c:dLbl>
              <c:idx val="5"/>
              <c:layout>
                <c:manualLayout>
                  <c:x val="-8.5648949713025828E-4"/>
                  <c:y val="-0.11541335296360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1BF-41E7-AA8F-A98EAD59D9C6}"/>
                </c:ext>
              </c:extLst>
            </c:dLbl>
            <c:dLbl>
              <c:idx val="6"/>
              <c:layout>
                <c:manualLayout>
                  <c:x val="0"/>
                  <c:y val="-0.11018363939899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E9-46B5-A9D5-8536073AA8F5}"/>
                </c:ext>
              </c:extLst>
            </c:dLbl>
            <c:dLbl>
              <c:idx val="7"/>
              <c:layout>
                <c:manualLayout>
                  <c:x val="0"/>
                  <c:y val="-0.106844741235392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E9-46B5-A9D5-8536073AA8F5}"/>
                </c:ext>
              </c:extLst>
            </c:dLbl>
            <c:dLbl>
              <c:idx val="8"/>
              <c:layout>
                <c:manualLayout>
                  <c:x val="2.1244954323348204E-3"/>
                  <c:y val="-0.103505843071786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E9-46B5-A9D5-8536073AA8F5}"/>
                </c:ext>
              </c:extLst>
            </c:dLbl>
            <c:dLbl>
              <c:idx val="9"/>
              <c:layout>
                <c:manualLayout>
                  <c:x val="-4.2489908646696408E-3"/>
                  <c:y val="-0.113522537562604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E9-46B5-A9D5-8536073AA8F5}"/>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j-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Tab_Graf_10_11_PK_Bc!$B$70:$O$70</c:f>
              <c:strCache>
                <c:ptCount val="10"/>
                <c:pt idx="0">
                  <c:v>2013/
2014</c:v>
                </c:pt>
                <c:pt idx="1">
                  <c:v>2014/
2015</c:v>
                </c:pt>
                <c:pt idx="2">
                  <c:v>2015/
2016</c:v>
                </c:pt>
                <c:pt idx="3">
                  <c:v>2016/
2017</c:v>
                </c:pt>
                <c:pt idx="4">
                  <c:v>2017/
2018</c:v>
                </c:pt>
                <c:pt idx="5">
                  <c:v>2018/
2019</c:v>
                </c:pt>
                <c:pt idx="6">
                  <c:v>2019/
2020</c:v>
                </c:pt>
                <c:pt idx="7">
                  <c:v>2020/
2021</c:v>
                </c:pt>
                <c:pt idx="8">
                  <c:v>2021/
2022</c:v>
                </c:pt>
                <c:pt idx="9">
                  <c:v>2022/
2023</c:v>
                </c:pt>
              </c:strCache>
              <c:extLst/>
            </c:strRef>
          </c:cat>
          <c:val>
            <c:numRef>
              <c:f>Tab_Graf_10_11_PK_Bc!$B$72:$O$72</c:f>
              <c:numCache>
                <c:formatCode>#,##0</c:formatCode>
                <c:ptCount val="10"/>
                <c:pt idx="0">
                  <c:v>7909</c:v>
                </c:pt>
                <c:pt idx="1">
                  <c:v>6660</c:v>
                </c:pt>
                <c:pt idx="2">
                  <c:v>6402</c:v>
                </c:pt>
                <c:pt idx="3">
                  <c:v>5358</c:v>
                </c:pt>
                <c:pt idx="4">
                  <c:v>4711</c:v>
                </c:pt>
                <c:pt idx="5">
                  <c:v>4956</c:v>
                </c:pt>
                <c:pt idx="6">
                  <c:v>4982</c:v>
                </c:pt>
                <c:pt idx="7">
                  <c:v>4385</c:v>
                </c:pt>
                <c:pt idx="8">
                  <c:v>4095</c:v>
                </c:pt>
                <c:pt idx="9">
                  <c:v>4917</c:v>
                </c:pt>
              </c:numCache>
              <c:extLst/>
            </c:numRef>
          </c:val>
          <c:extLst>
            <c:ext xmlns:c16="http://schemas.microsoft.com/office/drawing/2014/chart" uri="{C3380CC4-5D6E-409C-BE32-E72D297353CC}">
              <c16:uniqueId val="{0000001D-91BF-41E7-AA8F-A98EAD59D9C6}"/>
            </c:ext>
          </c:extLst>
        </c:ser>
        <c:ser>
          <c:idx val="2"/>
          <c:order val="2"/>
          <c:tx>
            <c:strRef>
              <c:f>Tab_Graf_10_11_PK_Bc!$A$73</c:f>
              <c:strCache>
                <c:ptCount val="1"/>
                <c:pt idx="0">
                  <c:v>zapísaní</c:v>
                </c:pt>
              </c:strCache>
            </c:strRef>
          </c:tx>
          <c:spPr>
            <a:gradFill>
              <a:gsLst>
                <a:gs pos="0">
                  <a:schemeClr val="accent1">
                    <a:lumMod val="67000"/>
                  </a:schemeClr>
                </a:gs>
                <a:gs pos="48000">
                  <a:schemeClr val="accent1">
                    <a:lumMod val="97000"/>
                    <a:lumOff val="3000"/>
                  </a:schemeClr>
                </a:gs>
                <a:gs pos="100000">
                  <a:schemeClr val="accent1">
                    <a:lumMod val="60000"/>
                    <a:lumOff val="40000"/>
                  </a:schemeClr>
                </a:gs>
              </a:gsLst>
              <a:lin ang="16200000" scaled="1"/>
            </a:gradFill>
            <a:ln>
              <a:noFill/>
            </a:ln>
            <a:effectLst>
              <a:innerShdw dist="12700" dir="16200000">
                <a:schemeClr val="lt1">
                  <a:alpha val="75000"/>
                </a:schemeClr>
              </a:innerShdw>
            </a:effectLst>
          </c:spPr>
          <c:dLbls>
            <c:dLbl>
              <c:idx val="0"/>
              <c:layout>
                <c:manualLayout>
                  <c:x val="-1.0005704353877371E-2"/>
                  <c:y val="-0.104704428640910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91BF-41E7-AA8F-A98EAD59D9C6}"/>
                </c:ext>
              </c:extLst>
            </c:dLbl>
            <c:dLbl>
              <c:idx val="1"/>
              <c:layout>
                <c:manualLayout>
                  <c:x val="-6.1222270734322647E-3"/>
                  <c:y val="-8.1412064727301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91BF-41E7-AA8F-A98EAD59D9C6}"/>
                </c:ext>
              </c:extLst>
            </c:dLbl>
            <c:dLbl>
              <c:idx val="2"/>
              <c:layout>
                <c:manualLayout>
                  <c:x val="-7.3827052689159553E-3"/>
                  <c:y val="-6.1430468103006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91BF-41E7-AA8F-A98EAD59D9C6}"/>
                </c:ext>
              </c:extLst>
            </c:dLbl>
            <c:dLbl>
              <c:idx val="3"/>
              <c:layout>
                <c:manualLayout>
                  <c:x val="-6.3184501554896461E-3"/>
                  <c:y val="-4.8880417493723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91BF-41E7-AA8F-A98EAD59D9C6}"/>
                </c:ext>
              </c:extLst>
            </c:dLbl>
            <c:dLbl>
              <c:idx val="4"/>
              <c:layout>
                <c:manualLayout>
                  <c:x val="-5.8239612973808481E-3"/>
                  <c:y val="-3.8009280559462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91BF-41E7-AA8F-A98EAD59D9C6}"/>
                </c:ext>
              </c:extLst>
            </c:dLbl>
            <c:dLbl>
              <c:idx val="5"/>
              <c:layout>
                <c:manualLayout>
                  <c:x val="-4.084384289439919E-3"/>
                  <c:y val="-5.6527808815216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91BF-41E7-AA8F-A98EAD59D9C6}"/>
                </c:ext>
              </c:extLst>
            </c:dLbl>
            <c:dLbl>
              <c:idx val="6"/>
              <c:layout>
                <c:manualLayout>
                  <c:x val="2.1244954323348204E-3"/>
                  <c:y val="-4.3405676126878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FE9-46B5-A9D5-8536073AA8F5}"/>
                </c:ext>
              </c:extLst>
            </c:dLbl>
            <c:dLbl>
              <c:idx val="7"/>
              <c:layout>
                <c:manualLayout>
                  <c:x val="-4.2489908646697969E-3"/>
                  <c:y val="-4.006677796327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E9-46B5-A9D5-8536073AA8F5}"/>
                </c:ext>
              </c:extLst>
            </c:dLbl>
            <c:dLbl>
              <c:idx val="8"/>
              <c:layout>
                <c:manualLayout>
                  <c:x val="-2.1244954323348204E-3"/>
                  <c:y val="-4.3405676126878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E9-46B5-A9D5-8536073AA8F5}"/>
                </c:ext>
              </c:extLst>
            </c:dLbl>
            <c:dLbl>
              <c:idx val="9"/>
              <c:layout>
                <c:manualLayout>
                  <c:x val="0"/>
                  <c:y val="-5.6761268781302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FE9-46B5-A9D5-8536073AA8F5}"/>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j-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Tab_Graf_10_11_PK_Bc!$B$70:$O$70</c:f>
              <c:strCache>
                <c:ptCount val="10"/>
                <c:pt idx="0">
                  <c:v>2013/
2014</c:v>
                </c:pt>
                <c:pt idx="1">
                  <c:v>2014/
2015</c:v>
                </c:pt>
                <c:pt idx="2">
                  <c:v>2015/
2016</c:v>
                </c:pt>
                <c:pt idx="3">
                  <c:v>2016/
2017</c:v>
                </c:pt>
                <c:pt idx="4">
                  <c:v>2017/
2018</c:v>
                </c:pt>
                <c:pt idx="5">
                  <c:v>2018/
2019</c:v>
                </c:pt>
                <c:pt idx="6">
                  <c:v>2019/
2020</c:v>
                </c:pt>
                <c:pt idx="7">
                  <c:v>2020/
2021</c:v>
                </c:pt>
                <c:pt idx="8">
                  <c:v>2021/
2022</c:v>
                </c:pt>
                <c:pt idx="9">
                  <c:v>2022/
2023</c:v>
                </c:pt>
              </c:strCache>
              <c:extLst/>
            </c:strRef>
          </c:cat>
          <c:val>
            <c:numRef>
              <c:f>Tab_Graf_10_11_PK_Bc!$B$73:$O$73</c:f>
              <c:numCache>
                <c:formatCode>#,##0</c:formatCode>
                <c:ptCount val="10"/>
                <c:pt idx="0">
                  <c:v>5084</c:v>
                </c:pt>
                <c:pt idx="1">
                  <c:v>4473</c:v>
                </c:pt>
                <c:pt idx="2">
                  <c:v>4171</c:v>
                </c:pt>
                <c:pt idx="3">
                  <c:v>3205</c:v>
                </c:pt>
                <c:pt idx="4">
                  <c:v>3210</c:v>
                </c:pt>
                <c:pt idx="5">
                  <c:v>3345</c:v>
                </c:pt>
                <c:pt idx="6">
                  <c:v>3360</c:v>
                </c:pt>
                <c:pt idx="7">
                  <c:v>2986</c:v>
                </c:pt>
                <c:pt idx="8">
                  <c:v>2797</c:v>
                </c:pt>
                <c:pt idx="9">
                  <c:v>3491</c:v>
                </c:pt>
              </c:numCache>
              <c:extLst/>
            </c:numRef>
          </c:val>
          <c:extLst>
            <c:ext xmlns:c16="http://schemas.microsoft.com/office/drawing/2014/chart" uri="{C3380CC4-5D6E-409C-BE32-E72D297353CC}">
              <c16:uniqueId val="{0000002C-91BF-41E7-AA8F-A98EAD59D9C6}"/>
            </c:ext>
          </c:extLst>
        </c:ser>
        <c:dLbls>
          <c:showLegendKey val="0"/>
          <c:showVal val="0"/>
          <c:showCatName val="0"/>
          <c:showSerName val="0"/>
          <c:showPercent val="0"/>
          <c:showBubbleSize val="0"/>
        </c:dLbls>
        <c:dropLines>
          <c:spPr>
            <a:ln w="9525" cap="flat" cmpd="sng" algn="ctr">
              <a:solidFill>
                <a:schemeClr val="lt1">
                  <a:alpha val="40000"/>
                </a:schemeClr>
              </a:solidFill>
              <a:round/>
            </a:ln>
            <a:effectLst/>
          </c:spPr>
        </c:dropLines>
        <c:axId val="458657760"/>
        <c:axId val="458656512"/>
      </c:areaChart>
      <c:catAx>
        <c:axId val="458657760"/>
        <c:scaling>
          <c:orientation val="minMax"/>
        </c:scaling>
        <c:delete val="0"/>
        <c:axPos val="b"/>
        <c:numFmt formatCode="General" sourceLinked="0"/>
        <c:majorTickMark val="none"/>
        <c:minorTickMark val="none"/>
        <c:tickLblPos val="nextTo"/>
        <c:spPr>
          <a:noFill/>
          <a:ln w="9575" cap="flat" cmpd="sng" algn="ctr">
            <a:solidFill>
              <a:schemeClr val="lt1">
                <a:lumMod val="75000"/>
              </a:schemeClr>
            </a:solidFill>
            <a:round/>
            <a:headEnd type="none" w="sm" len="sm"/>
            <a:tailEnd type="none" w="sm" len="sm"/>
          </a:ln>
          <a:effectLst/>
        </c:spPr>
        <c:txPr>
          <a:bodyPr rot="0" spcFirstLastPara="1" vertOverflow="ellipsis" wrap="square" anchor="ctr" anchorCtr="1"/>
          <a:lstStyle/>
          <a:p>
            <a:pPr>
              <a:defRPr sz="1050" b="1" i="0" u="none" strike="noStrike" kern="1200" cap="all" baseline="0">
                <a:solidFill>
                  <a:sysClr val="windowText" lastClr="000000"/>
                </a:solidFill>
                <a:latin typeface="+mj-lt"/>
                <a:ea typeface="+mn-ea"/>
                <a:cs typeface="+mn-cs"/>
              </a:defRPr>
            </a:pPr>
            <a:endParaRPr lang="sk-SK"/>
          </a:p>
        </c:txPr>
        <c:crossAx val="458656512"/>
        <c:crosses val="autoZero"/>
        <c:auto val="1"/>
        <c:lblAlgn val="ctr"/>
        <c:lblOffset val="100"/>
        <c:noMultiLvlLbl val="0"/>
      </c:catAx>
      <c:valAx>
        <c:axId val="458656512"/>
        <c:scaling>
          <c:orientation val="minMax"/>
          <c:max val="11000"/>
          <c:min val="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j-lt"/>
                <a:ea typeface="+mn-ea"/>
                <a:cs typeface="+mn-cs"/>
              </a:defRPr>
            </a:pPr>
            <a:endParaRPr lang="sk-SK"/>
          </a:p>
        </c:txPr>
        <c:crossAx val="458657760"/>
        <c:crosses val="autoZero"/>
        <c:crossBetween val="midCat"/>
      </c:valAx>
      <c:dTable>
        <c:showHorzBorder val="1"/>
        <c:showVertBorder val="1"/>
        <c:showOutline val="1"/>
        <c:showKeys val="1"/>
        <c:spPr>
          <a:noFill/>
          <a:ln w="9525">
            <a:solidFill>
              <a:schemeClr val="lt1">
                <a:lumMod val="50000"/>
              </a:schemeClr>
            </a:solidFill>
          </a:ln>
          <a:effectLst/>
        </c:spPr>
        <c:txPr>
          <a:bodyPr rot="0" spcFirstLastPara="1" vertOverflow="ellipsis" vert="horz" wrap="square" anchor="ctr" anchorCtr="1"/>
          <a:lstStyle/>
          <a:p>
            <a:pPr rtl="0">
              <a:defRPr sz="1050" b="0" i="0" u="none" strike="noStrike" kern="1200" baseline="0">
                <a:solidFill>
                  <a:sysClr val="windowText" lastClr="000000"/>
                </a:solidFill>
                <a:latin typeface="+mj-lt"/>
                <a:ea typeface="+mn-ea"/>
                <a:cs typeface="+mn-cs"/>
              </a:defRPr>
            </a:pPr>
            <a:endParaRPr lang="sk-SK"/>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mj-lt"/>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54246940656372E-2"/>
          <c:y val="6.5344265356634831E-2"/>
          <c:w val="0.8873122399370148"/>
          <c:h val="0.58032720882937527"/>
        </c:manualLayout>
      </c:layout>
      <c:lineChart>
        <c:grouping val="standard"/>
        <c:varyColors val="0"/>
        <c:ser>
          <c:idx val="0"/>
          <c:order val="0"/>
          <c:tx>
            <c:strRef>
              <c:f>Tab23_Graf_12_zap_matu!$B$2</c:f>
              <c:strCache>
                <c:ptCount val="1"/>
                <c:pt idx="0">
                  <c:v>Počet 19 ročných obyvateľov v SR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1260000" spcFirstLastPara="1" vertOverflow="ellipsis" wrap="square" anchor="ctr" anchorCtr="1"/>
              <a:lstStyle/>
              <a:p>
                <a:pPr>
                  <a:defRPr sz="900" b="0" i="0" u="none" strike="noStrike" kern="1200" baseline="0">
                    <a:solidFill>
                      <a:schemeClr val="tx2"/>
                    </a:solidFill>
                    <a:latin typeface="+mj-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Tab23_Graf_12_zap_matu!$A$4:$A$19</c:f>
              <c:strCache>
                <c:ptCount val="16"/>
                <c:pt idx="0">
                  <c:v>2007/2008</c:v>
                </c:pt>
                <c:pt idx="1">
                  <c:v>2008/2009</c:v>
                </c:pt>
                <c:pt idx="2">
                  <c:v>2009/2010</c:v>
                </c:pt>
                <c:pt idx="3">
                  <c:v>2010/2011</c:v>
                </c:pt>
                <c:pt idx="4">
                  <c:v>2011/2012</c:v>
                </c:pt>
                <c:pt idx="5">
                  <c:v>2012/2013</c:v>
                </c:pt>
                <c:pt idx="6">
                  <c:v>2013/2014</c:v>
                </c:pt>
                <c:pt idx="7">
                  <c:v>2014/2015</c:v>
                </c:pt>
                <c:pt idx="8">
                  <c:v>2015/2016</c:v>
                </c:pt>
                <c:pt idx="9">
                  <c:v>2016/2017</c:v>
                </c:pt>
                <c:pt idx="10">
                  <c:v>2017/2018</c:v>
                </c:pt>
                <c:pt idx="11">
                  <c:v>2018/2019</c:v>
                </c:pt>
                <c:pt idx="12">
                  <c:v>2019/2020</c:v>
                </c:pt>
                <c:pt idx="13">
                  <c:v>2020/2021</c:v>
                </c:pt>
                <c:pt idx="14">
                  <c:v>2021/2022</c:v>
                </c:pt>
                <c:pt idx="15">
                  <c:v>2022/2023</c:v>
                </c:pt>
              </c:strCache>
            </c:strRef>
          </c:cat>
          <c:val>
            <c:numRef>
              <c:f>Tab23_Graf_12_zap_matu!$B$4:$B$19</c:f>
              <c:numCache>
                <c:formatCode>#,##0</c:formatCode>
                <c:ptCount val="16"/>
                <c:pt idx="0">
                  <c:v>82193</c:v>
                </c:pt>
                <c:pt idx="1">
                  <c:v>80633</c:v>
                </c:pt>
                <c:pt idx="2">
                  <c:v>79049</c:v>
                </c:pt>
                <c:pt idx="3">
                  <c:v>78128</c:v>
                </c:pt>
                <c:pt idx="4">
                  <c:v>75124</c:v>
                </c:pt>
                <c:pt idx="5">
                  <c:v>72825.5</c:v>
                </c:pt>
                <c:pt idx="6">
                  <c:v>69072.5</c:v>
                </c:pt>
                <c:pt idx="7">
                  <c:v>63394</c:v>
                </c:pt>
                <c:pt idx="8">
                  <c:v>60351.5</c:v>
                </c:pt>
                <c:pt idx="9">
                  <c:v>59128</c:v>
                </c:pt>
                <c:pt idx="10">
                  <c:v>57679</c:v>
                </c:pt>
                <c:pt idx="11">
                  <c:v>56357</c:v>
                </c:pt>
                <c:pt idx="12">
                  <c:v>55439</c:v>
                </c:pt>
                <c:pt idx="13">
                  <c:v>53250</c:v>
                </c:pt>
                <c:pt idx="14">
                  <c:v>50465</c:v>
                </c:pt>
                <c:pt idx="15">
                  <c:v>50527</c:v>
                </c:pt>
              </c:numCache>
            </c:numRef>
          </c:val>
          <c:smooth val="0"/>
          <c:extLst>
            <c:ext xmlns:c16="http://schemas.microsoft.com/office/drawing/2014/chart" uri="{C3380CC4-5D6E-409C-BE32-E72D297353CC}">
              <c16:uniqueId val="{00000000-B945-4DCC-A155-20A8798B5863}"/>
            </c:ext>
          </c:extLst>
        </c:ser>
        <c:ser>
          <c:idx val="1"/>
          <c:order val="1"/>
          <c:tx>
            <c:strRef>
              <c:f>Tab23_Graf_12_zap_matu!$C$2</c:f>
              <c:strCache>
                <c:ptCount val="1"/>
                <c:pt idx="0">
                  <c:v>Počet maturantov SR denné štúdium (štatistiky CVTI)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1260000" spcFirstLastPara="1" vertOverflow="ellipsis" wrap="square" anchor="ctr" anchorCtr="1"/>
              <a:lstStyle/>
              <a:p>
                <a:pPr>
                  <a:defRPr sz="900" b="0" i="0" u="none" strike="noStrike" kern="1200" baseline="0">
                    <a:solidFill>
                      <a:srgbClr val="C00000"/>
                    </a:solidFill>
                    <a:latin typeface="+mj-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Tab23_Graf_12_zap_matu!$A$4:$A$19</c:f>
              <c:strCache>
                <c:ptCount val="16"/>
                <c:pt idx="0">
                  <c:v>2007/2008</c:v>
                </c:pt>
                <c:pt idx="1">
                  <c:v>2008/2009</c:v>
                </c:pt>
                <c:pt idx="2">
                  <c:v>2009/2010</c:v>
                </c:pt>
                <c:pt idx="3">
                  <c:v>2010/2011</c:v>
                </c:pt>
                <c:pt idx="4">
                  <c:v>2011/2012</c:v>
                </c:pt>
                <c:pt idx="5">
                  <c:v>2012/2013</c:v>
                </c:pt>
                <c:pt idx="6">
                  <c:v>2013/2014</c:v>
                </c:pt>
                <c:pt idx="7">
                  <c:v>2014/2015</c:v>
                </c:pt>
                <c:pt idx="8">
                  <c:v>2015/2016</c:v>
                </c:pt>
                <c:pt idx="9">
                  <c:v>2016/2017</c:v>
                </c:pt>
                <c:pt idx="10">
                  <c:v>2017/2018</c:v>
                </c:pt>
                <c:pt idx="11">
                  <c:v>2018/2019</c:v>
                </c:pt>
                <c:pt idx="12">
                  <c:v>2019/2020</c:v>
                </c:pt>
                <c:pt idx="13">
                  <c:v>2020/2021</c:v>
                </c:pt>
                <c:pt idx="14">
                  <c:v>2021/2022</c:v>
                </c:pt>
                <c:pt idx="15">
                  <c:v>2022/2023</c:v>
                </c:pt>
              </c:strCache>
            </c:strRef>
          </c:cat>
          <c:val>
            <c:numRef>
              <c:f>Tab23_Graf_12_zap_matu!$C$4:$C$19</c:f>
              <c:numCache>
                <c:formatCode>#,##0</c:formatCode>
                <c:ptCount val="16"/>
                <c:pt idx="0">
                  <c:v>52863</c:v>
                </c:pt>
                <c:pt idx="1">
                  <c:v>50582</c:v>
                </c:pt>
                <c:pt idx="2">
                  <c:v>50561</c:v>
                </c:pt>
                <c:pt idx="3">
                  <c:v>52728</c:v>
                </c:pt>
                <c:pt idx="4">
                  <c:v>50872</c:v>
                </c:pt>
                <c:pt idx="5">
                  <c:v>50891</c:v>
                </c:pt>
                <c:pt idx="6">
                  <c:v>48468</c:v>
                </c:pt>
                <c:pt idx="7">
                  <c:v>43263</c:v>
                </c:pt>
                <c:pt idx="8">
                  <c:v>40529</c:v>
                </c:pt>
                <c:pt idx="9">
                  <c:v>39209</c:v>
                </c:pt>
                <c:pt idx="10">
                  <c:v>34517</c:v>
                </c:pt>
                <c:pt idx="11">
                  <c:v>37411</c:v>
                </c:pt>
                <c:pt idx="12">
                  <c:v>37120</c:v>
                </c:pt>
                <c:pt idx="13">
                  <c:v>36254</c:v>
                </c:pt>
                <c:pt idx="14">
                  <c:v>35394</c:v>
                </c:pt>
                <c:pt idx="15">
                  <c:v>35374</c:v>
                </c:pt>
              </c:numCache>
            </c:numRef>
          </c:val>
          <c:smooth val="0"/>
          <c:extLst>
            <c:ext xmlns:c16="http://schemas.microsoft.com/office/drawing/2014/chart" uri="{C3380CC4-5D6E-409C-BE32-E72D297353CC}">
              <c16:uniqueId val="{00000001-B945-4DCC-A155-20A8798B5863}"/>
            </c:ext>
          </c:extLst>
        </c:ser>
        <c:ser>
          <c:idx val="3"/>
          <c:order val="2"/>
          <c:tx>
            <c:strRef>
              <c:f>Tab23_Graf_12_zap_matu!$H$2</c:f>
              <c:strCache>
                <c:ptCount val="1"/>
                <c:pt idx="0">
                  <c:v>Počet zapísaných študentov STU, ktorí maturovali v predch. škol. roku</c:v>
                </c:pt>
              </c:strCache>
            </c:strRef>
          </c:tx>
          <c:spPr>
            <a:ln w="44450" cap="rnd">
              <a:solidFill>
                <a:srgbClr val="00B050"/>
              </a:solidFill>
              <a:round/>
            </a:ln>
            <a:effectLst/>
          </c:spPr>
          <c:marker>
            <c:symbol val="circle"/>
            <c:size val="5"/>
            <c:spPr>
              <a:solidFill>
                <a:srgbClr val="00B050"/>
              </a:solidFill>
              <a:ln w="9525">
                <a:solidFill>
                  <a:schemeClr val="accent4"/>
                </a:solidFill>
              </a:ln>
              <a:effectLst/>
            </c:spPr>
          </c:marker>
          <c:dLbls>
            <c:spPr>
              <a:noFill/>
              <a:ln>
                <a:noFill/>
              </a:ln>
              <a:effectLst/>
            </c:spPr>
            <c:txPr>
              <a:bodyPr rot="-1260000" spcFirstLastPara="1" vertOverflow="ellipsis" wrap="square" anchor="ctr" anchorCtr="1"/>
              <a:lstStyle/>
              <a:p>
                <a:pPr>
                  <a:defRPr sz="900" b="0" i="0" u="none" strike="noStrike" kern="1200" baseline="0">
                    <a:solidFill>
                      <a:srgbClr val="00B050"/>
                    </a:solidFill>
                    <a:latin typeface="+mj-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Tab23_Graf_12_zap_matu!$A$4:$A$19</c:f>
              <c:strCache>
                <c:ptCount val="16"/>
                <c:pt idx="0">
                  <c:v>2007/2008</c:v>
                </c:pt>
                <c:pt idx="1">
                  <c:v>2008/2009</c:v>
                </c:pt>
                <c:pt idx="2">
                  <c:v>2009/2010</c:v>
                </c:pt>
                <c:pt idx="3">
                  <c:v>2010/2011</c:v>
                </c:pt>
                <c:pt idx="4">
                  <c:v>2011/2012</c:v>
                </c:pt>
                <c:pt idx="5">
                  <c:v>2012/2013</c:v>
                </c:pt>
                <c:pt idx="6">
                  <c:v>2013/2014</c:v>
                </c:pt>
                <c:pt idx="7">
                  <c:v>2014/2015</c:v>
                </c:pt>
                <c:pt idx="8">
                  <c:v>2015/2016</c:v>
                </c:pt>
                <c:pt idx="9">
                  <c:v>2016/2017</c:v>
                </c:pt>
                <c:pt idx="10">
                  <c:v>2017/2018</c:v>
                </c:pt>
                <c:pt idx="11">
                  <c:v>2018/2019</c:v>
                </c:pt>
                <c:pt idx="12">
                  <c:v>2019/2020</c:v>
                </c:pt>
                <c:pt idx="13">
                  <c:v>2020/2021</c:v>
                </c:pt>
                <c:pt idx="14">
                  <c:v>2021/2022</c:v>
                </c:pt>
                <c:pt idx="15">
                  <c:v>2022/2023</c:v>
                </c:pt>
              </c:strCache>
            </c:strRef>
          </c:cat>
          <c:val>
            <c:numRef>
              <c:f>Tab23_Graf_12_zap_matu!$H$4:$H$19</c:f>
              <c:numCache>
                <c:formatCode>#,##0</c:formatCode>
                <c:ptCount val="16"/>
                <c:pt idx="0">
                  <c:v>3404</c:v>
                </c:pt>
                <c:pt idx="1">
                  <c:v>2863</c:v>
                </c:pt>
                <c:pt idx="2">
                  <c:v>3058</c:v>
                </c:pt>
                <c:pt idx="3">
                  <c:v>3305</c:v>
                </c:pt>
                <c:pt idx="4">
                  <c:v>3181</c:v>
                </c:pt>
                <c:pt idx="5">
                  <c:v>3460</c:v>
                </c:pt>
                <c:pt idx="6">
                  <c:v>3164</c:v>
                </c:pt>
                <c:pt idx="7">
                  <c:v>2747</c:v>
                </c:pt>
                <c:pt idx="8">
                  <c:v>2483</c:v>
                </c:pt>
                <c:pt idx="9">
                  <c:v>2192</c:v>
                </c:pt>
                <c:pt idx="10">
                  <c:v>1836</c:v>
                </c:pt>
                <c:pt idx="11">
                  <c:v>2187</c:v>
                </c:pt>
                <c:pt idx="12">
                  <c:v>2174</c:v>
                </c:pt>
                <c:pt idx="13">
                  <c:v>1986</c:v>
                </c:pt>
                <c:pt idx="14">
                  <c:v>1953</c:v>
                </c:pt>
                <c:pt idx="15">
                  <c:v>2310</c:v>
                </c:pt>
              </c:numCache>
            </c:numRef>
          </c:val>
          <c:smooth val="0"/>
          <c:extLst>
            <c:ext xmlns:c16="http://schemas.microsoft.com/office/drawing/2014/chart" uri="{C3380CC4-5D6E-409C-BE32-E72D297353CC}">
              <c16:uniqueId val="{00000002-B945-4DCC-A155-20A8798B5863}"/>
            </c:ext>
          </c:extLst>
        </c:ser>
        <c:dLbls>
          <c:showLegendKey val="0"/>
          <c:showVal val="0"/>
          <c:showCatName val="0"/>
          <c:showSerName val="0"/>
          <c:showPercent val="0"/>
          <c:showBubbleSize val="0"/>
        </c:dLbls>
        <c:marker val="1"/>
        <c:smooth val="0"/>
        <c:axId val="199568016"/>
        <c:axId val="199565520"/>
      </c:lineChart>
      <c:catAx>
        <c:axId val="19956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crossAx val="199565520"/>
        <c:crosses val="autoZero"/>
        <c:auto val="1"/>
        <c:lblAlgn val="ctr"/>
        <c:lblOffset val="100"/>
        <c:noMultiLvlLbl val="0"/>
      </c:catAx>
      <c:valAx>
        <c:axId val="19956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crossAx val="199568016"/>
        <c:crosses val="autoZero"/>
        <c:crossBetween val="between"/>
        <c:majorUnit val="20000"/>
      </c:valAx>
      <c:spPr>
        <a:noFill/>
        <a:ln>
          <a:noFill/>
        </a:ln>
        <a:effectLst/>
      </c:spPr>
    </c:plotArea>
    <c:legend>
      <c:legendPos val="b"/>
      <c:layout>
        <c:manualLayout>
          <c:xMode val="edge"/>
          <c:yMode val="edge"/>
          <c:x val="0.17076052400927089"/>
          <c:y val="0.82744760863000855"/>
          <c:w val="0.76753530317744056"/>
          <c:h val="0.153211878085545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50">
          <a:latin typeface="+mj-lt"/>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flip="none" rotWithShape="1">
              <a:gsLst>
                <a:gs pos="0">
                  <a:schemeClr val="accent2"/>
                </a:gs>
                <a:gs pos="48000">
                  <a:schemeClr val="accent2">
                    <a:lumMod val="97000"/>
                    <a:lumOff val="3000"/>
                  </a:schemeClr>
                </a:gs>
                <a:gs pos="100000">
                  <a:schemeClr val="accent2">
                    <a:lumMod val="60000"/>
                    <a:lumOff val="40000"/>
                  </a:schemeClr>
                </a:gs>
              </a:gsLst>
              <a:lin ang="16200000" scaled="1"/>
              <a:tileRect/>
            </a:gradFill>
            <a:ln>
              <a:noFill/>
            </a:ln>
          </c:spPr>
          <c:invertIfNegative val="0"/>
          <c:dLbls>
            <c:spPr>
              <a:noFill/>
              <a:ln>
                <a:noFill/>
              </a:ln>
              <a:effectLst/>
            </c:spPr>
            <c:txPr>
              <a:bodyPr rot="-5400000" vert="horz"/>
              <a:lstStyle/>
              <a:p>
                <a:pPr>
                  <a:defRPr>
                    <a:solidFill>
                      <a:schemeClr val="bg1"/>
                    </a:solidFill>
                  </a:defRPr>
                </a:pPr>
                <a:endParaRPr lang="sk-SK"/>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'Tab_graf13_PK_Ing '!$H$34:$Q$34</c:f>
              <c:strCache>
                <c:ptCount val="7"/>
                <c:pt idx="0">
                  <c:v>2016/2017</c:v>
                </c:pt>
                <c:pt idx="1">
                  <c:v>2017/2018</c:v>
                </c:pt>
                <c:pt idx="2">
                  <c:v>2018/2019</c:v>
                </c:pt>
                <c:pt idx="3">
                  <c:v>2019/2020</c:v>
                </c:pt>
                <c:pt idx="4">
                  <c:v>2020/2021</c:v>
                </c:pt>
                <c:pt idx="5">
                  <c:v>2021/2022</c:v>
                </c:pt>
                <c:pt idx="6">
                  <c:v>2022/2023</c:v>
                </c:pt>
              </c:strCache>
              <c:extLst/>
            </c:strRef>
          </c:cat>
          <c:val>
            <c:numRef>
              <c:f>'Tab_graf13_PK_Ing '!$H$44:$Q$44</c:f>
              <c:numCache>
                <c:formatCode>#,##0</c:formatCode>
                <c:ptCount val="7"/>
                <c:pt idx="0">
                  <c:v>1972</c:v>
                </c:pt>
                <c:pt idx="1">
                  <c:v>1779</c:v>
                </c:pt>
                <c:pt idx="2">
                  <c:v>1661</c:v>
                </c:pt>
                <c:pt idx="3">
                  <c:v>1609</c:v>
                </c:pt>
                <c:pt idx="4">
                  <c:v>1365</c:v>
                </c:pt>
                <c:pt idx="5">
                  <c:v>1567</c:v>
                </c:pt>
                <c:pt idx="6">
                  <c:v>1750</c:v>
                </c:pt>
              </c:numCache>
              <c:extLst/>
            </c:numRef>
          </c:val>
          <c:extLst>
            <c:ext xmlns:c16="http://schemas.microsoft.com/office/drawing/2014/chart" uri="{C3380CC4-5D6E-409C-BE32-E72D297353CC}">
              <c16:uniqueId val="{00000000-D7C8-4628-8FBE-C11F6A4150B6}"/>
            </c:ext>
          </c:extLst>
        </c:ser>
        <c:dLbls>
          <c:showLegendKey val="0"/>
          <c:showVal val="0"/>
          <c:showCatName val="0"/>
          <c:showSerName val="0"/>
          <c:showPercent val="0"/>
          <c:showBubbleSize val="0"/>
        </c:dLbls>
        <c:gapWidth val="150"/>
        <c:axId val="474598192"/>
        <c:axId val="474596112"/>
      </c:barChart>
      <c:lineChart>
        <c:grouping val="standard"/>
        <c:varyColors val="0"/>
        <c:ser>
          <c:idx val="0"/>
          <c:order val="0"/>
          <c:marker>
            <c:symbol val="none"/>
          </c:marker>
          <c:dLbls>
            <c:dLbl>
              <c:idx val="1"/>
              <c:layout>
                <c:manualLayout>
                  <c:x val="-4.0184148104481676E-2"/>
                  <c:y val="-5.83852591174887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C8-4628-8FBE-C11F6A4150B6}"/>
                </c:ext>
              </c:extLst>
            </c:dLbl>
            <c:dLbl>
              <c:idx val="2"/>
              <c:layout>
                <c:manualLayout>
                  <c:x val="-3.8865168591894102E-2"/>
                  <c:y val="-4.6624746874202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C8-4628-8FBE-C11F6A4150B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'Tab_graf13_PK_Ing '!$H$34:$Q$34</c:f>
              <c:strCache>
                <c:ptCount val="7"/>
                <c:pt idx="0">
                  <c:v>2016/2017</c:v>
                </c:pt>
                <c:pt idx="1">
                  <c:v>2017/2018</c:v>
                </c:pt>
                <c:pt idx="2">
                  <c:v>2018/2019</c:v>
                </c:pt>
                <c:pt idx="3">
                  <c:v>2019/2020</c:v>
                </c:pt>
                <c:pt idx="4">
                  <c:v>2020/2021</c:v>
                </c:pt>
                <c:pt idx="5">
                  <c:v>2021/2022</c:v>
                </c:pt>
                <c:pt idx="6">
                  <c:v>2022/2023</c:v>
                </c:pt>
              </c:strCache>
              <c:extLst/>
            </c:strRef>
          </c:cat>
          <c:val>
            <c:numRef>
              <c:f>'Tab_graf13_PK_Ing '!$H$43:$Q$43</c:f>
              <c:numCache>
                <c:formatCode>0.00</c:formatCode>
                <c:ptCount val="7"/>
                <c:pt idx="0">
                  <c:v>0.85</c:v>
                </c:pt>
                <c:pt idx="1">
                  <c:v>0.90350431691213817</c:v>
                </c:pt>
                <c:pt idx="2">
                  <c:v>0.88871054039593367</c:v>
                </c:pt>
                <c:pt idx="3">
                  <c:v>0.88699007717750822</c:v>
                </c:pt>
                <c:pt idx="4">
                  <c:v>0.83845208845208841</c:v>
                </c:pt>
                <c:pt idx="5">
                  <c:v>0.84111647879763818</c:v>
                </c:pt>
                <c:pt idx="6">
                  <c:v>0.86285714285714288</c:v>
                </c:pt>
              </c:numCache>
              <c:extLst/>
            </c:numRef>
          </c:val>
          <c:smooth val="0"/>
          <c:extLst>
            <c:ext xmlns:c16="http://schemas.microsoft.com/office/drawing/2014/chart" uri="{C3380CC4-5D6E-409C-BE32-E72D297353CC}">
              <c16:uniqueId val="{00000007-D7C8-4628-8FBE-C11F6A4150B6}"/>
            </c:ext>
          </c:extLst>
        </c:ser>
        <c:dLbls>
          <c:showLegendKey val="0"/>
          <c:showVal val="0"/>
          <c:showCatName val="0"/>
          <c:showSerName val="0"/>
          <c:showPercent val="0"/>
          <c:showBubbleSize val="0"/>
        </c:dLbls>
        <c:marker val="1"/>
        <c:smooth val="0"/>
        <c:axId val="149039616"/>
        <c:axId val="204200704"/>
      </c:lineChart>
      <c:catAx>
        <c:axId val="149039616"/>
        <c:scaling>
          <c:orientation val="minMax"/>
        </c:scaling>
        <c:delete val="0"/>
        <c:axPos val="b"/>
        <c:numFmt formatCode="General" sourceLinked="0"/>
        <c:majorTickMark val="out"/>
        <c:minorTickMark val="none"/>
        <c:tickLblPos val="nextTo"/>
        <c:txPr>
          <a:bodyPr/>
          <a:lstStyle/>
          <a:p>
            <a:pPr>
              <a:defRPr sz="900">
                <a:latin typeface="+mj-lt"/>
              </a:defRPr>
            </a:pPr>
            <a:endParaRPr lang="sk-SK"/>
          </a:p>
        </c:txPr>
        <c:crossAx val="204200704"/>
        <c:crosses val="autoZero"/>
        <c:auto val="1"/>
        <c:lblAlgn val="ctr"/>
        <c:lblOffset val="100"/>
        <c:noMultiLvlLbl val="0"/>
      </c:catAx>
      <c:valAx>
        <c:axId val="204200704"/>
        <c:scaling>
          <c:orientation val="minMax"/>
          <c:max val="0.92"/>
        </c:scaling>
        <c:delete val="0"/>
        <c:axPos val="l"/>
        <c:majorGridlines>
          <c:spPr>
            <a:ln>
              <a:gradFill flip="none" rotWithShape="1">
                <a:gsLst>
                  <a:gs pos="0">
                    <a:schemeClr val="tx2">
                      <a:lumMod val="40000"/>
                      <a:lumOff val="60000"/>
                    </a:schemeClr>
                  </a:gs>
                  <a:gs pos="48000">
                    <a:schemeClr val="accent1">
                      <a:lumMod val="97000"/>
                      <a:lumOff val="3000"/>
                    </a:schemeClr>
                  </a:gs>
                  <a:gs pos="100000">
                    <a:schemeClr val="accent1">
                      <a:lumMod val="60000"/>
                      <a:lumOff val="40000"/>
                    </a:schemeClr>
                  </a:gs>
                </a:gsLst>
                <a:lin ang="16200000" scaled="1"/>
                <a:tileRect/>
              </a:gradFill>
            </a:ln>
          </c:spPr>
        </c:majorGridlines>
        <c:minorGridlines>
          <c:spPr>
            <a:ln>
              <a:noFill/>
            </a:ln>
          </c:spPr>
        </c:minorGridlines>
        <c:title>
          <c:tx>
            <c:rich>
              <a:bodyPr/>
              <a:lstStyle/>
              <a:p>
                <a:pPr>
                  <a:defRPr/>
                </a:pPr>
                <a:r>
                  <a:rPr lang="sk-SK"/>
                  <a:t>zapísaní/prijatí</a:t>
                </a:r>
                <a:endParaRPr lang="en-US"/>
              </a:p>
            </c:rich>
          </c:tx>
          <c:overlay val="0"/>
        </c:title>
        <c:numFmt formatCode="0.00" sourceLinked="1"/>
        <c:majorTickMark val="out"/>
        <c:minorTickMark val="none"/>
        <c:tickLblPos val="nextTo"/>
        <c:spPr>
          <a:ln>
            <a:solidFill>
              <a:srgbClr val="C00000"/>
            </a:solidFill>
          </a:ln>
        </c:spPr>
        <c:txPr>
          <a:bodyPr/>
          <a:lstStyle/>
          <a:p>
            <a:pPr>
              <a:defRPr>
                <a:solidFill>
                  <a:schemeClr val="tx2"/>
                </a:solidFill>
              </a:defRPr>
            </a:pPr>
            <a:endParaRPr lang="sk-SK"/>
          </a:p>
        </c:txPr>
        <c:crossAx val="149039616"/>
        <c:crosses val="autoZero"/>
        <c:crossBetween val="between"/>
        <c:majorUnit val="2.0000000000000004E-2"/>
      </c:valAx>
      <c:valAx>
        <c:axId val="474596112"/>
        <c:scaling>
          <c:orientation val="minMax"/>
          <c:max val="2200"/>
          <c:min val="0"/>
        </c:scaling>
        <c:delete val="0"/>
        <c:axPos val="r"/>
        <c:title>
          <c:tx>
            <c:rich>
              <a:bodyPr/>
              <a:lstStyle/>
              <a:p>
                <a:pPr>
                  <a:defRPr/>
                </a:pPr>
                <a:r>
                  <a:rPr lang="sk-SK"/>
                  <a:t>počet prijatých</a:t>
                </a:r>
              </a:p>
            </c:rich>
          </c:tx>
          <c:overlay val="0"/>
        </c:title>
        <c:numFmt formatCode="#,##0" sourceLinked="1"/>
        <c:majorTickMark val="out"/>
        <c:minorTickMark val="none"/>
        <c:tickLblPos val="nextTo"/>
        <c:spPr>
          <a:ln>
            <a:solidFill>
              <a:schemeClr val="tx2"/>
            </a:solidFill>
          </a:ln>
        </c:spPr>
        <c:txPr>
          <a:bodyPr/>
          <a:lstStyle/>
          <a:p>
            <a:pPr>
              <a:defRPr>
                <a:solidFill>
                  <a:srgbClr val="C00000"/>
                </a:solidFill>
              </a:defRPr>
            </a:pPr>
            <a:endParaRPr lang="sk-SK"/>
          </a:p>
        </c:txPr>
        <c:crossAx val="474598192"/>
        <c:crosses val="max"/>
        <c:crossBetween val="between"/>
      </c:valAx>
      <c:catAx>
        <c:axId val="474598192"/>
        <c:scaling>
          <c:orientation val="minMax"/>
        </c:scaling>
        <c:delete val="1"/>
        <c:axPos val="b"/>
        <c:numFmt formatCode="General" sourceLinked="1"/>
        <c:majorTickMark val="out"/>
        <c:minorTickMark val="none"/>
        <c:tickLblPos val="nextTo"/>
        <c:crossAx val="474596112"/>
        <c:crosses val="autoZero"/>
        <c:auto val="1"/>
        <c:lblAlgn val="ctr"/>
        <c:lblOffset val="100"/>
        <c:noMultiLvlLbl val="0"/>
      </c:catAx>
      <c:spPr>
        <a:noFill/>
        <a:ln>
          <a:noFill/>
        </a:ln>
      </c:spPr>
    </c:plotArea>
    <c:plotVisOnly val="0"/>
    <c:dispBlanksAs val="gap"/>
    <c:showDLblsOverMax val="0"/>
  </c:chart>
  <c:spPr>
    <a:ln>
      <a:noFill/>
    </a:ln>
  </c:spPr>
  <c:txPr>
    <a:bodyPr/>
    <a:lstStyle/>
    <a:p>
      <a:pPr>
        <a:defRPr>
          <a:latin typeface="+mj-lt"/>
        </a:defRPr>
      </a:pPr>
      <a:endParaRPr lang="sk-SK"/>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40"/>
      <c:rAngAx val="0"/>
      <c:perspective val="50"/>
    </c:view3D>
    <c:floor>
      <c:thickness val="0"/>
    </c:floor>
    <c:sideWall>
      <c:thickness val="0"/>
    </c:sideWall>
    <c:backWall>
      <c:thickness val="0"/>
    </c:backWall>
    <c:plotArea>
      <c:layout>
        <c:manualLayout>
          <c:layoutTarget val="inner"/>
          <c:xMode val="edge"/>
          <c:yMode val="edge"/>
          <c:x val="2.2394920705334369E-2"/>
          <c:y val="6.9468900280082443E-2"/>
          <c:w val="0.92893663820191474"/>
          <c:h val="0.81038559777343266"/>
        </c:manualLayout>
      </c:layout>
      <c:pie3DChart>
        <c:varyColors val="1"/>
        <c:ser>
          <c:idx val="0"/>
          <c:order val="0"/>
          <c:spPr>
            <a:effectLst>
              <a:outerShdw blurRad="50800" dist="38100" dir="2700000" algn="tl" rotWithShape="0">
                <a:prstClr val="black">
                  <a:alpha val="40000"/>
                </a:prstClr>
              </a:outerShdw>
            </a:effectLst>
          </c:spPr>
          <c:explosion val="14"/>
          <c:dPt>
            <c:idx val="0"/>
            <c:bubble3D val="0"/>
            <c:extLst>
              <c:ext xmlns:c16="http://schemas.microsoft.com/office/drawing/2014/chart" uri="{C3380CC4-5D6E-409C-BE32-E72D297353CC}">
                <c16:uniqueId val="{00000001-C61F-40DA-B0D8-B1327CE4C809}"/>
              </c:ext>
            </c:extLst>
          </c:dPt>
          <c:dPt>
            <c:idx val="1"/>
            <c:bubble3D val="0"/>
            <c:explosion val="28"/>
            <c:extLst>
              <c:ext xmlns:c16="http://schemas.microsoft.com/office/drawing/2014/chart" uri="{C3380CC4-5D6E-409C-BE32-E72D297353CC}">
                <c16:uniqueId val="{00000003-C61F-40DA-B0D8-B1327CE4C809}"/>
              </c:ext>
            </c:extLst>
          </c:dPt>
          <c:dPt>
            <c:idx val="2"/>
            <c:bubble3D val="0"/>
            <c:explosion val="22"/>
            <c:extLst>
              <c:ext xmlns:c16="http://schemas.microsoft.com/office/drawing/2014/chart" uri="{C3380CC4-5D6E-409C-BE32-E72D297353CC}">
                <c16:uniqueId val="{00000004-C61F-40DA-B0D8-B1327CE4C809}"/>
              </c:ext>
            </c:extLst>
          </c:dPt>
          <c:dLbls>
            <c:dLbl>
              <c:idx val="0"/>
              <c:layout>
                <c:manualLayout>
                  <c:x val="1.819489113156628E-2"/>
                  <c:y val="-2.962761366238616E-2"/>
                </c:manualLayout>
              </c:layout>
              <c:tx>
                <c:rich>
                  <a:bodyPr/>
                  <a:lstStyle/>
                  <a:p>
                    <a:r>
                      <a:rPr lang="en-US" sz="1200"/>
                      <a:t>I. stupeň; 143; 4 %</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5898783778788214"/>
                      <c:h val="0.24094241575507755"/>
                    </c:manualLayout>
                  </c15:layout>
                </c:ext>
                <c:ext xmlns:c16="http://schemas.microsoft.com/office/drawing/2014/chart" uri="{C3380CC4-5D6E-409C-BE32-E72D297353CC}">
                  <c16:uniqueId val="{00000001-C61F-40DA-B0D8-B1327CE4C809}"/>
                </c:ext>
              </c:extLst>
            </c:dLbl>
            <c:dLbl>
              <c:idx val="1"/>
              <c:layout>
                <c:manualLayout>
                  <c:x val="-1.3369930871317142E-2"/>
                  <c:y val="-0.3846992196445243"/>
                </c:manualLayout>
              </c:layout>
              <c:tx>
                <c:rich>
                  <a:bodyPr/>
                  <a:lstStyle/>
                  <a:p>
                    <a:r>
                      <a:rPr lang="en-US" sz="1200"/>
                      <a:t>II. stupeň;</a:t>
                    </a:r>
                    <a:r>
                      <a:rPr lang="en-US" sz="1200" baseline="0"/>
                      <a:t> 6</a:t>
                    </a:r>
                    <a:r>
                      <a:rPr lang="en-US" sz="1200"/>
                      <a:t>; 1 %</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5156038593767329"/>
                      <c:h val="0.1783025947259948"/>
                    </c:manualLayout>
                  </c15:layout>
                </c:ext>
                <c:ext xmlns:c16="http://schemas.microsoft.com/office/drawing/2014/chart" uri="{C3380CC4-5D6E-409C-BE32-E72D297353CC}">
                  <c16:uniqueId val="{00000003-C61F-40DA-B0D8-B1327CE4C809}"/>
                </c:ext>
              </c:extLst>
            </c:dLbl>
            <c:dLbl>
              <c:idx val="2"/>
              <c:layout>
                <c:manualLayout>
                  <c:x val="-4.2250933422054639E-2"/>
                  <c:y val="0.10091898747555876"/>
                </c:manualLayout>
              </c:layout>
              <c:tx>
                <c:rich>
                  <a:bodyPr/>
                  <a:lstStyle/>
                  <a:p>
                    <a:r>
                      <a:rPr lang="en-US" sz="1200"/>
                      <a:t>III. stupeň; 4;</a:t>
                    </a:r>
                    <a:r>
                      <a:rPr lang="en-US" sz="1200" baseline="0"/>
                      <a:t> 5</a:t>
                    </a:r>
                    <a:r>
                      <a:rPr lang="en-US" sz="1200"/>
                      <a:t> %</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567566818232228"/>
                      <c:h val="0.18725114058729231"/>
                    </c:manualLayout>
                  </c15:layout>
                </c:ext>
                <c:ext xmlns:c16="http://schemas.microsoft.com/office/drawing/2014/chart" uri="{C3380CC4-5D6E-409C-BE32-E72D297353CC}">
                  <c16:uniqueId val="{00000004-C61F-40DA-B0D8-B1327CE4C80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extLst>
          </c:dLbls>
          <c:val>
            <c:numRef>
              <c:f>Tab29_graf_14_preskúm!$F$22:$F$24</c:f>
              <c:numCache>
                <c:formatCode>#,##0</c:formatCode>
                <c:ptCount val="3"/>
                <c:pt idx="0">
                  <c:v>143</c:v>
                </c:pt>
                <c:pt idx="1">
                  <c:v>6</c:v>
                </c:pt>
                <c:pt idx="2">
                  <c:v>4</c:v>
                </c:pt>
              </c:numCache>
            </c:numRef>
          </c:val>
          <c:extLst>
            <c:ext xmlns:c16="http://schemas.microsoft.com/office/drawing/2014/chart" uri="{C3380CC4-5D6E-409C-BE32-E72D297353CC}">
              <c16:uniqueId val="{00000005-C61F-40DA-B0D8-B1327CE4C809}"/>
            </c:ext>
          </c:extLst>
        </c:ser>
        <c:dLbls>
          <c:dLblPos val="outEnd"/>
          <c:showLegendKey val="0"/>
          <c:showVal val="1"/>
          <c:showCatName val="0"/>
          <c:showSerName val="0"/>
          <c:showPercent val="0"/>
          <c:showBubbleSize val="0"/>
          <c:showLeaderLines val="0"/>
        </c:dLbls>
      </c:pie3DChart>
    </c:plotArea>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8.9828010789801377E-2"/>
          <c:y val="5.3509756020843596E-2"/>
          <c:w val="0.897880055461033"/>
          <c:h val="0.69158692047648507"/>
        </c:manualLayout>
      </c:layout>
      <c:lineChart>
        <c:grouping val="standard"/>
        <c:varyColors val="0"/>
        <c:ser>
          <c:idx val="1"/>
          <c:order val="0"/>
          <c:tx>
            <c:strRef>
              <c:f>Tab32_Graf_15_zap_VŠ!$A$33</c:f>
              <c:strCache>
                <c:ptCount val="1"/>
                <c:pt idx="0">
                  <c:v>UK</c:v>
                </c:pt>
              </c:strCache>
            </c:strRef>
          </c:tx>
          <c:spPr>
            <a:ln w="41275">
              <a:solidFill>
                <a:srgbClr val="00B050"/>
              </a:solidFill>
            </a:ln>
          </c:spPr>
          <c:marker>
            <c:symbol val="none"/>
          </c:marker>
          <c:dLbls>
            <c:dLbl>
              <c:idx val="0"/>
              <c:layout>
                <c:manualLayout>
                  <c:x val="-2.7912198260440814E-2"/>
                  <c:y val="-5.0653345420752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F2-4EBE-86C5-AA76FFF8BE27}"/>
                </c:ext>
              </c:extLst>
            </c:dLbl>
            <c:spPr>
              <a:noFill/>
              <a:ln>
                <a:noFill/>
              </a:ln>
              <a:effectLst/>
            </c:spPr>
            <c:txPr>
              <a:bodyPr/>
              <a:lstStyle/>
              <a:p>
                <a:pPr>
                  <a:defRPr>
                    <a:solidFill>
                      <a:srgbClr val="00B050"/>
                    </a:solidFill>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Tab32_Graf_15_zap_VŠ!$B$32:$O$32</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strRef>
          </c:cat>
          <c:val>
            <c:numRef>
              <c:f>Tab32_Graf_15_zap_VŠ!$B$33:$O$33</c:f>
              <c:numCache>
                <c:formatCode>#,##0</c:formatCode>
                <c:ptCount val="10"/>
                <c:pt idx="0">
                  <c:v>5098</c:v>
                </c:pt>
                <c:pt idx="1">
                  <c:v>4726</c:v>
                </c:pt>
                <c:pt idx="2">
                  <c:v>4278</c:v>
                </c:pt>
                <c:pt idx="3">
                  <c:v>4457</c:v>
                </c:pt>
                <c:pt idx="4">
                  <c:v>4114</c:v>
                </c:pt>
                <c:pt idx="5">
                  <c:v>4473</c:v>
                </c:pt>
                <c:pt idx="6">
                  <c:v>4619</c:v>
                </c:pt>
                <c:pt idx="7">
                  <c:v>5218</c:v>
                </c:pt>
                <c:pt idx="8">
                  <c:v>4706</c:v>
                </c:pt>
                <c:pt idx="9">
                  <c:v>5000</c:v>
                </c:pt>
              </c:numCache>
            </c:numRef>
          </c:val>
          <c:smooth val="0"/>
          <c:extLst>
            <c:ext xmlns:c16="http://schemas.microsoft.com/office/drawing/2014/chart" uri="{C3380CC4-5D6E-409C-BE32-E72D297353CC}">
              <c16:uniqueId val="{00000001-B0F2-4EBE-86C5-AA76FFF8BE27}"/>
            </c:ext>
          </c:extLst>
        </c:ser>
        <c:ser>
          <c:idx val="2"/>
          <c:order val="1"/>
          <c:tx>
            <c:strRef>
              <c:f>Tab32_Graf_15_zap_VŠ!$A$34</c:f>
              <c:strCache>
                <c:ptCount val="1"/>
                <c:pt idx="0">
                  <c:v>STU</c:v>
                </c:pt>
              </c:strCache>
            </c:strRef>
          </c:tx>
          <c:spPr>
            <a:ln w="63500">
              <a:solidFill>
                <a:srgbClr val="C00000"/>
              </a:solidFill>
            </a:ln>
          </c:spPr>
          <c:marker>
            <c:symbol val="none"/>
          </c:marker>
          <c:dLbls>
            <c:dLbl>
              <c:idx val="0"/>
              <c:layout>
                <c:manualLayout>
                  <c:x val="-3.5710330023180095E-2"/>
                  <c:y val="4.7220137583812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F2-4EBE-86C5-AA76FFF8BE27}"/>
                </c:ext>
              </c:extLst>
            </c:dLbl>
            <c:dLbl>
              <c:idx val="3"/>
              <c:layout>
                <c:manualLayout>
                  <c:x val="-3.1783656616093718E-2"/>
                  <c:y val="-4.27606049503721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F2-4EBE-86C5-AA76FFF8BE27}"/>
                </c:ext>
              </c:extLst>
            </c:dLbl>
            <c:dLbl>
              <c:idx val="4"/>
              <c:layout>
                <c:manualLayout>
                  <c:x val="-3.5848697266500223E-2"/>
                  <c:y val="-4.276060495037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F2-4EBE-86C5-AA76FFF8BE27}"/>
                </c:ext>
              </c:extLst>
            </c:dLbl>
            <c:dLbl>
              <c:idx val="5"/>
              <c:layout>
                <c:manualLayout>
                  <c:x val="-3.0233093715519237E-2"/>
                  <c:y val="-4.2760521152634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F2-4EBE-86C5-AA76FFF8BE27}"/>
                </c:ext>
              </c:extLst>
            </c:dLbl>
            <c:dLbl>
              <c:idx val="6"/>
              <c:layout>
                <c:manualLayout>
                  <c:x val="-2.3759384028886422E-2"/>
                  <c:y val="-3.85652299036793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F2-4EBE-86C5-AA76FFF8BE27}"/>
                </c:ext>
              </c:extLst>
            </c:dLbl>
            <c:dLbl>
              <c:idx val="7"/>
              <c:layout>
                <c:manualLayout>
                  <c:x val="-2.2961098934797988E-2"/>
                  <c:y val="-4.45596976565877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F2-4EBE-86C5-AA76FFF8BE27}"/>
                </c:ext>
              </c:extLst>
            </c:dLbl>
            <c:dLbl>
              <c:idx val="8"/>
              <c:layout>
                <c:manualLayout>
                  <c:x val="-1.7597147435608463E-2"/>
                  <c:y val="2.50516630304533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F2-4EBE-86C5-AA76FFF8BE27}"/>
                </c:ext>
              </c:extLst>
            </c:dLbl>
            <c:spPr>
              <a:noFill/>
              <a:ln>
                <a:noFill/>
              </a:ln>
              <a:effectLst/>
            </c:spPr>
            <c:txPr>
              <a:bodyPr/>
              <a:lstStyle/>
              <a:p>
                <a:pPr>
                  <a:defRPr>
                    <a:solidFill>
                      <a:srgbClr val="C00000"/>
                    </a:solidFill>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Tab32_Graf_15_zap_VŠ!$B$32:$O$32</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strRef>
          </c:cat>
          <c:val>
            <c:numRef>
              <c:f>Tab32_Graf_15_zap_VŠ!$B$34:$O$34</c:f>
              <c:numCache>
                <c:formatCode>#,##0</c:formatCode>
                <c:ptCount val="10"/>
                <c:pt idx="0">
                  <c:v>5084</c:v>
                </c:pt>
                <c:pt idx="1">
                  <c:v>4473</c:v>
                </c:pt>
                <c:pt idx="2">
                  <c:v>4171</c:v>
                </c:pt>
                <c:pt idx="3">
                  <c:v>3205</c:v>
                </c:pt>
                <c:pt idx="4">
                  <c:v>3210</c:v>
                </c:pt>
                <c:pt idx="5">
                  <c:v>3345</c:v>
                </c:pt>
                <c:pt idx="6">
                  <c:v>3360</c:v>
                </c:pt>
                <c:pt idx="7">
                  <c:v>2986</c:v>
                </c:pt>
                <c:pt idx="8">
                  <c:v>2797</c:v>
                </c:pt>
                <c:pt idx="9">
                  <c:v>3491</c:v>
                </c:pt>
              </c:numCache>
            </c:numRef>
          </c:val>
          <c:smooth val="0"/>
          <c:extLst>
            <c:ext xmlns:c16="http://schemas.microsoft.com/office/drawing/2014/chart" uri="{C3380CC4-5D6E-409C-BE32-E72D297353CC}">
              <c16:uniqueId val="{0000000A-B0F2-4EBE-86C5-AA76FFF8BE27}"/>
            </c:ext>
          </c:extLst>
        </c:ser>
        <c:ser>
          <c:idx val="3"/>
          <c:order val="2"/>
          <c:tx>
            <c:strRef>
              <c:f>Tab32_Graf_15_zap_VŠ!$A$35</c:f>
              <c:strCache>
                <c:ptCount val="1"/>
                <c:pt idx="0">
                  <c:v>SPU</c:v>
                </c:pt>
              </c:strCache>
            </c:strRef>
          </c:tx>
          <c:spPr>
            <a:ln w="41275"/>
          </c:spPr>
          <c:marker>
            <c:symbol val="none"/>
          </c:marker>
          <c:dLbls>
            <c:dLbl>
              <c:idx val="0"/>
              <c:layout>
                <c:manualLayout>
                  <c:x val="-3.2822409226338119E-2"/>
                  <c:y val="3.9712652047951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F2-4EBE-86C5-AA76FFF8BE27}"/>
                </c:ext>
              </c:extLst>
            </c:dLbl>
            <c:dLbl>
              <c:idx val="7"/>
              <c:layout>
                <c:manualLayout>
                  <c:x val="-1.1910164559221748E-2"/>
                  <c:y val="3.5667420608487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0F2-4EBE-86C5-AA76FFF8BE27}"/>
                </c:ext>
              </c:extLst>
            </c:dLbl>
            <c:dLbl>
              <c:idx val="8"/>
              <c:layout>
                <c:manualLayout>
                  <c:x val="-5.101183657884689E-3"/>
                  <c:y val="1.9151962126707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0F2-4EBE-86C5-AA76FFF8BE27}"/>
                </c:ext>
              </c:extLst>
            </c:dLbl>
            <c:dLbl>
              <c:idx val="9"/>
              <c:layout>
                <c:manualLayout>
                  <c:x val="-1.7319587628866092E-2"/>
                  <c:y val="3.3901214386072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0F2-4EBE-86C5-AA76FFF8BE27}"/>
                </c:ext>
              </c:extLst>
            </c:dLbl>
            <c:spPr>
              <a:noFill/>
              <a:ln>
                <a:noFill/>
              </a:ln>
              <a:effectLst/>
            </c:spPr>
            <c:txPr>
              <a:bodyPr/>
              <a:lstStyle/>
              <a:p>
                <a:pPr>
                  <a:defRPr>
                    <a:solidFill>
                      <a:schemeClr val="accent4">
                        <a:lumMod val="75000"/>
                      </a:schemeClr>
                    </a:solidFill>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Tab32_Graf_15_zap_VŠ!$B$32:$O$32</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strRef>
          </c:cat>
          <c:val>
            <c:numRef>
              <c:f>Tab32_Graf_15_zap_VŠ!$B$35:$O$35</c:f>
              <c:numCache>
                <c:formatCode>#,##0</c:formatCode>
                <c:ptCount val="10"/>
                <c:pt idx="0">
                  <c:v>1844</c:v>
                </c:pt>
                <c:pt idx="1">
                  <c:v>1706</c:v>
                </c:pt>
                <c:pt idx="2">
                  <c:v>1658</c:v>
                </c:pt>
                <c:pt idx="3">
                  <c:v>1519</c:v>
                </c:pt>
                <c:pt idx="4">
                  <c:v>1264</c:v>
                </c:pt>
                <c:pt idx="5">
                  <c:v>1247</c:v>
                </c:pt>
                <c:pt idx="6">
                  <c:v>1230</c:v>
                </c:pt>
                <c:pt idx="7">
                  <c:v>1109</c:v>
                </c:pt>
                <c:pt idx="8">
                  <c:v>892</c:v>
                </c:pt>
                <c:pt idx="9">
                  <c:v>930</c:v>
                </c:pt>
              </c:numCache>
            </c:numRef>
          </c:val>
          <c:smooth val="0"/>
          <c:extLst>
            <c:ext xmlns:c16="http://schemas.microsoft.com/office/drawing/2014/chart" uri="{C3380CC4-5D6E-409C-BE32-E72D297353CC}">
              <c16:uniqueId val="{0000000F-B0F2-4EBE-86C5-AA76FFF8BE27}"/>
            </c:ext>
          </c:extLst>
        </c:ser>
        <c:ser>
          <c:idx val="4"/>
          <c:order val="3"/>
          <c:tx>
            <c:strRef>
              <c:f>Tab32_Graf_15_zap_VŠ!$A$36</c:f>
              <c:strCache>
                <c:ptCount val="1"/>
                <c:pt idx="0">
                  <c:v>TU ZV</c:v>
                </c:pt>
              </c:strCache>
            </c:strRef>
          </c:tx>
          <c:spPr>
            <a:ln w="41275"/>
          </c:spPr>
          <c:marker>
            <c:symbol val="none"/>
          </c:marker>
          <c:dLbls>
            <c:dLbl>
              <c:idx val="0"/>
              <c:layout>
                <c:manualLayout>
                  <c:x val="-2.4296344400248939E-2"/>
                  <c:y val="3.7621045487390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0F2-4EBE-86C5-AA76FFF8BE27}"/>
                </c:ext>
              </c:extLst>
            </c:dLbl>
            <c:dLbl>
              <c:idx val="7"/>
              <c:layout>
                <c:manualLayout>
                  <c:x val="-1.0823731715343303E-2"/>
                  <c:y val="3.5667420608487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0F2-4EBE-86C5-AA76FFF8BE27}"/>
                </c:ext>
              </c:extLst>
            </c:dLbl>
            <c:dLbl>
              <c:idx val="8"/>
              <c:layout>
                <c:manualLayout>
                  <c:x val="-5.101183657884689E-3"/>
                  <c:y val="2.8001513482326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0F2-4EBE-86C5-AA76FFF8BE27}"/>
                </c:ext>
              </c:extLst>
            </c:dLbl>
            <c:dLbl>
              <c:idx val="9"/>
              <c:layout>
                <c:manualLayout>
                  <c:x val="-1.5792287132493431E-2"/>
                  <c:y val="3.09513639341991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0F2-4EBE-86C5-AA76FFF8BE27}"/>
                </c:ext>
              </c:extLst>
            </c:dLbl>
            <c:spPr>
              <a:noFill/>
              <a:ln>
                <a:noFill/>
              </a:ln>
              <a:effectLst/>
            </c:spPr>
            <c:txPr>
              <a:bodyPr/>
              <a:lstStyle/>
              <a:p>
                <a:pPr>
                  <a:defRPr>
                    <a:solidFill>
                      <a:schemeClr val="accent5">
                        <a:lumMod val="75000"/>
                      </a:schemeClr>
                    </a:solidFill>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Tab32_Graf_15_zap_VŠ!$B$32:$O$32</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strRef>
          </c:cat>
          <c:val>
            <c:numRef>
              <c:f>Tab32_Graf_15_zap_VŠ!$B$36:$O$36</c:f>
              <c:numCache>
                <c:formatCode>#,##0</c:formatCode>
                <c:ptCount val="10"/>
                <c:pt idx="0">
                  <c:v>954</c:v>
                </c:pt>
                <c:pt idx="1">
                  <c:v>788</c:v>
                </c:pt>
                <c:pt idx="2">
                  <c:v>674</c:v>
                </c:pt>
                <c:pt idx="3">
                  <c:v>558</c:v>
                </c:pt>
                <c:pt idx="4">
                  <c:v>532</c:v>
                </c:pt>
                <c:pt idx="5">
                  <c:v>521</c:v>
                </c:pt>
                <c:pt idx="6">
                  <c:v>502</c:v>
                </c:pt>
                <c:pt idx="7">
                  <c:v>475</c:v>
                </c:pt>
                <c:pt idx="8">
                  <c:v>411</c:v>
                </c:pt>
                <c:pt idx="9">
                  <c:v>410</c:v>
                </c:pt>
              </c:numCache>
            </c:numRef>
          </c:val>
          <c:smooth val="0"/>
          <c:extLst>
            <c:ext xmlns:c16="http://schemas.microsoft.com/office/drawing/2014/chart" uri="{C3380CC4-5D6E-409C-BE32-E72D297353CC}">
              <c16:uniqueId val="{00000014-B0F2-4EBE-86C5-AA76FFF8BE27}"/>
            </c:ext>
          </c:extLst>
        </c:ser>
        <c:ser>
          <c:idx val="5"/>
          <c:order val="4"/>
          <c:tx>
            <c:strRef>
              <c:f>Tab32_Graf_15_zap_VŠ!$A$37</c:f>
              <c:strCache>
                <c:ptCount val="1"/>
                <c:pt idx="0">
                  <c:v>TU KE</c:v>
                </c:pt>
              </c:strCache>
            </c:strRef>
          </c:tx>
          <c:spPr>
            <a:ln w="41275"/>
          </c:spPr>
          <c:marker>
            <c:symbol val="none"/>
          </c:marker>
          <c:dLbls>
            <c:dLbl>
              <c:idx val="0"/>
              <c:layout>
                <c:manualLayout>
                  <c:x val="-3.1295108729965514E-2"/>
                  <c:y val="2.9255083788527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0F2-4EBE-86C5-AA76FFF8BE27}"/>
                </c:ext>
              </c:extLst>
            </c:dLbl>
            <c:dLbl>
              <c:idx val="5"/>
              <c:layout>
                <c:manualLayout>
                  <c:x val="-2.5651192226401252E-2"/>
                  <c:y val="9.88172028774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0F2-4EBE-86C5-AA76FFF8BE27}"/>
                </c:ext>
              </c:extLst>
            </c:dLbl>
            <c:dLbl>
              <c:idx val="6"/>
              <c:layout>
                <c:manualLayout>
                  <c:x val="-2.475080649283112E-2"/>
                  <c:y val="0.1213203809348609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0F2-4EBE-86C5-AA76FFF8BE27}"/>
                </c:ext>
              </c:extLst>
            </c:dLbl>
            <c:dLbl>
              <c:idx val="7"/>
              <c:layout>
                <c:manualLayout>
                  <c:x val="-1.9546680376293171E-2"/>
                  <c:y val="5.022712687120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0F2-4EBE-86C5-AA76FFF8BE27}"/>
                </c:ext>
              </c:extLst>
            </c:dLbl>
            <c:dLbl>
              <c:idx val="8"/>
              <c:layout>
                <c:manualLayout>
                  <c:x val="-1.7597147435608463E-2"/>
                  <c:y val="-3.39453460070058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0F2-4EBE-86C5-AA76FFF8BE27}"/>
                </c:ext>
              </c:extLst>
            </c:dLbl>
            <c:dLbl>
              <c:idx val="9"/>
              <c:layout>
                <c:manualLayout>
                  <c:x val="-2.2766999485889006E-2"/>
                  <c:y val="2.21018125785804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0F2-4EBE-86C5-AA76FFF8BE27}"/>
                </c:ext>
              </c:extLst>
            </c:dLbl>
            <c:spPr>
              <a:noFill/>
              <a:ln>
                <a:noFill/>
              </a:ln>
              <a:effectLst/>
            </c:spPr>
            <c:txPr>
              <a:bodyPr/>
              <a:lstStyle/>
              <a:p>
                <a:pPr>
                  <a:defRPr>
                    <a:solidFill>
                      <a:schemeClr val="accent6"/>
                    </a:solidFill>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Tab32_Graf_15_zap_VŠ!$B$32:$O$32</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strRef>
          </c:cat>
          <c:val>
            <c:numRef>
              <c:f>Tab32_Graf_15_zap_VŠ!$B$37:$O$37</c:f>
              <c:numCache>
                <c:formatCode>#,##0</c:formatCode>
                <c:ptCount val="10"/>
                <c:pt idx="0">
                  <c:v>2283</c:v>
                </c:pt>
                <c:pt idx="1">
                  <c:v>2282</c:v>
                </c:pt>
                <c:pt idx="2">
                  <c:v>2129</c:v>
                </c:pt>
                <c:pt idx="3">
                  <c:v>2316</c:v>
                </c:pt>
                <c:pt idx="4">
                  <c:v>2244</c:v>
                </c:pt>
                <c:pt idx="5">
                  <c:v>2758</c:v>
                </c:pt>
                <c:pt idx="6">
                  <c:v>2991</c:v>
                </c:pt>
                <c:pt idx="7">
                  <c:v>2628</c:v>
                </c:pt>
                <c:pt idx="8">
                  <c:v>2880</c:v>
                </c:pt>
                <c:pt idx="9">
                  <c:v>4346</c:v>
                </c:pt>
              </c:numCache>
            </c:numRef>
          </c:val>
          <c:smooth val="0"/>
          <c:extLst>
            <c:ext xmlns:c16="http://schemas.microsoft.com/office/drawing/2014/chart" uri="{C3380CC4-5D6E-409C-BE32-E72D297353CC}">
              <c16:uniqueId val="{0000001F-B0F2-4EBE-86C5-AA76FFF8BE27}"/>
            </c:ext>
          </c:extLst>
        </c:ser>
        <c:ser>
          <c:idx val="0"/>
          <c:order val="5"/>
          <c:tx>
            <c:strRef>
              <c:f>Tab32_Graf_15_zap_VŠ!$A$38</c:f>
              <c:strCache>
                <c:ptCount val="1"/>
                <c:pt idx="0">
                  <c:v>ŽU </c:v>
                </c:pt>
              </c:strCache>
            </c:strRef>
          </c:tx>
          <c:spPr>
            <a:ln w="41275"/>
          </c:spPr>
          <c:marker>
            <c:symbol val="none"/>
          </c:marker>
          <c:dLbls>
            <c:dLbl>
              <c:idx val="0"/>
              <c:layout>
                <c:manualLayout>
                  <c:x val="-3.3542044357857383E-2"/>
                  <c:y val="-4.7328840734322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0F2-4EBE-86C5-AA76FFF8BE27}"/>
                </c:ext>
              </c:extLst>
            </c:dLbl>
            <c:dLbl>
              <c:idx val="3"/>
              <c:layout>
                <c:manualLayout>
                  <c:x val="-3.7881217591703549E-2"/>
                  <c:y val="-6.3222272502248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B0F2-4EBE-86C5-AA76FFF8BE27}"/>
                </c:ext>
              </c:extLst>
            </c:dLbl>
            <c:dLbl>
              <c:idx val="4"/>
              <c:layout>
                <c:manualLayout>
                  <c:x val="-3.7881217591703625E-2"/>
                  <c:y val="-6.32222725022484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0F2-4EBE-86C5-AA76FFF8BE27}"/>
                </c:ext>
              </c:extLst>
            </c:dLbl>
            <c:dLbl>
              <c:idx val="5"/>
              <c:layout>
                <c:manualLayout>
                  <c:x val="-3.3287694708264558E-2"/>
                  <c:y val="-8.0785254835722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0F2-4EBE-86C5-AA76FFF8BE27}"/>
                </c:ext>
              </c:extLst>
            </c:dLbl>
            <c:dLbl>
              <c:idx val="6"/>
              <c:layout>
                <c:manualLayout>
                  <c:x val="-2.8968988404930538E-2"/>
                  <c:y val="-5.8508238318753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0F2-4EBE-86C5-AA76FFF8BE27}"/>
                </c:ext>
              </c:extLst>
            </c:dLbl>
            <c:dLbl>
              <c:idx val="7"/>
              <c:layout>
                <c:manualLayout>
                  <c:x val="-1.9366771593413365E-2"/>
                  <c:y val="-1.6439725612808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0F2-4EBE-86C5-AA76FFF8BE27}"/>
                </c:ext>
              </c:extLst>
            </c:dLbl>
            <c:dLbl>
              <c:idx val="8"/>
              <c:layout>
                <c:manualLayout>
                  <c:x val="-1.3015245946490478E-2"/>
                  <c:y val="2.80456451032597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0F2-4EBE-86C5-AA76FFF8BE27}"/>
                </c:ext>
              </c:extLst>
            </c:dLbl>
            <c:dLbl>
              <c:idx val="9"/>
              <c:layout>
                <c:manualLayout>
                  <c:x val="-1.9712398493143685E-2"/>
                  <c:y val="2.50957946513869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0F2-4EBE-86C5-AA76FFF8BE27}"/>
                </c:ext>
              </c:extLst>
            </c:dLbl>
            <c:spPr>
              <a:noFill/>
              <a:ln>
                <a:noFill/>
              </a:ln>
              <a:effectLst/>
            </c:spPr>
            <c:txPr>
              <a:bodyPr/>
              <a:lstStyle/>
              <a:p>
                <a:pPr>
                  <a:defRPr>
                    <a:solidFill>
                      <a:srgbClr val="0070C0"/>
                    </a:solidFill>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Tab32_Graf_15_zap_VŠ!$B$32:$O$32</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strRef>
          </c:cat>
          <c:val>
            <c:numRef>
              <c:f>Tab32_Graf_15_zap_VŠ!$B$38:$O$38</c:f>
              <c:numCache>
                <c:formatCode>#,##0</c:formatCode>
                <c:ptCount val="10"/>
                <c:pt idx="0">
                  <c:v>2591</c:v>
                </c:pt>
                <c:pt idx="1">
                  <c:v>2389</c:v>
                </c:pt>
                <c:pt idx="2">
                  <c:v>2257</c:v>
                </c:pt>
                <c:pt idx="3">
                  <c:v>2113</c:v>
                </c:pt>
                <c:pt idx="4">
                  <c:v>2108</c:v>
                </c:pt>
                <c:pt idx="5">
                  <c:v>2230</c:v>
                </c:pt>
                <c:pt idx="6">
                  <c:v>2284</c:v>
                </c:pt>
                <c:pt idx="7">
                  <c:v>2698</c:v>
                </c:pt>
                <c:pt idx="8">
                  <c:v>2154</c:v>
                </c:pt>
                <c:pt idx="9">
                  <c:v>2359</c:v>
                </c:pt>
              </c:numCache>
            </c:numRef>
          </c:val>
          <c:smooth val="0"/>
          <c:extLst>
            <c:ext xmlns:c16="http://schemas.microsoft.com/office/drawing/2014/chart" uri="{C3380CC4-5D6E-409C-BE32-E72D297353CC}">
              <c16:uniqueId val="{0000002A-B0F2-4EBE-86C5-AA76FFF8BE27}"/>
            </c:ext>
          </c:extLst>
        </c:ser>
        <c:dLbls>
          <c:dLblPos val="t"/>
          <c:showLegendKey val="0"/>
          <c:showVal val="1"/>
          <c:showCatName val="0"/>
          <c:showSerName val="0"/>
          <c:showPercent val="0"/>
          <c:showBubbleSize val="0"/>
        </c:dLbls>
        <c:smooth val="0"/>
        <c:axId val="156994560"/>
        <c:axId val="204075520"/>
      </c:lineChart>
      <c:catAx>
        <c:axId val="156994560"/>
        <c:scaling>
          <c:orientation val="minMax"/>
        </c:scaling>
        <c:delete val="0"/>
        <c:axPos val="b"/>
        <c:numFmt formatCode="General" sourceLinked="0"/>
        <c:majorTickMark val="out"/>
        <c:minorTickMark val="none"/>
        <c:tickLblPos val="nextTo"/>
        <c:txPr>
          <a:bodyPr rot="-1680000" vert="horz"/>
          <a:lstStyle/>
          <a:p>
            <a:pPr>
              <a:defRPr/>
            </a:pPr>
            <a:endParaRPr lang="sk-SK"/>
          </a:p>
        </c:txPr>
        <c:crossAx val="204075520"/>
        <c:crosses val="autoZero"/>
        <c:auto val="1"/>
        <c:lblAlgn val="ctr"/>
        <c:lblOffset val="100"/>
        <c:noMultiLvlLbl val="0"/>
      </c:catAx>
      <c:valAx>
        <c:axId val="204075520"/>
        <c:scaling>
          <c:orientation val="minMax"/>
          <c:max val="6000"/>
        </c:scaling>
        <c:delete val="0"/>
        <c:axPos val="l"/>
        <c:majorGridlines/>
        <c:numFmt formatCode="#,##0" sourceLinked="1"/>
        <c:majorTickMark val="out"/>
        <c:minorTickMark val="none"/>
        <c:tickLblPos val="nextTo"/>
        <c:crossAx val="156994560"/>
        <c:crosses val="autoZero"/>
        <c:crossBetween val="between"/>
      </c:valAx>
      <c:spPr>
        <a:effectLst>
          <a:softEdge rad="101600"/>
        </a:effectLst>
      </c:spPr>
    </c:plotArea>
    <c:legend>
      <c:legendPos val="b"/>
      <c:layout>
        <c:manualLayout>
          <c:xMode val="edge"/>
          <c:yMode val="edge"/>
          <c:x val="0.13226062599727745"/>
          <c:y val="0.92948624212666198"/>
          <c:w val="0.73117264957264971"/>
          <c:h val="5.173088941255144E-2"/>
        </c:manualLayout>
      </c:layout>
      <c:overlay val="0"/>
      <c:txPr>
        <a:bodyPr rot="0" vert="horz"/>
        <a:lstStyle/>
        <a:p>
          <a:pPr>
            <a:defRPr/>
          </a:pPr>
          <a:endParaRPr lang="sk-SK"/>
        </a:p>
      </c:txPr>
    </c:legend>
    <c:plotVisOnly val="1"/>
    <c:dispBlanksAs val="gap"/>
    <c:showDLblsOverMax val="0"/>
  </c:chart>
  <c:spPr>
    <a:ln>
      <a:noFill/>
    </a:ln>
  </c:spPr>
  <c:txPr>
    <a:bodyPr/>
    <a:lstStyle/>
    <a:p>
      <a:pPr>
        <a:defRPr sz="900">
          <a:latin typeface="+mj-lt"/>
        </a:defRPr>
      </a:pPr>
      <a:endParaRPr lang="sk-SK"/>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50"/>
      <c:rAngAx val="0"/>
      <c:perspective val="20"/>
    </c:view3D>
    <c:floor>
      <c:thickness val="0"/>
    </c:floor>
    <c:sideWall>
      <c:thickness val="0"/>
    </c:sideWall>
    <c:backWall>
      <c:thickness val="0"/>
    </c:backWall>
    <c:plotArea>
      <c:layout>
        <c:manualLayout>
          <c:layoutTarget val="inner"/>
          <c:xMode val="edge"/>
          <c:yMode val="edge"/>
          <c:x val="0.11256709349687453"/>
          <c:y val="7.8700131233595802E-2"/>
          <c:w val="0.80827465060018178"/>
          <c:h val="0.87012664041994747"/>
        </c:manualLayout>
      </c:layout>
      <c:pie3DChart>
        <c:varyColors val="1"/>
        <c:ser>
          <c:idx val="0"/>
          <c:order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outerShdw blurRad="76200" dir="18900000" sy="23000" kx="-1200000" algn="bl" rotWithShape="0">
                <a:prstClr val="black">
                  <a:alpha val="20000"/>
                </a:prstClr>
              </a:outerShdw>
            </a:effectLst>
          </c:spPr>
          <c:explosion val="15"/>
          <c:dPt>
            <c:idx val="0"/>
            <c:bubble3D val="0"/>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3525-4904-B0D9-3ABB03D8C7C5}"/>
              </c:ext>
            </c:extLst>
          </c:dPt>
          <c:dPt>
            <c:idx val="1"/>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3-3525-4904-B0D9-3ABB03D8C7C5}"/>
              </c:ext>
            </c:extLst>
          </c:dPt>
          <c:dPt>
            <c:idx val="2"/>
            <c:bubble3D val="0"/>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5-3525-4904-B0D9-3ABB03D8C7C5}"/>
              </c:ext>
            </c:extLst>
          </c:dPt>
          <c:dPt>
            <c:idx val="3"/>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7-3525-4904-B0D9-3ABB03D8C7C5}"/>
              </c:ext>
            </c:extLst>
          </c:dPt>
          <c:dPt>
            <c:idx val="4"/>
            <c:bubble3D val="0"/>
            <c:extLst>
              <c:ext xmlns:c16="http://schemas.microsoft.com/office/drawing/2014/chart" uri="{C3380CC4-5D6E-409C-BE32-E72D297353CC}">
                <c16:uniqueId val="{00000008-3525-4904-B0D9-3ABB03D8C7C5}"/>
              </c:ext>
            </c:extLst>
          </c:dPt>
          <c:dPt>
            <c:idx val="5"/>
            <c:bubble3D val="0"/>
            <c:spPr>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A-3525-4904-B0D9-3ABB03D8C7C5}"/>
              </c:ext>
            </c:extLst>
          </c:dPt>
          <c:dLbls>
            <c:dLbl>
              <c:idx val="0"/>
              <c:layout>
                <c:manualLayout>
                  <c:x val="4.5186680432069276E-2"/>
                  <c:y val="0.1787219488188975"/>
                </c:manualLayout>
              </c:layout>
              <c:tx>
                <c:rich>
                  <a:bodyPr/>
                  <a:lstStyle/>
                  <a:p>
                    <a:r>
                      <a:rPr lang="en-US"/>
                      <a:t>I. stupeň; 51 %</a:t>
                    </a:r>
                    <a:r>
                      <a:rPr lang="en-US" baseline="0"/>
                      <a:t>;</a:t>
                    </a:r>
                  </a:p>
                  <a:p>
                    <a:r>
                      <a:rPr lang="en-US" baseline="0"/>
                      <a:t> </a:t>
                    </a:r>
                    <a:fld id="{6636C65C-C017-4E95-A784-ED683CE21F56}" type="VALUE">
                      <a:rPr lang="en-US" baseline="0"/>
                      <a:pPr/>
                      <a:t>[HODNOTA]</a:t>
                    </a:fld>
                    <a:endParaRPr lang="en-US" baseline="0"/>
                  </a:p>
                </c:rich>
              </c:tx>
              <c:dLblPos val="bestFit"/>
              <c:showLegendKey val="0"/>
              <c:showVal val="1"/>
              <c:showCatName val="0"/>
              <c:showSerName val="1"/>
              <c:showPercent val="0"/>
              <c:showBubbleSize val="0"/>
              <c:extLst>
                <c:ext xmlns:c15="http://schemas.microsoft.com/office/drawing/2012/chart" uri="{CE6537A1-D6FC-4f65-9D91-7224C49458BB}">
                  <c15:layout>
                    <c:manualLayout>
                      <c:w val="0.23599488420111869"/>
                      <c:h val="0.1345833333333333"/>
                    </c:manualLayout>
                  </c15:layout>
                  <c15:dlblFieldTable/>
                  <c15:showDataLabelsRange val="0"/>
                </c:ext>
                <c:ext xmlns:c16="http://schemas.microsoft.com/office/drawing/2014/chart" uri="{C3380CC4-5D6E-409C-BE32-E72D297353CC}">
                  <c16:uniqueId val="{00000001-3525-4904-B0D9-3ABB03D8C7C5}"/>
                </c:ext>
              </c:extLst>
            </c:dLbl>
            <c:dLbl>
              <c:idx val="1"/>
              <c:layout>
                <c:manualLayout>
                  <c:x val="-4.4232621274635883E-2"/>
                  <c:y val="0.35960600289133859"/>
                </c:manualLayout>
              </c:layout>
              <c:tx>
                <c:rich>
                  <a:bodyPr/>
                  <a:lstStyle/>
                  <a:p>
                    <a:r>
                      <a:rPr lang="en-US"/>
                      <a:t>I. stupeň; 1 970</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25-4904-B0D9-3ABB03D8C7C5}"/>
                </c:ext>
              </c:extLst>
            </c:dLbl>
            <c:dLbl>
              <c:idx val="2"/>
              <c:layout>
                <c:manualLayout>
                  <c:x val="-2.6081123421216185E-2"/>
                  <c:y val="-0.10670324803149606"/>
                </c:manualLayout>
              </c:layout>
              <c:tx>
                <c:rich>
                  <a:bodyPr/>
                  <a:lstStyle/>
                  <a:p>
                    <a:r>
                      <a:rPr lang="en-US"/>
                      <a:t>II. stupeň</a:t>
                    </a:r>
                    <a:r>
                      <a:rPr lang="en-US" baseline="0"/>
                      <a:t>; 44 %; </a:t>
                    </a:r>
                  </a:p>
                  <a:p>
                    <a:fld id="{00E59053-9033-4C08-B29C-54BB4C9D0A80}" type="VALUE">
                      <a:rPr lang="en-US" baseline="0"/>
                      <a:pPr/>
                      <a:t>[HODNOTA]</a:t>
                    </a:fld>
                    <a:endParaRPr lang="sk-SK"/>
                  </a:p>
                </c:rich>
              </c:tx>
              <c:dLblPos val="bestFit"/>
              <c:showLegendKey val="0"/>
              <c:showVal val="1"/>
              <c:showCatName val="0"/>
              <c:showSerName val="1"/>
              <c:showPercent val="0"/>
              <c:showBubbleSize val="0"/>
              <c:extLst>
                <c:ext xmlns:c15="http://schemas.microsoft.com/office/drawing/2012/chart" uri="{CE6537A1-D6FC-4f65-9D91-7224C49458BB}">
                  <c15:layout>
                    <c:manualLayout>
                      <c:w val="0.22301369863013698"/>
                      <c:h val="0.1345833333333333"/>
                    </c:manualLayout>
                  </c15:layout>
                  <c15:dlblFieldTable/>
                  <c15:showDataLabelsRange val="0"/>
                </c:ext>
                <c:ext xmlns:c16="http://schemas.microsoft.com/office/drawing/2014/chart" uri="{C3380CC4-5D6E-409C-BE32-E72D297353CC}">
                  <c16:uniqueId val="{00000005-3525-4904-B0D9-3ABB03D8C7C5}"/>
                </c:ext>
              </c:extLst>
            </c:dLbl>
            <c:dLbl>
              <c:idx val="3"/>
              <c:layout>
                <c:manualLayout>
                  <c:x val="2.4260302611149469E-2"/>
                  <c:y val="-0.31390104213528103"/>
                </c:manualLayout>
              </c:layout>
              <c:tx>
                <c:rich>
                  <a:bodyPr/>
                  <a:lstStyle/>
                  <a:p>
                    <a:r>
                      <a:rPr lang="en-US"/>
                      <a:t>II. stupeň; 1 861</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25-4904-B0D9-3ABB03D8C7C5}"/>
                </c:ext>
              </c:extLst>
            </c:dLbl>
            <c:dLbl>
              <c:idx val="5"/>
              <c:layout>
                <c:manualLayout>
                  <c:x val="-1.8264913865677905E-2"/>
                  <c:y val="8.4885824160328402E-2"/>
                </c:manualLayout>
              </c:layout>
              <c:tx>
                <c:rich>
                  <a:bodyPr/>
                  <a:lstStyle/>
                  <a:p>
                    <a:r>
                      <a:rPr lang="en-US" sz="1100"/>
                      <a:t>III. stupeň</a:t>
                    </a:r>
                    <a:r>
                      <a:rPr lang="en-US" sz="1100" baseline="0"/>
                      <a:t>; 5 %; </a:t>
                    </a:r>
                  </a:p>
                  <a:p>
                    <a:r>
                      <a:rPr lang="en-US" sz="1100" baseline="0"/>
                      <a:t> </a:t>
                    </a:r>
                    <a:fld id="{730237AE-0FA6-4D18-BF37-81542775EE63}" type="VALUE">
                      <a:rPr lang="en-US" sz="1100" baseline="0"/>
                      <a:pPr/>
                      <a:t>[HODNOTA]</a:t>
                    </a:fld>
                    <a:endParaRPr lang="en-US" sz="1100" baseline="0"/>
                  </a:p>
                </c:rich>
              </c:tx>
              <c:dLblPos val="bestFit"/>
              <c:showLegendKey val="0"/>
              <c:showVal val="1"/>
              <c:showCatName val="0"/>
              <c:showSerName val="1"/>
              <c:showPercent val="0"/>
              <c:showBubbleSize val="0"/>
              <c:extLst>
                <c:ext xmlns:c15="http://schemas.microsoft.com/office/drawing/2012/chart" uri="{CE6537A1-D6FC-4f65-9D91-7224C49458BB}">
                  <c15:layout>
                    <c:manualLayout>
                      <c:w val="0.24917145630768753"/>
                      <c:h val="0.1345833333333333"/>
                    </c:manualLayout>
                  </c15:layout>
                  <c15:dlblFieldTable/>
                  <c15:showDataLabelsRange val="0"/>
                </c:ext>
                <c:ext xmlns:c16="http://schemas.microsoft.com/office/drawing/2014/chart" uri="{C3380CC4-5D6E-409C-BE32-E72D297353CC}">
                  <c16:uniqueId val="{0000000A-3525-4904-B0D9-3ABB03D8C7C5}"/>
                </c:ext>
              </c:extLst>
            </c:dLbl>
            <c:spPr>
              <a:noFill/>
              <a:ln>
                <a:noFill/>
              </a:ln>
              <a:effectLst>
                <a:outerShdw blurRad="50800" dist="50800" dir="5400000" algn="ctr" rotWithShape="0">
                  <a:schemeClr val="bg1">
                    <a:lumMod val="75000"/>
                  </a:schemeClr>
                </a:outerShdw>
              </a:effectLst>
            </c:spPr>
            <c:txPr>
              <a:bodyPr/>
              <a:lstStyle/>
              <a:p>
                <a:pPr>
                  <a:defRPr sz="1100">
                    <a:latin typeface="+mj-lt"/>
                  </a:defRPr>
                </a:pPr>
                <a:endParaRPr lang="sk-SK"/>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val>
            <c:numRef>
              <c:f>Tab33_graf16_17_absol!$U$6:$U$11</c:f>
              <c:numCache>
                <c:formatCode>General</c:formatCode>
                <c:ptCount val="6"/>
                <c:pt idx="0" formatCode="#,##0">
                  <c:v>1370</c:v>
                </c:pt>
                <c:pt idx="2" formatCode="#,##0">
                  <c:v>1164</c:v>
                </c:pt>
                <c:pt idx="5" formatCode="#,##0">
                  <c:v>124</c:v>
                </c:pt>
              </c:numCache>
            </c:numRef>
          </c:val>
          <c:extLst>
            <c:ext xmlns:c16="http://schemas.microsoft.com/office/drawing/2014/chart" uri="{C3380CC4-5D6E-409C-BE32-E72D297353CC}">
              <c16:uniqueId val="{0000000B-3525-4904-B0D9-3ABB03D8C7C5}"/>
            </c:ext>
          </c:extLst>
        </c:ser>
        <c:dLbls>
          <c:dLblPos val="bestFit"/>
          <c:showLegendKey val="0"/>
          <c:showVal val="1"/>
          <c:showCatName val="0"/>
          <c:showSerName val="0"/>
          <c:showPercent val="0"/>
          <c:showBubbleSize val="0"/>
          <c:showLeaderLines val="0"/>
        </c:dLbls>
      </c:pie3DChart>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4401451352325"/>
          <c:y val="9.3780151773214082E-2"/>
          <c:w val="0.6368579438817592"/>
          <c:h val="0.78431760016407914"/>
        </c:manualLayout>
      </c:layout>
      <c:barChart>
        <c:barDir val="col"/>
        <c:grouping val="stacked"/>
        <c:varyColors val="0"/>
        <c:ser>
          <c:idx val="0"/>
          <c:order val="0"/>
          <c:tx>
            <c:strRef>
              <c:f>Tab33_graf16_17_absol!$A$39:$K$39</c:f>
              <c:strCache>
                <c:ptCount val="11"/>
                <c:pt idx="0">
                  <c:v>I. stupeň</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38100"/>
          </c:spPr>
          <c:invertIfNegative val="0"/>
          <c:dLbls>
            <c:spPr>
              <a:noFill/>
              <a:ln>
                <a:noFill/>
              </a:ln>
              <a:effectLst/>
            </c:spPr>
            <c:txPr>
              <a:bodyPr rot="-5400000" vert="horz"/>
              <a:lstStyle/>
              <a:p>
                <a:pPr>
                  <a:defRPr>
                    <a:solidFill>
                      <a:schemeClr val="bg1"/>
                    </a:solidFill>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Tab33_graf16_17_absol!$A$52:$L$52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extLst/>
            </c:numRef>
          </c:cat>
          <c:val>
            <c:numRef>
              <c:f>Tab33_graf16_17_absol!$A$41:$L$41</c:f>
              <c:numCache>
                <c:formatCode>#,##0</c:formatCode>
                <c:ptCount val="10"/>
                <c:pt idx="0">
                  <c:v>2037</c:v>
                </c:pt>
                <c:pt idx="1">
                  <c:v>1936</c:v>
                </c:pt>
                <c:pt idx="2">
                  <c:v>2109</c:v>
                </c:pt>
                <c:pt idx="3">
                  <c:v>1936</c:v>
                </c:pt>
                <c:pt idx="4">
                  <c:v>1674</c:v>
                </c:pt>
                <c:pt idx="5">
                  <c:v>1522</c:v>
                </c:pt>
                <c:pt idx="6">
                  <c:v>1430</c:v>
                </c:pt>
                <c:pt idx="7">
                  <c:v>1281</c:v>
                </c:pt>
                <c:pt idx="8">
                  <c:v>1411</c:v>
                </c:pt>
                <c:pt idx="9">
                  <c:v>1370</c:v>
                </c:pt>
              </c:numCache>
              <c:extLst/>
            </c:numRef>
          </c:val>
          <c:extLst>
            <c:ext xmlns:c16="http://schemas.microsoft.com/office/drawing/2014/chart" uri="{C3380CC4-5D6E-409C-BE32-E72D297353CC}">
              <c16:uniqueId val="{00000000-6857-4AF4-A54A-D7D846302F0C}"/>
            </c:ext>
          </c:extLst>
        </c:ser>
        <c:ser>
          <c:idx val="1"/>
          <c:order val="1"/>
          <c:tx>
            <c:strRef>
              <c:f>Tab33_graf16_17_absol!$A$43</c:f>
              <c:strCache>
                <c:ptCount val="1"/>
                <c:pt idx="0">
                  <c:v>II. stupeň</c:v>
                </c:pt>
              </c:strCache>
            </c:strRef>
          </c:tx>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w="38100"/>
          </c:spPr>
          <c:invertIfNegative val="0"/>
          <c:dLbls>
            <c:spPr>
              <a:noFill/>
              <a:ln>
                <a:noFill/>
              </a:ln>
              <a:effectLst/>
            </c:spPr>
            <c:txPr>
              <a:bodyPr rot="-5400000" vert="horz"/>
              <a:lstStyle/>
              <a:p>
                <a:pPr>
                  <a:defRPr>
                    <a:solidFill>
                      <a:schemeClr val="bg1"/>
                    </a:solidFill>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Tab33_graf16_17_absol!$A$52:$L$52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extLst/>
            </c:numRef>
          </c:cat>
          <c:val>
            <c:numRef>
              <c:f>Tab33_graf16_17_absol!$A$45:$L$45</c:f>
              <c:numCache>
                <c:formatCode>#,##0</c:formatCode>
                <c:ptCount val="10"/>
                <c:pt idx="0">
                  <c:v>2102</c:v>
                </c:pt>
                <c:pt idx="1">
                  <c:v>2029</c:v>
                </c:pt>
                <c:pt idx="2">
                  <c:v>1889</c:v>
                </c:pt>
                <c:pt idx="3">
                  <c:v>1824</c:v>
                </c:pt>
                <c:pt idx="4">
                  <c:v>1894</c:v>
                </c:pt>
                <c:pt idx="5">
                  <c:v>1778</c:v>
                </c:pt>
                <c:pt idx="6">
                  <c:v>1502</c:v>
                </c:pt>
                <c:pt idx="7">
                  <c:v>1482</c:v>
                </c:pt>
                <c:pt idx="8">
                  <c:v>1379</c:v>
                </c:pt>
                <c:pt idx="9">
                  <c:v>1164</c:v>
                </c:pt>
              </c:numCache>
              <c:extLst/>
            </c:numRef>
          </c:val>
          <c:extLst>
            <c:ext xmlns:c16="http://schemas.microsoft.com/office/drawing/2014/chart" uri="{C3380CC4-5D6E-409C-BE32-E72D297353CC}">
              <c16:uniqueId val="{00000001-6857-4AF4-A54A-D7D846302F0C}"/>
            </c:ext>
          </c:extLst>
        </c:ser>
        <c:ser>
          <c:idx val="2"/>
          <c:order val="2"/>
          <c:tx>
            <c:strRef>
              <c:f>Tab33_graf16_17_absol!$A$47</c:f>
              <c:strCache>
                <c:ptCount val="1"/>
                <c:pt idx="0">
                  <c:v>III. stupeň</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c:spPr>
          <c:invertIfNegative val="0"/>
          <c:dLbls>
            <c:dLbl>
              <c:idx val="0"/>
              <c:layout>
                <c:manualLayout>
                  <c:x val="3.6185513969440894E-3"/>
                  <c:y val="-4.9541525889152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57-4AF4-A54A-D7D846302F0C}"/>
                </c:ext>
              </c:extLst>
            </c:dLbl>
            <c:dLbl>
              <c:idx val="1"/>
              <c:layout>
                <c:manualLayout>
                  <c:x val="-4.2751796358913152E-17"/>
                  <c:y val="-4.9067031010253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57-4AF4-A54A-D7D846302F0C}"/>
                </c:ext>
              </c:extLst>
            </c:dLbl>
            <c:dLbl>
              <c:idx val="2"/>
              <c:layout>
                <c:manualLayout>
                  <c:x val="0"/>
                  <c:y val="-4.3219888499493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57-4AF4-A54A-D7D846302F0C}"/>
                </c:ext>
              </c:extLst>
            </c:dLbl>
            <c:dLbl>
              <c:idx val="3"/>
              <c:layout>
                <c:manualLayout>
                  <c:x val="-1.80733176069489E-16"/>
                  <c:y val="-3.0253921949645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57-4AF4-A54A-D7D846302F0C}"/>
                </c:ext>
              </c:extLst>
            </c:dLbl>
            <c:dLbl>
              <c:idx val="4"/>
              <c:layout>
                <c:manualLayout>
                  <c:x val="0"/>
                  <c:y val="-3.212851405622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57-4AF4-A54A-D7D846302F0C}"/>
                </c:ext>
              </c:extLst>
            </c:dLbl>
            <c:dLbl>
              <c:idx val="5"/>
              <c:layout>
                <c:manualLayout>
                  <c:x val="2.4067388688327317E-3"/>
                  <c:y val="-3.2128514056224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57-4AF4-A54A-D7D846302F0C}"/>
                </c:ext>
              </c:extLst>
            </c:dLbl>
            <c:dLbl>
              <c:idx val="6"/>
              <c:layout>
                <c:manualLayout>
                  <c:x val="2.4067388688327317E-3"/>
                  <c:y val="-3.2128514056224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857-4AF4-A54A-D7D846302F0C}"/>
                </c:ext>
              </c:extLst>
            </c:dLbl>
            <c:dLbl>
              <c:idx val="7"/>
              <c:layout>
                <c:manualLayout>
                  <c:x val="4.8134777376654635E-3"/>
                  <c:y val="-2.8112449799196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857-4AF4-A54A-D7D846302F0C}"/>
                </c:ext>
              </c:extLst>
            </c:dLbl>
            <c:dLbl>
              <c:idx val="8"/>
              <c:layout>
                <c:manualLayout>
                  <c:x val="-2.2722108611679995E-3"/>
                  <c:y val="-1.692405331076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76-497F-8928-2D0734FDBA00}"/>
                </c:ext>
              </c:extLst>
            </c:dLbl>
            <c:dLbl>
              <c:idx val="9"/>
              <c:layout>
                <c:manualLayout>
                  <c:x val="-8.3313435798903834E-17"/>
                  <c:y val="-2.5386079966151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76-497F-8928-2D0734FDBA0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Tab33_graf16_17_absol!$A$52:$L$52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extLst/>
            </c:numRef>
          </c:cat>
          <c:val>
            <c:numRef>
              <c:f>Tab33_graf16_17_absol!$A$49:$L$49</c:f>
              <c:numCache>
                <c:formatCode>#,##0</c:formatCode>
                <c:ptCount val="10"/>
                <c:pt idx="0">
                  <c:v>298</c:v>
                </c:pt>
                <c:pt idx="1">
                  <c:v>258</c:v>
                </c:pt>
                <c:pt idx="2">
                  <c:v>241</c:v>
                </c:pt>
                <c:pt idx="3">
                  <c:v>206</c:v>
                </c:pt>
                <c:pt idx="4">
                  <c:v>177</c:v>
                </c:pt>
                <c:pt idx="5">
                  <c:v>147</c:v>
                </c:pt>
                <c:pt idx="6">
                  <c:v>135</c:v>
                </c:pt>
                <c:pt idx="7">
                  <c:v>115</c:v>
                </c:pt>
                <c:pt idx="8">
                  <c:v>120</c:v>
                </c:pt>
                <c:pt idx="9">
                  <c:v>124</c:v>
                </c:pt>
              </c:numCache>
              <c:extLst/>
            </c:numRef>
          </c:val>
          <c:extLst>
            <c:ext xmlns:c16="http://schemas.microsoft.com/office/drawing/2014/chart" uri="{C3380CC4-5D6E-409C-BE32-E72D297353CC}">
              <c16:uniqueId val="{0000000C-6857-4AF4-A54A-D7D846302F0C}"/>
            </c:ext>
          </c:extLst>
        </c:ser>
        <c:dLbls>
          <c:showLegendKey val="0"/>
          <c:showVal val="0"/>
          <c:showCatName val="0"/>
          <c:showSerName val="0"/>
          <c:showPercent val="0"/>
          <c:showBubbleSize val="0"/>
        </c:dLbls>
        <c:gapWidth val="150"/>
        <c:overlap val="100"/>
        <c:axId val="156616192"/>
        <c:axId val="204076672"/>
      </c:barChart>
      <c:lineChart>
        <c:grouping val="standard"/>
        <c:varyColors val="0"/>
        <c:ser>
          <c:idx val="3"/>
          <c:order val="3"/>
          <c:tx>
            <c:strRef>
              <c:f>Tab33_graf16_17_absol!$A$51:$K$51</c:f>
              <c:strCache>
                <c:ptCount val="11"/>
                <c:pt idx="0">
                  <c:v>STU</c:v>
                </c:pt>
              </c:strCache>
            </c:strRef>
          </c:tx>
          <c:spPr>
            <a:ln w="34925" cmpd="sng">
              <a:solidFill>
                <a:srgbClr val="C00000"/>
              </a:solidFill>
            </a:ln>
          </c:spPr>
          <c:marker>
            <c:symbol val="none"/>
          </c:marker>
          <c:dLbls>
            <c:spPr>
              <a:noFill/>
              <a:ln>
                <a:noFill/>
              </a:ln>
              <a:effectLst/>
            </c:spPr>
            <c:txPr>
              <a:bodyPr rot="-1200000"/>
              <a:lstStyle/>
              <a:p>
                <a:pPr>
                  <a:defRPr>
                    <a:solidFill>
                      <a:srgbClr val="C00000"/>
                    </a:solidFill>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Tab33_graf16_17_absol!$A$52:$K$52</c:f>
              <c:numCache>
                <c:formatCode>General</c:formatCode>
                <c:ptCount val="9"/>
                <c:pt idx="0">
                  <c:v>2013</c:v>
                </c:pt>
                <c:pt idx="1">
                  <c:v>2014</c:v>
                </c:pt>
                <c:pt idx="2">
                  <c:v>2015</c:v>
                </c:pt>
                <c:pt idx="3">
                  <c:v>2016</c:v>
                </c:pt>
                <c:pt idx="4">
                  <c:v>2017</c:v>
                </c:pt>
                <c:pt idx="5">
                  <c:v>2018</c:v>
                </c:pt>
                <c:pt idx="6">
                  <c:v>2019</c:v>
                </c:pt>
                <c:pt idx="7">
                  <c:v>2020</c:v>
                </c:pt>
                <c:pt idx="8">
                  <c:v>2021</c:v>
                </c:pt>
              </c:numCache>
              <c:extLst/>
            </c:numRef>
          </c:cat>
          <c:val>
            <c:numRef>
              <c:f>Tab33_graf16_17_absol!$A$53:$L$53</c:f>
              <c:numCache>
                <c:formatCode>#,##0</c:formatCode>
                <c:ptCount val="10"/>
                <c:pt idx="0">
                  <c:v>4437</c:v>
                </c:pt>
                <c:pt idx="1">
                  <c:v>4223</c:v>
                </c:pt>
                <c:pt idx="2">
                  <c:v>4239</c:v>
                </c:pt>
                <c:pt idx="3">
                  <c:v>3966</c:v>
                </c:pt>
                <c:pt idx="4">
                  <c:v>3745</c:v>
                </c:pt>
                <c:pt idx="5">
                  <c:v>3447</c:v>
                </c:pt>
                <c:pt idx="6">
                  <c:v>3067</c:v>
                </c:pt>
                <c:pt idx="7">
                  <c:v>2878</c:v>
                </c:pt>
                <c:pt idx="8">
                  <c:v>2910</c:v>
                </c:pt>
                <c:pt idx="9">
                  <c:v>2658</c:v>
                </c:pt>
              </c:numCache>
              <c:extLst/>
            </c:numRef>
          </c:val>
          <c:smooth val="0"/>
          <c:extLst>
            <c:ext xmlns:c16="http://schemas.microsoft.com/office/drawing/2014/chart" uri="{C3380CC4-5D6E-409C-BE32-E72D297353CC}">
              <c16:uniqueId val="{0000000D-6857-4AF4-A54A-D7D846302F0C}"/>
            </c:ext>
          </c:extLst>
        </c:ser>
        <c:dLbls>
          <c:showLegendKey val="0"/>
          <c:showVal val="0"/>
          <c:showCatName val="0"/>
          <c:showSerName val="0"/>
          <c:showPercent val="0"/>
          <c:showBubbleSize val="0"/>
        </c:dLbls>
        <c:marker val="1"/>
        <c:smooth val="0"/>
        <c:axId val="487908544"/>
        <c:axId val="319274960"/>
      </c:lineChart>
      <c:catAx>
        <c:axId val="156616192"/>
        <c:scaling>
          <c:orientation val="minMax"/>
        </c:scaling>
        <c:delete val="0"/>
        <c:axPos val="b"/>
        <c:numFmt formatCode="General" sourceLinked="1"/>
        <c:majorTickMark val="out"/>
        <c:minorTickMark val="none"/>
        <c:tickLblPos val="nextTo"/>
        <c:crossAx val="204076672"/>
        <c:crosses val="autoZero"/>
        <c:auto val="1"/>
        <c:lblAlgn val="ctr"/>
        <c:lblOffset val="100"/>
        <c:noMultiLvlLbl val="0"/>
      </c:catAx>
      <c:valAx>
        <c:axId val="204076672"/>
        <c:scaling>
          <c:orientation val="minMax"/>
          <c:max val="6000"/>
        </c:scaling>
        <c:delete val="0"/>
        <c:axPos val="l"/>
        <c:majorGridlines>
          <c: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majorGridlines>
        <c:title>
          <c:tx>
            <c:rich>
              <a:bodyPr/>
              <a:lstStyle/>
              <a:p>
                <a:pPr>
                  <a:defRPr/>
                </a:pPr>
                <a:r>
                  <a:rPr lang="sk-SK"/>
                  <a:t>podľa stupňa štúdoia</a:t>
                </a:r>
              </a:p>
            </c:rich>
          </c:tx>
          <c:overlay val="0"/>
        </c:title>
        <c:numFmt formatCode="#,##0" sourceLinked="1"/>
        <c:majorTickMark val="out"/>
        <c:minorTickMark val="none"/>
        <c:tickLblPos val="nextTo"/>
        <c:crossAx val="156616192"/>
        <c:crosses val="autoZero"/>
        <c:crossBetween val="between"/>
      </c:valAx>
      <c:valAx>
        <c:axId val="319274960"/>
        <c:scaling>
          <c:orientation val="minMax"/>
          <c:max val="5000"/>
        </c:scaling>
        <c:delete val="0"/>
        <c:axPos val="r"/>
        <c:title>
          <c:tx>
            <c:rich>
              <a:bodyPr/>
              <a:lstStyle/>
              <a:p>
                <a:pPr>
                  <a:defRPr/>
                </a:pPr>
                <a:r>
                  <a:rPr lang="sk-SK"/>
                  <a:t>Spolu</a:t>
                </a:r>
                <a:r>
                  <a:rPr lang="sk-SK" baseline="0"/>
                  <a:t> STU</a:t>
                </a:r>
                <a:endParaRPr lang="sk-SK"/>
              </a:p>
            </c:rich>
          </c:tx>
          <c:overlay val="0"/>
        </c:title>
        <c:numFmt formatCode="#,##0" sourceLinked="1"/>
        <c:majorTickMark val="out"/>
        <c:minorTickMark val="none"/>
        <c:tickLblPos val="nextTo"/>
        <c:txPr>
          <a:bodyPr/>
          <a:lstStyle/>
          <a:p>
            <a:pPr>
              <a:defRPr>
                <a:solidFill>
                  <a:srgbClr val="C00000"/>
                </a:solidFill>
              </a:defRPr>
            </a:pPr>
            <a:endParaRPr lang="sk-SK"/>
          </a:p>
        </c:txPr>
        <c:crossAx val="487908544"/>
        <c:crosses val="max"/>
        <c:crossBetween val="between"/>
        <c:majorUnit val="1000"/>
      </c:valAx>
      <c:catAx>
        <c:axId val="487908544"/>
        <c:scaling>
          <c:orientation val="minMax"/>
        </c:scaling>
        <c:delete val="1"/>
        <c:axPos val="b"/>
        <c:numFmt formatCode="General" sourceLinked="1"/>
        <c:majorTickMark val="out"/>
        <c:minorTickMark val="none"/>
        <c:tickLblPos val="nextTo"/>
        <c:crossAx val="319274960"/>
        <c:crosses val="autoZero"/>
        <c:auto val="1"/>
        <c:lblAlgn val="ctr"/>
        <c:lblOffset val="100"/>
        <c:noMultiLvlLbl val="0"/>
      </c:catAx>
      <c:spPr>
        <a:noFill/>
        <a:ln>
          <a:gradFill>
            <a:gsLst>
              <a:gs pos="0">
                <a:schemeClr val="accent1">
                  <a:lumMod val="5000"/>
                  <a:lumOff val="95000"/>
                </a:schemeClr>
              </a:gs>
              <a:gs pos="28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plotArea>
    <c:legend>
      <c:legendPos val="r"/>
      <c:layout>
        <c:manualLayout>
          <c:xMode val="edge"/>
          <c:yMode val="edge"/>
          <c:x val="0.82959358396382743"/>
          <c:y val="0.66382801949154546"/>
          <c:w val="0.15983912031445968"/>
          <c:h val="0.30603619015573125"/>
        </c:manualLayout>
      </c:layout>
      <c:overlay val="0"/>
    </c:legend>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91867278993654"/>
          <c:y val="8.8232490238445968E-2"/>
          <c:w val="0.82239102692097332"/>
          <c:h val="0.68508520910735138"/>
        </c:manualLayout>
      </c:layout>
      <c:barChart>
        <c:barDir val="col"/>
        <c:grouping val="clustered"/>
        <c:varyColors val="0"/>
        <c:ser>
          <c:idx val="0"/>
          <c:order val="0"/>
          <c:tx>
            <c:strRef>
              <c:f>Graf_18_nezamest!$E$3</c:f>
              <c:strCache>
                <c:ptCount val="1"/>
                <c:pt idx="0">
                  <c:v>% nezamestnaných absolventov I. a II. stupňa</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A8F-4523-9CAA-6F998FA0474F}"/>
              </c:ext>
            </c:extLst>
          </c:dPt>
          <c:dPt>
            <c:idx val="1"/>
            <c:invertIfNegative val="0"/>
            <c:bubble3D val="0"/>
            <c:spPr>
              <a:solidFill>
                <a:srgbClr val="00B050"/>
              </a:solidFill>
              <a:ln>
                <a:noFill/>
              </a:ln>
              <a:effectLst/>
            </c:spPr>
            <c:extLst>
              <c:ext xmlns:c16="http://schemas.microsoft.com/office/drawing/2014/chart" uri="{C3380CC4-5D6E-409C-BE32-E72D297353CC}">
                <c16:uniqueId val="{00000003-7A8F-4523-9CAA-6F998FA0474F}"/>
              </c:ext>
            </c:extLst>
          </c:dPt>
          <c:dPt>
            <c:idx val="2"/>
            <c:invertIfNegative val="0"/>
            <c:bubble3D val="0"/>
            <c:spPr>
              <a:solidFill>
                <a:srgbClr val="FF0000"/>
              </a:solidFill>
              <a:ln>
                <a:noFill/>
              </a:ln>
              <a:effectLst/>
            </c:spPr>
            <c:extLst>
              <c:ext xmlns:c16="http://schemas.microsoft.com/office/drawing/2014/chart" uri="{C3380CC4-5D6E-409C-BE32-E72D297353CC}">
                <c16:uniqueId val="{00000005-7A8F-4523-9CAA-6F998FA0474F}"/>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7A8F-4523-9CAA-6F998FA0474F}"/>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7A8F-4523-9CAA-6F998FA0474F}"/>
              </c:ext>
            </c:extLst>
          </c:dPt>
          <c:dPt>
            <c:idx val="5"/>
            <c:invertIfNegative val="0"/>
            <c:bubble3D val="0"/>
            <c:spPr>
              <a:solidFill>
                <a:srgbClr val="FF0000"/>
              </a:solidFill>
              <a:ln>
                <a:noFill/>
              </a:ln>
              <a:effectLst/>
            </c:spPr>
            <c:extLst>
              <c:ext xmlns:c16="http://schemas.microsoft.com/office/drawing/2014/chart" uri="{C3380CC4-5D6E-409C-BE32-E72D297353CC}">
                <c16:uniqueId val="{0000000B-7A8F-4523-9CAA-6F998FA0474F}"/>
              </c:ext>
            </c:extLst>
          </c:dPt>
          <c:dPt>
            <c:idx val="6"/>
            <c:invertIfNegative val="0"/>
            <c:bubble3D val="0"/>
            <c:spPr>
              <a:solidFill>
                <a:srgbClr val="FF0000"/>
              </a:solidFill>
              <a:ln>
                <a:noFill/>
              </a:ln>
              <a:effectLst/>
            </c:spPr>
            <c:extLst>
              <c:ext xmlns:c16="http://schemas.microsoft.com/office/drawing/2014/chart" uri="{C3380CC4-5D6E-409C-BE32-E72D297353CC}">
                <c16:uniqueId val="{0000000D-7A8F-4523-9CAA-6F998FA0474F}"/>
              </c:ext>
            </c:extLst>
          </c:dPt>
          <c:dPt>
            <c:idx val="7"/>
            <c:invertIfNegative val="0"/>
            <c:bubble3D val="0"/>
            <c:spPr>
              <a:solidFill>
                <a:schemeClr val="accent1"/>
              </a:solidFill>
              <a:ln>
                <a:noFill/>
              </a:ln>
              <a:effectLst/>
            </c:spPr>
            <c:extLst>
              <c:ext xmlns:c16="http://schemas.microsoft.com/office/drawing/2014/chart" uri="{C3380CC4-5D6E-409C-BE32-E72D297353CC}">
                <c16:uniqueId val="{0000000F-7A8F-4523-9CAA-6F998FA0474F}"/>
              </c:ext>
            </c:extLst>
          </c:dPt>
          <c:dPt>
            <c:idx val="8"/>
            <c:invertIfNegative val="0"/>
            <c:bubble3D val="0"/>
            <c:spPr>
              <a:solidFill>
                <a:schemeClr val="accent1"/>
              </a:solidFill>
              <a:ln>
                <a:noFill/>
              </a:ln>
              <a:effectLst/>
            </c:spPr>
            <c:extLst>
              <c:ext xmlns:c16="http://schemas.microsoft.com/office/drawing/2014/chart" uri="{C3380CC4-5D6E-409C-BE32-E72D297353CC}">
                <c16:uniqueId val="{00000011-7A8F-4523-9CAA-6F998FA0474F}"/>
              </c:ext>
            </c:extLst>
          </c:dPt>
          <c:dPt>
            <c:idx val="10"/>
            <c:invertIfNegative val="0"/>
            <c:bubble3D val="0"/>
            <c:spPr>
              <a:solidFill>
                <a:schemeClr val="accent1"/>
              </a:solidFill>
              <a:ln>
                <a:noFill/>
              </a:ln>
              <a:effectLst/>
            </c:spPr>
            <c:extLst>
              <c:ext xmlns:c16="http://schemas.microsoft.com/office/drawing/2014/chart" uri="{C3380CC4-5D6E-409C-BE32-E72D297353CC}">
                <c16:uniqueId val="{00000013-7A8F-4523-9CAA-6F998FA0474F}"/>
              </c:ext>
            </c:extLst>
          </c:dPt>
          <c:dPt>
            <c:idx val="11"/>
            <c:invertIfNegative val="0"/>
            <c:bubble3D val="0"/>
            <c:spPr>
              <a:solidFill>
                <a:schemeClr val="accent1"/>
              </a:solidFill>
              <a:ln>
                <a:noFill/>
              </a:ln>
              <a:effectLst/>
            </c:spPr>
            <c:extLst>
              <c:ext xmlns:c16="http://schemas.microsoft.com/office/drawing/2014/chart" uri="{C3380CC4-5D6E-409C-BE32-E72D297353CC}">
                <c16:uniqueId val="{00000015-7A8F-4523-9CAA-6F998FA0474F}"/>
              </c:ext>
            </c:extLst>
          </c:dPt>
          <c:dPt>
            <c:idx val="12"/>
            <c:invertIfNegative val="0"/>
            <c:bubble3D val="0"/>
            <c:spPr>
              <a:solidFill>
                <a:srgbClr val="FF0000"/>
              </a:solidFill>
              <a:ln>
                <a:noFill/>
              </a:ln>
              <a:effectLst/>
            </c:spPr>
            <c:extLst>
              <c:ext xmlns:c16="http://schemas.microsoft.com/office/drawing/2014/chart" uri="{C3380CC4-5D6E-409C-BE32-E72D297353CC}">
                <c16:uniqueId val="{00000017-7A8F-4523-9CAA-6F998FA0474F}"/>
              </c:ext>
            </c:extLst>
          </c:dPt>
          <c:dPt>
            <c:idx val="14"/>
            <c:invertIfNegative val="0"/>
            <c:bubble3D val="0"/>
            <c:spPr>
              <a:solidFill>
                <a:schemeClr val="accent1"/>
              </a:solidFill>
              <a:ln>
                <a:noFill/>
              </a:ln>
              <a:effectLst/>
            </c:spPr>
            <c:extLst>
              <c:ext xmlns:c16="http://schemas.microsoft.com/office/drawing/2014/chart" uri="{C3380CC4-5D6E-409C-BE32-E72D297353CC}">
                <c16:uniqueId val="{00000019-7A8F-4523-9CAA-6F998FA0474F}"/>
              </c:ext>
            </c:extLst>
          </c:dPt>
          <c:dPt>
            <c:idx val="15"/>
            <c:invertIfNegative val="0"/>
            <c:bubble3D val="0"/>
            <c:spPr>
              <a:solidFill>
                <a:schemeClr val="accent1"/>
              </a:solidFill>
              <a:ln>
                <a:noFill/>
              </a:ln>
              <a:effectLst/>
            </c:spPr>
            <c:extLst>
              <c:ext xmlns:c16="http://schemas.microsoft.com/office/drawing/2014/chart" uri="{C3380CC4-5D6E-409C-BE32-E72D297353CC}">
                <c16:uniqueId val="{0000001B-7A8F-4523-9CAA-6F998FA0474F}"/>
              </c:ext>
            </c:extLst>
          </c:dPt>
          <c:dPt>
            <c:idx val="16"/>
            <c:invertIfNegative val="0"/>
            <c:bubble3D val="0"/>
            <c:spPr>
              <a:solidFill>
                <a:srgbClr val="FF0000"/>
              </a:solidFill>
              <a:ln>
                <a:noFill/>
              </a:ln>
              <a:effectLst/>
            </c:spPr>
            <c:extLst>
              <c:ext xmlns:c16="http://schemas.microsoft.com/office/drawing/2014/chart" uri="{C3380CC4-5D6E-409C-BE32-E72D297353CC}">
                <c16:uniqueId val="{0000001D-7A8F-4523-9CAA-6F998FA0474F}"/>
              </c:ext>
            </c:extLst>
          </c:dPt>
          <c:dPt>
            <c:idx val="17"/>
            <c:invertIfNegative val="0"/>
            <c:bubble3D val="0"/>
            <c:spPr>
              <a:solidFill>
                <a:schemeClr val="accent1"/>
              </a:solidFill>
              <a:ln>
                <a:noFill/>
              </a:ln>
              <a:effectLst/>
            </c:spPr>
            <c:extLst>
              <c:ext xmlns:c16="http://schemas.microsoft.com/office/drawing/2014/chart" uri="{C3380CC4-5D6E-409C-BE32-E72D297353CC}">
                <c16:uniqueId val="{0000001F-7A8F-4523-9CAA-6F998FA0474F}"/>
              </c:ext>
            </c:extLst>
          </c:dPt>
          <c:dPt>
            <c:idx val="18"/>
            <c:invertIfNegative val="0"/>
            <c:bubble3D val="0"/>
            <c:spPr>
              <a:solidFill>
                <a:schemeClr val="accent1"/>
              </a:solidFill>
              <a:ln>
                <a:noFill/>
              </a:ln>
              <a:effectLst/>
            </c:spPr>
            <c:extLst>
              <c:ext xmlns:c16="http://schemas.microsoft.com/office/drawing/2014/chart" uri="{C3380CC4-5D6E-409C-BE32-E72D297353CC}">
                <c16:uniqueId val="{00000021-7A8F-4523-9CAA-6F998FA0474F}"/>
              </c:ext>
            </c:extLst>
          </c:dPt>
          <c:dPt>
            <c:idx val="19"/>
            <c:invertIfNegative val="0"/>
            <c:bubble3D val="0"/>
            <c:spPr>
              <a:solidFill>
                <a:srgbClr val="FF0000"/>
              </a:solidFill>
              <a:ln>
                <a:noFill/>
              </a:ln>
              <a:effectLst/>
            </c:spPr>
            <c:extLst>
              <c:ext xmlns:c16="http://schemas.microsoft.com/office/drawing/2014/chart" uri="{C3380CC4-5D6E-409C-BE32-E72D297353CC}">
                <c16:uniqueId val="{00000023-7A8F-4523-9CAA-6F998FA0474F}"/>
              </c:ext>
            </c:extLst>
          </c:dPt>
          <c:dLbls>
            <c:dLbl>
              <c:idx val="1"/>
              <c:spPr>
                <a:noFill/>
                <a:ln>
                  <a:noFill/>
                </a:ln>
                <a:effectLst/>
              </c:spPr>
              <c:txPr>
                <a:bodyPr rot="-5400000" spcFirstLastPara="1" vertOverflow="ellipsis" wrap="square" anchor="ctr" anchorCtr="1"/>
                <a:lstStyle/>
                <a:p>
                  <a:pPr>
                    <a:defRPr sz="900" b="0" i="0" u="none" strike="noStrike" kern="1200" baseline="0">
                      <a:solidFill>
                        <a:srgbClr val="00B050"/>
                      </a:solidFill>
                      <a:latin typeface="+mj-lt"/>
                      <a:ea typeface="+mn-ea"/>
                      <a:cs typeface="+mn-cs"/>
                    </a:defRPr>
                  </a:pPr>
                  <a:endParaRPr lang="sk-SK"/>
                </a:p>
              </c:txPr>
              <c:dLblPos val="outEnd"/>
              <c:showLegendKey val="0"/>
              <c:showVal val="1"/>
              <c:showCatName val="0"/>
              <c:showSerName val="0"/>
              <c:showPercent val="0"/>
              <c:showBubbleSize val="0"/>
              <c:extLst>
                <c:ext xmlns:c16="http://schemas.microsoft.com/office/drawing/2014/chart" uri="{C3380CC4-5D6E-409C-BE32-E72D297353CC}">
                  <c16:uniqueId val="{00000003-7A8F-4523-9CAA-6F998FA0474F}"/>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j-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Graf_18_nezamest!$B$4:$B$23</c:f>
              <c:strCache>
                <c:ptCount val="20"/>
                <c:pt idx="0">
                  <c:v>VŠMU BA</c:v>
                </c:pt>
                <c:pt idx="1">
                  <c:v>STU BA</c:v>
                </c:pt>
                <c:pt idx="2">
                  <c:v>TrU TN</c:v>
                </c:pt>
                <c:pt idx="3">
                  <c:v>UMB BB</c:v>
                </c:pt>
                <c:pt idx="4">
                  <c:v>EU BA</c:v>
                </c:pt>
                <c:pt idx="5">
                  <c:v>UK BA</c:v>
                </c:pt>
                <c:pt idx="6">
                  <c:v>TU KE</c:v>
                </c:pt>
                <c:pt idx="7">
                  <c:v>TU TT</c:v>
                </c:pt>
                <c:pt idx="8">
                  <c:v>UPJŠ KE</c:v>
                </c:pt>
                <c:pt idx="9">
                  <c:v>KU RK</c:v>
                </c:pt>
                <c:pt idx="10">
                  <c:v>UCM TT</c:v>
                </c:pt>
                <c:pt idx="11">
                  <c:v>UVLF KE</c:v>
                </c:pt>
                <c:pt idx="12">
                  <c:v>ŽU ZA</c:v>
                </c:pt>
                <c:pt idx="13">
                  <c:v>UKF NR</c:v>
                </c:pt>
                <c:pt idx="14">
                  <c:v>UJS KN</c:v>
                </c:pt>
                <c:pt idx="15">
                  <c:v>AU BB</c:v>
                </c:pt>
                <c:pt idx="16">
                  <c:v>SPU NR</c:v>
                </c:pt>
                <c:pt idx="17">
                  <c:v>PU PO</c:v>
                </c:pt>
                <c:pt idx="18">
                  <c:v>VŠVU BA</c:v>
                </c:pt>
                <c:pt idx="19">
                  <c:v>TU ZV</c:v>
                </c:pt>
              </c:strCache>
            </c:strRef>
          </c:cat>
          <c:val>
            <c:numRef>
              <c:f>Graf_18_nezamest!$E$4:$E$23</c:f>
              <c:numCache>
                <c:formatCode>0.0%</c:formatCode>
                <c:ptCount val="20"/>
                <c:pt idx="0">
                  <c:v>3.0769230769230771E-2</c:v>
                </c:pt>
                <c:pt idx="1">
                  <c:v>5.1302288871349647E-2</c:v>
                </c:pt>
                <c:pt idx="2">
                  <c:v>6.560636182902585E-2</c:v>
                </c:pt>
                <c:pt idx="3">
                  <c:v>7.3549257759784076E-2</c:v>
                </c:pt>
                <c:pt idx="4">
                  <c:v>7.4024226110363398E-2</c:v>
                </c:pt>
                <c:pt idx="5">
                  <c:v>7.5568435131520284E-2</c:v>
                </c:pt>
                <c:pt idx="6">
                  <c:v>7.6634735526863812E-2</c:v>
                </c:pt>
                <c:pt idx="7">
                  <c:v>8.1359423274974252E-2</c:v>
                </c:pt>
                <c:pt idx="8">
                  <c:v>8.5393258426966295E-2</c:v>
                </c:pt>
                <c:pt idx="9">
                  <c:v>8.8555858310626706E-2</c:v>
                </c:pt>
                <c:pt idx="10">
                  <c:v>9.0821256038647338E-2</c:v>
                </c:pt>
                <c:pt idx="11">
                  <c:v>9.3655589123867067E-2</c:v>
                </c:pt>
                <c:pt idx="12">
                  <c:v>9.6533333333333332E-2</c:v>
                </c:pt>
                <c:pt idx="13">
                  <c:v>9.6996245306633297E-2</c:v>
                </c:pt>
                <c:pt idx="14">
                  <c:v>9.9125364431486881E-2</c:v>
                </c:pt>
                <c:pt idx="15">
                  <c:v>0.10674157303370786</c:v>
                </c:pt>
                <c:pt idx="16">
                  <c:v>0.10975609756097561</c:v>
                </c:pt>
                <c:pt idx="17">
                  <c:v>0.11207335710646969</c:v>
                </c:pt>
                <c:pt idx="18">
                  <c:v>0.13114754098360656</c:v>
                </c:pt>
                <c:pt idx="19">
                  <c:v>0.15116279069767441</c:v>
                </c:pt>
              </c:numCache>
            </c:numRef>
          </c:val>
          <c:extLst>
            <c:ext xmlns:c16="http://schemas.microsoft.com/office/drawing/2014/chart" uri="{C3380CC4-5D6E-409C-BE32-E72D297353CC}">
              <c16:uniqueId val="{00000024-7A8F-4523-9CAA-6F998FA0474F}"/>
            </c:ext>
          </c:extLst>
        </c:ser>
        <c:dLbls>
          <c:dLblPos val="outEnd"/>
          <c:showLegendKey val="0"/>
          <c:showVal val="1"/>
          <c:showCatName val="0"/>
          <c:showSerName val="0"/>
          <c:showPercent val="0"/>
          <c:showBubbleSize val="0"/>
        </c:dLbls>
        <c:gapWidth val="219"/>
        <c:overlap val="-27"/>
        <c:axId val="228199888"/>
        <c:axId val="455156400"/>
      </c:barChart>
      <c:catAx>
        <c:axId val="228199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sk-SK"/>
                  <a:t>Verejné vysoké školy v SR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sk-SK"/>
            </a:p>
          </c:txPr>
        </c:title>
        <c:numFmt formatCode="General" sourceLinked="1"/>
        <c:majorTickMark val="none"/>
        <c:minorTickMark val="none"/>
        <c:tickLblPos val="nextTo"/>
        <c:spPr>
          <a:noFill/>
          <a:ln w="9525" cap="flat" cmpd="sng" algn="ctr">
            <a:solidFill>
              <a:schemeClr val="bg1">
                <a:lumMod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crossAx val="455156400"/>
        <c:crosses val="autoZero"/>
        <c:auto val="1"/>
        <c:lblAlgn val="ctr"/>
        <c:lblOffset val="100"/>
        <c:noMultiLvlLbl val="0"/>
      </c:catAx>
      <c:valAx>
        <c:axId val="45515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sk-SK"/>
                  <a:t>% nezamestnaných absolventov VŠ</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sk-SK"/>
            </a:p>
          </c:txPr>
        </c:title>
        <c:numFmt formatCode="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crossAx val="228199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81224448909794E-2"/>
          <c:y val="5.3293892317514358E-2"/>
          <c:w val="0.86594405151356635"/>
          <c:h val="0.70481111783557981"/>
        </c:manualLayout>
      </c:layout>
      <c:barChart>
        <c:barDir val="col"/>
        <c:grouping val="clustered"/>
        <c:varyColors val="0"/>
        <c:ser>
          <c:idx val="1"/>
          <c:order val="1"/>
          <c:tx>
            <c:strRef>
              <c:f>Tab38_Graf19_ŠVK!$C$16</c:f>
              <c:strCache>
                <c:ptCount val="1"/>
                <c:pt idx="0">
                  <c:v>práce</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a:effectLst/>
          </c:spPr>
          <c:invertIfNegative val="0"/>
          <c:dLbls>
            <c:spPr>
              <a:noFill/>
              <a:ln>
                <a:noFill/>
              </a:ln>
              <a:effectLst>
                <a:softEdge rad="127000"/>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Tab38_Graf19_ŠVK!$A$17:$A$27</c:f>
              <c:strCache>
                <c:ptCount val="7"/>
                <c:pt idx="0">
                  <c:v>2015/2016</c:v>
                </c:pt>
                <c:pt idx="1">
                  <c:v>2016/2017</c:v>
                </c:pt>
                <c:pt idx="2">
                  <c:v>2017/2018</c:v>
                </c:pt>
                <c:pt idx="3">
                  <c:v>2018/2019</c:v>
                </c:pt>
                <c:pt idx="4">
                  <c:v>2019/2020</c:v>
                </c:pt>
                <c:pt idx="5">
                  <c:v>2020/2021</c:v>
                </c:pt>
                <c:pt idx="6">
                  <c:v>2021/2022</c:v>
                </c:pt>
              </c:strCache>
              <c:extLst/>
            </c:strRef>
          </c:cat>
          <c:val>
            <c:numRef>
              <c:f>Tab38_Graf19_ŠVK!$C$17:$C$27</c:f>
              <c:numCache>
                <c:formatCode>#,##0</c:formatCode>
                <c:ptCount val="7"/>
                <c:pt idx="0">
                  <c:v>695</c:v>
                </c:pt>
                <c:pt idx="1">
                  <c:v>709</c:v>
                </c:pt>
                <c:pt idx="2">
                  <c:v>700</c:v>
                </c:pt>
                <c:pt idx="3">
                  <c:v>819</c:v>
                </c:pt>
                <c:pt idx="4">
                  <c:v>565</c:v>
                </c:pt>
                <c:pt idx="5">
                  <c:v>734</c:v>
                </c:pt>
                <c:pt idx="6">
                  <c:v>738</c:v>
                </c:pt>
              </c:numCache>
              <c:extLst/>
            </c:numRef>
          </c:val>
          <c:extLst>
            <c:ext xmlns:c16="http://schemas.microsoft.com/office/drawing/2014/chart" uri="{C3380CC4-5D6E-409C-BE32-E72D297353CC}">
              <c16:uniqueId val="{00000000-917C-409D-B9AD-AA4B343733A8}"/>
            </c:ext>
          </c:extLst>
        </c:ser>
        <c:ser>
          <c:idx val="2"/>
          <c:order val="2"/>
          <c:tx>
            <c:strRef>
              <c:f>Tab38_Graf19_ŠVK!$D$16</c:f>
              <c:strCache>
                <c:ptCount val="1"/>
                <c:pt idx="0">
                  <c:v>študenti</c:v>
                </c:pt>
              </c:strCache>
            </c:strRef>
          </c:tx>
          <c:spPr>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Tab38_Graf19_ŠVK!$A$17:$A$27</c:f>
              <c:strCache>
                <c:ptCount val="7"/>
                <c:pt idx="0">
                  <c:v>2015/2016</c:v>
                </c:pt>
                <c:pt idx="1">
                  <c:v>2016/2017</c:v>
                </c:pt>
                <c:pt idx="2">
                  <c:v>2017/2018</c:v>
                </c:pt>
                <c:pt idx="3">
                  <c:v>2018/2019</c:v>
                </c:pt>
                <c:pt idx="4">
                  <c:v>2019/2020</c:v>
                </c:pt>
                <c:pt idx="5">
                  <c:v>2020/2021</c:v>
                </c:pt>
                <c:pt idx="6">
                  <c:v>2021/2022</c:v>
                </c:pt>
              </c:strCache>
              <c:extLst/>
            </c:strRef>
          </c:cat>
          <c:val>
            <c:numRef>
              <c:f>Tab38_Graf19_ŠVK!$D$17:$D$27</c:f>
              <c:numCache>
                <c:formatCode>#,##0</c:formatCode>
                <c:ptCount val="7"/>
                <c:pt idx="0">
                  <c:v>830</c:v>
                </c:pt>
                <c:pt idx="1">
                  <c:v>839</c:v>
                </c:pt>
                <c:pt idx="2">
                  <c:v>811</c:v>
                </c:pt>
                <c:pt idx="3">
                  <c:v>962</c:v>
                </c:pt>
                <c:pt idx="4">
                  <c:v>637</c:v>
                </c:pt>
                <c:pt idx="5">
                  <c:v>810</c:v>
                </c:pt>
                <c:pt idx="6">
                  <c:v>793</c:v>
                </c:pt>
              </c:numCache>
              <c:extLst/>
            </c:numRef>
          </c:val>
          <c:extLst>
            <c:ext xmlns:c16="http://schemas.microsoft.com/office/drawing/2014/chart" uri="{C3380CC4-5D6E-409C-BE32-E72D297353CC}">
              <c16:uniqueId val="{00000001-917C-409D-B9AD-AA4B343733A8}"/>
            </c:ext>
          </c:extLst>
        </c:ser>
        <c:dLbls>
          <c:dLblPos val="outEnd"/>
          <c:showLegendKey val="0"/>
          <c:showVal val="1"/>
          <c:showCatName val="0"/>
          <c:showSerName val="0"/>
          <c:showPercent val="0"/>
          <c:showBubbleSize val="0"/>
        </c:dLbls>
        <c:gapWidth val="150"/>
        <c:axId val="205069824"/>
        <c:axId val="204811072"/>
      </c:barChart>
      <c:lineChart>
        <c:grouping val="standard"/>
        <c:varyColors val="0"/>
        <c:ser>
          <c:idx val="0"/>
          <c:order val="0"/>
          <c:tx>
            <c:strRef>
              <c:f>Tab38_Graf19_ŠVK!$B$16</c:f>
              <c:strCache>
                <c:ptCount val="1"/>
                <c:pt idx="0">
                  <c:v>sekcie</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Tab38_Graf19_ŠVK!$A$17:$A$27</c:f>
              <c:strCache>
                <c:ptCount val="7"/>
                <c:pt idx="0">
                  <c:v>2015/2016</c:v>
                </c:pt>
                <c:pt idx="1">
                  <c:v>2016/2017</c:v>
                </c:pt>
                <c:pt idx="2">
                  <c:v>2017/2018</c:v>
                </c:pt>
                <c:pt idx="3">
                  <c:v>2018/2019</c:v>
                </c:pt>
                <c:pt idx="4">
                  <c:v>2019/2020</c:v>
                </c:pt>
                <c:pt idx="5">
                  <c:v>2020/2021</c:v>
                </c:pt>
                <c:pt idx="6">
                  <c:v>2021/2022</c:v>
                </c:pt>
              </c:strCache>
              <c:extLst/>
            </c:strRef>
          </c:cat>
          <c:val>
            <c:numRef>
              <c:f>Tab38_Graf19_ŠVK!$B$17:$B$27</c:f>
              <c:numCache>
                <c:formatCode>#,##0</c:formatCode>
                <c:ptCount val="7"/>
                <c:pt idx="0">
                  <c:v>79</c:v>
                </c:pt>
                <c:pt idx="1">
                  <c:v>82</c:v>
                </c:pt>
                <c:pt idx="2">
                  <c:v>79</c:v>
                </c:pt>
                <c:pt idx="3">
                  <c:v>79</c:v>
                </c:pt>
                <c:pt idx="4">
                  <c:v>43</c:v>
                </c:pt>
                <c:pt idx="5">
                  <c:v>67</c:v>
                </c:pt>
                <c:pt idx="6">
                  <c:v>68</c:v>
                </c:pt>
              </c:numCache>
              <c:extLst/>
            </c:numRef>
          </c:val>
          <c:smooth val="0"/>
          <c:extLst>
            <c:ext xmlns:c16="http://schemas.microsoft.com/office/drawing/2014/chart" uri="{C3380CC4-5D6E-409C-BE32-E72D297353CC}">
              <c16:uniqueId val="{00000002-917C-409D-B9AD-AA4B343733A8}"/>
            </c:ext>
          </c:extLst>
        </c:ser>
        <c:dLbls>
          <c:showLegendKey val="0"/>
          <c:showVal val="1"/>
          <c:showCatName val="0"/>
          <c:showSerName val="0"/>
          <c:showPercent val="0"/>
          <c:showBubbleSize val="0"/>
        </c:dLbls>
        <c:marker val="1"/>
        <c:smooth val="0"/>
        <c:axId val="205069824"/>
        <c:axId val="204811072"/>
      </c:lineChart>
      <c:catAx>
        <c:axId val="205069824"/>
        <c:scaling>
          <c:orientation val="minMax"/>
        </c:scaling>
        <c:delete val="0"/>
        <c:axPos val="b"/>
        <c:numFmt formatCode="General" sourceLinked="0"/>
        <c:majorTickMark val="out"/>
        <c:minorTickMark val="none"/>
        <c:tickLblPos val="nextTo"/>
        <c:spPr>
          <a:no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1260000" spcFirstLastPara="1" vertOverflow="ellipsis"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sk-SK"/>
          </a:p>
        </c:txPr>
        <c:crossAx val="204811072"/>
        <c:crosses val="autoZero"/>
        <c:auto val="1"/>
        <c:lblAlgn val="ctr"/>
        <c:lblOffset val="100"/>
        <c:noMultiLvlLbl val="0"/>
      </c:catAx>
      <c:valAx>
        <c:axId val="204811072"/>
        <c:scaling>
          <c:orientation val="minMax"/>
        </c:scaling>
        <c:delete val="0"/>
        <c:axPos val="l"/>
        <c:majorGridlines>
          <c:spPr>
            <a:ln w="9525" cap="flat" cmpd="sng" algn="ctr">
              <a:gradFill>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0" sourceLinked="1"/>
        <c:majorTickMark val="none"/>
        <c:minorTickMark val="none"/>
        <c:tickLblPos val="nextTo"/>
        <c:spPr>
          <a:noFill/>
          <a:ln>
            <a:solidFill>
              <a:schemeClr val="accent1">
                <a:lumMod val="20000"/>
                <a:lumOff val="8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sk-SK"/>
          </a:p>
        </c:txPr>
        <c:crossAx val="20506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latin typeface="+mj-lt"/>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Graf2_TZ_študenti_VŠ!$A$22</c:f>
              <c:strCache>
                <c:ptCount val="1"/>
                <c:pt idx="0">
                  <c:v>UK</c:v>
                </c:pt>
              </c:strCache>
            </c:strRef>
          </c:tx>
          <c:spPr>
            <a:ln w="28575" cap="rnd">
              <a:solidFill>
                <a:schemeClr val="accent1"/>
              </a:solidFill>
              <a:round/>
            </a:ln>
            <a:effectLst/>
          </c:spPr>
          <c:marker>
            <c:symbol val="none"/>
          </c:marker>
          <c:cat>
            <c:strRef>
              <c:f>Graf2_TZ_študenti_VŠ!$B$21:$M$21</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extLst/>
            </c:strRef>
          </c:cat>
          <c:val>
            <c:numRef>
              <c:f>Graf2_TZ_študenti_VŠ!$B$22:$M$22</c:f>
              <c:numCache>
                <c:formatCode>#\ ##0.0</c:formatCode>
                <c:ptCount val="10"/>
                <c:pt idx="0">
                  <c:v>9.8299784327821715</c:v>
                </c:pt>
                <c:pt idx="1">
                  <c:v>9.4444838595246541</c:v>
                </c:pt>
                <c:pt idx="2">
                  <c:v>9.1944342731600148</c:v>
                </c:pt>
                <c:pt idx="3">
                  <c:v>8.7474600870827288</c:v>
                </c:pt>
                <c:pt idx="4">
                  <c:v>8.1443447037701979</c:v>
                </c:pt>
                <c:pt idx="5">
                  <c:v>7.6864583333333334</c:v>
                </c:pt>
                <c:pt idx="6">
                  <c:v>7.6185031185031189</c:v>
                </c:pt>
                <c:pt idx="7">
                  <c:v>7.9030806507442017</c:v>
                </c:pt>
                <c:pt idx="8">
                  <c:v>7.7514431239388797</c:v>
                </c:pt>
                <c:pt idx="9">
                  <c:v>7.4119579500657027</c:v>
                </c:pt>
              </c:numCache>
              <c:extLst/>
            </c:numRef>
          </c:val>
          <c:smooth val="0"/>
          <c:extLst>
            <c:ext xmlns:c16="http://schemas.microsoft.com/office/drawing/2014/chart" uri="{C3380CC4-5D6E-409C-BE32-E72D297353CC}">
              <c16:uniqueId val="{00000000-94D7-45F1-9069-0D4B6C528139}"/>
            </c:ext>
          </c:extLst>
        </c:ser>
        <c:ser>
          <c:idx val="1"/>
          <c:order val="1"/>
          <c:tx>
            <c:strRef>
              <c:f>Graf2_TZ_študenti_VŠ!$A$23</c:f>
              <c:strCache>
                <c:ptCount val="1"/>
                <c:pt idx="0">
                  <c:v>STU</c:v>
                </c:pt>
              </c:strCache>
            </c:strRef>
          </c:tx>
          <c:spPr>
            <a:ln w="53975" cap="rnd" cmpd="sng">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Graf2_TZ_študenti_VŠ!$B$21:$M$21</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extLst/>
            </c:strRef>
          </c:cat>
          <c:val>
            <c:numRef>
              <c:f>Graf2_TZ_študenti_VŠ!$B$23:$M$23</c:f>
              <c:numCache>
                <c:formatCode>#\ ##0.0</c:formatCode>
                <c:ptCount val="10"/>
                <c:pt idx="0">
                  <c:v>9.5028968713789101</c:v>
                </c:pt>
                <c:pt idx="1">
                  <c:v>9.3978035387431369</c:v>
                </c:pt>
                <c:pt idx="2">
                  <c:v>8.9231730168644603</c:v>
                </c:pt>
                <c:pt idx="3">
                  <c:v>8.5061648280337447</c:v>
                </c:pt>
                <c:pt idx="4">
                  <c:v>7.7391304347826084</c:v>
                </c:pt>
                <c:pt idx="5">
                  <c:v>7.2935779816513762</c:v>
                </c:pt>
                <c:pt idx="6">
                  <c:v>7.288180610889774</c:v>
                </c:pt>
                <c:pt idx="7">
                  <c:v>7.1568364611260051</c:v>
                </c:pt>
                <c:pt idx="8">
                  <c:v>7.0568942436412314</c:v>
                </c:pt>
                <c:pt idx="9">
                  <c:v>7.5281207133058983</c:v>
                </c:pt>
              </c:numCache>
              <c:extLst/>
            </c:numRef>
          </c:val>
          <c:smooth val="0"/>
          <c:extLst>
            <c:ext xmlns:c16="http://schemas.microsoft.com/office/drawing/2014/chart" uri="{C3380CC4-5D6E-409C-BE32-E72D297353CC}">
              <c16:uniqueId val="{00000001-94D7-45F1-9069-0D4B6C528139}"/>
            </c:ext>
          </c:extLst>
        </c:ser>
        <c:ser>
          <c:idx val="2"/>
          <c:order val="2"/>
          <c:tx>
            <c:strRef>
              <c:f>Graf2_TZ_študenti_VŠ!$A$24</c:f>
              <c:strCache>
                <c:ptCount val="1"/>
                <c:pt idx="0">
                  <c:v>TU KE</c:v>
                </c:pt>
              </c:strCache>
            </c:strRef>
          </c:tx>
          <c:spPr>
            <a:ln w="28575" cap="rnd">
              <a:solidFill>
                <a:schemeClr val="accent3"/>
              </a:solidFill>
              <a:round/>
            </a:ln>
            <a:effectLst/>
          </c:spPr>
          <c:marker>
            <c:symbol val="none"/>
          </c:marker>
          <c:cat>
            <c:strRef>
              <c:f>Graf2_TZ_študenti_VŠ!$B$21:$M$21</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extLst/>
            </c:strRef>
          </c:cat>
          <c:val>
            <c:numRef>
              <c:f>Graf2_TZ_študenti_VŠ!$B$24:$M$24</c:f>
              <c:numCache>
                <c:formatCode>#\ ##0.0</c:formatCode>
                <c:ptCount val="10"/>
                <c:pt idx="0">
                  <c:v>11.166984732824428</c:v>
                </c:pt>
                <c:pt idx="1">
                  <c:v>10.381463414634146</c:v>
                </c:pt>
                <c:pt idx="2">
                  <c:v>10.213459516298633</c:v>
                </c:pt>
                <c:pt idx="3">
                  <c:v>10.08165548098434</c:v>
                </c:pt>
                <c:pt idx="4">
                  <c:v>9.7076411960132898</c:v>
                </c:pt>
                <c:pt idx="5">
                  <c:v>9.8699891657638137</c:v>
                </c:pt>
                <c:pt idx="6">
                  <c:v>10.349611542730299</c:v>
                </c:pt>
                <c:pt idx="7">
                  <c:v>10.421404682274247</c:v>
                </c:pt>
                <c:pt idx="8">
                  <c:v>11.735618115055079</c:v>
                </c:pt>
                <c:pt idx="9">
                  <c:v>13.922126081582201</c:v>
                </c:pt>
              </c:numCache>
              <c:extLst/>
            </c:numRef>
          </c:val>
          <c:smooth val="0"/>
          <c:extLst>
            <c:ext xmlns:c16="http://schemas.microsoft.com/office/drawing/2014/chart" uri="{C3380CC4-5D6E-409C-BE32-E72D297353CC}">
              <c16:uniqueId val="{00000002-94D7-45F1-9069-0D4B6C528139}"/>
            </c:ext>
          </c:extLst>
        </c:ser>
        <c:ser>
          <c:idx val="3"/>
          <c:order val="3"/>
          <c:tx>
            <c:strRef>
              <c:f>Graf2_TZ_študenti_VŠ!$A$25</c:f>
              <c:strCache>
                <c:ptCount val="1"/>
                <c:pt idx="0">
                  <c:v>ŽU </c:v>
                </c:pt>
              </c:strCache>
            </c:strRef>
          </c:tx>
          <c:spPr>
            <a:ln w="28575" cap="rnd">
              <a:solidFill>
                <a:schemeClr val="accent4"/>
              </a:solidFill>
              <a:round/>
            </a:ln>
            <a:effectLst/>
          </c:spPr>
          <c:marker>
            <c:symbol val="none"/>
          </c:marker>
          <c:cat>
            <c:strRef>
              <c:f>Graf2_TZ_študenti_VŠ!$B$21:$M$21</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extLst/>
            </c:strRef>
          </c:cat>
          <c:val>
            <c:numRef>
              <c:f>Graf2_TZ_študenti_VŠ!$B$25:$M$25</c:f>
              <c:numCache>
                <c:formatCode>#\ ##0.0</c:formatCode>
                <c:ptCount val="10"/>
                <c:pt idx="0">
                  <c:v>12.087264150943396</c:v>
                </c:pt>
                <c:pt idx="1">
                  <c:v>10.873287671232877</c:v>
                </c:pt>
                <c:pt idx="2">
                  <c:v>10.105747126436782</c:v>
                </c:pt>
                <c:pt idx="3">
                  <c:v>10.110421836228287</c:v>
                </c:pt>
                <c:pt idx="4">
                  <c:v>9.564356435643564</c:v>
                </c:pt>
                <c:pt idx="5">
                  <c:v>9.496847414880202</c:v>
                </c:pt>
                <c:pt idx="6">
                  <c:v>9.6061776061776065</c:v>
                </c:pt>
                <c:pt idx="7">
                  <c:v>10.053777208706785</c:v>
                </c:pt>
                <c:pt idx="8">
                  <c:v>8.9348341232227479</c:v>
                </c:pt>
                <c:pt idx="9">
                  <c:v>8.4002267573696141</c:v>
                </c:pt>
              </c:numCache>
              <c:extLst/>
            </c:numRef>
          </c:val>
          <c:smooth val="0"/>
          <c:extLst>
            <c:ext xmlns:c16="http://schemas.microsoft.com/office/drawing/2014/chart" uri="{C3380CC4-5D6E-409C-BE32-E72D297353CC}">
              <c16:uniqueId val="{00000003-94D7-45F1-9069-0D4B6C528139}"/>
            </c:ext>
          </c:extLst>
        </c:ser>
        <c:ser>
          <c:idx val="4"/>
          <c:order val="4"/>
          <c:tx>
            <c:strRef>
              <c:f>Graf2_TZ_študenti_VŠ!$A$26</c:f>
              <c:strCache>
                <c:ptCount val="1"/>
                <c:pt idx="0">
                  <c:v>SPU</c:v>
                </c:pt>
              </c:strCache>
            </c:strRef>
          </c:tx>
          <c:spPr>
            <a:ln w="28575" cap="rnd">
              <a:solidFill>
                <a:schemeClr val="accent5"/>
              </a:solidFill>
              <a:round/>
            </a:ln>
            <a:effectLst/>
          </c:spPr>
          <c:marker>
            <c:symbol val="none"/>
          </c:marker>
          <c:cat>
            <c:strRef>
              <c:f>Graf2_TZ_študenti_VŠ!$B$21:$M$21</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extLst/>
            </c:strRef>
          </c:cat>
          <c:val>
            <c:numRef>
              <c:f>Graf2_TZ_študenti_VŠ!$B$26:$M$26</c:f>
              <c:numCache>
                <c:formatCode>#\ ##0.0</c:formatCode>
                <c:ptCount val="10"/>
                <c:pt idx="0">
                  <c:v>16.975471698113207</c:v>
                </c:pt>
                <c:pt idx="1">
                  <c:v>16.105751391465677</c:v>
                </c:pt>
                <c:pt idx="2">
                  <c:v>15.02367941712204</c:v>
                </c:pt>
                <c:pt idx="3">
                  <c:v>13.738574040219378</c:v>
                </c:pt>
                <c:pt idx="4">
                  <c:v>12.467532467532468</c:v>
                </c:pt>
                <c:pt idx="5">
                  <c:v>11.682242990654206</c:v>
                </c:pt>
                <c:pt idx="6">
                  <c:v>10.912045889101339</c:v>
                </c:pt>
                <c:pt idx="7">
                  <c:v>10.011472275334608</c:v>
                </c:pt>
                <c:pt idx="8">
                  <c:v>10.276371308016877</c:v>
                </c:pt>
                <c:pt idx="9">
                  <c:v>9.7618025751072963</c:v>
                </c:pt>
              </c:numCache>
              <c:extLst/>
            </c:numRef>
          </c:val>
          <c:smooth val="0"/>
          <c:extLst>
            <c:ext xmlns:c16="http://schemas.microsoft.com/office/drawing/2014/chart" uri="{C3380CC4-5D6E-409C-BE32-E72D297353CC}">
              <c16:uniqueId val="{00000004-94D7-45F1-9069-0D4B6C528139}"/>
            </c:ext>
          </c:extLst>
        </c:ser>
        <c:ser>
          <c:idx val="5"/>
          <c:order val="5"/>
          <c:tx>
            <c:strRef>
              <c:f>Graf2_TZ_študenti_VŠ!$A$27</c:f>
              <c:strCache>
                <c:ptCount val="1"/>
                <c:pt idx="0">
                  <c:v>TU ZV</c:v>
                </c:pt>
              </c:strCache>
            </c:strRef>
          </c:tx>
          <c:spPr>
            <a:ln w="28575" cap="rnd">
              <a:solidFill>
                <a:schemeClr val="accent6"/>
              </a:solidFill>
              <a:round/>
            </a:ln>
            <a:effectLst/>
          </c:spPr>
          <c:marker>
            <c:symbol val="none"/>
          </c:marker>
          <c:cat>
            <c:strRef>
              <c:f>Graf2_TZ_študenti_VŠ!$B$21:$M$21</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extLst/>
            </c:strRef>
          </c:cat>
          <c:val>
            <c:numRef>
              <c:f>Graf2_TZ_študenti_VŠ!$B$27:$M$27</c:f>
              <c:numCache>
                <c:formatCode>#\ ##0.0</c:formatCode>
                <c:ptCount val="10"/>
                <c:pt idx="0">
                  <c:v>12.832317073170731</c:v>
                </c:pt>
                <c:pt idx="1">
                  <c:v>12.498381877022654</c:v>
                </c:pt>
                <c:pt idx="2">
                  <c:v>11.121405750798722</c:v>
                </c:pt>
                <c:pt idx="3">
                  <c:v>9.7363344051446941</c:v>
                </c:pt>
                <c:pt idx="4">
                  <c:v>8.9966329966329965</c:v>
                </c:pt>
                <c:pt idx="5">
                  <c:v>8.6712802768166082</c:v>
                </c:pt>
                <c:pt idx="6">
                  <c:v>8.2027972027972034</c:v>
                </c:pt>
                <c:pt idx="7">
                  <c:v>7.5644599303135891</c:v>
                </c:pt>
                <c:pt idx="8">
                  <c:v>7.1223776223776225</c:v>
                </c:pt>
                <c:pt idx="9">
                  <c:v>6.8368794326241131</c:v>
                </c:pt>
              </c:numCache>
              <c:extLst/>
            </c:numRef>
          </c:val>
          <c:smooth val="0"/>
          <c:extLst>
            <c:ext xmlns:c16="http://schemas.microsoft.com/office/drawing/2014/chart" uri="{C3380CC4-5D6E-409C-BE32-E72D297353CC}">
              <c16:uniqueId val="{00000005-94D7-45F1-9069-0D4B6C528139}"/>
            </c:ext>
          </c:extLst>
        </c:ser>
        <c:dLbls>
          <c:showLegendKey val="0"/>
          <c:showVal val="0"/>
          <c:showCatName val="0"/>
          <c:showSerName val="0"/>
          <c:showPercent val="0"/>
          <c:showBubbleSize val="0"/>
        </c:dLbls>
        <c:smooth val="0"/>
        <c:axId val="2086702032"/>
        <c:axId val="2086705360"/>
      </c:lineChart>
      <c:catAx>
        <c:axId val="208670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380000" spcFirstLastPara="1" vertOverflow="ellipsis"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crossAx val="2086705360"/>
        <c:crosses val="autoZero"/>
        <c:auto val="1"/>
        <c:lblAlgn val="ctr"/>
        <c:lblOffset val="100"/>
        <c:noMultiLvlLbl val="0"/>
      </c:catAx>
      <c:valAx>
        <c:axId val="2086705360"/>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crossAx val="208670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8190384738493054"/>
          <c:y val="3.9268178327563505E-2"/>
          <c:w val="0.7704025645949979"/>
          <c:h val="0.87130156724162555"/>
        </c:manualLayout>
      </c:layout>
      <c:bar3DChart>
        <c:barDir val="bar"/>
        <c:grouping val="clustered"/>
        <c:varyColors val="0"/>
        <c:ser>
          <c:idx val="0"/>
          <c:order val="0"/>
          <c:spPr>
            <a:ln w="38100"/>
          </c:spPr>
          <c:invertIfNegative val="0"/>
          <c:dLbls>
            <c:dLbl>
              <c:idx val="0"/>
              <c:layout>
                <c:manualLayout>
                  <c:x val="-9.4665756632429405E-4"/>
                  <c:y val="-1.4363517060367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5C-46CA-BA19-E643703469C9}"/>
                </c:ext>
              </c:extLst>
            </c:dLbl>
            <c:dLbl>
              <c:idx val="1"/>
              <c:layout>
                <c:manualLayout>
                  <c:x val="1.0088062459423016E-3"/>
                  <c:y val="-4.746281714785227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5C-46CA-BA19-E643703469C9}"/>
                </c:ext>
              </c:extLst>
            </c:dLbl>
            <c:dLbl>
              <c:idx val="2"/>
              <c:layout>
                <c:manualLayout>
                  <c:x val="8.4433420452464589E-4"/>
                  <c:y val="-5.10425780110819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5C-46CA-BA19-E643703469C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'Tab40_Graf20_CŽV_x rokov'!$J$3:$R$3</c:f>
              <c:strCache>
                <c:ptCount val="7"/>
                <c:pt idx="0">
                  <c:v>2015/2016</c:v>
                </c:pt>
                <c:pt idx="1">
                  <c:v>2016/2017</c:v>
                </c:pt>
                <c:pt idx="2">
                  <c:v>2017/2018</c:v>
                </c:pt>
                <c:pt idx="3">
                  <c:v>2018/2019</c:v>
                </c:pt>
                <c:pt idx="4">
                  <c:v>2019/2020</c:v>
                </c:pt>
                <c:pt idx="5">
                  <c:v>2020/2021</c:v>
                </c:pt>
                <c:pt idx="6">
                  <c:v>2021/2022</c:v>
                </c:pt>
              </c:strCache>
            </c:strRef>
          </c:cat>
          <c:val>
            <c:numRef>
              <c:f>'Tab40_Graf20_CŽV_x rokov'!$J$8:$R$8</c:f>
              <c:numCache>
                <c:formatCode>#\ ##0_ ;[Red]\-#\ ##0\ </c:formatCode>
                <c:ptCount val="7"/>
                <c:pt idx="0">
                  <c:v>4084</c:v>
                </c:pt>
                <c:pt idx="1">
                  <c:v>3904</c:v>
                </c:pt>
                <c:pt idx="2">
                  <c:v>3568</c:v>
                </c:pt>
                <c:pt idx="3">
                  <c:v>4090</c:v>
                </c:pt>
                <c:pt idx="4">
                  <c:v>3917</c:v>
                </c:pt>
                <c:pt idx="5">
                  <c:v>2341</c:v>
                </c:pt>
                <c:pt idx="6">
                  <c:v>3855</c:v>
                </c:pt>
              </c:numCache>
            </c:numRef>
          </c:val>
          <c:extLst>
            <c:ext xmlns:c16="http://schemas.microsoft.com/office/drawing/2014/chart" uri="{C3380CC4-5D6E-409C-BE32-E72D297353CC}">
              <c16:uniqueId val="{00000004-D45C-46CA-BA19-E643703469C9}"/>
            </c:ext>
          </c:extLst>
        </c:ser>
        <c:dLbls>
          <c:showLegendKey val="0"/>
          <c:showVal val="0"/>
          <c:showCatName val="0"/>
          <c:showSerName val="0"/>
          <c:showPercent val="0"/>
          <c:showBubbleSize val="0"/>
        </c:dLbls>
        <c:gapWidth val="150"/>
        <c:shape val="box"/>
        <c:axId val="205717504"/>
        <c:axId val="204815104"/>
        <c:axId val="0"/>
      </c:bar3DChart>
      <c:catAx>
        <c:axId val="205717504"/>
        <c:scaling>
          <c:orientation val="minMax"/>
        </c:scaling>
        <c:delete val="0"/>
        <c:axPos val="l"/>
        <c:numFmt formatCode="General" sourceLinked="0"/>
        <c:majorTickMark val="out"/>
        <c:minorTickMark val="none"/>
        <c:tickLblPos val="nextTo"/>
        <c:crossAx val="204815104"/>
        <c:crosses val="autoZero"/>
        <c:auto val="1"/>
        <c:lblAlgn val="ctr"/>
        <c:lblOffset val="100"/>
        <c:noMultiLvlLbl val="0"/>
      </c:catAx>
      <c:valAx>
        <c:axId val="204815104"/>
        <c:scaling>
          <c:orientation val="minMax"/>
        </c:scaling>
        <c:delete val="0"/>
        <c:axPos val="b"/>
        <c:majorGridlines>
          <c:spPr>
            <a:ln>
              <a:solidFill>
                <a:schemeClr val="accent1">
                  <a:lumMod val="60000"/>
                  <a:lumOff val="40000"/>
                </a:schemeClr>
              </a:solidFill>
            </a:ln>
          </c:spPr>
        </c:majorGridlines>
        <c:numFmt formatCode="#\ ##0_ ;[Red]\-#\ ##0\ " sourceLinked="1"/>
        <c:majorTickMark val="out"/>
        <c:minorTickMark val="none"/>
        <c:tickLblPos val="nextTo"/>
        <c:crossAx val="205717504"/>
        <c:crosses val="autoZero"/>
        <c:crossBetween val="between"/>
      </c:valAx>
    </c:plotArea>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perspective val="0"/>
    </c:view3D>
    <c:floor>
      <c:thickness val="0"/>
    </c:floor>
    <c:sideWall>
      <c:thickness val="0"/>
    </c:sideWall>
    <c:backWall>
      <c:thickness val="0"/>
    </c:backWall>
    <c:plotArea>
      <c:layout/>
      <c:pie3DChart>
        <c:varyColors val="1"/>
        <c:ser>
          <c:idx val="0"/>
          <c:order val="0"/>
          <c:explosion val="25"/>
          <c:dPt>
            <c:idx val="0"/>
            <c:bubble3D val="0"/>
            <c:spPr>
              <a:solidFill>
                <a:srgbClr val="00B0F0"/>
              </a:solidFill>
            </c:spPr>
            <c:extLst>
              <c:ext xmlns:c16="http://schemas.microsoft.com/office/drawing/2014/chart" uri="{C3380CC4-5D6E-409C-BE32-E72D297353CC}">
                <c16:uniqueId val="{00000001-969D-41B5-A1DB-2E873415619B}"/>
              </c:ext>
            </c:extLst>
          </c:dPt>
          <c:dPt>
            <c:idx val="1"/>
            <c:bubble3D val="0"/>
            <c:spPr>
              <a:solidFill>
                <a:srgbClr val="C00000"/>
              </a:solidFill>
            </c:spPr>
            <c:extLst>
              <c:ext xmlns:c16="http://schemas.microsoft.com/office/drawing/2014/chart" uri="{C3380CC4-5D6E-409C-BE32-E72D297353CC}">
                <c16:uniqueId val="{00000003-969D-41B5-A1DB-2E873415619B}"/>
              </c:ext>
            </c:extLst>
          </c:dPt>
          <c:dPt>
            <c:idx val="2"/>
            <c:bubble3D val="0"/>
            <c:spPr>
              <a:solidFill>
                <a:schemeClr val="tx1"/>
              </a:solidFill>
            </c:spPr>
            <c:extLst>
              <c:ext xmlns:c16="http://schemas.microsoft.com/office/drawing/2014/chart" uri="{C3380CC4-5D6E-409C-BE32-E72D297353CC}">
                <c16:uniqueId val="{00000005-969D-41B5-A1DB-2E873415619B}"/>
              </c:ext>
            </c:extLst>
          </c:dPt>
          <c:dPt>
            <c:idx val="3"/>
            <c:bubble3D val="0"/>
            <c:spPr>
              <a:solidFill>
                <a:srgbClr val="FF0000"/>
              </a:solidFill>
            </c:spPr>
            <c:extLst>
              <c:ext xmlns:c16="http://schemas.microsoft.com/office/drawing/2014/chart" uri="{C3380CC4-5D6E-409C-BE32-E72D297353CC}">
                <c16:uniqueId val="{00000007-969D-41B5-A1DB-2E873415619B}"/>
              </c:ext>
            </c:extLst>
          </c:dPt>
          <c:dPt>
            <c:idx val="4"/>
            <c:bubble3D val="0"/>
            <c:spPr>
              <a:solidFill>
                <a:schemeClr val="tx1">
                  <a:lumMod val="50000"/>
                  <a:lumOff val="50000"/>
                </a:schemeClr>
              </a:solidFill>
            </c:spPr>
            <c:extLst>
              <c:ext xmlns:c16="http://schemas.microsoft.com/office/drawing/2014/chart" uri="{C3380CC4-5D6E-409C-BE32-E72D297353CC}">
                <c16:uniqueId val="{00000009-969D-41B5-A1DB-2E873415619B}"/>
              </c:ext>
            </c:extLst>
          </c:dPt>
          <c:dPt>
            <c:idx val="5"/>
            <c:bubble3D val="0"/>
            <c:spPr>
              <a:solidFill>
                <a:schemeClr val="accent6"/>
              </a:solidFill>
            </c:spPr>
            <c:extLst>
              <c:ext xmlns:c16="http://schemas.microsoft.com/office/drawing/2014/chart" uri="{C3380CC4-5D6E-409C-BE32-E72D297353CC}">
                <c16:uniqueId val="{0000000B-969D-41B5-A1DB-2E873415619B}"/>
              </c:ext>
            </c:extLst>
          </c:dPt>
          <c:dPt>
            <c:idx val="6"/>
            <c:bubble3D val="0"/>
            <c:spPr>
              <a:solidFill>
                <a:schemeClr val="tx2"/>
              </a:solidFill>
            </c:spPr>
            <c:extLst>
              <c:ext xmlns:c16="http://schemas.microsoft.com/office/drawing/2014/chart" uri="{C3380CC4-5D6E-409C-BE32-E72D297353CC}">
                <c16:uniqueId val="{0000000D-969D-41B5-A1DB-2E873415619B}"/>
              </c:ext>
            </c:extLst>
          </c:dPt>
          <c:dPt>
            <c:idx val="7"/>
            <c:bubble3D val="0"/>
            <c:spPr>
              <a:solidFill>
                <a:srgbClr val="7030A0"/>
              </a:solidFill>
            </c:spPr>
            <c:extLst>
              <c:ext xmlns:c16="http://schemas.microsoft.com/office/drawing/2014/chart" uri="{C3380CC4-5D6E-409C-BE32-E72D297353CC}">
                <c16:uniqueId val="{0000000F-969D-41B5-A1DB-2E873415619B}"/>
              </c:ext>
            </c:extLst>
          </c:dPt>
          <c:dLbls>
            <c:dLbl>
              <c:idx val="1"/>
              <c:layout>
                <c:manualLayout>
                  <c:x val="-8.5839866545965926E-2"/>
                  <c:y val="3.81509249142900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69D-41B5-A1DB-2E873415619B}"/>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k-SK"/>
              </a:p>
            </c:txPr>
            <c:showLegendKey val="0"/>
            <c:showVal val="0"/>
            <c:showCatName val="1"/>
            <c:showSerName val="0"/>
            <c:showPercent val="1"/>
            <c:showBubbleSize val="0"/>
            <c:showLeaderLines val="1"/>
            <c:extLst>
              <c:ext xmlns:c15="http://schemas.microsoft.com/office/drawing/2012/chart" uri="{CE6537A1-D6FC-4f65-9D91-7224C49458BB}"/>
            </c:extLst>
          </c:dLbls>
          <c:cat>
            <c:strRef>
              <c:f>'graf 5.1.aDomaceProjekty'!$R$82:$R$90</c:f>
              <c:strCache>
                <c:ptCount val="9"/>
                <c:pt idx="0">
                  <c:v>UK</c:v>
                </c:pt>
                <c:pt idx="1">
                  <c:v>STU</c:v>
                </c:pt>
                <c:pt idx="2">
                  <c:v>TUKE</c:v>
                </c:pt>
                <c:pt idx="3">
                  <c:v>ŽU</c:v>
                </c:pt>
                <c:pt idx="4">
                  <c:v>UPJŠ</c:v>
                </c:pt>
                <c:pt idx="5">
                  <c:v>SPU</c:v>
                </c:pt>
                <c:pt idx="6">
                  <c:v>TUZVO</c:v>
                </c:pt>
                <c:pt idx="7">
                  <c:v>Ostatní</c:v>
                </c:pt>
                <c:pt idx="8">
                  <c:v>PU</c:v>
                </c:pt>
              </c:strCache>
            </c:strRef>
          </c:cat>
          <c:val>
            <c:numRef>
              <c:f>'graf 5.1.aDomaceProjekty'!$S$82:$S$90</c:f>
              <c:numCache>
                <c:formatCode>General</c:formatCode>
                <c:ptCount val="9"/>
                <c:pt idx="0">
                  <c:v>25.73</c:v>
                </c:pt>
                <c:pt idx="1">
                  <c:v>17.989999999999998</c:v>
                </c:pt>
                <c:pt idx="2">
                  <c:v>10.63</c:v>
                </c:pt>
                <c:pt idx="3">
                  <c:v>9.0299999999999994</c:v>
                </c:pt>
                <c:pt idx="4">
                  <c:v>8.3699999999999992</c:v>
                </c:pt>
                <c:pt idx="5">
                  <c:v>4.88</c:v>
                </c:pt>
                <c:pt idx="6">
                  <c:v>4.13</c:v>
                </c:pt>
                <c:pt idx="7">
                  <c:v>19.240000000000009</c:v>
                </c:pt>
              </c:numCache>
            </c:numRef>
          </c:val>
          <c:extLst>
            <c:ext xmlns:c16="http://schemas.microsoft.com/office/drawing/2014/chart" uri="{C3380CC4-5D6E-409C-BE32-E72D297353CC}">
              <c16:uniqueId val="{00000010-969D-41B5-A1DB-2E873415619B}"/>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'graf.5.3a.domace granty'!$B$30</c:f>
              <c:strCache>
                <c:ptCount val="1"/>
                <c:pt idx="0">
                  <c:v>UK Bratislava</c:v>
                </c:pt>
              </c:strCache>
            </c:strRef>
          </c:tx>
          <c:spPr>
            <a:ln>
              <a:solidFill>
                <a:srgbClr val="00B0F0"/>
              </a:solidFill>
            </a:ln>
          </c:spPr>
          <c:marker>
            <c:spPr>
              <a:solidFill>
                <a:srgbClr val="00B0F0"/>
              </a:solidFill>
            </c:spPr>
          </c:marker>
          <c:cat>
            <c:numRef>
              <c:f>'graf.5.3a.domace granty'!$D$29:$K$29</c:f>
              <c:numCache>
                <c:formatCode>0</c:formatCode>
                <c:ptCount val="8"/>
                <c:pt idx="0">
                  <c:v>2014</c:v>
                </c:pt>
                <c:pt idx="1">
                  <c:v>2015</c:v>
                </c:pt>
                <c:pt idx="2">
                  <c:v>2016</c:v>
                </c:pt>
                <c:pt idx="3">
                  <c:v>2017</c:v>
                </c:pt>
                <c:pt idx="4">
                  <c:v>2018</c:v>
                </c:pt>
                <c:pt idx="5">
                  <c:v>2019</c:v>
                </c:pt>
                <c:pt idx="6">
                  <c:v>2020</c:v>
                </c:pt>
                <c:pt idx="7">
                  <c:v>2021</c:v>
                </c:pt>
              </c:numCache>
            </c:numRef>
          </c:cat>
          <c:val>
            <c:numRef>
              <c:f>'graf.5.3a.domace granty'!$D$30:$K$30</c:f>
              <c:numCache>
                <c:formatCode>#,##0</c:formatCode>
                <c:ptCount val="8"/>
                <c:pt idx="0">
                  <c:v>7139989</c:v>
                </c:pt>
                <c:pt idx="1">
                  <c:v>7737189</c:v>
                </c:pt>
                <c:pt idx="2">
                  <c:v>7626962</c:v>
                </c:pt>
                <c:pt idx="3">
                  <c:v>8762540.4800000004</c:v>
                </c:pt>
                <c:pt idx="4">
                  <c:v>9489195.4199999999</c:v>
                </c:pt>
                <c:pt idx="5">
                  <c:v>11631774.109999999</c:v>
                </c:pt>
                <c:pt idx="6">
                  <c:v>11581123</c:v>
                </c:pt>
                <c:pt idx="7">
                  <c:v>11502972.470000001</c:v>
                </c:pt>
              </c:numCache>
            </c:numRef>
          </c:val>
          <c:smooth val="0"/>
          <c:extLst>
            <c:ext xmlns:c16="http://schemas.microsoft.com/office/drawing/2014/chart" uri="{C3380CC4-5D6E-409C-BE32-E72D297353CC}">
              <c16:uniqueId val="{00000000-FA31-497E-B3C7-2A6B2B8A4621}"/>
            </c:ext>
          </c:extLst>
        </c:ser>
        <c:ser>
          <c:idx val="1"/>
          <c:order val="1"/>
          <c:tx>
            <c:strRef>
              <c:f>'graf.5.3a.domace granty'!$B$31</c:f>
              <c:strCache>
                <c:ptCount val="1"/>
                <c:pt idx="0">
                  <c:v>UPJŠ Košice</c:v>
                </c:pt>
              </c:strCache>
            </c:strRef>
          </c:tx>
          <c:spPr>
            <a:ln>
              <a:solidFill>
                <a:schemeClr val="tx1">
                  <a:lumMod val="50000"/>
                  <a:lumOff val="50000"/>
                </a:schemeClr>
              </a:solidFill>
            </a:ln>
          </c:spPr>
          <c:marker>
            <c:spPr>
              <a:solidFill>
                <a:schemeClr val="tx1">
                  <a:lumMod val="50000"/>
                  <a:lumOff val="50000"/>
                </a:schemeClr>
              </a:solidFill>
            </c:spPr>
          </c:marker>
          <c:cat>
            <c:numRef>
              <c:f>'graf.5.3a.domace granty'!$D$29:$K$29</c:f>
              <c:numCache>
                <c:formatCode>0</c:formatCode>
                <c:ptCount val="8"/>
                <c:pt idx="0">
                  <c:v>2014</c:v>
                </c:pt>
                <c:pt idx="1">
                  <c:v>2015</c:v>
                </c:pt>
                <c:pt idx="2">
                  <c:v>2016</c:v>
                </c:pt>
                <c:pt idx="3">
                  <c:v>2017</c:v>
                </c:pt>
                <c:pt idx="4">
                  <c:v>2018</c:v>
                </c:pt>
                <c:pt idx="5">
                  <c:v>2019</c:v>
                </c:pt>
                <c:pt idx="6">
                  <c:v>2020</c:v>
                </c:pt>
                <c:pt idx="7">
                  <c:v>2021</c:v>
                </c:pt>
              </c:numCache>
            </c:numRef>
          </c:cat>
          <c:val>
            <c:numRef>
              <c:f>'graf.5.3a.domace granty'!$D$31:$K$31</c:f>
              <c:numCache>
                <c:formatCode>#,##0</c:formatCode>
                <c:ptCount val="8"/>
                <c:pt idx="0">
                  <c:v>1944418</c:v>
                </c:pt>
                <c:pt idx="1">
                  <c:v>2014771</c:v>
                </c:pt>
                <c:pt idx="2">
                  <c:v>1989268</c:v>
                </c:pt>
                <c:pt idx="3">
                  <c:v>2635366</c:v>
                </c:pt>
                <c:pt idx="4">
                  <c:v>3058504</c:v>
                </c:pt>
                <c:pt idx="5">
                  <c:v>3184301.2</c:v>
                </c:pt>
                <c:pt idx="6">
                  <c:v>3615449</c:v>
                </c:pt>
                <c:pt idx="7">
                  <c:v>3893636.26</c:v>
                </c:pt>
              </c:numCache>
            </c:numRef>
          </c:val>
          <c:smooth val="0"/>
          <c:extLst>
            <c:ext xmlns:c16="http://schemas.microsoft.com/office/drawing/2014/chart" uri="{C3380CC4-5D6E-409C-BE32-E72D297353CC}">
              <c16:uniqueId val="{00000001-FA31-497E-B3C7-2A6B2B8A4621}"/>
            </c:ext>
          </c:extLst>
        </c:ser>
        <c:ser>
          <c:idx val="2"/>
          <c:order val="2"/>
          <c:tx>
            <c:strRef>
              <c:f>'graf.5.3a.domace granty'!$B$32</c:f>
              <c:strCache>
                <c:ptCount val="1"/>
                <c:pt idx="0">
                  <c:v>STU Bratislava</c:v>
                </c:pt>
              </c:strCache>
            </c:strRef>
          </c:tx>
          <c:spPr>
            <a:ln>
              <a:solidFill>
                <a:srgbClr val="971D32"/>
              </a:solidFill>
            </a:ln>
          </c:spPr>
          <c:marker>
            <c:spPr>
              <a:solidFill>
                <a:srgbClr val="971D32"/>
              </a:solidFill>
              <a:ln>
                <a:solidFill>
                  <a:srgbClr val="C00000"/>
                </a:solidFill>
              </a:ln>
            </c:spPr>
          </c:marker>
          <c:cat>
            <c:numRef>
              <c:f>'graf.5.3a.domace granty'!$D$29:$K$29</c:f>
              <c:numCache>
                <c:formatCode>0</c:formatCode>
                <c:ptCount val="8"/>
                <c:pt idx="0">
                  <c:v>2014</c:v>
                </c:pt>
                <c:pt idx="1">
                  <c:v>2015</c:v>
                </c:pt>
                <c:pt idx="2">
                  <c:v>2016</c:v>
                </c:pt>
                <c:pt idx="3">
                  <c:v>2017</c:v>
                </c:pt>
                <c:pt idx="4">
                  <c:v>2018</c:v>
                </c:pt>
                <c:pt idx="5">
                  <c:v>2019</c:v>
                </c:pt>
                <c:pt idx="6">
                  <c:v>2020</c:v>
                </c:pt>
                <c:pt idx="7">
                  <c:v>2021</c:v>
                </c:pt>
              </c:numCache>
            </c:numRef>
          </c:cat>
          <c:val>
            <c:numRef>
              <c:f>'graf.5.3a.domace granty'!$D$32:$K$32</c:f>
              <c:numCache>
                <c:formatCode>#,##0</c:formatCode>
                <c:ptCount val="8"/>
                <c:pt idx="0">
                  <c:v>6142930</c:v>
                </c:pt>
                <c:pt idx="1">
                  <c:v>5237268</c:v>
                </c:pt>
                <c:pt idx="2">
                  <c:v>5586700</c:v>
                </c:pt>
                <c:pt idx="3">
                  <c:v>6306333.6699999999</c:v>
                </c:pt>
                <c:pt idx="4">
                  <c:v>6893967</c:v>
                </c:pt>
                <c:pt idx="5">
                  <c:v>7960674.2800000003</c:v>
                </c:pt>
                <c:pt idx="6">
                  <c:v>8077306.71</c:v>
                </c:pt>
                <c:pt idx="7">
                  <c:v>8062606.7999999998</c:v>
                </c:pt>
              </c:numCache>
            </c:numRef>
          </c:val>
          <c:smooth val="0"/>
          <c:extLst>
            <c:ext xmlns:c16="http://schemas.microsoft.com/office/drawing/2014/chart" uri="{C3380CC4-5D6E-409C-BE32-E72D297353CC}">
              <c16:uniqueId val="{00000002-FA31-497E-B3C7-2A6B2B8A4621}"/>
            </c:ext>
          </c:extLst>
        </c:ser>
        <c:ser>
          <c:idx val="3"/>
          <c:order val="3"/>
          <c:tx>
            <c:strRef>
              <c:f>'graf.5.3a.domace granty'!$B$33</c:f>
              <c:strCache>
                <c:ptCount val="1"/>
                <c:pt idx="0">
                  <c:v>TU Košice</c:v>
                </c:pt>
              </c:strCache>
            </c:strRef>
          </c:tx>
          <c:spPr>
            <a:ln>
              <a:solidFill>
                <a:schemeClr val="tx1"/>
              </a:solidFill>
            </a:ln>
          </c:spPr>
          <c:marker>
            <c:spPr>
              <a:solidFill>
                <a:schemeClr val="tx1"/>
              </a:solidFill>
            </c:spPr>
          </c:marker>
          <c:cat>
            <c:numRef>
              <c:f>'graf.5.3a.domace granty'!$D$29:$K$29</c:f>
              <c:numCache>
                <c:formatCode>0</c:formatCode>
                <c:ptCount val="8"/>
                <c:pt idx="0">
                  <c:v>2014</c:v>
                </c:pt>
                <c:pt idx="1">
                  <c:v>2015</c:v>
                </c:pt>
                <c:pt idx="2">
                  <c:v>2016</c:v>
                </c:pt>
                <c:pt idx="3">
                  <c:v>2017</c:v>
                </c:pt>
                <c:pt idx="4">
                  <c:v>2018</c:v>
                </c:pt>
                <c:pt idx="5">
                  <c:v>2019</c:v>
                </c:pt>
                <c:pt idx="6">
                  <c:v>2020</c:v>
                </c:pt>
                <c:pt idx="7">
                  <c:v>2021</c:v>
                </c:pt>
              </c:numCache>
            </c:numRef>
          </c:cat>
          <c:val>
            <c:numRef>
              <c:f>'graf.5.3a.domace granty'!$D$33:$K$33</c:f>
              <c:numCache>
                <c:formatCode>#,##0</c:formatCode>
                <c:ptCount val="8"/>
                <c:pt idx="0">
                  <c:v>2595115</c:v>
                </c:pt>
                <c:pt idx="1">
                  <c:v>2542121</c:v>
                </c:pt>
                <c:pt idx="2">
                  <c:v>2919875</c:v>
                </c:pt>
                <c:pt idx="3">
                  <c:v>3604553.14</c:v>
                </c:pt>
                <c:pt idx="4">
                  <c:v>3903829.72</c:v>
                </c:pt>
                <c:pt idx="5">
                  <c:v>4506295.05</c:v>
                </c:pt>
                <c:pt idx="6">
                  <c:v>4553351</c:v>
                </c:pt>
                <c:pt idx="7">
                  <c:v>4984854.4000000004</c:v>
                </c:pt>
              </c:numCache>
            </c:numRef>
          </c:val>
          <c:smooth val="0"/>
          <c:extLst>
            <c:ext xmlns:c16="http://schemas.microsoft.com/office/drawing/2014/chart" uri="{C3380CC4-5D6E-409C-BE32-E72D297353CC}">
              <c16:uniqueId val="{00000003-FA31-497E-B3C7-2A6B2B8A4621}"/>
            </c:ext>
          </c:extLst>
        </c:ser>
        <c:ser>
          <c:idx val="4"/>
          <c:order val="4"/>
          <c:tx>
            <c:strRef>
              <c:f>'graf.5.3a.domace granty'!$B$34</c:f>
              <c:strCache>
                <c:ptCount val="1"/>
                <c:pt idx="0">
                  <c:v>ŽU Žilina</c:v>
                </c:pt>
              </c:strCache>
            </c:strRef>
          </c:tx>
          <c:spPr>
            <a:ln>
              <a:solidFill>
                <a:srgbClr val="FF0000"/>
              </a:solidFill>
            </a:ln>
          </c:spPr>
          <c:marker>
            <c:spPr>
              <a:solidFill>
                <a:srgbClr val="FF0000"/>
              </a:solidFill>
            </c:spPr>
          </c:marker>
          <c:cat>
            <c:numRef>
              <c:f>'graf.5.3a.domace granty'!$D$29:$K$29</c:f>
              <c:numCache>
                <c:formatCode>0</c:formatCode>
                <c:ptCount val="8"/>
                <c:pt idx="0">
                  <c:v>2014</c:v>
                </c:pt>
                <c:pt idx="1">
                  <c:v>2015</c:v>
                </c:pt>
                <c:pt idx="2">
                  <c:v>2016</c:v>
                </c:pt>
                <c:pt idx="3">
                  <c:v>2017</c:v>
                </c:pt>
                <c:pt idx="4">
                  <c:v>2018</c:v>
                </c:pt>
                <c:pt idx="5">
                  <c:v>2019</c:v>
                </c:pt>
                <c:pt idx="6">
                  <c:v>2020</c:v>
                </c:pt>
                <c:pt idx="7">
                  <c:v>2021</c:v>
                </c:pt>
              </c:numCache>
            </c:numRef>
          </c:cat>
          <c:val>
            <c:numRef>
              <c:f>'graf.5.3a.domace granty'!$D$34:$K$34</c:f>
              <c:numCache>
                <c:formatCode>#,##0</c:formatCode>
                <c:ptCount val="8"/>
                <c:pt idx="0">
                  <c:v>2234895</c:v>
                </c:pt>
                <c:pt idx="1">
                  <c:v>2127693</c:v>
                </c:pt>
                <c:pt idx="2">
                  <c:v>2573267</c:v>
                </c:pt>
                <c:pt idx="3">
                  <c:v>3316295.98</c:v>
                </c:pt>
                <c:pt idx="4">
                  <c:v>3283846.25</c:v>
                </c:pt>
                <c:pt idx="5">
                  <c:v>3627859.24</c:v>
                </c:pt>
                <c:pt idx="6">
                  <c:v>3928894</c:v>
                </c:pt>
                <c:pt idx="7">
                  <c:v>4175655</c:v>
                </c:pt>
              </c:numCache>
            </c:numRef>
          </c:val>
          <c:smooth val="0"/>
          <c:extLst>
            <c:ext xmlns:c16="http://schemas.microsoft.com/office/drawing/2014/chart" uri="{C3380CC4-5D6E-409C-BE32-E72D297353CC}">
              <c16:uniqueId val="{00000004-FA31-497E-B3C7-2A6B2B8A4621}"/>
            </c:ext>
          </c:extLst>
        </c:ser>
        <c:ser>
          <c:idx val="5"/>
          <c:order val="5"/>
          <c:tx>
            <c:strRef>
              <c:f>'graf.5.3a.domace granty'!$B$35</c:f>
              <c:strCache>
                <c:ptCount val="1"/>
                <c:pt idx="0">
                  <c:v>SPU Nitra</c:v>
                </c:pt>
              </c:strCache>
            </c:strRef>
          </c:tx>
          <c:cat>
            <c:numRef>
              <c:f>'graf.5.3a.domace granty'!$D$29:$K$29</c:f>
              <c:numCache>
                <c:formatCode>0</c:formatCode>
                <c:ptCount val="8"/>
                <c:pt idx="0">
                  <c:v>2014</c:v>
                </c:pt>
                <c:pt idx="1">
                  <c:v>2015</c:v>
                </c:pt>
                <c:pt idx="2">
                  <c:v>2016</c:v>
                </c:pt>
                <c:pt idx="3">
                  <c:v>2017</c:v>
                </c:pt>
                <c:pt idx="4">
                  <c:v>2018</c:v>
                </c:pt>
                <c:pt idx="5">
                  <c:v>2019</c:v>
                </c:pt>
                <c:pt idx="6">
                  <c:v>2020</c:v>
                </c:pt>
                <c:pt idx="7">
                  <c:v>2021</c:v>
                </c:pt>
              </c:numCache>
            </c:numRef>
          </c:cat>
          <c:val>
            <c:numRef>
              <c:f>'graf.5.3a.domace granty'!$D$35:$K$35</c:f>
              <c:numCache>
                <c:formatCode>#,##0</c:formatCode>
                <c:ptCount val="8"/>
                <c:pt idx="0">
                  <c:v>1142264</c:v>
                </c:pt>
                <c:pt idx="1">
                  <c:v>1155522</c:v>
                </c:pt>
                <c:pt idx="2">
                  <c:v>1156910</c:v>
                </c:pt>
                <c:pt idx="3">
                  <c:v>1522282.2</c:v>
                </c:pt>
                <c:pt idx="4">
                  <c:v>1895569.8</c:v>
                </c:pt>
                <c:pt idx="5">
                  <c:v>2010868</c:v>
                </c:pt>
                <c:pt idx="6">
                  <c:v>2017304</c:v>
                </c:pt>
                <c:pt idx="7">
                  <c:v>2365212</c:v>
                </c:pt>
              </c:numCache>
            </c:numRef>
          </c:val>
          <c:smooth val="0"/>
          <c:extLst>
            <c:ext xmlns:c16="http://schemas.microsoft.com/office/drawing/2014/chart" uri="{C3380CC4-5D6E-409C-BE32-E72D297353CC}">
              <c16:uniqueId val="{00000005-FA31-497E-B3C7-2A6B2B8A4621}"/>
            </c:ext>
          </c:extLst>
        </c:ser>
        <c:ser>
          <c:idx val="6"/>
          <c:order val="6"/>
          <c:tx>
            <c:strRef>
              <c:f>'graf.5.3a.domace granty'!$B$36</c:f>
              <c:strCache>
                <c:ptCount val="1"/>
                <c:pt idx="0">
                  <c:v>TU Zvolen</c:v>
                </c:pt>
              </c:strCache>
            </c:strRef>
          </c:tx>
          <c:spPr>
            <a:ln>
              <a:solidFill>
                <a:schemeClr val="tx2"/>
              </a:solidFill>
            </a:ln>
          </c:spPr>
          <c:marker>
            <c:spPr>
              <a:solidFill>
                <a:schemeClr val="tx2"/>
              </a:solidFill>
            </c:spPr>
          </c:marker>
          <c:cat>
            <c:numRef>
              <c:f>'graf.5.3a.domace granty'!$D$29:$K$29</c:f>
              <c:numCache>
                <c:formatCode>0</c:formatCode>
                <c:ptCount val="8"/>
                <c:pt idx="0">
                  <c:v>2014</c:v>
                </c:pt>
                <c:pt idx="1">
                  <c:v>2015</c:v>
                </c:pt>
                <c:pt idx="2">
                  <c:v>2016</c:v>
                </c:pt>
                <c:pt idx="3">
                  <c:v>2017</c:v>
                </c:pt>
                <c:pt idx="4">
                  <c:v>2018</c:v>
                </c:pt>
                <c:pt idx="5">
                  <c:v>2019</c:v>
                </c:pt>
                <c:pt idx="6">
                  <c:v>2020</c:v>
                </c:pt>
                <c:pt idx="7">
                  <c:v>2021</c:v>
                </c:pt>
              </c:numCache>
            </c:numRef>
          </c:cat>
          <c:val>
            <c:numRef>
              <c:f>'graf.5.3a.domace granty'!$D$36:$K$36</c:f>
              <c:numCache>
                <c:formatCode>#,##0</c:formatCode>
                <c:ptCount val="8"/>
                <c:pt idx="0">
                  <c:v>1537006</c:v>
                </c:pt>
                <c:pt idx="1">
                  <c:v>1492887</c:v>
                </c:pt>
                <c:pt idx="2">
                  <c:v>1032442</c:v>
                </c:pt>
                <c:pt idx="3">
                  <c:v>1319964</c:v>
                </c:pt>
                <c:pt idx="4">
                  <c:v>1464846</c:v>
                </c:pt>
                <c:pt idx="5">
                  <c:v>1740872.4300000002</c:v>
                </c:pt>
                <c:pt idx="6">
                  <c:v>1745430</c:v>
                </c:pt>
                <c:pt idx="7">
                  <c:v>1956438</c:v>
                </c:pt>
              </c:numCache>
            </c:numRef>
          </c:val>
          <c:smooth val="0"/>
          <c:extLst>
            <c:ext xmlns:c16="http://schemas.microsoft.com/office/drawing/2014/chart" uri="{C3380CC4-5D6E-409C-BE32-E72D297353CC}">
              <c16:uniqueId val="{00000006-FA31-497E-B3C7-2A6B2B8A4621}"/>
            </c:ext>
          </c:extLst>
        </c:ser>
        <c:ser>
          <c:idx val="7"/>
          <c:order val="7"/>
          <c:tx>
            <c:strRef>
              <c:f>'graf.5.3a.domace granty'!$B$37</c:f>
              <c:strCache>
                <c:ptCount val="1"/>
                <c:pt idx="0">
                  <c:v>ostatné</c:v>
                </c:pt>
              </c:strCache>
            </c:strRef>
          </c:tx>
          <c:spPr>
            <a:ln>
              <a:solidFill>
                <a:srgbClr val="7030A0"/>
              </a:solidFill>
            </a:ln>
          </c:spPr>
          <c:marker>
            <c:spPr>
              <a:solidFill>
                <a:srgbClr val="7030A0"/>
              </a:solidFill>
              <a:ln>
                <a:solidFill>
                  <a:srgbClr val="92D050"/>
                </a:solidFill>
              </a:ln>
            </c:spPr>
          </c:marker>
          <c:cat>
            <c:numRef>
              <c:f>'graf.5.3a.domace granty'!$D$29:$K$29</c:f>
              <c:numCache>
                <c:formatCode>0</c:formatCode>
                <c:ptCount val="8"/>
                <c:pt idx="0">
                  <c:v>2014</c:v>
                </c:pt>
                <c:pt idx="1">
                  <c:v>2015</c:v>
                </c:pt>
                <c:pt idx="2">
                  <c:v>2016</c:v>
                </c:pt>
                <c:pt idx="3">
                  <c:v>2017</c:v>
                </c:pt>
                <c:pt idx="4">
                  <c:v>2018</c:v>
                </c:pt>
                <c:pt idx="5">
                  <c:v>2019</c:v>
                </c:pt>
                <c:pt idx="6">
                  <c:v>2020</c:v>
                </c:pt>
                <c:pt idx="7">
                  <c:v>2021</c:v>
                </c:pt>
              </c:numCache>
            </c:numRef>
          </c:cat>
          <c:val>
            <c:numRef>
              <c:f>'graf.5.3a.domace granty'!$D$37:$K$37</c:f>
              <c:numCache>
                <c:formatCode>#,##0</c:formatCode>
                <c:ptCount val="8"/>
                <c:pt idx="0">
                  <c:v>4921893</c:v>
                </c:pt>
                <c:pt idx="1">
                  <c:v>5157521</c:v>
                </c:pt>
                <c:pt idx="2">
                  <c:v>5500644</c:v>
                </c:pt>
                <c:pt idx="3">
                  <c:v>6907075.54</c:v>
                </c:pt>
                <c:pt idx="4">
                  <c:v>7418264.1300000008</c:v>
                </c:pt>
                <c:pt idx="5">
                  <c:v>8169062.2400000002</c:v>
                </c:pt>
                <c:pt idx="6">
                  <c:v>8360664</c:v>
                </c:pt>
                <c:pt idx="7">
                  <c:v>8899548</c:v>
                </c:pt>
              </c:numCache>
            </c:numRef>
          </c:val>
          <c:smooth val="0"/>
          <c:extLst>
            <c:ext xmlns:c16="http://schemas.microsoft.com/office/drawing/2014/chart" uri="{C3380CC4-5D6E-409C-BE32-E72D297353CC}">
              <c16:uniqueId val="{00000007-FA31-497E-B3C7-2A6B2B8A4621}"/>
            </c:ext>
          </c:extLst>
        </c:ser>
        <c:dLbls>
          <c:showLegendKey val="0"/>
          <c:showVal val="0"/>
          <c:showCatName val="0"/>
          <c:showSerName val="0"/>
          <c:showPercent val="0"/>
          <c:showBubbleSize val="0"/>
        </c:dLbls>
        <c:marker val="1"/>
        <c:smooth val="0"/>
        <c:axId val="162860032"/>
        <c:axId val="162832960"/>
      </c:lineChart>
      <c:catAx>
        <c:axId val="162860032"/>
        <c:scaling>
          <c:orientation val="minMax"/>
        </c:scaling>
        <c:delete val="0"/>
        <c:axPos val="b"/>
        <c:numFmt formatCode="0" sourceLinked="1"/>
        <c:majorTickMark val="none"/>
        <c:minorTickMark val="none"/>
        <c:tickLblPos val="nextTo"/>
        <c:crossAx val="162832960"/>
        <c:crosses val="autoZero"/>
        <c:auto val="1"/>
        <c:lblAlgn val="ctr"/>
        <c:lblOffset val="100"/>
        <c:noMultiLvlLbl val="0"/>
      </c:catAx>
      <c:valAx>
        <c:axId val="162832960"/>
        <c:scaling>
          <c:orientation val="minMax"/>
        </c:scaling>
        <c:delete val="0"/>
        <c:axPos val="l"/>
        <c:majorGridlines/>
        <c:title>
          <c:tx>
            <c:rich>
              <a:bodyPr/>
              <a:lstStyle/>
              <a:p>
                <a:pPr>
                  <a:defRPr/>
                </a:pPr>
                <a:r>
                  <a:rPr lang="sk-SK"/>
                  <a:t>EUR</a:t>
                </a:r>
              </a:p>
            </c:rich>
          </c:tx>
          <c:overlay val="0"/>
        </c:title>
        <c:numFmt formatCode="#,##0" sourceLinked="1"/>
        <c:majorTickMark val="none"/>
        <c:minorTickMark val="none"/>
        <c:tickLblPos val="nextTo"/>
        <c:crossAx val="162860032"/>
        <c:crosses val="autoZero"/>
        <c:crossBetween val="between"/>
      </c:valAx>
    </c:plotArea>
    <c:legend>
      <c:legendPos val="r"/>
      <c:overlay val="0"/>
    </c:legend>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0D16-4D71-9C14-68528D013E7B}"/>
              </c:ext>
            </c:extLst>
          </c:dPt>
          <c:dPt>
            <c:idx val="2"/>
            <c:invertIfNegative val="0"/>
            <c:bubble3D val="0"/>
            <c:spPr>
              <a:solidFill>
                <a:srgbClr val="C00000"/>
              </a:solidFill>
              <a:ln>
                <a:noFill/>
              </a:ln>
              <a:effectLst/>
            </c:spPr>
            <c:extLst>
              <c:ext xmlns:c16="http://schemas.microsoft.com/office/drawing/2014/chart" uri="{C3380CC4-5D6E-409C-BE32-E72D297353CC}">
                <c16:uniqueId val="{00000003-0D16-4D71-9C14-68528D013E7B}"/>
              </c:ext>
            </c:extLst>
          </c:dPt>
          <c:dPt>
            <c:idx val="3"/>
            <c:invertIfNegative val="0"/>
            <c:bubble3D val="0"/>
            <c:spPr>
              <a:solidFill>
                <a:schemeClr val="tx1"/>
              </a:solidFill>
              <a:ln>
                <a:noFill/>
              </a:ln>
              <a:effectLst/>
            </c:spPr>
            <c:extLst>
              <c:ext xmlns:c16="http://schemas.microsoft.com/office/drawing/2014/chart" uri="{C3380CC4-5D6E-409C-BE32-E72D297353CC}">
                <c16:uniqueId val="{00000005-0D16-4D71-9C14-68528D013E7B}"/>
              </c:ext>
            </c:extLst>
          </c:dPt>
          <c:dPt>
            <c:idx val="4"/>
            <c:invertIfNegative val="0"/>
            <c:bubble3D val="0"/>
            <c:spPr>
              <a:solidFill>
                <a:srgbClr val="FF0000"/>
              </a:solidFill>
              <a:ln>
                <a:noFill/>
              </a:ln>
              <a:effectLst/>
            </c:spPr>
            <c:extLst>
              <c:ext xmlns:c16="http://schemas.microsoft.com/office/drawing/2014/chart" uri="{C3380CC4-5D6E-409C-BE32-E72D297353CC}">
                <c16:uniqueId val="{00000007-0D16-4D71-9C14-68528D013E7B}"/>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9-0D16-4D71-9C14-68528D013E7B}"/>
              </c:ext>
            </c:extLst>
          </c:dPt>
          <c:dPt>
            <c:idx val="6"/>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B-0D16-4D71-9C14-68528D013E7B}"/>
              </c:ext>
            </c:extLst>
          </c:dPt>
          <c:dPt>
            <c:idx val="7"/>
            <c:invertIfNegative val="0"/>
            <c:bubble3D val="0"/>
            <c:spPr>
              <a:solidFill>
                <a:srgbClr val="00B0F0"/>
              </a:solidFill>
              <a:ln>
                <a:noFill/>
              </a:ln>
              <a:effectLst/>
            </c:spPr>
            <c:extLst>
              <c:ext xmlns:c16="http://schemas.microsoft.com/office/drawing/2014/chart" uri="{C3380CC4-5D6E-409C-BE32-E72D297353CC}">
                <c16:uniqueId val="{0000000D-0D16-4D71-9C14-68528D013E7B}"/>
              </c:ext>
            </c:extLst>
          </c:dPt>
          <c:dPt>
            <c:idx val="8"/>
            <c:invertIfNegative val="0"/>
            <c:bubble3D val="0"/>
            <c:spPr>
              <a:solidFill>
                <a:srgbClr val="FFFF00"/>
              </a:solidFill>
              <a:ln>
                <a:noFill/>
              </a:ln>
              <a:effectLst/>
            </c:spPr>
            <c:extLst>
              <c:ext xmlns:c16="http://schemas.microsoft.com/office/drawing/2014/chart" uri="{C3380CC4-5D6E-409C-BE32-E72D297353CC}">
                <c16:uniqueId val="{0000000F-0D16-4D71-9C14-68528D013E7B}"/>
              </c:ext>
            </c:extLst>
          </c:dPt>
          <c:dPt>
            <c:idx val="9"/>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11-0D16-4D71-9C14-68528D013E7B}"/>
              </c:ext>
            </c:extLst>
          </c:dPt>
          <c:dPt>
            <c:idx val="10"/>
            <c:invertIfNegative val="0"/>
            <c:bubble3D val="0"/>
            <c:spPr>
              <a:solidFill>
                <a:schemeClr val="bg1">
                  <a:lumMod val="75000"/>
                </a:schemeClr>
              </a:solidFill>
              <a:ln>
                <a:noFill/>
              </a:ln>
              <a:effectLst/>
            </c:spPr>
            <c:extLst>
              <c:ext xmlns:c16="http://schemas.microsoft.com/office/drawing/2014/chart" uri="{C3380CC4-5D6E-409C-BE32-E72D297353CC}">
                <c16:uniqueId val="{00000013-0D16-4D71-9C14-68528D013E7B}"/>
              </c:ext>
            </c:extLst>
          </c:dPt>
          <c:dPt>
            <c:idx val="12"/>
            <c:invertIfNegative val="0"/>
            <c:bubble3D val="0"/>
            <c:spPr>
              <a:solidFill>
                <a:schemeClr val="accent2">
                  <a:lumMod val="75000"/>
                </a:schemeClr>
              </a:solidFill>
              <a:ln>
                <a:noFill/>
              </a:ln>
              <a:effectLst/>
            </c:spPr>
            <c:extLst>
              <c:ext xmlns:c16="http://schemas.microsoft.com/office/drawing/2014/chart" uri="{C3380CC4-5D6E-409C-BE32-E72D297353CC}">
                <c16:uniqueId val="{00000015-0D16-4D71-9C14-68528D013E7B}"/>
              </c:ext>
            </c:extLst>
          </c:dPt>
          <c:dPt>
            <c:idx val="13"/>
            <c:invertIfNegative val="0"/>
            <c:bubble3D val="0"/>
            <c:spPr>
              <a:solidFill>
                <a:srgbClr val="00B050"/>
              </a:solidFill>
              <a:ln>
                <a:noFill/>
              </a:ln>
              <a:effectLst/>
            </c:spPr>
            <c:extLst>
              <c:ext xmlns:c16="http://schemas.microsoft.com/office/drawing/2014/chart" uri="{C3380CC4-5D6E-409C-BE32-E72D297353CC}">
                <c16:uniqueId val="{00000017-0D16-4D71-9C14-68528D013E7B}"/>
              </c:ext>
            </c:extLst>
          </c:dPt>
          <c:dPt>
            <c:idx val="14"/>
            <c:invertIfNegative val="0"/>
            <c:bubble3D val="0"/>
            <c:spPr>
              <a:solidFill>
                <a:schemeClr val="accent3"/>
              </a:solidFill>
              <a:ln>
                <a:noFill/>
              </a:ln>
              <a:effectLst/>
            </c:spPr>
            <c:extLst>
              <c:ext xmlns:c16="http://schemas.microsoft.com/office/drawing/2014/chart" uri="{C3380CC4-5D6E-409C-BE32-E72D297353CC}">
                <c16:uniqueId val="{00000019-0D16-4D71-9C14-68528D013E7B}"/>
              </c:ext>
            </c:extLst>
          </c:dPt>
          <c:dPt>
            <c:idx val="18"/>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1B-0D16-4D71-9C14-68528D013E7B}"/>
              </c:ext>
            </c:extLst>
          </c:dPt>
          <c:cat>
            <c:strRef>
              <c:f>Hárok1!$A$2:$A$21</c:f>
              <c:strCache>
                <c:ptCount val="20"/>
                <c:pt idx="0">
                  <c:v>TU Zvolen</c:v>
                </c:pt>
                <c:pt idx="1">
                  <c:v>UVLF Košice</c:v>
                </c:pt>
                <c:pt idx="2">
                  <c:v>STU Bratislava</c:v>
                </c:pt>
                <c:pt idx="3">
                  <c:v>TU Košice</c:v>
                </c:pt>
                <c:pt idx="4">
                  <c:v>ŽU Žilina</c:v>
                </c:pt>
                <c:pt idx="5">
                  <c:v>SPU Nitra</c:v>
                </c:pt>
                <c:pt idx="6">
                  <c:v>UPJŠ Košice</c:v>
                </c:pt>
                <c:pt idx="7">
                  <c:v>UK Bratislava</c:v>
                </c:pt>
                <c:pt idx="8">
                  <c:v>TVU Trnava</c:v>
                </c:pt>
                <c:pt idx="9">
                  <c:v>UCM Trnava</c:v>
                </c:pt>
                <c:pt idx="10">
                  <c:v>PU Prešov</c:v>
                </c:pt>
                <c:pt idx="11">
                  <c:v>UMB Banská Bystrica</c:v>
                </c:pt>
                <c:pt idx="12">
                  <c:v>UKF Nitra</c:v>
                </c:pt>
                <c:pt idx="13">
                  <c:v>EU Bratislava</c:v>
                </c:pt>
                <c:pt idx="14">
                  <c:v>TUAD Trenčín</c:v>
                </c:pt>
                <c:pt idx="15">
                  <c:v>VŠVU Bratislava</c:v>
                </c:pt>
                <c:pt idx="16">
                  <c:v>VŠMU Bratislava</c:v>
                </c:pt>
                <c:pt idx="17">
                  <c:v>KU Ružomberok</c:v>
                </c:pt>
                <c:pt idx="18">
                  <c:v>UJS Komárno</c:v>
                </c:pt>
                <c:pt idx="19">
                  <c:v>AU Banská Bystrica</c:v>
                </c:pt>
              </c:strCache>
            </c:strRef>
          </c:cat>
          <c:val>
            <c:numRef>
              <c:f>Hárok1!$B$2:$B$21</c:f>
              <c:numCache>
                <c:formatCode>0.00</c:formatCode>
                <c:ptCount val="20"/>
                <c:pt idx="0">
                  <c:v>7148.1110705151632</c:v>
                </c:pt>
                <c:pt idx="1">
                  <c:v>6553.109972408357</c:v>
                </c:pt>
                <c:pt idx="2">
                  <c:v>6397.3711021185436</c:v>
                </c:pt>
                <c:pt idx="3">
                  <c:v>5903.4277593557563</c:v>
                </c:pt>
                <c:pt idx="4">
                  <c:v>5609.4236969371304</c:v>
                </c:pt>
                <c:pt idx="5">
                  <c:v>5027.0180658873542</c:v>
                </c:pt>
                <c:pt idx="6">
                  <c:v>4644.6812119766191</c:v>
                </c:pt>
                <c:pt idx="7">
                  <c:v>4553.6488935513244</c:v>
                </c:pt>
                <c:pt idx="8">
                  <c:v>3137.3756613756614</c:v>
                </c:pt>
                <c:pt idx="9">
                  <c:v>2568.3583550913841</c:v>
                </c:pt>
                <c:pt idx="10">
                  <c:v>2513.1228326336923</c:v>
                </c:pt>
                <c:pt idx="11">
                  <c:v>2447.1670499686388</c:v>
                </c:pt>
                <c:pt idx="12">
                  <c:v>2306.8783394985617</c:v>
                </c:pt>
                <c:pt idx="13">
                  <c:v>2109.313746515119</c:v>
                </c:pt>
                <c:pt idx="14">
                  <c:v>1764.6776315789473</c:v>
                </c:pt>
                <c:pt idx="15">
                  <c:v>1648.6129032258063</c:v>
                </c:pt>
                <c:pt idx="16">
                  <c:v>708.98752399232239</c:v>
                </c:pt>
                <c:pt idx="17">
                  <c:v>655.00177367860954</c:v>
                </c:pt>
                <c:pt idx="18">
                  <c:v>595.71090047393363</c:v>
                </c:pt>
                <c:pt idx="19">
                  <c:v>217.63888888888889</c:v>
                </c:pt>
              </c:numCache>
            </c:numRef>
          </c:val>
          <c:extLst>
            <c:ext xmlns:c16="http://schemas.microsoft.com/office/drawing/2014/chart" uri="{C3380CC4-5D6E-409C-BE32-E72D297353CC}">
              <c16:uniqueId val="{0000001C-0D16-4D71-9C14-68528D013E7B}"/>
            </c:ext>
          </c:extLst>
        </c:ser>
        <c:dLbls>
          <c:showLegendKey val="0"/>
          <c:showVal val="0"/>
          <c:showCatName val="0"/>
          <c:showSerName val="0"/>
          <c:showPercent val="0"/>
          <c:showBubbleSize val="0"/>
        </c:dLbls>
        <c:gapWidth val="219"/>
        <c:overlap val="-27"/>
        <c:axId val="768335392"/>
        <c:axId val="768339656"/>
      </c:barChart>
      <c:catAx>
        <c:axId val="76833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sk-SK"/>
          </a:p>
        </c:txPr>
        <c:crossAx val="768339656"/>
        <c:crosses val="autoZero"/>
        <c:auto val="1"/>
        <c:lblAlgn val="ctr"/>
        <c:lblOffset val="100"/>
        <c:noMultiLvlLbl val="0"/>
      </c:catAx>
      <c:valAx>
        <c:axId val="768339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sk-SK"/>
          </a:p>
        </c:txPr>
        <c:crossAx val="768335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'Tab.č.5.1+Graf.5.5.VEDATORI'!$A$72</c:f>
              <c:strCache>
                <c:ptCount val="1"/>
                <c:pt idx="0">
                  <c:v>STU</c:v>
                </c:pt>
              </c:strCache>
            </c:strRef>
          </c:tx>
          <c:spPr>
            <a:solidFill>
              <a:srgbClr val="C00000"/>
            </a:solidFill>
          </c:spPr>
          <c:invertIfNegative val="0"/>
          <c:dPt>
            <c:idx val="0"/>
            <c:invertIfNegative val="0"/>
            <c:bubble3D val="0"/>
            <c:spPr>
              <a:solidFill>
                <a:srgbClr val="FF9900"/>
              </a:solidFill>
            </c:spPr>
            <c:extLst>
              <c:ext xmlns:c16="http://schemas.microsoft.com/office/drawing/2014/chart" uri="{C3380CC4-5D6E-409C-BE32-E72D297353CC}">
                <c16:uniqueId val="{00000001-959C-4A1A-BBA3-4183B0796ABF}"/>
              </c:ext>
            </c:extLst>
          </c:dPt>
          <c:dPt>
            <c:idx val="2"/>
            <c:invertIfNegative val="0"/>
            <c:bubble3D val="0"/>
            <c:spPr>
              <a:solidFill>
                <a:srgbClr val="0070C0"/>
              </a:solidFill>
            </c:spPr>
            <c:extLst>
              <c:ext xmlns:c16="http://schemas.microsoft.com/office/drawing/2014/chart" uri="{C3380CC4-5D6E-409C-BE32-E72D297353CC}">
                <c16:uniqueId val="{00000003-959C-4A1A-BBA3-4183B0796ABF}"/>
              </c:ext>
            </c:extLst>
          </c:dPt>
          <c:dPt>
            <c:idx val="3"/>
            <c:invertIfNegative val="0"/>
            <c:bubble3D val="0"/>
            <c:spPr>
              <a:solidFill>
                <a:srgbClr val="FFCC00"/>
              </a:solidFill>
            </c:spPr>
            <c:extLst>
              <c:ext xmlns:c16="http://schemas.microsoft.com/office/drawing/2014/chart" uri="{C3380CC4-5D6E-409C-BE32-E72D297353CC}">
                <c16:uniqueId val="{00000005-959C-4A1A-BBA3-4183B0796ABF}"/>
              </c:ext>
            </c:extLst>
          </c:dPt>
          <c:dPt>
            <c:idx val="4"/>
            <c:invertIfNegative val="0"/>
            <c:bubble3D val="0"/>
            <c:spPr>
              <a:solidFill>
                <a:srgbClr val="00B050"/>
              </a:solidFill>
            </c:spPr>
            <c:extLst>
              <c:ext xmlns:c16="http://schemas.microsoft.com/office/drawing/2014/chart" uri="{C3380CC4-5D6E-409C-BE32-E72D297353CC}">
                <c16:uniqueId val="{00000007-959C-4A1A-BBA3-4183B0796ABF}"/>
              </c:ext>
            </c:extLst>
          </c:dPt>
          <c:dPt>
            <c:idx val="5"/>
            <c:invertIfNegative val="0"/>
            <c:bubble3D val="0"/>
            <c:spPr>
              <a:solidFill>
                <a:srgbClr val="FF0000"/>
              </a:solidFill>
            </c:spPr>
            <c:extLst>
              <c:ext xmlns:c16="http://schemas.microsoft.com/office/drawing/2014/chart" uri="{C3380CC4-5D6E-409C-BE32-E72D297353CC}">
                <c16:uniqueId val="{00000009-959C-4A1A-BBA3-4183B0796ABF}"/>
              </c:ext>
            </c:extLst>
          </c:dPt>
          <c:dPt>
            <c:idx val="6"/>
            <c:invertIfNegative val="0"/>
            <c:bubble3D val="0"/>
            <c:spPr>
              <a:solidFill>
                <a:srgbClr val="00B0F0"/>
              </a:solidFill>
            </c:spPr>
            <c:extLst>
              <c:ext xmlns:c16="http://schemas.microsoft.com/office/drawing/2014/chart" uri="{C3380CC4-5D6E-409C-BE32-E72D297353CC}">
                <c16:uniqueId val="{0000000B-959C-4A1A-BBA3-4183B0796ABF}"/>
              </c:ext>
            </c:extLst>
          </c:dPt>
          <c:dPt>
            <c:idx val="8"/>
            <c:invertIfNegative val="0"/>
            <c:bubble3D val="0"/>
            <c:spPr>
              <a:solidFill>
                <a:srgbClr val="7030A0"/>
              </a:solidFill>
            </c:spPr>
            <c:extLst>
              <c:ext xmlns:c16="http://schemas.microsoft.com/office/drawing/2014/chart" uri="{C3380CC4-5D6E-409C-BE32-E72D297353CC}">
                <c16:uniqueId val="{0000000D-959C-4A1A-BBA3-4183B0796ABF}"/>
              </c:ext>
            </c:extLst>
          </c:dPt>
          <c:cat>
            <c:strRef>
              <c:f>'Tab.č.5.1+Graf.5.5.VEDATORI'!$B$71:$J$71</c:f>
              <c:strCache>
                <c:ptCount val="9"/>
                <c:pt idx="0">
                  <c:v>SvF</c:v>
                </c:pt>
                <c:pt idx="1">
                  <c:v>SjF</c:v>
                </c:pt>
                <c:pt idx="2">
                  <c:v>FEI</c:v>
                </c:pt>
                <c:pt idx="3">
                  <c:v>FCHPT</c:v>
                </c:pt>
                <c:pt idx="4">
                  <c:v>FA</c:v>
                </c:pt>
                <c:pt idx="5">
                  <c:v>MTF</c:v>
                </c:pt>
                <c:pt idx="6">
                  <c:v>FIIT</c:v>
                </c:pt>
                <c:pt idx="7">
                  <c:v>Rektorát</c:v>
                </c:pt>
                <c:pt idx="8">
                  <c:v>ÚM</c:v>
                </c:pt>
              </c:strCache>
            </c:strRef>
          </c:cat>
          <c:val>
            <c:numRef>
              <c:f>'Tab.č.5.1+Graf.5.5.VEDATORI'!$B$72:$J$72</c:f>
              <c:numCache>
                <c:formatCode>0%</c:formatCode>
                <c:ptCount val="9"/>
                <c:pt idx="0">
                  <c:v>0.18103131806723718</c:v>
                </c:pt>
                <c:pt idx="1">
                  <c:v>8.9614214274642903E-2</c:v>
                </c:pt>
                <c:pt idx="2">
                  <c:v>0.19369233404850672</c:v>
                </c:pt>
                <c:pt idx="3">
                  <c:v>0.22763723578694903</c:v>
                </c:pt>
                <c:pt idx="4">
                  <c:v>8.7207642293667037E-2</c:v>
                </c:pt>
                <c:pt idx="5">
                  <c:v>0.150626932395722</c:v>
                </c:pt>
                <c:pt idx="6">
                  <c:v>4.2567771514345619E-2</c:v>
                </c:pt>
                <c:pt idx="7">
                  <c:v>0</c:v>
                </c:pt>
                <c:pt idx="8">
                  <c:v>2.7622551618929524E-2</c:v>
                </c:pt>
              </c:numCache>
            </c:numRef>
          </c:val>
          <c:extLst>
            <c:ext xmlns:c16="http://schemas.microsoft.com/office/drawing/2014/chart" uri="{C3380CC4-5D6E-409C-BE32-E72D297353CC}">
              <c16:uniqueId val="{0000000E-959C-4A1A-BBA3-4183B0796ABF}"/>
            </c:ext>
          </c:extLst>
        </c:ser>
        <c:dLbls>
          <c:showLegendKey val="0"/>
          <c:showVal val="0"/>
          <c:showCatName val="0"/>
          <c:showSerName val="0"/>
          <c:showPercent val="0"/>
          <c:showBubbleSize val="0"/>
        </c:dLbls>
        <c:gapWidth val="150"/>
        <c:shape val="cylinder"/>
        <c:axId val="1291842240"/>
        <c:axId val="1"/>
        <c:axId val="0"/>
      </c:bar3DChart>
      <c:catAx>
        <c:axId val="1291842240"/>
        <c:scaling>
          <c:orientation val="minMax"/>
        </c:scaling>
        <c:delete val="0"/>
        <c:axPos val="b"/>
        <c:numFmt formatCode="General"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1"/>
        <c:crosses val="autoZero"/>
        <c:auto val="1"/>
        <c:lblAlgn val="ctr"/>
        <c:lblOffset val="100"/>
        <c:noMultiLvlLbl val="0"/>
      </c:catAx>
      <c:valAx>
        <c:axId val="1"/>
        <c:scaling>
          <c:orientation val="minMax"/>
        </c:scaling>
        <c:delete val="0"/>
        <c:axPos val="l"/>
        <c:majorGridlines/>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1291842240"/>
        <c:crosses val="autoZero"/>
        <c:crossBetween val="between"/>
      </c:valAx>
      <c:dTable>
        <c:showHorzBorder val="1"/>
        <c:showVertBorder val="1"/>
        <c:showOutline val="1"/>
        <c:showKeys val="1"/>
        <c:spPr>
          <a:ln>
            <a:solidFill>
              <a:sysClr val="windowText" lastClr="000000"/>
            </a:solidFill>
          </a:ln>
        </c:spPr>
        <c:txPr>
          <a:bodyPr/>
          <a:lstStyle/>
          <a:p>
            <a:pPr rtl="0">
              <a:defRPr sz="1000" b="0" i="0" u="none" strike="noStrike" baseline="0">
                <a:solidFill>
                  <a:srgbClr val="000000"/>
                </a:solidFill>
                <a:latin typeface="Calibri"/>
                <a:ea typeface="Calibri"/>
                <a:cs typeface="Calibri"/>
              </a:defRPr>
            </a:pPr>
            <a:endParaRPr lang="sk-SK"/>
          </a:p>
        </c:txPr>
      </c:dTable>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'[!2022podkladove_tabulky_STU (003).xls]tab.5.3+graf5.7VEGA,KEGA,APVV'!$A$146</c:f>
              <c:strCache>
                <c:ptCount val="1"/>
                <c:pt idx="0">
                  <c:v>STU</c:v>
                </c:pt>
              </c:strCache>
            </c:strRef>
          </c:tx>
          <c:spPr>
            <a:solidFill>
              <a:srgbClr val="C00000"/>
            </a:solidFill>
          </c:spPr>
          <c:invertIfNegative val="0"/>
          <c:cat>
            <c:numRef>
              <c:f>'[!2022podkladove_tabulky_STU (003).xls]tab.5.3+graf5.7VEGA,KEGA,APVV'!$B$145:$H$145</c:f>
              <c:numCache>
                <c:formatCode>General</c:formatCode>
                <c:ptCount val="7"/>
                <c:pt idx="0">
                  <c:v>2016</c:v>
                </c:pt>
                <c:pt idx="1">
                  <c:v>2017</c:v>
                </c:pt>
                <c:pt idx="2">
                  <c:v>2018</c:v>
                </c:pt>
                <c:pt idx="3">
                  <c:v>2019</c:v>
                </c:pt>
                <c:pt idx="4">
                  <c:v>2020</c:v>
                </c:pt>
                <c:pt idx="5">
                  <c:v>2021</c:v>
                </c:pt>
                <c:pt idx="6">
                  <c:v>2022</c:v>
                </c:pt>
              </c:numCache>
            </c:numRef>
          </c:cat>
          <c:val>
            <c:numRef>
              <c:f>'[!2022podkladove_tabulky_STU (003).xls]tab.5.3+graf5.7VEGA,KEGA,APVV'!$B$146:$H$146</c:f>
              <c:numCache>
                <c:formatCode>#,##0</c:formatCode>
                <c:ptCount val="7"/>
                <c:pt idx="0">
                  <c:v>5473805</c:v>
                </c:pt>
                <c:pt idx="1">
                  <c:v>6064793</c:v>
                </c:pt>
                <c:pt idx="2">
                  <c:v>6795577</c:v>
                </c:pt>
                <c:pt idx="3">
                  <c:v>7844821</c:v>
                </c:pt>
                <c:pt idx="4">
                  <c:v>7710525</c:v>
                </c:pt>
                <c:pt idx="5">
                  <c:v>7467397</c:v>
                </c:pt>
                <c:pt idx="6">
                  <c:v>7445006.5499999998</c:v>
                </c:pt>
              </c:numCache>
            </c:numRef>
          </c:val>
          <c:extLst>
            <c:ext xmlns:c16="http://schemas.microsoft.com/office/drawing/2014/chart" uri="{C3380CC4-5D6E-409C-BE32-E72D297353CC}">
              <c16:uniqueId val="{00000000-7C09-446D-8CBE-237CD3870DC5}"/>
            </c:ext>
          </c:extLst>
        </c:ser>
        <c:dLbls>
          <c:showLegendKey val="0"/>
          <c:showVal val="0"/>
          <c:showCatName val="0"/>
          <c:showSerName val="0"/>
          <c:showPercent val="0"/>
          <c:showBubbleSize val="0"/>
        </c:dLbls>
        <c:gapWidth val="150"/>
        <c:shape val="cylinder"/>
        <c:axId val="394055648"/>
        <c:axId val="1"/>
        <c:axId val="0"/>
      </c:bar3DChart>
      <c:catAx>
        <c:axId val="39405564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sk-SK"/>
                  <a:t>EUR</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394055648"/>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sk-SK"/>
          </a:p>
        </c:txPr>
      </c:dTable>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'tab.5.3+graf5.7VEGA,KEGA,APVV'!$S$70</c:f>
              <c:strCache>
                <c:ptCount val="1"/>
                <c:pt idx="0">
                  <c:v>STU</c:v>
                </c:pt>
              </c:strCache>
            </c:strRef>
          </c:tx>
          <c:spPr>
            <a:solidFill>
              <a:srgbClr val="C00000"/>
            </a:solidFill>
          </c:spPr>
          <c:invertIfNegative val="0"/>
          <c:dPt>
            <c:idx val="0"/>
            <c:invertIfNegative val="0"/>
            <c:bubble3D val="0"/>
            <c:spPr>
              <a:solidFill>
                <a:srgbClr val="FF9900"/>
              </a:solidFill>
            </c:spPr>
            <c:extLst>
              <c:ext xmlns:c16="http://schemas.microsoft.com/office/drawing/2014/chart" uri="{C3380CC4-5D6E-409C-BE32-E72D297353CC}">
                <c16:uniqueId val="{00000001-81B2-44AE-A51F-40CF3060E82E}"/>
              </c:ext>
            </c:extLst>
          </c:dPt>
          <c:dPt>
            <c:idx val="1"/>
            <c:invertIfNegative val="0"/>
            <c:bubble3D val="0"/>
            <c:spPr>
              <a:solidFill>
                <a:schemeClr val="bg1">
                  <a:lumMod val="50000"/>
                </a:schemeClr>
              </a:solidFill>
            </c:spPr>
            <c:extLst>
              <c:ext xmlns:c16="http://schemas.microsoft.com/office/drawing/2014/chart" uri="{C3380CC4-5D6E-409C-BE32-E72D297353CC}">
                <c16:uniqueId val="{00000003-81B2-44AE-A51F-40CF3060E82E}"/>
              </c:ext>
            </c:extLst>
          </c:dPt>
          <c:dPt>
            <c:idx val="2"/>
            <c:invertIfNegative val="0"/>
            <c:bubble3D val="0"/>
            <c:spPr>
              <a:solidFill>
                <a:srgbClr val="0070C0"/>
              </a:solidFill>
            </c:spPr>
            <c:extLst>
              <c:ext xmlns:c16="http://schemas.microsoft.com/office/drawing/2014/chart" uri="{C3380CC4-5D6E-409C-BE32-E72D297353CC}">
                <c16:uniqueId val="{00000005-81B2-44AE-A51F-40CF3060E82E}"/>
              </c:ext>
            </c:extLst>
          </c:dPt>
          <c:dPt>
            <c:idx val="3"/>
            <c:invertIfNegative val="0"/>
            <c:bubble3D val="0"/>
            <c:spPr>
              <a:solidFill>
                <a:srgbClr val="FFCC00"/>
              </a:solidFill>
            </c:spPr>
            <c:extLst>
              <c:ext xmlns:c16="http://schemas.microsoft.com/office/drawing/2014/chart" uri="{C3380CC4-5D6E-409C-BE32-E72D297353CC}">
                <c16:uniqueId val="{00000007-81B2-44AE-A51F-40CF3060E82E}"/>
              </c:ext>
            </c:extLst>
          </c:dPt>
          <c:dPt>
            <c:idx val="4"/>
            <c:invertIfNegative val="0"/>
            <c:bubble3D val="0"/>
            <c:spPr>
              <a:solidFill>
                <a:srgbClr val="00B050"/>
              </a:solidFill>
            </c:spPr>
            <c:extLst>
              <c:ext xmlns:c16="http://schemas.microsoft.com/office/drawing/2014/chart" uri="{C3380CC4-5D6E-409C-BE32-E72D297353CC}">
                <c16:uniqueId val="{00000009-81B2-44AE-A51F-40CF3060E82E}"/>
              </c:ext>
            </c:extLst>
          </c:dPt>
          <c:dPt>
            <c:idx val="5"/>
            <c:invertIfNegative val="0"/>
            <c:bubble3D val="0"/>
            <c:spPr>
              <a:solidFill>
                <a:srgbClr val="FF0000"/>
              </a:solidFill>
            </c:spPr>
            <c:extLst>
              <c:ext xmlns:c16="http://schemas.microsoft.com/office/drawing/2014/chart" uri="{C3380CC4-5D6E-409C-BE32-E72D297353CC}">
                <c16:uniqueId val="{0000000B-81B2-44AE-A51F-40CF3060E82E}"/>
              </c:ext>
            </c:extLst>
          </c:dPt>
          <c:dPt>
            <c:idx val="6"/>
            <c:invertIfNegative val="0"/>
            <c:bubble3D val="0"/>
            <c:spPr>
              <a:solidFill>
                <a:srgbClr val="00B0F0"/>
              </a:solidFill>
            </c:spPr>
            <c:extLst>
              <c:ext xmlns:c16="http://schemas.microsoft.com/office/drawing/2014/chart" uri="{C3380CC4-5D6E-409C-BE32-E72D297353CC}">
                <c16:uniqueId val="{0000000D-81B2-44AE-A51F-40CF3060E82E}"/>
              </c:ext>
            </c:extLst>
          </c:dPt>
          <c:dPt>
            <c:idx val="7"/>
            <c:invertIfNegative val="0"/>
            <c:bubble3D val="0"/>
            <c:spPr>
              <a:solidFill>
                <a:srgbClr val="7030A0"/>
              </a:solidFill>
            </c:spPr>
            <c:extLst>
              <c:ext xmlns:c16="http://schemas.microsoft.com/office/drawing/2014/chart" uri="{C3380CC4-5D6E-409C-BE32-E72D297353CC}">
                <c16:uniqueId val="{0000000F-81B2-44AE-A51F-40CF3060E82E}"/>
              </c:ext>
            </c:extLst>
          </c:dPt>
          <c:cat>
            <c:strRef>
              <c:f>'tab.5.3+graf5.7VEGA,KEGA,APVV'!$T$69:$AA$69</c:f>
              <c:strCache>
                <c:ptCount val="8"/>
                <c:pt idx="0">
                  <c:v>SvF</c:v>
                </c:pt>
                <c:pt idx="1">
                  <c:v>SjF</c:v>
                </c:pt>
                <c:pt idx="2">
                  <c:v>FEI</c:v>
                </c:pt>
                <c:pt idx="3">
                  <c:v>FCHPT</c:v>
                </c:pt>
                <c:pt idx="4">
                  <c:v>FAD</c:v>
                </c:pt>
                <c:pt idx="5">
                  <c:v>MtF</c:v>
                </c:pt>
                <c:pt idx="6">
                  <c:v>FIIT</c:v>
                </c:pt>
                <c:pt idx="7">
                  <c:v>UM</c:v>
                </c:pt>
              </c:strCache>
            </c:strRef>
          </c:cat>
          <c:val>
            <c:numRef>
              <c:f>'tab.5.3+graf5.7VEGA,KEGA,APVV'!$T$70:$AA$70</c:f>
              <c:numCache>
                <c:formatCode>#,##0</c:formatCode>
                <c:ptCount val="8"/>
                <c:pt idx="0">
                  <c:v>1050353.7</c:v>
                </c:pt>
                <c:pt idx="1">
                  <c:v>1229426.1000000001</c:v>
                </c:pt>
                <c:pt idx="2">
                  <c:v>1830810.75</c:v>
                </c:pt>
                <c:pt idx="3">
                  <c:v>2227087</c:v>
                </c:pt>
                <c:pt idx="4">
                  <c:v>62565</c:v>
                </c:pt>
                <c:pt idx="5">
                  <c:v>899226</c:v>
                </c:pt>
                <c:pt idx="6">
                  <c:v>103901</c:v>
                </c:pt>
                <c:pt idx="7">
                  <c:v>41637</c:v>
                </c:pt>
              </c:numCache>
            </c:numRef>
          </c:val>
          <c:extLst>
            <c:ext xmlns:c16="http://schemas.microsoft.com/office/drawing/2014/chart" uri="{C3380CC4-5D6E-409C-BE32-E72D297353CC}">
              <c16:uniqueId val="{00000010-81B2-44AE-A51F-40CF3060E82E}"/>
            </c:ext>
          </c:extLst>
        </c:ser>
        <c:dLbls>
          <c:showLegendKey val="0"/>
          <c:showVal val="0"/>
          <c:showCatName val="0"/>
          <c:showSerName val="0"/>
          <c:showPercent val="0"/>
          <c:showBubbleSize val="0"/>
        </c:dLbls>
        <c:gapWidth val="150"/>
        <c:shape val="cylinder"/>
        <c:axId val="2099620240"/>
        <c:axId val="1"/>
        <c:axId val="0"/>
      </c:bar3DChart>
      <c:catAx>
        <c:axId val="2099620240"/>
        <c:scaling>
          <c:orientation val="minMax"/>
        </c:scaling>
        <c:delete val="0"/>
        <c:axPos val="b"/>
        <c:numFmt formatCode="General"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sk-SK"/>
                  <a:t>EUR</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2099620240"/>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sk-SK"/>
          </a:p>
        </c:txPr>
      </c:dTable>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'tab.5.3+graf5.7VEGA,KEGA,APVV'!$B$44</c:f>
              <c:strCache>
                <c:ptCount val="1"/>
                <c:pt idx="0">
                  <c:v>STU</c:v>
                </c:pt>
              </c:strCache>
            </c:strRef>
          </c:tx>
          <c:spPr>
            <a:solidFill>
              <a:srgbClr val="C00000"/>
            </a:solidFill>
          </c:spPr>
          <c:invertIfNegative val="0"/>
          <c:dPt>
            <c:idx val="0"/>
            <c:invertIfNegative val="0"/>
            <c:bubble3D val="0"/>
            <c:spPr>
              <a:solidFill>
                <a:srgbClr val="FF9900"/>
              </a:solidFill>
            </c:spPr>
            <c:extLst>
              <c:ext xmlns:c16="http://schemas.microsoft.com/office/drawing/2014/chart" uri="{C3380CC4-5D6E-409C-BE32-E72D297353CC}">
                <c16:uniqueId val="{00000001-38ED-40DE-9A0D-3F446D03E1FF}"/>
              </c:ext>
            </c:extLst>
          </c:dPt>
          <c:dPt>
            <c:idx val="1"/>
            <c:invertIfNegative val="0"/>
            <c:bubble3D val="0"/>
            <c:spPr>
              <a:solidFill>
                <a:schemeClr val="bg1">
                  <a:lumMod val="50000"/>
                </a:schemeClr>
              </a:solidFill>
            </c:spPr>
            <c:extLst>
              <c:ext xmlns:c16="http://schemas.microsoft.com/office/drawing/2014/chart" uri="{C3380CC4-5D6E-409C-BE32-E72D297353CC}">
                <c16:uniqueId val="{00000003-38ED-40DE-9A0D-3F446D03E1FF}"/>
              </c:ext>
            </c:extLst>
          </c:dPt>
          <c:dPt>
            <c:idx val="2"/>
            <c:invertIfNegative val="0"/>
            <c:bubble3D val="0"/>
            <c:spPr>
              <a:solidFill>
                <a:srgbClr val="0070C0"/>
              </a:solidFill>
            </c:spPr>
            <c:extLst>
              <c:ext xmlns:c16="http://schemas.microsoft.com/office/drawing/2014/chart" uri="{C3380CC4-5D6E-409C-BE32-E72D297353CC}">
                <c16:uniqueId val="{00000005-38ED-40DE-9A0D-3F446D03E1FF}"/>
              </c:ext>
            </c:extLst>
          </c:dPt>
          <c:dPt>
            <c:idx val="3"/>
            <c:invertIfNegative val="0"/>
            <c:bubble3D val="0"/>
            <c:spPr>
              <a:solidFill>
                <a:srgbClr val="FFCC00"/>
              </a:solidFill>
            </c:spPr>
            <c:extLst>
              <c:ext xmlns:c16="http://schemas.microsoft.com/office/drawing/2014/chart" uri="{C3380CC4-5D6E-409C-BE32-E72D297353CC}">
                <c16:uniqueId val="{00000007-38ED-40DE-9A0D-3F446D03E1FF}"/>
              </c:ext>
            </c:extLst>
          </c:dPt>
          <c:dPt>
            <c:idx val="4"/>
            <c:invertIfNegative val="0"/>
            <c:bubble3D val="0"/>
            <c:spPr>
              <a:solidFill>
                <a:srgbClr val="00B050"/>
              </a:solidFill>
            </c:spPr>
            <c:extLst>
              <c:ext xmlns:c16="http://schemas.microsoft.com/office/drawing/2014/chart" uri="{C3380CC4-5D6E-409C-BE32-E72D297353CC}">
                <c16:uniqueId val="{00000009-38ED-40DE-9A0D-3F446D03E1FF}"/>
              </c:ext>
            </c:extLst>
          </c:dPt>
          <c:dPt>
            <c:idx val="5"/>
            <c:invertIfNegative val="0"/>
            <c:bubble3D val="0"/>
            <c:spPr>
              <a:solidFill>
                <a:srgbClr val="FF0000"/>
              </a:solidFill>
            </c:spPr>
            <c:extLst>
              <c:ext xmlns:c16="http://schemas.microsoft.com/office/drawing/2014/chart" uri="{C3380CC4-5D6E-409C-BE32-E72D297353CC}">
                <c16:uniqueId val="{0000000B-38ED-40DE-9A0D-3F446D03E1FF}"/>
              </c:ext>
            </c:extLst>
          </c:dPt>
          <c:dPt>
            <c:idx val="6"/>
            <c:invertIfNegative val="0"/>
            <c:bubble3D val="0"/>
            <c:spPr>
              <a:solidFill>
                <a:srgbClr val="00B0F0"/>
              </a:solidFill>
            </c:spPr>
            <c:extLst>
              <c:ext xmlns:c16="http://schemas.microsoft.com/office/drawing/2014/chart" uri="{C3380CC4-5D6E-409C-BE32-E72D297353CC}">
                <c16:uniqueId val="{0000000D-38ED-40DE-9A0D-3F446D03E1FF}"/>
              </c:ext>
            </c:extLst>
          </c:dPt>
          <c:dPt>
            <c:idx val="7"/>
            <c:invertIfNegative val="0"/>
            <c:bubble3D val="0"/>
            <c:spPr>
              <a:solidFill>
                <a:srgbClr val="7030A0"/>
              </a:solidFill>
            </c:spPr>
            <c:extLst>
              <c:ext xmlns:c16="http://schemas.microsoft.com/office/drawing/2014/chart" uri="{C3380CC4-5D6E-409C-BE32-E72D297353CC}">
                <c16:uniqueId val="{0000000F-38ED-40DE-9A0D-3F446D03E1FF}"/>
              </c:ext>
            </c:extLst>
          </c:dPt>
          <c:cat>
            <c:strRef>
              <c:f>'tab.5.3+graf5.7VEGA,KEGA,APVV'!$C$43:$J$43</c:f>
              <c:strCache>
                <c:ptCount val="8"/>
                <c:pt idx="0">
                  <c:v>SvF</c:v>
                </c:pt>
                <c:pt idx="1">
                  <c:v>SjF</c:v>
                </c:pt>
                <c:pt idx="2">
                  <c:v>FEI</c:v>
                </c:pt>
                <c:pt idx="3">
                  <c:v>FCHPT</c:v>
                </c:pt>
                <c:pt idx="4">
                  <c:v>FAD</c:v>
                </c:pt>
                <c:pt idx="5">
                  <c:v>MTF</c:v>
                </c:pt>
                <c:pt idx="6">
                  <c:v>FIIT</c:v>
                </c:pt>
                <c:pt idx="7">
                  <c:v>UM</c:v>
                </c:pt>
              </c:strCache>
            </c:strRef>
          </c:cat>
          <c:val>
            <c:numRef>
              <c:f>'tab.5.3+graf5.7VEGA,KEGA,APVV'!$C$44:$J$44</c:f>
              <c:numCache>
                <c:formatCode>General</c:formatCode>
                <c:ptCount val="8"/>
                <c:pt idx="0">
                  <c:v>449405</c:v>
                </c:pt>
                <c:pt idx="1">
                  <c:v>72877</c:v>
                </c:pt>
                <c:pt idx="2">
                  <c:v>392694</c:v>
                </c:pt>
                <c:pt idx="3">
                  <c:v>551847</c:v>
                </c:pt>
                <c:pt idx="4">
                  <c:v>14065</c:v>
                </c:pt>
                <c:pt idx="5">
                  <c:v>248942</c:v>
                </c:pt>
                <c:pt idx="6">
                  <c:v>13157</c:v>
                </c:pt>
                <c:pt idx="7">
                  <c:v>4228</c:v>
                </c:pt>
              </c:numCache>
            </c:numRef>
          </c:val>
          <c:extLst>
            <c:ext xmlns:c16="http://schemas.microsoft.com/office/drawing/2014/chart" uri="{C3380CC4-5D6E-409C-BE32-E72D297353CC}">
              <c16:uniqueId val="{00000010-38ED-40DE-9A0D-3F446D03E1FF}"/>
            </c:ext>
          </c:extLst>
        </c:ser>
        <c:dLbls>
          <c:showLegendKey val="0"/>
          <c:showVal val="0"/>
          <c:showCatName val="0"/>
          <c:showSerName val="0"/>
          <c:showPercent val="0"/>
          <c:showBubbleSize val="0"/>
        </c:dLbls>
        <c:gapWidth val="150"/>
        <c:shape val="cylinder"/>
        <c:axId val="2089584928"/>
        <c:axId val="1"/>
        <c:axId val="0"/>
      </c:bar3DChart>
      <c:catAx>
        <c:axId val="2089584928"/>
        <c:scaling>
          <c:orientation val="minMax"/>
        </c:scaling>
        <c:delete val="0"/>
        <c:axPos val="b"/>
        <c:numFmt formatCode="General"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sk-SK"/>
                  <a:t>EUR</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2089584928"/>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sk-SK"/>
          </a:p>
        </c:txPr>
      </c:dTable>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'graf.č.5.priemer na pracov'!$A$108</c:f>
              <c:strCache>
                <c:ptCount val="1"/>
                <c:pt idx="0">
                  <c:v>STU</c:v>
                </c:pt>
              </c:strCache>
            </c:strRef>
          </c:tx>
          <c:spPr>
            <a:solidFill>
              <a:srgbClr val="C00000"/>
            </a:solidFill>
          </c:spPr>
          <c:invertIfNegative val="0"/>
          <c:dPt>
            <c:idx val="0"/>
            <c:invertIfNegative val="0"/>
            <c:bubble3D val="0"/>
            <c:spPr>
              <a:solidFill>
                <a:srgbClr val="FF9900"/>
              </a:solidFill>
            </c:spPr>
            <c:extLst>
              <c:ext xmlns:c16="http://schemas.microsoft.com/office/drawing/2014/chart" uri="{C3380CC4-5D6E-409C-BE32-E72D297353CC}">
                <c16:uniqueId val="{00000001-44DF-4DA4-BCCD-8926CD3DAD06}"/>
              </c:ext>
            </c:extLst>
          </c:dPt>
          <c:dPt>
            <c:idx val="1"/>
            <c:invertIfNegative val="0"/>
            <c:bubble3D val="0"/>
            <c:spPr>
              <a:solidFill>
                <a:schemeClr val="bg1">
                  <a:lumMod val="50000"/>
                </a:schemeClr>
              </a:solidFill>
            </c:spPr>
            <c:extLst>
              <c:ext xmlns:c16="http://schemas.microsoft.com/office/drawing/2014/chart" uri="{C3380CC4-5D6E-409C-BE32-E72D297353CC}">
                <c16:uniqueId val="{00000003-44DF-4DA4-BCCD-8926CD3DAD06}"/>
              </c:ext>
            </c:extLst>
          </c:dPt>
          <c:dPt>
            <c:idx val="2"/>
            <c:invertIfNegative val="0"/>
            <c:bubble3D val="0"/>
            <c:spPr>
              <a:solidFill>
                <a:srgbClr val="0070C0"/>
              </a:solidFill>
            </c:spPr>
            <c:extLst>
              <c:ext xmlns:c16="http://schemas.microsoft.com/office/drawing/2014/chart" uri="{C3380CC4-5D6E-409C-BE32-E72D297353CC}">
                <c16:uniqueId val="{00000005-44DF-4DA4-BCCD-8926CD3DAD06}"/>
              </c:ext>
            </c:extLst>
          </c:dPt>
          <c:dPt>
            <c:idx val="3"/>
            <c:invertIfNegative val="0"/>
            <c:bubble3D val="0"/>
            <c:spPr>
              <a:solidFill>
                <a:srgbClr val="FFCC00"/>
              </a:solidFill>
            </c:spPr>
            <c:extLst>
              <c:ext xmlns:c16="http://schemas.microsoft.com/office/drawing/2014/chart" uri="{C3380CC4-5D6E-409C-BE32-E72D297353CC}">
                <c16:uniqueId val="{00000007-44DF-4DA4-BCCD-8926CD3DAD06}"/>
              </c:ext>
            </c:extLst>
          </c:dPt>
          <c:dPt>
            <c:idx val="4"/>
            <c:invertIfNegative val="0"/>
            <c:bubble3D val="0"/>
            <c:spPr>
              <a:solidFill>
                <a:srgbClr val="00B050"/>
              </a:solidFill>
            </c:spPr>
            <c:extLst>
              <c:ext xmlns:c16="http://schemas.microsoft.com/office/drawing/2014/chart" uri="{C3380CC4-5D6E-409C-BE32-E72D297353CC}">
                <c16:uniqueId val="{00000009-44DF-4DA4-BCCD-8926CD3DAD06}"/>
              </c:ext>
            </c:extLst>
          </c:dPt>
          <c:dPt>
            <c:idx val="5"/>
            <c:invertIfNegative val="0"/>
            <c:bubble3D val="0"/>
            <c:spPr>
              <a:solidFill>
                <a:srgbClr val="FF0000"/>
              </a:solidFill>
            </c:spPr>
            <c:extLst>
              <c:ext xmlns:c16="http://schemas.microsoft.com/office/drawing/2014/chart" uri="{C3380CC4-5D6E-409C-BE32-E72D297353CC}">
                <c16:uniqueId val="{0000000B-44DF-4DA4-BCCD-8926CD3DAD06}"/>
              </c:ext>
            </c:extLst>
          </c:dPt>
          <c:dPt>
            <c:idx val="6"/>
            <c:invertIfNegative val="0"/>
            <c:bubble3D val="0"/>
            <c:spPr>
              <a:solidFill>
                <a:srgbClr val="00B0F0"/>
              </a:solidFill>
            </c:spPr>
            <c:extLst>
              <c:ext xmlns:c16="http://schemas.microsoft.com/office/drawing/2014/chart" uri="{C3380CC4-5D6E-409C-BE32-E72D297353CC}">
                <c16:uniqueId val="{0000000D-44DF-4DA4-BCCD-8926CD3DAD06}"/>
              </c:ext>
            </c:extLst>
          </c:dPt>
          <c:dPt>
            <c:idx val="7"/>
            <c:invertIfNegative val="0"/>
            <c:bubble3D val="0"/>
            <c:spPr>
              <a:solidFill>
                <a:srgbClr val="7030A0"/>
              </a:solidFill>
            </c:spPr>
            <c:extLst>
              <c:ext xmlns:c16="http://schemas.microsoft.com/office/drawing/2014/chart" uri="{C3380CC4-5D6E-409C-BE32-E72D297353CC}">
                <c16:uniqueId val="{0000000F-44DF-4DA4-BCCD-8926CD3DAD06}"/>
              </c:ext>
            </c:extLst>
          </c:dPt>
          <c:cat>
            <c:strRef>
              <c:f>'graf.č.5.priemer na pracov'!$B$107:$I$107</c:f>
              <c:strCache>
                <c:ptCount val="8"/>
                <c:pt idx="0">
                  <c:v>SvF</c:v>
                </c:pt>
                <c:pt idx="1">
                  <c:v>SjF</c:v>
                </c:pt>
                <c:pt idx="2">
                  <c:v>FEI</c:v>
                </c:pt>
                <c:pt idx="3">
                  <c:v>FCHPT</c:v>
                </c:pt>
                <c:pt idx="4">
                  <c:v>FAD</c:v>
                </c:pt>
                <c:pt idx="5">
                  <c:v>MTF</c:v>
                </c:pt>
                <c:pt idx="6">
                  <c:v>FIIT</c:v>
                </c:pt>
                <c:pt idx="7">
                  <c:v>ÚM</c:v>
                </c:pt>
              </c:strCache>
            </c:strRef>
          </c:cat>
          <c:val>
            <c:numRef>
              <c:f>'graf.č.5.priemer na pracov'!$B$108:$I$108</c:f>
              <c:numCache>
                <c:formatCode>#,##0</c:formatCode>
                <c:ptCount val="8"/>
                <c:pt idx="0">
                  <c:v>2025.1678608444865</c:v>
                </c:pt>
                <c:pt idx="1">
                  <c:v>663.42284934000907</c:v>
                </c:pt>
                <c:pt idx="2">
                  <c:v>1653.9358968959273</c:v>
                </c:pt>
                <c:pt idx="3">
                  <c:v>1977.6627006880738</c:v>
                </c:pt>
                <c:pt idx="4">
                  <c:v>131.57156220767072</c:v>
                </c:pt>
                <c:pt idx="5">
                  <c:v>1348.2560658578857</c:v>
                </c:pt>
                <c:pt idx="6">
                  <c:v>252.14641625143733</c:v>
                </c:pt>
                <c:pt idx="7">
                  <c:v>124.86709982279977</c:v>
                </c:pt>
              </c:numCache>
            </c:numRef>
          </c:val>
          <c:extLst>
            <c:ext xmlns:c16="http://schemas.microsoft.com/office/drawing/2014/chart" uri="{C3380CC4-5D6E-409C-BE32-E72D297353CC}">
              <c16:uniqueId val="{00000010-44DF-4DA4-BCCD-8926CD3DAD06}"/>
            </c:ext>
          </c:extLst>
        </c:ser>
        <c:dLbls>
          <c:showLegendKey val="0"/>
          <c:showVal val="0"/>
          <c:showCatName val="0"/>
          <c:showSerName val="0"/>
          <c:showPercent val="0"/>
          <c:showBubbleSize val="0"/>
        </c:dLbls>
        <c:gapWidth val="150"/>
        <c:shape val="cylinder"/>
        <c:axId val="2100629984"/>
        <c:axId val="1"/>
        <c:axId val="0"/>
      </c:bar3DChart>
      <c:catAx>
        <c:axId val="210062998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sk-SK"/>
                  <a:t>EUR</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2100629984"/>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sk-SK"/>
          </a:p>
        </c:txPr>
      </c:dTable>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'tab.5.3+graf5.7VEGA,KEGA,APVV'!$B$45</c:f>
              <c:strCache>
                <c:ptCount val="1"/>
                <c:pt idx="0">
                  <c:v>STU</c:v>
                </c:pt>
              </c:strCache>
            </c:strRef>
          </c:tx>
          <c:spPr>
            <a:solidFill>
              <a:srgbClr val="C00000"/>
            </a:solidFill>
          </c:spPr>
          <c:invertIfNegative val="0"/>
          <c:dPt>
            <c:idx val="0"/>
            <c:invertIfNegative val="0"/>
            <c:bubble3D val="0"/>
            <c:spPr>
              <a:solidFill>
                <a:srgbClr val="FF9900"/>
              </a:solidFill>
            </c:spPr>
            <c:extLst>
              <c:ext xmlns:c16="http://schemas.microsoft.com/office/drawing/2014/chart" uri="{C3380CC4-5D6E-409C-BE32-E72D297353CC}">
                <c16:uniqueId val="{00000001-EC8C-4574-867F-7B3044048862}"/>
              </c:ext>
            </c:extLst>
          </c:dPt>
          <c:dPt>
            <c:idx val="1"/>
            <c:invertIfNegative val="0"/>
            <c:bubble3D val="0"/>
            <c:spPr>
              <a:solidFill>
                <a:schemeClr val="bg1">
                  <a:lumMod val="50000"/>
                </a:schemeClr>
              </a:solidFill>
            </c:spPr>
            <c:extLst>
              <c:ext xmlns:c16="http://schemas.microsoft.com/office/drawing/2014/chart" uri="{C3380CC4-5D6E-409C-BE32-E72D297353CC}">
                <c16:uniqueId val="{00000003-EC8C-4574-867F-7B3044048862}"/>
              </c:ext>
            </c:extLst>
          </c:dPt>
          <c:dPt>
            <c:idx val="2"/>
            <c:invertIfNegative val="0"/>
            <c:bubble3D val="0"/>
            <c:spPr>
              <a:solidFill>
                <a:srgbClr val="0070C0"/>
              </a:solidFill>
            </c:spPr>
            <c:extLst>
              <c:ext xmlns:c16="http://schemas.microsoft.com/office/drawing/2014/chart" uri="{C3380CC4-5D6E-409C-BE32-E72D297353CC}">
                <c16:uniqueId val="{00000005-EC8C-4574-867F-7B3044048862}"/>
              </c:ext>
            </c:extLst>
          </c:dPt>
          <c:dPt>
            <c:idx val="3"/>
            <c:invertIfNegative val="0"/>
            <c:bubble3D val="0"/>
            <c:spPr>
              <a:solidFill>
                <a:srgbClr val="FFCC00"/>
              </a:solidFill>
            </c:spPr>
            <c:extLst>
              <c:ext xmlns:c16="http://schemas.microsoft.com/office/drawing/2014/chart" uri="{C3380CC4-5D6E-409C-BE32-E72D297353CC}">
                <c16:uniqueId val="{00000007-EC8C-4574-867F-7B3044048862}"/>
              </c:ext>
            </c:extLst>
          </c:dPt>
          <c:dPt>
            <c:idx val="4"/>
            <c:invertIfNegative val="0"/>
            <c:bubble3D val="0"/>
            <c:spPr>
              <a:solidFill>
                <a:srgbClr val="00B050"/>
              </a:solidFill>
            </c:spPr>
            <c:extLst>
              <c:ext xmlns:c16="http://schemas.microsoft.com/office/drawing/2014/chart" uri="{C3380CC4-5D6E-409C-BE32-E72D297353CC}">
                <c16:uniqueId val="{00000009-EC8C-4574-867F-7B3044048862}"/>
              </c:ext>
            </c:extLst>
          </c:dPt>
          <c:dPt>
            <c:idx val="5"/>
            <c:invertIfNegative val="0"/>
            <c:bubble3D val="0"/>
            <c:spPr>
              <a:solidFill>
                <a:srgbClr val="FF0000"/>
              </a:solidFill>
            </c:spPr>
            <c:extLst>
              <c:ext xmlns:c16="http://schemas.microsoft.com/office/drawing/2014/chart" uri="{C3380CC4-5D6E-409C-BE32-E72D297353CC}">
                <c16:uniqueId val="{0000000B-EC8C-4574-867F-7B3044048862}"/>
              </c:ext>
            </c:extLst>
          </c:dPt>
          <c:dPt>
            <c:idx val="6"/>
            <c:invertIfNegative val="0"/>
            <c:bubble3D val="0"/>
            <c:spPr>
              <a:solidFill>
                <a:srgbClr val="00B0F0"/>
              </a:solidFill>
            </c:spPr>
            <c:extLst>
              <c:ext xmlns:c16="http://schemas.microsoft.com/office/drawing/2014/chart" uri="{C3380CC4-5D6E-409C-BE32-E72D297353CC}">
                <c16:uniqueId val="{0000000D-EC8C-4574-867F-7B3044048862}"/>
              </c:ext>
            </c:extLst>
          </c:dPt>
          <c:dPt>
            <c:idx val="7"/>
            <c:invertIfNegative val="0"/>
            <c:bubble3D val="0"/>
            <c:spPr>
              <a:solidFill>
                <a:srgbClr val="7030A0"/>
              </a:solidFill>
            </c:spPr>
            <c:extLst>
              <c:ext xmlns:c16="http://schemas.microsoft.com/office/drawing/2014/chart" uri="{C3380CC4-5D6E-409C-BE32-E72D297353CC}">
                <c16:uniqueId val="{0000000F-EC8C-4574-867F-7B3044048862}"/>
              </c:ext>
            </c:extLst>
          </c:dPt>
          <c:cat>
            <c:strRef>
              <c:f>'tab.5.3+graf5.7VEGA,KEGA,APVV'!$C$43:$K$43</c:f>
              <c:strCache>
                <c:ptCount val="9"/>
                <c:pt idx="0">
                  <c:v>SvF</c:v>
                </c:pt>
                <c:pt idx="1">
                  <c:v>SjF</c:v>
                </c:pt>
                <c:pt idx="2">
                  <c:v>FEI</c:v>
                </c:pt>
                <c:pt idx="3">
                  <c:v>FCHPT</c:v>
                </c:pt>
                <c:pt idx="4">
                  <c:v>FAD</c:v>
                </c:pt>
                <c:pt idx="5">
                  <c:v>MTF</c:v>
                </c:pt>
                <c:pt idx="6">
                  <c:v>FIIT</c:v>
                </c:pt>
                <c:pt idx="7">
                  <c:v>UM</c:v>
                </c:pt>
                <c:pt idx="8">
                  <c:v>R-STU</c:v>
                </c:pt>
              </c:strCache>
            </c:strRef>
          </c:cat>
          <c:val>
            <c:numRef>
              <c:f>'tab.5.3+graf5.7VEGA,KEGA,APVV'!$C$46:$K$46</c:f>
              <c:numCache>
                <c:formatCode>General</c:formatCode>
                <c:ptCount val="9"/>
                <c:pt idx="0">
                  <c:v>573925.69999999995</c:v>
                </c:pt>
                <c:pt idx="1">
                  <c:v>656995.30000000005</c:v>
                </c:pt>
                <c:pt idx="2">
                  <c:v>975954</c:v>
                </c:pt>
                <c:pt idx="3">
                  <c:v>1652042</c:v>
                </c:pt>
                <c:pt idx="4">
                  <c:v>0</c:v>
                </c:pt>
                <c:pt idx="5">
                  <c:v>517945</c:v>
                </c:pt>
                <c:pt idx="6">
                  <c:v>76524</c:v>
                </c:pt>
                <c:pt idx="7">
                  <c:v>28495</c:v>
                </c:pt>
                <c:pt idx="8" formatCode="#,##0">
                  <c:v>0</c:v>
                </c:pt>
              </c:numCache>
            </c:numRef>
          </c:val>
          <c:extLst>
            <c:ext xmlns:c16="http://schemas.microsoft.com/office/drawing/2014/chart" uri="{C3380CC4-5D6E-409C-BE32-E72D297353CC}">
              <c16:uniqueId val="{00000010-EC8C-4574-867F-7B3044048862}"/>
            </c:ext>
          </c:extLst>
        </c:ser>
        <c:dLbls>
          <c:showLegendKey val="0"/>
          <c:showVal val="0"/>
          <c:showCatName val="0"/>
          <c:showSerName val="0"/>
          <c:showPercent val="0"/>
          <c:showBubbleSize val="0"/>
        </c:dLbls>
        <c:gapWidth val="150"/>
        <c:shape val="cylinder"/>
        <c:axId val="2089587840"/>
        <c:axId val="1"/>
        <c:axId val="0"/>
      </c:bar3DChart>
      <c:catAx>
        <c:axId val="2089587840"/>
        <c:scaling>
          <c:orientation val="minMax"/>
        </c:scaling>
        <c:delete val="0"/>
        <c:axPos val="b"/>
        <c:numFmt formatCode="General"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sk-SK"/>
                  <a:t>EUR</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2089587840"/>
        <c:crosses val="autoZero"/>
        <c:crossBetween val="between"/>
      </c:valAx>
      <c:dTable>
        <c:showHorzBorder val="1"/>
        <c:showVertBorder val="1"/>
        <c:showOutline val="1"/>
        <c:showKeys val="1"/>
        <c:txPr>
          <a:bodyPr/>
          <a:lstStyle/>
          <a:p>
            <a:pPr rtl="0">
              <a:defRPr sz="800" b="0" i="0" u="none" strike="noStrike" baseline="0">
                <a:solidFill>
                  <a:srgbClr val="000000"/>
                </a:solidFill>
                <a:latin typeface="Calibri"/>
                <a:ea typeface="Calibri"/>
                <a:cs typeface="Calibri"/>
              </a:defRPr>
            </a:pPr>
            <a:endParaRPr lang="sk-SK"/>
          </a:p>
        </c:txPr>
      </c:dTable>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8.4649290605799052E-2"/>
          <c:y val="3.6167643581293554E-2"/>
          <c:w val="0.88548186697792997"/>
          <c:h val="0.74083607959548192"/>
        </c:manualLayout>
      </c:layout>
      <c:lineChart>
        <c:grouping val="standard"/>
        <c:varyColors val="0"/>
        <c:ser>
          <c:idx val="1"/>
          <c:order val="0"/>
          <c:tx>
            <c:strRef>
              <c:f>Zdroj_štud_VŠ_graf_3!$A$4</c:f>
              <c:strCache>
                <c:ptCount val="1"/>
                <c:pt idx="0">
                  <c:v>UK</c:v>
                </c:pt>
              </c:strCache>
            </c:strRef>
          </c:tx>
          <c:spPr>
            <a:ln>
              <a:solidFill>
                <a:srgbClr val="00B0F0"/>
              </a:solidFill>
            </a:ln>
          </c:spPr>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(Zdroj_štud_VŠ_graf_3!$C$3:$J$3,Zdroj_štud_VŠ_graf_3!$K$3,Zdroj_štud_VŠ_graf_3!$M$3,Zdroj_štud_VŠ_graf_3!$O$3,Zdroj_štud_VŠ_graf_3!$Q$3,Zdroj_štud_VŠ_graf_3!$S$3)</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extLst/>
            </c:strRef>
          </c:cat>
          <c:val>
            <c:numRef>
              <c:f>(Zdroj_štud_VŠ_graf_3!$C$4:$J$4,Zdroj_štud_VŠ_graf_3!$K$4,Zdroj_štud_VŠ_graf_3!$M$4,Zdroj_štud_VŠ_graf_3!$O$4,Zdroj_štud_VŠ_graf_3!$Q$4,Zdroj_štud_VŠ_graf_3!$S$4)</c:f>
              <c:numCache>
                <c:formatCode>#,##0</c:formatCode>
                <c:ptCount val="10"/>
                <c:pt idx="0">
                  <c:v>27347</c:v>
                </c:pt>
                <c:pt idx="1">
                  <c:v>26624</c:v>
                </c:pt>
                <c:pt idx="2">
                  <c:v>25110</c:v>
                </c:pt>
                <c:pt idx="3">
                  <c:v>24108</c:v>
                </c:pt>
                <c:pt idx="4">
                  <c:v>22682</c:v>
                </c:pt>
                <c:pt idx="5">
                  <c:v>22137</c:v>
                </c:pt>
                <c:pt idx="6">
                  <c:v>21987</c:v>
                </c:pt>
                <c:pt idx="7">
                  <c:v>22832</c:v>
                </c:pt>
                <c:pt idx="8">
                  <c:v>22828</c:v>
                </c:pt>
                <c:pt idx="9">
                  <c:v>22562</c:v>
                </c:pt>
              </c:numCache>
              <c:extLst/>
            </c:numRef>
          </c:val>
          <c:smooth val="0"/>
          <c:extLst>
            <c:ext xmlns:c16="http://schemas.microsoft.com/office/drawing/2014/chart" uri="{C3380CC4-5D6E-409C-BE32-E72D297353CC}">
              <c16:uniqueId val="{00000006-A2D2-4152-A3B1-055898C53D46}"/>
            </c:ext>
          </c:extLst>
        </c:ser>
        <c:ser>
          <c:idx val="2"/>
          <c:order val="1"/>
          <c:tx>
            <c:strRef>
              <c:f>Zdroj_štud_VŠ_graf_3!$A$5</c:f>
              <c:strCache>
                <c:ptCount val="1"/>
                <c:pt idx="0">
                  <c:v>STU</c:v>
                </c:pt>
              </c:strCache>
            </c:strRef>
          </c:tx>
          <c:spPr>
            <a:ln w="63500">
              <a:solidFill>
                <a:srgbClr val="C00000"/>
              </a:solidFill>
            </a:ln>
          </c:spPr>
          <c:marker>
            <c:symbol val="none"/>
          </c:marker>
          <c:dLbls>
            <c:dLbl>
              <c:idx val="0"/>
              <c:layout>
                <c:manualLayout>
                  <c:x val="-4.0055146228677993E-2"/>
                  <c:y val="-5.266974415737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2D2-4152-A3B1-055898C53D46}"/>
                </c:ext>
              </c:extLst>
            </c:dLbl>
            <c:dLbl>
              <c:idx val="1"/>
              <c:layout>
                <c:manualLayout>
                  <c:x val="-3.6307554402794123E-2"/>
                  <c:y val="-4.5846016452416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2D2-4152-A3B1-055898C53D46}"/>
                </c:ext>
              </c:extLst>
            </c:dLbl>
            <c:dLbl>
              <c:idx val="2"/>
              <c:layout>
                <c:manualLayout>
                  <c:x val="-3.5288473909920522E-2"/>
                  <c:y val="-4.5846016452416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2D2-4152-A3B1-055898C53D46}"/>
                </c:ext>
              </c:extLst>
            </c:dLbl>
            <c:dLbl>
              <c:idx val="3"/>
              <c:layout>
                <c:manualLayout>
                  <c:x val="-3.7452741846291042E-2"/>
                  <c:y val="-5.232635656964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A2D2-4152-A3B1-055898C53D46}"/>
                </c:ext>
              </c:extLst>
            </c:dLbl>
            <c:dLbl>
              <c:idx val="4"/>
              <c:layout>
                <c:manualLayout>
                  <c:x val="-3.6640885747954807E-2"/>
                  <c:y val="-5.2683894744786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2D2-4152-A3B1-055898C53D46}"/>
                </c:ext>
              </c:extLst>
            </c:dLbl>
            <c:dLbl>
              <c:idx val="5"/>
              <c:layout>
                <c:manualLayout>
                  <c:x val="-4.4340396742691551E-2"/>
                  <c:y val="-5.019527810621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2D2-4152-A3B1-055898C53D46}"/>
                </c:ext>
              </c:extLst>
            </c:dLbl>
            <c:dLbl>
              <c:idx val="6"/>
              <c:layout>
                <c:manualLayout>
                  <c:x val="-4.2246648699114035E-2"/>
                  <c:y val="-4.4074765937811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A2D2-4152-A3B1-055898C53D46}"/>
                </c:ext>
              </c:extLst>
            </c:dLbl>
            <c:dLbl>
              <c:idx val="8"/>
              <c:layout>
                <c:manualLayout>
                  <c:x val="-4.9899416935299194E-2"/>
                  <c:y val="-8.08247622166322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47-4D46-9B6B-5AC8B4BF2BA9}"/>
                </c:ext>
              </c:extLst>
            </c:dLbl>
            <c:dLbl>
              <c:idx val="9"/>
              <c:layout>
                <c:manualLayout>
                  <c:x val="-3.3085839102326972E-2"/>
                  <c:y val="-6.6647068454817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47-4D46-9B6B-5AC8B4BF2BA9}"/>
                </c:ext>
              </c:extLst>
            </c:dLbl>
            <c:spPr>
              <a:noFill/>
              <a:ln>
                <a:noFill/>
              </a:ln>
              <a:effectLst/>
            </c:spPr>
            <c:txPr>
              <a:bodyPr/>
              <a:lstStyle/>
              <a:p>
                <a:pPr>
                  <a:defRPr>
                    <a:solidFill>
                      <a:srgbClr val="C00000"/>
                    </a:solidFill>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(Zdroj_štud_VŠ_graf_3!$C$3:$J$3,Zdroj_štud_VŠ_graf_3!$K$3,Zdroj_štud_VŠ_graf_3!$M$3,Zdroj_štud_VŠ_graf_3!$O$3,Zdroj_štud_VŠ_graf_3!$Q$3,Zdroj_štud_VŠ_graf_3!$S$3)</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extLst/>
            </c:strRef>
          </c:cat>
          <c:val>
            <c:numRef>
              <c:f>(Zdroj_štud_VŠ_graf_3!$C$5:$J$5,Zdroj_štud_VŠ_graf_3!$K$5,Zdroj_štud_VŠ_graf_3!$M$5,Zdroj_štud_VŠ_graf_3!$O$5,Zdroj_štud_VŠ_graf_3!$Q$5,Zdroj_štud_VŠ_graf_3!$S$5)</c:f>
              <c:numCache>
                <c:formatCode>#,##0</c:formatCode>
                <c:ptCount val="10"/>
                <c:pt idx="0">
                  <c:v>16402</c:v>
                </c:pt>
                <c:pt idx="1">
                  <c:v>15403</c:v>
                </c:pt>
                <c:pt idx="2">
                  <c:v>14286</c:v>
                </c:pt>
                <c:pt idx="3">
                  <c:v>13108</c:v>
                </c:pt>
                <c:pt idx="4">
                  <c:v>11748</c:v>
                </c:pt>
                <c:pt idx="5">
                  <c:v>11130</c:v>
                </c:pt>
                <c:pt idx="6">
                  <c:v>10976</c:v>
                </c:pt>
                <c:pt idx="7">
                  <c:v>10678</c:v>
                </c:pt>
                <c:pt idx="8">
                  <c:v>10543</c:v>
                </c:pt>
                <c:pt idx="9">
                  <c:v>10976</c:v>
                </c:pt>
              </c:numCache>
              <c:extLst/>
            </c:numRef>
          </c:val>
          <c:smooth val="0"/>
          <c:extLst>
            <c:ext xmlns:c16="http://schemas.microsoft.com/office/drawing/2014/chart" uri="{C3380CC4-5D6E-409C-BE32-E72D297353CC}">
              <c16:uniqueId val="{00000010-A2D2-4152-A3B1-055898C53D46}"/>
            </c:ext>
          </c:extLst>
        </c:ser>
        <c:ser>
          <c:idx val="3"/>
          <c:order val="2"/>
          <c:tx>
            <c:strRef>
              <c:f>Zdroj_štud_VŠ_graf_3!$A$6</c:f>
              <c:strCache>
                <c:ptCount val="1"/>
                <c:pt idx="0">
                  <c:v>TU KE</c:v>
                </c:pt>
              </c:strCache>
            </c:strRef>
          </c:tx>
          <c:marker>
            <c:symbol val="none"/>
          </c:marker>
          <c:dLbls>
            <c:dLbl>
              <c:idx val="0"/>
              <c:layout>
                <c:manualLayout>
                  <c:x val="-4.4329660610408765E-2"/>
                  <c:y val="-4.5827149002540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2D2-4152-A3B1-055898C53D46}"/>
                </c:ext>
              </c:extLst>
            </c:dLbl>
            <c:dLbl>
              <c:idx val="1"/>
              <c:layout>
                <c:manualLayout>
                  <c:x val="-4.0360529546943739E-2"/>
                  <c:y val="-3.04765917838544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2D2-4152-A3B1-055898C53D46}"/>
                </c:ext>
              </c:extLst>
            </c:dLbl>
            <c:dLbl>
              <c:idx val="2"/>
              <c:layout>
                <c:manualLayout>
                  <c:x val="-3.2713506310033939E-2"/>
                  <c:y val="-1.87605343261805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2D2-4152-A3B1-055898C53D46}"/>
                </c:ext>
              </c:extLst>
            </c:dLbl>
            <c:dLbl>
              <c:idx val="3"/>
              <c:layout>
                <c:manualLayout>
                  <c:x val="-4.1532812943344828E-2"/>
                  <c:y val="-2.0284080903625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2D2-4152-A3B1-055898C53D46}"/>
                </c:ext>
              </c:extLst>
            </c:dLbl>
            <c:dLbl>
              <c:idx val="4"/>
              <c:layout>
                <c:manualLayout>
                  <c:x val="-3.4710938159025977E-2"/>
                  <c:y val="5.314331714924679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2D2-4152-A3B1-055898C53D46}"/>
                </c:ext>
              </c:extLst>
            </c:dLbl>
            <c:dLbl>
              <c:idx val="5"/>
              <c:layout>
                <c:manualLayout>
                  <c:x val="-4.551813341263318E-2"/>
                  <c:y val="1.1820457346984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2D2-4152-A3B1-055898C53D46}"/>
                </c:ext>
              </c:extLst>
            </c:dLbl>
            <c:dLbl>
              <c:idx val="6"/>
              <c:layout>
                <c:manualLayout>
                  <c:x val="-3.7826278426606068E-2"/>
                  <c:y val="-1.2511721715314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2D2-4152-A3B1-055898C53D46}"/>
                </c:ext>
              </c:extLst>
            </c:dLbl>
            <c:dLbl>
              <c:idx val="7"/>
              <c:layout>
                <c:manualLayout>
                  <c:x val="-4.4228187919463084E-2"/>
                  <c:y val="-1.46621913281633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47-4D46-9B6B-5AC8B4BF2BA9}"/>
                </c:ext>
              </c:extLst>
            </c:dLbl>
            <c:dLbl>
              <c:idx val="9"/>
              <c:layout>
                <c:manualLayout>
                  <c:x val="-3.5322975567651356E-2"/>
                  <c:y val="-1.4662191328163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47-4D46-9B6B-5AC8B4BF2BA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(Zdroj_štud_VŠ_graf_3!$C$3:$J$3,Zdroj_štud_VŠ_graf_3!$K$3,Zdroj_štud_VŠ_graf_3!$M$3,Zdroj_štud_VŠ_graf_3!$O$3,Zdroj_štud_VŠ_graf_3!$Q$3,Zdroj_štud_VŠ_graf_3!$S$3)</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extLst/>
            </c:strRef>
          </c:cat>
          <c:val>
            <c:numRef>
              <c:f>(Zdroj_štud_VŠ_graf_3!$C$6:$J$6,Zdroj_štud_VŠ_graf_3!$K$6,Zdroj_štud_VŠ_graf_3!$M$6,Zdroj_štud_VŠ_graf_3!$O$6,Zdroj_štud_VŠ_graf_3!$Q$6,Zdroj_štud_VŠ_graf_3!$S$6)</c:f>
              <c:numCache>
                <c:formatCode>#,##0</c:formatCode>
                <c:ptCount val="10"/>
                <c:pt idx="0">
                  <c:v>11703</c:v>
                </c:pt>
                <c:pt idx="1">
                  <c:v>10641</c:v>
                </c:pt>
                <c:pt idx="2">
                  <c:v>9713</c:v>
                </c:pt>
                <c:pt idx="3">
                  <c:v>9013</c:v>
                </c:pt>
                <c:pt idx="4">
                  <c:v>8766</c:v>
                </c:pt>
                <c:pt idx="5">
                  <c:v>9110</c:v>
                </c:pt>
                <c:pt idx="6">
                  <c:v>9325</c:v>
                </c:pt>
                <c:pt idx="7">
                  <c:v>9348</c:v>
                </c:pt>
                <c:pt idx="8">
                  <c:v>9588</c:v>
                </c:pt>
                <c:pt idx="9">
                  <c:v>11263</c:v>
                </c:pt>
              </c:numCache>
              <c:extLst/>
            </c:numRef>
          </c:val>
          <c:smooth val="0"/>
          <c:extLst>
            <c:ext xmlns:c16="http://schemas.microsoft.com/office/drawing/2014/chart" uri="{C3380CC4-5D6E-409C-BE32-E72D297353CC}">
              <c16:uniqueId val="{0000001C-A2D2-4152-A3B1-055898C53D46}"/>
            </c:ext>
          </c:extLst>
        </c:ser>
        <c:ser>
          <c:idx val="4"/>
          <c:order val="3"/>
          <c:tx>
            <c:strRef>
              <c:f>Zdroj_štud_VŠ_graf_3!$A$7</c:f>
              <c:strCache>
                <c:ptCount val="1"/>
                <c:pt idx="0">
                  <c:v>ŽU </c:v>
                </c:pt>
              </c:strCache>
            </c:strRef>
          </c:tx>
          <c:marker>
            <c:symbol val="none"/>
          </c:marker>
          <c:dLbls>
            <c:dLbl>
              <c:idx val="4"/>
              <c:layout>
                <c:manualLayout>
                  <c:x val="-3.1966237420192618E-2"/>
                  <c:y val="7.987220447284271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2D2-4152-A3B1-055898C53D4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(Zdroj_štud_VŠ_graf_3!$C$3:$J$3,Zdroj_štud_VŠ_graf_3!$K$3,Zdroj_štud_VŠ_graf_3!$M$3,Zdroj_štud_VŠ_graf_3!$O$3,Zdroj_štud_VŠ_graf_3!$Q$3,Zdroj_štud_VŠ_graf_3!$S$3)</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extLst/>
            </c:strRef>
          </c:cat>
          <c:val>
            <c:numRef>
              <c:f>(Zdroj_štud_VŠ_graf_3!$C$7:$J$7,Zdroj_štud_VŠ_graf_3!$K$7,Zdroj_štud_VŠ_graf_3!$M$7,Zdroj_štud_VŠ_graf_3!$O$7,Zdroj_štud_VŠ_graf_3!$Q$7,Zdroj_štud_VŠ_graf_3!$S$7)</c:f>
              <c:numCache>
                <c:formatCode>#,##0</c:formatCode>
                <c:ptCount val="10"/>
                <c:pt idx="0">
                  <c:v>10250</c:v>
                </c:pt>
                <c:pt idx="1">
                  <c:v>9525</c:v>
                </c:pt>
                <c:pt idx="2">
                  <c:v>8792</c:v>
                </c:pt>
                <c:pt idx="3">
                  <c:v>8149</c:v>
                </c:pt>
                <c:pt idx="4">
                  <c:v>7728</c:v>
                </c:pt>
                <c:pt idx="5">
                  <c:v>7531</c:v>
                </c:pt>
                <c:pt idx="6">
                  <c:v>7464</c:v>
                </c:pt>
                <c:pt idx="7">
                  <c:v>7852</c:v>
                </c:pt>
                <c:pt idx="8">
                  <c:v>7541</c:v>
                </c:pt>
                <c:pt idx="9">
                  <c:v>7409</c:v>
                </c:pt>
              </c:numCache>
              <c:extLst/>
            </c:numRef>
          </c:val>
          <c:smooth val="0"/>
          <c:extLst>
            <c:ext xmlns:c16="http://schemas.microsoft.com/office/drawing/2014/chart" uri="{C3380CC4-5D6E-409C-BE32-E72D297353CC}">
              <c16:uniqueId val="{0000002A-A2D2-4152-A3B1-055898C53D46}"/>
            </c:ext>
          </c:extLst>
        </c:ser>
        <c:ser>
          <c:idx val="5"/>
          <c:order val="4"/>
          <c:tx>
            <c:strRef>
              <c:f>Zdroj_štud_VŠ_graf_3!$A$8</c:f>
              <c:strCache>
                <c:ptCount val="1"/>
                <c:pt idx="0">
                  <c:v>SPU</c:v>
                </c:pt>
              </c:strCache>
            </c:strRef>
          </c:tx>
          <c:marker>
            <c:symbol val="none"/>
          </c:marker>
          <c:dLbls>
            <c:dLbl>
              <c:idx val="6"/>
              <c:layout>
                <c:manualLayout>
                  <c:x val="-4.0623309165674866E-2"/>
                  <c:y val="4.4339136122361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A2D2-4152-A3B1-055898C53D46}"/>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(Zdroj_štud_VŠ_graf_3!$C$3:$J$3,Zdroj_štud_VŠ_graf_3!$K$3,Zdroj_štud_VŠ_graf_3!$M$3,Zdroj_štud_VŠ_graf_3!$O$3,Zdroj_štud_VŠ_graf_3!$Q$3,Zdroj_štud_VŠ_graf_3!$S$3)</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extLst/>
            </c:strRef>
          </c:cat>
          <c:val>
            <c:numRef>
              <c:f>(Zdroj_štud_VŠ_graf_3!$C$8:$J$8,Zdroj_štud_VŠ_graf_3!$K$8,Zdroj_štud_VŠ_graf_3!$M$8,Zdroj_štud_VŠ_graf_3!$O$8,Zdroj_štud_VŠ_graf_3!$Q$8,Zdroj_štud_VŠ_graf_3!$S$8)</c:f>
              <c:numCache>
                <c:formatCode>#,##0</c:formatCode>
                <c:ptCount val="10"/>
                <c:pt idx="0">
                  <c:v>8997</c:v>
                </c:pt>
                <c:pt idx="1">
                  <c:v>8681</c:v>
                </c:pt>
                <c:pt idx="2">
                  <c:v>8248</c:v>
                </c:pt>
                <c:pt idx="3">
                  <c:v>7515</c:v>
                </c:pt>
                <c:pt idx="4">
                  <c:v>6720</c:v>
                </c:pt>
                <c:pt idx="5">
                  <c:v>6250</c:v>
                </c:pt>
                <c:pt idx="6">
                  <c:v>5707</c:v>
                </c:pt>
                <c:pt idx="7">
                  <c:v>5236</c:v>
                </c:pt>
                <c:pt idx="8">
                  <c:v>4871</c:v>
                </c:pt>
                <c:pt idx="9">
                  <c:v>4549</c:v>
                </c:pt>
              </c:numCache>
              <c:extLst/>
            </c:numRef>
          </c:val>
          <c:smooth val="0"/>
          <c:extLst>
            <c:ext xmlns:c16="http://schemas.microsoft.com/office/drawing/2014/chart" uri="{C3380CC4-5D6E-409C-BE32-E72D297353CC}">
              <c16:uniqueId val="{00000038-A2D2-4152-A3B1-055898C53D46}"/>
            </c:ext>
          </c:extLst>
        </c:ser>
        <c:ser>
          <c:idx val="0"/>
          <c:order val="5"/>
          <c:tx>
            <c:strRef>
              <c:f>Zdroj_štud_VŠ_graf_3!$A$9</c:f>
              <c:strCache>
                <c:ptCount val="1"/>
                <c:pt idx="0">
                  <c:v>TU ZV</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(Zdroj_štud_VŠ_graf_3!$C$3:$J$3,Zdroj_štud_VŠ_graf_3!$K$3,Zdroj_štud_VŠ_graf_3!$M$3,Zdroj_štud_VŠ_graf_3!$O$3,Zdroj_štud_VŠ_graf_3!$Q$3,Zdroj_štud_VŠ_graf_3!$S$3)</c:f>
              <c:strCache>
                <c:ptCount val="10"/>
                <c:pt idx="0">
                  <c:v>2013/2014</c:v>
                </c:pt>
                <c:pt idx="1">
                  <c:v>2014/2015</c:v>
                </c:pt>
                <c:pt idx="2">
                  <c:v>2015/2016</c:v>
                </c:pt>
                <c:pt idx="3">
                  <c:v>2016/2017</c:v>
                </c:pt>
                <c:pt idx="4">
                  <c:v>2017/2018</c:v>
                </c:pt>
                <c:pt idx="5">
                  <c:v>2018/2019</c:v>
                </c:pt>
                <c:pt idx="6">
                  <c:v>2019/2020</c:v>
                </c:pt>
                <c:pt idx="7">
                  <c:v>2020/2021</c:v>
                </c:pt>
                <c:pt idx="8">
                  <c:v>2021/2022</c:v>
                </c:pt>
                <c:pt idx="9">
                  <c:v>2022/2023</c:v>
                </c:pt>
              </c:strCache>
              <c:extLst/>
            </c:strRef>
          </c:cat>
          <c:val>
            <c:numRef>
              <c:f>(Zdroj_štud_VŠ_graf_3!$C$9:$J$9,Zdroj_štud_VŠ_graf_3!$K$9,Zdroj_štud_VŠ_graf_3!$M$9,Zdroj_štud_VŠ_graf_3!$O$9,Zdroj_štud_VŠ_graf_3!$Q$9,Zdroj_štud_VŠ_graf_3!$S$9)</c:f>
              <c:numCache>
                <c:formatCode>#,##0</c:formatCode>
                <c:ptCount val="10"/>
                <c:pt idx="0">
                  <c:v>4209</c:v>
                </c:pt>
                <c:pt idx="1">
                  <c:v>3862</c:v>
                </c:pt>
                <c:pt idx="2">
                  <c:v>3481</c:v>
                </c:pt>
                <c:pt idx="3">
                  <c:v>3028</c:v>
                </c:pt>
                <c:pt idx="4">
                  <c:v>2672</c:v>
                </c:pt>
                <c:pt idx="5">
                  <c:v>2506</c:v>
                </c:pt>
                <c:pt idx="6">
                  <c:v>2346</c:v>
                </c:pt>
                <c:pt idx="7">
                  <c:v>2171</c:v>
                </c:pt>
                <c:pt idx="8">
                  <c:v>2037</c:v>
                </c:pt>
                <c:pt idx="9">
                  <c:v>1928</c:v>
                </c:pt>
              </c:numCache>
              <c:extLst/>
            </c:numRef>
          </c:val>
          <c:smooth val="0"/>
          <c:extLst>
            <c:ext xmlns:c16="http://schemas.microsoft.com/office/drawing/2014/chart" uri="{C3380CC4-5D6E-409C-BE32-E72D297353CC}">
              <c16:uniqueId val="{00000042-A2D2-4152-A3B1-055898C53D46}"/>
            </c:ext>
          </c:extLst>
        </c:ser>
        <c:dLbls>
          <c:dLblPos val="t"/>
          <c:showLegendKey val="0"/>
          <c:showVal val="1"/>
          <c:showCatName val="0"/>
          <c:showSerName val="0"/>
          <c:showPercent val="0"/>
          <c:showBubbleSize val="0"/>
        </c:dLbls>
        <c:smooth val="0"/>
        <c:axId val="141060096"/>
        <c:axId val="200050944"/>
      </c:lineChart>
      <c:catAx>
        <c:axId val="141060096"/>
        <c:scaling>
          <c:orientation val="minMax"/>
        </c:scaling>
        <c:delete val="0"/>
        <c:axPos val="b"/>
        <c:numFmt formatCode="General" sourceLinked="0"/>
        <c:majorTickMark val="none"/>
        <c:minorTickMark val="none"/>
        <c:tickLblPos val="nextTo"/>
        <c:txPr>
          <a:bodyPr rot="-1380000"/>
          <a:lstStyle/>
          <a:p>
            <a:pPr>
              <a:defRPr sz="900"/>
            </a:pPr>
            <a:endParaRPr lang="sk-SK"/>
          </a:p>
        </c:txPr>
        <c:crossAx val="200050944"/>
        <c:crosses val="autoZero"/>
        <c:auto val="1"/>
        <c:lblAlgn val="ctr"/>
        <c:lblOffset val="100"/>
        <c:noMultiLvlLbl val="0"/>
      </c:catAx>
      <c:valAx>
        <c:axId val="200050944"/>
        <c:scaling>
          <c:orientation val="minMax"/>
        </c:scaling>
        <c:delete val="0"/>
        <c:axPos val="l"/>
        <c:majorGridlines>
          <c: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majorGridlines>
        <c:numFmt formatCode="#,##0" sourceLinked="1"/>
        <c:majorTickMark val="none"/>
        <c:minorTickMark val="none"/>
        <c:tickLblPos val="nextTo"/>
        <c:crossAx val="141060096"/>
        <c:crosses val="autoZero"/>
        <c:crossBetween val="between"/>
      </c:valAx>
    </c:plotArea>
    <c:legend>
      <c:legendPos val="b"/>
      <c:layout>
        <c:manualLayout>
          <c:xMode val="edge"/>
          <c:yMode val="edge"/>
          <c:x val="0.26968319826007303"/>
          <c:y val="0.93924396597140369"/>
          <c:w val="0.54449169197553959"/>
          <c:h val="5.8050089695854228E-2"/>
        </c:manualLayout>
      </c:layout>
      <c:overlay val="0"/>
    </c:legend>
    <c:plotVisOnly val="1"/>
    <c:dispBlanksAs val="gap"/>
    <c:showDLblsOverMax val="0"/>
  </c:chart>
  <c:spPr>
    <a:ln>
      <a:noFill/>
    </a:ln>
  </c:spPr>
  <c:txPr>
    <a:bodyPr/>
    <a:lstStyle/>
    <a:p>
      <a:pPr>
        <a:defRPr sz="1000">
          <a:latin typeface="+mj-lt"/>
        </a:defRPr>
      </a:pPr>
      <a:endParaRPr lang="sk-SK"/>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'graf.č.5.priemer na pracov'!$A$113</c:f>
              <c:strCache>
                <c:ptCount val="1"/>
                <c:pt idx="0">
                  <c:v>STU</c:v>
                </c:pt>
              </c:strCache>
            </c:strRef>
          </c:tx>
          <c:spPr>
            <a:solidFill>
              <a:srgbClr val="C00000"/>
            </a:solidFill>
          </c:spPr>
          <c:invertIfNegative val="0"/>
          <c:dPt>
            <c:idx val="0"/>
            <c:invertIfNegative val="0"/>
            <c:bubble3D val="0"/>
            <c:spPr>
              <a:solidFill>
                <a:srgbClr val="FF9900"/>
              </a:solidFill>
            </c:spPr>
            <c:extLst>
              <c:ext xmlns:c16="http://schemas.microsoft.com/office/drawing/2014/chart" uri="{C3380CC4-5D6E-409C-BE32-E72D297353CC}">
                <c16:uniqueId val="{00000001-AAA1-4700-B9DE-BCDF530E0D58}"/>
              </c:ext>
            </c:extLst>
          </c:dPt>
          <c:dPt>
            <c:idx val="1"/>
            <c:invertIfNegative val="0"/>
            <c:bubble3D val="0"/>
            <c:spPr>
              <a:solidFill>
                <a:schemeClr val="bg1">
                  <a:lumMod val="50000"/>
                </a:schemeClr>
              </a:solidFill>
            </c:spPr>
            <c:extLst>
              <c:ext xmlns:c16="http://schemas.microsoft.com/office/drawing/2014/chart" uri="{C3380CC4-5D6E-409C-BE32-E72D297353CC}">
                <c16:uniqueId val="{00000003-AAA1-4700-B9DE-BCDF530E0D58}"/>
              </c:ext>
            </c:extLst>
          </c:dPt>
          <c:dPt>
            <c:idx val="2"/>
            <c:invertIfNegative val="0"/>
            <c:bubble3D val="0"/>
            <c:spPr>
              <a:solidFill>
                <a:srgbClr val="0070C0"/>
              </a:solidFill>
            </c:spPr>
            <c:extLst>
              <c:ext xmlns:c16="http://schemas.microsoft.com/office/drawing/2014/chart" uri="{C3380CC4-5D6E-409C-BE32-E72D297353CC}">
                <c16:uniqueId val="{00000005-AAA1-4700-B9DE-BCDF530E0D58}"/>
              </c:ext>
            </c:extLst>
          </c:dPt>
          <c:dPt>
            <c:idx val="3"/>
            <c:invertIfNegative val="0"/>
            <c:bubble3D val="0"/>
            <c:spPr>
              <a:solidFill>
                <a:srgbClr val="FFCC00"/>
              </a:solidFill>
            </c:spPr>
            <c:extLst>
              <c:ext xmlns:c16="http://schemas.microsoft.com/office/drawing/2014/chart" uri="{C3380CC4-5D6E-409C-BE32-E72D297353CC}">
                <c16:uniqueId val="{00000007-AAA1-4700-B9DE-BCDF530E0D58}"/>
              </c:ext>
            </c:extLst>
          </c:dPt>
          <c:dPt>
            <c:idx val="4"/>
            <c:invertIfNegative val="0"/>
            <c:bubble3D val="0"/>
            <c:spPr>
              <a:solidFill>
                <a:srgbClr val="00B050"/>
              </a:solidFill>
            </c:spPr>
            <c:extLst>
              <c:ext xmlns:c16="http://schemas.microsoft.com/office/drawing/2014/chart" uri="{C3380CC4-5D6E-409C-BE32-E72D297353CC}">
                <c16:uniqueId val="{00000009-AAA1-4700-B9DE-BCDF530E0D58}"/>
              </c:ext>
            </c:extLst>
          </c:dPt>
          <c:dPt>
            <c:idx val="5"/>
            <c:invertIfNegative val="0"/>
            <c:bubble3D val="0"/>
            <c:spPr>
              <a:solidFill>
                <a:srgbClr val="FF0000"/>
              </a:solidFill>
            </c:spPr>
            <c:extLst>
              <c:ext xmlns:c16="http://schemas.microsoft.com/office/drawing/2014/chart" uri="{C3380CC4-5D6E-409C-BE32-E72D297353CC}">
                <c16:uniqueId val="{0000000B-AAA1-4700-B9DE-BCDF530E0D58}"/>
              </c:ext>
            </c:extLst>
          </c:dPt>
          <c:dPt>
            <c:idx val="6"/>
            <c:invertIfNegative val="0"/>
            <c:bubble3D val="0"/>
            <c:spPr>
              <a:solidFill>
                <a:srgbClr val="00B0F0"/>
              </a:solidFill>
            </c:spPr>
            <c:extLst>
              <c:ext xmlns:c16="http://schemas.microsoft.com/office/drawing/2014/chart" uri="{C3380CC4-5D6E-409C-BE32-E72D297353CC}">
                <c16:uniqueId val="{0000000D-AAA1-4700-B9DE-BCDF530E0D58}"/>
              </c:ext>
            </c:extLst>
          </c:dPt>
          <c:dPt>
            <c:idx val="7"/>
            <c:invertIfNegative val="0"/>
            <c:bubble3D val="0"/>
            <c:spPr>
              <a:solidFill>
                <a:srgbClr val="7030A0"/>
              </a:solidFill>
            </c:spPr>
            <c:extLst>
              <c:ext xmlns:c16="http://schemas.microsoft.com/office/drawing/2014/chart" uri="{C3380CC4-5D6E-409C-BE32-E72D297353CC}">
                <c16:uniqueId val="{0000000F-AAA1-4700-B9DE-BCDF530E0D58}"/>
              </c:ext>
            </c:extLst>
          </c:dPt>
          <c:cat>
            <c:strRef>
              <c:f>'graf.č.5.priemer na pracov'!$B$107:$I$107</c:f>
              <c:strCache>
                <c:ptCount val="8"/>
                <c:pt idx="0">
                  <c:v>SvF</c:v>
                </c:pt>
                <c:pt idx="1">
                  <c:v>SjF</c:v>
                </c:pt>
                <c:pt idx="2">
                  <c:v>FEI</c:v>
                </c:pt>
                <c:pt idx="3">
                  <c:v>FCHPT</c:v>
                </c:pt>
                <c:pt idx="4">
                  <c:v>FAD</c:v>
                </c:pt>
                <c:pt idx="5">
                  <c:v>MTF</c:v>
                </c:pt>
                <c:pt idx="6">
                  <c:v>FIIT</c:v>
                </c:pt>
                <c:pt idx="7">
                  <c:v>ÚM</c:v>
                </c:pt>
              </c:strCache>
            </c:strRef>
          </c:cat>
          <c:val>
            <c:numRef>
              <c:f>'graf.č.5.priemer na pracov'!$B$113:$I$113</c:f>
              <c:numCache>
                <c:formatCode>#,##0</c:formatCode>
                <c:ptCount val="8"/>
                <c:pt idx="0">
                  <c:v>2586.2994006579243</c:v>
                </c:pt>
                <c:pt idx="1">
                  <c:v>5980.8402366863902</c:v>
                </c:pt>
                <c:pt idx="2">
                  <c:v>4110.491513288127</c:v>
                </c:pt>
                <c:pt idx="3">
                  <c:v>5920.4486811926618</c:v>
                </c:pt>
                <c:pt idx="4">
                  <c:v>0</c:v>
                </c:pt>
                <c:pt idx="5">
                  <c:v>2805.1613951473141</c:v>
                </c:pt>
                <c:pt idx="6">
                  <c:v>1466.5389037945572</c:v>
                </c:pt>
                <c:pt idx="7">
                  <c:v>841.55345540460723</c:v>
                </c:pt>
              </c:numCache>
            </c:numRef>
          </c:val>
          <c:extLst>
            <c:ext xmlns:c16="http://schemas.microsoft.com/office/drawing/2014/chart" uri="{C3380CC4-5D6E-409C-BE32-E72D297353CC}">
              <c16:uniqueId val="{00000010-AAA1-4700-B9DE-BCDF530E0D58}"/>
            </c:ext>
          </c:extLst>
        </c:ser>
        <c:dLbls>
          <c:showLegendKey val="0"/>
          <c:showVal val="0"/>
          <c:showCatName val="0"/>
          <c:showSerName val="0"/>
          <c:showPercent val="0"/>
          <c:showBubbleSize val="0"/>
        </c:dLbls>
        <c:gapWidth val="150"/>
        <c:shape val="cylinder"/>
        <c:axId val="2094749152"/>
        <c:axId val="1"/>
        <c:axId val="0"/>
      </c:bar3DChart>
      <c:catAx>
        <c:axId val="209474915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sk-SK"/>
                  <a:t>EUR</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2094749152"/>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sk-SK"/>
          </a:p>
        </c:txPr>
      </c:dTable>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floor>
    <c:sideWall>
      <c:thickness val="0"/>
    </c:sideWall>
    <c:backWall>
      <c:thickness val="0"/>
    </c:backWall>
    <c:plotArea>
      <c:layout/>
      <c:pie3DChart>
        <c:varyColors val="1"/>
        <c:ser>
          <c:idx val="0"/>
          <c:order val="0"/>
          <c:explosion val="25"/>
          <c:dPt>
            <c:idx val="0"/>
            <c:bubble3D val="0"/>
            <c:spPr>
              <a:solidFill>
                <a:srgbClr val="00B0F0"/>
              </a:solidFill>
            </c:spPr>
            <c:extLst>
              <c:ext xmlns:c16="http://schemas.microsoft.com/office/drawing/2014/chart" uri="{C3380CC4-5D6E-409C-BE32-E72D297353CC}">
                <c16:uniqueId val="{00000001-C875-469C-8579-DA3DDADD32D9}"/>
              </c:ext>
            </c:extLst>
          </c:dPt>
          <c:dPt>
            <c:idx val="1"/>
            <c:bubble3D val="0"/>
            <c:spPr>
              <a:solidFill>
                <a:srgbClr val="C00000"/>
              </a:solidFill>
            </c:spPr>
            <c:extLst>
              <c:ext xmlns:c16="http://schemas.microsoft.com/office/drawing/2014/chart" uri="{C3380CC4-5D6E-409C-BE32-E72D297353CC}">
                <c16:uniqueId val="{00000003-C875-469C-8579-DA3DDADD32D9}"/>
              </c:ext>
            </c:extLst>
          </c:dPt>
          <c:dPt>
            <c:idx val="2"/>
            <c:bubble3D val="0"/>
            <c:spPr>
              <a:solidFill>
                <a:schemeClr val="accent3"/>
              </a:solidFill>
            </c:spPr>
            <c:extLst>
              <c:ext xmlns:c16="http://schemas.microsoft.com/office/drawing/2014/chart" uri="{C3380CC4-5D6E-409C-BE32-E72D297353CC}">
                <c16:uniqueId val="{00000005-C875-469C-8579-DA3DDADD32D9}"/>
              </c:ext>
            </c:extLst>
          </c:dPt>
          <c:dPt>
            <c:idx val="3"/>
            <c:bubble3D val="0"/>
            <c:spPr>
              <a:solidFill>
                <a:schemeClr val="tx1"/>
              </a:solidFill>
            </c:spPr>
            <c:extLst>
              <c:ext xmlns:c16="http://schemas.microsoft.com/office/drawing/2014/chart" uri="{C3380CC4-5D6E-409C-BE32-E72D297353CC}">
                <c16:uniqueId val="{00000007-C875-469C-8579-DA3DDADD32D9}"/>
              </c:ext>
            </c:extLst>
          </c:dPt>
          <c:dPt>
            <c:idx val="4"/>
            <c:bubble3D val="0"/>
            <c:spPr>
              <a:solidFill>
                <a:schemeClr val="accent6"/>
              </a:solidFill>
            </c:spPr>
            <c:extLst>
              <c:ext xmlns:c16="http://schemas.microsoft.com/office/drawing/2014/chart" uri="{C3380CC4-5D6E-409C-BE32-E72D297353CC}">
                <c16:uniqueId val="{00000009-C875-469C-8579-DA3DDADD32D9}"/>
              </c:ext>
            </c:extLst>
          </c:dPt>
          <c:dPt>
            <c:idx val="5"/>
            <c:bubble3D val="0"/>
            <c:spPr>
              <a:solidFill>
                <a:srgbClr val="FFFF00"/>
              </a:solidFill>
            </c:spPr>
            <c:extLst>
              <c:ext xmlns:c16="http://schemas.microsoft.com/office/drawing/2014/chart" uri="{C3380CC4-5D6E-409C-BE32-E72D297353CC}">
                <c16:uniqueId val="{0000000B-C875-469C-8579-DA3DDADD32D9}"/>
              </c:ext>
            </c:extLst>
          </c:dPt>
          <c:dPt>
            <c:idx val="6"/>
            <c:bubble3D val="0"/>
            <c:spPr>
              <a:solidFill>
                <a:srgbClr val="FF0000"/>
              </a:solidFill>
            </c:spPr>
            <c:extLst>
              <c:ext xmlns:c16="http://schemas.microsoft.com/office/drawing/2014/chart" uri="{C3380CC4-5D6E-409C-BE32-E72D297353CC}">
                <c16:uniqueId val="{0000000D-C875-469C-8579-DA3DDADD32D9}"/>
              </c:ext>
            </c:extLst>
          </c:dPt>
          <c:dPt>
            <c:idx val="7"/>
            <c:bubble3D val="0"/>
            <c:spPr>
              <a:solidFill>
                <a:srgbClr val="7030A0"/>
              </a:solidFill>
            </c:spPr>
            <c:extLst>
              <c:ext xmlns:c16="http://schemas.microsoft.com/office/drawing/2014/chart" uri="{C3380CC4-5D6E-409C-BE32-E72D297353CC}">
                <c16:uniqueId val="{0000000F-C875-469C-8579-DA3DDADD32D9}"/>
              </c:ext>
            </c:extLst>
          </c:dPt>
          <c:dLbls>
            <c:spPr>
              <a:noFill/>
              <a:ln>
                <a:noFill/>
              </a:ln>
              <a:effectLst/>
            </c:spPr>
            <c:txPr>
              <a:bodyPr wrap="square" lIns="38100" tIns="19050" rIns="38100" bIns="19050" anchor="ctr">
                <a:spAutoFit/>
              </a:bodyPr>
              <a:lstStyle/>
              <a:p>
                <a:pPr>
                  <a:defRPr>
                    <a:latin typeface="+mj-lt"/>
                  </a:defRPr>
                </a:pPr>
                <a:endParaRPr lang="sk-SK"/>
              </a:p>
            </c:txPr>
            <c:showLegendKey val="0"/>
            <c:showVal val="0"/>
            <c:showCatName val="1"/>
            <c:showSerName val="0"/>
            <c:showPercent val="1"/>
            <c:showBubbleSize val="0"/>
            <c:showLeaderLines val="1"/>
            <c:extLst>
              <c:ext xmlns:c15="http://schemas.microsoft.com/office/drawing/2012/chart" uri="{CE6537A1-D6FC-4f65-9D91-7224C49458BB}"/>
            </c:extLst>
          </c:dLbls>
          <c:cat>
            <c:strRef>
              <c:f>'graf 5.1.bVyskumneProjekty'!$S$53:$S$60</c:f>
              <c:strCache>
                <c:ptCount val="8"/>
                <c:pt idx="0">
                  <c:v>UK</c:v>
                </c:pt>
                <c:pt idx="1">
                  <c:v>STU</c:v>
                </c:pt>
                <c:pt idx="2">
                  <c:v>TUAD</c:v>
                </c:pt>
                <c:pt idx="3">
                  <c:v>TUKE</c:v>
                </c:pt>
                <c:pt idx="4">
                  <c:v>SPU</c:v>
                </c:pt>
                <c:pt idx="5">
                  <c:v>TVU</c:v>
                </c:pt>
                <c:pt idx="6">
                  <c:v>ŽU</c:v>
                </c:pt>
                <c:pt idx="7">
                  <c:v>Ostatní</c:v>
                </c:pt>
              </c:strCache>
            </c:strRef>
          </c:cat>
          <c:val>
            <c:numRef>
              <c:f>'graf 5.1.bVyskumneProjekty'!$T$53:$T$60</c:f>
              <c:numCache>
                <c:formatCode>0.00</c:formatCode>
                <c:ptCount val="8"/>
                <c:pt idx="0">
                  <c:v>18.914802047870584</c:v>
                </c:pt>
                <c:pt idx="1">
                  <c:v>17.648136873923132</c:v>
                </c:pt>
                <c:pt idx="2">
                  <c:v>15.416398913317416</c:v>
                </c:pt>
                <c:pt idx="3">
                  <c:v>11.431388904900501</c:v>
                </c:pt>
                <c:pt idx="4">
                  <c:v>8.2642369039973129</c:v>
                </c:pt>
                <c:pt idx="5">
                  <c:v>6.1174153010270675</c:v>
                </c:pt>
                <c:pt idx="6">
                  <c:v>5.2750840861819368</c:v>
                </c:pt>
                <c:pt idx="7">
                  <c:v>16.93253696878206</c:v>
                </c:pt>
              </c:numCache>
            </c:numRef>
          </c:val>
          <c:extLst>
            <c:ext xmlns:c16="http://schemas.microsoft.com/office/drawing/2014/chart" uri="{C3380CC4-5D6E-409C-BE32-E72D297353CC}">
              <c16:uniqueId val="{00000010-C875-469C-8579-DA3DDADD32D9}"/>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30"/>
      <c:rAngAx val="0"/>
    </c:view3D>
    <c:floor>
      <c:thickness val="0"/>
    </c:floor>
    <c:sideWall>
      <c:thickness val="0"/>
    </c:sideWall>
    <c:backWall>
      <c:thickness val="0"/>
    </c:backWall>
    <c:plotArea>
      <c:layout/>
      <c:pie3DChart>
        <c:varyColors val="1"/>
        <c:ser>
          <c:idx val="0"/>
          <c:order val="0"/>
          <c:explosion val="25"/>
          <c:dPt>
            <c:idx val="0"/>
            <c:bubble3D val="0"/>
            <c:spPr>
              <a:solidFill>
                <a:schemeClr val="accent6"/>
              </a:solidFill>
            </c:spPr>
            <c:extLst>
              <c:ext xmlns:c16="http://schemas.microsoft.com/office/drawing/2014/chart" uri="{C3380CC4-5D6E-409C-BE32-E72D297353CC}">
                <c16:uniqueId val="{00000001-CFFD-4CFF-86A7-B4BF2A5EC714}"/>
              </c:ext>
            </c:extLst>
          </c:dPt>
          <c:dPt>
            <c:idx val="1"/>
            <c:bubble3D val="0"/>
            <c:spPr>
              <a:solidFill>
                <a:srgbClr val="C00000"/>
              </a:solidFill>
            </c:spPr>
            <c:extLst>
              <c:ext xmlns:c16="http://schemas.microsoft.com/office/drawing/2014/chart" uri="{C3380CC4-5D6E-409C-BE32-E72D297353CC}">
                <c16:uniqueId val="{00000003-CFFD-4CFF-86A7-B4BF2A5EC714}"/>
              </c:ext>
            </c:extLst>
          </c:dPt>
          <c:dPt>
            <c:idx val="2"/>
            <c:bubble3D val="0"/>
            <c:spPr>
              <a:solidFill>
                <a:srgbClr val="00B050"/>
              </a:solidFill>
            </c:spPr>
            <c:extLst>
              <c:ext xmlns:c16="http://schemas.microsoft.com/office/drawing/2014/chart" uri="{C3380CC4-5D6E-409C-BE32-E72D297353CC}">
                <c16:uniqueId val="{00000005-CFFD-4CFF-86A7-B4BF2A5EC714}"/>
              </c:ext>
            </c:extLst>
          </c:dPt>
          <c:dPt>
            <c:idx val="3"/>
            <c:bubble3D val="0"/>
            <c:spPr>
              <a:solidFill>
                <a:schemeClr val="tx1"/>
              </a:solidFill>
            </c:spPr>
            <c:extLst>
              <c:ext xmlns:c16="http://schemas.microsoft.com/office/drawing/2014/chart" uri="{C3380CC4-5D6E-409C-BE32-E72D297353CC}">
                <c16:uniqueId val="{00000007-CFFD-4CFF-86A7-B4BF2A5EC714}"/>
              </c:ext>
            </c:extLst>
          </c:dPt>
          <c:dPt>
            <c:idx val="4"/>
            <c:bubble3D val="0"/>
            <c:spPr>
              <a:solidFill>
                <a:srgbClr val="FF0000"/>
              </a:solidFill>
            </c:spPr>
            <c:extLst>
              <c:ext xmlns:c16="http://schemas.microsoft.com/office/drawing/2014/chart" uri="{C3380CC4-5D6E-409C-BE32-E72D297353CC}">
                <c16:uniqueId val="{00000009-CFFD-4CFF-86A7-B4BF2A5EC714}"/>
              </c:ext>
            </c:extLst>
          </c:dPt>
          <c:dPt>
            <c:idx val="5"/>
            <c:bubble3D val="0"/>
            <c:spPr>
              <a:solidFill>
                <a:schemeClr val="accent2">
                  <a:lumMod val="75000"/>
                </a:schemeClr>
              </a:solidFill>
            </c:spPr>
            <c:extLst>
              <c:ext xmlns:c16="http://schemas.microsoft.com/office/drawing/2014/chart" uri="{C3380CC4-5D6E-409C-BE32-E72D297353CC}">
                <c16:uniqueId val="{0000000B-CFFD-4CFF-86A7-B4BF2A5EC714}"/>
              </c:ext>
            </c:extLst>
          </c:dPt>
          <c:dPt>
            <c:idx val="6"/>
            <c:bubble3D val="0"/>
            <c:spPr>
              <a:solidFill>
                <a:schemeClr val="bg1">
                  <a:lumMod val="75000"/>
                </a:schemeClr>
              </a:solidFill>
            </c:spPr>
            <c:extLst>
              <c:ext xmlns:c16="http://schemas.microsoft.com/office/drawing/2014/chart" uri="{C3380CC4-5D6E-409C-BE32-E72D297353CC}">
                <c16:uniqueId val="{0000000D-CFFD-4CFF-86A7-B4BF2A5EC714}"/>
              </c:ext>
            </c:extLst>
          </c:dPt>
          <c:dPt>
            <c:idx val="7"/>
            <c:bubble3D val="0"/>
            <c:spPr>
              <a:solidFill>
                <a:schemeClr val="accent1">
                  <a:lumMod val="60000"/>
                  <a:lumOff val="40000"/>
                </a:schemeClr>
              </a:solidFill>
            </c:spPr>
            <c:extLst>
              <c:ext xmlns:c16="http://schemas.microsoft.com/office/drawing/2014/chart" uri="{C3380CC4-5D6E-409C-BE32-E72D297353CC}">
                <c16:uniqueId val="{0000000F-CFFD-4CFF-86A7-B4BF2A5EC714}"/>
              </c:ext>
            </c:extLst>
          </c:dPt>
          <c:dPt>
            <c:idx val="8"/>
            <c:bubble3D val="0"/>
            <c:spPr>
              <a:solidFill>
                <a:schemeClr val="accent3">
                  <a:lumMod val="40000"/>
                  <a:lumOff val="60000"/>
                </a:schemeClr>
              </a:solidFill>
            </c:spPr>
            <c:extLst>
              <c:ext xmlns:c16="http://schemas.microsoft.com/office/drawing/2014/chart" uri="{C3380CC4-5D6E-409C-BE32-E72D297353CC}">
                <c16:uniqueId val="{00000011-CFFD-4CFF-86A7-B4BF2A5EC714}"/>
              </c:ext>
            </c:extLst>
          </c:dPt>
          <c:dPt>
            <c:idx val="9"/>
            <c:bubble3D val="0"/>
            <c:spPr>
              <a:solidFill>
                <a:srgbClr val="00B0F0"/>
              </a:solidFill>
            </c:spPr>
            <c:extLst>
              <c:ext xmlns:c16="http://schemas.microsoft.com/office/drawing/2014/chart" uri="{C3380CC4-5D6E-409C-BE32-E72D297353CC}">
                <c16:uniqueId val="{00000013-CFFD-4CFF-86A7-B4BF2A5EC714}"/>
              </c:ext>
            </c:extLst>
          </c:dPt>
          <c:dPt>
            <c:idx val="10"/>
            <c:bubble3D val="0"/>
            <c:spPr>
              <a:solidFill>
                <a:srgbClr val="7030A0"/>
              </a:solidFill>
            </c:spPr>
            <c:extLst>
              <c:ext xmlns:c16="http://schemas.microsoft.com/office/drawing/2014/chart" uri="{C3380CC4-5D6E-409C-BE32-E72D297353CC}">
                <c16:uniqueId val="{00000015-CFFD-4CFF-86A7-B4BF2A5EC714}"/>
              </c:ext>
            </c:extLst>
          </c:dPt>
          <c:dLbls>
            <c:spPr>
              <a:noFill/>
              <a:ln>
                <a:noFill/>
              </a:ln>
              <a:effectLst/>
            </c:spPr>
            <c:txPr>
              <a:bodyPr wrap="square" lIns="38100" tIns="19050" rIns="38100" bIns="19050" anchor="ctr">
                <a:spAutoFit/>
              </a:bodyPr>
              <a:lstStyle/>
              <a:p>
                <a:pPr>
                  <a:defRPr>
                    <a:latin typeface="+mj-lt"/>
                  </a:defRPr>
                </a:pPr>
                <a:endParaRPr lang="sk-SK"/>
              </a:p>
            </c:txPr>
            <c:showLegendKey val="0"/>
            <c:showVal val="0"/>
            <c:showCatName val="1"/>
            <c:showSerName val="0"/>
            <c:showPercent val="1"/>
            <c:showBubbleSize val="0"/>
            <c:showLeaderLines val="1"/>
            <c:extLst>
              <c:ext xmlns:c15="http://schemas.microsoft.com/office/drawing/2012/chart" uri="{CE6537A1-D6FC-4f65-9D91-7224C49458BB}"/>
            </c:extLst>
          </c:dLbls>
          <c:cat>
            <c:strRef>
              <c:f>'graf 5.1.dOstatnéZahraničnéGran'!$R$53:$R$64</c:f>
              <c:strCache>
                <c:ptCount val="12"/>
                <c:pt idx="0">
                  <c:v>SPU</c:v>
                </c:pt>
                <c:pt idx="1">
                  <c:v>STU</c:v>
                </c:pt>
                <c:pt idx="2">
                  <c:v>EU</c:v>
                </c:pt>
                <c:pt idx="3">
                  <c:v>TUKE</c:v>
                </c:pt>
                <c:pt idx="4">
                  <c:v>ŽU</c:v>
                </c:pt>
                <c:pt idx="5">
                  <c:v>UKF</c:v>
                </c:pt>
                <c:pt idx="6">
                  <c:v>PU</c:v>
                </c:pt>
                <c:pt idx="7">
                  <c:v>UCM</c:v>
                </c:pt>
                <c:pt idx="8">
                  <c:v>UJS</c:v>
                </c:pt>
                <c:pt idx="9">
                  <c:v>UK</c:v>
                </c:pt>
                <c:pt idx="10">
                  <c:v>Ostatní</c:v>
                </c:pt>
                <c:pt idx="11">
                  <c:v>KU</c:v>
                </c:pt>
              </c:strCache>
            </c:strRef>
          </c:cat>
          <c:val>
            <c:numRef>
              <c:f>'graf 5.1.dOstatnéZahraničnéGran'!$S$53:$S$64</c:f>
              <c:numCache>
                <c:formatCode>0.00</c:formatCode>
                <c:ptCount val="12"/>
                <c:pt idx="0">
                  <c:v>19.568658357128811</c:v>
                </c:pt>
                <c:pt idx="1">
                  <c:v>8.6908001357548486</c:v>
                </c:pt>
                <c:pt idx="2">
                  <c:v>8.492184142056793</c:v>
                </c:pt>
                <c:pt idx="3">
                  <c:v>8.3777113895456807</c:v>
                </c:pt>
                <c:pt idx="4">
                  <c:v>8.0954734092835636</c:v>
                </c:pt>
                <c:pt idx="5">
                  <c:v>7.2282270727616647</c:v>
                </c:pt>
                <c:pt idx="6">
                  <c:v>5.1543772802832404</c:v>
                </c:pt>
                <c:pt idx="7">
                  <c:v>5.1003388543829793</c:v>
                </c:pt>
                <c:pt idx="8">
                  <c:v>5.0832773594351481</c:v>
                </c:pt>
                <c:pt idx="9">
                  <c:v>4.6108314375269304</c:v>
                </c:pt>
                <c:pt idx="10" formatCode="#,##0.00">
                  <c:v>19.598120561840346</c:v>
                </c:pt>
              </c:numCache>
            </c:numRef>
          </c:val>
          <c:extLst>
            <c:ext xmlns:c16="http://schemas.microsoft.com/office/drawing/2014/chart" uri="{C3380CC4-5D6E-409C-BE32-E72D297353CC}">
              <c16:uniqueId val="{00000016-CFFD-4CFF-86A7-B4BF2A5EC714}"/>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'5.3bUniv.zahraničné granty'!$B$28</c:f>
              <c:strCache>
                <c:ptCount val="1"/>
                <c:pt idx="0">
                  <c:v>UK Bratislava</c:v>
                </c:pt>
              </c:strCache>
            </c:strRef>
          </c:tx>
          <c:spPr>
            <a:ln>
              <a:solidFill>
                <a:srgbClr val="00B0F0"/>
              </a:solidFill>
            </a:ln>
          </c:spPr>
          <c:marker>
            <c:spPr>
              <a:solidFill>
                <a:srgbClr val="00B0F0"/>
              </a:solidFill>
            </c:spPr>
          </c:marker>
          <c:cat>
            <c:numRef>
              <c:f>'5.3bUniv.zahraničné granty'!$D$27:$K$27</c:f>
              <c:numCache>
                <c:formatCode>0</c:formatCode>
                <c:ptCount val="8"/>
                <c:pt idx="0">
                  <c:v>2014</c:v>
                </c:pt>
                <c:pt idx="1">
                  <c:v>2015</c:v>
                </c:pt>
                <c:pt idx="2">
                  <c:v>2016</c:v>
                </c:pt>
                <c:pt idx="3">
                  <c:v>2017</c:v>
                </c:pt>
                <c:pt idx="4">
                  <c:v>2018</c:v>
                </c:pt>
                <c:pt idx="5">
                  <c:v>2019</c:v>
                </c:pt>
                <c:pt idx="6">
                  <c:v>2020</c:v>
                </c:pt>
                <c:pt idx="7">
                  <c:v>2021</c:v>
                </c:pt>
              </c:numCache>
            </c:numRef>
          </c:cat>
          <c:val>
            <c:numRef>
              <c:f>'5.3bUniv.zahraničné granty'!$D$28:$K$28</c:f>
              <c:numCache>
                <c:formatCode>#,##0</c:formatCode>
                <c:ptCount val="8"/>
                <c:pt idx="0">
                  <c:v>1507911</c:v>
                </c:pt>
                <c:pt idx="1">
                  <c:v>2238624</c:v>
                </c:pt>
                <c:pt idx="2">
                  <c:v>1726149</c:v>
                </c:pt>
                <c:pt idx="3">
                  <c:v>1524258.21</c:v>
                </c:pt>
                <c:pt idx="4">
                  <c:v>2934050.91</c:v>
                </c:pt>
                <c:pt idx="5">
                  <c:v>1726642.4500000004</c:v>
                </c:pt>
                <c:pt idx="6">
                  <c:v>2876504.0599999996</c:v>
                </c:pt>
                <c:pt idx="7">
                  <c:v>1513535.3800000001</c:v>
                </c:pt>
              </c:numCache>
            </c:numRef>
          </c:val>
          <c:smooth val="0"/>
          <c:extLst>
            <c:ext xmlns:c16="http://schemas.microsoft.com/office/drawing/2014/chart" uri="{C3380CC4-5D6E-409C-BE32-E72D297353CC}">
              <c16:uniqueId val="{00000000-23A3-4EFB-879F-FA2C11E93300}"/>
            </c:ext>
          </c:extLst>
        </c:ser>
        <c:ser>
          <c:idx val="1"/>
          <c:order val="1"/>
          <c:tx>
            <c:strRef>
              <c:f>'5.3bUniv.zahraničné granty'!$B$29</c:f>
              <c:strCache>
                <c:ptCount val="1"/>
                <c:pt idx="0">
                  <c:v>UPJŠ Košice</c:v>
                </c:pt>
              </c:strCache>
            </c:strRef>
          </c:tx>
          <c:spPr>
            <a:ln>
              <a:solidFill>
                <a:schemeClr val="tx1">
                  <a:lumMod val="50000"/>
                  <a:lumOff val="50000"/>
                </a:schemeClr>
              </a:solidFill>
            </a:ln>
          </c:spPr>
          <c:marker>
            <c:spPr>
              <a:solidFill>
                <a:schemeClr val="tx1">
                  <a:lumMod val="50000"/>
                  <a:lumOff val="50000"/>
                </a:schemeClr>
              </a:solidFill>
            </c:spPr>
          </c:marker>
          <c:cat>
            <c:numRef>
              <c:f>'5.3bUniv.zahraničné granty'!$D$27:$K$27</c:f>
              <c:numCache>
                <c:formatCode>0</c:formatCode>
                <c:ptCount val="8"/>
                <c:pt idx="0">
                  <c:v>2014</c:v>
                </c:pt>
                <c:pt idx="1">
                  <c:v>2015</c:v>
                </c:pt>
                <c:pt idx="2">
                  <c:v>2016</c:v>
                </c:pt>
                <c:pt idx="3">
                  <c:v>2017</c:v>
                </c:pt>
                <c:pt idx="4">
                  <c:v>2018</c:v>
                </c:pt>
                <c:pt idx="5">
                  <c:v>2019</c:v>
                </c:pt>
                <c:pt idx="6">
                  <c:v>2020</c:v>
                </c:pt>
                <c:pt idx="7">
                  <c:v>2021</c:v>
                </c:pt>
              </c:numCache>
            </c:numRef>
          </c:cat>
          <c:val>
            <c:numRef>
              <c:f>'5.3bUniv.zahraničné granty'!$D$29:$K$29</c:f>
              <c:numCache>
                <c:formatCode>#,##0</c:formatCode>
                <c:ptCount val="8"/>
                <c:pt idx="0">
                  <c:v>124616</c:v>
                </c:pt>
                <c:pt idx="1">
                  <c:v>623202</c:v>
                </c:pt>
                <c:pt idx="2">
                  <c:v>1442969</c:v>
                </c:pt>
                <c:pt idx="3">
                  <c:v>59200</c:v>
                </c:pt>
                <c:pt idx="4">
                  <c:v>224515</c:v>
                </c:pt>
                <c:pt idx="5">
                  <c:v>294430.18</c:v>
                </c:pt>
                <c:pt idx="6">
                  <c:v>577052.42000000004</c:v>
                </c:pt>
                <c:pt idx="7">
                  <c:v>357616.94000000006</c:v>
                </c:pt>
              </c:numCache>
            </c:numRef>
          </c:val>
          <c:smooth val="0"/>
          <c:extLst>
            <c:ext xmlns:c16="http://schemas.microsoft.com/office/drawing/2014/chart" uri="{C3380CC4-5D6E-409C-BE32-E72D297353CC}">
              <c16:uniqueId val="{00000001-23A3-4EFB-879F-FA2C11E93300}"/>
            </c:ext>
          </c:extLst>
        </c:ser>
        <c:ser>
          <c:idx val="2"/>
          <c:order val="2"/>
          <c:tx>
            <c:strRef>
              <c:f>'5.3bUniv.zahraničné granty'!$B$30</c:f>
              <c:strCache>
                <c:ptCount val="1"/>
                <c:pt idx="0">
                  <c:v>STU Bratislava</c:v>
                </c:pt>
              </c:strCache>
            </c:strRef>
          </c:tx>
          <c:spPr>
            <a:ln>
              <a:solidFill>
                <a:srgbClr val="C00000"/>
              </a:solidFill>
            </a:ln>
          </c:spPr>
          <c:marker>
            <c:spPr>
              <a:solidFill>
                <a:srgbClr val="C00000"/>
              </a:solidFill>
            </c:spPr>
          </c:marker>
          <c:cat>
            <c:numRef>
              <c:f>'5.3bUniv.zahraničné granty'!$D$27:$K$27</c:f>
              <c:numCache>
                <c:formatCode>0</c:formatCode>
                <c:ptCount val="8"/>
                <c:pt idx="0">
                  <c:v>2014</c:v>
                </c:pt>
                <c:pt idx="1">
                  <c:v>2015</c:v>
                </c:pt>
                <c:pt idx="2">
                  <c:v>2016</c:v>
                </c:pt>
                <c:pt idx="3">
                  <c:v>2017</c:v>
                </c:pt>
                <c:pt idx="4">
                  <c:v>2018</c:v>
                </c:pt>
                <c:pt idx="5">
                  <c:v>2019</c:v>
                </c:pt>
                <c:pt idx="6">
                  <c:v>2020</c:v>
                </c:pt>
                <c:pt idx="7">
                  <c:v>2021</c:v>
                </c:pt>
              </c:numCache>
            </c:numRef>
          </c:cat>
          <c:val>
            <c:numRef>
              <c:f>'5.3bUniv.zahraničné granty'!$D$30:$K$30</c:f>
              <c:numCache>
                <c:formatCode>#,##0</c:formatCode>
                <c:ptCount val="8"/>
                <c:pt idx="0">
                  <c:v>974206</c:v>
                </c:pt>
                <c:pt idx="1">
                  <c:v>1149299</c:v>
                </c:pt>
                <c:pt idx="2">
                  <c:v>1607626</c:v>
                </c:pt>
                <c:pt idx="3">
                  <c:v>1141125.32</c:v>
                </c:pt>
                <c:pt idx="4">
                  <c:v>1609304.4</c:v>
                </c:pt>
                <c:pt idx="5">
                  <c:v>2111837.54</c:v>
                </c:pt>
                <c:pt idx="6">
                  <c:v>1926894.9800000002</c:v>
                </c:pt>
                <c:pt idx="7">
                  <c:v>2169157.2399999998</c:v>
                </c:pt>
              </c:numCache>
            </c:numRef>
          </c:val>
          <c:smooth val="0"/>
          <c:extLst>
            <c:ext xmlns:c16="http://schemas.microsoft.com/office/drawing/2014/chart" uri="{C3380CC4-5D6E-409C-BE32-E72D297353CC}">
              <c16:uniqueId val="{00000002-23A3-4EFB-879F-FA2C11E93300}"/>
            </c:ext>
          </c:extLst>
        </c:ser>
        <c:ser>
          <c:idx val="3"/>
          <c:order val="3"/>
          <c:tx>
            <c:strRef>
              <c:f>'5.3bUniv.zahraničné granty'!$B$31</c:f>
              <c:strCache>
                <c:ptCount val="1"/>
                <c:pt idx="0">
                  <c:v>TU Košice</c:v>
                </c:pt>
              </c:strCache>
            </c:strRef>
          </c:tx>
          <c:spPr>
            <a:ln>
              <a:solidFill>
                <a:schemeClr val="tx1"/>
              </a:solidFill>
            </a:ln>
          </c:spPr>
          <c:marker>
            <c:spPr>
              <a:solidFill>
                <a:schemeClr val="tx1"/>
              </a:solidFill>
            </c:spPr>
          </c:marker>
          <c:cat>
            <c:numRef>
              <c:f>'5.3bUniv.zahraničné granty'!$D$27:$K$27</c:f>
              <c:numCache>
                <c:formatCode>0</c:formatCode>
                <c:ptCount val="8"/>
                <c:pt idx="0">
                  <c:v>2014</c:v>
                </c:pt>
                <c:pt idx="1">
                  <c:v>2015</c:v>
                </c:pt>
                <c:pt idx="2">
                  <c:v>2016</c:v>
                </c:pt>
                <c:pt idx="3">
                  <c:v>2017</c:v>
                </c:pt>
                <c:pt idx="4">
                  <c:v>2018</c:v>
                </c:pt>
                <c:pt idx="5">
                  <c:v>2019</c:v>
                </c:pt>
                <c:pt idx="6">
                  <c:v>2020</c:v>
                </c:pt>
                <c:pt idx="7">
                  <c:v>2021</c:v>
                </c:pt>
              </c:numCache>
            </c:numRef>
          </c:cat>
          <c:val>
            <c:numRef>
              <c:f>'5.3bUniv.zahraničné granty'!$D$31:$K$31</c:f>
              <c:numCache>
                <c:formatCode>#,##0</c:formatCode>
                <c:ptCount val="8"/>
                <c:pt idx="0">
                  <c:v>1260890</c:v>
                </c:pt>
                <c:pt idx="1">
                  <c:v>803416</c:v>
                </c:pt>
                <c:pt idx="2">
                  <c:v>758633</c:v>
                </c:pt>
                <c:pt idx="3">
                  <c:v>849871.39</c:v>
                </c:pt>
                <c:pt idx="4">
                  <c:v>1047520.8</c:v>
                </c:pt>
                <c:pt idx="5">
                  <c:v>996717.44</c:v>
                </c:pt>
                <c:pt idx="6">
                  <c:v>1222820.29</c:v>
                </c:pt>
                <c:pt idx="7">
                  <c:v>1430353.03</c:v>
                </c:pt>
              </c:numCache>
            </c:numRef>
          </c:val>
          <c:smooth val="0"/>
          <c:extLst>
            <c:ext xmlns:c16="http://schemas.microsoft.com/office/drawing/2014/chart" uri="{C3380CC4-5D6E-409C-BE32-E72D297353CC}">
              <c16:uniqueId val="{00000003-23A3-4EFB-879F-FA2C11E93300}"/>
            </c:ext>
          </c:extLst>
        </c:ser>
        <c:ser>
          <c:idx val="4"/>
          <c:order val="4"/>
          <c:tx>
            <c:strRef>
              <c:f>'5.3bUniv.zahraničné granty'!$B$32</c:f>
              <c:strCache>
                <c:ptCount val="1"/>
                <c:pt idx="0">
                  <c:v>ŽU Žilina</c:v>
                </c:pt>
              </c:strCache>
            </c:strRef>
          </c:tx>
          <c:spPr>
            <a:ln>
              <a:solidFill>
                <a:srgbClr val="FF0000"/>
              </a:solidFill>
            </a:ln>
          </c:spPr>
          <c:marker>
            <c:spPr>
              <a:solidFill>
                <a:srgbClr val="FF0000"/>
              </a:solidFill>
            </c:spPr>
          </c:marker>
          <c:cat>
            <c:numRef>
              <c:f>'5.3bUniv.zahraničné granty'!$D$27:$K$27</c:f>
              <c:numCache>
                <c:formatCode>0</c:formatCode>
                <c:ptCount val="8"/>
                <c:pt idx="0">
                  <c:v>2014</c:v>
                </c:pt>
                <c:pt idx="1">
                  <c:v>2015</c:v>
                </c:pt>
                <c:pt idx="2">
                  <c:v>2016</c:v>
                </c:pt>
                <c:pt idx="3">
                  <c:v>2017</c:v>
                </c:pt>
                <c:pt idx="4">
                  <c:v>2018</c:v>
                </c:pt>
                <c:pt idx="5">
                  <c:v>2019</c:v>
                </c:pt>
                <c:pt idx="6">
                  <c:v>2020</c:v>
                </c:pt>
                <c:pt idx="7">
                  <c:v>2021</c:v>
                </c:pt>
              </c:numCache>
            </c:numRef>
          </c:cat>
          <c:val>
            <c:numRef>
              <c:f>'5.3bUniv.zahraničné granty'!$D$32:$K$32</c:f>
              <c:numCache>
                <c:formatCode>#,##0</c:formatCode>
                <c:ptCount val="8"/>
                <c:pt idx="0">
                  <c:v>1035120</c:v>
                </c:pt>
                <c:pt idx="1">
                  <c:v>387763</c:v>
                </c:pt>
                <c:pt idx="2">
                  <c:v>641872</c:v>
                </c:pt>
                <c:pt idx="3">
                  <c:v>1265071</c:v>
                </c:pt>
                <c:pt idx="4">
                  <c:v>1125764</c:v>
                </c:pt>
                <c:pt idx="5">
                  <c:v>689184</c:v>
                </c:pt>
                <c:pt idx="6">
                  <c:v>639884</c:v>
                </c:pt>
                <c:pt idx="7">
                  <c:v>584439</c:v>
                </c:pt>
              </c:numCache>
            </c:numRef>
          </c:val>
          <c:smooth val="0"/>
          <c:extLst>
            <c:ext xmlns:c16="http://schemas.microsoft.com/office/drawing/2014/chart" uri="{C3380CC4-5D6E-409C-BE32-E72D297353CC}">
              <c16:uniqueId val="{00000004-23A3-4EFB-879F-FA2C11E93300}"/>
            </c:ext>
          </c:extLst>
        </c:ser>
        <c:ser>
          <c:idx val="5"/>
          <c:order val="5"/>
          <c:tx>
            <c:strRef>
              <c:f>'5.3bUniv.zahraničné granty'!$B$33</c:f>
              <c:strCache>
                <c:ptCount val="1"/>
                <c:pt idx="0">
                  <c:v>TUAD Trenčín</c:v>
                </c:pt>
              </c:strCache>
            </c:strRef>
          </c:tx>
          <c:spPr>
            <a:ln>
              <a:solidFill>
                <a:schemeClr val="accent3"/>
              </a:solidFill>
            </a:ln>
          </c:spPr>
          <c:marker>
            <c:spPr>
              <a:solidFill>
                <a:srgbClr val="92D050"/>
              </a:solidFill>
            </c:spPr>
          </c:marker>
          <c:cat>
            <c:numRef>
              <c:f>'5.3bUniv.zahraničné granty'!$D$27:$K$27</c:f>
              <c:numCache>
                <c:formatCode>0</c:formatCode>
                <c:ptCount val="8"/>
                <c:pt idx="0">
                  <c:v>2014</c:v>
                </c:pt>
                <c:pt idx="1">
                  <c:v>2015</c:v>
                </c:pt>
                <c:pt idx="2">
                  <c:v>2016</c:v>
                </c:pt>
                <c:pt idx="3">
                  <c:v>2017</c:v>
                </c:pt>
                <c:pt idx="4">
                  <c:v>2018</c:v>
                </c:pt>
                <c:pt idx="5">
                  <c:v>2019</c:v>
                </c:pt>
                <c:pt idx="6">
                  <c:v>2020</c:v>
                </c:pt>
                <c:pt idx="7">
                  <c:v>2021</c:v>
                </c:pt>
              </c:numCache>
            </c:numRef>
          </c:cat>
          <c:val>
            <c:numRef>
              <c:f>'5.3bUniv.zahraničné granty'!$D$33:$K$33</c:f>
              <c:numCache>
                <c:formatCode>#,##0</c:formatCode>
                <c:ptCount val="8"/>
                <c:pt idx="0">
                  <c:v>0</c:v>
                </c:pt>
                <c:pt idx="1">
                  <c:v>232749</c:v>
                </c:pt>
                <c:pt idx="2">
                  <c:v>49762</c:v>
                </c:pt>
                <c:pt idx="3">
                  <c:v>4050000</c:v>
                </c:pt>
                <c:pt idx="4">
                  <c:v>1003351</c:v>
                </c:pt>
                <c:pt idx="5">
                  <c:v>0</c:v>
                </c:pt>
                <c:pt idx="6">
                  <c:v>1928697</c:v>
                </c:pt>
                <c:pt idx="7">
                  <c:v>1649379</c:v>
                </c:pt>
              </c:numCache>
            </c:numRef>
          </c:val>
          <c:smooth val="0"/>
          <c:extLst>
            <c:ext xmlns:c16="http://schemas.microsoft.com/office/drawing/2014/chart" uri="{C3380CC4-5D6E-409C-BE32-E72D297353CC}">
              <c16:uniqueId val="{00000005-23A3-4EFB-879F-FA2C11E93300}"/>
            </c:ext>
          </c:extLst>
        </c:ser>
        <c:ser>
          <c:idx val="6"/>
          <c:order val="6"/>
          <c:tx>
            <c:strRef>
              <c:f>'5.3bUniv.zahraničné granty'!$B$34</c:f>
              <c:strCache>
                <c:ptCount val="1"/>
                <c:pt idx="0">
                  <c:v>ostatné</c:v>
                </c:pt>
              </c:strCache>
            </c:strRef>
          </c:tx>
          <c:spPr>
            <a:ln>
              <a:solidFill>
                <a:srgbClr val="7030A0"/>
              </a:solidFill>
            </a:ln>
          </c:spPr>
          <c:marker>
            <c:spPr>
              <a:solidFill>
                <a:srgbClr val="7030A0"/>
              </a:solidFill>
            </c:spPr>
          </c:marker>
          <c:cat>
            <c:numRef>
              <c:f>'5.3bUniv.zahraničné granty'!$D$27:$K$27</c:f>
              <c:numCache>
                <c:formatCode>0</c:formatCode>
                <c:ptCount val="8"/>
                <c:pt idx="0">
                  <c:v>2014</c:v>
                </c:pt>
                <c:pt idx="1">
                  <c:v>2015</c:v>
                </c:pt>
                <c:pt idx="2">
                  <c:v>2016</c:v>
                </c:pt>
                <c:pt idx="3">
                  <c:v>2017</c:v>
                </c:pt>
                <c:pt idx="4">
                  <c:v>2018</c:v>
                </c:pt>
                <c:pt idx="5">
                  <c:v>2019</c:v>
                </c:pt>
                <c:pt idx="6">
                  <c:v>2020</c:v>
                </c:pt>
                <c:pt idx="7">
                  <c:v>2021</c:v>
                </c:pt>
              </c:numCache>
            </c:numRef>
          </c:cat>
          <c:val>
            <c:numRef>
              <c:f>'5.3bUniv.zahraničné granty'!$D$34:$K$34</c:f>
              <c:numCache>
                <c:formatCode>#,##0</c:formatCode>
                <c:ptCount val="8"/>
                <c:pt idx="0">
                  <c:v>800303</c:v>
                </c:pt>
                <c:pt idx="1">
                  <c:v>1340521</c:v>
                </c:pt>
                <c:pt idx="2">
                  <c:v>1489613</c:v>
                </c:pt>
                <c:pt idx="3">
                  <c:v>5278218.3899999997</c:v>
                </c:pt>
                <c:pt idx="4">
                  <c:v>3237331.16</c:v>
                </c:pt>
                <c:pt idx="5">
                  <c:v>1399398.6199999999</c:v>
                </c:pt>
                <c:pt idx="6">
                  <c:v>5055942.9400000004</c:v>
                </c:pt>
                <c:pt idx="7">
                  <c:v>4855344.4400000004</c:v>
                </c:pt>
              </c:numCache>
            </c:numRef>
          </c:val>
          <c:smooth val="0"/>
          <c:extLst>
            <c:ext xmlns:c16="http://schemas.microsoft.com/office/drawing/2014/chart" uri="{C3380CC4-5D6E-409C-BE32-E72D297353CC}">
              <c16:uniqueId val="{00000006-23A3-4EFB-879F-FA2C11E93300}"/>
            </c:ext>
          </c:extLst>
        </c:ser>
        <c:dLbls>
          <c:showLegendKey val="0"/>
          <c:showVal val="0"/>
          <c:showCatName val="0"/>
          <c:showSerName val="0"/>
          <c:showPercent val="0"/>
          <c:showBubbleSize val="0"/>
        </c:dLbls>
        <c:marker val="1"/>
        <c:smooth val="0"/>
        <c:axId val="163289088"/>
        <c:axId val="162835264"/>
      </c:lineChart>
      <c:catAx>
        <c:axId val="163289088"/>
        <c:scaling>
          <c:orientation val="minMax"/>
        </c:scaling>
        <c:delete val="0"/>
        <c:axPos val="b"/>
        <c:numFmt formatCode="0" sourceLinked="1"/>
        <c:majorTickMark val="none"/>
        <c:minorTickMark val="none"/>
        <c:tickLblPos val="nextTo"/>
        <c:txPr>
          <a:bodyPr rot="5400000" vert="horz"/>
          <a:lstStyle/>
          <a:p>
            <a:pPr>
              <a:defRPr>
                <a:latin typeface="+mj-lt"/>
              </a:defRPr>
            </a:pPr>
            <a:endParaRPr lang="sk-SK"/>
          </a:p>
        </c:txPr>
        <c:crossAx val="162835264"/>
        <c:crosses val="autoZero"/>
        <c:auto val="1"/>
        <c:lblAlgn val="ctr"/>
        <c:lblOffset val="100"/>
        <c:noMultiLvlLbl val="0"/>
      </c:catAx>
      <c:valAx>
        <c:axId val="162835264"/>
        <c:scaling>
          <c:orientation val="minMax"/>
        </c:scaling>
        <c:delete val="0"/>
        <c:axPos val="l"/>
        <c:majorGridlines/>
        <c:title>
          <c:tx>
            <c:rich>
              <a:bodyPr/>
              <a:lstStyle/>
              <a:p>
                <a:pPr>
                  <a:defRPr>
                    <a:latin typeface="+mj-lt"/>
                  </a:defRPr>
                </a:pPr>
                <a:r>
                  <a:rPr lang="sk-SK">
                    <a:latin typeface="+mj-lt"/>
                  </a:rPr>
                  <a:t>EUR</a:t>
                </a:r>
              </a:p>
            </c:rich>
          </c:tx>
          <c:overlay val="0"/>
        </c:title>
        <c:numFmt formatCode="#,##0" sourceLinked="1"/>
        <c:majorTickMark val="none"/>
        <c:minorTickMark val="none"/>
        <c:tickLblPos val="nextTo"/>
        <c:txPr>
          <a:bodyPr/>
          <a:lstStyle/>
          <a:p>
            <a:pPr>
              <a:defRPr>
                <a:latin typeface="+mj-lt"/>
              </a:defRPr>
            </a:pPr>
            <a:endParaRPr lang="sk-SK"/>
          </a:p>
        </c:txPr>
        <c:crossAx val="163289088"/>
        <c:crosses val="autoZero"/>
        <c:crossBetween val="between"/>
      </c:valAx>
    </c:plotArea>
    <c:legend>
      <c:legendPos val="r"/>
      <c:overlay val="0"/>
      <c:txPr>
        <a:bodyPr/>
        <a:lstStyle/>
        <a:p>
          <a:pPr>
            <a:defRPr>
              <a:latin typeface="+mj-lt"/>
            </a:defRPr>
          </a:pPr>
          <a:endParaRPr lang="sk-SK"/>
        </a:p>
      </c:txPr>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'graf.5.8.č.zahraničné granty'!$J$51</c:f>
              <c:strCache>
                <c:ptCount val="1"/>
                <c:pt idx="0">
                  <c:v>STU</c:v>
                </c:pt>
              </c:strCache>
            </c:strRef>
          </c:tx>
          <c:spPr>
            <a:solidFill>
              <a:srgbClr val="C00000"/>
            </a:solidFill>
          </c:spPr>
          <c:invertIfNegative val="0"/>
          <c:cat>
            <c:numRef>
              <c:f>'graf.5.8.č.zahraničné granty'!$L$50:$U$50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'graf.5.8.č.zahraničné granty'!$L$51:$U$51</c:f>
              <c:numCache>
                <c:formatCode>0</c:formatCode>
                <c:ptCount val="10"/>
                <c:pt idx="0">
                  <c:v>815307</c:v>
                </c:pt>
                <c:pt idx="1">
                  <c:v>974206</c:v>
                </c:pt>
                <c:pt idx="2">
                  <c:v>1149300</c:v>
                </c:pt>
                <c:pt idx="3">
                  <c:v>2119406</c:v>
                </c:pt>
                <c:pt idx="4">
                  <c:v>1304642</c:v>
                </c:pt>
                <c:pt idx="5">
                  <c:v>1698600</c:v>
                </c:pt>
                <c:pt idx="6">
                  <c:v>2188248</c:v>
                </c:pt>
                <c:pt idx="7">
                  <c:v>1714741</c:v>
                </c:pt>
                <c:pt idx="8">
                  <c:v>1490903</c:v>
                </c:pt>
                <c:pt idx="9">
                  <c:v>2314701.6199999996</c:v>
                </c:pt>
              </c:numCache>
            </c:numRef>
          </c:val>
          <c:extLst>
            <c:ext xmlns:c16="http://schemas.microsoft.com/office/drawing/2014/chart" uri="{C3380CC4-5D6E-409C-BE32-E72D297353CC}">
              <c16:uniqueId val="{00000000-EAE8-4D97-994D-83CB10E17ACF}"/>
            </c:ext>
          </c:extLst>
        </c:ser>
        <c:dLbls>
          <c:showLegendKey val="0"/>
          <c:showVal val="0"/>
          <c:showCatName val="0"/>
          <c:showSerName val="0"/>
          <c:showPercent val="0"/>
          <c:showBubbleSize val="0"/>
        </c:dLbls>
        <c:gapWidth val="150"/>
        <c:shape val="cylinder"/>
        <c:axId val="317932607"/>
        <c:axId val="1"/>
        <c:axId val="0"/>
      </c:bar3DChart>
      <c:catAx>
        <c:axId val="317932607"/>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sk-SK"/>
                  <a:t>EUR</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317932607"/>
        <c:crosses val="autoZero"/>
        <c:crossBetween val="between"/>
      </c:valAx>
      <c:dTable>
        <c:showHorzBorder val="1"/>
        <c:showVertBorder val="1"/>
        <c:showOutline val="1"/>
        <c:showKeys val="1"/>
        <c:txPr>
          <a:bodyPr/>
          <a:lstStyle/>
          <a:p>
            <a:pPr rtl="0">
              <a:defRPr sz="800" b="0" i="0" u="none" strike="noStrike" baseline="0">
                <a:solidFill>
                  <a:srgbClr val="000000"/>
                </a:solidFill>
                <a:latin typeface="Calibri"/>
                <a:ea typeface="Calibri"/>
                <a:cs typeface="Calibri"/>
              </a:defRPr>
            </a:pPr>
            <a:endParaRPr lang="sk-SK"/>
          </a:p>
        </c:txPr>
      </c:dTable>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'graf.5.8.č.zahraničné granty'!$L$97</c:f>
              <c:strCache>
                <c:ptCount val="1"/>
                <c:pt idx="0">
                  <c:v>STU</c:v>
                </c:pt>
              </c:strCache>
            </c:strRef>
          </c:tx>
          <c:spPr>
            <a:solidFill>
              <a:srgbClr val="C00000"/>
            </a:solidFill>
          </c:spPr>
          <c:invertIfNegative val="0"/>
          <c:dPt>
            <c:idx val="0"/>
            <c:invertIfNegative val="0"/>
            <c:bubble3D val="0"/>
            <c:spPr>
              <a:solidFill>
                <a:srgbClr val="FF9900"/>
              </a:solidFill>
            </c:spPr>
            <c:extLst>
              <c:ext xmlns:c16="http://schemas.microsoft.com/office/drawing/2014/chart" uri="{C3380CC4-5D6E-409C-BE32-E72D297353CC}">
                <c16:uniqueId val="{00000001-7FEA-4D28-95C2-42A94075C7A4}"/>
              </c:ext>
            </c:extLst>
          </c:dPt>
          <c:dPt>
            <c:idx val="1"/>
            <c:invertIfNegative val="0"/>
            <c:bubble3D val="0"/>
            <c:spPr>
              <a:solidFill>
                <a:schemeClr val="bg1">
                  <a:lumMod val="50000"/>
                </a:schemeClr>
              </a:solidFill>
            </c:spPr>
            <c:extLst>
              <c:ext xmlns:c16="http://schemas.microsoft.com/office/drawing/2014/chart" uri="{C3380CC4-5D6E-409C-BE32-E72D297353CC}">
                <c16:uniqueId val="{00000003-7FEA-4D28-95C2-42A94075C7A4}"/>
              </c:ext>
            </c:extLst>
          </c:dPt>
          <c:dPt>
            <c:idx val="2"/>
            <c:invertIfNegative val="0"/>
            <c:bubble3D val="0"/>
            <c:spPr>
              <a:solidFill>
                <a:srgbClr val="0070C0"/>
              </a:solidFill>
            </c:spPr>
            <c:extLst>
              <c:ext xmlns:c16="http://schemas.microsoft.com/office/drawing/2014/chart" uri="{C3380CC4-5D6E-409C-BE32-E72D297353CC}">
                <c16:uniqueId val="{00000005-7FEA-4D28-95C2-42A94075C7A4}"/>
              </c:ext>
            </c:extLst>
          </c:dPt>
          <c:dPt>
            <c:idx val="3"/>
            <c:invertIfNegative val="0"/>
            <c:bubble3D val="0"/>
            <c:spPr>
              <a:solidFill>
                <a:srgbClr val="FFCC00"/>
              </a:solidFill>
            </c:spPr>
            <c:extLst>
              <c:ext xmlns:c16="http://schemas.microsoft.com/office/drawing/2014/chart" uri="{C3380CC4-5D6E-409C-BE32-E72D297353CC}">
                <c16:uniqueId val="{00000007-7FEA-4D28-95C2-42A94075C7A4}"/>
              </c:ext>
            </c:extLst>
          </c:dPt>
          <c:dPt>
            <c:idx val="4"/>
            <c:invertIfNegative val="0"/>
            <c:bubble3D val="0"/>
            <c:spPr>
              <a:solidFill>
                <a:srgbClr val="00B050"/>
              </a:solidFill>
            </c:spPr>
            <c:extLst>
              <c:ext xmlns:c16="http://schemas.microsoft.com/office/drawing/2014/chart" uri="{C3380CC4-5D6E-409C-BE32-E72D297353CC}">
                <c16:uniqueId val="{00000009-7FEA-4D28-95C2-42A94075C7A4}"/>
              </c:ext>
            </c:extLst>
          </c:dPt>
          <c:dPt>
            <c:idx val="5"/>
            <c:invertIfNegative val="0"/>
            <c:bubble3D val="0"/>
            <c:spPr>
              <a:solidFill>
                <a:srgbClr val="FF0000"/>
              </a:solidFill>
            </c:spPr>
            <c:extLst>
              <c:ext xmlns:c16="http://schemas.microsoft.com/office/drawing/2014/chart" uri="{C3380CC4-5D6E-409C-BE32-E72D297353CC}">
                <c16:uniqueId val="{0000000B-7FEA-4D28-95C2-42A94075C7A4}"/>
              </c:ext>
            </c:extLst>
          </c:dPt>
          <c:dPt>
            <c:idx val="6"/>
            <c:invertIfNegative val="0"/>
            <c:bubble3D val="0"/>
            <c:spPr>
              <a:solidFill>
                <a:srgbClr val="00B0F0"/>
              </a:solidFill>
            </c:spPr>
            <c:extLst>
              <c:ext xmlns:c16="http://schemas.microsoft.com/office/drawing/2014/chart" uri="{C3380CC4-5D6E-409C-BE32-E72D297353CC}">
                <c16:uniqueId val="{0000000D-7FEA-4D28-95C2-42A94075C7A4}"/>
              </c:ext>
            </c:extLst>
          </c:dPt>
          <c:dPt>
            <c:idx val="7"/>
            <c:invertIfNegative val="0"/>
            <c:bubble3D val="0"/>
            <c:spPr>
              <a:solidFill>
                <a:srgbClr val="7030A0"/>
              </a:solidFill>
            </c:spPr>
            <c:extLst>
              <c:ext xmlns:c16="http://schemas.microsoft.com/office/drawing/2014/chart" uri="{C3380CC4-5D6E-409C-BE32-E72D297353CC}">
                <c16:uniqueId val="{0000000F-7FEA-4D28-95C2-42A94075C7A4}"/>
              </c:ext>
            </c:extLst>
          </c:dPt>
          <c:cat>
            <c:strRef>
              <c:f>'graf.5.8.č.zahraničné granty'!$M$96:$T$96</c:f>
              <c:strCache>
                <c:ptCount val="8"/>
                <c:pt idx="0">
                  <c:v>SvF</c:v>
                </c:pt>
                <c:pt idx="1">
                  <c:v>SjF</c:v>
                </c:pt>
                <c:pt idx="2">
                  <c:v>FEI</c:v>
                </c:pt>
                <c:pt idx="3">
                  <c:v>FChPT</c:v>
                </c:pt>
                <c:pt idx="4">
                  <c:v>FAD</c:v>
                </c:pt>
                <c:pt idx="5">
                  <c:v>MTF</c:v>
                </c:pt>
                <c:pt idx="6">
                  <c:v>FIIT</c:v>
                </c:pt>
                <c:pt idx="7">
                  <c:v>ÚM</c:v>
                </c:pt>
              </c:strCache>
            </c:strRef>
          </c:cat>
          <c:val>
            <c:numRef>
              <c:f>'graf.5.8.č.zahraničné granty'!$I$51:$I$58</c:f>
              <c:numCache>
                <c:formatCode>0</c:formatCode>
                <c:ptCount val="8"/>
                <c:pt idx="0">
                  <c:v>143792.42000000001</c:v>
                </c:pt>
                <c:pt idx="1">
                  <c:v>188231.57</c:v>
                </c:pt>
                <c:pt idx="2">
                  <c:v>547137.67000000004</c:v>
                </c:pt>
                <c:pt idx="3">
                  <c:v>745558.66</c:v>
                </c:pt>
                <c:pt idx="4">
                  <c:v>265318</c:v>
                </c:pt>
                <c:pt idx="5">
                  <c:v>178296.77</c:v>
                </c:pt>
                <c:pt idx="6">
                  <c:v>74220.75</c:v>
                </c:pt>
                <c:pt idx="7">
                  <c:v>172145.78</c:v>
                </c:pt>
              </c:numCache>
            </c:numRef>
          </c:val>
          <c:extLst>
            <c:ext xmlns:c16="http://schemas.microsoft.com/office/drawing/2014/chart" uri="{C3380CC4-5D6E-409C-BE32-E72D297353CC}">
              <c16:uniqueId val="{00000010-7FEA-4D28-95C2-42A94075C7A4}"/>
            </c:ext>
          </c:extLst>
        </c:ser>
        <c:dLbls>
          <c:showLegendKey val="0"/>
          <c:showVal val="0"/>
          <c:showCatName val="0"/>
          <c:showSerName val="0"/>
          <c:showPercent val="0"/>
          <c:showBubbleSize val="0"/>
        </c:dLbls>
        <c:gapWidth val="150"/>
        <c:shape val="cylinder"/>
        <c:axId val="68717168"/>
        <c:axId val="1"/>
        <c:axId val="0"/>
      </c:bar3DChart>
      <c:catAx>
        <c:axId val="68717168"/>
        <c:scaling>
          <c:orientation val="minMax"/>
        </c:scaling>
        <c:delete val="0"/>
        <c:axPos val="b"/>
        <c:numFmt formatCode="General"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sk-SK"/>
                  <a:t>EUR</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68717168"/>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sk-SK"/>
          </a:p>
        </c:txPr>
      </c:dTable>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'graf.č.5.priemer na pracov'!$K$36</c:f>
              <c:strCache>
                <c:ptCount val="1"/>
                <c:pt idx="0">
                  <c:v>STU</c:v>
                </c:pt>
              </c:strCache>
            </c:strRef>
          </c:tx>
          <c:spPr>
            <a:solidFill>
              <a:srgbClr val="C00000"/>
            </a:solidFill>
          </c:spPr>
          <c:invertIfNegative val="0"/>
          <c:dPt>
            <c:idx val="0"/>
            <c:invertIfNegative val="0"/>
            <c:bubble3D val="0"/>
            <c:spPr>
              <a:solidFill>
                <a:srgbClr val="FF9900"/>
              </a:solidFill>
            </c:spPr>
            <c:extLst>
              <c:ext xmlns:c16="http://schemas.microsoft.com/office/drawing/2014/chart" uri="{C3380CC4-5D6E-409C-BE32-E72D297353CC}">
                <c16:uniqueId val="{00000001-14FA-4910-901A-C6BB217CD8D4}"/>
              </c:ext>
            </c:extLst>
          </c:dPt>
          <c:dPt>
            <c:idx val="1"/>
            <c:invertIfNegative val="0"/>
            <c:bubble3D val="0"/>
            <c:spPr>
              <a:solidFill>
                <a:schemeClr val="bg1">
                  <a:lumMod val="50000"/>
                </a:schemeClr>
              </a:solidFill>
            </c:spPr>
            <c:extLst>
              <c:ext xmlns:c16="http://schemas.microsoft.com/office/drawing/2014/chart" uri="{C3380CC4-5D6E-409C-BE32-E72D297353CC}">
                <c16:uniqueId val="{00000003-14FA-4910-901A-C6BB217CD8D4}"/>
              </c:ext>
            </c:extLst>
          </c:dPt>
          <c:dPt>
            <c:idx val="2"/>
            <c:invertIfNegative val="0"/>
            <c:bubble3D val="0"/>
            <c:spPr>
              <a:solidFill>
                <a:srgbClr val="0070C0"/>
              </a:solidFill>
            </c:spPr>
            <c:extLst>
              <c:ext xmlns:c16="http://schemas.microsoft.com/office/drawing/2014/chart" uri="{C3380CC4-5D6E-409C-BE32-E72D297353CC}">
                <c16:uniqueId val="{00000005-14FA-4910-901A-C6BB217CD8D4}"/>
              </c:ext>
            </c:extLst>
          </c:dPt>
          <c:dPt>
            <c:idx val="3"/>
            <c:invertIfNegative val="0"/>
            <c:bubble3D val="0"/>
            <c:spPr>
              <a:solidFill>
                <a:srgbClr val="FFCC00"/>
              </a:solidFill>
            </c:spPr>
            <c:extLst>
              <c:ext xmlns:c16="http://schemas.microsoft.com/office/drawing/2014/chart" uri="{C3380CC4-5D6E-409C-BE32-E72D297353CC}">
                <c16:uniqueId val="{00000007-14FA-4910-901A-C6BB217CD8D4}"/>
              </c:ext>
            </c:extLst>
          </c:dPt>
          <c:dPt>
            <c:idx val="4"/>
            <c:invertIfNegative val="0"/>
            <c:bubble3D val="0"/>
            <c:spPr>
              <a:solidFill>
                <a:srgbClr val="00B050"/>
              </a:solidFill>
            </c:spPr>
            <c:extLst>
              <c:ext xmlns:c16="http://schemas.microsoft.com/office/drawing/2014/chart" uri="{C3380CC4-5D6E-409C-BE32-E72D297353CC}">
                <c16:uniqueId val="{00000009-14FA-4910-901A-C6BB217CD8D4}"/>
              </c:ext>
            </c:extLst>
          </c:dPt>
          <c:dPt>
            <c:idx val="5"/>
            <c:invertIfNegative val="0"/>
            <c:bubble3D val="0"/>
            <c:spPr>
              <a:solidFill>
                <a:srgbClr val="FF0000"/>
              </a:solidFill>
            </c:spPr>
            <c:extLst>
              <c:ext xmlns:c16="http://schemas.microsoft.com/office/drawing/2014/chart" uri="{C3380CC4-5D6E-409C-BE32-E72D297353CC}">
                <c16:uniqueId val="{0000000B-14FA-4910-901A-C6BB217CD8D4}"/>
              </c:ext>
            </c:extLst>
          </c:dPt>
          <c:dPt>
            <c:idx val="6"/>
            <c:invertIfNegative val="0"/>
            <c:bubble3D val="0"/>
            <c:spPr>
              <a:solidFill>
                <a:srgbClr val="00B0F0"/>
              </a:solidFill>
            </c:spPr>
            <c:extLst>
              <c:ext xmlns:c16="http://schemas.microsoft.com/office/drawing/2014/chart" uri="{C3380CC4-5D6E-409C-BE32-E72D297353CC}">
                <c16:uniqueId val="{0000000D-14FA-4910-901A-C6BB217CD8D4}"/>
              </c:ext>
            </c:extLst>
          </c:dPt>
          <c:dPt>
            <c:idx val="7"/>
            <c:invertIfNegative val="0"/>
            <c:bubble3D val="0"/>
            <c:spPr>
              <a:solidFill>
                <a:srgbClr val="7030A0"/>
              </a:solidFill>
            </c:spPr>
            <c:extLst>
              <c:ext xmlns:c16="http://schemas.microsoft.com/office/drawing/2014/chart" uri="{C3380CC4-5D6E-409C-BE32-E72D297353CC}">
                <c16:uniqueId val="{0000000F-14FA-4910-901A-C6BB217CD8D4}"/>
              </c:ext>
            </c:extLst>
          </c:dPt>
          <c:cat>
            <c:strRef>
              <c:f>'graf.č.5.priemer na pracov'!$L$35:$S$35</c:f>
              <c:strCache>
                <c:ptCount val="8"/>
                <c:pt idx="0">
                  <c:v>SvF</c:v>
                </c:pt>
                <c:pt idx="1">
                  <c:v>SjF</c:v>
                </c:pt>
                <c:pt idx="2">
                  <c:v>FEI</c:v>
                </c:pt>
                <c:pt idx="3">
                  <c:v>FCHPT</c:v>
                </c:pt>
                <c:pt idx="4">
                  <c:v>FAD</c:v>
                </c:pt>
                <c:pt idx="5">
                  <c:v>MTF</c:v>
                </c:pt>
                <c:pt idx="6">
                  <c:v>FIIT</c:v>
                </c:pt>
                <c:pt idx="7">
                  <c:v>ÚM</c:v>
                </c:pt>
              </c:strCache>
            </c:strRef>
          </c:cat>
          <c:val>
            <c:numRef>
              <c:f>'graf.č.5.priemer na pracov'!$L$36:$S$36</c:f>
              <c:numCache>
                <c:formatCode>#,##0</c:formatCode>
                <c:ptCount val="8"/>
                <c:pt idx="0">
                  <c:v>647.97629669685921</c:v>
                </c:pt>
                <c:pt idx="1">
                  <c:v>1713.5327264451523</c:v>
                </c:pt>
                <c:pt idx="2">
                  <c:v>2304.4167544118268</c:v>
                </c:pt>
                <c:pt idx="3">
                  <c:v>2671.8714162844039</c:v>
                </c:pt>
                <c:pt idx="4">
                  <c:v>2481.9270346117869</c:v>
                </c:pt>
                <c:pt idx="5">
                  <c:v>965.64541811091851</c:v>
                </c:pt>
                <c:pt idx="6">
                  <c:v>1422.398428516673</c:v>
                </c:pt>
                <c:pt idx="7">
                  <c:v>5084.045481393975</c:v>
                </c:pt>
              </c:numCache>
            </c:numRef>
          </c:val>
          <c:extLst>
            <c:ext xmlns:c16="http://schemas.microsoft.com/office/drawing/2014/chart" uri="{C3380CC4-5D6E-409C-BE32-E72D297353CC}">
              <c16:uniqueId val="{00000010-14FA-4910-901A-C6BB217CD8D4}"/>
            </c:ext>
          </c:extLst>
        </c:ser>
        <c:dLbls>
          <c:showLegendKey val="0"/>
          <c:showVal val="0"/>
          <c:showCatName val="0"/>
          <c:showSerName val="0"/>
          <c:showPercent val="0"/>
          <c:showBubbleSize val="0"/>
        </c:dLbls>
        <c:gapWidth val="150"/>
        <c:shape val="cylinder"/>
        <c:axId val="1294054352"/>
        <c:axId val="1"/>
        <c:axId val="0"/>
      </c:bar3DChart>
      <c:catAx>
        <c:axId val="1294054352"/>
        <c:scaling>
          <c:orientation val="minMax"/>
        </c:scaling>
        <c:delete val="0"/>
        <c:axPos val="b"/>
        <c:numFmt formatCode="General"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sk-SK"/>
                  <a:t>eur</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1294054352"/>
        <c:crosses val="autoZero"/>
        <c:crossBetween val="between"/>
      </c:valAx>
      <c:dTable>
        <c:showHorzBorder val="1"/>
        <c:showVertBorder val="1"/>
        <c:showOutline val="1"/>
        <c:showKeys val="1"/>
        <c:txPr>
          <a:bodyPr/>
          <a:lstStyle/>
          <a:p>
            <a:pPr rtl="0">
              <a:defRPr sz="800" b="0" i="0" u="none" strike="noStrike" baseline="0">
                <a:solidFill>
                  <a:srgbClr val="000000"/>
                </a:solidFill>
                <a:latin typeface="Calibri"/>
                <a:ea typeface="Calibri"/>
                <a:cs typeface="Calibri"/>
              </a:defRPr>
            </a:pPr>
            <a:endParaRPr lang="sk-SK"/>
          </a:p>
        </c:txPr>
      </c:dTable>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rAngAx val="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AA76-4A25-8BDF-8B926D0769BF}"/>
              </c:ext>
            </c:extLst>
          </c:dPt>
          <c:dPt>
            <c:idx val="1"/>
            <c:bubble3D val="0"/>
            <c:spPr>
              <a:solidFill>
                <a:srgbClr val="C00000"/>
              </a:solidFill>
            </c:spPr>
            <c:extLst>
              <c:ext xmlns:c16="http://schemas.microsoft.com/office/drawing/2014/chart" uri="{C3380CC4-5D6E-409C-BE32-E72D297353CC}">
                <c16:uniqueId val="{00000003-AA76-4A25-8BDF-8B926D0769BF}"/>
              </c:ext>
            </c:extLst>
          </c:dPt>
          <c:dPt>
            <c:idx val="2"/>
            <c:bubble3D val="0"/>
            <c:spPr>
              <a:solidFill>
                <a:schemeClr val="tx1"/>
              </a:solidFill>
            </c:spPr>
            <c:extLst>
              <c:ext xmlns:c16="http://schemas.microsoft.com/office/drawing/2014/chart" uri="{C3380CC4-5D6E-409C-BE32-E72D297353CC}">
                <c16:uniqueId val="{00000005-AA76-4A25-8BDF-8B926D0769BF}"/>
              </c:ext>
            </c:extLst>
          </c:dPt>
          <c:dPt>
            <c:idx val="3"/>
            <c:bubble3D val="0"/>
            <c:spPr>
              <a:solidFill>
                <a:srgbClr val="00B0F0"/>
              </a:solidFill>
            </c:spPr>
            <c:extLst>
              <c:ext xmlns:c16="http://schemas.microsoft.com/office/drawing/2014/chart" uri="{C3380CC4-5D6E-409C-BE32-E72D297353CC}">
                <c16:uniqueId val="{00000007-AA76-4A25-8BDF-8B926D0769BF}"/>
              </c:ext>
            </c:extLst>
          </c:dPt>
          <c:dPt>
            <c:idx val="4"/>
            <c:bubble3D val="0"/>
            <c:spPr>
              <a:solidFill>
                <a:schemeClr val="accent6"/>
              </a:solidFill>
            </c:spPr>
            <c:extLst>
              <c:ext xmlns:c16="http://schemas.microsoft.com/office/drawing/2014/chart" uri="{C3380CC4-5D6E-409C-BE32-E72D297353CC}">
                <c16:uniqueId val="{00000009-AA76-4A25-8BDF-8B926D0769BF}"/>
              </c:ext>
            </c:extLst>
          </c:dPt>
          <c:dPt>
            <c:idx val="5"/>
            <c:bubble3D val="0"/>
            <c:spPr>
              <a:solidFill>
                <a:srgbClr val="00B050"/>
              </a:solidFill>
            </c:spPr>
            <c:extLst>
              <c:ext xmlns:c16="http://schemas.microsoft.com/office/drawing/2014/chart" uri="{C3380CC4-5D6E-409C-BE32-E72D297353CC}">
                <c16:uniqueId val="{0000000B-AA76-4A25-8BDF-8B926D0769BF}"/>
              </c:ext>
            </c:extLst>
          </c:dPt>
          <c:dPt>
            <c:idx val="6"/>
            <c:bubble3D val="0"/>
            <c:spPr>
              <a:solidFill>
                <a:schemeClr val="tx1">
                  <a:lumMod val="50000"/>
                  <a:lumOff val="50000"/>
                </a:schemeClr>
              </a:solidFill>
            </c:spPr>
            <c:extLst>
              <c:ext xmlns:c16="http://schemas.microsoft.com/office/drawing/2014/chart" uri="{C3380CC4-5D6E-409C-BE32-E72D297353CC}">
                <c16:uniqueId val="{0000000D-AA76-4A25-8BDF-8B926D0769BF}"/>
              </c:ext>
            </c:extLst>
          </c:dPt>
          <c:dPt>
            <c:idx val="7"/>
            <c:bubble3D val="0"/>
            <c:spPr>
              <a:solidFill>
                <a:srgbClr val="7030A0"/>
              </a:solidFill>
            </c:spPr>
            <c:extLst>
              <c:ext xmlns:c16="http://schemas.microsoft.com/office/drawing/2014/chart" uri="{C3380CC4-5D6E-409C-BE32-E72D297353CC}">
                <c16:uniqueId val="{0000000F-AA76-4A25-8BDF-8B926D0769BF}"/>
              </c:ext>
            </c:extLst>
          </c:dPt>
          <c:dLbls>
            <c:dLbl>
              <c:idx val="2"/>
              <c:layout>
                <c:manualLayout>
                  <c:x val="-1.0947606232765209E-2"/>
                  <c:y val="-5.0997699361653867E-2"/>
                </c:manualLayout>
              </c:layout>
              <c:spPr>
                <a:noFill/>
                <a:ln>
                  <a:noFill/>
                </a:ln>
                <a:effectLst/>
              </c:spPr>
              <c:txPr>
                <a:bodyPr wrap="square" lIns="38100" tIns="19050" rIns="38100" bIns="19050" anchor="ctr">
                  <a:spAutoFit/>
                </a:bodyPr>
                <a:lstStyle/>
                <a:p>
                  <a:pPr>
                    <a:defRPr>
                      <a:solidFill>
                        <a:schemeClr val="tx1"/>
                      </a:solidFill>
                      <a:latin typeface="+mj-lt"/>
                    </a:defRPr>
                  </a:pPr>
                  <a:endParaRPr lang="sk-SK"/>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A76-4A25-8BDF-8B926D0769BF}"/>
                </c:ext>
              </c:extLst>
            </c:dLbl>
            <c:spPr>
              <a:noFill/>
              <a:ln>
                <a:noFill/>
              </a:ln>
              <a:effectLst/>
            </c:spPr>
            <c:txPr>
              <a:bodyPr wrap="square" lIns="38100" tIns="19050" rIns="38100" bIns="19050" anchor="ctr">
                <a:spAutoFit/>
              </a:bodyPr>
              <a:lstStyle/>
              <a:p>
                <a:pPr>
                  <a:defRPr>
                    <a:latin typeface="+mj-lt"/>
                  </a:defRPr>
                </a:pPr>
                <a:endParaRPr lang="sk-SK"/>
              </a:p>
            </c:txPr>
            <c:showLegendKey val="0"/>
            <c:showVal val="0"/>
            <c:showCatName val="1"/>
            <c:showSerName val="0"/>
            <c:showPercent val="1"/>
            <c:showBubbleSize val="0"/>
            <c:showLeaderLines val="1"/>
            <c:extLst>
              <c:ext xmlns:c15="http://schemas.microsoft.com/office/drawing/2012/chart" uri="{CE6537A1-D6FC-4f65-9D91-7224C49458BB}"/>
            </c:extLst>
          </c:dLbls>
          <c:cat>
            <c:strRef>
              <c:f>'graf 5.1.cVyskumnéProjektyOdIny'!$R$54:$R$61</c:f>
              <c:strCache>
                <c:ptCount val="8"/>
                <c:pt idx="0">
                  <c:v>ŽU</c:v>
                </c:pt>
                <c:pt idx="1">
                  <c:v>STU</c:v>
                </c:pt>
                <c:pt idx="2">
                  <c:v>TUKE</c:v>
                </c:pt>
                <c:pt idx="3">
                  <c:v>UK</c:v>
                </c:pt>
                <c:pt idx="4">
                  <c:v>SPU</c:v>
                </c:pt>
                <c:pt idx="5">
                  <c:v>EU</c:v>
                </c:pt>
                <c:pt idx="6">
                  <c:v>UPJŠ</c:v>
                </c:pt>
                <c:pt idx="7">
                  <c:v>Ostatní</c:v>
                </c:pt>
              </c:strCache>
            </c:strRef>
          </c:cat>
          <c:val>
            <c:numRef>
              <c:f>'graf 5.1.cVyskumnéProjektyOdIny'!$S$54:$S$61</c:f>
              <c:numCache>
                <c:formatCode>#,##0.00</c:formatCode>
                <c:ptCount val="8"/>
                <c:pt idx="0">
                  <c:v>33.495949910492136</c:v>
                </c:pt>
                <c:pt idx="1">
                  <c:v>32.033875547968563</c:v>
                </c:pt>
                <c:pt idx="2">
                  <c:v>16.384304158118859</c:v>
                </c:pt>
                <c:pt idx="3">
                  <c:v>7.7689854706914172</c:v>
                </c:pt>
                <c:pt idx="4">
                  <c:v>3.7982427781736017</c:v>
                </c:pt>
                <c:pt idx="5">
                  <c:v>1.6650026606768069</c:v>
                </c:pt>
                <c:pt idx="6">
                  <c:v>1.3442201179626998</c:v>
                </c:pt>
                <c:pt idx="7">
                  <c:v>3.5094193559159237</c:v>
                </c:pt>
              </c:numCache>
            </c:numRef>
          </c:val>
          <c:extLst>
            <c:ext xmlns:c16="http://schemas.microsoft.com/office/drawing/2014/chart" uri="{C3380CC4-5D6E-409C-BE32-E72D297353CC}">
              <c16:uniqueId val="{00000010-AA76-4A25-8BDF-8B926D0769BF}"/>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v>STU</c:v>
          </c:tx>
          <c:spPr>
            <a:solidFill>
              <a:srgbClr val="C00000"/>
            </a:solidFill>
          </c:spPr>
          <c:invertIfNegative val="0"/>
          <c:dPt>
            <c:idx val="0"/>
            <c:invertIfNegative val="0"/>
            <c:bubble3D val="0"/>
            <c:spPr>
              <a:solidFill>
                <a:srgbClr val="FF9900"/>
              </a:solidFill>
            </c:spPr>
            <c:extLst>
              <c:ext xmlns:c16="http://schemas.microsoft.com/office/drawing/2014/chart" uri="{C3380CC4-5D6E-409C-BE32-E72D297353CC}">
                <c16:uniqueId val="{00000001-57B5-4AEB-934A-A9C387CFEBA8}"/>
              </c:ext>
            </c:extLst>
          </c:dPt>
          <c:dPt>
            <c:idx val="1"/>
            <c:invertIfNegative val="0"/>
            <c:bubble3D val="0"/>
            <c:spPr>
              <a:solidFill>
                <a:schemeClr val="bg1">
                  <a:lumMod val="50000"/>
                </a:schemeClr>
              </a:solidFill>
            </c:spPr>
            <c:extLst>
              <c:ext xmlns:c16="http://schemas.microsoft.com/office/drawing/2014/chart" uri="{C3380CC4-5D6E-409C-BE32-E72D297353CC}">
                <c16:uniqueId val="{00000003-57B5-4AEB-934A-A9C387CFEBA8}"/>
              </c:ext>
            </c:extLst>
          </c:dPt>
          <c:dPt>
            <c:idx val="2"/>
            <c:invertIfNegative val="0"/>
            <c:bubble3D val="0"/>
            <c:spPr>
              <a:solidFill>
                <a:srgbClr val="0070C0"/>
              </a:solidFill>
            </c:spPr>
            <c:extLst>
              <c:ext xmlns:c16="http://schemas.microsoft.com/office/drawing/2014/chart" uri="{C3380CC4-5D6E-409C-BE32-E72D297353CC}">
                <c16:uniqueId val="{00000005-57B5-4AEB-934A-A9C387CFEBA8}"/>
              </c:ext>
            </c:extLst>
          </c:dPt>
          <c:dPt>
            <c:idx val="3"/>
            <c:invertIfNegative val="0"/>
            <c:bubble3D val="0"/>
            <c:spPr>
              <a:solidFill>
                <a:srgbClr val="FFCC00"/>
              </a:solidFill>
            </c:spPr>
            <c:extLst>
              <c:ext xmlns:c16="http://schemas.microsoft.com/office/drawing/2014/chart" uri="{C3380CC4-5D6E-409C-BE32-E72D297353CC}">
                <c16:uniqueId val="{00000007-57B5-4AEB-934A-A9C387CFEBA8}"/>
              </c:ext>
            </c:extLst>
          </c:dPt>
          <c:dPt>
            <c:idx val="4"/>
            <c:invertIfNegative val="0"/>
            <c:bubble3D val="0"/>
            <c:spPr>
              <a:solidFill>
                <a:srgbClr val="00B050"/>
              </a:solidFill>
            </c:spPr>
            <c:extLst>
              <c:ext xmlns:c16="http://schemas.microsoft.com/office/drawing/2014/chart" uri="{C3380CC4-5D6E-409C-BE32-E72D297353CC}">
                <c16:uniqueId val="{00000009-57B5-4AEB-934A-A9C387CFEBA8}"/>
              </c:ext>
            </c:extLst>
          </c:dPt>
          <c:dPt>
            <c:idx val="5"/>
            <c:invertIfNegative val="0"/>
            <c:bubble3D val="0"/>
            <c:spPr>
              <a:solidFill>
                <a:srgbClr val="FF0000"/>
              </a:solidFill>
            </c:spPr>
            <c:extLst>
              <c:ext xmlns:c16="http://schemas.microsoft.com/office/drawing/2014/chart" uri="{C3380CC4-5D6E-409C-BE32-E72D297353CC}">
                <c16:uniqueId val="{0000000B-57B5-4AEB-934A-A9C387CFEBA8}"/>
              </c:ext>
            </c:extLst>
          </c:dPt>
          <c:dPt>
            <c:idx val="6"/>
            <c:invertIfNegative val="0"/>
            <c:bubble3D val="0"/>
            <c:spPr>
              <a:solidFill>
                <a:srgbClr val="00B0F0"/>
              </a:solidFill>
            </c:spPr>
            <c:extLst>
              <c:ext xmlns:c16="http://schemas.microsoft.com/office/drawing/2014/chart" uri="{C3380CC4-5D6E-409C-BE32-E72D297353CC}">
                <c16:uniqueId val="{0000000D-57B5-4AEB-934A-A9C387CFEBA8}"/>
              </c:ext>
            </c:extLst>
          </c:dPt>
          <c:dPt>
            <c:idx val="7"/>
            <c:invertIfNegative val="0"/>
            <c:bubble3D val="0"/>
            <c:spPr>
              <a:solidFill>
                <a:srgbClr val="7030A0"/>
              </a:solidFill>
            </c:spPr>
            <c:extLst>
              <c:ext xmlns:c16="http://schemas.microsoft.com/office/drawing/2014/chart" uri="{C3380CC4-5D6E-409C-BE32-E72D297353CC}">
                <c16:uniqueId val="{0000000F-57B5-4AEB-934A-A9C387CFEBA8}"/>
              </c:ext>
            </c:extLst>
          </c:dPt>
          <c:cat>
            <c:strRef>
              <c:f>graf.c.12.ZoD!$B$42:$I$42</c:f>
              <c:strCache>
                <c:ptCount val="8"/>
                <c:pt idx="0">
                  <c:v>SvF</c:v>
                </c:pt>
                <c:pt idx="1">
                  <c:v>SjF</c:v>
                </c:pt>
                <c:pt idx="2">
                  <c:v>FEI</c:v>
                </c:pt>
                <c:pt idx="3">
                  <c:v>FCHPT</c:v>
                </c:pt>
                <c:pt idx="4">
                  <c:v>FA</c:v>
                </c:pt>
                <c:pt idx="5">
                  <c:v>MTF</c:v>
                </c:pt>
                <c:pt idx="6">
                  <c:v>FIIT</c:v>
                </c:pt>
                <c:pt idx="7">
                  <c:v>ÚM</c:v>
                </c:pt>
              </c:strCache>
            </c:strRef>
          </c:cat>
          <c:val>
            <c:numRef>
              <c:f>graf.c.12.ZoD!$B$44:$I$44</c:f>
              <c:numCache>
                <c:formatCode>#,##0</c:formatCode>
                <c:ptCount val="8"/>
                <c:pt idx="0">
                  <c:v>1013359</c:v>
                </c:pt>
                <c:pt idx="1">
                  <c:v>220853</c:v>
                </c:pt>
                <c:pt idx="2">
                  <c:v>73480</c:v>
                </c:pt>
                <c:pt idx="3">
                  <c:v>241215.22</c:v>
                </c:pt>
                <c:pt idx="4">
                  <c:v>0</c:v>
                </c:pt>
                <c:pt idx="5">
                  <c:v>645517.51</c:v>
                </c:pt>
                <c:pt idx="6">
                  <c:v>222866</c:v>
                </c:pt>
                <c:pt idx="7">
                  <c:v>185595</c:v>
                </c:pt>
              </c:numCache>
            </c:numRef>
          </c:val>
          <c:extLst>
            <c:ext xmlns:c16="http://schemas.microsoft.com/office/drawing/2014/chart" uri="{C3380CC4-5D6E-409C-BE32-E72D297353CC}">
              <c16:uniqueId val="{00000010-57B5-4AEB-934A-A9C387CFEBA8}"/>
            </c:ext>
          </c:extLst>
        </c:ser>
        <c:dLbls>
          <c:showLegendKey val="0"/>
          <c:showVal val="0"/>
          <c:showCatName val="0"/>
          <c:showSerName val="0"/>
          <c:showPercent val="0"/>
          <c:showBubbleSize val="0"/>
        </c:dLbls>
        <c:gapWidth val="150"/>
        <c:shape val="cylinder"/>
        <c:axId val="361744296"/>
        <c:axId val="1"/>
        <c:axId val="0"/>
      </c:bar3DChart>
      <c:catAx>
        <c:axId val="361744296"/>
        <c:scaling>
          <c:orientation val="minMax"/>
        </c:scaling>
        <c:delete val="0"/>
        <c:axPos val="b"/>
        <c:numFmt formatCode="General"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sk-SK"/>
                  <a:t>EUR</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361744296"/>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sk-SK"/>
          </a:p>
        </c:txPr>
      </c:dTable>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sk-SK"/>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v>STU</c:v>
          </c:tx>
          <c:spPr>
            <a:solidFill>
              <a:srgbClr val="C00000"/>
            </a:solidFill>
          </c:spPr>
          <c:invertIfNegative val="0"/>
          <c:dPt>
            <c:idx val="0"/>
            <c:invertIfNegative val="0"/>
            <c:bubble3D val="0"/>
            <c:spPr>
              <a:solidFill>
                <a:srgbClr val="FF9900"/>
              </a:solidFill>
            </c:spPr>
            <c:extLst>
              <c:ext xmlns:c16="http://schemas.microsoft.com/office/drawing/2014/chart" uri="{C3380CC4-5D6E-409C-BE32-E72D297353CC}">
                <c16:uniqueId val="{00000001-A88B-4FB3-BD1E-2EFD19474F9C}"/>
              </c:ext>
            </c:extLst>
          </c:dPt>
          <c:dPt>
            <c:idx val="1"/>
            <c:invertIfNegative val="0"/>
            <c:bubble3D val="0"/>
            <c:spPr>
              <a:solidFill>
                <a:schemeClr val="bg1">
                  <a:lumMod val="50000"/>
                </a:schemeClr>
              </a:solidFill>
            </c:spPr>
            <c:extLst>
              <c:ext xmlns:c16="http://schemas.microsoft.com/office/drawing/2014/chart" uri="{C3380CC4-5D6E-409C-BE32-E72D297353CC}">
                <c16:uniqueId val="{00000003-A88B-4FB3-BD1E-2EFD19474F9C}"/>
              </c:ext>
            </c:extLst>
          </c:dPt>
          <c:dPt>
            <c:idx val="2"/>
            <c:invertIfNegative val="0"/>
            <c:bubble3D val="0"/>
            <c:spPr>
              <a:solidFill>
                <a:srgbClr val="0070C0"/>
              </a:solidFill>
            </c:spPr>
            <c:extLst>
              <c:ext xmlns:c16="http://schemas.microsoft.com/office/drawing/2014/chart" uri="{C3380CC4-5D6E-409C-BE32-E72D297353CC}">
                <c16:uniqueId val="{00000005-A88B-4FB3-BD1E-2EFD19474F9C}"/>
              </c:ext>
            </c:extLst>
          </c:dPt>
          <c:dPt>
            <c:idx val="3"/>
            <c:invertIfNegative val="0"/>
            <c:bubble3D val="0"/>
            <c:spPr>
              <a:solidFill>
                <a:srgbClr val="FFCC00"/>
              </a:solidFill>
            </c:spPr>
            <c:extLst>
              <c:ext xmlns:c16="http://schemas.microsoft.com/office/drawing/2014/chart" uri="{C3380CC4-5D6E-409C-BE32-E72D297353CC}">
                <c16:uniqueId val="{00000007-A88B-4FB3-BD1E-2EFD19474F9C}"/>
              </c:ext>
            </c:extLst>
          </c:dPt>
          <c:dPt>
            <c:idx val="4"/>
            <c:invertIfNegative val="0"/>
            <c:bubble3D val="0"/>
            <c:spPr>
              <a:solidFill>
                <a:srgbClr val="00B050"/>
              </a:solidFill>
            </c:spPr>
            <c:extLst>
              <c:ext xmlns:c16="http://schemas.microsoft.com/office/drawing/2014/chart" uri="{C3380CC4-5D6E-409C-BE32-E72D297353CC}">
                <c16:uniqueId val="{00000009-A88B-4FB3-BD1E-2EFD19474F9C}"/>
              </c:ext>
            </c:extLst>
          </c:dPt>
          <c:dPt>
            <c:idx val="5"/>
            <c:invertIfNegative val="0"/>
            <c:bubble3D val="0"/>
            <c:spPr>
              <a:solidFill>
                <a:srgbClr val="FF0000"/>
              </a:solidFill>
            </c:spPr>
            <c:extLst>
              <c:ext xmlns:c16="http://schemas.microsoft.com/office/drawing/2014/chart" uri="{C3380CC4-5D6E-409C-BE32-E72D297353CC}">
                <c16:uniqueId val="{0000000B-A88B-4FB3-BD1E-2EFD19474F9C}"/>
              </c:ext>
            </c:extLst>
          </c:dPt>
          <c:dPt>
            <c:idx val="6"/>
            <c:invertIfNegative val="0"/>
            <c:bubble3D val="0"/>
            <c:spPr>
              <a:solidFill>
                <a:srgbClr val="00B0F0"/>
              </a:solidFill>
            </c:spPr>
            <c:extLst>
              <c:ext xmlns:c16="http://schemas.microsoft.com/office/drawing/2014/chart" uri="{C3380CC4-5D6E-409C-BE32-E72D297353CC}">
                <c16:uniqueId val="{0000000D-A88B-4FB3-BD1E-2EFD19474F9C}"/>
              </c:ext>
            </c:extLst>
          </c:dPt>
          <c:dPt>
            <c:idx val="7"/>
            <c:invertIfNegative val="0"/>
            <c:bubble3D val="0"/>
            <c:spPr>
              <a:solidFill>
                <a:srgbClr val="7030A0"/>
              </a:solidFill>
            </c:spPr>
            <c:extLst>
              <c:ext xmlns:c16="http://schemas.microsoft.com/office/drawing/2014/chart" uri="{C3380CC4-5D6E-409C-BE32-E72D297353CC}">
                <c16:uniqueId val="{0000000F-A88B-4FB3-BD1E-2EFD19474F9C}"/>
              </c:ext>
            </c:extLst>
          </c:dPt>
          <c:cat>
            <c:strRef>
              <c:f>graf.c.12.ZoD!$B$42:$I$42</c:f>
              <c:strCache>
                <c:ptCount val="8"/>
                <c:pt idx="0">
                  <c:v>SvF</c:v>
                </c:pt>
                <c:pt idx="1">
                  <c:v>SjF</c:v>
                </c:pt>
                <c:pt idx="2">
                  <c:v>FEI</c:v>
                </c:pt>
                <c:pt idx="3">
                  <c:v>FCHPT</c:v>
                </c:pt>
                <c:pt idx="4">
                  <c:v>FA</c:v>
                </c:pt>
                <c:pt idx="5">
                  <c:v>MTF</c:v>
                </c:pt>
                <c:pt idx="6">
                  <c:v>FIIT</c:v>
                </c:pt>
                <c:pt idx="7">
                  <c:v>ÚM</c:v>
                </c:pt>
              </c:strCache>
            </c:strRef>
          </c:cat>
          <c:val>
            <c:numRef>
              <c:f>graf.c.12.ZoD!$B$45:$I$45</c:f>
              <c:numCache>
                <c:formatCode>#,##0</c:formatCode>
                <c:ptCount val="8"/>
                <c:pt idx="0">
                  <c:v>4564.6801801801803</c:v>
                </c:pt>
                <c:pt idx="1">
                  <c:v>2007.7545454545455</c:v>
                </c:pt>
                <c:pt idx="2">
                  <c:v>310.042194092827</c:v>
                </c:pt>
                <c:pt idx="3">
                  <c:v>879.50498207885312</c:v>
                </c:pt>
                <c:pt idx="4">
                  <c:v>0</c:v>
                </c:pt>
                <c:pt idx="5">
                  <c:v>3489.2838378378378</c:v>
                </c:pt>
                <c:pt idx="6">
                  <c:v>4285.8846153846152</c:v>
                </c:pt>
                <c:pt idx="7">
                  <c:v>5458.6764705882351</c:v>
                </c:pt>
              </c:numCache>
            </c:numRef>
          </c:val>
          <c:extLst>
            <c:ext xmlns:c16="http://schemas.microsoft.com/office/drawing/2014/chart" uri="{C3380CC4-5D6E-409C-BE32-E72D297353CC}">
              <c16:uniqueId val="{00000010-A88B-4FB3-BD1E-2EFD19474F9C}"/>
            </c:ext>
          </c:extLst>
        </c:ser>
        <c:dLbls>
          <c:showLegendKey val="0"/>
          <c:showVal val="0"/>
          <c:showCatName val="0"/>
          <c:showSerName val="0"/>
          <c:showPercent val="0"/>
          <c:showBubbleSize val="0"/>
        </c:dLbls>
        <c:gapWidth val="150"/>
        <c:shape val="cylinder"/>
        <c:axId val="2094508624"/>
        <c:axId val="1"/>
        <c:axId val="0"/>
      </c:bar3DChart>
      <c:catAx>
        <c:axId val="2094508624"/>
        <c:scaling>
          <c:orientation val="minMax"/>
        </c:scaling>
        <c:delete val="0"/>
        <c:axPos val="b"/>
        <c:numFmt formatCode="General"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sk-SK"/>
                  <a:t>EUR</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k-SK"/>
          </a:p>
        </c:txPr>
        <c:crossAx val="2094508624"/>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sk-SK"/>
          </a:p>
        </c:txPr>
      </c:dTable>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sk-SK"/>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pPr>
        <a:noFill/>
        <a:ln>
          <a:noFill/>
        </a:ln>
        <a:effectLst/>
        <a:scene3d>
          <a:camera prst="orthographicFront"/>
          <a:lightRig rig="threePt" dir="t"/>
        </a:scene3d>
        <a:sp3d>
          <a:bevelT/>
        </a:sp3d>
      </c:spPr>
    </c:sideWall>
    <c:backWall>
      <c:thickness val="0"/>
      <c:spPr>
        <a:noFill/>
        <a:ln>
          <a:noFill/>
        </a:ln>
        <a:effectLst/>
        <a:scene3d>
          <a:camera prst="orthographicFront"/>
          <a:lightRig rig="threePt" dir="t"/>
        </a:scene3d>
        <a:sp3d>
          <a:bevelT/>
        </a:sp3d>
      </c:spPr>
    </c:backWall>
    <c:plotArea>
      <c:layout>
        <c:manualLayout>
          <c:layoutTarget val="inner"/>
          <c:xMode val="edge"/>
          <c:yMode val="edge"/>
          <c:x val="0.10881822616416741"/>
          <c:y val="6.3666276409326386E-2"/>
          <c:w val="0.88733883198637109"/>
          <c:h val="0.6319612950693575"/>
        </c:manualLayout>
      </c:layout>
      <c:bar3DChart>
        <c:barDir val="col"/>
        <c:grouping val="stacked"/>
        <c:varyColors val="0"/>
        <c:ser>
          <c:idx val="0"/>
          <c:order val="0"/>
          <c:tx>
            <c:strRef>
              <c:f>Graf4_vývoj_celkom!$A$3</c:f>
              <c:strCache>
                <c:ptCount val="1"/>
                <c:pt idx="0">
                  <c:v>I. stupeň</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a:effectLst/>
            <a:scene3d>
              <a:camera prst="orthographicFront"/>
              <a:lightRig rig="threePt" dir="t"/>
            </a:scene3d>
            <a:sp3d/>
          </c:spPr>
          <c:invertIfNegative val="0"/>
          <c:dLbls>
            <c:spPr>
              <a:noFill/>
              <a:ln>
                <a:noFill/>
              </a:ln>
              <a:effectLst/>
            </c:spPr>
            <c:txPr>
              <a:bodyPr rot="-5400000" vert="horz"/>
              <a:lstStyle/>
              <a:p>
                <a:pPr>
                  <a:defRPr sz="90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Graf4_vývoj_celkom!$B$1:$N$2</c:f>
              <c:strCache>
                <c:ptCount val="7"/>
                <c:pt idx="0">
                  <c:v>2015/2016</c:v>
                </c:pt>
                <c:pt idx="1">
                  <c:v>2016/2017</c:v>
                </c:pt>
                <c:pt idx="2">
                  <c:v>2017/2018</c:v>
                </c:pt>
                <c:pt idx="3">
                  <c:v>2018/2019</c:v>
                </c:pt>
                <c:pt idx="4">
                  <c:v>2019/2020</c:v>
                </c:pt>
                <c:pt idx="5">
                  <c:v>2020/2021</c:v>
                </c:pt>
                <c:pt idx="6">
                  <c:v>2021/2022</c:v>
                </c:pt>
              </c:strCache>
              <c:extLst/>
            </c:strRef>
          </c:cat>
          <c:val>
            <c:numRef>
              <c:f>Graf4_vývoj_celkom!$B$3:$N$3</c:f>
              <c:numCache>
                <c:formatCode>#,##0</c:formatCode>
                <c:ptCount val="7"/>
                <c:pt idx="0">
                  <c:v>8977</c:v>
                </c:pt>
                <c:pt idx="1">
                  <c:v>8020</c:v>
                </c:pt>
                <c:pt idx="2">
                  <c:v>7136</c:v>
                </c:pt>
                <c:pt idx="3">
                  <c:v>6918</c:v>
                </c:pt>
                <c:pt idx="4">
                  <c:v>6924</c:v>
                </c:pt>
                <c:pt idx="5">
                  <c:v>6969</c:v>
                </c:pt>
                <c:pt idx="6">
                  <c:v>6842</c:v>
                </c:pt>
              </c:numCache>
              <c:extLst/>
            </c:numRef>
          </c:val>
          <c:extLst>
            <c:ext xmlns:c16="http://schemas.microsoft.com/office/drawing/2014/chart" uri="{C3380CC4-5D6E-409C-BE32-E72D297353CC}">
              <c16:uniqueId val="{00000000-A8E1-45BB-A97C-3CD6474FD2DC}"/>
            </c:ext>
          </c:extLst>
        </c:ser>
        <c:ser>
          <c:idx val="1"/>
          <c:order val="1"/>
          <c:tx>
            <c:strRef>
              <c:f>Graf4_vývoj_celkom!$A$4</c:f>
              <c:strCache>
                <c:ptCount val="1"/>
                <c:pt idx="0">
                  <c:v>II. stupeň</c:v>
                </c:pt>
              </c:strCache>
            </c:strRef>
          </c:tx>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c:spPr>
          <c:invertIfNegative val="0"/>
          <c:dLbls>
            <c:spPr>
              <a:noFill/>
              <a:ln>
                <a:noFill/>
              </a:ln>
              <a:effectLst/>
            </c:spPr>
            <c:txPr>
              <a:bodyPr rot="-5400000" vert="horz"/>
              <a:lstStyle/>
              <a:p>
                <a:pPr>
                  <a:defRPr sz="900">
                    <a:solidFill>
                      <a:schemeClr val="bg1"/>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Graf4_vývoj_celkom!$B$1:$N$2</c:f>
              <c:strCache>
                <c:ptCount val="7"/>
                <c:pt idx="0">
                  <c:v>2015/2016</c:v>
                </c:pt>
                <c:pt idx="1">
                  <c:v>2016/2017</c:v>
                </c:pt>
                <c:pt idx="2">
                  <c:v>2017/2018</c:v>
                </c:pt>
                <c:pt idx="3">
                  <c:v>2018/2019</c:v>
                </c:pt>
                <c:pt idx="4">
                  <c:v>2019/2020</c:v>
                </c:pt>
                <c:pt idx="5">
                  <c:v>2020/2021</c:v>
                </c:pt>
                <c:pt idx="6">
                  <c:v>2021/2022</c:v>
                </c:pt>
              </c:strCache>
              <c:extLst/>
            </c:strRef>
          </c:cat>
          <c:val>
            <c:numRef>
              <c:f>Graf4_vývoj_celkom!$B$4:$N$4</c:f>
              <c:numCache>
                <c:formatCode>#,##0</c:formatCode>
                <c:ptCount val="7"/>
                <c:pt idx="0">
                  <c:v>4289</c:v>
                </c:pt>
                <c:pt idx="1">
                  <c:v>4205</c:v>
                </c:pt>
                <c:pt idx="2">
                  <c:v>3815</c:v>
                </c:pt>
                <c:pt idx="3">
                  <c:v>3430</c:v>
                </c:pt>
                <c:pt idx="4">
                  <c:v>3285</c:v>
                </c:pt>
                <c:pt idx="5">
                  <c:v>2964</c:v>
                </c:pt>
                <c:pt idx="6">
                  <c:v>2923</c:v>
                </c:pt>
              </c:numCache>
              <c:extLst/>
            </c:numRef>
          </c:val>
          <c:extLst>
            <c:ext xmlns:c16="http://schemas.microsoft.com/office/drawing/2014/chart" uri="{C3380CC4-5D6E-409C-BE32-E72D297353CC}">
              <c16:uniqueId val="{00000001-A8E1-45BB-A97C-3CD6474FD2DC}"/>
            </c:ext>
          </c:extLst>
        </c:ser>
        <c:ser>
          <c:idx val="2"/>
          <c:order val="2"/>
          <c:tx>
            <c:strRef>
              <c:f>Graf4_vývoj_celkom!$A$5</c:f>
              <c:strCache>
                <c:ptCount val="1"/>
                <c:pt idx="0">
                  <c:v>III. stupeň</c:v>
                </c:pt>
              </c:strCache>
            </c:strRef>
          </c:tx>
          <c:spPr>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a:effectLst/>
          </c:spPr>
          <c:invertIfNegative val="0"/>
          <c:dLbls>
            <c:dLbl>
              <c:idx val="0"/>
              <c:layout>
                <c:manualLayout>
                  <c:x val="7.9155672823218032E-3"/>
                  <c:y val="-6.6068900424728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9F-429A-8C72-A7F0CA8DA637}"/>
                </c:ext>
              </c:extLst>
            </c:dLbl>
            <c:dLbl>
              <c:idx val="1"/>
              <c:layout>
                <c:manualLayout>
                  <c:x val="1.2193634922570418E-2"/>
                  <c:y val="-7.7590141487905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C6-45DE-AA62-3567FD80E497}"/>
                </c:ext>
              </c:extLst>
            </c:dLbl>
            <c:dLbl>
              <c:idx val="2"/>
              <c:layout>
                <c:manualLayout>
                  <c:x val="7.3161809535421613E-3"/>
                  <c:y val="-6.846188954815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C6-45DE-AA62-3567FD80E497}"/>
                </c:ext>
              </c:extLst>
            </c:dLbl>
            <c:dLbl>
              <c:idx val="3"/>
              <c:layout>
                <c:manualLayout>
                  <c:x val="0"/>
                  <c:y val="-7.30260155180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C6-45DE-AA62-3567FD80E497}"/>
                </c:ext>
              </c:extLst>
            </c:dLbl>
            <c:dLbl>
              <c:idx val="4"/>
              <c:layout>
                <c:manualLayout>
                  <c:x val="0"/>
                  <c:y val="-7.30260155180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C6-45DE-AA62-3567FD80E497}"/>
                </c:ext>
              </c:extLst>
            </c:dLbl>
            <c:dLbl>
              <c:idx val="5"/>
              <c:layout>
                <c:manualLayout>
                  <c:x val="2.4387269845140835E-3"/>
                  <c:y val="-6.8461889548151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C6-45DE-AA62-3567FD80E497}"/>
                </c:ext>
              </c:extLst>
            </c:dLbl>
            <c:dLbl>
              <c:idx val="6"/>
              <c:layout>
                <c:manualLayout>
                  <c:x val="4.8774539690281671E-3"/>
                  <c:y val="-5.9333637608397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C6-45DE-AA62-3567FD80E49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Graf4_vývoj_celkom!$B$1:$N$2</c:f>
              <c:strCache>
                <c:ptCount val="7"/>
                <c:pt idx="0">
                  <c:v>2015/2016</c:v>
                </c:pt>
                <c:pt idx="1">
                  <c:v>2016/2017</c:v>
                </c:pt>
                <c:pt idx="2">
                  <c:v>2017/2018</c:v>
                </c:pt>
                <c:pt idx="3">
                  <c:v>2018/2019</c:v>
                </c:pt>
                <c:pt idx="4">
                  <c:v>2019/2020</c:v>
                </c:pt>
                <c:pt idx="5">
                  <c:v>2020/2021</c:v>
                </c:pt>
                <c:pt idx="6">
                  <c:v>2021/2022</c:v>
                </c:pt>
              </c:strCache>
              <c:extLst/>
            </c:strRef>
          </c:cat>
          <c:val>
            <c:numRef>
              <c:f>Graf4_vývoj_celkom!$B$5:$N$5</c:f>
              <c:numCache>
                <c:formatCode>#,##0</c:formatCode>
                <c:ptCount val="7"/>
                <c:pt idx="0">
                  <c:v>1020</c:v>
                </c:pt>
                <c:pt idx="1">
                  <c:v>883</c:v>
                </c:pt>
                <c:pt idx="2">
                  <c:v>797</c:v>
                </c:pt>
                <c:pt idx="3">
                  <c:v>782</c:v>
                </c:pt>
                <c:pt idx="4">
                  <c:v>767</c:v>
                </c:pt>
                <c:pt idx="5">
                  <c:v>745</c:v>
                </c:pt>
                <c:pt idx="6">
                  <c:v>778</c:v>
                </c:pt>
              </c:numCache>
              <c:extLst/>
            </c:numRef>
          </c:val>
          <c:extLst>
            <c:ext xmlns:c16="http://schemas.microsoft.com/office/drawing/2014/chart" uri="{C3380CC4-5D6E-409C-BE32-E72D297353CC}">
              <c16:uniqueId val="{0000000F-A8E1-45BB-A97C-3CD6474FD2DC}"/>
            </c:ext>
          </c:extLst>
        </c:ser>
        <c:dLbls>
          <c:showLegendKey val="0"/>
          <c:showVal val="1"/>
          <c:showCatName val="0"/>
          <c:showSerName val="0"/>
          <c:showPercent val="0"/>
          <c:showBubbleSize val="0"/>
        </c:dLbls>
        <c:gapWidth val="150"/>
        <c:shape val="box"/>
        <c:axId val="419389552"/>
        <c:axId val="321968656"/>
        <c:axId val="0"/>
      </c:bar3DChart>
      <c:catAx>
        <c:axId val="419389552"/>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round/>
          </a:ln>
          <a:effectLst/>
        </c:spPr>
        <c:txPr>
          <a:bodyPr rot="-1740000"/>
          <a:lstStyle/>
          <a:p>
            <a:pPr>
              <a:defRPr sz="900"/>
            </a:pPr>
            <a:endParaRPr lang="sk-SK"/>
          </a:p>
        </c:txPr>
        <c:crossAx val="321968656"/>
        <c:crosses val="autoZero"/>
        <c:auto val="1"/>
        <c:lblAlgn val="ctr"/>
        <c:lblOffset val="100"/>
        <c:noMultiLvlLbl val="0"/>
      </c:catAx>
      <c:valAx>
        <c:axId val="32196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tint val="75000"/>
                <a:shade val="95000"/>
                <a:satMod val="105000"/>
              </a:schemeClr>
            </a:solidFill>
          </a:ln>
          <a:effectLst/>
        </c:spPr>
        <c:txPr>
          <a:bodyPr rot="-60000000" vert="horz"/>
          <a:lstStyle/>
          <a:p>
            <a:pPr>
              <a:defRPr/>
            </a:pPr>
            <a:endParaRPr lang="sk-SK"/>
          </a:p>
        </c:txPr>
        <c:crossAx val="419389552"/>
        <c:crosses val="autoZero"/>
        <c:crossBetween val="between"/>
        <c:majorUnit val="4000"/>
      </c:valAx>
    </c:plotArea>
    <c:legend>
      <c:legendPos val="b"/>
      <c:overlay val="0"/>
      <c:spPr>
        <a:noFill/>
        <a:ln>
          <a:noFill/>
        </a:ln>
        <a:effectLst/>
      </c:spPr>
      <c:txPr>
        <a:bodyPr rot="0" vert="horz"/>
        <a:lstStyle/>
        <a:p>
          <a:pPr>
            <a:defRPr/>
          </a:pPr>
          <a:endParaRPr lang="sk-SK"/>
        </a:p>
      </c:txPr>
    </c:legend>
    <c:plotVisOnly val="1"/>
    <c:dispBlanksAs val="gap"/>
    <c:showDLblsOverMax val="0"/>
  </c:chart>
  <c:spPr>
    <a:noFill/>
    <a:ln w="9525" cap="flat" cmpd="sng" algn="ctr">
      <a:noFill/>
      <a:round/>
    </a:ln>
    <a:effectLst/>
  </c:spPr>
  <c:txPr>
    <a:bodyPr/>
    <a:lstStyle/>
    <a:p>
      <a:pPr>
        <a:defRPr sz="1000">
          <a:effectLst/>
          <a:latin typeface="+mj-lt"/>
        </a:defRPr>
      </a:pPr>
      <a:endParaRPr lang="sk-SK"/>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40"/>
      <c:rAngAx val="0"/>
    </c:view3D>
    <c:floor>
      <c:thickness val="0"/>
    </c:floor>
    <c:sideWall>
      <c:thickness val="0"/>
    </c:sideWall>
    <c:backWall>
      <c:thickness val="0"/>
    </c:backWall>
    <c:plotArea>
      <c:layout/>
      <c:pie3DChart>
        <c:varyColors val="1"/>
        <c:ser>
          <c:idx val="0"/>
          <c:order val="0"/>
          <c:explosion val="25"/>
          <c:dPt>
            <c:idx val="0"/>
            <c:bubble3D val="0"/>
            <c:spPr>
              <a:solidFill>
                <a:srgbClr val="00B0F0"/>
              </a:solidFill>
            </c:spPr>
            <c:extLst>
              <c:ext xmlns:c16="http://schemas.microsoft.com/office/drawing/2014/chart" uri="{C3380CC4-5D6E-409C-BE32-E72D297353CC}">
                <c16:uniqueId val="{00000001-ABA6-4D4C-8673-DE28DBBD8A47}"/>
              </c:ext>
            </c:extLst>
          </c:dPt>
          <c:dPt>
            <c:idx val="1"/>
            <c:bubble3D val="0"/>
            <c:spPr>
              <a:solidFill>
                <a:srgbClr val="C00000"/>
              </a:solidFill>
            </c:spPr>
            <c:extLst>
              <c:ext xmlns:c16="http://schemas.microsoft.com/office/drawing/2014/chart" uri="{C3380CC4-5D6E-409C-BE32-E72D297353CC}">
                <c16:uniqueId val="{00000003-ABA6-4D4C-8673-DE28DBBD8A47}"/>
              </c:ext>
            </c:extLst>
          </c:dPt>
          <c:dPt>
            <c:idx val="2"/>
            <c:bubble3D val="0"/>
            <c:spPr>
              <a:solidFill>
                <a:schemeClr val="tx1"/>
              </a:solidFill>
            </c:spPr>
            <c:extLst>
              <c:ext xmlns:c16="http://schemas.microsoft.com/office/drawing/2014/chart" uri="{C3380CC4-5D6E-409C-BE32-E72D297353CC}">
                <c16:uniqueId val="{00000005-ABA6-4D4C-8673-DE28DBBD8A47}"/>
              </c:ext>
            </c:extLst>
          </c:dPt>
          <c:dPt>
            <c:idx val="3"/>
            <c:bubble3D val="0"/>
            <c:spPr>
              <a:solidFill>
                <a:schemeClr val="tx1">
                  <a:lumMod val="50000"/>
                  <a:lumOff val="50000"/>
                </a:schemeClr>
              </a:solidFill>
            </c:spPr>
            <c:extLst>
              <c:ext xmlns:c16="http://schemas.microsoft.com/office/drawing/2014/chart" uri="{C3380CC4-5D6E-409C-BE32-E72D297353CC}">
                <c16:uniqueId val="{00000007-ABA6-4D4C-8673-DE28DBBD8A47}"/>
              </c:ext>
            </c:extLst>
          </c:dPt>
          <c:dPt>
            <c:idx val="4"/>
            <c:bubble3D val="0"/>
            <c:spPr>
              <a:solidFill>
                <a:srgbClr val="FF0000"/>
              </a:solidFill>
            </c:spPr>
            <c:extLst>
              <c:ext xmlns:c16="http://schemas.microsoft.com/office/drawing/2014/chart" uri="{C3380CC4-5D6E-409C-BE32-E72D297353CC}">
                <c16:uniqueId val="{00000009-ABA6-4D4C-8673-DE28DBBD8A47}"/>
              </c:ext>
            </c:extLst>
          </c:dPt>
          <c:dPt>
            <c:idx val="5"/>
            <c:bubble3D val="0"/>
            <c:spPr>
              <a:solidFill>
                <a:schemeClr val="bg1">
                  <a:lumMod val="75000"/>
                </a:schemeClr>
              </a:solidFill>
            </c:spPr>
            <c:extLst>
              <c:ext xmlns:c16="http://schemas.microsoft.com/office/drawing/2014/chart" uri="{C3380CC4-5D6E-409C-BE32-E72D297353CC}">
                <c16:uniqueId val="{0000000B-ABA6-4D4C-8673-DE28DBBD8A47}"/>
              </c:ext>
            </c:extLst>
          </c:dPt>
          <c:dPt>
            <c:idx val="6"/>
            <c:bubble3D val="0"/>
            <c:spPr>
              <a:solidFill>
                <a:srgbClr val="7030A0"/>
              </a:solidFill>
            </c:spPr>
            <c:extLst>
              <c:ext xmlns:c16="http://schemas.microsoft.com/office/drawing/2014/chart" uri="{C3380CC4-5D6E-409C-BE32-E72D297353CC}">
                <c16:uniqueId val="{0000000D-ABA6-4D4C-8673-DE28DBBD8A47}"/>
              </c:ext>
            </c:extLst>
          </c:dPt>
          <c:dLbls>
            <c:spPr>
              <a:noFill/>
              <a:ln>
                <a:noFill/>
              </a:ln>
              <a:effectLst/>
            </c:spPr>
            <c:txPr>
              <a:bodyPr wrap="square" lIns="38100" tIns="19050" rIns="38100" bIns="19050" anchor="ctr">
                <a:spAutoFit/>
              </a:bodyPr>
              <a:lstStyle/>
              <a:p>
                <a:pPr>
                  <a:defRPr>
                    <a:latin typeface="+mj-lt"/>
                  </a:defRPr>
                </a:pPr>
                <a:endParaRPr lang="sk-SK"/>
              </a:p>
            </c:txPr>
            <c:showLegendKey val="0"/>
            <c:showVal val="0"/>
            <c:showCatName val="1"/>
            <c:showSerName val="0"/>
            <c:showPercent val="1"/>
            <c:showBubbleSize val="0"/>
            <c:showLeaderLines val="1"/>
            <c:extLst>
              <c:ext xmlns:c15="http://schemas.microsoft.com/office/drawing/2012/chart" uri="{CE6537A1-D6FC-4f65-9D91-7224C49458BB}"/>
            </c:extLst>
          </c:dLbls>
          <c:cat>
            <c:strRef>
              <c:f>'graf 5.2.PublikačnáČinnosť'!$S$55:$S$61</c:f>
              <c:strCache>
                <c:ptCount val="7"/>
                <c:pt idx="0">
                  <c:v>UK</c:v>
                </c:pt>
                <c:pt idx="1">
                  <c:v>STU</c:v>
                </c:pt>
                <c:pt idx="2">
                  <c:v>TUKE</c:v>
                </c:pt>
                <c:pt idx="3">
                  <c:v>UPJŠ</c:v>
                </c:pt>
                <c:pt idx="4">
                  <c:v>ŽU</c:v>
                </c:pt>
                <c:pt idx="5">
                  <c:v>PU</c:v>
                </c:pt>
                <c:pt idx="6">
                  <c:v>Ostatní</c:v>
                </c:pt>
              </c:strCache>
            </c:strRef>
          </c:cat>
          <c:val>
            <c:numRef>
              <c:f>'graf 5.2.PublikačnáČinnosť'!$T$55:$T$61</c:f>
              <c:numCache>
                <c:formatCode>General</c:formatCode>
                <c:ptCount val="7"/>
                <c:pt idx="0">
                  <c:v>26.118002970974125</c:v>
                </c:pt>
                <c:pt idx="1">
                  <c:v>10.697411719365139</c:v>
                </c:pt>
                <c:pt idx="2">
                  <c:v>9.6932768881247391</c:v>
                </c:pt>
                <c:pt idx="3">
                  <c:v>9.1997591437538144</c:v>
                </c:pt>
                <c:pt idx="4">
                  <c:v>6.4640645486086044</c:v>
                </c:pt>
                <c:pt idx="5">
                  <c:v>5.2653612339998466</c:v>
                </c:pt>
                <c:pt idx="6">
                  <c:v>32.562123495173722</c:v>
                </c:pt>
              </c:numCache>
            </c:numRef>
          </c:val>
          <c:extLst>
            <c:ext xmlns:c16="http://schemas.microsoft.com/office/drawing/2014/chart" uri="{C3380CC4-5D6E-409C-BE32-E72D297353CC}">
              <c16:uniqueId val="{0000000E-ABA6-4D4C-8673-DE28DBBD8A47}"/>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'q1 podla fakult a prepocet'!$C$4</c:f>
              <c:strCache>
                <c:ptCount val="1"/>
                <c:pt idx="0">
                  <c:v>2016</c:v>
                </c:pt>
              </c:strCache>
            </c:strRef>
          </c:tx>
          <c:spPr>
            <a:solidFill>
              <a:schemeClr val="accent2"/>
            </a:solidFill>
            <a:ln>
              <a:noFill/>
            </a:ln>
            <a:effectLst/>
          </c:spPr>
          <c:invertIfNegative val="0"/>
          <c:cat>
            <c:strRef>
              <c:f>'q1 podla fakult a prepocet'!$A$5:$A$12</c:f>
              <c:strCache>
                <c:ptCount val="8"/>
                <c:pt idx="0">
                  <c:v>SVF</c:v>
                </c:pt>
                <c:pt idx="1">
                  <c:v>SJF</c:v>
                </c:pt>
                <c:pt idx="2">
                  <c:v>FEI</c:v>
                </c:pt>
                <c:pt idx="3">
                  <c:v>FCHPT</c:v>
                </c:pt>
                <c:pt idx="4">
                  <c:v>FAD</c:v>
                </c:pt>
                <c:pt idx="5">
                  <c:v>MTF</c:v>
                </c:pt>
                <c:pt idx="6">
                  <c:v>FIIT</c:v>
                </c:pt>
                <c:pt idx="7">
                  <c:v>Centrálne pracoviská</c:v>
                </c:pt>
              </c:strCache>
            </c:strRef>
          </c:cat>
          <c:val>
            <c:numRef>
              <c:f>'q1 podla fakult a prepocet'!$C$5:$C$12</c:f>
              <c:numCache>
                <c:formatCode>General</c:formatCode>
                <c:ptCount val="8"/>
                <c:pt idx="0">
                  <c:v>29</c:v>
                </c:pt>
                <c:pt idx="1">
                  <c:v>5</c:v>
                </c:pt>
                <c:pt idx="2">
                  <c:v>18</c:v>
                </c:pt>
                <c:pt idx="3">
                  <c:v>62</c:v>
                </c:pt>
                <c:pt idx="4">
                  <c:v>0</c:v>
                </c:pt>
                <c:pt idx="5">
                  <c:v>12</c:v>
                </c:pt>
                <c:pt idx="6">
                  <c:v>4</c:v>
                </c:pt>
                <c:pt idx="7">
                  <c:v>3</c:v>
                </c:pt>
              </c:numCache>
            </c:numRef>
          </c:val>
          <c:extLst>
            <c:ext xmlns:c16="http://schemas.microsoft.com/office/drawing/2014/chart" uri="{C3380CC4-5D6E-409C-BE32-E72D297353CC}">
              <c16:uniqueId val="{00000000-273F-4DA5-B268-E087821D576E}"/>
            </c:ext>
          </c:extLst>
        </c:ser>
        <c:ser>
          <c:idx val="2"/>
          <c:order val="2"/>
          <c:tx>
            <c:strRef>
              <c:f>'q1 podla fakult a prepocet'!$D$4</c:f>
              <c:strCache>
                <c:ptCount val="1"/>
                <c:pt idx="0">
                  <c:v>2017</c:v>
                </c:pt>
              </c:strCache>
            </c:strRef>
          </c:tx>
          <c:spPr>
            <a:solidFill>
              <a:schemeClr val="accent3"/>
            </a:solidFill>
            <a:ln>
              <a:noFill/>
            </a:ln>
            <a:effectLst/>
          </c:spPr>
          <c:invertIfNegative val="0"/>
          <c:cat>
            <c:strRef>
              <c:f>'q1 podla fakult a prepocet'!$A$5:$A$12</c:f>
              <c:strCache>
                <c:ptCount val="8"/>
                <c:pt idx="0">
                  <c:v>SVF</c:v>
                </c:pt>
                <c:pt idx="1">
                  <c:v>SJF</c:v>
                </c:pt>
                <c:pt idx="2">
                  <c:v>FEI</c:v>
                </c:pt>
                <c:pt idx="3">
                  <c:v>FCHPT</c:v>
                </c:pt>
                <c:pt idx="4">
                  <c:v>FAD</c:v>
                </c:pt>
                <c:pt idx="5">
                  <c:v>MTF</c:v>
                </c:pt>
                <c:pt idx="6">
                  <c:v>FIIT</c:v>
                </c:pt>
                <c:pt idx="7">
                  <c:v>Centrálne pracoviská</c:v>
                </c:pt>
              </c:strCache>
            </c:strRef>
          </c:cat>
          <c:val>
            <c:numRef>
              <c:f>'q1 podla fakult a prepocet'!$D$5:$D$12</c:f>
              <c:numCache>
                <c:formatCode>General</c:formatCode>
                <c:ptCount val="8"/>
                <c:pt idx="0">
                  <c:v>32</c:v>
                </c:pt>
                <c:pt idx="1">
                  <c:v>3</c:v>
                </c:pt>
                <c:pt idx="2">
                  <c:v>26</c:v>
                </c:pt>
                <c:pt idx="3">
                  <c:v>70</c:v>
                </c:pt>
                <c:pt idx="4">
                  <c:v>0</c:v>
                </c:pt>
                <c:pt idx="5">
                  <c:v>14</c:v>
                </c:pt>
                <c:pt idx="6">
                  <c:v>1</c:v>
                </c:pt>
                <c:pt idx="7">
                  <c:v>8</c:v>
                </c:pt>
              </c:numCache>
            </c:numRef>
          </c:val>
          <c:extLst>
            <c:ext xmlns:c16="http://schemas.microsoft.com/office/drawing/2014/chart" uri="{C3380CC4-5D6E-409C-BE32-E72D297353CC}">
              <c16:uniqueId val="{00000001-273F-4DA5-B268-E087821D576E}"/>
            </c:ext>
          </c:extLst>
        </c:ser>
        <c:ser>
          <c:idx val="3"/>
          <c:order val="3"/>
          <c:tx>
            <c:strRef>
              <c:f>'q1 podla fakult a prepocet'!$E$4</c:f>
              <c:strCache>
                <c:ptCount val="1"/>
                <c:pt idx="0">
                  <c:v>2018</c:v>
                </c:pt>
              </c:strCache>
            </c:strRef>
          </c:tx>
          <c:spPr>
            <a:solidFill>
              <a:schemeClr val="accent4"/>
            </a:solidFill>
            <a:ln>
              <a:noFill/>
            </a:ln>
            <a:effectLst/>
          </c:spPr>
          <c:invertIfNegative val="0"/>
          <c:cat>
            <c:strRef>
              <c:f>'q1 podla fakult a prepocet'!$A$5:$A$12</c:f>
              <c:strCache>
                <c:ptCount val="8"/>
                <c:pt idx="0">
                  <c:v>SVF</c:v>
                </c:pt>
                <c:pt idx="1">
                  <c:v>SJF</c:v>
                </c:pt>
                <c:pt idx="2">
                  <c:v>FEI</c:v>
                </c:pt>
                <c:pt idx="3">
                  <c:v>FCHPT</c:v>
                </c:pt>
                <c:pt idx="4">
                  <c:v>FAD</c:v>
                </c:pt>
                <c:pt idx="5">
                  <c:v>MTF</c:v>
                </c:pt>
                <c:pt idx="6">
                  <c:v>FIIT</c:v>
                </c:pt>
                <c:pt idx="7">
                  <c:v>Centrálne pracoviská</c:v>
                </c:pt>
              </c:strCache>
            </c:strRef>
          </c:cat>
          <c:val>
            <c:numRef>
              <c:f>'q1 podla fakult a prepocet'!$E$5:$E$12</c:f>
              <c:numCache>
                <c:formatCode>General</c:formatCode>
                <c:ptCount val="8"/>
                <c:pt idx="0">
                  <c:v>43</c:v>
                </c:pt>
                <c:pt idx="1">
                  <c:v>4</c:v>
                </c:pt>
                <c:pt idx="2">
                  <c:v>24</c:v>
                </c:pt>
                <c:pt idx="3">
                  <c:v>82</c:v>
                </c:pt>
                <c:pt idx="4">
                  <c:v>0</c:v>
                </c:pt>
                <c:pt idx="5">
                  <c:v>14</c:v>
                </c:pt>
                <c:pt idx="6">
                  <c:v>0</c:v>
                </c:pt>
                <c:pt idx="7">
                  <c:v>7</c:v>
                </c:pt>
              </c:numCache>
            </c:numRef>
          </c:val>
          <c:extLst>
            <c:ext xmlns:c16="http://schemas.microsoft.com/office/drawing/2014/chart" uri="{C3380CC4-5D6E-409C-BE32-E72D297353CC}">
              <c16:uniqueId val="{00000002-273F-4DA5-B268-E087821D576E}"/>
            </c:ext>
          </c:extLst>
        </c:ser>
        <c:ser>
          <c:idx val="4"/>
          <c:order val="4"/>
          <c:tx>
            <c:strRef>
              <c:f>'q1 podla fakult a prepocet'!$F$4</c:f>
              <c:strCache>
                <c:ptCount val="1"/>
                <c:pt idx="0">
                  <c:v>2019</c:v>
                </c:pt>
              </c:strCache>
            </c:strRef>
          </c:tx>
          <c:spPr>
            <a:solidFill>
              <a:schemeClr val="accent5"/>
            </a:solidFill>
            <a:ln>
              <a:noFill/>
            </a:ln>
            <a:effectLst/>
          </c:spPr>
          <c:invertIfNegative val="0"/>
          <c:cat>
            <c:strRef>
              <c:f>'q1 podla fakult a prepocet'!$A$5:$A$12</c:f>
              <c:strCache>
                <c:ptCount val="8"/>
                <c:pt idx="0">
                  <c:v>SVF</c:v>
                </c:pt>
                <c:pt idx="1">
                  <c:v>SJF</c:v>
                </c:pt>
                <c:pt idx="2">
                  <c:v>FEI</c:v>
                </c:pt>
                <c:pt idx="3">
                  <c:v>FCHPT</c:v>
                </c:pt>
                <c:pt idx="4">
                  <c:v>FAD</c:v>
                </c:pt>
                <c:pt idx="5">
                  <c:v>MTF</c:v>
                </c:pt>
                <c:pt idx="6">
                  <c:v>FIIT</c:v>
                </c:pt>
                <c:pt idx="7">
                  <c:v>Centrálne pracoviská</c:v>
                </c:pt>
              </c:strCache>
            </c:strRef>
          </c:cat>
          <c:val>
            <c:numRef>
              <c:f>'q1 podla fakult a prepocet'!$F$5:$F$12</c:f>
              <c:numCache>
                <c:formatCode>General</c:formatCode>
                <c:ptCount val="8"/>
                <c:pt idx="0">
                  <c:v>43</c:v>
                </c:pt>
                <c:pt idx="1">
                  <c:v>4</c:v>
                </c:pt>
                <c:pt idx="2">
                  <c:v>16</c:v>
                </c:pt>
                <c:pt idx="3">
                  <c:v>86</c:v>
                </c:pt>
                <c:pt idx="4">
                  <c:v>1</c:v>
                </c:pt>
                <c:pt idx="5">
                  <c:v>20</c:v>
                </c:pt>
                <c:pt idx="6">
                  <c:v>8</c:v>
                </c:pt>
                <c:pt idx="7">
                  <c:v>11</c:v>
                </c:pt>
              </c:numCache>
            </c:numRef>
          </c:val>
          <c:extLst>
            <c:ext xmlns:c16="http://schemas.microsoft.com/office/drawing/2014/chart" uri="{C3380CC4-5D6E-409C-BE32-E72D297353CC}">
              <c16:uniqueId val="{00000003-273F-4DA5-B268-E087821D576E}"/>
            </c:ext>
          </c:extLst>
        </c:ser>
        <c:ser>
          <c:idx val="5"/>
          <c:order val="5"/>
          <c:tx>
            <c:strRef>
              <c:f>'q1 podla fakult a prepocet'!$G$4</c:f>
              <c:strCache>
                <c:ptCount val="1"/>
                <c:pt idx="0">
                  <c:v>2020</c:v>
                </c:pt>
              </c:strCache>
            </c:strRef>
          </c:tx>
          <c:spPr>
            <a:solidFill>
              <a:schemeClr val="accent6"/>
            </a:solidFill>
            <a:ln>
              <a:noFill/>
            </a:ln>
            <a:effectLst/>
          </c:spPr>
          <c:invertIfNegative val="0"/>
          <c:cat>
            <c:strRef>
              <c:f>'q1 podla fakult a prepocet'!$A$5:$A$12</c:f>
              <c:strCache>
                <c:ptCount val="8"/>
                <c:pt idx="0">
                  <c:v>SVF</c:v>
                </c:pt>
                <c:pt idx="1">
                  <c:v>SJF</c:v>
                </c:pt>
                <c:pt idx="2">
                  <c:v>FEI</c:v>
                </c:pt>
                <c:pt idx="3">
                  <c:v>FCHPT</c:v>
                </c:pt>
                <c:pt idx="4">
                  <c:v>FAD</c:v>
                </c:pt>
                <c:pt idx="5">
                  <c:v>MTF</c:v>
                </c:pt>
                <c:pt idx="6">
                  <c:v>FIIT</c:v>
                </c:pt>
                <c:pt idx="7">
                  <c:v>Centrálne pracoviská</c:v>
                </c:pt>
              </c:strCache>
            </c:strRef>
          </c:cat>
          <c:val>
            <c:numRef>
              <c:f>'q1 podla fakult a prepocet'!$G$5:$G$12</c:f>
              <c:numCache>
                <c:formatCode>General</c:formatCode>
                <c:ptCount val="8"/>
                <c:pt idx="0">
                  <c:v>49</c:v>
                </c:pt>
                <c:pt idx="1">
                  <c:v>4</c:v>
                </c:pt>
                <c:pt idx="2">
                  <c:v>25</c:v>
                </c:pt>
                <c:pt idx="3">
                  <c:v>105</c:v>
                </c:pt>
                <c:pt idx="4">
                  <c:v>3</c:v>
                </c:pt>
                <c:pt idx="5">
                  <c:v>27</c:v>
                </c:pt>
                <c:pt idx="6">
                  <c:v>4</c:v>
                </c:pt>
                <c:pt idx="7">
                  <c:v>5</c:v>
                </c:pt>
              </c:numCache>
            </c:numRef>
          </c:val>
          <c:extLst>
            <c:ext xmlns:c16="http://schemas.microsoft.com/office/drawing/2014/chart" uri="{C3380CC4-5D6E-409C-BE32-E72D297353CC}">
              <c16:uniqueId val="{00000004-273F-4DA5-B268-E087821D576E}"/>
            </c:ext>
          </c:extLst>
        </c:ser>
        <c:ser>
          <c:idx val="6"/>
          <c:order val="6"/>
          <c:tx>
            <c:strRef>
              <c:f>'q1 podla fakult a prepocet'!$H$4</c:f>
              <c:strCache>
                <c:ptCount val="1"/>
                <c:pt idx="0">
                  <c:v>2021</c:v>
                </c:pt>
              </c:strCache>
            </c:strRef>
          </c:tx>
          <c:spPr>
            <a:solidFill>
              <a:schemeClr val="accent1">
                <a:lumMod val="60000"/>
              </a:schemeClr>
            </a:solidFill>
            <a:ln>
              <a:noFill/>
            </a:ln>
            <a:effectLst/>
          </c:spPr>
          <c:invertIfNegative val="0"/>
          <c:cat>
            <c:strRef>
              <c:f>'q1 podla fakult a prepocet'!$A$5:$A$12</c:f>
              <c:strCache>
                <c:ptCount val="8"/>
                <c:pt idx="0">
                  <c:v>SVF</c:v>
                </c:pt>
                <c:pt idx="1">
                  <c:v>SJF</c:v>
                </c:pt>
                <c:pt idx="2">
                  <c:v>FEI</c:v>
                </c:pt>
                <c:pt idx="3">
                  <c:v>FCHPT</c:v>
                </c:pt>
                <c:pt idx="4">
                  <c:v>FAD</c:v>
                </c:pt>
                <c:pt idx="5">
                  <c:v>MTF</c:v>
                </c:pt>
                <c:pt idx="6">
                  <c:v>FIIT</c:v>
                </c:pt>
                <c:pt idx="7">
                  <c:v>Centrálne pracoviská</c:v>
                </c:pt>
              </c:strCache>
            </c:strRef>
          </c:cat>
          <c:val>
            <c:numRef>
              <c:f>'q1 podla fakult a prepocet'!$H$5:$H$12</c:f>
              <c:numCache>
                <c:formatCode>General</c:formatCode>
                <c:ptCount val="8"/>
                <c:pt idx="0">
                  <c:v>48</c:v>
                </c:pt>
                <c:pt idx="1">
                  <c:v>4</c:v>
                </c:pt>
                <c:pt idx="2">
                  <c:v>33</c:v>
                </c:pt>
                <c:pt idx="3">
                  <c:v>103</c:v>
                </c:pt>
                <c:pt idx="4">
                  <c:v>1</c:v>
                </c:pt>
                <c:pt idx="5">
                  <c:v>38</c:v>
                </c:pt>
                <c:pt idx="6">
                  <c:v>7</c:v>
                </c:pt>
                <c:pt idx="7">
                  <c:v>3</c:v>
                </c:pt>
              </c:numCache>
            </c:numRef>
          </c:val>
          <c:extLst>
            <c:ext xmlns:c16="http://schemas.microsoft.com/office/drawing/2014/chart" uri="{C3380CC4-5D6E-409C-BE32-E72D297353CC}">
              <c16:uniqueId val="{00000005-273F-4DA5-B268-E087821D576E}"/>
            </c:ext>
          </c:extLst>
        </c:ser>
        <c:ser>
          <c:idx val="7"/>
          <c:order val="7"/>
          <c:tx>
            <c:strRef>
              <c:f>'q1 podla fakult a prepocet'!$I$4</c:f>
              <c:strCache>
                <c:ptCount val="1"/>
                <c:pt idx="0">
                  <c:v>2022</c:v>
                </c:pt>
              </c:strCache>
            </c:strRef>
          </c:tx>
          <c:spPr>
            <a:solidFill>
              <a:schemeClr val="accent2">
                <a:lumMod val="60000"/>
              </a:schemeClr>
            </a:solidFill>
            <a:ln>
              <a:noFill/>
            </a:ln>
            <a:effectLst/>
          </c:spPr>
          <c:invertIfNegative val="0"/>
          <c:cat>
            <c:strRef>
              <c:f>'q1 podla fakult a prepocet'!$A$5:$A$12</c:f>
              <c:strCache>
                <c:ptCount val="8"/>
                <c:pt idx="0">
                  <c:v>SVF</c:v>
                </c:pt>
                <c:pt idx="1">
                  <c:v>SJF</c:v>
                </c:pt>
                <c:pt idx="2">
                  <c:v>FEI</c:v>
                </c:pt>
                <c:pt idx="3">
                  <c:v>FCHPT</c:v>
                </c:pt>
                <c:pt idx="4">
                  <c:v>FAD</c:v>
                </c:pt>
                <c:pt idx="5">
                  <c:v>MTF</c:v>
                </c:pt>
                <c:pt idx="6">
                  <c:v>FIIT</c:v>
                </c:pt>
                <c:pt idx="7">
                  <c:v>Centrálne pracoviská</c:v>
                </c:pt>
              </c:strCache>
            </c:strRef>
          </c:cat>
          <c:val>
            <c:numRef>
              <c:f>'q1 podla fakult a prepocet'!$I$5:$I$12</c:f>
              <c:numCache>
                <c:formatCode>General</c:formatCode>
                <c:ptCount val="8"/>
                <c:pt idx="0">
                  <c:v>62</c:v>
                </c:pt>
                <c:pt idx="1">
                  <c:v>5</c:v>
                </c:pt>
                <c:pt idx="2">
                  <c:v>21</c:v>
                </c:pt>
                <c:pt idx="3">
                  <c:v>106</c:v>
                </c:pt>
                <c:pt idx="4">
                  <c:v>0</c:v>
                </c:pt>
                <c:pt idx="5">
                  <c:v>35</c:v>
                </c:pt>
                <c:pt idx="6">
                  <c:v>3</c:v>
                </c:pt>
                <c:pt idx="7">
                  <c:v>2</c:v>
                </c:pt>
              </c:numCache>
            </c:numRef>
          </c:val>
          <c:extLst>
            <c:ext xmlns:c16="http://schemas.microsoft.com/office/drawing/2014/chart" uri="{C3380CC4-5D6E-409C-BE32-E72D297353CC}">
              <c16:uniqueId val="{00000006-273F-4DA5-B268-E087821D576E}"/>
            </c:ext>
          </c:extLst>
        </c:ser>
        <c:dLbls>
          <c:showLegendKey val="0"/>
          <c:showVal val="0"/>
          <c:showCatName val="0"/>
          <c:showSerName val="0"/>
          <c:showPercent val="0"/>
          <c:showBubbleSize val="0"/>
        </c:dLbls>
        <c:gapWidth val="219"/>
        <c:overlap val="-27"/>
        <c:axId val="2044078928"/>
        <c:axId val="2044080592"/>
        <c:extLst>
          <c:ext xmlns:c15="http://schemas.microsoft.com/office/drawing/2012/chart" uri="{02D57815-91ED-43cb-92C2-25804820EDAC}">
            <c15:filteredBarSeries>
              <c15:ser>
                <c:idx val="0"/>
                <c:order val="0"/>
                <c:tx>
                  <c:strRef>
                    <c:extLst>
                      <c:ext uri="{02D57815-91ED-43cb-92C2-25804820EDAC}">
                        <c15:formulaRef>
                          <c15:sqref>'q1 podla fakult a prepocet'!$B$4</c15:sqref>
                        </c15:formulaRef>
                      </c:ext>
                    </c:extLst>
                    <c:strCache>
                      <c:ptCount val="1"/>
                      <c:pt idx="0">
                        <c:v>2015</c:v>
                      </c:pt>
                    </c:strCache>
                  </c:strRef>
                </c:tx>
                <c:spPr>
                  <a:solidFill>
                    <a:schemeClr val="accent1"/>
                  </a:solidFill>
                  <a:ln>
                    <a:noFill/>
                  </a:ln>
                  <a:effectLst/>
                </c:spPr>
                <c:invertIfNegative val="0"/>
                <c:cat>
                  <c:strRef>
                    <c:extLst>
                      <c:ext uri="{02D57815-91ED-43cb-92C2-25804820EDAC}">
                        <c15:formulaRef>
                          <c15:sqref>'q1 podla fakult a prepocet'!$A$5:$A$12</c15:sqref>
                        </c15:formulaRef>
                      </c:ext>
                    </c:extLst>
                    <c:strCache>
                      <c:ptCount val="8"/>
                      <c:pt idx="0">
                        <c:v>SVF</c:v>
                      </c:pt>
                      <c:pt idx="1">
                        <c:v>SJF</c:v>
                      </c:pt>
                      <c:pt idx="2">
                        <c:v>FEI</c:v>
                      </c:pt>
                      <c:pt idx="3">
                        <c:v>FCHPT</c:v>
                      </c:pt>
                      <c:pt idx="4">
                        <c:v>FAD</c:v>
                      </c:pt>
                      <c:pt idx="5">
                        <c:v>MTF</c:v>
                      </c:pt>
                      <c:pt idx="6">
                        <c:v>FIIT</c:v>
                      </c:pt>
                      <c:pt idx="7">
                        <c:v>Centrálne pracoviská</c:v>
                      </c:pt>
                    </c:strCache>
                  </c:strRef>
                </c:cat>
                <c:val>
                  <c:numRef>
                    <c:extLst>
                      <c:ext uri="{02D57815-91ED-43cb-92C2-25804820EDAC}">
                        <c15:formulaRef>
                          <c15:sqref>'q1 podla fakult a prepocet'!$B$5:$B$12</c15:sqref>
                        </c15:formulaRef>
                      </c:ext>
                    </c:extLst>
                    <c:numCache>
                      <c:formatCode>General</c:formatCode>
                      <c:ptCount val="8"/>
                      <c:pt idx="0">
                        <c:v>47</c:v>
                      </c:pt>
                      <c:pt idx="1">
                        <c:v>6</c:v>
                      </c:pt>
                      <c:pt idx="2">
                        <c:v>25</c:v>
                      </c:pt>
                      <c:pt idx="3">
                        <c:v>63</c:v>
                      </c:pt>
                      <c:pt idx="4">
                        <c:v>0</c:v>
                      </c:pt>
                      <c:pt idx="5">
                        <c:v>20</c:v>
                      </c:pt>
                      <c:pt idx="6">
                        <c:v>1</c:v>
                      </c:pt>
                      <c:pt idx="7">
                        <c:v>4</c:v>
                      </c:pt>
                    </c:numCache>
                  </c:numRef>
                </c:val>
                <c:extLst>
                  <c:ext xmlns:c16="http://schemas.microsoft.com/office/drawing/2014/chart" uri="{C3380CC4-5D6E-409C-BE32-E72D297353CC}">
                    <c16:uniqueId val="{00000007-273F-4DA5-B268-E087821D576E}"/>
                  </c:ext>
                </c:extLst>
              </c15:ser>
            </c15:filteredBarSeries>
          </c:ext>
        </c:extLst>
      </c:barChart>
      <c:catAx>
        <c:axId val="204407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crossAx val="2044080592"/>
        <c:crosses val="autoZero"/>
        <c:auto val="1"/>
        <c:lblAlgn val="ctr"/>
        <c:lblOffset val="100"/>
        <c:noMultiLvlLbl val="0"/>
      </c:catAx>
      <c:valAx>
        <c:axId val="204408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crossAx val="204407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k-SK"/>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40"/>
      <c:rAngAx val="0"/>
    </c:view3D>
    <c:floor>
      <c:thickness val="0"/>
    </c:floor>
    <c:sideWall>
      <c:thickness val="0"/>
    </c:sideWall>
    <c:backWall>
      <c:thickness val="0"/>
    </c:backWall>
    <c:plotArea>
      <c:layout/>
      <c:pie3DChart>
        <c:varyColors val="1"/>
        <c:ser>
          <c:idx val="0"/>
          <c:order val="0"/>
          <c:explosion val="25"/>
          <c:dPt>
            <c:idx val="0"/>
            <c:bubble3D val="0"/>
            <c:spPr>
              <a:solidFill>
                <a:srgbClr val="00B0F0"/>
              </a:solidFill>
            </c:spPr>
            <c:extLst>
              <c:ext xmlns:c16="http://schemas.microsoft.com/office/drawing/2014/chart" uri="{C3380CC4-5D6E-409C-BE32-E72D297353CC}">
                <c16:uniqueId val="{00000001-E475-42B1-8E11-5FE1D7858174}"/>
              </c:ext>
            </c:extLst>
          </c:dPt>
          <c:dPt>
            <c:idx val="1"/>
            <c:bubble3D val="0"/>
            <c:spPr>
              <a:solidFill>
                <a:srgbClr val="C00000"/>
              </a:solidFill>
            </c:spPr>
            <c:extLst>
              <c:ext xmlns:c16="http://schemas.microsoft.com/office/drawing/2014/chart" uri="{C3380CC4-5D6E-409C-BE32-E72D297353CC}">
                <c16:uniqueId val="{00000003-E475-42B1-8E11-5FE1D7858174}"/>
              </c:ext>
            </c:extLst>
          </c:dPt>
          <c:dPt>
            <c:idx val="2"/>
            <c:bubble3D val="0"/>
            <c:spPr>
              <a:solidFill>
                <a:schemeClr val="tx1"/>
              </a:solidFill>
            </c:spPr>
            <c:extLst>
              <c:ext xmlns:c16="http://schemas.microsoft.com/office/drawing/2014/chart" uri="{C3380CC4-5D6E-409C-BE32-E72D297353CC}">
                <c16:uniqueId val="{00000005-E475-42B1-8E11-5FE1D7858174}"/>
              </c:ext>
            </c:extLst>
          </c:dPt>
          <c:dPt>
            <c:idx val="3"/>
            <c:bubble3D val="0"/>
            <c:spPr>
              <a:solidFill>
                <a:schemeClr val="tx1">
                  <a:lumMod val="50000"/>
                  <a:lumOff val="50000"/>
                </a:schemeClr>
              </a:solidFill>
            </c:spPr>
            <c:extLst>
              <c:ext xmlns:c16="http://schemas.microsoft.com/office/drawing/2014/chart" uri="{C3380CC4-5D6E-409C-BE32-E72D297353CC}">
                <c16:uniqueId val="{00000007-E475-42B1-8E11-5FE1D7858174}"/>
              </c:ext>
            </c:extLst>
          </c:dPt>
          <c:dPt>
            <c:idx val="4"/>
            <c:bubble3D val="0"/>
            <c:spPr>
              <a:solidFill>
                <a:srgbClr val="FF0000"/>
              </a:solidFill>
            </c:spPr>
            <c:extLst>
              <c:ext xmlns:c16="http://schemas.microsoft.com/office/drawing/2014/chart" uri="{C3380CC4-5D6E-409C-BE32-E72D297353CC}">
                <c16:uniqueId val="{00000009-E475-42B1-8E11-5FE1D7858174}"/>
              </c:ext>
            </c:extLst>
          </c:dPt>
          <c:dPt>
            <c:idx val="5"/>
            <c:bubble3D val="0"/>
            <c:spPr>
              <a:solidFill>
                <a:schemeClr val="bg1">
                  <a:lumMod val="75000"/>
                </a:schemeClr>
              </a:solidFill>
            </c:spPr>
            <c:extLst>
              <c:ext xmlns:c16="http://schemas.microsoft.com/office/drawing/2014/chart" uri="{C3380CC4-5D6E-409C-BE32-E72D297353CC}">
                <c16:uniqueId val="{0000000B-E475-42B1-8E11-5FE1D7858174}"/>
              </c:ext>
            </c:extLst>
          </c:dPt>
          <c:dPt>
            <c:idx val="6"/>
            <c:bubble3D val="0"/>
            <c:spPr>
              <a:solidFill>
                <a:srgbClr val="7030A0"/>
              </a:solidFill>
            </c:spPr>
            <c:extLst>
              <c:ext xmlns:c16="http://schemas.microsoft.com/office/drawing/2014/chart" uri="{C3380CC4-5D6E-409C-BE32-E72D297353CC}">
                <c16:uniqueId val="{0000000D-E475-42B1-8E11-5FE1D7858174}"/>
              </c:ext>
            </c:extLst>
          </c:dPt>
          <c:dLbls>
            <c:spPr>
              <a:noFill/>
              <a:ln>
                <a:noFill/>
              </a:ln>
              <a:effectLst/>
            </c:spPr>
            <c:txPr>
              <a:bodyPr wrap="square" lIns="38100" tIns="19050" rIns="38100" bIns="19050" anchor="ctr">
                <a:spAutoFit/>
              </a:bodyPr>
              <a:lstStyle/>
              <a:p>
                <a:pPr>
                  <a:defRPr>
                    <a:latin typeface="+mj-lt"/>
                  </a:defRPr>
                </a:pPr>
                <a:endParaRPr lang="sk-SK"/>
              </a:p>
            </c:txPr>
            <c:showLegendKey val="0"/>
            <c:showVal val="0"/>
            <c:showCatName val="1"/>
            <c:showSerName val="0"/>
            <c:showPercent val="1"/>
            <c:showBubbleSize val="0"/>
            <c:showLeaderLines val="1"/>
            <c:extLst>
              <c:ext xmlns:c15="http://schemas.microsoft.com/office/drawing/2012/chart" uri="{CE6537A1-D6FC-4f65-9D91-7224C49458BB}"/>
            </c:extLst>
          </c:dLbls>
          <c:cat>
            <c:strRef>
              <c:f>'graf 5.2.PublikačnáČinnosť'!$S$55:$S$61</c:f>
              <c:strCache>
                <c:ptCount val="7"/>
                <c:pt idx="0">
                  <c:v>UK</c:v>
                </c:pt>
                <c:pt idx="1">
                  <c:v>STU</c:v>
                </c:pt>
                <c:pt idx="2">
                  <c:v>TUKE</c:v>
                </c:pt>
                <c:pt idx="3">
                  <c:v>UPJŠ</c:v>
                </c:pt>
                <c:pt idx="4">
                  <c:v>ŽU</c:v>
                </c:pt>
                <c:pt idx="5">
                  <c:v>PU</c:v>
                </c:pt>
                <c:pt idx="6">
                  <c:v>Ostatní</c:v>
                </c:pt>
              </c:strCache>
            </c:strRef>
          </c:cat>
          <c:val>
            <c:numRef>
              <c:f>'graf 5.2.PublikačnáČinnosť'!$T$55:$T$61</c:f>
              <c:numCache>
                <c:formatCode>General</c:formatCode>
                <c:ptCount val="7"/>
                <c:pt idx="0">
                  <c:v>26.118002970974125</c:v>
                </c:pt>
                <c:pt idx="1">
                  <c:v>10.697411719365139</c:v>
                </c:pt>
                <c:pt idx="2">
                  <c:v>9.6932768881247391</c:v>
                </c:pt>
                <c:pt idx="3">
                  <c:v>9.1997591437538144</c:v>
                </c:pt>
                <c:pt idx="4">
                  <c:v>6.4640645486086044</c:v>
                </c:pt>
                <c:pt idx="5">
                  <c:v>5.2653612339998466</c:v>
                </c:pt>
                <c:pt idx="6">
                  <c:v>32.562123495173722</c:v>
                </c:pt>
              </c:numCache>
            </c:numRef>
          </c:val>
          <c:extLst>
            <c:ext xmlns:c16="http://schemas.microsoft.com/office/drawing/2014/chart" uri="{C3380CC4-5D6E-409C-BE32-E72D297353CC}">
              <c16:uniqueId val="{0000000E-E475-42B1-8E11-5FE1D7858174}"/>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053250419169288E-2"/>
          <c:y val="4.954954954954955E-2"/>
          <c:w val="0.92077424284228626"/>
          <c:h val="0.84595374902461518"/>
        </c:manualLayout>
      </c:layout>
      <c:lineChart>
        <c:grouping val="standard"/>
        <c:varyColors val="0"/>
        <c:ser>
          <c:idx val="0"/>
          <c:order val="0"/>
          <c:tx>
            <c:strRef>
              <c:f>'Tab55 Graf21 Portál abs'!$A$5:$B$5</c:f>
              <c:strCache>
                <c:ptCount val="2"/>
                <c:pt idx="0">
                  <c:v>Zaregistrovaní absolventi STU</c:v>
                </c:pt>
              </c:strCache>
            </c:strRef>
          </c:tx>
          <c:spPr>
            <a:ln w="28575" cap="rnd">
              <a:solidFill>
                <a:schemeClr val="accent1"/>
              </a:solidFill>
              <a:round/>
            </a:ln>
            <a:effectLst/>
          </c:spPr>
          <c:marker>
            <c:symbol val="diamond"/>
            <c:size val="5"/>
            <c:spPr>
              <a:solidFill>
                <a:schemeClr val="tx1">
                  <a:lumMod val="75000"/>
                  <a:lumOff val="25000"/>
                </a:schemeClr>
              </a:solidFill>
              <a:ln w="9525" cap="sq">
                <a:solidFill>
                  <a:schemeClr val="accent1"/>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j-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'Tab55 Graf21 Portál abs'!$C$4:$L$4</c:f>
              <c:strCache>
                <c:ptCount val="10"/>
                <c:pt idx="0">
                  <c:v>XII/2013</c:v>
                </c:pt>
                <c:pt idx="1">
                  <c:v>XII/2014</c:v>
                </c:pt>
                <c:pt idx="2">
                  <c:v>XII/2015</c:v>
                </c:pt>
                <c:pt idx="3">
                  <c:v>XII/2016</c:v>
                </c:pt>
                <c:pt idx="4">
                  <c:v>XII/2017</c:v>
                </c:pt>
                <c:pt idx="5">
                  <c:v>XII/2018</c:v>
                </c:pt>
                <c:pt idx="6">
                  <c:v>XII/2019</c:v>
                </c:pt>
                <c:pt idx="7">
                  <c:v>XII/2020</c:v>
                </c:pt>
                <c:pt idx="8">
                  <c:v>XII/2021</c:v>
                </c:pt>
                <c:pt idx="9">
                  <c:v>XII/2022</c:v>
                </c:pt>
              </c:strCache>
            </c:strRef>
          </c:cat>
          <c:val>
            <c:numRef>
              <c:f>'Tab55 Graf21 Portál abs'!$C$5:$L$5</c:f>
              <c:numCache>
                <c:formatCode>General</c:formatCode>
                <c:ptCount val="10"/>
                <c:pt idx="0">
                  <c:v>111</c:v>
                </c:pt>
                <c:pt idx="1">
                  <c:v>611</c:v>
                </c:pt>
                <c:pt idx="2">
                  <c:v>871</c:v>
                </c:pt>
                <c:pt idx="3">
                  <c:v>1076</c:v>
                </c:pt>
                <c:pt idx="4" formatCode="#,##0">
                  <c:v>1105</c:v>
                </c:pt>
                <c:pt idx="5" formatCode="#,##0">
                  <c:v>1182</c:v>
                </c:pt>
                <c:pt idx="6" formatCode="#,##0">
                  <c:v>1215</c:v>
                </c:pt>
                <c:pt idx="7" formatCode="#,##0">
                  <c:v>1360</c:v>
                </c:pt>
                <c:pt idx="8" formatCode="#,##0">
                  <c:v>1475</c:v>
                </c:pt>
                <c:pt idx="9" formatCode="#,##0">
                  <c:v>1495</c:v>
                </c:pt>
              </c:numCache>
            </c:numRef>
          </c:val>
          <c:smooth val="0"/>
          <c:extLst>
            <c:ext xmlns:c16="http://schemas.microsoft.com/office/drawing/2014/chart" uri="{C3380CC4-5D6E-409C-BE32-E72D297353CC}">
              <c16:uniqueId val="{00000000-B06A-4F37-85B0-D8D968B739CA}"/>
            </c:ext>
          </c:extLst>
        </c:ser>
        <c:dLbls>
          <c:showLegendKey val="0"/>
          <c:showVal val="0"/>
          <c:showCatName val="0"/>
          <c:showSerName val="0"/>
          <c:showPercent val="0"/>
          <c:showBubbleSize val="0"/>
        </c:dLbls>
        <c:marker val="1"/>
        <c:smooth val="0"/>
        <c:axId val="1035449759"/>
        <c:axId val="1035450175"/>
      </c:lineChart>
      <c:catAx>
        <c:axId val="1035449759"/>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1260000" spcFirstLastPara="1" vertOverflow="ellipsis"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sk-SK"/>
          </a:p>
        </c:txPr>
        <c:crossAx val="1035450175"/>
        <c:crosses val="autoZero"/>
        <c:auto val="1"/>
        <c:lblAlgn val="ctr"/>
        <c:lblOffset val="100"/>
        <c:noMultiLvlLbl val="0"/>
      </c:catAx>
      <c:valAx>
        <c:axId val="1035450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sk-SK"/>
          </a:p>
        </c:txPr>
        <c:crossAx val="1035449759"/>
        <c:crosses val="autoZero"/>
        <c:crossBetween val="between"/>
        <c:majorUnit val="4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latin typeface="+mj-lt"/>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pPr>
        <a:noFill/>
      </c:spPr>
    </c:sideWall>
    <c:backWall>
      <c:thickness val="0"/>
      <c:spPr>
        <a:noFill/>
      </c:spPr>
    </c:backWall>
    <c:plotArea>
      <c:layout>
        <c:manualLayout>
          <c:layoutTarget val="inner"/>
          <c:xMode val="edge"/>
          <c:yMode val="edge"/>
          <c:x val="0.10936887985406775"/>
          <c:y val="4.8869893780056003E-2"/>
          <c:w val="0.84892825896762902"/>
          <c:h val="0.65760098433670822"/>
        </c:manualLayout>
      </c:layout>
      <c:bar3DChart>
        <c:barDir val="col"/>
        <c:grouping val="stacked"/>
        <c:varyColors val="0"/>
        <c:ser>
          <c:idx val="1"/>
          <c:order val="0"/>
          <c:tx>
            <c:strRef>
              <c:f>Graf5_vývoj_DF!$A$4</c:f>
              <c:strCache>
                <c:ptCount val="1"/>
                <c:pt idx="0">
                  <c:v>I. stupeň</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c:spPr>
          <c:invertIfNegative val="0"/>
          <c:dLbls>
            <c:spPr>
              <a:noFill/>
              <a:ln>
                <a:noFill/>
              </a:ln>
              <a:effectLst/>
            </c:spPr>
            <c:txPr>
              <a:bodyPr rot="-5400000" vert="horz"/>
              <a:lstStyle/>
              <a:p>
                <a:pPr>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Graf5_vývoj_DF!$B$3:$N$3</c:f>
              <c:strCache>
                <c:ptCount val="7"/>
                <c:pt idx="0">
                  <c:v>2015/2016</c:v>
                </c:pt>
                <c:pt idx="1">
                  <c:v>2016/2017</c:v>
                </c:pt>
                <c:pt idx="2">
                  <c:v>2017/2018</c:v>
                </c:pt>
                <c:pt idx="3">
                  <c:v>2018/2019</c:v>
                </c:pt>
                <c:pt idx="4">
                  <c:v>2019/2020</c:v>
                </c:pt>
                <c:pt idx="5">
                  <c:v>2020/2021</c:v>
                </c:pt>
                <c:pt idx="6">
                  <c:v>2021/2022</c:v>
                </c:pt>
              </c:strCache>
              <c:extLst/>
            </c:strRef>
          </c:cat>
          <c:val>
            <c:numRef>
              <c:f>Graf5_vývoj_DF!$B$4:$N$4</c:f>
              <c:numCache>
                <c:formatCode>#,##0</c:formatCode>
                <c:ptCount val="7"/>
                <c:pt idx="0">
                  <c:v>8977</c:v>
                </c:pt>
                <c:pt idx="1">
                  <c:v>8020</c:v>
                </c:pt>
                <c:pt idx="2">
                  <c:v>7136</c:v>
                </c:pt>
                <c:pt idx="3">
                  <c:v>6918</c:v>
                </c:pt>
                <c:pt idx="4">
                  <c:v>6924</c:v>
                </c:pt>
                <c:pt idx="5">
                  <c:v>6969</c:v>
                </c:pt>
                <c:pt idx="6">
                  <c:v>6842</c:v>
                </c:pt>
              </c:numCache>
              <c:extLst/>
            </c:numRef>
          </c:val>
          <c:extLst>
            <c:ext xmlns:c16="http://schemas.microsoft.com/office/drawing/2014/chart" uri="{C3380CC4-5D6E-409C-BE32-E72D297353CC}">
              <c16:uniqueId val="{00000000-9F06-47F7-B306-8B4A3E875AC4}"/>
            </c:ext>
          </c:extLst>
        </c:ser>
        <c:ser>
          <c:idx val="2"/>
          <c:order val="1"/>
          <c:tx>
            <c:strRef>
              <c:f>Graf5_vývoj_DF!$A$5</c:f>
              <c:strCache>
                <c:ptCount val="1"/>
                <c:pt idx="0">
                  <c:v>II. stupeň</c:v>
                </c:pt>
              </c:strCache>
            </c:strRef>
          </c:tx>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c:spPr>
          <c:invertIfNegative val="0"/>
          <c:dLbls>
            <c:spPr>
              <a:noFill/>
              <a:ln>
                <a:noFill/>
              </a:ln>
              <a:effectLst/>
            </c:spPr>
            <c:txPr>
              <a:bodyPr rot="-5400000" vert="horz"/>
              <a:lstStyle/>
              <a:p>
                <a:pPr>
                  <a:defRPr>
                    <a:solidFill>
                      <a:schemeClr val="bg1"/>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Graf5_vývoj_DF!$B$3:$N$3</c:f>
              <c:strCache>
                <c:ptCount val="7"/>
                <c:pt idx="0">
                  <c:v>2015/2016</c:v>
                </c:pt>
                <c:pt idx="1">
                  <c:v>2016/2017</c:v>
                </c:pt>
                <c:pt idx="2">
                  <c:v>2017/2018</c:v>
                </c:pt>
                <c:pt idx="3">
                  <c:v>2018/2019</c:v>
                </c:pt>
                <c:pt idx="4">
                  <c:v>2019/2020</c:v>
                </c:pt>
                <c:pt idx="5">
                  <c:v>2020/2021</c:v>
                </c:pt>
                <c:pt idx="6">
                  <c:v>2021/2022</c:v>
                </c:pt>
              </c:strCache>
              <c:extLst/>
            </c:strRef>
          </c:cat>
          <c:val>
            <c:numRef>
              <c:f>Graf5_vývoj_DF!$B$5:$N$5</c:f>
              <c:numCache>
                <c:formatCode>#,##0</c:formatCode>
                <c:ptCount val="7"/>
                <c:pt idx="0">
                  <c:v>4289</c:v>
                </c:pt>
                <c:pt idx="1">
                  <c:v>4205</c:v>
                </c:pt>
                <c:pt idx="2">
                  <c:v>3815</c:v>
                </c:pt>
                <c:pt idx="3">
                  <c:v>3430</c:v>
                </c:pt>
                <c:pt idx="4">
                  <c:v>3285</c:v>
                </c:pt>
                <c:pt idx="5">
                  <c:v>2964</c:v>
                </c:pt>
                <c:pt idx="6">
                  <c:v>2923</c:v>
                </c:pt>
              </c:numCache>
              <c:extLst/>
            </c:numRef>
          </c:val>
          <c:extLst>
            <c:ext xmlns:c16="http://schemas.microsoft.com/office/drawing/2014/chart" uri="{C3380CC4-5D6E-409C-BE32-E72D297353CC}">
              <c16:uniqueId val="{00000004-9F06-47F7-B306-8B4A3E875AC4}"/>
            </c:ext>
          </c:extLst>
        </c:ser>
        <c:ser>
          <c:idx val="3"/>
          <c:order val="2"/>
          <c:tx>
            <c:strRef>
              <c:f>Graf5_vývoj_DF!$A$6</c:f>
              <c:strCache>
                <c:ptCount val="1"/>
                <c:pt idx="0">
                  <c:v>III. stupeň</c:v>
                </c:pt>
              </c:strCache>
            </c:strRef>
          </c:tx>
          <c:spPr>
            <a:gradFill flip="none" rotWithShape="1">
              <a:gsLst>
                <a:gs pos="30000">
                  <a:schemeClr val="accent3"/>
                </a:gs>
                <a:gs pos="0">
                  <a:schemeClr val="accent3">
                    <a:lumMod val="0"/>
                    <a:lumOff val="100000"/>
                  </a:schemeClr>
                </a:gs>
                <a:gs pos="100000">
                  <a:schemeClr val="accent3">
                    <a:lumMod val="100000"/>
                  </a:schemeClr>
                </a:gs>
              </a:gsLst>
              <a:path path="circle">
                <a:fillToRect l="50000" t="-80000" r="50000" b="180000"/>
              </a:path>
              <a:tileRect/>
            </a:gradFill>
            <a:ln>
              <a:noFill/>
            </a:ln>
          </c:spPr>
          <c:invertIfNegative val="0"/>
          <c:dLbls>
            <c:dLbl>
              <c:idx val="0"/>
              <c:layout>
                <c:manualLayout>
                  <c:x val="7.4608306391443094E-3"/>
                  <c:y val="-6.8876452862677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15-4CC2-B154-658E5433ED9A}"/>
                </c:ext>
              </c:extLst>
            </c:dLbl>
            <c:dLbl>
              <c:idx val="1"/>
              <c:layout>
                <c:manualLayout>
                  <c:x val="7.2332730560578217E-3"/>
                  <c:y val="-4.9951969260326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8E-4901-8788-CD5C341B5005}"/>
                </c:ext>
              </c:extLst>
            </c:dLbl>
            <c:dLbl>
              <c:idx val="2"/>
              <c:layout>
                <c:manualLayout>
                  <c:x val="1.2055455093429777E-2"/>
                  <c:y val="-5.3794428434197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8E-4901-8788-CD5C341B5005}"/>
                </c:ext>
              </c:extLst>
            </c:dLbl>
            <c:dLbl>
              <c:idx val="3"/>
              <c:layout>
                <c:manualLayout>
                  <c:x val="7.2332730560578659E-3"/>
                  <c:y val="-6.5321805955811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8E-4901-8788-CD5C341B5005}"/>
                </c:ext>
              </c:extLst>
            </c:dLbl>
            <c:dLbl>
              <c:idx val="4"/>
              <c:layout>
                <c:manualLayout>
                  <c:x val="9.6443640747438213E-3"/>
                  <c:y val="-5.7636887608069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8E-4901-8788-CD5C341B5005}"/>
                </c:ext>
              </c:extLst>
            </c:dLbl>
            <c:dLbl>
              <c:idx val="5"/>
              <c:layout>
                <c:manualLayout>
                  <c:x val="7.2332730560578659E-3"/>
                  <c:y val="-5.7636887608069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8E-4901-8788-CD5C341B5005}"/>
                </c:ext>
              </c:extLst>
            </c:dLbl>
            <c:dLbl>
              <c:idx val="6"/>
              <c:layout>
                <c:manualLayout>
                  <c:x val="9.6443640747438213E-3"/>
                  <c:y val="-6.147934678194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8E-4901-8788-CD5C341B50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Graf5_vývoj_DF!$B$3:$N$3</c:f>
              <c:strCache>
                <c:ptCount val="7"/>
                <c:pt idx="0">
                  <c:v>2015/2016</c:v>
                </c:pt>
                <c:pt idx="1">
                  <c:v>2016/2017</c:v>
                </c:pt>
                <c:pt idx="2">
                  <c:v>2017/2018</c:v>
                </c:pt>
                <c:pt idx="3">
                  <c:v>2018/2019</c:v>
                </c:pt>
                <c:pt idx="4">
                  <c:v>2019/2020</c:v>
                </c:pt>
                <c:pt idx="5">
                  <c:v>2020/2021</c:v>
                </c:pt>
                <c:pt idx="6">
                  <c:v>2021/2022</c:v>
                </c:pt>
              </c:strCache>
              <c:extLst/>
            </c:strRef>
          </c:cat>
          <c:val>
            <c:numRef>
              <c:f>Graf5_vývoj_DF!$B$6:$N$6</c:f>
              <c:numCache>
                <c:formatCode>#,##0</c:formatCode>
                <c:ptCount val="7"/>
                <c:pt idx="0">
                  <c:v>717</c:v>
                </c:pt>
                <c:pt idx="1">
                  <c:v>635</c:v>
                </c:pt>
                <c:pt idx="2">
                  <c:v>576</c:v>
                </c:pt>
                <c:pt idx="3">
                  <c:v>578</c:v>
                </c:pt>
                <c:pt idx="4">
                  <c:v>583</c:v>
                </c:pt>
                <c:pt idx="5">
                  <c:v>579</c:v>
                </c:pt>
                <c:pt idx="6">
                  <c:v>608</c:v>
                </c:pt>
              </c:numCache>
              <c:extLst/>
            </c:numRef>
          </c:val>
          <c:extLst>
            <c:ext xmlns:c16="http://schemas.microsoft.com/office/drawing/2014/chart" uri="{C3380CC4-5D6E-409C-BE32-E72D297353CC}">
              <c16:uniqueId val="{00000012-9F06-47F7-B306-8B4A3E875AC4}"/>
            </c:ext>
          </c:extLst>
        </c:ser>
        <c:dLbls>
          <c:showLegendKey val="0"/>
          <c:showVal val="1"/>
          <c:showCatName val="0"/>
          <c:showSerName val="0"/>
          <c:showPercent val="0"/>
          <c:showBubbleSize val="0"/>
        </c:dLbls>
        <c:gapWidth val="150"/>
        <c:shape val="box"/>
        <c:axId val="141342720"/>
        <c:axId val="201696384"/>
        <c:axId val="0"/>
      </c:bar3DChart>
      <c:catAx>
        <c:axId val="141342720"/>
        <c:scaling>
          <c:orientation val="minMax"/>
        </c:scaling>
        <c:delete val="0"/>
        <c:axPos val="b"/>
        <c:numFmt formatCode="General" sourceLinked="0"/>
        <c:majorTickMark val="out"/>
        <c:minorTickMark val="none"/>
        <c:tickLblPos val="nextTo"/>
        <c:txPr>
          <a:bodyPr rot="-2220000" vert="horz"/>
          <a:lstStyle/>
          <a:p>
            <a:pPr>
              <a:defRPr/>
            </a:pPr>
            <a:endParaRPr lang="sk-SK"/>
          </a:p>
        </c:txPr>
        <c:crossAx val="201696384"/>
        <c:crosses val="autoZero"/>
        <c:auto val="1"/>
        <c:lblAlgn val="ctr"/>
        <c:lblOffset val="100"/>
        <c:noMultiLvlLbl val="0"/>
      </c:catAx>
      <c:valAx>
        <c:axId val="201696384"/>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crossAx val="141342720"/>
        <c:crosses val="autoZero"/>
        <c:crossBetween val="between"/>
        <c:majorUnit val="4000"/>
      </c:valAx>
    </c:plotArea>
    <c:legend>
      <c:legendPos val="b"/>
      <c:overlay val="0"/>
    </c:legend>
    <c:plotVisOnly val="1"/>
    <c:dispBlanksAs val="gap"/>
    <c:showDLblsOverMax val="0"/>
  </c:chart>
  <c:spPr>
    <a:ln>
      <a:noFill/>
    </a:ln>
    <a:effectLst/>
  </c:spPr>
  <c:txPr>
    <a:bodyPr/>
    <a:lstStyle/>
    <a:p>
      <a:pPr>
        <a:defRPr>
          <a:effectLst/>
          <a:latin typeface="+mj-lt"/>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bg1">
              <a:lumMod val="75000"/>
            </a:schemeClr>
          </a:solidFill>
        </a:ln>
        <a:effectLst/>
        <a:sp3d>
          <a:contourClr>
            <a:schemeClr val="bg1">
              <a:lumMod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057516876075661E-2"/>
          <c:y val="5.7235294840877436E-2"/>
          <c:w val="0.90616612122238971"/>
          <c:h val="0.70606717316671375"/>
        </c:manualLayout>
      </c:layout>
      <c:bar3DChart>
        <c:barDir val="col"/>
        <c:grouping val="stacked"/>
        <c:varyColors val="0"/>
        <c:ser>
          <c:idx val="1"/>
          <c:order val="0"/>
          <c:tx>
            <c:strRef>
              <c:f>Graf6_vývoj_EF!$A$3</c:f>
              <c:strCache>
                <c:ptCount val="1"/>
                <c:pt idx="0">
                  <c:v>I. stupeň</c:v>
                </c:pt>
              </c:strCache>
            </c:strRef>
          </c:tx>
          <c:spPr>
            <a:gradFill flip="none" rotWithShape="1">
              <a:gsLst>
                <a:gs pos="0">
                  <a:schemeClr val="accent1">
                    <a:lumMod val="0"/>
                    <a:lumOff val="100000"/>
                  </a:schemeClr>
                </a:gs>
                <a:gs pos="16000">
                  <a:schemeClr val="accent1">
                    <a:lumMod val="0"/>
                    <a:lumOff val="100000"/>
                  </a:schemeClr>
                </a:gs>
                <a:gs pos="100000">
                  <a:schemeClr val="accent1">
                    <a:lumMod val="100000"/>
                  </a:schemeClr>
                </a:gs>
              </a:gsLst>
              <a:path path="circle">
                <a:fillToRect l="50000" t="-80000" r="50000" b="180000"/>
              </a:path>
              <a:tileRect/>
            </a:gradFill>
            <a:ln>
              <a:noFill/>
            </a:ln>
            <a:effectLst/>
            <a:sp3d>
              <a:contourClr>
                <a:schemeClr val="accent5">
                  <a:shade val="76000"/>
                  <a:shade val="95000"/>
                  <a:satMod val="105000"/>
                </a:schemeClr>
              </a:contourClr>
            </a:sp3d>
          </c:spPr>
          <c:invertIfNegative val="0"/>
          <c:dLbls>
            <c:delete val="1"/>
          </c:dLbls>
          <c:cat>
            <c:strRef>
              <c:f>Graf6_vývoj_EF!$B$2:$N$2</c:f>
              <c:strCache>
                <c:ptCount val="7"/>
                <c:pt idx="0">
                  <c:v>2015/2016</c:v>
                </c:pt>
                <c:pt idx="1">
                  <c:v>2016/2017</c:v>
                </c:pt>
                <c:pt idx="2">
                  <c:v>2017/2018</c:v>
                </c:pt>
                <c:pt idx="3">
                  <c:v>2018/2019</c:v>
                </c:pt>
                <c:pt idx="4">
                  <c:v>2019/2020</c:v>
                </c:pt>
                <c:pt idx="5">
                  <c:v>2020/2021</c:v>
                </c:pt>
                <c:pt idx="6">
                  <c:v>2021/2022</c:v>
                </c:pt>
              </c:strCache>
              <c:extLst/>
            </c:strRef>
          </c:cat>
          <c:val>
            <c:numRef>
              <c:f>Graf6_vývoj_EF!$B$3:$N$3</c:f>
              <c:numCache>
                <c:formatCode>#,##0</c:formatCode>
                <c:ptCount val="7"/>
                <c:pt idx="0">
                  <c:v>0</c:v>
                </c:pt>
                <c:pt idx="1">
                  <c:v>0</c:v>
                </c:pt>
                <c:pt idx="2">
                  <c:v>0</c:v>
                </c:pt>
                <c:pt idx="3">
                  <c:v>0</c:v>
                </c:pt>
                <c:pt idx="4">
                  <c:v>0</c:v>
                </c:pt>
                <c:pt idx="5">
                  <c:v>0</c:v>
                </c:pt>
                <c:pt idx="6">
                  <c:v>0</c:v>
                </c:pt>
              </c:numCache>
              <c:extLst/>
            </c:numRef>
          </c:val>
          <c:extLst>
            <c:ext xmlns:c16="http://schemas.microsoft.com/office/drawing/2014/chart" uri="{C3380CC4-5D6E-409C-BE32-E72D297353CC}">
              <c16:uniqueId val="{0000000D-589C-4EE7-9681-FC94945A9BF9}"/>
            </c:ext>
          </c:extLst>
        </c:ser>
        <c:ser>
          <c:idx val="2"/>
          <c:order val="1"/>
          <c:tx>
            <c:strRef>
              <c:f>Graf6_vývoj_EF!$A$4</c:f>
              <c:strCache>
                <c:ptCount val="1"/>
                <c:pt idx="0">
                  <c:v>II. stupeň</c:v>
                </c:pt>
              </c:strCache>
            </c:strRef>
          </c:tx>
          <c:spPr>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l="50000" t="130000" r="50000" b="-30000"/>
              </a:path>
              <a:tileRect/>
            </a:gradFill>
            <a:ln>
              <a:solidFill>
                <a:schemeClr val="accent5">
                  <a:shade val="76000"/>
                  <a:shade val="95000"/>
                  <a:satMod val="105000"/>
                </a:schemeClr>
              </a:solidFill>
            </a:ln>
            <a:effectLst/>
            <a:sp3d>
              <a:contourClr>
                <a:schemeClr val="accent5">
                  <a:shade val="76000"/>
                  <a:shade val="95000"/>
                  <a:satMod val="105000"/>
                </a:schemeClr>
              </a:contourClr>
            </a:sp3d>
          </c:spPr>
          <c:invertIfNegative val="0"/>
          <c:dLbls>
            <c:delete val="1"/>
          </c:dLbls>
          <c:cat>
            <c:strRef>
              <c:f>Graf6_vývoj_EF!$B$2:$N$2</c:f>
              <c:strCache>
                <c:ptCount val="7"/>
                <c:pt idx="0">
                  <c:v>2015/2016</c:v>
                </c:pt>
                <c:pt idx="1">
                  <c:v>2016/2017</c:v>
                </c:pt>
                <c:pt idx="2">
                  <c:v>2017/2018</c:v>
                </c:pt>
                <c:pt idx="3">
                  <c:v>2018/2019</c:v>
                </c:pt>
                <c:pt idx="4">
                  <c:v>2019/2020</c:v>
                </c:pt>
                <c:pt idx="5">
                  <c:v>2020/2021</c:v>
                </c:pt>
                <c:pt idx="6">
                  <c:v>2021/2022</c:v>
                </c:pt>
              </c:strCache>
              <c:extLst/>
            </c:strRef>
          </c:cat>
          <c:val>
            <c:numRef>
              <c:f>Graf6_vývoj_EF!$B$4:$N$4</c:f>
              <c:numCache>
                <c:formatCode>#,##0</c:formatCode>
                <c:ptCount val="7"/>
                <c:pt idx="0">
                  <c:v>0</c:v>
                </c:pt>
                <c:pt idx="1">
                  <c:v>0</c:v>
                </c:pt>
                <c:pt idx="2">
                  <c:v>0</c:v>
                </c:pt>
                <c:pt idx="3">
                  <c:v>0</c:v>
                </c:pt>
                <c:pt idx="4">
                  <c:v>0</c:v>
                </c:pt>
                <c:pt idx="5">
                  <c:v>0</c:v>
                </c:pt>
                <c:pt idx="6">
                  <c:v>0</c:v>
                </c:pt>
              </c:numCache>
              <c:extLst/>
            </c:numRef>
          </c:val>
          <c:extLst>
            <c:ext xmlns:c16="http://schemas.microsoft.com/office/drawing/2014/chart" uri="{C3380CC4-5D6E-409C-BE32-E72D297353CC}">
              <c16:uniqueId val="{0000000E-589C-4EE7-9681-FC94945A9BF9}"/>
            </c:ext>
          </c:extLst>
        </c:ser>
        <c:ser>
          <c:idx val="3"/>
          <c:order val="2"/>
          <c:tx>
            <c:strRef>
              <c:f>Graf6_vývoj_EF!$A$5</c:f>
              <c:strCache>
                <c:ptCount val="1"/>
                <c:pt idx="0">
                  <c:v>III. stupeň</c:v>
                </c:pt>
              </c:strCache>
            </c:strRef>
          </c:tx>
          <c:spPr>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a:effectLst/>
            <a:sp3d>
              <a:contourClr>
                <a:schemeClr val="accent5">
                  <a:shade val="76000"/>
                  <a:shade val="95000"/>
                  <a:satMod val="105000"/>
                </a:schemeClr>
              </a:contourClr>
            </a:sp3d>
          </c:spPr>
          <c:invertIfNegative val="0"/>
          <c:dLbls>
            <c:spPr>
              <a:noFill/>
              <a:ln>
                <a:noFill/>
              </a:ln>
              <a:effectLst/>
            </c:spPr>
            <c:txPr>
              <a:bodyPr rot="-5400000" spcFirstLastPara="1" vertOverflow="clip" horzOverflow="clip" vert="horz" wrap="square" lIns="36576" tIns="18288" rIns="36576" bIns="18288" anchor="ctr" anchorCtr="1">
                <a:spAutoFit/>
              </a:bodyPr>
              <a:lstStyle/>
              <a:p>
                <a:pPr>
                  <a:defRPr sz="1000" b="1" i="0" u="none" strike="noStrike" kern="1200" baseline="0">
                    <a:solidFill>
                      <a:schemeClr val="dk1">
                        <a:lumMod val="65000"/>
                        <a:lumOff val="35000"/>
                      </a:schemeClr>
                    </a:solidFill>
                    <a:effectLst/>
                    <a:latin typeface="+mj-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Graf6_vývoj_EF!$B$2:$N$2</c:f>
              <c:strCache>
                <c:ptCount val="7"/>
                <c:pt idx="0">
                  <c:v>2015/2016</c:v>
                </c:pt>
                <c:pt idx="1">
                  <c:v>2016/2017</c:v>
                </c:pt>
                <c:pt idx="2">
                  <c:v>2017/2018</c:v>
                </c:pt>
                <c:pt idx="3">
                  <c:v>2018/2019</c:v>
                </c:pt>
                <c:pt idx="4">
                  <c:v>2019/2020</c:v>
                </c:pt>
                <c:pt idx="5">
                  <c:v>2020/2021</c:v>
                </c:pt>
                <c:pt idx="6">
                  <c:v>2021/2022</c:v>
                </c:pt>
              </c:strCache>
              <c:extLst/>
            </c:strRef>
          </c:cat>
          <c:val>
            <c:numRef>
              <c:f>Graf6_vývoj_EF!$B$5:$N$5</c:f>
              <c:numCache>
                <c:formatCode>#,##0</c:formatCode>
                <c:ptCount val="7"/>
                <c:pt idx="0">
                  <c:v>303</c:v>
                </c:pt>
                <c:pt idx="1">
                  <c:v>248</c:v>
                </c:pt>
                <c:pt idx="2">
                  <c:v>221</c:v>
                </c:pt>
                <c:pt idx="3">
                  <c:v>204</c:v>
                </c:pt>
                <c:pt idx="4">
                  <c:v>184</c:v>
                </c:pt>
                <c:pt idx="5">
                  <c:v>166</c:v>
                </c:pt>
                <c:pt idx="6">
                  <c:v>170</c:v>
                </c:pt>
              </c:numCache>
              <c:extLst/>
            </c:numRef>
          </c:val>
          <c:extLst>
            <c:ext xmlns:c16="http://schemas.microsoft.com/office/drawing/2014/chart" uri="{C3380CC4-5D6E-409C-BE32-E72D297353CC}">
              <c16:uniqueId val="{0000001C-589C-4EE7-9681-FC94945A9BF9}"/>
            </c:ext>
          </c:extLst>
        </c:ser>
        <c:dLbls>
          <c:showLegendKey val="0"/>
          <c:showVal val="1"/>
          <c:showCatName val="0"/>
          <c:showSerName val="0"/>
          <c:showPercent val="0"/>
          <c:showBubbleSize val="0"/>
        </c:dLbls>
        <c:gapWidth val="167"/>
        <c:gapDepth val="484"/>
        <c:shape val="box"/>
        <c:axId val="142845440"/>
        <c:axId val="201698688"/>
        <c:axId val="0"/>
      </c:bar3DChart>
      <c:catAx>
        <c:axId val="142845440"/>
        <c:scaling>
          <c:orientation val="minMax"/>
        </c:scaling>
        <c:delete val="0"/>
        <c:axPos val="b"/>
        <c:numFmt formatCode="General" sourceLinked="0"/>
        <c:majorTickMark val="out"/>
        <c:minorTickMark val="none"/>
        <c:tickLblPos val="nextTo"/>
        <c:spPr>
          <a:noFill/>
          <a:ln w="9525" cap="flat" cmpd="sng" algn="ctr">
            <a:gradFill>
              <a:gsLst>
                <a:gs pos="0">
                  <a:schemeClr val="bg1">
                    <a:lumMod val="5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2220000" spcFirstLastPara="1" vertOverflow="ellipsis" wrap="square" anchor="ctr" anchorCtr="1"/>
          <a:lstStyle/>
          <a:p>
            <a:pPr>
              <a:defRPr sz="1000" b="0" i="0" u="none" strike="noStrike" kern="1200" baseline="0">
                <a:solidFill>
                  <a:schemeClr val="tx1">
                    <a:lumMod val="65000"/>
                    <a:lumOff val="35000"/>
                  </a:schemeClr>
                </a:solidFill>
                <a:effectLst/>
                <a:latin typeface="+mj-lt"/>
                <a:ea typeface="+mn-ea"/>
                <a:cs typeface="+mn-cs"/>
              </a:defRPr>
            </a:pPr>
            <a:endParaRPr lang="sk-SK"/>
          </a:p>
        </c:txPr>
        <c:crossAx val="201698688"/>
        <c:crosses val="autoZero"/>
        <c:auto val="1"/>
        <c:lblAlgn val="ctr"/>
        <c:lblOffset val="100"/>
        <c:noMultiLvlLbl val="0"/>
      </c:catAx>
      <c:valAx>
        <c:axId val="201698688"/>
        <c:scaling>
          <c:orientation val="minMax"/>
        </c:scaling>
        <c:delete val="0"/>
        <c:axPos val="l"/>
        <c:majorGridlines>
          <c:spPr>
            <a:ln w="9525" cap="flat" cmpd="sng" algn="ctr">
              <a:solidFill>
                <a:schemeClr val="bg1">
                  <a:lumMod val="75000"/>
                </a:schemeClr>
              </a:solidFill>
              <a:round/>
            </a:ln>
            <a:effectLst/>
          </c:spPr>
        </c:majorGridlines>
        <c:numFmt formatCode="#,##0" sourceLinked="1"/>
        <c:majorTickMark val="out"/>
        <c:minorTickMark val="none"/>
        <c:tickLblPos val="nextTo"/>
        <c:spPr>
          <a:noFill/>
          <a:ln>
            <a:solidFill>
              <a:schemeClr val="accent3">
                <a:lumMod val="7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effectLst/>
                <a:latin typeface="+mj-lt"/>
                <a:ea typeface="+mn-ea"/>
                <a:cs typeface="+mn-cs"/>
              </a:defRPr>
            </a:pPr>
            <a:endParaRPr lang="sk-SK"/>
          </a:p>
        </c:txPr>
        <c:crossAx val="14284544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effectLst/>
          <a:latin typeface="+mj-lt"/>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667262184087936E-2"/>
          <c:y val="3.5023921266347284E-2"/>
          <c:w val="0.94068557156571053"/>
          <c:h val="0.64596590853652591"/>
        </c:manualLayout>
      </c:layout>
      <c:barChart>
        <c:barDir val="col"/>
        <c:grouping val="clustered"/>
        <c:varyColors val="0"/>
        <c:ser>
          <c:idx val="1"/>
          <c:order val="0"/>
          <c:tx>
            <c:strRef>
              <c:f>'Tab15_16_graf7_zahr '!$A$78</c:f>
              <c:strCache>
                <c:ptCount val="1"/>
                <c:pt idx="0">
                  <c:v>Bc.</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solidFill>
                <a:schemeClr val="bg1">
                  <a:lumMod val="50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'Tab15_16_graf7_zahr '!$B$77:$V$77</c:f>
              <c:strCache>
                <c:ptCount val="10"/>
                <c:pt idx="0">
                  <c:v>2012/2013</c:v>
                </c:pt>
                <c:pt idx="1">
                  <c:v>2013/2014</c:v>
                </c:pt>
                <c:pt idx="2">
                  <c:v>2014/2015</c:v>
                </c:pt>
                <c:pt idx="3">
                  <c:v>2015/2016</c:v>
                </c:pt>
                <c:pt idx="4">
                  <c:v>2016/2017</c:v>
                </c:pt>
                <c:pt idx="5">
                  <c:v>2017/2018</c:v>
                </c:pt>
                <c:pt idx="6">
                  <c:v>2018/2019</c:v>
                </c:pt>
                <c:pt idx="7">
                  <c:v>2019/2020</c:v>
                </c:pt>
                <c:pt idx="8">
                  <c:v>2020/2021</c:v>
                </c:pt>
                <c:pt idx="9">
                  <c:v>2021/2022</c:v>
                </c:pt>
              </c:strCache>
              <c:extLst/>
            </c:strRef>
          </c:cat>
          <c:val>
            <c:numRef>
              <c:f>'Tab15_16_graf7_zahr '!$B$78:$V$78</c:f>
              <c:numCache>
                <c:formatCode>General</c:formatCode>
                <c:ptCount val="10"/>
                <c:pt idx="0">
                  <c:v>205</c:v>
                </c:pt>
                <c:pt idx="1">
                  <c:v>163</c:v>
                </c:pt>
                <c:pt idx="2">
                  <c:v>154</c:v>
                </c:pt>
                <c:pt idx="3">
                  <c:v>186</c:v>
                </c:pt>
                <c:pt idx="4">
                  <c:v>240</c:v>
                </c:pt>
                <c:pt idx="5">
                  <c:v>262</c:v>
                </c:pt>
                <c:pt idx="6">
                  <c:v>284</c:v>
                </c:pt>
                <c:pt idx="7">
                  <c:v>393</c:v>
                </c:pt>
                <c:pt idx="8">
                  <c:v>536</c:v>
                </c:pt>
                <c:pt idx="9">
                  <c:v>744</c:v>
                </c:pt>
              </c:numCache>
              <c:extLst/>
            </c:numRef>
          </c:val>
          <c:extLst>
            <c:ext xmlns:c16="http://schemas.microsoft.com/office/drawing/2014/chart" uri="{C3380CC4-5D6E-409C-BE32-E72D297353CC}">
              <c16:uniqueId val="{00000001-3315-45E1-831E-C55D1EDE96E5}"/>
            </c:ext>
          </c:extLst>
        </c:ser>
        <c:ser>
          <c:idx val="2"/>
          <c:order val="1"/>
          <c:tx>
            <c:strRef>
              <c:f>'Tab15_16_graf7_zahr '!$A$79</c:f>
              <c:strCache>
                <c:ptCount val="1"/>
                <c:pt idx="0">
                  <c:v>Ing.</c:v>
                </c:pt>
              </c:strCache>
            </c:strRef>
          </c:tx>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solidFill>
                <a:schemeClr val="accent2"/>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'Tab15_16_graf7_zahr '!$B$77:$V$77</c:f>
              <c:strCache>
                <c:ptCount val="10"/>
                <c:pt idx="0">
                  <c:v>2012/2013</c:v>
                </c:pt>
                <c:pt idx="1">
                  <c:v>2013/2014</c:v>
                </c:pt>
                <c:pt idx="2">
                  <c:v>2014/2015</c:v>
                </c:pt>
                <c:pt idx="3">
                  <c:v>2015/2016</c:v>
                </c:pt>
                <c:pt idx="4">
                  <c:v>2016/2017</c:v>
                </c:pt>
                <c:pt idx="5">
                  <c:v>2017/2018</c:v>
                </c:pt>
                <c:pt idx="6">
                  <c:v>2018/2019</c:v>
                </c:pt>
                <c:pt idx="7">
                  <c:v>2019/2020</c:v>
                </c:pt>
                <c:pt idx="8">
                  <c:v>2020/2021</c:v>
                </c:pt>
                <c:pt idx="9">
                  <c:v>2021/2022</c:v>
                </c:pt>
              </c:strCache>
              <c:extLst/>
            </c:strRef>
          </c:cat>
          <c:val>
            <c:numRef>
              <c:f>'Tab15_16_graf7_zahr '!$B$79:$V$79</c:f>
              <c:numCache>
                <c:formatCode>General</c:formatCode>
                <c:ptCount val="10"/>
                <c:pt idx="0">
                  <c:v>49</c:v>
                </c:pt>
                <c:pt idx="1">
                  <c:v>54</c:v>
                </c:pt>
                <c:pt idx="2">
                  <c:v>69</c:v>
                </c:pt>
                <c:pt idx="3">
                  <c:v>76</c:v>
                </c:pt>
                <c:pt idx="4">
                  <c:v>80</c:v>
                </c:pt>
                <c:pt idx="5">
                  <c:v>76</c:v>
                </c:pt>
                <c:pt idx="6">
                  <c:v>102</c:v>
                </c:pt>
                <c:pt idx="7">
                  <c:v>131</c:v>
                </c:pt>
                <c:pt idx="8">
                  <c:v>131</c:v>
                </c:pt>
                <c:pt idx="9">
                  <c:v>156</c:v>
                </c:pt>
              </c:numCache>
              <c:extLst/>
            </c:numRef>
          </c:val>
          <c:extLst>
            <c:ext xmlns:c16="http://schemas.microsoft.com/office/drawing/2014/chart" uri="{C3380CC4-5D6E-409C-BE32-E72D297353CC}">
              <c16:uniqueId val="{00000005-3315-45E1-831E-C55D1EDE96E5}"/>
            </c:ext>
          </c:extLst>
        </c:ser>
        <c:ser>
          <c:idx val="3"/>
          <c:order val="2"/>
          <c:tx>
            <c:strRef>
              <c:f>'Tab15_16_graf7_zahr '!$A$80</c:f>
              <c:strCache>
                <c:ptCount val="1"/>
                <c:pt idx="0">
                  <c:v>PhD.</c:v>
                </c:pt>
              </c:strCache>
            </c:strRef>
          </c:tx>
          <c:spPr>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solidFill>
                <a:schemeClr val="accent3">
                  <a:lumMod val="75000"/>
                </a:schemeClr>
              </a:solidFill>
            </a:ln>
          </c:spPr>
          <c:invertIfNegative val="0"/>
          <c:dLbls>
            <c:dLbl>
              <c:idx val="0"/>
              <c:layout>
                <c:manualLayout>
                  <c:x val="4.2368393178688702E-3"/>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2D-4ECE-9A1F-5954E1243875}"/>
                </c:ext>
              </c:extLst>
            </c:dLbl>
            <c:dLbl>
              <c:idx val="1"/>
              <c:layout>
                <c:manualLayout>
                  <c:x val="4.2368393178688702E-3"/>
                  <c:y val="1.1904761904761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2D-4ECE-9A1F-5954E1243875}"/>
                </c:ext>
              </c:extLst>
            </c:dLbl>
            <c:dLbl>
              <c:idx val="3"/>
              <c:layout>
                <c:manualLayout>
                  <c:x val="0"/>
                  <c:y val="1.1904761904761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2D-4ECE-9A1F-5954E1243875}"/>
                </c:ext>
              </c:extLst>
            </c:dLbl>
            <c:dLbl>
              <c:idx val="4"/>
              <c:layout>
                <c:manualLayout>
                  <c:x val="0"/>
                  <c:y val="1.1904761904761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2D-4ECE-9A1F-5954E1243875}"/>
                </c:ext>
              </c:extLst>
            </c:dLbl>
            <c:dLbl>
              <c:idx val="5"/>
              <c:layout>
                <c:manualLayout>
                  <c:x val="6.355258976803226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2D-4ECE-9A1F-5954E1243875}"/>
                </c:ext>
              </c:extLst>
            </c:dLbl>
            <c:dLbl>
              <c:idx val="6"/>
              <c:layout>
                <c:manualLayout>
                  <c:x val="4.2368393178688702E-3"/>
                  <c:y val="1.1904761904761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2D-4ECE-9A1F-5954E1243875}"/>
                </c:ext>
              </c:extLst>
            </c:dLbl>
            <c:dLbl>
              <c:idx val="7"/>
              <c:layout>
                <c:manualLayout>
                  <c:x val="6.3552589768033048E-3"/>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2D-4ECE-9A1F-5954E1243875}"/>
                </c:ext>
              </c:extLst>
            </c:dLbl>
            <c:dLbl>
              <c:idx val="8"/>
              <c:layout>
                <c:manualLayout>
                  <c:x val="1.0592098294672175E-2"/>
                  <c:y val="1.1904761904761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2D-4ECE-9A1F-5954E1243875}"/>
                </c:ext>
              </c:extLst>
            </c:dLbl>
            <c:spPr>
              <a:noFill/>
              <a:ln>
                <a:noFill/>
              </a:ln>
              <a:effectLst/>
            </c:spPr>
            <c:txPr>
              <a:bodyPr rot="0" vert="horz"/>
              <a:lstStyle/>
              <a:p>
                <a:pPr>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'Tab15_16_graf7_zahr '!$B$77:$V$77</c:f>
              <c:strCache>
                <c:ptCount val="10"/>
                <c:pt idx="0">
                  <c:v>2012/2013</c:v>
                </c:pt>
                <c:pt idx="1">
                  <c:v>2013/2014</c:v>
                </c:pt>
                <c:pt idx="2">
                  <c:v>2014/2015</c:v>
                </c:pt>
                <c:pt idx="3">
                  <c:v>2015/2016</c:v>
                </c:pt>
                <c:pt idx="4">
                  <c:v>2016/2017</c:v>
                </c:pt>
                <c:pt idx="5">
                  <c:v>2017/2018</c:v>
                </c:pt>
                <c:pt idx="6">
                  <c:v>2018/2019</c:v>
                </c:pt>
                <c:pt idx="7">
                  <c:v>2019/2020</c:v>
                </c:pt>
                <c:pt idx="8">
                  <c:v>2020/2021</c:v>
                </c:pt>
                <c:pt idx="9">
                  <c:v>2021/2022</c:v>
                </c:pt>
              </c:strCache>
              <c:extLst/>
            </c:strRef>
          </c:cat>
          <c:val>
            <c:numRef>
              <c:f>'Tab15_16_graf7_zahr '!$B$80:$V$80</c:f>
              <c:numCache>
                <c:formatCode>General</c:formatCode>
                <c:ptCount val="10"/>
                <c:pt idx="0">
                  <c:v>87</c:v>
                </c:pt>
                <c:pt idx="1">
                  <c:v>81</c:v>
                </c:pt>
                <c:pt idx="2">
                  <c:v>73</c:v>
                </c:pt>
                <c:pt idx="3">
                  <c:v>60</c:v>
                </c:pt>
                <c:pt idx="4">
                  <c:v>55</c:v>
                </c:pt>
                <c:pt idx="5">
                  <c:v>51</c:v>
                </c:pt>
                <c:pt idx="6">
                  <c:v>61</c:v>
                </c:pt>
                <c:pt idx="7">
                  <c:v>71</c:v>
                </c:pt>
                <c:pt idx="8">
                  <c:v>69</c:v>
                </c:pt>
                <c:pt idx="9">
                  <c:v>87</c:v>
                </c:pt>
              </c:numCache>
              <c:extLst/>
            </c:numRef>
          </c:val>
          <c:extLst>
            <c:ext xmlns:c16="http://schemas.microsoft.com/office/drawing/2014/chart" uri="{C3380CC4-5D6E-409C-BE32-E72D297353CC}">
              <c16:uniqueId val="{0000000D-3315-45E1-831E-C55D1EDE96E5}"/>
            </c:ext>
          </c:extLst>
        </c:ser>
        <c:dLbls>
          <c:showLegendKey val="0"/>
          <c:showVal val="1"/>
          <c:showCatName val="0"/>
          <c:showSerName val="0"/>
          <c:showPercent val="0"/>
          <c:showBubbleSize val="0"/>
        </c:dLbls>
        <c:gapWidth val="150"/>
        <c:axId val="141276672"/>
        <c:axId val="202359936"/>
      </c:barChart>
      <c:lineChart>
        <c:grouping val="stacked"/>
        <c:varyColors val="0"/>
        <c:ser>
          <c:idx val="0"/>
          <c:order val="3"/>
          <c:tx>
            <c:strRef>
              <c:f>'Tab15_16_graf7_zahr '!$A$81</c:f>
              <c:strCache>
                <c:ptCount val="1"/>
                <c:pt idx="0">
                  <c:v>STU</c:v>
                </c:pt>
              </c:strCache>
            </c:strRef>
          </c:tx>
          <c:spPr>
            <a:ln>
              <a:solidFill>
                <a:srgbClr val="C00000"/>
              </a:solidFill>
            </a:ln>
          </c:spPr>
          <c:marker>
            <c:symbol val="none"/>
          </c:marker>
          <c:cat>
            <c:strRef>
              <c:f>'Tab15_16_graf7_zahr '!$B$77:$V$77</c:f>
              <c:strCache>
                <c:ptCount val="10"/>
                <c:pt idx="0">
                  <c:v>2012/2013</c:v>
                </c:pt>
                <c:pt idx="1">
                  <c:v>2013/2014</c:v>
                </c:pt>
                <c:pt idx="2">
                  <c:v>2014/2015</c:v>
                </c:pt>
                <c:pt idx="3">
                  <c:v>2015/2016</c:v>
                </c:pt>
                <c:pt idx="4">
                  <c:v>2016/2017</c:v>
                </c:pt>
                <c:pt idx="5">
                  <c:v>2017/2018</c:v>
                </c:pt>
                <c:pt idx="6">
                  <c:v>2018/2019</c:v>
                </c:pt>
                <c:pt idx="7">
                  <c:v>2019/2020</c:v>
                </c:pt>
                <c:pt idx="8">
                  <c:v>2020/2021</c:v>
                </c:pt>
                <c:pt idx="9">
                  <c:v>2021/2022</c:v>
                </c:pt>
              </c:strCache>
              <c:extLst/>
            </c:strRef>
          </c:cat>
          <c:val>
            <c:numRef>
              <c:f>'Tab15_16_graf7_zahr '!$B$81:$V$81</c:f>
              <c:numCache>
                <c:formatCode>General</c:formatCode>
                <c:ptCount val="10"/>
                <c:pt idx="0">
                  <c:v>341</c:v>
                </c:pt>
                <c:pt idx="1">
                  <c:v>298</c:v>
                </c:pt>
                <c:pt idx="2">
                  <c:v>296</c:v>
                </c:pt>
                <c:pt idx="3">
                  <c:v>322</c:v>
                </c:pt>
                <c:pt idx="4">
                  <c:v>375</c:v>
                </c:pt>
                <c:pt idx="5">
                  <c:v>389</c:v>
                </c:pt>
                <c:pt idx="6">
                  <c:v>447</c:v>
                </c:pt>
                <c:pt idx="7">
                  <c:v>595</c:v>
                </c:pt>
                <c:pt idx="8">
                  <c:v>736</c:v>
                </c:pt>
                <c:pt idx="9">
                  <c:v>987</c:v>
                </c:pt>
              </c:numCache>
              <c:extLst/>
            </c:numRef>
          </c:val>
          <c:smooth val="0"/>
          <c:extLst>
            <c:ext xmlns:c16="http://schemas.microsoft.com/office/drawing/2014/chart" uri="{C3380CC4-5D6E-409C-BE32-E72D297353CC}">
              <c16:uniqueId val="{0000000E-3315-45E1-831E-C55D1EDE96E5}"/>
            </c:ext>
          </c:extLst>
        </c:ser>
        <c:dLbls>
          <c:showLegendKey val="0"/>
          <c:showVal val="0"/>
          <c:showCatName val="0"/>
          <c:showSerName val="0"/>
          <c:showPercent val="0"/>
          <c:showBubbleSize val="0"/>
        </c:dLbls>
        <c:marker val="1"/>
        <c:smooth val="0"/>
        <c:axId val="141276672"/>
        <c:axId val="202359936"/>
      </c:lineChart>
      <c:catAx>
        <c:axId val="141276672"/>
        <c:scaling>
          <c:orientation val="minMax"/>
        </c:scaling>
        <c:delete val="0"/>
        <c:axPos val="b"/>
        <c:numFmt formatCode="General" sourceLinked="0"/>
        <c:majorTickMark val="out"/>
        <c:minorTickMark val="none"/>
        <c:tickLblPos val="nextTo"/>
        <c:txPr>
          <a:bodyPr rot="-2160000"/>
          <a:lstStyle/>
          <a:p>
            <a:pPr>
              <a:defRPr/>
            </a:pPr>
            <a:endParaRPr lang="sk-SK"/>
          </a:p>
        </c:txPr>
        <c:crossAx val="202359936"/>
        <c:crosses val="autoZero"/>
        <c:auto val="1"/>
        <c:lblAlgn val="ctr"/>
        <c:lblOffset val="100"/>
        <c:noMultiLvlLbl val="0"/>
      </c:catAx>
      <c:valAx>
        <c:axId val="202359936"/>
        <c:scaling>
          <c:orientation val="minMax"/>
        </c:scaling>
        <c:delete val="0"/>
        <c:axPos val="l"/>
        <c:majorGridlines/>
        <c:numFmt formatCode="General" sourceLinked="1"/>
        <c:majorTickMark val="out"/>
        <c:minorTickMark val="none"/>
        <c:tickLblPos val="nextTo"/>
        <c:crossAx val="141276672"/>
        <c:crosses val="autoZero"/>
        <c:crossBetween val="between"/>
      </c:valAx>
      <c:spPr>
        <a:ln>
          <a:noFill/>
        </a:ln>
      </c:spPr>
    </c:plotArea>
    <c:legend>
      <c:legendPos val="b"/>
      <c:overlay val="0"/>
    </c:legend>
    <c:plotVisOnly val="1"/>
    <c:dispBlanksAs val="gap"/>
    <c:showDLblsOverMax val="0"/>
  </c:chart>
  <c:spPr>
    <a:ln>
      <a:noFill/>
    </a:ln>
    <a:effectLst/>
  </c:spPr>
  <c:txPr>
    <a:bodyPr/>
    <a:lstStyle/>
    <a:p>
      <a:pPr>
        <a:defRPr>
          <a:latin typeface="+mj-lt"/>
        </a:defRPr>
      </a:pPr>
      <a:endParaRPr lang="sk-SK"/>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40"/>
      <c:rAngAx val="0"/>
    </c:view3D>
    <c:floor>
      <c:thickness val="0"/>
    </c:floor>
    <c:sideWall>
      <c:thickness val="0"/>
    </c:sideWall>
    <c:backWall>
      <c:thickness val="0"/>
    </c:backWall>
    <c:plotArea>
      <c:layout>
        <c:manualLayout>
          <c:layoutTarget val="inner"/>
          <c:xMode val="edge"/>
          <c:yMode val="edge"/>
          <c:x val="0"/>
          <c:y val="5.5866405960999829E-2"/>
          <c:w val="0.82200109361329832"/>
          <c:h val="0.89814814814814814"/>
        </c:manualLayout>
      </c:layout>
      <c:pie3DChart>
        <c:varyColors val="1"/>
        <c:ser>
          <c:idx val="0"/>
          <c:order val="0"/>
          <c:spPr>
            <a:effectLst/>
          </c:spPr>
          <c:explosion val="21"/>
          <c:dPt>
            <c:idx val="0"/>
            <c:bubble3D val="0"/>
            <c:spPr>
              <a:solidFill>
                <a:schemeClr val="accent1">
                  <a:lumMod val="75000"/>
                </a:schemeClr>
              </a:solidFill>
              <a:effectLst/>
            </c:spPr>
            <c:extLst>
              <c:ext xmlns:c16="http://schemas.microsoft.com/office/drawing/2014/chart" uri="{C3380CC4-5D6E-409C-BE32-E72D297353CC}">
                <c16:uniqueId val="{00000001-6A8F-4116-B787-91B627484087}"/>
              </c:ext>
            </c:extLst>
          </c:dPt>
          <c:dPt>
            <c:idx val="1"/>
            <c:bubble3D val="0"/>
            <c:extLst>
              <c:ext xmlns:c16="http://schemas.microsoft.com/office/drawing/2014/chart" uri="{C3380CC4-5D6E-409C-BE32-E72D297353CC}">
                <c16:uniqueId val="{00000002-6A8F-4116-B787-91B627484087}"/>
              </c:ext>
            </c:extLst>
          </c:dPt>
          <c:dLbls>
            <c:dLbl>
              <c:idx val="1"/>
              <c:layout>
                <c:manualLayout>
                  <c:x val="0"/>
                  <c:y val="0.1565995525727069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A8F-4116-B787-91B627484087}"/>
                </c:ext>
              </c:extLst>
            </c:dLbl>
            <c:numFmt formatCode="General" sourceLinked="0"/>
            <c:spPr>
              <a:noFill/>
              <a:ln>
                <a:noFill/>
              </a:ln>
              <a:effectLst/>
            </c:spPr>
            <c:dLblPos val="outEnd"/>
            <c:showLegendKey val="0"/>
            <c:showVal val="1"/>
            <c:showCatName val="0"/>
            <c:showSerName val="0"/>
            <c:showPercent val="1"/>
            <c:showBubbleSize val="0"/>
            <c:showLeaderLines val="0"/>
            <c:extLst>
              <c:ext xmlns:c15="http://schemas.microsoft.com/office/drawing/2012/chart" uri="{CE6537A1-D6FC-4f65-9D91-7224C49458BB}"/>
            </c:extLst>
          </c:dLbls>
          <c:cat>
            <c:strRef>
              <c:f>'Tab17-20_Graf_8_9_mobility'!$A$20:$A$23</c:f>
              <c:strCache>
                <c:ptCount val="4"/>
                <c:pt idx="0">
                  <c:v>Bc. </c:v>
                </c:pt>
                <c:pt idx="1">
                  <c:v>Ing.</c:v>
                </c:pt>
                <c:pt idx="2">
                  <c:v>PhD. </c:v>
                </c:pt>
                <c:pt idx="3">
                  <c:v>absolventi</c:v>
                </c:pt>
              </c:strCache>
            </c:strRef>
          </c:cat>
          <c:val>
            <c:numRef>
              <c:f>'Tab17-20_Graf_8_9_mobility'!$B$20:$B$23</c:f>
              <c:numCache>
                <c:formatCode>General</c:formatCode>
                <c:ptCount val="4"/>
                <c:pt idx="0">
                  <c:v>83</c:v>
                </c:pt>
                <c:pt idx="1">
                  <c:v>110</c:v>
                </c:pt>
                <c:pt idx="2">
                  <c:v>38</c:v>
                </c:pt>
                <c:pt idx="3">
                  <c:v>21</c:v>
                </c:pt>
              </c:numCache>
            </c:numRef>
          </c:val>
          <c:extLst>
            <c:ext xmlns:c16="http://schemas.microsoft.com/office/drawing/2014/chart" uri="{C3380CC4-5D6E-409C-BE32-E72D297353CC}">
              <c16:uniqueId val="{00000003-6A8F-4116-B787-91B627484087}"/>
            </c:ext>
          </c:extLst>
        </c:ser>
        <c:ser>
          <c:idx val="1"/>
          <c:order val="1"/>
          <c:explosion val="25"/>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'Tab17-20_Graf_8_9_mobility'!$A$20:$A$23</c:f>
              <c:strCache>
                <c:ptCount val="4"/>
                <c:pt idx="0">
                  <c:v>Bc. </c:v>
                </c:pt>
                <c:pt idx="1">
                  <c:v>Ing.</c:v>
                </c:pt>
                <c:pt idx="2">
                  <c:v>PhD. </c:v>
                </c:pt>
                <c:pt idx="3">
                  <c:v>absolventi</c:v>
                </c:pt>
              </c:strCache>
            </c:strRef>
          </c:cat>
          <c:val>
            <c:numRef>
              <c:f>'Tab17-20_Graf_8_9_mobility'!$C$20:$C$23</c:f>
              <c:numCache>
                <c:formatCode>0.00%</c:formatCode>
                <c:ptCount val="4"/>
                <c:pt idx="0">
                  <c:v>0.32936507936507936</c:v>
                </c:pt>
                <c:pt idx="1">
                  <c:v>0.43650793650793651</c:v>
                </c:pt>
                <c:pt idx="2">
                  <c:v>0.15079365079365079</c:v>
                </c:pt>
                <c:pt idx="3">
                  <c:v>8.3333333333333329E-2</c:v>
                </c:pt>
              </c:numCache>
            </c:numRef>
          </c:val>
          <c:extLst>
            <c:ext xmlns:c16="http://schemas.microsoft.com/office/drawing/2014/chart" uri="{C3380CC4-5D6E-409C-BE32-E72D297353CC}">
              <c16:uniqueId val="{00000004-6A8F-4116-B787-91B627484087}"/>
            </c:ext>
          </c:extLst>
        </c:ser>
        <c:dLbls>
          <c:dLblPos val="outEnd"/>
          <c:showLegendKey val="0"/>
          <c:showVal val="1"/>
          <c:showCatName val="0"/>
          <c:showSerName val="0"/>
          <c:showPercent val="0"/>
          <c:showBubbleSize val="0"/>
          <c:showLeaderLines val="0"/>
        </c:dLbls>
      </c:pie3DChart>
    </c:plotArea>
    <c:legend>
      <c:legendPos val="r"/>
      <c:layout>
        <c:manualLayout>
          <c:xMode val="edge"/>
          <c:yMode val="edge"/>
          <c:x val="0.69387693743824752"/>
          <c:y val="0.668089276610208"/>
          <c:w val="0.29380589551017439"/>
          <c:h val="0.26799540682414696"/>
        </c:manualLayout>
      </c:layout>
      <c:overlay val="1"/>
      <c:spPr>
        <a:effectLst>
          <a:outerShdw blurRad="50800" dist="38100" dir="5400000" algn="t" rotWithShape="0">
            <a:schemeClr val="bg1">
              <a:lumMod val="75000"/>
              <a:alpha val="40000"/>
            </a:schemeClr>
          </a:outerShdw>
        </a:effectLst>
      </c:spPr>
    </c:legend>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a:noFill/>
        </a:ln>
      </c:spPr>
    </c:sideWall>
    <c:backWall>
      <c:thickness val="0"/>
      <c:spPr>
        <a:noFill/>
        <a:ln>
          <a:noFill/>
        </a:ln>
      </c:spPr>
    </c:backWall>
    <c:plotArea>
      <c:layout>
        <c:manualLayout>
          <c:layoutTarget val="inner"/>
          <c:xMode val="edge"/>
          <c:yMode val="edge"/>
          <c:x val="5.4427862588792487E-2"/>
          <c:y val="3.532713098751241E-2"/>
          <c:w val="0.92247017374429585"/>
          <c:h val="0.83240898667820717"/>
        </c:manualLayout>
      </c:layout>
      <c:bar3DChart>
        <c:barDir val="col"/>
        <c:grouping val="clustered"/>
        <c:varyColors val="0"/>
        <c:ser>
          <c:idx val="0"/>
          <c:order val="0"/>
          <c:tx>
            <c:strRef>
              <c:f>'Tab17-20_Graf_8_9_mobility'!$B$38:$B$39</c:f>
              <c:strCache>
                <c:ptCount val="2"/>
                <c:pt idx="0">
                  <c:v>Erasmus+</c:v>
                </c:pt>
                <c:pt idx="1">
                  <c:v>vyslania</c:v>
                </c:pt>
              </c:strCache>
            </c:strRef>
          </c:tx>
          <c:spPr>
            <a:scene3d>
              <a:camera prst="orthographicFront"/>
              <a:lightRig rig="threePt" dir="t"/>
            </a:scene3d>
            <a:sp3d>
              <a:bevelT/>
            </a:sp3d>
          </c:spPr>
          <c:invertIfNegative val="0"/>
          <c:cat>
            <c:strRef>
              <c:f>'Tab17-20_Graf_8_9_mobility'!$A$40:$A$69</c:f>
              <c:strCache>
                <c:ptCount val="30"/>
                <c:pt idx="0">
                  <c:v>AT</c:v>
                </c:pt>
                <c:pt idx="1">
                  <c:v>BE</c:v>
                </c:pt>
                <c:pt idx="2">
                  <c:v>BG</c:v>
                </c:pt>
                <c:pt idx="3">
                  <c:v>CZ</c:v>
                </c:pt>
                <c:pt idx="4">
                  <c:v>DE</c:v>
                </c:pt>
                <c:pt idx="5">
                  <c:v>DK</c:v>
                </c:pt>
                <c:pt idx="6">
                  <c:v>EE</c:v>
                </c:pt>
                <c:pt idx="7">
                  <c:v>ES</c:v>
                </c:pt>
                <c:pt idx="8">
                  <c:v>FI</c:v>
                </c:pt>
                <c:pt idx="9">
                  <c:v>FR</c:v>
                </c:pt>
                <c:pt idx="10">
                  <c:v>GR</c:v>
                </c:pt>
                <c:pt idx="11">
                  <c:v>HR</c:v>
                </c:pt>
                <c:pt idx="12">
                  <c:v>HU</c:v>
                </c:pt>
                <c:pt idx="13">
                  <c:v>IT</c:v>
                </c:pt>
                <c:pt idx="14">
                  <c:v>LI</c:v>
                </c:pt>
                <c:pt idx="15">
                  <c:v>LT </c:v>
                </c:pt>
                <c:pt idx="16">
                  <c:v>LV</c:v>
                </c:pt>
                <c:pt idx="17">
                  <c:v>NL</c:v>
                </c:pt>
                <c:pt idx="18">
                  <c:v>NO</c:v>
                </c:pt>
                <c:pt idx="19">
                  <c:v>MK</c:v>
                </c:pt>
                <c:pt idx="20">
                  <c:v>PL</c:v>
                </c:pt>
                <c:pt idx="21">
                  <c:v>PT</c:v>
                </c:pt>
                <c:pt idx="22">
                  <c:v>SI</c:v>
                </c:pt>
                <c:pt idx="23">
                  <c:v>SE</c:v>
                </c:pt>
                <c:pt idx="24">
                  <c:v>TR</c:v>
                </c:pt>
                <c:pt idx="25">
                  <c:v>UA</c:v>
                </c:pt>
                <c:pt idx="26">
                  <c:v>UK</c:v>
                </c:pt>
                <c:pt idx="27">
                  <c:v>RO</c:v>
                </c:pt>
                <c:pt idx="28">
                  <c:v>EC</c:v>
                </c:pt>
                <c:pt idx="29">
                  <c:v>IE</c:v>
                </c:pt>
              </c:strCache>
            </c:strRef>
          </c:cat>
          <c:val>
            <c:numRef>
              <c:f>'Tab17-20_Graf_8_9_mobility'!$B$40:$B$69</c:f>
              <c:numCache>
                <c:formatCode>General</c:formatCode>
                <c:ptCount val="30"/>
                <c:pt idx="0">
                  <c:v>20</c:v>
                </c:pt>
                <c:pt idx="1">
                  <c:v>5</c:v>
                </c:pt>
                <c:pt idx="2">
                  <c:v>0</c:v>
                </c:pt>
                <c:pt idx="3">
                  <c:v>49</c:v>
                </c:pt>
                <c:pt idx="4">
                  <c:v>45</c:v>
                </c:pt>
                <c:pt idx="5">
                  <c:v>3</c:v>
                </c:pt>
                <c:pt idx="6">
                  <c:v>6</c:v>
                </c:pt>
                <c:pt idx="7">
                  <c:v>27</c:v>
                </c:pt>
                <c:pt idx="8">
                  <c:v>8</c:v>
                </c:pt>
                <c:pt idx="9">
                  <c:v>9</c:v>
                </c:pt>
                <c:pt idx="10">
                  <c:v>1</c:v>
                </c:pt>
                <c:pt idx="11">
                  <c:v>4</c:v>
                </c:pt>
                <c:pt idx="12">
                  <c:v>4</c:v>
                </c:pt>
                <c:pt idx="13">
                  <c:v>14</c:v>
                </c:pt>
                <c:pt idx="14">
                  <c:v>0</c:v>
                </c:pt>
                <c:pt idx="15">
                  <c:v>7</c:v>
                </c:pt>
                <c:pt idx="16">
                  <c:v>0</c:v>
                </c:pt>
                <c:pt idx="17">
                  <c:v>9</c:v>
                </c:pt>
                <c:pt idx="18">
                  <c:v>3</c:v>
                </c:pt>
                <c:pt idx="19">
                  <c:v>1</c:v>
                </c:pt>
                <c:pt idx="20">
                  <c:v>8</c:v>
                </c:pt>
                <c:pt idx="21">
                  <c:v>12</c:v>
                </c:pt>
                <c:pt idx="22">
                  <c:v>5</c:v>
                </c:pt>
                <c:pt idx="23">
                  <c:v>4</c:v>
                </c:pt>
                <c:pt idx="24">
                  <c:v>4</c:v>
                </c:pt>
                <c:pt idx="25">
                  <c:v>0</c:v>
                </c:pt>
                <c:pt idx="26">
                  <c:v>1</c:v>
                </c:pt>
                <c:pt idx="27">
                  <c:v>1</c:v>
                </c:pt>
                <c:pt idx="28">
                  <c:v>1</c:v>
                </c:pt>
                <c:pt idx="29">
                  <c:v>1</c:v>
                </c:pt>
              </c:numCache>
            </c:numRef>
          </c:val>
          <c:extLst>
            <c:ext xmlns:c16="http://schemas.microsoft.com/office/drawing/2014/chart" uri="{C3380CC4-5D6E-409C-BE32-E72D297353CC}">
              <c16:uniqueId val="{00000000-987C-4596-99E2-6B34D09603A1}"/>
            </c:ext>
          </c:extLst>
        </c:ser>
        <c:ser>
          <c:idx val="1"/>
          <c:order val="1"/>
          <c:tx>
            <c:strRef>
              <c:f>'Tab17-20_Graf_8_9_mobility'!$C$38:$C$39</c:f>
              <c:strCache>
                <c:ptCount val="2"/>
                <c:pt idx="0">
                  <c:v>Erasmus+</c:v>
                </c:pt>
                <c:pt idx="1">
                  <c:v>prijatia</c:v>
                </c:pt>
              </c:strCache>
            </c:strRef>
          </c:tx>
          <c:spPr>
            <a:scene3d>
              <a:camera prst="orthographicFront"/>
              <a:lightRig rig="threePt" dir="t"/>
            </a:scene3d>
            <a:sp3d>
              <a:bevelT/>
            </a:sp3d>
          </c:spPr>
          <c:invertIfNegative val="0"/>
          <c:cat>
            <c:strRef>
              <c:f>'Tab17-20_Graf_8_9_mobility'!$A$40:$A$69</c:f>
              <c:strCache>
                <c:ptCount val="30"/>
                <c:pt idx="0">
                  <c:v>AT</c:v>
                </c:pt>
                <c:pt idx="1">
                  <c:v>BE</c:v>
                </c:pt>
                <c:pt idx="2">
                  <c:v>BG</c:v>
                </c:pt>
                <c:pt idx="3">
                  <c:v>CZ</c:v>
                </c:pt>
                <c:pt idx="4">
                  <c:v>DE</c:v>
                </c:pt>
                <c:pt idx="5">
                  <c:v>DK</c:v>
                </c:pt>
                <c:pt idx="6">
                  <c:v>EE</c:v>
                </c:pt>
                <c:pt idx="7">
                  <c:v>ES</c:v>
                </c:pt>
                <c:pt idx="8">
                  <c:v>FI</c:v>
                </c:pt>
                <c:pt idx="9">
                  <c:v>FR</c:v>
                </c:pt>
                <c:pt idx="10">
                  <c:v>GR</c:v>
                </c:pt>
                <c:pt idx="11">
                  <c:v>HR</c:v>
                </c:pt>
                <c:pt idx="12">
                  <c:v>HU</c:v>
                </c:pt>
                <c:pt idx="13">
                  <c:v>IT</c:v>
                </c:pt>
                <c:pt idx="14">
                  <c:v>LI</c:v>
                </c:pt>
                <c:pt idx="15">
                  <c:v>LT </c:v>
                </c:pt>
                <c:pt idx="16">
                  <c:v>LV</c:v>
                </c:pt>
                <c:pt idx="17">
                  <c:v>NL</c:v>
                </c:pt>
                <c:pt idx="18">
                  <c:v>NO</c:v>
                </c:pt>
                <c:pt idx="19">
                  <c:v>MK</c:v>
                </c:pt>
                <c:pt idx="20">
                  <c:v>PL</c:v>
                </c:pt>
                <c:pt idx="21">
                  <c:v>PT</c:v>
                </c:pt>
                <c:pt idx="22">
                  <c:v>SI</c:v>
                </c:pt>
                <c:pt idx="23">
                  <c:v>SE</c:v>
                </c:pt>
                <c:pt idx="24">
                  <c:v>TR</c:v>
                </c:pt>
                <c:pt idx="25">
                  <c:v>UA</c:v>
                </c:pt>
                <c:pt idx="26">
                  <c:v>UK</c:v>
                </c:pt>
                <c:pt idx="27">
                  <c:v>RO</c:v>
                </c:pt>
                <c:pt idx="28">
                  <c:v>EC</c:v>
                </c:pt>
                <c:pt idx="29">
                  <c:v>IE</c:v>
                </c:pt>
              </c:strCache>
            </c:strRef>
          </c:cat>
          <c:val>
            <c:numRef>
              <c:f>'Tab17-20_Graf_8_9_mobility'!$C$40:$C$69</c:f>
              <c:numCache>
                <c:formatCode>General</c:formatCode>
                <c:ptCount val="30"/>
                <c:pt idx="0">
                  <c:v>0</c:v>
                </c:pt>
                <c:pt idx="1">
                  <c:v>4</c:v>
                </c:pt>
                <c:pt idx="2">
                  <c:v>0</c:v>
                </c:pt>
                <c:pt idx="3">
                  <c:v>3</c:v>
                </c:pt>
                <c:pt idx="4">
                  <c:v>15</c:v>
                </c:pt>
                <c:pt idx="5">
                  <c:v>0</c:v>
                </c:pt>
                <c:pt idx="6">
                  <c:v>0</c:v>
                </c:pt>
                <c:pt idx="7">
                  <c:v>43</c:v>
                </c:pt>
                <c:pt idx="8">
                  <c:v>0</c:v>
                </c:pt>
                <c:pt idx="9">
                  <c:v>48</c:v>
                </c:pt>
                <c:pt idx="10">
                  <c:v>4</c:v>
                </c:pt>
                <c:pt idx="11">
                  <c:v>0</c:v>
                </c:pt>
                <c:pt idx="12">
                  <c:v>0</c:v>
                </c:pt>
                <c:pt idx="13">
                  <c:v>17</c:v>
                </c:pt>
                <c:pt idx="14">
                  <c:v>0</c:v>
                </c:pt>
                <c:pt idx="15">
                  <c:v>0</c:v>
                </c:pt>
                <c:pt idx="16">
                  <c:v>0</c:v>
                </c:pt>
                <c:pt idx="17">
                  <c:v>0</c:v>
                </c:pt>
                <c:pt idx="18">
                  <c:v>0</c:v>
                </c:pt>
                <c:pt idx="19">
                  <c:v>0</c:v>
                </c:pt>
                <c:pt idx="20">
                  <c:v>0</c:v>
                </c:pt>
                <c:pt idx="21">
                  <c:v>10</c:v>
                </c:pt>
                <c:pt idx="22">
                  <c:v>1</c:v>
                </c:pt>
                <c:pt idx="23">
                  <c:v>0</c:v>
                </c:pt>
                <c:pt idx="24">
                  <c:v>29</c:v>
                </c:pt>
                <c:pt idx="25">
                  <c:v>5</c:v>
                </c:pt>
                <c:pt idx="26">
                  <c:v>0</c:v>
                </c:pt>
                <c:pt idx="27">
                  <c:v>0</c:v>
                </c:pt>
                <c:pt idx="28">
                  <c:v>0</c:v>
                </c:pt>
                <c:pt idx="29">
                  <c:v>0</c:v>
                </c:pt>
              </c:numCache>
            </c:numRef>
          </c:val>
          <c:extLst>
            <c:ext xmlns:c16="http://schemas.microsoft.com/office/drawing/2014/chart" uri="{C3380CC4-5D6E-409C-BE32-E72D297353CC}">
              <c16:uniqueId val="{00000001-987C-4596-99E2-6B34D09603A1}"/>
            </c:ext>
          </c:extLst>
        </c:ser>
        <c:dLbls>
          <c:showLegendKey val="0"/>
          <c:showVal val="0"/>
          <c:showCatName val="0"/>
          <c:showSerName val="0"/>
          <c:showPercent val="0"/>
          <c:showBubbleSize val="0"/>
        </c:dLbls>
        <c:gapWidth val="150"/>
        <c:shape val="box"/>
        <c:axId val="150280704"/>
        <c:axId val="202365696"/>
        <c:axId val="0"/>
      </c:bar3DChart>
      <c:catAx>
        <c:axId val="150280704"/>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202365696"/>
        <c:crosses val="autoZero"/>
        <c:auto val="1"/>
        <c:lblAlgn val="ctr"/>
        <c:lblOffset val="100"/>
        <c:noMultiLvlLbl val="0"/>
      </c:catAx>
      <c:valAx>
        <c:axId val="202365696"/>
        <c:scaling>
          <c:orientation val="minMax"/>
          <c:max val="45"/>
          <c:min val="0"/>
        </c:scaling>
        <c:delete val="0"/>
        <c:axPos val="l"/>
        <c:majorGridlines/>
        <c:numFmt formatCode="General" sourceLinked="1"/>
        <c:majorTickMark val="out"/>
        <c:minorTickMark val="none"/>
        <c:tickLblPos val="nextTo"/>
        <c:crossAx val="150280704"/>
        <c:crosses val="autoZero"/>
        <c:crossBetween val="between"/>
        <c:majorUnit val="5"/>
      </c:valAx>
    </c:plotArea>
    <c:legend>
      <c:legendPos val="t"/>
      <c:layout>
        <c:manualLayout>
          <c:xMode val="edge"/>
          <c:yMode val="edge"/>
          <c:x val="0.42630121134657767"/>
          <c:y val="6.1443922502602902E-2"/>
          <c:w val="0.50010277773394562"/>
          <c:h val="6.5879818912987664E-2"/>
        </c:manualLayout>
      </c:layout>
      <c:overlay val="1"/>
    </c:legend>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7">
  <cs:axisTitle>
    <cs:lnRef idx="0"/>
    <cs:fillRef idx="0"/>
    <cs:effectRef idx="0"/>
    <cs:fontRef idx="minor">
      <a:schemeClr val="lt1">
        <a:lumMod val="85000"/>
      </a:schemeClr>
    </cs:fontRef>
    <cs:defRPr sz="900" kern="1200"/>
  </cs:axisTitle>
  <cs:categoryAxis>
    <cs:lnRef idx="0"/>
    <cs:fillRef idx="0"/>
    <cs:effectRef idx="0"/>
    <cs:fontRef idx="minor">
      <a:schemeClr val="lt1">
        <a:lumMod val="85000"/>
      </a:schemeClr>
    </cs:fontRef>
    <cs:spPr>
      <a:ln w="9575" cap="flat" cmpd="sng" algn="ctr">
        <a:solidFill>
          <a:schemeClr val="lt1">
            <a:lumMod val="75000"/>
          </a:schemeClr>
        </a:solidFill>
        <a:round/>
        <a:headEnd type="none" w="sm" len="sm"/>
        <a:tailEnd type="none" w="sm" len="sm"/>
      </a:ln>
    </cs:spPr>
    <cs:defRPr sz="900" b="1" kern="1200" cap="all" baseline="0"/>
  </cs:categoryAxis>
  <cs:chartArea>
    <cs:lnRef idx="0"/>
    <cs:fillRef idx="0"/>
    <cs:effectRef idx="0"/>
    <cs:fontRef idx="minor">
      <a:schemeClr val="dk1"/>
    </cs:fontRef>
    <cs:spPr>
      <a:solidFill>
        <a:schemeClr val="dk1">
          <a:lumMod val="75000"/>
          <a:lumOff val="25000"/>
        </a:schemeClr>
      </a:solidFill>
      <a:ln w="9525" cap="flat" cmpd="sng" algn="ctr">
        <a:solidFill>
          <a:schemeClr val="lt1">
            <a:lumMod val="75000"/>
          </a:schemeClr>
        </a:solidFill>
        <a:round/>
      </a:ln>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lt1">
        <a:lumMod val="85000"/>
      </a:schemeClr>
    </cs:fontRef>
    <cs:spPr>
      <a:solidFill>
        <a:schemeClr val="dk1">
          <a:lumMod val="65000"/>
          <a:lumOff val="35000"/>
        </a:schemeClr>
      </a:solidFill>
      <a:ln>
        <a:solidFill>
          <a:schemeClr val="lt1">
            <a:lumMod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
  <cs:dataPoint3D>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3D>
  <cs:dataPointLine>
    <cs:lnRef idx="0">
      <cs:styleClr val="auto"/>
    </cs:lnRef>
    <cs:fillRef idx="0"/>
    <cs:effectRef idx="0"/>
    <cs:fontRef idx="minor">
      <a:schemeClr val="dk1"/>
    </cs:fontRef>
    <cs:spPr>
      <a:ln w="25400"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50000"/>
      </a:schemeClr>
    </cs:fontRef>
    <cs:spPr>
      <a:ln w="9525">
        <a:solidFill>
          <a:schemeClr val="lt1">
            <a:lumMod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cap="flat" cmpd="sng" algn="ctr">
        <a:solidFill>
          <a:schemeClr val="lt1">
            <a:alpha val="40000"/>
          </a:schemeClr>
        </a:solidFill>
        <a:round/>
      </a:ln>
    </cs:spPr>
  </cs:dropLine>
  <cs:errorBar>
    <cs:lnRef idx="0"/>
    <cs:fillRef idx="0"/>
    <cs:effectRef idx="0"/>
    <cs:fontRef idx="minor">
      <a:schemeClr val="dk1"/>
    </cs:fontRef>
    <cs:spPr>
      <a:ln w="9525" cap="flat" cmpd="sng" algn="ctr">
        <a:solidFill>
          <a:schemeClr val="lt1">
            <a:alpha val="4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65000"/>
                <a:alpha val="36000"/>
              </a:schemeClr>
            </a:gs>
          </a:gsLst>
          <a:lin ang="5400000" scaled="0"/>
        </a:gra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8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bg1">
        <a:lumMod val="85000"/>
      </a:schemeClr>
    </cs:fontRef>
    <cs:spPr>
      <a:ln w="19050" cap="flat" cmpd="sng" algn="ctr">
        <a:solidFill>
          <a:schemeClr val="bg1">
            <a:lumMod val="85000"/>
          </a:schemeClr>
        </a:solidFill>
        <a:round/>
        <a:headEnd type="none" w="sm" len="sm"/>
        <a:tailEnd type="none" w="sm" len="sm"/>
      </a:ln>
    </cs:spPr>
    <cs:defRPr sz="900" b="1"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ajor">
      <a:schemeClr val="lt1">
        <a:lumMod val="85000"/>
      </a:schemeClr>
    </cs:fontRef>
    <cs:defRPr sz="1800" b="1" kern="1200"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9A904-00BB-4947-8A54-B6DAE9A31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kosielka_gremium_STU.dotx</Template>
  <TotalTime>1</TotalTime>
  <Pages>152</Pages>
  <Words>58047</Words>
  <Characters>330873</Characters>
  <Application>Microsoft Office Word</Application>
  <DocSecurity>0</DocSecurity>
  <Lines>2757</Lines>
  <Paragraphs>776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388144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marianna.michelkova@stuba.sk</dc:creator>
  <cp:keywords/>
  <dc:description/>
  <cp:lastModifiedBy>Ružena Gogorová</cp:lastModifiedBy>
  <cp:revision>2</cp:revision>
  <cp:lastPrinted>2022-04-13T13:14:00Z</cp:lastPrinted>
  <dcterms:created xsi:type="dcterms:W3CDTF">2023-04-20T07:07:00Z</dcterms:created>
  <dcterms:modified xsi:type="dcterms:W3CDTF">2023-04-20T07:07:00Z</dcterms:modified>
</cp:coreProperties>
</file>